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2A30" w14:textId="1C666AFC" w:rsidR="0049424C" w:rsidRPr="0049424C" w:rsidRDefault="0049424C" w:rsidP="2A443009">
      <w:pPr>
        <w:pStyle w:val="Heading1"/>
        <w:jc w:val="both"/>
      </w:pPr>
      <w:r>
        <w:t xml:space="preserve">How can </w:t>
      </w:r>
      <w:r w:rsidR="00D91BE2">
        <w:t>critical and feminist scholars respond to the decision in</w:t>
      </w:r>
      <w:r>
        <w:t xml:space="preserve"> </w:t>
      </w:r>
      <w:r w:rsidR="00D91BE2" w:rsidRPr="2A443009">
        <w:rPr>
          <w:i/>
          <w:iCs/>
        </w:rPr>
        <w:t>For Women Scotland</w:t>
      </w:r>
      <w:r w:rsidR="00D91BE2">
        <w:t>?</w:t>
      </w:r>
    </w:p>
    <w:p w14:paraId="6CD28073" w14:textId="77777777" w:rsidR="0049424C" w:rsidRPr="0049424C" w:rsidRDefault="0049424C" w:rsidP="2A443009">
      <w:pPr>
        <w:pStyle w:val="Heading1"/>
        <w:jc w:val="both"/>
      </w:pPr>
    </w:p>
    <w:p w14:paraId="010BC3C1" w14:textId="60A854C2" w:rsidR="00025CED" w:rsidRPr="004D733F" w:rsidRDefault="00D91BE2" w:rsidP="2A443009">
      <w:pPr>
        <w:spacing w:after="0" w:line="360" w:lineRule="auto"/>
        <w:jc w:val="both"/>
        <w:rPr>
          <w:rFonts w:ascii="Times New Roman" w:hAnsi="Times New Roman" w:cs="Times New Roman"/>
          <w:b/>
          <w:bCs/>
          <w:sz w:val="24"/>
          <w:szCs w:val="24"/>
        </w:rPr>
      </w:pPr>
      <w:r w:rsidRPr="03893673">
        <w:rPr>
          <w:rFonts w:ascii="Times New Roman" w:hAnsi="Times New Roman" w:cs="Times New Roman"/>
          <w:b/>
          <w:bCs/>
          <w:sz w:val="24"/>
          <w:szCs w:val="24"/>
        </w:rPr>
        <w:t xml:space="preserve">Peter Dunne, Emily Grabham and </w:t>
      </w:r>
      <w:r w:rsidR="0049424C" w:rsidRPr="03893673">
        <w:rPr>
          <w:rFonts w:ascii="Times New Roman" w:hAnsi="Times New Roman" w:cs="Times New Roman"/>
          <w:b/>
          <w:bCs/>
          <w:sz w:val="24"/>
          <w:szCs w:val="24"/>
        </w:rPr>
        <w:t>Flora Renz</w:t>
      </w:r>
      <w:r w:rsidR="001356DA" w:rsidRPr="03893673">
        <w:rPr>
          <w:rFonts w:ascii="Times New Roman" w:hAnsi="Times New Roman" w:cs="Times New Roman"/>
          <w:b/>
          <w:bCs/>
          <w:sz w:val="24"/>
          <w:szCs w:val="24"/>
        </w:rPr>
        <w:t xml:space="preserve"> </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2F1B5211" w14:textId="23B9E9A5" w:rsidR="00E371B6" w:rsidRDefault="00E371B6" w:rsidP="2A443009">
      <w:pPr>
        <w:spacing w:after="0" w:line="360" w:lineRule="auto"/>
        <w:jc w:val="both"/>
        <w:rPr>
          <w:rFonts w:ascii="Times New Roman" w:hAnsi="Times New Roman" w:cs="Times New Roman"/>
          <w:b/>
          <w:bCs/>
          <w:sz w:val="24"/>
          <w:szCs w:val="24"/>
        </w:rPr>
      </w:pPr>
    </w:p>
    <w:p w14:paraId="69901421" w14:textId="25D0DEF1" w:rsidR="00BB6E96" w:rsidRPr="00BB6E96" w:rsidRDefault="00BB6E96" w:rsidP="2A443009">
      <w:pPr>
        <w:pStyle w:val="Heading2"/>
        <w:jc w:val="both"/>
      </w:pPr>
      <w:r>
        <w:t>Introduction</w:t>
      </w:r>
    </w:p>
    <w:p w14:paraId="7CF8103E" w14:textId="7F636152" w:rsidR="00D7052E" w:rsidRDefault="0049424C" w:rsidP="2A44300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in </w:t>
      </w:r>
      <w:r w:rsidR="00D91BE2" w:rsidRPr="2A443009">
        <w:rPr>
          <w:rFonts w:ascii="Times New Roman" w:hAnsi="Times New Roman" w:cs="Times New Roman"/>
          <w:i/>
          <w:iCs/>
          <w:sz w:val="24"/>
          <w:szCs w:val="24"/>
        </w:rPr>
        <w:t>For Women Scotland Ltd (Appellant) v The Scottish Ministers (Respondent)</w:t>
      </w:r>
      <w:r w:rsidR="00CD0B99" w:rsidRPr="2A443009">
        <w:rPr>
          <w:rFonts w:ascii="Times New Roman" w:hAnsi="Times New Roman" w:cs="Times New Roman"/>
          <w:i/>
          <w:iCs/>
          <w:sz w:val="24"/>
          <w:szCs w:val="24"/>
        </w:rPr>
        <w:t xml:space="preserve"> </w:t>
      </w:r>
      <w:r w:rsidR="00CD0B99" w:rsidRPr="00CD0B99">
        <w:rPr>
          <w:rFonts w:ascii="Times New Roman" w:hAnsi="Times New Roman" w:cs="Times New Roman"/>
          <w:sz w:val="24"/>
          <w:szCs w:val="24"/>
        </w:rPr>
        <w:t>(</w:t>
      </w:r>
      <w:r w:rsidR="00CD0B99" w:rsidRPr="009A02BA">
        <w:rPr>
          <w:rFonts w:ascii="Times New Roman" w:hAnsi="Times New Roman" w:cs="Times New Roman"/>
          <w:i/>
          <w:iCs/>
          <w:sz w:val="24"/>
          <w:szCs w:val="24"/>
        </w:rPr>
        <w:t>FWS</w:t>
      </w:r>
      <w:r w:rsidR="00CD0B99" w:rsidRPr="00CD0B99">
        <w:rPr>
          <w:rFonts w:ascii="Times New Roman" w:hAnsi="Times New Roman" w:cs="Times New Roman"/>
          <w:sz w:val="24"/>
          <w:szCs w:val="24"/>
        </w:rPr>
        <w:t>)</w:t>
      </w:r>
      <w:r w:rsidR="00967921" w:rsidRPr="00342EE2">
        <w:rPr>
          <w:rStyle w:val="FootnoteReference"/>
          <w:rFonts w:ascii="Times New Roman" w:hAnsi="Times New Roman" w:cs="Times New Roman"/>
          <w:sz w:val="24"/>
          <w:szCs w:val="24"/>
        </w:rPr>
        <w:footnoteReference w:id="2"/>
      </w:r>
      <w:r w:rsidRPr="2A443009">
        <w:rPr>
          <w:rFonts w:ascii="Times New Roman" w:hAnsi="Times New Roman" w:cs="Times New Roman"/>
          <w:i/>
          <w:iCs/>
          <w:sz w:val="24"/>
          <w:szCs w:val="24"/>
        </w:rPr>
        <w:t xml:space="preserve"> </w:t>
      </w:r>
      <w:r>
        <w:rPr>
          <w:rFonts w:ascii="Times New Roman" w:hAnsi="Times New Roman" w:cs="Times New Roman"/>
          <w:sz w:val="24"/>
          <w:szCs w:val="24"/>
        </w:rPr>
        <w:t xml:space="preserve">in </w:t>
      </w:r>
      <w:r w:rsidR="00D91BE2">
        <w:rPr>
          <w:rFonts w:ascii="Times New Roman" w:hAnsi="Times New Roman" w:cs="Times New Roman"/>
          <w:sz w:val="24"/>
          <w:szCs w:val="24"/>
        </w:rPr>
        <w:t>the spring of 2025</w:t>
      </w:r>
      <w:r>
        <w:rPr>
          <w:rFonts w:ascii="Times New Roman" w:hAnsi="Times New Roman" w:cs="Times New Roman"/>
          <w:sz w:val="24"/>
          <w:szCs w:val="24"/>
        </w:rPr>
        <w:t xml:space="preserve"> fundamentally changed the </w:t>
      </w:r>
      <w:r w:rsidR="00E71E1C">
        <w:rPr>
          <w:rFonts w:ascii="Times New Roman" w:hAnsi="Times New Roman" w:cs="Times New Roman"/>
          <w:sz w:val="24"/>
          <w:szCs w:val="24"/>
        </w:rPr>
        <w:t>landscape of equality law in the UK</w:t>
      </w:r>
      <w:r>
        <w:rPr>
          <w:rFonts w:ascii="Times New Roman" w:hAnsi="Times New Roman" w:cs="Times New Roman"/>
          <w:sz w:val="24"/>
          <w:szCs w:val="24"/>
        </w:rPr>
        <w:t xml:space="preserve">. </w:t>
      </w:r>
      <w:r w:rsidR="00CD0B99">
        <w:rPr>
          <w:rFonts w:ascii="Times New Roman" w:hAnsi="Times New Roman" w:cs="Times New Roman"/>
          <w:sz w:val="24"/>
          <w:szCs w:val="24"/>
        </w:rPr>
        <w:t xml:space="preserve">The </w:t>
      </w:r>
      <w:r w:rsidR="00CD0B99" w:rsidRPr="009A02BA">
        <w:rPr>
          <w:rFonts w:ascii="Times New Roman" w:hAnsi="Times New Roman" w:cs="Times New Roman"/>
          <w:i/>
          <w:iCs/>
          <w:sz w:val="24"/>
          <w:szCs w:val="24"/>
        </w:rPr>
        <w:t>FWS</w:t>
      </w:r>
      <w:r w:rsidR="00CD0B99">
        <w:rPr>
          <w:rFonts w:ascii="Times New Roman" w:hAnsi="Times New Roman" w:cs="Times New Roman"/>
          <w:sz w:val="24"/>
          <w:szCs w:val="24"/>
        </w:rPr>
        <w:t xml:space="preserve"> decision attracted immediate m</w:t>
      </w:r>
      <w:r w:rsidR="3F681BA3">
        <w:rPr>
          <w:rFonts w:ascii="Times New Roman" w:hAnsi="Times New Roman" w:cs="Times New Roman"/>
          <w:sz w:val="24"/>
          <w:szCs w:val="24"/>
        </w:rPr>
        <w:t xml:space="preserve">edia </w:t>
      </w:r>
      <w:r w:rsidR="00CD0B99">
        <w:rPr>
          <w:rFonts w:ascii="Times New Roman" w:hAnsi="Times New Roman" w:cs="Times New Roman"/>
          <w:sz w:val="24"/>
          <w:szCs w:val="24"/>
        </w:rPr>
        <w:t>and political attention</w:t>
      </w:r>
      <w:r w:rsidR="70EAFA21">
        <w:rPr>
          <w:rFonts w:ascii="Times New Roman" w:hAnsi="Times New Roman" w:cs="Times New Roman"/>
          <w:sz w:val="24"/>
          <w:szCs w:val="24"/>
        </w:rPr>
        <w:t>,</w:t>
      </w:r>
      <w:r w:rsidR="00CD0B99">
        <w:rPr>
          <w:rFonts w:ascii="Times New Roman" w:hAnsi="Times New Roman" w:cs="Times New Roman"/>
          <w:sz w:val="24"/>
          <w:szCs w:val="24"/>
        </w:rPr>
        <w:t xml:space="preserve"> in part because the case set out to define what it means legally </w:t>
      </w:r>
      <w:r w:rsidR="5B0F6F81">
        <w:rPr>
          <w:rFonts w:ascii="Times New Roman" w:hAnsi="Times New Roman" w:cs="Times New Roman"/>
          <w:sz w:val="24"/>
          <w:szCs w:val="24"/>
        </w:rPr>
        <w:t xml:space="preserve">to </w:t>
      </w:r>
      <w:r w:rsidR="00CD0B99">
        <w:rPr>
          <w:rFonts w:ascii="Times New Roman" w:hAnsi="Times New Roman" w:cs="Times New Roman"/>
          <w:sz w:val="24"/>
          <w:szCs w:val="24"/>
        </w:rPr>
        <w:t xml:space="preserve">be a woman in the context of the provisions of the </w:t>
      </w:r>
      <w:r w:rsidR="00CD0B99" w:rsidRPr="2A443009">
        <w:rPr>
          <w:rFonts w:ascii="Times New Roman" w:hAnsi="Times New Roman" w:cs="Times New Roman"/>
          <w:i/>
          <w:iCs/>
          <w:sz w:val="24"/>
          <w:szCs w:val="24"/>
        </w:rPr>
        <w:t>Equality Act 2010</w:t>
      </w:r>
      <w:r w:rsidR="00CD0B99">
        <w:rPr>
          <w:rFonts w:ascii="Times New Roman" w:hAnsi="Times New Roman" w:cs="Times New Roman"/>
          <w:sz w:val="24"/>
          <w:szCs w:val="24"/>
        </w:rPr>
        <w:t xml:space="preserve"> (EA). The case involved the intersection of three pieces of legislation, namely the </w:t>
      </w:r>
      <w:r w:rsidR="00CD0B99" w:rsidRPr="009A02BA">
        <w:rPr>
          <w:rFonts w:ascii="Times New Roman" w:hAnsi="Times New Roman" w:cs="Times New Roman"/>
          <w:i/>
          <w:iCs/>
          <w:sz w:val="24"/>
          <w:szCs w:val="24"/>
        </w:rPr>
        <w:t>Gender Representation on Public Boards (Scotland) Act 2018</w:t>
      </w:r>
      <w:r w:rsidR="009078E0">
        <w:rPr>
          <w:rFonts w:ascii="Times New Roman" w:hAnsi="Times New Roman" w:cs="Times New Roman"/>
          <w:i/>
          <w:iCs/>
          <w:sz w:val="24"/>
          <w:szCs w:val="24"/>
        </w:rPr>
        <w:t xml:space="preserve"> </w:t>
      </w:r>
      <w:r w:rsidR="009078E0">
        <w:rPr>
          <w:rFonts w:ascii="Times New Roman" w:hAnsi="Times New Roman" w:cs="Times New Roman"/>
          <w:sz w:val="24"/>
          <w:szCs w:val="24"/>
        </w:rPr>
        <w:t>(GRPB)</w:t>
      </w:r>
      <w:r w:rsidR="00CD0B99">
        <w:rPr>
          <w:rFonts w:ascii="Times New Roman" w:hAnsi="Times New Roman" w:cs="Times New Roman"/>
          <w:sz w:val="24"/>
          <w:szCs w:val="24"/>
        </w:rPr>
        <w:t xml:space="preserve">, the </w:t>
      </w:r>
      <w:r w:rsidR="58FF6F25">
        <w:rPr>
          <w:rFonts w:ascii="Times New Roman" w:hAnsi="Times New Roman" w:cs="Times New Roman"/>
          <w:sz w:val="24"/>
          <w:szCs w:val="24"/>
        </w:rPr>
        <w:t xml:space="preserve">EA </w:t>
      </w:r>
      <w:r w:rsidR="00CD0B99">
        <w:rPr>
          <w:rFonts w:ascii="Times New Roman" w:hAnsi="Times New Roman" w:cs="Times New Roman"/>
          <w:sz w:val="24"/>
          <w:szCs w:val="24"/>
        </w:rPr>
        <w:t xml:space="preserve">and the </w:t>
      </w:r>
      <w:r w:rsidR="00CD0B99" w:rsidRPr="00E06FDA">
        <w:rPr>
          <w:rFonts w:ascii="Times New Roman" w:hAnsi="Times New Roman" w:cs="Times New Roman"/>
          <w:i/>
          <w:iCs/>
          <w:sz w:val="24"/>
          <w:szCs w:val="24"/>
        </w:rPr>
        <w:t>Gender Recognition Act 2004</w:t>
      </w:r>
      <w:r w:rsidR="009078E0">
        <w:rPr>
          <w:rFonts w:ascii="Times New Roman" w:hAnsi="Times New Roman" w:cs="Times New Roman"/>
          <w:i/>
          <w:iCs/>
          <w:sz w:val="24"/>
          <w:szCs w:val="24"/>
        </w:rPr>
        <w:t xml:space="preserve"> </w:t>
      </w:r>
      <w:r w:rsidR="009078E0">
        <w:rPr>
          <w:rFonts w:ascii="Times New Roman" w:hAnsi="Times New Roman" w:cs="Times New Roman"/>
          <w:sz w:val="24"/>
          <w:szCs w:val="24"/>
        </w:rPr>
        <w:t>(GRA)</w:t>
      </w:r>
      <w:r w:rsidR="00CD0B99">
        <w:rPr>
          <w:rFonts w:ascii="Times New Roman" w:hAnsi="Times New Roman" w:cs="Times New Roman"/>
          <w:sz w:val="24"/>
          <w:szCs w:val="24"/>
        </w:rPr>
        <w:t xml:space="preserve">. </w:t>
      </w:r>
      <w:r w:rsidR="00CD0B99" w:rsidRPr="009A02BA">
        <w:rPr>
          <w:rFonts w:ascii="Times New Roman" w:hAnsi="Times New Roman" w:cs="Times New Roman"/>
          <w:i/>
          <w:iCs/>
          <w:sz w:val="24"/>
          <w:szCs w:val="24"/>
        </w:rPr>
        <w:t>FWS</w:t>
      </w:r>
      <w:r w:rsidR="00CD0B99">
        <w:rPr>
          <w:rFonts w:ascii="Times New Roman" w:hAnsi="Times New Roman" w:cs="Times New Roman"/>
          <w:sz w:val="24"/>
          <w:szCs w:val="24"/>
        </w:rPr>
        <w:t xml:space="preserve"> was intended to challenge the framing of the </w:t>
      </w:r>
      <w:r w:rsidR="6CC602A1">
        <w:rPr>
          <w:rFonts w:ascii="Times New Roman" w:hAnsi="Times New Roman" w:cs="Times New Roman"/>
          <w:sz w:val="24"/>
          <w:szCs w:val="24"/>
        </w:rPr>
        <w:t>GRPB</w:t>
      </w:r>
      <w:r w:rsidR="00CD0B99">
        <w:rPr>
          <w:rFonts w:ascii="Times New Roman" w:hAnsi="Times New Roman" w:cs="Times New Roman"/>
          <w:sz w:val="24"/>
          <w:szCs w:val="24"/>
        </w:rPr>
        <w:t>, which was introduced to ensure that at least 50% of the members of a public board in Scotland were women</w:t>
      </w:r>
      <w:r w:rsidR="6786776C">
        <w:rPr>
          <w:rFonts w:ascii="Times New Roman" w:hAnsi="Times New Roman" w:cs="Times New Roman"/>
          <w:sz w:val="24"/>
          <w:szCs w:val="24"/>
        </w:rPr>
        <w:t>. The</w:t>
      </w:r>
      <w:r w:rsidR="31380E18">
        <w:rPr>
          <w:rFonts w:ascii="Times New Roman" w:hAnsi="Times New Roman" w:cs="Times New Roman"/>
          <w:sz w:val="24"/>
          <w:szCs w:val="24"/>
        </w:rPr>
        <w:t xml:space="preserve"> GRPB </w:t>
      </w:r>
      <w:r w:rsidR="6786776C">
        <w:rPr>
          <w:rFonts w:ascii="Times New Roman" w:hAnsi="Times New Roman" w:cs="Times New Roman"/>
          <w:sz w:val="24"/>
          <w:szCs w:val="24"/>
        </w:rPr>
        <w:t xml:space="preserve">did so </w:t>
      </w:r>
      <w:r w:rsidR="00CD0B99">
        <w:rPr>
          <w:rFonts w:ascii="Times New Roman" w:hAnsi="Times New Roman" w:cs="Times New Roman"/>
          <w:sz w:val="24"/>
          <w:szCs w:val="24"/>
        </w:rPr>
        <w:t>by allowing for a very limited type of positive discrimination. Importantly</w:t>
      </w:r>
      <w:r w:rsidR="38353053">
        <w:rPr>
          <w:rFonts w:ascii="Times New Roman" w:hAnsi="Times New Roman" w:cs="Times New Roman"/>
          <w:sz w:val="24"/>
          <w:szCs w:val="24"/>
        </w:rPr>
        <w:t>,</w:t>
      </w:r>
      <w:r w:rsidR="00CD0B99">
        <w:rPr>
          <w:rFonts w:ascii="Times New Roman" w:hAnsi="Times New Roman" w:cs="Times New Roman"/>
          <w:sz w:val="24"/>
          <w:szCs w:val="24"/>
        </w:rPr>
        <w:t xml:space="preserve"> </w:t>
      </w:r>
      <w:r w:rsidR="35529EA4">
        <w:rPr>
          <w:rFonts w:ascii="Times New Roman" w:hAnsi="Times New Roman" w:cs="Times New Roman"/>
          <w:sz w:val="24"/>
          <w:szCs w:val="24"/>
        </w:rPr>
        <w:t xml:space="preserve">that </w:t>
      </w:r>
      <w:r w:rsidR="00CD0B99">
        <w:rPr>
          <w:rFonts w:ascii="Times New Roman" w:hAnsi="Times New Roman" w:cs="Times New Roman"/>
          <w:sz w:val="24"/>
          <w:szCs w:val="24"/>
        </w:rPr>
        <w:t>Act had been designed to include trans women within its definition of ‘women’ by drawing on the protected characteristic of gender reassignment as set out in the EA.</w:t>
      </w:r>
    </w:p>
    <w:p w14:paraId="5F523C71" w14:textId="7C12C6AB" w:rsidR="00CD0B99" w:rsidRPr="00D35442" w:rsidRDefault="00CD0B99" w:rsidP="00D51436">
      <w:pPr>
        <w:pStyle w:val="Heading2"/>
      </w:pPr>
      <w:r w:rsidRPr="2A443009">
        <w:t>Legal background</w:t>
      </w:r>
    </w:p>
    <w:p w14:paraId="340960B2" w14:textId="2E8F5644" w:rsidR="00CD0B99" w:rsidRPr="00D35442" w:rsidRDefault="00CD0B99" w:rsidP="2A443009">
      <w:pPr>
        <w:spacing w:before="240" w:line="360" w:lineRule="auto"/>
        <w:jc w:val="both"/>
        <w:rPr>
          <w:rFonts w:ascii="Times New Roman" w:hAnsi="Times New Roman" w:cs="Times New Roman"/>
          <w:sz w:val="24"/>
          <w:szCs w:val="24"/>
        </w:rPr>
      </w:pPr>
      <w:r w:rsidRPr="00D35442">
        <w:rPr>
          <w:rFonts w:ascii="Times New Roman" w:hAnsi="Times New Roman" w:cs="Times New Roman"/>
          <w:sz w:val="24"/>
          <w:szCs w:val="24"/>
        </w:rPr>
        <w:t>The group</w:t>
      </w:r>
      <w:r w:rsidR="7B10F59B" w:rsidRPr="00D35442">
        <w:rPr>
          <w:rFonts w:ascii="Times New Roman" w:hAnsi="Times New Roman" w:cs="Times New Roman"/>
          <w:sz w:val="24"/>
          <w:szCs w:val="24"/>
        </w:rPr>
        <w:t>,</w:t>
      </w:r>
      <w:r w:rsidRPr="00D35442">
        <w:rPr>
          <w:rFonts w:ascii="Times New Roman" w:hAnsi="Times New Roman" w:cs="Times New Roman"/>
          <w:sz w:val="24"/>
          <w:szCs w:val="24"/>
        </w:rPr>
        <w:t xml:space="preserve"> For Women Scotland Ltd</w:t>
      </w:r>
      <w:r w:rsidR="05E50BFF" w:rsidRPr="00D35442">
        <w:rPr>
          <w:rFonts w:ascii="Times New Roman" w:hAnsi="Times New Roman" w:cs="Times New Roman"/>
          <w:sz w:val="24"/>
          <w:szCs w:val="24"/>
        </w:rPr>
        <w:t>,</w:t>
      </w:r>
      <w:r w:rsidRPr="00D35442">
        <w:rPr>
          <w:rFonts w:ascii="Times New Roman" w:hAnsi="Times New Roman" w:cs="Times New Roman"/>
          <w:sz w:val="24"/>
          <w:szCs w:val="24"/>
        </w:rPr>
        <w:t xml:space="preserve"> sought to challenge this trans</w:t>
      </w:r>
      <w:r w:rsidR="47EE079A" w:rsidRPr="00D35442">
        <w:rPr>
          <w:rFonts w:ascii="Times New Roman" w:hAnsi="Times New Roman" w:cs="Times New Roman"/>
          <w:sz w:val="24"/>
          <w:szCs w:val="24"/>
        </w:rPr>
        <w:t>-</w:t>
      </w:r>
      <w:r w:rsidRPr="00D35442">
        <w:rPr>
          <w:rFonts w:ascii="Times New Roman" w:hAnsi="Times New Roman" w:cs="Times New Roman"/>
          <w:sz w:val="24"/>
          <w:szCs w:val="24"/>
        </w:rPr>
        <w:t xml:space="preserve">inclusive approach through an initial judicial review. The Inner House of the Court of Session agreed with their argument and held that the Scottish </w:t>
      </w:r>
      <w:r w:rsidR="58440E62" w:rsidRPr="00D35442">
        <w:rPr>
          <w:rFonts w:ascii="Times New Roman" w:hAnsi="Times New Roman" w:cs="Times New Roman"/>
          <w:sz w:val="24"/>
          <w:szCs w:val="24"/>
        </w:rPr>
        <w:t>G</w:t>
      </w:r>
      <w:r w:rsidRPr="00D35442">
        <w:rPr>
          <w:rFonts w:ascii="Times New Roman" w:hAnsi="Times New Roman" w:cs="Times New Roman"/>
          <w:sz w:val="24"/>
          <w:szCs w:val="24"/>
        </w:rPr>
        <w:t>overnment needed to modify the definition of ‘woman’ in the</w:t>
      </w:r>
      <w:r w:rsidR="59358846" w:rsidRPr="00D35442">
        <w:rPr>
          <w:rFonts w:ascii="Times New Roman" w:hAnsi="Times New Roman" w:cs="Times New Roman"/>
          <w:sz w:val="24"/>
          <w:szCs w:val="24"/>
        </w:rPr>
        <w:t xml:space="preserve"> GRPB </w:t>
      </w:r>
      <w:r w:rsidRPr="00D35442">
        <w:rPr>
          <w:rFonts w:ascii="Times New Roman" w:hAnsi="Times New Roman" w:cs="Times New Roman"/>
          <w:sz w:val="24"/>
          <w:szCs w:val="24"/>
        </w:rPr>
        <w:t xml:space="preserve">as the current approach </w:t>
      </w:r>
      <w:r w:rsidR="080660F5" w:rsidRPr="00D35442">
        <w:rPr>
          <w:rFonts w:ascii="Times New Roman" w:hAnsi="Times New Roman" w:cs="Times New Roman"/>
          <w:sz w:val="24"/>
          <w:szCs w:val="24"/>
        </w:rPr>
        <w:t xml:space="preserve">fell within the scope of the retained powers of the Westminster Parliament under the </w:t>
      </w:r>
      <w:r w:rsidR="080660F5" w:rsidRPr="000266FC">
        <w:rPr>
          <w:rFonts w:ascii="Times New Roman" w:hAnsi="Times New Roman" w:cs="Times New Roman"/>
          <w:i/>
          <w:iCs/>
          <w:sz w:val="24"/>
          <w:szCs w:val="24"/>
        </w:rPr>
        <w:t>Scotland Act 1998</w:t>
      </w:r>
      <w:r w:rsidR="080660F5" w:rsidRPr="00D35442">
        <w:rPr>
          <w:rFonts w:ascii="Times New Roman" w:hAnsi="Times New Roman" w:cs="Times New Roman"/>
          <w:sz w:val="24"/>
          <w:szCs w:val="24"/>
        </w:rPr>
        <w:t>.</w:t>
      </w:r>
      <w:r w:rsidRPr="00D35442">
        <w:rPr>
          <w:rStyle w:val="FootnoteReference"/>
          <w:rFonts w:ascii="Times New Roman" w:hAnsi="Times New Roman" w:cs="Times New Roman"/>
          <w:sz w:val="24"/>
          <w:szCs w:val="24"/>
        </w:rPr>
        <w:footnoteReference w:id="3"/>
      </w:r>
      <w:r w:rsidRPr="00D35442">
        <w:rPr>
          <w:rFonts w:ascii="Times New Roman" w:hAnsi="Times New Roman" w:cs="Times New Roman"/>
          <w:sz w:val="24"/>
          <w:szCs w:val="24"/>
        </w:rPr>
        <w:t xml:space="preserve"> This led to the Scottish </w:t>
      </w:r>
      <w:r w:rsidR="47A08E5D" w:rsidRPr="00D35442">
        <w:rPr>
          <w:rFonts w:ascii="Times New Roman" w:hAnsi="Times New Roman" w:cs="Times New Roman"/>
          <w:sz w:val="24"/>
          <w:szCs w:val="24"/>
        </w:rPr>
        <w:t>G</w:t>
      </w:r>
      <w:r w:rsidRPr="00D35442">
        <w:rPr>
          <w:rFonts w:ascii="Times New Roman" w:hAnsi="Times New Roman" w:cs="Times New Roman"/>
          <w:sz w:val="24"/>
          <w:szCs w:val="24"/>
        </w:rPr>
        <w:t xml:space="preserve">overnment creating new guidance that </w:t>
      </w:r>
      <w:r w:rsidR="1721CF8B" w:rsidRPr="00D35442">
        <w:rPr>
          <w:rFonts w:ascii="Times New Roman" w:hAnsi="Times New Roman" w:cs="Times New Roman"/>
          <w:sz w:val="24"/>
          <w:szCs w:val="24"/>
        </w:rPr>
        <w:t xml:space="preserve">clarified </w:t>
      </w:r>
      <w:r w:rsidRPr="00D35442">
        <w:rPr>
          <w:rFonts w:ascii="Times New Roman" w:hAnsi="Times New Roman" w:cs="Times New Roman"/>
          <w:sz w:val="24"/>
          <w:szCs w:val="24"/>
        </w:rPr>
        <w:lastRenderedPageBreak/>
        <w:t xml:space="preserve">that the definition of ‘woman’ in the </w:t>
      </w:r>
      <w:r w:rsidR="18C382D1" w:rsidRPr="00D35442">
        <w:rPr>
          <w:rFonts w:ascii="Times New Roman" w:hAnsi="Times New Roman" w:cs="Times New Roman"/>
          <w:sz w:val="24"/>
          <w:szCs w:val="24"/>
        </w:rPr>
        <w:t xml:space="preserve">GRPB </w:t>
      </w:r>
      <w:r w:rsidRPr="00D35442">
        <w:rPr>
          <w:rFonts w:ascii="Times New Roman" w:hAnsi="Times New Roman" w:cs="Times New Roman"/>
          <w:sz w:val="24"/>
          <w:szCs w:val="24"/>
        </w:rPr>
        <w:t xml:space="preserve">was only inclusive of trans women who had gone through the GRA to amend their legal </w:t>
      </w:r>
      <w:r w:rsidR="009A02BA">
        <w:rPr>
          <w:rFonts w:ascii="Times New Roman" w:hAnsi="Times New Roman" w:cs="Times New Roman"/>
          <w:sz w:val="24"/>
          <w:szCs w:val="24"/>
        </w:rPr>
        <w:t xml:space="preserve">sex </w:t>
      </w:r>
      <w:r w:rsidRPr="00D35442">
        <w:rPr>
          <w:rFonts w:ascii="Times New Roman" w:hAnsi="Times New Roman" w:cs="Times New Roman"/>
          <w:sz w:val="24"/>
          <w:szCs w:val="24"/>
        </w:rPr>
        <w:t>as registered on their birth certificate</w:t>
      </w:r>
      <w:r w:rsidR="51AC9D88" w:rsidRPr="00D35442">
        <w:rPr>
          <w:rFonts w:ascii="Times New Roman" w:hAnsi="Times New Roman" w:cs="Times New Roman"/>
          <w:sz w:val="24"/>
          <w:szCs w:val="24"/>
        </w:rPr>
        <w:t>. Holding a Gender Recognition Certificat</w:t>
      </w:r>
      <w:r w:rsidR="7BF0A940" w:rsidRPr="00D35442">
        <w:rPr>
          <w:rFonts w:ascii="Times New Roman" w:hAnsi="Times New Roman" w:cs="Times New Roman"/>
          <w:sz w:val="24"/>
          <w:szCs w:val="24"/>
        </w:rPr>
        <w:t xml:space="preserve">e </w:t>
      </w:r>
      <w:r w:rsidR="00F6584D">
        <w:rPr>
          <w:rFonts w:ascii="Times New Roman" w:hAnsi="Times New Roman" w:cs="Times New Roman"/>
          <w:sz w:val="24"/>
          <w:szCs w:val="24"/>
        </w:rPr>
        <w:t xml:space="preserve">under the </w:t>
      </w:r>
      <w:r w:rsidR="00D87774">
        <w:rPr>
          <w:rFonts w:ascii="Times New Roman" w:hAnsi="Times New Roman" w:cs="Times New Roman"/>
          <w:sz w:val="24"/>
          <w:szCs w:val="24"/>
        </w:rPr>
        <w:t xml:space="preserve">GRA </w:t>
      </w:r>
      <w:r w:rsidRPr="00D35442">
        <w:rPr>
          <w:rFonts w:ascii="Times New Roman" w:hAnsi="Times New Roman" w:cs="Times New Roman"/>
          <w:sz w:val="24"/>
          <w:szCs w:val="24"/>
        </w:rPr>
        <w:t>would amend their legal gender status for most purposes, including the protected characteristic of ‘sex’ in the EA. Nevertheless, FWS brough</w:t>
      </w:r>
      <w:r w:rsidR="10CD18D8" w:rsidRPr="00D35442">
        <w:rPr>
          <w:rFonts w:ascii="Times New Roman" w:hAnsi="Times New Roman" w:cs="Times New Roman"/>
          <w:sz w:val="24"/>
          <w:szCs w:val="24"/>
        </w:rPr>
        <w:t>t</w:t>
      </w:r>
      <w:r w:rsidRPr="00D35442">
        <w:rPr>
          <w:rFonts w:ascii="Times New Roman" w:hAnsi="Times New Roman" w:cs="Times New Roman"/>
          <w:sz w:val="24"/>
          <w:szCs w:val="24"/>
        </w:rPr>
        <w:t xml:space="preserve"> another judicial review in which they argued that the EA definition of ‘sex’ was not affected by someone going through the GR</w:t>
      </w:r>
      <w:r w:rsidR="00D87774">
        <w:rPr>
          <w:rFonts w:ascii="Times New Roman" w:hAnsi="Times New Roman" w:cs="Times New Roman"/>
          <w:sz w:val="24"/>
          <w:szCs w:val="24"/>
        </w:rPr>
        <w:t>A</w:t>
      </w:r>
      <w:r w:rsidRPr="00D35442">
        <w:rPr>
          <w:rFonts w:ascii="Times New Roman" w:hAnsi="Times New Roman" w:cs="Times New Roman"/>
          <w:sz w:val="24"/>
          <w:szCs w:val="24"/>
        </w:rPr>
        <w:t xml:space="preserve"> process. They further argued that the GRA had a very narrow purpose, including allowing trans people to marry, and had been largely superseded by subsequent legislation, including the EA. This petition was dismissed by Lady Haldane in the Outer House in December 2022.</w:t>
      </w:r>
      <w:r w:rsidRPr="00D35442">
        <w:rPr>
          <w:rStyle w:val="FootnoteReference"/>
          <w:rFonts w:ascii="Times New Roman" w:hAnsi="Times New Roman" w:cs="Times New Roman"/>
          <w:sz w:val="24"/>
          <w:szCs w:val="24"/>
        </w:rPr>
        <w:footnoteReference w:id="4"/>
      </w:r>
      <w:r w:rsidRPr="00D35442">
        <w:rPr>
          <w:rFonts w:ascii="Times New Roman" w:hAnsi="Times New Roman" w:cs="Times New Roman"/>
          <w:sz w:val="24"/>
          <w:szCs w:val="24"/>
        </w:rPr>
        <w:t xml:space="preserve"> Lady Haldane held that the GRA was clear in changing a person’s </w:t>
      </w:r>
      <w:r w:rsidR="02780132" w:rsidRPr="00D35442">
        <w:rPr>
          <w:rFonts w:ascii="Times New Roman" w:hAnsi="Times New Roman" w:cs="Times New Roman"/>
          <w:sz w:val="24"/>
          <w:szCs w:val="24"/>
        </w:rPr>
        <w:t xml:space="preserve">legal </w:t>
      </w:r>
      <w:r w:rsidRPr="00D35442">
        <w:rPr>
          <w:rFonts w:ascii="Times New Roman" w:hAnsi="Times New Roman" w:cs="Times New Roman"/>
          <w:sz w:val="24"/>
          <w:szCs w:val="24"/>
        </w:rPr>
        <w:t>sex for all purposes with a few exceptions listed specifically, e.g. peerages and trusts, and that this</w:t>
      </w:r>
      <w:r w:rsidR="5AB9D82A" w:rsidRPr="00D35442">
        <w:rPr>
          <w:rFonts w:ascii="Times New Roman" w:hAnsi="Times New Roman" w:cs="Times New Roman"/>
          <w:sz w:val="24"/>
          <w:szCs w:val="24"/>
        </w:rPr>
        <w:t>,</w:t>
      </w:r>
      <w:r w:rsidRPr="00D35442">
        <w:rPr>
          <w:rFonts w:ascii="Times New Roman" w:hAnsi="Times New Roman" w:cs="Times New Roman"/>
          <w:sz w:val="24"/>
          <w:szCs w:val="24"/>
        </w:rPr>
        <w:t xml:space="preserve"> therefore</w:t>
      </w:r>
      <w:r w:rsidR="3BF13C3C" w:rsidRPr="00D35442">
        <w:rPr>
          <w:rFonts w:ascii="Times New Roman" w:hAnsi="Times New Roman" w:cs="Times New Roman"/>
          <w:sz w:val="24"/>
          <w:szCs w:val="24"/>
        </w:rPr>
        <w:t>,</w:t>
      </w:r>
      <w:r w:rsidRPr="00D35442">
        <w:rPr>
          <w:rFonts w:ascii="Times New Roman" w:hAnsi="Times New Roman" w:cs="Times New Roman"/>
          <w:sz w:val="24"/>
          <w:szCs w:val="24"/>
        </w:rPr>
        <w:t xml:space="preserve"> was in line with the amended </w:t>
      </w:r>
      <w:r w:rsidR="79E3CB16" w:rsidRPr="00D35442">
        <w:rPr>
          <w:rFonts w:ascii="Times New Roman" w:hAnsi="Times New Roman" w:cs="Times New Roman"/>
          <w:sz w:val="24"/>
          <w:szCs w:val="24"/>
        </w:rPr>
        <w:t xml:space="preserve">GRPB’s </w:t>
      </w:r>
      <w:r w:rsidRPr="00D35442">
        <w:rPr>
          <w:rFonts w:ascii="Times New Roman" w:hAnsi="Times New Roman" w:cs="Times New Roman"/>
          <w:sz w:val="24"/>
          <w:szCs w:val="24"/>
        </w:rPr>
        <w:t xml:space="preserve">definition of who counts as a woman. This was confirmed on appeal by the Inner House. FWS </w:t>
      </w:r>
      <w:r w:rsidR="6CC3B9A0" w:rsidRPr="00D35442">
        <w:rPr>
          <w:rFonts w:ascii="Times New Roman" w:hAnsi="Times New Roman" w:cs="Times New Roman"/>
          <w:sz w:val="24"/>
          <w:szCs w:val="24"/>
        </w:rPr>
        <w:t xml:space="preserve">further appealed </w:t>
      </w:r>
      <w:r w:rsidRPr="00D35442">
        <w:rPr>
          <w:rFonts w:ascii="Times New Roman" w:hAnsi="Times New Roman" w:cs="Times New Roman"/>
          <w:sz w:val="24"/>
          <w:szCs w:val="24"/>
        </w:rPr>
        <w:t xml:space="preserve">to the </w:t>
      </w:r>
      <w:r w:rsidR="33C1A9A2" w:rsidRPr="00D35442">
        <w:rPr>
          <w:rFonts w:ascii="Times New Roman" w:hAnsi="Times New Roman" w:cs="Times New Roman"/>
          <w:sz w:val="24"/>
          <w:szCs w:val="24"/>
        </w:rPr>
        <w:t xml:space="preserve">UK </w:t>
      </w:r>
      <w:r w:rsidRPr="00D35442">
        <w:rPr>
          <w:rFonts w:ascii="Times New Roman" w:hAnsi="Times New Roman" w:cs="Times New Roman"/>
          <w:sz w:val="24"/>
          <w:szCs w:val="24"/>
        </w:rPr>
        <w:t>Supreme Court where a panel of five judges unanimously ruled in their favour.</w:t>
      </w:r>
    </w:p>
    <w:p w14:paraId="3F42D506" w14:textId="4D8BECA4" w:rsidR="00943073" w:rsidRPr="00D35442" w:rsidRDefault="00CD0B99" w:rsidP="2A443009">
      <w:pPr>
        <w:spacing w:before="240" w:line="360" w:lineRule="auto"/>
        <w:jc w:val="both"/>
        <w:rPr>
          <w:rFonts w:ascii="Times New Roman" w:hAnsi="Times New Roman" w:cs="Times New Roman"/>
          <w:sz w:val="24"/>
          <w:szCs w:val="24"/>
        </w:rPr>
      </w:pPr>
      <w:r w:rsidRPr="00D35442">
        <w:rPr>
          <w:rFonts w:ascii="Times New Roman" w:hAnsi="Times New Roman" w:cs="Times New Roman"/>
          <w:sz w:val="24"/>
          <w:szCs w:val="24"/>
        </w:rPr>
        <w:t>The decision by Lord Hodge, Lady Rose and Lady Simler, with Lords Reed and Lloyd-Jones concurring, sets out that</w:t>
      </w:r>
      <w:r w:rsidR="4C2C968B" w:rsidRPr="00D35442">
        <w:rPr>
          <w:rFonts w:ascii="Times New Roman" w:hAnsi="Times New Roman" w:cs="Times New Roman"/>
          <w:sz w:val="24"/>
          <w:szCs w:val="24"/>
        </w:rPr>
        <w:t>,</w:t>
      </w:r>
      <w:r w:rsidRPr="00D35442">
        <w:rPr>
          <w:rFonts w:ascii="Times New Roman" w:hAnsi="Times New Roman" w:cs="Times New Roman"/>
          <w:sz w:val="24"/>
          <w:szCs w:val="24"/>
        </w:rPr>
        <w:t xml:space="preserve"> for the purposes of the EA</w:t>
      </w:r>
      <w:r w:rsidR="66AE59B1" w:rsidRPr="00D35442">
        <w:rPr>
          <w:rFonts w:ascii="Times New Roman" w:hAnsi="Times New Roman" w:cs="Times New Roman"/>
          <w:sz w:val="24"/>
          <w:szCs w:val="24"/>
        </w:rPr>
        <w:t>,</w:t>
      </w:r>
      <w:r w:rsidRPr="00D35442">
        <w:rPr>
          <w:rFonts w:ascii="Times New Roman" w:hAnsi="Times New Roman" w:cs="Times New Roman"/>
          <w:sz w:val="24"/>
          <w:szCs w:val="24"/>
        </w:rPr>
        <w:t xml:space="preserve"> the terms ‘man’ and ‘woman’ are intended to refer solely to ‘biological sex’ as determined at birth.</w:t>
      </w:r>
      <w:r w:rsidRPr="00D35442">
        <w:rPr>
          <w:rStyle w:val="FootnoteReference"/>
          <w:rFonts w:ascii="Times New Roman" w:hAnsi="Times New Roman" w:cs="Times New Roman"/>
          <w:sz w:val="24"/>
          <w:szCs w:val="24"/>
        </w:rPr>
        <w:footnoteReference w:id="5"/>
      </w:r>
      <w:r w:rsidRPr="00D35442">
        <w:rPr>
          <w:rFonts w:ascii="Times New Roman" w:hAnsi="Times New Roman" w:cs="Times New Roman"/>
          <w:sz w:val="24"/>
          <w:szCs w:val="24"/>
        </w:rPr>
        <w:t xml:space="preserve"> It states that these terms are not affected by the GRA and that it therefore is irrelevant if a person has changed their legal gender status. Consequently, the definition of ‘woman’ in</w:t>
      </w:r>
      <w:r w:rsidR="1DABDDAB" w:rsidRPr="00D35442">
        <w:rPr>
          <w:rFonts w:ascii="Times New Roman" w:hAnsi="Times New Roman" w:cs="Times New Roman"/>
          <w:sz w:val="24"/>
          <w:szCs w:val="24"/>
        </w:rPr>
        <w:t xml:space="preserve"> the GRPB </w:t>
      </w:r>
      <w:r w:rsidRPr="00D35442">
        <w:rPr>
          <w:rFonts w:ascii="Times New Roman" w:hAnsi="Times New Roman" w:cs="Times New Roman"/>
          <w:sz w:val="24"/>
          <w:szCs w:val="24"/>
        </w:rPr>
        <w:t xml:space="preserve">should also only apply to those who were assigned female at birth. The judgment, however, goes further than just determining the specific issue of </w:t>
      </w:r>
      <w:r w:rsidR="53BFC377" w:rsidRPr="00D35442">
        <w:rPr>
          <w:rFonts w:ascii="Times New Roman" w:hAnsi="Times New Roman" w:cs="Times New Roman"/>
          <w:sz w:val="24"/>
          <w:szCs w:val="24"/>
        </w:rPr>
        <w:t xml:space="preserve">Scottish legislation under review, </w:t>
      </w:r>
      <w:r w:rsidRPr="00D35442">
        <w:rPr>
          <w:rFonts w:ascii="Times New Roman" w:hAnsi="Times New Roman" w:cs="Times New Roman"/>
          <w:sz w:val="24"/>
          <w:szCs w:val="24"/>
        </w:rPr>
        <w:t>and additionally notes that while this interpretation of ‘sex’ does not require single-sex spaces to exclude trans people whose sex assigned at birth does not match that of the group the spaces are intended for, failing to do so may amount to indirect discrimination on the grounds of sex as it may lead to people self-excluding from these spaces.</w:t>
      </w:r>
    </w:p>
    <w:p w14:paraId="02A49BFA" w14:textId="46436E67" w:rsidR="00943073" w:rsidRPr="00D35442" w:rsidRDefault="00943073" w:rsidP="00D51436">
      <w:pPr>
        <w:pStyle w:val="Heading2"/>
      </w:pPr>
      <w:r w:rsidRPr="2A443009">
        <w:t xml:space="preserve">The </w:t>
      </w:r>
      <w:r w:rsidR="00CD0B99" w:rsidRPr="2A443009">
        <w:t>wider impact and</w:t>
      </w:r>
      <w:r w:rsidRPr="2A443009">
        <w:t xml:space="preserve"> context</w:t>
      </w:r>
      <w:r w:rsidR="00CD0B99" w:rsidRPr="2A443009">
        <w:t xml:space="preserve"> of FWS</w:t>
      </w:r>
    </w:p>
    <w:p w14:paraId="3C46EA07" w14:textId="7AC95EB6" w:rsidR="00CD0B99" w:rsidRPr="00D35442" w:rsidRDefault="00CD0B99" w:rsidP="2A443009">
      <w:pPr>
        <w:spacing w:before="240" w:line="360" w:lineRule="auto"/>
        <w:jc w:val="both"/>
        <w:rPr>
          <w:rFonts w:ascii="Times New Roman" w:hAnsi="Times New Roman" w:cs="Times New Roman"/>
          <w:sz w:val="24"/>
          <w:szCs w:val="24"/>
        </w:rPr>
      </w:pPr>
      <w:r w:rsidRPr="2A443009">
        <w:rPr>
          <w:rFonts w:ascii="Times New Roman" w:hAnsi="Times New Roman" w:cs="Times New Roman"/>
          <w:sz w:val="24"/>
          <w:szCs w:val="24"/>
        </w:rPr>
        <w:t xml:space="preserve">Beyond the immediate impact of the </w:t>
      </w:r>
      <w:r w:rsidRPr="009A02BA">
        <w:rPr>
          <w:rFonts w:ascii="Times New Roman" w:hAnsi="Times New Roman" w:cs="Times New Roman"/>
          <w:i/>
          <w:iCs/>
          <w:sz w:val="24"/>
          <w:szCs w:val="24"/>
        </w:rPr>
        <w:t>FWS</w:t>
      </w:r>
      <w:r w:rsidRPr="2A443009">
        <w:rPr>
          <w:rFonts w:ascii="Times New Roman" w:hAnsi="Times New Roman" w:cs="Times New Roman"/>
          <w:sz w:val="24"/>
          <w:szCs w:val="24"/>
        </w:rPr>
        <w:t xml:space="preserve"> decision on the </w:t>
      </w:r>
      <w:r w:rsidR="00A803EE">
        <w:rPr>
          <w:rFonts w:ascii="Times New Roman" w:hAnsi="Times New Roman" w:cs="Times New Roman"/>
          <w:sz w:val="24"/>
          <w:szCs w:val="24"/>
        </w:rPr>
        <w:t>G</w:t>
      </w:r>
      <w:r w:rsidR="00232DCF">
        <w:rPr>
          <w:rFonts w:ascii="Times New Roman" w:hAnsi="Times New Roman" w:cs="Times New Roman"/>
          <w:sz w:val="24"/>
          <w:szCs w:val="24"/>
        </w:rPr>
        <w:t>RPB</w:t>
      </w:r>
      <w:r w:rsidRPr="2A443009">
        <w:rPr>
          <w:rFonts w:ascii="Times New Roman" w:hAnsi="Times New Roman" w:cs="Times New Roman"/>
          <w:sz w:val="24"/>
          <w:szCs w:val="24"/>
        </w:rPr>
        <w:t xml:space="preserve">, this Supreme Court ruling had far </w:t>
      </w:r>
      <w:proofErr w:type="gramStart"/>
      <w:r w:rsidRPr="2A443009">
        <w:rPr>
          <w:rFonts w:ascii="Times New Roman" w:hAnsi="Times New Roman" w:cs="Times New Roman"/>
          <w:sz w:val="24"/>
          <w:szCs w:val="24"/>
        </w:rPr>
        <w:t>reaching</w:t>
      </w:r>
      <w:proofErr w:type="gramEnd"/>
      <w:r w:rsidRPr="2A443009">
        <w:rPr>
          <w:rFonts w:ascii="Times New Roman" w:hAnsi="Times New Roman" w:cs="Times New Roman"/>
          <w:sz w:val="24"/>
          <w:szCs w:val="24"/>
        </w:rPr>
        <w:t xml:space="preserve"> consequences, with </w:t>
      </w:r>
      <w:proofErr w:type="gramStart"/>
      <w:r w:rsidRPr="2A443009">
        <w:rPr>
          <w:rFonts w:ascii="Times New Roman" w:hAnsi="Times New Roman" w:cs="Times New Roman"/>
          <w:sz w:val="24"/>
          <w:szCs w:val="24"/>
        </w:rPr>
        <w:t>a number of</w:t>
      </w:r>
      <w:proofErr w:type="gramEnd"/>
      <w:r w:rsidRPr="2A443009">
        <w:rPr>
          <w:rFonts w:ascii="Times New Roman" w:hAnsi="Times New Roman" w:cs="Times New Roman"/>
          <w:sz w:val="24"/>
          <w:szCs w:val="24"/>
        </w:rPr>
        <w:t xml:space="preserve"> media outlets and political commentators arguing that this meant that trans people should always be excluded from spaces and services that do not </w:t>
      </w:r>
      <w:r w:rsidRPr="2A443009">
        <w:rPr>
          <w:rFonts w:ascii="Times New Roman" w:hAnsi="Times New Roman" w:cs="Times New Roman"/>
          <w:sz w:val="24"/>
          <w:szCs w:val="24"/>
        </w:rPr>
        <w:lastRenderedPageBreak/>
        <w:t>align with their sex as assigned at birth. This has been further compounded by the Equality and Human Rights Commission issuing and then withdrawing an initial</w:t>
      </w:r>
      <w:r w:rsidR="5F695BA3" w:rsidRPr="2A443009">
        <w:rPr>
          <w:rFonts w:ascii="Times New Roman" w:hAnsi="Times New Roman" w:cs="Times New Roman"/>
          <w:sz w:val="24"/>
          <w:szCs w:val="24"/>
        </w:rPr>
        <w:t xml:space="preserve"> ‘interim update’ </w:t>
      </w:r>
      <w:r w:rsidR="7764C2E6" w:rsidRPr="2A443009">
        <w:rPr>
          <w:rFonts w:ascii="Times New Roman" w:hAnsi="Times New Roman" w:cs="Times New Roman"/>
          <w:sz w:val="24"/>
          <w:szCs w:val="24"/>
        </w:rPr>
        <w:t xml:space="preserve">that </w:t>
      </w:r>
      <w:r w:rsidRPr="2A443009">
        <w:rPr>
          <w:rFonts w:ascii="Times New Roman" w:hAnsi="Times New Roman" w:cs="Times New Roman"/>
          <w:sz w:val="24"/>
          <w:szCs w:val="24"/>
        </w:rPr>
        <w:t xml:space="preserve">made a similar point. </w:t>
      </w:r>
      <w:r w:rsidR="752D5795" w:rsidRPr="2A443009">
        <w:rPr>
          <w:rFonts w:ascii="Times New Roman" w:hAnsi="Times New Roman" w:cs="Times New Roman"/>
          <w:sz w:val="24"/>
          <w:szCs w:val="24"/>
        </w:rPr>
        <w:t xml:space="preserve">The EHRC has now laid formal guidance before the Government for consideration, with </w:t>
      </w:r>
      <w:r w:rsidR="65A3617D" w:rsidRPr="2A443009">
        <w:rPr>
          <w:rFonts w:ascii="Times New Roman" w:hAnsi="Times New Roman" w:cs="Times New Roman"/>
          <w:sz w:val="24"/>
          <w:szCs w:val="24"/>
        </w:rPr>
        <w:t xml:space="preserve">early media reports </w:t>
      </w:r>
      <w:r w:rsidR="752D5795" w:rsidRPr="2A443009">
        <w:rPr>
          <w:rFonts w:ascii="Times New Roman" w:hAnsi="Times New Roman" w:cs="Times New Roman"/>
          <w:sz w:val="24"/>
          <w:szCs w:val="24"/>
        </w:rPr>
        <w:t>suggesting that the EHRC continues to</w:t>
      </w:r>
      <w:r w:rsidR="46E68C9A" w:rsidRPr="2A443009">
        <w:rPr>
          <w:rFonts w:ascii="Times New Roman" w:hAnsi="Times New Roman" w:cs="Times New Roman"/>
          <w:sz w:val="24"/>
          <w:szCs w:val="24"/>
        </w:rPr>
        <w:t xml:space="preserve"> advise </w:t>
      </w:r>
      <w:r w:rsidR="752D5795" w:rsidRPr="2A443009">
        <w:rPr>
          <w:rFonts w:ascii="Times New Roman" w:hAnsi="Times New Roman" w:cs="Times New Roman"/>
          <w:sz w:val="24"/>
          <w:szCs w:val="24"/>
        </w:rPr>
        <w:t>a significant narrow</w:t>
      </w:r>
      <w:r w:rsidR="39EF47BA" w:rsidRPr="2A443009">
        <w:rPr>
          <w:rFonts w:ascii="Times New Roman" w:hAnsi="Times New Roman" w:cs="Times New Roman"/>
          <w:sz w:val="24"/>
          <w:szCs w:val="24"/>
        </w:rPr>
        <w:t>ing o</w:t>
      </w:r>
      <w:r w:rsidR="6BF01B0F" w:rsidRPr="2A443009">
        <w:rPr>
          <w:rFonts w:ascii="Times New Roman" w:hAnsi="Times New Roman" w:cs="Times New Roman"/>
          <w:sz w:val="24"/>
          <w:szCs w:val="24"/>
        </w:rPr>
        <w:t>f</w:t>
      </w:r>
      <w:r w:rsidR="39EF47BA" w:rsidRPr="2A443009">
        <w:rPr>
          <w:rFonts w:ascii="Times New Roman" w:hAnsi="Times New Roman" w:cs="Times New Roman"/>
          <w:sz w:val="24"/>
          <w:szCs w:val="24"/>
        </w:rPr>
        <w:t xml:space="preserve"> the rights of trans people to use single-sex services in accordance with their gender identity. </w:t>
      </w:r>
    </w:p>
    <w:p w14:paraId="0F01FC17" w14:textId="347B6A02" w:rsidR="009C158E" w:rsidRPr="00D35442" w:rsidRDefault="00964CE3" w:rsidP="2A443009">
      <w:pPr>
        <w:spacing w:before="240" w:line="360" w:lineRule="auto"/>
        <w:jc w:val="both"/>
        <w:rPr>
          <w:rFonts w:ascii="Times New Roman" w:hAnsi="Times New Roman" w:cs="Times New Roman"/>
          <w:sz w:val="24"/>
          <w:szCs w:val="24"/>
        </w:rPr>
      </w:pPr>
      <w:r w:rsidRPr="00D35442">
        <w:rPr>
          <w:rFonts w:ascii="Times New Roman" w:hAnsi="Times New Roman" w:cs="Times New Roman"/>
          <w:sz w:val="24"/>
          <w:szCs w:val="24"/>
        </w:rPr>
        <w:t xml:space="preserve">Given both the decision in </w:t>
      </w:r>
      <w:r w:rsidR="00E71E1C" w:rsidRPr="44377D72">
        <w:rPr>
          <w:rFonts w:ascii="Times New Roman" w:hAnsi="Times New Roman" w:cs="Times New Roman"/>
          <w:i/>
          <w:iCs/>
          <w:sz w:val="24"/>
          <w:szCs w:val="24"/>
        </w:rPr>
        <w:t>FWS</w:t>
      </w:r>
      <w:r w:rsidRPr="00D35442">
        <w:rPr>
          <w:rFonts w:ascii="Times New Roman" w:hAnsi="Times New Roman" w:cs="Times New Roman"/>
          <w:sz w:val="24"/>
          <w:szCs w:val="24"/>
        </w:rPr>
        <w:t xml:space="preserve"> and </w:t>
      </w:r>
      <w:r w:rsidR="00E71E1C" w:rsidRPr="00D35442">
        <w:rPr>
          <w:rFonts w:ascii="Times New Roman" w:hAnsi="Times New Roman" w:cs="Times New Roman"/>
          <w:sz w:val="24"/>
          <w:szCs w:val="24"/>
        </w:rPr>
        <w:t xml:space="preserve">its impact in the UK, but also </w:t>
      </w:r>
      <w:r w:rsidRPr="00D35442">
        <w:rPr>
          <w:rFonts w:ascii="Times New Roman" w:hAnsi="Times New Roman" w:cs="Times New Roman"/>
          <w:sz w:val="24"/>
          <w:szCs w:val="24"/>
        </w:rPr>
        <w:t>wider global developments</w:t>
      </w:r>
      <w:r w:rsidR="00CD0B99" w:rsidRPr="00D35442">
        <w:rPr>
          <w:rFonts w:ascii="Times New Roman" w:hAnsi="Times New Roman" w:cs="Times New Roman"/>
          <w:sz w:val="24"/>
          <w:szCs w:val="24"/>
        </w:rPr>
        <w:t xml:space="preserve"> in which anti-gender activism is becoming increasingly prevalent and vocal</w:t>
      </w:r>
      <w:r w:rsidRPr="00D35442">
        <w:rPr>
          <w:rFonts w:ascii="Times New Roman" w:hAnsi="Times New Roman" w:cs="Times New Roman"/>
          <w:sz w:val="24"/>
          <w:szCs w:val="24"/>
        </w:rPr>
        <w:t xml:space="preserve">, it now seems more vital than ever for </w:t>
      </w:r>
      <w:r w:rsidR="00E71E1C" w:rsidRPr="00D35442">
        <w:rPr>
          <w:rFonts w:ascii="Times New Roman" w:hAnsi="Times New Roman" w:cs="Times New Roman"/>
          <w:sz w:val="24"/>
          <w:szCs w:val="24"/>
        </w:rPr>
        <w:t xml:space="preserve">critical </w:t>
      </w:r>
      <w:r w:rsidRPr="00D35442">
        <w:rPr>
          <w:rFonts w:ascii="Times New Roman" w:hAnsi="Times New Roman" w:cs="Times New Roman"/>
          <w:sz w:val="24"/>
          <w:szCs w:val="24"/>
        </w:rPr>
        <w:t xml:space="preserve">feminist academics to renew their attention to </w:t>
      </w:r>
      <w:r w:rsidR="00E71E1C" w:rsidRPr="00D35442">
        <w:rPr>
          <w:rFonts w:ascii="Times New Roman" w:hAnsi="Times New Roman" w:cs="Times New Roman"/>
          <w:sz w:val="24"/>
          <w:szCs w:val="24"/>
        </w:rPr>
        <w:t>this area of law</w:t>
      </w:r>
      <w:r w:rsidRPr="00D35442">
        <w:rPr>
          <w:rFonts w:ascii="Times New Roman" w:hAnsi="Times New Roman" w:cs="Times New Roman"/>
          <w:sz w:val="24"/>
          <w:szCs w:val="24"/>
        </w:rPr>
        <w:t>.</w:t>
      </w:r>
      <w:r w:rsidR="00D35442">
        <w:rPr>
          <w:rFonts w:ascii="Times New Roman" w:hAnsi="Times New Roman" w:cs="Times New Roman"/>
          <w:sz w:val="24"/>
          <w:szCs w:val="24"/>
        </w:rPr>
        <w:t xml:space="preserve"> </w:t>
      </w:r>
      <w:proofErr w:type="gramStart"/>
      <w:r w:rsidR="00D35442">
        <w:rPr>
          <w:rFonts w:ascii="Times New Roman" w:hAnsi="Times New Roman" w:cs="Times New Roman"/>
          <w:sz w:val="24"/>
          <w:szCs w:val="24"/>
        </w:rPr>
        <w:t>The majority of</w:t>
      </w:r>
      <w:proofErr w:type="gramEnd"/>
      <w:r w:rsidR="00D35442">
        <w:rPr>
          <w:rFonts w:ascii="Times New Roman" w:hAnsi="Times New Roman" w:cs="Times New Roman"/>
          <w:sz w:val="24"/>
          <w:szCs w:val="24"/>
        </w:rPr>
        <w:t xml:space="preserve"> the pieces </w:t>
      </w:r>
      <w:r w:rsidR="270E68F1">
        <w:rPr>
          <w:rFonts w:ascii="Times New Roman" w:hAnsi="Times New Roman" w:cs="Times New Roman"/>
          <w:sz w:val="24"/>
          <w:szCs w:val="24"/>
        </w:rPr>
        <w:t>in this Special Section</w:t>
      </w:r>
      <w:r w:rsidR="270E68F1" w:rsidRPr="44377D72">
        <w:rPr>
          <w:rFonts w:ascii="Times New Roman" w:hAnsi="Times New Roman" w:cs="Times New Roman"/>
          <w:sz w:val="24"/>
          <w:szCs w:val="24"/>
        </w:rPr>
        <w:t xml:space="preserve"> </w:t>
      </w:r>
      <w:r w:rsidR="00D35442">
        <w:rPr>
          <w:rFonts w:ascii="Times New Roman" w:hAnsi="Times New Roman" w:cs="Times New Roman"/>
          <w:sz w:val="24"/>
          <w:szCs w:val="24"/>
        </w:rPr>
        <w:t xml:space="preserve">come out of a workshop on the </w:t>
      </w:r>
      <w:r w:rsidR="00D35442" w:rsidRPr="009A02BA">
        <w:rPr>
          <w:rFonts w:ascii="Times New Roman" w:hAnsi="Times New Roman" w:cs="Times New Roman"/>
          <w:i/>
          <w:iCs/>
          <w:sz w:val="24"/>
          <w:szCs w:val="24"/>
        </w:rPr>
        <w:t>FWS</w:t>
      </w:r>
      <w:r w:rsidR="00D35442">
        <w:rPr>
          <w:rFonts w:ascii="Times New Roman" w:hAnsi="Times New Roman" w:cs="Times New Roman"/>
          <w:sz w:val="24"/>
          <w:szCs w:val="24"/>
        </w:rPr>
        <w:t xml:space="preserve"> decision held at the Institute of Advanced Legal Studies in </w:t>
      </w:r>
      <w:r w:rsidR="000F1E9E">
        <w:rPr>
          <w:rFonts w:ascii="Times New Roman" w:hAnsi="Times New Roman" w:cs="Times New Roman"/>
          <w:sz w:val="24"/>
          <w:szCs w:val="24"/>
        </w:rPr>
        <w:t xml:space="preserve">London in </w:t>
      </w:r>
      <w:r w:rsidR="00D35442">
        <w:rPr>
          <w:rFonts w:ascii="Times New Roman" w:hAnsi="Times New Roman" w:cs="Times New Roman"/>
          <w:sz w:val="24"/>
          <w:szCs w:val="24"/>
        </w:rPr>
        <w:t>June 2025.</w:t>
      </w:r>
      <w:r w:rsidRPr="00D35442">
        <w:rPr>
          <w:rFonts w:ascii="Times New Roman" w:hAnsi="Times New Roman" w:cs="Times New Roman"/>
          <w:sz w:val="24"/>
          <w:szCs w:val="24"/>
        </w:rPr>
        <w:t xml:space="preserve"> As </w:t>
      </w:r>
      <w:r w:rsidR="00E71E1C" w:rsidRPr="00D35442">
        <w:rPr>
          <w:rFonts w:ascii="Times New Roman" w:hAnsi="Times New Roman" w:cs="Times New Roman"/>
          <w:sz w:val="24"/>
          <w:szCs w:val="24"/>
        </w:rPr>
        <w:t>academics working in this field</w:t>
      </w:r>
      <w:r w:rsidRPr="00D35442">
        <w:rPr>
          <w:rFonts w:ascii="Times New Roman" w:hAnsi="Times New Roman" w:cs="Times New Roman"/>
          <w:sz w:val="24"/>
          <w:szCs w:val="24"/>
        </w:rPr>
        <w:t xml:space="preserve">, we envisage this </w:t>
      </w:r>
      <w:r w:rsidR="00E71E1C" w:rsidRPr="00D35442">
        <w:rPr>
          <w:rFonts w:ascii="Times New Roman" w:hAnsi="Times New Roman" w:cs="Times New Roman"/>
          <w:sz w:val="24"/>
          <w:szCs w:val="24"/>
        </w:rPr>
        <w:t>Special Section</w:t>
      </w:r>
      <w:r w:rsidRPr="00D35442">
        <w:rPr>
          <w:rFonts w:ascii="Times New Roman" w:hAnsi="Times New Roman" w:cs="Times New Roman"/>
          <w:sz w:val="24"/>
          <w:szCs w:val="24"/>
        </w:rPr>
        <w:t xml:space="preserve"> </w:t>
      </w:r>
      <w:r w:rsidR="009C158E" w:rsidRPr="00D35442">
        <w:rPr>
          <w:rFonts w:ascii="Times New Roman" w:hAnsi="Times New Roman" w:cs="Times New Roman"/>
          <w:sz w:val="24"/>
          <w:szCs w:val="24"/>
        </w:rPr>
        <w:t>as contributing to important discussions</w:t>
      </w:r>
      <w:r w:rsidR="3945EF99" w:rsidRPr="00D35442">
        <w:rPr>
          <w:rFonts w:ascii="Times New Roman" w:hAnsi="Times New Roman" w:cs="Times New Roman"/>
          <w:sz w:val="24"/>
          <w:szCs w:val="24"/>
        </w:rPr>
        <w:t xml:space="preserve"> about the scope and potential effects of the decisions, as well as</w:t>
      </w:r>
      <w:r w:rsidR="009C158E" w:rsidRPr="00D35442">
        <w:rPr>
          <w:rFonts w:ascii="Times New Roman" w:hAnsi="Times New Roman" w:cs="Times New Roman"/>
          <w:sz w:val="24"/>
          <w:szCs w:val="24"/>
        </w:rPr>
        <w:t xml:space="preserve"> </w:t>
      </w:r>
      <w:r w:rsidR="62CC1E3D" w:rsidRPr="00D35442">
        <w:rPr>
          <w:rFonts w:ascii="Times New Roman" w:hAnsi="Times New Roman" w:cs="Times New Roman"/>
          <w:sz w:val="24"/>
          <w:szCs w:val="24"/>
        </w:rPr>
        <w:t>to future legal and policy</w:t>
      </w:r>
      <w:r w:rsidR="00153A15">
        <w:rPr>
          <w:rFonts w:ascii="Times New Roman" w:hAnsi="Times New Roman" w:cs="Times New Roman"/>
          <w:sz w:val="24"/>
          <w:szCs w:val="24"/>
        </w:rPr>
        <w:t xml:space="preserve"> </w:t>
      </w:r>
      <w:r w:rsidR="009C158E" w:rsidRPr="00D35442">
        <w:rPr>
          <w:rFonts w:ascii="Times New Roman" w:hAnsi="Times New Roman" w:cs="Times New Roman"/>
          <w:sz w:val="24"/>
          <w:szCs w:val="24"/>
        </w:rPr>
        <w:t>developments</w:t>
      </w:r>
      <w:r w:rsidRPr="00D35442">
        <w:rPr>
          <w:rFonts w:ascii="Times New Roman" w:hAnsi="Times New Roman" w:cs="Times New Roman"/>
          <w:sz w:val="24"/>
          <w:szCs w:val="24"/>
        </w:rPr>
        <w:t xml:space="preserve">. </w:t>
      </w:r>
      <w:r w:rsidR="00E71E1C" w:rsidRPr="00D35442">
        <w:rPr>
          <w:rFonts w:ascii="Times New Roman" w:hAnsi="Times New Roman" w:cs="Times New Roman"/>
          <w:sz w:val="24"/>
          <w:szCs w:val="24"/>
        </w:rPr>
        <w:t>Given the wide</w:t>
      </w:r>
      <w:r w:rsidR="05593F00" w:rsidRPr="44377D72">
        <w:rPr>
          <w:rFonts w:ascii="Times New Roman" w:hAnsi="Times New Roman" w:cs="Times New Roman"/>
          <w:sz w:val="24"/>
          <w:szCs w:val="24"/>
        </w:rPr>
        <w:t>-</w:t>
      </w:r>
      <w:r w:rsidR="00E71E1C" w:rsidRPr="00D35442">
        <w:rPr>
          <w:rFonts w:ascii="Times New Roman" w:hAnsi="Times New Roman" w:cs="Times New Roman"/>
          <w:sz w:val="24"/>
          <w:szCs w:val="24"/>
        </w:rPr>
        <w:t xml:space="preserve">ranging impact of the FWS decision and the media attention it has received, </w:t>
      </w:r>
      <w:r w:rsidR="009C158E" w:rsidRPr="00D35442">
        <w:rPr>
          <w:rFonts w:ascii="Times New Roman" w:hAnsi="Times New Roman" w:cs="Times New Roman"/>
          <w:sz w:val="24"/>
          <w:szCs w:val="24"/>
        </w:rPr>
        <w:t xml:space="preserve">we believe </w:t>
      </w:r>
      <w:r w:rsidR="00E71E1C" w:rsidRPr="00D35442">
        <w:rPr>
          <w:rFonts w:ascii="Times New Roman" w:hAnsi="Times New Roman" w:cs="Times New Roman"/>
          <w:sz w:val="24"/>
          <w:szCs w:val="24"/>
        </w:rPr>
        <w:t xml:space="preserve">that producing academic responses in a more widely accessible format is </w:t>
      </w:r>
      <w:r w:rsidR="40FB1918" w:rsidRPr="44377D72">
        <w:rPr>
          <w:rFonts w:ascii="Times New Roman" w:hAnsi="Times New Roman" w:cs="Times New Roman"/>
          <w:sz w:val="24"/>
          <w:szCs w:val="24"/>
        </w:rPr>
        <w:t xml:space="preserve">particularly important. </w:t>
      </w:r>
      <w:r w:rsidRPr="00D35442">
        <w:rPr>
          <w:rFonts w:ascii="Times New Roman" w:hAnsi="Times New Roman" w:cs="Times New Roman"/>
          <w:sz w:val="24"/>
          <w:szCs w:val="24"/>
        </w:rPr>
        <w:t xml:space="preserve">Traditionally, academic publishing has struggled </w:t>
      </w:r>
      <w:r w:rsidR="009C158E" w:rsidRPr="00D35442">
        <w:rPr>
          <w:rFonts w:ascii="Times New Roman" w:hAnsi="Times New Roman" w:cs="Times New Roman"/>
          <w:sz w:val="24"/>
          <w:szCs w:val="24"/>
        </w:rPr>
        <w:t xml:space="preserve">to offer </w:t>
      </w:r>
      <w:r w:rsidRPr="00D35442">
        <w:rPr>
          <w:rFonts w:ascii="Times New Roman" w:hAnsi="Times New Roman" w:cs="Times New Roman"/>
          <w:sz w:val="24"/>
          <w:szCs w:val="24"/>
        </w:rPr>
        <w:t xml:space="preserve">accessibility </w:t>
      </w:r>
      <w:r w:rsidR="4F7CA783" w:rsidRPr="00D35442">
        <w:rPr>
          <w:rFonts w:ascii="Times New Roman" w:hAnsi="Times New Roman" w:cs="Times New Roman"/>
          <w:sz w:val="24"/>
          <w:szCs w:val="24"/>
        </w:rPr>
        <w:t xml:space="preserve">because </w:t>
      </w:r>
      <w:r w:rsidRPr="00D35442">
        <w:rPr>
          <w:rFonts w:ascii="Times New Roman" w:hAnsi="Times New Roman" w:cs="Times New Roman"/>
          <w:sz w:val="24"/>
          <w:szCs w:val="24"/>
        </w:rPr>
        <w:t>access to published works</w:t>
      </w:r>
      <w:r w:rsidR="4DF353B7" w:rsidRPr="00D35442">
        <w:rPr>
          <w:rFonts w:ascii="Times New Roman" w:hAnsi="Times New Roman" w:cs="Times New Roman"/>
          <w:sz w:val="24"/>
          <w:szCs w:val="24"/>
        </w:rPr>
        <w:t xml:space="preserve"> in academic journals</w:t>
      </w:r>
      <w:r w:rsidRPr="00D35442">
        <w:rPr>
          <w:rFonts w:ascii="Times New Roman" w:hAnsi="Times New Roman" w:cs="Times New Roman"/>
          <w:sz w:val="24"/>
          <w:szCs w:val="24"/>
        </w:rPr>
        <w:t xml:space="preserve"> often requires institutional </w:t>
      </w:r>
      <w:r w:rsidR="612CD5BE" w:rsidRPr="00D35442">
        <w:rPr>
          <w:rFonts w:ascii="Times New Roman" w:hAnsi="Times New Roman" w:cs="Times New Roman"/>
          <w:sz w:val="24"/>
          <w:szCs w:val="24"/>
        </w:rPr>
        <w:t xml:space="preserve">connection to a university that can afford to pay journal </w:t>
      </w:r>
      <w:r w:rsidR="00770984">
        <w:rPr>
          <w:rFonts w:ascii="Times New Roman" w:hAnsi="Times New Roman" w:cs="Times New Roman"/>
          <w:sz w:val="24"/>
          <w:szCs w:val="24"/>
        </w:rPr>
        <w:t xml:space="preserve">subscription </w:t>
      </w:r>
      <w:r w:rsidR="612CD5BE" w:rsidRPr="00D35442">
        <w:rPr>
          <w:rFonts w:ascii="Times New Roman" w:hAnsi="Times New Roman" w:cs="Times New Roman"/>
          <w:sz w:val="24"/>
          <w:szCs w:val="24"/>
        </w:rPr>
        <w:t>fees.</w:t>
      </w:r>
      <w:r w:rsidR="29C7ABB8" w:rsidRPr="00D35442">
        <w:rPr>
          <w:rFonts w:ascii="Times New Roman" w:hAnsi="Times New Roman" w:cs="Times New Roman"/>
          <w:sz w:val="24"/>
          <w:szCs w:val="24"/>
        </w:rPr>
        <w:t xml:space="preserve"> </w:t>
      </w:r>
      <w:r w:rsidR="050C50A4" w:rsidRPr="00D35442">
        <w:rPr>
          <w:rFonts w:ascii="Times New Roman" w:hAnsi="Times New Roman" w:cs="Times New Roman"/>
          <w:sz w:val="24"/>
          <w:szCs w:val="24"/>
        </w:rPr>
        <w:t>Access</w:t>
      </w:r>
      <w:r w:rsidR="009C158E" w:rsidRPr="00D35442">
        <w:rPr>
          <w:rFonts w:ascii="Times New Roman" w:hAnsi="Times New Roman" w:cs="Times New Roman"/>
          <w:sz w:val="24"/>
          <w:szCs w:val="24"/>
        </w:rPr>
        <w:t xml:space="preserve"> has also been marred by </w:t>
      </w:r>
      <w:r w:rsidRPr="00D35442">
        <w:rPr>
          <w:rFonts w:ascii="Times New Roman" w:hAnsi="Times New Roman" w:cs="Times New Roman"/>
          <w:sz w:val="24"/>
          <w:szCs w:val="24"/>
        </w:rPr>
        <w:t xml:space="preserve">temporality, in the sense that the nature of publishing frequently creates long delays between crucial events and the </w:t>
      </w:r>
      <w:r w:rsidR="009C158E" w:rsidRPr="00D35442">
        <w:rPr>
          <w:rFonts w:ascii="Times New Roman" w:hAnsi="Times New Roman" w:cs="Times New Roman"/>
          <w:sz w:val="24"/>
          <w:szCs w:val="24"/>
        </w:rPr>
        <w:t xml:space="preserve">availability </w:t>
      </w:r>
      <w:r w:rsidRPr="00D35442">
        <w:rPr>
          <w:rFonts w:ascii="Times New Roman" w:hAnsi="Times New Roman" w:cs="Times New Roman"/>
          <w:sz w:val="24"/>
          <w:szCs w:val="24"/>
        </w:rPr>
        <w:t>of relevant materials</w:t>
      </w:r>
      <w:r w:rsidR="0159D1AF" w:rsidRPr="00D35442">
        <w:rPr>
          <w:rFonts w:ascii="Times New Roman" w:hAnsi="Times New Roman" w:cs="Times New Roman"/>
          <w:sz w:val="24"/>
          <w:szCs w:val="24"/>
        </w:rPr>
        <w:t xml:space="preserve">, meaning that early responses to judgments and legal developments, </w:t>
      </w:r>
      <w:r w:rsidR="4DC547AD" w:rsidRPr="00D35442">
        <w:rPr>
          <w:rFonts w:ascii="Times New Roman" w:hAnsi="Times New Roman" w:cs="Times New Roman"/>
          <w:sz w:val="24"/>
          <w:szCs w:val="24"/>
        </w:rPr>
        <w:t xml:space="preserve">responses </w:t>
      </w:r>
      <w:r w:rsidR="0159D1AF" w:rsidRPr="00D35442">
        <w:rPr>
          <w:rFonts w:ascii="Times New Roman" w:hAnsi="Times New Roman" w:cs="Times New Roman"/>
          <w:sz w:val="24"/>
          <w:szCs w:val="24"/>
        </w:rPr>
        <w:t>which could in themselves help shape future directions, only appear long after issues have</w:t>
      </w:r>
      <w:r w:rsidR="7CBF6391" w:rsidRPr="00D35442">
        <w:rPr>
          <w:rFonts w:ascii="Times New Roman" w:hAnsi="Times New Roman" w:cs="Times New Roman"/>
          <w:sz w:val="24"/>
          <w:szCs w:val="24"/>
        </w:rPr>
        <w:t xml:space="preserve"> arisen and been settled through other means</w:t>
      </w:r>
      <w:r w:rsidRPr="00D35442">
        <w:rPr>
          <w:rFonts w:ascii="Times New Roman" w:hAnsi="Times New Roman" w:cs="Times New Roman"/>
          <w:sz w:val="24"/>
          <w:szCs w:val="24"/>
        </w:rPr>
        <w:t xml:space="preserve">. </w:t>
      </w:r>
      <w:r w:rsidR="009C158E" w:rsidRPr="00D35442">
        <w:rPr>
          <w:rFonts w:ascii="Times New Roman" w:hAnsi="Times New Roman" w:cs="Times New Roman"/>
          <w:sz w:val="24"/>
          <w:szCs w:val="24"/>
        </w:rPr>
        <w:t>T</w:t>
      </w:r>
      <w:r w:rsidRPr="00D35442">
        <w:rPr>
          <w:rFonts w:ascii="Times New Roman" w:hAnsi="Times New Roman" w:cs="Times New Roman"/>
          <w:sz w:val="24"/>
          <w:szCs w:val="24"/>
        </w:rPr>
        <w:t xml:space="preserve">his </w:t>
      </w:r>
      <w:r w:rsidR="00E71E1C" w:rsidRPr="00D35442">
        <w:rPr>
          <w:rFonts w:ascii="Times New Roman" w:hAnsi="Times New Roman" w:cs="Times New Roman"/>
          <w:sz w:val="24"/>
          <w:szCs w:val="24"/>
        </w:rPr>
        <w:t>Special Section</w:t>
      </w:r>
      <w:r w:rsidR="009C158E" w:rsidRPr="00D35442">
        <w:rPr>
          <w:rFonts w:ascii="Times New Roman" w:hAnsi="Times New Roman" w:cs="Times New Roman"/>
          <w:sz w:val="24"/>
          <w:szCs w:val="24"/>
        </w:rPr>
        <w:t xml:space="preserve"> </w:t>
      </w:r>
      <w:r w:rsidR="451B8C22" w:rsidRPr="00D35442">
        <w:rPr>
          <w:rFonts w:ascii="Times New Roman" w:hAnsi="Times New Roman" w:cs="Times New Roman"/>
          <w:sz w:val="24"/>
          <w:szCs w:val="24"/>
        </w:rPr>
        <w:t xml:space="preserve">aims to offer timely </w:t>
      </w:r>
      <w:r w:rsidR="009C158E" w:rsidRPr="00D35442">
        <w:rPr>
          <w:rFonts w:ascii="Times New Roman" w:hAnsi="Times New Roman" w:cs="Times New Roman"/>
          <w:sz w:val="24"/>
          <w:szCs w:val="24"/>
        </w:rPr>
        <w:t>engage</w:t>
      </w:r>
      <w:r w:rsidR="4ADE4EE5" w:rsidRPr="00D35442">
        <w:rPr>
          <w:rFonts w:ascii="Times New Roman" w:hAnsi="Times New Roman" w:cs="Times New Roman"/>
          <w:sz w:val="24"/>
          <w:szCs w:val="24"/>
        </w:rPr>
        <w:t>ment</w:t>
      </w:r>
      <w:r w:rsidR="00DC4A1E">
        <w:rPr>
          <w:rFonts w:ascii="Times New Roman" w:hAnsi="Times New Roman" w:cs="Times New Roman"/>
          <w:sz w:val="24"/>
          <w:szCs w:val="24"/>
        </w:rPr>
        <w:t xml:space="preserve"> </w:t>
      </w:r>
      <w:r w:rsidR="009C158E" w:rsidRPr="00D35442">
        <w:rPr>
          <w:rFonts w:ascii="Times New Roman" w:hAnsi="Times New Roman" w:cs="Times New Roman"/>
          <w:sz w:val="24"/>
          <w:szCs w:val="24"/>
        </w:rPr>
        <w:t xml:space="preserve">with </w:t>
      </w:r>
      <w:r w:rsidR="00E71E1C" w:rsidRPr="00D35442">
        <w:rPr>
          <w:rFonts w:ascii="Times New Roman" w:hAnsi="Times New Roman" w:cs="Times New Roman"/>
          <w:sz w:val="24"/>
          <w:szCs w:val="24"/>
        </w:rPr>
        <w:t>the regulation of sex and gender</w:t>
      </w:r>
      <w:r w:rsidR="009C158E" w:rsidRPr="00D35442">
        <w:rPr>
          <w:rFonts w:ascii="Times New Roman" w:hAnsi="Times New Roman" w:cs="Times New Roman"/>
          <w:sz w:val="24"/>
          <w:szCs w:val="24"/>
        </w:rPr>
        <w:t xml:space="preserve"> and the decision of </w:t>
      </w:r>
      <w:r w:rsidR="00E71E1C" w:rsidRPr="44377D72">
        <w:rPr>
          <w:rFonts w:ascii="Times New Roman" w:hAnsi="Times New Roman" w:cs="Times New Roman"/>
          <w:i/>
          <w:iCs/>
          <w:sz w:val="24"/>
          <w:szCs w:val="24"/>
        </w:rPr>
        <w:t>FWS</w:t>
      </w:r>
      <w:r w:rsidR="009C158E" w:rsidRPr="00D35442">
        <w:rPr>
          <w:rFonts w:ascii="Times New Roman" w:hAnsi="Times New Roman" w:cs="Times New Roman"/>
          <w:sz w:val="24"/>
          <w:szCs w:val="24"/>
        </w:rPr>
        <w:t xml:space="preserve"> from a range of different perspectives</w:t>
      </w:r>
      <w:r w:rsidR="00DC4A1E">
        <w:rPr>
          <w:rFonts w:ascii="Times New Roman" w:hAnsi="Times New Roman" w:cs="Times New Roman"/>
          <w:sz w:val="24"/>
          <w:szCs w:val="24"/>
        </w:rPr>
        <w:t>,</w:t>
      </w:r>
      <w:r w:rsidR="04D14790" w:rsidRPr="00D35442">
        <w:rPr>
          <w:rFonts w:ascii="Times New Roman" w:hAnsi="Times New Roman" w:cs="Times New Roman"/>
          <w:sz w:val="24"/>
          <w:szCs w:val="24"/>
        </w:rPr>
        <w:t xml:space="preserve"> </w:t>
      </w:r>
      <w:proofErr w:type="gramStart"/>
      <w:r w:rsidR="04D14790" w:rsidRPr="00D35442">
        <w:rPr>
          <w:rFonts w:ascii="Times New Roman" w:hAnsi="Times New Roman" w:cs="Times New Roman"/>
          <w:sz w:val="24"/>
          <w:szCs w:val="24"/>
        </w:rPr>
        <w:t>in order to</w:t>
      </w:r>
      <w:proofErr w:type="gramEnd"/>
      <w:r w:rsidR="04D14790" w:rsidRPr="00D35442">
        <w:rPr>
          <w:rFonts w:ascii="Times New Roman" w:hAnsi="Times New Roman" w:cs="Times New Roman"/>
          <w:sz w:val="24"/>
          <w:szCs w:val="24"/>
        </w:rPr>
        <w:t xml:space="preserve"> air and communicate expert insights from a range of legal perspectives</w:t>
      </w:r>
      <w:r w:rsidR="009C158E" w:rsidRPr="00D35442">
        <w:rPr>
          <w:rFonts w:ascii="Times New Roman" w:hAnsi="Times New Roman" w:cs="Times New Roman"/>
          <w:sz w:val="24"/>
          <w:szCs w:val="24"/>
        </w:rPr>
        <w:t xml:space="preserve">, and </w:t>
      </w:r>
      <w:r w:rsidR="49941369" w:rsidRPr="44377D72">
        <w:rPr>
          <w:rFonts w:ascii="Times New Roman" w:hAnsi="Times New Roman" w:cs="Times New Roman"/>
          <w:sz w:val="24"/>
          <w:szCs w:val="24"/>
        </w:rPr>
        <w:t xml:space="preserve">it </w:t>
      </w:r>
      <w:r w:rsidR="009C158E" w:rsidRPr="00D35442">
        <w:rPr>
          <w:rFonts w:ascii="Times New Roman" w:hAnsi="Times New Roman" w:cs="Times New Roman"/>
          <w:sz w:val="24"/>
          <w:szCs w:val="24"/>
        </w:rPr>
        <w:t xml:space="preserve">will be supplemented with expert feminist insights </w:t>
      </w:r>
      <w:r w:rsidRPr="00D35442">
        <w:rPr>
          <w:rFonts w:ascii="Times New Roman" w:hAnsi="Times New Roman" w:cs="Times New Roman"/>
          <w:sz w:val="24"/>
          <w:szCs w:val="24"/>
        </w:rPr>
        <w:t>on an ongoing basis</w:t>
      </w:r>
      <w:r w:rsidR="009C158E" w:rsidRPr="00D35442">
        <w:rPr>
          <w:rFonts w:ascii="Times New Roman" w:hAnsi="Times New Roman" w:cs="Times New Roman"/>
          <w:sz w:val="24"/>
          <w:szCs w:val="24"/>
        </w:rPr>
        <w:t xml:space="preserve"> for as long as necessary.</w:t>
      </w:r>
      <w:r w:rsidRPr="00D35442">
        <w:rPr>
          <w:rFonts w:ascii="Times New Roman" w:hAnsi="Times New Roman" w:cs="Times New Roman"/>
          <w:sz w:val="24"/>
          <w:szCs w:val="24"/>
        </w:rPr>
        <w:t xml:space="preserve"> </w:t>
      </w:r>
      <w:r w:rsidR="410955C6" w:rsidRPr="00D35442">
        <w:rPr>
          <w:rFonts w:ascii="Times New Roman" w:hAnsi="Times New Roman" w:cs="Times New Roman"/>
          <w:sz w:val="24"/>
          <w:szCs w:val="24"/>
        </w:rPr>
        <w:t>We are grateful to all the contributors for their insights and for their cheerful and thoughtful responses to our editorial feedback.</w:t>
      </w:r>
    </w:p>
    <w:p w14:paraId="6AE9AD04" w14:textId="4406C4F2" w:rsidR="00964CE3" w:rsidRPr="00D35442" w:rsidRDefault="00964CE3" w:rsidP="2A443009">
      <w:pPr>
        <w:spacing w:before="240" w:line="360" w:lineRule="auto"/>
        <w:jc w:val="both"/>
        <w:rPr>
          <w:rFonts w:ascii="Times New Roman" w:hAnsi="Times New Roman" w:cs="Times New Roman"/>
          <w:sz w:val="24"/>
          <w:szCs w:val="24"/>
        </w:rPr>
      </w:pPr>
      <w:r w:rsidRPr="44377D72">
        <w:rPr>
          <w:rFonts w:ascii="Times New Roman" w:hAnsi="Times New Roman" w:cs="Times New Roman"/>
          <w:sz w:val="24"/>
          <w:szCs w:val="24"/>
        </w:rPr>
        <w:t xml:space="preserve">This </w:t>
      </w:r>
      <w:r w:rsidR="009C158E" w:rsidRPr="44377D72">
        <w:rPr>
          <w:rFonts w:ascii="Times New Roman" w:hAnsi="Times New Roman" w:cs="Times New Roman"/>
          <w:sz w:val="24"/>
          <w:szCs w:val="24"/>
        </w:rPr>
        <w:t xml:space="preserve">launch edition comprises the </w:t>
      </w:r>
      <w:r w:rsidRPr="44377D72">
        <w:rPr>
          <w:rFonts w:ascii="Times New Roman" w:hAnsi="Times New Roman" w:cs="Times New Roman"/>
          <w:sz w:val="24"/>
          <w:szCs w:val="24"/>
        </w:rPr>
        <w:t xml:space="preserve">first set of responses </w:t>
      </w:r>
      <w:r w:rsidR="009C158E" w:rsidRPr="44377D72">
        <w:rPr>
          <w:rFonts w:ascii="Times New Roman" w:hAnsi="Times New Roman" w:cs="Times New Roman"/>
          <w:sz w:val="24"/>
          <w:szCs w:val="24"/>
        </w:rPr>
        <w:t xml:space="preserve">we have received. It </w:t>
      </w:r>
      <w:r w:rsidRPr="44377D72">
        <w:rPr>
          <w:rFonts w:ascii="Times New Roman" w:hAnsi="Times New Roman" w:cs="Times New Roman"/>
          <w:sz w:val="24"/>
          <w:szCs w:val="24"/>
        </w:rPr>
        <w:t xml:space="preserve">includes a reflection on </w:t>
      </w:r>
      <w:r w:rsidR="00D35442" w:rsidRPr="44377D72">
        <w:rPr>
          <w:rFonts w:ascii="Times New Roman" w:hAnsi="Times New Roman" w:cs="Times New Roman"/>
          <w:sz w:val="24"/>
          <w:szCs w:val="24"/>
        </w:rPr>
        <w:t>legal status more broadly</w:t>
      </w:r>
      <w:r w:rsidRPr="44377D72">
        <w:rPr>
          <w:rFonts w:ascii="Times New Roman" w:hAnsi="Times New Roman" w:cs="Times New Roman"/>
          <w:sz w:val="24"/>
          <w:szCs w:val="24"/>
        </w:rPr>
        <w:t xml:space="preserve"> by </w:t>
      </w:r>
      <w:r w:rsidR="00D35442" w:rsidRPr="44377D72">
        <w:rPr>
          <w:rFonts w:ascii="Times New Roman" w:hAnsi="Times New Roman" w:cs="Times New Roman"/>
          <w:sz w:val="24"/>
          <w:szCs w:val="24"/>
        </w:rPr>
        <w:t>Alan Brown</w:t>
      </w:r>
      <w:r w:rsidRPr="44377D72">
        <w:rPr>
          <w:rFonts w:ascii="Times New Roman" w:hAnsi="Times New Roman" w:cs="Times New Roman"/>
          <w:sz w:val="24"/>
          <w:szCs w:val="24"/>
        </w:rPr>
        <w:t xml:space="preserve">, </w:t>
      </w:r>
      <w:r w:rsidR="00D35442" w:rsidRPr="44377D72">
        <w:rPr>
          <w:rFonts w:ascii="Times New Roman" w:hAnsi="Times New Roman" w:cs="Times New Roman"/>
          <w:sz w:val="24"/>
          <w:szCs w:val="24"/>
        </w:rPr>
        <w:t xml:space="preserve">a discussion of the concept of ‘sex’ in the jurisprudence of England and Wales by Joanne Conaghan and Katie Cruz, </w:t>
      </w:r>
      <w:r w:rsidRPr="44377D72">
        <w:rPr>
          <w:rFonts w:ascii="Times New Roman" w:hAnsi="Times New Roman" w:cs="Times New Roman"/>
          <w:sz w:val="24"/>
          <w:szCs w:val="24"/>
        </w:rPr>
        <w:t xml:space="preserve">an analysis of </w:t>
      </w:r>
      <w:r w:rsidR="16583FAE" w:rsidRPr="44377D72">
        <w:rPr>
          <w:rFonts w:ascii="Times New Roman" w:hAnsi="Times New Roman" w:cs="Times New Roman"/>
          <w:sz w:val="24"/>
          <w:szCs w:val="24"/>
        </w:rPr>
        <w:t xml:space="preserve">the </w:t>
      </w:r>
      <w:r w:rsidR="00D35442" w:rsidRPr="44377D72">
        <w:rPr>
          <w:rFonts w:ascii="Times New Roman" w:hAnsi="Times New Roman" w:cs="Times New Roman"/>
          <w:sz w:val="24"/>
          <w:szCs w:val="24"/>
        </w:rPr>
        <w:t xml:space="preserve">role </w:t>
      </w:r>
      <w:r w:rsidR="00D35442" w:rsidRPr="44377D72">
        <w:rPr>
          <w:rFonts w:ascii="Times New Roman" w:hAnsi="Times New Roman" w:cs="Times New Roman"/>
          <w:sz w:val="24"/>
          <w:szCs w:val="24"/>
        </w:rPr>
        <w:lastRenderedPageBreak/>
        <w:t>and significance of history</w:t>
      </w:r>
      <w:r w:rsidRPr="44377D72">
        <w:rPr>
          <w:rFonts w:ascii="Times New Roman" w:hAnsi="Times New Roman" w:cs="Times New Roman"/>
          <w:sz w:val="24"/>
          <w:szCs w:val="24"/>
        </w:rPr>
        <w:t xml:space="preserve"> by </w:t>
      </w:r>
      <w:r w:rsidR="00D35442" w:rsidRPr="44377D72">
        <w:rPr>
          <w:rFonts w:ascii="Times New Roman" w:hAnsi="Times New Roman" w:cs="Times New Roman"/>
          <w:sz w:val="24"/>
          <w:szCs w:val="24"/>
        </w:rPr>
        <w:t>Caroline Derry</w:t>
      </w:r>
      <w:r w:rsidRPr="44377D72">
        <w:rPr>
          <w:rFonts w:ascii="Times New Roman" w:hAnsi="Times New Roman" w:cs="Times New Roman"/>
          <w:sz w:val="24"/>
          <w:szCs w:val="24"/>
        </w:rPr>
        <w:t xml:space="preserve">, a focus on </w:t>
      </w:r>
      <w:r w:rsidR="00D35442" w:rsidRPr="44377D72">
        <w:rPr>
          <w:rFonts w:ascii="Times New Roman" w:hAnsi="Times New Roman" w:cs="Times New Roman"/>
          <w:sz w:val="24"/>
          <w:szCs w:val="24"/>
        </w:rPr>
        <w:t xml:space="preserve">the feminist legal history in which </w:t>
      </w:r>
      <w:r w:rsidR="00D35442" w:rsidRPr="009A02BA">
        <w:rPr>
          <w:rFonts w:ascii="Times New Roman" w:hAnsi="Times New Roman" w:cs="Times New Roman"/>
          <w:i/>
          <w:iCs/>
          <w:sz w:val="24"/>
          <w:szCs w:val="24"/>
        </w:rPr>
        <w:t>FWS</w:t>
      </w:r>
      <w:r w:rsidR="00D35442" w:rsidRPr="44377D72">
        <w:rPr>
          <w:rFonts w:ascii="Times New Roman" w:hAnsi="Times New Roman" w:cs="Times New Roman"/>
          <w:sz w:val="24"/>
          <w:szCs w:val="24"/>
        </w:rPr>
        <w:t xml:space="preserve"> sits by Rosemary Hunter</w:t>
      </w:r>
      <w:r w:rsidRPr="44377D72">
        <w:rPr>
          <w:rFonts w:ascii="Times New Roman" w:hAnsi="Times New Roman" w:cs="Times New Roman"/>
          <w:sz w:val="24"/>
          <w:szCs w:val="24"/>
        </w:rPr>
        <w:t xml:space="preserve">, </w:t>
      </w:r>
      <w:r w:rsidR="00943073" w:rsidRPr="44377D72">
        <w:rPr>
          <w:rFonts w:ascii="Times New Roman" w:hAnsi="Times New Roman" w:cs="Times New Roman"/>
          <w:sz w:val="24"/>
          <w:szCs w:val="24"/>
        </w:rPr>
        <w:t xml:space="preserve">a spotlight on the role of </w:t>
      </w:r>
      <w:r w:rsidR="00D35442" w:rsidRPr="44377D72">
        <w:rPr>
          <w:rFonts w:ascii="Times New Roman" w:hAnsi="Times New Roman" w:cs="Times New Roman"/>
          <w:sz w:val="24"/>
          <w:szCs w:val="24"/>
        </w:rPr>
        <w:t>EU law</w:t>
      </w:r>
      <w:r w:rsidR="00943073" w:rsidRPr="44377D72">
        <w:rPr>
          <w:rFonts w:ascii="Times New Roman" w:hAnsi="Times New Roman" w:cs="Times New Roman"/>
          <w:sz w:val="24"/>
          <w:szCs w:val="24"/>
        </w:rPr>
        <w:t xml:space="preserve"> by </w:t>
      </w:r>
      <w:r w:rsidR="00D35442" w:rsidRPr="44377D72">
        <w:rPr>
          <w:rFonts w:ascii="Times New Roman" w:hAnsi="Times New Roman" w:cs="Times New Roman"/>
          <w:sz w:val="24"/>
          <w:szCs w:val="24"/>
        </w:rPr>
        <w:t>Jule Mulder</w:t>
      </w:r>
      <w:r w:rsidR="00943073" w:rsidRPr="44377D72">
        <w:rPr>
          <w:rFonts w:ascii="Times New Roman" w:hAnsi="Times New Roman" w:cs="Times New Roman"/>
          <w:sz w:val="24"/>
          <w:szCs w:val="24"/>
        </w:rPr>
        <w:t xml:space="preserve">, </w:t>
      </w:r>
      <w:r w:rsidR="00D35442" w:rsidRPr="44377D72">
        <w:rPr>
          <w:rFonts w:ascii="Times New Roman" w:hAnsi="Times New Roman" w:cs="Times New Roman"/>
          <w:sz w:val="24"/>
          <w:szCs w:val="24"/>
        </w:rPr>
        <w:t>an engagement with the possible ramifications for sports law by Seema Patel,</w:t>
      </w:r>
      <w:r w:rsidR="00943073" w:rsidRPr="44377D72">
        <w:rPr>
          <w:rFonts w:ascii="Times New Roman" w:hAnsi="Times New Roman" w:cs="Times New Roman"/>
          <w:sz w:val="24"/>
          <w:szCs w:val="24"/>
        </w:rPr>
        <w:t xml:space="preserve"> a call for </w:t>
      </w:r>
      <w:r w:rsidR="00D35442" w:rsidRPr="44377D72">
        <w:rPr>
          <w:rFonts w:ascii="Times New Roman" w:hAnsi="Times New Roman" w:cs="Times New Roman"/>
          <w:sz w:val="24"/>
          <w:szCs w:val="24"/>
        </w:rPr>
        <w:t xml:space="preserve">better understanding of the biological complexity of sex by Mitch Travis and Fae Garland, </w:t>
      </w:r>
      <w:r w:rsidR="52A38199" w:rsidRPr="44377D72">
        <w:rPr>
          <w:rFonts w:ascii="Times New Roman" w:hAnsi="Times New Roman" w:cs="Times New Roman"/>
          <w:sz w:val="24"/>
          <w:szCs w:val="24"/>
        </w:rPr>
        <w:t xml:space="preserve">looking for hope in para 267 of the </w:t>
      </w:r>
      <w:r w:rsidR="52A38199" w:rsidRPr="44377D72">
        <w:rPr>
          <w:rFonts w:ascii="Times New Roman" w:hAnsi="Times New Roman" w:cs="Times New Roman"/>
          <w:i/>
          <w:iCs/>
          <w:sz w:val="24"/>
          <w:szCs w:val="24"/>
        </w:rPr>
        <w:t xml:space="preserve">FWS </w:t>
      </w:r>
      <w:r w:rsidR="52A38199" w:rsidRPr="44377D72">
        <w:rPr>
          <w:rFonts w:ascii="Times New Roman" w:hAnsi="Times New Roman" w:cs="Times New Roman"/>
          <w:sz w:val="24"/>
          <w:szCs w:val="24"/>
        </w:rPr>
        <w:t xml:space="preserve">judgment by Mihika Poddar, </w:t>
      </w:r>
      <w:r w:rsidR="00D35442" w:rsidRPr="44377D72">
        <w:rPr>
          <w:rFonts w:ascii="Times New Roman" w:hAnsi="Times New Roman" w:cs="Times New Roman"/>
          <w:sz w:val="24"/>
          <w:szCs w:val="24"/>
        </w:rPr>
        <w:t>and finally a challenge to the overreliance on ‘predictability’ as a positive legal value by Aleardo Zanghellini</w:t>
      </w:r>
      <w:r w:rsidR="00943073" w:rsidRPr="44377D72">
        <w:rPr>
          <w:rFonts w:ascii="Times New Roman" w:hAnsi="Times New Roman" w:cs="Times New Roman"/>
          <w:sz w:val="24"/>
          <w:szCs w:val="24"/>
        </w:rPr>
        <w:t>.</w:t>
      </w:r>
      <w:r w:rsidR="009C158E" w:rsidRPr="44377D72">
        <w:rPr>
          <w:rFonts w:ascii="Times New Roman" w:hAnsi="Times New Roman" w:cs="Times New Roman"/>
          <w:sz w:val="24"/>
          <w:szCs w:val="24"/>
        </w:rPr>
        <w:t xml:space="preserve"> We will update th</w:t>
      </w:r>
      <w:r w:rsidR="5BA1BA28" w:rsidRPr="44377D72">
        <w:rPr>
          <w:rFonts w:ascii="Times New Roman" w:hAnsi="Times New Roman" w:cs="Times New Roman"/>
          <w:sz w:val="24"/>
          <w:szCs w:val="24"/>
        </w:rPr>
        <w:t>e</w:t>
      </w:r>
      <w:r w:rsidR="009C158E" w:rsidRPr="44377D72">
        <w:rPr>
          <w:rFonts w:ascii="Times New Roman" w:hAnsi="Times New Roman" w:cs="Times New Roman"/>
          <w:sz w:val="24"/>
          <w:szCs w:val="24"/>
        </w:rPr>
        <w:t xml:space="preserve"> information</w:t>
      </w:r>
      <w:r w:rsidR="4D1EF3C1" w:rsidRPr="44377D72">
        <w:rPr>
          <w:rFonts w:ascii="Times New Roman" w:hAnsi="Times New Roman" w:cs="Times New Roman"/>
          <w:sz w:val="24"/>
          <w:szCs w:val="24"/>
        </w:rPr>
        <w:t xml:space="preserve"> in this editorial</w:t>
      </w:r>
      <w:r w:rsidR="009C158E" w:rsidRPr="44377D72">
        <w:rPr>
          <w:rFonts w:ascii="Times New Roman" w:hAnsi="Times New Roman" w:cs="Times New Roman"/>
          <w:sz w:val="24"/>
          <w:szCs w:val="24"/>
        </w:rPr>
        <w:t xml:space="preserve"> as further contributions are </w:t>
      </w:r>
      <w:r w:rsidR="00E71E1C" w:rsidRPr="44377D72">
        <w:rPr>
          <w:rFonts w:ascii="Times New Roman" w:hAnsi="Times New Roman" w:cs="Times New Roman"/>
          <w:sz w:val="24"/>
          <w:szCs w:val="24"/>
        </w:rPr>
        <w:t>submitted</w:t>
      </w:r>
      <w:r w:rsidR="009C158E" w:rsidRPr="44377D72">
        <w:rPr>
          <w:rFonts w:ascii="Times New Roman" w:hAnsi="Times New Roman" w:cs="Times New Roman"/>
          <w:sz w:val="24"/>
          <w:szCs w:val="24"/>
        </w:rPr>
        <w:t xml:space="preserve">. </w:t>
      </w:r>
    </w:p>
    <w:p w14:paraId="4C159A8E" w14:textId="51F5D328" w:rsidR="0053333C" w:rsidRPr="00D35442" w:rsidRDefault="0053333C" w:rsidP="2A443009">
      <w:pPr>
        <w:pStyle w:val="NormalWeb"/>
        <w:spacing w:line="360" w:lineRule="auto"/>
        <w:ind w:left="450" w:hanging="450"/>
        <w:jc w:val="both"/>
        <w:rPr>
          <w:color w:val="000000"/>
        </w:rPr>
      </w:pPr>
    </w:p>
    <w:sectPr w:rsidR="0053333C" w:rsidRPr="00D35442" w:rsidSect="001374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523F" w14:textId="77777777" w:rsidR="00D21782" w:rsidRDefault="00D21782" w:rsidP="005E341F">
      <w:pPr>
        <w:spacing w:after="0" w:line="240" w:lineRule="auto"/>
      </w:pPr>
      <w:r>
        <w:separator/>
      </w:r>
    </w:p>
  </w:endnote>
  <w:endnote w:type="continuationSeparator" w:id="0">
    <w:p w14:paraId="76150F29" w14:textId="77777777" w:rsidR="00D21782" w:rsidRDefault="00D21782"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C339" w14:textId="77777777" w:rsidR="00AE0CFD" w:rsidRDefault="00AE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FF0B" w14:textId="77777777" w:rsidR="00D21782" w:rsidRDefault="00D21782" w:rsidP="005E341F">
      <w:pPr>
        <w:spacing w:after="0" w:line="240" w:lineRule="auto"/>
      </w:pPr>
      <w:r>
        <w:separator/>
      </w:r>
    </w:p>
  </w:footnote>
  <w:footnote w:type="continuationSeparator" w:id="0">
    <w:p w14:paraId="6E83469D" w14:textId="77777777" w:rsidR="00D21782" w:rsidRDefault="00D21782" w:rsidP="005E341F">
      <w:pPr>
        <w:spacing w:after="0" w:line="240" w:lineRule="auto"/>
      </w:pPr>
      <w:r>
        <w:continuationSeparator/>
      </w:r>
    </w:p>
  </w:footnote>
  <w:footnote w:id="1">
    <w:p w14:paraId="37779B21" w14:textId="75E58F69" w:rsidR="00E371B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Pr="009A02BA">
        <w:rPr>
          <w:rFonts w:ascii="Times New Roman" w:eastAsia="Times New Roman" w:hAnsi="Times New Roman" w:cs="Times New Roman"/>
        </w:rPr>
        <w:t xml:space="preserve">Peter Dunne, Associate Professor, University of Bristol Law School, </w:t>
      </w:r>
      <w:hyperlink r:id="rId1">
        <w:r w:rsidRPr="009A02BA">
          <w:rPr>
            <w:rStyle w:val="Hyperlink"/>
            <w:rFonts w:ascii="Times New Roman" w:eastAsia="Times New Roman" w:hAnsi="Times New Roman" w:cs="Times New Roman"/>
            <w:color w:val="auto"/>
          </w:rPr>
          <w:t>pd17563@bristol.ac.uk;</w:t>
        </w:r>
      </w:hyperlink>
      <w:r w:rsidRPr="009A02BA">
        <w:rPr>
          <w:rFonts w:ascii="Times New Roman" w:eastAsia="Times New Roman" w:hAnsi="Times New Roman" w:cs="Times New Roman"/>
        </w:rPr>
        <w:t xml:space="preserve"> Emily Grabham, Professor of Law &amp; Society, Loughborough University, </w:t>
      </w:r>
      <w:hyperlink r:id="rId2" w:history="1">
        <w:r w:rsidRPr="009A02BA">
          <w:rPr>
            <w:rStyle w:val="Hyperlink"/>
            <w:rFonts w:ascii="Times New Roman" w:eastAsia="Times New Roman" w:hAnsi="Times New Roman" w:cs="Times New Roman"/>
          </w:rPr>
          <w:t>e.k.grabham@kent.ac.uk</w:t>
        </w:r>
      </w:hyperlink>
      <w:r w:rsidRPr="009A02BA">
        <w:rPr>
          <w:rFonts w:ascii="Times New Roman" w:eastAsia="Times New Roman" w:hAnsi="Times New Roman" w:cs="Times New Roman"/>
        </w:rPr>
        <w:t>;</w:t>
      </w:r>
      <w:r w:rsidR="009A02BA">
        <w:rPr>
          <w:rFonts w:ascii="Times New Roman" w:eastAsia="Times New Roman" w:hAnsi="Times New Roman" w:cs="Times New Roman"/>
        </w:rPr>
        <w:t xml:space="preserve"> </w:t>
      </w:r>
      <w:r w:rsidRPr="44377D72">
        <w:rPr>
          <w:rFonts w:ascii="Times New Roman" w:eastAsia="Times New Roman" w:hAnsi="Times New Roman" w:cs="Times New Roman"/>
        </w:rPr>
        <w:t xml:space="preserve">Flora Renz, Lecturer in Healthcare Ethics and Law, The Dickson Poon School of Law, </w:t>
      </w:r>
      <w:r w:rsidR="00C84A44">
        <w:rPr>
          <w:rFonts w:ascii="Times New Roman" w:eastAsia="Times New Roman" w:hAnsi="Times New Roman" w:cs="Times New Roman"/>
        </w:rPr>
        <w:t>King’s College London,</w:t>
      </w:r>
      <w:r w:rsidRPr="44377D72">
        <w:rPr>
          <w:rFonts w:ascii="Times New Roman" w:eastAsia="Times New Roman" w:hAnsi="Times New Roman" w:cs="Times New Roman"/>
        </w:rPr>
        <w:t xml:space="preserve"> </w:t>
      </w:r>
      <w:hyperlink r:id="rId3">
        <w:r w:rsidRPr="44377D72">
          <w:rPr>
            <w:rStyle w:val="Hyperlink"/>
            <w:rFonts w:ascii="Times New Roman" w:eastAsia="Times New Roman" w:hAnsi="Times New Roman" w:cs="Times New Roman"/>
            <w:color w:val="auto"/>
          </w:rPr>
          <w:t>flora.renz@kcl.ac.uk</w:t>
        </w:r>
      </w:hyperlink>
      <w:r w:rsidRPr="44377D72">
        <w:rPr>
          <w:rFonts w:ascii="Times New Roman" w:eastAsia="Times New Roman" w:hAnsi="Times New Roman" w:cs="Times New Roman"/>
        </w:rPr>
        <w:t>. This special issue was supported by United Kingdom Research and Innovation (UKRI) Grant No. MR/W011654/1.</w:t>
      </w:r>
    </w:p>
  </w:footnote>
  <w:footnote w:id="2">
    <w:p w14:paraId="181A1EA1" w14:textId="5020386B" w:rsidR="00967921" w:rsidRPr="00D35442" w:rsidRDefault="00967921">
      <w:pPr>
        <w:pStyle w:val="FootnoteText"/>
        <w:rPr>
          <w:rFonts w:ascii="Times New Roman" w:hAnsi="Times New Roman" w:cs="Times New Roman"/>
        </w:rPr>
      </w:pPr>
      <w:r w:rsidRPr="00D35442">
        <w:rPr>
          <w:rStyle w:val="FootnoteReference"/>
          <w:rFonts w:ascii="Times New Roman" w:hAnsi="Times New Roman" w:cs="Times New Roman"/>
        </w:rPr>
        <w:footnoteRef/>
      </w:r>
      <w:r w:rsidRPr="00D35442">
        <w:rPr>
          <w:rFonts w:ascii="Times New Roman" w:hAnsi="Times New Roman" w:cs="Times New Roman"/>
        </w:rPr>
        <w:t xml:space="preserve"> </w:t>
      </w:r>
      <w:r w:rsidR="00D91BE2" w:rsidRPr="00D35442">
        <w:rPr>
          <w:rFonts w:ascii="Times New Roman" w:hAnsi="Times New Roman" w:cs="Times New Roman"/>
          <w:i/>
          <w:iCs/>
        </w:rPr>
        <w:t>For Women Scotland Ltd (Appellant) v The Scottish Ministers (Respondent)</w:t>
      </w:r>
      <w:r w:rsidR="00D91BE2" w:rsidRPr="00D35442">
        <w:rPr>
          <w:rFonts w:ascii="Times New Roman" w:hAnsi="Times New Roman" w:cs="Times New Roman"/>
        </w:rPr>
        <w:t xml:space="preserve"> [2025] UKSC</w:t>
      </w:r>
      <w:r w:rsidR="0011263D">
        <w:rPr>
          <w:rFonts w:ascii="Times New Roman" w:hAnsi="Times New Roman" w:cs="Times New Roman"/>
        </w:rPr>
        <w:t xml:space="preserve"> </w:t>
      </w:r>
      <w:r w:rsidR="000266FC">
        <w:rPr>
          <w:rFonts w:ascii="Times New Roman" w:hAnsi="Times New Roman" w:cs="Times New Roman"/>
        </w:rPr>
        <w:t>16</w:t>
      </w:r>
      <w:r w:rsidR="00D91BE2" w:rsidRPr="00D35442">
        <w:rPr>
          <w:rFonts w:ascii="Times New Roman" w:hAnsi="Times New Roman" w:cs="Times New Roman"/>
        </w:rPr>
        <w:t>.</w:t>
      </w:r>
    </w:p>
  </w:footnote>
  <w:footnote w:id="3">
    <w:p w14:paraId="2D7FA347" w14:textId="1427D591" w:rsidR="00CD0B99" w:rsidRPr="00D35442" w:rsidRDefault="00CD0B99">
      <w:pPr>
        <w:pStyle w:val="FootnoteText"/>
        <w:rPr>
          <w:rFonts w:ascii="Times New Roman" w:hAnsi="Times New Roman" w:cs="Times New Roman"/>
        </w:rPr>
      </w:pPr>
      <w:r w:rsidRPr="00D35442">
        <w:rPr>
          <w:rStyle w:val="FootnoteReference"/>
          <w:rFonts w:ascii="Times New Roman" w:hAnsi="Times New Roman" w:cs="Times New Roman"/>
        </w:rPr>
        <w:footnoteRef/>
      </w:r>
      <w:r w:rsidRPr="00D35442">
        <w:rPr>
          <w:rFonts w:ascii="Times New Roman" w:hAnsi="Times New Roman" w:cs="Times New Roman"/>
        </w:rPr>
        <w:t xml:space="preserve"> </w:t>
      </w:r>
      <w:r w:rsidRPr="00D35442">
        <w:rPr>
          <w:rFonts w:ascii="Times New Roman" w:hAnsi="Times New Roman" w:cs="Times New Roman"/>
          <w:i/>
          <w:iCs/>
        </w:rPr>
        <w:t>For Women Scotland Ltd v Lord Advocate</w:t>
      </w:r>
      <w:r w:rsidRPr="00D35442">
        <w:rPr>
          <w:rFonts w:ascii="Times New Roman" w:hAnsi="Times New Roman" w:cs="Times New Roman"/>
        </w:rPr>
        <w:t xml:space="preserve"> [2022] CSIH 4; 2022 SC 150</w:t>
      </w:r>
    </w:p>
  </w:footnote>
  <w:footnote w:id="4">
    <w:p w14:paraId="4C0F45BF" w14:textId="681A8218" w:rsidR="00CD0B99" w:rsidRPr="00D35442" w:rsidRDefault="00CD0B99">
      <w:pPr>
        <w:pStyle w:val="FootnoteText"/>
        <w:rPr>
          <w:rFonts w:ascii="Times New Roman" w:hAnsi="Times New Roman" w:cs="Times New Roman"/>
        </w:rPr>
      </w:pPr>
      <w:r w:rsidRPr="00D35442">
        <w:rPr>
          <w:rStyle w:val="FootnoteReference"/>
          <w:rFonts w:ascii="Times New Roman" w:hAnsi="Times New Roman" w:cs="Times New Roman"/>
        </w:rPr>
        <w:footnoteRef/>
      </w:r>
      <w:r w:rsidRPr="00D35442">
        <w:rPr>
          <w:rFonts w:ascii="Times New Roman" w:hAnsi="Times New Roman" w:cs="Times New Roman"/>
        </w:rPr>
        <w:t xml:space="preserve"> 13 December 2022 ([2022] CSOH 90; 2023 SC 61.</w:t>
      </w:r>
    </w:p>
  </w:footnote>
  <w:footnote w:id="5">
    <w:p w14:paraId="0336FDEA" w14:textId="6C895503" w:rsidR="00CD0B99" w:rsidRPr="00D35442" w:rsidRDefault="00CD0B99">
      <w:pPr>
        <w:pStyle w:val="FootnoteText"/>
        <w:rPr>
          <w:rFonts w:ascii="Times New Roman" w:hAnsi="Times New Roman" w:cs="Times New Roman"/>
        </w:rPr>
      </w:pPr>
      <w:r w:rsidRPr="00D35442">
        <w:rPr>
          <w:rStyle w:val="FootnoteReference"/>
          <w:rFonts w:ascii="Times New Roman" w:hAnsi="Times New Roman" w:cs="Times New Roman"/>
        </w:rPr>
        <w:footnoteRef/>
      </w:r>
      <w:r w:rsidRPr="00D35442">
        <w:rPr>
          <w:rFonts w:ascii="Times New Roman" w:hAnsi="Times New Roman" w:cs="Times New Roman"/>
        </w:rPr>
        <w:t xml:space="preserve"> </w:t>
      </w:r>
      <w:r w:rsidR="00D35442" w:rsidRPr="00D35442">
        <w:rPr>
          <w:rFonts w:ascii="Times New Roman" w:hAnsi="Times New Roman" w:cs="Times New Roman"/>
          <w:i/>
          <w:iCs/>
        </w:rPr>
        <w:t>For Women Scotland Ltd (Appellant) v The Scottish Ministers (Respondent)</w:t>
      </w:r>
      <w:r w:rsidR="00D35442" w:rsidRPr="00D35442">
        <w:rPr>
          <w:rFonts w:ascii="Times New Roman" w:hAnsi="Times New Roman" w:cs="Times New Roman"/>
        </w:rPr>
        <w:t xml:space="preserve"> [2025] UKSC/2024/0042</w:t>
      </w:r>
      <w:r w:rsidR="00D35442">
        <w:rPr>
          <w:rFonts w:ascii="Times New Roman" w:hAnsi="Times New Roman" w:cs="Times New Roman"/>
        </w:rPr>
        <w:t xml:space="preserve"> </w:t>
      </w:r>
      <w:r w:rsidRPr="00D35442">
        <w:rPr>
          <w:rFonts w:ascii="Times New Roman" w:hAnsi="Times New Roman" w:cs="Times New Roman"/>
        </w:rPr>
        <w:t>para 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8" w14:textId="719EDA79" w:rsidR="00137478" w:rsidRDefault="2A443009" w:rsidP="00AE0CFD">
    <w:pPr>
      <w:pStyle w:val="Header"/>
      <w:tabs>
        <w:tab w:val="clear" w:pos="4513"/>
      </w:tabs>
      <w:jc w:val="both"/>
    </w:pPr>
    <w:r>
      <w:t xml:space="preserve">Dunne, Grabham and Renz          How can critical and feminist scholars respond to the decision in </w:t>
    </w:r>
    <w:r w:rsidRPr="2A443009">
      <w:rPr>
        <w:i/>
        <w:iCs/>
      </w:rPr>
      <w:t>FWS</w:t>
    </w:r>
    <w:r>
      <w:t>?</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0F7F731B"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AE0CFD">
          <w:t>14</w:t>
        </w:r>
        <w:r>
          <w:t xml:space="preserve">, No </w:t>
        </w:r>
        <w:r w:rsidR="00AE0CFD">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F3D0" w14:textId="77777777" w:rsidR="00AE0CFD" w:rsidRDefault="00AE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266FC"/>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1E9E"/>
    <w:rsid w:val="000F246B"/>
    <w:rsid w:val="000F6AE4"/>
    <w:rsid w:val="00101D2D"/>
    <w:rsid w:val="00101E32"/>
    <w:rsid w:val="00102127"/>
    <w:rsid w:val="001035F8"/>
    <w:rsid w:val="00105676"/>
    <w:rsid w:val="00107184"/>
    <w:rsid w:val="00107744"/>
    <w:rsid w:val="00110747"/>
    <w:rsid w:val="0011263D"/>
    <w:rsid w:val="001169F6"/>
    <w:rsid w:val="001230F1"/>
    <w:rsid w:val="00124800"/>
    <w:rsid w:val="00125015"/>
    <w:rsid w:val="0012632B"/>
    <w:rsid w:val="00126571"/>
    <w:rsid w:val="001313D8"/>
    <w:rsid w:val="00132ED1"/>
    <w:rsid w:val="001356DA"/>
    <w:rsid w:val="001357CC"/>
    <w:rsid w:val="00137478"/>
    <w:rsid w:val="00141A6F"/>
    <w:rsid w:val="00145D92"/>
    <w:rsid w:val="001471E9"/>
    <w:rsid w:val="00150006"/>
    <w:rsid w:val="00150EA8"/>
    <w:rsid w:val="00151C5C"/>
    <w:rsid w:val="00151CCC"/>
    <w:rsid w:val="0015370D"/>
    <w:rsid w:val="00153A15"/>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96334"/>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2DCF"/>
    <w:rsid w:val="002346B7"/>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42EE2"/>
    <w:rsid w:val="003505B8"/>
    <w:rsid w:val="0035159A"/>
    <w:rsid w:val="00351F1B"/>
    <w:rsid w:val="00352CFB"/>
    <w:rsid w:val="00354009"/>
    <w:rsid w:val="00354F72"/>
    <w:rsid w:val="00360084"/>
    <w:rsid w:val="003623B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35AE"/>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945BE"/>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063CF"/>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D70A7"/>
    <w:rsid w:val="006E0D58"/>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42A79"/>
    <w:rsid w:val="0074323B"/>
    <w:rsid w:val="00751A67"/>
    <w:rsid w:val="00753CD5"/>
    <w:rsid w:val="00756A5E"/>
    <w:rsid w:val="00760CA8"/>
    <w:rsid w:val="007619D3"/>
    <w:rsid w:val="00762320"/>
    <w:rsid w:val="00762B20"/>
    <w:rsid w:val="00770984"/>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2B2D"/>
    <w:rsid w:val="007D338A"/>
    <w:rsid w:val="007D39AD"/>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3BB9"/>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07B"/>
    <w:rsid w:val="008F18F7"/>
    <w:rsid w:val="008F40F9"/>
    <w:rsid w:val="008F4210"/>
    <w:rsid w:val="008F46F7"/>
    <w:rsid w:val="008F5217"/>
    <w:rsid w:val="008F5FCC"/>
    <w:rsid w:val="008F7CE1"/>
    <w:rsid w:val="009007CC"/>
    <w:rsid w:val="00904A98"/>
    <w:rsid w:val="00904F53"/>
    <w:rsid w:val="009067C1"/>
    <w:rsid w:val="009078E0"/>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42A9"/>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03EE"/>
    <w:rsid w:val="00A81018"/>
    <w:rsid w:val="00A84906"/>
    <w:rsid w:val="00A9273E"/>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0CFD"/>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9F6"/>
    <w:rsid w:val="00C84A44"/>
    <w:rsid w:val="00C84D52"/>
    <w:rsid w:val="00C873E7"/>
    <w:rsid w:val="00C941A1"/>
    <w:rsid w:val="00C94993"/>
    <w:rsid w:val="00C94B45"/>
    <w:rsid w:val="00CA21C3"/>
    <w:rsid w:val="00CA2FE3"/>
    <w:rsid w:val="00CA532B"/>
    <w:rsid w:val="00CA7308"/>
    <w:rsid w:val="00CB01D7"/>
    <w:rsid w:val="00CB2593"/>
    <w:rsid w:val="00CB278C"/>
    <w:rsid w:val="00CB41EC"/>
    <w:rsid w:val="00CB7074"/>
    <w:rsid w:val="00CC1419"/>
    <w:rsid w:val="00CC1BBD"/>
    <w:rsid w:val="00CC2F61"/>
    <w:rsid w:val="00CC5244"/>
    <w:rsid w:val="00CC5EF1"/>
    <w:rsid w:val="00CC7504"/>
    <w:rsid w:val="00CD08BF"/>
    <w:rsid w:val="00CD0B99"/>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1782"/>
    <w:rsid w:val="00D238E9"/>
    <w:rsid w:val="00D252B4"/>
    <w:rsid w:val="00D26183"/>
    <w:rsid w:val="00D273F2"/>
    <w:rsid w:val="00D32189"/>
    <w:rsid w:val="00D34F6D"/>
    <w:rsid w:val="00D35442"/>
    <w:rsid w:val="00D36FB2"/>
    <w:rsid w:val="00D36FD7"/>
    <w:rsid w:val="00D37507"/>
    <w:rsid w:val="00D40741"/>
    <w:rsid w:val="00D41E9E"/>
    <w:rsid w:val="00D44F3E"/>
    <w:rsid w:val="00D474FF"/>
    <w:rsid w:val="00D51436"/>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774"/>
    <w:rsid w:val="00D87D96"/>
    <w:rsid w:val="00D91BE2"/>
    <w:rsid w:val="00D95504"/>
    <w:rsid w:val="00D95D9F"/>
    <w:rsid w:val="00DA1973"/>
    <w:rsid w:val="00DA1CD8"/>
    <w:rsid w:val="00DA23EB"/>
    <w:rsid w:val="00DA5B29"/>
    <w:rsid w:val="00DA5E73"/>
    <w:rsid w:val="00DA7359"/>
    <w:rsid w:val="00DB038D"/>
    <w:rsid w:val="00DB132F"/>
    <w:rsid w:val="00DB1DA0"/>
    <w:rsid w:val="00DB3F0B"/>
    <w:rsid w:val="00DB4C0E"/>
    <w:rsid w:val="00DB55E5"/>
    <w:rsid w:val="00DC0CFC"/>
    <w:rsid w:val="00DC116E"/>
    <w:rsid w:val="00DC44FC"/>
    <w:rsid w:val="00DC4933"/>
    <w:rsid w:val="00DC4A1E"/>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6FDA"/>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67D46"/>
    <w:rsid w:val="00E71E1C"/>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1F31"/>
    <w:rsid w:val="00F627CF"/>
    <w:rsid w:val="00F62AA1"/>
    <w:rsid w:val="00F63D35"/>
    <w:rsid w:val="00F643AD"/>
    <w:rsid w:val="00F653DA"/>
    <w:rsid w:val="00F6584D"/>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flora.renz@kcl.ac.uk" TargetMode="External"/><Relationship Id="rId2" Type="http://schemas.openxmlformats.org/officeDocument/2006/relationships/hyperlink" Target="mailto:e.k.grabham@kent.ac.uk" TargetMode="External"/><Relationship Id="rId1" Type="http://schemas.openxmlformats.org/officeDocument/2006/relationships/hyperlink" Target="mailto:pd17563@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2.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customXml/itemProps3.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F5F81-FDA9-45F2-BF79-763AC9C28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1227</Words>
  <Characters>6251</Characters>
  <Application>Microsoft Office Word</Application>
  <DocSecurity>0</DocSecurity>
  <Lines>86</Lines>
  <Paragraphs>13</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33</cp:revision>
  <cp:lastPrinted>2020-10-09T10:54:00Z</cp:lastPrinted>
  <dcterms:created xsi:type="dcterms:W3CDTF">2025-09-14T08:53:00Z</dcterms:created>
  <dcterms:modified xsi:type="dcterms:W3CDTF">2025-10-07T22:32:00Z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