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3E0D" w14:textId="08839EEC" w:rsidR="00CC5654" w:rsidRPr="009A570F" w:rsidRDefault="00CC5654" w:rsidP="00987852">
      <w:pPr>
        <w:pStyle w:val="Heading1"/>
      </w:pPr>
      <w:r w:rsidRPr="00DB4012">
        <w:rPr>
          <w:i/>
          <w:iCs/>
        </w:rPr>
        <w:t>For Women Scotland</w:t>
      </w:r>
      <w:r w:rsidRPr="009A570F">
        <w:t xml:space="preserve"> and the CJEU’s conceptualisation of sex discrimination</w:t>
      </w:r>
    </w:p>
    <w:p w14:paraId="6CD28073" w14:textId="77777777" w:rsidR="0049424C" w:rsidRPr="0049424C" w:rsidRDefault="0049424C" w:rsidP="2A443009">
      <w:pPr>
        <w:pStyle w:val="Heading1"/>
        <w:jc w:val="both"/>
      </w:pPr>
    </w:p>
    <w:p w14:paraId="010BC3C1" w14:textId="0AB89047" w:rsidR="00025CED" w:rsidRPr="004D733F" w:rsidRDefault="00CC5654" w:rsidP="2A443009">
      <w:pPr>
        <w:spacing w:after="0" w:line="360" w:lineRule="auto"/>
        <w:jc w:val="both"/>
        <w:rPr>
          <w:rFonts w:ascii="Times New Roman" w:hAnsi="Times New Roman" w:cs="Times New Roman"/>
          <w:b/>
          <w:bCs/>
          <w:sz w:val="24"/>
          <w:szCs w:val="24"/>
        </w:rPr>
      </w:pPr>
      <w:r w:rsidRPr="009A570F">
        <w:rPr>
          <w:rFonts w:ascii="Times New Roman" w:hAnsi="Times New Roman" w:cs="Times New Roman"/>
          <w:b/>
          <w:bCs/>
          <w:sz w:val="24"/>
          <w:szCs w:val="24"/>
        </w:rPr>
        <w:t>Jule Mulder</w:t>
      </w:r>
      <w:r w:rsidR="00E371B6" w:rsidRPr="03893673">
        <w:rPr>
          <w:rStyle w:val="FootnoteReference"/>
          <w:rFonts w:ascii="Times New Roman" w:hAnsi="Times New Roman" w:cs="Times New Roman"/>
          <w:b/>
          <w:bCs/>
          <w:sz w:val="24"/>
          <w:szCs w:val="24"/>
        </w:rPr>
        <w:footnoteReference w:customMarkFollows="1" w:id="1"/>
        <w:t>*</w:t>
      </w:r>
      <w:r w:rsidR="0049424C" w:rsidRPr="03893673">
        <w:rPr>
          <w:rFonts w:ascii="Times New Roman" w:hAnsi="Times New Roman" w:cs="Times New Roman"/>
          <w:b/>
          <w:bCs/>
          <w:sz w:val="24"/>
          <w:szCs w:val="24"/>
        </w:rPr>
        <w:t xml:space="preserve"> </w:t>
      </w:r>
    </w:p>
    <w:p w14:paraId="2F1B5211" w14:textId="23B9E9A5" w:rsidR="00E371B6" w:rsidRDefault="00E371B6" w:rsidP="2A443009">
      <w:pPr>
        <w:spacing w:after="0" w:line="360" w:lineRule="auto"/>
        <w:jc w:val="both"/>
        <w:rPr>
          <w:rFonts w:ascii="Times New Roman" w:hAnsi="Times New Roman" w:cs="Times New Roman"/>
          <w:b/>
          <w:bCs/>
          <w:sz w:val="24"/>
          <w:szCs w:val="24"/>
        </w:rPr>
      </w:pPr>
    </w:p>
    <w:p w14:paraId="61533DEB" w14:textId="2FD335D4" w:rsidR="00CC5654" w:rsidRPr="009A570F" w:rsidRDefault="00CC5654" w:rsidP="00CC5654">
      <w:pPr>
        <w:spacing w:after="0" w:line="360" w:lineRule="auto"/>
        <w:jc w:val="both"/>
        <w:rPr>
          <w:rFonts w:ascii="Times New Roman" w:hAnsi="Times New Roman" w:cs="Times New Roman"/>
          <w:sz w:val="24"/>
          <w:szCs w:val="24"/>
        </w:rPr>
      </w:pPr>
      <w:r w:rsidRPr="009A570F">
        <w:rPr>
          <w:rFonts w:ascii="Times New Roman" w:hAnsi="Times New Roman" w:cs="Times New Roman"/>
          <w:sz w:val="24"/>
          <w:szCs w:val="24"/>
        </w:rPr>
        <w:t>Following Brexit, significant uncertainty about EU law’s future within the UK existed. Much of it had been branded as ‘red tape’ and since leaving the bloc</w:t>
      </w:r>
      <w:r w:rsidR="004F3A1F">
        <w:rPr>
          <w:rFonts w:ascii="Times New Roman" w:hAnsi="Times New Roman" w:cs="Times New Roman"/>
          <w:sz w:val="24"/>
          <w:szCs w:val="24"/>
        </w:rPr>
        <w:t>k</w:t>
      </w:r>
      <w:r w:rsidRPr="009A570F">
        <w:rPr>
          <w:rFonts w:ascii="Times New Roman" w:hAnsi="Times New Roman" w:cs="Times New Roman"/>
          <w:sz w:val="24"/>
          <w:szCs w:val="24"/>
        </w:rPr>
        <w:t xml:space="preserve">, successive governments have reformed legal areas that previously were governed or partially controlled by EU law. However, non-discrimination law was never considered to be at serious risk. While EU non-discrimination law has had significant influence on advancing the national legal framework in the UK, there were no serious suggestions to abolish or significantly amend the Equality Act 2010 as the UK seemed to have fully embraced the non-discrimination law paradigm across administrative and private law. </w:t>
      </w:r>
    </w:p>
    <w:p w14:paraId="517B4E37" w14:textId="77777777" w:rsidR="00CC5654" w:rsidRPr="009A570F" w:rsidRDefault="00CC5654" w:rsidP="00CC5654">
      <w:pPr>
        <w:spacing w:after="0" w:line="360" w:lineRule="auto"/>
        <w:jc w:val="both"/>
        <w:rPr>
          <w:rFonts w:ascii="Times New Roman" w:hAnsi="Times New Roman" w:cs="Times New Roman"/>
          <w:sz w:val="24"/>
          <w:szCs w:val="24"/>
        </w:rPr>
      </w:pPr>
    </w:p>
    <w:p w14:paraId="027478C3" w14:textId="31798BD4" w:rsidR="00CC5654" w:rsidRPr="009A570F" w:rsidRDefault="00CC5654" w:rsidP="00CC5654">
      <w:pPr>
        <w:spacing w:after="0" w:line="360" w:lineRule="auto"/>
        <w:jc w:val="both"/>
        <w:rPr>
          <w:rFonts w:ascii="Times New Roman" w:hAnsi="Times New Roman" w:cs="Times New Roman"/>
          <w:sz w:val="24"/>
          <w:szCs w:val="24"/>
        </w:rPr>
      </w:pPr>
      <w:r w:rsidRPr="009A570F">
        <w:rPr>
          <w:rFonts w:ascii="Times New Roman" w:hAnsi="Times New Roman" w:cs="Times New Roman"/>
          <w:sz w:val="24"/>
          <w:szCs w:val="24"/>
        </w:rPr>
        <w:t>Indeed, worries about the future of non-discrimination law in the UK seemed to be</w:t>
      </w:r>
      <w:r w:rsidR="009C60B4">
        <w:rPr>
          <w:rFonts w:ascii="Times New Roman" w:hAnsi="Times New Roman" w:cs="Times New Roman"/>
          <w:sz w:val="24"/>
          <w:szCs w:val="24"/>
        </w:rPr>
        <w:t xml:space="preserve"> calmed</w:t>
      </w:r>
      <w:r w:rsidRPr="009A570F">
        <w:rPr>
          <w:rFonts w:ascii="Times New Roman" w:hAnsi="Times New Roman" w:cs="Times New Roman"/>
          <w:sz w:val="24"/>
          <w:szCs w:val="24"/>
        </w:rPr>
        <w:t xml:space="preserve"> further as the decoupling of EU and UK law in the wake of the Retained EU Law (Revocation and Reform) Act 2023 led to changes in the Equality Act 2010 that aligned the UK legal framework </w:t>
      </w:r>
      <w:r w:rsidR="003901BE">
        <w:rPr>
          <w:rFonts w:ascii="Times New Roman" w:hAnsi="Times New Roman" w:cs="Times New Roman"/>
          <w:sz w:val="24"/>
          <w:szCs w:val="24"/>
        </w:rPr>
        <w:t xml:space="preserve">more </w:t>
      </w:r>
      <w:r w:rsidRPr="009A570F">
        <w:rPr>
          <w:rFonts w:ascii="Times New Roman" w:hAnsi="Times New Roman" w:cs="Times New Roman"/>
          <w:sz w:val="24"/>
          <w:szCs w:val="24"/>
        </w:rPr>
        <w:t>close</w:t>
      </w:r>
      <w:r w:rsidR="003901BE">
        <w:rPr>
          <w:rFonts w:ascii="Times New Roman" w:hAnsi="Times New Roman" w:cs="Times New Roman"/>
          <w:sz w:val="24"/>
          <w:szCs w:val="24"/>
        </w:rPr>
        <w:t>ly</w:t>
      </w:r>
      <w:r w:rsidRPr="009A570F">
        <w:rPr>
          <w:rFonts w:ascii="Times New Roman" w:hAnsi="Times New Roman" w:cs="Times New Roman"/>
          <w:sz w:val="24"/>
          <w:szCs w:val="24"/>
        </w:rPr>
        <w:t xml:space="preserve"> with EU approaches. For example, the </w:t>
      </w:r>
      <w:hyperlink r:id="rId11">
        <w:r w:rsidRPr="009A570F">
          <w:rPr>
            <w:rStyle w:val="Hyperlink"/>
            <w:rFonts w:ascii="Times New Roman" w:hAnsi="Times New Roman" w:cs="Times New Roman"/>
            <w:sz w:val="24"/>
            <w:szCs w:val="24"/>
          </w:rPr>
          <w:t>Equality Act 2010 (Amendment) Regulation 2023</w:t>
        </w:r>
      </w:hyperlink>
      <w:r w:rsidRPr="009A570F">
        <w:rPr>
          <w:rFonts w:ascii="Times New Roman" w:hAnsi="Times New Roman" w:cs="Times New Roman"/>
          <w:sz w:val="24"/>
          <w:szCs w:val="24"/>
        </w:rPr>
        <w:t xml:space="preserve"> expanded the concept of indirect discrimination to include those that do not belong to the disadvantaged group but experience disadvantage alongside that group (s. 19A) as per the decision in </w:t>
      </w:r>
      <w:hyperlink r:id="rId12">
        <w:r w:rsidRPr="009A570F">
          <w:rPr>
            <w:rStyle w:val="Hyperlink"/>
            <w:rFonts w:ascii="Times New Roman" w:hAnsi="Times New Roman" w:cs="Times New Roman"/>
            <w:i/>
            <w:iCs/>
            <w:sz w:val="24"/>
            <w:szCs w:val="24"/>
          </w:rPr>
          <w:t>CHEZ</w:t>
        </w:r>
      </w:hyperlink>
      <w:r w:rsidRPr="009A570F">
        <w:rPr>
          <w:rFonts w:ascii="Times New Roman" w:hAnsi="Times New Roman" w:cs="Times New Roman"/>
          <w:sz w:val="24"/>
          <w:szCs w:val="24"/>
        </w:rPr>
        <w:t xml:space="preserve"> and the concept of a ‘single body’ was introduced in equal pay cases (s. 79) to implement the CJEU’s concept of a single source within the context of Article 157 of the Treaty on the Functioning of the European Union (see e.g. </w:t>
      </w:r>
      <w:hyperlink r:id="rId13">
        <w:r w:rsidRPr="009A570F">
          <w:rPr>
            <w:rStyle w:val="Hyperlink"/>
            <w:rFonts w:ascii="Times New Roman" w:hAnsi="Times New Roman" w:cs="Times New Roman"/>
            <w:i/>
            <w:iCs/>
            <w:sz w:val="24"/>
            <w:szCs w:val="24"/>
          </w:rPr>
          <w:t>K and Others v Tesco Stores</w:t>
        </w:r>
      </w:hyperlink>
      <w:r w:rsidRPr="009A570F">
        <w:rPr>
          <w:rFonts w:ascii="Times New Roman" w:hAnsi="Times New Roman" w:cs="Times New Roman"/>
          <w:sz w:val="24"/>
          <w:szCs w:val="24"/>
        </w:rPr>
        <w:t xml:space="preserve">).  </w:t>
      </w:r>
    </w:p>
    <w:p w14:paraId="49499014" w14:textId="77777777" w:rsidR="00CC5654" w:rsidRPr="009A570F" w:rsidRDefault="00CC5654" w:rsidP="00CC5654">
      <w:pPr>
        <w:spacing w:after="0" w:line="360" w:lineRule="auto"/>
        <w:jc w:val="both"/>
        <w:rPr>
          <w:rFonts w:ascii="Times New Roman" w:hAnsi="Times New Roman" w:cs="Times New Roman"/>
          <w:sz w:val="24"/>
          <w:szCs w:val="24"/>
        </w:rPr>
      </w:pPr>
    </w:p>
    <w:p w14:paraId="262934CC" w14:textId="3F19200A" w:rsidR="00CC5654" w:rsidRPr="009A570F" w:rsidRDefault="00CC5654" w:rsidP="00CC5654">
      <w:pPr>
        <w:spacing w:after="0" w:line="360" w:lineRule="auto"/>
        <w:jc w:val="both"/>
        <w:rPr>
          <w:rFonts w:ascii="Times New Roman" w:hAnsi="Times New Roman" w:cs="Times New Roman"/>
          <w:sz w:val="24"/>
          <w:szCs w:val="24"/>
        </w:rPr>
      </w:pPr>
      <w:r w:rsidRPr="009A570F">
        <w:rPr>
          <w:rFonts w:ascii="Times New Roman" w:hAnsi="Times New Roman" w:cs="Times New Roman"/>
          <w:sz w:val="24"/>
          <w:szCs w:val="24"/>
        </w:rPr>
        <w:t xml:space="preserve">What was left then was a </w:t>
      </w:r>
      <w:r w:rsidR="00B54176">
        <w:rPr>
          <w:rFonts w:ascii="Times New Roman" w:hAnsi="Times New Roman" w:cs="Times New Roman"/>
          <w:sz w:val="24"/>
          <w:szCs w:val="24"/>
        </w:rPr>
        <w:t>diffuse</w:t>
      </w:r>
      <w:r w:rsidR="00B54176" w:rsidRPr="009A570F">
        <w:rPr>
          <w:rFonts w:ascii="Times New Roman" w:hAnsi="Times New Roman" w:cs="Times New Roman"/>
          <w:sz w:val="24"/>
          <w:szCs w:val="24"/>
        </w:rPr>
        <w:t xml:space="preserve"> </w:t>
      </w:r>
      <w:r w:rsidRPr="009A570F">
        <w:rPr>
          <w:rFonts w:ascii="Times New Roman" w:hAnsi="Times New Roman" w:cs="Times New Roman"/>
          <w:sz w:val="24"/>
          <w:szCs w:val="24"/>
        </w:rPr>
        <w:t xml:space="preserve">concern about the </w:t>
      </w:r>
      <w:hyperlink r:id="rId14">
        <w:r w:rsidRPr="009A570F">
          <w:rPr>
            <w:rStyle w:val="Hyperlink"/>
            <w:rFonts w:ascii="Times New Roman" w:hAnsi="Times New Roman" w:cs="Times New Roman"/>
            <w:sz w:val="24"/>
            <w:szCs w:val="24"/>
          </w:rPr>
          <w:t>diminished influence of the CJEU</w:t>
        </w:r>
      </w:hyperlink>
      <w:r w:rsidRPr="009A570F">
        <w:rPr>
          <w:rFonts w:ascii="Times New Roman" w:hAnsi="Times New Roman" w:cs="Times New Roman"/>
          <w:sz w:val="24"/>
          <w:szCs w:val="24"/>
        </w:rPr>
        <w:t xml:space="preserve"> and its potential impact on legal developments in the UK. Having lost the EU as a ‘</w:t>
      </w:r>
      <w:hyperlink r:id="rId15">
        <w:r w:rsidRPr="009A570F">
          <w:rPr>
            <w:rStyle w:val="Hyperlink"/>
            <w:rFonts w:ascii="Times New Roman" w:hAnsi="Times New Roman" w:cs="Times New Roman"/>
            <w:sz w:val="24"/>
            <w:szCs w:val="24"/>
          </w:rPr>
          <w:t>happy hunting ground</w:t>
        </w:r>
      </w:hyperlink>
      <w:r w:rsidRPr="009A570F">
        <w:rPr>
          <w:rFonts w:ascii="Times New Roman" w:hAnsi="Times New Roman" w:cs="Times New Roman"/>
          <w:sz w:val="24"/>
          <w:szCs w:val="24"/>
        </w:rPr>
        <w:t xml:space="preserve">’, it was suggested that there was not only the risk for UK and EU legal developments to </w:t>
      </w:r>
      <w:hyperlink r:id="rId16">
        <w:r w:rsidRPr="009A570F">
          <w:rPr>
            <w:rStyle w:val="Hyperlink"/>
            <w:rFonts w:ascii="Times New Roman" w:hAnsi="Times New Roman" w:cs="Times New Roman"/>
            <w:sz w:val="24"/>
            <w:szCs w:val="24"/>
          </w:rPr>
          <w:t>stagnate</w:t>
        </w:r>
      </w:hyperlink>
      <w:r w:rsidRPr="009A570F">
        <w:rPr>
          <w:rFonts w:ascii="Times New Roman" w:hAnsi="Times New Roman" w:cs="Times New Roman"/>
          <w:sz w:val="24"/>
          <w:szCs w:val="24"/>
        </w:rPr>
        <w:t xml:space="preserve">, but also for the UK to return to </w:t>
      </w:r>
      <w:hyperlink r:id="rId17" w:anchor=":~:text=Chapter%2016%3A%20Equality%20law%20after%20%27Brexit%27%20-%20stunted,is%20likely%20to%20be%20differentiated%20in%20the%20UK.">
        <w:r w:rsidRPr="009A570F">
          <w:rPr>
            <w:rStyle w:val="Hyperlink"/>
            <w:rFonts w:ascii="Times New Roman" w:hAnsi="Times New Roman" w:cs="Times New Roman"/>
            <w:sz w:val="24"/>
            <w:szCs w:val="24"/>
          </w:rPr>
          <w:t>formalism</w:t>
        </w:r>
      </w:hyperlink>
      <w:r w:rsidRPr="009A570F">
        <w:rPr>
          <w:rFonts w:ascii="Times New Roman" w:hAnsi="Times New Roman" w:cs="Times New Roman"/>
          <w:sz w:val="24"/>
          <w:szCs w:val="24"/>
        </w:rPr>
        <w:t xml:space="preserve">, which was prevalent in the early conception of the UK legal framework, and </w:t>
      </w:r>
      <w:hyperlink r:id="rId18">
        <w:r w:rsidRPr="009A570F">
          <w:rPr>
            <w:rStyle w:val="Hyperlink"/>
            <w:rFonts w:ascii="Times New Roman" w:hAnsi="Times New Roman" w:cs="Times New Roman"/>
            <w:sz w:val="24"/>
            <w:szCs w:val="24"/>
          </w:rPr>
          <w:t>slowly regress</w:t>
        </w:r>
      </w:hyperlink>
      <w:r w:rsidRPr="009A570F">
        <w:rPr>
          <w:rFonts w:ascii="Times New Roman" w:hAnsi="Times New Roman" w:cs="Times New Roman"/>
          <w:sz w:val="24"/>
          <w:szCs w:val="24"/>
        </w:rPr>
        <w:t xml:space="preserve">. </w:t>
      </w:r>
    </w:p>
    <w:p w14:paraId="15DB4550" w14:textId="77777777" w:rsidR="00CC5654" w:rsidRPr="009A570F" w:rsidRDefault="00CC5654" w:rsidP="00CC5654">
      <w:pPr>
        <w:spacing w:after="0" w:line="360" w:lineRule="auto"/>
        <w:jc w:val="both"/>
        <w:rPr>
          <w:rFonts w:ascii="Times New Roman" w:hAnsi="Times New Roman" w:cs="Times New Roman"/>
          <w:sz w:val="24"/>
          <w:szCs w:val="24"/>
        </w:rPr>
      </w:pPr>
    </w:p>
    <w:p w14:paraId="17FEC151" w14:textId="717D69D7" w:rsidR="00CC5654" w:rsidRPr="009A570F" w:rsidRDefault="00CC5654" w:rsidP="00CC5654">
      <w:pPr>
        <w:spacing w:after="0" w:line="360" w:lineRule="auto"/>
        <w:jc w:val="both"/>
        <w:rPr>
          <w:rFonts w:ascii="Times New Roman" w:hAnsi="Times New Roman" w:cs="Times New Roman"/>
          <w:sz w:val="24"/>
          <w:szCs w:val="24"/>
        </w:rPr>
      </w:pPr>
      <w:r w:rsidRPr="009A570F">
        <w:rPr>
          <w:rFonts w:ascii="Times New Roman" w:hAnsi="Times New Roman" w:cs="Times New Roman"/>
          <w:sz w:val="24"/>
          <w:szCs w:val="24"/>
        </w:rPr>
        <w:t xml:space="preserve">Considering the </w:t>
      </w:r>
      <w:r w:rsidRPr="00B374E3">
        <w:rPr>
          <w:rFonts w:ascii="Times New Roman" w:hAnsi="Times New Roman" w:cs="Times New Roman"/>
          <w:i/>
          <w:iCs/>
          <w:sz w:val="24"/>
          <w:szCs w:val="24"/>
        </w:rPr>
        <w:t xml:space="preserve">For Women Scotland </w:t>
      </w:r>
      <w:r w:rsidRPr="00DA000D">
        <w:rPr>
          <w:rFonts w:ascii="Times New Roman" w:hAnsi="Times New Roman" w:cs="Times New Roman"/>
          <w:sz w:val="24"/>
          <w:szCs w:val="24"/>
        </w:rPr>
        <w:t>judgment</w:t>
      </w:r>
      <w:r w:rsidRPr="009A570F">
        <w:rPr>
          <w:rFonts w:ascii="Times New Roman" w:hAnsi="Times New Roman" w:cs="Times New Roman"/>
          <w:sz w:val="24"/>
          <w:szCs w:val="24"/>
        </w:rPr>
        <w:t xml:space="preserve">, we may now concede that the formal decoupling of EU and UK sex discrimination law may not only have halted future </w:t>
      </w:r>
      <w:proofErr w:type="gramStart"/>
      <w:r w:rsidRPr="009A570F">
        <w:rPr>
          <w:rFonts w:ascii="Times New Roman" w:hAnsi="Times New Roman" w:cs="Times New Roman"/>
          <w:sz w:val="24"/>
          <w:szCs w:val="24"/>
        </w:rPr>
        <w:t>developments</w:t>
      </w:r>
      <w:r w:rsidR="00E909B3">
        <w:rPr>
          <w:rFonts w:ascii="Times New Roman" w:hAnsi="Times New Roman" w:cs="Times New Roman"/>
          <w:sz w:val="24"/>
          <w:szCs w:val="24"/>
        </w:rPr>
        <w:t>,</w:t>
      </w:r>
      <w:r w:rsidRPr="009A570F">
        <w:rPr>
          <w:rFonts w:ascii="Times New Roman" w:hAnsi="Times New Roman" w:cs="Times New Roman"/>
          <w:sz w:val="24"/>
          <w:szCs w:val="24"/>
        </w:rPr>
        <w:t xml:space="preserve"> but</w:t>
      </w:r>
      <w:proofErr w:type="gramEnd"/>
      <w:r w:rsidRPr="009A570F">
        <w:rPr>
          <w:rFonts w:ascii="Times New Roman" w:hAnsi="Times New Roman" w:cs="Times New Roman"/>
          <w:sz w:val="24"/>
          <w:szCs w:val="24"/>
        </w:rPr>
        <w:t xml:space="preserve"> </w:t>
      </w:r>
      <w:r w:rsidR="00CE07C9">
        <w:rPr>
          <w:rFonts w:ascii="Times New Roman" w:hAnsi="Times New Roman" w:cs="Times New Roman"/>
          <w:sz w:val="24"/>
          <w:szCs w:val="24"/>
        </w:rPr>
        <w:t xml:space="preserve">may </w:t>
      </w:r>
      <w:r w:rsidRPr="009A570F">
        <w:rPr>
          <w:rFonts w:ascii="Times New Roman" w:hAnsi="Times New Roman" w:cs="Times New Roman"/>
          <w:sz w:val="24"/>
          <w:szCs w:val="24"/>
        </w:rPr>
        <w:t xml:space="preserve">potentially reduce protections litigated for over decades – suggesting that even long-accepted principles developed by the CJEU hold little sway. This criticism may come as a surprise given that the Supreme Court refers to the CJEU case law several times throughout the reasoning, including to the seminal </w:t>
      </w:r>
      <w:hyperlink r:id="rId19">
        <w:r w:rsidRPr="009A570F">
          <w:rPr>
            <w:rStyle w:val="Hyperlink"/>
            <w:rFonts w:ascii="Times New Roman" w:hAnsi="Times New Roman" w:cs="Times New Roman"/>
            <w:i/>
            <w:iCs/>
            <w:sz w:val="24"/>
            <w:szCs w:val="24"/>
          </w:rPr>
          <w:t>P v S and Cornwall County Council</w:t>
        </w:r>
      </w:hyperlink>
      <w:r w:rsidRPr="009A570F">
        <w:rPr>
          <w:rFonts w:ascii="Times New Roman" w:hAnsi="Times New Roman" w:cs="Times New Roman"/>
          <w:sz w:val="24"/>
          <w:szCs w:val="24"/>
        </w:rPr>
        <w:t xml:space="preserve"> judgment, which first recognised that disadvantages related to gender reassignment fall within the scope of sex discrimination. Indeed, the judgment in </w:t>
      </w:r>
      <w:r w:rsidRPr="009A570F">
        <w:rPr>
          <w:rFonts w:ascii="Times New Roman" w:hAnsi="Times New Roman" w:cs="Times New Roman"/>
          <w:i/>
          <w:iCs/>
          <w:sz w:val="24"/>
          <w:szCs w:val="24"/>
        </w:rPr>
        <w:t>F</w:t>
      </w:r>
      <w:r w:rsidR="005B5C92">
        <w:rPr>
          <w:rFonts w:ascii="Times New Roman" w:hAnsi="Times New Roman" w:cs="Times New Roman"/>
          <w:i/>
          <w:iCs/>
          <w:sz w:val="24"/>
          <w:szCs w:val="24"/>
        </w:rPr>
        <w:t>W</w:t>
      </w:r>
      <w:r w:rsidRPr="009A570F">
        <w:rPr>
          <w:rFonts w:ascii="Times New Roman" w:hAnsi="Times New Roman" w:cs="Times New Roman"/>
          <w:i/>
          <w:iCs/>
          <w:sz w:val="24"/>
          <w:szCs w:val="24"/>
        </w:rPr>
        <w:t>S</w:t>
      </w:r>
      <w:r w:rsidRPr="009A570F">
        <w:rPr>
          <w:rFonts w:ascii="Times New Roman" w:hAnsi="Times New Roman" w:cs="Times New Roman"/>
          <w:sz w:val="24"/>
          <w:szCs w:val="24"/>
        </w:rPr>
        <w:t xml:space="preserve"> by no means dismisses the importance of the CJEU’s interpretation of EU non-discrimination law for the understanding of the Equality Act 2010. However, the cases are primarily treated as historical events that had an impact on the UK</w:t>
      </w:r>
      <w:r w:rsidR="000B2E16">
        <w:rPr>
          <w:rFonts w:ascii="Times New Roman" w:hAnsi="Times New Roman" w:cs="Times New Roman"/>
          <w:sz w:val="24"/>
          <w:szCs w:val="24"/>
        </w:rPr>
        <w:t>’s</w:t>
      </w:r>
      <w:r w:rsidRPr="009A570F">
        <w:rPr>
          <w:rFonts w:ascii="Times New Roman" w:hAnsi="Times New Roman" w:cs="Times New Roman"/>
          <w:sz w:val="24"/>
          <w:szCs w:val="24"/>
        </w:rPr>
        <w:t xml:space="preserve"> legal development</w:t>
      </w:r>
      <w:r w:rsidR="000B2E16">
        <w:rPr>
          <w:rFonts w:ascii="Times New Roman" w:hAnsi="Times New Roman" w:cs="Times New Roman"/>
          <w:sz w:val="24"/>
          <w:szCs w:val="24"/>
        </w:rPr>
        <w:t>,</w:t>
      </w:r>
      <w:r w:rsidRPr="009A570F">
        <w:rPr>
          <w:rFonts w:ascii="Times New Roman" w:hAnsi="Times New Roman" w:cs="Times New Roman"/>
          <w:sz w:val="24"/>
          <w:szCs w:val="24"/>
        </w:rPr>
        <w:t xml:space="preserve"> not as fully reasoned judgments that contributed to a specific conceptualisation of sex discrimination, which is relevant beyond the specific issue at hand. </w:t>
      </w:r>
    </w:p>
    <w:p w14:paraId="234AFD32" w14:textId="77777777" w:rsidR="00CC5654" w:rsidRPr="009A570F" w:rsidRDefault="00CC5654" w:rsidP="00CC5654">
      <w:pPr>
        <w:spacing w:after="0" w:line="360" w:lineRule="auto"/>
        <w:jc w:val="both"/>
        <w:rPr>
          <w:rFonts w:ascii="Times New Roman" w:hAnsi="Times New Roman" w:cs="Times New Roman"/>
          <w:sz w:val="24"/>
          <w:szCs w:val="24"/>
        </w:rPr>
      </w:pPr>
    </w:p>
    <w:p w14:paraId="0EE0268F" w14:textId="703394BF" w:rsidR="00CC5654" w:rsidRPr="009A570F" w:rsidRDefault="00CC5654" w:rsidP="00B374E3">
      <w:pPr>
        <w:spacing w:after="160" w:line="360" w:lineRule="auto"/>
        <w:jc w:val="both"/>
        <w:rPr>
          <w:rFonts w:ascii="Times New Roman" w:eastAsia="Aptos" w:hAnsi="Times New Roman" w:cs="Times New Roman"/>
          <w:sz w:val="24"/>
          <w:szCs w:val="24"/>
        </w:rPr>
      </w:pPr>
      <w:r w:rsidRPr="009A570F">
        <w:rPr>
          <w:rFonts w:ascii="Times New Roman" w:hAnsi="Times New Roman" w:cs="Times New Roman"/>
          <w:sz w:val="24"/>
          <w:szCs w:val="24"/>
        </w:rPr>
        <w:t xml:space="preserve">Referring to </w:t>
      </w:r>
      <w:r w:rsidRPr="009A570F">
        <w:rPr>
          <w:rFonts w:ascii="Times New Roman" w:hAnsi="Times New Roman" w:cs="Times New Roman"/>
          <w:i/>
          <w:iCs/>
          <w:sz w:val="24"/>
          <w:szCs w:val="24"/>
        </w:rPr>
        <w:t>P</w:t>
      </w:r>
      <w:r w:rsidR="0022722F">
        <w:rPr>
          <w:rFonts w:ascii="Times New Roman" w:hAnsi="Times New Roman" w:cs="Times New Roman"/>
          <w:i/>
          <w:iCs/>
          <w:sz w:val="24"/>
          <w:szCs w:val="24"/>
        </w:rPr>
        <w:t xml:space="preserve"> </w:t>
      </w:r>
      <w:r w:rsidRPr="009A570F">
        <w:rPr>
          <w:rFonts w:ascii="Times New Roman" w:hAnsi="Times New Roman" w:cs="Times New Roman"/>
          <w:i/>
          <w:iCs/>
          <w:sz w:val="24"/>
          <w:szCs w:val="24"/>
        </w:rPr>
        <w:t>v</w:t>
      </w:r>
      <w:r w:rsidR="0022722F">
        <w:rPr>
          <w:rFonts w:ascii="Times New Roman" w:hAnsi="Times New Roman" w:cs="Times New Roman"/>
          <w:i/>
          <w:iCs/>
          <w:sz w:val="24"/>
          <w:szCs w:val="24"/>
        </w:rPr>
        <w:t xml:space="preserve"> </w:t>
      </w:r>
      <w:r w:rsidRPr="009A570F">
        <w:rPr>
          <w:rFonts w:ascii="Times New Roman" w:hAnsi="Times New Roman" w:cs="Times New Roman"/>
          <w:i/>
          <w:iCs/>
          <w:sz w:val="24"/>
          <w:szCs w:val="24"/>
        </w:rPr>
        <w:t>S</w:t>
      </w:r>
      <w:r w:rsidRPr="009A570F">
        <w:rPr>
          <w:rFonts w:ascii="Times New Roman" w:hAnsi="Times New Roman" w:cs="Times New Roman"/>
          <w:sz w:val="24"/>
          <w:szCs w:val="24"/>
        </w:rPr>
        <w:t xml:space="preserve">, the UK </w:t>
      </w:r>
      <w:r w:rsidRPr="009A570F">
        <w:rPr>
          <w:rFonts w:ascii="Times New Roman" w:eastAsia="Aptos" w:hAnsi="Times New Roman" w:cs="Times New Roman"/>
          <w:sz w:val="24"/>
          <w:szCs w:val="24"/>
        </w:rPr>
        <w:t>Supreme Court notes in paras. 55-57 how the CJEU considered discrimination arising from gender reassignment as falling within the scope of sex discrimination given that it is a fundamental human right</w:t>
      </w:r>
      <w:r w:rsidR="0022722F">
        <w:rPr>
          <w:rFonts w:ascii="Times New Roman" w:eastAsia="Aptos" w:hAnsi="Times New Roman" w:cs="Times New Roman"/>
          <w:sz w:val="24"/>
          <w:szCs w:val="24"/>
        </w:rPr>
        <w:t>,</w:t>
      </w:r>
      <w:r w:rsidRPr="009A570F">
        <w:rPr>
          <w:rFonts w:ascii="Times New Roman" w:eastAsia="Aptos" w:hAnsi="Times New Roman" w:cs="Times New Roman"/>
          <w:sz w:val="24"/>
          <w:szCs w:val="24"/>
        </w:rPr>
        <w:t xml:space="preserve"> and how this led to the modification of the Sex Discrimination Act 1975 to include gender reassignment discrimination (see </w:t>
      </w:r>
      <w:hyperlink r:id="rId20" w:history="1">
        <w:r w:rsidRPr="009A570F">
          <w:rPr>
            <w:rStyle w:val="Hyperlink"/>
            <w:rFonts w:ascii="Times New Roman" w:eastAsia="Aptos" w:hAnsi="Times New Roman" w:cs="Times New Roman"/>
            <w:sz w:val="24"/>
            <w:szCs w:val="24"/>
          </w:rPr>
          <w:t>The Sex Discrimination (Gender Reassignment) Regulations 1999</w:t>
        </w:r>
      </w:hyperlink>
      <w:r w:rsidRPr="009A570F">
        <w:rPr>
          <w:rFonts w:ascii="Times New Roman" w:eastAsia="Aptos" w:hAnsi="Times New Roman" w:cs="Times New Roman"/>
          <w:sz w:val="24"/>
          <w:szCs w:val="24"/>
        </w:rPr>
        <w:t xml:space="preserve">). This is referring to situations where a person ‘is proposing to undergo, is undergoing or has undergone a process (or part of a process) for the purpose of reassigning the person's sex by changing physiological or other attributes of sex’ (as per the current definition in s. 7 of the Equality Act 2010). </w:t>
      </w:r>
    </w:p>
    <w:p w14:paraId="4833E2B0" w14:textId="07DBED16" w:rsidR="00CC5654" w:rsidRPr="009A570F" w:rsidRDefault="00CC5654" w:rsidP="00CC5654">
      <w:pPr>
        <w:spacing w:after="0" w:line="360" w:lineRule="auto"/>
        <w:jc w:val="both"/>
        <w:rPr>
          <w:rFonts w:ascii="Times New Roman" w:eastAsia="Aptos" w:hAnsi="Times New Roman" w:cs="Times New Roman"/>
          <w:sz w:val="24"/>
          <w:szCs w:val="24"/>
        </w:rPr>
      </w:pPr>
      <w:r w:rsidRPr="009A570F">
        <w:rPr>
          <w:rFonts w:ascii="Times New Roman" w:eastAsia="Aptos" w:hAnsi="Times New Roman" w:cs="Times New Roman"/>
          <w:sz w:val="24"/>
          <w:szCs w:val="24"/>
        </w:rPr>
        <w:t>Crucially, the Supreme Court draws a connection between fundamental human rights protection and discrimination based on gender reassignment</w:t>
      </w:r>
      <w:r w:rsidR="00C668AA">
        <w:rPr>
          <w:rFonts w:ascii="Times New Roman" w:eastAsia="Aptos" w:hAnsi="Times New Roman" w:cs="Times New Roman"/>
          <w:sz w:val="24"/>
          <w:szCs w:val="24"/>
        </w:rPr>
        <w:t>,</w:t>
      </w:r>
      <w:r w:rsidRPr="009A570F">
        <w:rPr>
          <w:rFonts w:ascii="Times New Roman" w:eastAsia="Aptos" w:hAnsi="Times New Roman" w:cs="Times New Roman"/>
          <w:sz w:val="24"/>
          <w:szCs w:val="24"/>
        </w:rPr>
        <w:t xml:space="preserve"> but neglects the most </w:t>
      </w:r>
      <w:r w:rsidR="00C668AA">
        <w:rPr>
          <w:rFonts w:ascii="Times New Roman" w:eastAsia="Aptos" w:hAnsi="Times New Roman" w:cs="Times New Roman"/>
          <w:sz w:val="24"/>
          <w:szCs w:val="24"/>
        </w:rPr>
        <w:t>important</w:t>
      </w:r>
      <w:r w:rsidRPr="009A570F">
        <w:rPr>
          <w:rFonts w:ascii="Times New Roman" w:eastAsia="Aptos" w:hAnsi="Times New Roman" w:cs="Times New Roman"/>
          <w:sz w:val="24"/>
          <w:szCs w:val="24"/>
        </w:rPr>
        <w:t xml:space="preserve"> point of the CJEU’s judgment, namely that the scope of the </w:t>
      </w:r>
      <w:hyperlink r:id="rId21">
        <w:r w:rsidRPr="009A570F">
          <w:rPr>
            <w:rStyle w:val="Hyperlink"/>
            <w:rFonts w:ascii="Times New Roman" w:eastAsia="Aptos" w:hAnsi="Times New Roman" w:cs="Times New Roman"/>
            <w:sz w:val="24"/>
            <w:szCs w:val="24"/>
          </w:rPr>
          <w:t>Equal Treatment Directive</w:t>
        </w:r>
      </w:hyperlink>
      <w:r w:rsidRPr="009A570F">
        <w:rPr>
          <w:rFonts w:ascii="Times New Roman" w:eastAsia="Aptos" w:hAnsi="Times New Roman" w:cs="Times New Roman"/>
          <w:sz w:val="24"/>
          <w:szCs w:val="24"/>
        </w:rPr>
        <w:t xml:space="preserve"> ‘cannot be confined simply to discrimination based on the fact that a person is of one or other sex’ (para</w:t>
      </w:r>
      <w:r w:rsidR="003A0591">
        <w:rPr>
          <w:rFonts w:ascii="Times New Roman" w:eastAsia="Aptos" w:hAnsi="Times New Roman" w:cs="Times New Roman"/>
          <w:sz w:val="24"/>
          <w:szCs w:val="24"/>
        </w:rPr>
        <w:t>.</w:t>
      </w:r>
      <w:r w:rsidRPr="009A570F">
        <w:rPr>
          <w:rFonts w:ascii="Times New Roman" w:eastAsia="Aptos" w:hAnsi="Times New Roman" w:cs="Times New Roman"/>
          <w:sz w:val="24"/>
          <w:szCs w:val="24"/>
        </w:rPr>
        <w:t xml:space="preserve"> 20) and that discrimination based on gender reassignment is based, ‘essentially if not exclusively, on the sex of the person concerned’ (para</w:t>
      </w:r>
      <w:r w:rsidR="003A0591">
        <w:rPr>
          <w:rFonts w:ascii="Times New Roman" w:eastAsia="Aptos" w:hAnsi="Times New Roman" w:cs="Times New Roman"/>
          <w:sz w:val="24"/>
          <w:szCs w:val="24"/>
        </w:rPr>
        <w:t>.</w:t>
      </w:r>
      <w:r w:rsidRPr="009A570F">
        <w:rPr>
          <w:rFonts w:ascii="Times New Roman" w:eastAsia="Aptos" w:hAnsi="Times New Roman" w:cs="Times New Roman"/>
          <w:sz w:val="24"/>
          <w:szCs w:val="24"/>
        </w:rPr>
        <w:t xml:space="preserve"> 21). Sex discrimination in that understanding is not simply about comparative disadvantages, but catches asymmetrical adverse experiences related to sex. In the context of trans discrimination this then includes a right to gender expression and recognition of </w:t>
      </w:r>
      <w:r w:rsidRPr="009A570F">
        <w:rPr>
          <w:rFonts w:ascii="Times New Roman" w:eastAsia="Aptos" w:hAnsi="Times New Roman" w:cs="Times New Roman"/>
          <w:sz w:val="24"/>
          <w:szCs w:val="24"/>
        </w:rPr>
        <w:lastRenderedPageBreak/>
        <w:t>gender identity. The CJEU rejects a strict formalistic approach that essentialises biological sex. Identifying disadvantages based on sex is thus contextual and cannot be confined to technical comparison that accepts an ‘</w:t>
      </w:r>
      <w:hyperlink r:id="rId22" w:history="1">
        <w:r w:rsidRPr="009A570F">
          <w:rPr>
            <w:rStyle w:val="Hyperlink"/>
            <w:rFonts w:ascii="Times New Roman" w:eastAsia="Aptos" w:hAnsi="Times New Roman" w:cs="Times New Roman"/>
            <w:sz w:val="24"/>
            <w:szCs w:val="24"/>
          </w:rPr>
          <w:t>equal misery</w:t>
        </w:r>
      </w:hyperlink>
      <w:r w:rsidRPr="009A570F">
        <w:rPr>
          <w:rFonts w:ascii="Times New Roman" w:eastAsia="Aptos" w:hAnsi="Times New Roman" w:cs="Times New Roman"/>
          <w:sz w:val="24"/>
          <w:szCs w:val="24"/>
        </w:rPr>
        <w:t>’ defence simply because trans men and trans women are treated equally bad</w:t>
      </w:r>
      <w:r w:rsidR="005F140A">
        <w:rPr>
          <w:rFonts w:ascii="Times New Roman" w:eastAsia="Aptos" w:hAnsi="Times New Roman" w:cs="Times New Roman"/>
          <w:sz w:val="24"/>
          <w:szCs w:val="24"/>
        </w:rPr>
        <w:t>ly</w:t>
      </w:r>
      <w:r w:rsidRPr="009A570F">
        <w:rPr>
          <w:rFonts w:ascii="Times New Roman" w:eastAsia="Aptos" w:hAnsi="Times New Roman" w:cs="Times New Roman"/>
          <w:sz w:val="24"/>
          <w:szCs w:val="24"/>
        </w:rPr>
        <w:t xml:space="preserve">. Comparison is only needed to identify the disadvantage. Thus, in </w:t>
      </w:r>
      <w:r w:rsidRPr="009A570F">
        <w:rPr>
          <w:rFonts w:ascii="Times New Roman" w:eastAsia="Aptos" w:hAnsi="Times New Roman" w:cs="Times New Roman"/>
          <w:i/>
          <w:iCs/>
          <w:sz w:val="24"/>
          <w:szCs w:val="24"/>
        </w:rPr>
        <w:t>P</w:t>
      </w:r>
      <w:r w:rsidR="005F140A">
        <w:rPr>
          <w:rFonts w:ascii="Times New Roman" w:eastAsia="Aptos" w:hAnsi="Times New Roman" w:cs="Times New Roman"/>
          <w:i/>
          <w:iCs/>
          <w:sz w:val="24"/>
          <w:szCs w:val="24"/>
        </w:rPr>
        <w:t xml:space="preserve"> </w:t>
      </w:r>
      <w:r w:rsidRPr="009A570F">
        <w:rPr>
          <w:rFonts w:ascii="Times New Roman" w:eastAsia="Aptos" w:hAnsi="Times New Roman" w:cs="Times New Roman"/>
          <w:i/>
          <w:iCs/>
          <w:sz w:val="24"/>
          <w:szCs w:val="24"/>
        </w:rPr>
        <w:t>v</w:t>
      </w:r>
      <w:r w:rsidR="005F140A">
        <w:rPr>
          <w:rFonts w:ascii="Times New Roman" w:eastAsia="Aptos" w:hAnsi="Times New Roman" w:cs="Times New Roman"/>
          <w:i/>
          <w:iCs/>
          <w:sz w:val="24"/>
          <w:szCs w:val="24"/>
        </w:rPr>
        <w:t xml:space="preserve"> </w:t>
      </w:r>
      <w:r w:rsidRPr="009A570F">
        <w:rPr>
          <w:rFonts w:ascii="Times New Roman" w:eastAsia="Aptos" w:hAnsi="Times New Roman" w:cs="Times New Roman"/>
          <w:i/>
          <w:iCs/>
          <w:sz w:val="24"/>
          <w:szCs w:val="24"/>
        </w:rPr>
        <w:t>S</w:t>
      </w:r>
      <w:r w:rsidRPr="009A570F">
        <w:rPr>
          <w:rFonts w:ascii="Times New Roman" w:eastAsia="Aptos" w:hAnsi="Times New Roman" w:cs="Times New Roman"/>
          <w:sz w:val="24"/>
          <w:szCs w:val="24"/>
        </w:rPr>
        <w:t xml:space="preserve"> the CJEU simply states that the claimant was ‘treated unfavourably by comparison with persons of the sex to which she was deemed to belong, before undergoing gender reassignment’ (para</w:t>
      </w:r>
      <w:r w:rsidR="004E4E6E">
        <w:rPr>
          <w:rFonts w:ascii="Times New Roman" w:eastAsia="Aptos" w:hAnsi="Times New Roman" w:cs="Times New Roman"/>
          <w:sz w:val="24"/>
          <w:szCs w:val="24"/>
        </w:rPr>
        <w:t>.</w:t>
      </w:r>
      <w:r w:rsidRPr="009A570F">
        <w:rPr>
          <w:rFonts w:ascii="Times New Roman" w:eastAsia="Aptos" w:hAnsi="Times New Roman" w:cs="Times New Roman"/>
          <w:sz w:val="24"/>
          <w:szCs w:val="24"/>
        </w:rPr>
        <w:t xml:space="preserve"> 21). Yet, the Court could </w:t>
      </w:r>
      <w:r w:rsidR="00721E00">
        <w:rPr>
          <w:rFonts w:ascii="Times New Roman" w:eastAsia="Aptos" w:hAnsi="Times New Roman" w:cs="Times New Roman"/>
          <w:sz w:val="24"/>
          <w:szCs w:val="24"/>
        </w:rPr>
        <w:t xml:space="preserve">also </w:t>
      </w:r>
      <w:r w:rsidRPr="009A570F">
        <w:rPr>
          <w:rFonts w:ascii="Times New Roman" w:eastAsia="Aptos" w:hAnsi="Times New Roman" w:cs="Times New Roman"/>
          <w:sz w:val="24"/>
          <w:szCs w:val="24"/>
        </w:rPr>
        <w:t>have said that she was disadvantaged in comparison to women who did not undergo gender reassignment.</w:t>
      </w:r>
    </w:p>
    <w:p w14:paraId="098C5042" w14:textId="77777777" w:rsidR="00CC5654" w:rsidRPr="009A570F" w:rsidRDefault="00CC5654" w:rsidP="00CC5654">
      <w:pPr>
        <w:spacing w:after="0" w:line="360" w:lineRule="auto"/>
        <w:jc w:val="both"/>
        <w:rPr>
          <w:rFonts w:ascii="Times New Roman" w:eastAsia="Aptos" w:hAnsi="Times New Roman" w:cs="Times New Roman"/>
          <w:sz w:val="24"/>
          <w:szCs w:val="24"/>
        </w:rPr>
      </w:pPr>
    </w:p>
    <w:p w14:paraId="66EFB10B" w14:textId="6485833F" w:rsidR="00CC5654" w:rsidRPr="009A570F" w:rsidRDefault="00CC5654" w:rsidP="00CC5654">
      <w:pPr>
        <w:spacing w:after="0" w:line="360" w:lineRule="auto"/>
        <w:jc w:val="both"/>
        <w:rPr>
          <w:rFonts w:ascii="Times New Roman" w:eastAsia="Aptos" w:hAnsi="Times New Roman" w:cs="Times New Roman"/>
          <w:sz w:val="24"/>
          <w:szCs w:val="24"/>
        </w:rPr>
      </w:pPr>
      <w:r w:rsidRPr="009A570F">
        <w:rPr>
          <w:rFonts w:ascii="Times New Roman" w:eastAsia="Aptos" w:hAnsi="Times New Roman" w:cs="Times New Roman"/>
          <w:sz w:val="24"/>
          <w:szCs w:val="24"/>
        </w:rPr>
        <w:t xml:space="preserve">That it is indeed the right to gender recognition that was underpinning the case in </w:t>
      </w:r>
      <w:r w:rsidRPr="009A570F">
        <w:rPr>
          <w:rFonts w:ascii="Times New Roman" w:eastAsia="Aptos" w:hAnsi="Times New Roman" w:cs="Times New Roman"/>
          <w:i/>
          <w:iCs/>
          <w:sz w:val="24"/>
          <w:szCs w:val="24"/>
        </w:rPr>
        <w:t>P</w:t>
      </w:r>
      <w:r w:rsidR="00721E00">
        <w:rPr>
          <w:rFonts w:ascii="Times New Roman" w:eastAsia="Aptos" w:hAnsi="Times New Roman" w:cs="Times New Roman"/>
          <w:i/>
          <w:iCs/>
          <w:sz w:val="24"/>
          <w:szCs w:val="24"/>
        </w:rPr>
        <w:t xml:space="preserve"> </w:t>
      </w:r>
      <w:r w:rsidRPr="009A570F">
        <w:rPr>
          <w:rFonts w:ascii="Times New Roman" w:eastAsia="Aptos" w:hAnsi="Times New Roman" w:cs="Times New Roman"/>
          <w:i/>
          <w:iCs/>
          <w:sz w:val="24"/>
          <w:szCs w:val="24"/>
        </w:rPr>
        <w:t>v</w:t>
      </w:r>
      <w:r w:rsidR="00721E00">
        <w:rPr>
          <w:rFonts w:ascii="Times New Roman" w:eastAsia="Aptos" w:hAnsi="Times New Roman" w:cs="Times New Roman"/>
          <w:i/>
          <w:iCs/>
          <w:sz w:val="24"/>
          <w:szCs w:val="24"/>
        </w:rPr>
        <w:t xml:space="preserve"> </w:t>
      </w:r>
      <w:r w:rsidRPr="009A570F">
        <w:rPr>
          <w:rFonts w:ascii="Times New Roman" w:eastAsia="Aptos" w:hAnsi="Times New Roman" w:cs="Times New Roman"/>
          <w:i/>
          <w:iCs/>
          <w:sz w:val="24"/>
          <w:szCs w:val="24"/>
        </w:rPr>
        <w:t>S</w:t>
      </w:r>
      <w:r w:rsidRPr="009A570F">
        <w:rPr>
          <w:rFonts w:ascii="Times New Roman" w:eastAsia="Aptos" w:hAnsi="Times New Roman" w:cs="Times New Roman"/>
          <w:sz w:val="24"/>
          <w:szCs w:val="24"/>
        </w:rPr>
        <w:t xml:space="preserve"> was confirmed in subsequent CJEU cases, all of which originated from the UK. In </w:t>
      </w:r>
      <w:hyperlink r:id="rId23" w:history="1">
        <w:r w:rsidRPr="009A570F">
          <w:rPr>
            <w:rStyle w:val="Hyperlink"/>
            <w:rFonts w:ascii="Times New Roman" w:eastAsia="Aptos" w:hAnsi="Times New Roman" w:cs="Times New Roman"/>
            <w:i/>
            <w:iCs/>
            <w:sz w:val="24"/>
            <w:szCs w:val="24"/>
          </w:rPr>
          <w:t>KB v National Health Service Pensions Agency</w:t>
        </w:r>
      </w:hyperlink>
      <w:r w:rsidRPr="009A570F">
        <w:rPr>
          <w:rFonts w:ascii="Times New Roman" w:eastAsia="Aptos" w:hAnsi="Times New Roman" w:cs="Times New Roman"/>
          <w:sz w:val="24"/>
          <w:szCs w:val="24"/>
        </w:rPr>
        <w:t>, the claimant was entitled to a survivor pension for her unmarried partner who was a trans man, because the lack of recognition of her partner’s gender identity prevented them from marrying</w:t>
      </w:r>
      <w:r w:rsidR="00871C4D">
        <w:rPr>
          <w:rFonts w:ascii="Times New Roman" w:eastAsia="Aptos" w:hAnsi="Times New Roman" w:cs="Times New Roman"/>
          <w:sz w:val="24"/>
          <w:szCs w:val="24"/>
        </w:rPr>
        <w:t>,</w:t>
      </w:r>
      <w:r w:rsidRPr="009A570F">
        <w:rPr>
          <w:rFonts w:ascii="Times New Roman" w:eastAsia="Aptos" w:hAnsi="Times New Roman" w:cs="Times New Roman"/>
          <w:sz w:val="24"/>
          <w:szCs w:val="24"/>
        </w:rPr>
        <w:t xml:space="preserve"> as marriage was only available for different-sex couples at the time. Even more pronounced, in </w:t>
      </w:r>
      <w:hyperlink r:id="rId24" w:history="1">
        <w:r w:rsidRPr="009A570F">
          <w:rPr>
            <w:rStyle w:val="Hyperlink"/>
            <w:rFonts w:ascii="Times New Roman" w:eastAsia="Aptos" w:hAnsi="Times New Roman" w:cs="Times New Roman"/>
            <w:i/>
            <w:iCs/>
            <w:sz w:val="24"/>
            <w:szCs w:val="24"/>
          </w:rPr>
          <w:t>Richards v Secretary of State for Work and Pensions</w:t>
        </w:r>
      </w:hyperlink>
      <w:r w:rsidRPr="009A570F">
        <w:rPr>
          <w:rFonts w:ascii="Times New Roman" w:eastAsia="Aptos" w:hAnsi="Times New Roman" w:cs="Times New Roman"/>
          <w:sz w:val="24"/>
          <w:szCs w:val="24"/>
        </w:rPr>
        <w:t xml:space="preserve">, the CJEU recognised that a trans woman was suffering a disadvantage because she did not have access to a pension at the age of the female retirement age. Without the right to recognition that disadvantage would have been non-existent, since she was being treated as if she </w:t>
      </w:r>
      <w:r w:rsidR="00B54176">
        <w:rPr>
          <w:rFonts w:ascii="Times New Roman" w:eastAsia="Aptos" w:hAnsi="Times New Roman" w:cs="Times New Roman"/>
          <w:sz w:val="24"/>
          <w:szCs w:val="24"/>
        </w:rPr>
        <w:t xml:space="preserve">was </w:t>
      </w:r>
      <w:r w:rsidRPr="009A570F">
        <w:rPr>
          <w:rFonts w:ascii="Times New Roman" w:eastAsia="Aptos" w:hAnsi="Times New Roman" w:cs="Times New Roman"/>
          <w:sz w:val="24"/>
          <w:szCs w:val="24"/>
        </w:rPr>
        <w:t xml:space="preserve">male, and EU law does not ban different retirement ages based on sex. More recently, in </w:t>
      </w:r>
      <w:hyperlink r:id="rId25" w:history="1">
        <w:r w:rsidRPr="009A570F">
          <w:rPr>
            <w:rStyle w:val="Hyperlink"/>
            <w:rFonts w:ascii="Times New Roman" w:eastAsia="Aptos" w:hAnsi="Times New Roman" w:cs="Times New Roman"/>
            <w:i/>
            <w:iCs/>
            <w:sz w:val="24"/>
            <w:szCs w:val="24"/>
          </w:rPr>
          <w:t xml:space="preserve">MB v Secretary of State for Work </w:t>
        </w:r>
        <w:r w:rsidR="00427A9A">
          <w:rPr>
            <w:rStyle w:val="Hyperlink"/>
            <w:rFonts w:ascii="Times New Roman" w:eastAsia="Aptos" w:hAnsi="Times New Roman" w:cs="Times New Roman"/>
            <w:i/>
            <w:iCs/>
            <w:sz w:val="24"/>
            <w:szCs w:val="24"/>
          </w:rPr>
          <w:t>and</w:t>
        </w:r>
        <w:r w:rsidRPr="009A570F">
          <w:rPr>
            <w:rStyle w:val="Hyperlink"/>
            <w:rFonts w:ascii="Times New Roman" w:eastAsia="Aptos" w:hAnsi="Times New Roman" w:cs="Times New Roman"/>
            <w:i/>
            <w:iCs/>
            <w:sz w:val="24"/>
            <w:szCs w:val="24"/>
          </w:rPr>
          <w:t xml:space="preserve"> Pensions</w:t>
        </w:r>
      </w:hyperlink>
      <w:r w:rsidRPr="009A570F">
        <w:rPr>
          <w:rFonts w:ascii="Times New Roman" w:eastAsia="Aptos" w:hAnsi="Times New Roman" w:cs="Times New Roman"/>
          <w:sz w:val="24"/>
          <w:szCs w:val="24"/>
        </w:rPr>
        <w:t xml:space="preserve"> the Court recognised the claimant</w:t>
      </w:r>
      <w:r w:rsidR="000F2547">
        <w:rPr>
          <w:rFonts w:ascii="Times New Roman" w:eastAsia="Aptos" w:hAnsi="Times New Roman" w:cs="Times New Roman"/>
          <w:sz w:val="24"/>
          <w:szCs w:val="24"/>
        </w:rPr>
        <w:t>’</w:t>
      </w:r>
      <w:r w:rsidRPr="009A570F">
        <w:rPr>
          <w:rFonts w:ascii="Times New Roman" w:eastAsia="Aptos" w:hAnsi="Times New Roman" w:cs="Times New Roman"/>
          <w:sz w:val="24"/>
          <w:szCs w:val="24"/>
        </w:rPr>
        <w:t xml:space="preserve">s gender identity irrespective </w:t>
      </w:r>
      <w:r w:rsidR="000F2547">
        <w:rPr>
          <w:rFonts w:ascii="Times New Roman" w:eastAsia="Aptos" w:hAnsi="Times New Roman" w:cs="Times New Roman"/>
          <w:sz w:val="24"/>
          <w:szCs w:val="24"/>
        </w:rPr>
        <w:t>of</w:t>
      </w:r>
      <w:r w:rsidRPr="009A570F">
        <w:rPr>
          <w:rFonts w:ascii="Times New Roman" w:eastAsia="Aptos" w:hAnsi="Times New Roman" w:cs="Times New Roman"/>
          <w:sz w:val="24"/>
          <w:szCs w:val="24"/>
        </w:rPr>
        <w:t xml:space="preserve"> national conditions. Specifically, it held that ‘persons who have lived for a significant period as persons of a gender other than their birth gender and who have undergone a gender reassignment operation must be considered to have changed gender’ (para</w:t>
      </w:r>
      <w:r w:rsidR="00990B01">
        <w:rPr>
          <w:rFonts w:ascii="Times New Roman" w:eastAsia="Aptos" w:hAnsi="Times New Roman" w:cs="Times New Roman"/>
          <w:sz w:val="24"/>
          <w:szCs w:val="24"/>
        </w:rPr>
        <w:t>.</w:t>
      </w:r>
      <w:r w:rsidRPr="009A570F">
        <w:rPr>
          <w:rFonts w:ascii="Times New Roman" w:eastAsia="Aptos" w:hAnsi="Times New Roman" w:cs="Times New Roman"/>
          <w:sz w:val="24"/>
          <w:szCs w:val="24"/>
        </w:rPr>
        <w:t xml:space="preserve"> 35). The annulment </w:t>
      </w:r>
      <w:r w:rsidR="004F46A3">
        <w:rPr>
          <w:rFonts w:ascii="Times New Roman" w:eastAsia="Aptos" w:hAnsi="Times New Roman" w:cs="Times New Roman"/>
          <w:sz w:val="24"/>
          <w:szCs w:val="24"/>
        </w:rPr>
        <w:t xml:space="preserve">of marriage </w:t>
      </w:r>
      <w:r w:rsidRPr="009A570F">
        <w:rPr>
          <w:rFonts w:ascii="Times New Roman" w:eastAsia="Aptos" w:hAnsi="Times New Roman" w:cs="Times New Roman"/>
          <w:sz w:val="24"/>
          <w:szCs w:val="24"/>
        </w:rPr>
        <w:t xml:space="preserve">requirement prior to the legal recognition of that gender identity then was considered a specific disadvantage suffered by those </w:t>
      </w:r>
      <w:r w:rsidR="00741BE1">
        <w:rPr>
          <w:rFonts w:ascii="Times New Roman" w:eastAsia="Aptos" w:hAnsi="Times New Roman" w:cs="Times New Roman"/>
          <w:sz w:val="24"/>
          <w:szCs w:val="24"/>
        </w:rPr>
        <w:t>who</w:t>
      </w:r>
      <w:r w:rsidRPr="009A570F">
        <w:rPr>
          <w:rFonts w:ascii="Times New Roman" w:eastAsia="Aptos" w:hAnsi="Times New Roman" w:cs="Times New Roman"/>
          <w:sz w:val="24"/>
          <w:szCs w:val="24"/>
        </w:rPr>
        <w:t xml:space="preserve"> undergo gender </w:t>
      </w:r>
      <w:proofErr w:type="gramStart"/>
      <w:r w:rsidRPr="009A570F">
        <w:rPr>
          <w:rFonts w:ascii="Times New Roman" w:eastAsia="Aptos" w:hAnsi="Times New Roman" w:cs="Times New Roman"/>
          <w:sz w:val="24"/>
          <w:szCs w:val="24"/>
        </w:rPr>
        <w:t>reassignment</w:t>
      </w:r>
      <w:r w:rsidR="00EF14EF">
        <w:rPr>
          <w:rFonts w:ascii="Times New Roman" w:eastAsia="Aptos" w:hAnsi="Times New Roman" w:cs="Times New Roman"/>
          <w:sz w:val="24"/>
          <w:szCs w:val="24"/>
        </w:rPr>
        <w:t>,</w:t>
      </w:r>
      <w:r w:rsidRPr="009A570F">
        <w:rPr>
          <w:rFonts w:ascii="Times New Roman" w:eastAsia="Aptos" w:hAnsi="Times New Roman" w:cs="Times New Roman"/>
          <w:sz w:val="24"/>
          <w:szCs w:val="24"/>
        </w:rPr>
        <w:t xml:space="preserve"> and</w:t>
      </w:r>
      <w:proofErr w:type="gramEnd"/>
      <w:r w:rsidRPr="009A570F">
        <w:rPr>
          <w:rFonts w:ascii="Times New Roman" w:eastAsia="Aptos" w:hAnsi="Times New Roman" w:cs="Times New Roman"/>
          <w:sz w:val="24"/>
          <w:szCs w:val="24"/>
        </w:rPr>
        <w:t xml:space="preserve"> could not prevent access to the State retirement pension. In all three of these cases, EU non-discrimination law (which was applicable in the UK at the time that Parliament enacted the Equality Act 2010) required that, in at least some circumstances, Member States recognise trans people as having their lived, not their biological, sex for the purposes of equal access to employment or social security-related benefits. Indeed, if, </w:t>
      </w:r>
      <w:r w:rsidRPr="009A570F">
        <w:rPr>
          <w:rFonts w:ascii="Times New Roman" w:eastAsia="Aptos" w:hAnsi="Times New Roman" w:cs="Times New Roman"/>
          <w:sz w:val="24"/>
          <w:szCs w:val="24"/>
        </w:rPr>
        <w:lastRenderedPageBreak/>
        <w:t xml:space="preserve">between 2010 and 2020, UK legislation had deviated from this requirement, the UK Supreme Court would have been obliged, as in the case of </w:t>
      </w:r>
      <w:r w:rsidRPr="00B374E3">
        <w:rPr>
          <w:rFonts w:ascii="Times New Roman" w:eastAsia="Aptos" w:hAnsi="Times New Roman" w:cs="Times New Roman"/>
          <w:i/>
          <w:iCs/>
          <w:sz w:val="24"/>
          <w:szCs w:val="24"/>
        </w:rPr>
        <w:t>MB</w:t>
      </w:r>
      <w:r w:rsidR="005C4720">
        <w:rPr>
          <w:rFonts w:ascii="Times New Roman" w:eastAsia="Aptos" w:hAnsi="Times New Roman" w:cs="Times New Roman"/>
          <w:sz w:val="24"/>
          <w:szCs w:val="24"/>
        </w:rPr>
        <w:t>,</w:t>
      </w:r>
      <w:r w:rsidRPr="009A570F">
        <w:rPr>
          <w:rFonts w:ascii="Times New Roman" w:eastAsia="Aptos" w:hAnsi="Times New Roman" w:cs="Times New Roman"/>
          <w:sz w:val="24"/>
          <w:szCs w:val="24"/>
        </w:rPr>
        <w:t xml:space="preserve"> to disapply national law. </w:t>
      </w:r>
    </w:p>
    <w:p w14:paraId="1467CE43" w14:textId="77777777" w:rsidR="00CC5654" w:rsidRPr="009A570F" w:rsidRDefault="00CC5654" w:rsidP="00CC5654">
      <w:pPr>
        <w:spacing w:after="0" w:line="360" w:lineRule="auto"/>
        <w:jc w:val="both"/>
        <w:rPr>
          <w:rFonts w:ascii="Times New Roman" w:eastAsia="Aptos" w:hAnsi="Times New Roman" w:cs="Times New Roman"/>
          <w:sz w:val="24"/>
          <w:szCs w:val="24"/>
        </w:rPr>
      </w:pPr>
    </w:p>
    <w:p w14:paraId="6D609CF4" w14:textId="4C11B958" w:rsidR="00CC5654" w:rsidRPr="009A570F" w:rsidRDefault="00CC5654" w:rsidP="00CC5654">
      <w:pPr>
        <w:spacing w:after="0" w:line="360" w:lineRule="auto"/>
        <w:jc w:val="both"/>
        <w:rPr>
          <w:rFonts w:ascii="Times New Roman" w:hAnsi="Times New Roman" w:cs="Times New Roman"/>
          <w:sz w:val="24"/>
          <w:szCs w:val="24"/>
        </w:rPr>
      </w:pPr>
      <w:r w:rsidRPr="009A570F">
        <w:rPr>
          <w:rFonts w:ascii="Times New Roman" w:eastAsia="Aptos" w:hAnsi="Times New Roman" w:cs="Times New Roman"/>
          <w:sz w:val="24"/>
          <w:szCs w:val="24"/>
        </w:rPr>
        <w:t>The Supreme Court’s judgment does not engage with any of this, despite these judgments being given effect within the UK legal framework. Instead, it drew sharp distinctions between sex and gender reassignment</w:t>
      </w:r>
      <w:r w:rsidRPr="009A570F">
        <w:rPr>
          <w:rFonts w:ascii="Times New Roman" w:hAnsi="Times New Roman" w:cs="Times New Roman"/>
          <w:sz w:val="24"/>
          <w:szCs w:val="24"/>
        </w:rPr>
        <w:t xml:space="preserve"> which enabled it to </w:t>
      </w:r>
      <w:r w:rsidRPr="009A570F">
        <w:rPr>
          <w:rFonts w:ascii="Times New Roman" w:eastAsia="Aptos" w:hAnsi="Times New Roman" w:cs="Times New Roman"/>
          <w:sz w:val="24"/>
          <w:szCs w:val="24"/>
        </w:rPr>
        <w:t>neglect the gendered dimensions of inequality that are rooted in misogyny and disadvantage women and trans people alike, although not always in the same manner. In the light of this, one may consider there to be a real risk in the Equality Act 2010’s approach</w:t>
      </w:r>
      <w:r w:rsidR="00D57A86">
        <w:rPr>
          <w:rFonts w:ascii="Times New Roman" w:eastAsia="Aptos" w:hAnsi="Times New Roman" w:cs="Times New Roman"/>
          <w:sz w:val="24"/>
          <w:szCs w:val="24"/>
        </w:rPr>
        <w:t xml:space="preserve"> of</w:t>
      </w:r>
      <w:r w:rsidRPr="009A570F">
        <w:rPr>
          <w:rFonts w:ascii="Times New Roman" w:eastAsia="Aptos" w:hAnsi="Times New Roman" w:cs="Times New Roman"/>
          <w:sz w:val="24"/>
          <w:szCs w:val="24"/>
        </w:rPr>
        <w:t xml:space="preserve"> explicitly recognising specific asymmetric characteristics such as ‘gender reassignment’, but also ‘pregnancy’, instead of subsuming these categories under the scope of ‘sex’. Indeed, what was once celebrated as making rights visible may in the post-Brexit </w:t>
      </w:r>
      <w:r w:rsidR="002602F9">
        <w:rPr>
          <w:rFonts w:ascii="Times New Roman" w:eastAsia="Aptos" w:hAnsi="Times New Roman" w:cs="Times New Roman"/>
          <w:sz w:val="24"/>
          <w:szCs w:val="24"/>
        </w:rPr>
        <w:t>e</w:t>
      </w:r>
      <w:r w:rsidRPr="009A570F">
        <w:rPr>
          <w:rFonts w:ascii="Times New Roman" w:eastAsia="Aptos" w:hAnsi="Times New Roman" w:cs="Times New Roman"/>
          <w:sz w:val="24"/>
          <w:szCs w:val="24"/>
        </w:rPr>
        <w:t xml:space="preserve">ra encourage the development of overly </w:t>
      </w:r>
      <w:hyperlink r:id="rId26" w:anchor=":~:text=Chapter%2016%3A%20Equality%20law%20after%20%27Brexit%27%20-%20stunted,is%20likely%20to%20be%20differentiated%20in%20the%20UK." w:history="1">
        <w:r w:rsidRPr="009A570F">
          <w:rPr>
            <w:rStyle w:val="Hyperlink"/>
            <w:rFonts w:ascii="Times New Roman" w:hAnsi="Times New Roman" w:cs="Times New Roman"/>
            <w:sz w:val="24"/>
            <w:szCs w:val="24"/>
          </w:rPr>
          <w:t>technical definitions</w:t>
        </w:r>
      </w:hyperlink>
      <w:r w:rsidRPr="009A570F">
        <w:rPr>
          <w:rFonts w:ascii="Times New Roman" w:hAnsi="Times New Roman" w:cs="Times New Roman"/>
          <w:sz w:val="24"/>
          <w:szCs w:val="24"/>
        </w:rPr>
        <w:t xml:space="preserve"> that are void of context, create blind spots, and significantly reduce the effectiveness of sex discrimination law. </w:t>
      </w:r>
    </w:p>
    <w:p w14:paraId="4C159A8E" w14:textId="51F5D328" w:rsidR="0053333C" w:rsidRPr="00D35442" w:rsidRDefault="0053333C" w:rsidP="00CC5654">
      <w:pPr>
        <w:pStyle w:val="Heading2"/>
        <w:jc w:val="both"/>
        <w:rPr>
          <w:color w:val="000000"/>
        </w:rPr>
      </w:pPr>
    </w:p>
    <w:sectPr w:rsidR="0053333C" w:rsidRPr="00D35442" w:rsidSect="00137478">
      <w:headerReference w:type="even" r:id="rId27"/>
      <w:headerReference w:type="default" r:id="rId28"/>
      <w:footerReference w:type="even" r:id="rId29"/>
      <w:footerReference w:type="defaul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C138F" w14:textId="77777777" w:rsidR="00A85E76" w:rsidRDefault="00A85E76" w:rsidP="005E341F">
      <w:pPr>
        <w:spacing w:after="0" w:line="240" w:lineRule="auto"/>
      </w:pPr>
      <w:r>
        <w:separator/>
      </w:r>
    </w:p>
  </w:endnote>
  <w:endnote w:type="continuationSeparator" w:id="0">
    <w:p w14:paraId="57CE1AA6" w14:textId="77777777" w:rsidR="00A85E76" w:rsidRDefault="00A85E76" w:rsidP="005E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CA2B" w14:textId="04DF9883" w:rsidR="00137478" w:rsidRDefault="00137478">
    <w:pPr>
      <w:pStyle w:val="Footer"/>
      <w:jc w:val="center"/>
    </w:pPr>
    <w:r>
      <w:t>_____________________________________________________________________________________</w:t>
    </w:r>
  </w:p>
  <w:p w14:paraId="10EA9BD4" w14:textId="77777777" w:rsidR="00137478" w:rsidRDefault="00137478">
    <w:pPr>
      <w:pStyle w:val="Footer"/>
      <w:jc w:val="center"/>
    </w:pPr>
  </w:p>
  <w:p w14:paraId="63762577" w14:textId="6143E581" w:rsidR="00137478" w:rsidRDefault="00000000">
    <w:pPr>
      <w:pStyle w:val="Footer"/>
      <w:jc w:val="center"/>
    </w:pPr>
    <w:sdt>
      <w:sdtPr>
        <w:id w:val="-1057627122"/>
        <w:docPartObj>
          <w:docPartGallery w:val="Page Numbers (Bottom of Page)"/>
          <w:docPartUnique/>
        </w:docPartObj>
      </w:sdtPr>
      <w:sdtEndPr>
        <w:rPr>
          <w:noProof/>
        </w:rPr>
      </w:sdtEndPr>
      <w:sdtContent>
        <w:r w:rsidR="00137478">
          <w:fldChar w:fldCharType="begin"/>
        </w:r>
        <w:r w:rsidR="00137478">
          <w:instrText xml:space="preserve"> PAGE   \* MERGEFORMAT </w:instrText>
        </w:r>
        <w:r w:rsidR="00137478">
          <w:fldChar w:fldCharType="separate"/>
        </w:r>
        <w:r w:rsidR="00137478">
          <w:rPr>
            <w:noProof/>
          </w:rPr>
          <w:t>20</w:t>
        </w:r>
        <w:r w:rsidR="00137478">
          <w:rPr>
            <w:noProof/>
          </w:rPr>
          <w:fldChar w:fldCharType="end"/>
        </w:r>
      </w:sdtContent>
    </w:sdt>
  </w:p>
  <w:p w14:paraId="55BC108B" w14:textId="77777777" w:rsidR="00137478" w:rsidRDefault="00137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7E8C" w14:textId="13315662" w:rsidR="00137478" w:rsidRDefault="00137478">
    <w:pPr>
      <w:pStyle w:val="Footer"/>
      <w:jc w:val="center"/>
    </w:pPr>
    <w:r>
      <w:t>_____________________________________________________________________________________</w:t>
    </w:r>
  </w:p>
  <w:p w14:paraId="66CBADD0" w14:textId="77777777" w:rsidR="00137478" w:rsidRDefault="00137478">
    <w:pPr>
      <w:pStyle w:val="Footer"/>
      <w:jc w:val="center"/>
    </w:pPr>
  </w:p>
  <w:p w14:paraId="376607DD" w14:textId="7AF67763" w:rsidR="00137478" w:rsidRDefault="00000000">
    <w:pPr>
      <w:pStyle w:val="Footer"/>
      <w:jc w:val="center"/>
    </w:pPr>
    <w:sdt>
      <w:sdtPr>
        <w:id w:val="-1143966835"/>
        <w:docPartObj>
          <w:docPartGallery w:val="Page Numbers (Bottom of Page)"/>
          <w:docPartUnique/>
        </w:docPartObj>
      </w:sdtPr>
      <w:sdtEndPr>
        <w:rPr>
          <w:noProof/>
        </w:rPr>
      </w:sdtEndPr>
      <w:sdtContent>
        <w:r w:rsidR="00137478">
          <w:fldChar w:fldCharType="begin"/>
        </w:r>
        <w:r w:rsidR="00137478">
          <w:instrText xml:space="preserve"> PAGE   \* MERGEFORMAT </w:instrText>
        </w:r>
        <w:r w:rsidR="00137478">
          <w:fldChar w:fldCharType="separate"/>
        </w:r>
        <w:r w:rsidR="00137478">
          <w:rPr>
            <w:noProof/>
          </w:rPr>
          <w:t>19</w:t>
        </w:r>
        <w:r w:rsidR="00137478">
          <w:rPr>
            <w:noProof/>
          </w:rPr>
          <w:fldChar w:fldCharType="end"/>
        </w:r>
      </w:sdtContent>
    </w:sdt>
  </w:p>
  <w:p w14:paraId="0DE1E395" w14:textId="77777777" w:rsidR="00137478" w:rsidRDefault="00137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97742" w14:textId="77777777" w:rsidR="00A85E76" w:rsidRDefault="00A85E76" w:rsidP="005E341F">
      <w:pPr>
        <w:spacing w:after="0" w:line="240" w:lineRule="auto"/>
      </w:pPr>
      <w:r>
        <w:separator/>
      </w:r>
    </w:p>
  </w:footnote>
  <w:footnote w:type="continuationSeparator" w:id="0">
    <w:p w14:paraId="757397CA" w14:textId="77777777" w:rsidR="00A85E76" w:rsidRDefault="00A85E76" w:rsidP="005E341F">
      <w:pPr>
        <w:spacing w:after="0" w:line="240" w:lineRule="auto"/>
      </w:pPr>
      <w:r>
        <w:continuationSeparator/>
      </w:r>
    </w:p>
  </w:footnote>
  <w:footnote w:id="1">
    <w:p w14:paraId="37779B21" w14:textId="28E457EF" w:rsidR="00E371B6" w:rsidRPr="00D35442" w:rsidRDefault="44377D72" w:rsidP="2A443009">
      <w:pPr>
        <w:pStyle w:val="FootnoteText"/>
        <w:rPr>
          <w:rFonts w:ascii="Times New Roman" w:eastAsia="Times New Roman" w:hAnsi="Times New Roman" w:cs="Times New Roman"/>
        </w:rPr>
      </w:pPr>
      <w:r w:rsidRPr="44377D72">
        <w:rPr>
          <w:rStyle w:val="FootnoteReference"/>
          <w:rFonts w:ascii="Times New Roman" w:eastAsia="Times New Roman" w:hAnsi="Times New Roman" w:cs="Times New Roman"/>
        </w:rPr>
        <w:t>*</w:t>
      </w:r>
      <w:r w:rsidRPr="009A02BA">
        <w:rPr>
          <w:rFonts w:ascii="Times New Roman" w:eastAsia="Times New Roman" w:hAnsi="Times New Roman" w:cs="Times New Roman"/>
        </w:rPr>
        <w:t xml:space="preserve">Associate Professor, University of Bristol Law School, </w:t>
      </w:r>
      <w:hyperlink r:id="rId1" w:history="1">
        <w:r w:rsidR="00CC5654" w:rsidRPr="00654478">
          <w:rPr>
            <w:rStyle w:val="Hyperlink"/>
            <w:rFonts w:ascii="Times New Roman" w:eastAsia="Times New Roman" w:hAnsi="Times New Roman" w:cs="Times New Roman"/>
          </w:rPr>
          <w:t>jule.mulder@bristol.ac.uk</w:t>
        </w:r>
      </w:hyperlink>
      <w:r w:rsidR="00CC5654">
        <w:rPr>
          <w:rFonts w:ascii="Times New Roman" w:eastAsia="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8F88" w14:textId="36E3E5D0" w:rsidR="00137478" w:rsidRDefault="00CC5654" w:rsidP="00DB4012">
    <w:pPr>
      <w:pStyle w:val="Header"/>
      <w:tabs>
        <w:tab w:val="clear" w:pos="4513"/>
        <w:tab w:val="clear" w:pos="9026"/>
        <w:tab w:val="right" w:pos="9214"/>
      </w:tabs>
      <w:jc w:val="both"/>
    </w:pPr>
    <w:r>
      <w:t>Mulder</w:t>
    </w:r>
    <w:r w:rsidR="2A443009">
      <w:t xml:space="preserve"> </w:t>
    </w:r>
    <w:r w:rsidR="00DB4012">
      <w:tab/>
    </w:r>
    <w:r w:rsidRPr="00DB4012">
      <w:rPr>
        <w:i/>
        <w:iCs/>
      </w:rPr>
      <w:t>For Women Scotland</w:t>
    </w:r>
    <w:r w:rsidRPr="00CC5654">
      <w:t xml:space="preserve"> and the CJEU’s conceptualisation of sex discrimination</w:t>
    </w:r>
  </w:p>
  <w:p w14:paraId="4C0F4089" w14:textId="5B498B32" w:rsidR="00137478" w:rsidRDefault="00137478" w:rsidP="00137478">
    <w:pPr>
      <w:pStyle w:val="Header"/>
      <w:tabs>
        <w:tab w:val="clear" w:pos="4513"/>
        <w:tab w:val="clear" w:pos="9026"/>
        <w:tab w:val="right" w:pos="9214"/>
      </w:tabs>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846244"/>
      <w:docPartObj>
        <w:docPartGallery w:val="Page Numbers (Top of Page)"/>
        <w:docPartUnique/>
      </w:docPartObj>
    </w:sdtPr>
    <w:sdtEndPr>
      <w:rPr>
        <w:noProof/>
      </w:rPr>
    </w:sdtEndPr>
    <w:sdtContent>
      <w:p w14:paraId="274639E1" w14:textId="2AE1CDA1" w:rsidR="00137478" w:rsidRDefault="00137478" w:rsidP="00137478">
        <w:pPr>
          <w:pStyle w:val="Header"/>
          <w:tabs>
            <w:tab w:val="clear" w:pos="9026"/>
            <w:tab w:val="right" w:pos="9214"/>
          </w:tabs>
        </w:pPr>
        <w:proofErr w:type="spellStart"/>
        <w:r>
          <w:rPr>
            <w:i/>
          </w:rPr>
          <w:t>feminists@law</w:t>
        </w:r>
        <w:proofErr w:type="spellEnd"/>
        <w:r>
          <w:tab/>
        </w:r>
        <w:r>
          <w:tab/>
          <w:t xml:space="preserve">Vol </w:t>
        </w:r>
        <w:r w:rsidR="00D059C4">
          <w:t>14</w:t>
        </w:r>
        <w:r>
          <w:t xml:space="preserve">, No </w:t>
        </w:r>
        <w:r w:rsidR="00D059C4">
          <w:t>2</w:t>
        </w:r>
        <w:r>
          <w:t xml:space="preserve"> (202</w:t>
        </w:r>
        <w:r w:rsidR="00D91BE2">
          <w:t>5</w:t>
        </w:r>
        <w:r>
          <w:t>)</w:t>
        </w:r>
      </w:p>
      <w:p w14:paraId="5EE0879C" w14:textId="3EDED309" w:rsidR="00092A87" w:rsidRDefault="00137478" w:rsidP="00137478">
        <w:pPr>
          <w:pStyle w:val="Header"/>
          <w:tabs>
            <w:tab w:val="clear" w:pos="9026"/>
            <w:tab w:val="right" w:pos="9214"/>
          </w:tabs>
        </w:pPr>
        <w:r>
          <w:t>_____________________________________________________________________________________</w:t>
        </w:r>
      </w:p>
    </w:sdtContent>
  </w:sdt>
  <w:p w14:paraId="66BF61FB" w14:textId="77777777" w:rsidR="00092A87" w:rsidRDefault="00092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193"/>
    <w:multiLevelType w:val="hybridMultilevel"/>
    <w:tmpl w:val="BC4651BA"/>
    <w:lvl w:ilvl="0" w:tplc="38265860">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B0FE3"/>
    <w:multiLevelType w:val="hybridMultilevel"/>
    <w:tmpl w:val="80B052F6"/>
    <w:lvl w:ilvl="0" w:tplc="2CBA4B3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E3288"/>
    <w:multiLevelType w:val="hybridMultilevel"/>
    <w:tmpl w:val="A84C0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B77A5"/>
    <w:multiLevelType w:val="hybridMultilevel"/>
    <w:tmpl w:val="B680F1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243C6B"/>
    <w:multiLevelType w:val="hybridMultilevel"/>
    <w:tmpl w:val="BDDC326A"/>
    <w:lvl w:ilvl="0" w:tplc="A132AB5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809D8"/>
    <w:multiLevelType w:val="hybridMultilevel"/>
    <w:tmpl w:val="B168571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D4F595D"/>
    <w:multiLevelType w:val="hybridMultilevel"/>
    <w:tmpl w:val="35DA3C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6B5699"/>
    <w:multiLevelType w:val="hybridMultilevel"/>
    <w:tmpl w:val="558668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C0200A7A">
      <w:start w:val="1"/>
      <w:numFmt w:val="decimal"/>
      <w:lvlText w:val="%3."/>
      <w:lvlJc w:val="right"/>
      <w:pPr>
        <w:ind w:left="2160" w:hanging="180"/>
      </w:pPr>
      <w:rPr>
        <w:rFonts w:ascii="Tahoma" w:eastAsiaTheme="minorHAnsi" w:hAnsi="Tahoma" w:cs="Tahoma"/>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30207D"/>
    <w:multiLevelType w:val="hybridMultilevel"/>
    <w:tmpl w:val="6406C640"/>
    <w:lvl w:ilvl="0" w:tplc="8EAAB80E">
      <w:start w:val="21"/>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06DB7"/>
    <w:multiLevelType w:val="hybridMultilevel"/>
    <w:tmpl w:val="B77CA47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9C701A4"/>
    <w:multiLevelType w:val="hybridMultilevel"/>
    <w:tmpl w:val="143E05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EF6695"/>
    <w:multiLevelType w:val="hybridMultilevel"/>
    <w:tmpl w:val="2A14853C"/>
    <w:lvl w:ilvl="0" w:tplc="1D8E58B2">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1800C5"/>
    <w:multiLevelType w:val="hybridMultilevel"/>
    <w:tmpl w:val="AC1ADFD2"/>
    <w:lvl w:ilvl="0" w:tplc="035887D0">
      <w:start w:val="2004"/>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59660F"/>
    <w:multiLevelType w:val="hybridMultilevel"/>
    <w:tmpl w:val="3D16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8286A"/>
    <w:multiLevelType w:val="hybridMultilevel"/>
    <w:tmpl w:val="8AB47F84"/>
    <w:lvl w:ilvl="0" w:tplc="50E4ACCC">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703780"/>
    <w:multiLevelType w:val="hybridMultilevel"/>
    <w:tmpl w:val="0994D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561634">
    <w:abstractNumId w:val="1"/>
  </w:num>
  <w:num w:numId="2" w16cid:durableId="1205481129">
    <w:abstractNumId w:val="0"/>
  </w:num>
  <w:num w:numId="3" w16cid:durableId="1487161642">
    <w:abstractNumId w:val="2"/>
  </w:num>
  <w:num w:numId="4" w16cid:durableId="604381268">
    <w:abstractNumId w:val="6"/>
  </w:num>
  <w:num w:numId="5" w16cid:durableId="1702242020">
    <w:abstractNumId w:val="9"/>
  </w:num>
  <w:num w:numId="6" w16cid:durableId="836188450">
    <w:abstractNumId w:val="7"/>
  </w:num>
  <w:num w:numId="7" w16cid:durableId="848519353">
    <w:abstractNumId w:val="3"/>
  </w:num>
  <w:num w:numId="8" w16cid:durableId="1160148558">
    <w:abstractNumId w:val="15"/>
  </w:num>
  <w:num w:numId="9" w16cid:durableId="933364535">
    <w:abstractNumId w:val="4"/>
  </w:num>
  <w:num w:numId="10" w16cid:durableId="304241124">
    <w:abstractNumId w:val="5"/>
  </w:num>
  <w:num w:numId="11" w16cid:durableId="1517158510">
    <w:abstractNumId w:val="8"/>
  </w:num>
  <w:num w:numId="12" w16cid:durableId="1955362464">
    <w:abstractNumId w:val="10"/>
  </w:num>
  <w:num w:numId="13" w16cid:durableId="1243366987">
    <w:abstractNumId w:val="13"/>
  </w:num>
  <w:num w:numId="14" w16cid:durableId="1297296611">
    <w:abstractNumId w:val="14"/>
  </w:num>
  <w:num w:numId="15" w16cid:durableId="970398793">
    <w:abstractNumId w:val="11"/>
  </w:num>
  <w:num w:numId="16" w16cid:durableId="772288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CED"/>
    <w:rsid w:val="00000B13"/>
    <w:rsid w:val="00000D58"/>
    <w:rsid w:val="000049EE"/>
    <w:rsid w:val="000051DD"/>
    <w:rsid w:val="00005B7B"/>
    <w:rsid w:val="0000676B"/>
    <w:rsid w:val="00006928"/>
    <w:rsid w:val="00007158"/>
    <w:rsid w:val="00010E96"/>
    <w:rsid w:val="00012734"/>
    <w:rsid w:val="00016E74"/>
    <w:rsid w:val="00017992"/>
    <w:rsid w:val="00020C2C"/>
    <w:rsid w:val="00025CED"/>
    <w:rsid w:val="0003030B"/>
    <w:rsid w:val="00031857"/>
    <w:rsid w:val="000335A1"/>
    <w:rsid w:val="00033973"/>
    <w:rsid w:val="00034B0A"/>
    <w:rsid w:val="00036528"/>
    <w:rsid w:val="00040912"/>
    <w:rsid w:val="00044C73"/>
    <w:rsid w:val="00046D28"/>
    <w:rsid w:val="00046E67"/>
    <w:rsid w:val="00057237"/>
    <w:rsid w:val="00057AE9"/>
    <w:rsid w:val="00064BAD"/>
    <w:rsid w:val="00065972"/>
    <w:rsid w:val="000671EC"/>
    <w:rsid w:val="0007094A"/>
    <w:rsid w:val="00072ED5"/>
    <w:rsid w:val="0007666C"/>
    <w:rsid w:val="00076806"/>
    <w:rsid w:val="00076D09"/>
    <w:rsid w:val="000776BD"/>
    <w:rsid w:val="00077B20"/>
    <w:rsid w:val="00080D8D"/>
    <w:rsid w:val="0008273B"/>
    <w:rsid w:val="000829D4"/>
    <w:rsid w:val="00082F93"/>
    <w:rsid w:val="000836B1"/>
    <w:rsid w:val="00083CE6"/>
    <w:rsid w:val="00084353"/>
    <w:rsid w:val="000844E4"/>
    <w:rsid w:val="00086131"/>
    <w:rsid w:val="00090318"/>
    <w:rsid w:val="00092647"/>
    <w:rsid w:val="00092A87"/>
    <w:rsid w:val="000931A8"/>
    <w:rsid w:val="00094791"/>
    <w:rsid w:val="000948AB"/>
    <w:rsid w:val="00094E8D"/>
    <w:rsid w:val="000A06AD"/>
    <w:rsid w:val="000A6771"/>
    <w:rsid w:val="000A6970"/>
    <w:rsid w:val="000A7069"/>
    <w:rsid w:val="000B2E16"/>
    <w:rsid w:val="000B45DE"/>
    <w:rsid w:val="000B666F"/>
    <w:rsid w:val="000B6903"/>
    <w:rsid w:val="000C30DD"/>
    <w:rsid w:val="000C3411"/>
    <w:rsid w:val="000C48C0"/>
    <w:rsid w:val="000C515D"/>
    <w:rsid w:val="000C69AE"/>
    <w:rsid w:val="000D0F01"/>
    <w:rsid w:val="000D23CB"/>
    <w:rsid w:val="000D24D4"/>
    <w:rsid w:val="000E70A6"/>
    <w:rsid w:val="000F246B"/>
    <w:rsid w:val="000F2547"/>
    <w:rsid w:val="000F6AE4"/>
    <w:rsid w:val="00101D2D"/>
    <w:rsid w:val="00101E32"/>
    <w:rsid w:val="00102127"/>
    <w:rsid w:val="001035F8"/>
    <w:rsid w:val="00105676"/>
    <w:rsid w:val="00107184"/>
    <w:rsid w:val="00107744"/>
    <w:rsid w:val="00110747"/>
    <w:rsid w:val="001169F6"/>
    <w:rsid w:val="001230F1"/>
    <w:rsid w:val="00124800"/>
    <w:rsid w:val="00125015"/>
    <w:rsid w:val="0012632B"/>
    <w:rsid w:val="00126571"/>
    <w:rsid w:val="001313D8"/>
    <w:rsid w:val="00132ED1"/>
    <w:rsid w:val="001356DA"/>
    <w:rsid w:val="001357CC"/>
    <w:rsid w:val="00137478"/>
    <w:rsid w:val="00141A6F"/>
    <w:rsid w:val="00145D92"/>
    <w:rsid w:val="001471E9"/>
    <w:rsid w:val="00150006"/>
    <w:rsid w:val="00150EA8"/>
    <w:rsid w:val="00151C5C"/>
    <w:rsid w:val="00151CCC"/>
    <w:rsid w:val="0015370D"/>
    <w:rsid w:val="0015588C"/>
    <w:rsid w:val="00161393"/>
    <w:rsid w:val="00163946"/>
    <w:rsid w:val="0016430B"/>
    <w:rsid w:val="00171740"/>
    <w:rsid w:val="00173F91"/>
    <w:rsid w:val="0017413C"/>
    <w:rsid w:val="00174BFD"/>
    <w:rsid w:val="001750E0"/>
    <w:rsid w:val="001760E4"/>
    <w:rsid w:val="00176F6F"/>
    <w:rsid w:val="001859DA"/>
    <w:rsid w:val="0019144B"/>
    <w:rsid w:val="001914FE"/>
    <w:rsid w:val="00191977"/>
    <w:rsid w:val="00193D20"/>
    <w:rsid w:val="001959CC"/>
    <w:rsid w:val="00196334"/>
    <w:rsid w:val="001A260D"/>
    <w:rsid w:val="001A4655"/>
    <w:rsid w:val="001A4C53"/>
    <w:rsid w:val="001A6BE8"/>
    <w:rsid w:val="001B23AA"/>
    <w:rsid w:val="001B3829"/>
    <w:rsid w:val="001B3A03"/>
    <w:rsid w:val="001B3B4D"/>
    <w:rsid w:val="001B3FFC"/>
    <w:rsid w:val="001B4AAC"/>
    <w:rsid w:val="001B65D5"/>
    <w:rsid w:val="001B6980"/>
    <w:rsid w:val="001C0833"/>
    <w:rsid w:val="001C13ED"/>
    <w:rsid w:val="001C4ACE"/>
    <w:rsid w:val="001D1707"/>
    <w:rsid w:val="001D74CE"/>
    <w:rsid w:val="001E060D"/>
    <w:rsid w:val="001E20B7"/>
    <w:rsid w:val="001E2D67"/>
    <w:rsid w:val="001F0F17"/>
    <w:rsid w:val="001F138B"/>
    <w:rsid w:val="001F1B56"/>
    <w:rsid w:val="001F2319"/>
    <w:rsid w:val="001F5639"/>
    <w:rsid w:val="001F6472"/>
    <w:rsid w:val="001F7808"/>
    <w:rsid w:val="001F7814"/>
    <w:rsid w:val="00201593"/>
    <w:rsid w:val="00202501"/>
    <w:rsid w:val="002033D6"/>
    <w:rsid w:val="00204270"/>
    <w:rsid w:val="00204EB4"/>
    <w:rsid w:val="00205BF8"/>
    <w:rsid w:val="00210090"/>
    <w:rsid w:val="0021135D"/>
    <w:rsid w:val="0021315C"/>
    <w:rsid w:val="002155AF"/>
    <w:rsid w:val="00215921"/>
    <w:rsid w:val="00215A7C"/>
    <w:rsid w:val="00216076"/>
    <w:rsid w:val="00216E75"/>
    <w:rsid w:val="0021726E"/>
    <w:rsid w:val="0022203C"/>
    <w:rsid w:val="00222292"/>
    <w:rsid w:val="002236C1"/>
    <w:rsid w:val="00225946"/>
    <w:rsid w:val="0022722F"/>
    <w:rsid w:val="002304E5"/>
    <w:rsid w:val="00230664"/>
    <w:rsid w:val="002311A5"/>
    <w:rsid w:val="00231D08"/>
    <w:rsid w:val="00231FA1"/>
    <w:rsid w:val="002346B7"/>
    <w:rsid w:val="00236716"/>
    <w:rsid w:val="00237809"/>
    <w:rsid w:val="00240189"/>
    <w:rsid w:val="00240ACE"/>
    <w:rsid w:val="00242C49"/>
    <w:rsid w:val="002432B9"/>
    <w:rsid w:val="00250848"/>
    <w:rsid w:val="00254113"/>
    <w:rsid w:val="00255315"/>
    <w:rsid w:val="002558DB"/>
    <w:rsid w:val="002602F9"/>
    <w:rsid w:val="00260AD2"/>
    <w:rsid w:val="00264255"/>
    <w:rsid w:val="00264609"/>
    <w:rsid w:val="00264870"/>
    <w:rsid w:val="002650EC"/>
    <w:rsid w:val="0026574E"/>
    <w:rsid w:val="00276422"/>
    <w:rsid w:val="00276860"/>
    <w:rsid w:val="00280798"/>
    <w:rsid w:val="0028421A"/>
    <w:rsid w:val="00284ABA"/>
    <w:rsid w:val="00285E58"/>
    <w:rsid w:val="00287438"/>
    <w:rsid w:val="00290223"/>
    <w:rsid w:val="00293B37"/>
    <w:rsid w:val="00296A51"/>
    <w:rsid w:val="002972F7"/>
    <w:rsid w:val="002A1531"/>
    <w:rsid w:val="002A215A"/>
    <w:rsid w:val="002A4D9F"/>
    <w:rsid w:val="002A766F"/>
    <w:rsid w:val="002A7B02"/>
    <w:rsid w:val="002B010A"/>
    <w:rsid w:val="002B020C"/>
    <w:rsid w:val="002B1C8B"/>
    <w:rsid w:val="002B56FD"/>
    <w:rsid w:val="002C0951"/>
    <w:rsid w:val="002C171C"/>
    <w:rsid w:val="002C5330"/>
    <w:rsid w:val="002C66EC"/>
    <w:rsid w:val="002D25C8"/>
    <w:rsid w:val="002D3175"/>
    <w:rsid w:val="002E0231"/>
    <w:rsid w:val="002E031D"/>
    <w:rsid w:val="002E53CB"/>
    <w:rsid w:val="002E796D"/>
    <w:rsid w:val="002F0755"/>
    <w:rsid w:val="002F1013"/>
    <w:rsid w:val="002F1A43"/>
    <w:rsid w:val="002F2204"/>
    <w:rsid w:val="002F2EFB"/>
    <w:rsid w:val="00300DD9"/>
    <w:rsid w:val="0030639A"/>
    <w:rsid w:val="00306826"/>
    <w:rsid w:val="00307851"/>
    <w:rsid w:val="00307B19"/>
    <w:rsid w:val="00312935"/>
    <w:rsid w:val="00316776"/>
    <w:rsid w:val="00316C72"/>
    <w:rsid w:val="003172D2"/>
    <w:rsid w:val="0032048C"/>
    <w:rsid w:val="00321ECA"/>
    <w:rsid w:val="003224C3"/>
    <w:rsid w:val="00322BD9"/>
    <w:rsid w:val="003236BC"/>
    <w:rsid w:val="003261FE"/>
    <w:rsid w:val="003303BD"/>
    <w:rsid w:val="003304A7"/>
    <w:rsid w:val="003304EE"/>
    <w:rsid w:val="00330F34"/>
    <w:rsid w:val="003310E7"/>
    <w:rsid w:val="00332AFA"/>
    <w:rsid w:val="00334147"/>
    <w:rsid w:val="00337A85"/>
    <w:rsid w:val="003505B8"/>
    <w:rsid w:val="0035159A"/>
    <w:rsid w:val="00351F1B"/>
    <w:rsid w:val="00352CFB"/>
    <w:rsid w:val="00354009"/>
    <w:rsid w:val="00354F72"/>
    <w:rsid w:val="00360084"/>
    <w:rsid w:val="003623B4"/>
    <w:rsid w:val="00370D2B"/>
    <w:rsid w:val="0037565D"/>
    <w:rsid w:val="00375EA5"/>
    <w:rsid w:val="00377BEE"/>
    <w:rsid w:val="003824ED"/>
    <w:rsid w:val="0038570E"/>
    <w:rsid w:val="00387FAE"/>
    <w:rsid w:val="003901BE"/>
    <w:rsid w:val="00390600"/>
    <w:rsid w:val="00392400"/>
    <w:rsid w:val="0039511E"/>
    <w:rsid w:val="00397B6C"/>
    <w:rsid w:val="003A016E"/>
    <w:rsid w:val="003A0591"/>
    <w:rsid w:val="003A0AF5"/>
    <w:rsid w:val="003A127B"/>
    <w:rsid w:val="003A245A"/>
    <w:rsid w:val="003A43BA"/>
    <w:rsid w:val="003A4E22"/>
    <w:rsid w:val="003A6B3C"/>
    <w:rsid w:val="003A70F7"/>
    <w:rsid w:val="003A7898"/>
    <w:rsid w:val="003B3F8A"/>
    <w:rsid w:val="003B5913"/>
    <w:rsid w:val="003B62FE"/>
    <w:rsid w:val="003C06DC"/>
    <w:rsid w:val="003C1F7E"/>
    <w:rsid w:val="003C22AF"/>
    <w:rsid w:val="003C291A"/>
    <w:rsid w:val="003C2DB4"/>
    <w:rsid w:val="003C5AD7"/>
    <w:rsid w:val="003C5F37"/>
    <w:rsid w:val="003D01E5"/>
    <w:rsid w:val="003D036A"/>
    <w:rsid w:val="003D0EF2"/>
    <w:rsid w:val="003D1988"/>
    <w:rsid w:val="003D1A32"/>
    <w:rsid w:val="003D3149"/>
    <w:rsid w:val="003D39D3"/>
    <w:rsid w:val="003D4343"/>
    <w:rsid w:val="003E0954"/>
    <w:rsid w:val="003E2C08"/>
    <w:rsid w:val="003E440B"/>
    <w:rsid w:val="003E4A6B"/>
    <w:rsid w:val="003F1E95"/>
    <w:rsid w:val="003F2807"/>
    <w:rsid w:val="003F3D3F"/>
    <w:rsid w:val="00403141"/>
    <w:rsid w:val="0040650D"/>
    <w:rsid w:val="00406C27"/>
    <w:rsid w:val="00406E1B"/>
    <w:rsid w:val="00407212"/>
    <w:rsid w:val="00413062"/>
    <w:rsid w:val="0041368C"/>
    <w:rsid w:val="0041498B"/>
    <w:rsid w:val="00421286"/>
    <w:rsid w:val="00421404"/>
    <w:rsid w:val="0042167B"/>
    <w:rsid w:val="00423DD1"/>
    <w:rsid w:val="00427A9A"/>
    <w:rsid w:val="00432707"/>
    <w:rsid w:val="00436D89"/>
    <w:rsid w:val="004420E4"/>
    <w:rsid w:val="00443F11"/>
    <w:rsid w:val="00444AC1"/>
    <w:rsid w:val="00452749"/>
    <w:rsid w:val="0045299E"/>
    <w:rsid w:val="00454304"/>
    <w:rsid w:val="004545CA"/>
    <w:rsid w:val="00455E54"/>
    <w:rsid w:val="004562DF"/>
    <w:rsid w:val="004577CA"/>
    <w:rsid w:val="00461CDE"/>
    <w:rsid w:val="00464493"/>
    <w:rsid w:val="00471798"/>
    <w:rsid w:val="00473F68"/>
    <w:rsid w:val="004759D4"/>
    <w:rsid w:val="00475D82"/>
    <w:rsid w:val="00480194"/>
    <w:rsid w:val="00480EF5"/>
    <w:rsid w:val="00481BE6"/>
    <w:rsid w:val="00483150"/>
    <w:rsid w:val="00486AF6"/>
    <w:rsid w:val="00490732"/>
    <w:rsid w:val="00492A59"/>
    <w:rsid w:val="00493F91"/>
    <w:rsid w:val="0049424C"/>
    <w:rsid w:val="00495E37"/>
    <w:rsid w:val="004A631D"/>
    <w:rsid w:val="004B1960"/>
    <w:rsid w:val="004B1E26"/>
    <w:rsid w:val="004B22D7"/>
    <w:rsid w:val="004B5943"/>
    <w:rsid w:val="004B59A6"/>
    <w:rsid w:val="004B7E69"/>
    <w:rsid w:val="004C06C3"/>
    <w:rsid w:val="004C5CFB"/>
    <w:rsid w:val="004C7098"/>
    <w:rsid w:val="004C7420"/>
    <w:rsid w:val="004D2100"/>
    <w:rsid w:val="004D3EF7"/>
    <w:rsid w:val="004D57D6"/>
    <w:rsid w:val="004D5B7C"/>
    <w:rsid w:val="004D5DE6"/>
    <w:rsid w:val="004D7021"/>
    <w:rsid w:val="004D733F"/>
    <w:rsid w:val="004D74EA"/>
    <w:rsid w:val="004E3DB2"/>
    <w:rsid w:val="004E48F6"/>
    <w:rsid w:val="004E4E6E"/>
    <w:rsid w:val="004E4FD0"/>
    <w:rsid w:val="004E5721"/>
    <w:rsid w:val="004F1E96"/>
    <w:rsid w:val="004F2F20"/>
    <w:rsid w:val="004F2F4D"/>
    <w:rsid w:val="004F3A1F"/>
    <w:rsid w:val="004F4020"/>
    <w:rsid w:val="004F46A3"/>
    <w:rsid w:val="004F67A6"/>
    <w:rsid w:val="004F6D9D"/>
    <w:rsid w:val="005005EA"/>
    <w:rsid w:val="00501B95"/>
    <w:rsid w:val="0050206F"/>
    <w:rsid w:val="00502FF9"/>
    <w:rsid w:val="00507D4B"/>
    <w:rsid w:val="005112AC"/>
    <w:rsid w:val="005140AC"/>
    <w:rsid w:val="00514409"/>
    <w:rsid w:val="00515110"/>
    <w:rsid w:val="00517C48"/>
    <w:rsid w:val="00521E62"/>
    <w:rsid w:val="005229A9"/>
    <w:rsid w:val="00524730"/>
    <w:rsid w:val="00525170"/>
    <w:rsid w:val="005251C0"/>
    <w:rsid w:val="00526039"/>
    <w:rsid w:val="00527323"/>
    <w:rsid w:val="0053333C"/>
    <w:rsid w:val="0053400B"/>
    <w:rsid w:val="00537308"/>
    <w:rsid w:val="00544202"/>
    <w:rsid w:val="00544EF4"/>
    <w:rsid w:val="005453DC"/>
    <w:rsid w:val="00545E06"/>
    <w:rsid w:val="00547F3E"/>
    <w:rsid w:val="005549D7"/>
    <w:rsid w:val="00555B4A"/>
    <w:rsid w:val="00557767"/>
    <w:rsid w:val="00562472"/>
    <w:rsid w:val="005658E5"/>
    <w:rsid w:val="00566D35"/>
    <w:rsid w:val="0057352C"/>
    <w:rsid w:val="0057653C"/>
    <w:rsid w:val="005835C4"/>
    <w:rsid w:val="0058737E"/>
    <w:rsid w:val="00590142"/>
    <w:rsid w:val="005927EA"/>
    <w:rsid w:val="00593EFD"/>
    <w:rsid w:val="005945BE"/>
    <w:rsid w:val="005B003D"/>
    <w:rsid w:val="005B0DB5"/>
    <w:rsid w:val="005B10A3"/>
    <w:rsid w:val="005B220E"/>
    <w:rsid w:val="005B2A30"/>
    <w:rsid w:val="005B5C92"/>
    <w:rsid w:val="005B649C"/>
    <w:rsid w:val="005B66AD"/>
    <w:rsid w:val="005B7C2D"/>
    <w:rsid w:val="005B7E57"/>
    <w:rsid w:val="005C151D"/>
    <w:rsid w:val="005C3532"/>
    <w:rsid w:val="005C4720"/>
    <w:rsid w:val="005C4D75"/>
    <w:rsid w:val="005C5E13"/>
    <w:rsid w:val="005C6F23"/>
    <w:rsid w:val="005D0120"/>
    <w:rsid w:val="005D0997"/>
    <w:rsid w:val="005D21F3"/>
    <w:rsid w:val="005D5E3F"/>
    <w:rsid w:val="005D77CE"/>
    <w:rsid w:val="005E04C5"/>
    <w:rsid w:val="005E1B94"/>
    <w:rsid w:val="005E236B"/>
    <w:rsid w:val="005E341F"/>
    <w:rsid w:val="005E6A59"/>
    <w:rsid w:val="005E7D63"/>
    <w:rsid w:val="005F140A"/>
    <w:rsid w:val="005F2E42"/>
    <w:rsid w:val="005F79E4"/>
    <w:rsid w:val="005F7BB6"/>
    <w:rsid w:val="006011F9"/>
    <w:rsid w:val="0060341D"/>
    <w:rsid w:val="006044C4"/>
    <w:rsid w:val="00612C44"/>
    <w:rsid w:val="00613F22"/>
    <w:rsid w:val="006158B2"/>
    <w:rsid w:val="0062186E"/>
    <w:rsid w:val="00621BFF"/>
    <w:rsid w:val="0062449B"/>
    <w:rsid w:val="006247CB"/>
    <w:rsid w:val="00631E4E"/>
    <w:rsid w:val="00632C2D"/>
    <w:rsid w:val="006348BF"/>
    <w:rsid w:val="00634B7F"/>
    <w:rsid w:val="00635A98"/>
    <w:rsid w:val="00637C73"/>
    <w:rsid w:val="00643F39"/>
    <w:rsid w:val="00652731"/>
    <w:rsid w:val="0065647C"/>
    <w:rsid w:val="00657A97"/>
    <w:rsid w:val="00660C5F"/>
    <w:rsid w:val="0066127B"/>
    <w:rsid w:val="00663FCE"/>
    <w:rsid w:val="00667019"/>
    <w:rsid w:val="00670218"/>
    <w:rsid w:val="0067172B"/>
    <w:rsid w:val="00676C30"/>
    <w:rsid w:val="00681DBF"/>
    <w:rsid w:val="00682977"/>
    <w:rsid w:val="00682FE6"/>
    <w:rsid w:val="00685B62"/>
    <w:rsid w:val="00686D4F"/>
    <w:rsid w:val="00686D9C"/>
    <w:rsid w:val="0069042C"/>
    <w:rsid w:val="006917AB"/>
    <w:rsid w:val="00692950"/>
    <w:rsid w:val="00695CD2"/>
    <w:rsid w:val="006964D2"/>
    <w:rsid w:val="006A0C45"/>
    <w:rsid w:val="006A59A2"/>
    <w:rsid w:val="006A636F"/>
    <w:rsid w:val="006A7688"/>
    <w:rsid w:val="006B021C"/>
    <w:rsid w:val="006B2531"/>
    <w:rsid w:val="006B3326"/>
    <w:rsid w:val="006B3C78"/>
    <w:rsid w:val="006B48EA"/>
    <w:rsid w:val="006C08C2"/>
    <w:rsid w:val="006C2DEB"/>
    <w:rsid w:val="006C3375"/>
    <w:rsid w:val="006C3D0D"/>
    <w:rsid w:val="006D2E0E"/>
    <w:rsid w:val="006D50C4"/>
    <w:rsid w:val="006D5507"/>
    <w:rsid w:val="006D621D"/>
    <w:rsid w:val="006D699B"/>
    <w:rsid w:val="006D7EC0"/>
    <w:rsid w:val="006E0D58"/>
    <w:rsid w:val="006E3A18"/>
    <w:rsid w:val="006E4FAC"/>
    <w:rsid w:val="006E5959"/>
    <w:rsid w:val="006E62D5"/>
    <w:rsid w:val="006E6A04"/>
    <w:rsid w:val="006E7D96"/>
    <w:rsid w:val="006F5AA7"/>
    <w:rsid w:val="007028FF"/>
    <w:rsid w:val="00705759"/>
    <w:rsid w:val="0071082D"/>
    <w:rsid w:val="00711BA2"/>
    <w:rsid w:val="0071504D"/>
    <w:rsid w:val="00720001"/>
    <w:rsid w:val="00720B3D"/>
    <w:rsid w:val="00721D38"/>
    <w:rsid w:val="00721E00"/>
    <w:rsid w:val="00723C10"/>
    <w:rsid w:val="00725A17"/>
    <w:rsid w:val="00731918"/>
    <w:rsid w:val="007322B5"/>
    <w:rsid w:val="007329C6"/>
    <w:rsid w:val="00732B03"/>
    <w:rsid w:val="0073446C"/>
    <w:rsid w:val="00734A3A"/>
    <w:rsid w:val="00734B7C"/>
    <w:rsid w:val="00741BE1"/>
    <w:rsid w:val="00742A79"/>
    <w:rsid w:val="0074323B"/>
    <w:rsid w:val="00751A67"/>
    <w:rsid w:val="00753CD5"/>
    <w:rsid w:val="00756A5E"/>
    <w:rsid w:val="00760CA8"/>
    <w:rsid w:val="007619D3"/>
    <w:rsid w:val="00762320"/>
    <w:rsid w:val="00762B20"/>
    <w:rsid w:val="00771AC1"/>
    <w:rsid w:val="0077592E"/>
    <w:rsid w:val="00777668"/>
    <w:rsid w:val="00777814"/>
    <w:rsid w:val="00777C51"/>
    <w:rsid w:val="00777DBD"/>
    <w:rsid w:val="007868EF"/>
    <w:rsid w:val="00790E5E"/>
    <w:rsid w:val="00793051"/>
    <w:rsid w:val="00793E13"/>
    <w:rsid w:val="0079519E"/>
    <w:rsid w:val="007A0F38"/>
    <w:rsid w:val="007A22EE"/>
    <w:rsid w:val="007A3874"/>
    <w:rsid w:val="007A7FD9"/>
    <w:rsid w:val="007B02AD"/>
    <w:rsid w:val="007B3051"/>
    <w:rsid w:val="007C5EC4"/>
    <w:rsid w:val="007C6D1E"/>
    <w:rsid w:val="007D0A55"/>
    <w:rsid w:val="007D2B2D"/>
    <w:rsid w:val="007D338A"/>
    <w:rsid w:val="007D39AD"/>
    <w:rsid w:val="007E092D"/>
    <w:rsid w:val="007E156D"/>
    <w:rsid w:val="007E6AE4"/>
    <w:rsid w:val="007E6B31"/>
    <w:rsid w:val="007E7F06"/>
    <w:rsid w:val="007F0143"/>
    <w:rsid w:val="007F2201"/>
    <w:rsid w:val="007F400B"/>
    <w:rsid w:val="0081067A"/>
    <w:rsid w:val="00810F1C"/>
    <w:rsid w:val="008123B0"/>
    <w:rsid w:val="00813317"/>
    <w:rsid w:val="00813721"/>
    <w:rsid w:val="00815398"/>
    <w:rsid w:val="00821CB7"/>
    <w:rsid w:val="00823049"/>
    <w:rsid w:val="008258E6"/>
    <w:rsid w:val="008266FC"/>
    <w:rsid w:val="00830B98"/>
    <w:rsid w:val="00830FAE"/>
    <w:rsid w:val="008369E8"/>
    <w:rsid w:val="00844170"/>
    <w:rsid w:val="008458BE"/>
    <w:rsid w:val="00846092"/>
    <w:rsid w:val="0085361C"/>
    <w:rsid w:val="0085709A"/>
    <w:rsid w:val="00861352"/>
    <w:rsid w:val="00861E14"/>
    <w:rsid w:val="008645D1"/>
    <w:rsid w:val="008670BF"/>
    <w:rsid w:val="00871C4D"/>
    <w:rsid w:val="008732A1"/>
    <w:rsid w:val="008741E1"/>
    <w:rsid w:val="00874BA3"/>
    <w:rsid w:val="008751D3"/>
    <w:rsid w:val="008760B2"/>
    <w:rsid w:val="008775AD"/>
    <w:rsid w:val="00877F54"/>
    <w:rsid w:val="00882467"/>
    <w:rsid w:val="00884173"/>
    <w:rsid w:val="008852C5"/>
    <w:rsid w:val="008864EF"/>
    <w:rsid w:val="00887AFD"/>
    <w:rsid w:val="008910A4"/>
    <w:rsid w:val="00892606"/>
    <w:rsid w:val="00893A77"/>
    <w:rsid w:val="00893CDE"/>
    <w:rsid w:val="00896E3B"/>
    <w:rsid w:val="008A070C"/>
    <w:rsid w:val="008A2383"/>
    <w:rsid w:val="008A26F0"/>
    <w:rsid w:val="008A3278"/>
    <w:rsid w:val="008A332E"/>
    <w:rsid w:val="008A3666"/>
    <w:rsid w:val="008A5DC1"/>
    <w:rsid w:val="008A7CC9"/>
    <w:rsid w:val="008B00F2"/>
    <w:rsid w:val="008B1176"/>
    <w:rsid w:val="008B20CA"/>
    <w:rsid w:val="008B2CFE"/>
    <w:rsid w:val="008B3884"/>
    <w:rsid w:val="008B4A34"/>
    <w:rsid w:val="008B66B8"/>
    <w:rsid w:val="008C02FF"/>
    <w:rsid w:val="008C0C6F"/>
    <w:rsid w:val="008C457E"/>
    <w:rsid w:val="008C4878"/>
    <w:rsid w:val="008D043C"/>
    <w:rsid w:val="008D06C4"/>
    <w:rsid w:val="008D3299"/>
    <w:rsid w:val="008D4094"/>
    <w:rsid w:val="008D5888"/>
    <w:rsid w:val="008D5DA9"/>
    <w:rsid w:val="008D6AB5"/>
    <w:rsid w:val="008E0449"/>
    <w:rsid w:val="008E142B"/>
    <w:rsid w:val="008E56FC"/>
    <w:rsid w:val="008F085B"/>
    <w:rsid w:val="008F0DBF"/>
    <w:rsid w:val="008F18F7"/>
    <w:rsid w:val="008F40F9"/>
    <w:rsid w:val="008F4210"/>
    <w:rsid w:val="008F46F7"/>
    <w:rsid w:val="008F5217"/>
    <w:rsid w:val="008F5FCC"/>
    <w:rsid w:val="008F7CE1"/>
    <w:rsid w:val="009007CC"/>
    <w:rsid w:val="00904A98"/>
    <w:rsid w:val="00904F53"/>
    <w:rsid w:val="009067C1"/>
    <w:rsid w:val="00921410"/>
    <w:rsid w:val="00922566"/>
    <w:rsid w:val="00922D13"/>
    <w:rsid w:val="00922ED9"/>
    <w:rsid w:val="00923A3D"/>
    <w:rsid w:val="00925513"/>
    <w:rsid w:val="00927DC9"/>
    <w:rsid w:val="009300A2"/>
    <w:rsid w:val="00931360"/>
    <w:rsid w:val="00932C2C"/>
    <w:rsid w:val="00932E73"/>
    <w:rsid w:val="009333B5"/>
    <w:rsid w:val="00936F77"/>
    <w:rsid w:val="00937E2A"/>
    <w:rsid w:val="00940231"/>
    <w:rsid w:val="00940799"/>
    <w:rsid w:val="00942F74"/>
    <w:rsid w:val="00943073"/>
    <w:rsid w:val="009433C4"/>
    <w:rsid w:val="00943E1F"/>
    <w:rsid w:val="00950AAA"/>
    <w:rsid w:val="0095288C"/>
    <w:rsid w:val="00956D36"/>
    <w:rsid w:val="009577F9"/>
    <w:rsid w:val="00960232"/>
    <w:rsid w:val="009617E2"/>
    <w:rsid w:val="0096319E"/>
    <w:rsid w:val="00963430"/>
    <w:rsid w:val="00964CE3"/>
    <w:rsid w:val="00967921"/>
    <w:rsid w:val="00970305"/>
    <w:rsid w:val="0097129D"/>
    <w:rsid w:val="00972625"/>
    <w:rsid w:val="0097382A"/>
    <w:rsid w:val="00973AA5"/>
    <w:rsid w:val="00973E96"/>
    <w:rsid w:val="00975359"/>
    <w:rsid w:val="0098023E"/>
    <w:rsid w:val="00980A0F"/>
    <w:rsid w:val="00983229"/>
    <w:rsid w:val="0098496B"/>
    <w:rsid w:val="0098510F"/>
    <w:rsid w:val="00985E03"/>
    <w:rsid w:val="00987852"/>
    <w:rsid w:val="00990B01"/>
    <w:rsid w:val="009924C3"/>
    <w:rsid w:val="00993868"/>
    <w:rsid w:val="00993ADC"/>
    <w:rsid w:val="009A02BA"/>
    <w:rsid w:val="009A10B9"/>
    <w:rsid w:val="009A135A"/>
    <w:rsid w:val="009A5507"/>
    <w:rsid w:val="009A5C76"/>
    <w:rsid w:val="009B07B9"/>
    <w:rsid w:val="009B2DE1"/>
    <w:rsid w:val="009B4538"/>
    <w:rsid w:val="009B6C9D"/>
    <w:rsid w:val="009B6CF0"/>
    <w:rsid w:val="009B784A"/>
    <w:rsid w:val="009C158E"/>
    <w:rsid w:val="009C22C1"/>
    <w:rsid w:val="009C2B72"/>
    <w:rsid w:val="009C60B4"/>
    <w:rsid w:val="009D0B7F"/>
    <w:rsid w:val="009D1B2F"/>
    <w:rsid w:val="009D5B86"/>
    <w:rsid w:val="009D7F13"/>
    <w:rsid w:val="009E1F1A"/>
    <w:rsid w:val="009E4BEF"/>
    <w:rsid w:val="009E4DC1"/>
    <w:rsid w:val="009E62C0"/>
    <w:rsid w:val="009F36A9"/>
    <w:rsid w:val="009F3F3E"/>
    <w:rsid w:val="009F6FAF"/>
    <w:rsid w:val="009F7825"/>
    <w:rsid w:val="00A0007C"/>
    <w:rsid w:val="00A001FD"/>
    <w:rsid w:val="00A05F25"/>
    <w:rsid w:val="00A0627E"/>
    <w:rsid w:val="00A0684E"/>
    <w:rsid w:val="00A174D7"/>
    <w:rsid w:val="00A17D55"/>
    <w:rsid w:val="00A22A95"/>
    <w:rsid w:val="00A24B62"/>
    <w:rsid w:val="00A26236"/>
    <w:rsid w:val="00A30BA1"/>
    <w:rsid w:val="00A31DFB"/>
    <w:rsid w:val="00A32565"/>
    <w:rsid w:val="00A344CD"/>
    <w:rsid w:val="00A3681B"/>
    <w:rsid w:val="00A4155F"/>
    <w:rsid w:val="00A50833"/>
    <w:rsid w:val="00A51A30"/>
    <w:rsid w:val="00A52DF7"/>
    <w:rsid w:val="00A5474B"/>
    <w:rsid w:val="00A60134"/>
    <w:rsid w:val="00A611EB"/>
    <w:rsid w:val="00A624BA"/>
    <w:rsid w:val="00A6286C"/>
    <w:rsid w:val="00A62F79"/>
    <w:rsid w:val="00A64124"/>
    <w:rsid w:val="00A65C1E"/>
    <w:rsid w:val="00A67E93"/>
    <w:rsid w:val="00A701D6"/>
    <w:rsid w:val="00A7109D"/>
    <w:rsid w:val="00A71B32"/>
    <w:rsid w:val="00A81018"/>
    <w:rsid w:val="00A84906"/>
    <w:rsid w:val="00A85E76"/>
    <w:rsid w:val="00A9273E"/>
    <w:rsid w:val="00A94B89"/>
    <w:rsid w:val="00A94ECF"/>
    <w:rsid w:val="00AA0466"/>
    <w:rsid w:val="00AA70CA"/>
    <w:rsid w:val="00AA7540"/>
    <w:rsid w:val="00AB0B74"/>
    <w:rsid w:val="00AB1933"/>
    <w:rsid w:val="00AB2044"/>
    <w:rsid w:val="00AC0A0D"/>
    <w:rsid w:val="00AC2328"/>
    <w:rsid w:val="00AC5555"/>
    <w:rsid w:val="00AD12CD"/>
    <w:rsid w:val="00AD232F"/>
    <w:rsid w:val="00AD3657"/>
    <w:rsid w:val="00AD3AE9"/>
    <w:rsid w:val="00AD6020"/>
    <w:rsid w:val="00AD74CF"/>
    <w:rsid w:val="00AD7AF1"/>
    <w:rsid w:val="00AE0777"/>
    <w:rsid w:val="00AE1683"/>
    <w:rsid w:val="00AE28B2"/>
    <w:rsid w:val="00AE2AC6"/>
    <w:rsid w:val="00AF08FA"/>
    <w:rsid w:val="00AF26F1"/>
    <w:rsid w:val="00AF63E4"/>
    <w:rsid w:val="00B04F89"/>
    <w:rsid w:val="00B0552B"/>
    <w:rsid w:val="00B10C59"/>
    <w:rsid w:val="00B11879"/>
    <w:rsid w:val="00B11EB6"/>
    <w:rsid w:val="00B121C4"/>
    <w:rsid w:val="00B12AD3"/>
    <w:rsid w:val="00B138FF"/>
    <w:rsid w:val="00B143B0"/>
    <w:rsid w:val="00B14C65"/>
    <w:rsid w:val="00B17F18"/>
    <w:rsid w:val="00B2031C"/>
    <w:rsid w:val="00B2045D"/>
    <w:rsid w:val="00B20ED1"/>
    <w:rsid w:val="00B227BA"/>
    <w:rsid w:val="00B23860"/>
    <w:rsid w:val="00B24D20"/>
    <w:rsid w:val="00B26BD0"/>
    <w:rsid w:val="00B30861"/>
    <w:rsid w:val="00B314FC"/>
    <w:rsid w:val="00B32488"/>
    <w:rsid w:val="00B3434E"/>
    <w:rsid w:val="00B3499B"/>
    <w:rsid w:val="00B35B46"/>
    <w:rsid w:val="00B374E3"/>
    <w:rsid w:val="00B37F9E"/>
    <w:rsid w:val="00B410E7"/>
    <w:rsid w:val="00B41C06"/>
    <w:rsid w:val="00B4567D"/>
    <w:rsid w:val="00B46576"/>
    <w:rsid w:val="00B471BD"/>
    <w:rsid w:val="00B50AD4"/>
    <w:rsid w:val="00B5157D"/>
    <w:rsid w:val="00B52631"/>
    <w:rsid w:val="00B526FA"/>
    <w:rsid w:val="00B52A5B"/>
    <w:rsid w:val="00B52CF4"/>
    <w:rsid w:val="00B53926"/>
    <w:rsid w:val="00B54176"/>
    <w:rsid w:val="00B54F8E"/>
    <w:rsid w:val="00B55864"/>
    <w:rsid w:val="00B55C29"/>
    <w:rsid w:val="00B56DDA"/>
    <w:rsid w:val="00B60805"/>
    <w:rsid w:val="00B62A91"/>
    <w:rsid w:val="00B65747"/>
    <w:rsid w:val="00B66304"/>
    <w:rsid w:val="00B6651E"/>
    <w:rsid w:val="00B70C26"/>
    <w:rsid w:val="00B71C4A"/>
    <w:rsid w:val="00B73D29"/>
    <w:rsid w:val="00B77843"/>
    <w:rsid w:val="00B77F2B"/>
    <w:rsid w:val="00B77FF0"/>
    <w:rsid w:val="00B85672"/>
    <w:rsid w:val="00B9338A"/>
    <w:rsid w:val="00B9515F"/>
    <w:rsid w:val="00BA1322"/>
    <w:rsid w:val="00BA1AE9"/>
    <w:rsid w:val="00BA2D6C"/>
    <w:rsid w:val="00BA42F5"/>
    <w:rsid w:val="00BA775C"/>
    <w:rsid w:val="00BA79C7"/>
    <w:rsid w:val="00BB1924"/>
    <w:rsid w:val="00BB51D7"/>
    <w:rsid w:val="00BB53AE"/>
    <w:rsid w:val="00BB65E8"/>
    <w:rsid w:val="00BB690C"/>
    <w:rsid w:val="00BB6E96"/>
    <w:rsid w:val="00BB7285"/>
    <w:rsid w:val="00BB7EC1"/>
    <w:rsid w:val="00BC0757"/>
    <w:rsid w:val="00BC179B"/>
    <w:rsid w:val="00BC6E36"/>
    <w:rsid w:val="00BC72DC"/>
    <w:rsid w:val="00BD0FC6"/>
    <w:rsid w:val="00BE067F"/>
    <w:rsid w:val="00BE373C"/>
    <w:rsid w:val="00BE3BEF"/>
    <w:rsid w:val="00BE4379"/>
    <w:rsid w:val="00BE43F7"/>
    <w:rsid w:val="00BE44B1"/>
    <w:rsid w:val="00BE699E"/>
    <w:rsid w:val="00BE7909"/>
    <w:rsid w:val="00BE7A52"/>
    <w:rsid w:val="00BF02AE"/>
    <w:rsid w:val="00BF5AC4"/>
    <w:rsid w:val="00BF6A71"/>
    <w:rsid w:val="00C0190D"/>
    <w:rsid w:val="00C01AE9"/>
    <w:rsid w:val="00C01EE4"/>
    <w:rsid w:val="00C02650"/>
    <w:rsid w:val="00C05E8A"/>
    <w:rsid w:val="00C06BF6"/>
    <w:rsid w:val="00C10DCA"/>
    <w:rsid w:val="00C12F07"/>
    <w:rsid w:val="00C131C5"/>
    <w:rsid w:val="00C1514E"/>
    <w:rsid w:val="00C17010"/>
    <w:rsid w:val="00C1770D"/>
    <w:rsid w:val="00C17F2F"/>
    <w:rsid w:val="00C207BF"/>
    <w:rsid w:val="00C20877"/>
    <w:rsid w:val="00C20BBB"/>
    <w:rsid w:val="00C218C6"/>
    <w:rsid w:val="00C21F78"/>
    <w:rsid w:val="00C25B19"/>
    <w:rsid w:val="00C2769A"/>
    <w:rsid w:val="00C338DC"/>
    <w:rsid w:val="00C36E24"/>
    <w:rsid w:val="00C3749E"/>
    <w:rsid w:val="00C378D2"/>
    <w:rsid w:val="00C403B1"/>
    <w:rsid w:val="00C4268A"/>
    <w:rsid w:val="00C42BC2"/>
    <w:rsid w:val="00C43329"/>
    <w:rsid w:val="00C4355F"/>
    <w:rsid w:val="00C4406D"/>
    <w:rsid w:val="00C4510A"/>
    <w:rsid w:val="00C4658D"/>
    <w:rsid w:val="00C512BC"/>
    <w:rsid w:val="00C53FB5"/>
    <w:rsid w:val="00C56ADF"/>
    <w:rsid w:val="00C57077"/>
    <w:rsid w:val="00C6042A"/>
    <w:rsid w:val="00C618EE"/>
    <w:rsid w:val="00C64E64"/>
    <w:rsid w:val="00C65292"/>
    <w:rsid w:val="00C668AA"/>
    <w:rsid w:val="00C67C0F"/>
    <w:rsid w:val="00C71081"/>
    <w:rsid w:val="00C71E79"/>
    <w:rsid w:val="00C73412"/>
    <w:rsid w:val="00C754AB"/>
    <w:rsid w:val="00C76096"/>
    <w:rsid w:val="00C76B10"/>
    <w:rsid w:val="00C816CB"/>
    <w:rsid w:val="00C81D4E"/>
    <w:rsid w:val="00C829F6"/>
    <w:rsid w:val="00C84D52"/>
    <w:rsid w:val="00C873E7"/>
    <w:rsid w:val="00C941A1"/>
    <w:rsid w:val="00C94993"/>
    <w:rsid w:val="00C94B45"/>
    <w:rsid w:val="00CA21C3"/>
    <w:rsid w:val="00CA532B"/>
    <w:rsid w:val="00CA7308"/>
    <w:rsid w:val="00CB01D7"/>
    <w:rsid w:val="00CB2593"/>
    <w:rsid w:val="00CB278C"/>
    <w:rsid w:val="00CB41EC"/>
    <w:rsid w:val="00CB7074"/>
    <w:rsid w:val="00CC1419"/>
    <w:rsid w:val="00CC1BBD"/>
    <w:rsid w:val="00CC5244"/>
    <w:rsid w:val="00CC5654"/>
    <w:rsid w:val="00CC5EF1"/>
    <w:rsid w:val="00CC7504"/>
    <w:rsid w:val="00CD08BF"/>
    <w:rsid w:val="00CD0B99"/>
    <w:rsid w:val="00CD23CF"/>
    <w:rsid w:val="00CD4527"/>
    <w:rsid w:val="00CD4BC5"/>
    <w:rsid w:val="00CD4F57"/>
    <w:rsid w:val="00CD5061"/>
    <w:rsid w:val="00CE07C9"/>
    <w:rsid w:val="00CE0CE3"/>
    <w:rsid w:val="00CE1FD5"/>
    <w:rsid w:val="00CE6876"/>
    <w:rsid w:val="00CE6A65"/>
    <w:rsid w:val="00CE7DA8"/>
    <w:rsid w:val="00CF528C"/>
    <w:rsid w:val="00CF5EFB"/>
    <w:rsid w:val="00CF6179"/>
    <w:rsid w:val="00D022DC"/>
    <w:rsid w:val="00D059C4"/>
    <w:rsid w:val="00D121AA"/>
    <w:rsid w:val="00D130FC"/>
    <w:rsid w:val="00D15185"/>
    <w:rsid w:val="00D176B8"/>
    <w:rsid w:val="00D20B7C"/>
    <w:rsid w:val="00D238E9"/>
    <w:rsid w:val="00D252B4"/>
    <w:rsid w:val="00D26183"/>
    <w:rsid w:val="00D273F2"/>
    <w:rsid w:val="00D32189"/>
    <w:rsid w:val="00D34F6D"/>
    <w:rsid w:val="00D35442"/>
    <w:rsid w:val="00D36FB2"/>
    <w:rsid w:val="00D36FD7"/>
    <w:rsid w:val="00D37507"/>
    <w:rsid w:val="00D40741"/>
    <w:rsid w:val="00D41E9E"/>
    <w:rsid w:val="00D44F3E"/>
    <w:rsid w:val="00D474FF"/>
    <w:rsid w:val="00D51988"/>
    <w:rsid w:val="00D53047"/>
    <w:rsid w:val="00D56370"/>
    <w:rsid w:val="00D57A86"/>
    <w:rsid w:val="00D57BBD"/>
    <w:rsid w:val="00D61E78"/>
    <w:rsid w:val="00D62E38"/>
    <w:rsid w:val="00D64371"/>
    <w:rsid w:val="00D66B24"/>
    <w:rsid w:val="00D7052E"/>
    <w:rsid w:val="00D709B4"/>
    <w:rsid w:val="00D71FA2"/>
    <w:rsid w:val="00D72618"/>
    <w:rsid w:val="00D73D57"/>
    <w:rsid w:val="00D74515"/>
    <w:rsid w:val="00D7534C"/>
    <w:rsid w:val="00D75992"/>
    <w:rsid w:val="00D75E78"/>
    <w:rsid w:val="00D80773"/>
    <w:rsid w:val="00D81021"/>
    <w:rsid w:val="00D82142"/>
    <w:rsid w:val="00D824F2"/>
    <w:rsid w:val="00D82567"/>
    <w:rsid w:val="00D82A87"/>
    <w:rsid w:val="00D82F2F"/>
    <w:rsid w:val="00D83677"/>
    <w:rsid w:val="00D84890"/>
    <w:rsid w:val="00D87D96"/>
    <w:rsid w:val="00D91BE2"/>
    <w:rsid w:val="00D95504"/>
    <w:rsid w:val="00D95D9F"/>
    <w:rsid w:val="00DA000D"/>
    <w:rsid w:val="00DA1973"/>
    <w:rsid w:val="00DA1CD8"/>
    <w:rsid w:val="00DA23EB"/>
    <w:rsid w:val="00DA5B29"/>
    <w:rsid w:val="00DA5E73"/>
    <w:rsid w:val="00DA7359"/>
    <w:rsid w:val="00DB038D"/>
    <w:rsid w:val="00DB132F"/>
    <w:rsid w:val="00DB1DA0"/>
    <w:rsid w:val="00DB3F0B"/>
    <w:rsid w:val="00DB4012"/>
    <w:rsid w:val="00DB4C0E"/>
    <w:rsid w:val="00DB55E5"/>
    <w:rsid w:val="00DC0CFC"/>
    <w:rsid w:val="00DC116E"/>
    <w:rsid w:val="00DC44FC"/>
    <w:rsid w:val="00DC4933"/>
    <w:rsid w:val="00DC5AE7"/>
    <w:rsid w:val="00DC5E7F"/>
    <w:rsid w:val="00DC7A99"/>
    <w:rsid w:val="00DD05F4"/>
    <w:rsid w:val="00DD2BD2"/>
    <w:rsid w:val="00DD51DE"/>
    <w:rsid w:val="00DE59E2"/>
    <w:rsid w:val="00DE6591"/>
    <w:rsid w:val="00DE7D8C"/>
    <w:rsid w:val="00DF0A10"/>
    <w:rsid w:val="00DF25AD"/>
    <w:rsid w:val="00DF2800"/>
    <w:rsid w:val="00DF3041"/>
    <w:rsid w:val="00DF37DA"/>
    <w:rsid w:val="00DF3A93"/>
    <w:rsid w:val="00DF6BBC"/>
    <w:rsid w:val="00DF7D50"/>
    <w:rsid w:val="00E00297"/>
    <w:rsid w:val="00E01D26"/>
    <w:rsid w:val="00E025B1"/>
    <w:rsid w:val="00E077BC"/>
    <w:rsid w:val="00E203CD"/>
    <w:rsid w:val="00E20766"/>
    <w:rsid w:val="00E237A8"/>
    <w:rsid w:val="00E265B9"/>
    <w:rsid w:val="00E26760"/>
    <w:rsid w:val="00E267EC"/>
    <w:rsid w:val="00E306BE"/>
    <w:rsid w:val="00E307A5"/>
    <w:rsid w:val="00E32E5D"/>
    <w:rsid w:val="00E3370C"/>
    <w:rsid w:val="00E350C7"/>
    <w:rsid w:val="00E3680E"/>
    <w:rsid w:val="00E371B6"/>
    <w:rsid w:val="00E41F4B"/>
    <w:rsid w:val="00E4246F"/>
    <w:rsid w:val="00E438D4"/>
    <w:rsid w:val="00E45B42"/>
    <w:rsid w:val="00E5133A"/>
    <w:rsid w:val="00E529FF"/>
    <w:rsid w:val="00E56F21"/>
    <w:rsid w:val="00E63833"/>
    <w:rsid w:val="00E64799"/>
    <w:rsid w:val="00E64813"/>
    <w:rsid w:val="00E6713F"/>
    <w:rsid w:val="00E71E1C"/>
    <w:rsid w:val="00E7226E"/>
    <w:rsid w:val="00E7280C"/>
    <w:rsid w:val="00E72DB5"/>
    <w:rsid w:val="00E7593D"/>
    <w:rsid w:val="00E81CE2"/>
    <w:rsid w:val="00E8205F"/>
    <w:rsid w:val="00E843A1"/>
    <w:rsid w:val="00E85AEB"/>
    <w:rsid w:val="00E909B3"/>
    <w:rsid w:val="00E93212"/>
    <w:rsid w:val="00E95E58"/>
    <w:rsid w:val="00E966BF"/>
    <w:rsid w:val="00EA212F"/>
    <w:rsid w:val="00EA50B0"/>
    <w:rsid w:val="00EA6F3E"/>
    <w:rsid w:val="00EA7B5D"/>
    <w:rsid w:val="00EB2F06"/>
    <w:rsid w:val="00EB3CA1"/>
    <w:rsid w:val="00EB4575"/>
    <w:rsid w:val="00EB59B4"/>
    <w:rsid w:val="00EB6EB4"/>
    <w:rsid w:val="00EC2169"/>
    <w:rsid w:val="00EC3D16"/>
    <w:rsid w:val="00EC59F4"/>
    <w:rsid w:val="00EC65D3"/>
    <w:rsid w:val="00ED3D7A"/>
    <w:rsid w:val="00ED4498"/>
    <w:rsid w:val="00ED4DC5"/>
    <w:rsid w:val="00ED6B1B"/>
    <w:rsid w:val="00ED6BC8"/>
    <w:rsid w:val="00ED710F"/>
    <w:rsid w:val="00ED761C"/>
    <w:rsid w:val="00EF14EF"/>
    <w:rsid w:val="00EF3106"/>
    <w:rsid w:val="00EF3D80"/>
    <w:rsid w:val="00EF533D"/>
    <w:rsid w:val="00EF5A70"/>
    <w:rsid w:val="00EF5E6F"/>
    <w:rsid w:val="00EF68E6"/>
    <w:rsid w:val="00EF6A70"/>
    <w:rsid w:val="00F01402"/>
    <w:rsid w:val="00F02185"/>
    <w:rsid w:val="00F06062"/>
    <w:rsid w:val="00F06470"/>
    <w:rsid w:val="00F11549"/>
    <w:rsid w:val="00F1331A"/>
    <w:rsid w:val="00F1388B"/>
    <w:rsid w:val="00F20721"/>
    <w:rsid w:val="00F2235D"/>
    <w:rsid w:val="00F23492"/>
    <w:rsid w:val="00F25B90"/>
    <w:rsid w:val="00F2634D"/>
    <w:rsid w:val="00F2650F"/>
    <w:rsid w:val="00F2728A"/>
    <w:rsid w:val="00F30783"/>
    <w:rsid w:val="00F366E6"/>
    <w:rsid w:val="00F37218"/>
    <w:rsid w:val="00F37794"/>
    <w:rsid w:val="00F428EF"/>
    <w:rsid w:val="00F42918"/>
    <w:rsid w:val="00F46390"/>
    <w:rsid w:val="00F4652F"/>
    <w:rsid w:val="00F46584"/>
    <w:rsid w:val="00F54B88"/>
    <w:rsid w:val="00F5586A"/>
    <w:rsid w:val="00F55C62"/>
    <w:rsid w:val="00F57473"/>
    <w:rsid w:val="00F57EC4"/>
    <w:rsid w:val="00F61976"/>
    <w:rsid w:val="00F627CF"/>
    <w:rsid w:val="00F62AA1"/>
    <w:rsid w:val="00F63D35"/>
    <w:rsid w:val="00F643AD"/>
    <w:rsid w:val="00F653DA"/>
    <w:rsid w:val="00F71F7D"/>
    <w:rsid w:val="00F72177"/>
    <w:rsid w:val="00F72325"/>
    <w:rsid w:val="00F72DC4"/>
    <w:rsid w:val="00F73DFD"/>
    <w:rsid w:val="00F74E72"/>
    <w:rsid w:val="00F76011"/>
    <w:rsid w:val="00F76742"/>
    <w:rsid w:val="00F76F72"/>
    <w:rsid w:val="00F77F1B"/>
    <w:rsid w:val="00F8061F"/>
    <w:rsid w:val="00F90A47"/>
    <w:rsid w:val="00F90C97"/>
    <w:rsid w:val="00F9101C"/>
    <w:rsid w:val="00F929C1"/>
    <w:rsid w:val="00F93578"/>
    <w:rsid w:val="00F9379A"/>
    <w:rsid w:val="00F93833"/>
    <w:rsid w:val="00F9397D"/>
    <w:rsid w:val="00F95D65"/>
    <w:rsid w:val="00F95D81"/>
    <w:rsid w:val="00F96A4B"/>
    <w:rsid w:val="00FA1E9F"/>
    <w:rsid w:val="00FA4988"/>
    <w:rsid w:val="00FA5E28"/>
    <w:rsid w:val="00FB1568"/>
    <w:rsid w:val="00FB1572"/>
    <w:rsid w:val="00FB1B03"/>
    <w:rsid w:val="00FB2574"/>
    <w:rsid w:val="00FB6C65"/>
    <w:rsid w:val="00FB6E8E"/>
    <w:rsid w:val="00FC062D"/>
    <w:rsid w:val="00FC081A"/>
    <w:rsid w:val="00FC099E"/>
    <w:rsid w:val="00FC17FF"/>
    <w:rsid w:val="00FC3C19"/>
    <w:rsid w:val="00FD570A"/>
    <w:rsid w:val="00FD580A"/>
    <w:rsid w:val="00FD7F77"/>
    <w:rsid w:val="00FE0B97"/>
    <w:rsid w:val="00FE0BE9"/>
    <w:rsid w:val="00FE0C83"/>
    <w:rsid w:val="00FE1BAB"/>
    <w:rsid w:val="00FE24A0"/>
    <w:rsid w:val="00FE2C3B"/>
    <w:rsid w:val="00FE47FD"/>
    <w:rsid w:val="00FE5756"/>
    <w:rsid w:val="00FE6BB9"/>
    <w:rsid w:val="00FE746D"/>
    <w:rsid w:val="00FF09B5"/>
    <w:rsid w:val="00FF0BC7"/>
    <w:rsid w:val="00FF47C5"/>
    <w:rsid w:val="00FF56B4"/>
    <w:rsid w:val="00FF73BA"/>
    <w:rsid w:val="0159D1AF"/>
    <w:rsid w:val="02780132"/>
    <w:rsid w:val="03893673"/>
    <w:rsid w:val="03FAB937"/>
    <w:rsid w:val="04226B53"/>
    <w:rsid w:val="04D14790"/>
    <w:rsid w:val="04F7AEB7"/>
    <w:rsid w:val="050C50A4"/>
    <w:rsid w:val="05593F00"/>
    <w:rsid w:val="05C15453"/>
    <w:rsid w:val="05E50BFF"/>
    <w:rsid w:val="080660F5"/>
    <w:rsid w:val="0AEC113C"/>
    <w:rsid w:val="0C6C8429"/>
    <w:rsid w:val="0E5C8767"/>
    <w:rsid w:val="0F62F1A5"/>
    <w:rsid w:val="104963DF"/>
    <w:rsid w:val="10CD18D8"/>
    <w:rsid w:val="1367096A"/>
    <w:rsid w:val="13B5C680"/>
    <w:rsid w:val="1641C66B"/>
    <w:rsid w:val="16583FAE"/>
    <w:rsid w:val="1721CF8B"/>
    <w:rsid w:val="1845AB1E"/>
    <w:rsid w:val="18C382D1"/>
    <w:rsid w:val="1941CEF7"/>
    <w:rsid w:val="1998BAA0"/>
    <w:rsid w:val="1DABDDAB"/>
    <w:rsid w:val="21799250"/>
    <w:rsid w:val="270E68F1"/>
    <w:rsid w:val="27749036"/>
    <w:rsid w:val="29C7ABB8"/>
    <w:rsid w:val="2A443009"/>
    <w:rsid w:val="2DCEC23A"/>
    <w:rsid w:val="31380E18"/>
    <w:rsid w:val="33C1A9A2"/>
    <w:rsid w:val="35529EA4"/>
    <w:rsid w:val="359BAC7B"/>
    <w:rsid w:val="35F24102"/>
    <w:rsid w:val="38353053"/>
    <w:rsid w:val="3945EF99"/>
    <w:rsid w:val="39EF47BA"/>
    <w:rsid w:val="3AB327F8"/>
    <w:rsid w:val="3BF13C3C"/>
    <w:rsid w:val="3F681BA3"/>
    <w:rsid w:val="403C7272"/>
    <w:rsid w:val="40FB1918"/>
    <w:rsid w:val="410955C6"/>
    <w:rsid w:val="41EBB530"/>
    <w:rsid w:val="44377D72"/>
    <w:rsid w:val="451B8C22"/>
    <w:rsid w:val="46E68C9A"/>
    <w:rsid w:val="47A08E5D"/>
    <w:rsid w:val="47EE079A"/>
    <w:rsid w:val="4939288B"/>
    <w:rsid w:val="49941369"/>
    <w:rsid w:val="4ADE4EE5"/>
    <w:rsid w:val="4C2C968B"/>
    <w:rsid w:val="4D1E2B31"/>
    <w:rsid w:val="4D1EF3C1"/>
    <w:rsid w:val="4DC547AD"/>
    <w:rsid w:val="4DF353B7"/>
    <w:rsid w:val="4F783AFA"/>
    <w:rsid w:val="4F7CA783"/>
    <w:rsid w:val="4FBAD8DC"/>
    <w:rsid w:val="51AC9D88"/>
    <w:rsid w:val="524F5A71"/>
    <w:rsid w:val="52592329"/>
    <w:rsid w:val="52A38199"/>
    <w:rsid w:val="53BFC377"/>
    <w:rsid w:val="58440E62"/>
    <w:rsid w:val="58FF6F25"/>
    <w:rsid w:val="591A32D6"/>
    <w:rsid w:val="59358846"/>
    <w:rsid w:val="5AB9D82A"/>
    <w:rsid w:val="5B0F6F81"/>
    <w:rsid w:val="5BA1BA28"/>
    <w:rsid w:val="5DBBE883"/>
    <w:rsid w:val="5F695BA3"/>
    <w:rsid w:val="5FDAC92D"/>
    <w:rsid w:val="60AFB7B8"/>
    <w:rsid w:val="612CD5BE"/>
    <w:rsid w:val="62CC1E3D"/>
    <w:rsid w:val="6465DA2E"/>
    <w:rsid w:val="64F152F4"/>
    <w:rsid w:val="65A3617D"/>
    <w:rsid w:val="66AE59B1"/>
    <w:rsid w:val="6786776C"/>
    <w:rsid w:val="67A7D071"/>
    <w:rsid w:val="687A3BCD"/>
    <w:rsid w:val="6BF01B0F"/>
    <w:rsid w:val="6C19B62E"/>
    <w:rsid w:val="6CC1B50A"/>
    <w:rsid w:val="6CC3B9A0"/>
    <w:rsid w:val="6CC602A1"/>
    <w:rsid w:val="70EAFA21"/>
    <w:rsid w:val="73300578"/>
    <w:rsid w:val="7468E29C"/>
    <w:rsid w:val="74A0028F"/>
    <w:rsid w:val="752D5795"/>
    <w:rsid w:val="7694B90C"/>
    <w:rsid w:val="7764C2E6"/>
    <w:rsid w:val="777521CE"/>
    <w:rsid w:val="79E3CB16"/>
    <w:rsid w:val="7B10F59B"/>
    <w:rsid w:val="7BF0A940"/>
    <w:rsid w:val="7C4ACACC"/>
    <w:rsid w:val="7CBF6391"/>
    <w:rsid w:val="7D4AA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92FAF5"/>
  <w15:docId w15:val="{311DECF0-FC3A-4451-A2E2-0D420423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371B6"/>
    <w:pPr>
      <w:spacing w:before="240" w:after="0" w:line="360" w:lineRule="auto"/>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E371B6"/>
    <w:pPr>
      <w:spacing w:after="0" w:line="36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CED"/>
    <w:pPr>
      <w:ind w:left="720"/>
      <w:contextualSpacing/>
    </w:pPr>
  </w:style>
  <w:style w:type="character" w:styleId="CommentReference">
    <w:name w:val="annotation reference"/>
    <w:basedOn w:val="DefaultParagraphFont"/>
    <w:unhideWhenUsed/>
    <w:rsid w:val="00E72DB5"/>
    <w:rPr>
      <w:sz w:val="16"/>
      <w:szCs w:val="16"/>
    </w:rPr>
  </w:style>
  <w:style w:type="paragraph" w:styleId="CommentText">
    <w:name w:val="annotation text"/>
    <w:basedOn w:val="Normal"/>
    <w:link w:val="CommentTextChar"/>
    <w:unhideWhenUsed/>
    <w:rsid w:val="00E72DB5"/>
    <w:pPr>
      <w:spacing w:line="240" w:lineRule="auto"/>
    </w:pPr>
    <w:rPr>
      <w:sz w:val="20"/>
      <w:szCs w:val="20"/>
    </w:rPr>
  </w:style>
  <w:style w:type="character" w:customStyle="1" w:styleId="CommentTextChar">
    <w:name w:val="Comment Text Char"/>
    <w:basedOn w:val="DefaultParagraphFont"/>
    <w:link w:val="CommentText"/>
    <w:rsid w:val="00E72DB5"/>
    <w:rPr>
      <w:sz w:val="20"/>
      <w:szCs w:val="20"/>
    </w:rPr>
  </w:style>
  <w:style w:type="paragraph" w:styleId="CommentSubject">
    <w:name w:val="annotation subject"/>
    <w:basedOn w:val="CommentText"/>
    <w:next w:val="CommentText"/>
    <w:link w:val="CommentSubjectChar"/>
    <w:uiPriority w:val="99"/>
    <w:semiHidden/>
    <w:unhideWhenUsed/>
    <w:rsid w:val="00E72DB5"/>
    <w:rPr>
      <w:b/>
      <w:bCs/>
    </w:rPr>
  </w:style>
  <w:style w:type="character" w:customStyle="1" w:styleId="CommentSubjectChar">
    <w:name w:val="Comment Subject Char"/>
    <w:basedOn w:val="CommentTextChar"/>
    <w:link w:val="CommentSubject"/>
    <w:uiPriority w:val="99"/>
    <w:semiHidden/>
    <w:rsid w:val="00E72DB5"/>
    <w:rPr>
      <w:b/>
      <w:bCs/>
      <w:sz w:val="20"/>
      <w:szCs w:val="20"/>
    </w:rPr>
  </w:style>
  <w:style w:type="paragraph" w:styleId="BalloonText">
    <w:name w:val="Balloon Text"/>
    <w:basedOn w:val="Normal"/>
    <w:link w:val="BalloonTextChar"/>
    <w:uiPriority w:val="99"/>
    <w:semiHidden/>
    <w:unhideWhenUsed/>
    <w:rsid w:val="00E72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DB5"/>
    <w:rPr>
      <w:rFonts w:ascii="Tahoma" w:hAnsi="Tahoma" w:cs="Tahoma"/>
      <w:sz w:val="16"/>
      <w:szCs w:val="16"/>
    </w:rPr>
  </w:style>
  <w:style w:type="character" w:styleId="Hyperlink">
    <w:name w:val="Hyperlink"/>
    <w:basedOn w:val="DefaultParagraphFont"/>
    <w:uiPriority w:val="99"/>
    <w:unhideWhenUsed/>
    <w:rsid w:val="00FC099E"/>
    <w:rPr>
      <w:color w:val="0000FF" w:themeColor="hyperlink"/>
      <w:u w:val="single"/>
    </w:rPr>
  </w:style>
  <w:style w:type="paragraph" w:styleId="FootnoteText">
    <w:name w:val="footnote text"/>
    <w:basedOn w:val="Normal"/>
    <w:link w:val="FootnoteTextChar"/>
    <w:uiPriority w:val="99"/>
    <w:unhideWhenUsed/>
    <w:rsid w:val="005E341F"/>
    <w:pPr>
      <w:spacing w:after="0" w:line="240" w:lineRule="auto"/>
    </w:pPr>
    <w:rPr>
      <w:sz w:val="20"/>
      <w:szCs w:val="20"/>
    </w:rPr>
  </w:style>
  <w:style w:type="character" w:customStyle="1" w:styleId="FootnoteTextChar">
    <w:name w:val="Footnote Text Char"/>
    <w:basedOn w:val="DefaultParagraphFont"/>
    <w:link w:val="FootnoteText"/>
    <w:uiPriority w:val="99"/>
    <w:rsid w:val="005E341F"/>
    <w:rPr>
      <w:sz w:val="20"/>
      <w:szCs w:val="20"/>
    </w:rPr>
  </w:style>
  <w:style w:type="character" w:styleId="FootnoteReference">
    <w:name w:val="footnote reference"/>
    <w:basedOn w:val="DefaultParagraphFont"/>
    <w:uiPriority w:val="99"/>
    <w:semiHidden/>
    <w:unhideWhenUsed/>
    <w:rsid w:val="005E341F"/>
    <w:rPr>
      <w:vertAlign w:val="superscript"/>
    </w:rPr>
  </w:style>
  <w:style w:type="paragraph" w:styleId="Header">
    <w:name w:val="header"/>
    <w:basedOn w:val="Normal"/>
    <w:link w:val="HeaderChar"/>
    <w:uiPriority w:val="99"/>
    <w:unhideWhenUsed/>
    <w:rsid w:val="004C5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CFB"/>
  </w:style>
  <w:style w:type="paragraph" w:styleId="Footer">
    <w:name w:val="footer"/>
    <w:basedOn w:val="Normal"/>
    <w:link w:val="FooterChar"/>
    <w:uiPriority w:val="99"/>
    <w:unhideWhenUsed/>
    <w:rsid w:val="004C5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CFB"/>
  </w:style>
  <w:style w:type="character" w:styleId="FollowedHyperlink">
    <w:name w:val="FollowedHyperlink"/>
    <w:basedOn w:val="DefaultParagraphFont"/>
    <w:uiPriority w:val="99"/>
    <w:semiHidden/>
    <w:unhideWhenUsed/>
    <w:rsid w:val="00D73D57"/>
    <w:rPr>
      <w:color w:val="800080" w:themeColor="followedHyperlink"/>
      <w:u w:val="single"/>
    </w:rPr>
  </w:style>
  <w:style w:type="paragraph" w:styleId="Revision">
    <w:name w:val="Revision"/>
    <w:hidden/>
    <w:uiPriority w:val="99"/>
    <w:semiHidden/>
    <w:rsid w:val="00B12AD3"/>
    <w:pPr>
      <w:spacing w:after="0" w:line="240" w:lineRule="auto"/>
    </w:pPr>
  </w:style>
  <w:style w:type="character" w:customStyle="1" w:styleId="UnresolvedMention1">
    <w:name w:val="Unresolved Mention1"/>
    <w:basedOn w:val="DefaultParagraphFont"/>
    <w:uiPriority w:val="99"/>
    <w:semiHidden/>
    <w:unhideWhenUsed/>
    <w:rsid w:val="00507D4B"/>
    <w:rPr>
      <w:color w:val="605E5C"/>
      <w:shd w:val="clear" w:color="auto" w:fill="E1DFDD"/>
    </w:rPr>
  </w:style>
  <w:style w:type="character" w:customStyle="1" w:styleId="UnresolvedMention2">
    <w:name w:val="Unresolved Mention2"/>
    <w:basedOn w:val="DefaultParagraphFont"/>
    <w:uiPriority w:val="99"/>
    <w:semiHidden/>
    <w:unhideWhenUsed/>
    <w:rsid w:val="00352CFB"/>
    <w:rPr>
      <w:color w:val="605E5C"/>
      <w:shd w:val="clear" w:color="auto" w:fill="E1DFDD"/>
    </w:rPr>
  </w:style>
  <w:style w:type="paragraph" w:styleId="NormalWeb">
    <w:name w:val="Normal (Web)"/>
    <w:basedOn w:val="Normal"/>
    <w:uiPriority w:val="99"/>
    <w:unhideWhenUsed/>
    <w:rsid w:val="00077B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3">
    <w:name w:val="Unresolved Mention3"/>
    <w:basedOn w:val="DefaultParagraphFont"/>
    <w:uiPriority w:val="99"/>
    <w:semiHidden/>
    <w:unhideWhenUsed/>
    <w:rsid w:val="00D252B4"/>
    <w:rPr>
      <w:color w:val="605E5C"/>
      <w:shd w:val="clear" w:color="auto" w:fill="E1DFDD"/>
    </w:rPr>
  </w:style>
  <w:style w:type="character" w:customStyle="1" w:styleId="UnresolvedMention4">
    <w:name w:val="Unresolved Mention4"/>
    <w:basedOn w:val="DefaultParagraphFont"/>
    <w:uiPriority w:val="99"/>
    <w:semiHidden/>
    <w:unhideWhenUsed/>
    <w:rsid w:val="001357CC"/>
    <w:rPr>
      <w:color w:val="605E5C"/>
      <w:shd w:val="clear" w:color="auto" w:fill="E1DFDD"/>
    </w:rPr>
  </w:style>
  <w:style w:type="character" w:customStyle="1" w:styleId="Heading1Char">
    <w:name w:val="Heading 1 Char"/>
    <w:basedOn w:val="DefaultParagraphFont"/>
    <w:link w:val="Heading1"/>
    <w:uiPriority w:val="9"/>
    <w:rsid w:val="00E371B6"/>
    <w:rPr>
      <w:rFonts w:ascii="Times New Roman" w:hAnsi="Times New Roman" w:cs="Times New Roman"/>
      <w:b/>
      <w:sz w:val="28"/>
      <w:szCs w:val="28"/>
      <w:lang w:val="en-GB"/>
    </w:rPr>
  </w:style>
  <w:style w:type="character" w:customStyle="1" w:styleId="Heading2Char">
    <w:name w:val="Heading 2 Char"/>
    <w:basedOn w:val="DefaultParagraphFont"/>
    <w:link w:val="Heading2"/>
    <w:uiPriority w:val="9"/>
    <w:rsid w:val="00E371B6"/>
    <w:rPr>
      <w:rFonts w:ascii="Times New Roman" w:hAnsi="Times New Roman" w:cs="Times New Roman"/>
      <w:b/>
      <w:sz w:val="24"/>
      <w:szCs w:val="24"/>
      <w:lang w:val="en-GB"/>
    </w:rPr>
  </w:style>
  <w:style w:type="character" w:styleId="UnresolvedMention">
    <w:name w:val="Unresolved Mention"/>
    <w:basedOn w:val="DefaultParagraphFont"/>
    <w:uiPriority w:val="99"/>
    <w:semiHidden/>
    <w:unhideWhenUsed/>
    <w:rsid w:val="00494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3515">
      <w:bodyDiv w:val="1"/>
      <w:marLeft w:val="0"/>
      <w:marRight w:val="0"/>
      <w:marTop w:val="0"/>
      <w:marBottom w:val="0"/>
      <w:divBdr>
        <w:top w:val="none" w:sz="0" w:space="0" w:color="auto"/>
        <w:left w:val="none" w:sz="0" w:space="0" w:color="auto"/>
        <w:bottom w:val="none" w:sz="0" w:space="0" w:color="auto"/>
        <w:right w:val="none" w:sz="0" w:space="0" w:color="auto"/>
      </w:divBdr>
    </w:div>
    <w:div w:id="916210939">
      <w:bodyDiv w:val="1"/>
      <w:marLeft w:val="0"/>
      <w:marRight w:val="0"/>
      <w:marTop w:val="0"/>
      <w:marBottom w:val="0"/>
      <w:divBdr>
        <w:top w:val="none" w:sz="0" w:space="0" w:color="auto"/>
        <w:left w:val="none" w:sz="0" w:space="0" w:color="auto"/>
        <w:bottom w:val="none" w:sz="0" w:space="0" w:color="auto"/>
        <w:right w:val="none" w:sz="0" w:space="0" w:color="auto"/>
      </w:divBdr>
    </w:div>
    <w:div w:id="917788079">
      <w:bodyDiv w:val="1"/>
      <w:marLeft w:val="0"/>
      <w:marRight w:val="0"/>
      <w:marTop w:val="0"/>
      <w:marBottom w:val="0"/>
      <w:divBdr>
        <w:top w:val="none" w:sz="0" w:space="0" w:color="auto"/>
        <w:left w:val="none" w:sz="0" w:space="0" w:color="auto"/>
        <w:bottom w:val="none" w:sz="0" w:space="0" w:color="auto"/>
        <w:right w:val="none" w:sz="0" w:space="0" w:color="auto"/>
      </w:divBdr>
      <w:divsChild>
        <w:div w:id="1194463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975497">
              <w:marLeft w:val="0"/>
              <w:marRight w:val="0"/>
              <w:marTop w:val="0"/>
              <w:marBottom w:val="0"/>
              <w:divBdr>
                <w:top w:val="none" w:sz="0" w:space="0" w:color="auto"/>
                <w:left w:val="none" w:sz="0" w:space="0" w:color="auto"/>
                <w:bottom w:val="none" w:sz="0" w:space="0" w:color="auto"/>
                <w:right w:val="none" w:sz="0" w:space="0" w:color="auto"/>
              </w:divBdr>
              <w:divsChild>
                <w:div w:id="1027410039">
                  <w:marLeft w:val="0"/>
                  <w:marRight w:val="0"/>
                  <w:marTop w:val="0"/>
                  <w:marBottom w:val="0"/>
                  <w:divBdr>
                    <w:top w:val="none" w:sz="0" w:space="0" w:color="auto"/>
                    <w:left w:val="none" w:sz="0" w:space="0" w:color="auto"/>
                    <w:bottom w:val="none" w:sz="0" w:space="0" w:color="auto"/>
                    <w:right w:val="none" w:sz="0" w:space="0" w:color="auto"/>
                  </w:divBdr>
                  <w:divsChild>
                    <w:div w:id="1389837668">
                      <w:marLeft w:val="0"/>
                      <w:marRight w:val="0"/>
                      <w:marTop w:val="0"/>
                      <w:marBottom w:val="0"/>
                      <w:divBdr>
                        <w:top w:val="none" w:sz="0" w:space="0" w:color="auto"/>
                        <w:left w:val="none" w:sz="0" w:space="0" w:color="auto"/>
                        <w:bottom w:val="none" w:sz="0" w:space="0" w:color="auto"/>
                        <w:right w:val="none" w:sz="0" w:space="0" w:color="auto"/>
                      </w:divBdr>
                      <w:divsChild>
                        <w:div w:id="1514221657">
                          <w:marLeft w:val="0"/>
                          <w:marRight w:val="0"/>
                          <w:marTop w:val="0"/>
                          <w:marBottom w:val="0"/>
                          <w:divBdr>
                            <w:top w:val="none" w:sz="0" w:space="0" w:color="auto"/>
                            <w:left w:val="none" w:sz="0" w:space="0" w:color="auto"/>
                            <w:bottom w:val="none" w:sz="0" w:space="0" w:color="auto"/>
                            <w:right w:val="none" w:sz="0" w:space="0" w:color="auto"/>
                          </w:divBdr>
                          <w:divsChild>
                            <w:div w:id="175535935">
                              <w:marLeft w:val="0"/>
                              <w:marRight w:val="0"/>
                              <w:marTop w:val="0"/>
                              <w:marBottom w:val="0"/>
                              <w:divBdr>
                                <w:top w:val="none" w:sz="0" w:space="0" w:color="auto"/>
                                <w:left w:val="none" w:sz="0" w:space="0" w:color="auto"/>
                                <w:bottom w:val="none" w:sz="0" w:space="0" w:color="auto"/>
                                <w:right w:val="none" w:sz="0" w:space="0" w:color="auto"/>
                              </w:divBdr>
                              <w:divsChild>
                                <w:div w:id="841356890">
                                  <w:marLeft w:val="0"/>
                                  <w:marRight w:val="0"/>
                                  <w:marTop w:val="0"/>
                                  <w:marBottom w:val="0"/>
                                  <w:divBdr>
                                    <w:top w:val="none" w:sz="0" w:space="0" w:color="auto"/>
                                    <w:left w:val="none" w:sz="0" w:space="0" w:color="auto"/>
                                    <w:bottom w:val="none" w:sz="0" w:space="0" w:color="auto"/>
                                    <w:right w:val="none" w:sz="0" w:space="0" w:color="auto"/>
                                  </w:divBdr>
                                  <w:divsChild>
                                    <w:div w:id="1339114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13657">
                                          <w:marLeft w:val="0"/>
                                          <w:marRight w:val="0"/>
                                          <w:marTop w:val="0"/>
                                          <w:marBottom w:val="0"/>
                                          <w:divBdr>
                                            <w:top w:val="none" w:sz="0" w:space="0" w:color="auto"/>
                                            <w:left w:val="none" w:sz="0" w:space="0" w:color="auto"/>
                                            <w:bottom w:val="none" w:sz="0" w:space="0" w:color="auto"/>
                                            <w:right w:val="none" w:sz="0" w:space="0" w:color="auto"/>
                                          </w:divBdr>
                                          <w:divsChild>
                                            <w:div w:id="2062747326">
                                              <w:marLeft w:val="0"/>
                                              <w:marRight w:val="0"/>
                                              <w:marTop w:val="0"/>
                                              <w:marBottom w:val="0"/>
                                              <w:divBdr>
                                                <w:top w:val="none" w:sz="0" w:space="0" w:color="auto"/>
                                                <w:left w:val="none" w:sz="0" w:space="0" w:color="auto"/>
                                                <w:bottom w:val="none" w:sz="0" w:space="0" w:color="auto"/>
                                                <w:right w:val="none" w:sz="0" w:space="0" w:color="auto"/>
                                              </w:divBdr>
                                              <w:divsChild>
                                                <w:div w:id="851719369">
                                                  <w:marLeft w:val="0"/>
                                                  <w:marRight w:val="0"/>
                                                  <w:marTop w:val="0"/>
                                                  <w:marBottom w:val="0"/>
                                                  <w:divBdr>
                                                    <w:top w:val="none" w:sz="0" w:space="0" w:color="auto"/>
                                                    <w:left w:val="none" w:sz="0" w:space="0" w:color="auto"/>
                                                    <w:bottom w:val="none" w:sz="0" w:space="0" w:color="auto"/>
                                                    <w:right w:val="none" w:sz="0" w:space="0" w:color="auto"/>
                                                  </w:divBdr>
                                                </w:div>
                                                <w:div w:id="370886832">
                                                  <w:marLeft w:val="0"/>
                                                  <w:marRight w:val="0"/>
                                                  <w:marTop w:val="0"/>
                                                  <w:marBottom w:val="0"/>
                                                  <w:divBdr>
                                                    <w:top w:val="none" w:sz="0" w:space="0" w:color="auto"/>
                                                    <w:left w:val="none" w:sz="0" w:space="0" w:color="auto"/>
                                                    <w:bottom w:val="none" w:sz="0" w:space="0" w:color="auto"/>
                                                    <w:right w:val="none" w:sz="0" w:space="0" w:color="auto"/>
                                                  </w:divBdr>
                                                </w:div>
                                                <w:div w:id="4617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525071">
      <w:bodyDiv w:val="1"/>
      <w:marLeft w:val="0"/>
      <w:marRight w:val="0"/>
      <w:marTop w:val="0"/>
      <w:marBottom w:val="0"/>
      <w:divBdr>
        <w:top w:val="none" w:sz="0" w:space="0" w:color="auto"/>
        <w:left w:val="none" w:sz="0" w:space="0" w:color="auto"/>
        <w:bottom w:val="none" w:sz="0" w:space="0" w:color="auto"/>
        <w:right w:val="none" w:sz="0" w:space="0" w:color="auto"/>
      </w:divBdr>
      <w:divsChild>
        <w:div w:id="120609882">
          <w:marLeft w:val="0"/>
          <w:marRight w:val="0"/>
          <w:marTop w:val="0"/>
          <w:marBottom w:val="0"/>
          <w:divBdr>
            <w:top w:val="none" w:sz="0" w:space="0" w:color="auto"/>
            <w:left w:val="none" w:sz="0" w:space="0" w:color="auto"/>
            <w:bottom w:val="none" w:sz="0" w:space="0" w:color="auto"/>
            <w:right w:val="none" w:sz="0" w:space="0" w:color="auto"/>
          </w:divBdr>
        </w:div>
        <w:div w:id="366370425">
          <w:marLeft w:val="0"/>
          <w:marRight w:val="0"/>
          <w:marTop w:val="0"/>
          <w:marBottom w:val="0"/>
          <w:divBdr>
            <w:top w:val="none" w:sz="0" w:space="0" w:color="auto"/>
            <w:left w:val="none" w:sz="0" w:space="0" w:color="auto"/>
            <w:bottom w:val="none" w:sz="0" w:space="0" w:color="auto"/>
            <w:right w:val="none" w:sz="0" w:space="0" w:color="auto"/>
          </w:divBdr>
        </w:div>
        <w:div w:id="1598708851">
          <w:marLeft w:val="0"/>
          <w:marRight w:val="0"/>
          <w:marTop w:val="0"/>
          <w:marBottom w:val="0"/>
          <w:divBdr>
            <w:top w:val="none" w:sz="0" w:space="0" w:color="auto"/>
            <w:left w:val="none" w:sz="0" w:space="0" w:color="auto"/>
            <w:bottom w:val="none" w:sz="0" w:space="0" w:color="auto"/>
            <w:right w:val="none" w:sz="0" w:space="0" w:color="auto"/>
          </w:divBdr>
        </w:div>
      </w:divsChild>
    </w:div>
    <w:div w:id="1249388216">
      <w:bodyDiv w:val="1"/>
      <w:marLeft w:val="0"/>
      <w:marRight w:val="0"/>
      <w:marTop w:val="0"/>
      <w:marBottom w:val="0"/>
      <w:divBdr>
        <w:top w:val="none" w:sz="0" w:space="0" w:color="auto"/>
        <w:left w:val="none" w:sz="0" w:space="0" w:color="auto"/>
        <w:bottom w:val="none" w:sz="0" w:space="0" w:color="auto"/>
        <w:right w:val="none" w:sz="0" w:space="0" w:color="auto"/>
      </w:divBdr>
    </w:div>
    <w:div w:id="1275864531">
      <w:bodyDiv w:val="1"/>
      <w:marLeft w:val="0"/>
      <w:marRight w:val="0"/>
      <w:marTop w:val="0"/>
      <w:marBottom w:val="0"/>
      <w:divBdr>
        <w:top w:val="none" w:sz="0" w:space="0" w:color="auto"/>
        <w:left w:val="none" w:sz="0" w:space="0" w:color="auto"/>
        <w:bottom w:val="none" w:sz="0" w:space="0" w:color="auto"/>
        <w:right w:val="none" w:sz="0" w:space="0" w:color="auto"/>
      </w:divBdr>
    </w:div>
    <w:div w:id="1280068387">
      <w:bodyDiv w:val="1"/>
      <w:marLeft w:val="0"/>
      <w:marRight w:val="0"/>
      <w:marTop w:val="0"/>
      <w:marBottom w:val="0"/>
      <w:divBdr>
        <w:top w:val="none" w:sz="0" w:space="0" w:color="auto"/>
        <w:left w:val="none" w:sz="0" w:space="0" w:color="auto"/>
        <w:bottom w:val="none" w:sz="0" w:space="0" w:color="auto"/>
        <w:right w:val="none" w:sz="0" w:space="0" w:color="auto"/>
      </w:divBdr>
      <w:divsChild>
        <w:div w:id="1590770177">
          <w:marLeft w:val="0"/>
          <w:marRight w:val="0"/>
          <w:marTop w:val="0"/>
          <w:marBottom w:val="0"/>
          <w:divBdr>
            <w:top w:val="none" w:sz="0" w:space="0" w:color="auto"/>
            <w:left w:val="none" w:sz="0" w:space="0" w:color="auto"/>
            <w:bottom w:val="none" w:sz="0" w:space="0" w:color="auto"/>
            <w:right w:val="none" w:sz="0" w:space="0" w:color="auto"/>
          </w:divBdr>
        </w:div>
      </w:divsChild>
    </w:div>
    <w:div w:id="1292323613">
      <w:bodyDiv w:val="1"/>
      <w:marLeft w:val="0"/>
      <w:marRight w:val="0"/>
      <w:marTop w:val="0"/>
      <w:marBottom w:val="0"/>
      <w:divBdr>
        <w:top w:val="none" w:sz="0" w:space="0" w:color="auto"/>
        <w:left w:val="none" w:sz="0" w:space="0" w:color="auto"/>
        <w:bottom w:val="none" w:sz="0" w:space="0" w:color="auto"/>
        <w:right w:val="none" w:sz="0" w:space="0" w:color="auto"/>
      </w:divBdr>
    </w:div>
    <w:div w:id="1412197775">
      <w:bodyDiv w:val="1"/>
      <w:marLeft w:val="0"/>
      <w:marRight w:val="0"/>
      <w:marTop w:val="0"/>
      <w:marBottom w:val="0"/>
      <w:divBdr>
        <w:top w:val="none" w:sz="0" w:space="0" w:color="auto"/>
        <w:left w:val="none" w:sz="0" w:space="0" w:color="auto"/>
        <w:bottom w:val="none" w:sz="0" w:space="0" w:color="auto"/>
        <w:right w:val="none" w:sz="0" w:space="0" w:color="auto"/>
      </w:divBdr>
    </w:div>
    <w:div w:id="1418750805">
      <w:bodyDiv w:val="1"/>
      <w:marLeft w:val="0"/>
      <w:marRight w:val="0"/>
      <w:marTop w:val="0"/>
      <w:marBottom w:val="0"/>
      <w:divBdr>
        <w:top w:val="none" w:sz="0" w:space="0" w:color="auto"/>
        <w:left w:val="none" w:sz="0" w:space="0" w:color="auto"/>
        <w:bottom w:val="none" w:sz="0" w:space="0" w:color="auto"/>
        <w:right w:val="none" w:sz="0" w:space="0" w:color="auto"/>
      </w:divBdr>
    </w:div>
    <w:div w:id="1776904842">
      <w:bodyDiv w:val="1"/>
      <w:marLeft w:val="0"/>
      <w:marRight w:val="0"/>
      <w:marTop w:val="0"/>
      <w:marBottom w:val="0"/>
      <w:divBdr>
        <w:top w:val="none" w:sz="0" w:space="0" w:color="auto"/>
        <w:left w:val="none" w:sz="0" w:space="0" w:color="auto"/>
        <w:bottom w:val="none" w:sz="0" w:space="0" w:color="auto"/>
        <w:right w:val="none" w:sz="0" w:space="0" w:color="auto"/>
      </w:divBdr>
    </w:div>
    <w:div w:id="1860393742">
      <w:bodyDiv w:val="1"/>
      <w:marLeft w:val="0"/>
      <w:marRight w:val="0"/>
      <w:marTop w:val="0"/>
      <w:marBottom w:val="0"/>
      <w:divBdr>
        <w:top w:val="none" w:sz="0" w:space="0" w:color="auto"/>
        <w:left w:val="none" w:sz="0" w:space="0" w:color="auto"/>
        <w:bottom w:val="none" w:sz="0" w:space="0" w:color="auto"/>
        <w:right w:val="none" w:sz="0" w:space="0" w:color="auto"/>
      </w:divBdr>
    </w:div>
    <w:div w:id="1934390775">
      <w:bodyDiv w:val="1"/>
      <w:marLeft w:val="0"/>
      <w:marRight w:val="0"/>
      <w:marTop w:val="0"/>
      <w:marBottom w:val="0"/>
      <w:divBdr>
        <w:top w:val="none" w:sz="0" w:space="0" w:color="auto"/>
        <w:left w:val="none" w:sz="0" w:space="0" w:color="auto"/>
        <w:bottom w:val="none" w:sz="0" w:space="0" w:color="auto"/>
        <w:right w:val="none" w:sz="0" w:space="0" w:color="auto"/>
      </w:divBdr>
      <w:divsChild>
        <w:div w:id="143477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CELEX%3A62019CJ0624" TargetMode="External"/><Relationship Id="rId18" Type="http://schemas.openxmlformats.org/officeDocument/2006/relationships/hyperlink" Target="https://ohrh.law.ox.ac.uk/wp-content/uploads/2021/04/The-Impact-of-Brexit-on-Equality-Rights-1.pdf" TargetMode="External"/><Relationship Id="rId26" Type="http://schemas.openxmlformats.org/officeDocument/2006/relationships/hyperlink" Target="https://www.elgaronline.com/edcollchap/book/9781800373143/book-part-9781800373143-25.xml" TargetMode="External"/><Relationship Id="rId3" Type="http://schemas.openxmlformats.org/officeDocument/2006/relationships/customXml" Target="../customXml/item3.xml"/><Relationship Id="rId21" Type="http://schemas.openxmlformats.org/officeDocument/2006/relationships/hyperlink" Target="https://eur-lex.europa.eu/eli/dir/1976/207/oj/eng" TargetMode="External"/><Relationship Id="rId7" Type="http://schemas.openxmlformats.org/officeDocument/2006/relationships/settings" Target="settings.xml"/><Relationship Id="rId12" Type="http://schemas.openxmlformats.org/officeDocument/2006/relationships/hyperlink" Target="https://eur-lex.europa.eu/legal-content/EN/TXT/?uri=CELEX:62014CJ0083" TargetMode="External"/><Relationship Id="rId17" Type="http://schemas.openxmlformats.org/officeDocument/2006/relationships/hyperlink" Target="https://www.elgaronline.com/edcollchap/book/9781800373143/book-part-9781800373143-25.xml" TargetMode="External"/><Relationship Id="rId25" Type="http://schemas.openxmlformats.org/officeDocument/2006/relationships/hyperlink" Target="https://curia.europa.eu/juris/document/document.jsf?text=&amp;docid=203337&amp;pageIndex=0&amp;doclang=en&amp;mode=lst&amp;dir=&amp;occ=first&amp;part=1&amp;cid=6433959" TargetMode="External"/><Relationship Id="rId2" Type="http://schemas.openxmlformats.org/officeDocument/2006/relationships/customXml" Target="../customXml/item2.xml"/><Relationship Id="rId16" Type="http://schemas.openxmlformats.org/officeDocument/2006/relationships/hyperlink" Target="https://heinonline.org/HOL/LandingPage?handle=hein.journals/frdint40&amp;div=49&amp;id=&amp;page=" TargetMode="External"/><Relationship Id="rId20" Type="http://schemas.openxmlformats.org/officeDocument/2006/relationships/hyperlink" Target="https://www.legislation.gov.uk/uksi/1999/1102/contents/mad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23/1425/contents/made" TargetMode="External"/><Relationship Id="rId24" Type="http://schemas.openxmlformats.org/officeDocument/2006/relationships/hyperlink" Target="https://curia.europa.eu/juris/liste.jsf?nat=or&amp;mat=or&amp;pcs=Oor&amp;jur=C%2CT%2CF&amp;num=C-423%252F04&amp;for=&amp;jge=&amp;dates=&amp;language=en&amp;pro=&amp;cit=none%252CC%252CCJ%252CR%252C2008E%252C%252C%252C%252C%252C%252C%252C%252C%252C%252Ctrue%252Cfalse%252Cfalse&amp;oqp=&amp;td=%3BALL&amp;avg=&amp;lg=&amp;page=1&amp;cid=6432863"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iscovery.ucl.ac.uk/id/eprint/10024553/3/O'Cinneide_Melbourne%20paper%20final.pdf" TargetMode="External"/><Relationship Id="rId23" Type="http://schemas.openxmlformats.org/officeDocument/2006/relationships/hyperlink" Target="https://curia.europa.eu/juris/liste.jsf?nat=or&amp;mat=or&amp;pcs=Oor&amp;jur=C%2CT%2CF&amp;num=C-117%252F01&amp;for=&amp;jge=&amp;dates=&amp;language=en&amp;pro=&amp;cit=none%252CC%252CCJ%252CR%252C2008E%252C%252C%252C%252C%252C%252C%252C%252C%252C%252Ctrue%252Cfalse%252Cfalse&amp;oqp=&amp;td=%3BALL&amp;avg=&amp;lg=&amp;page=1&amp;cid=6425427"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ur-lex.europa.eu/legal-content/EN/TXT/?uri=CELEX:61994CJ001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hrh.law.ox.ac.uk/wp-content/uploads/2021/04/The-Impact-of-Brexit-on-Equality-Rights-1.pdf" TargetMode="External"/><Relationship Id="rId22" Type="http://schemas.openxmlformats.org/officeDocument/2006/relationships/hyperlink" Target="https://onlinelibrary.wiley.com/doi/epdf/10.1111/1468-0386.00066?msockid=2d06cdd7e53d64483d89d920e40565c1" TargetMode="External"/><Relationship Id="rId27" Type="http://schemas.openxmlformats.org/officeDocument/2006/relationships/header" Target="header1.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jule.mulder@brist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bbed6b-f872-4171-a1fb-36da073ae946">
      <Terms xmlns="http://schemas.microsoft.com/office/infopath/2007/PartnerControls"/>
    </lcf76f155ced4ddcb4097134ff3c332f>
    <TaxCatchAll xmlns="8f5be196-db0c-41cc-903a-1673c9ceaa4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5663AF136CE64FA748D00447957507" ma:contentTypeVersion="15" ma:contentTypeDescription="Create a new document." ma:contentTypeScope="" ma:versionID="38869ca416de9f00f455142c1050b7c2">
  <xsd:schema xmlns:xsd="http://www.w3.org/2001/XMLSchema" xmlns:xs="http://www.w3.org/2001/XMLSchema" xmlns:p="http://schemas.microsoft.com/office/2006/metadata/properties" xmlns:ns2="58bbed6b-f872-4171-a1fb-36da073ae946" xmlns:ns3="8f5be196-db0c-41cc-903a-1673c9ceaa4c" targetNamespace="http://schemas.microsoft.com/office/2006/metadata/properties" ma:root="true" ma:fieldsID="22a5951c73938017fdb006319b83137e" ns2:_="" ns3:_="">
    <xsd:import namespace="58bbed6b-f872-4171-a1fb-36da073ae946"/>
    <xsd:import namespace="8f5be196-db0c-41cc-903a-1673c9ceaa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bed6b-f872-4171-a1fb-36da073ae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be196-db0c-41cc-903a-1673c9ceaa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5d8fcb-ae1d-4dde-b035-690c4e988383}" ma:internalName="TaxCatchAll" ma:showField="CatchAllData" ma:web="8f5be196-db0c-41cc-903a-1673c9cea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EFAE8-A0C7-4B99-889E-DC3C0BDF8683}">
  <ds:schemaRefs>
    <ds:schemaRef ds:uri="http://schemas.microsoft.com/office/2006/metadata/properties"/>
    <ds:schemaRef ds:uri="http://schemas.microsoft.com/office/infopath/2007/PartnerControls"/>
    <ds:schemaRef ds:uri="58bbed6b-f872-4171-a1fb-36da073ae946"/>
    <ds:schemaRef ds:uri="8f5be196-db0c-41cc-903a-1673c9ceaa4c"/>
  </ds:schemaRefs>
</ds:datastoreItem>
</file>

<file path=customXml/itemProps2.xml><?xml version="1.0" encoding="utf-8"?>
<ds:datastoreItem xmlns:ds="http://schemas.openxmlformats.org/officeDocument/2006/customXml" ds:itemID="{0DCB5E05-428E-4046-BEF1-A84898D3FEB9}">
  <ds:schemaRefs>
    <ds:schemaRef ds:uri="http://schemas.openxmlformats.org/officeDocument/2006/bibliography"/>
  </ds:schemaRefs>
</ds:datastoreItem>
</file>

<file path=customXml/itemProps3.xml><?xml version="1.0" encoding="utf-8"?>
<ds:datastoreItem xmlns:ds="http://schemas.openxmlformats.org/officeDocument/2006/customXml" ds:itemID="{B25F5F81-FDA9-45F2-BF79-763AC9C28FB6}">
  <ds:schemaRefs>
    <ds:schemaRef ds:uri="http://schemas.microsoft.com/sharepoint/v3/contenttype/forms"/>
  </ds:schemaRefs>
</ds:datastoreItem>
</file>

<file path=customXml/itemProps4.xml><?xml version="1.0" encoding="utf-8"?>
<ds:datastoreItem xmlns:ds="http://schemas.openxmlformats.org/officeDocument/2006/customXml" ds:itemID="{C5FBAC05-C0C3-4E53-8629-B8F948E0D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bed6b-f872-4171-a1fb-36da073ae946"/>
    <ds:schemaRef ds:uri="8f5be196-db0c-41cc-903a-1673c9cea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1698</Words>
  <Characters>8903</Characters>
  <Application>Microsoft Office Word</Application>
  <DocSecurity>0</DocSecurity>
  <Lines>127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dc:creator>
  <cp:lastModifiedBy>Rosemary Hunter</cp:lastModifiedBy>
  <cp:revision>34</cp:revision>
  <cp:lastPrinted>2020-10-09T10:54:00Z</cp:lastPrinted>
  <dcterms:created xsi:type="dcterms:W3CDTF">2025-09-29T09:42:00Z</dcterms:created>
  <dcterms:modified xsi:type="dcterms:W3CDTF">2025-10-08T10:44:00Z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0x0101000A5663AF136CE64FA748D00447957507</vt:lpwstr>
  </property>
  <property fmtid="{D5CDD505-2E9C-101B-9397-08002B2CF9AE}" pid="3" name="MediaServiceImageTags">
    <vt:lpwstr/>
  </property>
</Properties>
</file>