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6DE8" w14:textId="435281FF" w:rsidR="00DC7CC8" w:rsidRPr="002E2818" w:rsidRDefault="009D3CD9" w:rsidP="002E2818">
      <w:pPr>
        <w:pStyle w:val="Title"/>
      </w:pPr>
      <w:r w:rsidRPr="002E2818">
        <w:t>F</w:t>
      </w:r>
      <w:r w:rsidR="00DC7CC8" w:rsidRPr="002E2818">
        <w:t xml:space="preserve">eminist </w:t>
      </w:r>
      <w:proofErr w:type="spellStart"/>
      <w:r w:rsidR="00DC7CC8" w:rsidRPr="002E2818">
        <w:t>Jurisograph</w:t>
      </w:r>
      <w:r w:rsidR="00BC2B44" w:rsidRPr="002E2818">
        <w:t>y</w:t>
      </w:r>
      <w:proofErr w:type="spellEnd"/>
      <w:r w:rsidR="00442B33" w:rsidRPr="002E2818">
        <w:t xml:space="preserve">: </w:t>
      </w:r>
      <w:r w:rsidR="00442B33" w:rsidRPr="002E2818">
        <w:rPr>
          <w:i/>
          <w:iCs/>
        </w:rPr>
        <w:t>Wom</w:t>
      </w:r>
      <w:r w:rsidR="00D1046C">
        <w:rPr>
          <w:i/>
          <w:iCs/>
        </w:rPr>
        <w:t>a</w:t>
      </w:r>
      <w:r w:rsidR="00442B33" w:rsidRPr="002E2818">
        <w:rPr>
          <w:i/>
          <w:iCs/>
        </w:rPr>
        <w:t>n’s Estate</w:t>
      </w:r>
      <w:r w:rsidR="00442B33" w:rsidRPr="002E2818">
        <w:t xml:space="preserve">, </w:t>
      </w:r>
      <w:r w:rsidR="00284ADF" w:rsidRPr="002E2818">
        <w:t>Australia, 1970</w:t>
      </w:r>
    </w:p>
    <w:p w14:paraId="44320367" w14:textId="67B1FCC2" w:rsidR="00284ADF" w:rsidRDefault="00704577" w:rsidP="008D1108">
      <w:pPr>
        <w:pStyle w:val="xxmsonormal"/>
        <w:spacing w:after="120" w:afterAutospacing="0" w:line="360" w:lineRule="auto"/>
        <w:jc w:val="both"/>
        <w:rPr>
          <w:b/>
          <w:bCs/>
          <w:color w:val="000000"/>
        </w:rPr>
      </w:pPr>
      <w:r w:rsidRPr="0070576A">
        <w:rPr>
          <w:b/>
          <w:bCs/>
          <w:color w:val="000000"/>
        </w:rPr>
        <w:t>Ann Genovese</w:t>
      </w:r>
      <w:r w:rsidR="00870732" w:rsidRPr="00870732">
        <w:rPr>
          <w:rStyle w:val="FootnoteReference"/>
          <w:b/>
          <w:bCs/>
          <w:color w:val="000000"/>
        </w:rPr>
        <w:footnoteReference w:customMarkFollows="1" w:id="1"/>
        <w:sym w:font="Symbol" w:char="F02A"/>
      </w:r>
    </w:p>
    <w:p w14:paraId="09D87888" w14:textId="77777777" w:rsidR="005932E0" w:rsidRDefault="005932E0" w:rsidP="002E2818">
      <w:pPr>
        <w:pStyle w:val="Heading1"/>
        <w:rPr>
          <w:highlight w:val="yellow"/>
        </w:rPr>
      </w:pPr>
    </w:p>
    <w:p w14:paraId="293949A9" w14:textId="03C3CE92" w:rsidR="007D63A1" w:rsidRPr="002E2818" w:rsidRDefault="007D63A1" w:rsidP="002E2818">
      <w:pPr>
        <w:pStyle w:val="Heading1"/>
      </w:pPr>
      <w:r w:rsidRPr="000F3AB2">
        <w:t>Abstract</w:t>
      </w:r>
    </w:p>
    <w:p w14:paraId="12A82EE0" w14:textId="13FF908B" w:rsidR="002A3C70" w:rsidRDefault="002A3C70" w:rsidP="002A3C70">
      <w:pPr>
        <w:pStyle w:val="xxmsonormal"/>
        <w:spacing w:after="120" w:afterAutospacing="0" w:line="360" w:lineRule="atLeast"/>
        <w:jc w:val="both"/>
      </w:pPr>
      <w:r w:rsidRPr="0084407B">
        <w:rPr>
          <w:color w:val="212121"/>
        </w:rPr>
        <w:t xml:space="preserve">This essay offers some observations on </w:t>
      </w:r>
      <w:r w:rsidRPr="0084407B">
        <w:t>jurisography, an experimental practice named by the author</w:t>
      </w:r>
      <w:r>
        <w:t xml:space="preserve">. It draws from </w:t>
      </w:r>
      <w:r w:rsidRPr="008E2006">
        <w:rPr>
          <w:i/>
          <w:iCs/>
        </w:rPr>
        <w:t>Feminist Jurisography: Law, History, Writing</w:t>
      </w:r>
      <w:r>
        <w:rPr>
          <w:i/>
          <w:iCs/>
        </w:rPr>
        <w:t xml:space="preserve"> </w:t>
      </w:r>
      <w:r>
        <w:t>(2022) to</w:t>
      </w:r>
      <w:r w:rsidRPr="0084407B">
        <w:t xml:space="preserve"> make an </w:t>
      </w:r>
      <w:r w:rsidRPr="0084407B">
        <w:rPr>
          <w:color w:val="212121"/>
        </w:rPr>
        <w:t xml:space="preserve">argument about feminist </w:t>
      </w:r>
      <w:r>
        <w:rPr>
          <w:color w:val="212121"/>
        </w:rPr>
        <w:t xml:space="preserve">traditions, and how they are inherited. </w:t>
      </w:r>
      <w:r>
        <w:t>T</w:t>
      </w:r>
      <w:r w:rsidRPr="0084407B">
        <w:t>he essay argu</w:t>
      </w:r>
      <w:r>
        <w:t>e</w:t>
      </w:r>
      <w:r w:rsidRPr="0084407B">
        <w:t>s that feminist tradition</w:t>
      </w:r>
      <w:r>
        <w:t>s</w:t>
      </w:r>
      <w:r w:rsidRPr="0084407B">
        <w:t xml:space="preserve"> –</w:t>
      </w:r>
      <w:r w:rsidR="00B90A36">
        <w:t xml:space="preserve"> </w:t>
      </w:r>
      <w:r w:rsidRPr="0084407B">
        <w:t>feminist foundation</w:t>
      </w:r>
      <w:r>
        <w:t>s</w:t>
      </w:r>
      <w:r w:rsidR="00B90A36">
        <w:t xml:space="preserve"> –</w:t>
      </w:r>
      <w:r w:rsidRPr="0084407B">
        <w:t xml:space="preserve"> </w:t>
      </w:r>
      <w:r>
        <w:t>are</w:t>
      </w:r>
      <w:r w:rsidR="00B90A36">
        <w:t xml:space="preserve"> </w:t>
      </w:r>
      <w:r>
        <w:t xml:space="preserve">not necessarily forgotten, </w:t>
      </w:r>
      <w:r w:rsidRPr="0084407B">
        <w:t xml:space="preserve">although </w:t>
      </w:r>
      <w:r>
        <w:t xml:space="preserve">they </w:t>
      </w:r>
      <w:r w:rsidRPr="0084407B">
        <w:t xml:space="preserve">may not always be explicitly acknowledged. </w:t>
      </w:r>
      <w:r>
        <w:t xml:space="preserve">It begins with a </w:t>
      </w:r>
      <w:r w:rsidRPr="0084407B">
        <w:t xml:space="preserve">provocation made by Simone de Beauvoir in </w:t>
      </w:r>
      <w:r w:rsidRPr="0084407B">
        <w:rPr>
          <w:i/>
          <w:iCs/>
        </w:rPr>
        <w:t>The Second Sex</w:t>
      </w:r>
      <w:r w:rsidRPr="0084407B">
        <w:t xml:space="preserve"> (1949)</w:t>
      </w:r>
      <w:r>
        <w:t xml:space="preserve">: </w:t>
      </w:r>
      <w:r w:rsidRPr="0084407B">
        <w:t xml:space="preserve"> that </w:t>
      </w:r>
      <w:r>
        <w:t>to respond adequa</w:t>
      </w:r>
      <w:r w:rsidR="008455BC">
        <w:t>tely</w:t>
      </w:r>
      <w:r>
        <w:t xml:space="preserve"> to one’s situation in time and place as woman requires self-creation of a persona and </w:t>
      </w:r>
      <w:r w:rsidRPr="0084407B">
        <w:t>methodological transformation</w:t>
      </w:r>
      <w:r>
        <w:t xml:space="preserve"> of disciplinary writing.  It then </w:t>
      </w:r>
      <w:r w:rsidRPr="0084407B">
        <w:t>examines how that provocation was adapted in the 1970s by writers in the Women’s Liberation Movement; and describes how popular books, written on the periphery of institutional life, introduced a new public persona: the feminist intellectual</w:t>
      </w:r>
      <w:r>
        <w:t xml:space="preserve">. </w:t>
      </w:r>
      <w:r w:rsidRPr="0084407B">
        <w:t>Through a re</w:t>
      </w:r>
      <w:r>
        <w:t>a</w:t>
      </w:r>
      <w:r w:rsidRPr="0084407B">
        <w:t>ding of Jul</w:t>
      </w:r>
      <w:r>
        <w:t>i</w:t>
      </w:r>
      <w:r w:rsidRPr="0084407B">
        <w:t xml:space="preserve">et Mitchell’s </w:t>
      </w:r>
      <w:r w:rsidRPr="008E2006">
        <w:rPr>
          <w:i/>
          <w:iCs/>
        </w:rPr>
        <w:t>Woman’s Estate</w:t>
      </w:r>
      <w:r w:rsidRPr="0084407B">
        <w:t xml:space="preserve"> </w:t>
      </w:r>
      <w:r>
        <w:t>(</w:t>
      </w:r>
      <w:r w:rsidRPr="0084407B">
        <w:t>1971)</w:t>
      </w:r>
      <w:r>
        <w:t xml:space="preserve"> and its reception </w:t>
      </w:r>
      <w:r w:rsidRPr="0084407B">
        <w:t>in Australia, th</w:t>
      </w:r>
      <w:r>
        <w:t>e</w:t>
      </w:r>
      <w:r w:rsidRPr="0084407B">
        <w:t xml:space="preserve"> essay argues </w:t>
      </w:r>
      <w:proofErr w:type="gramStart"/>
      <w:r>
        <w:t xml:space="preserve">that </w:t>
      </w:r>
      <w:r w:rsidRPr="0084407B">
        <w:t xml:space="preserve"> regardless</w:t>
      </w:r>
      <w:proofErr w:type="gramEnd"/>
      <w:r w:rsidRPr="0084407B">
        <w:t xml:space="preserve"> of whether one separates </w:t>
      </w:r>
      <w:r w:rsidR="004A76B8">
        <w:t xml:space="preserve">from </w:t>
      </w:r>
      <w:r w:rsidRPr="0084407B">
        <w:t>or aligns with</w:t>
      </w:r>
      <w:r>
        <w:t xml:space="preserve"> a textual inheritance, </w:t>
      </w:r>
      <w:proofErr w:type="gramStart"/>
      <w:r w:rsidRPr="0084407B">
        <w:t>understanding</w:t>
      </w:r>
      <w:r>
        <w:t xml:space="preserve">  the</w:t>
      </w:r>
      <w:proofErr w:type="gramEnd"/>
      <w:r>
        <w:t xml:space="preserve"> methodological innovations</w:t>
      </w:r>
      <w:r w:rsidRPr="0084407B">
        <w:t xml:space="preserve"> </w:t>
      </w:r>
      <w:r>
        <w:t xml:space="preserve">of feminist antecedents </w:t>
      </w:r>
      <w:r w:rsidRPr="0084407B">
        <w:t xml:space="preserve">for projects in the here and now is a political act of </w:t>
      </w:r>
      <w:r>
        <w:t>acknowledgment.</w:t>
      </w:r>
    </w:p>
    <w:p w14:paraId="40FD6AEE" w14:textId="77777777" w:rsidR="007D63A1" w:rsidRDefault="007D63A1" w:rsidP="008D1108">
      <w:pPr>
        <w:pStyle w:val="xxmsonormal"/>
        <w:spacing w:after="120" w:afterAutospacing="0" w:line="360" w:lineRule="auto"/>
        <w:jc w:val="both"/>
        <w:rPr>
          <w:b/>
          <w:bCs/>
          <w:color w:val="000000"/>
        </w:rPr>
      </w:pPr>
    </w:p>
    <w:p w14:paraId="481F97C5" w14:textId="62010DC7" w:rsidR="00DF63BA" w:rsidRPr="0070576A" w:rsidRDefault="00DF63BA" w:rsidP="008D1108">
      <w:pPr>
        <w:spacing w:after="120" w:line="360" w:lineRule="auto"/>
        <w:jc w:val="both"/>
        <w:rPr>
          <w:rFonts w:ascii="Times New Roman" w:hAnsi="Times New Roman" w:cs="Times New Roman"/>
          <w:i/>
        </w:rPr>
      </w:pPr>
      <w:r w:rsidRPr="0070576A">
        <w:rPr>
          <w:rFonts w:ascii="Times New Roman" w:hAnsi="Times New Roman" w:cs="Times New Roman"/>
          <w:i/>
        </w:rPr>
        <w:t>‘…though we cannot, in Women’s Liberation, in any sense rely on previously developed analyses</w:t>
      </w:r>
      <w:r w:rsidR="0070576A" w:rsidRPr="0070576A">
        <w:rPr>
          <w:rFonts w:ascii="Times New Roman" w:hAnsi="Times New Roman" w:cs="Times New Roman"/>
          <w:i/>
        </w:rPr>
        <w:t xml:space="preserve"> </w:t>
      </w:r>
      <w:r w:rsidRPr="0070576A">
        <w:rPr>
          <w:rFonts w:ascii="Times New Roman" w:hAnsi="Times New Roman" w:cs="Times New Roman"/>
          <w:i/>
        </w:rPr>
        <w:t>- we may be able to use them, to modify and extend</w:t>
      </w:r>
      <w:r w:rsidR="0015607C">
        <w:rPr>
          <w:rFonts w:ascii="Times New Roman" w:hAnsi="Times New Roman" w:cs="Times New Roman"/>
          <w:i/>
        </w:rPr>
        <w:t>.</w:t>
      </w:r>
      <w:r w:rsidRPr="0070576A">
        <w:rPr>
          <w:rFonts w:ascii="Times New Roman" w:hAnsi="Times New Roman" w:cs="Times New Roman"/>
          <w:i/>
        </w:rPr>
        <w:t>’</w:t>
      </w:r>
    </w:p>
    <w:p w14:paraId="7F0E3575" w14:textId="4E863C00" w:rsidR="00A24588" w:rsidRPr="0070576A" w:rsidRDefault="00DF63BA" w:rsidP="006B6733">
      <w:pPr>
        <w:spacing w:after="120" w:line="360" w:lineRule="auto"/>
        <w:jc w:val="right"/>
        <w:rPr>
          <w:rFonts w:ascii="Times New Roman" w:hAnsi="Times New Roman" w:cs="Times New Roman"/>
          <w:iCs/>
        </w:rPr>
      </w:pPr>
      <w:r w:rsidRPr="0070576A">
        <w:rPr>
          <w:rFonts w:ascii="Times New Roman" w:hAnsi="Times New Roman" w:cs="Times New Roman"/>
          <w:iCs/>
        </w:rPr>
        <w:t>-</w:t>
      </w:r>
      <w:r w:rsidR="0070576A" w:rsidRPr="0070576A">
        <w:rPr>
          <w:rFonts w:ascii="Times New Roman" w:hAnsi="Times New Roman" w:cs="Times New Roman"/>
          <w:iCs/>
        </w:rPr>
        <w:t xml:space="preserve"> </w:t>
      </w:r>
      <w:r w:rsidRPr="0070576A">
        <w:rPr>
          <w:rFonts w:ascii="Times New Roman" w:hAnsi="Times New Roman" w:cs="Times New Roman"/>
          <w:iCs/>
        </w:rPr>
        <w:t>Juliet Mitchell</w:t>
      </w:r>
      <w:r w:rsidR="004D4FE6">
        <w:rPr>
          <w:rFonts w:ascii="Times New Roman" w:hAnsi="Times New Roman" w:cs="Times New Roman"/>
          <w:iCs/>
        </w:rPr>
        <w:t xml:space="preserve"> (</w:t>
      </w:r>
      <w:r w:rsidR="00E007DA">
        <w:rPr>
          <w:rFonts w:ascii="Times New Roman" w:hAnsi="Times New Roman" w:cs="Times New Roman"/>
          <w:iCs/>
        </w:rPr>
        <w:t xml:space="preserve">[1971] </w:t>
      </w:r>
      <w:r w:rsidRPr="0070576A">
        <w:rPr>
          <w:rFonts w:ascii="Times New Roman" w:hAnsi="Times New Roman" w:cs="Times New Roman"/>
          <w:iCs/>
        </w:rPr>
        <w:t>197</w:t>
      </w:r>
      <w:r w:rsidR="004D4FE6">
        <w:rPr>
          <w:rFonts w:ascii="Times New Roman" w:hAnsi="Times New Roman" w:cs="Times New Roman"/>
          <w:iCs/>
        </w:rPr>
        <w:t>7: 5)</w:t>
      </w:r>
    </w:p>
    <w:p w14:paraId="5B25E853" w14:textId="77777777" w:rsidR="00A24588" w:rsidRPr="0070576A" w:rsidRDefault="00A24588" w:rsidP="008D1108">
      <w:pPr>
        <w:spacing w:after="120" w:line="360" w:lineRule="auto"/>
        <w:jc w:val="both"/>
        <w:rPr>
          <w:rFonts w:ascii="Times New Roman" w:hAnsi="Times New Roman" w:cs="Times New Roman"/>
        </w:rPr>
      </w:pPr>
      <w:r w:rsidRPr="0070576A">
        <w:rPr>
          <w:rFonts w:ascii="Times New Roman" w:hAnsi="Times New Roman" w:cs="Times New Roman"/>
          <w:i/>
        </w:rPr>
        <w:t>‘Feminist books are generally a prospective memory of a movement which constantly needs to be taken up again…’</w:t>
      </w:r>
    </w:p>
    <w:p w14:paraId="511FB2EA" w14:textId="0B7A7529" w:rsidR="00A24588" w:rsidRPr="0070576A" w:rsidRDefault="00A24588" w:rsidP="00700303">
      <w:pPr>
        <w:spacing w:after="120" w:line="360" w:lineRule="auto"/>
        <w:jc w:val="right"/>
        <w:rPr>
          <w:rFonts w:ascii="Times New Roman" w:hAnsi="Times New Roman" w:cs="Times New Roman"/>
        </w:rPr>
      </w:pPr>
      <w:r w:rsidRPr="0070576A">
        <w:rPr>
          <w:rFonts w:ascii="Times New Roman" w:hAnsi="Times New Roman" w:cs="Times New Roman"/>
        </w:rPr>
        <w:t>-</w:t>
      </w:r>
      <w:r>
        <w:rPr>
          <w:rFonts w:ascii="Times New Roman" w:hAnsi="Times New Roman" w:cs="Times New Roman"/>
        </w:rPr>
        <w:t xml:space="preserve"> </w:t>
      </w:r>
      <w:r w:rsidRPr="0070576A">
        <w:rPr>
          <w:rFonts w:ascii="Times New Roman" w:hAnsi="Times New Roman" w:cs="Times New Roman"/>
        </w:rPr>
        <w:t xml:space="preserve">Michèle Le </w:t>
      </w:r>
      <w:proofErr w:type="spellStart"/>
      <w:r w:rsidRPr="0070576A">
        <w:rPr>
          <w:rFonts w:ascii="Times New Roman" w:hAnsi="Times New Roman" w:cs="Times New Roman"/>
        </w:rPr>
        <w:t>Dœuff</w:t>
      </w:r>
      <w:proofErr w:type="spellEnd"/>
      <w:r w:rsidR="004D4FE6">
        <w:rPr>
          <w:rFonts w:ascii="Times New Roman" w:hAnsi="Times New Roman" w:cs="Times New Roman"/>
        </w:rPr>
        <w:t xml:space="preserve"> (</w:t>
      </w:r>
      <w:r w:rsidRPr="0070576A">
        <w:rPr>
          <w:rFonts w:ascii="Times New Roman" w:hAnsi="Times New Roman" w:cs="Times New Roman"/>
        </w:rPr>
        <w:t>1991</w:t>
      </w:r>
      <w:r w:rsidR="004D4FE6">
        <w:rPr>
          <w:rFonts w:ascii="Times New Roman" w:hAnsi="Times New Roman" w:cs="Times New Roman"/>
        </w:rPr>
        <w:t>: 16)</w:t>
      </w:r>
    </w:p>
    <w:p w14:paraId="2B720B95" w14:textId="77777777" w:rsidR="005901CC" w:rsidRDefault="005901CC">
      <w:pPr>
        <w:rPr>
          <w:rStyle w:val="apple-converted-space"/>
          <w:rFonts w:ascii="Times New Roman" w:eastAsia="Times New Roman" w:hAnsi="Times New Roman" w:cs="Times New Roman"/>
          <w:b/>
          <w:bCs/>
          <w:color w:val="000000"/>
          <w:lang w:eastAsia="en-GB"/>
        </w:rPr>
      </w:pPr>
      <w:r>
        <w:rPr>
          <w:rStyle w:val="apple-converted-space"/>
        </w:rPr>
        <w:br w:type="page"/>
      </w:r>
    </w:p>
    <w:p w14:paraId="2AD9D669" w14:textId="28179313" w:rsidR="00A24588" w:rsidRPr="002D451A" w:rsidRDefault="00A24588" w:rsidP="002E2818">
      <w:pPr>
        <w:pStyle w:val="Heading1"/>
        <w:rPr>
          <w:rStyle w:val="apple-converted-space"/>
          <w:b w:val="0"/>
          <w:bCs w:val="0"/>
        </w:rPr>
      </w:pPr>
      <w:r>
        <w:rPr>
          <w:rStyle w:val="apple-converted-space"/>
        </w:rPr>
        <w:lastRenderedPageBreak/>
        <w:t xml:space="preserve">1. </w:t>
      </w:r>
      <w:r w:rsidRPr="002D451A">
        <w:rPr>
          <w:rStyle w:val="apple-converted-space"/>
        </w:rPr>
        <w:t>Feminist Jurisography</w:t>
      </w:r>
    </w:p>
    <w:p w14:paraId="2AC5434B" w14:textId="2B78D5F7" w:rsidR="00A24588" w:rsidRPr="0070576A" w:rsidRDefault="00A24588" w:rsidP="008D1108">
      <w:pPr>
        <w:pStyle w:val="xxmsonormal"/>
        <w:spacing w:after="120" w:afterAutospacing="0" w:line="360" w:lineRule="auto"/>
        <w:jc w:val="both"/>
        <w:rPr>
          <w:rStyle w:val="apple-converted-space"/>
          <w:color w:val="000000"/>
        </w:rPr>
      </w:pPr>
      <w:r w:rsidRPr="0070576A">
        <w:rPr>
          <w:rStyle w:val="apple-converted-space"/>
          <w:color w:val="000000"/>
        </w:rPr>
        <w:t xml:space="preserve">The themes and purpose of this collection are very important to me. Naming, acknowledging, and making visible the relations between feminist and jurisprudential traditions are activities that have organised my teaching, writing, and research </w:t>
      </w:r>
      <w:r w:rsidR="0059318A">
        <w:rPr>
          <w:rStyle w:val="apple-converted-space"/>
          <w:color w:val="000000"/>
        </w:rPr>
        <w:t>–</w:t>
      </w:r>
      <w:r w:rsidRPr="0070576A">
        <w:rPr>
          <w:rStyle w:val="apple-converted-space"/>
          <w:color w:val="000000"/>
        </w:rPr>
        <w:t xml:space="preserve"> and</w:t>
      </w:r>
      <w:r w:rsidR="0059318A">
        <w:rPr>
          <w:rStyle w:val="apple-converted-space"/>
          <w:color w:val="000000"/>
        </w:rPr>
        <w:t xml:space="preserve"> </w:t>
      </w:r>
      <w:r w:rsidRPr="0070576A">
        <w:rPr>
          <w:rStyle w:val="apple-converted-space"/>
          <w:color w:val="000000"/>
        </w:rPr>
        <w:t xml:space="preserve">sustained my scholarly relationships </w:t>
      </w:r>
      <w:r w:rsidR="0059318A">
        <w:rPr>
          <w:rStyle w:val="apple-converted-space"/>
          <w:color w:val="000000"/>
        </w:rPr>
        <w:t>–</w:t>
      </w:r>
      <w:r w:rsidRPr="0070576A">
        <w:rPr>
          <w:rStyle w:val="apple-converted-space"/>
          <w:color w:val="000000"/>
        </w:rPr>
        <w:t xml:space="preserve"> since</w:t>
      </w:r>
      <w:r w:rsidR="0059318A">
        <w:rPr>
          <w:rStyle w:val="apple-converted-space"/>
          <w:color w:val="000000"/>
        </w:rPr>
        <w:t xml:space="preserve"> </w:t>
      </w:r>
      <w:r w:rsidRPr="0070576A">
        <w:rPr>
          <w:rStyle w:val="apple-converted-space"/>
          <w:color w:val="000000"/>
        </w:rPr>
        <w:t xml:space="preserve">the mid-1990s. Over the past decade I have invested in giving methodological shape and form, and a language </w:t>
      </w:r>
      <w:r w:rsidR="0059318A">
        <w:rPr>
          <w:rStyle w:val="apple-converted-space"/>
          <w:color w:val="000000"/>
        </w:rPr>
        <w:t>–</w:t>
      </w:r>
      <w:r w:rsidRPr="0070576A">
        <w:rPr>
          <w:rStyle w:val="apple-converted-space"/>
          <w:color w:val="000000"/>
        </w:rPr>
        <w:t xml:space="preserve"> jurisography</w:t>
      </w:r>
      <w:r w:rsidR="0059318A">
        <w:rPr>
          <w:rStyle w:val="apple-converted-space"/>
          <w:color w:val="000000"/>
        </w:rPr>
        <w:t xml:space="preserve"> </w:t>
      </w:r>
      <w:r w:rsidR="00E63F86">
        <w:rPr>
          <w:rStyle w:val="apple-converted-space"/>
          <w:color w:val="000000"/>
        </w:rPr>
        <w:t>–</w:t>
      </w:r>
      <w:r w:rsidRPr="0070576A">
        <w:rPr>
          <w:rStyle w:val="apple-converted-space"/>
          <w:color w:val="000000"/>
        </w:rPr>
        <w:t xml:space="preserve"> to</w:t>
      </w:r>
      <w:r w:rsidR="00E63F86">
        <w:rPr>
          <w:rStyle w:val="apple-converted-space"/>
          <w:color w:val="000000"/>
        </w:rPr>
        <w:t xml:space="preserve"> </w:t>
      </w:r>
      <w:r w:rsidRPr="0070576A">
        <w:rPr>
          <w:rStyle w:val="apple-converted-space"/>
          <w:color w:val="000000"/>
        </w:rPr>
        <w:t>demonstrate how I have conducted my own practice as it speaks to these concerns. I have prioritised as subject matter, and aimed to make visible, the originality and conviction of feminist writers and scholars who challenged the methods and genres of orthodox disciplines that they joined (like law), and how they also invented new ones (like gender and cultural studies)</w:t>
      </w:r>
      <w:r w:rsidR="004B594E">
        <w:rPr>
          <w:rStyle w:val="apple-converted-space"/>
          <w:color w:val="000000"/>
        </w:rPr>
        <w:t xml:space="preserve"> (Genovese </w:t>
      </w:r>
      <w:r w:rsidR="007D5FBF">
        <w:rPr>
          <w:rStyle w:val="apple-converted-space"/>
          <w:color w:val="000000"/>
        </w:rPr>
        <w:t>2022</w:t>
      </w:r>
      <w:r w:rsidR="004B594E">
        <w:rPr>
          <w:rStyle w:val="apple-converted-space"/>
          <w:color w:val="000000"/>
        </w:rPr>
        <w:t>)</w:t>
      </w:r>
      <w:r w:rsidRPr="0070576A">
        <w:rPr>
          <w:rStyle w:val="apple-converted-space"/>
          <w:color w:val="000000"/>
        </w:rPr>
        <w:t>. I have emphasised how feminist projects, over time and place, are related to each other by writing: in the sources we choose, and how and where we are trained to take up our disciplinary roles in using them</w:t>
      </w:r>
      <w:r w:rsidR="004B594E">
        <w:rPr>
          <w:rStyle w:val="apple-converted-space"/>
          <w:color w:val="000000"/>
        </w:rPr>
        <w:t xml:space="preserve"> (</w:t>
      </w:r>
      <w:r w:rsidR="007D5FBF">
        <w:rPr>
          <w:rStyle w:val="apple-converted-space"/>
          <w:color w:val="000000"/>
        </w:rPr>
        <w:t>ibid</w:t>
      </w:r>
      <w:r w:rsidR="004B594E">
        <w:rPr>
          <w:rStyle w:val="apple-converted-space"/>
          <w:color w:val="000000"/>
        </w:rPr>
        <w:t>)</w:t>
      </w:r>
      <w:r w:rsidRPr="0070576A">
        <w:rPr>
          <w:rStyle w:val="apple-converted-space"/>
          <w:color w:val="000000"/>
        </w:rPr>
        <w:t>. I have recommended that how any scholar acknowledges their relationship with extant feminist or jurisprudential writing (or indeed feminist legal writing) is not programmatic, but involves inventing exercises and methodological experiments of one’s own. These exercises are to make visible training and custodianship (about the work of those we learn from, as well as those we collaborate with, and teach). They are, I would argue, a way to recognise how feminist writing enables relations between feminist scholars, by paying attention to situation and difference (of temporality, language, location, discipline, and experience). Our own writing exercises also provide examples of how feminist writing and relationship that predates our own time is of diverse use for contemporary projects, in law</w:t>
      </w:r>
      <w:r w:rsidR="000E6F7B">
        <w:rPr>
          <w:rStyle w:val="apple-converted-space"/>
          <w:color w:val="000000"/>
        </w:rPr>
        <w:t xml:space="preserve"> (</w:t>
      </w:r>
      <w:r w:rsidR="009D3C49">
        <w:rPr>
          <w:rStyle w:val="apple-converted-space"/>
          <w:color w:val="000000"/>
        </w:rPr>
        <w:t>ibid</w:t>
      </w:r>
      <w:r w:rsidR="000E6F7B">
        <w:rPr>
          <w:rStyle w:val="apple-converted-space"/>
          <w:color w:val="000000"/>
        </w:rPr>
        <w:t>)</w:t>
      </w:r>
      <w:r w:rsidRPr="0070576A">
        <w:rPr>
          <w:rStyle w:val="apple-converted-space"/>
          <w:color w:val="000000"/>
        </w:rPr>
        <w:t xml:space="preserve">. </w:t>
      </w:r>
    </w:p>
    <w:p w14:paraId="623BECDA" w14:textId="7A82260C" w:rsidR="00A24588" w:rsidRPr="0070576A" w:rsidRDefault="00A24588" w:rsidP="005336B6">
      <w:pPr>
        <w:pStyle w:val="CommentText"/>
        <w:spacing w:after="120" w:line="360" w:lineRule="auto"/>
        <w:ind w:firstLine="360"/>
        <w:jc w:val="both"/>
        <w:rPr>
          <w:rFonts w:ascii="Times New Roman" w:hAnsi="Times New Roman"/>
        </w:rPr>
      </w:pPr>
      <w:r w:rsidRPr="0070576A">
        <w:rPr>
          <w:rStyle w:val="apple-converted-space"/>
          <w:rFonts w:ascii="Times New Roman" w:hAnsi="Times New Roman"/>
          <w:color w:val="000000"/>
        </w:rPr>
        <w:t>I</w:t>
      </w:r>
      <w:r w:rsidR="00C82C3C">
        <w:rPr>
          <w:rStyle w:val="apple-converted-space"/>
          <w:rFonts w:ascii="Times New Roman" w:hAnsi="Times New Roman"/>
          <w:color w:val="000000"/>
        </w:rPr>
        <w:t xml:space="preserve">n my book </w:t>
      </w:r>
      <w:r w:rsidRPr="0070576A">
        <w:rPr>
          <w:rStyle w:val="apple-converted-space"/>
          <w:rFonts w:ascii="Times New Roman" w:hAnsi="Times New Roman"/>
          <w:i/>
          <w:iCs/>
          <w:color w:val="000000"/>
        </w:rPr>
        <w:t xml:space="preserve">Feminist </w:t>
      </w:r>
      <w:proofErr w:type="spellStart"/>
      <w:r w:rsidRPr="0070576A">
        <w:rPr>
          <w:rStyle w:val="apple-converted-space"/>
          <w:rFonts w:ascii="Times New Roman" w:hAnsi="Times New Roman"/>
          <w:i/>
          <w:iCs/>
          <w:color w:val="000000"/>
        </w:rPr>
        <w:t>Jurisography</w:t>
      </w:r>
      <w:proofErr w:type="spellEnd"/>
      <w:r w:rsidRPr="0070576A">
        <w:rPr>
          <w:rStyle w:val="apple-converted-space"/>
          <w:rFonts w:ascii="Times New Roman" w:hAnsi="Times New Roman"/>
          <w:i/>
          <w:iCs/>
          <w:color w:val="000000"/>
        </w:rPr>
        <w:t>: Law, History Writing</w:t>
      </w:r>
      <w:r w:rsidRPr="0070576A">
        <w:rPr>
          <w:rStyle w:val="apple-converted-space"/>
          <w:rFonts w:ascii="Times New Roman" w:hAnsi="Times New Roman"/>
          <w:color w:val="000000"/>
        </w:rPr>
        <w:t xml:space="preserve"> </w:t>
      </w:r>
      <w:r w:rsidR="00C82C3C">
        <w:rPr>
          <w:rStyle w:val="apple-converted-space"/>
          <w:rFonts w:ascii="Times New Roman" w:hAnsi="Times New Roman"/>
          <w:color w:val="000000"/>
        </w:rPr>
        <w:t xml:space="preserve">I </w:t>
      </w:r>
      <w:r w:rsidRPr="0070576A">
        <w:rPr>
          <w:rStyle w:val="apple-converted-space"/>
          <w:rFonts w:ascii="Times New Roman" w:hAnsi="Times New Roman"/>
          <w:color w:val="000000"/>
        </w:rPr>
        <w:t>draw these activities</w:t>
      </w:r>
      <w:r w:rsidR="009D3C49">
        <w:rPr>
          <w:rStyle w:val="apple-converted-space"/>
          <w:rFonts w:ascii="Times New Roman" w:hAnsi="Times New Roman"/>
          <w:color w:val="000000"/>
        </w:rPr>
        <w:t xml:space="preserve"> </w:t>
      </w:r>
      <w:r w:rsidR="00C82C3C" w:rsidRPr="0070576A">
        <w:rPr>
          <w:rStyle w:val="apple-converted-space"/>
          <w:rFonts w:ascii="Times New Roman" w:hAnsi="Times New Roman"/>
          <w:color w:val="000000"/>
        </w:rPr>
        <w:t xml:space="preserve">together </w:t>
      </w:r>
      <w:r w:rsidR="009D3C49">
        <w:rPr>
          <w:rStyle w:val="apple-converted-space"/>
          <w:rFonts w:ascii="Times New Roman" w:hAnsi="Times New Roman"/>
          <w:color w:val="000000"/>
        </w:rPr>
        <w:t>(Genovese 2022)</w:t>
      </w:r>
      <w:r w:rsidRPr="0070576A">
        <w:rPr>
          <w:rStyle w:val="apple-converted-space"/>
          <w:rFonts w:ascii="Times New Roman" w:hAnsi="Times New Roman"/>
          <w:color w:val="000000"/>
        </w:rPr>
        <w:t xml:space="preserve">. </w:t>
      </w:r>
      <w:r w:rsidRPr="0070576A">
        <w:rPr>
          <w:rFonts w:ascii="Times New Roman" w:hAnsi="Times New Roman"/>
        </w:rPr>
        <w:t>Jurisography is a practice named and invented alongside my friend and</w:t>
      </w:r>
      <w:r w:rsidR="00C82C3C">
        <w:rPr>
          <w:rFonts w:ascii="Times New Roman" w:hAnsi="Times New Roman"/>
        </w:rPr>
        <w:t xml:space="preserve"> </w:t>
      </w:r>
      <w:proofErr w:type="spellStart"/>
      <w:r w:rsidR="00C82C3C">
        <w:rPr>
          <w:rFonts w:ascii="Times New Roman" w:hAnsi="Times New Roman"/>
        </w:rPr>
        <w:t>collborator</w:t>
      </w:r>
      <w:proofErr w:type="spellEnd"/>
      <w:r w:rsidRPr="0070576A">
        <w:rPr>
          <w:rFonts w:ascii="Times New Roman" w:hAnsi="Times New Roman"/>
        </w:rPr>
        <w:t xml:space="preserve"> jurisprudent Shaun McVeigh</w:t>
      </w:r>
      <w:r w:rsidR="00C82C3C">
        <w:rPr>
          <w:rFonts w:ascii="Times New Roman" w:hAnsi="Times New Roman"/>
        </w:rPr>
        <w:t xml:space="preserve">. </w:t>
      </w:r>
      <w:r w:rsidRPr="0070576A">
        <w:rPr>
          <w:rFonts w:ascii="Times New Roman" w:hAnsi="Times New Roman"/>
        </w:rPr>
        <w:t xml:space="preserve">Bringing our different scholarly experiences and traditions into relationship has enabled us to experiment with techniques of showing how jurisprudence is addressed and accounted for in writing at different times; but </w:t>
      </w:r>
      <w:r w:rsidR="00C74B7C">
        <w:rPr>
          <w:rFonts w:ascii="Times New Roman" w:hAnsi="Times New Roman"/>
        </w:rPr>
        <w:t xml:space="preserve">also </w:t>
      </w:r>
      <w:r w:rsidRPr="0070576A">
        <w:rPr>
          <w:rFonts w:ascii="Times New Roman" w:hAnsi="Times New Roman"/>
        </w:rPr>
        <w:t>to stage an argument about why it is a public responsibility to write about the jurisprudence that belongs to the place we live and work (</w:t>
      </w:r>
      <w:r w:rsidR="00C74B7C">
        <w:rPr>
          <w:rFonts w:ascii="Times New Roman" w:hAnsi="Times New Roman"/>
        </w:rPr>
        <w:t>i</w:t>
      </w:r>
      <w:r w:rsidRPr="0070576A">
        <w:rPr>
          <w:rFonts w:ascii="Times New Roman" w:hAnsi="Times New Roman"/>
        </w:rPr>
        <w:t xml:space="preserve">n our case, Australia, and its profound and irreducible relations between Indigenous and non-Indigenous laws, histories and peoples). Naming jurisography and experimenting with ways to write jurisprudence has enabled us to attend to the materials of law (in many diverse sources), to show not only how they order lives and </w:t>
      </w:r>
      <w:proofErr w:type="gramStart"/>
      <w:r w:rsidRPr="0070576A">
        <w:rPr>
          <w:rFonts w:ascii="Times New Roman" w:hAnsi="Times New Roman"/>
        </w:rPr>
        <w:t>experiences, but</w:t>
      </w:r>
      <w:proofErr w:type="gramEnd"/>
      <w:r w:rsidRPr="0070576A">
        <w:rPr>
          <w:rFonts w:ascii="Times New Roman" w:hAnsi="Times New Roman"/>
        </w:rPr>
        <w:t xml:space="preserve"> open a training in how to live a life with law or conduct your own obligations to law. Working </w:t>
      </w:r>
      <w:r w:rsidRPr="0070576A">
        <w:rPr>
          <w:rFonts w:ascii="Times New Roman" w:hAnsi="Times New Roman"/>
        </w:rPr>
        <w:lastRenderedPageBreak/>
        <w:t xml:space="preserve">with Shaun and Peter on our other jurisography projects sustained my own thinking while writing </w:t>
      </w:r>
      <w:r w:rsidRPr="0070576A">
        <w:rPr>
          <w:rFonts w:ascii="Times New Roman" w:hAnsi="Times New Roman"/>
          <w:i/>
          <w:iCs/>
        </w:rPr>
        <w:t>Feminist Jurisography</w:t>
      </w:r>
      <w:r w:rsidRPr="0070576A">
        <w:rPr>
          <w:rFonts w:ascii="Times New Roman" w:hAnsi="Times New Roman"/>
        </w:rPr>
        <w:t>. But their obligations to jurisprudence are not identical to mine; and our ways of writing are also not the same</w:t>
      </w:r>
      <w:r w:rsidR="00411F1E">
        <w:rPr>
          <w:rFonts w:ascii="Times New Roman" w:hAnsi="Times New Roman"/>
        </w:rPr>
        <w:t xml:space="preserve"> (see Genovese 2013, 2014, 2016, 2019; Genovese &amp; McVeigh 2015; </w:t>
      </w:r>
      <w:r w:rsidR="003974E2">
        <w:rPr>
          <w:rFonts w:ascii="Times New Roman" w:hAnsi="Times New Roman"/>
        </w:rPr>
        <w:t>Genovese</w:t>
      </w:r>
      <w:r w:rsidR="00572E3B">
        <w:rPr>
          <w:rFonts w:ascii="Times New Roman" w:hAnsi="Times New Roman"/>
        </w:rPr>
        <w:t>, McVeigh</w:t>
      </w:r>
      <w:r w:rsidR="003974E2">
        <w:rPr>
          <w:rFonts w:ascii="Times New Roman" w:hAnsi="Times New Roman"/>
        </w:rPr>
        <w:t xml:space="preserve"> &amp; Rush 2016;</w:t>
      </w:r>
      <w:r w:rsidR="00F07441">
        <w:rPr>
          <w:rFonts w:ascii="Times New Roman" w:hAnsi="Times New Roman"/>
        </w:rPr>
        <w:t xml:space="preserve"> </w:t>
      </w:r>
      <w:r w:rsidR="002A3C70">
        <w:rPr>
          <w:rFonts w:ascii="Times New Roman" w:hAnsi="Times New Roman"/>
        </w:rPr>
        <w:t xml:space="preserve">Genovese &amp; McVeigh 2026; </w:t>
      </w:r>
      <w:r w:rsidR="00411F1E">
        <w:rPr>
          <w:rFonts w:ascii="Times New Roman" w:hAnsi="Times New Roman"/>
        </w:rPr>
        <w:t>McVeigh</w:t>
      </w:r>
      <w:r w:rsidR="003974E2">
        <w:rPr>
          <w:rFonts w:ascii="Times New Roman" w:hAnsi="Times New Roman"/>
        </w:rPr>
        <w:t xml:space="preserve"> 2016</w:t>
      </w:r>
      <w:r w:rsidR="008217C8">
        <w:rPr>
          <w:rFonts w:ascii="Times New Roman" w:hAnsi="Times New Roman"/>
        </w:rPr>
        <w:t>; see also Genovese 2022: 107-113</w:t>
      </w:r>
      <w:r w:rsidR="00F07441">
        <w:rPr>
          <w:rFonts w:ascii="Times New Roman" w:hAnsi="Times New Roman"/>
        </w:rPr>
        <w:t xml:space="preserve">; Genovese, </w:t>
      </w:r>
      <w:proofErr w:type="spellStart"/>
      <w:r w:rsidR="00F07441">
        <w:rPr>
          <w:rFonts w:ascii="Times New Roman" w:hAnsi="Times New Roman"/>
        </w:rPr>
        <w:t>Curthoys</w:t>
      </w:r>
      <w:proofErr w:type="spellEnd"/>
      <w:r w:rsidR="00F07441">
        <w:rPr>
          <w:rFonts w:ascii="Times New Roman" w:hAnsi="Times New Roman"/>
        </w:rPr>
        <w:t>, Simmonds &amp; Kintonimas 2025</w:t>
      </w:r>
      <w:r w:rsidR="008217C8">
        <w:rPr>
          <w:rFonts w:ascii="Times New Roman" w:hAnsi="Times New Roman"/>
        </w:rPr>
        <w:t>)</w:t>
      </w:r>
      <w:r w:rsidRPr="0070576A">
        <w:rPr>
          <w:rFonts w:ascii="Times New Roman" w:hAnsi="Times New Roman"/>
        </w:rPr>
        <w:t xml:space="preserve">. </w:t>
      </w:r>
      <w:r w:rsidR="00F07441">
        <w:rPr>
          <w:rFonts w:ascii="Times New Roman" w:hAnsi="Times New Roman"/>
        </w:rPr>
        <w:t xml:space="preserve">Writing </w:t>
      </w:r>
      <w:r w:rsidRPr="0070576A">
        <w:rPr>
          <w:rFonts w:ascii="Times New Roman" w:hAnsi="Times New Roman"/>
          <w:i/>
          <w:iCs/>
        </w:rPr>
        <w:t xml:space="preserve">Feminist </w:t>
      </w:r>
      <w:proofErr w:type="spellStart"/>
      <w:r w:rsidRPr="0070576A">
        <w:rPr>
          <w:rFonts w:ascii="Times New Roman" w:hAnsi="Times New Roman"/>
          <w:i/>
          <w:iCs/>
        </w:rPr>
        <w:t>Jurisography</w:t>
      </w:r>
      <w:proofErr w:type="spellEnd"/>
      <w:r w:rsidRPr="0070576A">
        <w:rPr>
          <w:rFonts w:ascii="Times New Roman" w:hAnsi="Times New Roman"/>
        </w:rPr>
        <w:t xml:space="preserve"> was a way for me to demonstrate and acknowledge the debts I carry; and to make visible the feminist intellectual training I have received in Australia, that has guided me in my own self formation as a jurisprudence writer. It was also, truth be told, an intervention. I wanted to present a particular history of writing about jurisprudence in Australia that skewered the accustomed starting and end points, and reoriented complacency in some contemporary writing in law that seemed to me uninterested in how </w:t>
      </w:r>
      <w:r w:rsidR="0021597A">
        <w:rPr>
          <w:rFonts w:ascii="Times New Roman" w:hAnsi="Times New Roman"/>
        </w:rPr>
        <w:t xml:space="preserve">the </w:t>
      </w:r>
      <w:r w:rsidRPr="0070576A">
        <w:rPr>
          <w:rFonts w:ascii="Times New Roman" w:hAnsi="Times New Roman"/>
        </w:rPr>
        <w:t xml:space="preserve">methods used were informed by feminist innovations. It mattered to me, as an ethos of my own scholarship, to make visible how and why these feminist innovations </w:t>
      </w:r>
      <w:r w:rsidR="0021597A">
        <w:rPr>
          <w:rFonts w:ascii="Times New Roman" w:hAnsi="Times New Roman"/>
        </w:rPr>
        <w:t>–</w:t>
      </w:r>
      <w:r w:rsidRPr="0070576A">
        <w:rPr>
          <w:rFonts w:ascii="Times New Roman" w:hAnsi="Times New Roman"/>
        </w:rPr>
        <w:t xml:space="preserve"> of</w:t>
      </w:r>
      <w:r w:rsidR="0021597A">
        <w:rPr>
          <w:rFonts w:ascii="Times New Roman" w:hAnsi="Times New Roman"/>
        </w:rPr>
        <w:t xml:space="preserve"> </w:t>
      </w:r>
      <w:r w:rsidRPr="0070576A">
        <w:rPr>
          <w:rFonts w:ascii="Times New Roman" w:hAnsi="Times New Roman"/>
        </w:rPr>
        <w:t xml:space="preserve">technique, source, genre </w:t>
      </w:r>
      <w:r w:rsidR="0021597A">
        <w:rPr>
          <w:rFonts w:ascii="Times New Roman" w:hAnsi="Times New Roman"/>
        </w:rPr>
        <w:t>–</w:t>
      </w:r>
      <w:r w:rsidRPr="0070576A">
        <w:rPr>
          <w:rFonts w:ascii="Times New Roman" w:hAnsi="Times New Roman"/>
        </w:rPr>
        <w:t xml:space="preserve"> were</w:t>
      </w:r>
      <w:r w:rsidR="0021597A">
        <w:rPr>
          <w:rFonts w:ascii="Times New Roman" w:hAnsi="Times New Roman"/>
        </w:rPr>
        <w:t xml:space="preserve"> </w:t>
      </w:r>
      <w:r w:rsidRPr="0070576A">
        <w:rPr>
          <w:rFonts w:ascii="Times New Roman" w:hAnsi="Times New Roman"/>
        </w:rPr>
        <w:t xml:space="preserve">developed as a matter of necessity in the late twentieth century. They were the active means devised by feminist writers to introduce different subjects and subject matter to orthodox </w:t>
      </w:r>
      <w:proofErr w:type="gramStart"/>
      <w:r w:rsidRPr="0070576A">
        <w:rPr>
          <w:rFonts w:ascii="Times New Roman" w:hAnsi="Times New Roman"/>
        </w:rPr>
        <w:t>knowledge, and</w:t>
      </w:r>
      <w:proofErr w:type="gramEnd"/>
      <w:r w:rsidRPr="0070576A">
        <w:rPr>
          <w:rFonts w:ascii="Times New Roman" w:hAnsi="Times New Roman"/>
        </w:rPr>
        <w:t xml:space="preserve"> allow experiences other than those of authorised men of the academy to be seen, read and heard in public writing of all kinds, including that of law</w:t>
      </w:r>
      <w:r w:rsidR="00F262A4">
        <w:rPr>
          <w:rFonts w:ascii="Times New Roman" w:hAnsi="Times New Roman"/>
        </w:rPr>
        <w:t xml:space="preserve"> (see Genovese 2022: 16-19)</w:t>
      </w:r>
      <w:r w:rsidRPr="0070576A">
        <w:rPr>
          <w:rFonts w:ascii="Times New Roman" w:hAnsi="Times New Roman"/>
        </w:rPr>
        <w:t xml:space="preserve">. </w:t>
      </w:r>
    </w:p>
    <w:p w14:paraId="33D0AC11" w14:textId="013D2953" w:rsidR="00A24588" w:rsidRPr="0070576A" w:rsidRDefault="00A24588" w:rsidP="008D1108">
      <w:pPr>
        <w:pStyle w:val="CommentText"/>
        <w:spacing w:after="120" w:line="360" w:lineRule="auto"/>
        <w:jc w:val="both"/>
        <w:rPr>
          <w:rFonts w:ascii="Times New Roman" w:hAnsi="Times New Roman"/>
        </w:rPr>
      </w:pPr>
    </w:p>
    <w:p w14:paraId="3D00B0D2" w14:textId="52B8862D" w:rsidR="00A24588" w:rsidRPr="00C90A11" w:rsidRDefault="00A24588" w:rsidP="002E2818">
      <w:pPr>
        <w:pStyle w:val="Heading1"/>
      </w:pPr>
      <w:r>
        <w:t xml:space="preserve">2. </w:t>
      </w:r>
      <w:r w:rsidRPr="00C90A11">
        <w:t>Inheritance and tradition</w:t>
      </w:r>
    </w:p>
    <w:p w14:paraId="0614CA66" w14:textId="759A240F" w:rsidR="00A24588" w:rsidRPr="0070576A" w:rsidRDefault="00A24588" w:rsidP="008D1108">
      <w:pPr>
        <w:pStyle w:val="CommentText"/>
        <w:spacing w:after="120" w:line="360" w:lineRule="auto"/>
        <w:jc w:val="both"/>
        <w:rPr>
          <w:rStyle w:val="apple-converted-space"/>
          <w:rFonts w:ascii="Times New Roman" w:hAnsi="Times New Roman"/>
          <w:color w:val="000000"/>
        </w:rPr>
      </w:pPr>
      <w:r w:rsidRPr="0070576A">
        <w:rPr>
          <w:rStyle w:val="apple-converted-space"/>
          <w:rFonts w:ascii="Times New Roman" w:hAnsi="Times New Roman"/>
          <w:color w:val="000000"/>
        </w:rPr>
        <w:t xml:space="preserve">In each of the essays I wrote for </w:t>
      </w:r>
      <w:r w:rsidRPr="0070576A">
        <w:rPr>
          <w:rStyle w:val="apple-converted-space"/>
          <w:rFonts w:ascii="Times New Roman" w:hAnsi="Times New Roman"/>
          <w:i/>
          <w:iCs/>
          <w:color w:val="000000"/>
        </w:rPr>
        <w:t>Feminist Jurisography</w:t>
      </w:r>
      <w:r w:rsidRPr="0070576A">
        <w:rPr>
          <w:rStyle w:val="apple-converted-space"/>
          <w:rFonts w:ascii="Times New Roman" w:hAnsi="Times New Roman"/>
          <w:color w:val="000000"/>
        </w:rPr>
        <w:t xml:space="preserve"> I wanted to be clear about how innovations that present in feminist writing may be shared across time and </w:t>
      </w:r>
      <w:proofErr w:type="gramStart"/>
      <w:r w:rsidRPr="0070576A">
        <w:rPr>
          <w:rStyle w:val="apple-converted-space"/>
          <w:rFonts w:ascii="Times New Roman" w:hAnsi="Times New Roman"/>
          <w:color w:val="000000"/>
        </w:rPr>
        <w:t>places, but</w:t>
      </w:r>
      <w:proofErr w:type="gramEnd"/>
      <w:r w:rsidRPr="0070576A">
        <w:rPr>
          <w:rStyle w:val="apple-converted-space"/>
          <w:rFonts w:ascii="Times New Roman" w:hAnsi="Times New Roman"/>
          <w:color w:val="000000"/>
        </w:rPr>
        <w:t xml:space="preserve"> also form a feminist tradition specific to a location. A text or method commonly known in</w:t>
      </w:r>
      <w:r w:rsidR="00C720C7">
        <w:rPr>
          <w:rStyle w:val="apple-converted-space"/>
          <w:rFonts w:ascii="Times New Roman" w:hAnsi="Times New Roman"/>
          <w:color w:val="000000"/>
        </w:rPr>
        <w:t>,</w:t>
      </w:r>
      <w:r w:rsidRPr="0070576A">
        <w:rPr>
          <w:rStyle w:val="apple-converted-space"/>
          <w:rFonts w:ascii="Times New Roman" w:hAnsi="Times New Roman"/>
          <w:color w:val="000000"/>
        </w:rPr>
        <w:t xml:space="preserve"> say, the UK and Australia, or Australia and Italy, can be the source of feminist relationships. But how it is used or inherited in a place is also particular. Distinctiveness of problems and circumstances of time and location change how a library of resources might be valued, or how they offer different things, to a feminist scholar taking up an institutional or disciplinary role in their own situation. My own position on the provocations of this collection </w:t>
      </w:r>
      <w:r w:rsidR="001C7407">
        <w:rPr>
          <w:rStyle w:val="apple-converted-space"/>
          <w:rFonts w:ascii="Times New Roman" w:hAnsi="Times New Roman"/>
          <w:color w:val="000000"/>
        </w:rPr>
        <w:t>–</w:t>
      </w:r>
      <w:r w:rsidRPr="0070576A">
        <w:rPr>
          <w:rStyle w:val="apple-converted-space"/>
          <w:rFonts w:ascii="Times New Roman" w:hAnsi="Times New Roman"/>
          <w:color w:val="000000"/>
        </w:rPr>
        <w:t xml:space="preserve"> forgotten</w:t>
      </w:r>
      <w:r w:rsidR="001C7407">
        <w:rPr>
          <w:rStyle w:val="apple-converted-space"/>
          <w:rFonts w:ascii="Times New Roman" w:hAnsi="Times New Roman"/>
          <w:color w:val="000000"/>
        </w:rPr>
        <w:t xml:space="preserve"> </w:t>
      </w:r>
      <w:r w:rsidRPr="0070576A">
        <w:rPr>
          <w:rStyle w:val="apple-converted-space"/>
          <w:rFonts w:ascii="Times New Roman" w:hAnsi="Times New Roman"/>
          <w:color w:val="000000"/>
        </w:rPr>
        <w:t xml:space="preserve">foundations of feminist legal scholarship </w:t>
      </w:r>
      <w:r w:rsidR="001C7407">
        <w:rPr>
          <w:rStyle w:val="apple-converted-space"/>
          <w:rFonts w:ascii="Times New Roman" w:hAnsi="Times New Roman"/>
          <w:color w:val="000000"/>
        </w:rPr>
        <w:t>–</w:t>
      </w:r>
      <w:r w:rsidRPr="0070576A">
        <w:rPr>
          <w:rStyle w:val="apple-converted-space"/>
          <w:rFonts w:ascii="Times New Roman" w:hAnsi="Times New Roman"/>
          <w:color w:val="000000"/>
        </w:rPr>
        <w:t xml:space="preserve"> is</w:t>
      </w:r>
      <w:r w:rsidR="001C7407">
        <w:rPr>
          <w:rStyle w:val="apple-converted-space"/>
          <w:rFonts w:ascii="Times New Roman" w:hAnsi="Times New Roman"/>
          <w:color w:val="000000"/>
        </w:rPr>
        <w:t xml:space="preserve"> </w:t>
      </w:r>
      <w:r w:rsidRPr="0070576A">
        <w:rPr>
          <w:rStyle w:val="apple-converted-space"/>
          <w:rFonts w:ascii="Times New Roman" w:hAnsi="Times New Roman"/>
          <w:color w:val="000000"/>
        </w:rPr>
        <w:t xml:space="preserve">therefore not separable from how I learned to write about </w:t>
      </w:r>
      <w:r w:rsidRPr="0070576A">
        <w:rPr>
          <w:rStyle w:val="apple-converted-space"/>
          <w:rFonts w:ascii="Times New Roman" w:hAnsi="Times New Roman"/>
          <w:color w:val="000000"/>
        </w:rPr>
        <w:lastRenderedPageBreak/>
        <w:t xml:space="preserve">jurisprudence and history, and </w:t>
      </w:r>
      <w:r w:rsidR="001C7407">
        <w:rPr>
          <w:rStyle w:val="apple-converted-space"/>
          <w:rFonts w:ascii="Times New Roman" w:hAnsi="Times New Roman"/>
          <w:color w:val="000000"/>
        </w:rPr>
        <w:t xml:space="preserve">how </w:t>
      </w:r>
      <w:r w:rsidRPr="0070576A">
        <w:rPr>
          <w:rStyle w:val="apple-converted-space"/>
          <w:rFonts w:ascii="Times New Roman" w:hAnsi="Times New Roman"/>
          <w:color w:val="000000"/>
        </w:rPr>
        <w:t>they have been taken up by feminist jurisographers in Australia</w:t>
      </w:r>
      <w:r w:rsidR="001C5193">
        <w:rPr>
          <w:rStyle w:val="apple-converted-space"/>
          <w:rFonts w:ascii="Times New Roman" w:hAnsi="Times New Roman"/>
          <w:color w:val="000000"/>
        </w:rPr>
        <w:t xml:space="preserve"> (Gen</w:t>
      </w:r>
      <w:r w:rsidR="009C4701">
        <w:rPr>
          <w:rStyle w:val="apple-converted-space"/>
          <w:rFonts w:ascii="Times New Roman" w:hAnsi="Times New Roman"/>
          <w:color w:val="000000"/>
        </w:rPr>
        <w:t>ovese 2022)</w:t>
      </w:r>
      <w:r w:rsidRPr="0070576A">
        <w:rPr>
          <w:rStyle w:val="apple-converted-space"/>
          <w:rFonts w:ascii="Times New Roman" w:hAnsi="Times New Roman"/>
          <w:color w:val="000000"/>
        </w:rPr>
        <w:t>.</w:t>
      </w:r>
    </w:p>
    <w:p w14:paraId="2C7334F9" w14:textId="3798FE0A" w:rsidR="00A24588" w:rsidRPr="0070576A" w:rsidRDefault="00A24588" w:rsidP="000E5B85">
      <w:pPr>
        <w:pStyle w:val="CommentText"/>
        <w:spacing w:after="120" w:line="360" w:lineRule="auto"/>
        <w:ind w:firstLine="360"/>
        <w:jc w:val="both"/>
        <w:rPr>
          <w:rFonts w:ascii="Times New Roman" w:hAnsi="Times New Roman"/>
          <w:color w:val="000000"/>
        </w:rPr>
      </w:pPr>
      <w:r w:rsidRPr="0070576A">
        <w:rPr>
          <w:rStyle w:val="apple-converted-space"/>
          <w:rFonts w:ascii="Times New Roman" w:hAnsi="Times New Roman"/>
          <w:color w:val="000000"/>
        </w:rPr>
        <w:t>In using a language of inheritance and tradition in my own work, I have also been reading</w:t>
      </w:r>
      <w:r>
        <w:rPr>
          <w:rStyle w:val="apple-converted-space"/>
          <w:rFonts w:ascii="Times New Roman" w:hAnsi="Times New Roman"/>
          <w:color w:val="000000"/>
        </w:rPr>
        <w:t xml:space="preserve"> </w:t>
      </w:r>
      <w:r w:rsidRPr="0070576A">
        <w:rPr>
          <w:rStyle w:val="apple-converted-space"/>
          <w:rFonts w:ascii="Times New Roman" w:hAnsi="Times New Roman"/>
          <w:color w:val="000000"/>
        </w:rPr>
        <w:t xml:space="preserve">for it in the work of others, to help clarify my own practices. </w:t>
      </w:r>
      <w:r w:rsidRPr="0070576A">
        <w:rPr>
          <w:rFonts w:ascii="Times New Roman" w:hAnsi="Times New Roman"/>
        </w:rPr>
        <w:t xml:space="preserve">‘Inheritance’ is a commonplace trope in a lot of feminist work, to recommend clear use of extant feminist resources in a way that offers succour and </w:t>
      </w:r>
      <w:proofErr w:type="gramStart"/>
      <w:r w:rsidRPr="0070576A">
        <w:rPr>
          <w:rFonts w:ascii="Times New Roman" w:hAnsi="Times New Roman"/>
        </w:rPr>
        <w:t>solidarity, and</w:t>
      </w:r>
      <w:proofErr w:type="gramEnd"/>
      <w:r w:rsidRPr="0070576A">
        <w:rPr>
          <w:rFonts w:ascii="Times New Roman" w:hAnsi="Times New Roman"/>
        </w:rPr>
        <w:t xml:space="preserve"> tacitly acknowledges a tradition to draw on. But ‘inheritance’ also presents in feminist scholarship as intergenerational rejection. A method (or subject matter) devised decades ago as a necessary intervention might now be read as unhelpful, irrelevant or ripe for critique (the changing rec</w:t>
      </w:r>
      <w:r>
        <w:rPr>
          <w:rFonts w:ascii="Times New Roman" w:hAnsi="Times New Roman"/>
        </w:rPr>
        <w:t>e</w:t>
      </w:r>
      <w:r w:rsidRPr="0070576A">
        <w:rPr>
          <w:rFonts w:ascii="Times New Roman" w:hAnsi="Times New Roman"/>
        </w:rPr>
        <w:t xml:space="preserve">ption of Simone de Beauvoir’s </w:t>
      </w:r>
      <w:r w:rsidRPr="0070576A">
        <w:rPr>
          <w:rFonts w:ascii="Times New Roman" w:hAnsi="Times New Roman"/>
          <w:i/>
          <w:iCs/>
        </w:rPr>
        <w:t>The Second Sex</w:t>
      </w:r>
      <w:r w:rsidRPr="0070576A">
        <w:rPr>
          <w:rFonts w:ascii="Times New Roman" w:hAnsi="Times New Roman"/>
        </w:rPr>
        <w:t>, to which I will return, being a classic example)</w:t>
      </w:r>
      <w:r w:rsidR="00FD2E77">
        <w:rPr>
          <w:rFonts w:ascii="Times New Roman" w:hAnsi="Times New Roman"/>
        </w:rPr>
        <w:t xml:space="preserve"> (Ahmed 2017: 19</w:t>
      </w:r>
      <w:r w:rsidR="00C0219C">
        <w:rPr>
          <w:rFonts w:ascii="Times New Roman" w:hAnsi="Times New Roman"/>
        </w:rPr>
        <w:t>; Beauvoir 2011; Genovese 2022: 6-8</w:t>
      </w:r>
      <w:r w:rsidR="00FD2E77">
        <w:rPr>
          <w:rFonts w:ascii="Times New Roman" w:hAnsi="Times New Roman"/>
        </w:rPr>
        <w:t>)</w:t>
      </w:r>
      <w:r w:rsidRPr="0070576A">
        <w:rPr>
          <w:rFonts w:ascii="Times New Roman" w:hAnsi="Times New Roman"/>
        </w:rPr>
        <w:t xml:space="preserve">. My contention is that in either iteration there is a tradition </w:t>
      </w:r>
      <w:r w:rsidR="00C0219C">
        <w:rPr>
          <w:rFonts w:ascii="Times New Roman" w:hAnsi="Times New Roman"/>
        </w:rPr>
        <w:t>–</w:t>
      </w:r>
      <w:r w:rsidRPr="0070576A">
        <w:rPr>
          <w:rFonts w:ascii="Times New Roman" w:hAnsi="Times New Roman"/>
        </w:rPr>
        <w:t xml:space="preserve"> a</w:t>
      </w:r>
      <w:r w:rsidR="00C0219C">
        <w:rPr>
          <w:rFonts w:ascii="Times New Roman" w:hAnsi="Times New Roman"/>
        </w:rPr>
        <w:t xml:space="preserve"> </w:t>
      </w:r>
      <w:r w:rsidRPr="0070576A">
        <w:rPr>
          <w:rFonts w:ascii="Times New Roman" w:hAnsi="Times New Roman"/>
        </w:rPr>
        <w:t xml:space="preserve">feminist foundation </w:t>
      </w:r>
      <w:r w:rsidR="00C0219C">
        <w:rPr>
          <w:rFonts w:ascii="Times New Roman" w:hAnsi="Times New Roman"/>
        </w:rPr>
        <w:t>–</w:t>
      </w:r>
      <w:r w:rsidRPr="0070576A">
        <w:rPr>
          <w:rFonts w:ascii="Times New Roman" w:hAnsi="Times New Roman"/>
        </w:rPr>
        <w:t xml:space="preserve"> to</w:t>
      </w:r>
      <w:r w:rsidR="00C0219C">
        <w:rPr>
          <w:rFonts w:ascii="Times New Roman" w:hAnsi="Times New Roman"/>
        </w:rPr>
        <w:t xml:space="preserve"> </w:t>
      </w:r>
      <w:r w:rsidRPr="0070576A">
        <w:rPr>
          <w:rFonts w:ascii="Times New Roman" w:hAnsi="Times New Roman"/>
        </w:rPr>
        <w:t xml:space="preserve">which the writer belongs; but how they relate to that tradition is not always explicitly acknowledged by </w:t>
      </w:r>
      <w:proofErr w:type="gramStart"/>
      <w:r w:rsidRPr="0070576A">
        <w:rPr>
          <w:rFonts w:ascii="Times New Roman" w:hAnsi="Times New Roman"/>
        </w:rPr>
        <w:t>them, or</w:t>
      </w:r>
      <w:proofErr w:type="gramEnd"/>
      <w:r w:rsidRPr="0070576A">
        <w:rPr>
          <w:rFonts w:ascii="Times New Roman" w:hAnsi="Times New Roman"/>
        </w:rPr>
        <w:t xml:space="preserve"> explained. Paying attention as to how and why the writers and innovations that predate your own</w:t>
      </w:r>
      <w:r w:rsidRPr="0070576A">
        <w:rPr>
          <w:rStyle w:val="apple-converted-space"/>
          <w:rFonts w:ascii="Times New Roman" w:hAnsi="Times New Roman"/>
          <w:color w:val="000000"/>
        </w:rPr>
        <w:t xml:space="preserve"> practice </w:t>
      </w:r>
      <w:r w:rsidRPr="0070576A">
        <w:rPr>
          <w:rFonts w:ascii="Times New Roman" w:hAnsi="Times New Roman"/>
        </w:rPr>
        <w:t>carry meaning (or not) for projects in the here and now is a duty of being informed, a part of good scholarship in law or history, to gain a clear-sighted view of the shape of a problem. Acknowledgment in the body of a text (and not only in footnotes) in how you think with these sources, how they inform your own position</w:t>
      </w:r>
      <w:r w:rsidR="00F05A39">
        <w:rPr>
          <w:rFonts w:ascii="Times New Roman" w:hAnsi="Times New Roman"/>
        </w:rPr>
        <w:t>,</w:t>
      </w:r>
      <w:r w:rsidRPr="0070576A">
        <w:rPr>
          <w:rFonts w:ascii="Times New Roman" w:hAnsi="Times New Roman"/>
        </w:rPr>
        <w:t xml:space="preserve"> is also, for me, a political act: a refusal to accept scholarly sublimation of the originality and convictions of writers who happened to be feminists, and also became critical legal thinkers, social legal researchers, or jurisprudents. I think this is an important practice regardless of whether one separates or aligns with what these writers offer. It is a way to accept duties of intellectual self-assertion that have accrued because feminist (</w:t>
      </w:r>
      <w:proofErr w:type="gramStart"/>
      <w:r w:rsidRPr="0070576A">
        <w:rPr>
          <w:rFonts w:ascii="Times New Roman" w:hAnsi="Times New Roman"/>
        </w:rPr>
        <w:t>and also</w:t>
      </w:r>
      <w:proofErr w:type="gramEnd"/>
      <w:r w:rsidRPr="0070576A">
        <w:rPr>
          <w:rFonts w:ascii="Times New Roman" w:hAnsi="Times New Roman"/>
        </w:rPr>
        <w:t xml:space="preserve"> queer) legal scholars once had, and still have, something important to say that remains difficult for legal (including critical) scholarship to hear</w:t>
      </w:r>
      <w:r w:rsidR="002B4C0E">
        <w:rPr>
          <w:rFonts w:ascii="Times New Roman" w:hAnsi="Times New Roman"/>
        </w:rPr>
        <w:t xml:space="preserve"> (Genovese 2022: 111-112)</w:t>
      </w:r>
      <w:r w:rsidRPr="0070576A">
        <w:rPr>
          <w:rFonts w:ascii="Times New Roman" w:hAnsi="Times New Roman"/>
        </w:rPr>
        <w:t xml:space="preserve">. </w:t>
      </w:r>
    </w:p>
    <w:p w14:paraId="34CBC760" w14:textId="77777777" w:rsidR="00A24588" w:rsidRPr="0070576A" w:rsidRDefault="00A24588" w:rsidP="008D1108">
      <w:pPr>
        <w:pStyle w:val="CommentText"/>
        <w:spacing w:after="120" w:line="360" w:lineRule="auto"/>
        <w:jc w:val="both"/>
        <w:rPr>
          <w:rStyle w:val="apple-converted-space"/>
          <w:rFonts w:ascii="Times New Roman" w:hAnsi="Times New Roman"/>
          <w:color w:val="000000"/>
        </w:rPr>
      </w:pPr>
    </w:p>
    <w:p w14:paraId="23655A4F" w14:textId="2B8F336C" w:rsidR="00A24588" w:rsidRPr="000E510F" w:rsidRDefault="002B4C0E" w:rsidP="002B4C0E">
      <w:pPr>
        <w:pStyle w:val="Heading1"/>
        <w:rPr>
          <w:rStyle w:val="apple-converted-space"/>
          <w:b w:val="0"/>
          <w:bCs w:val="0"/>
        </w:rPr>
      </w:pPr>
      <w:r>
        <w:t xml:space="preserve">3. </w:t>
      </w:r>
      <w:r w:rsidR="00A24588" w:rsidRPr="000E510F">
        <w:t>On Books and Institutions, circa 1970.</w:t>
      </w:r>
    </w:p>
    <w:p w14:paraId="3C9B6311" w14:textId="77DC92FD" w:rsidR="00A24588" w:rsidRPr="0070576A" w:rsidRDefault="00A24588" w:rsidP="008D1108">
      <w:pPr>
        <w:spacing w:after="120" w:line="360" w:lineRule="auto"/>
        <w:jc w:val="both"/>
        <w:rPr>
          <w:rFonts w:ascii="Times New Roman" w:hAnsi="Times New Roman" w:cs="Times New Roman"/>
        </w:rPr>
      </w:pPr>
      <w:r w:rsidRPr="0070576A">
        <w:rPr>
          <w:rStyle w:val="apple-converted-space"/>
          <w:rFonts w:ascii="Times New Roman" w:hAnsi="Times New Roman" w:cs="Times New Roman"/>
          <w:color w:val="000000"/>
        </w:rPr>
        <w:t xml:space="preserve">As a contribution to this collection, the editors have kindly allowed me to present an essay from </w:t>
      </w:r>
      <w:r w:rsidRPr="0070576A">
        <w:rPr>
          <w:rStyle w:val="apple-converted-space"/>
          <w:rFonts w:ascii="Times New Roman" w:hAnsi="Times New Roman" w:cs="Times New Roman"/>
          <w:i/>
          <w:iCs/>
          <w:color w:val="000000"/>
        </w:rPr>
        <w:t>Feminist Jurisography</w:t>
      </w:r>
      <w:r w:rsidRPr="0070576A">
        <w:rPr>
          <w:rStyle w:val="apple-converted-space"/>
          <w:rFonts w:ascii="Times New Roman" w:hAnsi="Times New Roman" w:cs="Times New Roman"/>
          <w:color w:val="000000"/>
        </w:rPr>
        <w:t xml:space="preserve"> to demonstrate my practice. </w:t>
      </w:r>
      <w:r w:rsidRPr="0070576A">
        <w:rPr>
          <w:rFonts w:ascii="Times New Roman" w:hAnsi="Times New Roman" w:cs="Times New Roman"/>
        </w:rPr>
        <w:t xml:space="preserve">The essay I have chosen aligns very closely with the temporal framing (1970s and 1980s) of this edited collection. It </w:t>
      </w:r>
      <w:r w:rsidRPr="0070576A">
        <w:rPr>
          <w:rFonts w:ascii="Times New Roman" w:hAnsi="Times New Roman" w:cs="Times New Roman"/>
          <w:color w:val="000000"/>
        </w:rPr>
        <w:t xml:space="preserve">gives an account of how writing that came from the Women’s Liberation Movement in the 1970s transformed the status of ‘woman’ from object of study to subject author and </w:t>
      </w:r>
      <w:r w:rsidRPr="0070576A">
        <w:rPr>
          <w:rFonts w:ascii="Times New Roman" w:hAnsi="Times New Roman" w:cs="Times New Roman"/>
        </w:rPr>
        <w:t xml:space="preserve">describes how the persona of the </w:t>
      </w:r>
      <w:r w:rsidRPr="0070576A">
        <w:rPr>
          <w:rFonts w:ascii="Times New Roman" w:hAnsi="Times New Roman" w:cs="Times New Roman"/>
        </w:rPr>
        <w:lastRenderedPageBreak/>
        <w:t xml:space="preserve">feminist intellectual became publicly visible through specific books for the first time. These books can be understood now as an international reading list of early feminist theory, and include </w:t>
      </w:r>
      <w:r w:rsidRPr="0070576A">
        <w:rPr>
          <w:rFonts w:ascii="Times New Roman" w:hAnsi="Times New Roman" w:cs="Times New Roman"/>
          <w:i/>
        </w:rPr>
        <w:t>Sexual Politics</w:t>
      </w:r>
      <w:r w:rsidRPr="0070576A">
        <w:rPr>
          <w:rFonts w:ascii="Times New Roman" w:hAnsi="Times New Roman" w:cs="Times New Roman"/>
        </w:rPr>
        <w:t xml:space="preserve"> (Kate Millett 1970), </w:t>
      </w:r>
      <w:r w:rsidRPr="0070576A">
        <w:rPr>
          <w:rFonts w:ascii="Times New Roman" w:hAnsi="Times New Roman" w:cs="Times New Roman"/>
          <w:i/>
        </w:rPr>
        <w:t>The Dialectic of Sex</w:t>
      </w:r>
      <w:r w:rsidRPr="0070576A">
        <w:rPr>
          <w:rFonts w:ascii="Times New Roman" w:hAnsi="Times New Roman" w:cs="Times New Roman"/>
        </w:rPr>
        <w:t xml:space="preserve"> (Shulamith Firestone 1971), </w:t>
      </w:r>
      <w:r w:rsidRPr="0070576A">
        <w:rPr>
          <w:rFonts w:ascii="Times New Roman" w:hAnsi="Times New Roman" w:cs="Times New Roman"/>
          <w:i/>
          <w:iCs/>
        </w:rPr>
        <w:t>The Female</w:t>
      </w:r>
      <w:r w:rsidRPr="0070576A">
        <w:rPr>
          <w:rFonts w:ascii="Times New Roman" w:hAnsi="Times New Roman" w:cs="Times New Roman"/>
          <w:i/>
        </w:rPr>
        <w:t xml:space="preserve"> Eunuch</w:t>
      </w:r>
      <w:r w:rsidRPr="0070576A">
        <w:rPr>
          <w:rFonts w:ascii="Times New Roman" w:hAnsi="Times New Roman" w:cs="Times New Roman"/>
        </w:rPr>
        <w:t xml:space="preserve"> (Germaine Greer 1970), </w:t>
      </w:r>
      <w:r w:rsidRPr="0070576A">
        <w:rPr>
          <w:rFonts w:ascii="Times New Roman" w:hAnsi="Times New Roman" w:cs="Times New Roman"/>
          <w:i/>
        </w:rPr>
        <w:t>Woman’s Estate</w:t>
      </w:r>
      <w:r w:rsidRPr="0070576A">
        <w:rPr>
          <w:rFonts w:ascii="Times New Roman" w:hAnsi="Times New Roman" w:cs="Times New Roman"/>
        </w:rPr>
        <w:t xml:space="preserve"> (Juliet Mitchell </w:t>
      </w:r>
      <w:r w:rsidR="00421E7D">
        <w:rPr>
          <w:rFonts w:ascii="Times New Roman" w:hAnsi="Times New Roman" w:cs="Times New Roman"/>
        </w:rPr>
        <w:t>[</w:t>
      </w:r>
      <w:r w:rsidRPr="0070576A">
        <w:rPr>
          <w:rFonts w:ascii="Times New Roman" w:hAnsi="Times New Roman" w:cs="Times New Roman"/>
        </w:rPr>
        <w:t>1971</w:t>
      </w:r>
      <w:r w:rsidR="00421E7D">
        <w:rPr>
          <w:rFonts w:ascii="Times New Roman" w:hAnsi="Times New Roman" w:cs="Times New Roman"/>
        </w:rPr>
        <w:t>] 1977</w:t>
      </w:r>
      <w:r w:rsidRPr="0070576A">
        <w:rPr>
          <w:rFonts w:ascii="Times New Roman" w:hAnsi="Times New Roman" w:cs="Times New Roman"/>
        </w:rPr>
        <w:t xml:space="preserve">). At the time, all were popular best sellers and on the shelves of radical feminist repositories all over the world. I examine one of these books in detail: </w:t>
      </w:r>
      <w:r w:rsidRPr="0070576A">
        <w:rPr>
          <w:rFonts w:ascii="Times New Roman" w:hAnsi="Times New Roman" w:cs="Times New Roman"/>
          <w:i/>
        </w:rPr>
        <w:t>Woman’s Estate.</w:t>
      </w:r>
      <w:r w:rsidRPr="0070576A">
        <w:rPr>
          <w:rFonts w:ascii="Times New Roman" w:hAnsi="Times New Roman" w:cs="Times New Roman"/>
        </w:rPr>
        <w:t xml:space="preserve"> This is because </w:t>
      </w:r>
      <w:r w:rsidRPr="0070576A">
        <w:rPr>
          <w:rFonts w:ascii="Times New Roman" w:hAnsi="Times New Roman" w:cs="Times New Roman"/>
          <w:i/>
          <w:iCs/>
        </w:rPr>
        <w:t>Woman’s Estate</w:t>
      </w:r>
      <w:r w:rsidRPr="0070576A">
        <w:rPr>
          <w:rFonts w:ascii="Times New Roman" w:hAnsi="Times New Roman" w:cs="Times New Roman"/>
        </w:rPr>
        <w:t>, as I will explain, can be read as a book of unofficial jurisprudence, at a time when ‘feminist theorising about the law’ (as Canadian feminist legal scholar Kathleen Lahey noted, looking back in 1985) was ‘an uncatalogued item</w:t>
      </w:r>
      <w:r>
        <w:rPr>
          <w:rFonts w:ascii="Times New Roman" w:hAnsi="Times New Roman" w:cs="Times New Roman"/>
        </w:rPr>
        <w:t>’</w:t>
      </w:r>
      <w:r w:rsidRPr="0070576A">
        <w:rPr>
          <w:rFonts w:ascii="Times New Roman" w:hAnsi="Times New Roman" w:cs="Times New Roman"/>
        </w:rPr>
        <w:t>, a yet-to-be recognised enterprise</w:t>
      </w:r>
      <w:r w:rsidR="00D04980">
        <w:rPr>
          <w:rFonts w:ascii="Times New Roman" w:hAnsi="Times New Roman" w:cs="Times New Roman"/>
        </w:rPr>
        <w:t xml:space="preserve"> (Lahey 1985: 519)</w:t>
      </w:r>
      <w:r w:rsidRPr="0070576A">
        <w:rPr>
          <w:rFonts w:ascii="Times New Roman" w:hAnsi="Times New Roman" w:cs="Times New Roman"/>
        </w:rPr>
        <w:t>.</w:t>
      </w:r>
      <w:r w:rsidRPr="0070576A">
        <w:rPr>
          <w:rStyle w:val="FootnoteReference"/>
          <w:rFonts w:ascii="Times New Roman" w:hAnsi="Times New Roman" w:cs="Times New Roman"/>
        </w:rPr>
        <w:footnoteReference w:id="2"/>
      </w:r>
      <w:r w:rsidRPr="0070576A">
        <w:rPr>
          <w:rFonts w:ascii="Times New Roman" w:hAnsi="Times New Roman" w:cs="Times New Roman"/>
        </w:rPr>
        <w:t xml:space="preserve"> My point in the essay is that the persona ‘feminist’ needed to be imagined before it was possible to be a feminist at law, and I offer a demonstration through inheritance of writing how that persona was formed.</w:t>
      </w:r>
      <w:r w:rsidRPr="0070576A">
        <w:rPr>
          <w:rStyle w:val="FootnoteReference"/>
          <w:rFonts w:ascii="Times New Roman" w:hAnsi="Times New Roman" w:cs="Times New Roman"/>
        </w:rPr>
        <w:footnoteReference w:id="3"/>
      </w:r>
      <w:r w:rsidRPr="0070576A">
        <w:rPr>
          <w:rFonts w:ascii="Times New Roman" w:hAnsi="Times New Roman" w:cs="Times New Roman"/>
        </w:rPr>
        <w:t xml:space="preserve"> </w:t>
      </w:r>
    </w:p>
    <w:p w14:paraId="77FCD7F6" w14:textId="7A535E11" w:rsidR="00A24588" w:rsidRDefault="00A24588" w:rsidP="00900E25">
      <w:pPr>
        <w:spacing w:after="120" w:line="360" w:lineRule="auto"/>
        <w:ind w:firstLine="360"/>
        <w:jc w:val="both"/>
        <w:rPr>
          <w:rFonts w:ascii="Times New Roman" w:hAnsi="Times New Roman" w:cs="Times New Roman"/>
        </w:rPr>
      </w:pPr>
      <w:r w:rsidRPr="0070576A">
        <w:rPr>
          <w:rFonts w:ascii="Times New Roman" w:hAnsi="Times New Roman" w:cs="Times New Roman"/>
        </w:rPr>
        <w:t>Before I begin, a note about how I went about the exercise of writing this essay, which in the book is called ‘On Books and Institutions, circa 1970’</w:t>
      </w:r>
      <w:r w:rsidRPr="0070576A">
        <w:rPr>
          <w:rFonts w:ascii="Times New Roman" w:hAnsi="Times New Roman" w:cs="Times New Roman"/>
          <w:bCs/>
        </w:rPr>
        <w:t xml:space="preserve">. </w:t>
      </w:r>
      <w:r w:rsidRPr="0070576A">
        <w:rPr>
          <w:rFonts w:ascii="Times New Roman" w:hAnsi="Times New Roman" w:cs="Times New Roman"/>
        </w:rPr>
        <w:t>Re-joining ‘the times, the means, the spaces’</w:t>
      </w:r>
      <w:r w:rsidRPr="0070576A">
        <w:rPr>
          <w:rStyle w:val="FootnoteReference"/>
          <w:rFonts w:ascii="Times New Roman" w:hAnsi="Times New Roman" w:cs="Times New Roman"/>
        </w:rPr>
        <w:footnoteReference w:id="4"/>
      </w:r>
      <w:r w:rsidRPr="0070576A">
        <w:rPr>
          <w:rFonts w:ascii="Times New Roman" w:hAnsi="Times New Roman" w:cs="Times New Roman"/>
        </w:rPr>
        <w:t xml:space="preserve"> to show how books read and books written create relations with others is not novel. I took guidance in how to represent my methods from many sources. One particularly important to me is the work by the Italian theorists of sexual difference, The Milan Women’s Bookstore Collective, who wrote collectively and anonymously about their experiences in Milan in the 1970s and 1980s. The </w:t>
      </w:r>
      <w:proofErr w:type="gramStart"/>
      <w:r w:rsidRPr="0070576A">
        <w:rPr>
          <w:rFonts w:ascii="Times New Roman" w:hAnsi="Times New Roman" w:cs="Times New Roman"/>
        </w:rPr>
        <w:t>Bookstore</w:t>
      </w:r>
      <w:proofErr w:type="gramEnd"/>
      <w:r w:rsidRPr="0070576A">
        <w:rPr>
          <w:rFonts w:ascii="Times New Roman" w:hAnsi="Times New Roman" w:cs="Times New Roman"/>
        </w:rPr>
        <w:t xml:space="preserve"> in Milan (modifying to their circumstances an idea they borrowed from </w:t>
      </w:r>
      <w:r w:rsidRPr="0070576A">
        <w:rPr>
          <w:rFonts w:ascii="Times New Roman" w:hAnsi="Times New Roman" w:cs="Times New Roman"/>
          <w:i/>
          <w:iCs/>
        </w:rPr>
        <w:t>Libraire des femmes</w:t>
      </w:r>
      <w:r w:rsidRPr="0070576A">
        <w:rPr>
          <w:rFonts w:ascii="Times New Roman" w:hAnsi="Times New Roman" w:cs="Times New Roman"/>
        </w:rPr>
        <w:t xml:space="preserve">, opened by the </w:t>
      </w:r>
      <w:proofErr w:type="spellStart"/>
      <w:r w:rsidRPr="0070576A">
        <w:rPr>
          <w:rFonts w:ascii="Times New Roman" w:hAnsi="Times New Roman" w:cs="Times New Roman"/>
        </w:rPr>
        <w:t>Psychanalyse</w:t>
      </w:r>
      <w:proofErr w:type="spellEnd"/>
      <w:r w:rsidRPr="0070576A">
        <w:rPr>
          <w:rFonts w:ascii="Times New Roman" w:hAnsi="Times New Roman" w:cs="Times New Roman"/>
        </w:rPr>
        <w:t xml:space="preserve"> et Politique group in Paris in 1968, and soon proliferating all over Italy) stated that their ambition was to generate ‘a way of doing’</w:t>
      </w:r>
      <w:r w:rsidR="003B0487">
        <w:rPr>
          <w:rFonts w:ascii="Times New Roman" w:hAnsi="Times New Roman" w:cs="Times New Roman"/>
        </w:rPr>
        <w:t xml:space="preserve"> (The Milan Women’s Bookstore Collective </w:t>
      </w:r>
      <w:r w:rsidR="006666ED">
        <w:rPr>
          <w:rFonts w:ascii="Times New Roman" w:hAnsi="Times New Roman" w:cs="Times New Roman"/>
        </w:rPr>
        <w:t>1990: 91)</w:t>
      </w:r>
      <w:r w:rsidRPr="0070576A">
        <w:rPr>
          <w:rFonts w:ascii="Times New Roman" w:hAnsi="Times New Roman" w:cs="Times New Roman"/>
        </w:rPr>
        <w:t>. They named a practice of relationship grounded in the material, ‘to have daily meetings, build a centre, have adequate spaces where the separation between the private and the political can be surmounted’</w:t>
      </w:r>
      <w:r w:rsidR="001F4BEE">
        <w:rPr>
          <w:rFonts w:ascii="Times New Roman" w:hAnsi="Times New Roman" w:cs="Times New Roman"/>
        </w:rPr>
        <w:t xml:space="preserve"> (ibid: </w:t>
      </w:r>
      <w:r w:rsidR="001F4BEE">
        <w:rPr>
          <w:rFonts w:ascii="Times New Roman" w:hAnsi="Times New Roman" w:cs="Times New Roman"/>
        </w:rPr>
        <w:lastRenderedPageBreak/>
        <w:t>84)</w:t>
      </w:r>
      <w:r w:rsidRPr="0070576A">
        <w:rPr>
          <w:rFonts w:ascii="Times New Roman" w:hAnsi="Times New Roman" w:cs="Times New Roman"/>
        </w:rPr>
        <w:t xml:space="preserve">. Their ‘new’ political terms were to </w:t>
      </w:r>
      <w:r w:rsidRPr="0070576A">
        <w:rPr>
          <w:rFonts w:ascii="Times New Roman" w:hAnsi="Times New Roman" w:cs="Times New Roman"/>
          <w:i/>
          <w:iCs/>
        </w:rPr>
        <w:t>create</w:t>
      </w:r>
      <w:r w:rsidRPr="0070576A">
        <w:rPr>
          <w:rFonts w:ascii="Times New Roman" w:hAnsi="Times New Roman" w:cs="Times New Roman"/>
        </w:rPr>
        <w:t xml:space="preserve"> ‘female social spaces in order to transform the given reality’, and to </w:t>
      </w:r>
      <w:r w:rsidRPr="0070576A">
        <w:rPr>
          <w:rFonts w:ascii="Times New Roman" w:hAnsi="Times New Roman" w:cs="Times New Roman"/>
          <w:i/>
          <w:iCs/>
        </w:rPr>
        <w:t>transform</w:t>
      </w:r>
      <w:r w:rsidRPr="0070576A">
        <w:rPr>
          <w:rFonts w:ascii="Times New Roman" w:hAnsi="Times New Roman" w:cs="Times New Roman"/>
        </w:rPr>
        <w:t xml:space="preserve"> ‘both the women involved in the project and society’. For the Collective, the point was to understand how these actions were ‘not two distinct aims but two sides of the same process’</w:t>
      </w:r>
      <w:r w:rsidR="008039FC">
        <w:rPr>
          <w:rFonts w:ascii="Times New Roman" w:hAnsi="Times New Roman" w:cs="Times New Roman"/>
        </w:rPr>
        <w:t xml:space="preserve"> (ibid).</w:t>
      </w:r>
      <w:r w:rsidRPr="0070576A">
        <w:rPr>
          <w:rFonts w:ascii="Times New Roman" w:hAnsi="Times New Roman" w:cs="Times New Roman"/>
        </w:rPr>
        <w:t xml:space="preserve"> These are ideas that circulate</w:t>
      </w:r>
      <w:r w:rsidR="004F2621">
        <w:rPr>
          <w:rFonts w:ascii="Times New Roman" w:hAnsi="Times New Roman" w:cs="Times New Roman"/>
        </w:rPr>
        <w:t xml:space="preserve">, </w:t>
      </w:r>
      <w:r w:rsidRPr="0070576A">
        <w:rPr>
          <w:rFonts w:ascii="Times New Roman" w:hAnsi="Times New Roman" w:cs="Times New Roman"/>
        </w:rPr>
        <w:t>as I shall explore in relation to an Australian experience.</w:t>
      </w:r>
      <w:r w:rsidRPr="0070576A">
        <w:rPr>
          <w:rStyle w:val="FootnoteReference"/>
          <w:rFonts w:ascii="Times New Roman" w:hAnsi="Times New Roman" w:cs="Times New Roman"/>
        </w:rPr>
        <w:footnoteReference w:id="5"/>
      </w:r>
      <w:r w:rsidRPr="0070576A">
        <w:rPr>
          <w:rFonts w:ascii="Times New Roman" w:hAnsi="Times New Roman" w:cs="Times New Roman"/>
        </w:rPr>
        <w:t xml:space="preserve"> From that perspective, I borrowed the term ‘bookstore’ in the essay symbolically, to organise and place my own ideas about books, writing and relationships. A space claimed, rented, owned or inhabited is not only about bricks and mortar, as the South </w:t>
      </w:r>
      <w:proofErr w:type="gramStart"/>
      <w:r w:rsidRPr="0070576A">
        <w:rPr>
          <w:rFonts w:ascii="Times New Roman" w:hAnsi="Times New Roman" w:cs="Times New Roman"/>
        </w:rPr>
        <w:t>African-British</w:t>
      </w:r>
      <w:proofErr w:type="gramEnd"/>
      <w:r w:rsidRPr="0070576A">
        <w:rPr>
          <w:rFonts w:ascii="Times New Roman" w:hAnsi="Times New Roman" w:cs="Times New Roman"/>
        </w:rPr>
        <w:t xml:space="preserve"> writer Deborah Levy reminds with force and precision in</w:t>
      </w:r>
      <w:r w:rsidR="00241B0B">
        <w:rPr>
          <w:rFonts w:ascii="Times New Roman" w:hAnsi="Times New Roman" w:cs="Times New Roman"/>
        </w:rPr>
        <w:t xml:space="preserve"> the final </w:t>
      </w:r>
      <w:r w:rsidRPr="0070576A">
        <w:rPr>
          <w:rFonts w:ascii="Times New Roman" w:hAnsi="Times New Roman" w:cs="Times New Roman"/>
        </w:rPr>
        <w:t xml:space="preserve">instalment of </w:t>
      </w:r>
      <w:r w:rsidR="00241B0B">
        <w:rPr>
          <w:rFonts w:ascii="Times New Roman" w:hAnsi="Times New Roman" w:cs="Times New Roman"/>
        </w:rPr>
        <w:t xml:space="preserve">her </w:t>
      </w:r>
      <w:r w:rsidRPr="0070576A">
        <w:rPr>
          <w:rFonts w:ascii="Times New Roman" w:hAnsi="Times New Roman" w:cs="Times New Roman"/>
        </w:rPr>
        <w:t xml:space="preserve">living memoir, </w:t>
      </w:r>
      <w:r w:rsidRPr="0070576A">
        <w:rPr>
          <w:rFonts w:ascii="Times New Roman" w:hAnsi="Times New Roman" w:cs="Times New Roman"/>
          <w:i/>
          <w:iCs/>
        </w:rPr>
        <w:t>Real Estate</w:t>
      </w:r>
      <w:r w:rsidRPr="0070576A">
        <w:rPr>
          <w:rFonts w:ascii="Times New Roman" w:hAnsi="Times New Roman" w:cs="Times New Roman"/>
        </w:rPr>
        <w:t xml:space="preserve"> (2021). It is also about creative invention as a political intervention; a status based on the ownership of your own traditions and ideas, and the production of our own work, a sharp rebuke to the presumptions in law and life of men as landlords viewing ‘every female writer as a sitting tenant on his land</w:t>
      </w:r>
      <w:r w:rsidR="00A60DD0">
        <w:rPr>
          <w:rFonts w:ascii="Times New Roman" w:hAnsi="Times New Roman" w:cs="Times New Roman"/>
        </w:rPr>
        <w:t>’ (Levy 2021: 258)</w:t>
      </w:r>
      <w:r w:rsidRPr="0070576A">
        <w:rPr>
          <w:rFonts w:ascii="Times New Roman" w:hAnsi="Times New Roman" w:cs="Times New Roman"/>
        </w:rPr>
        <w:t>.</w:t>
      </w:r>
    </w:p>
    <w:p w14:paraId="126FC811" w14:textId="77777777" w:rsidR="00A24588" w:rsidRPr="0070576A" w:rsidRDefault="00A24588" w:rsidP="00900E25">
      <w:pPr>
        <w:spacing w:after="120" w:line="360" w:lineRule="auto"/>
        <w:ind w:firstLine="360"/>
        <w:jc w:val="both"/>
        <w:rPr>
          <w:rFonts w:ascii="Times" w:hAnsi="Times" w:cs="Times New Roman"/>
          <w:b/>
          <w:sz w:val="28"/>
          <w:szCs w:val="28"/>
        </w:rPr>
      </w:pPr>
    </w:p>
    <w:p w14:paraId="39F60083" w14:textId="558E0791" w:rsidR="00A24588" w:rsidRPr="00AF453F" w:rsidRDefault="00A60DD0" w:rsidP="00A60DD0">
      <w:pPr>
        <w:pStyle w:val="Heading1"/>
      </w:pPr>
      <w:r>
        <w:t xml:space="preserve">4. </w:t>
      </w:r>
      <w:r w:rsidR="00A24588" w:rsidRPr="00AF453F">
        <w:rPr>
          <w:i/>
          <w:iCs/>
        </w:rPr>
        <w:t>The Second Sex</w:t>
      </w:r>
      <w:r w:rsidR="00A24588" w:rsidRPr="00AF453F">
        <w:t xml:space="preserve"> and Guides for Living</w:t>
      </w:r>
    </w:p>
    <w:p w14:paraId="2D7E7D14" w14:textId="4677AAC6" w:rsidR="00A24588" w:rsidRPr="0070576A" w:rsidRDefault="00A24588" w:rsidP="008D1108">
      <w:pPr>
        <w:spacing w:after="120" w:line="360" w:lineRule="auto"/>
        <w:jc w:val="both"/>
        <w:rPr>
          <w:rFonts w:ascii="Times New Roman" w:hAnsi="Times New Roman" w:cs="Times New Roman"/>
          <w:b/>
          <w:bCs/>
        </w:rPr>
      </w:pPr>
      <w:r w:rsidRPr="0070576A">
        <w:rPr>
          <w:rFonts w:ascii="Times New Roman" w:hAnsi="Times New Roman" w:cs="Times New Roman"/>
        </w:rPr>
        <w:t xml:space="preserve">To locate how Juliet Mitchell’s </w:t>
      </w:r>
      <w:r w:rsidRPr="0070576A">
        <w:rPr>
          <w:rFonts w:ascii="Times New Roman" w:hAnsi="Times New Roman" w:cs="Times New Roman"/>
          <w:i/>
          <w:iCs/>
        </w:rPr>
        <w:t>Woman’s Estate</w:t>
      </w:r>
      <w:r w:rsidRPr="0070576A">
        <w:rPr>
          <w:rFonts w:ascii="Times New Roman" w:hAnsi="Times New Roman" w:cs="Times New Roman"/>
        </w:rPr>
        <w:t xml:space="preserve"> appeared in Australian bookstores and bookshelves circa 1970, I need to begin with a different book: Simone de Beauvoir’s </w:t>
      </w:r>
      <w:r w:rsidRPr="0070576A">
        <w:rPr>
          <w:rFonts w:ascii="Times New Roman" w:hAnsi="Times New Roman" w:cs="Times New Roman"/>
          <w:i/>
        </w:rPr>
        <w:t xml:space="preserve">The Second Sex </w:t>
      </w:r>
      <w:r w:rsidRPr="0070576A">
        <w:rPr>
          <w:rFonts w:ascii="Times New Roman" w:hAnsi="Times New Roman" w:cs="Times New Roman"/>
          <w:iCs/>
        </w:rPr>
        <w:t>(</w:t>
      </w:r>
      <w:r w:rsidR="00342EBC">
        <w:rPr>
          <w:rFonts w:ascii="Times New Roman" w:hAnsi="Times New Roman" w:cs="Times New Roman"/>
          <w:iCs/>
        </w:rPr>
        <w:t>[</w:t>
      </w:r>
      <w:r w:rsidRPr="0070576A">
        <w:rPr>
          <w:rFonts w:ascii="Times New Roman" w:hAnsi="Times New Roman" w:cs="Times New Roman"/>
          <w:iCs/>
        </w:rPr>
        <w:t>1949</w:t>
      </w:r>
      <w:r w:rsidR="00342EBC">
        <w:rPr>
          <w:rFonts w:ascii="Times New Roman" w:hAnsi="Times New Roman" w:cs="Times New Roman"/>
          <w:iCs/>
        </w:rPr>
        <w:t>] 2011</w:t>
      </w:r>
      <w:r w:rsidRPr="0070576A">
        <w:rPr>
          <w:rFonts w:ascii="Times New Roman" w:hAnsi="Times New Roman" w:cs="Times New Roman"/>
          <w:iCs/>
        </w:rPr>
        <w:t>).</w:t>
      </w:r>
      <w:r w:rsidRPr="0070576A">
        <w:rPr>
          <w:rFonts w:ascii="Times New Roman" w:hAnsi="Times New Roman" w:cs="Times New Roman"/>
        </w:rPr>
        <w:t xml:space="preserve"> As noted by many before me, </w:t>
      </w:r>
      <w:r w:rsidRPr="0070576A">
        <w:rPr>
          <w:rFonts w:ascii="Times New Roman" w:hAnsi="Times New Roman" w:cs="Times New Roman"/>
          <w:i/>
        </w:rPr>
        <w:t>The Second Sex</w:t>
      </w:r>
      <w:r w:rsidRPr="0070576A">
        <w:rPr>
          <w:rFonts w:ascii="Times New Roman" w:hAnsi="Times New Roman" w:cs="Times New Roman"/>
        </w:rPr>
        <w:t xml:space="preserve"> was never a manifesto</w:t>
      </w:r>
      <w:r w:rsidR="00E731DE">
        <w:rPr>
          <w:rFonts w:ascii="Times New Roman" w:hAnsi="Times New Roman" w:cs="Times New Roman"/>
        </w:rPr>
        <w:t xml:space="preserve"> (Le</w:t>
      </w:r>
      <w:r w:rsidR="00BA7E9C">
        <w:rPr>
          <w:rFonts w:ascii="Times New Roman" w:hAnsi="Times New Roman" w:cs="Times New Roman"/>
        </w:rPr>
        <w:t xml:space="preserve"> </w:t>
      </w:r>
      <w:proofErr w:type="spellStart"/>
      <w:r w:rsidR="00721E8D" w:rsidRPr="0070576A">
        <w:rPr>
          <w:rFonts w:ascii="Times New Roman" w:hAnsi="Times New Roman" w:cs="Times New Roman"/>
        </w:rPr>
        <w:t>Dœuff</w:t>
      </w:r>
      <w:proofErr w:type="spellEnd"/>
      <w:r w:rsidR="00C05EDA">
        <w:rPr>
          <w:rFonts w:ascii="Times New Roman" w:hAnsi="Times New Roman" w:cs="Times New Roman"/>
        </w:rPr>
        <w:t xml:space="preserve"> 1991: 57; see also Genovese 2022: 6-10)</w:t>
      </w:r>
      <w:r w:rsidRPr="0070576A">
        <w:rPr>
          <w:rFonts w:ascii="Times New Roman" w:hAnsi="Times New Roman" w:cs="Times New Roman"/>
        </w:rPr>
        <w:t>. But it was a guide for imagining a different kind of life. Beauvoir’s intentions were very plain on this point, both in the original book, and in the interviews, essays, memoirs and journalism that she continued to publish for the rest of her life. She wrote to comprehend and ‘to translate […] a situation that is showing itself to be historical precisely in that it is in the process of changing</w:t>
      </w:r>
      <w:r w:rsidR="00CD3531">
        <w:rPr>
          <w:rFonts w:ascii="Times New Roman" w:hAnsi="Times New Roman" w:cs="Times New Roman"/>
        </w:rPr>
        <w:t>’ (Beauvoir 2011: 750)</w:t>
      </w:r>
      <w:r w:rsidRPr="0070576A">
        <w:rPr>
          <w:rFonts w:ascii="Times New Roman" w:hAnsi="Times New Roman" w:cs="Times New Roman"/>
        </w:rPr>
        <w:t xml:space="preserve">. So although not offering anything as programmatic as a plan for universal action, or rules of morality to be followed slavishly and adhered to without deviation, what Beauvoir did do in </w:t>
      </w:r>
      <w:r w:rsidRPr="0070576A">
        <w:rPr>
          <w:rFonts w:ascii="Times New Roman" w:hAnsi="Times New Roman" w:cs="Times New Roman"/>
          <w:i/>
        </w:rPr>
        <w:t>The Second Sex</w:t>
      </w:r>
      <w:r w:rsidRPr="0070576A">
        <w:rPr>
          <w:rFonts w:ascii="Times New Roman" w:hAnsi="Times New Roman" w:cs="Times New Roman"/>
        </w:rPr>
        <w:t xml:space="preserve"> was address the question of woman’s experience of relations both intimately and eruditely, and talk to her reader in the first person. This attitude changed everything. </w:t>
      </w:r>
    </w:p>
    <w:p w14:paraId="689139C9" w14:textId="79443F6A" w:rsidR="00A24588" w:rsidRPr="0070576A" w:rsidRDefault="00A24588" w:rsidP="0034249A">
      <w:pPr>
        <w:spacing w:after="120" w:line="360" w:lineRule="auto"/>
        <w:ind w:firstLine="720"/>
        <w:jc w:val="both"/>
        <w:rPr>
          <w:rFonts w:ascii="Times New Roman" w:hAnsi="Times New Roman" w:cs="Times New Roman"/>
        </w:rPr>
      </w:pPr>
      <w:r w:rsidRPr="0070576A">
        <w:rPr>
          <w:rFonts w:ascii="Times New Roman" w:hAnsi="Times New Roman" w:cs="Times New Roman"/>
          <w:i/>
        </w:rPr>
        <w:t>The Second Sex</w:t>
      </w:r>
      <w:r w:rsidRPr="0070576A">
        <w:rPr>
          <w:rFonts w:ascii="Times New Roman" w:hAnsi="Times New Roman" w:cs="Times New Roman"/>
        </w:rPr>
        <w:t xml:space="preserve"> was a best seller from the time of </w:t>
      </w:r>
      <w:r w:rsidR="003539FD">
        <w:rPr>
          <w:rFonts w:ascii="Times New Roman" w:hAnsi="Times New Roman" w:cs="Times New Roman"/>
        </w:rPr>
        <w:t>the f</w:t>
      </w:r>
      <w:r w:rsidRPr="0070576A">
        <w:rPr>
          <w:rFonts w:ascii="Times New Roman" w:hAnsi="Times New Roman" w:cs="Times New Roman"/>
        </w:rPr>
        <w:t>irst edition</w:t>
      </w:r>
      <w:r w:rsidR="003539FD">
        <w:rPr>
          <w:rFonts w:ascii="Times New Roman" w:hAnsi="Times New Roman" w:cs="Times New Roman"/>
        </w:rPr>
        <w:t xml:space="preserve"> (Moi 2010)</w:t>
      </w:r>
      <w:r w:rsidRPr="0070576A">
        <w:rPr>
          <w:rFonts w:ascii="Times New Roman" w:hAnsi="Times New Roman" w:cs="Times New Roman"/>
        </w:rPr>
        <w:t>. And although no book</w:t>
      </w:r>
      <w:r>
        <w:rPr>
          <w:rFonts w:ascii="Times New Roman" w:hAnsi="Times New Roman" w:cs="Times New Roman"/>
        </w:rPr>
        <w:t xml:space="preserve"> </w:t>
      </w:r>
      <w:r w:rsidRPr="0070576A">
        <w:rPr>
          <w:rFonts w:ascii="Times New Roman" w:hAnsi="Times New Roman" w:cs="Times New Roman"/>
        </w:rPr>
        <w:t xml:space="preserve">is a static artefact, the extent to which </w:t>
      </w:r>
      <w:r w:rsidRPr="0070576A">
        <w:rPr>
          <w:rFonts w:ascii="Times New Roman" w:hAnsi="Times New Roman" w:cs="Times New Roman"/>
          <w:i/>
        </w:rPr>
        <w:t xml:space="preserve">The Second Sex </w:t>
      </w:r>
      <w:r w:rsidRPr="0070576A">
        <w:rPr>
          <w:rFonts w:ascii="Times New Roman" w:hAnsi="Times New Roman" w:cs="Times New Roman"/>
        </w:rPr>
        <w:t>has provided ‘reference points for understanding’</w:t>
      </w:r>
      <w:r w:rsidR="007462CE">
        <w:rPr>
          <w:rFonts w:ascii="Times New Roman" w:hAnsi="Times New Roman" w:cs="Times New Roman"/>
        </w:rPr>
        <w:t xml:space="preserve"> (</w:t>
      </w:r>
      <w:r w:rsidR="00721E8D">
        <w:rPr>
          <w:rFonts w:ascii="Times New Roman" w:hAnsi="Times New Roman" w:cs="Times New Roman"/>
        </w:rPr>
        <w:t>Le</w:t>
      </w:r>
      <w:r w:rsidR="00BA7E9C">
        <w:rPr>
          <w:rFonts w:ascii="Times New Roman" w:hAnsi="Times New Roman" w:cs="Times New Roman"/>
        </w:rPr>
        <w:t xml:space="preserve"> </w:t>
      </w:r>
      <w:proofErr w:type="spellStart"/>
      <w:r w:rsidR="00721E8D" w:rsidRPr="0070576A">
        <w:rPr>
          <w:rFonts w:ascii="Times New Roman" w:hAnsi="Times New Roman" w:cs="Times New Roman"/>
        </w:rPr>
        <w:t>Dœuff</w:t>
      </w:r>
      <w:proofErr w:type="spellEnd"/>
      <w:r w:rsidR="007462CE">
        <w:rPr>
          <w:rFonts w:ascii="Times New Roman" w:hAnsi="Times New Roman" w:cs="Times New Roman"/>
        </w:rPr>
        <w:t xml:space="preserve"> 1991: 57)</w:t>
      </w:r>
      <w:r w:rsidRPr="0070576A">
        <w:rPr>
          <w:rFonts w:ascii="Times New Roman" w:hAnsi="Times New Roman" w:cs="Times New Roman"/>
        </w:rPr>
        <w:t xml:space="preserve"> and been continually renewed over the past </w:t>
      </w:r>
      <w:r w:rsidRPr="0070576A">
        <w:rPr>
          <w:rFonts w:ascii="Times New Roman" w:hAnsi="Times New Roman" w:cs="Times New Roman"/>
        </w:rPr>
        <w:lastRenderedPageBreak/>
        <w:t>seventy years is remarkable. It has energised generations of readers (</w:t>
      </w:r>
      <w:proofErr w:type="gramStart"/>
      <w:r w:rsidRPr="0070576A">
        <w:rPr>
          <w:rFonts w:ascii="Times New Roman" w:hAnsi="Times New Roman" w:cs="Times New Roman"/>
        </w:rPr>
        <w:t>myself</w:t>
      </w:r>
      <w:proofErr w:type="gramEnd"/>
      <w:r w:rsidRPr="0070576A">
        <w:rPr>
          <w:rFonts w:ascii="Times New Roman" w:hAnsi="Times New Roman" w:cs="Times New Roman"/>
        </w:rPr>
        <w:t xml:space="preserve"> included), but for readers in 1960s and early 1970s </w:t>
      </w:r>
      <w:r w:rsidR="008B043F">
        <w:rPr>
          <w:rFonts w:ascii="Times New Roman" w:hAnsi="Times New Roman" w:cs="Times New Roman"/>
        </w:rPr>
        <w:t>–</w:t>
      </w:r>
      <w:r w:rsidRPr="0070576A">
        <w:rPr>
          <w:rFonts w:ascii="Times New Roman" w:hAnsi="Times New Roman" w:cs="Times New Roman"/>
        </w:rPr>
        <w:t xml:space="preserve"> when</w:t>
      </w:r>
      <w:r w:rsidR="008B043F">
        <w:rPr>
          <w:rFonts w:ascii="Times New Roman" w:hAnsi="Times New Roman" w:cs="Times New Roman"/>
        </w:rPr>
        <w:t xml:space="preserve"> </w:t>
      </w:r>
      <w:r w:rsidRPr="0070576A">
        <w:rPr>
          <w:rFonts w:ascii="Times New Roman" w:hAnsi="Times New Roman" w:cs="Times New Roman"/>
        </w:rPr>
        <w:t xml:space="preserve">there was little else in the library </w:t>
      </w:r>
      <w:r w:rsidR="008B043F">
        <w:rPr>
          <w:rFonts w:ascii="Times New Roman" w:hAnsi="Times New Roman" w:cs="Times New Roman"/>
        </w:rPr>
        <w:t>–</w:t>
      </w:r>
      <w:r w:rsidRPr="0070576A">
        <w:rPr>
          <w:rFonts w:ascii="Times New Roman" w:hAnsi="Times New Roman" w:cs="Times New Roman"/>
        </w:rPr>
        <w:t xml:space="preserve"> </w:t>
      </w:r>
      <w:r w:rsidRPr="0070576A">
        <w:rPr>
          <w:rFonts w:ascii="Times New Roman" w:hAnsi="Times New Roman" w:cs="Times New Roman"/>
          <w:i/>
        </w:rPr>
        <w:t>The</w:t>
      </w:r>
      <w:r w:rsidR="008B043F">
        <w:rPr>
          <w:rFonts w:ascii="Times New Roman" w:hAnsi="Times New Roman" w:cs="Times New Roman"/>
          <w:i/>
        </w:rPr>
        <w:t xml:space="preserve"> </w:t>
      </w:r>
      <w:r w:rsidRPr="0070576A">
        <w:rPr>
          <w:rFonts w:ascii="Times New Roman" w:hAnsi="Times New Roman" w:cs="Times New Roman"/>
          <w:i/>
        </w:rPr>
        <w:t>Second Sex</w:t>
      </w:r>
      <w:r w:rsidRPr="0070576A">
        <w:rPr>
          <w:rFonts w:ascii="Times New Roman" w:hAnsi="Times New Roman" w:cs="Times New Roman"/>
        </w:rPr>
        <w:t xml:space="preserve"> was a fulcrum for a new experience of freedom for women. It showed how interrogation of one’s own circumstance could open a different politics of radical action; and provided a model of how to assert oneself in writing, and with knowledge and with men, in a way that shifted focus from woman’s emancipation to her liberation of the self as human being. Identification with Beauvoir was sometimes contemporaneously cited. Canadian radical feminist theorist Shulamith Firestone, for example, dedicated her </w:t>
      </w:r>
      <w:r w:rsidRPr="0070576A">
        <w:rPr>
          <w:rFonts w:ascii="Times New Roman" w:hAnsi="Times New Roman" w:cs="Times New Roman"/>
          <w:i/>
        </w:rPr>
        <w:t>Dialectic of Sex</w:t>
      </w:r>
      <w:r w:rsidRPr="0070576A">
        <w:rPr>
          <w:rFonts w:ascii="Times New Roman" w:hAnsi="Times New Roman" w:cs="Times New Roman"/>
        </w:rPr>
        <w:t xml:space="preserve"> (1970) to Simone </w:t>
      </w:r>
      <w:r w:rsidR="00637216">
        <w:rPr>
          <w:rFonts w:ascii="Times New Roman" w:hAnsi="Times New Roman" w:cs="Times New Roman"/>
        </w:rPr>
        <w:t xml:space="preserve">de </w:t>
      </w:r>
      <w:r w:rsidRPr="0070576A">
        <w:rPr>
          <w:rFonts w:ascii="Times New Roman" w:hAnsi="Times New Roman" w:cs="Times New Roman"/>
        </w:rPr>
        <w:t>Beauvoir, ‘who endured’</w:t>
      </w:r>
      <w:r w:rsidR="00947BB4">
        <w:rPr>
          <w:rFonts w:ascii="Times New Roman" w:hAnsi="Times New Roman" w:cs="Times New Roman"/>
        </w:rPr>
        <w:t xml:space="preserve"> (Curthoys 2000: 17)</w:t>
      </w:r>
      <w:r w:rsidRPr="0070576A">
        <w:rPr>
          <w:rFonts w:ascii="Times New Roman" w:hAnsi="Times New Roman" w:cs="Times New Roman"/>
        </w:rPr>
        <w:t xml:space="preserve">. The brilliant essay ‘The Masters Tools will Never Dismantle the Master’s House’, written by Black, queer, feminist scholar Audre Lorde in 1979 for a conference dedicated to </w:t>
      </w:r>
      <w:r w:rsidRPr="0070576A">
        <w:rPr>
          <w:rFonts w:ascii="Times New Roman" w:hAnsi="Times New Roman" w:cs="Times New Roman"/>
          <w:i/>
          <w:iCs/>
        </w:rPr>
        <w:t>The Second Sex,</w:t>
      </w:r>
      <w:r w:rsidRPr="0070576A">
        <w:rPr>
          <w:rFonts w:ascii="Times New Roman" w:hAnsi="Times New Roman" w:cs="Times New Roman"/>
        </w:rPr>
        <w:t xml:space="preserve"> rebukes white, heterosexual feminist participants for attempting to ossify and claim Beauvoir rather than understand what she </w:t>
      </w:r>
      <w:proofErr w:type="gramStart"/>
      <w:r w:rsidRPr="0070576A">
        <w:rPr>
          <w:rFonts w:ascii="Times New Roman" w:hAnsi="Times New Roman" w:cs="Times New Roman"/>
        </w:rPr>
        <w:t>opened up</w:t>
      </w:r>
      <w:proofErr w:type="gramEnd"/>
      <w:r w:rsidRPr="0070576A">
        <w:rPr>
          <w:rFonts w:ascii="Times New Roman" w:hAnsi="Times New Roman" w:cs="Times New Roman"/>
        </w:rPr>
        <w:t xml:space="preserve"> to everyone</w:t>
      </w:r>
      <w:r w:rsidR="00B5423D">
        <w:rPr>
          <w:rFonts w:ascii="Times New Roman" w:hAnsi="Times New Roman" w:cs="Times New Roman"/>
        </w:rPr>
        <w:t xml:space="preserve"> (Lorde 2018)</w:t>
      </w:r>
      <w:r w:rsidRPr="0070576A">
        <w:rPr>
          <w:rFonts w:ascii="Times New Roman" w:hAnsi="Times New Roman" w:cs="Times New Roman"/>
        </w:rPr>
        <w:t>. More commonly, Beauvoir has been openly discussed by feminist authors of the 1970s when reintroducing their own writing, to capture and explain the ethos and dynamism of a time of personal and collective self-invention. Juliet Mitchell</w:t>
      </w:r>
      <w:r w:rsidR="00B5423D">
        <w:rPr>
          <w:rFonts w:ascii="Times New Roman" w:hAnsi="Times New Roman" w:cs="Times New Roman"/>
        </w:rPr>
        <w:t>,</w:t>
      </w:r>
      <w:r w:rsidRPr="0070576A">
        <w:rPr>
          <w:rFonts w:ascii="Times New Roman" w:hAnsi="Times New Roman" w:cs="Times New Roman"/>
        </w:rPr>
        <w:t xml:space="preserve"> for her part</w:t>
      </w:r>
      <w:r w:rsidR="00B5423D">
        <w:rPr>
          <w:rFonts w:ascii="Times New Roman" w:hAnsi="Times New Roman" w:cs="Times New Roman"/>
        </w:rPr>
        <w:t>,</w:t>
      </w:r>
      <w:r w:rsidRPr="0070576A">
        <w:rPr>
          <w:rFonts w:ascii="Times New Roman" w:hAnsi="Times New Roman" w:cs="Times New Roman"/>
        </w:rPr>
        <w:t xml:space="preserve"> described </w:t>
      </w:r>
      <w:r w:rsidRPr="0070576A">
        <w:rPr>
          <w:rFonts w:ascii="Times New Roman" w:hAnsi="Times New Roman" w:cs="Times New Roman"/>
          <w:i/>
        </w:rPr>
        <w:t>The Second Sex</w:t>
      </w:r>
      <w:r w:rsidRPr="0070576A">
        <w:rPr>
          <w:rFonts w:ascii="Times New Roman" w:hAnsi="Times New Roman" w:cs="Times New Roman"/>
        </w:rPr>
        <w:t xml:space="preserve"> in an interview in 2006 as a ‘brilliant depiction of an analysis of the oppression of women</w:t>
      </w:r>
      <w:r>
        <w:rPr>
          <w:rFonts w:ascii="Times New Roman" w:hAnsi="Times New Roman" w:cs="Times New Roman"/>
        </w:rPr>
        <w:t>’,</w:t>
      </w:r>
      <w:r w:rsidRPr="0070576A">
        <w:rPr>
          <w:rFonts w:ascii="Times New Roman" w:hAnsi="Times New Roman" w:cs="Times New Roman"/>
        </w:rPr>
        <w:t xml:space="preserve"> that inspired her, and offered something outside of the limitations of Marxist theory and the British New Left’s forestalling on woman’s condition and class interests</w:t>
      </w:r>
      <w:r w:rsidR="009E3924">
        <w:rPr>
          <w:rFonts w:ascii="Times New Roman" w:hAnsi="Times New Roman" w:cs="Times New Roman"/>
        </w:rPr>
        <w:t xml:space="preserve"> </w:t>
      </w:r>
      <w:r w:rsidR="009E3924" w:rsidRPr="00B00DA9">
        <w:rPr>
          <w:rFonts w:ascii="Times New Roman" w:hAnsi="Times New Roman" w:cs="Times New Roman"/>
        </w:rPr>
        <w:t>(Çakmak, Mitchell &amp; Somay 2006: 17</w:t>
      </w:r>
      <w:r w:rsidR="00B00DA9" w:rsidRPr="00B00DA9">
        <w:rPr>
          <w:rFonts w:ascii="Times New Roman" w:hAnsi="Times New Roman" w:cs="Times New Roman"/>
        </w:rPr>
        <w:t>)</w:t>
      </w:r>
      <w:r w:rsidRPr="0070576A">
        <w:rPr>
          <w:rFonts w:ascii="Times New Roman" w:hAnsi="Times New Roman" w:cs="Times New Roman"/>
        </w:rPr>
        <w:t xml:space="preserve">. </w:t>
      </w:r>
      <w:r w:rsidRPr="0070576A">
        <w:rPr>
          <w:rFonts w:ascii="Times New Roman" w:eastAsia="Times New Roman" w:hAnsi="Times New Roman" w:cs="Times New Roman"/>
          <w:color w:val="111111"/>
          <w:shd w:val="clear" w:color="auto" w:fill="FFFFFF"/>
        </w:rPr>
        <w:t xml:space="preserve">The American literary and feminist theorist Kate </w:t>
      </w:r>
      <w:r w:rsidRPr="0070576A">
        <w:rPr>
          <w:rFonts w:ascii="Times New Roman" w:hAnsi="Times New Roman" w:cs="Times New Roman"/>
        </w:rPr>
        <w:t xml:space="preserve">Millett did not openly acknowledge Beauvoir in her own ground-breaking blockbuster </w:t>
      </w:r>
      <w:r w:rsidRPr="0070576A">
        <w:rPr>
          <w:rFonts w:ascii="Times New Roman" w:hAnsi="Times New Roman" w:cs="Times New Roman"/>
          <w:i/>
        </w:rPr>
        <w:t>Sexual Politics</w:t>
      </w:r>
      <w:r w:rsidRPr="0070576A">
        <w:rPr>
          <w:rFonts w:ascii="Times New Roman" w:hAnsi="Times New Roman" w:cs="Times New Roman"/>
        </w:rPr>
        <w:t xml:space="preserve"> in </w:t>
      </w:r>
      <w:proofErr w:type="gramStart"/>
      <w:r w:rsidRPr="0070576A">
        <w:rPr>
          <w:rFonts w:ascii="Times New Roman" w:hAnsi="Times New Roman" w:cs="Times New Roman"/>
        </w:rPr>
        <w:t>1970</w:t>
      </w:r>
      <w:r w:rsidR="007539DC">
        <w:rPr>
          <w:rFonts w:ascii="Times New Roman" w:hAnsi="Times New Roman" w:cs="Times New Roman"/>
        </w:rPr>
        <w:t>,</w:t>
      </w:r>
      <w:r w:rsidRPr="0070576A">
        <w:rPr>
          <w:rFonts w:ascii="Times New Roman" w:hAnsi="Times New Roman" w:cs="Times New Roman"/>
        </w:rPr>
        <w:t xml:space="preserve"> but</w:t>
      </w:r>
      <w:proofErr w:type="gramEnd"/>
      <w:r w:rsidRPr="0070576A">
        <w:rPr>
          <w:rFonts w:ascii="Times New Roman" w:hAnsi="Times New Roman" w:cs="Times New Roman"/>
        </w:rPr>
        <w:t xml:space="preserve"> wrote later: ‘I owe a great debt to </w:t>
      </w:r>
      <w:r w:rsidRPr="0070576A">
        <w:rPr>
          <w:rFonts w:ascii="Times New Roman" w:hAnsi="Times New Roman" w:cs="Times New Roman"/>
          <w:i/>
          <w:iCs/>
        </w:rPr>
        <w:t>The</w:t>
      </w:r>
      <w:r w:rsidRPr="0070576A">
        <w:rPr>
          <w:rFonts w:ascii="Times New Roman" w:hAnsi="Times New Roman" w:cs="Times New Roman"/>
        </w:rPr>
        <w:t xml:space="preserve"> </w:t>
      </w:r>
      <w:r w:rsidRPr="0070576A">
        <w:rPr>
          <w:rFonts w:ascii="Times New Roman" w:hAnsi="Times New Roman" w:cs="Times New Roman"/>
          <w:i/>
        </w:rPr>
        <w:t>Second Sex.</w:t>
      </w:r>
      <w:r w:rsidRPr="0070576A">
        <w:rPr>
          <w:rFonts w:ascii="Times New Roman" w:hAnsi="Times New Roman" w:cs="Times New Roman"/>
        </w:rPr>
        <w:t xml:space="preserve"> I could not have written </w:t>
      </w:r>
      <w:r w:rsidRPr="0070576A">
        <w:rPr>
          <w:rFonts w:ascii="Times New Roman" w:hAnsi="Times New Roman" w:cs="Times New Roman"/>
          <w:i/>
        </w:rPr>
        <w:t>Sexual Politics</w:t>
      </w:r>
      <w:r w:rsidRPr="0070576A">
        <w:rPr>
          <w:rFonts w:ascii="Times New Roman" w:hAnsi="Times New Roman" w:cs="Times New Roman"/>
        </w:rPr>
        <w:t xml:space="preserve"> without it’</w:t>
      </w:r>
      <w:r w:rsidR="007539DC">
        <w:rPr>
          <w:rFonts w:ascii="Times New Roman" w:hAnsi="Times New Roman" w:cs="Times New Roman"/>
        </w:rPr>
        <w:t xml:space="preserve"> (Curthoys 2000: 17)</w:t>
      </w:r>
      <w:r w:rsidRPr="0070576A">
        <w:rPr>
          <w:rFonts w:ascii="Times New Roman" w:hAnsi="Times New Roman" w:cs="Times New Roman"/>
        </w:rPr>
        <w:t xml:space="preserve">. </w:t>
      </w:r>
    </w:p>
    <w:p w14:paraId="103F3F37" w14:textId="77777777" w:rsidR="00B00326" w:rsidRDefault="00A24588" w:rsidP="0094353A">
      <w:pPr>
        <w:spacing w:after="120" w:line="360" w:lineRule="auto"/>
        <w:ind w:firstLine="360"/>
        <w:jc w:val="both"/>
        <w:rPr>
          <w:rFonts w:ascii="Times New Roman" w:hAnsi="Times New Roman" w:cs="Times New Roman"/>
        </w:rPr>
      </w:pPr>
      <w:r w:rsidRPr="0070576A">
        <w:rPr>
          <w:rFonts w:ascii="Times New Roman" w:hAnsi="Times New Roman" w:cs="Times New Roman"/>
        </w:rPr>
        <w:t>These experiences were shared, but distinct, across the world. The specific Australian experience of reading Beauvoir in the late 1960s and early 1970s is well documented, as I have written about elsewhere</w:t>
      </w:r>
      <w:r w:rsidR="00323ACC">
        <w:rPr>
          <w:rFonts w:ascii="Times New Roman" w:hAnsi="Times New Roman" w:cs="Times New Roman"/>
        </w:rPr>
        <w:t xml:space="preserve"> (Genovese 2014, 2022: 77)</w:t>
      </w:r>
      <w:r w:rsidRPr="0070576A">
        <w:rPr>
          <w:rFonts w:ascii="Times New Roman" w:hAnsi="Times New Roman" w:cs="Times New Roman"/>
        </w:rPr>
        <w:t>. For young women in Sydney, reading Beauvoir’s books for the first time was a revelation, a way to learn a certain ethos of life, and understood as training manuals for crafting a new kind of public writing persona as a woman (‘If we were intellectuals we read Simone de Beauvoir’, as the poet and writer Kate Jennings recalled forty years later)</w:t>
      </w:r>
      <w:r w:rsidR="007B60C4">
        <w:rPr>
          <w:rFonts w:ascii="Times New Roman" w:hAnsi="Times New Roman" w:cs="Times New Roman"/>
        </w:rPr>
        <w:t xml:space="preserve"> (Jennings 2010: 3)</w:t>
      </w:r>
      <w:r w:rsidRPr="0070576A">
        <w:rPr>
          <w:rFonts w:ascii="Times New Roman" w:hAnsi="Times New Roman" w:cs="Times New Roman"/>
        </w:rPr>
        <w:t xml:space="preserve">. In </w:t>
      </w:r>
      <w:r w:rsidRPr="0070576A">
        <w:rPr>
          <w:rFonts w:ascii="Times New Roman" w:hAnsi="Times New Roman" w:cs="Times New Roman"/>
          <w:i/>
        </w:rPr>
        <w:t>Hipparchia’s Choice,</w:t>
      </w:r>
      <w:r w:rsidRPr="0070576A">
        <w:rPr>
          <w:rFonts w:ascii="Times New Roman" w:hAnsi="Times New Roman" w:cs="Times New Roman"/>
        </w:rPr>
        <w:t xml:space="preserve"> French philosopher Michèle Le </w:t>
      </w:r>
      <w:proofErr w:type="spellStart"/>
      <w:r w:rsidRPr="0070576A">
        <w:rPr>
          <w:rFonts w:ascii="Times New Roman" w:hAnsi="Times New Roman" w:cs="Times New Roman"/>
        </w:rPr>
        <w:t>Dœuff</w:t>
      </w:r>
      <w:proofErr w:type="spellEnd"/>
      <w:r w:rsidRPr="0070576A">
        <w:rPr>
          <w:rFonts w:ascii="Times New Roman" w:hAnsi="Times New Roman" w:cs="Times New Roman"/>
        </w:rPr>
        <w:t xml:space="preserve"> reflects on her own experience as a young student intellectual and activist </w:t>
      </w:r>
      <w:r w:rsidRPr="0070576A">
        <w:rPr>
          <w:rFonts w:ascii="Times New Roman" w:hAnsi="Times New Roman" w:cs="Times New Roman"/>
        </w:rPr>
        <w:lastRenderedPageBreak/>
        <w:t xml:space="preserve">in late 1960s Paris. In her case, she was introduced to Beauvoir in text, and in person. ‘Reading </w:t>
      </w:r>
      <w:r w:rsidRPr="0070576A">
        <w:rPr>
          <w:rFonts w:ascii="Times New Roman" w:hAnsi="Times New Roman" w:cs="Times New Roman"/>
          <w:i/>
        </w:rPr>
        <w:t>The Second Sex</w:t>
      </w:r>
      <w:r w:rsidRPr="0070576A">
        <w:rPr>
          <w:rFonts w:ascii="Times New Roman" w:hAnsi="Times New Roman" w:cs="Times New Roman"/>
          <w:iCs/>
        </w:rPr>
        <w:t>’</w:t>
      </w:r>
      <w:r w:rsidRPr="0070576A">
        <w:rPr>
          <w:rFonts w:ascii="Times New Roman" w:hAnsi="Times New Roman" w:cs="Times New Roman"/>
          <w:i/>
        </w:rPr>
        <w:t xml:space="preserve">, </w:t>
      </w:r>
      <w:r w:rsidRPr="0070576A">
        <w:rPr>
          <w:rFonts w:ascii="Times New Roman" w:hAnsi="Times New Roman" w:cs="Times New Roman"/>
        </w:rPr>
        <w:t xml:space="preserve">Le </w:t>
      </w:r>
      <w:proofErr w:type="spellStart"/>
      <w:r w:rsidRPr="0070576A">
        <w:rPr>
          <w:rFonts w:ascii="Times New Roman" w:hAnsi="Times New Roman" w:cs="Times New Roman"/>
        </w:rPr>
        <w:t>Dœuff</w:t>
      </w:r>
      <w:proofErr w:type="spellEnd"/>
      <w:r w:rsidRPr="0070576A">
        <w:rPr>
          <w:rFonts w:ascii="Times New Roman" w:hAnsi="Times New Roman" w:cs="Times New Roman"/>
        </w:rPr>
        <w:t xml:space="preserve"> recalled, </w:t>
      </w:r>
    </w:p>
    <w:p w14:paraId="02EA6FD3" w14:textId="1DC0E53E" w:rsidR="00B00326" w:rsidRDefault="00A24588" w:rsidP="00B00326">
      <w:pPr>
        <w:spacing w:after="120" w:line="360" w:lineRule="auto"/>
        <w:ind w:left="360"/>
        <w:jc w:val="both"/>
        <w:rPr>
          <w:rFonts w:ascii="Times New Roman" w:hAnsi="Times New Roman" w:cs="Times New Roman"/>
        </w:rPr>
      </w:pPr>
      <w:r w:rsidRPr="0070576A">
        <w:rPr>
          <w:rFonts w:ascii="Times New Roman" w:hAnsi="Times New Roman" w:cs="Times New Roman"/>
        </w:rPr>
        <w:t>taught us to objectify the question [“what is wrong with me?”], to look at the social world with a critical eye, instead of looking within ourselves for some hidden cause of existential incapacity. It taught us simply to situate some of our difficulties and thus free ourselves from their internalization</w:t>
      </w:r>
      <w:r w:rsidR="001D6898">
        <w:rPr>
          <w:rFonts w:ascii="Times New Roman" w:hAnsi="Times New Roman" w:cs="Times New Roman"/>
        </w:rPr>
        <w:t xml:space="preserve"> (1991: 57)</w:t>
      </w:r>
      <w:r w:rsidRPr="0070576A">
        <w:rPr>
          <w:rFonts w:ascii="Times New Roman" w:hAnsi="Times New Roman" w:cs="Times New Roman"/>
        </w:rPr>
        <w:t xml:space="preserve"> </w:t>
      </w:r>
    </w:p>
    <w:p w14:paraId="730D6605" w14:textId="4B6BE4C0" w:rsidR="00A24588" w:rsidRPr="0070576A" w:rsidRDefault="00A24588" w:rsidP="00B00326">
      <w:pPr>
        <w:spacing w:after="120" w:line="360" w:lineRule="auto"/>
        <w:jc w:val="both"/>
        <w:rPr>
          <w:rFonts w:ascii="Times New Roman" w:hAnsi="Times New Roman" w:cs="Times New Roman"/>
        </w:rPr>
      </w:pPr>
      <w:r w:rsidRPr="0070576A">
        <w:rPr>
          <w:rFonts w:ascii="Times New Roman" w:hAnsi="Times New Roman" w:cs="Times New Roman"/>
        </w:rPr>
        <w:t xml:space="preserve">Importantly, Le </w:t>
      </w:r>
      <w:proofErr w:type="spellStart"/>
      <w:r w:rsidRPr="0070576A">
        <w:rPr>
          <w:rFonts w:ascii="Times New Roman" w:hAnsi="Times New Roman" w:cs="Times New Roman"/>
        </w:rPr>
        <w:t>Dœuff</w:t>
      </w:r>
      <w:proofErr w:type="spellEnd"/>
      <w:r w:rsidRPr="0070576A">
        <w:rPr>
          <w:rFonts w:ascii="Times New Roman" w:hAnsi="Times New Roman" w:cs="Times New Roman"/>
        </w:rPr>
        <w:t xml:space="preserve"> also emphasises that ‘between 1949 and 1971’ Beauvoir herself did not ‘put down her pen and wait until the…Movement began’</w:t>
      </w:r>
      <w:r w:rsidR="001D6898">
        <w:rPr>
          <w:rFonts w:ascii="Times New Roman" w:hAnsi="Times New Roman" w:cs="Times New Roman"/>
        </w:rPr>
        <w:t xml:space="preserve"> (ibid: 132).</w:t>
      </w:r>
      <w:r w:rsidRPr="0070576A">
        <w:rPr>
          <w:rFonts w:ascii="Times New Roman" w:hAnsi="Times New Roman" w:cs="Times New Roman"/>
        </w:rPr>
        <w:t xml:space="preserve"> She wrote constantly, and paid attention to her own changing situation in Paris, listening ‘first to writers…then to the collective thoughts of groups from the Movement’</w:t>
      </w:r>
      <w:r w:rsidR="001D6898">
        <w:rPr>
          <w:rFonts w:ascii="Times New Roman" w:hAnsi="Times New Roman" w:cs="Times New Roman"/>
        </w:rPr>
        <w:t xml:space="preserve"> (ibid)</w:t>
      </w:r>
      <w:r w:rsidRPr="0070576A">
        <w:rPr>
          <w:rFonts w:ascii="Times New Roman" w:hAnsi="Times New Roman" w:cs="Times New Roman"/>
        </w:rPr>
        <w:t xml:space="preserve">. Beauvoir ‘caught hold of emerging ideas’, Le </w:t>
      </w:r>
      <w:proofErr w:type="spellStart"/>
      <w:r w:rsidRPr="0070576A">
        <w:rPr>
          <w:rFonts w:ascii="Times New Roman" w:hAnsi="Times New Roman" w:cs="Times New Roman"/>
        </w:rPr>
        <w:t>Dœuff</w:t>
      </w:r>
      <w:proofErr w:type="spellEnd"/>
      <w:r w:rsidRPr="0070576A">
        <w:rPr>
          <w:rFonts w:ascii="Times New Roman" w:hAnsi="Times New Roman" w:cs="Times New Roman"/>
        </w:rPr>
        <w:t xml:space="preserve"> recalls; and circa 1970 her work had evolved (in particular around questions of work, reproductive rights, sexuality, and anti-colonialism) through meeting ‘young feminists’ with whom she was ‘entirely in sympathy’ because of their desire ‘to change the world that has been made by men’</w:t>
      </w:r>
      <w:r w:rsidR="00897CAE">
        <w:rPr>
          <w:rFonts w:ascii="Times New Roman" w:hAnsi="Times New Roman" w:cs="Times New Roman"/>
        </w:rPr>
        <w:t xml:space="preserve"> (ibid)</w:t>
      </w:r>
      <w:r w:rsidRPr="0070576A">
        <w:rPr>
          <w:rFonts w:ascii="Times New Roman" w:hAnsi="Times New Roman" w:cs="Times New Roman"/>
        </w:rPr>
        <w:t xml:space="preserve">. These forms of exchange, of entrustment through text and experience and over time, do not detract from, but rather supplement and demonstrate, how </w:t>
      </w:r>
      <w:r w:rsidRPr="0070576A">
        <w:rPr>
          <w:rFonts w:ascii="Times New Roman" w:hAnsi="Times New Roman" w:cs="Times New Roman"/>
          <w:i/>
        </w:rPr>
        <w:t>The Second Sex</w:t>
      </w:r>
      <w:r w:rsidRPr="0070576A">
        <w:rPr>
          <w:rFonts w:ascii="Times New Roman" w:hAnsi="Times New Roman" w:cs="Times New Roman"/>
        </w:rPr>
        <w:t xml:space="preserve"> ‘was the movement before the movement’ as Le </w:t>
      </w:r>
      <w:proofErr w:type="spellStart"/>
      <w:r w:rsidRPr="0070576A">
        <w:rPr>
          <w:rFonts w:ascii="Times New Roman" w:hAnsi="Times New Roman" w:cs="Times New Roman"/>
        </w:rPr>
        <w:t>Dœuff</w:t>
      </w:r>
      <w:proofErr w:type="spellEnd"/>
      <w:r w:rsidRPr="0070576A">
        <w:rPr>
          <w:rFonts w:ascii="Times New Roman" w:hAnsi="Times New Roman" w:cs="Times New Roman"/>
        </w:rPr>
        <w:t xml:space="preserve"> puts it, and ‘galvanised women’s movements everywhere’</w:t>
      </w:r>
      <w:r w:rsidR="00F60BD7">
        <w:rPr>
          <w:rFonts w:ascii="Times New Roman" w:hAnsi="Times New Roman" w:cs="Times New Roman"/>
        </w:rPr>
        <w:t xml:space="preserve"> (ibid: 57).</w:t>
      </w:r>
      <w:r w:rsidRPr="0070576A">
        <w:rPr>
          <w:rFonts w:ascii="Times New Roman" w:hAnsi="Times New Roman" w:cs="Times New Roman"/>
        </w:rPr>
        <w:t xml:space="preserve"> </w:t>
      </w:r>
    </w:p>
    <w:p w14:paraId="2ED2D79F" w14:textId="77777777" w:rsidR="00A24588" w:rsidRPr="0070576A" w:rsidRDefault="00A24588" w:rsidP="008D1108">
      <w:pPr>
        <w:spacing w:after="120" w:line="360" w:lineRule="auto"/>
        <w:jc w:val="both"/>
        <w:rPr>
          <w:rFonts w:ascii="Times New Roman" w:hAnsi="Times New Roman" w:cs="Times New Roman"/>
          <w:b/>
          <w:bCs/>
        </w:rPr>
      </w:pPr>
    </w:p>
    <w:p w14:paraId="69A6C1C8" w14:textId="120B6FFB" w:rsidR="00A24588" w:rsidRPr="00116707" w:rsidRDefault="00F60BD7" w:rsidP="00F60BD7">
      <w:pPr>
        <w:pStyle w:val="Heading1"/>
      </w:pPr>
      <w:r>
        <w:t xml:space="preserve">5. </w:t>
      </w:r>
      <w:r w:rsidR="00A24588" w:rsidRPr="00116707">
        <w:t xml:space="preserve">Bookstores </w:t>
      </w:r>
    </w:p>
    <w:p w14:paraId="3D64F963" w14:textId="3E10A154" w:rsidR="00A24588" w:rsidRPr="0070576A" w:rsidRDefault="00A24588" w:rsidP="008D1108">
      <w:pPr>
        <w:spacing w:after="120" w:line="360" w:lineRule="auto"/>
        <w:jc w:val="both"/>
        <w:rPr>
          <w:rFonts w:ascii="Times New Roman" w:hAnsi="Times New Roman" w:cs="Times New Roman"/>
        </w:rPr>
      </w:pPr>
      <w:r w:rsidRPr="0070576A">
        <w:rPr>
          <w:rFonts w:ascii="Times New Roman" w:hAnsi="Times New Roman" w:cs="Times New Roman"/>
        </w:rPr>
        <w:t xml:space="preserve">Beauvoir of course did not achieve ‘Women’s Liberation’ single handed in 1970 merely because she had written </w:t>
      </w:r>
      <w:r w:rsidRPr="0070576A">
        <w:rPr>
          <w:rFonts w:ascii="Times New Roman" w:hAnsi="Times New Roman" w:cs="Times New Roman"/>
          <w:i/>
        </w:rPr>
        <w:t xml:space="preserve">The Second Sex </w:t>
      </w:r>
      <w:r w:rsidRPr="0070576A">
        <w:rPr>
          <w:rFonts w:ascii="Times New Roman" w:hAnsi="Times New Roman" w:cs="Times New Roman"/>
        </w:rPr>
        <w:t>in 1949</w:t>
      </w:r>
      <w:r w:rsidRPr="0070576A">
        <w:rPr>
          <w:rFonts w:ascii="Times New Roman" w:hAnsi="Times New Roman" w:cs="Times New Roman"/>
          <w:i/>
        </w:rPr>
        <w:t>.</w:t>
      </w:r>
      <w:r w:rsidRPr="0070576A">
        <w:rPr>
          <w:rFonts w:ascii="Times New Roman" w:hAnsi="Times New Roman" w:cs="Times New Roman"/>
        </w:rPr>
        <w:t xml:space="preserve"> She did not, for example, envisage a collective women’s movement as a means of redressing oppression</w:t>
      </w:r>
      <w:r w:rsidR="007D3000">
        <w:rPr>
          <w:rFonts w:ascii="Times New Roman" w:hAnsi="Times New Roman" w:cs="Times New Roman"/>
        </w:rPr>
        <w:t xml:space="preserve"> </w:t>
      </w:r>
      <w:r w:rsidR="0018034C">
        <w:rPr>
          <w:rFonts w:ascii="Times New Roman" w:hAnsi="Times New Roman" w:cs="Times New Roman"/>
        </w:rPr>
        <w:t>(Mitchell 1977: 82)</w:t>
      </w:r>
      <w:r w:rsidRPr="0070576A">
        <w:rPr>
          <w:rFonts w:ascii="Times New Roman" w:hAnsi="Times New Roman" w:cs="Times New Roman"/>
        </w:rPr>
        <w:t>. But as the American literary critic Judith Thurman has argued, ‘revolution cannot begin until the diffuse, private indignation of individuals coalesces into a common cause’</w:t>
      </w:r>
      <w:r w:rsidR="0018034C">
        <w:rPr>
          <w:rFonts w:ascii="Times New Roman" w:hAnsi="Times New Roman" w:cs="Times New Roman"/>
        </w:rPr>
        <w:t xml:space="preserve"> </w:t>
      </w:r>
      <w:r w:rsidR="001F7355">
        <w:rPr>
          <w:rFonts w:ascii="Times New Roman" w:hAnsi="Times New Roman" w:cs="Times New Roman"/>
        </w:rPr>
        <w:t>(Thurman 2011: xv)</w:t>
      </w:r>
      <w:r w:rsidRPr="0070576A">
        <w:rPr>
          <w:rFonts w:ascii="Times New Roman" w:hAnsi="Times New Roman" w:cs="Times New Roman"/>
        </w:rPr>
        <w:t>. As noted, Beauvoir is name dropped and acknowledged as germinal to that common cause in the 1970s as she offered a way to perceive how the personal was not only political, but that such a politics might be definable as ‘an international movement […] not in organisation, but in …identification and shared ideas</w:t>
      </w:r>
      <w:r w:rsidR="009D46A4">
        <w:rPr>
          <w:rFonts w:ascii="Times New Roman" w:hAnsi="Times New Roman" w:cs="Times New Roman"/>
        </w:rPr>
        <w:t>’ (Mitchell 1977: 11)</w:t>
      </w:r>
      <w:r w:rsidRPr="0070576A">
        <w:rPr>
          <w:rFonts w:ascii="Times New Roman" w:hAnsi="Times New Roman" w:cs="Times New Roman"/>
        </w:rPr>
        <w:t>. To assume that happened only in your own home missed the point. To move the personal to the political involved an exchange of ideas in real time; and that required somewhere to meet.</w:t>
      </w:r>
    </w:p>
    <w:p w14:paraId="65C01BBC" w14:textId="1CC5B843" w:rsidR="00A24588" w:rsidRPr="0070576A" w:rsidRDefault="00A24588" w:rsidP="00D751AA">
      <w:pPr>
        <w:spacing w:after="120" w:line="360" w:lineRule="auto"/>
        <w:ind w:firstLine="426"/>
        <w:jc w:val="both"/>
        <w:rPr>
          <w:rFonts w:ascii="Times New Roman" w:hAnsi="Times New Roman" w:cs="Times New Roman"/>
        </w:rPr>
      </w:pPr>
      <w:r w:rsidRPr="0070576A">
        <w:rPr>
          <w:rFonts w:ascii="Times New Roman" w:hAnsi="Times New Roman" w:cs="Times New Roman"/>
        </w:rPr>
        <w:lastRenderedPageBreak/>
        <w:t>Before 1970, to say you were going to a ‘women’s group’ suggested one of two things. The first was membership of an auxiliary to a political organisation ostensibly concerned with universal questions</w:t>
      </w:r>
      <w:r w:rsidR="00F02152">
        <w:rPr>
          <w:rFonts w:ascii="Times New Roman" w:hAnsi="Times New Roman" w:cs="Times New Roman"/>
        </w:rPr>
        <w:t xml:space="preserve"> but</w:t>
      </w:r>
      <w:r w:rsidRPr="0070576A">
        <w:rPr>
          <w:rFonts w:ascii="Times New Roman" w:hAnsi="Times New Roman" w:cs="Times New Roman"/>
        </w:rPr>
        <w:t xml:space="preserve"> in fact predicated on male experience</w:t>
      </w:r>
      <w:r>
        <w:rPr>
          <w:rFonts w:ascii="Times New Roman" w:hAnsi="Times New Roman" w:cs="Times New Roman"/>
        </w:rPr>
        <w:t xml:space="preserve"> and </w:t>
      </w:r>
      <w:r w:rsidRPr="0070576A">
        <w:rPr>
          <w:rFonts w:ascii="Times New Roman" w:hAnsi="Times New Roman" w:cs="Times New Roman"/>
        </w:rPr>
        <w:t>organised for the benefit of men (for example, the experience of many women in The New Left)</w:t>
      </w:r>
      <w:r w:rsidR="00F02152">
        <w:rPr>
          <w:rFonts w:ascii="Times New Roman" w:hAnsi="Times New Roman" w:cs="Times New Roman"/>
        </w:rPr>
        <w:t xml:space="preserve"> (Jennings 2010: 7-9)</w:t>
      </w:r>
      <w:r w:rsidRPr="0070576A">
        <w:rPr>
          <w:rFonts w:ascii="Times New Roman" w:hAnsi="Times New Roman" w:cs="Times New Roman"/>
        </w:rPr>
        <w:t>. The other was to organise a concerted rebuttal to institutional exclusion based on sex, advocated courageously and separately by the excluded</w:t>
      </w:r>
      <w:r w:rsidR="00437D8E">
        <w:rPr>
          <w:rFonts w:ascii="Times New Roman" w:hAnsi="Times New Roman" w:cs="Times New Roman"/>
        </w:rPr>
        <w:t xml:space="preserve"> (Genovese 2016)</w:t>
      </w:r>
      <w:r w:rsidRPr="0070576A">
        <w:rPr>
          <w:rFonts w:ascii="Times New Roman" w:hAnsi="Times New Roman" w:cs="Times New Roman"/>
        </w:rPr>
        <w:t xml:space="preserve">. Around 1970 these designations expanded, and changed. A women’s group became a transformative active project of finding together the words, and the means, to expose and then overturn the expected order of things from a point of view that did not originate from men at all. The Australian feminist scholar Dale Spender importantly reminded in 1983 that </w:t>
      </w:r>
      <w:r w:rsidRPr="0070576A">
        <w:rPr>
          <w:rFonts w:ascii="Times New Roman" w:hAnsi="Times New Roman" w:cs="Times New Roman"/>
          <w:i/>
        </w:rPr>
        <w:t>There’s Always Been a Women’s Movement This Century</w:t>
      </w:r>
      <w:r w:rsidRPr="0070576A">
        <w:rPr>
          <w:rFonts w:ascii="Times New Roman" w:hAnsi="Times New Roman" w:cs="Times New Roman"/>
          <w:iCs/>
        </w:rPr>
        <w:t>.</w:t>
      </w:r>
      <w:r w:rsidRPr="0070576A">
        <w:rPr>
          <w:rFonts w:ascii="Times New Roman" w:hAnsi="Times New Roman" w:cs="Times New Roman"/>
        </w:rPr>
        <w:t xml:space="preserve"> But the problem in 1970 was that the questions asked by women as collective groups in earlier decades of the twentieth century, and the ways of asking them, stood in contrast to the self-characterisation of their own burgeoning community as a sisterhood with ‘dangerous ideas’</w:t>
      </w:r>
      <w:r w:rsidR="00D30F91">
        <w:rPr>
          <w:rFonts w:ascii="Times New Roman" w:hAnsi="Times New Roman" w:cs="Times New Roman"/>
        </w:rPr>
        <w:t xml:space="preserve"> (Magarey 2014a)</w:t>
      </w:r>
      <w:r w:rsidRPr="0070576A">
        <w:rPr>
          <w:rFonts w:ascii="Times New Roman" w:hAnsi="Times New Roman" w:cs="Times New Roman"/>
        </w:rPr>
        <w:t xml:space="preserve">. This is a point that the Australian feminist historian (and my first feminist </w:t>
      </w:r>
      <w:proofErr w:type="gramStart"/>
      <w:r w:rsidRPr="0070576A">
        <w:rPr>
          <w:rFonts w:ascii="Times New Roman" w:hAnsi="Times New Roman" w:cs="Times New Roman"/>
        </w:rPr>
        <w:t>teacher )</w:t>
      </w:r>
      <w:proofErr w:type="gramEnd"/>
      <w:r w:rsidRPr="0070576A">
        <w:rPr>
          <w:rFonts w:ascii="Times New Roman" w:hAnsi="Times New Roman" w:cs="Times New Roman"/>
        </w:rPr>
        <w:t xml:space="preserve"> Susan Magarey made as early as 1986 in her apt and instructive article ‘I Never Wanted to be an Administrator of Anything’</w:t>
      </w:r>
      <w:r w:rsidR="00A945FB">
        <w:rPr>
          <w:rFonts w:ascii="Times New Roman" w:hAnsi="Times New Roman" w:cs="Times New Roman"/>
        </w:rPr>
        <w:t xml:space="preserve"> (Magarey 1986; see also Magarey 2014b)</w:t>
      </w:r>
      <w:r w:rsidRPr="0070576A">
        <w:rPr>
          <w:rFonts w:ascii="Times New Roman" w:hAnsi="Times New Roman" w:cs="Times New Roman"/>
        </w:rPr>
        <w:t>. There was not, then, a ready-made template for unorthodox institutional and social life. ‘In such a situation,’ historian Ann Curthoys recalled in 2000, ‘the world of books became paramount… Reading was a way of thinking about alternatives</w:t>
      </w:r>
      <w:r w:rsidR="00192CB1">
        <w:rPr>
          <w:rFonts w:ascii="Times New Roman" w:hAnsi="Times New Roman" w:cs="Times New Roman"/>
        </w:rPr>
        <w:t>’ (Curthoys 2000: 11)</w:t>
      </w:r>
      <w:r w:rsidRPr="0070576A">
        <w:rPr>
          <w:rFonts w:ascii="Times New Roman" w:hAnsi="Times New Roman" w:cs="Times New Roman"/>
        </w:rPr>
        <w:t xml:space="preserve">. Beauvoir’s work (already read, already guiding the individual) helped transform the act of reading from a ‘one-to-one dialogue’ </w:t>
      </w:r>
      <w:r w:rsidR="000929D1">
        <w:rPr>
          <w:rFonts w:ascii="Times New Roman" w:hAnsi="Times New Roman" w:cs="Times New Roman"/>
        </w:rPr>
        <w:t>(</w:t>
      </w:r>
      <w:r w:rsidR="000929D1" w:rsidRPr="0070576A">
        <w:rPr>
          <w:rFonts w:ascii="Times New Roman" w:hAnsi="Times New Roman" w:cs="Times New Roman"/>
        </w:rPr>
        <w:t xml:space="preserve">Le </w:t>
      </w:r>
      <w:proofErr w:type="spellStart"/>
      <w:r w:rsidR="000929D1" w:rsidRPr="0070576A">
        <w:rPr>
          <w:rFonts w:ascii="Times New Roman" w:hAnsi="Times New Roman" w:cs="Times New Roman"/>
        </w:rPr>
        <w:t>Dœuff</w:t>
      </w:r>
      <w:proofErr w:type="spellEnd"/>
      <w:r w:rsidR="000929D1" w:rsidRPr="0070576A">
        <w:rPr>
          <w:rFonts w:ascii="Times New Roman" w:hAnsi="Times New Roman" w:cs="Times New Roman"/>
        </w:rPr>
        <w:t xml:space="preserve"> 1991: 57</w:t>
      </w:r>
      <w:r w:rsidR="000929D1">
        <w:rPr>
          <w:rFonts w:ascii="Times New Roman" w:hAnsi="Times New Roman" w:cs="Times New Roman"/>
        </w:rPr>
        <w:t>)</w:t>
      </w:r>
      <w:r w:rsidRPr="0070576A">
        <w:rPr>
          <w:rFonts w:ascii="Times New Roman" w:hAnsi="Times New Roman" w:cs="Times New Roman"/>
        </w:rPr>
        <w:t xml:space="preserve"> to a ‘collective and profoundly sociable enterprise’</w:t>
      </w:r>
      <w:r w:rsidR="00FD4BA4">
        <w:rPr>
          <w:rFonts w:ascii="Times New Roman" w:hAnsi="Times New Roman" w:cs="Times New Roman"/>
        </w:rPr>
        <w:t xml:space="preserve"> (</w:t>
      </w:r>
      <w:r w:rsidR="00FD4BA4" w:rsidRPr="0070576A">
        <w:rPr>
          <w:rFonts w:ascii="Times New Roman" w:hAnsi="Times New Roman" w:cs="Times New Roman"/>
        </w:rPr>
        <w:t>Curthoys 2013a: 58</w:t>
      </w:r>
      <w:r w:rsidR="00FD4BA4">
        <w:rPr>
          <w:rFonts w:ascii="Times New Roman" w:hAnsi="Times New Roman" w:cs="Times New Roman"/>
        </w:rPr>
        <w:t>).</w:t>
      </w:r>
      <w:r w:rsidRPr="0070576A">
        <w:rPr>
          <w:rFonts w:ascii="Times New Roman" w:hAnsi="Times New Roman" w:cs="Times New Roman"/>
        </w:rPr>
        <w:t xml:space="preserve"> Beauvoir ‘taught us how to live’, as Curthoys puts it, and showed that it was possible ‘to forge an alternative to the narrow options then facing women, and to live according to a different conception of femininity, intellectuality, independence, sexuality and friendship’</w:t>
      </w:r>
      <w:r w:rsidR="00FD4BA4">
        <w:rPr>
          <w:rFonts w:ascii="Times New Roman" w:hAnsi="Times New Roman" w:cs="Times New Roman"/>
        </w:rPr>
        <w:t xml:space="preserve"> (</w:t>
      </w:r>
      <w:r w:rsidR="00FD4BA4" w:rsidRPr="0070576A">
        <w:rPr>
          <w:rFonts w:ascii="Times New Roman" w:hAnsi="Times New Roman" w:cs="Times New Roman"/>
        </w:rPr>
        <w:t>Curthoys 2000: 13</w:t>
      </w:r>
      <w:r w:rsidR="00FD4BA4">
        <w:rPr>
          <w:rFonts w:ascii="Times New Roman" w:hAnsi="Times New Roman" w:cs="Times New Roman"/>
        </w:rPr>
        <w:t>)</w:t>
      </w:r>
      <w:r w:rsidRPr="0070576A">
        <w:rPr>
          <w:rFonts w:ascii="Times New Roman" w:hAnsi="Times New Roman" w:cs="Times New Roman"/>
        </w:rPr>
        <w:t xml:space="preserve">. </w:t>
      </w:r>
    </w:p>
    <w:p w14:paraId="15F4F429" w14:textId="390CC110" w:rsidR="00A24588" w:rsidRPr="0070576A" w:rsidRDefault="00A24588" w:rsidP="00C335A4">
      <w:pPr>
        <w:spacing w:after="120" w:line="360" w:lineRule="auto"/>
        <w:ind w:firstLine="720"/>
        <w:jc w:val="both"/>
        <w:rPr>
          <w:rFonts w:ascii="Times New Roman" w:hAnsi="Times New Roman" w:cs="Times New Roman"/>
        </w:rPr>
      </w:pPr>
      <w:r w:rsidRPr="0070576A">
        <w:rPr>
          <w:rFonts w:ascii="Times New Roman" w:hAnsi="Times New Roman" w:cs="Times New Roman"/>
        </w:rPr>
        <w:t xml:space="preserve">The spaces created by women for women’s groups were </w:t>
      </w:r>
      <w:proofErr w:type="gramStart"/>
      <w:r w:rsidRPr="0070576A">
        <w:rPr>
          <w:rFonts w:ascii="Times New Roman" w:hAnsi="Times New Roman" w:cs="Times New Roman"/>
        </w:rPr>
        <w:t>as a consequence</w:t>
      </w:r>
      <w:proofErr w:type="gramEnd"/>
      <w:r w:rsidRPr="0070576A">
        <w:rPr>
          <w:rFonts w:ascii="Times New Roman" w:hAnsi="Times New Roman" w:cs="Times New Roman"/>
        </w:rPr>
        <w:t xml:space="preserve"> integral to forging these alternatives. Women’s resource centres, houses, bookstores, libraries were specific to the politics of their location. What their collectives shared</w:t>
      </w:r>
      <w:r w:rsidR="004712AF">
        <w:rPr>
          <w:rFonts w:ascii="Times New Roman" w:hAnsi="Times New Roman" w:cs="Times New Roman"/>
        </w:rPr>
        <w:t>,</w:t>
      </w:r>
      <w:r w:rsidRPr="0070576A">
        <w:rPr>
          <w:rFonts w:ascii="Times New Roman" w:hAnsi="Times New Roman" w:cs="Times New Roman"/>
        </w:rPr>
        <w:t xml:space="preserve"> however</w:t>
      </w:r>
      <w:r w:rsidR="004712AF">
        <w:rPr>
          <w:rFonts w:ascii="Times New Roman" w:hAnsi="Times New Roman" w:cs="Times New Roman"/>
        </w:rPr>
        <w:t>,</w:t>
      </w:r>
      <w:r w:rsidRPr="0070576A">
        <w:rPr>
          <w:rFonts w:ascii="Times New Roman" w:hAnsi="Times New Roman" w:cs="Times New Roman"/>
        </w:rPr>
        <w:t xml:space="preserve"> was a desire to tear up the rules of membership of orthodox institutional space </w:t>
      </w:r>
      <w:r w:rsidR="004712AF">
        <w:rPr>
          <w:rFonts w:ascii="Times New Roman" w:hAnsi="Times New Roman" w:cs="Times New Roman"/>
        </w:rPr>
        <w:t>–</w:t>
      </w:r>
      <w:r w:rsidRPr="0070576A">
        <w:rPr>
          <w:rFonts w:ascii="Times New Roman" w:hAnsi="Times New Roman" w:cs="Times New Roman"/>
        </w:rPr>
        <w:t xml:space="preserve"> </w:t>
      </w:r>
      <w:r>
        <w:rPr>
          <w:rFonts w:ascii="Times New Roman" w:hAnsi="Times New Roman" w:cs="Times New Roman"/>
        </w:rPr>
        <w:t>T</w:t>
      </w:r>
      <w:r w:rsidRPr="0070576A">
        <w:rPr>
          <w:rFonts w:ascii="Times New Roman" w:hAnsi="Times New Roman" w:cs="Times New Roman"/>
        </w:rPr>
        <w:t>he</w:t>
      </w:r>
      <w:r w:rsidR="004712AF">
        <w:rPr>
          <w:rFonts w:ascii="Times New Roman" w:hAnsi="Times New Roman" w:cs="Times New Roman"/>
        </w:rPr>
        <w:t xml:space="preserve"> </w:t>
      </w:r>
      <w:r w:rsidRPr="0070576A">
        <w:rPr>
          <w:rFonts w:ascii="Times New Roman" w:hAnsi="Times New Roman" w:cs="Times New Roman"/>
        </w:rPr>
        <w:t xml:space="preserve">Chamber, The House, The Library, The Faculty, </w:t>
      </w:r>
      <w:r>
        <w:rPr>
          <w:rFonts w:ascii="Times New Roman" w:hAnsi="Times New Roman" w:cs="Times New Roman"/>
        </w:rPr>
        <w:t>T</w:t>
      </w:r>
      <w:r w:rsidRPr="0070576A">
        <w:rPr>
          <w:rFonts w:ascii="Times New Roman" w:hAnsi="Times New Roman" w:cs="Times New Roman"/>
        </w:rPr>
        <w:t xml:space="preserve">he Committee </w:t>
      </w:r>
      <w:r>
        <w:rPr>
          <w:rFonts w:ascii="Times New Roman" w:hAnsi="Times New Roman" w:cs="Times New Roman"/>
        </w:rPr>
        <w:t>R</w:t>
      </w:r>
      <w:r w:rsidRPr="0070576A">
        <w:rPr>
          <w:rFonts w:ascii="Times New Roman" w:hAnsi="Times New Roman" w:cs="Times New Roman"/>
        </w:rPr>
        <w:t xml:space="preserve">oom </w:t>
      </w:r>
      <w:r w:rsidR="004712AF">
        <w:rPr>
          <w:rFonts w:ascii="Times New Roman" w:hAnsi="Times New Roman" w:cs="Times New Roman"/>
        </w:rPr>
        <w:t>–</w:t>
      </w:r>
      <w:r w:rsidRPr="0070576A">
        <w:rPr>
          <w:rFonts w:ascii="Times New Roman" w:hAnsi="Times New Roman" w:cs="Times New Roman"/>
        </w:rPr>
        <w:t xml:space="preserve"> by</w:t>
      </w:r>
      <w:r w:rsidR="004712AF">
        <w:rPr>
          <w:rFonts w:ascii="Times New Roman" w:hAnsi="Times New Roman" w:cs="Times New Roman"/>
        </w:rPr>
        <w:t xml:space="preserve"> </w:t>
      </w:r>
      <w:r w:rsidRPr="0070576A">
        <w:rPr>
          <w:rFonts w:ascii="Times New Roman" w:hAnsi="Times New Roman" w:cs="Times New Roman"/>
        </w:rPr>
        <w:t>creating membership protocols of their own.</w:t>
      </w:r>
      <w:r w:rsidRPr="0070576A">
        <w:rPr>
          <w:rStyle w:val="FootnoteReference"/>
          <w:rFonts w:ascii="Times New Roman" w:hAnsi="Times New Roman" w:cs="Times New Roman"/>
        </w:rPr>
        <w:t xml:space="preserve"> </w:t>
      </w:r>
      <w:r w:rsidRPr="0070576A">
        <w:rPr>
          <w:rFonts w:ascii="Times New Roman" w:hAnsi="Times New Roman" w:cs="Times New Roman"/>
        </w:rPr>
        <w:t xml:space="preserve">These women’s collectives also shared a </w:t>
      </w:r>
      <w:proofErr w:type="spellStart"/>
      <w:r w:rsidRPr="0070576A">
        <w:rPr>
          <w:rFonts w:ascii="Times New Roman" w:hAnsi="Times New Roman" w:cs="Times New Roman"/>
        </w:rPr>
        <w:t>mode</w:t>
      </w:r>
      <w:proofErr w:type="spellEnd"/>
      <w:r w:rsidRPr="0070576A">
        <w:rPr>
          <w:rFonts w:ascii="Times New Roman" w:hAnsi="Times New Roman" w:cs="Times New Roman"/>
        </w:rPr>
        <w:t xml:space="preserve"> of conduct, an awakened obligation to </w:t>
      </w:r>
      <w:r w:rsidRPr="0070576A">
        <w:rPr>
          <w:rFonts w:ascii="Times New Roman" w:hAnsi="Times New Roman" w:cs="Times New Roman"/>
        </w:rPr>
        <w:lastRenderedPageBreak/>
        <w:t>reanimate the power of words that filled those spaces (what was spoken, what was read, what was written ) to express the reformulation of relationships adequate to the times, and their own desires and discoveries.</w:t>
      </w:r>
      <w:r w:rsidRPr="0070576A">
        <w:rPr>
          <w:rStyle w:val="FootnoteReference"/>
          <w:rFonts w:ascii="Times New Roman" w:hAnsi="Times New Roman" w:cs="Times New Roman"/>
        </w:rPr>
        <w:footnoteReference w:id="6"/>
      </w:r>
      <w:r w:rsidRPr="0070576A">
        <w:rPr>
          <w:rFonts w:ascii="Times New Roman" w:hAnsi="Times New Roman" w:cs="Times New Roman"/>
        </w:rPr>
        <w:t xml:space="preserve"> </w:t>
      </w:r>
    </w:p>
    <w:p w14:paraId="71477BD8" w14:textId="0CA9EE58" w:rsidR="00A24588" w:rsidRPr="0070576A" w:rsidRDefault="00A24588" w:rsidP="00FB16F8">
      <w:pPr>
        <w:spacing w:after="120" w:line="360" w:lineRule="auto"/>
        <w:ind w:firstLine="360"/>
        <w:jc w:val="both"/>
        <w:rPr>
          <w:rFonts w:ascii="Times New Roman" w:hAnsi="Times New Roman" w:cs="Times New Roman"/>
        </w:rPr>
      </w:pPr>
      <w:r w:rsidRPr="0070576A">
        <w:rPr>
          <w:rFonts w:ascii="Times New Roman" w:hAnsi="Times New Roman" w:cs="Times New Roman"/>
        </w:rPr>
        <w:t>The women’s space I want to visit to explore those ideas is Women’s Liberation House, at 67 Glebe Point Road in inner city Sydney, circa 1970.</w:t>
      </w:r>
      <w:r w:rsidRPr="0070576A">
        <w:rPr>
          <w:rStyle w:val="FootnoteReference"/>
          <w:rFonts w:ascii="Times New Roman" w:hAnsi="Times New Roman" w:cs="Times New Roman"/>
        </w:rPr>
        <w:footnoteReference w:id="7"/>
      </w:r>
      <w:r w:rsidRPr="0070576A">
        <w:rPr>
          <w:rFonts w:ascii="Times New Roman" w:hAnsi="Times New Roman" w:cs="Times New Roman"/>
        </w:rPr>
        <w:t xml:space="preserve"> This is for a personal reason. </w:t>
      </w:r>
      <w:r w:rsidRPr="0070576A">
        <w:rPr>
          <w:rFonts w:ascii="Times New Roman" w:hAnsi="Times New Roman" w:cs="Times New Roman"/>
          <w:color w:val="1C1C1C"/>
        </w:rPr>
        <w:t xml:space="preserve">One of the young scholars who gathered there was Ann Curthoys. In the 1990s, she was also my PhD supervisor, when I moved to Glebe to study. It was from Ann that I learned how </w:t>
      </w:r>
      <w:r>
        <w:rPr>
          <w:rFonts w:ascii="Times New Roman" w:hAnsi="Times New Roman" w:cs="Times New Roman"/>
          <w:color w:val="1C1C1C"/>
        </w:rPr>
        <w:t xml:space="preserve">to </w:t>
      </w:r>
      <w:r w:rsidRPr="0070576A">
        <w:rPr>
          <w:rFonts w:ascii="Times New Roman" w:hAnsi="Times New Roman" w:cs="Times New Roman"/>
          <w:color w:val="1C1C1C"/>
        </w:rPr>
        <w:t xml:space="preserve">cultivate a certain attitude to life and writing. </w:t>
      </w:r>
      <w:proofErr w:type="gramStart"/>
      <w:r w:rsidRPr="0070576A">
        <w:rPr>
          <w:rFonts w:ascii="Times New Roman" w:hAnsi="Times New Roman" w:cs="Times New Roman"/>
          <w:color w:val="1C1C1C"/>
        </w:rPr>
        <w:t>So</w:t>
      </w:r>
      <w:proofErr w:type="gramEnd"/>
      <w:r w:rsidRPr="0070576A">
        <w:rPr>
          <w:rFonts w:ascii="Times New Roman" w:hAnsi="Times New Roman" w:cs="Times New Roman"/>
          <w:color w:val="1C1C1C"/>
        </w:rPr>
        <w:t xml:space="preserve"> it was appropriate to the exercise of this essay about books, inheritance</w:t>
      </w:r>
      <w:r w:rsidR="00365798">
        <w:rPr>
          <w:rFonts w:ascii="Times New Roman" w:hAnsi="Times New Roman" w:cs="Times New Roman"/>
          <w:color w:val="1C1C1C"/>
        </w:rPr>
        <w:t>,</w:t>
      </w:r>
      <w:r w:rsidRPr="0070576A">
        <w:rPr>
          <w:rFonts w:ascii="Times New Roman" w:hAnsi="Times New Roman" w:cs="Times New Roman"/>
          <w:color w:val="1C1C1C"/>
        </w:rPr>
        <w:t xml:space="preserve"> and the relations of feminist practices, to return to ‘radical Glebe’ (as Ann has described the experience of being there at the time)</w:t>
      </w:r>
      <w:r w:rsidR="00302A00">
        <w:rPr>
          <w:rFonts w:ascii="Times New Roman" w:hAnsi="Times New Roman" w:cs="Times New Roman"/>
          <w:color w:val="1C1C1C"/>
        </w:rPr>
        <w:t xml:space="preserve"> (</w:t>
      </w:r>
      <w:r w:rsidR="00302A00" w:rsidRPr="00302A00">
        <w:rPr>
          <w:rFonts w:ascii="Times New Roman" w:hAnsi="Times New Roman" w:cs="Times New Roman"/>
        </w:rPr>
        <w:t>Curthoys 2013b)</w:t>
      </w:r>
      <w:r w:rsidRPr="0070576A">
        <w:rPr>
          <w:rFonts w:ascii="Times New Roman" w:hAnsi="Times New Roman" w:cs="Times New Roman"/>
          <w:color w:val="1C1C1C"/>
        </w:rPr>
        <w:t xml:space="preserve">, and to Women’s Liberation House where </w:t>
      </w:r>
      <w:r w:rsidRPr="0070576A">
        <w:rPr>
          <w:rFonts w:ascii="Times New Roman" w:hAnsi="Times New Roman" w:cs="Times New Roman"/>
          <w:i/>
          <w:iCs/>
        </w:rPr>
        <w:t xml:space="preserve">The Second Sex </w:t>
      </w:r>
      <w:r w:rsidRPr="0070576A">
        <w:rPr>
          <w:rFonts w:ascii="Times New Roman" w:hAnsi="Times New Roman" w:cs="Times New Roman"/>
        </w:rPr>
        <w:t>sat symbolically on the first shelf.</w:t>
      </w:r>
    </w:p>
    <w:p w14:paraId="5E66FB16" w14:textId="77777777" w:rsidR="00A24588" w:rsidRPr="0070576A" w:rsidRDefault="00A24588" w:rsidP="008D1108">
      <w:pPr>
        <w:spacing w:after="120" w:line="360" w:lineRule="auto"/>
        <w:jc w:val="both"/>
        <w:rPr>
          <w:rFonts w:ascii="Times New Roman" w:hAnsi="Times New Roman" w:cs="Times New Roman"/>
          <w:iCs/>
        </w:rPr>
      </w:pPr>
    </w:p>
    <w:p w14:paraId="2FBB714E" w14:textId="720F06D0" w:rsidR="00A24588" w:rsidRPr="00733090" w:rsidRDefault="006D74D1" w:rsidP="006D74D1">
      <w:pPr>
        <w:pStyle w:val="Heading1"/>
      </w:pPr>
      <w:r>
        <w:t xml:space="preserve">6. </w:t>
      </w:r>
      <w:r w:rsidR="00A24588" w:rsidRPr="00733090">
        <w:t>Bookshelves</w:t>
      </w:r>
    </w:p>
    <w:p w14:paraId="4F3189A5" w14:textId="55E6E353" w:rsidR="00A24588" w:rsidRPr="0070576A" w:rsidRDefault="00A24588" w:rsidP="008D1108">
      <w:pPr>
        <w:spacing w:after="120" w:line="360" w:lineRule="auto"/>
        <w:jc w:val="both"/>
        <w:rPr>
          <w:rFonts w:ascii="Times New Roman" w:hAnsi="Times New Roman" w:cs="Times New Roman"/>
        </w:rPr>
      </w:pPr>
      <w:r w:rsidRPr="0070576A">
        <w:rPr>
          <w:rFonts w:ascii="Times New Roman" w:hAnsi="Times New Roman" w:cs="Times New Roman"/>
        </w:rPr>
        <w:t>In 1970, 67 Glebe Point Road was a rented share house, but one with an open-door policy, an ephemera of pamphlets and books, a Roneo machine and a Letraset</w:t>
      </w:r>
      <w:r w:rsidR="004E1C58">
        <w:rPr>
          <w:rFonts w:ascii="Times New Roman" w:hAnsi="Times New Roman" w:cs="Times New Roman"/>
        </w:rPr>
        <w:t xml:space="preserve"> (Curthoys 2013b)</w:t>
      </w:r>
      <w:r w:rsidRPr="0070576A">
        <w:rPr>
          <w:rFonts w:ascii="Times New Roman" w:hAnsi="Times New Roman" w:cs="Times New Roman"/>
        </w:rPr>
        <w:t xml:space="preserve">. In accounts by feminist custodians, Women’s Liberation House at 67 Glebe Point Road appears as both a shared historical location, and a repeated referent of how ideas, and people, were brought into relationship with each other. Women’s Liberation House defined itself outside of the expected protocols of membership, by word of mouth and by association. ‘You didn’t </w:t>
      </w:r>
      <w:proofErr w:type="gramStart"/>
      <w:r w:rsidRPr="0070576A">
        <w:rPr>
          <w:rFonts w:ascii="Times New Roman" w:hAnsi="Times New Roman" w:cs="Times New Roman"/>
        </w:rPr>
        <w:t>actually “join</w:t>
      </w:r>
      <w:r w:rsidR="003B25EB">
        <w:rPr>
          <w:rFonts w:ascii="Times New Roman" w:hAnsi="Times New Roman" w:cs="Times New Roman"/>
        </w:rPr>
        <w:t>”</w:t>
      </w:r>
      <w:proofErr w:type="gramEnd"/>
      <w:r w:rsidR="003B25EB">
        <w:rPr>
          <w:rFonts w:ascii="Times New Roman" w:hAnsi="Times New Roman" w:cs="Times New Roman"/>
        </w:rPr>
        <w:t>’</w:t>
      </w:r>
      <w:r w:rsidRPr="0070576A">
        <w:rPr>
          <w:rFonts w:ascii="Times New Roman" w:hAnsi="Times New Roman" w:cs="Times New Roman"/>
        </w:rPr>
        <w:t>, Curthoys recalled in 1988, ‘you just went along’</w:t>
      </w:r>
      <w:r w:rsidR="00290EC1">
        <w:rPr>
          <w:rFonts w:ascii="Times New Roman" w:hAnsi="Times New Roman" w:cs="Times New Roman"/>
        </w:rPr>
        <w:t xml:space="preserve"> (</w:t>
      </w:r>
      <w:r w:rsidR="00290EC1" w:rsidRPr="0070576A">
        <w:rPr>
          <w:rFonts w:ascii="Times New Roman" w:hAnsi="Times New Roman" w:cs="Times New Roman"/>
        </w:rPr>
        <w:t>Curthoys 1988: 2</w:t>
      </w:r>
      <w:r w:rsidR="00290EC1">
        <w:rPr>
          <w:rFonts w:ascii="Times New Roman" w:hAnsi="Times New Roman" w:cs="Times New Roman"/>
        </w:rPr>
        <w:t>; s</w:t>
      </w:r>
      <w:r w:rsidR="00290EC1" w:rsidRPr="0070576A">
        <w:rPr>
          <w:rFonts w:ascii="Times New Roman" w:hAnsi="Times New Roman" w:cs="Times New Roman"/>
        </w:rPr>
        <w:t>ee also Magarey 2014b: 380</w:t>
      </w:r>
      <w:r w:rsidR="00290EC1">
        <w:rPr>
          <w:rFonts w:ascii="Times New Roman" w:hAnsi="Times New Roman" w:cs="Times New Roman"/>
        </w:rPr>
        <w:t>).</w:t>
      </w:r>
      <w:r w:rsidRPr="0070576A">
        <w:rPr>
          <w:rFonts w:ascii="Times New Roman" w:hAnsi="Times New Roman" w:cs="Times New Roman"/>
        </w:rPr>
        <w:t xml:space="preserve"> ‘Going along’ was not limited to twenty something Anglo-Australian university students, although they undoubtedly provided the actual keys to the house</w:t>
      </w:r>
      <w:r w:rsidR="00564F98">
        <w:rPr>
          <w:rFonts w:ascii="Times New Roman" w:hAnsi="Times New Roman" w:cs="Times New Roman"/>
        </w:rPr>
        <w:t xml:space="preserve"> (</w:t>
      </w:r>
      <w:r w:rsidR="00564F98" w:rsidRPr="00564F98">
        <w:rPr>
          <w:rFonts w:ascii="Times New Roman" w:hAnsi="Times New Roman" w:cs="Times New Roman"/>
        </w:rPr>
        <w:t>Curthoys 2013b; Magarey 2014a: 25</w:t>
      </w:r>
      <w:r w:rsidR="00564F98">
        <w:rPr>
          <w:rFonts w:ascii="Times New Roman" w:hAnsi="Times New Roman" w:cs="Times New Roman"/>
        </w:rPr>
        <w:t>-</w:t>
      </w:r>
      <w:r w:rsidR="00564F98" w:rsidRPr="00564F98">
        <w:rPr>
          <w:rFonts w:ascii="Times New Roman" w:hAnsi="Times New Roman" w:cs="Times New Roman"/>
        </w:rPr>
        <w:t>42</w:t>
      </w:r>
      <w:r w:rsidR="00564F98">
        <w:rPr>
          <w:rFonts w:ascii="Times New Roman" w:hAnsi="Times New Roman" w:cs="Times New Roman"/>
          <w:sz w:val="20"/>
          <w:szCs w:val="20"/>
        </w:rPr>
        <w:t>)</w:t>
      </w:r>
      <w:r w:rsidRPr="0070576A">
        <w:rPr>
          <w:rFonts w:ascii="Times New Roman" w:hAnsi="Times New Roman" w:cs="Times New Roman"/>
        </w:rPr>
        <w:t xml:space="preserve">. </w:t>
      </w:r>
      <w:r w:rsidRPr="0070576A">
        <w:rPr>
          <w:rFonts w:ascii="Times New Roman" w:eastAsia="Times New Roman" w:hAnsi="Times New Roman" w:cs="Times New Roman"/>
        </w:rPr>
        <w:t>‘There [were] women across class, across race barriers, across ethnic origins ... across ages</w:t>
      </w:r>
      <w:r w:rsidR="00AD1964">
        <w:rPr>
          <w:rFonts w:ascii="Times New Roman" w:eastAsia="Times New Roman" w:hAnsi="Times New Roman" w:cs="Times New Roman"/>
        </w:rPr>
        <w:t xml:space="preserve"> – </w:t>
      </w:r>
      <w:r w:rsidRPr="0070576A">
        <w:rPr>
          <w:rFonts w:ascii="Times New Roman" w:eastAsia="Times New Roman" w:hAnsi="Times New Roman" w:cs="Times New Roman"/>
        </w:rPr>
        <w:t>and</w:t>
      </w:r>
      <w:r w:rsidR="00AD1964">
        <w:rPr>
          <w:rFonts w:ascii="Times New Roman" w:eastAsia="Times New Roman" w:hAnsi="Times New Roman" w:cs="Times New Roman"/>
        </w:rPr>
        <w:t xml:space="preserve"> </w:t>
      </w:r>
      <w:r w:rsidRPr="0070576A">
        <w:rPr>
          <w:rFonts w:ascii="Times New Roman" w:eastAsia="Times New Roman" w:hAnsi="Times New Roman" w:cs="Times New Roman"/>
        </w:rPr>
        <w:t>that was one of the things that was really exciting’, the labour activist Laurie Bebbington noted in interview in the 1990s. ‘There [were] Koori women …</w:t>
      </w:r>
      <w:r w:rsidRPr="0070576A">
        <w:rPr>
          <w:rFonts w:ascii="Times New Roman" w:hAnsi="Times New Roman" w:cs="Times New Roman"/>
        </w:rPr>
        <w:t xml:space="preserve">women </w:t>
      </w:r>
      <w:r w:rsidRPr="0070576A">
        <w:rPr>
          <w:rFonts w:ascii="Times New Roman" w:eastAsia="Times New Roman" w:hAnsi="Times New Roman" w:cs="Times New Roman"/>
        </w:rPr>
        <w:t xml:space="preserve">who were still at secondary school…And there were women who were fifty or sixty. </w:t>
      </w:r>
      <w:r w:rsidRPr="0070576A">
        <w:rPr>
          <w:rFonts w:ascii="Times New Roman" w:hAnsi="Times New Roman" w:cs="Times New Roman"/>
        </w:rPr>
        <w:t>…</w:t>
      </w:r>
      <w:r w:rsidRPr="0070576A">
        <w:rPr>
          <w:rFonts w:ascii="Times New Roman" w:eastAsia="Times New Roman" w:hAnsi="Times New Roman" w:cs="Times New Roman"/>
        </w:rPr>
        <w:t>no matter where you came from there were relevant issues about why you were where you were’</w:t>
      </w:r>
      <w:r w:rsidR="001B46FA">
        <w:rPr>
          <w:rFonts w:ascii="Times New Roman" w:eastAsia="Times New Roman" w:hAnsi="Times New Roman" w:cs="Times New Roman"/>
        </w:rPr>
        <w:t xml:space="preserve"> </w:t>
      </w:r>
      <w:r w:rsidR="001B46FA" w:rsidRPr="00F51CB2">
        <w:rPr>
          <w:rFonts w:ascii="Times New Roman" w:eastAsia="Times New Roman" w:hAnsi="Times New Roman" w:cs="Times New Roman"/>
        </w:rPr>
        <w:t>(</w:t>
      </w:r>
      <w:r w:rsidR="00F51CB2">
        <w:rPr>
          <w:rFonts w:ascii="Times New Roman" w:hAnsi="Times New Roman" w:cs="Times New Roman"/>
        </w:rPr>
        <w:t>q</w:t>
      </w:r>
      <w:r w:rsidR="001B46FA" w:rsidRPr="00F51CB2">
        <w:rPr>
          <w:rFonts w:ascii="Times New Roman" w:hAnsi="Times New Roman" w:cs="Times New Roman"/>
        </w:rPr>
        <w:t>uoted in Magarey 2014b: 380</w:t>
      </w:r>
      <w:r w:rsidR="00F51CB2">
        <w:rPr>
          <w:rFonts w:ascii="Times New Roman" w:hAnsi="Times New Roman" w:cs="Times New Roman"/>
        </w:rPr>
        <w:t>-</w:t>
      </w:r>
      <w:r w:rsidR="001B46FA" w:rsidRPr="00F51CB2">
        <w:rPr>
          <w:rFonts w:ascii="Times New Roman" w:hAnsi="Times New Roman" w:cs="Times New Roman"/>
        </w:rPr>
        <w:t>381</w:t>
      </w:r>
      <w:r w:rsidR="00F51CB2">
        <w:rPr>
          <w:rFonts w:ascii="Times New Roman" w:hAnsi="Times New Roman" w:cs="Times New Roman"/>
        </w:rPr>
        <w:t>; s</w:t>
      </w:r>
      <w:r w:rsidR="001B46FA" w:rsidRPr="00F51CB2">
        <w:rPr>
          <w:rFonts w:ascii="Times New Roman" w:hAnsi="Times New Roman" w:cs="Times New Roman"/>
        </w:rPr>
        <w:t>ee also Magarey 2014a: 25</w:t>
      </w:r>
      <w:r w:rsidR="00F51CB2">
        <w:rPr>
          <w:rFonts w:ascii="Times New Roman" w:hAnsi="Times New Roman" w:cs="Times New Roman"/>
        </w:rPr>
        <w:t>-</w:t>
      </w:r>
      <w:r w:rsidR="001B46FA" w:rsidRPr="00F51CB2">
        <w:rPr>
          <w:rFonts w:ascii="Times New Roman" w:hAnsi="Times New Roman" w:cs="Times New Roman"/>
        </w:rPr>
        <w:t>42)</w:t>
      </w:r>
      <w:r w:rsidR="00F51CB2" w:rsidRPr="00F51CB2">
        <w:rPr>
          <w:rFonts w:ascii="Times New Roman" w:hAnsi="Times New Roman" w:cs="Times New Roman"/>
        </w:rPr>
        <w:t>.</w:t>
      </w:r>
      <w:r w:rsidRPr="0070576A">
        <w:rPr>
          <w:rFonts w:ascii="Times New Roman" w:hAnsi="Times New Roman" w:cs="Times New Roman"/>
        </w:rPr>
        <w:t xml:space="preserve"> </w:t>
      </w:r>
    </w:p>
    <w:p w14:paraId="41FB9790" w14:textId="569A38FF" w:rsidR="00A24588" w:rsidRPr="0070576A" w:rsidRDefault="00A24588" w:rsidP="004A77C7">
      <w:pPr>
        <w:spacing w:after="120" w:line="360" w:lineRule="auto"/>
        <w:ind w:firstLine="426"/>
        <w:jc w:val="both"/>
        <w:rPr>
          <w:rFonts w:ascii="Times New Roman" w:hAnsi="Times New Roman" w:cs="Times New Roman"/>
        </w:rPr>
      </w:pPr>
      <w:r w:rsidRPr="0070576A">
        <w:rPr>
          <w:rFonts w:ascii="Times New Roman" w:hAnsi="Times New Roman" w:cs="Times New Roman"/>
        </w:rPr>
        <w:lastRenderedPageBreak/>
        <w:t xml:space="preserve">In their recollections of this time, feminist custodians offer descriptions of Women’s Liberation House making it possible to walk through the front door with them, and to </w:t>
      </w:r>
      <w:proofErr w:type="gramStart"/>
      <w:r w:rsidRPr="0070576A">
        <w:rPr>
          <w:rFonts w:ascii="Times New Roman" w:hAnsi="Times New Roman" w:cs="Times New Roman"/>
        </w:rPr>
        <w:t>enter into</w:t>
      </w:r>
      <w:proofErr w:type="gramEnd"/>
      <w:r w:rsidRPr="0070576A">
        <w:rPr>
          <w:rFonts w:ascii="Times New Roman" w:hAnsi="Times New Roman" w:cs="Times New Roman"/>
        </w:rPr>
        <w:t xml:space="preserve"> a world. The front room was the meeting room, the ‘point of solidarity’ for consciousness raising activities</w:t>
      </w:r>
      <w:r w:rsidR="00E93D4B">
        <w:rPr>
          <w:rFonts w:ascii="Times New Roman" w:hAnsi="Times New Roman" w:cs="Times New Roman"/>
        </w:rPr>
        <w:t xml:space="preserve"> (</w:t>
      </w:r>
      <w:r w:rsidR="00E93D4B" w:rsidRPr="0070576A">
        <w:rPr>
          <w:rFonts w:ascii="Times New Roman" w:hAnsi="Times New Roman" w:cs="Times New Roman"/>
        </w:rPr>
        <w:t>Curthoys 2013b</w:t>
      </w:r>
      <w:r w:rsidR="00E93D4B">
        <w:rPr>
          <w:rFonts w:ascii="Times New Roman" w:hAnsi="Times New Roman" w:cs="Times New Roman"/>
        </w:rPr>
        <w:t>)</w:t>
      </w:r>
      <w:r w:rsidRPr="0070576A">
        <w:rPr>
          <w:rFonts w:ascii="Times New Roman" w:hAnsi="Times New Roman" w:cs="Times New Roman"/>
        </w:rPr>
        <w:t>. (A shorthand today, consciousness raising was defined by Juliet Mitchell in 1971 as speaking with other women in local groups to ‘generalise phenomenon’ and engender solidarity through difference, in order to ‘change the pain that must be protested’ and understand it ‘</w:t>
      </w:r>
      <w:r w:rsidRPr="0070576A">
        <w:rPr>
          <w:rFonts w:ascii="Times New Roman" w:hAnsi="Times New Roman" w:cs="Times New Roman"/>
          <w:i/>
        </w:rPr>
        <w:t xml:space="preserve">is </w:t>
      </w:r>
      <w:r w:rsidRPr="0070576A">
        <w:rPr>
          <w:rFonts w:ascii="Times New Roman" w:hAnsi="Times New Roman" w:cs="Times New Roman"/>
        </w:rPr>
        <w:t>the politics</w:t>
      </w:r>
      <w:r>
        <w:rPr>
          <w:rFonts w:ascii="Times New Roman" w:hAnsi="Times New Roman" w:cs="Times New Roman"/>
        </w:rPr>
        <w:t xml:space="preserve"> </w:t>
      </w:r>
      <w:r w:rsidR="00B67830">
        <w:rPr>
          <w:rFonts w:ascii="Times New Roman" w:hAnsi="Times New Roman" w:cs="Times New Roman"/>
        </w:rPr>
        <w:t>–</w:t>
      </w:r>
      <w:r w:rsidRPr="0070576A">
        <w:rPr>
          <w:rFonts w:ascii="Times New Roman" w:hAnsi="Times New Roman" w:cs="Times New Roman"/>
        </w:rPr>
        <w:t xml:space="preserve"> the</w:t>
      </w:r>
      <w:r w:rsidR="00B67830">
        <w:rPr>
          <w:rFonts w:ascii="Times New Roman" w:hAnsi="Times New Roman" w:cs="Times New Roman"/>
        </w:rPr>
        <w:t xml:space="preserve"> </w:t>
      </w:r>
      <w:r w:rsidRPr="0070576A">
        <w:rPr>
          <w:rFonts w:ascii="Times New Roman" w:hAnsi="Times New Roman" w:cs="Times New Roman"/>
        </w:rPr>
        <w:t>turning of many individual experiences into a collective struggle’</w:t>
      </w:r>
      <w:r w:rsidR="00270A73">
        <w:rPr>
          <w:rFonts w:ascii="Times New Roman" w:hAnsi="Times New Roman" w:cs="Times New Roman"/>
        </w:rPr>
        <w:t xml:space="preserve"> </w:t>
      </w:r>
      <w:r w:rsidR="000028B4">
        <w:rPr>
          <w:rFonts w:ascii="Times New Roman" w:hAnsi="Times New Roman" w:cs="Times New Roman"/>
        </w:rPr>
        <w:t>(Mitchell 1977: 58 (my emphasis)).</w:t>
      </w:r>
      <w:r w:rsidRPr="0070576A">
        <w:rPr>
          <w:rFonts w:ascii="Times New Roman" w:hAnsi="Times New Roman" w:cs="Times New Roman"/>
        </w:rPr>
        <w:t>) In the second room downstairs there were things to read</w:t>
      </w:r>
      <w:r w:rsidR="009B65F9">
        <w:rPr>
          <w:rFonts w:ascii="Times New Roman" w:hAnsi="Times New Roman" w:cs="Times New Roman"/>
        </w:rPr>
        <w:t xml:space="preserve"> (Curthoys 2013b)</w:t>
      </w:r>
      <w:r w:rsidRPr="0070576A">
        <w:rPr>
          <w:rFonts w:ascii="Times New Roman" w:hAnsi="Times New Roman" w:cs="Times New Roman"/>
        </w:rPr>
        <w:t>. ‘We gorged…on underground rags’, Kate Jennings recalls</w:t>
      </w:r>
      <w:r w:rsidRPr="0070576A">
        <w:rPr>
          <w:rFonts w:ascii="Times New Roman" w:hAnsi="Times New Roman" w:cs="Times New Roman"/>
          <w:i/>
        </w:rPr>
        <w:t>,</w:t>
      </w:r>
      <w:r w:rsidRPr="0070576A">
        <w:rPr>
          <w:rFonts w:ascii="Times New Roman" w:hAnsi="Times New Roman" w:cs="Times New Roman"/>
        </w:rPr>
        <w:t xml:space="preserve"> many of which were coming from America, but also Britain and Europe courtesy of personal connections</w:t>
      </w:r>
      <w:r w:rsidR="00D04A1E">
        <w:rPr>
          <w:rFonts w:ascii="Times New Roman" w:hAnsi="Times New Roman" w:cs="Times New Roman"/>
        </w:rPr>
        <w:t xml:space="preserve"> (ibid</w:t>
      </w:r>
      <w:proofErr w:type="gramStart"/>
      <w:r w:rsidR="00D04A1E">
        <w:rPr>
          <w:rFonts w:ascii="Times New Roman" w:hAnsi="Times New Roman" w:cs="Times New Roman"/>
        </w:rPr>
        <w:t>)</w:t>
      </w:r>
      <w:r w:rsidRPr="0070576A">
        <w:rPr>
          <w:rFonts w:ascii="Times New Roman" w:hAnsi="Times New Roman" w:cs="Times New Roman"/>
        </w:rPr>
        <w:t>,</w:t>
      </w:r>
      <w:r w:rsidRPr="0070576A">
        <w:rPr>
          <w:rFonts w:ascii="Times New Roman" w:hAnsi="Times New Roman" w:cs="Times New Roman"/>
          <w:i/>
        </w:rPr>
        <w:t xml:space="preserve"> </w:t>
      </w:r>
      <w:r w:rsidRPr="0070576A">
        <w:rPr>
          <w:rFonts w:ascii="Times New Roman" w:hAnsi="Times New Roman" w:cs="Times New Roman"/>
        </w:rPr>
        <w:t>and</w:t>
      </w:r>
      <w:proofErr w:type="gramEnd"/>
      <w:r w:rsidRPr="0070576A">
        <w:rPr>
          <w:rFonts w:ascii="Times New Roman" w:hAnsi="Times New Roman" w:cs="Times New Roman"/>
        </w:rPr>
        <w:t xml:space="preserve"> were then copied on the Letraset to meet demand</w:t>
      </w:r>
      <w:r w:rsidR="00D04A1E">
        <w:rPr>
          <w:rFonts w:ascii="Times New Roman" w:hAnsi="Times New Roman" w:cs="Times New Roman"/>
        </w:rPr>
        <w:t xml:space="preserve"> (Magarey 2014a: </w:t>
      </w:r>
      <w:r w:rsidR="00317740">
        <w:rPr>
          <w:rFonts w:ascii="Times New Roman" w:hAnsi="Times New Roman" w:cs="Times New Roman"/>
        </w:rPr>
        <w:t>25-42)</w:t>
      </w:r>
      <w:r w:rsidRPr="0070576A">
        <w:rPr>
          <w:rFonts w:ascii="Times New Roman" w:hAnsi="Times New Roman" w:cs="Times New Roman"/>
        </w:rPr>
        <w:t xml:space="preserve">. These ‘rags’ titles were intentionally provocative but tongue-in-cheek: </w:t>
      </w:r>
      <w:r w:rsidRPr="0070576A">
        <w:rPr>
          <w:rFonts w:ascii="Times New Roman" w:hAnsi="Times New Roman" w:cs="Times New Roman"/>
          <w:i/>
          <w:iCs/>
        </w:rPr>
        <w:t xml:space="preserve">Off the Pedestal, Off Our Backs, Up </w:t>
      </w:r>
      <w:proofErr w:type="gramStart"/>
      <w:r w:rsidRPr="0070576A">
        <w:rPr>
          <w:rFonts w:ascii="Times New Roman" w:hAnsi="Times New Roman" w:cs="Times New Roman"/>
          <w:i/>
          <w:iCs/>
        </w:rPr>
        <w:t>From</w:t>
      </w:r>
      <w:proofErr w:type="gramEnd"/>
      <w:r w:rsidRPr="0070576A">
        <w:rPr>
          <w:rFonts w:ascii="Times New Roman" w:hAnsi="Times New Roman" w:cs="Times New Roman"/>
          <w:i/>
          <w:iCs/>
        </w:rPr>
        <w:t xml:space="preserve"> Under, No More Fun and Games</w:t>
      </w:r>
      <w:r w:rsidR="00317740">
        <w:rPr>
          <w:rFonts w:ascii="Times New Roman" w:hAnsi="Times New Roman" w:cs="Times New Roman"/>
          <w:i/>
          <w:iCs/>
        </w:rPr>
        <w:t xml:space="preserve"> </w:t>
      </w:r>
      <w:r w:rsidR="00317740">
        <w:rPr>
          <w:rFonts w:ascii="Times New Roman" w:hAnsi="Times New Roman" w:cs="Times New Roman"/>
        </w:rPr>
        <w:t>(Curthoys 2013b)</w:t>
      </w:r>
      <w:r w:rsidRPr="0070576A">
        <w:rPr>
          <w:rFonts w:ascii="Times New Roman" w:hAnsi="Times New Roman" w:cs="Times New Roman"/>
          <w:i/>
          <w:iCs/>
        </w:rPr>
        <w:t>.</w:t>
      </w:r>
      <w:r w:rsidRPr="0070576A">
        <w:rPr>
          <w:rFonts w:ascii="Times New Roman" w:hAnsi="Times New Roman" w:cs="Times New Roman"/>
        </w:rPr>
        <w:t xml:space="preserve"> The journals soon shared shelf space with a new genre of popular books, produced by and for members of women’s liberation groups in New York and London, and which were a sensation when they appeared in the first years of the 1970s. ‘As a poet’, Jennings recalled, ‘I gravitated to…Robin Morgan, Ti-Grace Atkinson, and Valerie Solanas [author of the SCUM Manifesto]. Unafraid to be emotional, luminous with rage. Hard line, hardcore. Manifestos and poems that jumped off the page. I loved it</w:t>
      </w:r>
      <w:r w:rsidR="00547170">
        <w:rPr>
          <w:rFonts w:ascii="Times New Roman" w:hAnsi="Times New Roman" w:cs="Times New Roman"/>
        </w:rPr>
        <w:t>’ (Jennings 2010: 3)</w:t>
      </w:r>
      <w:r w:rsidRPr="0070576A">
        <w:rPr>
          <w:rFonts w:ascii="Times New Roman" w:hAnsi="Times New Roman" w:cs="Times New Roman"/>
        </w:rPr>
        <w:t xml:space="preserve">. Others, like Curthoys and Magarey, training to be historians, and emerging from the New Left, it was Millett’s </w:t>
      </w:r>
      <w:r w:rsidRPr="0070576A">
        <w:rPr>
          <w:rFonts w:ascii="Times New Roman" w:hAnsi="Times New Roman" w:cs="Times New Roman"/>
          <w:i/>
        </w:rPr>
        <w:t>Sexual Politics</w:t>
      </w:r>
      <w:r w:rsidRPr="0070576A">
        <w:rPr>
          <w:rFonts w:ascii="Times New Roman" w:hAnsi="Times New Roman" w:cs="Times New Roman"/>
        </w:rPr>
        <w:t xml:space="preserve"> primarily, </w:t>
      </w:r>
      <w:proofErr w:type="gramStart"/>
      <w:r w:rsidRPr="0070576A">
        <w:rPr>
          <w:rFonts w:ascii="Times New Roman" w:hAnsi="Times New Roman" w:cs="Times New Roman"/>
        </w:rPr>
        <w:t>and also</w:t>
      </w:r>
      <w:proofErr w:type="gramEnd"/>
      <w:r w:rsidRPr="0070576A">
        <w:rPr>
          <w:rFonts w:ascii="Times New Roman" w:hAnsi="Times New Roman" w:cs="Times New Roman"/>
        </w:rPr>
        <w:t xml:space="preserve"> Mitchell’s </w:t>
      </w:r>
      <w:r w:rsidRPr="0070576A">
        <w:rPr>
          <w:rFonts w:ascii="Times New Roman" w:hAnsi="Times New Roman" w:cs="Times New Roman"/>
          <w:i/>
          <w:iCs/>
        </w:rPr>
        <w:t>Woman’s Estate</w:t>
      </w:r>
      <w:r w:rsidRPr="0070576A">
        <w:rPr>
          <w:rFonts w:ascii="Times New Roman" w:hAnsi="Times New Roman" w:cs="Times New Roman"/>
        </w:rPr>
        <w:t>, that ‘were integral to the ‘development of our ideas’</w:t>
      </w:r>
      <w:r w:rsidR="00436FAA">
        <w:rPr>
          <w:rFonts w:ascii="Times New Roman" w:hAnsi="Times New Roman" w:cs="Times New Roman"/>
        </w:rPr>
        <w:t xml:space="preserve"> (</w:t>
      </w:r>
      <w:r w:rsidR="00436FAA" w:rsidRPr="0070576A">
        <w:rPr>
          <w:rFonts w:ascii="Times New Roman" w:hAnsi="Times New Roman" w:cs="Times New Roman"/>
        </w:rPr>
        <w:t>Curthoys 2013b; Magarey 2014a: 25</w:t>
      </w:r>
      <w:r w:rsidR="00436FAA">
        <w:rPr>
          <w:rFonts w:ascii="Times New Roman" w:hAnsi="Times New Roman" w:cs="Times New Roman"/>
        </w:rPr>
        <w:t>-</w:t>
      </w:r>
      <w:r w:rsidR="00436FAA" w:rsidRPr="0070576A">
        <w:rPr>
          <w:rFonts w:ascii="Times New Roman" w:hAnsi="Times New Roman" w:cs="Times New Roman"/>
        </w:rPr>
        <w:t>42</w:t>
      </w:r>
      <w:r w:rsidR="00436FAA">
        <w:rPr>
          <w:rFonts w:ascii="Times New Roman" w:hAnsi="Times New Roman" w:cs="Times New Roman"/>
        </w:rPr>
        <w:t>).</w:t>
      </w:r>
      <w:r w:rsidRPr="0070576A">
        <w:rPr>
          <w:rFonts w:ascii="Times New Roman" w:hAnsi="Times New Roman" w:cs="Times New Roman"/>
        </w:rPr>
        <w:t xml:space="preserve"> These books gave clues to their readers about how to speak about the category </w:t>
      </w:r>
      <w:r w:rsidR="00A61FAB">
        <w:rPr>
          <w:rFonts w:ascii="Times New Roman" w:hAnsi="Times New Roman" w:cs="Times New Roman"/>
        </w:rPr>
        <w:t>‘</w:t>
      </w:r>
      <w:r w:rsidRPr="0070576A">
        <w:rPr>
          <w:rFonts w:ascii="Times New Roman" w:hAnsi="Times New Roman" w:cs="Times New Roman"/>
        </w:rPr>
        <w:t>woman</w:t>
      </w:r>
      <w:r w:rsidR="00A61FAB">
        <w:rPr>
          <w:rFonts w:ascii="Times New Roman" w:hAnsi="Times New Roman" w:cs="Times New Roman"/>
        </w:rPr>
        <w:t>’</w:t>
      </w:r>
      <w:r w:rsidRPr="0070576A">
        <w:rPr>
          <w:rFonts w:ascii="Times New Roman" w:hAnsi="Times New Roman" w:cs="Times New Roman"/>
        </w:rPr>
        <w:t xml:space="preserve"> as experienced in the immediate political moment, using some expected scholarly techniques, but a reversal of authorial voice, a disturbance of the idea that disciplines were contained and bound by their methods and traditions, and a keen recognition that the writing was for a general audience (with no kudos attached to scholarly obfuscation and certainly no evidence of </w:t>
      </w:r>
      <w:r w:rsidR="009503DC">
        <w:rPr>
          <w:rFonts w:ascii="Times New Roman" w:hAnsi="Times New Roman" w:cs="Times New Roman"/>
        </w:rPr>
        <w:t>p</w:t>
      </w:r>
      <w:r w:rsidRPr="0070576A">
        <w:rPr>
          <w:rFonts w:ascii="Times New Roman" w:hAnsi="Times New Roman" w:cs="Times New Roman"/>
        </w:rPr>
        <w:t xml:space="preserve">erformance anxiety). </w:t>
      </w:r>
    </w:p>
    <w:p w14:paraId="6BF258CF" w14:textId="7057108D" w:rsidR="00A24588" w:rsidRPr="0070576A" w:rsidRDefault="00A24588" w:rsidP="00A53D74">
      <w:pPr>
        <w:spacing w:after="120" w:line="360" w:lineRule="auto"/>
        <w:ind w:firstLine="720"/>
        <w:jc w:val="both"/>
        <w:rPr>
          <w:rFonts w:ascii="Times New Roman" w:hAnsi="Times New Roman" w:cs="Times New Roman"/>
        </w:rPr>
      </w:pPr>
      <w:r w:rsidRPr="0070576A">
        <w:rPr>
          <w:rFonts w:ascii="Times New Roman" w:hAnsi="Times New Roman" w:cs="Times New Roman"/>
        </w:rPr>
        <w:t>By 1972, the second room upstairs at 67 Glebe Point Road had expanded to become a writing room and an editorial suite. At first, Curthoys recalled, ‘[we] were…energetically soaking up ideas [from overseas] borrowing, reprinting, reworking, quoting at length, discussing, explaining’</w:t>
      </w:r>
      <w:r w:rsidR="009503DC">
        <w:rPr>
          <w:rFonts w:ascii="Times New Roman" w:hAnsi="Times New Roman" w:cs="Times New Roman"/>
        </w:rPr>
        <w:t xml:space="preserve"> (Curthoys 2013b)</w:t>
      </w:r>
      <w:r w:rsidRPr="0070576A">
        <w:rPr>
          <w:rFonts w:ascii="Times New Roman" w:hAnsi="Times New Roman" w:cs="Times New Roman"/>
        </w:rPr>
        <w:t xml:space="preserve">. But in rapid succession, and with a sense of what </w:t>
      </w:r>
      <w:r w:rsidRPr="0070576A">
        <w:rPr>
          <w:rFonts w:ascii="Times New Roman" w:hAnsi="Times New Roman" w:cs="Times New Roman"/>
        </w:rPr>
        <w:lastRenderedPageBreak/>
        <w:t>feminist artist, writer and broadcaster Virginia Fraser would later call a ‘mad confidence’</w:t>
      </w:r>
      <w:r w:rsidR="00313995">
        <w:rPr>
          <w:rFonts w:ascii="Times New Roman" w:hAnsi="Times New Roman" w:cs="Times New Roman"/>
        </w:rPr>
        <w:t xml:space="preserve"> (Fraser 2010)</w:t>
      </w:r>
      <w:r>
        <w:rPr>
          <w:rFonts w:ascii="Times New Roman" w:hAnsi="Times New Roman" w:cs="Times New Roman"/>
        </w:rPr>
        <w:t>,</w:t>
      </w:r>
      <w:r w:rsidRPr="0070576A">
        <w:rPr>
          <w:rFonts w:ascii="Times New Roman" w:hAnsi="Times New Roman" w:cs="Times New Roman"/>
        </w:rPr>
        <w:t xml:space="preserve"> Australian women’s liberationists ‘</w:t>
      </w:r>
      <w:proofErr w:type="spellStart"/>
      <w:r w:rsidRPr="0070576A">
        <w:rPr>
          <w:rFonts w:ascii="Times New Roman" w:hAnsi="Times New Roman" w:cs="Times New Roman"/>
        </w:rPr>
        <w:t>initiat</w:t>
      </w:r>
      <w:proofErr w:type="spellEnd"/>
      <w:r w:rsidRPr="0070576A">
        <w:rPr>
          <w:rFonts w:ascii="Times New Roman" w:hAnsi="Times New Roman" w:cs="Times New Roman"/>
        </w:rPr>
        <w:t>[ed] then develop[ed] our own style’</w:t>
      </w:r>
      <w:r w:rsidR="00313995">
        <w:rPr>
          <w:rFonts w:ascii="Times New Roman" w:hAnsi="Times New Roman" w:cs="Times New Roman"/>
        </w:rPr>
        <w:t xml:space="preserve"> (Curthoys 2013b).</w:t>
      </w:r>
      <w:r w:rsidRPr="0070576A">
        <w:rPr>
          <w:rFonts w:ascii="Times New Roman" w:hAnsi="Times New Roman" w:cs="Times New Roman"/>
        </w:rPr>
        <w:t xml:space="preserve"> They published Australia’s first women’s liberation newspaper, </w:t>
      </w:r>
      <w:proofErr w:type="spellStart"/>
      <w:r w:rsidRPr="0070576A">
        <w:rPr>
          <w:rFonts w:ascii="Times New Roman" w:hAnsi="Times New Roman" w:cs="Times New Roman"/>
          <w:i/>
          <w:iCs/>
        </w:rPr>
        <w:t>Mejane</w:t>
      </w:r>
      <w:proofErr w:type="spellEnd"/>
      <w:r w:rsidRPr="0070576A">
        <w:rPr>
          <w:rFonts w:ascii="Times New Roman" w:hAnsi="Times New Roman" w:cs="Times New Roman"/>
          <w:i/>
          <w:iCs/>
        </w:rPr>
        <w:t>,</w:t>
      </w:r>
      <w:r w:rsidRPr="0070576A">
        <w:rPr>
          <w:rFonts w:ascii="Times New Roman" w:hAnsi="Times New Roman" w:cs="Times New Roman"/>
        </w:rPr>
        <w:t xml:space="preserve"> in 1971; and by the end of 1972, had started up a journal, </w:t>
      </w:r>
      <w:r w:rsidRPr="0070576A">
        <w:rPr>
          <w:rFonts w:ascii="Times New Roman" w:hAnsi="Times New Roman" w:cs="Times New Roman"/>
          <w:i/>
          <w:iCs/>
        </w:rPr>
        <w:t>Refractory Girl,</w:t>
      </w:r>
      <w:r w:rsidRPr="0070576A">
        <w:rPr>
          <w:rFonts w:ascii="Times New Roman" w:hAnsi="Times New Roman" w:cs="Times New Roman"/>
        </w:rPr>
        <w:t xml:space="preserve"> that ‘represented the more academic side of women’s liberation with longer more scholarly articles’</w:t>
      </w:r>
      <w:r w:rsidR="00C52778">
        <w:rPr>
          <w:rFonts w:ascii="Times New Roman" w:hAnsi="Times New Roman" w:cs="Times New Roman"/>
        </w:rPr>
        <w:t xml:space="preserve"> (ibid; see also Magarey 2014b; Luker 2019)</w:t>
      </w:r>
      <w:r w:rsidRPr="0070576A">
        <w:rPr>
          <w:rFonts w:ascii="Times New Roman" w:hAnsi="Times New Roman" w:cs="Times New Roman"/>
        </w:rPr>
        <w:t xml:space="preserve">. By 1973, Sydney Women’s Liberationists had armed themselves to begin an institutional disciplinary argument with the university, and its forms of knowledge and traditions. This argument was staged as the Philosophy Strike at </w:t>
      </w:r>
      <w:r w:rsidR="000440CA">
        <w:rPr>
          <w:rFonts w:ascii="Times New Roman" w:hAnsi="Times New Roman" w:cs="Times New Roman"/>
        </w:rPr>
        <w:t xml:space="preserve">the </w:t>
      </w:r>
      <w:r w:rsidRPr="0070576A">
        <w:rPr>
          <w:rFonts w:ascii="Times New Roman" w:hAnsi="Times New Roman" w:cs="Times New Roman"/>
        </w:rPr>
        <w:t>University of Sydney, an event well cared for by many Australian feminists ever since (not only in oral histories and memoirs</w:t>
      </w:r>
      <w:r w:rsidRPr="0070576A">
        <w:rPr>
          <w:rFonts w:ascii="Times New Roman" w:hAnsi="Times New Roman" w:cs="Times New Roman"/>
          <w:i/>
        </w:rPr>
        <w:t xml:space="preserve">, </w:t>
      </w:r>
      <w:r w:rsidRPr="0070576A">
        <w:rPr>
          <w:rFonts w:ascii="Times New Roman" w:hAnsi="Times New Roman" w:cs="Times New Roman"/>
        </w:rPr>
        <w:t>but in academic writing and public art)</w:t>
      </w:r>
      <w:r w:rsidR="00F179DB">
        <w:rPr>
          <w:rFonts w:ascii="Times New Roman" w:hAnsi="Times New Roman" w:cs="Times New Roman"/>
        </w:rPr>
        <w:t xml:space="preserve"> (see, e.g. Bashford 1998; Martinis Roe 2017)</w:t>
      </w:r>
      <w:r w:rsidRPr="0070576A">
        <w:rPr>
          <w:rFonts w:ascii="Times New Roman" w:hAnsi="Times New Roman" w:cs="Times New Roman"/>
        </w:rPr>
        <w:t xml:space="preserve">. And by 1975, Australian feminist scholarship arrived at traditional publishing houses, with a remarkable launch of six now classic books in a single year (including </w:t>
      </w:r>
      <w:r w:rsidRPr="0070576A">
        <w:rPr>
          <w:rFonts w:ascii="Times New Roman" w:eastAsia="Times New Roman" w:hAnsi="Times New Roman" w:cs="Times New Roman"/>
          <w:lang w:eastAsia="en-GB"/>
        </w:rPr>
        <w:t xml:space="preserve">Anne Summers’ </w:t>
      </w:r>
      <w:r w:rsidRPr="0070576A">
        <w:rPr>
          <w:rFonts w:ascii="Times New Roman" w:eastAsia="Times New Roman" w:hAnsi="Times New Roman" w:cs="Times New Roman"/>
          <w:i/>
          <w:iCs/>
          <w:lang w:eastAsia="en-GB"/>
        </w:rPr>
        <w:t>Damned Whores and God's Police</w:t>
      </w:r>
      <w:r w:rsidRPr="0070576A">
        <w:rPr>
          <w:rFonts w:ascii="Times New Roman" w:eastAsia="Times New Roman" w:hAnsi="Times New Roman" w:cs="Times New Roman"/>
          <w:lang w:eastAsia="en-GB"/>
        </w:rPr>
        <w:t xml:space="preserve">): </w:t>
      </w:r>
      <w:r w:rsidRPr="0070576A">
        <w:rPr>
          <w:rFonts w:ascii="Times New Roman" w:hAnsi="Times New Roman" w:cs="Times New Roman"/>
        </w:rPr>
        <w:t>a whole bookshelf of original feminist writing directed to our own specific history and located politics</w:t>
      </w:r>
      <w:r w:rsidR="000E69DF">
        <w:rPr>
          <w:rFonts w:ascii="Times New Roman" w:hAnsi="Times New Roman" w:cs="Times New Roman"/>
        </w:rPr>
        <w:t xml:space="preserve"> (</w:t>
      </w:r>
      <w:r w:rsidR="000A790B">
        <w:rPr>
          <w:rFonts w:ascii="Times New Roman" w:hAnsi="Times New Roman" w:cs="Times New Roman"/>
        </w:rPr>
        <w:t xml:space="preserve">Curthoys et al. 1975; </w:t>
      </w:r>
      <w:r w:rsidR="000E69DF">
        <w:rPr>
          <w:rFonts w:ascii="Times New Roman" w:hAnsi="Times New Roman" w:cs="Times New Roman"/>
        </w:rPr>
        <w:t xml:space="preserve">Dixson 1976; </w:t>
      </w:r>
      <w:r w:rsidR="009310FB">
        <w:rPr>
          <w:rFonts w:ascii="Times New Roman" w:hAnsi="Times New Roman" w:cs="Times New Roman"/>
        </w:rPr>
        <w:t xml:space="preserve">Kingston 1975; Ryan &amp; Conlon 1975; </w:t>
      </w:r>
      <w:r w:rsidR="000E69DF">
        <w:rPr>
          <w:rFonts w:ascii="Times New Roman" w:hAnsi="Times New Roman" w:cs="Times New Roman"/>
        </w:rPr>
        <w:t>Summers 1975</w:t>
      </w:r>
      <w:r w:rsidR="009310FB">
        <w:rPr>
          <w:rFonts w:ascii="Times New Roman" w:hAnsi="Times New Roman" w:cs="Times New Roman"/>
        </w:rPr>
        <w:t>)</w:t>
      </w:r>
      <w:r w:rsidRPr="0070576A">
        <w:rPr>
          <w:rFonts w:ascii="Times New Roman" w:hAnsi="Times New Roman" w:cs="Times New Roman"/>
        </w:rPr>
        <w:t>.</w:t>
      </w:r>
      <w:r w:rsidRPr="0070576A">
        <w:rPr>
          <w:rStyle w:val="FootnoteReference"/>
          <w:rFonts w:ascii="Times New Roman" w:hAnsi="Times New Roman" w:cs="Times New Roman"/>
        </w:rPr>
        <w:footnoteReference w:id="8"/>
      </w:r>
      <w:r w:rsidRPr="0070576A">
        <w:rPr>
          <w:rFonts w:ascii="Times New Roman" w:hAnsi="Times New Roman" w:cs="Times New Roman"/>
        </w:rPr>
        <w:t xml:space="preserve"> </w:t>
      </w:r>
    </w:p>
    <w:p w14:paraId="55A73AB8" w14:textId="4A04B671" w:rsidR="00A24588" w:rsidRDefault="00A24588" w:rsidP="002B4780">
      <w:pPr>
        <w:spacing w:after="120" w:line="360" w:lineRule="auto"/>
        <w:ind w:firstLine="360"/>
        <w:jc w:val="both"/>
        <w:rPr>
          <w:rFonts w:ascii="Times New Roman" w:hAnsi="Times New Roman" w:cs="Times New Roman"/>
        </w:rPr>
      </w:pPr>
      <w:r w:rsidRPr="0070576A">
        <w:rPr>
          <w:rFonts w:ascii="Times New Roman" w:hAnsi="Times New Roman" w:cs="Times New Roman"/>
        </w:rPr>
        <w:t xml:space="preserve">I have a temptation to retell the stories of these achievements (they are great stories). But in paying attention to the bookshelf at Women’s Liberation House, I simply want to show that women’s liberationists created a new persona for themselves: the feminist intellectual. Her books were written </w:t>
      </w:r>
      <w:r w:rsidRPr="0070576A">
        <w:rPr>
          <w:rFonts w:ascii="Times New Roman" w:hAnsi="Times New Roman" w:cs="Times New Roman"/>
          <w:bCs/>
        </w:rPr>
        <w:t>outside of universities, by authors who were students undertaking intellectual apprenticeships</w:t>
      </w:r>
      <w:r w:rsidRPr="0070576A">
        <w:rPr>
          <w:rFonts w:ascii="Times New Roman" w:hAnsi="Times New Roman" w:cs="Times New Roman"/>
        </w:rPr>
        <w:t>, but who also were in daily conversation with women with all kinds of experiences and problems different to their own. Her books also demonstrated that writing on ‘the woman question’ was no longer ‘to justify a particular state of things by reference to some nature or necessity’</w:t>
      </w:r>
      <w:r w:rsidR="00DE1D1B">
        <w:rPr>
          <w:rFonts w:ascii="Times New Roman" w:hAnsi="Times New Roman" w:cs="Times New Roman"/>
        </w:rPr>
        <w:t xml:space="preserve"> (</w:t>
      </w:r>
      <w:r w:rsidR="00DE1D1B" w:rsidRPr="0070576A">
        <w:rPr>
          <w:rFonts w:ascii="Times New Roman" w:hAnsi="Times New Roman" w:cs="Times New Roman"/>
        </w:rPr>
        <w:t xml:space="preserve">Le </w:t>
      </w:r>
      <w:proofErr w:type="spellStart"/>
      <w:r w:rsidR="00DE1D1B" w:rsidRPr="0070576A">
        <w:rPr>
          <w:rFonts w:ascii="Times New Roman" w:hAnsi="Times New Roman" w:cs="Times New Roman"/>
        </w:rPr>
        <w:t>Dœuff</w:t>
      </w:r>
      <w:proofErr w:type="spellEnd"/>
      <w:r w:rsidR="00DE1D1B" w:rsidRPr="0070576A">
        <w:rPr>
          <w:rFonts w:ascii="Times New Roman" w:hAnsi="Times New Roman" w:cs="Times New Roman"/>
        </w:rPr>
        <w:t xml:space="preserve"> 1991: 112</w:t>
      </w:r>
      <w:r w:rsidR="00DE1D1B">
        <w:rPr>
          <w:rFonts w:ascii="Times New Roman" w:hAnsi="Times New Roman" w:cs="Times New Roman"/>
        </w:rPr>
        <w:t>)</w:t>
      </w:r>
      <w:r w:rsidRPr="0070576A">
        <w:rPr>
          <w:rFonts w:ascii="Times New Roman" w:hAnsi="Times New Roman" w:cs="Times New Roman"/>
        </w:rPr>
        <w:t>. Collectively, feminist intellectuals showed there was ‘no destiny’ for ‘woman’, singular, as a ‘writing and reading subject’</w:t>
      </w:r>
      <w:r w:rsidR="00675F6B">
        <w:rPr>
          <w:rFonts w:ascii="Times New Roman" w:hAnsi="Times New Roman" w:cs="Times New Roman"/>
        </w:rPr>
        <w:t xml:space="preserve"> (ibid).</w:t>
      </w:r>
      <w:r w:rsidRPr="0070576A">
        <w:rPr>
          <w:rFonts w:ascii="Times New Roman" w:hAnsi="Times New Roman" w:cs="Times New Roman"/>
        </w:rPr>
        <w:t xml:space="preserve"> The lesson of the book </w:t>
      </w:r>
      <w:r w:rsidR="00675F6B">
        <w:rPr>
          <w:rFonts w:ascii="Times New Roman" w:hAnsi="Times New Roman" w:cs="Times New Roman"/>
        </w:rPr>
        <w:t>–</w:t>
      </w:r>
      <w:r w:rsidRPr="0070576A">
        <w:rPr>
          <w:rFonts w:ascii="Times New Roman" w:hAnsi="Times New Roman" w:cs="Times New Roman"/>
        </w:rPr>
        <w:t xml:space="preserve"> </w:t>
      </w:r>
      <w:r w:rsidRPr="0070576A">
        <w:rPr>
          <w:rFonts w:ascii="Times New Roman" w:hAnsi="Times New Roman" w:cs="Times New Roman"/>
          <w:i/>
        </w:rPr>
        <w:t>The</w:t>
      </w:r>
      <w:r w:rsidR="00675F6B">
        <w:rPr>
          <w:rFonts w:ascii="Times New Roman" w:hAnsi="Times New Roman" w:cs="Times New Roman"/>
          <w:i/>
        </w:rPr>
        <w:t xml:space="preserve"> </w:t>
      </w:r>
      <w:r w:rsidRPr="0070576A">
        <w:rPr>
          <w:rFonts w:ascii="Times New Roman" w:hAnsi="Times New Roman" w:cs="Times New Roman"/>
          <w:i/>
        </w:rPr>
        <w:t>Second Sex</w:t>
      </w:r>
      <w:r w:rsidRPr="0070576A">
        <w:rPr>
          <w:rFonts w:ascii="Times New Roman" w:hAnsi="Times New Roman" w:cs="Times New Roman"/>
        </w:rPr>
        <w:t xml:space="preserve">, circa 1970, and those it inspired </w:t>
      </w:r>
      <w:r w:rsidR="00675F6B">
        <w:rPr>
          <w:rFonts w:ascii="Times New Roman" w:hAnsi="Times New Roman" w:cs="Times New Roman"/>
        </w:rPr>
        <w:t>–</w:t>
      </w:r>
      <w:r w:rsidRPr="0070576A">
        <w:rPr>
          <w:rFonts w:ascii="Times New Roman" w:hAnsi="Times New Roman" w:cs="Times New Roman"/>
        </w:rPr>
        <w:t xml:space="preserve"> was</w:t>
      </w:r>
      <w:r w:rsidR="00675F6B">
        <w:rPr>
          <w:rFonts w:ascii="Times New Roman" w:hAnsi="Times New Roman" w:cs="Times New Roman"/>
        </w:rPr>
        <w:t xml:space="preserve"> </w:t>
      </w:r>
      <w:r w:rsidRPr="0070576A">
        <w:rPr>
          <w:rFonts w:ascii="Times New Roman" w:hAnsi="Times New Roman" w:cs="Times New Roman"/>
        </w:rPr>
        <w:t xml:space="preserve">that it deprived the categorisation of </w:t>
      </w:r>
      <w:r w:rsidR="004A77C7">
        <w:rPr>
          <w:rFonts w:ascii="Times New Roman" w:hAnsi="Times New Roman" w:cs="Times New Roman"/>
        </w:rPr>
        <w:t>‘</w:t>
      </w:r>
      <w:r w:rsidRPr="0070576A">
        <w:rPr>
          <w:rFonts w:ascii="Times New Roman" w:hAnsi="Times New Roman" w:cs="Times New Roman"/>
        </w:rPr>
        <w:t>woman</w:t>
      </w:r>
      <w:r w:rsidR="004A77C7">
        <w:rPr>
          <w:rFonts w:ascii="Times New Roman" w:hAnsi="Times New Roman" w:cs="Times New Roman"/>
        </w:rPr>
        <w:t>’</w:t>
      </w:r>
      <w:r w:rsidRPr="0070576A">
        <w:rPr>
          <w:rFonts w:ascii="Times New Roman" w:hAnsi="Times New Roman" w:cs="Times New Roman"/>
        </w:rPr>
        <w:t xml:space="preserve"> of ‘any subjective guarantee’</w:t>
      </w:r>
      <w:r w:rsidR="004A77C7">
        <w:rPr>
          <w:rFonts w:ascii="Times New Roman" w:hAnsi="Times New Roman" w:cs="Times New Roman"/>
        </w:rPr>
        <w:t xml:space="preserve"> (ibid)</w:t>
      </w:r>
      <w:r w:rsidRPr="0070576A">
        <w:rPr>
          <w:rFonts w:ascii="Times New Roman" w:hAnsi="Times New Roman" w:cs="Times New Roman"/>
        </w:rPr>
        <w:t xml:space="preserve">. </w:t>
      </w:r>
    </w:p>
    <w:p w14:paraId="4C130151" w14:textId="77777777" w:rsidR="00A24588" w:rsidRPr="0070576A" w:rsidRDefault="00A24588" w:rsidP="002B4780">
      <w:pPr>
        <w:spacing w:after="120" w:line="360" w:lineRule="auto"/>
        <w:ind w:firstLine="360"/>
        <w:jc w:val="both"/>
        <w:rPr>
          <w:rFonts w:ascii="Times New Roman" w:hAnsi="Times New Roman" w:cs="Times New Roman"/>
        </w:rPr>
      </w:pPr>
    </w:p>
    <w:p w14:paraId="087C8F56" w14:textId="14668D10" w:rsidR="00A24588" w:rsidRPr="00AF419D" w:rsidRDefault="004A77C7" w:rsidP="004A77C7">
      <w:pPr>
        <w:pStyle w:val="Heading1"/>
      </w:pPr>
      <w:r>
        <w:t xml:space="preserve">7. </w:t>
      </w:r>
      <w:r w:rsidR="00A24588" w:rsidRPr="004A77C7">
        <w:rPr>
          <w:i/>
          <w:iCs/>
        </w:rPr>
        <w:t>Woman’s Estate</w:t>
      </w:r>
      <w:r w:rsidR="00A24588" w:rsidRPr="00AF419D">
        <w:t xml:space="preserve"> </w:t>
      </w:r>
    </w:p>
    <w:p w14:paraId="29C094B5" w14:textId="0DEC1D82" w:rsidR="00A24588" w:rsidRPr="0070576A" w:rsidRDefault="00A24588" w:rsidP="008D1108">
      <w:pPr>
        <w:spacing w:after="120" w:line="360" w:lineRule="auto"/>
        <w:jc w:val="both"/>
        <w:rPr>
          <w:rFonts w:ascii="Times New Roman" w:hAnsi="Times New Roman" w:cs="Times New Roman"/>
          <w:bCs/>
        </w:rPr>
      </w:pPr>
      <w:r w:rsidRPr="0070576A">
        <w:rPr>
          <w:rFonts w:ascii="Times New Roman" w:hAnsi="Times New Roman" w:cs="Times New Roman"/>
        </w:rPr>
        <w:t xml:space="preserve">To examine these accomplishments, I will take just one book off the shelf: </w:t>
      </w:r>
      <w:r w:rsidRPr="0070576A">
        <w:rPr>
          <w:rFonts w:ascii="Times New Roman" w:hAnsi="Times New Roman" w:cs="Times New Roman"/>
          <w:bCs/>
        </w:rPr>
        <w:t xml:space="preserve">Juliet Mitchell’s </w:t>
      </w:r>
      <w:r w:rsidRPr="0070576A">
        <w:rPr>
          <w:rFonts w:ascii="Times New Roman" w:hAnsi="Times New Roman" w:cs="Times New Roman"/>
          <w:bCs/>
          <w:i/>
        </w:rPr>
        <w:t>Woman’s Estate</w:t>
      </w:r>
      <w:r w:rsidR="00B23797">
        <w:rPr>
          <w:rFonts w:ascii="Times New Roman" w:hAnsi="Times New Roman" w:cs="Times New Roman"/>
          <w:bCs/>
          <w:iCs/>
        </w:rPr>
        <w:t xml:space="preserve"> (</w:t>
      </w:r>
      <w:r w:rsidR="003621D3">
        <w:rPr>
          <w:rFonts w:ascii="Times New Roman" w:hAnsi="Times New Roman" w:cs="Times New Roman"/>
          <w:bCs/>
          <w:iCs/>
        </w:rPr>
        <w:t>[1971] 1977)</w:t>
      </w:r>
      <w:r w:rsidRPr="0070576A">
        <w:rPr>
          <w:rFonts w:ascii="Times New Roman" w:hAnsi="Times New Roman" w:cs="Times New Roman"/>
          <w:bCs/>
          <w:i/>
        </w:rPr>
        <w:t>. Woman’s Estate</w:t>
      </w:r>
      <w:r w:rsidRPr="0070576A">
        <w:rPr>
          <w:rFonts w:ascii="Times New Roman" w:hAnsi="Times New Roman" w:cs="Times New Roman"/>
          <w:bCs/>
        </w:rPr>
        <w:t xml:space="preserve"> is a good read, as it </w:t>
      </w:r>
      <w:r w:rsidRPr="0070576A">
        <w:rPr>
          <w:rFonts w:ascii="Times New Roman" w:hAnsi="Times New Roman" w:cs="Times New Roman"/>
        </w:rPr>
        <w:t xml:space="preserve">moves with pace and </w:t>
      </w:r>
      <w:r w:rsidRPr="0070576A">
        <w:rPr>
          <w:rFonts w:ascii="Times New Roman" w:hAnsi="Times New Roman" w:cs="Times New Roman"/>
        </w:rPr>
        <w:lastRenderedPageBreak/>
        <w:t>energy; perhaps reflecting what Mitchell described, thirty years later, as its ‘long gestation’ but ‘shot-gun birth’, (she wrote it in just six weeks).</w:t>
      </w:r>
      <w:r w:rsidRPr="0070576A">
        <w:rPr>
          <w:rStyle w:val="FootnoteReference"/>
          <w:rFonts w:ascii="Times New Roman" w:hAnsi="Times New Roman" w:cs="Times New Roman"/>
        </w:rPr>
        <w:footnoteReference w:id="9"/>
      </w:r>
      <w:r w:rsidRPr="0070576A">
        <w:rPr>
          <w:rFonts w:ascii="Times New Roman" w:hAnsi="Times New Roman" w:cs="Times New Roman"/>
          <w:bCs/>
        </w:rPr>
        <w:t xml:space="preserve"> The book is</w:t>
      </w:r>
      <w:r w:rsidRPr="0070576A">
        <w:rPr>
          <w:rFonts w:ascii="Times New Roman" w:hAnsi="Times New Roman" w:cs="Times New Roman"/>
          <w:bCs/>
          <w:i/>
        </w:rPr>
        <w:t xml:space="preserve"> </w:t>
      </w:r>
      <w:r w:rsidRPr="0070576A">
        <w:rPr>
          <w:rFonts w:ascii="Times New Roman" w:hAnsi="Times New Roman" w:cs="Times New Roman"/>
        </w:rPr>
        <w:t>organised in in two parts with short sections, for easy reading on the bus, or at a collective meeting.</w:t>
      </w:r>
      <w:r w:rsidRPr="0070576A">
        <w:rPr>
          <w:rFonts w:ascii="Times New Roman" w:hAnsi="Times New Roman" w:cs="Times New Roman"/>
          <w:bCs/>
        </w:rPr>
        <w:t xml:space="preserve"> Like </w:t>
      </w:r>
      <w:r w:rsidRPr="0070576A">
        <w:rPr>
          <w:rFonts w:ascii="Times New Roman" w:hAnsi="Times New Roman" w:cs="Times New Roman"/>
          <w:bCs/>
          <w:i/>
        </w:rPr>
        <w:t>The Second Sex</w:t>
      </w:r>
      <w:r w:rsidRPr="0070576A">
        <w:rPr>
          <w:rFonts w:ascii="Times New Roman" w:hAnsi="Times New Roman" w:cs="Times New Roman"/>
          <w:bCs/>
        </w:rPr>
        <w:t xml:space="preserve">, </w:t>
      </w:r>
      <w:r w:rsidRPr="0070576A">
        <w:rPr>
          <w:rFonts w:ascii="Times New Roman" w:hAnsi="Times New Roman" w:cs="Times New Roman"/>
          <w:bCs/>
          <w:i/>
          <w:iCs/>
        </w:rPr>
        <w:t xml:space="preserve">Woman’s </w:t>
      </w:r>
      <w:r w:rsidRPr="0070576A">
        <w:rPr>
          <w:rFonts w:ascii="Times New Roman" w:hAnsi="Times New Roman" w:cs="Times New Roman"/>
          <w:bCs/>
          <w:i/>
        </w:rPr>
        <w:t>Estate</w:t>
      </w:r>
      <w:r w:rsidRPr="0070576A">
        <w:rPr>
          <w:rFonts w:ascii="Times New Roman" w:hAnsi="Times New Roman" w:cs="Times New Roman"/>
          <w:bCs/>
        </w:rPr>
        <w:t xml:space="preserve"> </w:t>
      </w:r>
      <w:proofErr w:type="gramStart"/>
      <w:r w:rsidRPr="0070576A">
        <w:rPr>
          <w:rFonts w:ascii="Times New Roman" w:hAnsi="Times New Roman" w:cs="Times New Roman"/>
          <w:bCs/>
        </w:rPr>
        <w:t>traverses</w:t>
      </w:r>
      <w:proofErr w:type="gramEnd"/>
      <w:r w:rsidRPr="0070576A">
        <w:rPr>
          <w:rFonts w:ascii="Times New Roman" w:hAnsi="Times New Roman" w:cs="Times New Roman"/>
          <w:bCs/>
        </w:rPr>
        <w:t xml:space="preserve"> texts and disciplines as a point of necessity, as the only way to comprehensively analyse woman’s status as secondary. </w:t>
      </w:r>
      <w:r w:rsidRPr="0070576A">
        <w:rPr>
          <w:rFonts w:ascii="Times New Roman" w:hAnsi="Times New Roman" w:cs="Times New Roman"/>
        </w:rPr>
        <w:t>Part One is</w:t>
      </w:r>
      <w:r w:rsidRPr="0070576A">
        <w:rPr>
          <w:rFonts w:ascii="Times New Roman" w:hAnsi="Times New Roman" w:cs="Times New Roman"/>
          <w:bCs/>
        </w:rPr>
        <w:t xml:space="preserve"> an overview of Mitchell’s own present situation but cast as a collective survey of the reasons and purposes of the arrival of the Women’s Liberation Movement. </w:t>
      </w:r>
      <w:proofErr w:type="gramStart"/>
      <w:r w:rsidRPr="0070576A">
        <w:rPr>
          <w:rFonts w:ascii="Times New Roman" w:hAnsi="Times New Roman" w:cs="Times New Roman"/>
        </w:rPr>
        <w:t>In order to</w:t>
      </w:r>
      <w:proofErr w:type="gramEnd"/>
      <w:r w:rsidRPr="0070576A">
        <w:rPr>
          <w:rFonts w:ascii="Times New Roman" w:hAnsi="Times New Roman" w:cs="Times New Roman"/>
        </w:rPr>
        <w:t xml:space="preserve"> adequately write about contemporary politics and theory in motion, Mitchell presents a hybrid genre: part sociological survey and political science thesis, part ‘how to’ book of ‘principles of organisation’</w:t>
      </w:r>
      <w:r w:rsidR="002C3A5B">
        <w:rPr>
          <w:rFonts w:ascii="Times New Roman" w:hAnsi="Times New Roman" w:cs="Times New Roman"/>
        </w:rPr>
        <w:t xml:space="preserve"> (Mitchell 1977: </w:t>
      </w:r>
      <w:r w:rsidR="00C2097A">
        <w:rPr>
          <w:rFonts w:ascii="Times New Roman" w:hAnsi="Times New Roman" w:cs="Times New Roman"/>
        </w:rPr>
        <w:t>56-61)</w:t>
      </w:r>
      <w:r w:rsidRPr="0070576A">
        <w:rPr>
          <w:rFonts w:ascii="Times New Roman" w:hAnsi="Times New Roman" w:cs="Times New Roman"/>
        </w:rPr>
        <w:t xml:space="preserve"> and a primer of ‘concepts’</w:t>
      </w:r>
      <w:r w:rsidR="00C2097A">
        <w:rPr>
          <w:rFonts w:ascii="Times New Roman" w:hAnsi="Times New Roman" w:cs="Times New Roman"/>
        </w:rPr>
        <w:t xml:space="preserve"> (ibid: 62)</w:t>
      </w:r>
      <w:r w:rsidRPr="0070576A">
        <w:rPr>
          <w:rFonts w:ascii="Times New Roman" w:hAnsi="Times New Roman" w:cs="Times New Roman"/>
        </w:rPr>
        <w:t xml:space="preserve">. The book was therefore tailor-made for readers seeking guidance in how to engage with practices (like consciousness raising), and ideas now named for public dissemination (sexism, patriarchy, feminism). In Part Two, Mitchell presents a theoretical analysis that depends on her training as Marxist </w:t>
      </w:r>
      <w:proofErr w:type="gramStart"/>
      <w:r w:rsidRPr="0070576A">
        <w:rPr>
          <w:rFonts w:ascii="Times New Roman" w:hAnsi="Times New Roman" w:cs="Times New Roman"/>
        </w:rPr>
        <w:t>intellectual, but</w:t>
      </w:r>
      <w:proofErr w:type="gramEnd"/>
      <w:r w:rsidRPr="0070576A">
        <w:rPr>
          <w:rFonts w:ascii="Times New Roman" w:hAnsi="Times New Roman" w:cs="Times New Roman"/>
        </w:rPr>
        <w:t xml:space="preserve"> uses the theory she has mastered as a set of methods for her own redeployment</w:t>
      </w:r>
      <w:r w:rsidR="00E2796E">
        <w:rPr>
          <w:rFonts w:ascii="Times New Roman" w:hAnsi="Times New Roman" w:cs="Times New Roman"/>
        </w:rPr>
        <w:t xml:space="preserve"> (</w:t>
      </w:r>
      <w:r w:rsidR="00E2796E" w:rsidRPr="0070576A">
        <w:rPr>
          <w:rFonts w:ascii="Times New Roman" w:hAnsi="Times New Roman" w:cs="Times New Roman"/>
        </w:rPr>
        <w:t>Çakmak, Mitchell &amp; Somay 2006</w:t>
      </w:r>
      <w:r w:rsidR="001C2AC3">
        <w:rPr>
          <w:rFonts w:ascii="Times New Roman" w:hAnsi="Times New Roman" w:cs="Times New Roman"/>
        </w:rPr>
        <w:t xml:space="preserve">; </w:t>
      </w:r>
      <w:r w:rsidR="001C2AC3" w:rsidRPr="0070576A">
        <w:rPr>
          <w:rFonts w:ascii="Times New Roman" w:hAnsi="Times New Roman" w:cs="Times New Roman"/>
        </w:rPr>
        <w:t>Singh 2011</w:t>
      </w:r>
      <w:r w:rsidR="001C2AC3">
        <w:rPr>
          <w:rFonts w:ascii="Times New Roman" w:hAnsi="Times New Roman" w:cs="Times New Roman"/>
        </w:rPr>
        <w:t>)</w:t>
      </w:r>
      <w:r w:rsidRPr="0070576A">
        <w:rPr>
          <w:rFonts w:ascii="Times New Roman" w:hAnsi="Times New Roman" w:cs="Times New Roman"/>
        </w:rPr>
        <w:t xml:space="preserve">. As Mitchell has reflected on the writing of </w:t>
      </w:r>
      <w:r w:rsidRPr="0070576A">
        <w:rPr>
          <w:rFonts w:ascii="Times New Roman" w:hAnsi="Times New Roman" w:cs="Times New Roman"/>
          <w:i/>
        </w:rPr>
        <w:t xml:space="preserve">Woman’s Estate </w:t>
      </w:r>
      <w:r w:rsidRPr="0070576A">
        <w:rPr>
          <w:rFonts w:ascii="Times New Roman" w:hAnsi="Times New Roman" w:cs="Times New Roman"/>
        </w:rPr>
        <w:t xml:space="preserve">and its precursor essay from the </w:t>
      </w:r>
      <w:r w:rsidRPr="0070576A">
        <w:rPr>
          <w:rFonts w:ascii="Times New Roman" w:hAnsi="Times New Roman" w:cs="Times New Roman"/>
          <w:i/>
        </w:rPr>
        <w:t xml:space="preserve">New </w:t>
      </w:r>
      <w:r w:rsidR="004F2D25">
        <w:rPr>
          <w:rFonts w:ascii="Times New Roman" w:hAnsi="Times New Roman" w:cs="Times New Roman"/>
          <w:i/>
        </w:rPr>
        <w:t>Left Review</w:t>
      </w:r>
      <w:r w:rsidR="007E09DA">
        <w:rPr>
          <w:rFonts w:ascii="Times New Roman" w:hAnsi="Times New Roman" w:cs="Times New Roman"/>
          <w:iCs/>
        </w:rPr>
        <w:t>,</w:t>
      </w:r>
      <w:r w:rsidRPr="0070576A">
        <w:rPr>
          <w:rFonts w:ascii="Times New Roman" w:hAnsi="Times New Roman" w:cs="Times New Roman"/>
        </w:rPr>
        <w:t xml:space="preserve"> ‘The Longest Revolution’ (1966), ‘[f]or us, in the 1960s, Marxism was not out there as “Marxism”. One was also self-critical...[and] understood where we had to expand it intellectually’</w:t>
      </w:r>
      <w:r w:rsidR="00A45F9A">
        <w:rPr>
          <w:rFonts w:ascii="Times New Roman" w:hAnsi="Times New Roman" w:cs="Times New Roman"/>
        </w:rPr>
        <w:t xml:space="preserve"> (</w:t>
      </w:r>
      <w:r w:rsidR="00F506A1">
        <w:rPr>
          <w:rFonts w:ascii="Times New Roman" w:hAnsi="Times New Roman" w:cs="Times New Roman"/>
        </w:rPr>
        <w:t>Singh 2011: 2).</w:t>
      </w:r>
      <w:r w:rsidRPr="0070576A">
        <w:rPr>
          <w:rFonts w:ascii="Times New Roman" w:hAnsi="Times New Roman" w:cs="Times New Roman"/>
        </w:rPr>
        <w:t xml:space="preserve"> In Mitchell’s case, she did not ‘stick within the terms’ that ‘giant theorists’ (Marx, but also Freud) had set</w:t>
      </w:r>
      <w:r w:rsidR="00F506A1">
        <w:rPr>
          <w:rFonts w:ascii="Times New Roman" w:hAnsi="Times New Roman" w:cs="Times New Roman"/>
        </w:rPr>
        <w:t xml:space="preserve"> (ibid)</w:t>
      </w:r>
      <w:r w:rsidRPr="0070576A">
        <w:rPr>
          <w:rFonts w:ascii="Times New Roman" w:hAnsi="Times New Roman" w:cs="Times New Roman"/>
        </w:rPr>
        <w:t xml:space="preserve">. Instead, following techniques learned from </w:t>
      </w:r>
      <w:r w:rsidRPr="0070576A">
        <w:rPr>
          <w:rFonts w:ascii="Times New Roman" w:hAnsi="Times New Roman" w:cs="Times New Roman"/>
          <w:i/>
        </w:rPr>
        <w:t>The Second Sex,</w:t>
      </w:r>
      <w:r w:rsidRPr="0070576A">
        <w:rPr>
          <w:rFonts w:ascii="Times New Roman" w:hAnsi="Times New Roman" w:cs="Times New Roman"/>
        </w:rPr>
        <w:t xml:space="preserve"> and identifying Beauvoir as a theorist to work with alongside the male ‘giants</w:t>
      </w:r>
      <w:r w:rsidR="0003111C">
        <w:rPr>
          <w:rFonts w:ascii="Times New Roman" w:hAnsi="Times New Roman" w:cs="Times New Roman"/>
        </w:rPr>
        <w:t>’ (</w:t>
      </w:r>
      <w:r w:rsidR="0003111C" w:rsidRPr="0070576A">
        <w:rPr>
          <w:rFonts w:ascii="Times New Roman" w:hAnsi="Times New Roman" w:cs="Times New Roman"/>
        </w:rPr>
        <w:t>Çakmak, Mitchell &amp; Somay 2006; Mitchell 1977: 81</w:t>
      </w:r>
      <w:r w:rsidR="006500CD">
        <w:rPr>
          <w:rFonts w:ascii="Times New Roman" w:hAnsi="Times New Roman" w:cs="Times New Roman"/>
        </w:rPr>
        <w:t>-</w:t>
      </w:r>
      <w:r w:rsidR="0003111C" w:rsidRPr="0070576A">
        <w:rPr>
          <w:rFonts w:ascii="Times New Roman" w:hAnsi="Times New Roman" w:cs="Times New Roman"/>
        </w:rPr>
        <w:t>82</w:t>
      </w:r>
      <w:r w:rsidR="006500CD">
        <w:rPr>
          <w:rFonts w:ascii="Times New Roman" w:hAnsi="Times New Roman" w:cs="Times New Roman"/>
        </w:rPr>
        <w:t>,</w:t>
      </w:r>
      <w:r w:rsidR="0003111C" w:rsidRPr="0070576A">
        <w:rPr>
          <w:rFonts w:ascii="Times New Roman" w:hAnsi="Times New Roman" w:cs="Times New Roman"/>
        </w:rPr>
        <w:t xml:space="preserve"> 101</w:t>
      </w:r>
      <w:r w:rsidR="006500CD">
        <w:rPr>
          <w:rFonts w:ascii="Times New Roman" w:hAnsi="Times New Roman" w:cs="Times New Roman"/>
        </w:rPr>
        <w:t>)</w:t>
      </w:r>
      <w:r w:rsidRPr="0070576A">
        <w:rPr>
          <w:rFonts w:ascii="Times New Roman" w:hAnsi="Times New Roman" w:cs="Times New Roman"/>
        </w:rPr>
        <w:t>, she reintroduced thought in order to respond to the ‘concrete situation’</w:t>
      </w:r>
      <w:r w:rsidR="000F4D51">
        <w:rPr>
          <w:rFonts w:ascii="Times New Roman" w:hAnsi="Times New Roman" w:cs="Times New Roman"/>
        </w:rPr>
        <w:t xml:space="preserve"> (Mitchell 1977: 1</w:t>
      </w:r>
      <w:r w:rsidR="007567C6">
        <w:rPr>
          <w:rFonts w:ascii="Times New Roman" w:hAnsi="Times New Roman" w:cs="Times New Roman"/>
        </w:rPr>
        <w:t>4</w:t>
      </w:r>
      <w:r w:rsidR="000F4D51">
        <w:rPr>
          <w:rFonts w:ascii="Times New Roman" w:hAnsi="Times New Roman" w:cs="Times New Roman"/>
        </w:rPr>
        <w:t>)</w:t>
      </w:r>
      <w:r w:rsidRPr="0070576A">
        <w:rPr>
          <w:rFonts w:ascii="Times New Roman" w:hAnsi="Times New Roman" w:cs="Times New Roman"/>
        </w:rPr>
        <w:t xml:space="preserve"> that she experienced (‘after all you are in a different historical epoch’) and observed (‘and in a different social context’)</w:t>
      </w:r>
      <w:r w:rsidR="00000D39">
        <w:rPr>
          <w:rFonts w:ascii="Times New Roman" w:hAnsi="Times New Roman" w:cs="Times New Roman"/>
        </w:rPr>
        <w:t xml:space="preserve"> (Singh 2011: 2)</w:t>
      </w:r>
      <w:r w:rsidRPr="0070576A">
        <w:rPr>
          <w:rFonts w:ascii="Times New Roman" w:hAnsi="Times New Roman" w:cs="Times New Roman"/>
        </w:rPr>
        <w:t>. Mitchell acknowledged that Marx, and importantly Engels, had not ignored ‘the woman’ question (or woman’s spheres of influence and forms of labour</w:t>
      </w:r>
      <w:r w:rsidR="00443C1E">
        <w:rPr>
          <w:rFonts w:ascii="Times New Roman" w:hAnsi="Times New Roman" w:cs="Times New Roman"/>
        </w:rPr>
        <w:t>)</w:t>
      </w:r>
      <w:r w:rsidR="00735225">
        <w:rPr>
          <w:rFonts w:ascii="Times New Roman" w:hAnsi="Times New Roman" w:cs="Times New Roman"/>
        </w:rPr>
        <w:t xml:space="preserve"> (Mitchell 1977: 80</w:t>
      </w:r>
      <w:r w:rsidRPr="0070576A">
        <w:rPr>
          <w:rFonts w:ascii="Times New Roman" w:hAnsi="Times New Roman" w:cs="Times New Roman"/>
        </w:rPr>
        <w:t>). However, Mitchell also observed that those who came after them ‘inherited a tradition of thought which simply pointed to the a priori equation of socialism with feminine liberation without showing concretely how it would transform woman’s conditio</w:t>
      </w:r>
      <w:r w:rsidR="00443C1E">
        <w:rPr>
          <w:rFonts w:ascii="Times New Roman" w:hAnsi="Times New Roman" w:cs="Times New Roman"/>
        </w:rPr>
        <w:t>n</w:t>
      </w:r>
      <w:r w:rsidRPr="0070576A">
        <w:rPr>
          <w:rFonts w:ascii="Times New Roman" w:hAnsi="Times New Roman" w:cs="Times New Roman"/>
        </w:rPr>
        <w:t>’</w:t>
      </w:r>
      <w:r w:rsidR="00443C1E">
        <w:rPr>
          <w:rFonts w:ascii="Times New Roman" w:hAnsi="Times New Roman" w:cs="Times New Roman"/>
        </w:rPr>
        <w:t xml:space="preserve"> (ibid: 81)</w:t>
      </w:r>
      <w:r w:rsidR="00C40A4B">
        <w:rPr>
          <w:rFonts w:ascii="Times New Roman" w:hAnsi="Times New Roman" w:cs="Times New Roman"/>
        </w:rPr>
        <w:t>.</w:t>
      </w:r>
      <w:r w:rsidRPr="0070576A">
        <w:rPr>
          <w:rFonts w:ascii="Times New Roman" w:hAnsi="Times New Roman" w:cs="Times New Roman"/>
        </w:rPr>
        <w:t xml:space="preserve"> ‘The size of absence of women in socialist theory and practice is immense’, she </w:t>
      </w:r>
      <w:r w:rsidRPr="0070576A">
        <w:rPr>
          <w:rFonts w:ascii="Times New Roman" w:hAnsi="Times New Roman" w:cs="Times New Roman"/>
        </w:rPr>
        <w:lastRenderedPageBreak/>
        <w:t>argued, and where ‘analysis has been offered clearly it has been inadequate, for the resulting practice has seriously failed to match it’</w:t>
      </w:r>
      <w:r w:rsidR="00C40A4B">
        <w:rPr>
          <w:rFonts w:ascii="Times New Roman" w:hAnsi="Times New Roman" w:cs="Times New Roman"/>
        </w:rPr>
        <w:t xml:space="preserve"> (ibid: 75).</w:t>
      </w:r>
      <w:r w:rsidRPr="0070576A">
        <w:rPr>
          <w:rFonts w:ascii="Times New Roman" w:hAnsi="Times New Roman" w:cs="Times New Roman"/>
        </w:rPr>
        <w:t xml:space="preserve"> </w:t>
      </w:r>
    </w:p>
    <w:p w14:paraId="5C15A683" w14:textId="2DA1E902" w:rsidR="00A24588" w:rsidRPr="0070576A" w:rsidRDefault="00A24588" w:rsidP="00C40A4B">
      <w:pPr>
        <w:pStyle w:val="CommentText"/>
        <w:spacing w:after="120" w:line="360" w:lineRule="auto"/>
        <w:ind w:firstLine="426"/>
        <w:jc w:val="both"/>
        <w:rPr>
          <w:rFonts w:ascii="Times New Roman" w:hAnsi="Times New Roman"/>
        </w:rPr>
      </w:pPr>
      <w:r w:rsidRPr="0070576A">
        <w:rPr>
          <w:rFonts w:ascii="Times New Roman" w:hAnsi="Times New Roman"/>
        </w:rPr>
        <w:t>What Mitchell argued in response seems so obvious today that it is easy to forget its radical force. First, she stated that women were an oppressed class, with definable interests able to be organised and promulgated by giving voice to women’s experience as a ‘class consciousness’</w:t>
      </w:r>
      <w:r w:rsidR="00F80B11">
        <w:rPr>
          <w:rFonts w:ascii="Times New Roman" w:hAnsi="Times New Roman"/>
        </w:rPr>
        <w:t xml:space="preserve"> (Mitchell 1977: 75)</w:t>
      </w:r>
      <w:r w:rsidRPr="0070576A">
        <w:rPr>
          <w:rFonts w:ascii="Times New Roman" w:hAnsi="Times New Roman"/>
        </w:rPr>
        <w:t>. Second, she took up Beauvoir’s transformative declaration in 1949, ‘I write it’, which deviated existentialist philosophy, and ‘the woman problem’, from male assumption to feminist inversion, and showed a way for a ne</w:t>
      </w:r>
      <w:r>
        <w:rPr>
          <w:rFonts w:ascii="Times New Roman" w:hAnsi="Times New Roman"/>
        </w:rPr>
        <w:t>w</w:t>
      </w:r>
      <w:r w:rsidRPr="0070576A">
        <w:rPr>
          <w:rFonts w:ascii="Times New Roman" w:hAnsi="Times New Roman"/>
        </w:rPr>
        <w:t xml:space="preserve"> generations of women writers to claim one’s self and one’s knowledge as central to any scholarly enquiry.</w:t>
      </w:r>
      <w:r w:rsidRPr="0070576A">
        <w:rPr>
          <w:rStyle w:val="FootnoteReference"/>
          <w:rFonts w:ascii="Times New Roman" w:hAnsi="Times New Roman"/>
        </w:rPr>
        <w:footnoteReference w:id="10"/>
      </w:r>
      <w:r w:rsidRPr="0070576A">
        <w:rPr>
          <w:rFonts w:ascii="Times New Roman" w:hAnsi="Times New Roman"/>
        </w:rPr>
        <w:t xml:space="preserve"> Mitchell argued for ‘a specific theory of women’s oppression’</w:t>
      </w:r>
      <w:r w:rsidR="00E26B5D">
        <w:rPr>
          <w:rFonts w:ascii="Times New Roman" w:hAnsi="Times New Roman"/>
        </w:rPr>
        <w:t xml:space="preserve"> (1977: </w:t>
      </w:r>
      <w:r w:rsidR="00D31E22">
        <w:rPr>
          <w:rFonts w:ascii="Times New Roman" w:hAnsi="Times New Roman"/>
        </w:rPr>
        <w:t>75, 75-96)</w:t>
      </w:r>
      <w:r w:rsidRPr="0070576A">
        <w:rPr>
          <w:rFonts w:ascii="Times New Roman" w:hAnsi="Times New Roman"/>
        </w:rPr>
        <w:t>. Her ambition was to ‘reject[...] the idea that woman’s condition can be deduced derivatively from the economy (Engels) or equated symbolically with society (Marx)’</w:t>
      </w:r>
      <w:r w:rsidR="008E3FFD">
        <w:rPr>
          <w:rFonts w:ascii="Times New Roman" w:hAnsi="Times New Roman"/>
        </w:rPr>
        <w:t xml:space="preserve"> (ibid: 100).</w:t>
      </w:r>
      <w:r w:rsidRPr="0070576A">
        <w:rPr>
          <w:rFonts w:ascii="Times New Roman" w:hAnsi="Times New Roman"/>
        </w:rPr>
        <w:t xml:space="preserve"> By acknowledging that ‘women are exploited at work,</w:t>
      </w:r>
      <w:r w:rsidRPr="0070576A">
        <w:rPr>
          <w:rFonts w:ascii="Times New Roman" w:hAnsi="Times New Roman"/>
          <w:i/>
        </w:rPr>
        <w:t xml:space="preserve"> and</w:t>
      </w:r>
      <w:r w:rsidRPr="0070576A">
        <w:rPr>
          <w:rFonts w:ascii="Times New Roman" w:hAnsi="Times New Roman"/>
        </w:rPr>
        <w:t xml:space="preserve"> relegated to the home’, Mitchell began to examine how ‘the two positions compound’ oppression: ‘subservience in production is obscured by [women’s] assumed dominance in their own world</w:t>
      </w:r>
      <w:r>
        <w:rPr>
          <w:rFonts w:ascii="Times New Roman" w:hAnsi="Times New Roman"/>
        </w:rPr>
        <w:t xml:space="preserve"> </w:t>
      </w:r>
      <w:r w:rsidR="00A83AF3">
        <w:rPr>
          <w:rFonts w:ascii="Times New Roman" w:hAnsi="Times New Roman"/>
        </w:rPr>
        <w:t>–</w:t>
      </w:r>
      <w:r w:rsidRPr="0070576A">
        <w:rPr>
          <w:rFonts w:ascii="Times New Roman" w:hAnsi="Times New Roman"/>
        </w:rPr>
        <w:t xml:space="preserve"> the</w:t>
      </w:r>
      <w:r w:rsidR="00A83AF3">
        <w:rPr>
          <w:rFonts w:ascii="Times New Roman" w:hAnsi="Times New Roman"/>
        </w:rPr>
        <w:t xml:space="preserve"> </w:t>
      </w:r>
      <w:r w:rsidRPr="0070576A">
        <w:rPr>
          <w:rFonts w:ascii="Times New Roman" w:hAnsi="Times New Roman"/>
        </w:rPr>
        <w:t>family’</w:t>
      </w:r>
      <w:r w:rsidR="00A83AF3">
        <w:rPr>
          <w:rFonts w:ascii="Times New Roman" w:hAnsi="Times New Roman"/>
        </w:rPr>
        <w:t xml:space="preserve"> (ibid: 99</w:t>
      </w:r>
      <w:r w:rsidR="00BF3E63">
        <w:rPr>
          <w:rFonts w:ascii="Times New Roman" w:hAnsi="Times New Roman"/>
        </w:rPr>
        <w:t>, my emphasis</w:t>
      </w:r>
      <w:r w:rsidR="00A83AF3">
        <w:rPr>
          <w:rFonts w:ascii="Times New Roman" w:hAnsi="Times New Roman"/>
        </w:rPr>
        <w:t>).</w:t>
      </w:r>
      <w:r w:rsidRPr="0070576A">
        <w:rPr>
          <w:rFonts w:ascii="Times New Roman" w:hAnsi="Times New Roman"/>
        </w:rPr>
        <w:t xml:space="preserve"> The family, in Mitchell’s emergent feminist theory, was then neither natural nor identifiable only as ideology. In ‘ask[</w:t>
      </w:r>
      <w:proofErr w:type="spellStart"/>
      <w:r w:rsidRPr="0070576A">
        <w:rPr>
          <w:rFonts w:ascii="Times New Roman" w:hAnsi="Times New Roman"/>
        </w:rPr>
        <w:t>ing</w:t>
      </w:r>
      <w:proofErr w:type="spellEnd"/>
      <w:r w:rsidRPr="0070576A">
        <w:rPr>
          <w:rFonts w:ascii="Times New Roman" w:hAnsi="Times New Roman"/>
        </w:rPr>
        <w:t>] the feminist questions…to try to come up with some Marxist answers’</w:t>
      </w:r>
      <w:r w:rsidR="00A83B8D">
        <w:rPr>
          <w:rFonts w:ascii="Times New Roman" w:hAnsi="Times New Roman"/>
        </w:rPr>
        <w:t>,</w:t>
      </w:r>
      <w:r w:rsidRPr="0070576A">
        <w:rPr>
          <w:rFonts w:ascii="Times New Roman" w:hAnsi="Times New Roman"/>
        </w:rPr>
        <w:t xml:space="preserve"> ‘the family’ instead could be understood as superstructure, in which the diverse aspects </w:t>
      </w:r>
      <w:proofErr w:type="gramStart"/>
      <w:r w:rsidRPr="0070576A">
        <w:rPr>
          <w:rFonts w:ascii="Times New Roman" w:hAnsi="Times New Roman"/>
        </w:rPr>
        <w:t>of  women’s</w:t>
      </w:r>
      <w:proofErr w:type="gramEnd"/>
      <w:r w:rsidRPr="0070576A">
        <w:rPr>
          <w:rFonts w:ascii="Times New Roman" w:hAnsi="Times New Roman"/>
        </w:rPr>
        <w:t xml:space="preserve"> situation within it produced a ‘complex unity’ </w:t>
      </w:r>
      <w:r w:rsidR="009F5FB7">
        <w:rPr>
          <w:rFonts w:ascii="Times New Roman" w:hAnsi="Times New Roman"/>
        </w:rPr>
        <w:t xml:space="preserve">– </w:t>
      </w:r>
      <w:r w:rsidRPr="0070576A">
        <w:rPr>
          <w:rFonts w:ascii="Times New Roman" w:hAnsi="Times New Roman"/>
        </w:rPr>
        <w:t>production, reproduction, sexuality and the socialisation of children</w:t>
      </w:r>
      <w:r w:rsidR="00DB7529">
        <w:rPr>
          <w:rFonts w:ascii="Times New Roman" w:hAnsi="Times New Roman"/>
        </w:rPr>
        <w:t xml:space="preserve"> (ibid: 99-100)</w:t>
      </w:r>
      <w:r w:rsidRPr="0070576A">
        <w:rPr>
          <w:rFonts w:ascii="Times New Roman" w:hAnsi="Times New Roman"/>
        </w:rPr>
        <w:t xml:space="preserve">. These required separation and disentanglement in order to understand how each was maintained and could be changed. In this way, Mitchell fragmented the category </w:t>
      </w:r>
      <w:r w:rsidR="004F6095">
        <w:rPr>
          <w:rFonts w:ascii="Times New Roman" w:hAnsi="Times New Roman"/>
        </w:rPr>
        <w:t>‘</w:t>
      </w:r>
      <w:r w:rsidRPr="0070576A">
        <w:rPr>
          <w:rFonts w:ascii="Times New Roman" w:hAnsi="Times New Roman"/>
        </w:rPr>
        <w:t>woman</w:t>
      </w:r>
      <w:r w:rsidR="004F6095">
        <w:rPr>
          <w:rFonts w:ascii="Times New Roman" w:hAnsi="Times New Roman"/>
        </w:rPr>
        <w:t>’</w:t>
      </w:r>
      <w:r w:rsidRPr="0070576A">
        <w:rPr>
          <w:rFonts w:ascii="Times New Roman" w:hAnsi="Times New Roman"/>
        </w:rPr>
        <w:t xml:space="preserve"> as it had been used in existing thought, to topple the pre-eminence of the subordinated status of women preordained in culture and written into law. Sounding remarkably like Beauvoir in 1949</w:t>
      </w:r>
      <w:r w:rsidR="00D272EC">
        <w:rPr>
          <w:rFonts w:ascii="Times New Roman" w:hAnsi="Times New Roman"/>
        </w:rPr>
        <w:t>,</w:t>
      </w:r>
      <w:r w:rsidRPr="0070576A">
        <w:rPr>
          <w:rFonts w:ascii="Times New Roman" w:hAnsi="Times New Roman"/>
        </w:rPr>
        <w:t xml:space="preserve"> she argued: ‘There is nothing inevitable about the form or role of the family, any more than there is about the character or role of women’</w:t>
      </w:r>
      <w:r w:rsidR="00674772">
        <w:rPr>
          <w:rFonts w:ascii="Times New Roman" w:hAnsi="Times New Roman"/>
        </w:rPr>
        <w:t xml:space="preserve"> (ibid: 100),</w:t>
      </w:r>
      <w:r w:rsidRPr="0070576A">
        <w:rPr>
          <w:rFonts w:ascii="Times New Roman" w:hAnsi="Times New Roman"/>
        </w:rPr>
        <w:t xml:space="preserve"> and insisted that how </w:t>
      </w:r>
      <w:r w:rsidR="00F0667A">
        <w:rPr>
          <w:rFonts w:ascii="Times New Roman" w:hAnsi="Times New Roman"/>
        </w:rPr>
        <w:t xml:space="preserve">the </w:t>
      </w:r>
      <w:r w:rsidRPr="0070576A">
        <w:rPr>
          <w:rFonts w:ascii="Times New Roman" w:hAnsi="Times New Roman"/>
        </w:rPr>
        <w:t>personae of wife, lover, mother operated was something able to be theorised, and redefined, by woman herself. ‘[E]</w:t>
      </w:r>
      <w:proofErr w:type="spellStart"/>
      <w:r w:rsidRPr="0070576A">
        <w:rPr>
          <w:rFonts w:ascii="Times New Roman" w:hAnsi="Times New Roman"/>
        </w:rPr>
        <w:t>xamining</w:t>
      </w:r>
      <w:proofErr w:type="spellEnd"/>
      <w:r w:rsidRPr="0070576A">
        <w:rPr>
          <w:rFonts w:ascii="Times New Roman" w:hAnsi="Times New Roman"/>
        </w:rPr>
        <w:t xml:space="preserve"> the concrete role and nature of today</w:t>
      </w:r>
      <w:r w:rsidR="00F0667A">
        <w:rPr>
          <w:rFonts w:ascii="Times New Roman" w:hAnsi="Times New Roman"/>
        </w:rPr>
        <w:t>’</w:t>
      </w:r>
      <w:r w:rsidRPr="0070576A">
        <w:rPr>
          <w:rFonts w:ascii="Times New Roman" w:hAnsi="Times New Roman"/>
        </w:rPr>
        <w:t>s family from within’</w:t>
      </w:r>
      <w:r w:rsidR="000A61E5">
        <w:rPr>
          <w:rFonts w:ascii="Times New Roman" w:hAnsi="Times New Roman"/>
        </w:rPr>
        <w:t xml:space="preserve"> (ibid: 159),</w:t>
      </w:r>
      <w:r w:rsidRPr="0070576A">
        <w:rPr>
          <w:rFonts w:ascii="Times New Roman" w:hAnsi="Times New Roman"/>
        </w:rPr>
        <w:t xml:space="preserve"> in terms of both its psychology and its economy, was an intellectual activity necessary for woman to exercise agency and define her freedom. Significantly, such a project was not understood to be a burden for women alone (something often forgotten). ‘How can one sex be free without the other?’, Mitchell argued</w:t>
      </w:r>
      <w:r w:rsidR="000C6A36">
        <w:rPr>
          <w:rFonts w:ascii="Times New Roman" w:hAnsi="Times New Roman"/>
        </w:rPr>
        <w:t xml:space="preserve"> (ibid: 56)</w:t>
      </w:r>
      <w:r w:rsidRPr="0070576A">
        <w:rPr>
          <w:rFonts w:ascii="Times New Roman" w:hAnsi="Times New Roman"/>
        </w:rPr>
        <w:t xml:space="preserve">, again </w:t>
      </w:r>
      <w:r w:rsidRPr="0070576A">
        <w:rPr>
          <w:rFonts w:ascii="Times New Roman" w:hAnsi="Times New Roman"/>
        </w:rPr>
        <w:lastRenderedPageBreak/>
        <w:t xml:space="preserve">following closely Beauvoir’s arguments about reciprocal relations in </w:t>
      </w:r>
      <w:r w:rsidRPr="0070576A">
        <w:rPr>
          <w:rFonts w:ascii="Times New Roman" w:hAnsi="Times New Roman"/>
          <w:i/>
        </w:rPr>
        <w:t>The Second Sex</w:t>
      </w:r>
      <w:r w:rsidRPr="0070576A">
        <w:rPr>
          <w:rFonts w:ascii="Times New Roman" w:hAnsi="Times New Roman"/>
        </w:rPr>
        <w:t>. For women’s relationship to children to be totally voluntary, self-determined rather than expected or legally required, for one example, meant acknowledging alliance with (rather than reliance on, or sublimation to) men. ‘Both sexes are oppressed by sex role stereotypes[…] don’t you think men would like to be more at home with their children[…]?’, Mitchell wrote</w:t>
      </w:r>
      <w:r w:rsidR="00A567C3">
        <w:rPr>
          <w:rFonts w:ascii="Times New Roman" w:hAnsi="Times New Roman"/>
        </w:rPr>
        <w:t xml:space="preserve"> (ibid)</w:t>
      </w:r>
      <w:r w:rsidRPr="0070576A">
        <w:rPr>
          <w:rFonts w:ascii="Times New Roman" w:hAnsi="Times New Roman"/>
        </w:rPr>
        <w:t xml:space="preserve">, radically arguing that the inevitably of ‘the family’, as a realm which depended on </w:t>
      </w:r>
      <w:r w:rsidR="008D5DBB">
        <w:rPr>
          <w:rFonts w:ascii="Times New Roman" w:hAnsi="Times New Roman"/>
        </w:rPr>
        <w:t xml:space="preserve">a </w:t>
      </w:r>
      <w:r w:rsidRPr="0070576A">
        <w:rPr>
          <w:rFonts w:ascii="Times New Roman" w:hAnsi="Times New Roman"/>
        </w:rPr>
        <w:t>certain status for man and woman (he as property owner, father, household head; she as property, mother, housekeeper) be ‘decomposed into a new pattern’ as acts of mutual obligation and radical reorganisation</w:t>
      </w:r>
      <w:r w:rsidR="00C97B24">
        <w:rPr>
          <w:rFonts w:ascii="Times New Roman" w:hAnsi="Times New Roman"/>
        </w:rPr>
        <w:t xml:space="preserve"> (ibid: 107)</w:t>
      </w:r>
      <w:r w:rsidRPr="0070576A">
        <w:rPr>
          <w:rFonts w:ascii="Times New Roman" w:hAnsi="Times New Roman"/>
        </w:rPr>
        <w:t>.</w:t>
      </w:r>
    </w:p>
    <w:p w14:paraId="45A1E9B9" w14:textId="6AC6E5C0" w:rsidR="00A24588" w:rsidRPr="0070576A" w:rsidRDefault="00A24588" w:rsidP="00DE23A5">
      <w:pPr>
        <w:pStyle w:val="CommentText"/>
        <w:spacing w:after="120" w:line="360" w:lineRule="auto"/>
        <w:ind w:firstLine="720"/>
        <w:jc w:val="both"/>
        <w:rPr>
          <w:rFonts w:ascii="Times New Roman" w:hAnsi="Times New Roman"/>
        </w:rPr>
      </w:pPr>
      <w:r w:rsidRPr="0070576A">
        <w:rPr>
          <w:rFonts w:ascii="Times New Roman" w:hAnsi="Times New Roman"/>
        </w:rPr>
        <w:t xml:space="preserve">Mitchell’s emergent ‘feminist theory of oppression’ was in these ways less interested in institutional equality (or marriage law reform) as a primary </w:t>
      </w:r>
      <w:proofErr w:type="gramStart"/>
      <w:r w:rsidRPr="0070576A">
        <w:rPr>
          <w:rFonts w:ascii="Times New Roman" w:hAnsi="Times New Roman"/>
        </w:rPr>
        <w:t>aim, but</w:t>
      </w:r>
      <w:proofErr w:type="gramEnd"/>
      <w:r w:rsidRPr="0070576A">
        <w:rPr>
          <w:rFonts w:ascii="Times New Roman" w:hAnsi="Times New Roman"/>
        </w:rPr>
        <w:t xml:space="preserve"> saw it as something that would come when wom</w:t>
      </w:r>
      <w:r w:rsidR="00B2143F">
        <w:rPr>
          <w:rFonts w:ascii="Times New Roman" w:hAnsi="Times New Roman"/>
        </w:rPr>
        <w:t>e</w:t>
      </w:r>
      <w:r w:rsidRPr="0070576A">
        <w:rPr>
          <w:rFonts w:ascii="Times New Roman" w:hAnsi="Times New Roman"/>
        </w:rPr>
        <w:t>n (and</w:t>
      </w:r>
      <w:r w:rsidR="00B2143F">
        <w:rPr>
          <w:rFonts w:ascii="Times New Roman" w:hAnsi="Times New Roman"/>
        </w:rPr>
        <w:t>,</w:t>
      </w:r>
      <w:r w:rsidRPr="0070576A">
        <w:rPr>
          <w:rFonts w:ascii="Times New Roman" w:hAnsi="Times New Roman"/>
        </w:rPr>
        <w:t xml:space="preserve"> by extension, m</w:t>
      </w:r>
      <w:r w:rsidR="00B2143F">
        <w:rPr>
          <w:rFonts w:ascii="Times New Roman" w:hAnsi="Times New Roman"/>
        </w:rPr>
        <w:t>e</w:t>
      </w:r>
      <w:r w:rsidRPr="0070576A">
        <w:rPr>
          <w:rFonts w:ascii="Times New Roman" w:hAnsi="Times New Roman"/>
        </w:rPr>
        <w:t>n) liberated themselves as ‘whole people</w:t>
      </w:r>
      <w:r w:rsidR="00B2143F">
        <w:rPr>
          <w:rFonts w:ascii="Times New Roman" w:hAnsi="Times New Roman"/>
        </w:rPr>
        <w:t>’</w:t>
      </w:r>
      <w:r w:rsidR="00923848">
        <w:rPr>
          <w:rFonts w:ascii="Times New Roman" w:hAnsi="Times New Roman"/>
        </w:rPr>
        <w:t xml:space="preserve"> (Mitchell 1977: 14)</w:t>
      </w:r>
      <w:r w:rsidRPr="0070576A">
        <w:rPr>
          <w:rFonts w:ascii="Times New Roman" w:hAnsi="Times New Roman"/>
        </w:rPr>
        <w:t>. That said, the fact that ‘the agents and institutions of power’ were ‘men (and/or male dominated society)’</w:t>
      </w:r>
      <w:r w:rsidR="002F0839">
        <w:rPr>
          <w:rFonts w:ascii="Times New Roman" w:hAnsi="Times New Roman"/>
        </w:rPr>
        <w:t xml:space="preserve"> (ibid),</w:t>
      </w:r>
      <w:r w:rsidRPr="0070576A">
        <w:rPr>
          <w:rFonts w:ascii="Times New Roman" w:hAnsi="Times New Roman"/>
        </w:rPr>
        <w:t xml:space="preserve"> who could pr</w:t>
      </w:r>
      <w:r w:rsidR="001B300C">
        <w:rPr>
          <w:rFonts w:ascii="Times New Roman" w:hAnsi="Times New Roman"/>
        </w:rPr>
        <w:t>e</w:t>
      </w:r>
      <w:r w:rsidRPr="0070576A">
        <w:rPr>
          <w:rFonts w:ascii="Times New Roman" w:hAnsi="Times New Roman"/>
        </w:rPr>
        <w:t>scribe a ‘natural destiny’ based on sex, was an ‘ideological concept’ that had to be fought</w:t>
      </w:r>
      <w:r w:rsidR="001B300C">
        <w:rPr>
          <w:rFonts w:ascii="Times New Roman" w:hAnsi="Times New Roman"/>
        </w:rPr>
        <w:t xml:space="preserve"> (ibid: 100)</w:t>
      </w:r>
      <w:r w:rsidRPr="0070576A">
        <w:rPr>
          <w:rFonts w:ascii="Times New Roman" w:hAnsi="Times New Roman"/>
        </w:rPr>
        <w:t xml:space="preserve">. The duty of the feminist intellectual with that insight, Mitchell argued, was to present ways in which ‘[t]theoretical analysis </w:t>
      </w:r>
      <w:r w:rsidRPr="0070576A">
        <w:rPr>
          <w:rFonts w:ascii="Times New Roman" w:hAnsi="Times New Roman"/>
          <w:i/>
        </w:rPr>
        <w:t xml:space="preserve">and </w:t>
      </w:r>
      <w:r w:rsidRPr="0070576A">
        <w:rPr>
          <w:rFonts w:ascii="Times New Roman" w:hAnsi="Times New Roman"/>
        </w:rPr>
        <w:t>revolutionary action…restructure and destroy the inevitability’ of ‘woman’s place’</w:t>
      </w:r>
      <w:r w:rsidR="00333830">
        <w:rPr>
          <w:rFonts w:ascii="Times New Roman" w:hAnsi="Times New Roman"/>
        </w:rPr>
        <w:t xml:space="preserve"> (ibid: 100, my emphasis)</w:t>
      </w:r>
      <w:r w:rsidRPr="0070576A">
        <w:rPr>
          <w:rFonts w:ascii="Times New Roman" w:hAnsi="Times New Roman"/>
        </w:rPr>
        <w:t>.</w:t>
      </w:r>
    </w:p>
    <w:p w14:paraId="6F903AE4" w14:textId="1598BC93" w:rsidR="00A24588" w:rsidRPr="0070576A" w:rsidRDefault="00A24588" w:rsidP="00235D2C">
      <w:pPr>
        <w:spacing w:after="120" w:line="360" w:lineRule="auto"/>
        <w:ind w:firstLine="360"/>
        <w:jc w:val="both"/>
        <w:rPr>
          <w:rFonts w:ascii="Times New Roman" w:hAnsi="Times New Roman" w:cs="Times New Roman"/>
        </w:rPr>
      </w:pPr>
      <w:r w:rsidRPr="0070576A">
        <w:rPr>
          <w:rFonts w:ascii="Times New Roman" w:hAnsi="Times New Roman" w:cs="Times New Roman"/>
          <w:i/>
        </w:rPr>
        <w:t>Woman’s Estate</w:t>
      </w:r>
      <w:r w:rsidRPr="0070576A">
        <w:rPr>
          <w:rFonts w:ascii="Times New Roman" w:hAnsi="Times New Roman" w:cs="Times New Roman"/>
        </w:rPr>
        <w:t xml:space="preserve"> as a feminist book did not directly address legal doctrine as part of its project of destruction and reconstruction. But Mitchell’s contribution to unofficial jurisprudence writing lives in the book’s title and carries something forward. An ‘estate’</w:t>
      </w:r>
      <w:r w:rsidR="0028091A">
        <w:rPr>
          <w:rFonts w:ascii="Times New Roman" w:hAnsi="Times New Roman" w:cs="Times New Roman"/>
        </w:rPr>
        <w:t>,</w:t>
      </w:r>
      <w:r w:rsidRPr="0070576A">
        <w:rPr>
          <w:rFonts w:ascii="Times New Roman" w:hAnsi="Times New Roman" w:cs="Times New Roman"/>
        </w:rPr>
        <w:t xml:space="preserve"> of course</w:t>
      </w:r>
      <w:r w:rsidR="0028091A">
        <w:rPr>
          <w:rFonts w:ascii="Times New Roman" w:hAnsi="Times New Roman" w:cs="Times New Roman"/>
        </w:rPr>
        <w:t>,</w:t>
      </w:r>
      <w:r w:rsidRPr="0070576A">
        <w:rPr>
          <w:rFonts w:ascii="Times New Roman" w:hAnsi="Times New Roman" w:cs="Times New Roman"/>
        </w:rPr>
        <w:t xml:space="preserve"> operates at common law as inherited rights, interests and entitlement, from which woman has been historically excluded on the grounds of legal status. By virtue of her argument, Mitchell reminds </w:t>
      </w:r>
      <w:r>
        <w:rPr>
          <w:rFonts w:ascii="Times New Roman" w:hAnsi="Times New Roman" w:cs="Times New Roman"/>
        </w:rPr>
        <w:t xml:space="preserve">us </w:t>
      </w:r>
      <w:r w:rsidRPr="0070576A">
        <w:rPr>
          <w:rFonts w:ascii="Times New Roman" w:hAnsi="Times New Roman" w:cs="Times New Roman"/>
        </w:rPr>
        <w:t xml:space="preserve">that an ‘estate’ is also a state of being, or condition of life, and open for transformation though redefinition and action. In these ways, I think, </w:t>
      </w:r>
      <w:r w:rsidRPr="0070576A">
        <w:rPr>
          <w:rFonts w:ascii="Times New Roman" w:hAnsi="Times New Roman" w:cs="Times New Roman"/>
          <w:i/>
        </w:rPr>
        <w:t>Woman’s Estate</w:t>
      </w:r>
      <w:r w:rsidRPr="0070576A">
        <w:rPr>
          <w:rStyle w:val="FootnoteReference"/>
          <w:rFonts w:ascii="Times New Roman" w:hAnsi="Times New Roman" w:cs="Times New Roman"/>
        </w:rPr>
        <w:footnoteReference w:id="11"/>
      </w:r>
      <w:r w:rsidRPr="0070576A">
        <w:rPr>
          <w:rFonts w:ascii="Times New Roman" w:hAnsi="Times New Roman" w:cs="Times New Roman"/>
        </w:rPr>
        <w:t xml:space="preserve"> attaches the subject woman to a class with interests of their own, who can collectively disturb social and economic functions of a body politic, and reorient its expected sites of contest. </w:t>
      </w:r>
      <w:r>
        <w:rPr>
          <w:rFonts w:ascii="Times New Roman" w:hAnsi="Times New Roman" w:cs="Times New Roman"/>
        </w:rPr>
        <w:t>Yet i</w:t>
      </w:r>
      <w:r w:rsidRPr="0070576A">
        <w:rPr>
          <w:rFonts w:ascii="Times New Roman" w:hAnsi="Times New Roman" w:cs="Times New Roman"/>
        </w:rPr>
        <w:t xml:space="preserve">t also says something about Mitchell’s own state of </w:t>
      </w:r>
      <w:proofErr w:type="gramStart"/>
      <w:r w:rsidRPr="0070576A">
        <w:rPr>
          <w:rFonts w:ascii="Times New Roman" w:hAnsi="Times New Roman" w:cs="Times New Roman"/>
        </w:rPr>
        <w:t>being:</w:t>
      </w:r>
      <w:proofErr w:type="gramEnd"/>
      <w:r w:rsidRPr="0070576A">
        <w:rPr>
          <w:rFonts w:ascii="Times New Roman" w:hAnsi="Times New Roman" w:cs="Times New Roman"/>
        </w:rPr>
        <w:t xml:space="preserve"> that she refused to relinquish her </w:t>
      </w:r>
      <w:r w:rsidRPr="0070576A">
        <w:rPr>
          <w:rFonts w:ascii="Times New Roman" w:hAnsi="Times New Roman" w:cs="Times New Roman"/>
        </w:rPr>
        <w:lastRenderedPageBreak/>
        <w:t>experience as either scholar</w:t>
      </w:r>
      <w:r w:rsidR="004E3E6F">
        <w:rPr>
          <w:rFonts w:ascii="Times New Roman" w:hAnsi="Times New Roman" w:cs="Times New Roman"/>
        </w:rPr>
        <w:t xml:space="preserve"> </w:t>
      </w:r>
      <w:r w:rsidRPr="0070576A">
        <w:rPr>
          <w:rFonts w:ascii="Times New Roman" w:hAnsi="Times New Roman" w:cs="Times New Roman"/>
        </w:rPr>
        <w:t>or women’s liberationist</w:t>
      </w:r>
      <w:r w:rsidR="004E3E6F">
        <w:rPr>
          <w:rFonts w:ascii="Times New Roman" w:hAnsi="Times New Roman" w:cs="Times New Roman"/>
        </w:rPr>
        <w:t>,</w:t>
      </w:r>
      <w:r w:rsidRPr="0070576A">
        <w:rPr>
          <w:rFonts w:ascii="Times New Roman" w:hAnsi="Times New Roman" w:cs="Times New Roman"/>
        </w:rPr>
        <w:t xml:space="preserve"> and by joining them together in the style, content and argument of her writing provided guidance to others to do the same. </w:t>
      </w:r>
    </w:p>
    <w:p w14:paraId="0B30311F" w14:textId="77777777" w:rsidR="00A24588" w:rsidRPr="0070576A" w:rsidRDefault="00A24588" w:rsidP="008D1108">
      <w:pPr>
        <w:spacing w:after="120" w:line="360" w:lineRule="auto"/>
        <w:jc w:val="both"/>
        <w:rPr>
          <w:rFonts w:ascii="Times New Roman" w:hAnsi="Times New Roman" w:cs="Times New Roman"/>
        </w:rPr>
      </w:pPr>
    </w:p>
    <w:p w14:paraId="68883AC4" w14:textId="76D46F56" w:rsidR="00A24588" w:rsidRPr="0070576A" w:rsidRDefault="00705170" w:rsidP="00705170">
      <w:pPr>
        <w:pStyle w:val="Heading1"/>
      </w:pPr>
      <w:r>
        <w:t xml:space="preserve">8. </w:t>
      </w:r>
      <w:r w:rsidR="00A24588" w:rsidRPr="008C609F">
        <w:t>Relational</w:t>
      </w:r>
      <w:r w:rsidR="00A24588" w:rsidRPr="0070576A">
        <w:t xml:space="preserve"> Practices</w:t>
      </w:r>
    </w:p>
    <w:p w14:paraId="3BD2D157" w14:textId="495E359F" w:rsidR="00A24588" w:rsidRPr="0070576A" w:rsidRDefault="00A24588" w:rsidP="00705170">
      <w:pPr>
        <w:spacing w:after="120" w:line="360" w:lineRule="auto"/>
        <w:jc w:val="both"/>
        <w:rPr>
          <w:rFonts w:ascii="Times New Roman" w:hAnsi="Times New Roman" w:cs="Times New Roman"/>
        </w:rPr>
      </w:pPr>
      <w:r w:rsidRPr="0070576A">
        <w:rPr>
          <w:rFonts w:ascii="Times New Roman" w:hAnsi="Times New Roman" w:cs="Times New Roman"/>
        </w:rPr>
        <w:t xml:space="preserve">There are two points I wish to draw </w:t>
      </w:r>
      <w:r w:rsidR="00705170">
        <w:rPr>
          <w:rFonts w:ascii="Times New Roman" w:hAnsi="Times New Roman" w:cs="Times New Roman"/>
        </w:rPr>
        <w:t>by way</w:t>
      </w:r>
      <w:r w:rsidRPr="0070576A">
        <w:rPr>
          <w:rFonts w:ascii="Times New Roman" w:hAnsi="Times New Roman" w:cs="Times New Roman"/>
        </w:rPr>
        <w:t xml:space="preserve"> of conclusion. The first is that it would be a critical fantasy to suggest feminists were the only writers taking on an intellectual project of looking at something slantways, to critique or refract, in the early 1970s; and it would be a feminist fantasy to suggest that women’s liberation could occur without a direct intervention to juridical practices. But feminist writing circa 1970 did pay attention to something precise, that was distinct and new for jurisprudence. Scholars writing as feminists started asking law questions (or questions about living with law) for themselves. They did so outside of institutional confines (where they were still not welcomed or recognised</w:t>
      </w:r>
      <w:proofErr w:type="gramStart"/>
      <w:r w:rsidRPr="0070576A">
        <w:rPr>
          <w:rFonts w:ascii="Times New Roman" w:hAnsi="Times New Roman" w:cs="Times New Roman"/>
        </w:rPr>
        <w:t>),  and</w:t>
      </w:r>
      <w:proofErr w:type="gramEnd"/>
      <w:r w:rsidRPr="0070576A">
        <w:rPr>
          <w:rFonts w:ascii="Times New Roman" w:hAnsi="Times New Roman" w:cs="Times New Roman"/>
        </w:rPr>
        <w:t xml:space="preserve"> without the imprimatur of the university jurists (including Legal Realists, whose work, despite the changing times, still did not extend to acknowledging women’s experience)</w:t>
      </w:r>
      <w:r w:rsidR="00B01F1F">
        <w:rPr>
          <w:rFonts w:ascii="Times New Roman" w:hAnsi="Times New Roman" w:cs="Times New Roman"/>
        </w:rPr>
        <w:t xml:space="preserve"> (Genovese </w:t>
      </w:r>
      <w:r w:rsidR="00570EDE">
        <w:rPr>
          <w:rFonts w:ascii="Times New Roman" w:hAnsi="Times New Roman" w:cs="Times New Roman"/>
        </w:rPr>
        <w:t xml:space="preserve">2022: 83-86; and see also </w:t>
      </w:r>
      <w:r w:rsidR="008D7A78">
        <w:rPr>
          <w:rFonts w:ascii="Times New Roman" w:hAnsi="Times New Roman" w:cs="Times New Roman"/>
        </w:rPr>
        <w:t>52-72)</w:t>
      </w:r>
      <w:r w:rsidRPr="0070576A">
        <w:rPr>
          <w:rFonts w:ascii="Times New Roman" w:hAnsi="Times New Roman" w:cs="Times New Roman"/>
        </w:rPr>
        <w:t xml:space="preserve">. It was feminists who learned to interrogate the premises of their own disciplinary practices and engage in the robust suspicion of methods that had relegated their personal and collective interests into categories outside their experience of life. And it was feminists who saw the necessity of approaching interdisciplinary engagements as about more than a matter of empirical verification, but as projects of deconstruction and reintroduction, disturbing idealised forms as they wrote. The challenge to ‘empirical objective’ method, the idea of an unmediated singular subject who can be studied and known, and seen and read only in authorised ways, was destabilised by writers like Mitchell and many others. </w:t>
      </w:r>
      <w:proofErr w:type="gramStart"/>
      <w:r w:rsidRPr="0070576A">
        <w:rPr>
          <w:rFonts w:ascii="Times New Roman" w:hAnsi="Times New Roman" w:cs="Times New Roman"/>
        </w:rPr>
        <w:t>Their  techniques</w:t>
      </w:r>
      <w:proofErr w:type="gramEnd"/>
      <w:r w:rsidRPr="0070576A">
        <w:rPr>
          <w:rFonts w:ascii="Times New Roman" w:hAnsi="Times New Roman" w:cs="Times New Roman"/>
        </w:rPr>
        <w:t xml:space="preserve"> </w:t>
      </w:r>
      <w:r w:rsidR="00806A55">
        <w:rPr>
          <w:rFonts w:ascii="Times New Roman" w:hAnsi="Times New Roman" w:cs="Times New Roman"/>
        </w:rPr>
        <w:t>–</w:t>
      </w:r>
      <w:r w:rsidRPr="0070576A">
        <w:rPr>
          <w:rFonts w:ascii="Times New Roman" w:hAnsi="Times New Roman" w:cs="Times New Roman"/>
        </w:rPr>
        <w:t xml:space="preserve"> such</w:t>
      </w:r>
      <w:r w:rsidR="00806A55">
        <w:rPr>
          <w:rFonts w:ascii="Times New Roman" w:hAnsi="Times New Roman" w:cs="Times New Roman"/>
        </w:rPr>
        <w:t xml:space="preserve"> </w:t>
      </w:r>
      <w:r w:rsidRPr="0070576A">
        <w:rPr>
          <w:rFonts w:ascii="Times New Roman" w:hAnsi="Times New Roman" w:cs="Times New Roman"/>
        </w:rPr>
        <w:t xml:space="preserve">as asking feminist questions to reach Marxist answers </w:t>
      </w:r>
      <w:r w:rsidR="00806A55">
        <w:rPr>
          <w:rFonts w:ascii="Times New Roman" w:hAnsi="Times New Roman" w:cs="Times New Roman"/>
        </w:rPr>
        <w:t>–</w:t>
      </w:r>
      <w:r w:rsidRPr="0070576A">
        <w:rPr>
          <w:rFonts w:ascii="Times New Roman" w:hAnsi="Times New Roman" w:cs="Times New Roman"/>
        </w:rPr>
        <w:t xml:space="preserve"> forced</w:t>
      </w:r>
      <w:r w:rsidR="00806A55">
        <w:rPr>
          <w:rFonts w:ascii="Times New Roman" w:hAnsi="Times New Roman" w:cs="Times New Roman"/>
        </w:rPr>
        <w:t xml:space="preserve"> </w:t>
      </w:r>
      <w:r w:rsidRPr="0070576A">
        <w:rPr>
          <w:rFonts w:ascii="Times New Roman" w:hAnsi="Times New Roman" w:cs="Times New Roman"/>
        </w:rPr>
        <w:t xml:space="preserve">into view </w:t>
      </w:r>
      <w:r w:rsidRPr="0070576A">
        <w:rPr>
          <w:rFonts w:ascii="Times New Roman" w:hAnsi="Times New Roman" w:cs="Times New Roman"/>
          <w:i/>
        </w:rPr>
        <w:t>who</w:t>
      </w:r>
      <w:r w:rsidRPr="0070576A">
        <w:rPr>
          <w:rFonts w:ascii="Times New Roman" w:hAnsi="Times New Roman" w:cs="Times New Roman"/>
        </w:rPr>
        <w:t xml:space="preserve"> the subject and author of institutional and disciplinary observation might be, rather than relying on how objects of study (‘woman’, ‘family’) could be uniformly measured</w:t>
      </w:r>
      <w:r w:rsidR="00A9794C">
        <w:rPr>
          <w:rFonts w:ascii="Times New Roman" w:hAnsi="Times New Roman" w:cs="Times New Roman"/>
        </w:rPr>
        <w:t xml:space="preserve"> (Genovese 2022: 52-72)</w:t>
      </w:r>
      <w:r w:rsidRPr="0070576A">
        <w:rPr>
          <w:rFonts w:ascii="Times New Roman" w:hAnsi="Times New Roman" w:cs="Times New Roman"/>
        </w:rPr>
        <w:t xml:space="preserve">. It was this practice that feminists then took with them to law school, into legal practice, into law reform, but most importantly for my project, into the legal academy. By asking feminist questions to reach different disciplinary answers, feminists circa 1970 liberated the idea that knowledge was privileged and contained. They demonstrated that it was possible </w:t>
      </w:r>
      <w:r w:rsidRPr="0070576A">
        <w:rPr>
          <w:rFonts w:ascii="Times New Roman" w:hAnsi="Times New Roman" w:cs="Times New Roman"/>
          <w:bCs/>
        </w:rPr>
        <w:t xml:space="preserve">to break the intellectual fourth wall between personae and personal experience, and </w:t>
      </w:r>
      <w:proofErr w:type="gramStart"/>
      <w:r w:rsidRPr="0070576A">
        <w:rPr>
          <w:rFonts w:ascii="Times New Roman" w:hAnsi="Times New Roman" w:cs="Times New Roman"/>
          <w:bCs/>
        </w:rPr>
        <w:t>as a consequence</w:t>
      </w:r>
      <w:proofErr w:type="gramEnd"/>
      <w:r w:rsidRPr="0070576A">
        <w:rPr>
          <w:rFonts w:ascii="Times New Roman" w:hAnsi="Times New Roman" w:cs="Times New Roman"/>
          <w:bCs/>
        </w:rPr>
        <w:t xml:space="preserve">, refuse expectations of grand theory but nevertheless operationalise traditions of thought through writing. It is these </w:t>
      </w:r>
      <w:r w:rsidRPr="0070576A">
        <w:rPr>
          <w:rFonts w:ascii="Times New Roman" w:hAnsi="Times New Roman" w:cs="Times New Roman"/>
          <w:bCs/>
        </w:rPr>
        <w:lastRenderedPageBreak/>
        <w:t>activities of feminist scholarly life that I</w:t>
      </w:r>
      <w:r w:rsidRPr="0070576A">
        <w:rPr>
          <w:rFonts w:ascii="Times New Roman" w:hAnsi="Times New Roman" w:cs="Times New Roman"/>
        </w:rPr>
        <w:t xml:space="preserve"> think transform law and humanities scholarship, in ways that we do not see so easily now. </w:t>
      </w:r>
    </w:p>
    <w:p w14:paraId="58242A69" w14:textId="59C4CC87" w:rsidR="006D6240" w:rsidRPr="0070576A" w:rsidRDefault="00A24588" w:rsidP="00754D87">
      <w:pPr>
        <w:spacing w:after="120" w:line="360" w:lineRule="auto"/>
        <w:ind w:firstLine="426"/>
        <w:jc w:val="both"/>
        <w:rPr>
          <w:rFonts w:ascii="Times New Roman" w:hAnsi="Times New Roman" w:cs="Times New Roman"/>
        </w:rPr>
      </w:pPr>
      <w:r w:rsidRPr="0070576A">
        <w:rPr>
          <w:rFonts w:ascii="Times New Roman" w:hAnsi="Times New Roman" w:cs="Times New Roman"/>
        </w:rPr>
        <w:t xml:space="preserve">The second observation I would offer is that writing able to be described as ‘feminist’ from the early 1970s did not seek internal </w:t>
      </w:r>
      <w:proofErr w:type="gramStart"/>
      <w:r w:rsidRPr="0070576A">
        <w:rPr>
          <w:rFonts w:ascii="Times New Roman" w:hAnsi="Times New Roman" w:cs="Times New Roman"/>
        </w:rPr>
        <w:t>agreement, but</w:t>
      </w:r>
      <w:proofErr w:type="gramEnd"/>
      <w:r w:rsidRPr="0070576A">
        <w:rPr>
          <w:rFonts w:ascii="Times New Roman" w:hAnsi="Times New Roman" w:cs="Times New Roman"/>
        </w:rPr>
        <w:t xml:space="preserve"> did propose a different formulation of knowledge relations.</w:t>
      </w:r>
      <w:r w:rsidR="00754D87">
        <w:rPr>
          <w:rFonts w:ascii="Times New Roman" w:hAnsi="Times New Roman" w:cs="Times New Roman"/>
        </w:rPr>
        <w:t xml:space="preserve"> </w:t>
      </w:r>
      <w:r w:rsidRPr="0070576A">
        <w:rPr>
          <w:rFonts w:ascii="Times New Roman" w:hAnsi="Times New Roman" w:cs="Times New Roman"/>
        </w:rPr>
        <w:t xml:space="preserve">I started this essay with an acknowledgment of the work of Italian feminist writers, to make a point about the integral role of spaces to the creation and transformation of those relations. The experience of what happened at the </w:t>
      </w:r>
      <w:proofErr w:type="gramStart"/>
      <w:r w:rsidRPr="0070576A">
        <w:rPr>
          <w:rFonts w:ascii="Times New Roman" w:hAnsi="Times New Roman" w:cs="Times New Roman"/>
        </w:rPr>
        <w:t>Bookstore</w:t>
      </w:r>
      <w:proofErr w:type="gramEnd"/>
      <w:r w:rsidRPr="0070576A">
        <w:rPr>
          <w:rFonts w:ascii="Times New Roman" w:hAnsi="Times New Roman" w:cs="Times New Roman"/>
        </w:rPr>
        <w:t xml:space="preserve"> in Milan is not of course transposable to Women’s Liberation House in Sydney or </w:t>
      </w:r>
      <w:r w:rsidR="00A21597">
        <w:rPr>
          <w:rFonts w:ascii="Times New Roman" w:hAnsi="Times New Roman" w:cs="Times New Roman"/>
        </w:rPr>
        <w:t xml:space="preserve">the </w:t>
      </w:r>
      <w:r w:rsidRPr="0070576A">
        <w:rPr>
          <w:rFonts w:ascii="Times New Roman" w:hAnsi="Times New Roman" w:cs="Times New Roman"/>
        </w:rPr>
        <w:t xml:space="preserve">Women’s Library in London, for just some examples. But the encapsulation of what happens when you and your friends stock the shelves of those spaces I think remains </w:t>
      </w:r>
      <w:proofErr w:type="gramStart"/>
      <w:r w:rsidRPr="0070576A">
        <w:rPr>
          <w:rFonts w:ascii="Times New Roman" w:hAnsi="Times New Roman" w:cs="Times New Roman"/>
        </w:rPr>
        <w:t>instructive, and</w:t>
      </w:r>
      <w:proofErr w:type="gramEnd"/>
      <w:r w:rsidRPr="0070576A">
        <w:rPr>
          <w:rFonts w:ascii="Times New Roman" w:hAnsi="Times New Roman" w:cs="Times New Roman"/>
        </w:rPr>
        <w:t xml:space="preserve"> aids my own exercise of naming and explaining feminist jurisography. The activity of women’s liberationists was not simply to read a shelf of women’s work that carried shared meaning because it was already known and admired. It was to ‘search for language of gendered mediation’</w:t>
      </w:r>
      <w:r w:rsidR="00177130">
        <w:rPr>
          <w:rFonts w:ascii="Times New Roman" w:hAnsi="Times New Roman" w:cs="Times New Roman"/>
        </w:rPr>
        <w:t xml:space="preserve"> (The Milan Women’s Bookstore Collective 1990: 113)</w:t>
      </w:r>
      <w:r w:rsidRPr="0070576A">
        <w:rPr>
          <w:rFonts w:ascii="Times New Roman" w:hAnsi="Times New Roman" w:cs="Times New Roman"/>
        </w:rPr>
        <w:t xml:space="preserve"> in those books because of the work the author did to reassess and rethink ‘the horizon’ of imbalanced knowledge, where the ‘measures of value are male’</w:t>
      </w:r>
      <w:r w:rsidR="00E328E1">
        <w:rPr>
          <w:rFonts w:ascii="Times New Roman" w:hAnsi="Times New Roman" w:cs="Times New Roman"/>
        </w:rPr>
        <w:t xml:space="preserve"> (ibid: 112)</w:t>
      </w:r>
      <w:r w:rsidRPr="0070576A">
        <w:rPr>
          <w:rFonts w:ascii="Times New Roman" w:hAnsi="Times New Roman" w:cs="Times New Roman"/>
        </w:rPr>
        <w:t xml:space="preserve">. Examining the writing of those who wrote before you, those who understood and exposed disparity and imbalance as a problem and a lived experience, became an activity in and of </w:t>
      </w:r>
      <w:proofErr w:type="gramStart"/>
      <w:r w:rsidRPr="0070576A">
        <w:rPr>
          <w:rFonts w:ascii="Times New Roman" w:hAnsi="Times New Roman" w:cs="Times New Roman"/>
        </w:rPr>
        <w:t>itself;</w:t>
      </w:r>
      <w:proofErr w:type="gramEnd"/>
      <w:r w:rsidRPr="0070576A">
        <w:rPr>
          <w:rFonts w:ascii="Times New Roman" w:hAnsi="Times New Roman" w:cs="Times New Roman"/>
        </w:rPr>
        <w:t xml:space="preserve"> a creation of a different symbolic ordering. ‘As long as the imbalance registered was one of women compared to man the horizon was neutral</w:t>
      </w:r>
      <w:r w:rsidR="00C17C1B">
        <w:rPr>
          <w:rFonts w:ascii="Times New Roman" w:hAnsi="Times New Roman" w:cs="Times New Roman"/>
        </w:rPr>
        <w:t>’</w:t>
      </w:r>
      <w:r w:rsidRPr="0070576A">
        <w:rPr>
          <w:rFonts w:ascii="Times New Roman" w:hAnsi="Times New Roman" w:cs="Times New Roman"/>
        </w:rPr>
        <w:t>, the Milan Collective wrote in 1979. ‘A neutral justice ordered women not to compare themselves to one another, promising to bring them to equality with men, with th</w:t>
      </w:r>
      <w:r w:rsidR="00F17B12">
        <w:rPr>
          <w:rFonts w:ascii="Times New Roman" w:hAnsi="Times New Roman" w:cs="Times New Roman"/>
        </w:rPr>
        <w:t>e</w:t>
      </w:r>
      <w:r w:rsidRPr="0070576A">
        <w:rPr>
          <w:rFonts w:ascii="Times New Roman" w:hAnsi="Times New Roman" w:cs="Times New Roman"/>
        </w:rPr>
        <w:t xml:space="preserve"> result that female experience stayed imprisoned in itself, without social translation’</w:t>
      </w:r>
      <w:r w:rsidR="00C17C1B">
        <w:rPr>
          <w:rFonts w:ascii="Times New Roman" w:hAnsi="Times New Roman" w:cs="Times New Roman"/>
        </w:rPr>
        <w:t xml:space="preserve"> (ibid: 115)</w:t>
      </w:r>
      <w:r w:rsidRPr="0070576A">
        <w:rPr>
          <w:rFonts w:ascii="Times New Roman" w:hAnsi="Times New Roman" w:cs="Times New Roman"/>
        </w:rPr>
        <w:t xml:space="preserve">. </w:t>
      </w:r>
      <w:r w:rsidR="006D6240" w:rsidRPr="0070576A">
        <w:rPr>
          <w:rFonts w:ascii="Times New Roman" w:hAnsi="Times New Roman" w:cs="Times New Roman"/>
        </w:rPr>
        <w:t xml:space="preserve">Instead, the starting point and practices of reading then writing, they argued, and as experiences at 67 Glebe Point Road showed, could be relations of trust with each other, in and over time. </w:t>
      </w:r>
    </w:p>
    <w:p w14:paraId="1F0E9073" w14:textId="0A3BACA9" w:rsidR="007F1897" w:rsidRDefault="006D6240" w:rsidP="00802B92">
      <w:pPr>
        <w:spacing w:after="120" w:line="360" w:lineRule="auto"/>
        <w:ind w:firstLine="426"/>
        <w:jc w:val="both"/>
        <w:rPr>
          <w:rFonts w:ascii="Times New Roman" w:hAnsi="Times New Roman" w:cs="Times New Roman"/>
        </w:rPr>
      </w:pPr>
      <w:r w:rsidRPr="0070576A">
        <w:rPr>
          <w:rFonts w:ascii="Times New Roman" w:hAnsi="Times New Roman" w:cs="Times New Roman"/>
        </w:rPr>
        <w:t>My point is that the books written by those who learned from these shelves circa 1970 transformed the aspiration of a neutral and naturalised knowledge production and transmission.</w:t>
      </w:r>
      <w:r w:rsidR="004A59E5" w:rsidRPr="0070576A">
        <w:rPr>
          <w:rFonts w:ascii="Times New Roman" w:hAnsi="Times New Roman" w:cs="Times New Roman"/>
        </w:rPr>
        <w:t xml:space="preserve"> </w:t>
      </w:r>
      <w:r w:rsidRPr="0070576A">
        <w:rPr>
          <w:rFonts w:ascii="Times New Roman" w:hAnsi="Times New Roman" w:cs="Times New Roman"/>
        </w:rPr>
        <w:t xml:space="preserve">The texts of feminist intellectuals were, and remain, acts of social translation in which female experience was liberated with rigour, attitude and style. Their material and symbolic conducts with knowledge authorised a different starting point for all kinds of writing and new institutional relationships. It is this legacy that I </w:t>
      </w:r>
      <w:r w:rsidR="00FE5BE4" w:rsidRPr="0070576A">
        <w:rPr>
          <w:rFonts w:ascii="Times New Roman" w:hAnsi="Times New Roman" w:cs="Times New Roman"/>
        </w:rPr>
        <w:t xml:space="preserve">set out to </w:t>
      </w:r>
      <w:r w:rsidRPr="0070576A">
        <w:rPr>
          <w:rFonts w:ascii="Times New Roman" w:hAnsi="Times New Roman" w:cs="Times New Roman"/>
        </w:rPr>
        <w:t>explore as an act of acknowledgment</w:t>
      </w:r>
      <w:r w:rsidR="00B840E6">
        <w:rPr>
          <w:rFonts w:ascii="Times New Roman" w:hAnsi="Times New Roman" w:cs="Times New Roman"/>
        </w:rPr>
        <w:t xml:space="preserve"> –</w:t>
      </w:r>
      <w:r w:rsidRPr="0070576A">
        <w:rPr>
          <w:rFonts w:ascii="Times New Roman" w:hAnsi="Times New Roman" w:cs="Times New Roman"/>
        </w:rPr>
        <w:t xml:space="preserve"> and</w:t>
      </w:r>
      <w:r w:rsidR="00B840E6">
        <w:rPr>
          <w:rFonts w:ascii="Times New Roman" w:hAnsi="Times New Roman" w:cs="Times New Roman"/>
        </w:rPr>
        <w:t xml:space="preserve"> </w:t>
      </w:r>
      <w:r w:rsidRPr="0070576A">
        <w:rPr>
          <w:rFonts w:ascii="Times New Roman" w:hAnsi="Times New Roman" w:cs="Times New Roman"/>
        </w:rPr>
        <w:t>of literal genealogy of my own experience</w:t>
      </w:r>
      <w:r w:rsidR="00EC60A9">
        <w:rPr>
          <w:rFonts w:ascii="Times New Roman" w:hAnsi="Times New Roman" w:cs="Times New Roman"/>
        </w:rPr>
        <w:t xml:space="preserve"> </w:t>
      </w:r>
      <w:r w:rsidR="00B840E6">
        <w:rPr>
          <w:rFonts w:ascii="Times New Roman" w:hAnsi="Times New Roman" w:cs="Times New Roman"/>
        </w:rPr>
        <w:t>–</w:t>
      </w:r>
      <w:r w:rsidRPr="0070576A">
        <w:rPr>
          <w:rFonts w:ascii="Times New Roman" w:hAnsi="Times New Roman" w:cs="Times New Roman"/>
        </w:rPr>
        <w:t xml:space="preserve"> in</w:t>
      </w:r>
      <w:r w:rsidR="00B840E6">
        <w:rPr>
          <w:rFonts w:ascii="Times New Roman" w:hAnsi="Times New Roman" w:cs="Times New Roman"/>
        </w:rPr>
        <w:t xml:space="preserve"> </w:t>
      </w:r>
      <w:r w:rsidRPr="0070576A">
        <w:rPr>
          <w:rFonts w:ascii="Times New Roman" w:hAnsi="Times New Roman" w:cs="Times New Roman"/>
          <w:i/>
          <w:iCs/>
        </w:rPr>
        <w:t xml:space="preserve">Feminist </w:t>
      </w:r>
      <w:proofErr w:type="spellStart"/>
      <w:r w:rsidRPr="0070576A">
        <w:rPr>
          <w:rFonts w:ascii="Times New Roman" w:hAnsi="Times New Roman" w:cs="Times New Roman"/>
          <w:i/>
          <w:iCs/>
        </w:rPr>
        <w:t>Jurisography</w:t>
      </w:r>
      <w:proofErr w:type="spellEnd"/>
      <w:r w:rsidRPr="0070576A">
        <w:rPr>
          <w:rFonts w:ascii="Times New Roman" w:hAnsi="Times New Roman" w:cs="Times New Roman"/>
          <w:i/>
          <w:iCs/>
        </w:rPr>
        <w:t>.</w:t>
      </w:r>
    </w:p>
    <w:p w14:paraId="4AF851FF" w14:textId="77777777" w:rsidR="007617F3" w:rsidRDefault="007617F3" w:rsidP="007617F3">
      <w:pPr>
        <w:spacing w:after="120" w:line="360" w:lineRule="auto"/>
        <w:jc w:val="both"/>
        <w:rPr>
          <w:rFonts w:ascii="Times New Roman" w:hAnsi="Times New Roman" w:cs="Times New Roman"/>
        </w:rPr>
      </w:pPr>
    </w:p>
    <w:p w14:paraId="412566A7" w14:textId="75FE44EF" w:rsidR="007617F3" w:rsidRDefault="007617F3" w:rsidP="007617F3">
      <w:pPr>
        <w:pStyle w:val="Heading1"/>
      </w:pPr>
      <w:r>
        <w:t>References</w:t>
      </w:r>
    </w:p>
    <w:p w14:paraId="26DAC934" w14:textId="77777777" w:rsidR="006201B4" w:rsidRPr="0070576A" w:rsidRDefault="006201B4" w:rsidP="006201B4">
      <w:pPr>
        <w:spacing w:beforeLines="60" w:before="144"/>
        <w:rPr>
          <w:rFonts w:ascii="Times" w:hAnsi="Times"/>
        </w:rPr>
      </w:pPr>
      <w:r w:rsidRPr="0070576A">
        <w:rPr>
          <w:rFonts w:ascii="Times New Roman" w:hAnsi="Times New Roman" w:cs="Times New Roman"/>
        </w:rPr>
        <w:t>Ahmed</w:t>
      </w:r>
      <w:r>
        <w:rPr>
          <w:rFonts w:ascii="Times New Roman" w:hAnsi="Times New Roman" w:cs="Times New Roman"/>
        </w:rPr>
        <w:t>,</w:t>
      </w:r>
      <w:r w:rsidRPr="0070576A">
        <w:rPr>
          <w:rFonts w:ascii="Times New Roman" w:hAnsi="Times New Roman" w:cs="Times New Roman"/>
        </w:rPr>
        <w:t xml:space="preserve"> S</w:t>
      </w:r>
      <w:r>
        <w:rPr>
          <w:rFonts w:ascii="Times New Roman" w:hAnsi="Times New Roman" w:cs="Times New Roman"/>
        </w:rPr>
        <w:t>.</w:t>
      </w:r>
      <w:r w:rsidRPr="0070576A">
        <w:rPr>
          <w:rFonts w:ascii="Times New Roman" w:hAnsi="Times New Roman" w:cs="Times New Roman"/>
        </w:rPr>
        <w:t xml:space="preserve"> 2017</w:t>
      </w:r>
      <w:r>
        <w:rPr>
          <w:rFonts w:ascii="Times New Roman" w:hAnsi="Times New Roman" w:cs="Times New Roman"/>
        </w:rPr>
        <w:t>.</w:t>
      </w:r>
      <w:r w:rsidRPr="0070576A">
        <w:rPr>
          <w:rFonts w:ascii="Times New Roman" w:hAnsi="Times New Roman" w:cs="Times New Roman"/>
        </w:rPr>
        <w:t xml:space="preserve"> </w:t>
      </w:r>
      <w:r w:rsidRPr="0070576A">
        <w:rPr>
          <w:rFonts w:ascii="Times New Roman" w:hAnsi="Times New Roman" w:cs="Times New Roman"/>
          <w:i/>
          <w:iCs/>
        </w:rPr>
        <w:t>Living a Feminist Life</w:t>
      </w:r>
      <w:r>
        <w:rPr>
          <w:rFonts w:ascii="Times New Roman" w:hAnsi="Times New Roman" w:cs="Times New Roman"/>
        </w:rPr>
        <w:t xml:space="preserve">. </w:t>
      </w:r>
      <w:r w:rsidRPr="0070576A">
        <w:rPr>
          <w:rFonts w:ascii="Times New Roman" w:hAnsi="Times New Roman" w:cs="Times New Roman"/>
        </w:rPr>
        <w:t>Duke University Press</w:t>
      </w:r>
      <w:r>
        <w:rPr>
          <w:rFonts w:ascii="Times New Roman" w:hAnsi="Times New Roman" w:cs="Times New Roman"/>
        </w:rPr>
        <w:t>,</w:t>
      </w:r>
      <w:r w:rsidRPr="0070576A">
        <w:rPr>
          <w:rFonts w:ascii="Times New Roman" w:hAnsi="Times New Roman" w:cs="Times New Roman"/>
        </w:rPr>
        <w:t xml:space="preserve"> Durham</w:t>
      </w:r>
      <w:r>
        <w:rPr>
          <w:rFonts w:ascii="Times New Roman" w:hAnsi="Times New Roman" w:cs="Times New Roman"/>
        </w:rPr>
        <w:t>.</w:t>
      </w:r>
      <w:r w:rsidRPr="0070576A">
        <w:rPr>
          <w:rFonts w:ascii="Times" w:hAnsi="Times"/>
        </w:rPr>
        <w:t xml:space="preserve"> </w:t>
      </w:r>
    </w:p>
    <w:p w14:paraId="32658F82" w14:textId="4F0BD16E" w:rsidR="006201B4" w:rsidRPr="0070576A" w:rsidRDefault="006201B4" w:rsidP="006201B4">
      <w:pPr>
        <w:spacing w:beforeLines="60" w:before="144"/>
        <w:rPr>
          <w:rFonts w:ascii="Times" w:hAnsi="Times"/>
          <w:color w:val="000000"/>
        </w:rPr>
      </w:pPr>
      <w:r w:rsidRPr="0070576A">
        <w:rPr>
          <w:rFonts w:ascii="Times" w:hAnsi="Times"/>
        </w:rPr>
        <w:t>Bashford</w:t>
      </w:r>
      <w:r>
        <w:rPr>
          <w:rFonts w:ascii="Times" w:hAnsi="Times"/>
        </w:rPr>
        <w:t>,</w:t>
      </w:r>
      <w:r w:rsidRPr="0070576A">
        <w:rPr>
          <w:rFonts w:ascii="Times" w:hAnsi="Times"/>
        </w:rPr>
        <w:t xml:space="preserve"> A</w:t>
      </w:r>
      <w:r>
        <w:rPr>
          <w:rFonts w:ascii="Times" w:hAnsi="Times"/>
        </w:rPr>
        <w:t>.</w:t>
      </w:r>
      <w:r w:rsidRPr="0070576A">
        <w:rPr>
          <w:rFonts w:ascii="Times" w:hAnsi="Times"/>
        </w:rPr>
        <w:t xml:space="preserve"> 1998</w:t>
      </w:r>
      <w:r>
        <w:rPr>
          <w:rFonts w:ascii="Times" w:hAnsi="Times"/>
        </w:rPr>
        <w:t>.</w:t>
      </w:r>
      <w:r w:rsidRPr="0070576A">
        <w:rPr>
          <w:rFonts w:ascii="Times" w:hAnsi="Times"/>
        </w:rPr>
        <w:t xml:space="preserve"> ‘The Return of the Repressed: Feminism in the Quad’</w:t>
      </w:r>
      <w:r>
        <w:rPr>
          <w:rFonts w:ascii="Times" w:hAnsi="Times"/>
        </w:rPr>
        <w:t>,</w:t>
      </w:r>
      <w:r w:rsidRPr="0070576A">
        <w:rPr>
          <w:rFonts w:ascii="Times" w:hAnsi="Times"/>
        </w:rPr>
        <w:t xml:space="preserve"> </w:t>
      </w:r>
      <w:r w:rsidRPr="0070576A">
        <w:rPr>
          <w:rFonts w:ascii="Times" w:hAnsi="Times"/>
          <w:i/>
          <w:iCs/>
        </w:rPr>
        <w:t>Australian Feminist Studies</w:t>
      </w:r>
      <w:r w:rsidRPr="0070576A">
        <w:rPr>
          <w:rFonts w:ascii="Times" w:hAnsi="Times"/>
        </w:rPr>
        <w:t xml:space="preserve"> 13/27: 47</w:t>
      </w:r>
      <w:r w:rsidR="00CB17B9">
        <w:rPr>
          <w:rFonts w:ascii="Times" w:hAnsi="Times"/>
        </w:rPr>
        <w:t>-</w:t>
      </w:r>
      <w:r w:rsidRPr="0070576A">
        <w:rPr>
          <w:rFonts w:ascii="Times" w:hAnsi="Times"/>
        </w:rPr>
        <w:t>53</w:t>
      </w:r>
      <w:r>
        <w:rPr>
          <w:rFonts w:ascii="Times" w:hAnsi="Times"/>
        </w:rPr>
        <w:t>.</w:t>
      </w:r>
    </w:p>
    <w:p w14:paraId="7D3F355E" w14:textId="4C522C2E" w:rsidR="006201B4" w:rsidRPr="0070576A" w:rsidRDefault="006201B4" w:rsidP="006201B4">
      <w:pPr>
        <w:spacing w:beforeLines="60" w:before="144"/>
        <w:rPr>
          <w:rFonts w:ascii="Times" w:hAnsi="Times"/>
          <w:color w:val="000000"/>
        </w:rPr>
      </w:pPr>
      <w:r w:rsidRPr="0070576A">
        <w:rPr>
          <w:rFonts w:ascii="Times" w:hAnsi="Times"/>
          <w:color w:val="000000"/>
        </w:rPr>
        <w:t>Beauvoir</w:t>
      </w:r>
      <w:r>
        <w:rPr>
          <w:rFonts w:ascii="Times" w:hAnsi="Times"/>
          <w:color w:val="000000"/>
        </w:rPr>
        <w:t>,</w:t>
      </w:r>
      <w:r w:rsidRPr="0070576A">
        <w:rPr>
          <w:rFonts w:ascii="Times" w:hAnsi="Times"/>
          <w:color w:val="000000"/>
        </w:rPr>
        <w:t xml:space="preserve"> S</w:t>
      </w:r>
      <w:r>
        <w:rPr>
          <w:rFonts w:ascii="Times" w:hAnsi="Times"/>
          <w:color w:val="000000"/>
        </w:rPr>
        <w:t>.</w:t>
      </w:r>
      <w:r w:rsidRPr="0070576A">
        <w:rPr>
          <w:rFonts w:ascii="Times" w:hAnsi="Times"/>
          <w:color w:val="000000"/>
        </w:rPr>
        <w:t xml:space="preserve"> de</w:t>
      </w:r>
      <w:r w:rsidR="00D1049B">
        <w:rPr>
          <w:rFonts w:ascii="Times" w:hAnsi="Times"/>
          <w:color w:val="000000"/>
        </w:rPr>
        <w:t>.</w:t>
      </w:r>
      <w:r w:rsidRPr="0070576A">
        <w:rPr>
          <w:rFonts w:ascii="Times" w:hAnsi="Times"/>
          <w:color w:val="000000"/>
        </w:rPr>
        <w:t xml:space="preserve"> 2011</w:t>
      </w:r>
      <w:r>
        <w:rPr>
          <w:rFonts w:ascii="Times" w:hAnsi="Times"/>
          <w:color w:val="000000"/>
        </w:rPr>
        <w:t>.</w:t>
      </w:r>
      <w:r w:rsidRPr="0070576A">
        <w:rPr>
          <w:rFonts w:ascii="Times" w:hAnsi="Times"/>
          <w:color w:val="000000"/>
        </w:rPr>
        <w:t xml:space="preserve"> </w:t>
      </w:r>
      <w:r w:rsidRPr="0070576A">
        <w:rPr>
          <w:rFonts w:ascii="Times" w:hAnsi="Times"/>
          <w:i/>
          <w:iCs/>
          <w:color w:val="000000"/>
        </w:rPr>
        <w:t>The Second Sex</w:t>
      </w:r>
      <w:r>
        <w:rPr>
          <w:rFonts w:ascii="Times" w:hAnsi="Times"/>
          <w:color w:val="000000"/>
        </w:rPr>
        <w:t xml:space="preserve">. </w:t>
      </w:r>
      <w:r w:rsidRPr="0070576A">
        <w:rPr>
          <w:rFonts w:ascii="Times" w:hAnsi="Times"/>
          <w:color w:val="000000"/>
        </w:rPr>
        <w:t>Trans</w:t>
      </w:r>
      <w:r>
        <w:rPr>
          <w:rFonts w:ascii="Times" w:hAnsi="Times"/>
          <w:color w:val="000000"/>
        </w:rPr>
        <w:t>.</w:t>
      </w:r>
      <w:r w:rsidRPr="0070576A">
        <w:rPr>
          <w:rFonts w:ascii="Times" w:hAnsi="Times"/>
          <w:color w:val="000000"/>
        </w:rPr>
        <w:t xml:space="preserve"> C</w:t>
      </w:r>
      <w:r>
        <w:rPr>
          <w:rFonts w:ascii="Times" w:hAnsi="Times"/>
          <w:color w:val="000000"/>
        </w:rPr>
        <w:t>.</w:t>
      </w:r>
      <w:r w:rsidRPr="0070576A">
        <w:rPr>
          <w:rFonts w:ascii="Times" w:hAnsi="Times"/>
          <w:color w:val="000000"/>
        </w:rPr>
        <w:t xml:space="preserve"> Borde and S</w:t>
      </w:r>
      <w:r>
        <w:rPr>
          <w:rFonts w:ascii="Times" w:hAnsi="Times"/>
          <w:color w:val="000000"/>
        </w:rPr>
        <w:t>.</w:t>
      </w:r>
      <w:r w:rsidRPr="0070576A">
        <w:rPr>
          <w:rFonts w:ascii="Times" w:hAnsi="Times"/>
          <w:color w:val="000000"/>
        </w:rPr>
        <w:t xml:space="preserve"> </w:t>
      </w:r>
      <w:proofErr w:type="spellStart"/>
      <w:r w:rsidRPr="0070576A">
        <w:rPr>
          <w:rFonts w:ascii="Times" w:hAnsi="Times"/>
          <w:color w:val="000000"/>
        </w:rPr>
        <w:t>Malovany</w:t>
      </w:r>
      <w:proofErr w:type="spellEnd"/>
      <w:r w:rsidRPr="0070576A">
        <w:rPr>
          <w:rFonts w:ascii="Times" w:hAnsi="Times"/>
          <w:color w:val="000000"/>
        </w:rPr>
        <w:t>-Chevallier</w:t>
      </w:r>
      <w:r>
        <w:rPr>
          <w:rFonts w:ascii="Times" w:hAnsi="Times"/>
          <w:color w:val="000000"/>
        </w:rPr>
        <w:t>.</w:t>
      </w:r>
      <w:r w:rsidRPr="0070576A">
        <w:rPr>
          <w:rFonts w:ascii="Times" w:hAnsi="Times"/>
          <w:color w:val="000000"/>
        </w:rPr>
        <w:t xml:space="preserve"> Vintage</w:t>
      </w:r>
      <w:r>
        <w:rPr>
          <w:rFonts w:ascii="Times" w:hAnsi="Times"/>
          <w:color w:val="000000"/>
        </w:rPr>
        <w:t>,</w:t>
      </w:r>
      <w:r w:rsidRPr="0070576A">
        <w:rPr>
          <w:rFonts w:ascii="Times" w:hAnsi="Times"/>
          <w:color w:val="000000"/>
        </w:rPr>
        <w:t xml:space="preserve"> New York (first published 1949).</w:t>
      </w:r>
    </w:p>
    <w:p w14:paraId="7CEF561C" w14:textId="75A15044" w:rsidR="006201B4" w:rsidRPr="0070576A" w:rsidRDefault="006201B4" w:rsidP="006201B4">
      <w:pPr>
        <w:pStyle w:val="EndnoteText"/>
        <w:spacing w:beforeLines="60" w:before="144"/>
        <w:rPr>
          <w:rFonts w:ascii="Times" w:hAnsi="Times"/>
          <w:sz w:val="24"/>
          <w:szCs w:val="24"/>
        </w:rPr>
      </w:pPr>
      <w:r w:rsidRPr="0070576A">
        <w:rPr>
          <w:rFonts w:ascii="Times" w:hAnsi="Times"/>
          <w:sz w:val="24"/>
          <w:szCs w:val="24"/>
        </w:rPr>
        <w:t>Çakmak</w:t>
      </w:r>
      <w:r>
        <w:rPr>
          <w:rFonts w:ascii="Times" w:hAnsi="Times"/>
          <w:sz w:val="24"/>
          <w:szCs w:val="24"/>
        </w:rPr>
        <w:t>,</w:t>
      </w:r>
      <w:r w:rsidRPr="0070576A">
        <w:rPr>
          <w:rFonts w:ascii="Times" w:hAnsi="Times"/>
          <w:sz w:val="24"/>
          <w:szCs w:val="24"/>
        </w:rPr>
        <w:t xml:space="preserve"> E</w:t>
      </w:r>
      <w:r>
        <w:rPr>
          <w:rFonts w:ascii="Times" w:hAnsi="Times"/>
          <w:sz w:val="24"/>
          <w:szCs w:val="24"/>
        </w:rPr>
        <w:t>.</w:t>
      </w:r>
      <w:r w:rsidRPr="0070576A">
        <w:rPr>
          <w:rFonts w:ascii="Times" w:hAnsi="Times"/>
          <w:sz w:val="24"/>
          <w:szCs w:val="24"/>
        </w:rPr>
        <w:t>E</w:t>
      </w:r>
      <w:r>
        <w:rPr>
          <w:rFonts w:ascii="Times" w:hAnsi="Times"/>
          <w:sz w:val="24"/>
          <w:szCs w:val="24"/>
        </w:rPr>
        <w:t>.</w:t>
      </w:r>
      <w:r w:rsidRPr="0070576A">
        <w:rPr>
          <w:rFonts w:ascii="Times" w:hAnsi="Times"/>
          <w:sz w:val="24"/>
          <w:szCs w:val="24"/>
        </w:rPr>
        <w:t>, Mitchell</w:t>
      </w:r>
      <w:r>
        <w:rPr>
          <w:rFonts w:ascii="Times" w:hAnsi="Times"/>
          <w:sz w:val="24"/>
          <w:szCs w:val="24"/>
        </w:rPr>
        <w:t>,</w:t>
      </w:r>
      <w:r w:rsidRPr="0070576A">
        <w:rPr>
          <w:rFonts w:ascii="Times" w:hAnsi="Times"/>
          <w:sz w:val="24"/>
          <w:szCs w:val="24"/>
        </w:rPr>
        <w:t xml:space="preserve"> J</w:t>
      </w:r>
      <w:r>
        <w:rPr>
          <w:rFonts w:ascii="Times" w:hAnsi="Times"/>
          <w:sz w:val="24"/>
          <w:szCs w:val="24"/>
        </w:rPr>
        <w:t>.</w:t>
      </w:r>
      <w:r w:rsidRPr="0070576A">
        <w:rPr>
          <w:rFonts w:ascii="Times" w:hAnsi="Times"/>
          <w:sz w:val="24"/>
          <w:szCs w:val="24"/>
        </w:rPr>
        <w:t xml:space="preserve"> and Somay</w:t>
      </w:r>
      <w:r>
        <w:rPr>
          <w:rFonts w:ascii="Times" w:hAnsi="Times"/>
          <w:sz w:val="24"/>
          <w:szCs w:val="24"/>
        </w:rPr>
        <w:t>,</w:t>
      </w:r>
      <w:r w:rsidRPr="0070576A">
        <w:rPr>
          <w:rFonts w:ascii="Times" w:hAnsi="Times"/>
          <w:sz w:val="24"/>
          <w:szCs w:val="24"/>
        </w:rPr>
        <w:t xml:space="preserve"> B</w:t>
      </w:r>
      <w:r>
        <w:rPr>
          <w:rFonts w:ascii="Times" w:hAnsi="Times"/>
          <w:sz w:val="24"/>
          <w:szCs w:val="24"/>
        </w:rPr>
        <w:t>.</w:t>
      </w:r>
      <w:r w:rsidRPr="0070576A">
        <w:rPr>
          <w:rFonts w:ascii="Times" w:hAnsi="Times"/>
          <w:sz w:val="24"/>
          <w:szCs w:val="24"/>
        </w:rPr>
        <w:t xml:space="preserve"> 2006</w:t>
      </w:r>
      <w:r>
        <w:rPr>
          <w:rFonts w:ascii="Times" w:hAnsi="Times"/>
          <w:sz w:val="24"/>
          <w:szCs w:val="24"/>
        </w:rPr>
        <w:t>.</w:t>
      </w:r>
      <w:r w:rsidRPr="0070576A">
        <w:rPr>
          <w:rFonts w:ascii="Times" w:hAnsi="Times"/>
          <w:sz w:val="24"/>
          <w:szCs w:val="24"/>
        </w:rPr>
        <w:t xml:space="preserve"> ‘There is </w:t>
      </w:r>
      <w:r w:rsidR="00EC068E">
        <w:rPr>
          <w:rFonts w:ascii="Times" w:hAnsi="Times"/>
          <w:sz w:val="24"/>
          <w:szCs w:val="24"/>
        </w:rPr>
        <w:t>N</w:t>
      </w:r>
      <w:r w:rsidRPr="0070576A">
        <w:rPr>
          <w:rFonts w:ascii="Times" w:hAnsi="Times"/>
          <w:sz w:val="24"/>
          <w:szCs w:val="24"/>
        </w:rPr>
        <w:t xml:space="preserve">ever a </w:t>
      </w:r>
      <w:r w:rsidR="00EC068E">
        <w:rPr>
          <w:rFonts w:ascii="Times" w:hAnsi="Times"/>
          <w:sz w:val="24"/>
          <w:szCs w:val="24"/>
        </w:rPr>
        <w:t>P</w:t>
      </w:r>
      <w:r w:rsidRPr="0070576A">
        <w:rPr>
          <w:rFonts w:ascii="Times" w:hAnsi="Times"/>
          <w:sz w:val="24"/>
          <w:szCs w:val="24"/>
        </w:rPr>
        <w:t xml:space="preserve">sychopathology </w:t>
      </w:r>
      <w:r w:rsidR="00EC068E">
        <w:rPr>
          <w:rFonts w:ascii="Times" w:hAnsi="Times"/>
          <w:sz w:val="24"/>
          <w:szCs w:val="24"/>
        </w:rPr>
        <w:t>W</w:t>
      </w:r>
      <w:r w:rsidRPr="0070576A">
        <w:rPr>
          <w:rFonts w:ascii="Times" w:hAnsi="Times"/>
          <w:sz w:val="24"/>
          <w:szCs w:val="24"/>
        </w:rPr>
        <w:t xml:space="preserve">ithout </w:t>
      </w:r>
      <w:r w:rsidRPr="00E36070">
        <w:rPr>
          <w:rFonts w:ascii="Times" w:hAnsi="Times"/>
          <w:sz w:val="24"/>
          <w:szCs w:val="24"/>
        </w:rPr>
        <w:t xml:space="preserve">the </w:t>
      </w:r>
      <w:r w:rsidR="00EC068E" w:rsidRPr="00E36070">
        <w:rPr>
          <w:rFonts w:ascii="Times" w:hAnsi="Times"/>
          <w:sz w:val="24"/>
          <w:szCs w:val="24"/>
        </w:rPr>
        <w:t>S</w:t>
      </w:r>
      <w:r w:rsidRPr="00E36070">
        <w:rPr>
          <w:rFonts w:ascii="Times" w:hAnsi="Times"/>
          <w:sz w:val="24"/>
          <w:szCs w:val="24"/>
        </w:rPr>
        <w:t xml:space="preserve">ocial </w:t>
      </w:r>
      <w:r w:rsidR="00EC068E" w:rsidRPr="00E36070">
        <w:rPr>
          <w:rFonts w:ascii="Times" w:hAnsi="Times"/>
          <w:sz w:val="24"/>
          <w:szCs w:val="24"/>
        </w:rPr>
        <w:t>C</w:t>
      </w:r>
      <w:r w:rsidRPr="00E36070">
        <w:rPr>
          <w:rFonts w:ascii="Times" w:hAnsi="Times"/>
          <w:sz w:val="24"/>
          <w:szCs w:val="24"/>
        </w:rPr>
        <w:t xml:space="preserve">ontext: An </w:t>
      </w:r>
      <w:r w:rsidR="00EC068E" w:rsidRPr="00E36070">
        <w:rPr>
          <w:rFonts w:ascii="Times" w:hAnsi="Times"/>
          <w:sz w:val="24"/>
          <w:szCs w:val="24"/>
        </w:rPr>
        <w:t>I</w:t>
      </w:r>
      <w:r w:rsidRPr="00E36070">
        <w:rPr>
          <w:rFonts w:ascii="Times" w:hAnsi="Times"/>
          <w:sz w:val="24"/>
          <w:szCs w:val="24"/>
        </w:rPr>
        <w:t xml:space="preserve">nterview with Juliet Mitchell’. </w:t>
      </w:r>
      <w:r w:rsidRPr="00E36070">
        <w:rPr>
          <w:rFonts w:ascii="Times" w:hAnsi="Times"/>
          <w:i/>
          <w:iCs/>
          <w:sz w:val="24"/>
          <w:szCs w:val="24"/>
        </w:rPr>
        <w:t>Cogito</w:t>
      </w:r>
      <w:r w:rsidRPr="00E36070">
        <w:rPr>
          <w:rFonts w:ascii="Times" w:hAnsi="Times"/>
          <w:sz w:val="24"/>
          <w:szCs w:val="24"/>
        </w:rPr>
        <w:t xml:space="preserve"> </w:t>
      </w:r>
      <w:r w:rsidR="00E36070" w:rsidRPr="00E36070">
        <w:rPr>
          <w:rFonts w:ascii="Times" w:hAnsi="Times"/>
          <w:sz w:val="24"/>
          <w:szCs w:val="24"/>
        </w:rPr>
        <w:t>12 April</w:t>
      </w:r>
      <w:r w:rsidR="00DB180F">
        <w:rPr>
          <w:rFonts w:ascii="Times" w:hAnsi="Times"/>
          <w:sz w:val="24"/>
          <w:szCs w:val="24"/>
        </w:rPr>
        <w:t>:</w:t>
      </w:r>
      <w:r w:rsidR="00E36070" w:rsidRPr="00E36070">
        <w:rPr>
          <w:rFonts w:ascii="Times" w:hAnsi="Times"/>
          <w:sz w:val="24"/>
          <w:szCs w:val="24"/>
        </w:rPr>
        <w:t xml:space="preserve"> </w:t>
      </w:r>
      <w:r w:rsidRPr="00E36070">
        <w:rPr>
          <w:rFonts w:ascii="Times" w:hAnsi="Times"/>
          <w:sz w:val="24"/>
          <w:szCs w:val="24"/>
        </w:rPr>
        <w:t>44-45.</w:t>
      </w:r>
    </w:p>
    <w:p w14:paraId="3EE088F6" w14:textId="77777777" w:rsidR="00E569F7" w:rsidRPr="0070576A" w:rsidRDefault="00E569F7" w:rsidP="00E569F7">
      <w:pPr>
        <w:spacing w:beforeLines="60" w:before="144"/>
        <w:rPr>
          <w:rFonts w:ascii="Times" w:hAnsi="Times"/>
        </w:rPr>
      </w:pPr>
      <w:r w:rsidRPr="0070576A">
        <w:rPr>
          <w:rFonts w:ascii="Times" w:hAnsi="Times"/>
        </w:rPr>
        <w:t>Curthoys</w:t>
      </w:r>
      <w:r>
        <w:rPr>
          <w:rFonts w:ascii="Times" w:hAnsi="Times"/>
        </w:rPr>
        <w:t>,</w:t>
      </w:r>
      <w:r w:rsidRPr="0070576A">
        <w:rPr>
          <w:rFonts w:ascii="Times" w:hAnsi="Times"/>
        </w:rPr>
        <w:t xml:space="preserve"> A</w:t>
      </w:r>
      <w:r>
        <w:rPr>
          <w:rFonts w:ascii="Times" w:hAnsi="Times"/>
        </w:rPr>
        <w:t>.</w:t>
      </w:r>
      <w:r w:rsidRPr="0070576A">
        <w:rPr>
          <w:rFonts w:ascii="Times" w:hAnsi="Times"/>
        </w:rPr>
        <w:t xml:space="preserve"> 1988</w:t>
      </w:r>
      <w:r>
        <w:rPr>
          <w:rFonts w:ascii="Times" w:hAnsi="Times"/>
        </w:rPr>
        <w:t>.</w:t>
      </w:r>
      <w:r w:rsidRPr="0070576A">
        <w:rPr>
          <w:rFonts w:ascii="Times" w:hAnsi="Times"/>
        </w:rPr>
        <w:t xml:space="preserve"> </w:t>
      </w:r>
      <w:r w:rsidRPr="0070576A">
        <w:rPr>
          <w:rFonts w:ascii="Times" w:hAnsi="Times"/>
          <w:i/>
          <w:iCs/>
        </w:rPr>
        <w:t>For and Against Feminism: A Personal Journey into Feminist Theory and History</w:t>
      </w:r>
      <w:r>
        <w:rPr>
          <w:rFonts w:ascii="Times" w:hAnsi="Times"/>
          <w:i/>
          <w:iCs/>
        </w:rPr>
        <w:t>.</w:t>
      </w:r>
      <w:r w:rsidRPr="0070576A">
        <w:rPr>
          <w:rFonts w:ascii="Times" w:hAnsi="Times"/>
        </w:rPr>
        <w:t xml:space="preserve"> Allen &amp; Unwin</w:t>
      </w:r>
      <w:r>
        <w:rPr>
          <w:rFonts w:ascii="Times" w:hAnsi="Times"/>
        </w:rPr>
        <w:t>,</w:t>
      </w:r>
      <w:r w:rsidRPr="0070576A">
        <w:rPr>
          <w:rFonts w:ascii="Times" w:hAnsi="Times"/>
        </w:rPr>
        <w:t xml:space="preserve"> Sydney.</w:t>
      </w:r>
    </w:p>
    <w:p w14:paraId="04C77B9E" w14:textId="13C1ADB6" w:rsidR="006201B4" w:rsidRPr="0070576A" w:rsidRDefault="006201B4" w:rsidP="006201B4">
      <w:pPr>
        <w:spacing w:beforeLines="60" w:before="144"/>
        <w:rPr>
          <w:rFonts w:ascii="Times" w:hAnsi="Times"/>
        </w:rPr>
      </w:pPr>
      <w:r w:rsidRPr="0070576A">
        <w:rPr>
          <w:rFonts w:ascii="Times" w:hAnsi="Times"/>
        </w:rPr>
        <w:t>Curthoys</w:t>
      </w:r>
      <w:r>
        <w:rPr>
          <w:rFonts w:ascii="Times" w:hAnsi="Times"/>
        </w:rPr>
        <w:t>,</w:t>
      </w:r>
      <w:r w:rsidRPr="0070576A">
        <w:rPr>
          <w:rFonts w:ascii="Times" w:hAnsi="Times"/>
        </w:rPr>
        <w:t xml:space="preserve"> A</w:t>
      </w:r>
      <w:r>
        <w:rPr>
          <w:rFonts w:ascii="Times" w:hAnsi="Times"/>
        </w:rPr>
        <w:t>.</w:t>
      </w:r>
      <w:r w:rsidRPr="0070576A">
        <w:rPr>
          <w:rFonts w:ascii="Times" w:hAnsi="Times"/>
        </w:rPr>
        <w:t xml:space="preserve"> 1996</w:t>
      </w:r>
      <w:r>
        <w:rPr>
          <w:rFonts w:ascii="Times" w:hAnsi="Times"/>
        </w:rPr>
        <w:t>.</w:t>
      </w:r>
      <w:r w:rsidRPr="0070576A">
        <w:rPr>
          <w:rFonts w:ascii="Times" w:hAnsi="Times"/>
        </w:rPr>
        <w:t xml:space="preserve"> ‘Visions, </w:t>
      </w:r>
      <w:r w:rsidR="00DA2618">
        <w:rPr>
          <w:rFonts w:ascii="Times" w:hAnsi="Times"/>
        </w:rPr>
        <w:t>N</w:t>
      </w:r>
      <w:r w:rsidRPr="0070576A">
        <w:rPr>
          <w:rFonts w:ascii="Times" w:hAnsi="Times"/>
        </w:rPr>
        <w:t xml:space="preserve">ightmares, </w:t>
      </w:r>
      <w:r w:rsidR="00DA2618">
        <w:rPr>
          <w:rFonts w:ascii="Times" w:hAnsi="Times"/>
        </w:rPr>
        <w:t>D</w:t>
      </w:r>
      <w:r w:rsidRPr="0070576A">
        <w:rPr>
          <w:rFonts w:ascii="Times" w:hAnsi="Times"/>
        </w:rPr>
        <w:t xml:space="preserve">reams: Women’s </w:t>
      </w:r>
      <w:r w:rsidR="00DA2618">
        <w:rPr>
          <w:rFonts w:ascii="Times" w:hAnsi="Times"/>
        </w:rPr>
        <w:t>H</w:t>
      </w:r>
      <w:r w:rsidRPr="0070576A">
        <w:rPr>
          <w:rFonts w:ascii="Times" w:hAnsi="Times"/>
        </w:rPr>
        <w:t>istory, 1975’</w:t>
      </w:r>
      <w:r>
        <w:rPr>
          <w:rFonts w:ascii="Times" w:hAnsi="Times"/>
        </w:rPr>
        <w:t>.</w:t>
      </w:r>
      <w:r w:rsidRPr="0070576A">
        <w:rPr>
          <w:rFonts w:ascii="Times" w:hAnsi="Times"/>
        </w:rPr>
        <w:t xml:space="preserve"> </w:t>
      </w:r>
      <w:r w:rsidRPr="0070576A">
        <w:rPr>
          <w:rFonts w:ascii="Times" w:hAnsi="Times"/>
          <w:i/>
          <w:iCs/>
        </w:rPr>
        <w:t>Australian Historical Studies</w:t>
      </w:r>
      <w:r w:rsidRPr="0070576A">
        <w:rPr>
          <w:rFonts w:ascii="Times" w:hAnsi="Times"/>
        </w:rPr>
        <w:t xml:space="preserve"> 27/106: 1</w:t>
      </w:r>
      <w:r>
        <w:rPr>
          <w:rFonts w:ascii="Times" w:hAnsi="Times"/>
        </w:rPr>
        <w:t>-</w:t>
      </w:r>
      <w:r w:rsidRPr="0070576A">
        <w:rPr>
          <w:rFonts w:ascii="Times" w:hAnsi="Times"/>
        </w:rPr>
        <w:t>13</w:t>
      </w:r>
      <w:r>
        <w:rPr>
          <w:rFonts w:ascii="Times" w:hAnsi="Times"/>
        </w:rPr>
        <w:t>.</w:t>
      </w:r>
    </w:p>
    <w:p w14:paraId="294793B8" w14:textId="47C51026" w:rsidR="006201B4" w:rsidRPr="0070576A" w:rsidRDefault="006201B4" w:rsidP="006201B4">
      <w:pPr>
        <w:spacing w:beforeLines="60" w:before="144"/>
        <w:rPr>
          <w:rFonts w:ascii="Times" w:hAnsi="Times" w:cs="Times"/>
        </w:rPr>
      </w:pPr>
      <w:r w:rsidRPr="0070576A">
        <w:rPr>
          <w:rFonts w:ascii="Times" w:hAnsi="Times" w:cs="Times"/>
        </w:rPr>
        <w:t>Curthoys</w:t>
      </w:r>
      <w:r>
        <w:rPr>
          <w:rFonts w:ascii="Times" w:hAnsi="Times" w:cs="Times"/>
        </w:rPr>
        <w:t>,</w:t>
      </w:r>
      <w:r w:rsidRPr="0070576A">
        <w:rPr>
          <w:rFonts w:ascii="Times" w:hAnsi="Times" w:cs="Times"/>
        </w:rPr>
        <w:t xml:space="preserve"> A</w:t>
      </w:r>
      <w:r>
        <w:rPr>
          <w:rFonts w:ascii="Times" w:hAnsi="Times" w:cs="Times"/>
        </w:rPr>
        <w:t>.</w:t>
      </w:r>
      <w:r w:rsidRPr="0070576A">
        <w:rPr>
          <w:rFonts w:ascii="Times" w:hAnsi="Times" w:cs="Times"/>
        </w:rPr>
        <w:t xml:space="preserve"> 2000</w:t>
      </w:r>
      <w:r>
        <w:rPr>
          <w:rFonts w:ascii="Times" w:hAnsi="Times" w:cs="Times"/>
        </w:rPr>
        <w:t>.</w:t>
      </w:r>
      <w:r w:rsidRPr="0070576A">
        <w:rPr>
          <w:rFonts w:ascii="Times" w:hAnsi="Times" w:cs="Times"/>
        </w:rPr>
        <w:t xml:space="preserve"> ‘Adventures of Feminism: Simone de Beauvoir’s Autobiographies, Women’s Liberation, and Self-Fashioning’</w:t>
      </w:r>
      <w:r>
        <w:rPr>
          <w:rFonts w:ascii="Times" w:hAnsi="Times" w:cs="Times"/>
        </w:rPr>
        <w:t>.</w:t>
      </w:r>
      <w:r w:rsidRPr="0070576A">
        <w:rPr>
          <w:rFonts w:ascii="Times" w:hAnsi="Times" w:cs="Times"/>
        </w:rPr>
        <w:t xml:space="preserve"> </w:t>
      </w:r>
      <w:r w:rsidRPr="0070576A">
        <w:rPr>
          <w:rFonts w:ascii="Times" w:hAnsi="Times" w:cs="Times"/>
          <w:i/>
          <w:iCs/>
        </w:rPr>
        <w:t>Feminist Review</w:t>
      </w:r>
      <w:r w:rsidRPr="0070576A">
        <w:rPr>
          <w:rFonts w:ascii="Times" w:hAnsi="Times" w:cs="Times"/>
        </w:rPr>
        <w:t xml:space="preserve"> 64/1: 3</w:t>
      </w:r>
      <w:r>
        <w:rPr>
          <w:rFonts w:ascii="Times" w:hAnsi="Times" w:cs="Times"/>
        </w:rPr>
        <w:t>-</w:t>
      </w:r>
      <w:r w:rsidRPr="0070576A">
        <w:rPr>
          <w:rFonts w:ascii="Times" w:hAnsi="Times" w:cs="Times"/>
        </w:rPr>
        <w:t>18</w:t>
      </w:r>
      <w:r>
        <w:rPr>
          <w:rFonts w:ascii="Times" w:hAnsi="Times" w:cs="Times"/>
        </w:rPr>
        <w:t>.</w:t>
      </w:r>
    </w:p>
    <w:p w14:paraId="39FAD5C8" w14:textId="04E193B9" w:rsidR="006201B4" w:rsidRPr="0070576A" w:rsidRDefault="006201B4" w:rsidP="006201B4">
      <w:pPr>
        <w:spacing w:beforeLines="60" w:before="144"/>
        <w:rPr>
          <w:rFonts w:ascii="Times" w:hAnsi="Times"/>
        </w:rPr>
      </w:pPr>
      <w:r w:rsidRPr="0070576A">
        <w:rPr>
          <w:rFonts w:ascii="Times" w:hAnsi="Times"/>
        </w:rPr>
        <w:t>Curthoys</w:t>
      </w:r>
      <w:r>
        <w:rPr>
          <w:rFonts w:ascii="Times" w:hAnsi="Times"/>
        </w:rPr>
        <w:t>,</w:t>
      </w:r>
      <w:r w:rsidRPr="0070576A">
        <w:rPr>
          <w:rFonts w:ascii="Times" w:hAnsi="Times"/>
        </w:rPr>
        <w:t xml:space="preserve"> A</w:t>
      </w:r>
      <w:r>
        <w:rPr>
          <w:rFonts w:ascii="Times" w:hAnsi="Times"/>
        </w:rPr>
        <w:t>.</w:t>
      </w:r>
      <w:r w:rsidRPr="0070576A">
        <w:rPr>
          <w:rFonts w:ascii="Times" w:hAnsi="Times"/>
        </w:rPr>
        <w:t xml:space="preserve"> 2013a</w:t>
      </w:r>
      <w:r>
        <w:rPr>
          <w:rFonts w:ascii="Times" w:hAnsi="Times"/>
        </w:rPr>
        <w:t>.</w:t>
      </w:r>
      <w:r w:rsidRPr="0070576A">
        <w:rPr>
          <w:rFonts w:ascii="Times" w:hAnsi="Times"/>
        </w:rPr>
        <w:t xml:space="preserve"> ‘A </w:t>
      </w:r>
      <w:r w:rsidR="00DB46B1">
        <w:rPr>
          <w:rFonts w:ascii="Times" w:hAnsi="Times"/>
        </w:rPr>
        <w:t>F</w:t>
      </w:r>
      <w:r w:rsidRPr="0070576A">
        <w:rPr>
          <w:rFonts w:ascii="Times" w:hAnsi="Times"/>
        </w:rPr>
        <w:t xml:space="preserve">eminist </w:t>
      </w:r>
      <w:r w:rsidR="00DB46B1">
        <w:rPr>
          <w:rFonts w:ascii="Times" w:hAnsi="Times"/>
        </w:rPr>
        <w:t>V</w:t>
      </w:r>
      <w:r w:rsidRPr="0070576A">
        <w:rPr>
          <w:rFonts w:ascii="Times" w:hAnsi="Times"/>
        </w:rPr>
        <w:t>oice’ in A</w:t>
      </w:r>
      <w:r w:rsidR="00DB46B1">
        <w:rPr>
          <w:rFonts w:ascii="Times" w:hAnsi="Times"/>
        </w:rPr>
        <w:t>.</w:t>
      </w:r>
      <w:r w:rsidRPr="0070576A">
        <w:rPr>
          <w:rFonts w:ascii="Times" w:hAnsi="Times"/>
        </w:rPr>
        <w:t xml:space="preserve"> Clark and P</w:t>
      </w:r>
      <w:r w:rsidR="00DB46B1">
        <w:rPr>
          <w:rFonts w:ascii="Times" w:hAnsi="Times"/>
        </w:rPr>
        <w:t>.</w:t>
      </w:r>
      <w:r w:rsidRPr="0070576A">
        <w:rPr>
          <w:rFonts w:ascii="Times" w:hAnsi="Times"/>
        </w:rPr>
        <w:t xml:space="preserve"> Ashton</w:t>
      </w:r>
      <w:r w:rsidR="00DB180F">
        <w:rPr>
          <w:rFonts w:ascii="Times" w:hAnsi="Times"/>
        </w:rPr>
        <w:t>,</w:t>
      </w:r>
      <w:r w:rsidRPr="0070576A">
        <w:rPr>
          <w:rFonts w:ascii="Times" w:hAnsi="Times"/>
        </w:rPr>
        <w:t xml:space="preserve"> eds</w:t>
      </w:r>
      <w:r>
        <w:rPr>
          <w:rFonts w:ascii="Times" w:hAnsi="Times"/>
        </w:rPr>
        <w:t>.</w:t>
      </w:r>
      <w:r w:rsidRPr="0070576A">
        <w:rPr>
          <w:rFonts w:ascii="Times" w:hAnsi="Times"/>
        </w:rPr>
        <w:t xml:space="preserve"> </w:t>
      </w:r>
      <w:r w:rsidRPr="0070576A">
        <w:rPr>
          <w:rFonts w:ascii="Times" w:hAnsi="Times"/>
          <w:i/>
          <w:iCs/>
        </w:rPr>
        <w:t>Australian History Now</w:t>
      </w:r>
      <w:r>
        <w:rPr>
          <w:rFonts w:ascii="Times" w:hAnsi="Times"/>
          <w:i/>
          <w:iCs/>
        </w:rPr>
        <w:t>.</w:t>
      </w:r>
      <w:r w:rsidRPr="0070576A">
        <w:rPr>
          <w:rFonts w:ascii="Times" w:hAnsi="Times"/>
        </w:rPr>
        <w:t xml:space="preserve"> New</w:t>
      </w:r>
      <w:r>
        <w:rPr>
          <w:rFonts w:ascii="Times" w:hAnsi="Times"/>
        </w:rPr>
        <w:t xml:space="preserve"> </w:t>
      </w:r>
      <w:r w:rsidRPr="0070576A">
        <w:rPr>
          <w:rFonts w:ascii="Times" w:hAnsi="Times"/>
        </w:rPr>
        <w:t>South Publishing</w:t>
      </w:r>
      <w:r>
        <w:rPr>
          <w:rFonts w:ascii="Times" w:hAnsi="Times"/>
        </w:rPr>
        <w:t>,</w:t>
      </w:r>
      <w:r w:rsidRPr="0070576A">
        <w:rPr>
          <w:rFonts w:ascii="Times" w:hAnsi="Times"/>
        </w:rPr>
        <w:t xml:space="preserve"> Sydney</w:t>
      </w:r>
      <w:r w:rsidR="00DB180F">
        <w:rPr>
          <w:rFonts w:ascii="Times" w:hAnsi="Times"/>
        </w:rPr>
        <w:t>:</w:t>
      </w:r>
      <w:r w:rsidRPr="0070576A">
        <w:rPr>
          <w:rFonts w:ascii="Times" w:hAnsi="Times"/>
        </w:rPr>
        <w:t xml:space="preserve"> 56</w:t>
      </w:r>
      <w:r>
        <w:rPr>
          <w:rFonts w:ascii="Times" w:hAnsi="Times"/>
        </w:rPr>
        <w:t>-</w:t>
      </w:r>
      <w:r w:rsidRPr="0070576A">
        <w:rPr>
          <w:rFonts w:ascii="Times" w:hAnsi="Times"/>
        </w:rPr>
        <w:t>72.</w:t>
      </w:r>
    </w:p>
    <w:p w14:paraId="66E82E9F" w14:textId="6784BEFB" w:rsidR="006201B4" w:rsidRPr="0070576A" w:rsidRDefault="006201B4" w:rsidP="006201B4">
      <w:pPr>
        <w:spacing w:beforeLines="60" w:before="144"/>
        <w:rPr>
          <w:rFonts w:ascii="Times" w:hAnsi="Times"/>
        </w:rPr>
      </w:pPr>
      <w:r w:rsidRPr="0070576A">
        <w:rPr>
          <w:rFonts w:ascii="Times" w:hAnsi="Times"/>
        </w:rPr>
        <w:t>Curthoys</w:t>
      </w:r>
      <w:r>
        <w:rPr>
          <w:rFonts w:ascii="Times" w:hAnsi="Times"/>
        </w:rPr>
        <w:t>,</w:t>
      </w:r>
      <w:r w:rsidRPr="0070576A">
        <w:rPr>
          <w:rFonts w:ascii="Times" w:hAnsi="Times"/>
        </w:rPr>
        <w:t xml:space="preserve"> A</w:t>
      </w:r>
      <w:r>
        <w:rPr>
          <w:rFonts w:ascii="Times" w:hAnsi="Times"/>
        </w:rPr>
        <w:t>.</w:t>
      </w:r>
      <w:r w:rsidRPr="0070576A">
        <w:rPr>
          <w:rFonts w:ascii="Times" w:hAnsi="Times"/>
        </w:rPr>
        <w:t xml:space="preserve"> 2013b</w:t>
      </w:r>
      <w:r>
        <w:rPr>
          <w:rFonts w:ascii="Times" w:hAnsi="Times"/>
        </w:rPr>
        <w:t>.</w:t>
      </w:r>
      <w:r w:rsidRPr="0070576A">
        <w:rPr>
          <w:rFonts w:ascii="Times" w:hAnsi="Times"/>
        </w:rPr>
        <w:t xml:space="preserve"> ‘Radical Glebe’</w:t>
      </w:r>
      <w:r>
        <w:rPr>
          <w:rFonts w:ascii="Times" w:hAnsi="Times"/>
        </w:rPr>
        <w:t>.</w:t>
      </w:r>
      <w:r w:rsidRPr="0070576A">
        <w:rPr>
          <w:rFonts w:ascii="Times" w:hAnsi="Times"/>
        </w:rPr>
        <w:t xml:space="preserve"> </w:t>
      </w:r>
      <w:r w:rsidRPr="0070576A">
        <w:rPr>
          <w:rFonts w:ascii="Times" w:hAnsi="Times"/>
          <w:i/>
          <w:iCs/>
        </w:rPr>
        <w:t>Glebe Society’s Glebe Voices series</w:t>
      </w:r>
      <w:r w:rsidR="00486838">
        <w:rPr>
          <w:rFonts w:ascii="Times" w:hAnsi="Times"/>
        </w:rPr>
        <w:t>,</w:t>
      </w:r>
      <w:r w:rsidRPr="0070576A">
        <w:rPr>
          <w:rFonts w:ascii="Times" w:hAnsi="Times"/>
        </w:rPr>
        <w:t xml:space="preserve"> </w:t>
      </w:r>
      <w:r w:rsidR="00486838">
        <w:rPr>
          <w:rFonts w:ascii="Times" w:hAnsi="Times"/>
        </w:rPr>
        <w:t xml:space="preserve">22 </w:t>
      </w:r>
      <w:r w:rsidRPr="0070576A">
        <w:rPr>
          <w:rFonts w:ascii="Times" w:hAnsi="Times"/>
        </w:rPr>
        <w:t xml:space="preserve">February </w:t>
      </w:r>
      <w:hyperlink r:id="rId8" w:history="1">
        <w:r w:rsidRPr="0070576A">
          <w:rPr>
            <w:rStyle w:val="Hyperlink"/>
            <w:rFonts w:ascii="Times" w:hAnsi="Times"/>
          </w:rPr>
          <w:t>https://glebesociety.org.au/socialhistory/radical-glebe-a-personal-view-by-ann-curthoys/</w:t>
        </w:r>
      </w:hyperlink>
      <w:r w:rsidRPr="0070576A">
        <w:rPr>
          <w:rFonts w:ascii="Times" w:hAnsi="Times"/>
        </w:rPr>
        <w:t>.</w:t>
      </w:r>
    </w:p>
    <w:p w14:paraId="74518936" w14:textId="29FF16AB" w:rsidR="006201B4" w:rsidRPr="0070576A" w:rsidRDefault="006201B4" w:rsidP="006201B4">
      <w:pPr>
        <w:spacing w:beforeLines="60" w:before="144"/>
        <w:rPr>
          <w:rFonts w:ascii="Times" w:hAnsi="Times"/>
        </w:rPr>
      </w:pPr>
      <w:r w:rsidRPr="0070576A">
        <w:rPr>
          <w:rFonts w:ascii="Times" w:hAnsi="Times"/>
        </w:rPr>
        <w:t>Curthoys</w:t>
      </w:r>
      <w:r>
        <w:rPr>
          <w:rFonts w:ascii="Times" w:hAnsi="Times"/>
        </w:rPr>
        <w:t>,</w:t>
      </w:r>
      <w:r w:rsidRPr="0070576A">
        <w:rPr>
          <w:rFonts w:ascii="Times" w:hAnsi="Times"/>
        </w:rPr>
        <w:t xml:space="preserve"> A</w:t>
      </w:r>
      <w:r>
        <w:rPr>
          <w:rFonts w:ascii="Times" w:hAnsi="Times"/>
        </w:rPr>
        <w:t>.</w:t>
      </w:r>
      <w:r w:rsidRPr="0070576A">
        <w:rPr>
          <w:rFonts w:ascii="Times" w:hAnsi="Times"/>
        </w:rPr>
        <w:t>, Eade</w:t>
      </w:r>
      <w:r>
        <w:rPr>
          <w:rFonts w:ascii="Times" w:hAnsi="Times"/>
        </w:rPr>
        <w:t>,</w:t>
      </w:r>
      <w:r w:rsidRPr="0070576A">
        <w:rPr>
          <w:rFonts w:ascii="Times" w:hAnsi="Times"/>
        </w:rPr>
        <w:t xml:space="preserve"> S</w:t>
      </w:r>
      <w:r>
        <w:rPr>
          <w:rFonts w:ascii="Times" w:hAnsi="Times"/>
        </w:rPr>
        <w:t>.</w:t>
      </w:r>
      <w:r w:rsidRPr="0070576A">
        <w:rPr>
          <w:rFonts w:ascii="Times" w:hAnsi="Times"/>
        </w:rPr>
        <w:t xml:space="preserve"> and Spearritt</w:t>
      </w:r>
      <w:r>
        <w:rPr>
          <w:rFonts w:ascii="Times" w:hAnsi="Times"/>
        </w:rPr>
        <w:t>,</w:t>
      </w:r>
      <w:r w:rsidRPr="0070576A">
        <w:rPr>
          <w:rFonts w:ascii="Times" w:hAnsi="Times"/>
        </w:rPr>
        <w:t xml:space="preserve"> P</w:t>
      </w:r>
      <w:r>
        <w:rPr>
          <w:rFonts w:ascii="Times" w:hAnsi="Times"/>
        </w:rPr>
        <w:t>.</w:t>
      </w:r>
      <w:r w:rsidRPr="0070576A">
        <w:rPr>
          <w:rFonts w:ascii="Times" w:hAnsi="Times"/>
        </w:rPr>
        <w:t xml:space="preserve"> eds</w:t>
      </w:r>
      <w:r w:rsidR="003163BA">
        <w:rPr>
          <w:rFonts w:ascii="Times" w:hAnsi="Times"/>
        </w:rPr>
        <w:t>.</w:t>
      </w:r>
      <w:r w:rsidRPr="0070576A">
        <w:rPr>
          <w:rFonts w:ascii="Times" w:hAnsi="Times"/>
        </w:rPr>
        <w:t xml:space="preserve"> 1975</w:t>
      </w:r>
      <w:r>
        <w:rPr>
          <w:rFonts w:ascii="Times" w:hAnsi="Times"/>
        </w:rPr>
        <w:t>.</w:t>
      </w:r>
      <w:r w:rsidRPr="0070576A">
        <w:rPr>
          <w:rFonts w:ascii="Times" w:hAnsi="Times"/>
        </w:rPr>
        <w:t xml:space="preserve"> </w:t>
      </w:r>
      <w:r w:rsidRPr="0070576A">
        <w:rPr>
          <w:rFonts w:ascii="Times" w:hAnsi="Times"/>
          <w:i/>
          <w:iCs/>
        </w:rPr>
        <w:t>Women at Work</w:t>
      </w:r>
      <w:r>
        <w:rPr>
          <w:rFonts w:ascii="Times" w:hAnsi="Times"/>
          <w:i/>
          <w:iCs/>
        </w:rPr>
        <w:t>.</w:t>
      </w:r>
      <w:r w:rsidRPr="0070576A">
        <w:rPr>
          <w:rFonts w:ascii="Times" w:hAnsi="Times"/>
        </w:rPr>
        <w:t xml:space="preserve"> Australian Society for the Study of Labour History</w:t>
      </w:r>
      <w:r>
        <w:rPr>
          <w:rFonts w:ascii="Times" w:hAnsi="Times"/>
        </w:rPr>
        <w:t>,</w:t>
      </w:r>
      <w:r w:rsidRPr="0070576A">
        <w:rPr>
          <w:rFonts w:ascii="Times" w:hAnsi="Times"/>
        </w:rPr>
        <w:t xml:space="preserve"> Canberra.</w:t>
      </w:r>
    </w:p>
    <w:p w14:paraId="7709DBB1" w14:textId="70F8D02A" w:rsidR="006201B4" w:rsidRPr="0070576A" w:rsidRDefault="006201B4" w:rsidP="006201B4">
      <w:pPr>
        <w:spacing w:beforeLines="60" w:before="144"/>
        <w:rPr>
          <w:rFonts w:ascii="Times" w:hAnsi="Times"/>
        </w:rPr>
      </w:pPr>
      <w:r w:rsidRPr="0070576A">
        <w:rPr>
          <w:rFonts w:ascii="Times" w:hAnsi="Times"/>
        </w:rPr>
        <w:t>Delap</w:t>
      </w:r>
      <w:r>
        <w:rPr>
          <w:rFonts w:ascii="Times" w:hAnsi="Times"/>
        </w:rPr>
        <w:t>,</w:t>
      </w:r>
      <w:r w:rsidRPr="0070576A">
        <w:rPr>
          <w:rFonts w:ascii="Times" w:hAnsi="Times"/>
        </w:rPr>
        <w:t xml:space="preserve"> L</w:t>
      </w:r>
      <w:r>
        <w:rPr>
          <w:rFonts w:ascii="Times" w:hAnsi="Times"/>
        </w:rPr>
        <w:t>.</w:t>
      </w:r>
      <w:r w:rsidRPr="0070576A">
        <w:rPr>
          <w:rFonts w:ascii="Times" w:hAnsi="Times"/>
        </w:rPr>
        <w:t xml:space="preserve"> 2016</w:t>
      </w:r>
      <w:r>
        <w:rPr>
          <w:rFonts w:ascii="Times" w:hAnsi="Times"/>
        </w:rPr>
        <w:t>.</w:t>
      </w:r>
      <w:r w:rsidRPr="0070576A">
        <w:rPr>
          <w:rFonts w:ascii="Times" w:hAnsi="Times"/>
        </w:rPr>
        <w:t xml:space="preserve"> ‘Feminist Bookshops, Reading Cultures and the Women’s Liberation Movement in Great Britain, c. 1974</w:t>
      </w:r>
      <w:r>
        <w:rPr>
          <w:rFonts w:ascii="Times" w:hAnsi="Times"/>
        </w:rPr>
        <w:t>-</w:t>
      </w:r>
      <w:r w:rsidRPr="0070576A">
        <w:rPr>
          <w:rFonts w:ascii="Times" w:hAnsi="Times"/>
        </w:rPr>
        <w:t>2000’</w:t>
      </w:r>
      <w:r>
        <w:rPr>
          <w:rFonts w:ascii="Times" w:hAnsi="Times"/>
        </w:rPr>
        <w:t>.</w:t>
      </w:r>
      <w:r w:rsidRPr="0070576A">
        <w:rPr>
          <w:rFonts w:ascii="Times" w:hAnsi="Times"/>
        </w:rPr>
        <w:t xml:space="preserve"> </w:t>
      </w:r>
      <w:r w:rsidRPr="0070576A">
        <w:rPr>
          <w:rFonts w:ascii="Times" w:hAnsi="Times"/>
          <w:i/>
          <w:iCs/>
        </w:rPr>
        <w:t>History Workshop Journal</w:t>
      </w:r>
      <w:r w:rsidRPr="0070576A">
        <w:rPr>
          <w:rFonts w:ascii="Times" w:hAnsi="Times"/>
        </w:rPr>
        <w:t xml:space="preserve"> 81/1: 171</w:t>
      </w:r>
      <w:r>
        <w:rPr>
          <w:rFonts w:ascii="Times" w:hAnsi="Times"/>
        </w:rPr>
        <w:t>-</w:t>
      </w:r>
      <w:r w:rsidRPr="0070576A">
        <w:rPr>
          <w:rFonts w:ascii="Times" w:hAnsi="Times"/>
        </w:rPr>
        <w:t>196</w:t>
      </w:r>
      <w:r w:rsidR="006C033A">
        <w:rPr>
          <w:rFonts w:ascii="Times" w:hAnsi="Times"/>
        </w:rPr>
        <w:t>.</w:t>
      </w:r>
      <w:r w:rsidRPr="0070576A">
        <w:rPr>
          <w:rFonts w:ascii="Times" w:hAnsi="Times"/>
        </w:rPr>
        <w:t xml:space="preserve"> </w:t>
      </w:r>
    </w:p>
    <w:p w14:paraId="503E17E6" w14:textId="77777777" w:rsidR="006201B4" w:rsidRPr="0070576A" w:rsidRDefault="006201B4" w:rsidP="006201B4">
      <w:pPr>
        <w:spacing w:beforeLines="60" w:before="144"/>
        <w:rPr>
          <w:rFonts w:ascii="Times" w:hAnsi="Times"/>
        </w:rPr>
      </w:pPr>
      <w:r w:rsidRPr="002C4E39">
        <w:rPr>
          <w:rFonts w:ascii="Times" w:hAnsi="Times"/>
        </w:rPr>
        <w:t xml:space="preserve">Dixson, M. 1976. </w:t>
      </w:r>
      <w:r w:rsidRPr="002C4E39">
        <w:rPr>
          <w:rFonts w:ascii="Times" w:hAnsi="Times"/>
          <w:i/>
          <w:iCs/>
        </w:rPr>
        <w:t>The Real Matilda: Woman and Identity in Australia 1788 to 1975</w:t>
      </w:r>
      <w:r w:rsidRPr="002C4E39">
        <w:rPr>
          <w:rFonts w:ascii="Times" w:hAnsi="Times"/>
        </w:rPr>
        <w:t>. Penguin</w:t>
      </w:r>
      <w:r w:rsidRPr="0070576A">
        <w:rPr>
          <w:rFonts w:ascii="Times" w:hAnsi="Times"/>
        </w:rPr>
        <w:t xml:space="preserve"> Books</w:t>
      </w:r>
      <w:r>
        <w:rPr>
          <w:rFonts w:ascii="Times" w:hAnsi="Times"/>
        </w:rPr>
        <w:t>,</w:t>
      </w:r>
      <w:r w:rsidRPr="0070576A">
        <w:rPr>
          <w:rFonts w:ascii="Times" w:hAnsi="Times"/>
        </w:rPr>
        <w:t xml:space="preserve"> Melbourne.</w:t>
      </w:r>
    </w:p>
    <w:p w14:paraId="7927C378" w14:textId="77777777" w:rsidR="006201B4" w:rsidRPr="0070576A" w:rsidRDefault="006201B4" w:rsidP="006201B4">
      <w:pPr>
        <w:pStyle w:val="EndnoteText"/>
        <w:spacing w:beforeLines="60" w:before="144"/>
        <w:rPr>
          <w:rFonts w:ascii="Times" w:hAnsi="Times"/>
          <w:sz w:val="24"/>
          <w:szCs w:val="24"/>
        </w:rPr>
      </w:pPr>
      <w:r w:rsidRPr="0070576A">
        <w:rPr>
          <w:rFonts w:ascii="Times" w:hAnsi="Times"/>
          <w:sz w:val="24"/>
          <w:szCs w:val="24"/>
        </w:rPr>
        <w:t>Firestone</w:t>
      </w:r>
      <w:r>
        <w:rPr>
          <w:rFonts w:ascii="Times" w:hAnsi="Times"/>
          <w:sz w:val="24"/>
          <w:szCs w:val="24"/>
        </w:rPr>
        <w:t>,</w:t>
      </w:r>
      <w:r w:rsidRPr="0070576A">
        <w:rPr>
          <w:rFonts w:ascii="Times" w:hAnsi="Times"/>
          <w:sz w:val="24"/>
          <w:szCs w:val="24"/>
        </w:rPr>
        <w:t xml:space="preserve"> S</w:t>
      </w:r>
      <w:r>
        <w:rPr>
          <w:rFonts w:ascii="Times" w:hAnsi="Times"/>
          <w:sz w:val="24"/>
          <w:szCs w:val="24"/>
        </w:rPr>
        <w:t>.</w:t>
      </w:r>
      <w:r w:rsidRPr="0070576A">
        <w:rPr>
          <w:rFonts w:ascii="Times" w:hAnsi="Times"/>
          <w:sz w:val="24"/>
          <w:szCs w:val="24"/>
        </w:rPr>
        <w:t xml:space="preserve"> 1970</w:t>
      </w:r>
      <w:r>
        <w:rPr>
          <w:rFonts w:ascii="Times" w:hAnsi="Times"/>
          <w:sz w:val="24"/>
          <w:szCs w:val="24"/>
        </w:rPr>
        <w:t>.</w:t>
      </w:r>
      <w:r w:rsidRPr="0070576A">
        <w:rPr>
          <w:rFonts w:ascii="Times" w:hAnsi="Times"/>
          <w:sz w:val="24"/>
          <w:szCs w:val="24"/>
        </w:rPr>
        <w:t xml:space="preserve"> </w:t>
      </w:r>
      <w:r w:rsidRPr="0070576A">
        <w:rPr>
          <w:rFonts w:ascii="Times" w:hAnsi="Times"/>
          <w:i/>
          <w:iCs/>
          <w:sz w:val="24"/>
          <w:szCs w:val="24"/>
        </w:rPr>
        <w:t>The Dialectic of Sex: The Case for Feminist Revolution</w:t>
      </w:r>
      <w:r>
        <w:rPr>
          <w:rFonts w:ascii="Times" w:hAnsi="Times"/>
          <w:sz w:val="24"/>
          <w:szCs w:val="24"/>
        </w:rPr>
        <w:t xml:space="preserve">. </w:t>
      </w:r>
      <w:r w:rsidRPr="0070576A">
        <w:rPr>
          <w:rFonts w:ascii="Times" w:hAnsi="Times"/>
          <w:sz w:val="24"/>
          <w:szCs w:val="24"/>
        </w:rPr>
        <w:t>Morrow</w:t>
      </w:r>
      <w:r>
        <w:rPr>
          <w:rFonts w:ascii="Times" w:hAnsi="Times"/>
          <w:sz w:val="24"/>
          <w:szCs w:val="24"/>
        </w:rPr>
        <w:t>,</w:t>
      </w:r>
      <w:r w:rsidRPr="0070576A">
        <w:rPr>
          <w:rFonts w:ascii="Times" w:hAnsi="Times"/>
          <w:sz w:val="24"/>
          <w:szCs w:val="24"/>
        </w:rPr>
        <w:t xml:space="preserve"> New York.</w:t>
      </w:r>
    </w:p>
    <w:p w14:paraId="0582C889" w14:textId="37BB77F7" w:rsidR="006201B4" w:rsidRPr="0070576A" w:rsidRDefault="006201B4" w:rsidP="006201B4">
      <w:pPr>
        <w:spacing w:beforeLines="60" w:before="144"/>
        <w:rPr>
          <w:rFonts w:ascii="Times" w:hAnsi="Times"/>
        </w:rPr>
      </w:pPr>
      <w:r w:rsidRPr="0070576A">
        <w:rPr>
          <w:rFonts w:ascii="Times" w:hAnsi="Times"/>
        </w:rPr>
        <w:t>Fox</w:t>
      </w:r>
      <w:r>
        <w:rPr>
          <w:rFonts w:ascii="Times" w:hAnsi="Times"/>
        </w:rPr>
        <w:t>.</w:t>
      </w:r>
      <w:r w:rsidRPr="0070576A">
        <w:rPr>
          <w:rFonts w:ascii="Times" w:hAnsi="Times"/>
        </w:rPr>
        <w:t xml:space="preserve"> S</w:t>
      </w:r>
      <w:r>
        <w:rPr>
          <w:rFonts w:ascii="Times" w:hAnsi="Times"/>
        </w:rPr>
        <w:t>.</w:t>
      </w:r>
      <w:r w:rsidRPr="0070576A">
        <w:rPr>
          <w:rFonts w:ascii="Times" w:hAnsi="Times"/>
        </w:rPr>
        <w:t xml:space="preserve"> 1977</w:t>
      </w:r>
      <w:r>
        <w:rPr>
          <w:rFonts w:ascii="Times" w:hAnsi="Times"/>
        </w:rPr>
        <w:t>.</w:t>
      </w:r>
      <w:r w:rsidRPr="0070576A">
        <w:rPr>
          <w:rFonts w:ascii="Times" w:hAnsi="Times"/>
        </w:rPr>
        <w:t xml:space="preserve"> ‘The Female as Metaphor in William Blake’s Poetry’</w:t>
      </w:r>
      <w:r>
        <w:rPr>
          <w:rFonts w:ascii="Times" w:hAnsi="Times"/>
        </w:rPr>
        <w:t>.</w:t>
      </w:r>
      <w:r w:rsidRPr="0070576A">
        <w:rPr>
          <w:rFonts w:ascii="Times" w:hAnsi="Times"/>
        </w:rPr>
        <w:t xml:space="preserve"> </w:t>
      </w:r>
      <w:r w:rsidRPr="0070576A">
        <w:rPr>
          <w:rFonts w:ascii="Times" w:hAnsi="Times"/>
          <w:i/>
          <w:iCs/>
        </w:rPr>
        <w:t xml:space="preserve">Critical Inquiry </w:t>
      </w:r>
      <w:r w:rsidRPr="0070576A">
        <w:rPr>
          <w:rFonts w:ascii="Times" w:hAnsi="Times"/>
        </w:rPr>
        <w:t>3/3: 507</w:t>
      </w:r>
      <w:r>
        <w:rPr>
          <w:rFonts w:ascii="Times" w:hAnsi="Times"/>
        </w:rPr>
        <w:t>-</w:t>
      </w:r>
      <w:r w:rsidRPr="0070576A">
        <w:rPr>
          <w:rFonts w:ascii="Times" w:hAnsi="Times"/>
        </w:rPr>
        <w:t>519.</w:t>
      </w:r>
    </w:p>
    <w:p w14:paraId="0553DFA7" w14:textId="0480C67B" w:rsidR="006201B4" w:rsidRPr="0070576A" w:rsidRDefault="006201B4" w:rsidP="006201B4">
      <w:pPr>
        <w:spacing w:beforeLines="60" w:before="144"/>
        <w:rPr>
          <w:rFonts w:ascii="Times" w:hAnsi="Times"/>
        </w:rPr>
      </w:pPr>
      <w:r w:rsidRPr="0070576A">
        <w:rPr>
          <w:rFonts w:ascii="Times" w:hAnsi="Times"/>
        </w:rPr>
        <w:t>Fraser</w:t>
      </w:r>
      <w:r>
        <w:rPr>
          <w:rFonts w:ascii="Times" w:hAnsi="Times"/>
        </w:rPr>
        <w:t>,</w:t>
      </w:r>
      <w:r w:rsidRPr="0070576A">
        <w:rPr>
          <w:rFonts w:ascii="Times" w:hAnsi="Times"/>
        </w:rPr>
        <w:t xml:space="preserve"> V</w:t>
      </w:r>
      <w:r>
        <w:rPr>
          <w:rFonts w:ascii="Times" w:hAnsi="Times"/>
        </w:rPr>
        <w:t>.</w:t>
      </w:r>
      <w:r w:rsidRPr="0070576A">
        <w:rPr>
          <w:rFonts w:ascii="Times" w:hAnsi="Times"/>
        </w:rPr>
        <w:t xml:space="preserve"> 2010</w:t>
      </w:r>
      <w:r>
        <w:rPr>
          <w:rFonts w:ascii="Times" w:hAnsi="Times"/>
        </w:rPr>
        <w:t>.</w:t>
      </w:r>
      <w:r w:rsidRPr="0070576A">
        <w:rPr>
          <w:rFonts w:ascii="Times" w:hAnsi="Times"/>
        </w:rPr>
        <w:t xml:space="preserve"> ‘Mad Confidence: A Book About Australian Women’ in N</w:t>
      </w:r>
      <w:r>
        <w:rPr>
          <w:rFonts w:ascii="Times" w:hAnsi="Times"/>
        </w:rPr>
        <w:t>.</w:t>
      </w:r>
      <w:r w:rsidRPr="0070576A">
        <w:rPr>
          <w:rFonts w:ascii="Times" w:hAnsi="Times"/>
        </w:rPr>
        <w:t xml:space="preserve"> King</w:t>
      </w:r>
      <w:r>
        <w:rPr>
          <w:rFonts w:ascii="Times" w:hAnsi="Times"/>
        </w:rPr>
        <w:t>,</w:t>
      </w:r>
      <w:r w:rsidRPr="0070576A">
        <w:rPr>
          <w:rFonts w:ascii="Times" w:hAnsi="Times"/>
        </w:rPr>
        <w:t xml:space="preserve"> ed</w:t>
      </w:r>
      <w:r w:rsidR="00083B90">
        <w:rPr>
          <w:rFonts w:ascii="Times" w:hAnsi="Times"/>
        </w:rPr>
        <w:t>.</w:t>
      </w:r>
      <w:r w:rsidRPr="0070576A">
        <w:rPr>
          <w:rFonts w:ascii="Times" w:hAnsi="Times"/>
        </w:rPr>
        <w:t xml:space="preserve"> </w:t>
      </w:r>
      <w:r w:rsidRPr="0070576A">
        <w:rPr>
          <w:rFonts w:ascii="Times" w:hAnsi="Times"/>
          <w:i/>
          <w:iCs/>
        </w:rPr>
        <w:t xml:space="preserve">Up Close: Carol </w:t>
      </w:r>
      <w:proofErr w:type="spellStart"/>
      <w:r w:rsidRPr="0070576A">
        <w:rPr>
          <w:rFonts w:ascii="Times" w:hAnsi="Times"/>
          <w:i/>
          <w:iCs/>
        </w:rPr>
        <w:t>Jerrems</w:t>
      </w:r>
      <w:proofErr w:type="spellEnd"/>
      <w:r w:rsidRPr="0070576A">
        <w:rPr>
          <w:rFonts w:ascii="Times" w:hAnsi="Times"/>
          <w:i/>
          <w:iCs/>
        </w:rPr>
        <w:t xml:space="preserve"> with Larry Clark, Nan Goldin and William Yang</w:t>
      </w:r>
      <w:r>
        <w:rPr>
          <w:rFonts w:ascii="Times" w:hAnsi="Times"/>
        </w:rPr>
        <w:t xml:space="preserve">. </w:t>
      </w:r>
      <w:r w:rsidRPr="0070576A">
        <w:rPr>
          <w:rFonts w:ascii="Times" w:hAnsi="Times"/>
        </w:rPr>
        <w:t>Heide Museum of Modern Art and Schwartz City</w:t>
      </w:r>
      <w:r>
        <w:rPr>
          <w:rFonts w:ascii="Times" w:hAnsi="Times"/>
        </w:rPr>
        <w:t>,</w:t>
      </w:r>
      <w:r w:rsidRPr="0070576A">
        <w:rPr>
          <w:rFonts w:ascii="Times" w:hAnsi="Times"/>
        </w:rPr>
        <w:t xml:space="preserve"> Melbourne</w:t>
      </w:r>
      <w:r w:rsidR="009A65A3">
        <w:rPr>
          <w:rFonts w:ascii="Times" w:hAnsi="Times"/>
        </w:rPr>
        <w:t>:</w:t>
      </w:r>
      <w:r w:rsidRPr="0070576A">
        <w:rPr>
          <w:rFonts w:ascii="Times" w:hAnsi="Times"/>
        </w:rPr>
        <w:t xml:space="preserve"> 94</w:t>
      </w:r>
      <w:r>
        <w:rPr>
          <w:rFonts w:ascii="Times" w:hAnsi="Times"/>
        </w:rPr>
        <w:t>-</w:t>
      </w:r>
      <w:r w:rsidRPr="0070576A">
        <w:rPr>
          <w:rFonts w:ascii="Times" w:hAnsi="Times"/>
        </w:rPr>
        <w:t>101.</w:t>
      </w:r>
    </w:p>
    <w:p w14:paraId="7DB7BFC3" w14:textId="6D111DB7" w:rsidR="006201B4" w:rsidRPr="0070576A" w:rsidRDefault="006201B4" w:rsidP="006201B4">
      <w:pPr>
        <w:spacing w:beforeLines="60" w:before="144"/>
        <w:rPr>
          <w:rFonts w:ascii="Times New Roman" w:hAnsi="Times New Roman" w:cs="Times New Roman"/>
        </w:rPr>
      </w:pPr>
      <w:r w:rsidRPr="0070576A">
        <w:rPr>
          <w:rFonts w:ascii="Times New Roman" w:hAnsi="Times New Roman" w:cs="Times New Roman"/>
        </w:rPr>
        <w:t>Genovese</w:t>
      </w:r>
      <w:r>
        <w:rPr>
          <w:rFonts w:ascii="Times New Roman" w:hAnsi="Times New Roman" w:cs="Times New Roman"/>
        </w:rPr>
        <w:t>,</w:t>
      </w:r>
      <w:r w:rsidRPr="0070576A">
        <w:rPr>
          <w:rFonts w:ascii="Times New Roman" w:hAnsi="Times New Roman" w:cs="Times New Roman"/>
        </w:rPr>
        <w:t xml:space="preserve"> A</w:t>
      </w:r>
      <w:r>
        <w:rPr>
          <w:rFonts w:ascii="Times New Roman" w:hAnsi="Times New Roman" w:cs="Times New Roman"/>
        </w:rPr>
        <w:t>.</w:t>
      </w:r>
      <w:r w:rsidRPr="0070576A">
        <w:rPr>
          <w:rFonts w:ascii="Times New Roman" w:hAnsi="Times New Roman" w:cs="Times New Roman"/>
        </w:rPr>
        <w:t xml:space="preserve"> 2013</w:t>
      </w:r>
      <w:r>
        <w:rPr>
          <w:rFonts w:ascii="Times New Roman" w:hAnsi="Times New Roman" w:cs="Times New Roman"/>
        </w:rPr>
        <w:t>.</w:t>
      </w:r>
      <w:r w:rsidRPr="0070576A">
        <w:rPr>
          <w:rFonts w:ascii="Times New Roman" w:hAnsi="Times New Roman" w:cs="Times New Roman"/>
        </w:rPr>
        <w:t xml:space="preserve"> ‘Inheriting and Inhabiting the Pleasures and Duties of Our Own Existence: </w:t>
      </w:r>
      <w:r w:rsidRPr="0070576A">
        <w:rPr>
          <w:rFonts w:ascii="Times New Roman" w:hAnsi="Times New Roman" w:cs="Times New Roman"/>
          <w:i/>
          <w:iCs/>
        </w:rPr>
        <w:t>The Second Sex</w:t>
      </w:r>
      <w:r w:rsidRPr="0070576A">
        <w:rPr>
          <w:rFonts w:ascii="Times New Roman" w:hAnsi="Times New Roman" w:cs="Times New Roman"/>
        </w:rPr>
        <w:t xml:space="preserve"> and Feminist Jurisprudence’</w:t>
      </w:r>
      <w:r>
        <w:rPr>
          <w:rFonts w:ascii="Times New Roman" w:hAnsi="Times New Roman" w:cs="Times New Roman"/>
        </w:rPr>
        <w:t>.</w:t>
      </w:r>
      <w:r w:rsidRPr="0070576A">
        <w:rPr>
          <w:rFonts w:ascii="Times New Roman" w:hAnsi="Times New Roman" w:cs="Times New Roman"/>
        </w:rPr>
        <w:t xml:space="preserve"> </w:t>
      </w:r>
      <w:r w:rsidRPr="0070576A">
        <w:rPr>
          <w:rFonts w:ascii="Times New Roman" w:hAnsi="Times New Roman" w:cs="Times New Roman"/>
          <w:i/>
          <w:iCs/>
        </w:rPr>
        <w:t xml:space="preserve">Australian Feminist Law Journal </w:t>
      </w:r>
      <w:r w:rsidRPr="0070576A">
        <w:rPr>
          <w:rFonts w:ascii="Times New Roman" w:hAnsi="Times New Roman" w:cs="Times New Roman"/>
        </w:rPr>
        <w:t>38/1: 41</w:t>
      </w:r>
      <w:r>
        <w:rPr>
          <w:rFonts w:ascii="Times New Roman" w:hAnsi="Times New Roman" w:cs="Times New Roman"/>
        </w:rPr>
        <w:t>-</w:t>
      </w:r>
      <w:r w:rsidRPr="0070576A">
        <w:rPr>
          <w:rFonts w:ascii="Times New Roman" w:hAnsi="Times New Roman" w:cs="Times New Roman"/>
        </w:rPr>
        <w:t>57</w:t>
      </w:r>
      <w:r>
        <w:rPr>
          <w:rFonts w:ascii="Times New Roman" w:hAnsi="Times New Roman" w:cs="Times New Roman"/>
        </w:rPr>
        <w:t xml:space="preserve">. </w:t>
      </w:r>
    </w:p>
    <w:p w14:paraId="0D44A197" w14:textId="6C859D5D" w:rsidR="006201B4" w:rsidRPr="0070576A" w:rsidRDefault="006201B4" w:rsidP="006201B4">
      <w:pPr>
        <w:spacing w:beforeLines="60" w:before="144"/>
        <w:rPr>
          <w:rFonts w:ascii="Times New Roman" w:hAnsi="Times New Roman" w:cs="Times New Roman"/>
        </w:rPr>
      </w:pPr>
      <w:r w:rsidRPr="0070576A">
        <w:rPr>
          <w:rFonts w:ascii="Times New Roman" w:hAnsi="Times New Roman" w:cs="Times New Roman"/>
        </w:rPr>
        <w:t>Genovese</w:t>
      </w:r>
      <w:r>
        <w:rPr>
          <w:rFonts w:ascii="Times New Roman" w:hAnsi="Times New Roman" w:cs="Times New Roman"/>
        </w:rPr>
        <w:t>,</w:t>
      </w:r>
      <w:r w:rsidRPr="0070576A">
        <w:rPr>
          <w:rFonts w:ascii="Times New Roman" w:hAnsi="Times New Roman" w:cs="Times New Roman"/>
        </w:rPr>
        <w:t xml:space="preserve"> A</w:t>
      </w:r>
      <w:r>
        <w:rPr>
          <w:rFonts w:ascii="Times New Roman" w:hAnsi="Times New Roman" w:cs="Times New Roman"/>
        </w:rPr>
        <w:t>.</w:t>
      </w:r>
      <w:r w:rsidRPr="0070576A">
        <w:rPr>
          <w:rFonts w:ascii="Times New Roman" w:hAnsi="Times New Roman" w:cs="Times New Roman"/>
        </w:rPr>
        <w:t xml:space="preserve"> 2014</w:t>
      </w:r>
      <w:r>
        <w:rPr>
          <w:rFonts w:ascii="Times New Roman" w:hAnsi="Times New Roman" w:cs="Times New Roman"/>
        </w:rPr>
        <w:t>.</w:t>
      </w:r>
      <w:r w:rsidRPr="0070576A">
        <w:rPr>
          <w:rFonts w:ascii="Times New Roman" w:hAnsi="Times New Roman" w:cs="Times New Roman"/>
        </w:rPr>
        <w:t xml:space="preserve"> ‘On Australian </w:t>
      </w:r>
      <w:r w:rsidR="005A7C50">
        <w:rPr>
          <w:rFonts w:ascii="Times New Roman" w:hAnsi="Times New Roman" w:cs="Times New Roman"/>
        </w:rPr>
        <w:t>F</w:t>
      </w:r>
      <w:r w:rsidRPr="0070576A">
        <w:rPr>
          <w:rFonts w:ascii="Times New Roman" w:hAnsi="Times New Roman" w:cs="Times New Roman"/>
        </w:rPr>
        <w:t xml:space="preserve">eminist </w:t>
      </w:r>
      <w:r w:rsidR="005A7C50">
        <w:rPr>
          <w:rFonts w:ascii="Times New Roman" w:hAnsi="Times New Roman" w:cs="Times New Roman"/>
        </w:rPr>
        <w:t>T</w:t>
      </w:r>
      <w:r w:rsidRPr="0070576A">
        <w:rPr>
          <w:rFonts w:ascii="Times New Roman" w:hAnsi="Times New Roman" w:cs="Times New Roman"/>
        </w:rPr>
        <w:t xml:space="preserve">radition: </w:t>
      </w:r>
      <w:r w:rsidR="005A7C50">
        <w:rPr>
          <w:rFonts w:ascii="Times New Roman" w:hAnsi="Times New Roman" w:cs="Times New Roman"/>
        </w:rPr>
        <w:t>T</w:t>
      </w:r>
      <w:r w:rsidRPr="0070576A">
        <w:rPr>
          <w:rFonts w:ascii="Times New Roman" w:hAnsi="Times New Roman" w:cs="Times New Roman"/>
        </w:rPr>
        <w:t xml:space="preserve">hree </w:t>
      </w:r>
      <w:r w:rsidR="005A7C50">
        <w:rPr>
          <w:rFonts w:ascii="Times New Roman" w:hAnsi="Times New Roman" w:cs="Times New Roman"/>
        </w:rPr>
        <w:t>N</w:t>
      </w:r>
      <w:r w:rsidRPr="0070576A">
        <w:rPr>
          <w:rFonts w:ascii="Times New Roman" w:hAnsi="Times New Roman" w:cs="Times New Roman"/>
        </w:rPr>
        <w:t xml:space="preserve">otes on </w:t>
      </w:r>
      <w:r w:rsidR="005A7C50">
        <w:rPr>
          <w:rFonts w:ascii="Times New Roman" w:hAnsi="Times New Roman" w:cs="Times New Roman"/>
        </w:rPr>
        <w:t>C</w:t>
      </w:r>
      <w:r w:rsidRPr="0070576A">
        <w:rPr>
          <w:rFonts w:ascii="Times New Roman" w:hAnsi="Times New Roman" w:cs="Times New Roman"/>
        </w:rPr>
        <w:t xml:space="preserve">onduct, </w:t>
      </w:r>
      <w:r w:rsidR="005A7C50">
        <w:rPr>
          <w:rFonts w:ascii="Times New Roman" w:hAnsi="Times New Roman" w:cs="Times New Roman"/>
        </w:rPr>
        <w:t>I</w:t>
      </w:r>
      <w:r w:rsidRPr="0070576A">
        <w:rPr>
          <w:rFonts w:ascii="Times New Roman" w:hAnsi="Times New Roman" w:cs="Times New Roman"/>
        </w:rPr>
        <w:t xml:space="preserve">nheritance and the </w:t>
      </w:r>
      <w:r w:rsidR="005A7C50">
        <w:rPr>
          <w:rFonts w:ascii="Times New Roman" w:hAnsi="Times New Roman" w:cs="Times New Roman"/>
        </w:rPr>
        <w:t>R</w:t>
      </w:r>
      <w:r w:rsidRPr="0070576A">
        <w:rPr>
          <w:rFonts w:ascii="Times New Roman" w:hAnsi="Times New Roman" w:cs="Times New Roman"/>
        </w:rPr>
        <w:t xml:space="preserve">elations of </w:t>
      </w:r>
      <w:r w:rsidR="005A7C50">
        <w:rPr>
          <w:rFonts w:ascii="Times New Roman" w:hAnsi="Times New Roman" w:cs="Times New Roman"/>
        </w:rPr>
        <w:t>H</w:t>
      </w:r>
      <w:r w:rsidRPr="0070576A">
        <w:rPr>
          <w:rFonts w:ascii="Times New Roman" w:hAnsi="Times New Roman" w:cs="Times New Roman"/>
        </w:rPr>
        <w:t xml:space="preserve">istoriography and </w:t>
      </w:r>
      <w:r w:rsidR="005A7C50">
        <w:rPr>
          <w:rFonts w:ascii="Times New Roman" w:hAnsi="Times New Roman" w:cs="Times New Roman"/>
        </w:rPr>
        <w:t>J</w:t>
      </w:r>
      <w:r w:rsidRPr="0070576A">
        <w:rPr>
          <w:rFonts w:ascii="Times New Roman" w:hAnsi="Times New Roman" w:cs="Times New Roman"/>
        </w:rPr>
        <w:t>urisprudence’</w:t>
      </w:r>
      <w:r>
        <w:rPr>
          <w:rFonts w:ascii="Times New Roman" w:hAnsi="Times New Roman" w:cs="Times New Roman"/>
        </w:rPr>
        <w:t>.</w:t>
      </w:r>
      <w:r w:rsidRPr="0070576A">
        <w:rPr>
          <w:rFonts w:ascii="Times New Roman" w:hAnsi="Times New Roman" w:cs="Times New Roman"/>
        </w:rPr>
        <w:t xml:space="preserve"> </w:t>
      </w:r>
      <w:r w:rsidRPr="0070576A">
        <w:rPr>
          <w:rFonts w:ascii="Times New Roman" w:hAnsi="Times New Roman" w:cs="Times New Roman"/>
          <w:i/>
          <w:iCs/>
        </w:rPr>
        <w:t>Journal of Australian Studies</w:t>
      </w:r>
      <w:r w:rsidRPr="0070576A">
        <w:rPr>
          <w:rFonts w:ascii="Times New Roman" w:hAnsi="Times New Roman" w:cs="Times New Roman"/>
        </w:rPr>
        <w:t xml:space="preserve"> 38/4: 430</w:t>
      </w:r>
      <w:r>
        <w:rPr>
          <w:rFonts w:ascii="Times New Roman" w:hAnsi="Times New Roman" w:cs="Times New Roman"/>
        </w:rPr>
        <w:t>-</w:t>
      </w:r>
      <w:r w:rsidR="005A7C50">
        <w:rPr>
          <w:rFonts w:ascii="Times New Roman" w:hAnsi="Times New Roman" w:cs="Times New Roman"/>
        </w:rPr>
        <w:t>4</w:t>
      </w:r>
      <w:r w:rsidRPr="0070576A">
        <w:rPr>
          <w:rFonts w:ascii="Times New Roman" w:hAnsi="Times New Roman" w:cs="Times New Roman"/>
        </w:rPr>
        <w:t>44</w:t>
      </w:r>
      <w:r>
        <w:rPr>
          <w:rFonts w:ascii="Times New Roman" w:hAnsi="Times New Roman" w:cs="Times New Roman"/>
        </w:rPr>
        <w:t>.</w:t>
      </w:r>
      <w:r w:rsidRPr="0070576A">
        <w:rPr>
          <w:rFonts w:ascii="Times New Roman" w:hAnsi="Times New Roman" w:cs="Times New Roman"/>
        </w:rPr>
        <w:t xml:space="preserve"> </w:t>
      </w:r>
    </w:p>
    <w:p w14:paraId="35D378B6" w14:textId="5153FBA7" w:rsidR="006201B4" w:rsidRPr="0070576A" w:rsidRDefault="006201B4" w:rsidP="006201B4">
      <w:pPr>
        <w:spacing w:beforeLines="60" w:before="144"/>
        <w:rPr>
          <w:rFonts w:ascii="Times New Roman" w:hAnsi="Times New Roman" w:cs="Times New Roman"/>
        </w:rPr>
      </w:pPr>
      <w:r w:rsidRPr="0070576A">
        <w:rPr>
          <w:rFonts w:ascii="Times New Roman" w:hAnsi="Times New Roman" w:cs="Times New Roman"/>
        </w:rPr>
        <w:lastRenderedPageBreak/>
        <w:t>Genovese</w:t>
      </w:r>
      <w:r>
        <w:rPr>
          <w:rFonts w:ascii="Times New Roman" w:hAnsi="Times New Roman" w:cs="Times New Roman"/>
        </w:rPr>
        <w:t>,</w:t>
      </w:r>
      <w:r w:rsidRPr="0070576A">
        <w:rPr>
          <w:rFonts w:ascii="Times New Roman" w:hAnsi="Times New Roman" w:cs="Times New Roman"/>
        </w:rPr>
        <w:t xml:space="preserve"> A</w:t>
      </w:r>
      <w:r>
        <w:rPr>
          <w:rFonts w:ascii="Times New Roman" w:hAnsi="Times New Roman" w:cs="Times New Roman"/>
        </w:rPr>
        <w:t>.</w:t>
      </w:r>
      <w:r w:rsidRPr="0070576A">
        <w:rPr>
          <w:rFonts w:ascii="Times New Roman" w:hAnsi="Times New Roman" w:cs="Times New Roman"/>
        </w:rPr>
        <w:t xml:space="preserve"> 2016</w:t>
      </w:r>
      <w:r>
        <w:rPr>
          <w:rFonts w:ascii="Times New Roman" w:hAnsi="Times New Roman" w:cs="Times New Roman"/>
        </w:rPr>
        <w:t>.</w:t>
      </w:r>
      <w:r w:rsidRPr="0070576A">
        <w:rPr>
          <w:rFonts w:ascii="Times New Roman" w:hAnsi="Times New Roman" w:cs="Times New Roman"/>
        </w:rPr>
        <w:t xml:space="preserve"> ‘About Libraries: A Jurisographer’s Notes on Lives Lived </w:t>
      </w:r>
      <w:proofErr w:type="gramStart"/>
      <w:r w:rsidRPr="0070576A">
        <w:rPr>
          <w:rFonts w:ascii="Times New Roman" w:hAnsi="Times New Roman" w:cs="Times New Roman"/>
        </w:rPr>
        <w:t>With</w:t>
      </w:r>
      <w:proofErr w:type="gramEnd"/>
      <w:r w:rsidRPr="0070576A">
        <w:rPr>
          <w:rFonts w:ascii="Times New Roman" w:hAnsi="Times New Roman" w:cs="Times New Roman"/>
        </w:rPr>
        <w:t xml:space="preserve"> Law (in London and Sydney)’</w:t>
      </w:r>
      <w:r>
        <w:rPr>
          <w:rFonts w:ascii="Times New Roman" w:hAnsi="Times New Roman" w:cs="Times New Roman"/>
        </w:rPr>
        <w:t>.</w:t>
      </w:r>
      <w:r w:rsidRPr="0070576A">
        <w:rPr>
          <w:rFonts w:ascii="Times New Roman" w:hAnsi="Times New Roman" w:cs="Times New Roman"/>
        </w:rPr>
        <w:t xml:space="preserve"> </w:t>
      </w:r>
      <w:r w:rsidRPr="0070576A">
        <w:rPr>
          <w:rFonts w:ascii="Times New Roman" w:hAnsi="Times New Roman" w:cs="Times New Roman"/>
          <w:i/>
          <w:iCs/>
        </w:rPr>
        <w:t>Law Text Culture</w:t>
      </w:r>
      <w:r w:rsidRPr="0070576A">
        <w:rPr>
          <w:rFonts w:ascii="Times New Roman" w:hAnsi="Times New Roman" w:cs="Times New Roman"/>
        </w:rPr>
        <w:t xml:space="preserve"> 20/1: 33</w:t>
      </w:r>
      <w:r>
        <w:rPr>
          <w:rFonts w:ascii="Times New Roman" w:hAnsi="Times New Roman" w:cs="Times New Roman"/>
        </w:rPr>
        <w:t>-</w:t>
      </w:r>
      <w:r w:rsidRPr="0070576A">
        <w:rPr>
          <w:rFonts w:ascii="Times New Roman" w:hAnsi="Times New Roman" w:cs="Times New Roman"/>
        </w:rPr>
        <w:t>65</w:t>
      </w:r>
      <w:r>
        <w:rPr>
          <w:rFonts w:ascii="Times New Roman" w:hAnsi="Times New Roman" w:cs="Times New Roman"/>
        </w:rPr>
        <w:t>.</w:t>
      </w:r>
      <w:r w:rsidRPr="0070576A">
        <w:rPr>
          <w:rFonts w:ascii="Times New Roman" w:hAnsi="Times New Roman" w:cs="Times New Roman"/>
        </w:rPr>
        <w:t xml:space="preserve"> </w:t>
      </w:r>
    </w:p>
    <w:p w14:paraId="0CCAB244" w14:textId="6A1F41E9" w:rsidR="006201B4" w:rsidRPr="0070576A" w:rsidRDefault="006201B4" w:rsidP="006201B4">
      <w:pPr>
        <w:pStyle w:val="EndnoteText"/>
        <w:spacing w:beforeLines="60" w:before="144"/>
        <w:rPr>
          <w:rFonts w:ascii="Times New Roman" w:hAnsi="Times New Roman" w:cs="Times New Roman"/>
          <w:sz w:val="24"/>
          <w:szCs w:val="24"/>
        </w:rPr>
      </w:pPr>
      <w:r w:rsidRPr="0070576A">
        <w:rPr>
          <w:rFonts w:ascii="Times New Roman" w:hAnsi="Times New Roman" w:cs="Times New Roman"/>
          <w:sz w:val="24"/>
          <w:szCs w:val="24"/>
        </w:rPr>
        <w:t>Genovese</w:t>
      </w:r>
      <w:r>
        <w:rPr>
          <w:rFonts w:ascii="Times New Roman" w:hAnsi="Times New Roman" w:cs="Times New Roman"/>
          <w:sz w:val="24"/>
          <w:szCs w:val="24"/>
        </w:rPr>
        <w:t>,</w:t>
      </w:r>
      <w:r w:rsidRPr="0070576A">
        <w:rPr>
          <w:rFonts w:ascii="Times New Roman" w:hAnsi="Times New Roman" w:cs="Times New Roman"/>
          <w:sz w:val="24"/>
          <w:szCs w:val="24"/>
        </w:rPr>
        <w:t xml:space="preserve"> A</w:t>
      </w:r>
      <w:r>
        <w:rPr>
          <w:rFonts w:ascii="Times New Roman" w:hAnsi="Times New Roman" w:cs="Times New Roman"/>
          <w:sz w:val="24"/>
          <w:szCs w:val="24"/>
        </w:rPr>
        <w:t>.</w:t>
      </w:r>
      <w:r w:rsidRPr="0070576A">
        <w:rPr>
          <w:rFonts w:ascii="Times New Roman" w:hAnsi="Times New Roman" w:cs="Times New Roman"/>
          <w:sz w:val="24"/>
          <w:szCs w:val="24"/>
        </w:rPr>
        <w:t xml:space="preserve"> 2019</w:t>
      </w:r>
      <w:r>
        <w:rPr>
          <w:rFonts w:ascii="Times New Roman" w:hAnsi="Times New Roman" w:cs="Times New Roman"/>
          <w:sz w:val="24"/>
          <w:szCs w:val="24"/>
        </w:rPr>
        <w:t>.</w:t>
      </w:r>
      <w:r w:rsidRPr="0070576A">
        <w:rPr>
          <w:rFonts w:ascii="Times New Roman" w:hAnsi="Times New Roman" w:cs="Times New Roman"/>
          <w:sz w:val="24"/>
          <w:szCs w:val="24"/>
        </w:rPr>
        <w:t xml:space="preserve"> </w:t>
      </w:r>
      <w:r w:rsidRPr="0070576A">
        <w:rPr>
          <w:rFonts w:ascii="Times New Roman" w:hAnsi="Times New Roman" w:cs="Times New Roman"/>
          <w:bCs/>
          <w:sz w:val="24"/>
          <w:szCs w:val="24"/>
        </w:rPr>
        <w:t xml:space="preserve">‘A Matter of Records: The Federal Court, the National Archives and </w:t>
      </w:r>
      <w:r w:rsidR="004233DA">
        <w:rPr>
          <w:rFonts w:ascii="Times New Roman" w:hAnsi="Times New Roman" w:cs="Times New Roman"/>
          <w:bCs/>
          <w:sz w:val="24"/>
          <w:szCs w:val="24"/>
        </w:rPr>
        <w:t>“T</w:t>
      </w:r>
      <w:r w:rsidRPr="0070576A">
        <w:rPr>
          <w:rFonts w:ascii="Times New Roman" w:hAnsi="Times New Roman" w:cs="Times New Roman"/>
          <w:bCs/>
          <w:sz w:val="24"/>
          <w:szCs w:val="24"/>
        </w:rPr>
        <w:t>he National Estate</w:t>
      </w:r>
      <w:r w:rsidR="004233DA">
        <w:rPr>
          <w:rFonts w:ascii="Times New Roman" w:hAnsi="Times New Roman" w:cs="Times New Roman"/>
          <w:bCs/>
          <w:sz w:val="24"/>
          <w:szCs w:val="24"/>
        </w:rPr>
        <w:t>”</w:t>
      </w:r>
      <w:r w:rsidRPr="0070576A">
        <w:rPr>
          <w:rFonts w:ascii="Times New Roman" w:hAnsi="Times New Roman" w:cs="Times New Roman"/>
          <w:bCs/>
          <w:sz w:val="24"/>
          <w:szCs w:val="24"/>
        </w:rPr>
        <w:t xml:space="preserve"> in the 1970s</w:t>
      </w:r>
      <w:r w:rsidR="004233DA">
        <w:rPr>
          <w:rFonts w:ascii="Times New Roman" w:hAnsi="Times New Roman" w:cs="Times New Roman"/>
          <w:bCs/>
          <w:sz w:val="24"/>
          <w:szCs w:val="24"/>
        </w:rPr>
        <w:t>’</w:t>
      </w:r>
      <w:r w:rsidRPr="0070576A">
        <w:rPr>
          <w:rFonts w:ascii="Times New Roman" w:hAnsi="Times New Roman" w:cs="Times New Roman"/>
          <w:bCs/>
          <w:sz w:val="24"/>
          <w:szCs w:val="24"/>
        </w:rPr>
        <w:t xml:space="preserve"> in A</w:t>
      </w:r>
      <w:r>
        <w:rPr>
          <w:rFonts w:ascii="Times New Roman" w:hAnsi="Times New Roman" w:cs="Times New Roman"/>
          <w:bCs/>
          <w:sz w:val="24"/>
          <w:szCs w:val="24"/>
        </w:rPr>
        <w:t>.</w:t>
      </w:r>
      <w:r w:rsidRPr="0070576A">
        <w:rPr>
          <w:rFonts w:ascii="Times New Roman" w:hAnsi="Times New Roman" w:cs="Times New Roman"/>
          <w:bCs/>
          <w:sz w:val="24"/>
          <w:szCs w:val="24"/>
        </w:rPr>
        <w:t xml:space="preserve"> Genovese, T</w:t>
      </w:r>
      <w:r>
        <w:rPr>
          <w:rFonts w:ascii="Times New Roman" w:hAnsi="Times New Roman" w:cs="Times New Roman"/>
          <w:bCs/>
          <w:sz w:val="24"/>
          <w:szCs w:val="24"/>
        </w:rPr>
        <w:t>.</w:t>
      </w:r>
      <w:r w:rsidRPr="0070576A">
        <w:rPr>
          <w:rFonts w:ascii="Times New Roman" w:hAnsi="Times New Roman" w:cs="Times New Roman"/>
          <w:bCs/>
          <w:sz w:val="24"/>
          <w:szCs w:val="24"/>
        </w:rPr>
        <w:t xml:space="preserve"> Luker</w:t>
      </w:r>
      <w:r w:rsidR="004233DA">
        <w:rPr>
          <w:rFonts w:ascii="Times New Roman" w:hAnsi="Times New Roman" w:cs="Times New Roman"/>
          <w:bCs/>
          <w:sz w:val="24"/>
          <w:szCs w:val="24"/>
        </w:rPr>
        <w:t xml:space="preserve"> and </w:t>
      </w:r>
      <w:r w:rsidRPr="0070576A">
        <w:rPr>
          <w:rFonts w:ascii="Times New Roman" w:hAnsi="Times New Roman" w:cs="Times New Roman"/>
          <w:bCs/>
          <w:sz w:val="24"/>
          <w:szCs w:val="24"/>
        </w:rPr>
        <w:t>K</w:t>
      </w:r>
      <w:r>
        <w:rPr>
          <w:rFonts w:ascii="Times New Roman" w:hAnsi="Times New Roman" w:cs="Times New Roman"/>
          <w:bCs/>
          <w:sz w:val="24"/>
          <w:szCs w:val="24"/>
        </w:rPr>
        <w:t>.</w:t>
      </w:r>
      <w:r w:rsidRPr="0070576A">
        <w:rPr>
          <w:rFonts w:ascii="Times New Roman" w:hAnsi="Times New Roman" w:cs="Times New Roman"/>
          <w:bCs/>
          <w:sz w:val="24"/>
          <w:szCs w:val="24"/>
        </w:rPr>
        <w:t xml:space="preserve"> Rubenstein</w:t>
      </w:r>
      <w:r w:rsidR="00B55F3A">
        <w:rPr>
          <w:rFonts w:ascii="Times New Roman" w:hAnsi="Times New Roman" w:cs="Times New Roman"/>
          <w:bCs/>
          <w:sz w:val="24"/>
          <w:szCs w:val="24"/>
        </w:rPr>
        <w:t>,</w:t>
      </w:r>
      <w:r w:rsidRPr="0070576A">
        <w:rPr>
          <w:rFonts w:ascii="Times New Roman" w:hAnsi="Times New Roman" w:cs="Times New Roman"/>
          <w:bCs/>
          <w:sz w:val="24"/>
          <w:szCs w:val="24"/>
        </w:rPr>
        <w:t xml:space="preserve"> eds. </w:t>
      </w:r>
      <w:r w:rsidRPr="0070576A">
        <w:rPr>
          <w:rFonts w:ascii="Times New Roman" w:hAnsi="Times New Roman" w:cs="Times New Roman"/>
          <w:bCs/>
          <w:i/>
          <w:sz w:val="24"/>
          <w:szCs w:val="24"/>
        </w:rPr>
        <w:t xml:space="preserve">The Court </w:t>
      </w:r>
      <w:proofErr w:type="gramStart"/>
      <w:r w:rsidRPr="0070576A">
        <w:rPr>
          <w:rFonts w:ascii="Times New Roman" w:hAnsi="Times New Roman" w:cs="Times New Roman"/>
          <w:bCs/>
          <w:i/>
          <w:sz w:val="24"/>
          <w:szCs w:val="24"/>
        </w:rPr>
        <w:t>As</w:t>
      </w:r>
      <w:proofErr w:type="gramEnd"/>
      <w:r w:rsidRPr="0070576A">
        <w:rPr>
          <w:rFonts w:ascii="Times New Roman" w:hAnsi="Times New Roman" w:cs="Times New Roman"/>
          <w:bCs/>
          <w:i/>
          <w:sz w:val="24"/>
          <w:szCs w:val="24"/>
        </w:rPr>
        <w:t xml:space="preserve"> Archive</w:t>
      </w:r>
      <w:r>
        <w:rPr>
          <w:rFonts w:ascii="Times New Roman" w:hAnsi="Times New Roman" w:cs="Times New Roman"/>
          <w:bCs/>
          <w:sz w:val="24"/>
          <w:szCs w:val="24"/>
        </w:rPr>
        <w:t xml:space="preserve">. </w:t>
      </w:r>
      <w:r w:rsidRPr="0070576A">
        <w:rPr>
          <w:rFonts w:ascii="Times New Roman" w:hAnsi="Times New Roman" w:cs="Times New Roman"/>
          <w:bCs/>
          <w:sz w:val="24"/>
          <w:szCs w:val="24"/>
        </w:rPr>
        <w:t>ANU Press</w:t>
      </w:r>
      <w:r>
        <w:rPr>
          <w:rFonts w:ascii="Times New Roman" w:hAnsi="Times New Roman" w:cs="Times New Roman"/>
          <w:bCs/>
          <w:sz w:val="24"/>
          <w:szCs w:val="24"/>
        </w:rPr>
        <w:t>,</w:t>
      </w:r>
      <w:r w:rsidRPr="0070576A">
        <w:rPr>
          <w:rFonts w:ascii="Times New Roman" w:hAnsi="Times New Roman" w:cs="Times New Roman"/>
          <w:bCs/>
          <w:sz w:val="24"/>
          <w:szCs w:val="24"/>
        </w:rPr>
        <w:t xml:space="preserve"> Canberra</w:t>
      </w:r>
      <w:r w:rsidR="009A65A3">
        <w:rPr>
          <w:rFonts w:ascii="Times New Roman" w:hAnsi="Times New Roman" w:cs="Times New Roman"/>
          <w:bCs/>
          <w:sz w:val="24"/>
          <w:szCs w:val="24"/>
        </w:rPr>
        <w:t>:</w:t>
      </w:r>
      <w:r w:rsidRPr="0070576A">
        <w:rPr>
          <w:rFonts w:ascii="Times New Roman" w:hAnsi="Times New Roman" w:cs="Times New Roman"/>
          <w:bCs/>
          <w:sz w:val="24"/>
          <w:szCs w:val="24"/>
        </w:rPr>
        <w:t xml:space="preserve"> 99-122</w:t>
      </w:r>
      <w:r>
        <w:rPr>
          <w:rFonts w:ascii="Times New Roman" w:hAnsi="Times New Roman" w:cs="Times New Roman"/>
          <w:bCs/>
          <w:sz w:val="24"/>
          <w:szCs w:val="24"/>
        </w:rPr>
        <w:t>.</w:t>
      </w:r>
      <w:r w:rsidRPr="0070576A">
        <w:rPr>
          <w:rFonts w:ascii="Times New Roman" w:hAnsi="Times New Roman" w:cs="Times New Roman"/>
          <w:bCs/>
          <w:sz w:val="24"/>
          <w:szCs w:val="24"/>
        </w:rPr>
        <w:t xml:space="preserve"> </w:t>
      </w:r>
    </w:p>
    <w:p w14:paraId="57258D81" w14:textId="01E59583" w:rsidR="006201B4" w:rsidRPr="0070576A" w:rsidRDefault="006201B4" w:rsidP="006201B4">
      <w:pPr>
        <w:pStyle w:val="EndnoteText"/>
        <w:spacing w:beforeLines="60" w:before="144"/>
        <w:rPr>
          <w:rFonts w:ascii="Times" w:hAnsi="Times" w:cs="Times New Roman"/>
          <w:sz w:val="24"/>
          <w:szCs w:val="24"/>
        </w:rPr>
      </w:pPr>
      <w:r w:rsidRPr="0070576A">
        <w:rPr>
          <w:rFonts w:ascii="Times" w:hAnsi="Times" w:cs="Times New Roman"/>
          <w:sz w:val="24"/>
          <w:szCs w:val="24"/>
        </w:rPr>
        <w:t>Genovese</w:t>
      </w:r>
      <w:r>
        <w:rPr>
          <w:rFonts w:ascii="Times" w:hAnsi="Times" w:cs="Times New Roman"/>
          <w:sz w:val="24"/>
          <w:szCs w:val="24"/>
        </w:rPr>
        <w:t>.</w:t>
      </w:r>
      <w:r w:rsidRPr="0070576A">
        <w:rPr>
          <w:rFonts w:ascii="Times" w:hAnsi="Times" w:cs="Times New Roman"/>
          <w:sz w:val="24"/>
          <w:szCs w:val="24"/>
        </w:rPr>
        <w:t xml:space="preserve"> A</w:t>
      </w:r>
      <w:r>
        <w:rPr>
          <w:rFonts w:ascii="Times" w:hAnsi="Times" w:cs="Times New Roman"/>
          <w:sz w:val="24"/>
          <w:szCs w:val="24"/>
        </w:rPr>
        <w:t>.</w:t>
      </w:r>
      <w:r w:rsidRPr="0070576A">
        <w:rPr>
          <w:rFonts w:ascii="Times" w:hAnsi="Times" w:cs="Times New Roman"/>
          <w:sz w:val="24"/>
          <w:szCs w:val="24"/>
        </w:rPr>
        <w:t xml:space="preserve"> 2022</w:t>
      </w:r>
      <w:r>
        <w:rPr>
          <w:rFonts w:ascii="Times" w:hAnsi="Times" w:cs="Times New Roman"/>
          <w:sz w:val="24"/>
          <w:szCs w:val="24"/>
        </w:rPr>
        <w:t>.</w:t>
      </w:r>
      <w:r w:rsidRPr="0070576A">
        <w:rPr>
          <w:rFonts w:ascii="Times" w:hAnsi="Times" w:cs="Times New Roman"/>
          <w:sz w:val="24"/>
          <w:szCs w:val="24"/>
        </w:rPr>
        <w:t xml:space="preserve"> </w:t>
      </w:r>
      <w:r w:rsidRPr="0070576A">
        <w:rPr>
          <w:rFonts w:ascii="Times" w:hAnsi="Times" w:cs="Times New Roman"/>
          <w:i/>
          <w:iCs/>
          <w:sz w:val="24"/>
          <w:szCs w:val="24"/>
        </w:rPr>
        <w:t>Feminist Jurisography: Law, History, Writing</w:t>
      </w:r>
      <w:r>
        <w:rPr>
          <w:rFonts w:ascii="Times" w:hAnsi="Times" w:cs="Times New Roman"/>
          <w:sz w:val="24"/>
          <w:szCs w:val="24"/>
        </w:rPr>
        <w:t xml:space="preserve">. </w:t>
      </w:r>
      <w:r w:rsidRPr="0070576A">
        <w:rPr>
          <w:rFonts w:ascii="Times" w:hAnsi="Times" w:cs="Times New Roman"/>
          <w:sz w:val="24"/>
          <w:szCs w:val="24"/>
        </w:rPr>
        <w:t>Routledge</w:t>
      </w:r>
      <w:r>
        <w:rPr>
          <w:rFonts w:ascii="Times" w:hAnsi="Times" w:cs="Times New Roman"/>
          <w:sz w:val="24"/>
          <w:szCs w:val="24"/>
        </w:rPr>
        <w:t>,</w:t>
      </w:r>
      <w:r w:rsidRPr="0070576A">
        <w:rPr>
          <w:rFonts w:ascii="Times" w:hAnsi="Times" w:cs="Times New Roman"/>
          <w:sz w:val="24"/>
          <w:szCs w:val="24"/>
        </w:rPr>
        <w:t xml:space="preserve"> London and New York.</w:t>
      </w:r>
    </w:p>
    <w:p w14:paraId="2FE0AF14" w14:textId="3DF243BD" w:rsidR="004047C9" w:rsidRPr="00865492" w:rsidRDefault="004047C9" w:rsidP="004047C9">
      <w:pPr>
        <w:spacing w:beforeLines="60" w:before="144"/>
        <w:rPr>
          <w:rFonts w:ascii="Times New Roman" w:hAnsi="Times New Roman" w:cs="Times New Roman"/>
          <w:bCs/>
        </w:rPr>
      </w:pPr>
      <w:r>
        <w:rPr>
          <w:rFonts w:ascii="Times New Roman" w:hAnsi="Times New Roman" w:cs="Times New Roman"/>
          <w:bCs/>
        </w:rPr>
        <w:t xml:space="preserve">Genovese, A., </w:t>
      </w:r>
      <w:proofErr w:type="spellStart"/>
      <w:r>
        <w:rPr>
          <w:rFonts w:ascii="Times New Roman" w:hAnsi="Times New Roman" w:cs="Times New Roman"/>
          <w:bCs/>
        </w:rPr>
        <w:t>Curthoys</w:t>
      </w:r>
      <w:proofErr w:type="spellEnd"/>
      <w:r>
        <w:rPr>
          <w:rFonts w:ascii="Times New Roman" w:hAnsi="Times New Roman" w:cs="Times New Roman"/>
          <w:bCs/>
        </w:rPr>
        <w:t xml:space="preserve">, A., Simmonds, A. &amp; Kintominas, A. 2025. ‘Author Meets Readers: Feminist </w:t>
      </w:r>
      <w:proofErr w:type="spellStart"/>
      <w:r>
        <w:rPr>
          <w:rFonts w:ascii="Times New Roman" w:hAnsi="Times New Roman" w:cs="Times New Roman"/>
          <w:bCs/>
        </w:rPr>
        <w:t>Jurisography</w:t>
      </w:r>
      <w:proofErr w:type="spellEnd"/>
      <w:r>
        <w:rPr>
          <w:rFonts w:ascii="Times New Roman" w:hAnsi="Times New Roman" w:cs="Times New Roman"/>
          <w:bCs/>
        </w:rPr>
        <w:t xml:space="preserve">: Law, History, Writing’. </w:t>
      </w:r>
      <w:r>
        <w:rPr>
          <w:rFonts w:ascii="Times New Roman" w:hAnsi="Times New Roman" w:cs="Times New Roman"/>
          <w:bCs/>
          <w:i/>
          <w:iCs/>
        </w:rPr>
        <w:t>Australian Feminist Law Journal</w:t>
      </w:r>
      <w:r>
        <w:rPr>
          <w:rFonts w:ascii="Times New Roman" w:hAnsi="Times New Roman" w:cs="Times New Roman"/>
          <w:bCs/>
        </w:rPr>
        <w:t xml:space="preserve"> </w:t>
      </w:r>
      <w:r w:rsidR="00630DC2">
        <w:rPr>
          <w:rFonts w:ascii="Times New Roman" w:hAnsi="Times New Roman" w:cs="Times New Roman"/>
          <w:bCs/>
        </w:rPr>
        <w:t>(online 21 July):</w:t>
      </w:r>
      <w:r>
        <w:rPr>
          <w:rFonts w:ascii="Times New Roman" w:hAnsi="Times New Roman" w:cs="Times New Roman"/>
          <w:bCs/>
        </w:rPr>
        <w:t xml:space="preserve"> 1-18.</w:t>
      </w:r>
    </w:p>
    <w:p w14:paraId="5F16C7D3" w14:textId="19D984A8" w:rsidR="006C1E41" w:rsidRPr="0070576A" w:rsidRDefault="006C1E41" w:rsidP="006C1E41">
      <w:pPr>
        <w:spacing w:beforeLines="60" w:before="144"/>
        <w:rPr>
          <w:rFonts w:ascii="Times New Roman" w:hAnsi="Times New Roman" w:cs="Times New Roman"/>
        </w:rPr>
      </w:pPr>
      <w:r w:rsidRPr="0070576A">
        <w:rPr>
          <w:rFonts w:ascii="Times New Roman" w:hAnsi="Times New Roman" w:cs="Times New Roman"/>
        </w:rPr>
        <w:t>Genovese</w:t>
      </w:r>
      <w:r>
        <w:rPr>
          <w:rFonts w:ascii="Times New Roman" w:hAnsi="Times New Roman" w:cs="Times New Roman"/>
        </w:rPr>
        <w:t>,</w:t>
      </w:r>
      <w:r w:rsidRPr="0070576A">
        <w:rPr>
          <w:rFonts w:ascii="Times New Roman" w:hAnsi="Times New Roman" w:cs="Times New Roman"/>
        </w:rPr>
        <w:t xml:space="preserve"> A</w:t>
      </w:r>
      <w:r>
        <w:rPr>
          <w:rFonts w:ascii="Times New Roman" w:hAnsi="Times New Roman" w:cs="Times New Roman"/>
        </w:rPr>
        <w:t>.</w:t>
      </w:r>
      <w:r w:rsidRPr="0070576A">
        <w:rPr>
          <w:rFonts w:ascii="Times New Roman" w:hAnsi="Times New Roman" w:cs="Times New Roman"/>
        </w:rPr>
        <w:t xml:space="preserve"> and McVeigh</w:t>
      </w:r>
      <w:r>
        <w:rPr>
          <w:rFonts w:ascii="Times New Roman" w:hAnsi="Times New Roman" w:cs="Times New Roman"/>
        </w:rPr>
        <w:t>,</w:t>
      </w:r>
      <w:r w:rsidRPr="0070576A">
        <w:rPr>
          <w:rFonts w:ascii="Times New Roman" w:hAnsi="Times New Roman" w:cs="Times New Roman"/>
        </w:rPr>
        <w:t xml:space="preserve"> S</w:t>
      </w:r>
      <w:r>
        <w:rPr>
          <w:rFonts w:ascii="Times New Roman" w:hAnsi="Times New Roman" w:cs="Times New Roman"/>
        </w:rPr>
        <w:t>.</w:t>
      </w:r>
      <w:r w:rsidRPr="0070576A">
        <w:rPr>
          <w:rFonts w:ascii="Times New Roman" w:hAnsi="Times New Roman" w:cs="Times New Roman"/>
        </w:rPr>
        <w:t xml:space="preserve"> 2015</w:t>
      </w:r>
      <w:r>
        <w:rPr>
          <w:rFonts w:ascii="Times New Roman" w:hAnsi="Times New Roman" w:cs="Times New Roman"/>
        </w:rPr>
        <w:t>.</w:t>
      </w:r>
      <w:r w:rsidRPr="0070576A">
        <w:rPr>
          <w:rFonts w:ascii="Times New Roman" w:hAnsi="Times New Roman" w:cs="Times New Roman"/>
        </w:rPr>
        <w:t xml:space="preserve"> ‘Nineteen </w:t>
      </w:r>
      <w:proofErr w:type="gramStart"/>
      <w:r w:rsidR="00B55F3A">
        <w:rPr>
          <w:rFonts w:ascii="Times New Roman" w:hAnsi="Times New Roman" w:cs="Times New Roman"/>
        </w:rPr>
        <w:t>E</w:t>
      </w:r>
      <w:r w:rsidRPr="0070576A">
        <w:rPr>
          <w:rFonts w:ascii="Times New Roman" w:hAnsi="Times New Roman" w:cs="Times New Roman"/>
        </w:rPr>
        <w:t xml:space="preserve">ighty </w:t>
      </w:r>
      <w:r w:rsidR="00B55F3A">
        <w:rPr>
          <w:rFonts w:ascii="Times New Roman" w:hAnsi="Times New Roman" w:cs="Times New Roman"/>
        </w:rPr>
        <w:t>T</w:t>
      </w:r>
      <w:r w:rsidRPr="0070576A">
        <w:rPr>
          <w:rFonts w:ascii="Times New Roman" w:hAnsi="Times New Roman" w:cs="Times New Roman"/>
        </w:rPr>
        <w:t>hree</w:t>
      </w:r>
      <w:proofErr w:type="gramEnd"/>
      <w:r w:rsidRPr="0070576A">
        <w:rPr>
          <w:rFonts w:ascii="Times New Roman" w:hAnsi="Times New Roman" w:cs="Times New Roman"/>
        </w:rPr>
        <w:t xml:space="preserve">: A </w:t>
      </w:r>
      <w:r w:rsidR="00B55F3A">
        <w:rPr>
          <w:rFonts w:ascii="Times New Roman" w:hAnsi="Times New Roman" w:cs="Times New Roman"/>
        </w:rPr>
        <w:t>J</w:t>
      </w:r>
      <w:r w:rsidRPr="0070576A">
        <w:rPr>
          <w:rFonts w:ascii="Times New Roman" w:hAnsi="Times New Roman" w:cs="Times New Roman"/>
        </w:rPr>
        <w:t xml:space="preserve">urisographic </w:t>
      </w:r>
      <w:r w:rsidR="00B55F3A">
        <w:rPr>
          <w:rFonts w:ascii="Times New Roman" w:hAnsi="Times New Roman" w:cs="Times New Roman"/>
        </w:rPr>
        <w:t>R</w:t>
      </w:r>
      <w:r w:rsidRPr="0070576A">
        <w:rPr>
          <w:rFonts w:ascii="Times New Roman" w:hAnsi="Times New Roman" w:cs="Times New Roman"/>
        </w:rPr>
        <w:t xml:space="preserve">eport on </w:t>
      </w:r>
      <w:r w:rsidRPr="0070576A">
        <w:rPr>
          <w:rFonts w:ascii="Times New Roman" w:hAnsi="Times New Roman" w:cs="Times New Roman"/>
          <w:i/>
          <w:iCs/>
        </w:rPr>
        <w:t>Commonwealth v Tasmania</w:t>
      </w:r>
      <w:r w:rsidRPr="0070576A">
        <w:rPr>
          <w:rFonts w:ascii="Times New Roman" w:hAnsi="Times New Roman" w:cs="Times New Roman"/>
        </w:rPr>
        <w:t>’</w:t>
      </w:r>
      <w:r>
        <w:rPr>
          <w:rFonts w:ascii="Times New Roman" w:hAnsi="Times New Roman" w:cs="Times New Roman"/>
          <w:i/>
          <w:iCs/>
        </w:rPr>
        <w:t>.</w:t>
      </w:r>
      <w:r w:rsidRPr="0070576A">
        <w:rPr>
          <w:rFonts w:ascii="Times New Roman" w:hAnsi="Times New Roman" w:cs="Times New Roman"/>
        </w:rPr>
        <w:t xml:space="preserve"> </w:t>
      </w:r>
      <w:r w:rsidRPr="0070576A">
        <w:rPr>
          <w:rFonts w:ascii="Times New Roman" w:hAnsi="Times New Roman" w:cs="Times New Roman"/>
          <w:i/>
          <w:iCs/>
        </w:rPr>
        <w:t>Griffith Law Review</w:t>
      </w:r>
      <w:r w:rsidRPr="0070576A">
        <w:rPr>
          <w:rFonts w:ascii="Times New Roman" w:hAnsi="Times New Roman" w:cs="Times New Roman"/>
        </w:rPr>
        <w:t xml:space="preserve"> 24/1: 68</w:t>
      </w:r>
      <w:r>
        <w:rPr>
          <w:rFonts w:ascii="Times New Roman" w:hAnsi="Times New Roman" w:cs="Times New Roman"/>
        </w:rPr>
        <w:t>-</w:t>
      </w:r>
      <w:r w:rsidRPr="0070576A">
        <w:rPr>
          <w:rFonts w:ascii="Times New Roman" w:hAnsi="Times New Roman" w:cs="Times New Roman"/>
        </w:rPr>
        <w:t>88</w:t>
      </w:r>
      <w:r>
        <w:rPr>
          <w:rFonts w:ascii="Times New Roman" w:hAnsi="Times New Roman" w:cs="Times New Roman"/>
        </w:rPr>
        <w:t xml:space="preserve">. </w:t>
      </w:r>
    </w:p>
    <w:p w14:paraId="7CEBCA94" w14:textId="77777777" w:rsidR="0047591E" w:rsidRPr="00B122D1" w:rsidRDefault="0047591E" w:rsidP="0047591E">
      <w:pPr>
        <w:spacing w:beforeLines="60" w:before="144"/>
        <w:rPr>
          <w:rFonts w:ascii="Times New Roman" w:hAnsi="Times New Roman" w:cs="Times New Roman"/>
          <w:bCs/>
        </w:rPr>
      </w:pPr>
      <w:r w:rsidRPr="0047591E">
        <w:rPr>
          <w:rFonts w:ascii="Times New Roman" w:hAnsi="Times New Roman" w:cs="Times New Roman"/>
          <w:color w:val="212121"/>
        </w:rPr>
        <w:t xml:space="preserve">Genovese, A. </w:t>
      </w:r>
      <w:r>
        <w:rPr>
          <w:rFonts w:ascii="Times New Roman" w:hAnsi="Times New Roman" w:cs="Times New Roman"/>
          <w:color w:val="212121"/>
        </w:rPr>
        <w:t xml:space="preserve">&amp; </w:t>
      </w:r>
      <w:r w:rsidRPr="0047591E">
        <w:rPr>
          <w:rFonts w:ascii="Times New Roman" w:hAnsi="Times New Roman" w:cs="Times New Roman"/>
          <w:color w:val="212121"/>
        </w:rPr>
        <w:t xml:space="preserve">McVeigh, S. </w:t>
      </w:r>
      <w:r>
        <w:rPr>
          <w:rFonts w:ascii="Times New Roman" w:hAnsi="Times New Roman" w:cs="Times New Roman"/>
          <w:color w:val="212121"/>
        </w:rPr>
        <w:t xml:space="preserve">2026. </w:t>
      </w:r>
      <w:r w:rsidRPr="0047591E">
        <w:rPr>
          <w:rFonts w:ascii="Times New Roman" w:hAnsi="Times New Roman" w:cs="Times New Roman"/>
          <w:color w:val="212121"/>
        </w:rPr>
        <w:t xml:space="preserve"> ‘Constancy of </w:t>
      </w:r>
      <w:r>
        <w:rPr>
          <w:rFonts w:ascii="Times New Roman" w:hAnsi="Times New Roman" w:cs="Times New Roman"/>
          <w:color w:val="212121"/>
        </w:rPr>
        <w:t>O</w:t>
      </w:r>
      <w:r w:rsidRPr="0047591E">
        <w:rPr>
          <w:rFonts w:ascii="Times New Roman" w:hAnsi="Times New Roman" w:cs="Times New Roman"/>
          <w:color w:val="212121"/>
        </w:rPr>
        <w:t xml:space="preserve">ffice: A </w:t>
      </w:r>
      <w:proofErr w:type="spellStart"/>
      <w:r>
        <w:rPr>
          <w:rFonts w:ascii="Times New Roman" w:hAnsi="Times New Roman" w:cs="Times New Roman"/>
          <w:color w:val="212121"/>
        </w:rPr>
        <w:t>J</w:t>
      </w:r>
      <w:r w:rsidRPr="0047591E">
        <w:rPr>
          <w:rFonts w:ascii="Times New Roman" w:hAnsi="Times New Roman" w:cs="Times New Roman"/>
          <w:color w:val="212121"/>
        </w:rPr>
        <w:t>urisographic</w:t>
      </w:r>
      <w:proofErr w:type="spellEnd"/>
      <w:r w:rsidRPr="0047591E">
        <w:rPr>
          <w:rFonts w:ascii="Times New Roman" w:hAnsi="Times New Roman" w:cs="Times New Roman"/>
          <w:color w:val="212121"/>
        </w:rPr>
        <w:t xml:space="preserve"> </w:t>
      </w:r>
      <w:r>
        <w:rPr>
          <w:rFonts w:ascii="Times New Roman" w:hAnsi="Times New Roman" w:cs="Times New Roman"/>
          <w:color w:val="212121"/>
        </w:rPr>
        <w:t>S</w:t>
      </w:r>
      <w:r w:rsidRPr="0047591E">
        <w:rPr>
          <w:rFonts w:ascii="Times New Roman" w:hAnsi="Times New Roman" w:cs="Times New Roman"/>
          <w:color w:val="212121"/>
        </w:rPr>
        <w:t xml:space="preserve">tudy of </w:t>
      </w:r>
      <w:r>
        <w:rPr>
          <w:rFonts w:ascii="Times New Roman" w:hAnsi="Times New Roman" w:cs="Times New Roman"/>
          <w:color w:val="212121"/>
        </w:rPr>
        <w:t>J</w:t>
      </w:r>
      <w:r w:rsidRPr="0047591E">
        <w:rPr>
          <w:rFonts w:ascii="Times New Roman" w:hAnsi="Times New Roman" w:cs="Times New Roman"/>
          <w:color w:val="212121"/>
        </w:rPr>
        <w:t xml:space="preserve">urists and </w:t>
      </w:r>
      <w:r>
        <w:rPr>
          <w:rFonts w:ascii="Times New Roman" w:hAnsi="Times New Roman" w:cs="Times New Roman"/>
          <w:color w:val="212121"/>
        </w:rPr>
        <w:t>W</w:t>
      </w:r>
      <w:r w:rsidRPr="0047591E">
        <w:rPr>
          <w:rFonts w:ascii="Times New Roman" w:hAnsi="Times New Roman" w:cs="Times New Roman"/>
          <w:color w:val="212121"/>
        </w:rPr>
        <w:t xml:space="preserve">riters in </w:t>
      </w:r>
      <w:r>
        <w:rPr>
          <w:rFonts w:ascii="Times New Roman" w:hAnsi="Times New Roman" w:cs="Times New Roman"/>
          <w:color w:val="212121"/>
        </w:rPr>
        <w:t>T</w:t>
      </w:r>
      <w:r w:rsidRPr="0047591E">
        <w:rPr>
          <w:rFonts w:ascii="Times New Roman" w:hAnsi="Times New Roman" w:cs="Times New Roman"/>
          <w:color w:val="212121"/>
        </w:rPr>
        <w:t xml:space="preserve">ime of </w:t>
      </w:r>
      <w:r>
        <w:rPr>
          <w:rFonts w:ascii="Times New Roman" w:hAnsi="Times New Roman" w:cs="Times New Roman"/>
          <w:color w:val="212121"/>
        </w:rPr>
        <w:t>C</w:t>
      </w:r>
      <w:r w:rsidRPr="0047591E">
        <w:rPr>
          <w:rFonts w:ascii="Times New Roman" w:hAnsi="Times New Roman" w:cs="Times New Roman"/>
          <w:color w:val="212121"/>
        </w:rPr>
        <w:t>onflict (Bobbio and Ginzburg)’ in P. Goodrich and S. McVeigh</w:t>
      </w:r>
      <w:r>
        <w:rPr>
          <w:rFonts w:ascii="Times New Roman" w:hAnsi="Times New Roman" w:cs="Times New Roman"/>
          <w:color w:val="212121"/>
        </w:rPr>
        <w:t>,</w:t>
      </w:r>
      <w:r w:rsidRPr="0047591E">
        <w:rPr>
          <w:rFonts w:ascii="Times New Roman" w:hAnsi="Times New Roman" w:cs="Times New Roman"/>
          <w:color w:val="212121"/>
        </w:rPr>
        <w:t xml:space="preserve"> </w:t>
      </w:r>
      <w:r>
        <w:rPr>
          <w:rFonts w:ascii="Times New Roman" w:hAnsi="Times New Roman" w:cs="Times New Roman"/>
          <w:color w:val="212121"/>
        </w:rPr>
        <w:t xml:space="preserve">eds. </w:t>
      </w:r>
      <w:r w:rsidRPr="0047591E">
        <w:rPr>
          <w:rFonts w:ascii="Times New Roman" w:hAnsi="Times New Roman" w:cs="Times New Roman"/>
          <w:i/>
          <w:iCs/>
          <w:color w:val="212121"/>
        </w:rPr>
        <w:t>Law, Ethics and the Office of the Jurist</w:t>
      </w:r>
      <w:r>
        <w:rPr>
          <w:rFonts w:ascii="Times New Roman" w:hAnsi="Times New Roman" w:cs="Times New Roman"/>
          <w:i/>
          <w:iCs/>
          <w:color w:val="212121"/>
        </w:rPr>
        <w:t>.</w:t>
      </w:r>
      <w:r w:rsidRPr="0047591E">
        <w:rPr>
          <w:rStyle w:val="apple-converted-space"/>
          <w:rFonts w:ascii="Times New Roman" w:hAnsi="Times New Roman" w:cs="Times New Roman"/>
          <w:i/>
          <w:iCs/>
          <w:color w:val="212121"/>
        </w:rPr>
        <w:t> </w:t>
      </w:r>
      <w:r w:rsidRPr="0047591E">
        <w:rPr>
          <w:rFonts w:ascii="Times New Roman" w:hAnsi="Times New Roman" w:cs="Times New Roman"/>
          <w:color w:val="212121"/>
        </w:rPr>
        <w:t>Routledge, Abingdon</w:t>
      </w:r>
      <w:r>
        <w:rPr>
          <w:rFonts w:ascii="Times New Roman" w:hAnsi="Times New Roman" w:cs="Times New Roman"/>
          <w:color w:val="212121"/>
        </w:rPr>
        <w:t xml:space="preserve">: </w:t>
      </w:r>
      <w:r w:rsidRPr="0047591E">
        <w:rPr>
          <w:rFonts w:ascii="Times New Roman" w:hAnsi="Times New Roman" w:cs="Times New Roman"/>
          <w:color w:val="212121"/>
        </w:rPr>
        <w:t>234-269.</w:t>
      </w:r>
    </w:p>
    <w:p w14:paraId="07FCC1B2" w14:textId="3FF67637" w:rsidR="006C1E41" w:rsidRDefault="006C1E41" w:rsidP="006C1E41">
      <w:pPr>
        <w:spacing w:beforeLines="60" w:before="144"/>
        <w:rPr>
          <w:rFonts w:ascii="Times New Roman" w:hAnsi="Times New Roman" w:cs="Times New Roman"/>
          <w:bCs/>
        </w:rPr>
      </w:pPr>
      <w:r w:rsidRPr="0070576A">
        <w:rPr>
          <w:rFonts w:ascii="Times New Roman" w:hAnsi="Times New Roman" w:cs="Times New Roman"/>
        </w:rPr>
        <w:t>Genovese</w:t>
      </w:r>
      <w:r>
        <w:rPr>
          <w:rFonts w:ascii="Times New Roman" w:hAnsi="Times New Roman" w:cs="Times New Roman"/>
        </w:rPr>
        <w:t>,</w:t>
      </w:r>
      <w:r w:rsidRPr="0070576A">
        <w:rPr>
          <w:rFonts w:ascii="Times New Roman" w:hAnsi="Times New Roman" w:cs="Times New Roman"/>
        </w:rPr>
        <w:t xml:space="preserve"> A</w:t>
      </w:r>
      <w:r>
        <w:rPr>
          <w:rFonts w:ascii="Times New Roman" w:hAnsi="Times New Roman" w:cs="Times New Roman"/>
        </w:rPr>
        <w:t>.</w:t>
      </w:r>
      <w:r w:rsidRPr="0070576A">
        <w:rPr>
          <w:rFonts w:ascii="Times New Roman" w:hAnsi="Times New Roman" w:cs="Times New Roman"/>
        </w:rPr>
        <w:t>, McVeigh</w:t>
      </w:r>
      <w:r>
        <w:rPr>
          <w:rFonts w:ascii="Times New Roman" w:hAnsi="Times New Roman" w:cs="Times New Roman"/>
        </w:rPr>
        <w:t>,</w:t>
      </w:r>
      <w:r w:rsidRPr="0070576A">
        <w:rPr>
          <w:rFonts w:ascii="Times New Roman" w:hAnsi="Times New Roman" w:cs="Times New Roman"/>
        </w:rPr>
        <w:t xml:space="preserve"> S</w:t>
      </w:r>
      <w:r>
        <w:rPr>
          <w:rFonts w:ascii="Times New Roman" w:hAnsi="Times New Roman" w:cs="Times New Roman"/>
        </w:rPr>
        <w:t>.</w:t>
      </w:r>
      <w:r w:rsidRPr="0070576A">
        <w:rPr>
          <w:rFonts w:ascii="Times New Roman" w:hAnsi="Times New Roman" w:cs="Times New Roman"/>
        </w:rPr>
        <w:t xml:space="preserve"> </w:t>
      </w:r>
      <w:r>
        <w:rPr>
          <w:rFonts w:ascii="Times New Roman" w:hAnsi="Times New Roman" w:cs="Times New Roman"/>
        </w:rPr>
        <w:t xml:space="preserve">and </w:t>
      </w:r>
      <w:r w:rsidRPr="0070576A">
        <w:rPr>
          <w:rFonts w:ascii="Times New Roman" w:hAnsi="Times New Roman" w:cs="Times New Roman"/>
        </w:rPr>
        <w:t>Rush</w:t>
      </w:r>
      <w:r>
        <w:rPr>
          <w:rFonts w:ascii="Times New Roman" w:hAnsi="Times New Roman" w:cs="Times New Roman"/>
        </w:rPr>
        <w:t>,</w:t>
      </w:r>
      <w:r w:rsidRPr="0070576A">
        <w:rPr>
          <w:rFonts w:ascii="Times New Roman" w:hAnsi="Times New Roman" w:cs="Times New Roman"/>
        </w:rPr>
        <w:t xml:space="preserve"> P</w:t>
      </w:r>
      <w:r>
        <w:rPr>
          <w:rFonts w:ascii="Times New Roman" w:hAnsi="Times New Roman" w:cs="Times New Roman"/>
        </w:rPr>
        <w:t>.</w:t>
      </w:r>
      <w:r w:rsidRPr="0070576A">
        <w:rPr>
          <w:rFonts w:ascii="Times New Roman" w:hAnsi="Times New Roman" w:cs="Times New Roman"/>
        </w:rPr>
        <w:t xml:space="preserve"> 2016</w:t>
      </w:r>
      <w:r>
        <w:rPr>
          <w:rFonts w:ascii="Times New Roman" w:hAnsi="Times New Roman" w:cs="Times New Roman"/>
        </w:rPr>
        <w:t>.</w:t>
      </w:r>
      <w:r w:rsidRPr="0070576A">
        <w:rPr>
          <w:rFonts w:ascii="Times New Roman" w:hAnsi="Times New Roman" w:cs="Times New Roman"/>
        </w:rPr>
        <w:t xml:space="preserve"> ‘</w:t>
      </w:r>
      <w:r w:rsidRPr="0070576A">
        <w:rPr>
          <w:rFonts w:ascii="Times New Roman" w:hAnsi="Times New Roman" w:cs="Times New Roman"/>
          <w:bCs/>
        </w:rPr>
        <w:t>Lives Lived with Law: An Introduction’</w:t>
      </w:r>
      <w:r>
        <w:rPr>
          <w:rFonts w:ascii="Times New Roman" w:hAnsi="Times New Roman" w:cs="Times New Roman"/>
          <w:bCs/>
        </w:rPr>
        <w:t>.</w:t>
      </w:r>
      <w:r w:rsidRPr="0070576A">
        <w:rPr>
          <w:rFonts w:ascii="Times New Roman" w:hAnsi="Times New Roman" w:cs="Times New Roman"/>
          <w:bCs/>
        </w:rPr>
        <w:t xml:space="preserve"> </w:t>
      </w:r>
      <w:r w:rsidRPr="0070576A">
        <w:rPr>
          <w:rFonts w:ascii="Times New Roman" w:hAnsi="Times New Roman" w:cs="Times New Roman"/>
          <w:i/>
          <w:iCs/>
        </w:rPr>
        <w:t>Law Text Culture</w:t>
      </w:r>
      <w:r w:rsidRPr="0070576A">
        <w:rPr>
          <w:rFonts w:ascii="Times New Roman" w:hAnsi="Times New Roman" w:cs="Times New Roman"/>
        </w:rPr>
        <w:t xml:space="preserve"> 20:1</w:t>
      </w:r>
      <w:r w:rsidRPr="0070576A">
        <w:rPr>
          <w:rFonts w:ascii="Times New Roman" w:hAnsi="Times New Roman" w:cs="Times New Roman"/>
          <w:bCs/>
        </w:rPr>
        <w:t>1-13</w:t>
      </w:r>
      <w:r>
        <w:rPr>
          <w:rFonts w:ascii="Times New Roman" w:hAnsi="Times New Roman" w:cs="Times New Roman"/>
          <w:bCs/>
        </w:rPr>
        <w:t>.</w:t>
      </w:r>
    </w:p>
    <w:p w14:paraId="642E8959" w14:textId="77777777" w:rsidR="006201B4" w:rsidRPr="0070576A" w:rsidRDefault="006201B4" w:rsidP="006201B4">
      <w:pPr>
        <w:spacing w:beforeLines="60" w:before="144"/>
        <w:rPr>
          <w:rFonts w:ascii="Times" w:hAnsi="Times"/>
        </w:rPr>
      </w:pPr>
      <w:r w:rsidRPr="0070576A">
        <w:rPr>
          <w:rFonts w:ascii="Times" w:hAnsi="Times"/>
        </w:rPr>
        <w:t>Greer</w:t>
      </w:r>
      <w:r>
        <w:rPr>
          <w:rFonts w:ascii="Times" w:hAnsi="Times"/>
        </w:rPr>
        <w:t>,</w:t>
      </w:r>
      <w:r w:rsidRPr="0070576A">
        <w:rPr>
          <w:rFonts w:ascii="Times" w:hAnsi="Times"/>
        </w:rPr>
        <w:t xml:space="preserve"> G</w:t>
      </w:r>
      <w:r>
        <w:rPr>
          <w:rFonts w:ascii="Times" w:hAnsi="Times"/>
        </w:rPr>
        <w:t>.</w:t>
      </w:r>
      <w:r w:rsidRPr="0070576A">
        <w:rPr>
          <w:rFonts w:ascii="Times" w:hAnsi="Times"/>
        </w:rPr>
        <w:t xml:space="preserve"> 1970</w:t>
      </w:r>
      <w:r>
        <w:rPr>
          <w:rFonts w:ascii="Times" w:hAnsi="Times"/>
        </w:rPr>
        <w:t>.</w:t>
      </w:r>
      <w:r w:rsidRPr="0070576A">
        <w:rPr>
          <w:rFonts w:ascii="Times" w:hAnsi="Times"/>
        </w:rPr>
        <w:t xml:space="preserve"> </w:t>
      </w:r>
      <w:r w:rsidRPr="0070576A">
        <w:rPr>
          <w:rFonts w:ascii="Times" w:hAnsi="Times"/>
          <w:i/>
          <w:iCs/>
        </w:rPr>
        <w:t>The Female Eunuch</w:t>
      </w:r>
      <w:r>
        <w:rPr>
          <w:rFonts w:ascii="Times" w:hAnsi="Times"/>
        </w:rPr>
        <w:t xml:space="preserve">. </w:t>
      </w:r>
      <w:r w:rsidRPr="0070576A">
        <w:rPr>
          <w:rFonts w:ascii="Times" w:hAnsi="Times"/>
        </w:rPr>
        <w:t>MacGibbon &amp; Kee</w:t>
      </w:r>
      <w:r>
        <w:rPr>
          <w:rFonts w:ascii="Times" w:hAnsi="Times"/>
        </w:rPr>
        <w:t>,</w:t>
      </w:r>
      <w:r w:rsidRPr="0070576A">
        <w:rPr>
          <w:rFonts w:ascii="Times" w:hAnsi="Times"/>
        </w:rPr>
        <w:t xml:space="preserve"> London.</w:t>
      </w:r>
    </w:p>
    <w:p w14:paraId="1159EB2D" w14:textId="77777777" w:rsidR="006201B4" w:rsidRPr="0070576A" w:rsidRDefault="006201B4" w:rsidP="006201B4">
      <w:pPr>
        <w:spacing w:beforeLines="60" w:before="144"/>
        <w:rPr>
          <w:rFonts w:ascii="Times" w:hAnsi="Times"/>
        </w:rPr>
      </w:pPr>
      <w:r w:rsidRPr="0070576A">
        <w:rPr>
          <w:rFonts w:ascii="Times" w:hAnsi="Times"/>
        </w:rPr>
        <w:t>Jennings</w:t>
      </w:r>
      <w:r>
        <w:rPr>
          <w:rFonts w:ascii="Times" w:hAnsi="Times"/>
        </w:rPr>
        <w:t>,</w:t>
      </w:r>
      <w:r w:rsidRPr="0070576A">
        <w:rPr>
          <w:rFonts w:ascii="Times" w:hAnsi="Times"/>
        </w:rPr>
        <w:t xml:space="preserve"> K</w:t>
      </w:r>
      <w:r>
        <w:rPr>
          <w:rFonts w:ascii="Times" w:hAnsi="Times"/>
        </w:rPr>
        <w:t>.</w:t>
      </w:r>
      <w:r w:rsidRPr="0070576A">
        <w:rPr>
          <w:rFonts w:ascii="Times" w:hAnsi="Times"/>
        </w:rPr>
        <w:t xml:space="preserve"> 2010</w:t>
      </w:r>
      <w:r>
        <w:rPr>
          <w:rFonts w:ascii="Times" w:hAnsi="Times"/>
        </w:rPr>
        <w:t>.</w:t>
      </w:r>
      <w:r w:rsidRPr="0070576A">
        <w:rPr>
          <w:rFonts w:ascii="Times" w:hAnsi="Times"/>
        </w:rPr>
        <w:t xml:space="preserve"> </w:t>
      </w:r>
      <w:r w:rsidRPr="0070576A">
        <w:rPr>
          <w:rFonts w:ascii="Times" w:hAnsi="Times"/>
          <w:i/>
          <w:iCs/>
        </w:rPr>
        <w:t>Trouble: Evolution of a Radical, Selected Writings 1970</w:t>
      </w:r>
      <w:r>
        <w:rPr>
          <w:rFonts w:ascii="Times" w:hAnsi="Times"/>
          <w:i/>
          <w:iCs/>
        </w:rPr>
        <w:t>-</w:t>
      </w:r>
      <w:r w:rsidRPr="0070576A">
        <w:rPr>
          <w:rFonts w:ascii="Times" w:hAnsi="Times"/>
          <w:i/>
          <w:iCs/>
        </w:rPr>
        <w:t>2010</w:t>
      </w:r>
      <w:r>
        <w:rPr>
          <w:rFonts w:ascii="Times" w:hAnsi="Times"/>
        </w:rPr>
        <w:t xml:space="preserve">. </w:t>
      </w:r>
      <w:r w:rsidRPr="0070576A">
        <w:rPr>
          <w:rFonts w:ascii="Times" w:hAnsi="Times"/>
        </w:rPr>
        <w:t>Black Inc.</w:t>
      </w:r>
      <w:r>
        <w:rPr>
          <w:rFonts w:ascii="Times" w:hAnsi="Times"/>
        </w:rPr>
        <w:t>,</w:t>
      </w:r>
      <w:r w:rsidRPr="0070576A">
        <w:rPr>
          <w:rFonts w:ascii="Times" w:hAnsi="Times"/>
        </w:rPr>
        <w:t xml:space="preserve"> Melbourne.</w:t>
      </w:r>
    </w:p>
    <w:p w14:paraId="419FE0DC" w14:textId="0C82FB98" w:rsidR="006201B4" w:rsidRPr="0070576A" w:rsidRDefault="006201B4" w:rsidP="006201B4">
      <w:pPr>
        <w:spacing w:beforeLines="60" w:before="144"/>
        <w:rPr>
          <w:rFonts w:ascii="Times" w:hAnsi="Times"/>
        </w:rPr>
      </w:pPr>
      <w:r w:rsidRPr="0070576A">
        <w:rPr>
          <w:rFonts w:ascii="Times" w:hAnsi="Times"/>
        </w:rPr>
        <w:t>Kingston</w:t>
      </w:r>
      <w:r>
        <w:rPr>
          <w:rFonts w:ascii="Times" w:hAnsi="Times"/>
        </w:rPr>
        <w:t>,</w:t>
      </w:r>
      <w:r w:rsidRPr="0070576A">
        <w:rPr>
          <w:rFonts w:ascii="Times" w:hAnsi="Times"/>
        </w:rPr>
        <w:t xml:space="preserve"> B</w:t>
      </w:r>
      <w:r>
        <w:rPr>
          <w:rFonts w:ascii="Times" w:hAnsi="Times"/>
        </w:rPr>
        <w:t>,</w:t>
      </w:r>
      <w:r w:rsidRPr="0070576A">
        <w:rPr>
          <w:rFonts w:ascii="Times" w:hAnsi="Times"/>
        </w:rPr>
        <w:t xml:space="preserve"> 1975</w:t>
      </w:r>
      <w:r>
        <w:rPr>
          <w:rFonts w:ascii="Times" w:hAnsi="Times"/>
        </w:rPr>
        <w:t>.</w:t>
      </w:r>
      <w:r w:rsidRPr="0070576A">
        <w:rPr>
          <w:rFonts w:ascii="Times" w:hAnsi="Times"/>
        </w:rPr>
        <w:t xml:space="preserve"> </w:t>
      </w:r>
      <w:r w:rsidRPr="0070576A">
        <w:rPr>
          <w:rFonts w:ascii="Times" w:hAnsi="Times"/>
          <w:i/>
          <w:iCs/>
        </w:rPr>
        <w:t>My Wife, My Daughter and Poor Mary Ann</w:t>
      </w:r>
      <w:r>
        <w:rPr>
          <w:rFonts w:ascii="Times" w:hAnsi="Times"/>
        </w:rPr>
        <w:t xml:space="preserve">. </w:t>
      </w:r>
      <w:r w:rsidRPr="0070576A">
        <w:rPr>
          <w:rFonts w:ascii="Times" w:hAnsi="Times"/>
        </w:rPr>
        <w:t>Thomas Nelson</w:t>
      </w:r>
      <w:r w:rsidR="00D16724">
        <w:rPr>
          <w:rFonts w:ascii="Times" w:hAnsi="Times"/>
        </w:rPr>
        <w:t>,</w:t>
      </w:r>
      <w:r w:rsidRPr="0070576A">
        <w:rPr>
          <w:rFonts w:ascii="Times" w:hAnsi="Times"/>
        </w:rPr>
        <w:t xml:space="preserve"> Melbourne.</w:t>
      </w:r>
    </w:p>
    <w:p w14:paraId="2D8224A6" w14:textId="32FC198B" w:rsidR="006201B4" w:rsidRPr="0070576A" w:rsidRDefault="006201B4" w:rsidP="006201B4">
      <w:pPr>
        <w:pStyle w:val="EndnoteText"/>
        <w:spacing w:beforeLines="60" w:before="144"/>
        <w:rPr>
          <w:rFonts w:ascii="Times" w:hAnsi="Times"/>
          <w:sz w:val="24"/>
          <w:szCs w:val="24"/>
        </w:rPr>
      </w:pPr>
      <w:r w:rsidRPr="0070576A">
        <w:rPr>
          <w:rFonts w:ascii="Times" w:hAnsi="Times"/>
          <w:sz w:val="24"/>
          <w:szCs w:val="24"/>
        </w:rPr>
        <w:t>Lahey</w:t>
      </w:r>
      <w:r>
        <w:rPr>
          <w:rFonts w:ascii="Times" w:hAnsi="Times"/>
          <w:sz w:val="24"/>
          <w:szCs w:val="24"/>
        </w:rPr>
        <w:t>,</w:t>
      </w:r>
      <w:r w:rsidRPr="0070576A">
        <w:rPr>
          <w:rFonts w:ascii="Times" w:hAnsi="Times"/>
          <w:sz w:val="24"/>
          <w:szCs w:val="24"/>
        </w:rPr>
        <w:t xml:space="preserve"> K</w:t>
      </w:r>
      <w:r>
        <w:rPr>
          <w:rFonts w:ascii="Times" w:hAnsi="Times"/>
          <w:sz w:val="24"/>
          <w:szCs w:val="24"/>
        </w:rPr>
        <w:t>.</w:t>
      </w:r>
      <w:r w:rsidRPr="0070576A">
        <w:rPr>
          <w:rFonts w:ascii="Times" w:hAnsi="Times"/>
          <w:sz w:val="24"/>
          <w:szCs w:val="24"/>
        </w:rPr>
        <w:t>A</w:t>
      </w:r>
      <w:r>
        <w:rPr>
          <w:rFonts w:ascii="Times" w:hAnsi="Times"/>
          <w:sz w:val="24"/>
          <w:szCs w:val="24"/>
        </w:rPr>
        <w:t>.</w:t>
      </w:r>
      <w:r w:rsidRPr="0070576A">
        <w:rPr>
          <w:rFonts w:ascii="Times" w:hAnsi="Times"/>
          <w:sz w:val="24"/>
          <w:szCs w:val="24"/>
        </w:rPr>
        <w:t xml:space="preserve"> 1985</w:t>
      </w:r>
      <w:r>
        <w:rPr>
          <w:rFonts w:ascii="Times" w:hAnsi="Times"/>
          <w:sz w:val="24"/>
          <w:szCs w:val="24"/>
        </w:rPr>
        <w:t>.</w:t>
      </w:r>
      <w:r w:rsidRPr="0070576A">
        <w:rPr>
          <w:rFonts w:ascii="Times" w:hAnsi="Times"/>
          <w:sz w:val="24"/>
          <w:szCs w:val="24"/>
        </w:rPr>
        <w:t xml:space="preserve"> ‘…Until Women Themselves Have Told All That They Have to Tell…</w:t>
      </w:r>
      <w:r w:rsidR="00D16724">
        <w:rPr>
          <w:rFonts w:ascii="Times" w:hAnsi="Times"/>
          <w:sz w:val="24"/>
          <w:szCs w:val="24"/>
        </w:rPr>
        <w:t>’</w:t>
      </w:r>
      <w:r>
        <w:rPr>
          <w:rFonts w:ascii="Times" w:hAnsi="Times"/>
          <w:sz w:val="24"/>
          <w:szCs w:val="24"/>
        </w:rPr>
        <w:t>.</w:t>
      </w:r>
      <w:r w:rsidRPr="0070576A">
        <w:rPr>
          <w:rFonts w:ascii="Times" w:hAnsi="Times"/>
          <w:sz w:val="24"/>
          <w:szCs w:val="24"/>
        </w:rPr>
        <w:t xml:space="preserve"> </w:t>
      </w:r>
      <w:proofErr w:type="spellStart"/>
      <w:r w:rsidRPr="0070576A">
        <w:rPr>
          <w:rFonts w:ascii="Times" w:hAnsi="Times"/>
          <w:i/>
          <w:iCs/>
          <w:sz w:val="24"/>
          <w:szCs w:val="24"/>
        </w:rPr>
        <w:t>Osgoode</w:t>
      </w:r>
      <w:proofErr w:type="spellEnd"/>
      <w:r w:rsidRPr="0070576A">
        <w:rPr>
          <w:rFonts w:ascii="Times" w:hAnsi="Times"/>
          <w:i/>
          <w:iCs/>
          <w:sz w:val="24"/>
          <w:szCs w:val="24"/>
        </w:rPr>
        <w:t xml:space="preserve"> Hall Law Journal</w:t>
      </w:r>
      <w:r w:rsidRPr="0070576A">
        <w:rPr>
          <w:rFonts w:ascii="Times" w:hAnsi="Times"/>
          <w:sz w:val="24"/>
          <w:szCs w:val="24"/>
        </w:rPr>
        <w:t xml:space="preserve"> 23/3: 519</w:t>
      </w:r>
      <w:r>
        <w:rPr>
          <w:rFonts w:ascii="Times" w:hAnsi="Times"/>
          <w:sz w:val="24"/>
          <w:szCs w:val="24"/>
        </w:rPr>
        <w:t>-</w:t>
      </w:r>
      <w:r w:rsidRPr="0070576A">
        <w:rPr>
          <w:rFonts w:ascii="Times" w:hAnsi="Times"/>
          <w:sz w:val="24"/>
          <w:szCs w:val="24"/>
        </w:rPr>
        <w:t>541.</w:t>
      </w:r>
    </w:p>
    <w:p w14:paraId="74C4CE24" w14:textId="131AFCE8" w:rsidR="006201B4" w:rsidRPr="0070576A" w:rsidRDefault="006201B4" w:rsidP="006201B4">
      <w:pPr>
        <w:spacing w:beforeLines="60" w:before="144"/>
        <w:rPr>
          <w:rFonts w:ascii="Times" w:hAnsi="Times" w:cs="Times"/>
        </w:rPr>
      </w:pPr>
      <w:r w:rsidRPr="0070576A">
        <w:rPr>
          <w:rFonts w:ascii="Times" w:hAnsi="Times" w:cs="Times"/>
        </w:rPr>
        <w:t xml:space="preserve">Le </w:t>
      </w:r>
      <w:proofErr w:type="spellStart"/>
      <w:r w:rsidRPr="0070576A">
        <w:rPr>
          <w:rFonts w:ascii="Times" w:hAnsi="Times" w:cs="Times"/>
        </w:rPr>
        <w:t>Dœuff</w:t>
      </w:r>
      <w:proofErr w:type="spellEnd"/>
      <w:r>
        <w:rPr>
          <w:rFonts w:ascii="Times" w:hAnsi="Times" w:cs="Times"/>
        </w:rPr>
        <w:t>,</w:t>
      </w:r>
      <w:r w:rsidRPr="0070576A">
        <w:rPr>
          <w:rFonts w:ascii="Times" w:hAnsi="Times" w:cs="Times"/>
        </w:rPr>
        <w:t xml:space="preserve"> M</w:t>
      </w:r>
      <w:r>
        <w:rPr>
          <w:rFonts w:ascii="Times" w:hAnsi="Times" w:cs="Times"/>
        </w:rPr>
        <w:t>.</w:t>
      </w:r>
      <w:r w:rsidRPr="0070576A">
        <w:rPr>
          <w:rFonts w:ascii="Times" w:hAnsi="Times" w:cs="Times"/>
        </w:rPr>
        <w:t xml:space="preserve"> 1991</w:t>
      </w:r>
      <w:r>
        <w:rPr>
          <w:rFonts w:ascii="Times" w:hAnsi="Times" w:cs="Times"/>
        </w:rPr>
        <w:t>.</w:t>
      </w:r>
      <w:r w:rsidRPr="0070576A">
        <w:rPr>
          <w:rFonts w:ascii="Times" w:hAnsi="Times" w:cs="Times"/>
        </w:rPr>
        <w:t xml:space="preserve"> </w:t>
      </w:r>
      <w:r w:rsidRPr="0070576A">
        <w:rPr>
          <w:rFonts w:ascii="Times" w:hAnsi="Times" w:cs="Times"/>
          <w:i/>
          <w:iCs/>
        </w:rPr>
        <w:t>Hipparchia’s Choice: An Essay Concerning Women, Philosophy, etc.</w:t>
      </w:r>
      <w:r w:rsidRPr="0070576A">
        <w:rPr>
          <w:rFonts w:ascii="Times" w:hAnsi="Times" w:cs="Times"/>
        </w:rPr>
        <w:t xml:space="preserve"> Trans</w:t>
      </w:r>
      <w:r>
        <w:rPr>
          <w:rFonts w:ascii="Times" w:hAnsi="Times" w:cs="Times"/>
        </w:rPr>
        <w:t>.</w:t>
      </w:r>
      <w:r w:rsidRPr="0070576A">
        <w:rPr>
          <w:rFonts w:ascii="Times" w:hAnsi="Times" w:cs="Times"/>
        </w:rPr>
        <w:t xml:space="preserve"> T</w:t>
      </w:r>
      <w:r>
        <w:rPr>
          <w:rFonts w:ascii="Times" w:hAnsi="Times" w:cs="Times"/>
        </w:rPr>
        <w:t>.</w:t>
      </w:r>
      <w:r w:rsidRPr="0070576A">
        <w:rPr>
          <w:rFonts w:ascii="Times" w:hAnsi="Times" w:cs="Times"/>
        </w:rPr>
        <w:t xml:space="preserve"> Selous</w:t>
      </w:r>
      <w:r>
        <w:rPr>
          <w:rFonts w:ascii="Times" w:hAnsi="Times" w:cs="Times"/>
        </w:rPr>
        <w:t>.</w:t>
      </w:r>
      <w:r w:rsidRPr="0070576A">
        <w:rPr>
          <w:rFonts w:ascii="Times" w:hAnsi="Times" w:cs="Times"/>
        </w:rPr>
        <w:t xml:space="preserve"> Blackwell</w:t>
      </w:r>
      <w:r w:rsidR="00D16724">
        <w:rPr>
          <w:rFonts w:ascii="Times" w:hAnsi="Times" w:cs="Times"/>
        </w:rPr>
        <w:t>, Oxford</w:t>
      </w:r>
      <w:r w:rsidRPr="0070576A">
        <w:rPr>
          <w:rFonts w:ascii="Times" w:hAnsi="Times" w:cs="Times"/>
        </w:rPr>
        <w:t xml:space="preserve"> (first published 1989).</w:t>
      </w:r>
    </w:p>
    <w:p w14:paraId="3D25331D" w14:textId="77777777" w:rsidR="006201B4" w:rsidRPr="0070576A" w:rsidRDefault="006201B4" w:rsidP="006201B4">
      <w:pPr>
        <w:pStyle w:val="EndnoteText"/>
        <w:spacing w:beforeLines="60" w:before="144"/>
        <w:rPr>
          <w:rFonts w:ascii="Times" w:hAnsi="Times"/>
          <w:sz w:val="24"/>
          <w:szCs w:val="24"/>
        </w:rPr>
      </w:pPr>
      <w:r w:rsidRPr="0070576A">
        <w:rPr>
          <w:rFonts w:ascii="Times" w:hAnsi="Times"/>
          <w:sz w:val="24"/>
          <w:szCs w:val="24"/>
        </w:rPr>
        <w:t>Levy</w:t>
      </w:r>
      <w:r>
        <w:rPr>
          <w:rFonts w:ascii="Times" w:hAnsi="Times"/>
          <w:sz w:val="24"/>
          <w:szCs w:val="24"/>
        </w:rPr>
        <w:t>,</w:t>
      </w:r>
      <w:r w:rsidRPr="0070576A">
        <w:rPr>
          <w:rFonts w:ascii="Times" w:hAnsi="Times"/>
          <w:sz w:val="24"/>
          <w:szCs w:val="24"/>
        </w:rPr>
        <w:t xml:space="preserve"> D</w:t>
      </w:r>
      <w:r>
        <w:rPr>
          <w:rFonts w:ascii="Times" w:hAnsi="Times"/>
          <w:sz w:val="24"/>
          <w:szCs w:val="24"/>
        </w:rPr>
        <w:t>.</w:t>
      </w:r>
      <w:r w:rsidRPr="0070576A">
        <w:rPr>
          <w:rFonts w:ascii="Times" w:hAnsi="Times"/>
          <w:sz w:val="24"/>
          <w:szCs w:val="24"/>
        </w:rPr>
        <w:t xml:space="preserve"> 2021</w:t>
      </w:r>
      <w:r>
        <w:rPr>
          <w:rFonts w:ascii="Times" w:hAnsi="Times"/>
          <w:sz w:val="24"/>
          <w:szCs w:val="24"/>
        </w:rPr>
        <w:t>.</w:t>
      </w:r>
      <w:r w:rsidRPr="0070576A">
        <w:rPr>
          <w:rFonts w:ascii="Times" w:hAnsi="Times"/>
          <w:sz w:val="24"/>
          <w:szCs w:val="24"/>
        </w:rPr>
        <w:t xml:space="preserve"> </w:t>
      </w:r>
      <w:r w:rsidRPr="0070576A">
        <w:rPr>
          <w:rFonts w:ascii="Times" w:hAnsi="Times"/>
          <w:i/>
          <w:iCs/>
          <w:sz w:val="24"/>
          <w:szCs w:val="24"/>
        </w:rPr>
        <w:t>Real Estate</w:t>
      </w:r>
      <w:r>
        <w:rPr>
          <w:rFonts w:ascii="Times" w:hAnsi="Times"/>
          <w:sz w:val="24"/>
          <w:szCs w:val="24"/>
        </w:rPr>
        <w:t xml:space="preserve">. </w:t>
      </w:r>
      <w:r w:rsidRPr="0070576A">
        <w:rPr>
          <w:rFonts w:ascii="Times" w:hAnsi="Times"/>
          <w:sz w:val="24"/>
          <w:szCs w:val="24"/>
        </w:rPr>
        <w:t>Hamish Hamilton</w:t>
      </w:r>
      <w:r>
        <w:rPr>
          <w:rFonts w:ascii="Times" w:hAnsi="Times"/>
          <w:sz w:val="24"/>
          <w:szCs w:val="24"/>
        </w:rPr>
        <w:t>,</w:t>
      </w:r>
      <w:r w:rsidRPr="0070576A">
        <w:rPr>
          <w:rFonts w:ascii="Times" w:hAnsi="Times"/>
          <w:sz w:val="24"/>
          <w:szCs w:val="24"/>
        </w:rPr>
        <w:t xml:space="preserve"> London.</w:t>
      </w:r>
    </w:p>
    <w:p w14:paraId="5726B913" w14:textId="77777777" w:rsidR="006201B4" w:rsidRPr="0070576A" w:rsidRDefault="006201B4" w:rsidP="006201B4">
      <w:pPr>
        <w:spacing w:beforeLines="60" w:before="144"/>
        <w:rPr>
          <w:rFonts w:ascii="Times" w:hAnsi="Times" w:cs="Times"/>
        </w:rPr>
      </w:pPr>
      <w:r w:rsidRPr="0070576A">
        <w:rPr>
          <w:rFonts w:ascii="Times" w:hAnsi="Times" w:cs="Times"/>
        </w:rPr>
        <w:t>Lorde</w:t>
      </w:r>
      <w:r>
        <w:rPr>
          <w:rFonts w:ascii="Times" w:hAnsi="Times" w:cs="Times"/>
        </w:rPr>
        <w:t>,</w:t>
      </w:r>
      <w:r w:rsidRPr="0070576A">
        <w:rPr>
          <w:rFonts w:ascii="Times" w:hAnsi="Times" w:cs="Times"/>
        </w:rPr>
        <w:t xml:space="preserve"> A</w:t>
      </w:r>
      <w:r>
        <w:rPr>
          <w:rFonts w:ascii="Times" w:hAnsi="Times" w:cs="Times"/>
        </w:rPr>
        <w:t>.</w:t>
      </w:r>
      <w:r w:rsidRPr="0070576A">
        <w:rPr>
          <w:rFonts w:ascii="Times" w:hAnsi="Times" w:cs="Times"/>
        </w:rPr>
        <w:t xml:space="preserve"> 2018</w:t>
      </w:r>
      <w:r>
        <w:rPr>
          <w:rFonts w:ascii="Times" w:hAnsi="Times" w:cs="Times"/>
        </w:rPr>
        <w:t>.</w:t>
      </w:r>
      <w:r w:rsidRPr="0070576A">
        <w:rPr>
          <w:rFonts w:ascii="Times" w:hAnsi="Times" w:cs="Times"/>
        </w:rPr>
        <w:t xml:space="preserve"> </w:t>
      </w:r>
      <w:r w:rsidRPr="0070576A">
        <w:rPr>
          <w:rFonts w:ascii="Times" w:hAnsi="Times" w:cs="Times"/>
          <w:i/>
          <w:iCs/>
        </w:rPr>
        <w:t>The Master’s Tools Will Never Dismantle the Master’s House</w:t>
      </w:r>
      <w:r>
        <w:rPr>
          <w:rFonts w:ascii="Times" w:hAnsi="Times" w:cs="Times"/>
        </w:rPr>
        <w:t xml:space="preserve">. </w:t>
      </w:r>
      <w:r w:rsidRPr="0070576A">
        <w:rPr>
          <w:rFonts w:ascii="Times" w:hAnsi="Times" w:cs="Times"/>
        </w:rPr>
        <w:t>Penguin</w:t>
      </w:r>
      <w:r>
        <w:rPr>
          <w:rFonts w:ascii="Times" w:hAnsi="Times" w:cs="Times"/>
        </w:rPr>
        <w:t>,</w:t>
      </w:r>
      <w:r w:rsidRPr="0070576A">
        <w:rPr>
          <w:rFonts w:ascii="Times" w:hAnsi="Times" w:cs="Times"/>
        </w:rPr>
        <w:t xml:space="preserve"> London (first published 1984).</w:t>
      </w:r>
    </w:p>
    <w:p w14:paraId="0396EA11" w14:textId="7383D1AE" w:rsidR="006201B4" w:rsidRPr="0070576A" w:rsidRDefault="006201B4" w:rsidP="006201B4">
      <w:pPr>
        <w:pStyle w:val="EndnoteText"/>
        <w:spacing w:beforeLines="60" w:before="144"/>
        <w:rPr>
          <w:rStyle w:val="Hyperlink"/>
          <w:rFonts w:ascii="Times" w:hAnsi="Times"/>
          <w:sz w:val="24"/>
          <w:szCs w:val="24"/>
        </w:rPr>
      </w:pPr>
      <w:r w:rsidRPr="0070576A">
        <w:rPr>
          <w:rFonts w:ascii="Times" w:hAnsi="Times"/>
          <w:sz w:val="24"/>
          <w:szCs w:val="24"/>
        </w:rPr>
        <w:t>Luker</w:t>
      </w:r>
      <w:r>
        <w:rPr>
          <w:rFonts w:ascii="Times" w:hAnsi="Times"/>
          <w:sz w:val="24"/>
          <w:szCs w:val="24"/>
        </w:rPr>
        <w:t>,</w:t>
      </w:r>
      <w:r w:rsidRPr="0070576A">
        <w:rPr>
          <w:rFonts w:ascii="Times" w:hAnsi="Times"/>
          <w:sz w:val="24"/>
          <w:szCs w:val="24"/>
        </w:rPr>
        <w:t xml:space="preserve"> T</w:t>
      </w:r>
      <w:r>
        <w:rPr>
          <w:rFonts w:ascii="Times" w:hAnsi="Times"/>
          <w:sz w:val="24"/>
          <w:szCs w:val="24"/>
        </w:rPr>
        <w:t>.</w:t>
      </w:r>
      <w:r w:rsidRPr="0070576A">
        <w:rPr>
          <w:rFonts w:ascii="Times" w:hAnsi="Times"/>
          <w:sz w:val="24"/>
          <w:szCs w:val="24"/>
        </w:rPr>
        <w:t xml:space="preserve"> 2019</w:t>
      </w:r>
      <w:r>
        <w:rPr>
          <w:rFonts w:ascii="Times" w:hAnsi="Times"/>
          <w:sz w:val="24"/>
          <w:szCs w:val="24"/>
        </w:rPr>
        <w:t>.</w:t>
      </w:r>
      <w:r w:rsidRPr="0070576A">
        <w:rPr>
          <w:rFonts w:ascii="Times" w:hAnsi="Times"/>
          <w:sz w:val="24"/>
          <w:szCs w:val="24"/>
        </w:rPr>
        <w:t xml:space="preserve"> ‘Women </w:t>
      </w:r>
      <w:r w:rsidR="00504BF5">
        <w:rPr>
          <w:rFonts w:ascii="Times" w:hAnsi="Times"/>
          <w:sz w:val="24"/>
          <w:szCs w:val="24"/>
        </w:rPr>
        <w:t>I</w:t>
      </w:r>
      <w:r w:rsidRPr="0070576A">
        <w:rPr>
          <w:rFonts w:ascii="Times" w:hAnsi="Times"/>
          <w:sz w:val="24"/>
          <w:szCs w:val="24"/>
        </w:rPr>
        <w:t xml:space="preserve">nto </w:t>
      </w:r>
      <w:r w:rsidR="00504BF5">
        <w:rPr>
          <w:rFonts w:ascii="Times" w:hAnsi="Times"/>
          <w:sz w:val="24"/>
          <w:szCs w:val="24"/>
        </w:rPr>
        <w:t>P</w:t>
      </w:r>
      <w:r w:rsidRPr="0070576A">
        <w:rPr>
          <w:rFonts w:ascii="Times" w:hAnsi="Times"/>
          <w:sz w:val="24"/>
          <w:szCs w:val="24"/>
        </w:rPr>
        <w:t xml:space="preserve">rint: Feminist </w:t>
      </w:r>
      <w:r w:rsidR="00504BF5">
        <w:rPr>
          <w:rFonts w:ascii="Times" w:hAnsi="Times"/>
          <w:sz w:val="24"/>
          <w:szCs w:val="24"/>
        </w:rPr>
        <w:t>P</w:t>
      </w:r>
      <w:r w:rsidRPr="0070576A">
        <w:rPr>
          <w:rFonts w:ascii="Times" w:hAnsi="Times"/>
          <w:sz w:val="24"/>
          <w:szCs w:val="24"/>
        </w:rPr>
        <w:t>resses in Australia’ in M</w:t>
      </w:r>
      <w:r w:rsidR="00504BF5">
        <w:rPr>
          <w:rFonts w:ascii="Times" w:hAnsi="Times"/>
          <w:sz w:val="24"/>
          <w:szCs w:val="24"/>
        </w:rPr>
        <w:t>.</w:t>
      </w:r>
      <w:r w:rsidRPr="0070576A">
        <w:rPr>
          <w:rFonts w:ascii="Times" w:hAnsi="Times"/>
          <w:sz w:val="24"/>
          <w:szCs w:val="24"/>
        </w:rPr>
        <w:t xml:space="preserve"> Arrow and A</w:t>
      </w:r>
      <w:r w:rsidR="00504BF5">
        <w:rPr>
          <w:rFonts w:ascii="Times" w:hAnsi="Times"/>
          <w:sz w:val="24"/>
          <w:szCs w:val="24"/>
        </w:rPr>
        <w:t>.</w:t>
      </w:r>
      <w:r w:rsidRPr="0070576A">
        <w:rPr>
          <w:rFonts w:ascii="Times" w:hAnsi="Times"/>
          <w:sz w:val="24"/>
          <w:szCs w:val="24"/>
        </w:rPr>
        <w:t xml:space="preserve"> Woollacott</w:t>
      </w:r>
      <w:r w:rsidR="00504BF5">
        <w:rPr>
          <w:rFonts w:ascii="Times" w:hAnsi="Times"/>
          <w:sz w:val="24"/>
          <w:szCs w:val="24"/>
        </w:rPr>
        <w:t>,</w:t>
      </w:r>
      <w:r w:rsidRPr="0070576A">
        <w:rPr>
          <w:rFonts w:ascii="Times" w:hAnsi="Times"/>
          <w:sz w:val="24"/>
          <w:szCs w:val="24"/>
        </w:rPr>
        <w:t xml:space="preserve"> eds</w:t>
      </w:r>
      <w:r w:rsidR="00504BF5">
        <w:rPr>
          <w:rFonts w:ascii="Times" w:hAnsi="Times"/>
          <w:sz w:val="24"/>
          <w:szCs w:val="24"/>
        </w:rPr>
        <w:t>.</w:t>
      </w:r>
      <w:r w:rsidRPr="0070576A">
        <w:rPr>
          <w:rFonts w:ascii="Times" w:hAnsi="Times"/>
          <w:sz w:val="24"/>
          <w:szCs w:val="24"/>
        </w:rPr>
        <w:t xml:space="preserve"> </w:t>
      </w:r>
      <w:r w:rsidRPr="0070576A">
        <w:rPr>
          <w:rFonts w:ascii="Times" w:hAnsi="Times"/>
          <w:i/>
          <w:iCs/>
          <w:sz w:val="24"/>
          <w:szCs w:val="24"/>
        </w:rPr>
        <w:t>Everyday Revolutions: Remaking Gender, Sexuality and Culture in 1970s Australia</w:t>
      </w:r>
      <w:r>
        <w:rPr>
          <w:rFonts w:ascii="Times" w:hAnsi="Times"/>
          <w:sz w:val="24"/>
          <w:szCs w:val="24"/>
        </w:rPr>
        <w:t xml:space="preserve">. </w:t>
      </w:r>
      <w:r w:rsidRPr="0070576A">
        <w:rPr>
          <w:rFonts w:ascii="Times" w:hAnsi="Times"/>
          <w:sz w:val="24"/>
          <w:szCs w:val="24"/>
        </w:rPr>
        <w:t>ANU Press</w:t>
      </w:r>
      <w:r>
        <w:rPr>
          <w:rFonts w:ascii="Times" w:hAnsi="Times"/>
          <w:sz w:val="24"/>
          <w:szCs w:val="24"/>
        </w:rPr>
        <w:t>,</w:t>
      </w:r>
      <w:r w:rsidRPr="0070576A">
        <w:rPr>
          <w:rFonts w:ascii="Times" w:hAnsi="Times"/>
          <w:sz w:val="24"/>
          <w:szCs w:val="24"/>
        </w:rPr>
        <w:t xml:space="preserve"> Canberra: 121</w:t>
      </w:r>
      <w:r w:rsidR="009A65A3">
        <w:rPr>
          <w:rFonts w:ascii="Times" w:hAnsi="Times"/>
          <w:sz w:val="24"/>
          <w:szCs w:val="24"/>
        </w:rPr>
        <w:t>-</w:t>
      </w:r>
      <w:r w:rsidRPr="0070576A">
        <w:rPr>
          <w:rFonts w:ascii="Times" w:hAnsi="Times"/>
          <w:sz w:val="24"/>
          <w:szCs w:val="24"/>
        </w:rPr>
        <w:t>138</w:t>
      </w:r>
      <w:r w:rsidR="009A65A3">
        <w:rPr>
          <w:rFonts w:ascii="Times" w:hAnsi="Times"/>
          <w:sz w:val="24"/>
          <w:szCs w:val="24"/>
        </w:rPr>
        <w:t>.</w:t>
      </w:r>
    </w:p>
    <w:p w14:paraId="4F9E51B0" w14:textId="77777777" w:rsidR="006201B4" w:rsidRPr="0070576A" w:rsidRDefault="006201B4" w:rsidP="006201B4">
      <w:pPr>
        <w:spacing w:beforeLines="60" w:before="144"/>
        <w:rPr>
          <w:rFonts w:ascii="Times" w:hAnsi="Times"/>
        </w:rPr>
      </w:pPr>
      <w:r w:rsidRPr="0070576A">
        <w:rPr>
          <w:rFonts w:ascii="Times" w:hAnsi="Times"/>
        </w:rPr>
        <w:t>Magarey</w:t>
      </w:r>
      <w:r>
        <w:rPr>
          <w:rFonts w:ascii="Times" w:hAnsi="Times"/>
        </w:rPr>
        <w:t>,</w:t>
      </w:r>
      <w:r w:rsidRPr="0070576A">
        <w:rPr>
          <w:rFonts w:ascii="Times" w:hAnsi="Times"/>
        </w:rPr>
        <w:t xml:space="preserve"> S</w:t>
      </w:r>
      <w:r>
        <w:rPr>
          <w:rFonts w:ascii="Times" w:hAnsi="Times"/>
        </w:rPr>
        <w:t>.</w:t>
      </w:r>
      <w:r w:rsidRPr="0070576A">
        <w:rPr>
          <w:rFonts w:ascii="Times" w:hAnsi="Times"/>
        </w:rPr>
        <w:t xml:space="preserve"> 1986</w:t>
      </w:r>
      <w:r>
        <w:rPr>
          <w:rFonts w:ascii="Times" w:hAnsi="Times"/>
        </w:rPr>
        <w:t>.</w:t>
      </w:r>
      <w:r w:rsidRPr="0070576A">
        <w:rPr>
          <w:rFonts w:ascii="Times" w:hAnsi="Times"/>
        </w:rPr>
        <w:t xml:space="preserve"> ‘I Never Wanted to be an Administrator of Anything’</w:t>
      </w:r>
      <w:r>
        <w:rPr>
          <w:rFonts w:ascii="Times" w:hAnsi="Times"/>
        </w:rPr>
        <w:t>.</w:t>
      </w:r>
      <w:r w:rsidRPr="0070576A">
        <w:rPr>
          <w:rFonts w:ascii="Times" w:hAnsi="Times"/>
        </w:rPr>
        <w:t xml:space="preserve"> </w:t>
      </w:r>
      <w:r w:rsidRPr="0070576A">
        <w:rPr>
          <w:rFonts w:ascii="Times" w:hAnsi="Times"/>
          <w:i/>
          <w:iCs/>
        </w:rPr>
        <w:t>Women’s Studies International Forum</w:t>
      </w:r>
      <w:r w:rsidRPr="0070576A">
        <w:rPr>
          <w:rFonts w:ascii="Times" w:hAnsi="Times"/>
        </w:rPr>
        <w:t xml:space="preserve"> 9/2: 195</w:t>
      </w:r>
      <w:r>
        <w:rPr>
          <w:rFonts w:ascii="Times" w:hAnsi="Times"/>
        </w:rPr>
        <w:t>-</w:t>
      </w:r>
      <w:r w:rsidRPr="0070576A">
        <w:rPr>
          <w:rFonts w:ascii="Times" w:hAnsi="Times"/>
        </w:rPr>
        <w:t>202.</w:t>
      </w:r>
    </w:p>
    <w:p w14:paraId="07B099AB" w14:textId="77777777" w:rsidR="006201B4" w:rsidRPr="0070576A" w:rsidRDefault="006201B4" w:rsidP="006201B4">
      <w:pPr>
        <w:spacing w:beforeLines="60" w:before="144"/>
        <w:rPr>
          <w:rFonts w:ascii="Times" w:hAnsi="Times"/>
        </w:rPr>
      </w:pPr>
      <w:r w:rsidRPr="0070576A">
        <w:rPr>
          <w:rFonts w:ascii="Times" w:hAnsi="Times"/>
        </w:rPr>
        <w:t>Magarey</w:t>
      </w:r>
      <w:r>
        <w:rPr>
          <w:rFonts w:ascii="Times" w:hAnsi="Times"/>
        </w:rPr>
        <w:t>,</w:t>
      </w:r>
      <w:r w:rsidRPr="0070576A">
        <w:rPr>
          <w:rFonts w:ascii="Times" w:hAnsi="Times"/>
        </w:rPr>
        <w:t xml:space="preserve"> S</w:t>
      </w:r>
      <w:r>
        <w:rPr>
          <w:rFonts w:ascii="Times" w:hAnsi="Times"/>
        </w:rPr>
        <w:t>.</w:t>
      </w:r>
      <w:r w:rsidRPr="0070576A">
        <w:rPr>
          <w:rFonts w:ascii="Times" w:hAnsi="Times"/>
        </w:rPr>
        <w:t xml:space="preserve"> 2014a</w:t>
      </w:r>
      <w:r>
        <w:rPr>
          <w:rFonts w:ascii="Times" w:hAnsi="Times"/>
        </w:rPr>
        <w:t>.</w:t>
      </w:r>
      <w:r w:rsidRPr="0070576A">
        <w:rPr>
          <w:rFonts w:ascii="Times" w:hAnsi="Times"/>
        </w:rPr>
        <w:t xml:space="preserve"> </w:t>
      </w:r>
      <w:r w:rsidRPr="0070576A">
        <w:rPr>
          <w:rFonts w:ascii="Times" w:hAnsi="Times"/>
          <w:i/>
          <w:iCs/>
        </w:rPr>
        <w:t>Dangerous Ideas: Women’s Liberation – Women’s Studies – Around the World</w:t>
      </w:r>
      <w:r>
        <w:rPr>
          <w:rFonts w:ascii="Times" w:hAnsi="Times"/>
        </w:rPr>
        <w:t xml:space="preserve">. </w:t>
      </w:r>
      <w:r w:rsidRPr="0070576A">
        <w:rPr>
          <w:rFonts w:ascii="Times" w:hAnsi="Times"/>
        </w:rPr>
        <w:t>University of Adelaide Press</w:t>
      </w:r>
      <w:r>
        <w:rPr>
          <w:rFonts w:ascii="Times" w:hAnsi="Times"/>
        </w:rPr>
        <w:t>,</w:t>
      </w:r>
      <w:r w:rsidRPr="0070576A">
        <w:rPr>
          <w:rFonts w:ascii="Times" w:hAnsi="Times"/>
        </w:rPr>
        <w:t xml:space="preserve"> Adelaide.</w:t>
      </w:r>
    </w:p>
    <w:p w14:paraId="1D03E899" w14:textId="02A76367" w:rsidR="006201B4" w:rsidRPr="0070576A" w:rsidRDefault="006201B4" w:rsidP="006201B4">
      <w:pPr>
        <w:spacing w:beforeLines="60" w:before="144"/>
        <w:rPr>
          <w:rFonts w:ascii="Times" w:hAnsi="Times"/>
        </w:rPr>
      </w:pPr>
      <w:r w:rsidRPr="0070576A">
        <w:rPr>
          <w:rFonts w:ascii="Times" w:hAnsi="Times"/>
        </w:rPr>
        <w:t>Magarey</w:t>
      </w:r>
      <w:r>
        <w:rPr>
          <w:rFonts w:ascii="Times" w:hAnsi="Times"/>
        </w:rPr>
        <w:t>,</w:t>
      </w:r>
      <w:r w:rsidRPr="0070576A">
        <w:rPr>
          <w:rFonts w:ascii="Times" w:hAnsi="Times"/>
        </w:rPr>
        <w:t xml:space="preserve"> S</w:t>
      </w:r>
      <w:r>
        <w:rPr>
          <w:rFonts w:ascii="Times" w:hAnsi="Times"/>
        </w:rPr>
        <w:t>.</w:t>
      </w:r>
      <w:r w:rsidRPr="0070576A">
        <w:rPr>
          <w:rFonts w:ascii="Times" w:hAnsi="Times"/>
        </w:rPr>
        <w:t xml:space="preserve"> 2014b</w:t>
      </w:r>
      <w:r>
        <w:rPr>
          <w:rFonts w:ascii="Times" w:hAnsi="Times"/>
        </w:rPr>
        <w:t>.</w:t>
      </w:r>
      <w:r w:rsidRPr="0070576A">
        <w:rPr>
          <w:rFonts w:ascii="Times" w:hAnsi="Times"/>
        </w:rPr>
        <w:t xml:space="preserve"> ‘Women’s Liberation was a Movement, Not an Organisation’</w:t>
      </w:r>
      <w:r>
        <w:rPr>
          <w:rFonts w:ascii="Times" w:hAnsi="Times"/>
        </w:rPr>
        <w:t>.</w:t>
      </w:r>
      <w:r w:rsidRPr="0070576A">
        <w:rPr>
          <w:rFonts w:ascii="Times" w:hAnsi="Times"/>
        </w:rPr>
        <w:t xml:space="preserve"> </w:t>
      </w:r>
      <w:r w:rsidRPr="0070576A">
        <w:rPr>
          <w:rFonts w:ascii="Times" w:hAnsi="Times"/>
          <w:i/>
          <w:iCs/>
        </w:rPr>
        <w:t>Australian Feminist Studies</w:t>
      </w:r>
      <w:r w:rsidRPr="0070576A">
        <w:rPr>
          <w:rFonts w:ascii="Times" w:hAnsi="Times"/>
        </w:rPr>
        <w:t xml:space="preserve"> 29/82: 378</w:t>
      </w:r>
      <w:r>
        <w:rPr>
          <w:rFonts w:ascii="Times" w:hAnsi="Times"/>
        </w:rPr>
        <w:t>-</w:t>
      </w:r>
      <w:r w:rsidRPr="0070576A">
        <w:rPr>
          <w:rFonts w:ascii="Times" w:hAnsi="Times"/>
        </w:rPr>
        <w:t>390</w:t>
      </w:r>
      <w:r>
        <w:rPr>
          <w:rFonts w:ascii="Times" w:hAnsi="Times"/>
        </w:rPr>
        <w:t>.</w:t>
      </w:r>
      <w:r w:rsidRPr="0070576A">
        <w:rPr>
          <w:rFonts w:ascii="Times" w:hAnsi="Times"/>
        </w:rPr>
        <w:t xml:space="preserve"> </w:t>
      </w:r>
    </w:p>
    <w:p w14:paraId="39FF0741" w14:textId="38B47A18" w:rsidR="006201B4" w:rsidRPr="0070576A" w:rsidRDefault="006201B4" w:rsidP="006201B4">
      <w:pPr>
        <w:spacing w:beforeLines="60" w:before="144"/>
        <w:rPr>
          <w:rFonts w:ascii="Times" w:hAnsi="Times"/>
        </w:rPr>
      </w:pPr>
      <w:r w:rsidRPr="0070576A">
        <w:rPr>
          <w:rFonts w:ascii="Times" w:hAnsi="Times"/>
        </w:rPr>
        <w:lastRenderedPageBreak/>
        <w:t>Martinis Roe</w:t>
      </w:r>
      <w:r>
        <w:rPr>
          <w:rFonts w:ascii="Times" w:hAnsi="Times"/>
        </w:rPr>
        <w:t>,</w:t>
      </w:r>
      <w:r w:rsidRPr="0070576A">
        <w:rPr>
          <w:rFonts w:ascii="Times" w:hAnsi="Times"/>
        </w:rPr>
        <w:t xml:space="preserve"> A</w:t>
      </w:r>
      <w:r>
        <w:rPr>
          <w:rFonts w:ascii="Times" w:hAnsi="Times"/>
        </w:rPr>
        <w:t>.</w:t>
      </w:r>
      <w:r w:rsidRPr="0070576A">
        <w:rPr>
          <w:rFonts w:ascii="Times" w:hAnsi="Times"/>
        </w:rPr>
        <w:t xml:space="preserve"> 2017</w:t>
      </w:r>
      <w:r>
        <w:rPr>
          <w:rFonts w:ascii="Times" w:hAnsi="Times"/>
        </w:rPr>
        <w:t>.</w:t>
      </w:r>
      <w:r w:rsidRPr="0070576A">
        <w:rPr>
          <w:rFonts w:ascii="Times" w:hAnsi="Times"/>
        </w:rPr>
        <w:t xml:space="preserve"> ‘It was about opening the </w:t>
      </w:r>
      <w:r w:rsidR="00C51EA6">
        <w:rPr>
          <w:rFonts w:ascii="Times" w:hAnsi="Times"/>
        </w:rPr>
        <w:t>v</w:t>
      </w:r>
      <w:r w:rsidRPr="0070576A">
        <w:rPr>
          <w:rFonts w:ascii="Times" w:hAnsi="Times"/>
        </w:rPr>
        <w:t>ery notion that there was a particular perspective’</w:t>
      </w:r>
      <w:r>
        <w:rPr>
          <w:rFonts w:ascii="Times" w:hAnsi="Times"/>
        </w:rPr>
        <w:t>.</w:t>
      </w:r>
      <w:r w:rsidRPr="0070576A">
        <w:rPr>
          <w:rFonts w:ascii="Times" w:hAnsi="Times"/>
        </w:rPr>
        <w:t xml:space="preserve"> </w:t>
      </w:r>
      <w:r w:rsidRPr="0070576A">
        <w:rPr>
          <w:rFonts w:ascii="Times" w:hAnsi="Times"/>
          <w:i/>
          <w:iCs/>
        </w:rPr>
        <w:t>The National: New Australian Art</w:t>
      </w:r>
      <w:r>
        <w:rPr>
          <w:rFonts w:ascii="Times" w:hAnsi="Times"/>
        </w:rPr>
        <w:t xml:space="preserve">. </w:t>
      </w:r>
      <w:hyperlink r:id="rId9" w:history="1">
        <w:r w:rsidRPr="0070576A">
          <w:rPr>
            <w:rStyle w:val="Hyperlink"/>
            <w:rFonts w:ascii="Times" w:hAnsi="Times"/>
          </w:rPr>
          <w:t>https://www.the-national.com.au/artists/alex-martinis-roe/it-was-about-opening-the-very-notion-that-there-was-a-particular-perspective/</w:t>
        </w:r>
      </w:hyperlink>
      <w:r w:rsidRPr="0070576A">
        <w:rPr>
          <w:rFonts w:ascii="Times" w:hAnsi="Times"/>
        </w:rPr>
        <w:t>.</w:t>
      </w:r>
    </w:p>
    <w:p w14:paraId="07C62202" w14:textId="787C7C2B" w:rsidR="006201B4" w:rsidRPr="0070576A" w:rsidRDefault="006201B4" w:rsidP="006201B4">
      <w:pPr>
        <w:pStyle w:val="EndnoteText"/>
        <w:spacing w:beforeLines="60" w:before="144"/>
        <w:rPr>
          <w:rFonts w:ascii="Times" w:hAnsi="Times"/>
          <w:sz w:val="24"/>
          <w:szCs w:val="24"/>
        </w:rPr>
      </w:pPr>
      <w:r w:rsidRPr="0070576A">
        <w:rPr>
          <w:rFonts w:ascii="Times" w:hAnsi="Times"/>
          <w:sz w:val="24"/>
          <w:szCs w:val="24"/>
        </w:rPr>
        <w:t>Martinis Roe</w:t>
      </w:r>
      <w:r>
        <w:rPr>
          <w:rFonts w:ascii="Times" w:hAnsi="Times"/>
          <w:sz w:val="24"/>
          <w:szCs w:val="24"/>
        </w:rPr>
        <w:t>,</w:t>
      </w:r>
      <w:r w:rsidRPr="0070576A">
        <w:rPr>
          <w:rFonts w:ascii="Times" w:hAnsi="Times"/>
          <w:sz w:val="24"/>
          <w:szCs w:val="24"/>
        </w:rPr>
        <w:t xml:space="preserve"> A</w:t>
      </w:r>
      <w:r>
        <w:rPr>
          <w:rFonts w:ascii="Times" w:hAnsi="Times"/>
          <w:sz w:val="24"/>
          <w:szCs w:val="24"/>
        </w:rPr>
        <w:t>.</w:t>
      </w:r>
      <w:r w:rsidRPr="0070576A">
        <w:rPr>
          <w:rFonts w:ascii="Times" w:hAnsi="Times"/>
          <w:sz w:val="24"/>
          <w:szCs w:val="24"/>
        </w:rPr>
        <w:t xml:space="preserve"> 2018</w:t>
      </w:r>
      <w:r>
        <w:rPr>
          <w:rFonts w:ascii="Times" w:hAnsi="Times"/>
          <w:sz w:val="24"/>
          <w:szCs w:val="24"/>
        </w:rPr>
        <w:t>.</w:t>
      </w:r>
      <w:r w:rsidRPr="0070576A">
        <w:rPr>
          <w:rFonts w:ascii="Times" w:hAnsi="Times"/>
          <w:sz w:val="24"/>
          <w:szCs w:val="24"/>
        </w:rPr>
        <w:t xml:space="preserve"> ‘A</w:t>
      </w:r>
      <w:r w:rsidR="00D9027D">
        <w:rPr>
          <w:rFonts w:ascii="Times" w:hAnsi="Times"/>
          <w:sz w:val="24"/>
          <w:szCs w:val="24"/>
        </w:rPr>
        <w:t xml:space="preserve"> S</w:t>
      </w:r>
      <w:r w:rsidRPr="0070576A">
        <w:rPr>
          <w:rFonts w:ascii="Times" w:hAnsi="Times"/>
          <w:sz w:val="24"/>
          <w:szCs w:val="24"/>
        </w:rPr>
        <w:t xml:space="preserve">tory from </w:t>
      </w:r>
      <w:proofErr w:type="spellStart"/>
      <w:r w:rsidRPr="0070576A">
        <w:rPr>
          <w:rFonts w:ascii="Times" w:hAnsi="Times"/>
          <w:sz w:val="24"/>
          <w:szCs w:val="24"/>
        </w:rPr>
        <w:t>Circolo</w:t>
      </w:r>
      <w:proofErr w:type="spellEnd"/>
      <w:r w:rsidRPr="0070576A">
        <w:rPr>
          <w:rFonts w:ascii="Times" w:hAnsi="Times"/>
          <w:sz w:val="24"/>
          <w:szCs w:val="24"/>
        </w:rPr>
        <w:t xml:space="preserve"> </w:t>
      </w:r>
      <w:r w:rsidR="00D9027D">
        <w:rPr>
          <w:rFonts w:ascii="Times" w:hAnsi="Times"/>
          <w:sz w:val="24"/>
          <w:szCs w:val="24"/>
        </w:rPr>
        <w:t>D</w:t>
      </w:r>
      <w:r w:rsidRPr="0070576A">
        <w:rPr>
          <w:rFonts w:ascii="Times" w:hAnsi="Times"/>
          <w:sz w:val="24"/>
          <w:szCs w:val="24"/>
        </w:rPr>
        <w:t xml:space="preserve">ella </w:t>
      </w:r>
      <w:r w:rsidR="00D9027D">
        <w:rPr>
          <w:rFonts w:ascii="Times" w:hAnsi="Times"/>
          <w:sz w:val="24"/>
          <w:szCs w:val="24"/>
        </w:rPr>
        <w:t>R</w:t>
      </w:r>
      <w:r w:rsidRPr="0070576A">
        <w:rPr>
          <w:rFonts w:ascii="Times" w:hAnsi="Times"/>
          <w:sz w:val="24"/>
          <w:szCs w:val="24"/>
        </w:rPr>
        <w:t xml:space="preserve">osa: The Milan Women’s Bookstore </w:t>
      </w:r>
      <w:r w:rsidR="00D9027D">
        <w:rPr>
          <w:rFonts w:ascii="Times" w:hAnsi="Times"/>
          <w:sz w:val="24"/>
          <w:szCs w:val="24"/>
        </w:rPr>
        <w:t>C</w:t>
      </w:r>
      <w:r w:rsidRPr="0070576A">
        <w:rPr>
          <w:rFonts w:ascii="Times" w:hAnsi="Times"/>
          <w:sz w:val="24"/>
          <w:szCs w:val="24"/>
        </w:rPr>
        <w:t xml:space="preserve">o-operative and their </w:t>
      </w:r>
      <w:r w:rsidR="00D9027D">
        <w:rPr>
          <w:rFonts w:ascii="Times" w:hAnsi="Times"/>
          <w:sz w:val="24"/>
          <w:szCs w:val="24"/>
        </w:rPr>
        <w:t>P</w:t>
      </w:r>
      <w:r w:rsidRPr="0070576A">
        <w:rPr>
          <w:rFonts w:ascii="Times" w:hAnsi="Times"/>
          <w:sz w:val="24"/>
          <w:szCs w:val="24"/>
        </w:rPr>
        <w:t xml:space="preserve">ractice of </w:t>
      </w:r>
      <w:r w:rsidR="00D9027D">
        <w:rPr>
          <w:rFonts w:ascii="Times" w:hAnsi="Times"/>
          <w:sz w:val="24"/>
          <w:szCs w:val="24"/>
        </w:rPr>
        <w:t>C</w:t>
      </w:r>
      <w:r w:rsidRPr="0070576A">
        <w:rPr>
          <w:rFonts w:ascii="Times" w:hAnsi="Times"/>
          <w:sz w:val="24"/>
          <w:szCs w:val="24"/>
        </w:rPr>
        <w:t xml:space="preserve">ollective </w:t>
      </w:r>
      <w:r w:rsidR="00D9027D">
        <w:rPr>
          <w:rFonts w:ascii="Times" w:hAnsi="Times"/>
          <w:sz w:val="24"/>
          <w:szCs w:val="24"/>
        </w:rPr>
        <w:t>D</w:t>
      </w:r>
      <w:r w:rsidRPr="0070576A">
        <w:rPr>
          <w:rFonts w:ascii="Times" w:hAnsi="Times"/>
          <w:sz w:val="24"/>
          <w:szCs w:val="24"/>
        </w:rPr>
        <w:t>ifference’</w:t>
      </w:r>
      <w:r w:rsidR="00D9027D">
        <w:rPr>
          <w:rFonts w:ascii="Times" w:hAnsi="Times"/>
          <w:sz w:val="24"/>
          <w:szCs w:val="24"/>
        </w:rPr>
        <w:t xml:space="preserve"> </w:t>
      </w:r>
      <w:r w:rsidRPr="0070576A">
        <w:rPr>
          <w:rFonts w:ascii="Times" w:hAnsi="Times"/>
          <w:sz w:val="24"/>
          <w:szCs w:val="24"/>
        </w:rPr>
        <w:t>in A</w:t>
      </w:r>
      <w:r w:rsidR="00D9027D">
        <w:rPr>
          <w:rFonts w:ascii="Times" w:hAnsi="Times"/>
          <w:sz w:val="24"/>
          <w:szCs w:val="24"/>
        </w:rPr>
        <w:t>.</w:t>
      </w:r>
      <w:r w:rsidRPr="0070576A">
        <w:rPr>
          <w:rFonts w:ascii="Times" w:hAnsi="Times"/>
          <w:sz w:val="24"/>
          <w:szCs w:val="24"/>
        </w:rPr>
        <w:t xml:space="preserve"> Martinis Roe</w:t>
      </w:r>
      <w:r>
        <w:rPr>
          <w:rFonts w:ascii="Times" w:hAnsi="Times"/>
          <w:sz w:val="24"/>
          <w:szCs w:val="24"/>
        </w:rPr>
        <w:t>,</w:t>
      </w:r>
      <w:r w:rsidRPr="0070576A">
        <w:rPr>
          <w:rFonts w:ascii="Times" w:hAnsi="Times"/>
          <w:sz w:val="24"/>
          <w:szCs w:val="24"/>
        </w:rPr>
        <w:t xml:space="preserve"> </w:t>
      </w:r>
      <w:r w:rsidRPr="0070576A">
        <w:rPr>
          <w:rFonts w:ascii="Times" w:hAnsi="Times"/>
          <w:i/>
          <w:iCs/>
          <w:sz w:val="24"/>
          <w:szCs w:val="24"/>
        </w:rPr>
        <w:t>To Become Two: Propositions for Feminist Collective Practice</w:t>
      </w:r>
      <w:r>
        <w:rPr>
          <w:rFonts w:ascii="Times" w:hAnsi="Times"/>
          <w:sz w:val="24"/>
          <w:szCs w:val="24"/>
        </w:rPr>
        <w:t xml:space="preserve">. </w:t>
      </w:r>
      <w:r w:rsidRPr="0070576A">
        <w:rPr>
          <w:rFonts w:ascii="Times" w:hAnsi="Times"/>
          <w:sz w:val="24"/>
          <w:szCs w:val="24"/>
        </w:rPr>
        <w:t>Archive Books</w:t>
      </w:r>
      <w:r>
        <w:rPr>
          <w:rFonts w:ascii="Times" w:hAnsi="Times"/>
          <w:sz w:val="24"/>
          <w:szCs w:val="24"/>
        </w:rPr>
        <w:t>,</w:t>
      </w:r>
      <w:r w:rsidRPr="0070576A">
        <w:rPr>
          <w:rFonts w:ascii="Times" w:hAnsi="Times"/>
          <w:sz w:val="24"/>
          <w:szCs w:val="24"/>
        </w:rPr>
        <w:t xml:space="preserve"> Berlin: 47</w:t>
      </w:r>
      <w:r>
        <w:rPr>
          <w:rFonts w:ascii="Times" w:hAnsi="Times"/>
          <w:sz w:val="24"/>
          <w:szCs w:val="24"/>
        </w:rPr>
        <w:t>-</w:t>
      </w:r>
      <w:r w:rsidRPr="0070576A">
        <w:rPr>
          <w:rFonts w:ascii="Times" w:hAnsi="Times"/>
          <w:sz w:val="24"/>
          <w:szCs w:val="24"/>
        </w:rPr>
        <w:t>74.</w:t>
      </w:r>
    </w:p>
    <w:p w14:paraId="57134E96" w14:textId="57073386" w:rsidR="006201B4" w:rsidRPr="0070576A" w:rsidRDefault="006201B4" w:rsidP="006201B4">
      <w:pPr>
        <w:spacing w:beforeLines="60" w:before="144"/>
        <w:rPr>
          <w:rFonts w:ascii="Times New Roman" w:hAnsi="Times New Roman" w:cs="Times New Roman"/>
        </w:rPr>
      </w:pPr>
      <w:r w:rsidRPr="0070576A">
        <w:rPr>
          <w:rFonts w:ascii="Times New Roman" w:hAnsi="Times New Roman" w:cs="Times New Roman"/>
        </w:rPr>
        <w:t>McVeigh</w:t>
      </w:r>
      <w:r>
        <w:rPr>
          <w:rFonts w:ascii="Times New Roman" w:hAnsi="Times New Roman" w:cs="Times New Roman"/>
        </w:rPr>
        <w:t>,</w:t>
      </w:r>
      <w:r w:rsidRPr="0070576A">
        <w:rPr>
          <w:rFonts w:ascii="Times New Roman" w:hAnsi="Times New Roman" w:cs="Times New Roman"/>
        </w:rPr>
        <w:t xml:space="preserve"> S</w:t>
      </w:r>
      <w:r>
        <w:rPr>
          <w:rFonts w:ascii="Times New Roman" w:hAnsi="Times New Roman" w:cs="Times New Roman"/>
        </w:rPr>
        <w:t>.</w:t>
      </w:r>
      <w:r w:rsidRPr="0070576A">
        <w:rPr>
          <w:rFonts w:ascii="Times New Roman" w:hAnsi="Times New Roman" w:cs="Times New Roman"/>
        </w:rPr>
        <w:t xml:space="preserve"> 2016</w:t>
      </w:r>
      <w:r>
        <w:rPr>
          <w:rFonts w:ascii="Times New Roman" w:hAnsi="Times New Roman" w:cs="Times New Roman"/>
        </w:rPr>
        <w:t>.</w:t>
      </w:r>
      <w:r w:rsidRPr="0070576A">
        <w:rPr>
          <w:rFonts w:ascii="Times New Roman" w:hAnsi="Times New Roman" w:cs="Times New Roman"/>
        </w:rPr>
        <w:t xml:space="preserve"> ‘Jurisprudent of London: Arts of Association’</w:t>
      </w:r>
      <w:r>
        <w:rPr>
          <w:rFonts w:ascii="Times New Roman" w:hAnsi="Times New Roman" w:cs="Times New Roman"/>
        </w:rPr>
        <w:t>.</w:t>
      </w:r>
      <w:r w:rsidRPr="0070576A">
        <w:rPr>
          <w:rFonts w:ascii="Times New Roman" w:hAnsi="Times New Roman" w:cs="Times New Roman"/>
        </w:rPr>
        <w:t xml:space="preserve"> </w:t>
      </w:r>
      <w:r w:rsidRPr="0070576A">
        <w:rPr>
          <w:rFonts w:ascii="Times New Roman" w:hAnsi="Times New Roman" w:cs="Times New Roman"/>
          <w:i/>
          <w:iCs/>
        </w:rPr>
        <w:t>Law Text Culture</w:t>
      </w:r>
      <w:r w:rsidRPr="0070576A">
        <w:rPr>
          <w:rFonts w:ascii="Times New Roman" w:hAnsi="Times New Roman" w:cs="Times New Roman"/>
        </w:rPr>
        <w:t xml:space="preserve"> 20/1: 189</w:t>
      </w:r>
      <w:r>
        <w:rPr>
          <w:rFonts w:ascii="Times New Roman" w:hAnsi="Times New Roman" w:cs="Times New Roman"/>
        </w:rPr>
        <w:t>-</w:t>
      </w:r>
      <w:r w:rsidRPr="0070576A">
        <w:rPr>
          <w:rFonts w:ascii="Times New Roman" w:hAnsi="Times New Roman" w:cs="Times New Roman"/>
        </w:rPr>
        <w:t>215</w:t>
      </w:r>
      <w:r>
        <w:rPr>
          <w:rFonts w:ascii="Times New Roman" w:hAnsi="Times New Roman" w:cs="Times New Roman"/>
        </w:rPr>
        <w:t>.</w:t>
      </w:r>
    </w:p>
    <w:p w14:paraId="1ABAC29C" w14:textId="77777777" w:rsidR="006201B4" w:rsidRPr="0070576A" w:rsidRDefault="006201B4" w:rsidP="006201B4">
      <w:pPr>
        <w:pStyle w:val="EndnoteText"/>
        <w:spacing w:beforeLines="60" w:before="144"/>
        <w:rPr>
          <w:rFonts w:ascii="Times" w:hAnsi="Times"/>
          <w:sz w:val="24"/>
          <w:szCs w:val="24"/>
        </w:rPr>
      </w:pPr>
      <w:r w:rsidRPr="0070576A">
        <w:rPr>
          <w:rFonts w:ascii="Times" w:hAnsi="Times"/>
          <w:sz w:val="24"/>
          <w:szCs w:val="24"/>
        </w:rPr>
        <w:t>Millett</w:t>
      </w:r>
      <w:r>
        <w:rPr>
          <w:rFonts w:ascii="Times" w:hAnsi="Times"/>
          <w:sz w:val="24"/>
          <w:szCs w:val="24"/>
        </w:rPr>
        <w:t>,</w:t>
      </w:r>
      <w:r w:rsidRPr="0070576A">
        <w:rPr>
          <w:rFonts w:ascii="Times" w:hAnsi="Times"/>
          <w:sz w:val="24"/>
          <w:szCs w:val="24"/>
        </w:rPr>
        <w:t xml:space="preserve"> K</w:t>
      </w:r>
      <w:r>
        <w:rPr>
          <w:rFonts w:ascii="Times" w:hAnsi="Times"/>
          <w:sz w:val="24"/>
          <w:szCs w:val="24"/>
        </w:rPr>
        <w:t>.</w:t>
      </w:r>
      <w:r w:rsidRPr="0070576A">
        <w:rPr>
          <w:rFonts w:ascii="Times" w:hAnsi="Times"/>
          <w:sz w:val="24"/>
          <w:szCs w:val="24"/>
        </w:rPr>
        <w:t xml:space="preserve"> 1970</w:t>
      </w:r>
      <w:r>
        <w:rPr>
          <w:rFonts w:ascii="Times" w:hAnsi="Times"/>
          <w:sz w:val="24"/>
          <w:szCs w:val="24"/>
        </w:rPr>
        <w:t>.</w:t>
      </w:r>
      <w:r w:rsidRPr="0070576A">
        <w:rPr>
          <w:rFonts w:ascii="Times" w:hAnsi="Times"/>
          <w:sz w:val="24"/>
          <w:szCs w:val="24"/>
        </w:rPr>
        <w:t xml:space="preserve"> </w:t>
      </w:r>
      <w:r w:rsidRPr="0070576A">
        <w:rPr>
          <w:rFonts w:ascii="Times" w:hAnsi="Times"/>
          <w:i/>
          <w:iCs/>
          <w:sz w:val="24"/>
          <w:szCs w:val="24"/>
        </w:rPr>
        <w:t>Sexual Politics</w:t>
      </w:r>
      <w:r>
        <w:rPr>
          <w:rFonts w:ascii="Times" w:hAnsi="Times"/>
          <w:sz w:val="24"/>
          <w:szCs w:val="24"/>
        </w:rPr>
        <w:t xml:space="preserve">. </w:t>
      </w:r>
      <w:r w:rsidRPr="0070576A">
        <w:rPr>
          <w:rFonts w:ascii="Times" w:hAnsi="Times"/>
          <w:sz w:val="24"/>
          <w:szCs w:val="24"/>
        </w:rPr>
        <w:t>Doubleday &amp; Company</w:t>
      </w:r>
      <w:r>
        <w:rPr>
          <w:rFonts w:ascii="Times" w:hAnsi="Times"/>
          <w:sz w:val="24"/>
          <w:szCs w:val="24"/>
        </w:rPr>
        <w:t>,</w:t>
      </w:r>
      <w:r w:rsidRPr="0070576A">
        <w:rPr>
          <w:rFonts w:ascii="Times" w:hAnsi="Times"/>
          <w:sz w:val="24"/>
          <w:szCs w:val="24"/>
        </w:rPr>
        <w:t xml:space="preserve"> New York.</w:t>
      </w:r>
    </w:p>
    <w:p w14:paraId="09C8A6A7" w14:textId="77777777" w:rsidR="006201B4" w:rsidRPr="0070576A" w:rsidRDefault="006201B4" w:rsidP="006201B4">
      <w:pPr>
        <w:pStyle w:val="EndnoteText"/>
        <w:spacing w:beforeLines="60" w:before="144"/>
        <w:rPr>
          <w:rFonts w:ascii="Times" w:hAnsi="Times"/>
          <w:sz w:val="24"/>
          <w:szCs w:val="24"/>
        </w:rPr>
      </w:pPr>
      <w:r w:rsidRPr="0070576A">
        <w:rPr>
          <w:rFonts w:ascii="Times" w:hAnsi="Times"/>
          <w:sz w:val="24"/>
          <w:szCs w:val="24"/>
        </w:rPr>
        <w:t>Mitchell</w:t>
      </w:r>
      <w:r>
        <w:rPr>
          <w:rFonts w:ascii="Times" w:hAnsi="Times"/>
          <w:sz w:val="24"/>
          <w:szCs w:val="24"/>
        </w:rPr>
        <w:t>,</w:t>
      </w:r>
      <w:r w:rsidRPr="0070576A">
        <w:rPr>
          <w:rFonts w:ascii="Times" w:hAnsi="Times"/>
          <w:sz w:val="24"/>
          <w:szCs w:val="24"/>
        </w:rPr>
        <w:t xml:space="preserve"> J</w:t>
      </w:r>
      <w:r>
        <w:rPr>
          <w:rFonts w:ascii="Times" w:hAnsi="Times"/>
          <w:sz w:val="24"/>
          <w:szCs w:val="24"/>
        </w:rPr>
        <w:t>.</w:t>
      </w:r>
      <w:r w:rsidRPr="0070576A">
        <w:rPr>
          <w:rFonts w:ascii="Times" w:hAnsi="Times"/>
          <w:sz w:val="24"/>
          <w:szCs w:val="24"/>
        </w:rPr>
        <w:t xml:space="preserve"> 1966</w:t>
      </w:r>
      <w:r>
        <w:rPr>
          <w:rFonts w:ascii="Times" w:hAnsi="Times"/>
          <w:sz w:val="24"/>
          <w:szCs w:val="24"/>
        </w:rPr>
        <w:t>.</w:t>
      </w:r>
      <w:r w:rsidRPr="0070576A">
        <w:rPr>
          <w:rFonts w:ascii="Times" w:hAnsi="Times"/>
          <w:sz w:val="24"/>
          <w:szCs w:val="24"/>
        </w:rPr>
        <w:t xml:space="preserve"> ‘Women: The Longest Revolution’</w:t>
      </w:r>
      <w:r>
        <w:rPr>
          <w:rFonts w:ascii="Times" w:hAnsi="Times"/>
          <w:sz w:val="24"/>
          <w:szCs w:val="24"/>
        </w:rPr>
        <w:t>.</w:t>
      </w:r>
      <w:r w:rsidRPr="0070576A">
        <w:rPr>
          <w:rFonts w:ascii="Times" w:hAnsi="Times"/>
          <w:sz w:val="24"/>
          <w:szCs w:val="24"/>
        </w:rPr>
        <w:t xml:space="preserve"> </w:t>
      </w:r>
      <w:r w:rsidRPr="0070576A">
        <w:rPr>
          <w:rFonts w:ascii="Times" w:hAnsi="Times"/>
          <w:i/>
          <w:iCs/>
          <w:sz w:val="24"/>
          <w:szCs w:val="24"/>
        </w:rPr>
        <w:t>New Left Review</w:t>
      </w:r>
      <w:r w:rsidRPr="0070576A">
        <w:rPr>
          <w:rFonts w:ascii="Times" w:hAnsi="Times"/>
          <w:sz w:val="24"/>
          <w:szCs w:val="24"/>
        </w:rPr>
        <w:t xml:space="preserve"> I/40: 11</w:t>
      </w:r>
      <w:r>
        <w:rPr>
          <w:rFonts w:ascii="Times" w:hAnsi="Times"/>
          <w:sz w:val="24"/>
          <w:szCs w:val="24"/>
        </w:rPr>
        <w:t>-</w:t>
      </w:r>
      <w:r w:rsidRPr="0070576A">
        <w:rPr>
          <w:rFonts w:ascii="Times" w:hAnsi="Times"/>
          <w:sz w:val="24"/>
          <w:szCs w:val="24"/>
        </w:rPr>
        <w:t>37.</w:t>
      </w:r>
    </w:p>
    <w:p w14:paraId="71AE0F2F" w14:textId="0EF26A52" w:rsidR="006201B4" w:rsidRPr="0070576A" w:rsidRDefault="006201B4" w:rsidP="006201B4">
      <w:pPr>
        <w:spacing w:beforeLines="60" w:before="144"/>
        <w:rPr>
          <w:rFonts w:ascii="Times" w:hAnsi="Times"/>
        </w:rPr>
      </w:pPr>
      <w:r w:rsidRPr="0070576A">
        <w:rPr>
          <w:rFonts w:ascii="Times" w:hAnsi="Times"/>
        </w:rPr>
        <w:t>Mitchell</w:t>
      </w:r>
      <w:r>
        <w:rPr>
          <w:rFonts w:ascii="Times" w:hAnsi="Times"/>
        </w:rPr>
        <w:t>,</w:t>
      </w:r>
      <w:r w:rsidRPr="0070576A">
        <w:rPr>
          <w:rFonts w:ascii="Times" w:hAnsi="Times"/>
        </w:rPr>
        <w:t xml:space="preserve"> J</w:t>
      </w:r>
      <w:r>
        <w:rPr>
          <w:rFonts w:ascii="Times" w:hAnsi="Times"/>
        </w:rPr>
        <w:t>.</w:t>
      </w:r>
      <w:r w:rsidRPr="0070576A">
        <w:rPr>
          <w:rFonts w:ascii="Times" w:hAnsi="Times"/>
        </w:rPr>
        <w:t xml:space="preserve"> 1977</w:t>
      </w:r>
      <w:r>
        <w:rPr>
          <w:rFonts w:ascii="Times" w:hAnsi="Times"/>
        </w:rPr>
        <w:t>.</w:t>
      </w:r>
      <w:r w:rsidRPr="0070576A">
        <w:rPr>
          <w:rFonts w:ascii="Times" w:hAnsi="Times"/>
        </w:rPr>
        <w:t xml:space="preserve"> </w:t>
      </w:r>
      <w:r w:rsidRPr="0070576A">
        <w:rPr>
          <w:rFonts w:ascii="Times" w:hAnsi="Times"/>
          <w:i/>
          <w:iCs/>
        </w:rPr>
        <w:t>Woman’s Estate</w:t>
      </w:r>
      <w:r w:rsidR="00E33EF3">
        <w:rPr>
          <w:rFonts w:ascii="Times" w:hAnsi="Times"/>
        </w:rPr>
        <w:t>.</w:t>
      </w:r>
      <w:r w:rsidRPr="0070576A">
        <w:rPr>
          <w:rFonts w:ascii="Times" w:hAnsi="Times"/>
        </w:rPr>
        <w:t xml:space="preserve"> Penguin Books</w:t>
      </w:r>
      <w:r w:rsidR="00E33EF3">
        <w:rPr>
          <w:rFonts w:ascii="Times" w:hAnsi="Times"/>
        </w:rPr>
        <w:t>,</w:t>
      </w:r>
      <w:r w:rsidRPr="0070576A">
        <w:rPr>
          <w:rFonts w:ascii="Times" w:hAnsi="Times"/>
        </w:rPr>
        <w:t xml:space="preserve"> Harmondsworth (first published 1971).</w:t>
      </w:r>
    </w:p>
    <w:p w14:paraId="3D8978F5" w14:textId="49BFFF00" w:rsidR="006201B4" w:rsidRPr="0070576A" w:rsidRDefault="006201B4" w:rsidP="006201B4">
      <w:pPr>
        <w:tabs>
          <w:tab w:val="left" w:pos="2127"/>
        </w:tabs>
        <w:spacing w:beforeLines="60" w:before="144"/>
        <w:rPr>
          <w:rFonts w:ascii="Times" w:hAnsi="Times"/>
        </w:rPr>
      </w:pPr>
      <w:r w:rsidRPr="0070576A">
        <w:rPr>
          <w:rFonts w:ascii="Times" w:hAnsi="Times"/>
        </w:rPr>
        <w:t>Moi</w:t>
      </w:r>
      <w:r w:rsidR="00E33EF3">
        <w:rPr>
          <w:rFonts w:ascii="Times" w:hAnsi="Times"/>
        </w:rPr>
        <w:t>.</w:t>
      </w:r>
      <w:r w:rsidRPr="0070576A">
        <w:rPr>
          <w:rFonts w:ascii="Times" w:hAnsi="Times"/>
        </w:rPr>
        <w:t xml:space="preserve"> T</w:t>
      </w:r>
      <w:r w:rsidR="00E33EF3">
        <w:rPr>
          <w:rFonts w:ascii="Times" w:hAnsi="Times"/>
        </w:rPr>
        <w:t>.</w:t>
      </w:r>
      <w:r w:rsidRPr="0070576A">
        <w:rPr>
          <w:rFonts w:ascii="Times" w:hAnsi="Times"/>
        </w:rPr>
        <w:t xml:space="preserve"> 2010</w:t>
      </w:r>
      <w:r w:rsidR="00E33EF3">
        <w:rPr>
          <w:rFonts w:ascii="Times" w:hAnsi="Times"/>
        </w:rPr>
        <w:t>.</w:t>
      </w:r>
      <w:r w:rsidRPr="0070576A">
        <w:rPr>
          <w:rFonts w:ascii="Times" w:hAnsi="Times"/>
        </w:rPr>
        <w:t xml:space="preserve"> ‘The Adulteress Wife’</w:t>
      </w:r>
      <w:r w:rsidR="00E33EF3">
        <w:rPr>
          <w:rFonts w:ascii="Times" w:hAnsi="Times"/>
        </w:rPr>
        <w:t>.</w:t>
      </w:r>
      <w:r w:rsidRPr="0070576A">
        <w:rPr>
          <w:rFonts w:ascii="Times" w:hAnsi="Times"/>
        </w:rPr>
        <w:t xml:space="preserve"> </w:t>
      </w:r>
      <w:r w:rsidRPr="0070576A">
        <w:rPr>
          <w:rFonts w:ascii="Times" w:hAnsi="Times"/>
          <w:i/>
          <w:iCs/>
        </w:rPr>
        <w:t>London Review of Books</w:t>
      </w:r>
      <w:r w:rsidRPr="0070576A">
        <w:rPr>
          <w:rFonts w:ascii="Times" w:hAnsi="Times"/>
        </w:rPr>
        <w:t xml:space="preserve"> 32/3</w:t>
      </w:r>
      <w:r>
        <w:rPr>
          <w:rFonts w:ascii="Times" w:hAnsi="Times"/>
        </w:rPr>
        <w:t>.</w:t>
      </w:r>
      <w:r w:rsidRPr="0070576A">
        <w:rPr>
          <w:rFonts w:ascii="Times" w:hAnsi="Times"/>
        </w:rPr>
        <w:t xml:space="preserve"> </w:t>
      </w:r>
    </w:p>
    <w:p w14:paraId="5DF224A5" w14:textId="6DA6654F" w:rsidR="006201B4" w:rsidRPr="0070576A" w:rsidRDefault="006201B4" w:rsidP="006201B4">
      <w:pPr>
        <w:spacing w:beforeLines="60" w:before="144"/>
        <w:rPr>
          <w:rFonts w:ascii="Times" w:hAnsi="Times"/>
        </w:rPr>
      </w:pPr>
      <w:r w:rsidRPr="0070576A">
        <w:rPr>
          <w:rFonts w:ascii="Times" w:hAnsi="Times"/>
        </w:rPr>
        <w:t>O’Donovan</w:t>
      </w:r>
      <w:r>
        <w:rPr>
          <w:rFonts w:ascii="Times" w:hAnsi="Times"/>
        </w:rPr>
        <w:t>,</w:t>
      </w:r>
      <w:r w:rsidRPr="0070576A">
        <w:rPr>
          <w:rFonts w:ascii="Times" w:hAnsi="Times"/>
        </w:rPr>
        <w:t xml:space="preserve"> K</w:t>
      </w:r>
      <w:r w:rsidR="00E33EF3">
        <w:rPr>
          <w:rFonts w:ascii="Times" w:hAnsi="Times"/>
        </w:rPr>
        <w:t>.</w:t>
      </w:r>
      <w:r w:rsidRPr="0070576A">
        <w:rPr>
          <w:rFonts w:ascii="Times" w:hAnsi="Times"/>
        </w:rPr>
        <w:t xml:space="preserve"> 1985</w:t>
      </w:r>
      <w:r>
        <w:rPr>
          <w:rFonts w:ascii="Times" w:hAnsi="Times"/>
        </w:rPr>
        <w:t>.</w:t>
      </w:r>
      <w:r w:rsidRPr="0070576A">
        <w:rPr>
          <w:rFonts w:ascii="Times" w:hAnsi="Times"/>
        </w:rPr>
        <w:t xml:space="preserve"> </w:t>
      </w:r>
      <w:r w:rsidRPr="0070576A">
        <w:rPr>
          <w:rFonts w:ascii="Times" w:hAnsi="Times"/>
          <w:i/>
          <w:iCs/>
        </w:rPr>
        <w:t>Sexual Divisions in Law</w:t>
      </w:r>
      <w:r w:rsidR="00D34C08">
        <w:rPr>
          <w:rFonts w:ascii="Times" w:hAnsi="Times"/>
        </w:rPr>
        <w:t>.</w:t>
      </w:r>
      <w:r w:rsidRPr="0070576A">
        <w:rPr>
          <w:rFonts w:ascii="Times" w:hAnsi="Times"/>
        </w:rPr>
        <w:t xml:space="preserve"> Weidenfeld &amp; Nicolson</w:t>
      </w:r>
      <w:r w:rsidR="00D34C08">
        <w:rPr>
          <w:rFonts w:ascii="Times" w:hAnsi="Times"/>
        </w:rPr>
        <w:t>,</w:t>
      </w:r>
      <w:r w:rsidRPr="0070576A">
        <w:rPr>
          <w:rFonts w:ascii="Times" w:hAnsi="Times"/>
        </w:rPr>
        <w:t xml:space="preserve"> London.</w:t>
      </w:r>
    </w:p>
    <w:p w14:paraId="2D74BF62" w14:textId="77777777" w:rsidR="006201B4" w:rsidRPr="0070576A" w:rsidRDefault="006201B4" w:rsidP="006201B4">
      <w:pPr>
        <w:spacing w:beforeLines="60" w:before="144"/>
        <w:rPr>
          <w:rFonts w:ascii="Times" w:hAnsi="Times"/>
        </w:rPr>
      </w:pPr>
      <w:r w:rsidRPr="0070576A">
        <w:rPr>
          <w:rFonts w:ascii="Times" w:hAnsi="Times"/>
        </w:rPr>
        <w:t>Ryan</w:t>
      </w:r>
      <w:r>
        <w:rPr>
          <w:rFonts w:ascii="Times" w:hAnsi="Times"/>
        </w:rPr>
        <w:t>,</w:t>
      </w:r>
      <w:r w:rsidRPr="0070576A">
        <w:rPr>
          <w:rFonts w:ascii="Times" w:hAnsi="Times"/>
        </w:rPr>
        <w:t xml:space="preserve"> E</w:t>
      </w:r>
      <w:r>
        <w:rPr>
          <w:rFonts w:ascii="Times" w:hAnsi="Times"/>
        </w:rPr>
        <w:t>.</w:t>
      </w:r>
      <w:r w:rsidRPr="0070576A">
        <w:rPr>
          <w:rFonts w:ascii="Times" w:hAnsi="Times"/>
        </w:rPr>
        <w:t xml:space="preserve"> and Conlon</w:t>
      </w:r>
      <w:r>
        <w:rPr>
          <w:rFonts w:ascii="Times" w:hAnsi="Times"/>
        </w:rPr>
        <w:t>,</w:t>
      </w:r>
      <w:r w:rsidRPr="0070576A">
        <w:rPr>
          <w:rFonts w:ascii="Times" w:hAnsi="Times"/>
        </w:rPr>
        <w:t xml:space="preserve"> A</w:t>
      </w:r>
      <w:r>
        <w:rPr>
          <w:rFonts w:ascii="Times" w:hAnsi="Times"/>
        </w:rPr>
        <w:t>.</w:t>
      </w:r>
      <w:r w:rsidRPr="0070576A">
        <w:rPr>
          <w:rFonts w:ascii="Times" w:hAnsi="Times"/>
        </w:rPr>
        <w:t xml:space="preserve"> 1975</w:t>
      </w:r>
      <w:r>
        <w:rPr>
          <w:rFonts w:ascii="Times" w:hAnsi="Times"/>
        </w:rPr>
        <w:t>.</w:t>
      </w:r>
      <w:r w:rsidRPr="0070576A">
        <w:rPr>
          <w:rFonts w:ascii="Times" w:hAnsi="Times"/>
        </w:rPr>
        <w:t xml:space="preserve"> </w:t>
      </w:r>
      <w:r w:rsidRPr="0070576A">
        <w:rPr>
          <w:rFonts w:ascii="Times" w:hAnsi="Times"/>
          <w:i/>
          <w:iCs/>
        </w:rPr>
        <w:t>Gentle Invaders: Australian Women at Work 1788</w:t>
      </w:r>
      <w:r>
        <w:rPr>
          <w:rFonts w:ascii="Times" w:hAnsi="Times"/>
          <w:i/>
          <w:iCs/>
        </w:rPr>
        <w:t>-</w:t>
      </w:r>
      <w:r w:rsidRPr="0070576A">
        <w:rPr>
          <w:rFonts w:ascii="Times" w:hAnsi="Times"/>
          <w:i/>
          <w:iCs/>
        </w:rPr>
        <w:t>1974</w:t>
      </w:r>
      <w:r>
        <w:rPr>
          <w:rFonts w:ascii="Times" w:hAnsi="Times"/>
        </w:rPr>
        <w:t xml:space="preserve">. </w:t>
      </w:r>
      <w:r w:rsidRPr="0070576A">
        <w:rPr>
          <w:rFonts w:ascii="Times" w:hAnsi="Times"/>
        </w:rPr>
        <w:t>Thomas Nelson</w:t>
      </w:r>
      <w:r>
        <w:rPr>
          <w:rFonts w:ascii="Times" w:hAnsi="Times"/>
        </w:rPr>
        <w:t>,</w:t>
      </w:r>
      <w:r w:rsidRPr="0070576A">
        <w:rPr>
          <w:rFonts w:ascii="Times" w:hAnsi="Times"/>
        </w:rPr>
        <w:t xml:space="preserve"> Melbourne.</w:t>
      </w:r>
    </w:p>
    <w:p w14:paraId="72DEEC96" w14:textId="48B09E3A" w:rsidR="006201B4" w:rsidRPr="0070576A" w:rsidRDefault="006201B4" w:rsidP="006201B4">
      <w:pPr>
        <w:spacing w:beforeLines="60" w:before="144"/>
        <w:rPr>
          <w:rFonts w:ascii="Times" w:hAnsi="Times"/>
        </w:rPr>
      </w:pPr>
      <w:r w:rsidRPr="0070576A">
        <w:rPr>
          <w:rFonts w:ascii="Times" w:hAnsi="Times"/>
        </w:rPr>
        <w:t>Shin</w:t>
      </w:r>
      <w:r>
        <w:rPr>
          <w:rFonts w:ascii="Times" w:hAnsi="Times"/>
        </w:rPr>
        <w:t>,</w:t>
      </w:r>
      <w:r w:rsidRPr="0070576A">
        <w:rPr>
          <w:rFonts w:ascii="Times" w:hAnsi="Times"/>
        </w:rPr>
        <w:t xml:space="preserve"> S</w:t>
      </w:r>
      <w:r>
        <w:rPr>
          <w:rFonts w:ascii="Times" w:hAnsi="Times"/>
        </w:rPr>
        <w:t>.</w:t>
      </w:r>
      <w:r w:rsidRPr="0070576A">
        <w:rPr>
          <w:rFonts w:ascii="Times" w:hAnsi="Times"/>
        </w:rPr>
        <w:t xml:space="preserve"> 2015</w:t>
      </w:r>
      <w:r>
        <w:rPr>
          <w:rFonts w:ascii="Times" w:hAnsi="Times"/>
        </w:rPr>
        <w:t>.</w:t>
      </w:r>
      <w:r w:rsidRPr="0070576A">
        <w:rPr>
          <w:rFonts w:ascii="Times" w:hAnsi="Times"/>
        </w:rPr>
        <w:t xml:space="preserve"> ‘Juliet Mitchell: Looking back at </w:t>
      </w:r>
      <w:r w:rsidRPr="0070576A">
        <w:rPr>
          <w:rFonts w:ascii="Times" w:hAnsi="Times"/>
          <w:i/>
          <w:iCs/>
        </w:rPr>
        <w:t>Woman’s Estate</w:t>
      </w:r>
      <w:r w:rsidRPr="0070576A">
        <w:rPr>
          <w:rFonts w:ascii="Times" w:hAnsi="Times"/>
        </w:rPr>
        <w:t>’</w:t>
      </w:r>
      <w:r>
        <w:rPr>
          <w:rFonts w:ascii="Times" w:hAnsi="Times"/>
        </w:rPr>
        <w:t>.</w:t>
      </w:r>
      <w:r w:rsidRPr="0070576A">
        <w:rPr>
          <w:rFonts w:ascii="Times" w:hAnsi="Times"/>
        </w:rPr>
        <w:t xml:space="preserve"> Verso Books</w:t>
      </w:r>
      <w:r>
        <w:rPr>
          <w:rFonts w:ascii="Times" w:hAnsi="Times"/>
        </w:rPr>
        <w:t>,</w:t>
      </w:r>
      <w:r w:rsidRPr="0070576A">
        <w:rPr>
          <w:rFonts w:ascii="Times" w:hAnsi="Times"/>
        </w:rPr>
        <w:t xml:space="preserve"> London</w:t>
      </w:r>
      <w:r>
        <w:rPr>
          <w:rFonts w:ascii="Times" w:hAnsi="Times"/>
        </w:rPr>
        <w:t>.</w:t>
      </w:r>
      <w:r w:rsidRPr="0070576A">
        <w:rPr>
          <w:rFonts w:ascii="Times" w:hAnsi="Times"/>
        </w:rPr>
        <w:t xml:space="preserve"> </w:t>
      </w:r>
      <w:hyperlink r:id="rId10" w:history="1">
        <w:r w:rsidRPr="0070576A">
          <w:rPr>
            <w:rStyle w:val="Hyperlink"/>
            <w:rFonts w:ascii="Times" w:hAnsi="Times"/>
          </w:rPr>
          <w:t>https://www.versobooks.com/blogs/1836-juliet-mitchell-looking-back-at-woman-s-estate</w:t>
        </w:r>
      </w:hyperlink>
      <w:r w:rsidRPr="0070576A">
        <w:rPr>
          <w:rFonts w:ascii="Times" w:hAnsi="Times"/>
        </w:rPr>
        <w:t>.</w:t>
      </w:r>
    </w:p>
    <w:p w14:paraId="6D273C76" w14:textId="67D97817" w:rsidR="006201B4" w:rsidRPr="0070576A" w:rsidRDefault="006201B4" w:rsidP="006201B4">
      <w:pPr>
        <w:spacing w:beforeLines="60" w:before="144"/>
        <w:rPr>
          <w:rFonts w:ascii="Times" w:hAnsi="Times"/>
        </w:rPr>
      </w:pPr>
      <w:r w:rsidRPr="0070576A">
        <w:rPr>
          <w:rFonts w:ascii="Times" w:hAnsi="Times"/>
        </w:rPr>
        <w:t>Singh</w:t>
      </w:r>
      <w:r>
        <w:rPr>
          <w:rFonts w:ascii="Times" w:hAnsi="Times"/>
        </w:rPr>
        <w:t>,</w:t>
      </w:r>
      <w:r w:rsidRPr="0070576A">
        <w:rPr>
          <w:rFonts w:ascii="Times" w:hAnsi="Times"/>
        </w:rPr>
        <w:t xml:space="preserve"> S</w:t>
      </w:r>
      <w:r>
        <w:rPr>
          <w:rFonts w:ascii="Times" w:hAnsi="Times"/>
        </w:rPr>
        <w:t>.</w:t>
      </w:r>
      <w:r w:rsidRPr="0070576A">
        <w:rPr>
          <w:rFonts w:ascii="Times" w:hAnsi="Times"/>
        </w:rPr>
        <w:t xml:space="preserve"> 2011</w:t>
      </w:r>
      <w:r>
        <w:rPr>
          <w:rFonts w:ascii="Times" w:hAnsi="Times"/>
        </w:rPr>
        <w:t>.</w:t>
      </w:r>
      <w:r w:rsidRPr="0070576A">
        <w:rPr>
          <w:rFonts w:ascii="Times" w:hAnsi="Times"/>
        </w:rPr>
        <w:t xml:space="preserve"> ‘Emancipation in the </w:t>
      </w:r>
      <w:r w:rsidR="00D34C08">
        <w:rPr>
          <w:rFonts w:ascii="Times" w:hAnsi="Times"/>
        </w:rPr>
        <w:t>H</w:t>
      </w:r>
      <w:r w:rsidRPr="0070576A">
        <w:rPr>
          <w:rFonts w:ascii="Times" w:hAnsi="Times"/>
        </w:rPr>
        <w:t xml:space="preserve">eart of </w:t>
      </w:r>
      <w:r w:rsidR="00D34C08">
        <w:rPr>
          <w:rFonts w:ascii="Times" w:hAnsi="Times"/>
        </w:rPr>
        <w:t>D</w:t>
      </w:r>
      <w:r w:rsidRPr="0070576A">
        <w:rPr>
          <w:rFonts w:ascii="Times" w:hAnsi="Times"/>
        </w:rPr>
        <w:t xml:space="preserve">arkness: An </w:t>
      </w:r>
      <w:r w:rsidR="00D34C08">
        <w:rPr>
          <w:rFonts w:ascii="Times" w:hAnsi="Times"/>
        </w:rPr>
        <w:t>I</w:t>
      </w:r>
      <w:r w:rsidRPr="0070576A">
        <w:rPr>
          <w:rFonts w:ascii="Times" w:hAnsi="Times"/>
        </w:rPr>
        <w:t>nterview with Juliet Mitchell’</w:t>
      </w:r>
      <w:r w:rsidR="00D34C08">
        <w:rPr>
          <w:rFonts w:ascii="Times" w:hAnsi="Times"/>
        </w:rPr>
        <w:t>.</w:t>
      </w:r>
      <w:r w:rsidRPr="0070576A">
        <w:rPr>
          <w:rFonts w:ascii="Times" w:hAnsi="Times"/>
        </w:rPr>
        <w:t xml:space="preserve"> </w:t>
      </w:r>
      <w:r w:rsidRPr="0070576A">
        <w:rPr>
          <w:rFonts w:ascii="Times" w:hAnsi="Times"/>
          <w:i/>
          <w:iCs/>
        </w:rPr>
        <w:t>The Platypus Review</w:t>
      </w:r>
      <w:r w:rsidRPr="0070576A">
        <w:rPr>
          <w:rFonts w:ascii="Times" w:hAnsi="Times"/>
        </w:rPr>
        <w:t xml:space="preserve"> 38: 1</w:t>
      </w:r>
      <w:r>
        <w:rPr>
          <w:rFonts w:ascii="Times" w:hAnsi="Times"/>
        </w:rPr>
        <w:t>-</w:t>
      </w:r>
      <w:r w:rsidRPr="0070576A">
        <w:rPr>
          <w:rFonts w:ascii="Times" w:hAnsi="Times"/>
        </w:rPr>
        <w:t>6.</w:t>
      </w:r>
    </w:p>
    <w:p w14:paraId="15477261" w14:textId="4FDDE648" w:rsidR="006201B4" w:rsidRPr="0070576A" w:rsidRDefault="006201B4" w:rsidP="006201B4">
      <w:pPr>
        <w:spacing w:beforeLines="60" w:before="144"/>
        <w:rPr>
          <w:rFonts w:ascii="Times" w:hAnsi="Times"/>
        </w:rPr>
      </w:pPr>
      <w:r w:rsidRPr="0070576A">
        <w:rPr>
          <w:rFonts w:ascii="Times" w:hAnsi="Times"/>
        </w:rPr>
        <w:t>Spain</w:t>
      </w:r>
      <w:r>
        <w:rPr>
          <w:rFonts w:ascii="Times" w:hAnsi="Times"/>
        </w:rPr>
        <w:t>,</w:t>
      </w:r>
      <w:r w:rsidRPr="0070576A">
        <w:rPr>
          <w:rFonts w:ascii="Times" w:hAnsi="Times"/>
        </w:rPr>
        <w:t xml:space="preserve"> D</w:t>
      </w:r>
      <w:r>
        <w:rPr>
          <w:rFonts w:ascii="Times" w:hAnsi="Times"/>
        </w:rPr>
        <w:t>.</w:t>
      </w:r>
      <w:r w:rsidRPr="0070576A">
        <w:rPr>
          <w:rFonts w:ascii="Times" w:hAnsi="Times"/>
        </w:rPr>
        <w:t xml:space="preserve"> 2016</w:t>
      </w:r>
      <w:r>
        <w:rPr>
          <w:rFonts w:ascii="Times" w:hAnsi="Times"/>
        </w:rPr>
        <w:t>.</w:t>
      </w:r>
      <w:r w:rsidRPr="0070576A">
        <w:rPr>
          <w:rFonts w:ascii="Times" w:hAnsi="Times"/>
        </w:rPr>
        <w:t xml:space="preserve"> ‘Feminist Bookstores: Building Identity’ in D</w:t>
      </w:r>
      <w:r w:rsidR="00D34C08">
        <w:rPr>
          <w:rFonts w:ascii="Times" w:hAnsi="Times"/>
        </w:rPr>
        <w:t>.</w:t>
      </w:r>
      <w:r w:rsidRPr="0070576A">
        <w:rPr>
          <w:rFonts w:ascii="Times" w:hAnsi="Times"/>
        </w:rPr>
        <w:t xml:space="preserve"> Spain</w:t>
      </w:r>
      <w:r>
        <w:rPr>
          <w:rFonts w:ascii="Times" w:hAnsi="Times"/>
        </w:rPr>
        <w:t>.</w:t>
      </w:r>
      <w:r w:rsidRPr="0070576A">
        <w:rPr>
          <w:rFonts w:ascii="Times" w:hAnsi="Times"/>
        </w:rPr>
        <w:t xml:space="preserve"> </w:t>
      </w:r>
      <w:r w:rsidRPr="0070576A">
        <w:rPr>
          <w:rFonts w:ascii="Times" w:hAnsi="Times"/>
          <w:i/>
          <w:iCs/>
        </w:rPr>
        <w:t>Constructive Feminism: Women’s Spaces and Women’s Rights in the American City</w:t>
      </w:r>
      <w:r>
        <w:rPr>
          <w:rFonts w:ascii="Times" w:hAnsi="Times"/>
        </w:rPr>
        <w:t xml:space="preserve">. </w:t>
      </w:r>
      <w:r w:rsidRPr="0070576A">
        <w:rPr>
          <w:rFonts w:ascii="Times" w:hAnsi="Times"/>
        </w:rPr>
        <w:t>Cornell University Press</w:t>
      </w:r>
      <w:r>
        <w:rPr>
          <w:rFonts w:ascii="Times" w:hAnsi="Times"/>
        </w:rPr>
        <w:t>,</w:t>
      </w:r>
      <w:r w:rsidRPr="0070576A">
        <w:rPr>
          <w:rFonts w:ascii="Times" w:hAnsi="Times"/>
        </w:rPr>
        <w:t xml:space="preserve"> Ithaca: 84</w:t>
      </w:r>
      <w:r>
        <w:rPr>
          <w:rFonts w:ascii="Times" w:hAnsi="Times"/>
        </w:rPr>
        <w:t>-</w:t>
      </w:r>
      <w:r w:rsidRPr="0070576A">
        <w:rPr>
          <w:rFonts w:ascii="Times" w:hAnsi="Times"/>
        </w:rPr>
        <w:t>110.</w:t>
      </w:r>
    </w:p>
    <w:p w14:paraId="70FBC249" w14:textId="77777777" w:rsidR="006201B4" w:rsidRPr="0070576A" w:rsidRDefault="006201B4" w:rsidP="006201B4">
      <w:pPr>
        <w:pStyle w:val="EndnoteText"/>
        <w:spacing w:beforeLines="60" w:before="144"/>
        <w:rPr>
          <w:rFonts w:ascii="Times" w:hAnsi="Times" w:cs="Times New Roman"/>
          <w:sz w:val="24"/>
          <w:szCs w:val="24"/>
        </w:rPr>
      </w:pPr>
      <w:r w:rsidRPr="0070576A">
        <w:rPr>
          <w:rFonts w:ascii="Times" w:hAnsi="Times"/>
          <w:sz w:val="24"/>
          <w:szCs w:val="24"/>
        </w:rPr>
        <w:t>Spender</w:t>
      </w:r>
      <w:r>
        <w:rPr>
          <w:rFonts w:ascii="Times" w:hAnsi="Times"/>
          <w:sz w:val="24"/>
          <w:szCs w:val="24"/>
        </w:rPr>
        <w:t>,</w:t>
      </w:r>
      <w:r w:rsidRPr="0070576A">
        <w:rPr>
          <w:rFonts w:ascii="Times" w:hAnsi="Times"/>
          <w:sz w:val="24"/>
          <w:szCs w:val="24"/>
        </w:rPr>
        <w:t xml:space="preserve"> D</w:t>
      </w:r>
      <w:r>
        <w:rPr>
          <w:rFonts w:ascii="Times" w:hAnsi="Times"/>
          <w:sz w:val="24"/>
          <w:szCs w:val="24"/>
        </w:rPr>
        <w:t>.</w:t>
      </w:r>
      <w:r w:rsidRPr="0070576A">
        <w:rPr>
          <w:rFonts w:ascii="Times" w:hAnsi="Times"/>
          <w:sz w:val="24"/>
          <w:szCs w:val="24"/>
        </w:rPr>
        <w:t xml:space="preserve"> 1983</w:t>
      </w:r>
      <w:r>
        <w:rPr>
          <w:rFonts w:ascii="Times" w:hAnsi="Times"/>
          <w:sz w:val="24"/>
          <w:szCs w:val="24"/>
        </w:rPr>
        <w:t>.</w:t>
      </w:r>
      <w:r w:rsidRPr="0070576A">
        <w:rPr>
          <w:rFonts w:ascii="Times" w:hAnsi="Times"/>
          <w:sz w:val="24"/>
          <w:szCs w:val="24"/>
        </w:rPr>
        <w:t xml:space="preserve"> </w:t>
      </w:r>
      <w:r w:rsidRPr="0070576A">
        <w:rPr>
          <w:rFonts w:ascii="Times" w:hAnsi="Times"/>
          <w:i/>
          <w:iCs/>
          <w:sz w:val="24"/>
          <w:szCs w:val="24"/>
        </w:rPr>
        <w:t>There’s Always Been a Women’s Movement This Century</w:t>
      </w:r>
      <w:r>
        <w:rPr>
          <w:rFonts w:ascii="Times" w:hAnsi="Times"/>
          <w:sz w:val="24"/>
          <w:szCs w:val="24"/>
        </w:rPr>
        <w:t xml:space="preserve">. </w:t>
      </w:r>
      <w:r w:rsidRPr="0070576A">
        <w:rPr>
          <w:rFonts w:ascii="Times" w:hAnsi="Times"/>
          <w:sz w:val="24"/>
          <w:szCs w:val="24"/>
        </w:rPr>
        <w:t>Pandora Press</w:t>
      </w:r>
      <w:r>
        <w:rPr>
          <w:rFonts w:ascii="Times" w:hAnsi="Times"/>
          <w:sz w:val="24"/>
          <w:szCs w:val="24"/>
        </w:rPr>
        <w:t>,</w:t>
      </w:r>
      <w:r w:rsidRPr="0070576A">
        <w:rPr>
          <w:rFonts w:ascii="Times" w:hAnsi="Times"/>
          <w:sz w:val="24"/>
          <w:szCs w:val="24"/>
        </w:rPr>
        <w:t xml:space="preserve"> London and Boston.</w:t>
      </w:r>
    </w:p>
    <w:p w14:paraId="05595C90" w14:textId="77777777" w:rsidR="006201B4" w:rsidRPr="0070576A" w:rsidRDefault="006201B4" w:rsidP="006201B4">
      <w:pPr>
        <w:spacing w:beforeLines="60" w:before="144"/>
        <w:rPr>
          <w:rFonts w:ascii="Times" w:hAnsi="Times"/>
        </w:rPr>
      </w:pPr>
      <w:r w:rsidRPr="0070576A">
        <w:rPr>
          <w:rFonts w:ascii="Times" w:hAnsi="Times"/>
        </w:rPr>
        <w:t>Summers</w:t>
      </w:r>
      <w:r>
        <w:rPr>
          <w:rFonts w:ascii="Times" w:hAnsi="Times"/>
        </w:rPr>
        <w:t>,</w:t>
      </w:r>
      <w:r w:rsidRPr="0070576A">
        <w:rPr>
          <w:rFonts w:ascii="Times" w:hAnsi="Times"/>
        </w:rPr>
        <w:t xml:space="preserve"> A</w:t>
      </w:r>
      <w:r>
        <w:rPr>
          <w:rFonts w:ascii="Times" w:hAnsi="Times"/>
        </w:rPr>
        <w:t>.</w:t>
      </w:r>
      <w:r w:rsidRPr="0070576A">
        <w:rPr>
          <w:rFonts w:ascii="Times" w:hAnsi="Times"/>
        </w:rPr>
        <w:t xml:space="preserve"> 1975</w:t>
      </w:r>
      <w:r>
        <w:rPr>
          <w:rFonts w:ascii="Times" w:hAnsi="Times"/>
        </w:rPr>
        <w:t>.</w:t>
      </w:r>
      <w:r w:rsidRPr="0070576A">
        <w:rPr>
          <w:rFonts w:ascii="Times" w:hAnsi="Times"/>
        </w:rPr>
        <w:t xml:space="preserve"> </w:t>
      </w:r>
      <w:r w:rsidRPr="0070576A">
        <w:rPr>
          <w:rFonts w:ascii="Times" w:hAnsi="Times"/>
          <w:i/>
          <w:iCs/>
        </w:rPr>
        <w:t>Damned Whores and God’s Police: The Colonization of Women in Australia</w:t>
      </w:r>
      <w:r>
        <w:rPr>
          <w:rFonts w:ascii="Times" w:hAnsi="Times"/>
        </w:rPr>
        <w:t xml:space="preserve">. </w:t>
      </w:r>
      <w:r w:rsidRPr="0070576A">
        <w:rPr>
          <w:rFonts w:ascii="Times" w:hAnsi="Times"/>
        </w:rPr>
        <w:t>Penguin Books</w:t>
      </w:r>
      <w:r>
        <w:rPr>
          <w:rFonts w:ascii="Times" w:hAnsi="Times"/>
        </w:rPr>
        <w:t>,</w:t>
      </w:r>
      <w:r w:rsidRPr="0070576A">
        <w:rPr>
          <w:rFonts w:ascii="Times" w:hAnsi="Times"/>
        </w:rPr>
        <w:t xml:space="preserve"> Melbourne.</w:t>
      </w:r>
    </w:p>
    <w:p w14:paraId="5040C578" w14:textId="6A3A843C" w:rsidR="006201B4" w:rsidRPr="0070576A" w:rsidRDefault="006201B4" w:rsidP="006201B4">
      <w:pPr>
        <w:spacing w:beforeLines="60" w:before="144"/>
        <w:rPr>
          <w:rFonts w:ascii="Times" w:hAnsi="Times"/>
        </w:rPr>
      </w:pPr>
      <w:r w:rsidRPr="0070576A">
        <w:rPr>
          <w:rFonts w:ascii="Times" w:hAnsi="Times"/>
        </w:rPr>
        <w:t>The Milan Women’s Bookstore Collective</w:t>
      </w:r>
      <w:r w:rsidR="00D34C08">
        <w:rPr>
          <w:rFonts w:ascii="Times" w:hAnsi="Times"/>
        </w:rPr>
        <w:t>.</w:t>
      </w:r>
      <w:r w:rsidRPr="0070576A">
        <w:rPr>
          <w:rFonts w:ascii="Times" w:hAnsi="Times"/>
        </w:rPr>
        <w:t xml:space="preserve"> 1990</w:t>
      </w:r>
      <w:r>
        <w:rPr>
          <w:rFonts w:ascii="Times" w:hAnsi="Times"/>
        </w:rPr>
        <w:t>.</w:t>
      </w:r>
      <w:r w:rsidRPr="0070576A">
        <w:rPr>
          <w:rFonts w:ascii="Times" w:hAnsi="Times"/>
        </w:rPr>
        <w:t xml:space="preserve"> </w:t>
      </w:r>
      <w:r w:rsidRPr="0070576A">
        <w:rPr>
          <w:rFonts w:ascii="Times" w:hAnsi="Times"/>
          <w:i/>
          <w:iCs/>
        </w:rPr>
        <w:t>Sexual Difference: A Theory of Social-Symbolic Practice</w:t>
      </w:r>
      <w:r w:rsidR="00D34C08">
        <w:rPr>
          <w:rFonts w:ascii="Times" w:hAnsi="Times"/>
          <w:i/>
          <w:iCs/>
        </w:rPr>
        <w:t>.</w:t>
      </w:r>
      <w:r w:rsidRPr="0070576A">
        <w:rPr>
          <w:rFonts w:ascii="Times" w:hAnsi="Times"/>
        </w:rPr>
        <w:t xml:space="preserve"> Trans</w:t>
      </w:r>
      <w:r>
        <w:rPr>
          <w:rFonts w:ascii="Times" w:hAnsi="Times"/>
        </w:rPr>
        <w:t>.</w:t>
      </w:r>
      <w:r w:rsidRPr="0070576A">
        <w:rPr>
          <w:rFonts w:ascii="Times" w:hAnsi="Times"/>
        </w:rPr>
        <w:t xml:space="preserve"> P</w:t>
      </w:r>
      <w:r>
        <w:rPr>
          <w:rFonts w:ascii="Times" w:hAnsi="Times"/>
        </w:rPr>
        <w:t>.</w:t>
      </w:r>
      <w:r w:rsidRPr="0070576A">
        <w:rPr>
          <w:rFonts w:ascii="Times" w:hAnsi="Times"/>
        </w:rPr>
        <w:t xml:space="preserve"> Cicogna and T</w:t>
      </w:r>
      <w:r>
        <w:rPr>
          <w:rFonts w:ascii="Times" w:hAnsi="Times"/>
        </w:rPr>
        <w:t>.</w:t>
      </w:r>
      <w:r w:rsidRPr="0070576A">
        <w:rPr>
          <w:rFonts w:ascii="Times" w:hAnsi="Times"/>
        </w:rPr>
        <w:t xml:space="preserve"> de </w:t>
      </w:r>
      <w:proofErr w:type="spellStart"/>
      <w:r w:rsidRPr="0070576A">
        <w:rPr>
          <w:rFonts w:ascii="Times" w:hAnsi="Times"/>
        </w:rPr>
        <w:t>Lauretis</w:t>
      </w:r>
      <w:proofErr w:type="spellEnd"/>
      <w:r>
        <w:rPr>
          <w:rFonts w:ascii="Times" w:hAnsi="Times"/>
        </w:rPr>
        <w:t>.</w:t>
      </w:r>
      <w:r w:rsidRPr="0070576A">
        <w:rPr>
          <w:rFonts w:ascii="Times" w:hAnsi="Times"/>
        </w:rPr>
        <w:t xml:space="preserve"> Indiana University Press</w:t>
      </w:r>
      <w:r>
        <w:rPr>
          <w:rFonts w:ascii="Times" w:hAnsi="Times"/>
        </w:rPr>
        <w:t>,</w:t>
      </w:r>
      <w:r w:rsidRPr="0070576A">
        <w:rPr>
          <w:rFonts w:ascii="Times" w:hAnsi="Times"/>
        </w:rPr>
        <w:t xml:space="preserve"> Bloomington (first published 1987).</w:t>
      </w:r>
    </w:p>
    <w:p w14:paraId="5FE47F88" w14:textId="77777777" w:rsidR="006201B4" w:rsidRPr="0070576A" w:rsidRDefault="006201B4" w:rsidP="006201B4">
      <w:pPr>
        <w:spacing w:beforeLines="60" w:before="144"/>
        <w:rPr>
          <w:rFonts w:ascii="Times" w:hAnsi="Times"/>
        </w:rPr>
      </w:pPr>
      <w:r w:rsidRPr="0070576A">
        <w:rPr>
          <w:rFonts w:ascii="Times" w:hAnsi="Times"/>
        </w:rPr>
        <w:t>Thornton</w:t>
      </w:r>
      <w:r>
        <w:rPr>
          <w:rFonts w:ascii="Times" w:hAnsi="Times"/>
        </w:rPr>
        <w:t>,</w:t>
      </w:r>
      <w:r w:rsidRPr="0070576A">
        <w:rPr>
          <w:rFonts w:ascii="Times" w:hAnsi="Times"/>
        </w:rPr>
        <w:t xml:space="preserve"> M</w:t>
      </w:r>
      <w:r>
        <w:rPr>
          <w:rFonts w:ascii="Times" w:hAnsi="Times"/>
        </w:rPr>
        <w:t>.</w:t>
      </w:r>
      <w:r w:rsidRPr="0070576A">
        <w:rPr>
          <w:rFonts w:ascii="Times" w:hAnsi="Times"/>
        </w:rPr>
        <w:t xml:space="preserve"> 1986</w:t>
      </w:r>
      <w:r>
        <w:rPr>
          <w:rFonts w:ascii="Times" w:hAnsi="Times"/>
        </w:rPr>
        <w:t>.</w:t>
      </w:r>
      <w:r w:rsidRPr="0070576A">
        <w:rPr>
          <w:rFonts w:ascii="Times" w:hAnsi="Times"/>
        </w:rPr>
        <w:t xml:space="preserve"> ‘Feminist Jurisprudence: Illusion or Reality?’ </w:t>
      </w:r>
      <w:r w:rsidRPr="0070576A">
        <w:rPr>
          <w:rFonts w:ascii="Times" w:hAnsi="Times"/>
          <w:i/>
          <w:iCs/>
        </w:rPr>
        <w:t xml:space="preserve">Australian Journal of Law </w:t>
      </w:r>
      <w:r>
        <w:rPr>
          <w:rFonts w:ascii="Times" w:hAnsi="Times"/>
          <w:i/>
          <w:iCs/>
        </w:rPr>
        <w:t>a</w:t>
      </w:r>
      <w:r w:rsidRPr="0070576A">
        <w:rPr>
          <w:rFonts w:ascii="Times" w:hAnsi="Times"/>
          <w:i/>
          <w:iCs/>
        </w:rPr>
        <w:t>nd Society</w:t>
      </w:r>
      <w:r w:rsidRPr="0070576A">
        <w:rPr>
          <w:rFonts w:ascii="Times" w:hAnsi="Times"/>
        </w:rPr>
        <w:t xml:space="preserve"> 3: 5</w:t>
      </w:r>
      <w:r>
        <w:rPr>
          <w:rFonts w:ascii="Times" w:hAnsi="Times"/>
        </w:rPr>
        <w:t>-</w:t>
      </w:r>
      <w:r w:rsidRPr="0070576A">
        <w:rPr>
          <w:rFonts w:ascii="Times" w:hAnsi="Times"/>
        </w:rPr>
        <w:t>29.</w:t>
      </w:r>
    </w:p>
    <w:p w14:paraId="5BFD76AC" w14:textId="70FAFA6D" w:rsidR="006201B4" w:rsidRPr="0070576A" w:rsidRDefault="006201B4" w:rsidP="006201B4">
      <w:pPr>
        <w:spacing w:beforeLines="60" w:before="144"/>
        <w:rPr>
          <w:rFonts w:ascii="Times" w:hAnsi="Times"/>
          <w:color w:val="000000"/>
        </w:rPr>
      </w:pPr>
      <w:r w:rsidRPr="0070576A">
        <w:rPr>
          <w:rFonts w:ascii="Times" w:hAnsi="Times"/>
          <w:color w:val="000000"/>
        </w:rPr>
        <w:t>Thurman</w:t>
      </w:r>
      <w:r>
        <w:rPr>
          <w:rFonts w:ascii="Times" w:hAnsi="Times"/>
          <w:color w:val="000000"/>
        </w:rPr>
        <w:t>,</w:t>
      </w:r>
      <w:r w:rsidRPr="0070576A">
        <w:rPr>
          <w:rFonts w:ascii="Times" w:hAnsi="Times"/>
          <w:color w:val="000000"/>
        </w:rPr>
        <w:t xml:space="preserve"> J</w:t>
      </w:r>
      <w:r>
        <w:rPr>
          <w:rFonts w:ascii="Times" w:hAnsi="Times"/>
          <w:color w:val="000000"/>
        </w:rPr>
        <w:t>.</w:t>
      </w:r>
      <w:r w:rsidRPr="0070576A">
        <w:rPr>
          <w:rFonts w:ascii="Times" w:hAnsi="Times"/>
          <w:color w:val="000000"/>
        </w:rPr>
        <w:t xml:space="preserve"> 2011</w:t>
      </w:r>
      <w:r>
        <w:rPr>
          <w:rFonts w:ascii="Times" w:hAnsi="Times"/>
          <w:color w:val="000000"/>
        </w:rPr>
        <w:t>.</w:t>
      </w:r>
      <w:r w:rsidRPr="0070576A">
        <w:rPr>
          <w:rFonts w:ascii="Times" w:hAnsi="Times"/>
          <w:color w:val="000000"/>
        </w:rPr>
        <w:t xml:space="preserve"> ‘Introduction’ in Beauvoir </w:t>
      </w:r>
      <w:r w:rsidR="00D34C08">
        <w:rPr>
          <w:rFonts w:ascii="Times" w:hAnsi="Times"/>
          <w:color w:val="000000"/>
        </w:rPr>
        <w:t>(</w:t>
      </w:r>
      <w:r w:rsidRPr="0070576A">
        <w:rPr>
          <w:rFonts w:ascii="Times" w:hAnsi="Times"/>
          <w:color w:val="000000"/>
        </w:rPr>
        <w:t>2011</w:t>
      </w:r>
      <w:r w:rsidR="00D34C08">
        <w:rPr>
          <w:rFonts w:ascii="Times" w:hAnsi="Times"/>
          <w:color w:val="000000"/>
        </w:rPr>
        <w:t>)</w:t>
      </w:r>
      <w:r w:rsidRPr="0070576A">
        <w:rPr>
          <w:rFonts w:ascii="Times" w:hAnsi="Times"/>
          <w:color w:val="000000"/>
        </w:rPr>
        <w:t>: ix</w:t>
      </w:r>
      <w:r w:rsidR="00D34C08">
        <w:rPr>
          <w:rFonts w:ascii="Times" w:hAnsi="Times"/>
          <w:color w:val="000000"/>
        </w:rPr>
        <w:t>-</w:t>
      </w:r>
      <w:r w:rsidRPr="0070576A">
        <w:rPr>
          <w:rFonts w:ascii="Times" w:hAnsi="Times"/>
          <w:color w:val="000000"/>
        </w:rPr>
        <w:t>xvi.</w:t>
      </w:r>
    </w:p>
    <w:sectPr w:rsidR="006201B4" w:rsidRPr="0070576A" w:rsidSect="002160FF">
      <w:headerReference w:type="even" r:id="rId11"/>
      <w:headerReference w:type="default" r:id="rId12"/>
      <w:footerReference w:type="even" r:id="rId13"/>
      <w:footerReference w:type="defaul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424A" w14:textId="77777777" w:rsidR="00415BBC" w:rsidRPr="0070576A" w:rsidRDefault="00415BBC" w:rsidP="00774997">
      <w:r w:rsidRPr="0070576A">
        <w:separator/>
      </w:r>
    </w:p>
  </w:endnote>
  <w:endnote w:type="continuationSeparator" w:id="0">
    <w:p w14:paraId="2C4EA6EA" w14:textId="77777777" w:rsidR="00415BBC" w:rsidRPr="0070576A" w:rsidRDefault="00415BBC" w:rsidP="00774997">
      <w:r w:rsidRPr="00705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3AFE" w14:textId="78FDBB64" w:rsidR="005932E0" w:rsidRDefault="005932E0">
    <w:pPr>
      <w:pStyle w:val="Footer"/>
      <w:jc w:val="center"/>
      <w:rPr>
        <w:sz w:val="22"/>
        <w:szCs w:val="22"/>
      </w:rPr>
    </w:pPr>
    <w:r>
      <w:rPr>
        <w:sz w:val="22"/>
        <w:szCs w:val="22"/>
      </w:rPr>
      <w:t>__________________________________________________________________________________</w:t>
    </w:r>
  </w:p>
  <w:p w14:paraId="1A3151F4" w14:textId="77777777" w:rsidR="005932E0" w:rsidRDefault="005932E0">
    <w:pPr>
      <w:pStyle w:val="Footer"/>
      <w:jc w:val="center"/>
      <w:rPr>
        <w:sz w:val="22"/>
        <w:szCs w:val="22"/>
      </w:rPr>
    </w:pPr>
  </w:p>
  <w:sdt>
    <w:sdtPr>
      <w:rPr>
        <w:sz w:val="22"/>
        <w:szCs w:val="22"/>
      </w:rPr>
      <w:id w:val="-1771778493"/>
      <w:docPartObj>
        <w:docPartGallery w:val="Page Numbers (Bottom of Page)"/>
        <w:docPartUnique/>
      </w:docPartObj>
    </w:sdtPr>
    <w:sdtEndPr>
      <w:rPr>
        <w:noProof/>
      </w:rPr>
    </w:sdtEndPr>
    <w:sdtContent>
      <w:p w14:paraId="0473AB17" w14:textId="49CBE1FB" w:rsidR="005932E0" w:rsidRPr="005932E0" w:rsidRDefault="005932E0">
        <w:pPr>
          <w:pStyle w:val="Footer"/>
          <w:jc w:val="center"/>
          <w:rPr>
            <w:sz w:val="22"/>
            <w:szCs w:val="22"/>
          </w:rPr>
        </w:pPr>
        <w:r w:rsidRPr="005932E0">
          <w:rPr>
            <w:sz w:val="22"/>
            <w:szCs w:val="22"/>
          </w:rPr>
          <w:fldChar w:fldCharType="begin"/>
        </w:r>
        <w:r w:rsidRPr="005932E0">
          <w:rPr>
            <w:sz w:val="22"/>
            <w:szCs w:val="22"/>
          </w:rPr>
          <w:instrText xml:space="preserve"> PAGE   \* MERGEFORMAT </w:instrText>
        </w:r>
        <w:r w:rsidRPr="005932E0">
          <w:rPr>
            <w:sz w:val="22"/>
            <w:szCs w:val="22"/>
          </w:rPr>
          <w:fldChar w:fldCharType="separate"/>
        </w:r>
        <w:r w:rsidRPr="005932E0">
          <w:rPr>
            <w:noProof/>
            <w:sz w:val="22"/>
            <w:szCs w:val="22"/>
          </w:rPr>
          <w:t>2</w:t>
        </w:r>
        <w:r w:rsidRPr="005932E0">
          <w:rPr>
            <w:noProof/>
            <w:sz w:val="22"/>
            <w:szCs w:val="22"/>
          </w:rPr>
          <w:fldChar w:fldCharType="end"/>
        </w:r>
      </w:p>
    </w:sdtContent>
  </w:sdt>
  <w:p w14:paraId="4DD366EA" w14:textId="77777777" w:rsidR="00284ADF" w:rsidRPr="0070576A" w:rsidRDefault="00284ADF" w:rsidP="00284A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7561" w14:textId="19F5CA77" w:rsidR="00A42616" w:rsidRDefault="00A42616">
    <w:pPr>
      <w:pStyle w:val="Footer"/>
      <w:jc w:val="center"/>
    </w:pPr>
    <w:r>
      <w:t>___________________________________________________________________________</w:t>
    </w:r>
  </w:p>
  <w:p w14:paraId="0249DF11" w14:textId="77777777" w:rsidR="00A42616" w:rsidRPr="00A42616" w:rsidRDefault="00A42616">
    <w:pPr>
      <w:pStyle w:val="Footer"/>
      <w:jc w:val="center"/>
      <w:rPr>
        <w:sz w:val="22"/>
        <w:szCs w:val="22"/>
      </w:rPr>
    </w:pPr>
  </w:p>
  <w:sdt>
    <w:sdtPr>
      <w:rPr>
        <w:sz w:val="22"/>
        <w:szCs w:val="22"/>
      </w:rPr>
      <w:id w:val="-1892022787"/>
      <w:docPartObj>
        <w:docPartGallery w:val="Page Numbers (Bottom of Page)"/>
        <w:docPartUnique/>
      </w:docPartObj>
    </w:sdtPr>
    <w:sdtEndPr>
      <w:rPr>
        <w:noProof/>
      </w:rPr>
    </w:sdtEndPr>
    <w:sdtContent>
      <w:p w14:paraId="7C16DB7A" w14:textId="01B29464" w:rsidR="00A42616" w:rsidRPr="00A42616" w:rsidRDefault="00A42616">
        <w:pPr>
          <w:pStyle w:val="Footer"/>
          <w:jc w:val="center"/>
          <w:rPr>
            <w:sz w:val="22"/>
            <w:szCs w:val="22"/>
          </w:rPr>
        </w:pPr>
        <w:r w:rsidRPr="00A42616">
          <w:rPr>
            <w:sz w:val="22"/>
            <w:szCs w:val="22"/>
          </w:rPr>
          <w:fldChar w:fldCharType="begin"/>
        </w:r>
        <w:r w:rsidRPr="00A42616">
          <w:rPr>
            <w:sz w:val="22"/>
            <w:szCs w:val="22"/>
          </w:rPr>
          <w:instrText xml:space="preserve"> PAGE   \* MERGEFORMAT </w:instrText>
        </w:r>
        <w:r w:rsidRPr="00A42616">
          <w:rPr>
            <w:sz w:val="22"/>
            <w:szCs w:val="22"/>
          </w:rPr>
          <w:fldChar w:fldCharType="separate"/>
        </w:r>
        <w:r w:rsidRPr="00A42616">
          <w:rPr>
            <w:noProof/>
            <w:sz w:val="22"/>
            <w:szCs w:val="22"/>
          </w:rPr>
          <w:t>2</w:t>
        </w:r>
        <w:r w:rsidRPr="00A42616">
          <w:rPr>
            <w:noProof/>
            <w:sz w:val="22"/>
            <w:szCs w:val="22"/>
          </w:rPr>
          <w:fldChar w:fldCharType="end"/>
        </w:r>
      </w:p>
    </w:sdtContent>
  </w:sdt>
  <w:p w14:paraId="7088BB8D" w14:textId="77777777" w:rsidR="00284ADF" w:rsidRPr="0070576A" w:rsidRDefault="00284ADF" w:rsidP="00284A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1B08" w14:textId="77777777" w:rsidR="00415BBC" w:rsidRPr="0070576A" w:rsidRDefault="00415BBC" w:rsidP="00774997">
      <w:r w:rsidRPr="0070576A">
        <w:separator/>
      </w:r>
    </w:p>
  </w:footnote>
  <w:footnote w:type="continuationSeparator" w:id="0">
    <w:p w14:paraId="1CB6108F" w14:textId="77777777" w:rsidR="00415BBC" w:rsidRPr="0070576A" w:rsidRDefault="00415BBC" w:rsidP="00774997">
      <w:r w:rsidRPr="0070576A">
        <w:continuationSeparator/>
      </w:r>
    </w:p>
  </w:footnote>
  <w:footnote w:id="1">
    <w:p w14:paraId="32220327" w14:textId="6D6C402A" w:rsidR="00870732" w:rsidRPr="007D63A1" w:rsidRDefault="00870732" w:rsidP="00A2632F">
      <w:pPr>
        <w:spacing w:after="120"/>
        <w:rPr>
          <w:rFonts w:ascii="Times New Roman" w:eastAsia="Times New Roman" w:hAnsi="Times New Roman" w:cs="Times New Roman"/>
          <w:sz w:val="20"/>
          <w:szCs w:val="20"/>
          <w:lang w:eastAsia="en-GB"/>
        </w:rPr>
      </w:pPr>
      <w:r w:rsidRPr="007D63A1">
        <w:rPr>
          <w:rStyle w:val="FootnoteReference"/>
          <w:rFonts w:ascii="Times New Roman" w:hAnsi="Times New Roman" w:cs="Times New Roman"/>
          <w:sz w:val="20"/>
          <w:szCs w:val="20"/>
        </w:rPr>
        <w:sym w:font="Symbol" w:char="F02A"/>
      </w:r>
      <w:r w:rsidRPr="007D63A1">
        <w:rPr>
          <w:rFonts w:ascii="Times New Roman" w:hAnsi="Times New Roman" w:cs="Times New Roman"/>
          <w:sz w:val="20"/>
          <w:szCs w:val="20"/>
        </w:rPr>
        <w:t xml:space="preserve"> </w:t>
      </w:r>
      <w:r w:rsidR="0015607C">
        <w:rPr>
          <w:rFonts w:ascii="Times New Roman" w:hAnsi="Times New Roman" w:cs="Times New Roman"/>
          <w:sz w:val="20"/>
          <w:szCs w:val="20"/>
        </w:rPr>
        <w:t xml:space="preserve">Professor, Melbourne Law School, Melbourne University, Australia. Email </w:t>
      </w:r>
      <w:hyperlink r:id="rId1" w:history="1">
        <w:r w:rsidR="008C4880" w:rsidRPr="00007E39">
          <w:rPr>
            <w:rStyle w:val="Hyperlink"/>
            <w:rFonts w:ascii="Times New Roman" w:hAnsi="Times New Roman" w:cs="Times New Roman"/>
            <w:sz w:val="20"/>
            <w:szCs w:val="20"/>
          </w:rPr>
          <w:t>a.genovese@unimelb.edu.au</w:t>
        </w:r>
      </w:hyperlink>
      <w:r w:rsidR="008C4880">
        <w:rPr>
          <w:rFonts w:ascii="Times New Roman" w:hAnsi="Times New Roman" w:cs="Times New Roman"/>
          <w:sz w:val="20"/>
          <w:szCs w:val="20"/>
        </w:rPr>
        <w:t xml:space="preserve"> </w:t>
      </w:r>
    </w:p>
  </w:footnote>
  <w:footnote w:id="2">
    <w:p w14:paraId="41D9CCD7" w14:textId="46FD6869" w:rsidR="00A24588" w:rsidRPr="0070576A" w:rsidRDefault="00A24588" w:rsidP="00607A82">
      <w:pPr>
        <w:pStyle w:val="FootnoteText"/>
        <w:rPr>
          <w:rFonts w:ascii="Times New Roman" w:hAnsi="Times New Roman" w:cs="Times New Roman"/>
        </w:rPr>
      </w:pPr>
      <w:r w:rsidRPr="0070576A">
        <w:rPr>
          <w:rStyle w:val="FootnoteReference"/>
          <w:rFonts w:ascii="Times New Roman" w:hAnsi="Times New Roman" w:cs="Times New Roman"/>
        </w:rPr>
        <w:footnoteRef/>
      </w:r>
      <w:r w:rsidRPr="0070576A">
        <w:rPr>
          <w:rFonts w:ascii="Times New Roman" w:hAnsi="Times New Roman" w:cs="Times New Roman"/>
        </w:rPr>
        <w:t xml:space="preserve"> There are many early exemplars and contemporaries of Lahey on this point. For two</w:t>
      </w:r>
      <w:r w:rsidR="00D04980">
        <w:rPr>
          <w:rFonts w:ascii="Times New Roman" w:hAnsi="Times New Roman" w:cs="Times New Roman"/>
        </w:rPr>
        <w:t>,</w:t>
      </w:r>
      <w:r w:rsidRPr="0070576A">
        <w:rPr>
          <w:rFonts w:ascii="Times New Roman" w:hAnsi="Times New Roman" w:cs="Times New Roman"/>
        </w:rPr>
        <w:t xml:space="preserve"> see Thornton </w:t>
      </w:r>
      <w:r w:rsidR="00D04980">
        <w:rPr>
          <w:rFonts w:ascii="Times New Roman" w:hAnsi="Times New Roman" w:cs="Times New Roman"/>
        </w:rPr>
        <w:t>(</w:t>
      </w:r>
      <w:r w:rsidRPr="0070576A">
        <w:rPr>
          <w:rFonts w:ascii="Times New Roman" w:hAnsi="Times New Roman" w:cs="Times New Roman"/>
        </w:rPr>
        <w:t>1986</w:t>
      </w:r>
      <w:r w:rsidR="00D04980">
        <w:rPr>
          <w:rFonts w:ascii="Times New Roman" w:hAnsi="Times New Roman" w:cs="Times New Roman"/>
        </w:rPr>
        <w:t>)</w:t>
      </w:r>
      <w:r w:rsidRPr="0070576A">
        <w:rPr>
          <w:rFonts w:ascii="Times New Roman" w:hAnsi="Times New Roman" w:cs="Times New Roman"/>
        </w:rPr>
        <w:t xml:space="preserve"> and O’Donovan </w:t>
      </w:r>
      <w:r w:rsidR="00D04980">
        <w:rPr>
          <w:rFonts w:ascii="Times New Roman" w:hAnsi="Times New Roman" w:cs="Times New Roman"/>
        </w:rPr>
        <w:t>(</w:t>
      </w:r>
      <w:r w:rsidRPr="0070576A">
        <w:rPr>
          <w:rFonts w:ascii="Times New Roman" w:hAnsi="Times New Roman" w:cs="Times New Roman"/>
        </w:rPr>
        <w:t>1985</w:t>
      </w:r>
      <w:r w:rsidR="00D04980">
        <w:rPr>
          <w:rFonts w:ascii="Times New Roman" w:hAnsi="Times New Roman" w:cs="Times New Roman"/>
        </w:rPr>
        <w:t>).</w:t>
      </w:r>
    </w:p>
  </w:footnote>
  <w:footnote w:id="3">
    <w:p w14:paraId="5B941943" w14:textId="4F4798AA" w:rsidR="00A24588" w:rsidRPr="0070576A" w:rsidRDefault="00A24588" w:rsidP="00607A82">
      <w:pPr>
        <w:rPr>
          <w:rFonts w:ascii="Times New Roman" w:hAnsi="Times New Roman" w:cs="Times New Roman"/>
          <w:sz w:val="20"/>
          <w:szCs w:val="20"/>
        </w:rPr>
      </w:pPr>
      <w:r w:rsidRPr="0070576A">
        <w:rPr>
          <w:rStyle w:val="FootnoteReference"/>
          <w:rFonts w:ascii="Times New Roman" w:hAnsi="Times New Roman" w:cs="Times New Roman"/>
          <w:sz w:val="20"/>
          <w:szCs w:val="20"/>
        </w:rPr>
        <w:footnoteRef/>
      </w:r>
      <w:r w:rsidRPr="0070576A">
        <w:rPr>
          <w:rFonts w:ascii="Times New Roman" w:hAnsi="Times New Roman" w:cs="Times New Roman"/>
          <w:sz w:val="20"/>
          <w:szCs w:val="20"/>
        </w:rPr>
        <w:t xml:space="preserve"> </w:t>
      </w:r>
      <w:r w:rsidRPr="0070576A">
        <w:rPr>
          <w:rFonts w:ascii="Times New Roman" w:hAnsi="Times New Roman" w:cs="Times New Roman"/>
          <w:color w:val="000000"/>
          <w:sz w:val="20"/>
          <w:szCs w:val="20"/>
        </w:rPr>
        <w:t>The cultivation of intellectual personae through writing is not, obviously, confined to feminists, especially in the late 1960s and early 1970s, and in the book version of this chapter I include examples of books of the time written by men holding juristic office too</w:t>
      </w:r>
      <w:r w:rsidR="00FD0BFD">
        <w:rPr>
          <w:rFonts w:ascii="Times New Roman" w:hAnsi="Times New Roman" w:cs="Times New Roman"/>
          <w:color w:val="000000"/>
          <w:sz w:val="20"/>
          <w:szCs w:val="20"/>
        </w:rPr>
        <w:t xml:space="preserve"> (</w:t>
      </w:r>
      <w:r w:rsidRPr="0070576A">
        <w:rPr>
          <w:rFonts w:ascii="Times New Roman" w:hAnsi="Times New Roman" w:cs="Times New Roman"/>
          <w:color w:val="000000"/>
          <w:sz w:val="20"/>
          <w:szCs w:val="20"/>
        </w:rPr>
        <w:t>Genovese 2022</w:t>
      </w:r>
      <w:r w:rsidR="00FD0BFD">
        <w:rPr>
          <w:rFonts w:ascii="Times New Roman" w:hAnsi="Times New Roman" w:cs="Times New Roman"/>
          <w:color w:val="000000"/>
          <w:sz w:val="20"/>
          <w:szCs w:val="20"/>
        </w:rPr>
        <w:t>:</w:t>
      </w:r>
      <w:r w:rsidRPr="0070576A">
        <w:rPr>
          <w:rFonts w:ascii="Times New Roman" w:hAnsi="Times New Roman" w:cs="Times New Roman"/>
          <w:color w:val="000000"/>
          <w:sz w:val="20"/>
          <w:szCs w:val="20"/>
        </w:rPr>
        <w:t xml:space="preserve"> 81-86</w:t>
      </w:r>
      <w:r w:rsidR="00FD0BFD">
        <w:rPr>
          <w:rFonts w:ascii="Times New Roman" w:hAnsi="Times New Roman" w:cs="Times New Roman"/>
          <w:color w:val="000000"/>
          <w:sz w:val="20"/>
          <w:szCs w:val="20"/>
        </w:rPr>
        <w:t>)</w:t>
      </w:r>
      <w:r w:rsidRPr="0070576A">
        <w:rPr>
          <w:rFonts w:ascii="Times New Roman" w:hAnsi="Times New Roman" w:cs="Times New Roman"/>
          <w:color w:val="000000"/>
          <w:sz w:val="20"/>
          <w:szCs w:val="20"/>
        </w:rPr>
        <w:t xml:space="preserve">. The activity of dialogic reading between orthodox jurisprudential texts and feminist texts is important to the argument I stage in </w:t>
      </w:r>
      <w:r w:rsidRPr="0070576A">
        <w:rPr>
          <w:rFonts w:ascii="Times New Roman" w:hAnsi="Times New Roman" w:cs="Times New Roman"/>
          <w:i/>
          <w:iCs/>
          <w:color w:val="000000"/>
          <w:sz w:val="20"/>
          <w:szCs w:val="20"/>
        </w:rPr>
        <w:t xml:space="preserve">Feminist Jurisography </w:t>
      </w:r>
      <w:r w:rsidRPr="0070576A">
        <w:rPr>
          <w:rFonts w:ascii="Times New Roman" w:hAnsi="Times New Roman" w:cs="Times New Roman"/>
          <w:color w:val="000000"/>
          <w:sz w:val="20"/>
          <w:szCs w:val="20"/>
        </w:rPr>
        <w:t>as a book length argument</w:t>
      </w:r>
      <w:r w:rsidR="00FD0BFD">
        <w:rPr>
          <w:rFonts w:ascii="Times New Roman" w:hAnsi="Times New Roman" w:cs="Times New Roman"/>
          <w:color w:val="000000"/>
          <w:sz w:val="20"/>
          <w:szCs w:val="20"/>
        </w:rPr>
        <w:t xml:space="preserve"> (</w:t>
      </w:r>
      <w:r w:rsidRPr="0070576A">
        <w:rPr>
          <w:rFonts w:ascii="Times New Roman" w:hAnsi="Times New Roman" w:cs="Times New Roman"/>
          <w:color w:val="000000"/>
          <w:sz w:val="20"/>
          <w:szCs w:val="20"/>
        </w:rPr>
        <w:t>Genovese 2022: 18-21). For this version however, I have left discussion of some of the contemporaneous attitudes of legal scholars seeking out empirical and cross disciplinary methods to the side, to concentrate on feminist books, and how I inherit them.</w:t>
      </w:r>
    </w:p>
  </w:footnote>
  <w:footnote w:id="4">
    <w:p w14:paraId="722D43E4" w14:textId="04E658F1" w:rsidR="00A24588" w:rsidRPr="0070576A" w:rsidRDefault="00A24588" w:rsidP="006D6240">
      <w:pPr>
        <w:pStyle w:val="FootnoteText"/>
        <w:rPr>
          <w:rFonts w:ascii="Times New Roman" w:hAnsi="Times New Roman" w:cs="Times New Roman"/>
        </w:rPr>
      </w:pPr>
      <w:r w:rsidRPr="0070576A">
        <w:rPr>
          <w:rStyle w:val="FootnoteReference"/>
          <w:rFonts w:ascii="Times New Roman" w:hAnsi="Times New Roman" w:cs="Times New Roman"/>
        </w:rPr>
        <w:footnoteRef/>
      </w:r>
      <w:r w:rsidRPr="0070576A">
        <w:rPr>
          <w:rFonts w:ascii="Times New Roman" w:hAnsi="Times New Roman" w:cs="Times New Roman"/>
        </w:rPr>
        <w:t xml:space="preserve"> This formulation is borrowed from the original Italian, in a 1976 leaflet called ‘Il tempo, </w:t>
      </w:r>
      <w:proofErr w:type="spellStart"/>
      <w:r w:rsidRPr="0070576A">
        <w:rPr>
          <w:rFonts w:ascii="Times New Roman" w:hAnsi="Times New Roman" w:cs="Times New Roman"/>
        </w:rPr>
        <w:t>i</w:t>
      </w:r>
      <w:proofErr w:type="spellEnd"/>
      <w:r w:rsidRPr="0070576A">
        <w:rPr>
          <w:rFonts w:ascii="Times New Roman" w:hAnsi="Times New Roman" w:cs="Times New Roman"/>
        </w:rPr>
        <w:t xml:space="preserve"> </w:t>
      </w:r>
      <w:proofErr w:type="spellStart"/>
      <w:r w:rsidRPr="0070576A">
        <w:rPr>
          <w:rFonts w:ascii="Times New Roman" w:hAnsi="Times New Roman" w:cs="Times New Roman"/>
        </w:rPr>
        <w:t>mezzi</w:t>
      </w:r>
      <w:proofErr w:type="spellEnd"/>
      <w:r w:rsidRPr="0070576A">
        <w:rPr>
          <w:rFonts w:ascii="Times New Roman" w:hAnsi="Times New Roman" w:cs="Times New Roman"/>
        </w:rPr>
        <w:t xml:space="preserve"> e </w:t>
      </w:r>
      <w:proofErr w:type="spellStart"/>
      <w:r w:rsidRPr="0070576A">
        <w:rPr>
          <w:rFonts w:ascii="Times New Roman" w:hAnsi="Times New Roman" w:cs="Times New Roman"/>
        </w:rPr>
        <w:t>i</w:t>
      </w:r>
      <w:proofErr w:type="spellEnd"/>
      <w:r w:rsidRPr="0070576A">
        <w:rPr>
          <w:rFonts w:ascii="Times New Roman" w:hAnsi="Times New Roman" w:cs="Times New Roman"/>
        </w:rPr>
        <w:t xml:space="preserve"> </w:t>
      </w:r>
      <w:proofErr w:type="spellStart"/>
      <w:r w:rsidRPr="0070576A">
        <w:rPr>
          <w:rFonts w:ascii="Times New Roman" w:hAnsi="Times New Roman" w:cs="Times New Roman"/>
        </w:rPr>
        <w:t>luoghi</w:t>
      </w:r>
      <w:proofErr w:type="spellEnd"/>
      <w:r w:rsidRPr="0070576A">
        <w:rPr>
          <w:rFonts w:ascii="Times New Roman" w:hAnsi="Times New Roman" w:cs="Times New Roman"/>
        </w:rPr>
        <w:t xml:space="preserve">’, recorded by The Milan Women’s Bookstore Collective </w:t>
      </w:r>
      <w:r w:rsidR="00E90A51">
        <w:rPr>
          <w:rFonts w:ascii="Times New Roman" w:hAnsi="Times New Roman" w:cs="Times New Roman"/>
        </w:rPr>
        <w:t>(</w:t>
      </w:r>
      <w:r w:rsidRPr="0070576A">
        <w:rPr>
          <w:rFonts w:ascii="Times New Roman" w:hAnsi="Times New Roman" w:cs="Times New Roman"/>
        </w:rPr>
        <w:t>1990: 83</w:t>
      </w:r>
      <w:r w:rsidR="00E90A51">
        <w:rPr>
          <w:rFonts w:ascii="Times New Roman" w:hAnsi="Times New Roman" w:cs="Times New Roman"/>
        </w:rPr>
        <w:t>)</w:t>
      </w:r>
      <w:r w:rsidRPr="0070576A">
        <w:rPr>
          <w:rFonts w:ascii="Times New Roman" w:hAnsi="Times New Roman" w:cs="Times New Roman"/>
        </w:rPr>
        <w:t>.</w:t>
      </w:r>
    </w:p>
  </w:footnote>
  <w:footnote w:id="5">
    <w:p w14:paraId="42A0F4B5" w14:textId="2D2AADFD" w:rsidR="00A24588" w:rsidRPr="0070576A" w:rsidRDefault="00A24588" w:rsidP="006D6240">
      <w:pPr>
        <w:pStyle w:val="FootnoteText"/>
        <w:rPr>
          <w:rFonts w:ascii="Times New Roman" w:hAnsi="Times New Roman" w:cs="Times New Roman"/>
        </w:rPr>
      </w:pPr>
      <w:r w:rsidRPr="0070576A">
        <w:rPr>
          <w:rStyle w:val="FootnoteReference"/>
          <w:rFonts w:ascii="Times New Roman" w:hAnsi="Times New Roman" w:cs="Times New Roman"/>
        </w:rPr>
        <w:footnoteRef/>
      </w:r>
      <w:r w:rsidRPr="0070576A">
        <w:rPr>
          <w:rFonts w:ascii="Times New Roman" w:hAnsi="Times New Roman" w:cs="Times New Roman"/>
        </w:rPr>
        <w:t xml:space="preserve"> For another account of The Milan Women’s Bookstore Collective and their practices see Martinis Roe </w:t>
      </w:r>
      <w:r w:rsidR="00555BEB">
        <w:rPr>
          <w:rFonts w:ascii="Times New Roman" w:hAnsi="Times New Roman" w:cs="Times New Roman"/>
        </w:rPr>
        <w:t>(</w:t>
      </w:r>
      <w:r w:rsidRPr="0070576A">
        <w:rPr>
          <w:rFonts w:ascii="Times New Roman" w:hAnsi="Times New Roman" w:cs="Times New Roman"/>
        </w:rPr>
        <w:t>2018</w:t>
      </w:r>
      <w:r w:rsidR="00555BEB">
        <w:rPr>
          <w:rFonts w:ascii="Times New Roman" w:hAnsi="Times New Roman" w:cs="Times New Roman"/>
        </w:rPr>
        <w:t>)</w:t>
      </w:r>
      <w:r w:rsidRPr="0070576A">
        <w:rPr>
          <w:rFonts w:ascii="Times New Roman" w:hAnsi="Times New Roman" w:cs="Times New Roman"/>
        </w:rPr>
        <w:t xml:space="preserve">. I return to these texts and ideas in Genovese </w:t>
      </w:r>
      <w:r w:rsidR="00423641">
        <w:rPr>
          <w:rFonts w:ascii="Times New Roman" w:hAnsi="Times New Roman" w:cs="Times New Roman"/>
        </w:rPr>
        <w:t>(</w:t>
      </w:r>
      <w:r w:rsidRPr="0070576A">
        <w:rPr>
          <w:rFonts w:ascii="Times New Roman" w:hAnsi="Times New Roman" w:cs="Times New Roman"/>
        </w:rPr>
        <w:t>2022</w:t>
      </w:r>
      <w:r w:rsidR="00555BEB">
        <w:rPr>
          <w:rFonts w:ascii="Times New Roman" w:hAnsi="Times New Roman" w:cs="Times New Roman"/>
        </w:rPr>
        <w:t>: 122-138</w:t>
      </w:r>
      <w:r w:rsidR="00423641">
        <w:rPr>
          <w:rFonts w:ascii="Times New Roman" w:hAnsi="Times New Roman" w:cs="Times New Roman"/>
        </w:rPr>
        <w:t>)</w:t>
      </w:r>
      <w:r w:rsidRPr="0070576A">
        <w:rPr>
          <w:rFonts w:ascii="Times New Roman" w:hAnsi="Times New Roman" w:cs="Times New Roman"/>
        </w:rPr>
        <w:t>.</w:t>
      </w:r>
    </w:p>
  </w:footnote>
  <w:footnote w:id="6">
    <w:p w14:paraId="3D97413D" w14:textId="52DC92EA" w:rsidR="00A24588" w:rsidRPr="0070576A" w:rsidRDefault="00A24588" w:rsidP="006D6240">
      <w:pPr>
        <w:pStyle w:val="FootnoteText"/>
        <w:rPr>
          <w:rFonts w:ascii="Times New Roman" w:hAnsi="Times New Roman" w:cs="Times New Roman"/>
        </w:rPr>
      </w:pPr>
      <w:r w:rsidRPr="0070576A">
        <w:rPr>
          <w:rStyle w:val="FootnoteReference"/>
          <w:rFonts w:ascii="Times New Roman" w:hAnsi="Times New Roman" w:cs="Times New Roman"/>
        </w:rPr>
        <w:footnoteRef/>
      </w:r>
      <w:r w:rsidRPr="0070576A">
        <w:rPr>
          <w:rFonts w:ascii="Times New Roman" w:hAnsi="Times New Roman" w:cs="Times New Roman"/>
        </w:rPr>
        <w:t xml:space="preserve"> Alongside earlier references in this essay to experiences in France and Italy, see for examples from the UK and US: Delap </w:t>
      </w:r>
      <w:r w:rsidR="00C5177B">
        <w:rPr>
          <w:rFonts w:ascii="Times New Roman" w:hAnsi="Times New Roman" w:cs="Times New Roman"/>
        </w:rPr>
        <w:t>(</w:t>
      </w:r>
      <w:r w:rsidRPr="0070576A">
        <w:rPr>
          <w:rFonts w:ascii="Times New Roman" w:hAnsi="Times New Roman" w:cs="Times New Roman"/>
        </w:rPr>
        <w:t>2016</w:t>
      </w:r>
      <w:r w:rsidR="00C5177B">
        <w:rPr>
          <w:rFonts w:ascii="Times New Roman" w:hAnsi="Times New Roman" w:cs="Times New Roman"/>
        </w:rPr>
        <w:t>)</w:t>
      </w:r>
      <w:r w:rsidRPr="0070576A">
        <w:rPr>
          <w:rFonts w:ascii="Times New Roman" w:hAnsi="Times New Roman" w:cs="Times New Roman"/>
        </w:rPr>
        <w:t xml:space="preserve">; Spain </w:t>
      </w:r>
      <w:r w:rsidR="00C5177B">
        <w:rPr>
          <w:rFonts w:ascii="Times New Roman" w:hAnsi="Times New Roman" w:cs="Times New Roman"/>
        </w:rPr>
        <w:t>(</w:t>
      </w:r>
      <w:r w:rsidRPr="0070576A">
        <w:rPr>
          <w:rFonts w:ascii="Times New Roman" w:hAnsi="Times New Roman" w:cs="Times New Roman"/>
        </w:rPr>
        <w:t>2016</w:t>
      </w:r>
      <w:r w:rsidR="00C5177B">
        <w:rPr>
          <w:rFonts w:ascii="Times New Roman" w:hAnsi="Times New Roman" w:cs="Times New Roman"/>
        </w:rPr>
        <w:t>)</w:t>
      </w:r>
      <w:r w:rsidRPr="0070576A">
        <w:rPr>
          <w:rFonts w:ascii="Times New Roman" w:hAnsi="Times New Roman" w:cs="Times New Roman"/>
        </w:rPr>
        <w:t>.</w:t>
      </w:r>
    </w:p>
  </w:footnote>
  <w:footnote w:id="7">
    <w:p w14:paraId="6EAE893D" w14:textId="6C1F07F4" w:rsidR="00A24588" w:rsidRPr="0070576A" w:rsidRDefault="00A24588" w:rsidP="006D6240">
      <w:pPr>
        <w:pStyle w:val="FootnoteText"/>
        <w:rPr>
          <w:rFonts w:ascii="Times New Roman" w:hAnsi="Times New Roman" w:cs="Times New Roman"/>
        </w:rPr>
      </w:pPr>
      <w:r w:rsidRPr="0070576A">
        <w:rPr>
          <w:rStyle w:val="FootnoteReference"/>
          <w:rFonts w:ascii="Times New Roman" w:hAnsi="Times New Roman" w:cs="Times New Roman"/>
        </w:rPr>
        <w:footnoteRef/>
      </w:r>
      <w:r w:rsidRPr="0070576A">
        <w:rPr>
          <w:rFonts w:ascii="Times New Roman" w:hAnsi="Times New Roman" w:cs="Times New Roman"/>
        </w:rPr>
        <w:t xml:space="preserve"> For a discussion of these spaces in Australia more broadly see Magarey </w:t>
      </w:r>
      <w:r w:rsidR="00C5177B">
        <w:rPr>
          <w:rFonts w:ascii="Times New Roman" w:hAnsi="Times New Roman" w:cs="Times New Roman"/>
        </w:rPr>
        <w:t>(</w:t>
      </w:r>
      <w:r w:rsidRPr="0070576A">
        <w:rPr>
          <w:rFonts w:ascii="Times New Roman" w:hAnsi="Times New Roman" w:cs="Times New Roman"/>
        </w:rPr>
        <w:t>2014a: 57</w:t>
      </w:r>
      <w:r w:rsidR="00C5177B">
        <w:rPr>
          <w:rFonts w:ascii="Times New Roman" w:hAnsi="Times New Roman" w:cs="Times New Roman"/>
        </w:rPr>
        <w:t>-</w:t>
      </w:r>
      <w:r w:rsidRPr="0070576A">
        <w:rPr>
          <w:rFonts w:ascii="Times New Roman" w:hAnsi="Times New Roman" w:cs="Times New Roman"/>
        </w:rPr>
        <w:t>72</w:t>
      </w:r>
      <w:r w:rsidR="00C5177B">
        <w:rPr>
          <w:rFonts w:ascii="Times New Roman" w:hAnsi="Times New Roman" w:cs="Times New Roman"/>
        </w:rPr>
        <w:t>)</w:t>
      </w:r>
      <w:r w:rsidRPr="0070576A">
        <w:rPr>
          <w:rFonts w:ascii="Times New Roman" w:hAnsi="Times New Roman" w:cs="Times New Roman"/>
        </w:rPr>
        <w:t>.</w:t>
      </w:r>
    </w:p>
  </w:footnote>
  <w:footnote w:id="8">
    <w:p w14:paraId="216DEA77" w14:textId="2477D4EE" w:rsidR="00A24588" w:rsidRPr="0070576A" w:rsidRDefault="00A24588" w:rsidP="006D6240">
      <w:pPr>
        <w:rPr>
          <w:rFonts w:ascii="Times New Roman" w:hAnsi="Times New Roman" w:cs="Times New Roman"/>
          <w:sz w:val="20"/>
          <w:szCs w:val="20"/>
        </w:rPr>
      </w:pPr>
      <w:r w:rsidRPr="0070576A">
        <w:rPr>
          <w:rStyle w:val="FootnoteReference"/>
          <w:rFonts w:ascii="Times New Roman" w:hAnsi="Times New Roman" w:cs="Times New Roman"/>
          <w:sz w:val="20"/>
          <w:szCs w:val="20"/>
        </w:rPr>
        <w:footnoteRef/>
      </w:r>
      <w:r w:rsidRPr="0070576A">
        <w:rPr>
          <w:rFonts w:ascii="Times New Roman" w:hAnsi="Times New Roman" w:cs="Times New Roman"/>
          <w:sz w:val="20"/>
          <w:szCs w:val="20"/>
        </w:rPr>
        <w:t xml:space="preserve"> For historiographical analysis of these texts, and those that slightly preceded</w:t>
      </w:r>
      <w:r w:rsidR="000A790B">
        <w:rPr>
          <w:rFonts w:ascii="Times New Roman" w:hAnsi="Times New Roman" w:cs="Times New Roman"/>
          <w:sz w:val="20"/>
          <w:szCs w:val="20"/>
        </w:rPr>
        <w:t xml:space="preserve"> them</w:t>
      </w:r>
      <w:r w:rsidRPr="0070576A">
        <w:rPr>
          <w:rFonts w:ascii="Times New Roman" w:hAnsi="Times New Roman" w:cs="Times New Roman"/>
          <w:sz w:val="20"/>
          <w:szCs w:val="20"/>
        </w:rPr>
        <w:t xml:space="preserve">, see Curthoys </w:t>
      </w:r>
      <w:r w:rsidR="000A790B">
        <w:rPr>
          <w:rFonts w:ascii="Times New Roman" w:hAnsi="Times New Roman" w:cs="Times New Roman"/>
          <w:sz w:val="20"/>
          <w:szCs w:val="20"/>
        </w:rPr>
        <w:t>(</w:t>
      </w:r>
      <w:r w:rsidRPr="0070576A">
        <w:rPr>
          <w:rFonts w:ascii="Times New Roman" w:hAnsi="Times New Roman" w:cs="Times New Roman"/>
          <w:sz w:val="20"/>
          <w:szCs w:val="20"/>
        </w:rPr>
        <w:t>1996</w:t>
      </w:r>
      <w:r w:rsidR="000A790B">
        <w:rPr>
          <w:rFonts w:ascii="Times New Roman" w:hAnsi="Times New Roman" w:cs="Times New Roman"/>
          <w:sz w:val="20"/>
          <w:szCs w:val="20"/>
        </w:rPr>
        <w:t>)</w:t>
      </w:r>
      <w:r w:rsidRPr="0070576A">
        <w:rPr>
          <w:rFonts w:ascii="Times New Roman" w:hAnsi="Times New Roman" w:cs="Times New Roman"/>
          <w:sz w:val="20"/>
          <w:szCs w:val="20"/>
        </w:rPr>
        <w:t>.</w:t>
      </w:r>
    </w:p>
  </w:footnote>
  <w:footnote w:id="9">
    <w:p w14:paraId="5D2570A8" w14:textId="4960494B" w:rsidR="00A24588" w:rsidRPr="0070576A" w:rsidRDefault="00A24588" w:rsidP="006D6240">
      <w:pPr>
        <w:rPr>
          <w:rFonts w:ascii="Times New Roman" w:hAnsi="Times New Roman" w:cs="Times New Roman"/>
          <w:sz w:val="20"/>
          <w:szCs w:val="20"/>
        </w:rPr>
      </w:pPr>
      <w:r w:rsidRPr="0070576A">
        <w:rPr>
          <w:rStyle w:val="FootnoteReference"/>
          <w:rFonts w:ascii="Times New Roman" w:hAnsi="Times New Roman" w:cs="Times New Roman"/>
          <w:sz w:val="20"/>
          <w:szCs w:val="20"/>
        </w:rPr>
        <w:footnoteRef/>
      </w:r>
      <w:r w:rsidRPr="0070576A">
        <w:rPr>
          <w:rFonts w:ascii="Times New Roman" w:hAnsi="Times New Roman" w:cs="Times New Roman"/>
          <w:sz w:val="20"/>
          <w:szCs w:val="20"/>
        </w:rPr>
        <w:t xml:space="preserve"> The ‘long gestation’ includes the publication of Mitchell’s essay ‘Women: The Longest Revolution’ in </w:t>
      </w:r>
      <w:r w:rsidRPr="0070576A">
        <w:rPr>
          <w:rFonts w:ascii="Times New Roman" w:hAnsi="Times New Roman" w:cs="Times New Roman"/>
          <w:i/>
          <w:iCs/>
          <w:sz w:val="20"/>
          <w:szCs w:val="20"/>
        </w:rPr>
        <w:t>The New Left Review</w:t>
      </w:r>
      <w:r w:rsidRPr="0070576A">
        <w:rPr>
          <w:rFonts w:ascii="Times New Roman" w:hAnsi="Times New Roman" w:cs="Times New Roman"/>
          <w:sz w:val="20"/>
          <w:szCs w:val="20"/>
        </w:rPr>
        <w:t xml:space="preserve"> in 1966, which was incorporated into </w:t>
      </w:r>
      <w:r w:rsidRPr="0070576A">
        <w:rPr>
          <w:rFonts w:ascii="Times New Roman" w:hAnsi="Times New Roman" w:cs="Times New Roman"/>
          <w:i/>
          <w:iCs/>
          <w:sz w:val="20"/>
          <w:szCs w:val="20"/>
        </w:rPr>
        <w:t>Woman’s Estate</w:t>
      </w:r>
      <w:r w:rsidRPr="0070576A">
        <w:rPr>
          <w:rFonts w:ascii="Times New Roman" w:hAnsi="Times New Roman" w:cs="Times New Roman"/>
          <w:sz w:val="20"/>
          <w:szCs w:val="20"/>
        </w:rPr>
        <w:t xml:space="preserve"> in 1971</w:t>
      </w:r>
      <w:r w:rsidR="00516507">
        <w:rPr>
          <w:rFonts w:ascii="Times New Roman" w:hAnsi="Times New Roman" w:cs="Times New Roman"/>
          <w:sz w:val="20"/>
          <w:szCs w:val="20"/>
        </w:rPr>
        <w:t xml:space="preserve"> (</w:t>
      </w:r>
      <w:r w:rsidRPr="0070576A">
        <w:rPr>
          <w:rFonts w:ascii="Times New Roman" w:hAnsi="Times New Roman" w:cs="Times New Roman"/>
          <w:sz w:val="20"/>
          <w:szCs w:val="20"/>
        </w:rPr>
        <w:t>Shin 2015</w:t>
      </w:r>
      <w:r w:rsidR="00516507">
        <w:rPr>
          <w:rFonts w:ascii="Times New Roman" w:hAnsi="Times New Roman" w:cs="Times New Roman"/>
          <w:sz w:val="20"/>
          <w:szCs w:val="20"/>
        </w:rPr>
        <w:t>)</w:t>
      </w:r>
      <w:r w:rsidRPr="0070576A">
        <w:rPr>
          <w:rFonts w:ascii="Times New Roman" w:hAnsi="Times New Roman" w:cs="Times New Roman"/>
          <w:sz w:val="20"/>
          <w:szCs w:val="20"/>
        </w:rPr>
        <w:t>.</w:t>
      </w:r>
    </w:p>
  </w:footnote>
  <w:footnote w:id="10">
    <w:p w14:paraId="61E1DE38" w14:textId="7EE7F7F5" w:rsidR="00A24588" w:rsidRPr="0070576A" w:rsidRDefault="00A24588" w:rsidP="006D6240">
      <w:pPr>
        <w:pStyle w:val="FootnoteText"/>
        <w:rPr>
          <w:rFonts w:ascii="Times New Roman" w:hAnsi="Times New Roman" w:cs="Times New Roman"/>
        </w:rPr>
      </w:pPr>
      <w:r w:rsidRPr="0070576A">
        <w:rPr>
          <w:rStyle w:val="FootnoteReference"/>
          <w:rFonts w:ascii="Times New Roman" w:hAnsi="Times New Roman" w:cs="Times New Roman"/>
        </w:rPr>
        <w:footnoteRef/>
      </w:r>
      <w:r w:rsidRPr="0070576A">
        <w:rPr>
          <w:rFonts w:ascii="Times New Roman" w:hAnsi="Times New Roman" w:cs="Times New Roman"/>
        </w:rPr>
        <w:t xml:space="preserve"> See Genovese </w:t>
      </w:r>
      <w:r w:rsidR="00AE7823">
        <w:rPr>
          <w:rFonts w:ascii="Times New Roman" w:hAnsi="Times New Roman" w:cs="Times New Roman"/>
        </w:rPr>
        <w:t>(</w:t>
      </w:r>
      <w:r w:rsidRPr="0070576A">
        <w:rPr>
          <w:rFonts w:ascii="Times New Roman" w:hAnsi="Times New Roman" w:cs="Times New Roman"/>
        </w:rPr>
        <w:t>2022: 10-12</w:t>
      </w:r>
      <w:r w:rsidR="00AE7823">
        <w:rPr>
          <w:rFonts w:ascii="Times New Roman" w:hAnsi="Times New Roman" w:cs="Times New Roman"/>
        </w:rPr>
        <w:t>)</w:t>
      </w:r>
      <w:r w:rsidRPr="0070576A">
        <w:rPr>
          <w:rFonts w:ascii="Times New Roman" w:hAnsi="Times New Roman" w:cs="Times New Roman"/>
        </w:rPr>
        <w:t xml:space="preserve"> for an explanation of this argument in </w:t>
      </w:r>
      <w:r w:rsidRPr="0070576A">
        <w:rPr>
          <w:rFonts w:ascii="Times New Roman" w:hAnsi="Times New Roman" w:cs="Times New Roman"/>
          <w:i/>
          <w:iCs/>
        </w:rPr>
        <w:t>The Second Sex.</w:t>
      </w:r>
      <w:r w:rsidRPr="0070576A">
        <w:rPr>
          <w:rFonts w:ascii="Times New Roman" w:hAnsi="Times New Roman" w:cs="Times New Roman"/>
        </w:rPr>
        <w:t xml:space="preserve"> </w:t>
      </w:r>
    </w:p>
  </w:footnote>
  <w:footnote w:id="11">
    <w:p w14:paraId="5639F50F" w14:textId="7D600B7E" w:rsidR="00A24588" w:rsidRPr="0070576A" w:rsidRDefault="00A24588" w:rsidP="006D6240">
      <w:pPr>
        <w:pStyle w:val="FootnoteText"/>
        <w:rPr>
          <w:rFonts w:ascii="Times New Roman" w:hAnsi="Times New Roman" w:cs="Times New Roman"/>
        </w:rPr>
      </w:pPr>
      <w:r w:rsidRPr="0070576A">
        <w:rPr>
          <w:rStyle w:val="FootnoteReference"/>
          <w:rFonts w:ascii="Times New Roman" w:hAnsi="Times New Roman" w:cs="Times New Roman"/>
        </w:rPr>
        <w:footnoteRef/>
      </w:r>
      <w:r w:rsidRPr="0070576A">
        <w:rPr>
          <w:rFonts w:ascii="Times New Roman" w:hAnsi="Times New Roman" w:cs="Times New Roman"/>
        </w:rPr>
        <w:t xml:space="preserve"> ‘</w:t>
      </w:r>
      <w:r w:rsidRPr="0070576A">
        <w:rPr>
          <w:rFonts w:ascii="Times New Roman" w:hAnsi="Times New Roman" w:cs="Times New Roman"/>
          <w:bCs/>
        </w:rPr>
        <w:t>Woman’s Estate’ is also taken from a poem by the English Romantic poet William Blake, quoted on the title page of Mitchell’s book, and can be argued to carry double meaning. For Blake’s ambiguous attitude toward women in his own work</w:t>
      </w:r>
      <w:r w:rsidRPr="0070576A">
        <w:rPr>
          <w:rFonts w:ascii="Times New Roman" w:hAnsi="Times New Roman" w:cs="Times New Roman"/>
        </w:rPr>
        <w:t xml:space="preserve"> see Fox </w:t>
      </w:r>
      <w:r w:rsidR="009A19A4">
        <w:rPr>
          <w:rFonts w:ascii="Times New Roman" w:hAnsi="Times New Roman" w:cs="Times New Roman"/>
        </w:rPr>
        <w:t>(</w:t>
      </w:r>
      <w:r w:rsidRPr="0070576A">
        <w:rPr>
          <w:rFonts w:ascii="Times New Roman" w:hAnsi="Times New Roman" w:cs="Times New Roman"/>
        </w:rPr>
        <w:t>1977</w:t>
      </w:r>
      <w:r w:rsidR="009A19A4">
        <w:rPr>
          <w:rFonts w:ascii="Times New Roman" w:hAnsi="Times New Roman" w:cs="Times New Roman"/>
        </w:rPr>
        <w:t>)</w:t>
      </w:r>
      <w:r w:rsidRPr="0070576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6CC3" w14:textId="05313F3E" w:rsidR="002160FF" w:rsidRDefault="005932E0">
    <w:pPr>
      <w:pStyle w:val="Header"/>
      <w:rPr>
        <w:sz w:val="22"/>
        <w:szCs w:val="22"/>
      </w:rPr>
    </w:pPr>
    <w:r>
      <w:rPr>
        <w:sz w:val="22"/>
        <w:szCs w:val="22"/>
      </w:rPr>
      <w:t>Ann Genovese</w:t>
    </w:r>
    <w:r>
      <w:rPr>
        <w:sz w:val="22"/>
        <w:szCs w:val="22"/>
      </w:rPr>
      <w:tab/>
    </w:r>
    <w:r>
      <w:rPr>
        <w:sz w:val="22"/>
        <w:szCs w:val="22"/>
      </w:rPr>
      <w:tab/>
      <w:t xml:space="preserve">Feminist </w:t>
    </w:r>
    <w:proofErr w:type="spellStart"/>
    <w:r>
      <w:rPr>
        <w:sz w:val="22"/>
        <w:szCs w:val="22"/>
      </w:rPr>
      <w:t>Jurisography</w:t>
    </w:r>
    <w:proofErr w:type="spellEnd"/>
  </w:p>
  <w:p w14:paraId="23452D32" w14:textId="03805511" w:rsidR="005932E0" w:rsidRPr="005932E0" w:rsidRDefault="005932E0">
    <w:pPr>
      <w:pStyle w:val="Header"/>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2C3E" w14:textId="387424F1" w:rsidR="006C5C43" w:rsidRDefault="00B17FB8" w:rsidP="006C5C43">
    <w:pPr>
      <w:tabs>
        <w:tab w:val="center" w:pos="4513"/>
        <w:tab w:val="right" w:pos="9026"/>
      </w:tabs>
      <w:rPr>
        <w:rFonts w:ascii="Calibri" w:eastAsia="Calibri" w:hAnsi="Calibri" w:cs="Times New Roman"/>
        <w:sz w:val="22"/>
        <w:szCs w:val="22"/>
      </w:rPr>
    </w:pPr>
    <w:proofErr w:type="spellStart"/>
    <w:r w:rsidRPr="006C5C43">
      <w:rPr>
        <w:i/>
        <w:iCs/>
        <w:sz w:val="22"/>
        <w:szCs w:val="22"/>
      </w:rPr>
      <w:t>feminists@law</w:t>
    </w:r>
    <w:proofErr w:type="spellEnd"/>
    <w:r w:rsidRPr="006C5C43">
      <w:rPr>
        <w:sz w:val="22"/>
        <w:szCs w:val="22"/>
      </w:rPr>
      <w:tab/>
    </w:r>
    <w:r w:rsidR="004E0710">
      <w:rPr>
        <w:sz w:val="22"/>
        <w:szCs w:val="22"/>
      </w:rPr>
      <w:tab/>
    </w:r>
    <w:r w:rsidR="006C5C43" w:rsidRPr="006C5C43">
      <w:rPr>
        <w:rFonts w:ascii="Calibri" w:eastAsia="Calibri" w:hAnsi="Calibri" w:cs="Times New Roman"/>
        <w:sz w:val="22"/>
        <w:szCs w:val="22"/>
      </w:rPr>
      <w:t>Vol 1</w:t>
    </w:r>
    <w:r w:rsidR="006C5C43">
      <w:rPr>
        <w:rFonts w:ascii="Calibri" w:eastAsia="Calibri" w:hAnsi="Calibri" w:cs="Times New Roman"/>
        <w:sz w:val="22"/>
        <w:szCs w:val="22"/>
      </w:rPr>
      <w:t>4</w:t>
    </w:r>
    <w:r w:rsidR="006C5C43" w:rsidRPr="006C5C43">
      <w:rPr>
        <w:rFonts w:ascii="Calibri" w:eastAsia="Calibri" w:hAnsi="Calibri" w:cs="Times New Roman"/>
        <w:sz w:val="22"/>
        <w:szCs w:val="22"/>
      </w:rPr>
      <w:t>, No 2 (202</w:t>
    </w:r>
    <w:r w:rsidR="006C5C43">
      <w:rPr>
        <w:rFonts w:ascii="Calibri" w:eastAsia="Calibri" w:hAnsi="Calibri" w:cs="Times New Roman"/>
        <w:sz w:val="22"/>
        <w:szCs w:val="22"/>
      </w:rPr>
      <w:t>5</w:t>
    </w:r>
    <w:r w:rsidR="006C5C43" w:rsidRPr="006C5C43">
      <w:rPr>
        <w:rFonts w:ascii="Calibri" w:eastAsia="Calibri" w:hAnsi="Calibri" w:cs="Times New Roman"/>
        <w:sz w:val="22"/>
        <w:szCs w:val="22"/>
      </w:rPr>
      <w:t>)</w:t>
    </w:r>
  </w:p>
  <w:p w14:paraId="06368B0F" w14:textId="3AF48B0F" w:rsidR="002160FF" w:rsidRPr="006C5C43" w:rsidRDefault="002160FF" w:rsidP="006C5C43">
    <w:pPr>
      <w:tabs>
        <w:tab w:val="center" w:pos="4513"/>
        <w:tab w:val="right" w:pos="9026"/>
      </w:tabs>
      <w:rPr>
        <w:rFonts w:ascii="Calibri" w:eastAsia="Calibri" w:hAnsi="Calibri" w:cs="Times New Roman"/>
        <w:sz w:val="22"/>
        <w:szCs w:val="22"/>
      </w:rPr>
    </w:pPr>
    <w:r>
      <w:rPr>
        <w:rFonts w:ascii="Calibri" w:eastAsia="Calibri" w:hAnsi="Calibri" w:cs="Times New Roman"/>
        <w:sz w:val="22"/>
        <w:szCs w:val="22"/>
      </w:rPr>
      <w:t>__________________________________________________________________________________</w:t>
    </w:r>
  </w:p>
  <w:p w14:paraId="3ED31DE4" w14:textId="77777777" w:rsidR="006C5C43" w:rsidRPr="006C5C43" w:rsidRDefault="006C5C43" w:rsidP="006C5C43">
    <w:pPr>
      <w:tabs>
        <w:tab w:val="center" w:pos="4513"/>
        <w:tab w:val="right" w:pos="9026"/>
      </w:tabs>
      <w:rPr>
        <w:kern w:val="2"/>
        <w14:ligatures w14:val="standardContextual"/>
      </w:rPr>
    </w:pPr>
  </w:p>
  <w:p w14:paraId="085CB849" w14:textId="442E85BA" w:rsidR="00B17FB8" w:rsidRDefault="00B1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5D80"/>
    <w:multiLevelType w:val="hybridMultilevel"/>
    <w:tmpl w:val="A7D0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3377C"/>
    <w:multiLevelType w:val="hybridMultilevel"/>
    <w:tmpl w:val="27C28ED4"/>
    <w:lvl w:ilvl="0" w:tplc="FCFCE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BA7C29"/>
    <w:multiLevelType w:val="hybridMultilevel"/>
    <w:tmpl w:val="1C507E6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B12EB"/>
    <w:multiLevelType w:val="hybridMultilevel"/>
    <w:tmpl w:val="C640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04A58"/>
    <w:multiLevelType w:val="hybridMultilevel"/>
    <w:tmpl w:val="8E3ABF40"/>
    <w:lvl w:ilvl="0" w:tplc="D1B48E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DCE1BBD"/>
    <w:multiLevelType w:val="hybridMultilevel"/>
    <w:tmpl w:val="32C2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04CFC"/>
    <w:multiLevelType w:val="hybridMultilevel"/>
    <w:tmpl w:val="666A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E218E7"/>
    <w:multiLevelType w:val="hybridMultilevel"/>
    <w:tmpl w:val="32C8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22F93"/>
    <w:multiLevelType w:val="hybridMultilevel"/>
    <w:tmpl w:val="B4BE7DAC"/>
    <w:lvl w:ilvl="0" w:tplc="00AC32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CD6B84"/>
    <w:multiLevelType w:val="hybridMultilevel"/>
    <w:tmpl w:val="199CD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D611A7"/>
    <w:multiLevelType w:val="hybridMultilevel"/>
    <w:tmpl w:val="DD30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839164">
    <w:abstractNumId w:val="5"/>
  </w:num>
  <w:num w:numId="2" w16cid:durableId="297539616">
    <w:abstractNumId w:val="2"/>
  </w:num>
  <w:num w:numId="3" w16cid:durableId="752433613">
    <w:abstractNumId w:val="3"/>
  </w:num>
  <w:num w:numId="4" w16cid:durableId="2136018326">
    <w:abstractNumId w:val="4"/>
  </w:num>
  <w:num w:numId="5" w16cid:durableId="1849130803">
    <w:abstractNumId w:val="0"/>
  </w:num>
  <w:num w:numId="6" w16cid:durableId="57092965">
    <w:abstractNumId w:val="1"/>
  </w:num>
  <w:num w:numId="7" w16cid:durableId="1472674254">
    <w:abstractNumId w:val="6"/>
  </w:num>
  <w:num w:numId="8" w16cid:durableId="1224173370">
    <w:abstractNumId w:val="10"/>
  </w:num>
  <w:num w:numId="9" w16cid:durableId="2069918162">
    <w:abstractNumId w:val="7"/>
  </w:num>
  <w:num w:numId="10" w16cid:durableId="2031641967">
    <w:abstractNumId w:val="9"/>
  </w:num>
  <w:num w:numId="11" w16cid:durableId="171143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1A"/>
    <w:rsid w:val="00000D39"/>
    <w:rsid w:val="000028B4"/>
    <w:rsid w:val="00006630"/>
    <w:rsid w:val="000102F6"/>
    <w:rsid w:val="00024511"/>
    <w:rsid w:val="0003111C"/>
    <w:rsid w:val="00032D36"/>
    <w:rsid w:val="000440CA"/>
    <w:rsid w:val="000540ED"/>
    <w:rsid w:val="0005767B"/>
    <w:rsid w:val="000620C4"/>
    <w:rsid w:val="0006364E"/>
    <w:rsid w:val="00070363"/>
    <w:rsid w:val="0007293A"/>
    <w:rsid w:val="00072A1D"/>
    <w:rsid w:val="00081462"/>
    <w:rsid w:val="00083B90"/>
    <w:rsid w:val="000921EE"/>
    <w:rsid w:val="000929D1"/>
    <w:rsid w:val="00093EA1"/>
    <w:rsid w:val="000A61E5"/>
    <w:rsid w:val="000A62DC"/>
    <w:rsid w:val="000A790B"/>
    <w:rsid w:val="000B70DA"/>
    <w:rsid w:val="000B7DAC"/>
    <w:rsid w:val="000C6A36"/>
    <w:rsid w:val="000D1413"/>
    <w:rsid w:val="000D42C8"/>
    <w:rsid w:val="000D52F4"/>
    <w:rsid w:val="000E510F"/>
    <w:rsid w:val="000E5B85"/>
    <w:rsid w:val="000E69DF"/>
    <w:rsid w:val="000E6F7B"/>
    <w:rsid w:val="000F3AB2"/>
    <w:rsid w:val="000F4D51"/>
    <w:rsid w:val="0010463A"/>
    <w:rsid w:val="00105D46"/>
    <w:rsid w:val="00107E73"/>
    <w:rsid w:val="00113767"/>
    <w:rsid w:val="00116707"/>
    <w:rsid w:val="00124DE2"/>
    <w:rsid w:val="00133CD6"/>
    <w:rsid w:val="001379E6"/>
    <w:rsid w:val="001400E9"/>
    <w:rsid w:val="001479EF"/>
    <w:rsid w:val="0015607C"/>
    <w:rsid w:val="00165D33"/>
    <w:rsid w:val="00166384"/>
    <w:rsid w:val="00172F05"/>
    <w:rsid w:val="00177130"/>
    <w:rsid w:val="0018034C"/>
    <w:rsid w:val="00192692"/>
    <w:rsid w:val="00192CB1"/>
    <w:rsid w:val="001A51DB"/>
    <w:rsid w:val="001A6449"/>
    <w:rsid w:val="001B300C"/>
    <w:rsid w:val="001B37CC"/>
    <w:rsid w:val="001B3805"/>
    <w:rsid w:val="001B46FA"/>
    <w:rsid w:val="001B5FF1"/>
    <w:rsid w:val="001C2AC3"/>
    <w:rsid w:val="001C3B5D"/>
    <w:rsid w:val="001C41E5"/>
    <w:rsid w:val="001C5193"/>
    <w:rsid w:val="001C7407"/>
    <w:rsid w:val="001D33DE"/>
    <w:rsid w:val="001D6898"/>
    <w:rsid w:val="001E0640"/>
    <w:rsid w:val="001E5532"/>
    <w:rsid w:val="001F4BEE"/>
    <w:rsid w:val="001F6A65"/>
    <w:rsid w:val="001F7355"/>
    <w:rsid w:val="0021597A"/>
    <w:rsid w:val="002160FF"/>
    <w:rsid w:val="00216A52"/>
    <w:rsid w:val="00235D2C"/>
    <w:rsid w:val="00236ACA"/>
    <w:rsid w:val="00240D3C"/>
    <w:rsid w:val="00241595"/>
    <w:rsid w:val="00241B0B"/>
    <w:rsid w:val="00241D15"/>
    <w:rsid w:val="002438DA"/>
    <w:rsid w:val="002462F1"/>
    <w:rsid w:val="00250F2A"/>
    <w:rsid w:val="00266CCA"/>
    <w:rsid w:val="00270A73"/>
    <w:rsid w:val="0028091A"/>
    <w:rsid w:val="00282B59"/>
    <w:rsid w:val="00284ADF"/>
    <w:rsid w:val="0029092C"/>
    <w:rsid w:val="00290EC1"/>
    <w:rsid w:val="002A0176"/>
    <w:rsid w:val="002A370C"/>
    <w:rsid w:val="002A3C70"/>
    <w:rsid w:val="002B1171"/>
    <w:rsid w:val="002B4780"/>
    <w:rsid w:val="002B4C0E"/>
    <w:rsid w:val="002B736B"/>
    <w:rsid w:val="002C3A5B"/>
    <w:rsid w:val="002C4E39"/>
    <w:rsid w:val="002D451A"/>
    <w:rsid w:val="002E2818"/>
    <w:rsid w:val="002E541F"/>
    <w:rsid w:val="002E6DC6"/>
    <w:rsid w:val="002F0839"/>
    <w:rsid w:val="002F6C4F"/>
    <w:rsid w:val="00302A00"/>
    <w:rsid w:val="00313995"/>
    <w:rsid w:val="0031594C"/>
    <w:rsid w:val="003163BA"/>
    <w:rsid w:val="00317740"/>
    <w:rsid w:val="00323ACC"/>
    <w:rsid w:val="00333830"/>
    <w:rsid w:val="0034249A"/>
    <w:rsid w:val="00342EBC"/>
    <w:rsid w:val="00347E80"/>
    <w:rsid w:val="003539FD"/>
    <w:rsid w:val="003621D3"/>
    <w:rsid w:val="00365798"/>
    <w:rsid w:val="00365F3A"/>
    <w:rsid w:val="003679FB"/>
    <w:rsid w:val="00374410"/>
    <w:rsid w:val="00377414"/>
    <w:rsid w:val="003829CB"/>
    <w:rsid w:val="00387796"/>
    <w:rsid w:val="00396BB1"/>
    <w:rsid w:val="003974E2"/>
    <w:rsid w:val="003B0487"/>
    <w:rsid w:val="003B25EB"/>
    <w:rsid w:val="003E1FEC"/>
    <w:rsid w:val="003F0782"/>
    <w:rsid w:val="003F239B"/>
    <w:rsid w:val="004047C9"/>
    <w:rsid w:val="00411F1E"/>
    <w:rsid w:val="00415BBC"/>
    <w:rsid w:val="00421E7D"/>
    <w:rsid w:val="00422497"/>
    <w:rsid w:val="004233DA"/>
    <w:rsid w:val="00423641"/>
    <w:rsid w:val="00436FAA"/>
    <w:rsid w:val="00437D8E"/>
    <w:rsid w:val="00442B33"/>
    <w:rsid w:val="00443C1E"/>
    <w:rsid w:val="00446D4D"/>
    <w:rsid w:val="004543B6"/>
    <w:rsid w:val="004712AF"/>
    <w:rsid w:val="0047229F"/>
    <w:rsid w:val="0047345B"/>
    <w:rsid w:val="0047591E"/>
    <w:rsid w:val="00477899"/>
    <w:rsid w:val="00483F6A"/>
    <w:rsid w:val="00486838"/>
    <w:rsid w:val="004921E1"/>
    <w:rsid w:val="0049348A"/>
    <w:rsid w:val="0049448C"/>
    <w:rsid w:val="004968AB"/>
    <w:rsid w:val="004A59E5"/>
    <w:rsid w:val="004A76B8"/>
    <w:rsid w:val="004A77C7"/>
    <w:rsid w:val="004B55D5"/>
    <w:rsid w:val="004B594E"/>
    <w:rsid w:val="004C1EE3"/>
    <w:rsid w:val="004D4328"/>
    <w:rsid w:val="004D4FE6"/>
    <w:rsid w:val="004E0710"/>
    <w:rsid w:val="004E1C58"/>
    <w:rsid w:val="004E3E6F"/>
    <w:rsid w:val="004E7DD5"/>
    <w:rsid w:val="004F2621"/>
    <w:rsid w:val="004F2D25"/>
    <w:rsid w:val="004F5E2D"/>
    <w:rsid w:val="004F6095"/>
    <w:rsid w:val="00501516"/>
    <w:rsid w:val="00503451"/>
    <w:rsid w:val="00504BF5"/>
    <w:rsid w:val="00516507"/>
    <w:rsid w:val="005336B6"/>
    <w:rsid w:val="005462C2"/>
    <w:rsid w:val="00547170"/>
    <w:rsid w:val="00547E97"/>
    <w:rsid w:val="00553BEC"/>
    <w:rsid w:val="005559D3"/>
    <w:rsid w:val="00555BEB"/>
    <w:rsid w:val="00564F98"/>
    <w:rsid w:val="0056551F"/>
    <w:rsid w:val="00570EDE"/>
    <w:rsid w:val="00572E3B"/>
    <w:rsid w:val="00575C12"/>
    <w:rsid w:val="00580210"/>
    <w:rsid w:val="00584FF9"/>
    <w:rsid w:val="00586DC2"/>
    <w:rsid w:val="005901CC"/>
    <w:rsid w:val="0059216C"/>
    <w:rsid w:val="0059318A"/>
    <w:rsid w:val="005932E0"/>
    <w:rsid w:val="005A7C50"/>
    <w:rsid w:val="005B1A64"/>
    <w:rsid w:val="005B6D42"/>
    <w:rsid w:val="005C015E"/>
    <w:rsid w:val="005D0B90"/>
    <w:rsid w:val="005D47AB"/>
    <w:rsid w:val="005D642D"/>
    <w:rsid w:val="005E103F"/>
    <w:rsid w:val="005F0AF3"/>
    <w:rsid w:val="005F151F"/>
    <w:rsid w:val="005F4DB0"/>
    <w:rsid w:val="00607A82"/>
    <w:rsid w:val="006201B4"/>
    <w:rsid w:val="00621945"/>
    <w:rsid w:val="00624001"/>
    <w:rsid w:val="006275CF"/>
    <w:rsid w:val="00630DC2"/>
    <w:rsid w:val="006353DC"/>
    <w:rsid w:val="006370A9"/>
    <w:rsid w:val="00637216"/>
    <w:rsid w:val="006377C8"/>
    <w:rsid w:val="0064099B"/>
    <w:rsid w:val="006500CD"/>
    <w:rsid w:val="00652E9D"/>
    <w:rsid w:val="00663763"/>
    <w:rsid w:val="0066560F"/>
    <w:rsid w:val="006666ED"/>
    <w:rsid w:val="006714CB"/>
    <w:rsid w:val="00674772"/>
    <w:rsid w:val="00675F6B"/>
    <w:rsid w:val="0068020C"/>
    <w:rsid w:val="0068047A"/>
    <w:rsid w:val="00686A8D"/>
    <w:rsid w:val="00687BCC"/>
    <w:rsid w:val="00694F26"/>
    <w:rsid w:val="00695EBB"/>
    <w:rsid w:val="00695FE3"/>
    <w:rsid w:val="0069612E"/>
    <w:rsid w:val="006A7A2E"/>
    <w:rsid w:val="006B2BA0"/>
    <w:rsid w:val="006B43EA"/>
    <w:rsid w:val="006B6733"/>
    <w:rsid w:val="006C033A"/>
    <w:rsid w:val="006C0A80"/>
    <w:rsid w:val="006C1E41"/>
    <w:rsid w:val="006C5C43"/>
    <w:rsid w:val="006C6272"/>
    <w:rsid w:val="006D2281"/>
    <w:rsid w:val="006D55A4"/>
    <w:rsid w:val="006D6240"/>
    <w:rsid w:val="006D6AE1"/>
    <w:rsid w:val="006D74D1"/>
    <w:rsid w:val="006E51A1"/>
    <w:rsid w:val="006E6C96"/>
    <w:rsid w:val="006F2343"/>
    <w:rsid w:val="006F282B"/>
    <w:rsid w:val="006F5492"/>
    <w:rsid w:val="006F6713"/>
    <w:rsid w:val="00700303"/>
    <w:rsid w:val="00704577"/>
    <w:rsid w:val="00705170"/>
    <w:rsid w:val="0070576A"/>
    <w:rsid w:val="007061D3"/>
    <w:rsid w:val="007159C5"/>
    <w:rsid w:val="00717CBB"/>
    <w:rsid w:val="00721E8D"/>
    <w:rsid w:val="0072226C"/>
    <w:rsid w:val="00732466"/>
    <w:rsid w:val="00733090"/>
    <w:rsid w:val="007347B4"/>
    <w:rsid w:val="00735225"/>
    <w:rsid w:val="007462CE"/>
    <w:rsid w:val="007539DC"/>
    <w:rsid w:val="00754D87"/>
    <w:rsid w:val="007567C6"/>
    <w:rsid w:val="007601FC"/>
    <w:rsid w:val="00760E15"/>
    <w:rsid w:val="007617F3"/>
    <w:rsid w:val="00772ECD"/>
    <w:rsid w:val="00774997"/>
    <w:rsid w:val="00785848"/>
    <w:rsid w:val="00787281"/>
    <w:rsid w:val="0079264E"/>
    <w:rsid w:val="007A1A36"/>
    <w:rsid w:val="007A3B10"/>
    <w:rsid w:val="007A5C82"/>
    <w:rsid w:val="007B1B2C"/>
    <w:rsid w:val="007B60C4"/>
    <w:rsid w:val="007D3000"/>
    <w:rsid w:val="007D5FBF"/>
    <w:rsid w:val="007D63A1"/>
    <w:rsid w:val="007E09DA"/>
    <w:rsid w:val="007E12B6"/>
    <w:rsid w:val="007E1B8F"/>
    <w:rsid w:val="007E4853"/>
    <w:rsid w:val="007E4B66"/>
    <w:rsid w:val="007E4DE0"/>
    <w:rsid w:val="007E7A45"/>
    <w:rsid w:val="007F1897"/>
    <w:rsid w:val="007F61AC"/>
    <w:rsid w:val="007F7821"/>
    <w:rsid w:val="008012F5"/>
    <w:rsid w:val="008028D8"/>
    <w:rsid w:val="00802B92"/>
    <w:rsid w:val="008039FC"/>
    <w:rsid w:val="00806A55"/>
    <w:rsid w:val="008114CC"/>
    <w:rsid w:val="00816D2E"/>
    <w:rsid w:val="008217C8"/>
    <w:rsid w:val="008264C2"/>
    <w:rsid w:val="008455BC"/>
    <w:rsid w:val="0084705A"/>
    <w:rsid w:val="0086036B"/>
    <w:rsid w:val="00865492"/>
    <w:rsid w:val="00867A84"/>
    <w:rsid w:val="00870732"/>
    <w:rsid w:val="00872651"/>
    <w:rsid w:val="00880FCE"/>
    <w:rsid w:val="008833E5"/>
    <w:rsid w:val="00892B24"/>
    <w:rsid w:val="00892EFE"/>
    <w:rsid w:val="00897CAE"/>
    <w:rsid w:val="008B043F"/>
    <w:rsid w:val="008B227F"/>
    <w:rsid w:val="008B7120"/>
    <w:rsid w:val="008C4880"/>
    <w:rsid w:val="008C609F"/>
    <w:rsid w:val="008D0F5E"/>
    <w:rsid w:val="008D1108"/>
    <w:rsid w:val="008D2310"/>
    <w:rsid w:val="008D5C0F"/>
    <w:rsid w:val="008D5DBB"/>
    <w:rsid w:val="008D7A78"/>
    <w:rsid w:val="008E3FFD"/>
    <w:rsid w:val="008F3993"/>
    <w:rsid w:val="008F7E19"/>
    <w:rsid w:val="00900E25"/>
    <w:rsid w:val="00905587"/>
    <w:rsid w:val="009107EF"/>
    <w:rsid w:val="00916598"/>
    <w:rsid w:val="009201E8"/>
    <w:rsid w:val="00923848"/>
    <w:rsid w:val="009310FB"/>
    <w:rsid w:val="0093484A"/>
    <w:rsid w:val="00937580"/>
    <w:rsid w:val="00941C09"/>
    <w:rsid w:val="0094353A"/>
    <w:rsid w:val="009451DD"/>
    <w:rsid w:val="0094628A"/>
    <w:rsid w:val="00947BB4"/>
    <w:rsid w:val="009503DC"/>
    <w:rsid w:val="00960856"/>
    <w:rsid w:val="00972E06"/>
    <w:rsid w:val="00985276"/>
    <w:rsid w:val="00991A0D"/>
    <w:rsid w:val="00992FF1"/>
    <w:rsid w:val="009A19A4"/>
    <w:rsid w:val="009A65A3"/>
    <w:rsid w:val="009B1792"/>
    <w:rsid w:val="009B581A"/>
    <w:rsid w:val="009B65F9"/>
    <w:rsid w:val="009C4701"/>
    <w:rsid w:val="009C6211"/>
    <w:rsid w:val="009C6C29"/>
    <w:rsid w:val="009D3C49"/>
    <w:rsid w:val="009D3CD9"/>
    <w:rsid w:val="009D46A4"/>
    <w:rsid w:val="009D4DEE"/>
    <w:rsid w:val="009D7177"/>
    <w:rsid w:val="009E3924"/>
    <w:rsid w:val="009E7EB3"/>
    <w:rsid w:val="009F0203"/>
    <w:rsid w:val="009F2C13"/>
    <w:rsid w:val="009F2F1A"/>
    <w:rsid w:val="009F5FB7"/>
    <w:rsid w:val="00A02A0E"/>
    <w:rsid w:val="00A049E8"/>
    <w:rsid w:val="00A21597"/>
    <w:rsid w:val="00A24588"/>
    <w:rsid w:val="00A2632F"/>
    <w:rsid w:val="00A37A16"/>
    <w:rsid w:val="00A42616"/>
    <w:rsid w:val="00A45F9A"/>
    <w:rsid w:val="00A53D74"/>
    <w:rsid w:val="00A567C3"/>
    <w:rsid w:val="00A60DD0"/>
    <w:rsid w:val="00A61FAB"/>
    <w:rsid w:val="00A6206C"/>
    <w:rsid w:val="00A64E73"/>
    <w:rsid w:val="00A74A85"/>
    <w:rsid w:val="00A76837"/>
    <w:rsid w:val="00A80082"/>
    <w:rsid w:val="00A83AF3"/>
    <w:rsid w:val="00A83B8D"/>
    <w:rsid w:val="00A864F3"/>
    <w:rsid w:val="00A86DE4"/>
    <w:rsid w:val="00A945FB"/>
    <w:rsid w:val="00A9794C"/>
    <w:rsid w:val="00AA3B6A"/>
    <w:rsid w:val="00AB1BAA"/>
    <w:rsid w:val="00AB6585"/>
    <w:rsid w:val="00AC7FFE"/>
    <w:rsid w:val="00AD1964"/>
    <w:rsid w:val="00AE625B"/>
    <w:rsid w:val="00AE7248"/>
    <w:rsid w:val="00AE7823"/>
    <w:rsid w:val="00AF3935"/>
    <w:rsid w:val="00AF419D"/>
    <w:rsid w:val="00AF453F"/>
    <w:rsid w:val="00AF57DD"/>
    <w:rsid w:val="00B00326"/>
    <w:rsid w:val="00B00DA9"/>
    <w:rsid w:val="00B01F1F"/>
    <w:rsid w:val="00B122D1"/>
    <w:rsid w:val="00B17FB8"/>
    <w:rsid w:val="00B2143F"/>
    <w:rsid w:val="00B2173E"/>
    <w:rsid w:val="00B23797"/>
    <w:rsid w:val="00B25504"/>
    <w:rsid w:val="00B31B91"/>
    <w:rsid w:val="00B43F79"/>
    <w:rsid w:val="00B44732"/>
    <w:rsid w:val="00B53A49"/>
    <w:rsid w:val="00B53C13"/>
    <w:rsid w:val="00B5423D"/>
    <w:rsid w:val="00B55F3A"/>
    <w:rsid w:val="00B61216"/>
    <w:rsid w:val="00B67830"/>
    <w:rsid w:val="00B76C19"/>
    <w:rsid w:val="00B840E6"/>
    <w:rsid w:val="00B90A36"/>
    <w:rsid w:val="00B9427C"/>
    <w:rsid w:val="00B95A37"/>
    <w:rsid w:val="00B9712F"/>
    <w:rsid w:val="00B97471"/>
    <w:rsid w:val="00BA323A"/>
    <w:rsid w:val="00BA7E9C"/>
    <w:rsid w:val="00BB7741"/>
    <w:rsid w:val="00BC2B44"/>
    <w:rsid w:val="00BD11F7"/>
    <w:rsid w:val="00BD6DE6"/>
    <w:rsid w:val="00BE3312"/>
    <w:rsid w:val="00BF1541"/>
    <w:rsid w:val="00BF3E63"/>
    <w:rsid w:val="00C0219C"/>
    <w:rsid w:val="00C05EDA"/>
    <w:rsid w:val="00C17C1B"/>
    <w:rsid w:val="00C2097A"/>
    <w:rsid w:val="00C20A20"/>
    <w:rsid w:val="00C21C40"/>
    <w:rsid w:val="00C335A4"/>
    <w:rsid w:val="00C40A4B"/>
    <w:rsid w:val="00C467BB"/>
    <w:rsid w:val="00C5177B"/>
    <w:rsid w:val="00C51EA6"/>
    <w:rsid w:val="00C52778"/>
    <w:rsid w:val="00C5282D"/>
    <w:rsid w:val="00C533CD"/>
    <w:rsid w:val="00C6098D"/>
    <w:rsid w:val="00C720C7"/>
    <w:rsid w:val="00C74B7C"/>
    <w:rsid w:val="00C82C3C"/>
    <w:rsid w:val="00C90A11"/>
    <w:rsid w:val="00C94054"/>
    <w:rsid w:val="00C97B24"/>
    <w:rsid w:val="00CB17B9"/>
    <w:rsid w:val="00CB6970"/>
    <w:rsid w:val="00CD3531"/>
    <w:rsid w:val="00CE0007"/>
    <w:rsid w:val="00CF621F"/>
    <w:rsid w:val="00CF71AD"/>
    <w:rsid w:val="00D01194"/>
    <w:rsid w:val="00D04980"/>
    <w:rsid w:val="00D04A1E"/>
    <w:rsid w:val="00D1046C"/>
    <w:rsid w:val="00D1049B"/>
    <w:rsid w:val="00D104CE"/>
    <w:rsid w:val="00D16724"/>
    <w:rsid w:val="00D272EC"/>
    <w:rsid w:val="00D30F91"/>
    <w:rsid w:val="00D3169A"/>
    <w:rsid w:val="00D31E22"/>
    <w:rsid w:val="00D34C08"/>
    <w:rsid w:val="00D3650E"/>
    <w:rsid w:val="00D424F9"/>
    <w:rsid w:val="00D45069"/>
    <w:rsid w:val="00D507E0"/>
    <w:rsid w:val="00D51C9D"/>
    <w:rsid w:val="00D539EE"/>
    <w:rsid w:val="00D55BCB"/>
    <w:rsid w:val="00D641C5"/>
    <w:rsid w:val="00D67647"/>
    <w:rsid w:val="00D7030E"/>
    <w:rsid w:val="00D751AA"/>
    <w:rsid w:val="00D87932"/>
    <w:rsid w:val="00D87BA5"/>
    <w:rsid w:val="00D9027D"/>
    <w:rsid w:val="00D90DAF"/>
    <w:rsid w:val="00DA2618"/>
    <w:rsid w:val="00DA526D"/>
    <w:rsid w:val="00DB01B4"/>
    <w:rsid w:val="00DB180F"/>
    <w:rsid w:val="00DB46B1"/>
    <w:rsid w:val="00DB7529"/>
    <w:rsid w:val="00DC7CC8"/>
    <w:rsid w:val="00DE17D2"/>
    <w:rsid w:val="00DE1D1B"/>
    <w:rsid w:val="00DE23A5"/>
    <w:rsid w:val="00DF63BA"/>
    <w:rsid w:val="00E007DA"/>
    <w:rsid w:val="00E10DD0"/>
    <w:rsid w:val="00E21BC3"/>
    <w:rsid w:val="00E26B5D"/>
    <w:rsid w:val="00E2796E"/>
    <w:rsid w:val="00E31DDF"/>
    <w:rsid w:val="00E328E1"/>
    <w:rsid w:val="00E33BA7"/>
    <w:rsid w:val="00E33EF3"/>
    <w:rsid w:val="00E35AE7"/>
    <w:rsid w:val="00E36070"/>
    <w:rsid w:val="00E435F5"/>
    <w:rsid w:val="00E52700"/>
    <w:rsid w:val="00E569F7"/>
    <w:rsid w:val="00E57AE1"/>
    <w:rsid w:val="00E63F86"/>
    <w:rsid w:val="00E7138D"/>
    <w:rsid w:val="00E731DE"/>
    <w:rsid w:val="00E76F0A"/>
    <w:rsid w:val="00E81AF6"/>
    <w:rsid w:val="00E90A51"/>
    <w:rsid w:val="00E921D2"/>
    <w:rsid w:val="00E93D4B"/>
    <w:rsid w:val="00E94C2F"/>
    <w:rsid w:val="00E9617D"/>
    <w:rsid w:val="00E96AC3"/>
    <w:rsid w:val="00E97695"/>
    <w:rsid w:val="00EB0361"/>
    <w:rsid w:val="00EB21CF"/>
    <w:rsid w:val="00EB636A"/>
    <w:rsid w:val="00EC068E"/>
    <w:rsid w:val="00EC0EBF"/>
    <w:rsid w:val="00EC182D"/>
    <w:rsid w:val="00EC4330"/>
    <w:rsid w:val="00EC60A9"/>
    <w:rsid w:val="00ED1BCB"/>
    <w:rsid w:val="00ED2995"/>
    <w:rsid w:val="00EF49BD"/>
    <w:rsid w:val="00EF4A84"/>
    <w:rsid w:val="00EF6279"/>
    <w:rsid w:val="00F02152"/>
    <w:rsid w:val="00F02346"/>
    <w:rsid w:val="00F040C4"/>
    <w:rsid w:val="00F05A39"/>
    <w:rsid w:val="00F0629B"/>
    <w:rsid w:val="00F0667A"/>
    <w:rsid w:val="00F07441"/>
    <w:rsid w:val="00F15294"/>
    <w:rsid w:val="00F179DB"/>
    <w:rsid w:val="00F17B12"/>
    <w:rsid w:val="00F212BD"/>
    <w:rsid w:val="00F262A4"/>
    <w:rsid w:val="00F37751"/>
    <w:rsid w:val="00F47A44"/>
    <w:rsid w:val="00F506A1"/>
    <w:rsid w:val="00F51CB2"/>
    <w:rsid w:val="00F60BD7"/>
    <w:rsid w:val="00F6193A"/>
    <w:rsid w:val="00F7465D"/>
    <w:rsid w:val="00F764AD"/>
    <w:rsid w:val="00F80B11"/>
    <w:rsid w:val="00F971E7"/>
    <w:rsid w:val="00FA1A0F"/>
    <w:rsid w:val="00FA2176"/>
    <w:rsid w:val="00FB16F8"/>
    <w:rsid w:val="00FC4FD3"/>
    <w:rsid w:val="00FC5099"/>
    <w:rsid w:val="00FD069F"/>
    <w:rsid w:val="00FD0BFD"/>
    <w:rsid w:val="00FD2E77"/>
    <w:rsid w:val="00FD4BA4"/>
    <w:rsid w:val="00FD6794"/>
    <w:rsid w:val="00FE1C8C"/>
    <w:rsid w:val="00FE5BE4"/>
    <w:rsid w:val="00FF0DF3"/>
    <w:rsid w:val="00FF2CAF"/>
    <w:rsid w:val="00FF4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2173B"/>
  <w15:chartTrackingRefBased/>
  <w15:docId w15:val="{F42BE916-FF0C-0644-BC08-D13F8D56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xxmsonormal"/>
    <w:next w:val="Normal"/>
    <w:link w:val="Heading1Char"/>
    <w:uiPriority w:val="9"/>
    <w:qFormat/>
    <w:rsid w:val="002E2818"/>
    <w:pPr>
      <w:spacing w:after="120" w:afterAutospacing="0" w:line="360" w:lineRule="auto"/>
      <w:jc w:val="both"/>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xmsonormal"/>
    <w:basedOn w:val="Normal"/>
    <w:rsid w:val="00DC7CC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C7CC8"/>
  </w:style>
  <w:style w:type="paragraph" w:styleId="ListParagraph">
    <w:name w:val="List Paragraph"/>
    <w:basedOn w:val="Normal"/>
    <w:link w:val="ListParagraphChar"/>
    <w:uiPriority w:val="34"/>
    <w:qFormat/>
    <w:rsid w:val="00B95A37"/>
    <w:pPr>
      <w:ind w:left="720"/>
      <w:contextualSpacing/>
    </w:pPr>
  </w:style>
  <w:style w:type="character" w:customStyle="1" w:styleId="Heading1Char">
    <w:name w:val="Heading 1 Char"/>
    <w:basedOn w:val="DefaultParagraphFont"/>
    <w:link w:val="Heading1"/>
    <w:uiPriority w:val="9"/>
    <w:rsid w:val="002E2818"/>
    <w:rPr>
      <w:rFonts w:ascii="Times New Roman" w:eastAsia="Times New Roman" w:hAnsi="Times New Roman" w:cs="Times New Roman"/>
      <w:b/>
      <w:bCs/>
      <w:color w:val="000000"/>
      <w:lang w:val="en-GB" w:eastAsia="en-GB"/>
    </w:rPr>
  </w:style>
  <w:style w:type="paragraph" w:styleId="EndnoteText">
    <w:name w:val="endnote text"/>
    <w:basedOn w:val="Normal"/>
    <w:link w:val="EndnoteTextChar"/>
    <w:uiPriority w:val="99"/>
    <w:unhideWhenUsed/>
    <w:rsid w:val="00774997"/>
    <w:rPr>
      <w:rFonts w:eastAsiaTheme="minorEastAsia"/>
      <w:sz w:val="20"/>
      <w:szCs w:val="20"/>
    </w:rPr>
  </w:style>
  <w:style w:type="character" w:customStyle="1" w:styleId="EndnoteTextChar">
    <w:name w:val="Endnote Text Char"/>
    <w:basedOn w:val="DefaultParagraphFont"/>
    <w:link w:val="EndnoteText"/>
    <w:uiPriority w:val="99"/>
    <w:rsid w:val="00774997"/>
    <w:rPr>
      <w:rFonts w:eastAsiaTheme="minorEastAsia"/>
      <w:sz w:val="20"/>
      <w:szCs w:val="20"/>
    </w:rPr>
  </w:style>
  <w:style w:type="character" w:styleId="EndnoteReference">
    <w:name w:val="endnote reference"/>
    <w:basedOn w:val="DefaultParagraphFont"/>
    <w:uiPriority w:val="99"/>
    <w:semiHidden/>
    <w:unhideWhenUsed/>
    <w:rsid w:val="00774997"/>
    <w:rPr>
      <w:vertAlign w:val="superscript"/>
    </w:rPr>
  </w:style>
  <w:style w:type="paragraph" w:styleId="CommentText">
    <w:name w:val="annotation text"/>
    <w:basedOn w:val="Normal"/>
    <w:link w:val="CommentTextChar"/>
    <w:uiPriority w:val="99"/>
    <w:unhideWhenUsed/>
    <w:rsid w:val="00D507E0"/>
    <w:rPr>
      <w:rFonts w:ascii="Calibri" w:hAnsi="Calibri" w:cs="Times New Roman"/>
      <w:lang w:eastAsia="en-AU"/>
    </w:rPr>
  </w:style>
  <w:style w:type="character" w:customStyle="1" w:styleId="CommentTextChar">
    <w:name w:val="Comment Text Char"/>
    <w:basedOn w:val="DefaultParagraphFont"/>
    <w:link w:val="CommentText"/>
    <w:uiPriority w:val="99"/>
    <w:rsid w:val="00D507E0"/>
    <w:rPr>
      <w:rFonts w:ascii="Calibri" w:hAnsi="Calibri" w:cs="Times New Roman"/>
      <w:lang w:eastAsia="en-AU"/>
    </w:rPr>
  </w:style>
  <w:style w:type="character" w:styleId="CommentReference">
    <w:name w:val="annotation reference"/>
    <w:basedOn w:val="DefaultParagraphFont"/>
    <w:uiPriority w:val="99"/>
    <w:semiHidden/>
    <w:unhideWhenUsed/>
    <w:rsid w:val="007F7821"/>
    <w:rPr>
      <w:sz w:val="16"/>
      <w:szCs w:val="16"/>
    </w:rPr>
  </w:style>
  <w:style w:type="paragraph" w:styleId="CommentSubject">
    <w:name w:val="annotation subject"/>
    <w:basedOn w:val="CommentText"/>
    <w:next w:val="CommentText"/>
    <w:link w:val="CommentSubjectChar"/>
    <w:uiPriority w:val="99"/>
    <w:semiHidden/>
    <w:unhideWhenUsed/>
    <w:rsid w:val="007F7821"/>
    <w:rPr>
      <w:rFonts w:ascii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7F7821"/>
    <w:rPr>
      <w:rFonts w:ascii="Calibri" w:hAnsi="Calibri" w:cs="Times New Roman"/>
      <w:b/>
      <w:bCs/>
      <w:sz w:val="20"/>
      <w:szCs w:val="20"/>
      <w:lang w:eastAsia="en-AU"/>
    </w:rPr>
  </w:style>
  <w:style w:type="paragraph" w:styleId="Footer">
    <w:name w:val="footer"/>
    <w:basedOn w:val="Normal"/>
    <w:link w:val="FooterChar"/>
    <w:uiPriority w:val="99"/>
    <w:unhideWhenUsed/>
    <w:rsid w:val="00284ADF"/>
    <w:pPr>
      <w:tabs>
        <w:tab w:val="center" w:pos="4513"/>
        <w:tab w:val="right" w:pos="9026"/>
      </w:tabs>
    </w:pPr>
  </w:style>
  <w:style w:type="character" w:customStyle="1" w:styleId="FooterChar">
    <w:name w:val="Footer Char"/>
    <w:basedOn w:val="DefaultParagraphFont"/>
    <w:link w:val="Footer"/>
    <w:uiPriority w:val="99"/>
    <w:rsid w:val="00284ADF"/>
  </w:style>
  <w:style w:type="character" w:styleId="PageNumber">
    <w:name w:val="page number"/>
    <w:basedOn w:val="DefaultParagraphFont"/>
    <w:uiPriority w:val="99"/>
    <w:semiHidden/>
    <w:unhideWhenUsed/>
    <w:rsid w:val="00284ADF"/>
  </w:style>
  <w:style w:type="character" w:styleId="FootnoteReference">
    <w:name w:val="footnote reference"/>
    <w:basedOn w:val="DefaultParagraphFont"/>
    <w:uiPriority w:val="99"/>
    <w:unhideWhenUsed/>
    <w:rsid w:val="006D6240"/>
    <w:rPr>
      <w:vertAlign w:val="superscript"/>
    </w:rPr>
  </w:style>
  <w:style w:type="paragraph" w:styleId="NormalWeb">
    <w:name w:val="Normal (Web)"/>
    <w:basedOn w:val="Normal"/>
    <w:uiPriority w:val="99"/>
    <w:unhideWhenUsed/>
    <w:rsid w:val="006D624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D6240"/>
    <w:rPr>
      <w:color w:val="0563C1" w:themeColor="hyperlink"/>
      <w:u w:val="single"/>
    </w:rPr>
  </w:style>
  <w:style w:type="paragraph" w:styleId="FootnoteText">
    <w:name w:val="footnote text"/>
    <w:basedOn w:val="Normal"/>
    <w:link w:val="FootnoteTextChar"/>
    <w:uiPriority w:val="99"/>
    <w:semiHidden/>
    <w:unhideWhenUsed/>
    <w:rsid w:val="0079264E"/>
    <w:rPr>
      <w:sz w:val="20"/>
      <w:szCs w:val="20"/>
    </w:rPr>
  </w:style>
  <w:style w:type="character" w:customStyle="1" w:styleId="FootnoteTextChar">
    <w:name w:val="Footnote Text Char"/>
    <w:basedOn w:val="DefaultParagraphFont"/>
    <w:link w:val="FootnoteText"/>
    <w:uiPriority w:val="99"/>
    <w:semiHidden/>
    <w:rsid w:val="0079264E"/>
    <w:rPr>
      <w:sz w:val="20"/>
      <w:szCs w:val="20"/>
    </w:rPr>
  </w:style>
  <w:style w:type="character" w:customStyle="1" w:styleId="ListParagraphChar">
    <w:name w:val="List Paragraph Char"/>
    <w:link w:val="ListParagraph"/>
    <w:uiPriority w:val="34"/>
    <w:locked/>
    <w:rsid w:val="0005767B"/>
  </w:style>
  <w:style w:type="paragraph" w:styleId="Revision">
    <w:name w:val="Revision"/>
    <w:hidden/>
    <w:uiPriority w:val="99"/>
    <w:semiHidden/>
    <w:rsid w:val="006F5492"/>
    <w:rPr>
      <w:lang w:val="en-GB"/>
    </w:rPr>
  </w:style>
  <w:style w:type="paragraph" w:styleId="Header">
    <w:name w:val="header"/>
    <w:basedOn w:val="Normal"/>
    <w:link w:val="HeaderChar"/>
    <w:uiPriority w:val="99"/>
    <w:unhideWhenUsed/>
    <w:rsid w:val="00B17FB8"/>
    <w:pPr>
      <w:tabs>
        <w:tab w:val="center" w:pos="4513"/>
        <w:tab w:val="right" w:pos="9026"/>
      </w:tabs>
    </w:pPr>
  </w:style>
  <w:style w:type="character" w:customStyle="1" w:styleId="HeaderChar">
    <w:name w:val="Header Char"/>
    <w:basedOn w:val="DefaultParagraphFont"/>
    <w:link w:val="Header"/>
    <w:uiPriority w:val="99"/>
    <w:rsid w:val="00B17FB8"/>
    <w:rPr>
      <w:lang w:val="en-GB"/>
    </w:rPr>
  </w:style>
  <w:style w:type="paragraph" w:styleId="Title">
    <w:name w:val="Title"/>
    <w:basedOn w:val="xxmsonormal"/>
    <w:next w:val="Normal"/>
    <w:link w:val="TitleChar"/>
    <w:uiPriority w:val="10"/>
    <w:qFormat/>
    <w:rsid w:val="002E2818"/>
    <w:pPr>
      <w:spacing w:after="120" w:afterAutospacing="0" w:line="360" w:lineRule="auto"/>
      <w:jc w:val="both"/>
    </w:pPr>
    <w:rPr>
      <w:b/>
      <w:bCs/>
      <w:color w:val="000000"/>
      <w:sz w:val="28"/>
      <w:szCs w:val="28"/>
    </w:rPr>
  </w:style>
  <w:style w:type="character" w:customStyle="1" w:styleId="TitleChar">
    <w:name w:val="Title Char"/>
    <w:basedOn w:val="DefaultParagraphFont"/>
    <w:link w:val="Title"/>
    <w:uiPriority w:val="10"/>
    <w:rsid w:val="002E2818"/>
    <w:rPr>
      <w:rFonts w:ascii="Times New Roman" w:eastAsia="Times New Roman" w:hAnsi="Times New Roman" w:cs="Times New Roman"/>
      <w:b/>
      <w:bCs/>
      <w:color w:val="000000"/>
      <w:sz w:val="28"/>
      <w:szCs w:val="28"/>
      <w:lang w:val="en-GB" w:eastAsia="en-GB"/>
    </w:rPr>
  </w:style>
  <w:style w:type="character" w:styleId="UnresolvedMention">
    <w:name w:val="Unresolved Mention"/>
    <w:basedOn w:val="DefaultParagraphFont"/>
    <w:uiPriority w:val="99"/>
    <w:semiHidden/>
    <w:unhideWhenUsed/>
    <w:rsid w:val="008C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57060">
      <w:bodyDiv w:val="1"/>
      <w:marLeft w:val="0"/>
      <w:marRight w:val="0"/>
      <w:marTop w:val="0"/>
      <w:marBottom w:val="0"/>
      <w:divBdr>
        <w:top w:val="none" w:sz="0" w:space="0" w:color="auto"/>
        <w:left w:val="none" w:sz="0" w:space="0" w:color="auto"/>
        <w:bottom w:val="none" w:sz="0" w:space="0" w:color="auto"/>
        <w:right w:val="none" w:sz="0" w:space="0" w:color="auto"/>
      </w:divBdr>
    </w:div>
    <w:div w:id="21175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ebesociety.org.au/socialhistory/radical-glebe-a-personal-view-by-ann-curthoy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ersobooks.com/blogs/1836-juliet-mitchell-looking-back-at-woman-s-estate" TargetMode="External"/><Relationship Id="rId4" Type="http://schemas.openxmlformats.org/officeDocument/2006/relationships/settings" Target="settings.xml"/><Relationship Id="rId9" Type="http://schemas.openxmlformats.org/officeDocument/2006/relationships/hyperlink" Target="https://www.the-national.com.au/artists/alex-martinis-roe/it-was-about-opening-the-very-notion-that-there-was-a-particular-perspectiv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genovese@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D3CF-CA7E-0243-A46D-F2917A238B59}">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177</TotalTime>
  <Pages>20</Pages>
  <Words>7932</Words>
  <Characters>42757</Characters>
  <Application>Microsoft Office Word</Application>
  <DocSecurity>0</DocSecurity>
  <Lines>619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Genovese</dc:creator>
  <cp:keywords/>
  <dc:description/>
  <cp:lastModifiedBy>Rosemary Hunter</cp:lastModifiedBy>
  <cp:revision>21</cp:revision>
  <cp:lastPrinted>2023-02-02T05:43:00Z</cp:lastPrinted>
  <dcterms:created xsi:type="dcterms:W3CDTF">2025-11-05T17:36:00Z</dcterms:created>
  <dcterms:modified xsi:type="dcterms:W3CDTF">2025-11-07T23:15:00Z</dcterms:modified>
</cp:coreProperties>
</file>