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1A82" w14:textId="59172443" w:rsidR="00776038" w:rsidRPr="000C56A1" w:rsidRDefault="00F67CC9" w:rsidP="007E405E">
      <w:pPr>
        <w:pStyle w:val="Title"/>
      </w:pPr>
      <w:r w:rsidRPr="000C56A1">
        <w:t xml:space="preserve">The </w:t>
      </w:r>
      <w:r w:rsidR="00AD1239" w:rsidRPr="000C56A1">
        <w:t>R</w:t>
      </w:r>
      <w:r w:rsidRPr="000C56A1">
        <w:t xml:space="preserve">epercussions of </w:t>
      </w:r>
      <w:r w:rsidR="00B81196" w:rsidRPr="000C56A1">
        <w:t xml:space="preserve">a </w:t>
      </w:r>
      <w:r w:rsidR="00AD1239" w:rsidRPr="000C56A1">
        <w:t>B</w:t>
      </w:r>
      <w:r w:rsidRPr="000C56A1">
        <w:t xml:space="preserve">ad </w:t>
      </w:r>
      <w:r w:rsidR="00AD1239" w:rsidRPr="000C56A1">
        <w:t>D</w:t>
      </w:r>
      <w:r w:rsidRPr="000C56A1">
        <w:t xml:space="preserve">ecision: </w:t>
      </w:r>
      <w:r w:rsidR="004E62A8" w:rsidRPr="000C56A1">
        <w:t xml:space="preserve">How the </w:t>
      </w:r>
      <w:r w:rsidR="004E62A8" w:rsidRPr="000C56A1">
        <w:rPr>
          <w:i/>
          <w:iCs/>
        </w:rPr>
        <w:t xml:space="preserve">For Women </w:t>
      </w:r>
      <w:r w:rsidR="004E62A8" w:rsidRPr="000C56A1">
        <w:t xml:space="preserve">Judgment is in </w:t>
      </w:r>
      <w:r w:rsidR="000C56A1">
        <w:t>F</w:t>
      </w:r>
      <w:r w:rsidR="004E62A8" w:rsidRPr="000C56A1">
        <w:t xml:space="preserve">act, </w:t>
      </w:r>
      <w:r w:rsidR="004E62A8" w:rsidRPr="000C56A1">
        <w:rPr>
          <w:i/>
          <w:iCs/>
        </w:rPr>
        <w:t>For Men</w:t>
      </w:r>
    </w:p>
    <w:p w14:paraId="30D5C32F" w14:textId="77777777" w:rsidR="009B2228" w:rsidRDefault="009B2228" w:rsidP="000C56A1">
      <w:pPr>
        <w:rPr>
          <w:b/>
          <w:bCs/>
        </w:rPr>
      </w:pPr>
    </w:p>
    <w:p w14:paraId="5E77F91C" w14:textId="67D7061D" w:rsidR="00827E8B" w:rsidRPr="000C56A1" w:rsidRDefault="00827E8B" w:rsidP="000C56A1">
      <w:pPr>
        <w:rPr>
          <w:b/>
          <w:bCs/>
        </w:rPr>
      </w:pPr>
      <w:r w:rsidRPr="000C56A1">
        <w:rPr>
          <w:b/>
          <w:bCs/>
        </w:rPr>
        <w:t xml:space="preserve">Carin </w:t>
      </w:r>
      <w:proofErr w:type="spellStart"/>
      <w:r w:rsidRPr="000C56A1">
        <w:rPr>
          <w:b/>
          <w:bCs/>
        </w:rPr>
        <w:t>Tunåker</w:t>
      </w:r>
      <w:proofErr w:type="spellEnd"/>
      <w:r w:rsidR="00537092" w:rsidRPr="00537092">
        <w:rPr>
          <w:rStyle w:val="FootnoteReference"/>
          <w:sz w:val="28"/>
          <w:szCs w:val="28"/>
        </w:rPr>
        <w:footnoteReference w:customMarkFollows="1" w:id="1"/>
        <w:t>*</w:t>
      </w:r>
    </w:p>
    <w:p w14:paraId="576003AF" w14:textId="77777777" w:rsidR="005E5A56" w:rsidRDefault="005E5A56" w:rsidP="00277776">
      <w:pPr>
        <w:jc w:val="center"/>
        <w:rPr>
          <w:i/>
          <w:iCs/>
        </w:rPr>
      </w:pPr>
    </w:p>
    <w:p w14:paraId="2B1BC9F4" w14:textId="14AC2351" w:rsidR="0018048C" w:rsidRDefault="0018048C" w:rsidP="00277776">
      <w:pPr>
        <w:jc w:val="center"/>
      </w:pPr>
      <w:r w:rsidRPr="00277776">
        <w:rPr>
          <w:i/>
          <w:iCs/>
        </w:rPr>
        <w:t>“Why is freedom so frightening? Is that even the question? Or is it rather: How has freedom been made to seem so frightening that people find themselves longing for authoritarian rule?”</w:t>
      </w:r>
      <w:r>
        <w:t xml:space="preserve"> (Butler 2024: 3)</w:t>
      </w:r>
    </w:p>
    <w:p w14:paraId="48B37583" w14:textId="020DFFCE" w:rsidR="004A1542" w:rsidRPr="00DC2257" w:rsidRDefault="0018048C" w:rsidP="0018048C">
      <w:pPr>
        <w:jc w:val="both"/>
      </w:pPr>
      <w:r>
        <w:t xml:space="preserve">Few concerns in our recent history have destabilised the public conscience more than the threat of changing what some see as immutable facts of life; the existence of </w:t>
      </w:r>
      <w:r w:rsidR="00622902">
        <w:t xml:space="preserve">the </w:t>
      </w:r>
      <w:r>
        <w:t xml:space="preserve">binary opposites of ‘man’ and ‘woman’. </w:t>
      </w:r>
      <w:r w:rsidR="00FF73E5">
        <w:t>The UK Supreme Court</w:t>
      </w:r>
      <w:r w:rsidR="00770F6B">
        <w:t xml:space="preserve"> </w:t>
      </w:r>
      <w:r w:rsidR="00206C65">
        <w:t>(</w:t>
      </w:r>
      <w:r w:rsidR="00770F6B">
        <w:t>UKSC</w:t>
      </w:r>
      <w:r w:rsidR="00206C65">
        <w:t>)’s</w:t>
      </w:r>
      <w:r w:rsidR="00FF73E5">
        <w:t xml:space="preserve"> </w:t>
      </w:r>
      <w:hyperlink r:id="rId8" w:history="1">
        <w:r w:rsidR="00FF73E5" w:rsidRPr="00C32642">
          <w:rPr>
            <w:rStyle w:val="Hyperlink"/>
          </w:rPr>
          <w:t>recent decision</w:t>
        </w:r>
      </w:hyperlink>
      <w:r w:rsidR="006856C2">
        <w:t xml:space="preserve">, </w:t>
      </w:r>
      <w:r w:rsidR="00FF73E5" w:rsidRPr="00FF73E5">
        <w:t xml:space="preserve">which reasserts a biologically essentialist definition of </w:t>
      </w:r>
      <w:r w:rsidR="0096722C">
        <w:t>‘</w:t>
      </w:r>
      <w:r w:rsidR="00FF73E5" w:rsidRPr="00FF73E5">
        <w:t>woman</w:t>
      </w:r>
      <w:r w:rsidR="0096722C">
        <w:t>’</w:t>
      </w:r>
      <w:r w:rsidR="00FF73E5" w:rsidRPr="00FF73E5">
        <w:t xml:space="preserve"> under the </w:t>
      </w:r>
      <w:hyperlink r:id="rId9" w:history="1">
        <w:r w:rsidR="00FF73E5" w:rsidRPr="00934C8F">
          <w:rPr>
            <w:rStyle w:val="Hyperlink"/>
          </w:rPr>
          <w:t>Equality Act 2010</w:t>
        </w:r>
      </w:hyperlink>
      <w:r w:rsidR="00AB1A69">
        <w:t xml:space="preserve"> </w:t>
      </w:r>
      <w:r w:rsidR="00206C65">
        <w:t>(</w:t>
      </w:r>
      <w:r w:rsidR="00AB1A69">
        <w:t>EA</w:t>
      </w:r>
      <w:r w:rsidR="00206C65">
        <w:t>)</w:t>
      </w:r>
      <w:r w:rsidR="00FF73E5">
        <w:t xml:space="preserve">, </w:t>
      </w:r>
      <w:r w:rsidR="00FF73E5" w:rsidRPr="00FF73E5">
        <w:t xml:space="preserve">marks not just a legal clarification but a cultural inflection point in the UK’s gender politics. It signals a juridical retreat from the plural and lived realities of gender, reinstating a rigid binary </w:t>
      </w:r>
      <w:r w:rsidR="0029409B">
        <w:t xml:space="preserve">that erases </w:t>
      </w:r>
      <w:r w:rsidR="00B6478B">
        <w:t xml:space="preserve">decades of scholarship and </w:t>
      </w:r>
      <w:r w:rsidR="007D5400">
        <w:t>knowledge</w:t>
      </w:r>
      <w:r w:rsidR="00EF1530">
        <w:t xml:space="preserve"> of </w:t>
      </w:r>
      <w:r w:rsidR="00926F16">
        <w:t>gender</w:t>
      </w:r>
      <w:r w:rsidR="002C5DBE">
        <w:t xml:space="preserve"> </w:t>
      </w:r>
      <w:r w:rsidR="004D1B34">
        <w:t>–</w:t>
      </w:r>
      <w:r w:rsidR="00E41066">
        <w:t xml:space="preserve"> and</w:t>
      </w:r>
      <w:r w:rsidR="004D1B34">
        <w:t xml:space="preserve"> </w:t>
      </w:r>
      <w:r w:rsidR="00E41066">
        <w:t xml:space="preserve">sex </w:t>
      </w:r>
      <w:r w:rsidR="004D1B34">
        <w:t>–</w:t>
      </w:r>
      <w:r w:rsidR="00E41066">
        <w:t xml:space="preserve"> </w:t>
      </w:r>
      <w:r w:rsidR="002C5DBE">
        <w:t>as</w:t>
      </w:r>
      <w:r w:rsidR="004D1B34">
        <w:t xml:space="preserve"> s</w:t>
      </w:r>
      <w:r w:rsidR="00CB6FED">
        <w:t xml:space="preserve">ocial </w:t>
      </w:r>
      <w:r w:rsidR="002C5DBE">
        <w:t>construct</w:t>
      </w:r>
      <w:r w:rsidR="00E41066">
        <w:t>s</w:t>
      </w:r>
      <w:r w:rsidR="002C5DBE">
        <w:t xml:space="preserve"> and fluid </w:t>
      </w:r>
      <w:r w:rsidR="001627FC">
        <w:t>concept</w:t>
      </w:r>
      <w:r w:rsidR="00E41066">
        <w:t>s</w:t>
      </w:r>
      <w:r w:rsidR="00FF73E5" w:rsidRPr="00FF73E5">
        <w:t>.</w:t>
      </w:r>
      <w:r w:rsidR="00FF73E5">
        <w:t xml:space="preserve"> As Butler’s quote </w:t>
      </w:r>
      <w:r w:rsidR="00277776">
        <w:t>suggests, t</w:t>
      </w:r>
      <w:r w:rsidR="00FF73E5" w:rsidRPr="00FF73E5">
        <w:t>he narrowing of legal categories is not merely administrative, but symptomatic of a broader cultural panic in which gender becomes a proxy for anxieties about social change, democratic plurality, and the erosion of traditional hierarchies. In this context, the law does not just define</w:t>
      </w:r>
      <w:r w:rsidR="00277776">
        <w:t xml:space="preserve">, </w:t>
      </w:r>
      <w:r w:rsidR="00FF73E5" w:rsidRPr="00FF73E5">
        <w:t>it disciplines</w:t>
      </w:r>
      <w:r w:rsidR="00277776">
        <w:t xml:space="preserve"> and</w:t>
      </w:r>
      <w:r w:rsidR="00FF73E5" w:rsidRPr="00FF73E5">
        <w:t xml:space="preserve"> reinscrib</w:t>
      </w:r>
      <w:r w:rsidR="00277776">
        <w:t>es</w:t>
      </w:r>
      <w:r w:rsidR="00FF73E5" w:rsidRPr="00FF73E5">
        <w:t xml:space="preserve"> the boundaries of who counts, who is protected, and who is rendered illegible. The stakes are not abstract: they shape the conditions of recognition, care, and survival for those whose lives defy the neatness of legal sex.</w:t>
      </w:r>
      <w:r w:rsidR="00D87DF2">
        <w:t xml:space="preserve"> The </w:t>
      </w:r>
      <w:r w:rsidR="00A11242">
        <w:t xml:space="preserve">ruling also </w:t>
      </w:r>
      <w:r w:rsidR="004E415B">
        <w:t xml:space="preserve">inadvertently </w:t>
      </w:r>
      <w:r w:rsidR="00B26D73">
        <w:t xml:space="preserve">reinstates a </w:t>
      </w:r>
      <w:r w:rsidR="00CE465A">
        <w:t xml:space="preserve">gender binary that </w:t>
      </w:r>
      <w:r w:rsidR="005E5A39">
        <w:t>hinges o</w:t>
      </w:r>
      <w:r w:rsidR="006F49F3">
        <w:t>n</w:t>
      </w:r>
      <w:r w:rsidR="005E5A39">
        <w:t xml:space="preserve"> our social understanding of gendered roles</w:t>
      </w:r>
      <w:r w:rsidR="00C40B55">
        <w:t xml:space="preserve">, which </w:t>
      </w:r>
      <w:r w:rsidR="00477D4F">
        <w:t xml:space="preserve">traditionally and historically </w:t>
      </w:r>
      <w:r w:rsidR="00CE25AE">
        <w:t>places men in a position of power over women</w:t>
      </w:r>
      <w:r w:rsidR="00F3490F">
        <w:t xml:space="preserve"> (and any other gender for that matter). </w:t>
      </w:r>
      <w:r w:rsidR="00C956F0">
        <w:t xml:space="preserve">In this </w:t>
      </w:r>
      <w:r w:rsidR="00FE37EF">
        <w:t xml:space="preserve">short reflection I will consider what the repercussions </w:t>
      </w:r>
      <w:r w:rsidR="00297665">
        <w:t xml:space="preserve">of this ruling </w:t>
      </w:r>
      <w:r w:rsidR="00FE37EF">
        <w:t xml:space="preserve">are for people living </w:t>
      </w:r>
      <w:r w:rsidR="00794960">
        <w:t>gender in fluid and transformative ways</w:t>
      </w:r>
      <w:r w:rsidR="00AF16EB">
        <w:t>, and challenge the assumptio</w:t>
      </w:r>
      <w:r w:rsidR="004A326B">
        <w:t xml:space="preserve">n </w:t>
      </w:r>
      <w:r w:rsidR="00563591">
        <w:t>made by the claimant</w:t>
      </w:r>
      <w:r w:rsidR="0078633E">
        <w:t xml:space="preserve"> that the </w:t>
      </w:r>
      <w:r w:rsidR="005D6B9D">
        <w:t>outcome of this case will b</w:t>
      </w:r>
      <w:r w:rsidR="005E422C">
        <w:t>enefit anyone other than cis</w:t>
      </w:r>
      <w:r w:rsidR="00AD2625">
        <w:t xml:space="preserve"> men. </w:t>
      </w:r>
    </w:p>
    <w:p w14:paraId="06519216" w14:textId="6A8FCF8D" w:rsidR="004A1542" w:rsidRDefault="009F4E53" w:rsidP="00776C24">
      <w:pPr>
        <w:jc w:val="both"/>
      </w:pPr>
      <w:r>
        <w:t xml:space="preserve">The </w:t>
      </w:r>
      <w:r w:rsidR="00DC2257">
        <w:rPr>
          <w:i/>
          <w:iCs/>
        </w:rPr>
        <w:t>FWS</w:t>
      </w:r>
      <w:r w:rsidR="00770F6B">
        <w:t xml:space="preserve"> </w:t>
      </w:r>
      <w:r>
        <w:t xml:space="preserve">ruling interpreted the </w:t>
      </w:r>
      <w:r w:rsidR="00A42CB1">
        <w:t>term</w:t>
      </w:r>
      <w:r>
        <w:t xml:space="preserve"> </w:t>
      </w:r>
      <w:r w:rsidR="007634D1">
        <w:t>‘</w:t>
      </w:r>
      <w:r>
        <w:t>woman</w:t>
      </w:r>
      <w:r w:rsidR="007634D1">
        <w:t>’</w:t>
      </w:r>
      <w:r>
        <w:t xml:space="preserve"> </w:t>
      </w:r>
      <w:r w:rsidR="00AF3853">
        <w:t xml:space="preserve">in the Equality Act 2010 </w:t>
      </w:r>
      <w:r>
        <w:t>to refer to biological sex rather than acquired gender</w:t>
      </w:r>
      <w:r w:rsidR="001A6C92">
        <w:t xml:space="preserve">, </w:t>
      </w:r>
      <w:r w:rsidR="00156E99">
        <w:t>erasing the</w:t>
      </w:r>
      <w:r w:rsidR="001103E6">
        <w:t xml:space="preserve"> rights previously </w:t>
      </w:r>
      <w:r w:rsidR="00AF3853">
        <w:t xml:space="preserve">presumed to be </w:t>
      </w:r>
      <w:r w:rsidR="001103E6">
        <w:t>held through</w:t>
      </w:r>
      <w:r>
        <w:t xml:space="preserve"> Gender Recognition Certificate</w:t>
      </w:r>
      <w:r w:rsidR="001103E6">
        <w:t>s</w:t>
      </w:r>
      <w:r>
        <w:t xml:space="preserve"> </w:t>
      </w:r>
      <w:r w:rsidR="007634D1">
        <w:t>(</w:t>
      </w:r>
      <w:r>
        <w:t>GRC</w:t>
      </w:r>
      <w:r w:rsidR="001103E6">
        <w:t>s</w:t>
      </w:r>
      <w:r w:rsidR="007634D1">
        <w:t>)</w:t>
      </w:r>
      <w:r w:rsidR="00AB1A69">
        <w:t xml:space="preserve"> </w:t>
      </w:r>
      <w:r w:rsidR="00765A10">
        <w:t xml:space="preserve">where </w:t>
      </w:r>
      <w:r w:rsidR="005A5809">
        <w:t xml:space="preserve">lived gender served </w:t>
      </w:r>
      <w:r w:rsidR="00D6094D">
        <w:t>“</w:t>
      </w:r>
      <w:r w:rsidR="005A5809">
        <w:t xml:space="preserve">for </w:t>
      </w:r>
      <w:r w:rsidR="007D03DE">
        <w:t>all purposes</w:t>
      </w:r>
      <w:r w:rsidR="00D6094D">
        <w:t>”</w:t>
      </w:r>
      <w:r w:rsidR="00AF3853">
        <w:t xml:space="preserve">, subject to </w:t>
      </w:r>
      <w:r w:rsidR="00D6094D">
        <w:t xml:space="preserve">a </w:t>
      </w:r>
      <w:r w:rsidR="00AF3853">
        <w:t>narrow exception</w:t>
      </w:r>
      <w:r w:rsidR="00415360">
        <w:t xml:space="preserve"> (see</w:t>
      </w:r>
      <w:r w:rsidR="00C639BF">
        <w:t xml:space="preserve"> Hunter,</w:t>
      </w:r>
      <w:r w:rsidR="00415360">
        <w:t xml:space="preserve"> this issue)</w:t>
      </w:r>
      <w:r w:rsidR="007D03DE">
        <w:t xml:space="preserve">. </w:t>
      </w:r>
      <w:r w:rsidR="004A1542">
        <w:t xml:space="preserve">Despite the court’s insistence that transgender individuals </w:t>
      </w:r>
      <w:r w:rsidR="00AF3853">
        <w:t>retain their rights through the ground of ‘gender reassignment’</w:t>
      </w:r>
      <w:r w:rsidR="00662A13">
        <w:t xml:space="preserve"> </w:t>
      </w:r>
      <w:r w:rsidR="00AF3853">
        <w:t xml:space="preserve">in </w:t>
      </w:r>
      <w:r w:rsidR="004A1542">
        <w:t xml:space="preserve">the Equality Act 2010, the ruling’s real implications </w:t>
      </w:r>
      <w:r w:rsidR="0018048C">
        <w:t>were seen following the</w:t>
      </w:r>
      <w:r w:rsidR="004A1542">
        <w:t xml:space="preserve"> subsequent </w:t>
      </w:r>
      <w:hyperlink r:id="rId10" w:history="1">
        <w:r w:rsidR="008A5172" w:rsidRPr="00781A04">
          <w:rPr>
            <w:rStyle w:val="Hyperlink"/>
          </w:rPr>
          <w:t xml:space="preserve">‘interim’ </w:t>
        </w:r>
        <w:r w:rsidR="00212009">
          <w:rPr>
            <w:rStyle w:val="Hyperlink"/>
          </w:rPr>
          <w:t>update</w:t>
        </w:r>
      </w:hyperlink>
      <w:r w:rsidR="004A1542">
        <w:t xml:space="preserve"> from the Equality and Human Rights Commission</w:t>
      </w:r>
      <w:r w:rsidR="008A5172">
        <w:t xml:space="preserve"> (</w:t>
      </w:r>
      <w:hyperlink r:id="rId11" w:history="1">
        <w:r w:rsidR="004A7678" w:rsidRPr="004A7678">
          <w:rPr>
            <w:rStyle w:val="Hyperlink"/>
          </w:rPr>
          <w:t xml:space="preserve">in </w:t>
        </w:r>
        <w:r w:rsidR="004A7678" w:rsidRPr="004A7678">
          <w:rPr>
            <w:rStyle w:val="Hyperlink"/>
          </w:rPr>
          <w:lastRenderedPageBreak/>
          <w:t>review</w:t>
        </w:r>
      </w:hyperlink>
      <w:r w:rsidR="004A7678">
        <w:t xml:space="preserve"> at the time of writing)</w:t>
      </w:r>
      <w:r w:rsidR="004A1542">
        <w:t>, which set out p</w:t>
      </w:r>
      <w:r w:rsidR="00AF3853">
        <w:t>a</w:t>
      </w:r>
      <w:r w:rsidR="004A1542">
        <w:t>r</w:t>
      </w:r>
      <w:r w:rsidR="00AF3853">
        <w:t>a</w:t>
      </w:r>
      <w:r w:rsidR="004A1542">
        <w:t xml:space="preserve">meters </w:t>
      </w:r>
      <w:r w:rsidR="0018048C">
        <w:t xml:space="preserve">of how the ruling would be interpreted in real life situations. For example, the guidance </w:t>
      </w:r>
      <w:r w:rsidR="00CD2CF0">
        <w:t>state</w:t>
      </w:r>
      <w:r w:rsidR="00AF3853">
        <w:t xml:space="preserve">d </w:t>
      </w:r>
      <w:r w:rsidR="0018048C">
        <w:t>that workplaces must</w:t>
      </w:r>
      <w:r w:rsidR="004A1542">
        <w:t xml:space="preserve"> provide single-sex toilets and changing facilities in line with the </w:t>
      </w:r>
      <w:hyperlink r:id="rId12" w:history="1">
        <w:r w:rsidR="004A1542" w:rsidRPr="00FE0B33">
          <w:rPr>
            <w:rStyle w:val="Hyperlink"/>
          </w:rPr>
          <w:t>Workplace (Health, Safety and Welfare) Regulations 1992</w:t>
        </w:r>
      </w:hyperlink>
      <w:r w:rsidR="0018048C">
        <w:t xml:space="preserve"> and that facilities</w:t>
      </w:r>
      <w:r w:rsidR="004A1542">
        <w:t xml:space="preserve"> must be </w:t>
      </w:r>
      <w:r w:rsidR="00601887">
        <w:t>‘</w:t>
      </w:r>
      <w:r w:rsidR="004A1542">
        <w:t>suitable and sufficient</w:t>
      </w:r>
      <w:r w:rsidR="00601887">
        <w:t>’</w:t>
      </w:r>
      <w:r w:rsidR="004A1542">
        <w:t>, with some flexibility (e.g. lockable unisex cubicles).</w:t>
      </w:r>
      <w:r w:rsidR="00FF73E5">
        <w:t xml:space="preserve"> It also emphasises that public services and spaces with single-sex provision, such as </w:t>
      </w:r>
      <w:r w:rsidR="004A1542">
        <w:t>refuges, hospital wards, leisure centres</w:t>
      </w:r>
      <w:r w:rsidR="00FF73E5">
        <w:t>, may lawfully restrict access if t</w:t>
      </w:r>
      <w:r w:rsidR="004A1542">
        <w:t>hey pursue a legitimate aim</w:t>
      </w:r>
      <w:r w:rsidR="00FF73E5">
        <w:t xml:space="preserve"> and they</w:t>
      </w:r>
      <w:r w:rsidR="004A1542">
        <w:t xml:space="preserve"> are a proportionate means of achieving that aim.</w:t>
      </w:r>
      <w:r w:rsidR="00FF73E5">
        <w:t xml:space="preserve"> The guidance makes clear that f</w:t>
      </w:r>
      <w:r w:rsidR="004A1542">
        <w:t xml:space="preserve">ailure to provide single-sex options may constitute indirect sex discrimination against </w:t>
      </w:r>
      <w:r w:rsidR="008D73BC">
        <w:t>‘</w:t>
      </w:r>
      <w:r w:rsidR="004A1542">
        <w:t>women</w:t>
      </w:r>
      <w:r w:rsidR="008D73BC">
        <w:t>’</w:t>
      </w:r>
      <w:r w:rsidR="00901D8B">
        <w:t xml:space="preserve"> (based on biological sex, because </w:t>
      </w:r>
      <w:r w:rsidR="00D3616C">
        <w:t xml:space="preserve">transgender women </w:t>
      </w:r>
      <w:r w:rsidR="00041CB0">
        <w:t>will not experience discrimination?</w:t>
      </w:r>
      <w:r w:rsidR="00AF6A2A">
        <w:t>)</w:t>
      </w:r>
      <w:r w:rsidR="004A1542">
        <w:t>.</w:t>
      </w:r>
      <w:r w:rsidR="00B701B1">
        <w:t xml:space="preserve"> </w:t>
      </w:r>
      <w:r w:rsidR="00186460">
        <w:t>A solution</w:t>
      </w:r>
      <w:r w:rsidR="00DE6DF8">
        <w:t xml:space="preserve">, </w:t>
      </w:r>
      <w:r w:rsidR="00B67B27">
        <w:t>the guidance</w:t>
      </w:r>
      <w:r w:rsidR="00DE6DF8">
        <w:t xml:space="preserve"> claims, is the creation of third spaces for gender-nonconforming individuals</w:t>
      </w:r>
      <w:r w:rsidR="00505915">
        <w:t>.</w:t>
      </w:r>
      <w:r w:rsidR="00DE6DF8">
        <w:t xml:space="preserve"> </w:t>
      </w:r>
      <w:r w:rsidR="00505915">
        <w:t>A</w:t>
      </w:r>
      <w:r w:rsidR="00DE6DF8">
        <w:t xml:space="preserve"> </w:t>
      </w:r>
      <w:r w:rsidR="00296F6E">
        <w:t xml:space="preserve">‘neutral’ </w:t>
      </w:r>
      <w:r w:rsidR="00F81FF1">
        <w:t>space designated for the odd ones out</w:t>
      </w:r>
      <w:r w:rsidR="00296F6E">
        <w:t>;</w:t>
      </w:r>
      <w:r w:rsidR="00EC2DCD">
        <w:t xml:space="preserve"> trans people, butch lesbians, </w:t>
      </w:r>
      <w:r w:rsidR="005111A5">
        <w:t>feminine gays</w:t>
      </w:r>
      <w:r w:rsidR="003506C7">
        <w:t>, basically</w:t>
      </w:r>
      <w:r w:rsidR="00C27BFA">
        <w:t xml:space="preserve"> anyone not fitting neatly into the</w:t>
      </w:r>
      <w:r w:rsidR="0056019A">
        <w:t xml:space="preserve"> </w:t>
      </w:r>
      <w:r w:rsidR="001D06E2">
        <w:t>categories of ‘man’ and ‘woman’</w:t>
      </w:r>
      <w:r w:rsidR="003D5F3A">
        <w:t>, as</w:t>
      </w:r>
      <w:r w:rsidR="00054244">
        <w:t xml:space="preserve"> societal opinion dictates. Of course, such neutral spaces</w:t>
      </w:r>
      <w:proofErr w:type="gramStart"/>
      <w:r w:rsidR="00B233FE">
        <w:t>,</w:t>
      </w:r>
      <w:r w:rsidR="00054244">
        <w:t xml:space="preserve"> in reality</w:t>
      </w:r>
      <w:r w:rsidR="00B233FE">
        <w:t>,</w:t>
      </w:r>
      <w:r w:rsidR="00054244">
        <w:t xml:space="preserve"> rarely</w:t>
      </w:r>
      <w:proofErr w:type="gramEnd"/>
      <w:r w:rsidR="00054244">
        <w:t xml:space="preserve"> exist. </w:t>
      </w:r>
      <w:r w:rsidR="00094FCF">
        <w:t xml:space="preserve">Services, </w:t>
      </w:r>
      <w:r w:rsidR="00D566E9">
        <w:t xml:space="preserve">hospitals, </w:t>
      </w:r>
      <w:r w:rsidR="00237F17">
        <w:t xml:space="preserve">refuges, </w:t>
      </w:r>
      <w:r w:rsidR="00D444C8">
        <w:t>hostels</w:t>
      </w:r>
      <w:r w:rsidR="009579D6">
        <w:t xml:space="preserve"> and other spaces of care</w:t>
      </w:r>
      <w:r w:rsidR="00BF2219">
        <w:t xml:space="preserve"> are already set up</w:t>
      </w:r>
      <w:r w:rsidR="00893919">
        <w:t xml:space="preserve"> for a binary </w:t>
      </w:r>
      <w:r w:rsidR="00186224">
        <w:t>world</w:t>
      </w:r>
      <w:r w:rsidR="00893919">
        <w:t xml:space="preserve">. </w:t>
      </w:r>
    </w:p>
    <w:p w14:paraId="7D5D8E97" w14:textId="4CCFC62B" w:rsidR="00277776" w:rsidRDefault="00277776" w:rsidP="00277776">
      <w:pPr>
        <w:jc w:val="both"/>
      </w:pPr>
      <w:r>
        <w:t xml:space="preserve">The </w:t>
      </w:r>
      <w:r w:rsidR="00AF3853">
        <w:t xml:space="preserve">interim update </w:t>
      </w:r>
      <w:r>
        <w:t xml:space="preserve">has added fuel to an already toxic, misguided and inflammable debate on the legitimacy of existence for gender-nonconforming people. </w:t>
      </w:r>
      <w:r w:rsidR="007E1044">
        <w:t xml:space="preserve">Social media </w:t>
      </w:r>
      <w:r w:rsidR="006D4843">
        <w:t xml:space="preserve">in the last </w:t>
      </w:r>
      <w:r w:rsidR="00EE421D">
        <w:t>five years or so has been</w:t>
      </w:r>
      <w:r w:rsidR="007E1044">
        <w:t xml:space="preserve"> a dangerous </w:t>
      </w:r>
      <w:r w:rsidR="00DD570E">
        <w:t>space</w:t>
      </w:r>
      <w:r w:rsidR="007E1044">
        <w:t xml:space="preserve"> for trans and nonbinary people, where public figures such as celebrities and politicians openly negate the existence</w:t>
      </w:r>
      <w:r w:rsidR="00AE4CF2">
        <w:t xml:space="preserve"> of genders beyond the binary</w:t>
      </w:r>
      <w:r w:rsidR="00D70298">
        <w:t xml:space="preserve"> (</w:t>
      </w:r>
      <w:hyperlink r:id="rId13" w:history="1">
        <w:r w:rsidR="00D70298" w:rsidRPr="006A7359">
          <w:rPr>
            <w:rStyle w:val="Hyperlink"/>
          </w:rPr>
          <w:t>Connolly et al</w:t>
        </w:r>
        <w:r w:rsidR="00095812">
          <w:rPr>
            <w:rStyle w:val="Hyperlink"/>
          </w:rPr>
          <w:t>.</w:t>
        </w:r>
        <w:r w:rsidR="00D70298" w:rsidRPr="006A7359">
          <w:rPr>
            <w:rStyle w:val="Hyperlink"/>
          </w:rPr>
          <w:t xml:space="preserve"> 2025</w:t>
        </w:r>
      </w:hyperlink>
      <w:r w:rsidR="00D70298">
        <w:t>)</w:t>
      </w:r>
      <w:r w:rsidR="007E1044">
        <w:t xml:space="preserve">. The </w:t>
      </w:r>
      <w:r w:rsidR="003077BD">
        <w:rPr>
          <w:i/>
          <w:iCs/>
        </w:rPr>
        <w:t>FWS</w:t>
      </w:r>
      <w:r w:rsidR="007E1044">
        <w:t xml:space="preserve"> ruling and the subsequent guidance added </w:t>
      </w:r>
      <w:r w:rsidR="002E1194">
        <w:t>explosives</w:t>
      </w:r>
      <w:r w:rsidR="007E1044">
        <w:t xml:space="preserve"> to the fire, creating an unhinged environment of discriminatory language and outright hate speech. This is not limited to the digital world; trans and nonbinary people </w:t>
      </w:r>
      <w:r w:rsidR="00EB08CD">
        <w:t>(</w:t>
      </w:r>
      <w:r w:rsidR="00B21694">
        <w:t xml:space="preserve">and </w:t>
      </w:r>
      <w:r w:rsidR="00C636B7">
        <w:t xml:space="preserve">nonconforming cis people) </w:t>
      </w:r>
      <w:r w:rsidR="007E1044">
        <w:t>are now seeing an exponential rise in hate crime and harassment in public life</w:t>
      </w:r>
      <w:r w:rsidR="00430DC6">
        <w:t xml:space="preserve"> (</w:t>
      </w:r>
      <w:proofErr w:type="spellStart"/>
      <w:r w:rsidR="00430DC6">
        <w:fldChar w:fldCharType="begin"/>
      </w:r>
      <w:r w:rsidR="00430DC6">
        <w:instrText>HYPERLINK "https://transactual.org.uk/impacts-of-the-supreme-court-ruling-on-trans-people/trans-segregation-in-practice/"</w:instrText>
      </w:r>
      <w:r w:rsidR="00430DC6">
        <w:fldChar w:fldCharType="separate"/>
      </w:r>
      <w:r w:rsidR="00430DC6" w:rsidRPr="0037512D">
        <w:rPr>
          <w:rStyle w:val="Hyperlink"/>
        </w:rPr>
        <w:t>Trans</w:t>
      </w:r>
      <w:r w:rsidR="00B233FE">
        <w:rPr>
          <w:rStyle w:val="Hyperlink"/>
        </w:rPr>
        <w:t>A</w:t>
      </w:r>
      <w:r w:rsidR="00430DC6" w:rsidRPr="0037512D">
        <w:rPr>
          <w:rStyle w:val="Hyperlink"/>
        </w:rPr>
        <w:t>ctual</w:t>
      </w:r>
      <w:proofErr w:type="spellEnd"/>
      <w:r w:rsidR="00430DC6" w:rsidRPr="0037512D">
        <w:rPr>
          <w:rStyle w:val="Hyperlink"/>
        </w:rPr>
        <w:t xml:space="preserve"> 2025</w:t>
      </w:r>
      <w:r w:rsidR="00430DC6">
        <w:fldChar w:fldCharType="end"/>
      </w:r>
      <w:r w:rsidR="00430DC6">
        <w:t>)</w:t>
      </w:r>
      <w:r w:rsidR="007E1044">
        <w:t xml:space="preserve">. </w:t>
      </w:r>
    </w:p>
    <w:p w14:paraId="72D7BA0F" w14:textId="6C2AF2D4" w:rsidR="00FF73E5" w:rsidRDefault="0087352C" w:rsidP="00ED03C4">
      <w:pPr>
        <w:jc w:val="both"/>
      </w:pPr>
      <w:r>
        <w:t>The hardest edge of discrimination i</w:t>
      </w:r>
      <w:r w:rsidR="00CD2CF0">
        <w:t>s</w:t>
      </w:r>
      <w:r>
        <w:t xml:space="preserve"> often seen </w:t>
      </w:r>
      <w:r w:rsidR="005E4F17">
        <w:t xml:space="preserve">among </w:t>
      </w:r>
      <w:r w:rsidR="00744FE3">
        <w:t xml:space="preserve">queer </w:t>
      </w:r>
      <w:r w:rsidR="005E4F17">
        <w:t xml:space="preserve">people experiencing </w:t>
      </w:r>
      <w:r w:rsidR="00D4324A">
        <w:t xml:space="preserve">social </w:t>
      </w:r>
      <w:r w:rsidR="007B5B42">
        <w:t xml:space="preserve">disadvantage, </w:t>
      </w:r>
      <w:r w:rsidR="00DA3BD0">
        <w:t xml:space="preserve">poverty and </w:t>
      </w:r>
      <w:r w:rsidR="005E4F17">
        <w:t xml:space="preserve">homelessness. </w:t>
      </w:r>
      <w:r w:rsidR="00316071">
        <w:t>For example, p</w:t>
      </w:r>
      <w:r w:rsidR="005E4F17">
        <w:t xml:space="preserve">eople with intersections of social disadvantage </w:t>
      </w:r>
      <w:r w:rsidR="006A4BC6">
        <w:t xml:space="preserve">(such as </w:t>
      </w:r>
      <w:r w:rsidR="000B4407">
        <w:t xml:space="preserve">minoritised ethnic groups, people with disabilities and queer people) </w:t>
      </w:r>
      <w:r w:rsidR="005E4F17">
        <w:t>are more likely to experience homelessness, and trans people are hugely overrepresented in homelessness</w:t>
      </w:r>
      <w:r w:rsidR="00DE2EE1">
        <w:t xml:space="preserve"> statistics</w:t>
      </w:r>
      <w:r w:rsidR="00225766">
        <w:t xml:space="preserve"> (</w:t>
      </w:r>
      <w:proofErr w:type="spellStart"/>
      <w:r w:rsidR="00225766">
        <w:fldChar w:fldCharType="begin"/>
      </w:r>
      <w:r w:rsidR="00225766">
        <w:instrText>HYPERLINK "https://www.akt.org.uk/lgbt-youth-homelessness-research-report-2025-theres-no-place-like-home/"</w:instrText>
      </w:r>
      <w:r w:rsidR="00225766">
        <w:fldChar w:fldCharType="separate"/>
      </w:r>
      <w:r w:rsidR="00225766" w:rsidRPr="00225766">
        <w:rPr>
          <w:rStyle w:val="Hyperlink"/>
        </w:rPr>
        <w:t>Tun</w:t>
      </w:r>
      <w:r w:rsidR="00966FE1">
        <w:rPr>
          <w:rStyle w:val="Hyperlink"/>
        </w:rPr>
        <w:t>å</w:t>
      </w:r>
      <w:r w:rsidR="00225766" w:rsidRPr="00225766">
        <w:rPr>
          <w:rStyle w:val="Hyperlink"/>
        </w:rPr>
        <w:t>ker</w:t>
      </w:r>
      <w:proofErr w:type="spellEnd"/>
      <w:r w:rsidR="00225766" w:rsidRPr="00225766">
        <w:rPr>
          <w:rStyle w:val="Hyperlink"/>
        </w:rPr>
        <w:t xml:space="preserve"> et al</w:t>
      </w:r>
      <w:r w:rsidR="00095812">
        <w:rPr>
          <w:rStyle w:val="Hyperlink"/>
        </w:rPr>
        <w:t>.</w:t>
      </w:r>
      <w:r w:rsidR="00225766" w:rsidRPr="00225766">
        <w:rPr>
          <w:rStyle w:val="Hyperlink"/>
        </w:rPr>
        <w:t xml:space="preserve"> 2024</w:t>
      </w:r>
      <w:r w:rsidR="00225766">
        <w:fldChar w:fldCharType="end"/>
      </w:r>
      <w:r w:rsidR="00225766">
        <w:t>)</w:t>
      </w:r>
      <w:r w:rsidR="00DE2EE1">
        <w:t xml:space="preserve">. </w:t>
      </w:r>
      <w:r w:rsidR="00277776">
        <w:t>T</w:t>
      </w:r>
      <w:r w:rsidR="00277776" w:rsidRPr="00277776">
        <w:t xml:space="preserve">rans youth experiencing homelessness already face systemic exclusion from single-sex shelters, gatekeeping in service provision, and heightened vulnerability in public space. By codifying sex as immutable and excluding trans women from the legal category of </w:t>
      </w:r>
      <w:r w:rsidR="00CD2CF0">
        <w:t>‘</w:t>
      </w:r>
      <w:r w:rsidR="00277776" w:rsidRPr="00277776">
        <w:t>woman</w:t>
      </w:r>
      <w:r w:rsidR="00CD2CF0">
        <w:t>’,</w:t>
      </w:r>
      <w:r w:rsidR="00277776" w:rsidRPr="00277776">
        <w:t xml:space="preserve"> the ruling legitimi</w:t>
      </w:r>
      <w:r w:rsidR="00277776">
        <w:t>s</w:t>
      </w:r>
      <w:r w:rsidR="00277776" w:rsidRPr="00277776">
        <w:t>es discriminatory practices that deny access to support</w:t>
      </w:r>
      <w:r w:rsidR="005E480F">
        <w:t xml:space="preserve"> when experiencing forms of hardship</w:t>
      </w:r>
      <w:r w:rsidR="00184DAD">
        <w:t xml:space="preserve">, </w:t>
      </w:r>
      <w:r w:rsidR="005E480F">
        <w:t>which in turn makes</w:t>
      </w:r>
      <w:r w:rsidR="00184DAD">
        <w:t xml:space="preserve"> </w:t>
      </w:r>
      <w:r w:rsidR="00BA15FC">
        <w:t xml:space="preserve">contempt for </w:t>
      </w:r>
      <w:r w:rsidR="005C649F">
        <w:t>non</w:t>
      </w:r>
      <w:r w:rsidR="00A1036C">
        <w:t>c</w:t>
      </w:r>
      <w:r w:rsidR="005C649F">
        <w:t xml:space="preserve">onformity widespread and </w:t>
      </w:r>
      <w:r w:rsidR="00E245AD">
        <w:t>contag</w:t>
      </w:r>
      <w:r w:rsidR="00DC2C8C">
        <w:t>ious</w:t>
      </w:r>
      <w:r w:rsidR="00277776" w:rsidRPr="00277776">
        <w:t xml:space="preserve">. It emboldens </w:t>
      </w:r>
      <w:r w:rsidR="00AF3853">
        <w:t>some s</w:t>
      </w:r>
      <w:r w:rsidR="00277776" w:rsidRPr="00277776">
        <w:t>ervice providers to turn trans people away from refuges, crisis housing, and health services under the guise of compliance</w:t>
      </w:r>
      <w:r w:rsidR="00067F41">
        <w:t>, whilst others are so worried about breaking the law that they implement restrictions against their own better judgement</w:t>
      </w:r>
      <w:r w:rsidR="00277776" w:rsidRPr="00277776">
        <w:t xml:space="preserve">. </w:t>
      </w:r>
      <w:r w:rsidR="00D45060">
        <w:t xml:space="preserve">As such, </w:t>
      </w:r>
      <w:r w:rsidR="00EC13B6">
        <w:t xml:space="preserve">the </w:t>
      </w:r>
      <w:r w:rsidR="00EC13B6" w:rsidRPr="00AF6CAF">
        <w:rPr>
          <w:i/>
          <w:iCs/>
        </w:rPr>
        <w:t>FWS</w:t>
      </w:r>
      <w:r w:rsidR="00EC13B6">
        <w:t xml:space="preserve"> judgment </w:t>
      </w:r>
      <w:r w:rsidR="00277776" w:rsidRPr="00277776">
        <w:t xml:space="preserve">is not a neutral </w:t>
      </w:r>
      <w:r w:rsidR="00277776" w:rsidRPr="00277776">
        <w:lastRenderedPageBreak/>
        <w:t>clarification</w:t>
      </w:r>
      <w:r w:rsidR="00277776">
        <w:t xml:space="preserve">, </w:t>
      </w:r>
      <w:r w:rsidR="00277776" w:rsidRPr="00277776">
        <w:t xml:space="preserve">it is a juridical signal that trans lives are less worthy of protection, and it will deepen the precarity </w:t>
      </w:r>
      <w:r w:rsidR="00B13834">
        <w:t xml:space="preserve">and </w:t>
      </w:r>
      <w:hyperlink r:id="rId14" w:history="1">
        <w:r w:rsidR="00B13834" w:rsidRPr="00B13834">
          <w:rPr>
            <w:rStyle w:val="Hyperlink"/>
          </w:rPr>
          <w:t xml:space="preserve">worsen </w:t>
        </w:r>
        <w:r w:rsidR="00A12512">
          <w:rPr>
            <w:rStyle w:val="Hyperlink"/>
          </w:rPr>
          <w:t xml:space="preserve">the </w:t>
        </w:r>
        <w:r w:rsidR="00B13834" w:rsidRPr="00B13834">
          <w:rPr>
            <w:rStyle w:val="Hyperlink"/>
          </w:rPr>
          <w:t>mental health</w:t>
        </w:r>
      </w:hyperlink>
      <w:r w:rsidR="00B13834">
        <w:t xml:space="preserve"> </w:t>
      </w:r>
      <w:r w:rsidR="00277776" w:rsidRPr="00277776">
        <w:t>of those already navigating the margins of kinship, care, and survival.</w:t>
      </w:r>
    </w:p>
    <w:p w14:paraId="3A46365B" w14:textId="67C5256C" w:rsidR="000D2E0C" w:rsidRDefault="00DF5773" w:rsidP="00851065">
      <w:pPr>
        <w:jc w:val="both"/>
      </w:pPr>
      <w:r>
        <w:t xml:space="preserve">We learned from the feminists of the </w:t>
      </w:r>
      <w:r w:rsidR="001E097F">
        <w:t>19</w:t>
      </w:r>
      <w:r w:rsidR="00500233">
        <w:t xml:space="preserve">70s and </w:t>
      </w:r>
      <w:r w:rsidR="001E097F">
        <w:t>19</w:t>
      </w:r>
      <w:r w:rsidR="00500233">
        <w:t xml:space="preserve">80s that indeed one is </w:t>
      </w:r>
      <w:r w:rsidR="004310ED">
        <w:rPr>
          <w:i/>
          <w:iCs/>
        </w:rPr>
        <w:t xml:space="preserve">not </w:t>
      </w:r>
      <w:r w:rsidR="004310ED">
        <w:t>born a woman (Wittig</w:t>
      </w:r>
      <w:r w:rsidR="00764A4D">
        <w:t xml:space="preserve"> 1981), but rather the concept of woman is a co</w:t>
      </w:r>
      <w:r w:rsidR="00092961">
        <w:t>nstruct of heterosexual ideology</w:t>
      </w:r>
      <w:r w:rsidR="006C4D7F">
        <w:t>, and t</w:t>
      </w:r>
      <w:r w:rsidR="00CA4883">
        <w:t>he product of a heterosexual framework</w:t>
      </w:r>
      <w:r w:rsidR="00ED1099">
        <w:t xml:space="preserve"> is further enforcement of male dominance. </w:t>
      </w:r>
      <w:r w:rsidR="001F551A">
        <w:t>Early feminist</w:t>
      </w:r>
      <w:r w:rsidR="0006409D">
        <w:t xml:space="preserve"> insistence that </w:t>
      </w:r>
      <w:r w:rsidR="00976998">
        <w:t>the biological family structure and women’s role in reproduction within it</w:t>
      </w:r>
      <w:r w:rsidR="00EC0DA0">
        <w:t xml:space="preserve"> causes women’s oppression</w:t>
      </w:r>
      <w:r w:rsidR="006C4D7F">
        <w:t xml:space="preserve"> </w:t>
      </w:r>
      <w:r w:rsidR="00EF69AF">
        <w:t>(</w:t>
      </w:r>
      <w:r w:rsidR="006C088F">
        <w:t>Firestone</w:t>
      </w:r>
      <w:r w:rsidR="00EF69AF">
        <w:t xml:space="preserve"> 1970)</w:t>
      </w:r>
      <w:r w:rsidR="006C088F">
        <w:t xml:space="preserve"> </w:t>
      </w:r>
      <w:r w:rsidR="006C4D7F">
        <w:t>has resurfaced as a movement of resistance in recent years</w:t>
      </w:r>
      <w:r w:rsidR="001B026C">
        <w:t xml:space="preserve">, particularly through social media frenzies surrounding ‘tradwives’ and the ‘manosphere’. </w:t>
      </w:r>
      <w:r w:rsidR="00685178">
        <w:t xml:space="preserve">Anti-feminist </w:t>
      </w:r>
      <w:r w:rsidR="00E561E9">
        <w:t xml:space="preserve">far-right propaganda </w:t>
      </w:r>
      <w:r w:rsidR="00B27BAE">
        <w:t xml:space="preserve">is </w:t>
      </w:r>
      <w:r w:rsidR="00B27BAE" w:rsidRPr="00B27BAE">
        <w:t xml:space="preserve">a re-entrenchment of the very biological and familial structures </w:t>
      </w:r>
      <w:r w:rsidR="00B9319B">
        <w:t>early feminists</w:t>
      </w:r>
      <w:r w:rsidR="00B27BAE" w:rsidRPr="00B27BAE">
        <w:t xml:space="preserve"> sought to dismantle</w:t>
      </w:r>
      <w:r w:rsidR="00B9319B">
        <w:t>.</w:t>
      </w:r>
      <w:r w:rsidR="005162D5">
        <w:t xml:space="preserve"> </w:t>
      </w:r>
      <w:r w:rsidR="000D2E0C" w:rsidRPr="000D2E0C">
        <w:t>As Conaghan and Cruz argued earlier in this issue, affirming sex as an immutable biological concept does not advance women’s rights; rather, it reverts to a view in which a woman’s legal personhood is constrained by the social expectations embedded in early constructs of ‘woman’.</w:t>
      </w:r>
    </w:p>
    <w:p w14:paraId="69CDD934" w14:textId="6A90C7BB" w:rsidR="00FF73E5" w:rsidRDefault="00FF73E5" w:rsidP="00851065">
      <w:pPr>
        <w:jc w:val="both"/>
      </w:pPr>
      <w:r>
        <w:t>The irony</w:t>
      </w:r>
      <w:r w:rsidR="00ED03C4">
        <w:t>, of course,</w:t>
      </w:r>
      <w:r>
        <w:t xml:space="preserve"> of campaign groups and individuals who want to protect ‘women’ </w:t>
      </w:r>
      <w:r w:rsidR="00B04E37">
        <w:t xml:space="preserve">by </w:t>
      </w:r>
      <w:r>
        <w:t>ensuring that the binary oppositions of ‘man’ and ‘woman’ remain</w:t>
      </w:r>
      <w:r w:rsidR="00B04E37">
        <w:t xml:space="preserve"> </w:t>
      </w:r>
      <w:r>
        <w:t xml:space="preserve">unchanged, is that they are further fuelling the patriarchal norms that </w:t>
      </w:r>
      <w:r w:rsidR="00894F96">
        <w:t>make</w:t>
      </w:r>
      <w:r>
        <w:t xml:space="preserve"> women more vulnerable and less powerful in the first place</w:t>
      </w:r>
      <w:r w:rsidR="0063314C">
        <w:t xml:space="preserve">, and even more so anyone </w:t>
      </w:r>
      <w:r w:rsidR="00CD2CF0">
        <w:t>who</w:t>
      </w:r>
      <w:r w:rsidR="0063314C">
        <w:t xml:space="preserve"> lives beyond binaries or who subvert</w:t>
      </w:r>
      <w:r w:rsidR="00D772B4">
        <w:t>s</w:t>
      </w:r>
      <w:r w:rsidR="0063314C">
        <w:t xml:space="preserve"> them</w:t>
      </w:r>
      <w:r w:rsidR="00357250">
        <w:t>.</w:t>
      </w:r>
      <w:r w:rsidR="00D97861">
        <w:t xml:space="preserve"> </w:t>
      </w:r>
      <w:r w:rsidR="00D26D79">
        <w:t xml:space="preserve">The </w:t>
      </w:r>
      <w:r w:rsidR="00D26D79">
        <w:rPr>
          <w:i/>
          <w:iCs/>
        </w:rPr>
        <w:t>For Women</w:t>
      </w:r>
      <w:r w:rsidR="00356016">
        <w:rPr>
          <w:i/>
          <w:iCs/>
        </w:rPr>
        <w:t xml:space="preserve"> </w:t>
      </w:r>
      <w:r w:rsidR="00D26D79">
        <w:t>ruling</w:t>
      </w:r>
      <w:r w:rsidR="00067F41" w:rsidRPr="00067F41">
        <w:t xml:space="preserve"> bolsters the social and ideological dominance of cis men</w:t>
      </w:r>
      <w:r w:rsidR="00067F41">
        <w:t>,</w:t>
      </w:r>
      <w:r w:rsidR="00067F41" w:rsidRPr="00067F41">
        <w:t xml:space="preserve"> whilst undermining rights for an array of people including women, trans and gender-nonconforming people to varying degrees</w:t>
      </w:r>
      <w:r w:rsidR="00067F41">
        <w:t xml:space="preserve">. It </w:t>
      </w:r>
      <w:r w:rsidR="00067F41" w:rsidRPr="00067F41">
        <w:t>has worrying connotations for the future of women's rights even for cis women</w:t>
      </w:r>
      <w:r w:rsidR="00BE48C1">
        <w:t xml:space="preserve">, </w:t>
      </w:r>
      <w:r w:rsidR="007509D3">
        <w:t xml:space="preserve">thereby </w:t>
      </w:r>
      <w:r w:rsidR="00BB3B58">
        <w:t xml:space="preserve">rendering </w:t>
      </w:r>
      <w:r w:rsidR="006452EF">
        <w:t xml:space="preserve">the judgment inherently </w:t>
      </w:r>
      <w:r w:rsidR="001D4227">
        <w:rPr>
          <w:i/>
          <w:iCs/>
        </w:rPr>
        <w:t>for men.</w:t>
      </w:r>
      <w:r w:rsidR="00EA0D3F">
        <w:rPr>
          <w:i/>
          <w:iCs/>
        </w:rPr>
        <w:t xml:space="preserve"> </w:t>
      </w:r>
      <w:r w:rsidR="00EC2F65">
        <w:t>It</w:t>
      </w:r>
      <w:r w:rsidR="007D376B">
        <w:t xml:space="preserve"> </w:t>
      </w:r>
      <w:r w:rsidR="00D7768E">
        <w:t xml:space="preserve">propels </w:t>
      </w:r>
      <w:r w:rsidR="00401798">
        <w:t xml:space="preserve">epistemic erasure, through </w:t>
      </w:r>
      <w:r w:rsidR="002553BA">
        <w:t xml:space="preserve">extremist right-wing </w:t>
      </w:r>
      <w:r w:rsidR="000563ED">
        <w:t>attempts to erase knowledge</w:t>
      </w:r>
      <w:r w:rsidR="00445DC8">
        <w:t xml:space="preserve"> of ‘gender’</w:t>
      </w:r>
      <w:r w:rsidR="00E1209E">
        <w:t xml:space="preserve"> </w:t>
      </w:r>
      <w:r w:rsidR="001F24FC">
        <w:t>from</w:t>
      </w:r>
      <w:r w:rsidR="00E1209E">
        <w:t xml:space="preserve"> the public sphere</w:t>
      </w:r>
      <w:r w:rsidR="00401798">
        <w:t>. It</w:t>
      </w:r>
      <w:r w:rsidR="00CA5089">
        <w:t xml:space="preserve"> fortif</w:t>
      </w:r>
      <w:r w:rsidR="00401798">
        <w:t>ies</w:t>
      </w:r>
      <w:r w:rsidR="00CA5089">
        <w:t xml:space="preserve"> a</w:t>
      </w:r>
      <w:r w:rsidR="00FC4A32">
        <w:t xml:space="preserve">n authoritarian logic </w:t>
      </w:r>
      <w:r w:rsidR="00DD509D">
        <w:t>of ‘us’ and ‘them’</w:t>
      </w:r>
      <w:r w:rsidR="00E71321">
        <w:t xml:space="preserve"> and strengthe</w:t>
      </w:r>
      <w:r w:rsidR="00D341C9">
        <w:t>ns</w:t>
      </w:r>
      <w:r w:rsidR="00E71321">
        <w:t xml:space="preserve"> the position of those already in power</w:t>
      </w:r>
      <w:r w:rsidR="00522804">
        <w:t xml:space="preserve"> (cis men)</w:t>
      </w:r>
      <w:r w:rsidR="00E71321">
        <w:t xml:space="preserve">. </w:t>
      </w:r>
      <w:r w:rsidR="007A7BB7">
        <w:t xml:space="preserve">The repercussion of the judgment will </w:t>
      </w:r>
      <w:r w:rsidR="00ED6609">
        <w:t xml:space="preserve">be, and already is, </w:t>
      </w:r>
      <w:r w:rsidR="00293817">
        <w:t>extreme violence</w:t>
      </w:r>
      <w:r w:rsidR="00F84890">
        <w:t>, homelessness</w:t>
      </w:r>
      <w:r w:rsidR="00293817">
        <w:t xml:space="preserve"> and death </w:t>
      </w:r>
      <w:r w:rsidR="00EE2833">
        <w:t>of those</w:t>
      </w:r>
      <w:r w:rsidR="00D255B8">
        <w:t xml:space="preserve"> least powerful in society. </w:t>
      </w:r>
    </w:p>
    <w:p w14:paraId="39D81B7E" w14:textId="77777777" w:rsidR="00AA3224" w:rsidRDefault="00AA3224" w:rsidP="004A1542"/>
    <w:p w14:paraId="47937480" w14:textId="1B13C9A4" w:rsidR="00AA3224" w:rsidRPr="00AA3224" w:rsidRDefault="00AA3224" w:rsidP="00E47EBF">
      <w:pPr>
        <w:pStyle w:val="Heading1"/>
      </w:pPr>
      <w:r w:rsidRPr="00E47EBF">
        <w:t>References</w:t>
      </w:r>
    </w:p>
    <w:p w14:paraId="2253107D" w14:textId="22FD71F8" w:rsidR="00D70298" w:rsidRPr="00E71321" w:rsidRDefault="008D595E" w:rsidP="004A1542">
      <w:r>
        <w:t xml:space="preserve">Butler, J. (2024) </w:t>
      </w:r>
      <w:r w:rsidRPr="00716A30">
        <w:rPr>
          <w:i/>
          <w:iCs/>
        </w:rPr>
        <w:t>Who’s Afraid of Gender?</w:t>
      </w:r>
      <w:r>
        <w:t xml:space="preserve"> </w:t>
      </w:r>
      <w:r w:rsidR="00716A30" w:rsidRPr="00E71321">
        <w:t>London: Penguin Books</w:t>
      </w:r>
      <w:r w:rsidR="000507D8">
        <w:t>.</w:t>
      </w:r>
    </w:p>
    <w:p w14:paraId="6A050EB5" w14:textId="0B1BC2DA" w:rsidR="009A7669" w:rsidRDefault="00D70298" w:rsidP="004A1542">
      <w:r w:rsidRPr="008661A3">
        <w:t>Connolly, D.J., Meads, C., Wurm, A. </w:t>
      </w:r>
      <w:r w:rsidRPr="008661A3">
        <w:rPr>
          <w:i/>
          <w:iCs/>
        </w:rPr>
        <w:t>et al.</w:t>
      </w:r>
      <w:r w:rsidRPr="008661A3">
        <w:t> </w:t>
      </w:r>
      <w:r w:rsidR="00B67E80">
        <w:t xml:space="preserve">(2025) </w:t>
      </w:r>
      <w:r w:rsidRPr="00D70298">
        <w:t>Transphobia in the United Kingdom: a public health crisis. </w:t>
      </w:r>
      <w:r w:rsidRPr="00D70298">
        <w:rPr>
          <w:i/>
          <w:iCs/>
        </w:rPr>
        <w:t>Int J Equity Health</w:t>
      </w:r>
      <w:r w:rsidRPr="00D70298">
        <w:t> </w:t>
      </w:r>
      <w:r w:rsidRPr="00D70298">
        <w:rPr>
          <w:b/>
          <w:bCs/>
        </w:rPr>
        <w:t>24</w:t>
      </w:r>
      <w:r w:rsidRPr="00D70298">
        <w:t xml:space="preserve">, 155 </w:t>
      </w:r>
      <w:hyperlink r:id="rId15" w:history="1">
        <w:r w:rsidR="005B682B" w:rsidRPr="009448EA">
          <w:rPr>
            <w:rStyle w:val="Hyperlink"/>
          </w:rPr>
          <w:t>https://doi.org/10.1186/s12939-025-02509-z</w:t>
        </w:r>
      </w:hyperlink>
    </w:p>
    <w:p w14:paraId="2F26FDA9" w14:textId="569C64A1" w:rsidR="00BF4EF6" w:rsidRDefault="009A7669" w:rsidP="009A7669">
      <w:r w:rsidRPr="009A7669">
        <w:t xml:space="preserve">Firestone, S. (1970) </w:t>
      </w:r>
      <w:r w:rsidRPr="009A7669">
        <w:rPr>
          <w:i/>
          <w:iCs/>
        </w:rPr>
        <w:t xml:space="preserve">The </w:t>
      </w:r>
      <w:r w:rsidR="00B67E80">
        <w:rPr>
          <w:i/>
          <w:iCs/>
        </w:rPr>
        <w:t>D</w:t>
      </w:r>
      <w:r w:rsidRPr="009A7669">
        <w:rPr>
          <w:i/>
          <w:iCs/>
        </w:rPr>
        <w:t xml:space="preserve">ialectic of </w:t>
      </w:r>
      <w:r w:rsidR="00B67E80">
        <w:rPr>
          <w:i/>
          <w:iCs/>
        </w:rPr>
        <w:t>S</w:t>
      </w:r>
      <w:r w:rsidRPr="009A7669">
        <w:rPr>
          <w:i/>
          <w:iCs/>
        </w:rPr>
        <w:t xml:space="preserve">ex: The </w:t>
      </w:r>
      <w:r w:rsidR="00B67E80">
        <w:rPr>
          <w:i/>
          <w:iCs/>
        </w:rPr>
        <w:t>C</w:t>
      </w:r>
      <w:r w:rsidRPr="009A7669">
        <w:rPr>
          <w:i/>
          <w:iCs/>
        </w:rPr>
        <w:t xml:space="preserve">ase for </w:t>
      </w:r>
      <w:r w:rsidR="00B67E80">
        <w:rPr>
          <w:i/>
          <w:iCs/>
        </w:rPr>
        <w:t>F</w:t>
      </w:r>
      <w:r w:rsidRPr="009A7669">
        <w:rPr>
          <w:i/>
          <w:iCs/>
        </w:rPr>
        <w:t xml:space="preserve">eminist </w:t>
      </w:r>
      <w:r w:rsidR="00B67E80">
        <w:rPr>
          <w:i/>
          <w:iCs/>
        </w:rPr>
        <w:t>R</w:t>
      </w:r>
      <w:r w:rsidRPr="009A7669">
        <w:rPr>
          <w:i/>
          <w:iCs/>
        </w:rPr>
        <w:t>evolution</w:t>
      </w:r>
      <w:r w:rsidRPr="009A7669">
        <w:t xml:space="preserve">. New York: William Morrow. </w:t>
      </w:r>
    </w:p>
    <w:p w14:paraId="6C6128DD" w14:textId="0CB5F024" w:rsidR="005B682B" w:rsidRDefault="005B682B" w:rsidP="009A7669">
      <w:r>
        <w:lastRenderedPageBreak/>
        <w:br/>
      </w:r>
      <w:proofErr w:type="spellStart"/>
      <w:r>
        <w:t>Trans</w:t>
      </w:r>
      <w:r w:rsidR="00B233FE">
        <w:t>A</w:t>
      </w:r>
      <w:r>
        <w:t>ctual</w:t>
      </w:r>
      <w:proofErr w:type="spellEnd"/>
      <w:r>
        <w:t xml:space="preserve"> (2025)</w:t>
      </w:r>
      <w:r w:rsidR="001C44F7">
        <w:t xml:space="preserve"> </w:t>
      </w:r>
      <w:r w:rsidR="001C44F7" w:rsidRPr="00EC6C3B">
        <w:rPr>
          <w:i/>
          <w:iCs/>
        </w:rPr>
        <w:t>Trans Segregation in Practice</w:t>
      </w:r>
      <w:r w:rsidR="001C44F7">
        <w:t xml:space="preserve"> </w:t>
      </w:r>
      <w:hyperlink r:id="rId16" w:history="1">
        <w:r w:rsidR="001C44F7" w:rsidRPr="001C44F7">
          <w:rPr>
            <w:rStyle w:val="Hyperlink"/>
          </w:rPr>
          <w:t xml:space="preserve">Trans segregation in practice: – </w:t>
        </w:r>
        <w:proofErr w:type="spellStart"/>
        <w:r w:rsidR="001C44F7" w:rsidRPr="001C44F7">
          <w:rPr>
            <w:rStyle w:val="Hyperlink"/>
          </w:rPr>
          <w:t>TransActual</w:t>
        </w:r>
        <w:proofErr w:type="spellEnd"/>
      </w:hyperlink>
      <w:r w:rsidR="001C44F7">
        <w:t xml:space="preserve"> </w:t>
      </w:r>
      <w:r w:rsidR="00EC6C3B">
        <w:t>(</w:t>
      </w:r>
      <w:r w:rsidR="00E157E9">
        <w:t xml:space="preserve">accessed </w:t>
      </w:r>
      <w:r w:rsidR="00EC6C3B">
        <w:t xml:space="preserve">30 September </w:t>
      </w:r>
      <w:r w:rsidR="00E157E9">
        <w:t>2025</w:t>
      </w:r>
      <w:r w:rsidR="00EC6C3B">
        <w:t>).</w:t>
      </w:r>
    </w:p>
    <w:p w14:paraId="356F8970" w14:textId="08D16BC3" w:rsidR="000A51D5" w:rsidRDefault="00D47103" w:rsidP="008E682A">
      <w:pPr>
        <w:spacing w:after="0" w:line="240" w:lineRule="auto"/>
      </w:pPr>
      <w:proofErr w:type="spellStart"/>
      <w:r w:rsidRPr="00D47103">
        <w:t>Tun</w:t>
      </w:r>
      <w:r w:rsidR="008609FB">
        <w:t>å</w:t>
      </w:r>
      <w:r w:rsidRPr="00D47103">
        <w:t>ker</w:t>
      </w:r>
      <w:proofErr w:type="spellEnd"/>
      <w:r w:rsidRPr="00D47103">
        <w:t>, C.,</w:t>
      </w:r>
      <w:r w:rsidRPr="00097361">
        <w:t xml:space="preserve"> Sundberg, T., Yuan, S., Renz, F., Kirton-Darling, E. and Carr, H. (2025)</w:t>
      </w:r>
      <w:r>
        <w:t xml:space="preserve"> </w:t>
      </w:r>
      <w:hyperlink r:id="rId17" w:history="1">
        <w:r w:rsidRPr="008609FB">
          <w:rPr>
            <w:rStyle w:val="Hyperlink"/>
            <w:i/>
            <w:iCs/>
          </w:rPr>
          <w:t>“There’s No Place Like Home</w:t>
        </w:r>
        <w:r w:rsidR="008609FB" w:rsidRPr="008609FB">
          <w:rPr>
            <w:rStyle w:val="Hyperlink"/>
            <w:i/>
            <w:iCs/>
          </w:rPr>
          <w:t>”</w:t>
        </w:r>
        <w:r w:rsidRPr="008609FB">
          <w:rPr>
            <w:rStyle w:val="Hyperlink"/>
            <w:i/>
            <w:iCs/>
          </w:rPr>
          <w:t xml:space="preserve">: Uncovering LGBTQ+ </w:t>
        </w:r>
        <w:r w:rsidR="008609FB" w:rsidRPr="008609FB">
          <w:rPr>
            <w:rStyle w:val="Hyperlink"/>
            <w:i/>
            <w:iCs/>
          </w:rPr>
          <w:t>Y</w:t>
        </w:r>
        <w:r w:rsidRPr="008609FB">
          <w:rPr>
            <w:rStyle w:val="Hyperlink"/>
            <w:i/>
            <w:iCs/>
          </w:rPr>
          <w:t xml:space="preserve">outh </w:t>
        </w:r>
        <w:r w:rsidR="008609FB" w:rsidRPr="008609FB">
          <w:rPr>
            <w:rStyle w:val="Hyperlink"/>
            <w:i/>
            <w:iCs/>
          </w:rPr>
          <w:t>H</w:t>
        </w:r>
        <w:r w:rsidRPr="008609FB">
          <w:rPr>
            <w:rStyle w:val="Hyperlink"/>
            <w:i/>
            <w:iCs/>
          </w:rPr>
          <w:t>omelessness in the UK</w:t>
        </w:r>
      </w:hyperlink>
      <w:r>
        <w:t xml:space="preserve"> London: </w:t>
      </w:r>
      <w:r w:rsidR="008609FB">
        <w:t>Albert Kennedy Trust</w:t>
      </w:r>
      <w:r>
        <w:t xml:space="preserve">. </w:t>
      </w:r>
    </w:p>
    <w:p w14:paraId="5322F758" w14:textId="77777777" w:rsidR="008E682A" w:rsidRDefault="008E682A" w:rsidP="008E682A">
      <w:pPr>
        <w:spacing w:after="0" w:line="240" w:lineRule="auto"/>
      </w:pPr>
    </w:p>
    <w:p w14:paraId="2FD79DB5" w14:textId="0CD60F6D" w:rsidR="00BF4EF6" w:rsidRDefault="00BF4EF6" w:rsidP="004A1542">
      <w:r w:rsidRPr="00BF4EF6">
        <w:t xml:space="preserve">Wittig, M. (1981) </w:t>
      </w:r>
      <w:r w:rsidRPr="00043705">
        <w:t>The Straight Mind</w:t>
      </w:r>
      <w:r w:rsidR="00043705">
        <w:t xml:space="preserve">. </w:t>
      </w:r>
      <w:r w:rsidRPr="00BF4EF6">
        <w:rPr>
          <w:i/>
          <w:iCs/>
        </w:rPr>
        <w:t xml:space="preserve">Questions </w:t>
      </w:r>
      <w:proofErr w:type="spellStart"/>
      <w:r w:rsidRPr="00BF4EF6">
        <w:rPr>
          <w:i/>
          <w:iCs/>
        </w:rPr>
        <w:t>féministes</w:t>
      </w:r>
      <w:proofErr w:type="spellEnd"/>
      <w:r w:rsidRPr="00BF4EF6">
        <w:t xml:space="preserve"> </w:t>
      </w:r>
      <w:r w:rsidRPr="00043705">
        <w:rPr>
          <w:b/>
          <w:bCs/>
        </w:rPr>
        <w:t>6</w:t>
      </w:r>
      <w:r w:rsidRPr="00BF4EF6">
        <w:t>, 65–89.</w:t>
      </w:r>
    </w:p>
    <w:sectPr w:rsidR="00BF4EF6" w:rsidSect="00F43D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B931" w14:textId="77777777" w:rsidR="00C03F16" w:rsidRDefault="00C03F16" w:rsidP="00B218DE">
      <w:pPr>
        <w:spacing w:after="0" w:line="240" w:lineRule="auto"/>
      </w:pPr>
      <w:r>
        <w:separator/>
      </w:r>
    </w:p>
  </w:endnote>
  <w:endnote w:type="continuationSeparator" w:id="0">
    <w:p w14:paraId="75E5CD5F" w14:textId="77777777" w:rsidR="00C03F16" w:rsidRDefault="00C03F16" w:rsidP="00B2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409964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AB1AF" w14:textId="79AFCE98" w:rsidR="00492FC7" w:rsidRDefault="00492FC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_________________________________________________________________________________________</w:t>
        </w:r>
      </w:p>
      <w:p w14:paraId="61A7AF41" w14:textId="77777777" w:rsidR="00492FC7" w:rsidRPr="00492FC7" w:rsidRDefault="00492FC7">
        <w:pPr>
          <w:pStyle w:val="Footer"/>
          <w:jc w:val="center"/>
          <w:rPr>
            <w:sz w:val="22"/>
            <w:szCs w:val="22"/>
          </w:rPr>
        </w:pPr>
      </w:p>
      <w:p w14:paraId="5743F265" w14:textId="59AEC078" w:rsidR="00492FC7" w:rsidRPr="00492FC7" w:rsidRDefault="00492FC7">
        <w:pPr>
          <w:pStyle w:val="Footer"/>
          <w:jc w:val="center"/>
          <w:rPr>
            <w:sz w:val="22"/>
            <w:szCs w:val="22"/>
          </w:rPr>
        </w:pPr>
        <w:r w:rsidRPr="00492FC7">
          <w:rPr>
            <w:sz w:val="22"/>
            <w:szCs w:val="22"/>
          </w:rPr>
          <w:fldChar w:fldCharType="begin"/>
        </w:r>
        <w:r w:rsidRPr="00492FC7">
          <w:rPr>
            <w:sz w:val="22"/>
            <w:szCs w:val="22"/>
          </w:rPr>
          <w:instrText xml:space="preserve"> PAGE   \* MERGEFORMAT </w:instrText>
        </w:r>
        <w:r w:rsidRPr="00492FC7">
          <w:rPr>
            <w:sz w:val="22"/>
            <w:szCs w:val="22"/>
          </w:rPr>
          <w:fldChar w:fldCharType="separate"/>
        </w:r>
        <w:r w:rsidRPr="00492FC7">
          <w:rPr>
            <w:noProof/>
            <w:sz w:val="22"/>
            <w:szCs w:val="22"/>
          </w:rPr>
          <w:t>2</w:t>
        </w:r>
        <w:r w:rsidRPr="00492FC7">
          <w:rPr>
            <w:noProof/>
            <w:sz w:val="22"/>
            <w:szCs w:val="22"/>
          </w:rPr>
          <w:fldChar w:fldCharType="end"/>
        </w:r>
      </w:p>
    </w:sdtContent>
  </w:sdt>
  <w:p w14:paraId="0D2C7E18" w14:textId="77777777" w:rsidR="00B659C4" w:rsidRDefault="00B6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2807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64828D9" w14:textId="4DB93EDD" w:rsidR="00B54071" w:rsidRDefault="00B54071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_________________________________________________________________________________________</w:t>
        </w:r>
      </w:p>
      <w:p w14:paraId="02DC2294" w14:textId="77777777" w:rsidR="00B54071" w:rsidRPr="00B54071" w:rsidRDefault="00B54071">
        <w:pPr>
          <w:pStyle w:val="Footer"/>
          <w:jc w:val="center"/>
          <w:rPr>
            <w:sz w:val="22"/>
            <w:szCs w:val="22"/>
          </w:rPr>
        </w:pPr>
      </w:p>
      <w:p w14:paraId="24DE1742" w14:textId="5D404948" w:rsidR="00B54071" w:rsidRPr="00B54071" w:rsidRDefault="00B54071">
        <w:pPr>
          <w:pStyle w:val="Footer"/>
          <w:jc w:val="center"/>
          <w:rPr>
            <w:sz w:val="22"/>
            <w:szCs w:val="22"/>
          </w:rPr>
        </w:pPr>
        <w:r w:rsidRPr="00B54071">
          <w:rPr>
            <w:sz w:val="22"/>
            <w:szCs w:val="22"/>
          </w:rPr>
          <w:fldChar w:fldCharType="begin"/>
        </w:r>
        <w:r w:rsidRPr="00B54071">
          <w:rPr>
            <w:sz w:val="22"/>
            <w:szCs w:val="22"/>
          </w:rPr>
          <w:instrText xml:space="preserve"> PAGE   \* MERGEFORMAT </w:instrText>
        </w:r>
        <w:r w:rsidRPr="00B54071">
          <w:rPr>
            <w:sz w:val="22"/>
            <w:szCs w:val="22"/>
          </w:rPr>
          <w:fldChar w:fldCharType="separate"/>
        </w:r>
        <w:r w:rsidRPr="00B54071">
          <w:rPr>
            <w:noProof/>
            <w:sz w:val="22"/>
            <w:szCs w:val="22"/>
          </w:rPr>
          <w:t>2</w:t>
        </w:r>
        <w:r w:rsidRPr="00B54071">
          <w:rPr>
            <w:noProof/>
            <w:sz w:val="22"/>
            <w:szCs w:val="22"/>
          </w:rPr>
          <w:fldChar w:fldCharType="end"/>
        </w:r>
      </w:p>
    </w:sdtContent>
  </w:sdt>
  <w:p w14:paraId="0C6E1A2A" w14:textId="77777777" w:rsidR="00B659C4" w:rsidRDefault="00B65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0CCC" w14:textId="77777777" w:rsidR="00B659C4" w:rsidRDefault="00B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29AD" w14:textId="77777777" w:rsidR="00C03F16" w:rsidRDefault="00C03F16" w:rsidP="00B218DE">
      <w:pPr>
        <w:spacing w:after="0" w:line="240" w:lineRule="auto"/>
      </w:pPr>
      <w:r>
        <w:separator/>
      </w:r>
    </w:p>
  </w:footnote>
  <w:footnote w:type="continuationSeparator" w:id="0">
    <w:p w14:paraId="31465A17" w14:textId="77777777" w:rsidR="00C03F16" w:rsidRDefault="00C03F16" w:rsidP="00B218DE">
      <w:pPr>
        <w:spacing w:after="0" w:line="240" w:lineRule="auto"/>
      </w:pPr>
      <w:r>
        <w:continuationSeparator/>
      </w:r>
    </w:p>
  </w:footnote>
  <w:footnote w:id="1">
    <w:p w14:paraId="3F127654" w14:textId="77777777" w:rsidR="00537092" w:rsidRDefault="00537092" w:rsidP="00537092">
      <w:pPr>
        <w:pStyle w:val="FootnoteText"/>
      </w:pPr>
      <w:r>
        <w:rPr>
          <w:rStyle w:val="FootnoteReference"/>
        </w:rPr>
        <w:t>*</w:t>
      </w:r>
      <w:r>
        <w:t xml:space="preserve"> Senior Lecturer, Kent Law School, University of Kent, UK. Email </w:t>
      </w:r>
      <w:hyperlink r:id="rId1" w:history="1">
        <w:r w:rsidRPr="00C36C5D">
          <w:rPr>
            <w:rStyle w:val="Hyperlink"/>
          </w:rPr>
          <w:t>C.Tunaker@kent.ac.uk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DDF2" w14:textId="7C37779F" w:rsidR="00B659C4" w:rsidRDefault="00B54071">
    <w:pPr>
      <w:pStyle w:val="Header"/>
      <w:rPr>
        <w:sz w:val="22"/>
        <w:szCs w:val="22"/>
      </w:rPr>
    </w:pPr>
    <w:r>
      <w:rPr>
        <w:sz w:val="22"/>
        <w:szCs w:val="22"/>
      </w:rPr>
      <w:t xml:space="preserve">Carin </w:t>
    </w:r>
    <w:proofErr w:type="spellStart"/>
    <w:r>
      <w:rPr>
        <w:sz w:val="22"/>
        <w:szCs w:val="22"/>
      </w:rPr>
      <w:t>Tunåker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</w:r>
    <w:proofErr w:type="gramStart"/>
    <w:r w:rsidR="00492FC7">
      <w:rPr>
        <w:sz w:val="22"/>
        <w:szCs w:val="22"/>
      </w:rPr>
      <w:t>The</w:t>
    </w:r>
    <w:proofErr w:type="gramEnd"/>
    <w:r w:rsidR="00492FC7">
      <w:rPr>
        <w:sz w:val="22"/>
        <w:szCs w:val="22"/>
      </w:rPr>
      <w:t xml:space="preserve"> Repercussions of a Bad Decision</w:t>
    </w:r>
  </w:p>
  <w:p w14:paraId="304C4280" w14:textId="1CBE9AC3" w:rsidR="00492FC7" w:rsidRPr="00492FC7" w:rsidRDefault="00492FC7">
    <w:pPr>
      <w:pStyle w:val="Header"/>
      <w:rPr>
        <w:i/>
        <w:iCs/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6639" w14:textId="65699E3B" w:rsidR="00B659C4" w:rsidRDefault="00B54071">
    <w:pPr>
      <w:pStyle w:val="Header"/>
      <w:rPr>
        <w:sz w:val="22"/>
        <w:szCs w:val="22"/>
      </w:rPr>
    </w:pPr>
    <w:proofErr w:type="spellStart"/>
    <w:r>
      <w:rPr>
        <w:i/>
        <w:iCs/>
        <w:sz w:val="22"/>
        <w:szCs w:val="22"/>
      </w:rPr>
      <w:t>feminists@law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  <w:t>Vol 14, No 2 (2026)</w:t>
    </w:r>
  </w:p>
  <w:p w14:paraId="25F7086C" w14:textId="2086A116" w:rsidR="00B54071" w:rsidRPr="00B54071" w:rsidRDefault="00B54071">
    <w:pPr>
      <w:pStyle w:val="Head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03F5" w14:textId="77777777" w:rsidR="00B659C4" w:rsidRDefault="00B65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DD9"/>
    <w:multiLevelType w:val="multilevel"/>
    <w:tmpl w:val="8C3C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3D73"/>
    <w:multiLevelType w:val="multilevel"/>
    <w:tmpl w:val="40C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550757">
    <w:abstractNumId w:val="0"/>
  </w:num>
  <w:num w:numId="2" w16cid:durableId="94098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42"/>
    <w:rsid w:val="0002470F"/>
    <w:rsid w:val="00026CD9"/>
    <w:rsid w:val="00030517"/>
    <w:rsid w:val="00041CB0"/>
    <w:rsid w:val="00043705"/>
    <w:rsid w:val="00045A17"/>
    <w:rsid w:val="000478DF"/>
    <w:rsid w:val="000507D8"/>
    <w:rsid w:val="00054244"/>
    <w:rsid w:val="000563ED"/>
    <w:rsid w:val="00063D4C"/>
    <w:rsid w:val="0006409D"/>
    <w:rsid w:val="00065C43"/>
    <w:rsid w:val="00067F41"/>
    <w:rsid w:val="00084486"/>
    <w:rsid w:val="00092961"/>
    <w:rsid w:val="00094FCF"/>
    <w:rsid w:val="00095812"/>
    <w:rsid w:val="000A48B8"/>
    <w:rsid w:val="000A51D5"/>
    <w:rsid w:val="000A7F85"/>
    <w:rsid w:val="000B4407"/>
    <w:rsid w:val="000C3A80"/>
    <w:rsid w:val="000C56A1"/>
    <w:rsid w:val="000C75E9"/>
    <w:rsid w:val="000D2E0C"/>
    <w:rsid w:val="000E45C5"/>
    <w:rsid w:val="001103E6"/>
    <w:rsid w:val="00112465"/>
    <w:rsid w:val="00117702"/>
    <w:rsid w:val="00122B58"/>
    <w:rsid w:val="00126DD8"/>
    <w:rsid w:val="0013398B"/>
    <w:rsid w:val="00136F90"/>
    <w:rsid w:val="001441C7"/>
    <w:rsid w:val="00146048"/>
    <w:rsid w:val="00146762"/>
    <w:rsid w:val="00154B95"/>
    <w:rsid w:val="00156E99"/>
    <w:rsid w:val="001627FC"/>
    <w:rsid w:val="001666C9"/>
    <w:rsid w:val="00174590"/>
    <w:rsid w:val="00175AC5"/>
    <w:rsid w:val="0017624B"/>
    <w:rsid w:val="0018048C"/>
    <w:rsid w:val="00182E98"/>
    <w:rsid w:val="00184DAD"/>
    <w:rsid w:val="00185B23"/>
    <w:rsid w:val="00185D71"/>
    <w:rsid w:val="00186224"/>
    <w:rsid w:val="00186460"/>
    <w:rsid w:val="00193628"/>
    <w:rsid w:val="001943A0"/>
    <w:rsid w:val="00194DE3"/>
    <w:rsid w:val="00197550"/>
    <w:rsid w:val="001A27B6"/>
    <w:rsid w:val="001A6C92"/>
    <w:rsid w:val="001B026C"/>
    <w:rsid w:val="001B13A0"/>
    <w:rsid w:val="001B3875"/>
    <w:rsid w:val="001B507F"/>
    <w:rsid w:val="001B7D04"/>
    <w:rsid w:val="001C02B3"/>
    <w:rsid w:val="001C1400"/>
    <w:rsid w:val="001C44F7"/>
    <w:rsid w:val="001C5E9F"/>
    <w:rsid w:val="001D06E2"/>
    <w:rsid w:val="001D1115"/>
    <w:rsid w:val="001D40B8"/>
    <w:rsid w:val="001D4227"/>
    <w:rsid w:val="001D7A21"/>
    <w:rsid w:val="001E097F"/>
    <w:rsid w:val="001F0A77"/>
    <w:rsid w:val="001F24FC"/>
    <w:rsid w:val="001F551A"/>
    <w:rsid w:val="00204C62"/>
    <w:rsid w:val="00206C65"/>
    <w:rsid w:val="00207D12"/>
    <w:rsid w:val="00212009"/>
    <w:rsid w:val="0021763E"/>
    <w:rsid w:val="00225766"/>
    <w:rsid w:val="00230B60"/>
    <w:rsid w:val="00237F17"/>
    <w:rsid w:val="0024318F"/>
    <w:rsid w:val="0025006B"/>
    <w:rsid w:val="00252088"/>
    <w:rsid w:val="002553BA"/>
    <w:rsid w:val="0027293A"/>
    <w:rsid w:val="002739F4"/>
    <w:rsid w:val="00277776"/>
    <w:rsid w:val="00283144"/>
    <w:rsid w:val="00293817"/>
    <w:rsid w:val="0029409B"/>
    <w:rsid w:val="00296F6E"/>
    <w:rsid w:val="00297665"/>
    <w:rsid w:val="002A08F0"/>
    <w:rsid w:val="002A0AA3"/>
    <w:rsid w:val="002A4940"/>
    <w:rsid w:val="002A755E"/>
    <w:rsid w:val="002B12A8"/>
    <w:rsid w:val="002B7BA8"/>
    <w:rsid w:val="002C38AB"/>
    <w:rsid w:val="002C5DBE"/>
    <w:rsid w:val="002C6352"/>
    <w:rsid w:val="002C6E1C"/>
    <w:rsid w:val="002C7539"/>
    <w:rsid w:val="002D6FFD"/>
    <w:rsid w:val="002E1194"/>
    <w:rsid w:val="002F0905"/>
    <w:rsid w:val="002F4FDF"/>
    <w:rsid w:val="00306134"/>
    <w:rsid w:val="003077BD"/>
    <w:rsid w:val="00310182"/>
    <w:rsid w:val="00311A9E"/>
    <w:rsid w:val="00316071"/>
    <w:rsid w:val="003172E2"/>
    <w:rsid w:val="003315F7"/>
    <w:rsid w:val="00333F4A"/>
    <w:rsid w:val="003363DB"/>
    <w:rsid w:val="003506C7"/>
    <w:rsid w:val="00356016"/>
    <w:rsid w:val="00357250"/>
    <w:rsid w:val="00362F10"/>
    <w:rsid w:val="0037512D"/>
    <w:rsid w:val="003930E1"/>
    <w:rsid w:val="003B044D"/>
    <w:rsid w:val="003D5F3A"/>
    <w:rsid w:val="003F0FEA"/>
    <w:rsid w:val="003F76EF"/>
    <w:rsid w:val="003F7DF4"/>
    <w:rsid w:val="00401798"/>
    <w:rsid w:val="00411C81"/>
    <w:rsid w:val="00415360"/>
    <w:rsid w:val="00426C48"/>
    <w:rsid w:val="00430DC6"/>
    <w:rsid w:val="004310ED"/>
    <w:rsid w:val="00433D34"/>
    <w:rsid w:val="00433F58"/>
    <w:rsid w:val="00437E82"/>
    <w:rsid w:val="00445DC8"/>
    <w:rsid w:val="00447021"/>
    <w:rsid w:val="00451238"/>
    <w:rsid w:val="004600A8"/>
    <w:rsid w:val="00460216"/>
    <w:rsid w:val="004604FE"/>
    <w:rsid w:val="004673C8"/>
    <w:rsid w:val="0047425C"/>
    <w:rsid w:val="00477D4F"/>
    <w:rsid w:val="00484122"/>
    <w:rsid w:val="0049017F"/>
    <w:rsid w:val="00492FC7"/>
    <w:rsid w:val="004976A4"/>
    <w:rsid w:val="004A1542"/>
    <w:rsid w:val="004A326B"/>
    <w:rsid w:val="004A7678"/>
    <w:rsid w:val="004B0EA3"/>
    <w:rsid w:val="004D134B"/>
    <w:rsid w:val="004D1B34"/>
    <w:rsid w:val="004D4DCE"/>
    <w:rsid w:val="004D7BB8"/>
    <w:rsid w:val="004E0586"/>
    <w:rsid w:val="004E415B"/>
    <w:rsid w:val="004E62A8"/>
    <w:rsid w:val="004F24B8"/>
    <w:rsid w:val="00500233"/>
    <w:rsid w:val="00505915"/>
    <w:rsid w:val="005111A5"/>
    <w:rsid w:val="005162D5"/>
    <w:rsid w:val="005174A0"/>
    <w:rsid w:val="00522804"/>
    <w:rsid w:val="00533C4E"/>
    <w:rsid w:val="00537092"/>
    <w:rsid w:val="005428EB"/>
    <w:rsid w:val="0054516C"/>
    <w:rsid w:val="00551C7F"/>
    <w:rsid w:val="0056019A"/>
    <w:rsid w:val="00560CBB"/>
    <w:rsid w:val="00563591"/>
    <w:rsid w:val="005831E0"/>
    <w:rsid w:val="00591D6B"/>
    <w:rsid w:val="00593DFD"/>
    <w:rsid w:val="005A5809"/>
    <w:rsid w:val="005A7148"/>
    <w:rsid w:val="005B682B"/>
    <w:rsid w:val="005C2327"/>
    <w:rsid w:val="005C2C08"/>
    <w:rsid w:val="005C2F01"/>
    <w:rsid w:val="005C649F"/>
    <w:rsid w:val="005D112E"/>
    <w:rsid w:val="005D4A56"/>
    <w:rsid w:val="005D6B9D"/>
    <w:rsid w:val="005E422C"/>
    <w:rsid w:val="005E480F"/>
    <w:rsid w:val="005E4F17"/>
    <w:rsid w:val="005E5A39"/>
    <w:rsid w:val="005E5A56"/>
    <w:rsid w:val="00601887"/>
    <w:rsid w:val="0061324D"/>
    <w:rsid w:val="00614035"/>
    <w:rsid w:val="006215CD"/>
    <w:rsid w:val="00622902"/>
    <w:rsid w:val="00623DE8"/>
    <w:rsid w:val="0062733E"/>
    <w:rsid w:val="006325BE"/>
    <w:rsid w:val="0063314C"/>
    <w:rsid w:val="006452EF"/>
    <w:rsid w:val="00662A13"/>
    <w:rsid w:val="00664327"/>
    <w:rsid w:val="00664DBE"/>
    <w:rsid w:val="00665DD8"/>
    <w:rsid w:val="00673D3D"/>
    <w:rsid w:val="00683538"/>
    <w:rsid w:val="006850B2"/>
    <w:rsid w:val="00685178"/>
    <w:rsid w:val="006856C2"/>
    <w:rsid w:val="006862E3"/>
    <w:rsid w:val="006867EA"/>
    <w:rsid w:val="006A4BC6"/>
    <w:rsid w:val="006A7359"/>
    <w:rsid w:val="006B288F"/>
    <w:rsid w:val="006B3D68"/>
    <w:rsid w:val="006C088F"/>
    <w:rsid w:val="006C258A"/>
    <w:rsid w:val="006C4D7F"/>
    <w:rsid w:val="006C54FF"/>
    <w:rsid w:val="006D4843"/>
    <w:rsid w:val="006F49F3"/>
    <w:rsid w:val="00705361"/>
    <w:rsid w:val="00716A30"/>
    <w:rsid w:val="007178E3"/>
    <w:rsid w:val="007212B4"/>
    <w:rsid w:val="00725231"/>
    <w:rsid w:val="00732F87"/>
    <w:rsid w:val="00740D94"/>
    <w:rsid w:val="00743FCE"/>
    <w:rsid w:val="00744FE3"/>
    <w:rsid w:val="007463AA"/>
    <w:rsid w:val="007509D3"/>
    <w:rsid w:val="00757D6D"/>
    <w:rsid w:val="007611D9"/>
    <w:rsid w:val="007634D1"/>
    <w:rsid w:val="0076373D"/>
    <w:rsid w:val="0076467B"/>
    <w:rsid w:val="00764A4D"/>
    <w:rsid w:val="00764B60"/>
    <w:rsid w:val="00764FB7"/>
    <w:rsid w:val="00765A10"/>
    <w:rsid w:val="00766E35"/>
    <w:rsid w:val="00770F6B"/>
    <w:rsid w:val="00773764"/>
    <w:rsid w:val="00776038"/>
    <w:rsid w:val="00776C24"/>
    <w:rsid w:val="00781A04"/>
    <w:rsid w:val="0078633E"/>
    <w:rsid w:val="00790B1D"/>
    <w:rsid w:val="00794058"/>
    <w:rsid w:val="00794960"/>
    <w:rsid w:val="007A7BB7"/>
    <w:rsid w:val="007B5B42"/>
    <w:rsid w:val="007B5FB1"/>
    <w:rsid w:val="007D03DE"/>
    <w:rsid w:val="007D376B"/>
    <w:rsid w:val="007D5400"/>
    <w:rsid w:val="007D5A7A"/>
    <w:rsid w:val="007E1044"/>
    <w:rsid w:val="007E35F2"/>
    <w:rsid w:val="007E405E"/>
    <w:rsid w:val="007E469B"/>
    <w:rsid w:val="00814FE7"/>
    <w:rsid w:val="008256D2"/>
    <w:rsid w:val="00827E8B"/>
    <w:rsid w:val="0083603C"/>
    <w:rsid w:val="00851065"/>
    <w:rsid w:val="00855E03"/>
    <w:rsid w:val="00855F29"/>
    <w:rsid w:val="008609FB"/>
    <w:rsid w:val="00861899"/>
    <w:rsid w:val="00862666"/>
    <w:rsid w:val="00864260"/>
    <w:rsid w:val="008661A3"/>
    <w:rsid w:val="00866DDC"/>
    <w:rsid w:val="00872CDE"/>
    <w:rsid w:val="0087352C"/>
    <w:rsid w:val="0087478C"/>
    <w:rsid w:val="00880692"/>
    <w:rsid w:val="00886571"/>
    <w:rsid w:val="00893919"/>
    <w:rsid w:val="00894F96"/>
    <w:rsid w:val="008A5172"/>
    <w:rsid w:val="008A56A0"/>
    <w:rsid w:val="008B051B"/>
    <w:rsid w:val="008B666F"/>
    <w:rsid w:val="008D595E"/>
    <w:rsid w:val="008D73BC"/>
    <w:rsid w:val="008E0307"/>
    <w:rsid w:val="008E682A"/>
    <w:rsid w:val="00900239"/>
    <w:rsid w:val="00901BD5"/>
    <w:rsid w:val="00901D8B"/>
    <w:rsid w:val="00903B68"/>
    <w:rsid w:val="00906077"/>
    <w:rsid w:val="00906C8A"/>
    <w:rsid w:val="00913661"/>
    <w:rsid w:val="0091695C"/>
    <w:rsid w:val="00926F16"/>
    <w:rsid w:val="00932765"/>
    <w:rsid w:val="00934C8F"/>
    <w:rsid w:val="00946D15"/>
    <w:rsid w:val="0095230F"/>
    <w:rsid w:val="009573C8"/>
    <w:rsid w:val="009579D6"/>
    <w:rsid w:val="00966FE1"/>
    <w:rsid w:val="0096722C"/>
    <w:rsid w:val="0097203F"/>
    <w:rsid w:val="00976998"/>
    <w:rsid w:val="00977303"/>
    <w:rsid w:val="00987240"/>
    <w:rsid w:val="009879E0"/>
    <w:rsid w:val="00991414"/>
    <w:rsid w:val="009A1C2C"/>
    <w:rsid w:val="009A49EB"/>
    <w:rsid w:val="009A4A79"/>
    <w:rsid w:val="009A7669"/>
    <w:rsid w:val="009A7F3E"/>
    <w:rsid w:val="009B199B"/>
    <w:rsid w:val="009B2228"/>
    <w:rsid w:val="009B23FA"/>
    <w:rsid w:val="009E4159"/>
    <w:rsid w:val="009E7B72"/>
    <w:rsid w:val="009F0905"/>
    <w:rsid w:val="009F0C5F"/>
    <w:rsid w:val="009F4E53"/>
    <w:rsid w:val="00A05FA4"/>
    <w:rsid w:val="00A07D01"/>
    <w:rsid w:val="00A1036C"/>
    <w:rsid w:val="00A11242"/>
    <w:rsid w:val="00A12512"/>
    <w:rsid w:val="00A21FB0"/>
    <w:rsid w:val="00A37568"/>
    <w:rsid w:val="00A4200F"/>
    <w:rsid w:val="00A42CB1"/>
    <w:rsid w:val="00A43E80"/>
    <w:rsid w:val="00A63424"/>
    <w:rsid w:val="00A73057"/>
    <w:rsid w:val="00A7668F"/>
    <w:rsid w:val="00A861B7"/>
    <w:rsid w:val="00A86D34"/>
    <w:rsid w:val="00A92EE0"/>
    <w:rsid w:val="00AA3224"/>
    <w:rsid w:val="00AB1A69"/>
    <w:rsid w:val="00AB1AF3"/>
    <w:rsid w:val="00AC5764"/>
    <w:rsid w:val="00AD1239"/>
    <w:rsid w:val="00AD2625"/>
    <w:rsid w:val="00AD7D54"/>
    <w:rsid w:val="00AE48BC"/>
    <w:rsid w:val="00AE4CF2"/>
    <w:rsid w:val="00AF16EB"/>
    <w:rsid w:val="00AF3853"/>
    <w:rsid w:val="00AF6A2A"/>
    <w:rsid w:val="00AF6CAF"/>
    <w:rsid w:val="00AF6E76"/>
    <w:rsid w:val="00B04E37"/>
    <w:rsid w:val="00B06704"/>
    <w:rsid w:val="00B13834"/>
    <w:rsid w:val="00B21694"/>
    <w:rsid w:val="00B218DE"/>
    <w:rsid w:val="00B22B74"/>
    <w:rsid w:val="00B233FE"/>
    <w:rsid w:val="00B253FA"/>
    <w:rsid w:val="00B26D73"/>
    <w:rsid w:val="00B27BAE"/>
    <w:rsid w:val="00B36D75"/>
    <w:rsid w:val="00B41A7D"/>
    <w:rsid w:val="00B44C0F"/>
    <w:rsid w:val="00B54071"/>
    <w:rsid w:val="00B61C6A"/>
    <w:rsid w:val="00B6389A"/>
    <w:rsid w:val="00B63B9E"/>
    <w:rsid w:val="00B6478B"/>
    <w:rsid w:val="00B659C4"/>
    <w:rsid w:val="00B67B27"/>
    <w:rsid w:val="00B67E80"/>
    <w:rsid w:val="00B701B1"/>
    <w:rsid w:val="00B726A1"/>
    <w:rsid w:val="00B762BA"/>
    <w:rsid w:val="00B81196"/>
    <w:rsid w:val="00B82C6F"/>
    <w:rsid w:val="00B9319B"/>
    <w:rsid w:val="00BA15FC"/>
    <w:rsid w:val="00BA29C3"/>
    <w:rsid w:val="00BA439E"/>
    <w:rsid w:val="00BB2EA7"/>
    <w:rsid w:val="00BB3B58"/>
    <w:rsid w:val="00BB6ED8"/>
    <w:rsid w:val="00BC13C1"/>
    <w:rsid w:val="00BC79EB"/>
    <w:rsid w:val="00BD1A26"/>
    <w:rsid w:val="00BD22AA"/>
    <w:rsid w:val="00BE48C1"/>
    <w:rsid w:val="00BE56CE"/>
    <w:rsid w:val="00BE6D68"/>
    <w:rsid w:val="00BF2219"/>
    <w:rsid w:val="00BF4EF6"/>
    <w:rsid w:val="00C013AE"/>
    <w:rsid w:val="00C01804"/>
    <w:rsid w:val="00C02A36"/>
    <w:rsid w:val="00C03F16"/>
    <w:rsid w:val="00C10894"/>
    <w:rsid w:val="00C13FEE"/>
    <w:rsid w:val="00C17DB2"/>
    <w:rsid w:val="00C27BFA"/>
    <w:rsid w:val="00C32642"/>
    <w:rsid w:val="00C33E4B"/>
    <w:rsid w:val="00C3478B"/>
    <w:rsid w:val="00C40AA7"/>
    <w:rsid w:val="00C40B55"/>
    <w:rsid w:val="00C46DE1"/>
    <w:rsid w:val="00C636B7"/>
    <w:rsid w:val="00C639BF"/>
    <w:rsid w:val="00C642C1"/>
    <w:rsid w:val="00C6619E"/>
    <w:rsid w:val="00C710BE"/>
    <w:rsid w:val="00C7448C"/>
    <w:rsid w:val="00C74593"/>
    <w:rsid w:val="00C754DF"/>
    <w:rsid w:val="00C81FF8"/>
    <w:rsid w:val="00C822AB"/>
    <w:rsid w:val="00C852AB"/>
    <w:rsid w:val="00C90362"/>
    <w:rsid w:val="00C947C3"/>
    <w:rsid w:val="00C956F0"/>
    <w:rsid w:val="00CA2C9C"/>
    <w:rsid w:val="00CA4883"/>
    <w:rsid w:val="00CA5089"/>
    <w:rsid w:val="00CB6FED"/>
    <w:rsid w:val="00CC11EB"/>
    <w:rsid w:val="00CC5078"/>
    <w:rsid w:val="00CD2CF0"/>
    <w:rsid w:val="00CD4C77"/>
    <w:rsid w:val="00CD6673"/>
    <w:rsid w:val="00CE1810"/>
    <w:rsid w:val="00CE25AE"/>
    <w:rsid w:val="00CE3F0C"/>
    <w:rsid w:val="00CE465A"/>
    <w:rsid w:val="00CE736B"/>
    <w:rsid w:val="00D01989"/>
    <w:rsid w:val="00D155DC"/>
    <w:rsid w:val="00D255B8"/>
    <w:rsid w:val="00D26D79"/>
    <w:rsid w:val="00D341C9"/>
    <w:rsid w:val="00D3616C"/>
    <w:rsid w:val="00D36E8F"/>
    <w:rsid w:val="00D37361"/>
    <w:rsid w:val="00D4324A"/>
    <w:rsid w:val="00D444C8"/>
    <w:rsid w:val="00D45060"/>
    <w:rsid w:val="00D47103"/>
    <w:rsid w:val="00D507EB"/>
    <w:rsid w:val="00D522D6"/>
    <w:rsid w:val="00D566E9"/>
    <w:rsid w:val="00D56B91"/>
    <w:rsid w:val="00D6094D"/>
    <w:rsid w:val="00D70298"/>
    <w:rsid w:val="00D72171"/>
    <w:rsid w:val="00D772B4"/>
    <w:rsid w:val="00D7768E"/>
    <w:rsid w:val="00D80B19"/>
    <w:rsid w:val="00D82D94"/>
    <w:rsid w:val="00D85192"/>
    <w:rsid w:val="00D87DF2"/>
    <w:rsid w:val="00D97861"/>
    <w:rsid w:val="00DA3BD0"/>
    <w:rsid w:val="00DA64CA"/>
    <w:rsid w:val="00DB52CE"/>
    <w:rsid w:val="00DC2257"/>
    <w:rsid w:val="00DC2C8C"/>
    <w:rsid w:val="00DC7EA4"/>
    <w:rsid w:val="00DD509D"/>
    <w:rsid w:val="00DD570E"/>
    <w:rsid w:val="00DE2EE1"/>
    <w:rsid w:val="00DE6DF8"/>
    <w:rsid w:val="00DF2A4F"/>
    <w:rsid w:val="00DF5773"/>
    <w:rsid w:val="00DF6261"/>
    <w:rsid w:val="00DF68D4"/>
    <w:rsid w:val="00E00D73"/>
    <w:rsid w:val="00E05CEE"/>
    <w:rsid w:val="00E06897"/>
    <w:rsid w:val="00E1209E"/>
    <w:rsid w:val="00E157E9"/>
    <w:rsid w:val="00E15F26"/>
    <w:rsid w:val="00E207D6"/>
    <w:rsid w:val="00E20AE8"/>
    <w:rsid w:val="00E229AF"/>
    <w:rsid w:val="00E245AD"/>
    <w:rsid w:val="00E31EA0"/>
    <w:rsid w:val="00E364E3"/>
    <w:rsid w:val="00E41066"/>
    <w:rsid w:val="00E47EBF"/>
    <w:rsid w:val="00E561E9"/>
    <w:rsid w:val="00E66017"/>
    <w:rsid w:val="00E71321"/>
    <w:rsid w:val="00E80A50"/>
    <w:rsid w:val="00E956A0"/>
    <w:rsid w:val="00E96C1B"/>
    <w:rsid w:val="00EA0D3F"/>
    <w:rsid w:val="00EB08CD"/>
    <w:rsid w:val="00EB5DEE"/>
    <w:rsid w:val="00EC0DA0"/>
    <w:rsid w:val="00EC13B6"/>
    <w:rsid w:val="00EC2DCD"/>
    <w:rsid w:val="00EC2F65"/>
    <w:rsid w:val="00EC6C3B"/>
    <w:rsid w:val="00EC6F88"/>
    <w:rsid w:val="00EC6F90"/>
    <w:rsid w:val="00ED03C4"/>
    <w:rsid w:val="00ED1099"/>
    <w:rsid w:val="00ED554D"/>
    <w:rsid w:val="00ED6609"/>
    <w:rsid w:val="00EE094B"/>
    <w:rsid w:val="00EE2833"/>
    <w:rsid w:val="00EE421D"/>
    <w:rsid w:val="00EE6FA9"/>
    <w:rsid w:val="00EF1530"/>
    <w:rsid w:val="00EF66A5"/>
    <w:rsid w:val="00EF69AF"/>
    <w:rsid w:val="00EF7E85"/>
    <w:rsid w:val="00F0166A"/>
    <w:rsid w:val="00F10154"/>
    <w:rsid w:val="00F1435C"/>
    <w:rsid w:val="00F14D80"/>
    <w:rsid w:val="00F15E61"/>
    <w:rsid w:val="00F23C2D"/>
    <w:rsid w:val="00F3332E"/>
    <w:rsid w:val="00F3490F"/>
    <w:rsid w:val="00F35AC5"/>
    <w:rsid w:val="00F43D5A"/>
    <w:rsid w:val="00F45ADB"/>
    <w:rsid w:val="00F465D8"/>
    <w:rsid w:val="00F46AF3"/>
    <w:rsid w:val="00F476C0"/>
    <w:rsid w:val="00F56740"/>
    <w:rsid w:val="00F67CC9"/>
    <w:rsid w:val="00F746EC"/>
    <w:rsid w:val="00F74DB0"/>
    <w:rsid w:val="00F800D1"/>
    <w:rsid w:val="00F81FF1"/>
    <w:rsid w:val="00F84890"/>
    <w:rsid w:val="00F90206"/>
    <w:rsid w:val="00F925BB"/>
    <w:rsid w:val="00F92F25"/>
    <w:rsid w:val="00FA07EE"/>
    <w:rsid w:val="00FB1322"/>
    <w:rsid w:val="00FB3CE8"/>
    <w:rsid w:val="00FB6250"/>
    <w:rsid w:val="00FC4A32"/>
    <w:rsid w:val="00FC6CEB"/>
    <w:rsid w:val="00FE0B33"/>
    <w:rsid w:val="00FE37EF"/>
    <w:rsid w:val="00FE7E8F"/>
    <w:rsid w:val="00FF01F1"/>
    <w:rsid w:val="00FF03DC"/>
    <w:rsid w:val="00FF469A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655C3"/>
  <w15:chartTrackingRefBased/>
  <w15:docId w15:val="{9655B8FB-9063-4C89-A622-755AF72C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EBF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05E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E405E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5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6F9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B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DE"/>
  </w:style>
  <w:style w:type="paragraph" w:styleId="Footer">
    <w:name w:val="footer"/>
    <w:basedOn w:val="Normal"/>
    <w:link w:val="FooterChar"/>
    <w:uiPriority w:val="99"/>
    <w:unhideWhenUsed/>
    <w:rsid w:val="001B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DE"/>
  </w:style>
  <w:style w:type="character" w:styleId="Hyperlink">
    <w:name w:val="Hyperlink"/>
    <w:basedOn w:val="DefaultParagraphFont"/>
    <w:uiPriority w:val="99"/>
    <w:unhideWhenUsed/>
    <w:rsid w:val="006A73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3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D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2CF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22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2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uk/cases/uksc-2024-0042" TargetMode="External"/><Relationship Id="rId13" Type="http://schemas.openxmlformats.org/officeDocument/2006/relationships/hyperlink" Target="https://rdcu.be/eIQi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1992/3004" TargetMode="External"/><Relationship Id="rId17" Type="http://schemas.openxmlformats.org/officeDocument/2006/relationships/hyperlink" Target="C://Users/tunak/OneDrive%20-%20University%20of%20Kent/AKT/Report/Final%20Reports/akt%20No%20Place%20Like%20Home%20Research%20report%20lgbt%20youth%20homelesness%20202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ransactual.org.uk/impacts-of-the-supreme-court-ruling-on-trans-people/trans-segregation-in-pract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qualityhumanrights.com/equality/equality-act-2010/codes-practice/code-practice-services-public-functions-and-association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86/s12939-025-02509-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equalityhumanrights.com/equality/equality-act-2010/codes-practice/code-practice-services-public-functions-and-association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2010/15/contents" TargetMode="External"/><Relationship Id="rId14" Type="http://schemas.openxmlformats.org/officeDocument/2006/relationships/hyperlink" Target="https://www.centreformentalhealth.org.uk/news/item/leading-mental-health-charities-warn-of-significant-risks-of-ehrc-guidance-to-the-mental-health-and-wellbeing-of-trans-and-non-binary-people/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.Tunaker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4211-C8F9-4F5B-AFD9-2AEA1B108D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1566</Words>
  <Characters>8723</Characters>
  <Application>Microsoft Office Word</Application>
  <DocSecurity>0</DocSecurity>
  <Lines>136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Links>
    <vt:vector size="72" baseType="variant">
      <vt:variant>
        <vt:i4>6488110</vt:i4>
      </vt:variant>
      <vt:variant>
        <vt:i4>33</vt:i4>
      </vt:variant>
      <vt:variant>
        <vt:i4>0</vt:i4>
      </vt:variant>
      <vt:variant>
        <vt:i4>5</vt:i4>
      </vt:variant>
      <vt:variant>
        <vt:lpwstr>file://C:\\Users\tunak\OneDrive - University of Kent\AKT\Report\Final Reports\akt No Place Like Home Research report lgbt youth homelesness 2025.pdf</vt:lpwstr>
      </vt:variant>
      <vt:variant>
        <vt:lpwstr/>
      </vt:variant>
      <vt:variant>
        <vt:i4>4784219</vt:i4>
      </vt:variant>
      <vt:variant>
        <vt:i4>30</vt:i4>
      </vt:variant>
      <vt:variant>
        <vt:i4>0</vt:i4>
      </vt:variant>
      <vt:variant>
        <vt:i4>5</vt:i4>
      </vt:variant>
      <vt:variant>
        <vt:lpwstr>https://transactual.org.uk/impacts-of-the-supreme-court-ruling-on-trans-people/trans-segregation-in-practice/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https://doi.org/10.1186/s12939-025-02509-z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https://www.centreformentalhealth.org.uk/news/item/leading-mental-health-charities-warn-of-significant-risks-of-ehrc-guidance-to-the-mental-health-and-wellbeing-of-trans-and-non-binary-people/</vt:lpwstr>
      </vt:variant>
      <vt:variant>
        <vt:lpwstr/>
      </vt:variant>
      <vt:variant>
        <vt:i4>7733370</vt:i4>
      </vt:variant>
      <vt:variant>
        <vt:i4>21</vt:i4>
      </vt:variant>
      <vt:variant>
        <vt:i4>0</vt:i4>
      </vt:variant>
      <vt:variant>
        <vt:i4>5</vt:i4>
      </vt:variant>
      <vt:variant>
        <vt:lpwstr>https://www.akt.org.uk/lgbt-youth-homelessness-research-report-2025-theres-no-place-like-home/</vt:lpwstr>
      </vt:variant>
      <vt:variant>
        <vt:lpwstr/>
      </vt:variant>
      <vt:variant>
        <vt:i4>4784219</vt:i4>
      </vt:variant>
      <vt:variant>
        <vt:i4>18</vt:i4>
      </vt:variant>
      <vt:variant>
        <vt:i4>0</vt:i4>
      </vt:variant>
      <vt:variant>
        <vt:i4>5</vt:i4>
      </vt:variant>
      <vt:variant>
        <vt:lpwstr>https://transactual.org.uk/impacts-of-the-supreme-court-ruling-on-trans-people/trans-segregation-in-practice/</vt:lpwstr>
      </vt:variant>
      <vt:variant>
        <vt:lpwstr/>
      </vt:variant>
      <vt:variant>
        <vt:i4>5046286</vt:i4>
      </vt:variant>
      <vt:variant>
        <vt:i4>15</vt:i4>
      </vt:variant>
      <vt:variant>
        <vt:i4>0</vt:i4>
      </vt:variant>
      <vt:variant>
        <vt:i4>5</vt:i4>
      </vt:variant>
      <vt:variant>
        <vt:lpwstr>https://rdcu.be/eIQim</vt:lpwstr>
      </vt:variant>
      <vt:variant>
        <vt:lpwstr/>
      </vt:variant>
      <vt:variant>
        <vt:i4>1441792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https://www.legislation.gov.uk/uksi/1992/3004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https://www.equalityhumanrights.com/equality/equality-act-2010/codes-practice/code-practice-services-public-functions-and-associations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https://www.equalityhumanrights.com/equality/equality-act-2010/codes-practice/code-practice-services-public-functions-and-associations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1441875</vt:i4>
      </vt:variant>
      <vt:variant>
        <vt:i4>0</vt:i4>
      </vt:variant>
      <vt:variant>
        <vt:i4>0</vt:i4>
      </vt:variant>
      <vt:variant>
        <vt:i4>5</vt:i4>
      </vt:variant>
      <vt:variant>
        <vt:lpwstr>https://www.supremecourt.uk/cases/uksc-2024-0042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Tunaker</dc:creator>
  <cp:keywords/>
  <dc:description/>
  <cp:lastModifiedBy>Rosemary Hunter</cp:lastModifiedBy>
  <cp:revision>43</cp:revision>
  <dcterms:created xsi:type="dcterms:W3CDTF">2026-02-17T22:55:00Z</dcterms:created>
  <dcterms:modified xsi:type="dcterms:W3CDTF">2026-02-19T23:09:00Z</dcterms:modified>
</cp:coreProperties>
</file>