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2F353" w14:textId="77777777" w:rsidR="00ED32A3" w:rsidRPr="00DF3FA1" w:rsidRDefault="00000000" w:rsidP="008F5286">
      <w:pPr>
        <w:pStyle w:val="Title"/>
        <w:rPr>
          <w:i/>
          <w:iCs/>
        </w:rPr>
      </w:pPr>
      <w:r w:rsidRPr="00DF3FA1">
        <w:t xml:space="preserve">Bigger on the inside: Spatial and temporal aspects of </w:t>
      </w:r>
      <w:r w:rsidRPr="00DF3FA1">
        <w:rPr>
          <w:i/>
          <w:iCs/>
        </w:rPr>
        <w:t>For Women Scotland</w:t>
      </w:r>
    </w:p>
    <w:p w14:paraId="3172F354" w14:textId="77777777" w:rsidR="00ED32A3" w:rsidRDefault="00ED32A3">
      <w:pPr>
        <w:jc w:val="both"/>
        <w:rPr>
          <w:rFonts w:ascii="Georgia" w:eastAsia="Georgia" w:hAnsi="Georgia" w:cs="Georgia"/>
          <w:color w:val="2A2A2A"/>
          <w:sz w:val="24"/>
          <w:szCs w:val="24"/>
        </w:rPr>
      </w:pPr>
    </w:p>
    <w:p w14:paraId="3172F355" w14:textId="3839FD45" w:rsidR="00ED32A3" w:rsidRPr="0085135F" w:rsidRDefault="00000000">
      <w:pPr>
        <w:jc w:val="both"/>
        <w:rPr>
          <w:rFonts w:ascii="Georgia" w:eastAsia="Georgia" w:hAnsi="Georgia" w:cs="Georgia"/>
          <w:b/>
          <w:bCs/>
          <w:color w:val="2A2A2A"/>
          <w:sz w:val="24"/>
          <w:szCs w:val="24"/>
        </w:rPr>
      </w:pPr>
      <w:r w:rsidRPr="0085135F">
        <w:rPr>
          <w:rFonts w:ascii="Georgia" w:eastAsia="Georgia" w:hAnsi="Georgia" w:cs="Georgia"/>
          <w:b/>
          <w:bCs/>
          <w:color w:val="2A2A2A"/>
          <w:sz w:val="24"/>
          <w:szCs w:val="24"/>
        </w:rPr>
        <w:t>Sandra Duffy</w:t>
      </w:r>
      <w:r w:rsidR="00DF3FA1" w:rsidRPr="0085135F">
        <w:rPr>
          <w:rStyle w:val="FootnoteReference"/>
          <w:rFonts w:ascii="Georgia" w:eastAsia="Georgia" w:hAnsi="Georgia" w:cs="Georgia"/>
          <w:b/>
          <w:bCs/>
          <w:color w:val="2A2A2A"/>
          <w:sz w:val="24"/>
          <w:szCs w:val="24"/>
        </w:rPr>
        <w:footnoteReference w:customMarkFollows="1" w:id="1"/>
        <w:t>*</w:t>
      </w:r>
      <w:r w:rsidRPr="0085135F">
        <w:rPr>
          <w:rFonts w:ascii="Georgia" w:eastAsia="Georgia" w:hAnsi="Georgia" w:cs="Georgia"/>
          <w:b/>
          <w:bCs/>
          <w:color w:val="2A2A2A"/>
          <w:sz w:val="24"/>
          <w:szCs w:val="24"/>
        </w:rPr>
        <w:t xml:space="preserve"> and </w:t>
      </w:r>
      <w:proofErr w:type="spellStart"/>
      <w:r w:rsidRPr="0085135F">
        <w:rPr>
          <w:rFonts w:ascii="Georgia" w:eastAsia="Georgia" w:hAnsi="Georgia" w:cs="Georgia"/>
          <w:b/>
          <w:bCs/>
          <w:color w:val="2A2A2A"/>
          <w:sz w:val="24"/>
          <w:szCs w:val="24"/>
        </w:rPr>
        <w:t>Hafren</w:t>
      </w:r>
      <w:proofErr w:type="spellEnd"/>
      <w:r w:rsidRPr="0085135F">
        <w:rPr>
          <w:rFonts w:ascii="Georgia" w:eastAsia="Georgia" w:hAnsi="Georgia" w:cs="Georgia"/>
          <w:b/>
          <w:bCs/>
          <w:color w:val="2A2A2A"/>
          <w:sz w:val="24"/>
          <w:szCs w:val="24"/>
        </w:rPr>
        <w:t xml:space="preserve"> Jones</w:t>
      </w:r>
      <w:r w:rsidR="0085135F">
        <w:rPr>
          <w:rStyle w:val="FootnoteReference"/>
          <w:rFonts w:ascii="Georgia" w:eastAsia="Georgia" w:hAnsi="Georgia" w:cs="Georgia"/>
          <w:b/>
          <w:bCs/>
          <w:color w:val="2A2A2A"/>
          <w:sz w:val="24"/>
          <w:szCs w:val="24"/>
        </w:rPr>
        <w:footnoteReference w:customMarkFollows="1" w:id="2"/>
        <w:t>**</w:t>
      </w:r>
    </w:p>
    <w:p w14:paraId="3172F356" w14:textId="77777777" w:rsidR="00ED32A3" w:rsidRDefault="00ED32A3">
      <w:pPr>
        <w:jc w:val="both"/>
        <w:rPr>
          <w:rFonts w:ascii="Georgia" w:eastAsia="Georgia" w:hAnsi="Georgia" w:cs="Georgia"/>
          <w:color w:val="2A2A2A"/>
          <w:sz w:val="24"/>
          <w:szCs w:val="24"/>
        </w:rPr>
      </w:pPr>
    </w:p>
    <w:p w14:paraId="3172F357" w14:textId="77777777" w:rsidR="00ED32A3" w:rsidRDefault="00ED32A3">
      <w:pPr>
        <w:jc w:val="both"/>
        <w:rPr>
          <w:rFonts w:ascii="Georgia" w:eastAsia="Georgia" w:hAnsi="Georgia" w:cs="Georgia"/>
          <w:color w:val="2A2A2A"/>
          <w:sz w:val="24"/>
          <w:szCs w:val="24"/>
        </w:rPr>
      </w:pPr>
    </w:p>
    <w:p w14:paraId="3172F358" w14:textId="4B01371E"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The judgment in </w:t>
      </w:r>
      <w:r>
        <w:rPr>
          <w:rFonts w:ascii="Georgia" w:eastAsia="Georgia" w:hAnsi="Georgia" w:cs="Georgia"/>
          <w:i/>
          <w:iCs/>
          <w:color w:val="2A2A2A"/>
          <w:sz w:val="24"/>
          <w:szCs w:val="24"/>
        </w:rPr>
        <w:t>For Women Scotland</w:t>
      </w:r>
      <w:r>
        <w:rPr>
          <w:rFonts w:ascii="Georgia" w:eastAsia="Georgia" w:hAnsi="Georgia" w:cs="Georgia"/>
          <w:color w:val="2A2A2A"/>
          <w:sz w:val="24"/>
          <w:szCs w:val="24"/>
        </w:rPr>
        <w:t xml:space="preserve"> has raised a multitude of questions for legal scholars, but less represented in the literature so far have been the reactions of the trans community. This is, of course, a question of access - trans community activists and representatives are frequently denied airtime in the media, even on issues which inherently concern them - but also of epistemic injustice: of the institutional denial of the trans person’s authority to speak about their own life and the conditions thereof. In writing this </w:t>
      </w:r>
      <w:r w:rsidR="00F516A6">
        <w:rPr>
          <w:rFonts w:ascii="Georgia" w:eastAsia="Georgia" w:hAnsi="Georgia" w:cs="Georgia"/>
          <w:color w:val="2A2A2A"/>
          <w:sz w:val="24"/>
          <w:szCs w:val="24"/>
        </w:rPr>
        <w:t>r</w:t>
      </w:r>
      <w:r>
        <w:rPr>
          <w:rFonts w:ascii="Georgia" w:eastAsia="Georgia" w:hAnsi="Georgia" w:cs="Georgia"/>
          <w:color w:val="2A2A2A"/>
          <w:sz w:val="24"/>
          <w:szCs w:val="24"/>
        </w:rPr>
        <w:t xml:space="preserve">apid </w:t>
      </w:r>
      <w:r w:rsidR="00F516A6">
        <w:rPr>
          <w:rFonts w:ascii="Georgia" w:eastAsia="Georgia" w:hAnsi="Georgia" w:cs="Georgia"/>
          <w:color w:val="2A2A2A"/>
          <w:sz w:val="24"/>
          <w:szCs w:val="24"/>
        </w:rPr>
        <w:t>r</w:t>
      </w:r>
      <w:r>
        <w:rPr>
          <w:rFonts w:ascii="Georgia" w:eastAsia="Georgia" w:hAnsi="Georgia" w:cs="Georgia"/>
          <w:color w:val="2A2A2A"/>
          <w:sz w:val="24"/>
          <w:szCs w:val="24"/>
        </w:rPr>
        <w:t xml:space="preserve">eaction piece, Sandra (a genderqueer legal academic and </w:t>
      </w:r>
      <w:proofErr w:type="spellStart"/>
      <w:r>
        <w:rPr>
          <w:rFonts w:ascii="Georgia" w:eastAsia="Georgia" w:hAnsi="Georgia" w:cs="Georgia"/>
          <w:color w:val="2A2A2A"/>
          <w:sz w:val="24"/>
          <w:szCs w:val="24"/>
        </w:rPr>
        <w:t>scholactivist</w:t>
      </w:r>
      <w:proofErr w:type="spellEnd"/>
      <w:r>
        <w:rPr>
          <w:rFonts w:ascii="Georgia" w:eastAsia="Georgia" w:hAnsi="Georgia" w:cs="Georgia"/>
          <w:color w:val="2A2A2A"/>
          <w:sz w:val="24"/>
          <w:szCs w:val="24"/>
        </w:rPr>
        <w:t xml:space="preserve">), and </w:t>
      </w:r>
      <w:proofErr w:type="spellStart"/>
      <w:r>
        <w:rPr>
          <w:rFonts w:ascii="Georgia" w:eastAsia="Georgia" w:hAnsi="Georgia" w:cs="Georgia"/>
          <w:color w:val="2A2A2A"/>
          <w:sz w:val="24"/>
          <w:szCs w:val="24"/>
        </w:rPr>
        <w:t>Hafren</w:t>
      </w:r>
      <w:proofErr w:type="spellEnd"/>
      <w:r>
        <w:rPr>
          <w:rFonts w:ascii="Georgia" w:eastAsia="Georgia" w:hAnsi="Georgia" w:cs="Georgia"/>
          <w:color w:val="2A2A2A"/>
          <w:sz w:val="24"/>
          <w:szCs w:val="24"/>
        </w:rPr>
        <w:t xml:space="preserve"> (trans woman, community organiser </w:t>
      </w:r>
      <w:r w:rsidR="00031B37">
        <w:rPr>
          <w:rFonts w:ascii="Georgia" w:eastAsia="Georgia" w:hAnsi="Georgia" w:cs="Georgia"/>
          <w:color w:val="2A2A2A"/>
          <w:sz w:val="24"/>
          <w:szCs w:val="24"/>
        </w:rPr>
        <w:t>and</w:t>
      </w:r>
      <w:r>
        <w:rPr>
          <w:rFonts w:ascii="Georgia" w:eastAsia="Georgia" w:hAnsi="Georgia" w:cs="Georgia"/>
          <w:color w:val="2A2A2A"/>
          <w:sz w:val="24"/>
          <w:szCs w:val="24"/>
        </w:rPr>
        <w:t xml:space="preserve"> chair of a local Trans Pride event) wish to contribute to rectifying this deficit.</w:t>
      </w:r>
    </w:p>
    <w:p w14:paraId="3172F359" w14:textId="77777777" w:rsidR="00ED32A3" w:rsidRDefault="00ED32A3">
      <w:pPr>
        <w:jc w:val="both"/>
        <w:rPr>
          <w:rFonts w:ascii="Georgia" w:eastAsia="Georgia" w:hAnsi="Georgia" w:cs="Georgia"/>
          <w:color w:val="2A2A2A"/>
          <w:sz w:val="24"/>
          <w:szCs w:val="24"/>
        </w:rPr>
      </w:pPr>
    </w:p>
    <w:p w14:paraId="3172F35A" w14:textId="21CCD80A" w:rsidR="00ED32A3" w:rsidRDefault="00000000">
      <w:pPr>
        <w:jc w:val="both"/>
        <w:rPr>
          <w:rFonts w:ascii="Georgia" w:eastAsia="Georgia" w:hAnsi="Georgia" w:cs="Georgia"/>
          <w:i/>
          <w:iCs/>
          <w:color w:val="2A2A2A"/>
          <w:sz w:val="24"/>
          <w:szCs w:val="24"/>
        </w:rPr>
      </w:pPr>
      <w:r>
        <w:rPr>
          <w:rFonts w:ascii="Georgia" w:eastAsia="Georgia" w:hAnsi="Georgia" w:cs="Georgia"/>
          <w:color w:val="2A2A2A"/>
          <w:sz w:val="24"/>
          <w:szCs w:val="24"/>
        </w:rPr>
        <w:t>We argue that the dimensions of the reactions to</w:t>
      </w:r>
      <w:r>
        <w:rPr>
          <w:rFonts w:ascii="Georgia" w:eastAsia="Georgia" w:hAnsi="Georgia" w:cs="Georgia"/>
          <w:i/>
          <w:iCs/>
          <w:color w:val="2A2A2A"/>
          <w:sz w:val="24"/>
          <w:szCs w:val="24"/>
        </w:rPr>
        <w:t xml:space="preserve"> FWS </w:t>
      </w:r>
      <w:r>
        <w:rPr>
          <w:rFonts w:ascii="Georgia" w:eastAsia="Georgia" w:hAnsi="Georgia" w:cs="Georgia"/>
          <w:color w:val="2A2A2A"/>
          <w:sz w:val="24"/>
          <w:szCs w:val="24"/>
        </w:rPr>
        <w:t xml:space="preserve">have been asymmetrical, with much attention given to the immediate </w:t>
      </w:r>
      <w:r>
        <w:rPr>
          <w:rFonts w:ascii="Georgia" w:eastAsia="Georgia" w:hAnsi="Georgia" w:cs="Georgia"/>
          <w:i/>
          <w:iCs/>
          <w:color w:val="2A2A2A"/>
          <w:sz w:val="24"/>
          <w:szCs w:val="24"/>
        </w:rPr>
        <w:t>spatial</w:t>
      </w:r>
      <w:r>
        <w:rPr>
          <w:rFonts w:ascii="Georgia" w:eastAsia="Georgia" w:hAnsi="Georgia" w:cs="Georgia"/>
          <w:color w:val="2A2A2A"/>
          <w:sz w:val="24"/>
          <w:szCs w:val="24"/>
        </w:rPr>
        <w:t xml:space="preserve"> repercussions of the judgment, but less to the longer-term, </w:t>
      </w:r>
      <w:r>
        <w:rPr>
          <w:rFonts w:ascii="Georgia" w:eastAsia="Georgia" w:hAnsi="Georgia" w:cs="Georgia"/>
          <w:i/>
          <w:iCs/>
          <w:color w:val="2A2A2A"/>
          <w:sz w:val="24"/>
          <w:szCs w:val="24"/>
        </w:rPr>
        <w:t xml:space="preserve">temporal </w:t>
      </w:r>
      <w:r>
        <w:rPr>
          <w:rFonts w:ascii="Georgia" w:eastAsia="Georgia" w:hAnsi="Georgia" w:cs="Georgia"/>
          <w:color w:val="2A2A2A"/>
          <w:sz w:val="24"/>
          <w:szCs w:val="24"/>
        </w:rPr>
        <w:t xml:space="preserve">consequences. Community responses such as </w:t>
      </w:r>
      <w:hyperlink r:id="rId8" w:history="1">
        <w:r w:rsidR="00ED32A3" w:rsidRPr="00FA769A">
          <w:rPr>
            <w:rStyle w:val="Hyperlink"/>
            <w:rFonts w:ascii="Georgia" w:eastAsia="Georgia" w:hAnsi="Georgia" w:cs="Georgia"/>
            <w:sz w:val="24"/>
            <w:szCs w:val="24"/>
          </w:rPr>
          <w:t>Safe Space Bristol</w:t>
        </w:r>
      </w:hyperlink>
      <w:r>
        <w:rPr>
          <w:rFonts w:ascii="Georgia" w:eastAsia="Georgia" w:hAnsi="Georgia" w:cs="Georgia"/>
          <w:color w:val="2A2A2A"/>
          <w:sz w:val="24"/>
          <w:szCs w:val="24"/>
        </w:rPr>
        <w:t xml:space="preserve"> have concentrated on access to services and facilities, while less attention has gone to the diminution in life chances and outcomes which will happen as a consequence of the decision.</w:t>
      </w:r>
    </w:p>
    <w:p w14:paraId="3172F35B" w14:textId="77777777" w:rsidR="00ED32A3" w:rsidRDefault="00ED32A3">
      <w:pPr>
        <w:jc w:val="both"/>
        <w:rPr>
          <w:rFonts w:ascii="Georgia" w:eastAsia="Georgia" w:hAnsi="Georgia" w:cs="Georgia"/>
          <w:i/>
          <w:iCs/>
          <w:color w:val="2A2A2A"/>
          <w:sz w:val="24"/>
          <w:szCs w:val="24"/>
        </w:rPr>
      </w:pPr>
    </w:p>
    <w:p w14:paraId="3172F35C" w14:textId="0900DF78"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Legal geographers state that “nearly every aspect of law is located, takes place, is in motion, or has some spatial frame of reference. In other words, law is always </w:t>
      </w:r>
      <w:r w:rsidR="003543D4">
        <w:rPr>
          <w:rFonts w:ascii="Georgia" w:eastAsia="Georgia" w:hAnsi="Georgia" w:cs="Georgia"/>
          <w:color w:val="2A2A2A"/>
          <w:sz w:val="24"/>
          <w:szCs w:val="24"/>
        </w:rPr>
        <w:t>‘</w:t>
      </w:r>
      <w:proofErr w:type="spellStart"/>
      <w:r>
        <w:rPr>
          <w:rFonts w:ascii="Georgia" w:eastAsia="Georgia" w:hAnsi="Georgia" w:cs="Georgia"/>
          <w:color w:val="2A2A2A"/>
          <w:sz w:val="24"/>
          <w:szCs w:val="24"/>
        </w:rPr>
        <w:t>worlded</w:t>
      </w:r>
      <w:proofErr w:type="spellEnd"/>
      <w:r w:rsidR="003543D4">
        <w:rPr>
          <w:rFonts w:ascii="Georgia" w:eastAsia="Georgia" w:hAnsi="Georgia" w:cs="Georgia"/>
          <w:color w:val="2A2A2A"/>
          <w:sz w:val="24"/>
          <w:szCs w:val="24"/>
        </w:rPr>
        <w:t>’</w:t>
      </w:r>
      <w:r>
        <w:rPr>
          <w:rFonts w:ascii="Georgia" w:eastAsia="Georgia" w:hAnsi="Georgia" w:cs="Georgia"/>
          <w:color w:val="2A2A2A"/>
          <w:sz w:val="24"/>
          <w:szCs w:val="24"/>
        </w:rPr>
        <w:t xml:space="preserve"> in some way” (Braverman et al</w:t>
      </w:r>
      <w:r w:rsidR="003543D4">
        <w:rPr>
          <w:rFonts w:ascii="Georgia" w:eastAsia="Georgia" w:hAnsi="Georgia" w:cs="Georgia"/>
          <w:color w:val="2A2A2A"/>
          <w:sz w:val="24"/>
          <w:szCs w:val="24"/>
        </w:rPr>
        <w:t>.</w:t>
      </w:r>
      <w:r>
        <w:rPr>
          <w:rFonts w:ascii="Georgia" w:eastAsia="Georgia" w:hAnsi="Georgia" w:cs="Georgia"/>
          <w:color w:val="2A2A2A"/>
          <w:sz w:val="24"/>
          <w:szCs w:val="24"/>
        </w:rPr>
        <w:t xml:space="preserve">, 2014). </w:t>
      </w:r>
      <w:r>
        <w:rPr>
          <w:rFonts w:ascii="Georgia" w:eastAsia="Georgia" w:hAnsi="Georgia" w:cs="Georgia"/>
          <w:i/>
          <w:iCs/>
          <w:color w:val="2A2A2A"/>
          <w:sz w:val="24"/>
          <w:szCs w:val="24"/>
        </w:rPr>
        <w:t>For Women Scotland</w:t>
      </w:r>
      <w:r>
        <w:rPr>
          <w:rFonts w:ascii="Georgia" w:eastAsia="Georgia" w:hAnsi="Georgia" w:cs="Georgia"/>
          <w:color w:val="2A2A2A"/>
          <w:sz w:val="24"/>
          <w:szCs w:val="24"/>
        </w:rPr>
        <w:t xml:space="preserve"> is </w:t>
      </w:r>
      <w:proofErr w:type="spellStart"/>
      <w:r>
        <w:rPr>
          <w:rFonts w:ascii="Georgia" w:eastAsia="Georgia" w:hAnsi="Georgia" w:cs="Georgia"/>
          <w:color w:val="2A2A2A"/>
          <w:sz w:val="24"/>
          <w:szCs w:val="24"/>
        </w:rPr>
        <w:t>worlded</w:t>
      </w:r>
      <w:proofErr w:type="spellEnd"/>
      <w:r>
        <w:rPr>
          <w:rFonts w:ascii="Georgia" w:eastAsia="Georgia" w:hAnsi="Georgia" w:cs="Georgia"/>
          <w:color w:val="2A2A2A"/>
          <w:sz w:val="24"/>
          <w:szCs w:val="24"/>
        </w:rPr>
        <w:t xml:space="preserve"> in the bathroom, the changing room, the domestic violence refuge - all areas wherein trans people have, with minimal statutory exceptions, been welcome, until </w:t>
      </w:r>
      <w:r w:rsidR="00EF4C93">
        <w:rPr>
          <w:rFonts w:ascii="Georgia" w:eastAsia="Georgia" w:hAnsi="Georgia" w:cs="Georgia"/>
          <w:color w:val="2A2A2A"/>
          <w:sz w:val="24"/>
          <w:szCs w:val="24"/>
        </w:rPr>
        <w:t>now</w:t>
      </w:r>
      <w:r>
        <w:rPr>
          <w:rFonts w:ascii="Georgia" w:eastAsia="Georgia" w:hAnsi="Georgia" w:cs="Georgia"/>
          <w:color w:val="2A2A2A"/>
          <w:sz w:val="24"/>
          <w:szCs w:val="24"/>
        </w:rPr>
        <w:t xml:space="preserve">. One of the effects of FWS has been the closing down of worlds for trans people - diminishing our ability to take part in public life at an immediate level, by cutting off access to these spaces. The laws and regulations, including the Equality Act 2010 and the Workplace (Health, Safety and Welfare) Regulations 1992, which govern space in society, act upon those neutral rooms and turn them into sexed/gendered spaces - spaces where law happens, </w:t>
      </w:r>
      <w:proofErr w:type="gramStart"/>
      <w:r>
        <w:rPr>
          <w:rFonts w:ascii="Georgia" w:eastAsia="Georgia" w:hAnsi="Georgia" w:cs="Georgia"/>
          <w:color w:val="2A2A2A"/>
          <w:sz w:val="24"/>
          <w:szCs w:val="24"/>
        </w:rPr>
        <w:t>and in particular, where</w:t>
      </w:r>
      <w:proofErr w:type="gramEnd"/>
      <w:r>
        <w:rPr>
          <w:rFonts w:ascii="Georgia" w:eastAsia="Georgia" w:hAnsi="Georgia" w:cs="Georgia"/>
          <w:color w:val="2A2A2A"/>
          <w:sz w:val="24"/>
          <w:szCs w:val="24"/>
        </w:rPr>
        <w:t xml:space="preserve"> law excludes. It is impossible, for instance, to work at a job away from home, if you cannot use a safe bathroom. This has been the idea behind</w:t>
      </w:r>
      <w:r w:rsidR="0097269F">
        <w:rPr>
          <w:rFonts w:ascii="Georgia" w:eastAsia="Georgia" w:hAnsi="Georgia" w:cs="Georgia"/>
          <w:color w:val="2A2A2A"/>
          <w:sz w:val="24"/>
          <w:szCs w:val="24"/>
        </w:rPr>
        <w:t xml:space="preserve"> Safe Space Bristol</w:t>
      </w:r>
      <w:r>
        <w:rPr>
          <w:rFonts w:ascii="Georgia" w:eastAsia="Georgia" w:hAnsi="Georgia" w:cs="Georgia"/>
          <w:color w:val="2A2A2A"/>
          <w:sz w:val="24"/>
          <w:szCs w:val="24"/>
        </w:rPr>
        <w:t xml:space="preserve"> (later expanded across the United Kingdom), a trans-led social media campaign which has called on businesses and centres to remain safe spaces for trans people, particularly with regards to facilities</w:t>
      </w:r>
      <w:r w:rsidR="00A40800">
        <w:rPr>
          <w:rFonts w:ascii="Georgia" w:eastAsia="Georgia" w:hAnsi="Georgia" w:cs="Georgia"/>
          <w:color w:val="2A2A2A"/>
          <w:sz w:val="24"/>
          <w:szCs w:val="24"/>
        </w:rPr>
        <w:t>,</w:t>
      </w:r>
      <w:r>
        <w:rPr>
          <w:rFonts w:ascii="Georgia" w:eastAsia="Georgia" w:hAnsi="Georgia" w:cs="Georgia"/>
          <w:color w:val="2A2A2A"/>
          <w:sz w:val="24"/>
          <w:szCs w:val="24"/>
        </w:rPr>
        <w:t xml:space="preserve"> as-and-when legally possible. This shows a focus from the grassroots community on spatiality. </w:t>
      </w:r>
    </w:p>
    <w:p w14:paraId="3172F35D" w14:textId="77777777" w:rsidR="00ED32A3" w:rsidRDefault="00ED32A3">
      <w:pPr>
        <w:jc w:val="both"/>
        <w:rPr>
          <w:rFonts w:ascii="Georgia" w:eastAsia="Georgia" w:hAnsi="Georgia" w:cs="Georgia"/>
          <w:color w:val="2A2A2A"/>
          <w:sz w:val="24"/>
          <w:szCs w:val="24"/>
        </w:rPr>
      </w:pPr>
    </w:p>
    <w:p w14:paraId="3172F35E" w14:textId="276742E1"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lastRenderedPageBreak/>
        <w:t>Concern for spatiality became a catalyst for further community action. In Bristol two new groups dedicated to transgender women and transfeminine spectrum people emerged as well as more dedicated space for transmasculine people. These groups encouraged transgender people to meet in public spaces across the city. There have been repeated demonstrations on the issue. Once a public consultation was launched from the Equality and Human Rights Commission</w:t>
      </w:r>
      <w:r w:rsidR="00F27E72">
        <w:rPr>
          <w:rFonts w:ascii="Georgia" w:eastAsia="Georgia" w:hAnsi="Georgia" w:cs="Georgia"/>
          <w:color w:val="2A2A2A"/>
          <w:sz w:val="24"/>
          <w:szCs w:val="24"/>
        </w:rPr>
        <w:t>,</w:t>
      </w:r>
      <w:r>
        <w:rPr>
          <w:rFonts w:ascii="Georgia" w:eastAsia="Georgia" w:hAnsi="Georgia" w:cs="Georgia"/>
          <w:color w:val="2A2A2A"/>
          <w:sz w:val="24"/>
          <w:szCs w:val="24"/>
        </w:rPr>
        <w:t xml:space="preserve"> a concerted effort to respond was coordinated as well as Trans Solidarity Alliance’s mass parliamentary lobby. Campaigns have framed the issue in terms of a “bathroom ban”; immediately focused on facilities.  </w:t>
      </w:r>
    </w:p>
    <w:p w14:paraId="3172F35F" w14:textId="77777777" w:rsidR="00ED32A3" w:rsidRDefault="00ED32A3">
      <w:pPr>
        <w:jc w:val="both"/>
        <w:rPr>
          <w:rFonts w:ascii="Georgia" w:eastAsia="Georgia" w:hAnsi="Georgia" w:cs="Georgia"/>
          <w:color w:val="2A2A2A"/>
          <w:sz w:val="24"/>
          <w:szCs w:val="24"/>
        </w:rPr>
      </w:pPr>
    </w:p>
    <w:p w14:paraId="3172F360" w14:textId="68A9AE66"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However, law does not only operate in, and on, space. It also operates in time. Time and temporalities have, of late, become a vast area of study within the legal academy, with scholars such as Grabham (2016) and Fletcher (2025) expanding on the operation of law within and around varying temporal landscapes. It is already known that trans people operate within different temporalities than cisgender and/or heterosexual people. Pearce (2019) has written about the </w:t>
      </w:r>
      <w:r w:rsidR="00494819">
        <w:rPr>
          <w:rFonts w:ascii="Georgia" w:eastAsia="Georgia" w:hAnsi="Georgia" w:cs="Georgia"/>
          <w:color w:val="2A2A2A"/>
          <w:sz w:val="24"/>
          <w:szCs w:val="24"/>
        </w:rPr>
        <w:t>“</w:t>
      </w:r>
      <w:r>
        <w:rPr>
          <w:rFonts w:ascii="Georgia" w:eastAsia="Georgia" w:hAnsi="Georgia" w:cs="Georgia"/>
          <w:color w:val="2A2A2A"/>
          <w:sz w:val="24"/>
          <w:szCs w:val="24"/>
        </w:rPr>
        <w:t>non-linear</w:t>
      </w:r>
      <w:r w:rsidR="00494819">
        <w:rPr>
          <w:rFonts w:ascii="Georgia" w:eastAsia="Georgia" w:hAnsi="Georgia" w:cs="Georgia"/>
          <w:color w:val="2A2A2A"/>
          <w:sz w:val="24"/>
          <w:szCs w:val="24"/>
        </w:rPr>
        <w:t>”</w:t>
      </w:r>
      <w:r>
        <w:rPr>
          <w:rFonts w:ascii="Georgia" w:eastAsia="Georgia" w:hAnsi="Georgia" w:cs="Georgia"/>
          <w:color w:val="2A2A2A"/>
          <w:sz w:val="24"/>
          <w:szCs w:val="24"/>
        </w:rPr>
        <w:t xml:space="preserve"> ageing of trans people: how we measure time differently, perhaps in years from coming out, years from beginning hormonal therapy. In considering the impact of </w:t>
      </w:r>
      <w:r>
        <w:rPr>
          <w:rFonts w:ascii="Georgia" w:eastAsia="Georgia" w:hAnsi="Georgia" w:cs="Georgia"/>
          <w:i/>
          <w:iCs/>
          <w:color w:val="2A2A2A"/>
          <w:sz w:val="24"/>
          <w:szCs w:val="24"/>
        </w:rPr>
        <w:t>FWS</w:t>
      </w:r>
      <w:r>
        <w:rPr>
          <w:rFonts w:ascii="Georgia" w:eastAsia="Georgia" w:hAnsi="Georgia" w:cs="Georgia"/>
          <w:color w:val="2A2A2A"/>
          <w:sz w:val="24"/>
          <w:szCs w:val="24"/>
        </w:rPr>
        <w:t xml:space="preserve">, we are concerned principally with trans futures: the potentialities of life which are now curtailed </w:t>
      </w:r>
      <w:proofErr w:type="gramStart"/>
      <w:r>
        <w:rPr>
          <w:rFonts w:ascii="Georgia" w:eastAsia="Georgia" w:hAnsi="Georgia" w:cs="Georgia"/>
          <w:color w:val="2A2A2A"/>
          <w:sz w:val="24"/>
          <w:szCs w:val="24"/>
        </w:rPr>
        <w:t>as a result of</w:t>
      </w:r>
      <w:proofErr w:type="gramEnd"/>
      <w:r>
        <w:rPr>
          <w:rFonts w:ascii="Georgia" w:eastAsia="Georgia" w:hAnsi="Georgia" w:cs="Georgia"/>
          <w:color w:val="2A2A2A"/>
          <w:sz w:val="24"/>
          <w:szCs w:val="24"/>
        </w:rPr>
        <w:t xml:space="preserve"> the judgment. The law has the power to act upon society in a manner that de-futures trans lives on </w:t>
      </w:r>
      <w:proofErr w:type="gramStart"/>
      <w:r>
        <w:rPr>
          <w:rFonts w:ascii="Georgia" w:eastAsia="Georgia" w:hAnsi="Georgia" w:cs="Georgia"/>
          <w:color w:val="2A2A2A"/>
          <w:sz w:val="24"/>
          <w:szCs w:val="24"/>
        </w:rPr>
        <w:t>a number of</w:t>
      </w:r>
      <w:proofErr w:type="gramEnd"/>
      <w:r>
        <w:rPr>
          <w:rFonts w:ascii="Georgia" w:eastAsia="Georgia" w:hAnsi="Georgia" w:cs="Georgia"/>
          <w:color w:val="2A2A2A"/>
          <w:sz w:val="24"/>
          <w:szCs w:val="24"/>
        </w:rPr>
        <w:t xml:space="preserve"> scales: </w:t>
      </w:r>
      <w:r w:rsidR="00B44E48">
        <w:rPr>
          <w:rFonts w:ascii="Georgia" w:eastAsia="Georgia" w:hAnsi="Georgia" w:cs="Georgia"/>
          <w:color w:val="2A2A2A"/>
          <w:sz w:val="24"/>
          <w:szCs w:val="24"/>
        </w:rPr>
        <w:t>“b</w:t>
      </w:r>
      <w:r>
        <w:rPr>
          <w:rFonts w:ascii="Georgia" w:eastAsia="Georgia" w:hAnsi="Georgia" w:cs="Georgia"/>
          <w:color w:val="2A2A2A"/>
          <w:sz w:val="24"/>
          <w:szCs w:val="24"/>
        </w:rPr>
        <w:t>ig</w:t>
      </w:r>
      <w:r w:rsidR="00B44E48">
        <w:rPr>
          <w:rFonts w:ascii="Georgia" w:eastAsia="Georgia" w:hAnsi="Georgia" w:cs="Georgia"/>
          <w:color w:val="2A2A2A"/>
          <w:sz w:val="24"/>
          <w:szCs w:val="24"/>
        </w:rPr>
        <w:t>”</w:t>
      </w:r>
      <w:r>
        <w:rPr>
          <w:rFonts w:ascii="Georgia" w:eastAsia="Georgia" w:hAnsi="Georgia" w:cs="Georgia"/>
          <w:color w:val="2A2A2A"/>
          <w:sz w:val="24"/>
          <w:szCs w:val="24"/>
        </w:rPr>
        <w:t xml:space="preserve"> (social) and </w:t>
      </w:r>
      <w:r w:rsidR="00B44E48">
        <w:rPr>
          <w:rFonts w:ascii="Georgia" w:eastAsia="Georgia" w:hAnsi="Georgia" w:cs="Georgia"/>
          <w:color w:val="2A2A2A"/>
          <w:sz w:val="24"/>
          <w:szCs w:val="24"/>
        </w:rPr>
        <w:t>“l</w:t>
      </w:r>
      <w:r>
        <w:rPr>
          <w:rFonts w:ascii="Georgia" w:eastAsia="Georgia" w:hAnsi="Georgia" w:cs="Georgia"/>
          <w:color w:val="2A2A2A"/>
          <w:sz w:val="24"/>
          <w:szCs w:val="24"/>
        </w:rPr>
        <w:t>ittle</w:t>
      </w:r>
      <w:r w:rsidR="00B44E48">
        <w:rPr>
          <w:rFonts w:ascii="Georgia" w:eastAsia="Georgia" w:hAnsi="Georgia" w:cs="Georgia"/>
          <w:color w:val="2A2A2A"/>
          <w:sz w:val="24"/>
          <w:szCs w:val="24"/>
        </w:rPr>
        <w:t>”</w:t>
      </w:r>
      <w:r>
        <w:rPr>
          <w:rFonts w:ascii="Georgia" w:eastAsia="Georgia" w:hAnsi="Georgia" w:cs="Georgia"/>
          <w:color w:val="2A2A2A"/>
          <w:sz w:val="24"/>
          <w:szCs w:val="24"/>
        </w:rPr>
        <w:t xml:space="preserve"> (personal) futures (Michael, 2017). Trans lives, like cis lives, need to be more than </w:t>
      </w:r>
      <w:r>
        <w:rPr>
          <w:rFonts w:ascii="Georgia" w:eastAsia="Georgia" w:hAnsi="Georgia" w:cs="Georgia"/>
          <w:i/>
          <w:iCs/>
          <w:color w:val="2A2A2A"/>
          <w:sz w:val="24"/>
          <w:szCs w:val="24"/>
        </w:rPr>
        <w:t>bare life</w:t>
      </w:r>
      <w:r>
        <w:rPr>
          <w:rFonts w:ascii="Georgia" w:eastAsia="Georgia" w:hAnsi="Georgia" w:cs="Georgia"/>
          <w:color w:val="2A2A2A"/>
          <w:sz w:val="24"/>
          <w:szCs w:val="24"/>
        </w:rPr>
        <w:t xml:space="preserve"> (Agamben, 2000), and so they must include the conditions for flourishing. But if the collective and the means of becoming are taken away, what </w:t>
      </w:r>
      <w:r w:rsidR="00110457">
        <w:rPr>
          <w:rFonts w:ascii="Georgia" w:eastAsia="Georgia" w:hAnsi="Georgia" w:cs="Georgia"/>
          <w:color w:val="2A2A2A"/>
          <w:sz w:val="24"/>
          <w:szCs w:val="24"/>
        </w:rPr>
        <w:t xml:space="preserve">is the </w:t>
      </w:r>
      <w:r>
        <w:rPr>
          <w:rFonts w:ascii="Georgia" w:eastAsia="Georgia" w:hAnsi="Georgia" w:cs="Georgia"/>
          <w:color w:val="2A2A2A"/>
          <w:sz w:val="24"/>
          <w:szCs w:val="24"/>
        </w:rPr>
        <w:t xml:space="preserve">impact on this potential? Family, education, and political participation are all part of this - however, following </w:t>
      </w:r>
      <w:r>
        <w:rPr>
          <w:rFonts w:ascii="Georgia" w:eastAsia="Georgia" w:hAnsi="Georgia" w:cs="Georgia"/>
          <w:i/>
          <w:iCs/>
          <w:color w:val="2A2A2A"/>
          <w:sz w:val="24"/>
          <w:szCs w:val="24"/>
        </w:rPr>
        <w:t>FWS</w:t>
      </w:r>
      <w:r>
        <w:rPr>
          <w:rFonts w:ascii="Georgia" w:eastAsia="Georgia" w:hAnsi="Georgia" w:cs="Georgia"/>
          <w:color w:val="2A2A2A"/>
          <w:sz w:val="24"/>
          <w:szCs w:val="24"/>
        </w:rPr>
        <w:t>, they have frequently been formulated as trans-exclusionary.</w:t>
      </w:r>
      <w:r w:rsidR="006C1701">
        <w:rPr>
          <w:rFonts w:ascii="Georgia" w:eastAsia="Georgia" w:hAnsi="Georgia" w:cs="Georgia"/>
          <w:color w:val="2A2A2A"/>
          <w:sz w:val="24"/>
          <w:szCs w:val="24"/>
        </w:rPr>
        <w:t xml:space="preserve"> Newnham College Cambridge,</w:t>
      </w:r>
      <w:r>
        <w:rPr>
          <w:rFonts w:ascii="Georgia" w:eastAsia="Georgia" w:hAnsi="Georgia" w:cs="Georgia"/>
          <w:color w:val="2A2A2A"/>
          <w:sz w:val="24"/>
          <w:szCs w:val="24"/>
        </w:rPr>
        <w:t xml:space="preserve"> for example, offers scholarships to “women with high potential</w:t>
      </w:r>
      <w:r w:rsidR="00064EA6">
        <w:rPr>
          <w:rFonts w:ascii="Georgia" w:eastAsia="Georgia" w:hAnsi="Georgia" w:cs="Georgia"/>
          <w:color w:val="2A2A2A"/>
          <w:sz w:val="24"/>
          <w:szCs w:val="24"/>
        </w:rPr>
        <w:t>”</w:t>
      </w:r>
      <w:r>
        <w:rPr>
          <w:rFonts w:ascii="Georgia" w:eastAsia="Georgia" w:hAnsi="Georgia" w:cs="Georgia"/>
          <w:color w:val="2A2A2A"/>
          <w:sz w:val="24"/>
          <w:szCs w:val="24"/>
        </w:rPr>
        <w:t xml:space="preserve">, but explicitly cites </w:t>
      </w:r>
      <w:r>
        <w:rPr>
          <w:rFonts w:ascii="Georgia" w:eastAsia="Georgia" w:hAnsi="Georgia" w:cs="Georgia"/>
          <w:i/>
          <w:iCs/>
          <w:color w:val="2A2A2A"/>
          <w:sz w:val="24"/>
          <w:szCs w:val="24"/>
        </w:rPr>
        <w:t>FWS</w:t>
      </w:r>
      <w:r>
        <w:rPr>
          <w:rFonts w:ascii="Georgia" w:eastAsia="Georgia" w:hAnsi="Georgia" w:cs="Georgia"/>
          <w:color w:val="2A2A2A"/>
          <w:sz w:val="24"/>
          <w:szCs w:val="24"/>
        </w:rPr>
        <w:t xml:space="preserve"> in limiting those scholarships to women “assigned female at birth</w:t>
      </w:r>
      <w:r w:rsidR="00064EA6">
        <w:rPr>
          <w:rFonts w:ascii="Georgia" w:eastAsia="Georgia" w:hAnsi="Georgia" w:cs="Georgia"/>
          <w:color w:val="2A2A2A"/>
          <w:sz w:val="24"/>
          <w:szCs w:val="24"/>
        </w:rPr>
        <w:t>”</w:t>
      </w:r>
      <w:r>
        <w:rPr>
          <w:rFonts w:ascii="Georgia" w:eastAsia="Georgia" w:hAnsi="Georgia" w:cs="Georgia"/>
          <w:color w:val="2A2A2A"/>
          <w:sz w:val="24"/>
          <w:szCs w:val="24"/>
        </w:rPr>
        <w:t>.</w:t>
      </w:r>
      <w:r>
        <w:rPr>
          <w:rFonts w:ascii="Georgia" w:eastAsia="Georgia" w:hAnsi="Georgia" w:cs="Georgia"/>
          <w:color w:val="2A2A2A"/>
          <w:sz w:val="24"/>
          <w:szCs w:val="24"/>
          <w:vertAlign w:val="superscript"/>
        </w:rPr>
        <w:footnoteReference w:id="3"/>
      </w:r>
      <w:r>
        <w:rPr>
          <w:rFonts w:ascii="Georgia" w:eastAsia="Georgia" w:hAnsi="Georgia" w:cs="Georgia"/>
          <w:color w:val="2A2A2A"/>
          <w:sz w:val="24"/>
          <w:szCs w:val="24"/>
        </w:rPr>
        <w:t xml:space="preserve"> We are also concerned that in the wake of the </w:t>
      </w:r>
      <w:r>
        <w:rPr>
          <w:rFonts w:ascii="Georgia" w:eastAsia="Georgia" w:hAnsi="Georgia" w:cs="Georgia"/>
          <w:i/>
          <w:iCs/>
          <w:color w:val="2A2A2A"/>
          <w:sz w:val="24"/>
          <w:szCs w:val="24"/>
        </w:rPr>
        <w:t>FWS</w:t>
      </w:r>
      <w:r>
        <w:rPr>
          <w:rFonts w:ascii="Georgia" w:eastAsia="Georgia" w:hAnsi="Georgia" w:cs="Georgia"/>
          <w:color w:val="2A2A2A"/>
          <w:sz w:val="24"/>
          <w:szCs w:val="24"/>
        </w:rPr>
        <w:t xml:space="preserve"> decision about places on boards, women’s shortlists for elections will be confined to cis women.</w:t>
      </w:r>
    </w:p>
    <w:p w14:paraId="3172F361" w14:textId="77777777" w:rsidR="00ED32A3" w:rsidRDefault="00ED32A3">
      <w:pPr>
        <w:jc w:val="both"/>
        <w:rPr>
          <w:rFonts w:ascii="Georgia" w:eastAsia="Georgia" w:hAnsi="Georgia" w:cs="Georgia"/>
          <w:color w:val="2A2A2A"/>
          <w:sz w:val="24"/>
          <w:szCs w:val="24"/>
        </w:rPr>
      </w:pPr>
    </w:p>
    <w:p w14:paraId="3172F362" w14:textId="6C2FD13E"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For community organisers, we’re left perplexed by the wider implications on gender recognition. As an example, a necessary component for diagnosis of gender incongruence is a serious approach to family planning. Being able to support a child in single-sex spaces is necessary for all parents, and complicated by </w:t>
      </w:r>
      <w:r>
        <w:rPr>
          <w:rFonts w:ascii="Georgia" w:eastAsia="Georgia" w:hAnsi="Georgia" w:cs="Georgia"/>
          <w:i/>
          <w:iCs/>
          <w:color w:val="2A2A2A"/>
          <w:sz w:val="24"/>
          <w:szCs w:val="24"/>
        </w:rPr>
        <w:t xml:space="preserve">FWS v </w:t>
      </w:r>
      <w:r w:rsidR="00D4227A">
        <w:rPr>
          <w:rFonts w:ascii="Georgia" w:eastAsia="Georgia" w:hAnsi="Georgia" w:cs="Georgia"/>
          <w:i/>
          <w:iCs/>
          <w:color w:val="2A2A2A"/>
          <w:sz w:val="24"/>
          <w:szCs w:val="24"/>
        </w:rPr>
        <w:t xml:space="preserve">The </w:t>
      </w:r>
      <w:r>
        <w:rPr>
          <w:rFonts w:ascii="Georgia" w:eastAsia="Georgia" w:hAnsi="Georgia" w:cs="Georgia"/>
          <w:i/>
          <w:iCs/>
          <w:color w:val="2A2A2A"/>
          <w:sz w:val="24"/>
          <w:szCs w:val="24"/>
        </w:rPr>
        <w:t>Scottish Ministers</w:t>
      </w:r>
      <w:r>
        <w:rPr>
          <w:rFonts w:ascii="Georgia" w:eastAsia="Georgia" w:hAnsi="Georgia" w:cs="Georgia"/>
          <w:color w:val="2A2A2A"/>
          <w:sz w:val="24"/>
          <w:szCs w:val="24"/>
        </w:rPr>
        <w:t xml:space="preserve">. How can transgender people attain the support for undergoing fertility treatment if their status as mother or father in their acquired gender is compromised by the law? Much of the narrative has been focused on this ruling being clarifying but unfortunately, it further highlights a desperate need to reform the Gender Recognition </w:t>
      </w:r>
      <w:r>
        <w:rPr>
          <w:rFonts w:ascii="Georgia" w:eastAsia="Georgia" w:hAnsi="Georgia" w:cs="Georgia"/>
          <w:color w:val="2A2A2A"/>
          <w:sz w:val="24"/>
          <w:szCs w:val="24"/>
        </w:rPr>
        <w:lastRenderedPageBreak/>
        <w:t xml:space="preserve">Act 2004 and create more uniformity for trans people undertaking necessary steps for their care. The division the ruling creates between cis people and trans people regarding uncertainty is stark. For cis women, the ruling is intended to create ‘clarity’ regarding their rights; for trans people, it has intensified their legal status as uncertain subjects, </w:t>
      </w:r>
      <w:proofErr w:type="gramStart"/>
      <w:r>
        <w:rPr>
          <w:rFonts w:ascii="Georgia" w:eastAsia="Georgia" w:hAnsi="Georgia" w:cs="Georgia"/>
          <w:color w:val="2A2A2A"/>
          <w:sz w:val="24"/>
          <w:szCs w:val="24"/>
        </w:rPr>
        <w:t>living in the conditional at all times</w:t>
      </w:r>
      <w:proofErr w:type="gramEnd"/>
      <w:r>
        <w:rPr>
          <w:rFonts w:ascii="Georgia" w:eastAsia="Georgia" w:hAnsi="Georgia" w:cs="Georgia"/>
          <w:color w:val="2A2A2A"/>
          <w:sz w:val="24"/>
          <w:szCs w:val="24"/>
        </w:rPr>
        <w:t xml:space="preserve">. </w:t>
      </w:r>
    </w:p>
    <w:p w14:paraId="3172F363" w14:textId="77777777" w:rsidR="00ED32A3" w:rsidRDefault="00ED32A3">
      <w:pPr>
        <w:jc w:val="both"/>
        <w:rPr>
          <w:rFonts w:ascii="Georgia" w:eastAsia="Georgia" w:hAnsi="Georgia" w:cs="Georgia"/>
          <w:color w:val="2A2A2A"/>
          <w:sz w:val="24"/>
          <w:szCs w:val="24"/>
        </w:rPr>
      </w:pPr>
    </w:p>
    <w:p w14:paraId="3172F364" w14:textId="15D2A0C2"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Most importantly, for many in community and organising, it was a hearty reminder of the concept of queer/trans resilience. We see resilience as a process: the ability to adapt to adverse and traumatic situations or events, which takes place over time and often in community with others. Whilst new legal barriers have been presented for trans people, it also has excited the legal and political imaginations amongst communities. There has been a change in what trans people reach out to the local trans pride for, for instance. It has changed from simply seeking support to volunteers submitting new ideas on trans futures or wanting to volunteer to ensure an improvement to their trans community’s conditions. </w:t>
      </w:r>
    </w:p>
    <w:p w14:paraId="3172F365" w14:textId="77777777" w:rsidR="00ED32A3" w:rsidRDefault="00ED32A3">
      <w:pPr>
        <w:jc w:val="both"/>
        <w:rPr>
          <w:rFonts w:ascii="Georgia" w:eastAsia="Georgia" w:hAnsi="Georgia" w:cs="Georgia"/>
          <w:color w:val="2A2A2A"/>
          <w:sz w:val="24"/>
          <w:szCs w:val="24"/>
        </w:rPr>
      </w:pPr>
    </w:p>
    <w:p w14:paraId="3172F366" w14:textId="77777777"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Trans people continue to resist, to create our own futurities from what seems like a bleak landscape. Trans people should not have to be as resilient as we are, but as a community, we have a will to survive and thrive which no law can curtail, no judge can take away. Trans lives will prevail. </w:t>
      </w:r>
    </w:p>
    <w:p w14:paraId="3172F367" w14:textId="77777777" w:rsidR="00ED32A3" w:rsidRDefault="00ED32A3">
      <w:pPr>
        <w:jc w:val="both"/>
        <w:rPr>
          <w:rFonts w:ascii="Georgia" w:eastAsia="Georgia" w:hAnsi="Georgia" w:cs="Georgia"/>
          <w:color w:val="2A2A2A"/>
          <w:sz w:val="24"/>
          <w:szCs w:val="24"/>
        </w:rPr>
      </w:pPr>
    </w:p>
    <w:p w14:paraId="3172F368" w14:textId="77777777" w:rsidR="00ED32A3" w:rsidRDefault="00ED32A3">
      <w:pPr>
        <w:jc w:val="both"/>
        <w:rPr>
          <w:rFonts w:ascii="Georgia" w:eastAsia="Georgia" w:hAnsi="Georgia" w:cs="Georgia"/>
          <w:color w:val="2A2A2A"/>
          <w:sz w:val="24"/>
          <w:szCs w:val="24"/>
        </w:rPr>
      </w:pPr>
    </w:p>
    <w:p w14:paraId="3172F369" w14:textId="77777777" w:rsidR="00ED32A3" w:rsidRDefault="00ED32A3">
      <w:pPr>
        <w:jc w:val="both"/>
        <w:rPr>
          <w:rFonts w:ascii="Georgia" w:eastAsia="Georgia" w:hAnsi="Georgia" w:cs="Georgia"/>
          <w:color w:val="2A2A2A"/>
          <w:sz w:val="24"/>
          <w:szCs w:val="24"/>
        </w:rPr>
      </w:pPr>
    </w:p>
    <w:p w14:paraId="3172F36A" w14:textId="77777777" w:rsidR="00ED32A3" w:rsidRDefault="00000000" w:rsidP="008F5286">
      <w:pPr>
        <w:pStyle w:val="Heading1"/>
      </w:pPr>
      <w:r w:rsidRPr="008F5286">
        <w:t>Bibliography</w:t>
      </w:r>
    </w:p>
    <w:p w14:paraId="3172F36B" w14:textId="77777777" w:rsidR="00ED32A3" w:rsidRDefault="00ED32A3">
      <w:pPr>
        <w:jc w:val="both"/>
        <w:rPr>
          <w:rFonts w:ascii="Georgia" w:eastAsia="Georgia" w:hAnsi="Georgia" w:cs="Georgia"/>
          <w:color w:val="2A2A2A"/>
          <w:sz w:val="24"/>
          <w:szCs w:val="24"/>
        </w:rPr>
      </w:pPr>
    </w:p>
    <w:p w14:paraId="3172F36C" w14:textId="3261E95D"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Agamben, G., </w:t>
      </w:r>
      <w:r>
        <w:rPr>
          <w:rFonts w:ascii="Georgia" w:eastAsia="Georgia" w:hAnsi="Georgia" w:cs="Georgia"/>
          <w:i/>
          <w:iCs/>
          <w:color w:val="2A2A2A"/>
          <w:sz w:val="24"/>
          <w:szCs w:val="24"/>
        </w:rPr>
        <w:t xml:space="preserve">Homo </w:t>
      </w:r>
      <w:proofErr w:type="spellStart"/>
      <w:r w:rsidR="00C12CDA">
        <w:rPr>
          <w:rFonts w:ascii="Georgia" w:eastAsia="Georgia" w:hAnsi="Georgia" w:cs="Georgia"/>
          <w:i/>
          <w:iCs/>
          <w:color w:val="2A2A2A"/>
          <w:sz w:val="24"/>
          <w:szCs w:val="24"/>
        </w:rPr>
        <w:t>S</w:t>
      </w:r>
      <w:r>
        <w:rPr>
          <w:rFonts w:ascii="Georgia" w:eastAsia="Georgia" w:hAnsi="Georgia" w:cs="Georgia"/>
          <w:i/>
          <w:iCs/>
          <w:color w:val="2A2A2A"/>
          <w:sz w:val="24"/>
          <w:szCs w:val="24"/>
        </w:rPr>
        <w:t>acer</w:t>
      </w:r>
      <w:proofErr w:type="spellEnd"/>
      <w:r>
        <w:rPr>
          <w:rFonts w:ascii="Georgia" w:eastAsia="Georgia" w:hAnsi="Georgia" w:cs="Georgia"/>
          <w:i/>
          <w:iCs/>
          <w:color w:val="2A2A2A"/>
          <w:sz w:val="24"/>
          <w:szCs w:val="24"/>
        </w:rPr>
        <w:t xml:space="preserve">: </w:t>
      </w:r>
      <w:r w:rsidR="00C12CDA">
        <w:rPr>
          <w:rFonts w:ascii="Georgia" w:eastAsia="Georgia" w:hAnsi="Georgia" w:cs="Georgia"/>
          <w:i/>
          <w:iCs/>
          <w:color w:val="2A2A2A"/>
          <w:sz w:val="24"/>
          <w:szCs w:val="24"/>
        </w:rPr>
        <w:t>S</w:t>
      </w:r>
      <w:r>
        <w:rPr>
          <w:rFonts w:ascii="Georgia" w:eastAsia="Georgia" w:hAnsi="Georgia" w:cs="Georgia"/>
          <w:i/>
          <w:iCs/>
          <w:color w:val="2A2A2A"/>
          <w:sz w:val="24"/>
          <w:szCs w:val="24"/>
        </w:rPr>
        <w:t xml:space="preserve">overeign </w:t>
      </w:r>
      <w:r w:rsidR="00C12CDA">
        <w:rPr>
          <w:rFonts w:ascii="Georgia" w:eastAsia="Georgia" w:hAnsi="Georgia" w:cs="Georgia"/>
          <w:i/>
          <w:iCs/>
          <w:color w:val="2A2A2A"/>
          <w:sz w:val="24"/>
          <w:szCs w:val="24"/>
        </w:rPr>
        <w:t>P</w:t>
      </w:r>
      <w:r>
        <w:rPr>
          <w:rFonts w:ascii="Georgia" w:eastAsia="Georgia" w:hAnsi="Georgia" w:cs="Georgia"/>
          <w:i/>
          <w:iCs/>
          <w:color w:val="2A2A2A"/>
          <w:sz w:val="24"/>
          <w:szCs w:val="24"/>
        </w:rPr>
        <w:t xml:space="preserve">ower and </w:t>
      </w:r>
      <w:r w:rsidR="00C12CDA">
        <w:rPr>
          <w:rFonts w:ascii="Georgia" w:eastAsia="Georgia" w:hAnsi="Georgia" w:cs="Georgia"/>
          <w:i/>
          <w:iCs/>
          <w:color w:val="2A2A2A"/>
          <w:sz w:val="24"/>
          <w:szCs w:val="24"/>
        </w:rPr>
        <w:t>B</w:t>
      </w:r>
      <w:r>
        <w:rPr>
          <w:rFonts w:ascii="Georgia" w:eastAsia="Georgia" w:hAnsi="Georgia" w:cs="Georgia"/>
          <w:i/>
          <w:iCs/>
          <w:color w:val="2A2A2A"/>
          <w:sz w:val="24"/>
          <w:szCs w:val="24"/>
        </w:rPr>
        <w:t xml:space="preserve">are </w:t>
      </w:r>
      <w:r w:rsidR="00C12CDA">
        <w:rPr>
          <w:rFonts w:ascii="Georgia" w:eastAsia="Georgia" w:hAnsi="Georgia" w:cs="Georgia"/>
          <w:i/>
          <w:iCs/>
          <w:color w:val="2A2A2A"/>
          <w:sz w:val="24"/>
          <w:szCs w:val="24"/>
        </w:rPr>
        <w:t>L</w:t>
      </w:r>
      <w:r>
        <w:rPr>
          <w:rFonts w:ascii="Georgia" w:eastAsia="Georgia" w:hAnsi="Georgia" w:cs="Georgia"/>
          <w:i/>
          <w:iCs/>
          <w:color w:val="2A2A2A"/>
          <w:sz w:val="24"/>
          <w:szCs w:val="24"/>
        </w:rPr>
        <w:t xml:space="preserve">ife </w:t>
      </w:r>
      <w:r>
        <w:rPr>
          <w:rFonts w:ascii="Georgia" w:eastAsia="Georgia" w:hAnsi="Georgia" w:cs="Georgia"/>
          <w:color w:val="2A2A2A"/>
          <w:sz w:val="24"/>
          <w:szCs w:val="24"/>
        </w:rPr>
        <w:t>(1998) Stanford University Press.</w:t>
      </w:r>
    </w:p>
    <w:p w14:paraId="3172F36D" w14:textId="77777777" w:rsidR="00ED32A3" w:rsidRDefault="00ED32A3">
      <w:pPr>
        <w:jc w:val="both"/>
        <w:rPr>
          <w:rFonts w:ascii="Georgia" w:eastAsia="Georgia" w:hAnsi="Georgia" w:cs="Georgia"/>
          <w:color w:val="2A2A2A"/>
          <w:sz w:val="24"/>
          <w:szCs w:val="24"/>
        </w:rPr>
      </w:pPr>
    </w:p>
    <w:p w14:paraId="3172F36E" w14:textId="5E90328F"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Braverman, I., et al</w:t>
      </w:r>
      <w:r w:rsidR="00C12CDA">
        <w:rPr>
          <w:rFonts w:ascii="Georgia" w:eastAsia="Georgia" w:hAnsi="Georgia" w:cs="Georgia"/>
          <w:color w:val="2A2A2A"/>
          <w:sz w:val="24"/>
          <w:szCs w:val="24"/>
        </w:rPr>
        <w:t>.</w:t>
      </w:r>
      <w:r>
        <w:rPr>
          <w:rFonts w:ascii="Georgia" w:eastAsia="Georgia" w:hAnsi="Georgia" w:cs="Georgia"/>
          <w:color w:val="2A2A2A"/>
          <w:sz w:val="24"/>
          <w:szCs w:val="24"/>
        </w:rPr>
        <w:t xml:space="preserve"> (eds), </w:t>
      </w:r>
      <w:r>
        <w:rPr>
          <w:rFonts w:ascii="Georgia" w:eastAsia="Georgia" w:hAnsi="Georgia" w:cs="Georgia"/>
          <w:i/>
          <w:iCs/>
          <w:color w:val="2A2A2A"/>
          <w:sz w:val="24"/>
          <w:szCs w:val="24"/>
        </w:rPr>
        <w:t xml:space="preserve">The Expanding Spaces of Law: A Timely Legal Geography </w:t>
      </w:r>
      <w:r>
        <w:rPr>
          <w:rFonts w:ascii="Georgia" w:eastAsia="Georgia" w:hAnsi="Georgia" w:cs="Georgia"/>
          <w:color w:val="2A2A2A"/>
          <w:sz w:val="24"/>
          <w:szCs w:val="24"/>
        </w:rPr>
        <w:t>(2014) Stanford University Press.</w:t>
      </w:r>
    </w:p>
    <w:p w14:paraId="3172F36F" w14:textId="77777777" w:rsidR="00ED32A3" w:rsidRDefault="00ED32A3">
      <w:pPr>
        <w:jc w:val="both"/>
        <w:rPr>
          <w:rFonts w:ascii="Georgia" w:eastAsia="Georgia" w:hAnsi="Georgia" w:cs="Georgia"/>
          <w:color w:val="2A2A2A"/>
          <w:sz w:val="24"/>
          <w:szCs w:val="24"/>
        </w:rPr>
      </w:pPr>
    </w:p>
    <w:p w14:paraId="3172F370" w14:textId="09E77E0F" w:rsidR="00ED32A3" w:rsidRDefault="00000000">
      <w:pPr>
        <w:jc w:val="both"/>
        <w:rPr>
          <w:rFonts w:ascii="Georgia" w:eastAsia="Georgia" w:hAnsi="Georgia" w:cs="Georgia"/>
          <w:color w:val="2A2A2A"/>
          <w:sz w:val="24"/>
          <w:szCs w:val="24"/>
        </w:rPr>
      </w:pPr>
      <w:r>
        <w:rPr>
          <w:rFonts w:ascii="Georgia" w:eastAsia="Georgia" w:hAnsi="Georgia" w:cs="Georgia"/>
          <w:color w:val="2A2A2A"/>
          <w:sz w:val="24"/>
          <w:szCs w:val="24"/>
        </w:rPr>
        <w:t xml:space="preserve">Fletcher, R., “Reproducing Timely Subjects: How Abortion Law Calendars Social Reproduction” (2025) </w:t>
      </w:r>
      <w:r w:rsidR="00190EEC">
        <w:rPr>
          <w:rFonts w:ascii="Georgia" w:eastAsia="Georgia" w:hAnsi="Georgia" w:cs="Georgia"/>
          <w:color w:val="2A2A2A"/>
          <w:sz w:val="24"/>
          <w:szCs w:val="24"/>
        </w:rPr>
        <w:t xml:space="preserve">34(4) </w:t>
      </w:r>
      <w:r>
        <w:rPr>
          <w:rFonts w:ascii="Georgia" w:eastAsia="Georgia" w:hAnsi="Georgia" w:cs="Georgia"/>
          <w:i/>
          <w:iCs/>
          <w:color w:val="2A2A2A"/>
          <w:sz w:val="24"/>
          <w:szCs w:val="24"/>
        </w:rPr>
        <w:t>Social and Legal Studies</w:t>
      </w:r>
      <w:r>
        <w:rPr>
          <w:rFonts w:ascii="Georgia" w:eastAsia="Georgia" w:hAnsi="Georgia" w:cs="Georgia"/>
          <w:color w:val="2A2A2A"/>
          <w:sz w:val="24"/>
          <w:szCs w:val="24"/>
        </w:rPr>
        <w:t xml:space="preserve"> 469</w:t>
      </w:r>
      <w:r w:rsidR="00C12CDA">
        <w:rPr>
          <w:rFonts w:ascii="Georgia" w:eastAsia="Georgia" w:hAnsi="Georgia" w:cs="Georgia"/>
          <w:color w:val="2A2A2A"/>
          <w:sz w:val="24"/>
          <w:szCs w:val="24"/>
        </w:rPr>
        <w:t>.</w:t>
      </w:r>
    </w:p>
    <w:p w14:paraId="3172F371" w14:textId="77777777" w:rsidR="00ED32A3" w:rsidRDefault="00ED32A3">
      <w:pPr>
        <w:jc w:val="both"/>
        <w:rPr>
          <w:rFonts w:ascii="Georgia" w:eastAsia="Georgia" w:hAnsi="Georgia" w:cs="Georgia"/>
          <w:color w:val="2A2A2A"/>
          <w:sz w:val="24"/>
          <w:szCs w:val="24"/>
        </w:rPr>
      </w:pPr>
    </w:p>
    <w:p w14:paraId="3172F372" w14:textId="09E23BB8" w:rsidR="00ED32A3" w:rsidRDefault="00000000">
      <w:pPr>
        <w:jc w:val="both"/>
        <w:rPr>
          <w:rFonts w:ascii="Georgia" w:eastAsia="Georgia" w:hAnsi="Georgia" w:cs="Georgia"/>
          <w:sz w:val="24"/>
          <w:szCs w:val="24"/>
        </w:rPr>
      </w:pPr>
      <w:r>
        <w:rPr>
          <w:rFonts w:ascii="Georgia" w:eastAsia="Georgia" w:hAnsi="Georgia" w:cs="Georgia"/>
          <w:sz w:val="24"/>
          <w:szCs w:val="24"/>
        </w:rPr>
        <w:t xml:space="preserve">Grabham, E., </w:t>
      </w:r>
      <w:r>
        <w:rPr>
          <w:rFonts w:ascii="Georgia" w:eastAsia="Georgia" w:hAnsi="Georgia" w:cs="Georgia"/>
          <w:i/>
          <w:iCs/>
          <w:sz w:val="24"/>
          <w:szCs w:val="24"/>
        </w:rPr>
        <w:t>Brewing Legal Times: Things, Form, and the Enactment of Law</w:t>
      </w:r>
      <w:r>
        <w:rPr>
          <w:rFonts w:ascii="Georgia" w:eastAsia="Georgia" w:hAnsi="Georgia" w:cs="Georgia"/>
          <w:sz w:val="24"/>
          <w:szCs w:val="24"/>
        </w:rPr>
        <w:t xml:space="preserve"> (2016) University of Toronto Press.</w:t>
      </w:r>
    </w:p>
    <w:p w14:paraId="3172F373" w14:textId="77777777" w:rsidR="00ED32A3" w:rsidRDefault="00ED32A3">
      <w:pPr>
        <w:jc w:val="both"/>
        <w:rPr>
          <w:rFonts w:ascii="Georgia" w:eastAsia="Georgia" w:hAnsi="Georgia" w:cs="Georgia"/>
          <w:sz w:val="24"/>
          <w:szCs w:val="24"/>
        </w:rPr>
      </w:pPr>
    </w:p>
    <w:p w14:paraId="3172F374" w14:textId="10DBB94E" w:rsidR="00ED32A3" w:rsidRDefault="00000000">
      <w:pPr>
        <w:spacing w:line="324" w:lineRule="auto"/>
        <w:jc w:val="both"/>
        <w:rPr>
          <w:rFonts w:ascii="Georgia" w:eastAsia="Georgia" w:hAnsi="Georgia" w:cs="Georgia"/>
          <w:sz w:val="24"/>
          <w:szCs w:val="24"/>
        </w:rPr>
      </w:pPr>
      <w:r>
        <w:rPr>
          <w:rFonts w:ascii="Georgia" w:eastAsia="Georgia" w:hAnsi="Georgia" w:cs="Georgia"/>
          <w:sz w:val="24"/>
          <w:szCs w:val="24"/>
        </w:rPr>
        <w:t>Michael</w:t>
      </w:r>
      <w:r w:rsidR="00C12CDA">
        <w:rPr>
          <w:rFonts w:ascii="Georgia" w:eastAsia="Georgia" w:hAnsi="Georgia" w:cs="Georgia"/>
          <w:sz w:val="24"/>
          <w:szCs w:val="24"/>
        </w:rPr>
        <w:t>,</w:t>
      </w:r>
      <w:r>
        <w:rPr>
          <w:rFonts w:ascii="Georgia" w:eastAsia="Georgia" w:hAnsi="Georgia" w:cs="Georgia"/>
          <w:sz w:val="24"/>
          <w:szCs w:val="24"/>
        </w:rPr>
        <w:t xml:space="preserve"> M</w:t>
      </w:r>
      <w:r w:rsidR="00190EEC">
        <w:rPr>
          <w:rFonts w:ascii="Georgia" w:eastAsia="Georgia" w:hAnsi="Georgia" w:cs="Georgia"/>
          <w:sz w:val="24"/>
          <w:szCs w:val="24"/>
        </w:rPr>
        <w:t>.</w:t>
      </w:r>
      <w:r>
        <w:rPr>
          <w:rFonts w:ascii="Georgia" w:eastAsia="Georgia" w:hAnsi="Georgia" w:cs="Georgia"/>
          <w:sz w:val="24"/>
          <w:szCs w:val="24"/>
        </w:rPr>
        <w:t xml:space="preserve">, </w:t>
      </w:r>
      <w:r w:rsidR="00190EEC">
        <w:rPr>
          <w:rFonts w:ascii="Georgia" w:eastAsia="Georgia" w:hAnsi="Georgia" w:cs="Georgia"/>
          <w:sz w:val="24"/>
          <w:szCs w:val="24"/>
        </w:rPr>
        <w:t>“</w:t>
      </w:r>
      <w:r>
        <w:rPr>
          <w:rFonts w:ascii="Georgia" w:eastAsia="Georgia" w:hAnsi="Georgia" w:cs="Georgia"/>
          <w:sz w:val="24"/>
          <w:szCs w:val="24"/>
        </w:rPr>
        <w:t>Enacting Big Futures, Little Futures: Toward an Ecology of Futures</w:t>
      </w:r>
      <w:r w:rsidR="00190EEC">
        <w:rPr>
          <w:rFonts w:ascii="Georgia" w:eastAsia="Georgia" w:hAnsi="Georgia" w:cs="Georgia"/>
          <w:sz w:val="24"/>
          <w:szCs w:val="24"/>
        </w:rPr>
        <w:t xml:space="preserve">” </w:t>
      </w:r>
      <w:r>
        <w:rPr>
          <w:rFonts w:ascii="Georgia" w:eastAsia="Georgia" w:hAnsi="Georgia" w:cs="Georgia"/>
          <w:sz w:val="24"/>
          <w:szCs w:val="24"/>
        </w:rPr>
        <w:t xml:space="preserve">(2017) 65 </w:t>
      </w:r>
      <w:r>
        <w:rPr>
          <w:rFonts w:ascii="Georgia" w:eastAsia="Georgia" w:hAnsi="Georgia" w:cs="Georgia"/>
          <w:i/>
          <w:iCs/>
          <w:sz w:val="24"/>
          <w:szCs w:val="24"/>
        </w:rPr>
        <w:t>The Sociological Review</w:t>
      </w:r>
      <w:r>
        <w:rPr>
          <w:rFonts w:ascii="Georgia" w:eastAsia="Georgia" w:hAnsi="Georgia" w:cs="Georgia"/>
          <w:sz w:val="24"/>
          <w:szCs w:val="24"/>
        </w:rPr>
        <w:t xml:space="preserve"> 509</w:t>
      </w:r>
      <w:r w:rsidR="00190EEC">
        <w:rPr>
          <w:rFonts w:ascii="Georgia" w:eastAsia="Georgia" w:hAnsi="Georgia" w:cs="Georgia"/>
          <w:sz w:val="24"/>
          <w:szCs w:val="24"/>
        </w:rPr>
        <w:t>.</w:t>
      </w:r>
    </w:p>
    <w:p w14:paraId="3172F375" w14:textId="77777777" w:rsidR="00ED32A3" w:rsidRDefault="00ED32A3">
      <w:pPr>
        <w:jc w:val="both"/>
        <w:rPr>
          <w:rFonts w:ascii="Georgia" w:eastAsia="Georgia" w:hAnsi="Georgia" w:cs="Georgia"/>
          <w:color w:val="2A2A2A"/>
          <w:sz w:val="24"/>
          <w:szCs w:val="24"/>
        </w:rPr>
      </w:pPr>
    </w:p>
    <w:p w14:paraId="3172F379" w14:textId="50AE5BC5" w:rsidR="00ED32A3" w:rsidRPr="008F5286" w:rsidRDefault="00000000">
      <w:pPr>
        <w:jc w:val="both"/>
        <w:rPr>
          <w:rFonts w:ascii="Georgia" w:eastAsia="Georgia" w:hAnsi="Georgia" w:cs="Georgia"/>
          <w:sz w:val="24"/>
          <w:szCs w:val="24"/>
        </w:rPr>
      </w:pPr>
      <w:r>
        <w:rPr>
          <w:rFonts w:ascii="Georgia" w:eastAsia="Georgia" w:hAnsi="Georgia" w:cs="Georgia"/>
          <w:color w:val="2A2A2A"/>
          <w:sz w:val="24"/>
          <w:szCs w:val="24"/>
        </w:rPr>
        <w:t xml:space="preserve">Pearce, R., “Trans </w:t>
      </w:r>
      <w:r w:rsidR="00190EEC">
        <w:rPr>
          <w:rFonts w:ascii="Georgia" w:eastAsia="Georgia" w:hAnsi="Georgia" w:cs="Georgia"/>
          <w:color w:val="2A2A2A"/>
          <w:sz w:val="24"/>
          <w:szCs w:val="24"/>
        </w:rPr>
        <w:t>T</w:t>
      </w:r>
      <w:r>
        <w:rPr>
          <w:rFonts w:ascii="Georgia" w:eastAsia="Georgia" w:hAnsi="Georgia" w:cs="Georgia"/>
          <w:color w:val="2A2A2A"/>
          <w:sz w:val="24"/>
          <w:szCs w:val="24"/>
        </w:rPr>
        <w:t xml:space="preserve">emporalities and </w:t>
      </w:r>
      <w:r w:rsidR="00190EEC">
        <w:rPr>
          <w:rFonts w:ascii="Georgia" w:eastAsia="Georgia" w:hAnsi="Georgia" w:cs="Georgia"/>
          <w:color w:val="2A2A2A"/>
          <w:sz w:val="24"/>
          <w:szCs w:val="24"/>
        </w:rPr>
        <w:t>N</w:t>
      </w:r>
      <w:r>
        <w:rPr>
          <w:rFonts w:ascii="Georgia" w:eastAsia="Georgia" w:hAnsi="Georgia" w:cs="Georgia"/>
          <w:color w:val="2A2A2A"/>
          <w:sz w:val="24"/>
          <w:szCs w:val="24"/>
        </w:rPr>
        <w:t xml:space="preserve">on-linear </w:t>
      </w:r>
      <w:r w:rsidR="00190EEC">
        <w:rPr>
          <w:rFonts w:ascii="Georgia" w:eastAsia="Georgia" w:hAnsi="Georgia" w:cs="Georgia"/>
          <w:color w:val="2A2A2A"/>
          <w:sz w:val="24"/>
          <w:szCs w:val="24"/>
        </w:rPr>
        <w:t>A</w:t>
      </w:r>
      <w:r>
        <w:rPr>
          <w:rFonts w:ascii="Georgia" w:eastAsia="Georgia" w:hAnsi="Georgia" w:cs="Georgia"/>
          <w:color w:val="2A2A2A"/>
          <w:sz w:val="24"/>
          <w:szCs w:val="24"/>
        </w:rPr>
        <w:t>ging</w:t>
      </w:r>
      <w:r w:rsidR="00190EEC">
        <w:rPr>
          <w:rFonts w:ascii="Georgia" w:eastAsia="Georgia" w:hAnsi="Georgia" w:cs="Georgia"/>
          <w:color w:val="2A2A2A"/>
          <w:sz w:val="24"/>
          <w:szCs w:val="24"/>
        </w:rPr>
        <w:t>”</w:t>
      </w:r>
      <w:r>
        <w:rPr>
          <w:rFonts w:ascii="Georgia" w:eastAsia="Georgia" w:hAnsi="Georgia" w:cs="Georgia"/>
          <w:color w:val="2A2A2A"/>
          <w:sz w:val="24"/>
          <w:szCs w:val="24"/>
        </w:rPr>
        <w:t>, in</w:t>
      </w:r>
      <w:r w:rsidR="000D48CF">
        <w:rPr>
          <w:rFonts w:ascii="Georgia" w:eastAsia="Georgia" w:hAnsi="Georgia" w:cs="Georgia"/>
          <w:color w:val="2A2A2A"/>
          <w:sz w:val="24"/>
          <w:szCs w:val="24"/>
        </w:rPr>
        <w:t xml:space="preserve"> King et al. (eds),</w:t>
      </w:r>
      <w:r>
        <w:rPr>
          <w:rFonts w:ascii="Georgia" w:eastAsia="Georgia" w:hAnsi="Georgia" w:cs="Georgia"/>
          <w:sz w:val="24"/>
          <w:szCs w:val="24"/>
        </w:rPr>
        <w:t xml:space="preserve"> </w:t>
      </w:r>
      <w:r>
        <w:rPr>
          <w:rFonts w:ascii="Georgia" w:eastAsia="Georgia" w:hAnsi="Georgia" w:cs="Georgia"/>
          <w:i/>
          <w:iCs/>
          <w:sz w:val="24"/>
          <w:szCs w:val="24"/>
        </w:rPr>
        <w:t>Older Lesbian, Gay, Bisexual and Trans People: Minding the Knowledge Gaps</w:t>
      </w:r>
      <w:r>
        <w:rPr>
          <w:rFonts w:ascii="Georgia" w:eastAsia="Georgia" w:hAnsi="Georgia" w:cs="Georgia"/>
          <w:sz w:val="24"/>
          <w:szCs w:val="24"/>
        </w:rPr>
        <w:t xml:space="preserve"> (2019)</w:t>
      </w:r>
      <w:r w:rsidR="000D48CF">
        <w:rPr>
          <w:rFonts w:ascii="Georgia" w:eastAsia="Georgia" w:hAnsi="Georgia" w:cs="Georgia"/>
          <w:sz w:val="24"/>
          <w:szCs w:val="24"/>
        </w:rPr>
        <w:t xml:space="preserve"> </w:t>
      </w:r>
      <w:r>
        <w:rPr>
          <w:rFonts w:ascii="Georgia" w:eastAsia="Georgia" w:hAnsi="Georgia" w:cs="Georgia"/>
          <w:sz w:val="24"/>
          <w:szCs w:val="24"/>
        </w:rPr>
        <w:t xml:space="preserve">Routledge. </w:t>
      </w:r>
    </w:p>
    <w:sectPr w:rsidR="00ED32A3" w:rsidRPr="008F5286" w:rsidSect="00F25B98">
      <w:headerReference w:type="even" r:id="rId9"/>
      <w:headerReference w:type="default" r:id="rId10"/>
      <w:footerReference w:type="even" r:id="rId11"/>
      <w:footerReference w:type="default" r:id="rId12"/>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AC3E2" w14:textId="77777777" w:rsidR="000B6A11" w:rsidRDefault="000B6A11">
      <w:pPr>
        <w:spacing w:line="240" w:lineRule="auto"/>
      </w:pPr>
      <w:r>
        <w:separator/>
      </w:r>
    </w:p>
  </w:endnote>
  <w:endnote w:type="continuationSeparator" w:id="0">
    <w:p w14:paraId="770727FE" w14:textId="77777777" w:rsidR="000B6A11" w:rsidRDefault="000B6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9500B25-2185-4637-9309-96FD41359A37}"/>
    <w:embedBold r:id="rId2" w:fontKey="{16460A04-5FCC-498A-BFA7-D3365F76215F}"/>
    <w:embedItalic r:id="rId3" w:fontKey="{758C72A3-3247-40E4-B532-2F7BE98B6225}"/>
    <w:embedBoldItalic r:id="rId4" w:fontKey="{F6F074D7-F8EC-406C-8D33-DAD68BDB088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77090E3A-3C9D-411A-AB29-241712F2AF93}"/>
  </w:font>
  <w:font w:name="Cambria">
    <w:panose1 w:val="02040503050406030204"/>
    <w:charset w:val="00"/>
    <w:family w:val="roman"/>
    <w:pitch w:val="variable"/>
    <w:sig w:usb0="E00006FF" w:usb1="420024FF" w:usb2="02000000" w:usb3="00000000" w:csb0="0000019F" w:csb1="00000000"/>
    <w:embedRegular r:id="rId6" w:fontKey="{B1C9B810-BBDB-4C3E-898C-3A6E2632DC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2B00" w14:textId="2C32A5A4" w:rsidR="00756AEA" w:rsidRDefault="00756AEA">
    <w:pPr>
      <w:pStyle w:val="Footer"/>
      <w:jc w:val="center"/>
    </w:pPr>
    <w:r>
      <w:t>_________________________________________________________________________</w:t>
    </w:r>
  </w:p>
  <w:p w14:paraId="08981DED" w14:textId="77777777" w:rsidR="00756AEA" w:rsidRDefault="00756AEA">
    <w:pPr>
      <w:pStyle w:val="Footer"/>
      <w:jc w:val="center"/>
    </w:pPr>
  </w:p>
  <w:sdt>
    <w:sdtPr>
      <w:id w:val="-1709557871"/>
      <w:docPartObj>
        <w:docPartGallery w:val="Page Numbers (Bottom of Page)"/>
        <w:docPartUnique/>
      </w:docPartObj>
    </w:sdtPr>
    <w:sdtEndPr>
      <w:rPr>
        <w:noProof/>
      </w:rPr>
    </w:sdtEndPr>
    <w:sdtContent>
      <w:p w14:paraId="4B7CAF7E" w14:textId="7F9EC8C5" w:rsidR="00756AEA" w:rsidRDefault="00756A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A42082" w14:textId="77777777" w:rsidR="00F16548" w:rsidRDefault="00F16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D186" w14:textId="164D747E" w:rsidR="008E742E" w:rsidRDefault="008E742E">
    <w:pPr>
      <w:pStyle w:val="Footer"/>
      <w:jc w:val="center"/>
    </w:pPr>
    <w:r>
      <w:t>_________________________________________________________________________</w:t>
    </w:r>
  </w:p>
  <w:p w14:paraId="53BF8F61" w14:textId="77777777" w:rsidR="008E742E" w:rsidRDefault="008E742E">
    <w:pPr>
      <w:pStyle w:val="Footer"/>
      <w:jc w:val="center"/>
    </w:pPr>
  </w:p>
  <w:sdt>
    <w:sdtPr>
      <w:id w:val="963546307"/>
      <w:docPartObj>
        <w:docPartGallery w:val="Page Numbers (Bottom of Page)"/>
        <w:docPartUnique/>
      </w:docPartObj>
    </w:sdtPr>
    <w:sdtEndPr>
      <w:rPr>
        <w:noProof/>
      </w:rPr>
    </w:sdtEndPr>
    <w:sdtContent>
      <w:p w14:paraId="2753D127" w14:textId="3B2638E1" w:rsidR="008E742E" w:rsidRDefault="008E74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72F37B" w14:textId="77777777" w:rsidR="00ED32A3" w:rsidRDefault="00ED32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D76AB" w14:textId="77777777" w:rsidR="000B6A11" w:rsidRDefault="000B6A11">
      <w:pPr>
        <w:spacing w:line="240" w:lineRule="auto"/>
      </w:pPr>
      <w:r>
        <w:separator/>
      </w:r>
    </w:p>
  </w:footnote>
  <w:footnote w:type="continuationSeparator" w:id="0">
    <w:p w14:paraId="357360EA" w14:textId="77777777" w:rsidR="000B6A11" w:rsidRDefault="000B6A11">
      <w:pPr>
        <w:spacing w:line="240" w:lineRule="auto"/>
      </w:pPr>
      <w:r>
        <w:continuationSeparator/>
      </w:r>
    </w:p>
  </w:footnote>
  <w:footnote w:id="1">
    <w:p w14:paraId="5C5AC275" w14:textId="7AF785D4" w:rsidR="00DF3FA1" w:rsidRDefault="00DF3FA1">
      <w:pPr>
        <w:pStyle w:val="FootnoteText"/>
      </w:pPr>
      <w:r>
        <w:rPr>
          <w:rStyle w:val="FootnoteReference"/>
        </w:rPr>
        <w:t>*</w:t>
      </w:r>
      <w:r>
        <w:t xml:space="preserve"> </w:t>
      </w:r>
      <w:r w:rsidR="005E1B00">
        <w:t>Lecturer in Law, University of Bristol, UK</w:t>
      </w:r>
      <w:r w:rsidR="0085135F">
        <w:t xml:space="preserve">. Email </w:t>
      </w:r>
      <w:hyperlink r:id="rId1" w:history="1">
        <w:r w:rsidR="0085135F" w:rsidRPr="00021DEA">
          <w:rPr>
            <w:rStyle w:val="Hyperlink"/>
          </w:rPr>
          <w:t>sandra.duffy@bristol.ac.uk</w:t>
        </w:r>
      </w:hyperlink>
      <w:r w:rsidR="0085135F">
        <w:t xml:space="preserve"> </w:t>
      </w:r>
    </w:p>
  </w:footnote>
  <w:footnote w:id="2">
    <w:p w14:paraId="23B60AD9" w14:textId="7E530B92" w:rsidR="0085135F" w:rsidRDefault="0085135F">
      <w:pPr>
        <w:pStyle w:val="FootnoteText"/>
      </w:pPr>
      <w:r>
        <w:rPr>
          <w:rStyle w:val="FootnoteReference"/>
        </w:rPr>
        <w:t>**</w:t>
      </w:r>
      <w:r>
        <w:t xml:space="preserve"> </w:t>
      </w:r>
      <w:r w:rsidR="002E68C3">
        <w:t>Community organiser</w:t>
      </w:r>
      <w:r w:rsidR="00103880">
        <w:t>, Bristol, UK</w:t>
      </w:r>
      <w:r w:rsidR="002E68C3">
        <w:t>.</w:t>
      </w:r>
    </w:p>
  </w:footnote>
  <w:footnote w:id="3">
    <w:p w14:paraId="3172F37C" w14:textId="615A5BAF" w:rsidR="00ED32A3" w:rsidRDefault="00000000">
      <w:pPr>
        <w:spacing w:line="240" w:lineRule="auto"/>
        <w:rPr>
          <w:sz w:val="20"/>
          <w:szCs w:val="20"/>
        </w:rPr>
      </w:pPr>
      <w:r>
        <w:rPr>
          <w:vertAlign w:val="superscript"/>
        </w:rPr>
        <w:footnoteRef/>
      </w:r>
      <w:r>
        <w:rPr>
          <w:sz w:val="20"/>
          <w:szCs w:val="20"/>
        </w:rPr>
        <w:t xml:space="preserve"> “The appointments comply with legislation on sex discrimination, relying on the Equality Act 2010, Schedule 22, and Article 3 of the College Charter. Following the Supreme Court’s decision in </w:t>
      </w:r>
      <w:r>
        <w:rPr>
          <w:i/>
          <w:iCs/>
          <w:sz w:val="20"/>
          <w:szCs w:val="20"/>
        </w:rPr>
        <w:t>For Women Scotland Ltd v The Scottish Ministers [2025]</w:t>
      </w:r>
      <w:r>
        <w:rPr>
          <w:sz w:val="20"/>
          <w:szCs w:val="20"/>
        </w:rPr>
        <w:t xml:space="preserve">, when we refer to </w:t>
      </w:r>
      <w:r w:rsidR="00505EFA">
        <w:rPr>
          <w:sz w:val="20"/>
          <w:szCs w:val="20"/>
        </w:rPr>
        <w:t>‘</w:t>
      </w:r>
      <w:r>
        <w:rPr>
          <w:sz w:val="20"/>
          <w:szCs w:val="20"/>
        </w:rPr>
        <w:t>women</w:t>
      </w:r>
      <w:r w:rsidR="00505EFA">
        <w:rPr>
          <w:sz w:val="20"/>
          <w:szCs w:val="20"/>
        </w:rPr>
        <w:t>’</w:t>
      </w:r>
      <w:r>
        <w:rPr>
          <w:sz w:val="20"/>
          <w:szCs w:val="20"/>
        </w:rPr>
        <w:t xml:space="preserve"> we mean those assigned female at birth”</w:t>
      </w:r>
      <w:r w:rsidR="0043184A">
        <w:rPr>
          <w:sz w:val="20"/>
          <w:szCs w:val="20"/>
        </w:rPr>
        <w:t>:</w:t>
      </w:r>
      <w:r w:rsidR="00D85377">
        <w:rPr>
          <w:sz w:val="20"/>
          <w:szCs w:val="20"/>
        </w:rPr>
        <w:t xml:space="preserve"> </w:t>
      </w:r>
      <w:hyperlink r:id="rId2">
        <w:r w:rsidR="00D85377" w:rsidRPr="0043184A">
          <w:rPr>
            <w:rFonts w:ascii="Georgia" w:eastAsia="Georgia" w:hAnsi="Georgia" w:cs="Georgia"/>
            <w:color w:val="1155CC"/>
            <w:sz w:val="20"/>
            <w:szCs w:val="20"/>
            <w:u w:val="single"/>
          </w:rPr>
          <w:t>Newnham College Cambridge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940A" w14:textId="2F0DEE69" w:rsidR="00F16548" w:rsidRDefault="00756AEA">
    <w:pPr>
      <w:pStyle w:val="Header"/>
    </w:pPr>
    <w:r>
      <w:t xml:space="preserve">Sandra Duffy and </w:t>
    </w:r>
    <w:proofErr w:type="spellStart"/>
    <w:r>
      <w:t>Hafren</w:t>
    </w:r>
    <w:proofErr w:type="spellEnd"/>
    <w:r>
      <w:t xml:space="preserve"> Jones</w:t>
    </w:r>
    <w:r>
      <w:tab/>
    </w:r>
    <w:r>
      <w:tab/>
      <w:t>Spatial and temporal aspects of FWS</w:t>
    </w:r>
  </w:p>
  <w:p w14:paraId="7EC03B12" w14:textId="087D56EE" w:rsidR="00756AEA" w:rsidRDefault="00756AEA">
    <w:pPr>
      <w:pStyle w:val="Header"/>
    </w:pPr>
    <w:r>
      <w:t>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F37A" w14:textId="5B8339C7" w:rsidR="00ED32A3" w:rsidRDefault="00F25B98" w:rsidP="00786221">
    <w:pPr>
      <w:tabs>
        <w:tab w:val="right" w:pos="8931"/>
      </w:tabs>
    </w:pPr>
    <w:proofErr w:type="spellStart"/>
    <w:r>
      <w:rPr>
        <w:i/>
        <w:iCs/>
      </w:rPr>
      <w:t>feminists@law</w:t>
    </w:r>
    <w:proofErr w:type="spellEnd"/>
    <w:r w:rsidR="00786221">
      <w:tab/>
      <w:t xml:space="preserve">Vol </w:t>
    </w:r>
    <w:r w:rsidR="008E742E">
      <w:t>14, No 2 (2026)</w:t>
    </w:r>
  </w:p>
  <w:p w14:paraId="14FA272B" w14:textId="18F699AB" w:rsidR="008E742E" w:rsidRPr="00F25B98" w:rsidRDefault="008E742E" w:rsidP="00786221">
    <w:pPr>
      <w:tabs>
        <w:tab w:val="right" w:pos="8931"/>
      </w:tabs>
    </w:pPr>
    <w:r>
      <w:t>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2A3"/>
    <w:rsid w:val="00031B37"/>
    <w:rsid w:val="00064EA6"/>
    <w:rsid w:val="000B6A11"/>
    <w:rsid w:val="000D48CF"/>
    <w:rsid w:val="00103880"/>
    <w:rsid w:val="00110457"/>
    <w:rsid w:val="00163CC6"/>
    <w:rsid w:val="00190EEC"/>
    <w:rsid w:val="002E68C3"/>
    <w:rsid w:val="003543D4"/>
    <w:rsid w:val="0043184A"/>
    <w:rsid w:val="00494819"/>
    <w:rsid w:val="00505EFA"/>
    <w:rsid w:val="0051131C"/>
    <w:rsid w:val="005E1B00"/>
    <w:rsid w:val="00660DC2"/>
    <w:rsid w:val="00664DBE"/>
    <w:rsid w:val="006C1701"/>
    <w:rsid w:val="006F555E"/>
    <w:rsid w:val="00734EA1"/>
    <w:rsid w:val="00756AEA"/>
    <w:rsid w:val="00786221"/>
    <w:rsid w:val="0085135F"/>
    <w:rsid w:val="00892B5F"/>
    <w:rsid w:val="008B273F"/>
    <w:rsid w:val="008E742E"/>
    <w:rsid w:val="008F5286"/>
    <w:rsid w:val="0097269F"/>
    <w:rsid w:val="009D75E5"/>
    <w:rsid w:val="00A40800"/>
    <w:rsid w:val="00B44E48"/>
    <w:rsid w:val="00B762BA"/>
    <w:rsid w:val="00C12CDA"/>
    <w:rsid w:val="00C552A4"/>
    <w:rsid w:val="00D4227A"/>
    <w:rsid w:val="00D85377"/>
    <w:rsid w:val="00DF3FA1"/>
    <w:rsid w:val="00E133E8"/>
    <w:rsid w:val="00E64182"/>
    <w:rsid w:val="00ED32A3"/>
    <w:rsid w:val="00EE6C9C"/>
    <w:rsid w:val="00EF4C93"/>
    <w:rsid w:val="00F16548"/>
    <w:rsid w:val="00F25B98"/>
    <w:rsid w:val="00F27E72"/>
    <w:rsid w:val="00F516A6"/>
    <w:rsid w:val="00FA769A"/>
    <w:rsid w:val="00FF4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2F353"/>
  <w15:docId w15:val="{C9BCE8C7-C0F9-4A23-B5C2-8AAB3ACF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F5286"/>
    <w:pPr>
      <w:jc w:val="both"/>
      <w:outlineLvl w:val="0"/>
    </w:pPr>
    <w:rPr>
      <w:rFonts w:ascii="Georgia" w:eastAsia="Georgia" w:hAnsi="Georgia" w:cs="Georgia"/>
      <w:b/>
      <w:bCs/>
      <w:color w:val="2A2A2A"/>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8F5286"/>
    <w:rPr>
      <w:rFonts w:ascii="Georgia" w:eastAsia="Georgia" w:hAnsi="Georgia" w:cs="Georgia"/>
      <w:b/>
      <w:bCs/>
      <w:color w:val="2A2A2A"/>
      <w:sz w:val="28"/>
      <w:szCs w:val="28"/>
    </w:rPr>
  </w:style>
  <w:style w:type="table" w:customStyle="1" w:styleId="TableNormal1">
    <w:name w:val="TableNormal"/>
    <w:tblPr>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97791C"/>
    <w:rPr>
      <w:sz w:val="16"/>
      <w:szCs w:val="16"/>
    </w:rPr>
  </w:style>
  <w:style w:type="paragraph" w:styleId="CommentText">
    <w:name w:val="annotation text"/>
    <w:basedOn w:val="Normal"/>
    <w:link w:val="CommentTextChar"/>
    <w:uiPriority w:val="99"/>
    <w:semiHidden/>
    <w:unhideWhenUsed/>
    <w:rsid w:val="0097791C"/>
    <w:pPr>
      <w:spacing w:line="240" w:lineRule="auto"/>
    </w:pPr>
    <w:rPr>
      <w:sz w:val="20"/>
      <w:szCs w:val="20"/>
    </w:rPr>
  </w:style>
  <w:style w:type="character" w:customStyle="1" w:styleId="CommentTextChar">
    <w:name w:val="Comment Text Char"/>
    <w:basedOn w:val="DefaultParagraphFont"/>
    <w:link w:val="CommentText"/>
    <w:uiPriority w:val="99"/>
    <w:semiHidden/>
    <w:rsid w:val="0097791C"/>
    <w:rPr>
      <w:sz w:val="20"/>
      <w:szCs w:val="20"/>
    </w:rPr>
  </w:style>
  <w:style w:type="paragraph" w:styleId="CommentSubject">
    <w:name w:val="annotation subject"/>
    <w:basedOn w:val="CommentText"/>
    <w:next w:val="CommentText"/>
    <w:link w:val="CommentSubjectChar"/>
    <w:uiPriority w:val="99"/>
    <w:semiHidden/>
    <w:unhideWhenUsed/>
    <w:rsid w:val="0097791C"/>
    <w:rPr>
      <w:b/>
      <w:bCs/>
    </w:rPr>
  </w:style>
  <w:style w:type="character" w:customStyle="1" w:styleId="CommentSubjectChar">
    <w:name w:val="Comment Subject Char"/>
    <w:basedOn w:val="CommentTextChar"/>
    <w:link w:val="CommentSubject"/>
    <w:uiPriority w:val="99"/>
    <w:semiHidden/>
    <w:rsid w:val="0097791C"/>
    <w:rPr>
      <w:b/>
      <w:bCs/>
      <w:sz w:val="20"/>
      <w:szCs w:val="20"/>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DF3FA1"/>
    <w:pPr>
      <w:spacing w:line="240" w:lineRule="auto"/>
    </w:pPr>
    <w:rPr>
      <w:sz w:val="20"/>
      <w:szCs w:val="20"/>
    </w:rPr>
  </w:style>
  <w:style w:type="character" w:customStyle="1" w:styleId="FootnoteTextChar">
    <w:name w:val="Footnote Text Char"/>
    <w:basedOn w:val="DefaultParagraphFont"/>
    <w:link w:val="FootnoteText"/>
    <w:uiPriority w:val="99"/>
    <w:semiHidden/>
    <w:rsid w:val="00DF3FA1"/>
    <w:rPr>
      <w:sz w:val="20"/>
      <w:szCs w:val="20"/>
    </w:rPr>
  </w:style>
  <w:style w:type="character" w:styleId="FootnoteReference">
    <w:name w:val="footnote reference"/>
    <w:basedOn w:val="DefaultParagraphFont"/>
    <w:uiPriority w:val="99"/>
    <w:semiHidden/>
    <w:unhideWhenUsed/>
    <w:rsid w:val="00DF3FA1"/>
    <w:rPr>
      <w:vertAlign w:val="superscript"/>
    </w:rPr>
  </w:style>
  <w:style w:type="character" w:styleId="Hyperlink">
    <w:name w:val="Hyperlink"/>
    <w:basedOn w:val="DefaultParagraphFont"/>
    <w:uiPriority w:val="99"/>
    <w:unhideWhenUsed/>
    <w:rsid w:val="0085135F"/>
    <w:rPr>
      <w:color w:val="0000FF" w:themeColor="hyperlink"/>
      <w:u w:val="single"/>
    </w:rPr>
  </w:style>
  <w:style w:type="character" w:styleId="UnresolvedMention">
    <w:name w:val="Unresolved Mention"/>
    <w:basedOn w:val="DefaultParagraphFont"/>
    <w:uiPriority w:val="99"/>
    <w:semiHidden/>
    <w:unhideWhenUsed/>
    <w:rsid w:val="0085135F"/>
    <w:rPr>
      <w:color w:val="605E5C"/>
      <w:shd w:val="clear" w:color="auto" w:fill="E1DFDD"/>
    </w:rPr>
  </w:style>
  <w:style w:type="paragraph" w:styleId="Header">
    <w:name w:val="header"/>
    <w:basedOn w:val="Normal"/>
    <w:link w:val="HeaderChar"/>
    <w:uiPriority w:val="99"/>
    <w:unhideWhenUsed/>
    <w:rsid w:val="00F16548"/>
    <w:pPr>
      <w:tabs>
        <w:tab w:val="center" w:pos="4513"/>
        <w:tab w:val="right" w:pos="9026"/>
      </w:tabs>
      <w:spacing w:line="240" w:lineRule="auto"/>
    </w:pPr>
  </w:style>
  <w:style w:type="character" w:customStyle="1" w:styleId="HeaderChar">
    <w:name w:val="Header Char"/>
    <w:basedOn w:val="DefaultParagraphFont"/>
    <w:link w:val="Header"/>
    <w:uiPriority w:val="99"/>
    <w:rsid w:val="00F16548"/>
  </w:style>
  <w:style w:type="paragraph" w:styleId="Footer">
    <w:name w:val="footer"/>
    <w:basedOn w:val="Normal"/>
    <w:link w:val="FooterChar"/>
    <w:uiPriority w:val="99"/>
    <w:unhideWhenUsed/>
    <w:rsid w:val="00F16548"/>
    <w:pPr>
      <w:tabs>
        <w:tab w:val="center" w:pos="4513"/>
        <w:tab w:val="right" w:pos="9026"/>
      </w:tabs>
      <w:spacing w:line="240" w:lineRule="auto"/>
    </w:pPr>
  </w:style>
  <w:style w:type="character" w:customStyle="1" w:styleId="FooterChar">
    <w:name w:val="Footer Char"/>
    <w:basedOn w:val="DefaultParagraphFont"/>
    <w:link w:val="Footer"/>
    <w:uiPriority w:val="99"/>
    <w:rsid w:val="00F16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nstagram.com/safespacebristo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newn.cam.ac.uk/research/research-fellowships" TargetMode="External"/><Relationship Id="rId1" Type="http://schemas.openxmlformats.org/officeDocument/2006/relationships/hyperlink" Target="mailto:sandra.duffy@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N+9gKwV6ekWxfZq9rlVzqQ4MFA==">CgMxLjA4AHIhMXE0SVZFc3hMRmNSQ3RVSnhockxEOWE3RTB4UGZWSjli</go:docsCustomData>
</go:gDocsCustomXmlDataStorage>
</file>

<file path=customXml/itemProps1.xml><?xml version="1.0" encoding="utf-8"?>
<ds:datastoreItem xmlns:ds="http://schemas.openxmlformats.org/officeDocument/2006/customXml" ds:itemID="{AB98EFCF-EB90-4928-BDC5-41328772746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1249</Words>
  <Characters>6625</Characters>
  <Application>Microsoft Office Word</Application>
  <DocSecurity>0</DocSecurity>
  <Lines>125</Lines>
  <Paragraphs>20</Paragraphs>
  <ScaleCrop>false</ScaleCrop>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Rosemary Hunter</cp:lastModifiedBy>
  <cp:revision>42</cp:revision>
  <dcterms:created xsi:type="dcterms:W3CDTF">2025-12-10T18:05:00Z</dcterms:created>
  <dcterms:modified xsi:type="dcterms:W3CDTF">2026-02-19T23:47:00Z</dcterms:modified>
</cp:coreProperties>
</file>