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4F38B" w14:textId="796F29DC" w:rsidR="00740662" w:rsidRPr="00EC3C0F" w:rsidRDefault="00D07212" w:rsidP="009B4185">
      <w:pPr>
        <w:pStyle w:val="Title"/>
        <w:jc w:val="left"/>
      </w:pPr>
      <w:r w:rsidRPr="00EC3C0F">
        <w:t xml:space="preserve">The </w:t>
      </w:r>
      <w:r w:rsidR="00587C8D" w:rsidRPr="00EC3C0F">
        <w:t>S</w:t>
      </w:r>
      <w:r w:rsidRPr="00EC3C0F">
        <w:t xml:space="preserve">eparation of the </w:t>
      </w:r>
      <w:r w:rsidR="005337F4" w:rsidRPr="00EC3C0F">
        <w:t xml:space="preserve">Chagos Archipelago and the </w:t>
      </w:r>
      <w:r w:rsidR="00587C8D" w:rsidRPr="00EC3C0F">
        <w:t>P</w:t>
      </w:r>
      <w:r w:rsidR="005337F4" w:rsidRPr="00EC3C0F">
        <w:t xml:space="preserve">ervasiveness of </w:t>
      </w:r>
      <w:r w:rsidR="00587C8D" w:rsidRPr="00EC3C0F">
        <w:t>S</w:t>
      </w:r>
      <w:r w:rsidR="005337F4" w:rsidRPr="00EC3C0F">
        <w:t xml:space="preserve">tate </w:t>
      </w:r>
      <w:r w:rsidR="00587C8D" w:rsidRPr="00EC3C0F">
        <w:t>C</w:t>
      </w:r>
      <w:r w:rsidR="005337F4" w:rsidRPr="00EC3C0F">
        <w:t xml:space="preserve">onsent in </w:t>
      </w:r>
      <w:r w:rsidR="00587C8D" w:rsidRPr="00EC3C0F">
        <w:t>I</w:t>
      </w:r>
      <w:r w:rsidR="005337F4" w:rsidRPr="00EC3C0F">
        <w:t xml:space="preserve">nternational </w:t>
      </w:r>
      <w:r w:rsidR="00587C8D" w:rsidRPr="00EC3C0F">
        <w:t>L</w:t>
      </w:r>
      <w:r w:rsidR="005337F4" w:rsidRPr="00EC3C0F">
        <w:t>aw</w:t>
      </w:r>
      <w:r w:rsidRPr="00EC3C0F">
        <w:t xml:space="preserve">: </w:t>
      </w:r>
      <w:r w:rsidR="00587C8D" w:rsidRPr="00EC3C0F">
        <w:t>A</w:t>
      </w:r>
      <w:r w:rsidRPr="00EC3C0F">
        <w:t xml:space="preserve"> </w:t>
      </w:r>
      <w:r w:rsidR="00587C8D" w:rsidRPr="00EC3C0F">
        <w:t>F</w:t>
      </w:r>
      <w:r w:rsidRPr="00EC3C0F">
        <w:t xml:space="preserve">eminist </w:t>
      </w:r>
      <w:r w:rsidR="00587C8D" w:rsidRPr="00EC3C0F">
        <w:t>A</w:t>
      </w:r>
      <w:r w:rsidRPr="00EC3C0F">
        <w:t>nalysis</w:t>
      </w:r>
    </w:p>
    <w:p w14:paraId="740CAFBA" w14:textId="77777777" w:rsidR="00016DA2" w:rsidRDefault="00016DA2" w:rsidP="00740662">
      <w:pPr>
        <w:jc w:val="both"/>
        <w:rPr>
          <w:rFonts w:ascii="Garamond" w:hAnsi="Garamond" w:cs="Apple Chancery"/>
          <w:b/>
          <w:bCs/>
          <w:sz w:val="28"/>
          <w:szCs w:val="28"/>
        </w:rPr>
      </w:pPr>
    </w:p>
    <w:p w14:paraId="15405E63" w14:textId="74DD9792" w:rsidR="00A2354D" w:rsidRPr="00587C8D" w:rsidRDefault="00F26E97" w:rsidP="00740662">
      <w:pPr>
        <w:jc w:val="both"/>
        <w:rPr>
          <w:rFonts w:ascii="Garamond" w:hAnsi="Garamond" w:cs="Apple Chancery"/>
          <w:b/>
          <w:bCs/>
        </w:rPr>
      </w:pPr>
      <w:r w:rsidRPr="00587C8D">
        <w:rPr>
          <w:rFonts w:ascii="Garamond" w:hAnsi="Garamond" w:cs="Apple Chancery"/>
          <w:b/>
          <w:bCs/>
        </w:rPr>
        <w:t>Faye Bird</w:t>
      </w:r>
      <w:r w:rsidR="001811D6" w:rsidRPr="00587C8D">
        <w:rPr>
          <w:rStyle w:val="FootnoteReference"/>
          <w:rFonts w:ascii="Garamond" w:hAnsi="Garamond" w:cs="Apple Chancery"/>
          <w:b/>
          <w:bCs/>
        </w:rPr>
        <w:footnoteReference w:customMarkFollows="1" w:id="1"/>
        <w:sym w:font="Symbol" w:char="F02A"/>
      </w:r>
    </w:p>
    <w:p w14:paraId="674C4AC7" w14:textId="77777777" w:rsidR="00016DA2" w:rsidRDefault="00016DA2" w:rsidP="00740662">
      <w:pPr>
        <w:jc w:val="both"/>
        <w:rPr>
          <w:rFonts w:ascii="Garamond" w:hAnsi="Garamond" w:cs="Apple Chancery"/>
          <w:b/>
          <w:bCs/>
          <w:sz w:val="28"/>
          <w:szCs w:val="28"/>
        </w:rPr>
      </w:pPr>
    </w:p>
    <w:p w14:paraId="7B1B69E3" w14:textId="17A67111" w:rsidR="00685AF4" w:rsidRPr="00EC3C0F" w:rsidRDefault="00685AF4" w:rsidP="00EC3C0F">
      <w:pPr>
        <w:pStyle w:val="Heading1"/>
      </w:pPr>
      <w:r w:rsidRPr="00EC3C0F">
        <w:t>Abstract</w:t>
      </w:r>
    </w:p>
    <w:p w14:paraId="1D71B559" w14:textId="604924D0" w:rsidR="007E6B64" w:rsidRPr="007E6B64" w:rsidRDefault="007E6B64" w:rsidP="00056A8A">
      <w:pPr>
        <w:jc w:val="both"/>
        <w:rPr>
          <w:rFonts w:ascii="Garamond" w:hAnsi="Garamond" w:cs="Apple Chancery"/>
        </w:rPr>
      </w:pPr>
      <w:r w:rsidRPr="007E6B64">
        <w:rPr>
          <w:rFonts w:ascii="Garamond" w:hAnsi="Garamond" w:cs="Apple Chancery"/>
        </w:rPr>
        <w:t xml:space="preserve">The violent expulsion of the indigenous population of the Chagos Archipelago is a continuing colonial injustice which international law has failed to remedy. Instead, international legal discourse has reconfigured this wrong, casting it as a territorial dispute between two sovereign states: the UK as the former and continuing colonial power, and Mauritius as the postcolonial state. By framing the issue in terms of the possibility of Mauritius consenting to the separation, the concept of consent, and in particular state-based consent, plays a central role in this reconfiguration. In this paper, I argue that while consent is often seen as trivial, it offers a powerful tool of legal argumentation which sustains the centrality of the state as the ideal </w:t>
      </w:r>
      <w:r w:rsidR="00BF6047">
        <w:rPr>
          <w:rFonts w:ascii="Garamond" w:hAnsi="Garamond" w:cs="Apple Chancery"/>
        </w:rPr>
        <w:t xml:space="preserve">international </w:t>
      </w:r>
      <w:r w:rsidRPr="007E6B64">
        <w:rPr>
          <w:rFonts w:ascii="Garamond" w:hAnsi="Garamond" w:cs="Apple Chancery"/>
        </w:rPr>
        <w:t>legal subject. Turning to the language of consent serves to buttress a liberal imagining of atomised, unitary states engaging in consensual, contractual bargains with one another on equal terms. Within this framework, the extraction of impersonal goods, most notably that of military security, is seen as a rational venture, prioritised over the more personal, deeper indigenous relations with land. The paper reveals the power and perils of consent as a concept</w:t>
      </w:r>
      <w:r w:rsidR="00680A0E">
        <w:rPr>
          <w:rFonts w:ascii="Garamond" w:hAnsi="Garamond" w:cs="Apple Chancery"/>
        </w:rPr>
        <w:t xml:space="preserve"> – </w:t>
      </w:r>
      <w:r w:rsidRPr="007E6B64">
        <w:rPr>
          <w:rFonts w:ascii="Garamond" w:hAnsi="Garamond" w:cs="Apple Chancery"/>
        </w:rPr>
        <w:t>its</w:t>
      </w:r>
      <w:r w:rsidR="00680A0E">
        <w:rPr>
          <w:rFonts w:ascii="Garamond" w:hAnsi="Garamond" w:cs="Apple Chancery"/>
        </w:rPr>
        <w:t xml:space="preserve"> </w:t>
      </w:r>
      <w:r w:rsidRPr="007E6B64">
        <w:rPr>
          <w:rFonts w:ascii="Garamond" w:hAnsi="Garamond" w:cs="Apple Chancery"/>
        </w:rPr>
        <w:t>‘double-edged’ nature</w:t>
      </w:r>
      <w:r w:rsidR="00680A0E">
        <w:rPr>
          <w:rFonts w:ascii="Garamond" w:hAnsi="Garamond" w:cs="Apple Chancery"/>
        </w:rPr>
        <w:t xml:space="preserve"> – </w:t>
      </w:r>
      <w:r w:rsidRPr="007E6B64">
        <w:rPr>
          <w:rFonts w:ascii="Garamond" w:hAnsi="Garamond" w:cs="Apple Chancery"/>
        </w:rPr>
        <w:t>by</w:t>
      </w:r>
      <w:r w:rsidR="00680A0E">
        <w:rPr>
          <w:rFonts w:ascii="Garamond" w:hAnsi="Garamond" w:cs="Apple Chancery"/>
        </w:rPr>
        <w:t xml:space="preserve"> </w:t>
      </w:r>
      <w:r w:rsidRPr="007E6B64">
        <w:rPr>
          <w:rFonts w:ascii="Garamond" w:hAnsi="Garamond" w:cs="Apple Chancery"/>
        </w:rPr>
        <w:t>drawing on those feminisms which have theorised autonomy within interpersonal contexts. This analysis is further developed through engagement with postcolonial and TWAIL approaches, which bring to the fore the different forms of power at play and the continu</w:t>
      </w:r>
      <w:r w:rsidR="005449F9">
        <w:rPr>
          <w:rFonts w:ascii="Garamond" w:hAnsi="Garamond" w:cs="Apple Chancery"/>
        </w:rPr>
        <w:t>ation of</w:t>
      </w:r>
      <w:r w:rsidRPr="007E6B64">
        <w:rPr>
          <w:rFonts w:ascii="Garamond" w:hAnsi="Garamond" w:cs="Apple Chancery"/>
        </w:rPr>
        <w:t xml:space="preserve"> neocolonial relations. </w:t>
      </w:r>
    </w:p>
    <w:p w14:paraId="7535A4B8" w14:textId="77777777" w:rsidR="00D11869" w:rsidRDefault="00D11869" w:rsidP="00740662">
      <w:pPr>
        <w:jc w:val="both"/>
        <w:rPr>
          <w:rFonts w:ascii="Garamond" w:hAnsi="Garamond" w:cs="Apple Chancery"/>
          <w:b/>
          <w:bCs/>
        </w:rPr>
      </w:pPr>
    </w:p>
    <w:p w14:paraId="11AE5488" w14:textId="2617AC31" w:rsidR="00EC700A" w:rsidRPr="00D11869" w:rsidRDefault="005F2CCA" w:rsidP="00EC3C0F">
      <w:pPr>
        <w:pStyle w:val="Heading1"/>
      </w:pPr>
      <w:r w:rsidRPr="00D11869">
        <w:t>Introduction</w:t>
      </w:r>
    </w:p>
    <w:p w14:paraId="38777BC3" w14:textId="4AF0AD9E" w:rsidR="00EC700A" w:rsidRPr="009E1077" w:rsidRDefault="00EC700A" w:rsidP="00740662">
      <w:pPr>
        <w:ind w:left="720"/>
        <w:jc w:val="both"/>
        <w:rPr>
          <w:rFonts w:ascii="Garamond" w:hAnsi="Garamond" w:cs="Apple Chancery"/>
        </w:rPr>
      </w:pPr>
      <w:r w:rsidRPr="009E1077">
        <w:rPr>
          <w:rFonts w:ascii="Garamond" w:hAnsi="Garamond" w:cs="Apple Chancery"/>
        </w:rPr>
        <w:t>[W]</w:t>
      </w:r>
      <w:proofErr w:type="spellStart"/>
      <w:r w:rsidRPr="009E1077">
        <w:rPr>
          <w:rFonts w:ascii="Garamond" w:hAnsi="Garamond" w:cs="Apple Chancery"/>
        </w:rPr>
        <w:t>e’re</w:t>
      </w:r>
      <w:proofErr w:type="spellEnd"/>
      <w:r w:rsidRPr="009E1077">
        <w:rPr>
          <w:rFonts w:ascii="Garamond" w:hAnsi="Garamond" w:cs="Apple Chancery"/>
        </w:rPr>
        <w:t xml:space="preserve"> a small people. We have no arms to make war with the British government, nor with the Mauritian government….Me, I say that the Mauritian government and the British government looked after their own interests</w:t>
      </w:r>
      <w:r w:rsidR="00ED6729">
        <w:rPr>
          <w:rFonts w:ascii="Garamond" w:hAnsi="Garamond" w:cs="Apple Chancery"/>
        </w:rPr>
        <w:t>.</w:t>
      </w:r>
      <w:r w:rsidRPr="009E1077">
        <w:rPr>
          <w:rStyle w:val="FootnoteReference"/>
          <w:rFonts w:ascii="Garamond" w:hAnsi="Garamond" w:cs="Apple Chancery"/>
        </w:rPr>
        <w:footnoteReference w:id="2"/>
      </w:r>
    </w:p>
    <w:p w14:paraId="5AD3B3F7" w14:textId="715AF98C" w:rsidR="00EC700A" w:rsidRPr="009E1077" w:rsidRDefault="00EC700A" w:rsidP="00740662">
      <w:pPr>
        <w:jc w:val="both"/>
        <w:rPr>
          <w:rFonts w:ascii="Garamond" w:hAnsi="Garamond" w:cs="Apple Chancery"/>
        </w:rPr>
      </w:pPr>
      <w:r w:rsidRPr="009E1077">
        <w:rPr>
          <w:rFonts w:ascii="Garamond" w:hAnsi="Garamond" w:cs="Apple Chancery"/>
        </w:rPr>
        <w:t>The violent, forcible displacement of the Chagossian people occurred nearly 60 years ago when the UK separated the Chagos Archipelago from Mauritius.</w:t>
      </w:r>
      <w:r>
        <w:rPr>
          <w:rFonts w:ascii="Garamond" w:hAnsi="Garamond" w:cs="Apple Chancery"/>
        </w:rPr>
        <w:t xml:space="preserve"> </w:t>
      </w:r>
      <w:r w:rsidRPr="009E1077">
        <w:rPr>
          <w:rFonts w:ascii="Garamond" w:hAnsi="Garamond" w:cs="Apple Chancery"/>
        </w:rPr>
        <w:t xml:space="preserve">In 2019 the International Court of </w:t>
      </w:r>
      <w:r w:rsidRPr="009E1077">
        <w:rPr>
          <w:rFonts w:ascii="Garamond" w:hAnsi="Garamond" w:cs="Apple Chancery"/>
        </w:rPr>
        <w:lastRenderedPageBreak/>
        <w:t>Justice</w:t>
      </w:r>
      <w:r w:rsidR="00FC4742">
        <w:rPr>
          <w:rFonts w:ascii="Garamond" w:hAnsi="Garamond" w:cs="Apple Chancery"/>
        </w:rPr>
        <w:t xml:space="preserve"> (ICJ)</w:t>
      </w:r>
      <w:r w:rsidRPr="009E1077">
        <w:rPr>
          <w:rFonts w:ascii="Garamond" w:hAnsi="Garamond" w:cs="Apple Chancery"/>
        </w:rPr>
        <w:t xml:space="preserve"> </w:t>
      </w:r>
      <w:r>
        <w:rPr>
          <w:rFonts w:ascii="Garamond" w:hAnsi="Garamond" w:cs="Apple Chancery"/>
        </w:rPr>
        <w:t xml:space="preserve">delivered its Advisory Opinion </w:t>
      </w:r>
      <w:r w:rsidR="00012C37">
        <w:rPr>
          <w:rFonts w:ascii="Garamond" w:hAnsi="Garamond" w:cs="Apple Chancery"/>
        </w:rPr>
        <w:t xml:space="preserve">(AO) </w:t>
      </w:r>
      <w:r>
        <w:rPr>
          <w:rFonts w:ascii="Garamond" w:hAnsi="Garamond" w:cs="Apple Chancery"/>
        </w:rPr>
        <w:t>stating</w:t>
      </w:r>
      <w:r w:rsidRPr="009E1077">
        <w:rPr>
          <w:rFonts w:ascii="Garamond" w:hAnsi="Garamond" w:cs="Apple Chancery"/>
        </w:rPr>
        <w:t xml:space="preserve"> that th</w:t>
      </w:r>
      <w:r>
        <w:rPr>
          <w:rFonts w:ascii="Garamond" w:hAnsi="Garamond" w:cs="Apple Chancery"/>
        </w:rPr>
        <w:t xml:space="preserve">e </w:t>
      </w:r>
      <w:r w:rsidRPr="009E1077">
        <w:rPr>
          <w:rFonts w:ascii="Garamond" w:hAnsi="Garamond" w:cs="Apple Chancery"/>
        </w:rPr>
        <w:t>separation rendered incomplete the decolonisation process due to the coercive nature of the colonial relationship between the UK and Mauritius.</w:t>
      </w:r>
      <w:r>
        <w:rPr>
          <w:rStyle w:val="FootnoteReference"/>
          <w:rFonts w:ascii="Garamond" w:hAnsi="Garamond" w:cs="Apple Chancery"/>
        </w:rPr>
        <w:footnoteReference w:id="3"/>
      </w:r>
      <w:r w:rsidRPr="009E1077">
        <w:rPr>
          <w:rFonts w:ascii="Garamond" w:hAnsi="Garamond" w:cs="Apple Chancery"/>
        </w:rPr>
        <w:t xml:space="preserve"> </w:t>
      </w:r>
      <w:r>
        <w:rPr>
          <w:rFonts w:ascii="Garamond" w:hAnsi="Garamond" w:cs="Apple Chancery"/>
        </w:rPr>
        <w:t>The granting of c</w:t>
      </w:r>
      <w:r w:rsidRPr="009E1077">
        <w:rPr>
          <w:rFonts w:ascii="Garamond" w:hAnsi="Garamond" w:cs="Apple Chancery"/>
        </w:rPr>
        <w:t xml:space="preserve">onsent </w:t>
      </w:r>
      <w:r>
        <w:rPr>
          <w:rFonts w:ascii="Garamond" w:hAnsi="Garamond" w:cs="Apple Chancery"/>
        </w:rPr>
        <w:t xml:space="preserve">by Mauritius </w:t>
      </w:r>
      <w:r w:rsidRPr="009E1077">
        <w:rPr>
          <w:rFonts w:ascii="Garamond" w:hAnsi="Garamond" w:cs="Apple Chancery"/>
        </w:rPr>
        <w:t>to the separation was, in the view of the ICJ, not possible.</w:t>
      </w:r>
      <w:r>
        <w:rPr>
          <w:rFonts w:ascii="Garamond" w:hAnsi="Garamond" w:cs="Apple Chancery"/>
        </w:rPr>
        <w:t xml:space="preserve"> Through this zero-sum approach, a complex situation is reduced to </w:t>
      </w:r>
      <w:r w:rsidRPr="0026020C">
        <w:rPr>
          <w:rFonts w:ascii="Garamond" w:hAnsi="Garamond" w:cs="Apple Chancery"/>
        </w:rPr>
        <w:t>two</w:t>
      </w:r>
      <w:r>
        <w:rPr>
          <w:rFonts w:ascii="Garamond" w:hAnsi="Garamond" w:cs="Apple Chancery"/>
          <w:i/>
          <w:iCs/>
        </w:rPr>
        <w:t xml:space="preserve">, </w:t>
      </w:r>
      <w:r>
        <w:rPr>
          <w:rFonts w:ascii="Garamond" w:hAnsi="Garamond" w:cs="Apple Chancery"/>
        </w:rPr>
        <w:t>possibly consenting subjects (a state and soon to be state) at the point of separation. In contrast, t</w:t>
      </w:r>
      <w:r w:rsidRPr="009E1077">
        <w:rPr>
          <w:rFonts w:ascii="Garamond" w:hAnsi="Garamond" w:cs="Apple Chancery"/>
        </w:rPr>
        <w:t xml:space="preserve">he above quote from Charlesia Alexis, co-founder of the Chagos Refugee Group, </w:t>
      </w:r>
      <w:r>
        <w:rPr>
          <w:rFonts w:ascii="Garamond" w:hAnsi="Garamond" w:cs="Apple Chancery"/>
        </w:rPr>
        <w:t>takes a broader view. She captures the long history of</w:t>
      </w:r>
      <w:r w:rsidRPr="009E1077">
        <w:rPr>
          <w:rFonts w:ascii="Garamond" w:hAnsi="Garamond" w:cs="Apple Chancery"/>
        </w:rPr>
        <w:t xml:space="preserve"> </w:t>
      </w:r>
      <w:r>
        <w:rPr>
          <w:rFonts w:ascii="Garamond" w:hAnsi="Garamond" w:cs="Apple Chancery"/>
        </w:rPr>
        <w:t xml:space="preserve">Chagossian </w:t>
      </w:r>
      <w:r w:rsidRPr="009E1077">
        <w:rPr>
          <w:rFonts w:ascii="Garamond" w:hAnsi="Garamond" w:cs="Apple Chancery"/>
        </w:rPr>
        <w:t xml:space="preserve">resistance directed towards </w:t>
      </w:r>
      <w:r w:rsidRPr="009E1077">
        <w:rPr>
          <w:rFonts w:ascii="Garamond" w:hAnsi="Garamond" w:cs="Apple Chancery"/>
          <w:i/>
          <w:iCs/>
        </w:rPr>
        <w:t xml:space="preserve">both </w:t>
      </w:r>
      <w:r w:rsidRPr="009E1077">
        <w:rPr>
          <w:rFonts w:ascii="Garamond" w:hAnsi="Garamond" w:cs="Apple Chancery"/>
        </w:rPr>
        <w:t>the colon</w:t>
      </w:r>
      <w:r w:rsidR="001770E9">
        <w:rPr>
          <w:rFonts w:ascii="Garamond" w:hAnsi="Garamond" w:cs="Apple Chancery"/>
        </w:rPr>
        <w:t>i</w:t>
      </w:r>
      <w:r w:rsidRPr="009E1077">
        <w:rPr>
          <w:rFonts w:ascii="Garamond" w:hAnsi="Garamond" w:cs="Apple Chancery"/>
        </w:rPr>
        <w:t xml:space="preserve">sing state and the now independent postcolonial state. Her testimony complicates dichotomous views of the separation which view it as a bilateral dispute </w:t>
      </w:r>
      <w:r>
        <w:rPr>
          <w:rFonts w:ascii="Garamond" w:hAnsi="Garamond" w:cs="Apple Chancery"/>
        </w:rPr>
        <w:t>between the two states</w:t>
      </w:r>
      <w:r w:rsidRPr="009E1077">
        <w:rPr>
          <w:rFonts w:ascii="Garamond" w:hAnsi="Garamond" w:cs="Apple Chancery"/>
        </w:rPr>
        <w:t xml:space="preserve">. </w:t>
      </w:r>
    </w:p>
    <w:p w14:paraId="06ABF98E" w14:textId="4A629BC4" w:rsidR="00EC700A" w:rsidRPr="00A369F8" w:rsidRDefault="00EC700A" w:rsidP="00740662">
      <w:pPr>
        <w:jc w:val="both"/>
        <w:rPr>
          <w:rFonts w:ascii="Garamond" w:hAnsi="Garamond"/>
        </w:rPr>
      </w:pPr>
      <w:r>
        <w:rPr>
          <w:rFonts w:ascii="Garamond" w:hAnsi="Garamond" w:cs="Apple Chancery"/>
        </w:rPr>
        <w:t>It is such</w:t>
      </w:r>
      <w:r w:rsidRPr="009E1077">
        <w:rPr>
          <w:rFonts w:ascii="Garamond" w:hAnsi="Garamond" w:cs="Apple Chancery"/>
        </w:rPr>
        <w:t xml:space="preserve"> testimon</w:t>
      </w:r>
      <w:r>
        <w:rPr>
          <w:rFonts w:ascii="Garamond" w:hAnsi="Garamond" w:cs="Apple Chancery"/>
        </w:rPr>
        <w:t>ies which</w:t>
      </w:r>
      <w:r w:rsidRPr="009E1077">
        <w:rPr>
          <w:rFonts w:ascii="Garamond" w:hAnsi="Garamond" w:cs="Apple Chancery"/>
        </w:rPr>
        <w:t xml:space="preserve"> capture</w:t>
      </w:r>
      <w:r>
        <w:rPr>
          <w:rFonts w:ascii="Garamond" w:hAnsi="Garamond" w:cs="Apple Chancery"/>
        </w:rPr>
        <w:t xml:space="preserve"> a</w:t>
      </w:r>
      <w:r w:rsidRPr="009E1077">
        <w:rPr>
          <w:rFonts w:ascii="Garamond" w:hAnsi="Garamond" w:cs="Apple Chancery"/>
        </w:rPr>
        <w:t xml:space="preserve"> key challenge for international law: keeping in view the very real, embodied peoples most vulnerable to and affected by geopolitical action, when the international legal system works to bury them beneath the folds of the state. The frames of statehood entrench competing</w:t>
      </w:r>
      <w:r>
        <w:rPr>
          <w:rFonts w:ascii="Garamond" w:hAnsi="Garamond" w:cs="Apple Chancery"/>
        </w:rPr>
        <w:t>, self-interested</w:t>
      </w:r>
      <w:r w:rsidRPr="009E1077">
        <w:rPr>
          <w:rFonts w:ascii="Garamond" w:hAnsi="Garamond" w:cs="Apple Chancery"/>
        </w:rPr>
        <w:t xml:space="preserve"> sovereigns within relations of power</w:t>
      </w:r>
      <w:r>
        <w:rPr>
          <w:rFonts w:ascii="Garamond" w:hAnsi="Garamond" w:cs="Apple Chancery"/>
        </w:rPr>
        <w:t>. Such relations are seemingly mediated by consensual agreements and consensual undertakings of legal obligations. Consent, therefore, is foundational.</w:t>
      </w:r>
      <w:r>
        <w:rPr>
          <w:rStyle w:val="FootnoteReference"/>
          <w:rFonts w:ascii="Garamond" w:hAnsi="Garamond" w:cs="Apple Chancery"/>
        </w:rPr>
        <w:footnoteReference w:id="4"/>
      </w:r>
      <w:r w:rsidRPr="009E1077">
        <w:rPr>
          <w:rFonts w:ascii="Garamond" w:hAnsi="Garamond" w:cs="Apple Chancery"/>
        </w:rPr>
        <w:t xml:space="preserve"> </w:t>
      </w:r>
      <w:r>
        <w:rPr>
          <w:rFonts w:ascii="Garamond" w:hAnsi="Garamond" w:cs="Apple Chancery"/>
        </w:rPr>
        <w:t>Operating at the</w:t>
      </w:r>
      <w:r w:rsidRPr="009E1077">
        <w:rPr>
          <w:rFonts w:ascii="Garamond" w:hAnsi="Garamond" w:cs="Apple Chancery"/>
        </w:rPr>
        <w:t xml:space="preserve"> inter-state level</w:t>
      </w:r>
      <w:r>
        <w:rPr>
          <w:rFonts w:ascii="Garamond" w:hAnsi="Garamond" w:cs="Apple Chancery"/>
        </w:rPr>
        <w:t>, consent</w:t>
      </w:r>
      <w:r w:rsidRPr="009E1077">
        <w:rPr>
          <w:rFonts w:ascii="Garamond" w:hAnsi="Garamond" w:cs="Apple Chancery"/>
        </w:rPr>
        <w:t xml:space="preserve"> has the curious effect of </w:t>
      </w:r>
      <w:r>
        <w:rPr>
          <w:rFonts w:ascii="Garamond" w:hAnsi="Garamond" w:cs="Apple Chancery"/>
        </w:rPr>
        <w:t xml:space="preserve">anthropomorphising </w:t>
      </w:r>
      <w:r w:rsidRPr="009E1077">
        <w:rPr>
          <w:rFonts w:ascii="Garamond" w:hAnsi="Garamond" w:cs="Apple Chancery"/>
        </w:rPr>
        <w:t xml:space="preserve">the state </w:t>
      </w:r>
      <w:r w:rsidR="00DF39EE">
        <w:rPr>
          <w:rFonts w:ascii="Garamond" w:hAnsi="Garamond" w:cs="Apple Chancery"/>
        </w:rPr>
        <w:t xml:space="preserve">by </w:t>
      </w:r>
      <w:r>
        <w:rPr>
          <w:rFonts w:ascii="Garamond" w:hAnsi="Garamond" w:cs="Apple Chancery"/>
        </w:rPr>
        <w:t xml:space="preserve">granting it a unified will, </w:t>
      </w:r>
      <w:r w:rsidRPr="009E1077">
        <w:rPr>
          <w:rFonts w:ascii="Garamond" w:hAnsi="Garamond" w:cs="Apple Chancery"/>
        </w:rPr>
        <w:t>while paradoxically obscuring embodied persons.</w:t>
      </w:r>
      <w:r w:rsidR="00BC75D0">
        <w:rPr>
          <w:rStyle w:val="FootnoteReference"/>
          <w:rFonts w:ascii="Garamond" w:hAnsi="Garamond" w:cs="Apple Chancery"/>
        </w:rPr>
        <w:footnoteReference w:id="5"/>
      </w:r>
      <w:r>
        <w:rPr>
          <w:rFonts w:ascii="Garamond" w:hAnsi="Garamond" w:cs="Apple Chancery"/>
        </w:rPr>
        <w:t xml:space="preserve"> The A</w:t>
      </w:r>
      <w:r w:rsidR="00B21A8D">
        <w:rPr>
          <w:rFonts w:ascii="Garamond" w:hAnsi="Garamond" w:cs="Apple Chancery"/>
        </w:rPr>
        <w:t>O</w:t>
      </w:r>
      <w:r>
        <w:rPr>
          <w:rFonts w:ascii="Garamond" w:hAnsi="Garamond" w:cs="Apple Chancery"/>
        </w:rPr>
        <w:t xml:space="preserve"> of the ICJ does just this</w:t>
      </w:r>
      <w:r w:rsidR="00116918">
        <w:rPr>
          <w:rFonts w:ascii="Garamond" w:hAnsi="Garamond" w:cs="Apple Chancery"/>
        </w:rPr>
        <w:t>:</w:t>
      </w:r>
      <w:r>
        <w:rPr>
          <w:rFonts w:ascii="Garamond" w:hAnsi="Garamond" w:cs="Apple Chancery"/>
        </w:rPr>
        <w:t xml:space="preserve"> in focusing on state-based consent, the Chagossian people have been sidelined. This failure to centre </w:t>
      </w:r>
      <w:proofErr w:type="spellStart"/>
      <w:r>
        <w:rPr>
          <w:rFonts w:ascii="Garamond" w:hAnsi="Garamond" w:cs="Apple Chancery"/>
        </w:rPr>
        <w:t>Chagossians</w:t>
      </w:r>
      <w:proofErr w:type="spellEnd"/>
      <w:r>
        <w:rPr>
          <w:rFonts w:ascii="Garamond" w:hAnsi="Garamond" w:cs="Apple Chancery"/>
        </w:rPr>
        <w:t xml:space="preserve"> has thus made possible, and indeed foreseeable, </w:t>
      </w:r>
      <w:r w:rsidRPr="009E1077">
        <w:rPr>
          <w:rFonts w:ascii="Garamond" w:hAnsi="Garamond" w:cs="Apple Chancery"/>
        </w:rPr>
        <w:t>th</w:t>
      </w:r>
      <w:r w:rsidR="009668D4">
        <w:rPr>
          <w:rFonts w:ascii="Garamond" w:hAnsi="Garamond" w:cs="Apple Chancery"/>
        </w:rPr>
        <w:t xml:space="preserve">e </w:t>
      </w:r>
      <w:r w:rsidR="0004016C">
        <w:rPr>
          <w:rFonts w:ascii="Garamond" w:hAnsi="Garamond" w:cs="Apple Chancery"/>
        </w:rPr>
        <w:t xml:space="preserve">continuing, present-day </w:t>
      </w:r>
      <w:r w:rsidRPr="009E1077">
        <w:rPr>
          <w:rFonts w:ascii="Garamond" w:hAnsi="Garamond" w:cs="Apple Chancery"/>
        </w:rPr>
        <w:t xml:space="preserve">injustices felt by the </w:t>
      </w:r>
      <w:r w:rsidR="004D3C81">
        <w:rPr>
          <w:rFonts w:ascii="Garamond" w:hAnsi="Garamond" w:cs="Apple Chancery"/>
        </w:rPr>
        <w:t xml:space="preserve">indigenous </w:t>
      </w:r>
      <w:r w:rsidRPr="009E1077">
        <w:rPr>
          <w:rFonts w:ascii="Garamond" w:hAnsi="Garamond" w:cs="Apple Chancery"/>
        </w:rPr>
        <w:t>community</w:t>
      </w:r>
      <w:r w:rsidR="009668D4">
        <w:rPr>
          <w:rFonts w:ascii="Garamond" w:hAnsi="Garamond" w:cs="Apple Chancery"/>
        </w:rPr>
        <w:t xml:space="preserve">. </w:t>
      </w:r>
      <w:r w:rsidR="00082ABB">
        <w:rPr>
          <w:rFonts w:ascii="Garamond" w:hAnsi="Garamond" w:cs="Apple Chancery"/>
        </w:rPr>
        <w:t xml:space="preserve">What has ensued since is </w:t>
      </w:r>
      <w:r w:rsidR="00FF6FA6">
        <w:rPr>
          <w:rFonts w:ascii="Garamond" w:hAnsi="Garamond" w:cs="Apple Chancery"/>
        </w:rPr>
        <w:t xml:space="preserve">state-level </w:t>
      </w:r>
      <w:r w:rsidR="004A2161">
        <w:rPr>
          <w:rFonts w:ascii="Garamond" w:hAnsi="Garamond" w:cs="Apple Chancery"/>
        </w:rPr>
        <w:t xml:space="preserve">tussling </w:t>
      </w:r>
      <w:r w:rsidR="00E07875">
        <w:rPr>
          <w:rFonts w:ascii="Garamond" w:hAnsi="Garamond" w:cs="Apple Chancery"/>
        </w:rPr>
        <w:t xml:space="preserve">over sovereignty and territorial control. </w:t>
      </w:r>
      <w:r w:rsidRPr="009E1077">
        <w:rPr>
          <w:rFonts w:ascii="Garamond" w:hAnsi="Garamond" w:cs="Apple Chancery"/>
        </w:rPr>
        <w:t>In May 2025 Mauritius</w:t>
      </w:r>
      <w:r>
        <w:rPr>
          <w:rFonts w:ascii="Garamond" w:hAnsi="Garamond" w:cs="Apple Chancery"/>
        </w:rPr>
        <w:t xml:space="preserve"> and the UK</w:t>
      </w:r>
      <w:r w:rsidRPr="009E1077">
        <w:rPr>
          <w:rFonts w:ascii="Garamond" w:hAnsi="Garamond" w:cs="Apple Chancery"/>
        </w:rPr>
        <w:t xml:space="preserve"> published a new agreement which focuses predominantly on the UK</w:t>
      </w:r>
      <w:r w:rsidR="005729C1">
        <w:rPr>
          <w:rFonts w:ascii="Garamond" w:hAnsi="Garamond" w:cs="Apple Chancery"/>
        </w:rPr>
        <w:t>’</w:t>
      </w:r>
      <w:r w:rsidRPr="009E1077">
        <w:rPr>
          <w:rFonts w:ascii="Garamond" w:hAnsi="Garamond" w:cs="Apple Chancery"/>
        </w:rPr>
        <w:t xml:space="preserve">s continued control over Diego Garcia, </w:t>
      </w:r>
      <w:r>
        <w:rPr>
          <w:rFonts w:ascii="Garamond" w:hAnsi="Garamond" w:cs="Apple Chancery"/>
        </w:rPr>
        <w:t xml:space="preserve">thereby </w:t>
      </w:r>
      <w:r w:rsidRPr="009E1077">
        <w:rPr>
          <w:rFonts w:ascii="Garamond" w:hAnsi="Garamond" w:cs="Apple Chancery"/>
        </w:rPr>
        <w:t>ensuring the continued stability of the US/UK military base.</w:t>
      </w:r>
      <w:r>
        <w:rPr>
          <w:rStyle w:val="FootnoteReference"/>
          <w:rFonts w:ascii="Garamond" w:hAnsi="Garamond" w:cs="Apple Chancery"/>
        </w:rPr>
        <w:footnoteReference w:id="6"/>
      </w:r>
      <w:r w:rsidRPr="009E1077">
        <w:rPr>
          <w:rFonts w:ascii="Garamond" w:hAnsi="Garamond" w:cs="Apple Chancery"/>
        </w:rPr>
        <w:t xml:space="preserve"> </w:t>
      </w:r>
      <w:r w:rsidR="000167A4">
        <w:rPr>
          <w:rFonts w:ascii="Garamond" w:hAnsi="Garamond" w:cs="Apple Chancery"/>
        </w:rPr>
        <w:t>At the time of writing, however, this agreement has been jettisoned</w:t>
      </w:r>
      <w:r w:rsidR="00A60C5A">
        <w:rPr>
          <w:rFonts w:ascii="Garamond" w:hAnsi="Garamond" w:cs="Apple Chancery"/>
        </w:rPr>
        <w:t xml:space="preserve"> owing to the</w:t>
      </w:r>
      <w:r w:rsidR="00AA6518">
        <w:rPr>
          <w:rFonts w:ascii="Garamond" w:hAnsi="Garamond" w:cs="Apple Chancery"/>
        </w:rPr>
        <w:t xml:space="preserve"> powerful</w:t>
      </w:r>
      <w:r w:rsidR="00A60C5A">
        <w:rPr>
          <w:rFonts w:ascii="Garamond" w:hAnsi="Garamond" w:cs="Apple Chancery"/>
        </w:rPr>
        <w:t xml:space="preserve"> </w:t>
      </w:r>
      <w:r w:rsidR="00AA6518">
        <w:rPr>
          <w:rFonts w:ascii="Garamond" w:hAnsi="Garamond" w:cs="Apple Chancery"/>
        </w:rPr>
        <w:t xml:space="preserve">influence of a third state. </w:t>
      </w:r>
      <w:r>
        <w:rPr>
          <w:rFonts w:ascii="Garamond" w:hAnsi="Garamond"/>
        </w:rPr>
        <w:t xml:space="preserve">US </w:t>
      </w:r>
      <w:r w:rsidR="00E866D5">
        <w:rPr>
          <w:rFonts w:ascii="Garamond" w:hAnsi="Garamond"/>
        </w:rPr>
        <w:t>P</w:t>
      </w:r>
      <w:r>
        <w:rPr>
          <w:rFonts w:ascii="Garamond" w:hAnsi="Garamond"/>
        </w:rPr>
        <w:t xml:space="preserve">resident Donald Trump has withdrawn </w:t>
      </w:r>
      <w:r w:rsidR="00D64DFA">
        <w:rPr>
          <w:rFonts w:ascii="Garamond" w:hAnsi="Garamond"/>
        </w:rPr>
        <w:t xml:space="preserve">US </w:t>
      </w:r>
      <w:r>
        <w:rPr>
          <w:rFonts w:ascii="Garamond" w:hAnsi="Garamond"/>
        </w:rPr>
        <w:t xml:space="preserve">support of the 2025 agreement, calling the transfer of sovereignty an </w:t>
      </w:r>
      <w:r w:rsidR="00931A80">
        <w:rPr>
          <w:rFonts w:ascii="Garamond" w:hAnsi="Garamond"/>
        </w:rPr>
        <w:t>‘</w:t>
      </w:r>
      <w:r>
        <w:rPr>
          <w:rFonts w:ascii="Garamond" w:hAnsi="Garamond"/>
        </w:rPr>
        <w:t>act of great stupidity</w:t>
      </w:r>
      <w:r w:rsidR="00931A80">
        <w:rPr>
          <w:rFonts w:ascii="Garamond" w:hAnsi="Garamond"/>
        </w:rPr>
        <w:t>’</w:t>
      </w:r>
      <w:r>
        <w:rPr>
          <w:rStyle w:val="FootnoteReference"/>
          <w:rFonts w:ascii="Garamond" w:hAnsi="Garamond"/>
        </w:rPr>
        <w:footnoteReference w:id="7"/>
      </w:r>
      <w:r w:rsidR="004572DD">
        <w:rPr>
          <w:rFonts w:ascii="Garamond" w:hAnsi="Garamond"/>
        </w:rPr>
        <w:t xml:space="preserve"> and of </w:t>
      </w:r>
      <w:r w:rsidR="00931A80">
        <w:rPr>
          <w:rFonts w:ascii="Garamond" w:hAnsi="Garamond"/>
        </w:rPr>
        <w:t>‘</w:t>
      </w:r>
      <w:r w:rsidR="004572DD">
        <w:rPr>
          <w:rFonts w:ascii="Garamond" w:hAnsi="Garamond"/>
        </w:rPr>
        <w:t>weakness</w:t>
      </w:r>
      <w:r w:rsidR="00931A80">
        <w:rPr>
          <w:rFonts w:ascii="Garamond" w:hAnsi="Garamond"/>
        </w:rPr>
        <w:t>’</w:t>
      </w:r>
      <w:r w:rsidR="004572DD">
        <w:rPr>
          <w:rFonts w:ascii="Garamond" w:hAnsi="Garamond"/>
        </w:rPr>
        <w:t>.</w:t>
      </w:r>
      <w:r w:rsidR="00A803DA">
        <w:rPr>
          <w:rStyle w:val="FootnoteReference"/>
          <w:rFonts w:ascii="Garamond" w:hAnsi="Garamond"/>
        </w:rPr>
        <w:footnoteReference w:id="8"/>
      </w:r>
      <w:r w:rsidR="005C1A6E">
        <w:rPr>
          <w:rFonts w:ascii="Garamond" w:hAnsi="Garamond"/>
        </w:rPr>
        <w:t xml:space="preserve"> </w:t>
      </w:r>
      <w:r w:rsidR="00FD4EB6">
        <w:rPr>
          <w:rFonts w:ascii="Garamond" w:hAnsi="Garamond"/>
        </w:rPr>
        <w:t xml:space="preserve">So forceful is the need to retain </w:t>
      </w:r>
      <w:r w:rsidR="00120B62">
        <w:rPr>
          <w:rFonts w:ascii="Garamond" w:hAnsi="Garamond"/>
        </w:rPr>
        <w:t xml:space="preserve">territorial control and block the </w:t>
      </w:r>
      <w:r w:rsidR="0058177B">
        <w:rPr>
          <w:rFonts w:ascii="Garamond" w:hAnsi="Garamond"/>
        </w:rPr>
        <w:t>transference of sovereignt</w:t>
      </w:r>
      <w:r w:rsidR="003D2740">
        <w:rPr>
          <w:rFonts w:ascii="Garamond" w:hAnsi="Garamond"/>
        </w:rPr>
        <w:t>y, particularly in the context of the 2026 US-Israel-Iran conflict,</w:t>
      </w:r>
      <w:r w:rsidR="000B2522">
        <w:rPr>
          <w:rFonts w:ascii="Garamond" w:hAnsi="Garamond"/>
        </w:rPr>
        <w:t xml:space="preserve"> the US </w:t>
      </w:r>
      <w:r w:rsidR="00F23CA8">
        <w:rPr>
          <w:rFonts w:ascii="Garamond" w:hAnsi="Garamond"/>
        </w:rPr>
        <w:t>have reportedly considered bypassing the UK and ‘buying’ the archipelago.</w:t>
      </w:r>
      <w:r w:rsidR="00130C9D">
        <w:rPr>
          <w:rStyle w:val="FootnoteReference"/>
          <w:rFonts w:ascii="Garamond" w:hAnsi="Garamond"/>
        </w:rPr>
        <w:footnoteReference w:id="9"/>
      </w:r>
      <w:r w:rsidR="00F23CA8">
        <w:rPr>
          <w:rFonts w:ascii="Garamond" w:hAnsi="Garamond"/>
        </w:rPr>
        <w:t xml:space="preserve"> </w:t>
      </w:r>
      <w:r w:rsidR="002E1DA7">
        <w:rPr>
          <w:rFonts w:ascii="Garamond" w:hAnsi="Garamond"/>
        </w:rPr>
        <w:t xml:space="preserve">The Maldives, too, challenged the </w:t>
      </w:r>
      <w:r w:rsidR="002E1DA7">
        <w:rPr>
          <w:rFonts w:ascii="Garamond" w:hAnsi="Garamond"/>
        </w:rPr>
        <w:lastRenderedPageBreak/>
        <w:t xml:space="preserve">2025 deal and stated its </w:t>
      </w:r>
      <w:r w:rsidR="008544AE">
        <w:rPr>
          <w:rFonts w:ascii="Garamond" w:hAnsi="Garamond"/>
        </w:rPr>
        <w:t>‘</w:t>
      </w:r>
      <w:r w:rsidR="002E1DA7">
        <w:rPr>
          <w:rFonts w:ascii="Garamond" w:hAnsi="Garamond"/>
        </w:rPr>
        <w:t>prior claim’ to sovereignty over the islands.</w:t>
      </w:r>
      <w:r w:rsidR="001A3F96">
        <w:rPr>
          <w:rStyle w:val="FootnoteReference"/>
          <w:rFonts w:ascii="Garamond" w:hAnsi="Garamond"/>
        </w:rPr>
        <w:footnoteReference w:id="10"/>
      </w:r>
      <w:r w:rsidR="001A3F96">
        <w:rPr>
          <w:rFonts w:ascii="Garamond" w:hAnsi="Garamond"/>
        </w:rPr>
        <w:t xml:space="preserve"> </w:t>
      </w:r>
      <w:r w:rsidR="003D2740">
        <w:rPr>
          <w:rFonts w:ascii="Garamond" w:hAnsi="Garamond"/>
        </w:rPr>
        <w:t xml:space="preserve">Amongst </w:t>
      </w:r>
      <w:r w:rsidR="00FC6D61">
        <w:rPr>
          <w:rFonts w:ascii="Garamond" w:hAnsi="Garamond"/>
        </w:rPr>
        <w:t>such</w:t>
      </w:r>
      <w:r w:rsidR="003D2740">
        <w:rPr>
          <w:rFonts w:ascii="Garamond" w:hAnsi="Garamond"/>
        </w:rPr>
        <w:t xml:space="preserve"> geopolitical </w:t>
      </w:r>
      <w:r w:rsidR="009128F1">
        <w:rPr>
          <w:rFonts w:ascii="Garamond" w:hAnsi="Garamond"/>
        </w:rPr>
        <w:t>wrangling, the</w:t>
      </w:r>
      <w:r>
        <w:rPr>
          <w:rFonts w:ascii="Garamond" w:hAnsi="Garamond"/>
        </w:rPr>
        <w:t xml:space="preserve"> future of the military base appears </w:t>
      </w:r>
      <w:r w:rsidR="002E1DA7">
        <w:rPr>
          <w:rFonts w:ascii="Garamond" w:hAnsi="Garamond"/>
        </w:rPr>
        <w:t xml:space="preserve">relatively </w:t>
      </w:r>
      <w:r>
        <w:rPr>
          <w:rFonts w:ascii="Garamond" w:hAnsi="Garamond"/>
        </w:rPr>
        <w:t>secure</w:t>
      </w:r>
      <w:r w:rsidR="003D2740">
        <w:rPr>
          <w:rFonts w:ascii="Garamond" w:hAnsi="Garamond"/>
        </w:rPr>
        <w:t xml:space="preserve">, </w:t>
      </w:r>
      <w:r w:rsidR="002721A7">
        <w:rPr>
          <w:rFonts w:ascii="Garamond" w:hAnsi="Garamond"/>
        </w:rPr>
        <w:t xml:space="preserve">in stark contrast to the futures of the </w:t>
      </w:r>
      <w:proofErr w:type="spellStart"/>
      <w:r w:rsidR="002721A7">
        <w:rPr>
          <w:rFonts w:ascii="Garamond" w:hAnsi="Garamond"/>
        </w:rPr>
        <w:t>Chagossians</w:t>
      </w:r>
      <w:proofErr w:type="spellEnd"/>
      <w:r w:rsidR="002721A7">
        <w:rPr>
          <w:rFonts w:ascii="Garamond" w:hAnsi="Garamond"/>
        </w:rPr>
        <w:t xml:space="preserve">. </w:t>
      </w:r>
    </w:p>
    <w:p w14:paraId="0E916281" w14:textId="4E0A520F" w:rsidR="00EC700A" w:rsidRPr="009E1077" w:rsidRDefault="00EC700A" w:rsidP="00740662">
      <w:pPr>
        <w:jc w:val="both"/>
        <w:rPr>
          <w:rFonts w:ascii="Garamond" w:hAnsi="Garamond" w:cs="Apple Chancery"/>
        </w:rPr>
      </w:pPr>
      <w:r w:rsidRPr="009E1077">
        <w:rPr>
          <w:rFonts w:ascii="Garamond" w:hAnsi="Garamond" w:cs="Apple Chancery"/>
        </w:rPr>
        <w:t>In this paper I interrogate the role consent plays across the various legal arguments</w:t>
      </w:r>
      <w:r>
        <w:rPr>
          <w:rFonts w:ascii="Garamond" w:hAnsi="Garamond" w:cs="Apple Chancery"/>
        </w:rPr>
        <w:t xml:space="preserve"> in </w:t>
      </w:r>
      <w:r w:rsidRPr="009E1077">
        <w:rPr>
          <w:rFonts w:ascii="Garamond" w:hAnsi="Garamond" w:cs="Apple Chancery"/>
        </w:rPr>
        <w:t xml:space="preserve">international case law </w:t>
      </w:r>
      <w:r>
        <w:rPr>
          <w:rFonts w:ascii="Garamond" w:hAnsi="Garamond" w:cs="Apple Chancery"/>
        </w:rPr>
        <w:t>pertaining to</w:t>
      </w:r>
      <w:r w:rsidRPr="009E1077">
        <w:rPr>
          <w:rFonts w:ascii="Garamond" w:hAnsi="Garamond" w:cs="Apple Chancery"/>
        </w:rPr>
        <w:t xml:space="preserve"> the Chagos Archipelago. State consent is often considered unable to account for the complexity of </w:t>
      </w:r>
      <w:r>
        <w:rPr>
          <w:rFonts w:ascii="Garamond" w:hAnsi="Garamond" w:cs="Apple Chancery"/>
        </w:rPr>
        <w:t>international law,</w:t>
      </w:r>
      <w:r w:rsidRPr="009E1077">
        <w:rPr>
          <w:rStyle w:val="FootnoteReference"/>
          <w:rFonts w:ascii="Garamond" w:hAnsi="Garamond" w:cs="Apple Chancery"/>
        </w:rPr>
        <w:footnoteReference w:id="11"/>
      </w:r>
      <w:r w:rsidRPr="009E1077">
        <w:rPr>
          <w:rFonts w:ascii="Garamond" w:hAnsi="Garamond" w:cs="Apple Chancery"/>
        </w:rPr>
        <w:t xml:space="preserve"> </w:t>
      </w:r>
      <w:r>
        <w:rPr>
          <w:rFonts w:ascii="Garamond" w:hAnsi="Garamond" w:cs="Apple Chancery"/>
        </w:rPr>
        <w:t>yet consent is</w:t>
      </w:r>
      <w:r w:rsidRPr="009E1077">
        <w:rPr>
          <w:rFonts w:ascii="Garamond" w:hAnsi="Garamond" w:cs="Apple Chancery"/>
        </w:rPr>
        <w:t xml:space="preserve"> routinely appealed to in</w:t>
      </w:r>
      <w:r>
        <w:rPr>
          <w:rFonts w:ascii="Garamond" w:hAnsi="Garamond" w:cs="Apple Chancery"/>
        </w:rPr>
        <w:t xml:space="preserve"> </w:t>
      </w:r>
      <w:r w:rsidRPr="009E1077">
        <w:rPr>
          <w:rFonts w:ascii="Garamond" w:hAnsi="Garamond" w:cs="Apple Chancery"/>
        </w:rPr>
        <w:t>attempt</w:t>
      </w:r>
      <w:r>
        <w:rPr>
          <w:rFonts w:ascii="Garamond" w:hAnsi="Garamond" w:cs="Apple Chancery"/>
        </w:rPr>
        <w:t>s</w:t>
      </w:r>
      <w:r w:rsidRPr="009E1077">
        <w:rPr>
          <w:rFonts w:ascii="Garamond" w:hAnsi="Garamond" w:cs="Apple Chancery"/>
        </w:rPr>
        <w:t xml:space="preserve"> to exercise control over</w:t>
      </w:r>
      <w:r>
        <w:rPr>
          <w:rFonts w:ascii="Garamond" w:hAnsi="Garamond" w:cs="Apple Chancery"/>
        </w:rPr>
        <w:t xml:space="preserve"> the</w:t>
      </w:r>
      <w:r w:rsidRPr="009E1077">
        <w:rPr>
          <w:rFonts w:ascii="Garamond" w:hAnsi="Garamond" w:cs="Apple Chancery"/>
        </w:rPr>
        <w:t xml:space="preserve"> territory</w:t>
      </w:r>
      <w:r>
        <w:rPr>
          <w:rFonts w:ascii="Garamond" w:hAnsi="Garamond" w:cs="Apple Chancery"/>
        </w:rPr>
        <w:t xml:space="preserve">. For example, </w:t>
      </w:r>
      <w:r w:rsidR="00817B41">
        <w:rPr>
          <w:rFonts w:ascii="Garamond" w:hAnsi="Garamond" w:cs="Apple Chancery"/>
        </w:rPr>
        <w:t xml:space="preserve">consent is </w:t>
      </w:r>
      <w:r w:rsidR="00294335">
        <w:rPr>
          <w:rFonts w:ascii="Garamond" w:hAnsi="Garamond" w:cs="Apple Chancery"/>
        </w:rPr>
        <w:t>appealed</w:t>
      </w:r>
      <w:r w:rsidR="00817B41">
        <w:rPr>
          <w:rFonts w:ascii="Garamond" w:hAnsi="Garamond" w:cs="Apple Chancery"/>
        </w:rPr>
        <w:t xml:space="preserve"> to </w:t>
      </w:r>
      <w:r>
        <w:rPr>
          <w:rFonts w:ascii="Garamond" w:hAnsi="Garamond" w:cs="Apple Chancery"/>
        </w:rPr>
        <w:t>by the US to bar the legal oversight of the UK into the detention of refugees on the military base;</w:t>
      </w:r>
      <w:r w:rsidRPr="009E1077">
        <w:rPr>
          <w:rStyle w:val="FootnoteReference"/>
          <w:rFonts w:ascii="Garamond" w:hAnsi="Garamond" w:cs="Apple Chancery"/>
        </w:rPr>
        <w:footnoteReference w:id="12"/>
      </w:r>
      <w:r w:rsidRPr="009E1077">
        <w:rPr>
          <w:rFonts w:ascii="Garamond" w:hAnsi="Garamond" w:cs="Apple Chancery"/>
        </w:rPr>
        <w:t xml:space="preserve"> the UK </w:t>
      </w:r>
      <w:r w:rsidR="00294335">
        <w:rPr>
          <w:rFonts w:ascii="Garamond" w:hAnsi="Garamond" w:cs="Apple Chancery"/>
        </w:rPr>
        <w:t xml:space="preserve">has </w:t>
      </w:r>
      <w:r w:rsidRPr="009E1077">
        <w:rPr>
          <w:rFonts w:ascii="Garamond" w:hAnsi="Garamond" w:cs="Apple Chancery"/>
        </w:rPr>
        <w:t>withh</w:t>
      </w:r>
      <w:r w:rsidR="00294335">
        <w:rPr>
          <w:rFonts w:ascii="Garamond" w:hAnsi="Garamond" w:cs="Apple Chancery"/>
        </w:rPr>
        <w:t>eld</w:t>
      </w:r>
      <w:r w:rsidRPr="009E1077">
        <w:rPr>
          <w:rFonts w:ascii="Garamond" w:hAnsi="Garamond" w:cs="Apple Chancery"/>
        </w:rPr>
        <w:t xml:space="preserve"> consent for international courts to </w:t>
      </w:r>
      <w:r>
        <w:rPr>
          <w:rFonts w:ascii="Garamond" w:hAnsi="Garamond" w:cs="Apple Chancery"/>
        </w:rPr>
        <w:t>arbitrate the ‘territory</w:t>
      </w:r>
      <w:r w:rsidRPr="009E1077">
        <w:rPr>
          <w:rFonts w:ascii="Garamond" w:hAnsi="Garamond" w:cs="Apple Chancery"/>
        </w:rPr>
        <w:t xml:space="preserve"> dispute’;</w:t>
      </w:r>
      <w:r w:rsidRPr="009E1077">
        <w:rPr>
          <w:rStyle w:val="FootnoteReference"/>
          <w:rFonts w:ascii="Garamond" w:hAnsi="Garamond" w:cs="Apple Chancery"/>
        </w:rPr>
        <w:footnoteReference w:id="13"/>
      </w:r>
      <w:r w:rsidR="005324D4">
        <w:rPr>
          <w:rFonts w:ascii="Garamond" w:hAnsi="Garamond" w:cs="Apple Chancery"/>
        </w:rPr>
        <w:t xml:space="preserve"> and</w:t>
      </w:r>
      <w:r w:rsidRPr="009E1077">
        <w:rPr>
          <w:rFonts w:ascii="Garamond" w:hAnsi="Garamond" w:cs="Apple Chancery"/>
        </w:rPr>
        <w:t xml:space="preserve"> Mauritius </w:t>
      </w:r>
      <w:r w:rsidR="005324D4">
        <w:rPr>
          <w:rFonts w:ascii="Garamond" w:hAnsi="Garamond" w:cs="Apple Chancery"/>
        </w:rPr>
        <w:t xml:space="preserve">has consistently argued </w:t>
      </w:r>
      <w:r>
        <w:rPr>
          <w:rFonts w:ascii="Garamond" w:hAnsi="Garamond" w:cs="Apple Chancery"/>
        </w:rPr>
        <w:t>that its</w:t>
      </w:r>
      <w:r w:rsidRPr="009E1077">
        <w:rPr>
          <w:rFonts w:ascii="Garamond" w:hAnsi="Garamond" w:cs="Apple Chancery"/>
        </w:rPr>
        <w:t xml:space="preserve"> initial consent to the separation </w:t>
      </w:r>
      <w:r>
        <w:rPr>
          <w:rFonts w:ascii="Garamond" w:hAnsi="Garamond" w:cs="Apple Chancery"/>
        </w:rPr>
        <w:t xml:space="preserve">was </w:t>
      </w:r>
      <w:r w:rsidRPr="009E1077">
        <w:rPr>
          <w:rFonts w:ascii="Garamond" w:hAnsi="Garamond" w:cs="Apple Chancery"/>
        </w:rPr>
        <w:t>vitiated.</w:t>
      </w:r>
      <w:r w:rsidRPr="009E1077">
        <w:rPr>
          <w:rStyle w:val="FootnoteReference"/>
          <w:rFonts w:ascii="Garamond" w:hAnsi="Garamond" w:cs="Apple Chancery"/>
        </w:rPr>
        <w:footnoteReference w:id="14"/>
      </w:r>
      <w:r w:rsidRPr="009E1077">
        <w:rPr>
          <w:rFonts w:ascii="Garamond" w:hAnsi="Garamond" w:cs="Apple Chancery"/>
        </w:rPr>
        <w:t xml:space="preserve"> Consent has also been harnessed by the </w:t>
      </w:r>
      <w:proofErr w:type="spellStart"/>
      <w:r w:rsidRPr="009E1077">
        <w:rPr>
          <w:rFonts w:ascii="Garamond" w:hAnsi="Garamond" w:cs="Apple Chancery"/>
        </w:rPr>
        <w:t>Chagossians</w:t>
      </w:r>
      <w:proofErr w:type="spellEnd"/>
      <w:r w:rsidRPr="009E1077">
        <w:rPr>
          <w:rFonts w:ascii="Garamond" w:hAnsi="Garamond" w:cs="Apple Chancery"/>
        </w:rPr>
        <w:t xml:space="preserve"> in expressing the forcible nature of their dispossession and continued exile.</w:t>
      </w:r>
      <w:r w:rsidRPr="009E1077">
        <w:rPr>
          <w:rStyle w:val="FootnoteReference"/>
          <w:rFonts w:ascii="Garamond" w:hAnsi="Garamond" w:cs="Apple Chancery"/>
        </w:rPr>
        <w:footnoteReference w:id="15"/>
      </w:r>
      <w:r w:rsidRPr="009E1077">
        <w:rPr>
          <w:rFonts w:ascii="Garamond" w:hAnsi="Garamond" w:cs="Apple Chancery"/>
        </w:rPr>
        <w:t xml:space="preserve"> I argue that </w:t>
      </w:r>
      <w:r>
        <w:rPr>
          <w:rFonts w:ascii="Garamond" w:hAnsi="Garamond" w:cs="Apple Chancery"/>
        </w:rPr>
        <w:t xml:space="preserve">the concept of </w:t>
      </w:r>
      <w:r w:rsidRPr="009E1077">
        <w:rPr>
          <w:rFonts w:ascii="Garamond" w:hAnsi="Garamond" w:cs="Apple Chancery"/>
        </w:rPr>
        <w:t xml:space="preserve">consent </w:t>
      </w:r>
      <w:r>
        <w:rPr>
          <w:rFonts w:ascii="Garamond" w:hAnsi="Garamond" w:cs="Apple Chancery"/>
        </w:rPr>
        <w:t xml:space="preserve">offers </w:t>
      </w:r>
      <w:r w:rsidRPr="009E1077">
        <w:rPr>
          <w:rFonts w:ascii="Garamond" w:hAnsi="Garamond" w:cs="Apple Chancery"/>
        </w:rPr>
        <w:t xml:space="preserve">a ready fall back in legal augmentation which reawakens the </w:t>
      </w:r>
      <w:r>
        <w:rPr>
          <w:rFonts w:ascii="Garamond" w:hAnsi="Garamond" w:cs="Apple Chancery"/>
        </w:rPr>
        <w:t>atomised,</w:t>
      </w:r>
      <w:r w:rsidRPr="009E1077">
        <w:rPr>
          <w:rFonts w:ascii="Garamond" w:hAnsi="Garamond" w:cs="Apple Chancery"/>
        </w:rPr>
        <w:t xml:space="preserve"> unitary consenting state </w:t>
      </w:r>
      <w:r>
        <w:rPr>
          <w:rFonts w:ascii="Garamond" w:hAnsi="Garamond" w:cs="Apple Chancery"/>
        </w:rPr>
        <w:t xml:space="preserve">which engages </w:t>
      </w:r>
      <w:r w:rsidRPr="009E1077">
        <w:rPr>
          <w:rFonts w:ascii="Garamond" w:hAnsi="Garamond" w:cs="Apple Chancery"/>
        </w:rPr>
        <w:t xml:space="preserve">in bilateral, contractual engagements with other personified states. Such imaginings reinforce the same argument structures which facilitated the alienation of territory and its dispossession from an indigenous population in the first place. In short, consent was used </w:t>
      </w:r>
      <w:r>
        <w:rPr>
          <w:rFonts w:ascii="Garamond" w:hAnsi="Garamond" w:cs="Apple Chancery"/>
        </w:rPr>
        <w:t>to displace an indigenous population</w:t>
      </w:r>
      <w:r w:rsidRPr="009E1077">
        <w:rPr>
          <w:rFonts w:ascii="Garamond" w:hAnsi="Garamond" w:cs="Apple Chancery"/>
        </w:rPr>
        <w:t xml:space="preserve"> and create a new colonial territor</w:t>
      </w:r>
      <w:r>
        <w:rPr>
          <w:rFonts w:ascii="Garamond" w:hAnsi="Garamond" w:cs="Apple Chancery"/>
        </w:rPr>
        <w:t xml:space="preserve">y, </w:t>
      </w:r>
      <w:r w:rsidRPr="009E1077">
        <w:rPr>
          <w:rFonts w:ascii="Garamond" w:hAnsi="Garamond" w:cs="Apple Chancery"/>
        </w:rPr>
        <w:t xml:space="preserve">yet </w:t>
      </w:r>
      <w:r>
        <w:rPr>
          <w:rFonts w:ascii="Garamond" w:hAnsi="Garamond" w:cs="Apple Chancery"/>
        </w:rPr>
        <w:t>routinely it</w:t>
      </w:r>
      <w:r w:rsidRPr="009E1077">
        <w:rPr>
          <w:rFonts w:ascii="Garamond" w:hAnsi="Garamond" w:cs="Apple Chancery"/>
        </w:rPr>
        <w:t xml:space="preserve"> is deployed as </w:t>
      </w:r>
      <w:r>
        <w:rPr>
          <w:rFonts w:ascii="Garamond" w:hAnsi="Garamond" w:cs="Apple Chancery"/>
        </w:rPr>
        <w:t>offering a solution</w:t>
      </w:r>
      <w:r w:rsidRPr="009E1077">
        <w:rPr>
          <w:rFonts w:ascii="Garamond" w:hAnsi="Garamond" w:cs="Apple Chancery"/>
        </w:rPr>
        <w:t>.</w:t>
      </w:r>
      <w:r>
        <w:rPr>
          <w:rFonts w:ascii="Garamond" w:hAnsi="Garamond" w:cs="Apple Chancery"/>
        </w:rPr>
        <w:t xml:space="preserve"> </w:t>
      </w:r>
      <w:r w:rsidRPr="009E1077">
        <w:rPr>
          <w:rFonts w:ascii="Garamond" w:hAnsi="Garamond" w:cs="Apple Chancery"/>
        </w:rPr>
        <w:t xml:space="preserve">It is not then surprising when Chagos continues to be </w:t>
      </w:r>
      <w:r>
        <w:rPr>
          <w:rFonts w:ascii="Garamond" w:hAnsi="Garamond" w:cs="Apple Chancery"/>
        </w:rPr>
        <w:t>alienated u</w:t>
      </w:r>
      <w:r w:rsidRPr="009E1077">
        <w:rPr>
          <w:rFonts w:ascii="Garamond" w:hAnsi="Garamond" w:cs="Apple Chancery"/>
        </w:rPr>
        <w:t xml:space="preserve">nder the guise of proprietary inter-state </w:t>
      </w:r>
      <w:r>
        <w:rPr>
          <w:rFonts w:ascii="Garamond" w:hAnsi="Garamond" w:cs="Apple Chancery"/>
        </w:rPr>
        <w:t xml:space="preserve">bargaining, while the </w:t>
      </w:r>
      <w:proofErr w:type="spellStart"/>
      <w:r>
        <w:rPr>
          <w:rFonts w:ascii="Garamond" w:hAnsi="Garamond" w:cs="Apple Chancery"/>
        </w:rPr>
        <w:t>Chagossians</w:t>
      </w:r>
      <w:proofErr w:type="spellEnd"/>
      <w:r>
        <w:rPr>
          <w:rFonts w:ascii="Garamond" w:hAnsi="Garamond" w:cs="Apple Chancery"/>
        </w:rPr>
        <w:t xml:space="preserve"> remain dispossessed. As I will show, consent </w:t>
      </w:r>
      <w:r w:rsidRPr="00A369F8">
        <w:rPr>
          <w:rFonts w:ascii="Garamond" w:hAnsi="Garamond" w:cs="Apple Chancery"/>
          <w:i/>
          <w:iCs/>
        </w:rPr>
        <w:t>per se</w:t>
      </w:r>
      <w:r>
        <w:rPr>
          <w:rFonts w:ascii="Garamond" w:hAnsi="Garamond" w:cs="Apple Chancery"/>
        </w:rPr>
        <w:t xml:space="preserve"> cannot remedy colonial injury when it is annexed to the nation state, even if that state is a postcolonial state.</w:t>
      </w:r>
      <w:r w:rsidRPr="009E1077">
        <w:rPr>
          <w:rFonts w:ascii="Garamond" w:hAnsi="Garamond" w:cs="Apple Chancery"/>
        </w:rPr>
        <w:t xml:space="preserve"> </w:t>
      </w:r>
    </w:p>
    <w:p w14:paraId="7A7C9EE4" w14:textId="03B21C94" w:rsidR="00EC700A" w:rsidRDefault="00EC700A" w:rsidP="00740662">
      <w:pPr>
        <w:jc w:val="both"/>
        <w:rPr>
          <w:rFonts w:ascii="Garamond" w:hAnsi="Garamond" w:cs="Apple Chancery"/>
        </w:rPr>
      </w:pPr>
      <w:r w:rsidRPr="009E1077">
        <w:rPr>
          <w:rFonts w:ascii="Garamond" w:hAnsi="Garamond" w:cs="Apple Chancery"/>
        </w:rPr>
        <w:t>In building this argument</w:t>
      </w:r>
      <w:r>
        <w:rPr>
          <w:rFonts w:ascii="Garamond" w:hAnsi="Garamond" w:cs="Apple Chancery"/>
        </w:rPr>
        <w:t>,</w:t>
      </w:r>
      <w:r w:rsidRPr="009E1077">
        <w:rPr>
          <w:rFonts w:ascii="Garamond" w:hAnsi="Garamond" w:cs="Apple Chancery"/>
        </w:rPr>
        <w:t xml:space="preserve"> I </w:t>
      </w:r>
      <w:r w:rsidR="00BB3A50">
        <w:rPr>
          <w:rFonts w:ascii="Garamond" w:hAnsi="Garamond" w:cs="Apple Chancery"/>
        </w:rPr>
        <w:t xml:space="preserve">uniquely </w:t>
      </w:r>
      <w:r w:rsidRPr="009E1077">
        <w:rPr>
          <w:rFonts w:ascii="Garamond" w:hAnsi="Garamond" w:cs="Apple Chancery"/>
        </w:rPr>
        <w:t xml:space="preserve">turn to </w:t>
      </w:r>
      <w:r>
        <w:rPr>
          <w:rFonts w:ascii="Garamond" w:hAnsi="Garamond" w:cs="Apple Chancery"/>
        </w:rPr>
        <w:t>those feminisms</w:t>
      </w:r>
      <w:r w:rsidRPr="009E1077">
        <w:rPr>
          <w:rFonts w:ascii="Garamond" w:hAnsi="Garamond" w:cs="Apple Chancery"/>
        </w:rPr>
        <w:t xml:space="preserve"> which have </w:t>
      </w:r>
      <w:r>
        <w:rPr>
          <w:rFonts w:ascii="Garamond" w:hAnsi="Garamond" w:cs="Apple Chancery"/>
        </w:rPr>
        <w:t xml:space="preserve">a history of theorising the </w:t>
      </w:r>
      <w:r w:rsidRPr="009E1077">
        <w:rPr>
          <w:rFonts w:ascii="Garamond" w:hAnsi="Garamond" w:cs="Apple Chancery"/>
        </w:rPr>
        <w:t>power and limit</w:t>
      </w:r>
      <w:r>
        <w:rPr>
          <w:rFonts w:ascii="Garamond" w:hAnsi="Garamond" w:cs="Apple Chancery"/>
        </w:rPr>
        <w:t xml:space="preserve">s </w:t>
      </w:r>
      <w:r w:rsidRPr="009E1077">
        <w:rPr>
          <w:rFonts w:ascii="Garamond" w:hAnsi="Garamond" w:cs="Apple Chancery"/>
        </w:rPr>
        <w:t xml:space="preserve">of consent within inter-personal, often sexual, contexts. </w:t>
      </w:r>
      <w:r>
        <w:rPr>
          <w:rFonts w:ascii="Garamond" w:hAnsi="Garamond" w:cs="Apple Chancery"/>
        </w:rPr>
        <w:t>C</w:t>
      </w:r>
      <w:r w:rsidRPr="009E1077">
        <w:rPr>
          <w:rFonts w:ascii="Garamond" w:hAnsi="Garamond" w:cs="Apple Chancery"/>
        </w:rPr>
        <w:t xml:space="preserve">onsent </w:t>
      </w:r>
      <w:r>
        <w:rPr>
          <w:rFonts w:ascii="Garamond" w:hAnsi="Garamond" w:cs="Apple Chancery"/>
        </w:rPr>
        <w:t xml:space="preserve">often </w:t>
      </w:r>
      <w:r w:rsidRPr="009E1077">
        <w:rPr>
          <w:rFonts w:ascii="Garamond" w:hAnsi="Garamond" w:cs="Apple Chancery"/>
        </w:rPr>
        <w:t xml:space="preserve">features as a double-edged sword in feminist activism and scholarship: on the one hand it promises personhood and bodily autonomy, yet on the other hand it decontextualises and </w:t>
      </w:r>
      <w:r>
        <w:rPr>
          <w:rFonts w:ascii="Garamond" w:hAnsi="Garamond" w:cs="Apple Chancery"/>
        </w:rPr>
        <w:t>atomises</w:t>
      </w:r>
      <w:r w:rsidRPr="009E1077">
        <w:rPr>
          <w:rFonts w:ascii="Garamond" w:hAnsi="Garamond" w:cs="Apple Chancery"/>
        </w:rPr>
        <w:t xml:space="preserve"> </w:t>
      </w:r>
      <w:r>
        <w:rPr>
          <w:rFonts w:ascii="Garamond" w:hAnsi="Garamond" w:cs="Apple Chancery"/>
        </w:rPr>
        <w:t xml:space="preserve">consent from the relations and systems of power </w:t>
      </w:r>
      <w:r w:rsidRPr="009E1077">
        <w:rPr>
          <w:rFonts w:ascii="Garamond" w:hAnsi="Garamond" w:cs="Apple Chancery"/>
        </w:rPr>
        <w:t xml:space="preserve">within which </w:t>
      </w:r>
      <w:r>
        <w:rPr>
          <w:rFonts w:ascii="Garamond" w:hAnsi="Garamond" w:cs="Apple Chancery"/>
        </w:rPr>
        <w:t>it</w:t>
      </w:r>
      <w:r w:rsidRPr="009E1077">
        <w:rPr>
          <w:rFonts w:ascii="Garamond" w:hAnsi="Garamond" w:cs="Apple Chancery"/>
        </w:rPr>
        <w:t xml:space="preserve"> plays out.</w:t>
      </w:r>
      <w:r w:rsidRPr="009E1077">
        <w:rPr>
          <w:rStyle w:val="FootnoteReference"/>
          <w:rFonts w:ascii="Garamond" w:hAnsi="Garamond" w:cs="Apple Chancery"/>
        </w:rPr>
        <w:footnoteReference w:id="16"/>
      </w:r>
      <w:r w:rsidRPr="009E1077">
        <w:rPr>
          <w:rFonts w:ascii="Garamond" w:hAnsi="Garamond" w:cs="Apple Chancery"/>
        </w:rPr>
        <w:t xml:space="preserve"> </w:t>
      </w:r>
      <w:r>
        <w:rPr>
          <w:rFonts w:ascii="Garamond" w:hAnsi="Garamond" w:cs="Apple Chancery"/>
        </w:rPr>
        <w:t xml:space="preserve">Bringing this perspective to the international </w:t>
      </w:r>
      <w:r w:rsidR="00CD4939">
        <w:rPr>
          <w:rFonts w:ascii="Garamond" w:hAnsi="Garamond" w:cs="Apple Chancery"/>
        </w:rPr>
        <w:t xml:space="preserve">(legal) </w:t>
      </w:r>
      <w:r>
        <w:rPr>
          <w:rFonts w:ascii="Garamond" w:hAnsi="Garamond" w:cs="Apple Chancery"/>
        </w:rPr>
        <w:t xml:space="preserve">plane stresses the relational situation of legal subjects (states) exercising autonomy. </w:t>
      </w:r>
      <w:r w:rsidRPr="009E1077">
        <w:rPr>
          <w:rFonts w:ascii="Garamond" w:hAnsi="Garamond" w:cs="Apple Chancery"/>
        </w:rPr>
        <w:t xml:space="preserve">This is </w:t>
      </w:r>
      <w:r>
        <w:rPr>
          <w:rFonts w:ascii="Garamond" w:hAnsi="Garamond" w:cs="Apple Chancery"/>
        </w:rPr>
        <w:t xml:space="preserve">particularly </w:t>
      </w:r>
      <w:r w:rsidRPr="009E1077">
        <w:rPr>
          <w:rFonts w:ascii="Garamond" w:hAnsi="Garamond" w:cs="Apple Chancery"/>
        </w:rPr>
        <w:t xml:space="preserve">animated by the </w:t>
      </w:r>
      <w:r>
        <w:rPr>
          <w:rFonts w:ascii="Garamond" w:hAnsi="Garamond" w:cs="Apple Chancery"/>
        </w:rPr>
        <w:t xml:space="preserve">status of the </w:t>
      </w:r>
      <w:r w:rsidRPr="009E1077">
        <w:rPr>
          <w:rFonts w:ascii="Garamond" w:hAnsi="Garamond" w:cs="Apple Chancery"/>
        </w:rPr>
        <w:t>postcolonial state</w:t>
      </w:r>
      <w:r>
        <w:rPr>
          <w:rFonts w:ascii="Garamond" w:hAnsi="Garamond" w:cs="Apple Chancery"/>
        </w:rPr>
        <w:t xml:space="preserve"> as it works toward a Westphalian ideal of independent, autonomous statehood. Moreover, p</w:t>
      </w:r>
      <w:r w:rsidRPr="009E1077">
        <w:rPr>
          <w:rFonts w:ascii="Garamond" w:hAnsi="Garamond" w:cs="Apple Chancery"/>
        </w:rPr>
        <w:t xml:space="preserve">ostcolonial and </w:t>
      </w:r>
      <w:r w:rsidR="00D85B69">
        <w:rPr>
          <w:rFonts w:ascii="Garamond" w:hAnsi="Garamond" w:cs="Apple Chancery"/>
        </w:rPr>
        <w:t>Third World Approaches to International Law (</w:t>
      </w:r>
      <w:r w:rsidRPr="009E1077">
        <w:rPr>
          <w:rFonts w:ascii="Garamond" w:hAnsi="Garamond" w:cs="Apple Chancery"/>
        </w:rPr>
        <w:t>TWAIL</w:t>
      </w:r>
      <w:r w:rsidR="00D85B69">
        <w:rPr>
          <w:rFonts w:ascii="Garamond" w:hAnsi="Garamond" w:cs="Apple Chancery"/>
        </w:rPr>
        <w:t>)</w:t>
      </w:r>
      <w:r w:rsidRPr="009E1077">
        <w:rPr>
          <w:rFonts w:ascii="Garamond" w:hAnsi="Garamond" w:cs="Apple Chancery"/>
        </w:rPr>
        <w:t xml:space="preserve"> perspectives will facilitate the re-</w:t>
      </w:r>
      <w:r w:rsidRPr="009E1077">
        <w:rPr>
          <w:rFonts w:ascii="Garamond" w:hAnsi="Garamond" w:cs="Apple Chancery"/>
        </w:rPr>
        <w:lastRenderedPageBreak/>
        <w:t xml:space="preserve">contextualisation of consent, as will the testimonies of members of the Chagossian people. </w:t>
      </w:r>
      <w:r>
        <w:rPr>
          <w:rFonts w:ascii="Garamond" w:hAnsi="Garamond" w:cs="Apple Chancery"/>
        </w:rPr>
        <w:t xml:space="preserve">In harnessing these </w:t>
      </w:r>
      <w:r w:rsidRPr="009E1077">
        <w:rPr>
          <w:rFonts w:ascii="Garamond" w:hAnsi="Garamond" w:cs="Apple Chancery"/>
        </w:rPr>
        <w:t>intersecting methodological frameworks</w:t>
      </w:r>
      <w:r w:rsidR="00022A87">
        <w:rPr>
          <w:rStyle w:val="FootnoteReference"/>
          <w:rFonts w:ascii="Garamond" w:hAnsi="Garamond" w:cs="Apple Chancery"/>
        </w:rPr>
        <w:footnoteReference w:id="17"/>
      </w:r>
      <w:r w:rsidRPr="009E1077">
        <w:rPr>
          <w:rFonts w:ascii="Garamond" w:hAnsi="Garamond" w:cs="Apple Chancery"/>
        </w:rPr>
        <w:t xml:space="preserve"> </w:t>
      </w:r>
      <w:r>
        <w:rPr>
          <w:rFonts w:ascii="Garamond" w:hAnsi="Garamond" w:cs="Apple Chancery"/>
        </w:rPr>
        <w:t xml:space="preserve">I problematise assumptions on inter-state, ‘consensual’ relations which, I show, are grounded in and sustain colonialism. This allows me to construct a multidimensional analytic approach </w:t>
      </w:r>
      <w:r w:rsidR="000D5574">
        <w:rPr>
          <w:rFonts w:ascii="Garamond" w:hAnsi="Garamond" w:cs="Apple Chancery"/>
        </w:rPr>
        <w:t xml:space="preserve">of the sort </w:t>
      </w:r>
      <w:r>
        <w:rPr>
          <w:rFonts w:ascii="Garamond" w:hAnsi="Garamond" w:cs="Apple Chancery"/>
        </w:rPr>
        <w:t xml:space="preserve">required of </w:t>
      </w:r>
      <w:r w:rsidR="001A7082">
        <w:rPr>
          <w:rFonts w:ascii="Garamond" w:hAnsi="Garamond" w:cs="Apple Chancery"/>
        </w:rPr>
        <w:t>a</w:t>
      </w:r>
      <w:r w:rsidR="00F14AD9">
        <w:rPr>
          <w:rFonts w:ascii="Garamond" w:hAnsi="Garamond" w:cs="Apple Chancery"/>
        </w:rPr>
        <w:t xml:space="preserve"> </w:t>
      </w:r>
      <w:r>
        <w:rPr>
          <w:rFonts w:ascii="Garamond" w:hAnsi="Garamond" w:cs="Apple Chancery"/>
        </w:rPr>
        <w:t xml:space="preserve">decolonial feminist praxis which aims to hold </w:t>
      </w:r>
      <w:r w:rsidR="000D1916">
        <w:rPr>
          <w:rFonts w:ascii="Garamond" w:hAnsi="Garamond" w:cs="Apple Chancery"/>
        </w:rPr>
        <w:t>‘</w:t>
      </w:r>
      <w:r>
        <w:rPr>
          <w:rFonts w:ascii="Garamond" w:hAnsi="Garamond" w:cs="Apple Chancery"/>
        </w:rPr>
        <w:t>several threads at once</w:t>
      </w:r>
      <w:r w:rsidR="000D1916">
        <w:rPr>
          <w:rFonts w:ascii="Garamond" w:hAnsi="Garamond" w:cs="Apple Chancery"/>
        </w:rPr>
        <w:t>’</w:t>
      </w:r>
      <w:r>
        <w:rPr>
          <w:rFonts w:ascii="Garamond" w:hAnsi="Garamond" w:cs="Apple Chancery"/>
        </w:rPr>
        <w:t>, resisting segmentation, and revealing the interconnectivity of patriarchy, racism and colonialism.</w:t>
      </w:r>
      <w:r>
        <w:rPr>
          <w:rStyle w:val="FootnoteReference"/>
          <w:rFonts w:ascii="Garamond" w:hAnsi="Garamond" w:cs="Apple Chancery"/>
        </w:rPr>
        <w:footnoteReference w:id="18"/>
      </w:r>
      <w:r>
        <w:rPr>
          <w:rFonts w:ascii="Garamond" w:hAnsi="Garamond" w:cs="Apple Chancery"/>
        </w:rPr>
        <w:t xml:space="preserve"> The contributions I make here </w:t>
      </w:r>
      <w:r w:rsidR="008D38F0">
        <w:rPr>
          <w:rFonts w:ascii="Garamond" w:hAnsi="Garamond" w:cs="Apple Chancery"/>
        </w:rPr>
        <w:t xml:space="preserve">then intervene in </w:t>
      </w:r>
      <w:r w:rsidR="005E0F29">
        <w:rPr>
          <w:rFonts w:ascii="Garamond" w:hAnsi="Garamond" w:cs="Apple Chancery"/>
        </w:rPr>
        <w:t xml:space="preserve">two fields: bringing </w:t>
      </w:r>
      <w:r w:rsidR="001913CB">
        <w:rPr>
          <w:rFonts w:ascii="Garamond" w:hAnsi="Garamond" w:cs="Apple Chancery"/>
        </w:rPr>
        <w:t>multidimensional feminist insights to bear on foundational principles of international law</w:t>
      </w:r>
      <w:r w:rsidR="00AD3212">
        <w:rPr>
          <w:rFonts w:ascii="Garamond" w:hAnsi="Garamond" w:cs="Apple Chancery"/>
        </w:rPr>
        <w:t xml:space="preserve">, and bringing </w:t>
      </w:r>
      <w:r w:rsidR="00EC649A">
        <w:rPr>
          <w:rFonts w:ascii="Garamond" w:hAnsi="Garamond" w:cs="Apple Chancery"/>
        </w:rPr>
        <w:t xml:space="preserve">international legal disputes to bear on </w:t>
      </w:r>
      <w:r w:rsidR="004F5A36">
        <w:rPr>
          <w:rFonts w:ascii="Garamond" w:hAnsi="Garamond" w:cs="Apple Chancery"/>
        </w:rPr>
        <w:t xml:space="preserve">matters of alienation, self-governance, and the limits of </w:t>
      </w:r>
      <w:proofErr w:type="spellStart"/>
      <w:r w:rsidR="004F5A36">
        <w:rPr>
          <w:rFonts w:ascii="Garamond" w:hAnsi="Garamond" w:cs="Apple Chancery"/>
        </w:rPr>
        <w:t>contrac</w:t>
      </w:r>
      <w:r w:rsidR="00516C8A">
        <w:rPr>
          <w:rFonts w:ascii="Garamond" w:hAnsi="Garamond" w:cs="Apple Chancery"/>
        </w:rPr>
        <w:t>t</w:t>
      </w:r>
      <w:r w:rsidR="004F5A36">
        <w:rPr>
          <w:rFonts w:ascii="Garamond" w:hAnsi="Garamond" w:cs="Apple Chancery"/>
        </w:rPr>
        <w:t>ualism</w:t>
      </w:r>
      <w:proofErr w:type="spellEnd"/>
      <w:r w:rsidR="00147623">
        <w:rPr>
          <w:rFonts w:ascii="Garamond" w:hAnsi="Garamond" w:cs="Apple Chancery"/>
        </w:rPr>
        <w:t xml:space="preserve">. This is both </w:t>
      </w:r>
      <w:r>
        <w:rPr>
          <w:rFonts w:ascii="Garamond" w:hAnsi="Garamond" w:cs="Apple Chancery"/>
        </w:rPr>
        <w:t>timely</w:t>
      </w:r>
      <w:r w:rsidR="006E1804">
        <w:rPr>
          <w:rFonts w:ascii="Garamond" w:hAnsi="Garamond" w:cs="Apple Chancery"/>
        </w:rPr>
        <w:t xml:space="preserve"> and necessary</w:t>
      </w:r>
      <w:r w:rsidR="00D12D06">
        <w:rPr>
          <w:rFonts w:ascii="Garamond" w:hAnsi="Garamond" w:cs="Apple Chancery"/>
        </w:rPr>
        <w:t xml:space="preserve"> given the</w:t>
      </w:r>
      <w:r>
        <w:rPr>
          <w:rFonts w:ascii="Garamond" w:hAnsi="Garamond" w:cs="Apple Chancery"/>
        </w:rPr>
        <w:t xml:space="preserve"> live </w:t>
      </w:r>
      <w:r w:rsidR="00924AB4">
        <w:rPr>
          <w:rFonts w:ascii="Garamond" w:hAnsi="Garamond" w:cs="Apple Chancery"/>
        </w:rPr>
        <w:t xml:space="preserve">nature of </w:t>
      </w:r>
      <w:r>
        <w:rPr>
          <w:rFonts w:ascii="Garamond" w:hAnsi="Garamond" w:cs="Apple Chancery"/>
        </w:rPr>
        <w:t xml:space="preserve">the ongoing ‘sovereignty dispute’, situating it within its colonial, patriarchal context.   </w:t>
      </w:r>
    </w:p>
    <w:p w14:paraId="525FCB8A" w14:textId="6CD315EA" w:rsidR="00056A8A" w:rsidRDefault="00EC700A" w:rsidP="00740662">
      <w:pPr>
        <w:jc w:val="both"/>
        <w:rPr>
          <w:rFonts w:ascii="Garamond" w:hAnsi="Garamond" w:cs="Apple Chancery"/>
        </w:rPr>
      </w:pPr>
      <w:r w:rsidRPr="009E1077">
        <w:rPr>
          <w:rFonts w:ascii="Garamond" w:hAnsi="Garamond" w:cs="Apple Chancery"/>
        </w:rPr>
        <w:t xml:space="preserve">The paper will proceed by first examining </w:t>
      </w:r>
      <w:r>
        <w:rPr>
          <w:rFonts w:ascii="Garamond" w:hAnsi="Garamond" w:cs="Apple Chancery"/>
        </w:rPr>
        <w:t>how</w:t>
      </w:r>
      <w:r w:rsidRPr="009E1077">
        <w:rPr>
          <w:rFonts w:ascii="Garamond" w:hAnsi="Garamond" w:cs="Apple Chancery"/>
        </w:rPr>
        <w:t xml:space="preserve"> the notion of consent works to construct a unitary agent</w:t>
      </w:r>
      <w:r>
        <w:rPr>
          <w:rFonts w:ascii="Garamond" w:hAnsi="Garamond" w:cs="Apple Chancery"/>
        </w:rPr>
        <w:t xml:space="preserve"> with</w:t>
      </w:r>
      <w:r w:rsidRPr="009E1077">
        <w:rPr>
          <w:rFonts w:ascii="Garamond" w:hAnsi="Garamond" w:cs="Apple Chancery"/>
        </w:rPr>
        <w:t xml:space="preserve"> consent feed</w:t>
      </w:r>
      <w:r>
        <w:rPr>
          <w:rFonts w:ascii="Garamond" w:hAnsi="Garamond" w:cs="Apple Chancery"/>
        </w:rPr>
        <w:t>ing</w:t>
      </w:r>
      <w:r w:rsidRPr="009E1077">
        <w:rPr>
          <w:rFonts w:ascii="Garamond" w:hAnsi="Garamond" w:cs="Apple Chancery"/>
        </w:rPr>
        <w:t xml:space="preserve"> into the anthropomorphic imaginings of the state as a </w:t>
      </w:r>
      <w:r w:rsidRPr="009E1077">
        <w:rPr>
          <w:rFonts w:ascii="Garamond" w:hAnsi="Garamond" w:cs="Apple Chancery"/>
          <w:i/>
          <w:iCs/>
        </w:rPr>
        <w:t>person</w:t>
      </w:r>
      <w:r w:rsidRPr="009E1077">
        <w:rPr>
          <w:rFonts w:ascii="Garamond" w:hAnsi="Garamond" w:cs="Apple Chancery"/>
        </w:rPr>
        <w:t xml:space="preserve">. </w:t>
      </w:r>
      <w:r>
        <w:rPr>
          <w:rFonts w:ascii="Garamond" w:hAnsi="Garamond" w:cs="Apple Chancery"/>
        </w:rPr>
        <w:t xml:space="preserve">In the second section I interrogate the </w:t>
      </w:r>
      <w:r>
        <w:rPr>
          <w:rFonts w:ascii="Garamond" w:hAnsi="Garamond" w:cs="Apple Chancery"/>
          <w:i/>
          <w:iCs/>
        </w:rPr>
        <w:t xml:space="preserve">de facto </w:t>
      </w:r>
      <w:r>
        <w:rPr>
          <w:rFonts w:ascii="Garamond" w:hAnsi="Garamond" w:cs="Apple Chancery"/>
        </w:rPr>
        <w:t xml:space="preserve">inequality between the two states which is thrown into relief by the invocation of contractual framings of consent. This allows us to see clearly the consenting, rational, contracting state as the liberal norm. This sets the scene for the final section which shows how the treatment of the Chagos Archipelago is constituted as analogous to the trading of property which is </w:t>
      </w:r>
      <w:r>
        <w:rPr>
          <w:rFonts w:ascii="Garamond" w:hAnsi="Garamond" w:cs="Apple Chancery"/>
          <w:i/>
          <w:iCs/>
        </w:rPr>
        <w:t xml:space="preserve">owned </w:t>
      </w:r>
      <w:r>
        <w:rPr>
          <w:rFonts w:ascii="Garamond" w:hAnsi="Garamond" w:cs="Apple Chancery"/>
        </w:rPr>
        <w:t xml:space="preserve">by the consenting state subject (as person). </w:t>
      </w:r>
      <w:r w:rsidRPr="009E1077">
        <w:rPr>
          <w:rFonts w:ascii="Garamond" w:hAnsi="Garamond" w:cs="Apple Chancery"/>
        </w:rPr>
        <w:t xml:space="preserve">This contributes to a narrative of </w:t>
      </w:r>
      <w:r>
        <w:rPr>
          <w:rFonts w:ascii="Garamond" w:hAnsi="Garamond" w:cs="Apple Chancery"/>
        </w:rPr>
        <w:t xml:space="preserve">land </w:t>
      </w:r>
      <w:r w:rsidRPr="009E1077">
        <w:rPr>
          <w:rFonts w:ascii="Garamond" w:hAnsi="Garamond" w:cs="Apple Chancery"/>
        </w:rPr>
        <w:t xml:space="preserve">bargaining and trade between two states, thus </w:t>
      </w:r>
      <w:r>
        <w:rPr>
          <w:rFonts w:ascii="Garamond" w:hAnsi="Garamond" w:cs="Apple Chancery"/>
        </w:rPr>
        <w:t xml:space="preserve">narratively </w:t>
      </w:r>
      <w:r w:rsidRPr="009E1077">
        <w:rPr>
          <w:rFonts w:ascii="Garamond" w:hAnsi="Garamond" w:cs="Apple Chancery"/>
        </w:rPr>
        <w:t>eclipsing the</w:t>
      </w:r>
      <w:r>
        <w:rPr>
          <w:rFonts w:ascii="Garamond" w:hAnsi="Garamond" w:cs="Apple Chancery"/>
        </w:rPr>
        <w:t xml:space="preserve"> dispossession of a</w:t>
      </w:r>
      <w:r w:rsidRPr="009E1077">
        <w:rPr>
          <w:rFonts w:ascii="Garamond" w:hAnsi="Garamond" w:cs="Apple Chancery"/>
        </w:rPr>
        <w:t xml:space="preserve"> displac</w:t>
      </w:r>
      <w:r>
        <w:rPr>
          <w:rFonts w:ascii="Garamond" w:hAnsi="Garamond" w:cs="Apple Chancery"/>
        </w:rPr>
        <w:t>ed</w:t>
      </w:r>
      <w:r w:rsidRPr="009E1077">
        <w:rPr>
          <w:rFonts w:ascii="Garamond" w:hAnsi="Garamond" w:cs="Apple Chancery"/>
        </w:rPr>
        <w:t xml:space="preserve"> indigenous </w:t>
      </w:r>
      <w:r>
        <w:rPr>
          <w:rFonts w:ascii="Garamond" w:hAnsi="Garamond" w:cs="Apple Chancery"/>
        </w:rPr>
        <w:t>community</w:t>
      </w:r>
      <w:r w:rsidRPr="009E1077">
        <w:rPr>
          <w:rFonts w:ascii="Garamond" w:hAnsi="Garamond" w:cs="Apple Chancery"/>
        </w:rPr>
        <w:t xml:space="preserve">. </w:t>
      </w:r>
    </w:p>
    <w:p w14:paraId="1EC3619A" w14:textId="77777777" w:rsidR="000B3745" w:rsidRPr="00EC700A" w:rsidRDefault="000B3745" w:rsidP="00740662">
      <w:pPr>
        <w:jc w:val="both"/>
        <w:rPr>
          <w:rFonts w:ascii="Garamond" w:hAnsi="Garamond" w:cs="Apple Chancery"/>
        </w:rPr>
      </w:pPr>
    </w:p>
    <w:p w14:paraId="77DFE144" w14:textId="518CE626" w:rsidR="00F03976" w:rsidRPr="000B3745" w:rsidRDefault="00F03976" w:rsidP="005720DA">
      <w:pPr>
        <w:pStyle w:val="Heading1"/>
      </w:pPr>
      <w:r w:rsidRPr="000B3745">
        <w:t xml:space="preserve">The primacy of the </w:t>
      </w:r>
      <w:r w:rsidR="00C12A53" w:rsidRPr="000B3745">
        <w:t>(</w:t>
      </w:r>
      <w:r w:rsidRPr="000B3745">
        <w:t>possibly</w:t>
      </w:r>
      <w:r w:rsidR="00C12A53" w:rsidRPr="000B3745">
        <w:t>)</w:t>
      </w:r>
      <w:r w:rsidRPr="000B3745">
        <w:t xml:space="preserve"> consenting, unitary state</w:t>
      </w:r>
    </w:p>
    <w:p w14:paraId="342CA6F4" w14:textId="4BF1C835" w:rsidR="002C4C6B" w:rsidRDefault="002C4C6B" w:rsidP="0069137B">
      <w:pPr>
        <w:ind w:left="709"/>
        <w:rPr>
          <w:rFonts w:ascii="Garamond" w:hAnsi="Garamond" w:cs="Apple Chancery"/>
        </w:rPr>
      </w:pPr>
      <w:r w:rsidRPr="009E1077">
        <w:rPr>
          <w:rFonts w:ascii="Garamond" w:hAnsi="Garamond" w:cs="Apple Chancery"/>
        </w:rPr>
        <w:t>One day the administrator told us that we had to leave our island</w:t>
      </w:r>
      <w:r>
        <w:rPr>
          <w:rFonts w:ascii="Garamond" w:hAnsi="Garamond" w:cs="Apple Chancery"/>
        </w:rPr>
        <w:t>…</w:t>
      </w:r>
      <w:r w:rsidRPr="009E1077">
        <w:rPr>
          <w:rFonts w:ascii="Garamond" w:hAnsi="Garamond" w:cs="Apple Chancery"/>
        </w:rPr>
        <w:t>we had no choice</w:t>
      </w:r>
      <w:r>
        <w:rPr>
          <w:rFonts w:ascii="Garamond" w:hAnsi="Garamond" w:cs="Apple Chancery"/>
        </w:rPr>
        <w:t>.</w:t>
      </w:r>
      <w:r w:rsidRPr="009E1077">
        <w:rPr>
          <w:rStyle w:val="FootnoteReference"/>
          <w:rFonts w:ascii="Garamond" w:hAnsi="Garamond" w:cs="Apple Chancery"/>
        </w:rPr>
        <w:footnoteReference w:id="19"/>
      </w:r>
    </w:p>
    <w:p w14:paraId="300DB7BB" w14:textId="02E11BA6" w:rsidR="002C4C6B" w:rsidRDefault="002C4C6B" w:rsidP="00740662">
      <w:pPr>
        <w:jc w:val="both"/>
        <w:rPr>
          <w:rFonts w:ascii="Garamond" w:hAnsi="Garamond" w:cs="Apple Chancery"/>
        </w:rPr>
      </w:pPr>
      <w:r w:rsidRPr="009E1077">
        <w:rPr>
          <w:rFonts w:ascii="Garamond" w:hAnsi="Garamond" w:cs="Apple Chancery"/>
        </w:rPr>
        <w:t>Having the c</w:t>
      </w:r>
      <w:r>
        <w:rPr>
          <w:rFonts w:ascii="Garamond" w:hAnsi="Garamond" w:cs="Apple Chancery"/>
        </w:rPr>
        <w:t xml:space="preserve">hoice to consent </w:t>
      </w:r>
      <w:r w:rsidRPr="009E1077">
        <w:rPr>
          <w:rFonts w:ascii="Garamond" w:hAnsi="Garamond" w:cs="Apple Chancery"/>
        </w:rPr>
        <w:t xml:space="preserve">is part of the powers of personhood. </w:t>
      </w:r>
      <w:r>
        <w:rPr>
          <w:rFonts w:ascii="Garamond" w:hAnsi="Garamond" w:cs="Apple Chancery"/>
        </w:rPr>
        <w:t xml:space="preserve">For </w:t>
      </w:r>
      <w:r w:rsidRPr="009E1077">
        <w:rPr>
          <w:rFonts w:ascii="Garamond" w:hAnsi="Garamond" w:cs="Apple Chancery"/>
        </w:rPr>
        <w:t>Heidi</w:t>
      </w:r>
      <w:r>
        <w:rPr>
          <w:rFonts w:ascii="Garamond" w:hAnsi="Garamond" w:cs="Apple Chancery"/>
        </w:rPr>
        <w:t xml:space="preserve"> </w:t>
      </w:r>
      <w:r w:rsidRPr="009E1077">
        <w:rPr>
          <w:rFonts w:ascii="Garamond" w:hAnsi="Garamond" w:cs="Apple Chancery"/>
        </w:rPr>
        <w:t>Hurd</w:t>
      </w:r>
      <w:r>
        <w:rPr>
          <w:rFonts w:ascii="Garamond" w:hAnsi="Garamond" w:cs="Apple Chancery"/>
        </w:rPr>
        <w:t>,</w:t>
      </w:r>
      <w:r w:rsidRPr="009E1077">
        <w:rPr>
          <w:rFonts w:ascii="Garamond" w:hAnsi="Garamond" w:cs="Apple Chancery"/>
        </w:rPr>
        <w:t xml:space="preserve"> the ‘magic of consent’ lies in </w:t>
      </w:r>
      <w:r>
        <w:rPr>
          <w:rFonts w:ascii="Garamond" w:hAnsi="Garamond" w:cs="Apple Chancery"/>
        </w:rPr>
        <w:t>its</w:t>
      </w:r>
      <w:r w:rsidRPr="009E1077">
        <w:rPr>
          <w:rFonts w:ascii="Garamond" w:hAnsi="Garamond" w:cs="Apple Chancery"/>
        </w:rPr>
        <w:t xml:space="preserve"> power to transform the legal nature of interpersonal relations</w:t>
      </w:r>
      <w:r>
        <w:rPr>
          <w:rFonts w:ascii="Garamond" w:hAnsi="Garamond" w:cs="Apple Chancery"/>
        </w:rPr>
        <w:t xml:space="preserve"> between subjects through their agreements</w:t>
      </w:r>
      <w:r w:rsidRPr="009E1077">
        <w:rPr>
          <w:rFonts w:ascii="Garamond" w:hAnsi="Garamond" w:cs="Apple Chancery"/>
        </w:rPr>
        <w:t>.</w:t>
      </w:r>
      <w:r w:rsidRPr="009E1077">
        <w:rPr>
          <w:rStyle w:val="FootnoteReference"/>
          <w:rFonts w:ascii="Garamond" w:hAnsi="Garamond" w:cs="Apple Chancery"/>
        </w:rPr>
        <w:footnoteReference w:id="20"/>
      </w:r>
      <w:r w:rsidRPr="009E1077">
        <w:rPr>
          <w:rFonts w:ascii="Garamond" w:hAnsi="Garamond" w:cs="Apple Chancery"/>
        </w:rPr>
        <w:t xml:space="preserve"> The translation of consent from the interpersonal to the international context similarly invokes notions of individual power and agency. While state-based consent is often claimed as too trivial to adequately explain the binding nature of the contemporary, complex framework of international law,</w:t>
      </w:r>
      <w:r w:rsidRPr="009E1077">
        <w:rPr>
          <w:rStyle w:val="FootnoteReference"/>
          <w:rFonts w:ascii="Garamond" w:hAnsi="Garamond" w:cs="Apple Chancery"/>
        </w:rPr>
        <w:footnoteReference w:id="21"/>
      </w:r>
      <w:r w:rsidRPr="009E1077">
        <w:rPr>
          <w:rFonts w:ascii="Garamond" w:hAnsi="Garamond" w:cs="Apple Chancery"/>
        </w:rPr>
        <w:t xml:space="preserve"> the concept has never been far from view. The values of autonomy, rationality and unity of interest </w:t>
      </w:r>
      <w:r>
        <w:rPr>
          <w:rFonts w:ascii="Garamond" w:hAnsi="Garamond" w:cs="Apple Chancery"/>
        </w:rPr>
        <w:t xml:space="preserve">resurface in the context of inter-state disputes, with states represented as singular and capable of bringing their unified will into existence. In this section I demonstrate how the ICJ’s AO on the separation of Chagos reinforces the primacy of the </w:t>
      </w:r>
      <w:r w:rsidRPr="009E1077">
        <w:rPr>
          <w:rFonts w:ascii="Garamond" w:hAnsi="Garamond" w:cs="Apple Chancery"/>
        </w:rPr>
        <w:t>(possibly) consenting, unitary state, despite determining that Mauritius was no such subje</w:t>
      </w:r>
      <w:r>
        <w:rPr>
          <w:rFonts w:ascii="Garamond" w:hAnsi="Garamond" w:cs="Apple Chancery"/>
        </w:rPr>
        <w:t xml:space="preserve">ct at </w:t>
      </w:r>
      <w:r>
        <w:rPr>
          <w:rFonts w:ascii="Garamond" w:hAnsi="Garamond" w:cs="Apple Chancery"/>
        </w:rPr>
        <w:lastRenderedPageBreak/>
        <w:t xml:space="preserve">the time of separation. Not only does this smooth over and homogenise the pluralist, complex collectives which make up the Chagossian diaspora, it also renders their consent and self-determination contingent upon the vehicle of the (unified and consenting) state. </w:t>
      </w:r>
    </w:p>
    <w:p w14:paraId="194E59A7" w14:textId="088D7E96" w:rsidR="002C4C6B" w:rsidRPr="009E1077" w:rsidRDefault="002C4C6B" w:rsidP="00740662">
      <w:pPr>
        <w:jc w:val="both"/>
        <w:rPr>
          <w:rFonts w:ascii="Garamond" w:hAnsi="Garamond" w:cs="Apple Chancery"/>
        </w:rPr>
      </w:pPr>
      <w:r w:rsidRPr="009E1077">
        <w:rPr>
          <w:rFonts w:ascii="Garamond" w:hAnsi="Garamond" w:cs="Apple Chancery"/>
        </w:rPr>
        <w:t>Within liberal imaginaries of law</w:t>
      </w:r>
      <w:r>
        <w:rPr>
          <w:rFonts w:ascii="Garamond" w:hAnsi="Garamond" w:cs="Apple Chancery"/>
        </w:rPr>
        <w:t>,</w:t>
      </w:r>
      <w:r w:rsidRPr="009E1077">
        <w:rPr>
          <w:rFonts w:ascii="Garamond" w:hAnsi="Garamond" w:cs="Apple Chancery"/>
        </w:rPr>
        <w:t xml:space="preserve"> the central figure is the autonomous self.</w:t>
      </w:r>
      <w:r w:rsidRPr="009E1077">
        <w:rPr>
          <w:rStyle w:val="FootnoteReference"/>
          <w:rFonts w:ascii="Garamond" w:hAnsi="Garamond" w:cs="Apple Chancery"/>
        </w:rPr>
        <w:footnoteReference w:id="22"/>
      </w:r>
      <w:r w:rsidRPr="009E1077">
        <w:rPr>
          <w:rFonts w:ascii="Garamond" w:hAnsi="Garamond" w:cs="Apple Chancery"/>
        </w:rPr>
        <w:t xml:space="preserve"> Consent</w:t>
      </w:r>
      <w:r>
        <w:rPr>
          <w:rFonts w:ascii="Garamond" w:hAnsi="Garamond" w:cs="Apple Chancery"/>
        </w:rPr>
        <w:t xml:space="preserve"> facilitates self-governance as an expression of the subject’s will, be that of the individual self and the nation state alike. This follows from the discursive treatment of</w:t>
      </w:r>
      <w:r w:rsidRPr="009E1077">
        <w:rPr>
          <w:rFonts w:ascii="Garamond" w:hAnsi="Garamond" w:cs="Apple Chancery"/>
        </w:rPr>
        <w:t xml:space="preserve"> consent within internation</w:t>
      </w:r>
      <w:r w:rsidR="0073349A">
        <w:rPr>
          <w:rFonts w:ascii="Garamond" w:hAnsi="Garamond" w:cs="Apple Chancery"/>
        </w:rPr>
        <w:t>al</w:t>
      </w:r>
      <w:r w:rsidRPr="009E1077">
        <w:rPr>
          <w:rFonts w:ascii="Garamond" w:hAnsi="Garamond" w:cs="Apple Chancery"/>
        </w:rPr>
        <w:t xml:space="preserve"> law </w:t>
      </w:r>
      <w:r>
        <w:rPr>
          <w:rFonts w:ascii="Garamond" w:hAnsi="Garamond" w:cs="Apple Chancery"/>
        </w:rPr>
        <w:t xml:space="preserve">which invites </w:t>
      </w:r>
      <w:r w:rsidRPr="009E1077">
        <w:rPr>
          <w:rFonts w:ascii="Garamond" w:hAnsi="Garamond" w:cs="Apple Chancery"/>
        </w:rPr>
        <w:t xml:space="preserve">thinking of states </w:t>
      </w:r>
      <w:r w:rsidR="00177B4E">
        <w:rPr>
          <w:rFonts w:ascii="Garamond" w:hAnsi="Garamond" w:cs="Apple Chancery"/>
        </w:rPr>
        <w:t>‘</w:t>
      </w:r>
      <w:r w:rsidRPr="009E1077">
        <w:rPr>
          <w:rFonts w:ascii="Garamond" w:hAnsi="Garamond" w:cs="Apple Chancery"/>
        </w:rPr>
        <w:t>in organic terms, as individually autonomous agents capable of promoting, individually or collectively, their views or interests</w:t>
      </w:r>
      <w:r w:rsidR="00177B4E">
        <w:rPr>
          <w:rFonts w:ascii="Garamond" w:hAnsi="Garamond" w:cs="Apple Chancery"/>
        </w:rPr>
        <w:t>’</w:t>
      </w:r>
      <w:r w:rsidRPr="009E1077">
        <w:rPr>
          <w:rFonts w:ascii="Garamond" w:hAnsi="Garamond" w:cs="Apple Chancery"/>
        </w:rPr>
        <w:t>.</w:t>
      </w:r>
      <w:r w:rsidRPr="009E1077">
        <w:rPr>
          <w:rStyle w:val="FootnoteReference"/>
          <w:rFonts w:ascii="Garamond" w:hAnsi="Garamond" w:cs="Apple Chancery"/>
        </w:rPr>
        <w:footnoteReference w:id="23"/>
      </w:r>
      <w:r w:rsidRPr="009E1077">
        <w:rPr>
          <w:rFonts w:ascii="Garamond" w:hAnsi="Garamond" w:cs="Apple Chancery"/>
        </w:rPr>
        <w:t xml:space="preserve"> Th</w:t>
      </w:r>
      <w:r>
        <w:rPr>
          <w:rFonts w:ascii="Garamond" w:hAnsi="Garamond" w:cs="Apple Chancery"/>
        </w:rPr>
        <w:t xml:space="preserve">e notion that </w:t>
      </w:r>
      <w:r w:rsidRPr="009E1077">
        <w:rPr>
          <w:rFonts w:ascii="Garamond" w:hAnsi="Garamond" w:cs="Apple Chancery"/>
        </w:rPr>
        <w:t xml:space="preserve">the state is a </w:t>
      </w:r>
      <w:r w:rsidRPr="009E1077">
        <w:rPr>
          <w:rFonts w:ascii="Garamond" w:hAnsi="Garamond" w:cs="Apple Chancery"/>
          <w:i/>
          <w:iCs/>
        </w:rPr>
        <w:t>person</w:t>
      </w:r>
      <w:r w:rsidRPr="009E1077">
        <w:rPr>
          <w:rFonts w:ascii="Garamond" w:hAnsi="Garamond" w:cs="Apple Chancery"/>
        </w:rPr>
        <w:t xml:space="preserve"> is </w:t>
      </w:r>
      <w:r>
        <w:rPr>
          <w:rFonts w:ascii="Garamond" w:hAnsi="Garamond" w:cs="Apple Chancery"/>
        </w:rPr>
        <w:t xml:space="preserve">a foundational </w:t>
      </w:r>
      <w:r w:rsidRPr="009E1077">
        <w:rPr>
          <w:rFonts w:ascii="Garamond" w:hAnsi="Garamond" w:cs="Apple Chancery"/>
        </w:rPr>
        <w:t>fiction of international law</w:t>
      </w:r>
      <w:r>
        <w:rPr>
          <w:rFonts w:ascii="Garamond" w:hAnsi="Garamond" w:cs="Apple Chancery"/>
        </w:rPr>
        <w:t>,</w:t>
      </w:r>
      <w:r w:rsidRPr="009E1077">
        <w:rPr>
          <w:rStyle w:val="FootnoteReference"/>
          <w:rFonts w:ascii="Garamond" w:hAnsi="Garamond" w:cs="Apple Chancery"/>
        </w:rPr>
        <w:footnoteReference w:id="24"/>
      </w:r>
      <w:r>
        <w:rPr>
          <w:rFonts w:ascii="Garamond" w:hAnsi="Garamond" w:cs="Apple Chancery"/>
        </w:rPr>
        <w:t xml:space="preserve"> with such persons relationally constituted within gendered, racial and colonial hierarchies.</w:t>
      </w:r>
      <w:r w:rsidRPr="009E1077">
        <w:rPr>
          <w:rStyle w:val="FootnoteReference"/>
          <w:rFonts w:ascii="Garamond" w:hAnsi="Garamond" w:cs="Apple Chancery"/>
        </w:rPr>
        <w:footnoteReference w:id="25"/>
      </w:r>
      <w:r>
        <w:rPr>
          <w:rFonts w:ascii="Garamond" w:hAnsi="Garamond" w:cs="Apple Chancery"/>
        </w:rPr>
        <w:t xml:space="preserve"> Rose Parfitt argues that p</w:t>
      </w:r>
      <w:r w:rsidRPr="009E1077">
        <w:rPr>
          <w:rFonts w:ascii="Garamond" w:hAnsi="Garamond" w:cs="Apple Chancery"/>
        </w:rPr>
        <w:t xml:space="preserve">rior to the decolonisation period, </w:t>
      </w:r>
      <w:r>
        <w:rPr>
          <w:rFonts w:ascii="Garamond" w:hAnsi="Garamond" w:cs="Apple Chancery"/>
        </w:rPr>
        <w:t xml:space="preserve">the </w:t>
      </w:r>
      <w:r>
        <w:rPr>
          <w:rFonts w:ascii="Garamond" w:hAnsi="Garamond" w:cs="Apple Chancery"/>
          <w:i/>
          <w:iCs/>
        </w:rPr>
        <w:t xml:space="preserve">persons </w:t>
      </w:r>
      <w:r>
        <w:rPr>
          <w:rFonts w:ascii="Garamond" w:hAnsi="Garamond" w:cs="Apple Chancery"/>
        </w:rPr>
        <w:t xml:space="preserve">of the international legal system were made up of graded entities, </w:t>
      </w:r>
      <w:r w:rsidR="003E051A">
        <w:rPr>
          <w:rFonts w:ascii="Garamond" w:hAnsi="Garamond" w:cs="Apple Chancery"/>
        </w:rPr>
        <w:t>including</w:t>
      </w:r>
      <w:r w:rsidRPr="009E1077">
        <w:rPr>
          <w:rFonts w:ascii="Garamond" w:hAnsi="Garamond" w:cs="Apple Chancery"/>
        </w:rPr>
        <w:t xml:space="preserve"> ‘not-fully legal subjects’</w:t>
      </w:r>
      <w:r w:rsidR="003E051A">
        <w:rPr>
          <w:rFonts w:ascii="Garamond" w:hAnsi="Garamond" w:cs="Apple Chancery"/>
        </w:rPr>
        <w:t xml:space="preserve">, </w:t>
      </w:r>
      <w:r w:rsidRPr="009E1077">
        <w:rPr>
          <w:rFonts w:ascii="Garamond" w:hAnsi="Garamond" w:cs="Apple Chancery"/>
        </w:rPr>
        <w:t>‘Native states’</w:t>
      </w:r>
      <w:r w:rsidR="003E051A">
        <w:rPr>
          <w:rFonts w:ascii="Garamond" w:hAnsi="Garamond" w:cs="Apple Chancery"/>
        </w:rPr>
        <w:t>,</w:t>
      </w:r>
      <w:r w:rsidRPr="009E1077">
        <w:rPr>
          <w:rFonts w:ascii="Garamond" w:hAnsi="Garamond" w:cs="Apple Chancery"/>
        </w:rPr>
        <w:t xml:space="preserve"> and ‘semi-sovereign states’.</w:t>
      </w:r>
      <w:r w:rsidRPr="009E1077">
        <w:rPr>
          <w:rStyle w:val="FootnoteReference"/>
          <w:rFonts w:ascii="Garamond" w:hAnsi="Garamond" w:cs="Apple Chancery"/>
        </w:rPr>
        <w:footnoteReference w:id="26"/>
      </w:r>
      <w:r>
        <w:rPr>
          <w:rFonts w:ascii="Garamond" w:hAnsi="Garamond" w:cs="Apple Chancery"/>
        </w:rPr>
        <w:t xml:space="preserve"> Building on this line of thinking, I want to suggest that tracing a subject</w:t>
      </w:r>
      <w:r w:rsidR="00C536FB">
        <w:rPr>
          <w:rFonts w:ascii="Garamond" w:hAnsi="Garamond" w:cs="Apple Chancery"/>
        </w:rPr>
        <w:t>’</w:t>
      </w:r>
      <w:r>
        <w:rPr>
          <w:rFonts w:ascii="Garamond" w:hAnsi="Garamond" w:cs="Apple Chancery"/>
        </w:rPr>
        <w:t>s proximity to the power of consent, and the degree to which said consent is recognised, can be used as an indicator of a subject</w:t>
      </w:r>
      <w:r w:rsidR="001B41D6">
        <w:rPr>
          <w:rFonts w:ascii="Garamond" w:hAnsi="Garamond" w:cs="Apple Chancery"/>
        </w:rPr>
        <w:t>’</w:t>
      </w:r>
      <w:r>
        <w:rPr>
          <w:rFonts w:ascii="Garamond" w:hAnsi="Garamond" w:cs="Apple Chancery"/>
        </w:rPr>
        <w:t xml:space="preserve">s relational positioning. </w:t>
      </w:r>
      <w:r w:rsidRPr="009E1077">
        <w:rPr>
          <w:rFonts w:ascii="Garamond" w:hAnsi="Garamond" w:cs="Apple Chancery"/>
        </w:rPr>
        <w:t>The ICJ AO</w:t>
      </w:r>
      <w:r>
        <w:rPr>
          <w:rFonts w:ascii="Garamond" w:hAnsi="Garamond" w:cs="Apple Chancery"/>
        </w:rPr>
        <w:t xml:space="preserve"> </w:t>
      </w:r>
      <w:r w:rsidRPr="009E1077">
        <w:rPr>
          <w:rFonts w:ascii="Garamond" w:hAnsi="Garamond" w:cs="Apple Chancery"/>
        </w:rPr>
        <w:t xml:space="preserve">reflects this </w:t>
      </w:r>
      <w:r>
        <w:rPr>
          <w:rFonts w:ascii="Garamond" w:hAnsi="Garamond" w:cs="Apple Chancery"/>
        </w:rPr>
        <w:t>by r</w:t>
      </w:r>
      <w:r w:rsidRPr="009E1077">
        <w:rPr>
          <w:rFonts w:ascii="Garamond" w:hAnsi="Garamond" w:cs="Apple Chancery"/>
        </w:rPr>
        <w:t xml:space="preserve">outinely emphasising the relational situation of Mauritius, as a non-self-governing state at the time of the separation, to the UK, as a state and as the relevant colonial authority. </w:t>
      </w:r>
      <w:r>
        <w:rPr>
          <w:rFonts w:ascii="Garamond" w:hAnsi="Garamond" w:cs="Apple Chancery"/>
        </w:rPr>
        <w:t>The status of Mauritius, as non-self-governing, bars it from exercising the powers of consent:</w:t>
      </w:r>
    </w:p>
    <w:p w14:paraId="6DD2118A" w14:textId="77777777" w:rsidR="002C4C6B" w:rsidRPr="00AB1EF1" w:rsidRDefault="002C4C6B" w:rsidP="00740662">
      <w:pPr>
        <w:ind w:left="720"/>
        <w:jc w:val="both"/>
        <w:rPr>
          <w:rFonts w:ascii="Garamond" w:hAnsi="Garamond" w:cs="Apple Chancery"/>
        </w:rPr>
      </w:pPr>
      <w:r w:rsidRPr="00AB1EF1">
        <w:rPr>
          <w:rFonts w:ascii="Garamond" w:hAnsi="Garamond" w:cs="Apple Chancery"/>
          <w:lang w:val="en-US"/>
        </w:rPr>
        <w:t>…it is not possible to talk of an international agreement, when one of the parties to it, Mauritius, which is said to have ceded the territory to the United Kingdom, was under the authority of the latter</w:t>
      </w:r>
      <w:r>
        <w:rPr>
          <w:rFonts w:ascii="Garamond" w:hAnsi="Garamond" w:cs="Apple Chancery"/>
          <w:lang w:val="en-US"/>
        </w:rPr>
        <w:t>…</w:t>
      </w:r>
      <w:r w:rsidRPr="00AB1EF1">
        <w:rPr>
          <w:rFonts w:ascii="Garamond" w:hAnsi="Garamond" w:cs="Apple Chancery"/>
          <w:lang w:val="en-US"/>
        </w:rPr>
        <w:t>heightened scrutiny should be given to the issue of consent in a situation where a part of a non-self-Governing territory is separated to create a new colony…</w:t>
      </w:r>
      <w:r w:rsidRPr="00AB1EF1">
        <w:rPr>
          <w:rFonts w:ascii="Garamond" w:hAnsi="Garamond" w:cs="Apple Chancery"/>
        </w:rPr>
        <w:t>the Court considers that this detachment was not based on the free and genuine expression of the will of the people concerned.</w:t>
      </w:r>
      <w:r w:rsidRPr="00AB1EF1">
        <w:rPr>
          <w:rStyle w:val="FootnoteReference"/>
          <w:rFonts w:ascii="Garamond" w:hAnsi="Garamond" w:cs="Apple Chancery"/>
        </w:rPr>
        <w:footnoteReference w:id="27"/>
      </w:r>
    </w:p>
    <w:p w14:paraId="2EF7CBFA" w14:textId="77777777" w:rsidR="002C4C6B" w:rsidRDefault="002C4C6B" w:rsidP="00740662">
      <w:pPr>
        <w:jc w:val="both"/>
        <w:rPr>
          <w:rFonts w:ascii="Garamond" w:hAnsi="Garamond" w:cs="Apple Chancery"/>
        </w:rPr>
      </w:pPr>
      <w:r>
        <w:rPr>
          <w:rFonts w:ascii="Garamond" w:hAnsi="Garamond" w:cs="Apple Chancery"/>
        </w:rPr>
        <w:t xml:space="preserve">The ICJ’s </w:t>
      </w:r>
      <w:r w:rsidRPr="009E1077">
        <w:rPr>
          <w:rFonts w:ascii="Garamond" w:hAnsi="Garamond" w:cs="Apple Chancery"/>
        </w:rPr>
        <w:t xml:space="preserve">recognition of coercive colonial power </w:t>
      </w:r>
      <w:r>
        <w:rPr>
          <w:rFonts w:ascii="Garamond" w:hAnsi="Garamond" w:cs="Apple Chancery"/>
        </w:rPr>
        <w:t xml:space="preserve">is </w:t>
      </w:r>
      <w:r w:rsidRPr="009E1077">
        <w:rPr>
          <w:rFonts w:ascii="Garamond" w:hAnsi="Garamond" w:cs="Apple Chancery"/>
        </w:rPr>
        <w:t>welcome. The</w:t>
      </w:r>
      <w:r>
        <w:rPr>
          <w:rFonts w:ascii="Garamond" w:hAnsi="Garamond" w:cs="Apple Chancery"/>
        </w:rPr>
        <w:t xml:space="preserve"> court </w:t>
      </w:r>
      <w:r w:rsidRPr="009E1077">
        <w:rPr>
          <w:rFonts w:ascii="Garamond" w:hAnsi="Garamond" w:cs="Apple Chancery"/>
        </w:rPr>
        <w:t xml:space="preserve">rejects the arguments put forward by the UK which </w:t>
      </w:r>
      <w:r>
        <w:rPr>
          <w:rFonts w:ascii="Garamond" w:hAnsi="Garamond" w:cs="Apple Chancery"/>
        </w:rPr>
        <w:t xml:space="preserve">attempted to </w:t>
      </w:r>
      <w:r w:rsidRPr="009E1077">
        <w:rPr>
          <w:rFonts w:ascii="Garamond" w:hAnsi="Garamond" w:cs="Apple Chancery"/>
        </w:rPr>
        <w:t xml:space="preserve">constitute the </w:t>
      </w:r>
      <w:r>
        <w:rPr>
          <w:rFonts w:ascii="Garamond" w:hAnsi="Garamond" w:cs="Apple Chancery"/>
        </w:rPr>
        <w:t>‘</w:t>
      </w:r>
      <w:r w:rsidRPr="009E1077">
        <w:rPr>
          <w:rFonts w:ascii="Garamond" w:hAnsi="Garamond" w:cs="Apple Chancery"/>
        </w:rPr>
        <w:t>two parties</w:t>
      </w:r>
      <w:r>
        <w:rPr>
          <w:rFonts w:ascii="Garamond" w:hAnsi="Garamond" w:cs="Apple Chancery"/>
        </w:rPr>
        <w:t>’</w:t>
      </w:r>
      <w:r w:rsidRPr="009E1077">
        <w:rPr>
          <w:rFonts w:ascii="Garamond" w:hAnsi="Garamond" w:cs="Apple Chancery"/>
        </w:rPr>
        <w:t xml:space="preserve"> as seeing ‘eye-to-eye’ in their negotiations</w:t>
      </w:r>
      <w:r>
        <w:rPr>
          <w:rFonts w:ascii="Garamond" w:hAnsi="Garamond" w:cs="Apple Chancery"/>
        </w:rPr>
        <w:t>.</w:t>
      </w:r>
      <w:r w:rsidRPr="009E1077">
        <w:rPr>
          <w:rStyle w:val="FootnoteReference"/>
          <w:rFonts w:ascii="Garamond" w:hAnsi="Garamond" w:cs="Apple Chancery"/>
        </w:rPr>
        <w:footnoteReference w:id="28"/>
      </w:r>
      <w:r w:rsidRPr="009E1077">
        <w:rPr>
          <w:rFonts w:ascii="Garamond" w:hAnsi="Garamond" w:cs="Apple Chancery"/>
        </w:rPr>
        <w:t xml:space="preserve"> Recognising that consent in this context is illus</w:t>
      </w:r>
      <w:r>
        <w:rPr>
          <w:rFonts w:ascii="Garamond" w:hAnsi="Garamond" w:cs="Apple Chancery"/>
        </w:rPr>
        <w:t>o</w:t>
      </w:r>
      <w:r w:rsidRPr="009E1077">
        <w:rPr>
          <w:rFonts w:ascii="Garamond" w:hAnsi="Garamond" w:cs="Apple Chancery"/>
        </w:rPr>
        <w:t>ry</w:t>
      </w:r>
      <w:r>
        <w:rPr>
          <w:rFonts w:ascii="Garamond" w:hAnsi="Garamond" w:cs="Apple Chancery"/>
        </w:rPr>
        <w:t xml:space="preserve"> reveals how it may be used to</w:t>
      </w:r>
      <w:r w:rsidRPr="009E1077">
        <w:rPr>
          <w:rFonts w:ascii="Garamond" w:hAnsi="Garamond" w:cs="Apple Chancery"/>
        </w:rPr>
        <w:t xml:space="preserve"> dominat</w:t>
      </w:r>
      <w:r>
        <w:rPr>
          <w:rFonts w:ascii="Garamond" w:hAnsi="Garamond" w:cs="Apple Chancery"/>
        </w:rPr>
        <w:t xml:space="preserve">e </w:t>
      </w:r>
      <w:r w:rsidRPr="009E1077">
        <w:rPr>
          <w:rFonts w:ascii="Garamond" w:hAnsi="Garamond" w:cs="Apple Chancery"/>
        </w:rPr>
        <w:t>‘weaker’ entities against oppressors</w:t>
      </w:r>
      <w:r>
        <w:rPr>
          <w:rFonts w:ascii="Garamond" w:hAnsi="Garamond" w:cs="Apple Chancery"/>
        </w:rPr>
        <w:t>, and also counter said domination.</w:t>
      </w:r>
      <w:r w:rsidRPr="009E1077">
        <w:rPr>
          <w:rStyle w:val="FootnoteReference"/>
          <w:rFonts w:ascii="Garamond" w:hAnsi="Garamond" w:cs="Apple Chancery"/>
        </w:rPr>
        <w:footnoteReference w:id="29"/>
      </w:r>
      <w:r w:rsidRPr="009E1077">
        <w:rPr>
          <w:rStyle w:val="FootnoteReference"/>
          <w:rFonts w:ascii="Garamond" w:hAnsi="Garamond" w:cs="Apple Chancery"/>
        </w:rPr>
        <w:t xml:space="preserve"> </w:t>
      </w:r>
      <w:r w:rsidRPr="009E1077">
        <w:rPr>
          <w:rFonts w:ascii="Garamond" w:hAnsi="Garamond" w:cs="Apple Chancery"/>
        </w:rPr>
        <w:t xml:space="preserve">However, </w:t>
      </w:r>
      <w:r>
        <w:rPr>
          <w:rFonts w:ascii="Garamond" w:hAnsi="Garamond" w:cs="Apple Chancery"/>
        </w:rPr>
        <w:t xml:space="preserve">in focusing on the formal status of ‘two parties’ the opinion ultimately rests on notions of unity and of </w:t>
      </w:r>
      <w:r w:rsidRPr="00EA1F7D">
        <w:rPr>
          <w:rFonts w:ascii="Garamond" w:hAnsi="Garamond" w:cs="Apple Chancery"/>
        </w:rPr>
        <w:t>formal equality.</w:t>
      </w:r>
      <w:r>
        <w:rPr>
          <w:rFonts w:ascii="Garamond" w:hAnsi="Garamond" w:cs="Apple Chancery"/>
        </w:rPr>
        <w:t xml:space="preserve"> </w:t>
      </w:r>
    </w:p>
    <w:p w14:paraId="7358FE6C" w14:textId="6131B304" w:rsidR="002C4C6B" w:rsidRPr="009E1077" w:rsidRDefault="002C4C6B" w:rsidP="00740662">
      <w:pPr>
        <w:jc w:val="both"/>
        <w:rPr>
          <w:rFonts w:ascii="Garamond" w:hAnsi="Garamond" w:cs="Apple Chancery"/>
        </w:rPr>
      </w:pPr>
      <w:r>
        <w:rPr>
          <w:rFonts w:ascii="Garamond" w:hAnsi="Garamond" w:cs="Apple Chancery"/>
        </w:rPr>
        <w:lastRenderedPageBreak/>
        <w:t xml:space="preserve">In terms of unity, the ICJ centres ‘two parties’ in a colonial, pre-independence world. Such entities appear unified and able to assert univocal will, even if one is formally non-self-governing at the time. The </w:t>
      </w:r>
      <w:r w:rsidR="005C0951">
        <w:rPr>
          <w:rFonts w:ascii="Garamond" w:hAnsi="Garamond" w:cs="Apple Chancery"/>
        </w:rPr>
        <w:t xml:space="preserve">main thrust of the </w:t>
      </w:r>
      <w:r>
        <w:rPr>
          <w:rFonts w:ascii="Garamond" w:hAnsi="Garamond" w:cs="Apple Chancery"/>
        </w:rPr>
        <w:t xml:space="preserve">opinion is that </w:t>
      </w:r>
      <w:r w:rsidRPr="009E1077">
        <w:rPr>
          <w:rFonts w:ascii="Garamond" w:hAnsi="Garamond" w:cs="Apple Chancery"/>
        </w:rPr>
        <w:t>the agreement</w:t>
      </w:r>
      <w:r>
        <w:rPr>
          <w:rFonts w:ascii="Garamond" w:hAnsi="Garamond" w:cs="Apple Chancery"/>
        </w:rPr>
        <w:t xml:space="preserve">, predominantly that which came out of the Lancaster House Agreement in 1965, simply </w:t>
      </w:r>
      <w:r w:rsidRPr="009E1077">
        <w:rPr>
          <w:rFonts w:ascii="Garamond" w:hAnsi="Garamond" w:cs="Apple Chancery"/>
        </w:rPr>
        <w:t>failed to generate legal obligations and rights due to the formal authorit</w:t>
      </w:r>
      <w:r>
        <w:rPr>
          <w:rFonts w:ascii="Garamond" w:hAnsi="Garamond" w:cs="Apple Chancery"/>
        </w:rPr>
        <w:t>y</w:t>
      </w:r>
      <w:r w:rsidRPr="009E1077">
        <w:rPr>
          <w:rFonts w:ascii="Garamond" w:hAnsi="Garamond" w:cs="Apple Chancery"/>
        </w:rPr>
        <w:t xml:space="preserve"> one party wielded over the other</w:t>
      </w:r>
      <w:r>
        <w:rPr>
          <w:rFonts w:ascii="Garamond" w:hAnsi="Garamond" w:cs="Apple Chancery"/>
        </w:rPr>
        <w:t xml:space="preserve">. However, alongside these two unified parties are other possibly consenting subjects. The ICJ give cursory mention to </w:t>
      </w:r>
      <w:r w:rsidRPr="009E1077">
        <w:rPr>
          <w:rFonts w:ascii="Garamond" w:hAnsi="Garamond" w:cs="Apple Chancery"/>
        </w:rPr>
        <w:t xml:space="preserve">the ministers </w:t>
      </w:r>
      <w:r>
        <w:rPr>
          <w:rFonts w:ascii="Garamond" w:hAnsi="Garamond" w:cs="Apple Chancery"/>
        </w:rPr>
        <w:t xml:space="preserve">as well as </w:t>
      </w:r>
      <w:r w:rsidRPr="009E1077">
        <w:rPr>
          <w:rFonts w:ascii="Garamond" w:hAnsi="Garamond" w:cs="Apple Chancery"/>
        </w:rPr>
        <w:t>‘the people concerned’. The discursive effect of the ICJ, however, is that these subjects collapse in on each other</w:t>
      </w:r>
      <w:r w:rsidR="000C2466">
        <w:rPr>
          <w:rFonts w:ascii="Garamond" w:hAnsi="Garamond" w:cs="Apple Chancery"/>
        </w:rPr>
        <w:t>,</w:t>
      </w:r>
      <w:r>
        <w:rPr>
          <w:rFonts w:ascii="Garamond" w:hAnsi="Garamond" w:cs="Apple Chancery"/>
        </w:rPr>
        <w:t xml:space="preserve"> thereby aligning with idealised imaginings of </w:t>
      </w:r>
      <w:r w:rsidRPr="009E1077">
        <w:rPr>
          <w:rFonts w:ascii="Garamond" w:hAnsi="Garamond" w:cs="Apple Chancery"/>
        </w:rPr>
        <w:t>the</w:t>
      </w:r>
      <w:r>
        <w:rPr>
          <w:rFonts w:ascii="Garamond" w:hAnsi="Garamond" w:cs="Apple Chancery"/>
        </w:rPr>
        <w:t xml:space="preserve"> state </w:t>
      </w:r>
      <w:r w:rsidRPr="009E1077">
        <w:rPr>
          <w:rFonts w:ascii="Garamond" w:hAnsi="Garamond" w:cs="Apple Chancery"/>
        </w:rPr>
        <w:t>underpinned by a represented collective (though which collective is unclear in the above statement). This is somewhat unsurprising given the liberal view of the social contract which sees the authority of the state and its government as built on the consent of the people.</w:t>
      </w:r>
      <w:r w:rsidRPr="009E1077">
        <w:rPr>
          <w:rStyle w:val="FootnoteReference"/>
          <w:rFonts w:ascii="Garamond" w:hAnsi="Garamond" w:cs="Apple Chancery"/>
        </w:rPr>
        <w:footnoteReference w:id="30"/>
      </w:r>
      <w:r w:rsidRPr="009E1077">
        <w:rPr>
          <w:rFonts w:ascii="Garamond" w:hAnsi="Garamond" w:cs="Apple Chancery"/>
        </w:rPr>
        <w:t xml:space="preserve"> Such people become subsumed within the personified state. Parfitt demonstrates how the logics of early liberal thought, particularly on the social contract, shaped assumptions of statehood.</w:t>
      </w:r>
      <w:r w:rsidRPr="009E1077">
        <w:rPr>
          <w:rStyle w:val="FootnoteReference"/>
          <w:rFonts w:ascii="Garamond" w:hAnsi="Garamond" w:cs="Apple Chancery"/>
        </w:rPr>
        <w:footnoteReference w:id="31"/>
      </w:r>
      <w:r w:rsidRPr="009E1077">
        <w:rPr>
          <w:rFonts w:ascii="Garamond" w:hAnsi="Garamond" w:cs="Apple Chancery"/>
        </w:rPr>
        <w:t xml:space="preserve"> The ‘equality of man’, Hobbes argued, was preserved through ceding part of his natural freedom to the state to act </w:t>
      </w:r>
      <w:r w:rsidR="00C11853">
        <w:rPr>
          <w:rFonts w:ascii="Garamond" w:hAnsi="Garamond" w:cs="Apple Chancery"/>
        </w:rPr>
        <w:t>o</w:t>
      </w:r>
      <w:r w:rsidRPr="009E1077">
        <w:rPr>
          <w:rFonts w:ascii="Garamond" w:hAnsi="Garamond" w:cs="Apple Chancery"/>
        </w:rPr>
        <w:t>n his behalf.</w:t>
      </w:r>
      <w:r w:rsidRPr="009E1077">
        <w:rPr>
          <w:rStyle w:val="FootnoteReference"/>
          <w:rFonts w:ascii="Garamond" w:hAnsi="Garamond" w:cs="Apple Chancery"/>
        </w:rPr>
        <w:footnoteReference w:id="32"/>
      </w:r>
      <w:r w:rsidRPr="009E1077">
        <w:rPr>
          <w:rFonts w:ascii="Garamond" w:hAnsi="Garamond" w:cs="Apple Chancery"/>
        </w:rPr>
        <w:t xml:space="preserve"> This, Parfitt laments, is the birth of the modern state as a legal </w:t>
      </w:r>
      <w:r w:rsidRPr="009E1077">
        <w:rPr>
          <w:rFonts w:ascii="Garamond" w:hAnsi="Garamond" w:cs="Apple Chancery"/>
          <w:i/>
          <w:iCs/>
        </w:rPr>
        <w:t xml:space="preserve">person: </w:t>
      </w:r>
      <w:r w:rsidR="00CA7546">
        <w:rPr>
          <w:rFonts w:ascii="Garamond" w:hAnsi="Garamond" w:cs="Apple Chancery"/>
        </w:rPr>
        <w:t>‘</w:t>
      </w:r>
      <w:r w:rsidRPr="009E1077">
        <w:rPr>
          <w:rFonts w:ascii="Garamond" w:hAnsi="Garamond" w:cs="Apple Chancery"/>
        </w:rPr>
        <w:t>the multitude…so united in one Person, is called a common-wealth</w:t>
      </w:r>
      <w:r w:rsidR="00CA7546">
        <w:rPr>
          <w:rFonts w:ascii="Garamond" w:hAnsi="Garamond" w:cs="Apple Chancery"/>
        </w:rPr>
        <w:t>’</w:t>
      </w:r>
      <w:r w:rsidRPr="009E1077">
        <w:rPr>
          <w:rFonts w:ascii="Garamond" w:hAnsi="Garamond" w:cs="Apple Chancery"/>
        </w:rPr>
        <w:t>.</w:t>
      </w:r>
      <w:r w:rsidRPr="009E1077">
        <w:rPr>
          <w:rStyle w:val="FootnoteReference"/>
          <w:rFonts w:ascii="Garamond" w:hAnsi="Garamond" w:cs="Apple Chancery"/>
        </w:rPr>
        <w:footnoteReference w:id="33"/>
      </w:r>
      <w:r>
        <w:rPr>
          <w:rFonts w:ascii="Garamond" w:hAnsi="Garamond" w:cs="Apple Chancery"/>
        </w:rPr>
        <w:t xml:space="preserve"> Such thinking, </w:t>
      </w:r>
      <w:r w:rsidRPr="009E1077">
        <w:rPr>
          <w:rFonts w:ascii="Garamond" w:hAnsi="Garamond" w:cs="Apple Chancery"/>
        </w:rPr>
        <w:t xml:space="preserve">Karen Knop </w:t>
      </w:r>
      <w:r>
        <w:rPr>
          <w:rFonts w:ascii="Garamond" w:hAnsi="Garamond" w:cs="Apple Chancery"/>
        </w:rPr>
        <w:t>argues, constructs a monolith at the expense of differences and plurality amongst peoples.</w:t>
      </w:r>
      <w:r w:rsidRPr="009E1077">
        <w:rPr>
          <w:rStyle w:val="FootnoteReference"/>
          <w:rFonts w:ascii="Garamond" w:hAnsi="Garamond" w:cs="Apple Chancery"/>
        </w:rPr>
        <w:footnoteReference w:id="34"/>
      </w:r>
      <w:r w:rsidRPr="009E1077">
        <w:rPr>
          <w:rFonts w:ascii="Garamond" w:hAnsi="Garamond" w:cs="Apple Chancery"/>
        </w:rPr>
        <w:t xml:space="preserve"> The constitution of Mauritius as a unified party</w:t>
      </w:r>
      <w:r w:rsidR="00680A0E">
        <w:rPr>
          <w:rFonts w:ascii="Garamond" w:hAnsi="Garamond" w:cs="Apple Chancery"/>
        </w:rPr>
        <w:t xml:space="preserve"> – </w:t>
      </w:r>
      <w:r w:rsidRPr="009E1077">
        <w:rPr>
          <w:rFonts w:ascii="Garamond" w:hAnsi="Garamond" w:cs="Apple Chancery"/>
        </w:rPr>
        <w:t>a</w:t>
      </w:r>
      <w:r w:rsidR="00680A0E">
        <w:rPr>
          <w:rFonts w:ascii="Garamond" w:hAnsi="Garamond" w:cs="Apple Chancery"/>
        </w:rPr>
        <w:t xml:space="preserve"> </w:t>
      </w:r>
      <w:r w:rsidRPr="009E1077">
        <w:rPr>
          <w:rFonts w:ascii="Garamond" w:hAnsi="Garamond" w:cs="Apple Chancery"/>
        </w:rPr>
        <w:t>(possible, would be) consenting state</w:t>
      </w:r>
      <w:r w:rsidR="00680A0E">
        <w:rPr>
          <w:rFonts w:ascii="Garamond" w:hAnsi="Garamond" w:cs="Apple Chancery"/>
        </w:rPr>
        <w:t xml:space="preserve"> – </w:t>
      </w:r>
      <w:r w:rsidRPr="009E1077">
        <w:rPr>
          <w:rFonts w:ascii="Garamond" w:hAnsi="Garamond" w:cs="Apple Chancery"/>
        </w:rPr>
        <w:t>may</w:t>
      </w:r>
      <w:r w:rsidR="00680A0E">
        <w:rPr>
          <w:rFonts w:ascii="Garamond" w:hAnsi="Garamond" w:cs="Apple Chancery"/>
        </w:rPr>
        <w:t xml:space="preserve"> </w:t>
      </w:r>
      <w:r w:rsidRPr="009E1077">
        <w:rPr>
          <w:rFonts w:ascii="Garamond" w:hAnsi="Garamond" w:cs="Apple Chancery"/>
        </w:rPr>
        <w:t xml:space="preserve">then serve to flatten those ‘included’ within its fold. </w:t>
      </w:r>
    </w:p>
    <w:p w14:paraId="382575D0" w14:textId="5F323A42" w:rsidR="002C4C6B" w:rsidRPr="009E1077" w:rsidRDefault="002C4C6B" w:rsidP="00740662">
      <w:pPr>
        <w:jc w:val="both"/>
        <w:rPr>
          <w:rFonts w:ascii="Garamond" w:hAnsi="Garamond" w:cs="Apple Chancery"/>
        </w:rPr>
      </w:pPr>
      <w:r w:rsidRPr="009E1077">
        <w:rPr>
          <w:rFonts w:ascii="Garamond" w:hAnsi="Garamond" w:cs="Apple Chancery"/>
        </w:rPr>
        <w:t>This is certainly a concern raised within the separate opinion of Judge Cançad</w:t>
      </w:r>
      <w:r>
        <w:rPr>
          <w:rFonts w:ascii="Garamond" w:hAnsi="Garamond" w:cs="Apple Chancery"/>
        </w:rPr>
        <w:t>o</w:t>
      </w:r>
      <w:r w:rsidRPr="009E1077">
        <w:rPr>
          <w:rFonts w:ascii="Garamond" w:hAnsi="Garamond" w:cs="Apple Chancery"/>
        </w:rPr>
        <w:t xml:space="preserve"> Trindade. He attempts to tease apart the idea of ‘</w:t>
      </w:r>
      <w:r w:rsidRPr="00F85149">
        <w:rPr>
          <w:rFonts w:ascii="Garamond" w:hAnsi="Garamond" w:cs="Apple Chancery"/>
          <w:i/>
          <w:iCs/>
        </w:rPr>
        <w:t xml:space="preserve">state </w:t>
      </w:r>
      <w:r w:rsidRPr="009E1077">
        <w:rPr>
          <w:rFonts w:ascii="Garamond" w:hAnsi="Garamond" w:cs="Apple Chancery"/>
        </w:rPr>
        <w:t>consent’ from the ‘will of the</w:t>
      </w:r>
      <w:r w:rsidRPr="00F85149">
        <w:rPr>
          <w:rFonts w:ascii="Garamond" w:hAnsi="Garamond" w:cs="Apple Chancery"/>
          <w:i/>
          <w:iCs/>
        </w:rPr>
        <w:t xml:space="preserve"> people</w:t>
      </w:r>
      <w:r w:rsidRPr="009E1077">
        <w:rPr>
          <w:rFonts w:ascii="Garamond" w:hAnsi="Garamond" w:cs="Apple Chancery"/>
        </w:rPr>
        <w:t xml:space="preserve"> concerned’. He includes the above quoted paragraph</w:t>
      </w:r>
      <w:r w:rsidRPr="009E1077">
        <w:rPr>
          <w:rStyle w:val="FootnoteReference"/>
          <w:rFonts w:ascii="Garamond" w:hAnsi="Garamond" w:cs="Apple Chancery"/>
        </w:rPr>
        <w:footnoteReference w:id="35"/>
      </w:r>
      <w:r w:rsidRPr="009E1077">
        <w:rPr>
          <w:rFonts w:ascii="Garamond" w:hAnsi="Garamond" w:cs="Apple Chancery"/>
        </w:rPr>
        <w:t xml:space="preserve"> from the main opinion as an example of the ICJ’s repeated prioritisation of individual stat</w:t>
      </w:r>
      <w:r>
        <w:rPr>
          <w:rFonts w:ascii="Garamond" w:hAnsi="Garamond" w:cs="Apple Chancery"/>
        </w:rPr>
        <w:t>e</w:t>
      </w:r>
      <w:r w:rsidRPr="009E1077">
        <w:rPr>
          <w:rFonts w:ascii="Garamond" w:hAnsi="Garamond" w:cs="Apple Chancery"/>
        </w:rPr>
        <w:t xml:space="preserve"> consent</w:t>
      </w:r>
      <w:r>
        <w:rPr>
          <w:rFonts w:ascii="Garamond" w:hAnsi="Garamond" w:cs="Apple Chancery"/>
        </w:rPr>
        <w:t xml:space="preserve">, </w:t>
      </w:r>
      <w:r w:rsidR="00AB7C94">
        <w:rPr>
          <w:rFonts w:ascii="Garamond" w:hAnsi="Garamond" w:cs="Apple Chancery"/>
        </w:rPr>
        <w:t>‘</w:t>
      </w:r>
      <w:r w:rsidRPr="009E1077">
        <w:rPr>
          <w:rFonts w:ascii="Garamond" w:hAnsi="Garamond" w:cs="Apple Chancery"/>
        </w:rPr>
        <w:t>even refer[</w:t>
      </w:r>
      <w:proofErr w:type="spellStart"/>
      <w:r w:rsidRPr="009E1077">
        <w:rPr>
          <w:rFonts w:ascii="Garamond" w:hAnsi="Garamond" w:cs="Apple Chancery"/>
        </w:rPr>
        <w:t>ing</w:t>
      </w:r>
      <w:proofErr w:type="spellEnd"/>
      <w:r w:rsidRPr="009E1077">
        <w:rPr>
          <w:rFonts w:ascii="Garamond" w:hAnsi="Garamond" w:cs="Apple Chancery"/>
        </w:rPr>
        <w:t>] to “consent” as being a “principle”</w:t>
      </w:r>
      <w:r w:rsidR="00B51B99">
        <w:rPr>
          <w:rFonts w:ascii="Garamond" w:hAnsi="Garamond" w:cs="Apple Chancery"/>
        </w:rPr>
        <w:t>’</w:t>
      </w:r>
      <w:r w:rsidR="00AB7C94">
        <w:rPr>
          <w:rFonts w:ascii="Garamond" w:hAnsi="Garamond" w:cs="Apple Chancery"/>
        </w:rPr>
        <w:t>.</w:t>
      </w:r>
      <w:r w:rsidRPr="009E1077">
        <w:rPr>
          <w:rStyle w:val="FootnoteReference"/>
          <w:rFonts w:ascii="Garamond" w:hAnsi="Garamond" w:cs="Apple Chancery"/>
        </w:rPr>
        <w:footnoteReference w:id="36"/>
      </w:r>
      <w:r w:rsidRPr="009E1077">
        <w:rPr>
          <w:rFonts w:ascii="Garamond" w:hAnsi="Garamond" w:cs="Apple Chancery"/>
        </w:rPr>
        <w:t xml:space="preserve"> This, he argues, is the ICJ ‘paying lip service’ to an inter-state outlook</w:t>
      </w:r>
      <w:r w:rsidR="00B51B99">
        <w:rPr>
          <w:rFonts w:ascii="Garamond" w:hAnsi="Garamond" w:cs="Apple Chancery"/>
        </w:rPr>
        <w:t>,</w:t>
      </w:r>
      <w:r w:rsidRPr="009E1077">
        <w:rPr>
          <w:rFonts w:ascii="Garamond" w:hAnsi="Garamond" w:cs="Apple Chancery"/>
        </w:rPr>
        <w:t xml:space="preserve"> placing the ‘will’ of states above the demands of justice. Quoting his dissenting opinion in </w:t>
      </w:r>
      <w:r w:rsidRPr="009E1077">
        <w:rPr>
          <w:rFonts w:ascii="Garamond" w:hAnsi="Garamond" w:cs="Apple Chancery"/>
          <w:i/>
          <w:iCs/>
        </w:rPr>
        <w:t xml:space="preserve">Georgia v Russian Federation: </w:t>
      </w:r>
    </w:p>
    <w:p w14:paraId="10257AB7" w14:textId="77777777" w:rsidR="002C4C6B" w:rsidRPr="009E1077" w:rsidRDefault="002C4C6B" w:rsidP="00740662">
      <w:pPr>
        <w:ind w:left="720"/>
        <w:jc w:val="both"/>
        <w:rPr>
          <w:rFonts w:ascii="Garamond" w:hAnsi="Garamond" w:cs="Apple Chancery"/>
        </w:rPr>
      </w:pPr>
      <w:r w:rsidRPr="009E1077">
        <w:rPr>
          <w:rFonts w:ascii="Garamond" w:hAnsi="Garamond" w:cs="Apple Chancery"/>
        </w:rPr>
        <w:t>the ICJ cannot remain indifferent to such injustice of ‘human fates’, and to human suffering…the realization of justice can hardly be attained from a strict state-centred voluntarist perspective, and a recurring search for state consent.</w:t>
      </w:r>
      <w:r w:rsidRPr="009E1077">
        <w:rPr>
          <w:rStyle w:val="FootnoteReference"/>
          <w:rFonts w:ascii="Garamond" w:hAnsi="Garamond" w:cs="Apple Chancery"/>
        </w:rPr>
        <w:footnoteReference w:id="37"/>
      </w:r>
      <w:r w:rsidRPr="009E1077">
        <w:rPr>
          <w:rFonts w:ascii="Garamond" w:hAnsi="Garamond" w:cs="Apple Chancery"/>
        </w:rPr>
        <w:t xml:space="preserve"> </w:t>
      </w:r>
    </w:p>
    <w:p w14:paraId="08E18345" w14:textId="1BE50A39" w:rsidR="002C4C6B" w:rsidRPr="009E1077" w:rsidRDefault="002C4C6B" w:rsidP="00740662">
      <w:pPr>
        <w:jc w:val="both"/>
        <w:rPr>
          <w:rFonts w:ascii="Garamond" w:hAnsi="Garamond" w:cs="Apple Chancery"/>
        </w:rPr>
      </w:pPr>
      <w:r>
        <w:rPr>
          <w:rFonts w:ascii="Garamond" w:hAnsi="Garamond" w:cs="Apple Chancery"/>
        </w:rPr>
        <w:lastRenderedPageBreak/>
        <w:t xml:space="preserve">Judge </w:t>
      </w:r>
      <w:r w:rsidRPr="009E1077">
        <w:rPr>
          <w:rFonts w:ascii="Garamond" w:hAnsi="Garamond" w:cs="Apple Chancery"/>
        </w:rPr>
        <w:t>Cançad</w:t>
      </w:r>
      <w:r>
        <w:rPr>
          <w:rFonts w:ascii="Garamond" w:hAnsi="Garamond" w:cs="Apple Chancery"/>
        </w:rPr>
        <w:t>o</w:t>
      </w:r>
      <w:r w:rsidRPr="009E1077">
        <w:rPr>
          <w:rFonts w:ascii="Garamond" w:hAnsi="Garamond" w:cs="Apple Chancery"/>
        </w:rPr>
        <w:t xml:space="preserve"> Trindade challenges</w:t>
      </w:r>
      <w:r>
        <w:rPr>
          <w:rFonts w:ascii="Garamond" w:hAnsi="Garamond" w:cs="Apple Chancery"/>
        </w:rPr>
        <w:t xml:space="preserve"> the</w:t>
      </w:r>
      <w:r w:rsidRPr="009E1077">
        <w:rPr>
          <w:rFonts w:ascii="Garamond" w:hAnsi="Garamond" w:cs="Apple Chancery"/>
        </w:rPr>
        <w:t xml:space="preserve"> ICJ’s ready alignment of the consent of the people and the consent of the state.</w:t>
      </w:r>
      <w:r w:rsidRPr="009E1077">
        <w:rPr>
          <w:rStyle w:val="FootnoteReference"/>
          <w:rFonts w:ascii="Garamond" w:hAnsi="Garamond" w:cs="Apple Chancery"/>
        </w:rPr>
        <w:footnoteReference w:id="38"/>
      </w:r>
      <w:r w:rsidRPr="009E1077">
        <w:rPr>
          <w:rFonts w:ascii="Garamond" w:hAnsi="Garamond" w:cs="Apple Chancery"/>
        </w:rPr>
        <w:t xml:space="preserve"> Crucially, the notion of ‘individual state consent’ speaks to the tendency to stand states apart as individual, unitary agents able to exercise will as detached from the ‘human fates’ of embodied people. Indeed, elsewhere he is more assertive in situating these ‘subjects’ in tension by reiterating that </w:t>
      </w:r>
      <w:r w:rsidR="003F744B">
        <w:rPr>
          <w:rFonts w:ascii="Garamond" w:hAnsi="Garamond" w:cs="Apple Chancery"/>
        </w:rPr>
        <w:t>‘</w:t>
      </w:r>
      <w:r w:rsidRPr="009E1077">
        <w:rPr>
          <w:rFonts w:ascii="Garamond" w:hAnsi="Garamond" w:cs="Apple Chancery"/>
        </w:rPr>
        <w:t>the peoples of the world cannot remain hostage of individual state consent</w:t>
      </w:r>
      <w:r w:rsidR="003F744B">
        <w:rPr>
          <w:rFonts w:ascii="Garamond" w:hAnsi="Garamond" w:cs="Apple Chancery"/>
        </w:rPr>
        <w:t>’</w:t>
      </w:r>
      <w:r w:rsidRPr="009E1077">
        <w:rPr>
          <w:rFonts w:ascii="Garamond" w:hAnsi="Garamond" w:cs="Apple Chancery"/>
        </w:rPr>
        <w:t>.</w:t>
      </w:r>
      <w:r w:rsidRPr="009E1077">
        <w:rPr>
          <w:rStyle w:val="FootnoteReference"/>
          <w:rFonts w:ascii="Garamond" w:hAnsi="Garamond" w:cs="Apple Chancery"/>
        </w:rPr>
        <w:footnoteReference w:id="39"/>
      </w:r>
      <w:r w:rsidRPr="009E1077">
        <w:rPr>
          <w:rFonts w:ascii="Garamond" w:hAnsi="Garamond" w:cs="Apple Chancery"/>
        </w:rPr>
        <w:t xml:space="preserve"> </w:t>
      </w:r>
    </w:p>
    <w:p w14:paraId="4E7597CD" w14:textId="7570FC10" w:rsidR="002C4C6B" w:rsidRPr="009E1077" w:rsidRDefault="002C4C6B" w:rsidP="00740662">
      <w:pPr>
        <w:jc w:val="both"/>
        <w:rPr>
          <w:rFonts w:ascii="Garamond" w:hAnsi="Garamond" w:cs="Apple Chancery"/>
        </w:rPr>
      </w:pPr>
      <w:r w:rsidRPr="009E1077">
        <w:rPr>
          <w:rFonts w:ascii="Garamond" w:hAnsi="Garamond" w:cs="Apple Chancery"/>
        </w:rPr>
        <w:t>The discursive consolidation of the Chagossian people into the framework of the legal personality of Mauritius is a reconstitution of the subalternity of this population</w:t>
      </w:r>
      <w:r>
        <w:rPr>
          <w:rFonts w:ascii="Garamond" w:hAnsi="Garamond" w:cs="Apple Chancery"/>
        </w:rPr>
        <w:t xml:space="preserve">: </w:t>
      </w:r>
      <w:r w:rsidRPr="009E1077">
        <w:rPr>
          <w:rFonts w:ascii="Garamond" w:hAnsi="Garamond" w:cs="Apple Chancery"/>
        </w:rPr>
        <w:t>unable to speak and be heard through the architecture of international law.</w:t>
      </w:r>
      <w:r w:rsidRPr="009E1077">
        <w:rPr>
          <w:rStyle w:val="FootnoteReference"/>
          <w:rFonts w:ascii="Garamond" w:hAnsi="Garamond" w:cs="Apple Chancery"/>
        </w:rPr>
        <w:footnoteReference w:id="40"/>
      </w:r>
      <w:r w:rsidRPr="009E1077">
        <w:rPr>
          <w:rFonts w:ascii="Garamond" w:hAnsi="Garamond" w:cs="Apple Chancery"/>
        </w:rPr>
        <w:t xml:space="preserve"> Gail Lythgoe, in stressing the exclusion of the </w:t>
      </w:r>
      <w:proofErr w:type="spellStart"/>
      <w:r w:rsidRPr="009E1077">
        <w:rPr>
          <w:rFonts w:ascii="Garamond" w:hAnsi="Garamond" w:cs="Apple Chancery"/>
        </w:rPr>
        <w:t>Chagossians</w:t>
      </w:r>
      <w:proofErr w:type="spellEnd"/>
      <w:r w:rsidRPr="009E1077">
        <w:rPr>
          <w:rFonts w:ascii="Garamond" w:hAnsi="Garamond" w:cs="Apple Chancery"/>
        </w:rPr>
        <w:t xml:space="preserve"> from international law, draws an analogy between them and the peoples of East Timor, quoting Judge Vereschetin: </w:t>
      </w:r>
      <w:r w:rsidR="00C62F55">
        <w:rPr>
          <w:rFonts w:ascii="Garamond" w:hAnsi="Garamond" w:cs="Apple Chancery"/>
        </w:rPr>
        <w:t>‘</w:t>
      </w:r>
      <w:r w:rsidRPr="009E1077">
        <w:rPr>
          <w:rFonts w:ascii="Garamond" w:hAnsi="Garamond" w:cs="Apple Chancery"/>
        </w:rPr>
        <w:t>besides Indonesia…</w:t>
      </w:r>
      <w:r w:rsidRPr="00CB642B">
        <w:rPr>
          <w:rFonts w:ascii="Garamond" w:hAnsi="Garamond" w:cs="Apple Chancery"/>
        </w:rPr>
        <w:t xml:space="preserve">there is another </w:t>
      </w:r>
      <w:r w:rsidR="00C62F55">
        <w:rPr>
          <w:rFonts w:ascii="Garamond" w:hAnsi="Garamond" w:cs="Apple Chancery"/>
        </w:rPr>
        <w:t>“</w:t>
      </w:r>
      <w:r w:rsidRPr="00CB642B">
        <w:rPr>
          <w:rFonts w:ascii="Garamond" w:hAnsi="Garamond" w:cs="Apple Chancery"/>
        </w:rPr>
        <w:t>third party</w:t>
      </w:r>
      <w:r w:rsidR="00C62F55">
        <w:rPr>
          <w:rFonts w:ascii="Garamond" w:hAnsi="Garamond" w:cs="Apple Chancery"/>
        </w:rPr>
        <w:t>”</w:t>
      </w:r>
      <w:r w:rsidRPr="00CB642B">
        <w:rPr>
          <w:rFonts w:ascii="Garamond" w:hAnsi="Garamond" w:cs="Apple Chancery"/>
        </w:rPr>
        <w:t xml:space="preserve"> in this case, whose consent was [not] sought…the </w:t>
      </w:r>
      <w:r w:rsidR="00C62F55">
        <w:rPr>
          <w:rFonts w:ascii="Garamond" w:hAnsi="Garamond" w:cs="Apple Chancery"/>
        </w:rPr>
        <w:t>“</w:t>
      </w:r>
      <w:r w:rsidRPr="00CB642B">
        <w:rPr>
          <w:rFonts w:ascii="Garamond" w:hAnsi="Garamond" w:cs="Apple Chancery"/>
        </w:rPr>
        <w:t>third party</w:t>
      </w:r>
      <w:r w:rsidR="00C62F55">
        <w:rPr>
          <w:rFonts w:ascii="Garamond" w:hAnsi="Garamond" w:cs="Apple Chancery"/>
        </w:rPr>
        <w:t>”</w:t>
      </w:r>
      <w:r w:rsidRPr="009E1077">
        <w:rPr>
          <w:rFonts w:ascii="Garamond" w:hAnsi="Garamond" w:cs="Apple Chancery"/>
        </w:rPr>
        <w:t xml:space="preserve"> at issue is the people of East Timor</w:t>
      </w:r>
      <w:r w:rsidR="00BD60DA">
        <w:rPr>
          <w:rFonts w:ascii="Garamond" w:hAnsi="Garamond" w:cs="Apple Chancery"/>
        </w:rPr>
        <w:t>’</w:t>
      </w:r>
      <w:r w:rsidR="00B8522C">
        <w:rPr>
          <w:rFonts w:ascii="Garamond" w:hAnsi="Garamond" w:cs="Apple Chancery"/>
        </w:rPr>
        <w:t>.</w:t>
      </w:r>
      <w:r w:rsidRPr="009E1077">
        <w:rPr>
          <w:rStyle w:val="FootnoteReference"/>
          <w:rFonts w:ascii="Garamond" w:hAnsi="Garamond" w:cs="Apple Chancery"/>
        </w:rPr>
        <w:footnoteReference w:id="41"/>
      </w:r>
      <w:r w:rsidRPr="009E1077">
        <w:rPr>
          <w:rFonts w:ascii="Garamond" w:hAnsi="Garamond" w:cs="Apple Chancery"/>
        </w:rPr>
        <w:t xml:space="preserve"> </w:t>
      </w:r>
      <w:proofErr w:type="spellStart"/>
      <w:r w:rsidRPr="009E1077">
        <w:rPr>
          <w:rFonts w:ascii="Garamond" w:hAnsi="Garamond" w:cs="Apple Chancery"/>
        </w:rPr>
        <w:t>Chagossians</w:t>
      </w:r>
      <w:proofErr w:type="spellEnd"/>
      <w:r w:rsidRPr="009E1077">
        <w:rPr>
          <w:rFonts w:ascii="Garamond" w:hAnsi="Garamond" w:cs="Apple Chancery"/>
        </w:rPr>
        <w:t xml:space="preserve">, as a ‘third party’, </w:t>
      </w:r>
      <w:r>
        <w:rPr>
          <w:rFonts w:ascii="Garamond" w:hAnsi="Garamond" w:cs="Apple Chancery"/>
        </w:rPr>
        <w:t>are clearly not central</w:t>
      </w:r>
      <w:r w:rsidRPr="009E1077">
        <w:rPr>
          <w:rFonts w:ascii="Garamond" w:hAnsi="Garamond" w:cs="Apple Chancery"/>
        </w:rPr>
        <w:t xml:space="preserve">. This is a product of the entrenchment of consent within the package of legal personality and the personification of the state. This unitary, stable subject, Jean </w:t>
      </w:r>
      <w:proofErr w:type="spellStart"/>
      <w:r w:rsidRPr="009E1077">
        <w:rPr>
          <w:rFonts w:ascii="Garamond" w:hAnsi="Garamond" w:cs="Apple Chancery"/>
        </w:rPr>
        <w:t>d’Aspremont</w:t>
      </w:r>
      <w:proofErr w:type="spellEnd"/>
      <w:r w:rsidRPr="009E1077">
        <w:rPr>
          <w:rFonts w:ascii="Garamond" w:hAnsi="Garamond" w:cs="Apple Chancery"/>
        </w:rPr>
        <w:t xml:space="preserve"> observes, ironically </w:t>
      </w:r>
      <w:r w:rsidR="00BD60DA">
        <w:rPr>
          <w:rFonts w:ascii="Garamond" w:hAnsi="Garamond" w:cs="Apple Chancery"/>
        </w:rPr>
        <w:t>‘</w:t>
      </w:r>
      <w:r w:rsidRPr="009E1077">
        <w:rPr>
          <w:rFonts w:ascii="Garamond" w:hAnsi="Garamond" w:cs="Apple Chancery"/>
        </w:rPr>
        <w:t>exclude[s] individuals from its spatial representation of the world… providing states and [international organisations] with the privilege of consenting to international law</w:t>
      </w:r>
      <w:r w:rsidR="00BD60DA">
        <w:rPr>
          <w:rFonts w:ascii="Garamond" w:hAnsi="Garamond" w:cs="Apple Chancery"/>
        </w:rPr>
        <w:t>’</w:t>
      </w:r>
      <w:r w:rsidR="0083640C">
        <w:rPr>
          <w:rFonts w:ascii="Garamond" w:hAnsi="Garamond" w:cs="Apple Chancery"/>
        </w:rPr>
        <w:t>.</w:t>
      </w:r>
      <w:r w:rsidRPr="009E1077">
        <w:rPr>
          <w:rStyle w:val="FootnoteReference"/>
          <w:rFonts w:ascii="Garamond" w:hAnsi="Garamond" w:cs="Apple Chancery"/>
        </w:rPr>
        <w:footnoteReference w:id="42"/>
      </w:r>
      <w:r w:rsidRPr="009E1077">
        <w:rPr>
          <w:rFonts w:ascii="Garamond" w:hAnsi="Garamond" w:cs="Apple Chancery"/>
        </w:rPr>
        <w:t xml:space="preserve"> The anthropomorphic designation of state</w:t>
      </w:r>
      <w:r w:rsidR="00A41213">
        <w:rPr>
          <w:rFonts w:ascii="Garamond" w:hAnsi="Garamond" w:cs="Apple Chancery"/>
        </w:rPr>
        <w:t>s</w:t>
      </w:r>
      <w:r w:rsidRPr="009E1077">
        <w:rPr>
          <w:rFonts w:ascii="Garamond" w:hAnsi="Garamond" w:cs="Apple Chancery"/>
        </w:rPr>
        <w:t xml:space="preserve"> eclipses embodied individuals by endowing </w:t>
      </w:r>
      <w:r w:rsidRPr="009E1077">
        <w:rPr>
          <w:rFonts w:ascii="Garamond" w:hAnsi="Garamond" w:cs="Apple Chancery"/>
          <w:i/>
          <w:iCs/>
        </w:rPr>
        <w:t xml:space="preserve">it </w:t>
      </w:r>
      <w:r w:rsidRPr="009E1077">
        <w:rPr>
          <w:rFonts w:ascii="Garamond" w:hAnsi="Garamond" w:cs="Apple Chancery"/>
        </w:rPr>
        <w:t xml:space="preserve">(not </w:t>
      </w:r>
      <w:r w:rsidRPr="009E1077">
        <w:rPr>
          <w:rFonts w:ascii="Garamond" w:hAnsi="Garamond" w:cs="Apple Chancery"/>
          <w:i/>
          <w:iCs/>
        </w:rPr>
        <w:t>them</w:t>
      </w:r>
      <w:r w:rsidRPr="009E1077">
        <w:rPr>
          <w:rFonts w:ascii="Garamond" w:hAnsi="Garamond" w:cs="Apple Chancery"/>
        </w:rPr>
        <w:t xml:space="preserve">) with </w:t>
      </w:r>
      <w:r w:rsidR="00F66972">
        <w:rPr>
          <w:rFonts w:ascii="Garamond" w:hAnsi="Garamond" w:cs="Apple Chancery"/>
        </w:rPr>
        <w:t>‘</w:t>
      </w:r>
      <w:r w:rsidRPr="009E1077">
        <w:rPr>
          <w:rFonts w:ascii="Garamond" w:hAnsi="Garamond" w:cs="Apple Chancery"/>
        </w:rPr>
        <w:t>human intellect enabling them to consent</w:t>
      </w:r>
      <w:r w:rsidR="00F66972">
        <w:rPr>
          <w:rFonts w:ascii="Garamond" w:hAnsi="Garamond" w:cs="Apple Chancery"/>
        </w:rPr>
        <w:t>’</w:t>
      </w:r>
      <w:r w:rsidR="0083640C">
        <w:rPr>
          <w:rFonts w:ascii="Garamond" w:hAnsi="Garamond" w:cs="Apple Chancery"/>
        </w:rPr>
        <w:t>.</w:t>
      </w:r>
      <w:r w:rsidRPr="009E1077">
        <w:rPr>
          <w:rStyle w:val="FootnoteReference"/>
          <w:rFonts w:ascii="Garamond" w:hAnsi="Garamond" w:cs="Apple Chancery"/>
        </w:rPr>
        <w:footnoteReference w:id="43"/>
      </w:r>
      <w:r w:rsidRPr="009E1077">
        <w:rPr>
          <w:rFonts w:ascii="Garamond" w:hAnsi="Garamond" w:cs="Apple Chancery"/>
        </w:rPr>
        <w:t xml:space="preserve"> This fiction is alive in the ICJ’s AO maintaining the dispossession of the </w:t>
      </w:r>
      <w:proofErr w:type="spellStart"/>
      <w:r w:rsidRPr="009E1077">
        <w:rPr>
          <w:rFonts w:ascii="Garamond" w:hAnsi="Garamond" w:cs="Apple Chancery"/>
        </w:rPr>
        <w:t>Chagossians</w:t>
      </w:r>
      <w:proofErr w:type="spellEnd"/>
      <w:r w:rsidRPr="009E1077">
        <w:rPr>
          <w:rFonts w:ascii="Garamond" w:hAnsi="Garamond" w:cs="Apple Chancery"/>
        </w:rPr>
        <w:t xml:space="preserve"> not only from the physical space of the archipelago but also through the spaces of international law.</w:t>
      </w:r>
    </w:p>
    <w:p w14:paraId="104D73FC" w14:textId="5441E0D8" w:rsidR="002C4C6B" w:rsidRPr="009E1077" w:rsidRDefault="002C4C6B" w:rsidP="00740662">
      <w:pPr>
        <w:jc w:val="both"/>
        <w:rPr>
          <w:rFonts w:ascii="Garamond" w:hAnsi="Garamond"/>
        </w:rPr>
      </w:pPr>
      <w:r>
        <w:rPr>
          <w:rFonts w:ascii="Garamond" w:hAnsi="Garamond" w:cs="Apple Chancery"/>
        </w:rPr>
        <w:t>The</w:t>
      </w:r>
      <w:r w:rsidRPr="009E1077">
        <w:rPr>
          <w:rFonts w:ascii="Garamond" w:hAnsi="Garamond" w:cs="Apple Chancery"/>
        </w:rPr>
        <w:t xml:space="preserve"> ICJ AO is</w:t>
      </w:r>
      <w:r>
        <w:rPr>
          <w:rFonts w:ascii="Garamond" w:hAnsi="Garamond" w:cs="Apple Chancery"/>
        </w:rPr>
        <w:t xml:space="preserve"> undoubtedly</w:t>
      </w:r>
      <w:r w:rsidRPr="009E1077">
        <w:rPr>
          <w:rFonts w:ascii="Garamond" w:hAnsi="Garamond" w:cs="Apple Chancery"/>
        </w:rPr>
        <w:t xml:space="preserve"> significant for rendering the decolonisation of Mauritius incomplete due to the separation of Chagos contrary to the right of self-determination. This right, amongst others, is often considered a counter to the primacy of the (European) state in international law.</w:t>
      </w:r>
      <w:r>
        <w:rPr>
          <w:rFonts w:ascii="Garamond" w:hAnsi="Garamond" w:cs="Apple Chancery"/>
        </w:rPr>
        <w:t xml:space="preserve"> </w:t>
      </w:r>
      <w:r w:rsidRPr="009E1077">
        <w:rPr>
          <w:rFonts w:ascii="Garamond" w:hAnsi="Garamond" w:cs="Apple Chancery"/>
        </w:rPr>
        <w:t xml:space="preserve">For example, Malcolm Shaw observes a general tension in the field of international law with </w:t>
      </w:r>
      <w:r w:rsidR="00DA57AE">
        <w:rPr>
          <w:rFonts w:ascii="Garamond" w:hAnsi="Garamond" w:cs="Apple Chancery"/>
        </w:rPr>
        <w:t>‘</w:t>
      </w:r>
      <w:r w:rsidRPr="009E1077">
        <w:rPr>
          <w:rFonts w:ascii="Garamond" w:hAnsi="Garamond" w:cs="Apple Chancery"/>
        </w:rPr>
        <w:t>the principles of domestic jurisdiction, non</w:t>
      </w:r>
      <w:r>
        <w:rPr>
          <w:rFonts w:ascii="Garamond" w:hAnsi="Garamond" w:cs="Apple Chancery"/>
        </w:rPr>
        <w:t>-</w:t>
      </w:r>
      <w:r w:rsidRPr="009E1077">
        <w:rPr>
          <w:rFonts w:ascii="Garamond" w:hAnsi="Garamond" w:cs="Apple Chancery"/>
        </w:rPr>
        <w:t>intervention and territorial integrity…pull[</w:t>
      </w:r>
      <w:proofErr w:type="spellStart"/>
      <w:r w:rsidRPr="009E1077">
        <w:rPr>
          <w:rFonts w:ascii="Garamond" w:hAnsi="Garamond" w:cs="Apple Chancery"/>
        </w:rPr>
        <w:t>ing</w:t>
      </w:r>
      <w:proofErr w:type="spellEnd"/>
      <w:r w:rsidRPr="009E1077">
        <w:rPr>
          <w:rFonts w:ascii="Garamond" w:hAnsi="Garamond" w:cs="Apple Chancery"/>
        </w:rPr>
        <w:t>] in one direction, while the principles of self-determination and human rights may be seen as pulling in precisely the opposite way</w:t>
      </w:r>
      <w:r w:rsidR="00DA57AE">
        <w:rPr>
          <w:rFonts w:ascii="Garamond" w:hAnsi="Garamond" w:cs="Apple Chancery"/>
        </w:rPr>
        <w:t>’</w:t>
      </w:r>
      <w:r w:rsidRPr="009E1077">
        <w:rPr>
          <w:rFonts w:ascii="Garamond" w:hAnsi="Garamond" w:cs="Apple Chancery"/>
        </w:rPr>
        <w:t>.</w:t>
      </w:r>
      <w:r w:rsidRPr="009E1077">
        <w:rPr>
          <w:rStyle w:val="FootnoteReference"/>
          <w:rFonts w:ascii="Garamond" w:hAnsi="Garamond" w:cs="Apple Chancery"/>
        </w:rPr>
        <w:footnoteReference w:id="44"/>
      </w:r>
      <w:r w:rsidRPr="009E1077">
        <w:rPr>
          <w:rFonts w:ascii="Garamond" w:hAnsi="Garamond" w:cs="Apple Chancery"/>
        </w:rPr>
        <w:t xml:space="preserve"> Indeed, self-determination, Antony Anghie shows, was caught in the tussle between Western states and the ‘new’ post</w:t>
      </w:r>
      <w:r>
        <w:rPr>
          <w:rFonts w:ascii="Garamond" w:hAnsi="Garamond" w:cs="Apple Chancery"/>
        </w:rPr>
        <w:t>-</w:t>
      </w:r>
      <w:r w:rsidRPr="009E1077">
        <w:rPr>
          <w:rFonts w:ascii="Garamond" w:hAnsi="Garamond" w:cs="Apple Chancery"/>
        </w:rPr>
        <w:t>colonial, Third World states which sought to reform the body of international law to make the framework responsive to their needs.</w:t>
      </w:r>
      <w:r w:rsidRPr="009E1077">
        <w:rPr>
          <w:rStyle w:val="FootnoteReference"/>
          <w:rFonts w:ascii="Garamond" w:hAnsi="Garamond" w:cs="Apple Chancery"/>
        </w:rPr>
        <w:footnoteReference w:id="45"/>
      </w:r>
      <w:r w:rsidRPr="009E1077">
        <w:rPr>
          <w:rFonts w:ascii="Garamond" w:hAnsi="Garamond" w:cs="Apple Chancery"/>
        </w:rPr>
        <w:t xml:space="preserve"> But the </w:t>
      </w:r>
      <w:r w:rsidRPr="009E1077">
        <w:rPr>
          <w:rFonts w:ascii="Garamond" w:hAnsi="Garamond" w:cs="Apple Chancery"/>
        </w:rPr>
        <w:lastRenderedPageBreak/>
        <w:t xml:space="preserve">ambiguity of the ‘self’ in self-determination makes it vulnerable to disenfranchisement. A version of self-determination, tracible to social contract theories of the </w:t>
      </w:r>
      <w:r>
        <w:rPr>
          <w:rFonts w:ascii="Garamond" w:hAnsi="Garamond" w:cs="Apple Chancery"/>
        </w:rPr>
        <w:t>E</w:t>
      </w:r>
      <w:r w:rsidRPr="009E1077">
        <w:rPr>
          <w:rFonts w:ascii="Garamond" w:hAnsi="Garamond" w:cs="Apple Chancery"/>
        </w:rPr>
        <w:t>nlightenment, saw legitimate rule as derived from consent of the people and so able to bolster the authority of the state.</w:t>
      </w:r>
      <w:r w:rsidRPr="009E1077">
        <w:rPr>
          <w:rStyle w:val="FootnoteReference"/>
          <w:rFonts w:ascii="Garamond" w:hAnsi="Garamond" w:cs="Apple Chancery"/>
        </w:rPr>
        <w:footnoteReference w:id="46"/>
      </w:r>
      <w:r w:rsidRPr="009E1077">
        <w:rPr>
          <w:rFonts w:ascii="Garamond" w:hAnsi="Garamond" w:cs="Apple Chancery"/>
        </w:rPr>
        <w:t xml:space="preserve"> States, cautious of ‘dethroning’ themselves as central subjects, accordingly limited the recognition of self-determination such that peoples cannot easily replace or succeed states and governments.</w:t>
      </w:r>
      <w:r w:rsidRPr="009E1077">
        <w:rPr>
          <w:rStyle w:val="FootnoteReference"/>
          <w:rFonts w:ascii="Garamond" w:hAnsi="Garamond" w:cs="Apple Chancery"/>
        </w:rPr>
        <w:footnoteReference w:id="47"/>
      </w:r>
      <w:r w:rsidRPr="009E1077">
        <w:rPr>
          <w:rFonts w:ascii="Garamond" w:hAnsi="Garamond" w:cs="Apple Chancery"/>
        </w:rPr>
        <w:t xml:space="preserve"> One such means is through limiting it to saltwater colonial context</w:t>
      </w:r>
      <w:r w:rsidR="00D66191">
        <w:rPr>
          <w:rFonts w:ascii="Garamond" w:hAnsi="Garamond" w:cs="Apple Chancery"/>
        </w:rPr>
        <w:t>s</w:t>
      </w:r>
      <w:r w:rsidR="003C075D">
        <w:rPr>
          <w:rFonts w:ascii="Garamond" w:hAnsi="Garamond" w:cs="Apple Chancery"/>
        </w:rPr>
        <w:t xml:space="preserve"> </w:t>
      </w:r>
      <w:r w:rsidRPr="009E1077">
        <w:rPr>
          <w:rFonts w:ascii="Garamond" w:hAnsi="Garamond" w:cs="Apple Chancery"/>
        </w:rPr>
        <w:t xml:space="preserve">by annexing self-determination to territorial integrity and </w:t>
      </w:r>
      <w:proofErr w:type="spellStart"/>
      <w:r w:rsidRPr="009E1077">
        <w:rPr>
          <w:rFonts w:ascii="Garamond" w:hAnsi="Garamond" w:cs="Apple Chancery"/>
          <w:i/>
          <w:iCs/>
        </w:rPr>
        <w:t>uti</w:t>
      </w:r>
      <w:proofErr w:type="spellEnd"/>
      <w:r w:rsidRPr="009E1077">
        <w:rPr>
          <w:rFonts w:ascii="Garamond" w:hAnsi="Garamond" w:cs="Apple Chancery"/>
          <w:i/>
          <w:iCs/>
        </w:rPr>
        <w:t xml:space="preserve"> possidetis</w:t>
      </w:r>
      <w:r w:rsidR="00ED2A9F">
        <w:rPr>
          <w:rFonts w:ascii="Garamond" w:hAnsi="Garamond" w:cs="Apple Chancery"/>
          <w:i/>
          <w:iCs/>
        </w:rPr>
        <w:t>.</w:t>
      </w:r>
      <w:r w:rsidR="00ED2A9F" w:rsidRPr="009E1077">
        <w:rPr>
          <w:rStyle w:val="FootnoteReference"/>
          <w:rFonts w:ascii="Garamond" w:hAnsi="Garamond" w:cs="Apple Chancery"/>
        </w:rPr>
        <w:footnoteReference w:id="48"/>
      </w:r>
      <w:r w:rsidR="00ED2A9F">
        <w:rPr>
          <w:rFonts w:ascii="Garamond" w:hAnsi="Garamond" w:cs="Apple Chancery"/>
          <w:i/>
          <w:iCs/>
        </w:rPr>
        <w:t xml:space="preserve"> </w:t>
      </w:r>
      <w:r w:rsidR="00ED2A9F">
        <w:rPr>
          <w:rFonts w:ascii="Garamond" w:hAnsi="Garamond" w:cs="Apple Chancery"/>
        </w:rPr>
        <w:t>This</w:t>
      </w:r>
      <w:r w:rsidR="00ED2A9F" w:rsidRPr="009E1077">
        <w:rPr>
          <w:rFonts w:ascii="Garamond" w:hAnsi="Garamond" w:cs="Apple Chancery"/>
        </w:rPr>
        <w:t xml:space="preserve"> </w:t>
      </w:r>
      <w:r w:rsidRPr="009E1077">
        <w:rPr>
          <w:rFonts w:ascii="Garamond" w:hAnsi="Garamond" w:cs="Apple Chancery"/>
        </w:rPr>
        <w:t>ensur</w:t>
      </w:r>
      <w:r w:rsidR="00ED2A9F">
        <w:rPr>
          <w:rFonts w:ascii="Garamond" w:hAnsi="Garamond" w:cs="Apple Chancery"/>
        </w:rPr>
        <w:t>ed</w:t>
      </w:r>
      <w:r w:rsidRPr="009E1077">
        <w:rPr>
          <w:rFonts w:ascii="Garamond" w:hAnsi="Garamond" w:cs="Apple Chancery"/>
        </w:rPr>
        <w:t xml:space="preserve"> that colonial borders were persevered during decolonisation. The ICJ </w:t>
      </w:r>
      <w:r>
        <w:rPr>
          <w:rFonts w:ascii="Garamond" w:hAnsi="Garamond" w:cs="Apple Chancery"/>
        </w:rPr>
        <w:t>AO</w:t>
      </w:r>
      <w:r w:rsidRPr="009E1077">
        <w:rPr>
          <w:rFonts w:ascii="Garamond" w:hAnsi="Garamond" w:cs="Apple Chancery"/>
        </w:rPr>
        <w:t xml:space="preserve"> makes clear that as a matter of custom</w:t>
      </w:r>
      <w:r w:rsidR="00B30E99">
        <w:rPr>
          <w:rFonts w:ascii="Garamond" w:hAnsi="Garamond" w:cs="Apple Chancery"/>
        </w:rPr>
        <w:t>,</w:t>
      </w:r>
      <w:r w:rsidRPr="009E1077">
        <w:rPr>
          <w:rFonts w:ascii="Garamond" w:hAnsi="Garamond" w:cs="Apple Chancery"/>
        </w:rPr>
        <w:t xml:space="preserve"> the right to territorial integrity of a non-self</w:t>
      </w:r>
      <w:r>
        <w:rPr>
          <w:rFonts w:ascii="Garamond" w:hAnsi="Garamond" w:cs="Apple Chancery"/>
        </w:rPr>
        <w:t>-</w:t>
      </w:r>
      <w:r w:rsidRPr="009E1077">
        <w:rPr>
          <w:rFonts w:ascii="Garamond" w:hAnsi="Garamond" w:cs="Apple Chancery"/>
        </w:rPr>
        <w:t>governing territory is a corollary of the right to self-determination.</w:t>
      </w:r>
      <w:r w:rsidRPr="009E1077">
        <w:rPr>
          <w:rStyle w:val="FootnoteReference"/>
          <w:rFonts w:ascii="Garamond" w:hAnsi="Garamond" w:cs="Apple Chancery"/>
        </w:rPr>
        <w:footnoteReference w:id="49"/>
      </w:r>
      <w:r w:rsidRPr="009E1077">
        <w:rPr>
          <w:rFonts w:ascii="Garamond" w:hAnsi="Garamond" w:cs="Apple Chancery"/>
        </w:rPr>
        <w:t xml:space="preserve"> Of course, the case of the Chagos separation is a stark demonstration of why the General Assembly sought to protect territorial integrity as non-self</w:t>
      </w:r>
      <w:r>
        <w:rPr>
          <w:rFonts w:ascii="Garamond" w:hAnsi="Garamond" w:cs="Apple Chancery"/>
        </w:rPr>
        <w:t>-</w:t>
      </w:r>
      <w:r w:rsidRPr="009E1077">
        <w:rPr>
          <w:rFonts w:ascii="Garamond" w:hAnsi="Garamond" w:cs="Apple Chancery"/>
        </w:rPr>
        <w:t>governing states gained independence.</w:t>
      </w:r>
      <w:r w:rsidRPr="009E1077">
        <w:rPr>
          <w:rStyle w:val="FootnoteReference"/>
          <w:rFonts w:ascii="Garamond" w:hAnsi="Garamond" w:cs="Apple Chancery"/>
        </w:rPr>
        <w:footnoteReference w:id="50"/>
      </w:r>
      <w:r w:rsidRPr="009E1077">
        <w:rPr>
          <w:rFonts w:ascii="Garamond" w:hAnsi="Garamond" w:cs="Apple Chancery"/>
        </w:rPr>
        <w:t xml:space="preserve"> Disrupting territor</w:t>
      </w:r>
      <w:r>
        <w:rPr>
          <w:rFonts w:ascii="Garamond" w:hAnsi="Garamond" w:cs="Apple Chancery"/>
        </w:rPr>
        <w:t xml:space="preserve">ies </w:t>
      </w:r>
      <w:r w:rsidRPr="009E1077">
        <w:rPr>
          <w:rFonts w:ascii="Garamond" w:hAnsi="Garamond" w:cs="Apple Chancery"/>
        </w:rPr>
        <w:t>was the means through which the Chagossian people were dispos</w:t>
      </w:r>
      <w:r w:rsidR="00372312">
        <w:rPr>
          <w:rFonts w:ascii="Garamond" w:hAnsi="Garamond" w:cs="Apple Chancery"/>
        </w:rPr>
        <w:t>sess</w:t>
      </w:r>
      <w:r w:rsidRPr="009E1077">
        <w:rPr>
          <w:rFonts w:ascii="Garamond" w:hAnsi="Garamond" w:cs="Apple Chancery"/>
        </w:rPr>
        <w:t xml:space="preserve">ed of their land by the colonial power. </w:t>
      </w:r>
      <w:r w:rsidRPr="009E1077">
        <w:rPr>
          <w:rFonts w:ascii="Garamond" w:hAnsi="Garamond"/>
        </w:rPr>
        <w:t>Yet the Chagos separation also reveals the neutering of the revolutionary potential of self-determination through its inseparability to established</w:t>
      </w:r>
      <w:r>
        <w:rPr>
          <w:rFonts w:ascii="Garamond" w:hAnsi="Garamond"/>
        </w:rPr>
        <w:t>, pre-ordained</w:t>
      </w:r>
      <w:r w:rsidRPr="009E1077">
        <w:rPr>
          <w:rFonts w:ascii="Garamond" w:hAnsi="Garamond"/>
        </w:rPr>
        <w:t xml:space="preserve"> territorial boundaries.</w:t>
      </w:r>
    </w:p>
    <w:p w14:paraId="06673C3A" w14:textId="01CFF8FC" w:rsidR="002C4C6B" w:rsidRPr="009E1077" w:rsidRDefault="002C4C6B" w:rsidP="00740662">
      <w:pPr>
        <w:jc w:val="both"/>
        <w:rPr>
          <w:rFonts w:ascii="Garamond" w:hAnsi="Garamond" w:cs="Apple Chancery"/>
        </w:rPr>
      </w:pPr>
      <w:r w:rsidRPr="009E1077">
        <w:rPr>
          <w:rFonts w:ascii="Garamond" w:hAnsi="Garamond"/>
        </w:rPr>
        <w:t>A stat</w:t>
      </w:r>
      <w:r>
        <w:rPr>
          <w:rFonts w:ascii="Garamond" w:hAnsi="Garamond"/>
        </w:rPr>
        <w:t>e-centred reading</w:t>
      </w:r>
      <w:r w:rsidRPr="009E1077">
        <w:rPr>
          <w:rFonts w:ascii="Garamond" w:hAnsi="Garamond"/>
        </w:rPr>
        <w:t xml:space="preserve"> of self-determination will delineate the relevant ‘group’ able to exercise the right, along statist lines. This is partly due to what is at stake: the right of a group to shape their social and economic environment and to be ‘self-governing’.</w:t>
      </w:r>
      <w:r w:rsidRPr="009E1077">
        <w:rPr>
          <w:rStyle w:val="FootnoteReference"/>
          <w:rFonts w:ascii="Garamond" w:hAnsi="Garamond"/>
        </w:rPr>
        <w:footnoteReference w:id="51"/>
      </w:r>
      <w:r w:rsidRPr="009E1077">
        <w:rPr>
          <w:rFonts w:ascii="Garamond" w:hAnsi="Garamond"/>
        </w:rPr>
        <w:t xml:space="preserve"> Historically self-determination movements often </w:t>
      </w:r>
      <w:r w:rsidR="00F15164">
        <w:rPr>
          <w:rFonts w:ascii="Garamond" w:hAnsi="Garamond"/>
        </w:rPr>
        <w:t>‘</w:t>
      </w:r>
      <w:r w:rsidRPr="009E1077">
        <w:rPr>
          <w:rFonts w:ascii="Garamond" w:hAnsi="Garamond"/>
        </w:rPr>
        <w:t xml:space="preserve">found themselves forced to accept colonial concepts of </w:t>
      </w:r>
      <w:r w:rsidR="00F15164">
        <w:rPr>
          <w:rFonts w:ascii="Garamond" w:hAnsi="Garamond"/>
        </w:rPr>
        <w:t>“</w:t>
      </w:r>
      <w:r w:rsidRPr="009E1077">
        <w:rPr>
          <w:rFonts w:ascii="Garamond" w:hAnsi="Garamond"/>
        </w:rPr>
        <w:t>people</w:t>
      </w:r>
      <w:r w:rsidR="00F15164">
        <w:rPr>
          <w:rFonts w:ascii="Garamond" w:hAnsi="Garamond"/>
        </w:rPr>
        <w:t>”</w:t>
      </w:r>
      <w:r w:rsidRPr="009E1077">
        <w:rPr>
          <w:rFonts w:ascii="Garamond" w:hAnsi="Garamond"/>
        </w:rPr>
        <w:t>, territories, and borders</w:t>
      </w:r>
      <w:r w:rsidR="00F15164">
        <w:rPr>
          <w:rFonts w:ascii="Garamond" w:hAnsi="Garamond"/>
        </w:rPr>
        <w:t>’</w:t>
      </w:r>
      <w:r w:rsidRPr="009E1077">
        <w:rPr>
          <w:rFonts w:ascii="Garamond" w:hAnsi="Garamond"/>
        </w:rPr>
        <w:t>, despite being driven by the desire to disrupt the colonial order.</w:t>
      </w:r>
      <w:r w:rsidRPr="009E1077">
        <w:rPr>
          <w:rStyle w:val="FootnoteReference"/>
          <w:rFonts w:ascii="Garamond" w:hAnsi="Garamond"/>
        </w:rPr>
        <w:footnoteReference w:id="52"/>
      </w:r>
      <w:r w:rsidRPr="009E1077">
        <w:rPr>
          <w:rFonts w:ascii="Garamond" w:hAnsi="Garamond"/>
        </w:rPr>
        <w:t xml:space="preserve"> Consider that there is a represented portion of the Chagossian diaspora who reject the sovereignty of Mauritius over the Chagos territory:</w:t>
      </w:r>
    </w:p>
    <w:p w14:paraId="417E40F5" w14:textId="73C8D03E" w:rsidR="002C4C6B" w:rsidRPr="009E1077" w:rsidRDefault="002C4C6B" w:rsidP="00740662">
      <w:pPr>
        <w:ind w:left="720"/>
        <w:jc w:val="both"/>
        <w:rPr>
          <w:rFonts w:ascii="Garamond" w:hAnsi="Garamond"/>
        </w:rPr>
      </w:pPr>
      <w:proofErr w:type="spellStart"/>
      <w:r w:rsidRPr="009E1077">
        <w:rPr>
          <w:rFonts w:ascii="Garamond" w:hAnsi="Garamond"/>
        </w:rPr>
        <w:t>Chagossians</w:t>
      </w:r>
      <w:proofErr w:type="spellEnd"/>
      <w:r w:rsidRPr="009E1077">
        <w:rPr>
          <w:rFonts w:ascii="Garamond" w:hAnsi="Garamond"/>
        </w:rPr>
        <w:t xml:space="preserve"> have never been meaningfully or democratically consulted about the sovereignty of their islands….</w:t>
      </w:r>
      <w:proofErr w:type="spellStart"/>
      <w:r w:rsidRPr="009E1077">
        <w:rPr>
          <w:rFonts w:ascii="Garamond" w:hAnsi="Garamond"/>
        </w:rPr>
        <w:t>Chagossians</w:t>
      </w:r>
      <w:proofErr w:type="spellEnd"/>
      <w:r w:rsidRPr="009E1077">
        <w:rPr>
          <w:rFonts w:ascii="Garamond" w:hAnsi="Garamond"/>
        </w:rPr>
        <w:t xml:space="preserve"> had no independent voice at the ICJ</w:t>
      </w:r>
      <w:r>
        <w:rPr>
          <w:rFonts w:ascii="Garamond" w:hAnsi="Garamond"/>
        </w:rPr>
        <w:t>…[which] d</w:t>
      </w:r>
      <w:r w:rsidRPr="009E1077">
        <w:rPr>
          <w:rFonts w:ascii="Garamond" w:hAnsi="Garamond"/>
        </w:rPr>
        <w:t xml:space="preserve">ealt </w:t>
      </w:r>
      <w:r w:rsidRPr="00BE637B">
        <w:rPr>
          <w:rFonts w:ascii="Garamond" w:hAnsi="Garamond"/>
        </w:rPr>
        <w:t>only with Mauritian rights of self-determination,</w:t>
      </w:r>
      <w:r w:rsidRPr="009E1077">
        <w:rPr>
          <w:rFonts w:ascii="Garamond" w:hAnsi="Garamond"/>
          <w:i/>
          <w:iCs/>
        </w:rPr>
        <w:t xml:space="preserve"> </w:t>
      </w:r>
      <w:r w:rsidRPr="009E1077">
        <w:rPr>
          <w:rFonts w:ascii="Garamond" w:hAnsi="Garamond"/>
        </w:rPr>
        <w:t xml:space="preserve">and sidelined </w:t>
      </w:r>
      <w:proofErr w:type="spellStart"/>
      <w:r w:rsidRPr="009E1077">
        <w:rPr>
          <w:rFonts w:ascii="Garamond" w:hAnsi="Garamond"/>
        </w:rPr>
        <w:t>Chagossians</w:t>
      </w:r>
      <w:proofErr w:type="spellEnd"/>
      <w:r w:rsidRPr="009E1077">
        <w:rPr>
          <w:rFonts w:ascii="Garamond" w:hAnsi="Garamond"/>
        </w:rPr>
        <w:t xml:space="preserve"> as </w:t>
      </w:r>
      <w:r w:rsidR="00680A0E">
        <w:rPr>
          <w:rFonts w:ascii="Garamond" w:hAnsi="Garamond"/>
        </w:rPr>
        <w:t>‘</w:t>
      </w:r>
      <w:r w:rsidRPr="009E1077">
        <w:rPr>
          <w:rFonts w:ascii="Garamond" w:hAnsi="Garamond"/>
        </w:rPr>
        <w:t>Mauritians of Chagossian origin</w:t>
      </w:r>
      <w:r w:rsidR="00680A0E">
        <w:rPr>
          <w:rFonts w:ascii="Garamond" w:hAnsi="Garamond"/>
        </w:rPr>
        <w:t>’</w:t>
      </w:r>
      <w:r w:rsidRPr="009E1077">
        <w:rPr>
          <w:rFonts w:ascii="Garamond" w:hAnsi="Garamond"/>
        </w:rPr>
        <w:t xml:space="preserve">. We do not accept the advisory opinion of the court because </w:t>
      </w:r>
      <w:proofErr w:type="spellStart"/>
      <w:r w:rsidRPr="009E1077">
        <w:rPr>
          <w:rFonts w:ascii="Garamond" w:hAnsi="Garamond"/>
        </w:rPr>
        <w:t>Chagossians</w:t>
      </w:r>
      <w:proofErr w:type="spellEnd"/>
      <w:r w:rsidRPr="009E1077">
        <w:rPr>
          <w:rFonts w:ascii="Garamond" w:hAnsi="Garamond"/>
        </w:rPr>
        <w:t xml:space="preserve"> were not consulted and – as an indigenous people – </w:t>
      </w:r>
      <w:proofErr w:type="spellStart"/>
      <w:r w:rsidRPr="009E1077">
        <w:rPr>
          <w:rFonts w:ascii="Garamond" w:hAnsi="Garamond"/>
        </w:rPr>
        <w:t>Chagossians</w:t>
      </w:r>
      <w:proofErr w:type="spellEnd"/>
      <w:r w:rsidRPr="009E1077">
        <w:rPr>
          <w:rFonts w:ascii="Garamond" w:hAnsi="Garamond"/>
        </w:rPr>
        <w:t xml:space="preserve"> do not primarily identify as Mauritians.</w:t>
      </w:r>
      <w:r w:rsidRPr="009E1077">
        <w:rPr>
          <w:rStyle w:val="FootnoteReference"/>
          <w:rFonts w:ascii="Garamond" w:hAnsi="Garamond"/>
        </w:rPr>
        <w:footnoteReference w:id="53"/>
      </w:r>
      <w:r w:rsidRPr="009E1077">
        <w:rPr>
          <w:rFonts w:ascii="Garamond" w:hAnsi="Garamond"/>
        </w:rPr>
        <w:t xml:space="preserve"> </w:t>
      </w:r>
    </w:p>
    <w:p w14:paraId="238EC036" w14:textId="7929D970" w:rsidR="002C4C6B" w:rsidRPr="00DD451D" w:rsidRDefault="002C4C6B" w:rsidP="00740662">
      <w:pPr>
        <w:jc w:val="both"/>
        <w:rPr>
          <w:rFonts w:ascii="Garamond" w:hAnsi="Garamond"/>
        </w:rPr>
      </w:pPr>
      <w:r>
        <w:rPr>
          <w:rFonts w:ascii="Garamond" w:hAnsi="Garamond"/>
        </w:rPr>
        <w:t xml:space="preserve">This </w:t>
      </w:r>
      <w:r w:rsidRPr="009E1077">
        <w:rPr>
          <w:rFonts w:ascii="Garamond" w:hAnsi="Garamond"/>
        </w:rPr>
        <w:t>calls to mind injustices perpetrated against many indigenous communities forced to move between, across, or be incorporated into the colonial and postcolonial interstate system.</w:t>
      </w:r>
      <w:r w:rsidRPr="009E1077">
        <w:rPr>
          <w:rStyle w:val="FootnoteReference"/>
          <w:rFonts w:ascii="Garamond" w:hAnsi="Garamond"/>
        </w:rPr>
        <w:footnoteReference w:id="54"/>
      </w:r>
      <w:r>
        <w:rPr>
          <w:rFonts w:ascii="Garamond" w:hAnsi="Garamond"/>
        </w:rPr>
        <w:t xml:space="preserve"> Jennifer </w:t>
      </w:r>
      <w:r>
        <w:rPr>
          <w:rFonts w:ascii="Garamond" w:hAnsi="Garamond"/>
        </w:rPr>
        <w:lastRenderedPageBreak/>
        <w:t>Penelope-Lebrasse, for example, lives in the UK and reflects on the complex heritage she carries with her: with a Chagossian mother ‘born in exile’ and a Mauritian father, her sense of identity cannot be aligned with either the UK or Mauritian state.</w:t>
      </w:r>
      <w:r>
        <w:rPr>
          <w:rStyle w:val="FootnoteReference"/>
          <w:rFonts w:ascii="Garamond" w:hAnsi="Garamond"/>
        </w:rPr>
        <w:footnoteReference w:id="55"/>
      </w:r>
      <w:r>
        <w:rPr>
          <w:rFonts w:ascii="Garamond" w:hAnsi="Garamond"/>
        </w:rPr>
        <w:t xml:space="preserve"> Such testimonies echo </w:t>
      </w:r>
      <w:r w:rsidRPr="000D1054">
        <w:rPr>
          <w:rFonts w:ascii="Garamond" w:hAnsi="Garamond"/>
        </w:rPr>
        <w:t>Gloria Anzaldúa whose queer feminist work reveals the connections between bordering lands and bodies. She writes</w:t>
      </w:r>
      <w:r w:rsidR="009D4CD1">
        <w:rPr>
          <w:rFonts w:ascii="Garamond" w:hAnsi="Garamond"/>
        </w:rPr>
        <w:t>:</w:t>
      </w:r>
      <w:r w:rsidRPr="000D1054">
        <w:rPr>
          <w:rFonts w:ascii="Garamond" w:hAnsi="Garamond"/>
        </w:rPr>
        <w:t xml:space="preserve"> </w:t>
      </w:r>
      <w:r w:rsidR="00536277">
        <w:rPr>
          <w:rFonts w:ascii="Garamond" w:hAnsi="Garamond"/>
        </w:rPr>
        <w:t>‘</w:t>
      </w:r>
      <w:r w:rsidRPr="000D1054">
        <w:rPr>
          <w:rFonts w:ascii="Garamond" w:hAnsi="Garamond"/>
        </w:rPr>
        <w:t>this is my home this th</w:t>
      </w:r>
      <w:r>
        <w:rPr>
          <w:rFonts w:ascii="Garamond" w:hAnsi="Garamond"/>
        </w:rPr>
        <w:t>i</w:t>
      </w:r>
      <w:r w:rsidRPr="000D1054">
        <w:rPr>
          <w:rFonts w:ascii="Garamond" w:hAnsi="Garamond"/>
        </w:rPr>
        <w:t>n edge of barbwire. But the skin of the earth is seamless. The sea cannot by fenced</w:t>
      </w:r>
      <w:r>
        <w:rPr>
          <w:rFonts w:ascii="Garamond" w:hAnsi="Garamond"/>
        </w:rPr>
        <w:t>…</w:t>
      </w:r>
      <w:r w:rsidRPr="000D1054">
        <w:rPr>
          <w:rFonts w:ascii="Garamond" w:hAnsi="Garamond"/>
        </w:rPr>
        <w:t>a borderland is a vague and undetermined place created by the emotional residue of an unnatural boundary</w:t>
      </w:r>
      <w:r w:rsidR="00536277">
        <w:rPr>
          <w:rFonts w:ascii="Garamond" w:hAnsi="Garamond"/>
        </w:rPr>
        <w:t>’</w:t>
      </w:r>
      <w:r w:rsidR="00DE663C">
        <w:rPr>
          <w:rFonts w:ascii="Garamond" w:hAnsi="Garamond"/>
        </w:rPr>
        <w:t>.</w:t>
      </w:r>
      <w:r>
        <w:rPr>
          <w:rStyle w:val="FootnoteReference"/>
          <w:rFonts w:ascii="Garamond" w:hAnsi="Garamond"/>
        </w:rPr>
        <w:footnoteReference w:id="56"/>
      </w:r>
      <w:r>
        <w:rPr>
          <w:rFonts w:ascii="Garamond" w:hAnsi="Garamond"/>
        </w:rPr>
        <w:t xml:space="preserve"> The construction and policing of the state </w:t>
      </w:r>
      <w:r w:rsidR="00536277">
        <w:rPr>
          <w:rFonts w:ascii="Garamond" w:hAnsi="Garamond"/>
        </w:rPr>
        <w:t xml:space="preserve">is </w:t>
      </w:r>
      <w:r>
        <w:rPr>
          <w:rFonts w:ascii="Garamond" w:hAnsi="Garamond"/>
        </w:rPr>
        <w:t xml:space="preserve">the ultimate boundary. A lasting and sustained impact of colonialism in relation to Chagos therefore is the fragmentation of a people and the creation of a diaspora. </w:t>
      </w:r>
      <w:r w:rsidRPr="009E1077">
        <w:rPr>
          <w:rFonts w:ascii="Garamond" w:hAnsi="Garamond" w:cs="Arial"/>
          <w:color w:val="000000" w:themeColor="text1"/>
          <w:spacing w:val="-1"/>
        </w:rPr>
        <w:t>Statist approaches</w:t>
      </w:r>
      <w:r>
        <w:rPr>
          <w:rFonts w:ascii="Garamond" w:hAnsi="Garamond" w:cs="Arial"/>
          <w:color w:val="000000" w:themeColor="text1"/>
          <w:spacing w:val="-1"/>
        </w:rPr>
        <w:t xml:space="preserve"> – bilateral in this instance – </w:t>
      </w:r>
      <w:r w:rsidRPr="009E1077">
        <w:rPr>
          <w:rFonts w:ascii="Garamond" w:hAnsi="Garamond" w:cs="Arial"/>
          <w:color w:val="000000" w:themeColor="text1"/>
          <w:spacing w:val="-1"/>
        </w:rPr>
        <w:t xml:space="preserve">to questions of territory and self-determination </w:t>
      </w:r>
      <w:r>
        <w:rPr>
          <w:rFonts w:ascii="Garamond" w:hAnsi="Garamond" w:cs="Arial"/>
          <w:color w:val="000000" w:themeColor="text1"/>
          <w:spacing w:val="-1"/>
        </w:rPr>
        <w:t>compound colonial</w:t>
      </w:r>
      <w:r w:rsidRPr="009E1077">
        <w:rPr>
          <w:rFonts w:ascii="Garamond" w:hAnsi="Garamond" w:cs="Arial"/>
          <w:color w:val="000000" w:themeColor="text1"/>
          <w:spacing w:val="-1"/>
        </w:rPr>
        <w:t xml:space="preserve"> injury </w:t>
      </w:r>
      <w:r>
        <w:rPr>
          <w:rFonts w:ascii="Garamond" w:hAnsi="Garamond" w:cs="Arial"/>
          <w:color w:val="000000" w:themeColor="text1"/>
          <w:spacing w:val="-1"/>
        </w:rPr>
        <w:t>by</w:t>
      </w:r>
      <w:r w:rsidRPr="009E1077">
        <w:rPr>
          <w:rFonts w:ascii="Garamond" w:hAnsi="Garamond" w:cs="Arial"/>
          <w:color w:val="000000" w:themeColor="text1"/>
          <w:spacing w:val="-1"/>
        </w:rPr>
        <w:t xml:space="preserve"> denying complex, multifaceted senses of self. </w:t>
      </w:r>
    </w:p>
    <w:p w14:paraId="36709CDA" w14:textId="7EE04BD1" w:rsidR="002C4C6B" w:rsidRDefault="002C4C6B" w:rsidP="00740662">
      <w:pPr>
        <w:jc w:val="both"/>
        <w:rPr>
          <w:rFonts w:ascii="Garamond" w:hAnsi="Garamond"/>
        </w:rPr>
      </w:pPr>
      <w:r w:rsidRPr="009E1077">
        <w:rPr>
          <w:rFonts w:ascii="Garamond" w:hAnsi="Garamond"/>
        </w:rPr>
        <w:t xml:space="preserve">The absorption of the Chagos islands and its peoples into the pre-separation, colonial territory of Mauritius works towards the constitution of the state as such: the ideal, unified and autonomous state. The alignment of Mauritius with this liberal model of the state as person shores up its bordered integrity and inviolability. It is now impervious to the splitting of its subjecthood (or self). Feminist theorists have shown that the state subject, in its personified guise, is a </w:t>
      </w:r>
      <w:r w:rsidRPr="009E1077">
        <w:rPr>
          <w:rFonts w:ascii="Garamond" w:hAnsi="Garamond"/>
          <w:i/>
          <w:iCs/>
        </w:rPr>
        <w:t xml:space="preserve">masculine </w:t>
      </w:r>
      <w:r w:rsidRPr="009E1077">
        <w:rPr>
          <w:rFonts w:ascii="Garamond" w:hAnsi="Garamond"/>
        </w:rPr>
        <w:t xml:space="preserve">agent: it is constituted as bounded, with non-porous borders akin to the </w:t>
      </w:r>
      <w:r>
        <w:rPr>
          <w:rFonts w:ascii="Garamond" w:hAnsi="Garamond"/>
        </w:rPr>
        <w:t xml:space="preserve">norm of the </w:t>
      </w:r>
      <w:r w:rsidRPr="009E1077">
        <w:rPr>
          <w:rFonts w:ascii="Garamond" w:hAnsi="Garamond"/>
        </w:rPr>
        <w:t>impenetrable ma</w:t>
      </w:r>
      <w:r>
        <w:rPr>
          <w:rFonts w:ascii="Garamond" w:hAnsi="Garamond"/>
        </w:rPr>
        <w:t xml:space="preserve">le </w:t>
      </w:r>
      <w:r w:rsidRPr="009E1077">
        <w:rPr>
          <w:rFonts w:ascii="Garamond" w:hAnsi="Garamond"/>
        </w:rPr>
        <w:t>body.</w:t>
      </w:r>
      <w:r w:rsidRPr="009E1077">
        <w:rPr>
          <w:rStyle w:val="FootnoteReference"/>
          <w:rFonts w:ascii="Garamond" w:hAnsi="Garamond"/>
        </w:rPr>
        <w:footnoteReference w:id="57"/>
      </w:r>
      <w:r w:rsidRPr="009E1077">
        <w:rPr>
          <w:rFonts w:ascii="Garamond" w:hAnsi="Garamond"/>
        </w:rPr>
        <w:t xml:space="preserve"> The fear of ‘splitting’ this legal subject, Gina Heathcote argues, is demonstrable in the way that </w:t>
      </w:r>
      <w:r w:rsidR="00253040">
        <w:rPr>
          <w:rFonts w:ascii="Garamond" w:hAnsi="Garamond"/>
        </w:rPr>
        <w:t>‘</w:t>
      </w:r>
      <w:r w:rsidRPr="009E1077">
        <w:rPr>
          <w:rFonts w:ascii="Garamond" w:hAnsi="Garamond"/>
        </w:rPr>
        <w:t>secession haunts state sovereignty</w:t>
      </w:r>
      <w:r w:rsidR="00253040">
        <w:rPr>
          <w:rFonts w:ascii="Garamond" w:hAnsi="Garamond"/>
        </w:rPr>
        <w:t>’</w:t>
      </w:r>
      <w:r w:rsidRPr="009E1077">
        <w:rPr>
          <w:rFonts w:ascii="Garamond" w:hAnsi="Garamond"/>
        </w:rPr>
        <w:t>.</w:t>
      </w:r>
      <w:r w:rsidRPr="009E1077">
        <w:rPr>
          <w:rStyle w:val="FootnoteReference"/>
          <w:rFonts w:ascii="Garamond" w:hAnsi="Garamond"/>
        </w:rPr>
        <w:footnoteReference w:id="58"/>
      </w:r>
      <w:r w:rsidRPr="009E1077">
        <w:rPr>
          <w:rFonts w:ascii="Garamond" w:hAnsi="Garamond"/>
        </w:rPr>
        <w:t xml:space="preserve"> Secession</w:t>
      </w:r>
      <w:r w:rsidR="00253040">
        <w:rPr>
          <w:rFonts w:ascii="Garamond" w:hAnsi="Garamond"/>
        </w:rPr>
        <w:t>,</w:t>
      </w:r>
      <w:r w:rsidRPr="009E1077">
        <w:rPr>
          <w:rFonts w:ascii="Garamond" w:hAnsi="Garamond"/>
        </w:rPr>
        <w:t xml:space="preserve"> </w:t>
      </w:r>
      <w:r w:rsidR="00253040">
        <w:rPr>
          <w:rFonts w:ascii="Garamond" w:hAnsi="Garamond"/>
        </w:rPr>
        <w:t>‘</w:t>
      </w:r>
      <w:r w:rsidRPr="009E1077">
        <w:rPr>
          <w:rFonts w:ascii="Garamond" w:hAnsi="Garamond"/>
        </w:rPr>
        <w:t>defined as the breaking away from the parent state without consent</w:t>
      </w:r>
      <w:r w:rsidR="00253040">
        <w:rPr>
          <w:rFonts w:ascii="Garamond" w:hAnsi="Garamond"/>
        </w:rPr>
        <w:t>’,</w:t>
      </w:r>
      <w:r w:rsidRPr="009E1077">
        <w:rPr>
          <w:rFonts w:ascii="Garamond" w:hAnsi="Garamond"/>
        </w:rPr>
        <w:t xml:space="preserve"> threatens the status quo of legal subjects and the legal framework underpinning them.</w:t>
      </w:r>
      <w:r w:rsidRPr="009E1077">
        <w:rPr>
          <w:rStyle w:val="FootnoteReference"/>
          <w:rFonts w:ascii="Garamond" w:hAnsi="Garamond"/>
        </w:rPr>
        <w:footnoteReference w:id="59"/>
      </w:r>
      <w:r w:rsidRPr="009E1077">
        <w:rPr>
          <w:rFonts w:ascii="Garamond" w:hAnsi="Garamond"/>
        </w:rPr>
        <w:t xml:space="preserve"> Due to such anxiety, international law has re</w:t>
      </w:r>
      <w:r w:rsidR="00F77DB7">
        <w:rPr>
          <w:rFonts w:ascii="Garamond" w:hAnsi="Garamond"/>
        </w:rPr>
        <w:t>legated</w:t>
      </w:r>
      <w:r w:rsidRPr="009E1077">
        <w:rPr>
          <w:rFonts w:ascii="Garamond" w:hAnsi="Garamond"/>
        </w:rPr>
        <w:t xml:space="preserve"> secession to an internal matter. Paradoxically, the deference to state consent means that secession is contingent on the will of the very state peoples may seek to break away from.</w:t>
      </w:r>
      <w:r w:rsidRPr="009E1077">
        <w:rPr>
          <w:rStyle w:val="FootnoteReference"/>
          <w:rFonts w:ascii="Garamond" w:hAnsi="Garamond"/>
        </w:rPr>
        <w:footnoteReference w:id="60"/>
      </w:r>
      <w:r w:rsidRPr="009E1077">
        <w:rPr>
          <w:rFonts w:ascii="Garamond" w:hAnsi="Garamond"/>
        </w:rPr>
        <w:t xml:space="preserve"> Thus state consent, in lieu of specific legal principles, is used to stym</w:t>
      </w:r>
      <w:r w:rsidR="00A10442">
        <w:rPr>
          <w:rFonts w:ascii="Garamond" w:hAnsi="Garamond"/>
        </w:rPr>
        <w:t>ie</w:t>
      </w:r>
      <w:r w:rsidRPr="009E1077">
        <w:rPr>
          <w:rFonts w:ascii="Garamond" w:hAnsi="Garamond"/>
        </w:rPr>
        <w:t xml:space="preserve"> the threat of generating new states or spaces of self-governance outside of the territorial status quo. The ICJ’s AO does not even consider the notion of a self-governing space for the </w:t>
      </w:r>
      <w:proofErr w:type="spellStart"/>
      <w:r w:rsidRPr="009E1077">
        <w:rPr>
          <w:rFonts w:ascii="Garamond" w:hAnsi="Garamond"/>
        </w:rPr>
        <w:t>Chagossians</w:t>
      </w:r>
      <w:proofErr w:type="spellEnd"/>
      <w:r w:rsidRPr="009E1077">
        <w:rPr>
          <w:rFonts w:ascii="Garamond" w:hAnsi="Garamond"/>
        </w:rPr>
        <w:t xml:space="preserve">. Its emphasis on (state) consent centres on its vitiation: that the UK violated the bounded territorial integrity of a non-self-governing state which did not, at that time, have the capacity to consent. Rendering Mauritius as the appropriate </w:t>
      </w:r>
      <w:r>
        <w:rPr>
          <w:rFonts w:ascii="Garamond" w:hAnsi="Garamond"/>
        </w:rPr>
        <w:t xml:space="preserve">unit of </w:t>
      </w:r>
      <w:r w:rsidRPr="009E1077">
        <w:rPr>
          <w:rFonts w:ascii="Garamond" w:hAnsi="Garamond"/>
        </w:rPr>
        <w:t>self-determination seemingly facilitates the rectification of this inter-state violation</w:t>
      </w:r>
      <w:r>
        <w:rPr>
          <w:rFonts w:ascii="Garamond" w:hAnsi="Garamond"/>
        </w:rPr>
        <w:t>: by ‘</w:t>
      </w:r>
      <w:r w:rsidRPr="009E1077">
        <w:rPr>
          <w:rFonts w:ascii="Garamond" w:hAnsi="Garamond"/>
        </w:rPr>
        <w:t>restor</w:t>
      </w:r>
      <w:r>
        <w:rPr>
          <w:rFonts w:ascii="Garamond" w:hAnsi="Garamond"/>
        </w:rPr>
        <w:t>ing’</w:t>
      </w:r>
      <w:r w:rsidRPr="009E1077">
        <w:rPr>
          <w:rFonts w:ascii="Garamond" w:hAnsi="Garamond"/>
        </w:rPr>
        <w:t xml:space="preserve"> </w:t>
      </w:r>
      <w:r>
        <w:rPr>
          <w:rFonts w:ascii="Garamond" w:hAnsi="Garamond"/>
        </w:rPr>
        <w:t>the</w:t>
      </w:r>
      <w:r w:rsidRPr="009E1077">
        <w:rPr>
          <w:rFonts w:ascii="Garamond" w:hAnsi="Garamond"/>
        </w:rPr>
        <w:t xml:space="preserve"> colonially drawn territorial status quo.</w:t>
      </w:r>
      <w:r w:rsidRPr="009E1077">
        <w:rPr>
          <w:rStyle w:val="FootnoteReference"/>
          <w:rFonts w:ascii="Garamond" w:hAnsi="Garamond"/>
        </w:rPr>
        <w:footnoteReference w:id="61"/>
      </w:r>
      <w:r w:rsidRPr="009E1077">
        <w:rPr>
          <w:rFonts w:ascii="Garamond" w:hAnsi="Garamond"/>
        </w:rPr>
        <w:t xml:space="preserve"> In effect this recognises and ‘rights’ the wrong of colonial oppression by focusing on the wound caused to the now postcolonial</w:t>
      </w:r>
      <w:r>
        <w:rPr>
          <w:rFonts w:ascii="Garamond" w:hAnsi="Garamond"/>
        </w:rPr>
        <w:t>,</w:t>
      </w:r>
      <w:r w:rsidRPr="009E1077">
        <w:rPr>
          <w:rFonts w:ascii="Garamond" w:hAnsi="Garamond"/>
        </w:rPr>
        <w:t xml:space="preserve"> then colonised</w:t>
      </w:r>
      <w:r>
        <w:rPr>
          <w:rFonts w:ascii="Garamond" w:hAnsi="Garamond"/>
        </w:rPr>
        <w:t xml:space="preserve">, </w:t>
      </w:r>
      <w:r w:rsidRPr="009E1077">
        <w:rPr>
          <w:rFonts w:ascii="Garamond" w:hAnsi="Garamond"/>
        </w:rPr>
        <w:t xml:space="preserve">state. Internal differences </w:t>
      </w:r>
      <w:r w:rsidRPr="009E1077">
        <w:rPr>
          <w:rFonts w:ascii="Garamond" w:hAnsi="Garamond"/>
        </w:rPr>
        <w:lastRenderedPageBreak/>
        <w:t>between potentially self-determining groups are smoothed over as postcolonial Mauritius is recognised as a sovereign state incorporated within the pre-existing structures of the Eurocentric ‘international legal community’.</w:t>
      </w:r>
    </w:p>
    <w:p w14:paraId="7982F7E7" w14:textId="5C4A5DB0" w:rsidR="004218B8" w:rsidRDefault="002C4C6B" w:rsidP="00740662">
      <w:pPr>
        <w:jc w:val="both"/>
        <w:rPr>
          <w:rFonts w:ascii="Garamond" w:hAnsi="Garamond"/>
        </w:rPr>
      </w:pPr>
      <w:r w:rsidRPr="009E1077">
        <w:rPr>
          <w:rFonts w:ascii="Garamond" w:hAnsi="Garamond"/>
        </w:rPr>
        <w:t xml:space="preserve">In determining that Mauritius, as a non-self-governing state at the time of separation, could not possibly consent to the colonial authority splitting up the (its) territory, the ICJ </w:t>
      </w:r>
      <w:r>
        <w:rPr>
          <w:rFonts w:ascii="Garamond" w:hAnsi="Garamond"/>
        </w:rPr>
        <w:t xml:space="preserve">effectively shored up the analogy of the unified, consenting (state) subject at the heart of international law. </w:t>
      </w:r>
      <w:r w:rsidRPr="009E1077">
        <w:rPr>
          <w:rFonts w:ascii="Garamond" w:hAnsi="Garamond"/>
        </w:rPr>
        <w:t>In affixing self-determination to territorial integrity</w:t>
      </w:r>
      <w:r>
        <w:rPr>
          <w:rFonts w:ascii="Garamond" w:hAnsi="Garamond"/>
        </w:rPr>
        <w:t>,</w:t>
      </w:r>
      <w:r w:rsidRPr="009E1077">
        <w:rPr>
          <w:rFonts w:ascii="Garamond" w:hAnsi="Garamond"/>
        </w:rPr>
        <w:t xml:space="preserve"> the bounded, pre-independence, colonial borders are maintained, and the state survives the threat of splitting. </w:t>
      </w:r>
      <w:r>
        <w:rPr>
          <w:rFonts w:ascii="Garamond" w:hAnsi="Garamond"/>
        </w:rPr>
        <w:t>This focus on consent renders the Mauriti</w:t>
      </w:r>
      <w:r w:rsidR="003644AE">
        <w:rPr>
          <w:rFonts w:ascii="Garamond" w:hAnsi="Garamond"/>
        </w:rPr>
        <w:t>an</w:t>
      </w:r>
      <w:r>
        <w:rPr>
          <w:rFonts w:ascii="Garamond" w:hAnsi="Garamond"/>
        </w:rPr>
        <w:t xml:space="preserve"> </w:t>
      </w:r>
      <w:r w:rsidRPr="009E1077">
        <w:rPr>
          <w:rFonts w:ascii="Garamond" w:hAnsi="Garamond"/>
        </w:rPr>
        <w:t xml:space="preserve">state </w:t>
      </w:r>
      <w:r>
        <w:rPr>
          <w:rFonts w:ascii="Garamond" w:hAnsi="Garamond"/>
        </w:rPr>
        <w:t xml:space="preserve">as the </w:t>
      </w:r>
      <w:r w:rsidRPr="009E1077">
        <w:rPr>
          <w:rFonts w:ascii="Garamond" w:hAnsi="Garamond"/>
        </w:rPr>
        <w:t>central actor and victim in both its pre- and post-independence configuration. The situation is positioned at a level of abstraction far removed from the embodied, pluralist collective of the Chagossian peoples. They are removed from the power of consent, effectively undercutting the revolutionary, decolonising potential of the right to self-determination.</w:t>
      </w:r>
      <w:r>
        <w:rPr>
          <w:rFonts w:ascii="Garamond" w:hAnsi="Garamond"/>
        </w:rPr>
        <w:t xml:space="preserve"> Having identified the centrality of the state in the ICJ</w:t>
      </w:r>
      <w:r w:rsidR="00970504">
        <w:rPr>
          <w:rFonts w:ascii="Garamond" w:hAnsi="Garamond"/>
        </w:rPr>
        <w:t>’</w:t>
      </w:r>
      <w:r>
        <w:rPr>
          <w:rFonts w:ascii="Garamond" w:hAnsi="Garamond"/>
        </w:rPr>
        <w:t>s reasoning,</w:t>
      </w:r>
      <w:r w:rsidRPr="009E1077">
        <w:rPr>
          <w:rFonts w:ascii="Garamond" w:hAnsi="Garamond"/>
        </w:rPr>
        <w:t xml:space="preserve"> I will now turn to the substantive relationship between </w:t>
      </w:r>
      <w:r>
        <w:rPr>
          <w:rFonts w:ascii="Garamond" w:hAnsi="Garamond"/>
        </w:rPr>
        <w:t>the two states (Mauritius and the UK)</w:t>
      </w:r>
      <w:r w:rsidRPr="009E1077">
        <w:rPr>
          <w:rFonts w:ascii="Garamond" w:hAnsi="Garamond"/>
        </w:rPr>
        <w:t>, arguing that it is framed as one motivated by contractual, rational frames of consent and self-interest</w:t>
      </w:r>
      <w:r w:rsidR="004218B8">
        <w:rPr>
          <w:rFonts w:ascii="Garamond" w:hAnsi="Garamond"/>
        </w:rPr>
        <w:t>.</w:t>
      </w:r>
    </w:p>
    <w:p w14:paraId="31C17864" w14:textId="77777777" w:rsidR="005C6CF4" w:rsidRPr="009E1077" w:rsidRDefault="005C6CF4" w:rsidP="00740662">
      <w:pPr>
        <w:jc w:val="both"/>
        <w:rPr>
          <w:rFonts w:ascii="Garamond" w:hAnsi="Garamond"/>
        </w:rPr>
      </w:pPr>
    </w:p>
    <w:p w14:paraId="464E5021" w14:textId="460F823B" w:rsidR="00BB30CD" w:rsidRPr="005C6CF4" w:rsidRDefault="00BB30CD" w:rsidP="00970504">
      <w:pPr>
        <w:pStyle w:val="Heading1"/>
      </w:pPr>
      <w:r w:rsidRPr="005C6CF4">
        <w:t xml:space="preserve">Consent as contractual agreement </w:t>
      </w:r>
    </w:p>
    <w:p w14:paraId="4564D2FC" w14:textId="66CD3EB8" w:rsidR="00BB30CD" w:rsidRDefault="00BB30CD" w:rsidP="0069137B">
      <w:pPr>
        <w:ind w:left="709"/>
        <w:jc w:val="both"/>
        <w:rPr>
          <w:rFonts w:ascii="Garamond" w:hAnsi="Garamond"/>
        </w:rPr>
      </w:pPr>
      <w:r>
        <w:rPr>
          <w:rFonts w:ascii="Garamond" w:hAnsi="Garamond"/>
        </w:rPr>
        <w:t>We need to take part in the negotiations…they cannot decide behind our backs as they have done throughout history.</w:t>
      </w:r>
      <w:r>
        <w:rPr>
          <w:rStyle w:val="FootnoteReference"/>
          <w:rFonts w:ascii="Garamond" w:hAnsi="Garamond"/>
        </w:rPr>
        <w:footnoteReference w:id="62"/>
      </w:r>
    </w:p>
    <w:p w14:paraId="47FEF4F3" w14:textId="7EE744E5" w:rsidR="00BB30CD" w:rsidRPr="00CC7617" w:rsidRDefault="00BB30CD" w:rsidP="00740662">
      <w:pPr>
        <w:jc w:val="both"/>
        <w:rPr>
          <w:rFonts w:ascii="Garamond" w:hAnsi="Garamond"/>
        </w:rPr>
      </w:pPr>
      <w:r>
        <w:rPr>
          <w:rFonts w:ascii="Garamond" w:hAnsi="Garamond"/>
        </w:rPr>
        <w:t>Consent is a polysemous concept which shifts depending upon its given context.</w:t>
      </w:r>
      <w:r>
        <w:rPr>
          <w:rStyle w:val="FootnoteReference"/>
          <w:rFonts w:ascii="Garamond" w:hAnsi="Garamond"/>
        </w:rPr>
        <w:footnoteReference w:id="63"/>
      </w:r>
      <w:r>
        <w:rPr>
          <w:rFonts w:ascii="Garamond" w:hAnsi="Garamond"/>
        </w:rPr>
        <w:t xml:space="preserve"> Having discussed consent in relation to the </w:t>
      </w:r>
      <w:r>
        <w:rPr>
          <w:rFonts w:ascii="Garamond" w:hAnsi="Garamond"/>
          <w:i/>
          <w:iCs/>
        </w:rPr>
        <w:t xml:space="preserve">unified </w:t>
      </w:r>
      <w:r>
        <w:rPr>
          <w:rFonts w:ascii="Garamond" w:hAnsi="Garamond"/>
        </w:rPr>
        <w:t xml:space="preserve">state as the consenting subject, I will now focus on the relational context in which consent plays out, that is, the conditions of inequality between Mauritius and the UK. Feminist, postcolonial and TWAIL scholars have scrutinised the assumptions of </w:t>
      </w:r>
      <w:r>
        <w:rPr>
          <w:rFonts w:ascii="Garamond" w:hAnsi="Garamond"/>
          <w:i/>
          <w:iCs/>
        </w:rPr>
        <w:t xml:space="preserve">formal </w:t>
      </w:r>
      <w:r>
        <w:rPr>
          <w:rFonts w:ascii="Garamond" w:hAnsi="Garamond"/>
        </w:rPr>
        <w:t xml:space="preserve">equality which underpin ideas of consent. Here I will bring those lines of thinking together to show that across the recent international case law on Chagos the logics of rationalism, </w:t>
      </w:r>
      <w:proofErr w:type="spellStart"/>
      <w:r>
        <w:rPr>
          <w:rFonts w:ascii="Garamond" w:hAnsi="Garamond"/>
        </w:rPr>
        <w:t>contractualism</w:t>
      </w:r>
      <w:proofErr w:type="spellEnd"/>
      <w:r>
        <w:rPr>
          <w:rFonts w:ascii="Garamond" w:hAnsi="Garamond"/>
        </w:rPr>
        <w:t xml:space="preserve"> and self-interest are pervasive. These logics subtly mask the</w:t>
      </w:r>
      <w:r w:rsidR="00DB5827">
        <w:rPr>
          <w:rFonts w:ascii="Garamond" w:hAnsi="Garamond"/>
        </w:rPr>
        <w:t xml:space="preserve"> tilted</w:t>
      </w:r>
      <w:r>
        <w:rPr>
          <w:rFonts w:ascii="Garamond" w:hAnsi="Garamond"/>
        </w:rPr>
        <w:t xml:space="preserve"> power relations which persist after formal equality has been ‘gained’ by </w:t>
      </w:r>
      <w:r w:rsidR="00E32BB8">
        <w:rPr>
          <w:rFonts w:ascii="Garamond" w:hAnsi="Garamond"/>
        </w:rPr>
        <w:t xml:space="preserve">the </w:t>
      </w:r>
      <w:r>
        <w:rPr>
          <w:rFonts w:ascii="Garamond" w:hAnsi="Garamond"/>
        </w:rPr>
        <w:t xml:space="preserve">colonised state. Thus, the reasoning of the ICJ, premised on the inequality of status between Mauritius and the UK, cannot help us in problematising the </w:t>
      </w:r>
      <w:r>
        <w:rPr>
          <w:rFonts w:ascii="Garamond" w:hAnsi="Garamond"/>
          <w:i/>
          <w:iCs/>
        </w:rPr>
        <w:t xml:space="preserve">de facto </w:t>
      </w:r>
      <w:r>
        <w:rPr>
          <w:rFonts w:ascii="Garamond" w:hAnsi="Garamond"/>
        </w:rPr>
        <w:t xml:space="preserve">inequality that </w:t>
      </w:r>
      <w:r w:rsidR="00F1683E">
        <w:rPr>
          <w:rFonts w:ascii="Garamond" w:hAnsi="Garamond"/>
        </w:rPr>
        <w:t xml:space="preserve">continues to </w:t>
      </w:r>
      <w:r>
        <w:rPr>
          <w:rFonts w:ascii="Garamond" w:hAnsi="Garamond"/>
        </w:rPr>
        <w:t>exist</w:t>
      </w:r>
      <w:r w:rsidR="00F1683E">
        <w:rPr>
          <w:rFonts w:ascii="Garamond" w:hAnsi="Garamond"/>
        </w:rPr>
        <w:t xml:space="preserve"> even after</w:t>
      </w:r>
      <w:r>
        <w:rPr>
          <w:rFonts w:ascii="Garamond" w:hAnsi="Garamond"/>
        </w:rPr>
        <w:t xml:space="preserve"> both subjects are rendered fully sovereign. </w:t>
      </w:r>
    </w:p>
    <w:p w14:paraId="1B07DB3B" w14:textId="01CD0D13" w:rsidR="00BB30CD" w:rsidRPr="009E1077" w:rsidRDefault="00BB30CD" w:rsidP="00740662">
      <w:pPr>
        <w:jc w:val="both"/>
        <w:rPr>
          <w:rFonts w:ascii="Garamond" w:hAnsi="Garamond"/>
        </w:rPr>
      </w:pPr>
      <w:r>
        <w:rPr>
          <w:rFonts w:ascii="Garamond" w:hAnsi="Garamond"/>
        </w:rPr>
        <w:t xml:space="preserve">The contemporary legal scrutiny of the separation of Chagos reveals the fundamental assumption of formal equality between states at the crucial moment of decolonisation. The window of time subject to analysis is when Mauritius transitioned from a non-self-governing state into a fully sovereign, autonomous state between 1965-1968. As a result, the legal argumentation is laden with </w:t>
      </w:r>
      <w:proofErr w:type="gramStart"/>
      <w:r>
        <w:rPr>
          <w:rFonts w:ascii="Garamond" w:hAnsi="Garamond"/>
        </w:rPr>
        <w:t>state-craft</w:t>
      </w:r>
      <w:proofErr w:type="gramEnd"/>
      <w:r>
        <w:rPr>
          <w:rFonts w:ascii="Garamond" w:hAnsi="Garamond"/>
        </w:rPr>
        <w:t xml:space="preserve">; constructs such as consent, exchange and </w:t>
      </w:r>
      <w:proofErr w:type="spellStart"/>
      <w:r>
        <w:rPr>
          <w:rFonts w:ascii="Garamond" w:hAnsi="Garamond"/>
        </w:rPr>
        <w:t>contractualism</w:t>
      </w:r>
      <w:proofErr w:type="spellEnd"/>
      <w:r>
        <w:rPr>
          <w:rFonts w:ascii="Garamond" w:hAnsi="Garamond"/>
        </w:rPr>
        <w:t xml:space="preserve"> are drawn upon, effectively </w:t>
      </w:r>
      <w:r>
        <w:rPr>
          <w:rFonts w:ascii="Garamond" w:hAnsi="Garamond"/>
        </w:rPr>
        <w:lastRenderedPageBreak/>
        <w:t xml:space="preserve">cementing the paradigmatic view of international law which sees it as grounded in the agreement of states. Antony Anghie has argued that: </w:t>
      </w:r>
    </w:p>
    <w:p w14:paraId="17722ED1" w14:textId="77777777" w:rsidR="00BB30CD" w:rsidRPr="009E1077" w:rsidRDefault="00BB30CD" w:rsidP="00740662">
      <w:pPr>
        <w:ind w:left="720"/>
        <w:jc w:val="both"/>
        <w:rPr>
          <w:rFonts w:ascii="Garamond" w:hAnsi="Garamond"/>
        </w:rPr>
      </w:pPr>
      <w:r w:rsidRPr="009E1077">
        <w:rPr>
          <w:rFonts w:ascii="Garamond" w:hAnsi="Garamond"/>
          <w:lang w:val="en-US"/>
        </w:rPr>
        <w:t>The</w:t>
      </w:r>
      <w:r w:rsidRPr="009E1077">
        <w:rPr>
          <w:rFonts w:ascii="Garamond" w:hAnsi="Garamond"/>
        </w:rPr>
        <w:t xml:space="preserve"> classic paradigm of equal and sovereign states would suggest that </w:t>
      </w:r>
      <w:r w:rsidRPr="008800FB">
        <w:rPr>
          <w:rFonts w:ascii="Garamond" w:hAnsi="Garamond"/>
        </w:rPr>
        <w:t>international law, in the absence of an overarching sovereign, is made through the consent – the agreement – of equal and sovereign states. The paradigm of civilization, however, suggests that international law is made…– again driven by the West – to transform the inferior non-European peoples while simultaneously dispossessing them.</w:t>
      </w:r>
      <w:r w:rsidRPr="008800FB">
        <w:rPr>
          <w:rStyle w:val="FootnoteReference"/>
          <w:rFonts w:ascii="Garamond" w:hAnsi="Garamond"/>
        </w:rPr>
        <w:footnoteReference w:id="64"/>
      </w:r>
      <w:r w:rsidRPr="009E1077">
        <w:rPr>
          <w:rFonts w:ascii="Garamond" w:hAnsi="Garamond"/>
        </w:rPr>
        <w:t xml:space="preserve"> </w:t>
      </w:r>
    </w:p>
    <w:p w14:paraId="127ACD3D" w14:textId="49F0E6BB" w:rsidR="00BB30CD" w:rsidRDefault="00BB30CD" w:rsidP="00740662">
      <w:pPr>
        <w:jc w:val="both"/>
        <w:rPr>
          <w:rFonts w:ascii="Garamond" w:hAnsi="Garamond"/>
        </w:rPr>
      </w:pPr>
      <w:r>
        <w:rPr>
          <w:rFonts w:ascii="Garamond" w:hAnsi="Garamond"/>
        </w:rPr>
        <w:t xml:space="preserve">Despite the promises of equality, ‘consensual agreements’ obscure state hierarchies, the extraction of resources, and the displacement and dispossession of land from peoples marked as lesser. This draws to the surface the underlying power dynamics within state relations. </w:t>
      </w:r>
      <w:r w:rsidRPr="009E1077">
        <w:rPr>
          <w:rFonts w:ascii="Garamond" w:hAnsi="Garamond"/>
        </w:rPr>
        <w:t>As Glen Coulthard suggests</w:t>
      </w:r>
      <w:r w:rsidR="00927E30">
        <w:rPr>
          <w:rFonts w:ascii="Garamond" w:hAnsi="Garamond"/>
        </w:rPr>
        <w:t>,</w:t>
      </w:r>
      <w:r w:rsidRPr="009E1077">
        <w:rPr>
          <w:rFonts w:ascii="Garamond" w:hAnsi="Garamond"/>
        </w:rPr>
        <w:t xml:space="preserve"> recognition of personhood </w:t>
      </w:r>
      <w:r>
        <w:rPr>
          <w:rFonts w:ascii="Garamond" w:hAnsi="Garamond"/>
        </w:rPr>
        <w:t xml:space="preserve">(and so the formal equality of legal subjects) </w:t>
      </w:r>
      <w:r w:rsidRPr="009E1077">
        <w:rPr>
          <w:rFonts w:ascii="Garamond" w:hAnsi="Garamond"/>
        </w:rPr>
        <w:t xml:space="preserve">fails to dismantle social hierarchies as the </w:t>
      </w:r>
      <w:r w:rsidRPr="009E1077">
        <w:rPr>
          <w:rFonts w:ascii="Garamond" w:hAnsi="Garamond"/>
          <w:i/>
          <w:iCs/>
        </w:rPr>
        <w:t>need</w:t>
      </w:r>
      <w:r w:rsidRPr="009E1077">
        <w:rPr>
          <w:rFonts w:ascii="Garamond" w:hAnsi="Garamond"/>
        </w:rPr>
        <w:t xml:space="preserve"> for recognition is not reciprocal; the power </w:t>
      </w:r>
      <w:r w:rsidRPr="009E1077">
        <w:rPr>
          <w:rFonts w:ascii="Garamond" w:hAnsi="Garamond"/>
          <w:i/>
          <w:iCs/>
        </w:rPr>
        <w:t xml:space="preserve">to recognise </w:t>
      </w:r>
      <w:r w:rsidRPr="009E1077">
        <w:rPr>
          <w:rFonts w:ascii="Garamond" w:hAnsi="Garamond"/>
        </w:rPr>
        <w:t xml:space="preserve">is held by the </w:t>
      </w:r>
      <w:r w:rsidR="004C7D21">
        <w:rPr>
          <w:rFonts w:ascii="Garamond" w:hAnsi="Garamond"/>
        </w:rPr>
        <w:t>‘</w:t>
      </w:r>
      <w:r w:rsidRPr="009E1077">
        <w:rPr>
          <w:rFonts w:ascii="Garamond" w:hAnsi="Garamond"/>
        </w:rPr>
        <w:t>master</w:t>
      </w:r>
      <w:r w:rsidR="004C7D21">
        <w:rPr>
          <w:rFonts w:ascii="Garamond" w:hAnsi="Garamond"/>
        </w:rPr>
        <w:t>’</w:t>
      </w:r>
      <w:r w:rsidRPr="009E1077">
        <w:rPr>
          <w:rFonts w:ascii="Garamond" w:hAnsi="Garamond"/>
        </w:rPr>
        <w:t xml:space="preserve"> who does not need it in turn.</w:t>
      </w:r>
      <w:r w:rsidRPr="009E1077">
        <w:rPr>
          <w:rStyle w:val="FootnoteReference"/>
          <w:rFonts w:ascii="Garamond" w:hAnsi="Garamond"/>
        </w:rPr>
        <w:footnoteReference w:id="65"/>
      </w:r>
      <w:r w:rsidRPr="009E1077">
        <w:rPr>
          <w:rFonts w:ascii="Garamond" w:hAnsi="Garamond"/>
        </w:rPr>
        <w:t xml:space="preserve"> The recognition of Mauritius does not, therefore, result in its positioning within the international legal community as a </w:t>
      </w:r>
      <w:r w:rsidRPr="0029654A">
        <w:rPr>
          <w:rFonts w:ascii="Garamond" w:hAnsi="Garamond"/>
          <w:i/>
          <w:iCs/>
        </w:rPr>
        <w:t>de facto</w:t>
      </w:r>
      <w:r w:rsidRPr="009E1077">
        <w:rPr>
          <w:rFonts w:ascii="Garamond" w:hAnsi="Garamond"/>
        </w:rPr>
        <w:t xml:space="preserve"> equal subject. </w:t>
      </w:r>
      <w:r>
        <w:rPr>
          <w:rFonts w:ascii="Garamond" w:hAnsi="Garamond"/>
        </w:rPr>
        <w:t>In an interpersonal context, f</w:t>
      </w:r>
      <w:r w:rsidRPr="009E1077">
        <w:rPr>
          <w:rFonts w:ascii="Garamond" w:hAnsi="Garamond"/>
        </w:rPr>
        <w:t>eminists too have argued th</w:t>
      </w:r>
      <w:r>
        <w:rPr>
          <w:rFonts w:ascii="Garamond" w:hAnsi="Garamond"/>
        </w:rPr>
        <w:t>at th</w:t>
      </w:r>
      <w:r w:rsidRPr="009E1077">
        <w:rPr>
          <w:rFonts w:ascii="Garamond" w:hAnsi="Garamond"/>
        </w:rPr>
        <w:t xml:space="preserve">e liberal concept of consent </w:t>
      </w:r>
      <w:r>
        <w:rPr>
          <w:rFonts w:ascii="Garamond" w:hAnsi="Garamond"/>
        </w:rPr>
        <w:t>obscures</w:t>
      </w:r>
      <w:r w:rsidRPr="009E1077">
        <w:rPr>
          <w:rFonts w:ascii="Garamond" w:hAnsi="Garamond"/>
        </w:rPr>
        <w:t xml:space="preserve"> the sustained relations of dominance and submission hidden by the veil of formal equality.</w:t>
      </w:r>
      <w:r>
        <w:rPr>
          <w:rStyle w:val="FootnoteReference"/>
          <w:rFonts w:ascii="Garamond" w:hAnsi="Garamond"/>
        </w:rPr>
        <w:footnoteReference w:id="66"/>
      </w:r>
      <w:r w:rsidRPr="009E1077">
        <w:rPr>
          <w:rFonts w:ascii="Garamond" w:hAnsi="Garamond"/>
        </w:rPr>
        <w:t xml:space="preserve"> Recognising women as consenting subjects cannot simply undo the relations of power often underpinning one</w:t>
      </w:r>
      <w:r w:rsidR="00A60208">
        <w:rPr>
          <w:rFonts w:ascii="Garamond" w:hAnsi="Garamond"/>
        </w:rPr>
        <w:t>’</w:t>
      </w:r>
      <w:r w:rsidRPr="009E1077">
        <w:rPr>
          <w:rFonts w:ascii="Garamond" w:hAnsi="Garamond"/>
        </w:rPr>
        <w:t xml:space="preserve">s </w:t>
      </w:r>
      <w:r w:rsidRPr="009E1077">
        <w:rPr>
          <w:rFonts w:ascii="Garamond" w:hAnsi="Garamond"/>
          <w:i/>
          <w:iCs/>
        </w:rPr>
        <w:t>giving</w:t>
      </w:r>
      <w:r>
        <w:rPr>
          <w:rFonts w:ascii="Garamond" w:hAnsi="Garamond"/>
          <w:i/>
          <w:iCs/>
        </w:rPr>
        <w:t xml:space="preserve"> </w:t>
      </w:r>
      <w:r>
        <w:rPr>
          <w:rFonts w:ascii="Garamond" w:hAnsi="Garamond"/>
        </w:rPr>
        <w:t>consent</w:t>
      </w:r>
      <w:r w:rsidRPr="009E1077">
        <w:rPr>
          <w:rFonts w:ascii="Garamond" w:hAnsi="Garamond"/>
        </w:rPr>
        <w:t xml:space="preserve"> – or permission – </w:t>
      </w:r>
      <w:r>
        <w:rPr>
          <w:rFonts w:ascii="Garamond" w:hAnsi="Garamond"/>
        </w:rPr>
        <w:t xml:space="preserve">to another </w:t>
      </w:r>
      <w:r w:rsidRPr="009E1077">
        <w:rPr>
          <w:rFonts w:ascii="Garamond" w:hAnsi="Garamond"/>
        </w:rPr>
        <w:t>to act on their person.</w:t>
      </w:r>
      <w:r>
        <w:rPr>
          <w:rStyle w:val="FootnoteReference"/>
          <w:rFonts w:ascii="Garamond" w:hAnsi="Garamond"/>
        </w:rPr>
        <w:footnoteReference w:id="67"/>
      </w:r>
      <w:r w:rsidRPr="009E1077">
        <w:rPr>
          <w:rFonts w:ascii="Garamond" w:hAnsi="Garamond"/>
        </w:rPr>
        <w:t xml:space="preserve"> These ideas will be unpacked </w:t>
      </w:r>
      <w:r>
        <w:rPr>
          <w:rFonts w:ascii="Garamond" w:hAnsi="Garamond"/>
        </w:rPr>
        <w:t>as</w:t>
      </w:r>
      <w:r w:rsidRPr="009E1077">
        <w:rPr>
          <w:rFonts w:ascii="Garamond" w:hAnsi="Garamond"/>
        </w:rPr>
        <w:t xml:space="preserve"> I </w:t>
      </w:r>
      <w:r>
        <w:rPr>
          <w:rFonts w:ascii="Garamond" w:hAnsi="Garamond"/>
        </w:rPr>
        <w:t xml:space="preserve">reveal how consensual, contractual discursive frames (re)entrench an idealised account of state interactions premised on formal equality. </w:t>
      </w:r>
    </w:p>
    <w:p w14:paraId="0C205150" w14:textId="4327431A" w:rsidR="00BB30CD" w:rsidRPr="009E1077" w:rsidRDefault="00BB30CD" w:rsidP="00740662">
      <w:pPr>
        <w:jc w:val="both"/>
        <w:rPr>
          <w:rFonts w:ascii="Garamond" w:hAnsi="Garamond"/>
        </w:rPr>
      </w:pPr>
      <w:r>
        <w:rPr>
          <w:rFonts w:ascii="Garamond" w:hAnsi="Garamond"/>
        </w:rPr>
        <w:t>The</w:t>
      </w:r>
      <w:r w:rsidRPr="009E1077">
        <w:rPr>
          <w:rFonts w:ascii="Garamond" w:hAnsi="Garamond"/>
        </w:rPr>
        <w:t xml:space="preserve"> classic paradigm of international law</w:t>
      </w:r>
      <w:r>
        <w:rPr>
          <w:rFonts w:ascii="Garamond" w:hAnsi="Garamond"/>
        </w:rPr>
        <w:t xml:space="preserve"> </w:t>
      </w:r>
      <w:r w:rsidRPr="009E1077">
        <w:rPr>
          <w:rFonts w:ascii="Garamond" w:hAnsi="Garamond"/>
        </w:rPr>
        <w:t xml:space="preserve">is </w:t>
      </w:r>
      <w:r>
        <w:rPr>
          <w:rFonts w:ascii="Garamond" w:hAnsi="Garamond"/>
        </w:rPr>
        <w:t>routinely reinforced within the</w:t>
      </w:r>
      <w:r w:rsidRPr="009E1077">
        <w:rPr>
          <w:rFonts w:ascii="Garamond" w:hAnsi="Garamond"/>
        </w:rPr>
        <w:t xml:space="preserve"> international case law on Chagos.</w:t>
      </w:r>
      <w:r>
        <w:rPr>
          <w:rFonts w:ascii="Garamond" w:hAnsi="Garamond"/>
        </w:rPr>
        <w:t xml:space="preserve"> This is most clear in the close attention paid to the negotiating conditions which culminated in the Lancaster House Agreement in 1965. The</w:t>
      </w:r>
      <w:r w:rsidRPr="009E1077">
        <w:rPr>
          <w:rFonts w:ascii="Garamond" w:hAnsi="Garamond"/>
        </w:rPr>
        <w:t xml:space="preserve"> I</w:t>
      </w:r>
      <w:r>
        <w:rPr>
          <w:rFonts w:ascii="Garamond" w:hAnsi="Garamond"/>
        </w:rPr>
        <w:t xml:space="preserve">nternational </w:t>
      </w:r>
      <w:r w:rsidRPr="009E1077">
        <w:rPr>
          <w:rFonts w:ascii="Garamond" w:hAnsi="Garamond"/>
        </w:rPr>
        <w:t>T</w:t>
      </w:r>
      <w:r>
        <w:rPr>
          <w:rFonts w:ascii="Garamond" w:hAnsi="Garamond"/>
        </w:rPr>
        <w:t xml:space="preserve">ribunal for the </w:t>
      </w:r>
      <w:r w:rsidRPr="009E1077">
        <w:rPr>
          <w:rFonts w:ascii="Garamond" w:hAnsi="Garamond"/>
        </w:rPr>
        <w:t>L</w:t>
      </w:r>
      <w:r>
        <w:rPr>
          <w:rFonts w:ascii="Garamond" w:hAnsi="Garamond"/>
        </w:rPr>
        <w:t>aw of the Sea (ITLOS)</w:t>
      </w:r>
      <w:r w:rsidRPr="009E1077">
        <w:rPr>
          <w:rFonts w:ascii="Garamond" w:hAnsi="Garamond"/>
        </w:rPr>
        <w:t xml:space="preserve"> arbitration on the M</w:t>
      </w:r>
      <w:r>
        <w:rPr>
          <w:rFonts w:ascii="Garamond" w:hAnsi="Garamond"/>
        </w:rPr>
        <w:t xml:space="preserve">arine </w:t>
      </w:r>
      <w:r w:rsidRPr="009E1077">
        <w:rPr>
          <w:rFonts w:ascii="Garamond" w:hAnsi="Garamond"/>
        </w:rPr>
        <w:t>P</w:t>
      </w:r>
      <w:r>
        <w:rPr>
          <w:rFonts w:ascii="Garamond" w:hAnsi="Garamond"/>
        </w:rPr>
        <w:t xml:space="preserve">rotected </w:t>
      </w:r>
      <w:r w:rsidRPr="009E1077">
        <w:rPr>
          <w:rFonts w:ascii="Garamond" w:hAnsi="Garamond"/>
        </w:rPr>
        <w:t>A</w:t>
      </w:r>
      <w:r>
        <w:rPr>
          <w:rFonts w:ascii="Garamond" w:hAnsi="Garamond"/>
        </w:rPr>
        <w:t xml:space="preserve">rea (MPA) </w:t>
      </w:r>
      <w:r w:rsidRPr="009E1077">
        <w:rPr>
          <w:rFonts w:ascii="Garamond" w:hAnsi="Garamond"/>
        </w:rPr>
        <w:t xml:space="preserve">assessed the </w:t>
      </w:r>
      <w:r>
        <w:rPr>
          <w:rFonts w:ascii="Garamond" w:hAnsi="Garamond"/>
        </w:rPr>
        <w:t xml:space="preserve">‘undertakings of Lancaster House’. </w:t>
      </w:r>
      <w:r w:rsidRPr="009E1077">
        <w:rPr>
          <w:rFonts w:ascii="Garamond" w:hAnsi="Garamond"/>
        </w:rPr>
        <w:t xml:space="preserve">These were clearly seen as </w:t>
      </w:r>
      <w:r>
        <w:rPr>
          <w:rFonts w:ascii="Garamond" w:hAnsi="Garamond"/>
        </w:rPr>
        <w:t>contractually binding</w:t>
      </w:r>
      <w:r w:rsidRPr="009E1077">
        <w:rPr>
          <w:rFonts w:ascii="Garamond" w:hAnsi="Garamond"/>
        </w:rPr>
        <w:t xml:space="preserve"> in nature: the UK describ</w:t>
      </w:r>
      <w:r>
        <w:rPr>
          <w:rFonts w:ascii="Garamond" w:hAnsi="Garamond"/>
        </w:rPr>
        <w:t>ed</w:t>
      </w:r>
      <w:r w:rsidRPr="009E1077">
        <w:rPr>
          <w:rFonts w:ascii="Garamond" w:hAnsi="Garamond"/>
        </w:rPr>
        <w:t xml:space="preserve"> </w:t>
      </w:r>
      <w:r w:rsidR="00DE4503">
        <w:rPr>
          <w:rFonts w:ascii="Garamond" w:hAnsi="Garamond"/>
        </w:rPr>
        <w:t>‘</w:t>
      </w:r>
      <w:r w:rsidRPr="009E1077">
        <w:rPr>
          <w:rFonts w:ascii="Garamond" w:hAnsi="Garamond"/>
        </w:rPr>
        <w:t>its commitment in the language of obligation…an offer made on the basis of an intent to be bound</w:t>
      </w:r>
      <w:r w:rsidR="00DE4503">
        <w:rPr>
          <w:rFonts w:ascii="Garamond" w:hAnsi="Garamond"/>
        </w:rPr>
        <w:t>’</w:t>
      </w:r>
      <w:r w:rsidRPr="009E1077">
        <w:rPr>
          <w:rFonts w:ascii="Garamond" w:hAnsi="Garamond"/>
        </w:rPr>
        <w:t>.</w:t>
      </w:r>
      <w:r w:rsidRPr="009E1077">
        <w:rPr>
          <w:rStyle w:val="FootnoteReference"/>
          <w:rFonts w:ascii="Garamond" w:hAnsi="Garamond"/>
        </w:rPr>
        <w:footnoteReference w:id="68"/>
      </w:r>
      <w:r w:rsidRPr="009E1077">
        <w:rPr>
          <w:rFonts w:ascii="Garamond" w:hAnsi="Garamond"/>
        </w:rPr>
        <w:t xml:space="preserve"> Legal arguments put forward by Mauritius </w:t>
      </w:r>
      <w:r>
        <w:rPr>
          <w:rFonts w:ascii="Garamond" w:hAnsi="Garamond"/>
        </w:rPr>
        <w:t xml:space="preserve">maintained such </w:t>
      </w:r>
      <w:r w:rsidRPr="009E1077">
        <w:rPr>
          <w:rFonts w:ascii="Garamond" w:hAnsi="Garamond"/>
        </w:rPr>
        <w:t xml:space="preserve">undertakings </w:t>
      </w:r>
      <w:r>
        <w:rPr>
          <w:rFonts w:ascii="Garamond" w:hAnsi="Garamond"/>
        </w:rPr>
        <w:t xml:space="preserve">as </w:t>
      </w:r>
      <w:r w:rsidR="00DE4503">
        <w:rPr>
          <w:rFonts w:ascii="Garamond" w:hAnsi="Garamond"/>
        </w:rPr>
        <w:t>‘</w:t>
      </w:r>
      <w:r w:rsidRPr="009E1077">
        <w:rPr>
          <w:rFonts w:ascii="Garamond" w:hAnsi="Garamond"/>
        </w:rPr>
        <w:t xml:space="preserve">part of the </w:t>
      </w:r>
      <w:r w:rsidRPr="009E1077">
        <w:rPr>
          <w:rFonts w:ascii="Garamond" w:hAnsi="Garamond"/>
          <w:i/>
          <w:iCs/>
        </w:rPr>
        <w:t xml:space="preserve">quid pro quo </w:t>
      </w:r>
      <w:r w:rsidRPr="009E1077">
        <w:rPr>
          <w:rFonts w:ascii="Garamond" w:hAnsi="Garamond"/>
        </w:rPr>
        <w:t>or “package of inducements” given in exchange for what the United Kingdom regarded as Mauritius’ consent to the detachment of the Chagos Archipelago</w:t>
      </w:r>
      <w:r w:rsidR="00DE4503">
        <w:rPr>
          <w:rFonts w:ascii="Garamond" w:hAnsi="Garamond"/>
        </w:rPr>
        <w:t>’</w:t>
      </w:r>
      <w:r w:rsidRPr="009E1077">
        <w:rPr>
          <w:rFonts w:ascii="Garamond" w:hAnsi="Garamond"/>
        </w:rPr>
        <w:t>.</w:t>
      </w:r>
      <w:r w:rsidRPr="009E1077">
        <w:rPr>
          <w:rStyle w:val="FootnoteReference"/>
          <w:rFonts w:ascii="Garamond" w:hAnsi="Garamond"/>
        </w:rPr>
        <w:footnoteReference w:id="69"/>
      </w:r>
      <w:r>
        <w:rPr>
          <w:rFonts w:ascii="Garamond" w:hAnsi="Garamond"/>
        </w:rPr>
        <w:t xml:space="preserve"> Similarly the ICJ proceedings are awash</w:t>
      </w:r>
      <w:r w:rsidRPr="009E1077">
        <w:rPr>
          <w:rFonts w:ascii="Garamond" w:hAnsi="Garamond"/>
        </w:rPr>
        <w:t xml:space="preserve"> with the language of </w:t>
      </w:r>
      <w:r>
        <w:rPr>
          <w:rFonts w:ascii="Garamond" w:hAnsi="Garamond"/>
        </w:rPr>
        <w:t>trade. T</w:t>
      </w:r>
      <w:r w:rsidRPr="009E1077">
        <w:rPr>
          <w:rFonts w:ascii="Garamond" w:hAnsi="Garamond"/>
        </w:rPr>
        <w:t xml:space="preserve">he </w:t>
      </w:r>
      <w:r>
        <w:rPr>
          <w:rFonts w:ascii="Garamond" w:hAnsi="Garamond"/>
        </w:rPr>
        <w:t>court states</w:t>
      </w:r>
      <w:r w:rsidRPr="009E1077">
        <w:rPr>
          <w:rFonts w:ascii="Garamond" w:hAnsi="Garamond"/>
        </w:rPr>
        <w:t xml:space="preserve">: </w:t>
      </w:r>
    </w:p>
    <w:p w14:paraId="4EDC2DB9" w14:textId="79DF79B9" w:rsidR="00BB30CD" w:rsidRPr="0056788F" w:rsidRDefault="00BB30CD" w:rsidP="00740662">
      <w:pPr>
        <w:autoSpaceDE w:val="0"/>
        <w:autoSpaceDN w:val="0"/>
        <w:adjustRightInd w:val="0"/>
        <w:spacing w:after="0" w:line="276" w:lineRule="auto"/>
        <w:ind w:left="720"/>
        <w:jc w:val="both"/>
        <w:rPr>
          <w:rFonts w:ascii="Garamond" w:hAnsi="Garamond"/>
        </w:rPr>
      </w:pPr>
      <w:r w:rsidRPr="009E1077">
        <w:rPr>
          <w:rFonts w:ascii="Garamond" w:hAnsi="Garamond"/>
        </w:rPr>
        <w:lastRenderedPageBreak/>
        <w:t>On 3 September 1965, Sir Seewoosagur Ramgoolam [the Premier of Mauritius</w:t>
      </w:r>
      <w:r>
        <w:rPr>
          <w:rFonts w:ascii="Garamond" w:hAnsi="Garamond"/>
        </w:rPr>
        <w:t xml:space="preserve">] </w:t>
      </w:r>
      <w:r w:rsidRPr="009E1077">
        <w:rPr>
          <w:rFonts w:ascii="Garamond" w:hAnsi="Garamond"/>
        </w:rPr>
        <w:t xml:space="preserve">and </w:t>
      </w:r>
      <w:r>
        <w:rPr>
          <w:rFonts w:ascii="Garamond" w:hAnsi="Garamond"/>
        </w:rPr>
        <w:t xml:space="preserve">[the UKs Secretary of State for the Colonies] </w:t>
      </w:r>
      <w:r w:rsidRPr="009E1077">
        <w:rPr>
          <w:rFonts w:ascii="Garamond" w:hAnsi="Garamond"/>
        </w:rPr>
        <w:t xml:space="preserve">met in London…and agreed that the discussion on the detachment and the constitutional conference should be kept separate. However, </w:t>
      </w:r>
      <w:r w:rsidR="001159E9">
        <w:rPr>
          <w:rFonts w:ascii="Garamond" w:hAnsi="Garamond"/>
        </w:rPr>
        <w:t xml:space="preserve">[this was modified] </w:t>
      </w:r>
      <w:r w:rsidRPr="009E1077">
        <w:rPr>
          <w:rFonts w:ascii="Garamond" w:hAnsi="Garamond"/>
        </w:rPr>
        <w:t xml:space="preserve">to link both matters in a possible </w:t>
      </w:r>
      <w:r w:rsidRPr="009E1077">
        <w:rPr>
          <w:rFonts w:ascii="Garamond" w:hAnsi="Garamond"/>
          <w:i/>
          <w:iCs/>
        </w:rPr>
        <w:t>package deal</w:t>
      </w:r>
      <w:r w:rsidR="0056788F">
        <w:rPr>
          <w:rFonts w:ascii="Garamond" w:hAnsi="Garamond"/>
          <w:i/>
          <w:iCs/>
        </w:rPr>
        <w:t xml:space="preserve"> </w:t>
      </w:r>
      <w:r w:rsidR="0056788F">
        <w:rPr>
          <w:rFonts w:ascii="Garamond" w:hAnsi="Garamond"/>
        </w:rPr>
        <w:t>(emphasis added)</w:t>
      </w:r>
      <w:r w:rsidR="0051796F">
        <w:rPr>
          <w:rFonts w:ascii="Garamond" w:hAnsi="Garamond"/>
        </w:rPr>
        <w:t>.</w:t>
      </w:r>
    </w:p>
    <w:p w14:paraId="6FD2ECDE" w14:textId="77777777" w:rsidR="00BB30CD" w:rsidRPr="009E1077" w:rsidRDefault="00BB30CD" w:rsidP="00740662">
      <w:pPr>
        <w:autoSpaceDE w:val="0"/>
        <w:autoSpaceDN w:val="0"/>
        <w:adjustRightInd w:val="0"/>
        <w:spacing w:after="0" w:line="276" w:lineRule="auto"/>
        <w:ind w:left="720"/>
        <w:jc w:val="both"/>
        <w:rPr>
          <w:rFonts w:ascii="Garamond" w:hAnsi="Garamond"/>
          <w:i/>
          <w:iCs/>
        </w:rPr>
      </w:pPr>
    </w:p>
    <w:p w14:paraId="09D5F89D" w14:textId="0D860188" w:rsidR="00BB30CD" w:rsidRPr="009E1077" w:rsidRDefault="00BB30CD" w:rsidP="00740662">
      <w:pPr>
        <w:jc w:val="both"/>
        <w:rPr>
          <w:rFonts w:ascii="Garamond" w:hAnsi="Garamond"/>
        </w:rPr>
      </w:pPr>
      <w:r w:rsidRPr="009E1077">
        <w:rPr>
          <w:rFonts w:ascii="Garamond" w:hAnsi="Garamond"/>
        </w:rPr>
        <w:t xml:space="preserve">This </w:t>
      </w:r>
      <w:r>
        <w:rPr>
          <w:rFonts w:ascii="Garamond" w:hAnsi="Garamond"/>
        </w:rPr>
        <w:t>bartered</w:t>
      </w:r>
      <w:r w:rsidR="003B10FB">
        <w:rPr>
          <w:rFonts w:ascii="Garamond" w:hAnsi="Garamond"/>
        </w:rPr>
        <w:t>-</w:t>
      </w:r>
      <w:r>
        <w:rPr>
          <w:rFonts w:ascii="Garamond" w:hAnsi="Garamond"/>
        </w:rPr>
        <w:t xml:space="preserve">for </w:t>
      </w:r>
      <w:r w:rsidRPr="009E1077">
        <w:rPr>
          <w:rFonts w:ascii="Garamond" w:hAnsi="Garamond"/>
        </w:rPr>
        <w:t>package of goods and interests</w:t>
      </w:r>
      <w:r>
        <w:rPr>
          <w:rFonts w:ascii="Garamond" w:hAnsi="Garamond"/>
        </w:rPr>
        <w:t xml:space="preserve"> </w:t>
      </w:r>
      <w:r w:rsidRPr="009E1077">
        <w:rPr>
          <w:rFonts w:ascii="Garamond" w:hAnsi="Garamond"/>
        </w:rPr>
        <w:t xml:space="preserve">provided for, </w:t>
      </w:r>
      <w:r w:rsidRPr="009E1077">
        <w:rPr>
          <w:rFonts w:ascii="Garamond" w:hAnsi="Garamond"/>
          <w:i/>
          <w:iCs/>
        </w:rPr>
        <w:t xml:space="preserve">inter alia, </w:t>
      </w:r>
      <w:r w:rsidRPr="009E1077">
        <w:rPr>
          <w:rFonts w:ascii="Garamond" w:hAnsi="Garamond"/>
        </w:rPr>
        <w:t>future negotiations over defence, including over ‘internal security situations’ in Mauritius; £3 million compensation paid to the Mauritius government for the cost of resettling the Chagossian people; trade benefits with the US</w:t>
      </w:r>
      <w:r>
        <w:rPr>
          <w:rFonts w:ascii="Garamond" w:hAnsi="Garamond"/>
        </w:rPr>
        <w:t xml:space="preserve">; and </w:t>
      </w:r>
      <w:r w:rsidRPr="009E1077">
        <w:rPr>
          <w:rFonts w:ascii="Garamond" w:hAnsi="Garamond"/>
        </w:rPr>
        <w:t>mineral and oil benefits.</w:t>
      </w:r>
      <w:r w:rsidRPr="009E1077">
        <w:rPr>
          <w:rStyle w:val="FootnoteReference"/>
          <w:rFonts w:ascii="Garamond" w:hAnsi="Garamond"/>
        </w:rPr>
        <w:footnoteReference w:id="70"/>
      </w:r>
      <w:r w:rsidRPr="009E1077">
        <w:rPr>
          <w:rFonts w:ascii="Garamond" w:hAnsi="Garamond"/>
        </w:rPr>
        <w:t xml:space="preserve"> Importantly, the ICJ </w:t>
      </w:r>
      <w:r>
        <w:rPr>
          <w:rFonts w:ascii="Garamond" w:hAnsi="Garamond"/>
        </w:rPr>
        <w:t xml:space="preserve">determined </w:t>
      </w:r>
      <w:r w:rsidRPr="009E1077">
        <w:rPr>
          <w:rFonts w:ascii="Garamond" w:hAnsi="Garamond"/>
        </w:rPr>
        <w:t>that sovereignty</w:t>
      </w:r>
      <w:r>
        <w:rPr>
          <w:rFonts w:ascii="Garamond" w:hAnsi="Garamond"/>
        </w:rPr>
        <w:t xml:space="preserve"> </w:t>
      </w:r>
      <w:r w:rsidRPr="009E1077">
        <w:rPr>
          <w:rFonts w:ascii="Garamond" w:hAnsi="Garamond"/>
        </w:rPr>
        <w:t>became a part of this package</w:t>
      </w:r>
      <w:r>
        <w:rPr>
          <w:rFonts w:ascii="Garamond" w:hAnsi="Garamond"/>
        </w:rPr>
        <w:t xml:space="preserve">, and that as a result </w:t>
      </w:r>
      <w:r w:rsidRPr="009E1077">
        <w:rPr>
          <w:rFonts w:ascii="Garamond" w:hAnsi="Garamond"/>
        </w:rPr>
        <w:t>Mauritius was subject to duress</w:t>
      </w:r>
      <w:r>
        <w:rPr>
          <w:rFonts w:ascii="Garamond" w:hAnsi="Garamond"/>
        </w:rPr>
        <w:t xml:space="preserve">. These </w:t>
      </w:r>
      <w:r w:rsidRPr="009E1077">
        <w:rPr>
          <w:rFonts w:ascii="Garamond" w:hAnsi="Garamond"/>
        </w:rPr>
        <w:t xml:space="preserve">conditions made genuine consent impossible. </w:t>
      </w:r>
    </w:p>
    <w:p w14:paraId="64D27C49" w14:textId="1DE9CB64" w:rsidR="00BB30CD" w:rsidRDefault="00BB30CD" w:rsidP="00740662">
      <w:pPr>
        <w:jc w:val="both"/>
        <w:rPr>
          <w:rFonts w:ascii="Garamond" w:hAnsi="Garamond"/>
        </w:rPr>
      </w:pPr>
      <w:r w:rsidRPr="009E1077">
        <w:rPr>
          <w:rFonts w:ascii="Garamond" w:hAnsi="Garamond"/>
        </w:rPr>
        <w:t xml:space="preserve">The ready adoption of contractual </w:t>
      </w:r>
      <w:r>
        <w:rPr>
          <w:rFonts w:ascii="Garamond" w:hAnsi="Garamond"/>
        </w:rPr>
        <w:t xml:space="preserve">discursive frames cements a paradigmatic view of international law. There appears to be no doubt that this is a situation which could, in principle, be negotiated and bartered over. </w:t>
      </w:r>
      <w:r w:rsidRPr="009E1077">
        <w:rPr>
          <w:rFonts w:ascii="Garamond" w:hAnsi="Garamond"/>
        </w:rPr>
        <w:t xml:space="preserve">The UK conjures up the liberal ideal of two equally matched, legal subjects acting rationally and in service of their own interests. </w:t>
      </w:r>
      <w:r>
        <w:rPr>
          <w:rFonts w:ascii="Garamond" w:hAnsi="Garamond"/>
        </w:rPr>
        <w:t xml:space="preserve">The deal, it claims, was highly advantageous to Mauritius at the time: </w:t>
      </w:r>
      <w:r w:rsidR="00EC1716">
        <w:rPr>
          <w:rFonts w:ascii="Garamond" w:hAnsi="Garamond"/>
        </w:rPr>
        <w:t>‘</w:t>
      </w:r>
      <w:r w:rsidRPr="009E1077">
        <w:rPr>
          <w:rFonts w:ascii="Garamond" w:hAnsi="Garamond"/>
        </w:rPr>
        <w:t>it was a freely negotiated package that expressed the consent of Mauritius to the detachment</w:t>
      </w:r>
      <w:r w:rsidR="004F4451">
        <w:rPr>
          <w:rFonts w:ascii="Garamond" w:hAnsi="Garamond"/>
        </w:rPr>
        <w:t>.</w:t>
      </w:r>
      <w:r>
        <w:rPr>
          <w:rFonts w:ascii="Garamond" w:hAnsi="Garamond"/>
        </w:rPr>
        <w:t>…</w:t>
      </w:r>
      <w:r w:rsidRPr="009E1077">
        <w:rPr>
          <w:rFonts w:ascii="Garamond" w:hAnsi="Garamond"/>
        </w:rPr>
        <w:t>in exchange for</w:t>
      </w:r>
      <w:r w:rsidR="0010406B">
        <w:rPr>
          <w:rFonts w:ascii="Garamond" w:hAnsi="Garamond"/>
        </w:rPr>
        <w:t xml:space="preserve"> [a] </w:t>
      </w:r>
      <w:r w:rsidRPr="009E1077">
        <w:rPr>
          <w:rFonts w:ascii="Garamond" w:hAnsi="Garamond"/>
        </w:rPr>
        <w:t>considerable sum of money</w:t>
      </w:r>
      <w:r w:rsidR="00EC1716">
        <w:rPr>
          <w:rFonts w:ascii="Garamond" w:hAnsi="Garamond"/>
        </w:rPr>
        <w:t>’</w:t>
      </w:r>
      <w:r w:rsidR="00404371">
        <w:rPr>
          <w:rFonts w:ascii="Garamond" w:hAnsi="Garamond"/>
        </w:rPr>
        <w:t xml:space="preserve"> and other advantages.</w:t>
      </w:r>
      <w:r w:rsidRPr="009E1077">
        <w:rPr>
          <w:rStyle w:val="FootnoteReference"/>
          <w:rFonts w:ascii="Garamond" w:hAnsi="Garamond"/>
        </w:rPr>
        <w:footnoteReference w:id="71"/>
      </w:r>
      <w:r w:rsidRPr="009E1077">
        <w:rPr>
          <w:rFonts w:ascii="Garamond" w:hAnsi="Garamond"/>
        </w:rPr>
        <w:t xml:space="preserve"> It goes on to suggest that the talks were part of a broader series of communications</w:t>
      </w:r>
      <w:r>
        <w:rPr>
          <w:rFonts w:ascii="Garamond" w:hAnsi="Garamond"/>
        </w:rPr>
        <w:t xml:space="preserve"> and debates</w:t>
      </w:r>
      <w:r w:rsidRPr="009E1077">
        <w:rPr>
          <w:rFonts w:ascii="Garamond" w:hAnsi="Garamond"/>
        </w:rPr>
        <w:t xml:space="preserve"> underscoring the iterative, back and forth nature of the </w:t>
      </w:r>
      <w:r>
        <w:rPr>
          <w:rFonts w:ascii="Garamond" w:hAnsi="Garamond"/>
        </w:rPr>
        <w:t>negotiations</w:t>
      </w:r>
      <w:r w:rsidRPr="009E1077">
        <w:rPr>
          <w:rFonts w:ascii="Garamond" w:hAnsi="Garamond"/>
        </w:rPr>
        <w:t>.</w:t>
      </w:r>
      <w:r w:rsidRPr="009E1077">
        <w:rPr>
          <w:rStyle w:val="FootnoteReference"/>
          <w:rFonts w:ascii="Garamond" w:hAnsi="Garamond"/>
        </w:rPr>
        <w:footnoteReference w:id="72"/>
      </w:r>
      <w:r w:rsidRPr="009E1077">
        <w:rPr>
          <w:rFonts w:ascii="Garamond" w:hAnsi="Garamond"/>
        </w:rPr>
        <w:t xml:space="preserve"> </w:t>
      </w:r>
      <w:r>
        <w:rPr>
          <w:rFonts w:ascii="Garamond" w:hAnsi="Garamond"/>
        </w:rPr>
        <w:t xml:space="preserve">On this account, </w:t>
      </w:r>
      <w:r w:rsidRPr="009E1077">
        <w:rPr>
          <w:rFonts w:ascii="Garamond" w:hAnsi="Garamond"/>
        </w:rPr>
        <w:t xml:space="preserve">Premier Ramgoolam had time to </w:t>
      </w:r>
      <w:r w:rsidR="00CF17DA">
        <w:rPr>
          <w:rFonts w:ascii="Garamond" w:hAnsi="Garamond"/>
        </w:rPr>
        <w:t>‘</w:t>
      </w:r>
      <w:r w:rsidRPr="009E1077">
        <w:rPr>
          <w:rFonts w:ascii="Garamond" w:hAnsi="Garamond"/>
        </w:rPr>
        <w:t>mull [the conditions] over in his hotel room</w:t>
      </w:r>
      <w:r w:rsidR="00CF17DA">
        <w:rPr>
          <w:rFonts w:ascii="Garamond" w:hAnsi="Garamond"/>
        </w:rPr>
        <w:t>’</w:t>
      </w:r>
      <w:r w:rsidRPr="009E1077">
        <w:rPr>
          <w:rStyle w:val="FootnoteReference"/>
          <w:rFonts w:ascii="Garamond" w:hAnsi="Garamond"/>
        </w:rPr>
        <w:footnoteReference w:id="73"/>
      </w:r>
      <w:r w:rsidRPr="009E1077">
        <w:rPr>
          <w:rFonts w:ascii="Garamond" w:hAnsi="Garamond"/>
        </w:rPr>
        <w:t xml:space="preserve"> after a lengthy process in which Mauritius had secured </w:t>
      </w:r>
      <w:r w:rsidR="00CF17DA">
        <w:rPr>
          <w:rFonts w:ascii="Garamond" w:hAnsi="Garamond"/>
        </w:rPr>
        <w:t>‘</w:t>
      </w:r>
      <w:r w:rsidRPr="009E1077">
        <w:rPr>
          <w:rFonts w:ascii="Garamond" w:hAnsi="Garamond"/>
        </w:rPr>
        <w:t>tangible benefits</w:t>
      </w:r>
      <w:r w:rsidR="00CF17DA">
        <w:rPr>
          <w:rFonts w:ascii="Garamond" w:hAnsi="Garamond"/>
        </w:rPr>
        <w:t>’</w:t>
      </w:r>
      <w:r w:rsidRPr="009E1077">
        <w:rPr>
          <w:rFonts w:ascii="Garamond" w:hAnsi="Garamond"/>
        </w:rPr>
        <w:t>.</w:t>
      </w:r>
      <w:r w:rsidRPr="009E1077">
        <w:rPr>
          <w:rStyle w:val="FootnoteReference"/>
          <w:rFonts w:ascii="Garamond" w:hAnsi="Garamond"/>
        </w:rPr>
        <w:footnoteReference w:id="74"/>
      </w:r>
      <w:r>
        <w:rPr>
          <w:rFonts w:ascii="Garamond" w:hAnsi="Garamond"/>
        </w:rPr>
        <w:t xml:space="preserve"> </w:t>
      </w:r>
      <w:r w:rsidRPr="009E1077">
        <w:rPr>
          <w:rFonts w:ascii="Garamond" w:hAnsi="Garamond"/>
        </w:rPr>
        <w:t xml:space="preserve">Moreover, </w:t>
      </w:r>
      <w:r>
        <w:rPr>
          <w:rFonts w:ascii="Garamond" w:hAnsi="Garamond"/>
        </w:rPr>
        <w:t xml:space="preserve">the UK paints a scene of strategic competitiveness, with Premier Ramgoolam </w:t>
      </w:r>
      <w:r w:rsidRPr="009E1077">
        <w:rPr>
          <w:rFonts w:ascii="Garamond" w:hAnsi="Garamond"/>
        </w:rPr>
        <w:t>portrayed as self-interested</w:t>
      </w:r>
      <w:r>
        <w:rPr>
          <w:rFonts w:ascii="Garamond" w:hAnsi="Garamond"/>
        </w:rPr>
        <w:t xml:space="preserve"> and calculat</w:t>
      </w:r>
      <w:r w:rsidR="0057457E">
        <w:rPr>
          <w:rFonts w:ascii="Garamond" w:hAnsi="Garamond"/>
        </w:rPr>
        <w:t>ing</w:t>
      </w:r>
      <w:r>
        <w:rPr>
          <w:rFonts w:ascii="Garamond" w:hAnsi="Garamond"/>
        </w:rPr>
        <w:t xml:space="preserve">, </w:t>
      </w:r>
      <w:r w:rsidRPr="009E1077">
        <w:rPr>
          <w:rFonts w:ascii="Garamond" w:hAnsi="Garamond"/>
        </w:rPr>
        <w:t>by using the negotiations to strengthen his political position against internal, political opponents within Mauritius.</w:t>
      </w:r>
      <w:r>
        <w:rPr>
          <w:rStyle w:val="FootnoteReference"/>
          <w:rFonts w:ascii="Garamond" w:hAnsi="Garamond"/>
        </w:rPr>
        <w:footnoteReference w:id="75"/>
      </w:r>
      <w:r w:rsidRPr="009E1077">
        <w:rPr>
          <w:rFonts w:ascii="Garamond" w:hAnsi="Garamond"/>
        </w:rPr>
        <w:t xml:space="preserve"> T</w:t>
      </w:r>
      <w:r>
        <w:rPr>
          <w:rFonts w:ascii="Garamond" w:hAnsi="Garamond"/>
        </w:rPr>
        <w:t xml:space="preserve">he UK suggests he used the negotiations to </w:t>
      </w:r>
      <w:r w:rsidR="0057457E">
        <w:rPr>
          <w:rFonts w:ascii="Garamond" w:hAnsi="Garamond"/>
        </w:rPr>
        <w:t>‘</w:t>
      </w:r>
      <w:r w:rsidRPr="009E1077">
        <w:rPr>
          <w:rFonts w:ascii="Garamond" w:hAnsi="Garamond"/>
        </w:rPr>
        <w:t>extract as much value as possible from the agreement on detachment</w:t>
      </w:r>
      <w:r w:rsidR="0057457E">
        <w:rPr>
          <w:rFonts w:ascii="Garamond" w:hAnsi="Garamond"/>
        </w:rPr>
        <w:t>’</w:t>
      </w:r>
      <w:r w:rsidRPr="009E1077">
        <w:rPr>
          <w:rFonts w:ascii="Garamond" w:hAnsi="Garamond"/>
        </w:rPr>
        <w:t>.</w:t>
      </w:r>
      <w:r w:rsidRPr="009E1077">
        <w:rPr>
          <w:rStyle w:val="FootnoteReference"/>
          <w:rFonts w:ascii="Garamond" w:hAnsi="Garamond"/>
        </w:rPr>
        <w:footnoteReference w:id="76"/>
      </w:r>
      <w:r w:rsidRPr="009E1077">
        <w:rPr>
          <w:rFonts w:ascii="Garamond" w:hAnsi="Garamond"/>
        </w:rPr>
        <w:t xml:space="preserve"> These examples capture the </w:t>
      </w:r>
      <w:r>
        <w:rPr>
          <w:rFonts w:ascii="Garamond" w:hAnsi="Garamond"/>
        </w:rPr>
        <w:t xml:space="preserve">UK’s appeal to liberal legalism’s idealised view of itself as mediating the rational, voluntary undertakings of equal state subjects. The frames it deploys rest on the idea that contracts are acts </w:t>
      </w:r>
      <w:r w:rsidR="003534F4">
        <w:rPr>
          <w:rFonts w:ascii="Garamond" w:hAnsi="Garamond"/>
        </w:rPr>
        <w:t>‘</w:t>
      </w:r>
      <w:r>
        <w:rPr>
          <w:rFonts w:ascii="Garamond" w:hAnsi="Garamond"/>
        </w:rPr>
        <w:t>abstracted from relations of power</w:t>
      </w:r>
      <w:r w:rsidR="003534F4">
        <w:rPr>
          <w:rFonts w:ascii="Garamond" w:hAnsi="Garamond"/>
        </w:rPr>
        <w:t>’</w:t>
      </w:r>
      <w:r w:rsidR="0016145B">
        <w:rPr>
          <w:rFonts w:ascii="Garamond" w:hAnsi="Garamond"/>
        </w:rPr>
        <w:t>.</w:t>
      </w:r>
      <w:r>
        <w:rPr>
          <w:rStyle w:val="FootnoteReference"/>
          <w:rFonts w:ascii="Garamond" w:hAnsi="Garamond"/>
        </w:rPr>
        <w:footnoteReference w:id="77"/>
      </w:r>
      <w:r>
        <w:rPr>
          <w:rFonts w:ascii="Garamond" w:hAnsi="Garamond"/>
        </w:rPr>
        <w:t xml:space="preserve"> </w:t>
      </w:r>
    </w:p>
    <w:p w14:paraId="79F6EE7B" w14:textId="309F0F31" w:rsidR="00BB30CD" w:rsidRPr="009E1077" w:rsidRDefault="00BB30CD" w:rsidP="00740662">
      <w:pPr>
        <w:autoSpaceDE w:val="0"/>
        <w:autoSpaceDN w:val="0"/>
        <w:adjustRightInd w:val="0"/>
        <w:spacing w:after="0" w:line="276" w:lineRule="auto"/>
        <w:jc w:val="both"/>
        <w:rPr>
          <w:rFonts w:ascii="Garamond" w:hAnsi="Garamond"/>
        </w:rPr>
      </w:pPr>
      <w:r w:rsidRPr="009E1077">
        <w:rPr>
          <w:rFonts w:ascii="Garamond" w:hAnsi="Garamond"/>
        </w:rPr>
        <w:t>The legal argumentation put forward by Mauritius to both the ICJ and ITLOS</w:t>
      </w:r>
      <w:r>
        <w:rPr>
          <w:rFonts w:ascii="Garamond" w:hAnsi="Garamond"/>
        </w:rPr>
        <w:t xml:space="preserve"> did not </w:t>
      </w:r>
      <w:r w:rsidRPr="009E1077">
        <w:rPr>
          <w:rFonts w:ascii="Garamond" w:hAnsi="Garamond"/>
        </w:rPr>
        <w:t>challenge</w:t>
      </w:r>
      <w:r>
        <w:rPr>
          <w:rFonts w:ascii="Garamond" w:hAnsi="Garamond"/>
        </w:rPr>
        <w:t xml:space="preserve"> </w:t>
      </w:r>
      <w:r w:rsidRPr="009E1077">
        <w:rPr>
          <w:rFonts w:ascii="Garamond" w:hAnsi="Garamond"/>
        </w:rPr>
        <w:t xml:space="preserve">the contractual nature of the issue </w:t>
      </w:r>
      <w:r w:rsidRPr="009E1077">
        <w:rPr>
          <w:rFonts w:ascii="Garamond" w:hAnsi="Garamond"/>
          <w:i/>
          <w:iCs/>
        </w:rPr>
        <w:t>per se</w:t>
      </w:r>
      <w:r w:rsidRPr="009E1077">
        <w:rPr>
          <w:rFonts w:ascii="Garamond" w:hAnsi="Garamond"/>
        </w:rPr>
        <w:t xml:space="preserve">, but </w:t>
      </w:r>
      <w:r>
        <w:rPr>
          <w:rFonts w:ascii="Garamond" w:hAnsi="Garamond"/>
        </w:rPr>
        <w:t xml:space="preserve">rather </w:t>
      </w:r>
      <w:r w:rsidRPr="009E1077">
        <w:rPr>
          <w:rFonts w:ascii="Garamond" w:hAnsi="Garamond"/>
        </w:rPr>
        <w:t>the suggestion that there was formal equality between the two negotiating parties.</w:t>
      </w:r>
      <w:r>
        <w:rPr>
          <w:rFonts w:ascii="Garamond" w:hAnsi="Garamond"/>
        </w:rPr>
        <w:t xml:space="preserve"> </w:t>
      </w:r>
      <w:r w:rsidRPr="009E1077">
        <w:rPr>
          <w:rFonts w:ascii="Garamond" w:hAnsi="Garamond"/>
        </w:rPr>
        <w:t>The effect of this is to leave as central the state as the consenting and contracting subject of international law. In its written statement to the ICJ</w:t>
      </w:r>
      <w:r w:rsidR="00592F43">
        <w:rPr>
          <w:rFonts w:ascii="Garamond" w:hAnsi="Garamond"/>
        </w:rPr>
        <w:t>,</w:t>
      </w:r>
      <w:r>
        <w:rPr>
          <w:rFonts w:ascii="Garamond" w:hAnsi="Garamond"/>
        </w:rPr>
        <w:t xml:space="preserve"> Mauritius advance</w:t>
      </w:r>
      <w:r w:rsidR="005A67A9">
        <w:rPr>
          <w:rFonts w:ascii="Garamond" w:hAnsi="Garamond"/>
        </w:rPr>
        <w:t>s</w:t>
      </w:r>
      <w:r>
        <w:rPr>
          <w:rFonts w:ascii="Garamond" w:hAnsi="Garamond"/>
        </w:rPr>
        <w:t xml:space="preserve"> </w:t>
      </w:r>
      <w:r w:rsidR="005A67A9">
        <w:rPr>
          <w:rFonts w:ascii="Garamond" w:hAnsi="Garamond"/>
        </w:rPr>
        <w:t xml:space="preserve">the proposition </w:t>
      </w:r>
      <w:r>
        <w:rPr>
          <w:rFonts w:ascii="Garamond" w:hAnsi="Garamond"/>
        </w:rPr>
        <w:t>that consent was extracted under duress,</w:t>
      </w:r>
      <w:r w:rsidRPr="009E1077">
        <w:rPr>
          <w:rStyle w:val="FootnoteReference"/>
          <w:rFonts w:ascii="Garamond" w:hAnsi="Garamond"/>
        </w:rPr>
        <w:footnoteReference w:id="78"/>
      </w:r>
      <w:r>
        <w:rPr>
          <w:rFonts w:ascii="Garamond" w:hAnsi="Garamond"/>
        </w:rPr>
        <w:t xml:space="preserve"> as the reluctant </w:t>
      </w:r>
      <w:r w:rsidRPr="009E1077">
        <w:rPr>
          <w:rFonts w:ascii="Garamond" w:hAnsi="Garamond"/>
        </w:rPr>
        <w:t xml:space="preserve">agreement of Premier Ramgoolam </w:t>
      </w:r>
      <w:r>
        <w:rPr>
          <w:rFonts w:ascii="Garamond" w:hAnsi="Garamond"/>
        </w:rPr>
        <w:t xml:space="preserve">was given </w:t>
      </w:r>
      <w:r w:rsidRPr="009E1077">
        <w:rPr>
          <w:rFonts w:ascii="Garamond" w:hAnsi="Garamond"/>
        </w:rPr>
        <w:t>amidst escalating pressure.</w:t>
      </w:r>
      <w:r w:rsidRPr="009E1077">
        <w:rPr>
          <w:rStyle w:val="FootnoteReference"/>
          <w:rFonts w:ascii="Garamond" w:hAnsi="Garamond"/>
        </w:rPr>
        <w:footnoteReference w:id="79"/>
      </w:r>
      <w:r w:rsidRPr="009E1077">
        <w:rPr>
          <w:rFonts w:ascii="Garamond" w:hAnsi="Garamond"/>
        </w:rPr>
        <w:t xml:space="preserve"> Such duress, Mauritius </w:t>
      </w:r>
      <w:r w:rsidRPr="009E1077">
        <w:rPr>
          <w:rFonts w:ascii="Garamond" w:hAnsi="Garamond"/>
        </w:rPr>
        <w:lastRenderedPageBreak/>
        <w:t>notes, was recognised by the dissenting judges in the ITLOS arbitration award</w:t>
      </w:r>
      <w:r>
        <w:rPr>
          <w:rFonts w:ascii="Garamond" w:hAnsi="Garamond"/>
        </w:rPr>
        <w:t xml:space="preserve">. There, </w:t>
      </w:r>
      <w:r w:rsidRPr="009E1077">
        <w:rPr>
          <w:rFonts w:ascii="Garamond" w:hAnsi="Garamond"/>
        </w:rPr>
        <w:t>Judges Kateka and Wolfrum</w:t>
      </w:r>
      <w:r>
        <w:rPr>
          <w:rFonts w:ascii="Garamond" w:hAnsi="Garamond"/>
        </w:rPr>
        <w:t xml:space="preserve"> stated that:</w:t>
      </w:r>
    </w:p>
    <w:p w14:paraId="1127EF74" w14:textId="77777777" w:rsidR="00BB30CD" w:rsidRPr="009E1077" w:rsidRDefault="00BB30CD" w:rsidP="00740662">
      <w:pPr>
        <w:autoSpaceDE w:val="0"/>
        <w:autoSpaceDN w:val="0"/>
        <w:adjustRightInd w:val="0"/>
        <w:spacing w:after="0" w:line="276" w:lineRule="auto"/>
        <w:jc w:val="both"/>
        <w:rPr>
          <w:rFonts w:ascii="Garamond" w:hAnsi="Garamond"/>
        </w:rPr>
      </w:pPr>
    </w:p>
    <w:p w14:paraId="4419F7E7" w14:textId="7134C4FB" w:rsidR="00BB30CD" w:rsidRDefault="00BB30CD" w:rsidP="00740662">
      <w:pPr>
        <w:autoSpaceDE w:val="0"/>
        <w:autoSpaceDN w:val="0"/>
        <w:adjustRightInd w:val="0"/>
        <w:spacing w:after="0" w:line="276" w:lineRule="auto"/>
        <w:ind w:left="720"/>
        <w:jc w:val="both"/>
        <w:rPr>
          <w:rFonts w:ascii="Garamond" w:hAnsi="Garamond"/>
        </w:rPr>
      </w:pPr>
      <w:r w:rsidRPr="009E1077">
        <w:rPr>
          <w:rFonts w:ascii="Garamond" w:hAnsi="Garamond"/>
        </w:rPr>
        <w:t>Mauritius had no choice. The detachment of the Chagos Archipelago was already decided whether Mauritius gave its consent or not</w:t>
      </w:r>
      <w:r>
        <w:rPr>
          <w:rFonts w:ascii="Garamond" w:hAnsi="Garamond"/>
        </w:rPr>
        <w:t>…</w:t>
      </w:r>
      <w:r w:rsidRPr="009E1077">
        <w:rPr>
          <w:rFonts w:ascii="Garamond" w:hAnsi="Garamond"/>
        </w:rPr>
        <w:t xml:space="preserve">The Private Secretary of Wilson used the language of </w:t>
      </w:r>
      <w:r w:rsidR="00A2409D">
        <w:rPr>
          <w:rFonts w:ascii="Garamond" w:hAnsi="Garamond"/>
        </w:rPr>
        <w:t>‘</w:t>
      </w:r>
      <w:r w:rsidRPr="009E1077">
        <w:rPr>
          <w:rFonts w:ascii="Garamond" w:hAnsi="Garamond"/>
        </w:rPr>
        <w:t>frighten[</w:t>
      </w:r>
      <w:proofErr w:type="spellStart"/>
      <w:r w:rsidRPr="009E1077">
        <w:rPr>
          <w:rFonts w:ascii="Garamond" w:hAnsi="Garamond"/>
        </w:rPr>
        <w:t>ing</w:t>
      </w:r>
      <w:proofErr w:type="spellEnd"/>
      <w:r w:rsidRPr="009E1077">
        <w:rPr>
          <w:rFonts w:ascii="Garamond" w:hAnsi="Garamond"/>
        </w:rPr>
        <w:t>]</w:t>
      </w:r>
      <w:r w:rsidR="00A2409D">
        <w:rPr>
          <w:rFonts w:ascii="Garamond" w:hAnsi="Garamond"/>
        </w:rPr>
        <w:t>’</w:t>
      </w:r>
      <w:r w:rsidRPr="009E1077">
        <w:rPr>
          <w:rFonts w:ascii="Garamond" w:hAnsi="Garamond"/>
        </w:rPr>
        <w:t xml:space="preserve"> the Premier </w:t>
      </w:r>
      <w:r w:rsidR="00A2409D">
        <w:rPr>
          <w:rFonts w:ascii="Garamond" w:hAnsi="Garamond"/>
        </w:rPr>
        <w:t>‘</w:t>
      </w:r>
      <w:r w:rsidRPr="009E1077">
        <w:rPr>
          <w:rFonts w:ascii="Garamond" w:hAnsi="Garamond"/>
        </w:rPr>
        <w:t>with hope</w:t>
      </w:r>
      <w:r w:rsidR="00A2409D">
        <w:rPr>
          <w:rFonts w:ascii="Garamond" w:hAnsi="Garamond"/>
        </w:rPr>
        <w:t>’</w:t>
      </w:r>
      <w:r w:rsidRPr="009E1077">
        <w:rPr>
          <w:rFonts w:ascii="Garamond" w:hAnsi="Garamond"/>
        </w:rPr>
        <w:t>….The Council of Ministers of Mauritius was presided over by the British Governor who could nominate some of the members of the Council. Thus, there was a clear situation of inequality between the two sides.</w:t>
      </w:r>
      <w:r w:rsidRPr="009E1077">
        <w:rPr>
          <w:rStyle w:val="FootnoteReference"/>
          <w:rFonts w:ascii="Garamond" w:hAnsi="Garamond"/>
        </w:rPr>
        <w:footnoteReference w:id="80"/>
      </w:r>
    </w:p>
    <w:p w14:paraId="33482CB0" w14:textId="77777777" w:rsidR="00BB30CD" w:rsidRDefault="00BB30CD" w:rsidP="00740662">
      <w:pPr>
        <w:autoSpaceDE w:val="0"/>
        <w:autoSpaceDN w:val="0"/>
        <w:adjustRightInd w:val="0"/>
        <w:spacing w:after="0" w:line="276" w:lineRule="auto"/>
        <w:jc w:val="both"/>
        <w:rPr>
          <w:rFonts w:ascii="Garamond" w:hAnsi="Garamond"/>
        </w:rPr>
      </w:pPr>
    </w:p>
    <w:p w14:paraId="72E7389F" w14:textId="77777777" w:rsidR="00BB30CD" w:rsidRPr="009E1077" w:rsidRDefault="00BB30CD" w:rsidP="00740662">
      <w:pPr>
        <w:autoSpaceDE w:val="0"/>
        <w:autoSpaceDN w:val="0"/>
        <w:adjustRightInd w:val="0"/>
        <w:spacing w:after="0" w:line="276" w:lineRule="auto"/>
        <w:jc w:val="both"/>
        <w:rPr>
          <w:rFonts w:ascii="Garamond" w:hAnsi="Garamond"/>
        </w:rPr>
      </w:pPr>
      <w:r>
        <w:rPr>
          <w:rFonts w:ascii="Garamond" w:hAnsi="Garamond"/>
        </w:rPr>
        <w:t xml:space="preserve">We are invited to see the issuing of consent as materially irrelevant and not the product of rational bargaining between equals. Importantly, consent constructed in this way is reduced to its interpersonal context, thereby bringing to the fore the bodies of those embroiled in the Lancaster House talks as though attempting to undertake a business transaction.  </w:t>
      </w:r>
    </w:p>
    <w:p w14:paraId="2B74200D" w14:textId="77777777" w:rsidR="00BB30CD" w:rsidRPr="009E1077" w:rsidRDefault="00BB30CD" w:rsidP="00740662">
      <w:pPr>
        <w:autoSpaceDE w:val="0"/>
        <w:autoSpaceDN w:val="0"/>
        <w:adjustRightInd w:val="0"/>
        <w:spacing w:after="0" w:line="276" w:lineRule="auto"/>
        <w:ind w:left="720"/>
        <w:jc w:val="both"/>
        <w:rPr>
          <w:rFonts w:ascii="Garamond" w:hAnsi="Garamond"/>
        </w:rPr>
      </w:pPr>
    </w:p>
    <w:p w14:paraId="20FE68F8" w14:textId="79DC2570" w:rsidR="00BB30CD" w:rsidRPr="009E1077" w:rsidRDefault="00BB30CD" w:rsidP="00740662">
      <w:pPr>
        <w:jc w:val="both"/>
        <w:rPr>
          <w:rFonts w:ascii="Garamond" w:hAnsi="Garamond"/>
        </w:rPr>
      </w:pPr>
      <w:r>
        <w:rPr>
          <w:rFonts w:ascii="Garamond" w:hAnsi="Garamond"/>
        </w:rPr>
        <w:t xml:space="preserve">The subjects constituted by the arguments of the </w:t>
      </w:r>
      <w:r w:rsidRPr="009E1077">
        <w:rPr>
          <w:rFonts w:ascii="Garamond" w:hAnsi="Garamond"/>
        </w:rPr>
        <w:t>UK</w:t>
      </w:r>
      <w:r>
        <w:rPr>
          <w:rFonts w:ascii="Garamond" w:hAnsi="Garamond"/>
        </w:rPr>
        <w:t xml:space="preserve"> then appear equal; they are </w:t>
      </w:r>
      <w:r w:rsidR="00C46900">
        <w:rPr>
          <w:rFonts w:ascii="Garamond" w:hAnsi="Garamond"/>
        </w:rPr>
        <w:t xml:space="preserve">the </w:t>
      </w:r>
      <w:r>
        <w:rPr>
          <w:rFonts w:ascii="Garamond" w:hAnsi="Garamond"/>
        </w:rPr>
        <w:t xml:space="preserve">idealised rational, self-interested agents coming to an accord. In contrast, Mauritius constitutes unequal subjects, with relations marked by duress and coercion. </w:t>
      </w:r>
      <w:r w:rsidRPr="009E1077">
        <w:rPr>
          <w:rFonts w:ascii="Garamond" w:hAnsi="Garamond"/>
        </w:rPr>
        <w:t>Both</w:t>
      </w:r>
      <w:r>
        <w:rPr>
          <w:rFonts w:ascii="Garamond" w:hAnsi="Garamond"/>
        </w:rPr>
        <w:t xml:space="preserve"> states</w:t>
      </w:r>
      <w:r w:rsidRPr="009E1077">
        <w:rPr>
          <w:rFonts w:ascii="Garamond" w:hAnsi="Garamond"/>
        </w:rPr>
        <w:t xml:space="preserve">, however, maintain the centrality and </w:t>
      </w:r>
      <w:r w:rsidRPr="009E1077">
        <w:rPr>
          <w:rFonts w:ascii="Garamond" w:hAnsi="Garamond"/>
          <w:i/>
          <w:iCs/>
        </w:rPr>
        <w:t>person</w:t>
      </w:r>
      <w:r w:rsidRPr="009E1077">
        <w:rPr>
          <w:rFonts w:ascii="Garamond" w:hAnsi="Garamond"/>
        </w:rPr>
        <w:t>ality of the (</w:t>
      </w:r>
      <w:r>
        <w:rPr>
          <w:rFonts w:ascii="Garamond" w:hAnsi="Garamond"/>
        </w:rPr>
        <w:t>emerging</w:t>
      </w:r>
      <w:r w:rsidRPr="009E1077">
        <w:rPr>
          <w:rFonts w:ascii="Garamond" w:hAnsi="Garamond"/>
        </w:rPr>
        <w:t>)</w:t>
      </w:r>
      <w:r w:rsidR="00DA0D2D">
        <w:rPr>
          <w:rFonts w:ascii="Garamond" w:hAnsi="Garamond"/>
        </w:rPr>
        <w:t xml:space="preserve"> </w:t>
      </w:r>
      <w:r w:rsidRPr="009E1077">
        <w:rPr>
          <w:rFonts w:ascii="Garamond" w:hAnsi="Garamond"/>
        </w:rPr>
        <w:t xml:space="preserve">state </w:t>
      </w:r>
      <w:r>
        <w:rPr>
          <w:rFonts w:ascii="Garamond" w:hAnsi="Garamond"/>
        </w:rPr>
        <w:t xml:space="preserve">and </w:t>
      </w:r>
      <w:r w:rsidRPr="009E1077">
        <w:rPr>
          <w:rFonts w:ascii="Garamond" w:hAnsi="Garamond"/>
        </w:rPr>
        <w:t xml:space="preserve">the </w:t>
      </w:r>
      <w:r>
        <w:rPr>
          <w:rFonts w:ascii="Garamond" w:hAnsi="Garamond"/>
        </w:rPr>
        <w:t xml:space="preserve">illusory </w:t>
      </w:r>
      <w:r w:rsidRPr="009E1077">
        <w:rPr>
          <w:rFonts w:ascii="Garamond" w:hAnsi="Garamond"/>
        </w:rPr>
        <w:t>ideal</w:t>
      </w:r>
      <w:r>
        <w:rPr>
          <w:rFonts w:ascii="Garamond" w:hAnsi="Garamond"/>
        </w:rPr>
        <w:t>s of</w:t>
      </w:r>
      <w:r w:rsidRPr="009E1077">
        <w:rPr>
          <w:rFonts w:ascii="Garamond" w:hAnsi="Garamond"/>
        </w:rPr>
        <w:t xml:space="preserve"> </w:t>
      </w:r>
      <w:r>
        <w:rPr>
          <w:rFonts w:ascii="Garamond" w:hAnsi="Garamond"/>
        </w:rPr>
        <w:t xml:space="preserve">fair </w:t>
      </w:r>
      <w:r w:rsidRPr="009E1077">
        <w:rPr>
          <w:rFonts w:ascii="Garamond" w:hAnsi="Garamond"/>
        </w:rPr>
        <w:t>contracting conditions. In traditional, anthropomorphic fashion</w:t>
      </w:r>
      <w:r>
        <w:rPr>
          <w:rFonts w:ascii="Garamond" w:hAnsi="Garamond"/>
        </w:rPr>
        <w:t>,</w:t>
      </w:r>
      <w:r w:rsidRPr="009E1077">
        <w:rPr>
          <w:rFonts w:ascii="Garamond" w:hAnsi="Garamond"/>
        </w:rPr>
        <w:t xml:space="preserve"> the UK </w:t>
      </w:r>
      <w:r>
        <w:rPr>
          <w:rFonts w:ascii="Garamond" w:hAnsi="Garamond"/>
        </w:rPr>
        <w:t>argues that</w:t>
      </w:r>
      <w:r w:rsidRPr="009E1077">
        <w:rPr>
          <w:rFonts w:ascii="Garamond" w:hAnsi="Garamond"/>
        </w:rPr>
        <w:t xml:space="preserve"> ITLOS recognised that </w:t>
      </w:r>
      <w:r w:rsidR="002A4DFE">
        <w:rPr>
          <w:rFonts w:ascii="Garamond" w:hAnsi="Garamond"/>
        </w:rPr>
        <w:t>‘</w:t>
      </w:r>
      <w:r w:rsidRPr="009E1077">
        <w:rPr>
          <w:rFonts w:ascii="Garamond" w:hAnsi="Garamond"/>
        </w:rPr>
        <w:t xml:space="preserve">the two parties were able to see </w:t>
      </w:r>
      <w:r w:rsidRPr="009E1077">
        <w:rPr>
          <w:rFonts w:ascii="Garamond" w:hAnsi="Garamond"/>
          <w:i/>
          <w:iCs/>
        </w:rPr>
        <w:t xml:space="preserve">eye to eye </w:t>
      </w:r>
      <w:r w:rsidRPr="009E1077">
        <w:rPr>
          <w:rFonts w:ascii="Garamond" w:hAnsi="Garamond"/>
        </w:rPr>
        <w:t>on this issue, thus reaffirming the 1965 agreement</w:t>
      </w:r>
      <w:r w:rsidR="002A4DFE">
        <w:rPr>
          <w:rFonts w:ascii="Garamond" w:hAnsi="Garamond"/>
        </w:rPr>
        <w:t>’</w:t>
      </w:r>
      <w:r w:rsidR="00771EB7">
        <w:rPr>
          <w:rFonts w:ascii="Garamond" w:hAnsi="Garamond"/>
        </w:rPr>
        <w:t>.</w:t>
      </w:r>
      <w:r w:rsidRPr="009E1077">
        <w:rPr>
          <w:rStyle w:val="FootnoteReference"/>
          <w:rFonts w:ascii="Garamond" w:hAnsi="Garamond"/>
        </w:rPr>
        <w:footnoteReference w:id="81"/>
      </w:r>
      <w:r w:rsidRPr="009E1077">
        <w:rPr>
          <w:rFonts w:ascii="Garamond" w:hAnsi="Garamond"/>
        </w:rPr>
        <w:t xml:space="preserve"> Mauritius</w:t>
      </w:r>
      <w:r w:rsidR="002A4DFE">
        <w:rPr>
          <w:rFonts w:ascii="Garamond" w:hAnsi="Garamond"/>
        </w:rPr>
        <w:t>, on the other hand,</w:t>
      </w:r>
      <w:r w:rsidRPr="009E1077">
        <w:rPr>
          <w:rFonts w:ascii="Garamond" w:hAnsi="Garamond"/>
        </w:rPr>
        <w:t xml:space="preserve"> suggests that the </w:t>
      </w:r>
      <w:r w:rsidR="00615654">
        <w:rPr>
          <w:rFonts w:ascii="Garamond" w:hAnsi="Garamond"/>
        </w:rPr>
        <w:t xml:space="preserve">was </w:t>
      </w:r>
      <w:r w:rsidRPr="009E1077">
        <w:rPr>
          <w:rFonts w:ascii="Garamond" w:hAnsi="Garamond"/>
        </w:rPr>
        <w:t xml:space="preserve">UK </w:t>
      </w:r>
      <w:r w:rsidR="00615654">
        <w:rPr>
          <w:rFonts w:ascii="Garamond" w:hAnsi="Garamond"/>
        </w:rPr>
        <w:t>advancing</w:t>
      </w:r>
      <w:r w:rsidRPr="009E1077">
        <w:rPr>
          <w:rFonts w:ascii="Garamond" w:hAnsi="Garamond"/>
        </w:rPr>
        <w:t xml:space="preserve"> </w:t>
      </w:r>
      <w:r w:rsidR="002A4DFE">
        <w:rPr>
          <w:rFonts w:ascii="Garamond" w:hAnsi="Garamond"/>
        </w:rPr>
        <w:t>‘</w:t>
      </w:r>
      <w:r w:rsidRPr="009E1077">
        <w:rPr>
          <w:rFonts w:ascii="Garamond" w:hAnsi="Garamond"/>
        </w:rPr>
        <w:t xml:space="preserve">the spurious claim…that Mauritius had consented to </w:t>
      </w:r>
      <w:r w:rsidRPr="009E1077">
        <w:rPr>
          <w:rFonts w:ascii="Garamond" w:hAnsi="Garamond"/>
          <w:i/>
          <w:iCs/>
        </w:rPr>
        <w:t>its own dismemberment</w:t>
      </w:r>
      <w:r w:rsidR="002A4DFE">
        <w:rPr>
          <w:rFonts w:ascii="Garamond" w:hAnsi="Garamond"/>
        </w:rPr>
        <w:t>’</w:t>
      </w:r>
      <w:r w:rsidR="00671BA0">
        <w:rPr>
          <w:rFonts w:ascii="Garamond" w:hAnsi="Garamond"/>
        </w:rPr>
        <w:t>:</w:t>
      </w:r>
      <w:r w:rsidRPr="009E1077">
        <w:rPr>
          <w:rStyle w:val="FootnoteReference"/>
          <w:rFonts w:ascii="Garamond" w:hAnsi="Garamond"/>
        </w:rPr>
        <w:footnoteReference w:id="82"/>
      </w:r>
      <w:r w:rsidRPr="009E1077">
        <w:rPr>
          <w:rFonts w:ascii="Garamond" w:hAnsi="Garamond"/>
        </w:rPr>
        <w:t xml:space="preserve"> a suggestion which clearly invokes the limits of </w:t>
      </w:r>
      <w:proofErr w:type="spellStart"/>
      <w:r w:rsidRPr="009E1077">
        <w:rPr>
          <w:rFonts w:ascii="Garamond" w:hAnsi="Garamond"/>
        </w:rPr>
        <w:t>contractualism</w:t>
      </w:r>
      <w:proofErr w:type="spellEnd"/>
      <w:r w:rsidRPr="009E1077">
        <w:rPr>
          <w:rFonts w:ascii="Garamond" w:hAnsi="Garamond"/>
        </w:rPr>
        <w:t xml:space="preserve"> as excluding the right to trade in one’s own limbs. The contract is situated as the domain under which ideal subjects come together. Maragaret Radin notes the prevalence of such a scene in the liberal imaginings of contracts. She </w:t>
      </w:r>
      <w:r>
        <w:rPr>
          <w:rFonts w:ascii="Garamond" w:hAnsi="Garamond"/>
        </w:rPr>
        <w:t>paints the normative ideal of contracts through the device of</w:t>
      </w:r>
      <w:r w:rsidRPr="009E1077">
        <w:rPr>
          <w:rFonts w:ascii="Garamond" w:hAnsi="Garamond"/>
        </w:rPr>
        <w:t xml:space="preserve"> </w:t>
      </w:r>
      <w:r>
        <w:rPr>
          <w:rFonts w:ascii="Garamond" w:hAnsi="Garamond"/>
        </w:rPr>
        <w:t>‘</w:t>
      </w:r>
      <w:r w:rsidRPr="009E1077">
        <w:rPr>
          <w:rFonts w:ascii="Garamond" w:hAnsi="Garamond"/>
        </w:rPr>
        <w:t>World A</w:t>
      </w:r>
      <w:r>
        <w:rPr>
          <w:rFonts w:ascii="Garamond" w:hAnsi="Garamond"/>
        </w:rPr>
        <w:t>’</w:t>
      </w:r>
      <w:r w:rsidRPr="009E1077">
        <w:rPr>
          <w:rFonts w:ascii="Garamond" w:hAnsi="Garamond"/>
        </w:rPr>
        <w:t xml:space="preserve">: an idealised world of </w:t>
      </w:r>
      <w:r w:rsidR="00B55B15">
        <w:rPr>
          <w:rFonts w:ascii="Garamond" w:hAnsi="Garamond"/>
        </w:rPr>
        <w:t>‘</w:t>
      </w:r>
      <w:r w:rsidRPr="009E1077">
        <w:rPr>
          <w:rFonts w:ascii="Garamond" w:hAnsi="Garamond"/>
        </w:rPr>
        <w:t>free exchange</w:t>
      </w:r>
      <w:r w:rsidR="00B55B15">
        <w:rPr>
          <w:rFonts w:ascii="Garamond" w:hAnsi="Garamond"/>
        </w:rPr>
        <w:t>’</w:t>
      </w:r>
      <w:r w:rsidRPr="009E1077">
        <w:rPr>
          <w:rFonts w:ascii="Garamond" w:hAnsi="Garamond"/>
        </w:rPr>
        <w:t xml:space="preserve"> premised on a voluntary, consensual transaction.</w:t>
      </w:r>
      <w:r>
        <w:rPr>
          <w:rStyle w:val="FootnoteReference"/>
          <w:rFonts w:ascii="Garamond" w:hAnsi="Garamond"/>
        </w:rPr>
        <w:footnoteReference w:id="83"/>
      </w:r>
      <w:r w:rsidRPr="009E1077">
        <w:rPr>
          <w:rFonts w:ascii="Garamond" w:hAnsi="Garamond"/>
        </w:rPr>
        <w:t xml:space="preserve"> </w:t>
      </w:r>
      <w:r>
        <w:rPr>
          <w:rFonts w:ascii="Garamond" w:hAnsi="Garamond"/>
        </w:rPr>
        <w:t>World A is the backdrop within which the</w:t>
      </w:r>
      <w:r w:rsidRPr="009E1077">
        <w:rPr>
          <w:rFonts w:ascii="Garamond" w:hAnsi="Garamond"/>
        </w:rPr>
        <w:t xml:space="preserve"> UK </w:t>
      </w:r>
      <w:r>
        <w:rPr>
          <w:rFonts w:ascii="Garamond" w:hAnsi="Garamond"/>
        </w:rPr>
        <w:t>seeks to situate the ‘agreement’</w:t>
      </w:r>
      <w:r w:rsidRPr="009E1077">
        <w:rPr>
          <w:rFonts w:ascii="Garamond" w:hAnsi="Garamond"/>
        </w:rPr>
        <w:t>, while Mauritius reveals the re</w:t>
      </w:r>
      <w:r>
        <w:rPr>
          <w:rFonts w:ascii="Garamond" w:hAnsi="Garamond"/>
        </w:rPr>
        <w:t>al</w:t>
      </w:r>
      <w:r w:rsidR="00CC33B6">
        <w:rPr>
          <w:rFonts w:ascii="Garamond" w:hAnsi="Garamond"/>
        </w:rPr>
        <w:t>-</w:t>
      </w:r>
      <w:r w:rsidRPr="009E1077">
        <w:rPr>
          <w:rFonts w:ascii="Garamond" w:hAnsi="Garamond"/>
        </w:rPr>
        <w:t xml:space="preserve">world inequality in bargaining power without </w:t>
      </w:r>
      <w:r w:rsidR="00C14247">
        <w:rPr>
          <w:rFonts w:ascii="Garamond" w:hAnsi="Garamond"/>
        </w:rPr>
        <w:t xml:space="preserve">actually </w:t>
      </w:r>
      <w:r w:rsidRPr="009E1077">
        <w:rPr>
          <w:rFonts w:ascii="Garamond" w:hAnsi="Garamond"/>
        </w:rPr>
        <w:t>disrupting the ideal of World A. This should not be overly surprising</w:t>
      </w:r>
      <w:r>
        <w:rPr>
          <w:rFonts w:ascii="Garamond" w:hAnsi="Garamond"/>
        </w:rPr>
        <w:t>,</w:t>
      </w:r>
      <w:r w:rsidRPr="009E1077">
        <w:rPr>
          <w:rFonts w:ascii="Garamond" w:hAnsi="Garamond"/>
        </w:rPr>
        <w:t xml:space="preserve"> as while the questions asked by the General Assembly press upon matters of public international law, the notion of consent speaks to the private law analogy of interstate relations. It has been claimed that the consent theory of international law was motivated by the ‘business-orientated philosophy’ of the nineteenth century.</w:t>
      </w:r>
      <w:r>
        <w:rPr>
          <w:rStyle w:val="FootnoteReference"/>
          <w:rFonts w:ascii="Garamond" w:hAnsi="Garamond"/>
        </w:rPr>
        <w:footnoteReference w:id="84"/>
      </w:r>
      <w:r w:rsidRPr="009E1077">
        <w:rPr>
          <w:rFonts w:ascii="Garamond" w:hAnsi="Garamond"/>
        </w:rPr>
        <w:t xml:space="preserve"> This philosophy stressed </w:t>
      </w:r>
      <w:r w:rsidR="006C03A8">
        <w:rPr>
          <w:rFonts w:ascii="Garamond" w:hAnsi="Garamond"/>
        </w:rPr>
        <w:t>‘</w:t>
      </w:r>
      <w:r w:rsidRPr="009E1077">
        <w:rPr>
          <w:rFonts w:ascii="Garamond" w:hAnsi="Garamond"/>
        </w:rPr>
        <w:t>the importance of the contract as the legal basis of an agreement freely entered into by both (or all) sides</w:t>
      </w:r>
      <w:r w:rsidR="006C03A8">
        <w:rPr>
          <w:rFonts w:ascii="Garamond" w:hAnsi="Garamond"/>
        </w:rPr>
        <w:t>’</w:t>
      </w:r>
      <w:r w:rsidR="00047DFE">
        <w:rPr>
          <w:rFonts w:ascii="Garamond" w:hAnsi="Garamond"/>
        </w:rPr>
        <w:t>.</w:t>
      </w:r>
      <w:r w:rsidRPr="009E1077">
        <w:rPr>
          <w:rStyle w:val="FootnoteReference"/>
          <w:rFonts w:ascii="Garamond" w:hAnsi="Garamond"/>
        </w:rPr>
        <w:footnoteReference w:id="85"/>
      </w:r>
      <w:r w:rsidRPr="009E1077">
        <w:rPr>
          <w:rFonts w:ascii="Garamond" w:hAnsi="Garamond"/>
        </w:rPr>
        <w:t xml:space="preserve"> While the understanding of international law as contractual may now seem archaic,</w:t>
      </w:r>
      <w:r w:rsidRPr="009E1077">
        <w:rPr>
          <w:rStyle w:val="FootnoteReference"/>
          <w:rFonts w:ascii="Garamond" w:hAnsi="Garamond"/>
        </w:rPr>
        <w:footnoteReference w:id="86"/>
      </w:r>
      <w:r w:rsidRPr="009E1077">
        <w:rPr>
          <w:rFonts w:ascii="Garamond" w:hAnsi="Garamond"/>
        </w:rPr>
        <w:t xml:space="preserve"> it is clearly kept in view </w:t>
      </w:r>
      <w:r>
        <w:rPr>
          <w:rFonts w:ascii="Garamond" w:hAnsi="Garamond"/>
        </w:rPr>
        <w:t>within the legal discourse</w:t>
      </w:r>
      <w:r w:rsidR="00E56661">
        <w:rPr>
          <w:rFonts w:ascii="Garamond" w:hAnsi="Garamond"/>
        </w:rPr>
        <w:t xml:space="preserve"> here</w:t>
      </w:r>
      <w:r w:rsidRPr="009E1077">
        <w:rPr>
          <w:rFonts w:ascii="Garamond" w:hAnsi="Garamond"/>
        </w:rPr>
        <w:t xml:space="preserve">. This </w:t>
      </w:r>
      <w:r w:rsidR="005C3475">
        <w:rPr>
          <w:rFonts w:ascii="Garamond" w:hAnsi="Garamond"/>
        </w:rPr>
        <w:t xml:space="preserve">throws into relief </w:t>
      </w:r>
      <w:r w:rsidRPr="009E1077">
        <w:rPr>
          <w:rFonts w:ascii="Garamond" w:hAnsi="Garamond"/>
        </w:rPr>
        <w:t xml:space="preserve">the </w:t>
      </w:r>
      <w:r w:rsidRPr="009E1077">
        <w:rPr>
          <w:rFonts w:ascii="Garamond" w:hAnsi="Garamond"/>
        </w:rPr>
        <w:lastRenderedPageBreak/>
        <w:t>centrality of consent in ideals of contract formation and the</w:t>
      </w:r>
      <w:r w:rsidR="00643133">
        <w:rPr>
          <w:rFonts w:ascii="Garamond" w:hAnsi="Garamond"/>
        </w:rPr>
        <w:t xml:space="preserve"> parallel </w:t>
      </w:r>
      <w:r w:rsidRPr="009E1077">
        <w:rPr>
          <w:rFonts w:ascii="Garamond" w:hAnsi="Garamond"/>
        </w:rPr>
        <w:t xml:space="preserve">persistence of consent within international legal argumentation. </w:t>
      </w:r>
    </w:p>
    <w:p w14:paraId="5B0DA831" w14:textId="79BFEA3C" w:rsidR="00BB30CD" w:rsidRPr="009E1077" w:rsidRDefault="00BB30CD" w:rsidP="00740662">
      <w:pPr>
        <w:jc w:val="both"/>
        <w:rPr>
          <w:rFonts w:ascii="Garamond" w:hAnsi="Garamond"/>
        </w:rPr>
      </w:pPr>
      <w:r w:rsidRPr="009E1077">
        <w:rPr>
          <w:rFonts w:ascii="Garamond" w:hAnsi="Garamond"/>
        </w:rPr>
        <w:t xml:space="preserve">What then is the specific problem with contractual framings of consent in this context? In many respects it seems desirable that the ICJ scrutinise the processes through which ‘negotiations’ were carried out and the specific conditions placed upon Premier </w:t>
      </w:r>
      <w:r w:rsidR="00503D9C">
        <w:rPr>
          <w:rFonts w:ascii="Garamond" w:hAnsi="Garamond"/>
        </w:rPr>
        <w:t>Ramgoolam</w:t>
      </w:r>
      <w:r w:rsidRPr="009E1077">
        <w:rPr>
          <w:rFonts w:ascii="Garamond" w:hAnsi="Garamond"/>
        </w:rPr>
        <w:t xml:space="preserve"> in obtaining ‘consent’. Bringing to light the ‘bullying’ and intimidation of the Mauritian Premier – who stated that </w:t>
      </w:r>
      <w:r>
        <w:rPr>
          <w:rFonts w:ascii="Garamond" w:hAnsi="Garamond"/>
        </w:rPr>
        <w:t xml:space="preserve">he </w:t>
      </w:r>
      <w:r w:rsidRPr="009E1077">
        <w:rPr>
          <w:rFonts w:ascii="Garamond" w:hAnsi="Garamond"/>
        </w:rPr>
        <w:t>had a ‘nook around [his] neck’</w:t>
      </w:r>
      <w:r w:rsidRPr="009E1077">
        <w:rPr>
          <w:rStyle w:val="FootnoteReference"/>
          <w:rFonts w:ascii="Garamond" w:hAnsi="Garamond"/>
        </w:rPr>
        <w:footnoteReference w:id="87"/>
      </w:r>
      <w:r w:rsidRPr="009E1077">
        <w:rPr>
          <w:rFonts w:ascii="Garamond" w:hAnsi="Garamond"/>
        </w:rPr>
        <w:t xml:space="preserve"> – certainly deepens our understanding of the interpersonal wielding of colonial power and subjugation within diplomacy. </w:t>
      </w:r>
      <w:r>
        <w:rPr>
          <w:rFonts w:ascii="Garamond" w:hAnsi="Garamond"/>
        </w:rPr>
        <w:t xml:space="preserve">This ostensibly resists the </w:t>
      </w:r>
      <w:r w:rsidRPr="009E1077">
        <w:rPr>
          <w:rFonts w:ascii="Garamond" w:hAnsi="Garamond"/>
        </w:rPr>
        <w:t>‘moral magic’ of consen</w:t>
      </w:r>
      <w:r>
        <w:rPr>
          <w:rFonts w:ascii="Garamond" w:hAnsi="Garamond"/>
        </w:rPr>
        <w:t>t which serves to</w:t>
      </w:r>
      <w:r w:rsidRPr="009E1077">
        <w:rPr>
          <w:rFonts w:ascii="Garamond" w:hAnsi="Garamond"/>
        </w:rPr>
        <w:t xml:space="preserve"> conceal more passive acceptances (assent</w:t>
      </w:r>
      <w:r w:rsidR="00630B16">
        <w:rPr>
          <w:rFonts w:ascii="Garamond" w:hAnsi="Garamond"/>
        </w:rPr>
        <w:t>ed</w:t>
      </w:r>
      <w:r w:rsidRPr="009E1077">
        <w:rPr>
          <w:rFonts w:ascii="Garamond" w:hAnsi="Garamond"/>
        </w:rPr>
        <w:t xml:space="preserve"> or coerced) under the guise of active agreement and choice.</w:t>
      </w:r>
      <w:r w:rsidRPr="009E1077">
        <w:rPr>
          <w:rStyle w:val="FootnoteReference"/>
          <w:rFonts w:ascii="Garamond" w:hAnsi="Garamond"/>
        </w:rPr>
        <w:footnoteReference w:id="88"/>
      </w:r>
      <w:r w:rsidRPr="009E1077">
        <w:rPr>
          <w:rFonts w:ascii="Garamond" w:hAnsi="Garamond"/>
        </w:rPr>
        <w:t xml:space="preserve"> </w:t>
      </w:r>
      <w:r>
        <w:rPr>
          <w:rFonts w:ascii="Garamond" w:hAnsi="Garamond"/>
        </w:rPr>
        <w:t>Feminists have critiqued c</w:t>
      </w:r>
      <w:r w:rsidRPr="009E1077">
        <w:rPr>
          <w:rFonts w:ascii="Garamond" w:hAnsi="Garamond"/>
        </w:rPr>
        <w:t>onsent</w:t>
      </w:r>
      <w:r>
        <w:rPr>
          <w:rFonts w:ascii="Garamond" w:hAnsi="Garamond"/>
        </w:rPr>
        <w:t xml:space="preserve"> for this very reason; in capturing such a wide spectrum of behaviours, consent can flatten the gradation from positive</w:t>
      </w:r>
      <w:r w:rsidR="000A3378">
        <w:rPr>
          <w:rFonts w:ascii="Garamond" w:hAnsi="Garamond"/>
        </w:rPr>
        <w:t xml:space="preserve"> agreement</w:t>
      </w:r>
      <w:r>
        <w:rPr>
          <w:rFonts w:ascii="Garamond" w:hAnsi="Garamond"/>
        </w:rPr>
        <w:t xml:space="preserve"> to passive acquiescence through rendering them all lawful.</w:t>
      </w:r>
      <w:r w:rsidRPr="009E1077">
        <w:rPr>
          <w:rStyle w:val="FootnoteReference"/>
          <w:rFonts w:ascii="Garamond" w:hAnsi="Garamond"/>
        </w:rPr>
        <w:footnoteReference w:id="89"/>
      </w:r>
      <w:r w:rsidRPr="009E1077">
        <w:rPr>
          <w:rFonts w:ascii="Garamond" w:hAnsi="Garamond"/>
        </w:rPr>
        <w:t xml:space="preserve"> However, the focus on interpersonal negotiations and </w:t>
      </w:r>
      <w:r>
        <w:rPr>
          <w:rFonts w:ascii="Garamond" w:hAnsi="Garamond"/>
        </w:rPr>
        <w:t>agreements</w:t>
      </w:r>
      <w:r w:rsidRPr="009E1077">
        <w:rPr>
          <w:rFonts w:ascii="Garamond" w:hAnsi="Garamond"/>
        </w:rPr>
        <w:t xml:space="preserve"> entrenches the classic paradigm of international law which </w:t>
      </w:r>
      <w:proofErr w:type="spellStart"/>
      <w:r w:rsidRPr="009E1077">
        <w:rPr>
          <w:rFonts w:ascii="Garamond" w:hAnsi="Garamond"/>
        </w:rPr>
        <w:t>Anghie</w:t>
      </w:r>
      <w:proofErr w:type="spellEnd"/>
      <w:r w:rsidRPr="009E1077">
        <w:rPr>
          <w:rFonts w:ascii="Garamond" w:hAnsi="Garamond"/>
        </w:rPr>
        <w:t xml:space="preserve"> describes. First, it replicates the notion that states can have a unified will and that they are </w:t>
      </w:r>
      <w:r w:rsidR="00951994">
        <w:rPr>
          <w:rFonts w:ascii="Garamond" w:hAnsi="Garamond"/>
        </w:rPr>
        <w:t>‘</w:t>
      </w:r>
      <w:r w:rsidRPr="009E1077">
        <w:rPr>
          <w:rFonts w:ascii="Garamond" w:hAnsi="Garamond"/>
        </w:rPr>
        <w:t>endowed with a human intellect enabling them to consent</w:t>
      </w:r>
      <w:r w:rsidR="00951994">
        <w:rPr>
          <w:rFonts w:ascii="Garamond" w:hAnsi="Garamond"/>
        </w:rPr>
        <w:t>’</w:t>
      </w:r>
      <w:r w:rsidRPr="009E1077">
        <w:rPr>
          <w:rFonts w:ascii="Garamond" w:hAnsi="Garamond"/>
        </w:rPr>
        <w:t>.</w:t>
      </w:r>
      <w:r w:rsidRPr="009E1077">
        <w:rPr>
          <w:rStyle w:val="FootnoteReference"/>
          <w:rFonts w:ascii="Garamond" w:hAnsi="Garamond"/>
        </w:rPr>
        <w:footnoteReference w:id="90"/>
      </w:r>
      <w:r w:rsidRPr="009E1077">
        <w:rPr>
          <w:rFonts w:ascii="Garamond" w:hAnsi="Garamond"/>
        </w:rPr>
        <w:t xml:space="preserve"> This is achieved through the distillation of the dispossession of a people into a simplistic bargain-for-exchange paradigm between representatives around a negotiation table. Second, consent is not challenged but embedded as Mauritius is seen as lacking capacity to consent </w:t>
      </w:r>
      <w:r w:rsidRPr="009E1077">
        <w:rPr>
          <w:rFonts w:ascii="Garamond" w:hAnsi="Garamond"/>
          <w:i/>
          <w:iCs/>
        </w:rPr>
        <w:t xml:space="preserve">at that time </w:t>
      </w:r>
      <w:r w:rsidRPr="009E1077">
        <w:rPr>
          <w:rFonts w:ascii="Garamond" w:hAnsi="Garamond"/>
        </w:rPr>
        <w:t xml:space="preserve">due to the formal authority of one over the other. Having the ability to consent marks the fully independent state and signals its ability to enter into contracts with other states. Mauritius in 1965 was yet to be </w:t>
      </w:r>
      <w:r w:rsidRPr="009E1077">
        <w:rPr>
          <w:rFonts w:ascii="Garamond" w:hAnsi="Garamond"/>
          <w:i/>
          <w:iCs/>
        </w:rPr>
        <w:t xml:space="preserve">granted </w:t>
      </w:r>
      <w:r w:rsidRPr="009E1077">
        <w:rPr>
          <w:rFonts w:ascii="Garamond" w:hAnsi="Garamond"/>
        </w:rPr>
        <w:t>this capacity at the time of the Lancaster House Agreement.</w:t>
      </w:r>
      <w:r>
        <w:rPr>
          <w:rFonts w:ascii="Garamond" w:hAnsi="Garamond"/>
        </w:rPr>
        <w:t xml:space="preserve"> The answer to the formal inequality which Mauritius and the ICJ identify is not through upending the structures of power which persist long after independence, but by recognising Mauritius as fully sovereign and </w:t>
      </w:r>
      <w:r w:rsidR="00E1154C">
        <w:rPr>
          <w:rFonts w:ascii="Garamond" w:hAnsi="Garamond"/>
        </w:rPr>
        <w:t xml:space="preserve">having the potential to </w:t>
      </w:r>
      <w:r w:rsidR="00A86A28">
        <w:rPr>
          <w:rFonts w:ascii="Garamond" w:hAnsi="Garamond"/>
        </w:rPr>
        <w:t xml:space="preserve">freely consent. </w:t>
      </w:r>
      <w:r>
        <w:rPr>
          <w:rFonts w:ascii="Garamond" w:hAnsi="Garamond"/>
        </w:rPr>
        <w:t xml:space="preserve">The classic paradigm remains the ideal means of interstate engagement. </w:t>
      </w:r>
      <w:r w:rsidRPr="009E1077">
        <w:rPr>
          <w:rFonts w:ascii="Garamond" w:hAnsi="Garamond"/>
        </w:rPr>
        <w:t xml:space="preserve">The colonised, or Third World (soon to be) state is </w:t>
      </w:r>
      <w:r>
        <w:rPr>
          <w:rFonts w:ascii="Garamond" w:hAnsi="Garamond"/>
        </w:rPr>
        <w:t xml:space="preserve">simply </w:t>
      </w:r>
      <w:r w:rsidRPr="009E1077">
        <w:rPr>
          <w:rFonts w:ascii="Garamond" w:hAnsi="Garamond"/>
        </w:rPr>
        <w:t xml:space="preserve">yet to achieve the power of consent due to its positioning toward the ‘uncivilised’ or ‘barbaric’ end of the </w:t>
      </w:r>
      <w:r>
        <w:rPr>
          <w:rFonts w:ascii="Garamond" w:hAnsi="Garamond"/>
        </w:rPr>
        <w:t xml:space="preserve">civilisational </w:t>
      </w:r>
      <w:r w:rsidRPr="009E1077">
        <w:rPr>
          <w:rFonts w:ascii="Garamond" w:hAnsi="Garamond"/>
        </w:rPr>
        <w:t>continuum.</w:t>
      </w:r>
      <w:r w:rsidRPr="009E1077">
        <w:rPr>
          <w:rStyle w:val="FootnoteReference"/>
          <w:rFonts w:ascii="Garamond" w:hAnsi="Garamond"/>
        </w:rPr>
        <w:footnoteReference w:id="91"/>
      </w:r>
      <w:r w:rsidRPr="009E1077">
        <w:rPr>
          <w:rFonts w:ascii="Garamond" w:hAnsi="Garamond"/>
        </w:rPr>
        <w:t xml:space="preserve"> To wield the power of consent to generate agreement within the idealised liberal encounter between equal sovereigns is rendered</w:t>
      </w:r>
      <w:r>
        <w:rPr>
          <w:rFonts w:ascii="Garamond" w:hAnsi="Garamond"/>
        </w:rPr>
        <w:t xml:space="preserve"> normative</w:t>
      </w:r>
      <w:r w:rsidRPr="009E1077">
        <w:rPr>
          <w:rFonts w:ascii="Garamond" w:hAnsi="Garamond"/>
        </w:rPr>
        <w:t xml:space="preserve">. Indeed, it is solidified as the </w:t>
      </w:r>
      <w:r>
        <w:rPr>
          <w:rFonts w:ascii="Garamond" w:hAnsi="Garamond"/>
        </w:rPr>
        <w:t xml:space="preserve">universal, </w:t>
      </w:r>
      <w:r w:rsidRPr="009E1077">
        <w:rPr>
          <w:rFonts w:ascii="Garamond" w:hAnsi="Garamond"/>
        </w:rPr>
        <w:t xml:space="preserve">ideal governance model to which the colonialised state must strive if </w:t>
      </w:r>
      <w:r>
        <w:rPr>
          <w:rFonts w:ascii="Garamond" w:hAnsi="Garamond"/>
        </w:rPr>
        <w:t xml:space="preserve">it is </w:t>
      </w:r>
      <w:r w:rsidRPr="009E1077">
        <w:rPr>
          <w:rFonts w:ascii="Garamond" w:hAnsi="Garamond"/>
        </w:rPr>
        <w:t>to counter powerful states.</w:t>
      </w:r>
    </w:p>
    <w:p w14:paraId="35FA3F2F" w14:textId="1EB6E46A" w:rsidR="00BB30CD" w:rsidRPr="009E1077" w:rsidRDefault="00BB30CD" w:rsidP="00740662">
      <w:pPr>
        <w:jc w:val="both"/>
        <w:rPr>
          <w:rFonts w:ascii="Garamond" w:hAnsi="Garamond"/>
        </w:rPr>
      </w:pPr>
      <w:r w:rsidRPr="009E1077">
        <w:rPr>
          <w:rFonts w:ascii="Garamond" w:hAnsi="Garamond"/>
        </w:rPr>
        <w:t>We have reasons to doubt the universal</w:t>
      </w:r>
      <w:r>
        <w:rPr>
          <w:rFonts w:ascii="Garamond" w:hAnsi="Garamond"/>
        </w:rPr>
        <w:t>ity</w:t>
      </w:r>
      <w:r w:rsidRPr="009E1077">
        <w:rPr>
          <w:rFonts w:ascii="Garamond" w:hAnsi="Garamond"/>
        </w:rPr>
        <w:t xml:space="preserve"> of the power of state consent, particularly when annexed to the idealised, liberal account of agreements and contract formation between ‘free and equal’ states. This is because these ideals of international legal thought have long been embedded with contradiction. European liberal thought </w:t>
      </w:r>
      <w:r>
        <w:rPr>
          <w:rFonts w:ascii="Garamond" w:hAnsi="Garamond"/>
        </w:rPr>
        <w:t xml:space="preserve">during the Enlightenment </w:t>
      </w:r>
      <w:r w:rsidRPr="009E1077">
        <w:rPr>
          <w:rFonts w:ascii="Garamond" w:hAnsi="Garamond"/>
        </w:rPr>
        <w:t>advanced ‘universal ideals’ such as equality and individualism.</w:t>
      </w:r>
      <w:r w:rsidRPr="009E1077">
        <w:rPr>
          <w:rStyle w:val="FootnoteReference"/>
          <w:rFonts w:ascii="Garamond" w:hAnsi="Garamond"/>
        </w:rPr>
        <w:footnoteReference w:id="92"/>
      </w:r>
      <w:r w:rsidRPr="009E1077">
        <w:rPr>
          <w:rFonts w:ascii="Garamond" w:hAnsi="Garamond"/>
        </w:rPr>
        <w:t xml:space="preserve"> Such ideas prompted the question of how free and equal individuals can be subject to the authority of another. Contract and consent theories aimed, therefore, to </w:t>
      </w:r>
      <w:r w:rsidRPr="009E1077">
        <w:rPr>
          <w:rFonts w:ascii="Garamond" w:hAnsi="Garamond"/>
        </w:rPr>
        <w:lastRenderedPageBreak/>
        <w:t>reconfigure the relationship between the state and the individual.</w:t>
      </w:r>
      <w:r w:rsidRPr="009E1077">
        <w:rPr>
          <w:rStyle w:val="FootnoteReference"/>
          <w:rFonts w:ascii="Garamond" w:hAnsi="Garamond"/>
        </w:rPr>
        <w:footnoteReference w:id="93"/>
      </w:r>
      <w:r w:rsidRPr="009E1077">
        <w:rPr>
          <w:rStyle w:val="FootnoteReference"/>
          <w:rFonts w:ascii="Garamond" w:hAnsi="Garamond"/>
        </w:rPr>
        <w:t xml:space="preserve"> </w:t>
      </w:r>
      <w:r w:rsidRPr="009E1077">
        <w:rPr>
          <w:rFonts w:ascii="Garamond" w:hAnsi="Garamond"/>
        </w:rPr>
        <w:t xml:space="preserve">Crudely put, the authority of the state over ‘free and equal’ individuals is </w:t>
      </w:r>
      <w:r>
        <w:rPr>
          <w:rFonts w:ascii="Garamond" w:hAnsi="Garamond"/>
        </w:rPr>
        <w:t xml:space="preserve">supposedly </w:t>
      </w:r>
      <w:r w:rsidRPr="009E1077">
        <w:rPr>
          <w:rFonts w:ascii="Garamond" w:hAnsi="Garamond"/>
        </w:rPr>
        <w:t xml:space="preserve">derived from, in part, the </w:t>
      </w:r>
      <w:r w:rsidRPr="001673D7">
        <w:rPr>
          <w:rFonts w:ascii="Garamond" w:hAnsi="Garamond"/>
          <w:i/>
          <w:iCs/>
        </w:rPr>
        <w:t>voluntarism</w:t>
      </w:r>
      <w:r w:rsidRPr="009E1077">
        <w:rPr>
          <w:rFonts w:ascii="Garamond" w:hAnsi="Garamond"/>
        </w:rPr>
        <w:t xml:space="preserve"> of those individuals.</w:t>
      </w:r>
      <w:r w:rsidRPr="009E1077">
        <w:rPr>
          <w:rStyle w:val="FootnoteReference"/>
          <w:rFonts w:ascii="Garamond" w:hAnsi="Garamond"/>
        </w:rPr>
        <w:footnoteReference w:id="94"/>
      </w:r>
      <w:r w:rsidRPr="009E1077">
        <w:rPr>
          <w:rFonts w:ascii="Garamond" w:hAnsi="Garamond"/>
        </w:rPr>
        <w:t xml:space="preserve"> In discussing the positions of Locke and Hobbes on the hypothetical consent underpinning the social contract, Carol Pateman su</w:t>
      </w:r>
      <w:r w:rsidR="00B65219">
        <w:rPr>
          <w:rFonts w:ascii="Garamond" w:hAnsi="Garamond"/>
        </w:rPr>
        <w:t>mmarises</w:t>
      </w:r>
      <w:r w:rsidRPr="009E1077">
        <w:rPr>
          <w:rFonts w:ascii="Garamond" w:hAnsi="Garamond"/>
        </w:rPr>
        <w:t xml:space="preserve">: </w:t>
      </w:r>
    </w:p>
    <w:p w14:paraId="5C56D0AE" w14:textId="77777777" w:rsidR="00BB30CD" w:rsidRDefault="00BB30CD" w:rsidP="00740662">
      <w:pPr>
        <w:ind w:left="720"/>
        <w:jc w:val="both"/>
        <w:rPr>
          <w:rFonts w:ascii="Garamond" w:hAnsi="Garamond"/>
        </w:rPr>
      </w:pPr>
      <w:r w:rsidRPr="009E1077">
        <w:rPr>
          <w:rFonts w:ascii="Garamond" w:hAnsi="Garamond"/>
        </w:rPr>
        <w:t xml:space="preserve">Voluntarism presupposed that individuals are rational, that they have, or </w:t>
      </w:r>
      <w:proofErr w:type="gramStart"/>
      <w:r w:rsidRPr="009E1077">
        <w:rPr>
          <w:rFonts w:ascii="Garamond" w:hAnsi="Garamond"/>
        </w:rPr>
        <w:t>are able to</w:t>
      </w:r>
      <w:proofErr w:type="gramEnd"/>
      <w:r w:rsidRPr="009E1077">
        <w:rPr>
          <w:rFonts w:ascii="Garamond" w:hAnsi="Garamond"/>
        </w:rPr>
        <w:t xml:space="preserve"> develop, the moral and intellectual capacities necessary to enable free commitment to be given. ‘Free and equal individuals’, to use Lockean terminology, own the property in their persons and their attributes, including their capacity to give consent. The individual is the ‘guardian of his own consent’.</w:t>
      </w:r>
      <w:r w:rsidRPr="009E1077">
        <w:rPr>
          <w:rStyle w:val="FootnoteReference"/>
          <w:rFonts w:ascii="Garamond" w:hAnsi="Garamond"/>
        </w:rPr>
        <w:footnoteReference w:id="95"/>
      </w:r>
    </w:p>
    <w:p w14:paraId="09907E8D" w14:textId="0B8FA25E" w:rsidR="00BB30CD" w:rsidRPr="009E1077" w:rsidRDefault="00BB30CD" w:rsidP="00740662">
      <w:pPr>
        <w:jc w:val="both"/>
        <w:rPr>
          <w:rFonts w:ascii="Garamond" w:hAnsi="Garamond"/>
        </w:rPr>
      </w:pPr>
      <w:r w:rsidRPr="009E1077">
        <w:rPr>
          <w:rFonts w:ascii="Garamond" w:hAnsi="Garamond"/>
        </w:rPr>
        <w:t xml:space="preserve">Pateman </w:t>
      </w:r>
      <w:r>
        <w:rPr>
          <w:rFonts w:ascii="Garamond" w:hAnsi="Garamond"/>
        </w:rPr>
        <w:t>goes on to show the</w:t>
      </w:r>
      <w:r w:rsidRPr="009E1077">
        <w:rPr>
          <w:rFonts w:ascii="Garamond" w:hAnsi="Garamond"/>
        </w:rPr>
        <w:t xml:space="preserve"> obscured counterpart – the sexual contract – underpinning the social contract</w:t>
      </w:r>
      <w:r w:rsidR="00C566D2">
        <w:rPr>
          <w:rFonts w:ascii="Garamond" w:hAnsi="Garamond"/>
        </w:rPr>
        <w:t>,</w:t>
      </w:r>
      <w:r w:rsidRPr="009E1077">
        <w:rPr>
          <w:rStyle w:val="FootnoteReference"/>
          <w:rFonts w:ascii="Garamond" w:hAnsi="Garamond"/>
        </w:rPr>
        <w:footnoteReference w:id="96"/>
      </w:r>
      <w:r w:rsidRPr="009E1077">
        <w:rPr>
          <w:rFonts w:ascii="Garamond" w:hAnsi="Garamond"/>
        </w:rPr>
        <w:t xml:space="preserve"> while postcolonial theorists reveal the obscured racialised Other as counterpart. Drawing on Uday Singh Mehta, Ratna Kapur argues that the ‘universal’ values of liberalism faltered at colonial encounters, giving way to traditional and antiquated decisions as to treatment </w:t>
      </w:r>
      <w:r>
        <w:rPr>
          <w:rFonts w:ascii="Garamond" w:hAnsi="Garamond"/>
        </w:rPr>
        <w:t xml:space="preserve">based on perceived </w:t>
      </w:r>
      <w:r w:rsidRPr="009E1077">
        <w:rPr>
          <w:rFonts w:ascii="Garamond" w:hAnsi="Garamond"/>
        </w:rPr>
        <w:t xml:space="preserve">difference. She observes that: </w:t>
      </w:r>
      <w:r w:rsidR="00DB738B">
        <w:rPr>
          <w:rFonts w:ascii="Garamond" w:hAnsi="Garamond"/>
        </w:rPr>
        <w:t>‘</w:t>
      </w:r>
      <w:r w:rsidRPr="009E1077">
        <w:rPr>
          <w:rFonts w:ascii="Garamond" w:hAnsi="Garamond"/>
        </w:rPr>
        <w:t>if consent was fundamental to the legitimacy of political authority, and consent entailed the capacity to reason, then a subject who lacked the capacity to reason also lacked the capacity for consent</w:t>
      </w:r>
      <w:r w:rsidR="00DB738B">
        <w:rPr>
          <w:rFonts w:ascii="Garamond" w:hAnsi="Garamond"/>
        </w:rPr>
        <w:t>’</w:t>
      </w:r>
      <w:r w:rsidRPr="009E1077">
        <w:rPr>
          <w:rFonts w:ascii="Garamond" w:hAnsi="Garamond"/>
        </w:rPr>
        <w:t>.</w:t>
      </w:r>
      <w:r w:rsidRPr="009E1077">
        <w:rPr>
          <w:rStyle w:val="FootnoteReference"/>
          <w:rFonts w:ascii="Garamond" w:hAnsi="Garamond"/>
        </w:rPr>
        <w:footnoteReference w:id="97"/>
      </w:r>
      <w:r w:rsidRPr="009E1077">
        <w:rPr>
          <w:rFonts w:ascii="Garamond" w:hAnsi="Garamond"/>
        </w:rPr>
        <w:t xml:space="preserve"> Interrogating the writing of James Mill she shows how he constituted Indians as </w:t>
      </w:r>
      <w:r w:rsidR="00DB738B">
        <w:rPr>
          <w:rFonts w:ascii="Garamond" w:hAnsi="Garamond"/>
        </w:rPr>
        <w:t>‘</w:t>
      </w:r>
      <w:r w:rsidRPr="009E1077">
        <w:rPr>
          <w:rFonts w:ascii="Garamond" w:hAnsi="Garamond"/>
        </w:rPr>
        <w:t>infantile and childlike</w:t>
      </w:r>
      <w:r w:rsidR="00DB738B">
        <w:rPr>
          <w:rFonts w:ascii="Garamond" w:hAnsi="Garamond"/>
        </w:rPr>
        <w:t>’</w:t>
      </w:r>
      <w:r w:rsidRPr="009E1077">
        <w:rPr>
          <w:rFonts w:ascii="Garamond" w:hAnsi="Garamond"/>
        </w:rPr>
        <w:t xml:space="preserve">, in Lockean terms </w:t>
      </w:r>
      <w:r w:rsidR="00DB738B">
        <w:rPr>
          <w:rFonts w:ascii="Garamond" w:hAnsi="Garamond"/>
        </w:rPr>
        <w:t>‘</w:t>
      </w:r>
      <w:r w:rsidRPr="009E1077">
        <w:rPr>
          <w:rFonts w:ascii="Garamond" w:hAnsi="Garamond"/>
        </w:rPr>
        <w:t>incapable of consent – the core requirement for a liberal subject, for liberal democracy, and for representative government</w:t>
      </w:r>
      <w:r w:rsidR="00DB738B">
        <w:rPr>
          <w:rFonts w:ascii="Garamond" w:hAnsi="Garamond"/>
        </w:rPr>
        <w:t>’</w:t>
      </w:r>
      <w:r w:rsidRPr="009E1077">
        <w:rPr>
          <w:rFonts w:ascii="Garamond" w:hAnsi="Garamond"/>
        </w:rPr>
        <w:t>.</w:t>
      </w:r>
      <w:r w:rsidRPr="009E1077">
        <w:rPr>
          <w:rStyle w:val="FootnoteReference"/>
          <w:rFonts w:ascii="Garamond" w:hAnsi="Garamond"/>
        </w:rPr>
        <w:footnoteReference w:id="98"/>
      </w:r>
      <w:r w:rsidRPr="009E1077">
        <w:rPr>
          <w:rFonts w:ascii="Garamond" w:hAnsi="Garamond"/>
        </w:rPr>
        <w:t xml:space="preserve"> The autonomous consenting subject is thus constituted by its </w:t>
      </w:r>
      <w:r w:rsidRPr="009E1077">
        <w:rPr>
          <w:rFonts w:ascii="Garamond" w:hAnsi="Garamond"/>
          <w:i/>
          <w:iCs/>
        </w:rPr>
        <w:t xml:space="preserve">reason and rationality </w:t>
      </w:r>
      <w:r w:rsidRPr="009E1077">
        <w:rPr>
          <w:rFonts w:ascii="Garamond" w:hAnsi="Garamond"/>
        </w:rPr>
        <w:t>and sits at the end of a civilisation scale in opposition to the primitive Other.</w:t>
      </w:r>
      <w:r w:rsidRPr="009E1077">
        <w:rPr>
          <w:rStyle w:val="FootnoteReference"/>
          <w:rFonts w:ascii="Garamond" w:hAnsi="Garamond"/>
        </w:rPr>
        <w:footnoteReference w:id="99"/>
      </w:r>
    </w:p>
    <w:p w14:paraId="0753AAD0" w14:textId="1E503F21" w:rsidR="00BB30CD" w:rsidRPr="009E1077" w:rsidRDefault="00BB30CD" w:rsidP="00740662">
      <w:pPr>
        <w:jc w:val="both"/>
        <w:rPr>
          <w:rFonts w:ascii="Garamond" w:hAnsi="Garamond"/>
        </w:rPr>
      </w:pPr>
      <w:r w:rsidRPr="009E1077">
        <w:rPr>
          <w:rFonts w:ascii="Garamond" w:hAnsi="Garamond"/>
        </w:rPr>
        <w:t>Running parallel</w:t>
      </w:r>
      <w:r>
        <w:rPr>
          <w:rFonts w:ascii="Garamond" w:hAnsi="Garamond"/>
        </w:rPr>
        <w:t xml:space="preserve"> to, and overlapping with,</w:t>
      </w:r>
      <w:r w:rsidRPr="009E1077">
        <w:rPr>
          <w:rFonts w:ascii="Garamond" w:hAnsi="Garamond"/>
        </w:rPr>
        <w:t xml:space="preserve"> these arguments are feminist concerns on consent in more interpersonal contexts. These insights are helpful in that they critique the normative rendering of a subject idealised for (his) rationality and atomised autonomy.</w:t>
      </w:r>
      <w:r w:rsidR="00A424C0">
        <w:rPr>
          <w:rStyle w:val="FootnoteReference"/>
          <w:rFonts w:ascii="Garamond" w:hAnsi="Garamond"/>
        </w:rPr>
        <w:footnoteReference w:id="100"/>
      </w:r>
      <w:r w:rsidRPr="009E1077">
        <w:rPr>
          <w:rFonts w:ascii="Garamond" w:hAnsi="Garamond"/>
        </w:rPr>
        <w:t xml:space="preserve"> In particular</w:t>
      </w:r>
      <w:r>
        <w:rPr>
          <w:rFonts w:ascii="Garamond" w:hAnsi="Garamond"/>
        </w:rPr>
        <w:t xml:space="preserve">, the </w:t>
      </w:r>
      <w:r w:rsidRPr="009E1077">
        <w:rPr>
          <w:rFonts w:ascii="Garamond" w:hAnsi="Garamond"/>
        </w:rPr>
        <w:t>autonomous</w:t>
      </w:r>
      <w:r>
        <w:rPr>
          <w:rFonts w:ascii="Garamond" w:hAnsi="Garamond"/>
        </w:rPr>
        <w:t>, atomised, self-sufficient</w:t>
      </w:r>
      <w:r w:rsidRPr="009E1077">
        <w:rPr>
          <w:rFonts w:ascii="Garamond" w:hAnsi="Garamond"/>
        </w:rPr>
        <w:t xml:space="preserve"> liberal self comes to be the ideal subject which women</w:t>
      </w:r>
      <w:r>
        <w:rPr>
          <w:rFonts w:ascii="Garamond" w:hAnsi="Garamond"/>
        </w:rPr>
        <w:t>, gender and sexual minorities</w:t>
      </w:r>
      <w:r w:rsidRPr="009E1077">
        <w:rPr>
          <w:rFonts w:ascii="Garamond" w:hAnsi="Garamond"/>
        </w:rPr>
        <w:t xml:space="preserve"> must strive to embody</w:t>
      </w:r>
      <w:r>
        <w:rPr>
          <w:rFonts w:ascii="Garamond" w:hAnsi="Garamond"/>
        </w:rPr>
        <w:t xml:space="preserve">. This is the </w:t>
      </w:r>
      <w:r w:rsidR="00B53D2B">
        <w:rPr>
          <w:rFonts w:ascii="Garamond" w:hAnsi="Garamond"/>
        </w:rPr>
        <w:t>benchmark</w:t>
      </w:r>
      <w:r>
        <w:rPr>
          <w:rFonts w:ascii="Garamond" w:hAnsi="Garamond"/>
        </w:rPr>
        <w:t xml:space="preserve"> of equality</w:t>
      </w:r>
      <w:r w:rsidRPr="009E1077">
        <w:rPr>
          <w:rFonts w:ascii="Garamond" w:hAnsi="Garamond"/>
        </w:rPr>
        <w:t>, despite its illusory nature.</w:t>
      </w:r>
      <w:r w:rsidRPr="009E1077">
        <w:rPr>
          <w:rStyle w:val="FootnoteReference"/>
          <w:rFonts w:ascii="Garamond" w:hAnsi="Garamond"/>
        </w:rPr>
        <w:footnoteReference w:id="101"/>
      </w:r>
      <w:r w:rsidRPr="009E1077">
        <w:rPr>
          <w:rFonts w:ascii="Garamond" w:hAnsi="Garamond"/>
        </w:rPr>
        <w:t xml:space="preserve"> For O</w:t>
      </w:r>
      <w:r>
        <w:rPr>
          <w:rFonts w:ascii="Garamond" w:hAnsi="Garamond"/>
        </w:rPr>
        <w:t>n</w:t>
      </w:r>
      <w:r w:rsidRPr="009E1077">
        <w:rPr>
          <w:rFonts w:ascii="Garamond" w:hAnsi="Garamond"/>
        </w:rPr>
        <w:t>ora O’Neill, evaluations on whether consent or dissent is given often invoke this abstraction, which she calls the ‘possibly consenting adult’.</w:t>
      </w:r>
      <w:r>
        <w:rPr>
          <w:rStyle w:val="FootnoteReference"/>
          <w:rFonts w:ascii="Garamond" w:hAnsi="Garamond"/>
        </w:rPr>
        <w:footnoteReference w:id="102"/>
      </w:r>
      <w:r w:rsidRPr="009E1077">
        <w:rPr>
          <w:rFonts w:ascii="Garamond" w:hAnsi="Garamond"/>
        </w:rPr>
        <w:t xml:space="preserve"> </w:t>
      </w:r>
      <w:r>
        <w:rPr>
          <w:rFonts w:ascii="Garamond" w:hAnsi="Garamond"/>
        </w:rPr>
        <w:t xml:space="preserve">In determinations of consent subjects are assumed to act as abstracted, idealised adults, as opposed to </w:t>
      </w:r>
      <w:r w:rsidRPr="00094B6D">
        <w:rPr>
          <w:rFonts w:ascii="Garamond" w:hAnsi="Garamond"/>
          <w:i/>
          <w:iCs/>
        </w:rPr>
        <w:t>particular</w:t>
      </w:r>
      <w:r w:rsidRPr="009E1077">
        <w:rPr>
          <w:rFonts w:ascii="Garamond" w:hAnsi="Garamond"/>
        </w:rPr>
        <w:t xml:space="preserve"> persons</w:t>
      </w:r>
      <w:r>
        <w:rPr>
          <w:rFonts w:ascii="Garamond" w:hAnsi="Garamond"/>
        </w:rPr>
        <w:t xml:space="preserve"> embodied</w:t>
      </w:r>
      <w:r w:rsidRPr="009E1077">
        <w:rPr>
          <w:rFonts w:ascii="Garamond" w:hAnsi="Garamond"/>
        </w:rPr>
        <w:t xml:space="preserve"> with weaknesses, sets of abilities</w:t>
      </w:r>
      <w:r>
        <w:rPr>
          <w:rFonts w:ascii="Garamond" w:hAnsi="Garamond"/>
        </w:rPr>
        <w:t>, dependencies</w:t>
      </w:r>
      <w:r w:rsidRPr="009E1077">
        <w:rPr>
          <w:rFonts w:ascii="Garamond" w:hAnsi="Garamond"/>
        </w:rPr>
        <w:t xml:space="preserve"> and </w:t>
      </w:r>
      <w:r>
        <w:rPr>
          <w:rFonts w:ascii="Garamond" w:hAnsi="Garamond"/>
        </w:rPr>
        <w:t xml:space="preserve">personal, emotional </w:t>
      </w:r>
      <w:r w:rsidRPr="009E1077">
        <w:rPr>
          <w:rFonts w:ascii="Garamond" w:hAnsi="Garamond"/>
        </w:rPr>
        <w:t>histories.</w:t>
      </w:r>
      <w:r>
        <w:rPr>
          <w:rFonts w:ascii="Garamond" w:hAnsi="Garamond"/>
        </w:rPr>
        <w:t xml:space="preserve"> It is the particularities of a person, she argues, which tend to bear more </w:t>
      </w:r>
      <w:r w:rsidR="00350EF1">
        <w:rPr>
          <w:rFonts w:ascii="Garamond" w:hAnsi="Garamond"/>
        </w:rPr>
        <w:t xml:space="preserve">on </w:t>
      </w:r>
      <w:r>
        <w:rPr>
          <w:rFonts w:ascii="Garamond" w:hAnsi="Garamond"/>
        </w:rPr>
        <w:t xml:space="preserve">whether consent is given in any </w:t>
      </w:r>
      <w:proofErr w:type="gramStart"/>
      <w:r>
        <w:rPr>
          <w:rFonts w:ascii="Garamond" w:hAnsi="Garamond"/>
        </w:rPr>
        <w:t>particular context</w:t>
      </w:r>
      <w:proofErr w:type="gramEnd"/>
      <w:r>
        <w:rPr>
          <w:rFonts w:ascii="Garamond" w:hAnsi="Garamond"/>
        </w:rPr>
        <w:t>. To emphasis</w:t>
      </w:r>
      <w:r w:rsidR="00F83EAC">
        <w:rPr>
          <w:rFonts w:ascii="Garamond" w:hAnsi="Garamond"/>
        </w:rPr>
        <w:t>e</w:t>
      </w:r>
      <w:r>
        <w:rPr>
          <w:rFonts w:ascii="Garamond" w:hAnsi="Garamond"/>
        </w:rPr>
        <w:t xml:space="preserve"> a similar point</w:t>
      </w:r>
      <w:r w:rsidR="00B743E9">
        <w:rPr>
          <w:rFonts w:ascii="Garamond" w:hAnsi="Garamond"/>
        </w:rPr>
        <w:t>,</w:t>
      </w:r>
      <w:r>
        <w:rPr>
          <w:rFonts w:ascii="Garamond" w:hAnsi="Garamond"/>
        </w:rPr>
        <w:t xml:space="preserve"> Manon Garcia is critical of a blindness to the deeply personal and contingent nature of sexual consent, which is lost when it is imagined in the </w:t>
      </w:r>
      <w:r>
        <w:rPr>
          <w:rFonts w:ascii="Garamond" w:hAnsi="Garamond"/>
        </w:rPr>
        <w:lastRenderedPageBreak/>
        <w:t>abstract.</w:t>
      </w:r>
      <w:r>
        <w:rPr>
          <w:rStyle w:val="FootnoteReference"/>
          <w:rFonts w:ascii="Garamond" w:hAnsi="Garamond"/>
        </w:rPr>
        <w:footnoteReference w:id="103"/>
      </w:r>
      <w:r w:rsidRPr="009E1077">
        <w:rPr>
          <w:rFonts w:ascii="Garamond" w:hAnsi="Garamond"/>
        </w:rPr>
        <w:t xml:space="preserve"> </w:t>
      </w:r>
      <w:r>
        <w:rPr>
          <w:rFonts w:ascii="Garamond" w:hAnsi="Garamond"/>
        </w:rPr>
        <w:t xml:space="preserve">Moreover, there is a very real worry that the ostensible freedom of giving consent renders active those choices which are, in reality, prescriptive. Maria Drakopoulou suggests that consent as empowering vests ownership and governance of the self </w:t>
      </w:r>
      <w:r>
        <w:rPr>
          <w:rFonts w:ascii="Garamond" w:hAnsi="Garamond"/>
          <w:i/>
          <w:iCs/>
        </w:rPr>
        <w:t xml:space="preserve">within </w:t>
      </w:r>
      <w:r>
        <w:rPr>
          <w:rFonts w:ascii="Garamond" w:hAnsi="Garamond"/>
        </w:rPr>
        <w:t>subjects (women) who are in fact nestled within histories of restrictive social orders.</w:t>
      </w:r>
      <w:r w:rsidR="005716B1">
        <w:rPr>
          <w:rStyle w:val="FootnoteReference"/>
          <w:rFonts w:ascii="Garamond" w:hAnsi="Garamond"/>
        </w:rPr>
        <w:footnoteReference w:id="104"/>
      </w:r>
      <w:r>
        <w:rPr>
          <w:rFonts w:ascii="Garamond" w:hAnsi="Garamond"/>
        </w:rPr>
        <w:t xml:space="preserve"> In this way, behaviours and roles supposedly taken up voluntarily and consented to, chart an eerily familiar normative pattern but are now rubber-stamped as actively </w:t>
      </w:r>
      <w:r>
        <w:rPr>
          <w:rFonts w:ascii="Garamond" w:hAnsi="Garamond"/>
          <w:i/>
          <w:iCs/>
        </w:rPr>
        <w:t xml:space="preserve">wanted </w:t>
      </w:r>
      <w:r>
        <w:rPr>
          <w:rFonts w:ascii="Garamond" w:hAnsi="Garamond"/>
        </w:rPr>
        <w:t>by the self.</w:t>
      </w:r>
      <w:r w:rsidRPr="009E1077">
        <w:rPr>
          <w:rFonts w:ascii="Garamond" w:hAnsi="Garamond"/>
        </w:rPr>
        <w:t xml:space="preserve"> Thus, while the ownership of the power of consent signals autonomy and personhood in liberal thought</w:t>
      </w:r>
      <w:r>
        <w:rPr>
          <w:rFonts w:ascii="Garamond" w:hAnsi="Garamond"/>
        </w:rPr>
        <w:t xml:space="preserve"> it</w:t>
      </w:r>
      <w:r w:rsidRPr="009E1077">
        <w:rPr>
          <w:rFonts w:ascii="Garamond" w:hAnsi="Garamond"/>
        </w:rPr>
        <w:t xml:space="preserve"> is double edged in that it produces atomised, rational, free and equal subjects which obscures more persistent undercurrents of inequality.</w:t>
      </w:r>
    </w:p>
    <w:p w14:paraId="2FCC9AE5" w14:textId="6743D818" w:rsidR="00BB30CD" w:rsidRPr="009E1077" w:rsidRDefault="00BB30CD" w:rsidP="00740662">
      <w:pPr>
        <w:jc w:val="both"/>
        <w:rPr>
          <w:rFonts w:ascii="Garamond" w:hAnsi="Garamond"/>
        </w:rPr>
      </w:pPr>
      <w:r w:rsidRPr="009E1077">
        <w:rPr>
          <w:rFonts w:ascii="Garamond" w:hAnsi="Garamond"/>
        </w:rPr>
        <w:t xml:space="preserve">These concerns, whilst raised in </w:t>
      </w:r>
      <w:r w:rsidR="001A606E">
        <w:rPr>
          <w:rFonts w:ascii="Garamond" w:hAnsi="Garamond"/>
        </w:rPr>
        <w:t xml:space="preserve">the context </w:t>
      </w:r>
      <w:r w:rsidRPr="009E1077">
        <w:rPr>
          <w:rFonts w:ascii="Garamond" w:hAnsi="Garamond"/>
        </w:rPr>
        <w:t>of interpersonal interactions, are</w:t>
      </w:r>
      <w:r w:rsidR="00B7414C">
        <w:rPr>
          <w:rFonts w:ascii="Garamond" w:hAnsi="Garamond"/>
        </w:rPr>
        <w:t xml:space="preserve"> also </w:t>
      </w:r>
      <w:r w:rsidRPr="009E1077">
        <w:rPr>
          <w:rFonts w:ascii="Garamond" w:hAnsi="Garamond"/>
        </w:rPr>
        <w:t>clearly relevant for thinking through interstate relations and the role consent plays as the supposed mechanism for preserving freedom and equality within those interactions. That consent can be understood as a counter-hegemonic strategy for postcolonial states sits at odds with how, particularly in the context of contractual engagement, consent works to obscure power imbalances and the broader social order. Sharon Cowan’s argument</w:t>
      </w:r>
      <w:r>
        <w:rPr>
          <w:rFonts w:ascii="Garamond" w:hAnsi="Garamond"/>
        </w:rPr>
        <w:t xml:space="preserve">, </w:t>
      </w:r>
      <w:r w:rsidRPr="009E1077">
        <w:rPr>
          <w:rFonts w:ascii="Garamond" w:hAnsi="Garamond"/>
        </w:rPr>
        <w:t>made in the aftermath of sexual law reform in England and Wales</w:t>
      </w:r>
      <w:r>
        <w:rPr>
          <w:rFonts w:ascii="Garamond" w:hAnsi="Garamond"/>
        </w:rPr>
        <w:t xml:space="preserve"> (</w:t>
      </w:r>
      <w:r w:rsidRPr="009E1077">
        <w:rPr>
          <w:rFonts w:ascii="Garamond" w:hAnsi="Garamond"/>
        </w:rPr>
        <w:t>which were said to echo J S Mill’s account of the value of autonomy</w:t>
      </w:r>
      <w:r>
        <w:rPr>
          <w:rFonts w:ascii="Garamond" w:hAnsi="Garamond"/>
        </w:rPr>
        <w:t>),</w:t>
      </w:r>
      <w:r w:rsidRPr="009E1077">
        <w:rPr>
          <w:rStyle w:val="FootnoteReference"/>
          <w:rFonts w:ascii="Garamond" w:hAnsi="Garamond"/>
        </w:rPr>
        <w:footnoteReference w:id="105"/>
      </w:r>
      <w:r w:rsidRPr="009E1077">
        <w:rPr>
          <w:rFonts w:ascii="Garamond" w:hAnsi="Garamond"/>
        </w:rPr>
        <w:t xml:space="preserve"> could just as easily speak to a model of contractual interstate relations:</w:t>
      </w:r>
    </w:p>
    <w:p w14:paraId="575F18E9" w14:textId="77777777" w:rsidR="00BB30CD" w:rsidRPr="009E1077" w:rsidRDefault="00BB30CD" w:rsidP="00740662">
      <w:pPr>
        <w:ind w:left="720"/>
        <w:jc w:val="both"/>
        <w:rPr>
          <w:rFonts w:ascii="Garamond" w:hAnsi="Garamond"/>
        </w:rPr>
      </w:pPr>
      <w:r w:rsidRPr="009E1077">
        <w:rPr>
          <w:rFonts w:ascii="Garamond" w:hAnsi="Garamond"/>
        </w:rPr>
        <w:t>…consent does not operate in a vacuum and is relational, and dependent on social interaction rather than individualistic decision making. A formal model of consent does not capture the underlying power imbalances that may exist before ‘negotiation’ takes place, and may portray each choice as an isolated snapshot, rather than reflect the interconnected nature of choice.</w:t>
      </w:r>
      <w:r w:rsidRPr="009E1077">
        <w:rPr>
          <w:rStyle w:val="FootnoteReference"/>
          <w:rFonts w:ascii="Garamond" w:hAnsi="Garamond"/>
        </w:rPr>
        <w:footnoteReference w:id="106"/>
      </w:r>
    </w:p>
    <w:p w14:paraId="6244345E" w14:textId="1359D671" w:rsidR="00056A8A" w:rsidRDefault="00BB30CD" w:rsidP="00740662">
      <w:pPr>
        <w:jc w:val="both"/>
        <w:rPr>
          <w:rFonts w:ascii="Garamond" w:hAnsi="Garamond"/>
        </w:rPr>
      </w:pPr>
      <w:r w:rsidRPr="009E1077">
        <w:rPr>
          <w:rFonts w:ascii="Garamond" w:hAnsi="Garamond"/>
        </w:rPr>
        <w:t>In the context of the separation of Chagos, power imbalances were easily identifiable as preventing any sincere question of consent due to the formalised subjugation of Mauritius; consent could not arise because both ‘parties’ to the contract were not legal persons. This says nothing about the continuing relations of Mauritius and the UK. The power of the state to wield consent – while now extended to Mauritius after independence – is, on</w:t>
      </w:r>
      <w:r w:rsidR="00327646">
        <w:rPr>
          <w:rFonts w:ascii="Garamond" w:hAnsi="Garamond"/>
        </w:rPr>
        <w:t xml:space="preserve"> </w:t>
      </w:r>
      <w:r w:rsidRPr="009E1077">
        <w:rPr>
          <w:rFonts w:ascii="Garamond" w:hAnsi="Garamond"/>
        </w:rPr>
        <w:t>paper, a universal, liberal right which all states are bearers of. Within the liberal imaginary, the question of sovereignty has been remedied and what now exists are two free and equal subjects able to enter into consensual agreement</w:t>
      </w:r>
      <w:r>
        <w:rPr>
          <w:rFonts w:ascii="Garamond" w:hAnsi="Garamond"/>
        </w:rPr>
        <w:t>s</w:t>
      </w:r>
      <w:r w:rsidRPr="009E1077">
        <w:rPr>
          <w:rFonts w:ascii="Garamond" w:hAnsi="Garamond"/>
        </w:rPr>
        <w:t xml:space="preserve">. </w:t>
      </w:r>
      <w:r>
        <w:rPr>
          <w:rFonts w:ascii="Garamond" w:hAnsi="Garamond"/>
        </w:rPr>
        <w:t>This sets the scene for the more contemporary ‘negotiations’ over the future of Chagos to which I will now turn.</w:t>
      </w:r>
    </w:p>
    <w:p w14:paraId="3496ACB9" w14:textId="77777777" w:rsidR="00824FFB" w:rsidRPr="009E1077" w:rsidRDefault="00824FFB" w:rsidP="00740662">
      <w:pPr>
        <w:jc w:val="both"/>
        <w:rPr>
          <w:rFonts w:ascii="Garamond" w:hAnsi="Garamond"/>
        </w:rPr>
      </w:pPr>
    </w:p>
    <w:p w14:paraId="140B8FC5" w14:textId="602535DF" w:rsidR="006F0D99" w:rsidRPr="00CE6C3E" w:rsidRDefault="00F03976" w:rsidP="009C594D">
      <w:pPr>
        <w:pStyle w:val="Heading1"/>
      </w:pPr>
      <w:r w:rsidRPr="00CE6C3E">
        <w:t xml:space="preserve">Bargain for exchange: sovereignty/property as disposable </w:t>
      </w:r>
    </w:p>
    <w:p w14:paraId="042F93A0" w14:textId="7B3C990D" w:rsidR="006F0D99" w:rsidRPr="009E1077" w:rsidRDefault="006F0D99" w:rsidP="001C7FA4">
      <w:pPr>
        <w:widowControl w:val="0"/>
        <w:ind w:left="709"/>
        <w:jc w:val="both"/>
        <w:rPr>
          <w:rFonts w:ascii="Garamond" w:hAnsi="Garamond"/>
        </w:rPr>
      </w:pPr>
      <w:r w:rsidRPr="009E1077">
        <w:rPr>
          <w:rFonts w:ascii="Garamond" w:hAnsi="Garamond"/>
        </w:rPr>
        <w:t xml:space="preserve">For us, the land and sea are not just a place to live but a part of our identity…no one can </w:t>
      </w:r>
      <w:r w:rsidRPr="009E1077">
        <w:rPr>
          <w:rFonts w:ascii="Garamond" w:hAnsi="Garamond"/>
        </w:rPr>
        <w:lastRenderedPageBreak/>
        <w:t>look after the soil and sea better than those who call it home.</w:t>
      </w:r>
      <w:r w:rsidRPr="009E1077">
        <w:rPr>
          <w:rStyle w:val="FootnoteReference"/>
          <w:rFonts w:ascii="Garamond" w:hAnsi="Garamond"/>
        </w:rPr>
        <w:footnoteReference w:id="107"/>
      </w:r>
    </w:p>
    <w:p w14:paraId="303F0218" w14:textId="202C4D22" w:rsidR="006F0D99" w:rsidRPr="009E1077" w:rsidRDefault="006F0D99" w:rsidP="00740662">
      <w:pPr>
        <w:jc w:val="both"/>
        <w:rPr>
          <w:rFonts w:ascii="Garamond" w:hAnsi="Garamond"/>
        </w:rPr>
      </w:pPr>
      <w:r w:rsidRPr="009E1077">
        <w:rPr>
          <w:rFonts w:ascii="Garamond" w:hAnsi="Garamond"/>
        </w:rPr>
        <w:t>As I have shown, the legal discourse on the separation of Chagos has shored up the centrality of the state, while pushing the indigenous community who suffered dispossession and displacement to the margins. The heavy reliance on contractual forms of engagement in interrogating the (</w:t>
      </w:r>
      <w:proofErr w:type="spellStart"/>
      <w:r w:rsidRPr="009E1077">
        <w:rPr>
          <w:rFonts w:ascii="Garamond" w:hAnsi="Garamond"/>
        </w:rPr>
        <w:t>im</w:t>
      </w:r>
      <w:proofErr w:type="spellEnd"/>
      <w:r w:rsidRPr="009E1077">
        <w:rPr>
          <w:rFonts w:ascii="Garamond" w:hAnsi="Garamond"/>
        </w:rPr>
        <w:t xml:space="preserve">)possibility of consent between the ‘two parties’ has offered a pyrrhic victory from a decolonial perspective. </w:t>
      </w:r>
      <w:r>
        <w:rPr>
          <w:rFonts w:ascii="Garamond" w:hAnsi="Garamond"/>
        </w:rPr>
        <w:t xml:space="preserve">By focusing on formal inequality international case law </w:t>
      </w:r>
      <w:r w:rsidRPr="009E1077">
        <w:rPr>
          <w:rFonts w:ascii="Garamond" w:hAnsi="Garamond"/>
        </w:rPr>
        <w:t>shields as unproblematic</w:t>
      </w:r>
      <w:r>
        <w:rPr>
          <w:rFonts w:ascii="Garamond" w:hAnsi="Garamond"/>
        </w:rPr>
        <w:t>, and indeed entrenches,</w:t>
      </w:r>
      <w:r w:rsidRPr="009E1077">
        <w:rPr>
          <w:rFonts w:ascii="Garamond" w:hAnsi="Garamond"/>
        </w:rPr>
        <w:t xml:space="preserve"> the contractual mode of engagement between</w:t>
      </w:r>
      <w:r>
        <w:rPr>
          <w:rFonts w:ascii="Garamond" w:hAnsi="Garamond"/>
        </w:rPr>
        <w:t xml:space="preserve"> (prospective) </w:t>
      </w:r>
      <w:r w:rsidRPr="009E1077">
        <w:rPr>
          <w:rFonts w:ascii="Garamond" w:hAnsi="Garamond"/>
        </w:rPr>
        <w:t>‘free and equal’</w:t>
      </w:r>
      <w:r>
        <w:rPr>
          <w:rFonts w:ascii="Garamond" w:hAnsi="Garamond"/>
        </w:rPr>
        <w:t xml:space="preserve"> </w:t>
      </w:r>
      <w:r w:rsidRPr="009E1077">
        <w:rPr>
          <w:rFonts w:ascii="Garamond" w:hAnsi="Garamond"/>
        </w:rPr>
        <w:t>legal persons. I will now turn to the more contemporary engagements between Mauritius and the UK (with the US in the background) to show how the colonial separation is a continuing injustice due to the idea that the postcolonial state has the freedom to ‘dispose of itself’.</w:t>
      </w:r>
      <w:r w:rsidRPr="009E1077">
        <w:rPr>
          <w:rStyle w:val="FootnoteReference"/>
          <w:rFonts w:ascii="Garamond" w:hAnsi="Garamond"/>
        </w:rPr>
        <w:footnoteReference w:id="108"/>
      </w:r>
      <w:r w:rsidRPr="009E1077">
        <w:rPr>
          <w:rFonts w:ascii="Garamond" w:hAnsi="Garamond"/>
        </w:rPr>
        <w:t xml:space="preserve"> </w:t>
      </w:r>
      <w:r>
        <w:rPr>
          <w:rFonts w:ascii="Garamond" w:hAnsi="Garamond"/>
        </w:rPr>
        <w:t>T</w:t>
      </w:r>
      <w:r w:rsidRPr="009E1077">
        <w:rPr>
          <w:rFonts w:ascii="Garamond" w:hAnsi="Garamond"/>
        </w:rPr>
        <w:t xml:space="preserve">he legacy of the classic paradigm of international law </w:t>
      </w:r>
      <w:r>
        <w:rPr>
          <w:rFonts w:ascii="Garamond" w:hAnsi="Garamond"/>
        </w:rPr>
        <w:t xml:space="preserve">is the constitution of Chagos as a commodity: alienated from the </w:t>
      </w:r>
      <w:proofErr w:type="spellStart"/>
      <w:r>
        <w:rPr>
          <w:rFonts w:ascii="Garamond" w:hAnsi="Garamond"/>
        </w:rPr>
        <w:t>Chagossians</w:t>
      </w:r>
      <w:proofErr w:type="spellEnd"/>
      <w:r>
        <w:rPr>
          <w:rFonts w:ascii="Garamond" w:hAnsi="Garamond"/>
        </w:rPr>
        <w:t xml:space="preserve"> and subject to continued extraction and liberal bargaining. </w:t>
      </w:r>
      <w:r w:rsidRPr="009E1077">
        <w:rPr>
          <w:rFonts w:ascii="Garamond" w:hAnsi="Garamond"/>
        </w:rPr>
        <w:t xml:space="preserve">It is for this reason, I argue, that the </w:t>
      </w:r>
      <w:proofErr w:type="spellStart"/>
      <w:r w:rsidRPr="009E1077">
        <w:rPr>
          <w:rFonts w:ascii="Garamond" w:hAnsi="Garamond"/>
        </w:rPr>
        <w:t>Chagossians</w:t>
      </w:r>
      <w:proofErr w:type="spellEnd"/>
      <w:r w:rsidRPr="009E1077">
        <w:rPr>
          <w:rFonts w:ascii="Garamond" w:hAnsi="Garamond"/>
        </w:rPr>
        <w:t xml:space="preserve"> do indeed remain </w:t>
      </w:r>
      <w:r>
        <w:rPr>
          <w:rFonts w:ascii="Garamond" w:hAnsi="Garamond"/>
        </w:rPr>
        <w:t xml:space="preserve">an </w:t>
      </w:r>
      <w:r w:rsidRPr="009E1077">
        <w:rPr>
          <w:rFonts w:ascii="Garamond" w:hAnsi="Garamond"/>
        </w:rPr>
        <w:t>‘un-self-determined’</w:t>
      </w:r>
      <w:r w:rsidRPr="009E1077">
        <w:rPr>
          <w:rStyle w:val="FootnoteReference"/>
          <w:rFonts w:ascii="Garamond" w:hAnsi="Garamond"/>
        </w:rPr>
        <w:footnoteReference w:id="109"/>
      </w:r>
      <w:r>
        <w:rPr>
          <w:rFonts w:ascii="Garamond" w:hAnsi="Garamond"/>
        </w:rPr>
        <w:t xml:space="preserve"> diaspora, barred f</w:t>
      </w:r>
      <w:r w:rsidRPr="009E1077">
        <w:rPr>
          <w:rFonts w:ascii="Garamond" w:hAnsi="Garamond"/>
        </w:rPr>
        <w:t xml:space="preserve">rom the power of consent.  </w:t>
      </w:r>
    </w:p>
    <w:p w14:paraId="7C40298F" w14:textId="7B068720" w:rsidR="006F0D99" w:rsidRPr="009E1077" w:rsidRDefault="006F0D99" w:rsidP="00740662">
      <w:pPr>
        <w:jc w:val="both"/>
        <w:rPr>
          <w:rFonts w:ascii="Garamond" w:hAnsi="Garamond"/>
        </w:rPr>
      </w:pPr>
      <w:r w:rsidRPr="009E1077">
        <w:rPr>
          <w:rFonts w:ascii="Garamond" w:hAnsi="Garamond"/>
        </w:rPr>
        <w:t>Having been alerted to the illusion of the universal promise of liberal values</w:t>
      </w:r>
      <w:r>
        <w:rPr>
          <w:rFonts w:ascii="Garamond" w:hAnsi="Garamond"/>
        </w:rPr>
        <w:t xml:space="preserve">, </w:t>
      </w:r>
      <w:r w:rsidRPr="009E1077">
        <w:rPr>
          <w:rFonts w:ascii="Garamond" w:hAnsi="Garamond"/>
        </w:rPr>
        <w:t xml:space="preserve">we can better interrogate the interstate relations between Mauritius and the UK. Returning to </w:t>
      </w:r>
      <w:proofErr w:type="spellStart"/>
      <w:r w:rsidRPr="009E1077">
        <w:rPr>
          <w:rFonts w:ascii="Garamond" w:hAnsi="Garamond"/>
        </w:rPr>
        <w:t>Anghie’s</w:t>
      </w:r>
      <w:proofErr w:type="spellEnd"/>
      <w:r w:rsidRPr="009E1077">
        <w:rPr>
          <w:rFonts w:ascii="Garamond" w:hAnsi="Garamond"/>
        </w:rPr>
        <w:t xml:space="preserve"> </w:t>
      </w:r>
      <w:r>
        <w:rPr>
          <w:rFonts w:ascii="Garamond" w:hAnsi="Garamond"/>
        </w:rPr>
        <w:t xml:space="preserve">critique of the </w:t>
      </w:r>
      <w:r w:rsidRPr="009E1077">
        <w:rPr>
          <w:rFonts w:ascii="Garamond" w:hAnsi="Garamond"/>
        </w:rPr>
        <w:t>classic paradigm</w:t>
      </w:r>
      <w:r>
        <w:rPr>
          <w:rFonts w:ascii="Garamond" w:hAnsi="Garamond"/>
        </w:rPr>
        <w:t xml:space="preserve"> of international law, he contends that</w:t>
      </w:r>
      <w:r w:rsidRPr="009E1077">
        <w:rPr>
          <w:rFonts w:ascii="Garamond" w:hAnsi="Garamond"/>
        </w:rPr>
        <w:t xml:space="preserve"> </w:t>
      </w:r>
      <w:r w:rsidR="00F23C34">
        <w:rPr>
          <w:rFonts w:ascii="Garamond" w:hAnsi="Garamond"/>
        </w:rPr>
        <w:t>‘</w:t>
      </w:r>
      <w:r w:rsidRPr="009E1077">
        <w:rPr>
          <w:rFonts w:ascii="Garamond" w:hAnsi="Garamond"/>
        </w:rPr>
        <w:t>contractual approaches to international law</w:t>
      </w:r>
      <w:r>
        <w:rPr>
          <w:rFonts w:ascii="Garamond" w:hAnsi="Garamond"/>
        </w:rPr>
        <w:t>…</w:t>
      </w:r>
      <w:r w:rsidRPr="009E1077">
        <w:rPr>
          <w:rFonts w:ascii="Garamond" w:hAnsi="Garamond"/>
        </w:rPr>
        <w:t>obscure the colonial past</w:t>
      </w:r>
      <w:r w:rsidR="00F23C34">
        <w:rPr>
          <w:rFonts w:ascii="Garamond" w:hAnsi="Garamond"/>
        </w:rPr>
        <w:t>’</w:t>
      </w:r>
      <w:r w:rsidRPr="009E1077">
        <w:rPr>
          <w:rFonts w:ascii="Garamond" w:hAnsi="Garamond"/>
        </w:rPr>
        <w:t>.</w:t>
      </w:r>
      <w:r w:rsidRPr="009E1077">
        <w:rPr>
          <w:rStyle w:val="FootnoteReference"/>
          <w:rFonts w:ascii="Garamond" w:hAnsi="Garamond"/>
        </w:rPr>
        <w:footnoteReference w:id="110"/>
      </w:r>
      <w:r w:rsidRPr="009E1077">
        <w:rPr>
          <w:rFonts w:ascii="Garamond" w:hAnsi="Garamond"/>
        </w:rPr>
        <w:t xml:space="preserve"> </w:t>
      </w:r>
      <w:r>
        <w:rPr>
          <w:rFonts w:ascii="Garamond" w:hAnsi="Garamond"/>
        </w:rPr>
        <w:t>He goes on:</w:t>
      </w:r>
    </w:p>
    <w:p w14:paraId="448740CB" w14:textId="77777777" w:rsidR="006F0D99" w:rsidRPr="009E1077" w:rsidRDefault="006F0D99" w:rsidP="00740662">
      <w:pPr>
        <w:ind w:left="720"/>
        <w:jc w:val="both"/>
        <w:rPr>
          <w:rFonts w:ascii="Garamond" w:hAnsi="Garamond"/>
        </w:rPr>
      </w:pPr>
      <w:r w:rsidRPr="009E1077">
        <w:rPr>
          <w:rFonts w:ascii="Garamond" w:hAnsi="Garamond"/>
        </w:rPr>
        <w:t>The whole discourse of contracts as it applied to the Third World has, since the nineteenth century, focused on two main themes: the construction of ‘consent’ on the part of the non-European entity; and the power that contracts bestow on a non-European entity, whether a tribe or a sovereign state, to transfer whatever resources it possesses.</w:t>
      </w:r>
      <w:r w:rsidRPr="009E1077">
        <w:rPr>
          <w:rStyle w:val="FootnoteReference"/>
          <w:rFonts w:ascii="Garamond" w:hAnsi="Garamond"/>
        </w:rPr>
        <w:footnoteReference w:id="111"/>
      </w:r>
    </w:p>
    <w:p w14:paraId="13CD9087" w14:textId="2C4346C2" w:rsidR="006F0D99" w:rsidRPr="009E1077" w:rsidRDefault="006F0D99" w:rsidP="00740662">
      <w:pPr>
        <w:jc w:val="both"/>
        <w:rPr>
          <w:rFonts w:ascii="Garamond" w:hAnsi="Garamond"/>
        </w:rPr>
      </w:pPr>
      <w:proofErr w:type="spellStart"/>
      <w:r>
        <w:rPr>
          <w:rFonts w:ascii="Garamond" w:hAnsi="Garamond"/>
        </w:rPr>
        <w:t>Anghie</w:t>
      </w:r>
      <w:proofErr w:type="spellEnd"/>
      <w:r>
        <w:rPr>
          <w:rFonts w:ascii="Garamond" w:hAnsi="Garamond"/>
        </w:rPr>
        <w:t xml:space="preserve"> shows</w:t>
      </w:r>
      <w:r w:rsidRPr="009E1077">
        <w:rPr>
          <w:rFonts w:ascii="Garamond" w:hAnsi="Garamond"/>
        </w:rPr>
        <w:t xml:space="preserve"> how the idea of ‘native consent’ has moved from a context of indigenous ‘agreements’ transferring land titles</w:t>
      </w:r>
      <w:r w:rsidR="00867E82">
        <w:rPr>
          <w:rFonts w:ascii="Garamond" w:hAnsi="Garamond"/>
        </w:rPr>
        <w:t>,</w:t>
      </w:r>
      <w:r w:rsidRPr="009E1077">
        <w:rPr>
          <w:rFonts w:ascii="Garamond" w:hAnsi="Garamond"/>
        </w:rPr>
        <w:t xml:space="preserve"> to contracts between postcolonial sovereign states and multinational corporations. Crucially, he argues that the notion of freedom of contract fosters the logic that Third World sovereignty is marked by the right to </w:t>
      </w:r>
      <w:r w:rsidR="00951053">
        <w:rPr>
          <w:rFonts w:ascii="Garamond" w:hAnsi="Garamond"/>
        </w:rPr>
        <w:t>‘</w:t>
      </w:r>
      <w:r w:rsidRPr="009E1077">
        <w:rPr>
          <w:rFonts w:ascii="Garamond" w:hAnsi="Garamond"/>
        </w:rPr>
        <w:t>dispose of their natural resources</w:t>
      </w:r>
      <w:r w:rsidR="00951053">
        <w:rPr>
          <w:rFonts w:ascii="Garamond" w:hAnsi="Garamond"/>
        </w:rPr>
        <w:t>’</w:t>
      </w:r>
      <w:r w:rsidRPr="009E1077">
        <w:rPr>
          <w:rFonts w:ascii="Garamond" w:hAnsi="Garamond"/>
        </w:rPr>
        <w:t xml:space="preserve">, an idea he links to the ‘principle’ of the </w:t>
      </w:r>
      <w:r w:rsidR="00951053">
        <w:rPr>
          <w:rFonts w:ascii="Garamond" w:hAnsi="Garamond"/>
        </w:rPr>
        <w:t>‘</w:t>
      </w:r>
      <w:r w:rsidRPr="009E1077">
        <w:rPr>
          <w:rFonts w:ascii="Garamond" w:hAnsi="Garamond"/>
        </w:rPr>
        <w:t>right of natives to dispose of themselves</w:t>
      </w:r>
      <w:r w:rsidR="00951053">
        <w:rPr>
          <w:rFonts w:ascii="Garamond" w:hAnsi="Garamond"/>
        </w:rPr>
        <w:t>’</w:t>
      </w:r>
      <w:r w:rsidRPr="009E1077">
        <w:rPr>
          <w:rFonts w:ascii="Garamond" w:hAnsi="Garamond"/>
        </w:rPr>
        <w:t>.</w:t>
      </w:r>
      <w:r w:rsidRPr="009E1077">
        <w:rPr>
          <w:rStyle w:val="FootnoteReference"/>
          <w:rFonts w:ascii="Garamond" w:hAnsi="Garamond"/>
        </w:rPr>
        <w:footnoteReference w:id="112"/>
      </w:r>
      <w:r w:rsidRPr="009E1077">
        <w:rPr>
          <w:rFonts w:ascii="Garamond" w:hAnsi="Garamond"/>
        </w:rPr>
        <w:t xml:space="preserve"> This characterisation, he maintains, has been curiously embraced by Third World states.</w:t>
      </w:r>
      <w:r w:rsidRPr="009E1077">
        <w:rPr>
          <w:rStyle w:val="FootnoteReference"/>
          <w:rFonts w:ascii="Garamond" w:hAnsi="Garamond"/>
        </w:rPr>
        <w:footnoteReference w:id="113"/>
      </w:r>
      <w:r w:rsidRPr="009E1077">
        <w:rPr>
          <w:rFonts w:ascii="Garamond" w:hAnsi="Garamond"/>
        </w:rPr>
        <w:t xml:space="preserve"> Such patterns of engagement between colonial states and postcolonial states therefore operate beneath the guise of formal equality. The contractual paradigm within which the state of Mauritius is recognised as the sovereign of Chagos requires interrogating through the contributions of feminist and gender theorists. Their work allows us to see why the concept of consent itself fosters the notion of </w:t>
      </w:r>
      <w:r w:rsidRPr="009E1077">
        <w:rPr>
          <w:rFonts w:ascii="Garamond" w:hAnsi="Garamond"/>
        </w:rPr>
        <w:lastRenderedPageBreak/>
        <w:t>seemingly rational, commodified self-disposal</w:t>
      </w:r>
      <w:r>
        <w:rPr>
          <w:rFonts w:ascii="Garamond" w:hAnsi="Garamond"/>
        </w:rPr>
        <w:t>, and how this is at odds with deeper interdependencies between peoples, bodies, community and land.</w:t>
      </w:r>
      <w:r w:rsidRPr="009E1077">
        <w:rPr>
          <w:rFonts w:ascii="Garamond" w:hAnsi="Garamond"/>
        </w:rPr>
        <w:t xml:space="preserve"> </w:t>
      </w:r>
    </w:p>
    <w:p w14:paraId="502E4A48" w14:textId="75C9FFD7" w:rsidR="006F0D99" w:rsidRPr="009E1077" w:rsidRDefault="006F0D99" w:rsidP="00740662">
      <w:pPr>
        <w:jc w:val="both"/>
        <w:rPr>
          <w:rFonts w:ascii="Garamond" w:hAnsi="Garamond"/>
        </w:rPr>
      </w:pPr>
      <w:r w:rsidRPr="009E1077">
        <w:rPr>
          <w:rFonts w:ascii="Garamond" w:hAnsi="Garamond"/>
        </w:rPr>
        <w:t xml:space="preserve">For </w:t>
      </w:r>
      <w:r>
        <w:rPr>
          <w:rFonts w:ascii="Garamond" w:hAnsi="Garamond"/>
        </w:rPr>
        <w:t>many</w:t>
      </w:r>
      <w:r w:rsidRPr="009E1077">
        <w:rPr>
          <w:rFonts w:ascii="Garamond" w:hAnsi="Garamond"/>
        </w:rPr>
        <w:t xml:space="preserve"> </w:t>
      </w:r>
      <w:proofErr w:type="spellStart"/>
      <w:r w:rsidRPr="009E1077">
        <w:rPr>
          <w:rFonts w:ascii="Garamond" w:hAnsi="Garamond"/>
        </w:rPr>
        <w:t>Chagossians</w:t>
      </w:r>
      <w:proofErr w:type="spellEnd"/>
      <w:r w:rsidRPr="009E1077">
        <w:rPr>
          <w:rFonts w:ascii="Garamond" w:hAnsi="Garamond"/>
        </w:rPr>
        <w:t xml:space="preserve"> the archipelago is not of quantifiable, fungible value. The Chagos Islanders Movement affirmed  that </w:t>
      </w:r>
      <w:r w:rsidR="00E9319D">
        <w:rPr>
          <w:rFonts w:ascii="Garamond" w:hAnsi="Garamond"/>
        </w:rPr>
        <w:t>‘</w:t>
      </w:r>
      <w:r w:rsidRPr="009E1077">
        <w:rPr>
          <w:rFonts w:ascii="Garamond" w:hAnsi="Garamond"/>
        </w:rPr>
        <w:t>Chagos holds immense significance for us; it is not merely a place on  the map but our sanctuary, our home, our dignity, our treasure, and a repository of cherished memories</w:t>
      </w:r>
      <w:r w:rsidR="008220E8">
        <w:rPr>
          <w:rFonts w:ascii="Garamond" w:hAnsi="Garamond"/>
        </w:rPr>
        <w:t>’</w:t>
      </w:r>
      <w:r w:rsidR="004561E9">
        <w:rPr>
          <w:rFonts w:ascii="Garamond" w:hAnsi="Garamond"/>
        </w:rPr>
        <w:t>.</w:t>
      </w:r>
      <w:r w:rsidRPr="009E1077">
        <w:rPr>
          <w:rStyle w:val="FootnoteReference"/>
          <w:rFonts w:ascii="Garamond" w:hAnsi="Garamond"/>
        </w:rPr>
        <w:footnoteReference w:id="114"/>
      </w:r>
      <w:r w:rsidRPr="009E1077">
        <w:rPr>
          <w:rFonts w:ascii="Garamond" w:hAnsi="Garamond"/>
        </w:rPr>
        <w:t xml:space="preserve"> Contrary to the </w:t>
      </w:r>
      <w:r>
        <w:rPr>
          <w:rFonts w:ascii="Garamond" w:hAnsi="Garamond"/>
        </w:rPr>
        <w:t xml:space="preserve">UK’s racist </w:t>
      </w:r>
      <w:r w:rsidRPr="009E1077">
        <w:rPr>
          <w:rFonts w:ascii="Garamond" w:hAnsi="Garamond"/>
        </w:rPr>
        <w:t xml:space="preserve">narrative of the </w:t>
      </w:r>
      <w:proofErr w:type="spellStart"/>
      <w:r w:rsidRPr="009E1077">
        <w:rPr>
          <w:rFonts w:ascii="Garamond" w:hAnsi="Garamond"/>
        </w:rPr>
        <w:t>Chagossians</w:t>
      </w:r>
      <w:proofErr w:type="spellEnd"/>
      <w:r w:rsidRPr="009E1077">
        <w:rPr>
          <w:rFonts w:ascii="Garamond" w:hAnsi="Garamond"/>
        </w:rPr>
        <w:t xml:space="preserve"> as a transitory collective of contract workers</w:t>
      </w:r>
      <w:r>
        <w:rPr>
          <w:rFonts w:ascii="Garamond" w:hAnsi="Garamond"/>
        </w:rPr>
        <w:t xml:space="preserve"> prior to their dispossession,</w:t>
      </w:r>
      <w:r w:rsidRPr="009E1077">
        <w:rPr>
          <w:rStyle w:val="FootnoteReference"/>
          <w:rFonts w:ascii="Garamond" w:hAnsi="Garamond"/>
        </w:rPr>
        <w:footnoteReference w:id="115"/>
      </w:r>
      <w:r w:rsidRPr="009E1077">
        <w:rPr>
          <w:rFonts w:ascii="Garamond" w:hAnsi="Garamond"/>
        </w:rPr>
        <w:t xml:space="preserve"> the history and culture of the </w:t>
      </w:r>
      <w:proofErr w:type="spellStart"/>
      <w:r w:rsidRPr="009E1077">
        <w:rPr>
          <w:rFonts w:ascii="Garamond" w:hAnsi="Garamond"/>
        </w:rPr>
        <w:t>Chagossians</w:t>
      </w:r>
      <w:proofErr w:type="spellEnd"/>
      <w:r w:rsidRPr="009E1077">
        <w:rPr>
          <w:rFonts w:ascii="Garamond" w:hAnsi="Garamond"/>
        </w:rPr>
        <w:t xml:space="preserve"> reveal their deep connection to the islands.</w:t>
      </w:r>
      <w:r w:rsidRPr="009E1077">
        <w:rPr>
          <w:rStyle w:val="FootnoteReference"/>
          <w:rFonts w:ascii="Garamond" w:hAnsi="Garamond"/>
        </w:rPr>
        <w:footnoteReference w:id="116"/>
      </w:r>
      <w:r w:rsidRPr="009E1077">
        <w:rPr>
          <w:rFonts w:ascii="Garamond" w:hAnsi="Garamond"/>
        </w:rPr>
        <w:t xml:space="preserve"> Kinnari Bhatt, building on the anthropological work of L</w:t>
      </w:r>
      <w:r>
        <w:rPr>
          <w:rFonts w:ascii="Garamond" w:hAnsi="Garamond"/>
        </w:rPr>
        <w:t>aura</w:t>
      </w:r>
      <w:r w:rsidRPr="009E1077">
        <w:rPr>
          <w:rFonts w:ascii="Garamond" w:hAnsi="Garamond"/>
        </w:rPr>
        <w:t xml:space="preserve"> Jeffer</w:t>
      </w:r>
      <w:r>
        <w:rPr>
          <w:rFonts w:ascii="Garamond" w:hAnsi="Garamond"/>
        </w:rPr>
        <w:t>y</w:t>
      </w:r>
      <w:r w:rsidRPr="009E1077">
        <w:rPr>
          <w:rFonts w:ascii="Garamond" w:hAnsi="Garamond"/>
        </w:rPr>
        <w:t xml:space="preserve">, argues clearly that the case is rooted in the traditional land relations of indigenous persons. She argues that despite the </w:t>
      </w:r>
      <w:proofErr w:type="spellStart"/>
      <w:r w:rsidRPr="009E1077">
        <w:rPr>
          <w:rFonts w:ascii="Garamond" w:hAnsi="Garamond"/>
        </w:rPr>
        <w:t>Chagossians</w:t>
      </w:r>
      <w:proofErr w:type="spellEnd"/>
      <w:r w:rsidRPr="009E1077">
        <w:rPr>
          <w:rFonts w:ascii="Garamond" w:hAnsi="Garamond"/>
        </w:rPr>
        <w:t xml:space="preserve"> not fitting</w:t>
      </w:r>
      <w:r>
        <w:rPr>
          <w:rFonts w:ascii="Garamond" w:hAnsi="Garamond"/>
        </w:rPr>
        <w:t xml:space="preserve"> neatly</w:t>
      </w:r>
      <w:r w:rsidRPr="009E1077">
        <w:rPr>
          <w:rFonts w:ascii="Garamond" w:hAnsi="Garamond"/>
        </w:rPr>
        <w:t xml:space="preserve"> into the Eurocentric understanding of indigeneity as either ‘saltwater’ or ‘first inhabitants’</w:t>
      </w:r>
      <w:r w:rsidR="00154E63">
        <w:rPr>
          <w:rFonts w:ascii="Garamond" w:hAnsi="Garamond"/>
        </w:rPr>
        <w:t>,</w:t>
      </w:r>
      <w:r w:rsidRPr="009E1077">
        <w:rPr>
          <w:rFonts w:ascii="Garamond" w:hAnsi="Garamond"/>
        </w:rPr>
        <w:t xml:space="preserve"> their status as indigenous (should) derive from the </w:t>
      </w:r>
      <w:r w:rsidR="00064E56">
        <w:rPr>
          <w:rFonts w:ascii="Garamond" w:hAnsi="Garamond"/>
        </w:rPr>
        <w:t>‘</w:t>
      </w:r>
      <w:r w:rsidRPr="009E1077">
        <w:rPr>
          <w:rFonts w:ascii="Garamond" w:hAnsi="Garamond"/>
        </w:rPr>
        <w:t>golden thread of their way of life that coalesces around a special social, cultural and often spiritual connection to land that defi</w:t>
      </w:r>
      <w:r w:rsidR="00064E56">
        <w:rPr>
          <w:rFonts w:ascii="Garamond" w:hAnsi="Garamond"/>
        </w:rPr>
        <w:t>n</w:t>
      </w:r>
      <w:r w:rsidRPr="009E1077">
        <w:rPr>
          <w:rFonts w:ascii="Garamond" w:hAnsi="Garamond"/>
        </w:rPr>
        <w:t xml:space="preserve">es and unites </w:t>
      </w:r>
      <w:r>
        <w:rPr>
          <w:rFonts w:ascii="Garamond" w:hAnsi="Garamond"/>
        </w:rPr>
        <w:t>[them]</w:t>
      </w:r>
      <w:r w:rsidR="00064E56">
        <w:rPr>
          <w:rFonts w:ascii="Garamond" w:hAnsi="Garamond"/>
        </w:rPr>
        <w:t>’,</w:t>
      </w:r>
      <w:r>
        <w:rPr>
          <w:rFonts w:ascii="Garamond" w:hAnsi="Garamond"/>
        </w:rPr>
        <w:t xml:space="preserve"> alongside their expulsion and discriminatory marginalisation</w:t>
      </w:r>
      <w:r w:rsidRPr="009E1077">
        <w:rPr>
          <w:rFonts w:ascii="Garamond" w:hAnsi="Garamond"/>
        </w:rPr>
        <w:t>.</w:t>
      </w:r>
      <w:r w:rsidRPr="009E1077">
        <w:rPr>
          <w:rStyle w:val="FootnoteReference"/>
          <w:rFonts w:ascii="Garamond" w:hAnsi="Garamond"/>
        </w:rPr>
        <w:footnoteReference w:id="117"/>
      </w:r>
      <w:r w:rsidRPr="009E1077">
        <w:rPr>
          <w:rFonts w:ascii="Garamond" w:hAnsi="Garamond"/>
        </w:rPr>
        <w:t xml:space="preserve"> The interconnection between Chagossian culture, dignity, and conditions of living </w:t>
      </w:r>
      <w:r w:rsidR="006E4A34">
        <w:rPr>
          <w:rFonts w:ascii="Garamond" w:hAnsi="Garamond"/>
        </w:rPr>
        <w:t>and</w:t>
      </w:r>
      <w:r w:rsidRPr="009E1077">
        <w:rPr>
          <w:rFonts w:ascii="Garamond" w:hAnsi="Garamond"/>
        </w:rPr>
        <w:t xml:space="preserve"> the Chagos islands is in stark contrast to the extractive value sought by nation States. </w:t>
      </w:r>
    </w:p>
    <w:p w14:paraId="1AE491B0" w14:textId="6E31AE0C" w:rsidR="006F0D99" w:rsidRPr="009E1077" w:rsidRDefault="006F0D99" w:rsidP="00740662">
      <w:pPr>
        <w:jc w:val="both"/>
        <w:rPr>
          <w:rFonts w:ascii="Garamond" w:hAnsi="Garamond"/>
        </w:rPr>
      </w:pPr>
      <w:r w:rsidRPr="009E1077">
        <w:rPr>
          <w:rFonts w:ascii="Garamond" w:hAnsi="Garamond"/>
        </w:rPr>
        <w:t xml:space="preserve">Chagos as a site of forced labour, resource extraction and military security has a long history. While I cannot </w:t>
      </w:r>
      <w:r>
        <w:rPr>
          <w:rFonts w:ascii="Garamond" w:hAnsi="Garamond"/>
        </w:rPr>
        <w:t>provide a full historical account here,</w:t>
      </w:r>
      <w:r>
        <w:rPr>
          <w:rStyle w:val="FootnoteReference"/>
          <w:rFonts w:ascii="Garamond" w:hAnsi="Garamond"/>
        </w:rPr>
        <w:footnoteReference w:id="118"/>
      </w:r>
      <w:r>
        <w:rPr>
          <w:rFonts w:ascii="Garamond" w:hAnsi="Garamond"/>
        </w:rPr>
        <w:t xml:space="preserve"> </w:t>
      </w:r>
      <w:r w:rsidRPr="009E1077">
        <w:rPr>
          <w:rFonts w:ascii="Garamond" w:hAnsi="Garamond"/>
        </w:rPr>
        <w:t xml:space="preserve">I aim to stress the interlocking patterns of </w:t>
      </w:r>
      <w:r>
        <w:rPr>
          <w:rFonts w:ascii="Garamond" w:hAnsi="Garamond"/>
        </w:rPr>
        <w:t xml:space="preserve">capitalist </w:t>
      </w:r>
      <w:r w:rsidRPr="009E1077">
        <w:rPr>
          <w:rFonts w:ascii="Garamond" w:hAnsi="Garamond"/>
        </w:rPr>
        <w:t xml:space="preserve">extraction, violence and displacement. The ‘value’ of Chagos from the perspectives of states has been captured by Laleh Khalili as </w:t>
      </w:r>
      <w:r w:rsidR="00377B39">
        <w:rPr>
          <w:rFonts w:ascii="Garamond" w:hAnsi="Garamond"/>
        </w:rPr>
        <w:t>‘</w:t>
      </w:r>
      <w:r w:rsidRPr="009E1077">
        <w:rPr>
          <w:rFonts w:ascii="Garamond" w:hAnsi="Garamond"/>
        </w:rPr>
        <w:t>from guano to copra to guns</w:t>
      </w:r>
      <w:r w:rsidR="00377B39">
        <w:rPr>
          <w:rFonts w:ascii="Garamond" w:hAnsi="Garamond"/>
        </w:rPr>
        <w:t>’</w:t>
      </w:r>
      <w:r w:rsidRPr="009E1077">
        <w:rPr>
          <w:rFonts w:ascii="Garamond" w:hAnsi="Garamond"/>
        </w:rPr>
        <w:t>.</w:t>
      </w:r>
      <w:r w:rsidRPr="009E1077">
        <w:rPr>
          <w:rStyle w:val="FootnoteReference"/>
          <w:rFonts w:ascii="Garamond" w:hAnsi="Garamond"/>
        </w:rPr>
        <w:footnoteReference w:id="119"/>
      </w:r>
      <w:r w:rsidRPr="009E1077">
        <w:rPr>
          <w:rFonts w:ascii="Garamond" w:hAnsi="Garamond"/>
        </w:rPr>
        <w:t xml:space="preserve"> Tracing the colonial history of the islands, the early extraction of fertiliser gave way to the harvesting of coconut oil by the enslaved </w:t>
      </w:r>
      <w:r>
        <w:rPr>
          <w:rFonts w:ascii="Garamond" w:hAnsi="Garamond"/>
        </w:rPr>
        <w:t>peoples</w:t>
      </w:r>
      <w:r w:rsidRPr="009E1077">
        <w:rPr>
          <w:rFonts w:ascii="Garamond" w:hAnsi="Garamond"/>
        </w:rPr>
        <w:t xml:space="preserve"> forcibly taken in ships to the islands – initially from Madagascar and South-Eastern Africa</w:t>
      </w:r>
      <w:r>
        <w:rPr>
          <w:rFonts w:ascii="Garamond" w:hAnsi="Garamond"/>
        </w:rPr>
        <w:t>, and later</w:t>
      </w:r>
      <w:r w:rsidRPr="009E1077">
        <w:rPr>
          <w:rFonts w:ascii="Garamond" w:hAnsi="Garamond"/>
        </w:rPr>
        <w:t xml:space="preserve"> Indian indentured labourers and other workers from across the British colonies. </w:t>
      </w:r>
      <w:r>
        <w:rPr>
          <w:rFonts w:ascii="Garamond" w:hAnsi="Garamond"/>
        </w:rPr>
        <w:t xml:space="preserve">The Cold War saw the capitalisation of Chagos for military defence purposes. The violent dispossession and displacement of the </w:t>
      </w:r>
      <w:proofErr w:type="spellStart"/>
      <w:r>
        <w:rPr>
          <w:rFonts w:ascii="Garamond" w:hAnsi="Garamond"/>
        </w:rPr>
        <w:t>Chagossians</w:t>
      </w:r>
      <w:proofErr w:type="spellEnd"/>
      <w:r>
        <w:rPr>
          <w:rFonts w:ascii="Garamond" w:hAnsi="Garamond"/>
        </w:rPr>
        <w:t xml:space="preserve"> was part of the process of establishing the US/UK military base on the largest of the Chagos island</w:t>
      </w:r>
      <w:r w:rsidR="005C5B78">
        <w:rPr>
          <w:rFonts w:ascii="Garamond" w:hAnsi="Garamond"/>
        </w:rPr>
        <w:t>s</w:t>
      </w:r>
      <w:r>
        <w:rPr>
          <w:rFonts w:ascii="Garamond" w:hAnsi="Garamond"/>
        </w:rPr>
        <w:t xml:space="preserve">, Diego Garcia.  </w:t>
      </w:r>
      <w:r w:rsidRPr="009E1077">
        <w:rPr>
          <w:rFonts w:ascii="Garamond" w:hAnsi="Garamond"/>
        </w:rPr>
        <w:t xml:space="preserve">The military security for the US and the UK was </w:t>
      </w:r>
      <w:r>
        <w:rPr>
          <w:rFonts w:ascii="Garamond" w:hAnsi="Garamond"/>
        </w:rPr>
        <w:t xml:space="preserve">therefore </w:t>
      </w:r>
      <w:r w:rsidRPr="009E1077">
        <w:rPr>
          <w:rFonts w:ascii="Garamond" w:hAnsi="Garamond"/>
        </w:rPr>
        <w:t xml:space="preserve">built on the </w:t>
      </w:r>
      <w:r>
        <w:rPr>
          <w:rFonts w:ascii="Garamond" w:hAnsi="Garamond"/>
        </w:rPr>
        <w:t xml:space="preserve">forced </w:t>
      </w:r>
      <w:r w:rsidRPr="009E1077">
        <w:rPr>
          <w:rFonts w:ascii="Garamond" w:hAnsi="Garamond"/>
        </w:rPr>
        <w:t>insecurity</w:t>
      </w:r>
      <w:r>
        <w:rPr>
          <w:rFonts w:ascii="Garamond" w:hAnsi="Garamond"/>
        </w:rPr>
        <w:t xml:space="preserve"> of</w:t>
      </w:r>
      <w:r w:rsidRPr="009E1077">
        <w:rPr>
          <w:rFonts w:ascii="Garamond" w:hAnsi="Garamond"/>
        </w:rPr>
        <w:t xml:space="preserve"> the people of Chagos. The expansion of the military base since the 1960s has seen it</w:t>
      </w:r>
      <w:r>
        <w:rPr>
          <w:rFonts w:ascii="Garamond" w:hAnsi="Garamond"/>
        </w:rPr>
        <w:t xml:space="preserve"> play a</w:t>
      </w:r>
      <w:r w:rsidRPr="009E1077">
        <w:rPr>
          <w:rFonts w:ascii="Garamond" w:hAnsi="Garamond"/>
        </w:rPr>
        <w:t xml:space="preserve"> role in</w:t>
      </w:r>
      <w:r>
        <w:rPr>
          <w:rFonts w:ascii="Garamond" w:hAnsi="Garamond"/>
        </w:rPr>
        <w:t xml:space="preserve"> </w:t>
      </w:r>
      <w:r w:rsidRPr="009E1077">
        <w:rPr>
          <w:rFonts w:ascii="Garamond" w:hAnsi="Garamond"/>
        </w:rPr>
        <w:t xml:space="preserve">detention and torture </w:t>
      </w:r>
      <w:r w:rsidR="008E5523">
        <w:rPr>
          <w:rFonts w:ascii="Garamond" w:hAnsi="Garamond"/>
        </w:rPr>
        <w:t>through</w:t>
      </w:r>
      <w:r w:rsidRPr="009E1077">
        <w:rPr>
          <w:rFonts w:ascii="Garamond" w:hAnsi="Garamond"/>
        </w:rPr>
        <w:t xml:space="preserve"> the ‘war on terror’ era;</w:t>
      </w:r>
      <w:r>
        <w:rPr>
          <w:rStyle w:val="FootnoteReference"/>
          <w:rFonts w:ascii="Garamond" w:hAnsi="Garamond"/>
        </w:rPr>
        <w:footnoteReference w:id="120"/>
      </w:r>
      <w:r w:rsidRPr="009E1077">
        <w:rPr>
          <w:rFonts w:ascii="Garamond" w:hAnsi="Garamond"/>
        </w:rPr>
        <w:t xml:space="preserve"> the confinement of Sri Lankan refugees without judicial process </w:t>
      </w:r>
      <w:r w:rsidRPr="009E1077">
        <w:rPr>
          <w:rFonts w:ascii="Garamond" w:hAnsi="Garamond"/>
        </w:rPr>
        <w:lastRenderedPageBreak/>
        <w:t>or adequate living standards;</w:t>
      </w:r>
      <w:r>
        <w:rPr>
          <w:rStyle w:val="FootnoteReference"/>
          <w:rFonts w:ascii="Garamond" w:hAnsi="Garamond"/>
        </w:rPr>
        <w:footnoteReference w:id="121"/>
      </w:r>
      <w:r w:rsidRPr="009E1077">
        <w:rPr>
          <w:rFonts w:ascii="Garamond" w:hAnsi="Garamond"/>
        </w:rPr>
        <w:t xml:space="preserve"> and the site of US B-52 and B-2 bombers positioning them in range of Iran</w:t>
      </w:r>
      <w:r>
        <w:rPr>
          <w:rFonts w:ascii="Garamond" w:hAnsi="Garamond"/>
        </w:rPr>
        <w:t>.</w:t>
      </w:r>
      <w:r>
        <w:rPr>
          <w:rStyle w:val="FootnoteReference"/>
          <w:rFonts w:ascii="Garamond" w:hAnsi="Garamond"/>
        </w:rPr>
        <w:footnoteReference w:id="122"/>
      </w:r>
      <w:r>
        <w:rPr>
          <w:rFonts w:ascii="Garamond" w:hAnsi="Garamond"/>
        </w:rPr>
        <w:t xml:space="preserve"> </w:t>
      </w:r>
    </w:p>
    <w:p w14:paraId="4DB5C522" w14:textId="612E8AA3" w:rsidR="006F0D99" w:rsidRPr="009E1077" w:rsidRDefault="006F0D99" w:rsidP="00740662">
      <w:pPr>
        <w:jc w:val="both"/>
        <w:rPr>
          <w:rFonts w:ascii="Garamond" w:hAnsi="Garamond"/>
        </w:rPr>
      </w:pPr>
      <w:r w:rsidRPr="009E1077">
        <w:rPr>
          <w:rFonts w:ascii="Garamond" w:hAnsi="Garamond"/>
        </w:rPr>
        <w:t xml:space="preserve">Crucially this military ‘value’ sits alongside the resource potential of the archipelago. As Khalili stresses, the islands were long seen as offering a dual utility: </w:t>
      </w:r>
      <w:r w:rsidR="007B06C6">
        <w:rPr>
          <w:rFonts w:ascii="Garamond" w:hAnsi="Garamond"/>
        </w:rPr>
        <w:t>‘</w:t>
      </w:r>
      <w:r w:rsidRPr="009E1077">
        <w:rPr>
          <w:rFonts w:ascii="Garamond" w:hAnsi="Garamond"/>
        </w:rPr>
        <w:t>as possessions ripe for commercial exploitation, and as naval positions facilitating transoceanic strategic power</w:t>
      </w:r>
      <w:r w:rsidR="007B06C6">
        <w:rPr>
          <w:rFonts w:ascii="Garamond" w:hAnsi="Garamond"/>
        </w:rPr>
        <w:t>’</w:t>
      </w:r>
      <w:r w:rsidRPr="009E1077">
        <w:rPr>
          <w:rFonts w:ascii="Garamond" w:hAnsi="Garamond"/>
        </w:rPr>
        <w:t>.</w:t>
      </w:r>
      <w:r w:rsidRPr="009E1077">
        <w:rPr>
          <w:rStyle w:val="FootnoteReference"/>
          <w:rFonts w:ascii="Garamond" w:hAnsi="Garamond"/>
        </w:rPr>
        <w:footnoteReference w:id="123"/>
      </w:r>
      <w:r w:rsidRPr="009E1077">
        <w:rPr>
          <w:rFonts w:ascii="Garamond" w:hAnsi="Garamond"/>
        </w:rPr>
        <w:t xml:space="preserve"> </w:t>
      </w:r>
      <w:r>
        <w:rPr>
          <w:rFonts w:ascii="Garamond" w:hAnsi="Garamond"/>
        </w:rPr>
        <w:t>This is apparent in the</w:t>
      </w:r>
      <w:r w:rsidRPr="009E1077">
        <w:rPr>
          <w:rFonts w:ascii="Garamond" w:hAnsi="Garamond"/>
        </w:rPr>
        <w:t xml:space="preserve"> UK’s record of meeting between </w:t>
      </w:r>
      <w:r>
        <w:rPr>
          <w:rFonts w:ascii="Garamond" w:hAnsi="Garamond"/>
        </w:rPr>
        <w:t xml:space="preserve">itself and </w:t>
      </w:r>
      <w:r w:rsidRPr="009E1077">
        <w:rPr>
          <w:rFonts w:ascii="Garamond" w:hAnsi="Garamond"/>
        </w:rPr>
        <w:t xml:space="preserve">Mauritius </w:t>
      </w:r>
      <w:r>
        <w:rPr>
          <w:rFonts w:ascii="Garamond" w:hAnsi="Garamond"/>
        </w:rPr>
        <w:t xml:space="preserve">regarding the creation of the </w:t>
      </w:r>
      <w:r w:rsidRPr="009E1077">
        <w:rPr>
          <w:rFonts w:ascii="Garamond" w:hAnsi="Garamond"/>
        </w:rPr>
        <w:t>M</w:t>
      </w:r>
      <w:r w:rsidR="005B0046">
        <w:rPr>
          <w:rFonts w:ascii="Garamond" w:hAnsi="Garamond"/>
        </w:rPr>
        <w:t xml:space="preserve">PA </w:t>
      </w:r>
      <w:r>
        <w:rPr>
          <w:rFonts w:ascii="Garamond" w:hAnsi="Garamond"/>
        </w:rPr>
        <w:t>in 2010</w:t>
      </w:r>
      <w:r w:rsidRPr="009E1077">
        <w:rPr>
          <w:rFonts w:ascii="Garamond" w:hAnsi="Garamond"/>
        </w:rPr>
        <w:t xml:space="preserve">: </w:t>
      </w:r>
    </w:p>
    <w:p w14:paraId="51588C08" w14:textId="506B5E90" w:rsidR="006F0D99" w:rsidRPr="009E1077" w:rsidRDefault="006F0D99" w:rsidP="00740662">
      <w:pPr>
        <w:ind w:left="720"/>
        <w:jc w:val="both"/>
        <w:rPr>
          <w:rFonts w:ascii="Garamond" w:hAnsi="Garamond"/>
        </w:rPr>
      </w:pPr>
      <w:r w:rsidRPr="009E1077">
        <w:rPr>
          <w:rFonts w:ascii="Garamond" w:hAnsi="Garamond"/>
        </w:rPr>
        <w:t xml:space="preserve">The Territory and its environs had become one of the most valuable sites in the world for coral biodiversity and also had the cleanest oceans and was a valuable scientific resource…The UK delegation explained the advantage to Mauritius that </w:t>
      </w:r>
      <w:r w:rsidRPr="00BF14DA">
        <w:rPr>
          <w:rFonts w:ascii="Garamond" w:hAnsi="Garamond"/>
        </w:rPr>
        <w:t xml:space="preserve">through a marine protected area, </w:t>
      </w:r>
      <w:r w:rsidRPr="00BF14DA">
        <w:rPr>
          <w:rFonts w:ascii="Garamond" w:hAnsi="Garamond"/>
          <w:i/>
          <w:iCs/>
        </w:rPr>
        <w:t>the value of the Territory would be raised</w:t>
      </w:r>
      <w:r w:rsidRPr="00BF14DA">
        <w:rPr>
          <w:rFonts w:ascii="Garamond" w:hAnsi="Garamond"/>
        </w:rPr>
        <w:t xml:space="preserve"> </w:t>
      </w:r>
      <w:r w:rsidRPr="00BF14DA">
        <w:rPr>
          <w:rFonts w:ascii="Garamond" w:hAnsi="Garamond"/>
          <w:i/>
          <w:iCs/>
        </w:rPr>
        <w:t xml:space="preserve">and this resource would eventually be ceded to Mauritius. </w:t>
      </w:r>
      <w:r w:rsidRPr="00BF14DA">
        <w:rPr>
          <w:rFonts w:ascii="Garamond" w:hAnsi="Garamond"/>
        </w:rPr>
        <w:t xml:space="preserve">No decisions had yet been taken. The UK was discussing issues with the US: </w:t>
      </w:r>
      <w:r w:rsidR="006E2B1E">
        <w:rPr>
          <w:rFonts w:ascii="Garamond" w:hAnsi="Garamond"/>
        </w:rPr>
        <w:t>[</w:t>
      </w:r>
      <w:r w:rsidR="00AC4EC3">
        <w:rPr>
          <w:rFonts w:ascii="Garamond" w:hAnsi="Garamond"/>
        </w:rPr>
        <w:t>British Indian Ocean Territory</w:t>
      </w:r>
      <w:r w:rsidR="006E2B1E">
        <w:rPr>
          <w:rFonts w:ascii="Garamond" w:hAnsi="Garamond"/>
        </w:rPr>
        <w:t xml:space="preserve"> [BIOT]]</w:t>
      </w:r>
      <w:r w:rsidR="00AC4EC3">
        <w:rPr>
          <w:rFonts w:ascii="Garamond" w:hAnsi="Garamond"/>
        </w:rPr>
        <w:t xml:space="preserve"> </w:t>
      </w:r>
      <w:r w:rsidRPr="00BF14DA">
        <w:rPr>
          <w:rFonts w:ascii="Garamond" w:hAnsi="Garamond"/>
        </w:rPr>
        <w:t xml:space="preserve">was created for defence </w:t>
      </w:r>
      <w:proofErr w:type="gramStart"/>
      <w:r w:rsidRPr="00BF14DA">
        <w:rPr>
          <w:rFonts w:ascii="Garamond" w:hAnsi="Garamond"/>
        </w:rPr>
        <w:t>purposes</w:t>
      </w:r>
      <w:proofErr w:type="gramEnd"/>
      <w:r w:rsidRPr="00BF14DA">
        <w:rPr>
          <w:rFonts w:ascii="Garamond" w:hAnsi="Garamond"/>
        </w:rPr>
        <w:t xml:space="preserve"> and the environmental agenda must not overcome that purpose.</w:t>
      </w:r>
      <w:r w:rsidRPr="00BF14DA">
        <w:rPr>
          <w:rStyle w:val="FootnoteReference"/>
          <w:rFonts w:ascii="Garamond" w:hAnsi="Garamond"/>
        </w:rPr>
        <w:footnoteReference w:id="124"/>
      </w:r>
      <w:r w:rsidRPr="009E1077">
        <w:rPr>
          <w:rFonts w:ascii="Garamond" w:hAnsi="Garamond"/>
        </w:rPr>
        <w:t xml:space="preserve"> </w:t>
      </w:r>
    </w:p>
    <w:p w14:paraId="4D00F136" w14:textId="295E7EA0" w:rsidR="006F0D99" w:rsidRPr="009E1077" w:rsidRDefault="006F0D99" w:rsidP="00740662">
      <w:pPr>
        <w:jc w:val="both"/>
        <w:rPr>
          <w:rFonts w:ascii="Garamond" w:hAnsi="Garamond"/>
        </w:rPr>
      </w:pPr>
      <w:r w:rsidRPr="009E1077">
        <w:rPr>
          <w:rFonts w:ascii="Garamond" w:hAnsi="Garamond"/>
        </w:rPr>
        <w:t xml:space="preserve">Here we can see the continuation of logics which posit </w:t>
      </w:r>
      <w:r w:rsidRPr="009E1077">
        <w:rPr>
          <w:rFonts w:ascii="Garamond" w:hAnsi="Garamond"/>
          <w:i/>
          <w:iCs/>
        </w:rPr>
        <w:t xml:space="preserve">terra nullius </w:t>
      </w:r>
      <w:r w:rsidRPr="009E1077">
        <w:rPr>
          <w:rFonts w:ascii="Garamond" w:hAnsi="Garamond"/>
        </w:rPr>
        <w:t>as a desirable attribute of land. This seemingly facilitates the notion that environmental protections, such as the MPA, can in turn produce transferrable resources which can later be capitalised upon.</w:t>
      </w:r>
      <w:r w:rsidRPr="009E1077">
        <w:rPr>
          <w:rStyle w:val="FootnoteReference"/>
          <w:rFonts w:ascii="Garamond" w:hAnsi="Garamond"/>
        </w:rPr>
        <w:footnoteReference w:id="125"/>
      </w:r>
      <w:r w:rsidRPr="009E1077">
        <w:rPr>
          <w:rFonts w:ascii="Garamond" w:hAnsi="Garamond"/>
        </w:rPr>
        <w:t xml:space="preserve"> In short, the UK invites Mauritius to imagine the extractive potential born from the dispossession </w:t>
      </w:r>
      <w:r>
        <w:rPr>
          <w:rFonts w:ascii="Garamond" w:hAnsi="Garamond"/>
        </w:rPr>
        <w:t>it carried out</w:t>
      </w:r>
      <w:r w:rsidRPr="009E1077">
        <w:rPr>
          <w:rFonts w:ascii="Garamond" w:hAnsi="Garamond"/>
        </w:rPr>
        <w:t xml:space="preserve">. Moreover, the UK clearly oscillates between the value of the islands as based upon </w:t>
      </w:r>
      <w:r>
        <w:rPr>
          <w:rFonts w:ascii="Garamond" w:hAnsi="Garamond"/>
        </w:rPr>
        <w:t xml:space="preserve">natural </w:t>
      </w:r>
      <w:r w:rsidRPr="009E1077">
        <w:rPr>
          <w:rFonts w:ascii="Garamond" w:hAnsi="Garamond"/>
        </w:rPr>
        <w:t>resources when facing Mauritius, but military</w:t>
      </w:r>
      <w:r>
        <w:rPr>
          <w:rFonts w:ascii="Garamond" w:hAnsi="Garamond"/>
        </w:rPr>
        <w:t xml:space="preserve"> value</w:t>
      </w:r>
      <w:r w:rsidRPr="009E1077">
        <w:rPr>
          <w:rFonts w:ascii="Garamond" w:hAnsi="Garamond"/>
        </w:rPr>
        <w:t xml:space="preserve"> when facing the US. The guarantees of the primacy of security </w:t>
      </w:r>
      <w:r>
        <w:rPr>
          <w:rFonts w:ascii="Garamond" w:hAnsi="Garamond"/>
        </w:rPr>
        <w:t>reflect</w:t>
      </w:r>
      <w:r w:rsidRPr="009E1077">
        <w:rPr>
          <w:rFonts w:ascii="Garamond" w:hAnsi="Garamond"/>
        </w:rPr>
        <w:t xml:space="preserve"> the latent, often </w:t>
      </w:r>
      <w:r w:rsidR="000925DC">
        <w:rPr>
          <w:rFonts w:ascii="Garamond" w:hAnsi="Garamond"/>
        </w:rPr>
        <w:t xml:space="preserve">veiled </w:t>
      </w:r>
      <w:r w:rsidRPr="009E1077">
        <w:rPr>
          <w:rFonts w:ascii="Garamond" w:hAnsi="Garamond"/>
        </w:rPr>
        <w:t xml:space="preserve">hegemony of the US throughout the ongoing colonisation of the BIOT. </w:t>
      </w:r>
      <w:r>
        <w:rPr>
          <w:rFonts w:ascii="Garamond" w:hAnsi="Garamond"/>
        </w:rPr>
        <w:t xml:space="preserve">Anglo-American military forces initially carried out the displacement of the </w:t>
      </w:r>
      <w:proofErr w:type="spellStart"/>
      <w:r>
        <w:rPr>
          <w:rFonts w:ascii="Garamond" w:hAnsi="Garamond"/>
        </w:rPr>
        <w:t>Chagossians</w:t>
      </w:r>
      <w:proofErr w:type="spellEnd"/>
      <w:r>
        <w:rPr>
          <w:rFonts w:ascii="Garamond" w:hAnsi="Garamond"/>
        </w:rPr>
        <w:t>, and the US has continued</w:t>
      </w:r>
      <w:r w:rsidR="005C030F">
        <w:rPr>
          <w:rFonts w:ascii="Garamond" w:hAnsi="Garamond"/>
        </w:rPr>
        <w:t xml:space="preserve"> </w:t>
      </w:r>
      <w:r>
        <w:rPr>
          <w:rFonts w:ascii="Garamond" w:hAnsi="Garamond"/>
        </w:rPr>
        <w:t>to support the UK in its efforts to retain the BIOT.</w:t>
      </w:r>
      <w:r>
        <w:rPr>
          <w:rStyle w:val="FootnoteReference"/>
          <w:rFonts w:ascii="Garamond" w:hAnsi="Garamond"/>
        </w:rPr>
        <w:footnoteReference w:id="126"/>
      </w:r>
      <w:r>
        <w:rPr>
          <w:rFonts w:ascii="Garamond" w:hAnsi="Garamond"/>
        </w:rPr>
        <w:t xml:space="preserve"> This latent power </w:t>
      </w:r>
      <w:r w:rsidR="003D2740">
        <w:rPr>
          <w:rFonts w:ascii="Garamond" w:hAnsi="Garamond"/>
        </w:rPr>
        <w:t xml:space="preserve">has viscerally </w:t>
      </w:r>
      <w:r w:rsidRPr="009E1077">
        <w:rPr>
          <w:rFonts w:ascii="Garamond" w:hAnsi="Garamond"/>
        </w:rPr>
        <w:t>surfaced as the</w:t>
      </w:r>
      <w:r>
        <w:rPr>
          <w:rFonts w:ascii="Garamond" w:hAnsi="Garamond"/>
        </w:rPr>
        <w:t xml:space="preserve"> US </w:t>
      </w:r>
      <w:r w:rsidR="0082277C">
        <w:rPr>
          <w:rFonts w:ascii="Garamond" w:hAnsi="Garamond"/>
        </w:rPr>
        <w:t xml:space="preserve">has </w:t>
      </w:r>
      <w:r w:rsidR="004765DA">
        <w:rPr>
          <w:rFonts w:ascii="Garamond" w:hAnsi="Garamond"/>
        </w:rPr>
        <w:t xml:space="preserve">withheld </w:t>
      </w:r>
      <w:r>
        <w:rPr>
          <w:rFonts w:ascii="Garamond" w:hAnsi="Garamond"/>
        </w:rPr>
        <w:t>consent for the</w:t>
      </w:r>
      <w:r w:rsidRPr="009E1077">
        <w:rPr>
          <w:rFonts w:ascii="Garamond" w:hAnsi="Garamond"/>
        </w:rPr>
        <w:t xml:space="preserve"> UK legal authorities to inspect the detention conditions of refugees on the islands.</w:t>
      </w:r>
      <w:r>
        <w:rPr>
          <w:rStyle w:val="FootnoteReference"/>
          <w:rFonts w:ascii="Garamond" w:hAnsi="Garamond"/>
        </w:rPr>
        <w:footnoteReference w:id="127"/>
      </w:r>
      <w:r>
        <w:rPr>
          <w:rFonts w:ascii="Garamond" w:hAnsi="Garamond"/>
        </w:rPr>
        <w:t xml:space="preserve"> Moreover, the US </w:t>
      </w:r>
      <w:r w:rsidR="00937DC2">
        <w:rPr>
          <w:rFonts w:ascii="Garamond" w:hAnsi="Garamond"/>
        </w:rPr>
        <w:t>has r</w:t>
      </w:r>
      <w:r>
        <w:rPr>
          <w:rFonts w:ascii="Garamond" w:hAnsi="Garamond"/>
        </w:rPr>
        <w:t>ecently withdr</w:t>
      </w:r>
      <w:r w:rsidR="00937DC2">
        <w:rPr>
          <w:rFonts w:ascii="Garamond" w:hAnsi="Garamond"/>
        </w:rPr>
        <w:t>awn</w:t>
      </w:r>
      <w:r>
        <w:rPr>
          <w:rFonts w:ascii="Garamond" w:hAnsi="Garamond"/>
        </w:rPr>
        <w:t xml:space="preserve"> support over the 2025 agreement</w:t>
      </w:r>
      <w:r w:rsidR="00C04677">
        <w:rPr>
          <w:rFonts w:ascii="Garamond" w:hAnsi="Garamond"/>
        </w:rPr>
        <w:t xml:space="preserve">, going as far as </w:t>
      </w:r>
      <w:r w:rsidR="00F84710">
        <w:rPr>
          <w:rFonts w:ascii="Garamond" w:hAnsi="Garamond"/>
        </w:rPr>
        <w:t xml:space="preserve">suggesting it will ‘buy’ the archipelago </w:t>
      </w:r>
      <w:r w:rsidR="00572C45">
        <w:rPr>
          <w:rFonts w:ascii="Garamond" w:hAnsi="Garamond"/>
        </w:rPr>
        <w:t xml:space="preserve">from </w:t>
      </w:r>
      <w:r w:rsidR="00572C45">
        <w:rPr>
          <w:rFonts w:ascii="Garamond" w:hAnsi="Garamond"/>
        </w:rPr>
        <w:lastRenderedPageBreak/>
        <w:t>Mauritius</w:t>
      </w:r>
      <w:r w:rsidR="00A522DB">
        <w:rPr>
          <w:rFonts w:ascii="Garamond" w:hAnsi="Garamond"/>
        </w:rPr>
        <w:t>.</w:t>
      </w:r>
      <w:r w:rsidR="00A80C42">
        <w:rPr>
          <w:rStyle w:val="FootnoteReference"/>
          <w:rFonts w:ascii="Garamond" w:hAnsi="Garamond"/>
        </w:rPr>
        <w:footnoteReference w:id="128"/>
      </w:r>
      <w:r w:rsidR="00A522DB">
        <w:rPr>
          <w:rFonts w:ascii="Garamond" w:hAnsi="Garamond"/>
        </w:rPr>
        <w:t xml:space="preserve"> </w:t>
      </w:r>
      <w:r w:rsidR="00514A1E">
        <w:rPr>
          <w:rFonts w:ascii="Garamond" w:hAnsi="Garamond"/>
        </w:rPr>
        <w:t>The stra</w:t>
      </w:r>
      <w:r w:rsidR="00FE6285">
        <w:rPr>
          <w:rFonts w:ascii="Garamond" w:hAnsi="Garamond"/>
        </w:rPr>
        <w:t xml:space="preserve">tegic value of the base </w:t>
      </w:r>
      <w:r w:rsidR="00E32A5F">
        <w:rPr>
          <w:rFonts w:ascii="Garamond" w:hAnsi="Garamond"/>
        </w:rPr>
        <w:t xml:space="preserve">is clearly ‘heightened’ </w:t>
      </w:r>
      <w:r w:rsidR="00DE43D8">
        <w:rPr>
          <w:rFonts w:ascii="Garamond" w:hAnsi="Garamond"/>
        </w:rPr>
        <w:t>by the US-Isreal war with Iran</w:t>
      </w:r>
      <w:r w:rsidR="00614CBB">
        <w:rPr>
          <w:rFonts w:ascii="Garamond" w:hAnsi="Garamond"/>
        </w:rPr>
        <w:t xml:space="preserve"> as strikes have been fired from, and targeted at, Diego Garcia.</w:t>
      </w:r>
      <w:r w:rsidR="00980778">
        <w:rPr>
          <w:rStyle w:val="FootnoteReference"/>
          <w:rFonts w:ascii="Garamond" w:hAnsi="Garamond"/>
        </w:rPr>
        <w:footnoteReference w:id="129"/>
      </w:r>
      <w:r w:rsidR="00614CBB">
        <w:rPr>
          <w:rFonts w:ascii="Garamond" w:hAnsi="Garamond"/>
        </w:rPr>
        <w:t xml:space="preserve"> </w:t>
      </w:r>
      <w:r w:rsidR="00E32A5F">
        <w:rPr>
          <w:rFonts w:ascii="Garamond" w:hAnsi="Garamond"/>
        </w:rPr>
        <w:t xml:space="preserve"> </w:t>
      </w:r>
    </w:p>
    <w:p w14:paraId="38328A72" w14:textId="3D97201A" w:rsidR="006F0D99" w:rsidRPr="009E1077" w:rsidRDefault="006F0D99" w:rsidP="00740662">
      <w:pPr>
        <w:jc w:val="both"/>
        <w:rPr>
          <w:rFonts w:ascii="Garamond" w:hAnsi="Garamond"/>
        </w:rPr>
      </w:pPr>
      <w:r>
        <w:rPr>
          <w:rFonts w:ascii="Garamond" w:hAnsi="Garamond"/>
        </w:rPr>
        <w:t xml:space="preserve">Chagos as a militarised commodity – owned by the </w:t>
      </w:r>
      <w:r w:rsidRPr="008C2E63">
        <w:rPr>
          <w:rFonts w:ascii="Garamond" w:hAnsi="Garamond"/>
        </w:rPr>
        <w:t>state</w:t>
      </w:r>
      <w:r>
        <w:rPr>
          <w:rFonts w:ascii="Garamond" w:hAnsi="Garamond"/>
        </w:rPr>
        <w:t xml:space="preserve"> and to be disposed of at will – is a present-day continuation of colonial logics. The </w:t>
      </w:r>
      <w:r w:rsidRPr="009E1077">
        <w:rPr>
          <w:rFonts w:ascii="Garamond" w:hAnsi="Garamond"/>
        </w:rPr>
        <w:t>2025 agreement between the UK and Mauritius reveals the</w:t>
      </w:r>
      <w:r>
        <w:rPr>
          <w:rFonts w:ascii="Garamond" w:hAnsi="Garamond"/>
        </w:rPr>
        <w:t xml:space="preserve"> sustained coupling of sovereignty and the rights of the state to extract resources, while the interests and perspectives of the dispossessed community fall by the wayside. (Postcolonial) sovereignty itself remains a part of the bargain. A</w:t>
      </w:r>
      <w:r w:rsidRPr="009E1077">
        <w:rPr>
          <w:rFonts w:ascii="Garamond" w:hAnsi="Garamond"/>
        </w:rPr>
        <w:t>rticle 1 unequivocally states that Mauritius is sovereign over the entirety of the Archipelago, including Diego Garcia</w:t>
      </w:r>
      <w:r w:rsidR="007B21ED">
        <w:rPr>
          <w:rFonts w:ascii="Garamond" w:hAnsi="Garamond"/>
        </w:rPr>
        <w:t>;</w:t>
      </w:r>
      <w:r w:rsidRPr="009E1077">
        <w:rPr>
          <w:rStyle w:val="FootnoteReference"/>
          <w:rFonts w:ascii="Garamond" w:hAnsi="Garamond"/>
        </w:rPr>
        <w:footnoteReference w:id="130"/>
      </w:r>
      <w:r w:rsidRPr="009E1077">
        <w:rPr>
          <w:rFonts w:ascii="Garamond" w:hAnsi="Garamond"/>
        </w:rPr>
        <w:t xml:space="preserve"> </w:t>
      </w:r>
      <w:r>
        <w:rPr>
          <w:rFonts w:ascii="Garamond" w:hAnsi="Garamond"/>
        </w:rPr>
        <w:t xml:space="preserve">however </w:t>
      </w:r>
      <w:r w:rsidRPr="009E1077">
        <w:rPr>
          <w:rFonts w:ascii="Garamond" w:hAnsi="Garamond"/>
        </w:rPr>
        <w:t xml:space="preserve">article 2 goes on: </w:t>
      </w:r>
      <w:r w:rsidR="007B21ED">
        <w:rPr>
          <w:rFonts w:ascii="Garamond" w:hAnsi="Garamond"/>
        </w:rPr>
        <w:t>‘</w:t>
      </w:r>
      <w:r w:rsidRPr="009E1077">
        <w:rPr>
          <w:rFonts w:ascii="Garamond" w:hAnsi="Garamond"/>
        </w:rPr>
        <w:t>as sovereign, Mauritius authorises the United Kingdom to exercise the rights and authorities of Mauritius with respect to Diego Garcia in accordance to the terms of this Agreement</w:t>
      </w:r>
      <w:r w:rsidR="007B21ED">
        <w:rPr>
          <w:rFonts w:ascii="Garamond" w:hAnsi="Garamond"/>
        </w:rPr>
        <w:t>’</w:t>
      </w:r>
      <w:r w:rsidR="00C7665C">
        <w:rPr>
          <w:rFonts w:ascii="Garamond" w:hAnsi="Garamond"/>
        </w:rPr>
        <w:t>.</w:t>
      </w:r>
      <w:r w:rsidRPr="009E1077">
        <w:rPr>
          <w:rStyle w:val="FootnoteReference"/>
          <w:rFonts w:ascii="Garamond" w:hAnsi="Garamond"/>
        </w:rPr>
        <w:footnoteReference w:id="131"/>
      </w:r>
      <w:r w:rsidRPr="009E1077">
        <w:rPr>
          <w:rFonts w:ascii="Garamond" w:hAnsi="Garamond"/>
        </w:rPr>
        <w:t xml:space="preserve"> </w:t>
      </w:r>
      <w:r>
        <w:rPr>
          <w:rFonts w:ascii="Garamond" w:hAnsi="Garamond"/>
        </w:rPr>
        <w:t>Practically</w:t>
      </w:r>
      <w:r w:rsidR="007B21ED">
        <w:rPr>
          <w:rFonts w:ascii="Garamond" w:hAnsi="Garamond"/>
        </w:rPr>
        <w:t>,</w:t>
      </w:r>
      <w:r>
        <w:rPr>
          <w:rFonts w:ascii="Garamond" w:hAnsi="Garamond"/>
        </w:rPr>
        <w:t xml:space="preserve"> this allows for the survival of the UK/US military base (for </w:t>
      </w:r>
      <w:r w:rsidRPr="009E1077">
        <w:rPr>
          <w:rFonts w:ascii="Garamond" w:hAnsi="Garamond"/>
        </w:rPr>
        <w:t>99 years</w:t>
      </w:r>
      <w:r>
        <w:rPr>
          <w:rFonts w:ascii="Garamond" w:hAnsi="Garamond"/>
        </w:rPr>
        <w:t>)</w:t>
      </w:r>
      <w:r w:rsidRPr="009E1077">
        <w:rPr>
          <w:rFonts w:ascii="Garamond" w:hAnsi="Garamond"/>
        </w:rPr>
        <w:t xml:space="preserve">, while </w:t>
      </w:r>
      <w:r>
        <w:rPr>
          <w:rFonts w:ascii="Garamond" w:hAnsi="Garamond"/>
        </w:rPr>
        <w:t xml:space="preserve">formally recognising </w:t>
      </w:r>
      <w:r w:rsidRPr="009E1077">
        <w:rPr>
          <w:rFonts w:ascii="Garamond" w:hAnsi="Garamond"/>
        </w:rPr>
        <w:t xml:space="preserve">the title over land </w:t>
      </w:r>
      <w:r>
        <w:rPr>
          <w:rFonts w:ascii="Garamond" w:hAnsi="Garamond"/>
        </w:rPr>
        <w:t>as belonging to the</w:t>
      </w:r>
      <w:r w:rsidRPr="009E1077">
        <w:rPr>
          <w:rFonts w:ascii="Garamond" w:hAnsi="Garamond"/>
        </w:rPr>
        <w:t xml:space="preserve"> Mauriti</w:t>
      </w:r>
      <w:r>
        <w:rPr>
          <w:rFonts w:ascii="Garamond" w:hAnsi="Garamond"/>
        </w:rPr>
        <w:t>an</w:t>
      </w:r>
      <w:r w:rsidRPr="009E1077">
        <w:rPr>
          <w:rFonts w:ascii="Garamond" w:hAnsi="Garamond"/>
        </w:rPr>
        <w:t xml:space="preserve"> state. Much of the agreement centres on the reach of the UK’s control, effectively delineating the rights of sovereignty between the two states.</w:t>
      </w:r>
      <w:r>
        <w:rPr>
          <w:rStyle w:val="FootnoteReference"/>
          <w:rFonts w:ascii="Garamond" w:hAnsi="Garamond"/>
        </w:rPr>
        <w:footnoteReference w:id="132"/>
      </w:r>
      <w:r w:rsidRPr="009E1077">
        <w:rPr>
          <w:rFonts w:ascii="Garamond" w:hAnsi="Garamond"/>
        </w:rPr>
        <w:t xml:space="preserve"> The agreement maintains that certain sovereign rights can only by exercised by Mauritius </w:t>
      </w:r>
      <w:r w:rsidRPr="009E1077">
        <w:rPr>
          <w:rFonts w:ascii="Garamond" w:hAnsi="Garamond"/>
          <w:i/>
          <w:iCs/>
        </w:rPr>
        <w:t xml:space="preserve">if </w:t>
      </w:r>
      <w:r w:rsidRPr="009E1077">
        <w:rPr>
          <w:rFonts w:ascii="Garamond" w:hAnsi="Garamond"/>
        </w:rPr>
        <w:t>there is a ‘mutual decision by both parties</w:t>
      </w:r>
      <w:r>
        <w:rPr>
          <w:rFonts w:ascii="Garamond" w:hAnsi="Garamond"/>
        </w:rPr>
        <w:t xml:space="preserve"> via </w:t>
      </w:r>
      <w:r w:rsidRPr="009E1077">
        <w:rPr>
          <w:rFonts w:ascii="Garamond" w:hAnsi="Garamond"/>
        </w:rPr>
        <w:t>the Joint Commission</w:t>
      </w:r>
      <w:r>
        <w:rPr>
          <w:rFonts w:ascii="Garamond" w:hAnsi="Garamond"/>
        </w:rPr>
        <w:t>’.</w:t>
      </w:r>
      <w:r>
        <w:rPr>
          <w:rStyle w:val="FootnoteReference"/>
          <w:rFonts w:ascii="Garamond" w:hAnsi="Garamond"/>
        </w:rPr>
        <w:footnoteReference w:id="133"/>
      </w:r>
      <w:r w:rsidRPr="009E1077">
        <w:rPr>
          <w:rFonts w:ascii="Garamond" w:hAnsi="Garamond"/>
        </w:rPr>
        <w:t xml:space="preserve"> </w:t>
      </w:r>
      <w:r>
        <w:rPr>
          <w:rFonts w:ascii="Garamond" w:hAnsi="Garamond"/>
        </w:rPr>
        <w:t>In effect the</w:t>
      </w:r>
      <w:r w:rsidRPr="009E1077">
        <w:rPr>
          <w:rFonts w:ascii="Garamond" w:hAnsi="Garamond"/>
        </w:rPr>
        <w:t xml:space="preserve"> UK </w:t>
      </w:r>
      <w:r w:rsidR="00875632">
        <w:rPr>
          <w:rFonts w:ascii="Garamond" w:hAnsi="Garamond"/>
        </w:rPr>
        <w:t>wou</w:t>
      </w:r>
      <w:r w:rsidR="00B33C94">
        <w:rPr>
          <w:rFonts w:ascii="Garamond" w:hAnsi="Garamond"/>
        </w:rPr>
        <w:t xml:space="preserve">ld </w:t>
      </w:r>
      <w:r w:rsidR="00875632">
        <w:rPr>
          <w:rFonts w:ascii="Garamond" w:hAnsi="Garamond"/>
        </w:rPr>
        <w:t xml:space="preserve">have </w:t>
      </w:r>
      <w:r w:rsidRPr="009E1077">
        <w:rPr>
          <w:rFonts w:ascii="Garamond" w:hAnsi="Garamond"/>
        </w:rPr>
        <w:t>joint say over</w:t>
      </w:r>
      <w:r>
        <w:rPr>
          <w:rFonts w:ascii="Garamond" w:hAnsi="Garamond"/>
        </w:rPr>
        <w:t xml:space="preserve"> the</w:t>
      </w:r>
      <w:r w:rsidRPr="009E1077">
        <w:rPr>
          <w:rFonts w:ascii="Garamond" w:hAnsi="Garamond"/>
        </w:rPr>
        <w:t xml:space="preserve"> activities of Mauritius </w:t>
      </w:r>
      <w:r>
        <w:rPr>
          <w:rFonts w:ascii="Garamond" w:hAnsi="Garamond"/>
        </w:rPr>
        <w:t xml:space="preserve">in relation to </w:t>
      </w:r>
      <w:r w:rsidRPr="009E1077">
        <w:rPr>
          <w:rFonts w:ascii="Garamond" w:hAnsi="Garamond"/>
        </w:rPr>
        <w:t>Diego Garcia</w:t>
      </w:r>
      <w:r w:rsidR="00BB126E">
        <w:rPr>
          <w:rFonts w:ascii="Garamond" w:hAnsi="Garamond"/>
        </w:rPr>
        <w:t>,</w:t>
      </w:r>
      <w:r>
        <w:rPr>
          <w:rFonts w:ascii="Garamond" w:hAnsi="Garamond"/>
        </w:rPr>
        <w:t xml:space="preserve"> such as</w:t>
      </w:r>
      <w:r w:rsidRPr="009E1077">
        <w:rPr>
          <w:rFonts w:ascii="Garamond" w:hAnsi="Garamond"/>
        </w:rPr>
        <w:t xml:space="preserve"> sovereignty over natural resources; conservation and protection of the environment, including the marine environment; and regulation of commercial activities.</w:t>
      </w:r>
      <w:r>
        <w:rPr>
          <w:rStyle w:val="FootnoteReference"/>
          <w:rFonts w:ascii="Garamond" w:hAnsi="Garamond"/>
        </w:rPr>
        <w:footnoteReference w:id="134"/>
      </w:r>
      <w:r w:rsidRPr="009E1077">
        <w:rPr>
          <w:rFonts w:ascii="Garamond" w:hAnsi="Garamond"/>
        </w:rPr>
        <w:t xml:space="preserve"> The effective veto that this </w:t>
      </w:r>
      <w:r w:rsidR="00B33C94">
        <w:rPr>
          <w:rFonts w:ascii="Garamond" w:hAnsi="Garamond"/>
        </w:rPr>
        <w:t xml:space="preserve">would </w:t>
      </w:r>
      <w:r w:rsidRPr="009E1077">
        <w:rPr>
          <w:rFonts w:ascii="Garamond" w:hAnsi="Garamond"/>
        </w:rPr>
        <w:t xml:space="preserve">appear to give the UK </w:t>
      </w:r>
      <w:r>
        <w:rPr>
          <w:rFonts w:ascii="Garamond" w:hAnsi="Garamond"/>
        </w:rPr>
        <w:t xml:space="preserve">frustrates the </w:t>
      </w:r>
      <w:r w:rsidR="00BB126E">
        <w:rPr>
          <w:rFonts w:ascii="Garamond" w:hAnsi="Garamond"/>
        </w:rPr>
        <w:t>‘</w:t>
      </w:r>
      <w:r w:rsidRPr="009E1077">
        <w:rPr>
          <w:rFonts w:ascii="Garamond" w:hAnsi="Garamond"/>
        </w:rPr>
        <w:t xml:space="preserve">long-standing ambition </w:t>
      </w:r>
      <w:r>
        <w:rPr>
          <w:rFonts w:ascii="Garamond" w:hAnsi="Garamond"/>
        </w:rPr>
        <w:t xml:space="preserve">[of Mauritius] </w:t>
      </w:r>
      <w:r w:rsidRPr="009E1077">
        <w:rPr>
          <w:rFonts w:ascii="Garamond" w:hAnsi="Garamond"/>
        </w:rPr>
        <w:t>to exploit the economic potential of the archipelago and its surrounding waters</w:t>
      </w:r>
      <w:r w:rsidR="00483C6F">
        <w:rPr>
          <w:rFonts w:ascii="Garamond" w:hAnsi="Garamond"/>
        </w:rPr>
        <w:t>’</w:t>
      </w:r>
      <w:r w:rsidRPr="009E1077">
        <w:rPr>
          <w:rFonts w:ascii="Garamond" w:hAnsi="Garamond"/>
        </w:rPr>
        <w:t>.</w:t>
      </w:r>
      <w:r w:rsidRPr="009E1077">
        <w:rPr>
          <w:rStyle w:val="FootnoteReference"/>
          <w:rFonts w:ascii="Garamond" w:hAnsi="Garamond"/>
        </w:rPr>
        <w:footnoteReference w:id="135"/>
      </w:r>
      <w:r w:rsidRPr="009E1077">
        <w:rPr>
          <w:rFonts w:ascii="Garamond" w:hAnsi="Garamond"/>
        </w:rPr>
        <w:t xml:space="preserve"> Such ambitions appear hampered through the splitting of Mauritius</w:t>
      </w:r>
      <w:r w:rsidR="00B16EBE">
        <w:rPr>
          <w:rFonts w:ascii="Garamond" w:hAnsi="Garamond"/>
        </w:rPr>
        <w:t>’</w:t>
      </w:r>
      <w:r w:rsidRPr="009E1077">
        <w:rPr>
          <w:rFonts w:ascii="Garamond" w:hAnsi="Garamond"/>
        </w:rPr>
        <w:t xml:space="preserve"> sovereignty </w:t>
      </w:r>
      <w:r>
        <w:rPr>
          <w:rFonts w:ascii="Garamond" w:hAnsi="Garamond"/>
        </w:rPr>
        <w:t xml:space="preserve">specifically </w:t>
      </w:r>
      <w:r w:rsidRPr="009E1077">
        <w:rPr>
          <w:rFonts w:ascii="Garamond" w:hAnsi="Garamond"/>
        </w:rPr>
        <w:t xml:space="preserve">over </w:t>
      </w:r>
      <w:r>
        <w:rPr>
          <w:rFonts w:ascii="Garamond" w:hAnsi="Garamond"/>
        </w:rPr>
        <w:t xml:space="preserve">the </w:t>
      </w:r>
      <w:r w:rsidRPr="009E1077">
        <w:rPr>
          <w:rFonts w:ascii="Garamond" w:hAnsi="Garamond"/>
        </w:rPr>
        <w:t xml:space="preserve">extraction of natural resources. </w:t>
      </w:r>
      <w:r>
        <w:rPr>
          <w:rFonts w:ascii="Garamond" w:hAnsi="Garamond"/>
        </w:rPr>
        <w:t>T</w:t>
      </w:r>
      <w:r w:rsidRPr="009E1077">
        <w:rPr>
          <w:rFonts w:ascii="Garamond" w:hAnsi="Garamond"/>
        </w:rPr>
        <w:t>his</w:t>
      </w:r>
      <w:r>
        <w:rPr>
          <w:rFonts w:ascii="Garamond" w:hAnsi="Garamond"/>
        </w:rPr>
        <w:t xml:space="preserve"> may</w:t>
      </w:r>
      <w:r w:rsidRPr="009E1077">
        <w:rPr>
          <w:rFonts w:ascii="Garamond" w:hAnsi="Garamond"/>
        </w:rPr>
        <w:t xml:space="preserve"> amount to the temporal alienation of territorial sovereignty through precluding permanent sovereignty over those natural resources. Indeed, in the UK’s explanatory notes to the agreement </w:t>
      </w:r>
      <w:r>
        <w:rPr>
          <w:rFonts w:ascii="Garamond" w:hAnsi="Garamond"/>
        </w:rPr>
        <w:t xml:space="preserve">it stresses that </w:t>
      </w:r>
      <w:r w:rsidR="00680BCE">
        <w:rPr>
          <w:rFonts w:ascii="Garamond" w:hAnsi="Garamond"/>
        </w:rPr>
        <w:t>‘</w:t>
      </w:r>
      <w:r w:rsidRPr="009E1077">
        <w:rPr>
          <w:rFonts w:ascii="Garamond" w:hAnsi="Garamond"/>
        </w:rPr>
        <w:t>there would be no circumstances in which Mauritius would be able to prevent the UK or US having full control over operations from Diego Garcia</w:t>
      </w:r>
      <w:r w:rsidR="00680BCE">
        <w:rPr>
          <w:rFonts w:ascii="Garamond" w:hAnsi="Garamond"/>
        </w:rPr>
        <w:t>’</w:t>
      </w:r>
      <w:r w:rsidRPr="009E1077">
        <w:rPr>
          <w:rFonts w:ascii="Garamond" w:hAnsi="Garamond"/>
        </w:rPr>
        <w:t>.</w:t>
      </w:r>
      <w:r w:rsidRPr="009E1077">
        <w:rPr>
          <w:rStyle w:val="FootnoteReference"/>
          <w:rFonts w:ascii="Garamond" w:hAnsi="Garamond"/>
        </w:rPr>
        <w:footnoteReference w:id="136"/>
      </w:r>
      <w:r w:rsidRPr="009E1077">
        <w:rPr>
          <w:rFonts w:ascii="Garamond" w:hAnsi="Garamond"/>
        </w:rPr>
        <w:t xml:space="preserve"> Of course, the temporally and sp</w:t>
      </w:r>
      <w:r>
        <w:rPr>
          <w:rFonts w:ascii="Garamond" w:hAnsi="Garamond"/>
        </w:rPr>
        <w:t xml:space="preserve">atially </w:t>
      </w:r>
      <w:r w:rsidRPr="009E1077">
        <w:rPr>
          <w:rFonts w:ascii="Garamond" w:hAnsi="Garamond"/>
        </w:rPr>
        <w:t xml:space="preserve">delimited nature of the agreement may prompt an objection to the notion that this is a </w:t>
      </w:r>
      <w:r w:rsidRPr="009E1077">
        <w:rPr>
          <w:rFonts w:ascii="Garamond" w:hAnsi="Garamond"/>
          <w:i/>
          <w:iCs/>
        </w:rPr>
        <w:t xml:space="preserve">total </w:t>
      </w:r>
      <w:r w:rsidRPr="009E1077">
        <w:rPr>
          <w:rFonts w:ascii="Garamond" w:hAnsi="Garamond"/>
        </w:rPr>
        <w:t xml:space="preserve">transfer of territorial sovereignty. Yet the explicit delineation of sovereign rights </w:t>
      </w:r>
      <w:r w:rsidRPr="009E1077">
        <w:rPr>
          <w:rFonts w:ascii="Garamond" w:hAnsi="Garamond"/>
        </w:rPr>
        <w:lastRenderedPageBreak/>
        <w:t xml:space="preserve">within the agreement </w:t>
      </w:r>
      <w:r>
        <w:rPr>
          <w:rFonts w:ascii="Garamond" w:hAnsi="Garamond"/>
        </w:rPr>
        <w:t>indicates that</w:t>
      </w:r>
      <w:r w:rsidRPr="009E1077">
        <w:rPr>
          <w:rFonts w:ascii="Garamond" w:hAnsi="Garamond"/>
        </w:rPr>
        <w:t xml:space="preserve"> packages of sovereignty can be commodified and transferred </w:t>
      </w:r>
      <w:r>
        <w:rPr>
          <w:rFonts w:ascii="Garamond" w:hAnsi="Garamond"/>
        </w:rPr>
        <w:t>in such a way</w:t>
      </w:r>
      <w:r w:rsidRPr="009E1077">
        <w:rPr>
          <w:rFonts w:ascii="Garamond" w:hAnsi="Garamond"/>
        </w:rPr>
        <w:t xml:space="preserve"> which alienates the land from </w:t>
      </w:r>
      <w:proofErr w:type="spellStart"/>
      <w:r>
        <w:rPr>
          <w:rFonts w:ascii="Garamond" w:hAnsi="Garamond"/>
        </w:rPr>
        <w:t>Chagossians</w:t>
      </w:r>
      <w:proofErr w:type="spellEnd"/>
      <w:r>
        <w:rPr>
          <w:rFonts w:ascii="Garamond" w:hAnsi="Garamond"/>
        </w:rPr>
        <w:t>, including future generations</w:t>
      </w:r>
      <w:r w:rsidRPr="009E1077">
        <w:rPr>
          <w:rFonts w:ascii="Garamond" w:hAnsi="Garamond"/>
        </w:rPr>
        <w:t>.</w:t>
      </w:r>
      <w:r w:rsidRPr="009E1077">
        <w:rPr>
          <w:rStyle w:val="FootnoteReference"/>
          <w:rFonts w:ascii="Garamond" w:hAnsi="Garamond"/>
        </w:rPr>
        <w:footnoteReference w:id="137"/>
      </w:r>
      <w:r w:rsidRPr="009E1077">
        <w:rPr>
          <w:rFonts w:ascii="Garamond" w:hAnsi="Garamond"/>
        </w:rPr>
        <w:t xml:space="preserve">   </w:t>
      </w:r>
    </w:p>
    <w:p w14:paraId="05F60B7D" w14:textId="7CF252A5" w:rsidR="006F0D99" w:rsidRPr="00A04608" w:rsidRDefault="006F0D99" w:rsidP="00740662">
      <w:pPr>
        <w:jc w:val="both"/>
        <w:rPr>
          <w:rFonts w:ascii="Garamond" w:hAnsi="Garamond"/>
        </w:rPr>
      </w:pPr>
      <w:r>
        <w:rPr>
          <w:rFonts w:ascii="Garamond" w:hAnsi="Garamond"/>
        </w:rPr>
        <w:t>This</w:t>
      </w:r>
      <w:r w:rsidRPr="009E1077">
        <w:rPr>
          <w:rFonts w:ascii="Garamond" w:hAnsi="Garamond"/>
        </w:rPr>
        <w:t xml:space="preserve"> agreement</w:t>
      </w:r>
      <w:r w:rsidR="008B71F5">
        <w:rPr>
          <w:rFonts w:ascii="Garamond" w:hAnsi="Garamond"/>
        </w:rPr>
        <w:t xml:space="preserve">, while </w:t>
      </w:r>
      <w:r w:rsidR="00D25C91">
        <w:rPr>
          <w:rFonts w:ascii="Garamond" w:hAnsi="Garamond"/>
        </w:rPr>
        <w:t>now shelved,</w:t>
      </w:r>
      <w:r w:rsidRPr="009E1077">
        <w:rPr>
          <w:rFonts w:ascii="Garamond" w:hAnsi="Garamond"/>
        </w:rPr>
        <w:t xml:space="preserve"> </w:t>
      </w:r>
      <w:r>
        <w:rPr>
          <w:rFonts w:ascii="Garamond" w:hAnsi="Garamond"/>
        </w:rPr>
        <w:t>reveals the centrality of</w:t>
      </w:r>
      <w:r w:rsidRPr="009E1077">
        <w:rPr>
          <w:rFonts w:ascii="Garamond" w:hAnsi="Garamond"/>
        </w:rPr>
        <w:t xml:space="preserve"> economic and military entitlements </w:t>
      </w:r>
      <w:r>
        <w:rPr>
          <w:rFonts w:ascii="Garamond" w:hAnsi="Garamond"/>
        </w:rPr>
        <w:t xml:space="preserve">to the negotiations over state sovereignty and rights pertaining to Chagos. </w:t>
      </w:r>
      <w:r w:rsidRPr="009E1077">
        <w:rPr>
          <w:rFonts w:ascii="Garamond" w:hAnsi="Garamond"/>
        </w:rPr>
        <w:t xml:space="preserve">What is of less significance in the agreement is the resettlement of the </w:t>
      </w:r>
      <w:proofErr w:type="spellStart"/>
      <w:r w:rsidRPr="009E1077">
        <w:rPr>
          <w:rFonts w:ascii="Garamond" w:hAnsi="Garamond"/>
        </w:rPr>
        <w:t>Chagossians</w:t>
      </w:r>
      <w:proofErr w:type="spellEnd"/>
      <w:r w:rsidRPr="009E1077">
        <w:rPr>
          <w:rFonts w:ascii="Garamond" w:hAnsi="Garamond"/>
        </w:rPr>
        <w:t xml:space="preserve">. While the preamble expresses regret for </w:t>
      </w:r>
      <w:r>
        <w:rPr>
          <w:rFonts w:ascii="Garamond" w:hAnsi="Garamond"/>
        </w:rPr>
        <w:t>how they have been treated,</w:t>
      </w:r>
      <w:r w:rsidRPr="009E1077">
        <w:rPr>
          <w:rFonts w:ascii="Garamond" w:hAnsi="Garamond"/>
        </w:rPr>
        <w:t xml:space="preserve"> it fails to recognise them as indigenous to the islands </w:t>
      </w:r>
      <w:r w:rsidR="006252DB">
        <w:rPr>
          <w:rFonts w:ascii="Garamond" w:hAnsi="Garamond"/>
        </w:rPr>
        <w:t>alongside</w:t>
      </w:r>
      <w:r w:rsidRPr="009E1077">
        <w:rPr>
          <w:rFonts w:ascii="Garamond" w:hAnsi="Garamond"/>
        </w:rPr>
        <w:t xml:space="preserve"> their self-determination claim. It predominantly concerns their welfare through the establishment of a trust fund paid into by the UK</w:t>
      </w:r>
      <w:r w:rsidR="00CB2B13">
        <w:rPr>
          <w:rFonts w:ascii="Garamond" w:hAnsi="Garamond"/>
        </w:rPr>
        <w:t>,</w:t>
      </w:r>
      <w:r w:rsidRPr="009E1077">
        <w:rPr>
          <w:rFonts w:ascii="Garamond" w:hAnsi="Garamond"/>
        </w:rPr>
        <w:t xml:space="preserve"> to be executed by Mauritius.</w:t>
      </w:r>
      <w:r>
        <w:rPr>
          <w:rStyle w:val="FootnoteReference"/>
          <w:rFonts w:ascii="Garamond" w:hAnsi="Garamond"/>
        </w:rPr>
        <w:footnoteReference w:id="138"/>
      </w:r>
      <w:r w:rsidRPr="009E1077">
        <w:rPr>
          <w:rFonts w:ascii="Garamond" w:hAnsi="Garamond"/>
        </w:rPr>
        <w:t xml:space="preserve"> In relation to resettlement, article 6 states: </w:t>
      </w:r>
      <w:r w:rsidR="000943DA">
        <w:rPr>
          <w:rFonts w:ascii="Garamond" w:hAnsi="Garamond"/>
        </w:rPr>
        <w:t>‘</w:t>
      </w:r>
      <w:r w:rsidRPr="009E1077">
        <w:rPr>
          <w:rFonts w:ascii="Garamond" w:hAnsi="Garamond"/>
        </w:rPr>
        <w:t>in the exercise of its sovereignty over the Chagos Archipelago, Mauritius is free to implement a programme of resettlement on the islands of the Chagos Archipelago other than Diego Garcia</w:t>
      </w:r>
      <w:r w:rsidR="000943DA">
        <w:rPr>
          <w:rFonts w:ascii="Garamond" w:hAnsi="Garamond"/>
        </w:rPr>
        <w:t>’</w:t>
      </w:r>
      <w:r w:rsidR="002B619F">
        <w:rPr>
          <w:rFonts w:ascii="Garamond" w:hAnsi="Garamond"/>
        </w:rPr>
        <w:t>.</w:t>
      </w:r>
      <w:r w:rsidRPr="009E1077">
        <w:rPr>
          <w:rStyle w:val="FootnoteReference"/>
          <w:rFonts w:ascii="Garamond" w:hAnsi="Garamond"/>
        </w:rPr>
        <w:footnoteReference w:id="139"/>
      </w:r>
      <w:r w:rsidRPr="009E1077">
        <w:rPr>
          <w:rFonts w:ascii="Garamond" w:hAnsi="Garamond"/>
        </w:rPr>
        <w:t xml:space="preserve"> </w:t>
      </w:r>
      <w:r w:rsidRPr="005F6613">
        <w:rPr>
          <w:rFonts w:ascii="Garamond" w:hAnsi="Garamond"/>
        </w:rPr>
        <w:t xml:space="preserve">For some </w:t>
      </w:r>
      <w:proofErr w:type="spellStart"/>
      <w:r w:rsidRPr="005F6613">
        <w:rPr>
          <w:rFonts w:ascii="Garamond" w:hAnsi="Garamond"/>
        </w:rPr>
        <w:t>Chagossians</w:t>
      </w:r>
      <w:proofErr w:type="spellEnd"/>
      <w:r w:rsidRPr="005F6613">
        <w:rPr>
          <w:rFonts w:ascii="Garamond" w:hAnsi="Garamond"/>
        </w:rPr>
        <w:t xml:space="preserve"> the Agreement has been well received,</w:t>
      </w:r>
      <w:r w:rsidRPr="005F6613">
        <w:rPr>
          <w:rStyle w:val="FootnoteReference"/>
          <w:rFonts w:ascii="Garamond" w:hAnsi="Garamond"/>
        </w:rPr>
        <w:footnoteReference w:id="140"/>
      </w:r>
      <w:r w:rsidRPr="005F6613">
        <w:rPr>
          <w:rFonts w:ascii="Garamond" w:hAnsi="Garamond"/>
        </w:rPr>
        <w:t xml:space="preserve"> however for many this limits resettlement to the smaller, outer islands, presenting a </w:t>
      </w:r>
      <w:r w:rsidR="000943DA">
        <w:rPr>
          <w:rFonts w:ascii="Garamond" w:hAnsi="Garamond"/>
        </w:rPr>
        <w:t>‘</w:t>
      </w:r>
      <w:r w:rsidRPr="005F6613">
        <w:rPr>
          <w:rFonts w:ascii="Garamond" w:hAnsi="Garamond"/>
        </w:rPr>
        <w:t>profound personal and cultural loss</w:t>
      </w:r>
      <w:r w:rsidR="008C47EC">
        <w:rPr>
          <w:rFonts w:ascii="Garamond" w:hAnsi="Garamond"/>
        </w:rPr>
        <w:t>’</w:t>
      </w:r>
      <w:r w:rsidRPr="005F6613">
        <w:rPr>
          <w:rFonts w:ascii="Garamond" w:hAnsi="Garamond"/>
        </w:rPr>
        <w:t>.</w:t>
      </w:r>
      <w:r w:rsidRPr="005F6613">
        <w:rPr>
          <w:rStyle w:val="FootnoteReference"/>
          <w:rFonts w:ascii="Garamond" w:hAnsi="Garamond"/>
        </w:rPr>
        <w:footnoteReference w:id="141"/>
      </w:r>
      <w:r w:rsidRPr="009E1077">
        <w:rPr>
          <w:rFonts w:ascii="Garamond" w:hAnsi="Garamond"/>
        </w:rPr>
        <w:t xml:space="preserve"> Human Rights Watch </w:t>
      </w:r>
      <w:r>
        <w:rPr>
          <w:rFonts w:ascii="Garamond" w:hAnsi="Garamond"/>
        </w:rPr>
        <w:t xml:space="preserve">have </w:t>
      </w:r>
      <w:r w:rsidR="00A3713D">
        <w:rPr>
          <w:rFonts w:ascii="Garamond" w:hAnsi="Garamond"/>
        </w:rPr>
        <w:t>criticised the failure of the agreement</w:t>
      </w:r>
      <w:r w:rsidRPr="009E1077">
        <w:rPr>
          <w:rFonts w:ascii="Garamond" w:hAnsi="Garamond"/>
        </w:rPr>
        <w:t xml:space="preserve"> to consider the rights of the </w:t>
      </w:r>
      <w:proofErr w:type="spellStart"/>
      <w:r w:rsidRPr="009E1077">
        <w:rPr>
          <w:rFonts w:ascii="Garamond" w:hAnsi="Garamond"/>
        </w:rPr>
        <w:t>Chagossians</w:t>
      </w:r>
      <w:proofErr w:type="spellEnd"/>
      <w:r w:rsidRPr="009E1077">
        <w:rPr>
          <w:rFonts w:ascii="Garamond" w:hAnsi="Garamond"/>
        </w:rPr>
        <w:t xml:space="preserve"> a</w:t>
      </w:r>
      <w:r>
        <w:rPr>
          <w:rFonts w:ascii="Garamond" w:hAnsi="Garamond"/>
        </w:rPr>
        <w:t xml:space="preserve">s well as state </w:t>
      </w:r>
      <w:r w:rsidRPr="009E1077">
        <w:rPr>
          <w:rFonts w:ascii="Garamond" w:hAnsi="Garamond"/>
        </w:rPr>
        <w:t>accountability for the violence and ongoing displacement they have suffered.</w:t>
      </w:r>
      <w:r w:rsidRPr="009E1077">
        <w:rPr>
          <w:rStyle w:val="FootnoteReference"/>
          <w:rFonts w:ascii="Garamond" w:hAnsi="Garamond"/>
        </w:rPr>
        <w:footnoteReference w:id="142"/>
      </w:r>
      <w:r w:rsidRPr="009E1077">
        <w:rPr>
          <w:rFonts w:ascii="Garamond" w:hAnsi="Garamond"/>
        </w:rPr>
        <w:t xml:space="preserve"> Crucially, this provision places responsibility for resettlement on </w:t>
      </w:r>
      <w:r>
        <w:rPr>
          <w:rFonts w:ascii="Garamond" w:hAnsi="Garamond"/>
        </w:rPr>
        <w:t xml:space="preserve">the state of </w:t>
      </w:r>
      <w:r w:rsidRPr="009E1077">
        <w:rPr>
          <w:rFonts w:ascii="Garamond" w:hAnsi="Garamond"/>
        </w:rPr>
        <w:t xml:space="preserve">Mauritius. Sovereignty </w:t>
      </w:r>
      <w:r>
        <w:rPr>
          <w:rFonts w:ascii="Garamond" w:hAnsi="Garamond"/>
        </w:rPr>
        <w:t xml:space="preserve">works here to situate resettlement as a domestic issue, far outside the central focus </w:t>
      </w:r>
      <w:r w:rsidRPr="009E1077">
        <w:rPr>
          <w:rFonts w:ascii="Garamond" w:hAnsi="Garamond"/>
        </w:rPr>
        <w:t xml:space="preserve">of the bilateral, </w:t>
      </w:r>
      <w:r w:rsidRPr="009E1077">
        <w:rPr>
          <w:rFonts w:ascii="Garamond" w:hAnsi="Garamond"/>
          <w:i/>
          <w:iCs/>
        </w:rPr>
        <w:t xml:space="preserve">internationalised </w:t>
      </w:r>
      <w:r w:rsidRPr="009E1077">
        <w:rPr>
          <w:rFonts w:ascii="Garamond" w:hAnsi="Garamond"/>
        </w:rPr>
        <w:t xml:space="preserve">nature of </w:t>
      </w:r>
      <w:r>
        <w:rPr>
          <w:rFonts w:ascii="Garamond" w:hAnsi="Garamond"/>
        </w:rPr>
        <w:t>allocating</w:t>
      </w:r>
      <w:r w:rsidRPr="009E1077">
        <w:rPr>
          <w:rFonts w:ascii="Garamond" w:hAnsi="Garamond"/>
        </w:rPr>
        <w:t xml:space="preserve"> economic and military </w:t>
      </w:r>
      <w:r>
        <w:rPr>
          <w:rFonts w:ascii="Garamond" w:hAnsi="Garamond"/>
        </w:rPr>
        <w:t xml:space="preserve">resources (via </w:t>
      </w:r>
      <w:r w:rsidRPr="009E1077">
        <w:rPr>
          <w:rFonts w:ascii="Garamond" w:hAnsi="Garamond"/>
        </w:rPr>
        <w:t>the interstate contract</w:t>
      </w:r>
      <w:r>
        <w:rPr>
          <w:rFonts w:ascii="Garamond" w:hAnsi="Garamond"/>
        </w:rPr>
        <w:t>)</w:t>
      </w:r>
      <w:r w:rsidRPr="009E1077">
        <w:rPr>
          <w:rFonts w:ascii="Garamond" w:hAnsi="Garamond"/>
        </w:rPr>
        <w:t xml:space="preserve">. Further, the language that ‘Mauritius is free’ to carry out resettlement within a </w:t>
      </w:r>
      <w:r>
        <w:rPr>
          <w:rFonts w:ascii="Garamond" w:hAnsi="Garamond"/>
        </w:rPr>
        <w:t xml:space="preserve">demarcated </w:t>
      </w:r>
      <w:r w:rsidRPr="009E1077">
        <w:rPr>
          <w:rFonts w:ascii="Garamond" w:hAnsi="Garamond"/>
        </w:rPr>
        <w:t xml:space="preserve">geographical space de-emphasises the significant constraints of that geographical stipulation </w:t>
      </w:r>
      <w:r>
        <w:rPr>
          <w:rFonts w:ascii="Garamond" w:hAnsi="Garamond"/>
        </w:rPr>
        <w:t xml:space="preserve">by invoking the language of freedom and sovereignty. </w:t>
      </w:r>
      <w:r w:rsidRPr="009E1077">
        <w:rPr>
          <w:rFonts w:ascii="Garamond" w:hAnsi="Garamond"/>
        </w:rPr>
        <w:t xml:space="preserve">The language </w:t>
      </w:r>
      <w:r>
        <w:rPr>
          <w:rFonts w:ascii="Garamond" w:hAnsi="Garamond"/>
        </w:rPr>
        <w:t>is permission generating;</w:t>
      </w:r>
      <w:r w:rsidRPr="009E1077">
        <w:rPr>
          <w:rFonts w:ascii="Garamond" w:hAnsi="Garamond"/>
        </w:rPr>
        <w:t xml:space="preserve"> </w:t>
      </w:r>
      <w:r>
        <w:rPr>
          <w:rFonts w:ascii="Garamond" w:hAnsi="Garamond"/>
        </w:rPr>
        <w:t xml:space="preserve">the act is assumed </w:t>
      </w:r>
      <w:r w:rsidR="00D00B11">
        <w:rPr>
          <w:rFonts w:ascii="Garamond" w:hAnsi="Garamond"/>
        </w:rPr>
        <w:t xml:space="preserve">to be </w:t>
      </w:r>
      <w:r>
        <w:rPr>
          <w:rFonts w:ascii="Garamond" w:hAnsi="Garamond"/>
        </w:rPr>
        <w:t>wrong were it not</w:t>
      </w:r>
      <w:r w:rsidRPr="009E1077">
        <w:rPr>
          <w:rFonts w:ascii="Garamond" w:hAnsi="Garamond"/>
        </w:rPr>
        <w:t xml:space="preserve"> for it being permitted.</w:t>
      </w:r>
      <w:r w:rsidRPr="009E1077">
        <w:rPr>
          <w:rStyle w:val="FootnoteReference"/>
          <w:rFonts w:ascii="Garamond" w:hAnsi="Garamond"/>
        </w:rPr>
        <w:footnoteReference w:id="143"/>
      </w:r>
      <w:r>
        <w:rPr>
          <w:rFonts w:ascii="Garamond" w:hAnsi="Garamond"/>
        </w:rPr>
        <w:t xml:space="preserve"> It fails to secure a </w:t>
      </w:r>
      <w:r>
        <w:rPr>
          <w:rFonts w:ascii="Garamond" w:hAnsi="Garamond"/>
          <w:i/>
          <w:iCs/>
        </w:rPr>
        <w:t xml:space="preserve">right </w:t>
      </w:r>
      <w:r>
        <w:rPr>
          <w:rFonts w:ascii="Garamond" w:hAnsi="Garamond"/>
        </w:rPr>
        <w:t xml:space="preserve">for the </w:t>
      </w:r>
      <w:proofErr w:type="spellStart"/>
      <w:r>
        <w:rPr>
          <w:rFonts w:ascii="Garamond" w:hAnsi="Garamond"/>
        </w:rPr>
        <w:t>Chagossians</w:t>
      </w:r>
      <w:proofErr w:type="spellEnd"/>
      <w:r>
        <w:rPr>
          <w:rFonts w:ascii="Garamond" w:hAnsi="Garamond"/>
        </w:rPr>
        <w:t>.</w:t>
      </w:r>
      <w:r>
        <w:rPr>
          <w:rStyle w:val="FootnoteReference"/>
          <w:rFonts w:ascii="Garamond" w:hAnsi="Garamond"/>
        </w:rPr>
        <w:footnoteReference w:id="144"/>
      </w:r>
      <w:r>
        <w:rPr>
          <w:rFonts w:ascii="Garamond" w:hAnsi="Garamond"/>
        </w:rPr>
        <w:t xml:space="preserve"> </w:t>
      </w:r>
    </w:p>
    <w:p w14:paraId="4B23663E" w14:textId="4426F0A6" w:rsidR="006F0D99" w:rsidRDefault="006F0D99" w:rsidP="00740662">
      <w:pPr>
        <w:jc w:val="both"/>
        <w:rPr>
          <w:rFonts w:ascii="Garamond" w:hAnsi="Garamond"/>
        </w:rPr>
      </w:pPr>
      <w:r w:rsidRPr="009E1077">
        <w:rPr>
          <w:rFonts w:ascii="Garamond" w:hAnsi="Garamond"/>
        </w:rPr>
        <w:t xml:space="preserve">Strengthening the sovereign claims of Mauritius over the Chagos </w:t>
      </w:r>
      <w:r>
        <w:rPr>
          <w:rFonts w:ascii="Garamond" w:hAnsi="Garamond"/>
        </w:rPr>
        <w:t>I</w:t>
      </w:r>
      <w:r w:rsidRPr="009E1077">
        <w:rPr>
          <w:rFonts w:ascii="Garamond" w:hAnsi="Garamond"/>
        </w:rPr>
        <w:t xml:space="preserve">slands does not appear then to centre </w:t>
      </w:r>
      <w:proofErr w:type="spellStart"/>
      <w:r w:rsidRPr="009E1077">
        <w:rPr>
          <w:rFonts w:ascii="Garamond" w:hAnsi="Garamond"/>
        </w:rPr>
        <w:t>Chagossians</w:t>
      </w:r>
      <w:proofErr w:type="spellEnd"/>
      <w:r w:rsidRPr="009E1077">
        <w:rPr>
          <w:rFonts w:ascii="Garamond" w:hAnsi="Garamond"/>
        </w:rPr>
        <w:t xml:space="preserve"> nor appropriately remedy their dispossession. Feminist perspectives of consent help illuminate why this is so beyond mere explanations of state interest. Consent is often held up as the mechanism to strengthen autonomy; holding the power to wield consent signals one</w:t>
      </w:r>
      <w:r w:rsidR="00645619">
        <w:rPr>
          <w:rFonts w:ascii="Garamond" w:hAnsi="Garamond"/>
        </w:rPr>
        <w:t>’</w:t>
      </w:r>
      <w:r w:rsidRPr="009E1077">
        <w:rPr>
          <w:rFonts w:ascii="Garamond" w:hAnsi="Garamond"/>
        </w:rPr>
        <w:t>s proprietorship over one</w:t>
      </w:r>
      <w:r w:rsidR="00014DDD">
        <w:rPr>
          <w:rFonts w:ascii="Garamond" w:hAnsi="Garamond"/>
        </w:rPr>
        <w:t>’</w:t>
      </w:r>
      <w:r w:rsidRPr="009E1077">
        <w:rPr>
          <w:rFonts w:ascii="Garamond" w:hAnsi="Garamond"/>
        </w:rPr>
        <w:t>s own body.</w:t>
      </w:r>
      <w:r>
        <w:rPr>
          <w:rStyle w:val="FootnoteReference"/>
          <w:rFonts w:ascii="Garamond" w:hAnsi="Garamond"/>
        </w:rPr>
        <w:footnoteReference w:id="145"/>
      </w:r>
      <w:r w:rsidRPr="009E1077">
        <w:rPr>
          <w:rFonts w:ascii="Garamond" w:hAnsi="Garamond"/>
        </w:rPr>
        <w:t xml:space="preserve"> It is this tendency to render the body as property – subject to self-governance and individuated control – that feeds into the liberal Cartesian mind-body dualism.</w:t>
      </w:r>
      <w:r w:rsidRPr="009E1077">
        <w:rPr>
          <w:rStyle w:val="FootnoteReference"/>
          <w:rFonts w:ascii="Garamond" w:hAnsi="Garamond"/>
        </w:rPr>
        <w:footnoteReference w:id="146"/>
      </w:r>
      <w:r w:rsidRPr="009E1077">
        <w:rPr>
          <w:rFonts w:ascii="Garamond" w:hAnsi="Garamond"/>
        </w:rPr>
        <w:t xml:space="preserve"> The mind is privileged within this binary and the disembodied, rational subject maintains rights and interests over </w:t>
      </w:r>
      <w:r w:rsidRPr="009E1077">
        <w:rPr>
          <w:rFonts w:ascii="Garamond" w:hAnsi="Garamond"/>
          <w:i/>
          <w:iCs/>
        </w:rPr>
        <w:t xml:space="preserve">its </w:t>
      </w:r>
      <w:proofErr w:type="spellStart"/>
      <w:r w:rsidRPr="009E1077">
        <w:rPr>
          <w:rFonts w:ascii="Garamond" w:hAnsi="Garamond"/>
        </w:rPr>
        <w:t>properti</w:t>
      </w:r>
      <w:r w:rsidR="00C35B22">
        <w:rPr>
          <w:rFonts w:ascii="Garamond" w:hAnsi="Garamond"/>
        </w:rPr>
        <w:t>s</w:t>
      </w:r>
      <w:r w:rsidRPr="009E1077">
        <w:rPr>
          <w:rFonts w:ascii="Garamond" w:hAnsi="Garamond"/>
        </w:rPr>
        <w:t>ed</w:t>
      </w:r>
      <w:proofErr w:type="spellEnd"/>
      <w:r w:rsidRPr="009E1077">
        <w:rPr>
          <w:rFonts w:ascii="Garamond" w:hAnsi="Garamond"/>
        </w:rPr>
        <w:t xml:space="preserve"> body, such as </w:t>
      </w:r>
      <w:r w:rsidR="00954286">
        <w:rPr>
          <w:rFonts w:ascii="Garamond" w:hAnsi="Garamond"/>
        </w:rPr>
        <w:t>the</w:t>
      </w:r>
      <w:r w:rsidRPr="009E1077">
        <w:rPr>
          <w:rFonts w:ascii="Garamond" w:hAnsi="Garamond"/>
        </w:rPr>
        <w:t xml:space="preserve"> right to use and enjoyment, </w:t>
      </w:r>
      <w:r>
        <w:rPr>
          <w:rFonts w:ascii="Garamond" w:hAnsi="Garamond"/>
        </w:rPr>
        <w:lastRenderedPageBreak/>
        <w:t xml:space="preserve">disposition </w:t>
      </w:r>
      <w:r w:rsidRPr="009E1077">
        <w:rPr>
          <w:rFonts w:ascii="Garamond" w:hAnsi="Garamond"/>
        </w:rPr>
        <w:t>and possession.</w:t>
      </w:r>
      <w:r w:rsidRPr="009E1077">
        <w:rPr>
          <w:rStyle w:val="FootnoteReference"/>
          <w:rFonts w:ascii="Garamond" w:hAnsi="Garamond"/>
        </w:rPr>
        <w:footnoteReference w:id="147"/>
      </w:r>
      <w:r w:rsidRPr="009E1077">
        <w:rPr>
          <w:rFonts w:ascii="Garamond" w:hAnsi="Garamond"/>
        </w:rPr>
        <w:t xml:space="preserve"> The body becomes a part of property relations</w:t>
      </w:r>
      <w:r w:rsidR="00640080">
        <w:rPr>
          <w:rFonts w:ascii="Garamond" w:hAnsi="Garamond"/>
        </w:rPr>
        <w:t>,</w:t>
      </w:r>
      <w:r w:rsidRPr="009E1077">
        <w:rPr>
          <w:rFonts w:ascii="Garamond" w:hAnsi="Garamond"/>
        </w:rPr>
        <w:t xml:space="preserve"> thus </w:t>
      </w:r>
      <w:r w:rsidR="00640080">
        <w:rPr>
          <w:rFonts w:ascii="Garamond" w:hAnsi="Garamond"/>
        </w:rPr>
        <w:t>‘</w:t>
      </w:r>
      <w:r w:rsidRPr="009E1077">
        <w:rPr>
          <w:rFonts w:ascii="Garamond" w:hAnsi="Garamond"/>
        </w:rPr>
        <w:t>the mind-body dualism introduces an instrumental relationship to the body</w:t>
      </w:r>
      <w:r w:rsidR="00640080">
        <w:rPr>
          <w:rFonts w:ascii="Garamond" w:hAnsi="Garamond"/>
        </w:rPr>
        <w:t>’</w:t>
      </w:r>
      <w:r w:rsidRPr="009E1077">
        <w:rPr>
          <w:rFonts w:ascii="Garamond" w:hAnsi="Garamond"/>
        </w:rPr>
        <w:t>.</w:t>
      </w:r>
      <w:r w:rsidRPr="009E1077">
        <w:rPr>
          <w:rStyle w:val="FootnoteReference"/>
          <w:rFonts w:ascii="Garamond" w:hAnsi="Garamond"/>
        </w:rPr>
        <w:footnoteReference w:id="148"/>
      </w:r>
      <w:r w:rsidRPr="009E1077">
        <w:rPr>
          <w:rFonts w:ascii="Garamond" w:hAnsi="Garamond"/>
        </w:rPr>
        <w:t xml:space="preserve"> The sovereign subject in liberal thought is one who has </w:t>
      </w:r>
      <w:r>
        <w:rPr>
          <w:rFonts w:ascii="Garamond" w:hAnsi="Garamond"/>
        </w:rPr>
        <w:t>control</w:t>
      </w:r>
      <w:r w:rsidRPr="009E1077">
        <w:rPr>
          <w:rFonts w:ascii="Garamond" w:hAnsi="Garamond"/>
        </w:rPr>
        <w:t xml:space="preserve"> over their ‘property in persons’</w:t>
      </w:r>
      <w:r w:rsidRPr="009E1077">
        <w:rPr>
          <w:rStyle w:val="FootnoteReference"/>
          <w:rFonts w:ascii="Garamond" w:hAnsi="Garamond"/>
        </w:rPr>
        <w:footnoteReference w:id="149"/>
      </w:r>
      <w:r w:rsidRPr="009E1077">
        <w:rPr>
          <w:rFonts w:ascii="Garamond" w:hAnsi="Garamond"/>
        </w:rPr>
        <w:t xml:space="preserve"> and has cemented themselves as the controlling agent; this now fully fledged subject knows their will and desires and is able to </w:t>
      </w:r>
      <w:r w:rsidRPr="009E1077">
        <w:rPr>
          <w:rFonts w:ascii="Garamond" w:hAnsi="Garamond"/>
          <w:i/>
          <w:iCs/>
        </w:rPr>
        <w:t xml:space="preserve">use </w:t>
      </w:r>
      <w:r w:rsidRPr="009E1077">
        <w:rPr>
          <w:rFonts w:ascii="Garamond" w:hAnsi="Garamond"/>
        </w:rPr>
        <w:t>their bod</w:t>
      </w:r>
      <w:r w:rsidR="00640080">
        <w:rPr>
          <w:rFonts w:ascii="Garamond" w:hAnsi="Garamond"/>
        </w:rPr>
        <w:t>y</w:t>
      </w:r>
      <w:r w:rsidRPr="009E1077">
        <w:rPr>
          <w:rFonts w:ascii="Garamond" w:hAnsi="Garamond"/>
        </w:rPr>
        <w:t xml:space="preserve"> freely.</w:t>
      </w:r>
      <w:r w:rsidRPr="009E1077">
        <w:rPr>
          <w:rStyle w:val="FootnoteReference"/>
          <w:rFonts w:ascii="Garamond" w:hAnsi="Garamond"/>
        </w:rPr>
        <w:footnoteReference w:id="150"/>
      </w:r>
      <w:r w:rsidRPr="009E1077">
        <w:rPr>
          <w:rFonts w:ascii="Garamond" w:hAnsi="Garamond"/>
        </w:rPr>
        <w:t xml:space="preserve"> </w:t>
      </w:r>
    </w:p>
    <w:p w14:paraId="28163C54" w14:textId="66AA5B6E" w:rsidR="006F0D99" w:rsidRPr="009E1077" w:rsidRDefault="006F0D99" w:rsidP="00740662">
      <w:pPr>
        <w:jc w:val="both"/>
        <w:rPr>
          <w:rFonts w:ascii="Garamond" w:hAnsi="Garamond"/>
        </w:rPr>
      </w:pPr>
      <w:r>
        <w:rPr>
          <w:rFonts w:ascii="Garamond" w:hAnsi="Garamond"/>
        </w:rPr>
        <w:t xml:space="preserve">This line of thinking is analogous to the postcolonial state gaining governance over </w:t>
      </w:r>
      <w:r>
        <w:rPr>
          <w:rFonts w:ascii="Garamond" w:hAnsi="Garamond"/>
          <w:i/>
          <w:iCs/>
        </w:rPr>
        <w:t xml:space="preserve">its </w:t>
      </w:r>
      <w:r>
        <w:rPr>
          <w:rFonts w:ascii="Garamond" w:hAnsi="Garamond"/>
        </w:rPr>
        <w:t>territory. Taking up the gendered, racialised analogy of states as persons discussed above,</w:t>
      </w:r>
      <w:r>
        <w:rPr>
          <w:rStyle w:val="FootnoteReference"/>
          <w:rFonts w:ascii="Garamond" w:hAnsi="Garamond"/>
        </w:rPr>
        <w:footnoteReference w:id="151"/>
      </w:r>
      <w:r>
        <w:rPr>
          <w:rFonts w:ascii="Garamond" w:hAnsi="Garamond"/>
        </w:rPr>
        <w:t xml:space="preserve"> r</w:t>
      </w:r>
      <w:r w:rsidRPr="009E1077">
        <w:rPr>
          <w:rFonts w:ascii="Garamond" w:hAnsi="Garamond"/>
        </w:rPr>
        <w:t>eason and rationality mark the normative standard of the liberal self-knowing and self-governing state</w:t>
      </w:r>
      <w:r>
        <w:rPr>
          <w:rFonts w:ascii="Garamond" w:hAnsi="Garamond"/>
        </w:rPr>
        <w:t>,</w:t>
      </w:r>
      <w:r w:rsidRPr="009E1077">
        <w:rPr>
          <w:rStyle w:val="FootnoteReference"/>
          <w:rFonts w:ascii="Garamond" w:hAnsi="Garamond"/>
        </w:rPr>
        <w:footnoteReference w:id="152"/>
      </w:r>
      <w:r>
        <w:rPr>
          <w:rFonts w:ascii="Garamond" w:hAnsi="Garamond"/>
        </w:rPr>
        <w:t xml:space="preserve"> while the </w:t>
      </w:r>
      <w:r w:rsidRPr="009E1077">
        <w:rPr>
          <w:rFonts w:ascii="Garamond" w:hAnsi="Garamond"/>
        </w:rPr>
        <w:t xml:space="preserve">territory becomes reified as the </w:t>
      </w:r>
      <w:r>
        <w:rPr>
          <w:rFonts w:ascii="Garamond" w:hAnsi="Garamond"/>
        </w:rPr>
        <w:t xml:space="preserve">possessed </w:t>
      </w:r>
      <w:r w:rsidRPr="009E1077">
        <w:rPr>
          <w:rFonts w:ascii="Garamond" w:hAnsi="Garamond"/>
        </w:rPr>
        <w:t>body</w:t>
      </w:r>
      <w:r>
        <w:rPr>
          <w:rFonts w:ascii="Garamond" w:hAnsi="Garamond"/>
        </w:rPr>
        <w:t>.</w:t>
      </w:r>
      <w:r w:rsidRPr="009E1077">
        <w:rPr>
          <w:rStyle w:val="FootnoteReference"/>
          <w:rFonts w:ascii="Garamond" w:hAnsi="Garamond"/>
        </w:rPr>
        <w:footnoteReference w:id="153"/>
      </w:r>
      <w:r w:rsidRPr="009E1077">
        <w:rPr>
          <w:rFonts w:ascii="Garamond" w:hAnsi="Garamond"/>
        </w:rPr>
        <w:t xml:space="preserve"> </w:t>
      </w:r>
      <w:r>
        <w:rPr>
          <w:rFonts w:ascii="Garamond" w:hAnsi="Garamond"/>
        </w:rPr>
        <w:t>In this way the</w:t>
      </w:r>
      <w:r w:rsidRPr="009E1077">
        <w:rPr>
          <w:rFonts w:ascii="Garamond" w:hAnsi="Garamond"/>
        </w:rPr>
        <w:t xml:space="preserve"> mind-body dualism</w:t>
      </w:r>
      <w:r>
        <w:rPr>
          <w:rFonts w:ascii="Garamond" w:hAnsi="Garamond"/>
        </w:rPr>
        <w:t xml:space="preserve"> attached to the individual</w:t>
      </w:r>
      <w:r w:rsidRPr="009E1077">
        <w:rPr>
          <w:rFonts w:ascii="Garamond" w:hAnsi="Garamond"/>
        </w:rPr>
        <w:t xml:space="preserve"> </w:t>
      </w:r>
      <w:r>
        <w:rPr>
          <w:rFonts w:ascii="Garamond" w:hAnsi="Garamond"/>
        </w:rPr>
        <w:t xml:space="preserve">runs parallel to a </w:t>
      </w:r>
      <w:r w:rsidRPr="009E1077">
        <w:rPr>
          <w:rFonts w:ascii="Garamond" w:hAnsi="Garamond"/>
        </w:rPr>
        <w:t xml:space="preserve">governance-territory dualism within the anthropomorphic logic of statehood. For the postcolonial </w:t>
      </w:r>
      <w:r>
        <w:rPr>
          <w:rFonts w:ascii="Garamond" w:hAnsi="Garamond"/>
        </w:rPr>
        <w:t xml:space="preserve">sovereign </w:t>
      </w:r>
      <w:r w:rsidRPr="009E1077">
        <w:rPr>
          <w:rFonts w:ascii="Garamond" w:hAnsi="Garamond"/>
        </w:rPr>
        <w:t>state (</w:t>
      </w:r>
      <w:proofErr w:type="gramStart"/>
      <w:r w:rsidRPr="009E1077">
        <w:rPr>
          <w:rFonts w:ascii="Garamond" w:hAnsi="Garamond"/>
        </w:rPr>
        <w:t>entering into</w:t>
      </w:r>
      <w:proofErr w:type="gramEnd"/>
      <w:r w:rsidRPr="009E1077">
        <w:rPr>
          <w:rFonts w:ascii="Garamond" w:hAnsi="Garamond"/>
        </w:rPr>
        <w:t xml:space="preserve"> the liberal, social order) exercising rights over territory, including its disposal, appears to be the means through which control</w:t>
      </w:r>
      <w:r>
        <w:rPr>
          <w:rFonts w:ascii="Garamond" w:hAnsi="Garamond"/>
        </w:rPr>
        <w:t xml:space="preserve">, </w:t>
      </w:r>
      <w:r w:rsidRPr="009E1077">
        <w:rPr>
          <w:rFonts w:ascii="Garamond" w:hAnsi="Garamond"/>
        </w:rPr>
        <w:t>rationality</w:t>
      </w:r>
      <w:r>
        <w:rPr>
          <w:rFonts w:ascii="Garamond" w:hAnsi="Garamond"/>
        </w:rPr>
        <w:t xml:space="preserve"> and autonomy</w:t>
      </w:r>
      <w:r w:rsidRPr="009E1077">
        <w:rPr>
          <w:rFonts w:ascii="Garamond" w:hAnsi="Garamond"/>
        </w:rPr>
        <w:t xml:space="preserve"> </w:t>
      </w:r>
      <w:r w:rsidR="00C00726">
        <w:rPr>
          <w:rFonts w:ascii="Garamond" w:hAnsi="Garamond"/>
        </w:rPr>
        <w:t>are</w:t>
      </w:r>
      <w:r w:rsidRPr="009E1077">
        <w:rPr>
          <w:rFonts w:ascii="Garamond" w:hAnsi="Garamond"/>
        </w:rPr>
        <w:t xml:space="preserve"> asserted. However</w:t>
      </w:r>
      <w:r>
        <w:rPr>
          <w:rFonts w:ascii="Garamond" w:hAnsi="Garamond"/>
        </w:rPr>
        <w:t>,</w:t>
      </w:r>
      <w:r w:rsidRPr="009E1077">
        <w:rPr>
          <w:rFonts w:ascii="Garamond" w:hAnsi="Garamond"/>
        </w:rPr>
        <w:t xml:space="preserve"> as feminists have argued</w:t>
      </w:r>
      <w:r w:rsidR="00FB6CC2">
        <w:rPr>
          <w:rFonts w:ascii="Garamond" w:hAnsi="Garamond"/>
        </w:rPr>
        <w:t>,</w:t>
      </w:r>
      <w:r w:rsidRPr="009E1077">
        <w:rPr>
          <w:rFonts w:ascii="Garamond" w:hAnsi="Garamond"/>
        </w:rPr>
        <w:t xml:space="preserve"> the atomised, autonomous and possessing agent </w:t>
      </w:r>
      <w:r>
        <w:rPr>
          <w:rFonts w:ascii="Garamond" w:hAnsi="Garamond"/>
        </w:rPr>
        <w:t>is an illusion</w:t>
      </w:r>
      <w:r w:rsidRPr="009E1077">
        <w:rPr>
          <w:rFonts w:ascii="Garamond" w:hAnsi="Garamond"/>
        </w:rPr>
        <w:t>.</w:t>
      </w:r>
      <w:r w:rsidRPr="009E1077">
        <w:rPr>
          <w:rStyle w:val="FootnoteReference"/>
          <w:rFonts w:ascii="Garamond" w:hAnsi="Garamond"/>
        </w:rPr>
        <w:footnoteReference w:id="154"/>
      </w:r>
      <w:r>
        <w:rPr>
          <w:rFonts w:ascii="Garamond" w:hAnsi="Garamond"/>
        </w:rPr>
        <w:t xml:space="preserve"> </w:t>
      </w:r>
      <w:r w:rsidRPr="009E1077">
        <w:rPr>
          <w:rFonts w:ascii="Garamond" w:hAnsi="Garamond"/>
        </w:rPr>
        <w:t>The broader context within which transaction</w:t>
      </w:r>
      <w:r>
        <w:rPr>
          <w:rFonts w:ascii="Garamond" w:hAnsi="Garamond"/>
        </w:rPr>
        <w:t>s</w:t>
      </w:r>
      <w:r w:rsidRPr="009E1077">
        <w:rPr>
          <w:rFonts w:ascii="Garamond" w:hAnsi="Garamond"/>
        </w:rPr>
        <w:t xml:space="preserve"> over ‘property’ take place can reveal the relational, interdependen</w:t>
      </w:r>
      <w:r>
        <w:rPr>
          <w:rFonts w:ascii="Garamond" w:hAnsi="Garamond"/>
        </w:rPr>
        <w:t>t nature</w:t>
      </w:r>
      <w:r w:rsidRPr="009E1077">
        <w:rPr>
          <w:rFonts w:ascii="Garamond" w:hAnsi="Garamond"/>
        </w:rPr>
        <w:t xml:space="preserve"> of choice. </w:t>
      </w:r>
      <w:r>
        <w:rPr>
          <w:rFonts w:ascii="Garamond" w:hAnsi="Garamond"/>
        </w:rPr>
        <w:t>P</w:t>
      </w:r>
      <w:r w:rsidRPr="009E1077">
        <w:rPr>
          <w:rFonts w:ascii="Garamond" w:hAnsi="Garamond"/>
        </w:rPr>
        <w:t xml:space="preserve">roprietary understandings of the body </w:t>
      </w:r>
      <w:r>
        <w:rPr>
          <w:rFonts w:ascii="Garamond" w:hAnsi="Garamond"/>
        </w:rPr>
        <w:t xml:space="preserve">configure </w:t>
      </w:r>
      <w:r w:rsidRPr="009E1077">
        <w:rPr>
          <w:rFonts w:ascii="Garamond" w:hAnsi="Garamond"/>
        </w:rPr>
        <w:t xml:space="preserve">consent as a permission to </w:t>
      </w:r>
      <w:r w:rsidR="00695F7A">
        <w:rPr>
          <w:rFonts w:ascii="Garamond" w:hAnsi="Garamond"/>
        </w:rPr>
        <w:t xml:space="preserve">access </w:t>
      </w:r>
      <w:r w:rsidR="00147D02">
        <w:rPr>
          <w:rFonts w:ascii="Garamond" w:hAnsi="Garamond"/>
        </w:rPr>
        <w:t xml:space="preserve">or </w:t>
      </w:r>
      <w:r w:rsidR="0058106E">
        <w:rPr>
          <w:rFonts w:ascii="Garamond" w:hAnsi="Garamond"/>
        </w:rPr>
        <w:t>direct</w:t>
      </w:r>
      <w:r w:rsidR="00147D02">
        <w:rPr>
          <w:rFonts w:ascii="Garamond" w:hAnsi="Garamond"/>
        </w:rPr>
        <w:t xml:space="preserve"> </w:t>
      </w:r>
      <w:r w:rsidRPr="009E1077">
        <w:rPr>
          <w:rFonts w:ascii="Garamond" w:hAnsi="Garamond"/>
        </w:rPr>
        <w:t xml:space="preserve">said body: consent operates within this pattern as a signal of submission by </w:t>
      </w:r>
      <w:r>
        <w:rPr>
          <w:rFonts w:ascii="Garamond" w:hAnsi="Garamond"/>
        </w:rPr>
        <w:t>some</w:t>
      </w:r>
      <w:r w:rsidRPr="009E1077">
        <w:rPr>
          <w:rFonts w:ascii="Garamond" w:hAnsi="Garamond"/>
        </w:rPr>
        <w:t xml:space="preserve"> bodies </w:t>
      </w:r>
      <w:r>
        <w:rPr>
          <w:rFonts w:ascii="Garamond" w:hAnsi="Garamond"/>
        </w:rPr>
        <w:t xml:space="preserve">(coded feminine) </w:t>
      </w:r>
      <w:r w:rsidRPr="009E1077">
        <w:rPr>
          <w:rFonts w:ascii="Garamond" w:hAnsi="Garamond"/>
        </w:rPr>
        <w:t>to</w:t>
      </w:r>
      <w:r>
        <w:rPr>
          <w:rFonts w:ascii="Garamond" w:hAnsi="Garamond"/>
        </w:rPr>
        <w:t xml:space="preserve"> dominating</w:t>
      </w:r>
      <w:r w:rsidRPr="009E1077">
        <w:rPr>
          <w:rFonts w:ascii="Garamond" w:hAnsi="Garamond"/>
        </w:rPr>
        <w:t xml:space="preserve"> bodies</w:t>
      </w:r>
      <w:r>
        <w:rPr>
          <w:rFonts w:ascii="Garamond" w:hAnsi="Garamond"/>
        </w:rPr>
        <w:t xml:space="preserve"> (coded masculine)</w:t>
      </w:r>
      <w:r w:rsidRPr="009E1077">
        <w:rPr>
          <w:rFonts w:ascii="Garamond" w:hAnsi="Garamond"/>
        </w:rPr>
        <w:t>.</w:t>
      </w:r>
      <w:r>
        <w:rPr>
          <w:rFonts w:ascii="Garamond" w:hAnsi="Garamond"/>
        </w:rPr>
        <w:t xml:space="preserve"> For example, the practice of the heteronormative ‘marriage contract’, Carol Pateman argues, is one of unequal ‘exchange’ of obedience for protection.</w:t>
      </w:r>
      <w:r w:rsidRPr="00562506">
        <w:rPr>
          <w:rStyle w:val="FootnoteReference"/>
          <w:rFonts w:ascii="Garamond" w:hAnsi="Garamond"/>
        </w:rPr>
        <w:footnoteReference w:id="155"/>
      </w:r>
      <w:r>
        <w:rPr>
          <w:rFonts w:ascii="Garamond" w:hAnsi="Garamond"/>
        </w:rPr>
        <w:t xml:space="preserve"> Similarly the employment contract is marked by unequal bargaining power whereby the </w:t>
      </w:r>
      <w:r w:rsidRPr="00C03AE3">
        <w:rPr>
          <w:rFonts w:ascii="Garamond" w:hAnsi="Garamond"/>
          <w:i/>
          <w:iCs/>
        </w:rPr>
        <w:t>need to survive</w:t>
      </w:r>
      <w:r>
        <w:rPr>
          <w:rFonts w:ascii="Garamond" w:hAnsi="Garamond"/>
          <w:i/>
          <w:iCs/>
        </w:rPr>
        <w:t xml:space="preserve"> </w:t>
      </w:r>
      <w:r>
        <w:rPr>
          <w:rFonts w:ascii="Garamond" w:hAnsi="Garamond"/>
        </w:rPr>
        <w:t>motivates the seemingly consensual commodification of oneself, thus handing over control of one’s body and self to the employer.</w:t>
      </w:r>
      <w:r w:rsidRPr="003C6127">
        <w:rPr>
          <w:rStyle w:val="FootnoteReference"/>
          <w:rFonts w:ascii="Garamond" w:hAnsi="Garamond"/>
        </w:rPr>
        <w:footnoteReference w:id="156"/>
      </w:r>
      <w:r w:rsidRPr="003C6127">
        <w:rPr>
          <w:rFonts w:ascii="Garamond" w:hAnsi="Garamond"/>
        </w:rPr>
        <w:t xml:space="preserve"> </w:t>
      </w:r>
      <w:r w:rsidRPr="009E1077">
        <w:rPr>
          <w:rFonts w:ascii="Garamond" w:hAnsi="Garamond"/>
        </w:rPr>
        <w:t>The contract, as emblematic of freedom of exchange, obscures how certain bodies – racialised and gendered –</w:t>
      </w:r>
      <w:r w:rsidR="00B63FF1">
        <w:rPr>
          <w:rFonts w:ascii="Garamond" w:hAnsi="Garamond"/>
        </w:rPr>
        <w:t xml:space="preserve"> </w:t>
      </w:r>
      <w:r w:rsidRPr="009E1077">
        <w:rPr>
          <w:rFonts w:ascii="Garamond" w:hAnsi="Garamond"/>
        </w:rPr>
        <w:t>are frequently those subject to ‘exchange’ and alienation.</w:t>
      </w:r>
      <w:r>
        <w:rPr>
          <w:rFonts w:ascii="Garamond" w:hAnsi="Garamond"/>
        </w:rPr>
        <w:t xml:space="preserve"> They are the ‘freely’ disposable bodies. </w:t>
      </w:r>
    </w:p>
    <w:p w14:paraId="78153A41" w14:textId="1DD630F5" w:rsidR="006F0D99" w:rsidRPr="009E1077" w:rsidRDefault="006F0D99" w:rsidP="00740662">
      <w:pPr>
        <w:jc w:val="both"/>
        <w:rPr>
          <w:rFonts w:ascii="Garamond" w:hAnsi="Garamond"/>
        </w:rPr>
      </w:pPr>
      <w:r w:rsidRPr="009E1077">
        <w:rPr>
          <w:rFonts w:ascii="Garamond" w:hAnsi="Garamond"/>
        </w:rPr>
        <w:t>Continuing the state/person, territory/body analogy demands a reckoning with the previously made observation that postcolonial</w:t>
      </w:r>
      <w:r>
        <w:rPr>
          <w:rFonts w:ascii="Garamond" w:hAnsi="Garamond"/>
        </w:rPr>
        <w:t>, territorial</w:t>
      </w:r>
      <w:r w:rsidRPr="009E1077">
        <w:rPr>
          <w:rFonts w:ascii="Garamond" w:hAnsi="Garamond"/>
        </w:rPr>
        <w:t xml:space="preserve"> sovereignty</w:t>
      </w:r>
      <w:r>
        <w:rPr>
          <w:rFonts w:ascii="Garamond" w:hAnsi="Garamond"/>
        </w:rPr>
        <w:t xml:space="preserve"> </w:t>
      </w:r>
      <w:r w:rsidRPr="009E1077">
        <w:rPr>
          <w:rFonts w:ascii="Garamond" w:hAnsi="Garamond"/>
        </w:rPr>
        <w:t xml:space="preserve">is marked by its disposability. The practices of neocolonialism convey clearly that land and territory </w:t>
      </w:r>
      <w:r>
        <w:rPr>
          <w:rFonts w:ascii="Garamond" w:hAnsi="Garamond"/>
        </w:rPr>
        <w:t>was</w:t>
      </w:r>
      <w:r w:rsidRPr="009E1077">
        <w:rPr>
          <w:rFonts w:ascii="Garamond" w:hAnsi="Garamond"/>
        </w:rPr>
        <w:t xml:space="preserve"> </w:t>
      </w:r>
      <w:r w:rsidR="00522D00">
        <w:rPr>
          <w:rFonts w:ascii="Garamond" w:hAnsi="Garamond"/>
        </w:rPr>
        <w:t xml:space="preserve">once </w:t>
      </w:r>
      <w:r w:rsidRPr="009E1077">
        <w:rPr>
          <w:rFonts w:ascii="Garamond" w:hAnsi="Garamond"/>
        </w:rPr>
        <w:t xml:space="preserve">forcibly </w:t>
      </w:r>
      <w:r>
        <w:rPr>
          <w:rFonts w:ascii="Garamond" w:hAnsi="Garamond"/>
        </w:rPr>
        <w:t>but</w:t>
      </w:r>
      <w:r w:rsidRPr="009E1077">
        <w:rPr>
          <w:rFonts w:ascii="Garamond" w:hAnsi="Garamond"/>
        </w:rPr>
        <w:t xml:space="preserve"> now ‘freely’ disposed of by postcolonial, or Global South states. Indeed, such contracts of disposal appear a rational means to ‘develop’ across the developing/developed continuum cementing neoliberal, capitalism as the normative model of statehood. This has been made most apparent through the </w:t>
      </w:r>
      <w:r w:rsidRPr="009E1077">
        <w:rPr>
          <w:rFonts w:ascii="Garamond" w:hAnsi="Garamond"/>
        </w:rPr>
        <w:lastRenderedPageBreak/>
        <w:t>imposition of ‘land grabbing’ contracts between postcolonial states and multinational corporations,</w:t>
      </w:r>
      <w:r w:rsidRPr="009E1077">
        <w:rPr>
          <w:rStyle w:val="FootnoteReference"/>
          <w:rFonts w:ascii="Garamond" w:hAnsi="Garamond"/>
        </w:rPr>
        <w:footnoteReference w:id="157"/>
      </w:r>
      <w:r w:rsidRPr="009E1077">
        <w:rPr>
          <w:rFonts w:ascii="Garamond" w:hAnsi="Garamond"/>
        </w:rPr>
        <w:t xml:space="preserve"> alongside the establishment of transnational legal norms protecting those foreign investments from the jurisdiction of the state.</w:t>
      </w:r>
      <w:r w:rsidRPr="009E1077">
        <w:rPr>
          <w:rStyle w:val="FootnoteReference"/>
          <w:rFonts w:ascii="Garamond" w:hAnsi="Garamond"/>
        </w:rPr>
        <w:footnoteReference w:id="158"/>
      </w:r>
      <w:r w:rsidRPr="009E1077">
        <w:rPr>
          <w:rFonts w:ascii="Garamond" w:hAnsi="Garamond"/>
        </w:rPr>
        <w:t xml:space="preserve"> The consensual agreement of Mauritius and the UK must, therefore, be read in the context of resource extraction and militarism which, within the social order of the international community, regularly flows from the Global South to the Global North. Robert Knox demonstrates how the accumulation of capital transitioned from being an explicitly racist project to an insidious one. Drawing on the work of </w:t>
      </w:r>
      <w:proofErr w:type="spellStart"/>
      <w:r w:rsidRPr="009E1077">
        <w:rPr>
          <w:rFonts w:ascii="Garamond" w:hAnsi="Garamond"/>
        </w:rPr>
        <w:t>Ntina</w:t>
      </w:r>
      <w:proofErr w:type="spellEnd"/>
      <w:r w:rsidRPr="009E1077">
        <w:rPr>
          <w:rFonts w:ascii="Garamond" w:hAnsi="Garamond"/>
        </w:rPr>
        <w:t xml:space="preserve"> Tzouvala, he argues that the drive of capitalism</w:t>
      </w:r>
      <w:r>
        <w:rPr>
          <w:rFonts w:ascii="Garamond" w:hAnsi="Garamond"/>
        </w:rPr>
        <w:t xml:space="preserve"> </w:t>
      </w:r>
      <w:r w:rsidR="003F027F">
        <w:rPr>
          <w:rFonts w:ascii="Garamond" w:hAnsi="Garamond"/>
        </w:rPr>
        <w:t>‘</w:t>
      </w:r>
      <w:r>
        <w:rPr>
          <w:rFonts w:ascii="Garamond" w:hAnsi="Garamond"/>
        </w:rPr>
        <w:t>encourage[ed]</w:t>
      </w:r>
      <w:r w:rsidRPr="009E1077">
        <w:rPr>
          <w:rFonts w:ascii="Garamond" w:hAnsi="Garamond"/>
        </w:rPr>
        <w:t xml:space="preserve"> non-European states to </w:t>
      </w:r>
      <w:r w:rsidR="003F027F">
        <w:rPr>
          <w:rFonts w:ascii="Garamond" w:hAnsi="Garamond"/>
        </w:rPr>
        <w:t>“</w:t>
      </w:r>
      <w:r w:rsidRPr="009E1077">
        <w:rPr>
          <w:rFonts w:ascii="Garamond" w:hAnsi="Garamond"/>
        </w:rPr>
        <w:t>civilise</w:t>
      </w:r>
      <w:r w:rsidR="003F027F">
        <w:rPr>
          <w:rFonts w:ascii="Garamond" w:hAnsi="Garamond"/>
        </w:rPr>
        <w:t>”</w:t>
      </w:r>
      <w:r w:rsidRPr="009E1077">
        <w:rPr>
          <w:rFonts w:ascii="Garamond" w:hAnsi="Garamond"/>
        </w:rPr>
        <w:t xml:space="preserve"> themselves</w:t>
      </w:r>
      <w:r w:rsidR="003F027F">
        <w:rPr>
          <w:rFonts w:ascii="Garamond" w:hAnsi="Garamond"/>
        </w:rPr>
        <w:t>’</w:t>
      </w:r>
      <w:r w:rsidRPr="009E1077">
        <w:rPr>
          <w:rFonts w:ascii="Garamond" w:hAnsi="Garamond"/>
        </w:rPr>
        <w:t>, and entering into unequal treaties was one such way of doing so.</w:t>
      </w:r>
      <w:r w:rsidRPr="009E1077">
        <w:rPr>
          <w:rStyle w:val="FootnoteReference"/>
          <w:rFonts w:ascii="Garamond" w:hAnsi="Garamond"/>
        </w:rPr>
        <w:footnoteReference w:id="159"/>
      </w:r>
      <w:r w:rsidRPr="009E1077">
        <w:rPr>
          <w:rFonts w:ascii="Garamond" w:hAnsi="Garamond"/>
        </w:rPr>
        <w:t xml:space="preserve"> The treaties, or in this case the agreement, </w:t>
      </w:r>
      <w:r w:rsidR="002A4B8C">
        <w:rPr>
          <w:rFonts w:ascii="Garamond" w:hAnsi="Garamond"/>
        </w:rPr>
        <w:t>operate within</w:t>
      </w:r>
      <w:r w:rsidRPr="009E1077">
        <w:rPr>
          <w:rFonts w:ascii="Garamond" w:hAnsi="Garamond"/>
        </w:rPr>
        <w:t xml:space="preserve"> the liberal legal frame which naturalises the embedding of unequal, racialised transactions over commodities, which extends to rights of </w:t>
      </w:r>
      <w:r w:rsidRPr="009E1077">
        <w:rPr>
          <w:rFonts w:ascii="Garamond" w:hAnsi="Garamond"/>
          <w:i/>
          <w:iCs/>
        </w:rPr>
        <w:t xml:space="preserve">ownership </w:t>
      </w:r>
      <w:r w:rsidRPr="009E1077">
        <w:rPr>
          <w:rFonts w:ascii="Garamond" w:hAnsi="Garamond"/>
        </w:rPr>
        <w:t xml:space="preserve">over land/territorial sovereignty. This context allows us to see beyond the veil of contracts and consent which construct formal equality with international law as its guarantor. </w:t>
      </w:r>
    </w:p>
    <w:p w14:paraId="6168C45A" w14:textId="3D3C460D" w:rsidR="006F0D99" w:rsidRPr="009E1077" w:rsidRDefault="006F0D99" w:rsidP="00740662">
      <w:pPr>
        <w:jc w:val="both"/>
        <w:rPr>
          <w:rFonts w:ascii="Garamond" w:hAnsi="Garamond"/>
        </w:rPr>
      </w:pPr>
      <w:r w:rsidRPr="009E1077">
        <w:rPr>
          <w:rFonts w:ascii="Garamond" w:hAnsi="Garamond"/>
        </w:rPr>
        <w:t>Yet, the Mauriti</w:t>
      </w:r>
      <w:r>
        <w:rPr>
          <w:rFonts w:ascii="Garamond" w:hAnsi="Garamond"/>
        </w:rPr>
        <w:t>an</w:t>
      </w:r>
      <w:r w:rsidRPr="009E1077">
        <w:rPr>
          <w:rFonts w:ascii="Garamond" w:hAnsi="Garamond"/>
        </w:rPr>
        <w:t xml:space="preserve"> state is not simply a powerless victim. Crucially, feminists have had to grapple with the role of agency within broad structures of oppression and inequality. Work on autonomy and consent shows how </w:t>
      </w:r>
      <w:r>
        <w:rPr>
          <w:rFonts w:ascii="Garamond" w:hAnsi="Garamond"/>
        </w:rPr>
        <w:t>subjugated</w:t>
      </w:r>
      <w:r w:rsidRPr="009E1077">
        <w:rPr>
          <w:rFonts w:ascii="Garamond" w:hAnsi="Garamond"/>
        </w:rPr>
        <w:t xml:space="preserve"> persons are </w:t>
      </w:r>
      <w:r>
        <w:rPr>
          <w:rFonts w:ascii="Garamond" w:hAnsi="Garamond"/>
        </w:rPr>
        <w:t xml:space="preserve">neither </w:t>
      </w:r>
      <w:r w:rsidR="001E0E32">
        <w:rPr>
          <w:rFonts w:ascii="Garamond" w:hAnsi="Garamond"/>
        </w:rPr>
        <w:t>lacking in agency</w:t>
      </w:r>
      <w:r>
        <w:rPr>
          <w:rFonts w:ascii="Garamond" w:hAnsi="Garamond"/>
        </w:rPr>
        <w:t xml:space="preserve"> nor fully autonomous but </w:t>
      </w:r>
      <w:r w:rsidRPr="009E1077">
        <w:rPr>
          <w:rFonts w:ascii="Garamond" w:hAnsi="Garamond"/>
        </w:rPr>
        <w:t>enmeshed within social</w:t>
      </w:r>
      <w:r>
        <w:rPr>
          <w:rFonts w:ascii="Garamond" w:hAnsi="Garamond"/>
        </w:rPr>
        <w:t>, political and</w:t>
      </w:r>
      <w:r w:rsidRPr="009E1077">
        <w:rPr>
          <w:rFonts w:ascii="Garamond" w:hAnsi="Garamond"/>
        </w:rPr>
        <w:t xml:space="preserve"> economic relations, thereby holders of partial and relational agency.</w:t>
      </w:r>
      <w:r w:rsidRPr="009E1077">
        <w:rPr>
          <w:rStyle w:val="FootnoteReference"/>
          <w:rFonts w:ascii="Garamond" w:hAnsi="Garamond"/>
        </w:rPr>
        <w:footnoteReference w:id="160"/>
      </w:r>
      <w:r w:rsidRPr="009E1077">
        <w:rPr>
          <w:rFonts w:ascii="Garamond" w:hAnsi="Garamond"/>
        </w:rPr>
        <w:t xml:space="preserve"> </w:t>
      </w:r>
      <w:r>
        <w:rPr>
          <w:rFonts w:ascii="Garamond" w:hAnsi="Garamond"/>
        </w:rPr>
        <w:t>The</w:t>
      </w:r>
      <w:r w:rsidRPr="009E1077">
        <w:rPr>
          <w:rFonts w:ascii="Garamond" w:hAnsi="Garamond"/>
        </w:rPr>
        <w:t xml:space="preserve"> autonomy </w:t>
      </w:r>
      <w:r>
        <w:rPr>
          <w:rFonts w:ascii="Garamond" w:hAnsi="Garamond"/>
        </w:rPr>
        <w:t xml:space="preserve">of Mauritius </w:t>
      </w:r>
      <w:r w:rsidRPr="009E1077">
        <w:rPr>
          <w:rFonts w:ascii="Garamond" w:hAnsi="Garamond"/>
        </w:rPr>
        <w:t>is</w:t>
      </w:r>
      <w:r>
        <w:rPr>
          <w:rFonts w:ascii="Garamond" w:hAnsi="Garamond"/>
        </w:rPr>
        <w:t xml:space="preserve"> </w:t>
      </w:r>
      <w:r w:rsidRPr="009E1077">
        <w:rPr>
          <w:rFonts w:ascii="Garamond" w:hAnsi="Garamond"/>
        </w:rPr>
        <w:t>tied up within that of the (greater) agency of the UK and the US and situated within a neoliberal, capitalist social order. While the negotiations over the 2025 agreement are not transparent, Paul Bérenger</w:t>
      </w:r>
      <w:r>
        <w:rPr>
          <w:rFonts w:ascii="Garamond" w:hAnsi="Garamond"/>
        </w:rPr>
        <w:t>, Deputy Prime Minister of Marutius,</w:t>
      </w:r>
      <w:r w:rsidRPr="009E1077">
        <w:rPr>
          <w:rFonts w:ascii="Garamond" w:hAnsi="Garamond"/>
        </w:rPr>
        <w:t xml:space="preserve"> indicated that the agreement was delayed due to disagreements over finances. </w:t>
      </w:r>
      <w:r>
        <w:rPr>
          <w:rFonts w:ascii="Garamond" w:hAnsi="Garamond"/>
        </w:rPr>
        <w:t>Here he</w:t>
      </w:r>
      <w:r w:rsidRPr="009E1077">
        <w:rPr>
          <w:rFonts w:ascii="Garamond" w:hAnsi="Garamond"/>
        </w:rPr>
        <w:t xml:space="preserve"> invokes the language of sovereignty, nationalism and ownership: </w:t>
      </w:r>
    </w:p>
    <w:p w14:paraId="0B418A63" w14:textId="4B9AFD4C" w:rsidR="006F0D99" w:rsidRPr="009E1077" w:rsidRDefault="006F0D99" w:rsidP="00740662">
      <w:pPr>
        <w:ind w:left="720"/>
        <w:jc w:val="both"/>
        <w:rPr>
          <w:rFonts w:ascii="Garamond" w:hAnsi="Garamond"/>
        </w:rPr>
      </w:pPr>
      <w:r w:rsidRPr="009E1077">
        <w:rPr>
          <w:rFonts w:ascii="Garamond" w:hAnsi="Garamond"/>
        </w:rPr>
        <w:t>This base existed on our land, on our territory…but not only i</w:t>
      </w:r>
      <w:r w:rsidR="00DE0E40">
        <w:rPr>
          <w:rFonts w:ascii="Garamond" w:hAnsi="Garamond"/>
        </w:rPr>
        <w:t>s it</w:t>
      </w:r>
      <w:r w:rsidRPr="009E1077">
        <w:rPr>
          <w:rFonts w:ascii="Garamond" w:hAnsi="Garamond"/>
        </w:rPr>
        <w:t xml:space="preserve"> [about] our sovereignty. There are some things you can’t accept if you’re a true patriot. They are trying to make us sign and they are quibbling on a small amount.</w:t>
      </w:r>
      <w:r w:rsidRPr="009E1077">
        <w:rPr>
          <w:rStyle w:val="FootnoteReference"/>
          <w:rFonts w:ascii="Garamond" w:hAnsi="Garamond"/>
        </w:rPr>
        <w:footnoteReference w:id="161"/>
      </w:r>
    </w:p>
    <w:p w14:paraId="6C66BBB3" w14:textId="44E39612" w:rsidR="006F0D99" w:rsidRPr="009E1077" w:rsidRDefault="006F0D99" w:rsidP="00740662">
      <w:pPr>
        <w:jc w:val="both"/>
        <w:rPr>
          <w:rFonts w:ascii="Garamond" w:hAnsi="Garamond"/>
        </w:rPr>
      </w:pPr>
      <w:r w:rsidRPr="009E1077">
        <w:rPr>
          <w:rFonts w:ascii="Garamond" w:hAnsi="Garamond"/>
        </w:rPr>
        <w:t xml:space="preserve">This possessive language </w:t>
      </w:r>
      <w:r>
        <w:rPr>
          <w:rFonts w:ascii="Garamond" w:hAnsi="Garamond"/>
        </w:rPr>
        <w:t xml:space="preserve">maintains land alienation in the name of state ownership. </w:t>
      </w:r>
      <w:r w:rsidRPr="009E1077">
        <w:rPr>
          <w:rFonts w:ascii="Garamond" w:hAnsi="Garamond"/>
        </w:rPr>
        <w:t xml:space="preserve">The </w:t>
      </w:r>
      <w:r>
        <w:rPr>
          <w:rFonts w:ascii="Garamond" w:hAnsi="Garamond"/>
        </w:rPr>
        <w:t xml:space="preserve">land serves as a commodity for value extraction. </w:t>
      </w:r>
      <w:r w:rsidRPr="009E1077">
        <w:rPr>
          <w:rFonts w:ascii="Garamond" w:hAnsi="Garamond"/>
        </w:rPr>
        <w:t xml:space="preserve">Importantly, the impersonal register of proprietorship is in stark contrast to the </w:t>
      </w:r>
      <w:r>
        <w:rPr>
          <w:rFonts w:ascii="Garamond" w:hAnsi="Garamond"/>
        </w:rPr>
        <w:t xml:space="preserve">more fulsome registers of indigenous relations with land which we see expressed by members of the Chagossian community. </w:t>
      </w:r>
      <w:r w:rsidRPr="009E1077">
        <w:rPr>
          <w:rFonts w:ascii="Garamond" w:hAnsi="Garamond"/>
        </w:rPr>
        <w:t xml:space="preserve">For example, the Chagos Islanders Movement </w:t>
      </w:r>
      <w:r>
        <w:rPr>
          <w:rFonts w:ascii="Garamond" w:hAnsi="Garamond"/>
        </w:rPr>
        <w:t>stressed:</w:t>
      </w:r>
    </w:p>
    <w:p w14:paraId="3C3BA3A9" w14:textId="015A6438" w:rsidR="006F0D99" w:rsidRPr="009E1077" w:rsidRDefault="006F0D99" w:rsidP="00740662">
      <w:pPr>
        <w:ind w:left="720"/>
        <w:jc w:val="both"/>
        <w:rPr>
          <w:rFonts w:ascii="Garamond" w:hAnsi="Garamond"/>
        </w:rPr>
      </w:pPr>
      <w:r w:rsidRPr="009E1077">
        <w:rPr>
          <w:rFonts w:ascii="Garamond" w:hAnsi="Garamond"/>
        </w:rPr>
        <w:t xml:space="preserve">[t]he Chagos Islands are more than just a location; they are our heritage, and we take immense pride in being the stewards of this unique environment…. Our deep connection </w:t>
      </w:r>
      <w:r w:rsidRPr="009E1077">
        <w:rPr>
          <w:rFonts w:ascii="Garamond" w:hAnsi="Garamond"/>
        </w:rPr>
        <w:lastRenderedPageBreak/>
        <w:t>to the land and sea means that we have a vested interest in their preservation and sustainable management.</w:t>
      </w:r>
      <w:r w:rsidRPr="009E1077">
        <w:rPr>
          <w:rStyle w:val="FootnoteReference"/>
          <w:rFonts w:ascii="Garamond" w:hAnsi="Garamond"/>
        </w:rPr>
        <w:footnoteReference w:id="162"/>
      </w:r>
      <w:r w:rsidRPr="009E1077">
        <w:rPr>
          <w:rFonts w:ascii="Garamond" w:hAnsi="Garamond"/>
        </w:rPr>
        <w:t xml:space="preserve">  </w:t>
      </w:r>
    </w:p>
    <w:p w14:paraId="4D258578" w14:textId="77777777" w:rsidR="00F46320" w:rsidRDefault="006F0D99" w:rsidP="00740662">
      <w:pPr>
        <w:jc w:val="both"/>
        <w:rPr>
          <w:rFonts w:ascii="Garamond" w:hAnsi="Garamond"/>
        </w:rPr>
      </w:pPr>
      <w:r w:rsidRPr="009E1077">
        <w:rPr>
          <w:rFonts w:ascii="Garamond" w:hAnsi="Garamond"/>
        </w:rPr>
        <w:t xml:space="preserve">This language resists the distancing of the possessive self, collapsing the Cartesian mind-body dualism. </w:t>
      </w:r>
      <w:r>
        <w:rPr>
          <w:rFonts w:ascii="Garamond" w:hAnsi="Garamond"/>
        </w:rPr>
        <w:t>To be steward</w:t>
      </w:r>
      <w:r w:rsidR="00673865">
        <w:rPr>
          <w:rFonts w:ascii="Garamond" w:hAnsi="Garamond"/>
        </w:rPr>
        <w:t>s</w:t>
      </w:r>
      <w:r>
        <w:rPr>
          <w:rFonts w:ascii="Garamond" w:hAnsi="Garamond"/>
        </w:rPr>
        <w:t xml:space="preserve"> over land is to disavow capitalist impulses which see it as subject to ownership and control. </w:t>
      </w:r>
      <w:r w:rsidRPr="009E1077">
        <w:rPr>
          <w:rFonts w:ascii="Garamond" w:hAnsi="Garamond"/>
        </w:rPr>
        <w:t xml:space="preserve">The land is constituted for many as a part of self and identity, not as a distanced possession. Yet this relation is not intelligible within the frames of consent-based liberal legalism. In contrast, </w:t>
      </w:r>
      <w:r>
        <w:rPr>
          <w:rFonts w:ascii="Garamond" w:hAnsi="Garamond"/>
        </w:rPr>
        <w:t>the state</w:t>
      </w:r>
      <w:r w:rsidR="00A61D25">
        <w:rPr>
          <w:rFonts w:ascii="Garamond" w:hAnsi="Garamond"/>
        </w:rPr>
        <w:t xml:space="preserve"> of Mauritius</w:t>
      </w:r>
      <w:r>
        <w:rPr>
          <w:rFonts w:ascii="Garamond" w:hAnsi="Garamond"/>
        </w:rPr>
        <w:t xml:space="preserve"> </w:t>
      </w:r>
      <w:r w:rsidRPr="009E1077">
        <w:rPr>
          <w:rFonts w:ascii="Garamond" w:hAnsi="Garamond"/>
        </w:rPr>
        <w:t>reproduces the mind-body dualism and so wields the</w:t>
      </w:r>
      <w:r>
        <w:rPr>
          <w:rFonts w:ascii="Garamond" w:hAnsi="Garamond"/>
        </w:rPr>
        <w:t xml:space="preserve"> (</w:t>
      </w:r>
      <w:r w:rsidRPr="009E1077">
        <w:rPr>
          <w:rFonts w:ascii="Garamond" w:hAnsi="Garamond"/>
        </w:rPr>
        <w:t>albeit partial</w:t>
      </w:r>
      <w:r>
        <w:rPr>
          <w:rFonts w:ascii="Garamond" w:hAnsi="Garamond"/>
        </w:rPr>
        <w:t>)</w:t>
      </w:r>
      <w:r w:rsidRPr="009E1077">
        <w:rPr>
          <w:rFonts w:ascii="Garamond" w:hAnsi="Garamond"/>
        </w:rPr>
        <w:t xml:space="preserve"> agency of state relations</w:t>
      </w:r>
      <w:r>
        <w:rPr>
          <w:rFonts w:ascii="Garamond" w:hAnsi="Garamond"/>
        </w:rPr>
        <w:t xml:space="preserve"> which is unavailable to </w:t>
      </w:r>
      <w:proofErr w:type="spellStart"/>
      <w:r>
        <w:rPr>
          <w:rFonts w:ascii="Garamond" w:hAnsi="Garamond"/>
        </w:rPr>
        <w:t>Chagossians</w:t>
      </w:r>
      <w:proofErr w:type="spellEnd"/>
      <w:r w:rsidRPr="009E1077">
        <w:rPr>
          <w:rFonts w:ascii="Garamond" w:hAnsi="Garamond"/>
        </w:rPr>
        <w:t>. In taking up contractual, liberal registers, therefore, Mauritius effectively compounds the alienation and dispossession of the land from the Chagossian people.</w:t>
      </w:r>
    </w:p>
    <w:p w14:paraId="570257F2" w14:textId="2E9CB702" w:rsidR="006F0D99" w:rsidRDefault="006F0D99" w:rsidP="00740662">
      <w:pPr>
        <w:jc w:val="both"/>
        <w:rPr>
          <w:rFonts w:ascii="Garamond" w:hAnsi="Garamond"/>
        </w:rPr>
      </w:pPr>
      <w:r w:rsidRPr="009E1077">
        <w:rPr>
          <w:rFonts w:ascii="Garamond" w:hAnsi="Garamond"/>
        </w:rPr>
        <w:t xml:space="preserve"> </w:t>
      </w:r>
    </w:p>
    <w:p w14:paraId="4877C38E" w14:textId="140733F2" w:rsidR="0083198E" w:rsidRPr="00E35653" w:rsidRDefault="0083198E" w:rsidP="00F46320">
      <w:pPr>
        <w:pStyle w:val="Heading1"/>
      </w:pPr>
      <w:r w:rsidRPr="00E35653">
        <w:t>Conclusion</w:t>
      </w:r>
    </w:p>
    <w:p w14:paraId="529DDF82" w14:textId="7FF89114" w:rsidR="000F0E28" w:rsidRDefault="00F819B9" w:rsidP="00740662">
      <w:pPr>
        <w:jc w:val="both"/>
        <w:rPr>
          <w:rFonts w:ascii="Garamond" w:hAnsi="Garamond"/>
        </w:rPr>
      </w:pPr>
      <w:r>
        <w:rPr>
          <w:rFonts w:ascii="Garamond" w:hAnsi="Garamond"/>
        </w:rPr>
        <w:t>The A</w:t>
      </w:r>
      <w:r w:rsidR="00A43C2C">
        <w:rPr>
          <w:rFonts w:ascii="Garamond" w:hAnsi="Garamond"/>
        </w:rPr>
        <w:t>O</w:t>
      </w:r>
      <w:r>
        <w:rPr>
          <w:rFonts w:ascii="Garamond" w:hAnsi="Garamond"/>
        </w:rPr>
        <w:t xml:space="preserve"> of the ICJ </w:t>
      </w:r>
      <w:r w:rsidR="0072433D">
        <w:rPr>
          <w:rFonts w:ascii="Garamond" w:hAnsi="Garamond"/>
        </w:rPr>
        <w:t>has certainly made some modest contributions towards the decolonisation of the Chagos Archipelago</w:t>
      </w:r>
      <w:r w:rsidR="00D133F5">
        <w:rPr>
          <w:rFonts w:ascii="Garamond" w:hAnsi="Garamond"/>
        </w:rPr>
        <w:t xml:space="preserve">. </w:t>
      </w:r>
      <w:r w:rsidR="003969E6">
        <w:rPr>
          <w:rFonts w:ascii="Garamond" w:hAnsi="Garamond"/>
        </w:rPr>
        <w:t>However</w:t>
      </w:r>
      <w:r w:rsidR="00AE79F8">
        <w:rPr>
          <w:rFonts w:ascii="Garamond" w:hAnsi="Garamond"/>
        </w:rPr>
        <w:t>, it offers a</w:t>
      </w:r>
      <w:r w:rsidR="007475DD">
        <w:rPr>
          <w:rFonts w:ascii="Garamond" w:hAnsi="Garamond"/>
        </w:rPr>
        <w:t xml:space="preserve"> pyrrhic victory </w:t>
      </w:r>
      <w:r w:rsidR="002A6AD1">
        <w:rPr>
          <w:rFonts w:ascii="Garamond" w:hAnsi="Garamond"/>
        </w:rPr>
        <w:t xml:space="preserve">which leaves </w:t>
      </w:r>
      <w:r w:rsidR="003969E6">
        <w:rPr>
          <w:rFonts w:ascii="Garamond" w:hAnsi="Garamond"/>
        </w:rPr>
        <w:t xml:space="preserve">the status quo </w:t>
      </w:r>
      <w:r w:rsidR="002A6AD1">
        <w:rPr>
          <w:rFonts w:ascii="Garamond" w:hAnsi="Garamond"/>
        </w:rPr>
        <w:t>largely in place</w:t>
      </w:r>
      <w:r w:rsidR="003969E6">
        <w:rPr>
          <w:rFonts w:ascii="Garamond" w:hAnsi="Garamond"/>
        </w:rPr>
        <w:t xml:space="preserve">, </w:t>
      </w:r>
      <w:r w:rsidR="00640F0E">
        <w:rPr>
          <w:rFonts w:ascii="Garamond" w:hAnsi="Garamond"/>
        </w:rPr>
        <w:t xml:space="preserve">perpetuating the </w:t>
      </w:r>
      <w:r w:rsidR="007C3535">
        <w:rPr>
          <w:rFonts w:ascii="Garamond" w:hAnsi="Garamond"/>
        </w:rPr>
        <w:t xml:space="preserve">ongoing subordination and dispossession of the Chagossian people. The </w:t>
      </w:r>
      <w:r w:rsidR="00782E18">
        <w:rPr>
          <w:rFonts w:ascii="Garamond" w:hAnsi="Garamond"/>
        </w:rPr>
        <w:t xml:space="preserve">logics of the court </w:t>
      </w:r>
      <w:r w:rsidR="00F844A4">
        <w:rPr>
          <w:rFonts w:ascii="Garamond" w:hAnsi="Garamond"/>
        </w:rPr>
        <w:t>rest</w:t>
      </w:r>
      <w:r w:rsidR="00782E18">
        <w:rPr>
          <w:rFonts w:ascii="Garamond" w:hAnsi="Garamond"/>
        </w:rPr>
        <w:t xml:space="preserve"> upon </w:t>
      </w:r>
      <w:r w:rsidR="00F844A4">
        <w:rPr>
          <w:rFonts w:ascii="Garamond" w:hAnsi="Garamond"/>
        </w:rPr>
        <w:t xml:space="preserve">the </w:t>
      </w:r>
      <w:r w:rsidR="00782E18">
        <w:rPr>
          <w:rFonts w:ascii="Garamond" w:hAnsi="Garamond"/>
        </w:rPr>
        <w:t xml:space="preserve">liberal </w:t>
      </w:r>
      <w:r w:rsidR="00F844A4">
        <w:rPr>
          <w:rFonts w:ascii="Garamond" w:hAnsi="Garamond"/>
        </w:rPr>
        <w:t>ideals</w:t>
      </w:r>
      <w:r w:rsidR="00782E18">
        <w:rPr>
          <w:rFonts w:ascii="Garamond" w:hAnsi="Garamond"/>
        </w:rPr>
        <w:t xml:space="preserve"> of consent and </w:t>
      </w:r>
      <w:proofErr w:type="spellStart"/>
      <w:r w:rsidR="00782E18">
        <w:rPr>
          <w:rFonts w:ascii="Garamond" w:hAnsi="Garamond"/>
        </w:rPr>
        <w:t>contractualism</w:t>
      </w:r>
      <w:proofErr w:type="spellEnd"/>
      <w:r w:rsidR="00782E18">
        <w:rPr>
          <w:rFonts w:ascii="Garamond" w:hAnsi="Garamond"/>
        </w:rPr>
        <w:t xml:space="preserve"> </w:t>
      </w:r>
      <w:r w:rsidR="00AE79F8">
        <w:rPr>
          <w:rFonts w:ascii="Garamond" w:hAnsi="Garamond"/>
        </w:rPr>
        <w:t xml:space="preserve">bound to </w:t>
      </w:r>
      <w:r w:rsidR="002653E7">
        <w:rPr>
          <w:rFonts w:ascii="Garamond" w:hAnsi="Garamond"/>
        </w:rPr>
        <w:t>the personified state</w:t>
      </w:r>
      <w:r w:rsidR="00435F33">
        <w:rPr>
          <w:rFonts w:ascii="Garamond" w:hAnsi="Garamond"/>
        </w:rPr>
        <w:t xml:space="preserve">. </w:t>
      </w:r>
      <w:r w:rsidR="00280F88">
        <w:rPr>
          <w:rFonts w:ascii="Garamond" w:hAnsi="Garamond"/>
        </w:rPr>
        <w:t xml:space="preserve">Self-determination </w:t>
      </w:r>
      <w:r w:rsidR="00D52D36">
        <w:rPr>
          <w:rFonts w:ascii="Garamond" w:hAnsi="Garamond"/>
        </w:rPr>
        <w:t xml:space="preserve">requires the </w:t>
      </w:r>
      <w:r w:rsidR="00243245">
        <w:rPr>
          <w:rFonts w:ascii="Garamond" w:hAnsi="Garamond"/>
        </w:rPr>
        <w:t>machinery</w:t>
      </w:r>
      <w:r w:rsidR="00D52D36">
        <w:rPr>
          <w:rFonts w:ascii="Garamond" w:hAnsi="Garamond"/>
        </w:rPr>
        <w:t xml:space="preserve"> of </w:t>
      </w:r>
      <w:r w:rsidR="00D52D36">
        <w:rPr>
          <w:rFonts w:ascii="Garamond" w:hAnsi="Garamond"/>
          <w:i/>
          <w:iCs/>
        </w:rPr>
        <w:t xml:space="preserve">a state </w:t>
      </w:r>
      <w:r w:rsidR="00D52D36">
        <w:rPr>
          <w:rFonts w:ascii="Garamond" w:hAnsi="Garamond"/>
        </w:rPr>
        <w:t xml:space="preserve">through which the </w:t>
      </w:r>
      <w:r w:rsidR="00382397">
        <w:rPr>
          <w:rFonts w:ascii="Garamond" w:hAnsi="Garamond"/>
        </w:rPr>
        <w:t>will of the people is expressed</w:t>
      </w:r>
      <w:r w:rsidR="003B421A">
        <w:rPr>
          <w:rFonts w:ascii="Garamond" w:hAnsi="Garamond"/>
        </w:rPr>
        <w:t xml:space="preserve">. </w:t>
      </w:r>
      <w:r w:rsidR="00C72B1C">
        <w:rPr>
          <w:rFonts w:ascii="Garamond" w:hAnsi="Garamond"/>
        </w:rPr>
        <w:t>However, a</w:t>
      </w:r>
      <w:r w:rsidR="00243245">
        <w:rPr>
          <w:rFonts w:ascii="Garamond" w:hAnsi="Garamond"/>
        </w:rPr>
        <w:t xml:space="preserve">s the </w:t>
      </w:r>
      <w:r w:rsidR="00362BEF">
        <w:rPr>
          <w:rFonts w:ascii="Garamond" w:hAnsi="Garamond"/>
        </w:rPr>
        <w:t>recent 2025 agreement shows, the state</w:t>
      </w:r>
      <w:r w:rsidR="00714527">
        <w:rPr>
          <w:rFonts w:ascii="Garamond" w:hAnsi="Garamond"/>
        </w:rPr>
        <w:t xml:space="preserve"> of Mauritius</w:t>
      </w:r>
      <w:r w:rsidR="00362BEF">
        <w:rPr>
          <w:rFonts w:ascii="Garamond" w:hAnsi="Garamond"/>
        </w:rPr>
        <w:t>, while the relevant</w:t>
      </w:r>
      <w:r w:rsidR="00506832">
        <w:rPr>
          <w:rFonts w:ascii="Garamond" w:hAnsi="Garamond"/>
        </w:rPr>
        <w:t xml:space="preserve"> postcolonial state</w:t>
      </w:r>
      <w:r w:rsidR="00362BEF">
        <w:rPr>
          <w:rFonts w:ascii="Garamond" w:hAnsi="Garamond"/>
        </w:rPr>
        <w:t xml:space="preserve">, </w:t>
      </w:r>
      <w:r w:rsidR="00750A48">
        <w:rPr>
          <w:rFonts w:ascii="Garamond" w:hAnsi="Garamond"/>
        </w:rPr>
        <w:t xml:space="preserve">is </w:t>
      </w:r>
      <w:r w:rsidR="002E308A">
        <w:rPr>
          <w:rFonts w:ascii="Garamond" w:hAnsi="Garamond"/>
        </w:rPr>
        <w:t xml:space="preserve">subject to </w:t>
      </w:r>
      <w:r w:rsidR="00D421B3">
        <w:rPr>
          <w:rFonts w:ascii="Garamond" w:hAnsi="Garamond"/>
        </w:rPr>
        <w:t>neocolonial</w:t>
      </w:r>
      <w:r w:rsidR="00C72B1C">
        <w:rPr>
          <w:rFonts w:ascii="Garamond" w:hAnsi="Garamond"/>
        </w:rPr>
        <w:t>, capitalist</w:t>
      </w:r>
      <w:r w:rsidR="00D421B3">
        <w:rPr>
          <w:rFonts w:ascii="Garamond" w:hAnsi="Garamond"/>
        </w:rPr>
        <w:t xml:space="preserve"> hierarchies which restrain and shape its autonomy.</w:t>
      </w:r>
      <w:r w:rsidR="00506832">
        <w:rPr>
          <w:rFonts w:ascii="Garamond" w:hAnsi="Garamond"/>
        </w:rPr>
        <w:t xml:space="preserve"> </w:t>
      </w:r>
      <w:r w:rsidR="00BB4318">
        <w:rPr>
          <w:rFonts w:ascii="Garamond" w:hAnsi="Garamond"/>
        </w:rPr>
        <w:t xml:space="preserve">Instead of </w:t>
      </w:r>
      <w:r w:rsidR="00EB60BD">
        <w:rPr>
          <w:rFonts w:ascii="Garamond" w:hAnsi="Garamond"/>
        </w:rPr>
        <w:t xml:space="preserve">seeking to remedy the colonial injury inflicted against the </w:t>
      </w:r>
      <w:proofErr w:type="spellStart"/>
      <w:r w:rsidR="00EB60BD">
        <w:rPr>
          <w:rFonts w:ascii="Garamond" w:hAnsi="Garamond"/>
        </w:rPr>
        <w:t>Chagossians</w:t>
      </w:r>
      <w:proofErr w:type="spellEnd"/>
      <w:r w:rsidR="00EB60BD">
        <w:rPr>
          <w:rFonts w:ascii="Garamond" w:hAnsi="Garamond"/>
        </w:rPr>
        <w:t xml:space="preserve">, Mauritius </w:t>
      </w:r>
      <w:r w:rsidR="009B3C43">
        <w:rPr>
          <w:rFonts w:ascii="Garamond" w:hAnsi="Garamond"/>
        </w:rPr>
        <w:t xml:space="preserve">sustains </w:t>
      </w:r>
      <w:r w:rsidR="00A07B4A">
        <w:rPr>
          <w:rFonts w:ascii="Garamond" w:hAnsi="Garamond"/>
        </w:rPr>
        <w:t xml:space="preserve">the commodification of the islands, seeking to ‘freely’ extract </w:t>
      </w:r>
      <w:r w:rsidR="00263AB3">
        <w:rPr>
          <w:rFonts w:ascii="Garamond" w:hAnsi="Garamond"/>
        </w:rPr>
        <w:t>monetary value</w:t>
      </w:r>
      <w:r w:rsidR="008F3016">
        <w:rPr>
          <w:rFonts w:ascii="Garamond" w:hAnsi="Garamond"/>
        </w:rPr>
        <w:t xml:space="preserve"> from them</w:t>
      </w:r>
      <w:r w:rsidR="00263AB3">
        <w:rPr>
          <w:rFonts w:ascii="Garamond" w:hAnsi="Garamond"/>
        </w:rPr>
        <w:t>,</w:t>
      </w:r>
      <w:r w:rsidR="008F3016">
        <w:rPr>
          <w:rFonts w:ascii="Garamond" w:hAnsi="Garamond"/>
        </w:rPr>
        <w:t xml:space="preserve"> by contractually permitting</w:t>
      </w:r>
      <w:r w:rsidR="00263AB3">
        <w:rPr>
          <w:rFonts w:ascii="Garamond" w:hAnsi="Garamond"/>
        </w:rPr>
        <w:t xml:space="preserve"> the US and the UK military </w:t>
      </w:r>
      <w:r w:rsidR="009B3C43">
        <w:rPr>
          <w:rFonts w:ascii="Garamond" w:hAnsi="Garamond"/>
        </w:rPr>
        <w:t>control over Diego Garcia.</w:t>
      </w:r>
      <w:r w:rsidR="00D97DA8">
        <w:rPr>
          <w:rFonts w:ascii="Garamond" w:hAnsi="Garamond"/>
        </w:rPr>
        <w:t xml:space="preserve"> </w:t>
      </w:r>
      <w:r w:rsidR="0066502A">
        <w:rPr>
          <w:rFonts w:ascii="Garamond" w:hAnsi="Garamond"/>
        </w:rPr>
        <w:t>More, t</w:t>
      </w:r>
      <w:r w:rsidR="00D97DA8">
        <w:rPr>
          <w:rFonts w:ascii="Garamond" w:hAnsi="Garamond"/>
        </w:rPr>
        <w:t xml:space="preserve">he </w:t>
      </w:r>
      <w:r w:rsidR="00712DAC">
        <w:rPr>
          <w:rFonts w:ascii="Garamond" w:hAnsi="Garamond"/>
        </w:rPr>
        <w:t>fluidity of</w:t>
      </w:r>
      <w:r w:rsidR="00F873BD">
        <w:rPr>
          <w:rFonts w:ascii="Garamond" w:hAnsi="Garamond"/>
        </w:rPr>
        <w:t xml:space="preserve"> arguments of</w:t>
      </w:r>
      <w:r w:rsidR="00712DAC">
        <w:rPr>
          <w:rFonts w:ascii="Garamond" w:hAnsi="Garamond"/>
        </w:rPr>
        <w:t xml:space="preserve"> will, autonomy and consent </w:t>
      </w:r>
      <w:r w:rsidR="0065763C">
        <w:rPr>
          <w:rFonts w:ascii="Garamond" w:hAnsi="Garamond"/>
        </w:rPr>
        <w:t xml:space="preserve">risk </w:t>
      </w:r>
      <w:r w:rsidR="009A5AF0">
        <w:rPr>
          <w:rFonts w:ascii="Garamond" w:hAnsi="Garamond"/>
        </w:rPr>
        <w:t>take-up</w:t>
      </w:r>
      <w:r w:rsidR="00F873BD">
        <w:rPr>
          <w:rFonts w:ascii="Garamond" w:hAnsi="Garamond"/>
        </w:rPr>
        <w:t xml:space="preserve"> </w:t>
      </w:r>
      <w:r w:rsidR="00104AB6">
        <w:rPr>
          <w:rFonts w:ascii="Garamond" w:hAnsi="Garamond"/>
        </w:rPr>
        <w:t>within conservative</w:t>
      </w:r>
      <w:r w:rsidR="006137C5">
        <w:rPr>
          <w:rFonts w:ascii="Garamond" w:hAnsi="Garamond"/>
        </w:rPr>
        <w:t>, far-right</w:t>
      </w:r>
      <w:r w:rsidR="00104AB6">
        <w:rPr>
          <w:rFonts w:ascii="Garamond" w:hAnsi="Garamond"/>
        </w:rPr>
        <w:t xml:space="preserve"> quarters. </w:t>
      </w:r>
      <w:r w:rsidR="00BD2573">
        <w:rPr>
          <w:rFonts w:ascii="Garamond" w:hAnsi="Garamond"/>
        </w:rPr>
        <w:t xml:space="preserve">For example. </w:t>
      </w:r>
      <w:r w:rsidR="00F3134B">
        <w:rPr>
          <w:rFonts w:ascii="Garamond" w:hAnsi="Garamond"/>
        </w:rPr>
        <w:t xml:space="preserve">a small portion of Chagossian </w:t>
      </w:r>
      <w:r w:rsidR="00104AB6">
        <w:rPr>
          <w:rFonts w:ascii="Garamond" w:hAnsi="Garamond"/>
        </w:rPr>
        <w:t>claims to self-determination</w:t>
      </w:r>
      <w:r w:rsidR="00BC6367">
        <w:rPr>
          <w:rFonts w:ascii="Garamond" w:hAnsi="Garamond"/>
        </w:rPr>
        <w:t xml:space="preserve"> have been annexed</w:t>
      </w:r>
      <w:r w:rsidR="00836CA0">
        <w:rPr>
          <w:rFonts w:ascii="Garamond" w:hAnsi="Garamond"/>
        </w:rPr>
        <w:t xml:space="preserve"> </w:t>
      </w:r>
      <w:r w:rsidR="00BD2573">
        <w:rPr>
          <w:rFonts w:ascii="Garamond" w:hAnsi="Garamond"/>
        </w:rPr>
        <w:t xml:space="preserve">to </w:t>
      </w:r>
      <w:r w:rsidR="00836CA0">
        <w:rPr>
          <w:rFonts w:ascii="Garamond" w:hAnsi="Garamond"/>
        </w:rPr>
        <w:t xml:space="preserve">arguments </w:t>
      </w:r>
      <w:r w:rsidR="00E67E3B">
        <w:rPr>
          <w:rFonts w:ascii="Garamond" w:hAnsi="Garamond"/>
        </w:rPr>
        <w:t xml:space="preserve">seeking to </w:t>
      </w:r>
      <w:r w:rsidR="00836CA0">
        <w:rPr>
          <w:rFonts w:ascii="Garamond" w:hAnsi="Garamond"/>
        </w:rPr>
        <w:t xml:space="preserve">sustain </w:t>
      </w:r>
      <w:r w:rsidR="00BC6367">
        <w:rPr>
          <w:rFonts w:ascii="Garamond" w:hAnsi="Garamond"/>
        </w:rPr>
        <w:t xml:space="preserve">the colonial </w:t>
      </w:r>
      <w:r w:rsidR="00836CA0">
        <w:rPr>
          <w:rFonts w:ascii="Garamond" w:hAnsi="Garamond"/>
        </w:rPr>
        <w:t xml:space="preserve">BIOT. </w:t>
      </w:r>
      <w:r w:rsidR="00B66C6C">
        <w:rPr>
          <w:rFonts w:ascii="Garamond" w:hAnsi="Garamond"/>
        </w:rPr>
        <w:t xml:space="preserve">This offers </w:t>
      </w:r>
      <w:r w:rsidR="00101173">
        <w:rPr>
          <w:rFonts w:ascii="Garamond" w:hAnsi="Garamond"/>
        </w:rPr>
        <w:t>social justice, humanitarian</w:t>
      </w:r>
      <w:r w:rsidR="00830E5F">
        <w:rPr>
          <w:rFonts w:ascii="Garamond" w:hAnsi="Garamond"/>
        </w:rPr>
        <w:t xml:space="preserve"> cover </w:t>
      </w:r>
      <w:r w:rsidR="002C43A7">
        <w:rPr>
          <w:rFonts w:ascii="Garamond" w:hAnsi="Garamond"/>
        </w:rPr>
        <w:t>to right wing pressure groups, such as the Great British PA</w:t>
      </w:r>
      <w:r w:rsidR="00545F04">
        <w:rPr>
          <w:rFonts w:ascii="Garamond" w:hAnsi="Garamond"/>
        </w:rPr>
        <w:t>C</w:t>
      </w:r>
      <w:r w:rsidR="00D07345">
        <w:rPr>
          <w:rStyle w:val="FootnoteReference"/>
          <w:rFonts w:ascii="Garamond" w:hAnsi="Garamond"/>
        </w:rPr>
        <w:footnoteReference w:id="163"/>
      </w:r>
      <w:r w:rsidR="00545F04">
        <w:rPr>
          <w:rFonts w:ascii="Garamond" w:hAnsi="Garamond"/>
        </w:rPr>
        <w:t xml:space="preserve"> </w:t>
      </w:r>
      <w:r w:rsidR="002C43A7">
        <w:rPr>
          <w:rFonts w:ascii="Garamond" w:hAnsi="Garamond"/>
        </w:rPr>
        <w:t>and</w:t>
      </w:r>
      <w:r w:rsidR="00AB4410">
        <w:rPr>
          <w:rFonts w:ascii="Garamond" w:hAnsi="Garamond"/>
        </w:rPr>
        <w:t xml:space="preserve"> the UK Reform party</w:t>
      </w:r>
      <w:r w:rsidR="00223B02">
        <w:rPr>
          <w:rFonts w:ascii="Garamond" w:hAnsi="Garamond"/>
        </w:rPr>
        <w:t>,</w:t>
      </w:r>
      <w:r w:rsidR="0058251D">
        <w:rPr>
          <w:rStyle w:val="FootnoteReference"/>
          <w:rFonts w:ascii="Garamond" w:hAnsi="Garamond"/>
        </w:rPr>
        <w:footnoteReference w:id="164"/>
      </w:r>
      <w:r w:rsidR="00223B02">
        <w:rPr>
          <w:rFonts w:ascii="Garamond" w:hAnsi="Garamond"/>
        </w:rPr>
        <w:t xml:space="preserve"> which have deployed </w:t>
      </w:r>
      <w:r w:rsidR="00B005BE">
        <w:rPr>
          <w:rFonts w:ascii="Garamond" w:hAnsi="Garamond"/>
        </w:rPr>
        <w:t>self-determination arguments</w:t>
      </w:r>
      <w:r w:rsidR="00CF727C">
        <w:rPr>
          <w:rFonts w:ascii="Garamond" w:hAnsi="Garamond"/>
        </w:rPr>
        <w:t xml:space="preserve"> </w:t>
      </w:r>
      <w:r w:rsidR="00B005BE">
        <w:rPr>
          <w:rFonts w:ascii="Garamond" w:hAnsi="Garamond"/>
        </w:rPr>
        <w:t xml:space="preserve">in service of </w:t>
      </w:r>
      <w:r w:rsidR="007D0843">
        <w:rPr>
          <w:rFonts w:ascii="Garamond" w:hAnsi="Garamond"/>
        </w:rPr>
        <w:t>colonial nation</w:t>
      </w:r>
      <w:r w:rsidR="00582D0B">
        <w:rPr>
          <w:rFonts w:ascii="Garamond" w:hAnsi="Garamond"/>
        </w:rPr>
        <w:t>alism</w:t>
      </w:r>
      <w:r w:rsidR="00D94B40">
        <w:rPr>
          <w:rFonts w:ascii="Garamond" w:hAnsi="Garamond"/>
        </w:rPr>
        <w:t xml:space="preserve">. </w:t>
      </w:r>
      <w:r w:rsidR="00975AD6">
        <w:rPr>
          <w:rFonts w:ascii="Garamond" w:hAnsi="Garamond"/>
        </w:rPr>
        <w:t xml:space="preserve">Future research </w:t>
      </w:r>
      <w:r w:rsidR="003575CD">
        <w:rPr>
          <w:rFonts w:ascii="Garamond" w:hAnsi="Garamond"/>
        </w:rPr>
        <w:t xml:space="preserve">would be needed to disentangle </w:t>
      </w:r>
      <w:r w:rsidR="006D1C40">
        <w:rPr>
          <w:rFonts w:ascii="Garamond" w:hAnsi="Garamond"/>
        </w:rPr>
        <w:t>such</w:t>
      </w:r>
      <w:r w:rsidR="00FF5978">
        <w:rPr>
          <w:rFonts w:ascii="Garamond" w:hAnsi="Garamond"/>
        </w:rPr>
        <w:t xml:space="preserve"> </w:t>
      </w:r>
      <w:r w:rsidR="00771010">
        <w:rPr>
          <w:rFonts w:ascii="Garamond" w:hAnsi="Garamond"/>
        </w:rPr>
        <w:t>argumentative</w:t>
      </w:r>
      <w:r w:rsidR="00B41A48">
        <w:rPr>
          <w:rFonts w:ascii="Garamond" w:hAnsi="Garamond"/>
        </w:rPr>
        <w:t>, policial</w:t>
      </w:r>
      <w:r w:rsidR="00771010">
        <w:rPr>
          <w:rFonts w:ascii="Garamond" w:hAnsi="Garamond"/>
        </w:rPr>
        <w:t xml:space="preserve"> </w:t>
      </w:r>
      <w:r w:rsidR="006D1C40">
        <w:rPr>
          <w:rFonts w:ascii="Garamond" w:hAnsi="Garamond"/>
        </w:rPr>
        <w:t>‘</w:t>
      </w:r>
      <w:proofErr w:type="spellStart"/>
      <w:r w:rsidR="006D1C40">
        <w:rPr>
          <w:rFonts w:ascii="Garamond" w:hAnsi="Garamond"/>
        </w:rPr>
        <w:t>diagonalisms</w:t>
      </w:r>
      <w:proofErr w:type="spellEnd"/>
      <w:r w:rsidR="006D1C40">
        <w:rPr>
          <w:rFonts w:ascii="Garamond" w:hAnsi="Garamond"/>
        </w:rPr>
        <w:t>’.</w:t>
      </w:r>
      <w:r w:rsidR="006D1C40">
        <w:rPr>
          <w:rStyle w:val="FootnoteReference"/>
          <w:rFonts w:ascii="Garamond" w:hAnsi="Garamond"/>
        </w:rPr>
        <w:footnoteReference w:id="165"/>
      </w:r>
      <w:r w:rsidR="00771010">
        <w:rPr>
          <w:rFonts w:ascii="Garamond" w:hAnsi="Garamond"/>
        </w:rPr>
        <w:t xml:space="preserve"> </w:t>
      </w:r>
      <w:r w:rsidR="00582D0B">
        <w:rPr>
          <w:rFonts w:ascii="Garamond" w:hAnsi="Garamond"/>
        </w:rPr>
        <w:t xml:space="preserve"> </w:t>
      </w:r>
    </w:p>
    <w:p w14:paraId="48676BB4" w14:textId="1FC63EA6" w:rsidR="005F2CCA" w:rsidRPr="00BF14DA" w:rsidRDefault="00F548C2" w:rsidP="00740662">
      <w:pPr>
        <w:jc w:val="both"/>
        <w:rPr>
          <w:rFonts w:ascii="Garamond" w:hAnsi="Garamond"/>
        </w:rPr>
      </w:pPr>
      <w:r>
        <w:rPr>
          <w:rFonts w:ascii="Garamond" w:hAnsi="Garamond"/>
        </w:rPr>
        <w:t xml:space="preserve">Feminist, postcolonial and TWAIL </w:t>
      </w:r>
      <w:r w:rsidR="00D05338">
        <w:rPr>
          <w:rFonts w:ascii="Garamond" w:hAnsi="Garamond"/>
        </w:rPr>
        <w:t xml:space="preserve">perspectives allow </w:t>
      </w:r>
      <w:r w:rsidR="00DE452E">
        <w:rPr>
          <w:rFonts w:ascii="Garamond" w:hAnsi="Garamond"/>
        </w:rPr>
        <w:t>us to see beneath the veil of consent</w:t>
      </w:r>
      <w:r w:rsidR="00DB2F5B">
        <w:rPr>
          <w:rFonts w:ascii="Garamond" w:hAnsi="Garamond"/>
        </w:rPr>
        <w:t xml:space="preserve">, </w:t>
      </w:r>
      <w:r w:rsidR="00DE452E">
        <w:rPr>
          <w:rFonts w:ascii="Garamond" w:hAnsi="Garamond"/>
        </w:rPr>
        <w:t>freedom of contract</w:t>
      </w:r>
      <w:r w:rsidR="00DB2F5B">
        <w:rPr>
          <w:rFonts w:ascii="Garamond" w:hAnsi="Garamond"/>
        </w:rPr>
        <w:t>, and formal equality</w:t>
      </w:r>
      <w:r w:rsidR="00DE452E">
        <w:rPr>
          <w:rFonts w:ascii="Garamond" w:hAnsi="Garamond"/>
        </w:rPr>
        <w:t xml:space="preserve"> in international law. They help bring to the fore </w:t>
      </w:r>
      <w:r w:rsidR="001B09A1">
        <w:rPr>
          <w:rFonts w:ascii="Garamond" w:hAnsi="Garamond"/>
        </w:rPr>
        <w:t xml:space="preserve">the </w:t>
      </w:r>
      <w:r w:rsidR="00076508">
        <w:rPr>
          <w:rFonts w:ascii="Garamond" w:hAnsi="Garamond"/>
        </w:rPr>
        <w:t xml:space="preserve">insidious exercise of </w:t>
      </w:r>
      <w:r w:rsidR="00A9203E">
        <w:rPr>
          <w:rFonts w:ascii="Garamond" w:hAnsi="Garamond"/>
        </w:rPr>
        <w:t>power</w:t>
      </w:r>
      <w:r w:rsidR="005D1331">
        <w:rPr>
          <w:rFonts w:ascii="Garamond" w:hAnsi="Garamond"/>
        </w:rPr>
        <w:t xml:space="preserve">, </w:t>
      </w:r>
      <w:r w:rsidR="005D1331" w:rsidRPr="00F62B4E">
        <w:rPr>
          <w:rFonts w:ascii="Garamond" w:hAnsi="Garamond"/>
          <w:i/>
          <w:iCs/>
        </w:rPr>
        <w:t>de facto</w:t>
      </w:r>
      <w:r w:rsidR="005D1331">
        <w:rPr>
          <w:rFonts w:ascii="Garamond" w:hAnsi="Garamond"/>
        </w:rPr>
        <w:t xml:space="preserve"> inequality and </w:t>
      </w:r>
      <w:r w:rsidR="006F1B90">
        <w:rPr>
          <w:rFonts w:ascii="Garamond" w:hAnsi="Garamond"/>
        </w:rPr>
        <w:t xml:space="preserve">territorial </w:t>
      </w:r>
      <w:r w:rsidR="00DB2F5B">
        <w:rPr>
          <w:rFonts w:ascii="Garamond" w:hAnsi="Garamond"/>
        </w:rPr>
        <w:t>disposability which</w:t>
      </w:r>
      <w:r w:rsidR="00076508">
        <w:rPr>
          <w:rFonts w:ascii="Garamond" w:hAnsi="Garamond"/>
        </w:rPr>
        <w:t xml:space="preserve"> marks </w:t>
      </w:r>
      <w:r w:rsidR="00A032F8">
        <w:rPr>
          <w:rFonts w:ascii="Garamond" w:hAnsi="Garamond"/>
        </w:rPr>
        <w:lastRenderedPageBreak/>
        <w:t xml:space="preserve">contemporary neocolonialism. Crucially, in pursuing </w:t>
      </w:r>
      <w:r w:rsidR="001D4F1A">
        <w:rPr>
          <w:rFonts w:ascii="Garamond" w:hAnsi="Garamond"/>
        </w:rPr>
        <w:t>inter-state</w:t>
      </w:r>
      <w:r w:rsidR="00B601AD">
        <w:rPr>
          <w:rFonts w:ascii="Garamond" w:hAnsi="Garamond"/>
        </w:rPr>
        <w:t xml:space="preserve">, military </w:t>
      </w:r>
      <w:r w:rsidR="001D4F1A">
        <w:rPr>
          <w:rFonts w:ascii="Garamond" w:hAnsi="Garamond"/>
        </w:rPr>
        <w:t>stability and national security</w:t>
      </w:r>
      <w:r w:rsidR="00B601AD">
        <w:rPr>
          <w:rFonts w:ascii="Garamond" w:hAnsi="Garamond"/>
        </w:rPr>
        <w:t xml:space="preserve">, the future of the </w:t>
      </w:r>
      <w:proofErr w:type="spellStart"/>
      <w:r w:rsidR="00B601AD">
        <w:rPr>
          <w:rFonts w:ascii="Garamond" w:hAnsi="Garamond"/>
        </w:rPr>
        <w:t>Chagossians</w:t>
      </w:r>
      <w:proofErr w:type="spellEnd"/>
      <w:r w:rsidR="00B601AD">
        <w:rPr>
          <w:rFonts w:ascii="Garamond" w:hAnsi="Garamond"/>
        </w:rPr>
        <w:t xml:space="preserve"> remains uncertain</w:t>
      </w:r>
      <w:r w:rsidR="00451DE4">
        <w:rPr>
          <w:rFonts w:ascii="Garamond" w:hAnsi="Garamond"/>
        </w:rPr>
        <w:t xml:space="preserve">. Their embodied, dispossession </w:t>
      </w:r>
      <w:r w:rsidR="001D1027">
        <w:rPr>
          <w:rFonts w:ascii="Garamond" w:hAnsi="Garamond"/>
        </w:rPr>
        <w:t xml:space="preserve">has been </w:t>
      </w:r>
      <w:r w:rsidR="00451DE4">
        <w:rPr>
          <w:rFonts w:ascii="Garamond" w:hAnsi="Garamond"/>
        </w:rPr>
        <w:t xml:space="preserve">rendered secondary to the </w:t>
      </w:r>
      <w:r w:rsidR="00455532">
        <w:rPr>
          <w:rFonts w:ascii="Garamond" w:hAnsi="Garamond"/>
        </w:rPr>
        <w:t xml:space="preserve">freedom of disposability </w:t>
      </w:r>
      <w:r w:rsidR="00722BCD">
        <w:rPr>
          <w:rFonts w:ascii="Garamond" w:hAnsi="Garamond"/>
        </w:rPr>
        <w:t xml:space="preserve">over the territorial body of the imagined personified state. </w:t>
      </w:r>
      <w:r w:rsidR="001F777F">
        <w:rPr>
          <w:rFonts w:ascii="Garamond" w:hAnsi="Garamond"/>
        </w:rPr>
        <w:t xml:space="preserve">At the time of writing, </w:t>
      </w:r>
      <w:r w:rsidR="00242B9A">
        <w:rPr>
          <w:rFonts w:ascii="Garamond" w:hAnsi="Garamond"/>
        </w:rPr>
        <w:t xml:space="preserve">Diego Garcia </w:t>
      </w:r>
      <w:r w:rsidR="00834095">
        <w:rPr>
          <w:rFonts w:ascii="Garamond" w:hAnsi="Garamond"/>
        </w:rPr>
        <w:t>looks foreclosed to the indigenous Chagossian peoples for generations to come.</w:t>
      </w:r>
    </w:p>
    <w:sectPr w:rsidR="005F2CCA" w:rsidRPr="00BF14DA" w:rsidSect="00C1462E">
      <w:headerReference w:type="even" r:id="rId8"/>
      <w:headerReference w:type="default" r:id="rId9"/>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4C76B" w14:textId="77777777" w:rsidR="00B95663" w:rsidRDefault="00B95663" w:rsidP="005F2CCA">
      <w:pPr>
        <w:spacing w:after="0" w:line="240" w:lineRule="auto"/>
      </w:pPr>
      <w:r>
        <w:separator/>
      </w:r>
    </w:p>
  </w:endnote>
  <w:endnote w:type="continuationSeparator" w:id="0">
    <w:p w14:paraId="5294D754" w14:textId="77777777" w:rsidR="00B95663" w:rsidRDefault="00B95663" w:rsidP="005F2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ple Chancery">
    <w:altName w:val="APPLE CHANCERY"/>
    <w:charset w:val="B1"/>
    <w:family w:val="script"/>
    <w:pitch w:val="variable"/>
    <w:sig w:usb0="80000867" w:usb1="00000003" w:usb2="00000000" w:usb3="00000000" w:csb0="000001F3"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FC203" w14:textId="35FDDA08" w:rsidR="00587C8D" w:rsidRDefault="00587C8D">
    <w:pPr>
      <w:pStyle w:val="Footer"/>
      <w:jc w:val="center"/>
      <w:rPr>
        <w:rFonts w:ascii="Calibri" w:hAnsi="Calibri" w:cs="Calibri"/>
        <w:sz w:val="22"/>
        <w:szCs w:val="22"/>
      </w:rPr>
    </w:pPr>
    <w:r>
      <w:rPr>
        <w:rFonts w:ascii="Calibri" w:hAnsi="Calibri" w:cs="Calibri"/>
        <w:sz w:val="22"/>
        <w:szCs w:val="22"/>
      </w:rPr>
      <w:t>__________________________________________________________________________________</w:t>
    </w:r>
  </w:p>
  <w:p w14:paraId="77EEF406" w14:textId="77777777" w:rsidR="00587C8D" w:rsidRPr="00587C8D" w:rsidRDefault="00587C8D">
    <w:pPr>
      <w:pStyle w:val="Footer"/>
      <w:jc w:val="center"/>
      <w:rPr>
        <w:rFonts w:ascii="Calibri" w:hAnsi="Calibri" w:cs="Calibri"/>
        <w:sz w:val="22"/>
        <w:szCs w:val="22"/>
      </w:rPr>
    </w:pPr>
  </w:p>
  <w:sdt>
    <w:sdtPr>
      <w:rPr>
        <w:rFonts w:ascii="Calibri" w:hAnsi="Calibri" w:cs="Calibri"/>
        <w:sz w:val="22"/>
        <w:szCs w:val="22"/>
      </w:rPr>
      <w:id w:val="1319298782"/>
      <w:docPartObj>
        <w:docPartGallery w:val="Page Numbers (Bottom of Page)"/>
        <w:docPartUnique/>
      </w:docPartObj>
    </w:sdtPr>
    <w:sdtEndPr>
      <w:rPr>
        <w:noProof/>
      </w:rPr>
    </w:sdtEndPr>
    <w:sdtContent>
      <w:p w14:paraId="2D022E07" w14:textId="2791B7AA" w:rsidR="00587C8D" w:rsidRPr="00587C8D" w:rsidRDefault="00587C8D">
        <w:pPr>
          <w:pStyle w:val="Footer"/>
          <w:jc w:val="center"/>
          <w:rPr>
            <w:rFonts w:ascii="Calibri" w:hAnsi="Calibri" w:cs="Calibri"/>
            <w:sz w:val="22"/>
            <w:szCs w:val="22"/>
          </w:rPr>
        </w:pPr>
        <w:r w:rsidRPr="00587C8D">
          <w:rPr>
            <w:rFonts w:ascii="Calibri" w:hAnsi="Calibri" w:cs="Calibri"/>
            <w:sz w:val="22"/>
            <w:szCs w:val="22"/>
          </w:rPr>
          <w:fldChar w:fldCharType="begin"/>
        </w:r>
        <w:r w:rsidRPr="00587C8D">
          <w:rPr>
            <w:rFonts w:ascii="Calibri" w:hAnsi="Calibri" w:cs="Calibri"/>
            <w:sz w:val="22"/>
            <w:szCs w:val="22"/>
          </w:rPr>
          <w:instrText xml:space="preserve"> PAGE   \* MERGEFORMAT </w:instrText>
        </w:r>
        <w:r w:rsidRPr="00587C8D">
          <w:rPr>
            <w:rFonts w:ascii="Calibri" w:hAnsi="Calibri" w:cs="Calibri"/>
            <w:sz w:val="22"/>
            <w:szCs w:val="22"/>
          </w:rPr>
          <w:fldChar w:fldCharType="separate"/>
        </w:r>
        <w:r w:rsidRPr="00587C8D">
          <w:rPr>
            <w:rFonts w:ascii="Calibri" w:hAnsi="Calibri" w:cs="Calibri"/>
            <w:noProof/>
            <w:sz w:val="22"/>
            <w:szCs w:val="22"/>
          </w:rPr>
          <w:t>2</w:t>
        </w:r>
        <w:r w:rsidRPr="00587C8D">
          <w:rPr>
            <w:rFonts w:ascii="Calibri" w:hAnsi="Calibri" w:cs="Calibri"/>
            <w:noProof/>
            <w:sz w:val="22"/>
            <w:szCs w:val="22"/>
          </w:rPr>
          <w:fldChar w:fldCharType="end"/>
        </w:r>
      </w:p>
    </w:sdtContent>
  </w:sdt>
  <w:p w14:paraId="082587AA" w14:textId="77777777" w:rsidR="005337F4" w:rsidRDefault="005337F4" w:rsidP="005337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512143339"/>
      <w:docPartObj>
        <w:docPartGallery w:val="Page Numbers (Bottom of Page)"/>
        <w:docPartUnique/>
      </w:docPartObj>
    </w:sdtPr>
    <w:sdtEndPr>
      <w:rPr>
        <w:noProof/>
      </w:rPr>
    </w:sdtEndPr>
    <w:sdtContent>
      <w:p w14:paraId="2D61163D" w14:textId="586E9DEB" w:rsidR="00500971" w:rsidRDefault="00500971">
        <w:pPr>
          <w:pStyle w:val="Footer"/>
          <w:jc w:val="center"/>
          <w:rPr>
            <w:rFonts w:ascii="Calibri" w:hAnsi="Calibri" w:cs="Calibri"/>
            <w:sz w:val="22"/>
            <w:szCs w:val="22"/>
          </w:rPr>
        </w:pPr>
        <w:r>
          <w:rPr>
            <w:rFonts w:ascii="Calibri" w:hAnsi="Calibri" w:cs="Calibri"/>
            <w:sz w:val="22"/>
            <w:szCs w:val="22"/>
          </w:rPr>
          <w:t>__________________________________________________________________________________</w:t>
        </w:r>
      </w:p>
      <w:p w14:paraId="0E610FF5" w14:textId="77777777" w:rsidR="00500971" w:rsidRPr="00500971" w:rsidRDefault="00500971">
        <w:pPr>
          <w:pStyle w:val="Footer"/>
          <w:jc w:val="center"/>
          <w:rPr>
            <w:rFonts w:ascii="Calibri" w:hAnsi="Calibri" w:cs="Calibri"/>
            <w:sz w:val="22"/>
            <w:szCs w:val="22"/>
          </w:rPr>
        </w:pPr>
      </w:p>
      <w:p w14:paraId="7B4E58CB" w14:textId="34CCBC50" w:rsidR="00500971" w:rsidRPr="00500971" w:rsidRDefault="00500971">
        <w:pPr>
          <w:pStyle w:val="Footer"/>
          <w:jc w:val="center"/>
          <w:rPr>
            <w:rFonts w:ascii="Calibri" w:hAnsi="Calibri" w:cs="Calibri"/>
            <w:sz w:val="22"/>
            <w:szCs w:val="22"/>
          </w:rPr>
        </w:pPr>
        <w:r w:rsidRPr="00500971">
          <w:rPr>
            <w:rFonts w:ascii="Calibri" w:hAnsi="Calibri" w:cs="Calibri"/>
            <w:sz w:val="22"/>
            <w:szCs w:val="22"/>
          </w:rPr>
          <w:fldChar w:fldCharType="begin"/>
        </w:r>
        <w:r w:rsidRPr="00500971">
          <w:rPr>
            <w:rFonts w:ascii="Calibri" w:hAnsi="Calibri" w:cs="Calibri"/>
            <w:sz w:val="22"/>
            <w:szCs w:val="22"/>
          </w:rPr>
          <w:instrText xml:space="preserve"> PAGE   \* MERGEFORMAT </w:instrText>
        </w:r>
        <w:r w:rsidRPr="00500971">
          <w:rPr>
            <w:rFonts w:ascii="Calibri" w:hAnsi="Calibri" w:cs="Calibri"/>
            <w:sz w:val="22"/>
            <w:szCs w:val="22"/>
          </w:rPr>
          <w:fldChar w:fldCharType="separate"/>
        </w:r>
        <w:r w:rsidRPr="00500971">
          <w:rPr>
            <w:rFonts w:ascii="Calibri" w:hAnsi="Calibri" w:cs="Calibri"/>
            <w:noProof/>
            <w:sz w:val="22"/>
            <w:szCs w:val="22"/>
          </w:rPr>
          <w:t>2</w:t>
        </w:r>
        <w:r w:rsidRPr="00500971">
          <w:rPr>
            <w:rFonts w:ascii="Calibri" w:hAnsi="Calibri" w:cs="Calibri"/>
            <w:noProof/>
            <w:sz w:val="22"/>
            <w:szCs w:val="22"/>
          </w:rPr>
          <w:fldChar w:fldCharType="end"/>
        </w:r>
      </w:p>
    </w:sdtContent>
  </w:sdt>
  <w:p w14:paraId="74263A17" w14:textId="77777777" w:rsidR="005337F4" w:rsidRDefault="005337F4" w:rsidP="005337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817CC" w14:textId="77777777" w:rsidR="00B95663" w:rsidRDefault="00B95663" w:rsidP="005F2CCA">
      <w:pPr>
        <w:spacing w:after="0" w:line="240" w:lineRule="auto"/>
      </w:pPr>
      <w:r>
        <w:separator/>
      </w:r>
    </w:p>
  </w:footnote>
  <w:footnote w:type="continuationSeparator" w:id="0">
    <w:p w14:paraId="2D55CAA7" w14:textId="77777777" w:rsidR="00B95663" w:rsidRDefault="00B95663" w:rsidP="005F2CCA">
      <w:pPr>
        <w:spacing w:after="0" w:line="240" w:lineRule="auto"/>
      </w:pPr>
      <w:r>
        <w:continuationSeparator/>
      </w:r>
    </w:p>
  </w:footnote>
  <w:footnote w:id="1">
    <w:p w14:paraId="5AA2031A" w14:textId="03AD105E" w:rsidR="001811D6" w:rsidRPr="00EF4A57" w:rsidRDefault="001811D6">
      <w:pPr>
        <w:pStyle w:val="FootnoteText"/>
        <w:rPr>
          <w:rFonts w:ascii="Garamond" w:hAnsi="Garamond"/>
        </w:rPr>
      </w:pPr>
      <w:r w:rsidRPr="00EF4A57">
        <w:rPr>
          <w:rStyle w:val="FootnoteReference"/>
          <w:rFonts w:ascii="Garamond" w:hAnsi="Garamond"/>
        </w:rPr>
        <w:sym w:font="Symbol" w:char="F02A"/>
      </w:r>
      <w:r w:rsidRPr="00EF4A57">
        <w:rPr>
          <w:rFonts w:ascii="Garamond" w:hAnsi="Garamond"/>
        </w:rPr>
        <w:t xml:space="preserve"> </w:t>
      </w:r>
      <w:r w:rsidR="0009434E" w:rsidRPr="00EF4A57">
        <w:rPr>
          <w:rFonts w:ascii="Garamond" w:hAnsi="Garamond"/>
        </w:rPr>
        <w:t xml:space="preserve">Lecturer in Law, </w:t>
      </w:r>
      <w:r w:rsidR="00AF1EB3" w:rsidRPr="00EF4A57">
        <w:rPr>
          <w:rFonts w:ascii="Garamond" w:hAnsi="Garamond"/>
        </w:rPr>
        <w:t xml:space="preserve">University of Exeter, UK. </w:t>
      </w:r>
      <w:proofErr w:type="gramStart"/>
      <w:r w:rsidR="00AF1EB3" w:rsidRPr="0006792C">
        <w:rPr>
          <w:rFonts w:ascii="Garamond" w:hAnsi="Garamond"/>
          <w:lang w:val="fr-FR"/>
        </w:rPr>
        <w:t>Email:</w:t>
      </w:r>
      <w:proofErr w:type="gramEnd"/>
      <w:r w:rsidR="00AF1EB3" w:rsidRPr="0006792C">
        <w:rPr>
          <w:rFonts w:ascii="Garamond" w:hAnsi="Garamond"/>
          <w:lang w:val="fr-FR"/>
        </w:rPr>
        <w:t xml:space="preserve"> </w:t>
      </w:r>
      <w:hyperlink r:id="rId1" w:history="1">
        <w:r w:rsidR="00517802" w:rsidRPr="0006792C">
          <w:rPr>
            <w:rStyle w:val="Hyperlink"/>
            <w:rFonts w:ascii="Garamond" w:hAnsi="Garamond"/>
            <w:lang w:val="fr-FR"/>
          </w:rPr>
          <w:t>f.bird@exeter.ac.uk</w:t>
        </w:r>
      </w:hyperlink>
      <w:r w:rsidR="00517802" w:rsidRPr="0006792C">
        <w:rPr>
          <w:rFonts w:ascii="Garamond" w:hAnsi="Garamond"/>
          <w:lang w:val="fr-FR"/>
        </w:rPr>
        <w:t xml:space="preserve">. </w:t>
      </w:r>
      <w:r w:rsidR="004D0E39">
        <w:rPr>
          <w:rFonts w:ascii="Garamond" w:hAnsi="Garamond"/>
        </w:rPr>
        <w:t xml:space="preserve">I am deeply grateful to those who have shared their time and knowledge in reading, commenting and talking through this paper. This includes Aleardo Zanghellini, Alex McLaughlin, </w:t>
      </w:r>
      <w:r w:rsidR="007820BE">
        <w:rPr>
          <w:rFonts w:ascii="Garamond" w:hAnsi="Garamond"/>
        </w:rPr>
        <w:t>Emma Marshall, Gina Heathcote, Leanne Smith, Maria Drakopoulo</w:t>
      </w:r>
      <w:r w:rsidR="002B33F2">
        <w:rPr>
          <w:rFonts w:ascii="Garamond" w:hAnsi="Garamond"/>
        </w:rPr>
        <w:t>u</w:t>
      </w:r>
      <w:r w:rsidR="008C0407">
        <w:rPr>
          <w:rFonts w:ascii="Garamond" w:hAnsi="Garamond"/>
        </w:rPr>
        <w:t>,</w:t>
      </w:r>
      <w:r w:rsidR="00862375">
        <w:rPr>
          <w:rFonts w:ascii="Garamond" w:hAnsi="Garamond"/>
        </w:rPr>
        <w:t xml:space="preserve"> </w:t>
      </w:r>
      <w:r w:rsidR="008C0407">
        <w:rPr>
          <w:rFonts w:ascii="Garamond" w:hAnsi="Garamond"/>
        </w:rPr>
        <w:t>Rebecca Smyth</w:t>
      </w:r>
      <w:r w:rsidR="00862375">
        <w:rPr>
          <w:rFonts w:ascii="Garamond" w:hAnsi="Garamond"/>
        </w:rPr>
        <w:t>, and Stephanie Dr</w:t>
      </w:r>
      <w:r w:rsidR="00062AD0">
        <w:rPr>
          <w:rFonts w:ascii="Garamond" w:hAnsi="Garamond"/>
        </w:rPr>
        <w:t>opuljic</w:t>
      </w:r>
      <w:r w:rsidR="008C0407">
        <w:rPr>
          <w:rFonts w:ascii="Garamond" w:hAnsi="Garamond"/>
        </w:rPr>
        <w:t>.</w:t>
      </w:r>
      <w:r w:rsidR="007820BE">
        <w:rPr>
          <w:rFonts w:ascii="Garamond" w:hAnsi="Garamond"/>
        </w:rPr>
        <w:t xml:space="preserve"> </w:t>
      </w:r>
      <w:r w:rsidR="00EF4A57" w:rsidRPr="00EF4A57">
        <w:rPr>
          <w:rFonts w:ascii="Garamond" w:hAnsi="Garamond"/>
        </w:rPr>
        <w:t xml:space="preserve">I would like to thank the generous reviewers for their positive feedback and for their thoughtful suggestions. Appreciation is also owed to the </w:t>
      </w:r>
      <w:r w:rsidR="002052D8">
        <w:rPr>
          <w:rFonts w:ascii="Garamond" w:hAnsi="Garamond"/>
        </w:rPr>
        <w:t>E</w:t>
      </w:r>
      <w:r w:rsidR="00EF4A57" w:rsidRPr="00EF4A57">
        <w:rPr>
          <w:rFonts w:ascii="Garamond" w:hAnsi="Garamond"/>
        </w:rPr>
        <w:t xml:space="preserve">ditorial </w:t>
      </w:r>
      <w:r w:rsidR="002052D8">
        <w:rPr>
          <w:rFonts w:ascii="Garamond" w:hAnsi="Garamond"/>
        </w:rPr>
        <w:t>B</w:t>
      </w:r>
      <w:r w:rsidR="00EF4A57" w:rsidRPr="00EF4A57">
        <w:rPr>
          <w:rFonts w:ascii="Garamond" w:hAnsi="Garamond"/>
        </w:rPr>
        <w:t xml:space="preserve">oard at </w:t>
      </w:r>
      <w:proofErr w:type="spellStart"/>
      <w:r w:rsidR="00EF4A57" w:rsidRPr="00EF4A57">
        <w:rPr>
          <w:rFonts w:ascii="Garamond" w:hAnsi="Garamond"/>
          <w:i/>
          <w:iCs/>
        </w:rPr>
        <w:t>feminists@law</w:t>
      </w:r>
      <w:proofErr w:type="spellEnd"/>
      <w:r w:rsidR="00EF4A57" w:rsidRPr="00EF4A57">
        <w:rPr>
          <w:rFonts w:ascii="Garamond" w:hAnsi="Garamond"/>
        </w:rPr>
        <w:t xml:space="preserve"> who have supported me in my submission and who have handled </w:t>
      </w:r>
      <w:r w:rsidR="008C0407">
        <w:rPr>
          <w:rFonts w:ascii="Garamond" w:hAnsi="Garamond"/>
        </w:rPr>
        <w:t>this</w:t>
      </w:r>
      <w:r w:rsidR="00EF4A57" w:rsidRPr="00EF4A57">
        <w:rPr>
          <w:rFonts w:ascii="Garamond" w:hAnsi="Garamond"/>
        </w:rPr>
        <w:t xml:space="preserve"> paper with care.</w:t>
      </w:r>
    </w:p>
  </w:footnote>
  <w:footnote w:id="2">
    <w:p w14:paraId="636EF5F8" w14:textId="63C5EDD6"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Charlesia Alexis, co-founder of Chagos Refugee Group and co-organiser of women-led protests and hunger strikes in the ongoing struggle of the Chagossian people against the UK and Mauritian governments, cited in </w:t>
      </w:r>
      <w:r w:rsidR="00691333">
        <w:rPr>
          <w:rFonts w:ascii="Garamond" w:hAnsi="Garamond"/>
          <w:color w:val="000000" w:themeColor="text1"/>
        </w:rPr>
        <w:t xml:space="preserve">Sandra J T M Evers and </w:t>
      </w:r>
      <w:r w:rsidR="00863313">
        <w:rPr>
          <w:rFonts w:ascii="Garamond" w:hAnsi="Garamond"/>
          <w:color w:val="000000" w:themeColor="text1"/>
        </w:rPr>
        <w:t>Marry Kooy</w:t>
      </w:r>
      <w:r w:rsidRPr="00BF14DA">
        <w:rPr>
          <w:rFonts w:ascii="Garamond" w:hAnsi="Garamond"/>
          <w:color w:val="000000" w:themeColor="text1"/>
        </w:rPr>
        <w:t xml:space="preserve">, ‘Charlesia Alexis: The </w:t>
      </w:r>
      <w:r w:rsidR="0075135E">
        <w:rPr>
          <w:rFonts w:ascii="Garamond" w:hAnsi="Garamond"/>
          <w:color w:val="000000" w:themeColor="text1"/>
        </w:rPr>
        <w:t>s</w:t>
      </w:r>
      <w:r w:rsidRPr="00BF14DA">
        <w:rPr>
          <w:rFonts w:ascii="Garamond" w:hAnsi="Garamond"/>
          <w:color w:val="000000" w:themeColor="text1"/>
        </w:rPr>
        <w:t xml:space="preserve">truggle of the Chagossian </w:t>
      </w:r>
      <w:r w:rsidR="0075135E">
        <w:rPr>
          <w:rFonts w:ascii="Garamond" w:hAnsi="Garamond"/>
          <w:color w:val="000000" w:themeColor="text1"/>
        </w:rPr>
        <w:t>w</w:t>
      </w:r>
      <w:r w:rsidRPr="00BF14DA">
        <w:rPr>
          <w:rFonts w:ascii="Garamond" w:hAnsi="Garamond"/>
          <w:color w:val="000000" w:themeColor="text1"/>
        </w:rPr>
        <w:t xml:space="preserve">omen’ in Sandra J T M Evers and Marry Kooy (eds), </w:t>
      </w:r>
      <w:r w:rsidRPr="00BF14DA">
        <w:rPr>
          <w:rFonts w:ascii="Garamond" w:hAnsi="Garamond"/>
          <w:i/>
          <w:iCs/>
          <w:color w:val="000000" w:themeColor="text1"/>
        </w:rPr>
        <w:t xml:space="preserve">Eviction from the Chagos Islands: Displacement and Struggle for Identity Against Two World Powers </w:t>
      </w:r>
      <w:r w:rsidRPr="00BF14DA">
        <w:rPr>
          <w:rFonts w:ascii="Garamond" w:hAnsi="Garamond"/>
          <w:color w:val="000000" w:themeColor="text1"/>
        </w:rPr>
        <w:t>(Brill 2011) 81</w:t>
      </w:r>
      <w:r w:rsidR="00863313">
        <w:rPr>
          <w:rFonts w:ascii="Garamond" w:hAnsi="Garamond"/>
          <w:color w:val="000000" w:themeColor="text1"/>
        </w:rPr>
        <w:t>-82, 82.</w:t>
      </w:r>
    </w:p>
  </w:footnote>
  <w:footnote w:id="3">
    <w:p w14:paraId="32DF25C1" w14:textId="2C23AC1F"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Legal Consequences of the Separation of the Chagos Archipelago from Mauritius in 1965 (A</w:t>
      </w:r>
      <w:r w:rsidR="00A43C2C">
        <w:rPr>
          <w:rFonts w:ascii="Garamond" w:hAnsi="Garamond"/>
          <w:color w:val="000000" w:themeColor="text1"/>
        </w:rPr>
        <w:t>O</w:t>
      </w:r>
      <w:r w:rsidRPr="00BF14DA">
        <w:rPr>
          <w:rFonts w:ascii="Garamond" w:hAnsi="Garamond"/>
          <w:color w:val="000000" w:themeColor="text1"/>
        </w:rPr>
        <w:t>) [2019] ICJ Rep 169.</w:t>
      </w:r>
    </w:p>
  </w:footnote>
  <w:footnote w:id="4">
    <w:p w14:paraId="35B81DDA" w14:textId="76300428"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Samantha Besson</w:t>
      </w:r>
      <w:r w:rsidRPr="00356574">
        <w:rPr>
          <w:rFonts w:ascii="Garamond" w:hAnsi="Garamond"/>
          <w:color w:val="000000" w:themeColor="text1"/>
        </w:rPr>
        <w:t xml:space="preserve">, ‘Consenting to international law: </w:t>
      </w:r>
      <w:r w:rsidR="001B2A38">
        <w:rPr>
          <w:rFonts w:ascii="Garamond" w:hAnsi="Garamond"/>
          <w:color w:val="000000" w:themeColor="text1"/>
        </w:rPr>
        <w:t>A</w:t>
      </w:r>
      <w:r w:rsidRPr="00356574">
        <w:rPr>
          <w:rFonts w:ascii="Garamond" w:hAnsi="Garamond"/>
          <w:color w:val="000000" w:themeColor="text1"/>
        </w:rPr>
        <w:t>n introduction’</w:t>
      </w:r>
      <w:r w:rsidRPr="00BF14DA">
        <w:rPr>
          <w:rFonts w:ascii="Garamond" w:hAnsi="Garamond"/>
          <w:i/>
          <w:iCs/>
          <w:color w:val="000000" w:themeColor="text1"/>
        </w:rPr>
        <w:t xml:space="preserve"> </w:t>
      </w:r>
      <w:r w:rsidRPr="00356574">
        <w:rPr>
          <w:rFonts w:ascii="Garamond" w:hAnsi="Garamond"/>
          <w:color w:val="000000" w:themeColor="text1"/>
        </w:rPr>
        <w:t>in</w:t>
      </w:r>
      <w:r w:rsidRPr="00BF14DA">
        <w:rPr>
          <w:rFonts w:ascii="Garamond" w:hAnsi="Garamond"/>
          <w:i/>
          <w:iCs/>
          <w:color w:val="000000" w:themeColor="text1"/>
        </w:rPr>
        <w:t xml:space="preserve"> </w:t>
      </w:r>
      <w:r w:rsidRPr="00BF14DA">
        <w:rPr>
          <w:rFonts w:ascii="Garamond" w:hAnsi="Garamond"/>
          <w:color w:val="000000" w:themeColor="text1"/>
        </w:rPr>
        <w:t xml:space="preserve">Samantha Besson (ed), </w:t>
      </w:r>
      <w:r w:rsidRPr="00BF14DA">
        <w:rPr>
          <w:rFonts w:ascii="Garamond" w:hAnsi="Garamond"/>
          <w:i/>
          <w:iCs/>
          <w:color w:val="000000" w:themeColor="text1"/>
        </w:rPr>
        <w:t xml:space="preserve">Consenting to International Law </w:t>
      </w:r>
      <w:r w:rsidRPr="00BF14DA">
        <w:rPr>
          <w:rFonts w:ascii="Garamond" w:hAnsi="Garamond"/>
          <w:color w:val="000000" w:themeColor="text1"/>
        </w:rPr>
        <w:t>(</w:t>
      </w:r>
      <w:r w:rsidR="00145419" w:rsidRPr="00BF14DA">
        <w:rPr>
          <w:rFonts w:ascii="Garamond" w:hAnsi="Garamond"/>
          <w:color w:val="000000" w:themeColor="text1"/>
        </w:rPr>
        <w:t>C</w:t>
      </w:r>
      <w:r w:rsidR="00641179">
        <w:rPr>
          <w:rFonts w:ascii="Garamond" w:hAnsi="Garamond"/>
          <w:color w:val="000000" w:themeColor="text1"/>
        </w:rPr>
        <w:t xml:space="preserve">ambridge </w:t>
      </w:r>
      <w:r w:rsidR="00145419" w:rsidRPr="00BF14DA">
        <w:rPr>
          <w:rFonts w:ascii="Garamond" w:hAnsi="Garamond"/>
          <w:color w:val="000000" w:themeColor="text1"/>
        </w:rPr>
        <w:t>U</w:t>
      </w:r>
      <w:r w:rsidR="00641179">
        <w:rPr>
          <w:rFonts w:ascii="Garamond" w:hAnsi="Garamond"/>
          <w:color w:val="000000" w:themeColor="text1"/>
        </w:rPr>
        <w:t xml:space="preserve">niversity </w:t>
      </w:r>
      <w:r w:rsidR="00145419" w:rsidRPr="00BF14DA">
        <w:rPr>
          <w:rFonts w:ascii="Garamond" w:hAnsi="Garamond"/>
          <w:color w:val="000000" w:themeColor="text1"/>
        </w:rPr>
        <w:t>P</w:t>
      </w:r>
      <w:r w:rsidR="00641179">
        <w:rPr>
          <w:rFonts w:ascii="Garamond" w:hAnsi="Garamond"/>
          <w:color w:val="000000" w:themeColor="text1"/>
        </w:rPr>
        <w:t>ress</w:t>
      </w:r>
      <w:r w:rsidRPr="00BF14DA">
        <w:rPr>
          <w:rFonts w:ascii="Garamond" w:hAnsi="Garamond"/>
          <w:color w:val="000000" w:themeColor="text1"/>
        </w:rPr>
        <w:t xml:space="preserve"> 202</w:t>
      </w:r>
      <w:r w:rsidR="00641179">
        <w:rPr>
          <w:rFonts w:ascii="Garamond" w:hAnsi="Garamond"/>
          <w:color w:val="000000" w:themeColor="text1"/>
        </w:rPr>
        <w:t>3</w:t>
      </w:r>
      <w:r w:rsidRPr="00BF14DA">
        <w:rPr>
          <w:rFonts w:ascii="Garamond" w:hAnsi="Garamond"/>
          <w:color w:val="000000" w:themeColor="text1"/>
        </w:rPr>
        <w:t>)</w:t>
      </w:r>
      <w:r w:rsidR="003B4069">
        <w:rPr>
          <w:rFonts w:ascii="Garamond" w:hAnsi="Garamond"/>
          <w:color w:val="000000" w:themeColor="text1"/>
        </w:rPr>
        <w:t xml:space="preserve"> 1-27,</w:t>
      </w:r>
      <w:r w:rsidRPr="00BF14DA">
        <w:rPr>
          <w:rFonts w:ascii="Garamond" w:hAnsi="Garamond"/>
          <w:color w:val="000000" w:themeColor="text1"/>
        </w:rPr>
        <w:t xml:space="preserve"> 6.</w:t>
      </w:r>
    </w:p>
  </w:footnote>
  <w:footnote w:id="5">
    <w:p w14:paraId="522DF336" w14:textId="47AA4521" w:rsidR="00BC75D0" w:rsidRPr="00BF14DA" w:rsidRDefault="00BC75D0">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Jean </w:t>
      </w:r>
      <w:proofErr w:type="spellStart"/>
      <w:r w:rsidRPr="00BF14DA">
        <w:rPr>
          <w:rFonts w:ascii="Garamond" w:hAnsi="Garamond"/>
          <w:color w:val="000000" w:themeColor="text1"/>
        </w:rPr>
        <w:t>d’Aspremont</w:t>
      </w:r>
      <w:proofErr w:type="spellEnd"/>
      <w:r w:rsidR="009069B0" w:rsidRPr="00BF14DA">
        <w:rPr>
          <w:rFonts w:ascii="Garamond" w:hAnsi="Garamond"/>
          <w:color w:val="000000" w:themeColor="text1"/>
        </w:rPr>
        <w:t xml:space="preserve">, ‘Consenting to international law in five moves’ in Samantha Besson </w:t>
      </w:r>
      <w:r w:rsidR="005E75A9" w:rsidRPr="00BF14DA">
        <w:rPr>
          <w:rFonts w:ascii="Garamond" w:hAnsi="Garamond"/>
          <w:color w:val="000000" w:themeColor="text1"/>
        </w:rPr>
        <w:t xml:space="preserve">(ed), </w:t>
      </w:r>
      <w:r w:rsidR="005E75A9" w:rsidRPr="00BF14DA">
        <w:rPr>
          <w:rFonts w:ascii="Garamond" w:hAnsi="Garamond"/>
          <w:i/>
          <w:iCs/>
          <w:color w:val="000000" w:themeColor="text1"/>
        </w:rPr>
        <w:t xml:space="preserve">Consenting to International Law </w:t>
      </w:r>
      <w:r w:rsidR="005E75A9" w:rsidRPr="00BF14DA">
        <w:rPr>
          <w:rFonts w:ascii="Garamond" w:hAnsi="Garamond"/>
          <w:color w:val="000000" w:themeColor="text1"/>
        </w:rPr>
        <w:t>(Cambridge University Press 202</w:t>
      </w:r>
      <w:r w:rsidR="00641179">
        <w:rPr>
          <w:rFonts w:ascii="Garamond" w:hAnsi="Garamond"/>
          <w:color w:val="000000" w:themeColor="text1"/>
        </w:rPr>
        <w:t>3</w:t>
      </w:r>
      <w:r w:rsidR="005E75A9" w:rsidRPr="00BF14DA">
        <w:rPr>
          <w:rFonts w:ascii="Garamond" w:hAnsi="Garamond"/>
          <w:color w:val="000000" w:themeColor="text1"/>
        </w:rPr>
        <w:t>)</w:t>
      </w:r>
      <w:r w:rsidR="001F25D3" w:rsidRPr="00BF14DA">
        <w:rPr>
          <w:rFonts w:ascii="Garamond" w:hAnsi="Garamond"/>
          <w:color w:val="000000" w:themeColor="text1"/>
        </w:rPr>
        <w:t xml:space="preserve"> </w:t>
      </w:r>
      <w:r w:rsidR="009069B0" w:rsidRPr="00BF14DA">
        <w:rPr>
          <w:rFonts w:ascii="Garamond" w:hAnsi="Garamond"/>
          <w:color w:val="000000" w:themeColor="text1"/>
        </w:rPr>
        <w:t>117</w:t>
      </w:r>
      <w:r w:rsidR="00F05F9F">
        <w:rPr>
          <w:rFonts w:ascii="Garamond" w:hAnsi="Garamond"/>
          <w:color w:val="000000" w:themeColor="text1"/>
        </w:rPr>
        <w:t>-135</w:t>
      </w:r>
      <w:r w:rsidR="009069B0" w:rsidRPr="00BF14DA">
        <w:rPr>
          <w:rFonts w:ascii="Garamond" w:hAnsi="Garamond"/>
          <w:color w:val="000000" w:themeColor="text1"/>
        </w:rPr>
        <w:t xml:space="preserve">, </w:t>
      </w:r>
      <w:r w:rsidR="001F25D3" w:rsidRPr="00BF14DA">
        <w:rPr>
          <w:rFonts w:ascii="Garamond" w:hAnsi="Garamond"/>
          <w:color w:val="000000" w:themeColor="text1"/>
        </w:rPr>
        <w:t>125.</w:t>
      </w:r>
    </w:p>
  </w:footnote>
  <w:footnote w:id="6">
    <w:p w14:paraId="735E0BA2" w14:textId="4B58FFA9"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Agreement between the Government of the United Kingdom of Great Britain and Northern </w:t>
      </w:r>
      <w:r w:rsidR="00513C1F">
        <w:rPr>
          <w:rFonts w:ascii="Garamond" w:hAnsi="Garamond"/>
          <w:color w:val="000000" w:themeColor="text1"/>
        </w:rPr>
        <w:t xml:space="preserve">Ireland </w:t>
      </w:r>
      <w:r w:rsidRPr="00BF14DA">
        <w:rPr>
          <w:rFonts w:ascii="Garamond" w:hAnsi="Garamond"/>
          <w:color w:val="000000" w:themeColor="text1"/>
        </w:rPr>
        <w:t>and the Government of the Republic of Mauritius concerning the Chagos Archipelago including Diego Garcia (Mauritius-UK) (22 May 2025)</w:t>
      </w:r>
      <w:r w:rsidR="007B7A71">
        <w:rPr>
          <w:rFonts w:ascii="Garamond" w:hAnsi="Garamond"/>
          <w:color w:val="000000" w:themeColor="text1"/>
        </w:rPr>
        <w:t xml:space="preserve"> </w:t>
      </w:r>
      <w:hyperlink r:id="rId2" w:history="1">
        <w:r w:rsidR="007B7A71" w:rsidRPr="009E2B24">
          <w:rPr>
            <w:rStyle w:val="Hyperlink"/>
            <w:rFonts w:ascii="Garamond" w:hAnsi="Garamond"/>
          </w:rPr>
          <w:t>https://assets.publishing.service.gov.uk/media/682f25afc054883884bff42a/CS_Mauritius_1.2025_Agreement_Chagos_Diego_Garcia.pdf</w:t>
        </w:r>
      </w:hyperlink>
      <w:r w:rsidR="007B7A71">
        <w:rPr>
          <w:rFonts w:ascii="Garamond" w:hAnsi="Garamond"/>
          <w:color w:val="000000" w:themeColor="text1"/>
        </w:rPr>
        <w:t xml:space="preserve"> </w:t>
      </w:r>
      <w:r w:rsidRPr="00BF14DA">
        <w:rPr>
          <w:rFonts w:ascii="Garamond" w:hAnsi="Garamond"/>
          <w:color w:val="000000" w:themeColor="text1"/>
        </w:rPr>
        <w:t>accessed</w:t>
      </w:r>
      <w:r w:rsidR="00BF4CE4">
        <w:rPr>
          <w:rFonts w:ascii="Garamond" w:hAnsi="Garamond"/>
          <w:color w:val="000000" w:themeColor="text1"/>
        </w:rPr>
        <w:t xml:space="preserve"> 28</w:t>
      </w:r>
      <w:r w:rsidRPr="00BF14DA">
        <w:rPr>
          <w:rFonts w:ascii="Garamond" w:hAnsi="Garamond"/>
          <w:color w:val="000000" w:themeColor="text1"/>
        </w:rPr>
        <w:t xml:space="preserve"> </w:t>
      </w:r>
      <w:r w:rsidR="00BF4CE4">
        <w:rPr>
          <w:rFonts w:ascii="Garamond" w:hAnsi="Garamond"/>
          <w:color w:val="000000" w:themeColor="text1"/>
        </w:rPr>
        <w:t>September</w:t>
      </w:r>
      <w:r w:rsidRPr="00BF14DA">
        <w:rPr>
          <w:rFonts w:ascii="Garamond" w:hAnsi="Garamond"/>
          <w:color w:val="000000" w:themeColor="text1"/>
        </w:rPr>
        <w:t xml:space="preserve"> 202</w:t>
      </w:r>
      <w:r w:rsidR="00BF4CE4">
        <w:rPr>
          <w:rFonts w:ascii="Garamond" w:hAnsi="Garamond"/>
          <w:color w:val="000000" w:themeColor="text1"/>
        </w:rPr>
        <w:t>6</w:t>
      </w:r>
      <w:r w:rsidRPr="00BF14DA">
        <w:rPr>
          <w:rFonts w:ascii="Garamond" w:hAnsi="Garamond"/>
          <w:color w:val="000000" w:themeColor="text1"/>
        </w:rPr>
        <w:t>.</w:t>
      </w:r>
    </w:p>
  </w:footnote>
  <w:footnote w:id="7">
    <w:p w14:paraId="79F14514" w14:textId="5D7B1403"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BA5670" w:rsidRPr="00BF14DA">
        <w:rPr>
          <w:rFonts w:ascii="Garamond" w:hAnsi="Garamond"/>
          <w:color w:val="000000" w:themeColor="text1"/>
        </w:rPr>
        <w:t xml:space="preserve">Amy Walker, </w:t>
      </w:r>
      <w:r w:rsidR="00A83E4D">
        <w:rPr>
          <w:rFonts w:ascii="Garamond" w:hAnsi="Garamond"/>
          <w:color w:val="000000" w:themeColor="text1"/>
        </w:rPr>
        <w:t>‘</w:t>
      </w:r>
      <w:r w:rsidR="00AC1C76" w:rsidRPr="00AC1C76">
        <w:rPr>
          <w:rFonts w:ascii="Garamond" w:hAnsi="Garamond"/>
          <w:color w:val="000000" w:themeColor="text1"/>
        </w:rPr>
        <w:t xml:space="preserve">UK defends Chagos deal after Trump calls it </w:t>
      </w:r>
      <w:r w:rsidR="007B7A71">
        <w:rPr>
          <w:rFonts w:ascii="Garamond" w:hAnsi="Garamond"/>
          <w:color w:val="000000" w:themeColor="text1"/>
        </w:rPr>
        <w:t>“</w:t>
      </w:r>
      <w:r w:rsidR="00AC1C76" w:rsidRPr="00AC1C76">
        <w:rPr>
          <w:rFonts w:ascii="Garamond" w:hAnsi="Garamond"/>
          <w:color w:val="000000" w:themeColor="text1"/>
        </w:rPr>
        <w:t>act of great stupidity</w:t>
      </w:r>
      <w:r w:rsidR="007B7A71">
        <w:rPr>
          <w:rFonts w:ascii="Garamond" w:hAnsi="Garamond"/>
          <w:color w:val="000000" w:themeColor="text1"/>
        </w:rPr>
        <w:t>”’</w:t>
      </w:r>
      <w:r w:rsidR="00A83E4D">
        <w:rPr>
          <w:rFonts w:ascii="Garamond" w:hAnsi="Garamond"/>
          <w:color w:val="000000" w:themeColor="text1"/>
        </w:rPr>
        <w:t xml:space="preserve"> </w:t>
      </w:r>
      <w:r w:rsidRPr="00BF14DA">
        <w:rPr>
          <w:rFonts w:ascii="Garamond" w:hAnsi="Garamond"/>
          <w:i/>
          <w:iCs/>
          <w:color w:val="000000" w:themeColor="text1"/>
        </w:rPr>
        <w:t xml:space="preserve">BBC News </w:t>
      </w:r>
      <w:r w:rsidR="00E33F46" w:rsidRPr="00BF14DA">
        <w:rPr>
          <w:rFonts w:ascii="Garamond" w:hAnsi="Garamond"/>
          <w:color w:val="000000" w:themeColor="text1"/>
        </w:rPr>
        <w:t>(</w:t>
      </w:r>
      <w:r w:rsidRPr="00BF14DA">
        <w:rPr>
          <w:rFonts w:ascii="Garamond" w:hAnsi="Garamond"/>
          <w:color w:val="000000" w:themeColor="text1"/>
        </w:rPr>
        <w:t xml:space="preserve">20 January 2026) </w:t>
      </w:r>
      <w:hyperlink r:id="rId3" w:history="1">
        <w:r w:rsidR="007B7A71" w:rsidRPr="009E2B24">
          <w:rPr>
            <w:rStyle w:val="Hyperlink"/>
            <w:rFonts w:ascii="Garamond" w:hAnsi="Garamond"/>
          </w:rPr>
          <w:t>https://www.bbc.co.uk/news/articles/c0mkp021rvro</w:t>
        </w:r>
      </w:hyperlink>
      <w:r w:rsidR="007B7A71">
        <w:rPr>
          <w:rFonts w:ascii="Garamond" w:hAnsi="Garamond"/>
          <w:color w:val="000000" w:themeColor="text1"/>
        </w:rPr>
        <w:t xml:space="preserve"> </w:t>
      </w:r>
      <w:r w:rsidRPr="00BF14DA">
        <w:rPr>
          <w:rFonts w:ascii="Garamond" w:hAnsi="Garamond"/>
          <w:color w:val="000000" w:themeColor="text1"/>
        </w:rPr>
        <w:t>accessed 20 January 2026.</w:t>
      </w:r>
    </w:p>
  </w:footnote>
  <w:footnote w:id="8">
    <w:p w14:paraId="5D13E056" w14:textId="00F45DBA" w:rsidR="00A803DA" w:rsidRPr="00BF14DA" w:rsidRDefault="00A803D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A83E4D">
        <w:rPr>
          <w:rFonts w:ascii="Garamond" w:hAnsi="Garamond"/>
          <w:color w:val="000000" w:themeColor="text1"/>
        </w:rPr>
        <w:t xml:space="preserve">Joe Pike, </w:t>
      </w:r>
      <w:r w:rsidRPr="00BF14DA">
        <w:rPr>
          <w:rFonts w:ascii="Garamond" w:hAnsi="Garamond"/>
          <w:color w:val="000000" w:themeColor="text1"/>
        </w:rPr>
        <w:t xml:space="preserve">‘UK shelves Chagos deal after Trump opposition’ </w:t>
      </w:r>
      <w:r w:rsidR="00C100E0" w:rsidRPr="00BF14DA">
        <w:rPr>
          <w:rFonts w:ascii="Garamond" w:hAnsi="Garamond"/>
          <w:i/>
          <w:iCs/>
          <w:color w:val="000000" w:themeColor="text1"/>
        </w:rPr>
        <w:t xml:space="preserve">BBC News </w:t>
      </w:r>
      <w:r w:rsidR="0059377F" w:rsidRPr="00BF14DA">
        <w:rPr>
          <w:rFonts w:ascii="Garamond" w:hAnsi="Garamond"/>
          <w:color w:val="000000" w:themeColor="text1"/>
        </w:rPr>
        <w:t>(</w:t>
      </w:r>
      <w:r w:rsidR="00C100E0" w:rsidRPr="00BF14DA">
        <w:rPr>
          <w:rFonts w:ascii="Garamond" w:hAnsi="Garamond"/>
          <w:color w:val="000000" w:themeColor="text1"/>
        </w:rPr>
        <w:t xml:space="preserve">10 April 2026) </w:t>
      </w:r>
      <w:hyperlink r:id="rId4" w:history="1">
        <w:r w:rsidR="007B7A71" w:rsidRPr="009E2B24">
          <w:rPr>
            <w:rStyle w:val="Hyperlink"/>
            <w:rFonts w:ascii="Garamond" w:hAnsi="Garamond"/>
          </w:rPr>
          <w:t>https://www.bbc.co.uk/news/articles/c04x1lg1lygo</w:t>
        </w:r>
      </w:hyperlink>
      <w:r w:rsidR="007B7A71">
        <w:rPr>
          <w:rFonts w:ascii="Garamond" w:hAnsi="Garamond"/>
          <w:color w:val="000000" w:themeColor="text1"/>
        </w:rPr>
        <w:t xml:space="preserve"> </w:t>
      </w:r>
      <w:r w:rsidR="00C100E0" w:rsidRPr="00BF14DA">
        <w:rPr>
          <w:rFonts w:ascii="Garamond" w:hAnsi="Garamond"/>
          <w:color w:val="000000" w:themeColor="text1"/>
        </w:rPr>
        <w:t xml:space="preserve">accessed </w:t>
      </w:r>
      <w:r w:rsidR="008A154A" w:rsidRPr="00BF14DA">
        <w:rPr>
          <w:rFonts w:ascii="Garamond" w:hAnsi="Garamond"/>
          <w:color w:val="000000" w:themeColor="text1"/>
        </w:rPr>
        <w:t>25 June 2026.</w:t>
      </w:r>
    </w:p>
  </w:footnote>
  <w:footnote w:id="9">
    <w:p w14:paraId="2EBA7FB9" w14:textId="78CE4662" w:rsidR="00130C9D" w:rsidRPr="00BF14DA" w:rsidRDefault="00130C9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0E7CD0" w:rsidRPr="00BF14DA">
        <w:rPr>
          <w:rFonts w:ascii="Garamond" w:hAnsi="Garamond"/>
          <w:color w:val="000000" w:themeColor="text1"/>
        </w:rPr>
        <w:t xml:space="preserve">Katy Dartford, </w:t>
      </w:r>
      <w:r w:rsidRPr="00BF14DA">
        <w:rPr>
          <w:rFonts w:ascii="Garamond" w:hAnsi="Garamond"/>
          <w:color w:val="000000" w:themeColor="text1"/>
        </w:rPr>
        <w:t xml:space="preserve">‘Trump weighs up plans to </w:t>
      </w:r>
      <w:r w:rsidR="007B7A71">
        <w:rPr>
          <w:rFonts w:ascii="Garamond" w:hAnsi="Garamond"/>
          <w:color w:val="000000" w:themeColor="text1"/>
        </w:rPr>
        <w:t>“</w:t>
      </w:r>
      <w:r w:rsidRPr="00BF14DA">
        <w:rPr>
          <w:rFonts w:ascii="Garamond" w:hAnsi="Garamond"/>
          <w:color w:val="000000" w:themeColor="text1"/>
        </w:rPr>
        <w:t>buy Chagos Islands</w:t>
      </w:r>
      <w:r w:rsidR="007B7A71">
        <w:rPr>
          <w:rFonts w:ascii="Garamond" w:hAnsi="Garamond"/>
          <w:color w:val="000000" w:themeColor="text1"/>
        </w:rPr>
        <w:t>”</w:t>
      </w:r>
      <w:r w:rsidRPr="00BF14DA">
        <w:rPr>
          <w:rFonts w:ascii="Garamond" w:hAnsi="Garamond"/>
          <w:color w:val="000000" w:themeColor="text1"/>
        </w:rPr>
        <w:t xml:space="preserve"> which could see US bypass UK to access Diego Garcia base’ </w:t>
      </w:r>
      <w:r w:rsidR="00855F37" w:rsidRPr="00BF14DA">
        <w:rPr>
          <w:rFonts w:ascii="Garamond" w:hAnsi="Garamond"/>
          <w:i/>
          <w:iCs/>
          <w:color w:val="000000" w:themeColor="text1"/>
        </w:rPr>
        <w:t xml:space="preserve">LBC </w:t>
      </w:r>
      <w:r w:rsidR="00A93913" w:rsidRPr="00BF14DA">
        <w:rPr>
          <w:rFonts w:ascii="Garamond" w:hAnsi="Garamond"/>
          <w:i/>
          <w:iCs/>
          <w:color w:val="000000" w:themeColor="text1"/>
        </w:rPr>
        <w:t xml:space="preserve">News </w:t>
      </w:r>
      <w:r w:rsidR="009A2D6A" w:rsidRPr="00BF14DA">
        <w:rPr>
          <w:rFonts w:ascii="Garamond" w:hAnsi="Garamond"/>
          <w:color w:val="000000" w:themeColor="text1"/>
        </w:rPr>
        <w:t>(</w:t>
      </w:r>
      <w:r w:rsidR="00D23CC2" w:rsidRPr="00BF14DA">
        <w:rPr>
          <w:rFonts w:ascii="Garamond" w:hAnsi="Garamond"/>
          <w:color w:val="000000" w:themeColor="text1"/>
        </w:rPr>
        <w:t xml:space="preserve">7 June 2026) </w:t>
      </w:r>
      <w:hyperlink r:id="rId5" w:history="1">
        <w:r w:rsidR="007B7A71" w:rsidRPr="009E2B24">
          <w:rPr>
            <w:rStyle w:val="Hyperlink"/>
            <w:rFonts w:ascii="Garamond" w:hAnsi="Garamond"/>
          </w:rPr>
          <w:t>https://www.lbc.co.uk/article/trump-plans-buy-chagos-islands-5HjdbFL_2/</w:t>
        </w:r>
      </w:hyperlink>
      <w:r w:rsidR="007B7A71">
        <w:rPr>
          <w:rFonts w:ascii="Garamond" w:hAnsi="Garamond"/>
          <w:color w:val="000000" w:themeColor="text1"/>
        </w:rPr>
        <w:t xml:space="preserve"> </w:t>
      </w:r>
      <w:r w:rsidR="00D23CC2" w:rsidRPr="00BF14DA">
        <w:rPr>
          <w:rFonts w:ascii="Garamond" w:hAnsi="Garamond"/>
          <w:color w:val="000000" w:themeColor="text1"/>
        </w:rPr>
        <w:t>accessed 25 June 2026.</w:t>
      </w:r>
    </w:p>
  </w:footnote>
  <w:footnote w:id="10">
    <w:p w14:paraId="0FC385B6" w14:textId="59501030" w:rsidR="001A3F96" w:rsidRPr="00BF14DA" w:rsidRDefault="001A3F96">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CF5532">
        <w:rPr>
          <w:rFonts w:ascii="Garamond" w:hAnsi="Garamond"/>
          <w:color w:val="000000" w:themeColor="text1"/>
        </w:rPr>
        <w:t>Joshua Nev</w:t>
      </w:r>
      <w:r w:rsidR="008D5BCD">
        <w:rPr>
          <w:rFonts w:ascii="Garamond" w:hAnsi="Garamond"/>
          <w:color w:val="000000" w:themeColor="text1"/>
        </w:rPr>
        <w:t xml:space="preserve">ett, </w:t>
      </w:r>
      <w:r w:rsidRPr="00BF14DA">
        <w:rPr>
          <w:rFonts w:ascii="Garamond" w:hAnsi="Garamond"/>
          <w:color w:val="000000" w:themeColor="text1"/>
        </w:rPr>
        <w:t xml:space="preserve">‘Maldives tells UK it does not recognise Chagos Islands deal’ </w:t>
      </w:r>
      <w:r w:rsidRPr="00BF14DA">
        <w:rPr>
          <w:rFonts w:ascii="Garamond" w:hAnsi="Garamond"/>
          <w:i/>
          <w:iCs/>
          <w:color w:val="000000" w:themeColor="text1"/>
        </w:rPr>
        <w:t xml:space="preserve">BBC News </w:t>
      </w:r>
      <w:r w:rsidR="00970B16" w:rsidRPr="00BF14DA">
        <w:rPr>
          <w:rFonts w:ascii="Garamond" w:hAnsi="Garamond"/>
          <w:color w:val="000000" w:themeColor="text1"/>
        </w:rPr>
        <w:t>(</w:t>
      </w:r>
      <w:r w:rsidRPr="00BF14DA">
        <w:rPr>
          <w:rFonts w:ascii="Garamond" w:hAnsi="Garamond"/>
          <w:color w:val="000000" w:themeColor="text1"/>
        </w:rPr>
        <w:t>28</w:t>
      </w:r>
      <w:r w:rsidR="00BE1606" w:rsidRPr="00BF14DA">
        <w:rPr>
          <w:rFonts w:ascii="Garamond" w:hAnsi="Garamond"/>
          <w:color w:val="000000" w:themeColor="text1"/>
          <w:vertAlign w:val="superscript"/>
        </w:rPr>
        <w:t xml:space="preserve"> </w:t>
      </w:r>
      <w:r w:rsidRPr="00BF14DA">
        <w:rPr>
          <w:rFonts w:ascii="Garamond" w:hAnsi="Garamond"/>
          <w:color w:val="000000" w:themeColor="text1"/>
        </w:rPr>
        <w:t xml:space="preserve">March 2026) </w:t>
      </w:r>
      <w:hyperlink r:id="rId6" w:history="1">
        <w:r w:rsidR="007B7A71" w:rsidRPr="009E2B24">
          <w:rPr>
            <w:rStyle w:val="Hyperlink"/>
            <w:rFonts w:ascii="Garamond" w:hAnsi="Garamond"/>
          </w:rPr>
          <w:t>https://www.bbc.co.uk/news/articles/c74vedxjq8zo</w:t>
        </w:r>
      </w:hyperlink>
      <w:r w:rsidR="007B7A71">
        <w:rPr>
          <w:rFonts w:ascii="Garamond" w:hAnsi="Garamond"/>
          <w:color w:val="000000" w:themeColor="text1"/>
        </w:rPr>
        <w:t xml:space="preserve"> </w:t>
      </w:r>
      <w:r w:rsidRPr="00BF14DA">
        <w:rPr>
          <w:rFonts w:ascii="Garamond" w:hAnsi="Garamond"/>
          <w:color w:val="000000" w:themeColor="text1"/>
        </w:rPr>
        <w:t>accessed 29 June 2026.</w:t>
      </w:r>
    </w:p>
  </w:footnote>
  <w:footnote w:id="11">
    <w:p w14:paraId="37F3FA71" w14:textId="37A85C92"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Gina Heathcote, </w:t>
      </w:r>
      <w:r w:rsidRPr="00BF14DA">
        <w:rPr>
          <w:rFonts w:ascii="Garamond" w:hAnsi="Garamond"/>
          <w:i/>
          <w:iCs/>
          <w:color w:val="000000" w:themeColor="text1"/>
        </w:rPr>
        <w:t>Feminist Dialogues on International Law: Successes, Tensions, Futures</w:t>
      </w:r>
      <w:r w:rsidRPr="00BF14DA">
        <w:rPr>
          <w:rFonts w:ascii="Garamond" w:hAnsi="Garamond"/>
          <w:color w:val="000000" w:themeColor="text1"/>
        </w:rPr>
        <w:t xml:space="preserve"> (O</w:t>
      </w:r>
      <w:r w:rsidR="00587E96">
        <w:rPr>
          <w:rFonts w:ascii="Garamond" w:hAnsi="Garamond"/>
          <w:color w:val="000000" w:themeColor="text1"/>
        </w:rPr>
        <w:t xml:space="preserve">xford </w:t>
      </w:r>
      <w:r w:rsidR="006C6A37" w:rsidRPr="00BF14DA">
        <w:rPr>
          <w:rFonts w:ascii="Garamond" w:hAnsi="Garamond"/>
          <w:color w:val="000000" w:themeColor="text1"/>
        </w:rPr>
        <w:t>U</w:t>
      </w:r>
      <w:r w:rsidR="00587E96">
        <w:rPr>
          <w:rFonts w:ascii="Garamond" w:hAnsi="Garamond"/>
          <w:color w:val="000000" w:themeColor="text1"/>
        </w:rPr>
        <w:t xml:space="preserve">niversity </w:t>
      </w:r>
      <w:r w:rsidR="006C6A37" w:rsidRPr="00BF14DA">
        <w:rPr>
          <w:rFonts w:ascii="Garamond" w:hAnsi="Garamond"/>
          <w:color w:val="000000" w:themeColor="text1"/>
        </w:rPr>
        <w:t>P</w:t>
      </w:r>
      <w:r w:rsidR="00587E96">
        <w:rPr>
          <w:rFonts w:ascii="Garamond" w:hAnsi="Garamond"/>
          <w:color w:val="000000" w:themeColor="text1"/>
        </w:rPr>
        <w:t>ress</w:t>
      </w:r>
      <w:r w:rsidRPr="00BF14DA">
        <w:rPr>
          <w:rFonts w:ascii="Garamond" w:hAnsi="Garamond"/>
          <w:color w:val="000000" w:themeColor="text1"/>
        </w:rPr>
        <w:t xml:space="preserve"> 2019) 123.</w:t>
      </w:r>
    </w:p>
  </w:footnote>
  <w:footnote w:id="12">
    <w:p w14:paraId="25DB835D" w14:textId="56AE77EC"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Alice Cuddy, ‘US blocks British court from British territory’ </w:t>
      </w:r>
      <w:r w:rsidRPr="00BF14DA">
        <w:rPr>
          <w:rFonts w:ascii="Garamond" w:hAnsi="Garamond"/>
          <w:i/>
          <w:iCs/>
          <w:color w:val="000000" w:themeColor="text1"/>
        </w:rPr>
        <w:t xml:space="preserve">BBC News </w:t>
      </w:r>
      <w:r w:rsidRPr="00BF14DA">
        <w:rPr>
          <w:rFonts w:ascii="Garamond" w:hAnsi="Garamond"/>
          <w:color w:val="000000" w:themeColor="text1"/>
        </w:rPr>
        <w:t>(9 July 2024)</w:t>
      </w:r>
      <w:r w:rsidR="00076A52" w:rsidRPr="00BF14DA">
        <w:rPr>
          <w:rFonts w:ascii="Garamond" w:hAnsi="Garamond"/>
          <w:color w:val="000000" w:themeColor="text1"/>
        </w:rPr>
        <w:t xml:space="preserve"> </w:t>
      </w:r>
      <w:hyperlink r:id="rId7" w:history="1">
        <w:r w:rsidR="00A84B1E" w:rsidRPr="009E2B24">
          <w:rPr>
            <w:rStyle w:val="Hyperlink"/>
            <w:rFonts w:ascii="Garamond" w:hAnsi="Garamond"/>
          </w:rPr>
          <w:t>https://www.bbc.co.uk/news/articles/cxe2v2mdg7vo</w:t>
        </w:r>
      </w:hyperlink>
      <w:r w:rsidR="00A84B1E">
        <w:rPr>
          <w:rFonts w:ascii="Garamond" w:hAnsi="Garamond"/>
          <w:color w:val="000000" w:themeColor="text1"/>
        </w:rPr>
        <w:t xml:space="preserve"> </w:t>
      </w:r>
      <w:r w:rsidR="001E6E48" w:rsidRPr="00BF14DA">
        <w:rPr>
          <w:rFonts w:ascii="Garamond" w:hAnsi="Garamond"/>
          <w:color w:val="000000" w:themeColor="text1"/>
        </w:rPr>
        <w:t>accessed 20</w:t>
      </w:r>
      <w:r w:rsidR="001E6E48" w:rsidRPr="00BF14DA">
        <w:rPr>
          <w:rFonts w:ascii="Garamond" w:hAnsi="Garamond"/>
          <w:color w:val="000000" w:themeColor="text1"/>
          <w:vertAlign w:val="superscript"/>
        </w:rPr>
        <w:t xml:space="preserve"> </w:t>
      </w:r>
      <w:r w:rsidR="001E6E48" w:rsidRPr="00BF14DA">
        <w:rPr>
          <w:rFonts w:ascii="Garamond" w:hAnsi="Garamond"/>
          <w:color w:val="000000" w:themeColor="text1"/>
        </w:rPr>
        <w:t>January 2026</w:t>
      </w:r>
      <w:r w:rsidRPr="00BF14DA">
        <w:rPr>
          <w:rFonts w:ascii="Garamond" w:hAnsi="Garamond"/>
          <w:color w:val="000000" w:themeColor="text1"/>
        </w:rPr>
        <w:t>.</w:t>
      </w:r>
    </w:p>
  </w:footnote>
  <w:footnote w:id="13">
    <w:p w14:paraId="714B571B" w14:textId="7BF55381"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Legal Consequences of the Separation of the Chagos Archipelago from Mauritius in 1965 (A</w:t>
      </w:r>
      <w:r w:rsidR="00A43C2C">
        <w:rPr>
          <w:rFonts w:ascii="Garamond" w:hAnsi="Garamond"/>
          <w:color w:val="000000" w:themeColor="text1"/>
        </w:rPr>
        <w:t>O</w:t>
      </w:r>
      <w:r w:rsidRPr="00BF14DA">
        <w:rPr>
          <w:rFonts w:ascii="Garamond" w:hAnsi="Garamond"/>
          <w:color w:val="000000" w:themeColor="text1"/>
        </w:rPr>
        <w:t xml:space="preserve">, </w:t>
      </w:r>
      <w:r w:rsidR="00CF4FE1">
        <w:rPr>
          <w:rFonts w:ascii="Garamond" w:hAnsi="Garamond"/>
          <w:color w:val="000000" w:themeColor="text1"/>
        </w:rPr>
        <w:t>W</w:t>
      </w:r>
      <w:r w:rsidRPr="00BF14DA">
        <w:rPr>
          <w:rFonts w:ascii="Garamond" w:hAnsi="Garamond"/>
          <w:color w:val="000000" w:themeColor="text1"/>
        </w:rPr>
        <w:t xml:space="preserve">ritten </w:t>
      </w:r>
      <w:r w:rsidR="00CF4FE1">
        <w:rPr>
          <w:rFonts w:ascii="Garamond" w:hAnsi="Garamond"/>
          <w:color w:val="000000" w:themeColor="text1"/>
        </w:rPr>
        <w:t>S</w:t>
      </w:r>
      <w:r w:rsidRPr="00BF14DA">
        <w:rPr>
          <w:rFonts w:ascii="Garamond" w:hAnsi="Garamond"/>
          <w:color w:val="000000" w:themeColor="text1"/>
        </w:rPr>
        <w:t>tatement of the United Kingdom</w:t>
      </w:r>
      <w:r w:rsidR="00CF4FE1">
        <w:rPr>
          <w:rFonts w:ascii="Garamond" w:hAnsi="Garamond"/>
          <w:color w:val="000000" w:themeColor="text1"/>
        </w:rPr>
        <w:t xml:space="preserve"> of Great Britain and Northern Ireland</w:t>
      </w:r>
      <w:r w:rsidRPr="00BF14DA">
        <w:rPr>
          <w:rFonts w:ascii="Garamond" w:hAnsi="Garamond"/>
          <w:color w:val="000000" w:themeColor="text1"/>
        </w:rPr>
        <w:t xml:space="preserve"> </w:t>
      </w:r>
      <w:r w:rsidR="005F482F">
        <w:rPr>
          <w:rFonts w:ascii="Garamond" w:hAnsi="Garamond"/>
          <w:color w:val="000000" w:themeColor="text1"/>
        </w:rPr>
        <w:t>(</w:t>
      </w:r>
      <w:r w:rsidR="00D01A4F">
        <w:rPr>
          <w:rFonts w:ascii="Garamond" w:hAnsi="Garamond"/>
          <w:color w:val="000000" w:themeColor="text1"/>
        </w:rPr>
        <w:t xml:space="preserve">15 February </w:t>
      </w:r>
      <w:r w:rsidRPr="00BF14DA">
        <w:rPr>
          <w:rFonts w:ascii="Garamond" w:hAnsi="Garamond"/>
          <w:color w:val="000000" w:themeColor="text1"/>
        </w:rPr>
        <w:t>2018</w:t>
      </w:r>
      <w:r w:rsidR="005F482F">
        <w:rPr>
          <w:rFonts w:ascii="Garamond" w:hAnsi="Garamond"/>
          <w:color w:val="000000" w:themeColor="text1"/>
        </w:rPr>
        <w:t>)</w:t>
      </w:r>
      <w:r w:rsidR="00B80F10">
        <w:rPr>
          <w:rFonts w:ascii="Garamond" w:hAnsi="Garamond"/>
          <w:color w:val="000000" w:themeColor="text1"/>
        </w:rPr>
        <w:t xml:space="preserve"> </w:t>
      </w:r>
      <w:r w:rsidR="00B80F10" w:rsidRPr="00BF14DA">
        <w:rPr>
          <w:rFonts w:ascii="Garamond" w:hAnsi="Garamond"/>
          <w:color w:val="000000" w:themeColor="text1"/>
        </w:rPr>
        <w:t>[1.2]</w:t>
      </w:r>
      <w:r w:rsidR="00B80F10">
        <w:rPr>
          <w:rFonts w:ascii="Garamond" w:hAnsi="Garamond"/>
          <w:color w:val="000000" w:themeColor="text1"/>
        </w:rPr>
        <w:t>-</w:t>
      </w:r>
      <w:r w:rsidR="00B80F10" w:rsidRPr="00BF14DA">
        <w:rPr>
          <w:rFonts w:ascii="Garamond" w:hAnsi="Garamond"/>
          <w:color w:val="000000" w:themeColor="text1"/>
        </w:rPr>
        <w:t>[1.3</w:t>
      </w:r>
      <w:r w:rsidR="00B80F10">
        <w:rPr>
          <w:rFonts w:ascii="Garamond" w:hAnsi="Garamond"/>
          <w:color w:val="000000" w:themeColor="text1"/>
        </w:rPr>
        <w:t>]</w:t>
      </w:r>
      <w:r w:rsidRPr="00BF14DA">
        <w:rPr>
          <w:rFonts w:ascii="Garamond" w:hAnsi="Garamond"/>
          <w:color w:val="000000" w:themeColor="text1"/>
        </w:rPr>
        <w:t xml:space="preserve"> </w:t>
      </w:r>
      <w:hyperlink r:id="rId8" w:history="1">
        <w:r w:rsidR="005F482F" w:rsidRPr="009E2B24">
          <w:rPr>
            <w:rStyle w:val="Hyperlink"/>
            <w:rFonts w:ascii="Garamond" w:hAnsi="Garamond"/>
          </w:rPr>
          <w:t>https://www.icj-cij.org/sites/default/files/case-related/169/169-20180215-WRI-01-00-EN.pdf</w:t>
        </w:r>
      </w:hyperlink>
      <w:r w:rsidR="005F482F">
        <w:rPr>
          <w:rFonts w:ascii="Garamond" w:hAnsi="Garamond"/>
          <w:color w:val="000000" w:themeColor="text1"/>
        </w:rPr>
        <w:t xml:space="preserve"> </w:t>
      </w:r>
      <w:r w:rsidRPr="00BF14DA">
        <w:rPr>
          <w:rFonts w:ascii="Garamond" w:hAnsi="Garamond"/>
          <w:color w:val="000000" w:themeColor="text1"/>
        </w:rPr>
        <w:t>accessed 6 November 20</w:t>
      </w:r>
      <w:r w:rsidR="00D75991">
        <w:rPr>
          <w:rFonts w:ascii="Garamond" w:hAnsi="Garamond"/>
          <w:color w:val="000000" w:themeColor="text1"/>
        </w:rPr>
        <w:t>25</w:t>
      </w:r>
      <w:r w:rsidRPr="00BF14DA">
        <w:rPr>
          <w:rFonts w:ascii="Garamond" w:hAnsi="Garamond"/>
          <w:color w:val="000000" w:themeColor="text1"/>
        </w:rPr>
        <w:t>.</w:t>
      </w:r>
    </w:p>
  </w:footnote>
  <w:footnote w:id="14">
    <w:p w14:paraId="72599C38" w14:textId="21736736"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Legal Consequences of the Separation of the Chagos Archipelago from Mauritius in 1965 (A</w:t>
      </w:r>
      <w:r w:rsidR="00A43C2C">
        <w:rPr>
          <w:rFonts w:ascii="Garamond" w:hAnsi="Garamond"/>
          <w:color w:val="000000" w:themeColor="text1"/>
        </w:rPr>
        <w:t>O</w:t>
      </w:r>
      <w:r w:rsidRPr="00BF14DA">
        <w:rPr>
          <w:rFonts w:ascii="Garamond" w:hAnsi="Garamond"/>
          <w:color w:val="000000" w:themeColor="text1"/>
        </w:rPr>
        <w:t xml:space="preserve">, </w:t>
      </w:r>
      <w:r w:rsidR="00F3430F">
        <w:rPr>
          <w:rFonts w:ascii="Garamond" w:hAnsi="Garamond"/>
          <w:color w:val="000000" w:themeColor="text1"/>
        </w:rPr>
        <w:t>W</w:t>
      </w:r>
      <w:r w:rsidRPr="00BF14DA">
        <w:rPr>
          <w:rFonts w:ascii="Garamond" w:hAnsi="Garamond"/>
          <w:color w:val="000000" w:themeColor="text1"/>
        </w:rPr>
        <w:t xml:space="preserve">ritten </w:t>
      </w:r>
      <w:r w:rsidR="00F3430F">
        <w:rPr>
          <w:rFonts w:ascii="Garamond" w:hAnsi="Garamond"/>
          <w:color w:val="000000" w:themeColor="text1"/>
        </w:rPr>
        <w:t>S</w:t>
      </w:r>
      <w:r w:rsidRPr="00BF14DA">
        <w:rPr>
          <w:rFonts w:ascii="Garamond" w:hAnsi="Garamond"/>
          <w:color w:val="000000" w:themeColor="text1"/>
        </w:rPr>
        <w:t xml:space="preserve">tatement of the Republic of Mauritius </w:t>
      </w:r>
      <w:r w:rsidR="00B80F10">
        <w:rPr>
          <w:rFonts w:ascii="Garamond" w:hAnsi="Garamond"/>
          <w:color w:val="000000" w:themeColor="text1"/>
        </w:rPr>
        <w:t>(</w:t>
      </w:r>
      <w:r w:rsidR="00D75991">
        <w:rPr>
          <w:rFonts w:ascii="Garamond" w:hAnsi="Garamond"/>
          <w:color w:val="000000" w:themeColor="text1"/>
        </w:rPr>
        <w:t xml:space="preserve">1 March </w:t>
      </w:r>
      <w:r w:rsidRPr="00BF14DA">
        <w:rPr>
          <w:rFonts w:ascii="Garamond" w:hAnsi="Garamond"/>
          <w:color w:val="000000" w:themeColor="text1"/>
        </w:rPr>
        <w:t>2018</w:t>
      </w:r>
      <w:r w:rsidR="00B80F10">
        <w:rPr>
          <w:rFonts w:ascii="Garamond" w:hAnsi="Garamond"/>
          <w:color w:val="000000" w:themeColor="text1"/>
        </w:rPr>
        <w:t>)</w:t>
      </w:r>
      <w:r w:rsidR="00D75991">
        <w:rPr>
          <w:rFonts w:ascii="Garamond" w:hAnsi="Garamond"/>
          <w:color w:val="000000" w:themeColor="text1"/>
        </w:rPr>
        <w:t>,Vol I</w:t>
      </w:r>
      <w:r w:rsidR="00B80F10">
        <w:rPr>
          <w:rFonts w:ascii="Garamond" w:hAnsi="Garamond"/>
          <w:color w:val="000000" w:themeColor="text1"/>
        </w:rPr>
        <w:t xml:space="preserve"> [6.96]</w:t>
      </w:r>
      <w:r w:rsidRPr="00BF14DA">
        <w:rPr>
          <w:rFonts w:ascii="Garamond" w:hAnsi="Garamond"/>
          <w:color w:val="000000" w:themeColor="text1"/>
        </w:rPr>
        <w:t xml:space="preserve"> </w:t>
      </w:r>
      <w:hyperlink r:id="rId9" w:history="1">
        <w:r w:rsidR="00B80F10" w:rsidRPr="009E2B24">
          <w:rPr>
            <w:rStyle w:val="Hyperlink"/>
            <w:rFonts w:ascii="Garamond" w:hAnsi="Garamond"/>
          </w:rPr>
          <w:t>https://www.icj-cij.org/sites/default/files/case-related/169/169-20180301-WRI-05-00-EN.pdf</w:t>
        </w:r>
      </w:hyperlink>
      <w:r w:rsidR="00B80F10">
        <w:rPr>
          <w:rFonts w:ascii="Garamond" w:hAnsi="Garamond"/>
          <w:color w:val="000000" w:themeColor="text1"/>
        </w:rPr>
        <w:t xml:space="preserve"> </w:t>
      </w:r>
      <w:r w:rsidRPr="00BF14DA">
        <w:rPr>
          <w:rFonts w:ascii="Garamond" w:hAnsi="Garamond"/>
          <w:color w:val="000000" w:themeColor="text1"/>
        </w:rPr>
        <w:t>accessed 6 November 2025.</w:t>
      </w:r>
    </w:p>
  </w:footnote>
  <w:footnote w:id="15">
    <w:p w14:paraId="72CB0275" w14:textId="1775CDA9"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Chagossian Voices, ‘Briefing: </w:t>
      </w:r>
      <w:r w:rsidR="0048428B">
        <w:rPr>
          <w:rFonts w:ascii="Garamond" w:hAnsi="Garamond"/>
          <w:color w:val="000000" w:themeColor="text1"/>
        </w:rPr>
        <w:t>T</w:t>
      </w:r>
      <w:r w:rsidRPr="00BF14DA">
        <w:rPr>
          <w:rFonts w:ascii="Garamond" w:hAnsi="Garamond"/>
          <w:color w:val="000000" w:themeColor="text1"/>
        </w:rPr>
        <w:t xml:space="preserve">he </w:t>
      </w:r>
      <w:r w:rsidR="00B80F10">
        <w:rPr>
          <w:rFonts w:ascii="Garamond" w:hAnsi="Garamond"/>
          <w:color w:val="000000" w:themeColor="text1"/>
        </w:rPr>
        <w:t>r</w:t>
      </w:r>
      <w:r w:rsidRPr="00BF14DA">
        <w:rPr>
          <w:rFonts w:ascii="Garamond" w:hAnsi="Garamond"/>
          <w:color w:val="000000" w:themeColor="text1"/>
        </w:rPr>
        <w:t xml:space="preserve">ights of </w:t>
      </w:r>
      <w:proofErr w:type="spellStart"/>
      <w:r w:rsidRPr="00BF14DA">
        <w:rPr>
          <w:rFonts w:ascii="Garamond" w:hAnsi="Garamond"/>
          <w:color w:val="000000" w:themeColor="text1"/>
        </w:rPr>
        <w:t>Chagossians</w:t>
      </w:r>
      <w:proofErr w:type="spellEnd"/>
      <w:r w:rsidRPr="00BF14DA">
        <w:rPr>
          <w:rFonts w:ascii="Garamond" w:hAnsi="Garamond"/>
          <w:color w:val="000000" w:themeColor="text1"/>
        </w:rPr>
        <w:t xml:space="preserve"> to </w:t>
      </w:r>
      <w:r w:rsidR="00B80F10">
        <w:rPr>
          <w:rFonts w:ascii="Garamond" w:hAnsi="Garamond"/>
          <w:color w:val="000000" w:themeColor="text1"/>
        </w:rPr>
        <w:t>s</w:t>
      </w:r>
      <w:r w:rsidRPr="00BF14DA">
        <w:rPr>
          <w:rFonts w:ascii="Garamond" w:hAnsi="Garamond"/>
          <w:color w:val="000000" w:themeColor="text1"/>
        </w:rPr>
        <w:t>elf-</w:t>
      </w:r>
      <w:r w:rsidR="00B80F10">
        <w:rPr>
          <w:rFonts w:ascii="Garamond" w:hAnsi="Garamond"/>
          <w:color w:val="000000" w:themeColor="text1"/>
        </w:rPr>
        <w:t>d</w:t>
      </w:r>
      <w:r w:rsidRPr="00BF14DA">
        <w:rPr>
          <w:rFonts w:ascii="Garamond" w:hAnsi="Garamond"/>
          <w:color w:val="000000" w:themeColor="text1"/>
        </w:rPr>
        <w:t xml:space="preserve">etermination’ (January 2023) </w:t>
      </w:r>
      <w:hyperlink r:id="rId10" w:history="1">
        <w:r w:rsidR="00B80F10" w:rsidRPr="009E2B24">
          <w:rPr>
            <w:rStyle w:val="Hyperlink"/>
            <w:rFonts w:ascii="Garamond" w:hAnsi="Garamond"/>
          </w:rPr>
          <w:t>https://chagossianvoices.org/wp-content/uploads/2023/12/07Jan-2023-Briefing-on-Chagossian-Self-determination.pdf</w:t>
        </w:r>
      </w:hyperlink>
      <w:r w:rsidR="00B80F10">
        <w:rPr>
          <w:rFonts w:ascii="Garamond" w:hAnsi="Garamond"/>
          <w:color w:val="000000" w:themeColor="text1"/>
        </w:rPr>
        <w:t xml:space="preserve"> </w:t>
      </w:r>
      <w:r w:rsidRPr="00BF14DA">
        <w:rPr>
          <w:rFonts w:ascii="Garamond" w:hAnsi="Garamond"/>
          <w:color w:val="000000" w:themeColor="text1"/>
        </w:rPr>
        <w:t xml:space="preserve">accessed 2 October 2025.  </w:t>
      </w:r>
    </w:p>
  </w:footnote>
  <w:footnote w:id="16">
    <w:p w14:paraId="712A34EB" w14:textId="3B1D47D6"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Maria Drakopoulou, ‘Feminism and consent: a genealogical inquiry’ in Rosemary Hunter and Sharon Cowan (eds), </w:t>
      </w:r>
      <w:r w:rsidRPr="00BF14DA">
        <w:rPr>
          <w:rFonts w:ascii="Garamond" w:hAnsi="Garamond"/>
          <w:i/>
          <w:iCs/>
          <w:color w:val="000000" w:themeColor="text1"/>
        </w:rPr>
        <w:t xml:space="preserve">Choice and Consent: Feminist </w:t>
      </w:r>
      <w:r w:rsidR="000142C9">
        <w:rPr>
          <w:rFonts w:ascii="Garamond" w:hAnsi="Garamond"/>
          <w:i/>
          <w:iCs/>
          <w:color w:val="000000" w:themeColor="text1"/>
        </w:rPr>
        <w:t>E</w:t>
      </w:r>
      <w:r w:rsidRPr="00BF14DA">
        <w:rPr>
          <w:rFonts w:ascii="Garamond" w:hAnsi="Garamond"/>
          <w:i/>
          <w:iCs/>
          <w:color w:val="000000" w:themeColor="text1"/>
        </w:rPr>
        <w:t>ngagement</w:t>
      </w:r>
      <w:r w:rsidR="000142C9">
        <w:rPr>
          <w:rFonts w:ascii="Garamond" w:hAnsi="Garamond"/>
          <w:i/>
          <w:iCs/>
          <w:color w:val="000000" w:themeColor="text1"/>
        </w:rPr>
        <w:t>s</w:t>
      </w:r>
      <w:r w:rsidRPr="00BF14DA">
        <w:rPr>
          <w:rFonts w:ascii="Garamond" w:hAnsi="Garamond"/>
          <w:i/>
          <w:iCs/>
          <w:color w:val="000000" w:themeColor="text1"/>
        </w:rPr>
        <w:t xml:space="preserve"> with </w:t>
      </w:r>
      <w:r w:rsidR="000142C9">
        <w:rPr>
          <w:rFonts w:ascii="Garamond" w:hAnsi="Garamond"/>
          <w:i/>
          <w:iCs/>
          <w:color w:val="000000" w:themeColor="text1"/>
        </w:rPr>
        <w:t>L</w:t>
      </w:r>
      <w:r w:rsidRPr="00BF14DA">
        <w:rPr>
          <w:rFonts w:ascii="Garamond" w:hAnsi="Garamond"/>
          <w:i/>
          <w:iCs/>
          <w:color w:val="000000" w:themeColor="text1"/>
        </w:rPr>
        <w:t xml:space="preserve">aw and </w:t>
      </w:r>
      <w:r w:rsidR="000142C9">
        <w:rPr>
          <w:rFonts w:ascii="Garamond" w:hAnsi="Garamond"/>
          <w:i/>
          <w:iCs/>
          <w:color w:val="000000" w:themeColor="text1"/>
        </w:rPr>
        <w:t>S</w:t>
      </w:r>
      <w:r w:rsidRPr="00BF14DA">
        <w:rPr>
          <w:rFonts w:ascii="Garamond" w:hAnsi="Garamond"/>
          <w:i/>
          <w:iCs/>
          <w:color w:val="000000" w:themeColor="text1"/>
        </w:rPr>
        <w:t xml:space="preserve">ubjectivity </w:t>
      </w:r>
      <w:r w:rsidRPr="00BF14DA">
        <w:rPr>
          <w:rFonts w:ascii="Garamond" w:hAnsi="Garamond"/>
          <w:color w:val="000000" w:themeColor="text1"/>
        </w:rPr>
        <w:t>(Routledge 2007) 9</w:t>
      </w:r>
      <w:r w:rsidR="00E82227">
        <w:rPr>
          <w:rFonts w:ascii="Garamond" w:hAnsi="Garamond"/>
          <w:color w:val="000000" w:themeColor="text1"/>
        </w:rPr>
        <w:t>-38</w:t>
      </w:r>
      <w:r w:rsidRPr="00BF14DA">
        <w:rPr>
          <w:rFonts w:ascii="Garamond" w:hAnsi="Garamond"/>
          <w:color w:val="000000" w:themeColor="text1"/>
        </w:rPr>
        <w:t>, 29-31.</w:t>
      </w:r>
    </w:p>
  </w:footnote>
  <w:footnote w:id="17">
    <w:p w14:paraId="3FD0CC03" w14:textId="667CCD86" w:rsidR="00022A87" w:rsidRPr="00BF14DA" w:rsidRDefault="00022A87">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F015A4" w:rsidRPr="00BF14DA">
        <w:rPr>
          <w:rFonts w:ascii="Garamond" w:hAnsi="Garamond"/>
          <w:color w:val="000000" w:themeColor="text1"/>
        </w:rPr>
        <w:t xml:space="preserve">For more doctrinal legal analyses see Stephen Allen, ‘Self-determination, the Chagos Advisory Opinion and the </w:t>
      </w:r>
      <w:proofErr w:type="spellStart"/>
      <w:r w:rsidR="00F015A4" w:rsidRPr="00BF14DA">
        <w:rPr>
          <w:rFonts w:ascii="Garamond" w:hAnsi="Garamond"/>
          <w:color w:val="000000" w:themeColor="text1"/>
        </w:rPr>
        <w:t>Chagossians</w:t>
      </w:r>
      <w:proofErr w:type="spellEnd"/>
      <w:r w:rsidR="00F015A4" w:rsidRPr="00BF14DA">
        <w:rPr>
          <w:rFonts w:ascii="Garamond" w:hAnsi="Garamond"/>
          <w:color w:val="000000" w:themeColor="text1"/>
        </w:rPr>
        <w:t xml:space="preserve">’ (2020) 69(1) </w:t>
      </w:r>
      <w:r w:rsidR="00F015A4" w:rsidRPr="0086559E">
        <w:rPr>
          <w:rFonts w:ascii="Garamond" w:hAnsi="Garamond"/>
          <w:i/>
          <w:iCs/>
          <w:color w:val="000000" w:themeColor="text1"/>
        </w:rPr>
        <w:t>International and Comparative Law Quarterly</w:t>
      </w:r>
      <w:r w:rsidR="00F015A4" w:rsidRPr="00BF14DA">
        <w:rPr>
          <w:rFonts w:ascii="Garamond" w:hAnsi="Garamond"/>
          <w:color w:val="000000" w:themeColor="text1"/>
        </w:rPr>
        <w:t xml:space="preserve"> 203; Robert McCorquodale, Jennifer Robinson and Nicola Peart, ‘Territorial </w:t>
      </w:r>
      <w:r w:rsidR="001B7128">
        <w:rPr>
          <w:rFonts w:ascii="Garamond" w:hAnsi="Garamond"/>
          <w:color w:val="000000" w:themeColor="text1"/>
        </w:rPr>
        <w:t>i</w:t>
      </w:r>
      <w:r w:rsidR="00F015A4" w:rsidRPr="00BF14DA">
        <w:rPr>
          <w:rFonts w:ascii="Garamond" w:hAnsi="Garamond"/>
          <w:color w:val="000000" w:themeColor="text1"/>
        </w:rPr>
        <w:t xml:space="preserve">ntegrity and </w:t>
      </w:r>
      <w:r w:rsidR="001B7128">
        <w:rPr>
          <w:rFonts w:ascii="Garamond" w:hAnsi="Garamond"/>
          <w:color w:val="000000" w:themeColor="text1"/>
        </w:rPr>
        <w:t>c</w:t>
      </w:r>
      <w:r w:rsidR="00F015A4" w:rsidRPr="00BF14DA">
        <w:rPr>
          <w:rFonts w:ascii="Garamond" w:hAnsi="Garamond"/>
          <w:color w:val="000000" w:themeColor="text1"/>
        </w:rPr>
        <w:t xml:space="preserve">onsent in the Chagos Advisory Opinion’ (2020) 69(1) </w:t>
      </w:r>
      <w:r w:rsidR="00F015A4" w:rsidRPr="0086559E">
        <w:rPr>
          <w:rFonts w:ascii="Garamond" w:hAnsi="Garamond"/>
          <w:i/>
          <w:iCs/>
          <w:color w:val="000000" w:themeColor="text1"/>
        </w:rPr>
        <w:t xml:space="preserve">International and Comparative Law Quarterly </w:t>
      </w:r>
      <w:r w:rsidR="00F015A4" w:rsidRPr="00BF14DA">
        <w:rPr>
          <w:rFonts w:ascii="Garamond" w:hAnsi="Garamond"/>
          <w:color w:val="000000" w:themeColor="text1"/>
        </w:rPr>
        <w:t>221.</w:t>
      </w:r>
    </w:p>
  </w:footnote>
  <w:footnote w:id="18">
    <w:p w14:paraId="7B3D034B" w14:textId="304E4423" w:rsidR="00EC700A" w:rsidRPr="00BF14DA" w:rsidRDefault="00EC700A" w:rsidP="00EC700A">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Françoise Vergés, </w:t>
      </w:r>
      <w:r w:rsidRPr="00BF14DA">
        <w:rPr>
          <w:rFonts w:ascii="Garamond" w:hAnsi="Garamond"/>
          <w:i/>
          <w:iCs/>
          <w:color w:val="000000" w:themeColor="text1"/>
        </w:rPr>
        <w:t xml:space="preserve">A Decolonial Feminism </w:t>
      </w:r>
      <w:r w:rsidRPr="00BF14DA">
        <w:rPr>
          <w:rFonts w:ascii="Garamond" w:hAnsi="Garamond"/>
          <w:color w:val="000000" w:themeColor="text1"/>
        </w:rPr>
        <w:t>(</w:t>
      </w:r>
      <w:r w:rsidR="003869D0">
        <w:rPr>
          <w:rFonts w:ascii="Garamond" w:hAnsi="Garamond"/>
          <w:color w:val="000000" w:themeColor="text1"/>
        </w:rPr>
        <w:t>tr Ashley J Bohrer</w:t>
      </w:r>
      <w:r w:rsidR="003869D0">
        <w:rPr>
          <w:rFonts w:ascii="Garamond" w:hAnsi="Garamond"/>
          <w:color w:val="000000" w:themeColor="text1"/>
        </w:rPr>
        <w:t xml:space="preserve">, </w:t>
      </w:r>
      <w:r w:rsidRPr="00BF14DA">
        <w:rPr>
          <w:rFonts w:ascii="Garamond" w:hAnsi="Garamond"/>
          <w:color w:val="000000" w:themeColor="text1"/>
        </w:rPr>
        <w:t>Pluto Press 2021</w:t>
      </w:r>
      <w:r w:rsidR="00A9541C">
        <w:rPr>
          <w:rFonts w:ascii="Garamond" w:hAnsi="Garamond"/>
          <w:color w:val="000000" w:themeColor="text1"/>
        </w:rPr>
        <w:t>)</w:t>
      </w:r>
      <w:r w:rsidRPr="00BF14DA">
        <w:rPr>
          <w:rFonts w:ascii="Garamond" w:hAnsi="Garamond"/>
          <w:color w:val="000000" w:themeColor="text1"/>
        </w:rPr>
        <w:t>) 23.</w:t>
      </w:r>
    </w:p>
  </w:footnote>
  <w:footnote w:id="19">
    <w:p w14:paraId="00FA82CF" w14:textId="76E005C0"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Statement of </w:t>
      </w:r>
      <w:proofErr w:type="spellStart"/>
      <w:r w:rsidRPr="00BF14DA">
        <w:rPr>
          <w:rFonts w:ascii="Garamond" w:hAnsi="Garamond"/>
          <w:color w:val="000000" w:themeColor="text1"/>
        </w:rPr>
        <w:t>Liseby</w:t>
      </w:r>
      <w:proofErr w:type="spellEnd"/>
      <w:r w:rsidRPr="00BF14DA">
        <w:rPr>
          <w:rFonts w:ascii="Garamond" w:hAnsi="Garamond"/>
          <w:color w:val="000000" w:themeColor="text1"/>
        </w:rPr>
        <w:t xml:space="preserve"> </w:t>
      </w:r>
      <w:proofErr w:type="spellStart"/>
      <w:r w:rsidRPr="00BF14DA">
        <w:rPr>
          <w:rFonts w:ascii="Garamond" w:hAnsi="Garamond"/>
          <w:color w:val="000000" w:themeColor="text1"/>
        </w:rPr>
        <w:t>Elysé</w:t>
      </w:r>
      <w:proofErr w:type="spellEnd"/>
      <w:r w:rsidRPr="00BF14DA">
        <w:rPr>
          <w:rFonts w:ascii="Garamond" w:hAnsi="Garamond"/>
          <w:color w:val="000000" w:themeColor="text1"/>
        </w:rPr>
        <w:t xml:space="preserve"> to the International Court of Justice quoted in Philippe Sands, </w:t>
      </w:r>
      <w:r w:rsidRPr="00BF14DA">
        <w:rPr>
          <w:rFonts w:ascii="Garamond" w:hAnsi="Garamond"/>
          <w:i/>
          <w:iCs/>
          <w:color w:val="000000" w:themeColor="text1"/>
        </w:rPr>
        <w:t xml:space="preserve">The Last Colony: A </w:t>
      </w:r>
      <w:r w:rsidR="000A39A6">
        <w:rPr>
          <w:rFonts w:ascii="Garamond" w:hAnsi="Garamond"/>
          <w:i/>
          <w:iCs/>
          <w:color w:val="000000" w:themeColor="text1"/>
        </w:rPr>
        <w:t>T</w:t>
      </w:r>
      <w:r w:rsidRPr="00BF14DA">
        <w:rPr>
          <w:rFonts w:ascii="Garamond" w:hAnsi="Garamond"/>
          <w:i/>
          <w:iCs/>
          <w:color w:val="000000" w:themeColor="text1"/>
        </w:rPr>
        <w:t xml:space="preserve">ale of </w:t>
      </w:r>
      <w:r w:rsidR="000A39A6">
        <w:rPr>
          <w:rFonts w:ascii="Garamond" w:hAnsi="Garamond"/>
          <w:i/>
          <w:iCs/>
          <w:color w:val="000000" w:themeColor="text1"/>
        </w:rPr>
        <w:t>E</w:t>
      </w:r>
      <w:r w:rsidRPr="00BF14DA">
        <w:rPr>
          <w:rFonts w:ascii="Garamond" w:hAnsi="Garamond"/>
          <w:i/>
          <w:iCs/>
          <w:color w:val="000000" w:themeColor="text1"/>
        </w:rPr>
        <w:t>xile,</w:t>
      </w:r>
      <w:r w:rsidR="000A39A6">
        <w:rPr>
          <w:rFonts w:ascii="Garamond" w:hAnsi="Garamond"/>
          <w:i/>
          <w:iCs/>
          <w:color w:val="000000" w:themeColor="text1"/>
        </w:rPr>
        <w:t xml:space="preserve"> J</w:t>
      </w:r>
      <w:r w:rsidRPr="00BF14DA">
        <w:rPr>
          <w:rFonts w:ascii="Garamond" w:hAnsi="Garamond"/>
          <w:i/>
          <w:iCs/>
          <w:color w:val="000000" w:themeColor="text1"/>
        </w:rPr>
        <w:t xml:space="preserve">ustice and Britain’s </w:t>
      </w:r>
      <w:r w:rsidR="000A39A6">
        <w:rPr>
          <w:rFonts w:ascii="Garamond" w:hAnsi="Garamond"/>
          <w:i/>
          <w:iCs/>
          <w:color w:val="000000" w:themeColor="text1"/>
        </w:rPr>
        <w:t>C</w:t>
      </w:r>
      <w:r w:rsidRPr="00BF14DA">
        <w:rPr>
          <w:rFonts w:ascii="Garamond" w:hAnsi="Garamond"/>
          <w:i/>
          <w:iCs/>
          <w:color w:val="000000" w:themeColor="text1"/>
        </w:rPr>
        <w:t xml:space="preserve">olonial </w:t>
      </w:r>
      <w:r w:rsidR="000A39A6">
        <w:rPr>
          <w:rFonts w:ascii="Garamond" w:hAnsi="Garamond"/>
          <w:i/>
          <w:iCs/>
          <w:color w:val="000000" w:themeColor="text1"/>
        </w:rPr>
        <w:t>L</w:t>
      </w:r>
      <w:r w:rsidRPr="00BF14DA">
        <w:rPr>
          <w:rFonts w:ascii="Garamond" w:hAnsi="Garamond"/>
          <w:i/>
          <w:iCs/>
          <w:color w:val="000000" w:themeColor="text1"/>
        </w:rPr>
        <w:t xml:space="preserve">egacy </w:t>
      </w:r>
      <w:r w:rsidRPr="00BF14DA">
        <w:rPr>
          <w:rFonts w:ascii="Garamond" w:hAnsi="Garamond"/>
          <w:color w:val="000000" w:themeColor="text1"/>
        </w:rPr>
        <w:t>(Weidenfeld and Nicolson 2022) 6-7.</w:t>
      </w:r>
    </w:p>
  </w:footnote>
  <w:footnote w:id="20">
    <w:p w14:paraId="2578F320" w14:textId="15C07BE9"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Heidi M Hurd, ‘The </w:t>
      </w:r>
      <w:r w:rsidR="00275F3F">
        <w:rPr>
          <w:rFonts w:ascii="Garamond" w:hAnsi="Garamond"/>
          <w:color w:val="000000" w:themeColor="text1"/>
        </w:rPr>
        <w:t>m</w:t>
      </w:r>
      <w:r w:rsidRPr="00BF14DA">
        <w:rPr>
          <w:rFonts w:ascii="Garamond" w:hAnsi="Garamond"/>
          <w:color w:val="000000" w:themeColor="text1"/>
        </w:rPr>
        <w:t xml:space="preserve">oral </w:t>
      </w:r>
      <w:r w:rsidR="00275F3F">
        <w:rPr>
          <w:rFonts w:ascii="Garamond" w:hAnsi="Garamond"/>
          <w:color w:val="000000" w:themeColor="text1"/>
        </w:rPr>
        <w:t>m</w:t>
      </w:r>
      <w:r w:rsidRPr="00BF14DA">
        <w:rPr>
          <w:rFonts w:ascii="Garamond" w:hAnsi="Garamond"/>
          <w:color w:val="000000" w:themeColor="text1"/>
        </w:rPr>
        <w:t xml:space="preserve">agic of </w:t>
      </w:r>
      <w:r w:rsidR="00275F3F">
        <w:rPr>
          <w:rFonts w:ascii="Garamond" w:hAnsi="Garamond"/>
          <w:color w:val="000000" w:themeColor="text1"/>
        </w:rPr>
        <w:t>c</w:t>
      </w:r>
      <w:r w:rsidRPr="00BF14DA">
        <w:rPr>
          <w:rFonts w:ascii="Garamond" w:hAnsi="Garamond"/>
          <w:color w:val="000000" w:themeColor="text1"/>
        </w:rPr>
        <w:t xml:space="preserve">onsent’ (1996) 2(2) </w:t>
      </w:r>
      <w:r w:rsidRPr="00294C6C">
        <w:rPr>
          <w:rFonts w:ascii="Garamond" w:hAnsi="Garamond"/>
          <w:i/>
          <w:iCs/>
          <w:color w:val="000000" w:themeColor="text1"/>
        </w:rPr>
        <w:t>Legal Theory</w:t>
      </w:r>
      <w:r w:rsidRPr="00BF14DA">
        <w:rPr>
          <w:rFonts w:ascii="Garamond" w:hAnsi="Garamond"/>
          <w:color w:val="000000" w:themeColor="text1"/>
        </w:rPr>
        <w:t xml:space="preserve"> 121.</w:t>
      </w:r>
    </w:p>
  </w:footnote>
  <w:footnote w:id="21">
    <w:p w14:paraId="2C13E7BF" w14:textId="4F18BA25"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FE7AF9" w:rsidRPr="00BF14DA">
        <w:rPr>
          <w:rFonts w:ascii="Garamond" w:hAnsi="Garamond"/>
          <w:color w:val="000000" w:themeColor="text1"/>
        </w:rPr>
        <w:t xml:space="preserve">Heathcote </w:t>
      </w:r>
      <w:r w:rsidRPr="00BF14DA">
        <w:rPr>
          <w:rFonts w:ascii="Garamond" w:hAnsi="Garamond"/>
          <w:color w:val="000000" w:themeColor="text1"/>
        </w:rPr>
        <w:t xml:space="preserve">(n </w:t>
      </w:r>
      <w:r w:rsidR="00162245" w:rsidRPr="00BF14DA">
        <w:rPr>
          <w:rFonts w:ascii="Garamond" w:hAnsi="Garamond"/>
          <w:color w:val="000000" w:themeColor="text1"/>
        </w:rPr>
        <w:t>10</w:t>
      </w:r>
      <w:r w:rsidR="00FE0575" w:rsidRPr="00BF14DA">
        <w:rPr>
          <w:rFonts w:ascii="Garamond" w:hAnsi="Garamond"/>
          <w:color w:val="000000" w:themeColor="text1"/>
        </w:rPr>
        <w:t>).</w:t>
      </w:r>
    </w:p>
  </w:footnote>
  <w:footnote w:id="22">
    <w:p w14:paraId="12AE568E" w14:textId="6D7E406B"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Pr="00BF14DA">
        <w:rPr>
          <w:rFonts w:ascii="Garamond" w:hAnsi="Garamond" w:cs="Apple Chancery"/>
          <w:color w:val="000000" w:themeColor="text1"/>
        </w:rPr>
        <w:t xml:space="preserve">Autonomy, from the construction of ‘the self’ (auto) and ‘the law’ (nomos); </w:t>
      </w:r>
      <w:r w:rsidRPr="00BF14DA">
        <w:rPr>
          <w:rFonts w:ascii="Garamond" w:hAnsi="Garamond"/>
          <w:color w:val="000000" w:themeColor="text1"/>
        </w:rPr>
        <w:t xml:space="preserve">Yannick Radi, ‘Autonomy in </w:t>
      </w:r>
      <w:r w:rsidR="00664874">
        <w:rPr>
          <w:rFonts w:ascii="Garamond" w:hAnsi="Garamond"/>
          <w:color w:val="000000" w:themeColor="text1"/>
        </w:rPr>
        <w:t>i</w:t>
      </w:r>
      <w:r w:rsidRPr="00BF14DA">
        <w:rPr>
          <w:rFonts w:ascii="Garamond" w:hAnsi="Garamond"/>
          <w:color w:val="000000" w:themeColor="text1"/>
        </w:rPr>
        <w:t xml:space="preserve">nternational </w:t>
      </w:r>
      <w:r w:rsidR="00664874">
        <w:rPr>
          <w:rFonts w:ascii="Garamond" w:hAnsi="Garamond"/>
          <w:color w:val="000000" w:themeColor="text1"/>
        </w:rPr>
        <w:t>l</w:t>
      </w:r>
      <w:r w:rsidRPr="00BF14DA">
        <w:rPr>
          <w:rFonts w:ascii="Garamond" w:hAnsi="Garamond"/>
          <w:color w:val="000000" w:themeColor="text1"/>
        </w:rPr>
        <w:t xml:space="preserve">aw: </w:t>
      </w:r>
      <w:r w:rsidR="00664874">
        <w:rPr>
          <w:rFonts w:ascii="Garamond" w:hAnsi="Garamond"/>
          <w:color w:val="000000" w:themeColor="text1"/>
        </w:rPr>
        <w:t>A</w:t>
      </w:r>
      <w:r w:rsidRPr="00BF14DA">
        <w:rPr>
          <w:rFonts w:ascii="Garamond" w:hAnsi="Garamond"/>
          <w:color w:val="000000" w:themeColor="text1"/>
        </w:rPr>
        <w:t xml:space="preserve">bout the legal and societal limits to the exercise of consent’ in Samantha Besson (ed) </w:t>
      </w:r>
      <w:r w:rsidRPr="00BF14DA">
        <w:rPr>
          <w:rFonts w:ascii="Garamond" w:hAnsi="Garamond"/>
          <w:i/>
          <w:iCs/>
          <w:color w:val="000000" w:themeColor="text1"/>
        </w:rPr>
        <w:t xml:space="preserve">Consenting to International law </w:t>
      </w:r>
      <w:r w:rsidRPr="00BF14DA">
        <w:rPr>
          <w:rFonts w:ascii="Garamond" w:hAnsi="Garamond"/>
          <w:color w:val="000000" w:themeColor="text1"/>
        </w:rPr>
        <w:t>(</w:t>
      </w:r>
      <w:r w:rsidR="00E7763C" w:rsidRPr="00BF14DA">
        <w:rPr>
          <w:rFonts w:ascii="Garamond" w:hAnsi="Garamond"/>
          <w:color w:val="000000" w:themeColor="text1"/>
        </w:rPr>
        <w:t>C</w:t>
      </w:r>
      <w:r w:rsidR="00FC7046">
        <w:rPr>
          <w:rFonts w:ascii="Garamond" w:hAnsi="Garamond"/>
          <w:color w:val="000000" w:themeColor="text1"/>
        </w:rPr>
        <w:t xml:space="preserve">ambridge </w:t>
      </w:r>
      <w:r w:rsidR="00E7763C" w:rsidRPr="00BF14DA">
        <w:rPr>
          <w:rFonts w:ascii="Garamond" w:hAnsi="Garamond"/>
          <w:color w:val="000000" w:themeColor="text1"/>
        </w:rPr>
        <w:t>U</w:t>
      </w:r>
      <w:r w:rsidR="00FC7046">
        <w:rPr>
          <w:rFonts w:ascii="Garamond" w:hAnsi="Garamond"/>
          <w:color w:val="000000" w:themeColor="text1"/>
        </w:rPr>
        <w:t xml:space="preserve">niversity </w:t>
      </w:r>
      <w:r w:rsidR="00E7763C" w:rsidRPr="00BF14DA">
        <w:rPr>
          <w:rFonts w:ascii="Garamond" w:hAnsi="Garamond"/>
          <w:color w:val="000000" w:themeColor="text1"/>
        </w:rPr>
        <w:t>P</w:t>
      </w:r>
      <w:r w:rsidR="00FC7046">
        <w:rPr>
          <w:rFonts w:ascii="Garamond" w:hAnsi="Garamond"/>
          <w:color w:val="000000" w:themeColor="text1"/>
        </w:rPr>
        <w:t>ress</w:t>
      </w:r>
      <w:r w:rsidRPr="00BF14DA">
        <w:rPr>
          <w:rFonts w:ascii="Garamond" w:hAnsi="Garamond"/>
          <w:color w:val="000000" w:themeColor="text1"/>
        </w:rPr>
        <w:t xml:space="preserve"> 2023) 347</w:t>
      </w:r>
      <w:r w:rsidR="001771D6">
        <w:rPr>
          <w:rFonts w:ascii="Garamond" w:hAnsi="Garamond"/>
          <w:color w:val="000000" w:themeColor="text1"/>
        </w:rPr>
        <w:t>-368</w:t>
      </w:r>
      <w:r w:rsidRPr="00BF14DA">
        <w:rPr>
          <w:rFonts w:ascii="Garamond" w:hAnsi="Garamond"/>
          <w:color w:val="000000" w:themeColor="text1"/>
        </w:rPr>
        <w:t>, 350.</w:t>
      </w:r>
    </w:p>
  </w:footnote>
  <w:footnote w:id="23">
    <w:p w14:paraId="453B3E58" w14:textId="6C7D9FCC"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proofErr w:type="spellStart"/>
      <w:r w:rsidR="00CA17DB" w:rsidRPr="00BF14DA">
        <w:rPr>
          <w:rFonts w:ascii="Garamond" w:hAnsi="Garamond"/>
          <w:color w:val="000000" w:themeColor="text1"/>
        </w:rPr>
        <w:t>D</w:t>
      </w:r>
      <w:r w:rsidRPr="00BF14DA">
        <w:rPr>
          <w:rFonts w:ascii="Garamond" w:hAnsi="Garamond"/>
          <w:color w:val="000000" w:themeColor="text1"/>
        </w:rPr>
        <w:t>’Aspremont</w:t>
      </w:r>
      <w:proofErr w:type="spellEnd"/>
      <w:r w:rsidR="00CA17DB" w:rsidRPr="00BF14DA">
        <w:rPr>
          <w:rFonts w:ascii="Garamond" w:hAnsi="Garamond"/>
          <w:color w:val="000000" w:themeColor="text1"/>
        </w:rPr>
        <w:t xml:space="preserve"> (n 4) </w:t>
      </w:r>
      <w:r w:rsidRPr="00BF14DA">
        <w:rPr>
          <w:rFonts w:ascii="Garamond" w:hAnsi="Garamond"/>
          <w:color w:val="000000" w:themeColor="text1"/>
        </w:rPr>
        <w:t xml:space="preserve">125. </w:t>
      </w:r>
    </w:p>
  </w:footnote>
  <w:footnote w:id="24">
    <w:p w14:paraId="0CD3935F" w14:textId="1D879A06"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See Teemu </w:t>
      </w:r>
      <w:proofErr w:type="spellStart"/>
      <w:r w:rsidRPr="00BF14DA">
        <w:rPr>
          <w:rFonts w:ascii="Garamond" w:hAnsi="Garamond"/>
          <w:color w:val="000000" w:themeColor="text1"/>
        </w:rPr>
        <w:t>Ruskola</w:t>
      </w:r>
      <w:proofErr w:type="spellEnd"/>
      <w:r w:rsidRPr="00BF14DA">
        <w:rPr>
          <w:rFonts w:ascii="Garamond" w:hAnsi="Garamond"/>
          <w:color w:val="000000" w:themeColor="text1"/>
        </w:rPr>
        <w:t xml:space="preserve">, ‘Raping </w:t>
      </w:r>
      <w:r w:rsidR="00664874">
        <w:rPr>
          <w:rFonts w:ascii="Garamond" w:hAnsi="Garamond"/>
          <w:color w:val="000000" w:themeColor="text1"/>
        </w:rPr>
        <w:t>l</w:t>
      </w:r>
      <w:r w:rsidRPr="00BF14DA">
        <w:rPr>
          <w:rFonts w:ascii="Garamond" w:hAnsi="Garamond"/>
          <w:color w:val="000000" w:themeColor="text1"/>
        </w:rPr>
        <w:t xml:space="preserve">ike a </w:t>
      </w:r>
      <w:r w:rsidR="00664874">
        <w:rPr>
          <w:rFonts w:ascii="Garamond" w:hAnsi="Garamond"/>
          <w:color w:val="000000" w:themeColor="text1"/>
        </w:rPr>
        <w:t>s</w:t>
      </w:r>
      <w:r w:rsidRPr="00BF14DA">
        <w:rPr>
          <w:rFonts w:ascii="Garamond" w:hAnsi="Garamond"/>
          <w:color w:val="000000" w:themeColor="text1"/>
        </w:rPr>
        <w:t xml:space="preserve">tate’ (2010) 57 </w:t>
      </w:r>
      <w:r w:rsidRPr="006560ED">
        <w:rPr>
          <w:rFonts w:ascii="Garamond" w:hAnsi="Garamond"/>
          <w:i/>
          <w:iCs/>
          <w:color w:val="000000" w:themeColor="text1"/>
        </w:rPr>
        <w:t>UCLA Law Review</w:t>
      </w:r>
      <w:r w:rsidRPr="00BF14DA">
        <w:rPr>
          <w:rFonts w:ascii="Garamond" w:hAnsi="Garamond"/>
          <w:color w:val="000000" w:themeColor="text1"/>
        </w:rPr>
        <w:t xml:space="preserve"> 1477, 1478.</w:t>
      </w:r>
    </w:p>
  </w:footnote>
  <w:footnote w:id="25">
    <w:p w14:paraId="2BC953C4" w14:textId="4DB94B01"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1495</w:t>
      </w:r>
      <w:r w:rsidR="00664874">
        <w:rPr>
          <w:rFonts w:ascii="Garamond" w:hAnsi="Garamond"/>
          <w:color w:val="000000" w:themeColor="text1"/>
        </w:rPr>
        <w:t>-</w:t>
      </w:r>
      <w:r w:rsidRPr="00BF14DA">
        <w:rPr>
          <w:rFonts w:ascii="Garamond" w:hAnsi="Garamond"/>
          <w:color w:val="000000" w:themeColor="text1"/>
        </w:rPr>
        <w:t xml:space="preserve">1501. </w:t>
      </w:r>
    </w:p>
  </w:footnote>
  <w:footnote w:id="26">
    <w:p w14:paraId="659F5F24" w14:textId="7AE3CD54"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Rose Parfitt, </w:t>
      </w:r>
      <w:r w:rsidRPr="00BF14DA">
        <w:rPr>
          <w:rFonts w:ascii="Garamond" w:hAnsi="Garamond"/>
          <w:i/>
          <w:iCs/>
          <w:color w:val="000000" w:themeColor="text1"/>
        </w:rPr>
        <w:t xml:space="preserve">The Process of International Legal Reproduction: Inequality, </w:t>
      </w:r>
      <w:r w:rsidR="00AA44DB">
        <w:rPr>
          <w:rFonts w:ascii="Garamond" w:hAnsi="Garamond"/>
          <w:i/>
          <w:iCs/>
          <w:color w:val="000000" w:themeColor="text1"/>
        </w:rPr>
        <w:t>H</w:t>
      </w:r>
      <w:r w:rsidRPr="00BF14DA">
        <w:rPr>
          <w:rFonts w:ascii="Garamond" w:hAnsi="Garamond"/>
          <w:i/>
          <w:iCs/>
          <w:color w:val="000000" w:themeColor="text1"/>
        </w:rPr>
        <w:t xml:space="preserve">istoriography, </w:t>
      </w:r>
      <w:r w:rsidR="00AA44DB">
        <w:rPr>
          <w:rFonts w:ascii="Garamond" w:hAnsi="Garamond"/>
          <w:i/>
          <w:iCs/>
          <w:color w:val="000000" w:themeColor="text1"/>
        </w:rPr>
        <w:t>R</w:t>
      </w:r>
      <w:r w:rsidRPr="00BF14DA">
        <w:rPr>
          <w:rFonts w:ascii="Garamond" w:hAnsi="Garamond"/>
          <w:i/>
          <w:iCs/>
          <w:color w:val="000000" w:themeColor="text1"/>
        </w:rPr>
        <w:t xml:space="preserve">esistance </w:t>
      </w:r>
      <w:r w:rsidRPr="00BF14DA">
        <w:rPr>
          <w:rFonts w:ascii="Garamond" w:hAnsi="Garamond"/>
          <w:color w:val="000000" w:themeColor="text1"/>
        </w:rPr>
        <w:t>(</w:t>
      </w:r>
      <w:r w:rsidR="001F05AD" w:rsidRPr="00BF14DA">
        <w:rPr>
          <w:rFonts w:ascii="Garamond" w:hAnsi="Garamond"/>
          <w:color w:val="000000" w:themeColor="text1"/>
        </w:rPr>
        <w:t>C</w:t>
      </w:r>
      <w:r w:rsidR="00625344">
        <w:rPr>
          <w:rFonts w:ascii="Garamond" w:hAnsi="Garamond"/>
          <w:color w:val="000000" w:themeColor="text1"/>
        </w:rPr>
        <w:t xml:space="preserve">ambridge </w:t>
      </w:r>
      <w:r w:rsidR="001F05AD" w:rsidRPr="00BF14DA">
        <w:rPr>
          <w:rFonts w:ascii="Garamond" w:hAnsi="Garamond"/>
          <w:color w:val="000000" w:themeColor="text1"/>
        </w:rPr>
        <w:t>U</w:t>
      </w:r>
      <w:r w:rsidR="00625344">
        <w:rPr>
          <w:rFonts w:ascii="Garamond" w:hAnsi="Garamond"/>
          <w:color w:val="000000" w:themeColor="text1"/>
        </w:rPr>
        <w:t xml:space="preserve">niversity </w:t>
      </w:r>
      <w:r w:rsidR="001F05AD" w:rsidRPr="00BF14DA">
        <w:rPr>
          <w:rFonts w:ascii="Garamond" w:hAnsi="Garamond"/>
          <w:color w:val="000000" w:themeColor="text1"/>
        </w:rPr>
        <w:t>P</w:t>
      </w:r>
      <w:r w:rsidR="00625344">
        <w:rPr>
          <w:rFonts w:ascii="Garamond" w:hAnsi="Garamond"/>
          <w:color w:val="000000" w:themeColor="text1"/>
        </w:rPr>
        <w:t>ress</w:t>
      </w:r>
      <w:r w:rsidRPr="00BF14DA">
        <w:rPr>
          <w:rFonts w:ascii="Garamond" w:hAnsi="Garamond"/>
          <w:color w:val="000000" w:themeColor="text1"/>
        </w:rPr>
        <w:t xml:space="preserve"> 2019)</w:t>
      </w:r>
      <w:r w:rsidR="00D90618">
        <w:rPr>
          <w:rFonts w:ascii="Garamond" w:hAnsi="Garamond"/>
          <w:color w:val="000000" w:themeColor="text1"/>
        </w:rPr>
        <w:t>,</w:t>
      </w:r>
      <w:r w:rsidRPr="00BF14DA">
        <w:rPr>
          <w:rFonts w:ascii="Garamond" w:hAnsi="Garamond"/>
          <w:color w:val="000000" w:themeColor="text1"/>
        </w:rPr>
        <w:t xml:space="preserve"> 77.</w:t>
      </w:r>
    </w:p>
  </w:footnote>
  <w:footnote w:id="27">
    <w:p w14:paraId="2E11D939" w14:textId="6C9DC036"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ICJ AO (n 2)</w:t>
      </w:r>
      <w:r w:rsidR="00D90618">
        <w:rPr>
          <w:rFonts w:ascii="Garamond" w:hAnsi="Garamond"/>
          <w:color w:val="000000" w:themeColor="text1"/>
        </w:rPr>
        <w:t>,</w:t>
      </w:r>
      <w:r w:rsidRPr="00BF14DA">
        <w:rPr>
          <w:rFonts w:ascii="Garamond" w:hAnsi="Garamond"/>
          <w:color w:val="000000" w:themeColor="text1"/>
        </w:rPr>
        <w:t xml:space="preserve"> 172.</w:t>
      </w:r>
    </w:p>
  </w:footnote>
  <w:footnote w:id="28">
    <w:p w14:paraId="7DC71DD2" w14:textId="6E74B86C"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Written Statement to the ICJ of the UK (n </w:t>
      </w:r>
      <w:r w:rsidR="002B7AC8">
        <w:rPr>
          <w:rFonts w:ascii="Garamond" w:hAnsi="Garamond"/>
          <w:color w:val="000000" w:themeColor="text1"/>
        </w:rPr>
        <w:t>12</w:t>
      </w:r>
      <w:r w:rsidRPr="00BF14DA">
        <w:rPr>
          <w:rFonts w:ascii="Garamond" w:hAnsi="Garamond"/>
          <w:color w:val="000000" w:themeColor="text1"/>
        </w:rPr>
        <w:t xml:space="preserve">) </w:t>
      </w:r>
      <w:r w:rsidR="00C53259">
        <w:rPr>
          <w:rFonts w:ascii="Garamond" w:hAnsi="Garamond"/>
          <w:color w:val="000000" w:themeColor="text1"/>
        </w:rPr>
        <w:t>[</w:t>
      </w:r>
      <w:r w:rsidRPr="00BF14DA">
        <w:rPr>
          <w:rFonts w:ascii="Garamond" w:hAnsi="Garamond"/>
          <w:color w:val="000000" w:themeColor="text1"/>
        </w:rPr>
        <w:t>3.42</w:t>
      </w:r>
      <w:r w:rsidR="00C53259">
        <w:rPr>
          <w:rFonts w:ascii="Garamond" w:hAnsi="Garamond"/>
          <w:color w:val="000000" w:themeColor="text1"/>
        </w:rPr>
        <w:t>]</w:t>
      </w:r>
      <w:r w:rsidRPr="00BF14DA">
        <w:rPr>
          <w:rFonts w:ascii="Garamond" w:hAnsi="Garamond"/>
          <w:color w:val="000000" w:themeColor="text1"/>
        </w:rPr>
        <w:t>.</w:t>
      </w:r>
    </w:p>
  </w:footnote>
  <w:footnote w:id="29">
    <w:p w14:paraId="5ACFF161" w14:textId="7CFB6B41"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Wouter G Werner, ‘State </w:t>
      </w:r>
      <w:r w:rsidR="004742A8">
        <w:rPr>
          <w:rFonts w:ascii="Garamond" w:hAnsi="Garamond"/>
          <w:color w:val="000000" w:themeColor="text1"/>
        </w:rPr>
        <w:t>c</w:t>
      </w:r>
      <w:r w:rsidRPr="00BF14DA">
        <w:rPr>
          <w:rFonts w:ascii="Garamond" w:hAnsi="Garamond"/>
          <w:color w:val="000000" w:themeColor="text1"/>
        </w:rPr>
        <w:t xml:space="preserve">onsent as </w:t>
      </w:r>
      <w:r w:rsidR="004742A8">
        <w:rPr>
          <w:rFonts w:ascii="Garamond" w:hAnsi="Garamond"/>
          <w:color w:val="000000" w:themeColor="text1"/>
        </w:rPr>
        <w:t>f</w:t>
      </w:r>
      <w:r w:rsidRPr="00BF14DA">
        <w:rPr>
          <w:rFonts w:ascii="Garamond" w:hAnsi="Garamond"/>
          <w:color w:val="000000" w:themeColor="text1"/>
        </w:rPr>
        <w:t xml:space="preserve">oundational </w:t>
      </w:r>
      <w:r w:rsidR="004742A8">
        <w:rPr>
          <w:rFonts w:ascii="Garamond" w:hAnsi="Garamond"/>
          <w:color w:val="000000" w:themeColor="text1"/>
        </w:rPr>
        <w:t>m</w:t>
      </w:r>
      <w:r w:rsidRPr="00BF14DA">
        <w:rPr>
          <w:rFonts w:ascii="Garamond" w:hAnsi="Garamond"/>
          <w:color w:val="000000" w:themeColor="text1"/>
        </w:rPr>
        <w:t xml:space="preserve">yth’ in Catherine Brölmann and Yannick Radi (eds) </w:t>
      </w:r>
      <w:r w:rsidRPr="00BF14DA">
        <w:rPr>
          <w:rFonts w:ascii="Garamond" w:hAnsi="Garamond"/>
          <w:i/>
          <w:iCs/>
          <w:color w:val="000000" w:themeColor="text1"/>
        </w:rPr>
        <w:t xml:space="preserve">Research Handbook on Theory and Practice of International Lawmaking </w:t>
      </w:r>
      <w:r w:rsidRPr="00BF14DA">
        <w:rPr>
          <w:rFonts w:ascii="Garamond" w:hAnsi="Garamond"/>
          <w:color w:val="000000" w:themeColor="text1"/>
        </w:rPr>
        <w:t>(Edward Elgar 2016)</w:t>
      </w:r>
      <w:r w:rsidR="000D6B7B">
        <w:rPr>
          <w:rFonts w:ascii="Garamond" w:hAnsi="Garamond"/>
          <w:color w:val="000000" w:themeColor="text1"/>
        </w:rPr>
        <w:t>,</w:t>
      </w:r>
      <w:r w:rsidRPr="00BF14DA">
        <w:rPr>
          <w:rFonts w:ascii="Garamond" w:hAnsi="Garamond"/>
          <w:color w:val="000000" w:themeColor="text1"/>
        </w:rPr>
        <w:t xml:space="preserve"> </w:t>
      </w:r>
      <w:r w:rsidR="00024055">
        <w:rPr>
          <w:rFonts w:ascii="Garamond" w:hAnsi="Garamond"/>
          <w:color w:val="000000" w:themeColor="text1"/>
        </w:rPr>
        <w:t xml:space="preserve">13-31, </w:t>
      </w:r>
      <w:r w:rsidRPr="00BF14DA">
        <w:rPr>
          <w:rFonts w:ascii="Garamond" w:hAnsi="Garamond"/>
          <w:color w:val="000000" w:themeColor="text1"/>
        </w:rPr>
        <w:t>22.</w:t>
      </w:r>
    </w:p>
  </w:footnote>
  <w:footnote w:id="30">
    <w:p w14:paraId="766C0C3F" w14:textId="0903CE3F"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Shona Loong, Alex Manby and Fiona McConnell, ‘Rethinking self-determination: </w:t>
      </w:r>
      <w:r w:rsidR="004742A8">
        <w:rPr>
          <w:rFonts w:ascii="Garamond" w:hAnsi="Garamond"/>
          <w:color w:val="000000" w:themeColor="text1"/>
        </w:rPr>
        <w:t>C</w:t>
      </w:r>
      <w:r w:rsidRPr="00BF14DA">
        <w:rPr>
          <w:rFonts w:ascii="Garamond" w:hAnsi="Garamond"/>
          <w:color w:val="000000" w:themeColor="text1"/>
        </w:rPr>
        <w:t xml:space="preserve">olonial and relational geographies in Asia’ (2025) 13(7) </w:t>
      </w:r>
      <w:r w:rsidRPr="005B326E">
        <w:rPr>
          <w:rFonts w:ascii="Garamond" w:hAnsi="Garamond"/>
          <w:i/>
          <w:iCs/>
          <w:color w:val="000000" w:themeColor="text1"/>
        </w:rPr>
        <w:t>Territory, Politics, Governance</w:t>
      </w:r>
      <w:r w:rsidRPr="00BF14DA">
        <w:rPr>
          <w:rFonts w:ascii="Garamond" w:hAnsi="Garamond"/>
          <w:color w:val="000000" w:themeColor="text1"/>
        </w:rPr>
        <w:t xml:space="preserve"> 901, 903.</w:t>
      </w:r>
    </w:p>
  </w:footnote>
  <w:footnote w:id="31">
    <w:p w14:paraId="2A1ED050" w14:textId="57A2E7CE"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Parfitt (n </w:t>
      </w:r>
      <w:r w:rsidR="007C0D7E" w:rsidRPr="00BF14DA">
        <w:rPr>
          <w:rFonts w:ascii="Garamond" w:hAnsi="Garamond"/>
          <w:color w:val="000000" w:themeColor="text1"/>
        </w:rPr>
        <w:t>2</w:t>
      </w:r>
      <w:r w:rsidR="00FE00A5" w:rsidRPr="00BF14DA">
        <w:rPr>
          <w:rFonts w:ascii="Garamond" w:hAnsi="Garamond"/>
          <w:color w:val="000000" w:themeColor="text1"/>
        </w:rPr>
        <w:t>5</w:t>
      </w:r>
      <w:r w:rsidRPr="00BF14DA">
        <w:rPr>
          <w:rFonts w:ascii="Garamond" w:hAnsi="Garamond"/>
          <w:color w:val="000000" w:themeColor="text1"/>
        </w:rPr>
        <w:t>) 96-104.</w:t>
      </w:r>
    </w:p>
  </w:footnote>
  <w:footnote w:id="32">
    <w:p w14:paraId="7B2A5777" w14:textId="6710420B" w:rsidR="002C4C6B" w:rsidRPr="00BF14DA" w:rsidRDefault="002C4C6B" w:rsidP="002C4C6B">
      <w:pPr>
        <w:pStyle w:val="FootnoteText"/>
        <w:rPr>
          <w:rFonts w:ascii="Garamond" w:hAnsi="Garamond"/>
          <w:color w:val="000000" w:themeColor="text1"/>
          <w:highlight w:val="yellow"/>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F13770" w:rsidRPr="00BF14DA">
        <w:rPr>
          <w:rFonts w:ascii="Garamond" w:hAnsi="Garamond"/>
          <w:color w:val="000000" w:themeColor="text1"/>
        </w:rPr>
        <w:t>Thomas Hobbes</w:t>
      </w:r>
      <w:r w:rsidR="00283A62" w:rsidRPr="00BF14DA">
        <w:rPr>
          <w:rFonts w:ascii="Garamond" w:hAnsi="Garamond"/>
          <w:color w:val="000000" w:themeColor="text1"/>
        </w:rPr>
        <w:t xml:space="preserve"> [1651], </w:t>
      </w:r>
      <w:r w:rsidR="00283A62" w:rsidRPr="00BF14DA">
        <w:rPr>
          <w:rFonts w:ascii="Garamond" w:hAnsi="Garamond"/>
          <w:i/>
          <w:iCs/>
          <w:color w:val="000000" w:themeColor="text1"/>
        </w:rPr>
        <w:t>Leviathan</w:t>
      </w:r>
      <w:r w:rsidR="00BC192E" w:rsidRPr="00BF14DA">
        <w:rPr>
          <w:rFonts w:ascii="Garamond" w:hAnsi="Garamond"/>
          <w:i/>
          <w:iCs/>
          <w:color w:val="000000" w:themeColor="text1"/>
        </w:rPr>
        <w:t xml:space="preserve"> </w:t>
      </w:r>
      <w:r w:rsidR="00BC192E" w:rsidRPr="00BF14DA">
        <w:rPr>
          <w:rFonts w:ascii="Garamond" w:hAnsi="Garamond"/>
          <w:color w:val="000000" w:themeColor="text1"/>
        </w:rPr>
        <w:t>(</w:t>
      </w:r>
      <w:r w:rsidR="006F1EC7" w:rsidRPr="00BF14DA">
        <w:rPr>
          <w:rFonts w:ascii="Garamond" w:hAnsi="Garamond"/>
          <w:color w:val="000000" w:themeColor="text1"/>
        </w:rPr>
        <w:t>JM Dent &amp; Sons 1914)</w:t>
      </w:r>
      <w:r w:rsidR="004742A8">
        <w:rPr>
          <w:rFonts w:ascii="Garamond" w:hAnsi="Garamond"/>
          <w:color w:val="000000" w:themeColor="text1"/>
        </w:rPr>
        <w:t xml:space="preserve"> </w:t>
      </w:r>
      <w:r w:rsidR="00FC2FAC" w:rsidRPr="00BF14DA">
        <w:rPr>
          <w:rFonts w:ascii="Garamond" w:hAnsi="Garamond"/>
          <w:color w:val="000000" w:themeColor="text1"/>
        </w:rPr>
        <w:t>71</w:t>
      </w:r>
      <w:r w:rsidR="008E5D30" w:rsidRPr="00BF14DA">
        <w:rPr>
          <w:rFonts w:ascii="Garamond" w:hAnsi="Garamond"/>
          <w:color w:val="000000" w:themeColor="text1"/>
        </w:rPr>
        <w:t>.</w:t>
      </w:r>
      <w:r w:rsidR="006F1EC7" w:rsidRPr="00BF14DA">
        <w:rPr>
          <w:rFonts w:ascii="Garamond" w:hAnsi="Garamond"/>
          <w:color w:val="000000" w:themeColor="text1"/>
        </w:rPr>
        <w:t xml:space="preserve"> </w:t>
      </w:r>
    </w:p>
  </w:footnote>
  <w:footnote w:id="33">
    <w:p w14:paraId="226A583C" w14:textId="75C29422"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8E5D30" w:rsidRPr="00BF14DA">
        <w:rPr>
          <w:rFonts w:ascii="Garamond" w:hAnsi="Garamond"/>
          <w:color w:val="000000" w:themeColor="text1"/>
        </w:rPr>
        <w:t>ibid</w:t>
      </w:r>
      <w:r w:rsidRPr="00BF14DA">
        <w:rPr>
          <w:rFonts w:ascii="Garamond" w:hAnsi="Garamond"/>
          <w:color w:val="000000" w:themeColor="text1"/>
        </w:rPr>
        <w:t xml:space="preserve"> 78</w:t>
      </w:r>
      <w:r w:rsidR="00094265" w:rsidRPr="00BF14DA">
        <w:rPr>
          <w:rFonts w:ascii="Garamond" w:hAnsi="Garamond"/>
          <w:color w:val="000000" w:themeColor="text1"/>
        </w:rPr>
        <w:t>; Parfitt (</w:t>
      </w:r>
      <w:r w:rsidR="001A3F22" w:rsidRPr="00BF14DA">
        <w:rPr>
          <w:rFonts w:ascii="Garamond" w:hAnsi="Garamond"/>
          <w:color w:val="000000" w:themeColor="text1"/>
        </w:rPr>
        <w:t>n 2</w:t>
      </w:r>
      <w:r w:rsidR="00331F63" w:rsidRPr="00BF14DA">
        <w:rPr>
          <w:rFonts w:ascii="Garamond" w:hAnsi="Garamond"/>
          <w:color w:val="000000" w:themeColor="text1"/>
        </w:rPr>
        <w:t>5</w:t>
      </w:r>
      <w:r w:rsidR="001A3F22" w:rsidRPr="00BF14DA">
        <w:rPr>
          <w:rFonts w:ascii="Garamond" w:hAnsi="Garamond"/>
          <w:color w:val="000000" w:themeColor="text1"/>
        </w:rPr>
        <w:t>) 96-97.</w:t>
      </w:r>
    </w:p>
  </w:footnote>
  <w:footnote w:id="34">
    <w:p w14:paraId="64C7ADC4" w14:textId="07BB233C"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Karen Knop, </w:t>
      </w:r>
      <w:proofErr w:type="spellStart"/>
      <w:r w:rsidRPr="00BF14DA">
        <w:rPr>
          <w:rFonts w:ascii="Garamond" w:hAnsi="Garamond"/>
          <w:color w:val="000000" w:themeColor="text1"/>
        </w:rPr>
        <w:t>‘Re</w:t>
      </w:r>
      <w:proofErr w:type="spellEnd"/>
      <w:r w:rsidR="00944934">
        <w:rPr>
          <w:rFonts w:ascii="Garamond" w:hAnsi="Garamond"/>
          <w:color w:val="000000" w:themeColor="text1"/>
        </w:rPr>
        <w:t>/s</w:t>
      </w:r>
      <w:r w:rsidRPr="00BF14DA">
        <w:rPr>
          <w:rFonts w:ascii="Garamond" w:hAnsi="Garamond"/>
          <w:color w:val="000000" w:themeColor="text1"/>
        </w:rPr>
        <w:t xml:space="preserve">tatements: Feminism and </w:t>
      </w:r>
      <w:r w:rsidR="00944934">
        <w:rPr>
          <w:rFonts w:ascii="Garamond" w:hAnsi="Garamond"/>
          <w:color w:val="000000" w:themeColor="text1"/>
        </w:rPr>
        <w:t>s</w:t>
      </w:r>
      <w:r w:rsidRPr="00BF14DA">
        <w:rPr>
          <w:rFonts w:ascii="Garamond" w:hAnsi="Garamond"/>
          <w:color w:val="000000" w:themeColor="text1"/>
        </w:rPr>
        <w:t xml:space="preserve">tate </w:t>
      </w:r>
      <w:r w:rsidR="00944934">
        <w:rPr>
          <w:rFonts w:ascii="Garamond" w:hAnsi="Garamond"/>
          <w:color w:val="000000" w:themeColor="text1"/>
        </w:rPr>
        <w:t>s</w:t>
      </w:r>
      <w:r w:rsidRPr="00BF14DA">
        <w:rPr>
          <w:rFonts w:ascii="Garamond" w:hAnsi="Garamond"/>
          <w:color w:val="000000" w:themeColor="text1"/>
        </w:rPr>
        <w:t xml:space="preserve">overeignty in </w:t>
      </w:r>
      <w:r w:rsidR="00944934">
        <w:rPr>
          <w:rFonts w:ascii="Garamond" w:hAnsi="Garamond"/>
          <w:color w:val="000000" w:themeColor="text1"/>
        </w:rPr>
        <w:t>i</w:t>
      </w:r>
      <w:r w:rsidRPr="00BF14DA">
        <w:rPr>
          <w:rFonts w:ascii="Garamond" w:hAnsi="Garamond"/>
          <w:color w:val="000000" w:themeColor="text1"/>
        </w:rPr>
        <w:t xml:space="preserve">nternational </w:t>
      </w:r>
      <w:r w:rsidR="00944934">
        <w:rPr>
          <w:rFonts w:ascii="Garamond" w:hAnsi="Garamond"/>
          <w:color w:val="000000" w:themeColor="text1"/>
        </w:rPr>
        <w:t>l</w:t>
      </w:r>
      <w:r w:rsidRPr="00BF14DA">
        <w:rPr>
          <w:rFonts w:ascii="Garamond" w:hAnsi="Garamond"/>
          <w:color w:val="000000" w:themeColor="text1"/>
        </w:rPr>
        <w:t xml:space="preserve">aw’ (1993) 3 </w:t>
      </w:r>
      <w:r w:rsidRPr="00D90618">
        <w:rPr>
          <w:rFonts w:ascii="Garamond" w:hAnsi="Garamond"/>
          <w:i/>
          <w:iCs/>
          <w:color w:val="000000" w:themeColor="text1"/>
        </w:rPr>
        <w:t xml:space="preserve">Transnational </w:t>
      </w:r>
      <w:r w:rsidR="00D90618">
        <w:rPr>
          <w:rFonts w:ascii="Garamond" w:hAnsi="Garamond"/>
          <w:i/>
          <w:iCs/>
          <w:color w:val="000000" w:themeColor="text1"/>
        </w:rPr>
        <w:t>L</w:t>
      </w:r>
      <w:r w:rsidRPr="00D90618">
        <w:rPr>
          <w:rFonts w:ascii="Garamond" w:hAnsi="Garamond"/>
          <w:i/>
          <w:iCs/>
          <w:color w:val="000000" w:themeColor="text1"/>
        </w:rPr>
        <w:t xml:space="preserve">aw and </w:t>
      </w:r>
      <w:r w:rsidR="00D90618">
        <w:rPr>
          <w:rFonts w:ascii="Garamond" w:hAnsi="Garamond"/>
          <w:i/>
          <w:iCs/>
          <w:color w:val="000000" w:themeColor="text1"/>
        </w:rPr>
        <w:t>C</w:t>
      </w:r>
      <w:r w:rsidRPr="00D90618">
        <w:rPr>
          <w:rFonts w:ascii="Garamond" w:hAnsi="Garamond"/>
          <w:i/>
          <w:iCs/>
          <w:color w:val="000000" w:themeColor="text1"/>
        </w:rPr>
        <w:t xml:space="preserve">ontemporary </w:t>
      </w:r>
      <w:r w:rsidR="00D90618">
        <w:rPr>
          <w:rFonts w:ascii="Garamond" w:hAnsi="Garamond"/>
          <w:i/>
          <w:iCs/>
          <w:color w:val="000000" w:themeColor="text1"/>
        </w:rPr>
        <w:t>P</w:t>
      </w:r>
      <w:r w:rsidRPr="00D90618">
        <w:rPr>
          <w:rFonts w:ascii="Garamond" w:hAnsi="Garamond"/>
          <w:i/>
          <w:iCs/>
          <w:color w:val="000000" w:themeColor="text1"/>
        </w:rPr>
        <w:t xml:space="preserve">roblems </w:t>
      </w:r>
      <w:r w:rsidRPr="00BF14DA">
        <w:rPr>
          <w:rFonts w:ascii="Garamond" w:hAnsi="Garamond"/>
          <w:color w:val="000000" w:themeColor="text1"/>
        </w:rPr>
        <w:t>293, 319.</w:t>
      </w:r>
    </w:p>
  </w:footnote>
  <w:footnote w:id="35">
    <w:p w14:paraId="5B622C57" w14:textId="744EB47D"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ICJ AO (n 2)</w:t>
      </w:r>
      <w:r w:rsidR="00DB7703">
        <w:rPr>
          <w:rFonts w:ascii="Garamond" w:hAnsi="Garamond"/>
          <w:color w:val="000000" w:themeColor="text1"/>
        </w:rPr>
        <w:t>,</w:t>
      </w:r>
      <w:r w:rsidRPr="00BF14DA">
        <w:rPr>
          <w:rFonts w:ascii="Garamond" w:hAnsi="Garamond"/>
          <w:color w:val="000000" w:themeColor="text1"/>
        </w:rPr>
        <w:t xml:space="preserve"> 172.</w:t>
      </w:r>
    </w:p>
  </w:footnote>
  <w:footnote w:id="36">
    <w:p w14:paraId="604BF446" w14:textId="1A07168F"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Legal Consequences of the Separation of the Chagos Archipelago from Mauritius in 1965 (Separate Opinion of Judge Cançado Trindade) </w:t>
      </w:r>
      <w:r w:rsidR="00A83DE1">
        <w:rPr>
          <w:rFonts w:ascii="Garamond" w:hAnsi="Garamond"/>
          <w:color w:val="000000" w:themeColor="text1"/>
        </w:rPr>
        <w:t>(</w:t>
      </w:r>
      <w:r w:rsidR="00AB207A">
        <w:rPr>
          <w:rFonts w:ascii="Garamond" w:hAnsi="Garamond"/>
          <w:color w:val="000000" w:themeColor="text1"/>
        </w:rPr>
        <w:t xml:space="preserve">February </w:t>
      </w:r>
      <w:r w:rsidRPr="00BF14DA">
        <w:rPr>
          <w:rFonts w:ascii="Garamond" w:hAnsi="Garamond"/>
          <w:color w:val="000000" w:themeColor="text1"/>
        </w:rPr>
        <w:t>201</w:t>
      </w:r>
      <w:r w:rsidR="00C54F8E">
        <w:rPr>
          <w:rFonts w:ascii="Garamond" w:hAnsi="Garamond"/>
          <w:color w:val="000000" w:themeColor="text1"/>
        </w:rPr>
        <w:t>9</w:t>
      </w:r>
      <w:r w:rsidR="00A83DE1">
        <w:rPr>
          <w:rFonts w:ascii="Garamond" w:hAnsi="Garamond"/>
          <w:color w:val="000000" w:themeColor="text1"/>
        </w:rPr>
        <w:t>) [297]</w:t>
      </w:r>
      <w:r w:rsidRPr="00BF14DA">
        <w:rPr>
          <w:rFonts w:ascii="Garamond" w:hAnsi="Garamond"/>
          <w:color w:val="000000" w:themeColor="text1"/>
        </w:rPr>
        <w:t xml:space="preserve"> </w:t>
      </w:r>
      <w:hyperlink r:id="rId11" w:history="1">
        <w:r w:rsidR="00A83DE1" w:rsidRPr="009E2B24">
          <w:rPr>
            <w:rStyle w:val="Hyperlink"/>
            <w:rFonts w:ascii="Garamond" w:hAnsi="Garamond"/>
          </w:rPr>
          <w:t>https://www.icj-cij.org/sites/default/files/case-related/169/169-20190225-ADV-01-04-EN.pdf</w:t>
        </w:r>
      </w:hyperlink>
      <w:r w:rsidR="00A83DE1">
        <w:rPr>
          <w:rFonts w:ascii="Garamond" w:hAnsi="Garamond"/>
          <w:color w:val="000000" w:themeColor="text1"/>
        </w:rPr>
        <w:t xml:space="preserve"> </w:t>
      </w:r>
      <w:r w:rsidRPr="00BF14DA">
        <w:rPr>
          <w:rFonts w:ascii="Garamond" w:hAnsi="Garamond"/>
          <w:color w:val="000000" w:themeColor="text1"/>
        </w:rPr>
        <w:t>accessed 16 October 2025.</w:t>
      </w:r>
    </w:p>
  </w:footnote>
  <w:footnote w:id="37">
    <w:p w14:paraId="25E324FD" w14:textId="2815F0B7" w:rsidR="002C4C6B" w:rsidRPr="001F1201" w:rsidRDefault="002C4C6B" w:rsidP="001F1201">
      <w:pPr>
        <w:autoSpaceDE w:val="0"/>
        <w:autoSpaceDN w:val="0"/>
        <w:adjustRightInd w:val="0"/>
        <w:spacing w:after="0" w:line="240" w:lineRule="auto"/>
        <w:rPr>
          <w:rFonts w:ascii="Garamond" w:hAnsi="Garamond"/>
          <w:color w:val="000000" w:themeColor="text1"/>
          <w:sz w:val="20"/>
          <w:szCs w:val="20"/>
        </w:rPr>
      </w:pPr>
      <w:r w:rsidRPr="001F1201">
        <w:rPr>
          <w:rStyle w:val="FootnoteReference"/>
          <w:rFonts w:ascii="Garamond" w:hAnsi="Garamond"/>
          <w:color w:val="000000" w:themeColor="text1"/>
          <w:sz w:val="20"/>
          <w:szCs w:val="20"/>
        </w:rPr>
        <w:footnoteRef/>
      </w:r>
      <w:r w:rsidRPr="001F1201">
        <w:rPr>
          <w:rFonts w:ascii="Garamond" w:hAnsi="Garamond"/>
          <w:color w:val="000000" w:themeColor="text1"/>
          <w:sz w:val="20"/>
          <w:szCs w:val="20"/>
        </w:rPr>
        <w:t xml:space="preserve"> Application of the Convention on the Elimination of All Forms of Racia</w:t>
      </w:r>
      <w:r w:rsidR="001F1201" w:rsidRPr="001F1201">
        <w:rPr>
          <w:rFonts w:ascii="Garamond" w:hAnsi="Garamond"/>
          <w:color w:val="000000" w:themeColor="text1"/>
          <w:sz w:val="20"/>
          <w:szCs w:val="20"/>
        </w:rPr>
        <w:t xml:space="preserve">l </w:t>
      </w:r>
      <w:r w:rsidRPr="001F1201">
        <w:rPr>
          <w:rFonts w:ascii="Garamond" w:hAnsi="Garamond"/>
          <w:color w:val="000000" w:themeColor="text1"/>
          <w:sz w:val="20"/>
          <w:szCs w:val="20"/>
        </w:rPr>
        <w:t xml:space="preserve">Discrimination (Georgia v Russian Federation) (Dissenting Opinion of Judge Cançado Trindade) </w:t>
      </w:r>
      <w:r w:rsidR="001F1201">
        <w:rPr>
          <w:rFonts w:ascii="Garamond" w:hAnsi="Garamond"/>
          <w:color w:val="000000" w:themeColor="text1"/>
          <w:sz w:val="20"/>
          <w:szCs w:val="20"/>
        </w:rPr>
        <w:t>(</w:t>
      </w:r>
      <w:r w:rsidR="007F17D1" w:rsidRPr="001F1201">
        <w:rPr>
          <w:rFonts w:ascii="Garamond" w:hAnsi="Garamond"/>
          <w:color w:val="000000" w:themeColor="text1"/>
          <w:sz w:val="20"/>
          <w:szCs w:val="20"/>
        </w:rPr>
        <w:t>April 2011</w:t>
      </w:r>
      <w:r w:rsidR="001F1201">
        <w:rPr>
          <w:rFonts w:ascii="Garamond" w:hAnsi="Garamond"/>
          <w:color w:val="000000" w:themeColor="text1"/>
          <w:sz w:val="20"/>
          <w:szCs w:val="20"/>
        </w:rPr>
        <w:t>)</w:t>
      </w:r>
      <w:r w:rsidR="001B2275">
        <w:rPr>
          <w:rFonts w:ascii="Garamond" w:hAnsi="Garamond"/>
          <w:color w:val="000000" w:themeColor="text1"/>
          <w:sz w:val="20"/>
          <w:szCs w:val="20"/>
        </w:rPr>
        <w:t xml:space="preserve"> </w:t>
      </w:r>
      <w:r w:rsidR="001F1201">
        <w:rPr>
          <w:rFonts w:ascii="Garamond" w:hAnsi="Garamond"/>
          <w:color w:val="000000" w:themeColor="text1"/>
          <w:sz w:val="20"/>
          <w:szCs w:val="20"/>
        </w:rPr>
        <w:t>[209]</w:t>
      </w:r>
      <w:r w:rsidRPr="001F1201">
        <w:rPr>
          <w:rFonts w:ascii="Garamond" w:hAnsi="Garamond"/>
          <w:color w:val="000000" w:themeColor="text1"/>
          <w:sz w:val="20"/>
          <w:szCs w:val="20"/>
        </w:rPr>
        <w:t xml:space="preserve"> </w:t>
      </w:r>
      <w:hyperlink r:id="rId12" w:history="1">
        <w:r w:rsidR="001F1201" w:rsidRPr="009E2B24">
          <w:rPr>
            <w:rStyle w:val="Hyperlink"/>
            <w:rFonts w:ascii="Garamond" w:hAnsi="Garamond"/>
            <w:sz w:val="20"/>
            <w:szCs w:val="20"/>
          </w:rPr>
          <w:t>https://www.icj-cij.org/sites/default/files/case-related/140/140-20110401-JUD-01-08-EN.pdf</w:t>
        </w:r>
      </w:hyperlink>
      <w:r w:rsidR="001F1201">
        <w:rPr>
          <w:rFonts w:ascii="Garamond" w:hAnsi="Garamond"/>
          <w:color w:val="000000" w:themeColor="text1"/>
          <w:sz w:val="20"/>
          <w:szCs w:val="20"/>
        </w:rPr>
        <w:t xml:space="preserve"> accessed</w:t>
      </w:r>
      <w:r w:rsidRPr="001F1201">
        <w:rPr>
          <w:rFonts w:ascii="Garamond" w:hAnsi="Garamond"/>
          <w:color w:val="000000" w:themeColor="text1"/>
          <w:sz w:val="20"/>
          <w:szCs w:val="20"/>
        </w:rPr>
        <w:t xml:space="preserve"> 16 October 202</w:t>
      </w:r>
      <w:r w:rsidR="001B2275">
        <w:rPr>
          <w:rFonts w:ascii="Garamond" w:hAnsi="Garamond"/>
          <w:color w:val="000000" w:themeColor="text1"/>
          <w:sz w:val="20"/>
          <w:szCs w:val="20"/>
        </w:rPr>
        <w:t>5</w:t>
      </w:r>
      <w:r w:rsidRPr="001F1201">
        <w:rPr>
          <w:rFonts w:ascii="Garamond" w:hAnsi="Garamond"/>
          <w:color w:val="000000" w:themeColor="text1"/>
          <w:sz w:val="20"/>
          <w:szCs w:val="20"/>
        </w:rPr>
        <w:t>.</w:t>
      </w:r>
    </w:p>
  </w:footnote>
  <w:footnote w:id="38">
    <w:p w14:paraId="160EC133" w14:textId="77777777"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While there is a vast literature on democratic theory which addresses this, this is beyond the scope of the paper. Here I am interested in how the concept of consent constructs its subjects. </w:t>
      </w:r>
    </w:p>
  </w:footnote>
  <w:footnote w:id="39">
    <w:p w14:paraId="4F167959" w14:textId="141C7559"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Obligations concerning Negotiations relating to Cessation of the Nuclear Arms Race and to Nuclear Disarmament (Marshall Islands v United Kingdom) (</w:t>
      </w:r>
      <w:r w:rsidR="00143899">
        <w:rPr>
          <w:rFonts w:ascii="Garamond" w:hAnsi="Garamond"/>
          <w:color w:val="000000" w:themeColor="text1"/>
        </w:rPr>
        <w:t>Dissenting</w:t>
      </w:r>
      <w:r w:rsidRPr="00BF14DA">
        <w:rPr>
          <w:rFonts w:ascii="Garamond" w:hAnsi="Garamond"/>
          <w:color w:val="000000" w:themeColor="text1"/>
        </w:rPr>
        <w:t xml:space="preserve"> Opinion of Judge Cançado Trindade) </w:t>
      </w:r>
      <w:r w:rsidR="001B2275">
        <w:rPr>
          <w:rFonts w:ascii="Garamond" w:hAnsi="Garamond"/>
          <w:color w:val="000000" w:themeColor="text1"/>
        </w:rPr>
        <w:t>(</w:t>
      </w:r>
      <w:r w:rsidR="005A623B">
        <w:rPr>
          <w:rFonts w:ascii="Garamond" w:hAnsi="Garamond"/>
          <w:color w:val="000000" w:themeColor="text1"/>
        </w:rPr>
        <w:t xml:space="preserve">October </w:t>
      </w:r>
      <w:r w:rsidRPr="00BF14DA">
        <w:rPr>
          <w:rFonts w:ascii="Garamond" w:hAnsi="Garamond"/>
          <w:color w:val="000000" w:themeColor="text1"/>
        </w:rPr>
        <w:t>2016</w:t>
      </w:r>
      <w:r w:rsidR="001B2275">
        <w:rPr>
          <w:rFonts w:ascii="Garamond" w:hAnsi="Garamond"/>
          <w:color w:val="000000" w:themeColor="text1"/>
        </w:rPr>
        <w:t>) [159]</w:t>
      </w:r>
      <w:r w:rsidRPr="00BF14DA">
        <w:rPr>
          <w:rFonts w:ascii="Garamond" w:hAnsi="Garamond"/>
          <w:color w:val="000000" w:themeColor="text1"/>
        </w:rPr>
        <w:t xml:space="preserve"> </w:t>
      </w:r>
      <w:hyperlink r:id="rId13" w:history="1">
        <w:r w:rsidR="001B2275" w:rsidRPr="009E2B24">
          <w:rPr>
            <w:rStyle w:val="Hyperlink"/>
            <w:rFonts w:ascii="Garamond" w:hAnsi="Garamond"/>
          </w:rPr>
          <w:t>https://www.icj-cij.org/sites/default/files/case-related/160/160-20161005-JUD-01-06-EN.pdf</w:t>
        </w:r>
      </w:hyperlink>
      <w:r w:rsidR="001B2275">
        <w:rPr>
          <w:rFonts w:ascii="Garamond" w:hAnsi="Garamond"/>
          <w:color w:val="000000" w:themeColor="text1"/>
        </w:rPr>
        <w:t xml:space="preserve"> </w:t>
      </w:r>
      <w:r w:rsidRPr="00BF14DA">
        <w:rPr>
          <w:rFonts w:ascii="Garamond" w:hAnsi="Garamond"/>
          <w:color w:val="000000" w:themeColor="text1"/>
        </w:rPr>
        <w:t>accessed 16 October 2025</w:t>
      </w:r>
      <w:r w:rsidR="001B2275">
        <w:rPr>
          <w:rFonts w:ascii="Garamond" w:hAnsi="Garamond"/>
          <w:color w:val="000000" w:themeColor="text1"/>
        </w:rPr>
        <w:t>,</w:t>
      </w:r>
      <w:r w:rsidRPr="00BF14DA">
        <w:rPr>
          <w:rFonts w:ascii="Garamond" w:hAnsi="Garamond"/>
          <w:color w:val="000000" w:themeColor="text1"/>
        </w:rPr>
        <w:t xml:space="preserve"> cited in Separate Opinion of Judge Cançado Trindade (n 3</w:t>
      </w:r>
      <w:r w:rsidR="006E051B">
        <w:rPr>
          <w:rFonts w:ascii="Garamond" w:hAnsi="Garamond"/>
          <w:color w:val="000000" w:themeColor="text1"/>
        </w:rPr>
        <w:t>5</w:t>
      </w:r>
      <w:r w:rsidRPr="00BF14DA">
        <w:rPr>
          <w:rFonts w:ascii="Garamond" w:hAnsi="Garamond"/>
          <w:color w:val="000000" w:themeColor="text1"/>
        </w:rPr>
        <w:t>) [159].</w:t>
      </w:r>
    </w:p>
  </w:footnote>
  <w:footnote w:id="40">
    <w:p w14:paraId="2C3A3189" w14:textId="505CC684"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Gail Lythgoe, ‘Asymmetrical </w:t>
      </w:r>
      <w:r w:rsidR="001B2275">
        <w:rPr>
          <w:rFonts w:ascii="Garamond" w:hAnsi="Garamond"/>
          <w:color w:val="000000" w:themeColor="text1"/>
        </w:rPr>
        <w:t>i</w:t>
      </w:r>
      <w:r w:rsidRPr="00BF14DA">
        <w:rPr>
          <w:rFonts w:ascii="Garamond" w:hAnsi="Garamond"/>
          <w:color w:val="000000" w:themeColor="text1"/>
        </w:rPr>
        <w:t xml:space="preserve">nternational </w:t>
      </w:r>
      <w:r w:rsidR="001B2275">
        <w:rPr>
          <w:rFonts w:ascii="Garamond" w:hAnsi="Garamond"/>
          <w:color w:val="000000" w:themeColor="text1"/>
        </w:rPr>
        <w:t>l</w:t>
      </w:r>
      <w:r w:rsidRPr="00BF14DA">
        <w:rPr>
          <w:rFonts w:ascii="Garamond" w:hAnsi="Garamond"/>
          <w:color w:val="000000" w:themeColor="text1"/>
        </w:rPr>
        <w:t xml:space="preserve">aw and its </w:t>
      </w:r>
      <w:r w:rsidR="001B2275">
        <w:rPr>
          <w:rFonts w:ascii="Garamond" w:hAnsi="Garamond"/>
          <w:color w:val="000000" w:themeColor="text1"/>
        </w:rPr>
        <w:t>r</w:t>
      </w:r>
      <w:r w:rsidRPr="00BF14DA">
        <w:rPr>
          <w:rFonts w:ascii="Garamond" w:hAnsi="Garamond"/>
          <w:color w:val="000000" w:themeColor="text1"/>
        </w:rPr>
        <w:t xml:space="preserve">ole in </w:t>
      </w:r>
      <w:r w:rsidR="001B2275">
        <w:rPr>
          <w:rFonts w:ascii="Garamond" w:hAnsi="Garamond"/>
          <w:color w:val="000000" w:themeColor="text1"/>
        </w:rPr>
        <w:t>c</w:t>
      </w:r>
      <w:r w:rsidRPr="00BF14DA">
        <w:rPr>
          <w:rFonts w:ascii="Garamond" w:hAnsi="Garamond"/>
          <w:color w:val="000000" w:themeColor="text1"/>
        </w:rPr>
        <w:t xml:space="preserve">onstituting </w:t>
      </w:r>
      <w:r w:rsidR="001B2275">
        <w:rPr>
          <w:rFonts w:ascii="Garamond" w:hAnsi="Garamond"/>
          <w:color w:val="000000" w:themeColor="text1"/>
        </w:rPr>
        <w:t>e</w:t>
      </w:r>
      <w:r w:rsidRPr="00BF14DA">
        <w:rPr>
          <w:rFonts w:ascii="Garamond" w:hAnsi="Garamond"/>
          <w:color w:val="000000" w:themeColor="text1"/>
        </w:rPr>
        <w:t xml:space="preserve">mpires: </w:t>
      </w:r>
      <w:r w:rsidR="001B2275">
        <w:rPr>
          <w:rFonts w:ascii="Garamond" w:hAnsi="Garamond"/>
          <w:color w:val="000000" w:themeColor="text1"/>
        </w:rPr>
        <w:t>T</w:t>
      </w:r>
      <w:r w:rsidRPr="00BF14DA">
        <w:rPr>
          <w:rFonts w:ascii="Garamond" w:hAnsi="Garamond"/>
          <w:color w:val="000000" w:themeColor="text1"/>
        </w:rPr>
        <w:t xml:space="preserve">he ICJ Chagos Advisory Opinion’ (2020) 72(2) </w:t>
      </w:r>
      <w:r w:rsidRPr="006E051B">
        <w:rPr>
          <w:rFonts w:ascii="Garamond" w:hAnsi="Garamond"/>
          <w:i/>
          <w:iCs/>
          <w:color w:val="000000" w:themeColor="text1"/>
        </w:rPr>
        <w:t>Northern Ireland</w:t>
      </w:r>
      <w:r w:rsidR="0032388C">
        <w:rPr>
          <w:rFonts w:ascii="Garamond" w:hAnsi="Garamond"/>
          <w:i/>
          <w:iCs/>
          <w:color w:val="000000" w:themeColor="text1"/>
        </w:rPr>
        <w:t xml:space="preserve"> Legal</w:t>
      </w:r>
      <w:r w:rsidRPr="006E051B">
        <w:rPr>
          <w:rFonts w:ascii="Garamond" w:hAnsi="Garamond"/>
          <w:i/>
          <w:iCs/>
          <w:color w:val="000000" w:themeColor="text1"/>
        </w:rPr>
        <w:t xml:space="preserve"> Quarterly</w:t>
      </w:r>
      <w:r w:rsidRPr="00BF14DA">
        <w:rPr>
          <w:rFonts w:ascii="Garamond" w:hAnsi="Garamond"/>
          <w:color w:val="000000" w:themeColor="text1"/>
        </w:rPr>
        <w:t xml:space="preserve"> 305, 314.</w:t>
      </w:r>
    </w:p>
  </w:footnote>
  <w:footnote w:id="41">
    <w:p w14:paraId="4F8B2551" w14:textId="2D432132"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Pr="00BF14DA">
        <w:rPr>
          <w:rFonts w:ascii="Garamond" w:hAnsi="Garamond" w:cs="Apple Chancery"/>
          <w:color w:val="000000" w:themeColor="text1"/>
        </w:rPr>
        <w:t>Case Concerning East Timor (Portugal v Australia)</w:t>
      </w:r>
      <w:r w:rsidRPr="00BF14DA">
        <w:rPr>
          <w:rFonts w:ascii="Garamond" w:hAnsi="Garamond" w:cs="Apple Chancery"/>
          <w:i/>
          <w:iCs/>
          <w:color w:val="000000" w:themeColor="text1"/>
        </w:rPr>
        <w:t xml:space="preserve"> </w:t>
      </w:r>
      <w:r w:rsidRPr="00BF14DA">
        <w:rPr>
          <w:rFonts w:ascii="Garamond" w:hAnsi="Garamond" w:cs="Apple Chancery"/>
          <w:color w:val="000000" w:themeColor="text1"/>
        </w:rPr>
        <w:t xml:space="preserve">(Separate Opinion of Judge </w:t>
      </w:r>
      <w:proofErr w:type="spellStart"/>
      <w:r w:rsidRPr="00BF14DA">
        <w:rPr>
          <w:rFonts w:ascii="Garamond" w:hAnsi="Garamond" w:cs="Apple Chancery"/>
          <w:color w:val="000000" w:themeColor="text1"/>
        </w:rPr>
        <w:t>Vereshchetin</w:t>
      </w:r>
      <w:proofErr w:type="spellEnd"/>
      <w:r w:rsidRPr="00BF14DA">
        <w:rPr>
          <w:rFonts w:ascii="Garamond" w:hAnsi="Garamond" w:cs="Apple Chancery"/>
          <w:color w:val="000000" w:themeColor="text1"/>
        </w:rPr>
        <w:t>)</w:t>
      </w:r>
      <w:r w:rsidR="00665C8C">
        <w:rPr>
          <w:rFonts w:ascii="Garamond" w:hAnsi="Garamond" w:cs="Apple Chancery"/>
          <w:color w:val="000000" w:themeColor="text1"/>
        </w:rPr>
        <w:t xml:space="preserve"> </w:t>
      </w:r>
      <w:r w:rsidR="001B2275">
        <w:rPr>
          <w:rFonts w:ascii="Garamond" w:hAnsi="Garamond" w:cs="Apple Chancery"/>
          <w:color w:val="000000" w:themeColor="text1"/>
        </w:rPr>
        <w:t>(</w:t>
      </w:r>
      <w:r w:rsidR="00665C8C">
        <w:rPr>
          <w:rFonts w:ascii="Garamond" w:hAnsi="Garamond" w:cs="Apple Chancery"/>
          <w:color w:val="000000" w:themeColor="text1"/>
        </w:rPr>
        <w:t>June</w:t>
      </w:r>
      <w:r w:rsidRPr="00BF14DA">
        <w:rPr>
          <w:rFonts w:ascii="Garamond" w:hAnsi="Garamond" w:cs="Apple Chancery"/>
          <w:color w:val="000000" w:themeColor="text1"/>
        </w:rPr>
        <w:t xml:space="preserve"> 1995</w:t>
      </w:r>
      <w:r w:rsidR="001B2275">
        <w:rPr>
          <w:rFonts w:ascii="Garamond" w:hAnsi="Garamond" w:cs="Apple Chancery"/>
          <w:color w:val="000000" w:themeColor="text1"/>
        </w:rPr>
        <w:t>)</w:t>
      </w:r>
      <w:r w:rsidRPr="00BF14DA">
        <w:rPr>
          <w:rFonts w:ascii="Garamond" w:hAnsi="Garamond" w:cs="Apple Chancery"/>
          <w:color w:val="000000" w:themeColor="text1"/>
        </w:rPr>
        <w:t xml:space="preserve"> </w:t>
      </w:r>
      <w:r w:rsidR="001B2275">
        <w:rPr>
          <w:rFonts w:ascii="Garamond" w:hAnsi="Garamond" w:cs="Apple Chancery"/>
          <w:color w:val="000000" w:themeColor="text1"/>
        </w:rPr>
        <w:t xml:space="preserve">[133] </w:t>
      </w:r>
      <w:hyperlink r:id="rId14" w:history="1">
        <w:r w:rsidR="001B2275" w:rsidRPr="009E2B24">
          <w:rPr>
            <w:rStyle w:val="Hyperlink"/>
            <w:rFonts w:ascii="Garamond" w:hAnsi="Garamond" w:cs="Apple Chancery"/>
          </w:rPr>
          <w:t>https://www.icj-cij.org/sites/default/files/case-related/84/084-19950630-JUD-01-04-EN.pdf</w:t>
        </w:r>
      </w:hyperlink>
      <w:r w:rsidR="001B2275">
        <w:rPr>
          <w:rFonts w:ascii="Garamond" w:hAnsi="Garamond" w:cs="Apple Chancery"/>
          <w:color w:val="000000" w:themeColor="text1"/>
        </w:rPr>
        <w:t xml:space="preserve"> </w:t>
      </w:r>
      <w:r w:rsidRPr="00BF14DA">
        <w:rPr>
          <w:rFonts w:ascii="Garamond" w:hAnsi="Garamond" w:cs="Apple Chancery"/>
          <w:color w:val="000000" w:themeColor="text1"/>
        </w:rPr>
        <w:t>accessed 16 October 2025</w:t>
      </w:r>
      <w:r w:rsidR="001B2275">
        <w:rPr>
          <w:rFonts w:ascii="Garamond" w:hAnsi="Garamond" w:cs="Apple Chancery"/>
          <w:color w:val="000000" w:themeColor="text1"/>
        </w:rPr>
        <w:t xml:space="preserve">, </w:t>
      </w:r>
      <w:r w:rsidRPr="00BF14DA">
        <w:rPr>
          <w:rFonts w:ascii="Garamond" w:hAnsi="Garamond" w:cs="Apple Chancery"/>
          <w:color w:val="000000" w:themeColor="text1"/>
        </w:rPr>
        <w:t xml:space="preserve">cited in ibid. </w:t>
      </w:r>
    </w:p>
  </w:footnote>
  <w:footnote w:id="42">
    <w:p w14:paraId="28237862" w14:textId="4D3FB124"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proofErr w:type="spellStart"/>
      <w:r w:rsidRPr="00BF14DA">
        <w:rPr>
          <w:rFonts w:ascii="Garamond" w:hAnsi="Garamond"/>
          <w:color w:val="000000" w:themeColor="text1"/>
        </w:rPr>
        <w:t>D’Aspremont</w:t>
      </w:r>
      <w:proofErr w:type="spellEnd"/>
      <w:r w:rsidRPr="00BF14DA">
        <w:rPr>
          <w:rFonts w:ascii="Garamond" w:hAnsi="Garamond"/>
          <w:color w:val="000000" w:themeColor="text1"/>
        </w:rPr>
        <w:t xml:space="preserve"> (n </w:t>
      </w:r>
      <w:r w:rsidR="000917A6" w:rsidRPr="00BF14DA">
        <w:rPr>
          <w:rFonts w:ascii="Garamond" w:hAnsi="Garamond"/>
          <w:color w:val="000000" w:themeColor="text1"/>
        </w:rPr>
        <w:t>4)</w:t>
      </w:r>
      <w:r w:rsidRPr="00BF14DA">
        <w:rPr>
          <w:rFonts w:ascii="Garamond" w:hAnsi="Garamond"/>
          <w:color w:val="000000" w:themeColor="text1"/>
        </w:rPr>
        <w:t xml:space="preserve"> 125.</w:t>
      </w:r>
    </w:p>
  </w:footnote>
  <w:footnote w:id="43">
    <w:p w14:paraId="73CE06EA" w14:textId="77777777"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w:t>
      </w:r>
    </w:p>
  </w:footnote>
  <w:footnote w:id="44">
    <w:p w14:paraId="41EC2B81" w14:textId="42950819"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Malcom Shaw, ‘Self-determination, </w:t>
      </w:r>
      <w:proofErr w:type="spellStart"/>
      <w:r w:rsidRPr="00BF14DA">
        <w:rPr>
          <w:rFonts w:ascii="Garamond" w:hAnsi="Garamond"/>
          <w:i/>
          <w:iCs/>
          <w:color w:val="000000" w:themeColor="text1"/>
        </w:rPr>
        <w:t>uti</w:t>
      </w:r>
      <w:proofErr w:type="spellEnd"/>
      <w:r w:rsidRPr="00BF14DA">
        <w:rPr>
          <w:rFonts w:ascii="Garamond" w:hAnsi="Garamond"/>
          <w:i/>
          <w:iCs/>
          <w:color w:val="000000" w:themeColor="text1"/>
        </w:rPr>
        <w:t xml:space="preserve"> possidetis </w:t>
      </w:r>
      <w:r w:rsidRPr="00BF14DA">
        <w:rPr>
          <w:rFonts w:ascii="Garamond" w:hAnsi="Garamond"/>
          <w:color w:val="000000" w:themeColor="text1"/>
        </w:rPr>
        <w:t xml:space="preserve">and boundary disputes in Africa’ in Chia-Jui Cheng (ed), </w:t>
      </w:r>
      <w:r w:rsidRPr="00BF14DA">
        <w:rPr>
          <w:rFonts w:ascii="Garamond" w:hAnsi="Garamond"/>
          <w:i/>
          <w:iCs/>
          <w:color w:val="000000" w:themeColor="text1"/>
        </w:rPr>
        <w:t xml:space="preserve">A New International Order </w:t>
      </w:r>
      <w:r w:rsidRPr="00BF14DA">
        <w:rPr>
          <w:rFonts w:ascii="Garamond" w:hAnsi="Garamond"/>
          <w:color w:val="000000" w:themeColor="text1"/>
        </w:rPr>
        <w:t>(Brill 2016) 99</w:t>
      </w:r>
      <w:r w:rsidR="00EF2C96">
        <w:rPr>
          <w:rFonts w:ascii="Garamond" w:hAnsi="Garamond"/>
          <w:color w:val="000000" w:themeColor="text1"/>
        </w:rPr>
        <w:t>-126</w:t>
      </w:r>
      <w:r w:rsidRPr="00BF14DA">
        <w:rPr>
          <w:rFonts w:ascii="Garamond" w:hAnsi="Garamond"/>
          <w:color w:val="000000" w:themeColor="text1"/>
        </w:rPr>
        <w:t>, 105</w:t>
      </w:r>
      <w:r w:rsidR="00940098">
        <w:rPr>
          <w:rFonts w:ascii="Garamond" w:hAnsi="Garamond"/>
          <w:color w:val="000000" w:themeColor="text1"/>
        </w:rPr>
        <w:t>,</w:t>
      </w:r>
      <w:r w:rsidRPr="00BF14DA">
        <w:rPr>
          <w:rFonts w:ascii="Garamond" w:hAnsi="Garamond"/>
          <w:color w:val="000000" w:themeColor="text1"/>
        </w:rPr>
        <w:t xml:space="preserve"> cited in Yusra </w:t>
      </w:r>
      <w:proofErr w:type="spellStart"/>
      <w:r w:rsidRPr="00BF14DA">
        <w:rPr>
          <w:rFonts w:ascii="Garamond" w:hAnsi="Garamond"/>
          <w:color w:val="000000" w:themeColor="text1"/>
        </w:rPr>
        <w:t>Suedi</w:t>
      </w:r>
      <w:proofErr w:type="spellEnd"/>
      <w:r w:rsidRPr="00BF14DA">
        <w:rPr>
          <w:rFonts w:ascii="Garamond" w:hAnsi="Garamond"/>
          <w:color w:val="000000" w:themeColor="text1"/>
        </w:rPr>
        <w:t xml:space="preserve">, ‘Self-determination in </w:t>
      </w:r>
      <w:r w:rsidR="00940098">
        <w:rPr>
          <w:rFonts w:ascii="Garamond" w:hAnsi="Garamond"/>
          <w:color w:val="000000" w:themeColor="text1"/>
        </w:rPr>
        <w:t>t</w:t>
      </w:r>
      <w:r w:rsidRPr="00BF14DA">
        <w:rPr>
          <w:rFonts w:ascii="Garamond" w:hAnsi="Garamond"/>
          <w:color w:val="000000" w:themeColor="text1"/>
        </w:rPr>
        <w:t xml:space="preserve">erritorial </w:t>
      </w:r>
      <w:r w:rsidR="00940098">
        <w:rPr>
          <w:rFonts w:ascii="Garamond" w:hAnsi="Garamond"/>
          <w:color w:val="000000" w:themeColor="text1"/>
        </w:rPr>
        <w:t>d</w:t>
      </w:r>
      <w:r w:rsidRPr="00BF14DA">
        <w:rPr>
          <w:rFonts w:ascii="Garamond" w:hAnsi="Garamond"/>
          <w:color w:val="000000" w:themeColor="text1"/>
        </w:rPr>
        <w:t xml:space="preserve">isputes before the International Court of Justice: </w:t>
      </w:r>
      <w:r w:rsidR="00940098">
        <w:rPr>
          <w:rFonts w:ascii="Garamond" w:hAnsi="Garamond"/>
          <w:color w:val="000000" w:themeColor="text1"/>
        </w:rPr>
        <w:t>F</w:t>
      </w:r>
      <w:r w:rsidRPr="00BF14DA">
        <w:rPr>
          <w:rFonts w:ascii="Garamond" w:hAnsi="Garamond"/>
          <w:color w:val="000000" w:themeColor="text1"/>
        </w:rPr>
        <w:t xml:space="preserve">rom </w:t>
      </w:r>
      <w:r w:rsidR="00940098">
        <w:rPr>
          <w:rFonts w:ascii="Garamond" w:hAnsi="Garamond"/>
          <w:color w:val="000000" w:themeColor="text1"/>
        </w:rPr>
        <w:t>r</w:t>
      </w:r>
      <w:r w:rsidRPr="00BF14DA">
        <w:rPr>
          <w:rFonts w:ascii="Garamond" w:hAnsi="Garamond"/>
          <w:color w:val="000000" w:themeColor="text1"/>
        </w:rPr>
        <w:t xml:space="preserve">hetoric to </w:t>
      </w:r>
      <w:r w:rsidR="00940098">
        <w:rPr>
          <w:rFonts w:ascii="Garamond" w:hAnsi="Garamond"/>
          <w:color w:val="000000" w:themeColor="text1"/>
        </w:rPr>
        <w:t>r</w:t>
      </w:r>
      <w:r w:rsidRPr="00BF14DA">
        <w:rPr>
          <w:rFonts w:ascii="Garamond" w:hAnsi="Garamond"/>
          <w:color w:val="000000" w:themeColor="text1"/>
        </w:rPr>
        <w:t>eality?’ (2023) 36</w:t>
      </w:r>
      <w:r w:rsidR="000A59FB">
        <w:rPr>
          <w:rFonts w:ascii="Garamond" w:hAnsi="Garamond"/>
          <w:color w:val="000000" w:themeColor="text1"/>
        </w:rPr>
        <w:t>(1)</w:t>
      </w:r>
      <w:r w:rsidRPr="00BF14DA">
        <w:rPr>
          <w:rFonts w:ascii="Garamond" w:hAnsi="Garamond"/>
          <w:color w:val="000000" w:themeColor="text1"/>
        </w:rPr>
        <w:t xml:space="preserve"> </w:t>
      </w:r>
      <w:r w:rsidRPr="000A59FB">
        <w:rPr>
          <w:rFonts w:ascii="Garamond" w:hAnsi="Garamond"/>
          <w:i/>
          <w:iCs/>
          <w:color w:val="000000" w:themeColor="text1"/>
        </w:rPr>
        <w:t>Leiden Journal of International Law</w:t>
      </w:r>
      <w:r w:rsidRPr="00BF14DA">
        <w:rPr>
          <w:rFonts w:ascii="Garamond" w:hAnsi="Garamond"/>
          <w:color w:val="000000" w:themeColor="text1"/>
        </w:rPr>
        <w:t xml:space="preserve"> 161, 171. </w:t>
      </w:r>
    </w:p>
  </w:footnote>
  <w:footnote w:id="45">
    <w:p w14:paraId="1C4DCE4E" w14:textId="5BC23F72"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Antony Anghie, </w:t>
      </w:r>
      <w:r w:rsidRPr="00BF14DA">
        <w:rPr>
          <w:rFonts w:ascii="Garamond" w:hAnsi="Garamond"/>
          <w:i/>
          <w:iCs/>
          <w:color w:val="000000" w:themeColor="text1"/>
        </w:rPr>
        <w:t xml:space="preserve">Imperialism, </w:t>
      </w:r>
      <w:r w:rsidR="006A2E6C">
        <w:rPr>
          <w:rFonts w:ascii="Garamond" w:hAnsi="Garamond"/>
          <w:i/>
          <w:iCs/>
          <w:color w:val="000000" w:themeColor="text1"/>
        </w:rPr>
        <w:t>S</w:t>
      </w:r>
      <w:r w:rsidRPr="00BF14DA">
        <w:rPr>
          <w:rFonts w:ascii="Garamond" w:hAnsi="Garamond"/>
          <w:i/>
          <w:iCs/>
          <w:color w:val="000000" w:themeColor="text1"/>
        </w:rPr>
        <w:t xml:space="preserve">overeignty, and the </w:t>
      </w:r>
      <w:r w:rsidR="006A2E6C">
        <w:rPr>
          <w:rFonts w:ascii="Garamond" w:hAnsi="Garamond"/>
          <w:i/>
          <w:iCs/>
          <w:color w:val="000000" w:themeColor="text1"/>
        </w:rPr>
        <w:t>M</w:t>
      </w:r>
      <w:r w:rsidRPr="00BF14DA">
        <w:rPr>
          <w:rFonts w:ascii="Garamond" w:hAnsi="Garamond"/>
          <w:i/>
          <w:iCs/>
          <w:color w:val="000000" w:themeColor="text1"/>
        </w:rPr>
        <w:t xml:space="preserve">aking of </w:t>
      </w:r>
      <w:r w:rsidR="006A2E6C">
        <w:rPr>
          <w:rFonts w:ascii="Garamond" w:hAnsi="Garamond"/>
          <w:i/>
          <w:iCs/>
          <w:color w:val="000000" w:themeColor="text1"/>
        </w:rPr>
        <w:t>I</w:t>
      </w:r>
      <w:r w:rsidRPr="00BF14DA">
        <w:rPr>
          <w:rFonts w:ascii="Garamond" w:hAnsi="Garamond"/>
          <w:i/>
          <w:iCs/>
          <w:color w:val="000000" w:themeColor="text1"/>
        </w:rPr>
        <w:t xml:space="preserve">nternational </w:t>
      </w:r>
      <w:r w:rsidR="006A2E6C">
        <w:rPr>
          <w:rFonts w:ascii="Garamond" w:hAnsi="Garamond"/>
          <w:i/>
          <w:iCs/>
          <w:color w:val="000000" w:themeColor="text1"/>
        </w:rPr>
        <w:t>L</w:t>
      </w:r>
      <w:r w:rsidRPr="00BF14DA">
        <w:rPr>
          <w:rFonts w:ascii="Garamond" w:hAnsi="Garamond"/>
          <w:i/>
          <w:iCs/>
          <w:color w:val="000000" w:themeColor="text1"/>
        </w:rPr>
        <w:t xml:space="preserve">aw </w:t>
      </w:r>
      <w:r w:rsidRPr="00BF14DA">
        <w:rPr>
          <w:rFonts w:ascii="Garamond" w:hAnsi="Garamond"/>
          <w:color w:val="000000" w:themeColor="text1"/>
        </w:rPr>
        <w:t>(Cambridge University Press 2005) 198.</w:t>
      </w:r>
    </w:p>
  </w:footnote>
  <w:footnote w:id="46">
    <w:p w14:paraId="6FF04306" w14:textId="0E7515A4"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Loong</w:t>
      </w:r>
      <w:r w:rsidR="001650EC" w:rsidRPr="00BF14DA">
        <w:rPr>
          <w:rFonts w:ascii="Garamond" w:hAnsi="Garamond"/>
          <w:color w:val="000000" w:themeColor="text1"/>
        </w:rPr>
        <w:t xml:space="preserve"> </w:t>
      </w:r>
      <w:r w:rsidR="009D7B85">
        <w:rPr>
          <w:rFonts w:ascii="Garamond" w:hAnsi="Garamond"/>
          <w:color w:val="000000" w:themeColor="text1"/>
        </w:rPr>
        <w:t>e</w:t>
      </w:r>
      <w:r w:rsidR="001650EC" w:rsidRPr="00BF14DA">
        <w:rPr>
          <w:rFonts w:ascii="Garamond" w:hAnsi="Garamond"/>
          <w:color w:val="000000" w:themeColor="text1"/>
        </w:rPr>
        <w:t>t al</w:t>
      </w:r>
      <w:r w:rsidR="0037302D">
        <w:rPr>
          <w:rFonts w:ascii="Garamond" w:hAnsi="Garamond"/>
          <w:color w:val="000000" w:themeColor="text1"/>
        </w:rPr>
        <w:t>.</w:t>
      </w:r>
      <w:r w:rsidR="001650EC" w:rsidRPr="00BF14DA">
        <w:rPr>
          <w:rFonts w:ascii="Garamond" w:hAnsi="Garamond"/>
          <w:color w:val="000000" w:themeColor="text1"/>
        </w:rPr>
        <w:t xml:space="preserve"> (n 2</w:t>
      </w:r>
      <w:r w:rsidR="00DB23F5" w:rsidRPr="00BF14DA">
        <w:rPr>
          <w:rFonts w:ascii="Garamond" w:hAnsi="Garamond"/>
          <w:color w:val="000000" w:themeColor="text1"/>
        </w:rPr>
        <w:t>9</w:t>
      </w:r>
      <w:r w:rsidR="001650EC" w:rsidRPr="00BF14DA">
        <w:rPr>
          <w:rFonts w:ascii="Garamond" w:hAnsi="Garamond"/>
          <w:color w:val="000000" w:themeColor="text1"/>
        </w:rPr>
        <w:t xml:space="preserve">) </w:t>
      </w:r>
      <w:r w:rsidRPr="00BF14DA">
        <w:rPr>
          <w:rFonts w:ascii="Garamond" w:hAnsi="Garamond"/>
          <w:color w:val="000000" w:themeColor="text1"/>
        </w:rPr>
        <w:t>903.</w:t>
      </w:r>
    </w:p>
  </w:footnote>
  <w:footnote w:id="47">
    <w:p w14:paraId="6F484253" w14:textId="658DDD71"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F15BB6" w:rsidRPr="00BF14DA">
        <w:rPr>
          <w:rFonts w:ascii="Garamond" w:hAnsi="Garamond"/>
          <w:color w:val="000000" w:themeColor="text1"/>
        </w:rPr>
        <w:t xml:space="preserve">Catherine Lu, ‘Decolonising </w:t>
      </w:r>
      <w:r w:rsidR="0037302D">
        <w:rPr>
          <w:rFonts w:ascii="Garamond" w:hAnsi="Garamond"/>
          <w:color w:val="000000" w:themeColor="text1"/>
        </w:rPr>
        <w:t>b</w:t>
      </w:r>
      <w:r w:rsidR="00F15BB6" w:rsidRPr="00BF14DA">
        <w:rPr>
          <w:rFonts w:ascii="Garamond" w:hAnsi="Garamond"/>
          <w:color w:val="000000" w:themeColor="text1"/>
        </w:rPr>
        <w:t xml:space="preserve">orders, </w:t>
      </w:r>
      <w:r w:rsidR="0037302D">
        <w:rPr>
          <w:rFonts w:ascii="Garamond" w:hAnsi="Garamond"/>
          <w:color w:val="000000" w:themeColor="text1"/>
        </w:rPr>
        <w:t>s</w:t>
      </w:r>
      <w:r w:rsidR="00F15BB6" w:rsidRPr="00BF14DA">
        <w:rPr>
          <w:rFonts w:ascii="Garamond" w:hAnsi="Garamond"/>
          <w:color w:val="000000" w:themeColor="text1"/>
        </w:rPr>
        <w:t xml:space="preserve">elf-determination and </w:t>
      </w:r>
      <w:r w:rsidR="0037302D">
        <w:rPr>
          <w:rFonts w:ascii="Garamond" w:hAnsi="Garamond"/>
          <w:color w:val="000000" w:themeColor="text1"/>
        </w:rPr>
        <w:t>g</w:t>
      </w:r>
      <w:r w:rsidR="00F15BB6" w:rsidRPr="00BF14DA">
        <w:rPr>
          <w:rFonts w:ascii="Garamond" w:hAnsi="Garamond"/>
          <w:color w:val="000000" w:themeColor="text1"/>
        </w:rPr>
        <w:t xml:space="preserve">lobal </w:t>
      </w:r>
      <w:r w:rsidR="0037302D">
        <w:rPr>
          <w:rFonts w:ascii="Garamond" w:hAnsi="Garamond"/>
          <w:color w:val="000000" w:themeColor="text1"/>
        </w:rPr>
        <w:t>j</w:t>
      </w:r>
      <w:r w:rsidR="00F15BB6" w:rsidRPr="00BF14DA">
        <w:rPr>
          <w:rFonts w:ascii="Garamond" w:hAnsi="Garamond"/>
          <w:color w:val="000000" w:themeColor="text1"/>
        </w:rPr>
        <w:t xml:space="preserve">ustice’ in Duncan </w:t>
      </w:r>
      <w:r w:rsidR="009D7B85">
        <w:rPr>
          <w:rFonts w:ascii="Garamond" w:hAnsi="Garamond"/>
          <w:color w:val="000000" w:themeColor="text1"/>
        </w:rPr>
        <w:t>B</w:t>
      </w:r>
      <w:r w:rsidR="00F15BB6" w:rsidRPr="00BF14DA">
        <w:rPr>
          <w:rFonts w:ascii="Garamond" w:hAnsi="Garamond"/>
          <w:color w:val="000000" w:themeColor="text1"/>
        </w:rPr>
        <w:t xml:space="preserve">ell (ed), </w:t>
      </w:r>
      <w:r w:rsidR="00F15BB6" w:rsidRPr="00BF14DA">
        <w:rPr>
          <w:rFonts w:ascii="Garamond" w:hAnsi="Garamond"/>
          <w:i/>
          <w:iCs/>
          <w:color w:val="000000" w:themeColor="text1"/>
        </w:rPr>
        <w:t>Empire, Race and Global Justice</w:t>
      </w:r>
      <w:r w:rsidR="00F15BB6" w:rsidRPr="00BF14DA">
        <w:rPr>
          <w:rFonts w:ascii="Garamond" w:hAnsi="Garamond"/>
          <w:color w:val="000000" w:themeColor="text1"/>
        </w:rPr>
        <w:t xml:space="preserve"> (Cambridge University Press 2019) 251</w:t>
      </w:r>
      <w:r w:rsidR="00DA2630">
        <w:rPr>
          <w:rFonts w:ascii="Garamond" w:hAnsi="Garamond"/>
          <w:color w:val="000000" w:themeColor="text1"/>
        </w:rPr>
        <w:t>-272</w:t>
      </w:r>
      <w:r w:rsidR="00BC4825" w:rsidRPr="00BF14DA">
        <w:rPr>
          <w:rFonts w:ascii="Garamond" w:hAnsi="Garamond"/>
          <w:color w:val="000000" w:themeColor="text1"/>
        </w:rPr>
        <w:t>, 270.</w:t>
      </w:r>
    </w:p>
  </w:footnote>
  <w:footnote w:id="48">
    <w:p w14:paraId="77C6EB6E" w14:textId="3CCBE309" w:rsidR="00ED2A9F" w:rsidRPr="0006792C" w:rsidRDefault="00ED2A9F" w:rsidP="00ED2A9F">
      <w:pPr>
        <w:pStyle w:val="FootnoteText"/>
        <w:rPr>
          <w:rFonts w:ascii="Garamond" w:hAnsi="Garamond"/>
          <w:color w:val="000000" w:themeColor="text1"/>
          <w:lang w:val="nl-NL"/>
        </w:rPr>
      </w:pPr>
      <w:r w:rsidRPr="00BF14DA">
        <w:rPr>
          <w:rStyle w:val="FootnoteReference"/>
          <w:rFonts w:ascii="Garamond" w:hAnsi="Garamond"/>
          <w:color w:val="000000" w:themeColor="text1"/>
        </w:rPr>
        <w:footnoteRef/>
      </w:r>
      <w:r w:rsidRPr="0006792C">
        <w:rPr>
          <w:rFonts w:ascii="Garamond" w:hAnsi="Garamond"/>
          <w:color w:val="000000" w:themeColor="text1"/>
          <w:lang w:val="nl-NL"/>
        </w:rPr>
        <w:t xml:space="preserve"> </w:t>
      </w:r>
      <w:r w:rsidRPr="0006792C">
        <w:rPr>
          <w:rFonts w:ascii="Garamond" w:hAnsi="Garamond"/>
          <w:color w:val="000000" w:themeColor="text1"/>
          <w:lang w:val="nl-NL"/>
        </w:rPr>
        <w:t>Loong et al</w:t>
      </w:r>
      <w:r w:rsidR="0037302D">
        <w:rPr>
          <w:rFonts w:ascii="Garamond" w:hAnsi="Garamond"/>
          <w:color w:val="000000" w:themeColor="text1"/>
          <w:lang w:val="nl-NL"/>
        </w:rPr>
        <w:t>.</w:t>
      </w:r>
      <w:r w:rsidRPr="0006792C">
        <w:rPr>
          <w:rFonts w:ascii="Garamond" w:hAnsi="Garamond"/>
          <w:color w:val="000000" w:themeColor="text1"/>
          <w:lang w:val="nl-NL"/>
        </w:rPr>
        <w:t xml:space="preserve"> (n 2</w:t>
      </w:r>
      <w:r w:rsidR="00DB23F5" w:rsidRPr="0006792C">
        <w:rPr>
          <w:rFonts w:ascii="Garamond" w:hAnsi="Garamond"/>
          <w:color w:val="000000" w:themeColor="text1"/>
          <w:lang w:val="nl-NL"/>
        </w:rPr>
        <w:t>9</w:t>
      </w:r>
      <w:r w:rsidRPr="0006792C">
        <w:rPr>
          <w:rFonts w:ascii="Garamond" w:hAnsi="Garamond"/>
          <w:color w:val="000000" w:themeColor="text1"/>
          <w:lang w:val="nl-NL"/>
        </w:rPr>
        <w:t>)</w:t>
      </w:r>
      <w:r w:rsidR="00DA2630">
        <w:rPr>
          <w:rFonts w:ascii="Garamond" w:hAnsi="Garamond"/>
          <w:color w:val="000000" w:themeColor="text1"/>
          <w:lang w:val="nl-NL"/>
        </w:rPr>
        <w:t>,</w:t>
      </w:r>
      <w:r w:rsidRPr="0006792C">
        <w:rPr>
          <w:rFonts w:ascii="Garamond" w:hAnsi="Garamond"/>
          <w:color w:val="000000" w:themeColor="text1"/>
          <w:lang w:val="nl-NL"/>
        </w:rPr>
        <w:t xml:space="preserve"> 903.</w:t>
      </w:r>
    </w:p>
  </w:footnote>
  <w:footnote w:id="49">
    <w:p w14:paraId="6A46F5A8" w14:textId="0FC2338D" w:rsidR="002C4C6B" w:rsidRPr="0006792C" w:rsidRDefault="002C4C6B" w:rsidP="002C4C6B">
      <w:pPr>
        <w:pStyle w:val="FootnoteText"/>
        <w:rPr>
          <w:rFonts w:ascii="Garamond" w:hAnsi="Garamond"/>
          <w:color w:val="000000" w:themeColor="text1"/>
          <w:lang w:val="nl-NL"/>
        </w:rPr>
      </w:pPr>
      <w:r w:rsidRPr="00BF14DA">
        <w:rPr>
          <w:rStyle w:val="FootnoteReference"/>
          <w:rFonts w:ascii="Garamond" w:hAnsi="Garamond"/>
          <w:color w:val="000000" w:themeColor="text1"/>
        </w:rPr>
        <w:footnoteRef/>
      </w:r>
      <w:r w:rsidRPr="0006792C">
        <w:rPr>
          <w:rFonts w:ascii="Garamond" w:hAnsi="Garamond"/>
          <w:color w:val="000000" w:themeColor="text1"/>
          <w:lang w:val="nl-NL"/>
        </w:rPr>
        <w:t xml:space="preserve"> ICJ AO (n 2)</w:t>
      </w:r>
      <w:r w:rsidR="00DA2630">
        <w:rPr>
          <w:rFonts w:ascii="Garamond" w:hAnsi="Garamond"/>
          <w:color w:val="000000" w:themeColor="text1"/>
          <w:lang w:val="nl-NL"/>
        </w:rPr>
        <w:t>,</w:t>
      </w:r>
      <w:r w:rsidRPr="0006792C">
        <w:rPr>
          <w:rFonts w:ascii="Garamond" w:hAnsi="Garamond"/>
          <w:color w:val="000000" w:themeColor="text1"/>
          <w:lang w:val="nl-NL"/>
        </w:rPr>
        <w:t xml:space="preserve"> 160.</w:t>
      </w:r>
    </w:p>
  </w:footnote>
  <w:footnote w:id="50">
    <w:p w14:paraId="3F4B1A27" w14:textId="1A741C1E"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Resolution 1514 reads: </w:t>
      </w:r>
      <w:r w:rsidR="0037302D">
        <w:rPr>
          <w:rFonts w:ascii="Garamond" w:hAnsi="Garamond"/>
          <w:color w:val="000000" w:themeColor="text1"/>
        </w:rPr>
        <w:t>‘</w:t>
      </w:r>
      <w:r w:rsidRPr="00BF14DA">
        <w:rPr>
          <w:rFonts w:ascii="Garamond" w:hAnsi="Garamond"/>
          <w:color w:val="000000" w:themeColor="text1"/>
        </w:rPr>
        <w:t>Any attempt aimed at the partial or total disruption of the national unity and the territorial integrity of a country is incompatible with the purposes and principles of the Charter of the United Nations</w:t>
      </w:r>
      <w:r w:rsidR="00303637">
        <w:rPr>
          <w:rFonts w:ascii="Garamond" w:hAnsi="Garamond"/>
          <w:color w:val="000000" w:themeColor="text1"/>
        </w:rPr>
        <w:t>’</w:t>
      </w:r>
      <w:r w:rsidRPr="00BF14DA">
        <w:rPr>
          <w:rFonts w:ascii="Garamond" w:hAnsi="Garamond"/>
          <w:color w:val="000000" w:themeColor="text1"/>
        </w:rPr>
        <w:t>; Declaration on the Granting of Independence to Colonial Countries and Peoples, UNGA Res 1514 (XV) (14 Dec</w:t>
      </w:r>
      <w:r w:rsidR="00303637">
        <w:rPr>
          <w:rFonts w:ascii="Garamond" w:hAnsi="Garamond"/>
          <w:color w:val="000000" w:themeColor="text1"/>
        </w:rPr>
        <w:t>ember</w:t>
      </w:r>
      <w:r w:rsidRPr="00BF14DA">
        <w:rPr>
          <w:rFonts w:ascii="Garamond" w:hAnsi="Garamond"/>
          <w:color w:val="000000" w:themeColor="text1"/>
        </w:rPr>
        <w:t xml:space="preserve"> 1960) (adopted by 89 votes to none; 9 abstentions).</w:t>
      </w:r>
    </w:p>
  </w:footnote>
  <w:footnote w:id="51">
    <w:p w14:paraId="3F372821" w14:textId="00DDBE13"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Avish</w:t>
      </w:r>
      <w:r w:rsidR="002639AF">
        <w:rPr>
          <w:rFonts w:ascii="Garamond" w:hAnsi="Garamond"/>
          <w:color w:val="000000" w:themeColor="text1"/>
        </w:rPr>
        <w:t>a</w:t>
      </w:r>
      <w:r w:rsidRPr="00BF14DA">
        <w:rPr>
          <w:rFonts w:ascii="Garamond" w:hAnsi="Garamond"/>
          <w:color w:val="000000" w:themeColor="text1"/>
        </w:rPr>
        <w:t xml:space="preserve">i Margalit and Joseph Raz, ‘National </w:t>
      </w:r>
      <w:r w:rsidR="001E061B">
        <w:rPr>
          <w:rFonts w:ascii="Garamond" w:hAnsi="Garamond"/>
          <w:color w:val="000000" w:themeColor="text1"/>
        </w:rPr>
        <w:t>s</w:t>
      </w:r>
      <w:r w:rsidRPr="00BF14DA">
        <w:rPr>
          <w:rFonts w:ascii="Garamond" w:hAnsi="Garamond"/>
          <w:color w:val="000000" w:themeColor="text1"/>
        </w:rPr>
        <w:t>elf-</w:t>
      </w:r>
      <w:r w:rsidR="001E061B">
        <w:rPr>
          <w:rFonts w:ascii="Garamond" w:hAnsi="Garamond"/>
          <w:color w:val="000000" w:themeColor="text1"/>
        </w:rPr>
        <w:t>d</w:t>
      </w:r>
      <w:r w:rsidRPr="00BF14DA">
        <w:rPr>
          <w:rFonts w:ascii="Garamond" w:hAnsi="Garamond"/>
          <w:color w:val="000000" w:themeColor="text1"/>
        </w:rPr>
        <w:t xml:space="preserve">etermination’ (1990) 87(9) </w:t>
      </w:r>
      <w:r w:rsidRPr="002639AF">
        <w:rPr>
          <w:rFonts w:ascii="Garamond" w:hAnsi="Garamond"/>
          <w:i/>
          <w:iCs/>
          <w:color w:val="000000" w:themeColor="text1"/>
        </w:rPr>
        <w:t>The Journal of Philosophy</w:t>
      </w:r>
      <w:r w:rsidRPr="00BF14DA">
        <w:rPr>
          <w:rFonts w:ascii="Garamond" w:hAnsi="Garamond"/>
          <w:color w:val="000000" w:themeColor="text1"/>
        </w:rPr>
        <w:t xml:space="preserve"> 439, 440-441.</w:t>
      </w:r>
    </w:p>
  </w:footnote>
  <w:footnote w:id="52">
    <w:p w14:paraId="420B4B49" w14:textId="55D192FA"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Loong et al</w:t>
      </w:r>
      <w:r w:rsidR="001E061B">
        <w:rPr>
          <w:rFonts w:ascii="Garamond" w:hAnsi="Garamond"/>
          <w:color w:val="000000" w:themeColor="text1"/>
        </w:rPr>
        <w:t>.</w:t>
      </w:r>
      <w:r w:rsidRPr="00BF14DA">
        <w:rPr>
          <w:rFonts w:ascii="Garamond" w:hAnsi="Garamond"/>
          <w:color w:val="000000" w:themeColor="text1"/>
        </w:rPr>
        <w:t xml:space="preserve"> (n </w:t>
      </w:r>
      <w:r w:rsidR="00FC0BE3" w:rsidRPr="00BF14DA">
        <w:rPr>
          <w:rFonts w:ascii="Garamond" w:hAnsi="Garamond"/>
          <w:color w:val="000000" w:themeColor="text1"/>
        </w:rPr>
        <w:t>2</w:t>
      </w:r>
      <w:r w:rsidR="002E0566" w:rsidRPr="00BF14DA">
        <w:rPr>
          <w:rFonts w:ascii="Garamond" w:hAnsi="Garamond"/>
          <w:color w:val="000000" w:themeColor="text1"/>
        </w:rPr>
        <w:t>9</w:t>
      </w:r>
      <w:r w:rsidRPr="00BF14DA">
        <w:rPr>
          <w:rFonts w:ascii="Garamond" w:hAnsi="Garamond"/>
          <w:color w:val="000000" w:themeColor="text1"/>
        </w:rPr>
        <w:t>) 905.</w:t>
      </w:r>
    </w:p>
  </w:footnote>
  <w:footnote w:id="53">
    <w:p w14:paraId="46540C6E" w14:textId="7041B0F6"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Foreign Affairs Sub-Committee on the Overseas Territories, ‘Written evidence submitted by Chagossian Voices (CHA0007)’ </w:t>
      </w:r>
      <w:r w:rsidR="001E061B">
        <w:rPr>
          <w:rFonts w:ascii="Garamond" w:hAnsi="Garamond"/>
          <w:color w:val="000000" w:themeColor="text1"/>
        </w:rPr>
        <w:t>(</w:t>
      </w:r>
      <w:r w:rsidRPr="00BF14DA">
        <w:rPr>
          <w:rFonts w:ascii="Garamond" w:hAnsi="Garamond"/>
          <w:color w:val="000000" w:themeColor="text1"/>
        </w:rPr>
        <w:t>January 2024</w:t>
      </w:r>
      <w:r w:rsidR="001E061B">
        <w:rPr>
          <w:rFonts w:ascii="Garamond" w:hAnsi="Garamond"/>
          <w:color w:val="000000" w:themeColor="text1"/>
        </w:rPr>
        <w:t>)</w:t>
      </w:r>
      <w:r w:rsidRPr="00BF14DA">
        <w:rPr>
          <w:rFonts w:ascii="Garamond" w:hAnsi="Garamond"/>
          <w:color w:val="000000" w:themeColor="text1"/>
        </w:rPr>
        <w:t xml:space="preserve"> </w:t>
      </w:r>
      <w:hyperlink r:id="rId15" w:history="1">
        <w:r w:rsidR="001E061B" w:rsidRPr="009E2B24">
          <w:rPr>
            <w:rStyle w:val="Hyperlink"/>
            <w:rFonts w:ascii="Garamond" w:hAnsi="Garamond"/>
          </w:rPr>
          <w:t>https://committees.parliament.uk/writtenevidence/127976/html/</w:t>
        </w:r>
      </w:hyperlink>
      <w:r w:rsidR="001E061B">
        <w:rPr>
          <w:rFonts w:ascii="Garamond" w:hAnsi="Garamond"/>
          <w:color w:val="000000" w:themeColor="text1"/>
        </w:rPr>
        <w:t xml:space="preserve"> </w:t>
      </w:r>
      <w:r w:rsidRPr="00BF14DA">
        <w:rPr>
          <w:rFonts w:ascii="Garamond" w:hAnsi="Garamond"/>
          <w:color w:val="000000" w:themeColor="text1"/>
        </w:rPr>
        <w:t>accessed 25 October 2025.</w:t>
      </w:r>
    </w:p>
  </w:footnote>
  <w:footnote w:id="54">
    <w:p w14:paraId="216DBACB" w14:textId="232EBE5C"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Lu</w:t>
      </w:r>
      <w:r w:rsidR="00D0547F">
        <w:rPr>
          <w:rFonts w:ascii="Garamond" w:hAnsi="Garamond"/>
          <w:color w:val="000000" w:themeColor="text1"/>
        </w:rPr>
        <w:t xml:space="preserve"> (n 46)</w:t>
      </w:r>
      <w:r w:rsidRPr="00BF14DA">
        <w:rPr>
          <w:rFonts w:ascii="Garamond" w:hAnsi="Garamond"/>
          <w:color w:val="000000" w:themeColor="text1"/>
        </w:rPr>
        <w:t xml:space="preserve"> 255.  </w:t>
      </w:r>
    </w:p>
  </w:footnote>
  <w:footnote w:id="55">
    <w:p w14:paraId="09A3C7A1" w14:textId="1C11699C"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Jennifer Penelope-Lebrasse, ‘The </w:t>
      </w:r>
      <w:r w:rsidR="00CA7D93">
        <w:rPr>
          <w:rFonts w:ascii="Garamond" w:hAnsi="Garamond"/>
          <w:color w:val="000000" w:themeColor="text1"/>
        </w:rPr>
        <w:t>f</w:t>
      </w:r>
      <w:r w:rsidRPr="00BF14DA">
        <w:rPr>
          <w:rFonts w:ascii="Garamond" w:hAnsi="Garamond"/>
          <w:color w:val="000000" w:themeColor="text1"/>
        </w:rPr>
        <w:t xml:space="preserve">orgotten </w:t>
      </w:r>
      <w:r w:rsidR="00CA7D93">
        <w:rPr>
          <w:rFonts w:ascii="Garamond" w:hAnsi="Garamond"/>
          <w:color w:val="000000" w:themeColor="text1"/>
        </w:rPr>
        <w:t>v</w:t>
      </w:r>
      <w:r w:rsidRPr="00BF14DA">
        <w:rPr>
          <w:rFonts w:ascii="Garamond" w:hAnsi="Garamond"/>
          <w:color w:val="000000" w:themeColor="text1"/>
        </w:rPr>
        <w:t>oices of the Chagos Archipelago’</w:t>
      </w:r>
      <w:r w:rsidR="00B173C1">
        <w:rPr>
          <w:rFonts w:ascii="Garamond" w:hAnsi="Garamond"/>
          <w:color w:val="000000" w:themeColor="text1"/>
        </w:rPr>
        <w:t>,</w:t>
      </w:r>
      <w:r w:rsidRPr="00BF14DA">
        <w:rPr>
          <w:rFonts w:ascii="Garamond" w:hAnsi="Garamond"/>
          <w:color w:val="000000" w:themeColor="text1"/>
        </w:rPr>
        <w:t xml:space="preserve"> </w:t>
      </w:r>
      <w:r w:rsidRPr="00006B9E">
        <w:rPr>
          <w:rFonts w:ascii="Garamond" w:hAnsi="Garamond"/>
          <w:i/>
          <w:iCs/>
          <w:color w:val="000000" w:themeColor="text1"/>
        </w:rPr>
        <w:t>Friends of the British Overseas Territories</w:t>
      </w:r>
      <w:r w:rsidRPr="00BF14DA">
        <w:rPr>
          <w:rFonts w:ascii="Garamond" w:hAnsi="Garamond"/>
          <w:color w:val="000000" w:themeColor="text1"/>
        </w:rPr>
        <w:t xml:space="preserve"> </w:t>
      </w:r>
      <w:r w:rsidR="00B173C1">
        <w:rPr>
          <w:rFonts w:ascii="Garamond" w:hAnsi="Garamond"/>
          <w:color w:val="000000" w:themeColor="text1"/>
        </w:rPr>
        <w:t>(</w:t>
      </w:r>
      <w:r w:rsidRPr="00BF14DA">
        <w:rPr>
          <w:rFonts w:ascii="Garamond" w:hAnsi="Garamond"/>
          <w:color w:val="000000" w:themeColor="text1"/>
        </w:rPr>
        <w:t>20 Ju</w:t>
      </w:r>
      <w:r w:rsidR="000A7668">
        <w:rPr>
          <w:rFonts w:ascii="Garamond" w:hAnsi="Garamond"/>
          <w:color w:val="000000" w:themeColor="text1"/>
        </w:rPr>
        <w:t>ne</w:t>
      </w:r>
      <w:r w:rsidRPr="00BF14DA">
        <w:rPr>
          <w:rFonts w:ascii="Garamond" w:hAnsi="Garamond"/>
          <w:color w:val="000000" w:themeColor="text1"/>
        </w:rPr>
        <w:t xml:space="preserve"> 2025) </w:t>
      </w:r>
      <w:hyperlink r:id="rId16" w:history="1">
        <w:r w:rsidR="00CA7D93" w:rsidRPr="009E2B24">
          <w:rPr>
            <w:rStyle w:val="Hyperlink"/>
            <w:rFonts w:ascii="Garamond" w:hAnsi="Garamond"/>
          </w:rPr>
          <w:t>https://fotbot.org/the-forgotten-voices-of-the-chagos-archipelago</w:t>
        </w:r>
      </w:hyperlink>
      <w:r w:rsidR="00CA7D93">
        <w:rPr>
          <w:rFonts w:ascii="Garamond" w:hAnsi="Garamond"/>
          <w:color w:val="000000" w:themeColor="text1"/>
        </w:rPr>
        <w:t xml:space="preserve"> </w:t>
      </w:r>
      <w:r w:rsidRPr="00BF14DA">
        <w:rPr>
          <w:rFonts w:ascii="Garamond" w:hAnsi="Garamond"/>
          <w:color w:val="000000" w:themeColor="text1"/>
        </w:rPr>
        <w:t>accessed 27</w:t>
      </w:r>
      <w:r w:rsidR="00821BC3" w:rsidRPr="00BF14DA">
        <w:rPr>
          <w:rFonts w:ascii="Garamond" w:hAnsi="Garamond"/>
          <w:color w:val="000000" w:themeColor="text1"/>
          <w:vertAlign w:val="superscript"/>
        </w:rPr>
        <w:t xml:space="preserve"> </w:t>
      </w:r>
      <w:r w:rsidRPr="00BF14DA">
        <w:rPr>
          <w:rFonts w:ascii="Garamond" w:hAnsi="Garamond"/>
          <w:color w:val="000000" w:themeColor="text1"/>
        </w:rPr>
        <w:t>August 2025.</w:t>
      </w:r>
    </w:p>
  </w:footnote>
  <w:footnote w:id="56">
    <w:p w14:paraId="6B2E22B5" w14:textId="27E9166D"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Gloria Anzaldúa, </w:t>
      </w:r>
      <w:r w:rsidRPr="00BF14DA">
        <w:rPr>
          <w:rFonts w:ascii="Garamond" w:hAnsi="Garamond"/>
          <w:i/>
          <w:iCs/>
          <w:color w:val="000000" w:themeColor="text1"/>
        </w:rPr>
        <w:t xml:space="preserve">Borderlands/La Frontera: The New Mestiza </w:t>
      </w:r>
      <w:r w:rsidRPr="00BF14DA">
        <w:rPr>
          <w:rFonts w:ascii="Garamond" w:hAnsi="Garamond"/>
          <w:color w:val="000000" w:themeColor="text1"/>
        </w:rPr>
        <w:t xml:space="preserve">(Aunt </w:t>
      </w:r>
      <w:r w:rsidR="00E46281">
        <w:rPr>
          <w:rFonts w:ascii="Garamond" w:hAnsi="Garamond"/>
          <w:color w:val="000000" w:themeColor="text1"/>
        </w:rPr>
        <w:t>L</w:t>
      </w:r>
      <w:r w:rsidRPr="00BF14DA">
        <w:rPr>
          <w:rFonts w:ascii="Garamond" w:hAnsi="Garamond"/>
          <w:color w:val="000000" w:themeColor="text1"/>
        </w:rPr>
        <w:t xml:space="preserve">ute </w:t>
      </w:r>
      <w:r w:rsidR="00E46281">
        <w:rPr>
          <w:rFonts w:ascii="Garamond" w:hAnsi="Garamond"/>
          <w:color w:val="000000" w:themeColor="text1"/>
        </w:rPr>
        <w:t>B</w:t>
      </w:r>
      <w:r w:rsidRPr="00BF14DA">
        <w:rPr>
          <w:rFonts w:ascii="Garamond" w:hAnsi="Garamond"/>
          <w:color w:val="000000" w:themeColor="text1"/>
        </w:rPr>
        <w:t>ooks 1987) 2-3.</w:t>
      </w:r>
    </w:p>
  </w:footnote>
  <w:footnote w:id="57">
    <w:p w14:paraId="63F674EF" w14:textId="590B2387"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Knop (n </w:t>
      </w:r>
      <w:r w:rsidR="00E277E9" w:rsidRPr="00BF14DA">
        <w:rPr>
          <w:rFonts w:ascii="Garamond" w:hAnsi="Garamond"/>
          <w:color w:val="000000" w:themeColor="text1"/>
        </w:rPr>
        <w:t>33</w:t>
      </w:r>
      <w:r w:rsidRPr="00BF14DA">
        <w:rPr>
          <w:rFonts w:ascii="Garamond" w:hAnsi="Garamond"/>
          <w:color w:val="000000" w:themeColor="text1"/>
        </w:rPr>
        <w:t xml:space="preserve">) 342; Aoife O’Donoghue, </w:t>
      </w:r>
      <w:r w:rsidR="00DD6C2E">
        <w:rPr>
          <w:rFonts w:ascii="Garamond" w:hAnsi="Garamond"/>
          <w:color w:val="000000" w:themeColor="text1"/>
        </w:rPr>
        <w:t>‘“</w:t>
      </w:r>
      <w:r w:rsidRPr="00BF14DA">
        <w:rPr>
          <w:rFonts w:ascii="Garamond" w:hAnsi="Garamond"/>
          <w:color w:val="000000" w:themeColor="text1"/>
        </w:rPr>
        <w:t xml:space="preserve">The </w:t>
      </w:r>
      <w:r w:rsidR="00C65272">
        <w:rPr>
          <w:rFonts w:ascii="Garamond" w:hAnsi="Garamond"/>
          <w:color w:val="000000" w:themeColor="text1"/>
        </w:rPr>
        <w:t>a</w:t>
      </w:r>
      <w:r w:rsidRPr="00BF14DA">
        <w:rPr>
          <w:rFonts w:ascii="Garamond" w:hAnsi="Garamond"/>
          <w:color w:val="000000" w:themeColor="text1"/>
        </w:rPr>
        <w:t xml:space="preserve">dmixture of </w:t>
      </w:r>
      <w:r w:rsidR="00C65272">
        <w:rPr>
          <w:rFonts w:ascii="Garamond" w:hAnsi="Garamond"/>
          <w:color w:val="000000" w:themeColor="text1"/>
        </w:rPr>
        <w:t>f</w:t>
      </w:r>
      <w:r w:rsidRPr="00BF14DA">
        <w:rPr>
          <w:rFonts w:ascii="Garamond" w:hAnsi="Garamond"/>
          <w:color w:val="000000" w:themeColor="text1"/>
        </w:rPr>
        <w:t xml:space="preserve">eminine </w:t>
      </w:r>
      <w:r w:rsidR="00C65272">
        <w:rPr>
          <w:rFonts w:ascii="Garamond" w:hAnsi="Garamond"/>
          <w:color w:val="000000" w:themeColor="text1"/>
        </w:rPr>
        <w:t>w</w:t>
      </w:r>
      <w:r w:rsidRPr="00BF14DA">
        <w:rPr>
          <w:rFonts w:ascii="Garamond" w:hAnsi="Garamond"/>
          <w:color w:val="000000" w:themeColor="text1"/>
        </w:rPr>
        <w:t xml:space="preserve">eakness and </w:t>
      </w:r>
      <w:r w:rsidR="00C65272">
        <w:rPr>
          <w:rFonts w:ascii="Garamond" w:hAnsi="Garamond"/>
          <w:color w:val="000000" w:themeColor="text1"/>
        </w:rPr>
        <w:t>s</w:t>
      </w:r>
      <w:r w:rsidRPr="00BF14DA">
        <w:rPr>
          <w:rFonts w:ascii="Garamond" w:hAnsi="Garamond"/>
          <w:color w:val="000000" w:themeColor="text1"/>
        </w:rPr>
        <w:t xml:space="preserve">usceptibility”: Gendered </w:t>
      </w:r>
      <w:r w:rsidR="0015342E">
        <w:rPr>
          <w:rFonts w:ascii="Garamond" w:hAnsi="Garamond"/>
          <w:color w:val="000000" w:themeColor="text1"/>
        </w:rPr>
        <w:t>p</w:t>
      </w:r>
      <w:r w:rsidRPr="00BF14DA">
        <w:rPr>
          <w:rFonts w:ascii="Garamond" w:hAnsi="Garamond"/>
          <w:color w:val="000000" w:themeColor="text1"/>
        </w:rPr>
        <w:t xml:space="preserve">ersonification of the </w:t>
      </w:r>
      <w:r w:rsidR="0015342E">
        <w:rPr>
          <w:rFonts w:ascii="Garamond" w:hAnsi="Garamond"/>
          <w:color w:val="000000" w:themeColor="text1"/>
        </w:rPr>
        <w:t>s</w:t>
      </w:r>
      <w:r w:rsidRPr="00BF14DA">
        <w:rPr>
          <w:rFonts w:ascii="Garamond" w:hAnsi="Garamond"/>
          <w:color w:val="000000" w:themeColor="text1"/>
        </w:rPr>
        <w:t>tate in</w:t>
      </w:r>
      <w:r w:rsidR="0015342E">
        <w:rPr>
          <w:rFonts w:ascii="Garamond" w:hAnsi="Garamond"/>
          <w:color w:val="000000" w:themeColor="text1"/>
        </w:rPr>
        <w:t xml:space="preserve"> i</w:t>
      </w:r>
      <w:r w:rsidRPr="00BF14DA">
        <w:rPr>
          <w:rFonts w:ascii="Garamond" w:hAnsi="Garamond"/>
          <w:color w:val="000000" w:themeColor="text1"/>
        </w:rPr>
        <w:t xml:space="preserve">nternational </w:t>
      </w:r>
      <w:r w:rsidR="0015342E">
        <w:rPr>
          <w:rFonts w:ascii="Garamond" w:hAnsi="Garamond"/>
          <w:color w:val="000000" w:themeColor="text1"/>
        </w:rPr>
        <w:t>l</w:t>
      </w:r>
      <w:r w:rsidRPr="00BF14DA">
        <w:rPr>
          <w:rFonts w:ascii="Garamond" w:hAnsi="Garamond"/>
          <w:color w:val="000000" w:themeColor="text1"/>
        </w:rPr>
        <w:t>aw’ (2018) 19</w:t>
      </w:r>
      <w:r w:rsidR="006B25D4">
        <w:rPr>
          <w:rFonts w:ascii="Garamond" w:hAnsi="Garamond"/>
          <w:color w:val="000000" w:themeColor="text1"/>
        </w:rPr>
        <w:t>(1)</w:t>
      </w:r>
      <w:r w:rsidRPr="00BF14DA">
        <w:rPr>
          <w:rFonts w:ascii="Garamond" w:hAnsi="Garamond"/>
          <w:color w:val="000000" w:themeColor="text1"/>
        </w:rPr>
        <w:t xml:space="preserve"> </w:t>
      </w:r>
      <w:r w:rsidRPr="00DF5624">
        <w:rPr>
          <w:rFonts w:ascii="Garamond" w:hAnsi="Garamond"/>
          <w:i/>
          <w:iCs/>
          <w:color w:val="000000" w:themeColor="text1"/>
        </w:rPr>
        <w:t>Melbourne Journal of International Law</w:t>
      </w:r>
      <w:r w:rsidRPr="00BF14DA">
        <w:rPr>
          <w:rFonts w:ascii="Garamond" w:hAnsi="Garamond"/>
          <w:color w:val="000000" w:themeColor="text1"/>
        </w:rPr>
        <w:t xml:space="preserve"> 227; Faye Bird, ‘ISIL in Iraq: A </w:t>
      </w:r>
      <w:r w:rsidR="0015342E">
        <w:rPr>
          <w:rFonts w:ascii="Garamond" w:hAnsi="Garamond"/>
          <w:color w:val="000000" w:themeColor="text1"/>
        </w:rPr>
        <w:t>c</w:t>
      </w:r>
      <w:r w:rsidRPr="00BF14DA">
        <w:rPr>
          <w:rFonts w:ascii="Garamond" w:hAnsi="Garamond"/>
          <w:color w:val="000000" w:themeColor="text1"/>
        </w:rPr>
        <w:t xml:space="preserve">ritical </w:t>
      </w:r>
      <w:r w:rsidR="0015342E">
        <w:rPr>
          <w:rFonts w:ascii="Garamond" w:hAnsi="Garamond"/>
          <w:color w:val="000000" w:themeColor="text1"/>
        </w:rPr>
        <w:t>a</w:t>
      </w:r>
      <w:r w:rsidRPr="00BF14DA">
        <w:rPr>
          <w:rFonts w:ascii="Garamond" w:hAnsi="Garamond"/>
          <w:color w:val="000000" w:themeColor="text1"/>
        </w:rPr>
        <w:t xml:space="preserve">nalysis of the UN Security Council’s </w:t>
      </w:r>
      <w:r w:rsidR="0015342E">
        <w:rPr>
          <w:rFonts w:ascii="Garamond" w:hAnsi="Garamond"/>
          <w:color w:val="000000" w:themeColor="text1"/>
        </w:rPr>
        <w:t>g</w:t>
      </w:r>
      <w:r w:rsidRPr="00BF14DA">
        <w:rPr>
          <w:rFonts w:ascii="Garamond" w:hAnsi="Garamond"/>
          <w:color w:val="000000" w:themeColor="text1"/>
        </w:rPr>
        <w:t xml:space="preserve">endered </w:t>
      </w:r>
      <w:r w:rsidR="0015342E">
        <w:rPr>
          <w:rFonts w:ascii="Garamond" w:hAnsi="Garamond"/>
          <w:color w:val="000000" w:themeColor="text1"/>
        </w:rPr>
        <w:t>p</w:t>
      </w:r>
      <w:r w:rsidRPr="00BF14DA">
        <w:rPr>
          <w:rFonts w:ascii="Garamond" w:hAnsi="Garamond"/>
          <w:color w:val="000000" w:themeColor="text1"/>
        </w:rPr>
        <w:t>ersonification of (</w:t>
      </w:r>
      <w:r w:rsidR="0015342E">
        <w:rPr>
          <w:rFonts w:ascii="Garamond" w:hAnsi="Garamond"/>
          <w:color w:val="000000" w:themeColor="text1"/>
        </w:rPr>
        <w:t>n</w:t>
      </w:r>
      <w:r w:rsidRPr="00BF14DA">
        <w:rPr>
          <w:rFonts w:ascii="Garamond" w:hAnsi="Garamond"/>
          <w:color w:val="000000" w:themeColor="text1"/>
        </w:rPr>
        <w:t>on)states’ (2022) 11</w:t>
      </w:r>
      <w:r w:rsidR="004621E2">
        <w:rPr>
          <w:rFonts w:ascii="Garamond" w:hAnsi="Garamond"/>
          <w:color w:val="000000" w:themeColor="text1"/>
        </w:rPr>
        <w:t>(1)</w:t>
      </w:r>
      <w:r w:rsidRPr="00BF14DA">
        <w:rPr>
          <w:rFonts w:ascii="Garamond" w:hAnsi="Garamond"/>
          <w:color w:val="000000" w:themeColor="text1"/>
        </w:rPr>
        <w:t xml:space="preserve"> </w:t>
      </w:r>
      <w:r w:rsidRPr="004621E2">
        <w:rPr>
          <w:rFonts w:ascii="Garamond" w:hAnsi="Garamond"/>
          <w:i/>
          <w:iCs/>
          <w:color w:val="000000" w:themeColor="text1"/>
        </w:rPr>
        <w:t>Laws</w:t>
      </w:r>
      <w:r w:rsidRPr="00BF14DA">
        <w:rPr>
          <w:rFonts w:ascii="Garamond" w:hAnsi="Garamond"/>
          <w:color w:val="000000" w:themeColor="text1"/>
        </w:rPr>
        <w:t xml:space="preserve"> 5.   </w:t>
      </w:r>
    </w:p>
  </w:footnote>
  <w:footnote w:id="58">
    <w:p w14:paraId="00F0E658" w14:textId="2D4FE929"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Heathcote (n </w:t>
      </w:r>
      <w:r w:rsidR="009D2EB9" w:rsidRPr="00BF14DA">
        <w:rPr>
          <w:rFonts w:ascii="Garamond" w:hAnsi="Garamond"/>
          <w:color w:val="000000" w:themeColor="text1"/>
        </w:rPr>
        <w:t>10</w:t>
      </w:r>
      <w:r w:rsidRPr="00BF14DA">
        <w:rPr>
          <w:rFonts w:ascii="Garamond" w:hAnsi="Garamond"/>
          <w:color w:val="000000" w:themeColor="text1"/>
        </w:rPr>
        <w:t>) 122.</w:t>
      </w:r>
    </w:p>
  </w:footnote>
  <w:footnote w:id="59">
    <w:p w14:paraId="34C17890" w14:textId="77777777"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123. </w:t>
      </w:r>
    </w:p>
  </w:footnote>
  <w:footnote w:id="60">
    <w:p w14:paraId="7D3B07CC" w14:textId="77777777" w:rsidR="002C4C6B" w:rsidRPr="00BF14DA" w:rsidRDefault="002C4C6B" w:rsidP="002C4C6B">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w:t>
      </w:r>
    </w:p>
  </w:footnote>
  <w:footnote w:id="61">
    <w:p w14:paraId="5CA7207F" w14:textId="5382D17D" w:rsidR="002C4C6B" w:rsidRPr="00BF14DA" w:rsidRDefault="002C4C6B" w:rsidP="002C4C6B">
      <w:pPr>
        <w:spacing w:after="0" w:line="240" w:lineRule="auto"/>
        <w:rPr>
          <w:rFonts w:ascii="Garamond" w:hAnsi="Garamond"/>
          <w:color w:val="000000" w:themeColor="text1"/>
          <w:sz w:val="20"/>
          <w:szCs w:val="20"/>
        </w:rPr>
      </w:pPr>
      <w:r w:rsidRPr="00BF14DA">
        <w:rPr>
          <w:rStyle w:val="FootnoteReference"/>
          <w:rFonts w:ascii="Garamond" w:hAnsi="Garamond"/>
          <w:color w:val="000000" w:themeColor="text1"/>
          <w:sz w:val="20"/>
          <w:szCs w:val="20"/>
        </w:rPr>
        <w:footnoteRef/>
      </w:r>
      <w:r w:rsidRPr="00BF14DA">
        <w:rPr>
          <w:rStyle w:val="FootnoteReference"/>
          <w:rFonts w:ascii="Garamond" w:hAnsi="Garamond"/>
          <w:color w:val="000000" w:themeColor="text1"/>
          <w:sz w:val="20"/>
          <w:szCs w:val="20"/>
        </w:rPr>
        <w:t xml:space="preserve"> </w:t>
      </w:r>
      <w:r w:rsidR="00270A2F" w:rsidRPr="00BF14DA">
        <w:rPr>
          <w:rFonts w:ascii="Garamond" w:hAnsi="Garamond"/>
          <w:color w:val="000000" w:themeColor="text1"/>
          <w:sz w:val="20"/>
          <w:szCs w:val="20"/>
        </w:rPr>
        <w:t xml:space="preserve">The ICJ in its AO </w:t>
      </w:r>
      <w:r w:rsidRPr="00BF14DA">
        <w:rPr>
          <w:rFonts w:ascii="Garamond" w:hAnsi="Garamond"/>
          <w:color w:val="000000" w:themeColor="text1"/>
          <w:sz w:val="20"/>
          <w:szCs w:val="20"/>
        </w:rPr>
        <w:t>briefly outlines the ceding of Mauritius ‘and its dependencies’ – which includ</w:t>
      </w:r>
      <w:r w:rsidR="007F0385">
        <w:rPr>
          <w:rFonts w:ascii="Garamond" w:hAnsi="Garamond"/>
          <w:color w:val="000000" w:themeColor="text1"/>
          <w:sz w:val="20"/>
          <w:szCs w:val="20"/>
        </w:rPr>
        <w:t>es</w:t>
      </w:r>
      <w:r w:rsidRPr="00BF14DA">
        <w:rPr>
          <w:rFonts w:ascii="Garamond" w:hAnsi="Garamond"/>
          <w:color w:val="000000" w:themeColor="text1"/>
          <w:sz w:val="20"/>
          <w:szCs w:val="20"/>
        </w:rPr>
        <w:t xml:space="preserve"> the Chagos Archipelago – by the colonial power France to the UK as the ‘new’ colonial power</w:t>
      </w:r>
      <w:r w:rsidR="00503B91">
        <w:rPr>
          <w:rFonts w:ascii="Garamond" w:hAnsi="Garamond"/>
          <w:color w:val="000000" w:themeColor="text1"/>
          <w:sz w:val="20"/>
          <w:szCs w:val="20"/>
        </w:rPr>
        <w:t>:</w:t>
      </w:r>
      <w:r w:rsidRPr="00BF14DA">
        <w:rPr>
          <w:rFonts w:ascii="Garamond" w:hAnsi="Garamond"/>
          <w:color w:val="000000" w:themeColor="text1"/>
          <w:sz w:val="20"/>
          <w:szCs w:val="20"/>
        </w:rPr>
        <w:t xml:space="preserve"> ICJ AO (n 2) 27; David Vine, ‘From the </w:t>
      </w:r>
      <w:r w:rsidR="00503B91">
        <w:rPr>
          <w:rFonts w:ascii="Garamond" w:hAnsi="Garamond"/>
          <w:color w:val="000000" w:themeColor="text1"/>
          <w:sz w:val="20"/>
          <w:szCs w:val="20"/>
        </w:rPr>
        <w:t>b</w:t>
      </w:r>
      <w:r w:rsidRPr="00BF14DA">
        <w:rPr>
          <w:rFonts w:ascii="Garamond" w:hAnsi="Garamond"/>
          <w:color w:val="000000" w:themeColor="text1"/>
          <w:sz w:val="20"/>
          <w:szCs w:val="20"/>
        </w:rPr>
        <w:t xml:space="preserve">irth of the </w:t>
      </w:r>
      <w:proofErr w:type="spellStart"/>
      <w:r w:rsidR="00503B91">
        <w:rPr>
          <w:rFonts w:ascii="Garamond" w:hAnsi="Garamond"/>
          <w:i/>
          <w:iCs/>
          <w:color w:val="000000" w:themeColor="text1"/>
          <w:sz w:val="20"/>
          <w:szCs w:val="20"/>
        </w:rPr>
        <w:t>i</w:t>
      </w:r>
      <w:r w:rsidRPr="00BF14DA">
        <w:rPr>
          <w:rFonts w:ascii="Garamond" w:hAnsi="Garamond"/>
          <w:i/>
          <w:iCs/>
          <w:color w:val="000000" w:themeColor="text1"/>
          <w:sz w:val="20"/>
          <w:szCs w:val="20"/>
        </w:rPr>
        <w:t>lois</w:t>
      </w:r>
      <w:proofErr w:type="spellEnd"/>
      <w:r w:rsidRPr="00BF14DA">
        <w:rPr>
          <w:rFonts w:ascii="Garamond" w:hAnsi="Garamond"/>
          <w:i/>
          <w:iCs/>
          <w:color w:val="000000" w:themeColor="text1"/>
          <w:sz w:val="20"/>
          <w:szCs w:val="20"/>
        </w:rPr>
        <w:t xml:space="preserve"> </w:t>
      </w:r>
      <w:r w:rsidRPr="00BF14DA">
        <w:rPr>
          <w:rFonts w:ascii="Garamond" w:hAnsi="Garamond"/>
          <w:color w:val="000000" w:themeColor="text1"/>
          <w:sz w:val="20"/>
          <w:szCs w:val="20"/>
        </w:rPr>
        <w:t>to the “</w:t>
      </w:r>
      <w:r w:rsidR="00503B91">
        <w:rPr>
          <w:rFonts w:ascii="Garamond" w:hAnsi="Garamond"/>
          <w:color w:val="000000" w:themeColor="text1"/>
          <w:sz w:val="20"/>
          <w:szCs w:val="20"/>
        </w:rPr>
        <w:t>f</w:t>
      </w:r>
      <w:r w:rsidRPr="00BF14DA">
        <w:rPr>
          <w:rFonts w:ascii="Garamond" w:hAnsi="Garamond"/>
          <w:color w:val="000000" w:themeColor="text1"/>
          <w:sz w:val="20"/>
          <w:szCs w:val="20"/>
        </w:rPr>
        <w:t xml:space="preserve">ootprint of </w:t>
      </w:r>
      <w:r w:rsidR="00503B91">
        <w:rPr>
          <w:rFonts w:ascii="Garamond" w:hAnsi="Garamond"/>
          <w:color w:val="000000" w:themeColor="text1"/>
          <w:sz w:val="20"/>
          <w:szCs w:val="20"/>
        </w:rPr>
        <w:t>f</w:t>
      </w:r>
      <w:r w:rsidRPr="00BF14DA">
        <w:rPr>
          <w:rFonts w:ascii="Garamond" w:hAnsi="Garamond"/>
          <w:color w:val="000000" w:themeColor="text1"/>
          <w:sz w:val="20"/>
          <w:szCs w:val="20"/>
        </w:rPr>
        <w:t xml:space="preserve">reedom”: </w:t>
      </w:r>
      <w:r w:rsidR="00503B91">
        <w:rPr>
          <w:rFonts w:ascii="Garamond" w:hAnsi="Garamond"/>
          <w:color w:val="000000" w:themeColor="text1"/>
          <w:sz w:val="20"/>
          <w:szCs w:val="20"/>
        </w:rPr>
        <w:t>A</w:t>
      </w:r>
      <w:r w:rsidRPr="00BF14DA">
        <w:rPr>
          <w:rFonts w:ascii="Garamond" w:hAnsi="Garamond"/>
          <w:color w:val="000000" w:themeColor="text1"/>
          <w:sz w:val="20"/>
          <w:szCs w:val="20"/>
        </w:rPr>
        <w:t xml:space="preserve"> </w:t>
      </w:r>
      <w:r w:rsidR="00503B91">
        <w:rPr>
          <w:rFonts w:ascii="Garamond" w:hAnsi="Garamond"/>
          <w:color w:val="000000" w:themeColor="text1"/>
          <w:sz w:val="20"/>
          <w:szCs w:val="20"/>
        </w:rPr>
        <w:t>h</w:t>
      </w:r>
      <w:r w:rsidRPr="00BF14DA">
        <w:rPr>
          <w:rFonts w:ascii="Garamond" w:hAnsi="Garamond"/>
          <w:color w:val="000000" w:themeColor="text1"/>
          <w:sz w:val="20"/>
          <w:szCs w:val="20"/>
        </w:rPr>
        <w:t xml:space="preserve">istory of Chagos and the </w:t>
      </w:r>
      <w:proofErr w:type="spellStart"/>
      <w:r w:rsidRPr="00BF14DA">
        <w:rPr>
          <w:rFonts w:ascii="Garamond" w:hAnsi="Garamond"/>
          <w:color w:val="000000" w:themeColor="text1"/>
          <w:sz w:val="20"/>
          <w:szCs w:val="20"/>
        </w:rPr>
        <w:t>Chagossians</w:t>
      </w:r>
      <w:proofErr w:type="spellEnd"/>
      <w:r w:rsidRPr="00BF14DA">
        <w:rPr>
          <w:rFonts w:ascii="Garamond" w:hAnsi="Garamond"/>
          <w:color w:val="000000" w:themeColor="text1"/>
          <w:sz w:val="20"/>
          <w:szCs w:val="20"/>
        </w:rPr>
        <w:t>’ in Sandra J</w:t>
      </w:r>
      <w:r w:rsidR="007337D2">
        <w:rPr>
          <w:rFonts w:ascii="Garamond" w:hAnsi="Garamond"/>
          <w:color w:val="000000" w:themeColor="text1"/>
          <w:sz w:val="20"/>
          <w:szCs w:val="20"/>
        </w:rPr>
        <w:t xml:space="preserve"> </w:t>
      </w:r>
      <w:r w:rsidRPr="00BF14DA">
        <w:rPr>
          <w:rFonts w:ascii="Garamond" w:hAnsi="Garamond"/>
          <w:color w:val="000000" w:themeColor="text1"/>
          <w:sz w:val="20"/>
          <w:szCs w:val="20"/>
        </w:rPr>
        <w:t>T</w:t>
      </w:r>
      <w:r w:rsidR="007337D2">
        <w:rPr>
          <w:rFonts w:ascii="Garamond" w:hAnsi="Garamond"/>
          <w:color w:val="000000" w:themeColor="text1"/>
          <w:sz w:val="20"/>
          <w:szCs w:val="20"/>
        </w:rPr>
        <w:t xml:space="preserve"> </w:t>
      </w:r>
      <w:r w:rsidRPr="00BF14DA">
        <w:rPr>
          <w:rFonts w:ascii="Garamond" w:hAnsi="Garamond"/>
          <w:color w:val="000000" w:themeColor="text1"/>
          <w:sz w:val="20"/>
          <w:szCs w:val="20"/>
        </w:rPr>
        <w:t>M Evers and Marry Kooy</w:t>
      </w:r>
      <w:r w:rsidR="007337D2">
        <w:rPr>
          <w:rFonts w:ascii="Garamond" w:hAnsi="Garamond"/>
          <w:color w:val="000000" w:themeColor="text1"/>
          <w:sz w:val="20"/>
          <w:szCs w:val="20"/>
        </w:rPr>
        <w:t xml:space="preserve"> (n1)</w:t>
      </w:r>
      <w:r w:rsidR="00503B91">
        <w:rPr>
          <w:rFonts w:ascii="Garamond" w:hAnsi="Garamond"/>
          <w:color w:val="000000" w:themeColor="text1"/>
          <w:sz w:val="20"/>
          <w:szCs w:val="20"/>
        </w:rPr>
        <w:t xml:space="preserve"> </w:t>
      </w:r>
      <w:r w:rsidRPr="00BF14DA">
        <w:rPr>
          <w:rFonts w:ascii="Garamond" w:hAnsi="Garamond"/>
          <w:color w:val="000000" w:themeColor="text1"/>
          <w:sz w:val="20"/>
          <w:szCs w:val="20"/>
        </w:rPr>
        <w:t>1</w:t>
      </w:r>
      <w:r w:rsidR="007337D2">
        <w:rPr>
          <w:rFonts w:ascii="Garamond" w:hAnsi="Garamond"/>
          <w:color w:val="000000" w:themeColor="text1"/>
          <w:sz w:val="20"/>
          <w:szCs w:val="20"/>
        </w:rPr>
        <w:t>1-36,</w:t>
      </w:r>
      <w:r w:rsidRPr="00BF14DA">
        <w:rPr>
          <w:rFonts w:ascii="Garamond" w:hAnsi="Garamond"/>
          <w:color w:val="000000" w:themeColor="text1"/>
          <w:sz w:val="20"/>
          <w:szCs w:val="20"/>
        </w:rPr>
        <w:t xml:space="preserve"> 17.</w:t>
      </w:r>
    </w:p>
  </w:footnote>
  <w:footnote w:id="62">
    <w:p w14:paraId="321AF4EF" w14:textId="62F6057A"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Claudette Pauline Lafede, leader of Chagos Asylum People</w:t>
      </w:r>
      <w:r w:rsidR="00382EC1">
        <w:rPr>
          <w:rFonts w:ascii="Garamond" w:hAnsi="Garamond"/>
          <w:color w:val="000000" w:themeColor="text1"/>
        </w:rPr>
        <w:t>,</w:t>
      </w:r>
      <w:r w:rsidRPr="00BF14DA">
        <w:rPr>
          <w:rFonts w:ascii="Garamond" w:hAnsi="Garamond"/>
          <w:color w:val="000000" w:themeColor="text1"/>
        </w:rPr>
        <w:t xml:space="preserve"> cited in ‘Chagos Islanders confront their postcolonial future’</w:t>
      </w:r>
      <w:r w:rsidR="00382EC1">
        <w:rPr>
          <w:rFonts w:ascii="Garamond" w:hAnsi="Garamond"/>
          <w:color w:val="000000" w:themeColor="text1"/>
        </w:rPr>
        <w:t>,</w:t>
      </w:r>
      <w:r w:rsidRPr="00BF14DA">
        <w:rPr>
          <w:rFonts w:ascii="Garamond" w:hAnsi="Garamond"/>
          <w:color w:val="000000" w:themeColor="text1"/>
        </w:rPr>
        <w:t xml:space="preserve"> </w:t>
      </w:r>
      <w:r w:rsidRPr="00BF14DA">
        <w:rPr>
          <w:rFonts w:ascii="Garamond" w:hAnsi="Garamond"/>
          <w:i/>
          <w:iCs/>
          <w:color w:val="000000" w:themeColor="text1"/>
        </w:rPr>
        <w:t>The Continent</w:t>
      </w:r>
      <w:r w:rsidR="00B173C1">
        <w:rPr>
          <w:rFonts w:ascii="Garamond" w:hAnsi="Garamond"/>
          <w:i/>
          <w:iCs/>
          <w:color w:val="000000" w:themeColor="text1"/>
        </w:rPr>
        <w:t xml:space="preserve"> </w:t>
      </w:r>
      <w:r w:rsidR="00382EC1">
        <w:rPr>
          <w:rFonts w:ascii="Garamond" w:hAnsi="Garamond"/>
          <w:color w:val="000000" w:themeColor="text1"/>
        </w:rPr>
        <w:t>(</w:t>
      </w:r>
      <w:r w:rsidRPr="00BF14DA">
        <w:rPr>
          <w:rFonts w:ascii="Garamond" w:hAnsi="Garamond"/>
          <w:color w:val="000000" w:themeColor="text1"/>
        </w:rPr>
        <w:t xml:space="preserve">7 October 2023) </w:t>
      </w:r>
      <w:hyperlink r:id="rId17" w:history="1">
        <w:r w:rsidR="00A91240" w:rsidRPr="009E2B24">
          <w:rPr>
            <w:rStyle w:val="Hyperlink"/>
            <w:rFonts w:ascii="Garamond" w:hAnsi="Garamond"/>
          </w:rPr>
          <w:t>https://continent.substack.com/p/chagos-islanders-confront-their-postcolonial</w:t>
        </w:r>
      </w:hyperlink>
      <w:r w:rsidR="00A91240">
        <w:rPr>
          <w:rFonts w:ascii="Garamond" w:hAnsi="Garamond"/>
          <w:color w:val="000000" w:themeColor="text1"/>
        </w:rPr>
        <w:t xml:space="preserve"> </w:t>
      </w:r>
      <w:r w:rsidRPr="00BF14DA">
        <w:rPr>
          <w:rFonts w:ascii="Garamond" w:hAnsi="Garamond"/>
          <w:color w:val="000000" w:themeColor="text1"/>
        </w:rPr>
        <w:t xml:space="preserve">accessed 13 October 2025. </w:t>
      </w:r>
    </w:p>
  </w:footnote>
  <w:footnote w:id="63">
    <w:p w14:paraId="4F33558E" w14:textId="5899119F"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Nan Seuffert, ‘The </w:t>
      </w:r>
      <w:r w:rsidR="00A91240">
        <w:rPr>
          <w:rFonts w:ascii="Garamond" w:hAnsi="Garamond"/>
          <w:color w:val="000000" w:themeColor="text1"/>
        </w:rPr>
        <w:t>l</w:t>
      </w:r>
      <w:r w:rsidRPr="00BF14DA">
        <w:rPr>
          <w:rFonts w:ascii="Garamond" w:hAnsi="Garamond"/>
          <w:color w:val="000000" w:themeColor="text1"/>
        </w:rPr>
        <w:t xml:space="preserve">aw and </w:t>
      </w:r>
      <w:r w:rsidR="00A91240">
        <w:rPr>
          <w:rFonts w:ascii="Garamond" w:hAnsi="Garamond"/>
          <w:color w:val="000000" w:themeColor="text1"/>
        </w:rPr>
        <w:t>p</w:t>
      </w:r>
      <w:r w:rsidRPr="00BF14DA">
        <w:rPr>
          <w:rFonts w:ascii="Garamond" w:hAnsi="Garamond"/>
          <w:color w:val="000000" w:themeColor="text1"/>
        </w:rPr>
        <w:t xml:space="preserve">olitics of </w:t>
      </w:r>
      <w:r w:rsidR="00A91240">
        <w:rPr>
          <w:rFonts w:ascii="Garamond" w:hAnsi="Garamond"/>
          <w:color w:val="000000" w:themeColor="text1"/>
        </w:rPr>
        <w:t>c</w:t>
      </w:r>
      <w:r w:rsidRPr="00BF14DA">
        <w:rPr>
          <w:rFonts w:ascii="Garamond" w:hAnsi="Garamond"/>
          <w:color w:val="000000" w:themeColor="text1"/>
        </w:rPr>
        <w:t xml:space="preserve">onsent: </w:t>
      </w:r>
      <w:r w:rsidR="00FD7D15">
        <w:rPr>
          <w:rFonts w:ascii="Garamond" w:hAnsi="Garamond"/>
          <w:color w:val="000000" w:themeColor="text1"/>
        </w:rPr>
        <w:t>L</w:t>
      </w:r>
      <w:r w:rsidRPr="00BF14DA">
        <w:rPr>
          <w:rFonts w:ascii="Garamond" w:hAnsi="Garamond"/>
          <w:color w:val="000000" w:themeColor="text1"/>
        </w:rPr>
        <w:t xml:space="preserve">egal and </w:t>
      </w:r>
      <w:r w:rsidR="00A91240">
        <w:rPr>
          <w:rFonts w:ascii="Garamond" w:hAnsi="Garamond"/>
          <w:color w:val="000000" w:themeColor="text1"/>
        </w:rPr>
        <w:t>p</w:t>
      </w:r>
      <w:r w:rsidRPr="00BF14DA">
        <w:rPr>
          <w:rFonts w:ascii="Garamond" w:hAnsi="Garamond"/>
          <w:color w:val="000000" w:themeColor="text1"/>
        </w:rPr>
        <w:t xml:space="preserve">olitical </w:t>
      </w:r>
      <w:r w:rsidR="00FD7D15">
        <w:rPr>
          <w:rFonts w:ascii="Garamond" w:hAnsi="Garamond"/>
          <w:color w:val="000000" w:themeColor="text1"/>
        </w:rPr>
        <w:t>S</w:t>
      </w:r>
      <w:r w:rsidRPr="00BF14DA">
        <w:rPr>
          <w:rFonts w:ascii="Garamond" w:hAnsi="Garamond"/>
          <w:color w:val="000000" w:themeColor="text1"/>
        </w:rPr>
        <w:t xml:space="preserve">ubjectivity’ (2020) 46(2) </w:t>
      </w:r>
      <w:r w:rsidRPr="006D5FEB">
        <w:rPr>
          <w:rFonts w:ascii="Garamond" w:hAnsi="Garamond"/>
          <w:i/>
          <w:iCs/>
          <w:color w:val="000000" w:themeColor="text1"/>
        </w:rPr>
        <w:t>Australian Feminist Law Journal</w:t>
      </w:r>
      <w:r w:rsidRPr="00BF14DA">
        <w:rPr>
          <w:rFonts w:ascii="Garamond" w:hAnsi="Garamond"/>
          <w:color w:val="000000" w:themeColor="text1"/>
        </w:rPr>
        <w:t xml:space="preserve"> 153, 154; Manon Garcia, </w:t>
      </w:r>
      <w:r w:rsidRPr="00BF14DA">
        <w:rPr>
          <w:rFonts w:ascii="Garamond" w:hAnsi="Garamond"/>
          <w:i/>
          <w:iCs/>
          <w:color w:val="000000" w:themeColor="text1"/>
        </w:rPr>
        <w:t xml:space="preserve">The Joy of Consent: </w:t>
      </w:r>
      <w:r w:rsidR="00A91240">
        <w:rPr>
          <w:rFonts w:ascii="Garamond" w:hAnsi="Garamond"/>
          <w:i/>
          <w:iCs/>
          <w:color w:val="000000" w:themeColor="text1"/>
        </w:rPr>
        <w:t>A</w:t>
      </w:r>
      <w:r w:rsidRPr="00BF14DA">
        <w:rPr>
          <w:rFonts w:ascii="Garamond" w:hAnsi="Garamond"/>
          <w:i/>
          <w:iCs/>
          <w:color w:val="000000" w:themeColor="text1"/>
        </w:rPr>
        <w:t xml:space="preserve"> </w:t>
      </w:r>
      <w:r w:rsidR="00700BE5">
        <w:rPr>
          <w:rFonts w:ascii="Garamond" w:hAnsi="Garamond"/>
          <w:i/>
          <w:iCs/>
          <w:color w:val="000000" w:themeColor="text1"/>
        </w:rPr>
        <w:t>P</w:t>
      </w:r>
      <w:r w:rsidRPr="00BF14DA">
        <w:rPr>
          <w:rFonts w:ascii="Garamond" w:hAnsi="Garamond"/>
          <w:i/>
          <w:iCs/>
          <w:color w:val="000000" w:themeColor="text1"/>
        </w:rPr>
        <w:t xml:space="preserve">hilosophy of </w:t>
      </w:r>
      <w:r w:rsidR="00700BE5">
        <w:rPr>
          <w:rFonts w:ascii="Garamond" w:hAnsi="Garamond"/>
          <w:i/>
          <w:iCs/>
          <w:color w:val="000000" w:themeColor="text1"/>
        </w:rPr>
        <w:t>G</w:t>
      </w:r>
      <w:r w:rsidRPr="00BF14DA">
        <w:rPr>
          <w:rFonts w:ascii="Garamond" w:hAnsi="Garamond"/>
          <w:i/>
          <w:iCs/>
          <w:color w:val="000000" w:themeColor="text1"/>
        </w:rPr>
        <w:t xml:space="preserve">ood </w:t>
      </w:r>
      <w:r w:rsidR="00700BE5">
        <w:rPr>
          <w:rFonts w:ascii="Garamond" w:hAnsi="Garamond"/>
          <w:i/>
          <w:iCs/>
          <w:color w:val="000000" w:themeColor="text1"/>
        </w:rPr>
        <w:t>S</w:t>
      </w:r>
      <w:r w:rsidRPr="00BF14DA">
        <w:rPr>
          <w:rFonts w:ascii="Garamond" w:hAnsi="Garamond"/>
          <w:i/>
          <w:iCs/>
          <w:color w:val="000000" w:themeColor="text1"/>
        </w:rPr>
        <w:t xml:space="preserve">ex </w:t>
      </w:r>
      <w:r w:rsidRPr="00BF14DA">
        <w:rPr>
          <w:rFonts w:ascii="Garamond" w:hAnsi="Garamond"/>
          <w:color w:val="000000" w:themeColor="text1"/>
        </w:rPr>
        <w:t>(Belknap Press 2023) 24.</w:t>
      </w:r>
    </w:p>
  </w:footnote>
  <w:footnote w:id="64">
    <w:p w14:paraId="7F661587" w14:textId="5FC39585"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Antony Anghie, ‘Rethinking </w:t>
      </w:r>
      <w:r w:rsidR="002A29EE">
        <w:rPr>
          <w:rFonts w:ascii="Garamond" w:hAnsi="Garamond"/>
          <w:color w:val="000000" w:themeColor="text1"/>
        </w:rPr>
        <w:t>i</w:t>
      </w:r>
      <w:r w:rsidRPr="00BF14DA">
        <w:rPr>
          <w:rFonts w:ascii="Garamond" w:hAnsi="Garamond"/>
          <w:color w:val="000000" w:themeColor="text1"/>
        </w:rPr>
        <w:t xml:space="preserve">nternational </w:t>
      </w:r>
      <w:r w:rsidR="002A29EE">
        <w:rPr>
          <w:rFonts w:ascii="Garamond" w:hAnsi="Garamond"/>
          <w:color w:val="000000" w:themeColor="text1"/>
        </w:rPr>
        <w:t>l</w:t>
      </w:r>
      <w:r w:rsidRPr="00BF14DA">
        <w:rPr>
          <w:rFonts w:ascii="Garamond" w:hAnsi="Garamond"/>
          <w:color w:val="000000" w:themeColor="text1"/>
        </w:rPr>
        <w:t xml:space="preserve">aw: a TWAIL </w:t>
      </w:r>
      <w:r w:rsidR="002A29EE">
        <w:rPr>
          <w:rFonts w:ascii="Garamond" w:hAnsi="Garamond"/>
          <w:color w:val="000000" w:themeColor="text1"/>
        </w:rPr>
        <w:t>r</w:t>
      </w:r>
      <w:r w:rsidRPr="00BF14DA">
        <w:rPr>
          <w:rFonts w:ascii="Garamond" w:hAnsi="Garamond"/>
          <w:color w:val="000000" w:themeColor="text1"/>
        </w:rPr>
        <w:t>etrospective’ (2023) 34(1</w:t>
      </w:r>
      <w:r w:rsidRPr="00744B89">
        <w:rPr>
          <w:rFonts w:ascii="Garamond" w:hAnsi="Garamond"/>
          <w:i/>
          <w:iCs/>
          <w:color w:val="000000" w:themeColor="text1"/>
        </w:rPr>
        <w:t>) The European Journal of International Law</w:t>
      </w:r>
      <w:r w:rsidRPr="00BF14DA">
        <w:rPr>
          <w:rFonts w:ascii="Garamond" w:hAnsi="Garamond"/>
          <w:color w:val="000000" w:themeColor="text1"/>
        </w:rPr>
        <w:t xml:space="preserve"> 7, 29.</w:t>
      </w:r>
    </w:p>
  </w:footnote>
  <w:footnote w:id="65">
    <w:p w14:paraId="0A54E04C" w14:textId="3726C855"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Glen Sean Coulthard uses Fanon’s critique of Hegel’s Master/Slave dialectic, reconfiguring it for the development of a politics of recognition in the context of indigenous peoples. This is in criticism of the centrality of the politics of recognition in discussions and legal efforts to remedy and prevent ongoing injustices carried out against indigenous populations, particularly in what is now known as Canada</w:t>
      </w:r>
      <w:r w:rsidR="007674C8">
        <w:rPr>
          <w:rFonts w:ascii="Garamond" w:hAnsi="Garamond"/>
          <w:color w:val="000000" w:themeColor="text1"/>
        </w:rPr>
        <w:t>:</w:t>
      </w:r>
      <w:r w:rsidRPr="00BF14DA">
        <w:rPr>
          <w:rFonts w:ascii="Garamond" w:hAnsi="Garamond"/>
          <w:color w:val="000000" w:themeColor="text1"/>
        </w:rPr>
        <w:t xml:space="preserve"> Glen Sean Coulthard, </w:t>
      </w:r>
      <w:r w:rsidRPr="00BF14DA">
        <w:rPr>
          <w:rFonts w:ascii="Garamond" w:hAnsi="Garamond"/>
          <w:i/>
          <w:iCs/>
          <w:color w:val="000000" w:themeColor="text1"/>
        </w:rPr>
        <w:t xml:space="preserve">Red </w:t>
      </w:r>
      <w:r w:rsidR="00CD0C2C">
        <w:rPr>
          <w:rFonts w:ascii="Garamond" w:hAnsi="Garamond"/>
          <w:i/>
          <w:iCs/>
          <w:color w:val="000000" w:themeColor="text1"/>
        </w:rPr>
        <w:t>S</w:t>
      </w:r>
      <w:r w:rsidRPr="00BF14DA">
        <w:rPr>
          <w:rFonts w:ascii="Garamond" w:hAnsi="Garamond"/>
          <w:i/>
          <w:iCs/>
          <w:color w:val="000000" w:themeColor="text1"/>
        </w:rPr>
        <w:t xml:space="preserve">kin, </w:t>
      </w:r>
      <w:r w:rsidR="00CD0C2C">
        <w:rPr>
          <w:rFonts w:ascii="Garamond" w:hAnsi="Garamond"/>
          <w:i/>
          <w:iCs/>
          <w:color w:val="000000" w:themeColor="text1"/>
        </w:rPr>
        <w:t>W</w:t>
      </w:r>
      <w:r w:rsidRPr="00BF14DA">
        <w:rPr>
          <w:rFonts w:ascii="Garamond" w:hAnsi="Garamond"/>
          <w:i/>
          <w:iCs/>
          <w:color w:val="000000" w:themeColor="text1"/>
        </w:rPr>
        <w:t xml:space="preserve">hite </w:t>
      </w:r>
      <w:r w:rsidR="00CD0C2C">
        <w:rPr>
          <w:rFonts w:ascii="Garamond" w:hAnsi="Garamond"/>
          <w:i/>
          <w:iCs/>
          <w:color w:val="000000" w:themeColor="text1"/>
        </w:rPr>
        <w:t>M</w:t>
      </w:r>
      <w:r w:rsidRPr="00BF14DA">
        <w:rPr>
          <w:rFonts w:ascii="Garamond" w:hAnsi="Garamond"/>
          <w:i/>
          <w:iCs/>
          <w:color w:val="000000" w:themeColor="text1"/>
        </w:rPr>
        <w:t xml:space="preserve">asks: </w:t>
      </w:r>
      <w:r w:rsidR="00CD0C2C">
        <w:rPr>
          <w:rFonts w:ascii="Garamond" w:hAnsi="Garamond"/>
          <w:i/>
          <w:iCs/>
          <w:color w:val="000000" w:themeColor="text1"/>
        </w:rPr>
        <w:t>R</w:t>
      </w:r>
      <w:r w:rsidRPr="00BF14DA">
        <w:rPr>
          <w:rFonts w:ascii="Garamond" w:hAnsi="Garamond"/>
          <w:i/>
          <w:iCs/>
          <w:color w:val="000000" w:themeColor="text1"/>
        </w:rPr>
        <w:t xml:space="preserve">ejecting the </w:t>
      </w:r>
      <w:r w:rsidR="00CD0C2C">
        <w:rPr>
          <w:rFonts w:ascii="Garamond" w:hAnsi="Garamond"/>
          <w:i/>
          <w:iCs/>
          <w:color w:val="000000" w:themeColor="text1"/>
        </w:rPr>
        <w:t>C</w:t>
      </w:r>
      <w:r w:rsidRPr="00BF14DA">
        <w:rPr>
          <w:rFonts w:ascii="Garamond" w:hAnsi="Garamond"/>
          <w:i/>
          <w:iCs/>
          <w:color w:val="000000" w:themeColor="text1"/>
        </w:rPr>
        <w:t>olonial</w:t>
      </w:r>
      <w:r w:rsidR="00CD0C2C">
        <w:rPr>
          <w:rFonts w:ascii="Garamond" w:hAnsi="Garamond"/>
          <w:i/>
          <w:iCs/>
          <w:color w:val="000000" w:themeColor="text1"/>
        </w:rPr>
        <w:t xml:space="preserve"> P</w:t>
      </w:r>
      <w:r w:rsidRPr="00BF14DA">
        <w:rPr>
          <w:rFonts w:ascii="Garamond" w:hAnsi="Garamond"/>
          <w:i/>
          <w:iCs/>
          <w:color w:val="000000" w:themeColor="text1"/>
        </w:rPr>
        <w:t xml:space="preserve">olitics of </w:t>
      </w:r>
      <w:r w:rsidR="00CD0C2C">
        <w:rPr>
          <w:rFonts w:ascii="Garamond" w:hAnsi="Garamond"/>
          <w:i/>
          <w:iCs/>
          <w:color w:val="000000" w:themeColor="text1"/>
        </w:rPr>
        <w:t>R</w:t>
      </w:r>
      <w:r w:rsidRPr="00BF14DA">
        <w:rPr>
          <w:rFonts w:ascii="Garamond" w:hAnsi="Garamond"/>
          <w:i/>
          <w:iCs/>
          <w:color w:val="000000" w:themeColor="text1"/>
        </w:rPr>
        <w:t xml:space="preserve">ecognition </w:t>
      </w:r>
      <w:r w:rsidRPr="00BF14DA">
        <w:rPr>
          <w:rFonts w:ascii="Garamond" w:hAnsi="Garamond"/>
          <w:color w:val="000000" w:themeColor="text1"/>
        </w:rPr>
        <w:t>(University of Minnesota Press 2014) 40.</w:t>
      </w:r>
    </w:p>
  </w:footnote>
  <w:footnote w:id="66">
    <w:p w14:paraId="752D67A6" w14:textId="7C0A8B51"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See</w:t>
      </w:r>
      <w:r w:rsidR="007674C8">
        <w:rPr>
          <w:rFonts w:ascii="Garamond" w:hAnsi="Garamond"/>
          <w:color w:val="000000" w:themeColor="text1"/>
        </w:rPr>
        <w:t>,</w:t>
      </w:r>
      <w:r w:rsidRPr="00BF14DA">
        <w:rPr>
          <w:rFonts w:ascii="Garamond" w:hAnsi="Garamond"/>
          <w:color w:val="000000" w:themeColor="text1"/>
        </w:rPr>
        <w:t xml:space="preserve"> for example, Onora O’Neill, ‘Between </w:t>
      </w:r>
      <w:r w:rsidR="007674C8">
        <w:rPr>
          <w:rFonts w:ascii="Garamond" w:hAnsi="Garamond"/>
          <w:color w:val="000000" w:themeColor="text1"/>
        </w:rPr>
        <w:t>c</w:t>
      </w:r>
      <w:r w:rsidRPr="00BF14DA">
        <w:rPr>
          <w:rFonts w:ascii="Garamond" w:hAnsi="Garamond"/>
          <w:color w:val="000000" w:themeColor="text1"/>
        </w:rPr>
        <w:t xml:space="preserve">onsenting </w:t>
      </w:r>
      <w:r w:rsidR="007674C8">
        <w:rPr>
          <w:rFonts w:ascii="Garamond" w:hAnsi="Garamond"/>
          <w:color w:val="000000" w:themeColor="text1"/>
        </w:rPr>
        <w:t>a</w:t>
      </w:r>
      <w:r w:rsidRPr="00BF14DA">
        <w:rPr>
          <w:rFonts w:ascii="Garamond" w:hAnsi="Garamond"/>
          <w:color w:val="000000" w:themeColor="text1"/>
        </w:rPr>
        <w:t xml:space="preserve">dults’ (1985) </w:t>
      </w:r>
      <w:r w:rsidR="008269F6">
        <w:rPr>
          <w:rFonts w:ascii="Garamond" w:hAnsi="Garamond"/>
          <w:color w:val="000000" w:themeColor="text1"/>
        </w:rPr>
        <w:t>14</w:t>
      </w:r>
      <w:r w:rsidRPr="00BF14DA">
        <w:rPr>
          <w:rFonts w:ascii="Garamond" w:hAnsi="Garamond"/>
          <w:color w:val="000000" w:themeColor="text1"/>
        </w:rPr>
        <w:t xml:space="preserve">(3) </w:t>
      </w:r>
      <w:r w:rsidRPr="00BD4FA7">
        <w:rPr>
          <w:rFonts w:ascii="Garamond" w:hAnsi="Garamond"/>
          <w:i/>
          <w:iCs/>
          <w:color w:val="000000" w:themeColor="text1"/>
        </w:rPr>
        <w:t>Philosophy and Public Affairs</w:t>
      </w:r>
      <w:r w:rsidRPr="00BF14DA">
        <w:rPr>
          <w:rFonts w:ascii="Garamond" w:hAnsi="Garamond"/>
          <w:color w:val="000000" w:themeColor="text1"/>
        </w:rPr>
        <w:t xml:space="preserve"> 252; Garcia (n </w:t>
      </w:r>
      <w:r w:rsidR="00EC57A9" w:rsidRPr="00BF14DA">
        <w:rPr>
          <w:rFonts w:ascii="Garamond" w:hAnsi="Garamond"/>
          <w:color w:val="000000" w:themeColor="text1"/>
        </w:rPr>
        <w:t>62</w:t>
      </w:r>
      <w:r w:rsidRPr="00BF14DA">
        <w:rPr>
          <w:rFonts w:ascii="Garamond" w:hAnsi="Garamond"/>
          <w:color w:val="000000" w:themeColor="text1"/>
        </w:rPr>
        <w:t xml:space="preserve">) 47; Drakopoulou (n </w:t>
      </w:r>
      <w:r w:rsidR="00174D5D" w:rsidRPr="00BF14DA">
        <w:rPr>
          <w:rFonts w:ascii="Garamond" w:hAnsi="Garamond"/>
          <w:color w:val="000000" w:themeColor="text1"/>
        </w:rPr>
        <w:t>1</w:t>
      </w:r>
      <w:r w:rsidR="00EC57A9" w:rsidRPr="00BF14DA">
        <w:rPr>
          <w:rFonts w:ascii="Garamond" w:hAnsi="Garamond"/>
          <w:color w:val="000000" w:themeColor="text1"/>
        </w:rPr>
        <w:t>5</w:t>
      </w:r>
      <w:r w:rsidRPr="00BF14DA">
        <w:rPr>
          <w:rFonts w:ascii="Garamond" w:hAnsi="Garamond"/>
          <w:color w:val="000000" w:themeColor="text1"/>
        </w:rPr>
        <w:t>) 29.</w:t>
      </w:r>
    </w:p>
  </w:footnote>
  <w:footnote w:id="67">
    <w:p w14:paraId="69EE334E" w14:textId="2397B850"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Carol Pateman, </w:t>
      </w:r>
      <w:r w:rsidRPr="00BF14DA">
        <w:rPr>
          <w:rFonts w:ascii="Garamond" w:hAnsi="Garamond"/>
          <w:i/>
          <w:iCs/>
          <w:color w:val="000000" w:themeColor="text1"/>
        </w:rPr>
        <w:t xml:space="preserve">The Disorder of Women </w:t>
      </w:r>
      <w:r w:rsidR="007674C8">
        <w:rPr>
          <w:rFonts w:ascii="Garamond" w:hAnsi="Garamond"/>
          <w:color w:val="000000" w:themeColor="text1"/>
        </w:rPr>
        <w:t>[</w:t>
      </w:r>
      <w:r w:rsidRPr="00BF14DA">
        <w:rPr>
          <w:rFonts w:ascii="Garamond" w:hAnsi="Garamond"/>
          <w:color w:val="000000" w:themeColor="text1"/>
        </w:rPr>
        <w:t>1989</w:t>
      </w:r>
      <w:r w:rsidR="007674C8">
        <w:rPr>
          <w:rFonts w:ascii="Garamond" w:hAnsi="Garamond"/>
          <w:color w:val="000000" w:themeColor="text1"/>
        </w:rPr>
        <w:t>]</w:t>
      </w:r>
      <w:r w:rsidRPr="00BF14DA">
        <w:rPr>
          <w:rFonts w:ascii="Garamond" w:hAnsi="Garamond"/>
          <w:color w:val="000000" w:themeColor="text1"/>
        </w:rPr>
        <w:t xml:space="preserve"> </w:t>
      </w:r>
      <w:r w:rsidR="007674C8">
        <w:rPr>
          <w:rFonts w:ascii="Garamond" w:hAnsi="Garamond"/>
          <w:color w:val="000000" w:themeColor="text1"/>
        </w:rPr>
        <w:t>(</w:t>
      </w:r>
      <w:r w:rsidRPr="00BF14DA">
        <w:rPr>
          <w:rFonts w:ascii="Garamond" w:hAnsi="Garamond"/>
          <w:color w:val="000000" w:themeColor="text1"/>
        </w:rPr>
        <w:t>Polity Press 2003) 84.</w:t>
      </w:r>
    </w:p>
  </w:footnote>
  <w:footnote w:id="68">
    <w:p w14:paraId="723315AB" w14:textId="3D64ADEF"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A2166B" w:rsidRPr="00BF14DA">
        <w:rPr>
          <w:rFonts w:ascii="Garamond" w:hAnsi="Garamond"/>
          <w:color w:val="000000" w:themeColor="text1"/>
        </w:rPr>
        <w:t>Chagos Marine Protected Area Arbitration (Mauritius v United Kingdom) (Award) (‘Chagos Arbitration’) (18 March 2015) UN Dossier No 409</w:t>
      </w:r>
      <w:r w:rsidR="007674C8">
        <w:rPr>
          <w:rFonts w:ascii="Garamond" w:hAnsi="Garamond"/>
          <w:color w:val="000000" w:themeColor="text1"/>
        </w:rPr>
        <w:t xml:space="preserve"> [</w:t>
      </w:r>
      <w:r w:rsidR="0044050F" w:rsidRPr="00BF14DA">
        <w:rPr>
          <w:rFonts w:ascii="Garamond" w:hAnsi="Garamond"/>
          <w:color w:val="000000" w:themeColor="text1"/>
        </w:rPr>
        <w:t>396</w:t>
      </w:r>
      <w:r w:rsidR="007674C8">
        <w:rPr>
          <w:rFonts w:ascii="Garamond" w:hAnsi="Garamond"/>
          <w:color w:val="000000" w:themeColor="text1"/>
        </w:rPr>
        <w:t>],</w:t>
      </w:r>
      <w:r w:rsidR="0044050F" w:rsidRPr="00BF14DA">
        <w:rPr>
          <w:rFonts w:ascii="Garamond" w:hAnsi="Garamond"/>
          <w:color w:val="000000" w:themeColor="text1"/>
        </w:rPr>
        <w:t xml:space="preserve"> </w:t>
      </w:r>
      <w:r w:rsidR="007674C8">
        <w:rPr>
          <w:rFonts w:ascii="Garamond" w:hAnsi="Garamond"/>
          <w:color w:val="000000" w:themeColor="text1"/>
        </w:rPr>
        <w:t>[</w:t>
      </w:r>
      <w:r w:rsidR="0044050F" w:rsidRPr="00BF14DA">
        <w:rPr>
          <w:rFonts w:ascii="Garamond" w:hAnsi="Garamond"/>
          <w:color w:val="000000" w:themeColor="text1"/>
        </w:rPr>
        <w:t>421</w:t>
      </w:r>
      <w:r w:rsidR="007674C8">
        <w:rPr>
          <w:rFonts w:ascii="Garamond" w:hAnsi="Garamond"/>
          <w:color w:val="000000" w:themeColor="text1"/>
        </w:rPr>
        <w:t>]</w:t>
      </w:r>
      <w:r w:rsidR="00AD6A19" w:rsidRPr="00BF14DA">
        <w:rPr>
          <w:rFonts w:ascii="Garamond" w:hAnsi="Garamond"/>
          <w:color w:val="000000" w:themeColor="text1"/>
        </w:rPr>
        <w:t>.</w:t>
      </w:r>
    </w:p>
  </w:footnote>
  <w:footnote w:id="69">
    <w:p w14:paraId="2CD33543" w14:textId="508FBA06"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CB567C" w:rsidRPr="00BF14DA">
        <w:rPr>
          <w:rFonts w:ascii="Garamond" w:hAnsi="Garamond"/>
          <w:color w:val="000000" w:themeColor="text1"/>
        </w:rPr>
        <w:t>i</w:t>
      </w:r>
      <w:r w:rsidRPr="00BF14DA">
        <w:rPr>
          <w:rFonts w:ascii="Garamond" w:hAnsi="Garamond"/>
          <w:color w:val="000000" w:themeColor="text1"/>
        </w:rPr>
        <w:t>bid</w:t>
      </w:r>
      <w:r w:rsidR="00CB567C" w:rsidRPr="00BF14DA">
        <w:rPr>
          <w:rFonts w:ascii="Garamond" w:hAnsi="Garamond"/>
          <w:color w:val="000000" w:themeColor="text1"/>
        </w:rPr>
        <w:t xml:space="preserve"> </w:t>
      </w:r>
      <w:r w:rsidR="007674C8">
        <w:rPr>
          <w:rFonts w:ascii="Garamond" w:hAnsi="Garamond"/>
          <w:color w:val="000000" w:themeColor="text1"/>
        </w:rPr>
        <w:t>[</w:t>
      </w:r>
      <w:r w:rsidRPr="00BF14DA">
        <w:rPr>
          <w:rFonts w:ascii="Garamond" w:hAnsi="Garamond"/>
          <w:color w:val="000000" w:themeColor="text1"/>
        </w:rPr>
        <w:t>396</w:t>
      </w:r>
      <w:r w:rsidR="007674C8">
        <w:rPr>
          <w:rFonts w:ascii="Garamond" w:hAnsi="Garamond"/>
          <w:color w:val="000000" w:themeColor="text1"/>
        </w:rPr>
        <w:t>]</w:t>
      </w:r>
      <w:r w:rsidRPr="00BF14DA">
        <w:rPr>
          <w:rFonts w:ascii="Garamond" w:hAnsi="Garamond"/>
          <w:color w:val="000000" w:themeColor="text1"/>
        </w:rPr>
        <w:t xml:space="preserve">. </w:t>
      </w:r>
    </w:p>
  </w:footnote>
  <w:footnote w:id="70">
    <w:p w14:paraId="3DAF13A5" w14:textId="53030994"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ICJ AO (n 2)</w:t>
      </w:r>
      <w:r w:rsidR="00A306CF">
        <w:rPr>
          <w:rFonts w:ascii="Garamond" w:hAnsi="Garamond"/>
          <w:color w:val="000000" w:themeColor="text1"/>
        </w:rPr>
        <w:t xml:space="preserve"> </w:t>
      </w:r>
      <w:r w:rsidRPr="00BF14DA">
        <w:rPr>
          <w:rFonts w:ascii="Garamond" w:hAnsi="Garamond"/>
          <w:color w:val="000000" w:themeColor="text1"/>
        </w:rPr>
        <w:t>108-110.</w:t>
      </w:r>
    </w:p>
  </w:footnote>
  <w:footnote w:id="71">
    <w:p w14:paraId="009185A6" w14:textId="369350A7"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Written statement of the UK to the ICJ (n </w:t>
      </w:r>
      <w:r w:rsidR="000437E0" w:rsidRPr="00BF14DA">
        <w:rPr>
          <w:rFonts w:ascii="Garamond" w:hAnsi="Garamond"/>
          <w:color w:val="000000" w:themeColor="text1"/>
        </w:rPr>
        <w:t>12</w:t>
      </w:r>
      <w:r w:rsidRPr="00BF14DA">
        <w:rPr>
          <w:rFonts w:ascii="Garamond" w:hAnsi="Garamond"/>
          <w:color w:val="000000" w:themeColor="text1"/>
        </w:rPr>
        <w:t xml:space="preserve">) </w:t>
      </w:r>
      <w:r w:rsidR="00F602B0">
        <w:rPr>
          <w:rFonts w:ascii="Garamond" w:hAnsi="Garamond"/>
          <w:color w:val="000000" w:themeColor="text1"/>
        </w:rPr>
        <w:t>[</w:t>
      </w:r>
      <w:r w:rsidRPr="00BF14DA">
        <w:rPr>
          <w:rFonts w:ascii="Garamond" w:hAnsi="Garamond"/>
          <w:color w:val="000000" w:themeColor="text1"/>
        </w:rPr>
        <w:t>3.51</w:t>
      </w:r>
      <w:r w:rsidR="00F602B0">
        <w:rPr>
          <w:rFonts w:ascii="Garamond" w:hAnsi="Garamond"/>
          <w:color w:val="000000" w:themeColor="text1"/>
        </w:rPr>
        <w:t>]</w:t>
      </w:r>
      <w:r w:rsidRPr="00BF14DA">
        <w:rPr>
          <w:rFonts w:ascii="Garamond" w:hAnsi="Garamond"/>
          <w:color w:val="000000" w:themeColor="text1"/>
        </w:rPr>
        <w:t>.</w:t>
      </w:r>
    </w:p>
  </w:footnote>
  <w:footnote w:id="72">
    <w:p w14:paraId="69C0E993" w14:textId="77777777"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w:t>
      </w:r>
    </w:p>
  </w:footnote>
  <w:footnote w:id="73">
    <w:p w14:paraId="28CD960E" w14:textId="4BF5C68C"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CB567C" w:rsidRPr="00BF14DA">
        <w:rPr>
          <w:rFonts w:ascii="Garamond" w:hAnsi="Garamond"/>
          <w:color w:val="000000" w:themeColor="text1"/>
        </w:rPr>
        <w:t>i</w:t>
      </w:r>
      <w:r w:rsidRPr="00BF14DA">
        <w:rPr>
          <w:rFonts w:ascii="Garamond" w:hAnsi="Garamond"/>
          <w:color w:val="000000" w:themeColor="text1"/>
        </w:rPr>
        <w:t>bid</w:t>
      </w:r>
      <w:r w:rsidR="00CB567C" w:rsidRPr="00BF14DA">
        <w:rPr>
          <w:rFonts w:ascii="Garamond" w:hAnsi="Garamond"/>
          <w:color w:val="000000" w:themeColor="text1"/>
        </w:rPr>
        <w:t xml:space="preserve"> </w:t>
      </w:r>
      <w:r w:rsidR="00F602B0">
        <w:rPr>
          <w:rFonts w:ascii="Garamond" w:hAnsi="Garamond"/>
          <w:color w:val="000000" w:themeColor="text1"/>
        </w:rPr>
        <w:t>[</w:t>
      </w:r>
      <w:r w:rsidRPr="00BF14DA">
        <w:rPr>
          <w:rFonts w:ascii="Garamond" w:hAnsi="Garamond"/>
          <w:color w:val="000000" w:themeColor="text1"/>
        </w:rPr>
        <w:t>3.29</w:t>
      </w:r>
      <w:r w:rsidR="00F602B0">
        <w:rPr>
          <w:rFonts w:ascii="Garamond" w:hAnsi="Garamond"/>
          <w:color w:val="000000" w:themeColor="text1"/>
        </w:rPr>
        <w:t>]</w:t>
      </w:r>
      <w:r w:rsidRPr="00BF14DA">
        <w:rPr>
          <w:rFonts w:ascii="Garamond" w:hAnsi="Garamond"/>
          <w:color w:val="000000" w:themeColor="text1"/>
        </w:rPr>
        <w:t>.</w:t>
      </w:r>
    </w:p>
  </w:footnote>
  <w:footnote w:id="74">
    <w:p w14:paraId="72025A5E" w14:textId="4EFBA895"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w:t>
      </w:r>
      <w:r w:rsidR="00F602B0">
        <w:rPr>
          <w:rFonts w:ascii="Garamond" w:hAnsi="Garamond"/>
          <w:color w:val="000000" w:themeColor="text1"/>
        </w:rPr>
        <w:t>[</w:t>
      </w:r>
      <w:r w:rsidRPr="00BF14DA">
        <w:rPr>
          <w:rFonts w:ascii="Garamond" w:hAnsi="Garamond"/>
          <w:color w:val="000000" w:themeColor="text1"/>
        </w:rPr>
        <w:t>3.27</w:t>
      </w:r>
      <w:r w:rsidR="00F602B0">
        <w:rPr>
          <w:rFonts w:ascii="Garamond" w:hAnsi="Garamond"/>
          <w:color w:val="000000" w:themeColor="text1"/>
        </w:rPr>
        <w:t>]</w:t>
      </w:r>
      <w:r w:rsidRPr="00BF14DA">
        <w:rPr>
          <w:rFonts w:ascii="Garamond" w:hAnsi="Garamond"/>
          <w:color w:val="000000" w:themeColor="text1"/>
        </w:rPr>
        <w:t>.</w:t>
      </w:r>
    </w:p>
  </w:footnote>
  <w:footnote w:id="75">
    <w:p w14:paraId="5F51CCB2" w14:textId="608977AB"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w:t>
      </w:r>
      <w:r w:rsidR="00F602B0">
        <w:rPr>
          <w:rFonts w:ascii="Garamond" w:hAnsi="Garamond"/>
          <w:color w:val="000000" w:themeColor="text1"/>
        </w:rPr>
        <w:t>[</w:t>
      </w:r>
      <w:r w:rsidRPr="00BF14DA">
        <w:rPr>
          <w:rFonts w:ascii="Garamond" w:hAnsi="Garamond"/>
          <w:color w:val="000000" w:themeColor="text1"/>
        </w:rPr>
        <w:t>3.21</w:t>
      </w:r>
      <w:r w:rsidR="007D35A2">
        <w:rPr>
          <w:rFonts w:ascii="Garamond" w:hAnsi="Garamond"/>
          <w:color w:val="000000" w:themeColor="text1"/>
        </w:rPr>
        <w:t>]</w:t>
      </w:r>
      <w:r w:rsidRPr="00BF14DA">
        <w:rPr>
          <w:rFonts w:ascii="Garamond" w:hAnsi="Garamond"/>
          <w:color w:val="000000" w:themeColor="text1"/>
        </w:rPr>
        <w:t>-</w:t>
      </w:r>
      <w:r w:rsidR="007D35A2">
        <w:rPr>
          <w:rFonts w:ascii="Garamond" w:hAnsi="Garamond"/>
          <w:color w:val="000000" w:themeColor="text1"/>
        </w:rPr>
        <w:t>[</w:t>
      </w:r>
      <w:r w:rsidRPr="00BF14DA">
        <w:rPr>
          <w:rFonts w:ascii="Garamond" w:hAnsi="Garamond"/>
          <w:color w:val="000000" w:themeColor="text1"/>
        </w:rPr>
        <w:t>3.23</w:t>
      </w:r>
      <w:r w:rsidR="00F602B0">
        <w:rPr>
          <w:rFonts w:ascii="Garamond" w:hAnsi="Garamond"/>
          <w:color w:val="000000" w:themeColor="text1"/>
        </w:rPr>
        <w:t>]</w:t>
      </w:r>
      <w:r w:rsidRPr="00BF14DA">
        <w:rPr>
          <w:rFonts w:ascii="Garamond" w:hAnsi="Garamond"/>
          <w:color w:val="000000" w:themeColor="text1"/>
        </w:rPr>
        <w:t xml:space="preserve">. </w:t>
      </w:r>
    </w:p>
  </w:footnote>
  <w:footnote w:id="76">
    <w:p w14:paraId="6026AEF1" w14:textId="47777102"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75008B">
        <w:rPr>
          <w:rFonts w:ascii="Garamond" w:hAnsi="Garamond"/>
          <w:color w:val="000000" w:themeColor="text1"/>
        </w:rPr>
        <w:t>ibid</w:t>
      </w:r>
      <w:r w:rsidRPr="00BF14DA">
        <w:rPr>
          <w:rFonts w:ascii="Garamond" w:hAnsi="Garamond"/>
          <w:color w:val="000000" w:themeColor="text1"/>
        </w:rPr>
        <w:t xml:space="preserve"> </w:t>
      </w:r>
      <w:r w:rsidR="0075008B">
        <w:rPr>
          <w:rFonts w:ascii="Garamond" w:hAnsi="Garamond"/>
          <w:color w:val="000000" w:themeColor="text1"/>
        </w:rPr>
        <w:t>[</w:t>
      </w:r>
      <w:r w:rsidRPr="00BF14DA">
        <w:rPr>
          <w:rFonts w:ascii="Garamond" w:hAnsi="Garamond"/>
          <w:color w:val="000000" w:themeColor="text1"/>
        </w:rPr>
        <w:t>3.23</w:t>
      </w:r>
      <w:r w:rsidR="0075008B">
        <w:rPr>
          <w:rFonts w:ascii="Garamond" w:hAnsi="Garamond"/>
          <w:color w:val="000000" w:themeColor="text1"/>
        </w:rPr>
        <w:t>]</w:t>
      </w:r>
    </w:p>
  </w:footnote>
  <w:footnote w:id="77">
    <w:p w14:paraId="47122B11" w14:textId="29E03EAC"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Wendy Brown, </w:t>
      </w:r>
      <w:r w:rsidRPr="00BF14DA">
        <w:rPr>
          <w:rFonts w:ascii="Garamond" w:hAnsi="Garamond"/>
          <w:i/>
          <w:iCs/>
          <w:color w:val="000000" w:themeColor="text1"/>
        </w:rPr>
        <w:t xml:space="preserve">States of </w:t>
      </w:r>
      <w:r w:rsidR="0075008B">
        <w:rPr>
          <w:rFonts w:ascii="Garamond" w:hAnsi="Garamond"/>
          <w:i/>
          <w:iCs/>
          <w:color w:val="000000" w:themeColor="text1"/>
        </w:rPr>
        <w:t>I</w:t>
      </w:r>
      <w:r w:rsidRPr="00BF14DA">
        <w:rPr>
          <w:rFonts w:ascii="Garamond" w:hAnsi="Garamond"/>
          <w:i/>
          <w:iCs/>
          <w:color w:val="000000" w:themeColor="text1"/>
        </w:rPr>
        <w:t xml:space="preserve">njury: Power and </w:t>
      </w:r>
      <w:r w:rsidR="0075008B">
        <w:rPr>
          <w:rFonts w:ascii="Garamond" w:hAnsi="Garamond"/>
          <w:i/>
          <w:iCs/>
          <w:color w:val="000000" w:themeColor="text1"/>
        </w:rPr>
        <w:t>F</w:t>
      </w:r>
      <w:r w:rsidRPr="00BF14DA">
        <w:rPr>
          <w:rFonts w:ascii="Garamond" w:hAnsi="Garamond"/>
          <w:i/>
          <w:iCs/>
          <w:color w:val="000000" w:themeColor="text1"/>
        </w:rPr>
        <w:t xml:space="preserve">reedom in </w:t>
      </w:r>
      <w:r w:rsidR="0075008B">
        <w:rPr>
          <w:rFonts w:ascii="Garamond" w:hAnsi="Garamond"/>
          <w:i/>
          <w:iCs/>
          <w:color w:val="000000" w:themeColor="text1"/>
        </w:rPr>
        <w:t>L</w:t>
      </w:r>
      <w:r w:rsidRPr="00BF14DA">
        <w:rPr>
          <w:rFonts w:ascii="Garamond" w:hAnsi="Garamond"/>
          <w:i/>
          <w:iCs/>
          <w:color w:val="000000" w:themeColor="text1"/>
        </w:rPr>
        <w:t xml:space="preserve">ater </w:t>
      </w:r>
      <w:r w:rsidR="0075008B">
        <w:rPr>
          <w:rFonts w:ascii="Garamond" w:hAnsi="Garamond"/>
          <w:i/>
          <w:iCs/>
          <w:color w:val="000000" w:themeColor="text1"/>
        </w:rPr>
        <w:t>M</w:t>
      </w:r>
      <w:r w:rsidRPr="00BF14DA">
        <w:rPr>
          <w:rFonts w:ascii="Garamond" w:hAnsi="Garamond"/>
          <w:i/>
          <w:iCs/>
          <w:color w:val="000000" w:themeColor="text1"/>
        </w:rPr>
        <w:t xml:space="preserve">odernity </w:t>
      </w:r>
      <w:r w:rsidRPr="00BF14DA">
        <w:rPr>
          <w:rFonts w:ascii="Garamond" w:hAnsi="Garamond"/>
          <w:color w:val="000000" w:themeColor="text1"/>
        </w:rPr>
        <w:t xml:space="preserve">(Princeton University Press 1995) 162. </w:t>
      </w:r>
    </w:p>
  </w:footnote>
  <w:footnote w:id="78">
    <w:p w14:paraId="1F0B0B03" w14:textId="14C0BD94"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Written statement of Mauritius to the ICJ (n </w:t>
      </w:r>
      <w:r w:rsidR="00554B0E">
        <w:rPr>
          <w:rFonts w:ascii="Garamond" w:hAnsi="Garamond"/>
          <w:color w:val="000000" w:themeColor="text1"/>
        </w:rPr>
        <w:t>13</w:t>
      </w:r>
      <w:r w:rsidRPr="00BF14DA">
        <w:rPr>
          <w:rFonts w:ascii="Garamond" w:hAnsi="Garamond"/>
          <w:color w:val="000000" w:themeColor="text1"/>
        </w:rPr>
        <w:t xml:space="preserve">) </w:t>
      </w:r>
      <w:r w:rsidR="00E47893">
        <w:rPr>
          <w:rFonts w:ascii="Garamond" w:hAnsi="Garamond"/>
          <w:color w:val="000000" w:themeColor="text1"/>
        </w:rPr>
        <w:t>[</w:t>
      </w:r>
      <w:r w:rsidRPr="00BF14DA">
        <w:rPr>
          <w:rFonts w:ascii="Garamond" w:hAnsi="Garamond"/>
          <w:color w:val="000000" w:themeColor="text1"/>
        </w:rPr>
        <w:t>6.96</w:t>
      </w:r>
      <w:r w:rsidR="00E47893">
        <w:rPr>
          <w:rFonts w:ascii="Garamond" w:hAnsi="Garamond"/>
          <w:color w:val="000000" w:themeColor="text1"/>
        </w:rPr>
        <w:t>]</w:t>
      </w:r>
      <w:r w:rsidRPr="00BF14DA">
        <w:rPr>
          <w:rFonts w:ascii="Garamond" w:hAnsi="Garamond"/>
          <w:color w:val="000000" w:themeColor="text1"/>
        </w:rPr>
        <w:t>.</w:t>
      </w:r>
    </w:p>
  </w:footnote>
  <w:footnote w:id="79">
    <w:p w14:paraId="05B231C8" w14:textId="1E016950"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w:t>
      </w:r>
      <w:r w:rsidR="00E47893">
        <w:rPr>
          <w:rFonts w:ascii="Garamond" w:hAnsi="Garamond"/>
          <w:color w:val="000000" w:themeColor="text1"/>
        </w:rPr>
        <w:t>[</w:t>
      </w:r>
      <w:r w:rsidRPr="00BF14DA">
        <w:rPr>
          <w:rFonts w:ascii="Garamond" w:hAnsi="Garamond"/>
          <w:color w:val="000000" w:themeColor="text1"/>
        </w:rPr>
        <w:t>1.11</w:t>
      </w:r>
      <w:r w:rsidR="00E47893">
        <w:rPr>
          <w:rFonts w:ascii="Garamond" w:hAnsi="Garamond"/>
          <w:color w:val="000000" w:themeColor="text1"/>
        </w:rPr>
        <w:t>].</w:t>
      </w:r>
    </w:p>
  </w:footnote>
  <w:footnote w:id="80">
    <w:p w14:paraId="202C8845" w14:textId="5D23B942"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136822" w:rsidRPr="00BF14DA">
        <w:rPr>
          <w:rFonts w:ascii="Garamond" w:hAnsi="Garamond"/>
          <w:color w:val="000000" w:themeColor="text1"/>
        </w:rPr>
        <w:t xml:space="preserve">Chagos Marine Protected Area Arbitration (Mauritius v United Kingdom) (‘Chagos Arbitration’) </w:t>
      </w:r>
      <w:r w:rsidR="00EC4E7E" w:rsidRPr="00BF14DA">
        <w:rPr>
          <w:rFonts w:ascii="Garamond" w:hAnsi="Garamond"/>
          <w:color w:val="000000" w:themeColor="text1"/>
        </w:rPr>
        <w:t>(Dissenting and Concurring Opinion of Judge James Kateka and Judge Rü</w:t>
      </w:r>
      <w:r w:rsidR="001A79A9" w:rsidRPr="00BF14DA">
        <w:rPr>
          <w:rFonts w:ascii="Garamond" w:hAnsi="Garamond"/>
          <w:color w:val="000000" w:themeColor="text1"/>
        </w:rPr>
        <w:t xml:space="preserve">diger Wolfrum) </w:t>
      </w:r>
      <w:r w:rsidR="00136822" w:rsidRPr="00BF14DA">
        <w:rPr>
          <w:rFonts w:ascii="Garamond" w:hAnsi="Garamond"/>
          <w:color w:val="000000" w:themeColor="text1"/>
        </w:rPr>
        <w:t>(18 March 2015)</w:t>
      </w:r>
      <w:r w:rsidR="00E00541" w:rsidRPr="00BF14DA">
        <w:rPr>
          <w:rFonts w:ascii="Garamond" w:hAnsi="Garamond"/>
          <w:color w:val="000000" w:themeColor="text1"/>
        </w:rPr>
        <w:t xml:space="preserve"> </w:t>
      </w:r>
      <w:r w:rsidRPr="00BF14DA">
        <w:rPr>
          <w:rFonts w:ascii="Garamond" w:hAnsi="Garamond"/>
          <w:color w:val="000000" w:themeColor="text1"/>
        </w:rPr>
        <w:t>76-77</w:t>
      </w:r>
      <w:r w:rsidR="00A56D4E" w:rsidRPr="00BF14DA">
        <w:rPr>
          <w:rFonts w:ascii="Garamond" w:hAnsi="Garamond"/>
          <w:color w:val="000000" w:themeColor="text1"/>
        </w:rPr>
        <w:t>.</w:t>
      </w:r>
    </w:p>
  </w:footnote>
  <w:footnote w:id="81">
    <w:p w14:paraId="677484E6" w14:textId="154DC960"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Written statement of the UK to the ICJ (n </w:t>
      </w:r>
      <w:r w:rsidR="00392F0F" w:rsidRPr="00BF14DA">
        <w:rPr>
          <w:rFonts w:ascii="Garamond" w:hAnsi="Garamond"/>
          <w:color w:val="000000" w:themeColor="text1"/>
        </w:rPr>
        <w:t>12</w:t>
      </w:r>
      <w:r w:rsidRPr="00BF14DA">
        <w:rPr>
          <w:rFonts w:ascii="Garamond" w:hAnsi="Garamond"/>
          <w:color w:val="000000" w:themeColor="text1"/>
        </w:rPr>
        <w:t xml:space="preserve">) </w:t>
      </w:r>
      <w:r w:rsidR="00554B0E">
        <w:rPr>
          <w:rFonts w:ascii="Garamond" w:hAnsi="Garamond"/>
          <w:color w:val="000000" w:themeColor="text1"/>
        </w:rPr>
        <w:t>[</w:t>
      </w:r>
      <w:r w:rsidRPr="00BF14DA">
        <w:rPr>
          <w:rFonts w:ascii="Garamond" w:hAnsi="Garamond"/>
          <w:color w:val="000000" w:themeColor="text1"/>
        </w:rPr>
        <w:t>3.42</w:t>
      </w:r>
      <w:r w:rsidR="00554B0E">
        <w:rPr>
          <w:rFonts w:ascii="Garamond" w:hAnsi="Garamond"/>
          <w:color w:val="000000" w:themeColor="text1"/>
        </w:rPr>
        <w:t>]</w:t>
      </w:r>
      <w:r w:rsidRPr="00BF14DA">
        <w:rPr>
          <w:rFonts w:ascii="Garamond" w:hAnsi="Garamond"/>
          <w:color w:val="000000" w:themeColor="text1"/>
        </w:rPr>
        <w:t>; Chagos Arbitration</w:t>
      </w:r>
      <w:r w:rsidR="00A2166B" w:rsidRPr="00BF14DA">
        <w:rPr>
          <w:rFonts w:ascii="Garamond" w:hAnsi="Garamond"/>
          <w:color w:val="000000" w:themeColor="text1"/>
        </w:rPr>
        <w:t xml:space="preserve"> (n 63)</w:t>
      </w:r>
      <w:r w:rsidRPr="00BF14DA">
        <w:rPr>
          <w:rFonts w:ascii="Garamond" w:hAnsi="Garamond"/>
          <w:color w:val="000000" w:themeColor="text1"/>
        </w:rPr>
        <w:t xml:space="preserve"> </w:t>
      </w:r>
      <w:r w:rsidR="009034AE">
        <w:rPr>
          <w:rFonts w:ascii="Garamond" w:hAnsi="Garamond"/>
          <w:color w:val="000000" w:themeColor="text1"/>
        </w:rPr>
        <w:t>[</w:t>
      </w:r>
      <w:r w:rsidRPr="00BF14DA">
        <w:rPr>
          <w:rFonts w:ascii="Garamond" w:hAnsi="Garamond"/>
          <w:color w:val="000000" w:themeColor="text1"/>
        </w:rPr>
        <w:t>431</w:t>
      </w:r>
      <w:r w:rsidR="009034AE">
        <w:rPr>
          <w:rFonts w:ascii="Garamond" w:hAnsi="Garamond"/>
          <w:color w:val="000000" w:themeColor="text1"/>
        </w:rPr>
        <w:t>]</w:t>
      </w:r>
      <w:r w:rsidRPr="00BF14DA">
        <w:rPr>
          <w:rFonts w:ascii="Garamond" w:hAnsi="Garamond"/>
          <w:color w:val="000000" w:themeColor="text1"/>
        </w:rPr>
        <w:t>.</w:t>
      </w:r>
    </w:p>
  </w:footnote>
  <w:footnote w:id="82">
    <w:p w14:paraId="7C1B507B" w14:textId="19060DDA"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Written statement of Mauritius to the ICJ (n </w:t>
      </w:r>
      <w:r w:rsidR="00392F0F" w:rsidRPr="00BF14DA">
        <w:rPr>
          <w:rFonts w:ascii="Garamond" w:hAnsi="Garamond"/>
          <w:color w:val="000000" w:themeColor="text1"/>
        </w:rPr>
        <w:t>13</w:t>
      </w:r>
      <w:r w:rsidRPr="00BF14DA">
        <w:rPr>
          <w:rFonts w:ascii="Garamond" w:hAnsi="Garamond"/>
          <w:color w:val="000000" w:themeColor="text1"/>
        </w:rPr>
        <w:t xml:space="preserve">) </w:t>
      </w:r>
      <w:r w:rsidR="009034AE">
        <w:rPr>
          <w:rFonts w:ascii="Garamond" w:hAnsi="Garamond"/>
          <w:color w:val="000000" w:themeColor="text1"/>
        </w:rPr>
        <w:t>[</w:t>
      </w:r>
      <w:r w:rsidRPr="00BF14DA">
        <w:rPr>
          <w:rFonts w:ascii="Garamond" w:hAnsi="Garamond"/>
          <w:color w:val="000000" w:themeColor="text1"/>
        </w:rPr>
        <w:t>6.96</w:t>
      </w:r>
      <w:r w:rsidR="009034AE">
        <w:rPr>
          <w:rFonts w:ascii="Garamond" w:hAnsi="Garamond"/>
          <w:color w:val="000000" w:themeColor="text1"/>
        </w:rPr>
        <w:t>]</w:t>
      </w:r>
      <w:r w:rsidR="009B63DD" w:rsidRPr="00BF14DA">
        <w:rPr>
          <w:rFonts w:ascii="Garamond" w:hAnsi="Garamond"/>
          <w:color w:val="000000" w:themeColor="text1"/>
        </w:rPr>
        <w:t xml:space="preserve"> (emphasis added). </w:t>
      </w:r>
    </w:p>
  </w:footnote>
  <w:footnote w:id="83">
    <w:p w14:paraId="3EEB7239" w14:textId="023F5AFA"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Maragaret Jane Radin, </w:t>
      </w:r>
      <w:r w:rsidRPr="00BF14DA">
        <w:rPr>
          <w:rFonts w:ascii="Garamond" w:hAnsi="Garamond"/>
          <w:i/>
          <w:iCs/>
          <w:color w:val="000000" w:themeColor="text1"/>
        </w:rPr>
        <w:t xml:space="preserve">Boilerplate: </w:t>
      </w:r>
      <w:r w:rsidR="002C0F09">
        <w:rPr>
          <w:rFonts w:ascii="Garamond" w:hAnsi="Garamond"/>
          <w:i/>
          <w:iCs/>
          <w:color w:val="000000" w:themeColor="text1"/>
        </w:rPr>
        <w:t>T</w:t>
      </w:r>
      <w:r w:rsidRPr="00BF14DA">
        <w:rPr>
          <w:rFonts w:ascii="Garamond" w:hAnsi="Garamond"/>
          <w:i/>
          <w:iCs/>
          <w:color w:val="000000" w:themeColor="text1"/>
        </w:rPr>
        <w:t xml:space="preserve">he </w:t>
      </w:r>
      <w:r w:rsidR="002C0F09">
        <w:rPr>
          <w:rFonts w:ascii="Garamond" w:hAnsi="Garamond"/>
          <w:i/>
          <w:iCs/>
          <w:color w:val="000000" w:themeColor="text1"/>
        </w:rPr>
        <w:t>F</w:t>
      </w:r>
      <w:r w:rsidRPr="00BF14DA">
        <w:rPr>
          <w:rFonts w:ascii="Garamond" w:hAnsi="Garamond"/>
          <w:i/>
          <w:iCs/>
          <w:color w:val="000000" w:themeColor="text1"/>
        </w:rPr>
        <w:t xml:space="preserve">ine </w:t>
      </w:r>
      <w:r w:rsidR="002C0F09">
        <w:rPr>
          <w:rFonts w:ascii="Garamond" w:hAnsi="Garamond"/>
          <w:i/>
          <w:iCs/>
          <w:color w:val="000000" w:themeColor="text1"/>
        </w:rPr>
        <w:t>P</w:t>
      </w:r>
      <w:r w:rsidRPr="00BF14DA">
        <w:rPr>
          <w:rFonts w:ascii="Garamond" w:hAnsi="Garamond"/>
          <w:i/>
          <w:iCs/>
          <w:color w:val="000000" w:themeColor="text1"/>
        </w:rPr>
        <w:t xml:space="preserve">rint, </w:t>
      </w:r>
      <w:r w:rsidR="002C0F09">
        <w:rPr>
          <w:rFonts w:ascii="Garamond" w:hAnsi="Garamond"/>
          <w:i/>
          <w:iCs/>
          <w:color w:val="000000" w:themeColor="text1"/>
        </w:rPr>
        <w:t>V</w:t>
      </w:r>
      <w:r w:rsidRPr="00BF14DA">
        <w:rPr>
          <w:rFonts w:ascii="Garamond" w:hAnsi="Garamond"/>
          <w:i/>
          <w:iCs/>
          <w:color w:val="000000" w:themeColor="text1"/>
        </w:rPr>
        <w:t xml:space="preserve">anishing </w:t>
      </w:r>
      <w:r w:rsidR="002C0F09">
        <w:rPr>
          <w:rFonts w:ascii="Garamond" w:hAnsi="Garamond"/>
          <w:i/>
          <w:iCs/>
          <w:color w:val="000000" w:themeColor="text1"/>
        </w:rPr>
        <w:t>R</w:t>
      </w:r>
      <w:r w:rsidRPr="00BF14DA">
        <w:rPr>
          <w:rFonts w:ascii="Garamond" w:hAnsi="Garamond"/>
          <w:i/>
          <w:iCs/>
          <w:color w:val="000000" w:themeColor="text1"/>
        </w:rPr>
        <w:t xml:space="preserve">ights and the </w:t>
      </w:r>
      <w:r w:rsidR="002C0F09">
        <w:rPr>
          <w:rFonts w:ascii="Garamond" w:hAnsi="Garamond"/>
          <w:i/>
          <w:iCs/>
          <w:color w:val="000000" w:themeColor="text1"/>
        </w:rPr>
        <w:t>R</w:t>
      </w:r>
      <w:r w:rsidRPr="00BF14DA">
        <w:rPr>
          <w:rFonts w:ascii="Garamond" w:hAnsi="Garamond"/>
          <w:i/>
          <w:iCs/>
          <w:color w:val="000000" w:themeColor="text1"/>
        </w:rPr>
        <w:t xml:space="preserve">ule of </w:t>
      </w:r>
      <w:r w:rsidR="002C0F09">
        <w:rPr>
          <w:rFonts w:ascii="Garamond" w:hAnsi="Garamond"/>
          <w:i/>
          <w:iCs/>
          <w:color w:val="000000" w:themeColor="text1"/>
        </w:rPr>
        <w:t>L</w:t>
      </w:r>
      <w:r w:rsidRPr="00BF14DA">
        <w:rPr>
          <w:rFonts w:ascii="Garamond" w:hAnsi="Garamond"/>
          <w:i/>
          <w:iCs/>
          <w:color w:val="000000" w:themeColor="text1"/>
        </w:rPr>
        <w:t xml:space="preserve">aw </w:t>
      </w:r>
      <w:r w:rsidRPr="00BF14DA">
        <w:rPr>
          <w:rFonts w:ascii="Garamond" w:hAnsi="Garamond"/>
          <w:color w:val="000000" w:themeColor="text1"/>
        </w:rPr>
        <w:t xml:space="preserve">(Princeton University Press 2012) 3-18. </w:t>
      </w:r>
    </w:p>
  </w:footnote>
  <w:footnote w:id="84">
    <w:p w14:paraId="6989D1FE" w14:textId="0F48F7D2"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Malcolm Shaw, </w:t>
      </w:r>
      <w:r w:rsidRPr="00BF14DA">
        <w:rPr>
          <w:rFonts w:ascii="Garamond" w:hAnsi="Garamond"/>
          <w:i/>
          <w:iCs/>
          <w:color w:val="000000" w:themeColor="text1"/>
        </w:rPr>
        <w:t xml:space="preserve">International Law </w:t>
      </w:r>
      <w:r w:rsidRPr="00BF14DA">
        <w:rPr>
          <w:rFonts w:ascii="Garamond" w:hAnsi="Garamond"/>
          <w:color w:val="000000" w:themeColor="text1"/>
        </w:rPr>
        <w:t>(</w:t>
      </w:r>
      <w:r w:rsidR="00CF29AD">
        <w:rPr>
          <w:rFonts w:ascii="Garamond" w:hAnsi="Garamond"/>
          <w:color w:val="000000" w:themeColor="text1"/>
        </w:rPr>
        <w:t xml:space="preserve">Cambridge </w:t>
      </w:r>
      <w:r w:rsidR="00846C90" w:rsidRPr="00BF14DA">
        <w:rPr>
          <w:rFonts w:ascii="Garamond" w:hAnsi="Garamond"/>
          <w:color w:val="000000" w:themeColor="text1"/>
        </w:rPr>
        <w:t>U</w:t>
      </w:r>
      <w:r w:rsidR="00CF29AD">
        <w:rPr>
          <w:rFonts w:ascii="Garamond" w:hAnsi="Garamond"/>
          <w:color w:val="000000" w:themeColor="text1"/>
        </w:rPr>
        <w:t xml:space="preserve">niversity </w:t>
      </w:r>
      <w:r w:rsidR="00846C90" w:rsidRPr="00BF14DA">
        <w:rPr>
          <w:rFonts w:ascii="Garamond" w:hAnsi="Garamond"/>
          <w:color w:val="000000" w:themeColor="text1"/>
        </w:rPr>
        <w:t>P</w:t>
      </w:r>
      <w:r w:rsidR="00CF29AD">
        <w:rPr>
          <w:rFonts w:ascii="Garamond" w:hAnsi="Garamond"/>
          <w:color w:val="000000" w:themeColor="text1"/>
        </w:rPr>
        <w:t>ress</w:t>
      </w:r>
      <w:r w:rsidRPr="00BF14DA">
        <w:rPr>
          <w:rFonts w:ascii="Garamond" w:hAnsi="Garamond"/>
          <w:color w:val="000000" w:themeColor="text1"/>
        </w:rPr>
        <w:t xml:space="preserve"> 2021) 8.</w:t>
      </w:r>
    </w:p>
  </w:footnote>
  <w:footnote w:id="85">
    <w:p w14:paraId="6749DC95" w14:textId="77777777"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w:t>
      </w:r>
    </w:p>
  </w:footnote>
  <w:footnote w:id="86">
    <w:p w14:paraId="17A01BC5" w14:textId="184E1B6C"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Besson</w:t>
      </w:r>
      <w:r w:rsidR="00F57960" w:rsidRPr="00BF14DA">
        <w:rPr>
          <w:rFonts w:ascii="Garamond" w:hAnsi="Garamond"/>
          <w:color w:val="000000" w:themeColor="text1"/>
        </w:rPr>
        <w:t xml:space="preserve"> (n 3) 6. </w:t>
      </w:r>
    </w:p>
  </w:footnote>
  <w:footnote w:id="87">
    <w:p w14:paraId="74560DA9" w14:textId="73578E70"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Legal Consequences of the Separation of the Chagos Archipelago from Mauritius in 1965 (Separate Opinion of Judge Robinson) </w:t>
      </w:r>
      <w:r w:rsidR="009034AE">
        <w:rPr>
          <w:rFonts w:ascii="Garamond" w:hAnsi="Garamond"/>
          <w:color w:val="000000" w:themeColor="text1"/>
        </w:rPr>
        <w:t>(</w:t>
      </w:r>
      <w:r w:rsidR="00532793">
        <w:rPr>
          <w:rFonts w:ascii="Garamond" w:hAnsi="Garamond"/>
          <w:color w:val="000000" w:themeColor="text1"/>
        </w:rPr>
        <w:t xml:space="preserve">February </w:t>
      </w:r>
      <w:r w:rsidRPr="00BF14DA">
        <w:rPr>
          <w:rFonts w:ascii="Garamond" w:hAnsi="Garamond"/>
          <w:color w:val="000000" w:themeColor="text1"/>
        </w:rPr>
        <w:t>201</w:t>
      </w:r>
      <w:r w:rsidR="00532793">
        <w:rPr>
          <w:rFonts w:ascii="Garamond" w:hAnsi="Garamond"/>
          <w:color w:val="000000" w:themeColor="text1"/>
        </w:rPr>
        <w:t>9</w:t>
      </w:r>
      <w:r w:rsidR="009034AE">
        <w:rPr>
          <w:rFonts w:ascii="Garamond" w:hAnsi="Garamond"/>
          <w:color w:val="000000" w:themeColor="text1"/>
        </w:rPr>
        <w:t xml:space="preserve">) </w:t>
      </w:r>
      <w:r w:rsidR="00207B22">
        <w:rPr>
          <w:rFonts w:ascii="Garamond" w:hAnsi="Garamond"/>
          <w:color w:val="000000" w:themeColor="text1"/>
        </w:rPr>
        <w:t>[93]</w:t>
      </w:r>
      <w:r w:rsidRPr="00BF14DA">
        <w:rPr>
          <w:rFonts w:ascii="Garamond" w:hAnsi="Garamond"/>
          <w:color w:val="000000" w:themeColor="text1"/>
        </w:rPr>
        <w:t xml:space="preserve"> </w:t>
      </w:r>
      <w:hyperlink r:id="rId18" w:history="1">
        <w:r w:rsidR="009034AE" w:rsidRPr="009E2B24">
          <w:rPr>
            <w:rStyle w:val="Hyperlink"/>
            <w:rFonts w:ascii="Garamond" w:hAnsi="Garamond"/>
          </w:rPr>
          <w:t>https://www.icj-cij.org/sites/default/files/case-related/169/169-20190225-ADV-01-09-EN.pdf</w:t>
        </w:r>
      </w:hyperlink>
      <w:r w:rsidR="009034AE">
        <w:rPr>
          <w:rFonts w:ascii="Garamond" w:hAnsi="Garamond"/>
          <w:color w:val="000000" w:themeColor="text1"/>
        </w:rPr>
        <w:t xml:space="preserve"> </w:t>
      </w:r>
      <w:r w:rsidRPr="00BF14DA">
        <w:rPr>
          <w:rFonts w:ascii="Garamond" w:hAnsi="Garamond"/>
          <w:color w:val="000000" w:themeColor="text1"/>
        </w:rPr>
        <w:t>accessed 29 November 2025.</w:t>
      </w:r>
    </w:p>
  </w:footnote>
  <w:footnote w:id="88">
    <w:p w14:paraId="2456F5F8" w14:textId="1387AA1D"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Hurd</w:t>
      </w:r>
      <w:r w:rsidR="00E96545" w:rsidRPr="00BF14DA">
        <w:rPr>
          <w:rFonts w:ascii="Garamond" w:hAnsi="Garamond"/>
          <w:color w:val="000000" w:themeColor="text1"/>
        </w:rPr>
        <w:t xml:space="preserve"> (n 1</w:t>
      </w:r>
      <w:r w:rsidR="00846C90" w:rsidRPr="00BF14DA">
        <w:rPr>
          <w:rFonts w:ascii="Garamond" w:hAnsi="Garamond"/>
          <w:color w:val="000000" w:themeColor="text1"/>
        </w:rPr>
        <w:t>9</w:t>
      </w:r>
      <w:r w:rsidR="0028010F" w:rsidRPr="00BF14DA">
        <w:rPr>
          <w:rFonts w:ascii="Garamond" w:hAnsi="Garamond"/>
          <w:color w:val="000000" w:themeColor="text1"/>
        </w:rPr>
        <w:t>)</w:t>
      </w:r>
      <w:r w:rsidR="00846C90" w:rsidRPr="00BF14DA">
        <w:rPr>
          <w:rFonts w:ascii="Garamond" w:hAnsi="Garamond"/>
          <w:color w:val="000000" w:themeColor="text1"/>
        </w:rPr>
        <w:t>.</w:t>
      </w:r>
      <w:r w:rsidRPr="00BF14DA">
        <w:rPr>
          <w:rFonts w:ascii="Garamond" w:hAnsi="Garamond"/>
          <w:color w:val="000000" w:themeColor="text1"/>
        </w:rPr>
        <w:t xml:space="preserve"> </w:t>
      </w:r>
    </w:p>
  </w:footnote>
  <w:footnote w:id="89">
    <w:p w14:paraId="37270263" w14:textId="0100663D"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Garcia (n </w:t>
      </w:r>
      <w:r w:rsidR="00814E97" w:rsidRPr="00BF14DA">
        <w:rPr>
          <w:rFonts w:ascii="Garamond" w:hAnsi="Garamond"/>
          <w:color w:val="000000" w:themeColor="text1"/>
        </w:rPr>
        <w:t>62</w:t>
      </w:r>
      <w:r w:rsidRPr="00BF14DA">
        <w:rPr>
          <w:rFonts w:ascii="Garamond" w:hAnsi="Garamond"/>
          <w:color w:val="000000" w:themeColor="text1"/>
        </w:rPr>
        <w:t>) 25.</w:t>
      </w:r>
    </w:p>
  </w:footnote>
  <w:footnote w:id="90">
    <w:p w14:paraId="6E935AE4" w14:textId="075ED5E8"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proofErr w:type="spellStart"/>
      <w:r w:rsidRPr="00BF14DA">
        <w:rPr>
          <w:rFonts w:ascii="Garamond" w:hAnsi="Garamond"/>
          <w:color w:val="000000" w:themeColor="text1"/>
        </w:rPr>
        <w:t>D’Aspremont</w:t>
      </w:r>
      <w:proofErr w:type="spellEnd"/>
      <w:r w:rsidRPr="00BF14DA">
        <w:rPr>
          <w:rFonts w:ascii="Garamond" w:hAnsi="Garamond"/>
          <w:color w:val="000000" w:themeColor="text1"/>
        </w:rPr>
        <w:t xml:space="preserve"> (n </w:t>
      </w:r>
      <w:r w:rsidR="009D1D61" w:rsidRPr="00BF14DA">
        <w:rPr>
          <w:rFonts w:ascii="Garamond" w:hAnsi="Garamond"/>
          <w:color w:val="000000" w:themeColor="text1"/>
        </w:rPr>
        <w:t>4</w:t>
      </w:r>
      <w:r w:rsidRPr="00BF14DA">
        <w:rPr>
          <w:rFonts w:ascii="Garamond" w:hAnsi="Garamond"/>
          <w:color w:val="000000" w:themeColor="text1"/>
        </w:rPr>
        <w:t>) 125.</w:t>
      </w:r>
    </w:p>
  </w:footnote>
  <w:footnote w:id="91">
    <w:p w14:paraId="2612CF3F" w14:textId="3CBA5F51"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Ratna Kapur, </w:t>
      </w:r>
      <w:r w:rsidRPr="00BF14DA">
        <w:rPr>
          <w:rFonts w:ascii="Garamond" w:hAnsi="Garamond"/>
          <w:i/>
          <w:iCs/>
          <w:color w:val="000000" w:themeColor="text1"/>
        </w:rPr>
        <w:t>Erotic Justice: Law and the</w:t>
      </w:r>
      <w:r w:rsidR="004A3E04">
        <w:rPr>
          <w:rFonts w:ascii="Garamond" w:hAnsi="Garamond"/>
          <w:i/>
          <w:iCs/>
          <w:color w:val="000000" w:themeColor="text1"/>
        </w:rPr>
        <w:t xml:space="preserve"> N</w:t>
      </w:r>
      <w:r w:rsidRPr="00BF14DA">
        <w:rPr>
          <w:rFonts w:ascii="Garamond" w:hAnsi="Garamond"/>
          <w:i/>
          <w:iCs/>
          <w:color w:val="000000" w:themeColor="text1"/>
        </w:rPr>
        <w:t xml:space="preserve">ew </w:t>
      </w:r>
      <w:r w:rsidR="004A3E04">
        <w:rPr>
          <w:rFonts w:ascii="Garamond" w:hAnsi="Garamond"/>
          <w:i/>
          <w:iCs/>
          <w:color w:val="000000" w:themeColor="text1"/>
        </w:rPr>
        <w:t>P</w:t>
      </w:r>
      <w:r w:rsidRPr="00BF14DA">
        <w:rPr>
          <w:rFonts w:ascii="Garamond" w:hAnsi="Garamond"/>
          <w:i/>
          <w:iCs/>
          <w:color w:val="000000" w:themeColor="text1"/>
        </w:rPr>
        <w:t xml:space="preserve">olitics of </w:t>
      </w:r>
      <w:r w:rsidR="004A3E04">
        <w:rPr>
          <w:rFonts w:ascii="Garamond" w:hAnsi="Garamond"/>
          <w:i/>
          <w:iCs/>
          <w:color w:val="000000" w:themeColor="text1"/>
        </w:rPr>
        <w:t>P</w:t>
      </w:r>
      <w:r w:rsidRPr="00BF14DA">
        <w:rPr>
          <w:rFonts w:ascii="Garamond" w:hAnsi="Garamond"/>
          <w:i/>
          <w:iCs/>
          <w:color w:val="000000" w:themeColor="text1"/>
        </w:rPr>
        <w:t xml:space="preserve">ostcolonialism </w:t>
      </w:r>
      <w:r w:rsidRPr="00BF14DA">
        <w:rPr>
          <w:rFonts w:ascii="Garamond" w:hAnsi="Garamond"/>
          <w:color w:val="000000" w:themeColor="text1"/>
        </w:rPr>
        <w:t>(</w:t>
      </w:r>
      <w:r w:rsidR="00A420C8">
        <w:rPr>
          <w:rFonts w:ascii="Garamond" w:hAnsi="Garamond"/>
          <w:color w:val="000000" w:themeColor="text1"/>
        </w:rPr>
        <w:t>Routledge-C</w:t>
      </w:r>
      <w:r w:rsidR="00207B22">
        <w:rPr>
          <w:rFonts w:ascii="Garamond" w:hAnsi="Garamond"/>
          <w:color w:val="000000" w:themeColor="text1"/>
        </w:rPr>
        <w:t>a</w:t>
      </w:r>
      <w:r w:rsidR="00A420C8">
        <w:rPr>
          <w:rFonts w:ascii="Garamond" w:hAnsi="Garamond"/>
          <w:color w:val="000000" w:themeColor="text1"/>
        </w:rPr>
        <w:t>vendish</w:t>
      </w:r>
      <w:r w:rsidRPr="00BF14DA">
        <w:rPr>
          <w:rFonts w:ascii="Garamond" w:hAnsi="Garamond"/>
          <w:color w:val="000000" w:themeColor="text1"/>
        </w:rPr>
        <w:t xml:space="preserve"> 2005) 23.</w:t>
      </w:r>
    </w:p>
  </w:footnote>
  <w:footnote w:id="92">
    <w:p w14:paraId="3AA56573" w14:textId="54E78163" w:rsidR="00BB30CD" w:rsidRPr="0006792C" w:rsidRDefault="00BB30CD" w:rsidP="00BB30CD">
      <w:pPr>
        <w:pStyle w:val="FootnoteText"/>
        <w:rPr>
          <w:rFonts w:ascii="Garamond" w:hAnsi="Garamond"/>
          <w:color w:val="000000" w:themeColor="text1"/>
          <w:lang w:val="fi-FI"/>
        </w:rPr>
      </w:pPr>
      <w:r w:rsidRPr="00BF14DA">
        <w:rPr>
          <w:rStyle w:val="FootnoteReference"/>
          <w:rFonts w:ascii="Garamond" w:hAnsi="Garamond"/>
          <w:color w:val="000000" w:themeColor="text1"/>
        </w:rPr>
        <w:footnoteRef/>
      </w:r>
      <w:r w:rsidRPr="0006792C">
        <w:rPr>
          <w:rFonts w:ascii="Garamond" w:hAnsi="Garamond"/>
          <w:color w:val="000000" w:themeColor="text1"/>
          <w:lang w:val="fi-FI"/>
        </w:rPr>
        <w:t xml:space="preserve"> </w:t>
      </w:r>
      <w:r w:rsidRPr="0006792C">
        <w:rPr>
          <w:rFonts w:ascii="Garamond" w:hAnsi="Garamond"/>
          <w:color w:val="000000" w:themeColor="text1"/>
          <w:lang w:val="fi-FI"/>
        </w:rPr>
        <w:t xml:space="preserve">Ruskola (n </w:t>
      </w:r>
      <w:r w:rsidR="00887931" w:rsidRPr="0006792C">
        <w:rPr>
          <w:rFonts w:ascii="Garamond" w:hAnsi="Garamond"/>
          <w:color w:val="000000" w:themeColor="text1"/>
          <w:lang w:val="fi-FI"/>
        </w:rPr>
        <w:t>23</w:t>
      </w:r>
      <w:r w:rsidRPr="0006792C">
        <w:rPr>
          <w:rFonts w:ascii="Garamond" w:hAnsi="Garamond"/>
          <w:color w:val="000000" w:themeColor="text1"/>
          <w:lang w:val="fi-FI"/>
        </w:rPr>
        <w:t>) 1493.</w:t>
      </w:r>
    </w:p>
  </w:footnote>
  <w:footnote w:id="93">
    <w:p w14:paraId="7631C424" w14:textId="505BA06F" w:rsidR="00BB30CD" w:rsidRPr="0006792C" w:rsidRDefault="00BB30CD" w:rsidP="00BB30CD">
      <w:pPr>
        <w:pStyle w:val="FootnoteText"/>
        <w:rPr>
          <w:rFonts w:ascii="Garamond" w:hAnsi="Garamond"/>
          <w:color w:val="000000" w:themeColor="text1"/>
          <w:lang w:val="fi-FI"/>
        </w:rPr>
      </w:pPr>
      <w:r w:rsidRPr="00BF14DA">
        <w:rPr>
          <w:rStyle w:val="FootnoteReference"/>
          <w:rFonts w:ascii="Garamond" w:hAnsi="Garamond"/>
          <w:color w:val="000000" w:themeColor="text1"/>
        </w:rPr>
        <w:footnoteRef/>
      </w:r>
      <w:r w:rsidRPr="0006792C">
        <w:rPr>
          <w:rFonts w:ascii="Garamond" w:hAnsi="Garamond"/>
          <w:color w:val="000000" w:themeColor="text1"/>
          <w:lang w:val="fi-FI"/>
        </w:rPr>
        <w:t xml:space="preserve"> </w:t>
      </w:r>
      <w:r w:rsidRPr="0006792C">
        <w:rPr>
          <w:rFonts w:ascii="Garamond" w:hAnsi="Garamond"/>
          <w:color w:val="000000" w:themeColor="text1"/>
          <w:lang w:val="fi-FI"/>
        </w:rPr>
        <w:t xml:space="preserve">Parfitt </w:t>
      </w:r>
      <w:r w:rsidRPr="0006792C">
        <w:rPr>
          <w:rFonts w:ascii="Garamond" w:hAnsi="Garamond"/>
          <w:color w:val="000000" w:themeColor="text1"/>
          <w:lang w:val="fi-FI"/>
        </w:rPr>
        <w:t xml:space="preserve">(n </w:t>
      </w:r>
      <w:r w:rsidR="00626502" w:rsidRPr="0006792C">
        <w:rPr>
          <w:rFonts w:ascii="Garamond" w:hAnsi="Garamond"/>
          <w:color w:val="000000" w:themeColor="text1"/>
          <w:lang w:val="fi-FI"/>
        </w:rPr>
        <w:t>2</w:t>
      </w:r>
      <w:r w:rsidR="00887931" w:rsidRPr="0006792C">
        <w:rPr>
          <w:rFonts w:ascii="Garamond" w:hAnsi="Garamond"/>
          <w:color w:val="000000" w:themeColor="text1"/>
          <w:lang w:val="fi-FI"/>
        </w:rPr>
        <w:t>5</w:t>
      </w:r>
      <w:r w:rsidRPr="0006792C">
        <w:rPr>
          <w:rFonts w:ascii="Garamond" w:hAnsi="Garamond"/>
          <w:color w:val="000000" w:themeColor="text1"/>
          <w:lang w:val="fi-FI"/>
        </w:rPr>
        <w:t>) 99.</w:t>
      </w:r>
    </w:p>
  </w:footnote>
  <w:footnote w:id="94">
    <w:p w14:paraId="6E3E9156" w14:textId="6626AA9F" w:rsidR="00BB30CD" w:rsidRPr="0006792C" w:rsidRDefault="00BB30CD" w:rsidP="00BB30CD">
      <w:pPr>
        <w:pStyle w:val="FootnoteText"/>
        <w:rPr>
          <w:rFonts w:ascii="Garamond" w:hAnsi="Garamond"/>
          <w:color w:val="000000" w:themeColor="text1"/>
          <w:lang w:val="fi-FI"/>
        </w:rPr>
      </w:pPr>
      <w:r w:rsidRPr="00BF14DA">
        <w:rPr>
          <w:rStyle w:val="FootnoteReference"/>
          <w:rFonts w:ascii="Garamond" w:hAnsi="Garamond"/>
          <w:color w:val="000000" w:themeColor="text1"/>
        </w:rPr>
        <w:footnoteRef/>
      </w:r>
      <w:r w:rsidRPr="0006792C">
        <w:rPr>
          <w:rFonts w:ascii="Garamond" w:hAnsi="Garamond"/>
          <w:color w:val="000000" w:themeColor="text1"/>
          <w:lang w:val="fi-FI"/>
        </w:rPr>
        <w:t xml:space="preserve"> </w:t>
      </w:r>
      <w:r w:rsidRPr="0006792C">
        <w:rPr>
          <w:rFonts w:ascii="Garamond" w:hAnsi="Garamond"/>
          <w:color w:val="000000" w:themeColor="text1"/>
          <w:lang w:val="fi-FI"/>
        </w:rPr>
        <w:t xml:space="preserve">Pateman </w:t>
      </w:r>
      <w:r w:rsidRPr="0006792C">
        <w:rPr>
          <w:rFonts w:ascii="Garamond" w:hAnsi="Garamond"/>
          <w:color w:val="000000" w:themeColor="text1"/>
          <w:lang w:val="fi-FI"/>
        </w:rPr>
        <w:t>(n 6</w:t>
      </w:r>
      <w:r w:rsidR="00887931" w:rsidRPr="0006792C">
        <w:rPr>
          <w:rFonts w:ascii="Garamond" w:hAnsi="Garamond"/>
          <w:color w:val="000000" w:themeColor="text1"/>
          <w:lang w:val="fi-FI"/>
        </w:rPr>
        <w:t>6</w:t>
      </w:r>
      <w:r w:rsidRPr="0006792C">
        <w:rPr>
          <w:rFonts w:ascii="Garamond" w:hAnsi="Garamond"/>
          <w:color w:val="000000" w:themeColor="text1"/>
          <w:lang w:val="fi-FI"/>
        </w:rPr>
        <w:t>) 72.</w:t>
      </w:r>
    </w:p>
  </w:footnote>
  <w:footnote w:id="95">
    <w:p w14:paraId="715A7E9C" w14:textId="77777777"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73.</w:t>
      </w:r>
    </w:p>
  </w:footnote>
  <w:footnote w:id="96">
    <w:p w14:paraId="37B815F1" w14:textId="77777777"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Carol Pateman, </w:t>
      </w:r>
      <w:r w:rsidRPr="00BF14DA">
        <w:rPr>
          <w:rFonts w:ascii="Garamond" w:hAnsi="Garamond"/>
          <w:i/>
          <w:iCs/>
          <w:color w:val="000000" w:themeColor="text1"/>
        </w:rPr>
        <w:t xml:space="preserve">The Sexual Contract </w:t>
      </w:r>
      <w:r w:rsidRPr="00BF14DA">
        <w:rPr>
          <w:rFonts w:ascii="Garamond" w:hAnsi="Garamond"/>
          <w:color w:val="000000" w:themeColor="text1"/>
        </w:rPr>
        <w:t xml:space="preserve">(Polity Press 1988). </w:t>
      </w:r>
    </w:p>
  </w:footnote>
  <w:footnote w:id="97">
    <w:p w14:paraId="2C2E8E5A" w14:textId="746C8FF8"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Kapur (n </w:t>
      </w:r>
      <w:r w:rsidR="00887931" w:rsidRPr="00BF14DA">
        <w:rPr>
          <w:rFonts w:ascii="Garamond" w:hAnsi="Garamond"/>
          <w:color w:val="000000" w:themeColor="text1"/>
        </w:rPr>
        <w:t>90</w:t>
      </w:r>
      <w:r w:rsidRPr="00BF14DA">
        <w:rPr>
          <w:rFonts w:ascii="Garamond" w:hAnsi="Garamond"/>
          <w:color w:val="000000" w:themeColor="text1"/>
        </w:rPr>
        <w:t>) 24.</w:t>
      </w:r>
    </w:p>
  </w:footnote>
  <w:footnote w:id="98">
    <w:p w14:paraId="1117D755" w14:textId="77777777"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w:t>
      </w:r>
    </w:p>
  </w:footnote>
  <w:footnote w:id="99">
    <w:p w14:paraId="5AAC9A0A" w14:textId="77777777"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23.</w:t>
      </w:r>
    </w:p>
  </w:footnote>
  <w:footnote w:id="100">
    <w:p w14:paraId="04964588" w14:textId="185EFFC0" w:rsidR="00A424C0" w:rsidRPr="00BF14DA" w:rsidRDefault="00A424C0">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Ji-Young Lee, ‘Relational </w:t>
      </w:r>
      <w:r w:rsidR="00207B22">
        <w:rPr>
          <w:rFonts w:ascii="Garamond" w:hAnsi="Garamond"/>
          <w:color w:val="000000" w:themeColor="text1"/>
        </w:rPr>
        <w:t>a</w:t>
      </w:r>
      <w:r w:rsidRPr="00BF14DA">
        <w:rPr>
          <w:rFonts w:ascii="Garamond" w:hAnsi="Garamond"/>
          <w:color w:val="000000" w:themeColor="text1"/>
        </w:rPr>
        <w:t xml:space="preserve">pproaches to </w:t>
      </w:r>
      <w:r w:rsidR="00207B22">
        <w:rPr>
          <w:rFonts w:ascii="Garamond" w:hAnsi="Garamond"/>
          <w:color w:val="000000" w:themeColor="text1"/>
        </w:rPr>
        <w:t>p</w:t>
      </w:r>
      <w:r w:rsidRPr="00BF14DA">
        <w:rPr>
          <w:rFonts w:ascii="Garamond" w:hAnsi="Garamond"/>
          <w:color w:val="000000" w:themeColor="text1"/>
        </w:rPr>
        <w:t xml:space="preserve">ersonal </w:t>
      </w:r>
      <w:r w:rsidR="00207B22">
        <w:rPr>
          <w:rFonts w:ascii="Garamond" w:hAnsi="Garamond"/>
          <w:color w:val="000000" w:themeColor="text1"/>
        </w:rPr>
        <w:t>a</w:t>
      </w:r>
      <w:r w:rsidRPr="00BF14DA">
        <w:rPr>
          <w:rFonts w:ascii="Garamond" w:hAnsi="Garamond"/>
          <w:color w:val="000000" w:themeColor="text1"/>
        </w:rPr>
        <w:t xml:space="preserve">utonomy’ (2021) 18(5) </w:t>
      </w:r>
      <w:r w:rsidRPr="00F00814">
        <w:rPr>
          <w:rFonts w:ascii="Garamond" w:hAnsi="Garamond"/>
          <w:i/>
          <w:iCs/>
          <w:color w:val="000000" w:themeColor="text1"/>
        </w:rPr>
        <w:t>Philosophy Compass</w:t>
      </w:r>
      <w:r w:rsidRPr="00BF14DA">
        <w:rPr>
          <w:rFonts w:ascii="Garamond" w:hAnsi="Garamond"/>
          <w:color w:val="000000" w:themeColor="text1"/>
        </w:rPr>
        <w:t xml:space="preserve"> 1</w:t>
      </w:r>
      <w:r w:rsidR="00B27D3B" w:rsidRPr="00BF14DA">
        <w:rPr>
          <w:rFonts w:ascii="Garamond" w:hAnsi="Garamond"/>
          <w:color w:val="000000" w:themeColor="text1"/>
        </w:rPr>
        <w:t>,</w:t>
      </w:r>
      <w:r w:rsidR="00AB2F7E" w:rsidRPr="00BF14DA">
        <w:rPr>
          <w:rFonts w:ascii="Garamond" w:hAnsi="Garamond"/>
          <w:color w:val="000000" w:themeColor="text1"/>
        </w:rPr>
        <w:t xml:space="preserve"> 2</w:t>
      </w:r>
      <w:r w:rsidR="006558A6" w:rsidRPr="00BF14DA">
        <w:rPr>
          <w:rFonts w:ascii="Garamond" w:hAnsi="Garamond"/>
          <w:color w:val="000000" w:themeColor="text1"/>
        </w:rPr>
        <w:t>-3.</w:t>
      </w:r>
    </w:p>
  </w:footnote>
  <w:footnote w:id="101">
    <w:p w14:paraId="2A9E5A62" w14:textId="60A677A7"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Drakopoulou (n </w:t>
      </w:r>
      <w:r w:rsidR="00B25630" w:rsidRPr="00BF14DA">
        <w:rPr>
          <w:rFonts w:ascii="Garamond" w:hAnsi="Garamond"/>
          <w:color w:val="000000" w:themeColor="text1"/>
        </w:rPr>
        <w:t>1</w:t>
      </w:r>
      <w:r w:rsidR="004D08BB" w:rsidRPr="00BF14DA">
        <w:rPr>
          <w:rFonts w:ascii="Garamond" w:hAnsi="Garamond"/>
          <w:color w:val="000000" w:themeColor="text1"/>
        </w:rPr>
        <w:t>5</w:t>
      </w:r>
      <w:r w:rsidRPr="00BF14DA">
        <w:rPr>
          <w:rFonts w:ascii="Garamond" w:hAnsi="Garamond"/>
          <w:color w:val="000000" w:themeColor="text1"/>
        </w:rPr>
        <w:t>)</w:t>
      </w:r>
      <w:r w:rsidR="00A216E0">
        <w:rPr>
          <w:rFonts w:ascii="Garamond" w:hAnsi="Garamond"/>
          <w:color w:val="000000" w:themeColor="text1"/>
        </w:rPr>
        <w:t xml:space="preserve"> </w:t>
      </w:r>
      <w:r w:rsidRPr="00BF14DA">
        <w:rPr>
          <w:rFonts w:ascii="Garamond" w:hAnsi="Garamond"/>
          <w:color w:val="000000" w:themeColor="text1"/>
        </w:rPr>
        <w:t xml:space="preserve">29-31; see also Martha Fineman, </w:t>
      </w:r>
      <w:r w:rsidR="00CE4980">
        <w:rPr>
          <w:rFonts w:ascii="Garamond" w:hAnsi="Garamond"/>
          <w:color w:val="000000" w:themeColor="text1"/>
        </w:rPr>
        <w:t>‘</w:t>
      </w:r>
      <w:r w:rsidRPr="00CE4980">
        <w:rPr>
          <w:rFonts w:ascii="Garamond" w:hAnsi="Garamond"/>
          <w:color w:val="000000" w:themeColor="text1"/>
        </w:rPr>
        <w:t xml:space="preserve">Cracking </w:t>
      </w:r>
      <w:r w:rsidR="00A216E0">
        <w:rPr>
          <w:rFonts w:ascii="Garamond" w:hAnsi="Garamond"/>
          <w:color w:val="000000" w:themeColor="text1"/>
        </w:rPr>
        <w:t>f</w:t>
      </w:r>
      <w:r w:rsidRPr="00CE4980">
        <w:rPr>
          <w:rFonts w:ascii="Garamond" w:hAnsi="Garamond"/>
          <w:color w:val="000000" w:themeColor="text1"/>
        </w:rPr>
        <w:t xml:space="preserve">oundational </w:t>
      </w:r>
      <w:r w:rsidR="00A216E0">
        <w:rPr>
          <w:rFonts w:ascii="Garamond" w:hAnsi="Garamond"/>
          <w:color w:val="000000" w:themeColor="text1"/>
        </w:rPr>
        <w:t>m</w:t>
      </w:r>
      <w:r w:rsidRPr="00CE4980">
        <w:rPr>
          <w:rFonts w:ascii="Garamond" w:hAnsi="Garamond"/>
          <w:color w:val="000000" w:themeColor="text1"/>
        </w:rPr>
        <w:t xml:space="preserve">yths: Independence, </w:t>
      </w:r>
      <w:r w:rsidR="00A216E0">
        <w:rPr>
          <w:rFonts w:ascii="Garamond" w:hAnsi="Garamond"/>
          <w:color w:val="000000" w:themeColor="text1"/>
        </w:rPr>
        <w:t>a</w:t>
      </w:r>
      <w:r w:rsidRPr="00CE4980">
        <w:rPr>
          <w:rFonts w:ascii="Garamond" w:hAnsi="Garamond"/>
          <w:color w:val="000000" w:themeColor="text1"/>
        </w:rPr>
        <w:t xml:space="preserve">utonomy, and </w:t>
      </w:r>
      <w:r w:rsidR="00A216E0">
        <w:rPr>
          <w:rFonts w:ascii="Garamond" w:hAnsi="Garamond"/>
          <w:color w:val="000000" w:themeColor="text1"/>
        </w:rPr>
        <w:t>s</w:t>
      </w:r>
      <w:r w:rsidRPr="00CE4980">
        <w:rPr>
          <w:rFonts w:ascii="Garamond" w:hAnsi="Garamond"/>
          <w:color w:val="000000" w:themeColor="text1"/>
        </w:rPr>
        <w:t>elf-sufficiency</w:t>
      </w:r>
      <w:r w:rsidR="00CE4980">
        <w:rPr>
          <w:rFonts w:ascii="Garamond" w:hAnsi="Garamond"/>
          <w:color w:val="000000" w:themeColor="text1"/>
        </w:rPr>
        <w:t>’</w:t>
      </w:r>
      <w:r w:rsidRPr="00BF14DA">
        <w:rPr>
          <w:rFonts w:ascii="Garamond" w:hAnsi="Garamond"/>
          <w:i/>
          <w:iCs/>
          <w:color w:val="000000" w:themeColor="text1"/>
        </w:rPr>
        <w:t xml:space="preserve"> </w:t>
      </w:r>
      <w:r w:rsidRPr="00BF14DA">
        <w:rPr>
          <w:rFonts w:ascii="Garamond" w:hAnsi="Garamond"/>
          <w:color w:val="000000" w:themeColor="text1"/>
        </w:rPr>
        <w:t xml:space="preserve">(2000) 8 </w:t>
      </w:r>
      <w:r w:rsidR="00594BF6" w:rsidRPr="00594BF6">
        <w:rPr>
          <w:rFonts w:ascii="Garamond" w:hAnsi="Garamond"/>
          <w:i/>
          <w:iCs/>
          <w:color w:val="000000" w:themeColor="text1"/>
        </w:rPr>
        <w:t>The American University</w:t>
      </w:r>
      <w:r w:rsidR="00594BF6">
        <w:rPr>
          <w:rFonts w:ascii="Garamond" w:hAnsi="Garamond"/>
          <w:color w:val="000000" w:themeColor="text1"/>
        </w:rPr>
        <w:t xml:space="preserve"> </w:t>
      </w:r>
      <w:r w:rsidRPr="00BE0948">
        <w:rPr>
          <w:rFonts w:ascii="Garamond" w:hAnsi="Garamond"/>
          <w:i/>
          <w:iCs/>
          <w:color w:val="000000" w:themeColor="text1"/>
        </w:rPr>
        <w:t>Journal of Gender, Social Policy and the Law</w:t>
      </w:r>
      <w:r w:rsidRPr="00BF14DA">
        <w:rPr>
          <w:rFonts w:ascii="Garamond" w:hAnsi="Garamond"/>
          <w:color w:val="000000" w:themeColor="text1"/>
        </w:rPr>
        <w:t xml:space="preserve"> 13.</w:t>
      </w:r>
    </w:p>
  </w:footnote>
  <w:footnote w:id="102">
    <w:p w14:paraId="17FE38E5" w14:textId="6D492E9C"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O’Neill (n </w:t>
      </w:r>
      <w:r w:rsidR="00A5725D" w:rsidRPr="00BF14DA">
        <w:rPr>
          <w:rFonts w:ascii="Garamond" w:hAnsi="Garamond"/>
          <w:color w:val="000000" w:themeColor="text1"/>
        </w:rPr>
        <w:t>6</w:t>
      </w:r>
      <w:r w:rsidR="00653EE7" w:rsidRPr="00BF14DA">
        <w:rPr>
          <w:rFonts w:ascii="Garamond" w:hAnsi="Garamond"/>
          <w:color w:val="000000" w:themeColor="text1"/>
        </w:rPr>
        <w:t>5</w:t>
      </w:r>
      <w:r w:rsidRPr="00BF14DA">
        <w:rPr>
          <w:rFonts w:ascii="Garamond" w:hAnsi="Garamond"/>
          <w:color w:val="000000" w:themeColor="text1"/>
        </w:rPr>
        <w:t>) 253.</w:t>
      </w:r>
    </w:p>
  </w:footnote>
  <w:footnote w:id="103">
    <w:p w14:paraId="0ED9741F" w14:textId="2B8E1AEC"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Garcia (n </w:t>
      </w:r>
      <w:r w:rsidR="004D08BB" w:rsidRPr="00BF14DA">
        <w:rPr>
          <w:rFonts w:ascii="Garamond" w:hAnsi="Garamond"/>
          <w:color w:val="000000" w:themeColor="text1"/>
        </w:rPr>
        <w:t>62</w:t>
      </w:r>
      <w:r w:rsidRPr="00BF14DA">
        <w:rPr>
          <w:rFonts w:ascii="Garamond" w:hAnsi="Garamond"/>
          <w:color w:val="000000" w:themeColor="text1"/>
        </w:rPr>
        <w:t>) 81.</w:t>
      </w:r>
    </w:p>
  </w:footnote>
  <w:footnote w:id="104">
    <w:p w14:paraId="36945FC2" w14:textId="05AB9A24" w:rsidR="005716B1" w:rsidRPr="00BF14DA" w:rsidRDefault="005716B1">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A2574D" w:rsidRPr="00BF14DA">
        <w:rPr>
          <w:rFonts w:ascii="Garamond" w:hAnsi="Garamond"/>
          <w:color w:val="000000" w:themeColor="text1"/>
        </w:rPr>
        <w:t>Drakopoulou (n 1</w:t>
      </w:r>
      <w:r w:rsidR="004D08BB" w:rsidRPr="00BF14DA">
        <w:rPr>
          <w:rFonts w:ascii="Garamond" w:hAnsi="Garamond"/>
          <w:color w:val="000000" w:themeColor="text1"/>
        </w:rPr>
        <w:t>5</w:t>
      </w:r>
      <w:r w:rsidR="00A2574D" w:rsidRPr="00BF14DA">
        <w:rPr>
          <w:rFonts w:ascii="Garamond" w:hAnsi="Garamond"/>
          <w:color w:val="000000" w:themeColor="text1"/>
        </w:rPr>
        <w:t xml:space="preserve">) 29-30. </w:t>
      </w:r>
    </w:p>
  </w:footnote>
  <w:footnote w:id="105">
    <w:p w14:paraId="47489550" w14:textId="7002AE63"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Sharon Cow</w:t>
      </w:r>
      <w:r w:rsidR="00594BF6">
        <w:rPr>
          <w:rFonts w:ascii="Garamond" w:hAnsi="Garamond"/>
          <w:color w:val="000000" w:themeColor="text1"/>
        </w:rPr>
        <w:t>a</w:t>
      </w:r>
      <w:r w:rsidRPr="00BF14DA">
        <w:rPr>
          <w:rFonts w:ascii="Garamond" w:hAnsi="Garamond"/>
          <w:color w:val="000000" w:themeColor="text1"/>
        </w:rPr>
        <w:t xml:space="preserve">n, ‘’Freedom and </w:t>
      </w:r>
      <w:r w:rsidR="00A216E0">
        <w:rPr>
          <w:rFonts w:ascii="Garamond" w:hAnsi="Garamond"/>
          <w:color w:val="000000" w:themeColor="text1"/>
        </w:rPr>
        <w:t>c</w:t>
      </w:r>
      <w:r w:rsidRPr="00BF14DA">
        <w:rPr>
          <w:rFonts w:ascii="Garamond" w:hAnsi="Garamond"/>
          <w:color w:val="000000" w:themeColor="text1"/>
        </w:rPr>
        <w:t xml:space="preserve">apacity to </w:t>
      </w:r>
      <w:r w:rsidR="00A216E0">
        <w:rPr>
          <w:rFonts w:ascii="Garamond" w:hAnsi="Garamond"/>
          <w:color w:val="000000" w:themeColor="text1"/>
        </w:rPr>
        <w:t>m</w:t>
      </w:r>
      <w:r w:rsidRPr="00BF14DA">
        <w:rPr>
          <w:rFonts w:ascii="Garamond" w:hAnsi="Garamond"/>
          <w:color w:val="000000" w:themeColor="text1"/>
        </w:rPr>
        <w:t xml:space="preserve">ake a </w:t>
      </w:r>
      <w:r w:rsidR="00A216E0">
        <w:rPr>
          <w:rFonts w:ascii="Garamond" w:hAnsi="Garamond"/>
          <w:color w:val="000000" w:themeColor="text1"/>
        </w:rPr>
        <w:t>c</w:t>
      </w:r>
      <w:r w:rsidRPr="00BF14DA">
        <w:rPr>
          <w:rFonts w:ascii="Garamond" w:hAnsi="Garamond"/>
          <w:color w:val="000000" w:themeColor="text1"/>
        </w:rPr>
        <w:t>hoice</w:t>
      </w:r>
      <w:r w:rsidR="001C7FA4">
        <w:rPr>
          <w:rFonts w:ascii="Garamond" w:hAnsi="Garamond"/>
          <w:color w:val="000000" w:themeColor="text1"/>
        </w:rPr>
        <w:t>:</w:t>
      </w:r>
      <w:r w:rsidRPr="00BF14DA">
        <w:rPr>
          <w:rFonts w:ascii="Garamond" w:hAnsi="Garamond"/>
          <w:color w:val="000000" w:themeColor="text1"/>
        </w:rPr>
        <w:t xml:space="preserve"> A </w:t>
      </w:r>
      <w:r w:rsidR="001C7FA4">
        <w:rPr>
          <w:rFonts w:ascii="Garamond" w:hAnsi="Garamond"/>
          <w:color w:val="000000" w:themeColor="text1"/>
        </w:rPr>
        <w:t>f</w:t>
      </w:r>
      <w:r w:rsidRPr="00BF14DA">
        <w:rPr>
          <w:rFonts w:ascii="Garamond" w:hAnsi="Garamond"/>
          <w:color w:val="000000" w:themeColor="text1"/>
        </w:rPr>
        <w:t xml:space="preserve">eminist </w:t>
      </w:r>
      <w:r w:rsidR="001C7FA4">
        <w:rPr>
          <w:rFonts w:ascii="Garamond" w:hAnsi="Garamond"/>
          <w:color w:val="000000" w:themeColor="text1"/>
        </w:rPr>
        <w:t>a</w:t>
      </w:r>
      <w:r w:rsidRPr="00BF14DA">
        <w:rPr>
          <w:rFonts w:ascii="Garamond" w:hAnsi="Garamond"/>
          <w:color w:val="000000" w:themeColor="text1"/>
        </w:rPr>
        <w:t>nalysis of</w:t>
      </w:r>
      <w:r w:rsidR="001C7FA4">
        <w:rPr>
          <w:rFonts w:ascii="Garamond" w:hAnsi="Garamond"/>
          <w:color w:val="000000" w:themeColor="text1"/>
        </w:rPr>
        <w:t xml:space="preserve"> c</w:t>
      </w:r>
      <w:r w:rsidRPr="00BF14DA">
        <w:rPr>
          <w:rFonts w:ascii="Garamond" w:hAnsi="Garamond"/>
          <w:color w:val="000000" w:themeColor="text1"/>
        </w:rPr>
        <w:t>onsent in the</w:t>
      </w:r>
      <w:r w:rsidR="001C7FA4">
        <w:rPr>
          <w:rFonts w:ascii="Garamond" w:hAnsi="Garamond"/>
          <w:color w:val="000000" w:themeColor="text1"/>
        </w:rPr>
        <w:t xml:space="preserve"> c</w:t>
      </w:r>
      <w:r w:rsidRPr="00BF14DA">
        <w:rPr>
          <w:rFonts w:ascii="Garamond" w:hAnsi="Garamond"/>
          <w:color w:val="000000" w:themeColor="text1"/>
        </w:rPr>
        <w:t xml:space="preserve">riminal </w:t>
      </w:r>
      <w:r w:rsidR="001C7FA4">
        <w:rPr>
          <w:rFonts w:ascii="Garamond" w:hAnsi="Garamond"/>
          <w:color w:val="000000" w:themeColor="text1"/>
        </w:rPr>
        <w:t>l</w:t>
      </w:r>
      <w:r w:rsidRPr="00BF14DA">
        <w:rPr>
          <w:rFonts w:ascii="Garamond" w:hAnsi="Garamond"/>
          <w:color w:val="000000" w:themeColor="text1"/>
        </w:rPr>
        <w:t xml:space="preserve">aw of </w:t>
      </w:r>
      <w:r w:rsidR="001C7FA4">
        <w:rPr>
          <w:rFonts w:ascii="Garamond" w:hAnsi="Garamond"/>
          <w:color w:val="000000" w:themeColor="text1"/>
        </w:rPr>
        <w:t>r</w:t>
      </w:r>
      <w:r w:rsidRPr="00BF14DA">
        <w:rPr>
          <w:rFonts w:ascii="Garamond" w:hAnsi="Garamond"/>
          <w:color w:val="000000" w:themeColor="text1"/>
        </w:rPr>
        <w:t>ape’ in Vaness</w:t>
      </w:r>
      <w:r w:rsidR="009032F8">
        <w:rPr>
          <w:rFonts w:ascii="Garamond" w:hAnsi="Garamond"/>
          <w:color w:val="000000" w:themeColor="text1"/>
        </w:rPr>
        <w:t>a</w:t>
      </w:r>
      <w:r w:rsidRPr="00BF14DA">
        <w:rPr>
          <w:rFonts w:ascii="Garamond" w:hAnsi="Garamond"/>
          <w:color w:val="000000" w:themeColor="text1"/>
        </w:rPr>
        <w:t xml:space="preserve"> Munro and Carl </w:t>
      </w:r>
      <w:proofErr w:type="spellStart"/>
      <w:r w:rsidRPr="00BF14DA">
        <w:rPr>
          <w:rFonts w:ascii="Garamond" w:hAnsi="Garamond"/>
          <w:color w:val="000000" w:themeColor="text1"/>
        </w:rPr>
        <w:t>Stychin</w:t>
      </w:r>
      <w:proofErr w:type="spellEnd"/>
      <w:r w:rsidRPr="00BF14DA">
        <w:rPr>
          <w:rFonts w:ascii="Garamond" w:hAnsi="Garamond"/>
          <w:color w:val="000000" w:themeColor="text1"/>
        </w:rPr>
        <w:t xml:space="preserve"> (eds), </w:t>
      </w:r>
      <w:r w:rsidRPr="00BF14DA">
        <w:rPr>
          <w:rFonts w:ascii="Garamond" w:hAnsi="Garamond"/>
          <w:i/>
          <w:iCs/>
          <w:color w:val="000000" w:themeColor="text1"/>
        </w:rPr>
        <w:t xml:space="preserve">Sexuality and the Law: Feminist Engagements </w:t>
      </w:r>
      <w:r w:rsidRPr="00BF14DA">
        <w:rPr>
          <w:rFonts w:ascii="Garamond" w:hAnsi="Garamond"/>
          <w:color w:val="000000" w:themeColor="text1"/>
        </w:rPr>
        <w:t>(Routledge 2007) 51</w:t>
      </w:r>
      <w:r w:rsidR="00F6363D">
        <w:rPr>
          <w:rFonts w:ascii="Garamond" w:hAnsi="Garamond"/>
          <w:color w:val="000000" w:themeColor="text1"/>
        </w:rPr>
        <w:t>-71</w:t>
      </w:r>
      <w:r w:rsidRPr="00BF14DA">
        <w:rPr>
          <w:rFonts w:ascii="Garamond" w:hAnsi="Garamond"/>
          <w:color w:val="000000" w:themeColor="text1"/>
        </w:rPr>
        <w:t>, 52.</w:t>
      </w:r>
    </w:p>
  </w:footnote>
  <w:footnote w:id="106">
    <w:p w14:paraId="469505EA" w14:textId="77777777" w:rsidR="00BB30CD" w:rsidRPr="00BF14DA" w:rsidRDefault="00BB30CD" w:rsidP="00BB30C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w:t>
      </w:r>
    </w:p>
  </w:footnote>
  <w:footnote w:id="107">
    <w:p w14:paraId="3A5DB5EA" w14:textId="28F4D6BD"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Foreign Affairs Sub-Committee on the Overseas Territories, ‘Written evidence submitted by Chagos Islanders Movement (CHA0030)’ </w:t>
      </w:r>
      <w:r w:rsidR="009C76AA">
        <w:rPr>
          <w:rFonts w:ascii="Garamond" w:hAnsi="Garamond"/>
          <w:color w:val="000000" w:themeColor="text1"/>
        </w:rPr>
        <w:t>(</w:t>
      </w:r>
      <w:r w:rsidRPr="00BF14DA">
        <w:rPr>
          <w:rFonts w:ascii="Garamond" w:hAnsi="Garamond"/>
          <w:color w:val="000000" w:themeColor="text1"/>
        </w:rPr>
        <w:t>January 2024</w:t>
      </w:r>
      <w:r w:rsidR="009C76AA">
        <w:rPr>
          <w:rFonts w:ascii="Garamond" w:hAnsi="Garamond"/>
          <w:color w:val="000000" w:themeColor="text1"/>
        </w:rPr>
        <w:t>)</w:t>
      </w:r>
      <w:r w:rsidRPr="00BF14DA">
        <w:rPr>
          <w:rFonts w:ascii="Garamond" w:hAnsi="Garamond"/>
          <w:color w:val="000000" w:themeColor="text1"/>
        </w:rPr>
        <w:t xml:space="preserve"> </w:t>
      </w:r>
      <w:hyperlink r:id="rId19" w:history="1">
        <w:r w:rsidR="009C76AA" w:rsidRPr="009E2B24">
          <w:rPr>
            <w:rStyle w:val="Hyperlink"/>
            <w:rFonts w:ascii="Garamond" w:hAnsi="Garamond"/>
          </w:rPr>
          <w:t>https://committees.parliament.uk/writtenevidence/128102/html/</w:t>
        </w:r>
      </w:hyperlink>
      <w:r w:rsidR="009C76AA">
        <w:rPr>
          <w:rFonts w:ascii="Garamond" w:hAnsi="Garamond"/>
          <w:color w:val="000000" w:themeColor="text1"/>
        </w:rPr>
        <w:t xml:space="preserve"> </w:t>
      </w:r>
      <w:r w:rsidRPr="00BF14DA">
        <w:rPr>
          <w:rFonts w:ascii="Garamond" w:hAnsi="Garamond"/>
          <w:color w:val="000000" w:themeColor="text1"/>
        </w:rPr>
        <w:t>accessed 25 October 2025.</w:t>
      </w:r>
    </w:p>
  </w:footnote>
  <w:footnote w:id="108">
    <w:p w14:paraId="3818AF85" w14:textId="53DED093"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proofErr w:type="spellStart"/>
      <w:r w:rsidRPr="00BF14DA">
        <w:rPr>
          <w:rFonts w:ascii="Garamond" w:hAnsi="Garamond"/>
          <w:color w:val="000000" w:themeColor="text1"/>
        </w:rPr>
        <w:t>Anghie</w:t>
      </w:r>
      <w:proofErr w:type="spellEnd"/>
      <w:r w:rsidRPr="00BF14DA">
        <w:rPr>
          <w:rFonts w:ascii="Garamond" w:hAnsi="Garamond"/>
          <w:color w:val="000000" w:themeColor="text1"/>
        </w:rPr>
        <w:t xml:space="preserve"> (n </w:t>
      </w:r>
      <w:r w:rsidR="006C0D86" w:rsidRPr="00BF14DA">
        <w:rPr>
          <w:rFonts w:ascii="Garamond" w:hAnsi="Garamond"/>
          <w:color w:val="000000" w:themeColor="text1"/>
        </w:rPr>
        <w:t>4</w:t>
      </w:r>
      <w:r w:rsidR="0070289E" w:rsidRPr="00BF14DA">
        <w:rPr>
          <w:rFonts w:ascii="Garamond" w:hAnsi="Garamond"/>
          <w:color w:val="000000" w:themeColor="text1"/>
        </w:rPr>
        <w:t>4</w:t>
      </w:r>
      <w:r w:rsidRPr="00BF14DA">
        <w:rPr>
          <w:rFonts w:ascii="Garamond" w:hAnsi="Garamond"/>
          <w:color w:val="000000" w:themeColor="text1"/>
        </w:rPr>
        <w:t>) 240.</w:t>
      </w:r>
    </w:p>
  </w:footnote>
  <w:footnote w:id="109">
    <w:p w14:paraId="26124F2B" w14:textId="25F46EEC"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Lythgoe (n</w:t>
      </w:r>
      <w:r w:rsidR="006C0D86" w:rsidRPr="00BF14DA">
        <w:rPr>
          <w:rFonts w:ascii="Garamond" w:hAnsi="Garamond"/>
          <w:color w:val="000000" w:themeColor="text1"/>
        </w:rPr>
        <w:t xml:space="preserve"> 3</w:t>
      </w:r>
      <w:r w:rsidR="0070289E" w:rsidRPr="00BF14DA">
        <w:rPr>
          <w:rFonts w:ascii="Garamond" w:hAnsi="Garamond"/>
          <w:color w:val="000000" w:themeColor="text1"/>
        </w:rPr>
        <w:t>9</w:t>
      </w:r>
      <w:r w:rsidRPr="00BF14DA">
        <w:rPr>
          <w:rFonts w:ascii="Garamond" w:hAnsi="Garamond"/>
          <w:color w:val="000000" w:themeColor="text1"/>
        </w:rPr>
        <w:t>) 315.</w:t>
      </w:r>
    </w:p>
  </w:footnote>
  <w:footnote w:id="110">
    <w:p w14:paraId="2773F3E6" w14:textId="2D500D35"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proofErr w:type="spellStart"/>
      <w:r w:rsidRPr="00BF14DA">
        <w:rPr>
          <w:rFonts w:ascii="Garamond" w:hAnsi="Garamond"/>
          <w:color w:val="000000" w:themeColor="text1"/>
        </w:rPr>
        <w:t>Anghie</w:t>
      </w:r>
      <w:proofErr w:type="spellEnd"/>
      <w:r w:rsidRPr="00BF14DA">
        <w:rPr>
          <w:rFonts w:ascii="Garamond" w:hAnsi="Garamond"/>
          <w:color w:val="000000" w:themeColor="text1"/>
        </w:rPr>
        <w:t xml:space="preserve"> (n </w:t>
      </w:r>
      <w:r w:rsidR="006C0D86" w:rsidRPr="00BF14DA">
        <w:rPr>
          <w:rFonts w:ascii="Garamond" w:hAnsi="Garamond"/>
          <w:color w:val="000000" w:themeColor="text1"/>
        </w:rPr>
        <w:t>4</w:t>
      </w:r>
      <w:r w:rsidR="0070289E" w:rsidRPr="00BF14DA">
        <w:rPr>
          <w:rFonts w:ascii="Garamond" w:hAnsi="Garamond"/>
          <w:color w:val="000000" w:themeColor="text1"/>
        </w:rPr>
        <w:t>4</w:t>
      </w:r>
      <w:r w:rsidRPr="00BF14DA">
        <w:rPr>
          <w:rFonts w:ascii="Garamond" w:hAnsi="Garamond"/>
          <w:color w:val="000000" w:themeColor="text1"/>
        </w:rPr>
        <w:t>) 241.</w:t>
      </w:r>
    </w:p>
  </w:footnote>
  <w:footnote w:id="111">
    <w:p w14:paraId="266078C7" w14:textId="641C86F0"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6C0D86" w:rsidRPr="00BF14DA">
        <w:rPr>
          <w:rFonts w:ascii="Garamond" w:hAnsi="Garamond"/>
          <w:color w:val="000000" w:themeColor="text1"/>
        </w:rPr>
        <w:t>ibid</w:t>
      </w:r>
      <w:r w:rsidRPr="00BF14DA">
        <w:rPr>
          <w:rFonts w:ascii="Garamond" w:hAnsi="Garamond"/>
          <w:color w:val="000000" w:themeColor="text1"/>
        </w:rPr>
        <w:t xml:space="preserve"> 240.</w:t>
      </w:r>
    </w:p>
  </w:footnote>
  <w:footnote w:id="112">
    <w:p w14:paraId="5E0622F0" w14:textId="42B7B6CC"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citing Siba </w:t>
      </w:r>
      <w:proofErr w:type="spellStart"/>
      <w:r w:rsidRPr="00BF14DA">
        <w:rPr>
          <w:rFonts w:ascii="Garamond" w:hAnsi="Garamond"/>
          <w:color w:val="000000" w:themeColor="text1"/>
        </w:rPr>
        <w:t>N’Zatioula</w:t>
      </w:r>
      <w:proofErr w:type="spellEnd"/>
      <w:r w:rsidRPr="00BF14DA">
        <w:rPr>
          <w:rFonts w:ascii="Garamond" w:hAnsi="Garamond"/>
          <w:color w:val="000000" w:themeColor="text1"/>
        </w:rPr>
        <w:t xml:space="preserve"> </w:t>
      </w:r>
      <w:proofErr w:type="spellStart"/>
      <w:r w:rsidRPr="00BF14DA">
        <w:rPr>
          <w:rFonts w:ascii="Garamond" w:hAnsi="Garamond"/>
          <w:color w:val="000000" w:themeColor="text1"/>
        </w:rPr>
        <w:t>Grovogui</w:t>
      </w:r>
      <w:proofErr w:type="spellEnd"/>
      <w:r w:rsidRPr="00BF14DA">
        <w:rPr>
          <w:rFonts w:ascii="Garamond" w:hAnsi="Garamond"/>
          <w:color w:val="000000" w:themeColor="text1"/>
        </w:rPr>
        <w:t xml:space="preserve">, </w:t>
      </w:r>
      <w:r w:rsidRPr="00BF14DA">
        <w:rPr>
          <w:rFonts w:ascii="Garamond" w:hAnsi="Garamond"/>
          <w:i/>
          <w:iCs/>
          <w:color w:val="000000" w:themeColor="text1"/>
        </w:rPr>
        <w:t>Sovereigns, Quasi Sovereigns, and Africans: Race and Self-Determination in International Law</w:t>
      </w:r>
      <w:r w:rsidRPr="00BF14DA">
        <w:rPr>
          <w:rFonts w:ascii="Garamond" w:hAnsi="Garamond"/>
          <w:color w:val="000000" w:themeColor="text1"/>
        </w:rPr>
        <w:t xml:space="preserve"> (University of Minnesota Press, 1996) 80.</w:t>
      </w:r>
    </w:p>
  </w:footnote>
  <w:footnote w:id="113">
    <w:p w14:paraId="2C773751" w14:textId="2A8C1EA3"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240</w:t>
      </w:r>
      <w:r w:rsidR="001D7BC0" w:rsidRPr="00BF14DA">
        <w:rPr>
          <w:rFonts w:ascii="Garamond" w:hAnsi="Garamond"/>
          <w:color w:val="000000" w:themeColor="text1"/>
        </w:rPr>
        <w:t>.</w:t>
      </w:r>
    </w:p>
  </w:footnote>
  <w:footnote w:id="114">
    <w:p w14:paraId="7491E801" w14:textId="71816AC2"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Chagos Islanders Movement (CHA0030) (n </w:t>
      </w:r>
      <w:r w:rsidR="00185011" w:rsidRPr="00BF14DA">
        <w:rPr>
          <w:rFonts w:ascii="Garamond" w:hAnsi="Garamond"/>
          <w:color w:val="000000" w:themeColor="text1"/>
        </w:rPr>
        <w:t>10</w:t>
      </w:r>
      <w:r w:rsidR="00805872" w:rsidRPr="00BF14DA">
        <w:rPr>
          <w:rFonts w:ascii="Garamond" w:hAnsi="Garamond"/>
          <w:color w:val="000000" w:themeColor="text1"/>
        </w:rPr>
        <w:t>6</w:t>
      </w:r>
      <w:r w:rsidRPr="00BF14DA">
        <w:rPr>
          <w:rFonts w:ascii="Garamond" w:hAnsi="Garamond"/>
          <w:color w:val="000000" w:themeColor="text1"/>
        </w:rPr>
        <w:t xml:space="preserve">). </w:t>
      </w:r>
    </w:p>
  </w:footnote>
  <w:footnote w:id="115">
    <w:p w14:paraId="1C7E5671" w14:textId="78064741"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34599F" w:rsidRPr="00BF14DA">
        <w:rPr>
          <w:rFonts w:ascii="Garamond" w:hAnsi="Garamond"/>
          <w:color w:val="000000" w:themeColor="text1"/>
        </w:rPr>
        <w:t xml:space="preserve">The racist nature of this is </w:t>
      </w:r>
      <w:r w:rsidR="002A2957" w:rsidRPr="00BF14DA">
        <w:rPr>
          <w:rFonts w:ascii="Garamond" w:hAnsi="Garamond"/>
          <w:color w:val="000000" w:themeColor="text1"/>
        </w:rPr>
        <w:t xml:space="preserve">clear </w:t>
      </w:r>
      <w:r w:rsidR="00BB7347" w:rsidRPr="00BF14DA">
        <w:rPr>
          <w:rFonts w:ascii="Garamond" w:hAnsi="Garamond"/>
          <w:color w:val="000000" w:themeColor="text1"/>
        </w:rPr>
        <w:t>in</w:t>
      </w:r>
      <w:r w:rsidR="002A2957" w:rsidRPr="00BF14DA">
        <w:rPr>
          <w:rFonts w:ascii="Garamond" w:hAnsi="Garamond"/>
          <w:color w:val="000000" w:themeColor="text1"/>
        </w:rPr>
        <w:t xml:space="preserve"> the use of derogatory terms such as ‘Tarzans’ and ‘Man Fridays’ in internal </w:t>
      </w:r>
      <w:r w:rsidR="00BB7347" w:rsidRPr="00BF14DA">
        <w:rPr>
          <w:rFonts w:ascii="Garamond" w:hAnsi="Garamond"/>
          <w:color w:val="000000" w:themeColor="text1"/>
        </w:rPr>
        <w:t>state official communications</w:t>
      </w:r>
      <w:r w:rsidR="006D54C6">
        <w:rPr>
          <w:rFonts w:ascii="Garamond" w:hAnsi="Garamond"/>
          <w:color w:val="000000" w:themeColor="text1"/>
        </w:rPr>
        <w:t>:</w:t>
      </w:r>
      <w:r w:rsidR="00BB7347" w:rsidRPr="00BF14DA">
        <w:rPr>
          <w:rFonts w:ascii="Garamond" w:hAnsi="Garamond"/>
          <w:color w:val="000000" w:themeColor="text1"/>
        </w:rPr>
        <w:t xml:space="preserve"> </w:t>
      </w:r>
      <w:r w:rsidRPr="00BF14DA">
        <w:rPr>
          <w:rFonts w:ascii="Garamond" w:hAnsi="Garamond"/>
          <w:color w:val="000000" w:themeColor="text1"/>
        </w:rPr>
        <w:t>ibid.</w:t>
      </w:r>
    </w:p>
  </w:footnote>
  <w:footnote w:id="116">
    <w:p w14:paraId="35C6EC11" w14:textId="258F1566"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Laura Jeffery, </w:t>
      </w:r>
      <w:r w:rsidRPr="00BF14DA">
        <w:rPr>
          <w:rFonts w:ascii="Garamond" w:hAnsi="Garamond"/>
          <w:i/>
          <w:iCs/>
          <w:color w:val="000000" w:themeColor="text1"/>
        </w:rPr>
        <w:t>Chagos Islanders in Mauritius and the UK</w:t>
      </w:r>
      <w:r w:rsidR="009D1247">
        <w:rPr>
          <w:rFonts w:ascii="Garamond" w:hAnsi="Garamond"/>
          <w:i/>
          <w:iCs/>
          <w:color w:val="000000" w:themeColor="text1"/>
        </w:rPr>
        <w:t>:</w:t>
      </w:r>
      <w:r w:rsidRPr="00BF14DA">
        <w:rPr>
          <w:rFonts w:ascii="Garamond" w:hAnsi="Garamond"/>
          <w:i/>
          <w:iCs/>
          <w:color w:val="000000" w:themeColor="text1"/>
        </w:rPr>
        <w:t xml:space="preserve"> Forced Displacement and Onward Migration </w:t>
      </w:r>
      <w:r w:rsidRPr="00BF14DA">
        <w:rPr>
          <w:rFonts w:ascii="Garamond" w:hAnsi="Garamond"/>
          <w:color w:val="000000" w:themeColor="text1"/>
        </w:rPr>
        <w:t>(Manchester University Press 201</w:t>
      </w:r>
      <w:r w:rsidR="00363185">
        <w:rPr>
          <w:rFonts w:ascii="Garamond" w:hAnsi="Garamond"/>
          <w:color w:val="000000" w:themeColor="text1"/>
        </w:rPr>
        <w:t>3</w:t>
      </w:r>
      <w:r w:rsidRPr="00BF14DA">
        <w:rPr>
          <w:rFonts w:ascii="Garamond" w:hAnsi="Garamond"/>
          <w:color w:val="000000" w:themeColor="text1"/>
        </w:rPr>
        <w:t>)</w:t>
      </w:r>
      <w:r w:rsidRPr="00BF14DA">
        <w:rPr>
          <w:rFonts w:ascii="Garamond" w:hAnsi="Garamond"/>
          <w:i/>
          <w:iCs/>
          <w:color w:val="000000" w:themeColor="text1"/>
        </w:rPr>
        <w:t xml:space="preserve"> </w:t>
      </w:r>
      <w:r w:rsidRPr="00BF14DA">
        <w:rPr>
          <w:rFonts w:ascii="Garamond" w:hAnsi="Garamond"/>
          <w:color w:val="000000" w:themeColor="text1"/>
        </w:rPr>
        <w:t xml:space="preserve">cited in Kinnari Bhatt, ‘A postcolonial legal approach to the Chagos case and the (dis)application of land rights norms’ (2019) 15(1) </w:t>
      </w:r>
      <w:r w:rsidRPr="00363185">
        <w:rPr>
          <w:rFonts w:ascii="Garamond" w:hAnsi="Garamond"/>
          <w:i/>
          <w:iCs/>
          <w:color w:val="000000" w:themeColor="text1"/>
        </w:rPr>
        <w:t>International Journal of the Law in Context</w:t>
      </w:r>
      <w:r w:rsidRPr="00BF14DA">
        <w:rPr>
          <w:rFonts w:ascii="Garamond" w:hAnsi="Garamond"/>
          <w:color w:val="000000" w:themeColor="text1"/>
        </w:rPr>
        <w:t xml:space="preserve"> 1, 3-4.</w:t>
      </w:r>
    </w:p>
  </w:footnote>
  <w:footnote w:id="117">
    <w:p w14:paraId="2B5B18CD" w14:textId="55317BA7"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Bhatt</w:t>
      </w:r>
      <w:r w:rsidR="00587B22">
        <w:rPr>
          <w:rFonts w:ascii="Garamond" w:hAnsi="Garamond"/>
          <w:color w:val="000000" w:themeColor="text1"/>
        </w:rPr>
        <w:t>, ibid</w:t>
      </w:r>
      <w:r w:rsidRPr="00BF14DA">
        <w:rPr>
          <w:rFonts w:ascii="Garamond" w:hAnsi="Garamond"/>
          <w:color w:val="000000" w:themeColor="text1"/>
        </w:rPr>
        <w:t xml:space="preserve"> 6.</w:t>
      </w:r>
    </w:p>
  </w:footnote>
  <w:footnote w:id="118">
    <w:p w14:paraId="60D33508" w14:textId="680A661F"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See Jeffery (n </w:t>
      </w:r>
      <w:r w:rsidR="00CE07AF" w:rsidRPr="00BF14DA">
        <w:rPr>
          <w:rFonts w:ascii="Garamond" w:hAnsi="Garamond"/>
          <w:color w:val="000000" w:themeColor="text1"/>
        </w:rPr>
        <w:t>11</w:t>
      </w:r>
      <w:r w:rsidR="003C3488" w:rsidRPr="00BF14DA">
        <w:rPr>
          <w:rFonts w:ascii="Garamond" w:hAnsi="Garamond"/>
          <w:color w:val="000000" w:themeColor="text1"/>
        </w:rPr>
        <w:t>5</w:t>
      </w:r>
      <w:r w:rsidRPr="00BF14DA">
        <w:rPr>
          <w:rFonts w:ascii="Garamond" w:hAnsi="Garamond"/>
          <w:color w:val="000000" w:themeColor="text1"/>
        </w:rPr>
        <w:t xml:space="preserve">); Vine (n </w:t>
      </w:r>
      <w:r w:rsidR="007A45FB" w:rsidRPr="00BF14DA">
        <w:rPr>
          <w:rFonts w:ascii="Garamond" w:hAnsi="Garamond"/>
          <w:color w:val="000000" w:themeColor="text1"/>
        </w:rPr>
        <w:t>60</w:t>
      </w:r>
      <w:r w:rsidRPr="00BF14DA">
        <w:rPr>
          <w:rFonts w:ascii="Garamond" w:hAnsi="Garamond"/>
          <w:color w:val="000000" w:themeColor="text1"/>
        </w:rPr>
        <w:t xml:space="preserve">). </w:t>
      </w:r>
    </w:p>
  </w:footnote>
  <w:footnote w:id="119">
    <w:p w14:paraId="21A65577" w14:textId="7086930A"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Laleh Khalili, </w:t>
      </w:r>
      <w:r w:rsidRPr="00BF14DA">
        <w:rPr>
          <w:rFonts w:ascii="Garamond" w:hAnsi="Garamond"/>
          <w:i/>
          <w:iCs/>
          <w:color w:val="000000" w:themeColor="text1"/>
        </w:rPr>
        <w:t xml:space="preserve">Extractive Capitalism: How </w:t>
      </w:r>
      <w:r w:rsidR="00122835">
        <w:rPr>
          <w:rFonts w:ascii="Garamond" w:hAnsi="Garamond"/>
          <w:i/>
          <w:iCs/>
          <w:color w:val="000000" w:themeColor="text1"/>
        </w:rPr>
        <w:t>C</w:t>
      </w:r>
      <w:r w:rsidRPr="00BF14DA">
        <w:rPr>
          <w:rFonts w:ascii="Garamond" w:hAnsi="Garamond"/>
          <w:i/>
          <w:iCs/>
          <w:color w:val="000000" w:themeColor="text1"/>
        </w:rPr>
        <w:t xml:space="preserve">ommodities and </w:t>
      </w:r>
      <w:r w:rsidR="00122835">
        <w:rPr>
          <w:rFonts w:ascii="Garamond" w:hAnsi="Garamond"/>
          <w:i/>
          <w:iCs/>
          <w:color w:val="000000" w:themeColor="text1"/>
        </w:rPr>
        <w:t>C</w:t>
      </w:r>
      <w:r w:rsidRPr="00BF14DA">
        <w:rPr>
          <w:rFonts w:ascii="Garamond" w:hAnsi="Garamond"/>
          <w:i/>
          <w:iCs/>
          <w:color w:val="000000" w:themeColor="text1"/>
        </w:rPr>
        <w:t xml:space="preserve">ronyism </w:t>
      </w:r>
      <w:r w:rsidR="00122835">
        <w:rPr>
          <w:rFonts w:ascii="Garamond" w:hAnsi="Garamond"/>
          <w:i/>
          <w:iCs/>
          <w:color w:val="000000" w:themeColor="text1"/>
        </w:rPr>
        <w:t>D</w:t>
      </w:r>
      <w:r w:rsidRPr="00BF14DA">
        <w:rPr>
          <w:rFonts w:ascii="Garamond" w:hAnsi="Garamond"/>
          <w:i/>
          <w:iCs/>
          <w:color w:val="000000" w:themeColor="text1"/>
        </w:rPr>
        <w:t xml:space="preserve">rive the </w:t>
      </w:r>
      <w:r w:rsidR="00122835">
        <w:rPr>
          <w:rFonts w:ascii="Garamond" w:hAnsi="Garamond"/>
          <w:i/>
          <w:iCs/>
          <w:color w:val="000000" w:themeColor="text1"/>
        </w:rPr>
        <w:t>G</w:t>
      </w:r>
      <w:r w:rsidRPr="00BF14DA">
        <w:rPr>
          <w:rFonts w:ascii="Garamond" w:hAnsi="Garamond"/>
          <w:i/>
          <w:iCs/>
          <w:color w:val="000000" w:themeColor="text1"/>
        </w:rPr>
        <w:t xml:space="preserve">lobal </w:t>
      </w:r>
      <w:r w:rsidR="00122835">
        <w:rPr>
          <w:rFonts w:ascii="Garamond" w:hAnsi="Garamond"/>
          <w:i/>
          <w:iCs/>
          <w:color w:val="000000" w:themeColor="text1"/>
        </w:rPr>
        <w:t>E</w:t>
      </w:r>
      <w:r w:rsidRPr="00BF14DA">
        <w:rPr>
          <w:rFonts w:ascii="Garamond" w:hAnsi="Garamond"/>
          <w:i/>
          <w:iCs/>
          <w:color w:val="000000" w:themeColor="text1"/>
        </w:rPr>
        <w:t xml:space="preserve">conomy </w:t>
      </w:r>
      <w:r w:rsidRPr="00BF14DA">
        <w:rPr>
          <w:rFonts w:ascii="Garamond" w:hAnsi="Garamond"/>
          <w:color w:val="000000" w:themeColor="text1"/>
        </w:rPr>
        <w:t>(</w:t>
      </w:r>
      <w:r w:rsidR="00A21126">
        <w:rPr>
          <w:rFonts w:ascii="Garamond" w:hAnsi="Garamond"/>
          <w:color w:val="000000" w:themeColor="text1"/>
        </w:rPr>
        <w:t>Verso</w:t>
      </w:r>
      <w:r w:rsidRPr="00BF14DA">
        <w:rPr>
          <w:rFonts w:ascii="Garamond" w:hAnsi="Garamond"/>
          <w:color w:val="000000" w:themeColor="text1"/>
        </w:rPr>
        <w:t xml:space="preserve"> 2025) 100.</w:t>
      </w:r>
    </w:p>
  </w:footnote>
  <w:footnote w:id="120">
    <w:p w14:paraId="05297CBE" w14:textId="294A30A0"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8F7169" w:rsidRPr="00BF14DA">
        <w:rPr>
          <w:rFonts w:ascii="Garamond" w:hAnsi="Garamond"/>
          <w:color w:val="000000" w:themeColor="text1"/>
        </w:rPr>
        <w:t>ibid</w:t>
      </w:r>
      <w:r w:rsidR="000123A4" w:rsidRPr="00BF14DA">
        <w:rPr>
          <w:rFonts w:ascii="Garamond" w:hAnsi="Garamond"/>
          <w:color w:val="000000" w:themeColor="text1"/>
        </w:rPr>
        <w:t xml:space="preserve"> 105.</w:t>
      </w:r>
      <w:r w:rsidR="008F7169" w:rsidRPr="00BF14DA">
        <w:rPr>
          <w:rFonts w:ascii="Garamond" w:hAnsi="Garamond"/>
          <w:color w:val="000000" w:themeColor="text1"/>
        </w:rPr>
        <w:t xml:space="preserve"> </w:t>
      </w:r>
    </w:p>
  </w:footnote>
  <w:footnote w:id="121">
    <w:p w14:paraId="23A33594" w14:textId="2A8B949D"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1841F6" w:rsidRPr="00BF14DA">
        <w:rPr>
          <w:rFonts w:ascii="Garamond" w:hAnsi="Garamond"/>
          <w:color w:val="000000" w:themeColor="text1"/>
        </w:rPr>
        <w:t>Jacob Goldberg, ‘Diego Garcia: Where the Refugee Convention doesn’t apply’</w:t>
      </w:r>
      <w:r w:rsidR="00A90361">
        <w:rPr>
          <w:rFonts w:ascii="Garamond" w:hAnsi="Garamond"/>
          <w:color w:val="000000" w:themeColor="text1"/>
        </w:rPr>
        <w:t>,</w:t>
      </w:r>
      <w:r w:rsidR="001841F6" w:rsidRPr="00BF14DA">
        <w:rPr>
          <w:rFonts w:ascii="Garamond" w:hAnsi="Garamond"/>
          <w:color w:val="000000" w:themeColor="text1"/>
        </w:rPr>
        <w:t xml:space="preserve"> </w:t>
      </w:r>
      <w:r w:rsidR="001841F6" w:rsidRPr="00BF14DA">
        <w:rPr>
          <w:rFonts w:ascii="Garamond" w:hAnsi="Garamond"/>
          <w:i/>
          <w:iCs/>
          <w:color w:val="000000" w:themeColor="text1"/>
        </w:rPr>
        <w:t xml:space="preserve">The New Humanitarian </w:t>
      </w:r>
      <w:r w:rsidR="00452C20" w:rsidRPr="00BF14DA">
        <w:rPr>
          <w:rFonts w:ascii="Garamond" w:hAnsi="Garamond"/>
          <w:color w:val="000000" w:themeColor="text1"/>
        </w:rPr>
        <w:t>(</w:t>
      </w:r>
      <w:r w:rsidR="001841F6" w:rsidRPr="00BF14DA">
        <w:rPr>
          <w:rFonts w:ascii="Garamond" w:hAnsi="Garamond"/>
          <w:color w:val="000000" w:themeColor="text1"/>
        </w:rPr>
        <w:t xml:space="preserve">15 September 2022) </w:t>
      </w:r>
      <w:hyperlink r:id="rId20" w:history="1">
        <w:r w:rsidR="00A90361" w:rsidRPr="009E2B24">
          <w:rPr>
            <w:rStyle w:val="Hyperlink"/>
            <w:rFonts w:ascii="Garamond" w:hAnsi="Garamond"/>
          </w:rPr>
          <w:t>https://www.thenewhumanitarian.org/news-feature/2022/09/15/Diego-Garcia-UK-island-Refugee-Convention</w:t>
        </w:r>
      </w:hyperlink>
      <w:r w:rsidR="00A90361">
        <w:rPr>
          <w:rFonts w:ascii="Garamond" w:hAnsi="Garamond"/>
          <w:color w:val="000000" w:themeColor="text1"/>
        </w:rPr>
        <w:t xml:space="preserve"> </w:t>
      </w:r>
      <w:r w:rsidR="001841F6" w:rsidRPr="00BF14DA">
        <w:rPr>
          <w:rFonts w:ascii="Garamond" w:hAnsi="Garamond"/>
          <w:color w:val="000000" w:themeColor="text1"/>
        </w:rPr>
        <w:t xml:space="preserve">accessed </w:t>
      </w:r>
      <w:r w:rsidR="00C63CEA" w:rsidRPr="00BF14DA">
        <w:rPr>
          <w:rFonts w:ascii="Garamond" w:hAnsi="Garamond"/>
          <w:color w:val="000000" w:themeColor="text1"/>
        </w:rPr>
        <w:t>24 September 2025.</w:t>
      </w:r>
    </w:p>
  </w:footnote>
  <w:footnote w:id="122">
    <w:p w14:paraId="474B3D37" w14:textId="41E873A7"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6576AB" w:rsidRPr="00BF14DA">
        <w:rPr>
          <w:rFonts w:ascii="Garamond" w:hAnsi="Garamond"/>
          <w:color w:val="000000" w:themeColor="text1"/>
        </w:rPr>
        <w:t>Idrees Ali and Phill Stewart, ‘US military replaces B-2 bombers that were sent amid Middle East tensions’</w:t>
      </w:r>
      <w:r w:rsidR="00A90361">
        <w:rPr>
          <w:rFonts w:ascii="Garamond" w:hAnsi="Garamond"/>
          <w:color w:val="000000" w:themeColor="text1"/>
        </w:rPr>
        <w:t>,</w:t>
      </w:r>
      <w:r w:rsidR="006576AB" w:rsidRPr="00BF14DA">
        <w:rPr>
          <w:rFonts w:ascii="Garamond" w:hAnsi="Garamond"/>
          <w:color w:val="000000" w:themeColor="text1"/>
        </w:rPr>
        <w:t xml:space="preserve"> </w:t>
      </w:r>
      <w:r w:rsidR="00DD3493" w:rsidRPr="00BF14DA">
        <w:rPr>
          <w:rFonts w:ascii="Garamond" w:hAnsi="Garamond"/>
          <w:i/>
          <w:iCs/>
          <w:color w:val="000000" w:themeColor="text1"/>
        </w:rPr>
        <w:t>Reuters</w:t>
      </w:r>
      <w:r w:rsidR="00452C20" w:rsidRPr="00BF14DA">
        <w:rPr>
          <w:rFonts w:ascii="Garamond" w:hAnsi="Garamond"/>
          <w:i/>
          <w:iCs/>
          <w:color w:val="000000" w:themeColor="text1"/>
        </w:rPr>
        <w:t xml:space="preserve"> </w:t>
      </w:r>
      <w:r w:rsidR="00452C20" w:rsidRPr="00BF14DA">
        <w:rPr>
          <w:rFonts w:ascii="Garamond" w:hAnsi="Garamond"/>
          <w:color w:val="000000" w:themeColor="text1"/>
        </w:rPr>
        <w:t>(</w:t>
      </w:r>
      <w:r w:rsidR="00DD3493" w:rsidRPr="00BF14DA">
        <w:rPr>
          <w:rFonts w:ascii="Garamond" w:hAnsi="Garamond"/>
          <w:color w:val="000000" w:themeColor="text1"/>
        </w:rPr>
        <w:t xml:space="preserve">12 May 2025) </w:t>
      </w:r>
      <w:hyperlink r:id="rId21" w:history="1">
        <w:r w:rsidR="00A90361" w:rsidRPr="009E2B24">
          <w:rPr>
            <w:rStyle w:val="Hyperlink"/>
            <w:rFonts w:ascii="Garamond" w:hAnsi="Garamond"/>
          </w:rPr>
          <w:t>https://www.reuters.com/business/aerospace-defense/us-military-replaces-b-2-bombers-that-were-sent-amid-middle-east-tensions-2025-05-12/</w:t>
        </w:r>
      </w:hyperlink>
      <w:r w:rsidR="00A90361">
        <w:rPr>
          <w:rFonts w:ascii="Garamond" w:hAnsi="Garamond"/>
          <w:color w:val="000000" w:themeColor="text1"/>
        </w:rPr>
        <w:t xml:space="preserve"> </w:t>
      </w:r>
      <w:r w:rsidR="00DD3493" w:rsidRPr="00BF14DA">
        <w:rPr>
          <w:rFonts w:ascii="Garamond" w:hAnsi="Garamond"/>
          <w:color w:val="000000" w:themeColor="text1"/>
        </w:rPr>
        <w:t>accessed 24 September 2025.</w:t>
      </w:r>
    </w:p>
  </w:footnote>
  <w:footnote w:id="123">
    <w:p w14:paraId="2C7847A4" w14:textId="761EB6EE"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4E6121" w:rsidRPr="00BF14DA">
        <w:rPr>
          <w:rFonts w:ascii="Garamond" w:hAnsi="Garamond"/>
          <w:color w:val="000000" w:themeColor="text1"/>
        </w:rPr>
        <w:t>Khalili (n 11</w:t>
      </w:r>
      <w:r w:rsidR="00C50BAE" w:rsidRPr="00BF14DA">
        <w:rPr>
          <w:rFonts w:ascii="Garamond" w:hAnsi="Garamond"/>
          <w:color w:val="000000" w:themeColor="text1"/>
        </w:rPr>
        <w:t>8</w:t>
      </w:r>
      <w:r w:rsidR="004E6121" w:rsidRPr="00BF14DA">
        <w:rPr>
          <w:rFonts w:ascii="Garamond" w:hAnsi="Garamond"/>
          <w:color w:val="000000" w:themeColor="text1"/>
        </w:rPr>
        <w:t>)</w:t>
      </w:r>
      <w:r w:rsidRPr="00BF14DA">
        <w:rPr>
          <w:rFonts w:ascii="Garamond" w:hAnsi="Garamond"/>
          <w:color w:val="000000" w:themeColor="text1"/>
        </w:rPr>
        <w:t xml:space="preserve"> 97-98.</w:t>
      </w:r>
    </w:p>
  </w:footnote>
  <w:footnote w:id="124">
    <w:p w14:paraId="1D611E32" w14:textId="0DA99C59"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Chagos Arbitration (n </w:t>
      </w:r>
      <w:r w:rsidR="008E51E0" w:rsidRPr="00BF14DA">
        <w:rPr>
          <w:rFonts w:ascii="Garamond" w:hAnsi="Garamond"/>
          <w:color w:val="000000" w:themeColor="text1"/>
        </w:rPr>
        <w:t>6</w:t>
      </w:r>
      <w:r w:rsidR="009F704B" w:rsidRPr="00BF14DA">
        <w:rPr>
          <w:rFonts w:ascii="Garamond" w:hAnsi="Garamond"/>
          <w:color w:val="000000" w:themeColor="text1"/>
        </w:rPr>
        <w:t>7</w:t>
      </w:r>
      <w:r w:rsidRPr="00BF14DA">
        <w:rPr>
          <w:rFonts w:ascii="Garamond" w:hAnsi="Garamond"/>
          <w:color w:val="000000" w:themeColor="text1"/>
        </w:rPr>
        <w:t>) 128</w:t>
      </w:r>
      <w:r w:rsidR="00BF14DA">
        <w:rPr>
          <w:rFonts w:ascii="Garamond" w:hAnsi="Garamond"/>
          <w:color w:val="000000" w:themeColor="text1"/>
        </w:rPr>
        <w:t xml:space="preserve"> (emphasis added). </w:t>
      </w:r>
    </w:p>
  </w:footnote>
  <w:footnote w:id="125">
    <w:p w14:paraId="31D01FCF" w14:textId="28A4485E"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A recent study has stressed the significant positive impact the </w:t>
      </w:r>
      <w:r w:rsidR="002D242A" w:rsidRPr="00BF14DA">
        <w:rPr>
          <w:rFonts w:ascii="Garamond" w:hAnsi="Garamond"/>
          <w:color w:val="000000" w:themeColor="text1"/>
        </w:rPr>
        <w:t xml:space="preserve">large </w:t>
      </w:r>
      <w:r w:rsidRPr="00BF14DA">
        <w:rPr>
          <w:rFonts w:ascii="Garamond" w:hAnsi="Garamond"/>
          <w:color w:val="000000" w:themeColor="text1"/>
        </w:rPr>
        <w:t xml:space="preserve">Chagos MPA has had for marine ecosystems. The authors have expressed concern over the future of the MPA due to </w:t>
      </w:r>
      <w:r w:rsidR="006123ED">
        <w:rPr>
          <w:rFonts w:ascii="Garamond" w:hAnsi="Garamond"/>
          <w:color w:val="000000" w:themeColor="text1"/>
        </w:rPr>
        <w:t>‘</w:t>
      </w:r>
      <w:r w:rsidRPr="00BF14DA">
        <w:rPr>
          <w:rFonts w:ascii="Garamond" w:hAnsi="Garamond"/>
          <w:color w:val="000000" w:themeColor="text1"/>
        </w:rPr>
        <w:t>the anticipated change of sovereignty</w:t>
      </w:r>
      <w:r w:rsidR="006123ED">
        <w:rPr>
          <w:rFonts w:ascii="Garamond" w:hAnsi="Garamond"/>
          <w:color w:val="000000" w:themeColor="text1"/>
        </w:rPr>
        <w:t>’</w:t>
      </w:r>
      <w:r w:rsidRPr="00BF14DA">
        <w:rPr>
          <w:rFonts w:ascii="Garamond" w:hAnsi="Garamond"/>
          <w:color w:val="000000" w:themeColor="text1"/>
        </w:rPr>
        <w:t xml:space="preserve">. In detailing this </w:t>
      </w:r>
      <w:r w:rsidR="00D97ADA" w:rsidRPr="00BF14DA">
        <w:rPr>
          <w:rFonts w:ascii="Garamond" w:hAnsi="Garamond"/>
          <w:color w:val="000000" w:themeColor="text1"/>
        </w:rPr>
        <w:t>finding,</w:t>
      </w:r>
      <w:r w:rsidRPr="00BF14DA">
        <w:rPr>
          <w:rFonts w:ascii="Garamond" w:hAnsi="Garamond"/>
          <w:color w:val="000000" w:themeColor="text1"/>
        </w:rPr>
        <w:t xml:space="preserve"> I hope to convey the sensitivity of critique. There is very real reason to find hope in successful environmental interventions, however the capitulation of this into economic value may trouble this sense of success; Alex Morrison, ‘Chagos study highlights value of vast Marine Protected Areas’</w:t>
      </w:r>
      <w:r w:rsidR="00B34D24">
        <w:rPr>
          <w:rFonts w:ascii="Garamond" w:hAnsi="Garamond"/>
          <w:color w:val="000000" w:themeColor="text1"/>
        </w:rPr>
        <w:t>,</w:t>
      </w:r>
      <w:r w:rsidRPr="00BF14DA">
        <w:rPr>
          <w:rFonts w:ascii="Garamond" w:hAnsi="Garamond"/>
          <w:color w:val="000000" w:themeColor="text1"/>
        </w:rPr>
        <w:t xml:space="preserve"> </w:t>
      </w:r>
      <w:r w:rsidRPr="00BF14DA">
        <w:rPr>
          <w:rFonts w:ascii="Garamond" w:hAnsi="Garamond"/>
          <w:i/>
          <w:iCs/>
          <w:color w:val="000000" w:themeColor="text1"/>
        </w:rPr>
        <w:t>University of Exeter News</w:t>
      </w:r>
      <w:r w:rsidR="00C50BAE" w:rsidRPr="00BF14DA">
        <w:rPr>
          <w:rFonts w:ascii="Garamond" w:hAnsi="Garamond"/>
          <w:i/>
          <w:iCs/>
          <w:color w:val="000000" w:themeColor="text1"/>
        </w:rPr>
        <w:t xml:space="preserve"> </w:t>
      </w:r>
      <w:r w:rsidR="00C50BAE" w:rsidRPr="00BF14DA">
        <w:rPr>
          <w:rFonts w:ascii="Garamond" w:hAnsi="Garamond"/>
          <w:color w:val="000000" w:themeColor="text1"/>
        </w:rPr>
        <w:t>(</w:t>
      </w:r>
      <w:r w:rsidRPr="00BF14DA">
        <w:rPr>
          <w:rFonts w:ascii="Garamond" w:hAnsi="Garamond"/>
          <w:color w:val="000000" w:themeColor="text1"/>
        </w:rPr>
        <w:t xml:space="preserve">7 August 2025) </w:t>
      </w:r>
      <w:hyperlink r:id="rId22" w:history="1">
        <w:r w:rsidR="00B34D24" w:rsidRPr="009E2B24">
          <w:rPr>
            <w:rStyle w:val="Hyperlink"/>
            <w:rFonts w:ascii="Garamond" w:hAnsi="Garamond"/>
          </w:rPr>
          <w:t>https://news.exeter.ac.uk/faculty-of-environment-science-and-economy/chagos-study-highlights-value-of-vast-marine-protected-areas/</w:t>
        </w:r>
      </w:hyperlink>
      <w:r w:rsidR="00B34D24">
        <w:rPr>
          <w:rFonts w:ascii="Garamond" w:hAnsi="Garamond"/>
          <w:color w:val="000000" w:themeColor="text1"/>
        </w:rPr>
        <w:t xml:space="preserve"> </w:t>
      </w:r>
      <w:r w:rsidRPr="00BF14DA">
        <w:rPr>
          <w:rFonts w:ascii="Garamond" w:hAnsi="Garamond"/>
          <w:color w:val="000000" w:themeColor="text1"/>
        </w:rPr>
        <w:t xml:space="preserve">accessed 30 November 2025; see also Alixe M Trevail et al. ‘Large marine protected areas can encompass movements of diverse megafauna’ (2025) 62(9) </w:t>
      </w:r>
      <w:r w:rsidRPr="00835726">
        <w:rPr>
          <w:rFonts w:ascii="Garamond" w:hAnsi="Garamond"/>
          <w:i/>
          <w:iCs/>
          <w:color w:val="000000" w:themeColor="text1"/>
        </w:rPr>
        <w:t>Journal of Applied Ecology</w:t>
      </w:r>
      <w:r w:rsidRPr="00BF14DA">
        <w:rPr>
          <w:rFonts w:ascii="Garamond" w:hAnsi="Garamond"/>
          <w:color w:val="000000" w:themeColor="text1"/>
        </w:rPr>
        <w:t xml:space="preserve"> 2454.  </w:t>
      </w:r>
    </w:p>
  </w:footnote>
  <w:footnote w:id="126">
    <w:p w14:paraId="18611228" w14:textId="46FC238F"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Peter Harris, ‘The Chagos </w:t>
      </w:r>
      <w:r w:rsidR="00B34D24">
        <w:rPr>
          <w:rFonts w:ascii="Garamond" w:hAnsi="Garamond"/>
          <w:color w:val="000000" w:themeColor="text1"/>
        </w:rPr>
        <w:t>d</w:t>
      </w:r>
      <w:r w:rsidRPr="00BF14DA">
        <w:rPr>
          <w:rFonts w:ascii="Garamond" w:hAnsi="Garamond"/>
          <w:color w:val="000000" w:themeColor="text1"/>
        </w:rPr>
        <w:t xml:space="preserve">ispute: </w:t>
      </w:r>
      <w:r w:rsidR="00B34D24">
        <w:rPr>
          <w:rFonts w:ascii="Garamond" w:hAnsi="Garamond"/>
          <w:color w:val="000000" w:themeColor="text1"/>
        </w:rPr>
        <w:t>W</w:t>
      </w:r>
      <w:r w:rsidRPr="00BF14DA">
        <w:rPr>
          <w:rFonts w:ascii="Garamond" w:hAnsi="Garamond"/>
          <w:color w:val="000000" w:themeColor="text1"/>
        </w:rPr>
        <w:t xml:space="preserve">here right makes might’ (2022) 44(2) </w:t>
      </w:r>
      <w:r w:rsidRPr="00B94817">
        <w:rPr>
          <w:rFonts w:ascii="Garamond" w:hAnsi="Garamond"/>
          <w:i/>
          <w:iCs/>
          <w:color w:val="000000" w:themeColor="text1"/>
        </w:rPr>
        <w:t>Third World Quarterly</w:t>
      </w:r>
      <w:r w:rsidRPr="00BF14DA">
        <w:rPr>
          <w:rFonts w:ascii="Garamond" w:hAnsi="Garamond"/>
          <w:color w:val="000000" w:themeColor="text1"/>
        </w:rPr>
        <w:t xml:space="preserve"> 395, 397.</w:t>
      </w:r>
    </w:p>
  </w:footnote>
  <w:footnote w:id="127">
    <w:p w14:paraId="5F0246B8" w14:textId="08FA6F12"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4901E5">
        <w:rPr>
          <w:rFonts w:ascii="Garamond" w:hAnsi="Garamond"/>
          <w:color w:val="000000" w:themeColor="text1"/>
        </w:rPr>
        <w:t>Cuddy (n 11)</w:t>
      </w:r>
    </w:p>
  </w:footnote>
  <w:footnote w:id="128">
    <w:p w14:paraId="2CBA70F5" w14:textId="5A45FD8A" w:rsidR="00A80C42" w:rsidRPr="00BF14DA" w:rsidRDefault="00A80C42" w:rsidP="00A80C42">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CE7CA1" w:rsidRPr="00BF14DA">
        <w:rPr>
          <w:rFonts w:ascii="Garamond" w:hAnsi="Garamond"/>
          <w:color w:val="000000" w:themeColor="text1"/>
        </w:rPr>
        <w:t>Gloria Oladipo, ‘Trump reportedly considers buying Chagos Islands from Mauritius’</w:t>
      </w:r>
      <w:r w:rsidR="00EC395B">
        <w:rPr>
          <w:rFonts w:ascii="Garamond" w:hAnsi="Garamond"/>
          <w:color w:val="000000" w:themeColor="text1"/>
        </w:rPr>
        <w:t>,</w:t>
      </w:r>
      <w:r w:rsidR="00CE7CA1" w:rsidRPr="00BF14DA">
        <w:rPr>
          <w:rFonts w:ascii="Garamond" w:hAnsi="Garamond"/>
          <w:color w:val="000000" w:themeColor="text1"/>
        </w:rPr>
        <w:t xml:space="preserve"> </w:t>
      </w:r>
      <w:r w:rsidR="00CE7CA1" w:rsidRPr="00BF14DA">
        <w:rPr>
          <w:rFonts w:ascii="Garamond" w:hAnsi="Garamond"/>
          <w:i/>
          <w:iCs/>
          <w:color w:val="000000" w:themeColor="text1"/>
        </w:rPr>
        <w:t xml:space="preserve">The Guardian </w:t>
      </w:r>
      <w:r w:rsidR="00CE7CA1" w:rsidRPr="00BF14DA">
        <w:rPr>
          <w:rFonts w:ascii="Garamond" w:hAnsi="Garamond"/>
          <w:color w:val="000000" w:themeColor="text1"/>
        </w:rPr>
        <w:t xml:space="preserve">(7 June 2026) </w:t>
      </w:r>
      <w:hyperlink r:id="rId23" w:history="1">
        <w:r w:rsidR="00EC395B" w:rsidRPr="009E2B24">
          <w:rPr>
            <w:rStyle w:val="Hyperlink"/>
            <w:rFonts w:ascii="Garamond" w:hAnsi="Garamond"/>
          </w:rPr>
          <w:t>https://www.theguardian.com/us-news/2026/jun/07/trump-deal-chagos-islands-mauritius-uk</w:t>
        </w:r>
      </w:hyperlink>
      <w:r w:rsidR="00EC395B">
        <w:rPr>
          <w:rFonts w:ascii="Garamond" w:hAnsi="Garamond"/>
          <w:color w:val="000000" w:themeColor="text1"/>
        </w:rPr>
        <w:t xml:space="preserve"> </w:t>
      </w:r>
      <w:r w:rsidR="00CE7CA1" w:rsidRPr="00BF14DA">
        <w:rPr>
          <w:rFonts w:ascii="Garamond" w:hAnsi="Garamond"/>
          <w:color w:val="000000" w:themeColor="text1"/>
        </w:rPr>
        <w:t>accessed 29 June 2026.</w:t>
      </w:r>
    </w:p>
  </w:footnote>
  <w:footnote w:id="129">
    <w:p w14:paraId="04DFA13E" w14:textId="60DA10EF" w:rsidR="00980778" w:rsidRPr="0006792C" w:rsidRDefault="00980778">
      <w:pPr>
        <w:pStyle w:val="FootnoteText"/>
        <w:rPr>
          <w:rFonts w:ascii="Garamond" w:hAnsi="Garamond"/>
          <w:color w:val="000000" w:themeColor="text1"/>
          <w:lang w:val="fr-FR"/>
        </w:rPr>
      </w:pPr>
      <w:r w:rsidRPr="00BF14DA">
        <w:rPr>
          <w:rStyle w:val="FootnoteReference"/>
          <w:rFonts w:ascii="Garamond" w:hAnsi="Garamond"/>
          <w:color w:val="000000" w:themeColor="text1"/>
        </w:rPr>
        <w:footnoteRef/>
      </w:r>
      <w:r w:rsidRPr="0006792C">
        <w:rPr>
          <w:rFonts w:ascii="Garamond" w:hAnsi="Garamond"/>
          <w:color w:val="000000" w:themeColor="text1"/>
          <w:lang w:val="fr-FR"/>
        </w:rPr>
        <w:t xml:space="preserve"> </w:t>
      </w:r>
      <w:r w:rsidR="00CE7CA1" w:rsidRPr="0006792C">
        <w:rPr>
          <w:rFonts w:ascii="Garamond" w:hAnsi="Garamond"/>
          <w:color w:val="000000" w:themeColor="text1"/>
          <w:lang w:val="fr-FR"/>
        </w:rPr>
        <w:t>ibid.</w:t>
      </w:r>
    </w:p>
  </w:footnote>
  <w:footnote w:id="130">
    <w:p w14:paraId="7DB64ACE" w14:textId="4A1C892C" w:rsidR="006F0D99" w:rsidRPr="0006792C" w:rsidRDefault="006F0D99" w:rsidP="006F0D99">
      <w:pPr>
        <w:pStyle w:val="FootnoteText"/>
        <w:rPr>
          <w:rFonts w:ascii="Garamond" w:hAnsi="Garamond"/>
          <w:color w:val="000000" w:themeColor="text1"/>
          <w:lang w:val="fr-FR"/>
        </w:rPr>
      </w:pPr>
      <w:r w:rsidRPr="00BF14DA">
        <w:rPr>
          <w:rStyle w:val="FootnoteReference"/>
          <w:rFonts w:ascii="Garamond" w:hAnsi="Garamond"/>
          <w:color w:val="000000" w:themeColor="text1"/>
        </w:rPr>
        <w:footnoteRef/>
      </w:r>
      <w:r w:rsidRPr="0006792C">
        <w:rPr>
          <w:rFonts w:ascii="Garamond" w:hAnsi="Garamond"/>
          <w:color w:val="000000" w:themeColor="text1"/>
          <w:lang w:val="fr-FR"/>
        </w:rPr>
        <w:t xml:space="preserve"> Mauritius-UK (n </w:t>
      </w:r>
      <w:r w:rsidR="00274F1E" w:rsidRPr="0006792C">
        <w:rPr>
          <w:rFonts w:ascii="Garamond" w:hAnsi="Garamond"/>
          <w:color w:val="000000" w:themeColor="text1"/>
          <w:lang w:val="fr-FR"/>
        </w:rPr>
        <w:t>5</w:t>
      </w:r>
      <w:r w:rsidRPr="0006792C">
        <w:rPr>
          <w:rFonts w:ascii="Garamond" w:hAnsi="Garamond"/>
          <w:color w:val="000000" w:themeColor="text1"/>
          <w:lang w:val="fr-FR"/>
        </w:rPr>
        <w:t>) article 1.</w:t>
      </w:r>
    </w:p>
  </w:footnote>
  <w:footnote w:id="131">
    <w:p w14:paraId="5560C4A2" w14:textId="7A608DA3" w:rsidR="006F0D99" w:rsidRPr="00BF14DA" w:rsidRDefault="006F0D99" w:rsidP="00986520">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40042A">
        <w:rPr>
          <w:rFonts w:ascii="Garamond" w:hAnsi="Garamond"/>
          <w:color w:val="000000" w:themeColor="text1"/>
        </w:rPr>
        <w:t>i</w:t>
      </w:r>
      <w:r w:rsidRPr="00BF14DA">
        <w:rPr>
          <w:rFonts w:ascii="Garamond" w:hAnsi="Garamond"/>
          <w:color w:val="000000" w:themeColor="text1"/>
        </w:rPr>
        <w:t>bid</w:t>
      </w:r>
      <w:r w:rsidR="0040042A">
        <w:rPr>
          <w:rFonts w:ascii="Garamond" w:hAnsi="Garamond"/>
          <w:color w:val="000000" w:themeColor="text1"/>
        </w:rPr>
        <w:t>,</w:t>
      </w:r>
      <w:r w:rsidRPr="00BF14DA">
        <w:rPr>
          <w:rFonts w:ascii="Garamond" w:hAnsi="Garamond"/>
          <w:color w:val="000000" w:themeColor="text1"/>
        </w:rPr>
        <w:t xml:space="preserve"> article 2.</w:t>
      </w:r>
    </w:p>
  </w:footnote>
  <w:footnote w:id="132">
    <w:p w14:paraId="7C64682B" w14:textId="738229F4" w:rsidR="006F0D99" w:rsidRPr="00BF14DA" w:rsidRDefault="006F0D99" w:rsidP="00986520">
      <w:pPr>
        <w:spacing w:after="0" w:line="240" w:lineRule="auto"/>
        <w:rPr>
          <w:rFonts w:ascii="Garamond" w:hAnsi="Garamond"/>
          <w:color w:val="000000" w:themeColor="text1"/>
          <w:sz w:val="20"/>
          <w:szCs w:val="20"/>
        </w:rPr>
      </w:pPr>
      <w:r w:rsidRPr="00BF14DA">
        <w:rPr>
          <w:rStyle w:val="FootnoteReference"/>
          <w:rFonts w:ascii="Garamond" w:hAnsi="Garamond"/>
          <w:color w:val="000000" w:themeColor="text1"/>
          <w:sz w:val="20"/>
          <w:szCs w:val="20"/>
        </w:rPr>
        <w:footnoteRef/>
      </w:r>
      <w:r w:rsidRPr="00BF14DA">
        <w:rPr>
          <w:rStyle w:val="FootnoteReference"/>
          <w:rFonts w:ascii="Garamond" w:hAnsi="Garamond"/>
          <w:color w:val="000000" w:themeColor="text1"/>
          <w:sz w:val="20"/>
          <w:szCs w:val="20"/>
        </w:rPr>
        <w:t xml:space="preserve"> </w:t>
      </w:r>
      <w:r w:rsidRPr="00BF14DA">
        <w:rPr>
          <w:rFonts w:ascii="Garamond" w:hAnsi="Garamond"/>
          <w:color w:val="000000" w:themeColor="text1"/>
          <w:sz w:val="20"/>
          <w:szCs w:val="20"/>
        </w:rPr>
        <w:t xml:space="preserve">ibid; </w:t>
      </w:r>
      <w:r w:rsidR="00EC395B">
        <w:rPr>
          <w:rFonts w:ascii="Garamond" w:hAnsi="Garamond"/>
          <w:color w:val="000000" w:themeColor="text1"/>
          <w:sz w:val="20"/>
          <w:szCs w:val="20"/>
        </w:rPr>
        <w:t>s</w:t>
      </w:r>
      <w:r w:rsidRPr="00BF14DA">
        <w:rPr>
          <w:rFonts w:ascii="Garamond" w:hAnsi="Garamond"/>
          <w:color w:val="000000" w:themeColor="text1"/>
          <w:sz w:val="20"/>
          <w:szCs w:val="20"/>
        </w:rPr>
        <w:t>ee</w:t>
      </w:r>
      <w:r w:rsidR="00EC395B">
        <w:rPr>
          <w:rFonts w:ascii="Garamond" w:hAnsi="Garamond"/>
          <w:color w:val="000000" w:themeColor="text1"/>
          <w:sz w:val="20"/>
          <w:szCs w:val="20"/>
        </w:rPr>
        <w:t>,</w:t>
      </w:r>
      <w:r w:rsidRPr="00BF14DA">
        <w:rPr>
          <w:rFonts w:ascii="Garamond" w:hAnsi="Garamond"/>
          <w:color w:val="000000" w:themeColor="text1"/>
          <w:sz w:val="20"/>
          <w:szCs w:val="20"/>
        </w:rPr>
        <w:t xml:space="preserve"> for example, the allocation of civil and criminal jurisdiction under article 2(3)(a)-(d) relating to the personnel on Diego Garcia to the UK.</w:t>
      </w:r>
    </w:p>
  </w:footnote>
  <w:footnote w:id="133">
    <w:p w14:paraId="32FD3A59" w14:textId="648CFE22" w:rsidR="006F0D99" w:rsidRPr="00BF14DA" w:rsidRDefault="006F0D99" w:rsidP="00986520">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The Joint Commission is made up of representatives designated by the UK and Mauritius. The US holds a right to introduce issues to the Commission and designate a representative to attend meetings of the Joint Commission</w:t>
      </w:r>
      <w:r w:rsidR="0035581C">
        <w:rPr>
          <w:rFonts w:ascii="Garamond" w:hAnsi="Garamond"/>
          <w:color w:val="000000" w:themeColor="text1"/>
        </w:rPr>
        <w:t xml:space="preserve">: </w:t>
      </w:r>
      <w:r w:rsidRPr="00BF14DA">
        <w:rPr>
          <w:rFonts w:ascii="Garamond" w:hAnsi="Garamond"/>
          <w:color w:val="000000" w:themeColor="text1"/>
        </w:rPr>
        <w:t xml:space="preserve">Mauritius-UK (n </w:t>
      </w:r>
      <w:r w:rsidR="00274F1E" w:rsidRPr="00BF14DA">
        <w:rPr>
          <w:rFonts w:ascii="Garamond" w:hAnsi="Garamond"/>
          <w:color w:val="000000" w:themeColor="text1"/>
        </w:rPr>
        <w:t>5</w:t>
      </w:r>
      <w:r w:rsidRPr="00BF14DA">
        <w:rPr>
          <w:rFonts w:ascii="Garamond" w:hAnsi="Garamond"/>
          <w:color w:val="000000" w:themeColor="text1"/>
        </w:rPr>
        <w:t xml:space="preserve">) annex 3. </w:t>
      </w:r>
    </w:p>
  </w:footnote>
  <w:footnote w:id="134">
    <w:p w14:paraId="37B4446B" w14:textId="2B420D7C"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35581C">
        <w:rPr>
          <w:rFonts w:ascii="Garamond" w:hAnsi="Garamond"/>
          <w:color w:val="000000" w:themeColor="text1"/>
        </w:rPr>
        <w:t>i</w:t>
      </w:r>
      <w:r w:rsidR="00274F1E" w:rsidRPr="00BF14DA">
        <w:rPr>
          <w:rFonts w:ascii="Garamond" w:hAnsi="Garamond"/>
          <w:color w:val="000000" w:themeColor="text1"/>
        </w:rPr>
        <w:t>bid</w:t>
      </w:r>
      <w:r w:rsidR="00365B81">
        <w:rPr>
          <w:rFonts w:ascii="Garamond" w:hAnsi="Garamond"/>
          <w:color w:val="000000" w:themeColor="text1"/>
        </w:rPr>
        <w:t>,</w:t>
      </w:r>
      <w:r w:rsidRPr="00BF14DA">
        <w:rPr>
          <w:rFonts w:ascii="Garamond" w:hAnsi="Garamond"/>
          <w:color w:val="000000" w:themeColor="text1"/>
        </w:rPr>
        <w:t xml:space="preserve"> article 2(3)(e)-(h).</w:t>
      </w:r>
    </w:p>
  </w:footnote>
  <w:footnote w:id="135">
    <w:p w14:paraId="19B19FC7" w14:textId="77777777"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‘The change in sovereignty for the Chagos Archipelago’ (2024) 30(26) </w:t>
      </w:r>
      <w:r w:rsidRPr="00BF14DA">
        <w:rPr>
          <w:rFonts w:ascii="Garamond" w:hAnsi="Garamond"/>
          <w:i/>
          <w:iCs/>
          <w:color w:val="000000" w:themeColor="text1"/>
        </w:rPr>
        <w:t>IISS:</w:t>
      </w:r>
      <w:r w:rsidRPr="00BF14DA">
        <w:rPr>
          <w:rFonts w:ascii="Garamond" w:hAnsi="Garamond"/>
          <w:color w:val="000000" w:themeColor="text1"/>
        </w:rPr>
        <w:t xml:space="preserve"> </w:t>
      </w:r>
      <w:r w:rsidRPr="00BF14DA">
        <w:rPr>
          <w:rFonts w:ascii="Garamond" w:hAnsi="Garamond"/>
          <w:i/>
          <w:iCs/>
          <w:color w:val="000000" w:themeColor="text1"/>
        </w:rPr>
        <w:t xml:space="preserve">Strategic Comments </w:t>
      </w:r>
      <w:r w:rsidRPr="00BF14DA">
        <w:rPr>
          <w:rFonts w:ascii="Garamond" w:hAnsi="Garamond"/>
          <w:color w:val="000000" w:themeColor="text1"/>
        </w:rPr>
        <w:t>1, 3.</w:t>
      </w:r>
    </w:p>
  </w:footnote>
  <w:footnote w:id="136">
    <w:p w14:paraId="4E4B6624" w14:textId="6453F7C6"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DC0A99" w:rsidRPr="00BF14DA">
        <w:rPr>
          <w:rFonts w:ascii="Garamond" w:hAnsi="Garamond"/>
          <w:color w:val="000000" w:themeColor="text1"/>
        </w:rPr>
        <w:t xml:space="preserve">Foreign Office, </w:t>
      </w:r>
      <w:r w:rsidRPr="00BF14DA">
        <w:rPr>
          <w:rFonts w:ascii="Garamond" w:hAnsi="Garamond"/>
          <w:i/>
          <w:iCs/>
          <w:color w:val="000000" w:themeColor="text1"/>
        </w:rPr>
        <w:t xml:space="preserve">Explanatory </w:t>
      </w:r>
      <w:r w:rsidR="0049223C" w:rsidRPr="00BF14DA">
        <w:rPr>
          <w:rFonts w:ascii="Garamond" w:hAnsi="Garamond"/>
          <w:i/>
          <w:iCs/>
          <w:color w:val="000000" w:themeColor="text1"/>
        </w:rPr>
        <w:t>Memorandum on the Agreement between the Government of the United Kingdom of Great Britain and Northen Ireland and the Government of the Republic of Mauritius concerning the Chagos Archipelago including Diego Garcia</w:t>
      </w:r>
      <w:r w:rsidR="0049223C" w:rsidRPr="00BF14DA">
        <w:rPr>
          <w:rFonts w:ascii="Garamond" w:hAnsi="Garamond"/>
          <w:color w:val="000000" w:themeColor="text1"/>
        </w:rPr>
        <w:t xml:space="preserve"> </w:t>
      </w:r>
      <w:r w:rsidR="008638D3" w:rsidRPr="00BF14DA">
        <w:rPr>
          <w:rFonts w:ascii="Garamond" w:hAnsi="Garamond"/>
          <w:color w:val="000000" w:themeColor="text1"/>
        </w:rPr>
        <w:t>(</w:t>
      </w:r>
      <w:proofErr w:type="spellStart"/>
      <w:r w:rsidR="00DC0A99" w:rsidRPr="00BF14DA">
        <w:rPr>
          <w:rFonts w:ascii="Garamond" w:hAnsi="Garamond"/>
          <w:color w:val="000000" w:themeColor="text1"/>
        </w:rPr>
        <w:t>Cmd</w:t>
      </w:r>
      <w:proofErr w:type="spellEnd"/>
      <w:r w:rsidR="008638D3" w:rsidRPr="00BF14DA">
        <w:rPr>
          <w:rFonts w:ascii="Garamond" w:hAnsi="Garamond"/>
          <w:color w:val="000000" w:themeColor="text1"/>
        </w:rPr>
        <w:t xml:space="preserve"> 1334</w:t>
      </w:r>
      <w:r w:rsidR="00DC0A99" w:rsidRPr="00BF14DA">
        <w:rPr>
          <w:rFonts w:ascii="Garamond" w:hAnsi="Garamond"/>
          <w:color w:val="000000" w:themeColor="text1"/>
        </w:rPr>
        <w:t>, 2025</w:t>
      </w:r>
      <w:r w:rsidR="008638D3" w:rsidRPr="00BF14DA">
        <w:rPr>
          <w:rFonts w:ascii="Garamond" w:hAnsi="Garamond"/>
          <w:color w:val="000000" w:themeColor="text1"/>
        </w:rPr>
        <w:t>)</w:t>
      </w:r>
      <w:r w:rsidR="00DC0A99" w:rsidRPr="00BF14DA">
        <w:rPr>
          <w:rFonts w:ascii="Garamond" w:hAnsi="Garamond"/>
          <w:color w:val="000000" w:themeColor="text1"/>
        </w:rPr>
        <w:t>.</w:t>
      </w:r>
      <w:r w:rsidR="008638D3" w:rsidRPr="00BF14DA">
        <w:rPr>
          <w:rFonts w:ascii="Garamond" w:hAnsi="Garamond"/>
          <w:color w:val="000000" w:themeColor="text1"/>
        </w:rPr>
        <w:t xml:space="preserve"> </w:t>
      </w:r>
    </w:p>
  </w:footnote>
  <w:footnote w:id="137">
    <w:p w14:paraId="3D9A4C8B" w14:textId="2666C99E"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For an excellent discussion on the ‘murky waters’ of sovereignty, territory and property in the context of </w:t>
      </w:r>
      <w:r w:rsidR="00C12D13" w:rsidRPr="00BF14DA">
        <w:rPr>
          <w:rFonts w:ascii="Garamond" w:hAnsi="Garamond"/>
          <w:color w:val="000000" w:themeColor="text1"/>
        </w:rPr>
        <w:t xml:space="preserve">corporate </w:t>
      </w:r>
      <w:r w:rsidRPr="00BF14DA">
        <w:rPr>
          <w:rFonts w:ascii="Garamond" w:hAnsi="Garamond"/>
          <w:color w:val="000000" w:themeColor="text1"/>
        </w:rPr>
        <w:t>land grabs</w:t>
      </w:r>
      <w:r w:rsidR="001155A8">
        <w:rPr>
          <w:rFonts w:ascii="Garamond" w:hAnsi="Garamond"/>
          <w:color w:val="000000" w:themeColor="text1"/>
        </w:rPr>
        <w:t>,</w:t>
      </w:r>
      <w:r w:rsidRPr="00BF14DA">
        <w:rPr>
          <w:rFonts w:ascii="Garamond" w:hAnsi="Garamond"/>
          <w:color w:val="000000" w:themeColor="text1"/>
        </w:rPr>
        <w:t xml:space="preserve"> see </w:t>
      </w:r>
      <w:r w:rsidR="00C12D13" w:rsidRPr="00BF14DA">
        <w:rPr>
          <w:rFonts w:ascii="Garamond" w:hAnsi="Garamond"/>
          <w:color w:val="000000" w:themeColor="text1"/>
        </w:rPr>
        <w:t xml:space="preserve">Anna </w:t>
      </w:r>
      <w:proofErr w:type="spellStart"/>
      <w:r w:rsidR="00C12D13" w:rsidRPr="00BF14DA">
        <w:rPr>
          <w:rFonts w:ascii="Garamond" w:hAnsi="Garamond"/>
          <w:color w:val="000000" w:themeColor="text1"/>
        </w:rPr>
        <w:t>Jurkevics</w:t>
      </w:r>
      <w:proofErr w:type="spellEnd"/>
      <w:r w:rsidR="00C12D13" w:rsidRPr="00BF14DA">
        <w:rPr>
          <w:rFonts w:ascii="Garamond" w:hAnsi="Garamond"/>
          <w:color w:val="000000" w:themeColor="text1"/>
        </w:rPr>
        <w:t xml:space="preserve">, ‘Land </w:t>
      </w:r>
      <w:r w:rsidR="001155A8">
        <w:rPr>
          <w:rFonts w:ascii="Garamond" w:hAnsi="Garamond"/>
          <w:color w:val="000000" w:themeColor="text1"/>
        </w:rPr>
        <w:t>g</w:t>
      </w:r>
      <w:r w:rsidR="00C12D13" w:rsidRPr="00BF14DA">
        <w:rPr>
          <w:rFonts w:ascii="Garamond" w:hAnsi="Garamond"/>
          <w:color w:val="000000" w:themeColor="text1"/>
        </w:rPr>
        <w:t xml:space="preserve">rabbing and the </w:t>
      </w:r>
      <w:r w:rsidR="001155A8">
        <w:rPr>
          <w:rFonts w:ascii="Garamond" w:hAnsi="Garamond"/>
          <w:color w:val="000000" w:themeColor="text1"/>
        </w:rPr>
        <w:t>p</w:t>
      </w:r>
      <w:r w:rsidR="00C12D13" w:rsidRPr="00BF14DA">
        <w:rPr>
          <w:rFonts w:ascii="Garamond" w:hAnsi="Garamond"/>
          <w:color w:val="000000" w:themeColor="text1"/>
        </w:rPr>
        <w:t xml:space="preserve">erplexities of </w:t>
      </w:r>
      <w:r w:rsidR="001155A8">
        <w:rPr>
          <w:rFonts w:ascii="Garamond" w:hAnsi="Garamond"/>
          <w:color w:val="000000" w:themeColor="text1"/>
        </w:rPr>
        <w:t>t</w:t>
      </w:r>
      <w:r w:rsidR="00C12D13" w:rsidRPr="00BF14DA">
        <w:rPr>
          <w:rFonts w:ascii="Garamond" w:hAnsi="Garamond"/>
          <w:color w:val="000000" w:themeColor="text1"/>
        </w:rPr>
        <w:t xml:space="preserve">erritorial </w:t>
      </w:r>
      <w:r w:rsidR="001155A8">
        <w:rPr>
          <w:rFonts w:ascii="Garamond" w:hAnsi="Garamond"/>
          <w:color w:val="000000" w:themeColor="text1"/>
        </w:rPr>
        <w:t>s</w:t>
      </w:r>
      <w:r w:rsidR="00C12D13" w:rsidRPr="00BF14DA">
        <w:rPr>
          <w:rFonts w:ascii="Garamond" w:hAnsi="Garamond"/>
          <w:color w:val="000000" w:themeColor="text1"/>
        </w:rPr>
        <w:t xml:space="preserve">overeignty’ (2022) 50(1) </w:t>
      </w:r>
      <w:r w:rsidR="00C12D13" w:rsidRPr="009E512F">
        <w:rPr>
          <w:rFonts w:ascii="Garamond" w:hAnsi="Garamond"/>
          <w:i/>
          <w:iCs/>
          <w:color w:val="000000" w:themeColor="text1"/>
        </w:rPr>
        <w:t>Political Theory</w:t>
      </w:r>
      <w:r w:rsidR="00C12D13" w:rsidRPr="00BF14DA">
        <w:rPr>
          <w:rFonts w:ascii="Garamond" w:hAnsi="Garamond"/>
          <w:color w:val="000000" w:themeColor="text1"/>
        </w:rPr>
        <w:t xml:space="preserve"> 32.</w:t>
      </w:r>
    </w:p>
  </w:footnote>
  <w:footnote w:id="138">
    <w:p w14:paraId="637745B0" w14:textId="50516F3D" w:rsidR="006F0D99" w:rsidRPr="0006792C" w:rsidRDefault="006F0D99" w:rsidP="006F0D99">
      <w:pPr>
        <w:pStyle w:val="FootnoteText"/>
        <w:rPr>
          <w:rFonts w:ascii="Garamond" w:hAnsi="Garamond"/>
          <w:color w:val="000000" w:themeColor="text1"/>
          <w:lang w:val="fr-FR"/>
        </w:rPr>
      </w:pPr>
      <w:r w:rsidRPr="00BF14DA">
        <w:rPr>
          <w:rStyle w:val="FootnoteReference"/>
          <w:rFonts w:ascii="Garamond" w:hAnsi="Garamond"/>
          <w:color w:val="000000" w:themeColor="text1"/>
        </w:rPr>
        <w:footnoteRef/>
      </w:r>
      <w:r w:rsidRPr="0006792C">
        <w:rPr>
          <w:rFonts w:ascii="Garamond" w:hAnsi="Garamond"/>
          <w:color w:val="000000" w:themeColor="text1"/>
          <w:lang w:val="fr-FR"/>
        </w:rPr>
        <w:t xml:space="preserve"> Mauritius-UK (n </w:t>
      </w:r>
      <w:r w:rsidR="003E3628" w:rsidRPr="0006792C">
        <w:rPr>
          <w:rFonts w:ascii="Garamond" w:hAnsi="Garamond"/>
          <w:color w:val="000000" w:themeColor="text1"/>
          <w:lang w:val="fr-FR"/>
        </w:rPr>
        <w:t>5</w:t>
      </w:r>
      <w:r w:rsidRPr="0006792C">
        <w:rPr>
          <w:rFonts w:ascii="Garamond" w:hAnsi="Garamond"/>
          <w:color w:val="000000" w:themeColor="text1"/>
          <w:lang w:val="fr-FR"/>
        </w:rPr>
        <w:t xml:space="preserve">) article 11(1)(b). </w:t>
      </w:r>
    </w:p>
  </w:footnote>
  <w:footnote w:id="139">
    <w:p w14:paraId="71B95EEE" w14:textId="38759E15"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1155A8">
        <w:rPr>
          <w:rFonts w:ascii="Garamond" w:hAnsi="Garamond"/>
          <w:color w:val="000000" w:themeColor="text1"/>
        </w:rPr>
        <w:t>i</w:t>
      </w:r>
      <w:r w:rsidRPr="00BF14DA">
        <w:rPr>
          <w:rFonts w:ascii="Garamond" w:hAnsi="Garamond"/>
          <w:color w:val="000000" w:themeColor="text1"/>
        </w:rPr>
        <w:t>bid</w:t>
      </w:r>
      <w:r w:rsidR="00021DF5">
        <w:rPr>
          <w:rFonts w:ascii="Garamond" w:hAnsi="Garamond"/>
          <w:color w:val="000000" w:themeColor="text1"/>
        </w:rPr>
        <w:t>,</w:t>
      </w:r>
      <w:r w:rsidRPr="00BF14DA">
        <w:rPr>
          <w:rFonts w:ascii="Garamond" w:hAnsi="Garamond"/>
          <w:color w:val="000000" w:themeColor="text1"/>
        </w:rPr>
        <w:t xml:space="preserve"> article 6.</w:t>
      </w:r>
    </w:p>
  </w:footnote>
  <w:footnote w:id="140">
    <w:p w14:paraId="6F7BC32C" w14:textId="0AA1D020"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International </w:t>
      </w:r>
      <w:r w:rsidR="00021DF5">
        <w:rPr>
          <w:rFonts w:ascii="Garamond" w:hAnsi="Garamond"/>
          <w:color w:val="000000" w:themeColor="text1"/>
        </w:rPr>
        <w:t>R</w:t>
      </w:r>
      <w:r w:rsidRPr="00BF14DA">
        <w:rPr>
          <w:rFonts w:ascii="Garamond" w:hAnsi="Garamond"/>
          <w:color w:val="000000" w:themeColor="text1"/>
        </w:rPr>
        <w:t xml:space="preserve">elations and </w:t>
      </w:r>
      <w:r w:rsidR="00021DF5">
        <w:rPr>
          <w:rFonts w:ascii="Garamond" w:hAnsi="Garamond"/>
          <w:color w:val="000000" w:themeColor="text1"/>
        </w:rPr>
        <w:t>D</w:t>
      </w:r>
      <w:r w:rsidRPr="00BF14DA">
        <w:rPr>
          <w:rFonts w:ascii="Garamond" w:hAnsi="Garamond"/>
          <w:color w:val="000000" w:themeColor="text1"/>
        </w:rPr>
        <w:t xml:space="preserve">efence </w:t>
      </w:r>
      <w:r w:rsidR="00021DF5">
        <w:rPr>
          <w:rFonts w:ascii="Garamond" w:hAnsi="Garamond"/>
          <w:color w:val="000000" w:themeColor="text1"/>
        </w:rPr>
        <w:t>C</w:t>
      </w:r>
      <w:r w:rsidRPr="00BF14DA">
        <w:rPr>
          <w:rFonts w:ascii="Garamond" w:hAnsi="Garamond"/>
          <w:color w:val="000000" w:themeColor="text1"/>
        </w:rPr>
        <w:t xml:space="preserve">ommittee, </w:t>
      </w:r>
      <w:r w:rsidRPr="00BF14DA">
        <w:rPr>
          <w:rFonts w:ascii="Garamond" w:hAnsi="Garamond"/>
          <w:i/>
          <w:iCs/>
          <w:color w:val="000000" w:themeColor="text1"/>
        </w:rPr>
        <w:t xml:space="preserve">Chagossian </w:t>
      </w:r>
      <w:r w:rsidR="001155A8">
        <w:rPr>
          <w:rFonts w:ascii="Garamond" w:hAnsi="Garamond"/>
          <w:i/>
          <w:iCs/>
          <w:color w:val="000000" w:themeColor="text1"/>
        </w:rPr>
        <w:t>V</w:t>
      </w:r>
      <w:r w:rsidRPr="00BF14DA">
        <w:rPr>
          <w:rFonts w:ascii="Garamond" w:hAnsi="Garamond"/>
          <w:i/>
          <w:iCs/>
          <w:color w:val="000000" w:themeColor="text1"/>
        </w:rPr>
        <w:t xml:space="preserve">iews on the UK-Mauritius Chagos Agreement </w:t>
      </w:r>
      <w:r w:rsidRPr="00BF14DA">
        <w:rPr>
          <w:rFonts w:ascii="Garamond" w:hAnsi="Garamond"/>
          <w:color w:val="000000" w:themeColor="text1"/>
        </w:rPr>
        <w:t xml:space="preserve">(HL Paper 234) </w:t>
      </w:r>
      <w:r w:rsidR="001155A8">
        <w:rPr>
          <w:rFonts w:ascii="Garamond" w:hAnsi="Garamond"/>
          <w:color w:val="000000" w:themeColor="text1"/>
        </w:rPr>
        <w:t>[</w:t>
      </w:r>
      <w:r w:rsidRPr="00BF14DA">
        <w:rPr>
          <w:rFonts w:ascii="Garamond" w:hAnsi="Garamond"/>
          <w:color w:val="000000" w:themeColor="text1"/>
        </w:rPr>
        <w:t>34</w:t>
      </w:r>
      <w:r w:rsidR="001155A8">
        <w:rPr>
          <w:rFonts w:ascii="Garamond" w:hAnsi="Garamond"/>
          <w:color w:val="000000" w:themeColor="text1"/>
        </w:rPr>
        <w:t>]</w:t>
      </w:r>
      <w:r w:rsidRPr="00BF14DA">
        <w:rPr>
          <w:rFonts w:ascii="Garamond" w:hAnsi="Garamond"/>
          <w:color w:val="000000" w:themeColor="text1"/>
        </w:rPr>
        <w:t>.</w:t>
      </w:r>
    </w:p>
  </w:footnote>
  <w:footnote w:id="141">
    <w:p w14:paraId="79FB72C8" w14:textId="1A54B067"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021DF5">
        <w:rPr>
          <w:rFonts w:ascii="Garamond" w:hAnsi="Garamond"/>
          <w:color w:val="000000" w:themeColor="text1"/>
        </w:rPr>
        <w:t>i</w:t>
      </w:r>
      <w:r w:rsidRPr="00BF14DA">
        <w:rPr>
          <w:rFonts w:ascii="Garamond" w:hAnsi="Garamond"/>
          <w:color w:val="000000" w:themeColor="text1"/>
        </w:rPr>
        <w:t>bid</w:t>
      </w:r>
      <w:r w:rsidR="00021DF5">
        <w:rPr>
          <w:rFonts w:ascii="Garamond" w:hAnsi="Garamond"/>
          <w:color w:val="000000" w:themeColor="text1"/>
        </w:rPr>
        <w:t>,</w:t>
      </w:r>
      <w:r w:rsidRPr="00BF14DA">
        <w:rPr>
          <w:rFonts w:ascii="Garamond" w:hAnsi="Garamond"/>
          <w:color w:val="000000" w:themeColor="text1"/>
        </w:rPr>
        <w:t xml:space="preserve"> report summary. </w:t>
      </w:r>
    </w:p>
  </w:footnote>
  <w:footnote w:id="142">
    <w:p w14:paraId="3E6F4FFA" w14:textId="1132AF19"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Allan Ngari and Clive Baldwin, ‘Chagos Archipelago </w:t>
      </w:r>
      <w:r w:rsidR="001155A8">
        <w:rPr>
          <w:rFonts w:ascii="Garamond" w:hAnsi="Garamond"/>
          <w:color w:val="000000" w:themeColor="text1"/>
        </w:rPr>
        <w:t>r</w:t>
      </w:r>
      <w:r w:rsidRPr="00BF14DA">
        <w:rPr>
          <w:rFonts w:ascii="Garamond" w:hAnsi="Garamond"/>
          <w:color w:val="000000" w:themeColor="text1"/>
        </w:rPr>
        <w:t xml:space="preserve">esidents </w:t>
      </w:r>
      <w:r w:rsidR="001155A8">
        <w:rPr>
          <w:rFonts w:ascii="Garamond" w:hAnsi="Garamond"/>
          <w:color w:val="000000" w:themeColor="text1"/>
        </w:rPr>
        <w:t>d</w:t>
      </w:r>
      <w:r w:rsidRPr="00BF14DA">
        <w:rPr>
          <w:rFonts w:ascii="Garamond" w:hAnsi="Garamond"/>
          <w:color w:val="000000" w:themeColor="text1"/>
        </w:rPr>
        <w:t xml:space="preserve">eserve </w:t>
      </w:r>
      <w:r w:rsidR="001155A8">
        <w:rPr>
          <w:rFonts w:ascii="Garamond" w:hAnsi="Garamond"/>
          <w:color w:val="000000" w:themeColor="text1"/>
        </w:rPr>
        <w:t>r</w:t>
      </w:r>
      <w:r w:rsidRPr="00BF14DA">
        <w:rPr>
          <w:rFonts w:ascii="Garamond" w:hAnsi="Garamond"/>
          <w:color w:val="000000" w:themeColor="text1"/>
        </w:rPr>
        <w:t xml:space="preserve">eparations, </w:t>
      </w:r>
      <w:r w:rsidR="001155A8">
        <w:rPr>
          <w:rFonts w:ascii="Garamond" w:hAnsi="Garamond"/>
          <w:color w:val="000000" w:themeColor="text1"/>
        </w:rPr>
        <w:t>n</w:t>
      </w:r>
      <w:r w:rsidRPr="00BF14DA">
        <w:rPr>
          <w:rFonts w:ascii="Garamond" w:hAnsi="Garamond"/>
          <w:color w:val="000000" w:themeColor="text1"/>
        </w:rPr>
        <w:t xml:space="preserve">ot </w:t>
      </w:r>
      <w:r w:rsidR="001155A8">
        <w:rPr>
          <w:rFonts w:ascii="Garamond" w:hAnsi="Garamond"/>
          <w:color w:val="000000" w:themeColor="text1"/>
        </w:rPr>
        <w:t>r</w:t>
      </w:r>
      <w:r w:rsidRPr="00BF14DA">
        <w:rPr>
          <w:rFonts w:ascii="Garamond" w:hAnsi="Garamond"/>
          <w:color w:val="000000" w:themeColor="text1"/>
        </w:rPr>
        <w:t>egrets</w:t>
      </w:r>
      <w:r w:rsidR="00501F0F">
        <w:rPr>
          <w:rFonts w:ascii="Garamond" w:hAnsi="Garamond"/>
          <w:color w:val="000000" w:themeColor="text1"/>
        </w:rPr>
        <w:t>’,</w:t>
      </w:r>
      <w:r w:rsidRPr="00BF14DA">
        <w:rPr>
          <w:rFonts w:ascii="Garamond" w:hAnsi="Garamond"/>
          <w:color w:val="000000" w:themeColor="text1"/>
        </w:rPr>
        <w:t xml:space="preserve"> </w:t>
      </w:r>
      <w:r w:rsidRPr="00BF14DA">
        <w:rPr>
          <w:rFonts w:ascii="Garamond" w:hAnsi="Garamond"/>
          <w:i/>
          <w:iCs/>
          <w:color w:val="000000" w:themeColor="text1"/>
        </w:rPr>
        <w:t xml:space="preserve">Human Rights Watch </w:t>
      </w:r>
      <w:r w:rsidR="003D0782" w:rsidRPr="00BF14DA">
        <w:rPr>
          <w:rFonts w:ascii="Garamond" w:hAnsi="Garamond"/>
          <w:color w:val="000000" w:themeColor="text1"/>
        </w:rPr>
        <w:t>(</w:t>
      </w:r>
      <w:r w:rsidRPr="00BF14DA">
        <w:rPr>
          <w:rFonts w:ascii="Garamond" w:hAnsi="Garamond"/>
          <w:color w:val="000000" w:themeColor="text1"/>
        </w:rPr>
        <w:t xml:space="preserve">28 August 2025) </w:t>
      </w:r>
      <w:hyperlink r:id="rId24" w:history="1">
        <w:r w:rsidR="00501F0F" w:rsidRPr="009E2B24">
          <w:rPr>
            <w:rStyle w:val="Hyperlink"/>
            <w:rFonts w:ascii="Garamond" w:hAnsi="Garamond"/>
          </w:rPr>
          <w:t>https://www.hrw.org/news/2025/08/28/chagos-archipelago-residents-deserve-reparations-not-regrets</w:t>
        </w:r>
      </w:hyperlink>
      <w:r w:rsidR="00501F0F">
        <w:rPr>
          <w:rFonts w:ascii="Garamond" w:hAnsi="Garamond"/>
          <w:color w:val="000000" w:themeColor="text1"/>
        </w:rPr>
        <w:t xml:space="preserve"> </w:t>
      </w:r>
      <w:r w:rsidRPr="00BF14DA">
        <w:rPr>
          <w:rFonts w:ascii="Garamond" w:hAnsi="Garamond"/>
          <w:color w:val="000000" w:themeColor="text1"/>
        </w:rPr>
        <w:t xml:space="preserve">accessed 1 November 2025.  </w:t>
      </w:r>
    </w:p>
  </w:footnote>
  <w:footnote w:id="143">
    <w:p w14:paraId="4F5C0442" w14:textId="396C1217"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Hurd (n </w:t>
      </w:r>
      <w:r w:rsidR="0028010F" w:rsidRPr="00BF14DA">
        <w:rPr>
          <w:rFonts w:ascii="Garamond" w:hAnsi="Garamond"/>
          <w:color w:val="000000" w:themeColor="text1"/>
        </w:rPr>
        <w:t>1</w:t>
      </w:r>
      <w:r w:rsidR="0018513D" w:rsidRPr="00BF14DA">
        <w:rPr>
          <w:rFonts w:ascii="Garamond" w:hAnsi="Garamond"/>
          <w:color w:val="000000" w:themeColor="text1"/>
        </w:rPr>
        <w:t>9</w:t>
      </w:r>
      <w:r w:rsidRPr="00BF14DA">
        <w:rPr>
          <w:rFonts w:ascii="Garamond" w:hAnsi="Garamond"/>
          <w:color w:val="000000" w:themeColor="text1"/>
        </w:rPr>
        <w:t>)</w:t>
      </w:r>
      <w:r w:rsidR="00501F0F">
        <w:rPr>
          <w:rFonts w:ascii="Garamond" w:hAnsi="Garamond"/>
          <w:color w:val="000000" w:themeColor="text1"/>
        </w:rPr>
        <w:t xml:space="preserve"> </w:t>
      </w:r>
      <w:r w:rsidRPr="00BF14DA">
        <w:rPr>
          <w:rFonts w:ascii="Garamond" w:hAnsi="Garamond"/>
          <w:color w:val="000000" w:themeColor="text1"/>
        </w:rPr>
        <w:t>124.</w:t>
      </w:r>
    </w:p>
  </w:footnote>
  <w:footnote w:id="144">
    <w:p w14:paraId="181C3B09" w14:textId="1DAD85FE"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See </w:t>
      </w:r>
      <w:r w:rsidRPr="00BF14DA">
        <w:rPr>
          <w:rFonts w:ascii="Garamond" w:hAnsi="Garamond"/>
          <w:i/>
          <w:iCs/>
          <w:color w:val="000000" w:themeColor="text1"/>
        </w:rPr>
        <w:t xml:space="preserve">Chagossian </w:t>
      </w:r>
      <w:r w:rsidR="00501F0F">
        <w:rPr>
          <w:rFonts w:ascii="Garamond" w:hAnsi="Garamond"/>
          <w:i/>
          <w:iCs/>
          <w:color w:val="000000" w:themeColor="text1"/>
        </w:rPr>
        <w:t>V</w:t>
      </w:r>
      <w:r w:rsidRPr="00BF14DA">
        <w:rPr>
          <w:rFonts w:ascii="Garamond" w:hAnsi="Garamond"/>
          <w:i/>
          <w:iCs/>
          <w:color w:val="000000" w:themeColor="text1"/>
        </w:rPr>
        <w:t xml:space="preserve">iews </w:t>
      </w:r>
      <w:r w:rsidRPr="00BF14DA">
        <w:rPr>
          <w:rFonts w:ascii="Garamond" w:hAnsi="Garamond"/>
          <w:color w:val="000000" w:themeColor="text1"/>
        </w:rPr>
        <w:t xml:space="preserve">(n </w:t>
      </w:r>
      <w:r w:rsidR="0042712A" w:rsidRPr="00BF14DA">
        <w:rPr>
          <w:rFonts w:ascii="Garamond" w:hAnsi="Garamond"/>
          <w:color w:val="000000" w:themeColor="text1"/>
        </w:rPr>
        <w:t>13</w:t>
      </w:r>
      <w:r w:rsidR="002A4946" w:rsidRPr="00BF14DA">
        <w:rPr>
          <w:rFonts w:ascii="Garamond" w:hAnsi="Garamond"/>
          <w:color w:val="000000" w:themeColor="text1"/>
        </w:rPr>
        <w:t>9</w:t>
      </w:r>
      <w:r w:rsidRPr="00BF14DA">
        <w:rPr>
          <w:rFonts w:ascii="Garamond" w:hAnsi="Garamond"/>
          <w:color w:val="000000" w:themeColor="text1"/>
        </w:rPr>
        <w:t>)</w:t>
      </w:r>
      <w:r w:rsidR="00875AC8">
        <w:rPr>
          <w:rFonts w:ascii="Garamond" w:hAnsi="Garamond"/>
          <w:color w:val="000000" w:themeColor="text1"/>
        </w:rPr>
        <w:t xml:space="preserve"> [</w:t>
      </w:r>
      <w:r w:rsidRPr="00BF14DA">
        <w:rPr>
          <w:rFonts w:ascii="Garamond" w:hAnsi="Garamond"/>
          <w:color w:val="000000" w:themeColor="text1"/>
        </w:rPr>
        <w:t>46</w:t>
      </w:r>
      <w:r w:rsidR="00875AC8">
        <w:rPr>
          <w:rFonts w:ascii="Garamond" w:hAnsi="Garamond"/>
          <w:color w:val="000000" w:themeColor="text1"/>
        </w:rPr>
        <w:t>],</w:t>
      </w:r>
      <w:r w:rsidRPr="00BF14DA">
        <w:rPr>
          <w:rFonts w:ascii="Garamond" w:hAnsi="Garamond"/>
          <w:color w:val="000000" w:themeColor="text1"/>
        </w:rPr>
        <w:t xml:space="preserve"> </w:t>
      </w:r>
      <w:r w:rsidR="00875AC8">
        <w:rPr>
          <w:rFonts w:ascii="Garamond" w:hAnsi="Garamond"/>
          <w:color w:val="000000" w:themeColor="text1"/>
        </w:rPr>
        <w:t>[</w:t>
      </w:r>
      <w:r w:rsidRPr="00BF14DA">
        <w:rPr>
          <w:rFonts w:ascii="Garamond" w:hAnsi="Garamond"/>
          <w:color w:val="000000" w:themeColor="text1"/>
        </w:rPr>
        <w:t>56</w:t>
      </w:r>
      <w:r w:rsidR="00875AC8">
        <w:rPr>
          <w:rFonts w:ascii="Garamond" w:hAnsi="Garamond"/>
          <w:color w:val="000000" w:themeColor="text1"/>
        </w:rPr>
        <w:t>]</w:t>
      </w:r>
      <w:r w:rsidRPr="00BF14DA">
        <w:rPr>
          <w:rFonts w:ascii="Garamond" w:hAnsi="Garamond"/>
          <w:color w:val="000000" w:themeColor="text1"/>
        </w:rPr>
        <w:t>-</w:t>
      </w:r>
      <w:r w:rsidR="00875AC8">
        <w:rPr>
          <w:rFonts w:ascii="Garamond" w:hAnsi="Garamond"/>
          <w:color w:val="000000" w:themeColor="text1"/>
        </w:rPr>
        <w:t>[</w:t>
      </w:r>
      <w:r w:rsidRPr="00BF14DA">
        <w:rPr>
          <w:rFonts w:ascii="Garamond" w:hAnsi="Garamond"/>
          <w:color w:val="000000" w:themeColor="text1"/>
        </w:rPr>
        <w:t>61</w:t>
      </w:r>
      <w:r w:rsidR="00875AC8">
        <w:rPr>
          <w:rFonts w:ascii="Garamond" w:hAnsi="Garamond"/>
          <w:color w:val="000000" w:themeColor="text1"/>
        </w:rPr>
        <w:t>]</w:t>
      </w:r>
      <w:r w:rsidRPr="00BF14DA">
        <w:rPr>
          <w:rFonts w:ascii="Garamond" w:hAnsi="Garamond"/>
          <w:color w:val="000000" w:themeColor="text1"/>
        </w:rPr>
        <w:t>.</w:t>
      </w:r>
    </w:p>
  </w:footnote>
  <w:footnote w:id="145">
    <w:p w14:paraId="0E1180B2" w14:textId="6289EE0A"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Nicola Lacey, </w:t>
      </w:r>
      <w:r w:rsidRPr="00FB48C5">
        <w:rPr>
          <w:rFonts w:ascii="Garamond" w:hAnsi="Garamond"/>
          <w:i/>
          <w:iCs/>
          <w:color w:val="000000" w:themeColor="text1"/>
        </w:rPr>
        <w:t xml:space="preserve">Unspeakable Subjects: Feminist </w:t>
      </w:r>
      <w:r w:rsidR="00FB48C5" w:rsidRPr="00FB48C5">
        <w:rPr>
          <w:rFonts w:ascii="Garamond" w:hAnsi="Garamond"/>
          <w:i/>
          <w:iCs/>
          <w:color w:val="000000" w:themeColor="text1"/>
        </w:rPr>
        <w:t>E</w:t>
      </w:r>
      <w:r w:rsidRPr="00FB48C5">
        <w:rPr>
          <w:rFonts w:ascii="Garamond" w:hAnsi="Garamond"/>
          <w:i/>
          <w:iCs/>
          <w:color w:val="000000" w:themeColor="text1"/>
        </w:rPr>
        <w:t xml:space="preserve">ssays in </w:t>
      </w:r>
      <w:r w:rsidR="00FB48C5" w:rsidRPr="00FB48C5">
        <w:rPr>
          <w:rFonts w:ascii="Garamond" w:hAnsi="Garamond"/>
          <w:i/>
          <w:iCs/>
          <w:color w:val="000000" w:themeColor="text1"/>
        </w:rPr>
        <w:t>L</w:t>
      </w:r>
      <w:r w:rsidRPr="00FB48C5">
        <w:rPr>
          <w:rFonts w:ascii="Garamond" w:hAnsi="Garamond"/>
          <w:i/>
          <w:iCs/>
          <w:color w:val="000000" w:themeColor="text1"/>
        </w:rPr>
        <w:t xml:space="preserve">egal and </w:t>
      </w:r>
      <w:r w:rsidR="00FB48C5" w:rsidRPr="00FB48C5">
        <w:rPr>
          <w:rFonts w:ascii="Garamond" w:hAnsi="Garamond"/>
          <w:i/>
          <w:iCs/>
          <w:color w:val="000000" w:themeColor="text1"/>
        </w:rPr>
        <w:t>S</w:t>
      </w:r>
      <w:r w:rsidRPr="00FB48C5">
        <w:rPr>
          <w:rFonts w:ascii="Garamond" w:hAnsi="Garamond"/>
          <w:i/>
          <w:iCs/>
          <w:color w:val="000000" w:themeColor="text1"/>
        </w:rPr>
        <w:t xml:space="preserve">ocial </w:t>
      </w:r>
      <w:r w:rsidR="00FB48C5" w:rsidRPr="00FB48C5">
        <w:rPr>
          <w:rFonts w:ascii="Garamond" w:hAnsi="Garamond"/>
          <w:i/>
          <w:iCs/>
          <w:color w:val="000000" w:themeColor="text1"/>
        </w:rPr>
        <w:t>T</w:t>
      </w:r>
      <w:r w:rsidRPr="00FB48C5">
        <w:rPr>
          <w:rFonts w:ascii="Garamond" w:hAnsi="Garamond"/>
          <w:i/>
          <w:iCs/>
          <w:color w:val="000000" w:themeColor="text1"/>
        </w:rPr>
        <w:t>heory</w:t>
      </w:r>
      <w:r w:rsidRPr="00BF14DA">
        <w:rPr>
          <w:rFonts w:ascii="Garamond" w:hAnsi="Garamond"/>
          <w:color w:val="000000" w:themeColor="text1"/>
        </w:rPr>
        <w:t xml:space="preserve"> (Hart 1995) 113.</w:t>
      </w:r>
    </w:p>
  </w:footnote>
  <w:footnote w:id="146">
    <w:p w14:paraId="5082D786" w14:textId="77777777"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107-108. </w:t>
      </w:r>
    </w:p>
  </w:footnote>
  <w:footnote w:id="147">
    <w:p w14:paraId="4693059F" w14:textId="42437BC8" w:rsidR="006F0D99" w:rsidRPr="00BF14DA" w:rsidRDefault="006F0D99" w:rsidP="006F0D99">
      <w:pPr>
        <w:pStyle w:val="FootnoteText"/>
        <w:rPr>
          <w:rFonts w:ascii="Garamond" w:hAnsi="Garamond"/>
          <w:i/>
          <w:iCs/>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Cheryl I Harris, ‘Whiteness as </w:t>
      </w:r>
      <w:r w:rsidR="00875AC8">
        <w:rPr>
          <w:rFonts w:ascii="Garamond" w:hAnsi="Garamond"/>
          <w:color w:val="000000" w:themeColor="text1"/>
        </w:rPr>
        <w:t>p</w:t>
      </w:r>
      <w:r w:rsidRPr="00BF14DA">
        <w:rPr>
          <w:rFonts w:ascii="Garamond" w:hAnsi="Garamond"/>
          <w:color w:val="000000" w:themeColor="text1"/>
        </w:rPr>
        <w:t xml:space="preserve">roperty’ (1993) 106(8) </w:t>
      </w:r>
      <w:r w:rsidRPr="008C54B0">
        <w:rPr>
          <w:rFonts w:ascii="Garamond" w:hAnsi="Garamond"/>
          <w:i/>
          <w:iCs/>
          <w:color w:val="000000" w:themeColor="text1"/>
        </w:rPr>
        <w:t>Harvard Law Review</w:t>
      </w:r>
      <w:r w:rsidRPr="00BF14DA">
        <w:rPr>
          <w:rFonts w:ascii="Garamond" w:hAnsi="Garamond"/>
          <w:color w:val="000000" w:themeColor="text1"/>
        </w:rPr>
        <w:t xml:space="preserve"> 1707, 1736; see also Margaret J</w:t>
      </w:r>
      <w:r w:rsidR="00875AC8">
        <w:rPr>
          <w:rFonts w:ascii="Garamond" w:hAnsi="Garamond"/>
          <w:color w:val="000000" w:themeColor="text1"/>
        </w:rPr>
        <w:t>ane</w:t>
      </w:r>
      <w:r w:rsidRPr="00BF14DA">
        <w:rPr>
          <w:rFonts w:ascii="Garamond" w:hAnsi="Garamond"/>
          <w:color w:val="000000" w:themeColor="text1"/>
        </w:rPr>
        <w:t xml:space="preserve"> Radin, ‘The </w:t>
      </w:r>
      <w:r w:rsidR="00875AC8">
        <w:rPr>
          <w:rFonts w:ascii="Garamond" w:hAnsi="Garamond"/>
          <w:color w:val="000000" w:themeColor="text1"/>
        </w:rPr>
        <w:t>li</w:t>
      </w:r>
      <w:r w:rsidRPr="00BF14DA">
        <w:rPr>
          <w:rFonts w:ascii="Garamond" w:hAnsi="Garamond"/>
          <w:color w:val="000000" w:themeColor="text1"/>
        </w:rPr>
        <w:t xml:space="preserve">beral </w:t>
      </w:r>
      <w:r w:rsidR="00875AC8">
        <w:rPr>
          <w:rFonts w:ascii="Garamond" w:hAnsi="Garamond"/>
          <w:color w:val="000000" w:themeColor="text1"/>
        </w:rPr>
        <w:t>c</w:t>
      </w:r>
      <w:r w:rsidRPr="00BF14DA">
        <w:rPr>
          <w:rFonts w:ascii="Garamond" w:hAnsi="Garamond"/>
          <w:color w:val="000000" w:themeColor="text1"/>
        </w:rPr>
        <w:t xml:space="preserve">onception of </w:t>
      </w:r>
      <w:r w:rsidR="00875AC8">
        <w:rPr>
          <w:rFonts w:ascii="Garamond" w:hAnsi="Garamond"/>
          <w:color w:val="000000" w:themeColor="text1"/>
        </w:rPr>
        <w:t>p</w:t>
      </w:r>
      <w:r w:rsidRPr="00BF14DA">
        <w:rPr>
          <w:rFonts w:ascii="Garamond" w:hAnsi="Garamond"/>
          <w:color w:val="000000" w:themeColor="text1"/>
        </w:rPr>
        <w:t xml:space="preserve">roperty: Cross </w:t>
      </w:r>
      <w:r w:rsidR="00875AC8">
        <w:rPr>
          <w:rFonts w:ascii="Garamond" w:hAnsi="Garamond"/>
          <w:color w:val="000000" w:themeColor="text1"/>
        </w:rPr>
        <w:t>c</w:t>
      </w:r>
      <w:r w:rsidRPr="00BF14DA">
        <w:rPr>
          <w:rFonts w:ascii="Garamond" w:hAnsi="Garamond"/>
          <w:color w:val="000000" w:themeColor="text1"/>
        </w:rPr>
        <w:t xml:space="preserve">urrents in the </w:t>
      </w:r>
      <w:r w:rsidR="00FE51AE">
        <w:rPr>
          <w:rFonts w:ascii="Garamond" w:hAnsi="Garamond"/>
          <w:color w:val="000000" w:themeColor="text1"/>
        </w:rPr>
        <w:t>j</w:t>
      </w:r>
      <w:r w:rsidRPr="00BF14DA">
        <w:rPr>
          <w:rFonts w:ascii="Garamond" w:hAnsi="Garamond"/>
          <w:color w:val="000000" w:themeColor="text1"/>
        </w:rPr>
        <w:t xml:space="preserve">urisprudence of </w:t>
      </w:r>
      <w:r w:rsidR="00FE51AE">
        <w:rPr>
          <w:rFonts w:ascii="Garamond" w:hAnsi="Garamond"/>
          <w:color w:val="000000" w:themeColor="text1"/>
        </w:rPr>
        <w:t>t</w:t>
      </w:r>
      <w:r w:rsidRPr="00BF14DA">
        <w:rPr>
          <w:rFonts w:ascii="Garamond" w:hAnsi="Garamond"/>
          <w:color w:val="000000" w:themeColor="text1"/>
        </w:rPr>
        <w:t>akings’ (1988) 88(8</w:t>
      </w:r>
      <w:r w:rsidRPr="008C54B0">
        <w:rPr>
          <w:rFonts w:ascii="Garamond" w:hAnsi="Garamond"/>
          <w:i/>
          <w:iCs/>
          <w:color w:val="000000" w:themeColor="text1"/>
        </w:rPr>
        <w:t>) Columbia Law Review</w:t>
      </w:r>
      <w:r w:rsidRPr="00BF14DA">
        <w:rPr>
          <w:rFonts w:ascii="Garamond" w:hAnsi="Garamond"/>
          <w:color w:val="000000" w:themeColor="text1"/>
        </w:rPr>
        <w:t xml:space="preserve"> 1667. </w:t>
      </w:r>
      <w:r w:rsidRPr="00BF14DA">
        <w:rPr>
          <w:rFonts w:ascii="Garamond" w:hAnsi="Garamond"/>
          <w:i/>
          <w:iCs/>
          <w:color w:val="000000" w:themeColor="text1"/>
        </w:rPr>
        <w:t xml:space="preserve"> </w:t>
      </w:r>
    </w:p>
  </w:footnote>
  <w:footnote w:id="148">
    <w:p w14:paraId="114B8BB7" w14:textId="154E6B58"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Daniel Loick, </w:t>
      </w:r>
      <w:r w:rsidR="00FE51AE">
        <w:rPr>
          <w:rFonts w:ascii="Garamond" w:hAnsi="Garamond"/>
          <w:color w:val="000000" w:themeColor="text1"/>
        </w:rPr>
        <w:t>‘“</w:t>
      </w:r>
      <w:r w:rsidRPr="00BF14DA">
        <w:rPr>
          <w:rFonts w:ascii="Garamond" w:hAnsi="Garamond"/>
          <w:color w:val="000000" w:themeColor="text1"/>
        </w:rPr>
        <w:t>…as if it were a thing.” A feminist critique of consent’ (2020) 27</w:t>
      </w:r>
      <w:r w:rsidR="00D1537F">
        <w:rPr>
          <w:rFonts w:ascii="Garamond" w:hAnsi="Garamond"/>
          <w:color w:val="000000" w:themeColor="text1"/>
        </w:rPr>
        <w:t>(3)</w:t>
      </w:r>
      <w:r w:rsidRPr="00BF14DA">
        <w:rPr>
          <w:rFonts w:ascii="Garamond" w:hAnsi="Garamond"/>
          <w:color w:val="000000" w:themeColor="text1"/>
        </w:rPr>
        <w:t xml:space="preserve"> </w:t>
      </w:r>
      <w:r w:rsidRPr="008C54B0">
        <w:rPr>
          <w:rFonts w:ascii="Garamond" w:hAnsi="Garamond"/>
          <w:i/>
          <w:iCs/>
          <w:color w:val="000000" w:themeColor="text1"/>
        </w:rPr>
        <w:t>Constellations</w:t>
      </w:r>
      <w:r w:rsidRPr="00BF14DA">
        <w:rPr>
          <w:rFonts w:ascii="Garamond" w:hAnsi="Garamond"/>
          <w:color w:val="000000" w:themeColor="text1"/>
        </w:rPr>
        <w:t xml:space="preserve"> 412, 415.</w:t>
      </w:r>
    </w:p>
  </w:footnote>
  <w:footnote w:id="149">
    <w:p w14:paraId="1A3BB4FD" w14:textId="0C89AB2A" w:rsidR="006F0D99" w:rsidRPr="00BF14DA" w:rsidRDefault="006F0D99" w:rsidP="006F0D99">
      <w:pPr>
        <w:pStyle w:val="FootnoteText"/>
        <w:rPr>
          <w:rFonts w:ascii="Garamond" w:hAnsi="Garamond"/>
          <w:color w:val="000000" w:themeColor="text1"/>
          <w:highlight w:val="yellow"/>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373108" w:rsidRPr="00BF14DA">
        <w:rPr>
          <w:rFonts w:ascii="Garamond" w:hAnsi="Garamond"/>
          <w:color w:val="000000" w:themeColor="text1"/>
        </w:rPr>
        <w:t xml:space="preserve">Moira Gatens, ‘Paradoxes of </w:t>
      </w:r>
      <w:r w:rsidR="00FE51AE">
        <w:rPr>
          <w:rFonts w:ascii="Garamond" w:hAnsi="Garamond"/>
          <w:color w:val="000000" w:themeColor="text1"/>
        </w:rPr>
        <w:t>l</w:t>
      </w:r>
      <w:r w:rsidR="00373108" w:rsidRPr="00BF14DA">
        <w:rPr>
          <w:rFonts w:ascii="Garamond" w:hAnsi="Garamond"/>
          <w:color w:val="000000" w:themeColor="text1"/>
        </w:rPr>
        <w:t xml:space="preserve">iberal </w:t>
      </w:r>
      <w:r w:rsidR="00FE51AE">
        <w:rPr>
          <w:rFonts w:ascii="Garamond" w:hAnsi="Garamond"/>
          <w:color w:val="000000" w:themeColor="text1"/>
        </w:rPr>
        <w:t>p</w:t>
      </w:r>
      <w:r w:rsidR="00373108" w:rsidRPr="00BF14DA">
        <w:rPr>
          <w:rFonts w:ascii="Garamond" w:hAnsi="Garamond"/>
          <w:color w:val="000000" w:themeColor="text1"/>
        </w:rPr>
        <w:t>oli</w:t>
      </w:r>
      <w:r w:rsidR="005C3B20" w:rsidRPr="00BF14DA">
        <w:rPr>
          <w:rFonts w:ascii="Garamond" w:hAnsi="Garamond"/>
          <w:color w:val="000000" w:themeColor="text1"/>
        </w:rPr>
        <w:t xml:space="preserve">tics: Contracts, </w:t>
      </w:r>
      <w:r w:rsidR="00FE51AE">
        <w:rPr>
          <w:rFonts w:ascii="Garamond" w:hAnsi="Garamond"/>
          <w:color w:val="000000" w:themeColor="text1"/>
        </w:rPr>
        <w:t>r</w:t>
      </w:r>
      <w:r w:rsidR="005C3B20" w:rsidRPr="00BF14DA">
        <w:rPr>
          <w:rFonts w:ascii="Garamond" w:hAnsi="Garamond"/>
          <w:color w:val="000000" w:themeColor="text1"/>
        </w:rPr>
        <w:t xml:space="preserve">ights, and </w:t>
      </w:r>
      <w:r w:rsidR="00FE51AE">
        <w:rPr>
          <w:rFonts w:ascii="Garamond" w:hAnsi="Garamond"/>
          <w:color w:val="000000" w:themeColor="text1"/>
        </w:rPr>
        <w:t>c</w:t>
      </w:r>
      <w:r w:rsidR="005C3B20" w:rsidRPr="00BF14DA">
        <w:rPr>
          <w:rFonts w:ascii="Garamond" w:hAnsi="Garamond"/>
          <w:color w:val="000000" w:themeColor="text1"/>
        </w:rPr>
        <w:t>onsent’ in Daniel I O’Neill, Mary Lyndon Shanley</w:t>
      </w:r>
      <w:r w:rsidR="00542646" w:rsidRPr="00BF14DA">
        <w:rPr>
          <w:rFonts w:ascii="Garamond" w:hAnsi="Garamond"/>
          <w:color w:val="000000" w:themeColor="text1"/>
        </w:rPr>
        <w:t xml:space="preserve"> and Iris Marion Young (eds)</w:t>
      </w:r>
      <w:r w:rsidR="007E0AA7" w:rsidRPr="00BF14DA">
        <w:rPr>
          <w:rFonts w:ascii="Garamond" w:hAnsi="Garamond"/>
          <w:color w:val="000000" w:themeColor="text1"/>
        </w:rPr>
        <w:t>,</w:t>
      </w:r>
      <w:r w:rsidR="00542646" w:rsidRPr="00BF14DA">
        <w:rPr>
          <w:rFonts w:ascii="Garamond" w:hAnsi="Garamond"/>
          <w:color w:val="000000" w:themeColor="text1"/>
        </w:rPr>
        <w:t xml:space="preserve"> </w:t>
      </w:r>
      <w:r w:rsidR="00542646" w:rsidRPr="00BF14DA">
        <w:rPr>
          <w:rFonts w:ascii="Garamond" w:hAnsi="Garamond"/>
          <w:i/>
          <w:iCs/>
          <w:color w:val="000000" w:themeColor="text1"/>
        </w:rPr>
        <w:t>Ill</w:t>
      </w:r>
      <w:r w:rsidR="007E0AA7" w:rsidRPr="00BF14DA">
        <w:rPr>
          <w:rFonts w:ascii="Garamond" w:hAnsi="Garamond"/>
          <w:i/>
          <w:iCs/>
          <w:color w:val="000000" w:themeColor="text1"/>
        </w:rPr>
        <w:t xml:space="preserve">usion of Consent: Engaging with Carole Pateman </w:t>
      </w:r>
      <w:r w:rsidR="007E0AA7" w:rsidRPr="00BF14DA">
        <w:rPr>
          <w:rFonts w:ascii="Garamond" w:hAnsi="Garamond"/>
          <w:color w:val="000000" w:themeColor="text1"/>
        </w:rPr>
        <w:t>(</w:t>
      </w:r>
      <w:r w:rsidR="00D21E37" w:rsidRPr="00BF14DA">
        <w:rPr>
          <w:rFonts w:ascii="Garamond" w:hAnsi="Garamond"/>
          <w:color w:val="000000" w:themeColor="text1"/>
        </w:rPr>
        <w:t xml:space="preserve">Pennsylvania State University Press </w:t>
      </w:r>
      <w:r w:rsidR="00B37B12" w:rsidRPr="00BF14DA">
        <w:rPr>
          <w:rFonts w:ascii="Garamond" w:hAnsi="Garamond"/>
          <w:color w:val="000000" w:themeColor="text1"/>
        </w:rPr>
        <w:t xml:space="preserve">2008) </w:t>
      </w:r>
      <w:r w:rsidR="00592D21" w:rsidRPr="00BF14DA">
        <w:rPr>
          <w:rFonts w:ascii="Garamond" w:hAnsi="Garamond"/>
          <w:color w:val="000000" w:themeColor="text1"/>
        </w:rPr>
        <w:t>31</w:t>
      </w:r>
      <w:r w:rsidR="005B0921">
        <w:rPr>
          <w:rFonts w:ascii="Garamond" w:hAnsi="Garamond"/>
          <w:color w:val="000000" w:themeColor="text1"/>
        </w:rPr>
        <w:t>-48</w:t>
      </w:r>
      <w:r w:rsidR="00592D21" w:rsidRPr="00BF14DA">
        <w:rPr>
          <w:rFonts w:ascii="Garamond" w:hAnsi="Garamond"/>
          <w:color w:val="000000" w:themeColor="text1"/>
        </w:rPr>
        <w:t xml:space="preserve">, </w:t>
      </w:r>
      <w:r w:rsidRPr="00BF14DA">
        <w:rPr>
          <w:rFonts w:ascii="Garamond" w:hAnsi="Garamond"/>
          <w:color w:val="000000" w:themeColor="text1"/>
        </w:rPr>
        <w:t xml:space="preserve">37. </w:t>
      </w:r>
    </w:p>
  </w:footnote>
  <w:footnote w:id="150">
    <w:p w14:paraId="7F9B08A6" w14:textId="7F561D66"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Megan Gallagher, ‘The </w:t>
      </w:r>
      <w:r w:rsidR="00FE51AE">
        <w:rPr>
          <w:rFonts w:ascii="Garamond" w:hAnsi="Garamond"/>
          <w:color w:val="000000" w:themeColor="text1"/>
        </w:rPr>
        <w:t>a</w:t>
      </w:r>
      <w:r w:rsidRPr="00BF14DA">
        <w:rPr>
          <w:rFonts w:ascii="Garamond" w:hAnsi="Garamond"/>
          <w:color w:val="000000" w:themeColor="text1"/>
        </w:rPr>
        <w:t xml:space="preserve">mbivalence of </w:t>
      </w:r>
      <w:r w:rsidR="00FE51AE">
        <w:rPr>
          <w:rFonts w:ascii="Garamond" w:hAnsi="Garamond"/>
          <w:color w:val="000000" w:themeColor="text1"/>
        </w:rPr>
        <w:t>c</w:t>
      </w:r>
      <w:r w:rsidRPr="00BF14DA">
        <w:rPr>
          <w:rFonts w:ascii="Garamond" w:hAnsi="Garamond"/>
          <w:color w:val="000000" w:themeColor="text1"/>
        </w:rPr>
        <w:t>onsent’ (202</w:t>
      </w:r>
      <w:r w:rsidR="00716DB7">
        <w:rPr>
          <w:rFonts w:ascii="Garamond" w:hAnsi="Garamond"/>
          <w:color w:val="000000" w:themeColor="text1"/>
        </w:rPr>
        <w:t>4</w:t>
      </w:r>
      <w:r w:rsidRPr="00BF14DA">
        <w:rPr>
          <w:rFonts w:ascii="Garamond" w:hAnsi="Garamond"/>
          <w:color w:val="000000" w:themeColor="text1"/>
        </w:rPr>
        <w:t xml:space="preserve">) 38(118) </w:t>
      </w:r>
      <w:r w:rsidRPr="009E31DD">
        <w:rPr>
          <w:rFonts w:ascii="Garamond" w:hAnsi="Garamond"/>
          <w:i/>
          <w:iCs/>
          <w:color w:val="000000" w:themeColor="text1"/>
        </w:rPr>
        <w:t>Australian Feminist Studies</w:t>
      </w:r>
      <w:r w:rsidRPr="00BF14DA">
        <w:rPr>
          <w:rFonts w:ascii="Garamond" w:hAnsi="Garamond"/>
          <w:color w:val="000000" w:themeColor="text1"/>
        </w:rPr>
        <w:t xml:space="preserve"> 472, 478.</w:t>
      </w:r>
    </w:p>
  </w:footnote>
  <w:footnote w:id="151">
    <w:p w14:paraId="79A7D817" w14:textId="555EE092" w:rsidR="006F0D99" w:rsidRPr="0006792C" w:rsidRDefault="006F0D99" w:rsidP="006F0D99">
      <w:pPr>
        <w:pStyle w:val="FootnoteText"/>
        <w:rPr>
          <w:rFonts w:ascii="Garamond" w:hAnsi="Garamond"/>
          <w:color w:val="000000" w:themeColor="text1"/>
          <w:lang w:val="fi-FI"/>
        </w:rPr>
      </w:pPr>
      <w:r w:rsidRPr="00BF14DA">
        <w:rPr>
          <w:rStyle w:val="FootnoteReference"/>
          <w:rFonts w:ascii="Garamond" w:hAnsi="Garamond"/>
          <w:color w:val="000000" w:themeColor="text1"/>
        </w:rPr>
        <w:footnoteRef/>
      </w:r>
      <w:r w:rsidRPr="0006792C">
        <w:rPr>
          <w:rFonts w:ascii="Garamond" w:hAnsi="Garamond"/>
          <w:color w:val="000000" w:themeColor="text1"/>
          <w:lang w:val="fi-FI"/>
        </w:rPr>
        <w:t xml:space="preserve"> </w:t>
      </w:r>
      <w:r w:rsidRPr="0006792C">
        <w:rPr>
          <w:rFonts w:ascii="Garamond" w:hAnsi="Garamond"/>
          <w:color w:val="000000" w:themeColor="text1"/>
          <w:lang w:val="fi-FI"/>
        </w:rPr>
        <w:t xml:space="preserve">Kapur (n </w:t>
      </w:r>
      <w:r w:rsidR="009833F9" w:rsidRPr="0006792C">
        <w:rPr>
          <w:rFonts w:ascii="Garamond" w:hAnsi="Garamond"/>
          <w:color w:val="000000" w:themeColor="text1"/>
          <w:lang w:val="fi-FI"/>
        </w:rPr>
        <w:t>90</w:t>
      </w:r>
      <w:r w:rsidRPr="0006792C">
        <w:rPr>
          <w:rFonts w:ascii="Garamond" w:hAnsi="Garamond"/>
          <w:color w:val="000000" w:themeColor="text1"/>
          <w:lang w:val="fi-FI"/>
        </w:rPr>
        <w:t xml:space="preserve">) 23-24; Ruskola (n </w:t>
      </w:r>
      <w:r w:rsidR="009833F9" w:rsidRPr="0006792C">
        <w:rPr>
          <w:rFonts w:ascii="Garamond" w:hAnsi="Garamond"/>
          <w:color w:val="000000" w:themeColor="text1"/>
          <w:lang w:val="fi-FI"/>
        </w:rPr>
        <w:t>23</w:t>
      </w:r>
      <w:r w:rsidRPr="0006792C">
        <w:rPr>
          <w:rFonts w:ascii="Garamond" w:hAnsi="Garamond"/>
          <w:color w:val="000000" w:themeColor="text1"/>
          <w:lang w:val="fi-FI"/>
        </w:rPr>
        <w:t xml:space="preserve">); Bird (n </w:t>
      </w:r>
      <w:r w:rsidR="00C63BA0" w:rsidRPr="0006792C">
        <w:rPr>
          <w:rFonts w:ascii="Garamond" w:hAnsi="Garamond"/>
          <w:color w:val="000000" w:themeColor="text1"/>
          <w:lang w:val="fi-FI"/>
        </w:rPr>
        <w:t>5</w:t>
      </w:r>
      <w:r w:rsidR="009833F9" w:rsidRPr="0006792C">
        <w:rPr>
          <w:rFonts w:ascii="Garamond" w:hAnsi="Garamond"/>
          <w:color w:val="000000" w:themeColor="text1"/>
          <w:lang w:val="fi-FI"/>
        </w:rPr>
        <w:t>6</w:t>
      </w:r>
      <w:r w:rsidRPr="0006792C">
        <w:rPr>
          <w:rFonts w:ascii="Garamond" w:hAnsi="Garamond"/>
          <w:color w:val="000000" w:themeColor="text1"/>
          <w:lang w:val="fi-FI"/>
        </w:rPr>
        <w:t>) 6.</w:t>
      </w:r>
    </w:p>
  </w:footnote>
  <w:footnote w:id="152">
    <w:p w14:paraId="3719DA13" w14:textId="57373077"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Cath</w:t>
      </w:r>
      <w:r w:rsidR="00F728F1">
        <w:rPr>
          <w:rFonts w:ascii="Garamond" w:hAnsi="Garamond"/>
          <w:color w:val="000000" w:themeColor="text1"/>
        </w:rPr>
        <w:t>a</w:t>
      </w:r>
      <w:r w:rsidRPr="00BF14DA">
        <w:rPr>
          <w:rFonts w:ascii="Garamond" w:hAnsi="Garamond"/>
          <w:color w:val="000000" w:themeColor="text1"/>
        </w:rPr>
        <w:t xml:space="preserve">rine </w:t>
      </w:r>
      <w:r w:rsidR="00F728F1">
        <w:rPr>
          <w:rFonts w:ascii="Garamond" w:hAnsi="Garamond"/>
          <w:color w:val="000000" w:themeColor="text1"/>
        </w:rPr>
        <w:t xml:space="preserve">A </w:t>
      </w:r>
      <w:r w:rsidRPr="00BF14DA">
        <w:rPr>
          <w:rFonts w:ascii="Garamond" w:hAnsi="Garamond"/>
          <w:color w:val="000000" w:themeColor="text1"/>
        </w:rPr>
        <w:t xml:space="preserve">MacKinnon, </w:t>
      </w:r>
      <w:r w:rsidRPr="00BF14DA">
        <w:rPr>
          <w:rFonts w:ascii="Garamond" w:hAnsi="Garamond"/>
          <w:i/>
          <w:iCs/>
          <w:color w:val="000000" w:themeColor="text1"/>
        </w:rPr>
        <w:t>Toward a Feminist Theory of the State</w:t>
      </w:r>
      <w:r w:rsidRPr="00BF14DA">
        <w:rPr>
          <w:rFonts w:ascii="Garamond" w:hAnsi="Garamond"/>
          <w:color w:val="000000" w:themeColor="text1"/>
        </w:rPr>
        <w:t xml:space="preserve"> (Havard University Press 1989) 162.</w:t>
      </w:r>
    </w:p>
  </w:footnote>
  <w:footnote w:id="153">
    <w:p w14:paraId="75CFDE25" w14:textId="70D41769"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proofErr w:type="spellStart"/>
      <w:r w:rsidRPr="00BF14DA">
        <w:rPr>
          <w:rFonts w:ascii="Garamond" w:hAnsi="Garamond"/>
          <w:color w:val="000000" w:themeColor="text1"/>
        </w:rPr>
        <w:t>Ruskola</w:t>
      </w:r>
      <w:proofErr w:type="spellEnd"/>
      <w:r w:rsidRPr="00BF14DA">
        <w:rPr>
          <w:rFonts w:ascii="Garamond" w:hAnsi="Garamond"/>
          <w:color w:val="000000" w:themeColor="text1"/>
        </w:rPr>
        <w:t xml:space="preserve"> (n </w:t>
      </w:r>
      <w:r w:rsidR="00DA6821" w:rsidRPr="00BF14DA">
        <w:rPr>
          <w:rFonts w:ascii="Garamond" w:hAnsi="Garamond"/>
          <w:color w:val="000000" w:themeColor="text1"/>
        </w:rPr>
        <w:t>23</w:t>
      </w:r>
      <w:r w:rsidRPr="00BF14DA">
        <w:rPr>
          <w:rFonts w:ascii="Garamond" w:hAnsi="Garamond"/>
          <w:color w:val="000000" w:themeColor="text1"/>
        </w:rPr>
        <w:t>)</w:t>
      </w:r>
      <w:r w:rsidR="00F728F1">
        <w:rPr>
          <w:rFonts w:ascii="Garamond" w:hAnsi="Garamond"/>
          <w:color w:val="000000" w:themeColor="text1"/>
        </w:rPr>
        <w:t xml:space="preserve"> </w:t>
      </w:r>
      <w:r w:rsidRPr="00BF14DA">
        <w:rPr>
          <w:rFonts w:ascii="Garamond" w:hAnsi="Garamond"/>
          <w:color w:val="000000" w:themeColor="text1"/>
        </w:rPr>
        <w:t>1492</w:t>
      </w:r>
      <w:r w:rsidR="00F728F1">
        <w:rPr>
          <w:rFonts w:ascii="Garamond" w:hAnsi="Garamond"/>
          <w:color w:val="000000" w:themeColor="text1"/>
        </w:rPr>
        <w:t>.</w:t>
      </w:r>
      <w:r w:rsidRPr="00BF14DA">
        <w:rPr>
          <w:rFonts w:ascii="Garamond" w:hAnsi="Garamond"/>
          <w:color w:val="000000" w:themeColor="text1"/>
        </w:rPr>
        <w:t xml:space="preserve"> </w:t>
      </w:r>
    </w:p>
  </w:footnote>
  <w:footnote w:id="154">
    <w:p w14:paraId="428A2A13" w14:textId="13931CD2"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Gallagher (n </w:t>
      </w:r>
      <w:r w:rsidR="007B3561" w:rsidRPr="00BF14DA">
        <w:rPr>
          <w:rFonts w:ascii="Garamond" w:hAnsi="Garamond"/>
          <w:color w:val="000000" w:themeColor="text1"/>
        </w:rPr>
        <w:t>14</w:t>
      </w:r>
      <w:r w:rsidR="002D15E7" w:rsidRPr="00BF14DA">
        <w:rPr>
          <w:rFonts w:ascii="Garamond" w:hAnsi="Garamond"/>
          <w:color w:val="000000" w:themeColor="text1"/>
        </w:rPr>
        <w:t>9</w:t>
      </w:r>
      <w:r w:rsidRPr="00BF14DA">
        <w:rPr>
          <w:rFonts w:ascii="Garamond" w:hAnsi="Garamond"/>
          <w:color w:val="000000" w:themeColor="text1"/>
        </w:rPr>
        <w:t xml:space="preserve">) 479; Sharon Krause, </w:t>
      </w:r>
      <w:r w:rsidRPr="00BF14DA">
        <w:rPr>
          <w:rFonts w:ascii="Garamond" w:hAnsi="Garamond"/>
          <w:i/>
          <w:iCs/>
          <w:color w:val="000000" w:themeColor="text1"/>
        </w:rPr>
        <w:t xml:space="preserve">Freedom Beyond Sovereignty: Reconstructing Liberal Individualism </w:t>
      </w:r>
      <w:r w:rsidRPr="00BF14DA">
        <w:rPr>
          <w:rFonts w:ascii="Garamond" w:hAnsi="Garamond"/>
          <w:color w:val="000000" w:themeColor="text1"/>
        </w:rPr>
        <w:t>(</w:t>
      </w:r>
      <w:r w:rsidR="00A87F69">
        <w:rPr>
          <w:rFonts w:ascii="Garamond" w:hAnsi="Garamond"/>
          <w:color w:val="000000" w:themeColor="text1"/>
        </w:rPr>
        <w:t xml:space="preserve">University of Chicago Press </w:t>
      </w:r>
      <w:r w:rsidRPr="00BF14DA">
        <w:rPr>
          <w:rFonts w:ascii="Garamond" w:hAnsi="Garamond"/>
          <w:color w:val="000000" w:themeColor="text1"/>
        </w:rPr>
        <w:t>2015) 21.</w:t>
      </w:r>
    </w:p>
  </w:footnote>
  <w:footnote w:id="155">
    <w:p w14:paraId="497D05AD" w14:textId="0DC55991"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Pateman (n </w:t>
      </w:r>
      <w:r w:rsidR="00DC24B4" w:rsidRPr="00BF14DA">
        <w:rPr>
          <w:rFonts w:ascii="Garamond" w:hAnsi="Garamond"/>
          <w:color w:val="000000" w:themeColor="text1"/>
        </w:rPr>
        <w:t>9</w:t>
      </w:r>
      <w:r w:rsidR="005001F9" w:rsidRPr="00BF14DA">
        <w:rPr>
          <w:rFonts w:ascii="Garamond" w:hAnsi="Garamond"/>
          <w:color w:val="000000" w:themeColor="text1"/>
        </w:rPr>
        <w:t>5</w:t>
      </w:r>
      <w:r w:rsidRPr="00BF14DA">
        <w:rPr>
          <w:rFonts w:ascii="Garamond" w:hAnsi="Garamond"/>
          <w:color w:val="000000" w:themeColor="text1"/>
        </w:rPr>
        <w:t>) 129.</w:t>
      </w:r>
    </w:p>
  </w:footnote>
  <w:footnote w:id="156">
    <w:p w14:paraId="5C4F9177" w14:textId="6709C8C5"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ibid 151; see also Gatens (n </w:t>
      </w:r>
      <w:r w:rsidR="005A3725" w:rsidRPr="00BF14DA">
        <w:rPr>
          <w:rFonts w:ascii="Garamond" w:hAnsi="Garamond"/>
          <w:color w:val="000000" w:themeColor="text1"/>
        </w:rPr>
        <w:t>14</w:t>
      </w:r>
      <w:r w:rsidR="005001F9" w:rsidRPr="00BF14DA">
        <w:rPr>
          <w:rFonts w:ascii="Garamond" w:hAnsi="Garamond"/>
          <w:color w:val="000000" w:themeColor="text1"/>
        </w:rPr>
        <w:t>8</w:t>
      </w:r>
      <w:r w:rsidRPr="00BF14DA">
        <w:rPr>
          <w:rFonts w:ascii="Garamond" w:hAnsi="Garamond"/>
          <w:color w:val="000000" w:themeColor="text1"/>
        </w:rPr>
        <w:t>) 32-37.</w:t>
      </w:r>
    </w:p>
  </w:footnote>
  <w:footnote w:id="157">
    <w:p w14:paraId="738C7757" w14:textId="288B5F7D"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proofErr w:type="spellStart"/>
      <w:r w:rsidRPr="00BF14DA">
        <w:rPr>
          <w:rFonts w:ascii="Garamond" w:hAnsi="Garamond"/>
          <w:color w:val="000000" w:themeColor="text1"/>
        </w:rPr>
        <w:t>Jurkevics</w:t>
      </w:r>
      <w:proofErr w:type="spellEnd"/>
      <w:r w:rsidRPr="00BF14DA">
        <w:rPr>
          <w:rFonts w:ascii="Garamond" w:hAnsi="Garamond"/>
          <w:color w:val="000000" w:themeColor="text1"/>
        </w:rPr>
        <w:t xml:space="preserve"> (n </w:t>
      </w:r>
      <w:r w:rsidR="00992889" w:rsidRPr="00BF14DA">
        <w:rPr>
          <w:rFonts w:ascii="Garamond" w:hAnsi="Garamond"/>
          <w:color w:val="000000" w:themeColor="text1"/>
        </w:rPr>
        <w:t>13</w:t>
      </w:r>
      <w:r w:rsidR="00EF1134" w:rsidRPr="00BF14DA">
        <w:rPr>
          <w:rFonts w:ascii="Garamond" w:hAnsi="Garamond"/>
          <w:color w:val="000000" w:themeColor="text1"/>
        </w:rPr>
        <w:t>6</w:t>
      </w:r>
      <w:r w:rsidRPr="00BF14DA">
        <w:rPr>
          <w:rFonts w:ascii="Garamond" w:hAnsi="Garamond"/>
          <w:color w:val="000000" w:themeColor="text1"/>
        </w:rPr>
        <w:t xml:space="preserve">). </w:t>
      </w:r>
    </w:p>
  </w:footnote>
  <w:footnote w:id="158">
    <w:p w14:paraId="6ECB4122" w14:textId="2D926D57"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proofErr w:type="spellStart"/>
      <w:r w:rsidRPr="00BF14DA">
        <w:rPr>
          <w:rFonts w:ascii="Garamond" w:hAnsi="Garamond"/>
          <w:color w:val="000000" w:themeColor="text1"/>
        </w:rPr>
        <w:t>Anghie</w:t>
      </w:r>
      <w:proofErr w:type="spellEnd"/>
      <w:r w:rsidRPr="00BF14DA">
        <w:rPr>
          <w:rFonts w:ascii="Garamond" w:hAnsi="Garamond"/>
          <w:color w:val="000000" w:themeColor="text1"/>
        </w:rPr>
        <w:t xml:space="preserve"> (n </w:t>
      </w:r>
      <w:r w:rsidR="00992889" w:rsidRPr="00BF14DA">
        <w:rPr>
          <w:rFonts w:ascii="Garamond" w:hAnsi="Garamond"/>
          <w:color w:val="000000" w:themeColor="text1"/>
        </w:rPr>
        <w:t>4</w:t>
      </w:r>
      <w:r w:rsidR="002275FD" w:rsidRPr="00BF14DA">
        <w:rPr>
          <w:rFonts w:ascii="Garamond" w:hAnsi="Garamond"/>
          <w:color w:val="000000" w:themeColor="text1"/>
        </w:rPr>
        <w:t>4</w:t>
      </w:r>
      <w:r w:rsidRPr="00BF14DA">
        <w:rPr>
          <w:rFonts w:ascii="Garamond" w:hAnsi="Garamond"/>
          <w:color w:val="000000" w:themeColor="text1"/>
        </w:rPr>
        <w:t>) 223-235.</w:t>
      </w:r>
    </w:p>
  </w:footnote>
  <w:footnote w:id="159">
    <w:p w14:paraId="068EB136" w14:textId="2F54BA8E"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Robert Knox, ‘International </w:t>
      </w:r>
      <w:r w:rsidR="00B426CD">
        <w:rPr>
          <w:rFonts w:ascii="Garamond" w:hAnsi="Garamond"/>
          <w:color w:val="000000" w:themeColor="text1"/>
        </w:rPr>
        <w:t>l</w:t>
      </w:r>
      <w:r w:rsidRPr="00BF14DA">
        <w:rPr>
          <w:rFonts w:ascii="Garamond" w:hAnsi="Garamond"/>
          <w:color w:val="000000" w:themeColor="text1"/>
        </w:rPr>
        <w:t xml:space="preserve">aw, race and Marxism: </w:t>
      </w:r>
      <w:r w:rsidR="00B426CD">
        <w:rPr>
          <w:rFonts w:ascii="Garamond" w:hAnsi="Garamond"/>
          <w:color w:val="000000" w:themeColor="text1"/>
        </w:rPr>
        <w:t>A</w:t>
      </w:r>
      <w:r w:rsidRPr="00BF14DA">
        <w:rPr>
          <w:rFonts w:ascii="Garamond" w:hAnsi="Garamond"/>
          <w:color w:val="000000" w:themeColor="text1"/>
        </w:rPr>
        <w:t xml:space="preserve">n outline of a commodity-form approach’ (2024) 15(4) </w:t>
      </w:r>
      <w:r w:rsidRPr="00423723">
        <w:rPr>
          <w:rFonts w:ascii="Garamond" w:hAnsi="Garamond"/>
          <w:i/>
          <w:iCs/>
          <w:color w:val="000000" w:themeColor="text1"/>
        </w:rPr>
        <w:t xml:space="preserve">Rev </w:t>
      </w:r>
      <w:proofErr w:type="spellStart"/>
      <w:r w:rsidRPr="00423723">
        <w:rPr>
          <w:rFonts w:ascii="Garamond" w:hAnsi="Garamond"/>
          <w:i/>
          <w:iCs/>
          <w:color w:val="000000" w:themeColor="text1"/>
        </w:rPr>
        <w:t>Direito</w:t>
      </w:r>
      <w:proofErr w:type="spellEnd"/>
      <w:r w:rsidRPr="00423723">
        <w:rPr>
          <w:rFonts w:ascii="Garamond" w:hAnsi="Garamond"/>
          <w:i/>
          <w:iCs/>
          <w:color w:val="000000" w:themeColor="text1"/>
        </w:rPr>
        <w:t xml:space="preserve"> e </w:t>
      </w:r>
      <w:proofErr w:type="spellStart"/>
      <w:r w:rsidRPr="00423723">
        <w:rPr>
          <w:rFonts w:ascii="Garamond" w:hAnsi="Garamond"/>
          <w:i/>
          <w:iCs/>
          <w:color w:val="000000" w:themeColor="text1"/>
        </w:rPr>
        <w:t>Práx</w:t>
      </w:r>
      <w:proofErr w:type="spellEnd"/>
      <w:r w:rsidRPr="00BF14DA">
        <w:rPr>
          <w:rFonts w:ascii="Garamond" w:hAnsi="Garamond"/>
          <w:color w:val="000000" w:themeColor="text1"/>
        </w:rPr>
        <w:t xml:space="preserve"> 1, 12; </w:t>
      </w:r>
      <w:proofErr w:type="spellStart"/>
      <w:r w:rsidRPr="00BF14DA">
        <w:rPr>
          <w:rFonts w:ascii="Garamond" w:hAnsi="Garamond"/>
          <w:color w:val="000000" w:themeColor="text1"/>
        </w:rPr>
        <w:t>Ntina</w:t>
      </w:r>
      <w:proofErr w:type="spellEnd"/>
      <w:r w:rsidRPr="00BF14DA">
        <w:rPr>
          <w:rFonts w:ascii="Garamond" w:hAnsi="Garamond"/>
          <w:color w:val="000000" w:themeColor="text1"/>
        </w:rPr>
        <w:t xml:space="preserve"> </w:t>
      </w:r>
      <w:proofErr w:type="spellStart"/>
      <w:r w:rsidRPr="00BF14DA">
        <w:rPr>
          <w:rFonts w:ascii="Garamond" w:hAnsi="Garamond"/>
          <w:color w:val="000000" w:themeColor="text1"/>
        </w:rPr>
        <w:t>Tzouvala</w:t>
      </w:r>
      <w:proofErr w:type="spellEnd"/>
      <w:r w:rsidRPr="00BF14DA">
        <w:rPr>
          <w:rFonts w:ascii="Garamond" w:hAnsi="Garamond"/>
          <w:color w:val="000000" w:themeColor="text1"/>
        </w:rPr>
        <w:t xml:space="preserve">, </w:t>
      </w:r>
      <w:r w:rsidR="00827D3C">
        <w:rPr>
          <w:rFonts w:ascii="Garamond" w:hAnsi="Garamond"/>
          <w:color w:val="000000" w:themeColor="text1"/>
        </w:rPr>
        <w:t>‘“</w:t>
      </w:r>
      <w:r w:rsidRPr="00BF14DA">
        <w:rPr>
          <w:rFonts w:ascii="Garamond" w:hAnsi="Garamond"/>
          <w:color w:val="000000" w:themeColor="text1"/>
        </w:rPr>
        <w:t xml:space="preserve">And the laws are </w:t>
      </w:r>
      <w:proofErr w:type="gramStart"/>
      <w:r w:rsidRPr="00BF14DA">
        <w:rPr>
          <w:rFonts w:ascii="Garamond" w:hAnsi="Garamond"/>
          <w:color w:val="000000" w:themeColor="text1"/>
        </w:rPr>
        <w:t>rude,…</w:t>
      </w:r>
      <w:proofErr w:type="gramEnd"/>
      <w:r w:rsidRPr="00BF14DA">
        <w:rPr>
          <w:rFonts w:ascii="Garamond" w:hAnsi="Garamond"/>
          <w:color w:val="000000" w:themeColor="text1"/>
        </w:rPr>
        <w:t xml:space="preserve">crude and uncertain”: Extraterritoriality and the </w:t>
      </w:r>
      <w:r w:rsidR="00B426CD">
        <w:rPr>
          <w:rFonts w:ascii="Garamond" w:hAnsi="Garamond"/>
          <w:color w:val="000000" w:themeColor="text1"/>
        </w:rPr>
        <w:t>e</w:t>
      </w:r>
      <w:r w:rsidRPr="00BF14DA">
        <w:rPr>
          <w:rFonts w:ascii="Garamond" w:hAnsi="Garamond"/>
          <w:color w:val="000000" w:themeColor="text1"/>
        </w:rPr>
        <w:t xml:space="preserve">mergence of </w:t>
      </w:r>
      <w:r w:rsidR="00B426CD">
        <w:rPr>
          <w:rFonts w:ascii="Garamond" w:hAnsi="Garamond"/>
          <w:color w:val="000000" w:themeColor="text1"/>
        </w:rPr>
        <w:t>t</w:t>
      </w:r>
      <w:r w:rsidR="00827D3C">
        <w:rPr>
          <w:rFonts w:ascii="Garamond" w:hAnsi="Garamond"/>
          <w:color w:val="000000" w:themeColor="text1"/>
        </w:rPr>
        <w:t xml:space="preserve">erritorialised </w:t>
      </w:r>
      <w:r w:rsidR="00B426CD">
        <w:rPr>
          <w:rFonts w:ascii="Garamond" w:hAnsi="Garamond"/>
          <w:color w:val="000000" w:themeColor="text1"/>
        </w:rPr>
        <w:t>s</w:t>
      </w:r>
      <w:r w:rsidRPr="00BF14DA">
        <w:rPr>
          <w:rFonts w:ascii="Garamond" w:hAnsi="Garamond"/>
          <w:color w:val="000000" w:themeColor="text1"/>
        </w:rPr>
        <w:t xml:space="preserve">tatehood in Siam’ in </w:t>
      </w:r>
      <w:r w:rsidR="00134678" w:rsidRPr="00134678">
        <w:rPr>
          <w:rFonts w:ascii="Garamond" w:hAnsi="Garamond"/>
          <w:color w:val="000000" w:themeColor="text1"/>
        </w:rPr>
        <w:t>Daniel S Margolies, Umut Özsu, Maïa Pal</w:t>
      </w:r>
      <w:r w:rsidR="00134678">
        <w:rPr>
          <w:rFonts w:ascii="Garamond" w:hAnsi="Garamond"/>
          <w:color w:val="000000" w:themeColor="text1"/>
        </w:rPr>
        <w:t xml:space="preserve"> and </w:t>
      </w:r>
      <w:proofErr w:type="spellStart"/>
      <w:r w:rsidR="00134678" w:rsidRPr="00134678">
        <w:rPr>
          <w:rFonts w:ascii="Garamond" w:hAnsi="Garamond"/>
          <w:color w:val="000000" w:themeColor="text1"/>
        </w:rPr>
        <w:t>Ntina</w:t>
      </w:r>
      <w:proofErr w:type="spellEnd"/>
      <w:r w:rsidR="00134678" w:rsidRPr="00134678">
        <w:rPr>
          <w:rFonts w:ascii="Garamond" w:hAnsi="Garamond"/>
          <w:color w:val="000000" w:themeColor="text1"/>
        </w:rPr>
        <w:t xml:space="preserve"> </w:t>
      </w:r>
      <w:proofErr w:type="spellStart"/>
      <w:r w:rsidR="00134678" w:rsidRPr="00134678">
        <w:rPr>
          <w:rFonts w:ascii="Garamond" w:hAnsi="Garamond"/>
          <w:color w:val="000000" w:themeColor="text1"/>
        </w:rPr>
        <w:t>Tzouvala</w:t>
      </w:r>
      <w:proofErr w:type="spellEnd"/>
      <w:r w:rsidR="00134678">
        <w:rPr>
          <w:rFonts w:ascii="Garamond" w:hAnsi="Garamond"/>
          <w:color w:val="000000" w:themeColor="text1"/>
        </w:rPr>
        <w:t xml:space="preserve"> </w:t>
      </w:r>
      <w:r w:rsidRPr="00BF14DA">
        <w:rPr>
          <w:rFonts w:ascii="Garamond" w:hAnsi="Garamond"/>
          <w:color w:val="000000" w:themeColor="text1"/>
        </w:rPr>
        <w:t xml:space="preserve">(eds) </w:t>
      </w:r>
      <w:r w:rsidRPr="00BF14DA">
        <w:rPr>
          <w:rFonts w:ascii="Garamond" w:hAnsi="Garamond"/>
          <w:i/>
          <w:iCs/>
          <w:color w:val="000000" w:themeColor="text1"/>
        </w:rPr>
        <w:t xml:space="preserve">The Extraterritoriality of Law: </w:t>
      </w:r>
      <w:r w:rsidR="00A712AC">
        <w:rPr>
          <w:rFonts w:ascii="Garamond" w:hAnsi="Garamond"/>
          <w:i/>
          <w:iCs/>
          <w:color w:val="000000" w:themeColor="text1"/>
        </w:rPr>
        <w:t>H</w:t>
      </w:r>
      <w:r w:rsidRPr="00BF14DA">
        <w:rPr>
          <w:rFonts w:ascii="Garamond" w:hAnsi="Garamond"/>
          <w:i/>
          <w:iCs/>
          <w:color w:val="000000" w:themeColor="text1"/>
        </w:rPr>
        <w:t xml:space="preserve">istory, </w:t>
      </w:r>
      <w:r w:rsidR="00A712AC">
        <w:rPr>
          <w:rFonts w:ascii="Garamond" w:hAnsi="Garamond"/>
          <w:i/>
          <w:iCs/>
          <w:color w:val="000000" w:themeColor="text1"/>
        </w:rPr>
        <w:t>T</w:t>
      </w:r>
      <w:r w:rsidRPr="00BF14DA">
        <w:rPr>
          <w:rFonts w:ascii="Garamond" w:hAnsi="Garamond"/>
          <w:i/>
          <w:iCs/>
          <w:color w:val="000000" w:themeColor="text1"/>
        </w:rPr>
        <w:t xml:space="preserve">heory, </w:t>
      </w:r>
      <w:r w:rsidR="00A712AC">
        <w:rPr>
          <w:rFonts w:ascii="Garamond" w:hAnsi="Garamond"/>
          <w:i/>
          <w:iCs/>
          <w:color w:val="000000" w:themeColor="text1"/>
        </w:rPr>
        <w:t>P</w:t>
      </w:r>
      <w:r w:rsidRPr="00BF14DA">
        <w:rPr>
          <w:rFonts w:ascii="Garamond" w:hAnsi="Garamond"/>
          <w:i/>
          <w:iCs/>
          <w:color w:val="000000" w:themeColor="text1"/>
        </w:rPr>
        <w:t xml:space="preserve">olitics </w:t>
      </w:r>
      <w:r w:rsidRPr="00BF14DA">
        <w:rPr>
          <w:rFonts w:ascii="Garamond" w:hAnsi="Garamond"/>
          <w:color w:val="000000" w:themeColor="text1"/>
        </w:rPr>
        <w:t xml:space="preserve">(Routledge 2019). </w:t>
      </w:r>
    </w:p>
  </w:footnote>
  <w:footnote w:id="160">
    <w:p w14:paraId="2B3121D6" w14:textId="135E4D56"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Gallagher (n </w:t>
      </w:r>
      <w:r w:rsidR="00FC5C86" w:rsidRPr="00BF14DA">
        <w:rPr>
          <w:rFonts w:ascii="Garamond" w:hAnsi="Garamond"/>
          <w:color w:val="000000" w:themeColor="text1"/>
        </w:rPr>
        <w:t>14</w:t>
      </w:r>
      <w:r w:rsidR="002E56A0" w:rsidRPr="00BF14DA">
        <w:rPr>
          <w:rFonts w:ascii="Garamond" w:hAnsi="Garamond"/>
          <w:color w:val="000000" w:themeColor="text1"/>
        </w:rPr>
        <w:t>9</w:t>
      </w:r>
      <w:r w:rsidRPr="00BF14DA">
        <w:rPr>
          <w:rFonts w:ascii="Garamond" w:hAnsi="Garamond"/>
          <w:color w:val="000000" w:themeColor="text1"/>
        </w:rPr>
        <w:t xml:space="preserve">); Krause (n </w:t>
      </w:r>
      <w:r w:rsidR="00660177" w:rsidRPr="00BF14DA">
        <w:rPr>
          <w:rFonts w:ascii="Garamond" w:hAnsi="Garamond"/>
          <w:color w:val="000000" w:themeColor="text1"/>
        </w:rPr>
        <w:t>1</w:t>
      </w:r>
      <w:r w:rsidR="002E56A0" w:rsidRPr="00BF14DA">
        <w:rPr>
          <w:rFonts w:ascii="Garamond" w:hAnsi="Garamond"/>
          <w:color w:val="000000" w:themeColor="text1"/>
        </w:rPr>
        <w:t>53</w:t>
      </w:r>
      <w:r w:rsidRPr="00BF14DA">
        <w:rPr>
          <w:rFonts w:ascii="Garamond" w:hAnsi="Garamond"/>
          <w:color w:val="000000" w:themeColor="text1"/>
        </w:rPr>
        <w:t>).</w:t>
      </w:r>
    </w:p>
  </w:footnote>
  <w:footnote w:id="161">
    <w:p w14:paraId="16EBD195" w14:textId="72E79E00"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Yasine Mohabuth, ‘Mauritius hints Chagos talks stuck over money’</w:t>
      </w:r>
      <w:r w:rsidR="00B426CD">
        <w:rPr>
          <w:rFonts w:ascii="Garamond" w:hAnsi="Garamond"/>
          <w:color w:val="000000" w:themeColor="text1"/>
        </w:rPr>
        <w:t>,</w:t>
      </w:r>
      <w:r w:rsidRPr="00BF14DA">
        <w:rPr>
          <w:rFonts w:ascii="Garamond" w:hAnsi="Garamond"/>
          <w:color w:val="000000" w:themeColor="text1"/>
        </w:rPr>
        <w:t xml:space="preserve"> </w:t>
      </w:r>
      <w:r w:rsidRPr="00BF14DA">
        <w:rPr>
          <w:rFonts w:ascii="Garamond" w:hAnsi="Garamond"/>
          <w:i/>
          <w:iCs/>
          <w:color w:val="000000" w:themeColor="text1"/>
        </w:rPr>
        <w:t xml:space="preserve">BBC News </w:t>
      </w:r>
      <w:r w:rsidR="00F84C77" w:rsidRPr="00BF14DA">
        <w:rPr>
          <w:rFonts w:ascii="Garamond" w:hAnsi="Garamond"/>
          <w:color w:val="000000" w:themeColor="text1"/>
        </w:rPr>
        <w:t>(</w:t>
      </w:r>
      <w:r w:rsidRPr="00BF14DA">
        <w:rPr>
          <w:rFonts w:ascii="Garamond" w:hAnsi="Garamond"/>
          <w:color w:val="000000" w:themeColor="text1"/>
        </w:rPr>
        <w:t xml:space="preserve">23 December 2024) </w:t>
      </w:r>
      <w:hyperlink r:id="rId25" w:history="1">
        <w:r w:rsidR="00B426CD" w:rsidRPr="009E2B24">
          <w:rPr>
            <w:rStyle w:val="Hyperlink"/>
            <w:rFonts w:ascii="Garamond" w:hAnsi="Garamond"/>
          </w:rPr>
          <w:t>https://www.bbc.co.uk/news/articles/cj49qjypqv4o</w:t>
        </w:r>
      </w:hyperlink>
      <w:r w:rsidR="00B426CD">
        <w:rPr>
          <w:rFonts w:ascii="Garamond" w:hAnsi="Garamond"/>
          <w:color w:val="000000" w:themeColor="text1"/>
        </w:rPr>
        <w:t xml:space="preserve"> </w:t>
      </w:r>
      <w:r w:rsidRPr="00BF14DA">
        <w:rPr>
          <w:rFonts w:ascii="Garamond" w:hAnsi="Garamond"/>
          <w:color w:val="000000" w:themeColor="text1"/>
        </w:rPr>
        <w:t>accessed 28 September 2025.</w:t>
      </w:r>
    </w:p>
  </w:footnote>
  <w:footnote w:id="162">
    <w:p w14:paraId="6FD3F580" w14:textId="6404C226" w:rsidR="006F0D99" w:rsidRPr="00BF14DA" w:rsidRDefault="006F0D99" w:rsidP="006F0D99">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Chagos Islanders Movement (CHA0030) (n </w:t>
      </w:r>
      <w:r w:rsidR="00185011" w:rsidRPr="00BF14DA">
        <w:rPr>
          <w:rFonts w:ascii="Garamond" w:hAnsi="Garamond"/>
          <w:color w:val="000000" w:themeColor="text1"/>
        </w:rPr>
        <w:t>10</w:t>
      </w:r>
      <w:r w:rsidR="00F37036" w:rsidRPr="00BF14DA">
        <w:rPr>
          <w:rFonts w:ascii="Garamond" w:hAnsi="Garamond"/>
          <w:color w:val="000000" w:themeColor="text1"/>
        </w:rPr>
        <w:t>6</w:t>
      </w:r>
      <w:r w:rsidRPr="00BF14DA">
        <w:rPr>
          <w:rFonts w:ascii="Garamond" w:hAnsi="Garamond"/>
          <w:color w:val="000000" w:themeColor="text1"/>
        </w:rPr>
        <w:t xml:space="preserve">). </w:t>
      </w:r>
    </w:p>
  </w:footnote>
  <w:footnote w:id="163">
    <w:p w14:paraId="78008F2E" w14:textId="5F230AE8" w:rsidR="00D07345" w:rsidRPr="00BF14DA" w:rsidRDefault="00D07345">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B85E6B" w:rsidRPr="00BF14DA">
        <w:rPr>
          <w:rFonts w:ascii="Garamond" w:hAnsi="Garamond"/>
          <w:color w:val="000000" w:themeColor="text1"/>
        </w:rPr>
        <w:t xml:space="preserve">Claire Bullivant, ‘Self-determination for </w:t>
      </w:r>
      <w:r w:rsidR="00B426CD">
        <w:rPr>
          <w:rFonts w:ascii="Garamond" w:hAnsi="Garamond"/>
          <w:color w:val="000000" w:themeColor="text1"/>
        </w:rPr>
        <w:t>a</w:t>
      </w:r>
      <w:r w:rsidR="00B85E6B" w:rsidRPr="00BF14DA">
        <w:rPr>
          <w:rFonts w:ascii="Garamond" w:hAnsi="Garamond"/>
          <w:color w:val="000000" w:themeColor="text1"/>
        </w:rPr>
        <w:t xml:space="preserve">ll but the </w:t>
      </w:r>
      <w:proofErr w:type="spellStart"/>
      <w:r w:rsidR="00B85E6B" w:rsidRPr="00BF14DA">
        <w:rPr>
          <w:rFonts w:ascii="Garamond" w:hAnsi="Garamond"/>
          <w:color w:val="000000" w:themeColor="text1"/>
        </w:rPr>
        <w:t>Chagossians</w:t>
      </w:r>
      <w:proofErr w:type="spellEnd"/>
      <w:r w:rsidR="00B85E6B" w:rsidRPr="00BF14DA">
        <w:rPr>
          <w:rFonts w:ascii="Garamond" w:hAnsi="Garamond"/>
          <w:color w:val="000000" w:themeColor="text1"/>
        </w:rPr>
        <w:t xml:space="preserve">: The Guardian’s </w:t>
      </w:r>
      <w:r w:rsidR="00B426CD">
        <w:rPr>
          <w:rFonts w:ascii="Garamond" w:hAnsi="Garamond"/>
          <w:color w:val="000000" w:themeColor="text1"/>
        </w:rPr>
        <w:t>l</w:t>
      </w:r>
      <w:r w:rsidR="00B85E6B" w:rsidRPr="00BF14DA">
        <w:rPr>
          <w:rFonts w:ascii="Garamond" w:hAnsi="Garamond"/>
          <w:color w:val="000000" w:themeColor="text1"/>
        </w:rPr>
        <w:t xml:space="preserve">opsided Chagos </w:t>
      </w:r>
      <w:r w:rsidR="00B426CD">
        <w:rPr>
          <w:rFonts w:ascii="Garamond" w:hAnsi="Garamond"/>
          <w:color w:val="000000" w:themeColor="text1"/>
        </w:rPr>
        <w:t>s</w:t>
      </w:r>
      <w:r w:rsidR="00B85E6B" w:rsidRPr="00BF14DA">
        <w:rPr>
          <w:rFonts w:ascii="Garamond" w:hAnsi="Garamond"/>
          <w:color w:val="000000" w:themeColor="text1"/>
        </w:rPr>
        <w:t>tory’</w:t>
      </w:r>
      <w:r w:rsidR="009B4185">
        <w:rPr>
          <w:rFonts w:ascii="Garamond" w:hAnsi="Garamond"/>
          <w:color w:val="000000" w:themeColor="text1"/>
        </w:rPr>
        <w:t>,</w:t>
      </w:r>
      <w:r w:rsidR="00B85E6B" w:rsidRPr="00BF14DA">
        <w:rPr>
          <w:rFonts w:ascii="Garamond" w:hAnsi="Garamond"/>
          <w:color w:val="000000" w:themeColor="text1"/>
        </w:rPr>
        <w:t xml:space="preserve"> </w:t>
      </w:r>
      <w:r w:rsidR="00B85E6B" w:rsidRPr="00AE23D5">
        <w:rPr>
          <w:rFonts w:ascii="Garamond" w:hAnsi="Garamond"/>
          <w:i/>
          <w:iCs/>
          <w:color w:val="000000" w:themeColor="text1"/>
        </w:rPr>
        <w:t>Great British PAC</w:t>
      </w:r>
      <w:r w:rsidR="00B85E6B" w:rsidRPr="00BF14DA">
        <w:rPr>
          <w:rFonts w:ascii="Garamond" w:hAnsi="Garamond"/>
          <w:color w:val="000000" w:themeColor="text1"/>
        </w:rPr>
        <w:t xml:space="preserve"> </w:t>
      </w:r>
      <w:r w:rsidR="009B4185">
        <w:rPr>
          <w:rFonts w:ascii="Garamond" w:hAnsi="Garamond"/>
          <w:color w:val="000000" w:themeColor="text1"/>
        </w:rPr>
        <w:t>(</w:t>
      </w:r>
      <w:r w:rsidR="00B85E6B" w:rsidRPr="00BF14DA">
        <w:rPr>
          <w:rFonts w:ascii="Garamond" w:hAnsi="Garamond"/>
          <w:color w:val="000000" w:themeColor="text1"/>
        </w:rPr>
        <w:t xml:space="preserve">12 June 2026) </w:t>
      </w:r>
      <w:hyperlink r:id="rId26" w:history="1">
        <w:r w:rsidR="009B4185" w:rsidRPr="009E2B24">
          <w:rPr>
            <w:rStyle w:val="Hyperlink"/>
            <w:rFonts w:ascii="Garamond" w:hAnsi="Garamond"/>
          </w:rPr>
          <w:t>https://www.greatbritishpac.com/news/self-determination-for-everyone-except-the-chagossians-the-guardians-one-sided-chagos-narrative</w:t>
        </w:r>
      </w:hyperlink>
      <w:r w:rsidR="009B4185">
        <w:rPr>
          <w:rFonts w:ascii="Garamond" w:hAnsi="Garamond"/>
          <w:color w:val="000000" w:themeColor="text1"/>
        </w:rPr>
        <w:t xml:space="preserve"> </w:t>
      </w:r>
      <w:r w:rsidR="00B85E6B" w:rsidRPr="00BF14DA">
        <w:rPr>
          <w:rFonts w:ascii="Garamond" w:hAnsi="Garamond"/>
          <w:color w:val="000000" w:themeColor="text1"/>
        </w:rPr>
        <w:t>accessed 28 June 2026.</w:t>
      </w:r>
    </w:p>
  </w:footnote>
  <w:footnote w:id="164">
    <w:p w14:paraId="53E3BCA8" w14:textId="320629DC" w:rsidR="0058251D" w:rsidRPr="00BF14DA" w:rsidRDefault="0058251D">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w:t>
      </w:r>
      <w:r w:rsidR="000F0242" w:rsidRPr="00BF14DA">
        <w:rPr>
          <w:rFonts w:ascii="Garamond" w:hAnsi="Garamond"/>
          <w:color w:val="000000" w:themeColor="text1"/>
        </w:rPr>
        <w:t xml:space="preserve">Susanna Siddell, </w:t>
      </w:r>
      <w:r w:rsidR="00017EBD" w:rsidRPr="00BF14DA">
        <w:rPr>
          <w:rFonts w:ascii="Garamond" w:hAnsi="Garamond"/>
          <w:color w:val="000000" w:themeColor="text1"/>
        </w:rPr>
        <w:t xml:space="preserve">‘Nigel Farage hailed as </w:t>
      </w:r>
      <w:proofErr w:type="spellStart"/>
      <w:r w:rsidR="00017EBD" w:rsidRPr="00BF14DA">
        <w:rPr>
          <w:rFonts w:ascii="Garamond" w:hAnsi="Garamond"/>
          <w:color w:val="000000" w:themeColor="text1"/>
        </w:rPr>
        <w:t>Chagossians</w:t>
      </w:r>
      <w:proofErr w:type="spellEnd"/>
      <w:r w:rsidR="00017EBD" w:rsidRPr="00BF14DA">
        <w:rPr>
          <w:rFonts w:ascii="Garamond" w:hAnsi="Garamond"/>
          <w:color w:val="000000" w:themeColor="text1"/>
        </w:rPr>
        <w:t xml:space="preserve">’ closest ally while islanders demand Keir Starmer’s </w:t>
      </w:r>
      <w:r w:rsidR="00FB68E2" w:rsidRPr="00BF14DA">
        <w:rPr>
          <w:rFonts w:ascii="Garamond" w:hAnsi="Garamond"/>
          <w:color w:val="000000" w:themeColor="text1"/>
        </w:rPr>
        <w:t>resignation</w:t>
      </w:r>
      <w:r w:rsidR="00061F8A" w:rsidRPr="00BF14DA">
        <w:rPr>
          <w:rFonts w:ascii="Garamond" w:hAnsi="Garamond"/>
          <w:color w:val="000000" w:themeColor="text1"/>
        </w:rPr>
        <w:t>’</w:t>
      </w:r>
      <w:r w:rsidR="009B4185">
        <w:rPr>
          <w:rFonts w:ascii="Garamond" w:hAnsi="Garamond"/>
          <w:color w:val="000000" w:themeColor="text1"/>
        </w:rPr>
        <w:t>,</w:t>
      </w:r>
      <w:r w:rsidR="00061F8A" w:rsidRPr="00BF14DA">
        <w:rPr>
          <w:rFonts w:ascii="Garamond" w:hAnsi="Garamond"/>
          <w:color w:val="000000" w:themeColor="text1"/>
        </w:rPr>
        <w:t xml:space="preserve"> </w:t>
      </w:r>
      <w:r w:rsidR="00061F8A" w:rsidRPr="00BF14DA">
        <w:rPr>
          <w:rFonts w:ascii="Garamond" w:hAnsi="Garamond"/>
          <w:i/>
          <w:iCs/>
          <w:color w:val="000000" w:themeColor="text1"/>
        </w:rPr>
        <w:t xml:space="preserve">GB News </w:t>
      </w:r>
      <w:r w:rsidR="00061F8A" w:rsidRPr="00BF14DA">
        <w:rPr>
          <w:rFonts w:ascii="Garamond" w:hAnsi="Garamond"/>
          <w:color w:val="000000" w:themeColor="text1"/>
        </w:rPr>
        <w:t xml:space="preserve">(21 March 2026) </w:t>
      </w:r>
      <w:hyperlink r:id="rId27" w:history="1">
        <w:r w:rsidR="009B4185" w:rsidRPr="009E2B24">
          <w:rPr>
            <w:rStyle w:val="Hyperlink"/>
            <w:rFonts w:ascii="Garamond" w:hAnsi="Garamond"/>
          </w:rPr>
          <w:t>https://www.gbnews.com/politics/nigel-farage-chagos-islands-keir-starmer-closest-ally-deal</w:t>
        </w:r>
      </w:hyperlink>
      <w:r w:rsidR="009B4185">
        <w:rPr>
          <w:rFonts w:ascii="Garamond" w:hAnsi="Garamond"/>
          <w:color w:val="000000" w:themeColor="text1"/>
        </w:rPr>
        <w:t xml:space="preserve"> </w:t>
      </w:r>
      <w:r w:rsidR="00061F8A" w:rsidRPr="00BF14DA">
        <w:rPr>
          <w:rFonts w:ascii="Garamond" w:hAnsi="Garamond"/>
          <w:color w:val="000000" w:themeColor="text1"/>
        </w:rPr>
        <w:t xml:space="preserve">accessed </w:t>
      </w:r>
      <w:r w:rsidR="00D84827" w:rsidRPr="00BF14DA">
        <w:rPr>
          <w:rFonts w:ascii="Garamond" w:hAnsi="Garamond"/>
          <w:color w:val="000000" w:themeColor="text1"/>
        </w:rPr>
        <w:t xml:space="preserve">28 June 2026; see also </w:t>
      </w:r>
      <w:r w:rsidR="009B4185">
        <w:rPr>
          <w:rFonts w:ascii="Garamond" w:hAnsi="Garamond"/>
          <w:color w:val="000000" w:themeColor="text1"/>
        </w:rPr>
        <w:t>‘</w:t>
      </w:r>
      <w:r w:rsidR="00E7045B" w:rsidRPr="00BF14DA">
        <w:rPr>
          <w:rFonts w:ascii="Garamond" w:hAnsi="Garamond"/>
          <w:color w:val="000000" w:themeColor="text1"/>
        </w:rPr>
        <w:t xml:space="preserve">Mr Farage argued the UK should sell the territory and </w:t>
      </w:r>
      <w:r w:rsidR="009B4185">
        <w:rPr>
          <w:rFonts w:ascii="Garamond" w:hAnsi="Garamond"/>
          <w:color w:val="000000" w:themeColor="text1"/>
        </w:rPr>
        <w:t>“</w:t>
      </w:r>
      <w:r w:rsidR="00E7045B" w:rsidRPr="00BF14DA">
        <w:rPr>
          <w:rFonts w:ascii="Garamond" w:hAnsi="Garamond"/>
          <w:color w:val="000000" w:themeColor="text1"/>
        </w:rPr>
        <w:t>get a few billion quid</w:t>
      </w:r>
      <w:r w:rsidR="009B4185">
        <w:rPr>
          <w:rFonts w:ascii="Garamond" w:hAnsi="Garamond"/>
          <w:color w:val="000000" w:themeColor="text1"/>
        </w:rPr>
        <w:t>”’</w:t>
      </w:r>
      <w:r w:rsidR="00E7045B" w:rsidRPr="00BF14DA">
        <w:rPr>
          <w:rFonts w:ascii="Garamond" w:hAnsi="Garamond"/>
          <w:color w:val="000000" w:themeColor="text1"/>
        </w:rPr>
        <w:t xml:space="preserve"> in Rhiannon James, ‘Chagos Islands should be sold to the US not </w:t>
      </w:r>
      <w:r w:rsidR="009B4185">
        <w:rPr>
          <w:rFonts w:ascii="Garamond" w:hAnsi="Garamond"/>
          <w:color w:val="000000" w:themeColor="text1"/>
        </w:rPr>
        <w:t>“</w:t>
      </w:r>
      <w:r w:rsidR="00E7045B" w:rsidRPr="00BF14DA">
        <w:rPr>
          <w:rFonts w:ascii="Garamond" w:hAnsi="Garamond"/>
          <w:color w:val="000000" w:themeColor="text1"/>
        </w:rPr>
        <w:t>corrupt Mauritius</w:t>
      </w:r>
      <w:r w:rsidR="009B4185">
        <w:rPr>
          <w:rFonts w:ascii="Garamond" w:hAnsi="Garamond"/>
          <w:color w:val="000000" w:themeColor="text1"/>
        </w:rPr>
        <w:t>”</w:t>
      </w:r>
      <w:r w:rsidR="00E7045B" w:rsidRPr="00BF14DA">
        <w:rPr>
          <w:rFonts w:ascii="Garamond" w:hAnsi="Garamond"/>
          <w:color w:val="000000" w:themeColor="text1"/>
        </w:rPr>
        <w:t xml:space="preserve"> </w:t>
      </w:r>
      <w:r w:rsidR="002A2293" w:rsidRPr="00BF14DA">
        <w:rPr>
          <w:rFonts w:ascii="Garamond" w:hAnsi="Garamond"/>
          <w:color w:val="000000" w:themeColor="text1"/>
        </w:rPr>
        <w:t>–</w:t>
      </w:r>
      <w:r w:rsidR="00E7045B" w:rsidRPr="00BF14DA">
        <w:rPr>
          <w:rFonts w:ascii="Garamond" w:hAnsi="Garamond"/>
          <w:color w:val="000000" w:themeColor="text1"/>
        </w:rPr>
        <w:t xml:space="preserve"> Farage</w:t>
      </w:r>
      <w:r w:rsidR="002A2293" w:rsidRPr="00BF14DA">
        <w:rPr>
          <w:rFonts w:ascii="Garamond" w:hAnsi="Garamond"/>
          <w:color w:val="000000" w:themeColor="text1"/>
        </w:rPr>
        <w:t>’</w:t>
      </w:r>
      <w:r w:rsidR="009B4185">
        <w:rPr>
          <w:rFonts w:ascii="Garamond" w:hAnsi="Garamond"/>
          <w:color w:val="000000" w:themeColor="text1"/>
        </w:rPr>
        <w:t>,</w:t>
      </w:r>
      <w:r w:rsidR="002A2293" w:rsidRPr="00BF14DA">
        <w:rPr>
          <w:rFonts w:ascii="Garamond" w:hAnsi="Garamond"/>
          <w:color w:val="000000" w:themeColor="text1"/>
        </w:rPr>
        <w:t xml:space="preserve"> </w:t>
      </w:r>
      <w:r w:rsidR="002A2293" w:rsidRPr="00BF14DA">
        <w:rPr>
          <w:rFonts w:ascii="Garamond" w:hAnsi="Garamond"/>
          <w:i/>
          <w:iCs/>
          <w:color w:val="000000" w:themeColor="text1"/>
        </w:rPr>
        <w:t xml:space="preserve">Independent </w:t>
      </w:r>
      <w:r w:rsidR="002A2293" w:rsidRPr="00BF14DA">
        <w:rPr>
          <w:rFonts w:ascii="Garamond" w:hAnsi="Garamond"/>
          <w:color w:val="000000" w:themeColor="text1"/>
        </w:rPr>
        <w:t xml:space="preserve">(26 February 2025) </w:t>
      </w:r>
      <w:hyperlink r:id="rId28" w:history="1">
        <w:r w:rsidR="009B4185" w:rsidRPr="009E2B24">
          <w:rPr>
            <w:rStyle w:val="Hyperlink"/>
            <w:rFonts w:ascii="Garamond" w:hAnsi="Garamond"/>
          </w:rPr>
          <w:t>https://www.independent.co.uk/news/uk/home-news/nigel-farage-chagos-islands-mauritius-anneliese-dodds-commons-b2705422.html</w:t>
        </w:r>
      </w:hyperlink>
      <w:r w:rsidR="009B4185">
        <w:rPr>
          <w:rFonts w:ascii="Garamond" w:hAnsi="Garamond"/>
          <w:color w:val="000000" w:themeColor="text1"/>
        </w:rPr>
        <w:t xml:space="preserve"> </w:t>
      </w:r>
      <w:r w:rsidR="002A2293" w:rsidRPr="00BF14DA">
        <w:rPr>
          <w:rFonts w:ascii="Garamond" w:hAnsi="Garamond"/>
          <w:color w:val="000000" w:themeColor="text1"/>
        </w:rPr>
        <w:t>accessed 28 June 2026.</w:t>
      </w:r>
    </w:p>
  </w:footnote>
  <w:footnote w:id="165">
    <w:p w14:paraId="18DCA976" w14:textId="4ACE9950" w:rsidR="006D1C40" w:rsidRPr="00BF14DA" w:rsidRDefault="006D1C40">
      <w:pPr>
        <w:pStyle w:val="FootnoteText"/>
        <w:rPr>
          <w:rFonts w:ascii="Garamond" w:hAnsi="Garamond"/>
          <w:color w:val="000000" w:themeColor="text1"/>
        </w:rPr>
      </w:pPr>
      <w:r w:rsidRPr="00BF14DA">
        <w:rPr>
          <w:rStyle w:val="FootnoteReference"/>
          <w:rFonts w:ascii="Garamond" w:hAnsi="Garamond"/>
          <w:color w:val="000000" w:themeColor="text1"/>
        </w:rPr>
        <w:footnoteRef/>
      </w:r>
      <w:r w:rsidRPr="00BF14DA">
        <w:rPr>
          <w:rFonts w:ascii="Garamond" w:hAnsi="Garamond"/>
          <w:color w:val="000000" w:themeColor="text1"/>
        </w:rPr>
        <w:t xml:space="preserve"> Naomi Klein, </w:t>
      </w:r>
      <w:r w:rsidR="00B41A48" w:rsidRPr="00BF14DA">
        <w:rPr>
          <w:rFonts w:ascii="Garamond" w:hAnsi="Garamond"/>
          <w:i/>
          <w:iCs/>
          <w:color w:val="000000" w:themeColor="text1"/>
        </w:rPr>
        <w:t>Doppelganger</w:t>
      </w:r>
      <w:r w:rsidR="00D42D3F" w:rsidRPr="00BF14DA">
        <w:rPr>
          <w:rFonts w:ascii="Garamond" w:hAnsi="Garamond"/>
          <w:i/>
          <w:iCs/>
          <w:color w:val="000000" w:themeColor="text1"/>
        </w:rPr>
        <w:t xml:space="preserve">: </w:t>
      </w:r>
      <w:r w:rsidR="009B4185">
        <w:rPr>
          <w:rFonts w:ascii="Garamond" w:hAnsi="Garamond"/>
          <w:i/>
          <w:iCs/>
          <w:color w:val="000000" w:themeColor="text1"/>
        </w:rPr>
        <w:t>A</w:t>
      </w:r>
      <w:r w:rsidR="00D42D3F" w:rsidRPr="00BF14DA">
        <w:rPr>
          <w:rFonts w:ascii="Garamond" w:hAnsi="Garamond"/>
          <w:i/>
          <w:iCs/>
          <w:color w:val="000000" w:themeColor="text1"/>
        </w:rPr>
        <w:t xml:space="preserve"> </w:t>
      </w:r>
      <w:r w:rsidR="006F52EF">
        <w:rPr>
          <w:rFonts w:ascii="Garamond" w:hAnsi="Garamond"/>
          <w:i/>
          <w:iCs/>
          <w:color w:val="000000" w:themeColor="text1"/>
        </w:rPr>
        <w:t>T</w:t>
      </w:r>
      <w:r w:rsidR="00D42D3F" w:rsidRPr="00BF14DA">
        <w:rPr>
          <w:rFonts w:ascii="Garamond" w:hAnsi="Garamond"/>
          <w:i/>
          <w:iCs/>
          <w:color w:val="000000" w:themeColor="text1"/>
        </w:rPr>
        <w:t xml:space="preserve">rip into the </w:t>
      </w:r>
      <w:r w:rsidR="006F52EF">
        <w:rPr>
          <w:rFonts w:ascii="Garamond" w:hAnsi="Garamond"/>
          <w:i/>
          <w:iCs/>
          <w:color w:val="000000" w:themeColor="text1"/>
        </w:rPr>
        <w:t>M</w:t>
      </w:r>
      <w:r w:rsidR="00D42D3F" w:rsidRPr="00BF14DA">
        <w:rPr>
          <w:rFonts w:ascii="Garamond" w:hAnsi="Garamond"/>
          <w:i/>
          <w:iCs/>
          <w:color w:val="000000" w:themeColor="text1"/>
        </w:rPr>
        <w:t xml:space="preserve">irror </w:t>
      </w:r>
      <w:r w:rsidR="006F52EF">
        <w:rPr>
          <w:rFonts w:ascii="Garamond" w:hAnsi="Garamond"/>
          <w:i/>
          <w:iCs/>
          <w:color w:val="000000" w:themeColor="text1"/>
        </w:rPr>
        <w:t>W</w:t>
      </w:r>
      <w:r w:rsidR="00D42D3F" w:rsidRPr="00BF14DA">
        <w:rPr>
          <w:rFonts w:ascii="Garamond" w:hAnsi="Garamond"/>
          <w:i/>
          <w:iCs/>
          <w:color w:val="000000" w:themeColor="text1"/>
        </w:rPr>
        <w:t>orld</w:t>
      </w:r>
      <w:r w:rsidR="00B41A48" w:rsidRPr="00BF14DA">
        <w:rPr>
          <w:rFonts w:ascii="Garamond" w:hAnsi="Garamond"/>
          <w:i/>
          <w:iCs/>
          <w:color w:val="000000" w:themeColor="text1"/>
        </w:rPr>
        <w:t xml:space="preserve"> </w:t>
      </w:r>
      <w:r w:rsidR="00B41A48" w:rsidRPr="00BF14DA">
        <w:rPr>
          <w:rFonts w:ascii="Garamond" w:hAnsi="Garamond"/>
          <w:color w:val="000000" w:themeColor="text1"/>
        </w:rPr>
        <w:t>(</w:t>
      </w:r>
      <w:r w:rsidR="00D42D3F" w:rsidRPr="00BF14DA">
        <w:rPr>
          <w:rFonts w:ascii="Garamond" w:hAnsi="Garamond"/>
          <w:color w:val="000000" w:themeColor="text1"/>
        </w:rPr>
        <w:t>Penguin</w:t>
      </w:r>
      <w:r w:rsidR="00CA501E" w:rsidRPr="00BF14DA">
        <w:rPr>
          <w:rFonts w:ascii="Garamond" w:hAnsi="Garamond"/>
          <w:color w:val="000000" w:themeColor="text1"/>
        </w:rPr>
        <w:t xml:space="preserve"> 2023) 102.</w:t>
      </w:r>
      <w:r w:rsidR="00D42D3F" w:rsidRPr="00BF14DA">
        <w:rPr>
          <w:rFonts w:ascii="Garamond" w:hAnsi="Garamond"/>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48DB" w14:textId="4545B9E6" w:rsidR="00C1462E" w:rsidRDefault="00745700">
    <w:pPr>
      <w:pStyle w:val="Header"/>
      <w:rPr>
        <w:rFonts w:ascii="Calibri" w:hAnsi="Calibri" w:cs="Calibri"/>
        <w:sz w:val="22"/>
        <w:szCs w:val="22"/>
      </w:rPr>
    </w:pPr>
    <w:r>
      <w:rPr>
        <w:rFonts w:ascii="Calibri" w:hAnsi="Calibri" w:cs="Calibri"/>
        <w:sz w:val="22"/>
        <w:szCs w:val="22"/>
      </w:rPr>
      <w:t>Faye Bird</w:t>
    </w:r>
    <w:r>
      <w:rPr>
        <w:rFonts w:ascii="Calibri" w:hAnsi="Calibri" w:cs="Calibri"/>
        <w:sz w:val="22"/>
        <w:szCs w:val="22"/>
      </w:rPr>
      <w:tab/>
    </w:r>
    <w:r>
      <w:rPr>
        <w:rFonts w:ascii="Calibri" w:hAnsi="Calibri" w:cs="Calibri"/>
        <w:sz w:val="22"/>
        <w:szCs w:val="22"/>
      </w:rPr>
      <w:tab/>
      <w:t>The Separation of the Chagos Archipelago</w:t>
    </w:r>
  </w:p>
  <w:p w14:paraId="2C32B780" w14:textId="735413E0" w:rsidR="00587C8D" w:rsidRPr="00745700" w:rsidRDefault="00587C8D">
    <w:pPr>
      <w:pStyle w:val="Header"/>
      <w:rPr>
        <w:rFonts w:ascii="Calibri" w:hAnsi="Calibri" w:cs="Calibri"/>
        <w:sz w:val="22"/>
        <w:szCs w:val="22"/>
      </w:rPr>
    </w:pPr>
    <w:r>
      <w:rPr>
        <w:rFonts w:ascii="Calibri" w:hAnsi="Calibri" w:cs="Calibri"/>
        <w:sz w:val="22"/>
        <w:szCs w:val="22"/>
      </w:rPr>
      <w:t>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12BBC" w14:textId="6219F4CD" w:rsidR="00AE13FA" w:rsidRDefault="00AE13FA">
    <w:pPr>
      <w:pStyle w:val="Header"/>
      <w:rPr>
        <w:rFonts w:ascii="Calibri" w:hAnsi="Calibri" w:cs="Calibri"/>
        <w:sz w:val="22"/>
        <w:szCs w:val="22"/>
        <w:lang w:val="es-ES"/>
      </w:rPr>
    </w:pPr>
    <w:proofErr w:type="spellStart"/>
    <w:r w:rsidRPr="00C1462E">
      <w:rPr>
        <w:rFonts w:ascii="Calibri" w:hAnsi="Calibri" w:cs="Calibri"/>
        <w:i/>
        <w:iCs/>
        <w:sz w:val="22"/>
        <w:szCs w:val="22"/>
        <w:lang w:val="es-ES"/>
      </w:rPr>
      <w:t>feminists@law</w:t>
    </w:r>
    <w:proofErr w:type="spellEnd"/>
    <w:r w:rsidR="00BF0202" w:rsidRPr="00C1462E">
      <w:rPr>
        <w:rFonts w:ascii="Calibri" w:hAnsi="Calibri" w:cs="Calibri"/>
        <w:sz w:val="22"/>
        <w:szCs w:val="22"/>
        <w:lang w:val="es-ES"/>
      </w:rPr>
      <w:tab/>
    </w:r>
    <w:r w:rsidR="00A13C50" w:rsidRPr="00C1462E">
      <w:rPr>
        <w:rFonts w:ascii="Calibri" w:hAnsi="Calibri" w:cs="Calibri"/>
        <w:sz w:val="22"/>
        <w:szCs w:val="22"/>
        <w:lang w:val="es-ES"/>
      </w:rPr>
      <w:tab/>
    </w:r>
    <w:r w:rsidR="00BF0202" w:rsidRPr="00C1462E">
      <w:rPr>
        <w:rFonts w:ascii="Calibri" w:hAnsi="Calibri" w:cs="Calibri"/>
        <w:sz w:val="22"/>
        <w:szCs w:val="22"/>
        <w:lang w:val="es-ES"/>
      </w:rPr>
      <w:t xml:space="preserve">Vol </w:t>
    </w:r>
    <w:r w:rsidR="008A1A47" w:rsidRPr="00C1462E">
      <w:rPr>
        <w:rFonts w:ascii="Calibri" w:hAnsi="Calibri" w:cs="Calibri"/>
        <w:sz w:val="22"/>
        <w:szCs w:val="22"/>
        <w:lang w:val="es-ES"/>
      </w:rPr>
      <w:t>15</w:t>
    </w:r>
    <w:r w:rsidR="00BF0202" w:rsidRPr="00C1462E">
      <w:rPr>
        <w:rFonts w:ascii="Calibri" w:hAnsi="Calibri" w:cs="Calibri"/>
        <w:sz w:val="22"/>
        <w:szCs w:val="22"/>
        <w:lang w:val="es-ES"/>
      </w:rPr>
      <w:t xml:space="preserve">, </w:t>
    </w:r>
    <w:r w:rsidR="00FF2C6E" w:rsidRPr="00C1462E">
      <w:rPr>
        <w:rFonts w:ascii="Calibri" w:hAnsi="Calibri" w:cs="Calibri"/>
        <w:sz w:val="22"/>
        <w:szCs w:val="22"/>
        <w:lang w:val="es-ES"/>
      </w:rPr>
      <w:t xml:space="preserve">No </w:t>
    </w:r>
    <w:r w:rsidR="00C1462E">
      <w:rPr>
        <w:rFonts w:ascii="Calibri" w:hAnsi="Calibri" w:cs="Calibri"/>
        <w:sz w:val="22"/>
        <w:szCs w:val="22"/>
        <w:lang w:val="es-ES"/>
      </w:rPr>
      <w:t>2</w:t>
    </w:r>
    <w:r w:rsidR="00FF2C6E" w:rsidRPr="00C1462E">
      <w:rPr>
        <w:rFonts w:ascii="Calibri" w:hAnsi="Calibri" w:cs="Calibri"/>
        <w:sz w:val="22"/>
        <w:szCs w:val="22"/>
        <w:lang w:val="es-ES"/>
      </w:rPr>
      <w:t xml:space="preserve"> (202</w:t>
    </w:r>
    <w:r w:rsidR="00A13C50" w:rsidRPr="00C1462E">
      <w:rPr>
        <w:rFonts w:ascii="Calibri" w:hAnsi="Calibri" w:cs="Calibri"/>
        <w:sz w:val="22"/>
        <w:szCs w:val="22"/>
        <w:lang w:val="es-ES"/>
      </w:rPr>
      <w:t>6)</w:t>
    </w:r>
  </w:p>
  <w:p w14:paraId="3144FCE3" w14:textId="6B8111A3" w:rsidR="00C1462E" w:rsidRPr="00C1462E" w:rsidRDefault="00C1462E">
    <w:pPr>
      <w:pStyle w:val="Header"/>
      <w:rPr>
        <w:rFonts w:ascii="Calibri" w:hAnsi="Calibri" w:cs="Calibri"/>
        <w:sz w:val="22"/>
        <w:szCs w:val="22"/>
        <w:lang w:val="es-ES"/>
      </w:rPr>
    </w:pPr>
    <w:r>
      <w:rPr>
        <w:rFonts w:ascii="Calibri" w:hAnsi="Calibri" w:cs="Calibri"/>
        <w:sz w:val="22"/>
        <w:szCs w:val="22"/>
        <w:lang w:val="es-ES"/>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6151E"/>
    <w:multiLevelType w:val="hybridMultilevel"/>
    <w:tmpl w:val="A25659B0"/>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1401B5"/>
    <w:multiLevelType w:val="hybridMultilevel"/>
    <w:tmpl w:val="992EFEC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8F7F32"/>
    <w:multiLevelType w:val="hybridMultilevel"/>
    <w:tmpl w:val="992EFEC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282322"/>
    <w:multiLevelType w:val="hybridMultilevel"/>
    <w:tmpl w:val="992EFEC4"/>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B75FD6"/>
    <w:multiLevelType w:val="hybridMultilevel"/>
    <w:tmpl w:val="DFF43346"/>
    <w:lvl w:ilvl="0" w:tplc="ED0A36C8">
      <w:start w:val="3"/>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1C7B34"/>
    <w:multiLevelType w:val="hybridMultilevel"/>
    <w:tmpl w:val="284063B2"/>
    <w:lvl w:ilvl="0" w:tplc="3E12C30C">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0473786">
    <w:abstractNumId w:val="0"/>
  </w:num>
  <w:num w:numId="2" w16cid:durableId="1388720793">
    <w:abstractNumId w:val="3"/>
  </w:num>
  <w:num w:numId="3" w16cid:durableId="997459051">
    <w:abstractNumId w:val="1"/>
  </w:num>
  <w:num w:numId="4" w16cid:durableId="1405832737">
    <w:abstractNumId w:val="5"/>
  </w:num>
  <w:num w:numId="5" w16cid:durableId="1513715185">
    <w:abstractNumId w:val="4"/>
  </w:num>
  <w:num w:numId="6" w16cid:durableId="2099057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CA"/>
    <w:rsid w:val="000001F4"/>
    <w:rsid w:val="000015C1"/>
    <w:rsid w:val="00001CED"/>
    <w:rsid w:val="00002510"/>
    <w:rsid w:val="00004E37"/>
    <w:rsid w:val="00006B9E"/>
    <w:rsid w:val="00007A00"/>
    <w:rsid w:val="00011F25"/>
    <w:rsid w:val="000123A4"/>
    <w:rsid w:val="00012C37"/>
    <w:rsid w:val="000142C9"/>
    <w:rsid w:val="000148B0"/>
    <w:rsid w:val="00014DDD"/>
    <w:rsid w:val="00016599"/>
    <w:rsid w:val="000167A4"/>
    <w:rsid w:val="00016DA2"/>
    <w:rsid w:val="000176FB"/>
    <w:rsid w:val="00017EBD"/>
    <w:rsid w:val="00020F23"/>
    <w:rsid w:val="00021DF5"/>
    <w:rsid w:val="0002214E"/>
    <w:rsid w:val="00022A87"/>
    <w:rsid w:val="000237E9"/>
    <w:rsid w:val="00024055"/>
    <w:rsid w:val="000241AA"/>
    <w:rsid w:val="00024AA7"/>
    <w:rsid w:val="00024E2A"/>
    <w:rsid w:val="000250DC"/>
    <w:rsid w:val="00025545"/>
    <w:rsid w:val="0002658F"/>
    <w:rsid w:val="00026AD5"/>
    <w:rsid w:val="00027C1B"/>
    <w:rsid w:val="000305A8"/>
    <w:rsid w:val="000314B4"/>
    <w:rsid w:val="000338F2"/>
    <w:rsid w:val="00034F24"/>
    <w:rsid w:val="00035199"/>
    <w:rsid w:val="000367AF"/>
    <w:rsid w:val="000369B9"/>
    <w:rsid w:val="00037161"/>
    <w:rsid w:val="0004016C"/>
    <w:rsid w:val="00041B28"/>
    <w:rsid w:val="00042238"/>
    <w:rsid w:val="00043238"/>
    <w:rsid w:val="000437E0"/>
    <w:rsid w:val="00043BA2"/>
    <w:rsid w:val="000445BB"/>
    <w:rsid w:val="00044E99"/>
    <w:rsid w:val="00045291"/>
    <w:rsid w:val="00047B30"/>
    <w:rsid w:val="00047DFE"/>
    <w:rsid w:val="00050F45"/>
    <w:rsid w:val="000521D3"/>
    <w:rsid w:val="0005274A"/>
    <w:rsid w:val="00052CC6"/>
    <w:rsid w:val="00053979"/>
    <w:rsid w:val="000549B7"/>
    <w:rsid w:val="00054A21"/>
    <w:rsid w:val="00054E5B"/>
    <w:rsid w:val="00055286"/>
    <w:rsid w:val="0005531B"/>
    <w:rsid w:val="000554D6"/>
    <w:rsid w:val="00055AF2"/>
    <w:rsid w:val="00056A8A"/>
    <w:rsid w:val="000579D5"/>
    <w:rsid w:val="0006039C"/>
    <w:rsid w:val="00061F8A"/>
    <w:rsid w:val="000625E9"/>
    <w:rsid w:val="00062AD0"/>
    <w:rsid w:val="000635FE"/>
    <w:rsid w:val="00064843"/>
    <w:rsid w:val="00064E56"/>
    <w:rsid w:val="0006552C"/>
    <w:rsid w:val="0006661A"/>
    <w:rsid w:val="00066768"/>
    <w:rsid w:val="0006792C"/>
    <w:rsid w:val="00067980"/>
    <w:rsid w:val="0007510C"/>
    <w:rsid w:val="00075B35"/>
    <w:rsid w:val="00075E45"/>
    <w:rsid w:val="00076508"/>
    <w:rsid w:val="00076A52"/>
    <w:rsid w:val="00077033"/>
    <w:rsid w:val="0008048A"/>
    <w:rsid w:val="00081998"/>
    <w:rsid w:val="000824DE"/>
    <w:rsid w:val="00082ABB"/>
    <w:rsid w:val="00082BCB"/>
    <w:rsid w:val="00082BFC"/>
    <w:rsid w:val="000900BD"/>
    <w:rsid w:val="000917A6"/>
    <w:rsid w:val="000925DC"/>
    <w:rsid w:val="00092EB8"/>
    <w:rsid w:val="000932B0"/>
    <w:rsid w:val="00093B26"/>
    <w:rsid w:val="00093FF7"/>
    <w:rsid w:val="00094265"/>
    <w:rsid w:val="0009434E"/>
    <w:rsid w:val="000943DA"/>
    <w:rsid w:val="00094B6D"/>
    <w:rsid w:val="000963D7"/>
    <w:rsid w:val="00096932"/>
    <w:rsid w:val="000A20F4"/>
    <w:rsid w:val="000A3181"/>
    <w:rsid w:val="000A3378"/>
    <w:rsid w:val="000A39A6"/>
    <w:rsid w:val="000A4A54"/>
    <w:rsid w:val="000A59FB"/>
    <w:rsid w:val="000A7668"/>
    <w:rsid w:val="000B09E9"/>
    <w:rsid w:val="000B1850"/>
    <w:rsid w:val="000B1C42"/>
    <w:rsid w:val="000B2522"/>
    <w:rsid w:val="000B33A6"/>
    <w:rsid w:val="000B3745"/>
    <w:rsid w:val="000B3B27"/>
    <w:rsid w:val="000B4A13"/>
    <w:rsid w:val="000B5FE9"/>
    <w:rsid w:val="000C118F"/>
    <w:rsid w:val="000C2466"/>
    <w:rsid w:val="000C2CCB"/>
    <w:rsid w:val="000C446F"/>
    <w:rsid w:val="000C4F96"/>
    <w:rsid w:val="000C687E"/>
    <w:rsid w:val="000D069E"/>
    <w:rsid w:val="000D1054"/>
    <w:rsid w:val="000D1916"/>
    <w:rsid w:val="000D1C55"/>
    <w:rsid w:val="000D1C7D"/>
    <w:rsid w:val="000D302B"/>
    <w:rsid w:val="000D3217"/>
    <w:rsid w:val="000D3489"/>
    <w:rsid w:val="000D4270"/>
    <w:rsid w:val="000D4690"/>
    <w:rsid w:val="000D5574"/>
    <w:rsid w:val="000D6B7B"/>
    <w:rsid w:val="000D7EAE"/>
    <w:rsid w:val="000E1D51"/>
    <w:rsid w:val="000E2540"/>
    <w:rsid w:val="000E2D05"/>
    <w:rsid w:val="000E38F4"/>
    <w:rsid w:val="000E4375"/>
    <w:rsid w:val="000E5B3C"/>
    <w:rsid w:val="000E7CD0"/>
    <w:rsid w:val="000F0242"/>
    <w:rsid w:val="000F0E28"/>
    <w:rsid w:val="000F3290"/>
    <w:rsid w:val="000F3E4D"/>
    <w:rsid w:val="000F5189"/>
    <w:rsid w:val="000F6487"/>
    <w:rsid w:val="000F6A64"/>
    <w:rsid w:val="00100032"/>
    <w:rsid w:val="00101173"/>
    <w:rsid w:val="001012D0"/>
    <w:rsid w:val="00104021"/>
    <w:rsid w:val="0010406B"/>
    <w:rsid w:val="00104AB6"/>
    <w:rsid w:val="00104E60"/>
    <w:rsid w:val="00106109"/>
    <w:rsid w:val="00106DCC"/>
    <w:rsid w:val="00106EEE"/>
    <w:rsid w:val="0010730B"/>
    <w:rsid w:val="001078D5"/>
    <w:rsid w:val="00107F16"/>
    <w:rsid w:val="00110631"/>
    <w:rsid w:val="00110D3B"/>
    <w:rsid w:val="00111052"/>
    <w:rsid w:val="0011185D"/>
    <w:rsid w:val="00112B1E"/>
    <w:rsid w:val="00112D13"/>
    <w:rsid w:val="0011312F"/>
    <w:rsid w:val="001134D7"/>
    <w:rsid w:val="001151F4"/>
    <w:rsid w:val="001155A8"/>
    <w:rsid w:val="001159E9"/>
    <w:rsid w:val="00116918"/>
    <w:rsid w:val="00116E6B"/>
    <w:rsid w:val="001204BC"/>
    <w:rsid w:val="00120B62"/>
    <w:rsid w:val="00121184"/>
    <w:rsid w:val="00121660"/>
    <w:rsid w:val="00121964"/>
    <w:rsid w:val="00122835"/>
    <w:rsid w:val="00122C59"/>
    <w:rsid w:val="00126181"/>
    <w:rsid w:val="00130C9D"/>
    <w:rsid w:val="00131718"/>
    <w:rsid w:val="00132D86"/>
    <w:rsid w:val="001336EE"/>
    <w:rsid w:val="00134678"/>
    <w:rsid w:val="00134C17"/>
    <w:rsid w:val="00136257"/>
    <w:rsid w:val="00136324"/>
    <w:rsid w:val="00136822"/>
    <w:rsid w:val="00136FF9"/>
    <w:rsid w:val="00140EEF"/>
    <w:rsid w:val="00142063"/>
    <w:rsid w:val="00143465"/>
    <w:rsid w:val="00143899"/>
    <w:rsid w:val="00143CFF"/>
    <w:rsid w:val="00145419"/>
    <w:rsid w:val="00145AD9"/>
    <w:rsid w:val="00147623"/>
    <w:rsid w:val="00147CBD"/>
    <w:rsid w:val="00147D02"/>
    <w:rsid w:val="00150F31"/>
    <w:rsid w:val="001525B5"/>
    <w:rsid w:val="0015342E"/>
    <w:rsid w:val="00154691"/>
    <w:rsid w:val="001547AD"/>
    <w:rsid w:val="00154D7A"/>
    <w:rsid w:val="00154E63"/>
    <w:rsid w:val="00160E7F"/>
    <w:rsid w:val="00161126"/>
    <w:rsid w:val="0016145B"/>
    <w:rsid w:val="00162245"/>
    <w:rsid w:val="001624AD"/>
    <w:rsid w:val="00163199"/>
    <w:rsid w:val="0016483C"/>
    <w:rsid w:val="001650EC"/>
    <w:rsid w:val="00170B47"/>
    <w:rsid w:val="001719C5"/>
    <w:rsid w:val="0017205C"/>
    <w:rsid w:val="001735E2"/>
    <w:rsid w:val="00174D5D"/>
    <w:rsid w:val="00174F48"/>
    <w:rsid w:val="0017598C"/>
    <w:rsid w:val="00175FAE"/>
    <w:rsid w:val="001770E9"/>
    <w:rsid w:val="001771D6"/>
    <w:rsid w:val="00177B4E"/>
    <w:rsid w:val="001811D6"/>
    <w:rsid w:val="0018391A"/>
    <w:rsid w:val="001841F6"/>
    <w:rsid w:val="00185011"/>
    <w:rsid w:val="0018513D"/>
    <w:rsid w:val="001858E2"/>
    <w:rsid w:val="00185EC3"/>
    <w:rsid w:val="00186B6D"/>
    <w:rsid w:val="00187407"/>
    <w:rsid w:val="001903EF"/>
    <w:rsid w:val="001907F0"/>
    <w:rsid w:val="001913CB"/>
    <w:rsid w:val="0019189C"/>
    <w:rsid w:val="00191946"/>
    <w:rsid w:val="001934EF"/>
    <w:rsid w:val="00194330"/>
    <w:rsid w:val="00194D08"/>
    <w:rsid w:val="00197265"/>
    <w:rsid w:val="00197A7D"/>
    <w:rsid w:val="001A0621"/>
    <w:rsid w:val="001A0670"/>
    <w:rsid w:val="001A16B3"/>
    <w:rsid w:val="001A3F22"/>
    <w:rsid w:val="001A3F96"/>
    <w:rsid w:val="001A4F4F"/>
    <w:rsid w:val="001A606E"/>
    <w:rsid w:val="001A7082"/>
    <w:rsid w:val="001A7543"/>
    <w:rsid w:val="001A79A9"/>
    <w:rsid w:val="001B09A1"/>
    <w:rsid w:val="001B0CA7"/>
    <w:rsid w:val="001B1CE0"/>
    <w:rsid w:val="001B2275"/>
    <w:rsid w:val="001B2A38"/>
    <w:rsid w:val="001B2BD6"/>
    <w:rsid w:val="001B41D6"/>
    <w:rsid w:val="001B46E0"/>
    <w:rsid w:val="001B4A57"/>
    <w:rsid w:val="001B6202"/>
    <w:rsid w:val="001B6C50"/>
    <w:rsid w:val="001B7128"/>
    <w:rsid w:val="001C1BC6"/>
    <w:rsid w:val="001C35E0"/>
    <w:rsid w:val="001C4ED0"/>
    <w:rsid w:val="001C5F1D"/>
    <w:rsid w:val="001C70D8"/>
    <w:rsid w:val="001C74B2"/>
    <w:rsid w:val="001C782C"/>
    <w:rsid w:val="001C7CDA"/>
    <w:rsid w:val="001C7FA4"/>
    <w:rsid w:val="001D1027"/>
    <w:rsid w:val="001D268B"/>
    <w:rsid w:val="001D288B"/>
    <w:rsid w:val="001D4F1A"/>
    <w:rsid w:val="001D7045"/>
    <w:rsid w:val="001D7BC0"/>
    <w:rsid w:val="001D7BDC"/>
    <w:rsid w:val="001D7F08"/>
    <w:rsid w:val="001E0445"/>
    <w:rsid w:val="001E061B"/>
    <w:rsid w:val="001E0E32"/>
    <w:rsid w:val="001E137C"/>
    <w:rsid w:val="001E373E"/>
    <w:rsid w:val="001E3760"/>
    <w:rsid w:val="001E4065"/>
    <w:rsid w:val="001E4DA8"/>
    <w:rsid w:val="001E6E48"/>
    <w:rsid w:val="001F05AD"/>
    <w:rsid w:val="001F1201"/>
    <w:rsid w:val="001F25D3"/>
    <w:rsid w:val="001F3CB3"/>
    <w:rsid w:val="001F46E3"/>
    <w:rsid w:val="001F6158"/>
    <w:rsid w:val="001F777F"/>
    <w:rsid w:val="00200650"/>
    <w:rsid w:val="00204A44"/>
    <w:rsid w:val="002052D8"/>
    <w:rsid w:val="00207665"/>
    <w:rsid w:val="00207B22"/>
    <w:rsid w:val="00210159"/>
    <w:rsid w:val="002105AD"/>
    <w:rsid w:val="00210DAB"/>
    <w:rsid w:val="00210F9C"/>
    <w:rsid w:val="00211338"/>
    <w:rsid w:val="00211FE2"/>
    <w:rsid w:val="00213008"/>
    <w:rsid w:val="0021318D"/>
    <w:rsid w:val="00213456"/>
    <w:rsid w:val="002224E1"/>
    <w:rsid w:val="00222B48"/>
    <w:rsid w:val="00223B02"/>
    <w:rsid w:val="00225FBB"/>
    <w:rsid w:val="00227079"/>
    <w:rsid w:val="002275FD"/>
    <w:rsid w:val="00230412"/>
    <w:rsid w:val="00231E29"/>
    <w:rsid w:val="0023674F"/>
    <w:rsid w:val="00237343"/>
    <w:rsid w:val="002375AE"/>
    <w:rsid w:val="00237FF5"/>
    <w:rsid w:val="0024041C"/>
    <w:rsid w:val="00240D02"/>
    <w:rsid w:val="00241C13"/>
    <w:rsid w:val="00242B9A"/>
    <w:rsid w:val="00243245"/>
    <w:rsid w:val="00243DC7"/>
    <w:rsid w:val="0024490D"/>
    <w:rsid w:val="00244FF0"/>
    <w:rsid w:val="00245FF7"/>
    <w:rsid w:val="00251FA2"/>
    <w:rsid w:val="002520FA"/>
    <w:rsid w:val="00253040"/>
    <w:rsid w:val="00253DEC"/>
    <w:rsid w:val="002540BD"/>
    <w:rsid w:val="002543DC"/>
    <w:rsid w:val="00254618"/>
    <w:rsid w:val="00255A88"/>
    <w:rsid w:val="0026020C"/>
    <w:rsid w:val="00261FE2"/>
    <w:rsid w:val="00262E41"/>
    <w:rsid w:val="002639AF"/>
    <w:rsid w:val="00263AB3"/>
    <w:rsid w:val="00264A03"/>
    <w:rsid w:val="002653E7"/>
    <w:rsid w:val="002654CB"/>
    <w:rsid w:val="00266551"/>
    <w:rsid w:val="00267E6A"/>
    <w:rsid w:val="00267EE8"/>
    <w:rsid w:val="00270A2F"/>
    <w:rsid w:val="00271401"/>
    <w:rsid w:val="00271772"/>
    <w:rsid w:val="002721A7"/>
    <w:rsid w:val="0027257F"/>
    <w:rsid w:val="002735E3"/>
    <w:rsid w:val="00273C95"/>
    <w:rsid w:val="00274F1E"/>
    <w:rsid w:val="00275F3F"/>
    <w:rsid w:val="00276BC8"/>
    <w:rsid w:val="0027700C"/>
    <w:rsid w:val="0028010F"/>
    <w:rsid w:val="00280F88"/>
    <w:rsid w:val="0028282A"/>
    <w:rsid w:val="002833FB"/>
    <w:rsid w:val="00283A62"/>
    <w:rsid w:val="00284B4C"/>
    <w:rsid w:val="00284CF8"/>
    <w:rsid w:val="002901DD"/>
    <w:rsid w:val="00290DF3"/>
    <w:rsid w:val="002937DB"/>
    <w:rsid w:val="00294020"/>
    <w:rsid w:val="00294335"/>
    <w:rsid w:val="002944FC"/>
    <w:rsid w:val="00294C6C"/>
    <w:rsid w:val="002952F2"/>
    <w:rsid w:val="002960C1"/>
    <w:rsid w:val="0029654A"/>
    <w:rsid w:val="0029782F"/>
    <w:rsid w:val="002A1F8B"/>
    <w:rsid w:val="002A2293"/>
    <w:rsid w:val="002A2957"/>
    <w:rsid w:val="002A29EE"/>
    <w:rsid w:val="002A2B95"/>
    <w:rsid w:val="002A4946"/>
    <w:rsid w:val="002A4B8C"/>
    <w:rsid w:val="002A4DFE"/>
    <w:rsid w:val="002A6A9F"/>
    <w:rsid w:val="002A6AD1"/>
    <w:rsid w:val="002B33F2"/>
    <w:rsid w:val="002B619F"/>
    <w:rsid w:val="002B7AC8"/>
    <w:rsid w:val="002C0F09"/>
    <w:rsid w:val="002C1542"/>
    <w:rsid w:val="002C43A7"/>
    <w:rsid w:val="002C4C6B"/>
    <w:rsid w:val="002C59D7"/>
    <w:rsid w:val="002D15E7"/>
    <w:rsid w:val="002D229F"/>
    <w:rsid w:val="002D242A"/>
    <w:rsid w:val="002D3E1B"/>
    <w:rsid w:val="002D46FA"/>
    <w:rsid w:val="002D5233"/>
    <w:rsid w:val="002D7E06"/>
    <w:rsid w:val="002E0566"/>
    <w:rsid w:val="002E096D"/>
    <w:rsid w:val="002E1DA7"/>
    <w:rsid w:val="002E308A"/>
    <w:rsid w:val="002E4D25"/>
    <w:rsid w:val="002E56A0"/>
    <w:rsid w:val="002F017D"/>
    <w:rsid w:val="002F1E47"/>
    <w:rsid w:val="002F38DE"/>
    <w:rsid w:val="002F49D3"/>
    <w:rsid w:val="00302482"/>
    <w:rsid w:val="00303637"/>
    <w:rsid w:val="00303E7C"/>
    <w:rsid w:val="0030534B"/>
    <w:rsid w:val="003057EC"/>
    <w:rsid w:val="00312B67"/>
    <w:rsid w:val="0031715F"/>
    <w:rsid w:val="0031768A"/>
    <w:rsid w:val="00321790"/>
    <w:rsid w:val="0032388C"/>
    <w:rsid w:val="00326625"/>
    <w:rsid w:val="00327025"/>
    <w:rsid w:val="00327646"/>
    <w:rsid w:val="0033038C"/>
    <w:rsid w:val="0033145A"/>
    <w:rsid w:val="00331F63"/>
    <w:rsid w:val="00333657"/>
    <w:rsid w:val="00337525"/>
    <w:rsid w:val="00337723"/>
    <w:rsid w:val="003434A7"/>
    <w:rsid w:val="0034599F"/>
    <w:rsid w:val="00347E82"/>
    <w:rsid w:val="00350EF1"/>
    <w:rsid w:val="00351A08"/>
    <w:rsid w:val="00352921"/>
    <w:rsid w:val="00352991"/>
    <w:rsid w:val="003534F4"/>
    <w:rsid w:val="0035440C"/>
    <w:rsid w:val="0035581C"/>
    <w:rsid w:val="00355B55"/>
    <w:rsid w:val="003560F6"/>
    <w:rsid w:val="00356574"/>
    <w:rsid w:val="003570C0"/>
    <w:rsid w:val="003575CD"/>
    <w:rsid w:val="00361646"/>
    <w:rsid w:val="00362BEF"/>
    <w:rsid w:val="00363185"/>
    <w:rsid w:val="00363D5C"/>
    <w:rsid w:val="003644AE"/>
    <w:rsid w:val="00365B81"/>
    <w:rsid w:val="00365F6D"/>
    <w:rsid w:val="00365F97"/>
    <w:rsid w:val="003667BC"/>
    <w:rsid w:val="00367ACB"/>
    <w:rsid w:val="00371695"/>
    <w:rsid w:val="00372312"/>
    <w:rsid w:val="0037302D"/>
    <w:rsid w:val="00373108"/>
    <w:rsid w:val="00375B3E"/>
    <w:rsid w:val="00377300"/>
    <w:rsid w:val="00377B39"/>
    <w:rsid w:val="00377FA5"/>
    <w:rsid w:val="00382397"/>
    <w:rsid w:val="00382EC1"/>
    <w:rsid w:val="00383598"/>
    <w:rsid w:val="003835DE"/>
    <w:rsid w:val="00385470"/>
    <w:rsid w:val="003869D0"/>
    <w:rsid w:val="00386CBE"/>
    <w:rsid w:val="00391309"/>
    <w:rsid w:val="00392F0F"/>
    <w:rsid w:val="00396360"/>
    <w:rsid w:val="003969E6"/>
    <w:rsid w:val="00397795"/>
    <w:rsid w:val="003A0245"/>
    <w:rsid w:val="003A6911"/>
    <w:rsid w:val="003A6A78"/>
    <w:rsid w:val="003B02E9"/>
    <w:rsid w:val="003B091A"/>
    <w:rsid w:val="003B10FB"/>
    <w:rsid w:val="003B1E55"/>
    <w:rsid w:val="003B3464"/>
    <w:rsid w:val="003B37DF"/>
    <w:rsid w:val="003B3BE5"/>
    <w:rsid w:val="003B4069"/>
    <w:rsid w:val="003B421A"/>
    <w:rsid w:val="003B4B5D"/>
    <w:rsid w:val="003B715C"/>
    <w:rsid w:val="003C075D"/>
    <w:rsid w:val="003C0C05"/>
    <w:rsid w:val="003C1B14"/>
    <w:rsid w:val="003C3488"/>
    <w:rsid w:val="003C7AFD"/>
    <w:rsid w:val="003D020E"/>
    <w:rsid w:val="003D0782"/>
    <w:rsid w:val="003D1192"/>
    <w:rsid w:val="003D1B24"/>
    <w:rsid w:val="003D2740"/>
    <w:rsid w:val="003D2FD9"/>
    <w:rsid w:val="003D35C6"/>
    <w:rsid w:val="003D4E42"/>
    <w:rsid w:val="003E051A"/>
    <w:rsid w:val="003E099E"/>
    <w:rsid w:val="003E31F3"/>
    <w:rsid w:val="003E3628"/>
    <w:rsid w:val="003E46E9"/>
    <w:rsid w:val="003E4D2D"/>
    <w:rsid w:val="003E5919"/>
    <w:rsid w:val="003F027F"/>
    <w:rsid w:val="003F07D6"/>
    <w:rsid w:val="003F10FE"/>
    <w:rsid w:val="003F2146"/>
    <w:rsid w:val="003F2B49"/>
    <w:rsid w:val="003F2CA5"/>
    <w:rsid w:val="003F3EA8"/>
    <w:rsid w:val="003F3FB3"/>
    <w:rsid w:val="003F48E9"/>
    <w:rsid w:val="003F744B"/>
    <w:rsid w:val="003F7DAC"/>
    <w:rsid w:val="003F7E24"/>
    <w:rsid w:val="0040040A"/>
    <w:rsid w:val="0040042A"/>
    <w:rsid w:val="00400B2C"/>
    <w:rsid w:val="00401957"/>
    <w:rsid w:val="004026D3"/>
    <w:rsid w:val="00403069"/>
    <w:rsid w:val="00403EDF"/>
    <w:rsid w:val="00404371"/>
    <w:rsid w:val="00404C2A"/>
    <w:rsid w:val="00405332"/>
    <w:rsid w:val="004053A1"/>
    <w:rsid w:val="00405A8B"/>
    <w:rsid w:val="004107FC"/>
    <w:rsid w:val="004108FA"/>
    <w:rsid w:val="0041156C"/>
    <w:rsid w:val="0041276C"/>
    <w:rsid w:val="00415046"/>
    <w:rsid w:val="00415D47"/>
    <w:rsid w:val="00416138"/>
    <w:rsid w:val="00417B52"/>
    <w:rsid w:val="004214DC"/>
    <w:rsid w:val="004218B8"/>
    <w:rsid w:val="00421E2C"/>
    <w:rsid w:val="00423723"/>
    <w:rsid w:val="00423C32"/>
    <w:rsid w:val="00423FB3"/>
    <w:rsid w:val="00424811"/>
    <w:rsid w:val="0042509D"/>
    <w:rsid w:val="0042712A"/>
    <w:rsid w:val="00427466"/>
    <w:rsid w:val="00427D36"/>
    <w:rsid w:val="004316DC"/>
    <w:rsid w:val="00433A96"/>
    <w:rsid w:val="00434F3B"/>
    <w:rsid w:val="00435003"/>
    <w:rsid w:val="00435F33"/>
    <w:rsid w:val="00436AEE"/>
    <w:rsid w:val="00437F31"/>
    <w:rsid w:val="0044050F"/>
    <w:rsid w:val="00440652"/>
    <w:rsid w:val="00441D94"/>
    <w:rsid w:val="00446F36"/>
    <w:rsid w:val="004506F9"/>
    <w:rsid w:val="004513FF"/>
    <w:rsid w:val="00451DE4"/>
    <w:rsid w:val="00452C20"/>
    <w:rsid w:val="00455532"/>
    <w:rsid w:val="004561E9"/>
    <w:rsid w:val="004572DD"/>
    <w:rsid w:val="00457638"/>
    <w:rsid w:val="0046122E"/>
    <w:rsid w:val="00461B8F"/>
    <w:rsid w:val="004621E2"/>
    <w:rsid w:val="00462C45"/>
    <w:rsid w:val="00464269"/>
    <w:rsid w:val="004647B7"/>
    <w:rsid w:val="004679F5"/>
    <w:rsid w:val="00467EFA"/>
    <w:rsid w:val="004703B0"/>
    <w:rsid w:val="004712AD"/>
    <w:rsid w:val="0047169F"/>
    <w:rsid w:val="0047358F"/>
    <w:rsid w:val="004742A8"/>
    <w:rsid w:val="004742CC"/>
    <w:rsid w:val="00474B29"/>
    <w:rsid w:val="00474ED8"/>
    <w:rsid w:val="00475E4B"/>
    <w:rsid w:val="004765DA"/>
    <w:rsid w:val="00480FA2"/>
    <w:rsid w:val="00481AA8"/>
    <w:rsid w:val="004823AE"/>
    <w:rsid w:val="0048352B"/>
    <w:rsid w:val="00483C6F"/>
    <w:rsid w:val="00483F64"/>
    <w:rsid w:val="0048428B"/>
    <w:rsid w:val="004901E5"/>
    <w:rsid w:val="004911B4"/>
    <w:rsid w:val="0049223C"/>
    <w:rsid w:val="00493348"/>
    <w:rsid w:val="00493F22"/>
    <w:rsid w:val="004A2161"/>
    <w:rsid w:val="004A2A43"/>
    <w:rsid w:val="004A3169"/>
    <w:rsid w:val="004A3422"/>
    <w:rsid w:val="004A35A0"/>
    <w:rsid w:val="004A3E04"/>
    <w:rsid w:val="004A4C06"/>
    <w:rsid w:val="004A4EE2"/>
    <w:rsid w:val="004B54EF"/>
    <w:rsid w:val="004B7ADF"/>
    <w:rsid w:val="004C0654"/>
    <w:rsid w:val="004C0AB8"/>
    <w:rsid w:val="004C121A"/>
    <w:rsid w:val="004C1CA3"/>
    <w:rsid w:val="004C1E18"/>
    <w:rsid w:val="004C210F"/>
    <w:rsid w:val="004C6A70"/>
    <w:rsid w:val="004C6EF1"/>
    <w:rsid w:val="004C7D21"/>
    <w:rsid w:val="004D063D"/>
    <w:rsid w:val="004D08BB"/>
    <w:rsid w:val="004D0E39"/>
    <w:rsid w:val="004D3C81"/>
    <w:rsid w:val="004D70AE"/>
    <w:rsid w:val="004E25A5"/>
    <w:rsid w:val="004E3F6C"/>
    <w:rsid w:val="004E58CB"/>
    <w:rsid w:val="004E6121"/>
    <w:rsid w:val="004E6B13"/>
    <w:rsid w:val="004E7890"/>
    <w:rsid w:val="004E78DC"/>
    <w:rsid w:val="004E7E25"/>
    <w:rsid w:val="004F1A0A"/>
    <w:rsid w:val="004F34F4"/>
    <w:rsid w:val="004F4451"/>
    <w:rsid w:val="004F498D"/>
    <w:rsid w:val="004F5790"/>
    <w:rsid w:val="004F5A36"/>
    <w:rsid w:val="004F6282"/>
    <w:rsid w:val="004F63E6"/>
    <w:rsid w:val="004F7D9B"/>
    <w:rsid w:val="004F7DEF"/>
    <w:rsid w:val="005000C1"/>
    <w:rsid w:val="005001F9"/>
    <w:rsid w:val="00500971"/>
    <w:rsid w:val="00500D95"/>
    <w:rsid w:val="00500E8B"/>
    <w:rsid w:val="00501721"/>
    <w:rsid w:val="00501F0F"/>
    <w:rsid w:val="00503B91"/>
    <w:rsid w:val="00503D9C"/>
    <w:rsid w:val="005065A8"/>
    <w:rsid w:val="00506832"/>
    <w:rsid w:val="005070AB"/>
    <w:rsid w:val="005079F4"/>
    <w:rsid w:val="00511020"/>
    <w:rsid w:val="005121C4"/>
    <w:rsid w:val="005130FA"/>
    <w:rsid w:val="00513B76"/>
    <w:rsid w:val="00513C1F"/>
    <w:rsid w:val="005146FA"/>
    <w:rsid w:val="00514A1E"/>
    <w:rsid w:val="0051623C"/>
    <w:rsid w:val="0051672F"/>
    <w:rsid w:val="00516B13"/>
    <w:rsid w:val="00516C8A"/>
    <w:rsid w:val="005170C4"/>
    <w:rsid w:val="00517802"/>
    <w:rsid w:val="0051796F"/>
    <w:rsid w:val="0052066F"/>
    <w:rsid w:val="00520CE5"/>
    <w:rsid w:val="00522D00"/>
    <w:rsid w:val="00522DFF"/>
    <w:rsid w:val="005242B7"/>
    <w:rsid w:val="005251EE"/>
    <w:rsid w:val="00526473"/>
    <w:rsid w:val="00527A6A"/>
    <w:rsid w:val="00531F53"/>
    <w:rsid w:val="005324D4"/>
    <w:rsid w:val="00532793"/>
    <w:rsid w:val="00533044"/>
    <w:rsid w:val="005332ED"/>
    <w:rsid w:val="005337F4"/>
    <w:rsid w:val="00534517"/>
    <w:rsid w:val="005348E0"/>
    <w:rsid w:val="005356BF"/>
    <w:rsid w:val="00535A12"/>
    <w:rsid w:val="00536277"/>
    <w:rsid w:val="00537FAC"/>
    <w:rsid w:val="005406DA"/>
    <w:rsid w:val="00541213"/>
    <w:rsid w:val="00542646"/>
    <w:rsid w:val="005449F9"/>
    <w:rsid w:val="00545F04"/>
    <w:rsid w:val="00546ED0"/>
    <w:rsid w:val="005470F6"/>
    <w:rsid w:val="005526D4"/>
    <w:rsid w:val="005538CF"/>
    <w:rsid w:val="00554574"/>
    <w:rsid w:val="00554B0E"/>
    <w:rsid w:val="005560C5"/>
    <w:rsid w:val="00560ABF"/>
    <w:rsid w:val="00563438"/>
    <w:rsid w:val="0056355D"/>
    <w:rsid w:val="0056788F"/>
    <w:rsid w:val="005703A5"/>
    <w:rsid w:val="005710E0"/>
    <w:rsid w:val="005716B1"/>
    <w:rsid w:val="005720DA"/>
    <w:rsid w:val="005729C1"/>
    <w:rsid w:val="00572C45"/>
    <w:rsid w:val="00573A51"/>
    <w:rsid w:val="0057457E"/>
    <w:rsid w:val="00574CA2"/>
    <w:rsid w:val="005757FA"/>
    <w:rsid w:val="005762D3"/>
    <w:rsid w:val="00577C90"/>
    <w:rsid w:val="00580E0E"/>
    <w:rsid w:val="0058106E"/>
    <w:rsid w:val="00581082"/>
    <w:rsid w:val="0058177B"/>
    <w:rsid w:val="0058251D"/>
    <w:rsid w:val="0058267A"/>
    <w:rsid w:val="00582D0B"/>
    <w:rsid w:val="005843F0"/>
    <w:rsid w:val="005847B8"/>
    <w:rsid w:val="00585658"/>
    <w:rsid w:val="005869B7"/>
    <w:rsid w:val="00587B22"/>
    <w:rsid w:val="00587C8D"/>
    <w:rsid w:val="00587E96"/>
    <w:rsid w:val="00590EDF"/>
    <w:rsid w:val="00592D21"/>
    <w:rsid w:val="00592F43"/>
    <w:rsid w:val="0059377F"/>
    <w:rsid w:val="00594BF6"/>
    <w:rsid w:val="00595176"/>
    <w:rsid w:val="00596ABD"/>
    <w:rsid w:val="0059785F"/>
    <w:rsid w:val="005A05E9"/>
    <w:rsid w:val="005A274A"/>
    <w:rsid w:val="005A3597"/>
    <w:rsid w:val="005A3725"/>
    <w:rsid w:val="005A575A"/>
    <w:rsid w:val="005A623B"/>
    <w:rsid w:val="005A67A9"/>
    <w:rsid w:val="005B0046"/>
    <w:rsid w:val="005B0921"/>
    <w:rsid w:val="005B19C9"/>
    <w:rsid w:val="005B326E"/>
    <w:rsid w:val="005B4BE0"/>
    <w:rsid w:val="005B58CA"/>
    <w:rsid w:val="005B5C99"/>
    <w:rsid w:val="005B6AFD"/>
    <w:rsid w:val="005B7BE4"/>
    <w:rsid w:val="005C030F"/>
    <w:rsid w:val="005C0951"/>
    <w:rsid w:val="005C1A6E"/>
    <w:rsid w:val="005C1AD2"/>
    <w:rsid w:val="005C3475"/>
    <w:rsid w:val="005C3B20"/>
    <w:rsid w:val="005C416D"/>
    <w:rsid w:val="005C5B78"/>
    <w:rsid w:val="005C67FA"/>
    <w:rsid w:val="005C6CF4"/>
    <w:rsid w:val="005C7AA9"/>
    <w:rsid w:val="005D0B8C"/>
    <w:rsid w:val="005D1331"/>
    <w:rsid w:val="005D2F65"/>
    <w:rsid w:val="005D318C"/>
    <w:rsid w:val="005D4B4B"/>
    <w:rsid w:val="005D6965"/>
    <w:rsid w:val="005E0F29"/>
    <w:rsid w:val="005E45A0"/>
    <w:rsid w:val="005E4745"/>
    <w:rsid w:val="005E52FF"/>
    <w:rsid w:val="005E6939"/>
    <w:rsid w:val="005E6D8E"/>
    <w:rsid w:val="005E6EC9"/>
    <w:rsid w:val="005E75A9"/>
    <w:rsid w:val="005F037F"/>
    <w:rsid w:val="005F2CCA"/>
    <w:rsid w:val="005F38EB"/>
    <w:rsid w:val="005F481F"/>
    <w:rsid w:val="005F482F"/>
    <w:rsid w:val="005F7BE7"/>
    <w:rsid w:val="00601AE9"/>
    <w:rsid w:val="0060201E"/>
    <w:rsid w:val="00611B47"/>
    <w:rsid w:val="006123ED"/>
    <w:rsid w:val="006137C5"/>
    <w:rsid w:val="00614CBB"/>
    <w:rsid w:val="00615654"/>
    <w:rsid w:val="006202AB"/>
    <w:rsid w:val="0062056A"/>
    <w:rsid w:val="0062143C"/>
    <w:rsid w:val="00621536"/>
    <w:rsid w:val="00622A8B"/>
    <w:rsid w:val="00623466"/>
    <w:rsid w:val="006246E4"/>
    <w:rsid w:val="006252DB"/>
    <w:rsid w:val="00625344"/>
    <w:rsid w:val="006262D1"/>
    <w:rsid w:val="00626502"/>
    <w:rsid w:val="00626744"/>
    <w:rsid w:val="00626D2A"/>
    <w:rsid w:val="00626EFB"/>
    <w:rsid w:val="00627403"/>
    <w:rsid w:val="00630B16"/>
    <w:rsid w:val="00632590"/>
    <w:rsid w:val="00633BA8"/>
    <w:rsid w:val="0063425D"/>
    <w:rsid w:val="00640080"/>
    <w:rsid w:val="0064069D"/>
    <w:rsid w:val="00640F0E"/>
    <w:rsid w:val="00641135"/>
    <w:rsid w:val="00641179"/>
    <w:rsid w:val="00641C60"/>
    <w:rsid w:val="006424A8"/>
    <w:rsid w:val="006426C7"/>
    <w:rsid w:val="00643133"/>
    <w:rsid w:val="00644194"/>
    <w:rsid w:val="00645549"/>
    <w:rsid w:val="00645619"/>
    <w:rsid w:val="00647644"/>
    <w:rsid w:val="006504B9"/>
    <w:rsid w:val="00650C17"/>
    <w:rsid w:val="00652270"/>
    <w:rsid w:val="006524D5"/>
    <w:rsid w:val="0065377E"/>
    <w:rsid w:val="00653EE7"/>
    <w:rsid w:val="006558A6"/>
    <w:rsid w:val="006560ED"/>
    <w:rsid w:val="0065763C"/>
    <w:rsid w:val="006576AB"/>
    <w:rsid w:val="00660177"/>
    <w:rsid w:val="00660E25"/>
    <w:rsid w:val="00664251"/>
    <w:rsid w:val="00664874"/>
    <w:rsid w:val="00664FB1"/>
    <w:rsid w:val="0066502A"/>
    <w:rsid w:val="00665724"/>
    <w:rsid w:val="00665816"/>
    <w:rsid w:val="00665C8C"/>
    <w:rsid w:val="00666ACD"/>
    <w:rsid w:val="006714C3"/>
    <w:rsid w:val="00671936"/>
    <w:rsid w:val="00671BA0"/>
    <w:rsid w:val="006725BE"/>
    <w:rsid w:val="006728D7"/>
    <w:rsid w:val="00673865"/>
    <w:rsid w:val="00675C6E"/>
    <w:rsid w:val="006762CB"/>
    <w:rsid w:val="00680A0E"/>
    <w:rsid w:val="00680BCE"/>
    <w:rsid w:val="00680ED3"/>
    <w:rsid w:val="00682866"/>
    <w:rsid w:val="0068375C"/>
    <w:rsid w:val="00685AF4"/>
    <w:rsid w:val="00685EE3"/>
    <w:rsid w:val="00686606"/>
    <w:rsid w:val="006877A3"/>
    <w:rsid w:val="00691333"/>
    <w:rsid w:val="0069137B"/>
    <w:rsid w:val="00692336"/>
    <w:rsid w:val="00692D14"/>
    <w:rsid w:val="00692D55"/>
    <w:rsid w:val="00694CFA"/>
    <w:rsid w:val="00695F7A"/>
    <w:rsid w:val="006962AA"/>
    <w:rsid w:val="006964E4"/>
    <w:rsid w:val="006A0E81"/>
    <w:rsid w:val="006A1051"/>
    <w:rsid w:val="006A210A"/>
    <w:rsid w:val="006A24AA"/>
    <w:rsid w:val="006A2E6C"/>
    <w:rsid w:val="006A69C6"/>
    <w:rsid w:val="006A70E7"/>
    <w:rsid w:val="006B25D4"/>
    <w:rsid w:val="006B345E"/>
    <w:rsid w:val="006B34D3"/>
    <w:rsid w:val="006B5E2C"/>
    <w:rsid w:val="006C03A8"/>
    <w:rsid w:val="006C0D86"/>
    <w:rsid w:val="006C1346"/>
    <w:rsid w:val="006C18BA"/>
    <w:rsid w:val="006C21B7"/>
    <w:rsid w:val="006C37D2"/>
    <w:rsid w:val="006C50ED"/>
    <w:rsid w:val="006C51DB"/>
    <w:rsid w:val="006C6A37"/>
    <w:rsid w:val="006C6C42"/>
    <w:rsid w:val="006C7470"/>
    <w:rsid w:val="006C7575"/>
    <w:rsid w:val="006D0744"/>
    <w:rsid w:val="006D0842"/>
    <w:rsid w:val="006D1C40"/>
    <w:rsid w:val="006D31F1"/>
    <w:rsid w:val="006D54C6"/>
    <w:rsid w:val="006D5FEB"/>
    <w:rsid w:val="006D64FC"/>
    <w:rsid w:val="006D6A56"/>
    <w:rsid w:val="006E051B"/>
    <w:rsid w:val="006E17BF"/>
    <w:rsid w:val="006E1804"/>
    <w:rsid w:val="006E24EF"/>
    <w:rsid w:val="006E2B1E"/>
    <w:rsid w:val="006E3B6A"/>
    <w:rsid w:val="006E4A34"/>
    <w:rsid w:val="006E5695"/>
    <w:rsid w:val="006F005A"/>
    <w:rsid w:val="006F0448"/>
    <w:rsid w:val="006F0D99"/>
    <w:rsid w:val="006F1B90"/>
    <w:rsid w:val="006F1EC7"/>
    <w:rsid w:val="006F2EBB"/>
    <w:rsid w:val="006F4115"/>
    <w:rsid w:val="006F52EF"/>
    <w:rsid w:val="00700BE5"/>
    <w:rsid w:val="0070289E"/>
    <w:rsid w:val="00702D5E"/>
    <w:rsid w:val="00702F89"/>
    <w:rsid w:val="00703A29"/>
    <w:rsid w:val="00703B2F"/>
    <w:rsid w:val="00705858"/>
    <w:rsid w:val="00705BE3"/>
    <w:rsid w:val="00706374"/>
    <w:rsid w:val="007066AB"/>
    <w:rsid w:val="0070720B"/>
    <w:rsid w:val="00707DE4"/>
    <w:rsid w:val="00707E78"/>
    <w:rsid w:val="007103BA"/>
    <w:rsid w:val="00712DAC"/>
    <w:rsid w:val="00714527"/>
    <w:rsid w:val="00715FE1"/>
    <w:rsid w:val="00716DB7"/>
    <w:rsid w:val="0071790A"/>
    <w:rsid w:val="00717ED1"/>
    <w:rsid w:val="007219B0"/>
    <w:rsid w:val="0072279F"/>
    <w:rsid w:val="00722BCD"/>
    <w:rsid w:val="0072433D"/>
    <w:rsid w:val="00725BBB"/>
    <w:rsid w:val="00726A26"/>
    <w:rsid w:val="007272B3"/>
    <w:rsid w:val="007278F7"/>
    <w:rsid w:val="007301E1"/>
    <w:rsid w:val="0073349A"/>
    <w:rsid w:val="007337D2"/>
    <w:rsid w:val="00735A3E"/>
    <w:rsid w:val="0074032B"/>
    <w:rsid w:val="00740662"/>
    <w:rsid w:val="007412DD"/>
    <w:rsid w:val="00742E13"/>
    <w:rsid w:val="00744B89"/>
    <w:rsid w:val="00745700"/>
    <w:rsid w:val="007473DA"/>
    <w:rsid w:val="007475DD"/>
    <w:rsid w:val="00747EF7"/>
    <w:rsid w:val="0075008B"/>
    <w:rsid w:val="00750A48"/>
    <w:rsid w:val="0075135E"/>
    <w:rsid w:val="007536C1"/>
    <w:rsid w:val="00756426"/>
    <w:rsid w:val="00756BBA"/>
    <w:rsid w:val="00760D87"/>
    <w:rsid w:val="00764761"/>
    <w:rsid w:val="007661DC"/>
    <w:rsid w:val="007674C8"/>
    <w:rsid w:val="007704FB"/>
    <w:rsid w:val="00770B74"/>
    <w:rsid w:val="00770BA6"/>
    <w:rsid w:val="00771010"/>
    <w:rsid w:val="00771514"/>
    <w:rsid w:val="00771EB7"/>
    <w:rsid w:val="00774FBA"/>
    <w:rsid w:val="007779E6"/>
    <w:rsid w:val="00781DCA"/>
    <w:rsid w:val="007820BE"/>
    <w:rsid w:val="00782E18"/>
    <w:rsid w:val="007860B8"/>
    <w:rsid w:val="007877B1"/>
    <w:rsid w:val="00790CA7"/>
    <w:rsid w:val="007910AC"/>
    <w:rsid w:val="00791301"/>
    <w:rsid w:val="0079251A"/>
    <w:rsid w:val="00793830"/>
    <w:rsid w:val="00794070"/>
    <w:rsid w:val="00794487"/>
    <w:rsid w:val="00795F4D"/>
    <w:rsid w:val="007969B7"/>
    <w:rsid w:val="007A0C48"/>
    <w:rsid w:val="007A0FBC"/>
    <w:rsid w:val="007A35A3"/>
    <w:rsid w:val="007A39BC"/>
    <w:rsid w:val="007A3E52"/>
    <w:rsid w:val="007A45FB"/>
    <w:rsid w:val="007A487E"/>
    <w:rsid w:val="007A48B9"/>
    <w:rsid w:val="007A5A4A"/>
    <w:rsid w:val="007B06C6"/>
    <w:rsid w:val="007B21ED"/>
    <w:rsid w:val="007B241B"/>
    <w:rsid w:val="007B3561"/>
    <w:rsid w:val="007B4409"/>
    <w:rsid w:val="007B6A2C"/>
    <w:rsid w:val="007B7A71"/>
    <w:rsid w:val="007C0D7E"/>
    <w:rsid w:val="007C1370"/>
    <w:rsid w:val="007C2AAE"/>
    <w:rsid w:val="007C30E7"/>
    <w:rsid w:val="007C3535"/>
    <w:rsid w:val="007C3985"/>
    <w:rsid w:val="007C3E83"/>
    <w:rsid w:val="007C5841"/>
    <w:rsid w:val="007C69D2"/>
    <w:rsid w:val="007D0843"/>
    <w:rsid w:val="007D10D9"/>
    <w:rsid w:val="007D19A2"/>
    <w:rsid w:val="007D35A2"/>
    <w:rsid w:val="007D4C18"/>
    <w:rsid w:val="007D4E57"/>
    <w:rsid w:val="007D63A1"/>
    <w:rsid w:val="007D7AB6"/>
    <w:rsid w:val="007D7CBC"/>
    <w:rsid w:val="007E089D"/>
    <w:rsid w:val="007E0AA7"/>
    <w:rsid w:val="007E0DEB"/>
    <w:rsid w:val="007E3D3C"/>
    <w:rsid w:val="007E5093"/>
    <w:rsid w:val="007E6626"/>
    <w:rsid w:val="007E6B64"/>
    <w:rsid w:val="007F0385"/>
    <w:rsid w:val="007F17D1"/>
    <w:rsid w:val="007F5011"/>
    <w:rsid w:val="007F6379"/>
    <w:rsid w:val="007F6D98"/>
    <w:rsid w:val="007F7135"/>
    <w:rsid w:val="00800FA2"/>
    <w:rsid w:val="00802DCE"/>
    <w:rsid w:val="00805872"/>
    <w:rsid w:val="00806DBD"/>
    <w:rsid w:val="008077A6"/>
    <w:rsid w:val="00807C73"/>
    <w:rsid w:val="00813BA9"/>
    <w:rsid w:val="00814E97"/>
    <w:rsid w:val="00816715"/>
    <w:rsid w:val="00817B41"/>
    <w:rsid w:val="0082040C"/>
    <w:rsid w:val="00821432"/>
    <w:rsid w:val="00821BC3"/>
    <w:rsid w:val="008220E8"/>
    <w:rsid w:val="0082277C"/>
    <w:rsid w:val="00824FFB"/>
    <w:rsid w:val="00825CA6"/>
    <w:rsid w:val="0082689E"/>
    <w:rsid w:val="008269F6"/>
    <w:rsid w:val="008270F4"/>
    <w:rsid w:val="00827D3C"/>
    <w:rsid w:val="00830E5F"/>
    <w:rsid w:val="0083198E"/>
    <w:rsid w:val="00831E52"/>
    <w:rsid w:val="00834095"/>
    <w:rsid w:val="00834728"/>
    <w:rsid w:val="008351B5"/>
    <w:rsid w:val="00835726"/>
    <w:rsid w:val="0083640C"/>
    <w:rsid w:val="00836CA0"/>
    <w:rsid w:val="00845860"/>
    <w:rsid w:val="00846C90"/>
    <w:rsid w:val="00846DEC"/>
    <w:rsid w:val="00847F17"/>
    <w:rsid w:val="00850702"/>
    <w:rsid w:val="00850D29"/>
    <w:rsid w:val="008525E4"/>
    <w:rsid w:val="00852DAC"/>
    <w:rsid w:val="00852EEB"/>
    <w:rsid w:val="008544AE"/>
    <w:rsid w:val="008545FA"/>
    <w:rsid w:val="00855B8F"/>
    <w:rsid w:val="00855CED"/>
    <w:rsid w:val="00855F37"/>
    <w:rsid w:val="00856974"/>
    <w:rsid w:val="00856CA2"/>
    <w:rsid w:val="00860506"/>
    <w:rsid w:val="00861229"/>
    <w:rsid w:val="00861AD8"/>
    <w:rsid w:val="00862375"/>
    <w:rsid w:val="00862F81"/>
    <w:rsid w:val="00863313"/>
    <w:rsid w:val="008638D3"/>
    <w:rsid w:val="00864E4C"/>
    <w:rsid w:val="0086559E"/>
    <w:rsid w:val="00865D40"/>
    <w:rsid w:val="00866CE2"/>
    <w:rsid w:val="00867E82"/>
    <w:rsid w:val="008705F2"/>
    <w:rsid w:val="008708B2"/>
    <w:rsid w:val="00872216"/>
    <w:rsid w:val="008738D0"/>
    <w:rsid w:val="00875632"/>
    <w:rsid w:val="00875AC8"/>
    <w:rsid w:val="00875E84"/>
    <w:rsid w:val="00877ACA"/>
    <w:rsid w:val="00881CA1"/>
    <w:rsid w:val="00882A03"/>
    <w:rsid w:val="00883D6A"/>
    <w:rsid w:val="00887931"/>
    <w:rsid w:val="008902DD"/>
    <w:rsid w:val="0089033C"/>
    <w:rsid w:val="0089134A"/>
    <w:rsid w:val="0089188D"/>
    <w:rsid w:val="00891E36"/>
    <w:rsid w:val="00895302"/>
    <w:rsid w:val="00895ADA"/>
    <w:rsid w:val="008967AD"/>
    <w:rsid w:val="00896AD2"/>
    <w:rsid w:val="008A14A6"/>
    <w:rsid w:val="008A154A"/>
    <w:rsid w:val="008A1A47"/>
    <w:rsid w:val="008A1CB5"/>
    <w:rsid w:val="008A214F"/>
    <w:rsid w:val="008A258E"/>
    <w:rsid w:val="008A4851"/>
    <w:rsid w:val="008A6943"/>
    <w:rsid w:val="008A6CAC"/>
    <w:rsid w:val="008B02E8"/>
    <w:rsid w:val="008B2054"/>
    <w:rsid w:val="008B2449"/>
    <w:rsid w:val="008B33D2"/>
    <w:rsid w:val="008B59BB"/>
    <w:rsid w:val="008B5ED4"/>
    <w:rsid w:val="008B6DD0"/>
    <w:rsid w:val="008B71F5"/>
    <w:rsid w:val="008B7700"/>
    <w:rsid w:val="008C0407"/>
    <w:rsid w:val="008C1FED"/>
    <w:rsid w:val="008C32A8"/>
    <w:rsid w:val="008C3431"/>
    <w:rsid w:val="008C3E90"/>
    <w:rsid w:val="008C47EC"/>
    <w:rsid w:val="008C54B0"/>
    <w:rsid w:val="008C55DA"/>
    <w:rsid w:val="008C6143"/>
    <w:rsid w:val="008C764E"/>
    <w:rsid w:val="008D16F5"/>
    <w:rsid w:val="008D375C"/>
    <w:rsid w:val="008D38F0"/>
    <w:rsid w:val="008D5BCD"/>
    <w:rsid w:val="008D618C"/>
    <w:rsid w:val="008D7B35"/>
    <w:rsid w:val="008E0C92"/>
    <w:rsid w:val="008E51E0"/>
    <w:rsid w:val="008E5523"/>
    <w:rsid w:val="008E59E7"/>
    <w:rsid w:val="008E5D30"/>
    <w:rsid w:val="008F260E"/>
    <w:rsid w:val="008F3016"/>
    <w:rsid w:val="008F42DA"/>
    <w:rsid w:val="008F7169"/>
    <w:rsid w:val="00901130"/>
    <w:rsid w:val="009032F8"/>
    <w:rsid w:val="009034AE"/>
    <w:rsid w:val="0090364C"/>
    <w:rsid w:val="00904881"/>
    <w:rsid w:val="00904A55"/>
    <w:rsid w:val="00905266"/>
    <w:rsid w:val="009069B0"/>
    <w:rsid w:val="0091191B"/>
    <w:rsid w:val="00911F13"/>
    <w:rsid w:val="0091263B"/>
    <w:rsid w:val="009128F1"/>
    <w:rsid w:val="00912F9B"/>
    <w:rsid w:val="00913FD8"/>
    <w:rsid w:val="00914D2E"/>
    <w:rsid w:val="0091564E"/>
    <w:rsid w:val="00915B37"/>
    <w:rsid w:val="00917A78"/>
    <w:rsid w:val="00921614"/>
    <w:rsid w:val="00922F3A"/>
    <w:rsid w:val="00923739"/>
    <w:rsid w:val="00924AB4"/>
    <w:rsid w:val="009253C6"/>
    <w:rsid w:val="00926389"/>
    <w:rsid w:val="00927739"/>
    <w:rsid w:val="00927E30"/>
    <w:rsid w:val="00930109"/>
    <w:rsid w:val="00931A80"/>
    <w:rsid w:val="009346D6"/>
    <w:rsid w:val="00935F76"/>
    <w:rsid w:val="00936D5C"/>
    <w:rsid w:val="00937DC2"/>
    <w:rsid w:val="00940098"/>
    <w:rsid w:val="009412D4"/>
    <w:rsid w:val="009420C1"/>
    <w:rsid w:val="009421E7"/>
    <w:rsid w:val="00944934"/>
    <w:rsid w:val="00951053"/>
    <w:rsid w:val="00951994"/>
    <w:rsid w:val="00953E8F"/>
    <w:rsid w:val="00954286"/>
    <w:rsid w:val="009543BF"/>
    <w:rsid w:val="0095496F"/>
    <w:rsid w:val="00955496"/>
    <w:rsid w:val="00955CD6"/>
    <w:rsid w:val="00956E7B"/>
    <w:rsid w:val="00956E8D"/>
    <w:rsid w:val="00964EA5"/>
    <w:rsid w:val="009668D4"/>
    <w:rsid w:val="0096752D"/>
    <w:rsid w:val="00967C74"/>
    <w:rsid w:val="0097016D"/>
    <w:rsid w:val="00970504"/>
    <w:rsid w:val="00970B16"/>
    <w:rsid w:val="00971D1C"/>
    <w:rsid w:val="00971ED4"/>
    <w:rsid w:val="0097266F"/>
    <w:rsid w:val="00973298"/>
    <w:rsid w:val="00975AD6"/>
    <w:rsid w:val="00975EC2"/>
    <w:rsid w:val="009805F2"/>
    <w:rsid w:val="00980778"/>
    <w:rsid w:val="009824F4"/>
    <w:rsid w:val="00982793"/>
    <w:rsid w:val="009833F9"/>
    <w:rsid w:val="0098442F"/>
    <w:rsid w:val="00985AFE"/>
    <w:rsid w:val="00986520"/>
    <w:rsid w:val="009910F5"/>
    <w:rsid w:val="00992398"/>
    <w:rsid w:val="00992823"/>
    <w:rsid w:val="00992889"/>
    <w:rsid w:val="00994F80"/>
    <w:rsid w:val="00995A78"/>
    <w:rsid w:val="0099604E"/>
    <w:rsid w:val="00996747"/>
    <w:rsid w:val="00996947"/>
    <w:rsid w:val="0099735E"/>
    <w:rsid w:val="009A0D86"/>
    <w:rsid w:val="009A2D6A"/>
    <w:rsid w:val="009A402B"/>
    <w:rsid w:val="009A5AF0"/>
    <w:rsid w:val="009A71E6"/>
    <w:rsid w:val="009A766C"/>
    <w:rsid w:val="009A7F8E"/>
    <w:rsid w:val="009B0C1B"/>
    <w:rsid w:val="009B2819"/>
    <w:rsid w:val="009B3C43"/>
    <w:rsid w:val="009B4185"/>
    <w:rsid w:val="009B55E5"/>
    <w:rsid w:val="009B63DD"/>
    <w:rsid w:val="009B720E"/>
    <w:rsid w:val="009B73AF"/>
    <w:rsid w:val="009C4DA5"/>
    <w:rsid w:val="009C50F9"/>
    <w:rsid w:val="009C594D"/>
    <w:rsid w:val="009C656C"/>
    <w:rsid w:val="009C76AA"/>
    <w:rsid w:val="009D005B"/>
    <w:rsid w:val="009D05A4"/>
    <w:rsid w:val="009D080C"/>
    <w:rsid w:val="009D1247"/>
    <w:rsid w:val="009D13F8"/>
    <w:rsid w:val="009D1D61"/>
    <w:rsid w:val="009D2EB9"/>
    <w:rsid w:val="009D3798"/>
    <w:rsid w:val="009D4CD1"/>
    <w:rsid w:val="009D5686"/>
    <w:rsid w:val="009D72B3"/>
    <w:rsid w:val="009D7B85"/>
    <w:rsid w:val="009E0BF0"/>
    <w:rsid w:val="009E1077"/>
    <w:rsid w:val="009E1C24"/>
    <w:rsid w:val="009E1E82"/>
    <w:rsid w:val="009E250C"/>
    <w:rsid w:val="009E31DD"/>
    <w:rsid w:val="009E512F"/>
    <w:rsid w:val="009E6E7F"/>
    <w:rsid w:val="009E7EFD"/>
    <w:rsid w:val="009F0357"/>
    <w:rsid w:val="009F3754"/>
    <w:rsid w:val="009F43F4"/>
    <w:rsid w:val="009F47F8"/>
    <w:rsid w:val="009F5503"/>
    <w:rsid w:val="009F5761"/>
    <w:rsid w:val="009F5BB1"/>
    <w:rsid w:val="009F6E7E"/>
    <w:rsid w:val="009F704B"/>
    <w:rsid w:val="009F7573"/>
    <w:rsid w:val="00A02056"/>
    <w:rsid w:val="00A0253E"/>
    <w:rsid w:val="00A02A37"/>
    <w:rsid w:val="00A032F8"/>
    <w:rsid w:val="00A03C21"/>
    <w:rsid w:val="00A0781F"/>
    <w:rsid w:val="00A07B4A"/>
    <w:rsid w:val="00A10442"/>
    <w:rsid w:val="00A1059C"/>
    <w:rsid w:val="00A11F59"/>
    <w:rsid w:val="00A13C50"/>
    <w:rsid w:val="00A14C9A"/>
    <w:rsid w:val="00A154F9"/>
    <w:rsid w:val="00A16FDF"/>
    <w:rsid w:val="00A2098C"/>
    <w:rsid w:val="00A21126"/>
    <w:rsid w:val="00A2166B"/>
    <w:rsid w:val="00A216E0"/>
    <w:rsid w:val="00A22306"/>
    <w:rsid w:val="00A2354D"/>
    <w:rsid w:val="00A2409D"/>
    <w:rsid w:val="00A2429B"/>
    <w:rsid w:val="00A242B3"/>
    <w:rsid w:val="00A245CD"/>
    <w:rsid w:val="00A2574D"/>
    <w:rsid w:val="00A27A18"/>
    <w:rsid w:val="00A27FA6"/>
    <w:rsid w:val="00A301F4"/>
    <w:rsid w:val="00A306CF"/>
    <w:rsid w:val="00A309F2"/>
    <w:rsid w:val="00A30C9A"/>
    <w:rsid w:val="00A3173E"/>
    <w:rsid w:val="00A32355"/>
    <w:rsid w:val="00A3515C"/>
    <w:rsid w:val="00A35675"/>
    <w:rsid w:val="00A3713D"/>
    <w:rsid w:val="00A37157"/>
    <w:rsid w:val="00A377D9"/>
    <w:rsid w:val="00A40879"/>
    <w:rsid w:val="00A40DEF"/>
    <w:rsid w:val="00A41213"/>
    <w:rsid w:val="00A420C8"/>
    <w:rsid w:val="00A424C0"/>
    <w:rsid w:val="00A4284A"/>
    <w:rsid w:val="00A42EF1"/>
    <w:rsid w:val="00A43C2C"/>
    <w:rsid w:val="00A451AF"/>
    <w:rsid w:val="00A46C00"/>
    <w:rsid w:val="00A46FC3"/>
    <w:rsid w:val="00A477FF"/>
    <w:rsid w:val="00A5066A"/>
    <w:rsid w:val="00A522DB"/>
    <w:rsid w:val="00A52A99"/>
    <w:rsid w:val="00A53368"/>
    <w:rsid w:val="00A54A4A"/>
    <w:rsid w:val="00A5532D"/>
    <w:rsid w:val="00A55991"/>
    <w:rsid w:val="00A56490"/>
    <w:rsid w:val="00A56D4E"/>
    <w:rsid w:val="00A5725D"/>
    <w:rsid w:val="00A60208"/>
    <w:rsid w:val="00A60C5A"/>
    <w:rsid w:val="00A6171E"/>
    <w:rsid w:val="00A61A0B"/>
    <w:rsid w:val="00A61A83"/>
    <w:rsid w:val="00A61D25"/>
    <w:rsid w:val="00A63793"/>
    <w:rsid w:val="00A638E4"/>
    <w:rsid w:val="00A66C7A"/>
    <w:rsid w:val="00A70F93"/>
    <w:rsid w:val="00A712AC"/>
    <w:rsid w:val="00A803DA"/>
    <w:rsid w:val="00A80C42"/>
    <w:rsid w:val="00A8237E"/>
    <w:rsid w:val="00A83DE1"/>
    <w:rsid w:val="00A83E4D"/>
    <w:rsid w:val="00A84B1E"/>
    <w:rsid w:val="00A85DD7"/>
    <w:rsid w:val="00A86A28"/>
    <w:rsid w:val="00A87F69"/>
    <w:rsid w:val="00A900FF"/>
    <w:rsid w:val="00A90361"/>
    <w:rsid w:val="00A911C4"/>
    <w:rsid w:val="00A91240"/>
    <w:rsid w:val="00A9203E"/>
    <w:rsid w:val="00A921F4"/>
    <w:rsid w:val="00A93913"/>
    <w:rsid w:val="00A93B9B"/>
    <w:rsid w:val="00A9541C"/>
    <w:rsid w:val="00A963F0"/>
    <w:rsid w:val="00A967A1"/>
    <w:rsid w:val="00AA11B6"/>
    <w:rsid w:val="00AA44DB"/>
    <w:rsid w:val="00AA4FD7"/>
    <w:rsid w:val="00AA6518"/>
    <w:rsid w:val="00AA6775"/>
    <w:rsid w:val="00AB02B1"/>
    <w:rsid w:val="00AB1EF1"/>
    <w:rsid w:val="00AB207A"/>
    <w:rsid w:val="00AB2F7E"/>
    <w:rsid w:val="00AB4410"/>
    <w:rsid w:val="00AB6706"/>
    <w:rsid w:val="00AB6C71"/>
    <w:rsid w:val="00AB7455"/>
    <w:rsid w:val="00AB7C94"/>
    <w:rsid w:val="00AC1B0B"/>
    <w:rsid w:val="00AC1C76"/>
    <w:rsid w:val="00AC22A2"/>
    <w:rsid w:val="00AC4038"/>
    <w:rsid w:val="00AC4CE4"/>
    <w:rsid w:val="00AC4EC3"/>
    <w:rsid w:val="00AC5CF3"/>
    <w:rsid w:val="00AC6805"/>
    <w:rsid w:val="00AC7016"/>
    <w:rsid w:val="00AC7345"/>
    <w:rsid w:val="00AD1C28"/>
    <w:rsid w:val="00AD3212"/>
    <w:rsid w:val="00AD5086"/>
    <w:rsid w:val="00AD5374"/>
    <w:rsid w:val="00AD6A19"/>
    <w:rsid w:val="00AE09DB"/>
    <w:rsid w:val="00AE13FA"/>
    <w:rsid w:val="00AE23D5"/>
    <w:rsid w:val="00AE48AC"/>
    <w:rsid w:val="00AE4A2B"/>
    <w:rsid w:val="00AE518C"/>
    <w:rsid w:val="00AE67E8"/>
    <w:rsid w:val="00AE79F8"/>
    <w:rsid w:val="00AF029D"/>
    <w:rsid w:val="00AF1EB3"/>
    <w:rsid w:val="00AF5343"/>
    <w:rsid w:val="00AF53AB"/>
    <w:rsid w:val="00AF5CB7"/>
    <w:rsid w:val="00B005BE"/>
    <w:rsid w:val="00B036FF"/>
    <w:rsid w:val="00B041C6"/>
    <w:rsid w:val="00B04D62"/>
    <w:rsid w:val="00B05198"/>
    <w:rsid w:val="00B055E7"/>
    <w:rsid w:val="00B07A62"/>
    <w:rsid w:val="00B07B63"/>
    <w:rsid w:val="00B1020B"/>
    <w:rsid w:val="00B10A7B"/>
    <w:rsid w:val="00B118E7"/>
    <w:rsid w:val="00B128BE"/>
    <w:rsid w:val="00B13284"/>
    <w:rsid w:val="00B15BBE"/>
    <w:rsid w:val="00B16EBE"/>
    <w:rsid w:val="00B173C1"/>
    <w:rsid w:val="00B1785A"/>
    <w:rsid w:val="00B20D02"/>
    <w:rsid w:val="00B21A8D"/>
    <w:rsid w:val="00B23C83"/>
    <w:rsid w:val="00B25630"/>
    <w:rsid w:val="00B2609B"/>
    <w:rsid w:val="00B2705F"/>
    <w:rsid w:val="00B27D3B"/>
    <w:rsid w:val="00B303BE"/>
    <w:rsid w:val="00B309E2"/>
    <w:rsid w:val="00B30E99"/>
    <w:rsid w:val="00B33C94"/>
    <w:rsid w:val="00B349E2"/>
    <w:rsid w:val="00B34D24"/>
    <w:rsid w:val="00B37B12"/>
    <w:rsid w:val="00B41A48"/>
    <w:rsid w:val="00B4202E"/>
    <w:rsid w:val="00B42376"/>
    <w:rsid w:val="00B42610"/>
    <w:rsid w:val="00B426CD"/>
    <w:rsid w:val="00B45B39"/>
    <w:rsid w:val="00B4648C"/>
    <w:rsid w:val="00B50702"/>
    <w:rsid w:val="00B51B99"/>
    <w:rsid w:val="00B520A2"/>
    <w:rsid w:val="00B52558"/>
    <w:rsid w:val="00B53D2B"/>
    <w:rsid w:val="00B55675"/>
    <w:rsid w:val="00B55683"/>
    <w:rsid w:val="00B55B15"/>
    <w:rsid w:val="00B55B53"/>
    <w:rsid w:val="00B55B73"/>
    <w:rsid w:val="00B56CBC"/>
    <w:rsid w:val="00B601AD"/>
    <w:rsid w:val="00B6021C"/>
    <w:rsid w:val="00B6258F"/>
    <w:rsid w:val="00B63FF1"/>
    <w:rsid w:val="00B65219"/>
    <w:rsid w:val="00B65D0B"/>
    <w:rsid w:val="00B66C6C"/>
    <w:rsid w:val="00B6711F"/>
    <w:rsid w:val="00B673C6"/>
    <w:rsid w:val="00B67DBF"/>
    <w:rsid w:val="00B70704"/>
    <w:rsid w:val="00B720E9"/>
    <w:rsid w:val="00B738E5"/>
    <w:rsid w:val="00B73CA3"/>
    <w:rsid w:val="00B74111"/>
    <w:rsid w:val="00B7414C"/>
    <w:rsid w:val="00B7438C"/>
    <w:rsid w:val="00B743E9"/>
    <w:rsid w:val="00B75433"/>
    <w:rsid w:val="00B76E26"/>
    <w:rsid w:val="00B80517"/>
    <w:rsid w:val="00B80F10"/>
    <w:rsid w:val="00B818AE"/>
    <w:rsid w:val="00B82226"/>
    <w:rsid w:val="00B8522C"/>
    <w:rsid w:val="00B85B81"/>
    <w:rsid w:val="00B85E6B"/>
    <w:rsid w:val="00B85FC7"/>
    <w:rsid w:val="00B8624E"/>
    <w:rsid w:val="00B91440"/>
    <w:rsid w:val="00B94817"/>
    <w:rsid w:val="00B94C26"/>
    <w:rsid w:val="00B95663"/>
    <w:rsid w:val="00B96B45"/>
    <w:rsid w:val="00B97202"/>
    <w:rsid w:val="00BA5670"/>
    <w:rsid w:val="00BB126E"/>
    <w:rsid w:val="00BB1437"/>
    <w:rsid w:val="00BB2182"/>
    <w:rsid w:val="00BB2FAA"/>
    <w:rsid w:val="00BB30CD"/>
    <w:rsid w:val="00BB3A50"/>
    <w:rsid w:val="00BB3CE8"/>
    <w:rsid w:val="00BB4318"/>
    <w:rsid w:val="00BB4BB5"/>
    <w:rsid w:val="00BB62EB"/>
    <w:rsid w:val="00BB7347"/>
    <w:rsid w:val="00BB7DB2"/>
    <w:rsid w:val="00BC11BE"/>
    <w:rsid w:val="00BC192E"/>
    <w:rsid w:val="00BC2798"/>
    <w:rsid w:val="00BC405D"/>
    <w:rsid w:val="00BC4825"/>
    <w:rsid w:val="00BC6367"/>
    <w:rsid w:val="00BC73AD"/>
    <w:rsid w:val="00BC75D0"/>
    <w:rsid w:val="00BD0FA2"/>
    <w:rsid w:val="00BD16CB"/>
    <w:rsid w:val="00BD1E62"/>
    <w:rsid w:val="00BD2573"/>
    <w:rsid w:val="00BD4317"/>
    <w:rsid w:val="00BD4FA7"/>
    <w:rsid w:val="00BD60DA"/>
    <w:rsid w:val="00BE0697"/>
    <w:rsid w:val="00BE0948"/>
    <w:rsid w:val="00BE0D9B"/>
    <w:rsid w:val="00BE1606"/>
    <w:rsid w:val="00BE1C5D"/>
    <w:rsid w:val="00BE21AF"/>
    <w:rsid w:val="00BE2363"/>
    <w:rsid w:val="00BF0202"/>
    <w:rsid w:val="00BF14DA"/>
    <w:rsid w:val="00BF17D2"/>
    <w:rsid w:val="00BF2D91"/>
    <w:rsid w:val="00BF4CE4"/>
    <w:rsid w:val="00BF4D82"/>
    <w:rsid w:val="00BF6047"/>
    <w:rsid w:val="00BF7ADA"/>
    <w:rsid w:val="00C002DB"/>
    <w:rsid w:val="00C00726"/>
    <w:rsid w:val="00C01EF5"/>
    <w:rsid w:val="00C01F1E"/>
    <w:rsid w:val="00C02529"/>
    <w:rsid w:val="00C02E29"/>
    <w:rsid w:val="00C04334"/>
    <w:rsid w:val="00C045D3"/>
    <w:rsid w:val="00C04677"/>
    <w:rsid w:val="00C0506A"/>
    <w:rsid w:val="00C052B1"/>
    <w:rsid w:val="00C063F3"/>
    <w:rsid w:val="00C100E0"/>
    <w:rsid w:val="00C1036B"/>
    <w:rsid w:val="00C11853"/>
    <w:rsid w:val="00C12A53"/>
    <w:rsid w:val="00C12D13"/>
    <w:rsid w:val="00C1346B"/>
    <w:rsid w:val="00C138DB"/>
    <w:rsid w:val="00C14039"/>
    <w:rsid w:val="00C14247"/>
    <w:rsid w:val="00C1462E"/>
    <w:rsid w:val="00C1679A"/>
    <w:rsid w:val="00C17469"/>
    <w:rsid w:val="00C17D54"/>
    <w:rsid w:val="00C22699"/>
    <w:rsid w:val="00C22CE6"/>
    <w:rsid w:val="00C22D97"/>
    <w:rsid w:val="00C253A2"/>
    <w:rsid w:val="00C25BA8"/>
    <w:rsid w:val="00C276F9"/>
    <w:rsid w:val="00C31CF1"/>
    <w:rsid w:val="00C3308B"/>
    <w:rsid w:val="00C348C5"/>
    <w:rsid w:val="00C358F8"/>
    <w:rsid w:val="00C35B22"/>
    <w:rsid w:val="00C35CFF"/>
    <w:rsid w:val="00C36EF8"/>
    <w:rsid w:val="00C40AA4"/>
    <w:rsid w:val="00C41A6F"/>
    <w:rsid w:val="00C43613"/>
    <w:rsid w:val="00C444C8"/>
    <w:rsid w:val="00C45157"/>
    <w:rsid w:val="00C46780"/>
    <w:rsid w:val="00C46900"/>
    <w:rsid w:val="00C50BAE"/>
    <w:rsid w:val="00C51B4F"/>
    <w:rsid w:val="00C52E8C"/>
    <w:rsid w:val="00C53259"/>
    <w:rsid w:val="00C536FB"/>
    <w:rsid w:val="00C5470E"/>
    <w:rsid w:val="00C54D33"/>
    <w:rsid w:val="00C54F8E"/>
    <w:rsid w:val="00C54FA1"/>
    <w:rsid w:val="00C566D2"/>
    <w:rsid w:val="00C57843"/>
    <w:rsid w:val="00C60C72"/>
    <w:rsid w:val="00C61B55"/>
    <w:rsid w:val="00C61F30"/>
    <w:rsid w:val="00C62853"/>
    <w:rsid w:val="00C62F55"/>
    <w:rsid w:val="00C63BA0"/>
    <w:rsid w:val="00C63CEA"/>
    <w:rsid w:val="00C65272"/>
    <w:rsid w:val="00C6563B"/>
    <w:rsid w:val="00C66BA0"/>
    <w:rsid w:val="00C67676"/>
    <w:rsid w:val="00C70570"/>
    <w:rsid w:val="00C7117F"/>
    <w:rsid w:val="00C7119B"/>
    <w:rsid w:val="00C7130E"/>
    <w:rsid w:val="00C72972"/>
    <w:rsid w:val="00C72B1C"/>
    <w:rsid w:val="00C7508A"/>
    <w:rsid w:val="00C7665C"/>
    <w:rsid w:val="00C82CFF"/>
    <w:rsid w:val="00C8328E"/>
    <w:rsid w:val="00C83E5B"/>
    <w:rsid w:val="00C84583"/>
    <w:rsid w:val="00C850DF"/>
    <w:rsid w:val="00C86642"/>
    <w:rsid w:val="00C866A9"/>
    <w:rsid w:val="00C87493"/>
    <w:rsid w:val="00C87D5B"/>
    <w:rsid w:val="00C90B42"/>
    <w:rsid w:val="00C922A8"/>
    <w:rsid w:val="00C92874"/>
    <w:rsid w:val="00C93EFA"/>
    <w:rsid w:val="00C95562"/>
    <w:rsid w:val="00C96AC0"/>
    <w:rsid w:val="00C97836"/>
    <w:rsid w:val="00C97C98"/>
    <w:rsid w:val="00CA17DB"/>
    <w:rsid w:val="00CA501E"/>
    <w:rsid w:val="00CA5625"/>
    <w:rsid w:val="00CA621C"/>
    <w:rsid w:val="00CA6537"/>
    <w:rsid w:val="00CA746B"/>
    <w:rsid w:val="00CA7546"/>
    <w:rsid w:val="00CA7D93"/>
    <w:rsid w:val="00CB012F"/>
    <w:rsid w:val="00CB2B13"/>
    <w:rsid w:val="00CB3665"/>
    <w:rsid w:val="00CB567C"/>
    <w:rsid w:val="00CB690C"/>
    <w:rsid w:val="00CB7096"/>
    <w:rsid w:val="00CB785E"/>
    <w:rsid w:val="00CC04B8"/>
    <w:rsid w:val="00CC0E47"/>
    <w:rsid w:val="00CC3215"/>
    <w:rsid w:val="00CC33B6"/>
    <w:rsid w:val="00CC4C91"/>
    <w:rsid w:val="00CD027F"/>
    <w:rsid w:val="00CD0530"/>
    <w:rsid w:val="00CD0C2C"/>
    <w:rsid w:val="00CD1002"/>
    <w:rsid w:val="00CD4939"/>
    <w:rsid w:val="00CD52E5"/>
    <w:rsid w:val="00CD69A2"/>
    <w:rsid w:val="00CE07AF"/>
    <w:rsid w:val="00CE11A4"/>
    <w:rsid w:val="00CE4980"/>
    <w:rsid w:val="00CE641E"/>
    <w:rsid w:val="00CE6C3E"/>
    <w:rsid w:val="00CE7CA1"/>
    <w:rsid w:val="00CF06C1"/>
    <w:rsid w:val="00CF1366"/>
    <w:rsid w:val="00CF17DA"/>
    <w:rsid w:val="00CF1899"/>
    <w:rsid w:val="00CF1EBC"/>
    <w:rsid w:val="00CF251B"/>
    <w:rsid w:val="00CF29AD"/>
    <w:rsid w:val="00CF2BF8"/>
    <w:rsid w:val="00CF4FE1"/>
    <w:rsid w:val="00CF500D"/>
    <w:rsid w:val="00CF5532"/>
    <w:rsid w:val="00CF727C"/>
    <w:rsid w:val="00D00B11"/>
    <w:rsid w:val="00D01765"/>
    <w:rsid w:val="00D01A4F"/>
    <w:rsid w:val="00D01AAA"/>
    <w:rsid w:val="00D020CE"/>
    <w:rsid w:val="00D05338"/>
    <w:rsid w:val="00D0547F"/>
    <w:rsid w:val="00D07212"/>
    <w:rsid w:val="00D07345"/>
    <w:rsid w:val="00D07957"/>
    <w:rsid w:val="00D10206"/>
    <w:rsid w:val="00D11491"/>
    <w:rsid w:val="00D11869"/>
    <w:rsid w:val="00D12D06"/>
    <w:rsid w:val="00D133F5"/>
    <w:rsid w:val="00D13D18"/>
    <w:rsid w:val="00D1537F"/>
    <w:rsid w:val="00D16F7F"/>
    <w:rsid w:val="00D21E37"/>
    <w:rsid w:val="00D23CC2"/>
    <w:rsid w:val="00D245F0"/>
    <w:rsid w:val="00D24841"/>
    <w:rsid w:val="00D25C91"/>
    <w:rsid w:val="00D26492"/>
    <w:rsid w:val="00D30228"/>
    <w:rsid w:val="00D32808"/>
    <w:rsid w:val="00D32D02"/>
    <w:rsid w:val="00D34280"/>
    <w:rsid w:val="00D353BA"/>
    <w:rsid w:val="00D36617"/>
    <w:rsid w:val="00D40135"/>
    <w:rsid w:val="00D421B3"/>
    <w:rsid w:val="00D42D3F"/>
    <w:rsid w:val="00D47303"/>
    <w:rsid w:val="00D50431"/>
    <w:rsid w:val="00D520EB"/>
    <w:rsid w:val="00D52D36"/>
    <w:rsid w:val="00D53234"/>
    <w:rsid w:val="00D600FA"/>
    <w:rsid w:val="00D60921"/>
    <w:rsid w:val="00D62FD6"/>
    <w:rsid w:val="00D63DC2"/>
    <w:rsid w:val="00D64DFA"/>
    <w:rsid w:val="00D66191"/>
    <w:rsid w:val="00D66C45"/>
    <w:rsid w:val="00D70D7D"/>
    <w:rsid w:val="00D73C84"/>
    <w:rsid w:val="00D74275"/>
    <w:rsid w:val="00D752EB"/>
    <w:rsid w:val="00D758BB"/>
    <w:rsid w:val="00D75991"/>
    <w:rsid w:val="00D76E90"/>
    <w:rsid w:val="00D77295"/>
    <w:rsid w:val="00D80C4C"/>
    <w:rsid w:val="00D826A1"/>
    <w:rsid w:val="00D83FA4"/>
    <w:rsid w:val="00D84827"/>
    <w:rsid w:val="00D85B69"/>
    <w:rsid w:val="00D86745"/>
    <w:rsid w:val="00D87337"/>
    <w:rsid w:val="00D876FD"/>
    <w:rsid w:val="00D87930"/>
    <w:rsid w:val="00D90618"/>
    <w:rsid w:val="00D90E8A"/>
    <w:rsid w:val="00D920EE"/>
    <w:rsid w:val="00D943C7"/>
    <w:rsid w:val="00D94B40"/>
    <w:rsid w:val="00D94C7D"/>
    <w:rsid w:val="00D969F6"/>
    <w:rsid w:val="00D970C1"/>
    <w:rsid w:val="00D97ADA"/>
    <w:rsid w:val="00D97DA8"/>
    <w:rsid w:val="00D97FE1"/>
    <w:rsid w:val="00DA01F5"/>
    <w:rsid w:val="00DA0D2D"/>
    <w:rsid w:val="00DA2311"/>
    <w:rsid w:val="00DA2630"/>
    <w:rsid w:val="00DA57AE"/>
    <w:rsid w:val="00DA5E6D"/>
    <w:rsid w:val="00DA6821"/>
    <w:rsid w:val="00DA7E5B"/>
    <w:rsid w:val="00DB16FA"/>
    <w:rsid w:val="00DB23F5"/>
    <w:rsid w:val="00DB2ECE"/>
    <w:rsid w:val="00DB2F5B"/>
    <w:rsid w:val="00DB2F74"/>
    <w:rsid w:val="00DB32EA"/>
    <w:rsid w:val="00DB386A"/>
    <w:rsid w:val="00DB5827"/>
    <w:rsid w:val="00DB63BF"/>
    <w:rsid w:val="00DB6D0D"/>
    <w:rsid w:val="00DB738B"/>
    <w:rsid w:val="00DB7703"/>
    <w:rsid w:val="00DC0A99"/>
    <w:rsid w:val="00DC24B4"/>
    <w:rsid w:val="00DC6914"/>
    <w:rsid w:val="00DC6DAC"/>
    <w:rsid w:val="00DC6E05"/>
    <w:rsid w:val="00DD1982"/>
    <w:rsid w:val="00DD3493"/>
    <w:rsid w:val="00DD3CAF"/>
    <w:rsid w:val="00DD4177"/>
    <w:rsid w:val="00DD4F58"/>
    <w:rsid w:val="00DD6C2E"/>
    <w:rsid w:val="00DE0CE5"/>
    <w:rsid w:val="00DE0E40"/>
    <w:rsid w:val="00DE1338"/>
    <w:rsid w:val="00DE2F0A"/>
    <w:rsid w:val="00DE3662"/>
    <w:rsid w:val="00DE3D2A"/>
    <w:rsid w:val="00DE43D8"/>
    <w:rsid w:val="00DE4503"/>
    <w:rsid w:val="00DE452E"/>
    <w:rsid w:val="00DE663C"/>
    <w:rsid w:val="00DE67E1"/>
    <w:rsid w:val="00DF021D"/>
    <w:rsid w:val="00DF39EE"/>
    <w:rsid w:val="00DF5624"/>
    <w:rsid w:val="00DF670C"/>
    <w:rsid w:val="00DF7F75"/>
    <w:rsid w:val="00E00541"/>
    <w:rsid w:val="00E0172C"/>
    <w:rsid w:val="00E03B32"/>
    <w:rsid w:val="00E04EE6"/>
    <w:rsid w:val="00E05699"/>
    <w:rsid w:val="00E05AD0"/>
    <w:rsid w:val="00E06E47"/>
    <w:rsid w:val="00E071FC"/>
    <w:rsid w:val="00E07875"/>
    <w:rsid w:val="00E10B57"/>
    <w:rsid w:val="00E10C0D"/>
    <w:rsid w:val="00E1147D"/>
    <w:rsid w:val="00E1154C"/>
    <w:rsid w:val="00E116FC"/>
    <w:rsid w:val="00E1341D"/>
    <w:rsid w:val="00E14426"/>
    <w:rsid w:val="00E218E1"/>
    <w:rsid w:val="00E22598"/>
    <w:rsid w:val="00E22995"/>
    <w:rsid w:val="00E24AD2"/>
    <w:rsid w:val="00E277E9"/>
    <w:rsid w:val="00E27F34"/>
    <w:rsid w:val="00E3025E"/>
    <w:rsid w:val="00E30FFB"/>
    <w:rsid w:val="00E32A5F"/>
    <w:rsid w:val="00E32BB8"/>
    <w:rsid w:val="00E33168"/>
    <w:rsid w:val="00E33AAF"/>
    <w:rsid w:val="00E33F46"/>
    <w:rsid w:val="00E35653"/>
    <w:rsid w:val="00E35DFA"/>
    <w:rsid w:val="00E42306"/>
    <w:rsid w:val="00E427BF"/>
    <w:rsid w:val="00E43860"/>
    <w:rsid w:val="00E43D3A"/>
    <w:rsid w:val="00E451C1"/>
    <w:rsid w:val="00E46281"/>
    <w:rsid w:val="00E470A3"/>
    <w:rsid w:val="00E47893"/>
    <w:rsid w:val="00E503C0"/>
    <w:rsid w:val="00E51B3F"/>
    <w:rsid w:val="00E51E00"/>
    <w:rsid w:val="00E5229C"/>
    <w:rsid w:val="00E52830"/>
    <w:rsid w:val="00E52BF3"/>
    <w:rsid w:val="00E53C2A"/>
    <w:rsid w:val="00E54201"/>
    <w:rsid w:val="00E56661"/>
    <w:rsid w:val="00E61A2E"/>
    <w:rsid w:val="00E62C5B"/>
    <w:rsid w:val="00E63880"/>
    <w:rsid w:val="00E65562"/>
    <w:rsid w:val="00E65C64"/>
    <w:rsid w:val="00E67DA8"/>
    <w:rsid w:val="00E67E3B"/>
    <w:rsid w:val="00E7045B"/>
    <w:rsid w:val="00E74F58"/>
    <w:rsid w:val="00E758DE"/>
    <w:rsid w:val="00E75B4F"/>
    <w:rsid w:val="00E7641A"/>
    <w:rsid w:val="00E7763C"/>
    <w:rsid w:val="00E80568"/>
    <w:rsid w:val="00E80793"/>
    <w:rsid w:val="00E80947"/>
    <w:rsid w:val="00E82227"/>
    <w:rsid w:val="00E83551"/>
    <w:rsid w:val="00E83E3A"/>
    <w:rsid w:val="00E859F1"/>
    <w:rsid w:val="00E85C55"/>
    <w:rsid w:val="00E866D5"/>
    <w:rsid w:val="00E911CD"/>
    <w:rsid w:val="00E9217A"/>
    <w:rsid w:val="00E92C88"/>
    <w:rsid w:val="00E92CA5"/>
    <w:rsid w:val="00E9319D"/>
    <w:rsid w:val="00E94810"/>
    <w:rsid w:val="00E94E0B"/>
    <w:rsid w:val="00E94F3D"/>
    <w:rsid w:val="00E96545"/>
    <w:rsid w:val="00E968F5"/>
    <w:rsid w:val="00E97897"/>
    <w:rsid w:val="00EA0164"/>
    <w:rsid w:val="00EA06A3"/>
    <w:rsid w:val="00EA13EB"/>
    <w:rsid w:val="00EA1F7D"/>
    <w:rsid w:val="00EA3812"/>
    <w:rsid w:val="00EA3C8D"/>
    <w:rsid w:val="00EA4008"/>
    <w:rsid w:val="00EA6AB2"/>
    <w:rsid w:val="00EB0709"/>
    <w:rsid w:val="00EB071F"/>
    <w:rsid w:val="00EB10BB"/>
    <w:rsid w:val="00EB296B"/>
    <w:rsid w:val="00EB34BE"/>
    <w:rsid w:val="00EB554A"/>
    <w:rsid w:val="00EB60BD"/>
    <w:rsid w:val="00EC0A26"/>
    <w:rsid w:val="00EC1716"/>
    <w:rsid w:val="00EC2033"/>
    <w:rsid w:val="00EC2E26"/>
    <w:rsid w:val="00EC395B"/>
    <w:rsid w:val="00EC3C0F"/>
    <w:rsid w:val="00EC3CBE"/>
    <w:rsid w:val="00EC4E7E"/>
    <w:rsid w:val="00EC57A9"/>
    <w:rsid w:val="00EC649A"/>
    <w:rsid w:val="00EC654F"/>
    <w:rsid w:val="00EC66C9"/>
    <w:rsid w:val="00EC700A"/>
    <w:rsid w:val="00EC7D68"/>
    <w:rsid w:val="00ED2A9F"/>
    <w:rsid w:val="00ED443A"/>
    <w:rsid w:val="00ED4E36"/>
    <w:rsid w:val="00ED52A2"/>
    <w:rsid w:val="00ED5754"/>
    <w:rsid w:val="00ED57A3"/>
    <w:rsid w:val="00ED5EA9"/>
    <w:rsid w:val="00ED60C3"/>
    <w:rsid w:val="00ED6729"/>
    <w:rsid w:val="00ED79BE"/>
    <w:rsid w:val="00EE1395"/>
    <w:rsid w:val="00EE26CE"/>
    <w:rsid w:val="00EE27B8"/>
    <w:rsid w:val="00EE410F"/>
    <w:rsid w:val="00EE5903"/>
    <w:rsid w:val="00EF1089"/>
    <w:rsid w:val="00EF1134"/>
    <w:rsid w:val="00EF2C96"/>
    <w:rsid w:val="00EF46C8"/>
    <w:rsid w:val="00EF4A3E"/>
    <w:rsid w:val="00EF4A57"/>
    <w:rsid w:val="00EF50AF"/>
    <w:rsid w:val="00EF5A3E"/>
    <w:rsid w:val="00F00814"/>
    <w:rsid w:val="00F00BBA"/>
    <w:rsid w:val="00F0158D"/>
    <w:rsid w:val="00F015A4"/>
    <w:rsid w:val="00F01BB9"/>
    <w:rsid w:val="00F03183"/>
    <w:rsid w:val="00F03976"/>
    <w:rsid w:val="00F03B4C"/>
    <w:rsid w:val="00F05638"/>
    <w:rsid w:val="00F05BA0"/>
    <w:rsid w:val="00F05F9F"/>
    <w:rsid w:val="00F069B4"/>
    <w:rsid w:val="00F07AB6"/>
    <w:rsid w:val="00F07F6A"/>
    <w:rsid w:val="00F10405"/>
    <w:rsid w:val="00F113EB"/>
    <w:rsid w:val="00F13770"/>
    <w:rsid w:val="00F13B58"/>
    <w:rsid w:val="00F13E74"/>
    <w:rsid w:val="00F14AD9"/>
    <w:rsid w:val="00F15164"/>
    <w:rsid w:val="00F15BB6"/>
    <w:rsid w:val="00F1683E"/>
    <w:rsid w:val="00F16E89"/>
    <w:rsid w:val="00F17604"/>
    <w:rsid w:val="00F17F6E"/>
    <w:rsid w:val="00F21E4F"/>
    <w:rsid w:val="00F228B9"/>
    <w:rsid w:val="00F2335D"/>
    <w:rsid w:val="00F2369B"/>
    <w:rsid w:val="00F23C34"/>
    <w:rsid w:val="00F23CA8"/>
    <w:rsid w:val="00F245D0"/>
    <w:rsid w:val="00F257A7"/>
    <w:rsid w:val="00F25E17"/>
    <w:rsid w:val="00F26E97"/>
    <w:rsid w:val="00F26FCD"/>
    <w:rsid w:val="00F3134B"/>
    <w:rsid w:val="00F32498"/>
    <w:rsid w:val="00F3249D"/>
    <w:rsid w:val="00F324F3"/>
    <w:rsid w:val="00F336E0"/>
    <w:rsid w:val="00F33D15"/>
    <w:rsid w:val="00F3430F"/>
    <w:rsid w:val="00F35D1D"/>
    <w:rsid w:val="00F36653"/>
    <w:rsid w:val="00F36EA1"/>
    <w:rsid w:val="00F37016"/>
    <w:rsid w:val="00F37036"/>
    <w:rsid w:val="00F40960"/>
    <w:rsid w:val="00F41DFE"/>
    <w:rsid w:val="00F4299F"/>
    <w:rsid w:val="00F441FC"/>
    <w:rsid w:val="00F4460D"/>
    <w:rsid w:val="00F44751"/>
    <w:rsid w:val="00F454A9"/>
    <w:rsid w:val="00F454F5"/>
    <w:rsid w:val="00F46320"/>
    <w:rsid w:val="00F50A5E"/>
    <w:rsid w:val="00F51388"/>
    <w:rsid w:val="00F51AC8"/>
    <w:rsid w:val="00F52336"/>
    <w:rsid w:val="00F52FCD"/>
    <w:rsid w:val="00F548C2"/>
    <w:rsid w:val="00F54A26"/>
    <w:rsid w:val="00F54AA2"/>
    <w:rsid w:val="00F5725B"/>
    <w:rsid w:val="00F57960"/>
    <w:rsid w:val="00F602B0"/>
    <w:rsid w:val="00F610D1"/>
    <w:rsid w:val="00F612FE"/>
    <w:rsid w:val="00F62B4E"/>
    <w:rsid w:val="00F6363D"/>
    <w:rsid w:val="00F6452B"/>
    <w:rsid w:val="00F64688"/>
    <w:rsid w:val="00F65C55"/>
    <w:rsid w:val="00F66972"/>
    <w:rsid w:val="00F710CD"/>
    <w:rsid w:val="00F71863"/>
    <w:rsid w:val="00F71E65"/>
    <w:rsid w:val="00F728F1"/>
    <w:rsid w:val="00F735A3"/>
    <w:rsid w:val="00F736F4"/>
    <w:rsid w:val="00F755F5"/>
    <w:rsid w:val="00F770DE"/>
    <w:rsid w:val="00F77DB7"/>
    <w:rsid w:val="00F816A1"/>
    <w:rsid w:val="00F819B9"/>
    <w:rsid w:val="00F8350D"/>
    <w:rsid w:val="00F83EAC"/>
    <w:rsid w:val="00F844A4"/>
    <w:rsid w:val="00F84710"/>
    <w:rsid w:val="00F84C77"/>
    <w:rsid w:val="00F851B6"/>
    <w:rsid w:val="00F852FC"/>
    <w:rsid w:val="00F85C05"/>
    <w:rsid w:val="00F86026"/>
    <w:rsid w:val="00F864F5"/>
    <w:rsid w:val="00F873BD"/>
    <w:rsid w:val="00F90DD5"/>
    <w:rsid w:val="00F951EF"/>
    <w:rsid w:val="00F96E0D"/>
    <w:rsid w:val="00FA11B8"/>
    <w:rsid w:val="00FA396A"/>
    <w:rsid w:val="00FA522C"/>
    <w:rsid w:val="00FA5928"/>
    <w:rsid w:val="00FA6335"/>
    <w:rsid w:val="00FB015C"/>
    <w:rsid w:val="00FB0DAD"/>
    <w:rsid w:val="00FB0EF6"/>
    <w:rsid w:val="00FB1751"/>
    <w:rsid w:val="00FB1CEE"/>
    <w:rsid w:val="00FB461C"/>
    <w:rsid w:val="00FB473A"/>
    <w:rsid w:val="00FB48C5"/>
    <w:rsid w:val="00FB5147"/>
    <w:rsid w:val="00FB5777"/>
    <w:rsid w:val="00FB68E2"/>
    <w:rsid w:val="00FB6CC2"/>
    <w:rsid w:val="00FC0BE3"/>
    <w:rsid w:val="00FC12A3"/>
    <w:rsid w:val="00FC2141"/>
    <w:rsid w:val="00FC25D3"/>
    <w:rsid w:val="00FC2FAC"/>
    <w:rsid w:val="00FC3168"/>
    <w:rsid w:val="00FC4742"/>
    <w:rsid w:val="00FC4D33"/>
    <w:rsid w:val="00FC5C86"/>
    <w:rsid w:val="00FC6D61"/>
    <w:rsid w:val="00FC6F78"/>
    <w:rsid w:val="00FC7046"/>
    <w:rsid w:val="00FC7C9D"/>
    <w:rsid w:val="00FD03C2"/>
    <w:rsid w:val="00FD1293"/>
    <w:rsid w:val="00FD2DBB"/>
    <w:rsid w:val="00FD4CB5"/>
    <w:rsid w:val="00FD4E69"/>
    <w:rsid w:val="00FD4EB6"/>
    <w:rsid w:val="00FD6B54"/>
    <w:rsid w:val="00FD74E3"/>
    <w:rsid w:val="00FD7D15"/>
    <w:rsid w:val="00FE00A5"/>
    <w:rsid w:val="00FE0388"/>
    <w:rsid w:val="00FE0575"/>
    <w:rsid w:val="00FE45BC"/>
    <w:rsid w:val="00FE51AE"/>
    <w:rsid w:val="00FE6285"/>
    <w:rsid w:val="00FE6A5A"/>
    <w:rsid w:val="00FE7AF9"/>
    <w:rsid w:val="00FF00B5"/>
    <w:rsid w:val="00FF2C6E"/>
    <w:rsid w:val="00FF3809"/>
    <w:rsid w:val="00FF5978"/>
    <w:rsid w:val="00FF5FB7"/>
    <w:rsid w:val="00FF6FA6"/>
    <w:rsid w:val="00FF7C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E9AE9"/>
  <w15:chartTrackingRefBased/>
  <w15:docId w15:val="{3715556B-9F2C-40BA-8E3E-AE26F618D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CCA"/>
  </w:style>
  <w:style w:type="paragraph" w:styleId="Heading1">
    <w:name w:val="heading 1"/>
    <w:basedOn w:val="Normal"/>
    <w:next w:val="Normal"/>
    <w:link w:val="Heading1Char"/>
    <w:uiPriority w:val="9"/>
    <w:qFormat/>
    <w:rsid w:val="00EC3C0F"/>
    <w:pPr>
      <w:jc w:val="both"/>
      <w:outlineLvl w:val="0"/>
    </w:pPr>
    <w:rPr>
      <w:rFonts w:ascii="Garamond" w:hAnsi="Garamond" w:cs="Apple Chancery"/>
      <w:b/>
      <w:bCs/>
    </w:rPr>
  </w:style>
  <w:style w:type="paragraph" w:styleId="Heading2">
    <w:name w:val="heading 2"/>
    <w:basedOn w:val="Normal"/>
    <w:next w:val="Normal"/>
    <w:link w:val="Heading2Char"/>
    <w:uiPriority w:val="9"/>
    <w:semiHidden/>
    <w:unhideWhenUsed/>
    <w:qFormat/>
    <w:rsid w:val="005F2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C0F"/>
    <w:rPr>
      <w:rFonts w:ascii="Garamond" w:hAnsi="Garamond" w:cs="Apple Chancery"/>
      <w:b/>
      <w:bCs/>
    </w:rPr>
  </w:style>
  <w:style w:type="character" w:customStyle="1" w:styleId="Heading2Char">
    <w:name w:val="Heading 2 Char"/>
    <w:basedOn w:val="DefaultParagraphFont"/>
    <w:link w:val="Heading2"/>
    <w:uiPriority w:val="9"/>
    <w:semiHidden/>
    <w:rsid w:val="005F2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CCA"/>
    <w:rPr>
      <w:rFonts w:eastAsiaTheme="majorEastAsia" w:cstheme="majorBidi"/>
      <w:color w:val="272727" w:themeColor="text1" w:themeTint="D8"/>
    </w:rPr>
  </w:style>
  <w:style w:type="paragraph" w:styleId="Title">
    <w:name w:val="Title"/>
    <w:basedOn w:val="Normal"/>
    <w:next w:val="Normal"/>
    <w:link w:val="TitleChar"/>
    <w:uiPriority w:val="10"/>
    <w:qFormat/>
    <w:rsid w:val="00EC3C0F"/>
    <w:pPr>
      <w:jc w:val="both"/>
    </w:pPr>
    <w:rPr>
      <w:rFonts w:ascii="Garamond" w:hAnsi="Garamond" w:cs="Apple Chancery"/>
      <w:b/>
      <w:bCs/>
      <w:sz w:val="28"/>
      <w:szCs w:val="28"/>
    </w:rPr>
  </w:style>
  <w:style w:type="character" w:customStyle="1" w:styleId="TitleChar">
    <w:name w:val="Title Char"/>
    <w:basedOn w:val="DefaultParagraphFont"/>
    <w:link w:val="Title"/>
    <w:uiPriority w:val="10"/>
    <w:rsid w:val="00EC3C0F"/>
    <w:rPr>
      <w:rFonts w:ascii="Garamond" w:hAnsi="Garamond" w:cs="Apple Chancery"/>
      <w:b/>
      <w:bCs/>
      <w:sz w:val="28"/>
      <w:szCs w:val="28"/>
    </w:rPr>
  </w:style>
  <w:style w:type="paragraph" w:styleId="Subtitle">
    <w:name w:val="Subtitle"/>
    <w:basedOn w:val="Normal"/>
    <w:next w:val="Normal"/>
    <w:link w:val="SubtitleChar"/>
    <w:uiPriority w:val="11"/>
    <w:qFormat/>
    <w:rsid w:val="005F2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CCA"/>
    <w:pPr>
      <w:spacing w:before="160"/>
      <w:jc w:val="center"/>
    </w:pPr>
    <w:rPr>
      <w:i/>
      <w:iCs/>
      <w:color w:val="404040" w:themeColor="text1" w:themeTint="BF"/>
    </w:rPr>
  </w:style>
  <w:style w:type="character" w:customStyle="1" w:styleId="QuoteChar">
    <w:name w:val="Quote Char"/>
    <w:basedOn w:val="DefaultParagraphFont"/>
    <w:link w:val="Quote"/>
    <w:uiPriority w:val="29"/>
    <w:rsid w:val="005F2CCA"/>
    <w:rPr>
      <w:i/>
      <w:iCs/>
      <w:color w:val="404040" w:themeColor="text1" w:themeTint="BF"/>
    </w:rPr>
  </w:style>
  <w:style w:type="paragraph" w:styleId="ListParagraph">
    <w:name w:val="List Paragraph"/>
    <w:basedOn w:val="Normal"/>
    <w:uiPriority w:val="34"/>
    <w:qFormat/>
    <w:rsid w:val="005F2CCA"/>
    <w:pPr>
      <w:ind w:left="720"/>
      <w:contextualSpacing/>
    </w:pPr>
  </w:style>
  <w:style w:type="character" w:styleId="IntenseEmphasis">
    <w:name w:val="Intense Emphasis"/>
    <w:basedOn w:val="DefaultParagraphFont"/>
    <w:uiPriority w:val="21"/>
    <w:qFormat/>
    <w:rsid w:val="005F2CCA"/>
    <w:rPr>
      <w:i/>
      <w:iCs/>
      <w:color w:val="0F4761" w:themeColor="accent1" w:themeShade="BF"/>
    </w:rPr>
  </w:style>
  <w:style w:type="paragraph" w:styleId="IntenseQuote">
    <w:name w:val="Intense Quote"/>
    <w:basedOn w:val="Normal"/>
    <w:next w:val="Normal"/>
    <w:link w:val="IntenseQuoteChar"/>
    <w:uiPriority w:val="30"/>
    <w:qFormat/>
    <w:rsid w:val="005F2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CCA"/>
    <w:rPr>
      <w:i/>
      <w:iCs/>
      <w:color w:val="0F4761" w:themeColor="accent1" w:themeShade="BF"/>
    </w:rPr>
  </w:style>
  <w:style w:type="character" w:styleId="IntenseReference">
    <w:name w:val="Intense Reference"/>
    <w:basedOn w:val="DefaultParagraphFont"/>
    <w:uiPriority w:val="32"/>
    <w:qFormat/>
    <w:rsid w:val="005F2CCA"/>
    <w:rPr>
      <w:b/>
      <w:bCs/>
      <w:smallCaps/>
      <w:color w:val="0F4761" w:themeColor="accent1" w:themeShade="BF"/>
      <w:spacing w:val="5"/>
    </w:rPr>
  </w:style>
  <w:style w:type="paragraph" w:styleId="FootnoteText">
    <w:name w:val="footnote text"/>
    <w:basedOn w:val="Normal"/>
    <w:link w:val="FootnoteTextChar"/>
    <w:uiPriority w:val="99"/>
    <w:semiHidden/>
    <w:unhideWhenUsed/>
    <w:rsid w:val="005F2C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2CCA"/>
    <w:rPr>
      <w:sz w:val="20"/>
      <w:szCs w:val="20"/>
    </w:rPr>
  </w:style>
  <w:style w:type="character" w:styleId="FootnoteReference">
    <w:name w:val="footnote reference"/>
    <w:basedOn w:val="DefaultParagraphFont"/>
    <w:uiPriority w:val="99"/>
    <w:semiHidden/>
    <w:unhideWhenUsed/>
    <w:rsid w:val="005F2CCA"/>
    <w:rPr>
      <w:vertAlign w:val="superscript"/>
    </w:rPr>
  </w:style>
  <w:style w:type="character" w:styleId="Hyperlink">
    <w:name w:val="Hyperlink"/>
    <w:basedOn w:val="DefaultParagraphFont"/>
    <w:uiPriority w:val="99"/>
    <w:unhideWhenUsed/>
    <w:rsid w:val="005F2CCA"/>
    <w:rPr>
      <w:color w:val="467886" w:themeColor="hyperlink"/>
      <w:u w:val="single"/>
    </w:rPr>
  </w:style>
  <w:style w:type="character" w:styleId="CommentReference">
    <w:name w:val="annotation reference"/>
    <w:basedOn w:val="DefaultParagraphFont"/>
    <w:uiPriority w:val="99"/>
    <w:semiHidden/>
    <w:unhideWhenUsed/>
    <w:rsid w:val="00F03976"/>
    <w:rPr>
      <w:sz w:val="16"/>
      <w:szCs w:val="16"/>
    </w:rPr>
  </w:style>
  <w:style w:type="paragraph" w:styleId="CommentText">
    <w:name w:val="annotation text"/>
    <w:basedOn w:val="Normal"/>
    <w:link w:val="CommentTextChar"/>
    <w:uiPriority w:val="99"/>
    <w:unhideWhenUsed/>
    <w:rsid w:val="00F03976"/>
    <w:pPr>
      <w:spacing w:line="240" w:lineRule="auto"/>
    </w:pPr>
    <w:rPr>
      <w:sz w:val="20"/>
      <w:szCs w:val="20"/>
    </w:rPr>
  </w:style>
  <w:style w:type="character" w:customStyle="1" w:styleId="CommentTextChar">
    <w:name w:val="Comment Text Char"/>
    <w:basedOn w:val="DefaultParagraphFont"/>
    <w:link w:val="CommentText"/>
    <w:uiPriority w:val="99"/>
    <w:rsid w:val="00F03976"/>
    <w:rPr>
      <w:sz w:val="20"/>
      <w:szCs w:val="20"/>
    </w:rPr>
  </w:style>
  <w:style w:type="paragraph" w:styleId="CommentSubject">
    <w:name w:val="annotation subject"/>
    <w:basedOn w:val="CommentText"/>
    <w:next w:val="CommentText"/>
    <w:link w:val="CommentSubjectChar"/>
    <w:uiPriority w:val="99"/>
    <w:semiHidden/>
    <w:unhideWhenUsed/>
    <w:rsid w:val="00F03976"/>
    <w:rPr>
      <w:b/>
      <w:bCs/>
    </w:rPr>
  </w:style>
  <w:style w:type="character" w:customStyle="1" w:styleId="CommentSubjectChar">
    <w:name w:val="Comment Subject Char"/>
    <w:basedOn w:val="CommentTextChar"/>
    <w:link w:val="CommentSubject"/>
    <w:uiPriority w:val="99"/>
    <w:semiHidden/>
    <w:rsid w:val="00F03976"/>
    <w:rPr>
      <w:b/>
      <w:bCs/>
      <w:sz w:val="20"/>
      <w:szCs w:val="20"/>
    </w:rPr>
  </w:style>
  <w:style w:type="character" w:styleId="UnresolvedMention">
    <w:name w:val="Unresolved Mention"/>
    <w:basedOn w:val="DefaultParagraphFont"/>
    <w:uiPriority w:val="99"/>
    <w:semiHidden/>
    <w:unhideWhenUsed/>
    <w:rsid w:val="00F03976"/>
    <w:rPr>
      <w:color w:val="605E5C"/>
      <w:shd w:val="clear" w:color="auto" w:fill="E1DFDD"/>
    </w:rPr>
  </w:style>
  <w:style w:type="paragraph" w:styleId="Header">
    <w:name w:val="header"/>
    <w:basedOn w:val="Normal"/>
    <w:link w:val="HeaderChar"/>
    <w:uiPriority w:val="99"/>
    <w:unhideWhenUsed/>
    <w:rsid w:val="00F039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976"/>
  </w:style>
  <w:style w:type="paragraph" w:styleId="Footer">
    <w:name w:val="footer"/>
    <w:basedOn w:val="Normal"/>
    <w:link w:val="FooterChar"/>
    <w:uiPriority w:val="99"/>
    <w:unhideWhenUsed/>
    <w:rsid w:val="00F039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976"/>
  </w:style>
  <w:style w:type="character" w:styleId="PageNumber">
    <w:name w:val="page number"/>
    <w:basedOn w:val="DefaultParagraphFont"/>
    <w:uiPriority w:val="99"/>
    <w:semiHidden/>
    <w:unhideWhenUsed/>
    <w:rsid w:val="00F03976"/>
  </w:style>
  <w:style w:type="paragraph" w:styleId="Revision">
    <w:name w:val="Revision"/>
    <w:hidden/>
    <w:uiPriority w:val="99"/>
    <w:semiHidden/>
    <w:rsid w:val="003C7AFD"/>
    <w:pPr>
      <w:spacing w:after="0" w:line="240" w:lineRule="auto"/>
    </w:pPr>
  </w:style>
  <w:style w:type="character" w:styleId="FollowedHyperlink">
    <w:name w:val="FollowedHyperlink"/>
    <w:basedOn w:val="DefaultParagraphFont"/>
    <w:uiPriority w:val="99"/>
    <w:semiHidden/>
    <w:unhideWhenUsed/>
    <w:rsid w:val="004B7ADF"/>
    <w:rPr>
      <w:color w:val="96607D" w:themeColor="followedHyperlink"/>
      <w:u w:val="single"/>
    </w:rPr>
  </w:style>
  <w:style w:type="character" w:customStyle="1" w:styleId="italic">
    <w:name w:val="italic"/>
    <w:basedOn w:val="DefaultParagraphFont"/>
    <w:rsid w:val="00A61A83"/>
  </w:style>
  <w:style w:type="character" w:styleId="Strong">
    <w:name w:val="Strong"/>
    <w:basedOn w:val="DefaultParagraphFont"/>
    <w:uiPriority w:val="22"/>
    <w:qFormat/>
    <w:rsid w:val="00D532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icj-cij.org/sites/default/files/case-related/169/169-20180215-WRI-01-00-EN.pdf" TargetMode="External"/><Relationship Id="rId13" Type="http://schemas.openxmlformats.org/officeDocument/2006/relationships/hyperlink" Target="https://www.icj-cij.org/sites/default/files/case-related/160/160-20161005-JUD-01-06-EN.pdf" TargetMode="External"/><Relationship Id="rId18" Type="http://schemas.openxmlformats.org/officeDocument/2006/relationships/hyperlink" Target="https://www.icj-cij.org/sites/default/files/case-related/169/169-20190225-ADV-01-09-EN.pdf" TargetMode="External"/><Relationship Id="rId26" Type="http://schemas.openxmlformats.org/officeDocument/2006/relationships/hyperlink" Target="https://www.greatbritishpac.com/news/self-determination-for-everyone-except-the-chagossians-the-guardians-one-sided-chagos-narrative" TargetMode="External"/><Relationship Id="rId3" Type="http://schemas.openxmlformats.org/officeDocument/2006/relationships/hyperlink" Target="https://www.bbc.co.uk/news/articles/c0mkp021rvro" TargetMode="External"/><Relationship Id="rId21" Type="http://schemas.openxmlformats.org/officeDocument/2006/relationships/hyperlink" Target="https://www.reuters.com/business/aerospace-defense/us-military-replaces-b-2-bombers-that-were-sent-amid-middle-east-tensions-2025-05-12/" TargetMode="External"/><Relationship Id="rId7" Type="http://schemas.openxmlformats.org/officeDocument/2006/relationships/hyperlink" Target="https://www.bbc.co.uk/news/articles/cxe2v2mdg7vo" TargetMode="External"/><Relationship Id="rId12" Type="http://schemas.openxmlformats.org/officeDocument/2006/relationships/hyperlink" Target="https://www.icj-cij.org/sites/default/files/case-related/140/140-20110401-JUD-01-08-EN.pdf" TargetMode="External"/><Relationship Id="rId17" Type="http://schemas.openxmlformats.org/officeDocument/2006/relationships/hyperlink" Target="https://continent.substack.com/p/chagos-islanders-confront-their-postcolonial" TargetMode="External"/><Relationship Id="rId25" Type="http://schemas.openxmlformats.org/officeDocument/2006/relationships/hyperlink" Target="https://www.bbc.co.uk/news/articles/cj49qjypqv4o" TargetMode="External"/><Relationship Id="rId2" Type="http://schemas.openxmlformats.org/officeDocument/2006/relationships/hyperlink" Target="https://assets.publishing.service.gov.uk/media/682f25afc054883884bff42a/CS_Mauritius_1.2025_Agreement_Chagos_Diego_Garcia.pdf" TargetMode="External"/><Relationship Id="rId16" Type="http://schemas.openxmlformats.org/officeDocument/2006/relationships/hyperlink" Target="https://fotbot.org/the-forgotten-voices-of-the-chagos-archipelago" TargetMode="External"/><Relationship Id="rId20" Type="http://schemas.openxmlformats.org/officeDocument/2006/relationships/hyperlink" Target="https://www.thenewhumanitarian.org/news-feature/2022/09/15/Diego-Garcia-UK-island-Refugee-Convention" TargetMode="External"/><Relationship Id="rId1" Type="http://schemas.openxmlformats.org/officeDocument/2006/relationships/hyperlink" Target="mailto:f.bird@exeter.ac.uk" TargetMode="External"/><Relationship Id="rId6" Type="http://schemas.openxmlformats.org/officeDocument/2006/relationships/hyperlink" Target="https://www.bbc.co.uk/news/articles/c74vedxjq8zo" TargetMode="External"/><Relationship Id="rId11" Type="http://schemas.openxmlformats.org/officeDocument/2006/relationships/hyperlink" Target="https://www.icj-cij.org/sites/default/files/case-related/169/169-20190225-ADV-01-04-EN.pdf" TargetMode="External"/><Relationship Id="rId24" Type="http://schemas.openxmlformats.org/officeDocument/2006/relationships/hyperlink" Target="https://www.hrw.org/news/2025/08/28/chagos-archipelago-residents-deserve-reparations-not-regrets" TargetMode="External"/><Relationship Id="rId5" Type="http://schemas.openxmlformats.org/officeDocument/2006/relationships/hyperlink" Target="https://www.lbc.co.uk/article/trump-plans-buy-chagos-islands-5HjdbFL_2/" TargetMode="External"/><Relationship Id="rId15" Type="http://schemas.openxmlformats.org/officeDocument/2006/relationships/hyperlink" Target="https://committees.parliament.uk/writtenevidence/127976/html/" TargetMode="External"/><Relationship Id="rId23" Type="http://schemas.openxmlformats.org/officeDocument/2006/relationships/hyperlink" Target="https://www.theguardian.com/us-news/2026/jun/07/trump-deal-chagos-islands-mauritius-uk" TargetMode="External"/><Relationship Id="rId28" Type="http://schemas.openxmlformats.org/officeDocument/2006/relationships/hyperlink" Target="https://www.independent.co.uk/news/uk/home-news/nigel-farage-chagos-islands-mauritius-anneliese-dodds-commons-b2705422.html" TargetMode="External"/><Relationship Id="rId10" Type="http://schemas.openxmlformats.org/officeDocument/2006/relationships/hyperlink" Target="https://chagossianvoices.org/wp-content/uploads/2023/12/07Jan-2023-Briefing-on-Chagossian-Self-determination.pdf" TargetMode="External"/><Relationship Id="rId19" Type="http://schemas.openxmlformats.org/officeDocument/2006/relationships/hyperlink" Target="https://committees.parliament.uk/writtenevidence/128102/html/" TargetMode="External"/><Relationship Id="rId4" Type="http://schemas.openxmlformats.org/officeDocument/2006/relationships/hyperlink" Target="https://www.bbc.co.uk/news/articles/c04x1lg1lygo" TargetMode="External"/><Relationship Id="rId9" Type="http://schemas.openxmlformats.org/officeDocument/2006/relationships/hyperlink" Target="https://www.icj-cij.org/sites/default/files/case-related/169/169-20180301-WRI-05-00-EN.pdf" TargetMode="External"/><Relationship Id="rId14" Type="http://schemas.openxmlformats.org/officeDocument/2006/relationships/hyperlink" Target="https://www.icj-cij.org/sites/default/files/case-related/84/084-19950630-JUD-01-04-EN.pdf" TargetMode="External"/><Relationship Id="rId22" Type="http://schemas.openxmlformats.org/officeDocument/2006/relationships/hyperlink" Target="https://news.exeter.ac.uk/faculty-of-environment-science-and-economy/chagos-study-highlights-value-of-vast-marine-protected-areas/" TargetMode="External"/><Relationship Id="rId27" Type="http://schemas.openxmlformats.org/officeDocument/2006/relationships/hyperlink" Target="https://www.gbnews.com/politics/nigel-farage-chagos-islands-keir-starmer-closest-ally-d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45366-3AE4-DF45-B77F-F08254D45C25}">
  <ds:schemaRefs>
    <ds:schemaRef ds:uri="http://schemas.openxmlformats.org/officeDocument/2006/bibliography"/>
  </ds:schemaRefs>
</ds:datastoreItem>
</file>

<file path=docMetadata/LabelInfo.xml><?xml version="1.0" encoding="utf-8"?>
<clbl:labelList xmlns:clbl="http://schemas.microsoft.com/office/2020/mipLabelMetadata">
  <clbl:label id="{51a9fa56-3f32-449a-a721-3e3f49aa5e9a}" enabled="0" method="" siteId="{51a9fa56-3f32-449a-a721-3e3f49aa5e9a}" removed="1"/>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179</TotalTime>
  <Pages>25</Pages>
  <Words>10317</Words>
  <Characters>56439</Characters>
  <Application>Microsoft Office Word</Application>
  <DocSecurity>0</DocSecurity>
  <Lines>956</Lines>
  <Paragraphs>240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Rosemary Hunter</cp:lastModifiedBy>
  <cp:revision>167</cp:revision>
  <cp:lastPrinted>2025-10-10T13:48:00Z</cp:lastPrinted>
  <dcterms:created xsi:type="dcterms:W3CDTF">2026-10-03T19:26:00Z</dcterms:created>
  <dcterms:modified xsi:type="dcterms:W3CDTF">2026-10-03T22:25:00Z</dcterms:modified>
  <cp:category/>
</cp:coreProperties>
</file>