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883B00" w14:textId="1BE74E69" w:rsidR="00A54D08" w:rsidRPr="000E2832" w:rsidRDefault="00E11281" w:rsidP="008C2612">
      <w:pPr>
        <w:pStyle w:val="Heading1"/>
      </w:pPr>
      <w:r w:rsidRPr="008C2612">
        <w:t>Enforcing</w:t>
      </w:r>
      <w:r w:rsidRPr="000E2832">
        <w:t xml:space="preserve"> Motherhood, Suppressing Fertility: Reproductive Justice, Colonial Legacies, and the Limits of International Human Rights Law</w:t>
      </w:r>
    </w:p>
    <w:p w14:paraId="104FA675" w14:textId="77777777" w:rsidR="00A54D08" w:rsidRDefault="00A54D08" w:rsidP="00E11281">
      <w:pPr>
        <w:pStyle w:val="NormalWeb"/>
        <w:spacing w:before="0" w:beforeAutospacing="0" w:after="0" w:afterAutospacing="0" w:line="360" w:lineRule="auto"/>
        <w:jc w:val="both"/>
        <w:rPr>
          <w:b/>
          <w:bCs/>
        </w:rPr>
      </w:pPr>
    </w:p>
    <w:p w14:paraId="68CD8AEE" w14:textId="5BDE7D00" w:rsidR="00A54D08" w:rsidRPr="002F2E39" w:rsidRDefault="000E2832" w:rsidP="00E11281">
      <w:pPr>
        <w:pStyle w:val="NormalWeb"/>
        <w:spacing w:before="0" w:beforeAutospacing="0" w:after="0" w:afterAutospacing="0" w:line="360" w:lineRule="auto"/>
        <w:jc w:val="both"/>
        <w:rPr>
          <w:b/>
          <w:bCs/>
        </w:rPr>
      </w:pPr>
      <w:r>
        <w:rPr>
          <w:b/>
          <w:bCs/>
        </w:rPr>
        <w:t>Sara Vincenzotti</w:t>
      </w:r>
      <w:r w:rsidR="000D519F">
        <w:rPr>
          <w:rStyle w:val="FootnoteReference"/>
          <w:b/>
          <w:bCs/>
        </w:rPr>
        <w:footnoteReference w:customMarkFollows="1" w:id="1"/>
        <w:t>*</w:t>
      </w:r>
    </w:p>
    <w:p w14:paraId="326F102B" w14:textId="77777777" w:rsidR="00E11281" w:rsidRPr="002F2E39" w:rsidRDefault="00E11281" w:rsidP="00CB02BE">
      <w:pPr>
        <w:spacing w:line="360" w:lineRule="auto"/>
        <w:jc w:val="both"/>
        <w:rPr>
          <w:rFonts w:ascii="Times New Roman" w:hAnsi="Times New Roman" w:cs="Times New Roman"/>
          <w:b/>
          <w:bCs/>
          <w:i/>
          <w:iCs/>
        </w:rPr>
      </w:pPr>
    </w:p>
    <w:p w14:paraId="520ED85C" w14:textId="3955FA46" w:rsidR="00E11281" w:rsidRPr="008C2612" w:rsidRDefault="00E11281" w:rsidP="008C2612">
      <w:pPr>
        <w:pStyle w:val="Heading2"/>
      </w:pPr>
      <w:r w:rsidRPr="008C2612">
        <w:t>Abstract</w:t>
      </w:r>
    </w:p>
    <w:p w14:paraId="1363E245" w14:textId="5EC4A71A" w:rsidR="00FC2FAD" w:rsidRPr="002F2E39" w:rsidRDefault="000F37D9" w:rsidP="00CB02BE">
      <w:pPr>
        <w:spacing w:line="360" w:lineRule="auto"/>
        <w:jc w:val="both"/>
        <w:rPr>
          <w:rFonts w:ascii="Times New Roman" w:hAnsi="Times New Roman" w:cs="Times New Roman"/>
        </w:rPr>
      </w:pPr>
      <w:r w:rsidRPr="002F2E39">
        <w:rPr>
          <w:rFonts w:ascii="Times New Roman" w:hAnsi="Times New Roman" w:cs="Times New Roman"/>
        </w:rPr>
        <w:t>Reproduction has become a central site of public governance and political contestation, yet international human rights law</w:t>
      </w:r>
      <w:r w:rsidR="004D1905">
        <w:rPr>
          <w:rFonts w:ascii="Times New Roman" w:hAnsi="Times New Roman" w:cs="Times New Roman"/>
        </w:rPr>
        <w:t>’</w:t>
      </w:r>
      <w:r w:rsidRPr="002F2E39">
        <w:rPr>
          <w:rFonts w:ascii="Times New Roman" w:hAnsi="Times New Roman" w:cs="Times New Roman"/>
        </w:rPr>
        <w:t xml:space="preserve">s (IHRL) capacity to deliver substantive reproductive justice remains deeply ambivalent. While IHRL has progressively expanded the recognition of reproductive rights and developed increasingly sophisticated standards of state responsibility, feminist scholars have questioned its capacity to transform the structural conditions through which reproductive injustice is produced. This article argues that reproductive governance operates through structurally opposite but analytically symmetrical logics—the enforcement of reproduction in some populations and the suppression of fertility in others—and that these seemingly divergent practices are connected through broader projects of nation-building, demographic management and social ordering. Drawing on feminist international legal theory, reproductive justice scholarship and </w:t>
      </w:r>
      <w:r w:rsidR="00F142E0" w:rsidRPr="002F2E39">
        <w:rPr>
          <w:rFonts w:ascii="Times New Roman" w:hAnsi="Times New Roman" w:cs="Times New Roman"/>
        </w:rPr>
        <w:t>post-</w:t>
      </w:r>
      <w:r w:rsidRPr="002F2E39">
        <w:rPr>
          <w:rFonts w:ascii="Times New Roman" w:hAnsi="Times New Roman" w:cs="Times New Roman"/>
        </w:rPr>
        <w:t xml:space="preserve">colonial feminist critique, the article develops this argument through a dialogical reading of abortion governance in postcolonial Ireland and coercive sterilisation during the Fujimori administration in Peru. Read together, these cases demonstrate that, although IHRL has proved increasingly effective at rendering reproductive harms legally cognisable and </w:t>
      </w:r>
      <w:r w:rsidR="00C869C0">
        <w:rPr>
          <w:rFonts w:ascii="Times New Roman" w:hAnsi="Times New Roman" w:cs="Times New Roman"/>
        </w:rPr>
        <w:t xml:space="preserve">at </w:t>
      </w:r>
      <w:r w:rsidRPr="002F2E39">
        <w:rPr>
          <w:rFonts w:ascii="Times New Roman" w:hAnsi="Times New Roman" w:cs="Times New Roman"/>
        </w:rPr>
        <w:t>securing accountability through legislative and institutional reform, its liberal, state-centric architecture remains principally oriented towards identifying rights violations rather than transforming the colonial, racial and institutional relations through which reproductive governance is constituted. The article concludes that substantive reproductive justice requires feminist engagement with the structural conditions that sustain reproductive injustice alongside, rather than instead of, rights-based legal reform.</w:t>
      </w:r>
    </w:p>
    <w:p w14:paraId="2F049775" w14:textId="77777777" w:rsidR="000F37D9" w:rsidRPr="002F2E39" w:rsidRDefault="000F37D9" w:rsidP="00CB02BE">
      <w:pPr>
        <w:spacing w:line="360" w:lineRule="auto"/>
        <w:jc w:val="both"/>
        <w:rPr>
          <w:rFonts w:ascii="Times New Roman" w:eastAsia="Times New Roman" w:hAnsi="Times New Roman" w:cs="Times New Roman"/>
          <w:b/>
          <w:bCs/>
          <w:i/>
          <w:iCs/>
          <w:kern w:val="0"/>
          <w:lang w:eastAsia="en-GB"/>
          <w14:ligatures w14:val="none"/>
        </w:rPr>
      </w:pPr>
    </w:p>
    <w:p w14:paraId="00A62324" w14:textId="6E88DBC4" w:rsidR="00CB02BE" w:rsidRPr="002F2E39" w:rsidRDefault="00CB02BE" w:rsidP="008C2612">
      <w:pPr>
        <w:pStyle w:val="Heading2"/>
        <w:rPr>
          <w:lang w:eastAsia="en-GB"/>
        </w:rPr>
      </w:pPr>
      <w:r w:rsidRPr="002F2E39">
        <w:rPr>
          <w:lang w:eastAsia="en-GB"/>
        </w:rPr>
        <w:t>Introduction</w:t>
      </w:r>
    </w:p>
    <w:p w14:paraId="3D0FCA2E" w14:textId="79DC0FCF" w:rsidR="002D24D5" w:rsidRPr="004D1905" w:rsidRDefault="002D24D5" w:rsidP="00CB02BE">
      <w:pPr>
        <w:spacing w:line="360" w:lineRule="auto"/>
        <w:jc w:val="both"/>
        <w:rPr>
          <w:rFonts w:ascii="Times New Roman" w:hAnsi="Times New Roman" w:cs="Times New Roman"/>
        </w:rPr>
      </w:pPr>
      <w:r w:rsidRPr="002F2E39">
        <w:rPr>
          <w:rFonts w:ascii="Times New Roman" w:hAnsi="Times New Roman" w:cs="Times New Roman"/>
        </w:rPr>
        <w:t>Reproduction has become a central site of public governance and political contestation, and women</w:t>
      </w:r>
      <w:r w:rsidR="004D1905">
        <w:rPr>
          <w:rFonts w:ascii="Times New Roman" w:hAnsi="Times New Roman" w:cs="Times New Roman"/>
        </w:rPr>
        <w:t>’</w:t>
      </w:r>
      <w:r w:rsidRPr="002F2E39">
        <w:rPr>
          <w:rFonts w:ascii="Times New Roman" w:hAnsi="Times New Roman" w:cs="Times New Roman"/>
        </w:rPr>
        <w:t>s reproductive lives are increasingly shaped by the interaction of legal, medical, and institutional regulation. While international human rights law</w:t>
      </w:r>
      <w:r w:rsidR="003935F8" w:rsidRPr="002F2E39">
        <w:rPr>
          <w:rFonts w:ascii="Times New Roman" w:hAnsi="Times New Roman" w:cs="Times New Roman"/>
        </w:rPr>
        <w:t xml:space="preserve"> (IHRL)</w:t>
      </w:r>
      <w:r w:rsidRPr="002F2E39">
        <w:rPr>
          <w:rFonts w:ascii="Times New Roman" w:hAnsi="Times New Roman" w:cs="Times New Roman"/>
        </w:rPr>
        <w:t xml:space="preserve"> has emerged as a key </w:t>
      </w:r>
      <w:r w:rsidRPr="002F2E39">
        <w:rPr>
          <w:rFonts w:ascii="Times New Roman" w:hAnsi="Times New Roman" w:cs="Times New Roman"/>
        </w:rPr>
        <w:lastRenderedPageBreak/>
        <w:t xml:space="preserve">framework through which reproductive claims may be articulated as matters of dignity, equality, and bodily integrity, feminist scholars caution that rights-based approaches risk obscuring the structural conditions under which reproductive autonomy is exercised, and that legal reform may consolidate technocratic governance </w:t>
      </w:r>
      <w:r w:rsidR="00AB26FB">
        <w:rPr>
          <w:rFonts w:ascii="Times New Roman" w:hAnsi="Times New Roman" w:cs="Times New Roman"/>
        </w:rPr>
        <w:t>more</w:t>
      </w:r>
      <w:r w:rsidR="00AB26FB" w:rsidRPr="002F2E39">
        <w:rPr>
          <w:rFonts w:ascii="Times New Roman" w:hAnsi="Times New Roman" w:cs="Times New Roman"/>
        </w:rPr>
        <w:t xml:space="preserve"> </w:t>
      </w:r>
      <w:r w:rsidRPr="002F2E39">
        <w:rPr>
          <w:rFonts w:ascii="Times New Roman" w:hAnsi="Times New Roman" w:cs="Times New Roman"/>
        </w:rPr>
        <w:t xml:space="preserve">readily </w:t>
      </w:r>
      <w:r w:rsidR="00AB26FB">
        <w:rPr>
          <w:rFonts w:ascii="Times New Roman" w:hAnsi="Times New Roman" w:cs="Times New Roman"/>
        </w:rPr>
        <w:t>than</w:t>
      </w:r>
      <w:r w:rsidR="00AB26FB" w:rsidRPr="002F2E39">
        <w:rPr>
          <w:rFonts w:ascii="Times New Roman" w:hAnsi="Times New Roman" w:cs="Times New Roman"/>
        </w:rPr>
        <w:t xml:space="preserve"> </w:t>
      </w:r>
      <w:r w:rsidRPr="002F2E39">
        <w:rPr>
          <w:rFonts w:ascii="Times New Roman" w:hAnsi="Times New Roman" w:cs="Times New Roman"/>
        </w:rPr>
        <w:t>it secures justice.</w:t>
      </w:r>
      <w:r w:rsidRPr="002F2E39">
        <w:rPr>
          <w:rFonts w:ascii="Times New Roman" w:hAnsi="Times New Roman" w:cs="Times New Roman"/>
          <w:vertAlign w:val="superscript"/>
        </w:rPr>
        <w:footnoteReference w:id="2"/>
      </w:r>
      <w:r w:rsidRPr="002F2E39">
        <w:rPr>
          <w:rFonts w:ascii="Times New Roman" w:hAnsi="Times New Roman" w:cs="Times New Roman"/>
          <w:vertAlign w:val="superscript"/>
        </w:rPr>
        <w:t xml:space="preserve"> </w:t>
      </w:r>
      <w:r w:rsidRPr="002F2E39">
        <w:rPr>
          <w:rFonts w:ascii="Times New Roman" w:hAnsi="Times New Roman" w:cs="Times New Roman"/>
        </w:rPr>
        <w:t xml:space="preserve">As a result, reproductive harm has often remained legally invisible until it reaches the threshold of crisis. </w:t>
      </w:r>
    </w:p>
    <w:p w14:paraId="14F8621A" w14:textId="0A577C00" w:rsidR="008D0DF2" w:rsidRDefault="003935F8" w:rsidP="00203B25">
      <w:pPr>
        <w:pStyle w:val="NormalWeb"/>
        <w:spacing w:line="360" w:lineRule="auto"/>
        <w:jc w:val="both"/>
      </w:pPr>
      <w:r w:rsidRPr="002F2E39">
        <w:t>This article argues that IHRL</w:t>
      </w:r>
      <w:r w:rsidR="004D1905">
        <w:t>’</w:t>
      </w:r>
      <w:r w:rsidRPr="002F2E39">
        <w:t xml:space="preserve">s </w:t>
      </w:r>
      <w:r w:rsidR="00E548C7">
        <w:t xml:space="preserve">limited </w:t>
      </w:r>
      <w:r w:rsidRPr="002F2E39">
        <w:t>capacity to advance reproductive justice reflects a structural characteristic of its liberal, state-centric architecture. It develops this argument through a dialogical reading of abortion governance in Ireland and coercive sterilisation in Fujimori-era Peru</w:t>
      </w:r>
      <w:r w:rsidR="00E548C7">
        <w:t>.</w:t>
      </w:r>
      <w:r w:rsidRPr="002F2E39">
        <w:t xml:space="preserve"> Where Ireland enforced reproduction through the restriction of abortion, Peru sought to suppress the fertility of racialised and </w:t>
      </w:r>
      <w:r w:rsidR="00BF0FCD">
        <w:t>I</w:t>
      </w:r>
      <w:r w:rsidRPr="002F2E39">
        <w:t>ndigenous women through coercive sterilisation. By bringing these into dialogue, the article demonstrates that, although IHRL has become increasingly effective at rendering reproductive harms legally visible, it remains structurally limited in its capacity to transform the colonial, racial and institutional relations through which those harms are produced.</w:t>
      </w:r>
      <w:r w:rsidR="008D0DF2">
        <w:t xml:space="preserve"> </w:t>
      </w:r>
    </w:p>
    <w:p w14:paraId="1B84B1D2" w14:textId="17D836BF" w:rsidR="003935F8" w:rsidRPr="002F2E39" w:rsidRDefault="008D0DF2" w:rsidP="00203B25">
      <w:pPr>
        <w:pStyle w:val="NormalWeb"/>
        <w:spacing w:line="360" w:lineRule="auto"/>
        <w:jc w:val="both"/>
      </w:pPr>
      <w:r w:rsidRPr="008D0DF2">
        <w:t xml:space="preserve">Reproductive injustice is not only produced through formal legal prohibitions, but can also be identified at the intersection of law and healthcare systems, where access to reproductive care is highly mediated by clinical gatekeeping, distribution of resources, and institutional capacity.  Crucially, the bureaucratic capacity to access care is unevenly distributed along intersecting lines of class, geography, and colonial power, so much so that legal access may coexist with material inaccessibility for rural, racialised and economically marginalised women. Morgan and Roberts conceptualise this as ‘reproductive governance’, through which law, healthcare systems and public policy are mobilised to differentially regulate reproduction, encouraging or constraining the fertility of particular populations according to state interests. As </w:t>
      </w:r>
      <w:proofErr w:type="spellStart"/>
      <w:r w:rsidRPr="008D0DF2">
        <w:t>Rebouche</w:t>
      </w:r>
      <w:proofErr w:type="spellEnd"/>
      <w:r w:rsidRPr="008D0DF2">
        <w:t xml:space="preserve"> notes, legal restrictions and regulatory burdens disproportionately affect rural and low-income women by concentrating services in urban centres, increasing travel distances, and imposing costs that function as de facto barriers to access.  Consequently, attending to these sites of </w:t>
      </w:r>
      <w:r w:rsidRPr="008D0DF2">
        <w:lastRenderedPageBreak/>
        <w:t>medical governance requires an intersectional analysis of how legal reform is mediated through health infrastructures that reproduce existing social hierarchies, consequently delimiting whose reproductive autonomy is practically realisable even within formal legal rights frameworks.</w:t>
      </w:r>
    </w:p>
    <w:p w14:paraId="658D5E93" w14:textId="4865C7B4" w:rsidR="00203B25" w:rsidRPr="002F2E39" w:rsidRDefault="00BA006B" w:rsidP="00203B25">
      <w:pPr>
        <w:pStyle w:val="NormalWeb"/>
        <w:spacing w:line="360" w:lineRule="auto"/>
        <w:jc w:val="both"/>
      </w:pPr>
      <w:r w:rsidRPr="002F2E39">
        <w:t>The article</w:t>
      </w:r>
      <w:r w:rsidR="004D1905">
        <w:t>’</w:t>
      </w:r>
      <w:r w:rsidRPr="002F2E39">
        <w:t>s primary contribution</w:t>
      </w:r>
      <w:r w:rsidR="004C0A52" w:rsidRPr="002F2E39">
        <w:t xml:space="preserve"> therefore</w:t>
      </w:r>
      <w:r w:rsidRPr="002F2E39">
        <w:t xml:space="preserve"> lies in bringing two bodies of scholarship that are often treated separately into dialogue. </w:t>
      </w:r>
      <w:r w:rsidR="002D24D5" w:rsidRPr="002F2E39">
        <w:t xml:space="preserve">Existing scholarship, while highly influential, has tended to analyse abortion and coercive sterilisation as </w:t>
      </w:r>
      <w:r w:rsidRPr="002F2E39">
        <w:t xml:space="preserve">distinct </w:t>
      </w:r>
      <w:r w:rsidR="002D24D5" w:rsidRPr="002F2E39">
        <w:t>problems, frequently through single-jurisdiction case studies,</w:t>
      </w:r>
      <w:r w:rsidR="002D24D5" w:rsidRPr="002F2E39">
        <w:rPr>
          <w:rStyle w:val="FootnoteReference"/>
        </w:rPr>
        <w:footnoteReference w:id="3"/>
      </w:r>
      <w:r w:rsidR="002D24D5" w:rsidRPr="002F2E39">
        <w:t xml:space="preserve"> or to position the Global North as a site of relative rights consolidation against which southern deficits are measured.</w:t>
      </w:r>
      <w:r w:rsidR="002D24D5" w:rsidRPr="002F2E39">
        <w:rPr>
          <w:rStyle w:val="FootnoteReference"/>
        </w:rPr>
        <w:footnoteReference w:id="4"/>
      </w:r>
      <w:r w:rsidR="002D24D5" w:rsidRPr="002F2E39">
        <w:t xml:space="preserve"> </w:t>
      </w:r>
      <w:r w:rsidR="00A70C07" w:rsidRPr="002F2E39">
        <w:t>Yet, recent domestic legal developments have significantly destabilised the assumption that reproductive rights are securely embedded within the Global North</w:t>
      </w:r>
      <w:r w:rsidR="003935F8" w:rsidRPr="002F2E39">
        <w:t xml:space="preserve">. </w:t>
      </w:r>
      <w:r w:rsidR="00A70C07" w:rsidRPr="002F2E39">
        <w:t xml:space="preserve">For example, the decision of the </w:t>
      </w:r>
      <w:r w:rsidR="00A70C07" w:rsidRPr="002F2E39">
        <w:rPr>
          <w:rStyle w:val="whitespace-normal"/>
        </w:rPr>
        <w:t>Supreme Court of the United States</w:t>
      </w:r>
      <w:r w:rsidR="00A70C07" w:rsidRPr="002F2E39">
        <w:t xml:space="preserve"> in </w:t>
      </w:r>
      <w:r w:rsidR="00A70C07" w:rsidRPr="002F2E39">
        <w:rPr>
          <w:rStyle w:val="whitespace-normal"/>
          <w:i/>
          <w:iCs/>
        </w:rPr>
        <w:t>Dobbs v Jackson Women</w:t>
      </w:r>
      <w:r w:rsidR="004D1905">
        <w:rPr>
          <w:rStyle w:val="whitespace-normal"/>
          <w:i/>
          <w:iCs/>
        </w:rPr>
        <w:t>’</w:t>
      </w:r>
      <w:r w:rsidR="00A70C07" w:rsidRPr="002F2E39">
        <w:rPr>
          <w:rStyle w:val="whitespace-normal"/>
          <w:i/>
          <w:iCs/>
        </w:rPr>
        <w:t>s Health Organization</w:t>
      </w:r>
      <w:r w:rsidR="00A70C07" w:rsidRPr="002F2E39">
        <w:rPr>
          <w:rStyle w:val="FootnoteReference"/>
        </w:rPr>
        <w:footnoteReference w:id="5"/>
      </w:r>
      <w:r w:rsidR="00A70C07" w:rsidRPr="002F2E39">
        <w:t xml:space="preserve"> overturned the constitutional protections previously recognised in </w:t>
      </w:r>
      <w:r w:rsidR="00A70C07" w:rsidRPr="002F2E39">
        <w:rPr>
          <w:rStyle w:val="whitespace-normal"/>
          <w:i/>
          <w:iCs/>
        </w:rPr>
        <w:t>Roe v Wade,</w:t>
      </w:r>
      <w:r w:rsidR="00A70C07" w:rsidRPr="002F2E39">
        <w:rPr>
          <w:rStyle w:val="FootnoteReference"/>
        </w:rPr>
        <w:footnoteReference w:id="6"/>
      </w:r>
      <w:r w:rsidR="00A70C07" w:rsidRPr="002F2E39">
        <w:t xml:space="preserve"> enabling individual states to impose sweeping abortion bans. Similarly, in </w:t>
      </w:r>
      <w:r w:rsidR="00A70C07" w:rsidRPr="002F2E39">
        <w:rPr>
          <w:rStyle w:val="whitespace-normal"/>
        </w:rPr>
        <w:t>Poland,</w:t>
      </w:r>
      <w:r w:rsidR="00A70C07" w:rsidRPr="002F2E39">
        <w:t xml:space="preserve"> the 2020 ruling of the </w:t>
      </w:r>
      <w:r w:rsidR="00A70C07" w:rsidRPr="002F2E39">
        <w:rPr>
          <w:rStyle w:val="whitespace-normal"/>
        </w:rPr>
        <w:t>Polish Constitutional Tribunal</w:t>
      </w:r>
      <w:r w:rsidR="00A70C07" w:rsidRPr="002F2E39">
        <w:rPr>
          <w:rStyle w:val="FootnoteReference"/>
        </w:rPr>
        <w:footnoteReference w:id="7"/>
      </w:r>
      <w:r w:rsidR="00A70C07" w:rsidRPr="002F2E39">
        <w:t xml:space="preserve"> effectively introduced a near-total prohibition on abortion by removing foetal impairment as a lawful ground for termination.</w:t>
      </w:r>
      <w:r w:rsidR="00A70C07" w:rsidRPr="002F2E39">
        <w:rPr>
          <w:rStyle w:val="FootnoteReference"/>
        </w:rPr>
        <w:footnoteReference w:id="8"/>
      </w:r>
      <w:r w:rsidR="00A70C07" w:rsidRPr="002F2E39">
        <w:t xml:space="preserve"> </w:t>
      </w:r>
    </w:p>
    <w:p w14:paraId="0336EE02" w14:textId="6C638C6A" w:rsidR="003E7B43" w:rsidRPr="002F2E39" w:rsidRDefault="003E7B43" w:rsidP="00203B25">
      <w:pPr>
        <w:pStyle w:val="NormalWeb"/>
        <w:spacing w:line="360" w:lineRule="auto"/>
        <w:jc w:val="both"/>
      </w:pPr>
      <w:r w:rsidRPr="002F2E39">
        <w:t xml:space="preserve">Further developments </w:t>
      </w:r>
      <w:r w:rsidR="002E7AAA" w:rsidRPr="002F2E39">
        <w:t xml:space="preserve">in Latin America </w:t>
      </w:r>
      <w:r w:rsidRPr="002F2E39">
        <w:t>also demonstrate that reproductive rights progress cannot be understood as flowing unidirectionally from the Global North to the Global South. Across Latin America, feminist movements have advanced some of the most progressive and intersectional approaches to reproductive justice, challenging assumptions that rights innovation is centred within Northern liberal democracies.</w:t>
      </w:r>
      <w:r w:rsidRPr="002F2E39">
        <w:rPr>
          <w:rStyle w:val="FootnoteReference"/>
        </w:rPr>
        <w:footnoteReference w:id="9"/>
      </w:r>
      <w:r w:rsidRPr="002F2E39">
        <w:t xml:space="preserve"> Argentina</w:t>
      </w:r>
      <w:r w:rsidR="004D1905">
        <w:t>’</w:t>
      </w:r>
      <w:r w:rsidRPr="002F2E39">
        <w:t>s Green Wave</w:t>
      </w:r>
      <w:r w:rsidRPr="002F2E39">
        <w:rPr>
          <w:rStyle w:val="FootnoteReference"/>
        </w:rPr>
        <w:footnoteReference w:id="10"/>
      </w:r>
      <w:r w:rsidRPr="002F2E39">
        <w:t xml:space="preserve"> and </w:t>
      </w:r>
      <w:r w:rsidRPr="002F2E39">
        <w:lastRenderedPageBreak/>
        <w:t>Colombia</w:t>
      </w:r>
      <w:r w:rsidR="004D1905">
        <w:t>’</w:t>
      </w:r>
      <w:r w:rsidRPr="002F2E39">
        <w:t>s Causa Justa</w:t>
      </w:r>
      <w:r w:rsidRPr="002F2E39">
        <w:rPr>
          <w:rStyle w:val="FootnoteReference"/>
        </w:rPr>
        <w:footnoteReference w:id="11"/>
      </w:r>
      <w:r w:rsidRPr="002F2E39">
        <w:t xml:space="preserve"> movement exemplify how constitutional litigation, grassroots mobilisation and intersectional feminist organising have together reshaped abortion governance, framing reproductive rights as questions of democratic citizenship, structural equality and social justice rather than simply individual autonomy. These developments reinforce that reproductive governance cannot be understood through a simplistic Global North/Global South binary. Rather, both regression and innovation occur across jurisdictions, making a transnational dialogical reading better suited to understanding how reproductive governance is contested, reproduced and transformed across diverse political and historical contexts.</w:t>
      </w:r>
    </w:p>
    <w:p w14:paraId="55AF1F14" w14:textId="614E2C4F" w:rsidR="00563B60" w:rsidRPr="002F2E39" w:rsidRDefault="00BA006B" w:rsidP="00203B25">
      <w:pPr>
        <w:pStyle w:val="NormalWeb"/>
        <w:spacing w:line="360" w:lineRule="auto"/>
        <w:jc w:val="both"/>
      </w:pPr>
      <w:r w:rsidRPr="002F2E39">
        <w:t xml:space="preserve">Reading Ireland and Peru alongside one another reveals that these practices are connected through broader structures of reproductive governance. This approach enables a more expansive assessment of both reproductive justice and the possibilities and limitations of IHRL. </w:t>
      </w:r>
      <w:r w:rsidR="00A70C07" w:rsidRPr="002F2E39">
        <w:t xml:space="preserve">Furthermore, </w:t>
      </w:r>
      <w:r w:rsidRPr="002F2E39">
        <w:t>focusing on</w:t>
      </w:r>
      <w:r w:rsidR="002D24D5" w:rsidRPr="002F2E39">
        <w:t xml:space="preserve"> Ireland</w:t>
      </w:r>
      <w:r w:rsidRPr="002F2E39">
        <w:t xml:space="preserve"> and </w:t>
      </w:r>
      <w:r w:rsidR="002D24D5" w:rsidRPr="002F2E39">
        <w:t xml:space="preserve">Peru </w:t>
      </w:r>
      <w:r w:rsidR="00A70C07" w:rsidRPr="002F2E39">
        <w:t>allows this article to both reject the North/South differentiation, and analyse different types of reproductive governance</w:t>
      </w:r>
      <w:r w:rsidR="002D24D5" w:rsidRPr="002F2E39">
        <w:t>.</w:t>
      </w:r>
      <w:r w:rsidR="00203B25" w:rsidRPr="002F2E39">
        <w:t xml:space="preserve"> In Ireland, reproductive governance was constitutive of postcolonial state-building itself</w:t>
      </w:r>
      <w:r w:rsidR="00BF0FCD">
        <w:t>.</w:t>
      </w:r>
      <w:r w:rsidR="00203B25" w:rsidRPr="002F2E39">
        <w:t xml:space="preserve"> Catholic moral authority functioned not merely as a cultural influence but as the institutional architecture through which a distinctly Irish national identity was consolidated in differentiation from the secular colonial metropole, and women</w:t>
      </w:r>
      <w:r w:rsidR="004D1905">
        <w:t>’</w:t>
      </w:r>
      <w:r w:rsidR="00203B25" w:rsidRPr="002F2E39">
        <w:t>s reproductive capacity became the symbolic terrain on which that differentiation was enacted.</w:t>
      </w:r>
      <w:r w:rsidR="00203B25" w:rsidRPr="002F2E39">
        <w:rPr>
          <w:rStyle w:val="FootnoteReference"/>
        </w:rPr>
        <w:footnoteReference w:id="12"/>
      </w:r>
      <w:r w:rsidR="00203B25" w:rsidRPr="002F2E39">
        <w:t xml:space="preserve"> </w:t>
      </w:r>
      <w:r w:rsidR="00563B60" w:rsidRPr="002F2E39">
        <w:t xml:space="preserve">As will be further addressed in the following sections, </w:t>
      </w:r>
      <w:r w:rsidR="002F1654" w:rsidRPr="002F2E39">
        <w:t xml:space="preserve">Irish feminist scholarship has long argued that abortion regulation was not simply an expression of religious conservatism but a constitutive feature of postcolonial state-building itself. </w:t>
      </w:r>
    </w:p>
    <w:p w14:paraId="7FC2B8BA" w14:textId="02C9D614" w:rsidR="00D25DAB" w:rsidRPr="002F2E39" w:rsidRDefault="00563B60" w:rsidP="00203B25">
      <w:pPr>
        <w:pStyle w:val="NormalWeb"/>
        <w:spacing w:line="360" w:lineRule="auto"/>
        <w:jc w:val="both"/>
      </w:pPr>
      <w:r w:rsidRPr="002F2E39">
        <w:t>On the other hand,</w:t>
      </w:r>
      <w:r w:rsidR="000E443B" w:rsidRPr="002F2E39">
        <w:t xml:space="preserve"> reproductive governance in Peru was shaped by colonial hierarchies that positioned Indigenous populations as objects of demographic management. </w:t>
      </w:r>
      <w:r w:rsidR="002F1654" w:rsidRPr="002F2E39">
        <w:t xml:space="preserve">Rousseau demonstrates that reproductive health policy became embedded within a targeted poverty-reduction paradigm in which fertility reduction, maternal mortality and population </w:t>
      </w:r>
      <w:r w:rsidR="002F1654" w:rsidRPr="002F2E39">
        <w:lastRenderedPageBreak/>
        <w:t>management were treated as central objectives of national development.</w:t>
      </w:r>
      <w:r w:rsidR="002F1654" w:rsidRPr="002F2E39">
        <w:rPr>
          <w:rStyle w:val="FootnoteReference"/>
        </w:rPr>
        <w:footnoteReference w:id="13"/>
      </w:r>
      <w:r w:rsidR="002F1654" w:rsidRPr="002F2E39">
        <w:t xml:space="preserve"> Rather than pursuing reproductive rights as an end in themselves, state programmes conceptualised family planning as an instrument for reducing poverty and regulating the reproductive behaviour of populations identified as posing a </w:t>
      </w:r>
      <w:r w:rsidR="004D1905">
        <w:t>‘</w:t>
      </w:r>
      <w:r w:rsidR="002F1654" w:rsidRPr="002F2E39">
        <w:t>high reproductive risk</w:t>
      </w:r>
      <w:r w:rsidR="004D1905">
        <w:t>’</w:t>
      </w:r>
      <w:r w:rsidR="002F1654" w:rsidRPr="002F2E39">
        <w:t>,</w:t>
      </w:r>
      <w:r w:rsidR="002F1654" w:rsidRPr="002F2E39">
        <w:rPr>
          <w:rStyle w:val="FootnoteReference"/>
        </w:rPr>
        <w:footnoteReference w:id="14"/>
      </w:r>
      <w:r w:rsidR="002F1654" w:rsidRPr="002F2E39">
        <w:t xml:space="preserve"> particularly poor rural women. </w:t>
      </w:r>
      <w:r w:rsidR="000E443B" w:rsidRPr="002F2E39">
        <w:t>As will be discussed, population policies implemented during the Fujimori administration</w:t>
      </w:r>
      <w:r w:rsidR="000E443B" w:rsidRPr="002F2E39">
        <w:rPr>
          <w:rStyle w:val="FootnoteReference"/>
        </w:rPr>
        <w:footnoteReference w:id="15"/>
      </w:r>
      <w:r w:rsidR="000E443B" w:rsidRPr="002F2E39">
        <w:t xml:space="preserve"> disproportionately targeted Indigenous and rural women for sterilisation, reproducing longstanding racialised assumptions about </w:t>
      </w:r>
      <w:r w:rsidR="004D1905">
        <w:t>‘</w:t>
      </w:r>
      <w:r w:rsidR="000E443B" w:rsidRPr="002F2E39">
        <w:t>excessive</w:t>
      </w:r>
      <w:r w:rsidR="004D1905">
        <w:t>’</w:t>
      </w:r>
      <w:r w:rsidR="000E443B" w:rsidRPr="002F2E39">
        <w:t xml:space="preserve"> fertility among marginalised communities. </w:t>
      </w:r>
    </w:p>
    <w:p w14:paraId="6B97907A" w14:textId="3F7EC41C" w:rsidR="00922209" w:rsidRDefault="002A518F" w:rsidP="00203B25">
      <w:pPr>
        <w:pStyle w:val="NormalWeb"/>
        <w:spacing w:line="360" w:lineRule="auto"/>
        <w:jc w:val="both"/>
      </w:pPr>
      <w:r w:rsidRPr="002F2E39">
        <w:t>These specific case studies, and specific types of reproductive issues, have been chosen to highlight that even vastly opposing measures can be used to achieve the same end. Although these policies pursued opposite reproductive outcomes, both positioned women</w:t>
      </w:r>
      <w:r w:rsidR="004D1905">
        <w:t>’</w:t>
      </w:r>
      <w:r w:rsidRPr="002F2E39">
        <w:t xml:space="preserve">s reproductive capacities as </w:t>
      </w:r>
      <w:r w:rsidR="00E548C7">
        <w:t>methods</w:t>
      </w:r>
      <w:r w:rsidRPr="002F2E39">
        <w:t xml:space="preserve"> of state planning.</w:t>
      </w:r>
      <w:r w:rsidR="00D25DAB" w:rsidRPr="002F2E39">
        <w:t xml:space="preserve"> </w:t>
      </w:r>
      <w:r w:rsidR="00922209" w:rsidRPr="00922209">
        <w:t>This choice should not be understood as suggesting that abortion represents the sole or even principal manifestation of reproductive injustice within Ireland. Irish feminist scholarship has demonstrated that reproductive governance also operated through institutions including the Magdalene Laundries,</w:t>
      </w:r>
      <w:r w:rsidR="00922209">
        <w:rPr>
          <w:rStyle w:val="FootnoteReference"/>
        </w:rPr>
        <w:footnoteReference w:id="16"/>
      </w:r>
      <w:r w:rsidR="00922209" w:rsidRPr="00922209">
        <w:t xml:space="preserve"> Mother and Baby Homes,</w:t>
      </w:r>
      <w:r w:rsidR="00922209">
        <w:rPr>
          <w:rStyle w:val="FootnoteReference"/>
        </w:rPr>
        <w:footnoteReference w:id="17"/>
      </w:r>
      <w:r w:rsidR="00922209" w:rsidRPr="00922209">
        <w:t xml:space="preserve"> the coercive regulation of unmarried mothers</w:t>
      </w:r>
      <w:r w:rsidR="008B0342">
        <w:t>,</w:t>
      </w:r>
      <w:r w:rsidR="008B0342">
        <w:rPr>
          <w:rStyle w:val="FootnoteReference"/>
        </w:rPr>
        <w:footnoteReference w:id="18"/>
      </w:r>
      <w:r w:rsidR="008B0342">
        <w:t xml:space="preserve"> bans on contraception</w:t>
      </w:r>
      <w:r w:rsidR="008B0342">
        <w:rPr>
          <w:rStyle w:val="FootnoteReference"/>
        </w:rPr>
        <w:footnoteReference w:id="19"/>
      </w:r>
      <w:r w:rsidR="008B0342">
        <w:t xml:space="preserve"> and ongoing practices and harms of </w:t>
      </w:r>
      <w:r w:rsidR="008B0342" w:rsidRPr="008B0342">
        <w:t>symphysiotomies</w:t>
      </w:r>
      <w:r w:rsidR="00922209" w:rsidRPr="00922209">
        <w:t>.</w:t>
      </w:r>
      <w:r w:rsidR="008B0342">
        <w:rPr>
          <w:rStyle w:val="FootnoteReference"/>
        </w:rPr>
        <w:footnoteReference w:id="20"/>
      </w:r>
      <w:r w:rsidR="00922209" w:rsidRPr="00922209">
        <w:t xml:space="preserve"> Likewise, Peru has experienced broader reproductive injustices including restrictive abortion laws</w:t>
      </w:r>
      <w:r w:rsidR="00922209">
        <w:rPr>
          <w:rStyle w:val="FootnoteReference"/>
        </w:rPr>
        <w:footnoteReference w:id="21"/>
      </w:r>
      <w:r w:rsidR="006F1789">
        <w:t xml:space="preserve"> and</w:t>
      </w:r>
      <w:r w:rsidR="00922209" w:rsidRPr="00922209">
        <w:t xml:space="preserve"> unequal maternal healthcare</w:t>
      </w:r>
      <w:r w:rsidR="006F1789">
        <w:t>.</w:t>
      </w:r>
      <w:r w:rsidR="00922209">
        <w:rPr>
          <w:rStyle w:val="FootnoteReference"/>
        </w:rPr>
        <w:footnoteReference w:id="22"/>
      </w:r>
      <w:r w:rsidR="00922209" w:rsidRPr="00922209">
        <w:t xml:space="preserve"> </w:t>
      </w:r>
      <w:r w:rsidR="006F1789">
        <w:t>The criminalisation of abortion and forced sterilisation</w:t>
      </w:r>
      <w:r w:rsidR="00922209" w:rsidRPr="00922209">
        <w:t xml:space="preserve"> are </w:t>
      </w:r>
      <w:r w:rsidR="006F1789">
        <w:t xml:space="preserve">thus </w:t>
      </w:r>
      <w:r w:rsidR="00922209" w:rsidRPr="00922209">
        <w:t>selected not because they exhaust either country</w:t>
      </w:r>
      <w:r w:rsidR="004D1905">
        <w:t>’</w:t>
      </w:r>
      <w:r w:rsidR="00922209" w:rsidRPr="00922209">
        <w:t>s reproductive history</w:t>
      </w:r>
      <w:r w:rsidR="006F1789">
        <w:t>,</w:t>
      </w:r>
      <w:r w:rsidR="00922209" w:rsidRPr="00922209">
        <w:t xml:space="preserve"> but because they represent contrasting forms of state reproductive </w:t>
      </w:r>
      <w:r w:rsidR="00922209" w:rsidRPr="00922209">
        <w:lastRenderedPageBreak/>
        <w:t>governance that permit analysis of how apparently opposite reproductive policies may reproduce common structural logics.</w:t>
      </w:r>
    </w:p>
    <w:p w14:paraId="5953B4F8" w14:textId="0EAF8326" w:rsidR="00AF7BCC" w:rsidRDefault="002D24D5" w:rsidP="00203B25">
      <w:pPr>
        <w:pStyle w:val="NormalWeb"/>
        <w:spacing w:line="360" w:lineRule="auto"/>
        <w:jc w:val="both"/>
        <w:rPr>
          <w:color w:val="000000" w:themeColor="text1"/>
        </w:rPr>
      </w:pPr>
      <w:r w:rsidRPr="002F2E39">
        <w:t xml:space="preserve">Crucially, </w:t>
      </w:r>
      <w:r w:rsidR="002A518F" w:rsidRPr="002F2E39">
        <w:t xml:space="preserve">these case studies </w:t>
      </w:r>
      <w:r w:rsidRPr="002F2E39">
        <w:t>reveal that reproductive injustice is produced not merely through restriction or expansion of formal rights, but through the differential regulation of whose reproduction is valued, encouraged, or constrained—a dynamic that IHRL</w:t>
      </w:r>
      <w:r w:rsidR="004D1905">
        <w:t>’</w:t>
      </w:r>
      <w:r w:rsidRPr="002F2E39">
        <w:t xml:space="preserve">s liberal architecture, oriented as it is towards formal legality and state compliance, is structurally ill-equipped to </w:t>
      </w:r>
      <w:r w:rsidRPr="00B94058">
        <w:rPr>
          <w:color w:val="000000" w:themeColor="text1"/>
        </w:rPr>
        <w:t>address</w:t>
      </w:r>
      <w:r w:rsidR="00EE35B2" w:rsidRPr="00B94058">
        <w:rPr>
          <w:color w:val="000000" w:themeColor="text1"/>
        </w:rPr>
        <w:t xml:space="preserve">. Colen conceptualises this dynamic as </w:t>
      </w:r>
      <w:r w:rsidR="004D1905">
        <w:rPr>
          <w:color w:val="000000" w:themeColor="text1"/>
        </w:rPr>
        <w:t>‘</w:t>
      </w:r>
      <w:r w:rsidR="00EE35B2" w:rsidRPr="00B94058">
        <w:rPr>
          <w:color w:val="000000" w:themeColor="text1"/>
        </w:rPr>
        <w:t>stratified reproduction</w:t>
      </w:r>
      <w:r w:rsidR="004D1905">
        <w:rPr>
          <w:color w:val="000000" w:themeColor="text1"/>
        </w:rPr>
        <w:t>’</w:t>
      </w:r>
      <w:r w:rsidR="00EE35B2" w:rsidRPr="00B94058">
        <w:rPr>
          <w:color w:val="000000" w:themeColor="text1"/>
        </w:rPr>
        <w:t xml:space="preserve">, through which reproductive labour and reproductive capacities are </w:t>
      </w:r>
      <w:r w:rsidR="004D1905">
        <w:rPr>
          <w:color w:val="000000" w:themeColor="text1"/>
        </w:rPr>
        <w:t>‘</w:t>
      </w:r>
      <w:r w:rsidR="00EE35B2" w:rsidRPr="00B94058">
        <w:rPr>
          <w:color w:val="000000" w:themeColor="text1"/>
        </w:rPr>
        <w:t>differentially experienced, valued, and rewarded according to inequalities of access to material and social resources</w:t>
      </w:r>
      <w:r w:rsidR="004D1905">
        <w:rPr>
          <w:color w:val="000000" w:themeColor="text1"/>
        </w:rPr>
        <w:t>’</w:t>
      </w:r>
      <w:r w:rsidR="00D90E0D">
        <w:rPr>
          <w:color w:val="000000" w:themeColor="text1"/>
        </w:rPr>
        <w:t>.</w:t>
      </w:r>
      <w:r w:rsidR="00EE35B2" w:rsidRPr="00B94058">
        <w:rPr>
          <w:rStyle w:val="FootnoteReference"/>
          <w:color w:val="000000" w:themeColor="text1"/>
        </w:rPr>
        <w:footnoteReference w:id="23"/>
      </w:r>
      <w:r w:rsidR="00EE35B2" w:rsidRPr="00B94058">
        <w:rPr>
          <w:color w:val="000000" w:themeColor="text1"/>
        </w:rPr>
        <w:t xml:space="preserve"> </w:t>
      </w:r>
      <w:r w:rsidR="00D90E0D">
        <w:rPr>
          <w:color w:val="000000" w:themeColor="text1"/>
        </w:rPr>
        <w:t xml:space="preserve">This is further </w:t>
      </w:r>
      <w:r w:rsidR="00EE35B2" w:rsidRPr="00B94058">
        <w:rPr>
          <w:color w:val="000000" w:themeColor="text1"/>
        </w:rPr>
        <w:t xml:space="preserve">structured by class, race, gender, migration status and broader political and economic forces. Rather than governing reproduction uniformly, states differentially assign reproductive value, fostering the reproduction of some populations while constraining that of others. </w:t>
      </w:r>
    </w:p>
    <w:p w14:paraId="3DBFD824" w14:textId="365B3792" w:rsidR="002D24D5" w:rsidRPr="00B94058" w:rsidRDefault="00EE35B2" w:rsidP="00203B25">
      <w:pPr>
        <w:pStyle w:val="NormalWeb"/>
        <w:spacing w:line="360" w:lineRule="auto"/>
        <w:jc w:val="both"/>
        <w:rPr>
          <w:color w:val="000000" w:themeColor="text1"/>
        </w:rPr>
      </w:pPr>
      <w:r w:rsidRPr="00B94058">
        <w:rPr>
          <w:color w:val="000000" w:themeColor="text1"/>
        </w:rPr>
        <w:t>Read through this lens, Ireland</w:t>
      </w:r>
      <w:r w:rsidR="004D1905">
        <w:rPr>
          <w:color w:val="000000" w:themeColor="text1"/>
        </w:rPr>
        <w:t>’</w:t>
      </w:r>
      <w:r w:rsidRPr="00B94058">
        <w:rPr>
          <w:color w:val="000000" w:themeColor="text1"/>
        </w:rPr>
        <w:t>s abortion regime and Peru</w:t>
      </w:r>
      <w:r w:rsidR="004D1905">
        <w:rPr>
          <w:color w:val="000000" w:themeColor="text1"/>
        </w:rPr>
        <w:t>’</w:t>
      </w:r>
      <w:r w:rsidRPr="00B94058">
        <w:rPr>
          <w:color w:val="000000" w:themeColor="text1"/>
        </w:rPr>
        <w:t xml:space="preserve">s sterilisation programme do not represent opposing reproductive projects but opposite expressions of the same stratified logic: the former privileged the reproduction of women positioned as central to the postcolonial nation, while the latter sought to suppress the fertility of Indigenous women whose reproduction was constructed as incompatible with projects of national development. </w:t>
      </w:r>
      <w:r w:rsidR="00563B60" w:rsidRPr="00B94058">
        <w:rPr>
          <w:color w:val="000000" w:themeColor="text1"/>
        </w:rPr>
        <w:t>T</w:t>
      </w:r>
      <w:r w:rsidR="002F1654" w:rsidRPr="00B94058">
        <w:rPr>
          <w:color w:val="000000" w:themeColor="text1"/>
        </w:rPr>
        <w:t xml:space="preserve">hese policies </w:t>
      </w:r>
      <w:r w:rsidR="00563B60" w:rsidRPr="00B94058">
        <w:rPr>
          <w:color w:val="000000" w:themeColor="text1"/>
        </w:rPr>
        <w:t>d</w:t>
      </w:r>
      <w:r w:rsidR="00D90E0D">
        <w:rPr>
          <w:color w:val="000000" w:themeColor="text1"/>
        </w:rPr>
        <w:t>id</w:t>
      </w:r>
      <w:r w:rsidR="002F1654" w:rsidRPr="00B94058">
        <w:rPr>
          <w:color w:val="000000" w:themeColor="text1"/>
        </w:rPr>
        <w:t xml:space="preserve"> not simply reflect technocratic failures but reproduced longstanding colonial distinctions between populations whose reproduction was to be fostered and those whose fertility was to be managed</w:t>
      </w:r>
      <w:r w:rsidRPr="00B94058">
        <w:rPr>
          <w:color w:val="000000" w:themeColor="text1"/>
        </w:rPr>
        <w:t>.</w:t>
      </w:r>
      <w:r w:rsidR="002F1654" w:rsidRPr="00B94058">
        <w:rPr>
          <w:color w:val="000000" w:themeColor="text1"/>
        </w:rPr>
        <w:t xml:space="preserve"> </w:t>
      </w:r>
      <w:r w:rsidRPr="00B94058">
        <w:rPr>
          <w:color w:val="000000" w:themeColor="text1"/>
        </w:rPr>
        <w:t>As Ross and Solinger argue, reproductive justice emerged precisely because reproductive oppression has historically operated through both the denial of the right not to have children and the denial of the right to have and raise children with dignity.</w:t>
      </w:r>
      <w:r w:rsidR="00B94058" w:rsidRPr="00B94058">
        <w:rPr>
          <w:rStyle w:val="FootnoteReference"/>
          <w:color w:val="000000" w:themeColor="text1"/>
        </w:rPr>
        <w:footnoteReference w:id="24"/>
      </w:r>
      <w:r w:rsidRPr="00B94058">
        <w:rPr>
          <w:color w:val="000000" w:themeColor="text1"/>
        </w:rPr>
        <w:t xml:space="preserve"> Reproductive justice therefore rejects an exclusive focus on individual choice, insisting instead that reproductive freedom depends upon the material, political and social conditions within which reproductive decisions are made.</w:t>
      </w:r>
      <w:r w:rsidRPr="00B94058">
        <w:rPr>
          <w:rStyle w:val="FootnoteReference"/>
          <w:color w:val="000000" w:themeColor="text1"/>
        </w:rPr>
        <w:footnoteReference w:id="25"/>
      </w:r>
      <w:r w:rsidRPr="00B94058">
        <w:rPr>
          <w:color w:val="000000" w:themeColor="text1"/>
        </w:rPr>
        <w:t xml:space="preserve"> </w:t>
      </w:r>
      <w:r w:rsidR="00D90E0D">
        <w:rPr>
          <w:color w:val="000000" w:themeColor="text1"/>
        </w:rPr>
        <w:t>Ross and Solinger’s</w:t>
      </w:r>
      <w:r w:rsidRPr="00B94058">
        <w:rPr>
          <w:color w:val="000000" w:themeColor="text1"/>
        </w:rPr>
        <w:t xml:space="preserve"> genealogy is rooted in the organising of women of colour, wh</w:t>
      </w:r>
      <w:r w:rsidR="0065320F">
        <w:rPr>
          <w:color w:val="000000" w:themeColor="text1"/>
        </w:rPr>
        <w:t>ich</w:t>
      </w:r>
      <w:r w:rsidRPr="00B94058">
        <w:rPr>
          <w:color w:val="000000" w:themeColor="text1"/>
        </w:rPr>
        <w:t xml:space="preserve"> understood contemporary reproductive abuses—including coercive sterilisation, restrictions on abortion, welfare policies and the policing of </w:t>
      </w:r>
      <w:r w:rsidRPr="00B94058">
        <w:rPr>
          <w:color w:val="000000" w:themeColor="text1"/>
        </w:rPr>
        <w:lastRenderedPageBreak/>
        <w:t>motherhood—as the continuing legacies of slavery, colonialism and racial capitalism rather than isolated legal wrongs.</w:t>
      </w:r>
      <w:r w:rsidRPr="00B94058">
        <w:rPr>
          <w:rStyle w:val="FootnoteReference"/>
          <w:color w:val="000000" w:themeColor="text1"/>
        </w:rPr>
        <w:footnoteReference w:id="26"/>
      </w:r>
    </w:p>
    <w:p w14:paraId="434A08C6" w14:textId="0141BB46" w:rsidR="006F57D8" w:rsidRDefault="006F57D8" w:rsidP="006F57D8">
      <w:pPr>
        <w:pStyle w:val="font-claude-response-body"/>
        <w:spacing w:line="360" w:lineRule="auto"/>
        <w:jc w:val="both"/>
      </w:pPr>
      <w:r w:rsidRPr="006F57D8">
        <w:t>The article develops this argument across four sections. The first examines the theoretical framework, situating procreative liberty and rights-based approaches within feminist and postcolonial critiques of IHRL</w:t>
      </w:r>
      <w:r w:rsidR="004D1905">
        <w:t>’</w:t>
      </w:r>
      <w:r w:rsidRPr="006F57D8">
        <w:t>s capacity for structural transformation. The second and third sections develop the case studies. Ireland</w:t>
      </w:r>
      <w:r w:rsidR="004D1905">
        <w:t>’</w:t>
      </w:r>
      <w:r w:rsidRPr="006F57D8">
        <w:t>s abortion regime is analysed as a structural feature of postcolonial state-building, with particular attention to the persistence of reproductive governance through clinical gatekeeping in the wake of partial decriminalisation. Peru</w:t>
      </w:r>
      <w:r w:rsidR="004D1905">
        <w:t>’</w:t>
      </w:r>
      <w:r w:rsidRPr="006F57D8">
        <w:t xml:space="preserve">s sterilisation programme is examined as a contemporary expression of colonial demographic governance in which reproductive coercion was embedded within state development policy. The fourth section brings the case studies into dialogue to examine why </w:t>
      </w:r>
      <w:r>
        <w:t>IHRL</w:t>
      </w:r>
      <w:r w:rsidRPr="006F57D8">
        <w:t xml:space="preserve"> operated differently across these contexts while revealing a common structural limitation: although increasingly effective at identifying and remedying reproductive rights violations, it remains comparatively less equipped to transform the colonial, institutional and racial relations through which reproductive governance is reproduced. The conclusion reflects on what these findings reveal about the possibilities and limits of IHRL and the implications for feminist engagement with international human rights mechanisms.</w:t>
      </w:r>
    </w:p>
    <w:p w14:paraId="65D59DB7" w14:textId="12AAF372" w:rsidR="00865F09" w:rsidRPr="002F2E39" w:rsidRDefault="00865F09" w:rsidP="0067285A">
      <w:pPr>
        <w:pStyle w:val="Heading2"/>
      </w:pPr>
      <w:r w:rsidRPr="002F2E39">
        <w:t>Human Rights and Reproductive Justice</w:t>
      </w:r>
    </w:p>
    <w:p w14:paraId="5AA39B21" w14:textId="365A29D1" w:rsidR="007B6C8A" w:rsidRPr="002F2E39" w:rsidRDefault="006C5767" w:rsidP="006C5767">
      <w:pPr>
        <w:spacing w:line="360" w:lineRule="auto"/>
        <w:jc w:val="both"/>
        <w:rPr>
          <w:rStyle w:val="Strong"/>
          <w:rFonts w:ascii="Times New Roman" w:hAnsi="Times New Roman" w:cs="Times New Roman"/>
          <w:b w:val="0"/>
          <w:bCs w:val="0"/>
        </w:rPr>
      </w:pPr>
      <w:r w:rsidRPr="002F2E39">
        <w:rPr>
          <w:rFonts w:ascii="Times New Roman" w:hAnsi="Times New Roman" w:cs="Times New Roman"/>
        </w:rPr>
        <w:t>The concept of procreative liberty has emerged as a central normative justification for reproductive rights, grounded in the principle that individuals possess authority over their own bodies and reproductive lives.</w:t>
      </w:r>
      <w:r w:rsidRPr="002F2E39">
        <w:rPr>
          <w:rFonts w:ascii="Times New Roman" w:hAnsi="Times New Roman" w:cs="Times New Roman"/>
          <w:vertAlign w:val="superscript"/>
        </w:rPr>
        <w:footnoteReference w:id="27"/>
      </w:r>
      <w:r w:rsidRPr="002F2E39">
        <w:rPr>
          <w:rFonts w:ascii="Times New Roman" w:hAnsi="Times New Roman" w:cs="Times New Roman"/>
          <w:vertAlign w:val="superscript"/>
        </w:rPr>
        <w:t xml:space="preserve"> </w:t>
      </w:r>
      <w:r w:rsidRPr="002F2E39">
        <w:rPr>
          <w:rFonts w:ascii="Times New Roman" w:hAnsi="Times New Roman" w:cs="Times New Roman"/>
        </w:rPr>
        <w:t xml:space="preserve"> As Thomson argued, </w:t>
      </w:r>
      <w:r w:rsidR="004D1905">
        <w:rPr>
          <w:rFonts w:ascii="Times New Roman" w:hAnsi="Times New Roman" w:cs="Times New Roman"/>
        </w:rPr>
        <w:t>‘</w:t>
      </w:r>
      <w:r w:rsidRPr="002F2E39">
        <w:rPr>
          <w:rFonts w:ascii="Times New Roman" w:hAnsi="Times New Roman" w:cs="Times New Roman"/>
        </w:rPr>
        <w:t>if a human being has any just prior claim to anything at all, he has a just prior claim to his own body</w:t>
      </w:r>
      <w:r w:rsidR="004D1905">
        <w:rPr>
          <w:rFonts w:ascii="Times New Roman" w:hAnsi="Times New Roman" w:cs="Times New Roman"/>
        </w:rPr>
        <w:t>’</w:t>
      </w:r>
      <w:r w:rsidRPr="002F2E39">
        <w:rPr>
          <w:rFonts w:ascii="Times New Roman" w:hAnsi="Times New Roman" w:cs="Times New Roman"/>
        </w:rPr>
        <w:t>.</w:t>
      </w:r>
      <w:r w:rsidRPr="002F2E39">
        <w:rPr>
          <w:rFonts w:ascii="Times New Roman" w:hAnsi="Times New Roman" w:cs="Times New Roman"/>
          <w:vertAlign w:val="superscript"/>
        </w:rPr>
        <w:footnoteReference w:id="28"/>
      </w:r>
      <w:r w:rsidRPr="002F2E39">
        <w:rPr>
          <w:rFonts w:ascii="Times New Roman" w:hAnsi="Times New Roman" w:cs="Times New Roman"/>
        </w:rPr>
        <w:t xml:space="preserve"> On this account, decisions concerning contraception or abortion derive from bodily autonomy and freedom from state interference. </w:t>
      </w:r>
      <w:r w:rsidRPr="002F2E39">
        <w:rPr>
          <w:rStyle w:val="Strong"/>
          <w:rFonts w:ascii="Times New Roman" w:hAnsi="Times New Roman" w:cs="Times New Roman"/>
          <w:b w:val="0"/>
          <w:bCs w:val="0"/>
        </w:rPr>
        <w:t>While this liberal conception has been central to the development of reproductive rights,</w:t>
      </w:r>
      <w:r w:rsidRPr="002F2E39">
        <w:rPr>
          <w:rStyle w:val="FootnoteReference"/>
          <w:rFonts w:ascii="Times New Roman" w:hAnsi="Times New Roman" w:cs="Times New Roman"/>
        </w:rPr>
        <w:footnoteReference w:id="29"/>
      </w:r>
      <w:r w:rsidRPr="002F2E39">
        <w:rPr>
          <w:rStyle w:val="Strong"/>
          <w:rFonts w:ascii="Times New Roman" w:hAnsi="Times New Roman" w:cs="Times New Roman"/>
          <w:b w:val="0"/>
          <w:bCs w:val="0"/>
        </w:rPr>
        <w:t xml:space="preserve"> feminist scholars have questioned whether an emphasis on individual autonomy alone </w:t>
      </w:r>
      <w:r w:rsidRPr="002F2E39">
        <w:rPr>
          <w:rStyle w:val="Strong"/>
          <w:rFonts w:ascii="Times New Roman" w:hAnsi="Times New Roman" w:cs="Times New Roman"/>
          <w:b w:val="0"/>
          <w:bCs w:val="0"/>
        </w:rPr>
        <w:lastRenderedPageBreak/>
        <w:t>can adequately explain how reproductive power is exercised through broader social, political and colonial structures.</w:t>
      </w:r>
      <w:r w:rsidRPr="002F2E39">
        <w:rPr>
          <w:rStyle w:val="FootnoteReference"/>
          <w:rFonts w:ascii="Times New Roman" w:eastAsia="Times New Roman" w:hAnsi="Times New Roman" w:cs="Times New Roman"/>
          <w:kern w:val="0"/>
          <w:lang w:eastAsia="en-GB"/>
          <w14:ligatures w14:val="none"/>
        </w:rPr>
        <w:footnoteReference w:id="30"/>
      </w:r>
    </w:p>
    <w:p w14:paraId="69165191" w14:textId="77777777" w:rsidR="006C5767" w:rsidRPr="002F2E39" w:rsidRDefault="006C5767" w:rsidP="006C5767">
      <w:pPr>
        <w:spacing w:line="360" w:lineRule="auto"/>
        <w:jc w:val="both"/>
        <w:rPr>
          <w:rStyle w:val="Strong"/>
          <w:rFonts w:ascii="Times New Roman" w:hAnsi="Times New Roman" w:cs="Times New Roman"/>
          <w:b w:val="0"/>
          <w:bCs w:val="0"/>
        </w:rPr>
      </w:pPr>
    </w:p>
    <w:p w14:paraId="184407E3" w14:textId="5A511BC6" w:rsidR="006C5767" w:rsidRPr="002F2E39" w:rsidRDefault="006C5767" w:rsidP="006C5767">
      <w:pPr>
        <w:spacing w:line="360" w:lineRule="auto"/>
        <w:jc w:val="both"/>
        <w:rPr>
          <w:rFonts w:ascii="Times New Roman" w:hAnsi="Times New Roman" w:cs="Times New Roman"/>
        </w:rPr>
      </w:pPr>
      <w:r w:rsidRPr="002F2E39">
        <w:rPr>
          <w:rFonts w:ascii="Times New Roman" w:hAnsi="Times New Roman" w:cs="Times New Roman"/>
        </w:rPr>
        <w:t>Feminist international legal scholarship has consistently argued that these liberal assumptions constrain the transformative potential of IHRL.</w:t>
      </w:r>
      <w:r w:rsidR="00AE7F44">
        <w:rPr>
          <w:rFonts w:ascii="Times New Roman" w:hAnsi="Times New Roman" w:cs="Times New Roman"/>
        </w:rPr>
        <w:t xml:space="preserve"> </w:t>
      </w:r>
      <w:r w:rsidRPr="002F2E39">
        <w:rPr>
          <w:rFonts w:ascii="Times New Roman" w:hAnsi="Times New Roman" w:cs="Times New Roman"/>
        </w:rPr>
        <w:t>The public/private divide has historically relegated harms disproportionately experienced by women—including reproductive coercion, denial of healthcare and gender-based violence—to spaces regarded as beyond the proper concern of international law.</w:t>
      </w:r>
      <w:r w:rsidRPr="002F2E39">
        <w:rPr>
          <w:rStyle w:val="FootnoteReference"/>
          <w:rFonts w:ascii="Times New Roman" w:hAnsi="Times New Roman" w:cs="Times New Roman"/>
        </w:rPr>
        <w:footnoteReference w:id="31"/>
      </w:r>
      <w:r w:rsidRPr="002F2E39">
        <w:rPr>
          <w:rFonts w:ascii="Times New Roman" w:hAnsi="Times New Roman" w:cs="Times New Roman"/>
        </w:rPr>
        <w:t xml:space="preserve"> As Charlesworth observes, ostensibly universal rights frameworks privilege abstract legal equality while obscuring the gendered power relations that determine whose claims become legally intelligible.</w:t>
      </w:r>
      <w:r w:rsidRPr="002F2E39">
        <w:rPr>
          <w:rStyle w:val="FootnoteReference"/>
          <w:rFonts w:ascii="Times New Roman" w:eastAsia="Times New Roman" w:hAnsi="Times New Roman" w:cs="Times New Roman"/>
          <w:kern w:val="0"/>
          <w:lang w:eastAsia="en-GB"/>
          <w14:ligatures w14:val="none"/>
        </w:rPr>
        <w:footnoteReference w:id="32"/>
      </w:r>
      <w:r w:rsidRPr="002F2E39">
        <w:rPr>
          <w:rFonts w:ascii="Times New Roman" w:hAnsi="Times New Roman" w:cs="Times New Roman"/>
        </w:rPr>
        <w:t xml:space="preserve"> Extending this critique beyond gender, Kapur argues that rights discourse frequently individualises structural inequalities, translating political struggles into claims for legal recognition while leaving colonial and economic relations largely intact.</w:t>
      </w:r>
      <w:r w:rsidRPr="002F2E39">
        <w:rPr>
          <w:rStyle w:val="FootnoteReference"/>
          <w:rFonts w:ascii="Times New Roman" w:eastAsia="Times New Roman" w:hAnsi="Times New Roman" w:cs="Times New Roman"/>
          <w:color w:val="000000" w:themeColor="text1"/>
          <w:kern w:val="0"/>
          <w:lang w:eastAsia="en-GB"/>
          <w14:ligatures w14:val="none"/>
        </w:rPr>
        <w:footnoteReference w:id="33"/>
      </w:r>
      <w:r w:rsidRPr="002F2E39">
        <w:rPr>
          <w:rFonts w:ascii="Times New Roman" w:hAnsi="Times New Roman" w:cs="Times New Roman"/>
        </w:rPr>
        <w:t xml:space="preserve"> Likewise, Otto</w:t>
      </w:r>
      <w:r w:rsidRPr="002F2E39">
        <w:rPr>
          <w:rStyle w:val="FootnoteReference"/>
          <w:rFonts w:ascii="Times New Roman" w:hAnsi="Times New Roman" w:cs="Times New Roman"/>
        </w:rPr>
        <w:footnoteReference w:id="34"/>
      </w:r>
      <w:r w:rsidRPr="002F2E39">
        <w:rPr>
          <w:rFonts w:ascii="Times New Roman" w:hAnsi="Times New Roman" w:cs="Times New Roman"/>
        </w:rPr>
        <w:t xml:space="preserve"> and Merry</w:t>
      </w:r>
      <w:r w:rsidRPr="002F2E39">
        <w:rPr>
          <w:rStyle w:val="FootnoteReference"/>
          <w:rFonts w:ascii="Times New Roman" w:hAnsi="Times New Roman" w:cs="Times New Roman"/>
        </w:rPr>
        <w:footnoteReference w:id="35"/>
      </w:r>
      <w:r w:rsidRPr="002F2E39">
        <w:rPr>
          <w:rFonts w:ascii="Times New Roman" w:hAnsi="Times New Roman" w:cs="Times New Roman"/>
        </w:rPr>
        <w:t xml:space="preserve"> demonstrate that the institutionalisation of human rights often privileges bureaucratic compliance over structural transformation, while Cook</w:t>
      </w:r>
      <w:r w:rsidRPr="002F2E39">
        <w:rPr>
          <w:rStyle w:val="FootnoteReference"/>
          <w:rFonts w:ascii="Times New Roman" w:hAnsi="Times New Roman" w:cs="Times New Roman"/>
        </w:rPr>
        <w:footnoteReference w:id="36"/>
      </w:r>
      <w:r w:rsidRPr="002F2E39">
        <w:rPr>
          <w:rFonts w:ascii="Times New Roman" w:hAnsi="Times New Roman" w:cs="Times New Roman"/>
        </w:rPr>
        <w:t xml:space="preserve"> identifies a longstanding reluctance within traditional human rights discourse to recognise violations of women</w:t>
      </w:r>
      <w:r w:rsidR="004D1905">
        <w:rPr>
          <w:rFonts w:ascii="Times New Roman" w:hAnsi="Times New Roman" w:cs="Times New Roman"/>
        </w:rPr>
        <w:t>’</w:t>
      </w:r>
      <w:r w:rsidRPr="002F2E39">
        <w:rPr>
          <w:rFonts w:ascii="Times New Roman" w:hAnsi="Times New Roman" w:cs="Times New Roman"/>
        </w:rPr>
        <w:t xml:space="preserve">s rights. Collectively, these critiques suggest that reproductive injustice cannot be understood simply as a question of individual choice or legal access, but as a structural condition reproduced through law, </w:t>
      </w:r>
      <w:r w:rsidR="00AE7F44">
        <w:rPr>
          <w:rFonts w:ascii="Times New Roman" w:hAnsi="Times New Roman" w:cs="Times New Roman"/>
        </w:rPr>
        <w:t xml:space="preserve">access to healthcare, </w:t>
      </w:r>
      <w:r w:rsidRPr="002F2E39">
        <w:rPr>
          <w:rFonts w:ascii="Times New Roman" w:hAnsi="Times New Roman" w:cs="Times New Roman"/>
        </w:rPr>
        <w:t>and public policy.</w:t>
      </w:r>
    </w:p>
    <w:p w14:paraId="1F743A2E" w14:textId="08E115B8" w:rsidR="00AE76A3" w:rsidRPr="00AE7F44" w:rsidRDefault="006C5767" w:rsidP="00AE7F44">
      <w:pPr>
        <w:pStyle w:val="pdq2pgselectionanchorcontainer"/>
        <w:spacing w:line="360" w:lineRule="auto"/>
        <w:jc w:val="both"/>
      </w:pPr>
      <w:r w:rsidRPr="002F2E39">
        <w:t xml:space="preserve">These critiques should not be understood as suggesting that </w:t>
      </w:r>
      <w:r w:rsidR="00AF7BCC">
        <w:t>IHRL</w:t>
      </w:r>
      <w:r w:rsidRPr="002F2E39">
        <w:t xml:space="preserve"> has failed to develop robust reproductive rights standards. On the contrary, the Cairo</w:t>
      </w:r>
      <w:r w:rsidRPr="002F2E39">
        <w:rPr>
          <w:vertAlign w:val="superscript"/>
        </w:rPr>
        <w:footnoteReference w:id="37"/>
      </w:r>
      <w:r w:rsidRPr="002F2E39">
        <w:t xml:space="preserve"> and Beijing</w:t>
      </w:r>
      <w:r w:rsidRPr="002F2E39">
        <w:rPr>
          <w:vertAlign w:val="superscript"/>
        </w:rPr>
        <w:footnoteReference w:id="38"/>
      </w:r>
      <w:r w:rsidRPr="002F2E39">
        <w:t xml:space="preserve"> Conferences marked </w:t>
      </w:r>
      <w:r w:rsidRPr="002F2E39">
        <w:lastRenderedPageBreak/>
        <w:t>a significant shift by establishing reproductive health and reproductive rights as matters of international human rights concern, while United Nations treaty monitoring bodies have progressively interpreted existing human rights treaties to encompass reproductive autonomy through individual communications, General Recommendations, Concluding Observations and state reporting procedures.</w:t>
      </w:r>
      <w:r w:rsidRPr="002F2E39">
        <w:rPr>
          <w:rStyle w:val="FootnoteReference"/>
        </w:rPr>
        <w:footnoteReference w:id="39"/>
      </w:r>
      <w:r w:rsidRPr="002F2E39">
        <w:t xml:space="preserve"> As Coomaraswamy observes, however, the incorporation of reproductive rights into international governance also embedded them within state-centred and developmentalist frameworks, illustrating how rights may simultaneously empower women and facilitate new forms of reproductive governance.</w:t>
      </w:r>
      <w:r w:rsidRPr="002F2E39">
        <w:rPr>
          <w:rStyle w:val="FootnoteReference"/>
          <w:color w:val="000000" w:themeColor="text1"/>
        </w:rPr>
        <w:footnoteReference w:id="40"/>
      </w:r>
      <w:r w:rsidRPr="002F2E39">
        <w:t xml:space="preserve"> The argument advanced here is therefore not that IHRL lacks normative sophistication or accountability mechanisms. Rather, its institutional architecture remains principally directed towards identifying and remedying rights violations through legal compliance. As the case studies will demonstrate, IHRL has become increasingly effective at recognising reproductive harms and securing accountability, yet remains comparatively less equipped to transform the political, colonial and institutional relations through which reproductive governance is constituted.</w:t>
      </w:r>
    </w:p>
    <w:p w14:paraId="3EDF3C61" w14:textId="77777777" w:rsidR="00A05FF9" w:rsidRPr="002F2E39" w:rsidRDefault="00A05FF9" w:rsidP="008945FF">
      <w:pPr>
        <w:pStyle w:val="Heading2"/>
        <w:rPr>
          <w:kern w:val="0"/>
          <w:lang w:eastAsia="en-GB"/>
        </w:rPr>
      </w:pPr>
      <w:r w:rsidRPr="002F2E39">
        <w:rPr>
          <w:lang w:eastAsia="en-GB"/>
        </w:rPr>
        <w:t xml:space="preserve">Abortion and Reproductive Justice in the Republic of Ireland </w:t>
      </w:r>
    </w:p>
    <w:p w14:paraId="370DCD38" w14:textId="4701543B" w:rsidR="00DC13E7" w:rsidRDefault="00650B46" w:rsidP="00911034">
      <w:pPr>
        <w:spacing w:line="360" w:lineRule="auto"/>
        <w:jc w:val="both"/>
        <w:outlineLvl w:val="0"/>
        <w:rPr>
          <w:rFonts w:ascii="Times New Roman" w:hAnsi="Times New Roman" w:cs="Times New Roman"/>
        </w:rPr>
      </w:pPr>
      <w:r w:rsidRPr="002F2E39">
        <w:rPr>
          <w:rFonts w:ascii="Times New Roman" w:hAnsi="Times New Roman" w:cs="Times New Roman"/>
        </w:rPr>
        <w:t xml:space="preserve">While </w:t>
      </w:r>
      <w:r w:rsidR="00DC13E7">
        <w:rPr>
          <w:rFonts w:ascii="Times New Roman" w:hAnsi="Times New Roman" w:cs="Times New Roman"/>
        </w:rPr>
        <w:t xml:space="preserve">the </w:t>
      </w:r>
      <w:r w:rsidRPr="002F2E39">
        <w:rPr>
          <w:rFonts w:ascii="Times New Roman" w:hAnsi="Times New Roman" w:cs="Times New Roman"/>
        </w:rPr>
        <w:t xml:space="preserve">criminalisation </w:t>
      </w:r>
      <w:r w:rsidR="00DC13E7">
        <w:rPr>
          <w:rFonts w:ascii="Times New Roman" w:hAnsi="Times New Roman" w:cs="Times New Roman"/>
        </w:rPr>
        <w:t xml:space="preserve">of </w:t>
      </w:r>
      <w:r w:rsidR="00DC13E7" w:rsidRPr="002F2E39">
        <w:rPr>
          <w:rFonts w:ascii="Times New Roman" w:hAnsi="Times New Roman" w:cs="Times New Roman"/>
        </w:rPr>
        <w:t xml:space="preserve">abortion </w:t>
      </w:r>
      <w:r w:rsidRPr="002F2E39">
        <w:rPr>
          <w:rFonts w:ascii="Times New Roman" w:hAnsi="Times New Roman" w:cs="Times New Roman"/>
        </w:rPr>
        <w:t xml:space="preserve">originated in the colonial legal framework inherited from Britain, its persistence after </w:t>
      </w:r>
      <w:r w:rsidR="00DC13E7">
        <w:rPr>
          <w:rFonts w:ascii="Times New Roman" w:hAnsi="Times New Roman" w:cs="Times New Roman"/>
        </w:rPr>
        <w:t xml:space="preserve">Irish </w:t>
      </w:r>
      <w:r w:rsidRPr="002F2E39">
        <w:rPr>
          <w:rFonts w:ascii="Times New Roman" w:hAnsi="Times New Roman" w:cs="Times New Roman"/>
        </w:rPr>
        <w:t>independence became a distinctive feature of Irish reproductive governance. The continued operation of sections 58 and 59 of the Offences Against the Person Act 1861 in Ireland entrenched one of the most restrictive abortion regimes in Europe</w:t>
      </w:r>
      <w:r w:rsidR="002E7AAA" w:rsidRPr="002F2E39">
        <w:rPr>
          <w:rFonts w:ascii="Times New Roman" w:hAnsi="Times New Roman" w:cs="Times New Roman"/>
        </w:rPr>
        <w:t>.</w:t>
      </w:r>
      <w:r w:rsidR="00A05FF9" w:rsidRPr="002F2E39">
        <w:rPr>
          <w:rFonts w:ascii="Times New Roman" w:eastAsia="Times New Roman" w:hAnsi="Times New Roman" w:cs="Times New Roman"/>
          <w:kern w:val="0"/>
          <w:lang w:eastAsia="en-GB"/>
          <w14:ligatures w14:val="none"/>
        </w:rPr>
        <w:t xml:space="preserve"> </w:t>
      </w:r>
      <w:r w:rsidR="00DC13E7">
        <w:rPr>
          <w:rFonts w:ascii="Times New Roman" w:hAnsi="Times New Roman" w:cs="Times New Roman"/>
        </w:rPr>
        <w:t>Irish f</w:t>
      </w:r>
      <w:r w:rsidR="00A05FF9" w:rsidRPr="002F2E39">
        <w:rPr>
          <w:rFonts w:ascii="Times New Roman" w:hAnsi="Times New Roman" w:cs="Times New Roman"/>
        </w:rPr>
        <w:t>eminist scholarship has consistently situated Ireland</w:t>
      </w:r>
      <w:r w:rsidR="004D1905">
        <w:rPr>
          <w:rFonts w:ascii="Times New Roman" w:hAnsi="Times New Roman" w:cs="Times New Roman"/>
        </w:rPr>
        <w:t>’</w:t>
      </w:r>
      <w:r w:rsidR="00A05FF9" w:rsidRPr="002F2E39">
        <w:rPr>
          <w:rFonts w:ascii="Times New Roman" w:hAnsi="Times New Roman" w:cs="Times New Roman"/>
        </w:rPr>
        <w:t>s restrictive abortion regime within the state</w:t>
      </w:r>
      <w:r w:rsidR="004D1905">
        <w:rPr>
          <w:rFonts w:ascii="Times New Roman" w:hAnsi="Times New Roman" w:cs="Times New Roman"/>
        </w:rPr>
        <w:t>’</w:t>
      </w:r>
      <w:r w:rsidR="00A05FF9" w:rsidRPr="002F2E39">
        <w:rPr>
          <w:rFonts w:ascii="Times New Roman" w:hAnsi="Times New Roman" w:cs="Times New Roman"/>
        </w:rPr>
        <w:t>s distinctive political, religious, and constitutional dynamics, demonstrating how Catholic moral authority, postcolonial constitutional identity, and gendered constructions of national belonging converged to produce a regime of abortion exceptionalism that subordinated women</w:t>
      </w:r>
      <w:r w:rsidR="004D1905">
        <w:rPr>
          <w:rFonts w:ascii="Times New Roman" w:hAnsi="Times New Roman" w:cs="Times New Roman"/>
        </w:rPr>
        <w:t>’</w:t>
      </w:r>
      <w:r w:rsidR="00A05FF9" w:rsidRPr="002F2E39">
        <w:rPr>
          <w:rFonts w:ascii="Times New Roman" w:hAnsi="Times New Roman" w:cs="Times New Roman"/>
        </w:rPr>
        <w:t>s reproductive autonomy to communal moral governance.</w:t>
      </w:r>
      <w:r w:rsidR="00A05FF9" w:rsidRPr="002F2E39">
        <w:rPr>
          <w:rStyle w:val="FootnoteReference"/>
          <w:rFonts w:ascii="Times New Roman" w:hAnsi="Times New Roman" w:cs="Times New Roman"/>
        </w:rPr>
        <w:footnoteReference w:id="41"/>
      </w:r>
      <w:r w:rsidR="00A05FF9" w:rsidRPr="002F2E39">
        <w:rPr>
          <w:rFonts w:ascii="Times New Roman" w:hAnsi="Times New Roman" w:cs="Times New Roman"/>
        </w:rPr>
        <w:t xml:space="preserve"> </w:t>
      </w:r>
    </w:p>
    <w:p w14:paraId="3753AB11" w14:textId="28A5CE13" w:rsidR="00DC13E7" w:rsidRPr="002F2E39" w:rsidRDefault="00DC13E7" w:rsidP="00911034">
      <w:pPr>
        <w:spacing w:before="100" w:beforeAutospacing="1" w:after="100" w:afterAutospacing="1" w:line="360" w:lineRule="auto"/>
        <w:jc w:val="both"/>
        <w:rPr>
          <w:rFonts w:ascii="Times New Roman" w:hAnsi="Times New Roman" w:cs="Times New Roman"/>
        </w:rPr>
      </w:pPr>
      <w:r w:rsidRPr="002F2E39">
        <w:rPr>
          <w:rFonts w:ascii="Times New Roman" w:hAnsi="Times New Roman" w:cs="Times New Roman"/>
        </w:rPr>
        <w:lastRenderedPageBreak/>
        <w:t>For example, the Pro Life Amendment Campaign</w:t>
      </w:r>
      <w:r w:rsidRPr="002F2E39">
        <w:rPr>
          <w:rFonts w:ascii="Times New Roman" w:hAnsi="Times New Roman" w:cs="Times New Roman"/>
          <w:vertAlign w:val="superscript"/>
        </w:rPr>
        <w:footnoteReference w:id="42"/>
      </w:r>
      <w:r w:rsidRPr="002F2E39">
        <w:rPr>
          <w:rFonts w:ascii="Times New Roman" w:hAnsi="Times New Roman" w:cs="Times New Roman"/>
        </w:rPr>
        <w:t xml:space="preserve"> culminated in the adoption of the Eighth Amendment in 1983,</w:t>
      </w:r>
      <w:r w:rsidRPr="002F2E39">
        <w:rPr>
          <w:rFonts w:ascii="Times New Roman" w:hAnsi="Times New Roman" w:cs="Times New Roman"/>
          <w:vertAlign w:val="superscript"/>
        </w:rPr>
        <w:footnoteReference w:id="43"/>
      </w:r>
      <w:r w:rsidRPr="002F2E39">
        <w:rPr>
          <w:rFonts w:ascii="Times New Roman" w:hAnsi="Times New Roman" w:cs="Times New Roman"/>
        </w:rPr>
        <w:t xml:space="preserve"> which recognised the right to life of the unborn as equal to that of the woman. Reflecting the campaign</w:t>
      </w:r>
      <w:r w:rsidR="004D1905">
        <w:rPr>
          <w:rFonts w:ascii="Times New Roman" w:hAnsi="Times New Roman" w:cs="Times New Roman"/>
        </w:rPr>
        <w:t>’</w:t>
      </w:r>
      <w:r w:rsidRPr="002F2E39">
        <w:rPr>
          <w:rFonts w:ascii="Times New Roman" w:hAnsi="Times New Roman" w:cs="Times New Roman"/>
        </w:rPr>
        <w:t>s Catholic moral vision,</w:t>
      </w:r>
      <w:r w:rsidRPr="002F2E39">
        <w:rPr>
          <w:rFonts w:ascii="Times New Roman" w:hAnsi="Times New Roman" w:cs="Times New Roman"/>
          <w:vertAlign w:val="superscript"/>
        </w:rPr>
        <w:footnoteReference w:id="44"/>
      </w:r>
      <w:r w:rsidRPr="002F2E39">
        <w:rPr>
          <w:rFonts w:ascii="Times New Roman" w:hAnsi="Times New Roman" w:cs="Times New Roman"/>
        </w:rPr>
        <w:t xml:space="preserve"> the Amendment reinforced a constitutional order that, since 1937, had been shaped by Catholic social teaching through its provisions on the family, motherhood and the privileged constitutional recognition of the Catholic Church.</w:t>
      </w:r>
      <w:r w:rsidRPr="002F2E39">
        <w:rPr>
          <w:rStyle w:val="FootnoteReference"/>
          <w:rFonts w:ascii="Times New Roman" w:hAnsi="Times New Roman" w:cs="Times New Roman"/>
        </w:rPr>
        <w:footnoteReference w:id="45"/>
      </w:r>
      <w:r w:rsidRPr="002F2E39">
        <w:rPr>
          <w:rFonts w:ascii="Times New Roman" w:hAnsi="Times New Roman" w:cs="Times New Roman"/>
          <w:vertAlign w:val="superscript"/>
        </w:rPr>
        <w:t xml:space="preserve"> </w:t>
      </w:r>
      <w:r w:rsidRPr="002F2E39">
        <w:rPr>
          <w:rFonts w:ascii="Times New Roman" w:hAnsi="Times New Roman" w:cs="Times New Roman"/>
        </w:rPr>
        <w:t xml:space="preserve"> Enright contends that the Eighth Amendment cannot be understood merely as a prohibition on abortion but as part of a broader political project in which women</w:t>
      </w:r>
      <w:r w:rsidR="004D1905">
        <w:rPr>
          <w:rFonts w:ascii="Times New Roman" w:hAnsi="Times New Roman" w:cs="Times New Roman"/>
        </w:rPr>
        <w:t>’</w:t>
      </w:r>
      <w:r w:rsidRPr="002F2E39">
        <w:rPr>
          <w:rFonts w:ascii="Times New Roman" w:hAnsi="Times New Roman" w:cs="Times New Roman"/>
        </w:rPr>
        <w:t>s reproductive capacity became central to the production of national identity.</w:t>
      </w:r>
      <w:r w:rsidRPr="002F2E39">
        <w:rPr>
          <w:rStyle w:val="FootnoteReference"/>
          <w:rFonts w:ascii="Times New Roman" w:hAnsi="Times New Roman" w:cs="Times New Roman"/>
        </w:rPr>
        <w:footnoteReference w:id="46"/>
      </w:r>
      <w:r w:rsidRPr="002F2E39">
        <w:rPr>
          <w:rFonts w:ascii="Times New Roman" w:hAnsi="Times New Roman" w:cs="Times New Roman"/>
        </w:rPr>
        <w:t xml:space="preserve"> She demonstrates that Irish law historically constructed women as mothers for the nation, reflecting the convergence of Catholic ideology, constitutionalism and nationalist conceptions of womanhood.</w:t>
      </w:r>
      <w:r w:rsidRPr="002F2E39">
        <w:rPr>
          <w:rStyle w:val="FootnoteReference"/>
          <w:rFonts w:ascii="Times New Roman" w:hAnsi="Times New Roman" w:cs="Times New Roman"/>
        </w:rPr>
        <w:footnoteReference w:id="47"/>
      </w:r>
      <w:r w:rsidRPr="002F2E39">
        <w:rPr>
          <w:rFonts w:ascii="Times New Roman" w:hAnsi="Times New Roman" w:cs="Times New Roman"/>
        </w:rPr>
        <w:t xml:space="preserve"> Moreover, the abortion reform represented legislative challenge </w:t>
      </w:r>
      <w:r w:rsidRPr="002F2E39">
        <w:rPr>
          <w:rFonts w:ascii="Times New Roman" w:hAnsi="Times New Roman" w:cs="Times New Roman"/>
          <w:i/>
          <w:iCs/>
        </w:rPr>
        <w:t>and</w:t>
      </w:r>
      <w:r w:rsidRPr="002F2E39">
        <w:rPr>
          <w:rFonts w:ascii="Times New Roman" w:hAnsi="Times New Roman" w:cs="Times New Roman"/>
        </w:rPr>
        <w:t xml:space="preserve"> a challenge to the postcolonial constitutional identity of the Irish state itself, rendering the reform process, as Taylor, Spillane and Arulkumaran observe, </w:t>
      </w:r>
      <w:r w:rsidR="004D1905">
        <w:rPr>
          <w:rFonts w:ascii="Times New Roman" w:hAnsi="Times New Roman" w:cs="Times New Roman"/>
        </w:rPr>
        <w:t>‘</w:t>
      </w:r>
      <w:r w:rsidRPr="002F2E39">
        <w:rPr>
          <w:rFonts w:ascii="Times New Roman" w:hAnsi="Times New Roman" w:cs="Times New Roman"/>
        </w:rPr>
        <w:t>lengthy, complex and difficult</w:t>
      </w:r>
      <w:r w:rsidR="004D1905">
        <w:rPr>
          <w:rFonts w:ascii="Times New Roman" w:hAnsi="Times New Roman" w:cs="Times New Roman"/>
        </w:rPr>
        <w:t>’</w:t>
      </w:r>
      <w:r w:rsidRPr="002F2E39">
        <w:rPr>
          <w:rFonts w:ascii="Times New Roman" w:hAnsi="Times New Roman" w:cs="Times New Roman"/>
        </w:rPr>
        <w:t>.</w:t>
      </w:r>
      <w:r w:rsidRPr="002F2E39">
        <w:rPr>
          <w:rFonts w:ascii="Times New Roman" w:hAnsi="Times New Roman" w:cs="Times New Roman"/>
          <w:vertAlign w:val="superscript"/>
        </w:rPr>
        <w:footnoteReference w:id="48"/>
      </w:r>
      <w:r w:rsidRPr="002F2E39">
        <w:rPr>
          <w:rFonts w:ascii="Times New Roman" w:hAnsi="Times New Roman" w:cs="Times New Roman"/>
        </w:rPr>
        <w:t xml:space="preserve"> Adopted by a 67 per cent majority, Article 40.3.3 provided that </w:t>
      </w:r>
      <w:r w:rsidR="004D1905">
        <w:rPr>
          <w:rFonts w:ascii="Times New Roman" w:hAnsi="Times New Roman" w:cs="Times New Roman"/>
        </w:rPr>
        <w:t>‘</w:t>
      </w:r>
      <w:r w:rsidRPr="002F2E39">
        <w:rPr>
          <w:rFonts w:ascii="Times New Roman" w:hAnsi="Times New Roman" w:cs="Times New Roman"/>
        </w:rPr>
        <w:t>the State acknowledges the right to life of the unborn, and with due regard to the equal right to life of the mother, guarantees in its laws to respect, and, as far as practicable, by its laws to defend and vindicate that right</w:t>
      </w:r>
      <w:r w:rsidR="004D1905">
        <w:rPr>
          <w:rFonts w:ascii="Times New Roman" w:hAnsi="Times New Roman" w:cs="Times New Roman"/>
        </w:rPr>
        <w:t>’</w:t>
      </w:r>
      <w:r w:rsidRPr="002F2E39">
        <w:rPr>
          <w:rFonts w:ascii="Times New Roman" w:hAnsi="Times New Roman" w:cs="Times New Roman"/>
        </w:rPr>
        <w:t>.</w:t>
      </w:r>
      <w:r w:rsidRPr="002F2E39">
        <w:rPr>
          <w:rFonts w:ascii="Times New Roman" w:hAnsi="Times New Roman" w:cs="Times New Roman"/>
          <w:vertAlign w:val="superscript"/>
        </w:rPr>
        <w:footnoteReference w:id="49"/>
      </w:r>
      <w:r w:rsidRPr="002F2E39">
        <w:rPr>
          <w:rFonts w:ascii="Times New Roman" w:hAnsi="Times New Roman" w:cs="Times New Roman"/>
        </w:rPr>
        <w:t xml:space="preserve"> By constitutionalising abortion rather than regulating it through ordinary legislation, the State transformed abortion from a question of healthcare into a matter of constitutional morality and postcolonial national identity.</w:t>
      </w:r>
      <w:r w:rsidRPr="002F2E39">
        <w:rPr>
          <w:rFonts w:ascii="Times New Roman" w:hAnsi="Times New Roman" w:cs="Times New Roman"/>
          <w:vertAlign w:val="superscript"/>
        </w:rPr>
        <w:t xml:space="preserve"> </w:t>
      </w:r>
      <w:r w:rsidRPr="002F2E39">
        <w:rPr>
          <w:rFonts w:ascii="Times New Roman" w:hAnsi="Times New Roman" w:cs="Times New Roman"/>
          <w:vertAlign w:val="superscript"/>
        </w:rPr>
        <w:footnoteReference w:id="50"/>
      </w:r>
    </w:p>
    <w:p w14:paraId="4F251FB0" w14:textId="357F70F3" w:rsidR="00B43A7F" w:rsidRPr="002F2E39" w:rsidRDefault="00B43A7F" w:rsidP="00B43A7F">
      <w:pPr>
        <w:pStyle w:val="pdq2pgselectionanchorcontainer"/>
        <w:spacing w:line="360" w:lineRule="auto"/>
        <w:jc w:val="both"/>
      </w:pPr>
      <w:r w:rsidRPr="002F2E39">
        <w:t xml:space="preserve">In this account, abortion law did not simply regulate reproduction; it actively participated in producing Irish identity by positioning women as the biological and moral reproducers of the postcolonial state. </w:t>
      </w:r>
      <w:r w:rsidR="003F3FD8" w:rsidRPr="003F3FD8">
        <w:t xml:space="preserve">Abortion law formed one component of a broader architecture of reproductive governance through which the postcolonial Irish state constructed an ideal form of citizenship rooted in Catholic understandings of family, sexuality and motherhood. </w:t>
      </w:r>
      <w:r w:rsidR="003F3FD8" w:rsidRPr="003F3FD8">
        <w:lastRenderedPageBreak/>
        <w:t>Alongside institutions such as Mother and Baby Homes and Magdalene Laundries, it helped produce a vision of the nation in which women</w:t>
      </w:r>
      <w:r w:rsidR="004D1905">
        <w:t>’</w:t>
      </w:r>
      <w:r w:rsidR="003F3FD8" w:rsidRPr="003F3FD8">
        <w:t>s reproductive and sexual lives were regulated in service of national identity, perpetuating colonial structures through a gendered project of state-building.</w:t>
      </w:r>
      <w:r w:rsidR="003F3FD8">
        <w:rPr>
          <w:rStyle w:val="FootnoteReference"/>
        </w:rPr>
        <w:footnoteReference w:id="51"/>
      </w:r>
      <w:r w:rsidR="003F3FD8">
        <w:t xml:space="preserve"> </w:t>
      </w:r>
      <w:r w:rsidRPr="002F2E39">
        <w:t>As de Londras and Enright argue, the Eighth Amendment was not an inevitable constitutional development but a deliberate intervention designed to entrench a particular moral vision of pregnancy and prevent the evolution of constitutional rights in response to changing social values.</w:t>
      </w:r>
      <w:r w:rsidRPr="002F2E39">
        <w:rPr>
          <w:rStyle w:val="FootnoteReference"/>
        </w:rPr>
        <w:footnoteReference w:id="52"/>
      </w:r>
      <w:r w:rsidRPr="002F2E39">
        <w:t xml:space="preserve"> By according the foetus independent constitutional status while reducing pregnant women to the constitutional category of </w:t>
      </w:r>
      <w:r w:rsidR="0055795B">
        <w:t>‘</w:t>
      </w:r>
      <w:r w:rsidRPr="002F2E39">
        <w:t>mother</w:t>
      </w:r>
      <w:r w:rsidR="0055795B">
        <w:t>’</w:t>
      </w:r>
      <w:r w:rsidRPr="002F2E39">
        <w:t>, the Amendment embedded reproductive governance within the constitutional architecture of the state.</w:t>
      </w:r>
      <w:r w:rsidRPr="002F2E39">
        <w:rPr>
          <w:rStyle w:val="FootnoteReference"/>
        </w:rPr>
        <w:footnoteReference w:id="53"/>
      </w:r>
    </w:p>
    <w:p w14:paraId="03E472B2" w14:textId="38A61DEC" w:rsidR="00B43A7F" w:rsidRPr="002F2E39" w:rsidRDefault="00B43A7F" w:rsidP="00DC13E7">
      <w:pPr>
        <w:pStyle w:val="NormalWeb"/>
        <w:spacing w:line="360" w:lineRule="auto"/>
        <w:jc w:val="both"/>
      </w:pPr>
      <w:r w:rsidRPr="002F2E39">
        <w:t xml:space="preserve">Fletcher extends this analysis by arguing that anti-abortion politics constructed an authentic Irishness in explicit opposition to a perceived British </w:t>
      </w:r>
      <w:r w:rsidR="003E1D16">
        <w:t>‘</w:t>
      </w:r>
      <w:r w:rsidRPr="002F2E39">
        <w:t>pro-choice</w:t>
      </w:r>
      <w:r w:rsidR="003E1D16">
        <w:t>’</w:t>
      </w:r>
      <w:r w:rsidRPr="002F2E39">
        <w:t xml:space="preserve"> culture, making the regulation of reproduction central to the production of national identity rather than merely an expression of pre-existing moral commitments.</w:t>
      </w:r>
      <w:r w:rsidRPr="002F2E39">
        <w:rPr>
          <w:rStyle w:val="FootnoteReference"/>
        </w:rPr>
        <w:footnoteReference w:id="54"/>
      </w:r>
      <w:r w:rsidRPr="002F2E39">
        <w:t xml:space="preserve">  Similarly, Fischer demonstrates that the Irish nation was imagined as a morally exceptional space whose integrity depended upon regulating, containing and, where necessary, displacing women whose reproductive choices threatened this national imaginary.</w:t>
      </w:r>
      <w:r w:rsidRPr="002F2E39">
        <w:rPr>
          <w:rStyle w:val="FootnoteReference"/>
        </w:rPr>
        <w:footnoteReference w:id="55"/>
      </w:r>
      <w:r w:rsidRPr="002F2E39">
        <w:t xml:space="preserve"> Through practices including institutional confinement, stigma and abortion travel, reproductive governance became a mechanism through which Irish sovereignty and moral distinctiveness were materially enacted.</w:t>
      </w:r>
      <w:r w:rsidRPr="002F2E39">
        <w:rPr>
          <w:rStyle w:val="FootnoteReference"/>
        </w:rPr>
        <w:footnoteReference w:id="56"/>
      </w:r>
      <w:r w:rsidR="00DC13E7">
        <w:t xml:space="preserve"> </w:t>
      </w:r>
      <w:r w:rsidRPr="002F2E39">
        <w:t>These dynamics were themselves rooted in Ireland</w:t>
      </w:r>
      <w:r w:rsidR="004D1905">
        <w:t>’</w:t>
      </w:r>
      <w:r w:rsidRPr="002F2E39">
        <w:t>s postcolonial formation. As Scanlon and Kumar argue, the close association between Catholicism and Irish national identity emerged as a consequence of colonial trauma, through which postcolonial recovery was pursued by constructing a national identity distinct from the British metropole.</w:t>
      </w:r>
      <w:r w:rsidRPr="002F2E39">
        <w:rPr>
          <w:rStyle w:val="FootnoteReference"/>
        </w:rPr>
        <w:footnoteReference w:id="57"/>
      </w:r>
      <w:r w:rsidRPr="002F2E39">
        <w:t xml:space="preserve"> Catholicism consequently became the institutional and moral </w:t>
      </w:r>
      <w:r w:rsidRPr="002F2E39">
        <w:lastRenderedPageBreak/>
        <w:t>framework through which this identity was consolidated, rendering abortion regulation a proxy for wider struggles over sovereignty, morality and national belonging.</w:t>
      </w:r>
      <w:r w:rsidRPr="002F2E39">
        <w:rPr>
          <w:rStyle w:val="FootnoteReference"/>
        </w:rPr>
        <w:footnoteReference w:id="58"/>
      </w:r>
      <w:r w:rsidRPr="002F2E39">
        <w:t xml:space="preserve"> </w:t>
      </w:r>
    </w:p>
    <w:p w14:paraId="6E10C51E" w14:textId="790C3D23" w:rsidR="00B43A7F" w:rsidRPr="002F2E39" w:rsidRDefault="00B43A7F" w:rsidP="00B43A7F">
      <w:pPr>
        <w:spacing w:line="360" w:lineRule="auto"/>
        <w:jc w:val="both"/>
        <w:rPr>
          <w:rFonts w:ascii="Times New Roman" w:hAnsi="Times New Roman" w:cs="Times New Roman"/>
        </w:rPr>
      </w:pPr>
      <w:r w:rsidRPr="002F2E39">
        <w:rPr>
          <w:rFonts w:ascii="Times New Roman" w:hAnsi="Times New Roman" w:cs="Times New Roman"/>
        </w:rPr>
        <w:t>The constitutional prohibition compelled large numbers of women to travel abroad for abortion, with an estimated 171,795 women travelling to Britain between 1980 and 2017.</w:t>
      </w:r>
      <w:r w:rsidR="00DC13E7">
        <w:rPr>
          <w:rFonts w:ascii="Times New Roman" w:hAnsi="Times New Roman" w:cs="Times New Roman"/>
          <w:vertAlign w:val="superscript"/>
        </w:rPr>
        <w:footnoteReference w:id="59"/>
      </w:r>
      <w:r w:rsidRPr="002F2E39">
        <w:rPr>
          <w:rFonts w:ascii="Times New Roman" w:hAnsi="Times New Roman" w:cs="Times New Roman"/>
        </w:rPr>
        <w:t xml:space="preserve"> This reliance on mobility became a central mechanism of reproductive governance. Although often presented politically as a pragmatic solution, feminist scholars have shown that abortion travel produced highly stratified access to care, disproportionately burdening women with limited financial resources, caring responsibilities or precarious immigration status.</w:t>
      </w:r>
      <w:r w:rsidRPr="002F2E39">
        <w:rPr>
          <w:rStyle w:val="FootnoteReference"/>
          <w:rFonts w:ascii="Times New Roman" w:eastAsia="Times New Roman" w:hAnsi="Times New Roman" w:cs="Times New Roman"/>
          <w:kern w:val="0"/>
          <w:lang w:eastAsia="en-GB"/>
          <w14:ligatures w14:val="none"/>
        </w:rPr>
        <w:footnoteReference w:id="60"/>
      </w:r>
      <w:r w:rsidR="00DC13E7">
        <w:rPr>
          <w:rFonts w:ascii="Times New Roman" w:eastAsia="Times New Roman" w:hAnsi="Times New Roman" w:cs="Times New Roman"/>
          <w:kern w:val="0"/>
          <w:lang w:eastAsia="en-GB"/>
          <w14:ligatures w14:val="none"/>
        </w:rPr>
        <w:t xml:space="preserve"> </w:t>
      </w:r>
      <w:r w:rsidRPr="002F2E39">
        <w:rPr>
          <w:rFonts w:ascii="Times New Roman" w:hAnsi="Times New Roman" w:cs="Times New Roman"/>
        </w:rPr>
        <w:t>By externalising reproductive healthcare, the State transformed abortion into a matter of individual resilience rather than collective responsibility, obscuring its own role in producing reproductive injustice.</w:t>
      </w:r>
    </w:p>
    <w:p w14:paraId="1A88090F" w14:textId="2919259D" w:rsidR="007B6C8A" w:rsidRDefault="00B43A7F" w:rsidP="002D0671">
      <w:pPr>
        <w:pStyle w:val="pdq2pgselectionanchorcontainer"/>
        <w:spacing w:line="360" w:lineRule="auto"/>
        <w:jc w:val="both"/>
      </w:pPr>
      <w:r w:rsidRPr="002F2E39">
        <w:t>Early European and domestic jurisprudence reflected a cautious approach to Ireland</w:t>
      </w:r>
      <w:r w:rsidR="004D1905">
        <w:t>’</w:t>
      </w:r>
      <w:r w:rsidRPr="002F2E39">
        <w:t xml:space="preserve">s abortion regime. In </w:t>
      </w:r>
      <w:r w:rsidRPr="002F2E39">
        <w:rPr>
          <w:rStyle w:val="Emphasis"/>
        </w:rPr>
        <w:t>S.P.U.C. v Grogan</w:t>
      </w:r>
      <w:r w:rsidRPr="002F2E39">
        <w:t>,</w:t>
      </w:r>
      <w:r w:rsidRPr="002F2E39">
        <w:rPr>
          <w:iCs/>
          <w:vertAlign w:val="superscript"/>
        </w:rPr>
        <w:footnoteReference w:id="61"/>
      </w:r>
      <w:r w:rsidRPr="002F2E39">
        <w:t xml:space="preserve"> the European Court of Justice recognised abortion services as falling within the scope of EU law, yet afforded Ireland a wide margin of appreciation in restricting access to abortion-related information.</w:t>
      </w:r>
      <w:r w:rsidR="00692C6A">
        <w:rPr>
          <w:rStyle w:val="FootnoteReference"/>
        </w:rPr>
        <w:footnoteReference w:id="62"/>
      </w:r>
      <w:r w:rsidR="00692C6A">
        <w:t xml:space="preserve"> </w:t>
      </w:r>
      <w:r w:rsidRPr="002F2E39">
        <w:t xml:space="preserve">Similarly, in </w:t>
      </w:r>
      <w:r w:rsidRPr="002F2E39">
        <w:rPr>
          <w:rStyle w:val="Emphasis"/>
        </w:rPr>
        <w:t>Attorney General v X</w:t>
      </w:r>
      <w:r w:rsidRPr="002F2E39">
        <w:t>,</w:t>
      </w:r>
      <w:r w:rsidRPr="002F2E39">
        <w:rPr>
          <w:vertAlign w:val="superscript"/>
        </w:rPr>
        <w:footnoteReference w:id="63"/>
      </w:r>
      <w:r w:rsidRPr="002F2E39">
        <w:t xml:space="preserve"> the Irish Supreme Court recognised a narrowly defined constitutional entitlement to abortion where there was a real and substantial risk to the woman</w:t>
      </w:r>
      <w:r w:rsidR="004D1905">
        <w:t>’</w:t>
      </w:r>
      <w:r w:rsidRPr="002F2E39">
        <w:t>s life. However, the State</w:t>
      </w:r>
      <w:r w:rsidR="004D1905">
        <w:t>’</w:t>
      </w:r>
      <w:r w:rsidRPr="002F2E39">
        <w:t xml:space="preserve">s failure to legislate for the </w:t>
      </w:r>
      <w:r w:rsidRPr="002F2E39">
        <w:rPr>
          <w:rStyle w:val="Emphasis"/>
        </w:rPr>
        <w:t>X</w:t>
      </w:r>
      <w:r w:rsidRPr="002F2E39">
        <w:t xml:space="preserve"> decision generated profound legal uncertainty, producing a chilling effect within the medical profession and reinforcing a highly risk-averse approach to abortion care. The consequences of this uncertainty became tragically apparent in the death of Savita </w:t>
      </w:r>
      <w:proofErr w:type="spellStart"/>
      <w:r w:rsidRPr="002F2E39">
        <w:t>Halappanavar</w:t>
      </w:r>
      <w:proofErr w:type="spellEnd"/>
      <w:r w:rsidRPr="002F2E39">
        <w:t>.</w:t>
      </w:r>
      <w:r w:rsidRPr="002F2E39">
        <w:rPr>
          <w:rStyle w:val="FootnoteReference"/>
        </w:rPr>
        <w:footnoteReference w:id="64"/>
      </w:r>
      <w:r w:rsidRPr="002F2E39">
        <w:t xml:space="preserve"> Despite the non-viability of her pregnancy, an abortion was refused because her life was not considered to be at immediate risk, and she subsequently died from sepsis after reportedly being informed that a termination could not be performed because Ireland was a </w:t>
      </w:r>
      <w:r w:rsidR="004D1905">
        <w:lastRenderedPageBreak/>
        <w:t>‘</w:t>
      </w:r>
      <w:r w:rsidRPr="002F2E39">
        <w:t>Catholic country</w:t>
      </w:r>
      <w:r w:rsidR="004D1905">
        <w:t>’</w:t>
      </w:r>
      <w:r w:rsidRPr="002F2E39">
        <w:t>.</w:t>
      </w:r>
      <w:r w:rsidRPr="002F2E39">
        <w:rPr>
          <w:vertAlign w:val="superscript"/>
        </w:rPr>
        <w:footnoteReference w:id="65"/>
      </w:r>
      <w:r w:rsidRPr="002F2E39">
        <w:t xml:space="preserve"> Her death exposed the practical consequences of constitutional ambiguity and intensified both domestic and international scrutiny of Ireland</w:t>
      </w:r>
      <w:r w:rsidR="004D1905">
        <w:t>’</w:t>
      </w:r>
      <w:r w:rsidRPr="002F2E39">
        <w:t>s abortion laws.</w:t>
      </w:r>
      <w:r w:rsidR="002D0671">
        <w:t xml:space="preserve"> </w:t>
      </w:r>
    </w:p>
    <w:p w14:paraId="4EAE208A" w14:textId="5B5BE5A8" w:rsidR="00B43A7F" w:rsidRPr="002F2E39" w:rsidRDefault="00B43A7F" w:rsidP="002D0671">
      <w:pPr>
        <w:pStyle w:val="pdq2pgselectionanchorcontainer"/>
        <w:spacing w:line="360" w:lineRule="auto"/>
        <w:jc w:val="both"/>
      </w:pPr>
      <w:r w:rsidRPr="002F2E39">
        <w:t>At the international level, human rights bodies increasingly reframed Ireland</w:t>
      </w:r>
      <w:r w:rsidR="004D1905">
        <w:t>’</w:t>
      </w:r>
      <w:r w:rsidRPr="002F2E39">
        <w:t>s abortion regime as incompatible with women</w:t>
      </w:r>
      <w:r w:rsidR="004D1905">
        <w:t>’</w:t>
      </w:r>
      <w:r w:rsidRPr="002F2E39">
        <w:t xml:space="preserve">s rights to dignity, privacy and bodily autonomy. In </w:t>
      </w:r>
      <w:r w:rsidRPr="002F2E39">
        <w:rPr>
          <w:rStyle w:val="Emphasis"/>
        </w:rPr>
        <w:t>Open Door Counselling and Dublin Well Woman v Ireland</w:t>
      </w:r>
      <w:r w:rsidRPr="002F2E39">
        <w:t>,</w:t>
      </w:r>
      <w:r w:rsidRPr="002F2E39">
        <w:rPr>
          <w:vertAlign w:val="superscript"/>
        </w:rPr>
        <w:t xml:space="preserve"> </w:t>
      </w:r>
      <w:r w:rsidRPr="002F2E39">
        <w:rPr>
          <w:vertAlign w:val="superscript"/>
        </w:rPr>
        <w:footnoteReference w:id="66"/>
      </w:r>
      <w:r w:rsidRPr="002F2E39">
        <w:t xml:space="preserve"> the European Court of Human Rights held that restrictions on abortion-related information violated Article 10 (freedom of expression) of the Convention, emphasising the concrete risks that enforced ignorance posed to women</w:t>
      </w:r>
      <w:r w:rsidR="004D1905">
        <w:t>’</w:t>
      </w:r>
      <w:r w:rsidRPr="002F2E39">
        <w:t xml:space="preserve">s health. This reasoning developed further in </w:t>
      </w:r>
      <w:r w:rsidRPr="002F2E39">
        <w:rPr>
          <w:rStyle w:val="Emphasis"/>
        </w:rPr>
        <w:t>A, B and C v Ireland</w:t>
      </w:r>
      <w:r w:rsidRPr="002F2E39">
        <w:t>,</w:t>
      </w:r>
      <w:r w:rsidRPr="007A6FBB">
        <w:rPr>
          <w:iCs/>
          <w:vertAlign w:val="superscript"/>
        </w:rPr>
        <w:footnoteReference w:id="67"/>
      </w:r>
      <w:r w:rsidRPr="002F2E39">
        <w:t xml:space="preserve"> where the Court confirmed that abortion decisions fell within the scope of Article 8 (private </w:t>
      </w:r>
      <w:r w:rsidR="007A6FBB">
        <w:t xml:space="preserve">and </w:t>
      </w:r>
      <w:r w:rsidRPr="002F2E39">
        <w:t>family life) while declining to recognise a substantive right to abortion. Although these judgments represented important doctrinal advances, they largely preserved a model of incremental legal accommodation rather than requiring structural reform. This increasingly prompted United Nations treaty monitoring bodies, including CEDAW</w:t>
      </w:r>
      <w:r w:rsidRPr="002F2E39">
        <w:rPr>
          <w:rStyle w:val="FootnoteReference"/>
        </w:rPr>
        <w:footnoteReference w:id="68"/>
      </w:r>
      <w:r w:rsidRPr="002F2E39">
        <w:t xml:space="preserve"> and the Human Rights Committee,</w:t>
      </w:r>
      <w:r w:rsidRPr="002F2E39">
        <w:rPr>
          <w:vertAlign w:val="superscript"/>
        </w:rPr>
        <w:footnoteReference w:id="69"/>
      </w:r>
      <w:r w:rsidRPr="002F2E39">
        <w:t xml:space="preserve"> to characterise Ireland</w:t>
      </w:r>
      <w:r w:rsidR="004D1905">
        <w:t>’</w:t>
      </w:r>
      <w:r w:rsidRPr="002F2E39">
        <w:t>s abortion regime as incompatible with international human rights standards.</w:t>
      </w:r>
    </w:p>
    <w:p w14:paraId="09233098" w14:textId="491CFE8F" w:rsidR="00B43A7F" w:rsidRPr="002F2E39" w:rsidRDefault="00B43A7F" w:rsidP="00B43A7F">
      <w:pPr>
        <w:spacing w:line="360" w:lineRule="auto"/>
        <w:jc w:val="both"/>
        <w:rPr>
          <w:rFonts w:ascii="Times New Roman" w:hAnsi="Times New Roman" w:cs="Times New Roman"/>
        </w:rPr>
      </w:pPr>
      <w:r w:rsidRPr="002F2E39">
        <w:rPr>
          <w:rFonts w:ascii="Times New Roman" w:hAnsi="Times New Roman" w:cs="Times New Roman"/>
        </w:rPr>
        <w:t>The Human Rights Committee</w:t>
      </w:r>
      <w:r w:rsidR="004D1905">
        <w:rPr>
          <w:rFonts w:ascii="Times New Roman" w:hAnsi="Times New Roman" w:cs="Times New Roman"/>
        </w:rPr>
        <w:t>’</w:t>
      </w:r>
      <w:r w:rsidRPr="002F2E39">
        <w:rPr>
          <w:rFonts w:ascii="Times New Roman" w:hAnsi="Times New Roman" w:cs="Times New Roman"/>
        </w:rPr>
        <w:t xml:space="preserve">s decision in </w:t>
      </w:r>
      <w:r w:rsidRPr="002F2E39">
        <w:rPr>
          <w:rStyle w:val="Emphasis"/>
          <w:rFonts w:ascii="Times New Roman" w:hAnsi="Times New Roman" w:cs="Times New Roman"/>
        </w:rPr>
        <w:t>Mellet v Ireland</w:t>
      </w:r>
      <w:r w:rsidRPr="002F2E39">
        <w:rPr>
          <w:rFonts w:ascii="Times New Roman" w:hAnsi="Times New Roman" w:cs="Times New Roman"/>
        </w:rPr>
        <w:t xml:space="preserve"> (2016)</w:t>
      </w:r>
      <w:r w:rsidRPr="002F2E39">
        <w:rPr>
          <w:rStyle w:val="FootnoteReference"/>
          <w:rFonts w:ascii="Times New Roman" w:hAnsi="Times New Roman" w:cs="Times New Roman"/>
        </w:rPr>
        <w:footnoteReference w:id="70"/>
      </w:r>
      <w:r w:rsidRPr="002F2E39">
        <w:rPr>
          <w:rFonts w:ascii="Times New Roman" w:hAnsi="Times New Roman" w:cs="Times New Roman"/>
        </w:rPr>
        <w:t xml:space="preserve"> exemplif</w:t>
      </w:r>
      <w:r w:rsidR="003C059B">
        <w:rPr>
          <w:rFonts w:ascii="Times New Roman" w:hAnsi="Times New Roman" w:cs="Times New Roman"/>
        </w:rPr>
        <w:t>ies</w:t>
      </w:r>
      <w:r w:rsidRPr="002F2E39">
        <w:rPr>
          <w:rFonts w:ascii="Times New Roman" w:hAnsi="Times New Roman" w:cs="Times New Roman"/>
        </w:rPr>
        <w:t xml:space="preserve"> this doctrinal development. In </w:t>
      </w:r>
      <w:r w:rsidRPr="002F2E39">
        <w:rPr>
          <w:rStyle w:val="Emphasis"/>
          <w:rFonts w:ascii="Times New Roman" w:hAnsi="Times New Roman" w:cs="Times New Roman"/>
        </w:rPr>
        <w:t>Mellet</w:t>
      </w:r>
      <w:r w:rsidRPr="002F2E39">
        <w:rPr>
          <w:rFonts w:ascii="Times New Roman" w:hAnsi="Times New Roman" w:cs="Times New Roman"/>
        </w:rPr>
        <w:t xml:space="preserve">, the Committee held that requiring a woman carrying a foetus diagnosed with a fatal abnormality to travel abroad for abortion constituted cruel, inhuman and degrading treatment, </w:t>
      </w:r>
      <w:r w:rsidR="007C1D4D">
        <w:rPr>
          <w:rFonts w:ascii="Times New Roman" w:hAnsi="Times New Roman" w:cs="Times New Roman"/>
        </w:rPr>
        <w:t xml:space="preserve">and </w:t>
      </w:r>
      <w:r w:rsidRPr="002F2E39">
        <w:rPr>
          <w:rFonts w:ascii="Times New Roman" w:hAnsi="Times New Roman" w:cs="Times New Roman"/>
        </w:rPr>
        <w:t>an arbitrary interference with privacy and discrimination under the ICCPR</w:t>
      </w:r>
      <w:r w:rsidR="007C1D4D">
        <w:rPr>
          <w:rFonts w:ascii="Times New Roman" w:hAnsi="Times New Roman" w:cs="Times New Roman"/>
        </w:rPr>
        <w:t>.</w:t>
      </w:r>
      <w:r w:rsidRPr="002F2E39">
        <w:rPr>
          <w:rStyle w:val="FootnoteReference"/>
          <w:rFonts w:ascii="Times New Roman" w:hAnsi="Times New Roman" w:cs="Times New Roman"/>
        </w:rPr>
        <w:footnoteReference w:id="71"/>
      </w:r>
      <w:r w:rsidRPr="002F2E39">
        <w:rPr>
          <w:rFonts w:ascii="Times New Roman" w:hAnsi="Times New Roman" w:cs="Times New Roman"/>
        </w:rPr>
        <w:t xml:space="preserve"> </w:t>
      </w:r>
      <w:r w:rsidR="007C1D4D">
        <w:rPr>
          <w:rFonts w:ascii="Times New Roman" w:hAnsi="Times New Roman" w:cs="Times New Roman"/>
        </w:rPr>
        <w:t xml:space="preserve">The committee </w:t>
      </w:r>
      <w:r w:rsidRPr="002F2E39">
        <w:rPr>
          <w:rFonts w:ascii="Times New Roman" w:hAnsi="Times New Roman" w:cs="Times New Roman"/>
        </w:rPr>
        <w:t>recommend</w:t>
      </w:r>
      <w:r w:rsidR="007C1D4D">
        <w:rPr>
          <w:rFonts w:ascii="Times New Roman" w:hAnsi="Times New Roman" w:cs="Times New Roman"/>
        </w:rPr>
        <w:t>ed</w:t>
      </w:r>
      <w:r w:rsidRPr="002F2E39">
        <w:rPr>
          <w:rFonts w:ascii="Times New Roman" w:hAnsi="Times New Roman" w:cs="Times New Roman"/>
        </w:rPr>
        <w:t xml:space="preserve"> compensation, legislative reform and measures to prevent similar violations.  Fiona de Londras argues that </w:t>
      </w:r>
      <w:r w:rsidRPr="002F2E39">
        <w:rPr>
          <w:rStyle w:val="Emphasis"/>
          <w:rFonts w:ascii="Times New Roman" w:hAnsi="Times New Roman" w:cs="Times New Roman"/>
        </w:rPr>
        <w:t>Mellet</w:t>
      </w:r>
      <w:r w:rsidRPr="002F2E39">
        <w:rPr>
          <w:rFonts w:ascii="Times New Roman" w:hAnsi="Times New Roman" w:cs="Times New Roman"/>
        </w:rPr>
        <w:t xml:space="preserve"> demonstrated the incompatibility of Ireland</w:t>
      </w:r>
      <w:r w:rsidR="004D1905">
        <w:rPr>
          <w:rFonts w:ascii="Times New Roman" w:hAnsi="Times New Roman" w:cs="Times New Roman"/>
        </w:rPr>
        <w:t>’</w:t>
      </w:r>
      <w:r w:rsidRPr="002F2E39">
        <w:rPr>
          <w:rFonts w:ascii="Times New Roman" w:hAnsi="Times New Roman" w:cs="Times New Roman"/>
        </w:rPr>
        <w:t xml:space="preserve">s constitutional framework with IHRL and signalled the need for a comprehensive reconsideration of Irish abortion law extending beyond cases of fatal foetal </w:t>
      </w:r>
      <w:r w:rsidRPr="002F2E39">
        <w:rPr>
          <w:rFonts w:ascii="Times New Roman" w:hAnsi="Times New Roman" w:cs="Times New Roman"/>
        </w:rPr>
        <w:lastRenderedPageBreak/>
        <w:t>abnormality.</w:t>
      </w:r>
      <w:r w:rsidRPr="002F2E39">
        <w:rPr>
          <w:rStyle w:val="FootnoteReference"/>
          <w:rFonts w:ascii="Times New Roman" w:hAnsi="Times New Roman" w:cs="Times New Roman"/>
        </w:rPr>
        <w:footnoteReference w:id="72"/>
      </w:r>
      <w:r w:rsidRPr="002F2E39">
        <w:rPr>
          <w:rFonts w:ascii="Times New Roman" w:hAnsi="Times New Roman" w:cs="Times New Roman"/>
        </w:rPr>
        <w:t xml:space="preserve"> Indeed, she contends that the harms identified by the Committee—including forced travel, financial burden, stigma, disruption of medical care and the denial of post-abortion support—were not unique to fatal foetal abnormality but reflected the routine experiences of women compelled to seek abortions outside Ireland under the Eighth Amendment.</w:t>
      </w:r>
      <w:r w:rsidRPr="002F2E39">
        <w:rPr>
          <w:rStyle w:val="FootnoteReference"/>
          <w:rFonts w:ascii="Times New Roman" w:hAnsi="Times New Roman" w:cs="Times New Roman"/>
        </w:rPr>
        <w:footnoteReference w:id="73"/>
      </w:r>
      <w:r w:rsidRPr="002F2E39">
        <w:rPr>
          <w:rFonts w:ascii="Times New Roman" w:hAnsi="Times New Roman" w:cs="Times New Roman"/>
        </w:rPr>
        <w:t xml:space="preserve"> The significance of </w:t>
      </w:r>
      <w:r w:rsidRPr="002F2E39">
        <w:rPr>
          <w:rStyle w:val="Emphasis"/>
          <w:rFonts w:ascii="Times New Roman" w:hAnsi="Times New Roman" w:cs="Times New Roman"/>
        </w:rPr>
        <w:t>Mellet</w:t>
      </w:r>
      <w:r w:rsidRPr="002F2E39">
        <w:rPr>
          <w:rFonts w:ascii="Times New Roman" w:hAnsi="Times New Roman" w:cs="Times New Roman"/>
        </w:rPr>
        <w:t xml:space="preserve"> therefore lies </w:t>
      </w:r>
      <w:r w:rsidR="00374E8D">
        <w:rPr>
          <w:rFonts w:ascii="Times New Roman" w:hAnsi="Times New Roman" w:cs="Times New Roman"/>
        </w:rPr>
        <w:t xml:space="preserve">in </w:t>
      </w:r>
      <w:r w:rsidRPr="002F2E39">
        <w:rPr>
          <w:rFonts w:ascii="Times New Roman" w:hAnsi="Times New Roman" w:cs="Times New Roman"/>
        </w:rPr>
        <w:t>illustrating the capacity of IHRL to articulate increasingly sophisticated standards of state responsibility and to require legislative and institutional reform. As Carnegie and Roth observe, these decisions, together with sustained engagement by UN treaty monitoring bodies, exposed the incompatibility of Ireland</w:t>
      </w:r>
      <w:r w:rsidR="004D1905">
        <w:rPr>
          <w:rFonts w:ascii="Times New Roman" w:hAnsi="Times New Roman" w:cs="Times New Roman"/>
        </w:rPr>
        <w:t>’</w:t>
      </w:r>
      <w:r w:rsidRPr="002F2E39">
        <w:rPr>
          <w:rFonts w:ascii="Times New Roman" w:hAnsi="Times New Roman" w:cs="Times New Roman"/>
        </w:rPr>
        <w:t>s abortion regime with international human rights standards and became an important source of pressure for constitutional reform.</w:t>
      </w:r>
      <w:r w:rsidRPr="002F2E39">
        <w:rPr>
          <w:rStyle w:val="FootnoteReference"/>
          <w:rFonts w:ascii="Times New Roman" w:hAnsi="Times New Roman" w:cs="Times New Roman"/>
        </w:rPr>
        <w:footnoteReference w:id="74"/>
      </w:r>
    </w:p>
    <w:p w14:paraId="260BDE42" w14:textId="77777777" w:rsidR="00B43A7F" w:rsidRPr="002F2E39" w:rsidRDefault="00B43A7F" w:rsidP="00B43A7F">
      <w:pPr>
        <w:spacing w:line="360" w:lineRule="auto"/>
        <w:jc w:val="both"/>
        <w:rPr>
          <w:rFonts w:ascii="Times New Roman" w:hAnsi="Times New Roman" w:cs="Times New Roman"/>
        </w:rPr>
      </w:pPr>
    </w:p>
    <w:p w14:paraId="760256A9" w14:textId="6A1B9914" w:rsidR="003E6057" w:rsidRDefault="00B43A7F" w:rsidP="003E6057">
      <w:pPr>
        <w:spacing w:line="360" w:lineRule="auto"/>
        <w:jc w:val="both"/>
        <w:rPr>
          <w:rFonts w:ascii="Times New Roman" w:hAnsi="Times New Roman" w:cs="Times New Roman"/>
        </w:rPr>
      </w:pPr>
      <w:r w:rsidRPr="002F2E39">
        <w:rPr>
          <w:rFonts w:ascii="Times New Roman" w:hAnsi="Times New Roman" w:cs="Times New Roman"/>
        </w:rPr>
        <w:t>This evolving position extended beyond the Human Rights Committee. Through General Recommendation No. 24, CEDAW recognised access to reproductive healthcare as an essential component of women</w:t>
      </w:r>
      <w:r w:rsidR="004D1905">
        <w:rPr>
          <w:rFonts w:ascii="Times New Roman" w:hAnsi="Times New Roman" w:cs="Times New Roman"/>
        </w:rPr>
        <w:t>’</w:t>
      </w:r>
      <w:r w:rsidRPr="002F2E39">
        <w:rPr>
          <w:rFonts w:ascii="Times New Roman" w:hAnsi="Times New Roman" w:cs="Times New Roman"/>
        </w:rPr>
        <w:t>s right to health and affirmed States</w:t>
      </w:r>
      <w:r w:rsidR="004D1905">
        <w:rPr>
          <w:rFonts w:ascii="Times New Roman" w:hAnsi="Times New Roman" w:cs="Times New Roman"/>
        </w:rPr>
        <w:t>’</w:t>
      </w:r>
      <w:r w:rsidRPr="002F2E39">
        <w:rPr>
          <w:rFonts w:ascii="Times New Roman" w:hAnsi="Times New Roman" w:cs="Times New Roman"/>
        </w:rPr>
        <w:t xml:space="preserve"> positive obligations to remove discriminatory barriers, including laws criminalising procedures required only by women.</w:t>
      </w:r>
      <w:r w:rsidRPr="002F2E39">
        <w:rPr>
          <w:rStyle w:val="FootnoteReference"/>
          <w:rFonts w:ascii="Times New Roman" w:hAnsi="Times New Roman" w:cs="Times New Roman"/>
        </w:rPr>
        <w:footnoteReference w:id="75"/>
      </w:r>
      <w:r w:rsidRPr="002F2E39">
        <w:rPr>
          <w:rFonts w:ascii="Times New Roman" w:hAnsi="Times New Roman" w:cs="Times New Roman"/>
        </w:rPr>
        <w:t xml:space="preserve"> General Recommendation No. 35</w:t>
      </w:r>
      <w:r w:rsidRPr="002F2E39">
        <w:rPr>
          <w:rStyle w:val="FootnoteReference"/>
          <w:rFonts w:ascii="Times New Roman" w:hAnsi="Times New Roman" w:cs="Times New Roman"/>
        </w:rPr>
        <w:footnoteReference w:id="76"/>
      </w:r>
      <w:r w:rsidRPr="002F2E39">
        <w:rPr>
          <w:rFonts w:ascii="Times New Roman" w:hAnsi="Times New Roman" w:cs="Times New Roman"/>
        </w:rPr>
        <w:t xml:space="preserve"> further identified the criminalisation of abortion, denial or delay of safe abortion and forced continuation of pregnancy as forms of gender-based violence that may amount to torture or cruel, inhuman or degrading treatment, expressly citing </w:t>
      </w:r>
      <w:r w:rsidRPr="002F2E39">
        <w:rPr>
          <w:rStyle w:val="Emphasis"/>
          <w:rFonts w:ascii="Times New Roman" w:hAnsi="Times New Roman" w:cs="Times New Roman"/>
        </w:rPr>
        <w:t>Mellet</w:t>
      </w:r>
      <w:r w:rsidR="005F705C">
        <w:rPr>
          <w:rStyle w:val="Emphasis"/>
          <w:rFonts w:ascii="Times New Roman" w:hAnsi="Times New Roman" w:cs="Times New Roman"/>
        </w:rPr>
        <w:t>.</w:t>
      </w:r>
      <w:r w:rsidRPr="002F2E39">
        <w:rPr>
          <w:rStyle w:val="FootnoteReference"/>
          <w:rFonts w:ascii="Times New Roman" w:hAnsi="Times New Roman" w:cs="Times New Roman"/>
          <w:i/>
          <w:iCs/>
        </w:rPr>
        <w:footnoteReference w:id="77"/>
      </w:r>
      <w:r w:rsidRPr="002F2E39">
        <w:rPr>
          <w:rFonts w:ascii="Times New Roman" w:hAnsi="Times New Roman" w:cs="Times New Roman"/>
        </w:rPr>
        <w:t xml:space="preserve"> CEDAW</w:t>
      </w:r>
      <w:r w:rsidR="004D1905">
        <w:rPr>
          <w:rFonts w:ascii="Times New Roman" w:hAnsi="Times New Roman" w:cs="Times New Roman"/>
        </w:rPr>
        <w:t>’</w:t>
      </w:r>
      <w:r w:rsidRPr="002F2E39">
        <w:rPr>
          <w:rFonts w:ascii="Times New Roman" w:hAnsi="Times New Roman" w:cs="Times New Roman"/>
        </w:rPr>
        <w:t>s 2017 Concluding Observations likewise recommended repeal of the Eighth Amendment.</w:t>
      </w:r>
      <w:r w:rsidRPr="002F2E39">
        <w:rPr>
          <w:rStyle w:val="FootnoteReference"/>
          <w:rFonts w:ascii="Times New Roman" w:hAnsi="Times New Roman" w:cs="Times New Roman"/>
        </w:rPr>
        <w:footnoteReference w:id="78"/>
      </w:r>
      <w:r w:rsidRPr="002F2E39">
        <w:rPr>
          <w:rFonts w:ascii="Times New Roman" w:hAnsi="Times New Roman" w:cs="Times New Roman"/>
        </w:rPr>
        <w:t xml:space="preserve"> Collectively, these developments illustrate how </w:t>
      </w:r>
      <w:r w:rsidR="002D0671">
        <w:rPr>
          <w:rFonts w:ascii="Times New Roman" w:hAnsi="Times New Roman" w:cs="Times New Roman"/>
        </w:rPr>
        <w:t>UN treaty bodies</w:t>
      </w:r>
      <w:r w:rsidRPr="002F2E39">
        <w:rPr>
          <w:rFonts w:ascii="Times New Roman" w:hAnsi="Times New Roman" w:cs="Times New Roman"/>
        </w:rPr>
        <w:t xml:space="preserve"> progressively reconceptualised reproductive autonomy through </w:t>
      </w:r>
      <w:r w:rsidR="002D0671">
        <w:rPr>
          <w:rFonts w:ascii="Times New Roman" w:hAnsi="Times New Roman" w:cs="Times New Roman"/>
        </w:rPr>
        <w:t xml:space="preserve">human right </w:t>
      </w:r>
      <w:r w:rsidRPr="002F2E39">
        <w:rPr>
          <w:rFonts w:ascii="Times New Roman" w:hAnsi="Times New Roman" w:cs="Times New Roman"/>
        </w:rPr>
        <w:t>principles of equality, dignity, bodily integrity and substantive state responsibility.</w:t>
      </w:r>
    </w:p>
    <w:p w14:paraId="0CCAC717" w14:textId="77777777" w:rsidR="008103B0" w:rsidRPr="002F2E39" w:rsidRDefault="008103B0" w:rsidP="003E6057">
      <w:pPr>
        <w:spacing w:line="360" w:lineRule="auto"/>
        <w:jc w:val="both"/>
        <w:rPr>
          <w:rFonts w:ascii="Times New Roman" w:hAnsi="Times New Roman" w:cs="Times New Roman"/>
        </w:rPr>
      </w:pPr>
    </w:p>
    <w:p w14:paraId="3495A23E" w14:textId="232A4966" w:rsidR="003E6057" w:rsidRPr="002F2E39" w:rsidRDefault="003E6057" w:rsidP="003E6057">
      <w:pPr>
        <w:spacing w:line="360" w:lineRule="auto"/>
        <w:jc w:val="both"/>
        <w:rPr>
          <w:rFonts w:ascii="Times New Roman" w:hAnsi="Times New Roman" w:cs="Times New Roman"/>
        </w:rPr>
      </w:pPr>
      <w:r w:rsidRPr="002F2E39">
        <w:rPr>
          <w:rFonts w:ascii="Times New Roman" w:hAnsi="Times New Roman" w:cs="Times New Roman"/>
        </w:rPr>
        <w:t>The interventions of UN treaty bodies played an important</w:t>
      </w:r>
      <w:r w:rsidR="00D04842">
        <w:rPr>
          <w:rFonts w:ascii="Times New Roman" w:hAnsi="Times New Roman" w:cs="Times New Roman"/>
        </w:rPr>
        <w:t xml:space="preserve"> </w:t>
      </w:r>
      <w:r w:rsidRPr="002F2E39">
        <w:rPr>
          <w:rFonts w:ascii="Times New Roman" w:hAnsi="Times New Roman" w:cs="Times New Roman"/>
        </w:rPr>
        <w:t>role in Ireland</w:t>
      </w:r>
      <w:r w:rsidR="004D1905">
        <w:rPr>
          <w:rFonts w:ascii="Times New Roman" w:hAnsi="Times New Roman" w:cs="Times New Roman"/>
        </w:rPr>
        <w:t>’</w:t>
      </w:r>
      <w:r w:rsidRPr="002F2E39">
        <w:rPr>
          <w:rFonts w:ascii="Times New Roman" w:hAnsi="Times New Roman" w:cs="Times New Roman"/>
        </w:rPr>
        <w:t xml:space="preserve">s constitutional transformation. Rather than compelling legal reform through binding enforcement, decisions such as </w:t>
      </w:r>
      <w:r w:rsidRPr="002F2E39">
        <w:rPr>
          <w:rFonts w:ascii="Times New Roman" w:hAnsi="Times New Roman" w:cs="Times New Roman"/>
          <w:i/>
          <w:iCs/>
        </w:rPr>
        <w:t>Mellet</w:t>
      </w:r>
      <w:r w:rsidR="00C9658B" w:rsidRPr="002F2E39">
        <w:rPr>
          <w:rFonts w:ascii="Times New Roman" w:hAnsi="Times New Roman" w:cs="Times New Roman"/>
        </w:rPr>
        <w:t xml:space="preserve">, </w:t>
      </w:r>
      <w:r w:rsidRPr="002F2E39">
        <w:rPr>
          <w:rFonts w:ascii="Times New Roman" w:hAnsi="Times New Roman" w:cs="Times New Roman"/>
        </w:rPr>
        <w:t xml:space="preserve">together with repeated recommendations from CEDAW and other treaty bodies, </w:t>
      </w:r>
      <w:r w:rsidRPr="002F2E39">
        <w:rPr>
          <w:rFonts w:ascii="Times New Roman" w:hAnsi="Times New Roman" w:cs="Times New Roman"/>
        </w:rPr>
        <w:lastRenderedPageBreak/>
        <w:t>provided authoritative international recognition that Ireland</w:t>
      </w:r>
      <w:r w:rsidR="004D1905">
        <w:rPr>
          <w:rFonts w:ascii="Times New Roman" w:hAnsi="Times New Roman" w:cs="Times New Roman"/>
        </w:rPr>
        <w:t>’</w:t>
      </w:r>
      <w:r w:rsidRPr="002F2E39">
        <w:rPr>
          <w:rFonts w:ascii="Times New Roman" w:hAnsi="Times New Roman" w:cs="Times New Roman"/>
        </w:rPr>
        <w:t xml:space="preserve">s abortion regime was incompatible with contemporary human rights standards. </w:t>
      </w:r>
      <w:r w:rsidR="00410EC0" w:rsidRPr="002F2E39">
        <w:rPr>
          <w:rFonts w:ascii="Times New Roman" w:hAnsi="Times New Roman" w:cs="Times New Roman"/>
        </w:rPr>
        <w:t>Carnegie and Roth, for example, argue that reproductive rights activists strategically leveraged international human rights mechanisms alongside grassroots organising, coalition-building and anti-stigma campaigning, illustrating that international human rights interventions became politically influential only when translated into sustained domestic advocacy.</w:t>
      </w:r>
      <w:r w:rsidR="00410EC0" w:rsidRPr="002F2E39">
        <w:rPr>
          <w:rStyle w:val="FootnoteReference"/>
          <w:rFonts w:ascii="Times New Roman" w:hAnsi="Times New Roman" w:cs="Times New Roman"/>
        </w:rPr>
        <w:footnoteReference w:id="79"/>
      </w:r>
      <w:r w:rsidR="00410EC0" w:rsidRPr="002F2E39">
        <w:rPr>
          <w:rFonts w:ascii="Times New Roman" w:hAnsi="Times New Roman" w:cs="Times New Roman"/>
        </w:rPr>
        <w:t xml:space="preserve"> </w:t>
      </w:r>
    </w:p>
    <w:p w14:paraId="4B76A1E3" w14:textId="79988013" w:rsidR="005E5E63" w:rsidRPr="002F2E39" w:rsidRDefault="005F705C" w:rsidP="00A05FF9">
      <w:pPr>
        <w:spacing w:before="100" w:beforeAutospacing="1" w:after="240" w:line="360" w:lineRule="auto"/>
        <w:jc w:val="both"/>
        <w:rPr>
          <w:rFonts w:ascii="Times New Roman" w:eastAsia="Times New Roman" w:hAnsi="Times New Roman" w:cs="Times New Roman"/>
          <w:kern w:val="0"/>
          <w:lang w:eastAsia="en-GB"/>
          <w14:ligatures w14:val="none"/>
        </w:rPr>
      </w:pPr>
      <w:r w:rsidRPr="005F705C">
        <w:rPr>
          <w:rFonts w:ascii="Times New Roman" w:hAnsi="Times New Roman" w:cs="Times New Roman"/>
        </w:rPr>
        <w:t>These interventions subsequently informed the political context within which the Citizens’ Assembly deliberated on constitutional reform in 2016</w:t>
      </w:r>
      <w:r>
        <w:rPr>
          <w:rFonts w:ascii="Times New Roman" w:hAnsi="Times New Roman" w:cs="Times New Roman"/>
        </w:rPr>
        <w:t>.</w:t>
      </w:r>
      <w:r w:rsidR="00E957E8">
        <w:rPr>
          <w:rStyle w:val="FootnoteReference"/>
          <w:rFonts w:ascii="Times New Roman" w:hAnsi="Times New Roman" w:cs="Times New Roman"/>
        </w:rPr>
        <w:footnoteReference w:id="80"/>
      </w:r>
      <w:r w:rsidR="00A05FF9" w:rsidRPr="002F2E39">
        <w:rPr>
          <w:rFonts w:ascii="Times New Roman" w:hAnsi="Times New Roman" w:cs="Times New Roman"/>
        </w:rPr>
        <w:t xml:space="preserve"> </w:t>
      </w:r>
      <w:r w:rsidRPr="005F705C">
        <w:rPr>
          <w:rFonts w:ascii="Times New Roman" w:hAnsi="Times New Roman" w:cs="Times New Roman"/>
        </w:rPr>
        <w:t>Following its deliberations, the Citizens’ Assembly voted overwhelmingly to recommend the repeal of the Eighth Amendment and emphasised the need to trust women as autonomous moral agents</w:t>
      </w:r>
      <w:r w:rsidR="00A05FF9" w:rsidRPr="002F2E39">
        <w:rPr>
          <w:rFonts w:ascii="Times New Roman" w:hAnsi="Times New Roman" w:cs="Times New Roman"/>
        </w:rPr>
        <w:t>.</w:t>
      </w:r>
      <w:r w:rsidR="00A05FF9" w:rsidRPr="002F2E39">
        <w:rPr>
          <w:rFonts w:ascii="Times New Roman" w:hAnsi="Times New Roman" w:cs="Times New Roman"/>
          <w:vertAlign w:val="superscript"/>
        </w:rPr>
        <w:footnoteReference w:id="81"/>
      </w:r>
      <w:r w:rsidR="00A05FF9" w:rsidRPr="002F2E39">
        <w:rPr>
          <w:rFonts w:ascii="Times New Roman" w:hAnsi="Times New Roman" w:cs="Times New Roman"/>
        </w:rPr>
        <w:t xml:space="preserve"> </w:t>
      </w:r>
      <w:r w:rsidRPr="005F705C">
        <w:rPr>
          <w:rFonts w:ascii="Times New Roman" w:hAnsi="Times New Roman" w:cs="Times New Roman"/>
        </w:rPr>
        <w:t>This recommendation subsequently informed the process of constitutional reform, culminating in the 2018 referendum in which the electorate voted to repeal the Eighth Amendment.</w:t>
      </w:r>
      <w:r>
        <w:rPr>
          <w:rStyle w:val="FootnoteReference"/>
          <w:rFonts w:ascii="Times New Roman" w:hAnsi="Times New Roman" w:cs="Times New Roman"/>
        </w:rPr>
        <w:footnoteReference w:id="82"/>
      </w:r>
      <w:r>
        <w:rPr>
          <w:rFonts w:ascii="Times New Roman" w:hAnsi="Times New Roman" w:cs="Times New Roman"/>
        </w:rPr>
        <w:t xml:space="preserve"> </w:t>
      </w:r>
      <w:r w:rsidR="005E5E63" w:rsidRPr="002F2E39">
        <w:rPr>
          <w:rFonts w:ascii="Times New Roman" w:hAnsi="Times New Roman" w:cs="Times New Roman"/>
        </w:rPr>
        <w:t xml:space="preserve">The </w:t>
      </w:r>
      <w:r w:rsidR="002D0671">
        <w:rPr>
          <w:rFonts w:ascii="Times New Roman" w:hAnsi="Times New Roman" w:cs="Times New Roman"/>
        </w:rPr>
        <w:t xml:space="preserve">partial </w:t>
      </w:r>
      <w:r w:rsidR="005E5E63" w:rsidRPr="002F2E39">
        <w:rPr>
          <w:rFonts w:ascii="Times New Roman" w:hAnsi="Times New Roman" w:cs="Times New Roman"/>
        </w:rPr>
        <w:t>decriminalisation of abortion in Ireland following the enactment of the Health (Regulation of Termination of Pregnancy) Act 2018 represented a profound legal shift, dismantling the constitutional prohibition on abortion and bringing domestic law closer into alignment with international human rights standards.</w:t>
      </w:r>
      <w:r w:rsidR="005E5E63" w:rsidRPr="002F2E39">
        <w:rPr>
          <w:rStyle w:val="FootnoteReference"/>
          <w:rFonts w:ascii="Times New Roman" w:eastAsia="Times New Roman" w:hAnsi="Times New Roman" w:cs="Times New Roman"/>
          <w:kern w:val="0"/>
          <w:lang w:eastAsia="en-GB"/>
          <w14:ligatures w14:val="none"/>
        </w:rPr>
        <w:footnoteReference w:id="83"/>
      </w:r>
      <w:r w:rsidR="005E5E63" w:rsidRPr="002F2E39">
        <w:rPr>
          <w:rFonts w:ascii="Times New Roman" w:eastAsia="Times New Roman" w:hAnsi="Times New Roman" w:cs="Times New Roman"/>
          <w:kern w:val="0"/>
          <w:lang w:eastAsia="en-GB"/>
          <w14:ligatures w14:val="none"/>
        </w:rPr>
        <w:t xml:space="preserve"> However, the repeal did not establish a constitutional right to abortion. Rather, by replacing the </w:t>
      </w:r>
      <w:r w:rsidR="00C9658B" w:rsidRPr="002F2E39">
        <w:rPr>
          <w:rFonts w:ascii="Times New Roman" w:hAnsi="Times New Roman" w:cs="Times New Roman"/>
        </w:rPr>
        <w:t xml:space="preserve">Eighth </w:t>
      </w:r>
      <w:r w:rsidR="005E5E63" w:rsidRPr="002F2E39">
        <w:rPr>
          <w:rFonts w:ascii="Times New Roman" w:eastAsia="Times New Roman" w:hAnsi="Times New Roman" w:cs="Times New Roman"/>
          <w:kern w:val="0"/>
          <w:lang w:eastAsia="en-GB"/>
          <w14:ligatures w14:val="none"/>
        </w:rPr>
        <w:t xml:space="preserve">Amendment with a permissive legislative power, the constitutional settlement left the scope of abortion access to ordinary legislation, giving rise to continuing contestation over the constitutional protection afforded to pregnant </w:t>
      </w:r>
      <w:r w:rsidR="00D04842">
        <w:rPr>
          <w:rFonts w:ascii="Times New Roman" w:eastAsia="Times New Roman" w:hAnsi="Times New Roman" w:cs="Times New Roman"/>
          <w:kern w:val="0"/>
          <w:lang w:eastAsia="en-GB"/>
          <w14:ligatures w14:val="none"/>
        </w:rPr>
        <w:t>women</w:t>
      </w:r>
      <w:r w:rsidR="004D1905">
        <w:rPr>
          <w:rFonts w:ascii="Times New Roman" w:eastAsia="Times New Roman" w:hAnsi="Times New Roman" w:cs="Times New Roman"/>
          <w:kern w:val="0"/>
          <w:lang w:eastAsia="en-GB"/>
          <w14:ligatures w14:val="none"/>
        </w:rPr>
        <w:t>’</w:t>
      </w:r>
      <w:r w:rsidR="00D04842">
        <w:rPr>
          <w:rFonts w:ascii="Times New Roman" w:eastAsia="Times New Roman" w:hAnsi="Times New Roman" w:cs="Times New Roman"/>
          <w:kern w:val="0"/>
          <w:lang w:eastAsia="en-GB"/>
          <w14:ligatures w14:val="none"/>
        </w:rPr>
        <w:t>s</w:t>
      </w:r>
      <w:r w:rsidR="005E5E63" w:rsidRPr="002F2E39">
        <w:rPr>
          <w:rFonts w:ascii="Times New Roman" w:eastAsia="Times New Roman" w:hAnsi="Times New Roman" w:cs="Times New Roman"/>
          <w:kern w:val="0"/>
          <w:lang w:eastAsia="en-GB"/>
          <w14:ligatures w14:val="none"/>
        </w:rPr>
        <w:t xml:space="preserve"> rights. As Enright argues, the post-2018 constitutional framework remains unsettled, with access to abortion continuing to depend upon the restrictive grounds and criminal provisions of the 2018 Act rather than on an independently recognised constitutional right.</w:t>
      </w:r>
      <w:r w:rsidR="005E5E63" w:rsidRPr="002F2E39">
        <w:rPr>
          <w:rStyle w:val="FootnoteReference"/>
          <w:rFonts w:ascii="Times New Roman" w:eastAsia="Times New Roman" w:hAnsi="Times New Roman" w:cs="Times New Roman"/>
          <w:kern w:val="0"/>
          <w:lang w:eastAsia="en-GB"/>
          <w14:ligatures w14:val="none"/>
        </w:rPr>
        <w:footnoteReference w:id="84"/>
      </w:r>
      <w:r w:rsidR="005E5E63" w:rsidRPr="002F2E39">
        <w:rPr>
          <w:rFonts w:ascii="Times New Roman" w:eastAsia="Times New Roman" w:hAnsi="Times New Roman" w:cs="Times New Roman"/>
          <w:kern w:val="0"/>
          <w:lang w:eastAsia="en-GB"/>
          <w14:ligatures w14:val="none"/>
        </w:rPr>
        <w:t xml:space="preserve"> </w:t>
      </w:r>
      <w:r w:rsidR="005E5E63" w:rsidRPr="002F2E39">
        <w:rPr>
          <w:rFonts w:ascii="Times New Roman" w:eastAsia="Times New Roman" w:hAnsi="Times New Roman" w:cs="Times New Roman"/>
          <w:kern w:val="0"/>
          <w:lang w:eastAsia="en-GB"/>
          <w14:ligatures w14:val="none"/>
        </w:rPr>
        <w:lastRenderedPageBreak/>
        <w:t>Feminist analyses therefore caution against interpreting decriminalisation as the culmination of reproductive justice struggles.</w:t>
      </w:r>
      <w:r w:rsidR="005E5E63" w:rsidRPr="002F2E39">
        <w:rPr>
          <w:rStyle w:val="FootnoteReference"/>
          <w:rFonts w:ascii="Times New Roman" w:eastAsia="Times New Roman" w:hAnsi="Times New Roman" w:cs="Times New Roman"/>
          <w:kern w:val="0"/>
          <w:lang w:eastAsia="en-GB"/>
          <w14:ligatures w14:val="none"/>
        </w:rPr>
        <w:footnoteReference w:id="85"/>
      </w:r>
      <w:r w:rsidR="005E5E63" w:rsidRPr="002F2E39">
        <w:rPr>
          <w:rFonts w:ascii="Times New Roman" w:eastAsia="Times New Roman" w:hAnsi="Times New Roman" w:cs="Times New Roman"/>
          <w:kern w:val="0"/>
          <w:lang w:eastAsia="en-GB"/>
          <w14:ligatures w14:val="none"/>
        </w:rPr>
        <w:t xml:space="preserve"> </w:t>
      </w:r>
    </w:p>
    <w:p w14:paraId="2971AD06" w14:textId="7F9ABDD4" w:rsidR="00A05FF9" w:rsidRPr="002F2E39" w:rsidRDefault="003935F8" w:rsidP="00A05FF9">
      <w:pPr>
        <w:pStyle w:val="NormalWeb"/>
        <w:spacing w:line="360" w:lineRule="auto"/>
        <w:jc w:val="both"/>
      </w:pPr>
      <w:r w:rsidRPr="002F2E39">
        <w:t xml:space="preserve">Following </w:t>
      </w:r>
      <w:r w:rsidR="005E5E63" w:rsidRPr="002F2E39">
        <w:t xml:space="preserve">partial </w:t>
      </w:r>
      <w:r w:rsidR="00A05FF9" w:rsidRPr="002F2E39">
        <w:t>decriminalisation, medical professionals in Ireland still function as bureaucratic gatekeepers of reproductive governance, mediating access through clinical discretion, institutional risk management, and commissioning structures rather than simply implementing legal entitlements.</w:t>
      </w:r>
      <w:r w:rsidR="00A05FF9" w:rsidRPr="002F2E39">
        <w:rPr>
          <w:rStyle w:val="FootnoteReference"/>
        </w:rPr>
        <w:footnoteReference w:id="86"/>
      </w:r>
      <w:r w:rsidR="00A05FF9" w:rsidRPr="002F2E39">
        <w:t xml:space="preserve"> State regulation of reproductive healthcare therefore entrenches inequalities through healthcare systems, with hospitals and clinics operating as sites where legal norms are refracted through institutional cultures, resource constraints, and professional hierarchies.</w:t>
      </w:r>
      <w:r w:rsidR="00A05FF9" w:rsidRPr="002F2E39">
        <w:rPr>
          <w:rStyle w:val="FootnoteReference"/>
        </w:rPr>
        <w:footnoteReference w:id="87"/>
      </w:r>
      <w:r w:rsidR="00A05FF9" w:rsidRPr="002F2E39">
        <w:t xml:space="preserve"> Regulation of providers and service delivery structures thereby intensifies moral governance at the point of care, positioning healthcare institutions not as neutral conduits of legal rights, but as arenas of moral and regulatory contestation through which abortion access is differentially shaped and constrained.</w:t>
      </w:r>
      <w:r w:rsidR="00A05FF9" w:rsidRPr="002F2E39">
        <w:rPr>
          <w:rStyle w:val="FootnoteReference"/>
        </w:rPr>
        <w:footnoteReference w:id="88"/>
      </w:r>
      <w:r w:rsidR="00A05FF9" w:rsidRPr="002F2E39">
        <w:t xml:space="preserve"> As </w:t>
      </w:r>
      <w:proofErr w:type="spellStart"/>
      <w:r w:rsidR="00A05FF9" w:rsidRPr="002F2E39">
        <w:t>Rebouché</w:t>
      </w:r>
      <w:proofErr w:type="spellEnd"/>
      <w:r w:rsidR="00A05FF9" w:rsidRPr="002F2E39">
        <w:t xml:space="preserve"> notes, a right to abortion </w:t>
      </w:r>
      <w:r w:rsidR="004D1905">
        <w:t>‘</w:t>
      </w:r>
      <w:r w:rsidR="00A05FF9" w:rsidRPr="002F2E39">
        <w:t>means very little if women cannot obtain or afford healthcare</w:t>
      </w:r>
      <w:r w:rsidR="004D1905">
        <w:t>’</w:t>
      </w:r>
      <w:r w:rsidR="00A05FF9" w:rsidRPr="002F2E39">
        <w:t>,</w:t>
      </w:r>
      <w:r w:rsidR="00A05FF9" w:rsidRPr="002F2E39">
        <w:rPr>
          <w:rStyle w:val="FootnoteReference"/>
        </w:rPr>
        <w:footnoteReference w:id="89"/>
      </w:r>
      <w:r w:rsidR="00A05FF9" w:rsidRPr="002F2E39">
        <w:t xml:space="preserve"> highlighting the disjunction between formal legal recognition and material access. </w:t>
      </w:r>
      <w:r w:rsidR="005E5E63" w:rsidRPr="002F2E39">
        <w:t>The partial d</w:t>
      </w:r>
      <w:r w:rsidR="00A05FF9" w:rsidRPr="002F2E39">
        <w:t>ecriminalisation thus emerges as a necessary but incomplete step, highlighting the distinction between formal legal change and substantive justice. While the removal of criminal sanctions reduced the immediate threat of punishment, ongoing uncertainty in service provision continues to shape women</w:t>
      </w:r>
      <w:r w:rsidR="004D1905">
        <w:t>’</w:t>
      </w:r>
      <w:r w:rsidR="00A05FF9" w:rsidRPr="002F2E39">
        <w:t xml:space="preserve">s reproductive experiences. </w:t>
      </w:r>
    </w:p>
    <w:p w14:paraId="724C9104" w14:textId="1D2A2221" w:rsidR="00A05FF9" w:rsidRPr="002F2E39" w:rsidRDefault="00626009" w:rsidP="00865F09">
      <w:pPr>
        <w:spacing w:before="100" w:beforeAutospacing="1" w:after="100" w:afterAutospacing="1" w:line="360" w:lineRule="auto"/>
        <w:jc w:val="both"/>
        <w:rPr>
          <w:rFonts w:ascii="Times New Roman" w:eastAsia="Times New Roman" w:hAnsi="Times New Roman" w:cs="Times New Roman"/>
          <w:kern w:val="0"/>
          <w:lang w:eastAsia="en-GB"/>
          <w14:ligatures w14:val="none"/>
        </w:rPr>
      </w:pPr>
      <w:r w:rsidRPr="002F2E39">
        <w:rPr>
          <w:rFonts w:ascii="Times New Roman" w:eastAsia="Times New Roman" w:hAnsi="Times New Roman" w:cs="Times New Roman"/>
          <w:kern w:val="0"/>
          <w:lang w:eastAsia="en-GB"/>
          <w14:ligatures w14:val="none"/>
        </w:rPr>
        <w:t>Most significantly,</w:t>
      </w:r>
      <w:r w:rsidR="00C9658B" w:rsidRPr="002F2E39">
        <w:rPr>
          <w:rFonts w:ascii="Times New Roman" w:eastAsia="Times New Roman" w:hAnsi="Times New Roman" w:cs="Times New Roman"/>
          <w:kern w:val="0"/>
          <w:lang w:eastAsia="en-GB"/>
          <w14:ligatures w14:val="none"/>
        </w:rPr>
        <w:t xml:space="preserve"> this</w:t>
      </w:r>
      <w:r w:rsidRPr="002F2E39">
        <w:rPr>
          <w:rFonts w:ascii="Times New Roman" w:eastAsia="Times New Roman" w:hAnsi="Times New Roman" w:cs="Times New Roman"/>
          <w:kern w:val="0"/>
          <w:lang w:eastAsia="en-GB"/>
          <w14:ligatures w14:val="none"/>
        </w:rPr>
        <w:t xml:space="preserve"> reveals that reproductive governance has not dissolved but only migrated from constitutional prohibition to clinical gatekeeping, from criminal sanction to institutional discretion. This shift exposes a structural feature of IHR</w:t>
      </w:r>
      <w:r w:rsidR="00C9658B" w:rsidRPr="002F2E39">
        <w:rPr>
          <w:rFonts w:ascii="Times New Roman" w:eastAsia="Times New Roman" w:hAnsi="Times New Roman" w:cs="Times New Roman"/>
          <w:kern w:val="0"/>
          <w:lang w:eastAsia="en-GB"/>
          <w14:ligatures w14:val="none"/>
        </w:rPr>
        <w:t>L as</w:t>
      </w:r>
      <w:r w:rsidRPr="002F2E39">
        <w:rPr>
          <w:rFonts w:ascii="Times New Roman" w:eastAsia="Times New Roman" w:hAnsi="Times New Roman" w:cs="Times New Roman"/>
          <w:kern w:val="0"/>
          <w:lang w:eastAsia="en-GB"/>
          <w14:ligatures w14:val="none"/>
        </w:rPr>
        <w:t xml:space="preserve"> a framework oriented toward formal legality</w:t>
      </w:r>
      <w:r w:rsidR="00C9658B" w:rsidRPr="002F2E39">
        <w:rPr>
          <w:rFonts w:ascii="Times New Roman" w:eastAsia="Times New Roman" w:hAnsi="Times New Roman" w:cs="Times New Roman"/>
          <w:kern w:val="0"/>
          <w:lang w:eastAsia="en-GB"/>
          <w14:ligatures w14:val="none"/>
        </w:rPr>
        <w:t xml:space="preserve">, </w:t>
      </w:r>
      <w:r w:rsidRPr="002F2E39">
        <w:rPr>
          <w:rFonts w:ascii="Times New Roman" w:eastAsia="Times New Roman" w:hAnsi="Times New Roman" w:cs="Times New Roman"/>
          <w:kern w:val="0"/>
          <w:lang w:eastAsia="en-GB"/>
          <w14:ligatures w14:val="none"/>
        </w:rPr>
        <w:t xml:space="preserve">capable of dismantling criminal prohibition while remaining structurally ill-equipped to compel the material and institutional transformations that </w:t>
      </w:r>
      <w:r w:rsidRPr="002F2E39">
        <w:rPr>
          <w:rFonts w:ascii="Times New Roman" w:eastAsia="Times New Roman" w:hAnsi="Times New Roman" w:cs="Times New Roman"/>
          <w:kern w:val="0"/>
          <w:lang w:eastAsia="en-GB"/>
          <w14:ligatures w14:val="none"/>
        </w:rPr>
        <w:lastRenderedPageBreak/>
        <w:t>substantive reproductive justice demands. The consultation room, it turns out, is as much a site of reproductive governance as the Constitution ever was.</w:t>
      </w:r>
    </w:p>
    <w:p w14:paraId="288D2831" w14:textId="2AFADD2C" w:rsidR="008608D8" w:rsidRPr="002F2E39" w:rsidRDefault="008608D8" w:rsidP="00865F09">
      <w:pPr>
        <w:spacing w:before="100" w:beforeAutospacing="1" w:after="100" w:afterAutospacing="1" w:line="360" w:lineRule="auto"/>
        <w:jc w:val="both"/>
        <w:rPr>
          <w:rFonts w:ascii="Times New Roman" w:eastAsia="Times New Roman" w:hAnsi="Times New Roman" w:cs="Times New Roman"/>
          <w:kern w:val="0"/>
          <w:lang w:eastAsia="en-GB"/>
          <w14:ligatures w14:val="none"/>
        </w:rPr>
      </w:pPr>
      <w:r w:rsidRPr="002F2E39">
        <w:rPr>
          <w:rFonts w:ascii="Times New Roman" w:eastAsia="Times New Roman" w:hAnsi="Times New Roman" w:cs="Times New Roman"/>
          <w:kern w:val="0"/>
          <w:lang w:eastAsia="en-GB"/>
          <w14:ligatures w14:val="none"/>
        </w:rPr>
        <w:t>Yet Ireland also raises a broader question about the operation of reproductive governance beyond the context of abortion regulation</w:t>
      </w:r>
      <w:r w:rsidR="00E85644">
        <w:rPr>
          <w:rFonts w:ascii="Times New Roman" w:eastAsia="Times New Roman" w:hAnsi="Times New Roman" w:cs="Times New Roman"/>
          <w:kern w:val="0"/>
          <w:lang w:eastAsia="en-GB"/>
          <w14:ligatures w14:val="none"/>
        </w:rPr>
        <w:t>.</w:t>
      </w:r>
      <w:r w:rsidR="003F3FD8" w:rsidRPr="003F3FD8">
        <w:t xml:space="preserve"> </w:t>
      </w:r>
      <w:r w:rsidR="003F3FD8" w:rsidRPr="003F3FD8">
        <w:rPr>
          <w:rFonts w:ascii="Times New Roman" w:eastAsia="Times New Roman" w:hAnsi="Times New Roman" w:cs="Times New Roman"/>
          <w:kern w:val="0"/>
          <w:lang w:eastAsia="en-GB"/>
          <w14:ligatures w14:val="none"/>
        </w:rPr>
        <w:t>If reproductive governance can persist despite the partial dismantling of formal legal prohibitions</w:t>
      </w:r>
      <w:r w:rsidR="003F3FD8">
        <w:rPr>
          <w:rFonts w:ascii="Times New Roman" w:eastAsia="Times New Roman" w:hAnsi="Times New Roman" w:cs="Times New Roman"/>
          <w:kern w:val="0"/>
          <w:lang w:eastAsia="en-GB"/>
          <w14:ligatures w14:val="none"/>
        </w:rPr>
        <w:t xml:space="preserve">, </w:t>
      </w:r>
      <w:r w:rsidRPr="002F2E39">
        <w:rPr>
          <w:rFonts w:ascii="Times New Roman" w:eastAsia="Times New Roman" w:hAnsi="Times New Roman" w:cs="Times New Roman"/>
          <w:kern w:val="0"/>
          <w:lang w:eastAsia="en-GB"/>
          <w14:ligatures w14:val="none"/>
        </w:rPr>
        <w:t xml:space="preserve">how might similar dynamics emerge in contexts where state intervention is directed not towards enforcing motherhood but towards suppressing </w:t>
      </w:r>
      <w:r w:rsidR="002D0671">
        <w:rPr>
          <w:rFonts w:ascii="Times New Roman" w:eastAsia="Times New Roman" w:hAnsi="Times New Roman" w:cs="Times New Roman"/>
          <w:kern w:val="0"/>
          <w:lang w:eastAsia="en-GB"/>
          <w14:ligatures w14:val="none"/>
        </w:rPr>
        <w:t>it</w:t>
      </w:r>
      <w:r w:rsidRPr="002F2E39">
        <w:rPr>
          <w:rFonts w:ascii="Times New Roman" w:eastAsia="Times New Roman" w:hAnsi="Times New Roman" w:cs="Times New Roman"/>
          <w:kern w:val="0"/>
          <w:lang w:eastAsia="en-GB"/>
          <w14:ligatures w14:val="none"/>
        </w:rPr>
        <w:t>? The Peruvian sterilisation programme discussed in the following section provides a useful site through which to explore this question. While the forms of intervention differ profoundly, placing these contexts in dialogue reveals how reproductive governance may operate through opposite reproductive imperatives while remaining embedded within broader structures of institutional power, social hierarchy, and state regulation.</w:t>
      </w:r>
    </w:p>
    <w:p w14:paraId="630EEBD9" w14:textId="69B65516" w:rsidR="002F2E39" w:rsidRPr="002F2E39" w:rsidRDefault="00D04842" w:rsidP="000D6E18">
      <w:pPr>
        <w:pStyle w:val="Heading2"/>
        <w:rPr>
          <w:lang w:eastAsia="en-GB"/>
        </w:rPr>
      </w:pPr>
      <w:r>
        <w:rPr>
          <w:lang w:eastAsia="en-GB"/>
        </w:rPr>
        <w:t>Coercive Sterilisation</w:t>
      </w:r>
      <w:r w:rsidR="0026036C" w:rsidRPr="002F2E39">
        <w:rPr>
          <w:lang w:eastAsia="en-GB"/>
        </w:rPr>
        <w:t xml:space="preserve"> and Reproductive Justice in Peru </w:t>
      </w:r>
    </w:p>
    <w:p w14:paraId="49AAFBB4" w14:textId="5A920BEB" w:rsidR="002F2E39" w:rsidRPr="002F2E39" w:rsidRDefault="002F2E39" w:rsidP="002F2E39">
      <w:pPr>
        <w:spacing w:line="360" w:lineRule="auto"/>
        <w:jc w:val="both"/>
        <w:outlineLvl w:val="0"/>
        <w:rPr>
          <w:rFonts w:ascii="Times New Roman" w:eastAsia="Times New Roman" w:hAnsi="Times New Roman" w:cs="Times New Roman"/>
          <w:b/>
          <w:bCs/>
          <w:i/>
          <w:iCs/>
          <w:kern w:val="36"/>
          <w:lang w:eastAsia="en-GB"/>
          <w14:ligatures w14:val="none"/>
        </w:rPr>
      </w:pPr>
      <w:r w:rsidRPr="002F2E39">
        <w:rPr>
          <w:rFonts w:ascii="Times New Roman" w:hAnsi="Times New Roman" w:cs="Times New Roman"/>
        </w:rPr>
        <w:t xml:space="preserve">Access to contraception is widely recognised within </w:t>
      </w:r>
      <w:r w:rsidR="002D0671">
        <w:rPr>
          <w:rFonts w:ascii="Times New Roman" w:hAnsi="Times New Roman" w:cs="Times New Roman"/>
        </w:rPr>
        <w:t>IHRL</w:t>
      </w:r>
      <w:r w:rsidRPr="002F2E39">
        <w:rPr>
          <w:rFonts w:ascii="Times New Roman" w:hAnsi="Times New Roman" w:cs="Times New Roman"/>
        </w:rPr>
        <w:t xml:space="preserve"> as integral to women</w:t>
      </w:r>
      <w:r w:rsidR="004D1905">
        <w:rPr>
          <w:rFonts w:ascii="Times New Roman" w:hAnsi="Times New Roman" w:cs="Times New Roman"/>
        </w:rPr>
        <w:t>’</w:t>
      </w:r>
      <w:r w:rsidRPr="002F2E39">
        <w:rPr>
          <w:rFonts w:ascii="Times New Roman" w:hAnsi="Times New Roman" w:cs="Times New Roman"/>
        </w:rPr>
        <w:t>s rights to health, bodily autonomy and equality.</w:t>
      </w:r>
      <w:r w:rsidRPr="002F2E39">
        <w:rPr>
          <w:rFonts w:ascii="Times New Roman" w:hAnsi="Times New Roman" w:cs="Times New Roman"/>
          <w:vertAlign w:val="superscript"/>
        </w:rPr>
        <w:footnoteReference w:id="90"/>
      </w:r>
      <w:r w:rsidRPr="002F2E39">
        <w:rPr>
          <w:rFonts w:ascii="Times New Roman" w:hAnsi="Times New Roman" w:cs="Times New Roman"/>
        </w:rPr>
        <w:t xml:space="preserve"> Unlike abortion, contraception has often been presented as a relatively uncontroversial component of reproductive healthcare, particularly within development and public health agendas. Feminist scholars, however, have demonstrated that contraceptive provision has frequently been embedded within population control programmes that prioritise demographic management over women</w:t>
      </w:r>
      <w:r w:rsidR="004D1905">
        <w:rPr>
          <w:rFonts w:ascii="Times New Roman" w:hAnsi="Times New Roman" w:cs="Times New Roman"/>
        </w:rPr>
        <w:t>’</w:t>
      </w:r>
      <w:r w:rsidRPr="002F2E39">
        <w:rPr>
          <w:rFonts w:ascii="Times New Roman" w:hAnsi="Times New Roman" w:cs="Times New Roman"/>
        </w:rPr>
        <w:t>s reproductive self-determination.</w:t>
      </w:r>
      <w:r w:rsidRPr="002F2E39">
        <w:rPr>
          <w:rStyle w:val="FootnoteReference"/>
          <w:rFonts w:ascii="Times New Roman" w:eastAsia="Times New Roman" w:hAnsi="Times New Roman" w:cs="Times New Roman"/>
          <w:kern w:val="0"/>
          <w:lang w:eastAsia="en-GB"/>
          <w14:ligatures w14:val="none"/>
        </w:rPr>
        <w:footnoteReference w:id="91"/>
      </w:r>
      <w:r w:rsidRPr="002F2E39">
        <w:rPr>
          <w:rFonts w:ascii="Times New Roman" w:hAnsi="Times New Roman" w:cs="Times New Roman"/>
        </w:rPr>
        <w:t xml:space="preserve"> In Latin America, the expansion of family planning was often pursued through technocratic state interventions in which fertility regulation served broader objectives of development, modernisation and political stability rather than reproductive autonomy. Contraception therefore occupies an ambivalent position within human rights law: it may expand reproductive autonomy while simultaneously providing a vehicle for coercive state intervention</w:t>
      </w:r>
      <w:r w:rsidR="005F705C">
        <w:rPr>
          <w:rFonts w:ascii="Times New Roman" w:hAnsi="Times New Roman" w:cs="Times New Roman"/>
        </w:rPr>
        <w:t xml:space="preserve"> and prohibition</w:t>
      </w:r>
      <w:r w:rsidRPr="002F2E39">
        <w:rPr>
          <w:rFonts w:ascii="Times New Roman" w:hAnsi="Times New Roman" w:cs="Times New Roman"/>
        </w:rPr>
        <w:t>, particularly where reproductive decision-making is shaped by poverty, racialisation and unequal access to healthcare.</w:t>
      </w:r>
      <w:r w:rsidRPr="002F2E39">
        <w:rPr>
          <w:rStyle w:val="FootnoteReference"/>
          <w:rFonts w:ascii="Times New Roman" w:eastAsia="Times New Roman" w:hAnsi="Times New Roman" w:cs="Times New Roman"/>
          <w:kern w:val="0"/>
          <w:lang w:eastAsia="en-GB"/>
          <w14:ligatures w14:val="none"/>
        </w:rPr>
        <w:footnoteReference w:id="92"/>
      </w:r>
    </w:p>
    <w:p w14:paraId="45EC49DA" w14:textId="7F441E56" w:rsidR="00475E20" w:rsidRDefault="002F2E39" w:rsidP="002F2E39">
      <w:pPr>
        <w:pStyle w:val="NormalWeb"/>
        <w:spacing w:line="360" w:lineRule="auto"/>
        <w:jc w:val="both"/>
      </w:pPr>
      <w:r w:rsidRPr="002F2E39">
        <w:lastRenderedPageBreak/>
        <w:t xml:space="preserve">These tensions were </w:t>
      </w:r>
      <w:r w:rsidR="005F705C">
        <w:t>particularly</w:t>
      </w:r>
      <w:r w:rsidRPr="002F2E39">
        <w:t xml:space="preserve"> pronounced in Latin America</w:t>
      </w:r>
      <w:r w:rsidR="00D04842">
        <w:t xml:space="preserve"> and the Caribbean</w:t>
      </w:r>
      <w:r w:rsidRPr="002F2E39">
        <w:t>, where profound socio-economic inequalities, weak healthcare infrastructure and limited access to reproductive healthcare intersected with international development agendas.</w:t>
      </w:r>
      <w:r w:rsidR="005F705C" w:rsidRPr="002F2E39">
        <w:rPr>
          <w:vertAlign w:val="superscript"/>
        </w:rPr>
        <w:footnoteReference w:id="93"/>
      </w:r>
      <w:r w:rsidR="005F705C">
        <w:t xml:space="preserve"> </w:t>
      </w:r>
      <w:r w:rsidR="005F705C" w:rsidRPr="005F705C">
        <w:t>During the twentieth century, reproductive-health policy across the region was also shaped by external population-control initiatives, including US-supported programmes that promoted fertility reduction as part of broader concerns with population growth, development and political stability.</w:t>
      </w:r>
      <w:r w:rsidRPr="002F2E39">
        <w:rPr>
          <w:vertAlign w:val="superscript"/>
        </w:rPr>
        <w:footnoteReference w:id="94"/>
      </w:r>
      <w:r w:rsidRPr="002F2E39">
        <w:t xml:space="preserve"> Within this context, reproductive health increasingly became linked to poverty reduction and economic modernisation, particularly through development frameworks associated with the Millennium Development Goals.</w:t>
      </w:r>
      <w:r w:rsidRPr="002F2E39">
        <w:rPr>
          <w:vertAlign w:val="superscript"/>
        </w:rPr>
        <w:footnoteReference w:id="95"/>
      </w:r>
      <w:r w:rsidRPr="002F2E39">
        <w:t xml:space="preserve"> Although these initiatives expanded attention to women</w:t>
      </w:r>
      <w:r w:rsidR="004D1905">
        <w:t>’</w:t>
      </w:r>
      <w:r w:rsidRPr="002F2E39">
        <w:t>s health, feminist scholars argue that they also instrumentalised reproduction by treating fertility reduction as a development objective.</w:t>
      </w:r>
      <w:r w:rsidRPr="002F2E39">
        <w:rPr>
          <w:rStyle w:val="FootnoteReference"/>
        </w:rPr>
        <w:footnoteReference w:id="96"/>
      </w:r>
      <w:r w:rsidRPr="002F2E39">
        <w:t xml:space="preserve"> In practice, this frequently privileged demographic targets over informed consent, creating the conditions in which coercive reproductive practices could emerge under the language of health, development and women</w:t>
      </w:r>
      <w:r w:rsidR="004D1905">
        <w:t>’</w:t>
      </w:r>
      <w:r w:rsidRPr="002F2E39">
        <w:t xml:space="preserve">s empowerment. </w:t>
      </w:r>
    </w:p>
    <w:p w14:paraId="370EDE65" w14:textId="4F4B2B44" w:rsidR="002F2E39" w:rsidRPr="002F2E39" w:rsidRDefault="002F2E39" w:rsidP="00475E20">
      <w:pPr>
        <w:pStyle w:val="NormalWeb"/>
        <w:spacing w:line="360" w:lineRule="auto"/>
        <w:jc w:val="both"/>
      </w:pPr>
      <w:r w:rsidRPr="002F2E39">
        <w:t>Peru provides a particularly significant example of this dynamic.</w:t>
      </w:r>
      <w:r w:rsidR="00475E20">
        <w:t xml:space="preserve"> </w:t>
      </w:r>
      <w:r w:rsidRPr="002F2E39">
        <w:t>During the 1990s, Peru implemented an aggressive population control programme under the administration of Alberto Fujimori, ostensibly aimed at reducing poverty and improving maternal health.</w:t>
      </w:r>
      <w:r w:rsidRPr="002F2E39">
        <w:rPr>
          <w:vertAlign w:val="superscript"/>
        </w:rPr>
        <w:footnoteReference w:id="97"/>
      </w:r>
      <w:r w:rsidRPr="002F2E39">
        <w:t xml:space="preserve"> Although presented as a voluntary family planning initiative, the programme operated through government-imposed sterilisation targets that placed intense pressure on healthcare providers to increase the number of tubal ligations and vasectomies performed, particularly in rural and Indigenous communities.</w:t>
      </w:r>
      <w:r w:rsidRPr="002F2E39">
        <w:rPr>
          <w:color w:val="000000" w:themeColor="text1"/>
          <w:vertAlign w:val="superscript"/>
        </w:rPr>
        <w:footnoteReference w:id="98"/>
      </w:r>
      <w:r w:rsidRPr="002F2E39">
        <w:t xml:space="preserve"> </w:t>
      </w:r>
      <w:r w:rsidR="005F705C" w:rsidRPr="005F705C">
        <w:t>Although women</w:t>
      </w:r>
      <w:r w:rsidR="005F705C">
        <w:t xml:space="preserve"> were</w:t>
      </w:r>
      <w:r w:rsidR="005F705C" w:rsidRPr="005F705C">
        <w:t xml:space="preserve"> overwhelmingly the principal targets of the campaign</w:t>
      </w:r>
      <w:r w:rsidR="005F705C">
        <w:t>,</w:t>
      </w:r>
      <w:r w:rsidR="005F705C" w:rsidRPr="005F705C">
        <w:t xml:space="preserve"> the programme formally encompassed both women and men, and evidence documents coercive vasectomies among rural men</w:t>
      </w:r>
      <w:r w:rsidR="005F705C">
        <w:t>.</w:t>
      </w:r>
      <w:r w:rsidR="005F705C">
        <w:rPr>
          <w:rStyle w:val="FootnoteReference"/>
        </w:rPr>
        <w:footnoteReference w:id="99"/>
      </w:r>
      <w:r w:rsidR="005F705C">
        <w:t xml:space="preserve"> </w:t>
      </w:r>
      <w:r w:rsidRPr="002F2E39">
        <w:t xml:space="preserve">Rather than promoting reproductive </w:t>
      </w:r>
      <w:r w:rsidRPr="002F2E39">
        <w:lastRenderedPageBreak/>
        <w:t>autonomy, family planning became an instrument of demographic governance, with poor and Indigenous women disproportionately targeted and constructed as populations requiring fertility control.</w:t>
      </w:r>
      <w:r w:rsidRPr="002F2E39">
        <w:rPr>
          <w:rStyle w:val="FootnoteReference"/>
        </w:rPr>
        <w:footnoteReference w:id="100"/>
      </w:r>
      <w:r w:rsidRPr="002F2E39">
        <w:t xml:space="preserve"> Population policy explicitly linked fertility reduction among marginalised communities to national development and modernisation, positioning Indigenous women</w:t>
      </w:r>
      <w:r w:rsidR="004D1905">
        <w:t>’</w:t>
      </w:r>
      <w:r w:rsidRPr="002F2E39">
        <w:t>s reproduction as an obstacle to economic progress.</w:t>
      </w:r>
      <w:r w:rsidRPr="002F2E39">
        <w:rPr>
          <w:rStyle w:val="FootnoteReference"/>
        </w:rPr>
        <w:footnoteReference w:id="101"/>
      </w:r>
    </w:p>
    <w:p w14:paraId="704943F7" w14:textId="1BFDA97E" w:rsidR="002F2E39" w:rsidRPr="002F2E39" w:rsidRDefault="002F2E39" w:rsidP="002F2E39">
      <w:pPr>
        <w:pStyle w:val="NormalWeb"/>
        <w:spacing w:line="360" w:lineRule="auto"/>
        <w:jc w:val="both"/>
      </w:pPr>
      <w:r w:rsidRPr="002F2E39">
        <w:t>These policies reproduced longer colonial hierarchies of race, gender and development. Read through a decolonial feminist lens, the sterilisation programme represents a contemporary manifestation of the modern/colonial project, in which Indigenous women were racialised as excessive reproducers whose fertility required technocratic management in the interests of national progress.</w:t>
      </w:r>
      <w:r w:rsidRPr="002F2E39">
        <w:rPr>
          <w:rStyle w:val="FootnoteReference"/>
        </w:rPr>
        <w:footnoteReference w:id="102"/>
      </w:r>
      <w:r w:rsidRPr="002F2E39">
        <w:t xml:space="preserve"> The Peruvian case therefore demonstrates how healthcare systems themselves became sites of reproductive governance, translating demographic and developmental objectives into reproductive control through routine clinical practice rather than exceptional state violence.</w:t>
      </w:r>
      <w:r w:rsidRPr="002F2E39">
        <w:rPr>
          <w:rStyle w:val="FootnoteReference"/>
        </w:rPr>
        <w:footnoteReference w:id="103"/>
      </w:r>
      <w:r w:rsidR="00475E20">
        <w:t xml:space="preserve"> </w:t>
      </w:r>
      <w:r w:rsidRPr="002F2E39">
        <w:t>The programme</w:t>
      </w:r>
      <w:r w:rsidR="004D1905">
        <w:t>’</w:t>
      </w:r>
      <w:r w:rsidRPr="002F2E39">
        <w:t>s coercive character was reflected in both its implementation and its consequences. Medical personnel were not only required to meet unrealistic sterilisation quotas but were frequently incentivised through financial rewards, while access to food assistance and other welfare programmes was reportedly made conditional upon sterilisation in some rural communities.</w:t>
      </w:r>
      <w:r w:rsidRPr="002F2E39">
        <w:rPr>
          <w:vertAlign w:val="superscript"/>
        </w:rPr>
        <w:footnoteReference w:id="104"/>
      </w:r>
      <w:r w:rsidRPr="002F2E39">
        <w:t xml:space="preserve"> These practices contributed to numerous deaths arising from medical negligence, the documented forced sterilisation of at least 2,074 illiterate rural women,</w:t>
      </w:r>
      <w:r w:rsidRPr="002F2E39">
        <w:rPr>
          <w:vertAlign w:val="superscript"/>
        </w:rPr>
        <w:footnoteReference w:id="105"/>
      </w:r>
      <w:r w:rsidRPr="002F2E39">
        <w:t xml:space="preserve"> and 243 recorded cases of human rights violations between 1995 and 2000.</w:t>
      </w:r>
      <w:r w:rsidR="00CD16A2">
        <w:rPr>
          <w:rStyle w:val="FootnoteReference"/>
        </w:rPr>
        <w:footnoteReference w:id="106"/>
      </w:r>
      <w:r w:rsidRPr="002F2E39">
        <w:t xml:space="preserve"> The systematic nature of these abuses demonstrates that reproductive violence resulted </w:t>
      </w:r>
      <w:r w:rsidRPr="002F2E39">
        <w:lastRenderedPageBreak/>
        <w:t>not from isolated administrative failures but from a state policy organised around the racialised management of reproduction.</w:t>
      </w:r>
      <w:r w:rsidRPr="002F2E39">
        <w:rPr>
          <w:vertAlign w:val="superscript"/>
        </w:rPr>
        <w:footnoteReference w:id="107"/>
      </w:r>
    </w:p>
    <w:p w14:paraId="45C15B02" w14:textId="6E612B1E" w:rsidR="002F2E39" w:rsidRPr="002F2E39" w:rsidRDefault="002F2E39" w:rsidP="002F2E39">
      <w:pPr>
        <w:pStyle w:val="pdq2pgselectionanchorcontainer"/>
        <w:spacing w:line="360" w:lineRule="auto"/>
        <w:jc w:val="both"/>
      </w:pPr>
      <w:r w:rsidRPr="002F2E39">
        <w:t>International human rights mechanisms played a pivotal role in challenging Peru</w:t>
      </w:r>
      <w:r w:rsidR="004D1905">
        <w:t>’</w:t>
      </w:r>
      <w:r w:rsidRPr="002F2E39">
        <w:t xml:space="preserve">s reproductive policies, particularly through the intervention of the Inter-American Commission on Human Rights. The Friendly Settlement in </w:t>
      </w:r>
      <w:r w:rsidRPr="002F2E39">
        <w:rPr>
          <w:rStyle w:val="Emphasis"/>
        </w:rPr>
        <w:t>Mestanza Chávez</w:t>
      </w:r>
      <w:r w:rsidRPr="002F2E39">
        <w:t xml:space="preserve"> marked a significant development in recognising coerced sterilisation as a violation of women</w:t>
      </w:r>
      <w:r w:rsidR="004D1905">
        <w:t>’</w:t>
      </w:r>
      <w:r w:rsidRPr="002F2E39">
        <w:t>s rights to life, personal integrity and equality.</w:t>
      </w:r>
      <w:r w:rsidRPr="002F2E39">
        <w:rPr>
          <w:rStyle w:val="FootnoteReference"/>
        </w:rPr>
        <w:footnoteReference w:id="108"/>
      </w:r>
      <w:r w:rsidRPr="002F2E39">
        <w:t xml:space="preserve"> For the first time, Peru formally acknowledged its international responsibility for abuses arising from the sterilisation programme and accepted obligations to provide reparations, conduct criminal and administrative investigations, reform reproductive health policies and introduce safeguards to prevent future violations.</w:t>
      </w:r>
      <w:r w:rsidRPr="002F2E39">
        <w:rPr>
          <w:rStyle w:val="FootnoteReference"/>
          <w:color w:val="000000" w:themeColor="text1"/>
        </w:rPr>
        <w:footnoteReference w:id="109"/>
      </w:r>
      <w:r w:rsidRPr="002F2E39">
        <w:t xml:space="preserve"> The Settlement therefore transformed coercive sterilisation from a matter defended as domestic family planning policy into one engaging international human rights obligations.</w:t>
      </w:r>
    </w:p>
    <w:p w14:paraId="25CD345E" w14:textId="0397D63F" w:rsidR="002F2E39" w:rsidRPr="002F2E39" w:rsidRDefault="002F2E39" w:rsidP="002F2E39">
      <w:pPr>
        <w:pStyle w:val="NormalWeb"/>
        <w:spacing w:line="360" w:lineRule="auto"/>
        <w:jc w:val="both"/>
      </w:pPr>
      <w:r w:rsidRPr="002F2E39">
        <w:t>Beyond its immediate legal consequences, the Settlement also challenged the political narratives underpinning Peru</w:t>
      </w:r>
      <w:r w:rsidR="004D1905">
        <w:t>’</w:t>
      </w:r>
      <w:r w:rsidRPr="002F2E39">
        <w:t xml:space="preserve">s population policy. Ewig argues that its significance </w:t>
      </w:r>
      <w:r w:rsidR="00A434C5">
        <w:t>lies</w:t>
      </w:r>
      <w:r w:rsidR="00A434C5" w:rsidRPr="002F2E39">
        <w:t xml:space="preserve"> </w:t>
      </w:r>
      <w:r w:rsidRPr="002F2E39">
        <w:t>in exposing the contradiction between the Fujimori government</w:t>
      </w:r>
      <w:r w:rsidR="004D1905">
        <w:t>’</w:t>
      </w:r>
      <w:r w:rsidRPr="002F2E39">
        <w:t>s appropriation of the language of women</w:t>
      </w:r>
      <w:r w:rsidR="004D1905">
        <w:t>’</w:t>
      </w:r>
      <w:r w:rsidRPr="002F2E39">
        <w:t>s rights and reproductive autonomy and the reality of coercive population control, undermining the official claim that sterilisation promoted women</w:t>
      </w:r>
      <w:r w:rsidR="004D1905">
        <w:t>’</w:t>
      </w:r>
      <w:r w:rsidRPr="002F2E39">
        <w:t>s empowerment.</w:t>
      </w:r>
      <w:r w:rsidRPr="002F2E39">
        <w:rPr>
          <w:rStyle w:val="FootnoteReference"/>
          <w:color w:val="000000" w:themeColor="text1"/>
        </w:rPr>
        <w:footnoteReference w:id="110"/>
      </w:r>
      <w:r w:rsidRPr="002F2E39">
        <w:t xml:space="preserve"> Similarly, </w:t>
      </w:r>
      <w:proofErr w:type="spellStart"/>
      <w:r w:rsidRPr="002F2E39">
        <w:t>Boesten</w:t>
      </w:r>
      <w:proofErr w:type="spellEnd"/>
      <w:r w:rsidRPr="002F2E39">
        <w:t xml:space="preserve"> contends that the Settlement revealed how the rhetoric of reproductive choice masked quota-driven campaigns that disproportionately targeted poor, rural and Indigenous women, reframing sterilisation as a question of discrimination and reproductive injustice rather than legitimate demographic policy.</w:t>
      </w:r>
      <w:r w:rsidRPr="002F2E39">
        <w:rPr>
          <w:rStyle w:val="FootnoteReference"/>
          <w:color w:val="000000" w:themeColor="text1"/>
        </w:rPr>
        <w:footnoteReference w:id="111"/>
      </w:r>
    </w:p>
    <w:p w14:paraId="1161F32D" w14:textId="1CE3DE7A" w:rsidR="00C24994" w:rsidRDefault="002F2E39" w:rsidP="00C24994">
      <w:pPr>
        <w:pStyle w:val="NormalWeb"/>
        <w:spacing w:line="360" w:lineRule="auto"/>
        <w:jc w:val="both"/>
      </w:pPr>
      <w:r w:rsidRPr="002F2E39">
        <w:t>The Settlement prompted a series of important legal and institutional reforms, including revised informed consent procedures, victim reparations and changes to reproductive health policy.</w:t>
      </w:r>
      <w:r w:rsidRPr="002F2E39">
        <w:rPr>
          <w:highlight w:val="white"/>
          <w:vertAlign w:val="superscript"/>
        </w:rPr>
        <w:footnoteReference w:id="112"/>
      </w:r>
      <w:r w:rsidRPr="002F2E39">
        <w:t xml:space="preserve"> </w:t>
      </w:r>
      <w:r w:rsidRPr="002F2E39">
        <w:lastRenderedPageBreak/>
        <w:t xml:space="preserve">Nevertheless, subsequent scholarship suggests that its impact was primarily normative rather than transformative. </w:t>
      </w:r>
      <w:proofErr w:type="spellStart"/>
      <w:r w:rsidRPr="002F2E39">
        <w:t>Ballón</w:t>
      </w:r>
      <w:proofErr w:type="spellEnd"/>
      <w:r w:rsidRPr="002F2E39">
        <w:t xml:space="preserve"> argues that, despite Peru</w:t>
      </w:r>
      <w:r w:rsidR="004D1905">
        <w:t>’</w:t>
      </w:r>
      <w:r w:rsidRPr="002F2E39">
        <w:t>s formal acceptance of responsibility, forced sterilisation remained largely absent from the country</w:t>
      </w:r>
      <w:r w:rsidR="004D1905">
        <w:t>’</w:t>
      </w:r>
      <w:r w:rsidRPr="002F2E39">
        <w:t>s post-conflict memory and transitional justice processes, leaving many survivors without meaningful recognition or accountability.</w:t>
      </w:r>
      <w:r w:rsidRPr="002F2E39">
        <w:rPr>
          <w:rStyle w:val="FootnoteReference"/>
          <w:color w:val="000000" w:themeColor="text1"/>
        </w:rPr>
        <w:footnoteReference w:id="113"/>
      </w:r>
      <w:r w:rsidRPr="002F2E39">
        <w:t xml:space="preserve"> Likewise, Ewig maintains that reforms did not fundamentally challenge the developmental and neo-Malthusian assumptions underpinning Peru</w:t>
      </w:r>
      <w:r w:rsidR="004D1905">
        <w:t>’</w:t>
      </w:r>
      <w:r w:rsidRPr="002F2E39">
        <w:t>s population policy,</w:t>
      </w:r>
      <w:r w:rsidRPr="002F2E39">
        <w:rPr>
          <w:rStyle w:val="FootnoteReference"/>
          <w:color w:val="000000" w:themeColor="text1"/>
        </w:rPr>
        <w:footnoteReference w:id="114"/>
      </w:r>
      <w:r w:rsidRPr="002F2E39">
        <w:t xml:space="preserve"> while </w:t>
      </w:r>
      <w:proofErr w:type="spellStart"/>
      <w:r w:rsidRPr="002F2E39">
        <w:t>Boesten</w:t>
      </w:r>
      <w:proofErr w:type="spellEnd"/>
      <w:r w:rsidRPr="002F2E39">
        <w:t xml:space="preserve"> argues that the programme reflected broader projects of demographic governance rather than administrative failures.</w:t>
      </w:r>
      <w:r w:rsidRPr="002F2E39">
        <w:rPr>
          <w:rStyle w:val="FootnoteReference"/>
          <w:color w:val="000000" w:themeColor="text1"/>
        </w:rPr>
        <w:footnoteReference w:id="115"/>
      </w:r>
      <w:r w:rsidRPr="002F2E39">
        <w:t xml:space="preserve"> </w:t>
      </w:r>
      <w:r w:rsidR="00825801" w:rsidRPr="00825801">
        <w:t>Consequently, although Inter-American supervision generated significant accountability, legal reform and institutional safeguards,</w:t>
      </w:r>
      <w:r w:rsidR="00825801" w:rsidRPr="002F2E39">
        <w:rPr>
          <w:highlight w:val="white"/>
          <w:vertAlign w:val="superscript"/>
        </w:rPr>
        <w:footnoteReference w:id="116"/>
      </w:r>
      <w:r w:rsidR="00825801" w:rsidRPr="00825801">
        <w:t xml:space="preserve"> subsequent developments suggest that it did not fundamentally dismantle the racialised healthcare governance, developmental imperatives and unequal power relations through which reproductive coercion had been constituted.</w:t>
      </w:r>
      <w:r w:rsidR="00825801">
        <w:t xml:space="preserve"> </w:t>
      </w:r>
    </w:p>
    <w:p w14:paraId="74E8F818" w14:textId="1D1932BB" w:rsidR="00C24994" w:rsidRDefault="00825801" w:rsidP="00C24994">
      <w:pPr>
        <w:pStyle w:val="NormalWeb"/>
        <w:spacing w:line="360" w:lineRule="auto"/>
        <w:jc w:val="both"/>
        <w:rPr>
          <w:color w:val="EE0000"/>
        </w:rPr>
      </w:pPr>
      <w:r w:rsidRPr="00C24994">
        <w:rPr>
          <w:color w:val="000000" w:themeColor="text1"/>
        </w:rPr>
        <w:t xml:space="preserve">This continuing struggle for accountability illustrates the persistence of those underlying structures long after the </w:t>
      </w:r>
      <w:r w:rsidRPr="00C24994">
        <w:rPr>
          <w:i/>
          <w:iCs/>
          <w:color w:val="000000" w:themeColor="text1"/>
        </w:rPr>
        <w:t>Mestanza Chávez</w:t>
      </w:r>
      <w:r w:rsidRPr="00C24994">
        <w:rPr>
          <w:color w:val="000000" w:themeColor="text1"/>
        </w:rPr>
        <w:t xml:space="preserve"> Friendly Settlement. As Vásquez del Aguila demonstrates, </w:t>
      </w:r>
      <w:r w:rsidR="00C24994" w:rsidRPr="00C24994">
        <w:rPr>
          <w:color w:val="000000" w:themeColor="text1"/>
        </w:rPr>
        <w:t xml:space="preserve">legal reforms have not displaced a continuing culture of impunity, limited political will, and enduring racial, class and gender inequalities, </w:t>
      </w:r>
      <w:r w:rsidRPr="00C24994">
        <w:rPr>
          <w:color w:val="000000" w:themeColor="text1"/>
        </w:rPr>
        <w:t>prompting survivor organisations, feminist groups and human rights advocates to pursue justice beyond the courtroom.</w:t>
      </w:r>
      <w:r w:rsidR="00C24994" w:rsidRPr="00C24994">
        <w:rPr>
          <w:rStyle w:val="FootnoteReference"/>
          <w:color w:val="000000" w:themeColor="text1"/>
        </w:rPr>
        <w:footnoteReference w:id="117"/>
      </w:r>
      <w:r w:rsidRPr="00C24994">
        <w:rPr>
          <w:color w:val="000000" w:themeColor="text1"/>
        </w:rPr>
        <w:t xml:space="preserve"> </w:t>
      </w:r>
      <w:r w:rsidR="00C24994" w:rsidRPr="00C24994">
        <w:rPr>
          <w:color w:val="000000" w:themeColor="text1"/>
        </w:rPr>
        <w:t xml:space="preserve">The continued exclusion of survivors from official narratives, reparations and sites of memory demonstrates that legal recognition has not translated into broader political recognition, requiring sustained feminist activism to preserve testimony, document state violence and challenge what </w:t>
      </w:r>
      <w:proofErr w:type="spellStart"/>
      <w:r w:rsidR="00C24994" w:rsidRPr="00C24994">
        <w:rPr>
          <w:color w:val="000000" w:themeColor="text1"/>
        </w:rPr>
        <w:t>Ballón</w:t>
      </w:r>
      <w:proofErr w:type="spellEnd"/>
      <w:r w:rsidR="00C24994" w:rsidRPr="00C24994">
        <w:rPr>
          <w:color w:val="000000" w:themeColor="text1"/>
        </w:rPr>
        <w:t xml:space="preserve"> describes as a politics of forgetting.</w:t>
      </w:r>
      <w:r w:rsidR="004E416C">
        <w:rPr>
          <w:rStyle w:val="FootnoteReference"/>
          <w:color w:val="000000" w:themeColor="text1"/>
        </w:rPr>
        <w:footnoteReference w:id="118"/>
      </w:r>
      <w:r w:rsidR="00C24994" w:rsidRPr="00C24994">
        <w:rPr>
          <w:color w:val="000000" w:themeColor="text1"/>
        </w:rPr>
        <w:t xml:space="preserve"> The continuing mobilisation of survivor organisations and feminist advocates therefore illustrates that, although the Friendly Settlement secured important legal recognition and institutional commitments, litigation alone proved insufficient to dismantle the structural and colonial relations through which reproductive injustice was reproduced.</w:t>
      </w:r>
    </w:p>
    <w:p w14:paraId="6C480A78" w14:textId="10CDEB39" w:rsidR="002F2E39" w:rsidRPr="002F2E39" w:rsidRDefault="002F2E39" w:rsidP="00C24994">
      <w:pPr>
        <w:pStyle w:val="NormalWeb"/>
        <w:spacing w:line="360" w:lineRule="auto"/>
        <w:jc w:val="both"/>
      </w:pPr>
      <w:r w:rsidRPr="002F2E39">
        <w:lastRenderedPageBreak/>
        <w:t>Feminist scholarship has long recognised that international human rights interventions create important, albeit partial, avenues of accountability by rendering previously marginalised forms of gendered violence legally visible. Nesiah argues that feminist engagement with transitional justice and human rights mechanisms has expanded the normative scope of accountability and secured recognition for women</w:t>
      </w:r>
      <w:r w:rsidR="004D1905">
        <w:t>’</w:t>
      </w:r>
      <w:r w:rsidRPr="002F2E39">
        <w:t>s experiences, while also demonstrating that many survivors continue to seek meaningful justice long after formal legal processes conclude.</w:t>
      </w:r>
      <w:r w:rsidRPr="002F2E39">
        <w:rPr>
          <w:rStyle w:val="FootnoteReference"/>
          <w:color w:val="000000" w:themeColor="text1"/>
        </w:rPr>
        <w:footnoteReference w:id="119"/>
      </w:r>
      <w:r w:rsidRPr="002F2E39">
        <w:t xml:space="preserve"> Similarly, Kapur cautions that rights-based interventions often translate structural inequalities into individual legal claims, limiting their capacity to transform the political, social and economic conditions through which gendered violence is reproduced.</w:t>
      </w:r>
      <w:r w:rsidRPr="002F2E39">
        <w:rPr>
          <w:rStyle w:val="FootnoteReference"/>
          <w:color w:val="000000" w:themeColor="text1"/>
        </w:rPr>
        <w:footnoteReference w:id="120"/>
      </w:r>
      <w:r w:rsidRPr="002F2E39">
        <w:t xml:space="preserve"> Read through a postcolonial feminist lens, the Peruvian sterilisation programme demonstrates that reproductive coercion was not an aberration but a structural expression of colonial and developmental governance, in which Indigenous women</w:t>
      </w:r>
      <w:r w:rsidR="004D1905">
        <w:t>’</w:t>
      </w:r>
      <w:r w:rsidRPr="002F2E39">
        <w:t>s fertility was racialised</w:t>
      </w:r>
      <w:r w:rsidR="002D0B40">
        <w:t>, considered to be</w:t>
      </w:r>
      <w:r w:rsidRPr="002F2E39">
        <w:t xml:space="preserve"> excessive and</w:t>
      </w:r>
      <w:r w:rsidR="002D0B40">
        <w:t xml:space="preserve"> </w:t>
      </w:r>
      <w:r w:rsidRPr="002F2E39">
        <w:t>subjected to demographic management. In doing so, the case gives concrete expression to Morgan and Roberts</w:t>
      </w:r>
      <w:r w:rsidR="004D1905">
        <w:t>’</w:t>
      </w:r>
      <w:r w:rsidRPr="002F2E39">
        <w:t xml:space="preserve"> concept of reproductive governance by illustrating how ostensibly progressive public health policy became a mechanism of population control, producing reproductive injustice through inclusion within state healthcare rather than exclusion from it.</w:t>
      </w:r>
    </w:p>
    <w:p w14:paraId="3E7E2A1F" w14:textId="62DA4E91" w:rsidR="004D5FC2" w:rsidRPr="002F2E39" w:rsidRDefault="002F2E39" w:rsidP="00EC615A">
      <w:pPr>
        <w:pStyle w:val="NormalWeb"/>
        <w:spacing w:line="360" w:lineRule="auto"/>
        <w:jc w:val="both"/>
      </w:pPr>
      <w:r w:rsidRPr="002F2E39">
        <w:t>The Peruvian case therefore reinforces the article</w:t>
      </w:r>
      <w:r w:rsidR="004D1905">
        <w:t>’</w:t>
      </w:r>
      <w:r w:rsidRPr="002F2E39">
        <w:t xml:space="preserve">s broader argument about the ambivalent capacity of </w:t>
      </w:r>
      <w:r w:rsidR="00475E20">
        <w:t>IHRL</w:t>
      </w:r>
      <w:r w:rsidRPr="002F2E39">
        <w:t>. While the Inter-American system succeeded in recognising the violations, securing accountability and prompting significant legal reform, it proved considerably less capable of transforming the racialised, developmental and institutional structures through which reproductive governance had been organised. In this respect, Peru mirrors Ireland in inverted form: whereas postcolonial nation-building in Ireland sought to enforce reproduction, colonial developmentalism in Peru sought to suppress it. Read together, these cases demonstrate that opposite reproductive policies can serve analogous political projects and that, in both contexts, IHRL remained more effective at remedying rights violations than at dismantling the structures that produced them.</w:t>
      </w:r>
    </w:p>
    <w:p w14:paraId="1D58EC32" w14:textId="0F2B2666" w:rsidR="00865F09" w:rsidRPr="002F2E39" w:rsidRDefault="00F71E05" w:rsidP="00FB11D4">
      <w:pPr>
        <w:pStyle w:val="Heading2"/>
      </w:pPr>
      <w:r w:rsidRPr="002F2E39">
        <w:t>Lessons from Ireland and Peru</w:t>
      </w:r>
    </w:p>
    <w:p w14:paraId="309955BF" w14:textId="4FE34FD9" w:rsidR="003F3FD8" w:rsidRDefault="003F3FD8" w:rsidP="00A91688">
      <w:pPr>
        <w:pStyle w:val="font-claude-response-body"/>
        <w:spacing w:before="0" w:beforeAutospacing="0" w:after="0" w:afterAutospacing="0" w:line="360" w:lineRule="auto"/>
        <w:jc w:val="both"/>
      </w:pPr>
      <w:r w:rsidRPr="003F3FD8">
        <w:t xml:space="preserve">The two case studies evaluated in this article demonstrate that reproductive governance is not only concerned with regulating reproduction, but with regulating it differentially. As </w:t>
      </w:r>
      <w:r w:rsidRPr="003F3FD8">
        <w:lastRenderedPageBreak/>
        <w:t xml:space="preserve">scholarship on stratified reproduction has long argued, states do not govern reproduction equally; rather, they determine whose reproduction is valued, encouraged, protected or constrained according to broader projects of social, political and economic ordering. Far from simply reflecting these inequalities, stratified reproduction actively </w:t>
      </w:r>
      <w:r w:rsidR="004D1905">
        <w:t>‘</w:t>
      </w:r>
      <w:r w:rsidRPr="003F3FD8">
        <w:t xml:space="preserve">reflect[s], reinforce[s], and </w:t>
      </w:r>
      <w:proofErr w:type="spellStart"/>
      <w:r w:rsidRPr="003F3FD8">
        <w:t>intensif</w:t>
      </w:r>
      <w:proofErr w:type="spellEnd"/>
      <w:r w:rsidRPr="003F3FD8">
        <w:t>[</w:t>
      </w:r>
      <w:proofErr w:type="spellStart"/>
      <w:r w:rsidRPr="003F3FD8">
        <w:t>ies</w:t>
      </w:r>
      <w:proofErr w:type="spellEnd"/>
      <w:r w:rsidRPr="003F3FD8">
        <w:t>]</w:t>
      </w:r>
      <w:r w:rsidR="004D1905">
        <w:t>’</w:t>
      </w:r>
      <w:r w:rsidRPr="003F3FD8">
        <w:t xml:space="preserve"> them, reproducing social hierarchies through reproductive governance itself.</w:t>
      </w:r>
      <w:r w:rsidR="00C5198A">
        <w:rPr>
          <w:rStyle w:val="FootnoteReference"/>
        </w:rPr>
        <w:footnoteReference w:id="121"/>
      </w:r>
    </w:p>
    <w:p w14:paraId="361990AF" w14:textId="77777777" w:rsidR="009B7263" w:rsidRDefault="003F3FD8" w:rsidP="003F3FD8">
      <w:pPr>
        <w:pStyle w:val="font-claude-response-body"/>
        <w:spacing w:line="360" w:lineRule="auto"/>
        <w:jc w:val="both"/>
      </w:pPr>
      <w:r>
        <w:t>In this light, Ireland</w:t>
      </w:r>
      <w:r w:rsidR="004D1905">
        <w:t>’</w:t>
      </w:r>
      <w:r>
        <w:t>s constitutional prohibition of abortion and Peru</w:t>
      </w:r>
      <w:r w:rsidR="004D1905">
        <w:t>’</w:t>
      </w:r>
      <w:r>
        <w:t xml:space="preserve">s coercive sterilisation programme should not be understood as opposing reproductive projects, but as opposite manifestations of the same governing logic. While the Irish state sought to secure the reproduction of women positioned as central to the moral and demographic future of the postcolonial Catholic nation, the Peruvian state sought to suppress the fertility of poor Indigenous women whose reproduction was constructed as incompatible with projects of national development. </w:t>
      </w:r>
      <w:r w:rsidR="009B7263">
        <w:t xml:space="preserve">In </w:t>
      </w:r>
      <w:r w:rsidR="009B7263" w:rsidRPr="009B7263">
        <w:t>both cases, the state assigned reproductive value through legal and institutional regulation, although the populations differentiated by these interventions and the mechanisms through which reproduction was governed differed substantially</w:t>
      </w:r>
      <w:r w:rsidR="009B7263">
        <w:t xml:space="preserve">. </w:t>
      </w:r>
    </w:p>
    <w:p w14:paraId="64AC3DFF" w14:textId="54901244" w:rsidR="003F3FD8" w:rsidRDefault="003F3FD8" w:rsidP="003F3FD8">
      <w:pPr>
        <w:pStyle w:val="font-claude-response-body"/>
        <w:spacing w:line="360" w:lineRule="auto"/>
        <w:jc w:val="both"/>
      </w:pPr>
      <w:r>
        <w:t>This insight resonates with the reproductive justice tradition developed by Black feminists, who rejected the narrow focus of reproductive rights discourse on abortion and individual choice in favour of an analysis capable of explaining how reproductive oppression is organised across race, class and gender.</w:t>
      </w:r>
      <w:r w:rsidR="004E416C">
        <w:rPr>
          <w:rStyle w:val="FootnoteReference"/>
        </w:rPr>
        <w:footnoteReference w:id="122"/>
      </w:r>
      <w:r>
        <w:t xml:space="preserve"> As Ross argues, reproductive justice emerged because existing reproductive politics failed to account for the intersectional conditions through which reproductive relations are produced and reinforced, instead requiring a framework capable of explaining reproductive oppression across different populations and historical contexts.</w:t>
      </w:r>
      <w:r w:rsidR="00C5198A">
        <w:rPr>
          <w:rStyle w:val="FootnoteReference"/>
        </w:rPr>
        <w:footnoteReference w:id="123"/>
      </w:r>
      <w:r>
        <w:t xml:space="preserve"> </w:t>
      </w:r>
      <w:r w:rsidRPr="003F3FD8">
        <w:t>Rather than treating abortion restrictions, coercive sterilisation, welfare regulation or the policing of motherhood as discrete injustices, reproductive justice understands them as interconnected expressions of broader systems of racialised and gendered power. This genealogy is rooted in Black feminist organising, which sought to expose how reproductive politics has historically been shaped by white supremacy, patriarchy and capitalism rather than by questions of individual choice alone.</w:t>
      </w:r>
      <w:r w:rsidR="00C5198A">
        <w:rPr>
          <w:rStyle w:val="FootnoteReference"/>
        </w:rPr>
        <w:footnoteReference w:id="124"/>
      </w:r>
    </w:p>
    <w:p w14:paraId="700FE5A7" w14:textId="6D17E967" w:rsidR="003F3FD8" w:rsidRPr="002F2E39" w:rsidRDefault="003F3FD8" w:rsidP="00A91688">
      <w:pPr>
        <w:pStyle w:val="font-claude-response-body"/>
        <w:spacing w:before="0" w:beforeAutospacing="0" w:after="0" w:afterAutospacing="0" w:line="360" w:lineRule="auto"/>
        <w:jc w:val="both"/>
      </w:pPr>
      <w:r>
        <w:lastRenderedPageBreak/>
        <w:t xml:space="preserve">Read together, these frameworks demonstrate that the central question is not simply whether states restrict or expand reproductive rights, but how they differentially distribute reproductive autonomy. As </w:t>
      </w:r>
      <w:proofErr w:type="spellStart"/>
      <w:r>
        <w:t>Petchesky</w:t>
      </w:r>
      <w:proofErr w:type="spellEnd"/>
      <w:r>
        <w:t xml:space="preserve"> argues, reproductive politics concerns not merely the defence of bodily autonomy against state interference, but the social meanings attached to bodies and the relationships through which bodily integrity is constituted.</w:t>
      </w:r>
      <w:r w:rsidR="00C5198A">
        <w:rPr>
          <w:rStyle w:val="FootnoteReference"/>
        </w:rPr>
        <w:footnoteReference w:id="125"/>
      </w:r>
      <w:r>
        <w:t xml:space="preserve"> She therefore cautions against reducing reproductive freedom to an individualised conception of self-ownership, arguing instead that claims to bodily autonomy function as political strategies for securing recognition, citizenship and social justice rather than descriptions of isolated individual liberty.</w:t>
      </w:r>
      <w:r w:rsidR="00C5198A">
        <w:rPr>
          <w:rStyle w:val="FootnoteReference"/>
        </w:rPr>
        <w:footnoteReference w:id="126"/>
      </w:r>
      <w:r w:rsidR="00C5198A" w:rsidRPr="00C5198A">
        <w:t xml:space="preserve"> From this perspective, reproductive governance is fundamentally concerned with assigning differential value to reproductive bodies according to historically contingent projects of nation-building, colonialism and development. This is precisely the dimension that an international human rights framework, oriented primarily towards identifying violations of individual rights and securing state compliance, struggles to apprehend.</w:t>
      </w:r>
    </w:p>
    <w:p w14:paraId="7DDB9CB6" w14:textId="46EFC65C" w:rsidR="006F57D8" w:rsidRDefault="006F57D8" w:rsidP="004728E0">
      <w:pPr>
        <w:pStyle w:val="NormalWeb"/>
        <w:spacing w:line="360" w:lineRule="auto"/>
        <w:jc w:val="both"/>
      </w:pPr>
      <w:r w:rsidRPr="006F57D8">
        <w:t xml:space="preserve">Ireland and Peru </w:t>
      </w:r>
      <w:r w:rsidR="004E416C">
        <w:t xml:space="preserve">thus </w:t>
      </w:r>
      <w:r w:rsidRPr="006F57D8">
        <w:t xml:space="preserve">represent structurally opposite yet analytically connected modalities of reproductive governance. Despite pursuing opposite reproductive imperatives, in both contexts reproduction became a means through which the state sought to shape the nation, defining who should reproduce, under what conditions, and in service of which political project. These modalities of reproductive governance also help explain the differing trajectories of </w:t>
      </w:r>
      <w:r w:rsidR="002D0B40">
        <w:t>IHRL</w:t>
      </w:r>
      <w:r w:rsidRPr="006F57D8">
        <w:t xml:space="preserve"> across the two case studies. The apparent divergence does not suggest that IHRL is inherently more effective in one context than the other. Rather, the Peruvian litigation centred on identifiable acts of coercive sterilisation attributable to state officials and healthcare providers, making violations more readily cognisable within existing human rights doctrine. By contrast, reproductive governance in Ireland was diffused across constitutional law, healthcare institutions, clinical discretion and postcolonial constructions of national identity, rendering the structural conditions underpinning reproductive injustice less amenable to rights-based intervention. Yet, despite these doctrinal differences, both case studies ultimately expose the same structural limitation: while IHRL has become increasingly effective at identifying and remedying specific reproductive rights violations, it remains less equipped to dismantle the </w:t>
      </w:r>
      <w:r w:rsidRPr="006F57D8">
        <w:lastRenderedPageBreak/>
        <w:t>colonial, institutional and social relations through which reproductive governance is constituted and reproduced.</w:t>
      </w:r>
    </w:p>
    <w:p w14:paraId="62629D96" w14:textId="3A7C820D" w:rsidR="005F402E" w:rsidRDefault="005F402E" w:rsidP="004728E0">
      <w:pPr>
        <w:pStyle w:val="NormalWeb"/>
        <w:spacing w:line="360" w:lineRule="auto"/>
        <w:jc w:val="both"/>
      </w:pPr>
      <w:r w:rsidRPr="005F402E">
        <w:t>These modalities of reproductive governance also illuminate the differential capacities of international human rights law. In Peru, the sterilisation programme involved readily identifiable acts of coercion attributable to state officials, engaging well-established prohibitions relating to bodily integrity, torture, informed consent and discrimination. Consequently, the Inter-American system was able to identify clear rights violations, attribute state responsibility and secure Peru</w:t>
      </w:r>
      <w:r w:rsidR="004D1905">
        <w:t>’</w:t>
      </w:r>
      <w:r w:rsidRPr="005F402E">
        <w:t xml:space="preserve">s acknowledgement of international responsibility together with commitments to reparations, legislative reform and institutional change through the </w:t>
      </w:r>
      <w:r w:rsidRPr="005F402E">
        <w:rPr>
          <w:i/>
          <w:iCs/>
        </w:rPr>
        <w:t xml:space="preserve">Mestanza Chávez </w:t>
      </w:r>
      <w:r w:rsidRPr="005F402E">
        <w:t>Friendly Settlement.</w:t>
      </w:r>
      <w:r w:rsidRPr="002F2E39">
        <w:rPr>
          <w:rStyle w:val="FootnoteReference"/>
        </w:rPr>
        <w:footnoteReference w:id="127"/>
      </w:r>
      <w:r w:rsidRPr="002F2E39">
        <w:t xml:space="preserve"> </w:t>
      </w:r>
      <w:r w:rsidRPr="005F402E">
        <w:t xml:space="preserve"> By contrast, although UN treaty bodies increasingly recognised that Ireland</w:t>
      </w:r>
      <w:r w:rsidR="004D1905">
        <w:t>’</w:t>
      </w:r>
      <w:r w:rsidRPr="005F402E">
        <w:t>s abortion regime was incompatible with the ICCPR and CEDAW and acknowledged its broader structural harms—including forced travel, stigma, discriminatory healthcare access and institutional barriers to reproductive autonomy—the legal mechanisms available to them remained principally directed towards identifying rights violations and recommending legislative reform.</w:t>
      </w:r>
      <w:r w:rsidRPr="002F2E39">
        <w:rPr>
          <w:rStyle w:val="FootnoteReference"/>
        </w:rPr>
        <w:footnoteReference w:id="128"/>
      </w:r>
      <w:r>
        <w:t xml:space="preserve"> </w:t>
      </w:r>
      <w:r w:rsidRPr="005F402E">
        <w:t xml:space="preserve">Despite the repeal of the Eighth Amendment and the partial decriminalisation of abortion, reproductive governance has therefore persisted through statutory limitations, healthcare organisation, clinical discretion, conscientious objection and geographical inequalities in service provision. </w:t>
      </w:r>
      <w:r w:rsidR="004D1905">
        <w:t xml:space="preserve">Placing Peru in dialogue with Ireland </w:t>
      </w:r>
      <w:r w:rsidRPr="005F402E">
        <w:t>thus demonstrates not that IHRL is incapable of recognising structural reproductive injustice, but that its institutional architecture is better equipped to identify and remedy legally cognisable harms than to transform the political, institutional and colonial conditions through which reproductive governance is reproduced.</w:t>
      </w:r>
    </w:p>
    <w:p w14:paraId="1D4C162A" w14:textId="44490926" w:rsidR="002E50E5" w:rsidRPr="002F2E39" w:rsidRDefault="00D435FC" w:rsidP="004728E0">
      <w:pPr>
        <w:pStyle w:val="NormalWeb"/>
        <w:spacing w:line="360" w:lineRule="auto"/>
        <w:jc w:val="both"/>
      </w:pPr>
      <w:r>
        <w:t>These consequences</w:t>
      </w:r>
      <w:r w:rsidR="004728E0" w:rsidRPr="002F2E39">
        <w:t>, however, should not be understood simply as one of success and failure, but as reflecting the different forms of reproductive harm at issue. In Peru, coercive sterilisation constituted a readily identifiable violation of internationally recognised rights to bodily integrity, reproductive autonomy and free and informed consent, while the systematic targeting of poor, rural and Indigenous women situated these abuses within broader patterns of discrimination and structural inequality.</w:t>
      </w:r>
      <w:r w:rsidR="004728E0" w:rsidRPr="002F2E39">
        <w:rPr>
          <w:rStyle w:val="FootnoteReference"/>
        </w:rPr>
        <w:footnoteReference w:id="129"/>
      </w:r>
      <w:r w:rsidR="004728E0" w:rsidRPr="002F2E39">
        <w:t xml:space="preserve"> The coercive nature of these practices also engaged </w:t>
      </w:r>
      <w:r w:rsidR="004728E0" w:rsidRPr="002F2E39">
        <w:lastRenderedPageBreak/>
        <w:t>well-established prohibitions on torture and cruel, inhuman or degrading treatment, rendering them more justiciable within established IHRL.</w:t>
      </w:r>
      <w:r w:rsidR="004728E0" w:rsidRPr="002F2E39">
        <w:rPr>
          <w:rStyle w:val="FootnoteReference"/>
        </w:rPr>
        <w:footnoteReference w:id="130"/>
      </w:r>
      <w:r w:rsidR="004728E0" w:rsidRPr="002F2E39">
        <w:t xml:space="preserve"> Consequently, the Irish case illustrates that reproductive injustice may persist through institutional forms of governance that are less amenable to conventional rights-based adjudication than the overt coercion characterising the Peruvian sterilisation programme. </w:t>
      </w:r>
    </w:p>
    <w:p w14:paraId="50E3D257" w14:textId="3EF30412" w:rsidR="009B7263" w:rsidRDefault="002E50E5" w:rsidP="009B7263">
      <w:pPr>
        <w:pStyle w:val="NormalWeb"/>
        <w:spacing w:line="360" w:lineRule="auto"/>
        <w:jc w:val="both"/>
      </w:pPr>
      <w:r w:rsidRPr="002F2E39">
        <w:t xml:space="preserve">Bringing these cases into dialogue therefore reveals an important structural limitation of </w:t>
      </w:r>
      <w:r w:rsidR="00552B49" w:rsidRPr="002F2E39">
        <w:t>IHRL</w:t>
      </w:r>
      <w:r w:rsidRPr="002F2E39">
        <w:t xml:space="preserve">. The argument advanced here is not that IHRL fails to recognise reproductive injustice or secure meaningful forms of accountability. On the contrary, as the preceding discussion demonstrates, </w:t>
      </w:r>
      <w:r w:rsidR="00552B49" w:rsidRPr="002F2E39">
        <w:t>IHRL</w:t>
      </w:r>
      <w:r w:rsidRPr="002F2E39">
        <w:t xml:space="preserve"> has developed increasingly sophisticated standards of state responsibility and has proved capable of rendering reproductive harms legally visible, attributing responsibility to states and requiring significant legal and institutional reform. </w:t>
      </w:r>
      <w:r w:rsidR="009B7263">
        <w:t xml:space="preserve">Rather, the cases reveal that </w:t>
      </w:r>
      <w:r w:rsidR="00B06444">
        <w:t>t</w:t>
      </w:r>
      <w:r w:rsidR="009B7263">
        <w:t>he capacity of rights-based mechanisms to intervene depends in part upon how reproductive power is institutionally organised. Where reproductive injustice takes the form of discrete and attributable acts of coercion, as in Peru, existing human rights frameworks can render those harms legally cognisable, attribute responsibility to the state and generate forms of accountability and legal reform. Where reproductive governance is dispersed across constitutional rules, healthcare institutions, clinical discretion and broader social inequalities, as in Ireland, the same frameworks have greater difficulty capturing the structural relations through which reproductive autonomy is constrained. The limitation of IHRL therefore lies not simply in its tendency to translate structural injustice into individual rights claims—a concern extensively identified in feminist international legal scholarship</w:t>
      </w:r>
      <w:r w:rsidR="009B7263" w:rsidRPr="002F2E39">
        <w:rPr>
          <w:rStyle w:val="FootnoteReference"/>
        </w:rPr>
        <w:footnoteReference w:id="131"/>
      </w:r>
      <w:r w:rsidR="009B7263">
        <w:t>—but in the possibility that the institutional organisation of reproductive governance determines which dimensions of that injustice become visible to human rights law at all.</w:t>
      </w:r>
    </w:p>
    <w:p w14:paraId="4F093F0D" w14:textId="77777777" w:rsidR="009B7263" w:rsidRDefault="009B7263" w:rsidP="009B7263">
      <w:pPr>
        <w:pStyle w:val="NormalWeb"/>
        <w:spacing w:line="360" w:lineRule="auto"/>
        <w:jc w:val="both"/>
      </w:pPr>
      <w:r>
        <w:lastRenderedPageBreak/>
        <w:t>This distinction has important implications for feminist engagement with IHRL. It suggests that legal recognition should not be treated as synonymous with structural transformation. In Peru, recognition of forced sterilisation as a violation of bodily integrity, reproductive autonomy and informed consent could establish state responsibility without necessarily dismantling the racialised and developmental assumptions through which Indigenous women's fertility had been constructed as a problem to be managed. In Ireland, the repeal of the Eighth Amendment removed a central legal mechanism of reproductive restriction, but did not itself eliminate the institutional practices through which access to abortion continued to be mediated, including clinical discretion, conscientious objection and uneven geographical provision. In both contexts, therefore, the resolution of the legally cognisable violation could coexist with the persistence of the institutional and political conditions that produced reproductive inequality.</w:t>
      </w:r>
    </w:p>
    <w:p w14:paraId="157C0159" w14:textId="11C7B47C" w:rsidR="002E50E5" w:rsidRPr="002F2E39" w:rsidRDefault="009B7263" w:rsidP="00E70F36">
      <w:pPr>
        <w:pStyle w:val="NormalWeb"/>
        <w:spacing w:line="360" w:lineRule="auto"/>
        <w:jc w:val="both"/>
      </w:pPr>
      <w:r>
        <w:t>The contribution of this comparison is consequently not to demonstrate again that IHRL is structurally limited, but to identify a particular mechanism through which that limitation operates in the field of reproductive governance. The legal visibility of reproductive injustice is contingent upon the form that governance takes: coercive practices that can be attributed to identifiable state actors are more readily translated into rights violations than forms of governance embedded within healthcare systems, administrative practices and historically constituted social relations. A substantive reproductive-justice approach must therefore ask not only whether a particular reproductive practice violates an individual right, but how the institutions through which reproduction is governed produce and distribute reproductive autonomy in the first place.</w:t>
      </w:r>
    </w:p>
    <w:p w14:paraId="6778E8F0" w14:textId="4C3AED06" w:rsidR="00FD2CB2" w:rsidRPr="002F2E39" w:rsidRDefault="00A91688" w:rsidP="00A91688">
      <w:pPr>
        <w:pStyle w:val="font-claude-response-body"/>
        <w:spacing w:before="0" w:beforeAutospacing="0" w:after="0" w:afterAutospacing="0" w:line="360" w:lineRule="auto"/>
        <w:jc w:val="both"/>
      </w:pPr>
      <w:r w:rsidRPr="002F2E39">
        <w:t xml:space="preserve">That reproductive justice remains urgently contested across vastly different contexts further underscores this point. The rollback of </w:t>
      </w:r>
      <w:r w:rsidR="00B06444">
        <w:t xml:space="preserve">United States’ </w:t>
      </w:r>
      <w:r w:rsidRPr="002F2E39">
        <w:t xml:space="preserve">constitutional protections in </w:t>
      </w:r>
      <w:r w:rsidRPr="002F2E39">
        <w:rPr>
          <w:rStyle w:val="Emphasis"/>
        </w:rPr>
        <w:t>Dobbs</w:t>
      </w:r>
      <w:r w:rsidRPr="002F2E39">
        <w:t>,</w:t>
      </w:r>
      <w:r w:rsidR="00B06444">
        <w:rPr>
          <w:rStyle w:val="FootnoteReference"/>
        </w:rPr>
        <w:footnoteReference w:id="132"/>
      </w:r>
      <w:r w:rsidRPr="002F2E39">
        <w:t xml:space="preserve"> near-total prohibition </w:t>
      </w:r>
      <w:r w:rsidR="00B06444">
        <w:t xml:space="preserve">on abortion </w:t>
      </w:r>
      <w:r w:rsidRPr="002F2E39">
        <w:t>in Poland</w:t>
      </w:r>
      <w:r w:rsidR="00552B49" w:rsidRPr="002F2E39">
        <w:t xml:space="preserve"> </w:t>
      </w:r>
      <w:r w:rsidRPr="002F2E39">
        <w:t>and ongoing struggles for accountability among Peru</w:t>
      </w:r>
      <w:r w:rsidR="004D1905">
        <w:t>’</w:t>
      </w:r>
      <w:r w:rsidRPr="002F2E39">
        <w:t>s sterilisation survivors collectively demonstrate that reproductive injustice is not confined to particular regions or developmental stages. It is produced through enforced motherhood and suppressed fertility, through constitutional prohibition and clinical gatekeeping, in the Global North as readily as the Global South. The Ireland</w:t>
      </w:r>
      <w:r w:rsidR="00C561D7" w:rsidRPr="002F2E39">
        <w:t>-</w:t>
      </w:r>
      <w:r w:rsidRPr="002F2E39">
        <w:t xml:space="preserve">Peru </w:t>
      </w:r>
      <w:r w:rsidR="00650B46" w:rsidRPr="002F2E39">
        <w:t xml:space="preserve">case studies </w:t>
      </w:r>
      <w:r w:rsidRPr="002F2E39">
        <w:t xml:space="preserve">therefore reveal reproductive governance not as a problem of underdevelopment but as a </w:t>
      </w:r>
      <w:r w:rsidRPr="002F2E39">
        <w:lastRenderedPageBreak/>
        <w:t>persistent feature of state power shaped by the intersection of colonial legacies, institutional arrangements, and political forces through which women</w:t>
      </w:r>
      <w:r w:rsidR="004D1905">
        <w:t>’</w:t>
      </w:r>
      <w:r w:rsidRPr="002F2E39">
        <w:t xml:space="preserve">s reproduction continues to be regulated. </w:t>
      </w:r>
    </w:p>
    <w:p w14:paraId="43B4D40F" w14:textId="77777777" w:rsidR="00D435FC" w:rsidRDefault="00D435FC" w:rsidP="00712245">
      <w:pPr>
        <w:pStyle w:val="font-claude-response-body"/>
        <w:spacing w:before="0" w:beforeAutospacing="0" w:after="0" w:afterAutospacing="0" w:line="360" w:lineRule="auto"/>
        <w:jc w:val="both"/>
        <w:rPr>
          <w:b/>
          <w:bCs/>
          <w:i/>
          <w:iCs/>
        </w:rPr>
      </w:pPr>
    </w:p>
    <w:p w14:paraId="535B37D0" w14:textId="793364F4" w:rsidR="00F71E05" w:rsidRPr="002F2E39" w:rsidRDefault="00F71E05" w:rsidP="000D7C3C">
      <w:pPr>
        <w:pStyle w:val="Heading2"/>
      </w:pPr>
      <w:r w:rsidRPr="002F2E39">
        <w:t>Conclusion</w:t>
      </w:r>
    </w:p>
    <w:p w14:paraId="6878A900" w14:textId="5A239942" w:rsidR="00AD27EB" w:rsidRPr="002F2E39" w:rsidRDefault="00AD27EB" w:rsidP="00712245">
      <w:pPr>
        <w:pStyle w:val="font-claude-response-body"/>
        <w:spacing w:before="0" w:beforeAutospacing="0" w:after="0" w:afterAutospacing="0" w:line="360" w:lineRule="auto"/>
        <w:jc w:val="both"/>
        <w:rPr>
          <w:color w:val="000000" w:themeColor="text1"/>
        </w:rPr>
      </w:pPr>
      <w:r w:rsidRPr="002F2E39">
        <w:rPr>
          <w:color w:val="000000" w:themeColor="text1"/>
        </w:rPr>
        <w:t xml:space="preserve">This article </w:t>
      </w:r>
      <w:r w:rsidR="00D3001E">
        <w:rPr>
          <w:color w:val="000000" w:themeColor="text1"/>
        </w:rPr>
        <w:t xml:space="preserve">has </w:t>
      </w:r>
      <w:r w:rsidRPr="002F2E39">
        <w:rPr>
          <w:color w:val="000000" w:themeColor="text1"/>
        </w:rPr>
        <w:t>examine</w:t>
      </w:r>
      <w:r w:rsidR="00B06444">
        <w:rPr>
          <w:color w:val="000000" w:themeColor="text1"/>
        </w:rPr>
        <w:t>d</w:t>
      </w:r>
      <w:r w:rsidRPr="002F2E39">
        <w:rPr>
          <w:color w:val="000000" w:themeColor="text1"/>
        </w:rPr>
        <w:t xml:space="preserve"> the capacity of IHRL to advance substantive reproductive justice through a dialogical analysis of abortion governance in Ireland and coercive sterilisation in Peru. By placing these seemingly opposite reproductive regimes in conversation, it has demonstrated that reproductive governance is not defined by whether states encourage or suppress reproduction, but by the differential regulation of reproductive capacity in pursuit of broader projects of nation-building, demographic management and social ordering. In doing so, the article has shown that, while IHRL has become increasingly effective at rendering reproductive harms legally visible and securing important forms of accountability, its liberal, state-centric architecture remains principally directed towards identifying rights violations and securing legal compliance rather than transforming the colonial, racial and institutional structures through which reproductive governance is produced.</w:t>
      </w:r>
    </w:p>
    <w:p w14:paraId="7C300881" w14:textId="77777777" w:rsidR="00AD27EB" w:rsidRPr="002F2E39" w:rsidRDefault="00AD27EB" w:rsidP="00712245">
      <w:pPr>
        <w:pStyle w:val="font-claude-response-body"/>
        <w:spacing w:before="0" w:beforeAutospacing="0" w:after="0" w:afterAutospacing="0" w:line="360" w:lineRule="auto"/>
        <w:jc w:val="both"/>
        <w:rPr>
          <w:color w:val="000000" w:themeColor="text1"/>
        </w:rPr>
      </w:pPr>
    </w:p>
    <w:p w14:paraId="312A5103" w14:textId="53F001E8" w:rsidR="00AD27EB" w:rsidRPr="002F2E39" w:rsidRDefault="00AD27EB" w:rsidP="00712245">
      <w:pPr>
        <w:pStyle w:val="font-claude-response-body"/>
        <w:spacing w:before="0" w:beforeAutospacing="0" w:after="0" w:afterAutospacing="0" w:line="360" w:lineRule="auto"/>
        <w:jc w:val="both"/>
        <w:rPr>
          <w:color w:val="000000" w:themeColor="text1"/>
        </w:rPr>
      </w:pPr>
      <w:r w:rsidRPr="002F2E39">
        <w:rPr>
          <w:color w:val="000000" w:themeColor="text1"/>
        </w:rPr>
        <w:t xml:space="preserve">Reading Ireland and Peru dialogically therefore suggests that the limitations of IHRL do not lie in an absence of doctrinal development or normative commitment. Rather, they lie in the mismatch between legal frameworks designed to remedy discrete rights violations and forms of reproductive governance that are embedded within healthcare institutions, development agendas, postcolonial nation-building and racialised population management. </w:t>
      </w:r>
      <w:r w:rsidR="00D435FC">
        <w:rPr>
          <w:color w:val="000000" w:themeColor="text1"/>
        </w:rPr>
        <w:t>T</w:t>
      </w:r>
      <w:r w:rsidRPr="002F2E39">
        <w:rPr>
          <w:color w:val="000000" w:themeColor="text1"/>
        </w:rPr>
        <w:t>hese case studies demonstrate that substantive reproductive justice requires attention not only to legal reform, but also to the political projects and institutional arrangements that determine whose reproduction is protected, whose is constrained, and whose reproductive autonomy remains contingent.</w:t>
      </w:r>
    </w:p>
    <w:p w14:paraId="53474A38" w14:textId="77777777" w:rsidR="00AD27EB" w:rsidRPr="002F2E39" w:rsidRDefault="00AD27EB" w:rsidP="00712245">
      <w:pPr>
        <w:pStyle w:val="font-claude-response-body"/>
        <w:spacing w:before="0" w:beforeAutospacing="0" w:after="0" w:afterAutospacing="0" w:line="360" w:lineRule="auto"/>
        <w:jc w:val="both"/>
        <w:rPr>
          <w:color w:val="EE0000"/>
        </w:rPr>
      </w:pPr>
    </w:p>
    <w:p w14:paraId="660AAAF4" w14:textId="2A818233" w:rsidR="007B6C8A" w:rsidRDefault="00405941" w:rsidP="00712245">
      <w:pPr>
        <w:pStyle w:val="font-claude-response-body"/>
        <w:spacing w:before="0" w:beforeAutospacing="0" w:after="0" w:afterAutospacing="0" w:line="360" w:lineRule="auto"/>
        <w:jc w:val="both"/>
      </w:pPr>
      <w:r w:rsidRPr="002F2E39">
        <w:t xml:space="preserve">The central lesson of this article is not that IHRL is incapable of advancing reproductive justice, but that its greatest contribution lies in creating the legal and political conditions from which broader structural transformation may begin, rather than constituting that transformation itself. </w:t>
      </w:r>
      <w:r w:rsidR="005F402E" w:rsidRPr="005F402E">
        <w:t xml:space="preserve">A reflexive feminist engagement with </w:t>
      </w:r>
      <w:r w:rsidR="004D1905">
        <w:t>IHRL</w:t>
      </w:r>
      <w:r w:rsidR="005F402E" w:rsidRPr="005F402E">
        <w:t xml:space="preserve"> therefore requires a dual strategy. Rather than abandoning rights-based approaches, feminist scholars and activists should continue to mobilise international human rights mechanisms as important sources of recognition, </w:t>
      </w:r>
      <w:r w:rsidR="005F402E" w:rsidRPr="005F402E">
        <w:lastRenderedPageBreak/>
        <w:t xml:space="preserve">accountability and legal reform. As both </w:t>
      </w:r>
      <w:r w:rsidR="005F402E" w:rsidRPr="005F402E">
        <w:rPr>
          <w:i/>
          <w:iCs/>
        </w:rPr>
        <w:t>Mellet</w:t>
      </w:r>
      <w:r w:rsidR="005F402E" w:rsidRPr="005F402E">
        <w:t xml:space="preserve"> and </w:t>
      </w:r>
      <w:r w:rsidR="005F402E" w:rsidRPr="005F402E">
        <w:rPr>
          <w:i/>
          <w:iCs/>
        </w:rPr>
        <w:t>Mestanza Chávez</w:t>
      </w:r>
      <w:r w:rsidR="005F402E" w:rsidRPr="005F402E">
        <w:t xml:space="preserve"> demonstrate, international human rights bodies have played a significant role in rendering reproductive harms legally visible, articulating increasingly sophisticated standards of state responsibility and creating political opportunities for reform. Yet these cases also demonstrate that legal victories become transformative only when they are translated into sustained feminist organising. In Ireland, international human rights findings acquired political force through grassroots mobilisation, coalition-building and anti-stigma campaigning that culminated in constitutional reform.</w:t>
      </w:r>
      <w:r w:rsidR="005F402E">
        <w:rPr>
          <w:rStyle w:val="FootnoteReference"/>
        </w:rPr>
        <w:footnoteReference w:id="133"/>
      </w:r>
      <w:r w:rsidR="005F402E" w:rsidRPr="005F402E">
        <w:t xml:space="preserve"> Similarly, in Peru, survivor organisations, </w:t>
      </w:r>
      <w:r w:rsidR="0079759A">
        <w:t>t</w:t>
      </w:r>
      <w:r w:rsidR="0079759A" w:rsidRPr="0079759A">
        <w:t xml:space="preserve">he Latin American and Caribbean Committee for the </w:t>
      </w:r>
      <w:proofErr w:type="spellStart"/>
      <w:r w:rsidR="0079759A" w:rsidRPr="0079759A">
        <w:t>Defense</w:t>
      </w:r>
      <w:proofErr w:type="spellEnd"/>
      <w:r w:rsidR="0079759A" w:rsidRPr="0079759A">
        <w:t xml:space="preserve"> of Women</w:t>
      </w:r>
      <w:r w:rsidR="004D1905">
        <w:t>’</w:t>
      </w:r>
      <w:r w:rsidR="0079759A" w:rsidRPr="0079759A">
        <w:t>s Rights (CLADEM)</w:t>
      </w:r>
      <w:r w:rsidR="0079759A">
        <w:t xml:space="preserve"> </w:t>
      </w:r>
      <w:r w:rsidR="005F402E" w:rsidRPr="005F402E">
        <w:t>and feminist advocates</w:t>
      </w:r>
      <w:r w:rsidR="00AC61E2">
        <w:rPr>
          <w:rStyle w:val="FootnoteReference"/>
        </w:rPr>
        <w:footnoteReference w:id="134"/>
      </w:r>
      <w:r w:rsidR="005F402E" w:rsidRPr="005F402E">
        <w:t xml:space="preserve"> have continued to press for accountability long after the Friendly Settlement, illustrating that litigation alone cannot dismantle the structural conditions through which reproductive injustice is reproduced. Consequently, feminist engagement with IHRL must extend beyond securing legal recognition towards transforming the institutional sites through which reproductive governance operates. This requires sustained attention to healthcare governance, clinical decision-making, conscientious objection, provider training, informed consent procedures, resource allocation and institutional discrimination</w:t>
      </w:r>
      <w:r w:rsidR="003F73E2">
        <w:t xml:space="preserve">. </w:t>
      </w:r>
      <w:r w:rsidR="005F402E" w:rsidRPr="005F402E">
        <w:t xml:space="preserve"> </w:t>
      </w:r>
      <w:r w:rsidR="003F73E2">
        <w:t>R</w:t>
      </w:r>
      <w:r w:rsidR="005F402E" w:rsidRPr="005F402E">
        <w:t>eproductive injustice often persists through administrative and healthcare practices long after formal legal reform has been achieved.</w:t>
      </w:r>
    </w:p>
    <w:p w14:paraId="1DD2A280" w14:textId="77777777" w:rsidR="00922209" w:rsidRDefault="00922209" w:rsidP="00712245">
      <w:pPr>
        <w:pStyle w:val="font-claude-response-body"/>
        <w:spacing w:before="0" w:beforeAutospacing="0" w:after="0" w:afterAutospacing="0" w:line="360" w:lineRule="auto"/>
        <w:jc w:val="both"/>
      </w:pPr>
    </w:p>
    <w:p w14:paraId="0A15C7AF" w14:textId="095F9133" w:rsidR="00A91688" w:rsidRDefault="00A91688" w:rsidP="00712245">
      <w:pPr>
        <w:pStyle w:val="font-claude-response-body"/>
        <w:spacing w:before="0" w:beforeAutospacing="0" w:after="0" w:afterAutospacing="0" w:line="360" w:lineRule="auto"/>
        <w:jc w:val="both"/>
      </w:pPr>
    </w:p>
    <w:sectPr w:rsidR="00A91688" w:rsidSect="000934E6">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F52166" w14:textId="77777777" w:rsidR="00E76B74" w:rsidRDefault="00E76B74" w:rsidP="002D24D5">
      <w:r>
        <w:separator/>
      </w:r>
    </w:p>
  </w:endnote>
  <w:endnote w:type="continuationSeparator" w:id="0">
    <w:p w14:paraId="25E06D0D" w14:textId="77777777" w:rsidR="00E76B74" w:rsidRDefault="00E76B74" w:rsidP="002D24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rPr>
      <w:id w:val="-1938829317"/>
      <w:docPartObj>
        <w:docPartGallery w:val="Page Numbers (Bottom of Page)"/>
        <w:docPartUnique/>
      </w:docPartObj>
    </w:sdtPr>
    <w:sdtEndPr>
      <w:rPr>
        <w:noProof/>
      </w:rPr>
    </w:sdtEndPr>
    <w:sdtContent>
      <w:p w14:paraId="5948521E" w14:textId="017AD789" w:rsidR="00BF6E65" w:rsidRDefault="00BF6E65">
        <w:pPr>
          <w:pStyle w:val="Footer"/>
          <w:jc w:val="center"/>
          <w:rPr>
            <w:sz w:val="22"/>
            <w:szCs w:val="22"/>
          </w:rPr>
        </w:pPr>
        <w:r>
          <w:rPr>
            <w:sz w:val="22"/>
            <w:szCs w:val="22"/>
          </w:rPr>
          <w:t>_________________________________________________________________________________________</w:t>
        </w:r>
      </w:p>
      <w:p w14:paraId="694AF7A4" w14:textId="77777777" w:rsidR="00BF6E65" w:rsidRDefault="00BF6E65">
        <w:pPr>
          <w:pStyle w:val="Footer"/>
          <w:jc w:val="center"/>
          <w:rPr>
            <w:sz w:val="22"/>
            <w:szCs w:val="22"/>
          </w:rPr>
        </w:pPr>
      </w:p>
      <w:p w14:paraId="6B4F0AE3" w14:textId="12F4ED82" w:rsidR="00BF6E65" w:rsidRPr="00BF6E65" w:rsidRDefault="00BF6E65">
        <w:pPr>
          <w:pStyle w:val="Footer"/>
          <w:jc w:val="center"/>
          <w:rPr>
            <w:sz w:val="22"/>
            <w:szCs w:val="22"/>
          </w:rPr>
        </w:pPr>
        <w:r w:rsidRPr="00BF6E65">
          <w:rPr>
            <w:sz w:val="22"/>
            <w:szCs w:val="22"/>
          </w:rPr>
          <w:fldChar w:fldCharType="begin"/>
        </w:r>
        <w:r w:rsidRPr="00BF6E65">
          <w:rPr>
            <w:sz w:val="22"/>
            <w:szCs w:val="22"/>
          </w:rPr>
          <w:instrText xml:space="preserve"> PAGE   \* MERGEFORMAT </w:instrText>
        </w:r>
        <w:r w:rsidRPr="00BF6E65">
          <w:rPr>
            <w:sz w:val="22"/>
            <w:szCs w:val="22"/>
          </w:rPr>
          <w:fldChar w:fldCharType="separate"/>
        </w:r>
        <w:r w:rsidRPr="00BF6E65">
          <w:rPr>
            <w:noProof/>
            <w:sz w:val="22"/>
            <w:szCs w:val="22"/>
          </w:rPr>
          <w:t>2</w:t>
        </w:r>
        <w:r w:rsidRPr="00BF6E65">
          <w:rPr>
            <w:noProof/>
            <w:sz w:val="22"/>
            <w:szCs w:val="22"/>
          </w:rPr>
          <w:fldChar w:fldCharType="end"/>
        </w:r>
      </w:p>
    </w:sdtContent>
  </w:sdt>
  <w:p w14:paraId="08617ACA" w14:textId="77777777" w:rsidR="00A26F8F" w:rsidRDefault="00A26F8F" w:rsidP="00AE76A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rPr>
      <w:id w:val="1874271859"/>
      <w:docPartObj>
        <w:docPartGallery w:val="Page Numbers (Bottom of Page)"/>
        <w:docPartUnique/>
      </w:docPartObj>
    </w:sdtPr>
    <w:sdtEndPr>
      <w:rPr>
        <w:noProof/>
      </w:rPr>
    </w:sdtEndPr>
    <w:sdtContent>
      <w:p w14:paraId="42572FF9" w14:textId="7C799AD1" w:rsidR="00AB2FCB" w:rsidRDefault="00AB2FCB">
        <w:pPr>
          <w:pStyle w:val="Footer"/>
          <w:jc w:val="center"/>
          <w:rPr>
            <w:sz w:val="22"/>
            <w:szCs w:val="22"/>
          </w:rPr>
        </w:pPr>
        <w:r>
          <w:rPr>
            <w:sz w:val="22"/>
            <w:szCs w:val="22"/>
          </w:rPr>
          <w:t>_________________________________________________________________________________________</w:t>
        </w:r>
      </w:p>
      <w:p w14:paraId="0A0638F7" w14:textId="77777777" w:rsidR="00D17985" w:rsidRDefault="00D17985">
        <w:pPr>
          <w:pStyle w:val="Footer"/>
          <w:jc w:val="center"/>
          <w:rPr>
            <w:sz w:val="22"/>
            <w:szCs w:val="22"/>
          </w:rPr>
        </w:pPr>
      </w:p>
      <w:p w14:paraId="6B6E9214" w14:textId="77E25EAE" w:rsidR="00AB2FCB" w:rsidRPr="00AB2FCB" w:rsidRDefault="00AB2FCB">
        <w:pPr>
          <w:pStyle w:val="Footer"/>
          <w:jc w:val="center"/>
          <w:rPr>
            <w:sz w:val="22"/>
            <w:szCs w:val="22"/>
          </w:rPr>
        </w:pPr>
        <w:r w:rsidRPr="00AB2FCB">
          <w:rPr>
            <w:sz w:val="22"/>
            <w:szCs w:val="22"/>
          </w:rPr>
          <w:fldChar w:fldCharType="begin"/>
        </w:r>
        <w:r w:rsidRPr="00AB2FCB">
          <w:rPr>
            <w:sz w:val="22"/>
            <w:szCs w:val="22"/>
          </w:rPr>
          <w:instrText xml:space="preserve"> PAGE   \* MERGEFORMAT </w:instrText>
        </w:r>
        <w:r w:rsidRPr="00AB2FCB">
          <w:rPr>
            <w:sz w:val="22"/>
            <w:szCs w:val="22"/>
          </w:rPr>
          <w:fldChar w:fldCharType="separate"/>
        </w:r>
        <w:r w:rsidRPr="00AB2FCB">
          <w:rPr>
            <w:noProof/>
            <w:sz w:val="22"/>
            <w:szCs w:val="22"/>
          </w:rPr>
          <w:t>2</w:t>
        </w:r>
        <w:r w:rsidRPr="00AB2FCB">
          <w:rPr>
            <w:noProof/>
            <w:sz w:val="22"/>
            <w:szCs w:val="22"/>
          </w:rPr>
          <w:fldChar w:fldCharType="end"/>
        </w:r>
      </w:p>
    </w:sdtContent>
  </w:sdt>
  <w:p w14:paraId="0C1AF49A" w14:textId="77777777" w:rsidR="00A26F8F" w:rsidRDefault="00A26F8F" w:rsidP="00AE76A3">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373C8" w14:textId="77777777" w:rsidR="000934E6" w:rsidRDefault="000934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6212AB" w14:textId="77777777" w:rsidR="00E76B74" w:rsidRDefault="00E76B74" w:rsidP="002D24D5">
      <w:r>
        <w:separator/>
      </w:r>
    </w:p>
  </w:footnote>
  <w:footnote w:type="continuationSeparator" w:id="0">
    <w:p w14:paraId="6D36020B" w14:textId="77777777" w:rsidR="00E76B74" w:rsidRDefault="00E76B74" w:rsidP="002D24D5">
      <w:r>
        <w:continuationSeparator/>
      </w:r>
    </w:p>
  </w:footnote>
  <w:footnote w:id="1">
    <w:p w14:paraId="016E5041" w14:textId="59A39249" w:rsidR="000D519F" w:rsidRPr="0072776E" w:rsidRDefault="000D519F">
      <w:pPr>
        <w:pStyle w:val="FootnoteText"/>
        <w:rPr>
          <w:rFonts w:ascii="Times New Roman" w:hAnsi="Times New Roman" w:cs="Times New Roman"/>
        </w:rPr>
      </w:pPr>
      <w:r w:rsidRPr="0072776E">
        <w:rPr>
          <w:rStyle w:val="FootnoteReference"/>
          <w:rFonts w:ascii="Times New Roman" w:hAnsi="Times New Roman" w:cs="Times New Roman"/>
        </w:rPr>
        <w:t>*</w:t>
      </w:r>
      <w:r w:rsidRPr="0072776E">
        <w:rPr>
          <w:rFonts w:ascii="Times New Roman" w:hAnsi="Times New Roman" w:cs="Times New Roman"/>
        </w:rPr>
        <w:t xml:space="preserve"> </w:t>
      </w:r>
      <w:r w:rsidR="00BA352B" w:rsidRPr="0072776E">
        <w:rPr>
          <w:rFonts w:ascii="Times New Roman" w:hAnsi="Times New Roman" w:cs="Times New Roman"/>
        </w:rPr>
        <w:t>Lecturer in Law, Newcastle University</w:t>
      </w:r>
      <w:r w:rsidR="0072776E" w:rsidRPr="0072776E">
        <w:rPr>
          <w:rFonts w:ascii="Times New Roman" w:hAnsi="Times New Roman" w:cs="Times New Roman"/>
        </w:rPr>
        <w:t xml:space="preserve">, UK. </w:t>
      </w:r>
      <w:r w:rsidRPr="0072776E">
        <w:rPr>
          <w:rFonts w:ascii="Times New Roman" w:hAnsi="Times New Roman" w:cs="Times New Roman"/>
        </w:rPr>
        <w:t xml:space="preserve">Email </w:t>
      </w:r>
      <w:hyperlink r:id="rId1" w:history="1">
        <w:r w:rsidR="007E3695" w:rsidRPr="00D301CA">
          <w:rPr>
            <w:rStyle w:val="Hyperlink"/>
            <w:rFonts w:ascii="Times New Roman" w:hAnsi="Times New Roman" w:cs="Times New Roman"/>
          </w:rPr>
          <w:t>sara.vincenzotti@newcastle.ac.uk</w:t>
        </w:r>
      </w:hyperlink>
      <w:r w:rsidR="007E3695">
        <w:rPr>
          <w:rFonts w:ascii="Times New Roman" w:hAnsi="Times New Roman" w:cs="Times New Roman"/>
        </w:rPr>
        <w:t xml:space="preserve"> </w:t>
      </w:r>
    </w:p>
  </w:footnote>
  <w:footnote w:id="2">
    <w:p w14:paraId="0CE570B8" w14:textId="083C961E" w:rsidR="002D24D5" w:rsidRPr="001C580A" w:rsidRDefault="002D24D5" w:rsidP="001C580A">
      <w:pPr>
        <w:jc w:val="both"/>
        <w:rPr>
          <w:rFonts w:ascii="Times New Roman" w:hAnsi="Times New Roman" w:cs="Times New Roman"/>
          <w:color w:val="000000" w:themeColor="text1"/>
          <w:sz w:val="20"/>
          <w:szCs w:val="20"/>
        </w:rPr>
      </w:pPr>
      <w:r w:rsidRPr="001C580A">
        <w:rPr>
          <w:rStyle w:val="FootnoteReference"/>
          <w:rFonts w:ascii="Times New Roman" w:hAnsi="Times New Roman" w:cs="Times New Roman"/>
          <w:color w:val="000000" w:themeColor="text1"/>
          <w:sz w:val="20"/>
          <w:szCs w:val="20"/>
        </w:rPr>
        <w:footnoteRef/>
      </w:r>
      <w:r w:rsidRPr="001C580A">
        <w:rPr>
          <w:rFonts w:ascii="Times New Roman" w:hAnsi="Times New Roman" w:cs="Times New Roman"/>
          <w:color w:val="000000" w:themeColor="text1"/>
          <w:sz w:val="20"/>
          <w:szCs w:val="20"/>
        </w:rPr>
        <w:t xml:space="preserve"> </w:t>
      </w:r>
      <w:r w:rsidR="00D22E02" w:rsidRPr="001C580A">
        <w:rPr>
          <w:rFonts w:ascii="Times New Roman" w:hAnsi="Times New Roman" w:cs="Times New Roman"/>
          <w:sz w:val="20"/>
          <w:szCs w:val="20"/>
        </w:rPr>
        <w:t>Cook R</w:t>
      </w:r>
      <w:r w:rsidR="0062276C">
        <w:rPr>
          <w:rFonts w:ascii="Times New Roman" w:hAnsi="Times New Roman" w:cs="Times New Roman"/>
          <w:sz w:val="20"/>
          <w:szCs w:val="20"/>
        </w:rPr>
        <w:t>J</w:t>
      </w:r>
      <w:r w:rsidR="00D22E02" w:rsidRPr="001C580A">
        <w:rPr>
          <w:rFonts w:ascii="Times New Roman" w:hAnsi="Times New Roman" w:cs="Times New Roman"/>
          <w:sz w:val="20"/>
          <w:szCs w:val="20"/>
        </w:rPr>
        <w:t xml:space="preserve">, </w:t>
      </w:r>
      <w:r w:rsidR="004D1905">
        <w:rPr>
          <w:rFonts w:ascii="Times New Roman" w:hAnsi="Times New Roman" w:cs="Times New Roman"/>
          <w:sz w:val="20"/>
          <w:szCs w:val="20"/>
        </w:rPr>
        <w:t>‘</w:t>
      </w:r>
      <w:r w:rsidR="00D22E02" w:rsidRPr="001C580A">
        <w:rPr>
          <w:rFonts w:ascii="Times New Roman" w:hAnsi="Times New Roman" w:cs="Times New Roman"/>
          <w:sz w:val="20"/>
          <w:szCs w:val="20"/>
        </w:rPr>
        <w:t>Women</w:t>
      </w:r>
      <w:r w:rsidR="004D1905">
        <w:rPr>
          <w:rFonts w:ascii="Times New Roman" w:hAnsi="Times New Roman" w:cs="Times New Roman"/>
          <w:sz w:val="20"/>
          <w:szCs w:val="20"/>
        </w:rPr>
        <w:t>’</w:t>
      </w:r>
      <w:r w:rsidR="00D22E02" w:rsidRPr="001C580A">
        <w:rPr>
          <w:rFonts w:ascii="Times New Roman" w:hAnsi="Times New Roman" w:cs="Times New Roman"/>
          <w:sz w:val="20"/>
          <w:szCs w:val="20"/>
        </w:rPr>
        <w:t>s International Human Rights Law: The Way Forward</w:t>
      </w:r>
      <w:r w:rsidR="004D1905">
        <w:rPr>
          <w:rFonts w:ascii="Times New Roman" w:hAnsi="Times New Roman" w:cs="Times New Roman"/>
          <w:sz w:val="20"/>
          <w:szCs w:val="20"/>
        </w:rPr>
        <w:t>’</w:t>
      </w:r>
      <w:r w:rsidR="00D22E02" w:rsidRPr="001C580A">
        <w:rPr>
          <w:rFonts w:ascii="Times New Roman" w:hAnsi="Times New Roman" w:cs="Times New Roman"/>
          <w:sz w:val="20"/>
          <w:szCs w:val="20"/>
        </w:rPr>
        <w:t xml:space="preserve"> in Cook RJ (ed), </w:t>
      </w:r>
      <w:r w:rsidR="00D22E02" w:rsidRPr="001C580A">
        <w:rPr>
          <w:rStyle w:val="Emphasis"/>
          <w:rFonts w:ascii="Times New Roman" w:hAnsi="Times New Roman" w:cs="Times New Roman"/>
          <w:sz w:val="20"/>
          <w:szCs w:val="20"/>
        </w:rPr>
        <w:t>Human Rights of Women: National and International Perspectives</w:t>
      </w:r>
      <w:r w:rsidR="00D22E02" w:rsidRPr="001C580A">
        <w:rPr>
          <w:rFonts w:ascii="Times New Roman" w:hAnsi="Times New Roman" w:cs="Times New Roman"/>
          <w:sz w:val="20"/>
          <w:szCs w:val="20"/>
        </w:rPr>
        <w:t xml:space="preserve"> (University of Pennsylvania Press 1994)</w:t>
      </w:r>
      <w:r w:rsidRPr="001C580A">
        <w:rPr>
          <w:rFonts w:ascii="Times New Roman" w:hAnsi="Times New Roman" w:cs="Times New Roman"/>
          <w:color w:val="000000" w:themeColor="text1"/>
          <w:sz w:val="20"/>
          <w:szCs w:val="20"/>
        </w:rPr>
        <w:t xml:space="preserve">; </w:t>
      </w:r>
      <w:r w:rsidR="00D22E02" w:rsidRPr="001C580A">
        <w:rPr>
          <w:rFonts w:ascii="Times New Roman" w:hAnsi="Times New Roman" w:cs="Times New Roman"/>
          <w:sz w:val="20"/>
          <w:szCs w:val="20"/>
        </w:rPr>
        <w:t xml:space="preserve">Romany C, </w:t>
      </w:r>
      <w:r w:rsidR="004D1905">
        <w:rPr>
          <w:rFonts w:ascii="Times New Roman" w:hAnsi="Times New Roman" w:cs="Times New Roman"/>
          <w:sz w:val="20"/>
          <w:szCs w:val="20"/>
        </w:rPr>
        <w:t>‘</w:t>
      </w:r>
      <w:r w:rsidR="00D22E02" w:rsidRPr="001C580A">
        <w:rPr>
          <w:rFonts w:ascii="Times New Roman" w:hAnsi="Times New Roman" w:cs="Times New Roman"/>
          <w:sz w:val="20"/>
          <w:szCs w:val="20"/>
        </w:rPr>
        <w:t>State Responsibility Goes Private: A Feminist Critique of the Public/Private Distinction in International Human Rights</w:t>
      </w:r>
      <w:r w:rsidR="004D1905">
        <w:rPr>
          <w:rFonts w:ascii="Times New Roman" w:hAnsi="Times New Roman" w:cs="Times New Roman"/>
          <w:sz w:val="20"/>
          <w:szCs w:val="20"/>
        </w:rPr>
        <w:t>’</w:t>
      </w:r>
      <w:r w:rsidR="00D22E02" w:rsidRPr="001C580A">
        <w:rPr>
          <w:rFonts w:ascii="Times New Roman" w:hAnsi="Times New Roman" w:cs="Times New Roman"/>
          <w:sz w:val="20"/>
          <w:szCs w:val="20"/>
        </w:rPr>
        <w:t xml:space="preserve"> in Cook RJ (ed), </w:t>
      </w:r>
      <w:r w:rsidR="00D22E02" w:rsidRPr="001C580A">
        <w:rPr>
          <w:rStyle w:val="Emphasis"/>
          <w:rFonts w:ascii="Times New Roman" w:hAnsi="Times New Roman" w:cs="Times New Roman"/>
          <w:sz w:val="20"/>
          <w:szCs w:val="20"/>
        </w:rPr>
        <w:t>Human Rights of Women: National and International Perspectives</w:t>
      </w:r>
      <w:r w:rsidR="00D22E02" w:rsidRPr="001C580A">
        <w:rPr>
          <w:rFonts w:ascii="Times New Roman" w:hAnsi="Times New Roman" w:cs="Times New Roman"/>
          <w:sz w:val="20"/>
          <w:szCs w:val="20"/>
        </w:rPr>
        <w:t xml:space="preserve"> (University of Pennsylvania Press 1994).</w:t>
      </w:r>
    </w:p>
  </w:footnote>
  <w:footnote w:id="3">
    <w:p w14:paraId="38449EAB" w14:textId="152DDD6D" w:rsidR="002D24D5" w:rsidRPr="001C580A" w:rsidRDefault="002D24D5" w:rsidP="001C580A">
      <w:pPr>
        <w:pStyle w:val="NormalWeb"/>
        <w:spacing w:before="0" w:beforeAutospacing="0" w:after="0" w:afterAutospacing="0"/>
        <w:jc w:val="both"/>
        <w:rPr>
          <w:sz w:val="20"/>
          <w:szCs w:val="20"/>
        </w:rPr>
      </w:pPr>
      <w:r w:rsidRPr="001C580A">
        <w:rPr>
          <w:rStyle w:val="FootnoteReference"/>
          <w:sz w:val="20"/>
          <w:szCs w:val="20"/>
        </w:rPr>
        <w:footnoteRef/>
      </w:r>
      <w:r w:rsidRPr="001C580A">
        <w:rPr>
          <w:sz w:val="20"/>
          <w:szCs w:val="20"/>
        </w:rPr>
        <w:t xml:space="preserve"> See, for example: </w:t>
      </w:r>
      <w:r w:rsidR="00D22E02" w:rsidRPr="001C580A">
        <w:rPr>
          <w:sz w:val="20"/>
          <w:szCs w:val="20"/>
        </w:rPr>
        <w:t xml:space="preserve">Smyth R, </w:t>
      </w:r>
      <w:r w:rsidR="004D1905">
        <w:rPr>
          <w:sz w:val="20"/>
          <w:szCs w:val="20"/>
        </w:rPr>
        <w:t>‘</w:t>
      </w:r>
      <w:r w:rsidR="00D22E02" w:rsidRPr="001C580A">
        <w:rPr>
          <w:sz w:val="20"/>
          <w:szCs w:val="20"/>
        </w:rPr>
        <w:t xml:space="preserve">Abortion in International Human Rights Law: Missed Opportunities in </w:t>
      </w:r>
      <w:r w:rsidR="00D22E02" w:rsidRPr="001C580A">
        <w:rPr>
          <w:rStyle w:val="Emphasis"/>
          <w:sz w:val="20"/>
          <w:szCs w:val="20"/>
        </w:rPr>
        <w:t>Manuela v El Salvador</w:t>
      </w:r>
      <w:r w:rsidR="004D1905">
        <w:rPr>
          <w:sz w:val="20"/>
          <w:szCs w:val="20"/>
        </w:rPr>
        <w:t>’</w:t>
      </w:r>
      <w:r w:rsidR="00D22E02" w:rsidRPr="001C580A">
        <w:rPr>
          <w:sz w:val="20"/>
          <w:szCs w:val="20"/>
        </w:rPr>
        <w:t xml:space="preserve"> (2023) 32(2) </w:t>
      </w:r>
      <w:r w:rsidR="00D22E02" w:rsidRPr="001C580A">
        <w:rPr>
          <w:rStyle w:val="Emphasis"/>
          <w:sz w:val="20"/>
          <w:szCs w:val="20"/>
        </w:rPr>
        <w:t xml:space="preserve">Feminist Legal Studies, </w:t>
      </w:r>
      <w:r w:rsidRPr="001C580A">
        <w:rPr>
          <w:sz w:val="20"/>
          <w:szCs w:val="20"/>
        </w:rPr>
        <w:t xml:space="preserve">which offers a rigorous feminist critique of the </w:t>
      </w:r>
      <w:proofErr w:type="spellStart"/>
      <w:r w:rsidRPr="001C580A">
        <w:rPr>
          <w:sz w:val="20"/>
          <w:szCs w:val="20"/>
        </w:rPr>
        <w:t>IACtHR</w:t>
      </w:r>
      <w:r w:rsidR="004D1905">
        <w:rPr>
          <w:sz w:val="20"/>
          <w:szCs w:val="20"/>
        </w:rPr>
        <w:t>’</w:t>
      </w:r>
      <w:r w:rsidRPr="001C580A">
        <w:rPr>
          <w:sz w:val="20"/>
          <w:szCs w:val="20"/>
        </w:rPr>
        <w:t>s</w:t>
      </w:r>
      <w:proofErr w:type="spellEnd"/>
      <w:r w:rsidRPr="001C580A">
        <w:rPr>
          <w:sz w:val="20"/>
          <w:szCs w:val="20"/>
        </w:rPr>
        <w:t xml:space="preserve"> engagement with abortion rights in El Salvador, but necessarily within a single-jurisdiction frame. </w:t>
      </w:r>
    </w:p>
  </w:footnote>
  <w:footnote w:id="4">
    <w:p w14:paraId="62FD2D6A" w14:textId="4830BAAA" w:rsidR="002D24D5" w:rsidRPr="001C580A" w:rsidRDefault="002D24D5" w:rsidP="001C580A">
      <w:pPr>
        <w:pStyle w:val="FootnoteText"/>
        <w:jc w:val="both"/>
        <w:rPr>
          <w:rFonts w:ascii="Times New Roman" w:hAnsi="Times New Roman" w:cs="Times New Roman"/>
        </w:rPr>
      </w:pPr>
      <w:r w:rsidRPr="001C580A">
        <w:rPr>
          <w:rStyle w:val="FootnoteReference"/>
          <w:rFonts w:ascii="Times New Roman" w:hAnsi="Times New Roman" w:cs="Times New Roman"/>
        </w:rPr>
        <w:footnoteRef/>
      </w:r>
      <w:r w:rsidRPr="001C580A">
        <w:rPr>
          <w:rFonts w:ascii="Times New Roman" w:hAnsi="Times New Roman" w:cs="Times New Roman"/>
        </w:rPr>
        <w:t xml:space="preserve"> See, for example: </w:t>
      </w:r>
      <w:proofErr w:type="spellStart"/>
      <w:r w:rsidR="00D22E02" w:rsidRPr="001C580A">
        <w:rPr>
          <w:rFonts w:ascii="Times New Roman" w:hAnsi="Times New Roman" w:cs="Times New Roman"/>
        </w:rPr>
        <w:t>Nandagiri</w:t>
      </w:r>
      <w:proofErr w:type="spellEnd"/>
      <w:r w:rsidR="00D22E02" w:rsidRPr="001C580A">
        <w:rPr>
          <w:rFonts w:ascii="Times New Roman" w:hAnsi="Times New Roman" w:cs="Times New Roman"/>
        </w:rPr>
        <w:t xml:space="preserve"> R, </w:t>
      </w:r>
      <w:proofErr w:type="spellStart"/>
      <w:r w:rsidR="00D22E02" w:rsidRPr="001C580A">
        <w:rPr>
          <w:rFonts w:ascii="Times New Roman" w:hAnsi="Times New Roman" w:cs="Times New Roman"/>
        </w:rPr>
        <w:t>Senderowicz</w:t>
      </w:r>
      <w:proofErr w:type="spellEnd"/>
      <w:r w:rsidR="00D22E02" w:rsidRPr="001C580A">
        <w:rPr>
          <w:rFonts w:ascii="Times New Roman" w:hAnsi="Times New Roman" w:cs="Times New Roman"/>
        </w:rPr>
        <w:t xml:space="preserve"> L and Sigle W, </w:t>
      </w:r>
      <w:r w:rsidR="004D1905">
        <w:rPr>
          <w:rFonts w:ascii="Times New Roman" w:hAnsi="Times New Roman" w:cs="Times New Roman"/>
        </w:rPr>
        <w:t>‘</w:t>
      </w:r>
      <w:r w:rsidR="00D22E02" w:rsidRPr="001C580A">
        <w:rPr>
          <w:rFonts w:ascii="Times New Roman" w:hAnsi="Times New Roman" w:cs="Times New Roman"/>
        </w:rPr>
        <w:t>Global Reproductive Justice: A New Agenda for Feminist Economics?</w:t>
      </w:r>
      <w:r w:rsidR="004D1905">
        <w:rPr>
          <w:rFonts w:ascii="Times New Roman" w:hAnsi="Times New Roman" w:cs="Times New Roman"/>
        </w:rPr>
        <w:t>’</w:t>
      </w:r>
      <w:r w:rsidR="00D22E02" w:rsidRPr="001C580A">
        <w:rPr>
          <w:rFonts w:ascii="Times New Roman" w:hAnsi="Times New Roman" w:cs="Times New Roman"/>
        </w:rPr>
        <w:t xml:space="preserve"> (2025) 31(1) </w:t>
      </w:r>
      <w:r w:rsidR="00D22E02" w:rsidRPr="001C580A">
        <w:rPr>
          <w:rStyle w:val="Emphasis"/>
          <w:rFonts w:ascii="Times New Roman" w:hAnsi="Times New Roman" w:cs="Times New Roman"/>
        </w:rPr>
        <w:t>Feminist Economics</w:t>
      </w:r>
      <w:r w:rsidR="00D22E02" w:rsidRPr="001C580A">
        <w:rPr>
          <w:rFonts w:ascii="Times New Roman" w:hAnsi="Times New Roman" w:cs="Times New Roman"/>
        </w:rPr>
        <w:t xml:space="preserve"> 1, </w:t>
      </w:r>
      <w:r w:rsidRPr="001C580A">
        <w:rPr>
          <w:rFonts w:ascii="Times New Roman" w:hAnsi="Times New Roman" w:cs="Times New Roman"/>
        </w:rPr>
        <w:t>for the tendency to position the Global North as a site of relative rights consolidation.</w:t>
      </w:r>
    </w:p>
  </w:footnote>
  <w:footnote w:id="5">
    <w:p w14:paraId="24D5A555" w14:textId="156BF677" w:rsidR="00A70C07" w:rsidRPr="001C580A" w:rsidRDefault="00A70C07" w:rsidP="001C580A">
      <w:pPr>
        <w:pStyle w:val="FootnoteText"/>
        <w:jc w:val="both"/>
        <w:rPr>
          <w:rFonts w:ascii="Times New Roman" w:hAnsi="Times New Roman" w:cs="Times New Roman"/>
        </w:rPr>
      </w:pPr>
      <w:r w:rsidRPr="001C580A">
        <w:rPr>
          <w:rStyle w:val="FootnoteReference"/>
          <w:rFonts w:ascii="Times New Roman" w:hAnsi="Times New Roman" w:cs="Times New Roman"/>
        </w:rPr>
        <w:footnoteRef/>
      </w:r>
      <w:r w:rsidRPr="001C580A">
        <w:rPr>
          <w:rFonts w:ascii="Times New Roman" w:hAnsi="Times New Roman" w:cs="Times New Roman"/>
        </w:rPr>
        <w:t xml:space="preserve"> </w:t>
      </w:r>
      <w:r w:rsidRPr="001C580A">
        <w:rPr>
          <w:rStyle w:val="Emphasis"/>
          <w:rFonts w:ascii="Times New Roman" w:hAnsi="Times New Roman" w:cs="Times New Roman"/>
        </w:rPr>
        <w:t>Dobbs v Jackson Women</w:t>
      </w:r>
      <w:r w:rsidR="004D1905">
        <w:rPr>
          <w:rStyle w:val="Emphasis"/>
          <w:rFonts w:ascii="Times New Roman" w:hAnsi="Times New Roman" w:cs="Times New Roman"/>
        </w:rPr>
        <w:t>’</w:t>
      </w:r>
      <w:r w:rsidRPr="001C580A">
        <w:rPr>
          <w:rStyle w:val="Emphasis"/>
          <w:rFonts w:ascii="Times New Roman" w:hAnsi="Times New Roman" w:cs="Times New Roman"/>
        </w:rPr>
        <w:t>s Health Organization</w:t>
      </w:r>
      <w:r w:rsidRPr="001C580A">
        <w:rPr>
          <w:rFonts w:ascii="Times New Roman" w:hAnsi="Times New Roman" w:cs="Times New Roman"/>
        </w:rPr>
        <w:t xml:space="preserve"> 597 US 215 (2022).</w:t>
      </w:r>
    </w:p>
  </w:footnote>
  <w:footnote w:id="6">
    <w:p w14:paraId="33347B22" w14:textId="77777777" w:rsidR="00A70C07" w:rsidRPr="001C580A" w:rsidRDefault="00A70C07" w:rsidP="001C580A">
      <w:pPr>
        <w:pStyle w:val="FootnoteText"/>
        <w:jc w:val="both"/>
        <w:rPr>
          <w:rFonts w:ascii="Times New Roman" w:hAnsi="Times New Roman" w:cs="Times New Roman"/>
        </w:rPr>
      </w:pPr>
      <w:r w:rsidRPr="001C580A">
        <w:rPr>
          <w:rStyle w:val="FootnoteReference"/>
          <w:rFonts w:ascii="Times New Roman" w:hAnsi="Times New Roman" w:cs="Times New Roman"/>
        </w:rPr>
        <w:footnoteRef/>
      </w:r>
      <w:r w:rsidRPr="001C580A">
        <w:rPr>
          <w:rFonts w:ascii="Times New Roman" w:hAnsi="Times New Roman" w:cs="Times New Roman"/>
        </w:rPr>
        <w:t xml:space="preserve"> </w:t>
      </w:r>
      <w:r w:rsidRPr="001C580A">
        <w:rPr>
          <w:rStyle w:val="Emphasis"/>
          <w:rFonts w:ascii="Times New Roman" w:hAnsi="Times New Roman" w:cs="Times New Roman"/>
        </w:rPr>
        <w:t>Roe v Wade</w:t>
      </w:r>
      <w:r w:rsidRPr="001C580A">
        <w:rPr>
          <w:rFonts w:ascii="Times New Roman" w:hAnsi="Times New Roman" w:cs="Times New Roman"/>
        </w:rPr>
        <w:t xml:space="preserve"> 410 US 113 (1973).</w:t>
      </w:r>
    </w:p>
  </w:footnote>
  <w:footnote w:id="7">
    <w:p w14:paraId="7F64853D" w14:textId="77777777" w:rsidR="00A70C07" w:rsidRPr="001C580A" w:rsidRDefault="00A70C07" w:rsidP="001C580A">
      <w:pPr>
        <w:pStyle w:val="FootnoteText"/>
        <w:jc w:val="both"/>
        <w:rPr>
          <w:rFonts w:ascii="Times New Roman" w:hAnsi="Times New Roman" w:cs="Times New Roman"/>
        </w:rPr>
      </w:pPr>
      <w:r w:rsidRPr="001C580A">
        <w:rPr>
          <w:rStyle w:val="FootnoteReference"/>
          <w:rFonts w:ascii="Times New Roman" w:hAnsi="Times New Roman" w:cs="Times New Roman"/>
        </w:rPr>
        <w:footnoteRef/>
      </w:r>
      <w:r w:rsidRPr="001C580A">
        <w:rPr>
          <w:rFonts w:ascii="Times New Roman" w:hAnsi="Times New Roman" w:cs="Times New Roman"/>
        </w:rPr>
        <w:t xml:space="preserve"> </w:t>
      </w:r>
      <w:r w:rsidRPr="001C580A">
        <w:rPr>
          <w:rStyle w:val="Emphasis"/>
          <w:rFonts w:ascii="Times New Roman" w:hAnsi="Times New Roman" w:cs="Times New Roman"/>
        </w:rPr>
        <w:t>K 1/20</w:t>
      </w:r>
      <w:r w:rsidRPr="001C580A">
        <w:rPr>
          <w:rFonts w:ascii="Times New Roman" w:hAnsi="Times New Roman" w:cs="Times New Roman"/>
        </w:rPr>
        <w:t xml:space="preserve"> (Constitutional Tribunal of Poland, 22 October 2020).</w:t>
      </w:r>
    </w:p>
  </w:footnote>
  <w:footnote w:id="8">
    <w:p w14:paraId="4E5876B6" w14:textId="02EF5425" w:rsidR="00A70C07" w:rsidRPr="001C580A" w:rsidRDefault="00A70C07" w:rsidP="001C580A">
      <w:pPr>
        <w:jc w:val="both"/>
        <w:rPr>
          <w:rFonts w:ascii="Times New Roman" w:hAnsi="Times New Roman" w:cs="Times New Roman"/>
          <w:sz w:val="20"/>
          <w:szCs w:val="20"/>
        </w:rPr>
      </w:pPr>
      <w:r w:rsidRPr="001C580A">
        <w:rPr>
          <w:rFonts w:ascii="Times New Roman" w:hAnsi="Times New Roman" w:cs="Times New Roman"/>
          <w:sz w:val="20"/>
          <w:szCs w:val="20"/>
          <w:vertAlign w:val="superscript"/>
        </w:rPr>
        <w:footnoteRef/>
      </w:r>
      <w:r w:rsidRPr="001C580A">
        <w:rPr>
          <w:rFonts w:ascii="Times New Roman" w:hAnsi="Times New Roman" w:cs="Times New Roman"/>
          <w:sz w:val="20"/>
          <w:szCs w:val="20"/>
          <w:vertAlign w:val="superscript"/>
        </w:rPr>
        <w:t xml:space="preserve"> </w:t>
      </w:r>
      <w:r w:rsidRPr="001C580A">
        <w:rPr>
          <w:rFonts w:ascii="Times New Roman" w:hAnsi="Times New Roman" w:cs="Times New Roman"/>
          <w:sz w:val="20"/>
          <w:szCs w:val="20"/>
        </w:rPr>
        <w:t xml:space="preserve">See: </w:t>
      </w:r>
      <w:proofErr w:type="spellStart"/>
      <w:r w:rsidR="00D22E02" w:rsidRPr="001C580A">
        <w:rPr>
          <w:rFonts w:ascii="Times New Roman" w:hAnsi="Times New Roman" w:cs="Times New Roman"/>
          <w:sz w:val="20"/>
          <w:szCs w:val="20"/>
        </w:rPr>
        <w:t>Łętowska</w:t>
      </w:r>
      <w:proofErr w:type="spellEnd"/>
      <w:r w:rsidR="00D22E02" w:rsidRPr="001C580A">
        <w:rPr>
          <w:rFonts w:ascii="Times New Roman" w:hAnsi="Times New Roman" w:cs="Times New Roman"/>
          <w:sz w:val="20"/>
          <w:szCs w:val="20"/>
        </w:rPr>
        <w:t xml:space="preserve"> E, </w:t>
      </w:r>
      <w:r w:rsidR="004D1905">
        <w:rPr>
          <w:rFonts w:ascii="Times New Roman" w:hAnsi="Times New Roman" w:cs="Times New Roman"/>
          <w:sz w:val="20"/>
          <w:szCs w:val="20"/>
        </w:rPr>
        <w:t>‘</w:t>
      </w:r>
      <w:r w:rsidR="00D22E02" w:rsidRPr="001C580A">
        <w:rPr>
          <w:rFonts w:ascii="Times New Roman" w:hAnsi="Times New Roman" w:cs="Times New Roman"/>
          <w:sz w:val="20"/>
          <w:szCs w:val="20"/>
        </w:rPr>
        <w:t>A Tragic Constitutional Court Judgment on Abortion</w:t>
      </w:r>
      <w:r w:rsidR="004D1905">
        <w:rPr>
          <w:rFonts w:ascii="Times New Roman" w:hAnsi="Times New Roman" w:cs="Times New Roman"/>
          <w:sz w:val="20"/>
          <w:szCs w:val="20"/>
        </w:rPr>
        <w:t>’</w:t>
      </w:r>
      <w:r w:rsidR="00D22E02" w:rsidRPr="001C580A">
        <w:rPr>
          <w:rFonts w:ascii="Times New Roman" w:hAnsi="Times New Roman" w:cs="Times New Roman"/>
          <w:sz w:val="20"/>
          <w:szCs w:val="20"/>
        </w:rPr>
        <w:t xml:space="preserve"> </w:t>
      </w:r>
      <w:proofErr w:type="spellStart"/>
      <w:r w:rsidR="00D22E02" w:rsidRPr="001C580A">
        <w:rPr>
          <w:rStyle w:val="Emphasis"/>
          <w:rFonts w:ascii="Times New Roman" w:hAnsi="Times New Roman" w:cs="Times New Roman"/>
          <w:sz w:val="20"/>
          <w:szCs w:val="20"/>
        </w:rPr>
        <w:t>Verfassungsblog</w:t>
      </w:r>
      <w:proofErr w:type="spellEnd"/>
      <w:r w:rsidR="00D22E02" w:rsidRPr="001C580A">
        <w:rPr>
          <w:rFonts w:ascii="Times New Roman" w:hAnsi="Times New Roman" w:cs="Times New Roman"/>
          <w:sz w:val="20"/>
          <w:szCs w:val="20"/>
        </w:rPr>
        <w:t xml:space="preserve"> (12 November 2020) </w:t>
      </w:r>
      <w:hyperlink r:id="rId2" w:history="1">
        <w:r w:rsidR="00D22E02" w:rsidRPr="001C580A">
          <w:rPr>
            <w:rStyle w:val="Hyperlink"/>
            <w:rFonts w:ascii="Times New Roman" w:hAnsi="Times New Roman" w:cs="Times New Roman"/>
            <w:sz w:val="20"/>
            <w:szCs w:val="20"/>
          </w:rPr>
          <w:t>https://verfassungsblog.de/a-tragic-constitutional-court-judgment-on-abortion/</w:t>
        </w:r>
      </w:hyperlink>
      <w:r w:rsidR="00D22E02" w:rsidRPr="001C580A">
        <w:rPr>
          <w:rFonts w:ascii="Times New Roman" w:hAnsi="Times New Roman" w:cs="Times New Roman"/>
          <w:sz w:val="20"/>
          <w:szCs w:val="20"/>
        </w:rPr>
        <w:t xml:space="preserve"> accessed March 2026.</w:t>
      </w:r>
    </w:p>
  </w:footnote>
  <w:footnote w:id="9">
    <w:p w14:paraId="7EA95559" w14:textId="7216A400" w:rsidR="003E7B43" w:rsidRPr="001C580A" w:rsidRDefault="003E7B43" w:rsidP="001C580A">
      <w:pPr>
        <w:pStyle w:val="NormalWeb"/>
        <w:spacing w:before="0" w:beforeAutospacing="0" w:after="0" w:afterAutospacing="0"/>
        <w:jc w:val="both"/>
        <w:rPr>
          <w:sz w:val="20"/>
          <w:szCs w:val="20"/>
        </w:rPr>
      </w:pPr>
      <w:r w:rsidRPr="001C580A">
        <w:rPr>
          <w:rStyle w:val="FootnoteReference"/>
          <w:sz w:val="20"/>
          <w:szCs w:val="20"/>
        </w:rPr>
        <w:footnoteRef/>
      </w:r>
      <w:r w:rsidRPr="001C580A">
        <w:rPr>
          <w:sz w:val="20"/>
          <w:szCs w:val="20"/>
        </w:rPr>
        <w:t xml:space="preserve"> </w:t>
      </w:r>
      <w:r w:rsidR="00D22E02" w:rsidRPr="001C580A">
        <w:rPr>
          <w:sz w:val="20"/>
          <w:szCs w:val="20"/>
        </w:rPr>
        <w:t xml:space="preserve">Díez J and Ruibal A, </w:t>
      </w:r>
      <w:r w:rsidR="004D1905">
        <w:rPr>
          <w:sz w:val="20"/>
          <w:szCs w:val="20"/>
        </w:rPr>
        <w:t>‘</w:t>
      </w:r>
      <w:r w:rsidR="00D22E02" w:rsidRPr="001C580A">
        <w:rPr>
          <w:sz w:val="20"/>
          <w:szCs w:val="20"/>
        </w:rPr>
        <w:t>The Decriminalization of Abortion in Latin America: A Tale of Gradual Judicialization</w:t>
      </w:r>
      <w:r w:rsidR="004D1905">
        <w:rPr>
          <w:sz w:val="20"/>
          <w:szCs w:val="20"/>
        </w:rPr>
        <w:t>’</w:t>
      </w:r>
      <w:r w:rsidR="00D22E02" w:rsidRPr="001C580A">
        <w:rPr>
          <w:sz w:val="20"/>
          <w:szCs w:val="20"/>
        </w:rPr>
        <w:t xml:space="preserve"> (2025) 58 </w:t>
      </w:r>
      <w:r w:rsidR="00D22E02" w:rsidRPr="001C580A">
        <w:rPr>
          <w:rStyle w:val="Emphasis"/>
          <w:sz w:val="20"/>
          <w:szCs w:val="20"/>
        </w:rPr>
        <w:t>PS: Political Science &amp; Politics</w:t>
      </w:r>
      <w:r w:rsidR="00D22E02" w:rsidRPr="001C580A">
        <w:rPr>
          <w:sz w:val="20"/>
          <w:szCs w:val="20"/>
        </w:rPr>
        <w:t xml:space="preserve"> 48</w:t>
      </w:r>
      <w:r w:rsidRPr="001C580A">
        <w:rPr>
          <w:sz w:val="20"/>
          <w:szCs w:val="20"/>
        </w:rPr>
        <w:t xml:space="preserve">; </w:t>
      </w:r>
      <w:r w:rsidR="00D22E02" w:rsidRPr="001C580A">
        <w:rPr>
          <w:sz w:val="20"/>
          <w:szCs w:val="20"/>
        </w:rPr>
        <w:t xml:space="preserve">González Vélez AC, </w:t>
      </w:r>
      <w:r w:rsidR="004D1905">
        <w:rPr>
          <w:sz w:val="20"/>
          <w:szCs w:val="20"/>
        </w:rPr>
        <w:t>‘</w:t>
      </w:r>
      <w:r w:rsidR="00D22E02" w:rsidRPr="001C580A">
        <w:rPr>
          <w:sz w:val="20"/>
          <w:szCs w:val="20"/>
        </w:rPr>
        <w:t xml:space="preserve">The Social Movement </w:t>
      </w:r>
      <w:r w:rsidR="00C500EF">
        <w:rPr>
          <w:sz w:val="20"/>
          <w:szCs w:val="20"/>
        </w:rPr>
        <w:t>t</w:t>
      </w:r>
      <w:r w:rsidR="00D22E02" w:rsidRPr="001C580A">
        <w:rPr>
          <w:sz w:val="20"/>
          <w:szCs w:val="20"/>
        </w:rPr>
        <w:t>hat Shifted the Debate on Abortion in Colombia</w:t>
      </w:r>
      <w:r w:rsidR="004D1905">
        <w:rPr>
          <w:sz w:val="20"/>
          <w:szCs w:val="20"/>
        </w:rPr>
        <w:t>’</w:t>
      </w:r>
      <w:r w:rsidR="00D22E02" w:rsidRPr="001C580A">
        <w:rPr>
          <w:sz w:val="20"/>
          <w:szCs w:val="20"/>
        </w:rPr>
        <w:t xml:space="preserve"> </w:t>
      </w:r>
      <w:r w:rsidR="00D22E02" w:rsidRPr="001C580A">
        <w:rPr>
          <w:rStyle w:val="Emphasis"/>
          <w:sz w:val="20"/>
          <w:szCs w:val="20"/>
        </w:rPr>
        <w:t>LSE Latin America and Caribbean Blog</w:t>
      </w:r>
      <w:r w:rsidR="00D22E02" w:rsidRPr="001C580A">
        <w:rPr>
          <w:sz w:val="20"/>
          <w:szCs w:val="20"/>
        </w:rPr>
        <w:t xml:space="preserve"> (7 April 2022) </w:t>
      </w:r>
      <w:hyperlink r:id="rId3" w:history="1">
        <w:r w:rsidR="00D22E02" w:rsidRPr="001C580A">
          <w:rPr>
            <w:rStyle w:val="Hyperlink"/>
            <w:sz w:val="20"/>
            <w:szCs w:val="20"/>
          </w:rPr>
          <w:t>https://blogs.lse.ac.uk/latamcaribbean/2022/04/07/the-social-movement-that-shifted-the-debate-on-abortion/</w:t>
        </w:r>
      </w:hyperlink>
      <w:r w:rsidR="00D22E02" w:rsidRPr="001C580A">
        <w:rPr>
          <w:sz w:val="20"/>
          <w:szCs w:val="20"/>
        </w:rPr>
        <w:t xml:space="preserve"> accessed July 2026.</w:t>
      </w:r>
    </w:p>
  </w:footnote>
  <w:footnote w:id="10">
    <w:p w14:paraId="3B6DE192" w14:textId="27D9A27A" w:rsidR="003E7B43" w:rsidRPr="001C580A" w:rsidRDefault="003E7B43" w:rsidP="001C580A">
      <w:pPr>
        <w:pStyle w:val="FootnoteText"/>
        <w:jc w:val="both"/>
        <w:rPr>
          <w:rFonts w:ascii="Times New Roman" w:hAnsi="Times New Roman" w:cs="Times New Roman"/>
        </w:rPr>
      </w:pPr>
      <w:r w:rsidRPr="001C580A">
        <w:rPr>
          <w:rStyle w:val="FootnoteReference"/>
          <w:rFonts w:ascii="Times New Roman" w:hAnsi="Times New Roman" w:cs="Times New Roman"/>
        </w:rPr>
        <w:footnoteRef/>
      </w:r>
      <w:r w:rsidRPr="001C580A">
        <w:rPr>
          <w:rFonts w:ascii="Times New Roman" w:hAnsi="Times New Roman" w:cs="Times New Roman"/>
        </w:rPr>
        <w:t xml:space="preserve"> </w:t>
      </w:r>
      <w:proofErr w:type="spellStart"/>
      <w:r w:rsidR="00D22E02" w:rsidRPr="001C580A">
        <w:rPr>
          <w:rFonts w:ascii="Times New Roman" w:hAnsi="Times New Roman" w:cs="Times New Roman"/>
        </w:rPr>
        <w:t>Artazo</w:t>
      </w:r>
      <w:proofErr w:type="spellEnd"/>
      <w:r w:rsidR="00D22E02" w:rsidRPr="001C580A">
        <w:rPr>
          <w:rFonts w:ascii="Times New Roman" w:hAnsi="Times New Roman" w:cs="Times New Roman"/>
        </w:rPr>
        <w:t xml:space="preserve"> G, Ramia A and </w:t>
      </w:r>
      <w:proofErr w:type="spellStart"/>
      <w:r w:rsidR="00D22E02" w:rsidRPr="001C580A">
        <w:rPr>
          <w:rFonts w:ascii="Times New Roman" w:hAnsi="Times New Roman" w:cs="Times New Roman"/>
        </w:rPr>
        <w:t>Menoyo</w:t>
      </w:r>
      <w:proofErr w:type="spellEnd"/>
      <w:r w:rsidR="00D22E02" w:rsidRPr="001C580A">
        <w:rPr>
          <w:rFonts w:ascii="Times New Roman" w:hAnsi="Times New Roman" w:cs="Times New Roman"/>
        </w:rPr>
        <w:t xml:space="preserve"> S, </w:t>
      </w:r>
      <w:r w:rsidR="004D1905">
        <w:rPr>
          <w:rFonts w:ascii="Times New Roman" w:hAnsi="Times New Roman" w:cs="Times New Roman"/>
        </w:rPr>
        <w:t>‘</w:t>
      </w:r>
      <w:r w:rsidR="00D22E02" w:rsidRPr="001C580A">
        <w:rPr>
          <w:rFonts w:ascii="Times New Roman" w:hAnsi="Times New Roman" w:cs="Times New Roman"/>
        </w:rPr>
        <w:t xml:space="preserve">A New Feminist Ethic </w:t>
      </w:r>
      <w:r w:rsidR="00872B2D">
        <w:rPr>
          <w:rFonts w:ascii="Times New Roman" w:hAnsi="Times New Roman" w:cs="Times New Roman"/>
        </w:rPr>
        <w:t>t</w:t>
      </w:r>
      <w:r w:rsidR="00D22E02" w:rsidRPr="001C580A">
        <w:rPr>
          <w:rFonts w:ascii="Times New Roman" w:hAnsi="Times New Roman" w:cs="Times New Roman"/>
        </w:rPr>
        <w:t>hat Unites and Mobilizes People: The Participation of Young People in Argentina</w:t>
      </w:r>
      <w:r w:rsidR="004D1905">
        <w:rPr>
          <w:rFonts w:ascii="Times New Roman" w:hAnsi="Times New Roman" w:cs="Times New Roman"/>
        </w:rPr>
        <w:t>’</w:t>
      </w:r>
      <w:r w:rsidR="00D22E02" w:rsidRPr="001C580A">
        <w:rPr>
          <w:rFonts w:ascii="Times New Roman" w:hAnsi="Times New Roman" w:cs="Times New Roman"/>
        </w:rPr>
        <w:t>s Green Wave</w:t>
      </w:r>
      <w:r w:rsidR="004D1905">
        <w:rPr>
          <w:rFonts w:ascii="Times New Roman" w:hAnsi="Times New Roman" w:cs="Times New Roman"/>
        </w:rPr>
        <w:t>’</w:t>
      </w:r>
      <w:r w:rsidR="00D22E02" w:rsidRPr="001C580A">
        <w:rPr>
          <w:rFonts w:ascii="Times New Roman" w:hAnsi="Times New Roman" w:cs="Times New Roman"/>
        </w:rPr>
        <w:t xml:space="preserve"> (2021) 29(2–3) </w:t>
      </w:r>
      <w:r w:rsidR="00D22E02" w:rsidRPr="001C580A">
        <w:rPr>
          <w:rStyle w:val="Emphasis"/>
          <w:rFonts w:ascii="Times New Roman" w:hAnsi="Times New Roman" w:cs="Times New Roman"/>
        </w:rPr>
        <w:t>Gender &amp; Development</w:t>
      </w:r>
      <w:r w:rsidR="00D22E02" w:rsidRPr="001C580A">
        <w:rPr>
          <w:rFonts w:ascii="Times New Roman" w:hAnsi="Times New Roman" w:cs="Times New Roman"/>
        </w:rPr>
        <w:t xml:space="preserve"> 335.</w:t>
      </w:r>
    </w:p>
  </w:footnote>
  <w:footnote w:id="11">
    <w:p w14:paraId="03AE51C3" w14:textId="068C30D4" w:rsidR="003E7B43" w:rsidRPr="001C580A" w:rsidRDefault="003E7B43" w:rsidP="001C580A">
      <w:pPr>
        <w:pStyle w:val="FootnoteText"/>
        <w:jc w:val="both"/>
        <w:rPr>
          <w:rFonts w:ascii="Times New Roman" w:hAnsi="Times New Roman" w:cs="Times New Roman"/>
        </w:rPr>
      </w:pPr>
      <w:r w:rsidRPr="001C580A">
        <w:rPr>
          <w:rStyle w:val="FootnoteReference"/>
          <w:rFonts w:ascii="Times New Roman" w:hAnsi="Times New Roman" w:cs="Times New Roman"/>
        </w:rPr>
        <w:footnoteRef/>
      </w:r>
      <w:r w:rsidRPr="001C580A">
        <w:rPr>
          <w:rFonts w:ascii="Times New Roman" w:hAnsi="Times New Roman" w:cs="Times New Roman"/>
        </w:rPr>
        <w:t xml:space="preserve"> </w:t>
      </w:r>
      <w:r w:rsidR="00D22E02" w:rsidRPr="001C580A">
        <w:rPr>
          <w:rFonts w:ascii="Times New Roman" w:hAnsi="Times New Roman" w:cs="Times New Roman"/>
        </w:rPr>
        <w:t xml:space="preserve">González Vélez AC, Melo-Arévalo C and Martínez-Londoño J, </w:t>
      </w:r>
      <w:r w:rsidR="004D1905">
        <w:rPr>
          <w:rFonts w:ascii="Times New Roman" w:hAnsi="Times New Roman" w:cs="Times New Roman"/>
        </w:rPr>
        <w:t>‘</w:t>
      </w:r>
      <w:r w:rsidR="00D22E02" w:rsidRPr="001C580A">
        <w:rPr>
          <w:rFonts w:ascii="Times New Roman" w:hAnsi="Times New Roman" w:cs="Times New Roman"/>
        </w:rPr>
        <w:t>Eliminating Abortion from Criminal Law in Colombia: A Just Cause</w:t>
      </w:r>
      <w:r w:rsidR="004D1905">
        <w:rPr>
          <w:rFonts w:ascii="Times New Roman" w:hAnsi="Times New Roman" w:cs="Times New Roman"/>
        </w:rPr>
        <w:t>’</w:t>
      </w:r>
      <w:r w:rsidR="00D22E02" w:rsidRPr="001C580A">
        <w:rPr>
          <w:rFonts w:ascii="Times New Roman" w:hAnsi="Times New Roman" w:cs="Times New Roman"/>
        </w:rPr>
        <w:t xml:space="preserve"> (2019) 21(2) </w:t>
      </w:r>
      <w:r w:rsidR="00D22E02" w:rsidRPr="001C580A">
        <w:rPr>
          <w:rStyle w:val="Emphasis"/>
          <w:rFonts w:ascii="Times New Roman" w:hAnsi="Times New Roman" w:cs="Times New Roman"/>
        </w:rPr>
        <w:t>Health and Human Rights Journal</w:t>
      </w:r>
      <w:r w:rsidR="00D22E02" w:rsidRPr="001C580A">
        <w:rPr>
          <w:rFonts w:ascii="Times New Roman" w:hAnsi="Times New Roman" w:cs="Times New Roman"/>
        </w:rPr>
        <w:t xml:space="preserve"> 221.</w:t>
      </w:r>
    </w:p>
  </w:footnote>
  <w:footnote w:id="12">
    <w:p w14:paraId="2F04C384" w14:textId="1F926CD4" w:rsidR="00203B25" w:rsidRPr="001C580A" w:rsidRDefault="00203B25" w:rsidP="001C580A">
      <w:pPr>
        <w:jc w:val="both"/>
        <w:rPr>
          <w:rFonts w:ascii="Times New Roman" w:hAnsi="Times New Roman" w:cs="Times New Roman"/>
          <w:color w:val="000000" w:themeColor="text1"/>
          <w:sz w:val="20"/>
          <w:szCs w:val="20"/>
        </w:rPr>
      </w:pPr>
      <w:r w:rsidRPr="001C580A">
        <w:rPr>
          <w:rStyle w:val="FootnoteReference"/>
          <w:rFonts w:ascii="Times New Roman" w:hAnsi="Times New Roman" w:cs="Times New Roman"/>
          <w:color w:val="000000" w:themeColor="text1"/>
          <w:sz w:val="20"/>
          <w:szCs w:val="20"/>
        </w:rPr>
        <w:footnoteRef/>
      </w:r>
      <w:r w:rsidRPr="001C580A">
        <w:rPr>
          <w:rFonts w:ascii="Times New Roman" w:hAnsi="Times New Roman" w:cs="Times New Roman"/>
          <w:color w:val="000000" w:themeColor="text1"/>
          <w:sz w:val="20"/>
          <w:szCs w:val="20"/>
        </w:rPr>
        <w:t xml:space="preserve"> See </w:t>
      </w:r>
      <w:r w:rsidR="00C00A4D" w:rsidRPr="001C580A">
        <w:rPr>
          <w:rFonts w:ascii="Times New Roman" w:hAnsi="Times New Roman" w:cs="Times New Roman"/>
          <w:sz w:val="20"/>
          <w:szCs w:val="20"/>
        </w:rPr>
        <w:t xml:space="preserve">Scanlon LA and Kumar MS, </w:t>
      </w:r>
      <w:r w:rsidR="004D1905">
        <w:rPr>
          <w:rFonts w:ascii="Times New Roman" w:hAnsi="Times New Roman" w:cs="Times New Roman"/>
          <w:sz w:val="20"/>
          <w:szCs w:val="20"/>
        </w:rPr>
        <w:t>‘</w:t>
      </w:r>
      <w:r w:rsidR="00C00A4D" w:rsidRPr="001C580A">
        <w:rPr>
          <w:rFonts w:ascii="Times New Roman" w:hAnsi="Times New Roman" w:cs="Times New Roman"/>
          <w:sz w:val="20"/>
          <w:szCs w:val="20"/>
        </w:rPr>
        <w:t>Ireland and Irishness: The Contextuality of Postcolonial Identity</w:t>
      </w:r>
      <w:r w:rsidR="004D1905">
        <w:rPr>
          <w:rFonts w:ascii="Times New Roman" w:hAnsi="Times New Roman" w:cs="Times New Roman"/>
          <w:sz w:val="20"/>
          <w:szCs w:val="20"/>
        </w:rPr>
        <w:t>’</w:t>
      </w:r>
      <w:r w:rsidR="00C00A4D" w:rsidRPr="001C580A">
        <w:rPr>
          <w:rFonts w:ascii="Times New Roman" w:hAnsi="Times New Roman" w:cs="Times New Roman"/>
          <w:sz w:val="20"/>
          <w:szCs w:val="20"/>
        </w:rPr>
        <w:t xml:space="preserve"> (2019) 109(1) </w:t>
      </w:r>
      <w:r w:rsidR="00C00A4D" w:rsidRPr="001C580A">
        <w:rPr>
          <w:rStyle w:val="Emphasis"/>
          <w:rFonts w:ascii="Times New Roman" w:hAnsi="Times New Roman" w:cs="Times New Roman"/>
          <w:sz w:val="20"/>
          <w:szCs w:val="20"/>
        </w:rPr>
        <w:t>Annals of the American Association of Geographers</w:t>
      </w:r>
      <w:r w:rsidR="00C00A4D" w:rsidRPr="001C580A">
        <w:rPr>
          <w:rFonts w:ascii="Times New Roman" w:hAnsi="Times New Roman" w:cs="Times New Roman"/>
          <w:sz w:val="20"/>
          <w:szCs w:val="20"/>
        </w:rPr>
        <w:t xml:space="preserve"> 202</w:t>
      </w:r>
      <w:r w:rsidRPr="001C580A">
        <w:rPr>
          <w:rFonts w:ascii="Times New Roman" w:hAnsi="Times New Roman" w:cs="Times New Roman"/>
          <w:color w:val="000000" w:themeColor="text1"/>
          <w:sz w:val="20"/>
          <w:szCs w:val="20"/>
        </w:rPr>
        <w:t xml:space="preserve">; </w:t>
      </w:r>
      <w:r w:rsidR="00C00A4D" w:rsidRPr="001C580A">
        <w:rPr>
          <w:rFonts w:ascii="Times New Roman" w:hAnsi="Times New Roman" w:cs="Times New Roman"/>
          <w:sz w:val="20"/>
          <w:szCs w:val="20"/>
        </w:rPr>
        <w:t xml:space="preserve">Girvin B, </w:t>
      </w:r>
      <w:r w:rsidR="004D1905">
        <w:rPr>
          <w:rFonts w:ascii="Times New Roman" w:hAnsi="Times New Roman" w:cs="Times New Roman"/>
          <w:sz w:val="20"/>
          <w:szCs w:val="20"/>
        </w:rPr>
        <w:t>‘</w:t>
      </w:r>
      <w:r w:rsidR="00C00A4D" w:rsidRPr="001C580A">
        <w:rPr>
          <w:rFonts w:ascii="Times New Roman" w:hAnsi="Times New Roman" w:cs="Times New Roman"/>
          <w:sz w:val="20"/>
          <w:szCs w:val="20"/>
        </w:rPr>
        <w:t>An Irish Solution to an Irish Problem: Catholicism, Contraception and Change, 1922–1979</w:t>
      </w:r>
      <w:r w:rsidR="004D1905">
        <w:rPr>
          <w:rFonts w:ascii="Times New Roman" w:hAnsi="Times New Roman" w:cs="Times New Roman"/>
          <w:sz w:val="20"/>
          <w:szCs w:val="20"/>
        </w:rPr>
        <w:t>’</w:t>
      </w:r>
      <w:r w:rsidR="00C00A4D" w:rsidRPr="001C580A">
        <w:rPr>
          <w:rFonts w:ascii="Times New Roman" w:hAnsi="Times New Roman" w:cs="Times New Roman"/>
          <w:sz w:val="20"/>
          <w:szCs w:val="20"/>
        </w:rPr>
        <w:t xml:space="preserve"> (2018) 27(1) </w:t>
      </w:r>
      <w:r w:rsidR="00C00A4D" w:rsidRPr="001C580A">
        <w:rPr>
          <w:rStyle w:val="Emphasis"/>
          <w:rFonts w:ascii="Times New Roman" w:hAnsi="Times New Roman" w:cs="Times New Roman"/>
          <w:sz w:val="20"/>
          <w:szCs w:val="20"/>
        </w:rPr>
        <w:t>Contemporary European History</w:t>
      </w:r>
      <w:r w:rsidR="00C00A4D" w:rsidRPr="001C580A">
        <w:rPr>
          <w:rFonts w:ascii="Times New Roman" w:hAnsi="Times New Roman" w:cs="Times New Roman"/>
          <w:sz w:val="20"/>
          <w:szCs w:val="20"/>
        </w:rPr>
        <w:t xml:space="preserve"> 1</w:t>
      </w:r>
      <w:r w:rsidRPr="001C580A">
        <w:rPr>
          <w:rFonts w:ascii="Times New Roman" w:hAnsi="Times New Roman" w:cs="Times New Roman"/>
          <w:color w:val="000000" w:themeColor="text1"/>
          <w:sz w:val="20"/>
          <w:szCs w:val="20"/>
        </w:rPr>
        <w:t xml:space="preserve">; </w:t>
      </w:r>
      <w:r w:rsidR="00C00A4D" w:rsidRPr="001C580A">
        <w:rPr>
          <w:rFonts w:ascii="Times New Roman" w:hAnsi="Times New Roman" w:cs="Times New Roman"/>
          <w:sz w:val="20"/>
          <w:szCs w:val="20"/>
        </w:rPr>
        <w:t xml:space="preserve">Delay C, </w:t>
      </w:r>
      <w:r w:rsidR="004D1905">
        <w:rPr>
          <w:rFonts w:ascii="Times New Roman" w:hAnsi="Times New Roman" w:cs="Times New Roman"/>
          <w:sz w:val="20"/>
          <w:szCs w:val="20"/>
        </w:rPr>
        <w:t>‘</w:t>
      </w:r>
      <w:r w:rsidR="00C00A4D" w:rsidRPr="001C580A">
        <w:rPr>
          <w:rFonts w:ascii="Times New Roman" w:hAnsi="Times New Roman" w:cs="Times New Roman"/>
          <w:sz w:val="20"/>
          <w:szCs w:val="20"/>
        </w:rPr>
        <w:t>Gender, Sexuality, and the Devotional Revolution in Ireland</w:t>
      </w:r>
      <w:r w:rsidR="004D1905">
        <w:rPr>
          <w:rFonts w:ascii="Times New Roman" w:hAnsi="Times New Roman" w:cs="Times New Roman"/>
          <w:sz w:val="20"/>
          <w:szCs w:val="20"/>
        </w:rPr>
        <w:t>’</w:t>
      </w:r>
      <w:r w:rsidR="00C00A4D" w:rsidRPr="001C580A">
        <w:rPr>
          <w:rFonts w:ascii="Times New Roman" w:hAnsi="Times New Roman" w:cs="Times New Roman"/>
          <w:sz w:val="20"/>
          <w:szCs w:val="20"/>
        </w:rPr>
        <w:t xml:space="preserve"> (2020) 24(4) </w:t>
      </w:r>
      <w:r w:rsidR="00C00A4D" w:rsidRPr="001C580A">
        <w:rPr>
          <w:rStyle w:val="Emphasis"/>
          <w:rFonts w:ascii="Times New Roman" w:hAnsi="Times New Roman" w:cs="Times New Roman"/>
          <w:sz w:val="20"/>
          <w:szCs w:val="20"/>
        </w:rPr>
        <w:t xml:space="preserve">New Hibernia Review / Iris </w:t>
      </w:r>
      <w:proofErr w:type="spellStart"/>
      <w:r w:rsidR="00C00A4D" w:rsidRPr="001C580A">
        <w:rPr>
          <w:rStyle w:val="Emphasis"/>
          <w:rFonts w:ascii="Times New Roman" w:hAnsi="Times New Roman" w:cs="Times New Roman"/>
          <w:sz w:val="20"/>
          <w:szCs w:val="20"/>
        </w:rPr>
        <w:t>Éireannach</w:t>
      </w:r>
      <w:proofErr w:type="spellEnd"/>
      <w:r w:rsidR="00C00A4D" w:rsidRPr="001C580A">
        <w:rPr>
          <w:rStyle w:val="Emphasis"/>
          <w:rFonts w:ascii="Times New Roman" w:hAnsi="Times New Roman" w:cs="Times New Roman"/>
          <w:sz w:val="20"/>
          <w:szCs w:val="20"/>
        </w:rPr>
        <w:t xml:space="preserve"> Nua</w:t>
      </w:r>
      <w:r w:rsidR="00C00A4D" w:rsidRPr="001C580A">
        <w:rPr>
          <w:rFonts w:ascii="Times New Roman" w:hAnsi="Times New Roman" w:cs="Times New Roman"/>
          <w:sz w:val="20"/>
          <w:szCs w:val="20"/>
        </w:rPr>
        <w:t xml:space="preserve"> 98</w:t>
      </w:r>
      <w:r w:rsidR="00E6791B" w:rsidRPr="001C580A">
        <w:rPr>
          <w:rFonts w:ascii="Times New Roman" w:hAnsi="Times New Roman" w:cs="Times New Roman"/>
          <w:color w:val="000000" w:themeColor="text1"/>
          <w:sz w:val="20"/>
          <w:szCs w:val="20"/>
        </w:rPr>
        <w:t xml:space="preserve">; </w:t>
      </w:r>
      <w:r w:rsidR="00C00A4D" w:rsidRPr="001C580A">
        <w:rPr>
          <w:rFonts w:ascii="Times New Roman" w:hAnsi="Times New Roman" w:cs="Times New Roman"/>
          <w:sz w:val="20"/>
          <w:szCs w:val="20"/>
        </w:rPr>
        <w:t xml:space="preserve">Smyth L, </w:t>
      </w:r>
      <w:r w:rsidR="00C00A4D" w:rsidRPr="001C580A">
        <w:rPr>
          <w:rStyle w:val="Emphasis"/>
          <w:rFonts w:ascii="Times New Roman" w:hAnsi="Times New Roman" w:cs="Times New Roman"/>
          <w:sz w:val="20"/>
          <w:szCs w:val="20"/>
        </w:rPr>
        <w:t>Abortion and Nation: The Politics of Reproduction in Contemporary Ireland</w:t>
      </w:r>
      <w:r w:rsidR="00C00A4D" w:rsidRPr="001C580A">
        <w:rPr>
          <w:rFonts w:ascii="Times New Roman" w:hAnsi="Times New Roman" w:cs="Times New Roman"/>
          <w:sz w:val="20"/>
          <w:szCs w:val="20"/>
        </w:rPr>
        <w:t xml:space="preserve"> (Ashgate 2005); Fletcher R, </w:t>
      </w:r>
      <w:r w:rsidR="004D1905">
        <w:rPr>
          <w:rFonts w:ascii="Times New Roman" w:hAnsi="Times New Roman" w:cs="Times New Roman"/>
          <w:sz w:val="20"/>
          <w:szCs w:val="20"/>
        </w:rPr>
        <w:t>‘</w:t>
      </w:r>
      <w:r w:rsidR="00C00A4D" w:rsidRPr="001C580A">
        <w:rPr>
          <w:rFonts w:ascii="Times New Roman" w:hAnsi="Times New Roman" w:cs="Times New Roman"/>
          <w:sz w:val="20"/>
          <w:szCs w:val="20"/>
        </w:rPr>
        <w:t>Reproducing Irishness: Race, Gender, and Abortion Law</w:t>
      </w:r>
      <w:r w:rsidR="004D1905">
        <w:rPr>
          <w:rFonts w:ascii="Times New Roman" w:hAnsi="Times New Roman" w:cs="Times New Roman"/>
          <w:sz w:val="20"/>
          <w:szCs w:val="20"/>
        </w:rPr>
        <w:t>’</w:t>
      </w:r>
      <w:r w:rsidR="00C00A4D" w:rsidRPr="001C580A">
        <w:rPr>
          <w:rFonts w:ascii="Times New Roman" w:hAnsi="Times New Roman" w:cs="Times New Roman"/>
          <w:sz w:val="20"/>
          <w:szCs w:val="20"/>
        </w:rPr>
        <w:t xml:space="preserve"> (2005) 17 </w:t>
      </w:r>
      <w:r w:rsidR="00C00A4D" w:rsidRPr="001C580A">
        <w:rPr>
          <w:rStyle w:val="Emphasis"/>
          <w:rFonts w:ascii="Times New Roman" w:hAnsi="Times New Roman" w:cs="Times New Roman"/>
          <w:sz w:val="20"/>
          <w:szCs w:val="20"/>
        </w:rPr>
        <w:t>Canadian Journal of Women and the Law</w:t>
      </w:r>
      <w:r w:rsidR="00C00A4D" w:rsidRPr="001C580A">
        <w:rPr>
          <w:rFonts w:ascii="Times New Roman" w:hAnsi="Times New Roman" w:cs="Times New Roman"/>
          <w:sz w:val="20"/>
          <w:szCs w:val="20"/>
        </w:rPr>
        <w:t xml:space="preserve"> 365.</w:t>
      </w:r>
    </w:p>
  </w:footnote>
  <w:footnote w:id="13">
    <w:p w14:paraId="0B083AC5" w14:textId="39EC6FBF" w:rsidR="002F1654" w:rsidRPr="001C580A" w:rsidRDefault="002F1654" w:rsidP="001C580A">
      <w:pPr>
        <w:pStyle w:val="FootnoteText"/>
        <w:jc w:val="both"/>
        <w:rPr>
          <w:rFonts w:ascii="Times New Roman" w:hAnsi="Times New Roman" w:cs="Times New Roman"/>
        </w:rPr>
      </w:pPr>
      <w:r w:rsidRPr="001C580A">
        <w:rPr>
          <w:rStyle w:val="FootnoteReference"/>
          <w:rFonts w:ascii="Times New Roman" w:hAnsi="Times New Roman" w:cs="Times New Roman"/>
        </w:rPr>
        <w:footnoteRef/>
      </w:r>
      <w:r w:rsidRPr="001C580A">
        <w:rPr>
          <w:rFonts w:ascii="Times New Roman" w:hAnsi="Times New Roman" w:cs="Times New Roman"/>
        </w:rPr>
        <w:t xml:space="preserve"> </w:t>
      </w:r>
      <w:r w:rsidR="00C00A4D" w:rsidRPr="001C580A">
        <w:rPr>
          <w:rFonts w:ascii="Times New Roman" w:hAnsi="Times New Roman" w:cs="Times New Roman"/>
        </w:rPr>
        <w:t xml:space="preserve">Rousseau S, </w:t>
      </w:r>
      <w:r w:rsidR="004D1905">
        <w:rPr>
          <w:rFonts w:ascii="Times New Roman" w:hAnsi="Times New Roman" w:cs="Times New Roman"/>
        </w:rPr>
        <w:t>‘</w:t>
      </w:r>
      <w:r w:rsidR="00C00A4D" w:rsidRPr="001C580A">
        <w:rPr>
          <w:rFonts w:ascii="Times New Roman" w:hAnsi="Times New Roman" w:cs="Times New Roman"/>
        </w:rPr>
        <w:t>The Politics of Reproductive Health in Peru: Gender and Social Policy in the Global South</w:t>
      </w:r>
      <w:r w:rsidR="004D1905">
        <w:rPr>
          <w:rFonts w:ascii="Times New Roman" w:hAnsi="Times New Roman" w:cs="Times New Roman"/>
        </w:rPr>
        <w:t>’</w:t>
      </w:r>
      <w:r w:rsidR="00C00A4D" w:rsidRPr="001C580A">
        <w:rPr>
          <w:rFonts w:ascii="Times New Roman" w:hAnsi="Times New Roman" w:cs="Times New Roman"/>
        </w:rPr>
        <w:t xml:space="preserve"> (2007) 14(1) </w:t>
      </w:r>
      <w:r w:rsidR="00C00A4D" w:rsidRPr="001C580A">
        <w:rPr>
          <w:rStyle w:val="Emphasis"/>
          <w:rFonts w:ascii="Times New Roman" w:hAnsi="Times New Roman" w:cs="Times New Roman"/>
        </w:rPr>
        <w:t>Social Politics: International Studies in Gender, State &amp; Society</w:t>
      </w:r>
      <w:r w:rsidR="00C00A4D" w:rsidRPr="001C580A">
        <w:rPr>
          <w:rFonts w:ascii="Times New Roman" w:hAnsi="Times New Roman" w:cs="Times New Roman"/>
        </w:rPr>
        <w:t xml:space="preserve"> 93, </w:t>
      </w:r>
      <w:r w:rsidR="00C00A4D" w:rsidRPr="001C580A">
        <w:rPr>
          <w:rStyle w:val="Strong"/>
          <w:rFonts w:ascii="Times New Roman" w:hAnsi="Times New Roman" w:cs="Times New Roman"/>
          <w:b w:val="0"/>
          <w:bCs w:val="0"/>
        </w:rPr>
        <w:t>101</w:t>
      </w:r>
      <w:r w:rsidR="00C00A4D" w:rsidRPr="001C580A">
        <w:rPr>
          <w:rFonts w:ascii="Times New Roman" w:hAnsi="Times New Roman" w:cs="Times New Roman"/>
        </w:rPr>
        <w:t>.</w:t>
      </w:r>
    </w:p>
  </w:footnote>
  <w:footnote w:id="14">
    <w:p w14:paraId="3D8B24DB" w14:textId="787E1EE9" w:rsidR="002F1654" w:rsidRPr="001C580A" w:rsidRDefault="002F1654" w:rsidP="001C580A">
      <w:pPr>
        <w:pStyle w:val="FootnoteText"/>
        <w:jc w:val="both"/>
        <w:rPr>
          <w:rFonts w:ascii="Times New Roman" w:hAnsi="Times New Roman" w:cs="Times New Roman"/>
        </w:rPr>
      </w:pPr>
      <w:r w:rsidRPr="001C580A">
        <w:rPr>
          <w:rStyle w:val="FootnoteReference"/>
          <w:rFonts w:ascii="Times New Roman" w:hAnsi="Times New Roman" w:cs="Times New Roman"/>
        </w:rPr>
        <w:footnoteRef/>
      </w:r>
      <w:r w:rsidRPr="001C580A">
        <w:rPr>
          <w:rFonts w:ascii="Times New Roman" w:hAnsi="Times New Roman" w:cs="Times New Roman"/>
        </w:rPr>
        <w:t xml:space="preserve"> </w:t>
      </w:r>
      <w:r w:rsidR="00C00A4D" w:rsidRPr="001C580A">
        <w:rPr>
          <w:rFonts w:ascii="Times New Roman" w:hAnsi="Times New Roman" w:cs="Times New Roman"/>
          <w:color w:val="000000" w:themeColor="text1"/>
        </w:rPr>
        <w:t xml:space="preserve">Ibid, </w:t>
      </w:r>
      <w:r w:rsidR="00E12340" w:rsidRPr="001C580A">
        <w:rPr>
          <w:rFonts w:ascii="Times New Roman" w:hAnsi="Times New Roman" w:cs="Times New Roman"/>
        </w:rPr>
        <w:t>106.</w:t>
      </w:r>
    </w:p>
  </w:footnote>
  <w:footnote w:id="15">
    <w:p w14:paraId="001C11B2" w14:textId="190D7701" w:rsidR="000E443B" w:rsidRPr="001C580A" w:rsidRDefault="000E443B" w:rsidP="001C580A">
      <w:pPr>
        <w:jc w:val="both"/>
        <w:rPr>
          <w:rFonts w:ascii="Times New Roman" w:hAnsi="Times New Roman" w:cs="Times New Roman"/>
          <w:color w:val="000000" w:themeColor="text1"/>
          <w:sz w:val="20"/>
          <w:szCs w:val="20"/>
        </w:rPr>
      </w:pPr>
      <w:r w:rsidRPr="001C580A">
        <w:rPr>
          <w:rStyle w:val="FootnoteReference"/>
          <w:rFonts w:ascii="Times New Roman" w:hAnsi="Times New Roman" w:cs="Times New Roman"/>
          <w:color w:val="000000" w:themeColor="text1"/>
          <w:sz w:val="20"/>
          <w:szCs w:val="20"/>
        </w:rPr>
        <w:footnoteRef/>
      </w:r>
      <w:r w:rsidRPr="001C580A">
        <w:rPr>
          <w:rFonts w:ascii="Times New Roman" w:hAnsi="Times New Roman" w:cs="Times New Roman"/>
          <w:color w:val="000000" w:themeColor="text1"/>
          <w:sz w:val="20"/>
          <w:szCs w:val="20"/>
        </w:rPr>
        <w:t xml:space="preserve"> </w:t>
      </w:r>
      <w:r w:rsidR="00C00A4D" w:rsidRPr="001C580A">
        <w:rPr>
          <w:rFonts w:ascii="Times New Roman" w:hAnsi="Times New Roman" w:cs="Times New Roman"/>
          <w:sz w:val="20"/>
          <w:szCs w:val="20"/>
        </w:rPr>
        <w:t xml:space="preserve">Stavig LI, </w:t>
      </w:r>
      <w:r w:rsidR="004D1905">
        <w:rPr>
          <w:rFonts w:ascii="Times New Roman" w:hAnsi="Times New Roman" w:cs="Times New Roman"/>
          <w:sz w:val="20"/>
          <w:szCs w:val="20"/>
        </w:rPr>
        <w:t>‘</w:t>
      </w:r>
      <w:r w:rsidR="00C00A4D" w:rsidRPr="001C580A">
        <w:rPr>
          <w:rFonts w:ascii="Times New Roman" w:hAnsi="Times New Roman" w:cs="Times New Roman"/>
          <w:sz w:val="20"/>
          <w:szCs w:val="20"/>
        </w:rPr>
        <w:t>Unwittingly Agreed: Fujimori, Neoliberal Governmentality, and the Inclusive Exclusion of Indigenous Women</w:t>
      </w:r>
      <w:r w:rsidR="004D1905">
        <w:rPr>
          <w:rFonts w:ascii="Times New Roman" w:hAnsi="Times New Roman" w:cs="Times New Roman"/>
          <w:sz w:val="20"/>
          <w:szCs w:val="20"/>
        </w:rPr>
        <w:t>’</w:t>
      </w:r>
      <w:r w:rsidR="00C00A4D" w:rsidRPr="001C580A">
        <w:rPr>
          <w:rFonts w:ascii="Times New Roman" w:hAnsi="Times New Roman" w:cs="Times New Roman"/>
          <w:sz w:val="20"/>
          <w:szCs w:val="20"/>
        </w:rPr>
        <w:t xml:space="preserve"> (2022) 17(1) </w:t>
      </w:r>
      <w:r w:rsidR="00C00A4D" w:rsidRPr="001C580A">
        <w:rPr>
          <w:rStyle w:val="Emphasis"/>
          <w:rFonts w:ascii="Times New Roman" w:hAnsi="Times New Roman" w:cs="Times New Roman"/>
          <w:sz w:val="20"/>
          <w:szCs w:val="20"/>
        </w:rPr>
        <w:t>Latin American and Caribbean Ethnic Studies</w:t>
      </w:r>
      <w:r w:rsidR="00C00A4D" w:rsidRPr="001C580A">
        <w:rPr>
          <w:rFonts w:ascii="Times New Roman" w:hAnsi="Times New Roman" w:cs="Times New Roman"/>
          <w:sz w:val="20"/>
          <w:szCs w:val="20"/>
        </w:rPr>
        <w:t xml:space="preserve"> 34.</w:t>
      </w:r>
    </w:p>
  </w:footnote>
  <w:footnote w:id="16">
    <w:p w14:paraId="693081D7" w14:textId="25A9766A" w:rsidR="00922209" w:rsidRPr="001C580A" w:rsidRDefault="00922209" w:rsidP="001C580A">
      <w:pPr>
        <w:pStyle w:val="FootnoteText"/>
        <w:jc w:val="both"/>
        <w:rPr>
          <w:rFonts w:ascii="Times New Roman" w:hAnsi="Times New Roman" w:cs="Times New Roman"/>
        </w:rPr>
      </w:pPr>
      <w:r w:rsidRPr="001C580A">
        <w:rPr>
          <w:rStyle w:val="FootnoteReference"/>
          <w:rFonts w:ascii="Times New Roman" w:hAnsi="Times New Roman" w:cs="Times New Roman"/>
        </w:rPr>
        <w:footnoteRef/>
      </w:r>
      <w:r w:rsidRPr="001C580A">
        <w:rPr>
          <w:rFonts w:ascii="Times New Roman" w:hAnsi="Times New Roman" w:cs="Times New Roman"/>
        </w:rPr>
        <w:t xml:space="preserve"> </w:t>
      </w:r>
      <w:r w:rsidR="00C00A4D" w:rsidRPr="001C580A">
        <w:rPr>
          <w:rFonts w:ascii="Times New Roman" w:hAnsi="Times New Roman" w:cs="Times New Roman"/>
        </w:rPr>
        <w:t>McGettrick C, O</w:t>
      </w:r>
      <w:r w:rsidR="004D1905">
        <w:rPr>
          <w:rFonts w:ascii="Times New Roman" w:hAnsi="Times New Roman" w:cs="Times New Roman"/>
        </w:rPr>
        <w:t>’</w:t>
      </w:r>
      <w:r w:rsidR="00C00A4D" w:rsidRPr="001C580A">
        <w:rPr>
          <w:rFonts w:ascii="Times New Roman" w:hAnsi="Times New Roman" w:cs="Times New Roman"/>
        </w:rPr>
        <w:t>Donnell K, Steed M, Smith JM and O</w:t>
      </w:r>
      <w:r w:rsidR="004D1905">
        <w:rPr>
          <w:rFonts w:ascii="Times New Roman" w:hAnsi="Times New Roman" w:cs="Times New Roman"/>
        </w:rPr>
        <w:t>’</w:t>
      </w:r>
      <w:r w:rsidR="00C00A4D" w:rsidRPr="001C580A">
        <w:rPr>
          <w:rFonts w:ascii="Times New Roman" w:hAnsi="Times New Roman" w:cs="Times New Roman"/>
        </w:rPr>
        <w:t xml:space="preserve">Rourke M, </w:t>
      </w:r>
      <w:r w:rsidR="00C00A4D" w:rsidRPr="001C580A">
        <w:rPr>
          <w:rStyle w:val="Emphasis"/>
          <w:rFonts w:ascii="Times New Roman" w:hAnsi="Times New Roman" w:cs="Times New Roman"/>
        </w:rPr>
        <w:t>Ireland and the Magdalene Laundries</w:t>
      </w:r>
      <w:r w:rsidR="00C00A4D" w:rsidRPr="001C580A">
        <w:rPr>
          <w:rFonts w:ascii="Times New Roman" w:hAnsi="Times New Roman" w:cs="Times New Roman"/>
        </w:rPr>
        <w:t xml:space="preserve"> (IB Tauris 2021).</w:t>
      </w:r>
    </w:p>
  </w:footnote>
  <w:footnote w:id="17">
    <w:p w14:paraId="32AD8E80" w14:textId="39C6A7BE" w:rsidR="00922209" w:rsidRPr="001C580A" w:rsidRDefault="00922209" w:rsidP="001C580A">
      <w:pPr>
        <w:pStyle w:val="FootnoteText"/>
        <w:jc w:val="both"/>
        <w:rPr>
          <w:rFonts w:ascii="Times New Roman" w:hAnsi="Times New Roman" w:cs="Times New Roman"/>
        </w:rPr>
      </w:pPr>
      <w:r w:rsidRPr="001C580A">
        <w:rPr>
          <w:rStyle w:val="FootnoteReference"/>
          <w:rFonts w:ascii="Times New Roman" w:hAnsi="Times New Roman" w:cs="Times New Roman"/>
        </w:rPr>
        <w:footnoteRef/>
      </w:r>
      <w:r w:rsidRPr="001C580A">
        <w:rPr>
          <w:rFonts w:ascii="Times New Roman" w:hAnsi="Times New Roman" w:cs="Times New Roman"/>
        </w:rPr>
        <w:t xml:space="preserve"> </w:t>
      </w:r>
      <w:r w:rsidR="00C00A4D" w:rsidRPr="001C580A">
        <w:rPr>
          <w:rFonts w:ascii="Times New Roman" w:hAnsi="Times New Roman" w:cs="Times New Roman"/>
        </w:rPr>
        <w:t>Garrett PM, "</w:t>
      </w:r>
      <w:r w:rsidR="004D1905">
        <w:rPr>
          <w:rFonts w:ascii="Times New Roman" w:hAnsi="Times New Roman" w:cs="Times New Roman"/>
        </w:rPr>
        <w:t>‘</w:t>
      </w:r>
      <w:r w:rsidR="00C00A4D" w:rsidRPr="001C580A">
        <w:rPr>
          <w:rFonts w:ascii="Times New Roman" w:hAnsi="Times New Roman" w:cs="Times New Roman"/>
        </w:rPr>
        <w:t>Unmarried Mothers</w:t>
      </w:r>
      <w:r w:rsidR="004D1905">
        <w:rPr>
          <w:rFonts w:ascii="Times New Roman" w:hAnsi="Times New Roman" w:cs="Times New Roman"/>
        </w:rPr>
        <w:t>’</w:t>
      </w:r>
      <w:r w:rsidR="00C00A4D" w:rsidRPr="001C580A">
        <w:rPr>
          <w:rFonts w:ascii="Times New Roman" w:hAnsi="Times New Roman" w:cs="Times New Roman"/>
        </w:rPr>
        <w:t xml:space="preserve"> in the Republic of Ireland" (2016) 16 </w:t>
      </w:r>
      <w:r w:rsidR="00C00A4D" w:rsidRPr="001C580A">
        <w:rPr>
          <w:rStyle w:val="Emphasis"/>
          <w:rFonts w:ascii="Times New Roman" w:hAnsi="Times New Roman" w:cs="Times New Roman"/>
        </w:rPr>
        <w:t>Journal of Social Work</w:t>
      </w:r>
      <w:r w:rsidR="00C00A4D" w:rsidRPr="001C580A">
        <w:rPr>
          <w:rFonts w:ascii="Times New Roman" w:hAnsi="Times New Roman" w:cs="Times New Roman"/>
        </w:rPr>
        <w:t xml:space="preserve"> 708.</w:t>
      </w:r>
    </w:p>
  </w:footnote>
  <w:footnote w:id="18">
    <w:p w14:paraId="3C696466" w14:textId="72330646" w:rsidR="008B0342" w:rsidRPr="001C580A" w:rsidRDefault="008B0342" w:rsidP="008B0342">
      <w:pPr>
        <w:pStyle w:val="FootnoteText"/>
        <w:jc w:val="both"/>
        <w:rPr>
          <w:rFonts w:ascii="Times New Roman" w:hAnsi="Times New Roman" w:cs="Times New Roman"/>
        </w:rPr>
      </w:pPr>
      <w:r w:rsidRPr="001C580A">
        <w:rPr>
          <w:rStyle w:val="FootnoteReference"/>
          <w:rFonts w:ascii="Times New Roman" w:hAnsi="Times New Roman" w:cs="Times New Roman"/>
        </w:rPr>
        <w:footnoteRef/>
      </w:r>
      <w:r w:rsidRPr="001C580A">
        <w:rPr>
          <w:rFonts w:ascii="Times New Roman" w:hAnsi="Times New Roman" w:cs="Times New Roman"/>
        </w:rPr>
        <w:t xml:space="preserve"> Enright M </w:t>
      </w:r>
      <w:r w:rsidR="008405CF">
        <w:rPr>
          <w:rFonts w:ascii="Times New Roman" w:hAnsi="Times New Roman" w:cs="Times New Roman"/>
        </w:rPr>
        <w:t>et al.</w:t>
      </w:r>
      <w:r w:rsidRPr="001C580A">
        <w:rPr>
          <w:rFonts w:ascii="Times New Roman" w:hAnsi="Times New Roman" w:cs="Times New Roman"/>
        </w:rPr>
        <w:t xml:space="preserve">, </w:t>
      </w:r>
      <w:r>
        <w:rPr>
          <w:rFonts w:ascii="Times New Roman" w:hAnsi="Times New Roman" w:cs="Times New Roman"/>
        </w:rPr>
        <w:t>‘</w:t>
      </w:r>
      <w:r w:rsidRPr="001C580A">
        <w:rPr>
          <w:rFonts w:ascii="Times New Roman" w:hAnsi="Times New Roman" w:cs="Times New Roman"/>
        </w:rPr>
        <w:t>Mother and Baby Homes Commission of Investigation Report: Alternative Executive Summary</w:t>
      </w:r>
      <w:r>
        <w:rPr>
          <w:rFonts w:ascii="Times New Roman" w:hAnsi="Times New Roman" w:cs="Times New Roman"/>
        </w:rPr>
        <w:t>’</w:t>
      </w:r>
      <w:r w:rsidRPr="001C580A">
        <w:rPr>
          <w:rFonts w:ascii="Times New Roman" w:hAnsi="Times New Roman" w:cs="Times New Roman"/>
        </w:rPr>
        <w:t xml:space="preserve"> (2025) 14</w:t>
      </w:r>
      <w:r w:rsidR="008379CB">
        <w:rPr>
          <w:rFonts w:ascii="Times New Roman" w:hAnsi="Times New Roman" w:cs="Times New Roman"/>
        </w:rPr>
        <w:t>(1)</w:t>
      </w:r>
      <w:r w:rsidRPr="001C580A">
        <w:rPr>
          <w:rFonts w:ascii="Times New Roman" w:hAnsi="Times New Roman" w:cs="Times New Roman"/>
        </w:rPr>
        <w:t xml:space="preserve"> </w:t>
      </w:r>
      <w:proofErr w:type="spellStart"/>
      <w:r w:rsidRPr="001C580A">
        <w:rPr>
          <w:rStyle w:val="Emphasis"/>
          <w:rFonts w:ascii="Times New Roman" w:hAnsi="Times New Roman" w:cs="Times New Roman"/>
        </w:rPr>
        <w:t>feminists@law</w:t>
      </w:r>
      <w:proofErr w:type="spellEnd"/>
      <w:r w:rsidRPr="001C580A">
        <w:rPr>
          <w:rFonts w:ascii="Times New Roman" w:hAnsi="Times New Roman" w:cs="Times New Roman"/>
        </w:rPr>
        <w:t>.</w:t>
      </w:r>
    </w:p>
  </w:footnote>
  <w:footnote w:id="19">
    <w:p w14:paraId="7D3636B7" w14:textId="02E96F4D" w:rsidR="008B0342" w:rsidRPr="008B0342" w:rsidRDefault="008B0342" w:rsidP="008B0342">
      <w:pPr>
        <w:pStyle w:val="NormalWeb"/>
        <w:spacing w:before="0" w:beforeAutospacing="0" w:after="0" w:afterAutospacing="0"/>
        <w:jc w:val="both"/>
      </w:pPr>
      <w:r>
        <w:rPr>
          <w:rStyle w:val="FootnoteReference"/>
        </w:rPr>
        <w:footnoteRef/>
      </w:r>
      <w:r>
        <w:t xml:space="preserve"> </w:t>
      </w:r>
      <w:r w:rsidRPr="008B0342">
        <w:rPr>
          <w:sz w:val="20"/>
          <w:szCs w:val="20"/>
        </w:rPr>
        <w:t>Enright</w:t>
      </w:r>
      <w:r w:rsidR="00BF0FCD">
        <w:rPr>
          <w:sz w:val="20"/>
          <w:szCs w:val="20"/>
        </w:rPr>
        <w:t xml:space="preserve"> M</w:t>
      </w:r>
      <w:r w:rsidRPr="008B0342">
        <w:rPr>
          <w:sz w:val="20"/>
          <w:szCs w:val="20"/>
        </w:rPr>
        <w:t xml:space="preserve"> and</w:t>
      </w:r>
      <w:r w:rsidR="00BF0FCD">
        <w:rPr>
          <w:sz w:val="20"/>
          <w:szCs w:val="20"/>
        </w:rPr>
        <w:t xml:space="preserve"> </w:t>
      </w:r>
      <w:r w:rsidRPr="008B0342">
        <w:rPr>
          <w:sz w:val="20"/>
          <w:szCs w:val="20"/>
        </w:rPr>
        <w:t>Cloatre</w:t>
      </w:r>
      <w:r w:rsidR="00BF0FCD">
        <w:rPr>
          <w:sz w:val="20"/>
          <w:szCs w:val="20"/>
        </w:rPr>
        <w:t xml:space="preserve"> E</w:t>
      </w:r>
      <w:r w:rsidRPr="008B0342">
        <w:rPr>
          <w:sz w:val="20"/>
          <w:szCs w:val="20"/>
        </w:rPr>
        <w:t xml:space="preserve">, ‘Transformative Illegality: How Condoms “Became Legal” in Ireland, 1991–1993’ (2018) 26(3) </w:t>
      </w:r>
      <w:r w:rsidRPr="008B0342">
        <w:rPr>
          <w:rStyle w:val="Emphasis"/>
          <w:sz w:val="20"/>
          <w:szCs w:val="20"/>
        </w:rPr>
        <w:t>Feminist Legal Studies</w:t>
      </w:r>
      <w:r w:rsidRPr="008B0342">
        <w:rPr>
          <w:sz w:val="20"/>
          <w:szCs w:val="20"/>
        </w:rPr>
        <w:t xml:space="preserve"> 261; Cloatre</w:t>
      </w:r>
      <w:r w:rsidR="00725862">
        <w:rPr>
          <w:sz w:val="20"/>
          <w:szCs w:val="20"/>
        </w:rPr>
        <w:t xml:space="preserve"> E </w:t>
      </w:r>
      <w:r w:rsidRPr="008B0342">
        <w:rPr>
          <w:sz w:val="20"/>
          <w:szCs w:val="20"/>
        </w:rPr>
        <w:t>and Enright</w:t>
      </w:r>
      <w:r w:rsidR="00725862">
        <w:rPr>
          <w:sz w:val="20"/>
          <w:szCs w:val="20"/>
        </w:rPr>
        <w:t xml:space="preserve"> M</w:t>
      </w:r>
      <w:r w:rsidRPr="008B0342">
        <w:rPr>
          <w:sz w:val="20"/>
          <w:szCs w:val="20"/>
        </w:rPr>
        <w:t xml:space="preserve">, ‘“On the Perimeter of the Lawful”: Enduring Illegality in the Irish Family Planning Movement, 1972–1985’ (2017) 44(4) </w:t>
      </w:r>
      <w:r w:rsidRPr="008B0342">
        <w:rPr>
          <w:rStyle w:val="Emphasis"/>
          <w:sz w:val="20"/>
          <w:szCs w:val="20"/>
        </w:rPr>
        <w:t>Journal of Law and Society</w:t>
      </w:r>
      <w:r w:rsidRPr="008B0342">
        <w:rPr>
          <w:sz w:val="20"/>
          <w:szCs w:val="20"/>
        </w:rPr>
        <w:t xml:space="preserve"> 471.</w:t>
      </w:r>
    </w:p>
  </w:footnote>
  <w:footnote w:id="20">
    <w:p w14:paraId="13AE8E72" w14:textId="30CA08CD" w:rsidR="008B0342" w:rsidRPr="008B0342" w:rsidRDefault="008B0342" w:rsidP="008B0342">
      <w:pPr>
        <w:pStyle w:val="NormalWeb"/>
        <w:spacing w:before="0" w:beforeAutospacing="0" w:after="0" w:afterAutospacing="0"/>
        <w:jc w:val="both"/>
        <w:rPr>
          <w:sz w:val="20"/>
          <w:szCs w:val="20"/>
        </w:rPr>
      </w:pPr>
      <w:r w:rsidRPr="008B0342">
        <w:rPr>
          <w:rStyle w:val="FootnoteReference"/>
          <w:sz w:val="20"/>
          <w:szCs w:val="20"/>
        </w:rPr>
        <w:footnoteRef/>
      </w:r>
      <w:r w:rsidRPr="008B0342">
        <w:rPr>
          <w:sz w:val="20"/>
          <w:szCs w:val="20"/>
        </w:rPr>
        <w:t xml:space="preserve"> Walsh</w:t>
      </w:r>
      <w:r w:rsidR="00BF0FCD">
        <w:rPr>
          <w:sz w:val="20"/>
          <w:szCs w:val="20"/>
        </w:rPr>
        <w:t xml:space="preserve"> O</w:t>
      </w:r>
      <w:r w:rsidRPr="008B0342">
        <w:rPr>
          <w:sz w:val="20"/>
          <w:szCs w:val="20"/>
        </w:rPr>
        <w:t xml:space="preserve">, </w:t>
      </w:r>
      <w:r w:rsidRPr="008B0342">
        <w:rPr>
          <w:rStyle w:val="Emphasis"/>
          <w:sz w:val="20"/>
          <w:szCs w:val="20"/>
        </w:rPr>
        <w:t>Final Report on Symphysiotomy in Ireland, 1944–1984</w:t>
      </w:r>
      <w:r w:rsidRPr="008B0342">
        <w:rPr>
          <w:sz w:val="20"/>
          <w:szCs w:val="20"/>
        </w:rPr>
        <w:t xml:space="preserve"> (Department of Health 2014); Shaarani</w:t>
      </w:r>
      <w:r w:rsidR="00BF0FCD">
        <w:rPr>
          <w:sz w:val="20"/>
          <w:szCs w:val="20"/>
        </w:rPr>
        <w:t xml:space="preserve"> SR</w:t>
      </w:r>
      <w:r w:rsidRPr="008B0342">
        <w:rPr>
          <w:sz w:val="20"/>
          <w:szCs w:val="20"/>
        </w:rPr>
        <w:t xml:space="preserve">,  van Eeden </w:t>
      </w:r>
      <w:r w:rsidR="00BF0FCD">
        <w:rPr>
          <w:sz w:val="20"/>
          <w:szCs w:val="20"/>
        </w:rPr>
        <w:t xml:space="preserve">W </w:t>
      </w:r>
      <w:r w:rsidRPr="008B0342">
        <w:rPr>
          <w:sz w:val="20"/>
          <w:szCs w:val="20"/>
        </w:rPr>
        <w:t>and O'Byrne</w:t>
      </w:r>
      <w:r w:rsidR="00BF0FCD">
        <w:rPr>
          <w:sz w:val="20"/>
          <w:szCs w:val="20"/>
        </w:rPr>
        <w:t xml:space="preserve"> JM</w:t>
      </w:r>
      <w:r w:rsidRPr="008B0342">
        <w:rPr>
          <w:sz w:val="20"/>
          <w:szCs w:val="20"/>
        </w:rPr>
        <w:t xml:space="preserve">, ‘The Irish Experience of Symphysiotomy: 40 Years Onwards’ (2016) 36(1) </w:t>
      </w:r>
      <w:r w:rsidRPr="008B0342">
        <w:rPr>
          <w:rStyle w:val="Emphasis"/>
          <w:sz w:val="20"/>
          <w:szCs w:val="20"/>
        </w:rPr>
        <w:t>Journal of Obstetrics and Gynaecology</w:t>
      </w:r>
      <w:r w:rsidRPr="008B0342">
        <w:rPr>
          <w:sz w:val="20"/>
          <w:szCs w:val="20"/>
        </w:rPr>
        <w:t xml:space="preserve"> 48.</w:t>
      </w:r>
    </w:p>
  </w:footnote>
  <w:footnote w:id="21">
    <w:p w14:paraId="05F1165E" w14:textId="26DECD2B" w:rsidR="00922209" w:rsidRPr="001C580A" w:rsidRDefault="00922209" w:rsidP="001C580A">
      <w:pPr>
        <w:pStyle w:val="FootnoteText"/>
        <w:jc w:val="both"/>
        <w:rPr>
          <w:rFonts w:ascii="Times New Roman" w:hAnsi="Times New Roman" w:cs="Times New Roman"/>
        </w:rPr>
      </w:pPr>
      <w:r w:rsidRPr="001C580A">
        <w:rPr>
          <w:rStyle w:val="FootnoteReference"/>
          <w:rFonts w:ascii="Times New Roman" w:hAnsi="Times New Roman" w:cs="Times New Roman"/>
        </w:rPr>
        <w:footnoteRef/>
      </w:r>
      <w:r w:rsidRPr="001C580A">
        <w:rPr>
          <w:rFonts w:ascii="Times New Roman" w:hAnsi="Times New Roman" w:cs="Times New Roman"/>
        </w:rPr>
        <w:t xml:space="preserve"> </w:t>
      </w:r>
      <w:r w:rsidR="00C00A4D" w:rsidRPr="001C580A">
        <w:rPr>
          <w:rFonts w:ascii="Times New Roman" w:hAnsi="Times New Roman" w:cs="Times New Roman"/>
        </w:rPr>
        <w:t xml:space="preserve">Duffy </w:t>
      </w:r>
      <w:r w:rsidR="0005332E">
        <w:rPr>
          <w:rFonts w:ascii="Times New Roman" w:hAnsi="Times New Roman" w:cs="Times New Roman"/>
        </w:rPr>
        <w:t>D</w:t>
      </w:r>
      <w:r w:rsidR="00C00A4D" w:rsidRPr="001C580A">
        <w:rPr>
          <w:rFonts w:ascii="Times New Roman" w:hAnsi="Times New Roman" w:cs="Times New Roman"/>
        </w:rPr>
        <w:t xml:space="preserve">N, Freeman C and Rodríguez Castañeda S, </w:t>
      </w:r>
      <w:r w:rsidR="004D1905">
        <w:rPr>
          <w:rFonts w:ascii="Times New Roman" w:hAnsi="Times New Roman" w:cs="Times New Roman"/>
        </w:rPr>
        <w:t>‘</w:t>
      </w:r>
      <w:r w:rsidR="00C00A4D" w:rsidRPr="001C580A">
        <w:rPr>
          <w:rFonts w:ascii="Times New Roman" w:hAnsi="Times New Roman" w:cs="Times New Roman"/>
        </w:rPr>
        <w:t>Beyond the State: Abortion Care Activism in Peru</w:t>
      </w:r>
      <w:r w:rsidR="004D1905">
        <w:rPr>
          <w:rFonts w:ascii="Times New Roman" w:hAnsi="Times New Roman" w:cs="Times New Roman"/>
        </w:rPr>
        <w:t>’</w:t>
      </w:r>
      <w:r w:rsidR="00C00A4D" w:rsidRPr="001C580A">
        <w:rPr>
          <w:rFonts w:ascii="Times New Roman" w:hAnsi="Times New Roman" w:cs="Times New Roman"/>
        </w:rPr>
        <w:t xml:space="preserve"> (2023) 48 </w:t>
      </w:r>
      <w:r w:rsidR="00C00A4D" w:rsidRPr="001C580A">
        <w:rPr>
          <w:rStyle w:val="Emphasis"/>
          <w:rFonts w:ascii="Times New Roman" w:hAnsi="Times New Roman" w:cs="Times New Roman"/>
        </w:rPr>
        <w:t>Signs: Journal of Women in Culture and Society</w:t>
      </w:r>
      <w:r w:rsidR="00C00A4D" w:rsidRPr="001C580A">
        <w:rPr>
          <w:rFonts w:ascii="Times New Roman" w:hAnsi="Times New Roman" w:cs="Times New Roman"/>
        </w:rPr>
        <w:t xml:space="preserve"> 609.</w:t>
      </w:r>
    </w:p>
  </w:footnote>
  <w:footnote w:id="22">
    <w:p w14:paraId="3509CBD9" w14:textId="6E2026E1" w:rsidR="00922209" w:rsidRPr="001C580A" w:rsidRDefault="00922209" w:rsidP="001C580A">
      <w:pPr>
        <w:pStyle w:val="FootnoteText"/>
        <w:jc w:val="both"/>
        <w:rPr>
          <w:rFonts w:ascii="Times New Roman" w:hAnsi="Times New Roman" w:cs="Times New Roman"/>
        </w:rPr>
      </w:pPr>
      <w:r w:rsidRPr="001C580A">
        <w:rPr>
          <w:rStyle w:val="FootnoteReference"/>
          <w:rFonts w:ascii="Times New Roman" w:hAnsi="Times New Roman" w:cs="Times New Roman"/>
        </w:rPr>
        <w:footnoteRef/>
      </w:r>
      <w:r w:rsidRPr="001C580A">
        <w:rPr>
          <w:rFonts w:ascii="Times New Roman" w:hAnsi="Times New Roman" w:cs="Times New Roman"/>
        </w:rPr>
        <w:t xml:space="preserve"> </w:t>
      </w:r>
      <w:r w:rsidR="00C00A4D" w:rsidRPr="001C580A">
        <w:rPr>
          <w:rFonts w:ascii="Times New Roman" w:hAnsi="Times New Roman" w:cs="Times New Roman"/>
        </w:rPr>
        <w:t>Rousseau</w:t>
      </w:r>
      <w:r w:rsidR="00C61F8B">
        <w:rPr>
          <w:rFonts w:ascii="Times New Roman" w:hAnsi="Times New Roman" w:cs="Times New Roman"/>
        </w:rPr>
        <w:t xml:space="preserve"> (n 12)</w:t>
      </w:r>
      <w:r w:rsidR="00C00A4D" w:rsidRPr="001C580A">
        <w:rPr>
          <w:rFonts w:ascii="Times New Roman" w:hAnsi="Times New Roman" w:cs="Times New Roman"/>
        </w:rPr>
        <w:t>.</w:t>
      </w:r>
    </w:p>
  </w:footnote>
  <w:footnote w:id="23">
    <w:p w14:paraId="5B49D841" w14:textId="52EDD62E" w:rsidR="00EE35B2" w:rsidRPr="001C580A" w:rsidRDefault="00EE35B2" w:rsidP="001C580A">
      <w:pPr>
        <w:pStyle w:val="FootnoteText"/>
        <w:jc w:val="both"/>
        <w:rPr>
          <w:rFonts w:ascii="Times New Roman" w:hAnsi="Times New Roman" w:cs="Times New Roman"/>
        </w:rPr>
      </w:pPr>
      <w:r w:rsidRPr="001C580A">
        <w:rPr>
          <w:rStyle w:val="FootnoteReference"/>
          <w:rFonts w:ascii="Times New Roman" w:hAnsi="Times New Roman" w:cs="Times New Roman"/>
        </w:rPr>
        <w:footnoteRef/>
      </w:r>
      <w:r w:rsidRPr="001C580A">
        <w:rPr>
          <w:rFonts w:ascii="Times New Roman" w:hAnsi="Times New Roman" w:cs="Times New Roman"/>
        </w:rPr>
        <w:t xml:space="preserve"> </w:t>
      </w:r>
      <w:r w:rsidR="00C00A4D" w:rsidRPr="001C580A">
        <w:rPr>
          <w:rFonts w:ascii="Times New Roman" w:hAnsi="Times New Roman" w:cs="Times New Roman"/>
        </w:rPr>
        <w:t xml:space="preserve">Colen S, </w:t>
      </w:r>
      <w:r w:rsidR="004D1905">
        <w:rPr>
          <w:rFonts w:ascii="Times New Roman" w:hAnsi="Times New Roman" w:cs="Times New Roman"/>
        </w:rPr>
        <w:t>‘</w:t>
      </w:r>
      <w:r w:rsidR="00C00A4D" w:rsidRPr="001C580A">
        <w:rPr>
          <w:rFonts w:ascii="Times New Roman" w:hAnsi="Times New Roman" w:cs="Times New Roman"/>
        </w:rPr>
        <w:t>"Like a Mother to Them": Stratified Reproduction and West Indian Childcare Workers and Employers in New York</w:t>
      </w:r>
      <w:r w:rsidR="004D1905">
        <w:rPr>
          <w:rFonts w:ascii="Times New Roman" w:hAnsi="Times New Roman" w:cs="Times New Roman"/>
        </w:rPr>
        <w:t>’</w:t>
      </w:r>
      <w:r w:rsidR="00C00A4D" w:rsidRPr="001C580A">
        <w:rPr>
          <w:rFonts w:ascii="Times New Roman" w:hAnsi="Times New Roman" w:cs="Times New Roman"/>
        </w:rPr>
        <w:t xml:space="preserve"> in Ginsburg FD and Rapp R (eds), </w:t>
      </w:r>
      <w:r w:rsidR="00C00A4D" w:rsidRPr="001C580A">
        <w:rPr>
          <w:rStyle w:val="Emphasis"/>
          <w:rFonts w:ascii="Times New Roman" w:hAnsi="Times New Roman" w:cs="Times New Roman"/>
        </w:rPr>
        <w:t>Conceiving the New World Order: The Global Politics of Reproduction</w:t>
      </w:r>
      <w:r w:rsidR="00C00A4D" w:rsidRPr="001C580A">
        <w:rPr>
          <w:rFonts w:ascii="Times New Roman" w:hAnsi="Times New Roman" w:cs="Times New Roman"/>
        </w:rPr>
        <w:t xml:space="preserve"> (University of California Press 1995), 78.</w:t>
      </w:r>
    </w:p>
  </w:footnote>
  <w:footnote w:id="24">
    <w:p w14:paraId="6B753E68" w14:textId="05D19FF9" w:rsidR="00B94058" w:rsidRPr="001C580A" w:rsidRDefault="00B94058" w:rsidP="001C580A">
      <w:pPr>
        <w:pStyle w:val="FootnoteText"/>
        <w:jc w:val="both"/>
        <w:rPr>
          <w:rFonts w:ascii="Times New Roman" w:hAnsi="Times New Roman" w:cs="Times New Roman"/>
        </w:rPr>
      </w:pPr>
      <w:r w:rsidRPr="001C580A">
        <w:rPr>
          <w:rStyle w:val="FootnoteReference"/>
          <w:rFonts w:ascii="Times New Roman" w:hAnsi="Times New Roman" w:cs="Times New Roman"/>
        </w:rPr>
        <w:footnoteRef/>
      </w:r>
      <w:r w:rsidRPr="001C580A">
        <w:rPr>
          <w:rFonts w:ascii="Times New Roman" w:hAnsi="Times New Roman" w:cs="Times New Roman"/>
        </w:rPr>
        <w:t xml:space="preserve"> </w:t>
      </w:r>
      <w:r w:rsidR="00C00A4D" w:rsidRPr="001C580A">
        <w:rPr>
          <w:rFonts w:ascii="Times New Roman" w:hAnsi="Times New Roman" w:cs="Times New Roman"/>
        </w:rPr>
        <w:t xml:space="preserve">Ross LJ and Solinger R, </w:t>
      </w:r>
      <w:r w:rsidR="00C00A4D" w:rsidRPr="001C580A">
        <w:rPr>
          <w:rStyle w:val="Emphasis"/>
          <w:rFonts w:ascii="Times New Roman" w:hAnsi="Times New Roman" w:cs="Times New Roman"/>
        </w:rPr>
        <w:t>Reproductive Justice: An Introduction</w:t>
      </w:r>
      <w:r w:rsidR="00C00A4D" w:rsidRPr="001C580A">
        <w:rPr>
          <w:rFonts w:ascii="Times New Roman" w:hAnsi="Times New Roman" w:cs="Times New Roman"/>
        </w:rPr>
        <w:t xml:space="preserve"> (University of California Press 2017), </w:t>
      </w:r>
      <w:r w:rsidR="00C00A4D" w:rsidRPr="001C580A">
        <w:rPr>
          <w:rStyle w:val="Strong"/>
          <w:rFonts w:ascii="Times New Roman" w:hAnsi="Times New Roman" w:cs="Times New Roman"/>
          <w:b w:val="0"/>
          <w:bCs w:val="0"/>
        </w:rPr>
        <w:t>9</w:t>
      </w:r>
      <w:r w:rsidR="00C00A4D" w:rsidRPr="001C580A">
        <w:rPr>
          <w:rFonts w:ascii="Times New Roman" w:hAnsi="Times New Roman" w:cs="Times New Roman"/>
        </w:rPr>
        <w:t>.</w:t>
      </w:r>
    </w:p>
  </w:footnote>
  <w:footnote w:id="25">
    <w:p w14:paraId="736F83D4" w14:textId="3722E740" w:rsidR="00EE35B2" w:rsidRPr="001C580A" w:rsidRDefault="00EE35B2" w:rsidP="001C580A">
      <w:pPr>
        <w:pStyle w:val="FootnoteText"/>
        <w:jc w:val="both"/>
        <w:rPr>
          <w:rFonts w:ascii="Times New Roman" w:hAnsi="Times New Roman" w:cs="Times New Roman"/>
        </w:rPr>
      </w:pPr>
      <w:r w:rsidRPr="001C580A">
        <w:rPr>
          <w:rStyle w:val="FootnoteReference"/>
          <w:rFonts w:ascii="Times New Roman" w:hAnsi="Times New Roman" w:cs="Times New Roman"/>
        </w:rPr>
        <w:footnoteRef/>
      </w:r>
      <w:r w:rsidRPr="001C580A">
        <w:rPr>
          <w:rFonts w:ascii="Times New Roman" w:hAnsi="Times New Roman" w:cs="Times New Roman"/>
        </w:rPr>
        <w:t xml:space="preserve"> </w:t>
      </w:r>
      <w:r w:rsidR="00B94058" w:rsidRPr="001C580A">
        <w:rPr>
          <w:rFonts w:ascii="Times New Roman" w:hAnsi="Times New Roman" w:cs="Times New Roman"/>
        </w:rPr>
        <w:t xml:space="preserve">Ibid. </w:t>
      </w:r>
    </w:p>
  </w:footnote>
  <w:footnote w:id="26">
    <w:p w14:paraId="0F55A88F" w14:textId="3919A4B0" w:rsidR="00EE35B2" w:rsidRPr="001C580A" w:rsidRDefault="00EE35B2" w:rsidP="001C580A">
      <w:pPr>
        <w:pStyle w:val="FootnoteText"/>
        <w:jc w:val="both"/>
        <w:rPr>
          <w:rFonts w:ascii="Times New Roman" w:hAnsi="Times New Roman" w:cs="Times New Roman"/>
        </w:rPr>
      </w:pPr>
      <w:r w:rsidRPr="001C580A">
        <w:rPr>
          <w:rStyle w:val="FootnoteReference"/>
          <w:rFonts w:ascii="Times New Roman" w:hAnsi="Times New Roman" w:cs="Times New Roman"/>
        </w:rPr>
        <w:footnoteRef/>
      </w:r>
      <w:r w:rsidRPr="001C580A">
        <w:rPr>
          <w:rFonts w:ascii="Times New Roman" w:hAnsi="Times New Roman" w:cs="Times New Roman"/>
        </w:rPr>
        <w:t xml:space="preserve"> </w:t>
      </w:r>
      <w:r w:rsidR="00B94058" w:rsidRPr="001C580A">
        <w:rPr>
          <w:rFonts w:ascii="Times New Roman" w:hAnsi="Times New Roman" w:cs="Times New Roman"/>
        </w:rPr>
        <w:t>Ibid, 12-14.</w:t>
      </w:r>
    </w:p>
  </w:footnote>
  <w:footnote w:id="27">
    <w:p w14:paraId="78D30469" w14:textId="45965590" w:rsidR="006C5767" w:rsidRPr="001C580A" w:rsidRDefault="006C5767" w:rsidP="001C580A">
      <w:pPr>
        <w:jc w:val="both"/>
        <w:rPr>
          <w:rFonts w:ascii="Times New Roman" w:hAnsi="Times New Roman" w:cs="Times New Roman"/>
          <w:color w:val="000000" w:themeColor="text1"/>
          <w:sz w:val="20"/>
          <w:szCs w:val="20"/>
        </w:rPr>
      </w:pPr>
      <w:r w:rsidRPr="001C580A">
        <w:rPr>
          <w:rStyle w:val="FootnoteReference"/>
          <w:rFonts w:ascii="Times New Roman" w:hAnsi="Times New Roman" w:cs="Times New Roman"/>
          <w:color w:val="000000" w:themeColor="text1"/>
          <w:sz w:val="20"/>
          <w:szCs w:val="20"/>
        </w:rPr>
        <w:footnoteRef/>
      </w:r>
      <w:r w:rsidRPr="001C580A">
        <w:rPr>
          <w:rFonts w:ascii="Times New Roman" w:hAnsi="Times New Roman" w:cs="Times New Roman"/>
          <w:color w:val="000000" w:themeColor="text1"/>
          <w:sz w:val="20"/>
          <w:szCs w:val="20"/>
        </w:rPr>
        <w:t xml:space="preserve"> </w:t>
      </w:r>
      <w:r w:rsidR="00C00A4D" w:rsidRPr="001C580A">
        <w:rPr>
          <w:rFonts w:ascii="Times New Roman" w:hAnsi="Times New Roman" w:cs="Times New Roman"/>
          <w:sz w:val="20"/>
          <w:szCs w:val="20"/>
        </w:rPr>
        <w:t xml:space="preserve">Robertson JA, </w:t>
      </w:r>
      <w:r w:rsidR="004D1905">
        <w:rPr>
          <w:rFonts w:ascii="Times New Roman" w:hAnsi="Times New Roman" w:cs="Times New Roman"/>
          <w:sz w:val="20"/>
          <w:szCs w:val="20"/>
        </w:rPr>
        <w:t>‘</w:t>
      </w:r>
      <w:r w:rsidR="00C00A4D" w:rsidRPr="001C580A">
        <w:rPr>
          <w:rFonts w:ascii="Times New Roman" w:hAnsi="Times New Roman" w:cs="Times New Roman"/>
          <w:sz w:val="20"/>
          <w:szCs w:val="20"/>
        </w:rPr>
        <w:t>Procreative Liberty and the Control of Conception, Pregnancy, and Childbirth</w:t>
      </w:r>
      <w:r w:rsidR="004D1905">
        <w:rPr>
          <w:rFonts w:ascii="Times New Roman" w:hAnsi="Times New Roman" w:cs="Times New Roman"/>
          <w:sz w:val="20"/>
          <w:szCs w:val="20"/>
        </w:rPr>
        <w:t>’</w:t>
      </w:r>
      <w:r w:rsidR="00C00A4D" w:rsidRPr="001C580A">
        <w:rPr>
          <w:rFonts w:ascii="Times New Roman" w:hAnsi="Times New Roman" w:cs="Times New Roman"/>
          <w:sz w:val="20"/>
          <w:szCs w:val="20"/>
        </w:rPr>
        <w:t xml:space="preserve"> (1983) 69(3) </w:t>
      </w:r>
      <w:r w:rsidR="00C00A4D" w:rsidRPr="001C580A">
        <w:rPr>
          <w:rStyle w:val="Emphasis"/>
          <w:rFonts w:ascii="Times New Roman" w:hAnsi="Times New Roman" w:cs="Times New Roman"/>
          <w:sz w:val="20"/>
          <w:szCs w:val="20"/>
        </w:rPr>
        <w:t>Virginia Law Review</w:t>
      </w:r>
      <w:r w:rsidR="00C00A4D" w:rsidRPr="001C580A">
        <w:rPr>
          <w:rFonts w:ascii="Times New Roman" w:hAnsi="Times New Roman" w:cs="Times New Roman"/>
          <w:sz w:val="20"/>
          <w:szCs w:val="20"/>
        </w:rPr>
        <w:t xml:space="preserve"> 405.</w:t>
      </w:r>
    </w:p>
  </w:footnote>
  <w:footnote w:id="28">
    <w:p w14:paraId="525D29E7" w14:textId="5C0C3EEB" w:rsidR="006C5767" w:rsidRPr="001C580A" w:rsidRDefault="006C5767" w:rsidP="001C580A">
      <w:pPr>
        <w:jc w:val="both"/>
        <w:rPr>
          <w:rFonts w:ascii="Times New Roman" w:hAnsi="Times New Roman" w:cs="Times New Roman"/>
          <w:color w:val="000000" w:themeColor="text1"/>
          <w:sz w:val="20"/>
          <w:szCs w:val="20"/>
        </w:rPr>
      </w:pPr>
      <w:r w:rsidRPr="001C580A">
        <w:rPr>
          <w:rStyle w:val="FootnoteReference"/>
          <w:rFonts w:ascii="Times New Roman" w:hAnsi="Times New Roman" w:cs="Times New Roman"/>
          <w:color w:val="000000" w:themeColor="text1"/>
          <w:sz w:val="20"/>
          <w:szCs w:val="20"/>
        </w:rPr>
        <w:footnoteRef/>
      </w:r>
      <w:r w:rsidRPr="001C580A">
        <w:rPr>
          <w:rFonts w:ascii="Times New Roman" w:hAnsi="Times New Roman" w:cs="Times New Roman"/>
          <w:color w:val="000000" w:themeColor="text1"/>
          <w:sz w:val="20"/>
          <w:szCs w:val="20"/>
        </w:rPr>
        <w:t xml:space="preserve"> </w:t>
      </w:r>
      <w:r w:rsidR="00C00A4D" w:rsidRPr="001C580A">
        <w:rPr>
          <w:rFonts w:ascii="Times New Roman" w:hAnsi="Times New Roman" w:cs="Times New Roman"/>
          <w:sz w:val="20"/>
          <w:szCs w:val="20"/>
        </w:rPr>
        <w:t xml:space="preserve">Thomson J, </w:t>
      </w:r>
      <w:r w:rsidR="004D1905">
        <w:rPr>
          <w:rFonts w:ascii="Times New Roman" w:hAnsi="Times New Roman" w:cs="Times New Roman"/>
          <w:sz w:val="20"/>
          <w:szCs w:val="20"/>
        </w:rPr>
        <w:t>‘</w:t>
      </w:r>
      <w:r w:rsidR="00C00A4D" w:rsidRPr="001C580A">
        <w:rPr>
          <w:rFonts w:ascii="Times New Roman" w:hAnsi="Times New Roman" w:cs="Times New Roman"/>
          <w:sz w:val="20"/>
          <w:szCs w:val="20"/>
        </w:rPr>
        <w:t>A Defence of Abortion</w:t>
      </w:r>
      <w:r w:rsidR="004D1905">
        <w:rPr>
          <w:rFonts w:ascii="Times New Roman" w:hAnsi="Times New Roman" w:cs="Times New Roman"/>
          <w:sz w:val="20"/>
          <w:szCs w:val="20"/>
        </w:rPr>
        <w:t>’</w:t>
      </w:r>
      <w:r w:rsidR="00C00A4D" w:rsidRPr="001C580A">
        <w:rPr>
          <w:rFonts w:ascii="Times New Roman" w:hAnsi="Times New Roman" w:cs="Times New Roman"/>
          <w:sz w:val="20"/>
          <w:szCs w:val="20"/>
        </w:rPr>
        <w:t xml:space="preserve"> in Rachels J (ed), </w:t>
      </w:r>
      <w:r w:rsidR="00C00A4D" w:rsidRPr="001C580A">
        <w:rPr>
          <w:rStyle w:val="Emphasis"/>
          <w:rFonts w:ascii="Times New Roman" w:hAnsi="Times New Roman" w:cs="Times New Roman"/>
          <w:sz w:val="20"/>
          <w:szCs w:val="20"/>
        </w:rPr>
        <w:t>Moral Problems</w:t>
      </w:r>
      <w:r w:rsidR="00C00A4D" w:rsidRPr="001C580A">
        <w:rPr>
          <w:rFonts w:ascii="Times New Roman" w:hAnsi="Times New Roman" w:cs="Times New Roman"/>
          <w:sz w:val="20"/>
          <w:szCs w:val="20"/>
        </w:rPr>
        <w:t xml:space="preserve"> (Harper &amp; Row 1975)</w:t>
      </w:r>
      <w:r w:rsidR="00C00A4D" w:rsidRPr="001C580A">
        <w:rPr>
          <w:rFonts w:ascii="Times New Roman" w:hAnsi="Times New Roman" w:cs="Times New Roman"/>
          <w:color w:val="000000" w:themeColor="text1"/>
          <w:sz w:val="20"/>
          <w:szCs w:val="20"/>
        </w:rPr>
        <w:t xml:space="preserve">, </w:t>
      </w:r>
      <w:r w:rsidRPr="001C580A">
        <w:rPr>
          <w:rFonts w:ascii="Times New Roman" w:hAnsi="Times New Roman" w:cs="Times New Roman"/>
          <w:color w:val="000000" w:themeColor="text1"/>
          <w:sz w:val="20"/>
          <w:szCs w:val="20"/>
        </w:rPr>
        <w:t>95.</w:t>
      </w:r>
    </w:p>
  </w:footnote>
  <w:footnote w:id="29">
    <w:p w14:paraId="5B1D6333" w14:textId="44212FA2" w:rsidR="006C5767" w:rsidRPr="001C580A" w:rsidRDefault="006C5767" w:rsidP="001C580A">
      <w:pPr>
        <w:jc w:val="both"/>
        <w:rPr>
          <w:rFonts w:ascii="Times New Roman" w:hAnsi="Times New Roman" w:cs="Times New Roman"/>
          <w:color w:val="000000" w:themeColor="text1"/>
          <w:sz w:val="20"/>
          <w:szCs w:val="20"/>
        </w:rPr>
      </w:pPr>
      <w:r w:rsidRPr="001C580A">
        <w:rPr>
          <w:rStyle w:val="FootnoteReference"/>
          <w:rFonts w:ascii="Times New Roman" w:hAnsi="Times New Roman" w:cs="Times New Roman"/>
          <w:color w:val="000000" w:themeColor="text1"/>
          <w:sz w:val="20"/>
          <w:szCs w:val="20"/>
        </w:rPr>
        <w:footnoteRef/>
      </w:r>
      <w:r w:rsidRPr="001C580A">
        <w:rPr>
          <w:rFonts w:ascii="Times New Roman" w:hAnsi="Times New Roman" w:cs="Times New Roman"/>
          <w:color w:val="000000" w:themeColor="text1"/>
          <w:sz w:val="20"/>
          <w:szCs w:val="20"/>
        </w:rPr>
        <w:t xml:space="preserve"> </w:t>
      </w:r>
      <w:proofErr w:type="spellStart"/>
      <w:r w:rsidR="00B66BB8" w:rsidRPr="001C580A">
        <w:rPr>
          <w:rFonts w:ascii="Times New Roman" w:hAnsi="Times New Roman" w:cs="Times New Roman"/>
          <w:sz w:val="20"/>
          <w:szCs w:val="20"/>
        </w:rPr>
        <w:t>Rebouché</w:t>
      </w:r>
      <w:proofErr w:type="spellEnd"/>
      <w:r w:rsidR="00B66BB8" w:rsidRPr="001C580A">
        <w:rPr>
          <w:rFonts w:ascii="Times New Roman" w:hAnsi="Times New Roman" w:cs="Times New Roman"/>
          <w:sz w:val="20"/>
          <w:szCs w:val="20"/>
        </w:rPr>
        <w:t xml:space="preserve"> R, </w:t>
      </w:r>
      <w:r w:rsidR="004D1905">
        <w:rPr>
          <w:rFonts w:ascii="Times New Roman" w:hAnsi="Times New Roman" w:cs="Times New Roman"/>
          <w:sz w:val="20"/>
          <w:szCs w:val="20"/>
        </w:rPr>
        <w:t>‘</w:t>
      </w:r>
      <w:r w:rsidR="00B66BB8" w:rsidRPr="001C580A">
        <w:rPr>
          <w:rFonts w:ascii="Times New Roman" w:hAnsi="Times New Roman" w:cs="Times New Roman"/>
          <w:sz w:val="20"/>
          <w:szCs w:val="20"/>
        </w:rPr>
        <w:t>Reproducing Rights: The Intersection of Reproductive Justice and Human Rights</w:t>
      </w:r>
      <w:r w:rsidR="004D1905">
        <w:rPr>
          <w:rFonts w:ascii="Times New Roman" w:hAnsi="Times New Roman" w:cs="Times New Roman"/>
          <w:sz w:val="20"/>
          <w:szCs w:val="20"/>
        </w:rPr>
        <w:t>’</w:t>
      </w:r>
      <w:r w:rsidR="00B66BB8" w:rsidRPr="001C580A">
        <w:rPr>
          <w:rFonts w:ascii="Times New Roman" w:hAnsi="Times New Roman" w:cs="Times New Roman"/>
          <w:sz w:val="20"/>
          <w:szCs w:val="20"/>
        </w:rPr>
        <w:t xml:space="preserve"> (2017) 7 </w:t>
      </w:r>
      <w:r w:rsidR="00B66BB8" w:rsidRPr="001C580A">
        <w:rPr>
          <w:rStyle w:val="Emphasis"/>
          <w:rFonts w:ascii="Times New Roman" w:hAnsi="Times New Roman" w:cs="Times New Roman"/>
          <w:sz w:val="20"/>
          <w:szCs w:val="20"/>
        </w:rPr>
        <w:t>UC Irvine Law Review</w:t>
      </w:r>
      <w:r w:rsidR="00B66BB8" w:rsidRPr="001C580A">
        <w:rPr>
          <w:rFonts w:ascii="Times New Roman" w:hAnsi="Times New Roman" w:cs="Times New Roman"/>
          <w:sz w:val="20"/>
          <w:szCs w:val="20"/>
        </w:rPr>
        <w:t xml:space="preserve"> 579, </w:t>
      </w:r>
      <w:r w:rsidRPr="001C580A">
        <w:rPr>
          <w:rFonts w:ascii="Times New Roman" w:hAnsi="Times New Roman" w:cs="Times New Roman"/>
          <w:color w:val="000000" w:themeColor="text1"/>
          <w:sz w:val="20"/>
          <w:szCs w:val="20"/>
        </w:rPr>
        <w:t>589–</w:t>
      </w:r>
      <w:r w:rsidR="0009664C">
        <w:rPr>
          <w:rFonts w:ascii="Times New Roman" w:hAnsi="Times New Roman" w:cs="Times New Roman"/>
          <w:color w:val="000000" w:themeColor="text1"/>
          <w:sz w:val="20"/>
          <w:szCs w:val="20"/>
        </w:rPr>
        <w:t>9</w:t>
      </w:r>
      <w:r w:rsidRPr="001C580A">
        <w:rPr>
          <w:rFonts w:ascii="Times New Roman" w:hAnsi="Times New Roman" w:cs="Times New Roman"/>
          <w:color w:val="000000" w:themeColor="text1"/>
          <w:sz w:val="20"/>
          <w:szCs w:val="20"/>
        </w:rPr>
        <w:t>0.</w:t>
      </w:r>
    </w:p>
  </w:footnote>
  <w:footnote w:id="30">
    <w:p w14:paraId="11738508" w14:textId="6761F23F" w:rsidR="006C5767" w:rsidRPr="001C580A" w:rsidRDefault="006C5767" w:rsidP="001C580A">
      <w:pPr>
        <w:jc w:val="both"/>
        <w:rPr>
          <w:rFonts w:ascii="Times New Roman" w:hAnsi="Times New Roman" w:cs="Times New Roman"/>
          <w:sz w:val="20"/>
          <w:szCs w:val="20"/>
        </w:rPr>
      </w:pPr>
      <w:r w:rsidRPr="001C580A">
        <w:rPr>
          <w:rStyle w:val="FootnoteReference"/>
          <w:rFonts w:ascii="Times New Roman" w:hAnsi="Times New Roman" w:cs="Times New Roman"/>
          <w:color w:val="000000" w:themeColor="text1"/>
          <w:sz w:val="20"/>
          <w:szCs w:val="20"/>
        </w:rPr>
        <w:footnoteRef/>
      </w:r>
      <w:r w:rsidRPr="001C580A">
        <w:rPr>
          <w:rFonts w:ascii="Times New Roman" w:hAnsi="Times New Roman" w:cs="Times New Roman"/>
          <w:color w:val="000000" w:themeColor="text1"/>
          <w:sz w:val="20"/>
          <w:szCs w:val="20"/>
        </w:rPr>
        <w:t xml:space="preserve"> </w:t>
      </w:r>
      <w:r w:rsidR="00B66BB8" w:rsidRPr="001C580A">
        <w:rPr>
          <w:rFonts w:ascii="Times New Roman" w:hAnsi="Times New Roman" w:cs="Times New Roman"/>
          <w:sz w:val="20"/>
          <w:szCs w:val="20"/>
        </w:rPr>
        <w:t xml:space="preserve">Greenhalgh S, </w:t>
      </w:r>
      <w:r w:rsidR="00B66BB8" w:rsidRPr="001C580A">
        <w:rPr>
          <w:rStyle w:val="Emphasis"/>
          <w:rFonts w:ascii="Times New Roman" w:hAnsi="Times New Roman" w:cs="Times New Roman"/>
          <w:sz w:val="20"/>
          <w:szCs w:val="20"/>
        </w:rPr>
        <w:t>Situating Fertility: Anthropology and Demographic Inquiry</w:t>
      </w:r>
      <w:r w:rsidR="00B66BB8" w:rsidRPr="001C580A">
        <w:rPr>
          <w:rFonts w:ascii="Times New Roman" w:hAnsi="Times New Roman" w:cs="Times New Roman"/>
          <w:sz w:val="20"/>
          <w:szCs w:val="20"/>
        </w:rPr>
        <w:t xml:space="preserve"> (Cambridge University Press 1995); Davis K, </w:t>
      </w:r>
      <w:r w:rsidR="004D1905">
        <w:rPr>
          <w:rFonts w:ascii="Times New Roman" w:hAnsi="Times New Roman" w:cs="Times New Roman"/>
          <w:sz w:val="20"/>
          <w:szCs w:val="20"/>
        </w:rPr>
        <w:t>‘</w:t>
      </w:r>
      <w:r w:rsidR="00B66BB8" w:rsidRPr="001C580A">
        <w:rPr>
          <w:rFonts w:ascii="Times New Roman" w:hAnsi="Times New Roman" w:cs="Times New Roman"/>
          <w:sz w:val="20"/>
          <w:szCs w:val="20"/>
        </w:rPr>
        <w:t>Reclaiming Women</w:t>
      </w:r>
      <w:r w:rsidR="004D1905">
        <w:rPr>
          <w:rFonts w:ascii="Times New Roman" w:hAnsi="Times New Roman" w:cs="Times New Roman"/>
          <w:sz w:val="20"/>
          <w:szCs w:val="20"/>
        </w:rPr>
        <w:t>’</w:t>
      </w:r>
      <w:r w:rsidR="00B66BB8" w:rsidRPr="001C580A">
        <w:rPr>
          <w:rFonts w:ascii="Times New Roman" w:hAnsi="Times New Roman" w:cs="Times New Roman"/>
          <w:sz w:val="20"/>
          <w:szCs w:val="20"/>
        </w:rPr>
        <w:t>s Bodies: Colonialist Trope or Critical Epistemology?</w:t>
      </w:r>
      <w:r w:rsidR="004D1905">
        <w:rPr>
          <w:rFonts w:ascii="Times New Roman" w:hAnsi="Times New Roman" w:cs="Times New Roman"/>
          <w:sz w:val="20"/>
          <w:szCs w:val="20"/>
        </w:rPr>
        <w:t>’</w:t>
      </w:r>
      <w:r w:rsidR="00B66BB8" w:rsidRPr="001C580A">
        <w:rPr>
          <w:rFonts w:ascii="Times New Roman" w:hAnsi="Times New Roman" w:cs="Times New Roman"/>
          <w:sz w:val="20"/>
          <w:szCs w:val="20"/>
        </w:rPr>
        <w:t xml:space="preserve"> (2007) 55 </w:t>
      </w:r>
      <w:r w:rsidR="00B66BB8" w:rsidRPr="001C580A">
        <w:rPr>
          <w:rStyle w:val="Emphasis"/>
          <w:rFonts w:ascii="Times New Roman" w:hAnsi="Times New Roman" w:cs="Times New Roman"/>
          <w:sz w:val="20"/>
          <w:szCs w:val="20"/>
        </w:rPr>
        <w:t>The Sociological Review</w:t>
      </w:r>
      <w:r w:rsidR="00B66BB8" w:rsidRPr="001C580A">
        <w:rPr>
          <w:rFonts w:ascii="Times New Roman" w:hAnsi="Times New Roman" w:cs="Times New Roman"/>
          <w:sz w:val="20"/>
          <w:szCs w:val="20"/>
        </w:rPr>
        <w:t xml:space="preserve"> 50.</w:t>
      </w:r>
    </w:p>
  </w:footnote>
  <w:footnote w:id="31">
    <w:p w14:paraId="35C08CD4" w14:textId="00ED7887" w:rsidR="006C5767" w:rsidRPr="001C580A" w:rsidRDefault="006C5767" w:rsidP="001C580A">
      <w:pPr>
        <w:pStyle w:val="FootnoteText"/>
        <w:jc w:val="both"/>
        <w:rPr>
          <w:rFonts w:ascii="Times New Roman" w:hAnsi="Times New Roman" w:cs="Times New Roman"/>
        </w:rPr>
      </w:pPr>
      <w:r w:rsidRPr="001C580A">
        <w:rPr>
          <w:rStyle w:val="FootnoteReference"/>
          <w:rFonts w:ascii="Times New Roman" w:hAnsi="Times New Roman" w:cs="Times New Roman"/>
        </w:rPr>
        <w:footnoteRef/>
      </w:r>
      <w:r w:rsidRPr="001C580A">
        <w:rPr>
          <w:rFonts w:ascii="Times New Roman" w:hAnsi="Times New Roman" w:cs="Times New Roman"/>
        </w:rPr>
        <w:t xml:space="preserve"> </w:t>
      </w:r>
      <w:r w:rsidR="00B66BB8" w:rsidRPr="001C580A">
        <w:rPr>
          <w:rFonts w:ascii="Times New Roman" w:hAnsi="Times New Roman" w:cs="Times New Roman"/>
        </w:rPr>
        <w:t xml:space="preserve">Charlesworth H, </w:t>
      </w:r>
      <w:proofErr w:type="spellStart"/>
      <w:r w:rsidR="00B66BB8" w:rsidRPr="001C580A">
        <w:rPr>
          <w:rFonts w:ascii="Times New Roman" w:hAnsi="Times New Roman" w:cs="Times New Roman"/>
        </w:rPr>
        <w:t>Chinkin</w:t>
      </w:r>
      <w:proofErr w:type="spellEnd"/>
      <w:r w:rsidR="00B66BB8" w:rsidRPr="001C580A">
        <w:rPr>
          <w:rFonts w:ascii="Times New Roman" w:hAnsi="Times New Roman" w:cs="Times New Roman"/>
        </w:rPr>
        <w:t xml:space="preserve"> C and Wright S, </w:t>
      </w:r>
      <w:r w:rsidR="004D1905">
        <w:rPr>
          <w:rFonts w:ascii="Times New Roman" w:hAnsi="Times New Roman" w:cs="Times New Roman"/>
        </w:rPr>
        <w:t>‘</w:t>
      </w:r>
      <w:r w:rsidR="00B66BB8" w:rsidRPr="001C580A">
        <w:rPr>
          <w:rFonts w:ascii="Times New Roman" w:hAnsi="Times New Roman" w:cs="Times New Roman"/>
        </w:rPr>
        <w:t>Feminist Approaches to International Law</w:t>
      </w:r>
      <w:r w:rsidR="004D1905">
        <w:rPr>
          <w:rFonts w:ascii="Times New Roman" w:hAnsi="Times New Roman" w:cs="Times New Roman"/>
        </w:rPr>
        <w:t>’</w:t>
      </w:r>
      <w:r w:rsidR="00B66BB8" w:rsidRPr="001C580A">
        <w:rPr>
          <w:rFonts w:ascii="Times New Roman" w:hAnsi="Times New Roman" w:cs="Times New Roman"/>
        </w:rPr>
        <w:t xml:space="preserve"> (1991) 85 </w:t>
      </w:r>
      <w:r w:rsidR="00B66BB8" w:rsidRPr="001C580A">
        <w:rPr>
          <w:rStyle w:val="Emphasis"/>
          <w:rFonts w:ascii="Times New Roman" w:hAnsi="Times New Roman" w:cs="Times New Roman"/>
        </w:rPr>
        <w:t>American Journal of International Law</w:t>
      </w:r>
      <w:r w:rsidR="00B66BB8" w:rsidRPr="001C580A">
        <w:rPr>
          <w:rFonts w:ascii="Times New Roman" w:hAnsi="Times New Roman" w:cs="Times New Roman"/>
        </w:rPr>
        <w:t xml:space="preserve"> </w:t>
      </w:r>
      <w:r w:rsidR="00B66BB8" w:rsidRPr="001C580A">
        <w:rPr>
          <w:rStyle w:val="Strong"/>
          <w:rFonts w:ascii="Times New Roman" w:hAnsi="Times New Roman" w:cs="Times New Roman"/>
          <w:b w:val="0"/>
          <w:bCs w:val="0"/>
        </w:rPr>
        <w:t>613</w:t>
      </w:r>
      <w:r w:rsidR="00B66BB8" w:rsidRPr="001C580A">
        <w:rPr>
          <w:rFonts w:ascii="Times New Roman" w:hAnsi="Times New Roman" w:cs="Times New Roman"/>
        </w:rPr>
        <w:t>.</w:t>
      </w:r>
    </w:p>
  </w:footnote>
  <w:footnote w:id="32">
    <w:p w14:paraId="36E770D1" w14:textId="30C40FC7" w:rsidR="006C5767" w:rsidRPr="001C580A" w:rsidRDefault="006C5767" w:rsidP="001C580A">
      <w:pPr>
        <w:jc w:val="both"/>
        <w:rPr>
          <w:rFonts w:ascii="Times New Roman" w:hAnsi="Times New Roman" w:cs="Times New Roman"/>
          <w:color w:val="000000" w:themeColor="text1"/>
          <w:sz w:val="20"/>
          <w:szCs w:val="20"/>
        </w:rPr>
      </w:pPr>
      <w:r w:rsidRPr="001C580A">
        <w:rPr>
          <w:rStyle w:val="FootnoteReference"/>
          <w:rFonts w:ascii="Times New Roman" w:hAnsi="Times New Roman" w:cs="Times New Roman"/>
          <w:color w:val="000000" w:themeColor="text1"/>
          <w:sz w:val="20"/>
          <w:szCs w:val="20"/>
        </w:rPr>
        <w:footnoteRef/>
      </w:r>
      <w:r w:rsidRPr="001C580A">
        <w:rPr>
          <w:rFonts w:ascii="Times New Roman" w:hAnsi="Times New Roman" w:cs="Times New Roman"/>
          <w:color w:val="000000" w:themeColor="text1"/>
          <w:sz w:val="20"/>
          <w:szCs w:val="20"/>
        </w:rPr>
        <w:t xml:space="preserve"> </w:t>
      </w:r>
      <w:r w:rsidR="00B66BB8" w:rsidRPr="001C580A">
        <w:rPr>
          <w:rFonts w:ascii="Times New Roman" w:hAnsi="Times New Roman" w:cs="Times New Roman"/>
          <w:sz w:val="20"/>
          <w:szCs w:val="20"/>
        </w:rPr>
        <w:t xml:space="preserve">Charlesworth H, </w:t>
      </w:r>
      <w:r w:rsidR="004D1905">
        <w:rPr>
          <w:rFonts w:ascii="Times New Roman" w:hAnsi="Times New Roman" w:cs="Times New Roman"/>
          <w:sz w:val="20"/>
          <w:szCs w:val="20"/>
        </w:rPr>
        <w:t>‘</w:t>
      </w:r>
      <w:r w:rsidR="00B66BB8" w:rsidRPr="001C580A">
        <w:rPr>
          <w:rFonts w:ascii="Times New Roman" w:hAnsi="Times New Roman" w:cs="Times New Roman"/>
          <w:sz w:val="20"/>
          <w:szCs w:val="20"/>
        </w:rPr>
        <w:t>Feminist Methods in International Law</w:t>
      </w:r>
      <w:r w:rsidR="004D1905">
        <w:rPr>
          <w:rFonts w:ascii="Times New Roman" w:hAnsi="Times New Roman" w:cs="Times New Roman"/>
          <w:sz w:val="20"/>
          <w:szCs w:val="20"/>
        </w:rPr>
        <w:t>’</w:t>
      </w:r>
      <w:r w:rsidR="00B66BB8" w:rsidRPr="001C580A">
        <w:rPr>
          <w:rFonts w:ascii="Times New Roman" w:hAnsi="Times New Roman" w:cs="Times New Roman"/>
          <w:sz w:val="20"/>
          <w:szCs w:val="20"/>
        </w:rPr>
        <w:t xml:space="preserve"> (1999) 93(2) </w:t>
      </w:r>
      <w:r w:rsidR="00B66BB8" w:rsidRPr="001C580A">
        <w:rPr>
          <w:rStyle w:val="Emphasis"/>
          <w:rFonts w:ascii="Times New Roman" w:hAnsi="Times New Roman" w:cs="Times New Roman"/>
          <w:sz w:val="20"/>
          <w:szCs w:val="20"/>
        </w:rPr>
        <w:t>American Journal of International Law</w:t>
      </w:r>
      <w:r w:rsidR="00B66BB8" w:rsidRPr="001C580A">
        <w:rPr>
          <w:rFonts w:ascii="Times New Roman" w:hAnsi="Times New Roman" w:cs="Times New Roman"/>
          <w:sz w:val="20"/>
          <w:szCs w:val="20"/>
        </w:rPr>
        <w:t xml:space="preserve"> 379.</w:t>
      </w:r>
    </w:p>
  </w:footnote>
  <w:footnote w:id="33">
    <w:p w14:paraId="67DFC68F" w14:textId="02CCA43F" w:rsidR="006C5767" w:rsidRPr="001C580A" w:rsidRDefault="006C5767" w:rsidP="001C580A">
      <w:pPr>
        <w:jc w:val="both"/>
        <w:rPr>
          <w:rFonts w:ascii="Times New Roman" w:hAnsi="Times New Roman" w:cs="Times New Roman"/>
          <w:color w:val="000000" w:themeColor="text1"/>
          <w:sz w:val="20"/>
          <w:szCs w:val="20"/>
        </w:rPr>
      </w:pPr>
      <w:r w:rsidRPr="001C580A">
        <w:rPr>
          <w:rStyle w:val="FootnoteReference"/>
          <w:rFonts w:ascii="Times New Roman" w:hAnsi="Times New Roman" w:cs="Times New Roman"/>
          <w:color w:val="000000" w:themeColor="text1"/>
          <w:sz w:val="20"/>
          <w:szCs w:val="20"/>
        </w:rPr>
        <w:footnoteRef/>
      </w:r>
      <w:r w:rsidRPr="001C580A">
        <w:rPr>
          <w:rFonts w:ascii="Times New Roman" w:hAnsi="Times New Roman" w:cs="Times New Roman"/>
          <w:color w:val="000000" w:themeColor="text1"/>
          <w:sz w:val="20"/>
          <w:szCs w:val="20"/>
        </w:rPr>
        <w:t xml:space="preserve"> </w:t>
      </w:r>
      <w:r w:rsidR="00B66BB8" w:rsidRPr="001C580A">
        <w:rPr>
          <w:rFonts w:ascii="Times New Roman" w:hAnsi="Times New Roman" w:cs="Times New Roman"/>
          <w:sz w:val="20"/>
          <w:szCs w:val="20"/>
        </w:rPr>
        <w:t xml:space="preserve">Kapur R, </w:t>
      </w:r>
      <w:r w:rsidR="004D1905">
        <w:rPr>
          <w:rFonts w:ascii="Times New Roman" w:hAnsi="Times New Roman" w:cs="Times New Roman"/>
          <w:sz w:val="20"/>
          <w:szCs w:val="20"/>
        </w:rPr>
        <w:t>‘</w:t>
      </w:r>
      <w:r w:rsidR="00B66BB8" w:rsidRPr="001C580A">
        <w:rPr>
          <w:rFonts w:ascii="Times New Roman" w:hAnsi="Times New Roman" w:cs="Times New Roman"/>
          <w:sz w:val="20"/>
          <w:szCs w:val="20"/>
        </w:rPr>
        <w:t>The Tragedy of Victimization Rhetoric: Resurrecting the "Native" Subject in International/Post-Colonial Feminist Legal Politics</w:t>
      </w:r>
      <w:r w:rsidR="004D1905">
        <w:rPr>
          <w:rFonts w:ascii="Times New Roman" w:hAnsi="Times New Roman" w:cs="Times New Roman"/>
          <w:sz w:val="20"/>
          <w:szCs w:val="20"/>
        </w:rPr>
        <w:t>’</w:t>
      </w:r>
      <w:r w:rsidR="00B66BB8" w:rsidRPr="001C580A">
        <w:rPr>
          <w:rFonts w:ascii="Times New Roman" w:hAnsi="Times New Roman" w:cs="Times New Roman"/>
          <w:sz w:val="20"/>
          <w:szCs w:val="20"/>
        </w:rPr>
        <w:t xml:space="preserve"> (2002) 15 </w:t>
      </w:r>
      <w:r w:rsidR="00B66BB8" w:rsidRPr="001C580A">
        <w:rPr>
          <w:rStyle w:val="Emphasis"/>
          <w:rFonts w:ascii="Times New Roman" w:hAnsi="Times New Roman" w:cs="Times New Roman"/>
          <w:sz w:val="20"/>
          <w:szCs w:val="20"/>
        </w:rPr>
        <w:t>Harvard Human Rights Journal</w:t>
      </w:r>
      <w:r w:rsidR="00B66BB8" w:rsidRPr="001C580A">
        <w:rPr>
          <w:rFonts w:ascii="Times New Roman" w:hAnsi="Times New Roman" w:cs="Times New Roman"/>
          <w:sz w:val="20"/>
          <w:szCs w:val="20"/>
        </w:rPr>
        <w:t xml:space="preserve"> 1.</w:t>
      </w:r>
    </w:p>
  </w:footnote>
  <w:footnote w:id="34">
    <w:p w14:paraId="0ED1447A" w14:textId="44FB88D4" w:rsidR="006C5767" w:rsidRPr="001C580A" w:rsidRDefault="006C5767" w:rsidP="001C580A">
      <w:pPr>
        <w:jc w:val="both"/>
        <w:rPr>
          <w:rFonts w:ascii="Times New Roman" w:hAnsi="Times New Roman" w:cs="Times New Roman"/>
          <w:color w:val="000000" w:themeColor="text1"/>
          <w:sz w:val="20"/>
          <w:szCs w:val="20"/>
        </w:rPr>
      </w:pPr>
      <w:r w:rsidRPr="001C580A">
        <w:rPr>
          <w:rStyle w:val="FootnoteReference"/>
          <w:rFonts w:ascii="Times New Roman" w:hAnsi="Times New Roman" w:cs="Times New Roman"/>
          <w:sz w:val="20"/>
          <w:szCs w:val="20"/>
        </w:rPr>
        <w:footnoteRef/>
      </w:r>
      <w:r w:rsidRPr="001C580A">
        <w:rPr>
          <w:rFonts w:ascii="Times New Roman" w:hAnsi="Times New Roman" w:cs="Times New Roman"/>
          <w:sz w:val="20"/>
          <w:szCs w:val="20"/>
        </w:rPr>
        <w:t xml:space="preserve"> </w:t>
      </w:r>
      <w:r w:rsidR="00B66BB8" w:rsidRPr="001C580A">
        <w:rPr>
          <w:rFonts w:ascii="Times New Roman" w:hAnsi="Times New Roman" w:cs="Times New Roman"/>
          <w:sz w:val="20"/>
          <w:szCs w:val="20"/>
        </w:rPr>
        <w:t xml:space="preserve">Otto D, </w:t>
      </w:r>
      <w:r w:rsidR="004D1905">
        <w:rPr>
          <w:rFonts w:ascii="Times New Roman" w:hAnsi="Times New Roman" w:cs="Times New Roman"/>
          <w:sz w:val="20"/>
          <w:szCs w:val="20"/>
        </w:rPr>
        <w:t>‘</w:t>
      </w:r>
      <w:r w:rsidR="00B66BB8" w:rsidRPr="001C580A">
        <w:rPr>
          <w:rFonts w:ascii="Times New Roman" w:hAnsi="Times New Roman" w:cs="Times New Roman"/>
          <w:sz w:val="20"/>
          <w:szCs w:val="20"/>
        </w:rPr>
        <w:t>The Exile of Inclusion: Reflections on Gender Issues in International Law over the Last Decade</w:t>
      </w:r>
      <w:r w:rsidR="004D1905">
        <w:rPr>
          <w:rFonts w:ascii="Times New Roman" w:hAnsi="Times New Roman" w:cs="Times New Roman"/>
          <w:sz w:val="20"/>
          <w:szCs w:val="20"/>
        </w:rPr>
        <w:t>’</w:t>
      </w:r>
      <w:r w:rsidR="00B66BB8" w:rsidRPr="001C580A">
        <w:rPr>
          <w:rFonts w:ascii="Times New Roman" w:hAnsi="Times New Roman" w:cs="Times New Roman"/>
          <w:sz w:val="20"/>
          <w:szCs w:val="20"/>
        </w:rPr>
        <w:t xml:space="preserve"> (2009) 10(1) </w:t>
      </w:r>
      <w:r w:rsidR="00B66BB8" w:rsidRPr="001C580A">
        <w:rPr>
          <w:rStyle w:val="Emphasis"/>
          <w:rFonts w:ascii="Times New Roman" w:hAnsi="Times New Roman" w:cs="Times New Roman"/>
          <w:sz w:val="20"/>
          <w:szCs w:val="20"/>
        </w:rPr>
        <w:t>Melbourne Journal of International Law</w:t>
      </w:r>
      <w:r w:rsidR="00B66BB8" w:rsidRPr="001C580A">
        <w:rPr>
          <w:rFonts w:ascii="Times New Roman" w:hAnsi="Times New Roman" w:cs="Times New Roman"/>
          <w:sz w:val="20"/>
          <w:szCs w:val="20"/>
        </w:rPr>
        <w:t xml:space="preserve"> 11</w:t>
      </w:r>
      <w:r w:rsidRPr="001C580A">
        <w:rPr>
          <w:rFonts w:ascii="Times New Roman" w:hAnsi="Times New Roman" w:cs="Times New Roman"/>
          <w:color w:val="000000" w:themeColor="text1"/>
          <w:sz w:val="20"/>
          <w:szCs w:val="20"/>
        </w:rPr>
        <w:t>.</w:t>
      </w:r>
    </w:p>
  </w:footnote>
  <w:footnote w:id="35">
    <w:p w14:paraId="0D3CBEB6" w14:textId="3AB3F696" w:rsidR="006C5767" w:rsidRPr="001C580A" w:rsidRDefault="006C5767" w:rsidP="001C580A">
      <w:pPr>
        <w:pStyle w:val="FootnoteText"/>
        <w:jc w:val="both"/>
        <w:rPr>
          <w:rFonts w:ascii="Times New Roman" w:hAnsi="Times New Roman" w:cs="Times New Roman"/>
        </w:rPr>
      </w:pPr>
      <w:r w:rsidRPr="001C580A">
        <w:rPr>
          <w:rStyle w:val="FootnoteReference"/>
          <w:rFonts w:ascii="Times New Roman" w:hAnsi="Times New Roman" w:cs="Times New Roman"/>
        </w:rPr>
        <w:footnoteRef/>
      </w:r>
      <w:r w:rsidRPr="001C580A">
        <w:rPr>
          <w:rFonts w:ascii="Times New Roman" w:hAnsi="Times New Roman" w:cs="Times New Roman"/>
        </w:rPr>
        <w:t xml:space="preserve"> </w:t>
      </w:r>
      <w:r w:rsidR="00B66BB8" w:rsidRPr="001C580A">
        <w:rPr>
          <w:rFonts w:ascii="Times New Roman" w:hAnsi="Times New Roman" w:cs="Times New Roman"/>
        </w:rPr>
        <w:t xml:space="preserve">Merry SE, </w:t>
      </w:r>
      <w:r w:rsidR="00B66BB8" w:rsidRPr="001C580A">
        <w:rPr>
          <w:rStyle w:val="Emphasis"/>
          <w:rFonts w:ascii="Times New Roman" w:hAnsi="Times New Roman" w:cs="Times New Roman"/>
        </w:rPr>
        <w:t>Human Rights and Gender Violence: Translating International Law into Local Justice</w:t>
      </w:r>
      <w:r w:rsidR="00B66BB8" w:rsidRPr="001C580A">
        <w:rPr>
          <w:rFonts w:ascii="Times New Roman" w:hAnsi="Times New Roman" w:cs="Times New Roman"/>
        </w:rPr>
        <w:t xml:space="preserve"> (University of Chicago Press 2006).</w:t>
      </w:r>
    </w:p>
  </w:footnote>
  <w:footnote w:id="36">
    <w:p w14:paraId="6E6CFD0B" w14:textId="450CFCF8" w:rsidR="006C5767" w:rsidRPr="001C580A" w:rsidRDefault="006C5767" w:rsidP="001C580A">
      <w:pPr>
        <w:jc w:val="both"/>
        <w:rPr>
          <w:rFonts w:ascii="Times New Roman" w:hAnsi="Times New Roman" w:cs="Times New Roman"/>
          <w:color w:val="000000" w:themeColor="text1"/>
          <w:sz w:val="20"/>
          <w:szCs w:val="20"/>
        </w:rPr>
      </w:pPr>
      <w:r w:rsidRPr="001C580A">
        <w:rPr>
          <w:rStyle w:val="FootnoteReference"/>
          <w:rFonts w:ascii="Times New Roman" w:hAnsi="Times New Roman" w:cs="Times New Roman"/>
          <w:sz w:val="20"/>
          <w:szCs w:val="20"/>
        </w:rPr>
        <w:footnoteRef/>
      </w:r>
      <w:r w:rsidRPr="001C580A">
        <w:rPr>
          <w:rFonts w:ascii="Times New Roman" w:hAnsi="Times New Roman" w:cs="Times New Roman"/>
          <w:sz w:val="20"/>
          <w:szCs w:val="20"/>
        </w:rPr>
        <w:t xml:space="preserve"> </w:t>
      </w:r>
      <w:r w:rsidR="00B66BB8" w:rsidRPr="001C580A">
        <w:rPr>
          <w:rFonts w:ascii="Times New Roman" w:hAnsi="Times New Roman" w:cs="Times New Roman"/>
          <w:sz w:val="20"/>
          <w:szCs w:val="20"/>
        </w:rPr>
        <w:t>Cook</w:t>
      </w:r>
      <w:r w:rsidR="00323432">
        <w:rPr>
          <w:rFonts w:ascii="Times New Roman" w:hAnsi="Times New Roman" w:cs="Times New Roman"/>
          <w:sz w:val="20"/>
          <w:szCs w:val="20"/>
        </w:rPr>
        <w:t xml:space="preserve"> (n 1)</w:t>
      </w:r>
      <w:r w:rsidR="00B66BB8" w:rsidRPr="001C580A">
        <w:rPr>
          <w:rFonts w:ascii="Times New Roman" w:hAnsi="Times New Roman" w:cs="Times New Roman"/>
          <w:sz w:val="20"/>
          <w:szCs w:val="20"/>
        </w:rPr>
        <w:t xml:space="preserve">, </w:t>
      </w:r>
      <w:r w:rsidRPr="001C580A">
        <w:rPr>
          <w:rFonts w:ascii="Times New Roman" w:hAnsi="Times New Roman" w:cs="Times New Roman"/>
          <w:color w:val="000000" w:themeColor="text1"/>
          <w:sz w:val="20"/>
          <w:szCs w:val="20"/>
        </w:rPr>
        <w:t>3.</w:t>
      </w:r>
    </w:p>
  </w:footnote>
  <w:footnote w:id="37">
    <w:p w14:paraId="66348049" w14:textId="3DBE08E3" w:rsidR="006C5767" w:rsidRPr="001C580A" w:rsidRDefault="006C5767" w:rsidP="001C580A">
      <w:pPr>
        <w:jc w:val="both"/>
        <w:rPr>
          <w:rFonts w:ascii="Times New Roman" w:hAnsi="Times New Roman" w:cs="Times New Roman"/>
          <w:color w:val="000000" w:themeColor="text1"/>
          <w:sz w:val="20"/>
          <w:szCs w:val="20"/>
        </w:rPr>
      </w:pPr>
      <w:r w:rsidRPr="001C580A">
        <w:rPr>
          <w:rStyle w:val="FootnoteReference"/>
          <w:rFonts w:ascii="Times New Roman" w:hAnsi="Times New Roman" w:cs="Times New Roman"/>
          <w:color w:val="000000" w:themeColor="text1"/>
          <w:sz w:val="20"/>
          <w:szCs w:val="20"/>
        </w:rPr>
        <w:footnoteRef/>
      </w:r>
      <w:r w:rsidRPr="001C580A">
        <w:rPr>
          <w:rFonts w:ascii="Times New Roman" w:hAnsi="Times New Roman" w:cs="Times New Roman"/>
          <w:color w:val="000000" w:themeColor="text1"/>
          <w:sz w:val="20"/>
          <w:szCs w:val="20"/>
        </w:rPr>
        <w:t xml:space="preserve"> </w:t>
      </w:r>
      <w:r w:rsidR="00B66BB8" w:rsidRPr="001C580A">
        <w:rPr>
          <w:rFonts w:ascii="Times New Roman" w:hAnsi="Times New Roman" w:cs="Times New Roman"/>
          <w:sz w:val="20"/>
          <w:szCs w:val="20"/>
        </w:rPr>
        <w:t xml:space="preserve">United Nations Population Fund, </w:t>
      </w:r>
      <w:r w:rsidR="00B66BB8" w:rsidRPr="001C580A">
        <w:rPr>
          <w:rStyle w:val="Emphasis"/>
          <w:rFonts w:ascii="Times New Roman" w:hAnsi="Times New Roman" w:cs="Times New Roman"/>
          <w:sz w:val="20"/>
          <w:szCs w:val="20"/>
        </w:rPr>
        <w:t>Report of the International Conference on Population and Development, Cairo, 5–13 September 1994</w:t>
      </w:r>
      <w:r w:rsidR="00B66BB8" w:rsidRPr="001C580A">
        <w:rPr>
          <w:rFonts w:ascii="Times New Roman" w:hAnsi="Times New Roman" w:cs="Times New Roman"/>
          <w:sz w:val="20"/>
          <w:szCs w:val="20"/>
        </w:rPr>
        <w:t xml:space="preserve">, UN Doc A/CONF.171/13/Rev.1 (1994) </w:t>
      </w:r>
      <w:hyperlink r:id="rId4" w:history="1">
        <w:r w:rsidR="00B66BB8" w:rsidRPr="001C580A">
          <w:rPr>
            <w:rStyle w:val="Hyperlink"/>
            <w:rFonts w:ascii="Times New Roman" w:hAnsi="Times New Roman" w:cs="Times New Roman"/>
            <w:sz w:val="20"/>
            <w:szCs w:val="20"/>
          </w:rPr>
          <w:t>https://www.unfpa.org/sites/default/files/resource-pdf/94-09-04_Cairo_Declaration_on_Population_Development_ICPPD.pdf</w:t>
        </w:r>
      </w:hyperlink>
      <w:r w:rsidR="00B66BB8" w:rsidRPr="001C580A">
        <w:rPr>
          <w:rFonts w:ascii="Times New Roman" w:hAnsi="Times New Roman" w:cs="Times New Roman"/>
          <w:sz w:val="20"/>
          <w:szCs w:val="20"/>
        </w:rPr>
        <w:t xml:space="preserve"> accessed August 2020.</w:t>
      </w:r>
    </w:p>
  </w:footnote>
  <w:footnote w:id="38">
    <w:p w14:paraId="072A62F0" w14:textId="2C3FCD2A" w:rsidR="006C5767" w:rsidRPr="001C580A" w:rsidRDefault="006C5767" w:rsidP="001C580A">
      <w:pPr>
        <w:jc w:val="both"/>
        <w:rPr>
          <w:rFonts w:ascii="Times New Roman" w:hAnsi="Times New Roman" w:cs="Times New Roman"/>
          <w:color w:val="000000" w:themeColor="text1"/>
          <w:sz w:val="20"/>
          <w:szCs w:val="20"/>
        </w:rPr>
      </w:pPr>
      <w:r w:rsidRPr="001C580A">
        <w:rPr>
          <w:rStyle w:val="FootnoteReference"/>
          <w:rFonts w:ascii="Times New Roman" w:hAnsi="Times New Roman" w:cs="Times New Roman"/>
          <w:color w:val="000000" w:themeColor="text1"/>
          <w:sz w:val="20"/>
          <w:szCs w:val="20"/>
        </w:rPr>
        <w:footnoteRef/>
      </w:r>
      <w:r w:rsidRPr="001C580A">
        <w:rPr>
          <w:rFonts w:ascii="Times New Roman" w:hAnsi="Times New Roman" w:cs="Times New Roman"/>
          <w:color w:val="000000" w:themeColor="text1"/>
          <w:sz w:val="20"/>
          <w:szCs w:val="20"/>
        </w:rPr>
        <w:t xml:space="preserve"> </w:t>
      </w:r>
      <w:r w:rsidR="00B66BB8" w:rsidRPr="001C580A">
        <w:rPr>
          <w:rFonts w:ascii="Times New Roman" w:hAnsi="Times New Roman" w:cs="Times New Roman"/>
          <w:sz w:val="20"/>
          <w:szCs w:val="20"/>
        </w:rPr>
        <w:t xml:space="preserve">United Nations, </w:t>
      </w:r>
      <w:r w:rsidR="00B66BB8" w:rsidRPr="001C580A">
        <w:rPr>
          <w:rStyle w:val="Emphasis"/>
          <w:rFonts w:ascii="Times New Roman" w:hAnsi="Times New Roman" w:cs="Times New Roman"/>
          <w:sz w:val="20"/>
          <w:szCs w:val="20"/>
        </w:rPr>
        <w:t>Beijing Declaration and Platform for Action</w:t>
      </w:r>
      <w:r w:rsidR="00B66BB8" w:rsidRPr="001C580A">
        <w:rPr>
          <w:rFonts w:ascii="Times New Roman" w:hAnsi="Times New Roman" w:cs="Times New Roman"/>
          <w:sz w:val="20"/>
          <w:szCs w:val="20"/>
        </w:rPr>
        <w:t xml:space="preserve">, adopted at the Fourth World Conference on Women, Beijing, 15 September 1995 (1995) </w:t>
      </w:r>
      <w:hyperlink r:id="rId5" w:history="1">
        <w:r w:rsidR="00B66BB8" w:rsidRPr="001C580A">
          <w:rPr>
            <w:rStyle w:val="Hyperlink"/>
            <w:rFonts w:ascii="Times New Roman" w:hAnsi="Times New Roman" w:cs="Times New Roman"/>
            <w:sz w:val="20"/>
            <w:szCs w:val="20"/>
          </w:rPr>
          <w:t>https://www.un.org/en/events/pastevents/pdfs/Beijing_Declaration_and_Platform_for_Action.pdf</w:t>
        </w:r>
      </w:hyperlink>
      <w:r w:rsidR="00B66BB8" w:rsidRPr="001C580A">
        <w:rPr>
          <w:rFonts w:ascii="Times New Roman" w:hAnsi="Times New Roman" w:cs="Times New Roman"/>
          <w:sz w:val="20"/>
          <w:szCs w:val="20"/>
        </w:rPr>
        <w:t xml:space="preserve"> accessed August 2020.</w:t>
      </w:r>
    </w:p>
  </w:footnote>
  <w:footnote w:id="39">
    <w:p w14:paraId="002252AE" w14:textId="1CA05F2C" w:rsidR="006C5767" w:rsidRPr="001C580A" w:rsidRDefault="006C5767" w:rsidP="001C580A">
      <w:pPr>
        <w:pStyle w:val="NormalWeb"/>
        <w:spacing w:before="0" w:beforeAutospacing="0" w:after="0" w:afterAutospacing="0"/>
        <w:jc w:val="both"/>
        <w:rPr>
          <w:sz w:val="20"/>
          <w:szCs w:val="20"/>
        </w:rPr>
      </w:pPr>
      <w:r w:rsidRPr="001C580A">
        <w:rPr>
          <w:rStyle w:val="FootnoteReference"/>
          <w:sz w:val="20"/>
          <w:szCs w:val="20"/>
        </w:rPr>
        <w:footnoteRef/>
      </w:r>
      <w:r w:rsidRPr="001C580A">
        <w:rPr>
          <w:sz w:val="20"/>
          <w:szCs w:val="20"/>
        </w:rPr>
        <w:t xml:space="preserve"> See, for example: </w:t>
      </w:r>
      <w:r w:rsidR="00B66BB8" w:rsidRPr="001C580A">
        <w:rPr>
          <w:sz w:val="20"/>
          <w:szCs w:val="20"/>
        </w:rPr>
        <w:t xml:space="preserve">Human Rights Committee, </w:t>
      </w:r>
      <w:r w:rsidR="00B66BB8" w:rsidRPr="001C580A">
        <w:rPr>
          <w:rStyle w:val="Emphasis"/>
          <w:sz w:val="20"/>
          <w:szCs w:val="20"/>
        </w:rPr>
        <w:t>Concluding Observations on the Fourth Periodic Report of Ireland</w:t>
      </w:r>
      <w:r w:rsidR="00B66BB8" w:rsidRPr="001C580A">
        <w:rPr>
          <w:sz w:val="20"/>
          <w:szCs w:val="20"/>
        </w:rPr>
        <w:t xml:space="preserve">, UN Doc CCPR/C/IRL/CO/4 (2014); Committee against Torture, </w:t>
      </w:r>
      <w:r w:rsidR="00B66BB8" w:rsidRPr="001C580A">
        <w:rPr>
          <w:rStyle w:val="Emphasis"/>
          <w:sz w:val="20"/>
          <w:szCs w:val="20"/>
        </w:rPr>
        <w:t>Concluding Observations on the Second Periodic Report of Ireland</w:t>
      </w:r>
      <w:r w:rsidR="00B66BB8" w:rsidRPr="001C580A">
        <w:rPr>
          <w:sz w:val="20"/>
          <w:szCs w:val="20"/>
        </w:rPr>
        <w:t xml:space="preserve">, UN Doc CAT/C/IRL/CO/2 (2017); Committee on the Elimination of Discrimination against Women, </w:t>
      </w:r>
      <w:r w:rsidR="00B66BB8" w:rsidRPr="001C580A">
        <w:rPr>
          <w:rStyle w:val="Emphasis"/>
          <w:sz w:val="20"/>
          <w:szCs w:val="20"/>
        </w:rPr>
        <w:t>Concluding Observations on the Combined Sixth and Seventh Periodic Reports of Ireland</w:t>
      </w:r>
      <w:r w:rsidR="00B66BB8" w:rsidRPr="001C580A">
        <w:rPr>
          <w:sz w:val="20"/>
          <w:szCs w:val="20"/>
        </w:rPr>
        <w:t>, UN Doc CEDAW/C/IRL/CO/6-7 (2017).</w:t>
      </w:r>
    </w:p>
  </w:footnote>
  <w:footnote w:id="40">
    <w:p w14:paraId="3FCA873F" w14:textId="4E63DAD2" w:rsidR="006C5767" w:rsidRPr="001C580A" w:rsidRDefault="006C5767" w:rsidP="001C580A">
      <w:pPr>
        <w:jc w:val="both"/>
        <w:rPr>
          <w:rFonts w:ascii="Times New Roman" w:hAnsi="Times New Roman" w:cs="Times New Roman"/>
          <w:color w:val="000000" w:themeColor="text1"/>
          <w:sz w:val="20"/>
          <w:szCs w:val="20"/>
        </w:rPr>
      </w:pPr>
      <w:r w:rsidRPr="001C580A">
        <w:rPr>
          <w:rStyle w:val="FootnoteReference"/>
          <w:rFonts w:ascii="Times New Roman" w:hAnsi="Times New Roman" w:cs="Times New Roman"/>
          <w:color w:val="000000" w:themeColor="text1"/>
          <w:sz w:val="20"/>
          <w:szCs w:val="20"/>
        </w:rPr>
        <w:footnoteRef/>
      </w:r>
      <w:r w:rsidRPr="001C580A">
        <w:rPr>
          <w:rFonts w:ascii="Times New Roman" w:hAnsi="Times New Roman" w:cs="Times New Roman"/>
          <w:color w:val="000000" w:themeColor="text1"/>
          <w:sz w:val="20"/>
          <w:szCs w:val="20"/>
        </w:rPr>
        <w:t xml:space="preserve"> </w:t>
      </w:r>
      <w:r w:rsidR="00B66BB8" w:rsidRPr="001C580A">
        <w:rPr>
          <w:rFonts w:ascii="Times New Roman" w:hAnsi="Times New Roman" w:cs="Times New Roman"/>
          <w:sz w:val="20"/>
          <w:szCs w:val="20"/>
        </w:rPr>
        <w:t xml:space="preserve">Coomaraswamy R, </w:t>
      </w:r>
      <w:r w:rsidR="004D1905">
        <w:rPr>
          <w:rFonts w:ascii="Times New Roman" w:hAnsi="Times New Roman" w:cs="Times New Roman"/>
          <w:sz w:val="20"/>
          <w:szCs w:val="20"/>
        </w:rPr>
        <w:t>‘</w:t>
      </w:r>
      <w:r w:rsidR="00B66BB8" w:rsidRPr="001C580A">
        <w:rPr>
          <w:rFonts w:ascii="Times New Roman" w:hAnsi="Times New Roman" w:cs="Times New Roman"/>
          <w:sz w:val="20"/>
          <w:szCs w:val="20"/>
        </w:rPr>
        <w:t>Reinventing International Law: Women</w:t>
      </w:r>
      <w:r w:rsidR="004D1905">
        <w:rPr>
          <w:rFonts w:ascii="Times New Roman" w:hAnsi="Times New Roman" w:cs="Times New Roman"/>
          <w:sz w:val="20"/>
          <w:szCs w:val="20"/>
        </w:rPr>
        <w:t>’</w:t>
      </w:r>
      <w:r w:rsidR="00B66BB8" w:rsidRPr="001C580A">
        <w:rPr>
          <w:rFonts w:ascii="Times New Roman" w:hAnsi="Times New Roman" w:cs="Times New Roman"/>
          <w:sz w:val="20"/>
          <w:szCs w:val="20"/>
        </w:rPr>
        <w:t>s Rights as Human Rights</w:t>
      </w:r>
      <w:r w:rsidR="004D1905">
        <w:rPr>
          <w:rFonts w:ascii="Times New Roman" w:hAnsi="Times New Roman" w:cs="Times New Roman"/>
          <w:sz w:val="20"/>
          <w:szCs w:val="20"/>
        </w:rPr>
        <w:t>’</w:t>
      </w:r>
      <w:r w:rsidR="00B66BB8" w:rsidRPr="001C580A">
        <w:rPr>
          <w:rFonts w:ascii="Times New Roman" w:hAnsi="Times New Roman" w:cs="Times New Roman"/>
          <w:sz w:val="20"/>
          <w:szCs w:val="20"/>
        </w:rPr>
        <w:t xml:space="preserve"> (1997) 23 </w:t>
      </w:r>
      <w:r w:rsidR="00B66BB8" w:rsidRPr="001C580A">
        <w:rPr>
          <w:rStyle w:val="Emphasis"/>
          <w:rFonts w:ascii="Times New Roman" w:hAnsi="Times New Roman" w:cs="Times New Roman"/>
          <w:sz w:val="20"/>
          <w:szCs w:val="20"/>
        </w:rPr>
        <w:t>Commonwealth Law Bulletin</w:t>
      </w:r>
      <w:r w:rsidR="00B66BB8" w:rsidRPr="001C580A">
        <w:rPr>
          <w:rFonts w:ascii="Times New Roman" w:hAnsi="Times New Roman" w:cs="Times New Roman"/>
          <w:sz w:val="20"/>
          <w:szCs w:val="20"/>
        </w:rPr>
        <w:t xml:space="preserve"> 1243.</w:t>
      </w:r>
    </w:p>
  </w:footnote>
  <w:footnote w:id="41">
    <w:p w14:paraId="53ACC2B0" w14:textId="17C53F37" w:rsidR="00A05FF9" w:rsidRPr="001C580A" w:rsidRDefault="00A05FF9" w:rsidP="001C580A">
      <w:pPr>
        <w:jc w:val="both"/>
        <w:rPr>
          <w:rFonts w:ascii="Times New Roman" w:hAnsi="Times New Roman" w:cs="Times New Roman"/>
          <w:color w:val="000000" w:themeColor="text1"/>
          <w:sz w:val="20"/>
          <w:szCs w:val="20"/>
        </w:rPr>
      </w:pPr>
      <w:r w:rsidRPr="001C580A">
        <w:rPr>
          <w:rStyle w:val="FootnoteReference"/>
          <w:rFonts w:ascii="Times New Roman" w:hAnsi="Times New Roman" w:cs="Times New Roman"/>
          <w:color w:val="000000" w:themeColor="text1"/>
          <w:sz w:val="20"/>
          <w:szCs w:val="20"/>
        </w:rPr>
        <w:footnoteRef/>
      </w:r>
      <w:r w:rsidRPr="001C580A">
        <w:rPr>
          <w:rFonts w:ascii="Times New Roman" w:hAnsi="Times New Roman" w:cs="Times New Roman"/>
          <w:color w:val="000000" w:themeColor="text1"/>
          <w:sz w:val="20"/>
          <w:szCs w:val="20"/>
        </w:rPr>
        <w:t xml:space="preserve"> See, for example: </w:t>
      </w:r>
      <w:r w:rsidR="00B66BB8" w:rsidRPr="001C580A">
        <w:rPr>
          <w:rFonts w:ascii="Times New Roman" w:hAnsi="Times New Roman" w:cs="Times New Roman"/>
          <w:sz w:val="20"/>
          <w:szCs w:val="20"/>
        </w:rPr>
        <w:t xml:space="preserve">Fletcher R, </w:t>
      </w:r>
      <w:r w:rsidR="004D1905">
        <w:rPr>
          <w:rFonts w:ascii="Times New Roman" w:hAnsi="Times New Roman" w:cs="Times New Roman"/>
          <w:sz w:val="20"/>
          <w:szCs w:val="20"/>
        </w:rPr>
        <w:t>‘</w:t>
      </w:r>
      <w:r w:rsidR="00B66BB8" w:rsidRPr="001C580A">
        <w:rPr>
          <w:rFonts w:ascii="Times New Roman" w:hAnsi="Times New Roman" w:cs="Times New Roman"/>
          <w:sz w:val="20"/>
          <w:szCs w:val="20"/>
        </w:rPr>
        <w:t>Reproducing Irishness</w:t>
      </w:r>
      <w:r w:rsidR="004D1905">
        <w:rPr>
          <w:rFonts w:ascii="Times New Roman" w:hAnsi="Times New Roman" w:cs="Times New Roman"/>
          <w:sz w:val="20"/>
          <w:szCs w:val="20"/>
        </w:rPr>
        <w:t>’</w:t>
      </w:r>
      <w:r w:rsidR="00B66BB8" w:rsidRPr="001C580A">
        <w:rPr>
          <w:rFonts w:ascii="Times New Roman" w:hAnsi="Times New Roman" w:cs="Times New Roman"/>
          <w:sz w:val="20"/>
          <w:szCs w:val="20"/>
        </w:rPr>
        <w:t xml:space="preserve"> (2001) 28 </w:t>
      </w:r>
      <w:r w:rsidR="00B66BB8" w:rsidRPr="001C580A">
        <w:rPr>
          <w:rStyle w:val="Emphasis"/>
          <w:rFonts w:ascii="Times New Roman" w:hAnsi="Times New Roman" w:cs="Times New Roman"/>
          <w:sz w:val="20"/>
          <w:szCs w:val="20"/>
        </w:rPr>
        <w:t>Journal of Law and Society</w:t>
      </w:r>
      <w:r w:rsidR="00B66BB8" w:rsidRPr="001C580A">
        <w:rPr>
          <w:rFonts w:ascii="Times New Roman" w:hAnsi="Times New Roman" w:cs="Times New Roman"/>
          <w:sz w:val="20"/>
          <w:szCs w:val="20"/>
        </w:rPr>
        <w:t xml:space="preserve"> 414</w:t>
      </w:r>
      <w:r w:rsidRPr="001C580A">
        <w:rPr>
          <w:rFonts w:ascii="Times New Roman" w:hAnsi="Times New Roman" w:cs="Times New Roman"/>
          <w:color w:val="000000" w:themeColor="text1"/>
          <w:sz w:val="20"/>
          <w:szCs w:val="20"/>
        </w:rPr>
        <w:t xml:space="preserve">; </w:t>
      </w:r>
      <w:r w:rsidR="00B66BB8" w:rsidRPr="001C580A">
        <w:rPr>
          <w:rFonts w:ascii="Times New Roman" w:hAnsi="Times New Roman" w:cs="Times New Roman"/>
          <w:sz w:val="20"/>
          <w:szCs w:val="20"/>
        </w:rPr>
        <w:t xml:space="preserve">Galligan Y, </w:t>
      </w:r>
      <w:r w:rsidR="00B66BB8" w:rsidRPr="001C580A">
        <w:rPr>
          <w:rStyle w:val="Emphasis"/>
          <w:rFonts w:ascii="Times New Roman" w:hAnsi="Times New Roman" w:cs="Times New Roman"/>
          <w:sz w:val="20"/>
          <w:szCs w:val="20"/>
        </w:rPr>
        <w:t>Women and Politics in Contemporary Ireland: From the Margins to the Mainstream</w:t>
      </w:r>
      <w:r w:rsidR="00B66BB8" w:rsidRPr="001C580A">
        <w:rPr>
          <w:rFonts w:ascii="Times New Roman" w:hAnsi="Times New Roman" w:cs="Times New Roman"/>
          <w:sz w:val="20"/>
          <w:szCs w:val="20"/>
        </w:rPr>
        <w:t xml:space="preserve"> (Pinter 1998).</w:t>
      </w:r>
    </w:p>
  </w:footnote>
  <w:footnote w:id="42">
    <w:p w14:paraId="1FD6774E" w14:textId="70DD01DD" w:rsidR="00DC13E7" w:rsidRPr="001C580A" w:rsidRDefault="00DC13E7" w:rsidP="001C580A">
      <w:pPr>
        <w:jc w:val="both"/>
        <w:rPr>
          <w:rFonts w:ascii="Times New Roman" w:hAnsi="Times New Roman" w:cs="Times New Roman"/>
          <w:color w:val="000000" w:themeColor="text1"/>
          <w:sz w:val="20"/>
          <w:szCs w:val="20"/>
        </w:rPr>
      </w:pPr>
      <w:r w:rsidRPr="001C580A">
        <w:rPr>
          <w:rStyle w:val="FootnoteReference"/>
          <w:rFonts w:ascii="Times New Roman" w:hAnsi="Times New Roman" w:cs="Times New Roman"/>
          <w:color w:val="000000" w:themeColor="text1"/>
          <w:sz w:val="20"/>
          <w:szCs w:val="20"/>
        </w:rPr>
        <w:footnoteRef/>
      </w:r>
      <w:r w:rsidRPr="001C580A">
        <w:rPr>
          <w:rFonts w:ascii="Times New Roman" w:hAnsi="Times New Roman" w:cs="Times New Roman"/>
          <w:color w:val="000000" w:themeColor="text1"/>
          <w:sz w:val="20"/>
          <w:szCs w:val="20"/>
        </w:rPr>
        <w:t xml:space="preserve"> </w:t>
      </w:r>
      <w:r w:rsidR="00B66BB8" w:rsidRPr="001C580A">
        <w:rPr>
          <w:rFonts w:ascii="Times New Roman" w:hAnsi="Times New Roman" w:cs="Times New Roman"/>
          <w:sz w:val="20"/>
          <w:szCs w:val="20"/>
        </w:rPr>
        <w:t xml:space="preserve">Lentin R, </w:t>
      </w:r>
      <w:r w:rsidR="004D1905">
        <w:rPr>
          <w:rFonts w:ascii="Times New Roman" w:hAnsi="Times New Roman" w:cs="Times New Roman"/>
          <w:sz w:val="20"/>
          <w:szCs w:val="20"/>
        </w:rPr>
        <w:t>‘</w:t>
      </w:r>
      <w:r w:rsidR="00B66BB8" w:rsidRPr="001C580A">
        <w:rPr>
          <w:rFonts w:ascii="Times New Roman" w:hAnsi="Times New Roman" w:cs="Times New Roman"/>
          <w:sz w:val="20"/>
          <w:szCs w:val="20"/>
        </w:rPr>
        <w:t>A Woman Died: Abortion and the Politics of Birth in Ireland</w:t>
      </w:r>
      <w:r w:rsidR="004D1905">
        <w:rPr>
          <w:rFonts w:ascii="Times New Roman" w:hAnsi="Times New Roman" w:cs="Times New Roman"/>
          <w:sz w:val="20"/>
          <w:szCs w:val="20"/>
        </w:rPr>
        <w:t>’</w:t>
      </w:r>
      <w:r w:rsidR="00B66BB8" w:rsidRPr="001C580A">
        <w:rPr>
          <w:rFonts w:ascii="Times New Roman" w:hAnsi="Times New Roman" w:cs="Times New Roman"/>
          <w:sz w:val="20"/>
          <w:szCs w:val="20"/>
        </w:rPr>
        <w:t xml:space="preserve"> (2013) 105 </w:t>
      </w:r>
      <w:r w:rsidR="00B66BB8" w:rsidRPr="001C580A">
        <w:rPr>
          <w:rStyle w:val="Emphasis"/>
          <w:rFonts w:ascii="Times New Roman" w:hAnsi="Times New Roman" w:cs="Times New Roman"/>
          <w:sz w:val="20"/>
          <w:szCs w:val="20"/>
        </w:rPr>
        <w:t>Feminist Review</w:t>
      </w:r>
      <w:r w:rsidR="00B66BB8" w:rsidRPr="001C580A">
        <w:rPr>
          <w:rFonts w:ascii="Times New Roman" w:hAnsi="Times New Roman" w:cs="Times New Roman"/>
          <w:sz w:val="20"/>
          <w:szCs w:val="20"/>
        </w:rPr>
        <w:t xml:space="preserve"> 5.</w:t>
      </w:r>
    </w:p>
  </w:footnote>
  <w:footnote w:id="43">
    <w:p w14:paraId="01ABB3CC" w14:textId="6A5B3416" w:rsidR="00DC13E7" w:rsidRPr="001C580A" w:rsidRDefault="00DC13E7" w:rsidP="001C580A">
      <w:pPr>
        <w:jc w:val="both"/>
        <w:rPr>
          <w:rFonts w:ascii="Times New Roman" w:hAnsi="Times New Roman" w:cs="Times New Roman"/>
          <w:color w:val="000000" w:themeColor="text1"/>
          <w:sz w:val="20"/>
          <w:szCs w:val="20"/>
        </w:rPr>
      </w:pPr>
      <w:r w:rsidRPr="001C580A">
        <w:rPr>
          <w:rStyle w:val="FootnoteReference"/>
          <w:rFonts w:ascii="Times New Roman" w:hAnsi="Times New Roman" w:cs="Times New Roman"/>
          <w:color w:val="000000" w:themeColor="text1"/>
          <w:sz w:val="20"/>
          <w:szCs w:val="20"/>
        </w:rPr>
        <w:footnoteRef/>
      </w:r>
      <w:r w:rsidRPr="001C580A">
        <w:rPr>
          <w:rFonts w:ascii="Times New Roman" w:hAnsi="Times New Roman" w:cs="Times New Roman"/>
          <w:color w:val="000000" w:themeColor="text1"/>
          <w:sz w:val="20"/>
          <w:szCs w:val="20"/>
        </w:rPr>
        <w:t xml:space="preserve"> </w:t>
      </w:r>
      <w:r w:rsidR="00B66BB8" w:rsidRPr="001C580A">
        <w:rPr>
          <w:rFonts w:ascii="Times New Roman" w:hAnsi="Times New Roman" w:cs="Times New Roman"/>
          <w:sz w:val="20"/>
          <w:szCs w:val="20"/>
        </w:rPr>
        <w:t>Constitution of Ireland 1937, art 40.3.3 (inserted by the Eighth Amendment of the Constitution Act 1983).</w:t>
      </w:r>
    </w:p>
  </w:footnote>
  <w:footnote w:id="44">
    <w:p w14:paraId="331D3F06" w14:textId="64678E24" w:rsidR="00DC13E7" w:rsidRPr="001C580A" w:rsidRDefault="00DC13E7" w:rsidP="001C580A">
      <w:pPr>
        <w:jc w:val="both"/>
        <w:rPr>
          <w:rFonts w:ascii="Times New Roman" w:hAnsi="Times New Roman" w:cs="Times New Roman"/>
          <w:color w:val="000000" w:themeColor="text1"/>
          <w:sz w:val="20"/>
          <w:szCs w:val="20"/>
        </w:rPr>
      </w:pPr>
      <w:r w:rsidRPr="001C580A">
        <w:rPr>
          <w:rStyle w:val="FootnoteReference"/>
          <w:rFonts w:ascii="Times New Roman" w:hAnsi="Times New Roman" w:cs="Times New Roman"/>
          <w:color w:val="000000" w:themeColor="text1"/>
          <w:sz w:val="20"/>
          <w:szCs w:val="20"/>
        </w:rPr>
        <w:footnoteRef/>
      </w:r>
      <w:r w:rsidRPr="001C580A">
        <w:rPr>
          <w:rFonts w:ascii="Times New Roman" w:hAnsi="Times New Roman" w:cs="Times New Roman"/>
          <w:color w:val="000000" w:themeColor="text1"/>
          <w:sz w:val="20"/>
          <w:szCs w:val="20"/>
        </w:rPr>
        <w:t xml:space="preserve"> </w:t>
      </w:r>
      <w:r w:rsidR="00B66BB8" w:rsidRPr="001C580A">
        <w:rPr>
          <w:rFonts w:ascii="Times New Roman" w:hAnsi="Times New Roman" w:cs="Times New Roman"/>
          <w:sz w:val="20"/>
          <w:szCs w:val="20"/>
        </w:rPr>
        <w:t xml:space="preserve">Kingston J and Whelan A, </w:t>
      </w:r>
      <w:r w:rsidR="00B66BB8" w:rsidRPr="001C580A">
        <w:rPr>
          <w:rStyle w:val="Emphasis"/>
          <w:rFonts w:ascii="Times New Roman" w:hAnsi="Times New Roman" w:cs="Times New Roman"/>
          <w:sz w:val="20"/>
          <w:szCs w:val="20"/>
        </w:rPr>
        <w:t>Abortion and the Law</w:t>
      </w:r>
      <w:r w:rsidR="00B66BB8" w:rsidRPr="001C580A">
        <w:rPr>
          <w:rFonts w:ascii="Times New Roman" w:hAnsi="Times New Roman" w:cs="Times New Roman"/>
          <w:sz w:val="20"/>
          <w:szCs w:val="20"/>
        </w:rPr>
        <w:t xml:space="preserve"> (</w:t>
      </w:r>
      <w:proofErr w:type="spellStart"/>
      <w:r w:rsidR="00B66BB8" w:rsidRPr="001C580A">
        <w:rPr>
          <w:rFonts w:ascii="Times New Roman" w:hAnsi="Times New Roman" w:cs="Times New Roman"/>
          <w:sz w:val="20"/>
          <w:szCs w:val="20"/>
        </w:rPr>
        <w:t>Roundhall</w:t>
      </w:r>
      <w:proofErr w:type="spellEnd"/>
      <w:r w:rsidR="00B66BB8" w:rsidRPr="001C580A">
        <w:rPr>
          <w:rFonts w:ascii="Times New Roman" w:hAnsi="Times New Roman" w:cs="Times New Roman"/>
          <w:sz w:val="20"/>
          <w:szCs w:val="20"/>
        </w:rPr>
        <w:t xml:space="preserve"> Sweet &amp; Maxwell 1997).</w:t>
      </w:r>
    </w:p>
  </w:footnote>
  <w:footnote w:id="45">
    <w:p w14:paraId="04079F94" w14:textId="5E9C81B4" w:rsidR="00DC13E7" w:rsidRPr="001C580A" w:rsidRDefault="00DC13E7" w:rsidP="001C580A">
      <w:pPr>
        <w:pStyle w:val="FootnoteText"/>
        <w:jc w:val="both"/>
        <w:rPr>
          <w:rFonts w:ascii="Times New Roman" w:hAnsi="Times New Roman" w:cs="Times New Roman"/>
        </w:rPr>
      </w:pPr>
      <w:r w:rsidRPr="001C580A">
        <w:rPr>
          <w:rStyle w:val="FootnoteReference"/>
          <w:rFonts w:ascii="Times New Roman" w:hAnsi="Times New Roman" w:cs="Times New Roman"/>
        </w:rPr>
        <w:footnoteRef/>
      </w:r>
      <w:r w:rsidRPr="001C580A">
        <w:rPr>
          <w:rFonts w:ascii="Times New Roman" w:hAnsi="Times New Roman" w:cs="Times New Roman"/>
        </w:rPr>
        <w:t xml:space="preserve"> </w:t>
      </w:r>
      <w:r w:rsidR="00B66BB8" w:rsidRPr="001C580A">
        <w:rPr>
          <w:rFonts w:ascii="Times New Roman" w:hAnsi="Times New Roman" w:cs="Times New Roman"/>
        </w:rPr>
        <w:t xml:space="preserve">Whyte JH, </w:t>
      </w:r>
      <w:r w:rsidR="00B66BB8" w:rsidRPr="001C580A">
        <w:rPr>
          <w:rStyle w:val="Emphasis"/>
          <w:rFonts w:ascii="Times New Roman" w:hAnsi="Times New Roman" w:cs="Times New Roman"/>
        </w:rPr>
        <w:t>Church and State in Modern Ireland, 1923–1979</w:t>
      </w:r>
      <w:r w:rsidR="00B66BB8" w:rsidRPr="001C580A">
        <w:rPr>
          <w:rFonts w:ascii="Times New Roman" w:hAnsi="Times New Roman" w:cs="Times New Roman"/>
        </w:rPr>
        <w:t xml:space="preserve"> (Gill and Macmillan 1980); Enright M, </w:t>
      </w:r>
      <w:r w:rsidR="004D1905">
        <w:rPr>
          <w:rFonts w:ascii="Times New Roman" w:hAnsi="Times New Roman" w:cs="Times New Roman"/>
        </w:rPr>
        <w:t>‘</w:t>
      </w:r>
      <w:r w:rsidR="00B66BB8" w:rsidRPr="001C580A">
        <w:rPr>
          <w:rFonts w:ascii="Times New Roman" w:hAnsi="Times New Roman" w:cs="Times New Roman"/>
        </w:rPr>
        <w:t>Abortion Law in Ireland: Reflecting on Reform</w:t>
      </w:r>
      <w:r w:rsidR="004D1905">
        <w:rPr>
          <w:rFonts w:ascii="Times New Roman" w:hAnsi="Times New Roman" w:cs="Times New Roman"/>
        </w:rPr>
        <w:t>’</w:t>
      </w:r>
      <w:r w:rsidR="00B66BB8" w:rsidRPr="001C580A">
        <w:rPr>
          <w:rFonts w:ascii="Times New Roman" w:hAnsi="Times New Roman" w:cs="Times New Roman"/>
        </w:rPr>
        <w:t xml:space="preserve"> in Black L and Dunne P (eds), </w:t>
      </w:r>
      <w:r w:rsidR="00B66BB8" w:rsidRPr="001C580A">
        <w:rPr>
          <w:rStyle w:val="Emphasis"/>
          <w:rFonts w:ascii="Times New Roman" w:hAnsi="Times New Roman" w:cs="Times New Roman"/>
        </w:rPr>
        <w:t>Law and Gender in Modern Ireland: Critique and Reform</w:t>
      </w:r>
      <w:r w:rsidR="00B66BB8" w:rsidRPr="001C580A">
        <w:rPr>
          <w:rFonts w:ascii="Times New Roman" w:hAnsi="Times New Roman" w:cs="Times New Roman"/>
        </w:rPr>
        <w:t xml:space="preserve"> (Hart Publishing 2019).</w:t>
      </w:r>
    </w:p>
  </w:footnote>
  <w:footnote w:id="46">
    <w:p w14:paraId="3FBD91B4" w14:textId="7B7CC741" w:rsidR="00DC13E7" w:rsidRPr="001C580A" w:rsidRDefault="00DC13E7" w:rsidP="001C580A">
      <w:pPr>
        <w:pStyle w:val="FootnoteText"/>
        <w:jc w:val="both"/>
        <w:rPr>
          <w:rFonts w:ascii="Times New Roman" w:hAnsi="Times New Roman" w:cs="Times New Roman"/>
        </w:rPr>
      </w:pPr>
      <w:r w:rsidRPr="001C580A">
        <w:rPr>
          <w:rStyle w:val="FootnoteReference"/>
          <w:rFonts w:ascii="Times New Roman" w:hAnsi="Times New Roman" w:cs="Times New Roman"/>
        </w:rPr>
        <w:footnoteRef/>
      </w:r>
      <w:r w:rsidRPr="001C580A">
        <w:rPr>
          <w:rFonts w:ascii="Times New Roman" w:hAnsi="Times New Roman" w:cs="Times New Roman"/>
        </w:rPr>
        <w:t xml:space="preserve"> </w:t>
      </w:r>
      <w:r w:rsidR="00761B9E" w:rsidRPr="00997151">
        <w:rPr>
          <w:rFonts w:ascii="Times New Roman" w:hAnsi="Times New Roman" w:cs="Times New Roman"/>
        </w:rPr>
        <w:t xml:space="preserve">Enright M, </w:t>
      </w:r>
      <w:r w:rsidR="006D342D">
        <w:rPr>
          <w:rFonts w:ascii="Times New Roman" w:hAnsi="Times New Roman" w:cs="Times New Roman"/>
        </w:rPr>
        <w:t>ibid</w:t>
      </w:r>
      <w:r w:rsidR="00761B9E" w:rsidRPr="00997151">
        <w:rPr>
          <w:rFonts w:ascii="Times New Roman" w:hAnsi="Times New Roman" w:cs="Times New Roman"/>
        </w:rPr>
        <w:t>.</w:t>
      </w:r>
    </w:p>
  </w:footnote>
  <w:footnote w:id="47">
    <w:p w14:paraId="668B6C72" w14:textId="2D748F9D" w:rsidR="00DC13E7" w:rsidRPr="001C580A" w:rsidRDefault="00DC13E7" w:rsidP="001C580A">
      <w:pPr>
        <w:pStyle w:val="FootnoteText"/>
        <w:jc w:val="both"/>
        <w:rPr>
          <w:rFonts w:ascii="Times New Roman" w:hAnsi="Times New Roman" w:cs="Times New Roman"/>
        </w:rPr>
      </w:pPr>
      <w:r w:rsidRPr="00997151">
        <w:rPr>
          <w:rStyle w:val="FootnoteReference"/>
          <w:rFonts w:ascii="Times New Roman" w:hAnsi="Times New Roman" w:cs="Times New Roman"/>
          <w:color w:val="000000" w:themeColor="text1"/>
        </w:rPr>
        <w:footnoteRef/>
      </w:r>
      <w:r w:rsidRPr="001C580A">
        <w:rPr>
          <w:rFonts w:ascii="Times New Roman" w:hAnsi="Times New Roman" w:cs="Times New Roman"/>
          <w:color w:val="EE0000"/>
        </w:rPr>
        <w:t xml:space="preserve"> </w:t>
      </w:r>
      <w:r w:rsidR="00761B9E">
        <w:rPr>
          <w:rFonts w:ascii="Times New Roman" w:hAnsi="Times New Roman" w:cs="Times New Roman"/>
        </w:rPr>
        <w:t>Ibid.</w:t>
      </w:r>
    </w:p>
  </w:footnote>
  <w:footnote w:id="48">
    <w:p w14:paraId="3381A571" w14:textId="3F08585F" w:rsidR="00DC13E7" w:rsidRPr="001C580A" w:rsidRDefault="00DC13E7" w:rsidP="001C580A">
      <w:pPr>
        <w:jc w:val="both"/>
        <w:rPr>
          <w:rFonts w:ascii="Times New Roman" w:hAnsi="Times New Roman" w:cs="Times New Roman"/>
          <w:color w:val="000000" w:themeColor="text1"/>
          <w:sz w:val="20"/>
          <w:szCs w:val="20"/>
        </w:rPr>
      </w:pPr>
      <w:r w:rsidRPr="001C580A">
        <w:rPr>
          <w:rStyle w:val="FootnoteReference"/>
          <w:rFonts w:ascii="Times New Roman" w:hAnsi="Times New Roman" w:cs="Times New Roman"/>
          <w:color w:val="000000" w:themeColor="text1"/>
          <w:sz w:val="20"/>
          <w:szCs w:val="20"/>
        </w:rPr>
        <w:footnoteRef/>
      </w:r>
      <w:r w:rsidRPr="001C580A">
        <w:rPr>
          <w:rFonts w:ascii="Times New Roman" w:hAnsi="Times New Roman" w:cs="Times New Roman"/>
          <w:color w:val="000000" w:themeColor="text1"/>
          <w:sz w:val="20"/>
          <w:szCs w:val="20"/>
        </w:rPr>
        <w:t xml:space="preserve"> </w:t>
      </w:r>
      <w:r w:rsidR="00B66BB8" w:rsidRPr="001C580A">
        <w:rPr>
          <w:rFonts w:ascii="Times New Roman" w:hAnsi="Times New Roman" w:cs="Times New Roman"/>
          <w:sz w:val="20"/>
          <w:szCs w:val="20"/>
        </w:rPr>
        <w:t xml:space="preserve">Taylor M, Spillane A and Arulkumaran S, </w:t>
      </w:r>
      <w:r w:rsidR="004D1905">
        <w:rPr>
          <w:rFonts w:ascii="Times New Roman" w:hAnsi="Times New Roman" w:cs="Times New Roman"/>
          <w:sz w:val="20"/>
          <w:szCs w:val="20"/>
        </w:rPr>
        <w:t>‘</w:t>
      </w:r>
      <w:r w:rsidR="00B66BB8" w:rsidRPr="001C580A">
        <w:rPr>
          <w:rFonts w:ascii="Times New Roman" w:hAnsi="Times New Roman" w:cs="Times New Roman"/>
          <w:sz w:val="20"/>
          <w:szCs w:val="20"/>
        </w:rPr>
        <w:t>The Irish Journey: Removing the Shackles of Abortion Restrictions in Ireland</w:t>
      </w:r>
      <w:r w:rsidR="004D1905">
        <w:rPr>
          <w:rFonts w:ascii="Times New Roman" w:hAnsi="Times New Roman" w:cs="Times New Roman"/>
          <w:sz w:val="20"/>
          <w:szCs w:val="20"/>
        </w:rPr>
        <w:t>’</w:t>
      </w:r>
      <w:r w:rsidR="00B66BB8" w:rsidRPr="001C580A">
        <w:rPr>
          <w:rFonts w:ascii="Times New Roman" w:hAnsi="Times New Roman" w:cs="Times New Roman"/>
          <w:sz w:val="20"/>
          <w:szCs w:val="20"/>
        </w:rPr>
        <w:t xml:space="preserve"> (2020) 62 </w:t>
      </w:r>
      <w:r w:rsidR="00B66BB8" w:rsidRPr="001C580A">
        <w:rPr>
          <w:rStyle w:val="Emphasis"/>
          <w:rFonts w:ascii="Times New Roman" w:hAnsi="Times New Roman" w:cs="Times New Roman"/>
          <w:sz w:val="20"/>
          <w:szCs w:val="20"/>
        </w:rPr>
        <w:t>Best Practice &amp; Research Clinical Obstetrics &amp; Gynaecology</w:t>
      </w:r>
      <w:r w:rsidR="00B66BB8" w:rsidRPr="001C580A">
        <w:rPr>
          <w:rFonts w:ascii="Times New Roman" w:hAnsi="Times New Roman" w:cs="Times New Roman"/>
          <w:sz w:val="20"/>
          <w:szCs w:val="20"/>
        </w:rPr>
        <w:t xml:space="preserve"> 37.</w:t>
      </w:r>
    </w:p>
  </w:footnote>
  <w:footnote w:id="49">
    <w:p w14:paraId="0FB4AE21" w14:textId="1D6F1CC6" w:rsidR="00DC13E7" w:rsidRPr="001C580A" w:rsidRDefault="00DC13E7" w:rsidP="001C580A">
      <w:pPr>
        <w:jc w:val="both"/>
        <w:rPr>
          <w:rFonts w:ascii="Times New Roman" w:hAnsi="Times New Roman" w:cs="Times New Roman"/>
          <w:color w:val="000000" w:themeColor="text1"/>
          <w:sz w:val="20"/>
          <w:szCs w:val="20"/>
        </w:rPr>
      </w:pPr>
      <w:r w:rsidRPr="001C580A">
        <w:rPr>
          <w:rStyle w:val="FootnoteReference"/>
          <w:rFonts w:ascii="Times New Roman" w:hAnsi="Times New Roman" w:cs="Times New Roman"/>
          <w:color w:val="000000" w:themeColor="text1"/>
          <w:sz w:val="20"/>
          <w:szCs w:val="20"/>
        </w:rPr>
        <w:footnoteRef/>
      </w:r>
      <w:r w:rsidRPr="001C580A">
        <w:rPr>
          <w:rFonts w:ascii="Times New Roman" w:hAnsi="Times New Roman" w:cs="Times New Roman"/>
          <w:color w:val="000000" w:themeColor="text1"/>
          <w:sz w:val="20"/>
          <w:szCs w:val="20"/>
        </w:rPr>
        <w:t xml:space="preserve"> </w:t>
      </w:r>
      <w:r w:rsidR="00736DD5" w:rsidRPr="009305AD">
        <w:rPr>
          <w:rStyle w:val="Emphasis"/>
          <w:rFonts w:ascii="Times New Roman" w:hAnsi="Times New Roman" w:cs="Times New Roman"/>
          <w:i w:val="0"/>
          <w:iCs w:val="0"/>
          <w:sz w:val="20"/>
          <w:szCs w:val="20"/>
        </w:rPr>
        <w:t>Constitution of Ireland</w:t>
      </w:r>
      <w:r w:rsidR="00736DD5" w:rsidRPr="009305AD">
        <w:rPr>
          <w:rFonts w:ascii="Times New Roman" w:hAnsi="Times New Roman" w:cs="Times New Roman"/>
          <w:i/>
          <w:iCs/>
          <w:sz w:val="20"/>
          <w:szCs w:val="20"/>
        </w:rPr>
        <w:t xml:space="preserve"> </w:t>
      </w:r>
      <w:r w:rsidR="00736DD5" w:rsidRPr="001C580A">
        <w:rPr>
          <w:rFonts w:ascii="Times New Roman" w:hAnsi="Times New Roman" w:cs="Times New Roman"/>
          <w:sz w:val="20"/>
          <w:szCs w:val="20"/>
        </w:rPr>
        <w:t>1937, art 40.3.3 (</w:t>
      </w:r>
      <w:r w:rsidR="009305AD">
        <w:rPr>
          <w:rFonts w:ascii="Times New Roman" w:hAnsi="Times New Roman" w:cs="Times New Roman"/>
          <w:sz w:val="20"/>
          <w:szCs w:val="20"/>
        </w:rPr>
        <w:t>n 42</w:t>
      </w:r>
      <w:r w:rsidR="00736DD5" w:rsidRPr="001C580A">
        <w:rPr>
          <w:rFonts w:ascii="Times New Roman" w:hAnsi="Times New Roman" w:cs="Times New Roman"/>
          <w:sz w:val="20"/>
          <w:szCs w:val="20"/>
        </w:rPr>
        <w:t>).</w:t>
      </w:r>
    </w:p>
  </w:footnote>
  <w:footnote w:id="50">
    <w:p w14:paraId="2188E5CE" w14:textId="606A063A" w:rsidR="00DC13E7" w:rsidRPr="001C580A" w:rsidRDefault="00DC13E7" w:rsidP="001C580A">
      <w:pPr>
        <w:jc w:val="both"/>
        <w:rPr>
          <w:rFonts w:ascii="Times New Roman" w:hAnsi="Times New Roman" w:cs="Times New Roman"/>
          <w:color w:val="000000" w:themeColor="text1"/>
          <w:sz w:val="20"/>
          <w:szCs w:val="20"/>
        </w:rPr>
      </w:pPr>
      <w:r w:rsidRPr="001C580A">
        <w:rPr>
          <w:rStyle w:val="FootnoteReference"/>
          <w:rFonts w:ascii="Times New Roman" w:hAnsi="Times New Roman" w:cs="Times New Roman"/>
          <w:color w:val="000000" w:themeColor="text1"/>
          <w:sz w:val="20"/>
          <w:szCs w:val="20"/>
        </w:rPr>
        <w:footnoteRef/>
      </w:r>
      <w:r w:rsidRPr="001C580A">
        <w:rPr>
          <w:rFonts w:ascii="Times New Roman" w:hAnsi="Times New Roman" w:cs="Times New Roman"/>
          <w:color w:val="000000" w:themeColor="text1"/>
          <w:sz w:val="20"/>
          <w:szCs w:val="20"/>
        </w:rPr>
        <w:t xml:space="preserve"> </w:t>
      </w:r>
      <w:r w:rsidR="00736DD5" w:rsidRPr="001C580A">
        <w:rPr>
          <w:rFonts w:ascii="Times New Roman" w:hAnsi="Times New Roman" w:cs="Times New Roman"/>
          <w:sz w:val="20"/>
          <w:szCs w:val="20"/>
        </w:rPr>
        <w:t xml:space="preserve">Taylor </w:t>
      </w:r>
      <w:r w:rsidR="00244681">
        <w:rPr>
          <w:rFonts w:ascii="Times New Roman" w:hAnsi="Times New Roman" w:cs="Times New Roman"/>
          <w:sz w:val="20"/>
          <w:szCs w:val="20"/>
        </w:rPr>
        <w:t>et al. (n 47)</w:t>
      </w:r>
      <w:r w:rsidR="00736DD5" w:rsidRPr="001C580A">
        <w:rPr>
          <w:rFonts w:ascii="Times New Roman" w:hAnsi="Times New Roman" w:cs="Times New Roman"/>
          <w:sz w:val="20"/>
          <w:szCs w:val="20"/>
        </w:rPr>
        <w:t xml:space="preserve">, </w:t>
      </w:r>
      <w:r w:rsidR="00736DD5" w:rsidRPr="001C580A">
        <w:rPr>
          <w:rStyle w:val="Strong"/>
          <w:rFonts w:ascii="Times New Roman" w:hAnsi="Times New Roman" w:cs="Times New Roman"/>
          <w:b w:val="0"/>
          <w:bCs w:val="0"/>
          <w:sz w:val="20"/>
          <w:szCs w:val="20"/>
        </w:rPr>
        <w:t>38</w:t>
      </w:r>
      <w:r w:rsidR="00736DD5" w:rsidRPr="001C580A">
        <w:rPr>
          <w:rFonts w:ascii="Times New Roman" w:hAnsi="Times New Roman" w:cs="Times New Roman"/>
          <w:sz w:val="20"/>
          <w:szCs w:val="20"/>
        </w:rPr>
        <w:t>.</w:t>
      </w:r>
    </w:p>
  </w:footnote>
  <w:footnote w:id="51">
    <w:p w14:paraId="24FFF9E6" w14:textId="34F018DC" w:rsidR="003F3FD8" w:rsidRPr="001C580A" w:rsidRDefault="003F3FD8" w:rsidP="001C580A">
      <w:pPr>
        <w:jc w:val="both"/>
        <w:rPr>
          <w:rFonts w:ascii="Times New Roman" w:hAnsi="Times New Roman" w:cs="Times New Roman"/>
          <w:sz w:val="20"/>
          <w:szCs w:val="20"/>
        </w:rPr>
      </w:pPr>
      <w:r w:rsidRPr="001C580A">
        <w:rPr>
          <w:rStyle w:val="FootnoteReference"/>
          <w:rFonts w:ascii="Times New Roman" w:hAnsi="Times New Roman" w:cs="Times New Roman"/>
          <w:sz w:val="20"/>
          <w:szCs w:val="20"/>
        </w:rPr>
        <w:footnoteRef/>
      </w:r>
      <w:r w:rsidRPr="001C580A">
        <w:rPr>
          <w:rFonts w:ascii="Times New Roman" w:hAnsi="Times New Roman" w:cs="Times New Roman"/>
          <w:sz w:val="20"/>
          <w:szCs w:val="20"/>
        </w:rPr>
        <w:t xml:space="preserve"> See: </w:t>
      </w:r>
      <w:r w:rsidR="00736DD5" w:rsidRPr="001C580A">
        <w:rPr>
          <w:rFonts w:ascii="Times New Roman" w:hAnsi="Times New Roman" w:cs="Times New Roman"/>
          <w:sz w:val="20"/>
          <w:szCs w:val="20"/>
        </w:rPr>
        <w:t xml:space="preserve">Smith J, </w:t>
      </w:r>
      <w:r w:rsidR="00736DD5" w:rsidRPr="001C580A">
        <w:rPr>
          <w:rStyle w:val="Emphasis"/>
          <w:rFonts w:ascii="Times New Roman" w:hAnsi="Times New Roman" w:cs="Times New Roman"/>
          <w:sz w:val="20"/>
          <w:szCs w:val="20"/>
        </w:rPr>
        <w:t>Ireland</w:t>
      </w:r>
      <w:r w:rsidR="004D1905">
        <w:rPr>
          <w:rStyle w:val="Emphasis"/>
          <w:rFonts w:ascii="Times New Roman" w:hAnsi="Times New Roman" w:cs="Times New Roman"/>
          <w:sz w:val="20"/>
          <w:szCs w:val="20"/>
        </w:rPr>
        <w:t>’</w:t>
      </w:r>
      <w:r w:rsidR="00736DD5" w:rsidRPr="001C580A">
        <w:rPr>
          <w:rStyle w:val="Emphasis"/>
          <w:rFonts w:ascii="Times New Roman" w:hAnsi="Times New Roman" w:cs="Times New Roman"/>
          <w:sz w:val="20"/>
          <w:szCs w:val="20"/>
        </w:rPr>
        <w:t>s Magdalen Laundries and the Nation</w:t>
      </w:r>
      <w:r w:rsidR="004D1905">
        <w:rPr>
          <w:rStyle w:val="Emphasis"/>
          <w:rFonts w:ascii="Times New Roman" w:hAnsi="Times New Roman" w:cs="Times New Roman"/>
          <w:sz w:val="20"/>
          <w:szCs w:val="20"/>
        </w:rPr>
        <w:t>’</w:t>
      </w:r>
      <w:r w:rsidR="00736DD5" w:rsidRPr="001C580A">
        <w:rPr>
          <w:rStyle w:val="Emphasis"/>
          <w:rFonts w:ascii="Times New Roman" w:hAnsi="Times New Roman" w:cs="Times New Roman"/>
          <w:sz w:val="20"/>
          <w:szCs w:val="20"/>
        </w:rPr>
        <w:t>s Architecture of Containment</w:t>
      </w:r>
      <w:r w:rsidR="00736DD5" w:rsidRPr="001C580A">
        <w:rPr>
          <w:rFonts w:ascii="Times New Roman" w:hAnsi="Times New Roman" w:cs="Times New Roman"/>
          <w:sz w:val="20"/>
          <w:szCs w:val="20"/>
        </w:rPr>
        <w:t xml:space="preserve"> (University of Notre Dame Press 2007)</w:t>
      </w:r>
      <w:r w:rsidRPr="001C580A">
        <w:rPr>
          <w:rFonts w:ascii="Times New Roman" w:eastAsia="Calibri" w:hAnsi="Times New Roman" w:cs="Times New Roman"/>
          <w:sz w:val="20"/>
          <w:szCs w:val="20"/>
        </w:rPr>
        <w:t xml:space="preserve">; </w:t>
      </w:r>
      <w:r w:rsidR="00736DD5" w:rsidRPr="001C580A">
        <w:rPr>
          <w:rFonts w:ascii="Times New Roman" w:hAnsi="Times New Roman" w:cs="Times New Roman"/>
          <w:sz w:val="20"/>
          <w:szCs w:val="20"/>
        </w:rPr>
        <w:t xml:space="preserve">Enright M, </w:t>
      </w:r>
      <w:r w:rsidR="00732AE7">
        <w:rPr>
          <w:rFonts w:ascii="Times New Roman" w:hAnsi="Times New Roman" w:cs="Times New Roman"/>
          <w:sz w:val="20"/>
          <w:szCs w:val="20"/>
        </w:rPr>
        <w:t>‘“</w:t>
      </w:r>
      <w:r w:rsidR="00736DD5" w:rsidRPr="001C580A">
        <w:rPr>
          <w:rFonts w:ascii="Times New Roman" w:hAnsi="Times New Roman" w:cs="Times New Roman"/>
          <w:sz w:val="20"/>
          <w:szCs w:val="20"/>
        </w:rPr>
        <w:t>Up with the Brave</w:t>
      </w:r>
      <w:r w:rsidR="00732AE7">
        <w:rPr>
          <w:rFonts w:ascii="Times New Roman" w:hAnsi="Times New Roman" w:cs="Times New Roman"/>
          <w:sz w:val="20"/>
          <w:szCs w:val="20"/>
        </w:rPr>
        <w:t>”</w:t>
      </w:r>
      <w:r w:rsidR="00736DD5" w:rsidRPr="001C580A">
        <w:rPr>
          <w:rFonts w:ascii="Times New Roman" w:hAnsi="Times New Roman" w:cs="Times New Roman"/>
          <w:sz w:val="20"/>
          <w:szCs w:val="20"/>
        </w:rPr>
        <w:t>: Gender, Transgression and Judges</w:t>
      </w:r>
      <w:r w:rsidR="004D1905">
        <w:rPr>
          <w:rFonts w:ascii="Times New Roman" w:hAnsi="Times New Roman" w:cs="Times New Roman"/>
          <w:sz w:val="20"/>
          <w:szCs w:val="20"/>
        </w:rPr>
        <w:t>’</w:t>
      </w:r>
      <w:r w:rsidR="00736DD5" w:rsidRPr="001C580A">
        <w:rPr>
          <w:rFonts w:ascii="Times New Roman" w:hAnsi="Times New Roman" w:cs="Times New Roman"/>
          <w:sz w:val="20"/>
          <w:szCs w:val="20"/>
        </w:rPr>
        <w:t xml:space="preserve"> Use of Catholic Convents in England and Ireland, 1930–1959</w:t>
      </w:r>
      <w:r w:rsidR="00732AE7">
        <w:rPr>
          <w:rFonts w:ascii="Times New Roman" w:hAnsi="Times New Roman" w:cs="Times New Roman"/>
          <w:sz w:val="20"/>
          <w:szCs w:val="20"/>
        </w:rPr>
        <w:t>’</w:t>
      </w:r>
      <w:r w:rsidR="00736DD5" w:rsidRPr="001C580A">
        <w:rPr>
          <w:rFonts w:ascii="Times New Roman" w:hAnsi="Times New Roman" w:cs="Times New Roman"/>
          <w:sz w:val="20"/>
          <w:szCs w:val="20"/>
        </w:rPr>
        <w:t xml:space="preserve"> (2024) </w:t>
      </w:r>
      <w:r w:rsidR="00736DD5" w:rsidRPr="001C580A">
        <w:rPr>
          <w:rStyle w:val="Emphasis"/>
          <w:rFonts w:ascii="Times New Roman" w:hAnsi="Times New Roman" w:cs="Times New Roman"/>
          <w:sz w:val="20"/>
          <w:szCs w:val="20"/>
        </w:rPr>
        <w:t>Law and History Review</w:t>
      </w:r>
      <w:r w:rsidR="00736DD5" w:rsidRPr="001C580A">
        <w:rPr>
          <w:rFonts w:ascii="Times New Roman" w:hAnsi="Times New Roman" w:cs="Times New Roman"/>
          <w:sz w:val="20"/>
          <w:szCs w:val="20"/>
        </w:rPr>
        <w:t xml:space="preserve"> (forthcoming)</w:t>
      </w:r>
      <w:r w:rsidR="008B0342">
        <w:rPr>
          <w:rFonts w:ascii="Times New Roman" w:hAnsi="Times New Roman" w:cs="Times New Roman"/>
          <w:sz w:val="20"/>
          <w:szCs w:val="20"/>
        </w:rPr>
        <w:t>;</w:t>
      </w:r>
      <w:r w:rsidR="008B0342" w:rsidRPr="008B0342">
        <w:rPr>
          <w:rFonts w:ascii="Times New Roman" w:hAnsi="Times New Roman" w:cs="Times New Roman"/>
          <w:sz w:val="20"/>
          <w:szCs w:val="20"/>
        </w:rPr>
        <w:t xml:space="preserve"> </w:t>
      </w:r>
      <w:proofErr w:type="spellStart"/>
      <w:r w:rsidR="008B0342" w:rsidRPr="008B0342">
        <w:rPr>
          <w:rStyle w:val="Strong"/>
          <w:rFonts w:ascii="Times New Roman" w:hAnsi="Times New Roman" w:cs="Times New Roman"/>
          <w:b w:val="0"/>
          <w:bCs w:val="0"/>
          <w:sz w:val="20"/>
          <w:szCs w:val="20"/>
        </w:rPr>
        <w:t>Khaleeli</w:t>
      </w:r>
      <w:proofErr w:type="spellEnd"/>
      <w:r w:rsidR="008B0342" w:rsidRPr="008B0342">
        <w:rPr>
          <w:rStyle w:val="Strong"/>
          <w:rFonts w:ascii="Times New Roman" w:hAnsi="Times New Roman" w:cs="Times New Roman"/>
          <w:b w:val="0"/>
          <w:bCs w:val="0"/>
          <w:sz w:val="20"/>
          <w:szCs w:val="20"/>
        </w:rPr>
        <w:t xml:space="preserve"> H</w:t>
      </w:r>
      <w:r w:rsidR="008B0342" w:rsidRPr="008B0342">
        <w:rPr>
          <w:rFonts w:ascii="Times New Roman" w:hAnsi="Times New Roman" w:cs="Times New Roman"/>
          <w:b/>
          <w:bCs/>
          <w:sz w:val="20"/>
          <w:szCs w:val="20"/>
        </w:rPr>
        <w:t>,</w:t>
      </w:r>
      <w:r w:rsidR="008B0342" w:rsidRPr="008B0342">
        <w:rPr>
          <w:rFonts w:ascii="Times New Roman" w:hAnsi="Times New Roman" w:cs="Times New Roman"/>
          <w:sz w:val="20"/>
          <w:szCs w:val="20"/>
        </w:rPr>
        <w:t xml:space="preserve"> ‘Symphysiotomy – Ireland’s Brutal Alternative to Caesareans’ </w:t>
      </w:r>
      <w:r w:rsidR="008B0342" w:rsidRPr="008B0342">
        <w:rPr>
          <w:rStyle w:val="Emphasis"/>
          <w:rFonts w:ascii="Times New Roman" w:hAnsi="Times New Roman" w:cs="Times New Roman"/>
          <w:sz w:val="20"/>
          <w:szCs w:val="20"/>
        </w:rPr>
        <w:t>The Guardian</w:t>
      </w:r>
      <w:r w:rsidR="008B0342" w:rsidRPr="008B0342">
        <w:rPr>
          <w:rFonts w:ascii="Times New Roman" w:hAnsi="Times New Roman" w:cs="Times New Roman"/>
          <w:sz w:val="20"/>
          <w:szCs w:val="20"/>
        </w:rPr>
        <w:t xml:space="preserve"> (12 December 2014) </w:t>
      </w:r>
      <w:hyperlink r:id="rId6" w:history="1">
        <w:r w:rsidR="00732AE7" w:rsidRPr="004D00DB">
          <w:rPr>
            <w:rStyle w:val="Hyperlink"/>
            <w:rFonts w:ascii="Times New Roman" w:hAnsi="Times New Roman" w:cs="Times New Roman"/>
            <w:sz w:val="20"/>
            <w:szCs w:val="20"/>
          </w:rPr>
          <w:t>https://www.theguardian.com/lifeandstyle/2014/dec/12/symphysiotomy-irelands-brutal-alternative-to-caesareans</w:t>
        </w:r>
      </w:hyperlink>
      <w:r w:rsidR="00732AE7">
        <w:rPr>
          <w:rFonts w:ascii="Times New Roman" w:hAnsi="Times New Roman" w:cs="Times New Roman"/>
          <w:sz w:val="20"/>
          <w:szCs w:val="20"/>
        </w:rPr>
        <w:t xml:space="preserve"> a</w:t>
      </w:r>
      <w:r w:rsidR="008B0342" w:rsidRPr="008B0342">
        <w:rPr>
          <w:rFonts w:ascii="Times New Roman" w:hAnsi="Times New Roman" w:cs="Times New Roman"/>
          <w:sz w:val="20"/>
          <w:szCs w:val="20"/>
        </w:rPr>
        <w:t>ccessed September 2026.</w:t>
      </w:r>
    </w:p>
  </w:footnote>
  <w:footnote w:id="52">
    <w:p w14:paraId="28773B31" w14:textId="14000DF3" w:rsidR="00B43A7F" w:rsidRPr="001C580A" w:rsidRDefault="00B43A7F" w:rsidP="001C580A">
      <w:pPr>
        <w:pStyle w:val="FootnoteText"/>
        <w:jc w:val="both"/>
        <w:rPr>
          <w:rFonts w:ascii="Times New Roman" w:hAnsi="Times New Roman" w:cs="Times New Roman"/>
        </w:rPr>
      </w:pPr>
      <w:r w:rsidRPr="001C580A">
        <w:rPr>
          <w:rStyle w:val="FootnoteReference"/>
          <w:rFonts w:ascii="Times New Roman" w:hAnsi="Times New Roman" w:cs="Times New Roman"/>
        </w:rPr>
        <w:footnoteRef/>
      </w:r>
      <w:r w:rsidRPr="001C580A">
        <w:rPr>
          <w:rFonts w:ascii="Times New Roman" w:hAnsi="Times New Roman" w:cs="Times New Roman"/>
        </w:rPr>
        <w:t xml:space="preserve"> </w:t>
      </w:r>
      <w:r w:rsidR="00736DD5" w:rsidRPr="001C580A">
        <w:rPr>
          <w:rFonts w:ascii="Times New Roman" w:hAnsi="Times New Roman" w:cs="Times New Roman"/>
        </w:rPr>
        <w:t xml:space="preserve">De Londras F and Enright M, </w:t>
      </w:r>
      <w:r w:rsidR="00736DD5" w:rsidRPr="001C580A">
        <w:rPr>
          <w:rStyle w:val="Emphasis"/>
          <w:rFonts w:ascii="Times New Roman" w:hAnsi="Times New Roman" w:cs="Times New Roman"/>
        </w:rPr>
        <w:t>Repealing the 8th: Reforming Irish Abortion Law</w:t>
      </w:r>
      <w:r w:rsidR="00736DD5" w:rsidRPr="001C580A">
        <w:rPr>
          <w:rFonts w:ascii="Times New Roman" w:hAnsi="Times New Roman" w:cs="Times New Roman"/>
        </w:rPr>
        <w:t xml:space="preserve"> (Policy Press 2018)</w:t>
      </w:r>
      <w:r w:rsidR="00F12526">
        <w:rPr>
          <w:rFonts w:ascii="Times New Roman" w:hAnsi="Times New Roman" w:cs="Times New Roman"/>
        </w:rPr>
        <w:t>;</w:t>
      </w:r>
      <w:r w:rsidR="00736DD5" w:rsidRPr="001C580A">
        <w:rPr>
          <w:rFonts w:ascii="Times New Roman" w:hAnsi="Times New Roman" w:cs="Times New Roman"/>
        </w:rPr>
        <w:t xml:space="preserve"> </w:t>
      </w:r>
      <w:r w:rsidRPr="001C580A">
        <w:rPr>
          <w:rFonts w:ascii="Times New Roman" w:hAnsi="Times New Roman" w:cs="Times New Roman"/>
        </w:rPr>
        <w:t>see in particular: Chapter 1: The Case for Repealing the 8</w:t>
      </w:r>
      <w:r w:rsidRPr="001C580A">
        <w:rPr>
          <w:rFonts w:ascii="Times New Roman" w:hAnsi="Times New Roman" w:cs="Times New Roman"/>
          <w:vertAlign w:val="superscript"/>
        </w:rPr>
        <w:t>th</w:t>
      </w:r>
      <w:r w:rsidRPr="001C580A">
        <w:rPr>
          <w:rFonts w:ascii="Times New Roman" w:hAnsi="Times New Roman" w:cs="Times New Roman"/>
        </w:rPr>
        <w:t>.</w:t>
      </w:r>
    </w:p>
  </w:footnote>
  <w:footnote w:id="53">
    <w:p w14:paraId="0126981A" w14:textId="08A5BE91" w:rsidR="00B43A7F" w:rsidRPr="001C580A" w:rsidRDefault="00B43A7F" w:rsidP="001C580A">
      <w:pPr>
        <w:pStyle w:val="FootnoteText"/>
        <w:jc w:val="both"/>
        <w:rPr>
          <w:rFonts w:ascii="Times New Roman" w:hAnsi="Times New Roman" w:cs="Times New Roman"/>
        </w:rPr>
      </w:pPr>
      <w:r w:rsidRPr="001C580A">
        <w:rPr>
          <w:rStyle w:val="FootnoteReference"/>
          <w:rFonts w:ascii="Times New Roman" w:hAnsi="Times New Roman" w:cs="Times New Roman"/>
        </w:rPr>
        <w:footnoteRef/>
      </w:r>
      <w:r w:rsidRPr="001C580A">
        <w:rPr>
          <w:rFonts w:ascii="Times New Roman" w:hAnsi="Times New Roman" w:cs="Times New Roman"/>
        </w:rPr>
        <w:t xml:space="preserve"> </w:t>
      </w:r>
      <w:r w:rsidRPr="001C580A">
        <w:rPr>
          <w:rFonts w:ascii="Times New Roman" w:hAnsi="Times New Roman" w:cs="Times New Roman"/>
        </w:rPr>
        <w:fldChar w:fldCharType="begin"/>
      </w:r>
      <w:r w:rsidR="007B6C8A" w:rsidRPr="001C580A">
        <w:rPr>
          <w:rFonts w:ascii="Times New Roman" w:hAnsi="Times New Roman" w:cs="Times New Roman"/>
        </w:rPr>
        <w:instrText xml:space="preserve"> ADDIN EN.CITE &lt;EndNote&gt;&lt;Cite&gt;&lt;Author&gt;de Londras&lt;/Author&gt;&lt;Year&gt;2018&lt;/Year&gt;&lt;RecNum&gt;5&lt;/RecNum&gt;&lt;DisplayText&gt;Ibid.&lt;/DisplayText&gt;&lt;record&gt;&lt;rec-number&gt;5&lt;/rec-number&gt;&lt;foreign-keys&gt;&lt;key app="EN" db-id="9rdszr0wox9r94e50eev2wrlzavtsaw9d2w9" timestamp="1782901276"&gt;5&lt;/key&gt;&lt;/foreign-keys&gt;&lt;ref-type name="Book"&gt;6&lt;/ref-type&gt;&lt;contributors&gt;&lt;authors&gt;&lt;author&gt;de Londras, Fiona&lt;/author&gt;&lt;author&gt;Enright, Máiréad&lt;/author&gt;&lt;/authors&gt;&lt;/contributors&gt;&lt;titles&gt;&lt;title&gt;Repealing the 8th: Reforming Irish abortion law&lt;/title&gt;&lt;/titles&gt;&lt;edition&gt;1st&lt;/edition&gt;&lt;keywords&gt;&lt;keyword&gt;Abortion&lt;/keyword&gt;&lt;keyword&gt;Law&lt;/keyword&gt;&lt;keyword&gt;Constitutional law&lt;/keyword&gt;&lt;keyword&gt;Law and Society&lt;/keyword&gt;&lt;keyword&gt;Politics&lt;/keyword&gt;&lt;keyword&gt;Referendum&lt;/keyword&gt;&lt;keyword&gt;SOCIAL SCIENCE&lt;/keyword&gt;&lt;keyword&gt;SOCIAL SCIENCE / Abortion &amp;amp; Birth Control&lt;/keyword&gt;&lt;keyword&gt;Sociology&lt;/keyword&gt;&lt;keyword&gt;Sociology of Gender and Sexuality&lt;/keyword&gt;&lt;/keywords&gt;&lt;dates&gt;&lt;year&gt;2018&lt;/year&gt;&lt;/dates&gt;&lt;pub-location&gt;Bristol&lt;/pub-location&gt;&lt;publisher&gt;Policy Press&lt;/publisher&gt;&lt;isbn&gt;9781447347514&lt;/isbn&gt;&lt;urls&gt;&lt;/urls&gt;&lt;electronic-resource-num&gt;10.56687/9781447347545&lt;/electronic-resource-num&gt;&lt;/record&gt;&lt;/Cite&gt;&lt;/EndNote&gt;</w:instrText>
      </w:r>
      <w:r w:rsidRPr="001C580A">
        <w:rPr>
          <w:rFonts w:ascii="Times New Roman" w:hAnsi="Times New Roman" w:cs="Times New Roman"/>
        </w:rPr>
        <w:fldChar w:fldCharType="separate"/>
      </w:r>
      <w:r w:rsidR="007B6C8A" w:rsidRPr="001C580A">
        <w:rPr>
          <w:rFonts w:ascii="Times New Roman" w:hAnsi="Times New Roman" w:cs="Times New Roman"/>
          <w:noProof/>
        </w:rPr>
        <w:t>Ibid</w:t>
      </w:r>
      <w:r w:rsidRPr="001C580A">
        <w:rPr>
          <w:rFonts w:ascii="Times New Roman" w:hAnsi="Times New Roman" w:cs="Times New Roman"/>
        </w:rPr>
        <w:fldChar w:fldCharType="end"/>
      </w:r>
      <w:r w:rsidRPr="001C580A">
        <w:rPr>
          <w:rFonts w:ascii="Times New Roman" w:hAnsi="Times New Roman" w:cs="Times New Roman"/>
        </w:rPr>
        <w:t>, 2.</w:t>
      </w:r>
    </w:p>
  </w:footnote>
  <w:footnote w:id="54">
    <w:p w14:paraId="40A5D3FE" w14:textId="2A1502B2" w:rsidR="00B43A7F" w:rsidRPr="001C580A" w:rsidRDefault="00B43A7F" w:rsidP="001C580A">
      <w:pPr>
        <w:pStyle w:val="FootnoteText"/>
        <w:jc w:val="both"/>
        <w:rPr>
          <w:rFonts w:ascii="Times New Roman" w:hAnsi="Times New Roman" w:cs="Times New Roman"/>
        </w:rPr>
      </w:pPr>
      <w:r w:rsidRPr="001C580A">
        <w:rPr>
          <w:rStyle w:val="FootnoteReference"/>
          <w:rFonts w:ascii="Times New Roman" w:hAnsi="Times New Roman" w:cs="Times New Roman"/>
        </w:rPr>
        <w:footnoteRef/>
      </w:r>
      <w:r w:rsidRPr="001C580A">
        <w:rPr>
          <w:rFonts w:ascii="Times New Roman" w:hAnsi="Times New Roman" w:cs="Times New Roman"/>
        </w:rPr>
        <w:t xml:space="preserve"> </w:t>
      </w:r>
      <w:r w:rsidR="00736DD5" w:rsidRPr="001C580A">
        <w:rPr>
          <w:rFonts w:ascii="Times New Roman" w:hAnsi="Times New Roman" w:cs="Times New Roman"/>
        </w:rPr>
        <w:t>Fletcher</w:t>
      </w:r>
      <w:r w:rsidR="00D4690E">
        <w:rPr>
          <w:rFonts w:ascii="Times New Roman" w:hAnsi="Times New Roman" w:cs="Times New Roman"/>
        </w:rPr>
        <w:t xml:space="preserve"> (n </w:t>
      </w:r>
      <w:r w:rsidR="0072709F">
        <w:rPr>
          <w:rFonts w:ascii="Times New Roman" w:hAnsi="Times New Roman" w:cs="Times New Roman"/>
        </w:rPr>
        <w:t>11)</w:t>
      </w:r>
      <w:r w:rsidR="00736DD5" w:rsidRPr="001C580A">
        <w:rPr>
          <w:rFonts w:ascii="Times New Roman" w:hAnsi="Times New Roman" w:cs="Times New Roman"/>
        </w:rPr>
        <w:t xml:space="preserve">, </w:t>
      </w:r>
      <w:r w:rsidR="00736DD5" w:rsidRPr="001C580A">
        <w:rPr>
          <w:rStyle w:val="Strong"/>
          <w:rFonts w:ascii="Times New Roman" w:hAnsi="Times New Roman" w:cs="Times New Roman"/>
          <w:b w:val="0"/>
          <w:bCs w:val="0"/>
        </w:rPr>
        <w:t>380–81</w:t>
      </w:r>
      <w:r w:rsidR="00736DD5" w:rsidRPr="001C580A">
        <w:rPr>
          <w:rFonts w:ascii="Times New Roman" w:hAnsi="Times New Roman" w:cs="Times New Roman"/>
        </w:rPr>
        <w:t>.</w:t>
      </w:r>
    </w:p>
  </w:footnote>
  <w:footnote w:id="55">
    <w:p w14:paraId="34C29A1B" w14:textId="796F6483" w:rsidR="00B43A7F" w:rsidRPr="001C580A" w:rsidRDefault="00B43A7F" w:rsidP="001C580A">
      <w:pPr>
        <w:pStyle w:val="FootnoteText"/>
        <w:jc w:val="both"/>
        <w:rPr>
          <w:rFonts w:ascii="Times New Roman" w:hAnsi="Times New Roman" w:cs="Times New Roman"/>
        </w:rPr>
      </w:pPr>
      <w:r w:rsidRPr="001C580A">
        <w:rPr>
          <w:rStyle w:val="FootnoteReference"/>
          <w:rFonts w:ascii="Times New Roman" w:hAnsi="Times New Roman" w:cs="Times New Roman"/>
        </w:rPr>
        <w:footnoteRef/>
      </w:r>
      <w:r w:rsidRPr="001C580A">
        <w:rPr>
          <w:rFonts w:ascii="Times New Roman" w:hAnsi="Times New Roman" w:cs="Times New Roman"/>
        </w:rPr>
        <w:t xml:space="preserve"> </w:t>
      </w:r>
      <w:r w:rsidRPr="001C580A">
        <w:rPr>
          <w:rFonts w:ascii="Times New Roman" w:hAnsi="Times New Roman" w:cs="Times New Roman"/>
        </w:rPr>
        <w:fldChar w:fldCharType="begin"/>
      </w:r>
      <w:r w:rsidR="007B6C8A" w:rsidRPr="001C580A">
        <w:rPr>
          <w:rFonts w:ascii="Times New Roman" w:hAnsi="Times New Roman" w:cs="Times New Roman"/>
        </w:rPr>
        <w:instrText xml:space="preserve"> ADDIN EN.CITE &lt;EndNote&gt;&lt;Cite&gt;&lt;Author&gt;Fischer&lt;/Author&gt;&lt;Year&gt;2019&lt;/Year&gt;&lt;RecNum&gt;3&lt;/RecNum&gt;&lt;DisplayText&gt;FISCHER, C. 2019. abortion and reproduction in Ireland: shame, nation-building and the affective politics of place. &lt;style face="italic"&gt;Feminist review,&lt;/style&gt; 122&lt;style face="bold"&gt;,&lt;/style&gt; 32-48.&lt;/DisplayText&gt;&lt;record&gt;&lt;rec-number&gt;3&lt;/rec-number&gt;&lt;foreign-keys&gt;&lt;key app="EN" db-id="9rdszr0wox9r94e50eev2wrlzavtsaw9d2w9" timestamp="1782901221"&gt;3&lt;/key&gt;&lt;/foreign-keys&gt;&lt;ref-type name="Journal Article"&gt;17&lt;/ref-type&gt;&lt;contributors&gt;&lt;authors&gt;&lt;author&gt;Fischer, Clara&lt;/author&gt;&lt;/authors&gt;&lt;/contributors&gt;&lt;titles&gt;&lt;title&gt;abortion and reproduction in Ireland: shame, nation-building and the affective politics of place&lt;/title&gt;&lt;secondary-title&gt;Feminist review&lt;/secondary-title&gt;&lt;/titles&gt;&lt;periodical&gt;&lt;full-title&gt;Feminist review&lt;/full-title&gt;&lt;/periodical&gt;&lt;pages&gt;32-48&lt;/pages&gt;&lt;volume&gt;122&lt;/volume&gt;&lt;number&gt;122&lt;/number&gt;&lt;keywords&gt;&lt;keyword&gt;Abortion&lt;/keyword&gt;&lt;keyword&gt;Amendments&lt;/keyword&gt;&lt;keyword&gt;Bans&lt;/keyword&gt;&lt;keyword&gt;Citizens&lt;/keyword&gt;&lt;keyword&gt;Coercion&lt;/keyword&gt;&lt;keyword&gt;Constitutional amendments&lt;/keyword&gt;&lt;keyword&gt;Context&lt;/keyword&gt;&lt;keyword&gt;Denial&lt;/keyword&gt;&lt;keyword&gt;Feminism&lt;/keyword&gt;&lt;keyword&gt;Gender&lt;/keyword&gt;&lt;keyword&gt;Human rights&lt;/keyword&gt;&lt;keyword&gt;Injunctions&lt;/keyword&gt;&lt;keyword&gt;Nation building&lt;/keyword&gt;&lt;keyword&gt;Nationalism&lt;/keyword&gt;&lt;keyword&gt;Political activism&lt;/keyword&gt;&lt;keyword&gt;Political development&lt;/keyword&gt;&lt;keyword&gt;Politics&lt;/keyword&gt;&lt;keyword&gt;Postcolonialism&lt;/keyword&gt;&lt;keyword&gt;Reproductive rights&lt;/keyword&gt;&lt;keyword&gt;Sexuality&lt;/keyword&gt;&lt;keyword&gt;Shame&lt;/keyword&gt;&lt;keyword&gt;Statehood&lt;/keyword&gt;&lt;keyword&gt;Travel&lt;/keyword&gt;&lt;keyword&gt;Women&lt;/keyword&gt;&lt;keyword&gt;Womens rights&lt;/keyword&gt;&lt;/keywords&gt;&lt;dates&gt;&lt;year&gt;2019&lt;/year&gt;&lt;/dates&gt;&lt;pub-location&gt;London, England&lt;/pub-location&gt;&lt;publisher&gt;Sage Publications, Ltd&lt;/publisher&gt;&lt;isbn&gt;0141-7789&lt;/isbn&gt;&lt;urls&gt;&lt;/urls&gt;&lt;electronic-resource-num&gt;10.1177/0141778919850003&lt;/electronic-resource-num&gt;&lt;/record&gt;&lt;/Cite&gt;&lt;/EndNote&gt;</w:instrText>
      </w:r>
      <w:r w:rsidRPr="001C580A">
        <w:rPr>
          <w:rFonts w:ascii="Times New Roman" w:hAnsi="Times New Roman" w:cs="Times New Roman"/>
        </w:rPr>
        <w:fldChar w:fldCharType="separate"/>
      </w:r>
      <w:r w:rsidR="00736DD5" w:rsidRPr="001C580A">
        <w:rPr>
          <w:rFonts w:ascii="Times New Roman" w:hAnsi="Times New Roman" w:cs="Times New Roman"/>
        </w:rPr>
        <w:t xml:space="preserve"> Fischer C, </w:t>
      </w:r>
      <w:r w:rsidR="004D1905">
        <w:rPr>
          <w:rFonts w:ascii="Times New Roman" w:hAnsi="Times New Roman" w:cs="Times New Roman"/>
        </w:rPr>
        <w:t>‘</w:t>
      </w:r>
      <w:r w:rsidR="00736DD5" w:rsidRPr="001C580A">
        <w:rPr>
          <w:rFonts w:ascii="Times New Roman" w:hAnsi="Times New Roman" w:cs="Times New Roman"/>
        </w:rPr>
        <w:t>Abortion and Reproduction in Ireland: Shame, Nation-Building and the Affective Politics of Place</w:t>
      </w:r>
      <w:r w:rsidR="004D1905">
        <w:rPr>
          <w:rFonts w:ascii="Times New Roman" w:hAnsi="Times New Roman" w:cs="Times New Roman"/>
        </w:rPr>
        <w:t>’</w:t>
      </w:r>
      <w:r w:rsidR="00736DD5" w:rsidRPr="001C580A">
        <w:rPr>
          <w:rFonts w:ascii="Times New Roman" w:hAnsi="Times New Roman" w:cs="Times New Roman"/>
        </w:rPr>
        <w:t xml:space="preserve"> (2019) 122 </w:t>
      </w:r>
      <w:r w:rsidR="00736DD5" w:rsidRPr="001C580A">
        <w:rPr>
          <w:rStyle w:val="Emphasis"/>
          <w:rFonts w:ascii="Times New Roman" w:hAnsi="Times New Roman" w:cs="Times New Roman"/>
        </w:rPr>
        <w:t>Feminist Review</w:t>
      </w:r>
      <w:r w:rsidR="00736DD5" w:rsidRPr="001C580A">
        <w:rPr>
          <w:rFonts w:ascii="Times New Roman" w:hAnsi="Times New Roman" w:cs="Times New Roman"/>
        </w:rPr>
        <w:t xml:space="preserve"> 32, </w:t>
      </w:r>
      <w:r w:rsidR="007B6C8A" w:rsidRPr="001C580A">
        <w:rPr>
          <w:rFonts w:ascii="Times New Roman" w:hAnsi="Times New Roman" w:cs="Times New Roman"/>
          <w:noProof/>
        </w:rPr>
        <w:t>32-48.</w:t>
      </w:r>
      <w:r w:rsidRPr="001C580A">
        <w:rPr>
          <w:rFonts w:ascii="Times New Roman" w:hAnsi="Times New Roman" w:cs="Times New Roman"/>
        </w:rPr>
        <w:fldChar w:fldCharType="end"/>
      </w:r>
    </w:p>
  </w:footnote>
  <w:footnote w:id="56">
    <w:p w14:paraId="289ED327" w14:textId="3CB675EE" w:rsidR="00B43A7F" w:rsidRPr="001C580A" w:rsidRDefault="00B43A7F" w:rsidP="001C580A">
      <w:pPr>
        <w:pStyle w:val="FootnoteText"/>
        <w:jc w:val="both"/>
        <w:rPr>
          <w:rFonts w:ascii="Times New Roman" w:hAnsi="Times New Roman" w:cs="Times New Roman"/>
        </w:rPr>
      </w:pPr>
      <w:r w:rsidRPr="001C580A">
        <w:rPr>
          <w:rStyle w:val="FootnoteReference"/>
          <w:rFonts w:ascii="Times New Roman" w:hAnsi="Times New Roman" w:cs="Times New Roman"/>
        </w:rPr>
        <w:footnoteRef/>
      </w:r>
      <w:r w:rsidRPr="001C580A">
        <w:rPr>
          <w:rFonts w:ascii="Times New Roman" w:hAnsi="Times New Roman" w:cs="Times New Roman"/>
        </w:rPr>
        <w:t xml:space="preserve"> </w:t>
      </w:r>
      <w:r w:rsidRPr="001C580A">
        <w:rPr>
          <w:rFonts w:ascii="Times New Roman" w:hAnsi="Times New Roman" w:cs="Times New Roman"/>
        </w:rPr>
        <w:fldChar w:fldCharType="begin"/>
      </w:r>
      <w:r w:rsidR="007B6C8A" w:rsidRPr="001C580A">
        <w:rPr>
          <w:rFonts w:ascii="Times New Roman" w:hAnsi="Times New Roman" w:cs="Times New Roman"/>
        </w:rPr>
        <w:instrText xml:space="preserve"> ADDIN EN.CITE &lt;EndNote&gt;&lt;Cite&gt;&lt;Author&gt;Fischer&lt;/Author&gt;&lt;Year&gt;2019&lt;/Year&gt;&lt;RecNum&gt;3&lt;/RecNum&gt;&lt;DisplayText&gt;Ibid.&lt;/DisplayText&gt;&lt;record&gt;&lt;rec-number&gt;3&lt;/rec-number&gt;&lt;foreign-keys&gt;&lt;key app="EN" db-id="9rdszr0wox9r94e50eev2wrlzavtsaw9d2w9" timestamp="1782901221"&gt;3&lt;/key&gt;&lt;/foreign-keys&gt;&lt;ref-type name="Journal Article"&gt;17&lt;/ref-type&gt;&lt;contributors&gt;&lt;authors&gt;&lt;author&gt;Fischer, Clara&lt;/author&gt;&lt;/authors&gt;&lt;/contributors&gt;&lt;titles&gt;&lt;title&gt;abortion and reproduction in Ireland: shame, nation-building and the affective politics of place&lt;/title&gt;&lt;secondary-title&gt;Feminist review&lt;/secondary-title&gt;&lt;/titles&gt;&lt;periodical&gt;&lt;full-title&gt;Feminist review&lt;/full-title&gt;&lt;/periodical&gt;&lt;pages&gt;32-48&lt;/pages&gt;&lt;volume&gt;122&lt;/volume&gt;&lt;number&gt;122&lt;/number&gt;&lt;keywords&gt;&lt;keyword&gt;Abortion&lt;/keyword&gt;&lt;keyword&gt;Amendments&lt;/keyword&gt;&lt;keyword&gt;Bans&lt;/keyword&gt;&lt;keyword&gt;Citizens&lt;/keyword&gt;&lt;keyword&gt;Coercion&lt;/keyword&gt;&lt;keyword&gt;Constitutional amendments&lt;/keyword&gt;&lt;keyword&gt;Context&lt;/keyword&gt;&lt;keyword&gt;Denial&lt;/keyword&gt;&lt;keyword&gt;Feminism&lt;/keyword&gt;&lt;keyword&gt;Gender&lt;/keyword&gt;&lt;keyword&gt;Human rights&lt;/keyword&gt;&lt;keyword&gt;Injunctions&lt;/keyword&gt;&lt;keyword&gt;Nation building&lt;/keyword&gt;&lt;keyword&gt;Nationalism&lt;/keyword&gt;&lt;keyword&gt;Political activism&lt;/keyword&gt;&lt;keyword&gt;Political development&lt;/keyword&gt;&lt;keyword&gt;Politics&lt;/keyword&gt;&lt;keyword&gt;Postcolonialism&lt;/keyword&gt;&lt;keyword&gt;Reproductive rights&lt;/keyword&gt;&lt;keyword&gt;Sexuality&lt;/keyword&gt;&lt;keyword&gt;Shame&lt;/keyword&gt;&lt;keyword&gt;Statehood&lt;/keyword&gt;&lt;keyword&gt;Travel&lt;/keyword&gt;&lt;keyword&gt;Women&lt;/keyword&gt;&lt;keyword&gt;Womens rights&lt;/keyword&gt;&lt;/keywords&gt;&lt;dates&gt;&lt;year&gt;2019&lt;/year&gt;&lt;/dates&gt;&lt;pub-location&gt;London, England&lt;/pub-location&gt;&lt;publisher&gt;Sage Publications, Ltd&lt;/publisher&gt;&lt;isbn&gt;0141-7789&lt;/isbn&gt;&lt;urls&gt;&lt;/urls&gt;&lt;electronic-resource-num&gt;10.1177/0141778919850003&lt;/electronic-resource-num&gt;&lt;/record&gt;&lt;/Cite&gt;&lt;/EndNote&gt;</w:instrText>
      </w:r>
      <w:r w:rsidRPr="001C580A">
        <w:rPr>
          <w:rFonts w:ascii="Times New Roman" w:hAnsi="Times New Roman" w:cs="Times New Roman"/>
        </w:rPr>
        <w:fldChar w:fldCharType="separate"/>
      </w:r>
      <w:r w:rsidR="007B6C8A" w:rsidRPr="001C580A">
        <w:rPr>
          <w:rFonts w:ascii="Times New Roman" w:hAnsi="Times New Roman" w:cs="Times New Roman"/>
          <w:noProof/>
        </w:rPr>
        <w:t>Ibid</w:t>
      </w:r>
      <w:r w:rsidRPr="001C580A">
        <w:rPr>
          <w:rFonts w:ascii="Times New Roman" w:hAnsi="Times New Roman" w:cs="Times New Roman"/>
        </w:rPr>
        <w:fldChar w:fldCharType="end"/>
      </w:r>
      <w:r w:rsidRPr="001C580A">
        <w:rPr>
          <w:rFonts w:ascii="Times New Roman" w:hAnsi="Times New Roman" w:cs="Times New Roman"/>
        </w:rPr>
        <w:t>, 33.</w:t>
      </w:r>
    </w:p>
  </w:footnote>
  <w:footnote w:id="57">
    <w:p w14:paraId="701754BC" w14:textId="134AA948" w:rsidR="00B43A7F" w:rsidRPr="001C580A" w:rsidRDefault="00B43A7F" w:rsidP="001C580A">
      <w:pPr>
        <w:jc w:val="both"/>
        <w:rPr>
          <w:rFonts w:ascii="Times New Roman" w:hAnsi="Times New Roman" w:cs="Times New Roman"/>
          <w:color w:val="000000" w:themeColor="text1"/>
          <w:sz w:val="20"/>
          <w:szCs w:val="20"/>
        </w:rPr>
      </w:pPr>
      <w:r w:rsidRPr="001C580A">
        <w:rPr>
          <w:rStyle w:val="FootnoteReference"/>
          <w:rFonts w:ascii="Times New Roman" w:hAnsi="Times New Roman" w:cs="Times New Roman"/>
          <w:color w:val="000000" w:themeColor="text1"/>
          <w:sz w:val="20"/>
          <w:szCs w:val="20"/>
        </w:rPr>
        <w:footnoteRef/>
      </w:r>
      <w:r w:rsidRPr="001C580A">
        <w:rPr>
          <w:rFonts w:ascii="Times New Roman" w:hAnsi="Times New Roman" w:cs="Times New Roman"/>
          <w:color w:val="000000" w:themeColor="text1"/>
          <w:sz w:val="20"/>
          <w:szCs w:val="20"/>
        </w:rPr>
        <w:t xml:space="preserve"> </w:t>
      </w:r>
      <w:r w:rsidR="00736DD5" w:rsidRPr="001C580A">
        <w:rPr>
          <w:rFonts w:ascii="Times New Roman" w:hAnsi="Times New Roman" w:cs="Times New Roman"/>
          <w:sz w:val="20"/>
          <w:szCs w:val="20"/>
        </w:rPr>
        <w:t xml:space="preserve">Scanlon LA and Kumar MS, </w:t>
      </w:r>
      <w:r w:rsidR="004D1905">
        <w:rPr>
          <w:rFonts w:ascii="Times New Roman" w:hAnsi="Times New Roman" w:cs="Times New Roman"/>
          <w:sz w:val="20"/>
          <w:szCs w:val="20"/>
        </w:rPr>
        <w:t>‘</w:t>
      </w:r>
      <w:r w:rsidR="00736DD5" w:rsidRPr="001C580A">
        <w:rPr>
          <w:rFonts w:ascii="Times New Roman" w:hAnsi="Times New Roman" w:cs="Times New Roman"/>
          <w:sz w:val="20"/>
          <w:szCs w:val="20"/>
        </w:rPr>
        <w:t>Ireland and Irishness: The Contextuality of Postcolonial Identity</w:t>
      </w:r>
      <w:r w:rsidR="004D1905">
        <w:rPr>
          <w:rFonts w:ascii="Times New Roman" w:hAnsi="Times New Roman" w:cs="Times New Roman"/>
          <w:sz w:val="20"/>
          <w:szCs w:val="20"/>
        </w:rPr>
        <w:t>’</w:t>
      </w:r>
      <w:r w:rsidR="00736DD5" w:rsidRPr="001C580A">
        <w:rPr>
          <w:rFonts w:ascii="Times New Roman" w:hAnsi="Times New Roman" w:cs="Times New Roman"/>
          <w:sz w:val="20"/>
          <w:szCs w:val="20"/>
        </w:rPr>
        <w:t xml:space="preserve"> (2019) 109(1) </w:t>
      </w:r>
      <w:r w:rsidR="00736DD5" w:rsidRPr="001C580A">
        <w:rPr>
          <w:rStyle w:val="Emphasis"/>
          <w:rFonts w:ascii="Times New Roman" w:hAnsi="Times New Roman" w:cs="Times New Roman"/>
          <w:sz w:val="20"/>
          <w:szCs w:val="20"/>
        </w:rPr>
        <w:t>Annals of the American Association of Geographers</w:t>
      </w:r>
      <w:r w:rsidR="00736DD5" w:rsidRPr="001C580A">
        <w:rPr>
          <w:rFonts w:ascii="Times New Roman" w:hAnsi="Times New Roman" w:cs="Times New Roman"/>
          <w:sz w:val="20"/>
          <w:szCs w:val="20"/>
        </w:rPr>
        <w:t xml:space="preserve"> 202.</w:t>
      </w:r>
    </w:p>
  </w:footnote>
  <w:footnote w:id="58">
    <w:p w14:paraId="4A1A9AC5" w14:textId="741E7FAF" w:rsidR="00B43A7F" w:rsidRPr="001C580A" w:rsidRDefault="00B43A7F" w:rsidP="001C580A">
      <w:pPr>
        <w:jc w:val="both"/>
        <w:rPr>
          <w:rFonts w:ascii="Times New Roman" w:hAnsi="Times New Roman" w:cs="Times New Roman"/>
          <w:color w:val="000000" w:themeColor="text1"/>
          <w:sz w:val="20"/>
          <w:szCs w:val="20"/>
        </w:rPr>
      </w:pPr>
      <w:r w:rsidRPr="001C580A">
        <w:rPr>
          <w:rStyle w:val="FootnoteReference"/>
          <w:rFonts w:ascii="Times New Roman" w:hAnsi="Times New Roman" w:cs="Times New Roman"/>
          <w:color w:val="000000" w:themeColor="text1"/>
          <w:sz w:val="20"/>
          <w:szCs w:val="20"/>
        </w:rPr>
        <w:footnoteRef/>
      </w:r>
      <w:r w:rsidRPr="001C580A">
        <w:rPr>
          <w:rFonts w:ascii="Times New Roman" w:hAnsi="Times New Roman" w:cs="Times New Roman"/>
          <w:color w:val="000000" w:themeColor="text1"/>
          <w:sz w:val="20"/>
          <w:szCs w:val="20"/>
        </w:rPr>
        <w:t xml:space="preserve"> </w:t>
      </w:r>
      <w:r w:rsidR="00736DD5" w:rsidRPr="001C580A">
        <w:rPr>
          <w:rFonts w:ascii="Times New Roman" w:hAnsi="Times New Roman" w:cs="Times New Roman"/>
          <w:sz w:val="20"/>
          <w:szCs w:val="20"/>
        </w:rPr>
        <w:t xml:space="preserve">White TJ, </w:t>
      </w:r>
      <w:r w:rsidR="004D1905">
        <w:rPr>
          <w:rFonts w:ascii="Times New Roman" w:hAnsi="Times New Roman" w:cs="Times New Roman"/>
          <w:sz w:val="20"/>
          <w:szCs w:val="20"/>
        </w:rPr>
        <w:t>‘</w:t>
      </w:r>
      <w:r w:rsidR="00736DD5" w:rsidRPr="001C580A">
        <w:rPr>
          <w:rFonts w:ascii="Times New Roman" w:hAnsi="Times New Roman" w:cs="Times New Roman"/>
          <w:sz w:val="20"/>
          <w:szCs w:val="20"/>
        </w:rPr>
        <w:t>Catholicism and Nationalism in Ireland: From Fusion in the 19th Century to Separation in the 21st Century</w:t>
      </w:r>
      <w:r w:rsidR="004D1905">
        <w:rPr>
          <w:rFonts w:ascii="Times New Roman" w:hAnsi="Times New Roman" w:cs="Times New Roman"/>
          <w:sz w:val="20"/>
          <w:szCs w:val="20"/>
        </w:rPr>
        <w:t>’</w:t>
      </w:r>
      <w:r w:rsidR="00736DD5" w:rsidRPr="001C580A">
        <w:rPr>
          <w:rFonts w:ascii="Times New Roman" w:hAnsi="Times New Roman" w:cs="Times New Roman"/>
          <w:sz w:val="20"/>
          <w:szCs w:val="20"/>
        </w:rPr>
        <w:t xml:space="preserve"> (2007) 4(1) </w:t>
      </w:r>
      <w:r w:rsidR="00736DD5" w:rsidRPr="001C580A">
        <w:rPr>
          <w:rStyle w:val="Emphasis"/>
          <w:rFonts w:ascii="Times New Roman" w:hAnsi="Times New Roman" w:cs="Times New Roman"/>
          <w:sz w:val="20"/>
          <w:szCs w:val="20"/>
        </w:rPr>
        <w:t>Westminster Papers in Communication and Culture</w:t>
      </w:r>
      <w:r w:rsidR="00736DD5" w:rsidRPr="001C580A">
        <w:rPr>
          <w:rFonts w:ascii="Times New Roman" w:hAnsi="Times New Roman" w:cs="Times New Roman"/>
          <w:sz w:val="20"/>
          <w:szCs w:val="20"/>
        </w:rPr>
        <w:t xml:space="preserve"> 47.</w:t>
      </w:r>
    </w:p>
  </w:footnote>
  <w:footnote w:id="59">
    <w:p w14:paraId="5B878A82" w14:textId="6F8AB2B3" w:rsidR="00DC13E7" w:rsidRPr="001C580A" w:rsidRDefault="00DC13E7" w:rsidP="001C580A">
      <w:pPr>
        <w:jc w:val="both"/>
        <w:rPr>
          <w:rFonts w:ascii="Times New Roman" w:hAnsi="Times New Roman" w:cs="Times New Roman"/>
          <w:color w:val="000000" w:themeColor="text1"/>
          <w:sz w:val="20"/>
          <w:szCs w:val="20"/>
        </w:rPr>
      </w:pPr>
      <w:r w:rsidRPr="001C580A">
        <w:rPr>
          <w:rStyle w:val="FootnoteReference"/>
          <w:rFonts w:ascii="Times New Roman" w:hAnsi="Times New Roman" w:cs="Times New Roman"/>
          <w:color w:val="000000" w:themeColor="text1"/>
          <w:sz w:val="20"/>
          <w:szCs w:val="20"/>
        </w:rPr>
        <w:footnoteRef/>
      </w:r>
      <w:r w:rsidRPr="001C580A">
        <w:rPr>
          <w:rFonts w:ascii="Times New Roman" w:hAnsi="Times New Roman" w:cs="Times New Roman"/>
          <w:color w:val="000000" w:themeColor="text1"/>
          <w:sz w:val="20"/>
          <w:szCs w:val="20"/>
        </w:rPr>
        <w:t xml:space="preserve"> </w:t>
      </w:r>
      <w:r w:rsidR="00736DD5" w:rsidRPr="001C580A">
        <w:rPr>
          <w:rFonts w:ascii="Times New Roman" w:hAnsi="Times New Roman" w:cs="Times New Roman"/>
          <w:sz w:val="20"/>
          <w:szCs w:val="20"/>
        </w:rPr>
        <w:t xml:space="preserve">Taylor </w:t>
      </w:r>
      <w:r w:rsidR="00D03D68">
        <w:rPr>
          <w:rFonts w:ascii="Times New Roman" w:hAnsi="Times New Roman" w:cs="Times New Roman"/>
          <w:sz w:val="20"/>
          <w:szCs w:val="20"/>
        </w:rPr>
        <w:t xml:space="preserve"> et al. (n </w:t>
      </w:r>
      <w:r w:rsidR="002E5B29">
        <w:rPr>
          <w:rFonts w:ascii="Times New Roman" w:hAnsi="Times New Roman" w:cs="Times New Roman"/>
          <w:sz w:val="20"/>
          <w:szCs w:val="20"/>
        </w:rPr>
        <w:t>47)</w:t>
      </w:r>
      <w:r w:rsidR="00736DD5" w:rsidRPr="001C580A">
        <w:rPr>
          <w:rFonts w:ascii="Times New Roman" w:hAnsi="Times New Roman" w:cs="Times New Roman"/>
          <w:sz w:val="20"/>
          <w:szCs w:val="20"/>
        </w:rPr>
        <w:t xml:space="preserve">, </w:t>
      </w:r>
      <w:r w:rsidR="00736DD5" w:rsidRPr="001C580A">
        <w:rPr>
          <w:rStyle w:val="Strong"/>
          <w:rFonts w:ascii="Times New Roman" w:hAnsi="Times New Roman" w:cs="Times New Roman"/>
          <w:b w:val="0"/>
          <w:bCs w:val="0"/>
          <w:sz w:val="20"/>
          <w:szCs w:val="20"/>
        </w:rPr>
        <w:t>38</w:t>
      </w:r>
      <w:r w:rsidR="00736DD5" w:rsidRPr="001C580A">
        <w:rPr>
          <w:rFonts w:ascii="Times New Roman" w:hAnsi="Times New Roman" w:cs="Times New Roman"/>
          <w:sz w:val="20"/>
          <w:szCs w:val="20"/>
        </w:rPr>
        <w:t>.</w:t>
      </w:r>
    </w:p>
  </w:footnote>
  <w:footnote w:id="60">
    <w:p w14:paraId="73B1CCD2" w14:textId="5EDA433E" w:rsidR="00B43A7F" w:rsidRPr="001C580A" w:rsidRDefault="00B43A7F" w:rsidP="001C580A">
      <w:pPr>
        <w:jc w:val="both"/>
        <w:rPr>
          <w:rFonts w:ascii="Times New Roman" w:hAnsi="Times New Roman" w:cs="Times New Roman"/>
          <w:color w:val="000000" w:themeColor="text1"/>
          <w:sz w:val="20"/>
          <w:szCs w:val="20"/>
        </w:rPr>
      </w:pPr>
      <w:r w:rsidRPr="001C580A">
        <w:rPr>
          <w:rStyle w:val="FootnoteReference"/>
          <w:rFonts w:ascii="Times New Roman" w:hAnsi="Times New Roman" w:cs="Times New Roman"/>
          <w:color w:val="000000" w:themeColor="text1"/>
          <w:sz w:val="20"/>
          <w:szCs w:val="20"/>
        </w:rPr>
        <w:footnoteRef/>
      </w:r>
      <w:r w:rsidRPr="001C580A">
        <w:rPr>
          <w:rFonts w:ascii="Times New Roman" w:hAnsi="Times New Roman" w:cs="Times New Roman"/>
          <w:color w:val="000000" w:themeColor="text1"/>
          <w:sz w:val="20"/>
          <w:szCs w:val="20"/>
        </w:rPr>
        <w:t xml:space="preserve"> </w:t>
      </w:r>
      <w:r w:rsidR="00736DD5" w:rsidRPr="001C580A">
        <w:rPr>
          <w:rFonts w:ascii="Times New Roman" w:hAnsi="Times New Roman" w:cs="Times New Roman"/>
          <w:sz w:val="20"/>
          <w:szCs w:val="20"/>
        </w:rPr>
        <w:t>Enright M</w:t>
      </w:r>
      <w:r w:rsidR="00090EFA">
        <w:rPr>
          <w:rFonts w:ascii="Times New Roman" w:hAnsi="Times New Roman" w:cs="Times New Roman"/>
          <w:sz w:val="20"/>
          <w:szCs w:val="20"/>
        </w:rPr>
        <w:t xml:space="preserve"> et al.</w:t>
      </w:r>
      <w:r w:rsidR="00736DD5" w:rsidRPr="001C580A">
        <w:rPr>
          <w:rFonts w:ascii="Times New Roman" w:hAnsi="Times New Roman" w:cs="Times New Roman"/>
          <w:sz w:val="20"/>
          <w:szCs w:val="20"/>
        </w:rPr>
        <w:t xml:space="preserve">, </w:t>
      </w:r>
      <w:r w:rsidR="004D1905">
        <w:rPr>
          <w:rFonts w:ascii="Times New Roman" w:hAnsi="Times New Roman" w:cs="Times New Roman"/>
          <w:sz w:val="20"/>
          <w:szCs w:val="20"/>
        </w:rPr>
        <w:t>‘</w:t>
      </w:r>
      <w:r w:rsidR="00736DD5" w:rsidRPr="001C580A">
        <w:rPr>
          <w:rFonts w:ascii="Times New Roman" w:hAnsi="Times New Roman" w:cs="Times New Roman"/>
          <w:sz w:val="20"/>
          <w:szCs w:val="20"/>
        </w:rPr>
        <w:t>Abortion Law Reform in Ireland: A Model for Change</w:t>
      </w:r>
      <w:r w:rsidR="004D1905">
        <w:rPr>
          <w:rFonts w:ascii="Times New Roman" w:hAnsi="Times New Roman" w:cs="Times New Roman"/>
          <w:sz w:val="20"/>
          <w:szCs w:val="20"/>
        </w:rPr>
        <w:t>’</w:t>
      </w:r>
      <w:r w:rsidR="00736DD5" w:rsidRPr="001C580A">
        <w:rPr>
          <w:rFonts w:ascii="Times New Roman" w:hAnsi="Times New Roman" w:cs="Times New Roman"/>
          <w:sz w:val="20"/>
          <w:szCs w:val="20"/>
        </w:rPr>
        <w:t xml:space="preserve"> (2015) 5(1) </w:t>
      </w:r>
      <w:proofErr w:type="spellStart"/>
      <w:r w:rsidR="00736DD5" w:rsidRPr="001C580A">
        <w:rPr>
          <w:rStyle w:val="Emphasis"/>
          <w:rFonts w:ascii="Times New Roman" w:hAnsi="Times New Roman" w:cs="Times New Roman"/>
          <w:sz w:val="20"/>
          <w:szCs w:val="20"/>
        </w:rPr>
        <w:t>feminists@law</w:t>
      </w:r>
      <w:proofErr w:type="spellEnd"/>
      <w:r w:rsidR="00736DD5" w:rsidRPr="001C580A">
        <w:rPr>
          <w:rFonts w:ascii="Times New Roman" w:hAnsi="Times New Roman" w:cs="Times New Roman"/>
          <w:sz w:val="20"/>
          <w:szCs w:val="20"/>
        </w:rPr>
        <w:t xml:space="preserve">; </w:t>
      </w:r>
      <w:r w:rsidR="007836B1" w:rsidRPr="001C580A">
        <w:rPr>
          <w:rFonts w:ascii="Times New Roman" w:hAnsi="Times New Roman" w:cs="Times New Roman"/>
          <w:sz w:val="20"/>
          <w:szCs w:val="20"/>
        </w:rPr>
        <w:t>Fletcher</w:t>
      </w:r>
      <w:r w:rsidR="00090EFA">
        <w:rPr>
          <w:rFonts w:ascii="Times New Roman" w:hAnsi="Times New Roman" w:cs="Times New Roman"/>
          <w:sz w:val="20"/>
          <w:szCs w:val="20"/>
        </w:rPr>
        <w:t xml:space="preserve"> (n </w:t>
      </w:r>
      <w:r w:rsidR="001F1FA3">
        <w:rPr>
          <w:rFonts w:ascii="Times New Roman" w:hAnsi="Times New Roman" w:cs="Times New Roman"/>
          <w:sz w:val="20"/>
          <w:szCs w:val="20"/>
        </w:rPr>
        <w:t>40)</w:t>
      </w:r>
      <w:r w:rsidR="007836B1" w:rsidRPr="001C580A">
        <w:rPr>
          <w:rFonts w:ascii="Times New Roman" w:hAnsi="Times New Roman" w:cs="Times New Roman"/>
          <w:sz w:val="20"/>
          <w:szCs w:val="20"/>
        </w:rPr>
        <w:t>.</w:t>
      </w:r>
    </w:p>
  </w:footnote>
  <w:footnote w:id="61">
    <w:p w14:paraId="070B9A6A" w14:textId="589C1C1D" w:rsidR="00B43A7F" w:rsidRPr="001C580A" w:rsidRDefault="00B43A7F" w:rsidP="001C580A">
      <w:pPr>
        <w:jc w:val="both"/>
        <w:rPr>
          <w:rFonts w:ascii="Times New Roman" w:hAnsi="Times New Roman" w:cs="Times New Roman"/>
          <w:color w:val="000000" w:themeColor="text1"/>
          <w:sz w:val="20"/>
          <w:szCs w:val="20"/>
        </w:rPr>
      </w:pPr>
      <w:r w:rsidRPr="001C580A">
        <w:rPr>
          <w:rStyle w:val="FootnoteReference"/>
          <w:rFonts w:ascii="Times New Roman" w:hAnsi="Times New Roman" w:cs="Times New Roman"/>
          <w:color w:val="000000" w:themeColor="text1"/>
          <w:sz w:val="20"/>
          <w:szCs w:val="20"/>
        </w:rPr>
        <w:footnoteRef/>
      </w:r>
      <w:r w:rsidRPr="001C580A">
        <w:rPr>
          <w:rFonts w:ascii="Times New Roman" w:hAnsi="Times New Roman" w:cs="Times New Roman"/>
          <w:i/>
          <w:iCs/>
          <w:color w:val="000000" w:themeColor="text1"/>
          <w:sz w:val="20"/>
          <w:szCs w:val="20"/>
        </w:rPr>
        <w:t xml:space="preserve"> </w:t>
      </w:r>
      <w:r w:rsidR="00692C6A" w:rsidRPr="00692C6A">
        <w:rPr>
          <w:rStyle w:val="Emphasis"/>
          <w:rFonts w:ascii="Times New Roman" w:hAnsi="Times New Roman" w:cs="Times New Roman"/>
          <w:sz w:val="20"/>
          <w:szCs w:val="20"/>
        </w:rPr>
        <w:t>Society for the Protection of Unborn Children (Ireland) Ltd v Grogan</w:t>
      </w:r>
      <w:r w:rsidR="00692C6A" w:rsidRPr="00692C6A">
        <w:rPr>
          <w:rFonts w:ascii="Times New Roman" w:hAnsi="Times New Roman" w:cs="Times New Roman"/>
          <w:sz w:val="20"/>
          <w:szCs w:val="20"/>
        </w:rPr>
        <w:t xml:space="preserve"> (Case C-159/90) [1991] ECR I-4685.</w:t>
      </w:r>
    </w:p>
  </w:footnote>
  <w:footnote w:id="62">
    <w:p w14:paraId="44C4BD6B" w14:textId="1FD219B1" w:rsidR="00692C6A" w:rsidRPr="00692C6A" w:rsidRDefault="00692C6A" w:rsidP="00692C6A">
      <w:pPr>
        <w:pStyle w:val="FootnoteText"/>
        <w:jc w:val="both"/>
        <w:rPr>
          <w:rFonts w:ascii="Times New Roman" w:hAnsi="Times New Roman" w:cs="Times New Roman"/>
        </w:rPr>
      </w:pPr>
      <w:r>
        <w:rPr>
          <w:rStyle w:val="FootnoteReference"/>
        </w:rPr>
        <w:footnoteRef/>
      </w:r>
      <w:r>
        <w:t xml:space="preserve"> </w:t>
      </w:r>
      <w:r w:rsidRPr="00692C6A">
        <w:rPr>
          <w:rFonts w:ascii="Times New Roman" w:hAnsi="Times New Roman" w:cs="Times New Roman"/>
        </w:rPr>
        <w:t>Although the European Court of Justice recognised lawful abortion as a protected cross-border service, it held that the unions</w:t>
      </w:r>
      <w:r>
        <w:rPr>
          <w:rFonts w:ascii="Times New Roman" w:hAnsi="Times New Roman" w:cs="Times New Roman"/>
        </w:rPr>
        <w:t>’</w:t>
      </w:r>
      <w:r w:rsidRPr="00692C6A">
        <w:rPr>
          <w:rFonts w:ascii="Times New Roman" w:hAnsi="Times New Roman" w:cs="Times New Roman"/>
        </w:rPr>
        <w:t xml:space="preserve"> independent distribution of information lacked the necessary economic connection to that service, placing the dispute outside the scope of EU free movement law and allowing Ireland</w:t>
      </w:r>
      <w:r>
        <w:rPr>
          <w:rFonts w:ascii="Times New Roman" w:hAnsi="Times New Roman" w:cs="Times New Roman"/>
        </w:rPr>
        <w:t>’</w:t>
      </w:r>
      <w:r w:rsidRPr="00692C6A">
        <w:rPr>
          <w:rFonts w:ascii="Times New Roman" w:hAnsi="Times New Roman" w:cs="Times New Roman"/>
        </w:rPr>
        <w:t>s domestic abortion restrictions to remain unaffected by EU law in that case</w:t>
      </w:r>
      <w:r w:rsidR="00223DC5">
        <w:rPr>
          <w:rFonts w:ascii="Times New Roman" w:hAnsi="Times New Roman" w:cs="Times New Roman"/>
        </w:rPr>
        <w:t>; s</w:t>
      </w:r>
      <w:r w:rsidRPr="00692C6A">
        <w:rPr>
          <w:rFonts w:ascii="Times New Roman" w:hAnsi="Times New Roman" w:cs="Times New Roman"/>
        </w:rPr>
        <w:t>ee:</w:t>
      </w:r>
      <w:r w:rsidR="00223DC5">
        <w:rPr>
          <w:rFonts w:ascii="Times New Roman" w:hAnsi="Times New Roman" w:cs="Times New Roman"/>
        </w:rPr>
        <w:t xml:space="preserve"> </w:t>
      </w:r>
      <w:r w:rsidRPr="00692C6A">
        <w:rPr>
          <w:rFonts w:ascii="Times New Roman" w:hAnsi="Times New Roman" w:cs="Times New Roman"/>
        </w:rPr>
        <w:t xml:space="preserve">para 22-27, </w:t>
      </w:r>
      <w:hyperlink r:id="rId7" w:history="1">
        <w:r w:rsidRPr="006F33BF">
          <w:rPr>
            <w:rStyle w:val="Hyperlink"/>
            <w:rFonts w:ascii="Times New Roman" w:hAnsi="Times New Roman" w:cs="Times New Roman"/>
          </w:rPr>
          <w:t>https://eur-lex.europa.eu/legal-content/EN/TXT/HTML/?uri=CELEX:61990CJ0159</w:t>
        </w:r>
      </w:hyperlink>
      <w:r>
        <w:rPr>
          <w:rFonts w:ascii="Times New Roman" w:hAnsi="Times New Roman" w:cs="Times New Roman"/>
        </w:rPr>
        <w:t xml:space="preserve"> a</w:t>
      </w:r>
      <w:r w:rsidRPr="00692C6A">
        <w:rPr>
          <w:rFonts w:ascii="Times New Roman" w:hAnsi="Times New Roman" w:cs="Times New Roman"/>
        </w:rPr>
        <w:t>ccessed July 2026</w:t>
      </w:r>
      <w:r>
        <w:rPr>
          <w:rFonts w:ascii="Times New Roman" w:hAnsi="Times New Roman" w:cs="Times New Roman"/>
        </w:rPr>
        <w:t>.</w:t>
      </w:r>
    </w:p>
  </w:footnote>
  <w:footnote w:id="63">
    <w:p w14:paraId="632F8D3A" w14:textId="77777777" w:rsidR="00B43A7F" w:rsidRPr="001C580A" w:rsidRDefault="00B43A7F" w:rsidP="001C580A">
      <w:pPr>
        <w:jc w:val="both"/>
        <w:rPr>
          <w:rFonts w:ascii="Times New Roman" w:hAnsi="Times New Roman" w:cs="Times New Roman"/>
          <w:color w:val="000000" w:themeColor="text1"/>
          <w:sz w:val="20"/>
          <w:szCs w:val="20"/>
        </w:rPr>
      </w:pPr>
      <w:r w:rsidRPr="001C580A">
        <w:rPr>
          <w:rStyle w:val="FootnoteReference"/>
          <w:rFonts w:ascii="Times New Roman" w:hAnsi="Times New Roman" w:cs="Times New Roman"/>
          <w:color w:val="000000" w:themeColor="text1"/>
          <w:sz w:val="20"/>
          <w:szCs w:val="20"/>
        </w:rPr>
        <w:footnoteRef/>
      </w:r>
      <w:r w:rsidRPr="001C580A">
        <w:rPr>
          <w:rFonts w:ascii="Times New Roman" w:hAnsi="Times New Roman" w:cs="Times New Roman"/>
          <w:i/>
          <w:iCs/>
          <w:color w:val="000000" w:themeColor="text1"/>
          <w:sz w:val="20"/>
          <w:szCs w:val="20"/>
        </w:rPr>
        <w:t xml:space="preserve"> Attorney General v X</w:t>
      </w:r>
      <w:r w:rsidRPr="001C580A">
        <w:rPr>
          <w:rFonts w:ascii="Times New Roman" w:hAnsi="Times New Roman" w:cs="Times New Roman"/>
          <w:color w:val="000000" w:themeColor="text1"/>
          <w:sz w:val="20"/>
          <w:szCs w:val="20"/>
        </w:rPr>
        <w:t xml:space="preserve"> (1992) 1 IR 1, 57–58.</w:t>
      </w:r>
    </w:p>
  </w:footnote>
  <w:footnote w:id="64">
    <w:p w14:paraId="3249D72B" w14:textId="17FD1E93" w:rsidR="00B43A7F" w:rsidRPr="001C580A" w:rsidRDefault="00B43A7F" w:rsidP="001C580A">
      <w:pPr>
        <w:jc w:val="both"/>
        <w:rPr>
          <w:rFonts w:ascii="Times New Roman" w:hAnsi="Times New Roman" w:cs="Times New Roman"/>
          <w:color w:val="000000" w:themeColor="text1"/>
          <w:sz w:val="20"/>
          <w:szCs w:val="20"/>
        </w:rPr>
      </w:pPr>
      <w:r w:rsidRPr="001C580A">
        <w:rPr>
          <w:rStyle w:val="FootnoteReference"/>
          <w:rFonts w:ascii="Times New Roman" w:hAnsi="Times New Roman" w:cs="Times New Roman"/>
          <w:color w:val="000000" w:themeColor="text1"/>
          <w:sz w:val="20"/>
          <w:szCs w:val="20"/>
        </w:rPr>
        <w:footnoteRef/>
      </w:r>
      <w:r w:rsidRPr="001C580A">
        <w:rPr>
          <w:rFonts w:ascii="Times New Roman" w:hAnsi="Times New Roman" w:cs="Times New Roman"/>
          <w:color w:val="000000" w:themeColor="text1"/>
          <w:sz w:val="20"/>
          <w:szCs w:val="20"/>
        </w:rPr>
        <w:t xml:space="preserve"> </w:t>
      </w:r>
      <w:r w:rsidR="007836B1" w:rsidRPr="001C580A">
        <w:rPr>
          <w:rFonts w:ascii="Times New Roman" w:hAnsi="Times New Roman" w:cs="Times New Roman"/>
          <w:sz w:val="20"/>
          <w:szCs w:val="20"/>
        </w:rPr>
        <w:t xml:space="preserve">Taylor </w:t>
      </w:r>
      <w:r w:rsidR="00385785">
        <w:rPr>
          <w:rFonts w:ascii="Times New Roman" w:hAnsi="Times New Roman" w:cs="Times New Roman"/>
          <w:sz w:val="20"/>
          <w:szCs w:val="20"/>
        </w:rPr>
        <w:t>et al. (n 47)</w:t>
      </w:r>
      <w:r w:rsidR="007836B1" w:rsidRPr="001C580A">
        <w:rPr>
          <w:rFonts w:ascii="Times New Roman" w:hAnsi="Times New Roman" w:cs="Times New Roman"/>
          <w:sz w:val="20"/>
          <w:szCs w:val="20"/>
        </w:rPr>
        <w:t>.</w:t>
      </w:r>
    </w:p>
  </w:footnote>
  <w:footnote w:id="65">
    <w:p w14:paraId="55D05214" w14:textId="46FD6964" w:rsidR="00B43A7F" w:rsidRPr="001C580A" w:rsidRDefault="00B43A7F" w:rsidP="001C580A">
      <w:pPr>
        <w:jc w:val="both"/>
        <w:rPr>
          <w:rFonts w:ascii="Times New Roman" w:hAnsi="Times New Roman" w:cs="Times New Roman"/>
          <w:color w:val="000000" w:themeColor="text1"/>
          <w:sz w:val="20"/>
          <w:szCs w:val="20"/>
        </w:rPr>
      </w:pPr>
      <w:r w:rsidRPr="001C580A">
        <w:rPr>
          <w:rStyle w:val="FootnoteReference"/>
          <w:rFonts w:ascii="Times New Roman" w:hAnsi="Times New Roman" w:cs="Times New Roman"/>
          <w:color w:val="000000" w:themeColor="text1"/>
          <w:sz w:val="20"/>
          <w:szCs w:val="20"/>
        </w:rPr>
        <w:footnoteRef/>
      </w:r>
      <w:r w:rsidRPr="001C580A">
        <w:rPr>
          <w:rFonts w:ascii="Times New Roman" w:hAnsi="Times New Roman" w:cs="Times New Roman"/>
          <w:color w:val="000000" w:themeColor="text1"/>
          <w:sz w:val="20"/>
          <w:szCs w:val="20"/>
        </w:rPr>
        <w:t xml:space="preserve"> </w:t>
      </w:r>
      <w:r w:rsidR="007836B1" w:rsidRPr="001C580A">
        <w:rPr>
          <w:rFonts w:ascii="Times New Roman" w:hAnsi="Times New Roman" w:cs="Times New Roman"/>
          <w:sz w:val="20"/>
          <w:szCs w:val="20"/>
        </w:rPr>
        <w:t xml:space="preserve">Calkin S and Kaminska ME, </w:t>
      </w:r>
      <w:r w:rsidR="004D1905">
        <w:rPr>
          <w:rFonts w:ascii="Times New Roman" w:hAnsi="Times New Roman" w:cs="Times New Roman"/>
          <w:sz w:val="20"/>
          <w:szCs w:val="20"/>
        </w:rPr>
        <w:t>‘</w:t>
      </w:r>
      <w:r w:rsidR="007836B1" w:rsidRPr="001C580A">
        <w:rPr>
          <w:rFonts w:ascii="Times New Roman" w:hAnsi="Times New Roman" w:cs="Times New Roman"/>
          <w:sz w:val="20"/>
          <w:szCs w:val="20"/>
        </w:rPr>
        <w:t>Persistence and Change in Morality Policy: The Role of the Catholic Church in the Politics of Abortion in Ireland and Poland</w:t>
      </w:r>
      <w:r w:rsidR="004D1905">
        <w:rPr>
          <w:rFonts w:ascii="Times New Roman" w:hAnsi="Times New Roman" w:cs="Times New Roman"/>
          <w:sz w:val="20"/>
          <w:szCs w:val="20"/>
        </w:rPr>
        <w:t>’</w:t>
      </w:r>
      <w:r w:rsidR="007836B1" w:rsidRPr="001C580A">
        <w:rPr>
          <w:rFonts w:ascii="Times New Roman" w:hAnsi="Times New Roman" w:cs="Times New Roman"/>
          <w:sz w:val="20"/>
          <w:szCs w:val="20"/>
        </w:rPr>
        <w:t xml:space="preserve"> (2020) 124 </w:t>
      </w:r>
      <w:r w:rsidR="007836B1" w:rsidRPr="001C580A">
        <w:rPr>
          <w:rStyle w:val="Emphasis"/>
          <w:rFonts w:ascii="Times New Roman" w:hAnsi="Times New Roman" w:cs="Times New Roman"/>
          <w:sz w:val="20"/>
          <w:szCs w:val="20"/>
        </w:rPr>
        <w:t>Feminist Review</w:t>
      </w:r>
      <w:r w:rsidR="007836B1" w:rsidRPr="001C580A">
        <w:rPr>
          <w:rFonts w:ascii="Times New Roman" w:hAnsi="Times New Roman" w:cs="Times New Roman"/>
          <w:sz w:val="20"/>
          <w:szCs w:val="20"/>
        </w:rPr>
        <w:t xml:space="preserve"> 86, </w:t>
      </w:r>
      <w:r w:rsidR="007836B1" w:rsidRPr="001C580A">
        <w:rPr>
          <w:rStyle w:val="Strong"/>
          <w:rFonts w:ascii="Times New Roman" w:hAnsi="Times New Roman" w:cs="Times New Roman"/>
          <w:b w:val="0"/>
          <w:bCs w:val="0"/>
          <w:sz w:val="20"/>
          <w:szCs w:val="20"/>
        </w:rPr>
        <w:t>91</w:t>
      </w:r>
      <w:r w:rsidR="007836B1" w:rsidRPr="001C580A">
        <w:rPr>
          <w:rFonts w:ascii="Times New Roman" w:hAnsi="Times New Roman" w:cs="Times New Roman"/>
          <w:sz w:val="20"/>
          <w:szCs w:val="20"/>
        </w:rPr>
        <w:t>.</w:t>
      </w:r>
    </w:p>
  </w:footnote>
  <w:footnote w:id="66">
    <w:p w14:paraId="33E9B1B7" w14:textId="77777777" w:rsidR="00B43A7F" w:rsidRPr="001C580A" w:rsidRDefault="00B43A7F" w:rsidP="001C580A">
      <w:pPr>
        <w:jc w:val="both"/>
        <w:rPr>
          <w:rFonts w:ascii="Times New Roman" w:hAnsi="Times New Roman" w:cs="Times New Roman"/>
          <w:color w:val="000000" w:themeColor="text1"/>
          <w:sz w:val="20"/>
          <w:szCs w:val="20"/>
        </w:rPr>
      </w:pPr>
      <w:r w:rsidRPr="001C580A">
        <w:rPr>
          <w:rStyle w:val="FootnoteReference"/>
          <w:rFonts w:ascii="Times New Roman" w:hAnsi="Times New Roman" w:cs="Times New Roman"/>
          <w:color w:val="000000" w:themeColor="text1"/>
          <w:sz w:val="20"/>
          <w:szCs w:val="20"/>
        </w:rPr>
        <w:footnoteRef/>
      </w:r>
      <w:r w:rsidRPr="001C580A">
        <w:rPr>
          <w:rFonts w:ascii="Times New Roman" w:hAnsi="Times New Roman" w:cs="Times New Roman"/>
          <w:i/>
          <w:iCs/>
          <w:color w:val="000000" w:themeColor="text1"/>
          <w:sz w:val="20"/>
          <w:szCs w:val="20"/>
        </w:rPr>
        <w:t xml:space="preserve"> Open Door and Dublin Well Woman v Ireland,</w:t>
      </w:r>
      <w:r w:rsidRPr="001C580A">
        <w:rPr>
          <w:rFonts w:ascii="Times New Roman" w:hAnsi="Times New Roman" w:cs="Times New Roman"/>
          <w:color w:val="000000" w:themeColor="text1"/>
          <w:sz w:val="20"/>
          <w:szCs w:val="20"/>
        </w:rPr>
        <w:t xml:space="preserve"> App </w:t>
      </w:r>
      <w:proofErr w:type="spellStart"/>
      <w:r w:rsidRPr="001C580A">
        <w:rPr>
          <w:rFonts w:ascii="Times New Roman" w:hAnsi="Times New Roman" w:cs="Times New Roman"/>
          <w:color w:val="000000" w:themeColor="text1"/>
          <w:sz w:val="20"/>
          <w:szCs w:val="20"/>
        </w:rPr>
        <w:t>nos</w:t>
      </w:r>
      <w:proofErr w:type="spellEnd"/>
      <w:r w:rsidRPr="001C580A">
        <w:rPr>
          <w:rFonts w:ascii="Times New Roman" w:hAnsi="Times New Roman" w:cs="Times New Roman"/>
          <w:color w:val="000000" w:themeColor="text1"/>
          <w:sz w:val="20"/>
          <w:szCs w:val="20"/>
        </w:rPr>
        <w:t xml:space="preserve"> 14234/88 and 14235/88 (1993) 15 EHRR 244.</w:t>
      </w:r>
    </w:p>
  </w:footnote>
  <w:footnote w:id="67">
    <w:p w14:paraId="27539B44" w14:textId="77777777" w:rsidR="00B43A7F" w:rsidRPr="001C580A" w:rsidRDefault="00B43A7F" w:rsidP="001C580A">
      <w:pPr>
        <w:jc w:val="both"/>
        <w:rPr>
          <w:rFonts w:ascii="Times New Roman" w:hAnsi="Times New Roman" w:cs="Times New Roman"/>
          <w:color w:val="000000" w:themeColor="text1"/>
          <w:sz w:val="20"/>
          <w:szCs w:val="20"/>
        </w:rPr>
      </w:pPr>
      <w:r w:rsidRPr="001C580A">
        <w:rPr>
          <w:rStyle w:val="FootnoteReference"/>
          <w:rFonts w:ascii="Times New Roman" w:hAnsi="Times New Roman" w:cs="Times New Roman"/>
          <w:color w:val="000000" w:themeColor="text1"/>
          <w:sz w:val="20"/>
          <w:szCs w:val="20"/>
        </w:rPr>
        <w:footnoteRef/>
      </w:r>
      <w:r w:rsidRPr="001C580A">
        <w:rPr>
          <w:rFonts w:ascii="Times New Roman" w:hAnsi="Times New Roman" w:cs="Times New Roman"/>
          <w:i/>
          <w:iCs/>
          <w:color w:val="000000" w:themeColor="text1"/>
          <w:sz w:val="20"/>
          <w:szCs w:val="20"/>
        </w:rPr>
        <w:t xml:space="preserve"> A, B and C v Ireland</w:t>
      </w:r>
      <w:r w:rsidRPr="001C580A">
        <w:rPr>
          <w:rFonts w:ascii="Times New Roman" w:hAnsi="Times New Roman" w:cs="Times New Roman"/>
          <w:color w:val="000000" w:themeColor="text1"/>
          <w:sz w:val="20"/>
          <w:szCs w:val="20"/>
        </w:rPr>
        <w:t xml:space="preserve"> (2010) App no 25579/05, European Court of Human Rights, 16 December 2010.</w:t>
      </w:r>
    </w:p>
  </w:footnote>
  <w:footnote w:id="68">
    <w:p w14:paraId="4D7834C0" w14:textId="7017E623" w:rsidR="00B43A7F" w:rsidRPr="001C580A" w:rsidRDefault="00B43A7F" w:rsidP="001C580A">
      <w:pPr>
        <w:pStyle w:val="NormalWeb"/>
        <w:spacing w:before="0" w:beforeAutospacing="0" w:after="0" w:afterAutospacing="0"/>
        <w:jc w:val="both"/>
        <w:rPr>
          <w:sz w:val="20"/>
          <w:szCs w:val="20"/>
        </w:rPr>
      </w:pPr>
      <w:r w:rsidRPr="001C580A">
        <w:rPr>
          <w:rStyle w:val="FootnoteReference"/>
          <w:sz w:val="20"/>
          <w:szCs w:val="20"/>
        </w:rPr>
        <w:footnoteRef/>
      </w:r>
      <w:r w:rsidRPr="001C580A">
        <w:rPr>
          <w:sz w:val="20"/>
          <w:szCs w:val="20"/>
        </w:rPr>
        <w:t xml:space="preserve"> </w:t>
      </w:r>
      <w:r w:rsidR="007836B1" w:rsidRPr="001C580A">
        <w:rPr>
          <w:sz w:val="20"/>
          <w:szCs w:val="20"/>
        </w:rPr>
        <w:t xml:space="preserve">Human Rights Committee, </w:t>
      </w:r>
      <w:r w:rsidR="007836B1" w:rsidRPr="001C580A">
        <w:rPr>
          <w:rStyle w:val="Emphasis"/>
          <w:sz w:val="20"/>
          <w:szCs w:val="20"/>
        </w:rPr>
        <w:t>Concluding Observations on the Third Periodic Report of Ireland</w:t>
      </w:r>
      <w:r w:rsidR="007836B1" w:rsidRPr="001C580A">
        <w:rPr>
          <w:sz w:val="20"/>
          <w:szCs w:val="20"/>
        </w:rPr>
        <w:t xml:space="preserve">, UN Doc CCPR/C/IRL/CO/3 (2008) </w:t>
      </w:r>
      <w:hyperlink r:id="rId8" w:history="1">
        <w:r w:rsidR="007836B1" w:rsidRPr="001C580A">
          <w:rPr>
            <w:rStyle w:val="Hyperlink"/>
            <w:sz w:val="20"/>
            <w:szCs w:val="20"/>
          </w:rPr>
          <w:t>https://digitallibrary.un.org/record/633440?v=pdf</w:t>
        </w:r>
      </w:hyperlink>
      <w:r w:rsidR="007836B1" w:rsidRPr="001C580A">
        <w:rPr>
          <w:sz w:val="20"/>
          <w:szCs w:val="20"/>
        </w:rPr>
        <w:t xml:space="preserve"> accessed March 2026.</w:t>
      </w:r>
    </w:p>
  </w:footnote>
  <w:footnote w:id="69">
    <w:p w14:paraId="178C9AAB" w14:textId="6A53FF30" w:rsidR="00B43A7F" w:rsidRPr="001C580A" w:rsidRDefault="00B43A7F" w:rsidP="001C580A">
      <w:pPr>
        <w:jc w:val="both"/>
        <w:rPr>
          <w:rFonts w:ascii="Times New Roman" w:hAnsi="Times New Roman" w:cs="Times New Roman"/>
          <w:color w:val="000000" w:themeColor="text1"/>
          <w:sz w:val="20"/>
          <w:szCs w:val="20"/>
        </w:rPr>
      </w:pPr>
      <w:r w:rsidRPr="001C580A">
        <w:rPr>
          <w:rStyle w:val="FootnoteReference"/>
          <w:rFonts w:ascii="Times New Roman" w:hAnsi="Times New Roman" w:cs="Times New Roman"/>
          <w:color w:val="000000" w:themeColor="text1"/>
          <w:sz w:val="20"/>
          <w:szCs w:val="20"/>
        </w:rPr>
        <w:footnoteRef/>
      </w:r>
      <w:r w:rsidRPr="001C580A">
        <w:rPr>
          <w:rFonts w:ascii="Times New Roman" w:hAnsi="Times New Roman" w:cs="Times New Roman"/>
          <w:color w:val="000000" w:themeColor="text1"/>
          <w:sz w:val="20"/>
          <w:szCs w:val="20"/>
        </w:rPr>
        <w:t xml:space="preserve"> </w:t>
      </w:r>
      <w:r w:rsidR="007836B1" w:rsidRPr="001C580A">
        <w:rPr>
          <w:rFonts w:ascii="Times New Roman" w:hAnsi="Times New Roman" w:cs="Times New Roman"/>
          <w:color w:val="000000" w:themeColor="text1"/>
          <w:sz w:val="20"/>
          <w:szCs w:val="20"/>
        </w:rPr>
        <w:t>Ibid.</w:t>
      </w:r>
    </w:p>
  </w:footnote>
  <w:footnote w:id="70">
    <w:p w14:paraId="081661B3" w14:textId="7B05B768" w:rsidR="00B43A7F" w:rsidRPr="001C580A" w:rsidRDefault="00B43A7F" w:rsidP="001C580A">
      <w:pPr>
        <w:pStyle w:val="FootnoteText"/>
        <w:jc w:val="both"/>
        <w:rPr>
          <w:rFonts w:ascii="Times New Roman" w:hAnsi="Times New Roman" w:cs="Times New Roman"/>
        </w:rPr>
      </w:pPr>
      <w:r w:rsidRPr="001C580A">
        <w:rPr>
          <w:rStyle w:val="FootnoteReference"/>
          <w:rFonts w:ascii="Times New Roman" w:hAnsi="Times New Roman" w:cs="Times New Roman"/>
        </w:rPr>
        <w:footnoteRef/>
      </w:r>
      <w:r w:rsidRPr="001C580A">
        <w:rPr>
          <w:rFonts w:ascii="Times New Roman" w:hAnsi="Times New Roman" w:cs="Times New Roman"/>
        </w:rPr>
        <w:t xml:space="preserve"> </w:t>
      </w:r>
      <w:r w:rsidR="007836B1" w:rsidRPr="001C580A">
        <w:rPr>
          <w:rFonts w:ascii="Times New Roman" w:hAnsi="Times New Roman" w:cs="Times New Roman"/>
        </w:rPr>
        <w:t xml:space="preserve">Human Rights Committee, </w:t>
      </w:r>
      <w:r w:rsidR="007836B1" w:rsidRPr="001C580A">
        <w:rPr>
          <w:rStyle w:val="Emphasis"/>
          <w:rFonts w:ascii="Times New Roman" w:hAnsi="Times New Roman" w:cs="Times New Roman"/>
        </w:rPr>
        <w:t>Mellet v Ireland</w:t>
      </w:r>
      <w:r w:rsidR="007836B1" w:rsidRPr="001C580A">
        <w:rPr>
          <w:rFonts w:ascii="Times New Roman" w:hAnsi="Times New Roman" w:cs="Times New Roman"/>
        </w:rPr>
        <w:t>, Communication No 2324/2013, UN Doc CCPR/C/116/D/2324/2013 (31 March 2016).</w:t>
      </w:r>
    </w:p>
  </w:footnote>
  <w:footnote w:id="71">
    <w:p w14:paraId="5DAEBFC1" w14:textId="60E0C445" w:rsidR="00B43A7F" w:rsidRPr="001C580A" w:rsidRDefault="00B43A7F" w:rsidP="001C580A">
      <w:pPr>
        <w:pStyle w:val="FootnoteText"/>
        <w:jc w:val="both"/>
        <w:rPr>
          <w:rFonts w:ascii="Times New Roman" w:hAnsi="Times New Roman" w:cs="Times New Roman"/>
        </w:rPr>
      </w:pPr>
      <w:r w:rsidRPr="001C580A">
        <w:rPr>
          <w:rStyle w:val="FootnoteReference"/>
          <w:rFonts w:ascii="Times New Roman" w:hAnsi="Times New Roman" w:cs="Times New Roman"/>
        </w:rPr>
        <w:footnoteRef/>
      </w:r>
      <w:r w:rsidRPr="001C580A">
        <w:rPr>
          <w:rFonts w:ascii="Times New Roman" w:hAnsi="Times New Roman" w:cs="Times New Roman"/>
        </w:rPr>
        <w:t xml:space="preserve"> </w:t>
      </w:r>
      <w:r w:rsidR="007836B1" w:rsidRPr="001C580A">
        <w:rPr>
          <w:rStyle w:val="Emphasis"/>
          <w:rFonts w:ascii="Times New Roman" w:hAnsi="Times New Roman" w:cs="Times New Roman"/>
        </w:rPr>
        <w:t>International Covenant on Civil and Political Rights</w:t>
      </w:r>
      <w:r w:rsidR="007836B1" w:rsidRPr="001C580A">
        <w:rPr>
          <w:rFonts w:ascii="Times New Roman" w:hAnsi="Times New Roman" w:cs="Times New Roman"/>
        </w:rPr>
        <w:t xml:space="preserve"> (adopted 16 December 1966, entered into force 23 March 1976) 999 UNTS 171.</w:t>
      </w:r>
    </w:p>
  </w:footnote>
  <w:footnote w:id="72">
    <w:p w14:paraId="13FF4401" w14:textId="106D20FD" w:rsidR="00B43A7F" w:rsidRPr="001C580A" w:rsidRDefault="00B43A7F" w:rsidP="001C580A">
      <w:pPr>
        <w:jc w:val="both"/>
        <w:rPr>
          <w:rFonts w:ascii="Times New Roman" w:hAnsi="Times New Roman" w:cs="Times New Roman"/>
          <w:sz w:val="20"/>
          <w:szCs w:val="20"/>
        </w:rPr>
      </w:pPr>
      <w:r w:rsidRPr="001C580A">
        <w:rPr>
          <w:rStyle w:val="FootnoteReference"/>
          <w:rFonts w:ascii="Times New Roman" w:hAnsi="Times New Roman" w:cs="Times New Roman"/>
          <w:sz w:val="20"/>
          <w:szCs w:val="20"/>
        </w:rPr>
        <w:footnoteRef/>
      </w:r>
      <w:r w:rsidRPr="001C580A">
        <w:rPr>
          <w:rFonts w:ascii="Times New Roman" w:hAnsi="Times New Roman" w:cs="Times New Roman"/>
          <w:sz w:val="20"/>
          <w:szCs w:val="20"/>
        </w:rPr>
        <w:t xml:space="preserve"> </w:t>
      </w:r>
      <w:r w:rsidR="007836B1" w:rsidRPr="001C580A">
        <w:rPr>
          <w:rFonts w:ascii="Times New Roman" w:hAnsi="Times New Roman" w:cs="Times New Roman"/>
          <w:sz w:val="20"/>
          <w:szCs w:val="20"/>
        </w:rPr>
        <w:t xml:space="preserve">De Londras F, </w:t>
      </w:r>
      <w:r w:rsidR="004D1905">
        <w:rPr>
          <w:rFonts w:ascii="Times New Roman" w:hAnsi="Times New Roman" w:cs="Times New Roman"/>
          <w:sz w:val="20"/>
          <w:szCs w:val="20"/>
        </w:rPr>
        <w:t>‘</w:t>
      </w:r>
      <w:r w:rsidR="007836B1" w:rsidRPr="001C580A">
        <w:rPr>
          <w:rFonts w:ascii="Times New Roman" w:hAnsi="Times New Roman" w:cs="Times New Roman"/>
          <w:sz w:val="20"/>
          <w:szCs w:val="20"/>
        </w:rPr>
        <w:t xml:space="preserve">Fatal Foetal Abnormality, Irish Constitutional Law, and </w:t>
      </w:r>
      <w:r w:rsidR="007836B1" w:rsidRPr="001C580A">
        <w:rPr>
          <w:rStyle w:val="Emphasis"/>
          <w:rFonts w:ascii="Times New Roman" w:hAnsi="Times New Roman" w:cs="Times New Roman"/>
          <w:sz w:val="20"/>
          <w:szCs w:val="20"/>
        </w:rPr>
        <w:t>Mellet v Ireland</w:t>
      </w:r>
      <w:r w:rsidR="004D1905">
        <w:rPr>
          <w:rFonts w:ascii="Times New Roman" w:hAnsi="Times New Roman" w:cs="Times New Roman"/>
          <w:sz w:val="20"/>
          <w:szCs w:val="20"/>
        </w:rPr>
        <w:t>’</w:t>
      </w:r>
      <w:r w:rsidR="007836B1" w:rsidRPr="001C580A">
        <w:rPr>
          <w:rFonts w:ascii="Times New Roman" w:hAnsi="Times New Roman" w:cs="Times New Roman"/>
          <w:sz w:val="20"/>
          <w:szCs w:val="20"/>
        </w:rPr>
        <w:t xml:space="preserve"> (2016) 24 </w:t>
      </w:r>
      <w:r w:rsidR="007836B1" w:rsidRPr="001C580A">
        <w:rPr>
          <w:rStyle w:val="Emphasis"/>
          <w:rFonts w:ascii="Times New Roman" w:hAnsi="Times New Roman" w:cs="Times New Roman"/>
          <w:sz w:val="20"/>
          <w:szCs w:val="20"/>
        </w:rPr>
        <w:t>Medical Law Review.</w:t>
      </w:r>
    </w:p>
  </w:footnote>
  <w:footnote w:id="73">
    <w:p w14:paraId="42E09BA0" w14:textId="040B7C52" w:rsidR="00B43A7F" w:rsidRPr="001C580A" w:rsidRDefault="00B43A7F" w:rsidP="001C580A">
      <w:pPr>
        <w:pStyle w:val="FootnoteText"/>
        <w:jc w:val="both"/>
        <w:rPr>
          <w:rFonts w:ascii="Times New Roman" w:hAnsi="Times New Roman" w:cs="Times New Roman"/>
        </w:rPr>
      </w:pPr>
      <w:r w:rsidRPr="001C580A">
        <w:rPr>
          <w:rStyle w:val="FootnoteReference"/>
          <w:rFonts w:ascii="Times New Roman" w:hAnsi="Times New Roman" w:cs="Times New Roman"/>
        </w:rPr>
        <w:footnoteRef/>
      </w:r>
      <w:r w:rsidRPr="001C580A">
        <w:rPr>
          <w:rFonts w:ascii="Times New Roman" w:hAnsi="Times New Roman" w:cs="Times New Roman"/>
        </w:rPr>
        <w:t xml:space="preserve"> </w:t>
      </w:r>
      <w:r w:rsidRPr="001C580A">
        <w:rPr>
          <w:rFonts w:ascii="Times New Roman" w:hAnsi="Times New Roman" w:cs="Times New Roman"/>
        </w:rPr>
        <w:fldChar w:fldCharType="begin"/>
      </w:r>
      <w:r w:rsidR="007B6C8A" w:rsidRPr="001C580A">
        <w:rPr>
          <w:rFonts w:ascii="Times New Roman" w:hAnsi="Times New Roman" w:cs="Times New Roman"/>
        </w:rPr>
        <w:instrText xml:space="preserve"> ADDIN EN.CITE &lt;EndNote&gt;&lt;Cite&gt;&lt;Author&gt;de Londras&lt;/Author&gt;&lt;Year&gt;2016&lt;/Year&gt;&lt;RecNum&gt;10&lt;/RecNum&gt;&lt;DisplayText&gt;Ibid.&lt;/DisplayText&gt;&lt;record&gt;&lt;rec-number&gt;10&lt;/rec-number&gt;&lt;foreign-keys&gt;&lt;key app="EN" db-id="9rdszr0wox9r94e50eev2wrlzavtsaw9d2w9" timestamp="1783077565"&gt;10&lt;/key&gt;&lt;/foreign-keys&gt;&lt;ref-type name="Journal Article"&gt;17&lt;/ref-type&gt;&lt;contributors&gt;&lt;authors&gt;&lt;author&gt;de Londras, Fiona&lt;/author&gt;&lt;/authors&gt;&lt;/contributors&gt;&lt;titles&gt;&lt;title&gt;Fatal Foetal Abnormality, Irish Constitutional Law, And Mellet v Ireland&lt;/title&gt;&lt;secondary-title&gt;Medical law review&lt;/secondary-title&gt;&lt;/titles&gt;&lt;periodical&gt;&lt;full-title&gt;Medical law review&lt;/full-title&gt;&lt;/periodical&gt;&lt;pages&gt;fww040&lt;/pages&gt;&lt;volume&gt;24&lt;/volume&gt;&lt;number&gt;4&lt;/number&gt;&lt;dates&gt;&lt;year&gt;2016&lt;/year&gt;&lt;/dates&gt;&lt;pub-location&gt;England&lt;/pub-location&gt;&lt;isbn&gt;0967-0742&lt;/isbn&gt;&lt;urls&gt;&lt;/urls&gt;&lt;electronic-resource-num&gt;10.1093/medlaw/fww040&lt;/electronic-resource-num&gt;&lt;/record&gt;&lt;/Cite&gt;&lt;/EndNote&gt;</w:instrText>
      </w:r>
      <w:r w:rsidRPr="001C580A">
        <w:rPr>
          <w:rFonts w:ascii="Times New Roman" w:hAnsi="Times New Roman" w:cs="Times New Roman"/>
        </w:rPr>
        <w:fldChar w:fldCharType="separate"/>
      </w:r>
      <w:r w:rsidR="007B6C8A" w:rsidRPr="001C580A">
        <w:rPr>
          <w:rFonts w:ascii="Times New Roman" w:hAnsi="Times New Roman" w:cs="Times New Roman"/>
          <w:noProof/>
        </w:rPr>
        <w:t>Ibid</w:t>
      </w:r>
      <w:r w:rsidRPr="001C580A">
        <w:rPr>
          <w:rFonts w:ascii="Times New Roman" w:hAnsi="Times New Roman" w:cs="Times New Roman"/>
        </w:rPr>
        <w:fldChar w:fldCharType="end"/>
      </w:r>
      <w:r w:rsidRPr="001C580A">
        <w:rPr>
          <w:rFonts w:ascii="Times New Roman" w:hAnsi="Times New Roman" w:cs="Times New Roman"/>
        </w:rPr>
        <w:t>, 595-596.</w:t>
      </w:r>
    </w:p>
  </w:footnote>
  <w:footnote w:id="74">
    <w:p w14:paraId="3DBF2AFB" w14:textId="2B8EDEE8" w:rsidR="00B43A7F" w:rsidRPr="001C580A" w:rsidRDefault="00B43A7F" w:rsidP="001C580A">
      <w:pPr>
        <w:pStyle w:val="FootnoteText"/>
        <w:jc w:val="both"/>
        <w:rPr>
          <w:rFonts w:ascii="Times New Roman" w:hAnsi="Times New Roman" w:cs="Times New Roman"/>
        </w:rPr>
      </w:pPr>
      <w:r w:rsidRPr="001C580A">
        <w:rPr>
          <w:rStyle w:val="FootnoteReference"/>
          <w:rFonts w:ascii="Times New Roman" w:hAnsi="Times New Roman" w:cs="Times New Roman"/>
        </w:rPr>
        <w:footnoteRef/>
      </w:r>
      <w:r w:rsidRPr="001C580A">
        <w:rPr>
          <w:rFonts w:ascii="Times New Roman" w:hAnsi="Times New Roman" w:cs="Times New Roman"/>
        </w:rPr>
        <w:t xml:space="preserve"> </w:t>
      </w:r>
      <w:r w:rsidR="007836B1" w:rsidRPr="001C580A">
        <w:rPr>
          <w:rFonts w:ascii="Times New Roman" w:hAnsi="Times New Roman" w:cs="Times New Roman"/>
        </w:rPr>
        <w:t xml:space="preserve">Carnegie A and Roth R, </w:t>
      </w:r>
      <w:r w:rsidR="004D1905">
        <w:rPr>
          <w:rFonts w:ascii="Times New Roman" w:hAnsi="Times New Roman" w:cs="Times New Roman"/>
        </w:rPr>
        <w:t>‘</w:t>
      </w:r>
      <w:r w:rsidR="007836B1" w:rsidRPr="001C580A">
        <w:rPr>
          <w:rFonts w:ascii="Times New Roman" w:hAnsi="Times New Roman" w:cs="Times New Roman"/>
        </w:rPr>
        <w:t>From the Grassroots to the Oireachtas: Abortion Law Reform in the Republic of Ireland</w:t>
      </w:r>
      <w:r w:rsidR="004D1905">
        <w:rPr>
          <w:rFonts w:ascii="Times New Roman" w:hAnsi="Times New Roman" w:cs="Times New Roman"/>
        </w:rPr>
        <w:t>’</w:t>
      </w:r>
      <w:r w:rsidR="007836B1" w:rsidRPr="001C580A">
        <w:rPr>
          <w:rFonts w:ascii="Times New Roman" w:hAnsi="Times New Roman" w:cs="Times New Roman"/>
        </w:rPr>
        <w:t xml:space="preserve"> (2019) 21 </w:t>
      </w:r>
      <w:r w:rsidR="007836B1" w:rsidRPr="001C580A">
        <w:rPr>
          <w:rStyle w:val="Emphasis"/>
          <w:rFonts w:ascii="Times New Roman" w:hAnsi="Times New Roman" w:cs="Times New Roman"/>
        </w:rPr>
        <w:t>Health and Human Rights Journal</w:t>
      </w:r>
      <w:r w:rsidR="007836B1" w:rsidRPr="001C580A">
        <w:rPr>
          <w:rFonts w:ascii="Times New Roman" w:hAnsi="Times New Roman" w:cs="Times New Roman"/>
        </w:rPr>
        <w:t xml:space="preserve"> 109.</w:t>
      </w:r>
    </w:p>
  </w:footnote>
  <w:footnote w:id="75">
    <w:p w14:paraId="69E0C190" w14:textId="7757E09D" w:rsidR="00B43A7F" w:rsidRPr="001C580A" w:rsidRDefault="00B43A7F" w:rsidP="001C580A">
      <w:pPr>
        <w:pStyle w:val="NormalWeb"/>
        <w:spacing w:before="0" w:beforeAutospacing="0" w:after="0" w:afterAutospacing="0"/>
        <w:jc w:val="both"/>
        <w:rPr>
          <w:sz w:val="20"/>
          <w:szCs w:val="20"/>
        </w:rPr>
      </w:pPr>
      <w:r w:rsidRPr="001C580A">
        <w:rPr>
          <w:rStyle w:val="FootnoteReference"/>
          <w:sz w:val="20"/>
          <w:szCs w:val="20"/>
        </w:rPr>
        <w:footnoteRef/>
      </w:r>
      <w:r w:rsidRPr="001C580A">
        <w:rPr>
          <w:sz w:val="20"/>
          <w:szCs w:val="20"/>
        </w:rPr>
        <w:t xml:space="preserve"> </w:t>
      </w:r>
      <w:r w:rsidR="007836B1" w:rsidRPr="001C580A">
        <w:rPr>
          <w:sz w:val="20"/>
          <w:szCs w:val="20"/>
        </w:rPr>
        <w:t xml:space="preserve">Committee on the Elimination of Discrimination against Women, </w:t>
      </w:r>
      <w:r w:rsidR="007836B1" w:rsidRPr="001C580A">
        <w:rPr>
          <w:rStyle w:val="Emphasis"/>
          <w:sz w:val="20"/>
          <w:szCs w:val="20"/>
        </w:rPr>
        <w:t>General Recommendation No 24: Article 12 of the Convention (Women and Health)</w:t>
      </w:r>
      <w:r w:rsidR="007836B1" w:rsidRPr="001C580A">
        <w:rPr>
          <w:sz w:val="20"/>
          <w:szCs w:val="20"/>
        </w:rPr>
        <w:t>, UN Doc A/54/38/Rev.1 (1999)</w:t>
      </w:r>
    </w:p>
  </w:footnote>
  <w:footnote w:id="76">
    <w:p w14:paraId="6E6E9E1B" w14:textId="0D333A13" w:rsidR="00B43A7F" w:rsidRPr="001C580A" w:rsidRDefault="00B43A7F" w:rsidP="001C580A">
      <w:pPr>
        <w:pStyle w:val="FootnoteText"/>
        <w:jc w:val="both"/>
        <w:rPr>
          <w:rFonts w:ascii="Times New Roman" w:hAnsi="Times New Roman" w:cs="Times New Roman"/>
        </w:rPr>
      </w:pPr>
      <w:r w:rsidRPr="001C580A">
        <w:rPr>
          <w:rStyle w:val="FootnoteReference"/>
          <w:rFonts w:ascii="Times New Roman" w:hAnsi="Times New Roman" w:cs="Times New Roman"/>
        </w:rPr>
        <w:footnoteRef/>
      </w:r>
      <w:r w:rsidRPr="001C580A">
        <w:rPr>
          <w:rFonts w:ascii="Times New Roman" w:hAnsi="Times New Roman" w:cs="Times New Roman"/>
        </w:rPr>
        <w:t xml:space="preserve"> </w:t>
      </w:r>
      <w:r w:rsidR="007836B1" w:rsidRPr="001C580A">
        <w:rPr>
          <w:rFonts w:ascii="Times New Roman" w:hAnsi="Times New Roman" w:cs="Times New Roman"/>
        </w:rPr>
        <w:t xml:space="preserve">Committee on the Elimination of Discrimination against Women, </w:t>
      </w:r>
      <w:r w:rsidR="007836B1" w:rsidRPr="001C580A">
        <w:rPr>
          <w:rStyle w:val="Emphasis"/>
          <w:rFonts w:ascii="Times New Roman" w:hAnsi="Times New Roman" w:cs="Times New Roman"/>
        </w:rPr>
        <w:t>General Recommendation No 35 on Gender-Based Violence against Women, Updating General Recommendation No 19</w:t>
      </w:r>
      <w:r w:rsidR="007836B1" w:rsidRPr="001C580A">
        <w:rPr>
          <w:rFonts w:ascii="Times New Roman" w:hAnsi="Times New Roman" w:cs="Times New Roman"/>
        </w:rPr>
        <w:t>, UN Doc CEDAW/C/GC/35 (2017).</w:t>
      </w:r>
    </w:p>
  </w:footnote>
  <w:footnote w:id="77">
    <w:p w14:paraId="24B4681F" w14:textId="7B72B9AA" w:rsidR="00B43A7F" w:rsidRPr="001C580A" w:rsidRDefault="00B43A7F" w:rsidP="001C580A">
      <w:pPr>
        <w:pStyle w:val="FootnoteText"/>
        <w:jc w:val="both"/>
        <w:rPr>
          <w:rFonts w:ascii="Times New Roman" w:hAnsi="Times New Roman" w:cs="Times New Roman"/>
        </w:rPr>
      </w:pPr>
      <w:r w:rsidRPr="001C580A">
        <w:rPr>
          <w:rStyle w:val="FootnoteReference"/>
          <w:rFonts w:ascii="Times New Roman" w:hAnsi="Times New Roman" w:cs="Times New Roman"/>
        </w:rPr>
        <w:footnoteRef/>
      </w:r>
      <w:r w:rsidRPr="001C580A">
        <w:rPr>
          <w:rFonts w:ascii="Times New Roman" w:hAnsi="Times New Roman" w:cs="Times New Roman"/>
        </w:rPr>
        <w:t xml:space="preserve"> </w:t>
      </w:r>
      <w:r w:rsidR="007836B1" w:rsidRPr="001C580A">
        <w:rPr>
          <w:rFonts w:ascii="Times New Roman" w:hAnsi="Times New Roman" w:cs="Times New Roman"/>
        </w:rPr>
        <w:t xml:space="preserve">Human Rights Committee, </w:t>
      </w:r>
      <w:r w:rsidR="007836B1" w:rsidRPr="001C580A">
        <w:rPr>
          <w:rStyle w:val="Emphasis"/>
          <w:rFonts w:ascii="Times New Roman" w:hAnsi="Times New Roman" w:cs="Times New Roman"/>
        </w:rPr>
        <w:t>Mellet v Ireland</w:t>
      </w:r>
      <w:r w:rsidR="00A16763">
        <w:rPr>
          <w:rStyle w:val="Emphasis"/>
          <w:rFonts w:ascii="Times New Roman" w:hAnsi="Times New Roman" w:cs="Times New Roman"/>
        </w:rPr>
        <w:t xml:space="preserve"> </w:t>
      </w:r>
      <w:r w:rsidR="00A16763">
        <w:rPr>
          <w:rStyle w:val="Emphasis"/>
          <w:rFonts w:ascii="Times New Roman" w:hAnsi="Times New Roman" w:cs="Times New Roman"/>
          <w:i w:val="0"/>
          <w:iCs w:val="0"/>
        </w:rPr>
        <w:t>(n 69)</w:t>
      </w:r>
      <w:r w:rsidR="007836B1" w:rsidRPr="001C580A">
        <w:rPr>
          <w:rFonts w:ascii="Times New Roman" w:hAnsi="Times New Roman" w:cs="Times New Roman"/>
        </w:rPr>
        <w:t>.</w:t>
      </w:r>
    </w:p>
  </w:footnote>
  <w:footnote w:id="78">
    <w:p w14:paraId="229F8E89" w14:textId="7A6585EC" w:rsidR="00B43A7F" w:rsidRPr="001C580A" w:rsidRDefault="00B43A7F" w:rsidP="001C580A">
      <w:pPr>
        <w:pStyle w:val="FootnoteText"/>
        <w:jc w:val="both"/>
        <w:rPr>
          <w:rFonts w:ascii="Times New Roman" w:hAnsi="Times New Roman" w:cs="Times New Roman"/>
        </w:rPr>
      </w:pPr>
      <w:r w:rsidRPr="001C580A">
        <w:rPr>
          <w:rStyle w:val="FootnoteReference"/>
          <w:rFonts w:ascii="Times New Roman" w:hAnsi="Times New Roman" w:cs="Times New Roman"/>
        </w:rPr>
        <w:footnoteRef/>
      </w:r>
      <w:r w:rsidRPr="001C580A">
        <w:rPr>
          <w:rFonts w:ascii="Times New Roman" w:hAnsi="Times New Roman" w:cs="Times New Roman"/>
        </w:rPr>
        <w:t xml:space="preserve"> </w:t>
      </w:r>
      <w:r w:rsidR="007836B1" w:rsidRPr="001C580A">
        <w:rPr>
          <w:rFonts w:ascii="Times New Roman" w:hAnsi="Times New Roman" w:cs="Times New Roman"/>
        </w:rPr>
        <w:t>Committee on the Elimination of Discrimination against Women (</w:t>
      </w:r>
      <w:r w:rsidR="009D03BA">
        <w:rPr>
          <w:rFonts w:ascii="Times New Roman" w:hAnsi="Times New Roman" w:cs="Times New Roman"/>
        </w:rPr>
        <w:t>n 38</w:t>
      </w:r>
      <w:r w:rsidR="007836B1" w:rsidRPr="001C580A">
        <w:rPr>
          <w:rFonts w:ascii="Times New Roman" w:hAnsi="Times New Roman" w:cs="Times New Roman"/>
        </w:rPr>
        <w:t>).</w:t>
      </w:r>
    </w:p>
  </w:footnote>
  <w:footnote w:id="79">
    <w:p w14:paraId="0648E254" w14:textId="69C81A2E" w:rsidR="00410EC0" w:rsidRPr="001C580A" w:rsidRDefault="00410EC0" w:rsidP="001C580A">
      <w:pPr>
        <w:pStyle w:val="FootnoteText"/>
        <w:jc w:val="both"/>
        <w:rPr>
          <w:rFonts w:ascii="Times New Roman" w:hAnsi="Times New Roman" w:cs="Times New Roman"/>
        </w:rPr>
      </w:pPr>
      <w:r w:rsidRPr="001C580A">
        <w:rPr>
          <w:rStyle w:val="FootnoteReference"/>
          <w:rFonts w:ascii="Times New Roman" w:hAnsi="Times New Roman" w:cs="Times New Roman"/>
        </w:rPr>
        <w:footnoteRef/>
      </w:r>
      <w:r w:rsidRPr="001C580A">
        <w:rPr>
          <w:rFonts w:ascii="Times New Roman" w:hAnsi="Times New Roman" w:cs="Times New Roman"/>
        </w:rPr>
        <w:t xml:space="preserve"> </w:t>
      </w:r>
      <w:r w:rsidR="00605D56" w:rsidRPr="001C580A">
        <w:rPr>
          <w:rFonts w:ascii="Times New Roman" w:hAnsi="Times New Roman" w:cs="Times New Roman"/>
        </w:rPr>
        <w:t>Carnegie</w:t>
      </w:r>
      <w:r w:rsidR="009D03BA">
        <w:rPr>
          <w:rFonts w:ascii="Times New Roman" w:hAnsi="Times New Roman" w:cs="Times New Roman"/>
        </w:rPr>
        <w:t xml:space="preserve"> </w:t>
      </w:r>
      <w:r w:rsidR="00605D56" w:rsidRPr="001C580A">
        <w:rPr>
          <w:rFonts w:ascii="Times New Roman" w:hAnsi="Times New Roman" w:cs="Times New Roman"/>
        </w:rPr>
        <w:t xml:space="preserve">and Roth </w:t>
      </w:r>
      <w:r w:rsidR="009D03BA">
        <w:rPr>
          <w:rFonts w:ascii="Times New Roman" w:hAnsi="Times New Roman" w:cs="Times New Roman"/>
        </w:rPr>
        <w:t>(n 73)</w:t>
      </w:r>
      <w:r w:rsidR="00605D56" w:rsidRPr="001C580A">
        <w:rPr>
          <w:rFonts w:ascii="Times New Roman" w:hAnsi="Times New Roman" w:cs="Times New Roman"/>
        </w:rPr>
        <w:t xml:space="preserve">, </w:t>
      </w:r>
      <w:r w:rsidR="00605D56" w:rsidRPr="001C580A">
        <w:rPr>
          <w:rStyle w:val="Strong"/>
          <w:rFonts w:ascii="Times New Roman" w:hAnsi="Times New Roman" w:cs="Times New Roman"/>
          <w:b w:val="0"/>
          <w:bCs w:val="0"/>
        </w:rPr>
        <w:t>112–16</w:t>
      </w:r>
      <w:r w:rsidR="00605D56" w:rsidRPr="001C580A">
        <w:rPr>
          <w:rFonts w:ascii="Times New Roman" w:hAnsi="Times New Roman" w:cs="Times New Roman"/>
        </w:rPr>
        <w:t>.</w:t>
      </w:r>
    </w:p>
  </w:footnote>
  <w:footnote w:id="80">
    <w:p w14:paraId="57BC83B1" w14:textId="31F18A06" w:rsidR="00E957E8" w:rsidRPr="002462E6" w:rsidRDefault="00E957E8">
      <w:pPr>
        <w:pStyle w:val="FootnoteText"/>
        <w:rPr>
          <w:rFonts w:ascii="Times New Roman" w:hAnsi="Times New Roman" w:cs="Times New Roman"/>
          <w:u w:val="single"/>
        </w:rPr>
      </w:pPr>
      <w:r>
        <w:rPr>
          <w:rStyle w:val="FootnoteReference"/>
        </w:rPr>
        <w:footnoteRef/>
      </w:r>
      <w:r>
        <w:t xml:space="preserve"> </w:t>
      </w:r>
      <w:proofErr w:type="spellStart"/>
      <w:r w:rsidRPr="002462E6">
        <w:rPr>
          <w:rFonts w:ascii="Times New Roman" w:hAnsi="Times New Roman" w:cs="Times New Roman"/>
        </w:rPr>
        <w:t>Laffoy</w:t>
      </w:r>
      <w:proofErr w:type="spellEnd"/>
      <w:r w:rsidRPr="002462E6">
        <w:rPr>
          <w:rFonts w:ascii="Times New Roman" w:hAnsi="Times New Roman" w:cs="Times New Roman"/>
        </w:rPr>
        <w:t xml:space="preserve"> M, </w:t>
      </w:r>
      <w:r w:rsidRPr="002462E6">
        <w:rPr>
          <w:rFonts w:ascii="Times New Roman" w:hAnsi="Times New Roman" w:cs="Times New Roman"/>
          <w:i/>
          <w:iCs/>
        </w:rPr>
        <w:t>First Reports and Recommendations of the Citizens Assembly: The Ei</w:t>
      </w:r>
      <w:r w:rsidR="002A6CA5" w:rsidRPr="002462E6">
        <w:rPr>
          <w:rFonts w:ascii="Times New Roman" w:hAnsi="Times New Roman" w:cs="Times New Roman"/>
          <w:i/>
          <w:iCs/>
        </w:rPr>
        <w:t>ghth Amendment of the Constitution</w:t>
      </w:r>
      <w:r w:rsidR="002A6CA5" w:rsidRPr="002462E6">
        <w:rPr>
          <w:rFonts w:ascii="Times New Roman" w:hAnsi="Times New Roman" w:cs="Times New Roman"/>
        </w:rPr>
        <w:t xml:space="preserve"> (29</w:t>
      </w:r>
      <w:r w:rsidR="002A6CA5" w:rsidRPr="002462E6">
        <w:rPr>
          <w:rFonts w:ascii="Times New Roman" w:hAnsi="Times New Roman" w:cs="Times New Roman"/>
          <w:vertAlign w:val="superscript"/>
        </w:rPr>
        <w:t>th</w:t>
      </w:r>
      <w:r w:rsidR="002A6CA5" w:rsidRPr="002462E6">
        <w:rPr>
          <w:rFonts w:ascii="Times New Roman" w:hAnsi="Times New Roman" w:cs="Times New Roman"/>
        </w:rPr>
        <w:t xml:space="preserve"> June 2017)</w:t>
      </w:r>
      <w:r w:rsidR="008D14D7">
        <w:rPr>
          <w:rFonts w:ascii="Times New Roman" w:hAnsi="Times New Roman" w:cs="Times New Roman"/>
        </w:rPr>
        <w:t>,</w:t>
      </w:r>
      <w:r w:rsidR="002A6CA5" w:rsidRPr="002462E6">
        <w:rPr>
          <w:rFonts w:ascii="Times New Roman" w:hAnsi="Times New Roman" w:cs="Times New Roman"/>
        </w:rPr>
        <w:t xml:space="preserve"> </w:t>
      </w:r>
      <w:hyperlink r:id="rId9" w:history="1">
        <w:r w:rsidR="00506A43" w:rsidRPr="00506A43">
          <w:rPr>
            <w:rStyle w:val="Hyperlink"/>
          </w:rPr>
          <w:t>ptfs-oireachtas.s3.amazonaws.com/DriveH/AWData/Library3/CAdoclaid290617A_110031.pdf</w:t>
        </w:r>
      </w:hyperlink>
      <w:r w:rsidR="00D32928">
        <w:t xml:space="preserve"> </w:t>
      </w:r>
      <w:r w:rsidR="00D32928" w:rsidRPr="002462E6">
        <w:rPr>
          <w:rFonts w:ascii="Times New Roman" w:hAnsi="Times New Roman" w:cs="Times New Roman"/>
        </w:rPr>
        <w:t>a</w:t>
      </w:r>
      <w:r w:rsidR="00B9543B" w:rsidRPr="002462E6">
        <w:rPr>
          <w:rFonts w:ascii="Times New Roman" w:hAnsi="Times New Roman" w:cs="Times New Roman"/>
        </w:rPr>
        <w:t>ccessed March 2026</w:t>
      </w:r>
    </w:p>
  </w:footnote>
  <w:footnote w:id="81">
    <w:p w14:paraId="565A7286" w14:textId="66218E50" w:rsidR="00A05FF9" w:rsidRPr="005F705C" w:rsidRDefault="00A05FF9" w:rsidP="001C580A">
      <w:pPr>
        <w:jc w:val="both"/>
        <w:rPr>
          <w:rFonts w:ascii="Times New Roman" w:hAnsi="Times New Roman" w:cs="Times New Roman"/>
          <w:color w:val="000000" w:themeColor="text1"/>
          <w:sz w:val="20"/>
          <w:szCs w:val="20"/>
        </w:rPr>
      </w:pPr>
      <w:r w:rsidRPr="001C580A">
        <w:rPr>
          <w:rStyle w:val="FootnoteReference"/>
          <w:rFonts w:ascii="Times New Roman" w:hAnsi="Times New Roman" w:cs="Times New Roman"/>
          <w:color w:val="000000" w:themeColor="text1"/>
          <w:sz w:val="20"/>
          <w:szCs w:val="20"/>
        </w:rPr>
        <w:footnoteRef/>
      </w:r>
      <w:r w:rsidRPr="001C580A">
        <w:rPr>
          <w:rFonts w:ascii="Times New Roman" w:hAnsi="Times New Roman" w:cs="Times New Roman"/>
          <w:color w:val="000000" w:themeColor="text1"/>
          <w:sz w:val="20"/>
          <w:szCs w:val="20"/>
        </w:rPr>
        <w:t xml:space="preserve"> </w:t>
      </w:r>
      <w:r w:rsidR="00605D56" w:rsidRPr="001C580A">
        <w:rPr>
          <w:rFonts w:ascii="Times New Roman" w:hAnsi="Times New Roman" w:cs="Times New Roman"/>
          <w:sz w:val="20"/>
          <w:szCs w:val="20"/>
        </w:rPr>
        <w:t xml:space="preserve">Taylor </w:t>
      </w:r>
      <w:r w:rsidR="008D14D7">
        <w:rPr>
          <w:rFonts w:ascii="Times New Roman" w:hAnsi="Times New Roman" w:cs="Times New Roman"/>
          <w:sz w:val="20"/>
          <w:szCs w:val="20"/>
        </w:rPr>
        <w:t>et al.</w:t>
      </w:r>
      <w:r w:rsidR="009E56AE">
        <w:rPr>
          <w:rFonts w:ascii="Times New Roman" w:hAnsi="Times New Roman" w:cs="Times New Roman"/>
          <w:sz w:val="20"/>
          <w:szCs w:val="20"/>
        </w:rPr>
        <w:t xml:space="preserve"> (n 47), </w:t>
      </w:r>
      <w:r w:rsidR="00605D56" w:rsidRPr="005F705C">
        <w:rPr>
          <w:rStyle w:val="Strong"/>
          <w:rFonts w:ascii="Times New Roman" w:hAnsi="Times New Roman" w:cs="Times New Roman"/>
          <w:b w:val="0"/>
          <w:bCs w:val="0"/>
          <w:sz w:val="20"/>
          <w:szCs w:val="20"/>
        </w:rPr>
        <w:t>41</w:t>
      </w:r>
      <w:r w:rsidR="00605D56" w:rsidRPr="005F705C">
        <w:rPr>
          <w:rFonts w:ascii="Times New Roman" w:hAnsi="Times New Roman" w:cs="Times New Roman"/>
          <w:sz w:val="20"/>
          <w:szCs w:val="20"/>
        </w:rPr>
        <w:t>.</w:t>
      </w:r>
    </w:p>
  </w:footnote>
  <w:footnote w:id="82">
    <w:p w14:paraId="71F82D46" w14:textId="4BB6F249" w:rsidR="005F705C" w:rsidRPr="005F705C" w:rsidRDefault="005F705C" w:rsidP="005F705C">
      <w:pPr>
        <w:pStyle w:val="NormalWeb"/>
        <w:spacing w:before="0" w:beforeAutospacing="0" w:after="0" w:afterAutospacing="0"/>
      </w:pPr>
      <w:r w:rsidRPr="005F705C">
        <w:rPr>
          <w:rStyle w:val="FootnoteReference"/>
          <w:sz w:val="20"/>
          <w:szCs w:val="20"/>
        </w:rPr>
        <w:footnoteRef/>
      </w:r>
      <w:r w:rsidRPr="005F705C">
        <w:rPr>
          <w:sz w:val="20"/>
          <w:szCs w:val="20"/>
        </w:rPr>
        <w:t xml:space="preserve"> McDonald H, Graham-Harrison E and Baker S, ‘Ireland Votes by Landslide to Legalise Abortion’ </w:t>
      </w:r>
      <w:r w:rsidRPr="005F705C">
        <w:rPr>
          <w:rStyle w:val="Emphasis"/>
          <w:sz w:val="20"/>
          <w:szCs w:val="20"/>
        </w:rPr>
        <w:t>The Guardian</w:t>
      </w:r>
      <w:r w:rsidRPr="005F705C">
        <w:rPr>
          <w:sz w:val="20"/>
          <w:szCs w:val="20"/>
        </w:rPr>
        <w:t xml:space="preserve"> (27 May 2018)</w:t>
      </w:r>
      <w:r>
        <w:rPr>
          <w:sz w:val="20"/>
          <w:szCs w:val="20"/>
        </w:rPr>
        <w:t xml:space="preserve"> </w:t>
      </w:r>
      <w:hyperlink r:id="rId10" w:history="1">
        <w:r w:rsidR="00AA2DDB" w:rsidRPr="004D00DB">
          <w:rPr>
            <w:rStyle w:val="Hyperlink"/>
            <w:sz w:val="20"/>
            <w:szCs w:val="20"/>
          </w:rPr>
          <w:t>https://www.theguardian.com/world/2018/may/26/ireland-votes-by-landslide-to-legalise-abortion</w:t>
        </w:r>
      </w:hyperlink>
      <w:r>
        <w:rPr>
          <w:sz w:val="20"/>
          <w:szCs w:val="20"/>
        </w:rPr>
        <w:t xml:space="preserve"> </w:t>
      </w:r>
      <w:r w:rsidR="00AA2DDB">
        <w:rPr>
          <w:sz w:val="20"/>
          <w:szCs w:val="20"/>
        </w:rPr>
        <w:t>a</w:t>
      </w:r>
      <w:r>
        <w:rPr>
          <w:sz w:val="20"/>
          <w:szCs w:val="20"/>
        </w:rPr>
        <w:t xml:space="preserve">ccessed September 2026. </w:t>
      </w:r>
    </w:p>
  </w:footnote>
  <w:footnote w:id="83">
    <w:p w14:paraId="2480E105" w14:textId="73A66275" w:rsidR="005E5E63" w:rsidRPr="001C580A" w:rsidRDefault="005E5E63" w:rsidP="001C580A">
      <w:pPr>
        <w:pStyle w:val="FootnoteText"/>
        <w:jc w:val="both"/>
        <w:rPr>
          <w:rFonts w:ascii="Times New Roman" w:hAnsi="Times New Roman" w:cs="Times New Roman"/>
        </w:rPr>
      </w:pPr>
      <w:r w:rsidRPr="001C580A">
        <w:rPr>
          <w:rStyle w:val="FootnoteReference"/>
          <w:rFonts w:ascii="Times New Roman" w:hAnsi="Times New Roman" w:cs="Times New Roman"/>
        </w:rPr>
        <w:footnoteRef/>
      </w:r>
      <w:r w:rsidRPr="001C580A">
        <w:rPr>
          <w:rFonts w:ascii="Times New Roman" w:hAnsi="Times New Roman" w:cs="Times New Roman"/>
        </w:rPr>
        <w:t xml:space="preserve"> </w:t>
      </w:r>
      <w:r w:rsidRPr="001C580A">
        <w:rPr>
          <w:rFonts w:ascii="Times New Roman" w:eastAsia="Times New Roman" w:hAnsi="Times New Roman" w:cs="Times New Roman"/>
          <w:kern w:val="0"/>
          <w:lang w:eastAsia="en-GB"/>
          <w14:ligatures w14:val="none"/>
        </w:rPr>
        <w:t>Health (Regulation of Termination of Pregnancy) Act 2018</w:t>
      </w:r>
      <w:r w:rsidR="00501E1B">
        <w:rPr>
          <w:rFonts w:ascii="Times New Roman" w:eastAsia="Times New Roman" w:hAnsi="Times New Roman" w:cs="Times New Roman"/>
          <w:kern w:val="0"/>
          <w:lang w:eastAsia="en-GB"/>
          <w14:ligatures w14:val="none"/>
        </w:rPr>
        <w:t>, s 23.</w:t>
      </w:r>
    </w:p>
  </w:footnote>
  <w:footnote w:id="84">
    <w:p w14:paraId="53263F2F" w14:textId="549A1B5B" w:rsidR="005E5E63" w:rsidRPr="001C580A" w:rsidRDefault="005E5E63" w:rsidP="001C580A">
      <w:pPr>
        <w:pStyle w:val="NormalWeb"/>
        <w:spacing w:before="0" w:beforeAutospacing="0" w:after="0" w:afterAutospacing="0"/>
        <w:jc w:val="both"/>
        <w:rPr>
          <w:sz w:val="20"/>
          <w:szCs w:val="20"/>
        </w:rPr>
      </w:pPr>
      <w:r w:rsidRPr="001C580A">
        <w:rPr>
          <w:rStyle w:val="FootnoteReference"/>
          <w:sz w:val="20"/>
          <w:szCs w:val="20"/>
        </w:rPr>
        <w:footnoteRef/>
      </w:r>
      <w:r w:rsidRPr="001C580A">
        <w:rPr>
          <w:sz w:val="20"/>
          <w:szCs w:val="20"/>
        </w:rPr>
        <w:t xml:space="preserve"> </w:t>
      </w:r>
      <w:r w:rsidR="00605D56" w:rsidRPr="001C580A">
        <w:rPr>
          <w:sz w:val="20"/>
          <w:szCs w:val="20"/>
        </w:rPr>
        <w:t xml:space="preserve">Enright M, </w:t>
      </w:r>
      <w:r w:rsidR="004D1905">
        <w:rPr>
          <w:sz w:val="20"/>
          <w:szCs w:val="20"/>
        </w:rPr>
        <w:t>‘</w:t>
      </w:r>
      <w:r w:rsidR="00605D56" w:rsidRPr="001C580A">
        <w:rPr>
          <w:sz w:val="20"/>
          <w:szCs w:val="20"/>
        </w:rPr>
        <w:t>Abortion and Constitutional Rights Since 2018: Assessing the Health (Regulation of Termination of Pregnancy) Act</w:t>
      </w:r>
      <w:r w:rsidR="004D1905">
        <w:rPr>
          <w:sz w:val="20"/>
          <w:szCs w:val="20"/>
        </w:rPr>
        <w:t>’</w:t>
      </w:r>
      <w:r w:rsidR="00605D56" w:rsidRPr="001C580A">
        <w:rPr>
          <w:sz w:val="20"/>
          <w:szCs w:val="20"/>
        </w:rPr>
        <w:t xml:space="preserve"> (2024) 43(2) </w:t>
      </w:r>
      <w:r w:rsidR="00605D56" w:rsidRPr="001C580A">
        <w:rPr>
          <w:rStyle w:val="Emphasis"/>
          <w:sz w:val="20"/>
          <w:szCs w:val="20"/>
        </w:rPr>
        <w:t>Dublin University Law Journal.</w:t>
      </w:r>
    </w:p>
  </w:footnote>
  <w:footnote w:id="85">
    <w:p w14:paraId="3A52542F" w14:textId="5B448C04" w:rsidR="005E5E63" w:rsidRPr="001C580A" w:rsidRDefault="005E5E63" w:rsidP="001C580A">
      <w:pPr>
        <w:jc w:val="both"/>
        <w:rPr>
          <w:rFonts w:ascii="Times New Roman" w:hAnsi="Times New Roman" w:cs="Times New Roman"/>
          <w:color w:val="000000" w:themeColor="text1"/>
          <w:sz w:val="20"/>
          <w:szCs w:val="20"/>
        </w:rPr>
      </w:pPr>
      <w:r w:rsidRPr="001C580A">
        <w:rPr>
          <w:rStyle w:val="FootnoteReference"/>
          <w:rFonts w:ascii="Times New Roman" w:hAnsi="Times New Roman" w:cs="Times New Roman"/>
          <w:color w:val="000000" w:themeColor="text1"/>
          <w:sz w:val="20"/>
          <w:szCs w:val="20"/>
        </w:rPr>
        <w:footnoteRef/>
      </w:r>
      <w:r w:rsidRPr="001C580A">
        <w:rPr>
          <w:rFonts w:ascii="Times New Roman" w:hAnsi="Times New Roman" w:cs="Times New Roman"/>
          <w:color w:val="000000" w:themeColor="text1"/>
          <w:sz w:val="20"/>
          <w:szCs w:val="20"/>
        </w:rPr>
        <w:t xml:space="preserve"> </w:t>
      </w:r>
      <w:r w:rsidR="00605D56" w:rsidRPr="001C580A">
        <w:rPr>
          <w:rFonts w:ascii="Times New Roman" w:hAnsi="Times New Roman" w:cs="Times New Roman"/>
          <w:sz w:val="20"/>
          <w:szCs w:val="20"/>
        </w:rPr>
        <w:t xml:space="preserve">Sheldon S, </w:t>
      </w:r>
      <w:r w:rsidR="004D1905">
        <w:rPr>
          <w:rFonts w:ascii="Times New Roman" w:hAnsi="Times New Roman" w:cs="Times New Roman"/>
          <w:sz w:val="20"/>
          <w:szCs w:val="20"/>
        </w:rPr>
        <w:t>‘</w:t>
      </w:r>
      <w:r w:rsidR="00605D56" w:rsidRPr="001C580A">
        <w:rPr>
          <w:rFonts w:ascii="Times New Roman" w:hAnsi="Times New Roman" w:cs="Times New Roman"/>
          <w:sz w:val="20"/>
          <w:szCs w:val="20"/>
        </w:rPr>
        <w:t>The Decriminalisation of Abortion: An Argument for Modernisation</w:t>
      </w:r>
      <w:r w:rsidR="004D1905">
        <w:rPr>
          <w:rFonts w:ascii="Times New Roman" w:hAnsi="Times New Roman" w:cs="Times New Roman"/>
          <w:sz w:val="20"/>
          <w:szCs w:val="20"/>
        </w:rPr>
        <w:t>’</w:t>
      </w:r>
      <w:r w:rsidR="00605D56" w:rsidRPr="001C580A">
        <w:rPr>
          <w:rFonts w:ascii="Times New Roman" w:hAnsi="Times New Roman" w:cs="Times New Roman"/>
          <w:sz w:val="20"/>
          <w:szCs w:val="20"/>
        </w:rPr>
        <w:t xml:space="preserve"> (2016) 36(2) </w:t>
      </w:r>
      <w:r w:rsidR="00605D56" w:rsidRPr="001C580A">
        <w:rPr>
          <w:rStyle w:val="Emphasis"/>
          <w:rFonts w:ascii="Times New Roman" w:hAnsi="Times New Roman" w:cs="Times New Roman"/>
          <w:sz w:val="20"/>
          <w:szCs w:val="20"/>
        </w:rPr>
        <w:t>Oxford Journal of Legal Studies</w:t>
      </w:r>
      <w:r w:rsidR="00605D56" w:rsidRPr="001C580A">
        <w:rPr>
          <w:rFonts w:ascii="Times New Roman" w:hAnsi="Times New Roman" w:cs="Times New Roman"/>
          <w:sz w:val="20"/>
          <w:szCs w:val="20"/>
        </w:rPr>
        <w:t xml:space="preserve"> 334</w:t>
      </w:r>
      <w:r w:rsidRPr="001C580A">
        <w:rPr>
          <w:rFonts w:ascii="Times New Roman" w:hAnsi="Times New Roman" w:cs="Times New Roman"/>
          <w:color w:val="000000" w:themeColor="text1"/>
          <w:sz w:val="20"/>
          <w:szCs w:val="20"/>
        </w:rPr>
        <w:t xml:space="preserve">; </w:t>
      </w:r>
      <w:r w:rsidR="00605D56" w:rsidRPr="001C580A">
        <w:rPr>
          <w:rFonts w:ascii="Times New Roman" w:hAnsi="Times New Roman" w:cs="Times New Roman"/>
          <w:sz w:val="20"/>
          <w:szCs w:val="20"/>
        </w:rPr>
        <w:t xml:space="preserve">Fletcher R, </w:t>
      </w:r>
      <w:r w:rsidR="004D1905">
        <w:rPr>
          <w:rFonts w:ascii="Times New Roman" w:hAnsi="Times New Roman" w:cs="Times New Roman"/>
          <w:sz w:val="20"/>
          <w:szCs w:val="20"/>
        </w:rPr>
        <w:t>‘</w:t>
      </w:r>
      <w:r w:rsidR="00605D56" w:rsidRPr="001C580A">
        <w:rPr>
          <w:rFonts w:ascii="Times New Roman" w:hAnsi="Times New Roman" w:cs="Times New Roman"/>
          <w:sz w:val="20"/>
          <w:szCs w:val="20"/>
        </w:rPr>
        <w:t>Peripheral Governance: Administering Transnational Health-Care Flows</w:t>
      </w:r>
      <w:r w:rsidR="004D1905">
        <w:rPr>
          <w:rFonts w:ascii="Times New Roman" w:hAnsi="Times New Roman" w:cs="Times New Roman"/>
          <w:sz w:val="20"/>
          <w:szCs w:val="20"/>
        </w:rPr>
        <w:t>’</w:t>
      </w:r>
      <w:r w:rsidR="00605D56" w:rsidRPr="001C580A">
        <w:rPr>
          <w:rFonts w:ascii="Times New Roman" w:hAnsi="Times New Roman" w:cs="Times New Roman"/>
          <w:sz w:val="20"/>
          <w:szCs w:val="20"/>
        </w:rPr>
        <w:t xml:space="preserve"> (2013) 22(2) </w:t>
      </w:r>
      <w:r w:rsidR="00605D56" w:rsidRPr="001C580A">
        <w:rPr>
          <w:rStyle w:val="Emphasis"/>
          <w:rFonts w:ascii="Times New Roman" w:hAnsi="Times New Roman" w:cs="Times New Roman"/>
          <w:sz w:val="20"/>
          <w:szCs w:val="20"/>
        </w:rPr>
        <w:t>Social &amp; Legal Studies</w:t>
      </w:r>
      <w:r w:rsidR="00605D56" w:rsidRPr="001C580A">
        <w:rPr>
          <w:rFonts w:ascii="Times New Roman" w:hAnsi="Times New Roman" w:cs="Times New Roman"/>
          <w:sz w:val="20"/>
          <w:szCs w:val="20"/>
        </w:rPr>
        <w:t xml:space="preserve"> 199</w:t>
      </w:r>
      <w:r w:rsidRPr="001C580A">
        <w:rPr>
          <w:rFonts w:ascii="Times New Roman" w:hAnsi="Times New Roman" w:cs="Times New Roman"/>
          <w:color w:val="000000" w:themeColor="text1"/>
          <w:sz w:val="20"/>
          <w:szCs w:val="20"/>
        </w:rPr>
        <w:t xml:space="preserve">; </w:t>
      </w:r>
      <w:r w:rsidR="00605D56" w:rsidRPr="001C580A">
        <w:rPr>
          <w:rFonts w:ascii="Times New Roman" w:hAnsi="Times New Roman" w:cs="Times New Roman"/>
          <w:sz w:val="20"/>
          <w:szCs w:val="20"/>
        </w:rPr>
        <w:t xml:space="preserve">Erdman JN, </w:t>
      </w:r>
      <w:r w:rsidR="004D1905">
        <w:rPr>
          <w:rFonts w:ascii="Times New Roman" w:hAnsi="Times New Roman" w:cs="Times New Roman"/>
          <w:sz w:val="20"/>
          <w:szCs w:val="20"/>
        </w:rPr>
        <w:t>‘</w:t>
      </w:r>
      <w:r w:rsidR="00605D56" w:rsidRPr="001C580A">
        <w:rPr>
          <w:rFonts w:ascii="Times New Roman" w:hAnsi="Times New Roman" w:cs="Times New Roman"/>
          <w:sz w:val="20"/>
          <w:szCs w:val="20"/>
        </w:rPr>
        <w:t>The Politics of Global Abortion Rights</w:t>
      </w:r>
      <w:r w:rsidR="004D1905">
        <w:rPr>
          <w:rFonts w:ascii="Times New Roman" w:hAnsi="Times New Roman" w:cs="Times New Roman"/>
          <w:sz w:val="20"/>
          <w:szCs w:val="20"/>
        </w:rPr>
        <w:t>’</w:t>
      </w:r>
      <w:r w:rsidR="00605D56" w:rsidRPr="001C580A">
        <w:rPr>
          <w:rFonts w:ascii="Times New Roman" w:hAnsi="Times New Roman" w:cs="Times New Roman"/>
          <w:sz w:val="20"/>
          <w:szCs w:val="20"/>
        </w:rPr>
        <w:t xml:space="preserve"> (2016) 44(4) </w:t>
      </w:r>
      <w:r w:rsidR="00605D56" w:rsidRPr="001C580A">
        <w:rPr>
          <w:rStyle w:val="Emphasis"/>
          <w:rFonts w:ascii="Times New Roman" w:hAnsi="Times New Roman" w:cs="Times New Roman"/>
          <w:sz w:val="20"/>
          <w:szCs w:val="20"/>
        </w:rPr>
        <w:t>Politics &amp; Society</w:t>
      </w:r>
      <w:r w:rsidR="00605D56" w:rsidRPr="001C580A">
        <w:rPr>
          <w:rFonts w:ascii="Times New Roman" w:hAnsi="Times New Roman" w:cs="Times New Roman"/>
          <w:sz w:val="20"/>
          <w:szCs w:val="20"/>
        </w:rPr>
        <w:t xml:space="preserve"> 481.</w:t>
      </w:r>
    </w:p>
  </w:footnote>
  <w:footnote w:id="86">
    <w:p w14:paraId="7C64A34B" w14:textId="49FD5AA6" w:rsidR="00A05FF9" w:rsidRPr="001C580A" w:rsidRDefault="00A05FF9" w:rsidP="001C580A">
      <w:pPr>
        <w:jc w:val="both"/>
        <w:rPr>
          <w:rFonts w:ascii="Times New Roman" w:hAnsi="Times New Roman" w:cs="Times New Roman"/>
          <w:color w:val="000000" w:themeColor="text1"/>
          <w:sz w:val="20"/>
          <w:szCs w:val="20"/>
        </w:rPr>
      </w:pPr>
      <w:r w:rsidRPr="001C580A">
        <w:rPr>
          <w:rStyle w:val="FootnoteReference"/>
          <w:rFonts w:ascii="Times New Roman" w:hAnsi="Times New Roman" w:cs="Times New Roman"/>
          <w:color w:val="000000" w:themeColor="text1"/>
          <w:sz w:val="20"/>
          <w:szCs w:val="20"/>
        </w:rPr>
        <w:footnoteRef/>
      </w:r>
      <w:r w:rsidRPr="001C580A">
        <w:rPr>
          <w:rFonts w:ascii="Times New Roman" w:hAnsi="Times New Roman" w:cs="Times New Roman"/>
          <w:color w:val="000000" w:themeColor="text1"/>
          <w:sz w:val="20"/>
          <w:szCs w:val="20"/>
        </w:rPr>
        <w:t xml:space="preserve"> </w:t>
      </w:r>
      <w:r w:rsidR="00605D56" w:rsidRPr="001C580A">
        <w:rPr>
          <w:rFonts w:ascii="Times New Roman" w:hAnsi="Times New Roman" w:cs="Times New Roman"/>
          <w:sz w:val="20"/>
          <w:szCs w:val="20"/>
        </w:rPr>
        <w:t xml:space="preserve">Duffy D </w:t>
      </w:r>
      <w:r w:rsidR="003A34EC">
        <w:rPr>
          <w:rFonts w:ascii="Times New Roman" w:hAnsi="Times New Roman" w:cs="Times New Roman"/>
          <w:sz w:val="20"/>
          <w:szCs w:val="20"/>
        </w:rPr>
        <w:t>et al.</w:t>
      </w:r>
      <w:r w:rsidR="00605D56" w:rsidRPr="001C580A">
        <w:rPr>
          <w:rFonts w:ascii="Times New Roman" w:hAnsi="Times New Roman" w:cs="Times New Roman"/>
          <w:sz w:val="20"/>
          <w:szCs w:val="20"/>
        </w:rPr>
        <w:t xml:space="preserve">, </w:t>
      </w:r>
      <w:r w:rsidR="004D1905">
        <w:rPr>
          <w:rFonts w:ascii="Times New Roman" w:hAnsi="Times New Roman" w:cs="Times New Roman"/>
          <w:sz w:val="20"/>
          <w:szCs w:val="20"/>
        </w:rPr>
        <w:t>‘</w:t>
      </w:r>
      <w:r w:rsidR="00605D56" w:rsidRPr="001C580A">
        <w:rPr>
          <w:rFonts w:ascii="Times New Roman" w:hAnsi="Times New Roman" w:cs="Times New Roman"/>
          <w:sz w:val="20"/>
          <w:szCs w:val="20"/>
        </w:rPr>
        <w:t>Information Flow as Reproductive Governance: Patient Journey Analysis of Information Barriers and Facilitators to Abortion Care in the Republic of Ireland</w:t>
      </w:r>
      <w:r w:rsidR="004D1905">
        <w:rPr>
          <w:rFonts w:ascii="Times New Roman" w:hAnsi="Times New Roman" w:cs="Times New Roman"/>
          <w:sz w:val="20"/>
          <w:szCs w:val="20"/>
        </w:rPr>
        <w:t>’</w:t>
      </w:r>
      <w:r w:rsidR="00605D56" w:rsidRPr="001C580A">
        <w:rPr>
          <w:rFonts w:ascii="Times New Roman" w:hAnsi="Times New Roman" w:cs="Times New Roman"/>
          <w:sz w:val="20"/>
          <w:szCs w:val="20"/>
        </w:rPr>
        <w:t xml:space="preserve"> (2022) 19 </w:t>
      </w:r>
      <w:r w:rsidR="00605D56" w:rsidRPr="001C580A">
        <w:rPr>
          <w:rStyle w:val="Emphasis"/>
          <w:rFonts w:ascii="Times New Roman" w:hAnsi="Times New Roman" w:cs="Times New Roman"/>
          <w:sz w:val="20"/>
          <w:szCs w:val="20"/>
        </w:rPr>
        <w:t>SSM – Population Health</w:t>
      </w:r>
      <w:r w:rsidR="00605D56" w:rsidRPr="001C580A">
        <w:rPr>
          <w:rFonts w:ascii="Times New Roman" w:hAnsi="Times New Roman" w:cs="Times New Roman"/>
          <w:sz w:val="20"/>
          <w:szCs w:val="20"/>
        </w:rPr>
        <w:t xml:space="preserve"> </w:t>
      </w:r>
      <w:r w:rsidR="00605D56" w:rsidRPr="001C580A">
        <w:rPr>
          <w:rStyle w:val="Strong"/>
          <w:rFonts w:ascii="Times New Roman" w:hAnsi="Times New Roman" w:cs="Times New Roman"/>
          <w:b w:val="0"/>
          <w:bCs w:val="0"/>
          <w:sz w:val="20"/>
          <w:szCs w:val="20"/>
        </w:rPr>
        <w:t>101199</w:t>
      </w:r>
      <w:r w:rsidR="00605D56" w:rsidRPr="001C580A">
        <w:rPr>
          <w:rFonts w:ascii="Times New Roman" w:hAnsi="Times New Roman" w:cs="Times New Roman"/>
          <w:sz w:val="20"/>
          <w:szCs w:val="20"/>
        </w:rPr>
        <w:t>.</w:t>
      </w:r>
    </w:p>
  </w:footnote>
  <w:footnote w:id="87">
    <w:p w14:paraId="3BD96CCE" w14:textId="3E46E4AC" w:rsidR="00A05FF9" w:rsidRPr="001C580A" w:rsidRDefault="00A05FF9" w:rsidP="001C580A">
      <w:pPr>
        <w:jc w:val="both"/>
        <w:rPr>
          <w:rFonts w:ascii="Times New Roman" w:hAnsi="Times New Roman" w:cs="Times New Roman"/>
          <w:color w:val="000000" w:themeColor="text1"/>
          <w:sz w:val="20"/>
          <w:szCs w:val="20"/>
        </w:rPr>
      </w:pPr>
      <w:r w:rsidRPr="001C580A">
        <w:rPr>
          <w:rStyle w:val="FootnoteReference"/>
          <w:rFonts w:ascii="Times New Roman" w:hAnsi="Times New Roman" w:cs="Times New Roman"/>
          <w:color w:val="000000" w:themeColor="text1"/>
          <w:sz w:val="20"/>
          <w:szCs w:val="20"/>
        </w:rPr>
        <w:footnoteRef/>
      </w:r>
      <w:r w:rsidRPr="001C580A">
        <w:rPr>
          <w:rFonts w:ascii="Times New Roman" w:hAnsi="Times New Roman" w:cs="Times New Roman"/>
          <w:color w:val="000000" w:themeColor="text1"/>
          <w:sz w:val="20"/>
          <w:szCs w:val="20"/>
        </w:rPr>
        <w:t xml:space="preserve"> </w:t>
      </w:r>
      <w:r w:rsidR="00605D56" w:rsidRPr="001C580A">
        <w:rPr>
          <w:rFonts w:ascii="Times New Roman" w:hAnsi="Times New Roman" w:cs="Times New Roman"/>
          <w:sz w:val="20"/>
          <w:szCs w:val="20"/>
        </w:rPr>
        <w:t xml:space="preserve">Whelan R, </w:t>
      </w:r>
      <w:r w:rsidR="004D1905">
        <w:rPr>
          <w:rFonts w:ascii="Times New Roman" w:hAnsi="Times New Roman" w:cs="Times New Roman"/>
          <w:sz w:val="20"/>
          <w:szCs w:val="20"/>
        </w:rPr>
        <w:t>‘</w:t>
      </w:r>
      <w:r w:rsidR="00605D56" w:rsidRPr="001C580A">
        <w:rPr>
          <w:rFonts w:ascii="Times New Roman" w:hAnsi="Times New Roman" w:cs="Times New Roman"/>
          <w:sz w:val="20"/>
          <w:szCs w:val="20"/>
        </w:rPr>
        <w:t>Aggravating Inequalities: State Regulation of Abortion and Contraception</w:t>
      </w:r>
      <w:r w:rsidR="004D1905">
        <w:rPr>
          <w:rFonts w:ascii="Times New Roman" w:hAnsi="Times New Roman" w:cs="Times New Roman"/>
          <w:sz w:val="20"/>
          <w:szCs w:val="20"/>
        </w:rPr>
        <w:t>’</w:t>
      </w:r>
      <w:r w:rsidR="00605D56" w:rsidRPr="001C580A">
        <w:rPr>
          <w:rFonts w:ascii="Times New Roman" w:hAnsi="Times New Roman" w:cs="Times New Roman"/>
          <w:sz w:val="20"/>
          <w:szCs w:val="20"/>
        </w:rPr>
        <w:t xml:space="preserve"> (2023) 46(1) </w:t>
      </w:r>
      <w:r w:rsidR="00605D56" w:rsidRPr="001C580A">
        <w:rPr>
          <w:rStyle w:val="Emphasis"/>
          <w:rFonts w:ascii="Times New Roman" w:hAnsi="Times New Roman" w:cs="Times New Roman"/>
          <w:sz w:val="20"/>
          <w:szCs w:val="20"/>
        </w:rPr>
        <w:t>Harvard Journal of Law &amp; Gender</w:t>
      </w:r>
      <w:r w:rsidR="00605D56" w:rsidRPr="001C580A">
        <w:rPr>
          <w:rFonts w:ascii="Times New Roman" w:hAnsi="Times New Roman" w:cs="Times New Roman"/>
          <w:sz w:val="20"/>
          <w:szCs w:val="20"/>
        </w:rPr>
        <w:t xml:space="preserve"> 1.</w:t>
      </w:r>
    </w:p>
  </w:footnote>
  <w:footnote w:id="88">
    <w:p w14:paraId="1F2FFEB8" w14:textId="09F6B4B6" w:rsidR="00A05FF9" w:rsidRPr="001C580A" w:rsidRDefault="00A05FF9" w:rsidP="001C580A">
      <w:pPr>
        <w:jc w:val="both"/>
        <w:rPr>
          <w:rFonts w:ascii="Times New Roman" w:hAnsi="Times New Roman" w:cs="Times New Roman"/>
          <w:color w:val="000000" w:themeColor="text1"/>
          <w:sz w:val="20"/>
          <w:szCs w:val="20"/>
        </w:rPr>
      </w:pPr>
      <w:r w:rsidRPr="001C580A">
        <w:rPr>
          <w:rStyle w:val="FootnoteReference"/>
          <w:rFonts w:ascii="Times New Roman" w:hAnsi="Times New Roman" w:cs="Times New Roman"/>
          <w:color w:val="000000" w:themeColor="text1"/>
          <w:sz w:val="20"/>
          <w:szCs w:val="20"/>
        </w:rPr>
        <w:footnoteRef/>
      </w:r>
      <w:r w:rsidRPr="001C580A">
        <w:rPr>
          <w:rFonts w:ascii="Times New Roman" w:hAnsi="Times New Roman" w:cs="Times New Roman"/>
          <w:color w:val="000000" w:themeColor="text1"/>
          <w:sz w:val="20"/>
          <w:szCs w:val="20"/>
        </w:rPr>
        <w:t xml:space="preserve"> </w:t>
      </w:r>
      <w:r w:rsidR="00605D56" w:rsidRPr="001C580A">
        <w:rPr>
          <w:rFonts w:ascii="Times New Roman" w:hAnsi="Times New Roman" w:cs="Times New Roman"/>
          <w:color w:val="000000" w:themeColor="text1"/>
          <w:sz w:val="20"/>
          <w:szCs w:val="20"/>
        </w:rPr>
        <w:t>Ibid</w:t>
      </w:r>
      <w:r w:rsidR="006F1670">
        <w:rPr>
          <w:rFonts w:ascii="Times New Roman" w:hAnsi="Times New Roman" w:cs="Times New Roman"/>
          <w:color w:val="000000" w:themeColor="text1"/>
          <w:sz w:val="20"/>
          <w:szCs w:val="20"/>
        </w:rPr>
        <w:t>,</w:t>
      </w:r>
      <w:r w:rsidRPr="001C580A">
        <w:rPr>
          <w:rFonts w:ascii="Times New Roman" w:hAnsi="Times New Roman" w:cs="Times New Roman"/>
          <w:color w:val="000000" w:themeColor="text1"/>
          <w:sz w:val="20"/>
          <w:szCs w:val="20"/>
        </w:rPr>
        <w:t xml:space="preserve"> 138.</w:t>
      </w:r>
    </w:p>
  </w:footnote>
  <w:footnote w:id="89">
    <w:p w14:paraId="0F4B9131" w14:textId="3D13A718" w:rsidR="00A05FF9" w:rsidRPr="001C580A" w:rsidRDefault="00A05FF9" w:rsidP="001C580A">
      <w:pPr>
        <w:jc w:val="both"/>
        <w:rPr>
          <w:rFonts w:ascii="Times New Roman" w:hAnsi="Times New Roman" w:cs="Times New Roman"/>
          <w:color w:val="000000" w:themeColor="text1"/>
          <w:sz w:val="20"/>
          <w:szCs w:val="20"/>
        </w:rPr>
      </w:pPr>
      <w:r w:rsidRPr="001C580A">
        <w:rPr>
          <w:rStyle w:val="FootnoteReference"/>
          <w:rFonts w:ascii="Times New Roman" w:hAnsi="Times New Roman" w:cs="Times New Roman"/>
          <w:color w:val="000000" w:themeColor="text1"/>
          <w:sz w:val="20"/>
          <w:szCs w:val="20"/>
        </w:rPr>
        <w:footnoteRef/>
      </w:r>
      <w:r w:rsidRPr="001C580A">
        <w:rPr>
          <w:rFonts w:ascii="Times New Roman" w:hAnsi="Times New Roman" w:cs="Times New Roman"/>
          <w:color w:val="000000" w:themeColor="text1"/>
          <w:sz w:val="20"/>
          <w:szCs w:val="20"/>
        </w:rPr>
        <w:t xml:space="preserve"> </w:t>
      </w:r>
      <w:proofErr w:type="spellStart"/>
      <w:r w:rsidR="00605D56" w:rsidRPr="001C580A">
        <w:rPr>
          <w:rFonts w:ascii="Times New Roman" w:hAnsi="Times New Roman" w:cs="Times New Roman"/>
          <w:sz w:val="20"/>
          <w:szCs w:val="20"/>
        </w:rPr>
        <w:t>Rebouché</w:t>
      </w:r>
      <w:proofErr w:type="spellEnd"/>
      <w:r w:rsidR="00605D56" w:rsidRPr="001C580A">
        <w:rPr>
          <w:rFonts w:ascii="Times New Roman" w:hAnsi="Times New Roman" w:cs="Times New Roman"/>
          <w:sz w:val="20"/>
          <w:szCs w:val="20"/>
        </w:rPr>
        <w:t xml:space="preserve"> </w:t>
      </w:r>
      <w:r w:rsidR="001503D8">
        <w:rPr>
          <w:rFonts w:ascii="Times New Roman" w:hAnsi="Times New Roman" w:cs="Times New Roman"/>
          <w:sz w:val="20"/>
          <w:szCs w:val="20"/>
        </w:rPr>
        <w:t>(n 28)</w:t>
      </w:r>
      <w:r w:rsidR="00605D56" w:rsidRPr="001C580A">
        <w:rPr>
          <w:rFonts w:ascii="Times New Roman" w:hAnsi="Times New Roman" w:cs="Times New Roman"/>
          <w:sz w:val="20"/>
          <w:szCs w:val="20"/>
        </w:rPr>
        <w:t xml:space="preserve">, </w:t>
      </w:r>
      <w:r w:rsidR="00605D56" w:rsidRPr="001C580A">
        <w:rPr>
          <w:rStyle w:val="Strong"/>
          <w:rFonts w:ascii="Times New Roman" w:hAnsi="Times New Roman" w:cs="Times New Roman"/>
          <w:b w:val="0"/>
          <w:bCs w:val="0"/>
          <w:sz w:val="20"/>
          <w:szCs w:val="20"/>
        </w:rPr>
        <w:t>580</w:t>
      </w:r>
      <w:r w:rsidR="00605D56" w:rsidRPr="001C580A">
        <w:rPr>
          <w:rFonts w:ascii="Times New Roman" w:hAnsi="Times New Roman" w:cs="Times New Roman"/>
          <w:sz w:val="20"/>
          <w:szCs w:val="20"/>
        </w:rPr>
        <w:t>.</w:t>
      </w:r>
    </w:p>
  </w:footnote>
  <w:footnote w:id="90">
    <w:p w14:paraId="35FCEB2C" w14:textId="41052BC8" w:rsidR="002F2E39" w:rsidRPr="001C580A" w:rsidRDefault="002F2E39" w:rsidP="001C580A">
      <w:pPr>
        <w:jc w:val="both"/>
        <w:rPr>
          <w:rFonts w:ascii="Times New Roman" w:hAnsi="Times New Roman" w:cs="Times New Roman"/>
          <w:color w:val="000000" w:themeColor="text1"/>
          <w:sz w:val="20"/>
          <w:szCs w:val="20"/>
        </w:rPr>
      </w:pPr>
      <w:r w:rsidRPr="001C580A">
        <w:rPr>
          <w:rStyle w:val="FootnoteReference"/>
          <w:rFonts w:ascii="Times New Roman" w:hAnsi="Times New Roman" w:cs="Times New Roman"/>
          <w:color w:val="000000" w:themeColor="text1"/>
          <w:sz w:val="20"/>
          <w:szCs w:val="20"/>
        </w:rPr>
        <w:footnoteRef/>
      </w:r>
      <w:r w:rsidRPr="001C580A">
        <w:rPr>
          <w:rFonts w:ascii="Times New Roman" w:hAnsi="Times New Roman" w:cs="Times New Roman"/>
          <w:color w:val="000000" w:themeColor="text1"/>
          <w:sz w:val="20"/>
          <w:szCs w:val="20"/>
        </w:rPr>
        <w:t xml:space="preserve"> </w:t>
      </w:r>
      <w:r w:rsidR="00605D56" w:rsidRPr="001C580A">
        <w:rPr>
          <w:rStyle w:val="Emphasis"/>
          <w:rFonts w:ascii="Times New Roman" w:hAnsi="Times New Roman" w:cs="Times New Roman"/>
          <w:sz w:val="20"/>
          <w:szCs w:val="20"/>
        </w:rPr>
        <w:t>Convention on the Elimination of All Forms of Discrimination against Women</w:t>
      </w:r>
      <w:r w:rsidR="00605D56" w:rsidRPr="001C580A">
        <w:rPr>
          <w:rFonts w:ascii="Times New Roman" w:hAnsi="Times New Roman" w:cs="Times New Roman"/>
          <w:sz w:val="20"/>
          <w:szCs w:val="20"/>
        </w:rPr>
        <w:t xml:space="preserve"> (adopted 18 December 1979, entered into force 3 September 1981) 1249 UNTS 13, art 16(1).</w:t>
      </w:r>
    </w:p>
  </w:footnote>
  <w:footnote w:id="91">
    <w:p w14:paraId="42D6D9BD" w14:textId="43A50FE2" w:rsidR="002F2E39" w:rsidRPr="001C580A" w:rsidRDefault="002F2E39" w:rsidP="001C580A">
      <w:pPr>
        <w:jc w:val="both"/>
        <w:rPr>
          <w:rFonts w:ascii="Times New Roman" w:hAnsi="Times New Roman" w:cs="Times New Roman"/>
          <w:color w:val="000000" w:themeColor="text1"/>
          <w:sz w:val="20"/>
          <w:szCs w:val="20"/>
        </w:rPr>
      </w:pPr>
      <w:r w:rsidRPr="001C580A">
        <w:rPr>
          <w:rStyle w:val="FootnoteReference"/>
          <w:rFonts w:ascii="Times New Roman" w:hAnsi="Times New Roman" w:cs="Times New Roman"/>
          <w:color w:val="000000" w:themeColor="text1"/>
          <w:sz w:val="20"/>
          <w:szCs w:val="20"/>
        </w:rPr>
        <w:footnoteRef/>
      </w:r>
      <w:r w:rsidRPr="001C580A">
        <w:rPr>
          <w:rFonts w:ascii="Times New Roman" w:hAnsi="Times New Roman" w:cs="Times New Roman"/>
          <w:color w:val="000000" w:themeColor="text1"/>
          <w:sz w:val="20"/>
          <w:szCs w:val="20"/>
        </w:rPr>
        <w:t xml:space="preserve"> </w:t>
      </w:r>
      <w:r w:rsidR="00605D56" w:rsidRPr="001C580A">
        <w:rPr>
          <w:rFonts w:ascii="Times New Roman" w:hAnsi="Times New Roman" w:cs="Times New Roman"/>
          <w:sz w:val="20"/>
          <w:szCs w:val="20"/>
        </w:rPr>
        <w:t xml:space="preserve">Hartmann B, </w:t>
      </w:r>
      <w:r w:rsidR="00605D56" w:rsidRPr="001C580A">
        <w:rPr>
          <w:rStyle w:val="Emphasis"/>
          <w:rFonts w:ascii="Times New Roman" w:hAnsi="Times New Roman" w:cs="Times New Roman"/>
          <w:sz w:val="20"/>
          <w:szCs w:val="20"/>
        </w:rPr>
        <w:t>Reproductive Rights and Wrongs: The Global Politics of Population Control</w:t>
      </w:r>
      <w:r w:rsidR="00605D56" w:rsidRPr="001C580A">
        <w:rPr>
          <w:rFonts w:ascii="Times New Roman" w:hAnsi="Times New Roman" w:cs="Times New Roman"/>
          <w:sz w:val="20"/>
          <w:szCs w:val="20"/>
        </w:rPr>
        <w:t xml:space="preserve"> (South End Press 1995)</w:t>
      </w:r>
      <w:r w:rsidRPr="001C580A">
        <w:rPr>
          <w:rFonts w:ascii="Times New Roman" w:hAnsi="Times New Roman" w:cs="Times New Roman"/>
          <w:color w:val="000000" w:themeColor="text1"/>
          <w:sz w:val="20"/>
          <w:szCs w:val="20"/>
        </w:rPr>
        <w:t xml:space="preserve">; </w:t>
      </w:r>
      <w:r w:rsidR="00605D56" w:rsidRPr="001C580A">
        <w:rPr>
          <w:rFonts w:ascii="Times New Roman" w:hAnsi="Times New Roman" w:cs="Times New Roman"/>
          <w:sz w:val="20"/>
          <w:szCs w:val="20"/>
        </w:rPr>
        <w:t xml:space="preserve">Briggs L, </w:t>
      </w:r>
      <w:r w:rsidR="00605D56" w:rsidRPr="001C580A">
        <w:rPr>
          <w:rStyle w:val="Emphasis"/>
          <w:rFonts w:ascii="Times New Roman" w:hAnsi="Times New Roman" w:cs="Times New Roman"/>
          <w:sz w:val="20"/>
          <w:szCs w:val="20"/>
        </w:rPr>
        <w:t>Reproducing Empire: Race, Sex, Science, and U.S. Imperialism in Puerto Rico</w:t>
      </w:r>
      <w:r w:rsidR="00605D56" w:rsidRPr="001C580A">
        <w:rPr>
          <w:rFonts w:ascii="Times New Roman" w:hAnsi="Times New Roman" w:cs="Times New Roman"/>
          <w:sz w:val="20"/>
          <w:szCs w:val="20"/>
        </w:rPr>
        <w:t xml:space="preserve"> (University of California Press 2002).</w:t>
      </w:r>
    </w:p>
  </w:footnote>
  <w:footnote w:id="92">
    <w:p w14:paraId="17D28289" w14:textId="633F1829" w:rsidR="002F2E39" w:rsidRPr="001C580A" w:rsidRDefault="002F2E39" w:rsidP="001C580A">
      <w:pPr>
        <w:jc w:val="both"/>
        <w:rPr>
          <w:rFonts w:ascii="Times New Roman" w:hAnsi="Times New Roman" w:cs="Times New Roman"/>
          <w:color w:val="000000" w:themeColor="text1"/>
          <w:sz w:val="20"/>
          <w:szCs w:val="20"/>
        </w:rPr>
      </w:pPr>
      <w:r w:rsidRPr="001C580A">
        <w:rPr>
          <w:rStyle w:val="FootnoteReference"/>
          <w:rFonts w:ascii="Times New Roman" w:hAnsi="Times New Roman" w:cs="Times New Roman"/>
          <w:color w:val="000000" w:themeColor="text1"/>
          <w:sz w:val="20"/>
          <w:szCs w:val="20"/>
        </w:rPr>
        <w:footnoteRef/>
      </w:r>
      <w:r w:rsidRPr="001C580A">
        <w:rPr>
          <w:rFonts w:ascii="Times New Roman" w:hAnsi="Times New Roman" w:cs="Times New Roman"/>
          <w:color w:val="000000" w:themeColor="text1"/>
          <w:sz w:val="20"/>
          <w:szCs w:val="20"/>
        </w:rPr>
        <w:t xml:space="preserve"> Whelan </w:t>
      </w:r>
      <w:r w:rsidR="00E93F50">
        <w:rPr>
          <w:rFonts w:ascii="Times New Roman" w:hAnsi="Times New Roman" w:cs="Times New Roman"/>
          <w:color w:val="000000" w:themeColor="text1"/>
          <w:sz w:val="20"/>
          <w:szCs w:val="20"/>
        </w:rPr>
        <w:t>(n 86)</w:t>
      </w:r>
      <w:r w:rsidRPr="001C580A">
        <w:rPr>
          <w:rFonts w:ascii="Times New Roman" w:hAnsi="Times New Roman" w:cs="Times New Roman"/>
          <w:color w:val="000000" w:themeColor="text1"/>
          <w:sz w:val="20"/>
          <w:szCs w:val="20"/>
        </w:rPr>
        <w:t>.</w:t>
      </w:r>
    </w:p>
  </w:footnote>
  <w:footnote w:id="93">
    <w:p w14:paraId="6F42B2AD" w14:textId="77777777" w:rsidR="005F705C" w:rsidRPr="001C580A" w:rsidRDefault="005F705C" w:rsidP="005F705C">
      <w:pPr>
        <w:jc w:val="both"/>
        <w:rPr>
          <w:rFonts w:ascii="Times New Roman" w:hAnsi="Times New Roman" w:cs="Times New Roman"/>
          <w:color w:val="000000" w:themeColor="text1"/>
          <w:sz w:val="20"/>
          <w:szCs w:val="20"/>
        </w:rPr>
      </w:pPr>
      <w:r w:rsidRPr="001C580A">
        <w:rPr>
          <w:rStyle w:val="FootnoteReference"/>
          <w:rFonts w:ascii="Times New Roman" w:hAnsi="Times New Roman" w:cs="Times New Roman"/>
          <w:color w:val="000000" w:themeColor="text1"/>
          <w:sz w:val="20"/>
          <w:szCs w:val="20"/>
        </w:rPr>
        <w:footnoteRef/>
      </w:r>
      <w:r w:rsidRPr="001C580A">
        <w:rPr>
          <w:rFonts w:ascii="Times New Roman" w:hAnsi="Times New Roman" w:cs="Times New Roman"/>
          <w:color w:val="000000" w:themeColor="text1"/>
          <w:sz w:val="20"/>
          <w:szCs w:val="20"/>
        </w:rPr>
        <w:t xml:space="preserve"> </w:t>
      </w:r>
      <w:r w:rsidRPr="001C580A">
        <w:rPr>
          <w:rFonts w:ascii="Times New Roman" w:hAnsi="Times New Roman" w:cs="Times New Roman"/>
          <w:sz w:val="20"/>
          <w:szCs w:val="20"/>
        </w:rPr>
        <w:t xml:space="preserve">Jiménez MA and Rodríguez Vignoli J, </w:t>
      </w:r>
      <w:r>
        <w:rPr>
          <w:rFonts w:ascii="Times New Roman" w:hAnsi="Times New Roman" w:cs="Times New Roman"/>
          <w:sz w:val="20"/>
          <w:szCs w:val="20"/>
        </w:rPr>
        <w:t>‘</w:t>
      </w:r>
      <w:r w:rsidRPr="001C580A">
        <w:rPr>
          <w:rFonts w:ascii="Times New Roman" w:hAnsi="Times New Roman" w:cs="Times New Roman"/>
          <w:sz w:val="20"/>
          <w:szCs w:val="20"/>
        </w:rPr>
        <w:t>Evaluating the Millennium Development Goal Target on Universal Access to Reproductive Health: A View from Latin America and the Caribbean</w:t>
      </w:r>
      <w:r>
        <w:rPr>
          <w:rFonts w:ascii="Times New Roman" w:hAnsi="Times New Roman" w:cs="Times New Roman"/>
          <w:sz w:val="20"/>
          <w:szCs w:val="20"/>
        </w:rPr>
        <w:t>’</w:t>
      </w:r>
      <w:r w:rsidRPr="001C580A">
        <w:rPr>
          <w:rFonts w:ascii="Times New Roman" w:hAnsi="Times New Roman" w:cs="Times New Roman"/>
          <w:sz w:val="20"/>
          <w:szCs w:val="20"/>
        </w:rPr>
        <w:t xml:space="preserve"> in </w:t>
      </w:r>
      <w:r w:rsidRPr="001C580A">
        <w:rPr>
          <w:rStyle w:val="Emphasis"/>
          <w:rFonts w:ascii="Times New Roman" w:hAnsi="Times New Roman" w:cs="Times New Roman"/>
          <w:sz w:val="20"/>
          <w:szCs w:val="20"/>
        </w:rPr>
        <w:t>Demographic Transformations and Inequalities in Latin America</w:t>
      </w:r>
      <w:r w:rsidRPr="001C580A">
        <w:rPr>
          <w:rFonts w:ascii="Times New Roman" w:hAnsi="Times New Roman" w:cs="Times New Roman"/>
          <w:sz w:val="20"/>
          <w:szCs w:val="20"/>
        </w:rPr>
        <w:t xml:space="preserve"> (Latin American Population Association 2009), </w:t>
      </w:r>
      <w:r w:rsidRPr="001C580A">
        <w:rPr>
          <w:rStyle w:val="Strong"/>
          <w:rFonts w:ascii="Times New Roman" w:hAnsi="Times New Roman" w:cs="Times New Roman"/>
          <w:b w:val="0"/>
          <w:bCs w:val="0"/>
          <w:sz w:val="20"/>
          <w:szCs w:val="20"/>
        </w:rPr>
        <w:t>244</w:t>
      </w:r>
      <w:r w:rsidRPr="001C580A">
        <w:rPr>
          <w:rFonts w:ascii="Times New Roman" w:hAnsi="Times New Roman" w:cs="Times New Roman"/>
          <w:sz w:val="20"/>
          <w:szCs w:val="20"/>
        </w:rPr>
        <w:t>.</w:t>
      </w:r>
    </w:p>
  </w:footnote>
  <w:footnote w:id="94">
    <w:p w14:paraId="005DCCE0" w14:textId="099D08DB" w:rsidR="002F2E39" w:rsidRPr="001C580A" w:rsidRDefault="002F2E39" w:rsidP="001C580A">
      <w:pPr>
        <w:jc w:val="both"/>
        <w:rPr>
          <w:rFonts w:ascii="Times New Roman" w:hAnsi="Times New Roman" w:cs="Times New Roman"/>
          <w:color w:val="000000" w:themeColor="text1"/>
          <w:sz w:val="20"/>
          <w:szCs w:val="20"/>
        </w:rPr>
      </w:pPr>
      <w:r w:rsidRPr="001C580A">
        <w:rPr>
          <w:rStyle w:val="FootnoteReference"/>
          <w:rFonts w:ascii="Times New Roman" w:hAnsi="Times New Roman" w:cs="Times New Roman"/>
          <w:color w:val="000000" w:themeColor="text1"/>
          <w:sz w:val="20"/>
          <w:szCs w:val="20"/>
        </w:rPr>
        <w:footnoteRef/>
      </w:r>
      <w:r w:rsidRPr="001C580A">
        <w:rPr>
          <w:rFonts w:ascii="Times New Roman" w:hAnsi="Times New Roman" w:cs="Times New Roman"/>
          <w:color w:val="000000" w:themeColor="text1"/>
          <w:sz w:val="20"/>
          <w:szCs w:val="20"/>
        </w:rPr>
        <w:t xml:space="preserve"> </w:t>
      </w:r>
      <w:r w:rsidR="00C20B77">
        <w:rPr>
          <w:rFonts w:ascii="Times New Roman" w:hAnsi="Times New Roman" w:cs="Times New Roman"/>
          <w:color w:val="000000" w:themeColor="text1"/>
          <w:sz w:val="20"/>
          <w:szCs w:val="20"/>
        </w:rPr>
        <w:t xml:space="preserve">Ibid, </w:t>
      </w:r>
      <w:r w:rsidRPr="001C580A">
        <w:rPr>
          <w:rFonts w:ascii="Times New Roman" w:hAnsi="Times New Roman" w:cs="Times New Roman"/>
          <w:color w:val="000000" w:themeColor="text1"/>
          <w:sz w:val="20"/>
          <w:szCs w:val="20"/>
        </w:rPr>
        <w:t>245.</w:t>
      </w:r>
    </w:p>
  </w:footnote>
  <w:footnote w:id="95">
    <w:p w14:paraId="29895637" w14:textId="2CAEE380" w:rsidR="002F2E39" w:rsidRPr="001C580A" w:rsidRDefault="002F2E39" w:rsidP="001C580A">
      <w:pPr>
        <w:jc w:val="both"/>
        <w:rPr>
          <w:rFonts w:ascii="Times New Roman" w:hAnsi="Times New Roman" w:cs="Times New Roman"/>
          <w:color w:val="000000" w:themeColor="text1"/>
          <w:sz w:val="20"/>
          <w:szCs w:val="20"/>
        </w:rPr>
      </w:pPr>
      <w:r w:rsidRPr="001C580A">
        <w:rPr>
          <w:rStyle w:val="FootnoteReference"/>
          <w:rFonts w:ascii="Times New Roman" w:hAnsi="Times New Roman" w:cs="Times New Roman"/>
          <w:color w:val="000000" w:themeColor="text1"/>
          <w:sz w:val="20"/>
          <w:szCs w:val="20"/>
        </w:rPr>
        <w:footnoteRef/>
      </w:r>
      <w:r w:rsidRPr="001C580A">
        <w:rPr>
          <w:rFonts w:ascii="Times New Roman" w:hAnsi="Times New Roman" w:cs="Times New Roman"/>
          <w:color w:val="000000" w:themeColor="text1"/>
          <w:sz w:val="20"/>
          <w:szCs w:val="20"/>
        </w:rPr>
        <w:t xml:space="preserve"> </w:t>
      </w:r>
      <w:r w:rsidR="00605D56" w:rsidRPr="001C580A">
        <w:rPr>
          <w:rFonts w:ascii="Times New Roman" w:hAnsi="Times New Roman" w:cs="Times New Roman"/>
          <w:sz w:val="20"/>
          <w:szCs w:val="20"/>
        </w:rPr>
        <w:t xml:space="preserve">United Nations General Assembly, </w:t>
      </w:r>
      <w:r w:rsidR="00605D56" w:rsidRPr="001C580A">
        <w:rPr>
          <w:rStyle w:val="Emphasis"/>
          <w:rFonts w:ascii="Times New Roman" w:hAnsi="Times New Roman" w:cs="Times New Roman"/>
          <w:sz w:val="20"/>
          <w:szCs w:val="20"/>
        </w:rPr>
        <w:t>2005 World Summit Outcome</w:t>
      </w:r>
      <w:r w:rsidR="00605D56" w:rsidRPr="001C580A">
        <w:rPr>
          <w:rFonts w:ascii="Times New Roman" w:hAnsi="Times New Roman" w:cs="Times New Roman"/>
          <w:sz w:val="20"/>
          <w:szCs w:val="20"/>
        </w:rPr>
        <w:t xml:space="preserve">, UN Doc A/RES/60/1 (24 October 2005) </w:t>
      </w:r>
      <w:hyperlink r:id="rId11" w:history="1">
        <w:r w:rsidR="00605D56" w:rsidRPr="001C580A">
          <w:rPr>
            <w:rStyle w:val="Hyperlink"/>
            <w:rFonts w:ascii="Times New Roman" w:hAnsi="Times New Roman" w:cs="Times New Roman"/>
            <w:sz w:val="20"/>
            <w:szCs w:val="20"/>
          </w:rPr>
          <w:t>https://www.un.org/en/development/desa/population/migration/generalassembly/docs/globalcompact/A_RES_60_1.pdf</w:t>
        </w:r>
      </w:hyperlink>
      <w:r w:rsidR="00605D56" w:rsidRPr="001C580A">
        <w:rPr>
          <w:rFonts w:ascii="Times New Roman" w:hAnsi="Times New Roman" w:cs="Times New Roman"/>
          <w:sz w:val="20"/>
          <w:szCs w:val="20"/>
        </w:rPr>
        <w:t xml:space="preserve"> accessed February 2026.</w:t>
      </w:r>
    </w:p>
  </w:footnote>
  <w:footnote w:id="96">
    <w:p w14:paraId="14BD463B" w14:textId="0915A806" w:rsidR="002F2E39" w:rsidRPr="001C580A" w:rsidRDefault="002F2E39" w:rsidP="001C580A">
      <w:pPr>
        <w:jc w:val="both"/>
        <w:rPr>
          <w:rFonts w:ascii="Times New Roman" w:hAnsi="Times New Roman" w:cs="Times New Roman"/>
          <w:color w:val="000000" w:themeColor="text1"/>
          <w:sz w:val="20"/>
          <w:szCs w:val="20"/>
        </w:rPr>
      </w:pPr>
      <w:r w:rsidRPr="001C580A">
        <w:rPr>
          <w:rStyle w:val="FootnoteReference"/>
          <w:rFonts w:ascii="Times New Roman" w:hAnsi="Times New Roman" w:cs="Times New Roman"/>
          <w:color w:val="000000" w:themeColor="text1"/>
          <w:sz w:val="20"/>
          <w:szCs w:val="20"/>
        </w:rPr>
        <w:footnoteRef/>
      </w:r>
      <w:r w:rsidRPr="001C580A">
        <w:rPr>
          <w:rFonts w:ascii="Times New Roman" w:hAnsi="Times New Roman" w:cs="Times New Roman"/>
          <w:color w:val="000000" w:themeColor="text1"/>
          <w:sz w:val="20"/>
          <w:szCs w:val="20"/>
        </w:rPr>
        <w:t xml:space="preserve"> </w:t>
      </w:r>
      <w:r w:rsidR="00605D56" w:rsidRPr="001C580A">
        <w:rPr>
          <w:rFonts w:ascii="Times New Roman" w:hAnsi="Times New Roman" w:cs="Times New Roman"/>
          <w:sz w:val="20"/>
          <w:szCs w:val="20"/>
        </w:rPr>
        <w:t xml:space="preserve">Sen G and Germain A, </w:t>
      </w:r>
      <w:r w:rsidR="004D1905">
        <w:rPr>
          <w:rFonts w:ascii="Times New Roman" w:hAnsi="Times New Roman" w:cs="Times New Roman"/>
          <w:sz w:val="20"/>
          <w:szCs w:val="20"/>
        </w:rPr>
        <w:t>‘</w:t>
      </w:r>
      <w:r w:rsidR="00605D56" w:rsidRPr="001C580A">
        <w:rPr>
          <w:rFonts w:ascii="Times New Roman" w:hAnsi="Times New Roman" w:cs="Times New Roman"/>
          <w:sz w:val="20"/>
          <w:szCs w:val="20"/>
        </w:rPr>
        <w:t>Population Policies Reconsidered: Health, Empowerment, and Rights</w:t>
      </w:r>
      <w:r w:rsidR="004D1905">
        <w:rPr>
          <w:rFonts w:ascii="Times New Roman" w:hAnsi="Times New Roman" w:cs="Times New Roman"/>
          <w:sz w:val="20"/>
          <w:szCs w:val="20"/>
        </w:rPr>
        <w:t>’</w:t>
      </w:r>
      <w:r w:rsidR="00605D56" w:rsidRPr="001C580A">
        <w:rPr>
          <w:rFonts w:ascii="Times New Roman" w:hAnsi="Times New Roman" w:cs="Times New Roman"/>
          <w:sz w:val="20"/>
          <w:szCs w:val="20"/>
        </w:rPr>
        <w:t xml:space="preserve"> (1994) 24(3) </w:t>
      </w:r>
      <w:r w:rsidR="00605D56" w:rsidRPr="001C580A">
        <w:rPr>
          <w:rStyle w:val="Emphasis"/>
          <w:rFonts w:ascii="Times New Roman" w:hAnsi="Times New Roman" w:cs="Times New Roman"/>
          <w:sz w:val="20"/>
          <w:szCs w:val="20"/>
        </w:rPr>
        <w:t>International Journal of Health Services</w:t>
      </w:r>
      <w:r w:rsidR="00605D56" w:rsidRPr="001C580A">
        <w:rPr>
          <w:rFonts w:ascii="Times New Roman" w:hAnsi="Times New Roman" w:cs="Times New Roman"/>
          <w:sz w:val="20"/>
          <w:szCs w:val="20"/>
        </w:rPr>
        <w:t xml:space="preserve"> 487.</w:t>
      </w:r>
    </w:p>
  </w:footnote>
  <w:footnote w:id="97">
    <w:p w14:paraId="3C3C0F3D" w14:textId="75B8F00A" w:rsidR="002F2E39" w:rsidRPr="001C580A" w:rsidRDefault="002F2E39" w:rsidP="001C580A">
      <w:pPr>
        <w:jc w:val="both"/>
        <w:rPr>
          <w:rFonts w:ascii="Times New Roman" w:hAnsi="Times New Roman" w:cs="Times New Roman"/>
          <w:sz w:val="20"/>
          <w:szCs w:val="20"/>
        </w:rPr>
      </w:pPr>
      <w:r w:rsidRPr="001C580A">
        <w:rPr>
          <w:rStyle w:val="FootnoteReference"/>
          <w:rFonts w:ascii="Times New Roman" w:hAnsi="Times New Roman" w:cs="Times New Roman"/>
          <w:color w:val="000000" w:themeColor="text1"/>
          <w:sz w:val="20"/>
          <w:szCs w:val="20"/>
        </w:rPr>
        <w:footnoteRef/>
      </w:r>
      <w:r w:rsidRPr="001C580A">
        <w:rPr>
          <w:rFonts w:ascii="Times New Roman" w:hAnsi="Times New Roman" w:cs="Times New Roman"/>
          <w:color w:val="000000" w:themeColor="text1"/>
          <w:sz w:val="20"/>
          <w:szCs w:val="20"/>
        </w:rPr>
        <w:t xml:space="preserve"> </w:t>
      </w:r>
      <w:r w:rsidR="00605D56" w:rsidRPr="001C580A">
        <w:rPr>
          <w:rFonts w:ascii="Times New Roman" w:hAnsi="Times New Roman" w:cs="Times New Roman"/>
          <w:sz w:val="20"/>
          <w:szCs w:val="20"/>
        </w:rPr>
        <w:t xml:space="preserve">Stavig </w:t>
      </w:r>
      <w:r w:rsidR="004701FE">
        <w:rPr>
          <w:rFonts w:ascii="Times New Roman" w:hAnsi="Times New Roman" w:cs="Times New Roman"/>
          <w:sz w:val="20"/>
          <w:szCs w:val="20"/>
        </w:rPr>
        <w:t>(n 14)</w:t>
      </w:r>
      <w:r w:rsidR="00605D56" w:rsidRPr="001C580A">
        <w:rPr>
          <w:rFonts w:ascii="Times New Roman" w:hAnsi="Times New Roman" w:cs="Times New Roman"/>
          <w:sz w:val="20"/>
          <w:szCs w:val="20"/>
        </w:rPr>
        <w:t>.</w:t>
      </w:r>
    </w:p>
  </w:footnote>
  <w:footnote w:id="98">
    <w:p w14:paraId="67216DC6" w14:textId="1DBD2B13" w:rsidR="002F2E39" w:rsidRPr="001C580A" w:rsidRDefault="002F2E39" w:rsidP="001C580A">
      <w:pPr>
        <w:jc w:val="both"/>
        <w:rPr>
          <w:rFonts w:ascii="Times New Roman" w:hAnsi="Times New Roman" w:cs="Times New Roman"/>
          <w:i/>
          <w:iCs/>
          <w:sz w:val="20"/>
          <w:szCs w:val="20"/>
        </w:rPr>
      </w:pPr>
      <w:r w:rsidRPr="001C580A">
        <w:rPr>
          <w:rStyle w:val="FootnoteReference"/>
          <w:rFonts w:ascii="Times New Roman" w:hAnsi="Times New Roman" w:cs="Times New Roman"/>
          <w:color w:val="000000" w:themeColor="text1"/>
          <w:sz w:val="20"/>
          <w:szCs w:val="20"/>
        </w:rPr>
        <w:footnoteRef/>
      </w:r>
      <w:r w:rsidRPr="001C580A">
        <w:rPr>
          <w:rFonts w:ascii="Times New Roman" w:hAnsi="Times New Roman" w:cs="Times New Roman"/>
          <w:color w:val="000000" w:themeColor="text1"/>
          <w:sz w:val="20"/>
          <w:szCs w:val="20"/>
        </w:rPr>
        <w:t xml:space="preserve"> </w:t>
      </w:r>
      <w:r w:rsidR="00605D56" w:rsidRPr="001C580A">
        <w:rPr>
          <w:rFonts w:ascii="Times New Roman" w:hAnsi="Times New Roman" w:cs="Times New Roman"/>
          <w:sz w:val="20"/>
          <w:szCs w:val="20"/>
        </w:rPr>
        <w:t xml:space="preserve">Rousseau S, </w:t>
      </w:r>
      <w:r w:rsidR="004D1905">
        <w:rPr>
          <w:rFonts w:ascii="Times New Roman" w:hAnsi="Times New Roman" w:cs="Times New Roman"/>
          <w:sz w:val="20"/>
          <w:szCs w:val="20"/>
        </w:rPr>
        <w:t>‘</w:t>
      </w:r>
      <w:r w:rsidR="00605D56" w:rsidRPr="001C580A">
        <w:rPr>
          <w:rFonts w:ascii="Times New Roman" w:hAnsi="Times New Roman" w:cs="Times New Roman"/>
          <w:sz w:val="20"/>
          <w:szCs w:val="20"/>
        </w:rPr>
        <w:t>Reproductive Health Policies in Peru: Discourses, Programmes and Practices</w:t>
      </w:r>
      <w:r w:rsidR="004D1905">
        <w:rPr>
          <w:rFonts w:ascii="Times New Roman" w:hAnsi="Times New Roman" w:cs="Times New Roman"/>
          <w:sz w:val="20"/>
          <w:szCs w:val="20"/>
        </w:rPr>
        <w:t>’</w:t>
      </w:r>
      <w:r w:rsidR="00605D56" w:rsidRPr="001C580A">
        <w:rPr>
          <w:rFonts w:ascii="Times New Roman" w:hAnsi="Times New Roman" w:cs="Times New Roman"/>
          <w:sz w:val="20"/>
          <w:szCs w:val="20"/>
        </w:rPr>
        <w:t xml:space="preserve"> (2012) 21(1) </w:t>
      </w:r>
      <w:r w:rsidR="00605D56" w:rsidRPr="001C580A">
        <w:rPr>
          <w:rStyle w:val="Emphasis"/>
          <w:rFonts w:ascii="Times New Roman" w:hAnsi="Times New Roman" w:cs="Times New Roman"/>
          <w:sz w:val="20"/>
          <w:szCs w:val="20"/>
        </w:rPr>
        <w:t>Journal of Latin American Studies.</w:t>
      </w:r>
    </w:p>
  </w:footnote>
  <w:footnote w:id="99">
    <w:p w14:paraId="4AE7813F" w14:textId="14B7E3D3" w:rsidR="005F705C" w:rsidRPr="005F705C" w:rsidRDefault="005F705C" w:rsidP="005F705C">
      <w:pPr>
        <w:pStyle w:val="FootnoteText"/>
        <w:jc w:val="both"/>
      </w:pPr>
      <w:r>
        <w:rPr>
          <w:rStyle w:val="FootnoteReference"/>
        </w:rPr>
        <w:footnoteRef/>
      </w:r>
      <w:r w:rsidRPr="005F705C">
        <w:t xml:space="preserve"> </w:t>
      </w:r>
      <w:proofErr w:type="spellStart"/>
      <w:r w:rsidRPr="005F705C">
        <w:rPr>
          <w:rFonts w:ascii="Times New Roman" w:hAnsi="Times New Roman" w:cs="Times New Roman"/>
        </w:rPr>
        <w:t>Ministerio</w:t>
      </w:r>
      <w:proofErr w:type="spellEnd"/>
      <w:r w:rsidRPr="005F705C">
        <w:rPr>
          <w:rFonts w:ascii="Times New Roman" w:hAnsi="Times New Roman" w:cs="Times New Roman"/>
        </w:rPr>
        <w:t xml:space="preserve"> de Salud del Perú, ‘</w:t>
      </w:r>
      <w:proofErr w:type="spellStart"/>
      <w:r w:rsidRPr="005F705C">
        <w:rPr>
          <w:rFonts w:ascii="Times New Roman" w:hAnsi="Times New Roman" w:cs="Times New Roman"/>
        </w:rPr>
        <w:t>Ministerio</w:t>
      </w:r>
      <w:proofErr w:type="spellEnd"/>
      <w:r w:rsidRPr="005F705C">
        <w:rPr>
          <w:rFonts w:ascii="Times New Roman" w:hAnsi="Times New Roman" w:cs="Times New Roman"/>
        </w:rPr>
        <w:t xml:space="preserve"> de Salud </w:t>
      </w:r>
      <w:proofErr w:type="spellStart"/>
      <w:r w:rsidRPr="005F705C">
        <w:rPr>
          <w:rFonts w:ascii="Times New Roman" w:hAnsi="Times New Roman" w:cs="Times New Roman"/>
        </w:rPr>
        <w:t>presentó</w:t>
      </w:r>
      <w:proofErr w:type="spellEnd"/>
      <w:r w:rsidRPr="005F705C">
        <w:rPr>
          <w:rFonts w:ascii="Times New Roman" w:hAnsi="Times New Roman" w:cs="Times New Roman"/>
        </w:rPr>
        <w:t xml:space="preserve"> </w:t>
      </w:r>
      <w:proofErr w:type="spellStart"/>
      <w:r w:rsidRPr="005F705C">
        <w:rPr>
          <w:rFonts w:ascii="Times New Roman" w:hAnsi="Times New Roman" w:cs="Times New Roman"/>
        </w:rPr>
        <w:t>informe</w:t>
      </w:r>
      <w:proofErr w:type="spellEnd"/>
      <w:r w:rsidRPr="005F705C">
        <w:rPr>
          <w:rFonts w:ascii="Times New Roman" w:hAnsi="Times New Roman" w:cs="Times New Roman"/>
        </w:rPr>
        <w:t xml:space="preserve"> final </w:t>
      </w:r>
      <w:proofErr w:type="spellStart"/>
      <w:r w:rsidRPr="005F705C">
        <w:rPr>
          <w:rFonts w:ascii="Times New Roman" w:hAnsi="Times New Roman" w:cs="Times New Roman"/>
        </w:rPr>
        <w:t>sobre</w:t>
      </w:r>
      <w:proofErr w:type="spellEnd"/>
      <w:r w:rsidRPr="005F705C">
        <w:rPr>
          <w:rFonts w:ascii="Times New Roman" w:hAnsi="Times New Roman" w:cs="Times New Roman"/>
        </w:rPr>
        <w:t xml:space="preserve"> </w:t>
      </w:r>
      <w:proofErr w:type="spellStart"/>
      <w:r w:rsidRPr="005F705C">
        <w:rPr>
          <w:rFonts w:ascii="Times New Roman" w:hAnsi="Times New Roman" w:cs="Times New Roman"/>
        </w:rPr>
        <w:t>esterilizaciones</w:t>
      </w:r>
      <w:proofErr w:type="spellEnd"/>
      <w:r w:rsidRPr="005F705C">
        <w:rPr>
          <w:rFonts w:ascii="Times New Roman" w:hAnsi="Times New Roman" w:cs="Times New Roman"/>
        </w:rPr>
        <w:t xml:space="preserve"> </w:t>
      </w:r>
      <w:proofErr w:type="spellStart"/>
      <w:r w:rsidRPr="005F705C">
        <w:rPr>
          <w:rFonts w:ascii="Times New Roman" w:hAnsi="Times New Roman" w:cs="Times New Roman"/>
        </w:rPr>
        <w:t>forzadas</w:t>
      </w:r>
      <w:proofErr w:type="spellEnd"/>
      <w:r w:rsidRPr="005F705C">
        <w:rPr>
          <w:rFonts w:ascii="Times New Roman" w:hAnsi="Times New Roman" w:cs="Times New Roman"/>
        </w:rPr>
        <w:t>’ (</w:t>
      </w:r>
      <w:proofErr w:type="spellStart"/>
      <w:r w:rsidRPr="005F705C">
        <w:rPr>
          <w:rFonts w:ascii="Times New Roman" w:hAnsi="Times New Roman" w:cs="Times New Roman"/>
        </w:rPr>
        <w:t>Ministerio</w:t>
      </w:r>
      <w:proofErr w:type="spellEnd"/>
      <w:r w:rsidRPr="005F705C">
        <w:rPr>
          <w:rFonts w:ascii="Times New Roman" w:hAnsi="Times New Roman" w:cs="Times New Roman"/>
        </w:rPr>
        <w:t xml:space="preserve"> de Salud, 2002) </w:t>
      </w:r>
      <w:hyperlink r:id="rId12" w:history="1">
        <w:r w:rsidR="004907D7" w:rsidRPr="004D00DB">
          <w:rPr>
            <w:rStyle w:val="Hyperlink"/>
            <w:rFonts w:ascii="Times New Roman" w:hAnsi="Times New Roman" w:cs="Times New Roman"/>
          </w:rPr>
          <w:t>https://www.gob.pe/institucion/minsa/noticias/45001-ministerio-de-salud-presento-informe-final-sobre-esterilizaciones-forzadas</w:t>
        </w:r>
      </w:hyperlink>
      <w:r w:rsidRPr="005F705C">
        <w:rPr>
          <w:rFonts w:ascii="Times New Roman" w:hAnsi="Times New Roman" w:cs="Times New Roman"/>
        </w:rPr>
        <w:t xml:space="preserve"> </w:t>
      </w:r>
      <w:r w:rsidR="004907D7">
        <w:rPr>
          <w:rFonts w:ascii="Times New Roman" w:hAnsi="Times New Roman" w:cs="Times New Roman"/>
        </w:rPr>
        <w:t>a</w:t>
      </w:r>
      <w:r w:rsidRPr="005F705C">
        <w:rPr>
          <w:rFonts w:ascii="Times New Roman" w:hAnsi="Times New Roman" w:cs="Times New Roman"/>
        </w:rPr>
        <w:t>ccessed 22 September 2026; Vasquez Del Aguila</w:t>
      </w:r>
      <w:r w:rsidR="007D523B">
        <w:rPr>
          <w:rFonts w:ascii="Times New Roman" w:hAnsi="Times New Roman" w:cs="Times New Roman"/>
        </w:rPr>
        <w:t xml:space="preserve"> EI</w:t>
      </w:r>
      <w:r w:rsidRPr="005F705C">
        <w:rPr>
          <w:rFonts w:ascii="Times New Roman" w:hAnsi="Times New Roman" w:cs="Times New Roman"/>
        </w:rPr>
        <w:t xml:space="preserve">, ‘Precarious Lives: Forced Sterilisation and the Struggle for Reproductive Justice in Peru’ (2022) </w:t>
      </w:r>
      <w:r w:rsidR="00700CBD" w:rsidRPr="001C580A">
        <w:rPr>
          <w:rFonts w:ascii="Times New Roman" w:hAnsi="Times New Roman" w:cs="Times New Roman"/>
        </w:rPr>
        <w:t xml:space="preserve">17(1) </w:t>
      </w:r>
      <w:r w:rsidR="00700CBD" w:rsidRPr="001C580A">
        <w:rPr>
          <w:rStyle w:val="Emphasis"/>
          <w:rFonts w:ascii="Times New Roman" w:hAnsi="Times New Roman" w:cs="Times New Roman"/>
        </w:rPr>
        <w:t>Global Public Health</w:t>
      </w:r>
      <w:r>
        <w:rPr>
          <w:rStyle w:val="Emphasis"/>
          <w:rFonts w:ascii="Times New Roman" w:hAnsi="Times New Roman" w:cs="Times New Roman"/>
        </w:rPr>
        <w:t>.</w:t>
      </w:r>
    </w:p>
  </w:footnote>
  <w:footnote w:id="100">
    <w:p w14:paraId="087D443D" w14:textId="3592274B" w:rsidR="002F2E39" w:rsidRPr="001C580A" w:rsidRDefault="002F2E39" w:rsidP="001C580A">
      <w:pPr>
        <w:jc w:val="both"/>
        <w:rPr>
          <w:rFonts w:ascii="Times New Roman" w:hAnsi="Times New Roman" w:cs="Times New Roman"/>
          <w:color w:val="000000" w:themeColor="text1"/>
          <w:sz w:val="20"/>
          <w:szCs w:val="20"/>
        </w:rPr>
      </w:pPr>
      <w:r w:rsidRPr="001C580A">
        <w:rPr>
          <w:rStyle w:val="FootnoteReference"/>
          <w:rFonts w:ascii="Times New Roman" w:hAnsi="Times New Roman" w:cs="Times New Roman"/>
          <w:color w:val="000000" w:themeColor="text1"/>
          <w:sz w:val="20"/>
          <w:szCs w:val="20"/>
        </w:rPr>
        <w:footnoteRef/>
      </w:r>
      <w:r w:rsidRPr="001C580A">
        <w:rPr>
          <w:rFonts w:ascii="Times New Roman" w:hAnsi="Times New Roman" w:cs="Times New Roman"/>
          <w:color w:val="000000" w:themeColor="text1"/>
          <w:sz w:val="20"/>
          <w:szCs w:val="20"/>
        </w:rPr>
        <w:t xml:space="preserve"> </w:t>
      </w:r>
      <w:r w:rsidR="00605D56" w:rsidRPr="001C580A">
        <w:rPr>
          <w:rFonts w:ascii="Times New Roman" w:hAnsi="Times New Roman" w:cs="Times New Roman"/>
          <w:sz w:val="20"/>
          <w:szCs w:val="20"/>
        </w:rPr>
        <w:t>Vásquez del Aguila</w:t>
      </w:r>
      <w:r w:rsidR="00AB7B2C">
        <w:rPr>
          <w:rFonts w:ascii="Times New Roman" w:hAnsi="Times New Roman" w:cs="Times New Roman"/>
          <w:sz w:val="20"/>
          <w:szCs w:val="20"/>
        </w:rPr>
        <w:t xml:space="preserve"> EI</w:t>
      </w:r>
      <w:r w:rsidR="00C61D87">
        <w:rPr>
          <w:rFonts w:ascii="Times New Roman" w:hAnsi="Times New Roman" w:cs="Times New Roman"/>
          <w:sz w:val="20"/>
          <w:szCs w:val="20"/>
        </w:rPr>
        <w:t xml:space="preserve">, </w:t>
      </w:r>
      <w:r w:rsidR="00AB7B2C">
        <w:rPr>
          <w:rFonts w:ascii="Times New Roman" w:hAnsi="Times New Roman" w:cs="Times New Roman"/>
          <w:sz w:val="20"/>
          <w:szCs w:val="20"/>
        </w:rPr>
        <w:t xml:space="preserve">‘Precarious Lives: Forced Sterilisation and the Struggle for Reproductive Justice in Peru’ (2022) </w:t>
      </w:r>
      <w:r w:rsidR="00AB7B2C">
        <w:rPr>
          <w:rFonts w:ascii="Times New Roman" w:hAnsi="Times New Roman" w:cs="Times New Roman"/>
          <w:i/>
          <w:iCs/>
          <w:sz w:val="20"/>
          <w:szCs w:val="20"/>
        </w:rPr>
        <w:t>Journal of Latin American and Caribbean Anthropology</w:t>
      </w:r>
      <w:r w:rsidR="00631640">
        <w:rPr>
          <w:rFonts w:ascii="Times New Roman" w:hAnsi="Times New Roman" w:cs="Times New Roman"/>
          <w:sz w:val="20"/>
          <w:szCs w:val="20"/>
        </w:rPr>
        <w:t xml:space="preserve"> </w:t>
      </w:r>
      <w:r w:rsidR="00700CBD">
        <w:rPr>
          <w:rFonts w:ascii="Times New Roman" w:hAnsi="Times New Roman" w:cs="Times New Roman"/>
          <w:sz w:val="20"/>
          <w:szCs w:val="20"/>
        </w:rPr>
        <w:t xml:space="preserve">100, </w:t>
      </w:r>
      <w:r w:rsidR="00605D56" w:rsidRPr="001C580A">
        <w:rPr>
          <w:rStyle w:val="Strong"/>
          <w:rFonts w:ascii="Times New Roman" w:hAnsi="Times New Roman" w:cs="Times New Roman"/>
          <w:b w:val="0"/>
          <w:bCs w:val="0"/>
          <w:sz w:val="20"/>
          <w:szCs w:val="20"/>
        </w:rPr>
        <w:t>101–</w:t>
      </w:r>
      <w:r w:rsidR="00C86613">
        <w:rPr>
          <w:rStyle w:val="Strong"/>
          <w:rFonts w:ascii="Times New Roman" w:hAnsi="Times New Roman" w:cs="Times New Roman"/>
          <w:b w:val="0"/>
          <w:bCs w:val="0"/>
          <w:sz w:val="20"/>
          <w:szCs w:val="20"/>
        </w:rPr>
        <w:t>1</w:t>
      </w:r>
      <w:r w:rsidR="00605D56" w:rsidRPr="001C580A">
        <w:rPr>
          <w:rStyle w:val="Strong"/>
          <w:rFonts w:ascii="Times New Roman" w:hAnsi="Times New Roman" w:cs="Times New Roman"/>
          <w:b w:val="0"/>
          <w:bCs w:val="0"/>
          <w:sz w:val="20"/>
          <w:szCs w:val="20"/>
        </w:rPr>
        <w:t>03</w:t>
      </w:r>
      <w:r w:rsidR="00605D56" w:rsidRPr="001C580A">
        <w:rPr>
          <w:rFonts w:ascii="Times New Roman" w:hAnsi="Times New Roman" w:cs="Times New Roman"/>
          <w:sz w:val="20"/>
          <w:szCs w:val="20"/>
        </w:rPr>
        <w:t>.</w:t>
      </w:r>
    </w:p>
  </w:footnote>
  <w:footnote w:id="101">
    <w:p w14:paraId="48AF7C93" w14:textId="1337A89C" w:rsidR="002F2E39" w:rsidRPr="001C580A" w:rsidRDefault="002F2E39" w:rsidP="001C580A">
      <w:pPr>
        <w:jc w:val="both"/>
        <w:rPr>
          <w:rFonts w:ascii="Times New Roman" w:hAnsi="Times New Roman" w:cs="Times New Roman"/>
          <w:color w:val="000000" w:themeColor="text1"/>
          <w:sz w:val="20"/>
          <w:szCs w:val="20"/>
        </w:rPr>
      </w:pPr>
      <w:r w:rsidRPr="001C580A">
        <w:rPr>
          <w:rStyle w:val="FootnoteReference"/>
          <w:rFonts w:ascii="Times New Roman" w:hAnsi="Times New Roman" w:cs="Times New Roman"/>
          <w:color w:val="000000" w:themeColor="text1"/>
          <w:sz w:val="20"/>
          <w:szCs w:val="20"/>
        </w:rPr>
        <w:footnoteRef/>
      </w:r>
      <w:r w:rsidRPr="001C580A">
        <w:rPr>
          <w:rFonts w:ascii="Times New Roman" w:hAnsi="Times New Roman" w:cs="Times New Roman"/>
          <w:color w:val="000000" w:themeColor="text1"/>
          <w:sz w:val="20"/>
          <w:szCs w:val="20"/>
        </w:rPr>
        <w:t xml:space="preserve"> </w:t>
      </w:r>
      <w:r w:rsidR="00605D56" w:rsidRPr="001C580A">
        <w:rPr>
          <w:rFonts w:ascii="Times New Roman" w:hAnsi="Times New Roman" w:cs="Times New Roman"/>
          <w:color w:val="000000" w:themeColor="text1"/>
          <w:sz w:val="20"/>
          <w:szCs w:val="20"/>
        </w:rPr>
        <w:t>Ibid,</w:t>
      </w:r>
      <w:r w:rsidRPr="001C580A">
        <w:rPr>
          <w:rFonts w:ascii="Times New Roman" w:hAnsi="Times New Roman" w:cs="Times New Roman"/>
          <w:color w:val="000000" w:themeColor="text1"/>
          <w:sz w:val="20"/>
          <w:szCs w:val="20"/>
        </w:rPr>
        <w:t xml:space="preserve"> 112–114.</w:t>
      </w:r>
    </w:p>
  </w:footnote>
  <w:footnote w:id="102">
    <w:p w14:paraId="0F4AF7E2" w14:textId="3C7FC6DD" w:rsidR="002F2E39" w:rsidRPr="001C580A" w:rsidRDefault="002F2E39" w:rsidP="001C580A">
      <w:pPr>
        <w:jc w:val="both"/>
        <w:rPr>
          <w:rFonts w:ascii="Times New Roman" w:hAnsi="Times New Roman" w:cs="Times New Roman"/>
          <w:color w:val="000000" w:themeColor="text1"/>
          <w:sz w:val="20"/>
          <w:szCs w:val="20"/>
        </w:rPr>
      </w:pPr>
      <w:r w:rsidRPr="001C580A">
        <w:rPr>
          <w:rStyle w:val="FootnoteReference"/>
          <w:rFonts w:ascii="Times New Roman" w:hAnsi="Times New Roman" w:cs="Times New Roman"/>
          <w:color w:val="000000" w:themeColor="text1"/>
          <w:sz w:val="20"/>
          <w:szCs w:val="20"/>
        </w:rPr>
        <w:footnoteRef/>
      </w:r>
      <w:r w:rsidRPr="001C580A">
        <w:rPr>
          <w:rFonts w:ascii="Times New Roman" w:hAnsi="Times New Roman" w:cs="Times New Roman"/>
          <w:color w:val="000000" w:themeColor="text1"/>
          <w:sz w:val="20"/>
          <w:szCs w:val="20"/>
        </w:rPr>
        <w:t xml:space="preserve"> </w:t>
      </w:r>
      <w:r w:rsidR="00605D56" w:rsidRPr="001C580A">
        <w:rPr>
          <w:rFonts w:ascii="Times New Roman" w:hAnsi="Times New Roman" w:cs="Times New Roman"/>
          <w:sz w:val="20"/>
          <w:szCs w:val="20"/>
        </w:rPr>
        <w:t xml:space="preserve">McCain CM, </w:t>
      </w:r>
      <w:r w:rsidR="004D1905">
        <w:rPr>
          <w:rFonts w:ascii="Times New Roman" w:hAnsi="Times New Roman" w:cs="Times New Roman"/>
          <w:sz w:val="20"/>
          <w:szCs w:val="20"/>
        </w:rPr>
        <w:t>‘</w:t>
      </w:r>
      <w:r w:rsidR="00605D56" w:rsidRPr="001C580A">
        <w:rPr>
          <w:rFonts w:ascii="Times New Roman" w:hAnsi="Times New Roman" w:cs="Times New Roman"/>
          <w:sz w:val="20"/>
          <w:szCs w:val="20"/>
        </w:rPr>
        <w:t>Robbing Reproductive Autonomy: Forced Sterilisations in the Americas and the Inter-American Human Rights System</w:t>
      </w:r>
      <w:r w:rsidR="004D1905">
        <w:rPr>
          <w:rFonts w:ascii="Times New Roman" w:hAnsi="Times New Roman" w:cs="Times New Roman"/>
          <w:sz w:val="20"/>
          <w:szCs w:val="20"/>
        </w:rPr>
        <w:t>’</w:t>
      </w:r>
      <w:r w:rsidR="00605D56" w:rsidRPr="001C580A">
        <w:rPr>
          <w:rFonts w:ascii="Times New Roman" w:hAnsi="Times New Roman" w:cs="Times New Roman"/>
          <w:sz w:val="20"/>
          <w:szCs w:val="20"/>
        </w:rPr>
        <w:t>s Response</w:t>
      </w:r>
      <w:r w:rsidR="004D1905">
        <w:rPr>
          <w:rFonts w:ascii="Times New Roman" w:hAnsi="Times New Roman" w:cs="Times New Roman"/>
          <w:sz w:val="20"/>
          <w:szCs w:val="20"/>
        </w:rPr>
        <w:t>’</w:t>
      </w:r>
      <w:r w:rsidR="00605D56" w:rsidRPr="001C580A">
        <w:rPr>
          <w:rFonts w:ascii="Times New Roman" w:hAnsi="Times New Roman" w:cs="Times New Roman"/>
          <w:sz w:val="20"/>
          <w:szCs w:val="20"/>
        </w:rPr>
        <w:t xml:space="preserve"> (2022) </w:t>
      </w:r>
      <w:r w:rsidR="00605D56" w:rsidRPr="001C580A">
        <w:rPr>
          <w:rStyle w:val="Emphasis"/>
          <w:rFonts w:ascii="Times New Roman" w:hAnsi="Times New Roman" w:cs="Times New Roman"/>
          <w:sz w:val="20"/>
          <w:szCs w:val="20"/>
        </w:rPr>
        <w:t>Journal of Public and International Affairs</w:t>
      </w:r>
      <w:r w:rsidR="00605D56" w:rsidRPr="001C580A">
        <w:rPr>
          <w:rFonts w:ascii="Times New Roman" w:hAnsi="Times New Roman" w:cs="Times New Roman"/>
          <w:sz w:val="20"/>
          <w:szCs w:val="20"/>
        </w:rPr>
        <w:t xml:space="preserve"> 1, </w:t>
      </w:r>
      <w:r w:rsidR="00605D56" w:rsidRPr="001C580A">
        <w:rPr>
          <w:rStyle w:val="Strong"/>
          <w:rFonts w:ascii="Times New Roman" w:hAnsi="Times New Roman" w:cs="Times New Roman"/>
          <w:b w:val="0"/>
          <w:bCs w:val="0"/>
          <w:sz w:val="20"/>
          <w:szCs w:val="20"/>
        </w:rPr>
        <w:t>4–6</w:t>
      </w:r>
      <w:r w:rsidRPr="001C580A">
        <w:rPr>
          <w:rFonts w:ascii="Times New Roman" w:hAnsi="Times New Roman" w:cs="Times New Roman"/>
          <w:color w:val="000000" w:themeColor="text1"/>
          <w:sz w:val="20"/>
          <w:szCs w:val="20"/>
        </w:rPr>
        <w:t xml:space="preserve">; </w:t>
      </w:r>
      <w:r w:rsidR="00605D56" w:rsidRPr="001C580A">
        <w:rPr>
          <w:rFonts w:ascii="Times New Roman" w:hAnsi="Times New Roman" w:cs="Times New Roman"/>
          <w:sz w:val="20"/>
          <w:szCs w:val="20"/>
        </w:rPr>
        <w:t xml:space="preserve">Lugones M, </w:t>
      </w:r>
      <w:r w:rsidR="004D1905">
        <w:rPr>
          <w:rFonts w:ascii="Times New Roman" w:hAnsi="Times New Roman" w:cs="Times New Roman"/>
          <w:sz w:val="20"/>
          <w:szCs w:val="20"/>
        </w:rPr>
        <w:t>‘</w:t>
      </w:r>
      <w:r w:rsidR="00605D56" w:rsidRPr="001C580A">
        <w:rPr>
          <w:rFonts w:ascii="Times New Roman" w:hAnsi="Times New Roman" w:cs="Times New Roman"/>
          <w:sz w:val="20"/>
          <w:szCs w:val="20"/>
        </w:rPr>
        <w:t>Heterosexualism and the Colonial/Modern Gender System</w:t>
      </w:r>
      <w:r w:rsidR="004D1905">
        <w:rPr>
          <w:rFonts w:ascii="Times New Roman" w:hAnsi="Times New Roman" w:cs="Times New Roman"/>
          <w:sz w:val="20"/>
          <w:szCs w:val="20"/>
        </w:rPr>
        <w:t>’</w:t>
      </w:r>
      <w:r w:rsidR="00605D56" w:rsidRPr="001C580A">
        <w:rPr>
          <w:rFonts w:ascii="Times New Roman" w:hAnsi="Times New Roman" w:cs="Times New Roman"/>
          <w:sz w:val="20"/>
          <w:szCs w:val="20"/>
        </w:rPr>
        <w:t xml:space="preserve"> (2007) 22(1) </w:t>
      </w:r>
      <w:r w:rsidR="00605D56" w:rsidRPr="001C580A">
        <w:rPr>
          <w:rStyle w:val="Emphasis"/>
          <w:rFonts w:ascii="Times New Roman" w:hAnsi="Times New Roman" w:cs="Times New Roman"/>
          <w:sz w:val="20"/>
          <w:szCs w:val="20"/>
        </w:rPr>
        <w:t>Hypatia</w:t>
      </w:r>
      <w:r w:rsidR="00605D56" w:rsidRPr="001C580A">
        <w:rPr>
          <w:rFonts w:ascii="Times New Roman" w:hAnsi="Times New Roman" w:cs="Times New Roman"/>
          <w:sz w:val="20"/>
          <w:szCs w:val="20"/>
        </w:rPr>
        <w:t xml:space="preserve"> 186, </w:t>
      </w:r>
      <w:r w:rsidR="00605D56" w:rsidRPr="001C580A">
        <w:rPr>
          <w:rStyle w:val="Strong"/>
          <w:rFonts w:ascii="Times New Roman" w:hAnsi="Times New Roman" w:cs="Times New Roman"/>
          <w:b w:val="0"/>
          <w:bCs w:val="0"/>
          <w:sz w:val="20"/>
          <w:szCs w:val="20"/>
        </w:rPr>
        <w:t>193–96</w:t>
      </w:r>
      <w:r w:rsidR="00605D56" w:rsidRPr="001C580A">
        <w:rPr>
          <w:rFonts w:ascii="Times New Roman" w:hAnsi="Times New Roman" w:cs="Times New Roman"/>
          <w:sz w:val="20"/>
          <w:szCs w:val="20"/>
        </w:rPr>
        <w:t>.</w:t>
      </w:r>
    </w:p>
  </w:footnote>
  <w:footnote w:id="103">
    <w:p w14:paraId="4A1462D5" w14:textId="6FBE9ED5" w:rsidR="002F2E39" w:rsidRPr="001C580A" w:rsidRDefault="002F2E39" w:rsidP="001C580A">
      <w:pPr>
        <w:jc w:val="both"/>
        <w:rPr>
          <w:rFonts w:ascii="Times New Roman" w:hAnsi="Times New Roman" w:cs="Times New Roman"/>
          <w:color w:val="000000" w:themeColor="text1"/>
          <w:sz w:val="20"/>
          <w:szCs w:val="20"/>
        </w:rPr>
      </w:pPr>
      <w:r w:rsidRPr="001C580A">
        <w:rPr>
          <w:rStyle w:val="FootnoteReference"/>
          <w:rFonts w:ascii="Times New Roman" w:hAnsi="Times New Roman" w:cs="Times New Roman"/>
          <w:color w:val="000000" w:themeColor="text1"/>
          <w:sz w:val="20"/>
          <w:szCs w:val="20"/>
        </w:rPr>
        <w:footnoteRef/>
      </w:r>
      <w:r w:rsidRPr="001C580A">
        <w:rPr>
          <w:rFonts w:ascii="Times New Roman" w:hAnsi="Times New Roman" w:cs="Times New Roman"/>
          <w:color w:val="000000" w:themeColor="text1"/>
          <w:sz w:val="20"/>
          <w:szCs w:val="20"/>
        </w:rPr>
        <w:t xml:space="preserve"> </w:t>
      </w:r>
      <w:r w:rsidR="00605D56" w:rsidRPr="001C580A">
        <w:rPr>
          <w:rFonts w:ascii="Times New Roman" w:hAnsi="Times New Roman" w:cs="Times New Roman"/>
          <w:sz w:val="20"/>
          <w:szCs w:val="20"/>
        </w:rPr>
        <w:t xml:space="preserve">Espejo Nuñez T, </w:t>
      </w:r>
      <w:r w:rsidR="004D1905">
        <w:rPr>
          <w:rFonts w:ascii="Times New Roman" w:hAnsi="Times New Roman" w:cs="Times New Roman"/>
          <w:sz w:val="20"/>
          <w:szCs w:val="20"/>
        </w:rPr>
        <w:t>‘</w:t>
      </w:r>
      <w:r w:rsidR="00605D56" w:rsidRPr="001C580A">
        <w:rPr>
          <w:rFonts w:ascii="Times New Roman" w:hAnsi="Times New Roman" w:cs="Times New Roman"/>
          <w:sz w:val="20"/>
          <w:szCs w:val="20"/>
        </w:rPr>
        <w:t>The Context of Family Planning in Peru</w:t>
      </w:r>
      <w:r w:rsidR="004D1905">
        <w:rPr>
          <w:rFonts w:ascii="Times New Roman" w:hAnsi="Times New Roman" w:cs="Times New Roman"/>
          <w:sz w:val="20"/>
          <w:szCs w:val="20"/>
        </w:rPr>
        <w:t>’</w:t>
      </w:r>
      <w:r w:rsidR="00605D56" w:rsidRPr="001C580A">
        <w:rPr>
          <w:rFonts w:ascii="Times New Roman" w:hAnsi="Times New Roman" w:cs="Times New Roman"/>
          <w:sz w:val="20"/>
          <w:szCs w:val="20"/>
        </w:rPr>
        <w:t xml:space="preserve"> in </w:t>
      </w:r>
      <w:r w:rsidR="00605D56" w:rsidRPr="001C580A">
        <w:rPr>
          <w:rStyle w:val="Emphasis"/>
          <w:rFonts w:ascii="Times New Roman" w:hAnsi="Times New Roman" w:cs="Times New Roman"/>
          <w:sz w:val="20"/>
          <w:szCs w:val="20"/>
        </w:rPr>
        <w:t>Demographic Transformations and Inequalities in Latin America</w:t>
      </w:r>
      <w:r w:rsidR="00605D56" w:rsidRPr="001C580A">
        <w:rPr>
          <w:rFonts w:ascii="Times New Roman" w:hAnsi="Times New Roman" w:cs="Times New Roman"/>
          <w:sz w:val="20"/>
          <w:szCs w:val="20"/>
        </w:rPr>
        <w:t xml:space="preserve"> (Latin American Population Association 2009), </w:t>
      </w:r>
      <w:r w:rsidR="00605D56" w:rsidRPr="001C580A">
        <w:rPr>
          <w:rStyle w:val="Strong"/>
          <w:rFonts w:ascii="Times New Roman" w:hAnsi="Times New Roman" w:cs="Times New Roman"/>
          <w:b w:val="0"/>
          <w:bCs w:val="0"/>
          <w:sz w:val="20"/>
          <w:szCs w:val="20"/>
        </w:rPr>
        <w:t>346</w:t>
      </w:r>
      <w:r w:rsidRPr="001C580A">
        <w:rPr>
          <w:rFonts w:ascii="Times New Roman" w:hAnsi="Times New Roman" w:cs="Times New Roman"/>
          <w:color w:val="000000" w:themeColor="text1"/>
          <w:sz w:val="20"/>
          <w:szCs w:val="20"/>
        </w:rPr>
        <w:t xml:space="preserve">; </w:t>
      </w:r>
      <w:r w:rsidR="00605D56" w:rsidRPr="001C580A">
        <w:rPr>
          <w:rFonts w:ascii="Times New Roman" w:hAnsi="Times New Roman" w:cs="Times New Roman"/>
          <w:sz w:val="20"/>
          <w:szCs w:val="20"/>
        </w:rPr>
        <w:t xml:space="preserve">Rousseau </w:t>
      </w:r>
      <w:r w:rsidR="0030749F">
        <w:rPr>
          <w:rFonts w:ascii="Times New Roman" w:hAnsi="Times New Roman" w:cs="Times New Roman"/>
          <w:sz w:val="20"/>
          <w:szCs w:val="20"/>
        </w:rPr>
        <w:t>(n</w:t>
      </w:r>
      <w:r w:rsidR="004907D7">
        <w:rPr>
          <w:rFonts w:ascii="Times New Roman" w:hAnsi="Times New Roman" w:cs="Times New Roman"/>
          <w:sz w:val="20"/>
          <w:szCs w:val="20"/>
        </w:rPr>
        <w:t xml:space="preserve"> 97)</w:t>
      </w:r>
      <w:r w:rsidR="00605D56" w:rsidRPr="001C580A">
        <w:rPr>
          <w:rStyle w:val="Strong"/>
          <w:rFonts w:ascii="Times New Roman" w:hAnsi="Times New Roman" w:cs="Times New Roman"/>
          <w:b w:val="0"/>
          <w:bCs w:val="0"/>
          <w:sz w:val="20"/>
          <w:szCs w:val="20"/>
        </w:rPr>
        <w:t>.</w:t>
      </w:r>
    </w:p>
  </w:footnote>
  <w:footnote w:id="104">
    <w:p w14:paraId="0B205508" w14:textId="1BE11108" w:rsidR="002F2E39" w:rsidRPr="001C580A" w:rsidRDefault="002F2E39" w:rsidP="001C580A">
      <w:pPr>
        <w:jc w:val="both"/>
        <w:rPr>
          <w:rFonts w:ascii="Times New Roman" w:hAnsi="Times New Roman" w:cs="Times New Roman"/>
          <w:color w:val="000000" w:themeColor="text1"/>
          <w:sz w:val="20"/>
          <w:szCs w:val="20"/>
        </w:rPr>
      </w:pPr>
      <w:r w:rsidRPr="001C580A">
        <w:rPr>
          <w:rStyle w:val="FootnoteReference"/>
          <w:rFonts w:ascii="Times New Roman" w:hAnsi="Times New Roman" w:cs="Times New Roman"/>
          <w:color w:val="000000" w:themeColor="text1"/>
          <w:sz w:val="20"/>
          <w:szCs w:val="20"/>
        </w:rPr>
        <w:footnoteRef/>
      </w:r>
      <w:r w:rsidRPr="001C580A">
        <w:rPr>
          <w:rFonts w:ascii="Times New Roman" w:hAnsi="Times New Roman" w:cs="Times New Roman"/>
          <w:color w:val="000000" w:themeColor="text1"/>
          <w:sz w:val="20"/>
          <w:szCs w:val="20"/>
        </w:rPr>
        <w:t xml:space="preserve"> </w:t>
      </w:r>
      <w:r w:rsidR="00605D56" w:rsidRPr="001C580A">
        <w:rPr>
          <w:rFonts w:ascii="Times New Roman" w:hAnsi="Times New Roman" w:cs="Times New Roman"/>
          <w:sz w:val="20"/>
          <w:szCs w:val="20"/>
        </w:rPr>
        <w:t xml:space="preserve">Collyns D, </w:t>
      </w:r>
      <w:r w:rsidR="004D1905">
        <w:rPr>
          <w:rFonts w:ascii="Times New Roman" w:hAnsi="Times New Roman" w:cs="Times New Roman"/>
          <w:sz w:val="20"/>
          <w:szCs w:val="20"/>
        </w:rPr>
        <w:t>‘</w:t>
      </w:r>
      <w:r w:rsidR="00605D56" w:rsidRPr="001C580A">
        <w:rPr>
          <w:rFonts w:ascii="Times New Roman" w:hAnsi="Times New Roman" w:cs="Times New Roman"/>
          <w:sz w:val="20"/>
          <w:szCs w:val="20"/>
        </w:rPr>
        <w:t>Peruvian Women Intent on Bringing State to Book over Forced Sterilisations</w:t>
      </w:r>
      <w:r w:rsidR="004D1905">
        <w:rPr>
          <w:rFonts w:ascii="Times New Roman" w:hAnsi="Times New Roman" w:cs="Times New Roman"/>
          <w:sz w:val="20"/>
          <w:szCs w:val="20"/>
        </w:rPr>
        <w:t>’</w:t>
      </w:r>
      <w:r w:rsidR="00605D56" w:rsidRPr="001C580A">
        <w:rPr>
          <w:rFonts w:ascii="Times New Roman" w:hAnsi="Times New Roman" w:cs="Times New Roman"/>
          <w:sz w:val="20"/>
          <w:szCs w:val="20"/>
        </w:rPr>
        <w:t xml:space="preserve"> </w:t>
      </w:r>
      <w:r w:rsidR="00605D56" w:rsidRPr="001C580A">
        <w:rPr>
          <w:rStyle w:val="Emphasis"/>
          <w:rFonts w:ascii="Times New Roman" w:hAnsi="Times New Roman" w:cs="Times New Roman"/>
          <w:sz w:val="20"/>
          <w:szCs w:val="20"/>
        </w:rPr>
        <w:t>The Guardian</w:t>
      </w:r>
      <w:r w:rsidR="00605D56" w:rsidRPr="001C580A">
        <w:rPr>
          <w:rFonts w:ascii="Times New Roman" w:hAnsi="Times New Roman" w:cs="Times New Roman"/>
          <w:sz w:val="20"/>
          <w:szCs w:val="20"/>
        </w:rPr>
        <w:t xml:space="preserve"> (14 March 2014) </w:t>
      </w:r>
      <w:hyperlink r:id="rId13" w:history="1">
        <w:r w:rsidR="00605D56" w:rsidRPr="001C580A">
          <w:rPr>
            <w:rStyle w:val="Hyperlink"/>
            <w:rFonts w:ascii="Times New Roman" w:hAnsi="Times New Roman" w:cs="Times New Roman"/>
            <w:sz w:val="20"/>
            <w:szCs w:val="20"/>
          </w:rPr>
          <w:t>https://www.theguardian.com/global-development/2014/mar/14/peru-women-forced-sterilisation-justice</w:t>
        </w:r>
      </w:hyperlink>
      <w:r w:rsidR="00605D56" w:rsidRPr="001C580A">
        <w:rPr>
          <w:rFonts w:ascii="Times New Roman" w:hAnsi="Times New Roman" w:cs="Times New Roman"/>
          <w:sz w:val="20"/>
          <w:szCs w:val="20"/>
        </w:rPr>
        <w:t xml:space="preserve"> accessed February 2026.</w:t>
      </w:r>
    </w:p>
  </w:footnote>
  <w:footnote w:id="105">
    <w:p w14:paraId="726ACA9A" w14:textId="2313B8C4" w:rsidR="002F2E39" w:rsidRPr="001C580A" w:rsidRDefault="002F2E39" w:rsidP="001C580A">
      <w:pPr>
        <w:jc w:val="both"/>
        <w:rPr>
          <w:rFonts w:ascii="Times New Roman" w:hAnsi="Times New Roman" w:cs="Times New Roman"/>
          <w:color w:val="000000" w:themeColor="text1"/>
          <w:sz w:val="20"/>
          <w:szCs w:val="20"/>
        </w:rPr>
      </w:pPr>
      <w:r w:rsidRPr="001C580A">
        <w:rPr>
          <w:rStyle w:val="FootnoteReference"/>
          <w:rFonts w:ascii="Times New Roman" w:hAnsi="Times New Roman" w:cs="Times New Roman"/>
          <w:color w:val="000000" w:themeColor="text1"/>
          <w:sz w:val="20"/>
          <w:szCs w:val="20"/>
        </w:rPr>
        <w:footnoteRef/>
      </w:r>
      <w:r w:rsidRPr="001C580A">
        <w:rPr>
          <w:rFonts w:ascii="Times New Roman" w:hAnsi="Times New Roman" w:cs="Times New Roman"/>
          <w:color w:val="000000" w:themeColor="text1"/>
          <w:sz w:val="20"/>
          <w:szCs w:val="20"/>
        </w:rPr>
        <w:t xml:space="preserve"> </w:t>
      </w:r>
      <w:r w:rsidR="00605D56" w:rsidRPr="001C580A">
        <w:rPr>
          <w:rFonts w:ascii="Times New Roman" w:hAnsi="Times New Roman" w:cs="Times New Roman"/>
          <w:color w:val="000000" w:themeColor="text1"/>
          <w:sz w:val="20"/>
          <w:szCs w:val="20"/>
        </w:rPr>
        <w:t>Ibid.</w:t>
      </w:r>
    </w:p>
  </w:footnote>
  <w:footnote w:id="106">
    <w:p w14:paraId="3698823F" w14:textId="5D0CFD2A" w:rsidR="00CD16A2" w:rsidRDefault="00CD16A2">
      <w:pPr>
        <w:pStyle w:val="FootnoteText"/>
      </w:pPr>
      <w:r w:rsidRPr="00634133">
        <w:rPr>
          <w:rStyle w:val="FootnoteReference"/>
          <w:rFonts w:ascii="Times New Roman" w:hAnsi="Times New Roman" w:cs="Times New Roman"/>
        </w:rPr>
        <w:footnoteRef/>
      </w:r>
      <w:r w:rsidRPr="00634133">
        <w:rPr>
          <w:rFonts w:ascii="Times New Roman" w:hAnsi="Times New Roman" w:cs="Times New Roman"/>
        </w:rPr>
        <w:t xml:space="preserve"> </w:t>
      </w:r>
      <w:r w:rsidR="00634133" w:rsidRPr="00634133">
        <w:rPr>
          <w:rStyle w:val="Emphasis"/>
          <w:rFonts w:ascii="Times New Roman" w:hAnsi="Times New Roman" w:cs="Times New Roman"/>
        </w:rPr>
        <w:t>Maria Mamérita Mestanza Chavez v Peru</w:t>
      </w:r>
      <w:r w:rsidR="00634133" w:rsidRPr="00634133">
        <w:rPr>
          <w:rFonts w:ascii="Times New Roman" w:hAnsi="Times New Roman" w:cs="Times New Roman"/>
        </w:rPr>
        <w:t>, Case 12.191, Inter-American Commission on Human Rights,</w:t>
      </w:r>
      <w:r w:rsidR="00634133" w:rsidRPr="001C580A">
        <w:rPr>
          <w:rFonts w:ascii="Times New Roman" w:hAnsi="Times New Roman" w:cs="Times New Roman"/>
        </w:rPr>
        <w:t xml:space="preserve"> Friendly Settlement Report No 71/03 (22 October 2003) para 9.</w:t>
      </w:r>
    </w:p>
  </w:footnote>
  <w:footnote w:id="107">
    <w:p w14:paraId="32D03C32" w14:textId="483B91C9" w:rsidR="002F2E39" w:rsidRPr="001C580A" w:rsidRDefault="002F2E39" w:rsidP="001C580A">
      <w:pPr>
        <w:jc w:val="both"/>
        <w:rPr>
          <w:rFonts w:ascii="Times New Roman" w:hAnsi="Times New Roman" w:cs="Times New Roman"/>
          <w:color w:val="000000" w:themeColor="text1"/>
          <w:sz w:val="20"/>
          <w:szCs w:val="20"/>
        </w:rPr>
      </w:pPr>
      <w:r w:rsidRPr="001C580A">
        <w:rPr>
          <w:rStyle w:val="FootnoteReference"/>
          <w:rFonts w:ascii="Times New Roman" w:hAnsi="Times New Roman" w:cs="Times New Roman"/>
          <w:color w:val="000000" w:themeColor="text1"/>
          <w:sz w:val="20"/>
          <w:szCs w:val="20"/>
        </w:rPr>
        <w:footnoteRef/>
      </w:r>
      <w:r w:rsidRPr="001C580A">
        <w:rPr>
          <w:rFonts w:ascii="Times New Roman" w:hAnsi="Times New Roman" w:cs="Times New Roman"/>
          <w:color w:val="000000" w:themeColor="text1"/>
          <w:sz w:val="20"/>
          <w:szCs w:val="20"/>
        </w:rPr>
        <w:t xml:space="preserve"> </w:t>
      </w:r>
      <w:r w:rsidR="00605D56" w:rsidRPr="001C580A">
        <w:rPr>
          <w:rFonts w:ascii="Times New Roman" w:hAnsi="Times New Roman" w:cs="Times New Roman"/>
          <w:sz w:val="20"/>
          <w:szCs w:val="20"/>
        </w:rPr>
        <w:t xml:space="preserve">Vásquez del Aguila </w:t>
      </w:r>
      <w:r w:rsidR="00631640">
        <w:rPr>
          <w:rFonts w:ascii="Times New Roman" w:hAnsi="Times New Roman" w:cs="Times New Roman"/>
          <w:sz w:val="20"/>
          <w:szCs w:val="20"/>
        </w:rPr>
        <w:t>(n 9</w:t>
      </w:r>
      <w:r w:rsidR="00700CBD">
        <w:rPr>
          <w:rFonts w:ascii="Times New Roman" w:hAnsi="Times New Roman" w:cs="Times New Roman"/>
          <w:sz w:val="20"/>
          <w:szCs w:val="20"/>
        </w:rPr>
        <w:t>9</w:t>
      </w:r>
      <w:r w:rsidR="00631640">
        <w:rPr>
          <w:rFonts w:ascii="Times New Roman" w:hAnsi="Times New Roman" w:cs="Times New Roman"/>
          <w:sz w:val="20"/>
          <w:szCs w:val="20"/>
        </w:rPr>
        <w:t>)</w:t>
      </w:r>
      <w:r w:rsidR="00605D56" w:rsidRPr="001C580A">
        <w:rPr>
          <w:rStyle w:val="Strong"/>
          <w:rFonts w:ascii="Times New Roman" w:hAnsi="Times New Roman" w:cs="Times New Roman"/>
          <w:b w:val="0"/>
          <w:bCs w:val="0"/>
          <w:sz w:val="20"/>
          <w:szCs w:val="20"/>
        </w:rPr>
        <w:t xml:space="preserve">, </w:t>
      </w:r>
      <w:r w:rsidRPr="001C580A">
        <w:rPr>
          <w:rFonts w:ascii="Times New Roman" w:hAnsi="Times New Roman" w:cs="Times New Roman"/>
          <w:color w:val="000000" w:themeColor="text1"/>
          <w:sz w:val="20"/>
          <w:szCs w:val="20"/>
        </w:rPr>
        <w:t>101–103.</w:t>
      </w:r>
    </w:p>
  </w:footnote>
  <w:footnote w:id="108">
    <w:p w14:paraId="79A2091A" w14:textId="4E8FC160" w:rsidR="002F2E39" w:rsidRPr="001C580A" w:rsidRDefault="002F2E39" w:rsidP="001C580A">
      <w:pPr>
        <w:jc w:val="both"/>
        <w:rPr>
          <w:rFonts w:ascii="Times New Roman" w:hAnsi="Times New Roman" w:cs="Times New Roman"/>
          <w:color w:val="000000" w:themeColor="text1"/>
          <w:sz w:val="20"/>
          <w:szCs w:val="20"/>
        </w:rPr>
      </w:pPr>
      <w:r w:rsidRPr="001C580A">
        <w:rPr>
          <w:rStyle w:val="FootnoteReference"/>
          <w:rFonts w:ascii="Times New Roman" w:hAnsi="Times New Roman" w:cs="Times New Roman"/>
          <w:color w:val="000000" w:themeColor="text1"/>
          <w:sz w:val="20"/>
          <w:szCs w:val="20"/>
        </w:rPr>
        <w:footnoteRef/>
      </w:r>
      <w:r w:rsidRPr="001C580A">
        <w:rPr>
          <w:rFonts w:ascii="Times New Roman" w:hAnsi="Times New Roman" w:cs="Times New Roman"/>
          <w:i/>
          <w:iCs/>
          <w:color w:val="000000" w:themeColor="text1"/>
          <w:sz w:val="20"/>
          <w:szCs w:val="20"/>
        </w:rPr>
        <w:t xml:space="preserve"> Mestanza Chavez v Peru</w:t>
      </w:r>
      <w:r w:rsidRPr="001C580A">
        <w:rPr>
          <w:rFonts w:ascii="Times New Roman" w:hAnsi="Times New Roman" w:cs="Times New Roman"/>
          <w:color w:val="000000" w:themeColor="text1"/>
          <w:sz w:val="20"/>
          <w:szCs w:val="20"/>
        </w:rPr>
        <w:t xml:space="preserve"> (</w:t>
      </w:r>
      <w:r w:rsidR="00D44871">
        <w:rPr>
          <w:rFonts w:ascii="Times New Roman" w:hAnsi="Times New Roman" w:cs="Times New Roman"/>
          <w:color w:val="000000" w:themeColor="text1"/>
          <w:sz w:val="20"/>
          <w:szCs w:val="20"/>
        </w:rPr>
        <w:t>n 105</w:t>
      </w:r>
      <w:r w:rsidRPr="001C580A">
        <w:rPr>
          <w:rFonts w:ascii="Times New Roman" w:hAnsi="Times New Roman" w:cs="Times New Roman"/>
          <w:color w:val="000000" w:themeColor="text1"/>
          <w:sz w:val="20"/>
          <w:szCs w:val="20"/>
        </w:rPr>
        <w:t>)</w:t>
      </w:r>
      <w:r w:rsidR="006A12CB" w:rsidRPr="001C580A">
        <w:rPr>
          <w:rFonts w:ascii="Times New Roman" w:hAnsi="Times New Roman" w:cs="Times New Roman"/>
          <w:color w:val="000000" w:themeColor="text1"/>
          <w:sz w:val="20"/>
          <w:szCs w:val="20"/>
        </w:rPr>
        <w:t>.</w:t>
      </w:r>
    </w:p>
  </w:footnote>
  <w:footnote w:id="109">
    <w:p w14:paraId="58441A76" w14:textId="47F63A4A" w:rsidR="002F2E39" w:rsidRPr="001C580A" w:rsidRDefault="002F2E39" w:rsidP="001C580A">
      <w:pPr>
        <w:pStyle w:val="FootnoteText"/>
        <w:jc w:val="both"/>
        <w:rPr>
          <w:rFonts w:ascii="Times New Roman" w:hAnsi="Times New Roman" w:cs="Times New Roman"/>
        </w:rPr>
      </w:pPr>
      <w:r w:rsidRPr="001C580A">
        <w:rPr>
          <w:rStyle w:val="FootnoteReference"/>
          <w:rFonts w:ascii="Times New Roman" w:hAnsi="Times New Roman" w:cs="Times New Roman"/>
        </w:rPr>
        <w:footnoteRef/>
      </w:r>
      <w:r w:rsidRPr="001C580A">
        <w:rPr>
          <w:rFonts w:ascii="Times New Roman" w:hAnsi="Times New Roman" w:cs="Times New Roman"/>
        </w:rPr>
        <w:t xml:space="preserve"> </w:t>
      </w:r>
      <w:r w:rsidR="00D44871">
        <w:rPr>
          <w:rFonts w:ascii="Times New Roman" w:hAnsi="Times New Roman" w:cs="Times New Roman"/>
          <w:color w:val="000000" w:themeColor="text1"/>
        </w:rPr>
        <w:t>Ibid</w:t>
      </w:r>
      <w:r w:rsidR="006A12CB" w:rsidRPr="001C580A">
        <w:rPr>
          <w:rFonts w:ascii="Times New Roman" w:hAnsi="Times New Roman" w:cs="Times New Roman"/>
          <w:color w:val="000000" w:themeColor="text1"/>
        </w:rPr>
        <w:t xml:space="preserve">, </w:t>
      </w:r>
      <w:r w:rsidRPr="001C580A">
        <w:rPr>
          <w:rFonts w:ascii="Times New Roman" w:hAnsi="Times New Roman" w:cs="Times New Roman"/>
          <w:color w:val="000000" w:themeColor="text1"/>
        </w:rPr>
        <w:t>6-7.</w:t>
      </w:r>
    </w:p>
  </w:footnote>
  <w:footnote w:id="110">
    <w:p w14:paraId="47B80FFC" w14:textId="682D4DA3" w:rsidR="002F2E39" w:rsidRPr="001C580A" w:rsidRDefault="002F2E39" w:rsidP="001C580A">
      <w:pPr>
        <w:jc w:val="both"/>
        <w:rPr>
          <w:rFonts w:ascii="Times New Roman" w:hAnsi="Times New Roman" w:cs="Times New Roman"/>
          <w:sz w:val="20"/>
          <w:szCs w:val="20"/>
          <w:lang w:eastAsia="en-GB"/>
        </w:rPr>
      </w:pPr>
      <w:r w:rsidRPr="001C580A">
        <w:rPr>
          <w:rStyle w:val="FootnoteReference"/>
          <w:rFonts w:ascii="Times New Roman" w:hAnsi="Times New Roman" w:cs="Times New Roman"/>
          <w:sz w:val="20"/>
          <w:szCs w:val="20"/>
        </w:rPr>
        <w:footnoteRef/>
      </w:r>
      <w:r w:rsidRPr="001C580A">
        <w:rPr>
          <w:rFonts w:ascii="Times New Roman" w:hAnsi="Times New Roman" w:cs="Times New Roman"/>
          <w:sz w:val="20"/>
          <w:szCs w:val="20"/>
        </w:rPr>
        <w:t xml:space="preserve"> </w:t>
      </w:r>
      <w:r w:rsidR="006A12CB" w:rsidRPr="001C580A">
        <w:rPr>
          <w:rFonts w:ascii="Times New Roman" w:hAnsi="Times New Roman" w:cs="Times New Roman"/>
          <w:sz w:val="20"/>
          <w:szCs w:val="20"/>
        </w:rPr>
        <w:t xml:space="preserve">Ewig C, </w:t>
      </w:r>
      <w:r w:rsidR="004D1905">
        <w:rPr>
          <w:rFonts w:ascii="Times New Roman" w:hAnsi="Times New Roman" w:cs="Times New Roman"/>
          <w:sz w:val="20"/>
          <w:szCs w:val="20"/>
        </w:rPr>
        <w:t>‘</w:t>
      </w:r>
      <w:r w:rsidR="006A12CB" w:rsidRPr="001C580A">
        <w:rPr>
          <w:rFonts w:ascii="Times New Roman" w:hAnsi="Times New Roman" w:cs="Times New Roman"/>
          <w:sz w:val="20"/>
          <w:szCs w:val="20"/>
        </w:rPr>
        <w:t>Hijacking Global Feminism: Feminists, the Catholic Church and the Family Planning Debacle in Peru</w:t>
      </w:r>
      <w:r w:rsidR="004D1905">
        <w:rPr>
          <w:rFonts w:ascii="Times New Roman" w:hAnsi="Times New Roman" w:cs="Times New Roman"/>
          <w:sz w:val="20"/>
          <w:szCs w:val="20"/>
        </w:rPr>
        <w:t>’</w:t>
      </w:r>
      <w:r w:rsidR="006A12CB" w:rsidRPr="001C580A">
        <w:rPr>
          <w:rFonts w:ascii="Times New Roman" w:hAnsi="Times New Roman" w:cs="Times New Roman"/>
          <w:sz w:val="20"/>
          <w:szCs w:val="20"/>
        </w:rPr>
        <w:t xml:space="preserve"> in Elliott CM (ed), </w:t>
      </w:r>
      <w:r w:rsidR="006A12CB" w:rsidRPr="001C580A">
        <w:rPr>
          <w:rStyle w:val="Emphasis"/>
          <w:rFonts w:ascii="Times New Roman" w:hAnsi="Times New Roman" w:cs="Times New Roman"/>
          <w:sz w:val="20"/>
          <w:szCs w:val="20"/>
        </w:rPr>
        <w:t>Global Empowerment of Women: Responses to Globalization and Politicized Religions</w:t>
      </w:r>
      <w:r w:rsidR="006A12CB" w:rsidRPr="001C580A">
        <w:rPr>
          <w:rFonts w:ascii="Times New Roman" w:hAnsi="Times New Roman" w:cs="Times New Roman"/>
          <w:sz w:val="20"/>
          <w:szCs w:val="20"/>
        </w:rPr>
        <w:t xml:space="preserve"> (Routledge 2007) </w:t>
      </w:r>
      <w:r w:rsidR="006A12CB" w:rsidRPr="001C580A">
        <w:rPr>
          <w:rStyle w:val="Strong"/>
          <w:rFonts w:ascii="Times New Roman" w:hAnsi="Times New Roman" w:cs="Times New Roman"/>
          <w:b w:val="0"/>
          <w:bCs w:val="0"/>
          <w:sz w:val="20"/>
          <w:szCs w:val="20"/>
        </w:rPr>
        <w:t>637–41</w:t>
      </w:r>
      <w:r w:rsidR="006A12CB" w:rsidRPr="001C580A">
        <w:rPr>
          <w:rFonts w:ascii="Times New Roman" w:hAnsi="Times New Roman" w:cs="Times New Roman"/>
          <w:sz w:val="20"/>
          <w:szCs w:val="20"/>
        </w:rPr>
        <w:t>.</w:t>
      </w:r>
    </w:p>
  </w:footnote>
  <w:footnote w:id="111">
    <w:p w14:paraId="7B4A1EB2" w14:textId="3C247419" w:rsidR="002F2E39" w:rsidRPr="001C580A" w:rsidRDefault="002F2E39" w:rsidP="001C580A">
      <w:pPr>
        <w:pStyle w:val="NormalWeb"/>
        <w:spacing w:before="0" w:beforeAutospacing="0" w:after="0" w:afterAutospacing="0"/>
        <w:jc w:val="both"/>
        <w:rPr>
          <w:color w:val="000000" w:themeColor="text1"/>
          <w:sz w:val="20"/>
          <w:szCs w:val="20"/>
        </w:rPr>
      </w:pPr>
      <w:r w:rsidRPr="001C580A">
        <w:rPr>
          <w:rStyle w:val="FootnoteReference"/>
          <w:sz w:val="20"/>
          <w:szCs w:val="20"/>
        </w:rPr>
        <w:footnoteRef/>
      </w:r>
      <w:r w:rsidRPr="001C580A">
        <w:rPr>
          <w:sz w:val="20"/>
          <w:szCs w:val="20"/>
        </w:rPr>
        <w:t xml:space="preserve"> </w:t>
      </w:r>
      <w:proofErr w:type="spellStart"/>
      <w:r w:rsidR="006A12CB" w:rsidRPr="001C580A">
        <w:rPr>
          <w:sz w:val="20"/>
          <w:szCs w:val="20"/>
        </w:rPr>
        <w:t>Boesten</w:t>
      </w:r>
      <w:proofErr w:type="spellEnd"/>
      <w:r w:rsidR="006A12CB" w:rsidRPr="001C580A">
        <w:rPr>
          <w:sz w:val="20"/>
          <w:szCs w:val="20"/>
        </w:rPr>
        <w:t xml:space="preserve"> J, </w:t>
      </w:r>
      <w:r w:rsidR="004D1905">
        <w:rPr>
          <w:sz w:val="20"/>
          <w:szCs w:val="20"/>
        </w:rPr>
        <w:t>‘</w:t>
      </w:r>
      <w:r w:rsidR="006A12CB" w:rsidRPr="001C580A">
        <w:rPr>
          <w:sz w:val="20"/>
          <w:szCs w:val="20"/>
        </w:rPr>
        <w:t>Free Choice or Poverty Alleviation? Population Politics in Peru under Alberto Fujimori</w:t>
      </w:r>
      <w:r w:rsidR="004D1905">
        <w:rPr>
          <w:sz w:val="20"/>
          <w:szCs w:val="20"/>
        </w:rPr>
        <w:t>’</w:t>
      </w:r>
      <w:r w:rsidR="006A12CB" w:rsidRPr="001C580A">
        <w:rPr>
          <w:sz w:val="20"/>
          <w:szCs w:val="20"/>
        </w:rPr>
        <w:t xml:space="preserve"> (2007) 82 </w:t>
      </w:r>
      <w:r w:rsidR="006A12CB" w:rsidRPr="001C580A">
        <w:rPr>
          <w:rStyle w:val="Emphasis"/>
          <w:sz w:val="20"/>
          <w:szCs w:val="20"/>
        </w:rPr>
        <w:t>European Review of Latin American and Caribbean Studies</w:t>
      </w:r>
      <w:r w:rsidR="006A12CB" w:rsidRPr="001C580A">
        <w:rPr>
          <w:sz w:val="20"/>
          <w:szCs w:val="20"/>
        </w:rPr>
        <w:t xml:space="preserve"> 3, </w:t>
      </w:r>
      <w:r w:rsidR="006A12CB" w:rsidRPr="001C580A">
        <w:rPr>
          <w:rStyle w:val="Strong"/>
          <w:b w:val="0"/>
          <w:bCs w:val="0"/>
          <w:sz w:val="20"/>
          <w:szCs w:val="20"/>
        </w:rPr>
        <w:t>10</w:t>
      </w:r>
      <w:r w:rsidR="006A12CB" w:rsidRPr="001C580A">
        <w:rPr>
          <w:sz w:val="20"/>
          <w:szCs w:val="20"/>
        </w:rPr>
        <w:t>.</w:t>
      </w:r>
    </w:p>
  </w:footnote>
  <w:footnote w:id="112">
    <w:p w14:paraId="65887EEF" w14:textId="5F054BAD" w:rsidR="002F2E39" w:rsidRPr="001C580A" w:rsidRDefault="002F2E39" w:rsidP="001C580A">
      <w:pPr>
        <w:jc w:val="both"/>
        <w:rPr>
          <w:rFonts w:ascii="Times New Roman" w:hAnsi="Times New Roman" w:cs="Times New Roman"/>
          <w:color w:val="000000" w:themeColor="text1"/>
          <w:sz w:val="20"/>
          <w:szCs w:val="20"/>
          <w:lang w:val="es-ES"/>
        </w:rPr>
      </w:pPr>
      <w:r w:rsidRPr="001C580A">
        <w:rPr>
          <w:rStyle w:val="FootnoteReference"/>
          <w:rFonts w:ascii="Times New Roman" w:hAnsi="Times New Roman" w:cs="Times New Roman"/>
          <w:color w:val="000000" w:themeColor="text1"/>
          <w:sz w:val="20"/>
          <w:szCs w:val="20"/>
        </w:rPr>
        <w:footnoteRef/>
      </w:r>
      <w:r w:rsidRPr="001C580A">
        <w:rPr>
          <w:rFonts w:ascii="Times New Roman" w:hAnsi="Times New Roman" w:cs="Times New Roman"/>
          <w:i/>
          <w:iCs/>
          <w:color w:val="000000" w:themeColor="text1"/>
          <w:sz w:val="20"/>
          <w:szCs w:val="20"/>
          <w:lang w:val="es-ES"/>
        </w:rPr>
        <w:t xml:space="preserve"> Mestanza </w:t>
      </w:r>
      <w:proofErr w:type="spellStart"/>
      <w:r w:rsidRPr="001C580A">
        <w:rPr>
          <w:rFonts w:ascii="Times New Roman" w:hAnsi="Times New Roman" w:cs="Times New Roman"/>
          <w:i/>
          <w:iCs/>
          <w:color w:val="000000" w:themeColor="text1"/>
          <w:sz w:val="20"/>
          <w:szCs w:val="20"/>
          <w:lang w:val="es-ES"/>
        </w:rPr>
        <w:t>Chavez</w:t>
      </w:r>
      <w:proofErr w:type="spellEnd"/>
      <w:r w:rsidRPr="001C580A">
        <w:rPr>
          <w:rFonts w:ascii="Times New Roman" w:hAnsi="Times New Roman" w:cs="Times New Roman"/>
          <w:i/>
          <w:iCs/>
          <w:color w:val="000000" w:themeColor="text1"/>
          <w:sz w:val="20"/>
          <w:szCs w:val="20"/>
          <w:lang w:val="es-ES"/>
        </w:rPr>
        <w:t xml:space="preserve"> v </w:t>
      </w:r>
      <w:proofErr w:type="spellStart"/>
      <w:r w:rsidRPr="001C580A">
        <w:rPr>
          <w:rFonts w:ascii="Times New Roman" w:hAnsi="Times New Roman" w:cs="Times New Roman"/>
          <w:i/>
          <w:iCs/>
          <w:color w:val="000000" w:themeColor="text1"/>
          <w:sz w:val="20"/>
          <w:szCs w:val="20"/>
          <w:lang w:val="es-ES"/>
        </w:rPr>
        <w:t>Peru</w:t>
      </w:r>
      <w:proofErr w:type="spellEnd"/>
      <w:r w:rsidRPr="001C580A">
        <w:rPr>
          <w:rFonts w:ascii="Times New Roman" w:hAnsi="Times New Roman" w:cs="Times New Roman"/>
          <w:color w:val="000000" w:themeColor="text1"/>
          <w:sz w:val="20"/>
          <w:szCs w:val="20"/>
          <w:lang w:val="es-ES"/>
        </w:rPr>
        <w:t xml:space="preserve"> (</w:t>
      </w:r>
      <w:r w:rsidR="000F77EC">
        <w:rPr>
          <w:rFonts w:ascii="Times New Roman" w:hAnsi="Times New Roman" w:cs="Times New Roman"/>
          <w:color w:val="000000" w:themeColor="text1"/>
          <w:sz w:val="20"/>
          <w:szCs w:val="20"/>
          <w:lang w:val="es-ES"/>
        </w:rPr>
        <w:t>n 105</w:t>
      </w:r>
      <w:r w:rsidR="006A12CB" w:rsidRPr="001C580A">
        <w:rPr>
          <w:rFonts w:ascii="Times New Roman" w:hAnsi="Times New Roman" w:cs="Times New Roman"/>
          <w:color w:val="000000" w:themeColor="text1"/>
          <w:sz w:val="20"/>
          <w:szCs w:val="20"/>
          <w:lang w:val="es-ES"/>
        </w:rPr>
        <w:t>),</w:t>
      </w:r>
      <w:r w:rsidRPr="001C580A">
        <w:rPr>
          <w:rFonts w:ascii="Times New Roman" w:hAnsi="Times New Roman" w:cs="Times New Roman"/>
          <w:color w:val="000000" w:themeColor="text1"/>
          <w:sz w:val="20"/>
          <w:szCs w:val="20"/>
          <w:lang w:val="es-ES"/>
        </w:rPr>
        <w:t xml:space="preserve"> paras 14.5 and 14.21. See </w:t>
      </w:r>
      <w:proofErr w:type="spellStart"/>
      <w:r w:rsidRPr="001C580A">
        <w:rPr>
          <w:rFonts w:ascii="Times New Roman" w:hAnsi="Times New Roman" w:cs="Times New Roman"/>
          <w:color w:val="000000" w:themeColor="text1"/>
          <w:sz w:val="20"/>
          <w:szCs w:val="20"/>
          <w:lang w:val="es-ES"/>
        </w:rPr>
        <w:t>also</w:t>
      </w:r>
      <w:proofErr w:type="spellEnd"/>
      <w:r w:rsidRPr="001C580A">
        <w:rPr>
          <w:rFonts w:ascii="Times New Roman" w:hAnsi="Times New Roman" w:cs="Times New Roman"/>
          <w:color w:val="000000" w:themeColor="text1"/>
          <w:sz w:val="20"/>
          <w:szCs w:val="20"/>
          <w:lang w:val="es-ES"/>
        </w:rPr>
        <w:t xml:space="preserve">: </w:t>
      </w:r>
      <w:r w:rsidR="006A12CB" w:rsidRPr="001C580A">
        <w:rPr>
          <w:rFonts w:ascii="Times New Roman" w:hAnsi="Times New Roman" w:cs="Times New Roman"/>
          <w:sz w:val="20"/>
          <w:szCs w:val="20"/>
          <w:lang w:val="es-ES"/>
        </w:rPr>
        <w:t xml:space="preserve">Comité de América Latina y el Caribe para la Defensa de los Derechos de la Mujer, </w:t>
      </w:r>
      <w:r w:rsidR="006A12CB" w:rsidRPr="001C580A">
        <w:rPr>
          <w:rStyle w:val="Emphasis"/>
          <w:rFonts w:ascii="Times New Roman" w:hAnsi="Times New Roman" w:cs="Times New Roman"/>
          <w:sz w:val="20"/>
          <w:szCs w:val="20"/>
          <w:lang w:val="es-ES"/>
        </w:rPr>
        <w:t>Nada Personal: Reporte de Derechos Humanos Sobre la Aplicación de la Anticoncepción Quirúrgica en el Perú (1996–1998)</w:t>
      </w:r>
      <w:r w:rsidR="006A12CB" w:rsidRPr="001C580A">
        <w:rPr>
          <w:rFonts w:ascii="Times New Roman" w:hAnsi="Times New Roman" w:cs="Times New Roman"/>
          <w:sz w:val="20"/>
          <w:szCs w:val="20"/>
          <w:lang w:val="es-ES"/>
        </w:rPr>
        <w:t xml:space="preserve"> (1998) </w:t>
      </w:r>
      <w:hyperlink r:id="rId14" w:history="1">
        <w:r w:rsidR="006A12CB" w:rsidRPr="001C580A">
          <w:rPr>
            <w:rStyle w:val="Hyperlink"/>
            <w:rFonts w:ascii="Times New Roman" w:hAnsi="Times New Roman" w:cs="Times New Roman"/>
            <w:sz w:val="20"/>
            <w:szCs w:val="20"/>
            <w:lang w:val="es-ES"/>
          </w:rPr>
          <w:t>https://1996pnsrpf2000.files.wordpress.com/2011/07/cladem_nada-personal.pdf</w:t>
        </w:r>
      </w:hyperlink>
      <w:r w:rsidR="006A12CB" w:rsidRPr="001C580A">
        <w:rPr>
          <w:rFonts w:ascii="Times New Roman" w:hAnsi="Times New Roman" w:cs="Times New Roman"/>
          <w:sz w:val="20"/>
          <w:szCs w:val="20"/>
          <w:lang w:val="es-ES"/>
        </w:rPr>
        <w:t xml:space="preserve"> </w:t>
      </w:r>
      <w:proofErr w:type="spellStart"/>
      <w:r w:rsidR="006A12CB" w:rsidRPr="001C580A">
        <w:rPr>
          <w:rFonts w:ascii="Times New Roman" w:hAnsi="Times New Roman" w:cs="Times New Roman"/>
          <w:sz w:val="20"/>
          <w:szCs w:val="20"/>
          <w:lang w:val="es-ES"/>
        </w:rPr>
        <w:t>accessed</w:t>
      </w:r>
      <w:proofErr w:type="spellEnd"/>
      <w:r w:rsidR="006A12CB" w:rsidRPr="001C580A">
        <w:rPr>
          <w:rFonts w:ascii="Times New Roman" w:hAnsi="Times New Roman" w:cs="Times New Roman"/>
          <w:sz w:val="20"/>
          <w:szCs w:val="20"/>
          <w:lang w:val="es-ES"/>
        </w:rPr>
        <w:t xml:space="preserve"> August 2020.</w:t>
      </w:r>
    </w:p>
  </w:footnote>
  <w:footnote w:id="113">
    <w:p w14:paraId="407A82CC" w14:textId="11DAF308" w:rsidR="002F2E39" w:rsidRPr="001C580A" w:rsidRDefault="002F2E39" w:rsidP="001C580A">
      <w:pPr>
        <w:pStyle w:val="NormalWeb"/>
        <w:spacing w:before="0" w:beforeAutospacing="0" w:after="0" w:afterAutospacing="0"/>
        <w:jc w:val="both"/>
        <w:rPr>
          <w:color w:val="000000" w:themeColor="text1"/>
          <w:sz w:val="20"/>
          <w:szCs w:val="20"/>
        </w:rPr>
      </w:pPr>
      <w:r w:rsidRPr="001C580A">
        <w:rPr>
          <w:rStyle w:val="FootnoteReference"/>
          <w:sz w:val="20"/>
          <w:szCs w:val="20"/>
        </w:rPr>
        <w:footnoteRef/>
      </w:r>
      <w:r w:rsidRPr="001C580A">
        <w:rPr>
          <w:sz w:val="20"/>
          <w:szCs w:val="20"/>
        </w:rPr>
        <w:t xml:space="preserve"> </w:t>
      </w:r>
      <w:proofErr w:type="spellStart"/>
      <w:r w:rsidR="006A12CB" w:rsidRPr="001C580A">
        <w:rPr>
          <w:sz w:val="20"/>
          <w:szCs w:val="20"/>
        </w:rPr>
        <w:t>Ballón</w:t>
      </w:r>
      <w:proofErr w:type="spellEnd"/>
      <w:r w:rsidR="006A12CB" w:rsidRPr="001C580A">
        <w:rPr>
          <w:sz w:val="20"/>
          <w:szCs w:val="20"/>
        </w:rPr>
        <w:t xml:space="preserve"> Gutiérrez A, </w:t>
      </w:r>
      <w:r w:rsidR="004D1905">
        <w:rPr>
          <w:sz w:val="20"/>
          <w:szCs w:val="20"/>
        </w:rPr>
        <w:t>‘</w:t>
      </w:r>
      <w:r w:rsidR="006A12CB" w:rsidRPr="001C580A">
        <w:rPr>
          <w:sz w:val="20"/>
          <w:szCs w:val="20"/>
        </w:rPr>
        <w:t xml:space="preserve">The Effects of </w:t>
      </w:r>
      <w:proofErr w:type="spellStart"/>
      <w:r w:rsidR="006A12CB" w:rsidRPr="001C580A">
        <w:rPr>
          <w:sz w:val="20"/>
          <w:szCs w:val="20"/>
        </w:rPr>
        <w:t>Postconflict</w:t>
      </w:r>
      <w:proofErr w:type="spellEnd"/>
      <w:r w:rsidR="006A12CB" w:rsidRPr="001C580A">
        <w:rPr>
          <w:sz w:val="20"/>
          <w:szCs w:val="20"/>
        </w:rPr>
        <w:t xml:space="preserve"> Memory: Forced Sterilization in Peru</w:t>
      </w:r>
      <w:r w:rsidR="004D1905">
        <w:rPr>
          <w:sz w:val="20"/>
          <w:szCs w:val="20"/>
        </w:rPr>
        <w:t>’</w:t>
      </w:r>
      <w:r w:rsidR="006A12CB" w:rsidRPr="001C580A">
        <w:rPr>
          <w:sz w:val="20"/>
          <w:szCs w:val="20"/>
        </w:rPr>
        <w:t xml:space="preserve"> (2023) 50(6) </w:t>
      </w:r>
      <w:r w:rsidR="006A12CB" w:rsidRPr="001C580A">
        <w:rPr>
          <w:rStyle w:val="Emphasis"/>
          <w:sz w:val="20"/>
          <w:szCs w:val="20"/>
        </w:rPr>
        <w:t>Latin American Perspectives</w:t>
      </w:r>
      <w:r w:rsidR="006A12CB" w:rsidRPr="001C580A">
        <w:rPr>
          <w:sz w:val="20"/>
          <w:szCs w:val="20"/>
        </w:rPr>
        <w:t xml:space="preserve"> (translation Mariana Ortega-</w:t>
      </w:r>
      <w:proofErr w:type="spellStart"/>
      <w:r w:rsidR="006A12CB" w:rsidRPr="001C580A">
        <w:rPr>
          <w:sz w:val="20"/>
          <w:szCs w:val="20"/>
        </w:rPr>
        <w:t>Breña</w:t>
      </w:r>
      <w:proofErr w:type="spellEnd"/>
      <w:r w:rsidR="006A12CB" w:rsidRPr="001C580A">
        <w:rPr>
          <w:sz w:val="20"/>
          <w:szCs w:val="20"/>
        </w:rPr>
        <w:t>).</w:t>
      </w:r>
    </w:p>
  </w:footnote>
  <w:footnote w:id="114">
    <w:p w14:paraId="36F89C22" w14:textId="33F230DA" w:rsidR="002F2E39" w:rsidRPr="001C580A" w:rsidRDefault="002F2E39" w:rsidP="001C580A">
      <w:pPr>
        <w:pStyle w:val="FootnoteText"/>
        <w:jc w:val="both"/>
        <w:rPr>
          <w:rFonts w:ascii="Times New Roman" w:hAnsi="Times New Roman" w:cs="Times New Roman"/>
        </w:rPr>
      </w:pPr>
      <w:r w:rsidRPr="001C580A">
        <w:rPr>
          <w:rStyle w:val="FootnoteReference"/>
          <w:rFonts w:ascii="Times New Roman" w:hAnsi="Times New Roman" w:cs="Times New Roman"/>
        </w:rPr>
        <w:footnoteRef/>
      </w:r>
      <w:r w:rsidRPr="001C580A">
        <w:rPr>
          <w:rFonts w:ascii="Times New Roman" w:hAnsi="Times New Roman" w:cs="Times New Roman"/>
        </w:rPr>
        <w:t xml:space="preserve"> The Malthusian populations principles argued that </w:t>
      </w:r>
      <w:r w:rsidR="004D1905">
        <w:rPr>
          <w:rFonts w:ascii="Times New Roman" w:hAnsi="Times New Roman" w:cs="Times New Roman"/>
        </w:rPr>
        <w:t>‘</w:t>
      </w:r>
      <w:r w:rsidRPr="001C580A">
        <w:rPr>
          <w:rFonts w:ascii="Times New Roman" w:hAnsi="Times New Roman" w:cs="Times New Roman"/>
        </w:rPr>
        <w:t>indigenous, African descent, and other poor populations hampered national progress</w:t>
      </w:r>
      <w:r w:rsidR="004D1905">
        <w:rPr>
          <w:rFonts w:ascii="Times New Roman" w:hAnsi="Times New Roman" w:cs="Times New Roman"/>
        </w:rPr>
        <w:t>’</w:t>
      </w:r>
      <w:r w:rsidRPr="001C580A">
        <w:rPr>
          <w:rFonts w:ascii="Times New Roman" w:hAnsi="Times New Roman" w:cs="Times New Roman"/>
        </w:rPr>
        <w:t xml:space="preserve">, and emerged in Latin America in the 1920s and 30s through state health system eugenic practices. See: </w:t>
      </w:r>
      <w:r w:rsidR="006A12CB" w:rsidRPr="001C580A">
        <w:rPr>
          <w:rFonts w:ascii="Times New Roman" w:hAnsi="Times New Roman" w:cs="Times New Roman"/>
        </w:rPr>
        <w:t xml:space="preserve">Ewig </w:t>
      </w:r>
      <w:r w:rsidR="006A4C1E">
        <w:rPr>
          <w:rFonts w:ascii="Times New Roman" w:hAnsi="Times New Roman" w:cs="Times New Roman"/>
        </w:rPr>
        <w:t xml:space="preserve">(n </w:t>
      </w:r>
      <w:r w:rsidR="00DD7A6A">
        <w:rPr>
          <w:rFonts w:ascii="Times New Roman" w:hAnsi="Times New Roman" w:cs="Times New Roman"/>
        </w:rPr>
        <w:t>109)</w:t>
      </w:r>
      <w:r w:rsidR="00F21DB7">
        <w:rPr>
          <w:rFonts w:ascii="Times New Roman" w:hAnsi="Times New Roman" w:cs="Times New Roman"/>
        </w:rPr>
        <w:t xml:space="preserve">, </w:t>
      </w:r>
      <w:r w:rsidR="006A12CB" w:rsidRPr="001C580A">
        <w:rPr>
          <w:rStyle w:val="Strong"/>
          <w:rFonts w:ascii="Times New Roman" w:hAnsi="Times New Roman" w:cs="Times New Roman"/>
          <w:b w:val="0"/>
          <w:bCs w:val="0"/>
        </w:rPr>
        <w:t>637</w:t>
      </w:r>
      <w:r w:rsidR="006A12CB" w:rsidRPr="001C580A">
        <w:rPr>
          <w:rFonts w:ascii="Times New Roman" w:hAnsi="Times New Roman" w:cs="Times New Roman"/>
        </w:rPr>
        <w:t>.</w:t>
      </w:r>
    </w:p>
  </w:footnote>
  <w:footnote w:id="115">
    <w:p w14:paraId="7A8A9DE3" w14:textId="68DB55EE" w:rsidR="002F2E39" w:rsidRPr="001C580A" w:rsidRDefault="002F2E39" w:rsidP="001C580A">
      <w:pPr>
        <w:pStyle w:val="NormalWeb"/>
        <w:spacing w:before="0" w:beforeAutospacing="0" w:after="0" w:afterAutospacing="0"/>
        <w:jc w:val="both"/>
        <w:rPr>
          <w:color w:val="000000" w:themeColor="text1"/>
          <w:sz w:val="20"/>
          <w:szCs w:val="20"/>
        </w:rPr>
      </w:pPr>
      <w:r w:rsidRPr="001C580A">
        <w:rPr>
          <w:rStyle w:val="FootnoteReference"/>
          <w:sz w:val="20"/>
          <w:szCs w:val="20"/>
        </w:rPr>
        <w:footnoteRef/>
      </w:r>
      <w:r w:rsidRPr="001C580A">
        <w:rPr>
          <w:sz w:val="20"/>
          <w:szCs w:val="20"/>
        </w:rPr>
        <w:t xml:space="preserve"> </w:t>
      </w:r>
      <w:proofErr w:type="spellStart"/>
      <w:r w:rsidR="006A12CB" w:rsidRPr="001C580A">
        <w:rPr>
          <w:sz w:val="20"/>
          <w:szCs w:val="20"/>
        </w:rPr>
        <w:t>Boesten</w:t>
      </w:r>
      <w:proofErr w:type="spellEnd"/>
      <w:r w:rsidR="006A12CB" w:rsidRPr="001C580A">
        <w:rPr>
          <w:sz w:val="20"/>
          <w:szCs w:val="20"/>
        </w:rPr>
        <w:t xml:space="preserve"> </w:t>
      </w:r>
      <w:r w:rsidR="00AB7B2C">
        <w:rPr>
          <w:sz w:val="20"/>
          <w:szCs w:val="20"/>
        </w:rPr>
        <w:t xml:space="preserve">(n 110), </w:t>
      </w:r>
      <w:r w:rsidR="006A12CB" w:rsidRPr="001C580A">
        <w:rPr>
          <w:rStyle w:val="Strong"/>
          <w:b w:val="0"/>
          <w:bCs w:val="0"/>
          <w:sz w:val="20"/>
          <w:szCs w:val="20"/>
        </w:rPr>
        <w:t>10</w:t>
      </w:r>
      <w:r w:rsidR="006A12CB" w:rsidRPr="001C580A">
        <w:rPr>
          <w:sz w:val="20"/>
          <w:szCs w:val="20"/>
        </w:rPr>
        <w:t>.</w:t>
      </w:r>
    </w:p>
  </w:footnote>
  <w:footnote w:id="116">
    <w:p w14:paraId="17C379BF" w14:textId="0FF1A856" w:rsidR="00825801" w:rsidRPr="001C580A" w:rsidRDefault="00825801" w:rsidP="001C580A">
      <w:pPr>
        <w:jc w:val="both"/>
        <w:rPr>
          <w:rFonts w:ascii="Times New Roman" w:hAnsi="Times New Roman" w:cs="Times New Roman"/>
          <w:color w:val="000000" w:themeColor="text1"/>
          <w:sz w:val="20"/>
          <w:szCs w:val="20"/>
          <w:lang w:val="es-ES"/>
        </w:rPr>
      </w:pPr>
      <w:r w:rsidRPr="001C580A">
        <w:rPr>
          <w:rStyle w:val="FootnoteReference"/>
          <w:rFonts w:ascii="Times New Roman" w:hAnsi="Times New Roman" w:cs="Times New Roman"/>
          <w:color w:val="000000" w:themeColor="text1"/>
          <w:sz w:val="20"/>
          <w:szCs w:val="20"/>
        </w:rPr>
        <w:footnoteRef/>
      </w:r>
      <w:r w:rsidRPr="001C580A">
        <w:rPr>
          <w:rFonts w:ascii="Times New Roman" w:hAnsi="Times New Roman" w:cs="Times New Roman"/>
          <w:i/>
          <w:iCs/>
          <w:color w:val="000000" w:themeColor="text1"/>
          <w:sz w:val="20"/>
          <w:szCs w:val="20"/>
          <w:lang w:val="es-ES"/>
        </w:rPr>
        <w:t xml:space="preserve"> Mestanza </w:t>
      </w:r>
      <w:proofErr w:type="spellStart"/>
      <w:r w:rsidRPr="001C580A">
        <w:rPr>
          <w:rFonts w:ascii="Times New Roman" w:hAnsi="Times New Roman" w:cs="Times New Roman"/>
          <w:i/>
          <w:iCs/>
          <w:color w:val="000000" w:themeColor="text1"/>
          <w:sz w:val="20"/>
          <w:szCs w:val="20"/>
          <w:lang w:val="es-ES"/>
        </w:rPr>
        <w:t>Chavez</w:t>
      </w:r>
      <w:proofErr w:type="spellEnd"/>
      <w:r w:rsidRPr="001C580A">
        <w:rPr>
          <w:rFonts w:ascii="Times New Roman" w:hAnsi="Times New Roman" w:cs="Times New Roman"/>
          <w:i/>
          <w:iCs/>
          <w:color w:val="000000" w:themeColor="text1"/>
          <w:sz w:val="20"/>
          <w:szCs w:val="20"/>
          <w:lang w:val="es-ES"/>
        </w:rPr>
        <w:t xml:space="preserve"> v </w:t>
      </w:r>
      <w:proofErr w:type="spellStart"/>
      <w:r w:rsidRPr="001C580A">
        <w:rPr>
          <w:rFonts w:ascii="Times New Roman" w:hAnsi="Times New Roman" w:cs="Times New Roman"/>
          <w:i/>
          <w:iCs/>
          <w:color w:val="000000" w:themeColor="text1"/>
          <w:sz w:val="20"/>
          <w:szCs w:val="20"/>
          <w:lang w:val="es-ES"/>
        </w:rPr>
        <w:t>Peru</w:t>
      </w:r>
      <w:proofErr w:type="spellEnd"/>
      <w:r w:rsidRPr="001C580A">
        <w:rPr>
          <w:rFonts w:ascii="Times New Roman" w:hAnsi="Times New Roman" w:cs="Times New Roman"/>
          <w:color w:val="000000" w:themeColor="text1"/>
          <w:sz w:val="20"/>
          <w:szCs w:val="20"/>
          <w:lang w:val="es-ES"/>
        </w:rPr>
        <w:t xml:space="preserve"> (</w:t>
      </w:r>
      <w:r w:rsidR="00AB7B2C">
        <w:rPr>
          <w:rFonts w:ascii="Times New Roman" w:hAnsi="Times New Roman" w:cs="Times New Roman"/>
          <w:color w:val="000000" w:themeColor="text1"/>
          <w:sz w:val="20"/>
          <w:szCs w:val="20"/>
          <w:lang w:val="es-ES"/>
        </w:rPr>
        <w:t>n 105</w:t>
      </w:r>
      <w:r w:rsidRPr="001C580A">
        <w:rPr>
          <w:rFonts w:ascii="Times New Roman" w:hAnsi="Times New Roman" w:cs="Times New Roman"/>
          <w:color w:val="000000" w:themeColor="text1"/>
          <w:sz w:val="20"/>
          <w:szCs w:val="20"/>
          <w:lang w:val="es-ES"/>
        </w:rPr>
        <w:t>)</w:t>
      </w:r>
      <w:r w:rsidR="006A12CB" w:rsidRPr="001C580A">
        <w:rPr>
          <w:rFonts w:ascii="Times New Roman" w:hAnsi="Times New Roman" w:cs="Times New Roman"/>
          <w:color w:val="000000" w:themeColor="text1"/>
          <w:sz w:val="20"/>
          <w:szCs w:val="20"/>
          <w:lang w:val="es-ES"/>
        </w:rPr>
        <w:t xml:space="preserve">, </w:t>
      </w:r>
      <w:r w:rsidRPr="001C580A">
        <w:rPr>
          <w:rFonts w:ascii="Times New Roman" w:hAnsi="Times New Roman" w:cs="Times New Roman"/>
          <w:color w:val="000000" w:themeColor="text1"/>
          <w:sz w:val="20"/>
          <w:szCs w:val="20"/>
          <w:lang w:val="es-ES"/>
        </w:rPr>
        <w:t>para 14.22, 14.24.</w:t>
      </w:r>
    </w:p>
  </w:footnote>
  <w:footnote w:id="117">
    <w:p w14:paraId="72BE126D" w14:textId="0ABE1F33" w:rsidR="00C24994" w:rsidRPr="001C580A" w:rsidRDefault="00C24994" w:rsidP="001C580A">
      <w:pPr>
        <w:pStyle w:val="FootnoteText"/>
        <w:jc w:val="both"/>
        <w:rPr>
          <w:rFonts w:ascii="Times New Roman" w:hAnsi="Times New Roman" w:cs="Times New Roman"/>
        </w:rPr>
      </w:pPr>
      <w:r w:rsidRPr="001C580A">
        <w:rPr>
          <w:rStyle w:val="FootnoteReference"/>
          <w:rFonts w:ascii="Times New Roman" w:hAnsi="Times New Roman" w:cs="Times New Roman"/>
        </w:rPr>
        <w:footnoteRef/>
      </w:r>
      <w:r w:rsidRPr="001C580A">
        <w:rPr>
          <w:rFonts w:ascii="Times New Roman" w:hAnsi="Times New Roman" w:cs="Times New Roman"/>
        </w:rPr>
        <w:t xml:space="preserve"> </w:t>
      </w:r>
      <w:r w:rsidR="006A12CB" w:rsidRPr="001C580A">
        <w:rPr>
          <w:rFonts w:ascii="Times New Roman" w:hAnsi="Times New Roman" w:cs="Times New Roman"/>
        </w:rPr>
        <w:t xml:space="preserve">Vásquez del Aguila </w:t>
      </w:r>
      <w:r w:rsidR="00777EA8">
        <w:rPr>
          <w:rFonts w:ascii="Times New Roman" w:hAnsi="Times New Roman" w:cs="Times New Roman"/>
        </w:rPr>
        <w:t>(n 98)</w:t>
      </w:r>
      <w:r w:rsidR="006A12CB" w:rsidRPr="001C580A">
        <w:rPr>
          <w:rStyle w:val="Emphasis"/>
          <w:rFonts w:ascii="Times New Roman" w:hAnsi="Times New Roman" w:cs="Times New Roman"/>
        </w:rPr>
        <w:t>.</w:t>
      </w:r>
    </w:p>
  </w:footnote>
  <w:footnote w:id="118">
    <w:p w14:paraId="6ABC0413" w14:textId="4F313293" w:rsidR="004E416C" w:rsidRPr="004E416C" w:rsidRDefault="004E416C">
      <w:pPr>
        <w:pStyle w:val="FootnoteText"/>
      </w:pPr>
      <w:r>
        <w:rPr>
          <w:rStyle w:val="FootnoteReference"/>
        </w:rPr>
        <w:footnoteRef/>
      </w:r>
      <w:r>
        <w:t xml:space="preserve"> </w:t>
      </w:r>
      <w:proofErr w:type="spellStart"/>
      <w:r w:rsidRPr="004E416C">
        <w:rPr>
          <w:rFonts w:ascii="Times New Roman" w:hAnsi="Times New Roman" w:cs="Times New Roman"/>
        </w:rPr>
        <w:t>Ballón</w:t>
      </w:r>
      <w:proofErr w:type="spellEnd"/>
      <w:r w:rsidRPr="004E416C">
        <w:rPr>
          <w:rFonts w:ascii="Times New Roman" w:hAnsi="Times New Roman" w:cs="Times New Roman"/>
        </w:rPr>
        <w:t xml:space="preserve"> Gutiérrez </w:t>
      </w:r>
      <w:r w:rsidR="00234E9C">
        <w:rPr>
          <w:rFonts w:ascii="Times New Roman" w:hAnsi="Times New Roman" w:cs="Times New Roman"/>
        </w:rPr>
        <w:t>(n 112)</w:t>
      </w:r>
      <w:r w:rsidRPr="004E416C">
        <w:rPr>
          <w:rFonts w:ascii="Times New Roman" w:hAnsi="Times New Roman" w:cs="Times New Roman"/>
        </w:rPr>
        <w:t>.</w:t>
      </w:r>
    </w:p>
  </w:footnote>
  <w:footnote w:id="119">
    <w:p w14:paraId="25EA46C9" w14:textId="2848937E" w:rsidR="002F2E39" w:rsidRPr="001C580A" w:rsidRDefault="002F2E39" w:rsidP="001C580A">
      <w:pPr>
        <w:jc w:val="both"/>
        <w:rPr>
          <w:rFonts w:ascii="Times New Roman" w:hAnsi="Times New Roman" w:cs="Times New Roman"/>
          <w:color w:val="000000" w:themeColor="text1"/>
          <w:sz w:val="20"/>
          <w:szCs w:val="20"/>
        </w:rPr>
      </w:pPr>
      <w:r w:rsidRPr="001C580A">
        <w:rPr>
          <w:rStyle w:val="FootnoteReference"/>
          <w:rFonts w:ascii="Times New Roman" w:hAnsi="Times New Roman" w:cs="Times New Roman"/>
          <w:color w:val="000000" w:themeColor="text1"/>
          <w:sz w:val="20"/>
          <w:szCs w:val="20"/>
        </w:rPr>
        <w:footnoteRef/>
      </w:r>
      <w:r w:rsidRPr="001C580A">
        <w:rPr>
          <w:rFonts w:ascii="Times New Roman" w:hAnsi="Times New Roman" w:cs="Times New Roman"/>
          <w:color w:val="000000" w:themeColor="text1"/>
          <w:sz w:val="20"/>
          <w:szCs w:val="20"/>
        </w:rPr>
        <w:t xml:space="preserve"> </w:t>
      </w:r>
      <w:r w:rsidR="00BF333C" w:rsidRPr="001C580A">
        <w:rPr>
          <w:rFonts w:ascii="Times New Roman" w:hAnsi="Times New Roman" w:cs="Times New Roman"/>
          <w:sz w:val="20"/>
          <w:szCs w:val="20"/>
        </w:rPr>
        <w:t xml:space="preserve">Nesiah V, </w:t>
      </w:r>
      <w:r w:rsidR="004D1905">
        <w:rPr>
          <w:rFonts w:ascii="Times New Roman" w:hAnsi="Times New Roman" w:cs="Times New Roman"/>
          <w:sz w:val="20"/>
          <w:szCs w:val="20"/>
        </w:rPr>
        <w:t>‘</w:t>
      </w:r>
      <w:r w:rsidR="00BF333C" w:rsidRPr="001C580A">
        <w:rPr>
          <w:rFonts w:ascii="Times New Roman" w:hAnsi="Times New Roman" w:cs="Times New Roman"/>
          <w:sz w:val="20"/>
          <w:szCs w:val="20"/>
        </w:rPr>
        <w:t>Gender and the Politics of Law in Transitional Justice</w:t>
      </w:r>
      <w:r w:rsidR="004D1905">
        <w:rPr>
          <w:rFonts w:ascii="Times New Roman" w:hAnsi="Times New Roman" w:cs="Times New Roman"/>
          <w:sz w:val="20"/>
          <w:szCs w:val="20"/>
        </w:rPr>
        <w:t>’</w:t>
      </w:r>
      <w:r w:rsidR="00BF333C" w:rsidRPr="001C580A">
        <w:rPr>
          <w:rFonts w:ascii="Times New Roman" w:hAnsi="Times New Roman" w:cs="Times New Roman"/>
          <w:sz w:val="20"/>
          <w:szCs w:val="20"/>
        </w:rPr>
        <w:t xml:space="preserve"> (2011) 20 </w:t>
      </w:r>
      <w:r w:rsidR="00BF333C" w:rsidRPr="001C580A">
        <w:rPr>
          <w:rStyle w:val="Emphasis"/>
          <w:rFonts w:ascii="Times New Roman" w:hAnsi="Times New Roman" w:cs="Times New Roman"/>
          <w:sz w:val="20"/>
          <w:szCs w:val="20"/>
        </w:rPr>
        <w:t>Columbia Journal of Gender and Law</w:t>
      </w:r>
      <w:r w:rsidR="00BF333C" w:rsidRPr="001C580A">
        <w:rPr>
          <w:rFonts w:ascii="Times New Roman" w:hAnsi="Times New Roman" w:cs="Times New Roman"/>
          <w:sz w:val="20"/>
          <w:szCs w:val="20"/>
        </w:rPr>
        <w:t xml:space="preserve"> 785.</w:t>
      </w:r>
    </w:p>
  </w:footnote>
  <w:footnote w:id="120">
    <w:p w14:paraId="27AA59BF" w14:textId="72E7F409" w:rsidR="002F2E39" w:rsidRPr="001C580A" w:rsidRDefault="002F2E39" w:rsidP="001C580A">
      <w:pPr>
        <w:jc w:val="both"/>
        <w:rPr>
          <w:rFonts w:ascii="Times New Roman" w:hAnsi="Times New Roman" w:cs="Times New Roman"/>
          <w:color w:val="000000" w:themeColor="text1"/>
          <w:sz w:val="20"/>
          <w:szCs w:val="20"/>
        </w:rPr>
      </w:pPr>
      <w:r w:rsidRPr="001C580A">
        <w:rPr>
          <w:rStyle w:val="FootnoteReference"/>
          <w:rFonts w:ascii="Times New Roman" w:hAnsi="Times New Roman" w:cs="Times New Roman"/>
          <w:color w:val="000000" w:themeColor="text1"/>
          <w:sz w:val="20"/>
          <w:szCs w:val="20"/>
        </w:rPr>
        <w:footnoteRef/>
      </w:r>
      <w:r w:rsidRPr="001C580A">
        <w:rPr>
          <w:rFonts w:ascii="Times New Roman" w:hAnsi="Times New Roman" w:cs="Times New Roman"/>
          <w:color w:val="000000" w:themeColor="text1"/>
          <w:sz w:val="20"/>
          <w:szCs w:val="20"/>
        </w:rPr>
        <w:t xml:space="preserve"> </w:t>
      </w:r>
      <w:r w:rsidR="00BF333C" w:rsidRPr="001C580A">
        <w:rPr>
          <w:rFonts w:ascii="Times New Roman" w:hAnsi="Times New Roman" w:cs="Times New Roman"/>
          <w:sz w:val="20"/>
          <w:szCs w:val="20"/>
        </w:rPr>
        <w:t>Kapur R</w:t>
      </w:r>
      <w:r w:rsidR="00BA3CCD">
        <w:rPr>
          <w:rFonts w:ascii="Times New Roman" w:hAnsi="Times New Roman" w:cs="Times New Roman"/>
          <w:sz w:val="20"/>
          <w:szCs w:val="20"/>
        </w:rPr>
        <w:t xml:space="preserve"> (n 32)</w:t>
      </w:r>
      <w:r w:rsidR="00BF333C" w:rsidRPr="001C580A">
        <w:rPr>
          <w:rFonts w:ascii="Times New Roman" w:hAnsi="Times New Roman" w:cs="Times New Roman"/>
          <w:sz w:val="20"/>
          <w:szCs w:val="20"/>
        </w:rPr>
        <w:t>.</w:t>
      </w:r>
    </w:p>
  </w:footnote>
  <w:footnote w:id="121">
    <w:p w14:paraId="3B782F7B" w14:textId="2A141F47" w:rsidR="00C5198A" w:rsidRPr="001C580A" w:rsidRDefault="00C5198A" w:rsidP="001C580A">
      <w:pPr>
        <w:pStyle w:val="FootnoteText"/>
        <w:jc w:val="both"/>
        <w:rPr>
          <w:rFonts w:ascii="Times New Roman" w:hAnsi="Times New Roman" w:cs="Times New Roman"/>
        </w:rPr>
      </w:pPr>
      <w:r w:rsidRPr="001C580A">
        <w:rPr>
          <w:rStyle w:val="FootnoteReference"/>
          <w:rFonts w:ascii="Times New Roman" w:hAnsi="Times New Roman" w:cs="Times New Roman"/>
        </w:rPr>
        <w:footnoteRef/>
      </w:r>
      <w:r w:rsidRPr="001C580A">
        <w:rPr>
          <w:rFonts w:ascii="Times New Roman" w:hAnsi="Times New Roman" w:cs="Times New Roman"/>
        </w:rPr>
        <w:t xml:space="preserve"> </w:t>
      </w:r>
      <w:r w:rsidR="00BF333C" w:rsidRPr="001C580A">
        <w:rPr>
          <w:rFonts w:ascii="Times New Roman" w:hAnsi="Times New Roman" w:cs="Times New Roman"/>
        </w:rPr>
        <w:t xml:space="preserve">Colen </w:t>
      </w:r>
      <w:r w:rsidR="00415259">
        <w:rPr>
          <w:rFonts w:ascii="Times New Roman" w:hAnsi="Times New Roman" w:cs="Times New Roman"/>
        </w:rPr>
        <w:t>(n 22)</w:t>
      </w:r>
      <w:r w:rsidR="00BF333C" w:rsidRPr="001C580A">
        <w:rPr>
          <w:rStyle w:val="Strong"/>
          <w:rFonts w:ascii="Times New Roman" w:hAnsi="Times New Roman" w:cs="Times New Roman"/>
          <w:b w:val="0"/>
          <w:bCs w:val="0"/>
        </w:rPr>
        <w:t>.</w:t>
      </w:r>
    </w:p>
  </w:footnote>
  <w:footnote w:id="122">
    <w:p w14:paraId="1B61469A" w14:textId="379C0E72" w:rsidR="004E416C" w:rsidRPr="004E416C" w:rsidRDefault="004E416C">
      <w:pPr>
        <w:pStyle w:val="FootnoteText"/>
      </w:pPr>
      <w:r>
        <w:rPr>
          <w:rStyle w:val="FootnoteReference"/>
        </w:rPr>
        <w:footnoteRef/>
      </w:r>
      <w:r>
        <w:t xml:space="preserve"> </w:t>
      </w:r>
      <w:r w:rsidRPr="001C580A">
        <w:rPr>
          <w:rFonts w:ascii="Times New Roman" w:hAnsi="Times New Roman" w:cs="Times New Roman"/>
        </w:rPr>
        <w:t>Ross</w:t>
      </w:r>
      <w:r w:rsidR="00263BA1">
        <w:rPr>
          <w:rFonts w:ascii="Times New Roman" w:hAnsi="Times New Roman" w:cs="Times New Roman"/>
        </w:rPr>
        <w:t xml:space="preserve"> </w:t>
      </w:r>
      <w:r w:rsidRPr="001C580A">
        <w:rPr>
          <w:rFonts w:ascii="Times New Roman" w:hAnsi="Times New Roman" w:cs="Times New Roman"/>
        </w:rPr>
        <w:t>and Solinger (</w:t>
      </w:r>
      <w:r w:rsidR="00263BA1">
        <w:rPr>
          <w:rFonts w:ascii="Times New Roman" w:hAnsi="Times New Roman" w:cs="Times New Roman"/>
        </w:rPr>
        <w:t>n 23</w:t>
      </w:r>
      <w:r w:rsidRPr="001C580A">
        <w:rPr>
          <w:rFonts w:ascii="Times New Roman" w:hAnsi="Times New Roman" w:cs="Times New Roman"/>
        </w:rPr>
        <w:t>)</w:t>
      </w:r>
      <w:r>
        <w:rPr>
          <w:rFonts w:ascii="Times New Roman" w:hAnsi="Times New Roman" w:cs="Times New Roman"/>
        </w:rPr>
        <w:t>.</w:t>
      </w:r>
    </w:p>
  </w:footnote>
  <w:footnote w:id="123">
    <w:p w14:paraId="589B814F" w14:textId="0B24792F" w:rsidR="00C5198A" w:rsidRPr="001C580A" w:rsidRDefault="00C5198A" w:rsidP="001C580A">
      <w:pPr>
        <w:pStyle w:val="FootnoteText"/>
        <w:jc w:val="both"/>
        <w:rPr>
          <w:rFonts w:ascii="Times New Roman" w:hAnsi="Times New Roman" w:cs="Times New Roman"/>
        </w:rPr>
      </w:pPr>
      <w:r w:rsidRPr="001C580A">
        <w:rPr>
          <w:rStyle w:val="FootnoteReference"/>
          <w:rFonts w:ascii="Times New Roman" w:hAnsi="Times New Roman" w:cs="Times New Roman"/>
        </w:rPr>
        <w:footnoteRef/>
      </w:r>
      <w:r w:rsidRPr="001C580A">
        <w:rPr>
          <w:rFonts w:ascii="Times New Roman" w:hAnsi="Times New Roman" w:cs="Times New Roman"/>
        </w:rPr>
        <w:t xml:space="preserve"> </w:t>
      </w:r>
      <w:r w:rsidR="00BF333C" w:rsidRPr="001C580A">
        <w:rPr>
          <w:rFonts w:ascii="Times New Roman" w:hAnsi="Times New Roman" w:cs="Times New Roman"/>
        </w:rPr>
        <w:t xml:space="preserve">Ross LJ, </w:t>
      </w:r>
      <w:r w:rsidR="004D1905">
        <w:rPr>
          <w:rFonts w:ascii="Times New Roman" w:hAnsi="Times New Roman" w:cs="Times New Roman"/>
        </w:rPr>
        <w:t>‘</w:t>
      </w:r>
      <w:r w:rsidR="00BF333C" w:rsidRPr="001C580A">
        <w:rPr>
          <w:rFonts w:ascii="Times New Roman" w:hAnsi="Times New Roman" w:cs="Times New Roman"/>
        </w:rPr>
        <w:t>Reproductive Justice as Intersectional Feminist Activism</w:t>
      </w:r>
      <w:r w:rsidR="004D1905">
        <w:rPr>
          <w:rFonts w:ascii="Times New Roman" w:hAnsi="Times New Roman" w:cs="Times New Roman"/>
        </w:rPr>
        <w:t>’</w:t>
      </w:r>
      <w:r w:rsidR="00BF333C" w:rsidRPr="001C580A">
        <w:rPr>
          <w:rFonts w:ascii="Times New Roman" w:hAnsi="Times New Roman" w:cs="Times New Roman"/>
        </w:rPr>
        <w:t xml:space="preserve"> (2017) 19(3) </w:t>
      </w:r>
      <w:r w:rsidR="00BF333C" w:rsidRPr="001C580A">
        <w:rPr>
          <w:rStyle w:val="Emphasis"/>
          <w:rFonts w:ascii="Times New Roman" w:hAnsi="Times New Roman" w:cs="Times New Roman"/>
        </w:rPr>
        <w:t>Souls</w:t>
      </w:r>
      <w:r w:rsidR="00BF333C" w:rsidRPr="001C580A">
        <w:rPr>
          <w:rFonts w:ascii="Times New Roman" w:hAnsi="Times New Roman" w:cs="Times New Roman"/>
        </w:rPr>
        <w:t xml:space="preserve"> 286, </w:t>
      </w:r>
      <w:r w:rsidR="00BF333C" w:rsidRPr="001C580A">
        <w:rPr>
          <w:rStyle w:val="Strong"/>
          <w:rFonts w:ascii="Times New Roman" w:hAnsi="Times New Roman" w:cs="Times New Roman"/>
          <w:b w:val="0"/>
          <w:bCs w:val="0"/>
        </w:rPr>
        <w:t>287</w:t>
      </w:r>
      <w:r w:rsidR="00BF333C" w:rsidRPr="001C580A">
        <w:rPr>
          <w:rFonts w:ascii="Times New Roman" w:hAnsi="Times New Roman" w:cs="Times New Roman"/>
        </w:rPr>
        <w:t>.</w:t>
      </w:r>
    </w:p>
  </w:footnote>
  <w:footnote w:id="124">
    <w:p w14:paraId="09731D16" w14:textId="6C276A6A" w:rsidR="00C5198A" w:rsidRPr="001C580A" w:rsidRDefault="00C5198A" w:rsidP="001C580A">
      <w:pPr>
        <w:pStyle w:val="FootnoteText"/>
        <w:jc w:val="both"/>
        <w:rPr>
          <w:rFonts w:ascii="Times New Roman" w:hAnsi="Times New Roman" w:cs="Times New Roman"/>
        </w:rPr>
      </w:pPr>
      <w:r w:rsidRPr="001C580A">
        <w:rPr>
          <w:rStyle w:val="FootnoteReference"/>
          <w:rFonts w:ascii="Times New Roman" w:hAnsi="Times New Roman" w:cs="Times New Roman"/>
        </w:rPr>
        <w:footnoteRef/>
      </w:r>
      <w:r w:rsidRPr="001C580A">
        <w:rPr>
          <w:rFonts w:ascii="Times New Roman" w:hAnsi="Times New Roman" w:cs="Times New Roman"/>
        </w:rPr>
        <w:t xml:space="preserve"> </w:t>
      </w:r>
      <w:r w:rsidR="00745A82" w:rsidRPr="001C580A">
        <w:rPr>
          <w:rFonts w:ascii="Times New Roman" w:hAnsi="Times New Roman" w:cs="Times New Roman"/>
        </w:rPr>
        <w:t>Ibid, 288.</w:t>
      </w:r>
    </w:p>
  </w:footnote>
  <w:footnote w:id="125">
    <w:p w14:paraId="1678D046" w14:textId="0EDFE89A" w:rsidR="00C5198A" w:rsidRPr="001C580A" w:rsidRDefault="00C5198A" w:rsidP="001C580A">
      <w:pPr>
        <w:pStyle w:val="FootnoteText"/>
        <w:jc w:val="both"/>
        <w:rPr>
          <w:rFonts w:ascii="Times New Roman" w:hAnsi="Times New Roman" w:cs="Times New Roman"/>
        </w:rPr>
      </w:pPr>
      <w:r w:rsidRPr="001C580A">
        <w:rPr>
          <w:rStyle w:val="FootnoteReference"/>
          <w:rFonts w:ascii="Times New Roman" w:hAnsi="Times New Roman" w:cs="Times New Roman"/>
        </w:rPr>
        <w:footnoteRef/>
      </w:r>
      <w:r w:rsidRPr="001C580A">
        <w:rPr>
          <w:rFonts w:ascii="Times New Roman" w:hAnsi="Times New Roman" w:cs="Times New Roman"/>
        </w:rPr>
        <w:t xml:space="preserve"> </w:t>
      </w:r>
      <w:proofErr w:type="spellStart"/>
      <w:r w:rsidR="00BF333C" w:rsidRPr="001C580A">
        <w:rPr>
          <w:rFonts w:ascii="Times New Roman" w:hAnsi="Times New Roman" w:cs="Times New Roman"/>
        </w:rPr>
        <w:t>Petchesky</w:t>
      </w:r>
      <w:proofErr w:type="spellEnd"/>
      <w:r w:rsidR="00BF333C" w:rsidRPr="001C580A">
        <w:rPr>
          <w:rFonts w:ascii="Times New Roman" w:hAnsi="Times New Roman" w:cs="Times New Roman"/>
        </w:rPr>
        <w:t xml:space="preserve"> RP, </w:t>
      </w:r>
      <w:r w:rsidR="004D1905">
        <w:rPr>
          <w:rFonts w:ascii="Times New Roman" w:hAnsi="Times New Roman" w:cs="Times New Roman"/>
        </w:rPr>
        <w:t>‘</w:t>
      </w:r>
      <w:r w:rsidR="00BF333C" w:rsidRPr="001C580A">
        <w:rPr>
          <w:rFonts w:ascii="Times New Roman" w:hAnsi="Times New Roman" w:cs="Times New Roman"/>
        </w:rPr>
        <w:t>The Body as Property: A Feminist Re-vision</w:t>
      </w:r>
      <w:r w:rsidR="004D1905">
        <w:rPr>
          <w:rFonts w:ascii="Times New Roman" w:hAnsi="Times New Roman" w:cs="Times New Roman"/>
        </w:rPr>
        <w:t>’</w:t>
      </w:r>
      <w:r w:rsidR="00BF333C" w:rsidRPr="001C580A">
        <w:rPr>
          <w:rFonts w:ascii="Times New Roman" w:hAnsi="Times New Roman" w:cs="Times New Roman"/>
        </w:rPr>
        <w:t xml:space="preserve"> in Ginsburg FD and Rapp R (eds), </w:t>
      </w:r>
      <w:r w:rsidR="00BF333C" w:rsidRPr="001C580A">
        <w:rPr>
          <w:rStyle w:val="Emphasis"/>
          <w:rFonts w:ascii="Times New Roman" w:hAnsi="Times New Roman" w:cs="Times New Roman"/>
        </w:rPr>
        <w:t>Conceiving the New World Order: The Global Politics of Reproduction</w:t>
      </w:r>
      <w:r w:rsidR="00BF333C" w:rsidRPr="001C580A">
        <w:rPr>
          <w:rFonts w:ascii="Times New Roman" w:hAnsi="Times New Roman" w:cs="Times New Roman"/>
        </w:rPr>
        <w:t xml:space="preserve"> (University of California Press 1995) </w:t>
      </w:r>
      <w:r w:rsidR="00BF333C" w:rsidRPr="001C580A">
        <w:rPr>
          <w:rStyle w:val="Strong"/>
          <w:rFonts w:ascii="Times New Roman" w:hAnsi="Times New Roman" w:cs="Times New Roman"/>
          <w:b w:val="0"/>
          <w:bCs w:val="0"/>
        </w:rPr>
        <w:t>387–88</w:t>
      </w:r>
      <w:r w:rsidR="00BF333C" w:rsidRPr="001C580A">
        <w:rPr>
          <w:rFonts w:ascii="Times New Roman" w:hAnsi="Times New Roman" w:cs="Times New Roman"/>
        </w:rPr>
        <w:t>.</w:t>
      </w:r>
    </w:p>
  </w:footnote>
  <w:footnote w:id="126">
    <w:p w14:paraId="2EC0D5F2" w14:textId="00BA6273" w:rsidR="00C5198A" w:rsidRPr="001C580A" w:rsidRDefault="00C5198A" w:rsidP="001C580A">
      <w:pPr>
        <w:pStyle w:val="FootnoteText"/>
        <w:jc w:val="both"/>
        <w:rPr>
          <w:rFonts w:ascii="Times New Roman" w:hAnsi="Times New Roman" w:cs="Times New Roman"/>
        </w:rPr>
      </w:pPr>
      <w:r w:rsidRPr="001C580A">
        <w:rPr>
          <w:rStyle w:val="FootnoteReference"/>
          <w:rFonts w:ascii="Times New Roman" w:hAnsi="Times New Roman" w:cs="Times New Roman"/>
        </w:rPr>
        <w:footnoteRef/>
      </w:r>
      <w:r w:rsidRPr="001C580A">
        <w:rPr>
          <w:rFonts w:ascii="Times New Roman" w:hAnsi="Times New Roman" w:cs="Times New Roman"/>
        </w:rPr>
        <w:t xml:space="preserve"> Ibid, 389.</w:t>
      </w:r>
    </w:p>
  </w:footnote>
  <w:footnote w:id="127">
    <w:p w14:paraId="25A70A29" w14:textId="3D669D86" w:rsidR="005F402E" w:rsidRPr="001C580A" w:rsidRDefault="005F402E" w:rsidP="001C580A">
      <w:pPr>
        <w:pStyle w:val="NormalWeb"/>
        <w:spacing w:before="0" w:beforeAutospacing="0" w:after="0" w:afterAutospacing="0"/>
        <w:jc w:val="both"/>
        <w:rPr>
          <w:sz w:val="20"/>
          <w:szCs w:val="20"/>
        </w:rPr>
      </w:pPr>
      <w:r w:rsidRPr="001C580A">
        <w:rPr>
          <w:rStyle w:val="FootnoteReference"/>
          <w:sz w:val="20"/>
          <w:szCs w:val="20"/>
        </w:rPr>
        <w:footnoteRef/>
      </w:r>
      <w:r w:rsidRPr="001C580A">
        <w:rPr>
          <w:sz w:val="20"/>
          <w:szCs w:val="20"/>
        </w:rPr>
        <w:t xml:space="preserve"> </w:t>
      </w:r>
      <w:r w:rsidR="00BF333C" w:rsidRPr="001C580A">
        <w:rPr>
          <w:sz w:val="20"/>
          <w:szCs w:val="20"/>
        </w:rPr>
        <w:t>Ewig</w:t>
      </w:r>
      <w:r w:rsidR="001B4EFC">
        <w:rPr>
          <w:sz w:val="20"/>
          <w:szCs w:val="20"/>
        </w:rPr>
        <w:t xml:space="preserve"> (n 109)</w:t>
      </w:r>
      <w:r w:rsidRPr="001C580A">
        <w:rPr>
          <w:sz w:val="20"/>
          <w:szCs w:val="20"/>
        </w:rPr>
        <w:t xml:space="preserve">; </w:t>
      </w:r>
      <w:proofErr w:type="spellStart"/>
      <w:r w:rsidR="00BF333C" w:rsidRPr="001C580A">
        <w:rPr>
          <w:sz w:val="20"/>
          <w:szCs w:val="20"/>
        </w:rPr>
        <w:t>Boesten</w:t>
      </w:r>
      <w:proofErr w:type="spellEnd"/>
      <w:r w:rsidR="00BF333C" w:rsidRPr="001C580A">
        <w:rPr>
          <w:sz w:val="20"/>
          <w:szCs w:val="20"/>
        </w:rPr>
        <w:t xml:space="preserve"> </w:t>
      </w:r>
      <w:r w:rsidR="0097798E">
        <w:rPr>
          <w:sz w:val="20"/>
          <w:szCs w:val="20"/>
        </w:rPr>
        <w:t>(n 110)</w:t>
      </w:r>
      <w:r w:rsidR="00BF333C" w:rsidRPr="001C580A">
        <w:rPr>
          <w:sz w:val="20"/>
          <w:szCs w:val="20"/>
        </w:rPr>
        <w:t>.</w:t>
      </w:r>
    </w:p>
  </w:footnote>
  <w:footnote w:id="128">
    <w:p w14:paraId="07B7E3E9" w14:textId="538C8484" w:rsidR="005F402E" w:rsidRPr="001C580A" w:rsidRDefault="005F402E" w:rsidP="001C580A">
      <w:pPr>
        <w:pStyle w:val="FootnoteText"/>
        <w:jc w:val="both"/>
        <w:rPr>
          <w:rFonts w:ascii="Times New Roman" w:hAnsi="Times New Roman" w:cs="Times New Roman"/>
        </w:rPr>
      </w:pPr>
      <w:r w:rsidRPr="001C580A">
        <w:rPr>
          <w:rStyle w:val="FootnoteReference"/>
          <w:rFonts w:ascii="Times New Roman" w:hAnsi="Times New Roman" w:cs="Times New Roman"/>
        </w:rPr>
        <w:footnoteRef/>
      </w:r>
      <w:r w:rsidRPr="001C580A">
        <w:rPr>
          <w:rFonts w:ascii="Times New Roman" w:hAnsi="Times New Roman" w:cs="Times New Roman"/>
        </w:rPr>
        <w:t xml:space="preserve"> </w:t>
      </w:r>
      <w:r w:rsidR="00BF333C" w:rsidRPr="001C580A">
        <w:rPr>
          <w:rFonts w:ascii="Times New Roman" w:hAnsi="Times New Roman" w:cs="Times New Roman"/>
        </w:rPr>
        <w:t xml:space="preserve">Donnelly M and Murray C, </w:t>
      </w:r>
      <w:r w:rsidR="004D1905">
        <w:rPr>
          <w:rFonts w:ascii="Times New Roman" w:hAnsi="Times New Roman" w:cs="Times New Roman"/>
        </w:rPr>
        <w:t>‘</w:t>
      </w:r>
      <w:r w:rsidR="00BF333C" w:rsidRPr="001C580A">
        <w:rPr>
          <w:rFonts w:ascii="Times New Roman" w:hAnsi="Times New Roman" w:cs="Times New Roman"/>
        </w:rPr>
        <w:t>Abortion Care in Ireland: Developing Legal and Ethical Frameworks for Conscientious Provision</w:t>
      </w:r>
      <w:r w:rsidR="004D1905">
        <w:rPr>
          <w:rFonts w:ascii="Times New Roman" w:hAnsi="Times New Roman" w:cs="Times New Roman"/>
        </w:rPr>
        <w:t>’</w:t>
      </w:r>
      <w:r w:rsidR="00BF333C" w:rsidRPr="001C580A">
        <w:rPr>
          <w:rFonts w:ascii="Times New Roman" w:hAnsi="Times New Roman" w:cs="Times New Roman"/>
        </w:rPr>
        <w:t xml:space="preserve"> (2020) 148 </w:t>
      </w:r>
      <w:r w:rsidR="00BF333C" w:rsidRPr="001C580A">
        <w:rPr>
          <w:rStyle w:val="Emphasis"/>
          <w:rFonts w:ascii="Times New Roman" w:hAnsi="Times New Roman" w:cs="Times New Roman"/>
        </w:rPr>
        <w:t xml:space="preserve">International Journal of </w:t>
      </w:r>
      <w:proofErr w:type="spellStart"/>
      <w:r w:rsidR="00BF333C" w:rsidRPr="001C580A">
        <w:rPr>
          <w:rStyle w:val="Emphasis"/>
          <w:rFonts w:ascii="Times New Roman" w:hAnsi="Times New Roman" w:cs="Times New Roman"/>
        </w:rPr>
        <w:t>Gynecology</w:t>
      </w:r>
      <w:proofErr w:type="spellEnd"/>
      <w:r w:rsidR="00BF333C" w:rsidRPr="001C580A">
        <w:rPr>
          <w:rStyle w:val="Emphasis"/>
          <w:rFonts w:ascii="Times New Roman" w:hAnsi="Times New Roman" w:cs="Times New Roman"/>
        </w:rPr>
        <w:t xml:space="preserve"> &amp; Obstetrics</w:t>
      </w:r>
      <w:r w:rsidR="00BF333C" w:rsidRPr="001C580A">
        <w:rPr>
          <w:rFonts w:ascii="Times New Roman" w:hAnsi="Times New Roman" w:cs="Times New Roman"/>
        </w:rPr>
        <w:t xml:space="preserve"> 127</w:t>
      </w:r>
      <w:r w:rsidRPr="001C580A">
        <w:rPr>
          <w:rFonts w:ascii="Times New Roman" w:hAnsi="Times New Roman" w:cs="Times New Roman"/>
          <w:color w:val="1C1D1E"/>
          <w:shd w:val="clear" w:color="auto" w:fill="FFFFFF"/>
        </w:rPr>
        <w:t xml:space="preserve">; </w:t>
      </w:r>
      <w:r w:rsidR="00BF333C" w:rsidRPr="001C580A">
        <w:rPr>
          <w:rFonts w:ascii="Times New Roman" w:hAnsi="Times New Roman" w:cs="Times New Roman"/>
        </w:rPr>
        <w:t xml:space="preserve">Enright </w:t>
      </w:r>
      <w:r w:rsidR="00A922F7">
        <w:rPr>
          <w:rFonts w:ascii="Times New Roman" w:hAnsi="Times New Roman" w:cs="Times New Roman"/>
        </w:rPr>
        <w:t>(n 83)</w:t>
      </w:r>
      <w:r w:rsidR="00BF333C" w:rsidRPr="001C580A">
        <w:rPr>
          <w:rStyle w:val="Emphasis"/>
          <w:rFonts w:ascii="Times New Roman" w:hAnsi="Times New Roman" w:cs="Times New Roman"/>
        </w:rPr>
        <w:t>.</w:t>
      </w:r>
    </w:p>
  </w:footnote>
  <w:footnote w:id="129">
    <w:p w14:paraId="72D79C63" w14:textId="0CAA592B" w:rsidR="004728E0" w:rsidRPr="001C580A" w:rsidRDefault="004728E0" w:rsidP="001C580A">
      <w:pPr>
        <w:pStyle w:val="FootnoteText"/>
        <w:jc w:val="both"/>
        <w:rPr>
          <w:rFonts w:ascii="Times New Roman" w:hAnsi="Times New Roman" w:cs="Times New Roman"/>
        </w:rPr>
      </w:pPr>
      <w:r w:rsidRPr="001C580A">
        <w:rPr>
          <w:rStyle w:val="FootnoteReference"/>
          <w:rFonts w:ascii="Times New Roman" w:hAnsi="Times New Roman" w:cs="Times New Roman"/>
        </w:rPr>
        <w:footnoteRef/>
      </w:r>
      <w:r w:rsidRPr="001C580A">
        <w:rPr>
          <w:rFonts w:ascii="Times New Roman" w:hAnsi="Times New Roman" w:cs="Times New Roman"/>
        </w:rPr>
        <w:t xml:space="preserve"> </w:t>
      </w:r>
      <w:proofErr w:type="spellStart"/>
      <w:r w:rsidRPr="001C580A">
        <w:rPr>
          <w:rFonts w:ascii="Times New Roman" w:hAnsi="Times New Roman" w:cs="Times New Roman"/>
          <w:color w:val="000000" w:themeColor="text1"/>
        </w:rPr>
        <w:t>Ballón</w:t>
      </w:r>
      <w:proofErr w:type="spellEnd"/>
      <w:r w:rsidRPr="001C580A">
        <w:rPr>
          <w:rFonts w:ascii="Times New Roman" w:hAnsi="Times New Roman" w:cs="Times New Roman"/>
          <w:color w:val="000000" w:themeColor="text1"/>
        </w:rPr>
        <w:t xml:space="preserve"> Gutiérrez</w:t>
      </w:r>
      <w:r w:rsidR="00F33DF3">
        <w:rPr>
          <w:rFonts w:ascii="Times New Roman" w:hAnsi="Times New Roman" w:cs="Times New Roman"/>
          <w:color w:val="000000" w:themeColor="text1"/>
        </w:rPr>
        <w:t xml:space="preserve"> (n 112)</w:t>
      </w:r>
      <w:r w:rsidR="00BF333C" w:rsidRPr="001C580A">
        <w:rPr>
          <w:rFonts w:ascii="Times New Roman" w:hAnsi="Times New Roman" w:cs="Times New Roman"/>
          <w:color w:val="000000" w:themeColor="text1"/>
        </w:rPr>
        <w:t xml:space="preserve">; </w:t>
      </w:r>
      <w:r w:rsidR="00BF333C" w:rsidRPr="001C580A">
        <w:rPr>
          <w:rFonts w:ascii="Times New Roman" w:hAnsi="Times New Roman" w:cs="Times New Roman"/>
        </w:rPr>
        <w:t xml:space="preserve">Vásquez del Aguila </w:t>
      </w:r>
      <w:r w:rsidR="0003194B">
        <w:rPr>
          <w:rFonts w:ascii="Times New Roman" w:hAnsi="Times New Roman" w:cs="Times New Roman"/>
        </w:rPr>
        <w:t>(n 99)</w:t>
      </w:r>
      <w:r w:rsidR="00BF333C" w:rsidRPr="001C580A">
        <w:rPr>
          <w:rFonts w:ascii="Times New Roman" w:hAnsi="Times New Roman" w:cs="Times New Roman"/>
        </w:rPr>
        <w:t xml:space="preserve">, </w:t>
      </w:r>
      <w:r w:rsidR="00BF333C" w:rsidRPr="001C580A">
        <w:rPr>
          <w:rStyle w:val="Strong"/>
          <w:rFonts w:ascii="Times New Roman" w:hAnsi="Times New Roman" w:cs="Times New Roman"/>
          <w:b w:val="0"/>
          <w:bCs w:val="0"/>
        </w:rPr>
        <w:t>114</w:t>
      </w:r>
      <w:r w:rsidR="00BF333C" w:rsidRPr="001C580A">
        <w:rPr>
          <w:rFonts w:ascii="Times New Roman" w:hAnsi="Times New Roman" w:cs="Times New Roman"/>
        </w:rPr>
        <w:t>.</w:t>
      </w:r>
    </w:p>
  </w:footnote>
  <w:footnote w:id="130">
    <w:p w14:paraId="519AB21D" w14:textId="345B2C27" w:rsidR="004728E0" w:rsidRPr="001C580A" w:rsidRDefault="004728E0" w:rsidP="001C580A">
      <w:pPr>
        <w:pStyle w:val="NormalWeb"/>
        <w:spacing w:before="0" w:beforeAutospacing="0" w:after="0" w:afterAutospacing="0"/>
        <w:jc w:val="both"/>
        <w:rPr>
          <w:sz w:val="20"/>
          <w:szCs w:val="20"/>
        </w:rPr>
      </w:pPr>
      <w:r w:rsidRPr="001C580A">
        <w:rPr>
          <w:rStyle w:val="FootnoteReference"/>
          <w:sz w:val="20"/>
          <w:szCs w:val="20"/>
        </w:rPr>
        <w:footnoteRef/>
      </w:r>
      <w:r w:rsidRPr="001C580A">
        <w:rPr>
          <w:sz w:val="20"/>
          <w:szCs w:val="20"/>
        </w:rPr>
        <w:t xml:space="preserve"> </w:t>
      </w:r>
      <w:r w:rsidR="00BF333C" w:rsidRPr="001C580A">
        <w:rPr>
          <w:sz w:val="20"/>
          <w:szCs w:val="20"/>
        </w:rPr>
        <w:t xml:space="preserve"> </w:t>
      </w:r>
      <w:r w:rsidR="00BF333C" w:rsidRPr="001C580A">
        <w:rPr>
          <w:rStyle w:val="Emphasis"/>
          <w:sz w:val="20"/>
          <w:szCs w:val="20"/>
        </w:rPr>
        <w:t>International Covenant on Civil and Political Rights</w:t>
      </w:r>
      <w:r w:rsidR="00BF333C" w:rsidRPr="001C580A">
        <w:rPr>
          <w:sz w:val="20"/>
          <w:szCs w:val="20"/>
        </w:rPr>
        <w:t xml:space="preserve"> (adopted 16 December 1966, entered into force 23 March 1976) 999 UNTS 171, art 7; </w:t>
      </w:r>
      <w:r w:rsidR="001C580A" w:rsidRPr="001C580A">
        <w:rPr>
          <w:rStyle w:val="Emphasis"/>
          <w:sz w:val="20"/>
          <w:szCs w:val="20"/>
        </w:rPr>
        <w:t>Convention against Torture and Other Cruel, Inhuman or Degrading Treatment or Punishment</w:t>
      </w:r>
      <w:r w:rsidR="001C580A" w:rsidRPr="001C580A">
        <w:rPr>
          <w:sz w:val="20"/>
          <w:szCs w:val="20"/>
        </w:rPr>
        <w:t xml:space="preserve"> (adopted 10 December 1984, entered into force 26 June 1987) 1465 UNTS 85; </w:t>
      </w:r>
      <w:r w:rsidR="001C580A" w:rsidRPr="001C580A">
        <w:rPr>
          <w:rStyle w:val="Emphasis"/>
          <w:sz w:val="20"/>
          <w:szCs w:val="20"/>
        </w:rPr>
        <w:t>American Convention on Human Rights</w:t>
      </w:r>
      <w:r w:rsidR="001C580A" w:rsidRPr="001C580A">
        <w:rPr>
          <w:sz w:val="20"/>
          <w:szCs w:val="20"/>
        </w:rPr>
        <w:t xml:space="preserve"> (adopted 22 November 1969, entered into force 18 July 1978) 1144 UNTS 123, art 5; Méndez JE, </w:t>
      </w:r>
      <w:r w:rsidR="001C580A" w:rsidRPr="001C580A">
        <w:rPr>
          <w:rStyle w:val="Emphasis"/>
          <w:sz w:val="20"/>
          <w:szCs w:val="20"/>
        </w:rPr>
        <w:t>Report of the Special Rapporteur on Torture and Other Cruel, Inhuman or Degrading Treatment or Punishment</w:t>
      </w:r>
      <w:r w:rsidR="001C580A" w:rsidRPr="001C580A">
        <w:rPr>
          <w:sz w:val="20"/>
          <w:szCs w:val="20"/>
        </w:rPr>
        <w:t>, UN Doc A/HRC/22/53 (2013).</w:t>
      </w:r>
    </w:p>
  </w:footnote>
  <w:footnote w:id="131">
    <w:p w14:paraId="60DFCE7A" w14:textId="357F716E" w:rsidR="009B7263" w:rsidRPr="001C580A" w:rsidRDefault="009B7263" w:rsidP="009B7263">
      <w:pPr>
        <w:pStyle w:val="NormalWeb"/>
        <w:spacing w:before="0" w:beforeAutospacing="0" w:after="0" w:afterAutospacing="0"/>
        <w:jc w:val="both"/>
        <w:rPr>
          <w:sz w:val="20"/>
          <w:szCs w:val="20"/>
        </w:rPr>
      </w:pPr>
      <w:r w:rsidRPr="001C580A">
        <w:rPr>
          <w:rStyle w:val="FootnoteReference"/>
          <w:sz w:val="20"/>
          <w:szCs w:val="20"/>
        </w:rPr>
        <w:footnoteRef/>
      </w:r>
      <w:r w:rsidRPr="001C580A">
        <w:rPr>
          <w:sz w:val="20"/>
          <w:szCs w:val="20"/>
        </w:rPr>
        <w:t xml:space="preserve"> Kapur R, </w:t>
      </w:r>
      <w:r w:rsidRPr="001C580A">
        <w:rPr>
          <w:rStyle w:val="Emphasis"/>
          <w:sz w:val="20"/>
          <w:szCs w:val="20"/>
        </w:rPr>
        <w:t>Gender, Alterity and Human Rights: Freedom in a Fishbowl</w:t>
      </w:r>
      <w:r w:rsidRPr="001C580A">
        <w:rPr>
          <w:sz w:val="20"/>
          <w:szCs w:val="20"/>
        </w:rPr>
        <w:t xml:space="preserve"> (Edward Elgar Publishing 2018); Merry</w:t>
      </w:r>
      <w:r w:rsidR="00971AF8">
        <w:rPr>
          <w:sz w:val="20"/>
          <w:szCs w:val="20"/>
        </w:rPr>
        <w:t xml:space="preserve"> (n 34)</w:t>
      </w:r>
      <w:r w:rsidRPr="001C580A">
        <w:rPr>
          <w:sz w:val="20"/>
          <w:szCs w:val="20"/>
        </w:rPr>
        <w:t xml:space="preserve">; Charlesworth H, </w:t>
      </w:r>
      <w:r>
        <w:rPr>
          <w:sz w:val="20"/>
          <w:szCs w:val="20"/>
        </w:rPr>
        <w:t>‘</w:t>
      </w:r>
      <w:r w:rsidRPr="001C580A">
        <w:rPr>
          <w:sz w:val="20"/>
          <w:szCs w:val="20"/>
        </w:rPr>
        <w:t>Not Waving but Drowning: Gender Mainstreaming and Human Rights in the United Nations</w:t>
      </w:r>
      <w:r>
        <w:rPr>
          <w:sz w:val="20"/>
          <w:szCs w:val="20"/>
        </w:rPr>
        <w:t>’</w:t>
      </w:r>
      <w:r w:rsidRPr="001C580A">
        <w:rPr>
          <w:sz w:val="20"/>
          <w:szCs w:val="20"/>
        </w:rPr>
        <w:t xml:space="preserve"> (2005) 18 </w:t>
      </w:r>
      <w:r w:rsidRPr="001C580A">
        <w:rPr>
          <w:rStyle w:val="Emphasis"/>
          <w:sz w:val="20"/>
          <w:szCs w:val="20"/>
        </w:rPr>
        <w:t>Harvard Human Rights Journal</w:t>
      </w:r>
      <w:r w:rsidRPr="001C580A">
        <w:rPr>
          <w:sz w:val="20"/>
          <w:szCs w:val="20"/>
        </w:rPr>
        <w:t xml:space="preserve"> 1; Otto D, </w:t>
      </w:r>
      <w:r>
        <w:rPr>
          <w:sz w:val="20"/>
          <w:szCs w:val="20"/>
        </w:rPr>
        <w:t>‘</w:t>
      </w:r>
      <w:r w:rsidRPr="001C580A">
        <w:rPr>
          <w:sz w:val="20"/>
          <w:szCs w:val="20"/>
        </w:rPr>
        <w:t>Lost in Translation: Re-Scripting the Sexed Subjects of International Human Rights Law</w:t>
      </w:r>
      <w:r>
        <w:rPr>
          <w:sz w:val="20"/>
          <w:szCs w:val="20"/>
        </w:rPr>
        <w:t>’</w:t>
      </w:r>
      <w:r w:rsidRPr="001C580A">
        <w:rPr>
          <w:sz w:val="20"/>
          <w:szCs w:val="20"/>
        </w:rPr>
        <w:t xml:space="preserve"> in Orford A (ed), </w:t>
      </w:r>
      <w:r w:rsidRPr="001C580A">
        <w:rPr>
          <w:rStyle w:val="Emphasis"/>
          <w:sz w:val="20"/>
          <w:szCs w:val="20"/>
        </w:rPr>
        <w:t xml:space="preserve">International Law and </w:t>
      </w:r>
      <w:r w:rsidR="00AF7B2B">
        <w:rPr>
          <w:rStyle w:val="Emphasis"/>
          <w:sz w:val="20"/>
          <w:szCs w:val="20"/>
        </w:rPr>
        <w:t>i</w:t>
      </w:r>
      <w:r w:rsidRPr="001C580A">
        <w:rPr>
          <w:rStyle w:val="Emphasis"/>
          <w:sz w:val="20"/>
          <w:szCs w:val="20"/>
        </w:rPr>
        <w:t>ts Others</w:t>
      </w:r>
      <w:r w:rsidRPr="001C580A">
        <w:rPr>
          <w:sz w:val="20"/>
          <w:szCs w:val="20"/>
        </w:rPr>
        <w:t xml:space="preserve"> (Cambridge University Press 2006) </w:t>
      </w:r>
      <w:r w:rsidRPr="001C580A">
        <w:rPr>
          <w:rStyle w:val="Strong"/>
          <w:b w:val="0"/>
          <w:bCs w:val="0"/>
          <w:sz w:val="20"/>
          <w:szCs w:val="20"/>
        </w:rPr>
        <w:t>318</w:t>
      </w:r>
      <w:r w:rsidRPr="001C580A">
        <w:rPr>
          <w:sz w:val="20"/>
          <w:szCs w:val="20"/>
        </w:rPr>
        <w:t>.</w:t>
      </w:r>
    </w:p>
  </w:footnote>
  <w:footnote w:id="132">
    <w:p w14:paraId="0BA3EDDA" w14:textId="0059A0B9" w:rsidR="00B06444" w:rsidRDefault="00B06444">
      <w:pPr>
        <w:pStyle w:val="FootnoteText"/>
      </w:pPr>
      <w:r>
        <w:rPr>
          <w:rStyle w:val="FootnoteReference"/>
        </w:rPr>
        <w:footnoteRef/>
      </w:r>
      <w:r>
        <w:t xml:space="preserve"> </w:t>
      </w:r>
      <w:r w:rsidRPr="001C580A">
        <w:rPr>
          <w:rStyle w:val="Emphasis"/>
          <w:rFonts w:ascii="Times New Roman" w:hAnsi="Times New Roman" w:cs="Times New Roman"/>
        </w:rPr>
        <w:t>Dobbs v Jackson Women</w:t>
      </w:r>
      <w:r>
        <w:rPr>
          <w:rStyle w:val="Emphasis"/>
          <w:rFonts w:ascii="Times New Roman" w:hAnsi="Times New Roman" w:cs="Times New Roman"/>
        </w:rPr>
        <w:t>’</w:t>
      </w:r>
      <w:r w:rsidRPr="001C580A">
        <w:rPr>
          <w:rStyle w:val="Emphasis"/>
          <w:rFonts w:ascii="Times New Roman" w:hAnsi="Times New Roman" w:cs="Times New Roman"/>
        </w:rPr>
        <w:t>s Health Organization</w:t>
      </w:r>
      <w:r w:rsidRPr="001C580A">
        <w:rPr>
          <w:rFonts w:ascii="Times New Roman" w:hAnsi="Times New Roman" w:cs="Times New Roman"/>
        </w:rPr>
        <w:t xml:space="preserve"> 597 US 215 (2022).</w:t>
      </w:r>
    </w:p>
  </w:footnote>
  <w:footnote w:id="133">
    <w:p w14:paraId="0EC7DCCF" w14:textId="66F0E2CF" w:rsidR="005F402E" w:rsidRPr="001C580A" w:rsidRDefault="005F402E" w:rsidP="001C580A">
      <w:pPr>
        <w:pStyle w:val="FootnoteText"/>
        <w:jc w:val="both"/>
        <w:rPr>
          <w:rFonts w:ascii="Times New Roman" w:hAnsi="Times New Roman" w:cs="Times New Roman"/>
        </w:rPr>
      </w:pPr>
      <w:r w:rsidRPr="001C580A">
        <w:rPr>
          <w:rStyle w:val="FootnoteReference"/>
          <w:rFonts w:ascii="Times New Roman" w:hAnsi="Times New Roman" w:cs="Times New Roman"/>
        </w:rPr>
        <w:footnoteRef/>
      </w:r>
      <w:r w:rsidRPr="001C580A">
        <w:rPr>
          <w:rFonts w:ascii="Times New Roman" w:hAnsi="Times New Roman" w:cs="Times New Roman"/>
        </w:rPr>
        <w:t xml:space="preserve"> </w:t>
      </w:r>
      <w:r w:rsidR="001C580A" w:rsidRPr="001C580A">
        <w:rPr>
          <w:rFonts w:ascii="Times New Roman" w:hAnsi="Times New Roman" w:cs="Times New Roman"/>
        </w:rPr>
        <w:t xml:space="preserve">Carnegie and Roth </w:t>
      </w:r>
      <w:r w:rsidR="00756DEB">
        <w:rPr>
          <w:rFonts w:ascii="Times New Roman" w:hAnsi="Times New Roman" w:cs="Times New Roman"/>
        </w:rPr>
        <w:t>(n 73)</w:t>
      </w:r>
      <w:r w:rsidR="001C580A" w:rsidRPr="001C580A">
        <w:rPr>
          <w:rFonts w:ascii="Times New Roman" w:hAnsi="Times New Roman" w:cs="Times New Roman"/>
        </w:rPr>
        <w:t xml:space="preserve">; Fischer C, </w:t>
      </w:r>
      <w:r w:rsidR="004D1905">
        <w:rPr>
          <w:rFonts w:ascii="Times New Roman" w:hAnsi="Times New Roman" w:cs="Times New Roman"/>
        </w:rPr>
        <w:t>‘</w:t>
      </w:r>
      <w:r w:rsidR="001C580A" w:rsidRPr="001C580A">
        <w:rPr>
          <w:rFonts w:ascii="Times New Roman" w:hAnsi="Times New Roman" w:cs="Times New Roman"/>
        </w:rPr>
        <w:t>Feminists Redraw Public and Private Spheres: Abortion, Vulnerability, and the Affective Campaign to Repeal the Eighth Amendment</w:t>
      </w:r>
      <w:r w:rsidR="004D1905">
        <w:rPr>
          <w:rFonts w:ascii="Times New Roman" w:hAnsi="Times New Roman" w:cs="Times New Roman"/>
        </w:rPr>
        <w:t>’</w:t>
      </w:r>
      <w:r w:rsidR="001C580A" w:rsidRPr="001C580A">
        <w:rPr>
          <w:rFonts w:ascii="Times New Roman" w:hAnsi="Times New Roman" w:cs="Times New Roman"/>
        </w:rPr>
        <w:t xml:space="preserve"> (2020) 45(4) </w:t>
      </w:r>
      <w:r w:rsidR="001C580A" w:rsidRPr="001C580A">
        <w:rPr>
          <w:rStyle w:val="Emphasis"/>
          <w:rFonts w:ascii="Times New Roman" w:hAnsi="Times New Roman" w:cs="Times New Roman"/>
        </w:rPr>
        <w:t xml:space="preserve">Signs: Journal of Women in Culture and Society; </w:t>
      </w:r>
      <w:r w:rsidR="001C580A" w:rsidRPr="001C580A">
        <w:rPr>
          <w:rFonts w:ascii="Times New Roman" w:hAnsi="Times New Roman" w:cs="Times New Roman"/>
        </w:rPr>
        <w:t xml:space="preserve">Fitzsimons C, </w:t>
      </w:r>
      <w:r w:rsidR="004D1905">
        <w:rPr>
          <w:rFonts w:ascii="Times New Roman" w:hAnsi="Times New Roman" w:cs="Times New Roman"/>
        </w:rPr>
        <w:t>‘</w:t>
      </w:r>
      <w:r w:rsidR="001C580A" w:rsidRPr="001C580A">
        <w:rPr>
          <w:rFonts w:ascii="Times New Roman" w:hAnsi="Times New Roman" w:cs="Times New Roman"/>
        </w:rPr>
        <w:t>Critical Education in the Irish Repeal Movement</w:t>
      </w:r>
      <w:r w:rsidR="004D1905">
        <w:rPr>
          <w:rFonts w:ascii="Times New Roman" w:hAnsi="Times New Roman" w:cs="Times New Roman"/>
        </w:rPr>
        <w:t>’</w:t>
      </w:r>
      <w:r w:rsidR="001C580A" w:rsidRPr="001C580A">
        <w:rPr>
          <w:rFonts w:ascii="Times New Roman" w:hAnsi="Times New Roman" w:cs="Times New Roman"/>
        </w:rPr>
        <w:t xml:space="preserve"> (2022) 54(2) </w:t>
      </w:r>
      <w:r w:rsidR="001C580A" w:rsidRPr="001C580A">
        <w:rPr>
          <w:rStyle w:val="Emphasis"/>
          <w:rFonts w:ascii="Times New Roman" w:hAnsi="Times New Roman" w:cs="Times New Roman"/>
        </w:rPr>
        <w:t>Studies in the Education of Adults</w:t>
      </w:r>
      <w:r w:rsidR="001C580A" w:rsidRPr="001C580A">
        <w:rPr>
          <w:rFonts w:ascii="Times New Roman" w:hAnsi="Times New Roman" w:cs="Times New Roman"/>
        </w:rPr>
        <w:t xml:space="preserve"> 128.</w:t>
      </w:r>
    </w:p>
  </w:footnote>
  <w:footnote w:id="134">
    <w:p w14:paraId="18744BEF" w14:textId="6BFD9011" w:rsidR="00AC61E2" w:rsidRPr="001C580A" w:rsidRDefault="00AC61E2" w:rsidP="001C580A">
      <w:pPr>
        <w:pStyle w:val="font-claude-response-body"/>
        <w:spacing w:before="0" w:beforeAutospacing="0" w:after="0" w:afterAutospacing="0"/>
        <w:jc w:val="both"/>
        <w:rPr>
          <w:sz w:val="20"/>
          <w:szCs w:val="20"/>
        </w:rPr>
      </w:pPr>
      <w:r w:rsidRPr="001C580A">
        <w:rPr>
          <w:rStyle w:val="FootnoteReference"/>
          <w:sz w:val="20"/>
          <w:szCs w:val="20"/>
        </w:rPr>
        <w:footnoteRef/>
      </w:r>
      <w:r w:rsidRPr="001C580A">
        <w:rPr>
          <w:sz w:val="20"/>
          <w:szCs w:val="20"/>
        </w:rPr>
        <w:t xml:space="preserve"> </w:t>
      </w:r>
      <w:r w:rsidR="001C580A" w:rsidRPr="001C580A">
        <w:rPr>
          <w:sz w:val="20"/>
          <w:szCs w:val="20"/>
        </w:rPr>
        <w:t xml:space="preserve">Vásquez del Aguila </w:t>
      </w:r>
      <w:r w:rsidR="0075451C">
        <w:rPr>
          <w:sz w:val="20"/>
          <w:szCs w:val="20"/>
        </w:rPr>
        <w:t>(n 99)</w:t>
      </w:r>
      <w:r w:rsidR="001C580A" w:rsidRPr="001C580A">
        <w:rPr>
          <w:sz w:val="20"/>
          <w:szCs w:val="20"/>
        </w:rPr>
        <w:t xml:space="preserve">; CLADEM Peru, </w:t>
      </w:r>
      <w:r w:rsidR="001C580A" w:rsidRPr="001C580A">
        <w:rPr>
          <w:rStyle w:val="Emphasis"/>
          <w:sz w:val="20"/>
          <w:szCs w:val="20"/>
        </w:rPr>
        <w:t>For Justice and Reparation Free of All Forms of Discrimination Against Women in Relation to Sexual Health and Sexual Violence During the Armed Conflict: Alternative Report on the Implementation of the UN Convention on the Elimination of Discrimination against Women (CEDAW) by Peru</w:t>
      </w:r>
      <w:r w:rsidR="001C580A" w:rsidRPr="001C580A">
        <w:rPr>
          <w:sz w:val="20"/>
          <w:szCs w:val="20"/>
        </w:rPr>
        <w:t xml:space="preserve"> (January 2007) </w:t>
      </w:r>
      <w:hyperlink r:id="rId15" w:history="1">
        <w:r w:rsidR="001C580A" w:rsidRPr="001C580A">
          <w:rPr>
            <w:rStyle w:val="Hyperlink"/>
            <w:sz w:val="20"/>
            <w:szCs w:val="20"/>
          </w:rPr>
          <w:t>https://www.fidh.org/IMG/pdf/Peru_Alternative_Report_CEDAW.pdf</w:t>
        </w:r>
      </w:hyperlink>
      <w:r w:rsidR="001C580A" w:rsidRPr="001C580A">
        <w:rPr>
          <w:sz w:val="20"/>
          <w:szCs w:val="20"/>
        </w:rPr>
        <w:t xml:space="preserve"> accessed July 2026; CLADEM Peru, </w:t>
      </w:r>
      <w:r w:rsidR="001C580A" w:rsidRPr="001C580A">
        <w:rPr>
          <w:rStyle w:val="Emphasis"/>
          <w:sz w:val="20"/>
          <w:szCs w:val="20"/>
        </w:rPr>
        <w:t>Justice Pending: Forced Sterilisations in Peru</w:t>
      </w:r>
      <w:r w:rsidR="001C580A" w:rsidRPr="001C580A">
        <w:rPr>
          <w:sz w:val="20"/>
          <w:szCs w:val="20"/>
        </w:rPr>
        <w:t xml:space="preserve"> (January 2012) </w:t>
      </w:r>
      <w:hyperlink r:id="rId16" w:history="1">
        <w:r w:rsidR="001C580A" w:rsidRPr="001C580A">
          <w:rPr>
            <w:rStyle w:val="Hyperlink"/>
            <w:sz w:val="20"/>
            <w:szCs w:val="20"/>
          </w:rPr>
          <w:t>https://cladem.org/biblioteca/justicia-pendiente---</w:t>
        </w:r>
        <w:proofErr w:type="spellStart"/>
        <w:r w:rsidR="001C580A" w:rsidRPr="001C580A">
          <w:rPr>
            <w:rStyle w:val="Hyperlink"/>
            <w:sz w:val="20"/>
            <w:szCs w:val="20"/>
          </w:rPr>
          <w:t>esterilizaciones-forzadas-en-peru</w:t>
        </w:r>
        <w:proofErr w:type="spellEnd"/>
      </w:hyperlink>
      <w:r w:rsidR="001C580A" w:rsidRPr="001C580A">
        <w:rPr>
          <w:sz w:val="20"/>
          <w:szCs w:val="20"/>
        </w:rPr>
        <w:t xml:space="preserve"> accessed July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B1EE9" w14:textId="38381EE1" w:rsidR="000934E6" w:rsidRDefault="00D17985">
    <w:pPr>
      <w:pStyle w:val="Header"/>
      <w:rPr>
        <w:sz w:val="22"/>
        <w:szCs w:val="22"/>
      </w:rPr>
    </w:pPr>
    <w:r>
      <w:rPr>
        <w:sz w:val="22"/>
        <w:szCs w:val="22"/>
      </w:rPr>
      <w:t>Sara Vincenzotti</w:t>
    </w:r>
    <w:r>
      <w:rPr>
        <w:sz w:val="22"/>
        <w:szCs w:val="22"/>
      </w:rPr>
      <w:tab/>
    </w:r>
    <w:r>
      <w:rPr>
        <w:sz w:val="22"/>
        <w:szCs w:val="22"/>
      </w:rPr>
      <w:tab/>
      <w:t>Enforcing Motherhood, Suppressing Fertility</w:t>
    </w:r>
  </w:p>
  <w:p w14:paraId="109F304C" w14:textId="7A0C857B" w:rsidR="00BF6E65" w:rsidRPr="00D17985" w:rsidRDefault="00BF6E65">
    <w:pPr>
      <w:pStyle w:val="Header"/>
      <w:rPr>
        <w:sz w:val="22"/>
        <w:szCs w:val="22"/>
      </w:rPr>
    </w:pPr>
    <w:r>
      <w:rPr>
        <w:sz w:val="22"/>
        <w:szCs w:val="22"/>
      </w:rPr>
      <w:t>_________________________________________________________________________________________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9BF04" w14:textId="1A50BBAA" w:rsidR="000934E6" w:rsidRDefault="00AB2FCB">
    <w:pPr>
      <w:pStyle w:val="Header"/>
      <w:rPr>
        <w:sz w:val="22"/>
        <w:szCs w:val="22"/>
      </w:rPr>
    </w:pPr>
    <w:proofErr w:type="spellStart"/>
    <w:r w:rsidRPr="00AB2FCB">
      <w:rPr>
        <w:i/>
        <w:iCs/>
        <w:sz w:val="22"/>
        <w:szCs w:val="22"/>
      </w:rPr>
      <w:t>feminists@law</w:t>
    </w:r>
    <w:proofErr w:type="spellEnd"/>
    <w:r>
      <w:rPr>
        <w:i/>
        <w:iCs/>
        <w:sz w:val="22"/>
        <w:szCs w:val="22"/>
      </w:rPr>
      <w:tab/>
    </w:r>
    <w:r>
      <w:rPr>
        <w:i/>
        <w:iCs/>
        <w:sz w:val="22"/>
        <w:szCs w:val="22"/>
      </w:rPr>
      <w:tab/>
    </w:r>
    <w:r>
      <w:rPr>
        <w:sz w:val="22"/>
        <w:szCs w:val="22"/>
      </w:rPr>
      <w:t>Vol 15, No 2 (2026)</w:t>
    </w:r>
  </w:p>
  <w:p w14:paraId="6D783FEB" w14:textId="7CE7D93D" w:rsidR="00AB2FCB" w:rsidRPr="00AB2FCB" w:rsidRDefault="00AB2FCB">
    <w:pPr>
      <w:pStyle w:val="Header"/>
      <w:rPr>
        <w:sz w:val="22"/>
        <w:szCs w:val="22"/>
      </w:rPr>
    </w:pPr>
    <w:r>
      <w:rPr>
        <w:sz w:val="22"/>
        <w:szCs w:val="22"/>
      </w:rPr>
      <w:t>_________________________________________________________________________________________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1EF3A" w14:textId="77777777" w:rsidR="000934E6" w:rsidRDefault="000934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770A3D"/>
    <w:multiLevelType w:val="multilevel"/>
    <w:tmpl w:val="086EAFF6"/>
    <w:lvl w:ilvl="0">
      <w:start w:val="1"/>
      <w:numFmt w:val="decimal"/>
      <w:lvlText w:val="%1"/>
      <w:lvlJc w:val="left"/>
      <w:pPr>
        <w:ind w:left="380" w:hanging="380"/>
      </w:pPr>
      <w:rPr>
        <w:rFonts w:hint="default"/>
        <w:i w:val="0"/>
        <w:u w:val="single"/>
      </w:rPr>
    </w:lvl>
    <w:lvl w:ilvl="1">
      <w:start w:val="1"/>
      <w:numFmt w:val="decimal"/>
      <w:pStyle w:val="SectionHeading"/>
      <w:lvlText w:val="%1.%2"/>
      <w:lvlJc w:val="left"/>
      <w:pPr>
        <w:ind w:left="380" w:hanging="380"/>
      </w:pPr>
      <w:rPr>
        <w:rFonts w:hint="default"/>
        <w:b/>
        <w:bCs/>
        <w:i w:val="0"/>
        <w:u w:val="none"/>
      </w:rPr>
    </w:lvl>
    <w:lvl w:ilvl="2">
      <w:start w:val="1"/>
      <w:numFmt w:val="decimal"/>
      <w:lvlText w:val="%1.%2.%3"/>
      <w:lvlJc w:val="left"/>
      <w:pPr>
        <w:ind w:left="720" w:hanging="720"/>
      </w:pPr>
      <w:rPr>
        <w:rFonts w:hint="default"/>
        <w:i w:val="0"/>
        <w:u w:val="single"/>
      </w:rPr>
    </w:lvl>
    <w:lvl w:ilvl="3">
      <w:start w:val="1"/>
      <w:numFmt w:val="decimal"/>
      <w:lvlText w:val="%1.%2.%3.%4"/>
      <w:lvlJc w:val="left"/>
      <w:pPr>
        <w:ind w:left="1080" w:hanging="1080"/>
      </w:pPr>
      <w:rPr>
        <w:rFonts w:hint="default"/>
        <w:i w:val="0"/>
        <w:u w:val="single"/>
      </w:rPr>
    </w:lvl>
    <w:lvl w:ilvl="4">
      <w:start w:val="1"/>
      <w:numFmt w:val="decimal"/>
      <w:lvlText w:val="%1.%2.%3.%4.%5"/>
      <w:lvlJc w:val="left"/>
      <w:pPr>
        <w:ind w:left="1080" w:hanging="1080"/>
      </w:pPr>
      <w:rPr>
        <w:rFonts w:hint="default"/>
        <w:i w:val="0"/>
        <w:u w:val="single"/>
      </w:rPr>
    </w:lvl>
    <w:lvl w:ilvl="5">
      <w:start w:val="1"/>
      <w:numFmt w:val="decimal"/>
      <w:lvlText w:val="%1.%2.%3.%4.%5.%6"/>
      <w:lvlJc w:val="left"/>
      <w:pPr>
        <w:ind w:left="1440" w:hanging="1440"/>
      </w:pPr>
      <w:rPr>
        <w:rFonts w:hint="default"/>
        <w:i w:val="0"/>
        <w:u w:val="single"/>
      </w:rPr>
    </w:lvl>
    <w:lvl w:ilvl="6">
      <w:start w:val="1"/>
      <w:numFmt w:val="decimal"/>
      <w:lvlText w:val="%1.%2.%3.%4.%5.%6.%7"/>
      <w:lvlJc w:val="left"/>
      <w:pPr>
        <w:ind w:left="1440" w:hanging="1440"/>
      </w:pPr>
      <w:rPr>
        <w:rFonts w:hint="default"/>
        <w:i w:val="0"/>
        <w:u w:val="single"/>
      </w:rPr>
    </w:lvl>
    <w:lvl w:ilvl="7">
      <w:start w:val="1"/>
      <w:numFmt w:val="decimal"/>
      <w:lvlText w:val="%1.%2.%3.%4.%5.%6.%7.%8"/>
      <w:lvlJc w:val="left"/>
      <w:pPr>
        <w:ind w:left="1800" w:hanging="1800"/>
      </w:pPr>
      <w:rPr>
        <w:rFonts w:hint="default"/>
        <w:i w:val="0"/>
        <w:u w:val="single"/>
      </w:rPr>
    </w:lvl>
    <w:lvl w:ilvl="8">
      <w:start w:val="1"/>
      <w:numFmt w:val="decimal"/>
      <w:lvlText w:val="%1.%2.%3.%4.%5.%6.%7.%8.%9"/>
      <w:lvlJc w:val="left"/>
      <w:pPr>
        <w:ind w:left="1800" w:hanging="1800"/>
      </w:pPr>
      <w:rPr>
        <w:rFonts w:hint="default"/>
        <w:i w:val="0"/>
        <w:u w:val="single"/>
      </w:rPr>
    </w:lvl>
  </w:abstractNum>
  <w:num w:numId="1" w16cid:durableId="1933469202">
    <w:abstractNumId w:val="0"/>
  </w:num>
  <w:num w:numId="2" w16cid:durableId="20898123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0&lt;/ScanUnformatted&gt;&lt;ScanChanges&gt;0&lt;/ScanChanges&gt;&lt;Suspended&gt;0&lt;/Suspended&gt;&lt;/ENInstantFormat&gt;"/>
    <w:docVar w:name="EN.Layout" w:val="&lt;ENLayout&gt;&lt;Style&gt;Harvard&lt;/Style&gt;&lt;LeftDelim&gt;{&lt;/LeftDelim&gt;&lt;RightDelim&gt;}&lt;/RightDelim&gt;&lt;FontName&gt;Times New Roman&lt;/FontName&gt;&lt;FontSize&gt;12&lt;/FontSize&gt;&lt;ReflistTitle&gt;&lt;style face=&quot;bold&quot;&gt;BIBLIOGRAPHY&lt;/sty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rdszr0wox9r94e50eev2wrlzavtsaw9d2w9&quot;&gt;Enforcing Motherhood, Supressing Fertility&lt;record-ids&gt;&lt;item&gt;2&lt;/item&gt;&lt;item&gt;3&lt;/item&gt;&lt;item&gt;5&lt;/item&gt;&lt;item&gt;6&lt;/item&gt;&lt;item&gt;8&lt;/item&gt;&lt;item&gt;9&lt;/item&gt;&lt;item&gt;10&lt;/item&gt;&lt;item&gt;11&lt;/item&gt;&lt;item&gt;12&lt;/item&gt;&lt;item&gt;13&lt;/item&gt;&lt;item&gt;14&lt;/item&gt;&lt;item&gt;15&lt;/item&gt;&lt;item&gt;16&lt;/item&gt;&lt;item&gt;17&lt;/item&gt;&lt;item&gt;18&lt;/item&gt;&lt;item&gt;19&lt;/item&gt;&lt;/record-ids&gt;&lt;/item&gt;&lt;/Libraries&gt;"/>
  </w:docVars>
  <w:rsids>
    <w:rsidRoot w:val="002D24D5"/>
    <w:rsid w:val="000158D7"/>
    <w:rsid w:val="000159DD"/>
    <w:rsid w:val="00023D7C"/>
    <w:rsid w:val="00026580"/>
    <w:rsid w:val="0003078B"/>
    <w:rsid w:val="0003194B"/>
    <w:rsid w:val="000342AF"/>
    <w:rsid w:val="000420D5"/>
    <w:rsid w:val="000423F6"/>
    <w:rsid w:val="00044FAF"/>
    <w:rsid w:val="0005332E"/>
    <w:rsid w:val="00053FFE"/>
    <w:rsid w:val="0006361A"/>
    <w:rsid w:val="00064461"/>
    <w:rsid w:val="00065ACE"/>
    <w:rsid w:val="00077B29"/>
    <w:rsid w:val="0008752B"/>
    <w:rsid w:val="00090EFA"/>
    <w:rsid w:val="000934E6"/>
    <w:rsid w:val="0009664C"/>
    <w:rsid w:val="00096B95"/>
    <w:rsid w:val="000A4CD3"/>
    <w:rsid w:val="000B0EB4"/>
    <w:rsid w:val="000C2C0C"/>
    <w:rsid w:val="000D519F"/>
    <w:rsid w:val="000D6E18"/>
    <w:rsid w:val="000D7C3C"/>
    <w:rsid w:val="000E2832"/>
    <w:rsid w:val="000E3422"/>
    <w:rsid w:val="000E3701"/>
    <w:rsid w:val="000E443B"/>
    <w:rsid w:val="000F37D9"/>
    <w:rsid w:val="000F77EC"/>
    <w:rsid w:val="0012650B"/>
    <w:rsid w:val="00147282"/>
    <w:rsid w:val="001503D8"/>
    <w:rsid w:val="00151672"/>
    <w:rsid w:val="00162775"/>
    <w:rsid w:val="0016501B"/>
    <w:rsid w:val="001720D4"/>
    <w:rsid w:val="00185283"/>
    <w:rsid w:val="00185C20"/>
    <w:rsid w:val="001874A5"/>
    <w:rsid w:val="00187A98"/>
    <w:rsid w:val="001A277C"/>
    <w:rsid w:val="001B3C7B"/>
    <w:rsid w:val="001B4EFC"/>
    <w:rsid w:val="001C0B34"/>
    <w:rsid w:val="001C29EF"/>
    <w:rsid w:val="001C580A"/>
    <w:rsid w:val="001F1FA3"/>
    <w:rsid w:val="002002F8"/>
    <w:rsid w:val="0020135F"/>
    <w:rsid w:val="00203B25"/>
    <w:rsid w:val="00205A0B"/>
    <w:rsid w:val="00206C30"/>
    <w:rsid w:val="00223DC5"/>
    <w:rsid w:val="00224EBA"/>
    <w:rsid w:val="00234E9C"/>
    <w:rsid w:val="00236CA6"/>
    <w:rsid w:val="00240669"/>
    <w:rsid w:val="00244681"/>
    <w:rsid w:val="002462E6"/>
    <w:rsid w:val="00247DF9"/>
    <w:rsid w:val="0026036C"/>
    <w:rsid w:val="00263BA1"/>
    <w:rsid w:val="002641B3"/>
    <w:rsid w:val="00270499"/>
    <w:rsid w:val="002751AB"/>
    <w:rsid w:val="002768B6"/>
    <w:rsid w:val="00285BA2"/>
    <w:rsid w:val="0028740B"/>
    <w:rsid w:val="0028790F"/>
    <w:rsid w:val="00291E14"/>
    <w:rsid w:val="002A1F64"/>
    <w:rsid w:val="002A3683"/>
    <w:rsid w:val="002A518F"/>
    <w:rsid w:val="002A6CA5"/>
    <w:rsid w:val="002B402A"/>
    <w:rsid w:val="002B7197"/>
    <w:rsid w:val="002D0671"/>
    <w:rsid w:val="002D0A39"/>
    <w:rsid w:val="002D0B40"/>
    <w:rsid w:val="002D24D5"/>
    <w:rsid w:val="002E50E5"/>
    <w:rsid w:val="002E5B29"/>
    <w:rsid w:val="002E7AAA"/>
    <w:rsid w:val="002F1654"/>
    <w:rsid w:val="002F229B"/>
    <w:rsid w:val="002F2E39"/>
    <w:rsid w:val="0030474A"/>
    <w:rsid w:val="0030749F"/>
    <w:rsid w:val="0030754B"/>
    <w:rsid w:val="00315FB2"/>
    <w:rsid w:val="00323432"/>
    <w:rsid w:val="003249A3"/>
    <w:rsid w:val="00326EAE"/>
    <w:rsid w:val="003321DB"/>
    <w:rsid w:val="00335774"/>
    <w:rsid w:val="003459C5"/>
    <w:rsid w:val="00346CB1"/>
    <w:rsid w:val="0036298D"/>
    <w:rsid w:val="00365AE4"/>
    <w:rsid w:val="00374E8D"/>
    <w:rsid w:val="00385785"/>
    <w:rsid w:val="00390954"/>
    <w:rsid w:val="003935F8"/>
    <w:rsid w:val="003A0318"/>
    <w:rsid w:val="003A190E"/>
    <w:rsid w:val="003A34EC"/>
    <w:rsid w:val="003A79F4"/>
    <w:rsid w:val="003C059B"/>
    <w:rsid w:val="003D298D"/>
    <w:rsid w:val="003E1D16"/>
    <w:rsid w:val="003E285C"/>
    <w:rsid w:val="003E6057"/>
    <w:rsid w:val="003E7B43"/>
    <w:rsid w:val="003F3FD8"/>
    <w:rsid w:val="003F73E2"/>
    <w:rsid w:val="00405941"/>
    <w:rsid w:val="004108F7"/>
    <w:rsid w:val="00410EC0"/>
    <w:rsid w:val="00415259"/>
    <w:rsid w:val="0042357B"/>
    <w:rsid w:val="0044799B"/>
    <w:rsid w:val="00450F0E"/>
    <w:rsid w:val="00463A13"/>
    <w:rsid w:val="00467071"/>
    <w:rsid w:val="004701FE"/>
    <w:rsid w:val="004728E0"/>
    <w:rsid w:val="00475E20"/>
    <w:rsid w:val="004907D7"/>
    <w:rsid w:val="0049780B"/>
    <w:rsid w:val="004A0D38"/>
    <w:rsid w:val="004A2687"/>
    <w:rsid w:val="004C0A52"/>
    <w:rsid w:val="004C2E9B"/>
    <w:rsid w:val="004C3ED2"/>
    <w:rsid w:val="004C41AC"/>
    <w:rsid w:val="004C423A"/>
    <w:rsid w:val="004C4D74"/>
    <w:rsid w:val="004D1905"/>
    <w:rsid w:val="004D314B"/>
    <w:rsid w:val="004D5FC2"/>
    <w:rsid w:val="004E1D30"/>
    <w:rsid w:val="004E416C"/>
    <w:rsid w:val="004F78CF"/>
    <w:rsid w:val="00501E1B"/>
    <w:rsid w:val="00506A43"/>
    <w:rsid w:val="00506A95"/>
    <w:rsid w:val="00526588"/>
    <w:rsid w:val="00535B0B"/>
    <w:rsid w:val="005361FC"/>
    <w:rsid w:val="005405DE"/>
    <w:rsid w:val="00546CA8"/>
    <w:rsid w:val="0055125B"/>
    <w:rsid w:val="00552B49"/>
    <w:rsid w:val="0055795B"/>
    <w:rsid w:val="00563B60"/>
    <w:rsid w:val="00565037"/>
    <w:rsid w:val="0056731D"/>
    <w:rsid w:val="00591CBB"/>
    <w:rsid w:val="00592A8F"/>
    <w:rsid w:val="00592A92"/>
    <w:rsid w:val="00595499"/>
    <w:rsid w:val="005A01AF"/>
    <w:rsid w:val="005C46C4"/>
    <w:rsid w:val="005C6867"/>
    <w:rsid w:val="005C6BE2"/>
    <w:rsid w:val="005C7A81"/>
    <w:rsid w:val="005D190C"/>
    <w:rsid w:val="005D423B"/>
    <w:rsid w:val="005D5ED0"/>
    <w:rsid w:val="005D6ED8"/>
    <w:rsid w:val="005E1E8F"/>
    <w:rsid w:val="005E5D94"/>
    <w:rsid w:val="005E5E63"/>
    <w:rsid w:val="005F1CC1"/>
    <w:rsid w:val="005F2A32"/>
    <w:rsid w:val="005F402E"/>
    <w:rsid w:val="005F6380"/>
    <w:rsid w:val="005F705C"/>
    <w:rsid w:val="006002F8"/>
    <w:rsid w:val="006055F5"/>
    <w:rsid w:val="00605D56"/>
    <w:rsid w:val="00610DF4"/>
    <w:rsid w:val="00614E2B"/>
    <w:rsid w:val="00617AC2"/>
    <w:rsid w:val="0062276C"/>
    <w:rsid w:val="00626009"/>
    <w:rsid w:val="00631640"/>
    <w:rsid w:val="00632DC6"/>
    <w:rsid w:val="00634133"/>
    <w:rsid w:val="00643734"/>
    <w:rsid w:val="006448A3"/>
    <w:rsid w:val="00650B46"/>
    <w:rsid w:val="006510DC"/>
    <w:rsid w:val="006526D5"/>
    <w:rsid w:val="0065320F"/>
    <w:rsid w:val="006609FE"/>
    <w:rsid w:val="00662BD4"/>
    <w:rsid w:val="00671B5E"/>
    <w:rsid w:val="0067285A"/>
    <w:rsid w:val="00674D31"/>
    <w:rsid w:val="006834A1"/>
    <w:rsid w:val="00684A8C"/>
    <w:rsid w:val="00691355"/>
    <w:rsid w:val="006924B3"/>
    <w:rsid w:val="00692C6A"/>
    <w:rsid w:val="006A12CB"/>
    <w:rsid w:val="006A31F8"/>
    <w:rsid w:val="006A4C1E"/>
    <w:rsid w:val="006B0AED"/>
    <w:rsid w:val="006B0B71"/>
    <w:rsid w:val="006B18CD"/>
    <w:rsid w:val="006C5767"/>
    <w:rsid w:val="006D342D"/>
    <w:rsid w:val="006E3318"/>
    <w:rsid w:val="006F1670"/>
    <w:rsid w:val="006F1789"/>
    <w:rsid w:val="006F3CA5"/>
    <w:rsid w:val="006F57D8"/>
    <w:rsid w:val="00700CBD"/>
    <w:rsid w:val="007052E8"/>
    <w:rsid w:val="00705FD1"/>
    <w:rsid w:val="00707A75"/>
    <w:rsid w:val="007105E9"/>
    <w:rsid w:val="00712245"/>
    <w:rsid w:val="0071434C"/>
    <w:rsid w:val="00717A99"/>
    <w:rsid w:val="00717CF5"/>
    <w:rsid w:val="00723936"/>
    <w:rsid w:val="00725144"/>
    <w:rsid w:val="00725862"/>
    <w:rsid w:val="0072709F"/>
    <w:rsid w:val="0072776E"/>
    <w:rsid w:val="00732AE7"/>
    <w:rsid w:val="00735502"/>
    <w:rsid w:val="00736DD5"/>
    <w:rsid w:val="00745A82"/>
    <w:rsid w:val="0075451C"/>
    <w:rsid w:val="00756DEB"/>
    <w:rsid w:val="00761B9E"/>
    <w:rsid w:val="00771A79"/>
    <w:rsid w:val="00777EA8"/>
    <w:rsid w:val="00781D89"/>
    <w:rsid w:val="007832B0"/>
    <w:rsid w:val="007836B1"/>
    <w:rsid w:val="0078414E"/>
    <w:rsid w:val="0079759A"/>
    <w:rsid w:val="007A0014"/>
    <w:rsid w:val="007A35F6"/>
    <w:rsid w:val="007A6257"/>
    <w:rsid w:val="007A6FBB"/>
    <w:rsid w:val="007B576A"/>
    <w:rsid w:val="007B680A"/>
    <w:rsid w:val="007B6C8A"/>
    <w:rsid w:val="007C1639"/>
    <w:rsid w:val="007C1D4D"/>
    <w:rsid w:val="007C3081"/>
    <w:rsid w:val="007D523B"/>
    <w:rsid w:val="007E3695"/>
    <w:rsid w:val="007F268A"/>
    <w:rsid w:val="007F61B0"/>
    <w:rsid w:val="008103B0"/>
    <w:rsid w:val="008108CA"/>
    <w:rsid w:val="008140A4"/>
    <w:rsid w:val="0082106E"/>
    <w:rsid w:val="00821704"/>
    <w:rsid w:val="00825801"/>
    <w:rsid w:val="008337BB"/>
    <w:rsid w:val="00833840"/>
    <w:rsid w:val="008379CB"/>
    <w:rsid w:val="008405CF"/>
    <w:rsid w:val="00846643"/>
    <w:rsid w:val="00850E09"/>
    <w:rsid w:val="00851751"/>
    <w:rsid w:val="00860611"/>
    <w:rsid w:val="008608D8"/>
    <w:rsid w:val="00862679"/>
    <w:rsid w:val="00865F09"/>
    <w:rsid w:val="008716BF"/>
    <w:rsid w:val="0087200E"/>
    <w:rsid w:val="00872B2D"/>
    <w:rsid w:val="00887FFD"/>
    <w:rsid w:val="008945FF"/>
    <w:rsid w:val="008A2518"/>
    <w:rsid w:val="008A5436"/>
    <w:rsid w:val="008B0342"/>
    <w:rsid w:val="008C0610"/>
    <w:rsid w:val="008C2612"/>
    <w:rsid w:val="008D0DF2"/>
    <w:rsid w:val="008D14D7"/>
    <w:rsid w:val="008D3F86"/>
    <w:rsid w:val="008D5BEA"/>
    <w:rsid w:val="008E1995"/>
    <w:rsid w:val="008E2760"/>
    <w:rsid w:val="008E3C71"/>
    <w:rsid w:val="00911034"/>
    <w:rsid w:val="009120BA"/>
    <w:rsid w:val="00921A39"/>
    <w:rsid w:val="00922209"/>
    <w:rsid w:val="00927694"/>
    <w:rsid w:val="009305AD"/>
    <w:rsid w:val="0093156B"/>
    <w:rsid w:val="00936292"/>
    <w:rsid w:val="009412B6"/>
    <w:rsid w:val="00945B82"/>
    <w:rsid w:val="0094657F"/>
    <w:rsid w:val="00955742"/>
    <w:rsid w:val="00971AF8"/>
    <w:rsid w:val="0097798E"/>
    <w:rsid w:val="0098277D"/>
    <w:rsid w:val="0099127A"/>
    <w:rsid w:val="0099369C"/>
    <w:rsid w:val="00997151"/>
    <w:rsid w:val="009A2EAC"/>
    <w:rsid w:val="009A5FF7"/>
    <w:rsid w:val="009A6E62"/>
    <w:rsid w:val="009B387B"/>
    <w:rsid w:val="009B3ACE"/>
    <w:rsid w:val="009B7263"/>
    <w:rsid w:val="009C0985"/>
    <w:rsid w:val="009C7B74"/>
    <w:rsid w:val="009D03BA"/>
    <w:rsid w:val="009D28FB"/>
    <w:rsid w:val="009D6B08"/>
    <w:rsid w:val="009E56AE"/>
    <w:rsid w:val="009E5C5D"/>
    <w:rsid w:val="009F5661"/>
    <w:rsid w:val="00A031DA"/>
    <w:rsid w:val="00A04819"/>
    <w:rsid w:val="00A05FF9"/>
    <w:rsid w:val="00A07048"/>
    <w:rsid w:val="00A124B5"/>
    <w:rsid w:val="00A16763"/>
    <w:rsid w:val="00A226B9"/>
    <w:rsid w:val="00A26F8F"/>
    <w:rsid w:val="00A31DDE"/>
    <w:rsid w:val="00A32309"/>
    <w:rsid w:val="00A34E28"/>
    <w:rsid w:val="00A35F85"/>
    <w:rsid w:val="00A40C2A"/>
    <w:rsid w:val="00A434C5"/>
    <w:rsid w:val="00A54D08"/>
    <w:rsid w:val="00A608F5"/>
    <w:rsid w:val="00A6643A"/>
    <w:rsid w:val="00A70C07"/>
    <w:rsid w:val="00A770DE"/>
    <w:rsid w:val="00A82B72"/>
    <w:rsid w:val="00A91688"/>
    <w:rsid w:val="00A922F7"/>
    <w:rsid w:val="00AA2DDB"/>
    <w:rsid w:val="00AB26FB"/>
    <w:rsid w:val="00AB2FCB"/>
    <w:rsid w:val="00AB7B2C"/>
    <w:rsid w:val="00AC61E2"/>
    <w:rsid w:val="00AC6C08"/>
    <w:rsid w:val="00AD27EB"/>
    <w:rsid w:val="00AD4BAD"/>
    <w:rsid w:val="00AE76A3"/>
    <w:rsid w:val="00AE7F44"/>
    <w:rsid w:val="00AF2D12"/>
    <w:rsid w:val="00AF7B2B"/>
    <w:rsid w:val="00AF7BCC"/>
    <w:rsid w:val="00B06444"/>
    <w:rsid w:val="00B16806"/>
    <w:rsid w:val="00B40075"/>
    <w:rsid w:val="00B43A7F"/>
    <w:rsid w:val="00B46D0C"/>
    <w:rsid w:val="00B478A5"/>
    <w:rsid w:val="00B503F1"/>
    <w:rsid w:val="00B558A7"/>
    <w:rsid w:val="00B64C9E"/>
    <w:rsid w:val="00B66BB8"/>
    <w:rsid w:val="00B74764"/>
    <w:rsid w:val="00B765FC"/>
    <w:rsid w:val="00B87387"/>
    <w:rsid w:val="00B93FCD"/>
    <w:rsid w:val="00B94058"/>
    <w:rsid w:val="00B9543B"/>
    <w:rsid w:val="00B95D15"/>
    <w:rsid w:val="00BA006B"/>
    <w:rsid w:val="00BA352B"/>
    <w:rsid w:val="00BA3CCD"/>
    <w:rsid w:val="00BA63FC"/>
    <w:rsid w:val="00BA7973"/>
    <w:rsid w:val="00BC10DC"/>
    <w:rsid w:val="00BC236F"/>
    <w:rsid w:val="00BC6E22"/>
    <w:rsid w:val="00BD3764"/>
    <w:rsid w:val="00BD589F"/>
    <w:rsid w:val="00BF0FCD"/>
    <w:rsid w:val="00BF333C"/>
    <w:rsid w:val="00BF6E65"/>
    <w:rsid w:val="00C00A4D"/>
    <w:rsid w:val="00C045F4"/>
    <w:rsid w:val="00C06DD6"/>
    <w:rsid w:val="00C20B77"/>
    <w:rsid w:val="00C24994"/>
    <w:rsid w:val="00C32B23"/>
    <w:rsid w:val="00C500EF"/>
    <w:rsid w:val="00C5198A"/>
    <w:rsid w:val="00C52095"/>
    <w:rsid w:val="00C54707"/>
    <w:rsid w:val="00C561D7"/>
    <w:rsid w:val="00C57F6E"/>
    <w:rsid w:val="00C57FF2"/>
    <w:rsid w:val="00C61D87"/>
    <w:rsid w:val="00C61F8B"/>
    <w:rsid w:val="00C71FCD"/>
    <w:rsid w:val="00C74C64"/>
    <w:rsid w:val="00C7515E"/>
    <w:rsid w:val="00C80A75"/>
    <w:rsid w:val="00C810C7"/>
    <w:rsid w:val="00C86613"/>
    <w:rsid w:val="00C869C0"/>
    <w:rsid w:val="00C90169"/>
    <w:rsid w:val="00C9658B"/>
    <w:rsid w:val="00CB02BE"/>
    <w:rsid w:val="00CB50DB"/>
    <w:rsid w:val="00CB6E9F"/>
    <w:rsid w:val="00CB7673"/>
    <w:rsid w:val="00CC6BB4"/>
    <w:rsid w:val="00CD0682"/>
    <w:rsid w:val="00CD16A2"/>
    <w:rsid w:val="00CD24F6"/>
    <w:rsid w:val="00CD41FC"/>
    <w:rsid w:val="00D02452"/>
    <w:rsid w:val="00D03D68"/>
    <w:rsid w:val="00D04842"/>
    <w:rsid w:val="00D06300"/>
    <w:rsid w:val="00D12820"/>
    <w:rsid w:val="00D17985"/>
    <w:rsid w:val="00D20D48"/>
    <w:rsid w:val="00D21C1F"/>
    <w:rsid w:val="00D22E02"/>
    <w:rsid w:val="00D25DAB"/>
    <w:rsid w:val="00D3001E"/>
    <w:rsid w:val="00D32928"/>
    <w:rsid w:val="00D353F7"/>
    <w:rsid w:val="00D435FC"/>
    <w:rsid w:val="00D441AD"/>
    <w:rsid w:val="00D44871"/>
    <w:rsid w:val="00D4690E"/>
    <w:rsid w:val="00D51AFF"/>
    <w:rsid w:val="00D530FE"/>
    <w:rsid w:val="00D55A18"/>
    <w:rsid w:val="00D613E1"/>
    <w:rsid w:val="00D62411"/>
    <w:rsid w:val="00D7397D"/>
    <w:rsid w:val="00D751F9"/>
    <w:rsid w:val="00D8162C"/>
    <w:rsid w:val="00D8773E"/>
    <w:rsid w:val="00D878C5"/>
    <w:rsid w:val="00D90E0D"/>
    <w:rsid w:val="00DA364B"/>
    <w:rsid w:val="00DA4E49"/>
    <w:rsid w:val="00DB538B"/>
    <w:rsid w:val="00DB68D5"/>
    <w:rsid w:val="00DC118B"/>
    <w:rsid w:val="00DC13E7"/>
    <w:rsid w:val="00DC5538"/>
    <w:rsid w:val="00DC66E6"/>
    <w:rsid w:val="00DD7A6A"/>
    <w:rsid w:val="00DF32E6"/>
    <w:rsid w:val="00DF5EB3"/>
    <w:rsid w:val="00E01621"/>
    <w:rsid w:val="00E078AF"/>
    <w:rsid w:val="00E10E38"/>
    <w:rsid w:val="00E11281"/>
    <w:rsid w:val="00E12340"/>
    <w:rsid w:val="00E168F2"/>
    <w:rsid w:val="00E35CD2"/>
    <w:rsid w:val="00E53936"/>
    <w:rsid w:val="00E548C7"/>
    <w:rsid w:val="00E573FC"/>
    <w:rsid w:val="00E6791B"/>
    <w:rsid w:val="00E70F36"/>
    <w:rsid w:val="00E73E51"/>
    <w:rsid w:val="00E75C0E"/>
    <w:rsid w:val="00E76B74"/>
    <w:rsid w:val="00E80C4F"/>
    <w:rsid w:val="00E85286"/>
    <w:rsid w:val="00E854F0"/>
    <w:rsid w:val="00E85644"/>
    <w:rsid w:val="00E9229F"/>
    <w:rsid w:val="00E93783"/>
    <w:rsid w:val="00E93F50"/>
    <w:rsid w:val="00E957E8"/>
    <w:rsid w:val="00EA38BB"/>
    <w:rsid w:val="00EC208D"/>
    <w:rsid w:val="00EC615A"/>
    <w:rsid w:val="00EE35B2"/>
    <w:rsid w:val="00EF3A3C"/>
    <w:rsid w:val="00F00A38"/>
    <w:rsid w:val="00F029B2"/>
    <w:rsid w:val="00F11D45"/>
    <w:rsid w:val="00F12526"/>
    <w:rsid w:val="00F142E0"/>
    <w:rsid w:val="00F21DB7"/>
    <w:rsid w:val="00F22776"/>
    <w:rsid w:val="00F272CB"/>
    <w:rsid w:val="00F309C3"/>
    <w:rsid w:val="00F33DF3"/>
    <w:rsid w:val="00F560D5"/>
    <w:rsid w:val="00F629D1"/>
    <w:rsid w:val="00F70D71"/>
    <w:rsid w:val="00F71E05"/>
    <w:rsid w:val="00F723B9"/>
    <w:rsid w:val="00F75D5B"/>
    <w:rsid w:val="00F764BA"/>
    <w:rsid w:val="00F7653E"/>
    <w:rsid w:val="00F76D73"/>
    <w:rsid w:val="00F7797D"/>
    <w:rsid w:val="00F847BA"/>
    <w:rsid w:val="00FB11D4"/>
    <w:rsid w:val="00FB3AF6"/>
    <w:rsid w:val="00FB73B8"/>
    <w:rsid w:val="00FC056E"/>
    <w:rsid w:val="00FC13A2"/>
    <w:rsid w:val="00FC1770"/>
    <w:rsid w:val="00FC2FAD"/>
    <w:rsid w:val="00FC3B30"/>
    <w:rsid w:val="00FD2CB2"/>
    <w:rsid w:val="00FD3991"/>
    <w:rsid w:val="00FD50DA"/>
    <w:rsid w:val="00FF2C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2F5DA1"/>
  <w15:chartTrackingRefBased/>
  <w15:docId w15:val="{22156374-A3E8-4D8F-A551-B5AAC1F45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474A"/>
  </w:style>
  <w:style w:type="paragraph" w:styleId="Heading1">
    <w:name w:val="heading 1"/>
    <w:basedOn w:val="NormalWeb"/>
    <w:next w:val="Normal"/>
    <w:link w:val="Heading1Char"/>
    <w:uiPriority w:val="9"/>
    <w:qFormat/>
    <w:rsid w:val="008C2612"/>
    <w:pPr>
      <w:spacing w:before="0" w:beforeAutospacing="0" w:after="0" w:afterAutospacing="0" w:line="360" w:lineRule="auto"/>
      <w:outlineLvl w:val="0"/>
    </w:pPr>
    <w:rPr>
      <w:b/>
      <w:bCs/>
      <w:sz w:val="28"/>
      <w:szCs w:val="28"/>
    </w:rPr>
  </w:style>
  <w:style w:type="paragraph" w:styleId="Heading2">
    <w:name w:val="heading 2"/>
    <w:basedOn w:val="Normal"/>
    <w:next w:val="Normal"/>
    <w:link w:val="Heading2Char"/>
    <w:uiPriority w:val="9"/>
    <w:unhideWhenUsed/>
    <w:qFormat/>
    <w:rsid w:val="008C2612"/>
    <w:pPr>
      <w:spacing w:line="360" w:lineRule="auto"/>
      <w:jc w:val="both"/>
      <w:outlineLvl w:val="1"/>
    </w:pPr>
    <w:rPr>
      <w:rFonts w:ascii="Times New Roman" w:hAnsi="Times New Roman" w:cs="Times New Roman"/>
      <w:b/>
      <w:bCs/>
      <w:i/>
      <w:iCs/>
    </w:rPr>
  </w:style>
  <w:style w:type="paragraph" w:styleId="Heading3">
    <w:name w:val="heading 3"/>
    <w:basedOn w:val="Normal"/>
    <w:next w:val="Normal"/>
    <w:link w:val="Heading3Char"/>
    <w:uiPriority w:val="9"/>
    <w:semiHidden/>
    <w:unhideWhenUsed/>
    <w:qFormat/>
    <w:rsid w:val="003047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47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47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474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474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474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474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ptertitle">
    <w:name w:val="Chapter title"/>
    <w:basedOn w:val="DefaultParagraphFont"/>
    <w:qFormat/>
    <w:rsid w:val="0030474A"/>
    <w:rPr>
      <w:rFonts w:ascii="Arial" w:hAnsi="Arial"/>
      <w:b/>
      <w:sz w:val="28"/>
      <w:szCs w:val="28"/>
    </w:rPr>
  </w:style>
  <w:style w:type="paragraph" w:customStyle="1" w:styleId="SectionHeading">
    <w:name w:val="Section Heading"/>
    <w:basedOn w:val="ListParagraph"/>
    <w:qFormat/>
    <w:rsid w:val="0030474A"/>
    <w:pPr>
      <w:numPr>
        <w:ilvl w:val="1"/>
        <w:numId w:val="2"/>
      </w:numPr>
      <w:spacing w:line="360" w:lineRule="auto"/>
      <w:jc w:val="both"/>
    </w:pPr>
    <w:rPr>
      <w:rFonts w:ascii="Arial" w:hAnsi="Arial" w:cs="Arial"/>
      <w:b/>
      <w:bCs/>
      <w:u w:val="single"/>
    </w:rPr>
  </w:style>
  <w:style w:type="paragraph" w:styleId="ListParagraph">
    <w:name w:val="List Paragraph"/>
    <w:basedOn w:val="Normal"/>
    <w:uiPriority w:val="34"/>
    <w:qFormat/>
    <w:rsid w:val="0030474A"/>
    <w:pPr>
      <w:ind w:left="720"/>
      <w:contextualSpacing/>
    </w:pPr>
  </w:style>
  <w:style w:type="paragraph" w:customStyle="1" w:styleId="SubsectionHeading">
    <w:name w:val="Subsection Heading"/>
    <w:basedOn w:val="Heading2"/>
    <w:qFormat/>
    <w:rsid w:val="0030474A"/>
    <w:pPr>
      <w:spacing w:line="276" w:lineRule="auto"/>
    </w:pPr>
    <w:rPr>
      <w:rFonts w:ascii="Arial" w:hAnsi="Arial" w:cs="Arial"/>
      <w:b w:val="0"/>
      <w:bCs w:val="0"/>
      <w:i w:val="0"/>
      <w:iCs w:val="0"/>
      <w:color w:val="000000" w:themeColor="text1"/>
      <w:kern w:val="0"/>
      <w:lang w:eastAsia="en-GB"/>
      <w14:ligatures w14:val="none"/>
    </w:rPr>
  </w:style>
  <w:style w:type="character" w:customStyle="1" w:styleId="Heading2Char">
    <w:name w:val="Heading 2 Char"/>
    <w:basedOn w:val="DefaultParagraphFont"/>
    <w:link w:val="Heading2"/>
    <w:uiPriority w:val="9"/>
    <w:rsid w:val="008C2612"/>
    <w:rPr>
      <w:rFonts w:ascii="Times New Roman" w:hAnsi="Times New Roman" w:cs="Times New Roman"/>
      <w:b/>
      <w:bCs/>
      <w:i/>
      <w:iCs/>
    </w:rPr>
  </w:style>
  <w:style w:type="character" w:customStyle="1" w:styleId="Heading1Char">
    <w:name w:val="Heading 1 Char"/>
    <w:basedOn w:val="DefaultParagraphFont"/>
    <w:link w:val="Heading1"/>
    <w:uiPriority w:val="9"/>
    <w:rsid w:val="008C2612"/>
    <w:rPr>
      <w:rFonts w:ascii="Times New Roman" w:eastAsia="Times New Roman" w:hAnsi="Times New Roman" w:cs="Times New Roman"/>
      <w:b/>
      <w:bCs/>
      <w:kern w:val="0"/>
      <w:sz w:val="28"/>
      <w:szCs w:val="28"/>
      <w:lang w:eastAsia="en-GB"/>
      <w14:ligatures w14:val="none"/>
    </w:rPr>
  </w:style>
  <w:style w:type="character" w:customStyle="1" w:styleId="Heading3Char">
    <w:name w:val="Heading 3 Char"/>
    <w:basedOn w:val="DefaultParagraphFont"/>
    <w:link w:val="Heading3"/>
    <w:uiPriority w:val="9"/>
    <w:semiHidden/>
    <w:rsid w:val="003047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47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47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47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47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47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474A"/>
    <w:rPr>
      <w:rFonts w:eastAsiaTheme="majorEastAsia" w:cstheme="majorBidi"/>
      <w:color w:val="272727" w:themeColor="text1" w:themeTint="D8"/>
    </w:rPr>
  </w:style>
  <w:style w:type="paragraph" w:styleId="Title">
    <w:name w:val="Title"/>
    <w:basedOn w:val="Normal"/>
    <w:next w:val="Normal"/>
    <w:link w:val="TitleChar"/>
    <w:uiPriority w:val="10"/>
    <w:qFormat/>
    <w:rsid w:val="0030474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47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474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474A"/>
    <w:rPr>
      <w:rFonts w:eastAsiaTheme="majorEastAsia" w:cstheme="majorBidi"/>
      <w:color w:val="595959" w:themeColor="text1" w:themeTint="A6"/>
      <w:spacing w:val="15"/>
      <w:sz w:val="28"/>
      <w:szCs w:val="28"/>
    </w:rPr>
  </w:style>
  <w:style w:type="character" w:styleId="Strong">
    <w:name w:val="Strong"/>
    <w:basedOn w:val="DefaultParagraphFont"/>
    <w:uiPriority w:val="22"/>
    <w:qFormat/>
    <w:rsid w:val="0030474A"/>
    <w:rPr>
      <w:b/>
      <w:bCs/>
    </w:rPr>
  </w:style>
  <w:style w:type="character" w:styleId="Emphasis">
    <w:name w:val="Emphasis"/>
    <w:basedOn w:val="DefaultParagraphFont"/>
    <w:uiPriority w:val="20"/>
    <w:qFormat/>
    <w:rsid w:val="0030474A"/>
    <w:rPr>
      <w:i/>
      <w:iCs/>
    </w:rPr>
  </w:style>
  <w:style w:type="paragraph" w:styleId="Quote">
    <w:name w:val="Quote"/>
    <w:basedOn w:val="Normal"/>
    <w:next w:val="Normal"/>
    <w:link w:val="QuoteChar"/>
    <w:uiPriority w:val="29"/>
    <w:qFormat/>
    <w:rsid w:val="0030474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0474A"/>
    <w:rPr>
      <w:i/>
      <w:iCs/>
      <w:color w:val="404040" w:themeColor="text1" w:themeTint="BF"/>
    </w:rPr>
  </w:style>
  <w:style w:type="paragraph" w:styleId="IntenseQuote">
    <w:name w:val="Intense Quote"/>
    <w:basedOn w:val="Normal"/>
    <w:next w:val="Normal"/>
    <w:link w:val="IntenseQuoteChar"/>
    <w:uiPriority w:val="30"/>
    <w:qFormat/>
    <w:rsid w:val="003047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474A"/>
    <w:rPr>
      <w:i/>
      <w:iCs/>
      <w:color w:val="0F4761" w:themeColor="accent1" w:themeShade="BF"/>
    </w:rPr>
  </w:style>
  <w:style w:type="character" w:styleId="IntenseEmphasis">
    <w:name w:val="Intense Emphasis"/>
    <w:basedOn w:val="DefaultParagraphFont"/>
    <w:uiPriority w:val="21"/>
    <w:qFormat/>
    <w:rsid w:val="0030474A"/>
    <w:rPr>
      <w:i/>
      <w:iCs/>
      <w:color w:val="0F4761" w:themeColor="accent1" w:themeShade="BF"/>
    </w:rPr>
  </w:style>
  <w:style w:type="character" w:styleId="IntenseReference">
    <w:name w:val="Intense Reference"/>
    <w:basedOn w:val="DefaultParagraphFont"/>
    <w:uiPriority w:val="32"/>
    <w:qFormat/>
    <w:rsid w:val="0030474A"/>
    <w:rPr>
      <w:b/>
      <w:bCs/>
      <w:smallCaps/>
      <w:color w:val="0F4761" w:themeColor="accent1" w:themeShade="BF"/>
      <w:spacing w:val="5"/>
    </w:rPr>
  </w:style>
  <w:style w:type="paragraph" w:styleId="TOCHeading">
    <w:name w:val="TOC Heading"/>
    <w:basedOn w:val="Heading1"/>
    <w:next w:val="Normal"/>
    <w:uiPriority w:val="39"/>
    <w:unhideWhenUsed/>
    <w:qFormat/>
    <w:rsid w:val="0030474A"/>
    <w:pPr>
      <w:spacing w:before="480" w:line="276" w:lineRule="auto"/>
      <w:outlineLvl w:val="9"/>
    </w:pPr>
    <w:rPr>
      <w:b w:val="0"/>
      <w:bCs w:val="0"/>
      <w:lang w:val="en-US"/>
    </w:rPr>
  </w:style>
  <w:style w:type="paragraph" w:customStyle="1" w:styleId="font-claude-response-body">
    <w:name w:val="font-claude-response-body"/>
    <w:basedOn w:val="Normal"/>
    <w:rsid w:val="002D24D5"/>
    <w:pPr>
      <w:spacing w:before="100" w:beforeAutospacing="1" w:after="100" w:afterAutospacing="1"/>
    </w:pPr>
    <w:rPr>
      <w:rFonts w:ascii="Times New Roman" w:eastAsia="Times New Roman" w:hAnsi="Times New Roman" w:cs="Times New Roman"/>
      <w:kern w:val="0"/>
      <w:lang w:eastAsia="en-GB"/>
      <w14:ligatures w14:val="none"/>
    </w:rPr>
  </w:style>
  <w:style w:type="character" w:styleId="FootnoteReference">
    <w:name w:val="footnote reference"/>
    <w:basedOn w:val="DefaultParagraphFont"/>
    <w:uiPriority w:val="99"/>
    <w:semiHidden/>
    <w:unhideWhenUsed/>
    <w:rsid w:val="002D24D5"/>
    <w:rPr>
      <w:vertAlign w:val="superscript"/>
    </w:rPr>
  </w:style>
  <w:style w:type="paragraph" w:styleId="NormalWeb">
    <w:name w:val="Normal (Web)"/>
    <w:basedOn w:val="Normal"/>
    <w:link w:val="NormalWebChar"/>
    <w:uiPriority w:val="99"/>
    <w:unhideWhenUsed/>
    <w:rsid w:val="002D24D5"/>
    <w:pPr>
      <w:spacing w:before="100" w:beforeAutospacing="1" w:after="100" w:afterAutospacing="1"/>
    </w:pPr>
    <w:rPr>
      <w:rFonts w:ascii="Times New Roman" w:eastAsia="Times New Roman" w:hAnsi="Times New Roman" w:cs="Times New Roman"/>
      <w:kern w:val="0"/>
      <w:lang w:eastAsia="en-GB"/>
      <w14:ligatures w14:val="none"/>
    </w:rPr>
  </w:style>
  <w:style w:type="paragraph" w:styleId="FootnoteText">
    <w:name w:val="footnote text"/>
    <w:basedOn w:val="Normal"/>
    <w:link w:val="FootnoteTextChar"/>
    <w:uiPriority w:val="99"/>
    <w:unhideWhenUsed/>
    <w:rsid w:val="002D24D5"/>
    <w:rPr>
      <w:sz w:val="20"/>
      <w:szCs w:val="20"/>
    </w:rPr>
  </w:style>
  <w:style w:type="character" w:customStyle="1" w:styleId="FootnoteTextChar">
    <w:name w:val="Footnote Text Char"/>
    <w:basedOn w:val="DefaultParagraphFont"/>
    <w:link w:val="FootnoteText"/>
    <w:uiPriority w:val="99"/>
    <w:rsid w:val="002D24D5"/>
    <w:rPr>
      <w:sz w:val="20"/>
      <w:szCs w:val="20"/>
    </w:rPr>
  </w:style>
  <w:style w:type="character" w:styleId="Hyperlink">
    <w:name w:val="Hyperlink"/>
    <w:basedOn w:val="DefaultParagraphFont"/>
    <w:uiPriority w:val="99"/>
    <w:unhideWhenUsed/>
    <w:rsid w:val="00A70C07"/>
    <w:rPr>
      <w:color w:val="467886" w:themeColor="hyperlink"/>
      <w:u w:val="single"/>
    </w:rPr>
  </w:style>
  <w:style w:type="character" w:customStyle="1" w:styleId="whitespace-normal">
    <w:name w:val="whitespace-normal"/>
    <w:basedOn w:val="DefaultParagraphFont"/>
    <w:rsid w:val="00A70C07"/>
  </w:style>
  <w:style w:type="character" w:styleId="UnresolvedMention">
    <w:name w:val="Unresolved Mention"/>
    <w:basedOn w:val="DefaultParagraphFont"/>
    <w:uiPriority w:val="99"/>
    <w:semiHidden/>
    <w:unhideWhenUsed/>
    <w:rsid w:val="00CB02BE"/>
    <w:rPr>
      <w:color w:val="605E5C"/>
      <w:shd w:val="clear" w:color="auto" w:fill="E1DFDD"/>
    </w:rPr>
  </w:style>
  <w:style w:type="paragraph" w:styleId="Revision">
    <w:name w:val="Revision"/>
    <w:hidden/>
    <w:uiPriority w:val="99"/>
    <w:semiHidden/>
    <w:rsid w:val="00BA006B"/>
  </w:style>
  <w:style w:type="paragraph" w:styleId="Footer">
    <w:name w:val="footer"/>
    <w:basedOn w:val="Normal"/>
    <w:link w:val="FooterChar"/>
    <w:uiPriority w:val="99"/>
    <w:unhideWhenUsed/>
    <w:rsid w:val="00A26F8F"/>
    <w:pPr>
      <w:tabs>
        <w:tab w:val="center" w:pos="4513"/>
        <w:tab w:val="right" w:pos="9026"/>
      </w:tabs>
    </w:pPr>
  </w:style>
  <w:style w:type="character" w:customStyle="1" w:styleId="FooterChar">
    <w:name w:val="Footer Char"/>
    <w:basedOn w:val="DefaultParagraphFont"/>
    <w:link w:val="Footer"/>
    <w:uiPriority w:val="99"/>
    <w:rsid w:val="00A26F8F"/>
  </w:style>
  <w:style w:type="character" w:styleId="PageNumber">
    <w:name w:val="page number"/>
    <w:basedOn w:val="DefaultParagraphFont"/>
    <w:uiPriority w:val="99"/>
    <w:semiHidden/>
    <w:unhideWhenUsed/>
    <w:rsid w:val="00A26F8F"/>
  </w:style>
  <w:style w:type="paragraph" w:customStyle="1" w:styleId="EndNoteBibliographyTitle">
    <w:name w:val="EndNote Bibliography Title"/>
    <w:basedOn w:val="Normal"/>
    <w:link w:val="EndNoteBibliographyTitleChar"/>
    <w:rsid w:val="00E12340"/>
    <w:pPr>
      <w:jc w:val="center"/>
    </w:pPr>
    <w:rPr>
      <w:rFonts w:ascii="Times New Roman" w:hAnsi="Times New Roman" w:cs="Times New Roman"/>
      <w:lang w:val="en-US"/>
    </w:rPr>
  </w:style>
  <w:style w:type="character" w:customStyle="1" w:styleId="NormalWebChar">
    <w:name w:val="Normal (Web) Char"/>
    <w:basedOn w:val="DefaultParagraphFont"/>
    <w:link w:val="NormalWeb"/>
    <w:uiPriority w:val="99"/>
    <w:rsid w:val="00E12340"/>
    <w:rPr>
      <w:rFonts w:ascii="Times New Roman" w:eastAsia="Times New Roman" w:hAnsi="Times New Roman" w:cs="Times New Roman"/>
      <w:kern w:val="0"/>
      <w:lang w:eastAsia="en-GB"/>
      <w14:ligatures w14:val="none"/>
    </w:rPr>
  </w:style>
  <w:style w:type="character" w:customStyle="1" w:styleId="EndNoteBibliographyTitleChar">
    <w:name w:val="EndNote Bibliography Title Char"/>
    <w:basedOn w:val="NormalWebChar"/>
    <w:link w:val="EndNoteBibliographyTitle"/>
    <w:rsid w:val="00E12340"/>
    <w:rPr>
      <w:rFonts w:ascii="Times New Roman" w:eastAsia="Times New Roman" w:hAnsi="Times New Roman" w:cs="Times New Roman"/>
      <w:kern w:val="0"/>
      <w:lang w:val="en-US" w:eastAsia="en-GB"/>
      <w14:ligatures w14:val="none"/>
    </w:rPr>
  </w:style>
  <w:style w:type="paragraph" w:customStyle="1" w:styleId="EndNoteBibliography">
    <w:name w:val="EndNote Bibliography"/>
    <w:basedOn w:val="Normal"/>
    <w:link w:val="EndNoteBibliographyChar"/>
    <w:rsid w:val="00E12340"/>
    <w:pPr>
      <w:jc w:val="both"/>
    </w:pPr>
    <w:rPr>
      <w:rFonts w:ascii="Times New Roman" w:hAnsi="Times New Roman" w:cs="Times New Roman"/>
      <w:lang w:val="en-US"/>
    </w:rPr>
  </w:style>
  <w:style w:type="character" w:customStyle="1" w:styleId="EndNoteBibliographyChar">
    <w:name w:val="EndNote Bibliography Char"/>
    <w:basedOn w:val="NormalWebChar"/>
    <w:link w:val="EndNoteBibliography"/>
    <w:rsid w:val="00E12340"/>
    <w:rPr>
      <w:rFonts w:ascii="Times New Roman" w:eastAsia="Times New Roman" w:hAnsi="Times New Roman" w:cs="Times New Roman"/>
      <w:kern w:val="0"/>
      <w:lang w:val="en-US" w:eastAsia="en-GB"/>
      <w14:ligatures w14:val="none"/>
    </w:rPr>
  </w:style>
  <w:style w:type="character" w:customStyle="1" w:styleId="smallcaps">
    <w:name w:val="smallcaps"/>
    <w:basedOn w:val="DefaultParagraphFont"/>
    <w:rsid w:val="00A34E28"/>
  </w:style>
  <w:style w:type="paragraph" w:customStyle="1" w:styleId="pdq2pgselectionanchorcontainer">
    <w:name w:val="pdq2pg_selectionanchorcontainer"/>
    <w:basedOn w:val="Normal"/>
    <w:rsid w:val="006C5767"/>
    <w:pPr>
      <w:spacing w:before="100" w:beforeAutospacing="1" w:after="100" w:afterAutospacing="1"/>
    </w:pPr>
    <w:rPr>
      <w:rFonts w:ascii="Times New Roman" w:eastAsia="Times New Roman" w:hAnsi="Times New Roman" w:cs="Times New Roman"/>
      <w:kern w:val="0"/>
      <w:lang w:eastAsia="en-GB"/>
      <w14:ligatures w14:val="none"/>
    </w:rPr>
  </w:style>
  <w:style w:type="character" w:styleId="CommentReference">
    <w:name w:val="annotation reference"/>
    <w:basedOn w:val="DefaultParagraphFont"/>
    <w:uiPriority w:val="99"/>
    <w:semiHidden/>
    <w:unhideWhenUsed/>
    <w:rsid w:val="00BA63FC"/>
    <w:rPr>
      <w:sz w:val="16"/>
      <w:szCs w:val="16"/>
    </w:rPr>
  </w:style>
  <w:style w:type="paragraph" w:styleId="CommentText">
    <w:name w:val="annotation text"/>
    <w:basedOn w:val="Normal"/>
    <w:link w:val="CommentTextChar"/>
    <w:uiPriority w:val="99"/>
    <w:unhideWhenUsed/>
    <w:rsid w:val="00BA63FC"/>
    <w:rPr>
      <w:sz w:val="20"/>
      <w:szCs w:val="20"/>
    </w:rPr>
  </w:style>
  <w:style w:type="character" w:customStyle="1" w:styleId="CommentTextChar">
    <w:name w:val="Comment Text Char"/>
    <w:basedOn w:val="DefaultParagraphFont"/>
    <w:link w:val="CommentText"/>
    <w:uiPriority w:val="99"/>
    <w:rsid w:val="00BA63FC"/>
    <w:rPr>
      <w:sz w:val="20"/>
      <w:szCs w:val="20"/>
    </w:rPr>
  </w:style>
  <w:style w:type="paragraph" w:styleId="CommentSubject">
    <w:name w:val="annotation subject"/>
    <w:basedOn w:val="CommentText"/>
    <w:next w:val="CommentText"/>
    <w:link w:val="CommentSubjectChar"/>
    <w:uiPriority w:val="99"/>
    <w:semiHidden/>
    <w:unhideWhenUsed/>
    <w:rsid w:val="00BA63FC"/>
    <w:rPr>
      <w:b/>
      <w:bCs/>
    </w:rPr>
  </w:style>
  <w:style w:type="character" w:customStyle="1" w:styleId="CommentSubjectChar">
    <w:name w:val="Comment Subject Char"/>
    <w:basedOn w:val="CommentTextChar"/>
    <w:link w:val="CommentSubject"/>
    <w:uiPriority w:val="99"/>
    <w:semiHidden/>
    <w:rsid w:val="00BA63FC"/>
    <w:rPr>
      <w:b/>
      <w:bCs/>
      <w:sz w:val="20"/>
      <w:szCs w:val="20"/>
    </w:rPr>
  </w:style>
  <w:style w:type="character" w:customStyle="1" w:styleId="a-size-large">
    <w:name w:val="a-size-large"/>
    <w:basedOn w:val="DefaultParagraphFont"/>
    <w:rsid w:val="007B6C8A"/>
  </w:style>
  <w:style w:type="character" w:styleId="LineNumber">
    <w:name w:val="line number"/>
    <w:basedOn w:val="DefaultParagraphFont"/>
    <w:uiPriority w:val="99"/>
    <w:semiHidden/>
    <w:unhideWhenUsed/>
    <w:rsid w:val="006F1789"/>
  </w:style>
  <w:style w:type="character" w:customStyle="1" w:styleId="personname">
    <w:name w:val="person_name"/>
    <w:basedOn w:val="DefaultParagraphFont"/>
    <w:rsid w:val="00AC61E2"/>
  </w:style>
  <w:style w:type="paragraph" w:styleId="Header">
    <w:name w:val="header"/>
    <w:basedOn w:val="Normal"/>
    <w:link w:val="HeaderChar"/>
    <w:uiPriority w:val="99"/>
    <w:unhideWhenUsed/>
    <w:rsid w:val="00592A8F"/>
    <w:pPr>
      <w:tabs>
        <w:tab w:val="center" w:pos="4513"/>
        <w:tab w:val="right" w:pos="9026"/>
      </w:tabs>
    </w:pPr>
  </w:style>
  <w:style w:type="character" w:customStyle="1" w:styleId="HeaderChar">
    <w:name w:val="Header Char"/>
    <w:basedOn w:val="DefaultParagraphFont"/>
    <w:link w:val="Header"/>
    <w:uiPriority w:val="99"/>
    <w:rsid w:val="00592A8F"/>
  </w:style>
  <w:style w:type="character" w:styleId="FollowedHyperlink">
    <w:name w:val="FollowedHyperlink"/>
    <w:basedOn w:val="DefaultParagraphFont"/>
    <w:uiPriority w:val="99"/>
    <w:semiHidden/>
    <w:unhideWhenUsed/>
    <w:rsid w:val="0052658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digitallibrary.un.org/record/633440?v=pdf" TargetMode="External"/><Relationship Id="rId13" Type="http://schemas.openxmlformats.org/officeDocument/2006/relationships/hyperlink" Target="https://www.theguardian.com/global-development/2014/mar/14/peru-women-forced-sterilisation-justice" TargetMode="External"/><Relationship Id="rId3" Type="http://schemas.openxmlformats.org/officeDocument/2006/relationships/hyperlink" Target="https://blogs.lse.ac.uk/latamcaribbean/2022/04/07/the-social-movement-that-shifted-the-debate-on-abortion/" TargetMode="External"/><Relationship Id="rId7" Type="http://schemas.openxmlformats.org/officeDocument/2006/relationships/hyperlink" Target="https://eur-lex.europa.eu/legal-content/EN/TXT/HTML/?uri=CELEX:61990CJ0159" TargetMode="External"/><Relationship Id="rId12" Type="http://schemas.openxmlformats.org/officeDocument/2006/relationships/hyperlink" Target="https://www.gob.pe/institucion/minsa/noticias/45001-ministerio-de-salud-presento-informe-final-sobre-esterilizaciones-forzadas" TargetMode="External"/><Relationship Id="rId2" Type="http://schemas.openxmlformats.org/officeDocument/2006/relationships/hyperlink" Target="https://verfassungsblog.de/a-tragic-constitutional-court-judgment-on-abortion/" TargetMode="External"/><Relationship Id="rId16" Type="http://schemas.openxmlformats.org/officeDocument/2006/relationships/hyperlink" Target="https://cladem.org/biblioteca/justicia-pendiente---esterilizaciones-forzadas-en-peru" TargetMode="External"/><Relationship Id="rId1" Type="http://schemas.openxmlformats.org/officeDocument/2006/relationships/hyperlink" Target="mailto:sara.vincenzotti@newcastle.ac.uk" TargetMode="External"/><Relationship Id="rId6" Type="http://schemas.openxmlformats.org/officeDocument/2006/relationships/hyperlink" Target="https://www.theguardian.com/lifeandstyle/2014/dec/12/symphysiotomy-irelands-brutal-alternative-to-caesareans" TargetMode="External"/><Relationship Id="rId11" Type="http://schemas.openxmlformats.org/officeDocument/2006/relationships/hyperlink" Target="https://www.un.org/en/development/desa/population/migration/generalassembly/docs/globalcompact/A_RES_60_1.pdf" TargetMode="External"/><Relationship Id="rId5" Type="http://schemas.openxmlformats.org/officeDocument/2006/relationships/hyperlink" Target="https://www.un.org/en/events/pastevents/pdfs/Beijing_Declaration_and_Platform_for_Action.pdf" TargetMode="External"/><Relationship Id="rId15" Type="http://schemas.openxmlformats.org/officeDocument/2006/relationships/hyperlink" Target="https://www.fidh.org/IMG/pdf/Peru_Alternative_Report_CEDAW.pdf" TargetMode="External"/><Relationship Id="rId10" Type="http://schemas.openxmlformats.org/officeDocument/2006/relationships/hyperlink" Target="https://www.theguardian.com/world/2018/may/26/ireland-votes-by-landslide-to-legalise-abortion" TargetMode="External"/><Relationship Id="rId4" Type="http://schemas.openxmlformats.org/officeDocument/2006/relationships/hyperlink" Target="https://www.unfpa.org/sites/default/files/resource-pdf/94-09-04_Cairo_Declaration_on_Population_Development_ICPPD.pdf" TargetMode="External"/><Relationship Id="rId9" Type="http://schemas.openxmlformats.org/officeDocument/2006/relationships/hyperlink" Target="https://ptfs-oireachtas.s3.amazonaws.com/DriveH/AWData/Library3/CAdoclaid290617A_110031.pdf" TargetMode="External"/><Relationship Id="rId14" Type="http://schemas.openxmlformats.org/officeDocument/2006/relationships/hyperlink" Target="https://1996pnsrpf2000.files.wordpress.com/2011/07/cladem_nada-persona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9BCBDB-C341-41F4-AC03-1DC8A48DFB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29</Pages>
  <Words>9194</Words>
  <Characters>52411</Characters>
  <Application>Microsoft Office Word</Application>
  <DocSecurity>0</DocSecurity>
  <Lines>436</Lines>
  <Paragraphs>122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61483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Rosemary Hunter</dc:creator>
  <cp:keywords/>
  <dc:description/>
  <cp:lastModifiedBy>Rosemary Hunter</cp:lastModifiedBy>
  <cp:revision>106</cp:revision>
  <dcterms:created xsi:type="dcterms:W3CDTF">2026-10-06T08:21:00Z</dcterms:created>
  <dcterms:modified xsi:type="dcterms:W3CDTF">2026-10-16T08:08:00Z</dcterms:modified>
  <cp:category/>
</cp:coreProperties>
</file>