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14" w:rsidRPr="003E49CE" w:rsidRDefault="00EE12DB">
      <w:pPr>
        <w:rPr>
          <w:b/>
          <w:sz w:val="28"/>
          <w:szCs w:val="28"/>
        </w:rPr>
      </w:pPr>
      <w:r>
        <w:rPr>
          <w:b/>
          <w:sz w:val="28"/>
          <w:szCs w:val="28"/>
        </w:rPr>
        <w:t xml:space="preserve">Book Review: </w:t>
      </w:r>
      <w:r w:rsidRPr="003E49CE">
        <w:rPr>
          <w:b/>
          <w:sz w:val="28"/>
          <w:szCs w:val="28"/>
        </w:rPr>
        <w:t>Sandeep Bakshi, Suhraiya Jivraj and Silvia Posocco</w:t>
      </w:r>
      <w:r>
        <w:rPr>
          <w:b/>
          <w:sz w:val="28"/>
          <w:szCs w:val="28"/>
        </w:rPr>
        <w:t xml:space="preserve"> </w:t>
      </w:r>
      <w:r w:rsidRPr="003E49CE">
        <w:rPr>
          <w:b/>
          <w:sz w:val="28"/>
          <w:szCs w:val="28"/>
        </w:rPr>
        <w:t xml:space="preserve">(eds.), </w:t>
      </w:r>
      <w:r w:rsidR="00320A14" w:rsidRPr="003E49CE">
        <w:rPr>
          <w:b/>
          <w:i/>
          <w:sz w:val="28"/>
          <w:szCs w:val="28"/>
        </w:rPr>
        <w:t>Decolonizing Sexualities: Transnational Persp</w:t>
      </w:r>
      <w:r w:rsidR="00D80B76" w:rsidRPr="003E49CE">
        <w:rPr>
          <w:b/>
          <w:i/>
          <w:sz w:val="28"/>
          <w:szCs w:val="28"/>
        </w:rPr>
        <w:t>ectives: Critical Interventions</w:t>
      </w:r>
      <w:r w:rsidR="00320A14" w:rsidRPr="003E49CE">
        <w:rPr>
          <w:b/>
          <w:sz w:val="28"/>
          <w:szCs w:val="28"/>
        </w:rPr>
        <w:t xml:space="preserve"> </w:t>
      </w:r>
      <w:r>
        <w:rPr>
          <w:b/>
          <w:sz w:val="28"/>
          <w:szCs w:val="28"/>
        </w:rPr>
        <w:t>(</w:t>
      </w:r>
      <w:r w:rsidR="00E11C57" w:rsidRPr="003E49CE">
        <w:rPr>
          <w:b/>
          <w:sz w:val="28"/>
          <w:szCs w:val="28"/>
        </w:rPr>
        <w:t>Counterpress, Oxford 2016</w:t>
      </w:r>
      <w:r>
        <w:rPr>
          <w:b/>
          <w:sz w:val="28"/>
          <w:szCs w:val="28"/>
        </w:rPr>
        <w:t>)</w:t>
      </w:r>
      <w:r w:rsidR="003E49CE">
        <w:rPr>
          <w:b/>
          <w:sz w:val="28"/>
          <w:szCs w:val="28"/>
        </w:rPr>
        <w:t xml:space="preserve"> </w:t>
      </w:r>
      <w:r w:rsidR="00D80B76" w:rsidRPr="00EE12DB">
        <w:rPr>
          <w:b/>
          <w:sz w:val="28"/>
          <w:szCs w:val="28"/>
        </w:rPr>
        <w:t>ISBN</w:t>
      </w:r>
      <w:r>
        <w:rPr>
          <w:b/>
          <w:sz w:val="28"/>
          <w:szCs w:val="28"/>
        </w:rPr>
        <w:t>:</w:t>
      </w:r>
      <w:r w:rsidR="00D80B76" w:rsidRPr="00EE12DB">
        <w:rPr>
          <w:b/>
          <w:sz w:val="28"/>
          <w:szCs w:val="28"/>
        </w:rPr>
        <w:t xml:space="preserve"> 978-1-910761-02-1</w:t>
      </w:r>
    </w:p>
    <w:p w:rsidR="00106145" w:rsidRPr="00D80B76" w:rsidRDefault="00320A14">
      <w:pPr>
        <w:rPr>
          <w:b/>
        </w:rPr>
      </w:pPr>
      <w:r w:rsidRPr="00D80B76">
        <w:rPr>
          <w:b/>
        </w:rPr>
        <w:t>Siddharth Narrain</w:t>
      </w:r>
      <w:r w:rsidR="00D80B76" w:rsidRPr="00D80B76">
        <w:rPr>
          <w:rStyle w:val="FootnoteReference"/>
          <w:b/>
        </w:rPr>
        <w:footnoteReference w:customMarkFollows="1" w:id="1"/>
        <w:t>*</w:t>
      </w:r>
      <w:r w:rsidRPr="00D80B76">
        <w:rPr>
          <w:b/>
        </w:rPr>
        <w:t xml:space="preserve"> </w:t>
      </w:r>
    </w:p>
    <w:p w:rsidR="00502944" w:rsidRDefault="009F2FF7" w:rsidP="00F907F6">
      <w:pPr>
        <w:jc w:val="both"/>
      </w:pPr>
      <w:r w:rsidRPr="005E2165">
        <w:rPr>
          <w:i/>
        </w:rPr>
        <w:t>Decolonizing Sexualities</w:t>
      </w:r>
      <w:r>
        <w:t xml:space="preserve"> is </w:t>
      </w:r>
      <w:r w:rsidR="00116A38">
        <w:t xml:space="preserve">a thoughtful collection of essays </w:t>
      </w:r>
      <w:r w:rsidR="00DE0EE0">
        <w:t>that is presented in</w:t>
      </w:r>
      <w:r w:rsidR="00106145">
        <w:t xml:space="preserve"> multiple forms and narratives </w:t>
      </w:r>
      <w:r w:rsidR="00CC366C">
        <w:t>challenging deep</w:t>
      </w:r>
      <w:r w:rsidR="00116A38">
        <w:t>ly embedded hierarchies of form and location of “academic work”</w:t>
      </w:r>
      <w:r w:rsidR="00DE0EE0">
        <w:t xml:space="preserve">. Many of the contributions in </w:t>
      </w:r>
      <w:r w:rsidR="00CC366C">
        <w:t>this volume are part of a broader</w:t>
      </w:r>
      <w:r w:rsidR="00DE0EE0">
        <w:t xml:space="preserve"> conver</w:t>
      </w:r>
      <w:r w:rsidR="00CC366C">
        <w:t xml:space="preserve">sation taking in place in Western academia and </w:t>
      </w:r>
      <w:r w:rsidR="00DE0EE0">
        <w:t xml:space="preserve">among activists, writers and academics of colour. This specific location frames the central theme of the book – the emphasis of a decolonial perspective that embraces not just knowledge, but ways of thinking, methods, language, and articulation of sexuality. </w:t>
      </w:r>
    </w:p>
    <w:p w:rsidR="009D7186" w:rsidRDefault="00106145" w:rsidP="00F907F6">
      <w:pPr>
        <w:jc w:val="both"/>
      </w:pPr>
      <w:r>
        <w:t xml:space="preserve">One of the central themes in the book is </w:t>
      </w:r>
      <w:r w:rsidR="007853E7">
        <w:t>the changing nature of sexuality politics globally</w:t>
      </w:r>
      <w:r w:rsidR="005958E0">
        <w:t xml:space="preserve">, and the ways in which those engaged in this field are responding to these changes. This book flags </w:t>
      </w:r>
      <w:r w:rsidR="005A5568">
        <w:t>t</w:t>
      </w:r>
      <w:r w:rsidR="005958E0">
        <w:t xml:space="preserve">he ways in which transnational politics negotiate local, regional and global </w:t>
      </w:r>
      <w:r w:rsidR="00A035BD">
        <w:t xml:space="preserve">spaces. </w:t>
      </w:r>
      <w:r w:rsidR="009D7186">
        <w:t>For instance, i</w:t>
      </w:r>
      <w:r w:rsidR="002A4F4D">
        <w:t xml:space="preserve">n </w:t>
      </w:r>
      <w:r w:rsidR="00F51608">
        <w:t xml:space="preserve">the essay </w:t>
      </w:r>
      <w:r w:rsidR="001C3100">
        <w:t xml:space="preserve">by AlQaisiya, Hilal and Maikey, who are </w:t>
      </w:r>
      <w:r w:rsidR="00F51608">
        <w:t>a</w:t>
      </w:r>
      <w:r w:rsidR="00DD4763">
        <w:t>ctivists from alQaws, a civil so</w:t>
      </w:r>
      <w:r w:rsidR="00F51608">
        <w:t xml:space="preserve">ciety organization working on sexuality issues in Palestine, </w:t>
      </w:r>
      <w:r w:rsidR="002A4F4D">
        <w:t>the ethical and political debates that are flagged, are not only about international alliances and responses to boycotting official LGBT</w:t>
      </w:r>
      <w:r w:rsidR="006A6761">
        <w:t>QI</w:t>
      </w:r>
      <w:r w:rsidR="002A4F4D">
        <w:t xml:space="preserve"> events funded by the government of Israel, but also the complex relationship between Palestinian queer groups within different parts of Palestine – the West Bank, Ramallah and </w:t>
      </w:r>
      <w:r w:rsidR="00F51608">
        <w:t xml:space="preserve">the </w:t>
      </w:r>
      <w:r w:rsidR="002A4F4D">
        <w:t>Gaza</w:t>
      </w:r>
      <w:r w:rsidR="00F51608">
        <w:t xml:space="preserve"> Strip</w:t>
      </w:r>
      <w:r w:rsidR="002A4F4D">
        <w:t>.</w:t>
      </w:r>
      <w:r w:rsidR="009F71EA">
        <w:rPr>
          <w:rStyle w:val="FootnoteReference"/>
        </w:rPr>
        <w:footnoteReference w:id="2"/>
      </w:r>
      <w:r w:rsidR="002A4F4D">
        <w:t xml:space="preserve"> </w:t>
      </w:r>
    </w:p>
    <w:p w:rsidR="00841A31" w:rsidRDefault="005A5568" w:rsidP="00F907F6">
      <w:pPr>
        <w:jc w:val="both"/>
      </w:pPr>
      <w:r>
        <w:t>Central to this book, and its vision of transnational politics is interrogating intersectionality as a mode of political engagement. The authors in this book flag intersectionalit</w:t>
      </w:r>
      <w:r w:rsidR="00D0432F">
        <w:t>y</w:t>
      </w:r>
      <w:r w:rsidR="004247F6">
        <w:t>, not just of movements but o</w:t>
      </w:r>
      <w:r>
        <w:t>f ideas and discourses. Many of</w:t>
      </w:r>
      <w:r w:rsidR="00DF31B3">
        <w:t xml:space="preserve"> the contributors in the volume, drawing upon their own activist engagement, urge the reader to think about the polit</w:t>
      </w:r>
      <w:r w:rsidR="004247F6">
        <w:t>ics of intersectionality itself.</w:t>
      </w:r>
      <w:r w:rsidR="00DF31B3">
        <w:t xml:space="preserve"> </w:t>
      </w:r>
      <w:r w:rsidR="00F85608">
        <w:t>Sirm</w:t>
      </w:r>
      <w:r w:rsidR="003703E2">
        <w:t>a Bilge</w:t>
      </w:r>
      <w:r w:rsidR="002039C3">
        <w:t xml:space="preserve">’s </w:t>
      </w:r>
      <w:r w:rsidR="003703E2">
        <w:t xml:space="preserve">essay </w:t>
      </w:r>
      <w:r w:rsidR="00841A31">
        <w:t xml:space="preserve">asks the question of whether there is a disproportionate burden on more marginalized groups in political coalitions. </w:t>
      </w:r>
      <w:r w:rsidR="003703E2">
        <w:t xml:space="preserve">For Bilge, </w:t>
      </w:r>
      <w:r w:rsidR="00F17BAA">
        <w:t xml:space="preserve">an intersectional analysis </w:t>
      </w:r>
      <w:r w:rsidR="00841A31">
        <w:t>is not just a ‘category of power’ analysis but a</w:t>
      </w:r>
      <w:r w:rsidR="00966858">
        <w:t>lso a ‘domain of power’ analysis</w:t>
      </w:r>
      <w:r w:rsidR="004247F6">
        <w:t>,</w:t>
      </w:r>
      <w:r w:rsidR="00966858">
        <w:t xml:space="preserve"> i.e. addressing the domains through which power is organized, managed, legitimized, reactivated, internalized</w:t>
      </w:r>
      <w:r w:rsidR="003703E2">
        <w:t>, contested, subverted etc.</w:t>
      </w:r>
      <w:r w:rsidR="000345B8">
        <w:rPr>
          <w:rStyle w:val="FootnoteReference"/>
        </w:rPr>
        <w:footnoteReference w:id="3"/>
      </w:r>
      <w:r w:rsidR="003703E2">
        <w:t xml:space="preserve"> </w:t>
      </w:r>
    </w:p>
    <w:p w:rsidR="00790929" w:rsidRDefault="00586A77" w:rsidP="00F907F6">
      <w:pPr>
        <w:jc w:val="both"/>
      </w:pPr>
      <w:r>
        <w:t xml:space="preserve">In the European context </w:t>
      </w:r>
      <w:r w:rsidR="003F3666">
        <w:t>intersectionality is crucial to queer</w:t>
      </w:r>
      <w:r w:rsidR="003B7892">
        <w:t xml:space="preserve"> groups of colour</w:t>
      </w:r>
      <w:r w:rsidR="008026F0">
        <w:t xml:space="preserve">, </w:t>
      </w:r>
      <w:r w:rsidR="004B6C3B">
        <w:t>especially those identif</w:t>
      </w:r>
      <w:r w:rsidR="008026F0">
        <w:t xml:space="preserve">ying as Queer </w:t>
      </w:r>
      <w:r w:rsidR="00127A15">
        <w:t>and Trans People</w:t>
      </w:r>
      <w:r w:rsidR="008026F0">
        <w:t xml:space="preserve"> of Colour</w:t>
      </w:r>
      <w:r w:rsidR="003B7892">
        <w:t xml:space="preserve"> </w:t>
      </w:r>
      <w:r w:rsidR="008026F0">
        <w:t>(QTPOC)</w:t>
      </w:r>
      <w:r w:rsidR="004B6C3B">
        <w:t>,</w:t>
      </w:r>
      <w:r w:rsidR="008026F0">
        <w:t xml:space="preserve"> </w:t>
      </w:r>
      <w:r w:rsidR="003B7892">
        <w:t xml:space="preserve">as for </w:t>
      </w:r>
      <w:r w:rsidR="003B7892">
        <w:lastRenderedPageBreak/>
        <w:t>many of these groups, the normative LGBTQI movement does not adequately take into account concerns of queer peo</w:t>
      </w:r>
      <w:r w:rsidR="004247F6">
        <w:t>ple of colour and</w:t>
      </w:r>
      <w:r w:rsidR="003B7892">
        <w:t xml:space="preserve"> immigrants. From the account in the book (organizing a queer rally in London), there is an emerging political scenario, where LGBTQI iss</w:t>
      </w:r>
      <w:r w:rsidR="003F3666">
        <w:t>ues are pinkwashed within Europ</w:t>
      </w:r>
      <w:r w:rsidR="003B7892">
        <w:t xml:space="preserve">e, used as a pretext to bludgeon and further stereotype existing racial and religious minorities. Rather than question this creeping insidious politics that </w:t>
      </w:r>
      <w:r w:rsidR="000E0E68">
        <w:t xml:space="preserve">obfuscates wider issues of race, religion, sexuality and gender, the interests of the relatively well off and gentrified </w:t>
      </w:r>
      <w:r w:rsidR="003B7892">
        <w:t>white gay</w:t>
      </w:r>
      <w:r w:rsidR="001C73E9">
        <w:t xml:space="preserve"> </w:t>
      </w:r>
      <w:r w:rsidR="000E0E68">
        <w:t>male</w:t>
      </w:r>
      <w:r w:rsidR="004247F6">
        <w:t xml:space="preserve"> are</w:t>
      </w:r>
      <w:r w:rsidR="003B7892">
        <w:t xml:space="preserve"> </w:t>
      </w:r>
      <w:r w:rsidR="000E0E68">
        <w:t xml:space="preserve">posed as being intrinsically opposed to the violent immigrant or Muslim male. Here is where this collection of essays intervenes, drawing upon a wide range of disciplines such as urban studies, aesthetics, and architecture. </w:t>
      </w:r>
      <w:r w:rsidR="0065513F">
        <w:t xml:space="preserve">The essay </w:t>
      </w:r>
      <w:r w:rsidR="007E44B2">
        <w:t>by Shannahan and Tauqir</w:t>
      </w:r>
      <w:r w:rsidR="006B569F">
        <w:t xml:space="preserve"> deals</w:t>
      </w:r>
      <w:r w:rsidR="0065513F">
        <w:t xml:space="preserve"> with accessibility of mosques</w:t>
      </w:r>
      <w:r w:rsidR="004247F6">
        <w:t xml:space="preserve"> in Britain, moving</w:t>
      </w:r>
      <w:r w:rsidR="0065513F">
        <w:t xml:space="preserve"> beyond the more </w:t>
      </w:r>
      <w:r w:rsidR="006B569F">
        <w:t xml:space="preserve">familiar </w:t>
      </w:r>
      <w:r w:rsidR="0065513F">
        <w:t>question of what does an intersectional politics look like in terms o</w:t>
      </w:r>
      <w:r w:rsidR="004247F6">
        <w:t xml:space="preserve">f religious content, to what </w:t>
      </w:r>
      <w:r w:rsidR="0065513F">
        <w:t>it would look like in terms of accessibility to a wide range of believers, including differently-abled persons.</w:t>
      </w:r>
      <w:r w:rsidR="00AA403B">
        <w:rPr>
          <w:rStyle w:val="FootnoteReference"/>
        </w:rPr>
        <w:footnoteReference w:id="4"/>
      </w:r>
      <w:r w:rsidR="0065513F">
        <w:t xml:space="preserve"> </w:t>
      </w:r>
    </w:p>
    <w:p w:rsidR="001E45DF" w:rsidRDefault="00790929" w:rsidP="00F907F6">
      <w:pPr>
        <w:jc w:val="both"/>
      </w:pPr>
      <w:r>
        <w:t>Another aspect of sexuality politics that I found provocative in this collection is the focus on issues of poverty, class and political economy, which I read as call to moving beyond identity politics to the structural issues that often hang as inv</w:t>
      </w:r>
      <w:r w:rsidR="005A0A30">
        <w:t xml:space="preserve">isible frames to the painting of </w:t>
      </w:r>
      <w:r>
        <w:t xml:space="preserve">sexuality </w:t>
      </w:r>
      <w:r w:rsidR="005A0A30">
        <w:t xml:space="preserve">politics. </w:t>
      </w:r>
      <w:r w:rsidR="00DB74B0">
        <w:t xml:space="preserve">A number of </w:t>
      </w:r>
      <w:r w:rsidR="00B70AA7">
        <w:t>essays in this collection focus on questions such as the politics of funding, the prison industrial complex, and critiques of the commercialization of gay culture. From a t</w:t>
      </w:r>
      <w:r w:rsidR="006A2B1D">
        <w:t>rans perspective, Jo</w:t>
      </w:r>
      <w:r w:rsidR="00406F33">
        <w:t>ã</w:t>
      </w:r>
      <w:r w:rsidR="006A2B1D">
        <w:t>o Gabriel</w:t>
      </w:r>
      <w:r w:rsidR="00F85608">
        <w:t>l</w:t>
      </w:r>
      <w:r w:rsidR="006A2B1D">
        <w:t xml:space="preserve">’s essay points to the intimate connections between </w:t>
      </w:r>
      <w:r w:rsidR="00B70AA7">
        <w:t xml:space="preserve">transphobia </w:t>
      </w:r>
      <w:r w:rsidR="006A2B1D">
        <w:t xml:space="preserve">and </w:t>
      </w:r>
      <w:r w:rsidR="00B70AA7">
        <w:t xml:space="preserve">the material conditions of </w:t>
      </w:r>
      <w:r w:rsidR="006A2B1D">
        <w:t>transpersons.</w:t>
      </w:r>
      <w:r w:rsidR="002356CC">
        <w:rPr>
          <w:rStyle w:val="FootnoteReference"/>
        </w:rPr>
        <w:footnoteReference w:id="5"/>
      </w:r>
      <w:r w:rsidR="006A2B1D">
        <w:t xml:space="preserve"> For Gabriel</w:t>
      </w:r>
      <w:r w:rsidR="00F85608">
        <w:t>l</w:t>
      </w:r>
      <w:r w:rsidR="006A2B1D">
        <w:t xml:space="preserve"> </w:t>
      </w:r>
      <w:r w:rsidR="00B70AA7">
        <w:t xml:space="preserve">the queer struggle is not just about educating the public about queer issues but about addressing structural inequalities including the unequal distribution of privilege and economic resources. </w:t>
      </w:r>
    </w:p>
    <w:p w:rsidR="0007410B" w:rsidRDefault="003368D8" w:rsidP="00F907F6">
      <w:pPr>
        <w:jc w:val="both"/>
      </w:pPr>
      <w:r>
        <w:t xml:space="preserve">Many of the </w:t>
      </w:r>
      <w:r w:rsidR="00DE0E9A">
        <w:t xml:space="preserve">contributions </w:t>
      </w:r>
      <w:r>
        <w:t xml:space="preserve">in the book </w:t>
      </w:r>
      <w:r w:rsidR="00DE0E9A">
        <w:t>address the question of the constitutive potential of the law, recognizing that the law not only intervenes to protect or injure, but (re)</w:t>
      </w:r>
      <w:r w:rsidR="006D7FAC">
        <w:t xml:space="preserve"> </w:t>
      </w:r>
      <w:r w:rsidR="00DE0E9A">
        <w:t xml:space="preserve">constitutes identity. </w:t>
      </w:r>
      <w:r w:rsidR="00912592">
        <w:t>Arturo S</w:t>
      </w:r>
      <w:r w:rsidR="00406F33">
        <w:t>á</w:t>
      </w:r>
      <w:r w:rsidR="00912592">
        <w:t>nchez</w:t>
      </w:r>
      <w:r w:rsidR="00F56BFE">
        <w:t xml:space="preserve"> Garcia’s essay, in the context of the legal recognition of same sex marriage in Mexico City, asks if </w:t>
      </w:r>
      <w:r w:rsidR="004247F6">
        <w:t>marriage becoming an object of desire</w:t>
      </w:r>
      <w:r w:rsidR="006D7FAC">
        <w:t xml:space="preserve"> postpones the </w:t>
      </w:r>
      <w:r w:rsidR="00F56BFE">
        <w:t>impulse for justice.</w:t>
      </w:r>
      <w:r w:rsidR="00570BFD">
        <w:rPr>
          <w:rStyle w:val="FootnoteReference"/>
        </w:rPr>
        <w:footnoteReference w:id="6"/>
      </w:r>
      <w:r w:rsidR="00F56BFE">
        <w:t xml:space="preserve"> Garcia argues that the focus on </w:t>
      </w:r>
      <w:r w:rsidR="006D7FAC">
        <w:t>identity</w:t>
      </w:r>
      <w:r w:rsidR="00F56BFE">
        <w:t xml:space="preserve"> politics </w:t>
      </w:r>
      <w:r w:rsidR="006D7FAC">
        <w:t>a</w:t>
      </w:r>
      <w:r w:rsidR="00F56BFE">
        <w:t xml:space="preserve">nd a </w:t>
      </w:r>
      <w:r w:rsidR="006D7FAC">
        <w:t xml:space="preserve">wider public education </w:t>
      </w:r>
      <w:r w:rsidR="00F56BFE">
        <w:t>is at the cost of</w:t>
      </w:r>
      <w:r w:rsidR="006D7FAC">
        <w:t xml:space="preserve"> structural issues such as poverty, extreme inequality and the disproportionate </w:t>
      </w:r>
      <w:r w:rsidR="0081458C">
        <w:t xml:space="preserve">burden of risk that different segments of queer populations face. </w:t>
      </w:r>
      <w:r w:rsidR="00635AD6">
        <w:t xml:space="preserve">For </w:t>
      </w:r>
      <w:r w:rsidR="00C44964">
        <w:t xml:space="preserve">Garcia, </w:t>
      </w:r>
      <w:r w:rsidR="00635AD6">
        <w:t>dr</w:t>
      </w:r>
      <w:r w:rsidR="00C44964">
        <w:t xml:space="preserve">awing on Foucault’s formulation, </w:t>
      </w:r>
      <w:r w:rsidR="00635AD6">
        <w:t>desire gives way to ethics and the potential of desire to reorder r</w:t>
      </w:r>
      <w:r w:rsidR="00D43F8E">
        <w:t>el</w:t>
      </w:r>
      <w:r w:rsidR="00635AD6">
        <w:t xml:space="preserve">ations of power as relations of affection, friendship, loyalty, </w:t>
      </w:r>
      <w:r w:rsidR="003E4870">
        <w:t>and reciprocity</w:t>
      </w:r>
      <w:r w:rsidR="00635AD6">
        <w:t>.</w:t>
      </w:r>
      <w:r w:rsidR="003E4870">
        <w:rPr>
          <w:rStyle w:val="FootnoteReference"/>
        </w:rPr>
        <w:footnoteReference w:id="7"/>
      </w:r>
      <w:r w:rsidR="00635AD6">
        <w:t xml:space="preserve"> The question for Garcia</w:t>
      </w:r>
      <w:r w:rsidR="00C44964">
        <w:t xml:space="preserve"> </w:t>
      </w:r>
      <w:r w:rsidR="00635AD6">
        <w:t xml:space="preserve">is whether this transition from desire to ethics is necessarily disrupted by legal recognition and reform? </w:t>
      </w:r>
    </w:p>
    <w:p w:rsidR="005B0D2D" w:rsidRDefault="004247F6" w:rsidP="00F907F6">
      <w:pPr>
        <w:jc w:val="both"/>
      </w:pPr>
      <w:r>
        <w:lastRenderedPageBreak/>
        <w:t>The</w:t>
      </w:r>
      <w:r w:rsidR="00DA61F8">
        <w:t xml:space="preserve"> writing and contemporary debates around legal reform </w:t>
      </w:r>
      <w:r>
        <w:t>on LGBTQI rights in India reflect</w:t>
      </w:r>
      <w:r w:rsidR="00DA61F8">
        <w:t xml:space="preserve"> Garcia’s concerns subject to the specific contexts and strategies of queer activist groups in India.</w:t>
      </w:r>
      <w:r w:rsidR="00DA61F8" w:rsidRPr="00DA61F8">
        <w:t xml:space="preserve"> </w:t>
      </w:r>
      <w:r w:rsidR="00DA61F8">
        <w:t>The debates around the legal challeng</w:t>
      </w:r>
      <w:r w:rsidR="00CF072D">
        <w:t>e to section 377 of the Indian P</w:t>
      </w:r>
      <w:r w:rsidR="00DA61F8">
        <w:t>en</w:t>
      </w:r>
      <w:r w:rsidR="00CF072D">
        <w:t>al Code, the anti-sodomy law, have</w:t>
      </w:r>
      <w:r w:rsidR="00DA61F8">
        <w:t xml:space="preserve"> focused on the process that led to the legal challenge</w:t>
      </w:r>
      <w:r w:rsidR="00CF072D">
        <w:t>,</w:t>
      </w:r>
      <w:r w:rsidR="00DA61F8">
        <w:rPr>
          <w:rStyle w:val="FootnoteReference"/>
        </w:rPr>
        <w:footnoteReference w:id="8"/>
      </w:r>
      <w:r w:rsidR="005A49B1">
        <w:t xml:space="preserve"> </w:t>
      </w:r>
      <w:r w:rsidR="00DA61F8">
        <w:t>and the constitutive potential of the law.</w:t>
      </w:r>
      <w:r w:rsidR="00DA61F8">
        <w:rPr>
          <w:rStyle w:val="FootnoteReference"/>
        </w:rPr>
        <w:footnoteReference w:id="9"/>
      </w:r>
      <w:r w:rsidR="00DA61F8">
        <w:t xml:space="preserve"> </w:t>
      </w:r>
      <w:r w:rsidR="00D43F8E">
        <w:t xml:space="preserve">Here is where </w:t>
      </w:r>
      <w:r w:rsidR="00DA61F8">
        <w:t xml:space="preserve">one confronts tensions between </w:t>
      </w:r>
      <w:r w:rsidR="00D43F8E">
        <w:t xml:space="preserve">the means </w:t>
      </w:r>
      <w:r w:rsidR="00CF072D">
        <w:t xml:space="preserve">and </w:t>
      </w:r>
      <w:r w:rsidR="00D43F8E">
        <w:t>between the immediate race against time and the appeal to the sensibilities of judges, characterized as legal strategy, with a mor</w:t>
      </w:r>
      <w:r w:rsidR="00DA61F8">
        <w:t xml:space="preserve">e long term vision of movements. </w:t>
      </w:r>
      <w:r w:rsidR="003B0E0D">
        <w:t xml:space="preserve"> </w:t>
      </w:r>
    </w:p>
    <w:p w:rsidR="00F365E9" w:rsidRDefault="00F365E9" w:rsidP="00F365E9">
      <w:pPr>
        <w:jc w:val="both"/>
      </w:pPr>
      <w:r>
        <w:t>Aniruddha Dut</w:t>
      </w:r>
      <w:r w:rsidR="00802006">
        <w:t xml:space="preserve">ta’s </w:t>
      </w:r>
      <w:r w:rsidR="00BA42F1">
        <w:t>epilogue to this book</w:t>
      </w:r>
      <w:r w:rsidR="00802006">
        <w:t xml:space="preserve"> </w:t>
      </w:r>
      <w:r>
        <w:t xml:space="preserve">echoes many of my </w:t>
      </w:r>
      <w:r w:rsidR="00802006">
        <w:t xml:space="preserve">own </w:t>
      </w:r>
      <w:r>
        <w:t>concerns. Dutta points to the disjuncture between the colonial/decolonial frame in some Global South contexts, where there are multiple and complicated reconfigurations of these term</w:t>
      </w:r>
      <w:r w:rsidR="00CF072D">
        <w:t>s</w:t>
      </w:r>
      <w:r>
        <w:t>. For instance, Dutta refers to the ways in which countries like India, long consid</w:t>
      </w:r>
      <w:r w:rsidR="00EC5C45">
        <w:t>ered part of the G</w:t>
      </w:r>
      <w:r>
        <w:t>lobal South, are viewed in reference to their global military ambitions, as well as Indian multinationals and industries expanding rapidly to other pa</w:t>
      </w:r>
      <w:r w:rsidR="005A6318">
        <w:t>rts of the world including the G</w:t>
      </w:r>
      <w:r>
        <w:t>lobal North.</w:t>
      </w:r>
      <w:r w:rsidR="00924D62">
        <w:rPr>
          <w:rStyle w:val="FootnoteReference"/>
        </w:rPr>
        <w:footnoteReference w:id="10"/>
      </w:r>
      <w:r>
        <w:t xml:space="preserve"> Where would we situate a transnational queer perspective within this more complicated terrain that does not fall neatly into a colonial/decolonial framework? </w:t>
      </w:r>
    </w:p>
    <w:p w:rsidR="009F2FF7" w:rsidRDefault="001928F7" w:rsidP="00175269">
      <w:pPr>
        <w:jc w:val="both"/>
      </w:pPr>
      <w:r>
        <w:rPr>
          <w:i/>
        </w:rPr>
        <w:t xml:space="preserve">Decolonizing Sexualities </w:t>
      </w:r>
      <w:r>
        <w:t xml:space="preserve">prompted me to think about </w:t>
      </w:r>
      <w:r w:rsidR="00FE4B4B">
        <w:t xml:space="preserve">how ideas travel, gain currency and </w:t>
      </w:r>
      <w:r w:rsidR="009C761D">
        <w:t>tak</w:t>
      </w:r>
      <w:r w:rsidR="00FE4B4B">
        <w:t>e root in different contexts and locations</w:t>
      </w:r>
      <w:r w:rsidR="00B127F8">
        <w:t xml:space="preserve">. </w:t>
      </w:r>
      <w:r>
        <w:t xml:space="preserve">This collection </w:t>
      </w:r>
      <w:r w:rsidR="00B127F8">
        <w:t>is an excellent introduction to the various actors and contexts in w</w:t>
      </w:r>
      <w:r w:rsidR="00CF072D">
        <w:t>hich these discourses circulate.</w:t>
      </w:r>
      <w:r w:rsidR="00B127F8">
        <w:t xml:space="preserve"> </w:t>
      </w:r>
      <w:r w:rsidR="00CF072D">
        <w:t>W</w:t>
      </w:r>
      <w:r w:rsidR="00EF7F0D">
        <w:t xml:space="preserve">hat is missing though is a </w:t>
      </w:r>
      <w:r w:rsidR="00B127F8">
        <w:t xml:space="preserve">focus on technology, given the significant ways in which transnational queer debates are mediated by </w:t>
      </w:r>
      <w:r w:rsidR="00EF7F0D">
        <w:t>technology, especially social media platforms</w:t>
      </w:r>
      <w:r w:rsidR="00B127F8">
        <w:t>.</w:t>
      </w:r>
    </w:p>
    <w:sectPr w:rsidR="009F2FF7" w:rsidSect="00EE12DB">
      <w:headerReference w:type="even" r:id="rId8"/>
      <w:headerReference w:type="default" r:id="rId9"/>
      <w:footerReference w:type="even" r:id="rId10"/>
      <w:footerReference w:type="default" r:id="rId11"/>
      <w:pgSz w:w="11900" w:h="16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71" w:rsidRDefault="00406F33">
      <w:pPr>
        <w:spacing w:after="0"/>
      </w:pPr>
      <w:r>
        <w:separator/>
      </w:r>
    </w:p>
  </w:endnote>
  <w:endnote w:type="continuationSeparator" w:id="0">
    <w:p w:rsidR="00E31C71" w:rsidRDefault="00406F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DB" w:rsidRDefault="00EE12DB">
    <w:pPr>
      <w:pStyle w:val="Footer"/>
      <w:jc w:val="center"/>
    </w:pPr>
    <w:r>
      <w:t>_____________________________________________________________________________________________</w:t>
    </w:r>
  </w:p>
  <w:p w:rsidR="00EE12DB" w:rsidRDefault="00EE12DB">
    <w:pPr>
      <w:pStyle w:val="Footer"/>
      <w:jc w:val="center"/>
    </w:pPr>
  </w:p>
  <w:p w:rsidR="00EE12DB" w:rsidRDefault="00C10062">
    <w:pPr>
      <w:pStyle w:val="Footer"/>
      <w:jc w:val="center"/>
    </w:pPr>
    <w:sdt>
      <w:sdtPr>
        <w:id w:val="-1791662889"/>
        <w:docPartObj>
          <w:docPartGallery w:val="Page Numbers (Bottom of Page)"/>
          <w:docPartUnique/>
        </w:docPartObj>
      </w:sdtPr>
      <w:sdtEndPr>
        <w:rPr>
          <w:noProof/>
        </w:rPr>
      </w:sdtEndPr>
      <w:sdtContent>
        <w:r w:rsidR="00EE12DB" w:rsidRPr="00EE12DB">
          <w:rPr>
            <w:sz w:val="22"/>
            <w:szCs w:val="22"/>
          </w:rPr>
          <w:fldChar w:fldCharType="begin"/>
        </w:r>
        <w:r w:rsidR="00EE12DB" w:rsidRPr="00EE12DB">
          <w:rPr>
            <w:sz w:val="22"/>
            <w:szCs w:val="22"/>
          </w:rPr>
          <w:instrText xml:space="preserve"> PAGE   \* MERGEFORMAT </w:instrText>
        </w:r>
        <w:r w:rsidR="00EE12DB" w:rsidRPr="00EE12DB">
          <w:rPr>
            <w:sz w:val="22"/>
            <w:szCs w:val="22"/>
          </w:rPr>
          <w:fldChar w:fldCharType="separate"/>
        </w:r>
        <w:r>
          <w:rPr>
            <w:noProof/>
            <w:sz w:val="22"/>
            <w:szCs w:val="22"/>
          </w:rPr>
          <w:t>2</w:t>
        </w:r>
        <w:r w:rsidR="00EE12DB" w:rsidRPr="00EE12DB">
          <w:rPr>
            <w:noProof/>
            <w:sz w:val="22"/>
            <w:szCs w:val="22"/>
          </w:rPr>
          <w:fldChar w:fldCharType="end"/>
        </w:r>
      </w:sdtContent>
    </w:sdt>
  </w:p>
  <w:p w:rsidR="00EE12DB" w:rsidRDefault="00EE1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DB" w:rsidRDefault="00EE12DB">
    <w:pPr>
      <w:pStyle w:val="Footer"/>
      <w:jc w:val="center"/>
    </w:pPr>
    <w:r>
      <w:t>_____________________________________________________________________________________________</w:t>
    </w:r>
  </w:p>
  <w:p w:rsidR="00EE12DB" w:rsidRDefault="00EE12DB">
    <w:pPr>
      <w:pStyle w:val="Footer"/>
      <w:jc w:val="center"/>
    </w:pPr>
  </w:p>
  <w:p w:rsidR="00EE12DB" w:rsidRDefault="00C10062">
    <w:pPr>
      <w:pStyle w:val="Footer"/>
      <w:jc w:val="center"/>
    </w:pPr>
    <w:sdt>
      <w:sdtPr>
        <w:id w:val="266509944"/>
        <w:docPartObj>
          <w:docPartGallery w:val="Page Numbers (Bottom of Page)"/>
          <w:docPartUnique/>
        </w:docPartObj>
      </w:sdtPr>
      <w:sdtEndPr>
        <w:rPr>
          <w:noProof/>
        </w:rPr>
      </w:sdtEndPr>
      <w:sdtContent>
        <w:r w:rsidR="00EE12DB" w:rsidRPr="00EE12DB">
          <w:rPr>
            <w:sz w:val="22"/>
            <w:szCs w:val="22"/>
          </w:rPr>
          <w:fldChar w:fldCharType="begin"/>
        </w:r>
        <w:r w:rsidR="00EE12DB" w:rsidRPr="00EE12DB">
          <w:rPr>
            <w:sz w:val="22"/>
            <w:szCs w:val="22"/>
          </w:rPr>
          <w:instrText xml:space="preserve"> PAGE   \* MERGEFORMAT </w:instrText>
        </w:r>
        <w:r w:rsidR="00EE12DB" w:rsidRPr="00EE12DB">
          <w:rPr>
            <w:sz w:val="22"/>
            <w:szCs w:val="22"/>
          </w:rPr>
          <w:fldChar w:fldCharType="separate"/>
        </w:r>
        <w:r>
          <w:rPr>
            <w:noProof/>
            <w:sz w:val="22"/>
            <w:szCs w:val="22"/>
          </w:rPr>
          <w:t>1</w:t>
        </w:r>
        <w:r w:rsidR="00EE12DB" w:rsidRPr="00EE12DB">
          <w:rPr>
            <w:noProof/>
            <w:sz w:val="22"/>
            <w:szCs w:val="22"/>
          </w:rPr>
          <w:fldChar w:fldCharType="end"/>
        </w:r>
      </w:sdtContent>
    </w:sdt>
  </w:p>
  <w:p w:rsidR="00EE12DB" w:rsidRDefault="00EE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71" w:rsidRDefault="00406F33">
      <w:pPr>
        <w:spacing w:after="0"/>
      </w:pPr>
      <w:r>
        <w:separator/>
      </w:r>
    </w:p>
  </w:footnote>
  <w:footnote w:type="continuationSeparator" w:id="0">
    <w:p w:rsidR="00E31C71" w:rsidRDefault="00406F33">
      <w:pPr>
        <w:spacing w:after="0"/>
      </w:pPr>
      <w:r>
        <w:continuationSeparator/>
      </w:r>
    </w:p>
  </w:footnote>
  <w:footnote w:id="1">
    <w:p w:rsidR="00D80B76" w:rsidRPr="00D80B76" w:rsidRDefault="00D80B76" w:rsidP="00D80B76">
      <w:pPr>
        <w:spacing w:after="0"/>
        <w:jc w:val="both"/>
        <w:rPr>
          <w:sz w:val="20"/>
          <w:szCs w:val="20"/>
          <w:lang w:val="en-GB"/>
        </w:rPr>
      </w:pPr>
      <w:r w:rsidRPr="00D80B76">
        <w:rPr>
          <w:rStyle w:val="FootnoteReference"/>
          <w:sz w:val="20"/>
          <w:szCs w:val="20"/>
        </w:rPr>
        <w:t>*</w:t>
      </w:r>
      <w:bookmarkStart w:id="0" w:name="_GoBack"/>
      <w:bookmarkEnd w:id="0"/>
      <w:r w:rsidRPr="00D80B76">
        <w:rPr>
          <w:sz w:val="20"/>
          <w:szCs w:val="20"/>
        </w:rPr>
        <w:t xml:space="preserve"> Siddharth Narrain is a Visiting Faculty at the School of Law, Governance and Citizenship, Ambedkar University Delhi</w:t>
      </w:r>
      <w:r>
        <w:rPr>
          <w:sz w:val="20"/>
          <w:szCs w:val="20"/>
        </w:rPr>
        <w:t>, India</w:t>
      </w:r>
      <w:r w:rsidRPr="00D80B76">
        <w:rPr>
          <w:sz w:val="20"/>
          <w:szCs w:val="20"/>
        </w:rPr>
        <w:t>. Siddharth is a lawyer and journalist by training, and has been involved with queer activism and legal interventions including the ongoing constitutional challenge to Section 377 of the Indian Penal Code, which is the anti-sodomy law in India.</w:t>
      </w:r>
      <w:r>
        <w:rPr>
          <w:sz w:val="20"/>
          <w:szCs w:val="20"/>
        </w:rPr>
        <w:t xml:space="preserve"> Email:</w:t>
      </w:r>
      <w:r w:rsidR="00C10062">
        <w:rPr>
          <w:sz w:val="20"/>
          <w:szCs w:val="20"/>
        </w:rPr>
        <w:t xml:space="preserve"> </w:t>
      </w:r>
      <w:hyperlink r:id="rId1" w:history="1">
        <w:r w:rsidR="00C10062" w:rsidRPr="009C0439">
          <w:rPr>
            <w:rStyle w:val="Hyperlink"/>
            <w:sz w:val="20"/>
            <w:szCs w:val="20"/>
          </w:rPr>
          <w:t>siddharth.narrain@gmail.com</w:t>
        </w:r>
      </w:hyperlink>
      <w:r w:rsidR="00C10062">
        <w:rPr>
          <w:sz w:val="20"/>
          <w:szCs w:val="20"/>
        </w:rPr>
        <w:t xml:space="preserve"> </w:t>
      </w:r>
    </w:p>
  </w:footnote>
  <w:footnote w:id="2">
    <w:p w:rsidR="002356CC" w:rsidRPr="000345B8" w:rsidRDefault="002356CC" w:rsidP="000345B8">
      <w:pPr>
        <w:spacing w:after="0"/>
        <w:rPr>
          <w:i/>
          <w:sz w:val="20"/>
        </w:rPr>
      </w:pPr>
      <w:r w:rsidRPr="003F2A4D">
        <w:rPr>
          <w:rStyle w:val="FootnoteReference"/>
          <w:sz w:val="20"/>
        </w:rPr>
        <w:footnoteRef/>
      </w:r>
      <w:r w:rsidRPr="003F2A4D">
        <w:rPr>
          <w:sz w:val="20"/>
        </w:rPr>
        <w:t xml:space="preserve"> Wala AlQa</w:t>
      </w:r>
      <w:r w:rsidR="00F85608">
        <w:rPr>
          <w:sz w:val="20"/>
        </w:rPr>
        <w:t>i</w:t>
      </w:r>
      <w:r w:rsidRPr="003F2A4D">
        <w:rPr>
          <w:sz w:val="20"/>
        </w:rPr>
        <w:t>siya et al., “Dismantling the Image of the Palestinian Homosexual: Exploring the Role of alQaws”</w:t>
      </w:r>
      <w:r w:rsidR="000345B8">
        <w:rPr>
          <w:sz w:val="20"/>
        </w:rPr>
        <w:t>,</w:t>
      </w:r>
      <w:r w:rsidRPr="003F2A4D">
        <w:rPr>
          <w:sz w:val="20"/>
        </w:rPr>
        <w:t xml:space="preserve"> pp. 125-140.</w:t>
      </w:r>
    </w:p>
  </w:footnote>
  <w:footnote w:id="3">
    <w:p w:rsidR="000345B8" w:rsidRPr="000345B8" w:rsidRDefault="000345B8">
      <w:pPr>
        <w:pStyle w:val="FootnoteText"/>
        <w:rPr>
          <w:sz w:val="20"/>
          <w:szCs w:val="20"/>
          <w:lang w:val="en-GB"/>
        </w:rPr>
      </w:pPr>
      <w:r w:rsidRPr="000345B8">
        <w:rPr>
          <w:rStyle w:val="FootnoteReference"/>
          <w:sz w:val="20"/>
          <w:szCs w:val="20"/>
        </w:rPr>
        <w:footnoteRef/>
      </w:r>
      <w:r w:rsidRPr="000345B8">
        <w:rPr>
          <w:sz w:val="20"/>
          <w:szCs w:val="20"/>
        </w:rPr>
        <w:t xml:space="preserve"> </w:t>
      </w:r>
      <w:r w:rsidR="00F85608">
        <w:rPr>
          <w:sz w:val="20"/>
          <w:szCs w:val="20"/>
        </w:rPr>
        <w:t>Sirm</w:t>
      </w:r>
      <w:r>
        <w:rPr>
          <w:sz w:val="20"/>
          <w:szCs w:val="20"/>
        </w:rPr>
        <w:t>a Bilge, “</w:t>
      </w:r>
      <w:r w:rsidR="00F85608">
        <w:rPr>
          <w:sz w:val="20"/>
          <w:szCs w:val="20"/>
        </w:rPr>
        <w:t>Theoretical Coalitions and Multi-Issue Activism: ‘Our Struggles Will be Intersectional or They Will Be Bullshit!’</w:t>
      </w:r>
      <w:r>
        <w:rPr>
          <w:sz w:val="20"/>
          <w:szCs w:val="20"/>
        </w:rPr>
        <w:t xml:space="preserve">”, pp. </w:t>
      </w:r>
      <w:r w:rsidR="003E49CE">
        <w:rPr>
          <w:sz w:val="20"/>
          <w:szCs w:val="20"/>
        </w:rPr>
        <w:t>102-117.</w:t>
      </w:r>
    </w:p>
  </w:footnote>
  <w:footnote w:id="4">
    <w:p w:rsidR="002356CC" w:rsidRPr="003F2A4D" w:rsidRDefault="002356CC">
      <w:pPr>
        <w:pStyle w:val="FootnoteText"/>
        <w:rPr>
          <w:sz w:val="20"/>
        </w:rPr>
      </w:pPr>
      <w:r w:rsidRPr="003F2A4D">
        <w:rPr>
          <w:rStyle w:val="FootnoteReference"/>
          <w:sz w:val="20"/>
        </w:rPr>
        <w:footnoteRef/>
      </w:r>
      <w:r w:rsidRPr="003F2A4D">
        <w:rPr>
          <w:sz w:val="20"/>
        </w:rPr>
        <w:t xml:space="preserve"> Dervla Zay</w:t>
      </w:r>
      <w:r w:rsidR="00F85608">
        <w:rPr>
          <w:sz w:val="20"/>
        </w:rPr>
        <w:t>nab Shannahan and Tamsila Tauqir</w:t>
      </w:r>
      <w:r w:rsidRPr="003F2A4D">
        <w:rPr>
          <w:sz w:val="20"/>
        </w:rPr>
        <w:t>, “Building an Inclusive Mosque: A Case Study”, pp. 197-214.</w:t>
      </w:r>
    </w:p>
  </w:footnote>
  <w:footnote w:id="5">
    <w:p w:rsidR="002356CC" w:rsidRPr="003F2A4D" w:rsidRDefault="002356CC">
      <w:pPr>
        <w:pStyle w:val="FootnoteText"/>
        <w:rPr>
          <w:sz w:val="20"/>
        </w:rPr>
      </w:pPr>
      <w:r w:rsidRPr="003F2A4D">
        <w:rPr>
          <w:rStyle w:val="FootnoteReference"/>
          <w:sz w:val="20"/>
        </w:rPr>
        <w:footnoteRef/>
      </w:r>
      <w:r w:rsidRPr="003F2A4D">
        <w:rPr>
          <w:sz w:val="20"/>
        </w:rPr>
        <w:t xml:space="preserve"> </w:t>
      </w:r>
      <w:r w:rsidR="000345B8">
        <w:rPr>
          <w:sz w:val="20"/>
        </w:rPr>
        <w:t>Jo</w:t>
      </w:r>
      <w:r w:rsidR="00406F33">
        <w:rPr>
          <w:sz w:val="20"/>
        </w:rPr>
        <w:t>ã</w:t>
      </w:r>
      <w:r w:rsidR="000345B8">
        <w:rPr>
          <w:sz w:val="20"/>
        </w:rPr>
        <w:t>o Gabriel</w:t>
      </w:r>
      <w:r w:rsidR="00F85608">
        <w:rPr>
          <w:sz w:val="20"/>
        </w:rPr>
        <w:t>l</w:t>
      </w:r>
      <w:r w:rsidR="007F10C4" w:rsidRPr="003F2A4D">
        <w:rPr>
          <w:sz w:val="20"/>
        </w:rPr>
        <w:t>, “In Defence of a Radical Trans Perspective in the FRnech Context”, pp. 60-70.</w:t>
      </w:r>
    </w:p>
  </w:footnote>
  <w:footnote w:id="6">
    <w:p w:rsidR="00570BFD" w:rsidRPr="003F2A4D" w:rsidRDefault="00570BFD">
      <w:pPr>
        <w:pStyle w:val="FootnoteText"/>
        <w:rPr>
          <w:sz w:val="20"/>
        </w:rPr>
      </w:pPr>
      <w:r w:rsidRPr="003F2A4D">
        <w:rPr>
          <w:rStyle w:val="FootnoteReference"/>
          <w:sz w:val="20"/>
        </w:rPr>
        <w:footnoteRef/>
      </w:r>
      <w:r w:rsidRPr="003F2A4D">
        <w:rPr>
          <w:sz w:val="20"/>
        </w:rPr>
        <w:t xml:space="preserve"> Arturo S</w:t>
      </w:r>
      <w:r w:rsidR="00F85608">
        <w:rPr>
          <w:sz w:val="20"/>
        </w:rPr>
        <w:t>á</w:t>
      </w:r>
      <w:r w:rsidRPr="003F2A4D">
        <w:rPr>
          <w:sz w:val="20"/>
        </w:rPr>
        <w:t>nchez Garcia, “Reasons for Optimism: Same Sex Marriage in Mexico City”, pp. 231-248</w:t>
      </w:r>
      <w:r w:rsidR="004D4EFC" w:rsidRPr="003F2A4D">
        <w:rPr>
          <w:sz w:val="20"/>
        </w:rPr>
        <w:t>.</w:t>
      </w:r>
    </w:p>
  </w:footnote>
  <w:footnote w:id="7">
    <w:p w:rsidR="002356CC" w:rsidRPr="003F2A4D" w:rsidRDefault="002356CC">
      <w:pPr>
        <w:pStyle w:val="FootnoteText"/>
        <w:rPr>
          <w:sz w:val="20"/>
        </w:rPr>
      </w:pPr>
      <w:r w:rsidRPr="003F2A4D">
        <w:rPr>
          <w:rStyle w:val="FootnoteReference"/>
          <w:sz w:val="20"/>
        </w:rPr>
        <w:footnoteRef/>
      </w:r>
      <w:r w:rsidRPr="003F2A4D">
        <w:rPr>
          <w:sz w:val="20"/>
        </w:rPr>
        <w:t xml:space="preserve"> Michel Foucault, “Friendship as a Way of Life” in </w:t>
      </w:r>
      <w:r w:rsidRPr="003F2A4D">
        <w:rPr>
          <w:i/>
          <w:sz w:val="20"/>
        </w:rPr>
        <w:t>Ethics, Subjectivity and Truth: The Essential Works of Michel Foucault 1954-1984</w:t>
      </w:r>
      <w:r w:rsidRPr="003F2A4D">
        <w:rPr>
          <w:sz w:val="20"/>
        </w:rPr>
        <w:t>, translated by Robert Hurley et al. (New York, The New Press, 1994)</w:t>
      </w:r>
      <w:r w:rsidR="003E49CE">
        <w:rPr>
          <w:sz w:val="20"/>
        </w:rPr>
        <w:t xml:space="preserve"> 136</w:t>
      </w:r>
      <w:r w:rsidRPr="003F2A4D">
        <w:rPr>
          <w:sz w:val="20"/>
        </w:rPr>
        <w:t>-138.</w:t>
      </w:r>
    </w:p>
  </w:footnote>
  <w:footnote w:id="8">
    <w:p w:rsidR="00DA61F8" w:rsidRPr="003F2A4D" w:rsidRDefault="00DE68D3" w:rsidP="00DA61F8">
      <w:pPr>
        <w:pStyle w:val="FootnoteText"/>
        <w:rPr>
          <w:sz w:val="20"/>
        </w:rPr>
      </w:pPr>
      <w:r w:rsidRPr="003F2A4D">
        <w:rPr>
          <w:rStyle w:val="FootnoteReference"/>
          <w:sz w:val="20"/>
        </w:rPr>
        <w:footnoteRef/>
      </w:r>
      <w:r w:rsidRPr="003F2A4D">
        <w:rPr>
          <w:sz w:val="20"/>
        </w:rPr>
        <w:t xml:space="preserve"> Naisargi Dave, </w:t>
      </w:r>
      <w:r w:rsidRPr="003F2A4D">
        <w:rPr>
          <w:i/>
          <w:sz w:val="20"/>
        </w:rPr>
        <w:t>Queer Activism in India: A Story in the Anthropology of Ethics</w:t>
      </w:r>
      <w:r w:rsidR="00EE3FC7">
        <w:rPr>
          <w:sz w:val="20"/>
        </w:rPr>
        <w:t xml:space="preserve"> (New Delhi, Zubaan, 2016);</w:t>
      </w:r>
      <w:r w:rsidRPr="003F2A4D">
        <w:rPr>
          <w:sz w:val="20"/>
        </w:rPr>
        <w:t xml:space="preserve"> </w:t>
      </w:r>
      <w:r w:rsidR="00DA61F8" w:rsidRPr="003F2A4D">
        <w:rPr>
          <w:sz w:val="20"/>
        </w:rPr>
        <w:t xml:space="preserve">Jyoti Puri, </w:t>
      </w:r>
      <w:r w:rsidR="00DA61F8" w:rsidRPr="003F2A4D">
        <w:rPr>
          <w:i/>
          <w:sz w:val="20"/>
        </w:rPr>
        <w:t>Sexual States: Governance and the Struggle to Decriminalize Homosexuality in India</w:t>
      </w:r>
      <w:r w:rsidR="00DA61F8" w:rsidRPr="003F2A4D">
        <w:rPr>
          <w:sz w:val="20"/>
        </w:rPr>
        <w:t xml:space="preserve"> (Hyderabad, OrientBlackswan, 2016).</w:t>
      </w:r>
    </w:p>
  </w:footnote>
  <w:footnote w:id="9">
    <w:p w:rsidR="00DA61F8" w:rsidRPr="003F2A4D" w:rsidRDefault="00DA61F8" w:rsidP="00DA61F8">
      <w:pPr>
        <w:pStyle w:val="FootnoteText"/>
        <w:rPr>
          <w:sz w:val="20"/>
        </w:rPr>
      </w:pPr>
      <w:r w:rsidRPr="003F2A4D">
        <w:rPr>
          <w:rStyle w:val="FootnoteReference"/>
          <w:sz w:val="20"/>
        </w:rPr>
        <w:footnoteRef/>
      </w:r>
      <w:r w:rsidRPr="003F2A4D">
        <w:rPr>
          <w:sz w:val="20"/>
        </w:rPr>
        <w:t xml:space="preserve"> Akshay Khanna, </w:t>
      </w:r>
      <w:r w:rsidRPr="003F2A4D">
        <w:rPr>
          <w:i/>
          <w:sz w:val="20"/>
        </w:rPr>
        <w:t>Sexualness</w:t>
      </w:r>
      <w:r w:rsidR="00314C45" w:rsidRPr="003F2A4D">
        <w:rPr>
          <w:sz w:val="20"/>
        </w:rPr>
        <w:t xml:space="preserve"> (New Delhi, New Text, 2016).</w:t>
      </w:r>
    </w:p>
  </w:footnote>
  <w:footnote w:id="10">
    <w:p w:rsidR="00924D62" w:rsidRPr="00924D62" w:rsidRDefault="00924D62">
      <w:pPr>
        <w:pStyle w:val="FootnoteText"/>
        <w:rPr>
          <w:sz w:val="20"/>
          <w:szCs w:val="20"/>
          <w:lang w:val="en-GB"/>
        </w:rPr>
      </w:pPr>
      <w:r w:rsidRPr="00924D62">
        <w:rPr>
          <w:rStyle w:val="FootnoteReference"/>
          <w:sz w:val="20"/>
          <w:szCs w:val="20"/>
        </w:rPr>
        <w:footnoteRef/>
      </w:r>
      <w:r w:rsidRPr="00924D62">
        <w:rPr>
          <w:sz w:val="20"/>
          <w:szCs w:val="20"/>
        </w:rPr>
        <w:t xml:space="preserve"> A</w:t>
      </w:r>
      <w:r>
        <w:rPr>
          <w:sz w:val="20"/>
          <w:szCs w:val="20"/>
        </w:rPr>
        <w:t>niruddha Dutta, “</w:t>
      </w:r>
      <w:r w:rsidR="00F85608">
        <w:rPr>
          <w:sz w:val="20"/>
          <w:szCs w:val="20"/>
        </w:rPr>
        <w:t>Afterword: Interrogating QTPOC Critique, Imagining North-South Solidarities</w:t>
      </w:r>
      <w:r>
        <w:rPr>
          <w:sz w:val="20"/>
          <w:szCs w:val="20"/>
        </w:rPr>
        <w:t xml:space="preserve">”, pp. </w:t>
      </w:r>
      <w:r w:rsidR="003E49CE">
        <w:rPr>
          <w:sz w:val="20"/>
          <w:szCs w:val="20"/>
        </w:rPr>
        <w:t>275-280.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DB" w:rsidRDefault="00EE12DB" w:rsidP="00EE12DB">
    <w:pPr>
      <w:pStyle w:val="Header"/>
      <w:tabs>
        <w:tab w:val="clear" w:pos="9026"/>
        <w:tab w:val="right" w:pos="8222"/>
      </w:tabs>
      <w:rPr>
        <w:sz w:val="22"/>
        <w:szCs w:val="22"/>
      </w:rPr>
    </w:pPr>
    <w:r w:rsidRPr="00EE12DB">
      <w:rPr>
        <w:sz w:val="22"/>
        <w:szCs w:val="22"/>
      </w:rPr>
      <w:t>Siddharth Narrain</w:t>
    </w:r>
    <w:r>
      <w:rPr>
        <w:sz w:val="22"/>
        <w:szCs w:val="22"/>
      </w:rPr>
      <w:tab/>
    </w:r>
    <w:r>
      <w:rPr>
        <w:sz w:val="22"/>
        <w:szCs w:val="22"/>
      </w:rPr>
      <w:tab/>
      <w:t>Book Review</w:t>
    </w:r>
  </w:p>
  <w:p w:rsidR="00EE12DB" w:rsidRPr="00EE12DB" w:rsidRDefault="00EE12DB" w:rsidP="00EE12DB">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DB" w:rsidRDefault="00EE12DB" w:rsidP="00EE12DB">
    <w:pPr>
      <w:pStyle w:val="Header"/>
      <w:tabs>
        <w:tab w:val="clear" w:pos="9026"/>
        <w:tab w:val="right" w:pos="8222"/>
      </w:tabs>
      <w:rPr>
        <w:sz w:val="22"/>
        <w:szCs w:val="22"/>
      </w:rPr>
    </w:pPr>
    <w:r>
      <w:rPr>
        <w:i/>
        <w:sz w:val="22"/>
        <w:szCs w:val="22"/>
      </w:rPr>
      <w:t>feminists@law</w:t>
    </w:r>
    <w:r>
      <w:rPr>
        <w:sz w:val="22"/>
        <w:szCs w:val="22"/>
      </w:rPr>
      <w:tab/>
    </w:r>
    <w:r>
      <w:rPr>
        <w:sz w:val="22"/>
        <w:szCs w:val="22"/>
      </w:rPr>
      <w:tab/>
      <w:t>Vol 8, No 1 (2018)</w:t>
    </w:r>
  </w:p>
  <w:p w:rsidR="00EE12DB" w:rsidRPr="00EE12DB" w:rsidRDefault="00EE12DB" w:rsidP="00EE12DB">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4688"/>
    <w:multiLevelType w:val="hybridMultilevel"/>
    <w:tmpl w:val="65340036"/>
    <w:lvl w:ilvl="0" w:tplc="057A92F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20A14"/>
    <w:rsid w:val="000345B8"/>
    <w:rsid w:val="00052CD8"/>
    <w:rsid w:val="0007410B"/>
    <w:rsid w:val="000E0E68"/>
    <w:rsid w:val="00106145"/>
    <w:rsid w:val="00114CB7"/>
    <w:rsid w:val="00116A38"/>
    <w:rsid w:val="00127A15"/>
    <w:rsid w:val="001440D9"/>
    <w:rsid w:val="00175269"/>
    <w:rsid w:val="001928F7"/>
    <w:rsid w:val="001C3100"/>
    <w:rsid w:val="001C73E9"/>
    <w:rsid w:val="001D19CD"/>
    <w:rsid w:val="001E45DF"/>
    <w:rsid w:val="002039C3"/>
    <w:rsid w:val="002356CC"/>
    <w:rsid w:val="002716BD"/>
    <w:rsid w:val="002A4F4D"/>
    <w:rsid w:val="00314C45"/>
    <w:rsid w:val="00320A14"/>
    <w:rsid w:val="003368D8"/>
    <w:rsid w:val="00340A0A"/>
    <w:rsid w:val="00343392"/>
    <w:rsid w:val="003703E2"/>
    <w:rsid w:val="003B0E0D"/>
    <w:rsid w:val="003B3C93"/>
    <w:rsid w:val="003B7892"/>
    <w:rsid w:val="003C68F0"/>
    <w:rsid w:val="003E4870"/>
    <w:rsid w:val="003E49CE"/>
    <w:rsid w:val="003F2A4D"/>
    <w:rsid w:val="003F3666"/>
    <w:rsid w:val="003F63DB"/>
    <w:rsid w:val="00405F20"/>
    <w:rsid w:val="00406F33"/>
    <w:rsid w:val="0041373B"/>
    <w:rsid w:val="00417723"/>
    <w:rsid w:val="004247F6"/>
    <w:rsid w:val="004343D4"/>
    <w:rsid w:val="004353C1"/>
    <w:rsid w:val="004666E1"/>
    <w:rsid w:val="00483FF9"/>
    <w:rsid w:val="004B6C3B"/>
    <w:rsid w:val="004C59B8"/>
    <w:rsid w:val="004D4EFC"/>
    <w:rsid w:val="004D73FA"/>
    <w:rsid w:val="00502944"/>
    <w:rsid w:val="00534E79"/>
    <w:rsid w:val="00570BFD"/>
    <w:rsid w:val="00586A77"/>
    <w:rsid w:val="005958E0"/>
    <w:rsid w:val="005A0A30"/>
    <w:rsid w:val="005A49B1"/>
    <w:rsid w:val="005A4F9F"/>
    <w:rsid w:val="005A5568"/>
    <w:rsid w:val="005A6318"/>
    <w:rsid w:val="005B0D2D"/>
    <w:rsid w:val="005E2165"/>
    <w:rsid w:val="005F7E4C"/>
    <w:rsid w:val="00635AD6"/>
    <w:rsid w:val="0065513F"/>
    <w:rsid w:val="00660DDD"/>
    <w:rsid w:val="00680537"/>
    <w:rsid w:val="006A2B1D"/>
    <w:rsid w:val="006A6761"/>
    <w:rsid w:val="006B569F"/>
    <w:rsid w:val="006B7BCA"/>
    <w:rsid w:val="006D7FAC"/>
    <w:rsid w:val="006F6F80"/>
    <w:rsid w:val="00713368"/>
    <w:rsid w:val="00761E44"/>
    <w:rsid w:val="00765FA0"/>
    <w:rsid w:val="00782DF7"/>
    <w:rsid w:val="007853E7"/>
    <w:rsid w:val="00790929"/>
    <w:rsid w:val="007C26A1"/>
    <w:rsid w:val="007E44B2"/>
    <w:rsid w:val="007E537E"/>
    <w:rsid w:val="007F10C4"/>
    <w:rsid w:val="007F6C6F"/>
    <w:rsid w:val="00802006"/>
    <w:rsid w:val="008026F0"/>
    <w:rsid w:val="0081458C"/>
    <w:rsid w:val="00841A31"/>
    <w:rsid w:val="008B6843"/>
    <w:rsid w:val="008F2B5F"/>
    <w:rsid w:val="00912592"/>
    <w:rsid w:val="00924D62"/>
    <w:rsid w:val="00966858"/>
    <w:rsid w:val="009B1E88"/>
    <w:rsid w:val="009C761D"/>
    <w:rsid w:val="009D7186"/>
    <w:rsid w:val="009F2FF7"/>
    <w:rsid w:val="009F71EA"/>
    <w:rsid w:val="00A003BA"/>
    <w:rsid w:val="00A035BD"/>
    <w:rsid w:val="00A03D26"/>
    <w:rsid w:val="00A82A5E"/>
    <w:rsid w:val="00AA403B"/>
    <w:rsid w:val="00AC7EA8"/>
    <w:rsid w:val="00AE2C98"/>
    <w:rsid w:val="00B04453"/>
    <w:rsid w:val="00B127F8"/>
    <w:rsid w:val="00B70AA7"/>
    <w:rsid w:val="00B8189D"/>
    <w:rsid w:val="00B8729D"/>
    <w:rsid w:val="00BA42F1"/>
    <w:rsid w:val="00C10062"/>
    <w:rsid w:val="00C44964"/>
    <w:rsid w:val="00C923A8"/>
    <w:rsid w:val="00CC366C"/>
    <w:rsid w:val="00CF072D"/>
    <w:rsid w:val="00D01BD5"/>
    <w:rsid w:val="00D0432F"/>
    <w:rsid w:val="00D1672F"/>
    <w:rsid w:val="00D43F8E"/>
    <w:rsid w:val="00D4761C"/>
    <w:rsid w:val="00D800C7"/>
    <w:rsid w:val="00D80B76"/>
    <w:rsid w:val="00DA61F8"/>
    <w:rsid w:val="00DB74B0"/>
    <w:rsid w:val="00DD4763"/>
    <w:rsid w:val="00DE0E9A"/>
    <w:rsid w:val="00DE0EE0"/>
    <w:rsid w:val="00DE68D3"/>
    <w:rsid w:val="00DF31B3"/>
    <w:rsid w:val="00E11C57"/>
    <w:rsid w:val="00E31C71"/>
    <w:rsid w:val="00EC5C45"/>
    <w:rsid w:val="00EE12DB"/>
    <w:rsid w:val="00EE3FC7"/>
    <w:rsid w:val="00EF7F0D"/>
    <w:rsid w:val="00F17BAA"/>
    <w:rsid w:val="00F365E9"/>
    <w:rsid w:val="00F51608"/>
    <w:rsid w:val="00F56BFE"/>
    <w:rsid w:val="00F70F9D"/>
    <w:rsid w:val="00F77B57"/>
    <w:rsid w:val="00F85608"/>
    <w:rsid w:val="00F907F6"/>
    <w:rsid w:val="00FA2698"/>
    <w:rsid w:val="00FC71B1"/>
    <w:rsid w:val="00FE4B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4CE9CCD-7C3F-4DCB-83D0-C0D6C0B3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79"/>
    <w:pPr>
      <w:ind w:left="720"/>
      <w:contextualSpacing/>
    </w:pPr>
  </w:style>
  <w:style w:type="paragraph" w:styleId="FootnoteText">
    <w:name w:val="footnote text"/>
    <w:basedOn w:val="Normal"/>
    <w:link w:val="FootnoteTextChar"/>
    <w:uiPriority w:val="99"/>
    <w:semiHidden/>
    <w:unhideWhenUsed/>
    <w:rsid w:val="003703E2"/>
    <w:pPr>
      <w:spacing w:after="0"/>
    </w:pPr>
  </w:style>
  <w:style w:type="character" w:customStyle="1" w:styleId="FootnoteTextChar">
    <w:name w:val="Footnote Text Char"/>
    <w:basedOn w:val="DefaultParagraphFont"/>
    <w:link w:val="FootnoteText"/>
    <w:uiPriority w:val="99"/>
    <w:semiHidden/>
    <w:rsid w:val="003703E2"/>
    <w:rPr>
      <w:sz w:val="24"/>
      <w:szCs w:val="24"/>
    </w:rPr>
  </w:style>
  <w:style w:type="character" w:styleId="FootnoteReference">
    <w:name w:val="footnote reference"/>
    <w:basedOn w:val="DefaultParagraphFont"/>
    <w:uiPriority w:val="99"/>
    <w:semiHidden/>
    <w:unhideWhenUsed/>
    <w:rsid w:val="003703E2"/>
    <w:rPr>
      <w:vertAlign w:val="superscript"/>
    </w:rPr>
  </w:style>
  <w:style w:type="paragraph" w:styleId="Header">
    <w:name w:val="header"/>
    <w:basedOn w:val="Normal"/>
    <w:link w:val="HeaderChar"/>
    <w:uiPriority w:val="99"/>
    <w:unhideWhenUsed/>
    <w:rsid w:val="00EE12DB"/>
    <w:pPr>
      <w:tabs>
        <w:tab w:val="center" w:pos="4513"/>
        <w:tab w:val="right" w:pos="9026"/>
      </w:tabs>
      <w:spacing w:after="0"/>
    </w:pPr>
  </w:style>
  <w:style w:type="character" w:customStyle="1" w:styleId="HeaderChar">
    <w:name w:val="Header Char"/>
    <w:basedOn w:val="DefaultParagraphFont"/>
    <w:link w:val="Header"/>
    <w:uiPriority w:val="99"/>
    <w:rsid w:val="00EE12DB"/>
    <w:rPr>
      <w:sz w:val="24"/>
      <w:szCs w:val="24"/>
    </w:rPr>
  </w:style>
  <w:style w:type="paragraph" w:styleId="Footer">
    <w:name w:val="footer"/>
    <w:basedOn w:val="Normal"/>
    <w:link w:val="FooterChar"/>
    <w:uiPriority w:val="99"/>
    <w:unhideWhenUsed/>
    <w:rsid w:val="00EE12DB"/>
    <w:pPr>
      <w:tabs>
        <w:tab w:val="center" w:pos="4513"/>
        <w:tab w:val="right" w:pos="9026"/>
      </w:tabs>
      <w:spacing w:after="0"/>
    </w:pPr>
  </w:style>
  <w:style w:type="character" w:customStyle="1" w:styleId="FooterChar">
    <w:name w:val="Footer Char"/>
    <w:basedOn w:val="DefaultParagraphFont"/>
    <w:link w:val="Footer"/>
    <w:uiPriority w:val="99"/>
    <w:rsid w:val="00EE12DB"/>
    <w:rPr>
      <w:sz w:val="24"/>
      <w:szCs w:val="24"/>
    </w:rPr>
  </w:style>
  <w:style w:type="character" w:styleId="Hyperlink">
    <w:name w:val="Hyperlink"/>
    <w:basedOn w:val="DefaultParagraphFont"/>
    <w:uiPriority w:val="99"/>
    <w:unhideWhenUsed/>
    <w:rsid w:val="00C10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iddharth.narr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C3EF-9759-4294-B95B-CA5FA2A8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ALF</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Narrain</dc:creator>
  <cp:keywords/>
  <cp:lastModifiedBy>Rosemary Hunter</cp:lastModifiedBy>
  <cp:revision>11</cp:revision>
  <dcterms:created xsi:type="dcterms:W3CDTF">2018-07-03T15:45:00Z</dcterms:created>
  <dcterms:modified xsi:type="dcterms:W3CDTF">2018-07-03T21:23:00Z</dcterms:modified>
</cp:coreProperties>
</file>