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64E46" w14:textId="6A1E9899" w:rsidR="00C109F1" w:rsidRPr="0093710E" w:rsidRDefault="00C109F1" w:rsidP="00C109F1">
      <w:pPr>
        <w:rPr>
          <w:rFonts w:ascii="Cambria" w:eastAsia="Times New Roman" w:hAnsi="Cambria"/>
          <w:b/>
          <w:color w:val="000000"/>
          <w:sz w:val="28"/>
          <w:szCs w:val="28"/>
          <w:shd w:val="clear" w:color="auto" w:fill="FFFFFF"/>
        </w:rPr>
      </w:pPr>
      <w:r w:rsidRPr="0093710E">
        <w:rPr>
          <w:rFonts w:ascii="Cambria" w:eastAsia="Times New Roman" w:hAnsi="Cambria"/>
          <w:b/>
          <w:color w:val="000000"/>
          <w:sz w:val="28"/>
          <w:szCs w:val="28"/>
          <w:shd w:val="clear" w:color="auto" w:fill="FFFFFF"/>
        </w:rPr>
        <w:t>New Institutions, New Gender Rules?</w:t>
      </w:r>
      <w:r w:rsidR="004A4E22" w:rsidRPr="0093710E">
        <w:rPr>
          <w:rFonts w:ascii="Cambria" w:eastAsia="Times New Roman" w:hAnsi="Cambria"/>
          <w:b/>
          <w:color w:val="000000"/>
          <w:sz w:val="28"/>
          <w:szCs w:val="28"/>
          <w:shd w:val="clear" w:color="auto" w:fill="FFFFFF"/>
        </w:rPr>
        <w:t xml:space="preserve"> A Feminist Institutionalist Lens on Women and Power-Sharing</w:t>
      </w:r>
    </w:p>
    <w:p w14:paraId="79158A6D" w14:textId="77777777" w:rsidR="00C109F1" w:rsidRDefault="00C109F1" w:rsidP="00C109F1">
      <w:pPr>
        <w:rPr>
          <w:rFonts w:ascii="Cambria" w:eastAsia="Times New Roman" w:hAnsi="Cambria"/>
          <w:b/>
          <w:color w:val="000000"/>
          <w:shd w:val="clear" w:color="auto" w:fill="FFFFFF"/>
        </w:rPr>
      </w:pPr>
    </w:p>
    <w:p w14:paraId="22F30BB9" w14:textId="77777777" w:rsidR="00BD7AF9" w:rsidRDefault="00BD7AF9" w:rsidP="00C109F1">
      <w:pPr>
        <w:rPr>
          <w:rFonts w:ascii="Cambria" w:eastAsia="Times New Roman" w:hAnsi="Cambria"/>
          <w:b/>
          <w:color w:val="000000"/>
          <w:shd w:val="clear" w:color="auto" w:fill="FFFFFF"/>
        </w:rPr>
      </w:pPr>
    </w:p>
    <w:p w14:paraId="105A8D06" w14:textId="4366E6BF" w:rsidR="00BD7AF9" w:rsidRPr="00730B71" w:rsidRDefault="00BD7AF9" w:rsidP="00BD7AF9">
      <w:pPr>
        <w:rPr>
          <w:rFonts w:ascii="Cambria" w:eastAsia="Times New Roman" w:hAnsi="Cambria"/>
          <w:color w:val="000000" w:themeColor="text1"/>
          <w:shd w:val="clear" w:color="auto" w:fill="FFFFFF"/>
        </w:rPr>
      </w:pPr>
      <w:r w:rsidRPr="00D80769">
        <w:rPr>
          <w:rFonts w:ascii="Cambria" w:eastAsia="Times New Roman" w:hAnsi="Cambria"/>
          <w:b/>
          <w:color w:val="000000" w:themeColor="text1"/>
          <w:shd w:val="clear" w:color="auto" w:fill="FFFFFF"/>
        </w:rPr>
        <w:t>Fiona Mackay</w:t>
      </w:r>
      <w:r w:rsidR="0093710E">
        <w:rPr>
          <w:rStyle w:val="FootnoteReference"/>
          <w:rFonts w:ascii="Cambria" w:eastAsia="Times New Roman" w:hAnsi="Cambria"/>
          <w:b/>
          <w:color w:val="000000" w:themeColor="text1"/>
          <w:shd w:val="clear" w:color="auto" w:fill="FFFFFF"/>
        </w:rPr>
        <w:footnoteReference w:customMarkFollows="1" w:id="1"/>
        <w:t>*</w:t>
      </w:r>
      <w:r w:rsidR="0093710E">
        <w:rPr>
          <w:rFonts w:ascii="Cambria" w:eastAsia="Times New Roman" w:hAnsi="Cambria"/>
          <w:b/>
          <w:color w:val="000000" w:themeColor="text1"/>
          <w:shd w:val="clear" w:color="auto" w:fill="FFFFFF"/>
        </w:rPr>
        <w:t xml:space="preserve"> </w:t>
      </w:r>
      <w:r w:rsidR="00730B71">
        <w:rPr>
          <w:rFonts w:ascii="Cambria" w:eastAsia="Times New Roman" w:hAnsi="Cambria"/>
          <w:color w:val="000000" w:themeColor="text1"/>
          <w:shd w:val="clear" w:color="auto" w:fill="FFFFFF"/>
        </w:rPr>
        <w:t>and</w:t>
      </w:r>
      <w:r w:rsidRPr="00730B71">
        <w:rPr>
          <w:rFonts w:ascii="Cambria" w:eastAsia="Times New Roman" w:hAnsi="Cambria"/>
          <w:color w:val="000000" w:themeColor="text1"/>
          <w:shd w:val="clear" w:color="auto" w:fill="FFFFFF"/>
        </w:rPr>
        <w:t xml:space="preserve"> </w:t>
      </w:r>
      <w:proofErr w:type="spellStart"/>
      <w:r w:rsidRPr="00D80769">
        <w:rPr>
          <w:rFonts w:ascii="Cambria" w:eastAsia="Times New Roman" w:hAnsi="Cambria"/>
          <w:b/>
          <w:color w:val="000000" w:themeColor="text1"/>
          <w:shd w:val="clear" w:color="auto" w:fill="FFFFFF"/>
        </w:rPr>
        <w:t>Cera</w:t>
      </w:r>
      <w:proofErr w:type="spellEnd"/>
      <w:r w:rsidRPr="00D80769">
        <w:rPr>
          <w:rFonts w:ascii="Cambria" w:eastAsia="Times New Roman" w:hAnsi="Cambria"/>
          <w:b/>
          <w:color w:val="000000" w:themeColor="text1"/>
          <w:shd w:val="clear" w:color="auto" w:fill="FFFFFF"/>
        </w:rPr>
        <w:t xml:space="preserve"> </w:t>
      </w:r>
      <w:proofErr w:type="spellStart"/>
      <w:r w:rsidRPr="00D80769">
        <w:rPr>
          <w:rFonts w:ascii="Cambria" w:eastAsia="Times New Roman" w:hAnsi="Cambria"/>
          <w:b/>
          <w:color w:val="000000" w:themeColor="text1"/>
          <w:shd w:val="clear" w:color="auto" w:fill="FFFFFF"/>
        </w:rPr>
        <w:t>Murtagh</w:t>
      </w:r>
      <w:proofErr w:type="spellEnd"/>
      <w:r w:rsidR="0093710E">
        <w:rPr>
          <w:rStyle w:val="FootnoteReference"/>
          <w:rFonts w:ascii="Cambria" w:eastAsia="Times New Roman" w:hAnsi="Cambria"/>
          <w:b/>
          <w:color w:val="000000" w:themeColor="text1"/>
          <w:shd w:val="clear" w:color="auto" w:fill="FFFFFF"/>
        </w:rPr>
        <w:footnoteReference w:customMarkFollows="1" w:id="2"/>
        <w:t>**</w:t>
      </w:r>
    </w:p>
    <w:p w14:paraId="61157C9D" w14:textId="77777777" w:rsidR="00BD7AF9" w:rsidRPr="003D66DD" w:rsidRDefault="00BD7AF9" w:rsidP="00C109F1">
      <w:pPr>
        <w:rPr>
          <w:rFonts w:ascii="Cambria" w:eastAsia="Times New Roman" w:hAnsi="Cambria"/>
          <w:b/>
          <w:color w:val="000000"/>
          <w:shd w:val="clear" w:color="auto" w:fill="FFFFFF"/>
        </w:rPr>
      </w:pPr>
    </w:p>
    <w:p w14:paraId="61CF3E9C" w14:textId="77777777" w:rsidR="00604AC2" w:rsidRDefault="00604AC2" w:rsidP="004228D5">
      <w:pPr>
        <w:outlineLvl w:val="0"/>
        <w:rPr>
          <w:rFonts w:ascii="Cambria" w:hAnsi="Cambria"/>
          <w:b/>
        </w:rPr>
      </w:pPr>
    </w:p>
    <w:p w14:paraId="199CD8BB" w14:textId="5F97E8EA" w:rsidR="00C109F1" w:rsidRPr="003D66DD" w:rsidRDefault="00FF1546" w:rsidP="004228D5">
      <w:pPr>
        <w:outlineLvl w:val="0"/>
        <w:rPr>
          <w:rFonts w:ascii="Cambria" w:hAnsi="Cambria"/>
          <w:b/>
        </w:rPr>
      </w:pPr>
      <w:r w:rsidRPr="003D66DD">
        <w:rPr>
          <w:rFonts w:ascii="Cambria" w:hAnsi="Cambria"/>
          <w:b/>
        </w:rPr>
        <w:t>Abstract</w:t>
      </w:r>
    </w:p>
    <w:p w14:paraId="35E9BDE6" w14:textId="77777777" w:rsidR="00FF1546" w:rsidRPr="003D66DD" w:rsidRDefault="00FF1546">
      <w:pPr>
        <w:rPr>
          <w:rFonts w:ascii="Cambria" w:hAnsi="Cambria"/>
        </w:rPr>
      </w:pPr>
    </w:p>
    <w:p w14:paraId="6E8FDE56" w14:textId="37D8D16E" w:rsidR="00581AFB" w:rsidRPr="003D66DD" w:rsidRDefault="00581AFB" w:rsidP="00DF6FDB">
      <w:pPr>
        <w:spacing w:line="360" w:lineRule="auto"/>
        <w:rPr>
          <w:rFonts w:ascii="Cambria" w:eastAsia="Times New Roman" w:hAnsi="Cambria"/>
          <w:color w:val="000000"/>
        </w:rPr>
      </w:pPr>
      <w:r w:rsidRPr="003D66DD">
        <w:rPr>
          <w:rFonts w:ascii="Cambria" w:eastAsia="Times New Roman" w:hAnsi="Cambria"/>
          <w:color w:val="000000"/>
        </w:rPr>
        <w:t>This article examines</w:t>
      </w:r>
      <w:r w:rsidR="00FF1546" w:rsidRPr="003D66DD">
        <w:rPr>
          <w:rFonts w:ascii="Cambria" w:eastAsia="Times New Roman" w:hAnsi="Cambria"/>
          <w:color w:val="000000"/>
        </w:rPr>
        <w:t xml:space="preserve"> the apparent tension between power-sharing as the dominant approach to conflict settlement and the inclusion of women and provisions for gender equality as promoted through the Women, Peace and Security agenda. </w:t>
      </w:r>
      <w:r w:rsidRPr="003D66DD">
        <w:rPr>
          <w:rFonts w:ascii="Cambria" w:eastAsia="Times New Roman" w:hAnsi="Cambria"/>
          <w:color w:val="000000"/>
        </w:rPr>
        <w:t>We argue that a</w:t>
      </w:r>
      <w:r w:rsidR="00F95B6B" w:rsidRPr="003D66DD">
        <w:rPr>
          <w:rFonts w:ascii="Cambria" w:eastAsia="Times New Roman" w:hAnsi="Cambria"/>
          <w:color w:val="000000"/>
        </w:rPr>
        <w:t>pplying a</w:t>
      </w:r>
      <w:r w:rsidRPr="003D66DD">
        <w:rPr>
          <w:rFonts w:ascii="Cambria" w:eastAsia="Times New Roman" w:hAnsi="Cambria"/>
          <w:color w:val="000000"/>
        </w:rPr>
        <w:t xml:space="preserve"> feminist institutionalist (FI) </w:t>
      </w:r>
      <w:r w:rsidR="00F95B6B" w:rsidRPr="003D66DD">
        <w:rPr>
          <w:rFonts w:ascii="Cambria" w:eastAsia="Times New Roman" w:hAnsi="Cambria"/>
          <w:color w:val="000000"/>
        </w:rPr>
        <w:t>lens</w:t>
      </w:r>
      <w:r w:rsidRPr="003D66DD">
        <w:rPr>
          <w:rFonts w:ascii="Cambria" w:eastAsia="Times New Roman" w:hAnsi="Cambria"/>
          <w:color w:val="000000"/>
        </w:rPr>
        <w:t xml:space="preserve"> - which attends to the interactions between political and social institutions, and the interplay between formal and informal rules, norms and practices - provides a means of explaining the </w:t>
      </w:r>
      <w:r w:rsidR="00F95B6B" w:rsidRPr="003D66DD">
        <w:rPr>
          <w:rFonts w:ascii="Cambria" w:eastAsia="Times New Roman" w:hAnsi="Cambria"/>
          <w:color w:val="000000"/>
        </w:rPr>
        <w:t>so-called ‘gendered paradox of power-sharing’, in</w:t>
      </w:r>
      <w:r w:rsidR="00DC0E7C" w:rsidRPr="003D66DD">
        <w:rPr>
          <w:rFonts w:ascii="Cambria" w:eastAsia="Times New Roman" w:hAnsi="Cambria"/>
          <w:color w:val="000000"/>
        </w:rPr>
        <w:t>cluding</w:t>
      </w:r>
      <w:r w:rsidR="00F95B6B" w:rsidRPr="003D66DD">
        <w:rPr>
          <w:rFonts w:ascii="Cambria" w:eastAsia="Times New Roman" w:hAnsi="Cambria"/>
          <w:color w:val="000000"/>
        </w:rPr>
        <w:t xml:space="preserve"> the </w:t>
      </w:r>
      <w:r w:rsidRPr="003D66DD">
        <w:rPr>
          <w:rFonts w:ascii="Cambria" w:eastAsia="Times New Roman" w:hAnsi="Cambria"/>
          <w:color w:val="000000"/>
        </w:rPr>
        <w:t xml:space="preserve">gap between </w:t>
      </w:r>
      <w:r w:rsidR="00F95B6B" w:rsidRPr="003D66DD">
        <w:rPr>
          <w:rFonts w:ascii="Cambria" w:eastAsia="Times New Roman" w:hAnsi="Cambria"/>
          <w:color w:val="000000"/>
        </w:rPr>
        <w:t xml:space="preserve">the promise of </w:t>
      </w:r>
      <w:r w:rsidRPr="003D66DD">
        <w:rPr>
          <w:rFonts w:ascii="Cambria" w:eastAsia="Times New Roman" w:hAnsi="Cambria"/>
          <w:color w:val="000000"/>
        </w:rPr>
        <w:t>formal frameworks and outcomes</w:t>
      </w:r>
      <w:r w:rsidR="00DC0E7C" w:rsidRPr="003D66DD">
        <w:rPr>
          <w:rFonts w:ascii="Cambria" w:eastAsia="Times New Roman" w:hAnsi="Cambria"/>
          <w:color w:val="000000"/>
        </w:rPr>
        <w:t xml:space="preserve"> for women in practice</w:t>
      </w:r>
      <w:r w:rsidRPr="003D66DD">
        <w:rPr>
          <w:rFonts w:ascii="Cambria" w:eastAsia="Times New Roman" w:hAnsi="Cambria"/>
          <w:color w:val="000000"/>
        </w:rPr>
        <w:t xml:space="preserve">. We draw upon extant feminist research on three post-conflict power-sharing cases: Bosnia and Herzegovina, Northern Ireland, and Burundi. Using the concepts of: </w:t>
      </w:r>
      <w:r w:rsidRPr="003D66DD">
        <w:rPr>
          <w:rFonts w:ascii="Cambria" w:eastAsia="Times New Roman" w:hAnsi="Cambria"/>
          <w:i/>
          <w:color w:val="000000"/>
        </w:rPr>
        <w:t>nested newness</w:t>
      </w:r>
      <w:r w:rsidRPr="003D66DD">
        <w:rPr>
          <w:rFonts w:ascii="Cambria" w:eastAsia="Times New Roman" w:hAnsi="Cambria"/>
          <w:color w:val="000000"/>
        </w:rPr>
        <w:t xml:space="preserve">, </w:t>
      </w:r>
      <w:r w:rsidRPr="003D66DD">
        <w:rPr>
          <w:rFonts w:ascii="Cambria" w:eastAsia="Times New Roman" w:hAnsi="Cambria"/>
          <w:i/>
          <w:color w:val="000000"/>
        </w:rPr>
        <w:t>formal and informal institutions</w:t>
      </w:r>
      <w:r w:rsidRPr="003D66DD">
        <w:rPr>
          <w:rFonts w:ascii="Cambria" w:eastAsia="Times New Roman" w:hAnsi="Cambria"/>
          <w:color w:val="000000"/>
        </w:rPr>
        <w:t xml:space="preserve">, the </w:t>
      </w:r>
      <w:r w:rsidRPr="003D66DD">
        <w:rPr>
          <w:rFonts w:ascii="Cambria" w:eastAsia="Times New Roman" w:hAnsi="Cambria"/>
          <w:i/>
          <w:color w:val="000000"/>
        </w:rPr>
        <w:t>gendered logic of appropriateness</w:t>
      </w:r>
      <w:r w:rsidRPr="003D66DD">
        <w:rPr>
          <w:rFonts w:ascii="Cambria" w:eastAsia="Times New Roman" w:hAnsi="Cambria"/>
          <w:color w:val="000000"/>
        </w:rPr>
        <w:t xml:space="preserve">, and </w:t>
      </w:r>
      <w:r w:rsidRPr="003D66DD">
        <w:rPr>
          <w:rFonts w:ascii="Cambria" w:eastAsia="Times New Roman" w:hAnsi="Cambria"/>
          <w:i/>
          <w:color w:val="000000"/>
        </w:rPr>
        <w:t>gendered actors</w:t>
      </w:r>
      <w:r w:rsidRPr="003D66DD">
        <w:rPr>
          <w:rFonts w:ascii="Cambria" w:eastAsia="Times New Roman" w:hAnsi="Cambria"/>
          <w:color w:val="000000"/>
        </w:rPr>
        <w:t xml:space="preserve">, we illuminate </w:t>
      </w:r>
      <w:r w:rsidRPr="003D66DD">
        <w:rPr>
          <w:rFonts w:ascii="Cambria" w:eastAsia="Times New Roman" w:hAnsi="Cambria"/>
          <w:i/>
          <w:color w:val="000000"/>
        </w:rPr>
        <w:t>why</w:t>
      </w:r>
      <w:r w:rsidRPr="003D66DD">
        <w:rPr>
          <w:rFonts w:ascii="Cambria" w:eastAsia="Times New Roman" w:hAnsi="Cambria"/>
          <w:color w:val="000000"/>
        </w:rPr>
        <w:t xml:space="preserve"> it has been so difficult for </w:t>
      </w:r>
      <w:r w:rsidR="00F95B6B" w:rsidRPr="003D66DD">
        <w:rPr>
          <w:rFonts w:ascii="Cambria" w:eastAsia="Times New Roman" w:hAnsi="Cambria"/>
          <w:color w:val="000000"/>
        </w:rPr>
        <w:t xml:space="preserve">the </w:t>
      </w:r>
      <w:r w:rsidRPr="003D66DD">
        <w:rPr>
          <w:rFonts w:ascii="Cambria" w:eastAsia="Times New Roman" w:hAnsi="Cambria"/>
          <w:color w:val="000000"/>
        </w:rPr>
        <w:t>gender progressive institutional innovations to be instantiated. In so doing, we answer the call of Byrne and McCulloch (2012) for more systematic analysis and theori</w:t>
      </w:r>
      <w:r w:rsidR="00EF7471">
        <w:rPr>
          <w:rFonts w:ascii="Cambria" w:eastAsia="Times New Roman" w:hAnsi="Cambria"/>
          <w:color w:val="000000"/>
        </w:rPr>
        <w:t>s</w:t>
      </w:r>
      <w:r w:rsidRPr="003D66DD">
        <w:rPr>
          <w:rFonts w:ascii="Cambria" w:eastAsia="Times New Roman" w:hAnsi="Cambria"/>
          <w:color w:val="000000"/>
        </w:rPr>
        <w:t>ing around the gendered paradox of power-sharing, and we also provide a basis for identifying what institutional mechanisms might be needed to embed the inclusion of women and the integration of the WPS norms in power-sharing frameworks in the future</w:t>
      </w:r>
      <w:r w:rsidR="00F95B6B" w:rsidRPr="003D66DD">
        <w:rPr>
          <w:rFonts w:ascii="Cambria" w:eastAsia="Times New Roman" w:hAnsi="Cambria"/>
          <w:color w:val="000000"/>
        </w:rPr>
        <w:t>.</w:t>
      </w:r>
    </w:p>
    <w:p w14:paraId="4CF26F19" w14:textId="77777777" w:rsidR="00E86E43" w:rsidRPr="003D66DD" w:rsidRDefault="00E86E43" w:rsidP="00581AFB">
      <w:pPr>
        <w:rPr>
          <w:rFonts w:ascii="Cambria" w:eastAsia="Times New Roman" w:hAnsi="Cambria"/>
          <w:color w:val="000000"/>
        </w:rPr>
      </w:pPr>
    </w:p>
    <w:p w14:paraId="24B13541" w14:textId="2A3C838F" w:rsidR="00581AFB" w:rsidRPr="003D66DD" w:rsidRDefault="00581AFB">
      <w:pPr>
        <w:rPr>
          <w:rFonts w:ascii="Cambria" w:eastAsia="Times New Roman" w:hAnsi="Cambria"/>
          <w:color w:val="000000"/>
        </w:rPr>
      </w:pPr>
    </w:p>
    <w:p w14:paraId="7A5FB30D" w14:textId="77777777" w:rsidR="00581AFB" w:rsidRPr="003D66DD" w:rsidRDefault="00581AFB">
      <w:pPr>
        <w:rPr>
          <w:rFonts w:ascii="Cambria" w:eastAsia="Times New Roman" w:hAnsi="Cambria"/>
          <w:color w:val="000000"/>
        </w:rPr>
      </w:pPr>
    </w:p>
    <w:p w14:paraId="0FAED16A" w14:textId="77777777" w:rsidR="00180DC9" w:rsidRPr="003D66DD" w:rsidRDefault="00180DC9" w:rsidP="003D49E3">
      <w:pPr>
        <w:spacing w:line="360" w:lineRule="auto"/>
        <w:rPr>
          <w:rFonts w:ascii="Cambria" w:hAnsi="Cambria"/>
          <w:b/>
        </w:rPr>
      </w:pPr>
    </w:p>
    <w:p w14:paraId="6326EF4D" w14:textId="6408DB8B" w:rsidR="00FF1546" w:rsidRPr="003D66DD" w:rsidRDefault="00FF1546">
      <w:pPr>
        <w:spacing w:after="160" w:line="259" w:lineRule="auto"/>
        <w:rPr>
          <w:rFonts w:ascii="Cambria" w:hAnsi="Cambria"/>
          <w:b/>
        </w:rPr>
      </w:pPr>
      <w:r w:rsidRPr="003D66DD">
        <w:rPr>
          <w:rFonts w:ascii="Cambria" w:hAnsi="Cambria"/>
          <w:b/>
        </w:rPr>
        <w:br w:type="page"/>
      </w:r>
    </w:p>
    <w:p w14:paraId="42DB426E" w14:textId="77777777" w:rsidR="00FF1546" w:rsidRPr="003D66DD" w:rsidRDefault="00FF1546" w:rsidP="003D49E3">
      <w:pPr>
        <w:spacing w:line="360" w:lineRule="auto"/>
        <w:rPr>
          <w:rFonts w:ascii="Cambria" w:hAnsi="Cambria"/>
          <w:b/>
        </w:rPr>
      </w:pPr>
    </w:p>
    <w:p w14:paraId="7FF17F5A" w14:textId="4CAA511C" w:rsidR="00FF1546" w:rsidRPr="003D66DD" w:rsidRDefault="00FF1546" w:rsidP="004228D5">
      <w:pPr>
        <w:spacing w:line="360" w:lineRule="auto"/>
        <w:outlineLvl w:val="0"/>
        <w:rPr>
          <w:rFonts w:ascii="Cambria" w:hAnsi="Cambria"/>
          <w:b/>
        </w:rPr>
      </w:pPr>
      <w:r w:rsidRPr="003D66DD">
        <w:rPr>
          <w:rFonts w:ascii="Cambria" w:hAnsi="Cambria"/>
          <w:b/>
        </w:rPr>
        <w:t>Introduction</w:t>
      </w:r>
      <w:r w:rsidR="000B483A" w:rsidRPr="00604AC2">
        <w:rPr>
          <w:rStyle w:val="FootnoteReference"/>
          <w:rFonts w:ascii="Cambria" w:hAnsi="Cambria"/>
        </w:rPr>
        <w:footnoteReference w:id="3"/>
      </w:r>
    </w:p>
    <w:p w14:paraId="44ADA5F0" w14:textId="12ACFC2F" w:rsidR="005E7B83" w:rsidRPr="003D66DD" w:rsidRDefault="005E7B83" w:rsidP="005E7B83">
      <w:pPr>
        <w:spacing w:line="360" w:lineRule="auto"/>
        <w:rPr>
          <w:rFonts w:ascii="Cambria" w:eastAsia="Times New Roman" w:hAnsi="Cambria"/>
          <w:color w:val="000000"/>
        </w:rPr>
      </w:pPr>
      <w:r w:rsidRPr="003D66DD">
        <w:rPr>
          <w:rFonts w:ascii="Cambria" w:eastAsia="Times New Roman" w:hAnsi="Cambria"/>
          <w:color w:val="000000"/>
        </w:rPr>
        <w:t>This article applies a feminist institutionalist (FI) lens to the apparent tension between power-sharing as the dominant approach to conflict settlement and the inclusion of women and provisions for gender equality as promoted through the Women, Peace and Security (WPS) agenda. In so doing, we answer the call of feminist scholars such as Byrne and McCulloch (2012) for more</w:t>
      </w:r>
      <w:r w:rsidR="00EF7471">
        <w:rPr>
          <w:rFonts w:ascii="Cambria" w:eastAsia="Times New Roman" w:hAnsi="Cambria"/>
          <w:color w:val="000000"/>
        </w:rPr>
        <w:t xml:space="preserve"> systematic analysis and theoris</w:t>
      </w:r>
      <w:r w:rsidRPr="003D66DD">
        <w:rPr>
          <w:rFonts w:ascii="Cambria" w:eastAsia="Times New Roman" w:hAnsi="Cambria"/>
          <w:color w:val="000000"/>
        </w:rPr>
        <w:t xml:space="preserve">ing around the gendered paradox of power-sharing. Whilst these two international trends have coincided and developed over the last twenty years or so, </w:t>
      </w:r>
      <w:r w:rsidRPr="003D66DD">
        <w:rPr>
          <w:rFonts w:ascii="Cambria" w:hAnsi="Cambria"/>
        </w:rPr>
        <w:t xml:space="preserve">questions remain about whether and how the concerns of WPS can be reconciled with the practice of political power-sharing in post-conflict states. </w:t>
      </w:r>
      <w:r w:rsidR="00AB70EF">
        <w:rPr>
          <w:rFonts w:ascii="Cambria" w:hAnsi="Cambria"/>
        </w:rPr>
        <w:t>F</w:t>
      </w:r>
      <w:r w:rsidRPr="003D66DD">
        <w:rPr>
          <w:rFonts w:ascii="Cambria" w:eastAsia="Times New Roman" w:hAnsi="Cambria"/>
          <w:color w:val="000000"/>
        </w:rPr>
        <w:t xml:space="preserve">eminist </w:t>
      </w:r>
      <w:r w:rsidR="00AB70EF">
        <w:rPr>
          <w:rFonts w:ascii="Cambria" w:eastAsia="Times New Roman" w:hAnsi="Cambria"/>
          <w:color w:val="000000"/>
        </w:rPr>
        <w:t>critiques are long standing</w:t>
      </w:r>
      <w:r w:rsidRPr="003D66DD">
        <w:rPr>
          <w:rFonts w:ascii="Cambria" w:eastAsia="Times New Roman" w:hAnsi="Cambria"/>
          <w:color w:val="000000"/>
        </w:rPr>
        <w:t xml:space="preserve"> </w:t>
      </w:r>
      <w:r w:rsidR="003B75DC">
        <w:rPr>
          <w:rFonts w:ascii="Cambria" w:eastAsia="Times New Roman" w:hAnsi="Cambria"/>
          <w:color w:val="000000"/>
        </w:rPr>
        <w:t>of</w:t>
      </w:r>
      <w:r w:rsidRPr="003D66DD">
        <w:rPr>
          <w:rFonts w:ascii="Cambria" w:eastAsia="Times New Roman" w:hAnsi="Cambria"/>
          <w:color w:val="000000"/>
        </w:rPr>
        <w:t xml:space="preserve"> the exclusionary dynamics of conflict resolution and resultant political settlements </w:t>
      </w:r>
      <w:r w:rsidR="00F021CD">
        <w:rPr>
          <w:rFonts w:ascii="Cambria" w:eastAsia="Times New Roman" w:hAnsi="Cambria"/>
          <w:color w:val="000000"/>
        </w:rPr>
        <w:t>–</w:t>
      </w:r>
      <w:r w:rsidRPr="003D66DD">
        <w:rPr>
          <w:rFonts w:ascii="Cambria" w:eastAsia="Times New Roman" w:hAnsi="Cambria"/>
          <w:color w:val="000000"/>
        </w:rPr>
        <w:t xml:space="preserve"> including</w:t>
      </w:r>
      <w:r w:rsidR="00F021CD">
        <w:rPr>
          <w:rFonts w:ascii="Cambria" w:eastAsia="Times New Roman" w:hAnsi="Cambria"/>
          <w:color w:val="000000"/>
        </w:rPr>
        <w:t xml:space="preserve"> </w:t>
      </w:r>
      <w:r w:rsidRPr="003D66DD">
        <w:rPr>
          <w:rFonts w:ascii="Cambria" w:eastAsia="Times New Roman" w:hAnsi="Cambria"/>
          <w:color w:val="000000"/>
        </w:rPr>
        <w:t xml:space="preserve">power-sharing models </w:t>
      </w:r>
      <w:r w:rsidR="00391677">
        <w:rPr>
          <w:rFonts w:ascii="Cambria" w:eastAsia="Times New Roman" w:hAnsi="Cambria"/>
          <w:color w:val="000000"/>
        </w:rPr>
        <w:t>–</w:t>
      </w:r>
      <w:r w:rsidRPr="003D66DD">
        <w:rPr>
          <w:rFonts w:ascii="Cambria" w:eastAsia="Times New Roman" w:hAnsi="Cambria"/>
          <w:color w:val="000000"/>
        </w:rPr>
        <w:t xml:space="preserve"> that</w:t>
      </w:r>
      <w:r w:rsidR="00391677">
        <w:rPr>
          <w:rFonts w:ascii="Cambria" w:eastAsia="Times New Roman" w:hAnsi="Cambria"/>
          <w:color w:val="000000"/>
        </w:rPr>
        <w:t xml:space="preserve">, it is </w:t>
      </w:r>
      <w:r w:rsidRPr="003D66DD">
        <w:rPr>
          <w:rFonts w:ascii="Cambria" w:eastAsia="Times New Roman" w:hAnsi="Cambria"/>
          <w:color w:val="000000"/>
        </w:rPr>
        <w:t>argued</w:t>
      </w:r>
      <w:r w:rsidR="00391677">
        <w:rPr>
          <w:rFonts w:ascii="Cambria" w:eastAsia="Times New Roman" w:hAnsi="Cambria"/>
          <w:color w:val="000000"/>
        </w:rPr>
        <w:t>,</w:t>
      </w:r>
      <w:r w:rsidRPr="003D66DD">
        <w:rPr>
          <w:rFonts w:ascii="Cambria" w:eastAsia="Times New Roman" w:hAnsi="Cambria"/>
          <w:color w:val="000000"/>
        </w:rPr>
        <w:t xml:space="preserve"> neglect social and cultural dynamics, and to reinforce gender</w:t>
      </w:r>
      <w:r w:rsidR="001D4F54" w:rsidRPr="003D66DD">
        <w:rPr>
          <w:rFonts w:ascii="Cambria" w:eastAsia="Times New Roman" w:hAnsi="Cambria"/>
          <w:color w:val="000000"/>
        </w:rPr>
        <w:t xml:space="preserve"> and other</w:t>
      </w:r>
      <w:r w:rsidRPr="003D66DD">
        <w:rPr>
          <w:rFonts w:ascii="Cambria" w:eastAsia="Times New Roman" w:hAnsi="Cambria"/>
          <w:color w:val="000000"/>
        </w:rPr>
        <w:t xml:space="preserve"> inequalities.</w:t>
      </w:r>
    </w:p>
    <w:p w14:paraId="54C3BCEE" w14:textId="77777777" w:rsidR="005E7B83" w:rsidRPr="003D66DD" w:rsidRDefault="005E7B83" w:rsidP="005E7B83">
      <w:pPr>
        <w:spacing w:line="360" w:lineRule="auto"/>
        <w:rPr>
          <w:rFonts w:ascii="Cambria" w:eastAsia="Times New Roman" w:hAnsi="Cambria"/>
          <w:color w:val="000000"/>
        </w:rPr>
      </w:pPr>
    </w:p>
    <w:p w14:paraId="7433E102" w14:textId="24096D7F" w:rsidR="005E7B83" w:rsidRPr="003D66DD" w:rsidRDefault="005E7B83" w:rsidP="005E7B83">
      <w:pPr>
        <w:spacing w:line="360" w:lineRule="auto"/>
        <w:rPr>
          <w:rFonts w:ascii="Cambria" w:hAnsi="Cambria"/>
        </w:rPr>
      </w:pPr>
      <w:r w:rsidRPr="003D66DD">
        <w:rPr>
          <w:rFonts w:ascii="Cambria" w:eastAsia="Times New Roman" w:hAnsi="Cambria"/>
          <w:color w:val="000000"/>
        </w:rPr>
        <w:t xml:space="preserve">Processes </w:t>
      </w:r>
      <w:r w:rsidR="00391677">
        <w:rPr>
          <w:rFonts w:ascii="Cambria" w:eastAsia="Times New Roman" w:hAnsi="Cambria"/>
          <w:color w:val="000000"/>
        </w:rPr>
        <w:t xml:space="preserve">aimed at </w:t>
      </w:r>
      <w:r w:rsidRPr="003D66DD">
        <w:rPr>
          <w:rFonts w:ascii="Cambria" w:eastAsia="Times New Roman" w:hAnsi="Cambria"/>
          <w:color w:val="000000"/>
        </w:rPr>
        <w:t xml:space="preserve">post-conflict </w:t>
      </w:r>
      <w:r w:rsidRPr="003D66DD">
        <w:rPr>
          <w:rFonts w:ascii="Cambria" w:hAnsi="Cambria"/>
        </w:rPr>
        <w:t xml:space="preserve">political settlement, represent an opportunity for the inclusion of women and concerns about gender equality, including equal political participation. As </w:t>
      </w:r>
      <w:r w:rsidR="00780DA7">
        <w:rPr>
          <w:rFonts w:ascii="Cambria" w:hAnsi="Cambria"/>
        </w:rPr>
        <w:t>a point</w:t>
      </w:r>
      <w:r w:rsidRPr="003D66DD">
        <w:rPr>
          <w:rFonts w:ascii="Cambria" w:hAnsi="Cambria"/>
        </w:rPr>
        <w:t xml:space="preserve"> of fundamental restructuring, pact</w:t>
      </w:r>
      <w:r w:rsidR="00391677">
        <w:rPr>
          <w:rFonts w:ascii="Cambria" w:hAnsi="Cambria"/>
        </w:rPr>
        <w:t>-</w:t>
      </w:r>
      <w:r w:rsidRPr="003D66DD">
        <w:rPr>
          <w:rFonts w:ascii="Cambria" w:hAnsi="Cambria"/>
        </w:rPr>
        <w:t>making provides a critical juncture for women’s inclusion, potentially allowing access at ‘ground zero’ of institutional and constitutional design.  Indeed, the underlying rationale of the WPS agenda and the landmark United Nations Security Council Resolution 1325 (2000) and subsequent resolutions has been the need for women and their diverse perspectives to be included in these processes</w:t>
      </w:r>
      <w:r w:rsidR="00ED52F1">
        <w:rPr>
          <w:rFonts w:ascii="Cambria" w:hAnsi="Cambria"/>
        </w:rPr>
        <w:t xml:space="preserve"> </w:t>
      </w:r>
      <w:r w:rsidR="00ED52F1" w:rsidRPr="00E0274B">
        <w:rPr>
          <w:rFonts w:ascii="Cambria" w:hAnsi="Cambria"/>
        </w:rPr>
        <w:t xml:space="preserve">(Bell </w:t>
      </w:r>
      <w:r w:rsidR="00E0274B" w:rsidRPr="00E0274B">
        <w:rPr>
          <w:rFonts w:ascii="Cambria" w:hAnsi="Cambria"/>
        </w:rPr>
        <w:t>and</w:t>
      </w:r>
      <w:r w:rsidR="00780DA7">
        <w:rPr>
          <w:rFonts w:ascii="Cambria" w:hAnsi="Cambria"/>
        </w:rPr>
        <w:t xml:space="preserve"> O’Rourke</w:t>
      </w:r>
      <w:r w:rsidR="004F782C">
        <w:rPr>
          <w:rFonts w:ascii="Cambria" w:hAnsi="Cambria"/>
        </w:rPr>
        <w:t>,</w:t>
      </w:r>
      <w:r w:rsidR="00ED52F1" w:rsidRPr="00E0274B">
        <w:rPr>
          <w:rFonts w:ascii="Cambria" w:hAnsi="Cambria"/>
        </w:rPr>
        <w:t xml:space="preserve"> 2007</w:t>
      </w:r>
      <w:r w:rsidR="004F782C">
        <w:rPr>
          <w:rFonts w:ascii="Cambria" w:hAnsi="Cambria"/>
        </w:rPr>
        <w:t>,</w:t>
      </w:r>
      <w:r w:rsidR="00E0274B" w:rsidRPr="00E0274B">
        <w:rPr>
          <w:rFonts w:ascii="Cambria" w:hAnsi="Cambria"/>
        </w:rPr>
        <w:t xml:space="preserve"> 2010)</w:t>
      </w:r>
      <w:r w:rsidR="00E0274B" w:rsidRPr="00506064">
        <w:t>.</w:t>
      </w:r>
      <w:r w:rsidRPr="003D66DD">
        <w:rPr>
          <w:rFonts w:ascii="Cambria" w:hAnsi="Cambria"/>
        </w:rPr>
        <w:t xml:space="preserve"> The WPS agenda promotes the inclusion of women at every stage of conflict resolution and post-conflict </w:t>
      </w:r>
      <w:r w:rsidRPr="003D66DD">
        <w:rPr>
          <w:rFonts w:ascii="Cambria" w:hAnsi="Cambria"/>
        </w:rPr>
        <w:lastRenderedPageBreak/>
        <w:t xml:space="preserve">political settlement, and participation at all levels of decision-making. </w:t>
      </w:r>
      <w:r w:rsidR="00780DA7">
        <w:rPr>
          <w:rFonts w:ascii="Cambria" w:hAnsi="Cambria"/>
        </w:rPr>
        <w:t>Beyond presence (the descriptive</w:t>
      </w:r>
      <w:r w:rsidRPr="003D66DD">
        <w:rPr>
          <w:rFonts w:ascii="Cambria" w:hAnsi="Cambria"/>
        </w:rPr>
        <w:t xml:space="preserve"> representation of women), the agenda promotes the substantive representation of women, including through equalities and women’s rights blueprints, the mainstreaming of gender perspectives into all aspects of post-conflict policy and programmes</w:t>
      </w:r>
      <w:r w:rsidR="0076267B" w:rsidRPr="003D66DD">
        <w:rPr>
          <w:rFonts w:ascii="Cambria" w:hAnsi="Cambria"/>
        </w:rPr>
        <w:t xml:space="preserve"> of recovery and reconstruction</w:t>
      </w:r>
      <w:r w:rsidRPr="003D66DD">
        <w:rPr>
          <w:rFonts w:ascii="Cambria" w:hAnsi="Cambria"/>
        </w:rPr>
        <w:t xml:space="preserve">, and </w:t>
      </w:r>
      <w:r w:rsidR="0076267B" w:rsidRPr="003D66DD">
        <w:rPr>
          <w:rFonts w:ascii="Cambria" w:hAnsi="Cambria"/>
        </w:rPr>
        <w:t xml:space="preserve">state </w:t>
      </w:r>
      <w:r w:rsidRPr="003D66DD">
        <w:rPr>
          <w:rFonts w:ascii="Cambria" w:hAnsi="Cambria"/>
        </w:rPr>
        <w:t>action to address (through prevention and protection) gender-based violence including sexual violence</w:t>
      </w:r>
      <w:r w:rsidR="00E0274B">
        <w:rPr>
          <w:rFonts w:ascii="Cambria" w:hAnsi="Cambria"/>
        </w:rPr>
        <w:t xml:space="preserve"> (</w:t>
      </w:r>
      <w:proofErr w:type="spellStart"/>
      <w:r w:rsidR="00E0274B">
        <w:rPr>
          <w:rFonts w:ascii="Cambria" w:hAnsi="Cambria"/>
        </w:rPr>
        <w:t>Chinkin</w:t>
      </w:r>
      <w:proofErr w:type="spellEnd"/>
      <w:r w:rsidR="004F782C">
        <w:rPr>
          <w:rFonts w:ascii="Cambria" w:hAnsi="Cambria"/>
        </w:rPr>
        <w:t>,</w:t>
      </w:r>
      <w:r w:rsidR="00E0274B">
        <w:rPr>
          <w:rFonts w:ascii="Cambria" w:hAnsi="Cambria"/>
        </w:rPr>
        <w:t xml:space="preserve"> 2003</w:t>
      </w:r>
      <w:r w:rsidR="00780DA7">
        <w:rPr>
          <w:rFonts w:ascii="Cambria" w:hAnsi="Cambria"/>
        </w:rPr>
        <w:t>;</w:t>
      </w:r>
      <w:r w:rsidR="00E91803">
        <w:rPr>
          <w:rFonts w:ascii="Cambria" w:hAnsi="Cambria"/>
        </w:rPr>
        <w:t xml:space="preserve"> Miller et al</w:t>
      </w:r>
      <w:r w:rsidR="00780DA7">
        <w:rPr>
          <w:rFonts w:ascii="Cambria" w:hAnsi="Cambria"/>
        </w:rPr>
        <w:t>.</w:t>
      </w:r>
      <w:r w:rsidR="004F782C">
        <w:rPr>
          <w:rFonts w:ascii="Cambria" w:hAnsi="Cambria"/>
        </w:rPr>
        <w:t>,</w:t>
      </w:r>
      <w:r w:rsidR="00E91803">
        <w:rPr>
          <w:rFonts w:ascii="Cambria" w:hAnsi="Cambria"/>
        </w:rPr>
        <w:t xml:space="preserve"> 2014).</w:t>
      </w:r>
      <w:r w:rsidRPr="003D66DD">
        <w:rPr>
          <w:rFonts w:ascii="Cambria" w:hAnsi="Cambria"/>
        </w:rPr>
        <w:t xml:space="preserve"> </w:t>
      </w:r>
    </w:p>
    <w:p w14:paraId="054BEECF" w14:textId="77777777" w:rsidR="005E7B83" w:rsidRPr="003D66DD" w:rsidRDefault="005E7B83" w:rsidP="005E7B83">
      <w:pPr>
        <w:spacing w:line="360" w:lineRule="auto"/>
        <w:rPr>
          <w:rFonts w:ascii="Cambria" w:hAnsi="Cambria"/>
        </w:rPr>
      </w:pPr>
    </w:p>
    <w:p w14:paraId="4D153006" w14:textId="06A067B3" w:rsidR="005E7B83" w:rsidRPr="004D15BA" w:rsidRDefault="005E7B83" w:rsidP="005E7B83">
      <w:pPr>
        <w:spacing w:line="360" w:lineRule="auto"/>
        <w:rPr>
          <w:rFonts w:ascii="Cambria" w:eastAsia="Times New Roman" w:hAnsi="Cambria"/>
        </w:rPr>
      </w:pPr>
      <w:r w:rsidRPr="003D66DD">
        <w:rPr>
          <w:rFonts w:ascii="Cambria" w:hAnsi="Cambria"/>
        </w:rPr>
        <w:t xml:space="preserve">Although implementation of the WPS agenda has been patchy, there has been an increase in the number of provisions in formal peace agreements relating to women and gender, from mandating gender quotas in ‘post-conflict’ legislatures and executives to prescribing specific institutions for women in the new frameworks. Indeed, </w:t>
      </w:r>
      <w:r w:rsidRPr="003D66DD">
        <w:rPr>
          <w:rFonts w:ascii="Cambria" w:eastAsia="Times New Roman" w:hAnsi="Cambria"/>
          <w:color w:val="000000"/>
        </w:rPr>
        <w:t>new empirical evidence from the PAX database (Bell</w:t>
      </w:r>
      <w:r w:rsidR="004F782C">
        <w:rPr>
          <w:rFonts w:ascii="Cambria" w:eastAsia="Times New Roman" w:hAnsi="Cambria"/>
          <w:color w:val="000000"/>
        </w:rPr>
        <w:t>,</w:t>
      </w:r>
      <w:r w:rsidRPr="003D66DD">
        <w:rPr>
          <w:rFonts w:ascii="Cambria" w:eastAsia="Times New Roman" w:hAnsi="Cambria"/>
          <w:color w:val="000000"/>
        </w:rPr>
        <w:t xml:space="preserve"> 2015</w:t>
      </w:r>
      <w:r w:rsidR="008C1957" w:rsidRPr="00D80A06">
        <w:rPr>
          <w:rFonts w:ascii="Cambria" w:eastAsia="Times New Roman" w:hAnsi="Cambria"/>
          <w:color w:val="000000" w:themeColor="text1"/>
        </w:rPr>
        <w:t>b</w:t>
      </w:r>
      <w:r w:rsidR="004F782C">
        <w:rPr>
          <w:rFonts w:ascii="Cambria" w:eastAsia="Times New Roman" w:hAnsi="Cambria"/>
          <w:color w:val="000000"/>
        </w:rPr>
        <w:t xml:space="preserve">; </w:t>
      </w:r>
      <w:r w:rsidRPr="003D66DD">
        <w:rPr>
          <w:rFonts w:ascii="Cambria" w:eastAsia="Times New Roman" w:hAnsi="Cambria"/>
          <w:color w:val="000000"/>
        </w:rPr>
        <w:t xml:space="preserve">Bell and </w:t>
      </w:r>
      <w:proofErr w:type="spellStart"/>
      <w:r w:rsidRPr="003D66DD">
        <w:rPr>
          <w:rFonts w:ascii="Cambria" w:eastAsia="Times New Roman" w:hAnsi="Cambria"/>
          <w:color w:val="000000"/>
        </w:rPr>
        <w:t>McNicholl</w:t>
      </w:r>
      <w:proofErr w:type="spellEnd"/>
      <w:r w:rsidR="004F782C">
        <w:rPr>
          <w:rFonts w:ascii="Cambria" w:eastAsia="Times New Roman" w:hAnsi="Cambria"/>
          <w:color w:val="000000"/>
        </w:rPr>
        <w:t>,</w:t>
      </w:r>
      <w:r w:rsidRPr="003D66DD">
        <w:rPr>
          <w:rFonts w:ascii="Cambria" w:eastAsia="Times New Roman" w:hAnsi="Cambria"/>
          <w:color w:val="000000"/>
        </w:rPr>
        <w:t xml:space="preserve"> </w:t>
      </w:r>
      <w:r w:rsidR="002B131F">
        <w:rPr>
          <w:rFonts w:ascii="Cambria" w:eastAsia="Times New Roman" w:hAnsi="Cambria"/>
          <w:color w:val="000000"/>
        </w:rPr>
        <w:t>this issue</w:t>
      </w:r>
      <w:r w:rsidRPr="003D66DD">
        <w:rPr>
          <w:rFonts w:ascii="Cambria" w:eastAsia="Times New Roman" w:hAnsi="Cambria"/>
          <w:color w:val="000000"/>
        </w:rPr>
        <w:t>) demonstrates there is, in fact, a positive correlation between power-sharing institutional models and formal gender provisions in peace agreements. However</w:t>
      </w:r>
      <w:r w:rsidR="00A400D7">
        <w:rPr>
          <w:rFonts w:ascii="Cambria" w:eastAsia="Times New Roman" w:hAnsi="Cambria"/>
          <w:color w:val="000000"/>
        </w:rPr>
        <w:t>,</w:t>
      </w:r>
      <w:r w:rsidRPr="003D66DD">
        <w:rPr>
          <w:rFonts w:ascii="Cambria" w:eastAsia="Times New Roman" w:hAnsi="Cambria"/>
          <w:color w:val="000000"/>
        </w:rPr>
        <w:t xml:space="preserve"> </w:t>
      </w:r>
      <w:r w:rsidRPr="003D66DD">
        <w:rPr>
          <w:rFonts w:ascii="Cambria" w:eastAsia="Times New Roman" w:hAnsi="Cambria"/>
        </w:rPr>
        <w:t>much scepticism remains amongst feminist scholars and activists</w:t>
      </w:r>
      <w:r w:rsidR="00923F5D">
        <w:rPr>
          <w:rFonts w:ascii="Cambria" w:eastAsia="Times New Roman" w:hAnsi="Cambria"/>
        </w:rPr>
        <w:t>,</w:t>
      </w:r>
      <w:r w:rsidRPr="003D66DD">
        <w:rPr>
          <w:rFonts w:ascii="Cambria" w:eastAsia="Times New Roman" w:hAnsi="Cambria"/>
        </w:rPr>
        <w:t xml:space="preserve"> not least because, in practice</w:t>
      </w:r>
      <w:r w:rsidR="004D15BA">
        <w:rPr>
          <w:rFonts w:ascii="Cambria" w:eastAsia="Times New Roman" w:hAnsi="Cambria"/>
        </w:rPr>
        <w:t>,</w:t>
      </w:r>
      <w:r w:rsidRPr="003D66DD">
        <w:rPr>
          <w:rFonts w:ascii="Cambria" w:eastAsia="Times New Roman" w:hAnsi="Cambria"/>
        </w:rPr>
        <w:t xml:space="preserve"> there has been a considerable gap between the formal inclusion of women an</w:t>
      </w:r>
      <w:r w:rsidR="004D15BA">
        <w:rPr>
          <w:rFonts w:ascii="Cambria" w:eastAsia="Times New Roman" w:hAnsi="Cambria"/>
        </w:rPr>
        <w:t xml:space="preserve">d provision for gender equality, </w:t>
      </w:r>
      <w:r w:rsidRPr="003D66DD">
        <w:rPr>
          <w:rFonts w:ascii="Cambria" w:eastAsia="Times New Roman" w:hAnsi="Cambria"/>
        </w:rPr>
        <w:t>and outcomes for women’s descriptive and substantive representation and for gender equality in post-con</w:t>
      </w:r>
      <w:r w:rsidR="004D15BA">
        <w:rPr>
          <w:rFonts w:ascii="Cambria" w:eastAsia="Times New Roman" w:hAnsi="Cambria"/>
        </w:rPr>
        <w:t>flict power sharing in practice. This is</w:t>
      </w:r>
      <w:r w:rsidRPr="003D66DD">
        <w:rPr>
          <w:rFonts w:ascii="Cambria" w:eastAsia="Times New Roman" w:hAnsi="Cambria"/>
        </w:rPr>
        <w:t xml:space="preserve"> the so-called ‘gender paradox’ (</w:t>
      </w:r>
      <w:r w:rsidRPr="003D66DD">
        <w:rPr>
          <w:rFonts w:ascii="Cambria" w:eastAsia="Times New Roman" w:hAnsi="Cambria"/>
          <w:color w:val="000000"/>
        </w:rPr>
        <w:t>Byrne and McCulloch</w:t>
      </w:r>
      <w:r w:rsidR="004F782C">
        <w:rPr>
          <w:rFonts w:ascii="Cambria" w:eastAsia="Times New Roman" w:hAnsi="Cambria"/>
          <w:color w:val="000000"/>
        </w:rPr>
        <w:t>,</w:t>
      </w:r>
      <w:r w:rsidRPr="003D66DD">
        <w:rPr>
          <w:rFonts w:ascii="Cambria" w:eastAsia="Times New Roman" w:hAnsi="Cambria"/>
          <w:color w:val="000000"/>
        </w:rPr>
        <w:t xml:space="preserve"> 2012)</w:t>
      </w:r>
      <w:r w:rsidRPr="003D66DD">
        <w:rPr>
          <w:rFonts w:ascii="Cambria" w:eastAsia="Times New Roman" w:hAnsi="Cambria"/>
        </w:rPr>
        <w:t>.</w:t>
      </w:r>
    </w:p>
    <w:p w14:paraId="40E03231" w14:textId="77777777" w:rsidR="005E7B83" w:rsidRPr="003D66DD" w:rsidRDefault="005E7B83" w:rsidP="005E7B83">
      <w:pPr>
        <w:spacing w:line="360" w:lineRule="auto"/>
        <w:rPr>
          <w:rFonts w:ascii="Cambria" w:eastAsia="Times New Roman" w:hAnsi="Cambria"/>
          <w:color w:val="000000"/>
        </w:rPr>
      </w:pPr>
    </w:p>
    <w:p w14:paraId="3402F0A1" w14:textId="349F8D78" w:rsidR="005E7B83" w:rsidRPr="004D15BA" w:rsidRDefault="004D15BA" w:rsidP="004D15BA">
      <w:pPr>
        <w:spacing w:line="360" w:lineRule="auto"/>
        <w:rPr>
          <w:rFonts w:ascii="Cambria" w:eastAsiaTheme="minorEastAsia" w:hAnsi="Cambria"/>
        </w:rPr>
      </w:pPr>
      <w:r>
        <w:rPr>
          <w:rFonts w:ascii="Cambria" w:eastAsia="Times New Roman" w:hAnsi="Cambria"/>
          <w:color w:val="000000"/>
        </w:rPr>
        <w:t>However, g</w:t>
      </w:r>
      <w:r w:rsidR="005E7B83" w:rsidRPr="003D66DD">
        <w:rPr>
          <w:rFonts w:ascii="Cambria" w:eastAsia="Times New Roman" w:hAnsi="Cambria"/>
          <w:color w:val="000000"/>
        </w:rPr>
        <w:t>iven that power-sharing has become the predominant theoretical and practitioner approach to conflict resolution, there have been calls to move</w:t>
      </w:r>
      <w:r w:rsidR="007E0B38">
        <w:rPr>
          <w:rFonts w:ascii="Cambria" w:eastAsia="Times New Roman" w:hAnsi="Cambria"/>
          <w:color w:val="000000"/>
        </w:rPr>
        <w:t xml:space="preserve"> beyond a simple ‘mantra’ that </w:t>
      </w:r>
      <w:r w:rsidR="005E7B83" w:rsidRPr="003D66DD">
        <w:rPr>
          <w:rFonts w:ascii="Cambria" w:eastAsia="Times New Roman" w:hAnsi="Cambria"/>
          <w:color w:val="000000"/>
        </w:rPr>
        <w:t xml:space="preserve">power-sharing is </w:t>
      </w:r>
      <w:r w:rsidR="007E0B38">
        <w:rPr>
          <w:rFonts w:ascii="Cambria" w:eastAsia="Times New Roman" w:hAnsi="Cambria"/>
          <w:color w:val="000000"/>
        </w:rPr>
        <w:t>‘</w:t>
      </w:r>
      <w:r w:rsidR="005E7B83" w:rsidRPr="003D66DD">
        <w:rPr>
          <w:rFonts w:ascii="Cambria" w:eastAsia="Times New Roman" w:hAnsi="Cambria"/>
          <w:color w:val="000000"/>
        </w:rPr>
        <w:t>bad for women’ (Bell</w:t>
      </w:r>
      <w:r w:rsidR="004F782C">
        <w:rPr>
          <w:rFonts w:ascii="Cambria" w:eastAsia="Times New Roman" w:hAnsi="Cambria"/>
          <w:color w:val="000000"/>
        </w:rPr>
        <w:t>,</w:t>
      </w:r>
      <w:r w:rsidR="005E7B83" w:rsidRPr="003D66DD">
        <w:rPr>
          <w:rFonts w:ascii="Cambria" w:eastAsia="Times New Roman" w:hAnsi="Cambria"/>
          <w:color w:val="000000"/>
        </w:rPr>
        <w:t xml:space="preserve"> 2015a), and to analyse the implementation gap and the constraints that limit the </w:t>
      </w:r>
      <w:r w:rsidR="009D440A" w:rsidRPr="003D66DD">
        <w:rPr>
          <w:rFonts w:ascii="Cambria" w:eastAsia="Times New Roman" w:hAnsi="Cambria"/>
          <w:color w:val="000000"/>
        </w:rPr>
        <w:t xml:space="preserve">formal </w:t>
      </w:r>
      <w:r w:rsidR="005E7B83" w:rsidRPr="003D66DD">
        <w:rPr>
          <w:rFonts w:ascii="Cambria" w:eastAsia="Times New Roman" w:hAnsi="Cambria"/>
          <w:color w:val="000000"/>
        </w:rPr>
        <w:t>promise of power</w:t>
      </w:r>
      <w:r w:rsidR="00923F5D">
        <w:rPr>
          <w:rFonts w:ascii="Cambria" w:eastAsia="Times New Roman" w:hAnsi="Cambria"/>
          <w:color w:val="000000"/>
        </w:rPr>
        <w:t>-</w:t>
      </w:r>
      <w:r w:rsidR="005E7B83" w:rsidRPr="003D66DD">
        <w:rPr>
          <w:rFonts w:ascii="Cambria" w:eastAsia="Times New Roman" w:hAnsi="Cambria"/>
          <w:color w:val="000000"/>
        </w:rPr>
        <w:t>sharing in practice.</w:t>
      </w:r>
      <w:r w:rsidR="009D440A" w:rsidRPr="003D66DD">
        <w:rPr>
          <w:rFonts w:ascii="Cambria" w:eastAsia="Times New Roman" w:hAnsi="Cambria"/>
          <w:color w:val="000000"/>
        </w:rPr>
        <w:t xml:space="preserve"> </w:t>
      </w:r>
      <w:r w:rsidRPr="003D66DD">
        <w:rPr>
          <w:rFonts w:ascii="Cambria" w:eastAsia="Times New Roman" w:hAnsi="Cambria"/>
          <w:color w:val="000000"/>
        </w:rPr>
        <w:t>It is argued that, whilst there may be an ‘awkward fit’</w:t>
      </w:r>
      <w:r>
        <w:rPr>
          <w:rFonts w:ascii="Cambria" w:eastAsia="Times New Roman" w:hAnsi="Cambria"/>
          <w:color w:val="000000"/>
        </w:rPr>
        <w:t>,</w:t>
      </w:r>
      <w:r w:rsidRPr="003D66DD">
        <w:rPr>
          <w:rFonts w:ascii="Cambria" w:eastAsia="Times New Roman" w:hAnsi="Cambria"/>
          <w:color w:val="000000"/>
        </w:rPr>
        <w:t xml:space="preserve"> there is no substantive reason </w:t>
      </w:r>
      <w:r w:rsidRPr="003D66DD">
        <w:rPr>
          <w:rFonts w:ascii="Cambria" w:eastAsia="Times New Roman" w:hAnsi="Cambria"/>
          <w:i/>
          <w:color w:val="000000"/>
        </w:rPr>
        <w:t>why</w:t>
      </w:r>
      <w:r w:rsidRPr="003D66DD">
        <w:rPr>
          <w:rFonts w:ascii="Cambria" w:eastAsia="Times New Roman" w:hAnsi="Cambria"/>
          <w:color w:val="000000"/>
        </w:rPr>
        <w:t xml:space="preserve"> power-sharing models should not be able to accommodate differences other than ethno-national identities, nor promote gender equality and inclusion (Byrne and McCulloch</w:t>
      </w:r>
      <w:r>
        <w:rPr>
          <w:rFonts w:ascii="Cambria" w:eastAsia="Times New Roman" w:hAnsi="Cambria"/>
          <w:color w:val="000000"/>
        </w:rPr>
        <w:t>,</w:t>
      </w:r>
      <w:r w:rsidRPr="003D66DD">
        <w:rPr>
          <w:rFonts w:ascii="Cambria" w:eastAsia="Times New Roman" w:hAnsi="Cambria"/>
          <w:color w:val="000000"/>
        </w:rPr>
        <w:t xml:space="preserve"> 2012, 2017).</w:t>
      </w:r>
    </w:p>
    <w:p w14:paraId="6FD629BA" w14:textId="77777777" w:rsidR="005E7B83" w:rsidRPr="003D66DD" w:rsidRDefault="005E7B83" w:rsidP="005E7B83">
      <w:pPr>
        <w:spacing w:line="360" w:lineRule="auto"/>
        <w:rPr>
          <w:rFonts w:ascii="Cambria" w:eastAsia="Times New Roman" w:hAnsi="Cambria"/>
          <w:color w:val="000000"/>
        </w:rPr>
      </w:pPr>
      <w:r w:rsidRPr="003D66DD">
        <w:rPr>
          <w:rFonts w:ascii="Cambria" w:eastAsia="Times New Roman" w:hAnsi="Cambria"/>
          <w:color w:val="000000"/>
        </w:rPr>
        <w:t xml:space="preserve"> </w:t>
      </w:r>
    </w:p>
    <w:p w14:paraId="08B47DDB" w14:textId="06FF5A41" w:rsidR="005E7B83" w:rsidRPr="007B5AEF" w:rsidRDefault="005E7B83" w:rsidP="005E7B83">
      <w:pPr>
        <w:spacing w:line="360" w:lineRule="auto"/>
        <w:rPr>
          <w:rFonts w:ascii="Cambria" w:eastAsia="Times New Roman" w:hAnsi="Cambria"/>
          <w:color w:val="000000"/>
        </w:rPr>
      </w:pPr>
      <w:r w:rsidRPr="003D66DD">
        <w:rPr>
          <w:rFonts w:ascii="Cambria" w:eastAsia="Times New Roman" w:hAnsi="Cambria"/>
          <w:shd w:val="clear" w:color="auto" w:fill="FFFFFF"/>
        </w:rPr>
        <w:t xml:space="preserve">This paper begins by setting out the key features of political power-sharing, and feminist critiques of power-sharing in theory and practice.  </w:t>
      </w:r>
      <w:r w:rsidRPr="003D66DD">
        <w:rPr>
          <w:rFonts w:ascii="Cambria" w:eastAsia="Times New Roman" w:hAnsi="Cambria"/>
        </w:rPr>
        <w:t xml:space="preserve">The paper then introduces </w:t>
      </w:r>
      <w:r w:rsidRPr="003D66DD">
        <w:rPr>
          <w:rFonts w:ascii="Cambria" w:eastAsia="Times New Roman" w:hAnsi="Cambria"/>
        </w:rPr>
        <w:lastRenderedPageBreak/>
        <w:t xml:space="preserve">key concepts of </w:t>
      </w:r>
      <w:r w:rsidR="002B131F">
        <w:rPr>
          <w:rFonts w:ascii="Cambria" w:eastAsia="Times New Roman" w:hAnsi="Cambria"/>
        </w:rPr>
        <w:t>FI</w:t>
      </w:r>
      <w:r w:rsidRPr="003D66DD">
        <w:rPr>
          <w:rFonts w:ascii="Cambria" w:eastAsia="Times New Roman" w:hAnsi="Cambria"/>
        </w:rPr>
        <w:t xml:space="preserve"> that</w:t>
      </w:r>
      <w:r w:rsidR="009B076E">
        <w:rPr>
          <w:rFonts w:ascii="Cambria" w:eastAsia="Times New Roman" w:hAnsi="Cambria"/>
        </w:rPr>
        <w:t>,</w:t>
      </w:r>
      <w:r w:rsidRPr="003D66DD">
        <w:rPr>
          <w:rFonts w:ascii="Cambria" w:eastAsia="Times New Roman" w:hAnsi="Cambria"/>
        </w:rPr>
        <w:t xml:space="preserve"> it argues</w:t>
      </w:r>
      <w:r w:rsidR="009B076E">
        <w:rPr>
          <w:rFonts w:ascii="Cambria" w:eastAsia="Times New Roman" w:hAnsi="Cambria"/>
        </w:rPr>
        <w:t>,</w:t>
      </w:r>
      <w:r w:rsidRPr="003D66DD">
        <w:rPr>
          <w:rFonts w:ascii="Cambria" w:eastAsia="Times New Roman" w:hAnsi="Cambria"/>
        </w:rPr>
        <w:t xml:space="preserve"> cast light on the ways </w:t>
      </w:r>
      <w:r w:rsidR="00901A26">
        <w:rPr>
          <w:rFonts w:ascii="Cambria" w:eastAsia="Times New Roman" w:hAnsi="Cambria"/>
        </w:rPr>
        <w:t>in which</w:t>
      </w:r>
      <w:r w:rsidRPr="003D66DD">
        <w:rPr>
          <w:rFonts w:ascii="Cambria" w:eastAsia="Times New Roman" w:hAnsi="Cambria"/>
        </w:rPr>
        <w:t xml:space="preserve"> </w:t>
      </w:r>
      <w:proofErr w:type="spellStart"/>
      <w:r w:rsidRPr="003D66DD">
        <w:rPr>
          <w:rFonts w:ascii="Cambria" w:eastAsia="Times New Roman" w:hAnsi="Cambria"/>
        </w:rPr>
        <w:t>consociational</w:t>
      </w:r>
      <w:proofErr w:type="spellEnd"/>
      <w:r w:rsidRPr="003D66DD">
        <w:rPr>
          <w:rFonts w:ascii="Cambria" w:eastAsia="Times New Roman" w:hAnsi="Cambria"/>
        </w:rPr>
        <w:t xml:space="preserve"> power-sharing impacts on the WPS agenda of women’s inclusion and their descriptive and substantive representation.  It proceeds to apply these FI concepts to the varying experiences of post-settlement power-sharing in three illustrative case studies: Bosnia and Herzegovina (</w:t>
      </w:r>
      <w:proofErr w:type="spellStart"/>
      <w:r w:rsidRPr="003D66DD">
        <w:rPr>
          <w:rFonts w:ascii="Cambria" w:eastAsia="Times New Roman" w:hAnsi="Cambria"/>
        </w:rPr>
        <w:t>BiH</w:t>
      </w:r>
      <w:proofErr w:type="spellEnd"/>
      <w:r w:rsidRPr="003D66DD">
        <w:rPr>
          <w:rFonts w:ascii="Cambria" w:eastAsia="Times New Roman" w:hAnsi="Cambria"/>
        </w:rPr>
        <w:t xml:space="preserve">), Northern Ireland (NI) and Burundi, drawing upon extant </w:t>
      </w:r>
      <w:r w:rsidR="00E91803">
        <w:rPr>
          <w:rFonts w:ascii="Cambria" w:eastAsia="Times New Roman" w:hAnsi="Cambria"/>
        </w:rPr>
        <w:t xml:space="preserve">single case and comparative </w:t>
      </w:r>
      <w:r w:rsidRPr="003D66DD">
        <w:rPr>
          <w:rFonts w:ascii="Cambria" w:eastAsia="Times New Roman" w:hAnsi="Cambria"/>
        </w:rPr>
        <w:t>work by feminist IR, legal and comparative politics scholars</w:t>
      </w:r>
      <w:r w:rsidR="007B5AEF">
        <w:rPr>
          <w:rFonts w:ascii="Cambria" w:eastAsia="Times New Roman" w:hAnsi="Cambria"/>
        </w:rPr>
        <w:t>, supplemented by country reports from government, international organisations, and international and national NGOs</w:t>
      </w:r>
      <w:r w:rsidRPr="003D66DD">
        <w:rPr>
          <w:rFonts w:ascii="Cambria" w:eastAsia="Times New Roman" w:hAnsi="Cambria"/>
        </w:rPr>
        <w:t xml:space="preserve">. </w:t>
      </w:r>
      <w:r w:rsidR="007B5AEF">
        <w:rPr>
          <w:rFonts w:ascii="Cambria" w:eastAsia="Times New Roman" w:hAnsi="Cambria"/>
        </w:rPr>
        <w:t>W</w:t>
      </w:r>
      <w:r w:rsidR="004B0706">
        <w:rPr>
          <w:rFonts w:ascii="Cambria" w:eastAsia="Times New Roman" w:hAnsi="Cambria"/>
        </w:rPr>
        <w:t xml:space="preserve">e seek to build on the pioneering analysis of the three cases by </w:t>
      </w:r>
      <w:r w:rsidR="004B0706" w:rsidRPr="003D66DD">
        <w:rPr>
          <w:rFonts w:ascii="Cambria" w:eastAsia="Times New Roman" w:hAnsi="Cambria"/>
          <w:color w:val="000000"/>
        </w:rPr>
        <w:t xml:space="preserve">Byrne and McCulloch </w:t>
      </w:r>
      <w:r w:rsidR="004B0706">
        <w:rPr>
          <w:rFonts w:ascii="Cambria" w:eastAsia="Times New Roman" w:hAnsi="Cambria"/>
          <w:color w:val="000000"/>
        </w:rPr>
        <w:t>(</w:t>
      </w:r>
      <w:r w:rsidR="004B0706" w:rsidRPr="003D66DD">
        <w:rPr>
          <w:rFonts w:ascii="Cambria" w:eastAsia="Times New Roman" w:hAnsi="Cambria"/>
          <w:color w:val="000000"/>
        </w:rPr>
        <w:t>2012</w:t>
      </w:r>
      <w:r w:rsidR="004B0706">
        <w:rPr>
          <w:rFonts w:ascii="Cambria" w:eastAsia="Times New Roman" w:hAnsi="Cambria"/>
          <w:color w:val="000000"/>
        </w:rPr>
        <w:t>).</w:t>
      </w:r>
      <w:r w:rsidR="007B5AEF">
        <w:rPr>
          <w:rFonts w:ascii="Cambria" w:eastAsia="Times New Roman" w:hAnsi="Cambria"/>
          <w:color w:val="000000"/>
        </w:rPr>
        <w:t xml:space="preserve"> </w:t>
      </w:r>
      <w:r w:rsidRPr="003D66DD">
        <w:rPr>
          <w:rFonts w:ascii="Cambria" w:eastAsia="Times New Roman" w:hAnsi="Cambria"/>
        </w:rPr>
        <w:t>Our principal aim is to demonstrate the analytical value of an FI framework</w:t>
      </w:r>
      <w:r w:rsidRPr="003D66DD">
        <w:rPr>
          <w:rFonts w:ascii="Cambria" w:eastAsia="Times New Roman" w:hAnsi="Cambria"/>
          <w:color w:val="000000"/>
        </w:rPr>
        <w:t xml:space="preserve"> in furthering our understanding of the tensions between power-sharing and the WPS agenda, </w:t>
      </w:r>
      <w:r w:rsidRPr="003D66DD">
        <w:rPr>
          <w:rFonts w:ascii="Cambria" w:eastAsia="Times New Roman" w:hAnsi="Cambria"/>
        </w:rPr>
        <w:t xml:space="preserve">therefore our empirical discussion necessarily </w:t>
      </w:r>
      <w:r w:rsidR="004B0706">
        <w:rPr>
          <w:rFonts w:ascii="Cambria" w:eastAsia="Times New Roman" w:hAnsi="Cambria"/>
        </w:rPr>
        <w:t>employs</w:t>
      </w:r>
      <w:r w:rsidR="00E91803">
        <w:rPr>
          <w:rFonts w:ascii="Cambria" w:eastAsia="Times New Roman" w:hAnsi="Cambria"/>
        </w:rPr>
        <w:t xml:space="preserve"> a </w:t>
      </w:r>
      <w:r w:rsidRPr="003D66DD">
        <w:rPr>
          <w:rFonts w:ascii="Cambria" w:eastAsia="Times New Roman" w:hAnsi="Cambria"/>
        </w:rPr>
        <w:t>broad</w:t>
      </w:r>
      <w:r w:rsidR="00E91803">
        <w:rPr>
          <w:rFonts w:ascii="Cambria" w:eastAsia="Times New Roman" w:hAnsi="Cambria"/>
        </w:rPr>
        <w:t xml:space="preserve"> brush</w:t>
      </w:r>
      <w:r w:rsidRPr="003D66DD">
        <w:rPr>
          <w:rFonts w:ascii="Cambria" w:eastAsia="Times New Roman" w:hAnsi="Cambria"/>
        </w:rPr>
        <w:t>.</w:t>
      </w:r>
    </w:p>
    <w:p w14:paraId="0F4CED5D" w14:textId="77777777" w:rsidR="005E7B83" w:rsidRPr="003D66DD" w:rsidRDefault="005E7B83" w:rsidP="005E7B83">
      <w:pPr>
        <w:spacing w:line="360" w:lineRule="auto"/>
        <w:rPr>
          <w:rFonts w:ascii="Cambria" w:hAnsi="Cambria"/>
        </w:rPr>
      </w:pPr>
    </w:p>
    <w:p w14:paraId="153AC21C" w14:textId="0E892A4F" w:rsidR="005E7B83" w:rsidRPr="003D66DD" w:rsidRDefault="005E7B83" w:rsidP="005E7B83">
      <w:pPr>
        <w:spacing w:line="360" w:lineRule="auto"/>
        <w:rPr>
          <w:rFonts w:ascii="Cambria" w:eastAsia="Times New Roman" w:hAnsi="Cambria"/>
          <w:color w:val="000000"/>
        </w:rPr>
      </w:pPr>
      <w:r w:rsidRPr="003D66DD">
        <w:rPr>
          <w:rFonts w:ascii="Cambria" w:eastAsia="Times New Roman" w:hAnsi="Cambria"/>
          <w:color w:val="000000" w:themeColor="text1"/>
        </w:rPr>
        <w:t xml:space="preserve">The case study analysis reviews the formal institutional architecture for gender inclusion </w:t>
      </w:r>
      <w:r w:rsidR="009B076E">
        <w:rPr>
          <w:rFonts w:ascii="Cambria" w:eastAsia="Times New Roman" w:hAnsi="Cambria"/>
          <w:color w:val="000000" w:themeColor="text1"/>
        </w:rPr>
        <w:t>that</w:t>
      </w:r>
      <w:r w:rsidRPr="003D66DD">
        <w:rPr>
          <w:rFonts w:ascii="Cambria" w:eastAsia="Times New Roman" w:hAnsi="Cambria"/>
          <w:color w:val="000000" w:themeColor="text1"/>
        </w:rPr>
        <w:t xml:space="preserve"> sits within broader power-sharing structures in each case, before assessing the gender outcomes in practice.  In so doing, it employs the concepts of FI to explain the gap that emerges between the potential </w:t>
      </w:r>
      <w:r w:rsidR="00E91803">
        <w:rPr>
          <w:rFonts w:ascii="Cambria" w:eastAsia="Times New Roman" w:hAnsi="Cambria"/>
          <w:color w:val="000000" w:themeColor="text1"/>
        </w:rPr>
        <w:t xml:space="preserve">that the </w:t>
      </w:r>
      <w:r w:rsidRPr="003D66DD">
        <w:rPr>
          <w:rFonts w:ascii="Cambria" w:eastAsia="Times New Roman" w:hAnsi="Cambria"/>
          <w:color w:val="000000" w:themeColor="text1"/>
        </w:rPr>
        <w:t xml:space="preserve">power-sharing </w:t>
      </w:r>
      <w:r w:rsidR="00E91803">
        <w:rPr>
          <w:rFonts w:ascii="Cambria" w:eastAsia="Times New Roman" w:hAnsi="Cambria"/>
          <w:color w:val="000000" w:themeColor="text1"/>
        </w:rPr>
        <w:t xml:space="preserve">model </w:t>
      </w:r>
      <w:r w:rsidRPr="003D66DD">
        <w:rPr>
          <w:rFonts w:ascii="Cambria" w:eastAsia="Times New Roman" w:hAnsi="Cambria"/>
          <w:color w:val="000000" w:themeColor="text1"/>
        </w:rPr>
        <w:t>holds for gender inclusion</w:t>
      </w:r>
      <w:r w:rsidR="00E91803">
        <w:rPr>
          <w:rFonts w:ascii="Cambria" w:eastAsia="Times New Roman" w:hAnsi="Cambria"/>
          <w:color w:val="000000" w:themeColor="text1"/>
        </w:rPr>
        <w:t>,</w:t>
      </w:r>
      <w:r w:rsidRPr="003D66DD">
        <w:rPr>
          <w:rFonts w:ascii="Cambria" w:eastAsia="Times New Roman" w:hAnsi="Cambria"/>
          <w:color w:val="000000" w:themeColor="text1"/>
        </w:rPr>
        <w:t xml:space="preserve"> and the empirical reality.  Finally, the paper addresses this puzzle comparatively, drawing together the analyses of the three case studies to put forward an FI framework for analysis of power-sharing.  </w:t>
      </w:r>
      <w:r w:rsidRPr="003D66DD">
        <w:rPr>
          <w:rFonts w:ascii="Cambria" w:hAnsi="Cambria"/>
        </w:rPr>
        <w:t>We contend that a feminist institutionalist lens provides important new insights into the gendered paradox of women and power-sharing, particularly casting light on the implementation gap between formal frameworks and subsequent outcomes.</w:t>
      </w:r>
    </w:p>
    <w:p w14:paraId="5361CCC8" w14:textId="0FCA0771" w:rsidR="00342838" w:rsidRPr="003D66DD" w:rsidRDefault="00342838">
      <w:pPr>
        <w:rPr>
          <w:rFonts w:ascii="Cambria" w:hAnsi="Cambria"/>
          <w:b/>
        </w:rPr>
      </w:pPr>
    </w:p>
    <w:p w14:paraId="050DC433" w14:textId="2D3DBCA5" w:rsidR="00883829" w:rsidRPr="003D66DD" w:rsidRDefault="0059520B" w:rsidP="004228D5">
      <w:pPr>
        <w:outlineLvl w:val="0"/>
        <w:rPr>
          <w:rFonts w:ascii="Cambria" w:hAnsi="Cambria"/>
          <w:b/>
        </w:rPr>
      </w:pPr>
      <w:r w:rsidRPr="003D66DD">
        <w:rPr>
          <w:rFonts w:ascii="Cambria" w:hAnsi="Cambria"/>
          <w:b/>
        </w:rPr>
        <w:t>Power-Sharing</w:t>
      </w:r>
      <w:r w:rsidR="00187778" w:rsidRPr="003D66DD">
        <w:rPr>
          <w:rFonts w:ascii="Cambria" w:hAnsi="Cambria"/>
          <w:b/>
        </w:rPr>
        <w:t xml:space="preserve"> and WPS</w:t>
      </w:r>
    </w:p>
    <w:p w14:paraId="0620CBB2" w14:textId="77777777" w:rsidR="00883829" w:rsidRPr="003D66DD" w:rsidRDefault="00883829" w:rsidP="00883829">
      <w:pPr>
        <w:rPr>
          <w:rFonts w:ascii="Cambria" w:hAnsi="Cambria"/>
          <w:b/>
          <w:i/>
        </w:rPr>
      </w:pPr>
    </w:p>
    <w:p w14:paraId="1303047F" w14:textId="0AE786F3" w:rsidR="0024545F" w:rsidRPr="003D66DD" w:rsidRDefault="00187778" w:rsidP="00883829">
      <w:pPr>
        <w:spacing w:line="360" w:lineRule="auto"/>
        <w:rPr>
          <w:rFonts w:ascii="Cambria" w:hAnsi="Cambria"/>
        </w:rPr>
      </w:pPr>
      <w:r w:rsidRPr="003D66DD">
        <w:rPr>
          <w:rFonts w:ascii="Cambria" w:hAnsi="Cambria"/>
        </w:rPr>
        <w:t xml:space="preserve">Peace agreements </w:t>
      </w:r>
      <w:r w:rsidR="00883829" w:rsidRPr="003D66DD">
        <w:rPr>
          <w:rFonts w:ascii="Cambria" w:hAnsi="Cambria"/>
        </w:rPr>
        <w:t>lay out the social, political and economic scaffol</w:t>
      </w:r>
      <w:r w:rsidR="007E43E3" w:rsidRPr="003D66DD">
        <w:rPr>
          <w:rFonts w:ascii="Cambria" w:hAnsi="Cambria"/>
        </w:rPr>
        <w:t>ding of post-conflict societies,</w:t>
      </w:r>
      <w:r w:rsidR="00883829" w:rsidRPr="003D66DD">
        <w:rPr>
          <w:rFonts w:ascii="Cambria" w:hAnsi="Cambria"/>
        </w:rPr>
        <w:t xml:space="preserve"> </w:t>
      </w:r>
      <w:r w:rsidR="007E43E3" w:rsidRPr="003D66DD">
        <w:rPr>
          <w:rFonts w:ascii="Cambria" w:hAnsi="Cambria"/>
        </w:rPr>
        <w:t>prescribing</w:t>
      </w:r>
      <w:r w:rsidR="00883829" w:rsidRPr="003D66DD">
        <w:rPr>
          <w:rFonts w:ascii="Cambria" w:hAnsi="Cambria"/>
        </w:rPr>
        <w:t xml:space="preserve"> the institutiona</w:t>
      </w:r>
      <w:r w:rsidR="0024545F" w:rsidRPr="003D66DD">
        <w:rPr>
          <w:rFonts w:ascii="Cambria" w:hAnsi="Cambria"/>
        </w:rPr>
        <w:t>l framework for the new state</w:t>
      </w:r>
      <w:r w:rsidRPr="003D66DD">
        <w:rPr>
          <w:rFonts w:ascii="Cambria" w:hAnsi="Cambria"/>
        </w:rPr>
        <w:t xml:space="preserve">, as well as providing for specific mechanisms for </w:t>
      </w:r>
      <w:r w:rsidR="00A859D2" w:rsidRPr="003D66DD">
        <w:rPr>
          <w:rFonts w:ascii="Cambria" w:hAnsi="Cambria"/>
        </w:rPr>
        <w:t>the</w:t>
      </w:r>
      <w:r w:rsidRPr="003D66DD">
        <w:rPr>
          <w:rFonts w:ascii="Cambria" w:hAnsi="Cambria"/>
        </w:rPr>
        <w:t xml:space="preserve"> inclusion </w:t>
      </w:r>
      <w:r w:rsidR="00A859D2" w:rsidRPr="003D66DD">
        <w:rPr>
          <w:rFonts w:ascii="Cambria" w:hAnsi="Cambria"/>
        </w:rPr>
        <w:t xml:space="preserve">of women and the promotion of gender equality </w:t>
      </w:r>
      <w:r w:rsidRPr="003D66DD">
        <w:rPr>
          <w:rFonts w:ascii="Cambria" w:hAnsi="Cambria"/>
        </w:rPr>
        <w:t xml:space="preserve">(see </w:t>
      </w:r>
      <w:r w:rsidR="00DA4417">
        <w:rPr>
          <w:rFonts w:ascii="Cambria" w:hAnsi="Cambria"/>
        </w:rPr>
        <w:t xml:space="preserve">Bell and </w:t>
      </w:r>
      <w:proofErr w:type="spellStart"/>
      <w:r w:rsidR="00DA4417">
        <w:rPr>
          <w:rFonts w:ascii="Cambria" w:hAnsi="Cambria"/>
        </w:rPr>
        <w:t>McNicholl</w:t>
      </w:r>
      <w:proofErr w:type="spellEnd"/>
      <w:r w:rsidR="004F782C">
        <w:rPr>
          <w:rFonts w:ascii="Cambria" w:hAnsi="Cambria"/>
        </w:rPr>
        <w:t>,</w:t>
      </w:r>
      <w:r w:rsidRPr="003D66DD">
        <w:rPr>
          <w:rFonts w:ascii="Cambria" w:hAnsi="Cambria"/>
        </w:rPr>
        <w:t xml:space="preserve"> </w:t>
      </w:r>
      <w:r w:rsidR="002B131F">
        <w:rPr>
          <w:rFonts w:ascii="Cambria" w:hAnsi="Cambria"/>
        </w:rPr>
        <w:t>this issue</w:t>
      </w:r>
      <w:r w:rsidRPr="003D66DD">
        <w:rPr>
          <w:rFonts w:ascii="Cambria" w:hAnsi="Cambria"/>
        </w:rPr>
        <w:t xml:space="preserve"> for discussion). </w:t>
      </w:r>
      <w:r w:rsidR="0024545F" w:rsidRPr="003D66DD">
        <w:rPr>
          <w:rFonts w:ascii="Cambria" w:hAnsi="Cambria"/>
        </w:rPr>
        <w:t xml:space="preserve"> This section considers </w:t>
      </w:r>
      <w:r w:rsidRPr="003D66DD">
        <w:rPr>
          <w:rFonts w:ascii="Cambria" w:hAnsi="Cambria"/>
        </w:rPr>
        <w:t xml:space="preserve">the basic principles of </w:t>
      </w:r>
      <w:r w:rsidR="004228D5" w:rsidRPr="003D66DD">
        <w:rPr>
          <w:rFonts w:ascii="Cambria" w:hAnsi="Cambria"/>
        </w:rPr>
        <w:t>power-sharing</w:t>
      </w:r>
      <w:r w:rsidRPr="003D66DD">
        <w:rPr>
          <w:rFonts w:ascii="Cambria" w:hAnsi="Cambria"/>
        </w:rPr>
        <w:t xml:space="preserve">, and then sketches out key areas of feminist scepticism and concern about </w:t>
      </w:r>
      <w:r w:rsidR="004228D5" w:rsidRPr="003D66DD">
        <w:rPr>
          <w:rFonts w:ascii="Cambria" w:hAnsi="Cambria"/>
        </w:rPr>
        <w:t>power-sharing</w:t>
      </w:r>
      <w:r w:rsidR="007E43E3" w:rsidRPr="003D66DD">
        <w:rPr>
          <w:rFonts w:ascii="Cambria" w:hAnsi="Cambria"/>
        </w:rPr>
        <w:t xml:space="preserve"> in theory and practice</w:t>
      </w:r>
      <w:r w:rsidRPr="003D66DD">
        <w:rPr>
          <w:rFonts w:ascii="Cambria" w:hAnsi="Cambria"/>
        </w:rPr>
        <w:t xml:space="preserve">. </w:t>
      </w:r>
    </w:p>
    <w:p w14:paraId="51C1C90C" w14:textId="77777777" w:rsidR="0024545F" w:rsidRPr="003D66DD" w:rsidRDefault="0024545F" w:rsidP="00883829">
      <w:pPr>
        <w:spacing w:line="360" w:lineRule="auto"/>
        <w:rPr>
          <w:rFonts w:ascii="Cambria" w:hAnsi="Cambria"/>
        </w:rPr>
      </w:pPr>
    </w:p>
    <w:p w14:paraId="1CC1BF23" w14:textId="0A224379" w:rsidR="00883829" w:rsidRPr="003D66DD" w:rsidRDefault="007E43E3" w:rsidP="00883829">
      <w:pPr>
        <w:spacing w:line="360" w:lineRule="auto"/>
        <w:rPr>
          <w:rFonts w:ascii="Cambria" w:hAnsi="Cambria"/>
        </w:rPr>
      </w:pPr>
      <w:r w:rsidRPr="003D66DD">
        <w:rPr>
          <w:rFonts w:ascii="Cambria" w:hAnsi="Cambria"/>
        </w:rPr>
        <w:lastRenderedPageBreak/>
        <w:t xml:space="preserve">Coinciding with the rise of the WPS agenda over the last two decades, </w:t>
      </w:r>
      <w:proofErr w:type="spellStart"/>
      <w:r w:rsidRPr="003D66DD">
        <w:rPr>
          <w:rFonts w:ascii="Cambria" w:hAnsi="Cambria"/>
        </w:rPr>
        <w:t>consociational</w:t>
      </w:r>
      <w:proofErr w:type="spellEnd"/>
      <w:r w:rsidRPr="003D66DD">
        <w:rPr>
          <w:rFonts w:ascii="Cambria" w:hAnsi="Cambria"/>
        </w:rPr>
        <w:t xml:space="preserve"> power-sharing has emerged as </w:t>
      </w:r>
      <w:r w:rsidRPr="003D66DD">
        <w:rPr>
          <w:rFonts w:ascii="Cambria" w:hAnsi="Cambria"/>
          <w:i/>
        </w:rPr>
        <w:t>the</w:t>
      </w:r>
      <w:r w:rsidRPr="003D66DD">
        <w:rPr>
          <w:rFonts w:ascii="Cambria" w:hAnsi="Cambria"/>
        </w:rPr>
        <w:t xml:space="preserve"> model of choice in institutional design for </w:t>
      </w:r>
      <w:r w:rsidR="0024545F" w:rsidRPr="003D66DD">
        <w:rPr>
          <w:rFonts w:ascii="Cambria" w:hAnsi="Cambria"/>
        </w:rPr>
        <w:t xml:space="preserve">post-conflict governance </w:t>
      </w:r>
      <w:r w:rsidR="00883829" w:rsidRPr="003D66DD">
        <w:rPr>
          <w:rFonts w:ascii="Cambria" w:hAnsi="Cambria"/>
        </w:rPr>
        <w:t>wit</w:t>
      </w:r>
      <w:r w:rsidR="0024545F" w:rsidRPr="003D66DD">
        <w:rPr>
          <w:rFonts w:ascii="Cambria" w:hAnsi="Cambria"/>
        </w:rPr>
        <w:t>hin international peacebuilding</w:t>
      </w:r>
      <w:r w:rsidRPr="003D66DD">
        <w:rPr>
          <w:rFonts w:ascii="Cambria" w:hAnsi="Cambria"/>
        </w:rPr>
        <w:t xml:space="preserve"> circles and related academic scholarship</w:t>
      </w:r>
      <w:r w:rsidR="00883829" w:rsidRPr="003D66DD">
        <w:rPr>
          <w:rFonts w:ascii="Cambria" w:hAnsi="Cambria"/>
        </w:rPr>
        <w:t xml:space="preserve"> </w:t>
      </w:r>
      <w:r w:rsidR="00A048E6" w:rsidRPr="00D80769">
        <w:rPr>
          <w:rFonts w:ascii="Cambria" w:hAnsi="Cambria"/>
          <w:color w:val="000000" w:themeColor="text1"/>
        </w:rPr>
        <w:t>(McCulloch, 2014: 501)</w:t>
      </w:r>
      <w:r w:rsidR="00A048E6">
        <w:rPr>
          <w:rFonts w:ascii="Cambria" w:hAnsi="Cambria"/>
        </w:rPr>
        <w:t xml:space="preserve">. </w:t>
      </w:r>
      <w:r w:rsidR="00883829" w:rsidRPr="003D66DD">
        <w:rPr>
          <w:rFonts w:ascii="Cambria" w:hAnsi="Cambria"/>
        </w:rPr>
        <w:t xml:space="preserve">First conceptualised by </w:t>
      </w:r>
      <w:proofErr w:type="spellStart"/>
      <w:r w:rsidR="00883829" w:rsidRPr="003D66DD">
        <w:rPr>
          <w:rFonts w:ascii="Cambria" w:hAnsi="Cambria"/>
        </w:rPr>
        <w:t>Arend</w:t>
      </w:r>
      <w:proofErr w:type="spellEnd"/>
      <w:r w:rsidR="00883829" w:rsidRPr="003D66DD">
        <w:rPr>
          <w:rFonts w:ascii="Cambria" w:hAnsi="Cambria"/>
        </w:rPr>
        <w:t xml:space="preserve"> </w:t>
      </w:r>
      <w:proofErr w:type="spellStart"/>
      <w:r w:rsidR="00883829" w:rsidRPr="003D66DD">
        <w:rPr>
          <w:rFonts w:ascii="Cambria" w:hAnsi="Cambria"/>
        </w:rPr>
        <w:t>Lijphart</w:t>
      </w:r>
      <w:proofErr w:type="spellEnd"/>
      <w:r w:rsidR="00883829" w:rsidRPr="003D66DD">
        <w:rPr>
          <w:rFonts w:ascii="Cambria" w:hAnsi="Cambria"/>
        </w:rPr>
        <w:t xml:space="preserve"> in 1969, </w:t>
      </w:r>
      <w:proofErr w:type="spellStart"/>
      <w:r w:rsidR="00883829" w:rsidRPr="003D66DD">
        <w:rPr>
          <w:rFonts w:ascii="Cambria" w:hAnsi="Cambria"/>
        </w:rPr>
        <w:t>consociational</w:t>
      </w:r>
      <w:proofErr w:type="spellEnd"/>
      <w:r w:rsidR="00883829" w:rsidRPr="003D66DD">
        <w:rPr>
          <w:rFonts w:ascii="Cambria" w:hAnsi="Cambria"/>
        </w:rPr>
        <w:t xml:space="preserve"> democracy is a model for the democratic management of divided societies based on the accommodation of politically salien</w:t>
      </w:r>
      <w:r w:rsidR="007E0B38">
        <w:rPr>
          <w:rFonts w:ascii="Cambria" w:hAnsi="Cambria"/>
        </w:rPr>
        <w:t>t communal identities within a “</w:t>
      </w:r>
      <w:r w:rsidR="00883829" w:rsidRPr="003D66DD">
        <w:rPr>
          <w:rFonts w:ascii="Cambria" w:hAnsi="Cambria"/>
        </w:rPr>
        <w:t>powers-sharing</w:t>
      </w:r>
      <w:r w:rsidR="007E0B38">
        <w:rPr>
          <w:rFonts w:ascii="Cambria" w:hAnsi="Cambria"/>
        </w:rPr>
        <w:t>”</w:t>
      </w:r>
      <w:r w:rsidR="00883829" w:rsidRPr="003D66DD">
        <w:rPr>
          <w:rFonts w:ascii="Cambria" w:hAnsi="Cambria"/>
        </w:rPr>
        <w:t xml:space="preserve"> political system (</w:t>
      </w:r>
      <w:proofErr w:type="spellStart"/>
      <w:r w:rsidR="002B131F">
        <w:rPr>
          <w:rFonts w:ascii="Cambria" w:hAnsi="Cambria"/>
        </w:rPr>
        <w:t>Lijphart</w:t>
      </w:r>
      <w:proofErr w:type="spellEnd"/>
      <w:r w:rsidR="004F782C">
        <w:rPr>
          <w:rFonts w:ascii="Cambria" w:hAnsi="Cambria"/>
        </w:rPr>
        <w:t>,</w:t>
      </w:r>
      <w:r w:rsidR="002B131F">
        <w:rPr>
          <w:rFonts w:ascii="Cambria" w:hAnsi="Cambria"/>
        </w:rPr>
        <w:t xml:space="preserve"> </w:t>
      </w:r>
      <w:r w:rsidR="00883829" w:rsidRPr="003D66DD">
        <w:rPr>
          <w:rFonts w:ascii="Cambria" w:hAnsi="Cambria"/>
        </w:rPr>
        <w:t xml:space="preserve">1969).  It entails four core conditions: grand coalition government comprising all principal groups; group autonomy in certain policy areas; proportional representation of groups; and a </w:t>
      </w:r>
      <w:r w:rsidR="00A400D7">
        <w:rPr>
          <w:rFonts w:ascii="Cambria" w:hAnsi="Cambria"/>
        </w:rPr>
        <w:t xml:space="preserve">mutual group </w:t>
      </w:r>
      <w:r w:rsidR="002B131F">
        <w:rPr>
          <w:rFonts w:ascii="Cambria" w:hAnsi="Cambria"/>
        </w:rPr>
        <w:t>veto (</w:t>
      </w:r>
      <w:proofErr w:type="spellStart"/>
      <w:r w:rsidR="002B131F">
        <w:rPr>
          <w:rFonts w:ascii="Cambria" w:hAnsi="Cambria"/>
        </w:rPr>
        <w:t>Lijphart</w:t>
      </w:r>
      <w:proofErr w:type="spellEnd"/>
      <w:r w:rsidR="004F782C">
        <w:rPr>
          <w:rFonts w:ascii="Cambria" w:hAnsi="Cambria"/>
        </w:rPr>
        <w:t>,</w:t>
      </w:r>
      <w:r w:rsidR="00883829" w:rsidRPr="003D66DD">
        <w:rPr>
          <w:rFonts w:ascii="Cambria" w:hAnsi="Cambria"/>
        </w:rPr>
        <w:t xml:space="preserve"> 1977).  More recent refinements to </w:t>
      </w:r>
      <w:proofErr w:type="spellStart"/>
      <w:r w:rsidR="00883829" w:rsidRPr="003D66DD">
        <w:rPr>
          <w:rFonts w:ascii="Cambria" w:hAnsi="Cambria"/>
        </w:rPr>
        <w:t>consociational</w:t>
      </w:r>
      <w:proofErr w:type="spellEnd"/>
      <w:r w:rsidR="00883829" w:rsidRPr="003D66DD">
        <w:rPr>
          <w:rFonts w:ascii="Cambria" w:hAnsi="Cambria"/>
        </w:rPr>
        <w:t xml:space="preserve"> theory distinguish between ‘corporate consociation’, in which the groups to be accommodated in the system are pre-defined, </w:t>
      </w:r>
      <w:r w:rsidR="00A400D7">
        <w:rPr>
          <w:rFonts w:ascii="Cambria" w:hAnsi="Cambria"/>
        </w:rPr>
        <w:t xml:space="preserve">often </w:t>
      </w:r>
      <w:r w:rsidR="00883829" w:rsidRPr="003D66DD">
        <w:rPr>
          <w:rFonts w:ascii="Cambria" w:hAnsi="Cambria"/>
        </w:rPr>
        <w:t>in the constitution, and ‘liberal consociation’, in which the groups are self-defined, emerging organically, determined by the electorate, and thus subject to change over time (</w:t>
      </w:r>
      <w:proofErr w:type="spellStart"/>
      <w:r w:rsidR="00883829" w:rsidRPr="003D66DD">
        <w:rPr>
          <w:rFonts w:ascii="Cambria" w:eastAsia="Times New Roman" w:hAnsi="Cambria"/>
          <w:lang w:eastAsia="en-GB"/>
        </w:rPr>
        <w:t>Lijp</w:t>
      </w:r>
      <w:r w:rsidR="009C7AE4" w:rsidRPr="003D66DD">
        <w:rPr>
          <w:rFonts w:ascii="Cambria" w:eastAsia="Times New Roman" w:hAnsi="Cambria"/>
          <w:lang w:eastAsia="en-GB"/>
        </w:rPr>
        <w:t>h</w:t>
      </w:r>
      <w:r w:rsidR="002B131F">
        <w:rPr>
          <w:rFonts w:ascii="Cambria" w:eastAsia="Times New Roman" w:hAnsi="Cambria"/>
          <w:lang w:eastAsia="en-GB"/>
        </w:rPr>
        <w:t>art</w:t>
      </w:r>
      <w:proofErr w:type="spellEnd"/>
      <w:r w:rsidR="004F782C">
        <w:rPr>
          <w:rFonts w:ascii="Cambria" w:eastAsia="Times New Roman" w:hAnsi="Cambria"/>
          <w:lang w:eastAsia="en-GB"/>
        </w:rPr>
        <w:t>,</w:t>
      </w:r>
      <w:r w:rsidR="00883829" w:rsidRPr="003D66DD">
        <w:rPr>
          <w:rFonts w:ascii="Cambria" w:eastAsia="Times New Roman" w:hAnsi="Cambria"/>
          <w:lang w:eastAsia="en-GB"/>
        </w:rPr>
        <w:t> 1991; </w:t>
      </w:r>
      <w:proofErr w:type="spellStart"/>
      <w:r w:rsidR="00883829" w:rsidRPr="003D66DD">
        <w:rPr>
          <w:rFonts w:ascii="Cambria" w:eastAsia="Times New Roman" w:hAnsi="Cambria"/>
          <w:lang w:eastAsia="en-GB"/>
        </w:rPr>
        <w:t>McGarry</w:t>
      </w:r>
      <w:proofErr w:type="spellEnd"/>
      <w:r w:rsidR="00883829" w:rsidRPr="003D66DD">
        <w:rPr>
          <w:rFonts w:ascii="Cambria" w:eastAsia="Times New Roman" w:hAnsi="Cambria"/>
          <w:lang w:eastAsia="en-GB"/>
        </w:rPr>
        <w:t xml:space="preserve"> </w:t>
      </w:r>
      <w:r w:rsidR="000E381B" w:rsidRPr="003D66DD">
        <w:rPr>
          <w:rFonts w:ascii="Cambria" w:eastAsia="Times New Roman" w:hAnsi="Cambria"/>
          <w:lang w:eastAsia="en-GB"/>
        </w:rPr>
        <w:t>and</w:t>
      </w:r>
      <w:r w:rsidR="002B131F">
        <w:rPr>
          <w:rFonts w:ascii="Cambria" w:eastAsia="Times New Roman" w:hAnsi="Cambria"/>
          <w:lang w:eastAsia="en-GB"/>
        </w:rPr>
        <w:t xml:space="preserve"> O’Leary</w:t>
      </w:r>
      <w:r w:rsidR="004F782C">
        <w:rPr>
          <w:rFonts w:ascii="Cambria" w:eastAsia="Times New Roman" w:hAnsi="Cambria"/>
          <w:lang w:eastAsia="en-GB"/>
        </w:rPr>
        <w:t>,</w:t>
      </w:r>
      <w:r w:rsidR="002B131F">
        <w:rPr>
          <w:rFonts w:ascii="Cambria" w:eastAsia="Times New Roman" w:hAnsi="Cambria"/>
          <w:lang w:eastAsia="en-GB"/>
        </w:rPr>
        <w:t xml:space="preserve"> 2006, 2007, 2009</w:t>
      </w:r>
      <w:r w:rsidR="00883829" w:rsidRPr="003D66DD">
        <w:rPr>
          <w:rFonts w:ascii="Cambria" w:eastAsia="Times New Roman" w:hAnsi="Cambria"/>
          <w:lang w:eastAsia="en-GB"/>
        </w:rPr>
        <w:t xml:space="preserve">; </w:t>
      </w:r>
      <w:proofErr w:type="spellStart"/>
      <w:r w:rsidR="00883829" w:rsidRPr="003D66DD">
        <w:rPr>
          <w:rFonts w:ascii="Cambria" w:eastAsia="Times New Roman" w:hAnsi="Cambria"/>
          <w:lang w:eastAsia="en-GB"/>
        </w:rPr>
        <w:t>McCrudden</w:t>
      </w:r>
      <w:proofErr w:type="spellEnd"/>
      <w:r w:rsidR="00883829" w:rsidRPr="003D66DD">
        <w:rPr>
          <w:rFonts w:ascii="Cambria" w:eastAsia="Times New Roman" w:hAnsi="Cambria"/>
          <w:lang w:eastAsia="en-GB"/>
        </w:rPr>
        <w:t xml:space="preserve"> </w:t>
      </w:r>
      <w:r w:rsidR="000E381B" w:rsidRPr="003D66DD">
        <w:rPr>
          <w:rFonts w:ascii="Cambria" w:eastAsia="Times New Roman" w:hAnsi="Cambria"/>
          <w:lang w:eastAsia="en-GB"/>
        </w:rPr>
        <w:t>and</w:t>
      </w:r>
      <w:r w:rsidR="002B131F">
        <w:rPr>
          <w:rFonts w:ascii="Cambria" w:eastAsia="Times New Roman" w:hAnsi="Cambria"/>
          <w:lang w:eastAsia="en-GB"/>
        </w:rPr>
        <w:t xml:space="preserve"> O’Leary</w:t>
      </w:r>
      <w:r w:rsidR="004F782C">
        <w:rPr>
          <w:rFonts w:ascii="Cambria" w:eastAsia="Times New Roman" w:hAnsi="Cambria"/>
          <w:lang w:eastAsia="en-GB"/>
        </w:rPr>
        <w:t>,</w:t>
      </w:r>
      <w:r w:rsidR="002B131F">
        <w:rPr>
          <w:rFonts w:ascii="Cambria" w:eastAsia="Times New Roman" w:hAnsi="Cambria"/>
          <w:lang w:eastAsia="en-GB"/>
        </w:rPr>
        <w:t xml:space="preserve"> 2013; McCulloch</w:t>
      </w:r>
      <w:r w:rsidR="004F782C">
        <w:rPr>
          <w:rFonts w:ascii="Cambria" w:eastAsia="Times New Roman" w:hAnsi="Cambria"/>
          <w:lang w:eastAsia="en-GB"/>
        </w:rPr>
        <w:t>,</w:t>
      </w:r>
      <w:r w:rsidR="002B131F">
        <w:rPr>
          <w:rFonts w:ascii="Cambria" w:eastAsia="Times New Roman" w:hAnsi="Cambria"/>
          <w:lang w:eastAsia="en-GB"/>
        </w:rPr>
        <w:t xml:space="preserve"> 2014; Nagle</w:t>
      </w:r>
      <w:r w:rsidR="004F782C">
        <w:rPr>
          <w:rFonts w:ascii="Cambria" w:eastAsia="Times New Roman" w:hAnsi="Cambria"/>
          <w:lang w:eastAsia="en-GB"/>
        </w:rPr>
        <w:t>,</w:t>
      </w:r>
      <w:r w:rsidR="002B131F">
        <w:rPr>
          <w:rFonts w:ascii="Cambria" w:eastAsia="Times New Roman" w:hAnsi="Cambria"/>
          <w:lang w:eastAsia="en-GB"/>
        </w:rPr>
        <w:t> 2011; Wolff</w:t>
      </w:r>
      <w:r w:rsidR="004F782C">
        <w:rPr>
          <w:rFonts w:ascii="Cambria" w:eastAsia="Times New Roman" w:hAnsi="Cambria"/>
          <w:lang w:eastAsia="en-GB"/>
        </w:rPr>
        <w:t>,</w:t>
      </w:r>
      <w:r w:rsidR="00883829" w:rsidRPr="003D66DD">
        <w:rPr>
          <w:rFonts w:ascii="Cambria" w:eastAsia="Times New Roman" w:hAnsi="Cambria"/>
          <w:lang w:eastAsia="en-GB"/>
        </w:rPr>
        <w:t> 2010).</w:t>
      </w:r>
      <w:r w:rsidR="00883829" w:rsidRPr="003D66DD">
        <w:rPr>
          <w:rFonts w:ascii="Cambria" w:hAnsi="Cambria"/>
        </w:rPr>
        <w:t xml:space="preserve"> </w:t>
      </w:r>
    </w:p>
    <w:p w14:paraId="4735BF41" w14:textId="0AA2B29F" w:rsidR="00883829" w:rsidRPr="003D66DD" w:rsidRDefault="00883829" w:rsidP="00883829">
      <w:pPr>
        <w:spacing w:line="360" w:lineRule="auto"/>
        <w:rPr>
          <w:rFonts w:ascii="Cambria" w:hAnsi="Cambria"/>
          <w:color w:val="FF0000"/>
        </w:rPr>
      </w:pPr>
    </w:p>
    <w:p w14:paraId="244A7427" w14:textId="484FECB6" w:rsidR="0059520B" w:rsidRPr="003D66DD" w:rsidRDefault="002F3262" w:rsidP="002B131F">
      <w:pPr>
        <w:spacing w:line="360" w:lineRule="auto"/>
        <w:outlineLvl w:val="0"/>
        <w:rPr>
          <w:rFonts w:ascii="Cambria" w:hAnsi="Cambria"/>
          <w:b/>
          <w:i/>
        </w:rPr>
      </w:pPr>
      <w:r w:rsidRPr="003D66DD">
        <w:rPr>
          <w:rFonts w:ascii="Cambria" w:hAnsi="Cambria"/>
          <w:b/>
          <w:i/>
        </w:rPr>
        <w:t xml:space="preserve">Theoretical </w:t>
      </w:r>
      <w:proofErr w:type="spellStart"/>
      <w:r w:rsidRPr="003D66DD">
        <w:rPr>
          <w:rFonts w:ascii="Cambria" w:hAnsi="Cambria"/>
          <w:b/>
          <w:i/>
        </w:rPr>
        <w:t>Disjunctures</w:t>
      </w:r>
      <w:proofErr w:type="spellEnd"/>
      <w:r w:rsidRPr="003D66DD">
        <w:rPr>
          <w:rFonts w:ascii="Cambria" w:hAnsi="Cambria"/>
          <w:b/>
          <w:i/>
        </w:rPr>
        <w:t xml:space="preserve">: Gender and Power-Sharing </w:t>
      </w:r>
    </w:p>
    <w:p w14:paraId="77A952E9" w14:textId="77777777" w:rsidR="00187778" w:rsidRPr="003D66DD" w:rsidRDefault="00187778" w:rsidP="002F3262">
      <w:pPr>
        <w:spacing w:line="360" w:lineRule="auto"/>
        <w:ind w:firstLine="720"/>
        <w:rPr>
          <w:rFonts w:ascii="Cambria" w:hAnsi="Cambria"/>
          <w:b/>
          <w:i/>
        </w:rPr>
      </w:pPr>
    </w:p>
    <w:p w14:paraId="646EBE4E" w14:textId="4EE3B96F" w:rsidR="007A462C" w:rsidRPr="003D66DD" w:rsidRDefault="007A462C" w:rsidP="007A462C">
      <w:pPr>
        <w:spacing w:line="360" w:lineRule="auto"/>
        <w:rPr>
          <w:rFonts w:ascii="Cambria" w:hAnsi="Cambria"/>
          <w:color w:val="FF0000"/>
        </w:rPr>
      </w:pPr>
      <w:r w:rsidRPr="003D66DD">
        <w:rPr>
          <w:rFonts w:ascii="Cambria" w:hAnsi="Cambria"/>
        </w:rPr>
        <w:t>The implications of the rise to prominence of power-sharing for women</w:t>
      </w:r>
      <w:r w:rsidR="00187778" w:rsidRPr="003D66DD">
        <w:rPr>
          <w:rFonts w:ascii="Cambria" w:hAnsi="Cambria"/>
        </w:rPr>
        <w:t xml:space="preserve"> and gender equality goals</w:t>
      </w:r>
      <w:r w:rsidRPr="003D66DD">
        <w:rPr>
          <w:rFonts w:ascii="Cambria" w:hAnsi="Cambria"/>
        </w:rPr>
        <w:t>, howe</w:t>
      </w:r>
      <w:r w:rsidR="004F782C">
        <w:rPr>
          <w:rFonts w:ascii="Cambria" w:hAnsi="Cambria"/>
        </w:rPr>
        <w:t>ver, are</w:t>
      </w:r>
      <w:r w:rsidRPr="003D66DD">
        <w:rPr>
          <w:rFonts w:ascii="Cambria" w:hAnsi="Cambria"/>
        </w:rPr>
        <w:t xml:space="preserve"> far from clear. How do the increasing use of power-sharing as a tool of</w:t>
      </w:r>
      <w:r w:rsidR="00241785" w:rsidRPr="003D66DD">
        <w:rPr>
          <w:rFonts w:ascii="Cambria" w:hAnsi="Cambria"/>
        </w:rPr>
        <w:t xml:space="preserve"> peacebuilding</w:t>
      </w:r>
      <w:r w:rsidRPr="003D66DD">
        <w:rPr>
          <w:rFonts w:ascii="Cambria" w:hAnsi="Cambria"/>
        </w:rPr>
        <w:t xml:space="preserve"> and the intensified focus on Women, Peace and Security sit together?  To the extent that feminist scholarship has engaged with power-sharing, the dominant narrative has been </w:t>
      </w:r>
      <w:r w:rsidR="00241785" w:rsidRPr="003D66DD">
        <w:rPr>
          <w:rFonts w:ascii="Cambria" w:hAnsi="Cambria"/>
        </w:rPr>
        <w:t>of</w:t>
      </w:r>
      <w:r w:rsidRPr="003D66DD">
        <w:rPr>
          <w:rFonts w:ascii="Cambria" w:hAnsi="Cambria"/>
        </w:rPr>
        <w:t xml:space="preserve"> negative outcomes for women’s political participation and rights in the post-conflict context.  In a system predicated on the recognition of communal identities, women form a ‘non-salient’ group and thus find themselves marginalised, </w:t>
      </w:r>
      <w:r w:rsidR="00241785" w:rsidRPr="003D66DD">
        <w:rPr>
          <w:rFonts w:ascii="Cambria" w:hAnsi="Cambria"/>
        </w:rPr>
        <w:t xml:space="preserve">and </w:t>
      </w:r>
      <w:r w:rsidRPr="003D66DD">
        <w:rPr>
          <w:rFonts w:ascii="Cambria" w:hAnsi="Cambria"/>
        </w:rPr>
        <w:t>their interests subordinated to the ethno-national agenda (</w:t>
      </w:r>
      <w:r w:rsidR="00241785" w:rsidRPr="003D66DD">
        <w:rPr>
          <w:rFonts w:ascii="Cambria" w:hAnsi="Cambria"/>
        </w:rPr>
        <w:t>see, for example,</w:t>
      </w:r>
      <w:r w:rsidRPr="003D66DD">
        <w:rPr>
          <w:rFonts w:ascii="Cambria" w:hAnsi="Cambria"/>
        </w:rPr>
        <w:t xml:space="preserve"> Bell </w:t>
      </w:r>
      <w:r w:rsidR="000E381B" w:rsidRPr="003D66DD">
        <w:rPr>
          <w:rFonts w:ascii="Cambria" w:hAnsi="Cambria"/>
        </w:rPr>
        <w:t>and</w:t>
      </w:r>
      <w:r w:rsidR="004F782C">
        <w:rPr>
          <w:rFonts w:ascii="Cambria" w:hAnsi="Cambria"/>
        </w:rPr>
        <w:t xml:space="preserve"> O’Rourke, 2007; </w:t>
      </w:r>
      <w:proofErr w:type="spellStart"/>
      <w:r w:rsidR="004F782C">
        <w:rPr>
          <w:rFonts w:ascii="Cambria" w:hAnsi="Cambria"/>
        </w:rPr>
        <w:t>Deiana</w:t>
      </w:r>
      <w:proofErr w:type="spellEnd"/>
      <w:r w:rsidR="004F782C">
        <w:rPr>
          <w:rFonts w:ascii="Cambria" w:hAnsi="Cambria"/>
        </w:rPr>
        <w:t>, 2013,</w:t>
      </w:r>
      <w:r w:rsidRPr="003D66DD">
        <w:rPr>
          <w:rFonts w:ascii="Cambria" w:hAnsi="Cambria"/>
        </w:rPr>
        <w:t xml:space="preserve"> 2016; Hayes </w:t>
      </w:r>
      <w:r w:rsidR="000E381B" w:rsidRPr="003D66DD">
        <w:rPr>
          <w:rFonts w:ascii="Cambria" w:hAnsi="Cambria"/>
        </w:rPr>
        <w:t>and</w:t>
      </w:r>
      <w:r w:rsidRPr="003D66DD">
        <w:rPr>
          <w:rFonts w:ascii="Cambria" w:hAnsi="Cambria"/>
        </w:rPr>
        <w:t xml:space="preserve"> McAllister, 201</w:t>
      </w:r>
      <w:r w:rsidR="00267B25">
        <w:rPr>
          <w:rFonts w:ascii="Cambria" w:hAnsi="Cambria"/>
        </w:rPr>
        <w:t>2</w:t>
      </w:r>
      <w:r w:rsidRPr="003D66DD">
        <w:rPr>
          <w:rFonts w:ascii="Cambria" w:hAnsi="Cambria"/>
        </w:rPr>
        <w:t xml:space="preserve"> </w:t>
      </w:r>
      <w:proofErr w:type="spellStart"/>
      <w:r w:rsidRPr="003D66DD">
        <w:rPr>
          <w:rFonts w:ascii="Cambria" w:hAnsi="Cambria"/>
        </w:rPr>
        <w:t>Murtagh</w:t>
      </w:r>
      <w:proofErr w:type="spellEnd"/>
      <w:r w:rsidRPr="003D66DD">
        <w:rPr>
          <w:rFonts w:ascii="Cambria" w:hAnsi="Cambria"/>
        </w:rPr>
        <w:t xml:space="preserve">, 2008; </w:t>
      </w:r>
      <w:proofErr w:type="spellStart"/>
      <w:r w:rsidRPr="003D66DD">
        <w:rPr>
          <w:rFonts w:ascii="Cambria" w:hAnsi="Cambria"/>
        </w:rPr>
        <w:t>Rebouch</w:t>
      </w:r>
      <w:r w:rsidR="003D5B5D">
        <w:rPr>
          <w:rFonts w:ascii="Cambria" w:hAnsi="Cambria"/>
        </w:rPr>
        <w:t>é</w:t>
      </w:r>
      <w:proofErr w:type="spellEnd"/>
      <w:r w:rsidRPr="003D66DD">
        <w:rPr>
          <w:rFonts w:ascii="Cambria" w:hAnsi="Cambria"/>
        </w:rPr>
        <w:t xml:space="preserve"> </w:t>
      </w:r>
      <w:r w:rsidR="000E381B" w:rsidRPr="003D66DD">
        <w:rPr>
          <w:rFonts w:ascii="Cambria" w:hAnsi="Cambria"/>
        </w:rPr>
        <w:t>and</w:t>
      </w:r>
      <w:r w:rsidRPr="003D66DD">
        <w:rPr>
          <w:rFonts w:ascii="Cambria" w:hAnsi="Cambria"/>
        </w:rPr>
        <w:t xml:space="preserve"> </w:t>
      </w:r>
      <w:proofErr w:type="spellStart"/>
      <w:r w:rsidRPr="003D66DD">
        <w:rPr>
          <w:rFonts w:ascii="Cambria" w:hAnsi="Cambria"/>
        </w:rPr>
        <w:t>Fearon</w:t>
      </w:r>
      <w:proofErr w:type="spellEnd"/>
      <w:r w:rsidRPr="003D66DD">
        <w:rPr>
          <w:rFonts w:ascii="Cambria" w:hAnsi="Cambria"/>
        </w:rPr>
        <w:t xml:space="preserve">, 2005).  </w:t>
      </w:r>
    </w:p>
    <w:p w14:paraId="1EAB3EA7" w14:textId="77777777" w:rsidR="0059520B" w:rsidRPr="003D66DD" w:rsidRDefault="0059520B" w:rsidP="00883829">
      <w:pPr>
        <w:spacing w:line="360" w:lineRule="auto"/>
        <w:rPr>
          <w:rFonts w:ascii="Cambria" w:hAnsi="Cambria"/>
          <w:color w:val="FF0000"/>
        </w:rPr>
      </w:pPr>
    </w:p>
    <w:p w14:paraId="0C053869" w14:textId="18050F60" w:rsidR="001C4634" w:rsidRPr="003D66DD" w:rsidRDefault="00241785" w:rsidP="001C4634">
      <w:pPr>
        <w:spacing w:line="360" w:lineRule="auto"/>
        <w:rPr>
          <w:rFonts w:ascii="Cambria" w:hAnsi="Cambria"/>
          <w:color w:val="FF0000"/>
        </w:rPr>
      </w:pPr>
      <w:r w:rsidRPr="003D66DD">
        <w:rPr>
          <w:rFonts w:ascii="Cambria" w:hAnsi="Cambria"/>
        </w:rPr>
        <w:t>It is argued that this</w:t>
      </w:r>
      <w:r w:rsidR="00883829" w:rsidRPr="003D66DD">
        <w:rPr>
          <w:rFonts w:ascii="Cambria" w:hAnsi="Cambria"/>
        </w:rPr>
        <w:t xml:space="preserve"> tension </w:t>
      </w:r>
      <w:r w:rsidRPr="003D66DD">
        <w:rPr>
          <w:rFonts w:ascii="Cambria" w:hAnsi="Cambria"/>
        </w:rPr>
        <w:t xml:space="preserve">arises from different theoretical standpoints on conflict and its solutions </w:t>
      </w:r>
      <w:r w:rsidR="0010608F" w:rsidRPr="003D66DD">
        <w:rPr>
          <w:rFonts w:ascii="Cambria" w:hAnsi="Cambria"/>
        </w:rPr>
        <w:t>held by scholars and practitioners</w:t>
      </w:r>
      <w:r w:rsidR="00A859D2" w:rsidRPr="003D66DD">
        <w:rPr>
          <w:rFonts w:ascii="Cambria" w:hAnsi="Cambria"/>
        </w:rPr>
        <w:t xml:space="preserve"> of power-sharing</w:t>
      </w:r>
      <w:r w:rsidR="0010608F" w:rsidRPr="003D66DD">
        <w:rPr>
          <w:rFonts w:ascii="Cambria" w:hAnsi="Cambria"/>
        </w:rPr>
        <w:t xml:space="preserve">, on the one hand, and feminist scholars and the WPS community on the other </w:t>
      </w:r>
      <w:r w:rsidR="00883829" w:rsidRPr="003D66DD">
        <w:rPr>
          <w:rFonts w:ascii="Cambria" w:hAnsi="Cambria"/>
        </w:rPr>
        <w:t xml:space="preserve">(Byrne </w:t>
      </w:r>
      <w:r w:rsidR="002257A4" w:rsidRPr="003D66DD">
        <w:rPr>
          <w:rFonts w:ascii="Cambria" w:hAnsi="Cambria"/>
        </w:rPr>
        <w:t>and</w:t>
      </w:r>
      <w:r w:rsidR="00883829" w:rsidRPr="003D66DD">
        <w:rPr>
          <w:rFonts w:ascii="Cambria" w:hAnsi="Cambria"/>
        </w:rPr>
        <w:t xml:space="preserve"> McCulloch, 201</w:t>
      </w:r>
      <w:r w:rsidR="00F8270B" w:rsidRPr="003D66DD">
        <w:rPr>
          <w:rFonts w:ascii="Cambria" w:hAnsi="Cambria"/>
        </w:rPr>
        <w:t xml:space="preserve">2: </w:t>
      </w:r>
      <w:r w:rsidR="00F8270B" w:rsidRPr="003D66DD">
        <w:rPr>
          <w:rFonts w:ascii="Cambria" w:hAnsi="Cambria"/>
        </w:rPr>
        <w:lastRenderedPageBreak/>
        <w:t>566; Kennedy et al., 2016: 2</w:t>
      </w:r>
      <w:r w:rsidR="00883829" w:rsidRPr="003D66DD">
        <w:rPr>
          <w:rFonts w:ascii="Cambria" w:hAnsi="Cambria"/>
        </w:rPr>
        <w:t xml:space="preserve">).  </w:t>
      </w:r>
      <w:r w:rsidR="00F8270B" w:rsidRPr="003D66DD">
        <w:rPr>
          <w:rFonts w:ascii="Cambria" w:hAnsi="Cambria"/>
        </w:rPr>
        <w:t xml:space="preserve">The first </w:t>
      </w:r>
      <w:r w:rsidR="00F87A0F" w:rsidRPr="003D66DD">
        <w:rPr>
          <w:rFonts w:ascii="Cambria" w:hAnsi="Cambria"/>
        </w:rPr>
        <w:t xml:space="preserve">theoretical </w:t>
      </w:r>
      <w:r w:rsidR="00F8270B" w:rsidRPr="003D66DD">
        <w:rPr>
          <w:rFonts w:ascii="Cambria" w:hAnsi="Cambria"/>
        </w:rPr>
        <w:t>disjuncture concerns identity</w:t>
      </w:r>
      <w:r w:rsidR="002257A4" w:rsidRPr="003D66DD">
        <w:rPr>
          <w:rFonts w:ascii="Cambria" w:hAnsi="Cambria"/>
          <w:i/>
        </w:rPr>
        <w:t xml:space="preserve"> </w:t>
      </w:r>
      <w:r w:rsidR="0058798F" w:rsidRPr="003D66DD">
        <w:rPr>
          <w:rFonts w:ascii="Cambria" w:hAnsi="Cambria"/>
        </w:rPr>
        <w:t xml:space="preserve">(Byrne </w:t>
      </w:r>
      <w:r w:rsidR="002257A4" w:rsidRPr="003D66DD">
        <w:rPr>
          <w:rFonts w:ascii="Cambria" w:hAnsi="Cambria"/>
        </w:rPr>
        <w:t>and</w:t>
      </w:r>
      <w:r w:rsidR="0058798F" w:rsidRPr="003D66DD">
        <w:rPr>
          <w:rFonts w:ascii="Cambria" w:hAnsi="Cambria"/>
        </w:rPr>
        <w:t xml:space="preserve"> McCulloch, 2017</w:t>
      </w:r>
      <w:r w:rsidR="002452A0" w:rsidRPr="003D66DD">
        <w:rPr>
          <w:rFonts w:ascii="Cambria" w:hAnsi="Cambria"/>
        </w:rPr>
        <w:t xml:space="preserve">; </w:t>
      </w:r>
      <w:proofErr w:type="spellStart"/>
      <w:r w:rsidR="002452A0" w:rsidRPr="003D66DD">
        <w:rPr>
          <w:rFonts w:ascii="Cambria" w:hAnsi="Cambria"/>
        </w:rPr>
        <w:t>Murtagh</w:t>
      </w:r>
      <w:proofErr w:type="spellEnd"/>
      <w:r w:rsidR="002452A0" w:rsidRPr="003D66DD">
        <w:rPr>
          <w:rFonts w:ascii="Cambria" w:hAnsi="Cambria"/>
        </w:rPr>
        <w:t>, 2008; Nagle, 2016a</w:t>
      </w:r>
      <w:r w:rsidR="00103D6E" w:rsidRPr="003D66DD">
        <w:rPr>
          <w:rFonts w:ascii="Cambria" w:hAnsi="Cambria"/>
        </w:rPr>
        <w:t>: 165</w:t>
      </w:r>
      <w:r w:rsidR="00F87A0F" w:rsidRPr="003D66DD">
        <w:rPr>
          <w:rFonts w:ascii="Cambria" w:hAnsi="Cambria"/>
        </w:rPr>
        <w:t>)</w:t>
      </w:r>
      <w:r w:rsidR="002257A4" w:rsidRPr="003D66DD">
        <w:rPr>
          <w:rFonts w:ascii="Cambria" w:hAnsi="Cambria"/>
        </w:rPr>
        <w:t>.</w:t>
      </w:r>
      <w:r w:rsidR="00F8270B" w:rsidRPr="003D66DD">
        <w:rPr>
          <w:rFonts w:ascii="Cambria" w:hAnsi="Cambria"/>
        </w:rPr>
        <w:t xml:space="preserve"> </w:t>
      </w:r>
      <w:proofErr w:type="spellStart"/>
      <w:r w:rsidR="002257A4" w:rsidRPr="003D66DD">
        <w:rPr>
          <w:rFonts w:ascii="Cambria" w:hAnsi="Cambria"/>
        </w:rPr>
        <w:t>C</w:t>
      </w:r>
      <w:r w:rsidR="00883829" w:rsidRPr="003D66DD">
        <w:rPr>
          <w:rFonts w:ascii="Cambria" w:hAnsi="Cambria"/>
        </w:rPr>
        <w:t>onsociational</w:t>
      </w:r>
      <w:proofErr w:type="spellEnd"/>
      <w:r w:rsidR="00883829" w:rsidRPr="003D66DD">
        <w:rPr>
          <w:rFonts w:ascii="Cambria" w:hAnsi="Cambria"/>
        </w:rPr>
        <w:t xml:space="preserve"> theory tends to interpret conflict as </w:t>
      </w:r>
      <w:r w:rsidR="00A859D2" w:rsidRPr="003D66DD">
        <w:rPr>
          <w:rFonts w:ascii="Cambria" w:hAnsi="Cambria"/>
        </w:rPr>
        <w:t>contests</w:t>
      </w:r>
      <w:r w:rsidR="00883829" w:rsidRPr="003D66DD">
        <w:rPr>
          <w:rFonts w:ascii="Cambria" w:hAnsi="Cambria"/>
        </w:rPr>
        <w:t xml:space="preserve"> between rival ethno-national identities</w:t>
      </w:r>
      <w:r w:rsidR="00E72567" w:rsidRPr="003D66DD">
        <w:rPr>
          <w:rFonts w:ascii="Cambria" w:hAnsi="Cambria"/>
        </w:rPr>
        <w:t xml:space="preserve">.  Ethno-national identity, </w:t>
      </w:r>
      <w:r w:rsidR="00F87A0F" w:rsidRPr="003D66DD">
        <w:rPr>
          <w:rFonts w:ascii="Cambria" w:hAnsi="Cambria"/>
        </w:rPr>
        <w:t xml:space="preserve">while not the only significant </w:t>
      </w:r>
      <w:r w:rsidR="00E72567" w:rsidRPr="003D66DD">
        <w:rPr>
          <w:rFonts w:ascii="Cambria" w:hAnsi="Cambria"/>
        </w:rPr>
        <w:t xml:space="preserve">form of </w:t>
      </w:r>
      <w:r w:rsidR="00F87A0F" w:rsidRPr="003D66DD">
        <w:rPr>
          <w:rFonts w:ascii="Cambria" w:hAnsi="Cambria"/>
        </w:rPr>
        <w:t>identity</w:t>
      </w:r>
      <w:r w:rsidR="00E72567" w:rsidRPr="003D66DD">
        <w:rPr>
          <w:rFonts w:ascii="Cambria" w:hAnsi="Cambria"/>
        </w:rPr>
        <w:t xml:space="preserve">, is deemed </w:t>
      </w:r>
      <w:r w:rsidR="00F87A0F" w:rsidRPr="003D66DD">
        <w:rPr>
          <w:rFonts w:ascii="Cambria" w:hAnsi="Cambria"/>
        </w:rPr>
        <w:t>the most politically salient</w:t>
      </w:r>
      <w:r w:rsidR="002257A4" w:rsidRPr="003D66DD">
        <w:rPr>
          <w:rFonts w:ascii="Cambria" w:hAnsi="Cambria"/>
        </w:rPr>
        <w:t xml:space="preserve">. In addition, </w:t>
      </w:r>
      <w:r w:rsidR="006906F9" w:rsidRPr="003D66DD">
        <w:rPr>
          <w:rFonts w:ascii="Cambria" w:hAnsi="Cambria"/>
        </w:rPr>
        <w:t xml:space="preserve">ethno-national groups </w:t>
      </w:r>
      <w:r w:rsidR="002257A4" w:rsidRPr="003D66DD">
        <w:rPr>
          <w:rFonts w:ascii="Cambria" w:hAnsi="Cambria"/>
        </w:rPr>
        <w:t>are</w:t>
      </w:r>
      <w:r w:rsidR="006906F9" w:rsidRPr="003D66DD">
        <w:rPr>
          <w:rFonts w:ascii="Cambria" w:hAnsi="Cambria"/>
        </w:rPr>
        <w:t xml:space="preserve"> </w:t>
      </w:r>
      <w:r w:rsidR="00883829" w:rsidRPr="003D66DD">
        <w:rPr>
          <w:rFonts w:ascii="Cambria" w:hAnsi="Cambria"/>
        </w:rPr>
        <w:t xml:space="preserve">treated </w:t>
      </w:r>
      <w:r w:rsidR="002257A4" w:rsidRPr="003D66DD">
        <w:rPr>
          <w:rFonts w:ascii="Cambria" w:hAnsi="Cambria"/>
        </w:rPr>
        <w:t xml:space="preserve">as relatively stable </w:t>
      </w:r>
      <w:r w:rsidR="00E72567" w:rsidRPr="003D66DD">
        <w:rPr>
          <w:rFonts w:ascii="Cambria" w:hAnsi="Cambria"/>
        </w:rPr>
        <w:t>and, to a degree, homogeneous</w:t>
      </w:r>
      <w:r w:rsidR="00F87A0F" w:rsidRPr="003D66DD">
        <w:rPr>
          <w:rFonts w:ascii="Cambria" w:hAnsi="Cambria"/>
        </w:rPr>
        <w:t xml:space="preserve"> </w:t>
      </w:r>
      <w:r w:rsidR="00883829" w:rsidRPr="003D66DD">
        <w:rPr>
          <w:rFonts w:ascii="Cambria" w:hAnsi="Cambria"/>
        </w:rPr>
        <w:t>(</w:t>
      </w:r>
      <w:r w:rsidR="002257A4" w:rsidRPr="003D66DD">
        <w:rPr>
          <w:rFonts w:ascii="Cambria" w:hAnsi="Cambria"/>
        </w:rPr>
        <w:t xml:space="preserve">see, for example, </w:t>
      </w:r>
      <w:proofErr w:type="spellStart"/>
      <w:r w:rsidR="002257A4" w:rsidRPr="003D66DD">
        <w:rPr>
          <w:rFonts w:ascii="Cambria" w:hAnsi="Cambria"/>
        </w:rPr>
        <w:t>McGarry</w:t>
      </w:r>
      <w:proofErr w:type="spellEnd"/>
      <w:r w:rsidR="002257A4" w:rsidRPr="003D66DD">
        <w:rPr>
          <w:rFonts w:ascii="Cambria" w:hAnsi="Cambria"/>
        </w:rPr>
        <w:t xml:space="preserve"> and</w:t>
      </w:r>
      <w:r w:rsidR="000E381B" w:rsidRPr="003D66DD">
        <w:rPr>
          <w:rFonts w:ascii="Cambria" w:hAnsi="Cambria"/>
        </w:rPr>
        <w:t xml:space="preserve"> O’Leary, 1995).  In contrast, f</w:t>
      </w:r>
      <w:r w:rsidR="00883829" w:rsidRPr="003D66DD">
        <w:rPr>
          <w:rFonts w:ascii="Cambria" w:hAnsi="Cambria"/>
        </w:rPr>
        <w:t>eminist theories highlight the g</w:t>
      </w:r>
      <w:r w:rsidR="00355B3E" w:rsidRPr="003D66DD">
        <w:rPr>
          <w:rFonts w:ascii="Cambria" w:hAnsi="Cambria"/>
        </w:rPr>
        <w:t>endered nature of conflict</w:t>
      </w:r>
      <w:r w:rsidR="000E381B" w:rsidRPr="003D66DD">
        <w:rPr>
          <w:rFonts w:ascii="Cambria" w:hAnsi="Cambria"/>
        </w:rPr>
        <w:t>,</w:t>
      </w:r>
      <w:r w:rsidR="00355B3E" w:rsidRPr="003D66DD">
        <w:rPr>
          <w:rFonts w:ascii="Cambria" w:hAnsi="Cambria"/>
        </w:rPr>
        <w:t xml:space="preserve"> </w:t>
      </w:r>
      <w:r w:rsidR="000E381B" w:rsidRPr="003D66DD">
        <w:rPr>
          <w:rFonts w:ascii="Cambria" w:hAnsi="Cambria"/>
        </w:rPr>
        <w:t>with concepts</w:t>
      </w:r>
      <w:r w:rsidR="00355B3E" w:rsidRPr="003D66DD">
        <w:rPr>
          <w:rFonts w:ascii="Cambria" w:hAnsi="Cambria"/>
        </w:rPr>
        <w:t xml:space="preserve"> </w:t>
      </w:r>
      <w:r w:rsidR="00883829" w:rsidRPr="003D66DD">
        <w:rPr>
          <w:rFonts w:ascii="Cambria" w:hAnsi="Cambria"/>
        </w:rPr>
        <w:t xml:space="preserve">such as </w:t>
      </w:r>
      <w:r w:rsidR="00901A26">
        <w:rPr>
          <w:rFonts w:ascii="Cambria" w:hAnsi="Cambria"/>
        </w:rPr>
        <w:t>‘</w:t>
      </w:r>
      <w:proofErr w:type="spellStart"/>
      <w:r w:rsidR="00883829" w:rsidRPr="003D66DD">
        <w:rPr>
          <w:rFonts w:ascii="Cambria" w:hAnsi="Cambria"/>
        </w:rPr>
        <w:t>tran</w:t>
      </w:r>
      <w:r w:rsidR="000E381B" w:rsidRPr="003D66DD">
        <w:rPr>
          <w:rFonts w:ascii="Cambria" w:hAnsi="Cambria"/>
        </w:rPr>
        <w:t>sversalism</w:t>
      </w:r>
      <w:proofErr w:type="spellEnd"/>
      <w:r w:rsidR="00901A26">
        <w:rPr>
          <w:rFonts w:ascii="Cambria" w:hAnsi="Cambria"/>
        </w:rPr>
        <w:t>’</w:t>
      </w:r>
      <w:r w:rsidR="000E381B" w:rsidRPr="003D66DD">
        <w:rPr>
          <w:rFonts w:ascii="Cambria" w:hAnsi="Cambria"/>
        </w:rPr>
        <w:t xml:space="preserve"> recognising</w:t>
      </w:r>
      <w:r w:rsidR="00883829" w:rsidRPr="003D66DD">
        <w:rPr>
          <w:rFonts w:ascii="Cambria" w:hAnsi="Cambria"/>
        </w:rPr>
        <w:t xml:space="preserve"> the </w:t>
      </w:r>
      <w:r w:rsidR="00F87A0F" w:rsidRPr="003D66DD">
        <w:rPr>
          <w:rFonts w:ascii="Cambria" w:hAnsi="Cambria"/>
        </w:rPr>
        <w:t xml:space="preserve">diverse, fluid and overlapping nature of identity </w:t>
      </w:r>
      <w:r w:rsidR="00883829" w:rsidRPr="003D66DD">
        <w:rPr>
          <w:rFonts w:ascii="Cambria" w:hAnsi="Cambria"/>
        </w:rPr>
        <w:t>within these ethno-national groups and</w:t>
      </w:r>
      <w:r w:rsidR="000E381B" w:rsidRPr="003D66DD">
        <w:rPr>
          <w:rFonts w:ascii="Cambria" w:hAnsi="Cambria"/>
        </w:rPr>
        <w:t>, consequently, the</w:t>
      </w:r>
      <w:r w:rsidR="00883829" w:rsidRPr="003D66DD">
        <w:rPr>
          <w:rFonts w:ascii="Cambria" w:hAnsi="Cambria"/>
        </w:rPr>
        <w:t xml:space="preserve"> potential for cross-cutting alliances (Cockburn, 1998</w:t>
      </w:r>
      <w:r w:rsidR="00355B3E" w:rsidRPr="003D66DD">
        <w:rPr>
          <w:rFonts w:ascii="Cambria" w:hAnsi="Cambria"/>
        </w:rPr>
        <w:t xml:space="preserve">; </w:t>
      </w:r>
      <w:proofErr w:type="spellStart"/>
      <w:r w:rsidR="00355B3E" w:rsidRPr="003D66DD">
        <w:rPr>
          <w:rFonts w:ascii="Cambria" w:hAnsi="Cambria"/>
        </w:rPr>
        <w:t>Rebouch</w:t>
      </w:r>
      <w:r w:rsidR="003D5B5D">
        <w:rPr>
          <w:rFonts w:ascii="Cambria" w:hAnsi="Cambria"/>
        </w:rPr>
        <w:t>é</w:t>
      </w:r>
      <w:proofErr w:type="spellEnd"/>
      <w:r w:rsidR="00355B3E" w:rsidRPr="003D66DD">
        <w:rPr>
          <w:rFonts w:ascii="Cambria" w:hAnsi="Cambria"/>
        </w:rPr>
        <w:t xml:space="preserve"> </w:t>
      </w:r>
      <w:r w:rsidR="000E381B" w:rsidRPr="003D66DD">
        <w:rPr>
          <w:rFonts w:ascii="Cambria" w:hAnsi="Cambria"/>
        </w:rPr>
        <w:t>and</w:t>
      </w:r>
      <w:r w:rsidR="00355B3E" w:rsidRPr="003D66DD">
        <w:rPr>
          <w:rFonts w:ascii="Cambria" w:hAnsi="Cambria"/>
        </w:rPr>
        <w:t xml:space="preserve"> </w:t>
      </w:r>
      <w:proofErr w:type="spellStart"/>
      <w:r w:rsidR="00355B3E" w:rsidRPr="003D66DD">
        <w:rPr>
          <w:rFonts w:ascii="Cambria" w:hAnsi="Cambria"/>
        </w:rPr>
        <w:t>Fearon</w:t>
      </w:r>
      <w:proofErr w:type="spellEnd"/>
      <w:r w:rsidR="00355B3E" w:rsidRPr="003D66DD">
        <w:rPr>
          <w:rFonts w:ascii="Cambria" w:hAnsi="Cambria"/>
        </w:rPr>
        <w:t>, 2005</w:t>
      </w:r>
      <w:r w:rsidR="00E72567" w:rsidRPr="003D66DD">
        <w:rPr>
          <w:rFonts w:ascii="Cambria" w:hAnsi="Cambria"/>
        </w:rPr>
        <w:t>: 155</w:t>
      </w:r>
      <w:r w:rsidR="004F782C">
        <w:rPr>
          <w:rFonts w:ascii="Cambria" w:hAnsi="Cambria"/>
        </w:rPr>
        <w:t xml:space="preserve">; </w:t>
      </w:r>
      <w:r w:rsidR="004F782C" w:rsidRPr="003D66DD">
        <w:rPr>
          <w:rFonts w:ascii="Cambria" w:hAnsi="Cambria"/>
        </w:rPr>
        <w:t>Yuv</w:t>
      </w:r>
      <w:r w:rsidR="0030087A">
        <w:rPr>
          <w:rFonts w:ascii="Cambria" w:hAnsi="Cambria"/>
        </w:rPr>
        <w:t>al-Davis, 1997</w:t>
      </w:r>
      <w:r w:rsidR="00883829" w:rsidRPr="003D66DD">
        <w:rPr>
          <w:rFonts w:ascii="Cambria" w:hAnsi="Cambria"/>
        </w:rPr>
        <w:t>).</w:t>
      </w:r>
      <w:r w:rsidR="00F87A0F" w:rsidRPr="003D66DD">
        <w:rPr>
          <w:rFonts w:ascii="Cambria" w:hAnsi="Cambria"/>
        </w:rPr>
        <w:t xml:space="preserve">  </w:t>
      </w:r>
      <w:r w:rsidR="000E381B" w:rsidRPr="003D66DD">
        <w:rPr>
          <w:rFonts w:ascii="Cambria" w:hAnsi="Cambria"/>
          <w:color w:val="000000" w:themeColor="text1"/>
        </w:rPr>
        <w:t>For some scholars, the</w:t>
      </w:r>
      <w:r w:rsidR="001C4634" w:rsidRPr="003D66DD">
        <w:rPr>
          <w:rFonts w:ascii="Cambria" w:hAnsi="Cambria"/>
          <w:color w:val="000000" w:themeColor="text1"/>
        </w:rPr>
        <w:t xml:space="preserve"> tension between gender equality and </w:t>
      </w:r>
      <w:proofErr w:type="spellStart"/>
      <w:r w:rsidR="001C4634" w:rsidRPr="003D66DD">
        <w:rPr>
          <w:rFonts w:ascii="Cambria" w:hAnsi="Cambria"/>
          <w:color w:val="000000" w:themeColor="text1"/>
        </w:rPr>
        <w:t>consociationalism</w:t>
      </w:r>
      <w:proofErr w:type="spellEnd"/>
      <w:r w:rsidR="001C4634" w:rsidRPr="003D66DD">
        <w:rPr>
          <w:rFonts w:ascii="Cambria" w:hAnsi="Cambria"/>
          <w:color w:val="000000" w:themeColor="text1"/>
        </w:rPr>
        <w:t xml:space="preserve"> </w:t>
      </w:r>
      <w:r w:rsidR="000E381B" w:rsidRPr="003D66DD">
        <w:rPr>
          <w:rFonts w:ascii="Cambria" w:hAnsi="Cambria"/>
          <w:color w:val="000000" w:themeColor="text1"/>
        </w:rPr>
        <w:t xml:space="preserve">is rooted </w:t>
      </w:r>
      <w:r w:rsidR="001C4634" w:rsidRPr="003D66DD">
        <w:rPr>
          <w:rFonts w:ascii="Cambria" w:hAnsi="Cambria"/>
          <w:color w:val="000000" w:themeColor="text1"/>
        </w:rPr>
        <w:t xml:space="preserve">in </w:t>
      </w:r>
      <w:r w:rsidR="000E381B" w:rsidRPr="003D66DD">
        <w:rPr>
          <w:rFonts w:ascii="Cambria" w:hAnsi="Cambria"/>
          <w:color w:val="000000" w:themeColor="text1"/>
        </w:rPr>
        <w:t xml:space="preserve">the </w:t>
      </w:r>
      <w:r w:rsidR="001C4634" w:rsidRPr="003D66DD">
        <w:rPr>
          <w:rFonts w:ascii="Cambria" w:hAnsi="Cambria"/>
          <w:color w:val="000000" w:themeColor="text1"/>
        </w:rPr>
        <w:t xml:space="preserve">fundamental ideological clashes observed between feminism and </w:t>
      </w:r>
      <w:r w:rsidR="000E381B" w:rsidRPr="003D66DD">
        <w:rPr>
          <w:rFonts w:ascii="Cambria" w:hAnsi="Cambria"/>
          <w:color w:val="000000" w:themeColor="text1"/>
        </w:rPr>
        <w:t xml:space="preserve">traditional forms of </w:t>
      </w:r>
      <w:r w:rsidR="001C4634" w:rsidRPr="003D66DD">
        <w:rPr>
          <w:rFonts w:ascii="Cambria" w:hAnsi="Cambria"/>
          <w:color w:val="000000" w:themeColor="text1"/>
        </w:rPr>
        <w:t>nationalism (Kennedy et al</w:t>
      </w:r>
      <w:r w:rsidR="004F782C">
        <w:rPr>
          <w:rFonts w:ascii="Cambria" w:hAnsi="Cambria"/>
          <w:color w:val="000000" w:themeColor="text1"/>
        </w:rPr>
        <w:t>.</w:t>
      </w:r>
      <w:r w:rsidR="001C4634" w:rsidRPr="003D66DD">
        <w:rPr>
          <w:rFonts w:ascii="Cambria" w:hAnsi="Cambria"/>
          <w:color w:val="000000" w:themeColor="text1"/>
        </w:rPr>
        <w:t xml:space="preserve">, 2016: 8; Pierson </w:t>
      </w:r>
      <w:r w:rsidR="000E381B" w:rsidRPr="003D66DD">
        <w:rPr>
          <w:rFonts w:ascii="Cambria" w:hAnsi="Cambria"/>
          <w:color w:val="000000" w:themeColor="text1"/>
        </w:rPr>
        <w:t>and</w:t>
      </w:r>
      <w:r w:rsidR="001C4634" w:rsidRPr="003D66DD">
        <w:rPr>
          <w:rFonts w:ascii="Cambria" w:hAnsi="Cambria"/>
          <w:color w:val="000000" w:themeColor="text1"/>
        </w:rPr>
        <w:t xml:space="preserve"> Thomson, 201</w:t>
      </w:r>
      <w:r w:rsidR="00D61C4B" w:rsidRPr="00585C4D">
        <w:rPr>
          <w:rFonts w:ascii="Cambria" w:hAnsi="Cambria"/>
          <w:color w:val="000000" w:themeColor="text1"/>
        </w:rPr>
        <w:t>8</w:t>
      </w:r>
      <w:r w:rsidR="00D61C4B">
        <w:rPr>
          <w:rFonts w:ascii="Cambria" w:hAnsi="Cambria"/>
          <w:color w:val="FF0000"/>
        </w:rPr>
        <w:t>;</w:t>
      </w:r>
      <w:r w:rsidR="001C4634" w:rsidRPr="003D66DD">
        <w:rPr>
          <w:rFonts w:ascii="Cambria" w:hAnsi="Cambria"/>
          <w:color w:val="000000" w:themeColor="text1"/>
        </w:rPr>
        <w:t xml:space="preserve"> </w:t>
      </w:r>
      <w:proofErr w:type="spellStart"/>
      <w:r w:rsidR="009D440A" w:rsidRPr="008C11D4">
        <w:rPr>
          <w:rFonts w:ascii="Cambria" w:hAnsi="Cambria"/>
          <w:color w:val="000000" w:themeColor="text1"/>
        </w:rPr>
        <w:t>Murtagh</w:t>
      </w:r>
      <w:proofErr w:type="spellEnd"/>
      <w:r w:rsidR="008C11D4" w:rsidRPr="008C11D4">
        <w:rPr>
          <w:rFonts w:ascii="Cambria" w:hAnsi="Cambria"/>
          <w:color w:val="000000" w:themeColor="text1"/>
        </w:rPr>
        <w:t>, 2008</w:t>
      </w:r>
      <w:r w:rsidR="000E381B" w:rsidRPr="008C11D4">
        <w:rPr>
          <w:rFonts w:ascii="Cambria" w:hAnsi="Cambria"/>
          <w:color w:val="000000" w:themeColor="text1"/>
        </w:rPr>
        <w:t>: 32</w:t>
      </w:r>
      <w:r w:rsidR="000E381B" w:rsidRPr="003D66DD">
        <w:rPr>
          <w:rFonts w:ascii="Cambria" w:hAnsi="Cambria"/>
          <w:color w:val="000000" w:themeColor="text1"/>
        </w:rPr>
        <w:t xml:space="preserve">), </w:t>
      </w:r>
      <w:r w:rsidR="001C4634" w:rsidRPr="003D66DD">
        <w:rPr>
          <w:rFonts w:ascii="Cambria" w:hAnsi="Cambria"/>
          <w:color w:val="000000" w:themeColor="text1"/>
        </w:rPr>
        <w:t>while the complex intersectionality of gender and national and ethnic identities has also been acknowledged (</w:t>
      </w:r>
      <w:r w:rsidR="002452A0" w:rsidRPr="003D66DD">
        <w:rPr>
          <w:rFonts w:ascii="Cambria" w:hAnsi="Cambria"/>
          <w:color w:val="000000" w:themeColor="text1"/>
        </w:rPr>
        <w:t>Nagle, 2016a</w:t>
      </w:r>
      <w:r w:rsidR="001C4634" w:rsidRPr="003D66DD">
        <w:rPr>
          <w:rFonts w:ascii="Cambria" w:hAnsi="Cambria"/>
          <w:color w:val="000000" w:themeColor="text1"/>
        </w:rPr>
        <w:t xml:space="preserve">: 166).  </w:t>
      </w:r>
      <w:proofErr w:type="spellStart"/>
      <w:r w:rsidR="001C4634" w:rsidRPr="003D66DD">
        <w:rPr>
          <w:rFonts w:ascii="Cambria" w:hAnsi="Cambria"/>
          <w:color w:val="000000" w:themeColor="text1"/>
        </w:rPr>
        <w:t>Consociationalism</w:t>
      </w:r>
      <w:proofErr w:type="spellEnd"/>
      <w:r w:rsidR="000E381B" w:rsidRPr="003D66DD">
        <w:rPr>
          <w:rFonts w:ascii="Cambria" w:hAnsi="Cambria"/>
          <w:color w:val="000000" w:themeColor="text1"/>
        </w:rPr>
        <w:t>,</w:t>
      </w:r>
      <w:r w:rsidR="001C4634" w:rsidRPr="003D66DD">
        <w:rPr>
          <w:rFonts w:ascii="Cambria" w:hAnsi="Cambria"/>
          <w:color w:val="000000" w:themeColor="text1"/>
        </w:rPr>
        <w:t xml:space="preserve"> in this sense</w:t>
      </w:r>
      <w:r w:rsidR="000E381B" w:rsidRPr="003D66DD">
        <w:rPr>
          <w:rFonts w:ascii="Cambria" w:hAnsi="Cambria"/>
          <w:color w:val="000000" w:themeColor="text1"/>
        </w:rPr>
        <w:t>,</w:t>
      </w:r>
      <w:r w:rsidR="001C4634" w:rsidRPr="003D66DD">
        <w:rPr>
          <w:rFonts w:ascii="Cambria" w:hAnsi="Cambria"/>
          <w:color w:val="000000" w:themeColor="text1"/>
        </w:rPr>
        <w:t xml:space="preserve"> can be seen to legitimise </w:t>
      </w:r>
      <w:r w:rsidR="000E381B" w:rsidRPr="003D66DD">
        <w:rPr>
          <w:rFonts w:ascii="Cambria" w:hAnsi="Cambria"/>
          <w:color w:val="000000" w:themeColor="text1"/>
        </w:rPr>
        <w:t xml:space="preserve">traditional </w:t>
      </w:r>
      <w:r w:rsidR="001C4634" w:rsidRPr="003D66DD">
        <w:rPr>
          <w:rFonts w:ascii="Cambria" w:hAnsi="Cambria"/>
          <w:color w:val="000000" w:themeColor="text1"/>
        </w:rPr>
        <w:t>nationalism and</w:t>
      </w:r>
      <w:r w:rsidR="00E950DB" w:rsidRPr="003D66DD">
        <w:rPr>
          <w:rFonts w:ascii="Cambria" w:hAnsi="Cambria"/>
          <w:color w:val="000000" w:themeColor="text1"/>
        </w:rPr>
        <w:t xml:space="preserve">, with it, </w:t>
      </w:r>
      <w:r w:rsidR="001C4634" w:rsidRPr="003D66DD">
        <w:rPr>
          <w:rFonts w:ascii="Cambria" w:hAnsi="Cambria"/>
          <w:color w:val="000000" w:themeColor="text1"/>
        </w:rPr>
        <w:t xml:space="preserve">the </w:t>
      </w:r>
      <w:r w:rsidR="000E381B" w:rsidRPr="003D66DD">
        <w:rPr>
          <w:rFonts w:ascii="Cambria" w:hAnsi="Cambria"/>
          <w:color w:val="000000" w:themeColor="text1"/>
        </w:rPr>
        <w:t>stereotypical</w:t>
      </w:r>
      <w:r w:rsidR="001C4634" w:rsidRPr="003D66DD">
        <w:rPr>
          <w:rFonts w:ascii="Cambria" w:hAnsi="Cambria"/>
          <w:color w:val="000000" w:themeColor="text1"/>
        </w:rPr>
        <w:t xml:space="preserve"> gender roles that it </w:t>
      </w:r>
      <w:r w:rsidR="00A32A66" w:rsidRPr="003D66DD">
        <w:rPr>
          <w:rFonts w:ascii="Cambria" w:hAnsi="Cambria"/>
          <w:color w:val="000000" w:themeColor="text1"/>
        </w:rPr>
        <w:t>tends to prescribe</w:t>
      </w:r>
      <w:r w:rsidR="001C4634" w:rsidRPr="003D66DD">
        <w:rPr>
          <w:rFonts w:ascii="Cambria" w:hAnsi="Cambria"/>
          <w:color w:val="000000" w:themeColor="text1"/>
        </w:rPr>
        <w:t xml:space="preserve"> (</w:t>
      </w:r>
      <w:r w:rsidR="000E381B" w:rsidRPr="003D66DD">
        <w:rPr>
          <w:rFonts w:ascii="Cambria" w:hAnsi="Cambria"/>
          <w:color w:val="000000" w:themeColor="text1"/>
        </w:rPr>
        <w:t>s</w:t>
      </w:r>
      <w:r w:rsidR="00E950DB" w:rsidRPr="003D66DD">
        <w:rPr>
          <w:rFonts w:ascii="Cambria" w:hAnsi="Cambria"/>
          <w:color w:val="000000" w:themeColor="text1"/>
        </w:rPr>
        <w:t>ee</w:t>
      </w:r>
      <w:r w:rsidR="004F782C">
        <w:rPr>
          <w:rFonts w:ascii="Cambria" w:hAnsi="Cambria"/>
          <w:color w:val="000000" w:themeColor="text1"/>
        </w:rPr>
        <w:t>,</w:t>
      </w:r>
      <w:r w:rsidR="00E950DB" w:rsidRPr="003D66DD">
        <w:rPr>
          <w:rFonts w:ascii="Cambria" w:hAnsi="Cambria"/>
          <w:color w:val="000000" w:themeColor="text1"/>
        </w:rPr>
        <w:t xml:space="preserve"> for example, </w:t>
      </w:r>
      <w:r w:rsidR="001C4634" w:rsidRPr="003D66DD">
        <w:rPr>
          <w:rFonts w:ascii="Cambria" w:hAnsi="Cambria"/>
          <w:color w:val="000000" w:themeColor="text1"/>
        </w:rPr>
        <w:t>Cockburn, 1998: 14)</w:t>
      </w:r>
      <w:r w:rsidR="00E950DB" w:rsidRPr="003D66DD">
        <w:rPr>
          <w:rFonts w:ascii="Cambria" w:hAnsi="Cambria"/>
          <w:color w:val="000000" w:themeColor="text1"/>
        </w:rPr>
        <w:t>.</w:t>
      </w:r>
      <w:r w:rsidR="001C4634" w:rsidRPr="003D66DD">
        <w:rPr>
          <w:rFonts w:ascii="Cambria" w:hAnsi="Cambria"/>
          <w:color w:val="000000" w:themeColor="text1"/>
        </w:rPr>
        <w:t xml:space="preserve">  </w:t>
      </w:r>
    </w:p>
    <w:p w14:paraId="3F51C154" w14:textId="77777777" w:rsidR="001C4634" w:rsidRPr="003D66DD" w:rsidRDefault="001C4634" w:rsidP="001C4634">
      <w:pPr>
        <w:pStyle w:val="CommentText"/>
        <w:rPr>
          <w:rFonts w:ascii="Cambria" w:hAnsi="Cambria" w:cs="Times New Roman"/>
          <w:sz w:val="24"/>
          <w:szCs w:val="24"/>
        </w:rPr>
      </w:pPr>
    </w:p>
    <w:p w14:paraId="5783DEEE" w14:textId="5C8400CB" w:rsidR="000E381B" w:rsidRPr="003D66DD" w:rsidRDefault="00F87A0F" w:rsidP="00883829">
      <w:pPr>
        <w:spacing w:line="360" w:lineRule="auto"/>
        <w:rPr>
          <w:rFonts w:ascii="Cambria" w:hAnsi="Cambria"/>
        </w:rPr>
      </w:pPr>
      <w:r w:rsidRPr="003D66DD">
        <w:rPr>
          <w:rFonts w:ascii="Cambria" w:hAnsi="Cambria"/>
        </w:rPr>
        <w:t xml:space="preserve">The second </w:t>
      </w:r>
      <w:r w:rsidR="000E381B" w:rsidRPr="003D66DD">
        <w:rPr>
          <w:rFonts w:ascii="Cambria" w:hAnsi="Cambria"/>
        </w:rPr>
        <w:t>area of divergence</w:t>
      </w:r>
      <w:r w:rsidRPr="003D66DD">
        <w:rPr>
          <w:rFonts w:ascii="Cambria" w:hAnsi="Cambria"/>
        </w:rPr>
        <w:t xml:space="preserve"> </w:t>
      </w:r>
      <w:r w:rsidR="00D4555F" w:rsidRPr="003D66DD">
        <w:rPr>
          <w:rFonts w:ascii="Cambria" w:hAnsi="Cambria"/>
        </w:rPr>
        <w:t xml:space="preserve">between these approaches </w:t>
      </w:r>
      <w:r w:rsidR="006906F9" w:rsidRPr="003D66DD">
        <w:rPr>
          <w:rFonts w:ascii="Cambria" w:hAnsi="Cambria"/>
        </w:rPr>
        <w:t xml:space="preserve">relates to the level </w:t>
      </w:r>
      <w:r w:rsidR="00A32A66" w:rsidRPr="003D66DD">
        <w:rPr>
          <w:rFonts w:ascii="Cambria" w:hAnsi="Cambria"/>
        </w:rPr>
        <w:t xml:space="preserve">and </w:t>
      </w:r>
      <w:r w:rsidR="004F782C">
        <w:rPr>
          <w:rFonts w:ascii="Cambria" w:hAnsi="Cambria"/>
        </w:rPr>
        <w:t>locus</w:t>
      </w:r>
      <w:r w:rsidR="00A32A66" w:rsidRPr="003D66DD">
        <w:rPr>
          <w:rFonts w:ascii="Cambria" w:hAnsi="Cambria"/>
        </w:rPr>
        <w:t xml:space="preserve"> </w:t>
      </w:r>
      <w:r w:rsidR="006906F9" w:rsidRPr="003D66DD">
        <w:rPr>
          <w:rFonts w:ascii="Cambria" w:hAnsi="Cambria"/>
        </w:rPr>
        <w:t>of anal</w:t>
      </w:r>
      <w:r w:rsidR="000E381B" w:rsidRPr="003D66DD">
        <w:rPr>
          <w:rFonts w:ascii="Cambria" w:hAnsi="Cambria"/>
        </w:rPr>
        <w:t xml:space="preserve">ysis.  </w:t>
      </w:r>
      <w:proofErr w:type="spellStart"/>
      <w:r w:rsidR="000E381B" w:rsidRPr="003D66DD">
        <w:rPr>
          <w:rFonts w:ascii="Cambria" w:hAnsi="Cambria"/>
        </w:rPr>
        <w:t>C</w:t>
      </w:r>
      <w:r w:rsidR="006906F9" w:rsidRPr="003D66DD">
        <w:rPr>
          <w:rFonts w:ascii="Cambria" w:hAnsi="Cambria"/>
        </w:rPr>
        <w:t>onsociational</w:t>
      </w:r>
      <w:proofErr w:type="spellEnd"/>
      <w:r w:rsidR="006906F9" w:rsidRPr="003D66DD">
        <w:rPr>
          <w:rFonts w:ascii="Cambria" w:hAnsi="Cambria"/>
        </w:rPr>
        <w:t xml:space="preserve"> theory</w:t>
      </w:r>
      <w:r w:rsidR="00F36004" w:rsidRPr="003D66DD">
        <w:rPr>
          <w:rFonts w:ascii="Cambria" w:hAnsi="Cambria"/>
        </w:rPr>
        <w:t>, as a model based on cooperation between elite representatives of political communities,</w:t>
      </w:r>
      <w:r w:rsidR="009C42D1" w:rsidRPr="003D66DD">
        <w:rPr>
          <w:rFonts w:ascii="Cambria" w:hAnsi="Cambria"/>
        </w:rPr>
        <w:t xml:space="preserve"> focuses </w:t>
      </w:r>
      <w:r w:rsidR="006906F9" w:rsidRPr="003D66DD">
        <w:rPr>
          <w:rFonts w:ascii="Cambria" w:hAnsi="Cambria"/>
        </w:rPr>
        <w:t>on politics at the elite level</w:t>
      </w:r>
      <w:r w:rsidR="00A859D2" w:rsidRPr="003D66DD">
        <w:rPr>
          <w:rFonts w:ascii="Cambria" w:hAnsi="Cambria"/>
        </w:rPr>
        <w:t xml:space="preserve"> and formal political arena</w:t>
      </w:r>
      <w:r w:rsidR="00F36004" w:rsidRPr="003D66DD">
        <w:rPr>
          <w:rFonts w:ascii="Cambria" w:hAnsi="Cambria"/>
        </w:rPr>
        <w:t>s</w:t>
      </w:r>
      <w:r w:rsidR="000E381B" w:rsidRPr="003D66DD">
        <w:rPr>
          <w:rFonts w:ascii="Cambria" w:hAnsi="Cambria"/>
        </w:rPr>
        <w:t xml:space="preserve">. </w:t>
      </w:r>
      <w:r w:rsidR="009C42D1" w:rsidRPr="003D66DD">
        <w:rPr>
          <w:rFonts w:ascii="Cambria" w:hAnsi="Cambria"/>
        </w:rPr>
        <w:t xml:space="preserve"> </w:t>
      </w:r>
      <w:r w:rsidR="000E381B" w:rsidRPr="003D66DD">
        <w:rPr>
          <w:rFonts w:ascii="Cambria" w:hAnsi="Cambria"/>
        </w:rPr>
        <w:t>The focus of feminist scholarship</w:t>
      </w:r>
      <w:r w:rsidR="006906F9" w:rsidRPr="003D66DD">
        <w:rPr>
          <w:rFonts w:ascii="Cambria" w:hAnsi="Cambria"/>
        </w:rPr>
        <w:t xml:space="preserve"> </w:t>
      </w:r>
      <w:r w:rsidR="009C42D1" w:rsidRPr="003D66DD">
        <w:rPr>
          <w:rFonts w:ascii="Cambria" w:hAnsi="Cambria"/>
        </w:rPr>
        <w:t>tend</w:t>
      </w:r>
      <w:r w:rsidR="000E381B" w:rsidRPr="003D66DD">
        <w:rPr>
          <w:rFonts w:ascii="Cambria" w:hAnsi="Cambria"/>
        </w:rPr>
        <w:t>s</w:t>
      </w:r>
      <w:r w:rsidR="009C42D1" w:rsidRPr="003D66DD">
        <w:rPr>
          <w:rFonts w:ascii="Cambria" w:hAnsi="Cambria"/>
        </w:rPr>
        <w:t xml:space="preserve"> to be </w:t>
      </w:r>
      <w:r w:rsidR="006906F9" w:rsidRPr="003D66DD">
        <w:rPr>
          <w:rFonts w:ascii="Cambria" w:hAnsi="Cambria"/>
        </w:rPr>
        <w:t xml:space="preserve">oriented towards the level of civil society and grassroots </w:t>
      </w:r>
      <w:r w:rsidR="00F36004" w:rsidRPr="003D66DD">
        <w:rPr>
          <w:rFonts w:ascii="Cambria" w:hAnsi="Cambria"/>
        </w:rPr>
        <w:t xml:space="preserve">politics where women have played a more dominant role in conflict and post-conflict societies </w:t>
      </w:r>
      <w:r w:rsidR="0058798F" w:rsidRPr="003D66DD">
        <w:rPr>
          <w:rFonts w:ascii="Cambria" w:hAnsi="Cambria"/>
        </w:rPr>
        <w:t xml:space="preserve">(Byrne </w:t>
      </w:r>
      <w:r w:rsidR="000E381B" w:rsidRPr="003D66DD">
        <w:rPr>
          <w:rFonts w:ascii="Cambria" w:hAnsi="Cambria"/>
        </w:rPr>
        <w:t>and</w:t>
      </w:r>
      <w:r w:rsidR="0058798F" w:rsidRPr="003D66DD">
        <w:rPr>
          <w:rFonts w:ascii="Cambria" w:hAnsi="Cambria"/>
        </w:rPr>
        <w:t xml:space="preserve"> McCulloch, 2017</w:t>
      </w:r>
      <w:r w:rsidR="00B563DE" w:rsidRPr="003D66DD">
        <w:rPr>
          <w:rFonts w:ascii="Cambria" w:hAnsi="Cambria"/>
        </w:rPr>
        <w:t xml:space="preserve">; </w:t>
      </w:r>
      <w:r w:rsidR="00C441B4" w:rsidRPr="003D66DD">
        <w:rPr>
          <w:rFonts w:ascii="Cambria" w:hAnsi="Cambria"/>
        </w:rPr>
        <w:t>Kennedy et al</w:t>
      </w:r>
      <w:r w:rsidR="004F782C">
        <w:rPr>
          <w:rFonts w:ascii="Cambria" w:hAnsi="Cambria"/>
        </w:rPr>
        <w:t>.</w:t>
      </w:r>
      <w:r w:rsidR="00C441B4" w:rsidRPr="003D66DD">
        <w:rPr>
          <w:rFonts w:ascii="Cambria" w:hAnsi="Cambria"/>
        </w:rPr>
        <w:t>, 2016: 2;</w:t>
      </w:r>
      <w:r w:rsidR="00F36004" w:rsidRPr="003D66DD">
        <w:rPr>
          <w:rFonts w:ascii="Cambria" w:hAnsi="Cambria"/>
        </w:rPr>
        <w:t xml:space="preserve"> </w:t>
      </w:r>
      <w:proofErr w:type="spellStart"/>
      <w:r w:rsidR="001D4F54" w:rsidRPr="008C11D4">
        <w:rPr>
          <w:rFonts w:ascii="Cambria" w:hAnsi="Cambria"/>
        </w:rPr>
        <w:t>Murtagh</w:t>
      </w:r>
      <w:proofErr w:type="spellEnd"/>
      <w:r w:rsidR="008C11D4" w:rsidRPr="008C11D4">
        <w:rPr>
          <w:rFonts w:ascii="Cambria" w:hAnsi="Cambria"/>
        </w:rPr>
        <w:t>, 2008</w:t>
      </w:r>
      <w:r w:rsidR="009C42D1" w:rsidRPr="003D66DD">
        <w:rPr>
          <w:rFonts w:ascii="Cambria" w:hAnsi="Cambria"/>
        </w:rPr>
        <w:t>).</w:t>
      </w:r>
      <w:r w:rsidR="00B6765C" w:rsidRPr="003D66DD">
        <w:rPr>
          <w:rFonts w:ascii="Cambria" w:hAnsi="Cambria"/>
        </w:rPr>
        <w:t xml:space="preserve">  </w:t>
      </w:r>
    </w:p>
    <w:p w14:paraId="667CD294" w14:textId="77777777" w:rsidR="000E381B" w:rsidRPr="003D66DD" w:rsidRDefault="000E381B" w:rsidP="00883829">
      <w:pPr>
        <w:spacing w:line="360" w:lineRule="auto"/>
        <w:rPr>
          <w:rFonts w:ascii="Cambria" w:hAnsi="Cambria"/>
        </w:rPr>
      </w:pPr>
    </w:p>
    <w:p w14:paraId="7BFBA56E" w14:textId="3F8B2C9A" w:rsidR="00A32A66" w:rsidRPr="003D66DD" w:rsidRDefault="00A32A66" w:rsidP="00883829">
      <w:pPr>
        <w:spacing w:line="360" w:lineRule="auto"/>
        <w:rPr>
          <w:rFonts w:ascii="Cambria" w:hAnsi="Cambria"/>
        </w:rPr>
      </w:pPr>
      <w:r w:rsidRPr="003D66DD">
        <w:rPr>
          <w:rFonts w:ascii="Cambria" w:hAnsi="Cambria"/>
        </w:rPr>
        <w:t xml:space="preserve">The third area of </w:t>
      </w:r>
      <w:r w:rsidR="000E381B" w:rsidRPr="003D66DD">
        <w:rPr>
          <w:rFonts w:ascii="Cambria" w:hAnsi="Cambria"/>
        </w:rPr>
        <w:t>contestation</w:t>
      </w:r>
      <w:r w:rsidRPr="003D66DD">
        <w:rPr>
          <w:rFonts w:ascii="Cambria" w:hAnsi="Cambria"/>
        </w:rPr>
        <w:t xml:space="preserve"> </w:t>
      </w:r>
      <w:r w:rsidR="000E381B" w:rsidRPr="003D66DD">
        <w:rPr>
          <w:rFonts w:ascii="Cambria" w:hAnsi="Cambria"/>
        </w:rPr>
        <w:t>concerns</w:t>
      </w:r>
      <w:r w:rsidR="00B6765C" w:rsidRPr="003D66DD">
        <w:rPr>
          <w:rFonts w:ascii="Cambria" w:hAnsi="Cambria"/>
        </w:rPr>
        <w:t xml:space="preserve"> </w:t>
      </w:r>
      <w:r w:rsidR="000E381B" w:rsidRPr="003D66DD">
        <w:rPr>
          <w:rFonts w:ascii="Cambria" w:hAnsi="Cambria"/>
        </w:rPr>
        <w:t xml:space="preserve">differing </w:t>
      </w:r>
      <w:r w:rsidR="00B6765C" w:rsidRPr="003D66DD">
        <w:rPr>
          <w:rFonts w:ascii="Cambria" w:hAnsi="Cambria"/>
        </w:rPr>
        <w:t xml:space="preserve">normative </w:t>
      </w:r>
      <w:r w:rsidR="003F475B" w:rsidRPr="003D66DD">
        <w:rPr>
          <w:rFonts w:ascii="Cambria" w:hAnsi="Cambria"/>
        </w:rPr>
        <w:t>assumptions and</w:t>
      </w:r>
      <w:r w:rsidR="00E92128" w:rsidRPr="003D66DD">
        <w:rPr>
          <w:rFonts w:ascii="Cambria" w:hAnsi="Cambria"/>
        </w:rPr>
        <w:t xml:space="preserve"> aspirations</w:t>
      </w:r>
      <w:r w:rsidR="000E381B" w:rsidRPr="003D66DD">
        <w:rPr>
          <w:rFonts w:ascii="Cambria" w:hAnsi="Cambria"/>
        </w:rPr>
        <w:t>.  T</w:t>
      </w:r>
      <w:r w:rsidR="004F782C">
        <w:rPr>
          <w:rFonts w:ascii="Cambria" w:hAnsi="Cambria"/>
        </w:rPr>
        <w:t>he over</w:t>
      </w:r>
      <w:r w:rsidR="00355B3E" w:rsidRPr="003D66DD">
        <w:rPr>
          <w:rFonts w:ascii="Cambria" w:hAnsi="Cambria"/>
        </w:rPr>
        <w:t xml:space="preserve">riding </w:t>
      </w:r>
      <w:r w:rsidR="00E92128" w:rsidRPr="003D66DD">
        <w:rPr>
          <w:rFonts w:ascii="Cambria" w:hAnsi="Cambria"/>
        </w:rPr>
        <w:t xml:space="preserve">priority </w:t>
      </w:r>
      <w:r w:rsidR="00355B3E" w:rsidRPr="003D66DD">
        <w:rPr>
          <w:rFonts w:ascii="Cambria" w:hAnsi="Cambria"/>
        </w:rPr>
        <w:t xml:space="preserve">of </w:t>
      </w:r>
      <w:r w:rsidR="003F475B" w:rsidRPr="003D66DD">
        <w:rPr>
          <w:rFonts w:ascii="Cambria" w:hAnsi="Cambria"/>
        </w:rPr>
        <w:t xml:space="preserve">power-sharing </w:t>
      </w:r>
      <w:r w:rsidR="000E381B" w:rsidRPr="003D66DD">
        <w:rPr>
          <w:rFonts w:ascii="Cambria" w:hAnsi="Cambria"/>
        </w:rPr>
        <w:t xml:space="preserve">in theory and practice </w:t>
      </w:r>
      <w:r w:rsidR="003F475B" w:rsidRPr="003D66DD">
        <w:rPr>
          <w:rFonts w:ascii="Cambria" w:hAnsi="Cambria"/>
        </w:rPr>
        <w:t xml:space="preserve">is </w:t>
      </w:r>
      <w:r w:rsidRPr="003D66DD">
        <w:rPr>
          <w:rFonts w:ascii="Cambria" w:hAnsi="Cambria"/>
        </w:rPr>
        <w:t xml:space="preserve">the achievement of </w:t>
      </w:r>
      <w:r w:rsidR="003F475B" w:rsidRPr="003D66DD">
        <w:rPr>
          <w:rFonts w:ascii="Cambria" w:hAnsi="Cambria"/>
        </w:rPr>
        <w:t xml:space="preserve">peace </w:t>
      </w:r>
      <w:r w:rsidRPr="003D66DD">
        <w:rPr>
          <w:rFonts w:ascii="Cambria" w:hAnsi="Cambria"/>
        </w:rPr>
        <w:t>through</w:t>
      </w:r>
      <w:r w:rsidR="003F475B" w:rsidRPr="003D66DD">
        <w:rPr>
          <w:rFonts w:ascii="Cambria" w:hAnsi="Cambria"/>
        </w:rPr>
        <w:t xml:space="preserve"> stability</w:t>
      </w:r>
      <w:r w:rsidR="0021246F">
        <w:rPr>
          <w:rFonts w:ascii="Cambria" w:hAnsi="Cambria"/>
        </w:rPr>
        <w:t>;</w:t>
      </w:r>
      <w:r w:rsidR="002B0756" w:rsidRPr="003D66DD">
        <w:rPr>
          <w:rFonts w:ascii="Cambria" w:hAnsi="Cambria"/>
        </w:rPr>
        <w:t xml:space="preserve"> </w:t>
      </w:r>
      <w:r w:rsidR="000E381B" w:rsidRPr="003D66DD">
        <w:rPr>
          <w:rFonts w:ascii="Cambria" w:hAnsi="Cambria"/>
        </w:rPr>
        <w:t xml:space="preserve">whereas </w:t>
      </w:r>
      <w:r w:rsidR="00355B3E" w:rsidRPr="003D66DD">
        <w:rPr>
          <w:rFonts w:ascii="Cambria" w:hAnsi="Cambria"/>
        </w:rPr>
        <w:t xml:space="preserve">feminist theories </w:t>
      </w:r>
      <w:r w:rsidR="000E381B" w:rsidRPr="003D66DD">
        <w:rPr>
          <w:rFonts w:ascii="Cambria" w:hAnsi="Cambria"/>
        </w:rPr>
        <w:t xml:space="preserve">instead </w:t>
      </w:r>
      <w:r w:rsidR="006A4326" w:rsidRPr="003D66DD">
        <w:rPr>
          <w:rFonts w:ascii="Cambria" w:hAnsi="Cambria"/>
        </w:rPr>
        <w:t>see value in</w:t>
      </w:r>
      <w:r w:rsidR="00ED06BB" w:rsidRPr="003D66DD">
        <w:rPr>
          <w:rFonts w:ascii="Cambria" w:hAnsi="Cambria"/>
        </w:rPr>
        <w:t xml:space="preserve"> </w:t>
      </w:r>
      <w:r w:rsidR="00355B3E" w:rsidRPr="003D66DD">
        <w:rPr>
          <w:rFonts w:ascii="Cambria" w:hAnsi="Cambria"/>
        </w:rPr>
        <w:t xml:space="preserve">instability and rupture, </w:t>
      </w:r>
      <w:r w:rsidR="006A4326" w:rsidRPr="003D66DD">
        <w:rPr>
          <w:rFonts w:ascii="Cambria" w:hAnsi="Cambria"/>
        </w:rPr>
        <w:t>not least in</w:t>
      </w:r>
      <w:r w:rsidR="00355B3E" w:rsidRPr="003D66DD">
        <w:rPr>
          <w:rFonts w:ascii="Cambria" w:hAnsi="Cambria"/>
        </w:rPr>
        <w:t xml:space="preserve"> providing openings for women’s inclusion </w:t>
      </w:r>
      <w:r w:rsidR="00ED06BB" w:rsidRPr="003D66DD">
        <w:rPr>
          <w:rFonts w:ascii="Cambria" w:hAnsi="Cambria"/>
        </w:rPr>
        <w:t xml:space="preserve">and </w:t>
      </w:r>
      <w:r w:rsidR="00B6110C" w:rsidRPr="003D66DD">
        <w:rPr>
          <w:rFonts w:ascii="Cambria" w:hAnsi="Cambria"/>
        </w:rPr>
        <w:t xml:space="preserve">the </w:t>
      </w:r>
      <w:r w:rsidR="00ED06BB" w:rsidRPr="003D66DD">
        <w:rPr>
          <w:rFonts w:ascii="Cambria" w:hAnsi="Cambria"/>
        </w:rPr>
        <w:t xml:space="preserve">potential for radical transformation of gender </w:t>
      </w:r>
      <w:r w:rsidRPr="003D66DD">
        <w:rPr>
          <w:rFonts w:ascii="Cambria" w:hAnsi="Cambria"/>
        </w:rPr>
        <w:t>hierarchies</w:t>
      </w:r>
      <w:r w:rsidR="00B6110C" w:rsidRPr="003D66DD">
        <w:rPr>
          <w:rFonts w:ascii="Cambria" w:hAnsi="Cambria"/>
        </w:rPr>
        <w:t xml:space="preserve"> </w:t>
      </w:r>
      <w:r w:rsidR="0058798F" w:rsidRPr="003D66DD">
        <w:rPr>
          <w:rFonts w:ascii="Cambria" w:hAnsi="Cambria"/>
        </w:rPr>
        <w:t xml:space="preserve">(Byrne </w:t>
      </w:r>
      <w:r w:rsidR="000E381B" w:rsidRPr="003D66DD">
        <w:rPr>
          <w:rFonts w:ascii="Cambria" w:hAnsi="Cambria"/>
        </w:rPr>
        <w:t>and</w:t>
      </w:r>
      <w:r w:rsidR="0058798F" w:rsidRPr="003D66DD">
        <w:rPr>
          <w:rFonts w:ascii="Cambria" w:hAnsi="Cambria"/>
        </w:rPr>
        <w:t xml:space="preserve"> McCulloch, 2017</w:t>
      </w:r>
      <w:r w:rsidR="00355B3E" w:rsidRPr="003D66DD">
        <w:rPr>
          <w:rFonts w:ascii="Cambria" w:hAnsi="Cambria"/>
        </w:rPr>
        <w:t>).</w:t>
      </w:r>
      <w:r w:rsidR="00ED06BB" w:rsidRPr="003D66DD">
        <w:rPr>
          <w:rFonts w:ascii="Cambria" w:hAnsi="Cambria"/>
        </w:rPr>
        <w:t xml:space="preserve"> </w:t>
      </w:r>
      <w:r w:rsidR="00CC2346" w:rsidRPr="003D66DD">
        <w:rPr>
          <w:rFonts w:ascii="Cambria" w:hAnsi="Cambria"/>
        </w:rPr>
        <w:t>P</w:t>
      </w:r>
      <w:r w:rsidR="00B6110C" w:rsidRPr="003D66DD">
        <w:rPr>
          <w:rFonts w:ascii="Cambria" w:hAnsi="Cambria"/>
        </w:rPr>
        <w:t xml:space="preserve">ower-sharing settlements </w:t>
      </w:r>
      <w:r w:rsidR="006A4326" w:rsidRPr="003D66DD">
        <w:rPr>
          <w:rFonts w:ascii="Cambria" w:hAnsi="Cambria"/>
        </w:rPr>
        <w:t xml:space="preserve">can thus </w:t>
      </w:r>
      <w:r w:rsidRPr="003D66DD">
        <w:rPr>
          <w:rFonts w:ascii="Cambria" w:hAnsi="Cambria"/>
        </w:rPr>
        <w:t xml:space="preserve">give rise to a tension between divergent goals of </w:t>
      </w:r>
      <w:r w:rsidR="00ED06BB" w:rsidRPr="003D66DD">
        <w:rPr>
          <w:rFonts w:ascii="Cambria" w:hAnsi="Cambria"/>
        </w:rPr>
        <w:lastRenderedPageBreak/>
        <w:t>stability</w:t>
      </w:r>
      <w:r w:rsidR="006A4326" w:rsidRPr="003D66DD">
        <w:rPr>
          <w:rFonts w:ascii="Cambria" w:hAnsi="Cambria"/>
        </w:rPr>
        <w:t xml:space="preserve">, on the one hand, </w:t>
      </w:r>
      <w:r w:rsidR="00ED06BB" w:rsidRPr="003D66DD">
        <w:rPr>
          <w:rFonts w:ascii="Cambria" w:hAnsi="Cambria"/>
        </w:rPr>
        <w:t>and gender justice</w:t>
      </w:r>
      <w:r w:rsidR="006A4326" w:rsidRPr="003D66DD">
        <w:rPr>
          <w:rFonts w:ascii="Cambria" w:hAnsi="Cambria"/>
        </w:rPr>
        <w:t>, on the other</w:t>
      </w:r>
      <w:r w:rsidR="00ED06BB" w:rsidRPr="003D66DD">
        <w:rPr>
          <w:rFonts w:ascii="Cambria" w:hAnsi="Cambria"/>
        </w:rPr>
        <w:t xml:space="preserve"> (Bell </w:t>
      </w:r>
      <w:r w:rsidR="000E381B" w:rsidRPr="003D66DD">
        <w:rPr>
          <w:rFonts w:ascii="Cambria" w:hAnsi="Cambria"/>
        </w:rPr>
        <w:t>and</w:t>
      </w:r>
      <w:r w:rsidR="00ED06BB" w:rsidRPr="003D66DD">
        <w:rPr>
          <w:rFonts w:ascii="Cambria" w:hAnsi="Cambria"/>
        </w:rPr>
        <w:t xml:space="preserve"> O’Rourke, 2010: 977; </w:t>
      </w:r>
      <w:proofErr w:type="spellStart"/>
      <w:r w:rsidR="00ED06BB" w:rsidRPr="003D66DD">
        <w:rPr>
          <w:rFonts w:ascii="Cambria" w:hAnsi="Cambria"/>
        </w:rPr>
        <w:t>De</w:t>
      </w:r>
      <w:r w:rsidRPr="003D66DD">
        <w:rPr>
          <w:rFonts w:ascii="Cambria" w:hAnsi="Cambria"/>
        </w:rPr>
        <w:t>iana</w:t>
      </w:r>
      <w:proofErr w:type="spellEnd"/>
      <w:r w:rsidRPr="003D66DD">
        <w:rPr>
          <w:rFonts w:ascii="Cambria" w:hAnsi="Cambria"/>
        </w:rPr>
        <w:t>, 2016: 102; Rou</w:t>
      </w:r>
      <w:r w:rsidR="00F500D3" w:rsidRPr="003D66DD">
        <w:rPr>
          <w:rFonts w:ascii="Cambria" w:hAnsi="Cambria"/>
        </w:rPr>
        <w:t>se, 201</w:t>
      </w:r>
      <w:r w:rsidR="00807EB0" w:rsidRPr="003D66DD">
        <w:rPr>
          <w:rFonts w:ascii="Cambria" w:hAnsi="Cambria"/>
        </w:rPr>
        <w:t>6</w:t>
      </w:r>
      <w:r w:rsidR="00F500D3" w:rsidRPr="003D66DD">
        <w:rPr>
          <w:rFonts w:ascii="Cambria" w:hAnsi="Cambria"/>
        </w:rPr>
        <w:t>).</w:t>
      </w:r>
    </w:p>
    <w:p w14:paraId="42055EE2" w14:textId="77777777" w:rsidR="006A4326" w:rsidRPr="003D66DD" w:rsidRDefault="006A4326" w:rsidP="00A32A66">
      <w:pPr>
        <w:spacing w:line="360" w:lineRule="auto"/>
        <w:rPr>
          <w:rFonts w:ascii="Cambria" w:hAnsi="Cambria"/>
        </w:rPr>
      </w:pPr>
    </w:p>
    <w:p w14:paraId="71FC84A7" w14:textId="0A04AD55" w:rsidR="00A32A66" w:rsidRPr="003D66DD" w:rsidRDefault="00A32A66" w:rsidP="00A32A66">
      <w:pPr>
        <w:spacing w:line="360" w:lineRule="auto"/>
        <w:rPr>
          <w:rFonts w:ascii="Cambria" w:hAnsi="Cambria"/>
          <w:color w:val="000000" w:themeColor="text1"/>
        </w:rPr>
      </w:pPr>
      <w:r w:rsidRPr="003D66DD">
        <w:rPr>
          <w:rFonts w:ascii="Cambria" w:hAnsi="Cambria"/>
        </w:rPr>
        <w:t xml:space="preserve">Fourthly, there are </w:t>
      </w:r>
      <w:r w:rsidRPr="003D66DD">
        <w:rPr>
          <w:rFonts w:ascii="Cambria" w:hAnsi="Cambria"/>
          <w:color w:val="000000" w:themeColor="text1"/>
        </w:rPr>
        <w:t>divergent conceptions of power</w:t>
      </w:r>
      <w:r w:rsidR="006A4326" w:rsidRPr="003D66DD">
        <w:rPr>
          <w:rFonts w:ascii="Cambria" w:hAnsi="Cambria"/>
          <w:color w:val="000000" w:themeColor="text1"/>
        </w:rPr>
        <w:t xml:space="preserve">. </w:t>
      </w:r>
      <w:r w:rsidRPr="003D66DD">
        <w:rPr>
          <w:rFonts w:ascii="Cambria" w:hAnsi="Cambria"/>
          <w:color w:val="000000" w:themeColor="text1"/>
        </w:rPr>
        <w:t>As a practical tool of conflict management, power-sharing is founded on basic realism - recognising extant conflicting identities, competing nationalisms in a divided society</w:t>
      </w:r>
      <w:r w:rsidR="004F782C">
        <w:rPr>
          <w:rFonts w:ascii="Cambria" w:hAnsi="Cambria"/>
          <w:color w:val="000000" w:themeColor="text1"/>
        </w:rPr>
        <w:t>,</w:t>
      </w:r>
      <w:r w:rsidRPr="003D66DD">
        <w:rPr>
          <w:rFonts w:ascii="Cambria" w:hAnsi="Cambria"/>
          <w:color w:val="000000" w:themeColor="text1"/>
        </w:rPr>
        <w:t xml:space="preserve"> and accommodating them in the political system.  In so doing</w:t>
      </w:r>
      <w:r w:rsidR="004F782C">
        <w:rPr>
          <w:rFonts w:ascii="Cambria" w:hAnsi="Cambria"/>
          <w:color w:val="000000" w:themeColor="text1"/>
        </w:rPr>
        <w:t>,</w:t>
      </w:r>
      <w:r w:rsidRPr="003D66DD">
        <w:rPr>
          <w:rFonts w:ascii="Cambria" w:hAnsi="Cambria"/>
          <w:color w:val="000000" w:themeColor="text1"/>
        </w:rPr>
        <w:t xml:space="preserve"> in practice it effectively institutionalises conflict, transplanting it to the political arena, whereby politics becomes war by other means (</w:t>
      </w:r>
      <w:proofErr w:type="spellStart"/>
      <w:r w:rsidRPr="003D66DD">
        <w:rPr>
          <w:rFonts w:ascii="Cambria" w:hAnsi="Cambria"/>
          <w:color w:val="000000" w:themeColor="text1"/>
        </w:rPr>
        <w:t>Wilford</w:t>
      </w:r>
      <w:proofErr w:type="spellEnd"/>
      <w:r w:rsidRPr="003D66DD">
        <w:rPr>
          <w:rFonts w:ascii="Cambria" w:hAnsi="Cambria"/>
          <w:color w:val="000000" w:themeColor="text1"/>
        </w:rPr>
        <w:t xml:space="preserve">, 1996: 44).  </w:t>
      </w:r>
    </w:p>
    <w:p w14:paraId="6542FC8E" w14:textId="3F747E9D" w:rsidR="0059520B" w:rsidRPr="003D66DD" w:rsidRDefault="0059520B" w:rsidP="00883829">
      <w:pPr>
        <w:spacing w:line="360" w:lineRule="auto"/>
        <w:rPr>
          <w:rFonts w:ascii="Cambria" w:hAnsi="Cambria"/>
        </w:rPr>
      </w:pPr>
    </w:p>
    <w:p w14:paraId="35C7AC91" w14:textId="2EFD0D07" w:rsidR="00A85BD8" w:rsidRPr="003D66DD" w:rsidRDefault="00E950DB" w:rsidP="004F782C">
      <w:pPr>
        <w:spacing w:line="360" w:lineRule="auto"/>
        <w:outlineLvl w:val="0"/>
        <w:rPr>
          <w:rFonts w:ascii="Cambria" w:hAnsi="Cambria"/>
          <w:b/>
          <w:i/>
        </w:rPr>
      </w:pPr>
      <w:r w:rsidRPr="003D66DD">
        <w:rPr>
          <w:rFonts w:ascii="Cambria" w:hAnsi="Cambria"/>
          <w:b/>
          <w:i/>
        </w:rPr>
        <w:t>Gender and t</w:t>
      </w:r>
      <w:r w:rsidR="002F3262" w:rsidRPr="003D66DD">
        <w:rPr>
          <w:rFonts w:ascii="Cambria" w:hAnsi="Cambria"/>
          <w:b/>
          <w:i/>
        </w:rPr>
        <w:t xml:space="preserve">he </w:t>
      </w:r>
      <w:r w:rsidR="0059520B" w:rsidRPr="003D66DD">
        <w:rPr>
          <w:rFonts w:ascii="Cambria" w:hAnsi="Cambria"/>
          <w:b/>
          <w:i/>
        </w:rPr>
        <w:t xml:space="preserve">Promises </w:t>
      </w:r>
      <w:r w:rsidR="003D4C6C" w:rsidRPr="003D66DD">
        <w:rPr>
          <w:rFonts w:ascii="Cambria" w:hAnsi="Cambria"/>
          <w:b/>
          <w:i/>
        </w:rPr>
        <w:t xml:space="preserve">and Practice </w:t>
      </w:r>
      <w:r w:rsidR="0059520B" w:rsidRPr="003D66DD">
        <w:rPr>
          <w:rFonts w:ascii="Cambria" w:hAnsi="Cambria"/>
          <w:b/>
          <w:i/>
        </w:rPr>
        <w:t xml:space="preserve">of Power-Sharing </w:t>
      </w:r>
    </w:p>
    <w:p w14:paraId="65AC698A" w14:textId="77777777" w:rsidR="00A32A66" w:rsidRPr="003D66DD" w:rsidRDefault="00A32A66" w:rsidP="00883829">
      <w:pPr>
        <w:spacing w:line="360" w:lineRule="auto"/>
        <w:rPr>
          <w:rFonts w:ascii="Cambria" w:hAnsi="Cambria"/>
        </w:rPr>
      </w:pPr>
    </w:p>
    <w:p w14:paraId="2259C6AD" w14:textId="00D7328C" w:rsidR="00A32A66" w:rsidRPr="003D66DD" w:rsidRDefault="0021246F" w:rsidP="00883829">
      <w:pPr>
        <w:spacing w:line="360" w:lineRule="auto"/>
        <w:rPr>
          <w:rFonts w:ascii="Cambria" w:hAnsi="Cambria"/>
        </w:rPr>
      </w:pPr>
      <w:r>
        <w:rPr>
          <w:rFonts w:ascii="Cambria" w:hAnsi="Cambria"/>
        </w:rPr>
        <w:t>T</w:t>
      </w:r>
      <w:r w:rsidR="00883829" w:rsidRPr="003D66DD">
        <w:rPr>
          <w:rFonts w:ascii="Cambria" w:hAnsi="Cambria"/>
        </w:rPr>
        <w:t xml:space="preserve">he ‘mantra’ that power-sharing is </w:t>
      </w:r>
      <w:r w:rsidR="006A4326" w:rsidRPr="003D66DD">
        <w:rPr>
          <w:rFonts w:ascii="Cambria" w:hAnsi="Cambria"/>
        </w:rPr>
        <w:t>‘</w:t>
      </w:r>
      <w:r w:rsidR="00883829" w:rsidRPr="003D66DD">
        <w:rPr>
          <w:rFonts w:ascii="Cambria" w:hAnsi="Cambria"/>
        </w:rPr>
        <w:t>bad for women</w:t>
      </w:r>
      <w:r w:rsidR="006A4326" w:rsidRPr="003D66DD">
        <w:rPr>
          <w:rFonts w:ascii="Cambria" w:hAnsi="Cambria"/>
        </w:rPr>
        <w:t>’</w:t>
      </w:r>
      <w:r w:rsidR="00883829" w:rsidRPr="003D66DD">
        <w:rPr>
          <w:rFonts w:ascii="Cambria" w:hAnsi="Cambria"/>
        </w:rPr>
        <w:t xml:space="preserve"> has been </w:t>
      </w:r>
      <w:proofErr w:type="spellStart"/>
      <w:r w:rsidR="00A32A66" w:rsidRPr="003D66DD">
        <w:rPr>
          <w:rFonts w:ascii="Cambria" w:hAnsi="Cambria"/>
        </w:rPr>
        <w:t>problematised</w:t>
      </w:r>
      <w:proofErr w:type="spellEnd"/>
      <w:r w:rsidR="00883829" w:rsidRPr="003D66DD">
        <w:rPr>
          <w:rFonts w:ascii="Cambria" w:hAnsi="Cambria"/>
        </w:rPr>
        <w:t xml:space="preserve"> in recent feminist scholarship (Bell, 2015c).  Far from </w:t>
      </w:r>
      <w:r w:rsidR="00A32A66" w:rsidRPr="003D66DD">
        <w:rPr>
          <w:rFonts w:ascii="Cambria" w:hAnsi="Cambria"/>
        </w:rPr>
        <w:t xml:space="preserve">being inherently </w:t>
      </w:r>
      <w:r w:rsidR="00883829" w:rsidRPr="003D66DD">
        <w:rPr>
          <w:rFonts w:ascii="Cambria" w:hAnsi="Cambria"/>
        </w:rPr>
        <w:t>contradict</w:t>
      </w:r>
      <w:r w:rsidR="00A32A66" w:rsidRPr="003D66DD">
        <w:rPr>
          <w:rFonts w:ascii="Cambria" w:hAnsi="Cambria"/>
        </w:rPr>
        <w:t>ory</w:t>
      </w:r>
      <w:r w:rsidR="00883829" w:rsidRPr="003D66DD">
        <w:rPr>
          <w:rFonts w:ascii="Cambria" w:hAnsi="Cambria"/>
        </w:rPr>
        <w:t xml:space="preserve">, some scholars </w:t>
      </w:r>
      <w:r w:rsidR="00A32A66" w:rsidRPr="003D66DD">
        <w:rPr>
          <w:rFonts w:ascii="Cambria" w:hAnsi="Cambria"/>
        </w:rPr>
        <w:t xml:space="preserve">have </w:t>
      </w:r>
      <w:r w:rsidR="00883829" w:rsidRPr="003D66DD">
        <w:rPr>
          <w:rFonts w:ascii="Cambria" w:hAnsi="Cambria"/>
        </w:rPr>
        <w:t>poi</w:t>
      </w:r>
      <w:r w:rsidR="006A4326" w:rsidRPr="003D66DD">
        <w:rPr>
          <w:rFonts w:ascii="Cambria" w:hAnsi="Cambria"/>
        </w:rPr>
        <w:t xml:space="preserve">nted to an overlap between the rationale </w:t>
      </w:r>
      <w:r w:rsidR="00EB48F5" w:rsidRPr="003D66DD">
        <w:rPr>
          <w:rFonts w:ascii="Cambria" w:hAnsi="Cambria"/>
        </w:rPr>
        <w:t xml:space="preserve">that underlies </w:t>
      </w:r>
      <w:r w:rsidR="006A4326" w:rsidRPr="003D66DD">
        <w:rPr>
          <w:rFonts w:ascii="Cambria" w:hAnsi="Cambria"/>
        </w:rPr>
        <w:t>power-sharing and</w:t>
      </w:r>
      <w:r w:rsidR="00883829" w:rsidRPr="003D66DD">
        <w:rPr>
          <w:rFonts w:ascii="Cambria" w:hAnsi="Cambria"/>
        </w:rPr>
        <w:t xml:space="preserve">, </w:t>
      </w:r>
      <w:r w:rsidR="006A4326" w:rsidRPr="003D66DD">
        <w:rPr>
          <w:rFonts w:ascii="Cambria" w:hAnsi="Cambria"/>
        </w:rPr>
        <w:t>for example, gender equal representation</w:t>
      </w:r>
      <w:r>
        <w:rPr>
          <w:rFonts w:ascii="Cambria" w:hAnsi="Cambria"/>
        </w:rPr>
        <w:t>,</w:t>
      </w:r>
      <w:r w:rsidR="006A4326" w:rsidRPr="003D66DD">
        <w:rPr>
          <w:rFonts w:ascii="Cambria" w:hAnsi="Cambria"/>
        </w:rPr>
        <w:t xml:space="preserve"> in that </w:t>
      </w:r>
      <w:r w:rsidR="00883829" w:rsidRPr="003D66DD">
        <w:rPr>
          <w:rFonts w:ascii="Cambria" w:hAnsi="Cambria"/>
        </w:rPr>
        <w:t xml:space="preserve">each </w:t>
      </w:r>
      <w:r w:rsidR="006A4326" w:rsidRPr="003D66DD">
        <w:rPr>
          <w:rFonts w:ascii="Cambria" w:hAnsi="Cambria"/>
        </w:rPr>
        <w:t>is</w:t>
      </w:r>
      <w:r w:rsidR="00F500D3" w:rsidRPr="003D66DD">
        <w:rPr>
          <w:rFonts w:ascii="Cambria" w:hAnsi="Cambria"/>
        </w:rPr>
        <w:t xml:space="preserve"> </w:t>
      </w:r>
      <w:r w:rsidR="00883829" w:rsidRPr="003D66DD">
        <w:rPr>
          <w:rFonts w:ascii="Cambria" w:hAnsi="Cambria"/>
        </w:rPr>
        <w:t xml:space="preserve">concerned with </w:t>
      </w:r>
      <w:r w:rsidR="006A4326" w:rsidRPr="003D66DD">
        <w:rPr>
          <w:rFonts w:ascii="Cambria" w:hAnsi="Cambria"/>
        </w:rPr>
        <w:t xml:space="preserve">the </w:t>
      </w:r>
      <w:r w:rsidR="00E72567" w:rsidRPr="003D66DD">
        <w:rPr>
          <w:rFonts w:ascii="Cambria" w:hAnsi="Cambria"/>
        </w:rPr>
        <w:t xml:space="preserve">political </w:t>
      </w:r>
      <w:r w:rsidR="009E636A" w:rsidRPr="003D66DD">
        <w:rPr>
          <w:rFonts w:ascii="Cambria" w:hAnsi="Cambria"/>
        </w:rPr>
        <w:t xml:space="preserve">inclusion </w:t>
      </w:r>
      <w:r w:rsidR="00E72567" w:rsidRPr="003D66DD">
        <w:rPr>
          <w:rFonts w:ascii="Cambria" w:hAnsi="Cambria"/>
        </w:rPr>
        <w:t>of under-represented groups</w:t>
      </w:r>
      <w:r w:rsidR="006A4326" w:rsidRPr="003D66DD">
        <w:rPr>
          <w:rFonts w:ascii="Cambria" w:hAnsi="Cambria"/>
        </w:rPr>
        <w:t>,</w:t>
      </w:r>
      <w:r w:rsidR="00E72567" w:rsidRPr="003D66DD">
        <w:rPr>
          <w:rFonts w:ascii="Cambria" w:hAnsi="Cambria"/>
        </w:rPr>
        <w:t xml:space="preserve"> </w:t>
      </w:r>
      <w:r w:rsidR="009E636A" w:rsidRPr="003D66DD">
        <w:rPr>
          <w:rFonts w:ascii="Cambria" w:hAnsi="Cambria"/>
        </w:rPr>
        <w:t xml:space="preserve">and </w:t>
      </w:r>
      <w:r w:rsidR="00883829" w:rsidRPr="003D66DD">
        <w:rPr>
          <w:rFonts w:ascii="Cambria" w:hAnsi="Cambria"/>
        </w:rPr>
        <w:t xml:space="preserve">the democratic accommodation of difference (Byrne </w:t>
      </w:r>
      <w:r w:rsidR="000E381B" w:rsidRPr="003D66DD">
        <w:rPr>
          <w:rFonts w:ascii="Cambria" w:hAnsi="Cambria"/>
        </w:rPr>
        <w:t>and</w:t>
      </w:r>
      <w:r w:rsidR="00883829" w:rsidRPr="003D66DD">
        <w:rPr>
          <w:rFonts w:ascii="Cambria" w:hAnsi="Cambria"/>
        </w:rPr>
        <w:t xml:space="preserve"> McCulloch, 2012: 566; </w:t>
      </w:r>
      <w:r w:rsidR="0058798F" w:rsidRPr="003D66DD">
        <w:rPr>
          <w:rFonts w:ascii="Cambria" w:hAnsi="Cambria"/>
        </w:rPr>
        <w:t xml:space="preserve">Byrne </w:t>
      </w:r>
      <w:r w:rsidR="000E381B" w:rsidRPr="003D66DD">
        <w:rPr>
          <w:rFonts w:ascii="Cambria" w:hAnsi="Cambria"/>
        </w:rPr>
        <w:t>and</w:t>
      </w:r>
      <w:r w:rsidR="003D5B5D">
        <w:rPr>
          <w:rFonts w:ascii="Cambria" w:hAnsi="Cambria"/>
        </w:rPr>
        <w:t xml:space="preserve"> McCulloch,</w:t>
      </w:r>
      <w:r w:rsidR="0058798F" w:rsidRPr="003D66DD">
        <w:rPr>
          <w:rFonts w:ascii="Cambria" w:hAnsi="Cambria"/>
        </w:rPr>
        <w:t xml:space="preserve"> 2017</w:t>
      </w:r>
      <w:r w:rsidR="00E72567" w:rsidRPr="003D66DD">
        <w:rPr>
          <w:rFonts w:ascii="Cambria" w:hAnsi="Cambria"/>
        </w:rPr>
        <w:t xml:space="preserve">; </w:t>
      </w:r>
      <w:proofErr w:type="spellStart"/>
      <w:r w:rsidR="00883829" w:rsidRPr="003D66DD">
        <w:rPr>
          <w:rFonts w:ascii="Cambria" w:hAnsi="Cambria"/>
        </w:rPr>
        <w:t>Rebouch</w:t>
      </w:r>
      <w:r w:rsidR="003D5B5D">
        <w:rPr>
          <w:rFonts w:ascii="Cambria" w:hAnsi="Cambria"/>
        </w:rPr>
        <w:t>é</w:t>
      </w:r>
      <w:proofErr w:type="spellEnd"/>
      <w:r w:rsidR="00883829" w:rsidRPr="003D66DD">
        <w:rPr>
          <w:rFonts w:ascii="Cambria" w:hAnsi="Cambria"/>
        </w:rPr>
        <w:t xml:space="preserve"> </w:t>
      </w:r>
      <w:r w:rsidR="000E381B" w:rsidRPr="003D66DD">
        <w:rPr>
          <w:rFonts w:ascii="Cambria" w:hAnsi="Cambria"/>
        </w:rPr>
        <w:t>and</w:t>
      </w:r>
      <w:r w:rsidR="00883829" w:rsidRPr="003D66DD">
        <w:rPr>
          <w:rFonts w:ascii="Cambria" w:hAnsi="Cambria"/>
        </w:rPr>
        <w:t xml:space="preserve"> </w:t>
      </w:r>
      <w:proofErr w:type="spellStart"/>
      <w:r w:rsidR="00883829" w:rsidRPr="003D66DD">
        <w:rPr>
          <w:rFonts w:ascii="Cambria" w:hAnsi="Cambria"/>
        </w:rPr>
        <w:t>Fearon</w:t>
      </w:r>
      <w:proofErr w:type="spellEnd"/>
      <w:r w:rsidR="00883829" w:rsidRPr="003D66DD">
        <w:rPr>
          <w:rFonts w:ascii="Cambria" w:hAnsi="Cambria"/>
        </w:rPr>
        <w:t xml:space="preserve">, 2005: 163).  </w:t>
      </w:r>
      <w:r w:rsidR="006A4326" w:rsidRPr="003D66DD">
        <w:rPr>
          <w:rFonts w:ascii="Cambria" w:hAnsi="Cambria"/>
        </w:rPr>
        <w:t xml:space="preserve">Indeed, </w:t>
      </w:r>
      <w:r w:rsidR="00883829" w:rsidRPr="003D66DD">
        <w:rPr>
          <w:rFonts w:ascii="Cambria" w:hAnsi="Cambria"/>
        </w:rPr>
        <w:t xml:space="preserve">Byrne and McCulloch argue that, in principle, there </w:t>
      </w:r>
      <w:r w:rsidR="00A32A66" w:rsidRPr="003D66DD">
        <w:rPr>
          <w:rFonts w:ascii="Cambria" w:hAnsi="Cambria"/>
        </w:rPr>
        <w:t>may be</w:t>
      </w:r>
      <w:r w:rsidR="00883829" w:rsidRPr="003D66DD">
        <w:rPr>
          <w:rFonts w:ascii="Cambria" w:hAnsi="Cambria"/>
        </w:rPr>
        <w:t xml:space="preserve"> no inherent </w:t>
      </w:r>
      <w:r w:rsidR="00EB48F5" w:rsidRPr="003D66DD">
        <w:rPr>
          <w:rFonts w:ascii="Cambria" w:hAnsi="Cambria"/>
        </w:rPr>
        <w:t>contradiction</w:t>
      </w:r>
      <w:r w:rsidR="00883829" w:rsidRPr="003D66DD">
        <w:rPr>
          <w:rFonts w:ascii="Cambria" w:hAnsi="Cambria"/>
        </w:rPr>
        <w:t xml:space="preserve"> between liberal power-sharing and the inclusion of women in post-c</w:t>
      </w:r>
      <w:r w:rsidR="003D5B5D">
        <w:rPr>
          <w:rFonts w:ascii="Cambria" w:hAnsi="Cambria"/>
        </w:rPr>
        <w:t>onflict institutions (2012: 566,</w:t>
      </w:r>
      <w:r w:rsidR="00883829" w:rsidRPr="003D66DD">
        <w:rPr>
          <w:rFonts w:ascii="Cambria" w:hAnsi="Cambria"/>
        </w:rPr>
        <w:t xml:space="preserve"> 577).</w:t>
      </w:r>
      <w:r w:rsidR="00CA7ED3" w:rsidRPr="003D66DD">
        <w:rPr>
          <w:rFonts w:ascii="Cambria" w:hAnsi="Cambria"/>
        </w:rPr>
        <w:t xml:space="preserve">  Whilst power-sharing and the</w:t>
      </w:r>
      <w:r w:rsidR="00E229EA">
        <w:rPr>
          <w:rFonts w:ascii="Cambria" w:hAnsi="Cambria"/>
        </w:rPr>
        <w:t xml:space="preserve"> WPS agenda are not yet aligned</w:t>
      </w:r>
      <w:r w:rsidR="00CA7ED3" w:rsidRPr="003D66DD">
        <w:rPr>
          <w:rFonts w:ascii="Cambria" w:hAnsi="Cambria"/>
        </w:rPr>
        <w:t xml:space="preserve"> </w:t>
      </w:r>
      <w:r w:rsidR="00A32A66" w:rsidRPr="003D66DD">
        <w:rPr>
          <w:rFonts w:ascii="Cambria" w:hAnsi="Cambria"/>
        </w:rPr>
        <w:t>in actual-existing</w:t>
      </w:r>
      <w:r w:rsidR="00CA7ED3" w:rsidRPr="003D66DD">
        <w:rPr>
          <w:rFonts w:ascii="Cambria" w:hAnsi="Cambria"/>
        </w:rPr>
        <w:t xml:space="preserve"> practice</w:t>
      </w:r>
      <w:r w:rsidR="00A32A66" w:rsidRPr="003D66DD">
        <w:rPr>
          <w:rFonts w:ascii="Cambria" w:hAnsi="Cambria"/>
        </w:rPr>
        <w:t xml:space="preserve"> or </w:t>
      </w:r>
      <w:r w:rsidR="00964B78" w:rsidRPr="003D66DD">
        <w:rPr>
          <w:rFonts w:ascii="Cambria" w:hAnsi="Cambria"/>
        </w:rPr>
        <w:t>predominant normative assumptions</w:t>
      </w:r>
      <w:r w:rsidR="00E229EA">
        <w:rPr>
          <w:rFonts w:ascii="Cambria" w:hAnsi="Cambria"/>
        </w:rPr>
        <w:t>,</w:t>
      </w:r>
      <w:r w:rsidR="00CA7ED3" w:rsidRPr="003D66DD">
        <w:rPr>
          <w:rFonts w:ascii="Cambria" w:hAnsi="Cambria"/>
        </w:rPr>
        <w:t xml:space="preserve"> </w:t>
      </w:r>
      <w:r w:rsidR="00F500D3" w:rsidRPr="003D66DD">
        <w:rPr>
          <w:rFonts w:ascii="Cambria" w:hAnsi="Cambria"/>
        </w:rPr>
        <w:t xml:space="preserve">the possibility </w:t>
      </w:r>
      <w:r w:rsidR="00EB48F5" w:rsidRPr="003D66DD">
        <w:rPr>
          <w:rFonts w:ascii="Cambria" w:hAnsi="Cambria"/>
        </w:rPr>
        <w:t xml:space="preserve">is maintained </w:t>
      </w:r>
      <w:r w:rsidR="00F500D3" w:rsidRPr="003D66DD">
        <w:rPr>
          <w:rFonts w:ascii="Cambria" w:hAnsi="Cambria"/>
        </w:rPr>
        <w:t>that they</w:t>
      </w:r>
      <w:r w:rsidR="00CA7ED3" w:rsidRPr="003D66DD">
        <w:rPr>
          <w:rFonts w:ascii="Cambria" w:hAnsi="Cambria"/>
        </w:rPr>
        <w:t xml:space="preserve"> </w:t>
      </w:r>
      <w:r w:rsidR="00F500D3" w:rsidRPr="003D66DD">
        <w:rPr>
          <w:rFonts w:ascii="Cambria" w:hAnsi="Cambria"/>
        </w:rPr>
        <w:t xml:space="preserve">can </w:t>
      </w:r>
      <w:r w:rsidR="002826D7" w:rsidRPr="003D66DD">
        <w:rPr>
          <w:rFonts w:ascii="Cambria" w:hAnsi="Cambria"/>
        </w:rPr>
        <w:t>be reconc</w:t>
      </w:r>
      <w:r w:rsidR="0058798F" w:rsidRPr="003D66DD">
        <w:rPr>
          <w:rFonts w:ascii="Cambria" w:hAnsi="Cambria"/>
        </w:rPr>
        <w:t xml:space="preserve">iled </w:t>
      </w:r>
      <w:r w:rsidR="00964B78" w:rsidRPr="003D66DD">
        <w:rPr>
          <w:rFonts w:ascii="Cambria" w:hAnsi="Cambria"/>
        </w:rPr>
        <w:t xml:space="preserve">to a greater or lesser degree </w:t>
      </w:r>
      <w:r w:rsidR="003D5B5D">
        <w:rPr>
          <w:rFonts w:ascii="Cambria" w:hAnsi="Cambria"/>
        </w:rPr>
        <w:t>(2012,</w:t>
      </w:r>
      <w:r w:rsidR="0058798F" w:rsidRPr="003D66DD">
        <w:rPr>
          <w:rFonts w:ascii="Cambria" w:hAnsi="Cambria"/>
        </w:rPr>
        <w:t xml:space="preserve"> 2017</w:t>
      </w:r>
      <w:r w:rsidR="002826D7" w:rsidRPr="003D66DD">
        <w:rPr>
          <w:rFonts w:ascii="Cambria" w:hAnsi="Cambria"/>
        </w:rPr>
        <w:t>).</w:t>
      </w:r>
      <w:r w:rsidR="00964B78" w:rsidRPr="003D66DD">
        <w:rPr>
          <w:rFonts w:ascii="Cambria" w:hAnsi="Cambria"/>
        </w:rPr>
        <w:t xml:space="preserve"> This resonates with </w:t>
      </w:r>
      <w:r w:rsidR="006A4326" w:rsidRPr="003D66DD">
        <w:rPr>
          <w:rFonts w:ascii="Cambria" w:hAnsi="Cambria"/>
        </w:rPr>
        <w:t xml:space="preserve">recent </w:t>
      </w:r>
      <w:r w:rsidR="00964B78" w:rsidRPr="003D66DD">
        <w:rPr>
          <w:rFonts w:ascii="Cambria" w:hAnsi="Cambria"/>
        </w:rPr>
        <w:t>calls for more nuanced discussions about the gender</w:t>
      </w:r>
      <w:r w:rsidR="006A4326" w:rsidRPr="003D66DD">
        <w:rPr>
          <w:rFonts w:ascii="Cambria" w:hAnsi="Cambria"/>
        </w:rPr>
        <w:t>ed</w:t>
      </w:r>
      <w:r w:rsidR="00964B78" w:rsidRPr="003D66DD">
        <w:rPr>
          <w:rFonts w:ascii="Cambria" w:hAnsi="Cambria"/>
        </w:rPr>
        <w:t xml:space="preserve"> dynamics</w:t>
      </w:r>
      <w:r w:rsidR="006A4326" w:rsidRPr="003D66DD">
        <w:rPr>
          <w:rFonts w:ascii="Cambria" w:hAnsi="Cambria"/>
        </w:rPr>
        <w:t>,</w:t>
      </w:r>
      <w:r w:rsidR="00964B78" w:rsidRPr="003D66DD">
        <w:rPr>
          <w:rFonts w:ascii="Cambria" w:hAnsi="Cambria"/>
        </w:rPr>
        <w:t xml:space="preserve"> and emancipatory potential</w:t>
      </w:r>
      <w:r w:rsidR="006A4326" w:rsidRPr="003D66DD">
        <w:rPr>
          <w:rFonts w:ascii="Cambria" w:hAnsi="Cambria"/>
        </w:rPr>
        <w:t>,</w:t>
      </w:r>
      <w:r w:rsidR="00964B78" w:rsidRPr="003D66DD">
        <w:rPr>
          <w:rFonts w:ascii="Cambria" w:hAnsi="Cambria"/>
        </w:rPr>
        <w:t xml:space="preserve"> of </w:t>
      </w:r>
      <w:r w:rsidR="00DC0E7C" w:rsidRPr="003D66DD">
        <w:rPr>
          <w:rFonts w:ascii="Cambria" w:hAnsi="Cambria"/>
        </w:rPr>
        <w:t xml:space="preserve">certain </w:t>
      </w:r>
      <w:r w:rsidR="006A4326" w:rsidRPr="003D66DD">
        <w:rPr>
          <w:rFonts w:ascii="Cambria" w:hAnsi="Cambria"/>
        </w:rPr>
        <w:t xml:space="preserve">manifestations of </w:t>
      </w:r>
      <w:r w:rsidR="00964B78" w:rsidRPr="003D66DD">
        <w:rPr>
          <w:rFonts w:ascii="Cambria" w:hAnsi="Cambria"/>
        </w:rPr>
        <w:t xml:space="preserve">nationalism, </w:t>
      </w:r>
      <w:r w:rsidR="001D4F54" w:rsidRPr="003D66DD">
        <w:rPr>
          <w:rFonts w:ascii="Cambria" w:hAnsi="Cambria"/>
        </w:rPr>
        <w:t>for example</w:t>
      </w:r>
      <w:r w:rsidR="006A4326" w:rsidRPr="003D66DD">
        <w:rPr>
          <w:rFonts w:ascii="Cambria" w:hAnsi="Cambria"/>
        </w:rPr>
        <w:t xml:space="preserve"> </w:t>
      </w:r>
      <w:r w:rsidR="00964B78" w:rsidRPr="003D66DD">
        <w:rPr>
          <w:rFonts w:ascii="Cambria" w:hAnsi="Cambria"/>
        </w:rPr>
        <w:t>revolutionary/post colonialist nationalist contexts (Byrne and McCulloch</w:t>
      </w:r>
      <w:r w:rsidR="003D5B5D">
        <w:rPr>
          <w:rFonts w:ascii="Cambria" w:hAnsi="Cambria"/>
        </w:rPr>
        <w:t>,</w:t>
      </w:r>
      <w:r w:rsidR="00964B78" w:rsidRPr="003D66DD">
        <w:rPr>
          <w:rFonts w:ascii="Cambria" w:hAnsi="Cambria"/>
        </w:rPr>
        <w:t xml:space="preserve"> 2017).</w:t>
      </w:r>
    </w:p>
    <w:p w14:paraId="749D7220" w14:textId="77777777" w:rsidR="00883829" w:rsidRPr="003D66DD" w:rsidRDefault="00883829" w:rsidP="00883829">
      <w:pPr>
        <w:spacing w:line="360" w:lineRule="auto"/>
        <w:rPr>
          <w:rFonts w:ascii="Cambria" w:hAnsi="Cambria"/>
        </w:rPr>
      </w:pPr>
    </w:p>
    <w:p w14:paraId="28689CBB" w14:textId="2729FD00" w:rsidR="00883829" w:rsidRPr="003D66DD" w:rsidRDefault="00EB48F5" w:rsidP="00883829">
      <w:pPr>
        <w:spacing w:line="360" w:lineRule="auto"/>
        <w:rPr>
          <w:rFonts w:ascii="Cambria" w:hAnsi="Cambria"/>
        </w:rPr>
      </w:pPr>
      <w:r w:rsidRPr="003D66DD">
        <w:rPr>
          <w:rFonts w:ascii="Cambria" w:hAnsi="Cambria"/>
        </w:rPr>
        <w:t>In practice, p</w:t>
      </w:r>
      <w:r w:rsidR="006A4326" w:rsidRPr="003D66DD">
        <w:rPr>
          <w:rFonts w:ascii="Cambria" w:hAnsi="Cambria"/>
        </w:rPr>
        <w:t>ower</w:t>
      </w:r>
      <w:r w:rsidR="00882A8D" w:rsidRPr="003D66DD">
        <w:rPr>
          <w:rFonts w:ascii="Cambria" w:hAnsi="Cambria"/>
        </w:rPr>
        <w:t xml:space="preserve">-sharing </w:t>
      </w:r>
      <w:r w:rsidR="00231F86" w:rsidRPr="003D66DD">
        <w:rPr>
          <w:rFonts w:ascii="Cambria" w:hAnsi="Cambria"/>
        </w:rPr>
        <w:t>can have</w:t>
      </w:r>
      <w:r w:rsidR="00882A8D" w:rsidRPr="003D66DD">
        <w:rPr>
          <w:rFonts w:ascii="Cambria" w:hAnsi="Cambria"/>
        </w:rPr>
        <w:t xml:space="preserve"> a positive impact on women’s inclusion, </w:t>
      </w:r>
      <w:r w:rsidRPr="003D66DD">
        <w:rPr>
          <w:rFonts w:ascii="Cambria" w:hAnsi="Cambria"/>
        </w:rPr>
        <w:t xml:space="preserve">as </w:t>
      </w:r>
      <w:proofErr w:type="spellStart"/>
      <w:r w:rsidR="006A4326" w:rsidRPr="003D66DD">
        <w:rPr>
          <w:rFonts w:ascii="Cambria" w:hAnsi="Cambria"/>
        </w:rPr>
        <w:t>Hartzell</w:t>
      </w:r>
      <w:proofErr w:type="spellEnd"/>
      <w:r w:rsidR="006A4326" w:rsidRPr="003D66DD">
        <w:rPr>
          <w:rFonts w:ascii="Cambria" w:hAnsi="Cambria"/>
        </w:rPr>
        <w:t xml:space="preserve"> demonstrates through</w:t>
      </w:r>
      <w:r w:rsidR="00882A8D" w:rsidRPr="003D66DD">
        <w:rPr>
          <w:rFonts w:ascii="Cambria" w:hAnsi="Cambria"/>
        </w:rPr>
        <w:t xml:space="preserve"> a quantitative analysis of the effects of power-sharing measures included in peace agreements </w:t>
      </w:r>
      <w:r w:rsidR="006A4326" w:rsidRPr="003D66DD">
        <w:rPr>
          <w:rFonts w:ascii="Cambria" w:hAnsi="Cambria"/>
        </w:rPr>
        <w:t xml:space="preserve">on </w:t>
      </w:r>
      <w:r w:rsidR="00882A8D" w:rsidRPr="003D66DD">
        <w:rPr>
          <w:rFonts w:ascii="Cambria" w:hAnsi="Cambria"/>
        </w:rPr>
        <w:t>women’s political rights in the aftermath of war. She hypothesises that this outc</w:t>
      </w:r>
      <w:r w:rsidRPr="003D66DD">
        <w:rPr>
          <w:rFonts w:ascii="Cambria" w:hAnsi="Cambria"/>
        </w:rPr>
        <w:t>ome may be attributable to the ‘spotlight effect’</w:t>
      </w:r>
      <w:r w:rsidR="00882A8D" w:rsidRPr="003D66DD">
        <w:rPr>
          <w:rFonts w:ascii="Cambria" w:hAnsi="Cambria"/>
        </w:rPr>
        <w:t xml:space="preserve"> of </w:t>
      </w:r>
      <w:r w:rsidR="00882A8D" w:rsidRPr="003D66DD">
        <w:rPr>
          <w:rFonts w:ascii="Cambria" w:hAnsi="Cambria"/>
        </w:rPr>
        <w:lastRenderedPageBreak/>
        <w:t>international attention on post-conflict governments’ observance of human rights in the post-agreement period (</w:t>
      </w:r>
      <w:proofErr w:type="spellStart"/>
      <w:r w:rsidR="00882A8D" w:rsidRPr="006E6DD7">
        <w:rPr>
          <w:rFonts w:ascii="Cambria" w:hAnsi="Cambria"/>
        </w:rPr>
        <w:t>Hartzell</w:t>
      </w:r>
      <w:proofErr w:type="spellEnd"/>
      <w:r w:rsidR="00882A8D" w:rsidRPr="006E6DD7">
        <w:rPr>
          <w:rFonts w:ascii="Cambria" w:hAnsi="Cambria"/>
        </w:rPr>
        <w:t>, 2015).</w:t>
      </w:r>
      <w:r w:rsidR="00882A8D" w:rsidRPr="003D66DD">
        <w:rPr>
          <w:rFonts w:ascii="Cambria" w:hAnsi="Cambria"/>
        </w:rPr>
        <w:t xml:space="preserve"> </w:t>
      </w:r>
      <w:r w:rsidR="00883829" w:rsidRPr="003D66DD">
        <w:rPr>
          <w:rFonts w:ascii="Cambria" w:hAnsi="Cambria"/>
        </w:rPr>
        <w:t xml:space="preserve">Bell has </w:t>
      </w:r>
      <w:r w:rsidR="002826D7" w:rsidRPr="003D66DD">
        <w:rPr>
          <w:rFonts w:ascii="Cambria" w:hAnsi="Cambria"/>
        </w:rPr>
        <w:t xml:space="preserve">tested the compatibility of power-sharing and women’s political inclusion </w:t>
      </w:r>
      <w:r w:rsidR="00883829" w:rsidRPr="003D66DD">
        <w:rPr>
          <w:rFonts w:ascii="Cambria" w:hAnsi="Cambria"/>
        </w:rPr>
        <w:t xml:space="preserve">in an extensive analysis of peace agreements from 1990-2015, drawing upon the Peace Agreement Access tool (PA-X).  </w:t>
      </w:r>
      <w:r w:rsidRPr="003D66DD">
        <w:rPr>
          <w:rFonts w:ascii="Cambria" w:hAnsi="Cambria"/>
        </w:rPr>
        <w:t>She</w:t>
      </w:r>
      <w:r w:rsidR="00883829" w:rsidRPr="003D66DD">
        <w:rPr>
          <w:rFonts w:ascii="Cambria" w:hAnsi="Cambria"/>
        </w:rPr>
        <w:t xml:space="preserve"> </w:t>
      </w:r>
      <w:r w:rsidR="006A4326" w:rsidRPr="003D66DD">
        <w:rPr>
          <w:rFonts w:ascii="Cambria" w:hAnsi="Cambria"/>
        </w:rPr>
        <w:t>f</w:t>
      </w:r>
      <w:r w:rsidRPr="003D66DD">
        <w:rPr>
          <w:rFonts w:ascii="Cambria" w:hAnsi="Cambria"/>
        </w:rPr>
        <w:t>ound</w:t>
      </w:r>
      <w:r w:rsidR="00883829" w:rsidRPr="003D66DD">
        <w:rPr>
          <w:rFonts w:ascii="Cambria" w:hAnsi="Cambria"/>
        </w:rPr>
        <w:t xml:space="preserve"> little evidence that power-sharing exerts a detrimental impact on women</w:t>
      </w:r>
      <w:r w:rsidR="002826D7" w:rsidRPr="003D66DD">
        <w:rPr>
          <w:rFonts w:ascii="Cambria" w:hAnsi="Cambria"/>
        </w:rPr>
        <w:t>’s political participation</w:t>
      </w:r>
      <w:r w:rsidR="006A4326" w:rsidRPr="003D66DD">
        <w:rPr>
          <w:rFonts w:ascii="Cambria" w:hAnsi="Cambria"/>
        </w:rPr>
        <w:t>,</w:t>
      </w:r>
      <w:r w:rsidR="00883829" w:rsidRPr="003D66DD">
        <w:rPr>
          <w:rFonts w:ascii="Cambria" w:hAnsi="Cambria"/>
        </w:rPr>
        <w:t xml:space="preserve"> and rather suggest</w:t>
      </w:r>
      <w:r w:rsidR="003D5B5D">
        <w:rPr>
          <w:rFonts w:ascii="Cambria" w:hAnsi="Cambria"/>
        </w:rPr>
        <w:t>s</w:t>
      </w:r>
      <w:r w:rsidR="00883829" w:rsidRPr="003D66DD">
        <w:rPr>
          <w:rFonts w:ascii="Cambria" w:hAnsi="Cambria"/>
        </w:rPr>
        <w:t xml:space="preserve"> that </w:t>
      </w:r>
      <w:r w:rsidR="002826D7" w:rsidRPr="003D66DD">
        <w:rPr>
          <w:rFonts w:ascii="Cambria" w:hAnsi="Cambria"/>
        </w:rPr>
        <w:t xml:space="preserve">the model </w:t>
      </w:r>
      <w:r w:rsidR="006A4326" w:rsidRPr="003D66DD">
        <w:rPr>
          <w:rFonts w:ascii="Cambria" w:hAnsi="Cambria"/>
        </w:rPr>
        <w:t>may</w:t>
      </w:r>
      <w:r w:rsidR="00883829" w:rsidRPr="003D66DD">
        <w:rPr>
          <w:rFonts w:ascii="Cambria" w:hAnsi="Cambria"/>
        </w:rPr>
        <w:t xml:space="preserve"> be compatible with </w:t>
      </w:r>
      <w:r w:rsidR="006A4326" w:rsidRPr="003D66DD">
        <w:rPr>
          <w:rFonts w:ascii="Cambria" w:hAnsi="Cambria"/>
        </w:rPr>
        <w:t xml:space="preserve">the promotion of </w:t>
      </w:r>
      <w:r w:rsidR="00883829" w:rsidRPr="003D66DD">
        <w:rPr>
          <w:rFonts w:ascii="Cambria" w:hAnsi="Cambria"/>
        </w:rPr>
        <w:t xml:space="preserve">measures for gender </w:t>
      </w:r>
      <w:r w:rsidR="006A4326" w:rsidRPr="003D66DD">
        <w:rPr>
          <w:rFonts w:ascii="Cambria" w:hAnsi="Cambria"/>
        </w:rPr>
        <w:t>equality</w:t>
      </w:r>
      <w:r w:rsidR="00883829" w:rsidRPr="003D66DD">
        <w:rPr>
          <w:rFonts w:ascii="Cambria" w:hAnsi="Cambria"/>
        </w:rPr>
        <w:t xml:space="preserve">.  The study </w:t>
      </w:r>
      <w:r w:rsidR="0021246F">
        <w:rPr>
          <w:rFonts w:ascii="Cambria" w:hAnsi="Cambria"/>
        </w:rPr>
        <w:t>found</w:t>
      </w:r>
      <w:r w:rsidR="00883829" w:rsidRPr="003D66DD">
        <w:rPr>
          <w:rFonts w:ascii="Cambria" w:hAnsi="Cambria"/>
        </w:rPr>
        <w:t xml:space="preserve"> that power-sharing arrangements are often coupled with provisions for women’s political rights, such as gender quotas for elections.  Out of 26 </w:t>
      </w:r>
      <w:r w:rsidR="006A4326" w:rsidRPr="003D66DD">
        <w:rPr>
          <w:rFonts w:ascii="Cambria" w:hAnsi="Cambria"/>
        </w:rPr>
        <w:t>political settlements</w:t>
      </w:r>
      <w:r w:rsidR="00883829" w:rsidRPr="003D66DD">
        <w:rPr>
          <w:rFonts w:ascii="Cambria" w:hAnsi="Cambria"/>
        </w:rPr>
        <w:t xml:space="preserve"> </w:t>
      </w:r>
      <w:r w:rsidR="006A4326" w:rsidRPr="003D66DD">
        <w:rPr>
          <w:rFonts w:ascii="Cambria" w:hAnsi="Cambria"/>
        </w:rPr>
        <w:t>adopting</w:t>
      </w:r>
      <w:r w:rsidR="00883829" w:rsidRPr="003D66DD">
        <w:rPr>
          <w:rFonts w:ascii="Cambria" w:hAnsi="Cambria"/>
        </w:rPr>
        <w:t xml:space="preserve"> political power-sharing, 21 provided for legislative quotas for women (</w:t>
      </w:r>
      <w:r w:rsidR="0007522A" w:rsidRPr="003D66DD">
        <w:rPr>
          <w:rFonts w:ascii="Cambria" w:hAnsi="Cambria"/>
        </w:rPr>
        <w:t>80</w:t>
      </w:r>
      <w:r w:rsidR="00883829" w:rsidRPr="003D66DD">
        <w:rPr>
          <w:rFonts w:ascii="Cambria" w:hAnsi="Cambria"/>
        </w:rPr>
        <w:t xml:space="preserve">%) (Bell, 2015c: 23).  Furthermore, it emerged from the analysis that quotas </w:t>
      </w:r>
      <w:r w:rsidR="006F2E70" w:rsidRPr="003D66DD">
        <w:rPr>
          <w:rFonts w:ascii="Cambria" w:hAnsi="Cambria"/>
        </w:rPr>
        <w:t xml:space="preserve">do not </w:t>
      </w:r>
      <w:r w:rsidRPr="003D66DD">
        <w:rPr>
          <w:rFonts w:ascii="Cambria" w:hAnsi="Cambria"/>
        </w:rPr>
        <w:t xml:space="preserve">merely </w:t>
      </w:r>
      <w:r w:rsidR="006F2E70" w:rsidRPr="003D66DD">
        <w:rPr>
          <w:rFonts w:ascii="Cambria" w:hAnsi="Cambria"/>
        </w:rPr>
        <w:t xml:space="preserve">remain as paper promises, but </w:t>
      </w:r>
      <w:r w:rsidR="00883829" w:rsidRPr="003D66DD">
        <w:rPr>
          <w:rFonts w:ascii="Cambria" w:hAnsi="Cambria"/>
        </w:rPr>
        <w:t xml:space="preserve">are often </w:t>
      </w:r>
      <w:r w:rsidR="006F2E70" w:rsidRPr="003D66DD">
        <w:rPr>
          <w:rFonts w:ascii="Cambria" w:hAnsi="Cambria"/>
        </w:rPr>
        <w:t xml:space="preserve">actually </w:t>
      </w:r>
      <w:r w:rsidR="00883829" w:rsidRPr="003D66DD">
        <w:rPr>
          <w:rFonts w:ascii="Cambria" w:hAnsi="Cambria"/>
        </w:rPr>
        <w:t xml:space="preserve">implemented in the post-agreement phase.  Whilst these figures are too small to draw a correlation between power-sharing and quotas, Bell notes that the use of power-sharing and electoral quotas are not inconsistent (Bell, 2015c: 23). </w:t>
      </w:r>
      <w:r w:rsidR="00882A8D" w:rsidRPr="003D66DD">
        <w:rPr>
          <w:rFonts w:ascii="Cambria" w:hAnsi="Cambria"/>
        </w:rPr>
        <w:t>More recent analysis (</w:t>
      </w:r>
      <w:r w:rsidR="00882A8D" w:rsidRPr="003D66DD">
        <w:rPr>
          <w:rFonts w:ascii="Cambria" w:eastAsia="Times New Roman" w:hAnsi="Cambria"/>
          <w:color w:val="000000"/>
        </w:rPr>
        <w:t xml:space="preserve">Bell and </w:t>
      </w:r>
      <w:proofErr w:type="spellStart"/>
      <w:r w:rsidR="00882A8D" w:rsidRPr="003D66DD">
        <w:rPr>
          <w:rFonts w:ascii="Cambria" w:eastAsia="Times New Roman" w:hAnsi="Cambria"/>
          <w:color w:val="000000"/>
        </w:rPr>
        <w:t>McNicholl</w:t>
      </w:r>
      <w:proofErr w:type="spellEnd"/>
      <w:r w:rsidR="003D5B5D">
        <w:rPr>
          <w:rFonts w:ascii="Cambria" w:eastAsia="Times New Roman" w:hAnsi="Cambria"/>
          <w:color w:val="000000"/>
        </w:rPr>
        <w:t>, this issue)</w:t>
      </w:r>
      <w:r w:rsidR="00882A8D" w:rsidRPr="003D66DD">
        <w:rPr>
          <w:rFonts w:ascii="Cambria" w:eastAsia="Times New Roman" w:hAnsi="Cambria"/>
          <w:color w:val="000000"/>
        </w:rPr>
        <w:t xml:space="preserve"> builds upon the earlier work to demonstrate a strong positive correlation between power-sharing institutional models and formal gender provisions in peace agreements.</w:t>
      </w:r>
      <w:r w:rsidR="006F2E70" w:rsidRPr="003D66DD">
        <w:rPr>
          <w:rFonts w:ascii="Cambria" w:eastAsia="Times New Roman" w:hAnsi="Cambria"/>
          <w:color w:val="000000"/>
        </w:rPr>
        <w:t xml:space="preserve"> </w:t>
      </w:r>
      <w:r w:rsidR="006F2E70" w:rsidRPr="003D66DD">
        <w:rPr>
          <w:rFonts w:ascii="Cambria" w:hAnsi="Cambria"/>
        </w:rPr>
        <w:t xml:space="preserve">Bell concludes that power-sharing is not going away and, as such, feminists need to engage with the model and the potential opportunities </w:t>
      </w:r>
      <w:r w:rsidR="001D4F54" w:rsidRPr="003D66DD">
        <w:rPr>
          <w:rFonts w:ascii="Cambria" w:hAnsi="Cambria"/>
        </w:rPr>
        <w:t xml:space="preserve">and challenges </w:t>
      </w:r>
      <w:r w:rsidR="006F2E70" w:rsidRPr="003D66DD">
        <w:rPr>
          <w:rFonts w:ascii="Cambria" w:hAnsi="Cambria"/>
        </w:rPr>
        <w:t xml:space="preserve">it holds for gender inclusion (2015c).  </w:t>
      </w:r>
    </w:p>
    <w:p w14:paraId="743D7E1A" w14:textId="7FDC46F9" w:rsidR="001D0BC1" w:rsidRPr="003D66DD" w:rsidRDefault="001D0BC1" w:rsidP="003D4C6C">
      <w:pPr>
        <w:spacing w:line="360" w:lineRule="auto"/>
        <w:rPr>
          <w:rFonts w:ascii="Cambria" w:hAnsi="Cambria"/>
          <w:b/>
          <w:i/>
        </w:rPr>
      </w:pPr>
    </w:p>
    <w:p w14:paraId="1F75A67C" w14:textId="617499A2" w:rsidR="00882A8D" w:rsidRPr="003D66DD" w:rsidRDefault="0045119F" w:rsidP="00882A8D">
      <w:pPr>
        <w:spacing w:line="360" w:lineRule="auto"/>
        <w:rPr>
          <w:rFonts w:ascii="Cambria" w:hAnsi="Cambria"/>
        </w:rPr>
      </w:pPr>
      <w:r w:rsidRPr="003D66DD">
        <w:rPr>
          <w:rFonts w:ascii="Cambria" w:hAnsi="Cambria"/>
          <w:bCs/>
        </w:rPr>
        <w:t>However, considerable feminist scepticism remains about both the normative underpinnings and the practice of power-sharing</w:t>
      </w:r>
      <w:r w:rsidR="006F2E70" w:rsidRPr="003D66DD">
        <w:rPr>
          <w:rFonts w:ascii="Cambria" w:hAnsi="Cambria"/>
        </w:rPr>
        <w:t xml:space="preserve">, not least because </w:t>
      </w:r>
      <w:r w:rsidR="00882A8D" w:rsidRPr="003D66DD">
        <w:rPr>
          <w:rFonts w:ascii="Cambria" w:hAnsi="Cambria"/>
        </w:rPr>
        <w:t xml:space="preserve">empirical research to date </w:t>
      </w:r>
      <w:r w:rsidR="006F2E70" w:rsidRPr="003D66DD">
        <w:rPr>
          <w:rFonts w:ascii="Cambria" w:hAnsi="Cambria"/>
        </w:rPr>
        <w:t>on</w:t>
      </w:r>
      <w:r w:rsidR="00882A8D" w:rsidRPr="003D66DD">
        <w:rPr>
          <w:rFonts w:ascii="Cambria" w:hAnsi="Cambria"/>
        </w:rPr>
        <w:t xml:space="preserve"> </w:t>
      </w:r>
      <w:r w:rsidR="004228D5" w:rsidRPr="003D66DD">
        <w:rPr>
          <w:rFonts w:ascii="Cambria" w:hAnsi="Cambria"/>
        </w:rPr>
        <w:t>power-sharing</w:t>
      </w:r>
      <w:r w:rsidR="00882A8D" w:rsidRPr="003D66DD">
        <w:rPr>
          <w:rFonts w:ascii="Cambria" w:hAnsi="Cambria"/>
        </w:rPr>
        <w:t xml:space="preserve"> in contemporary consociations su</w:t>
      </w:r>
      <w:r w:rsidR="003D5B5D">
        <w:rPr>
          <w:rFonts w:ascii="Cambria" w:hAnsi="Cambria"/>
        </w:rPr>
        <w:t xml:space="preserve">ch as </w:t>
      </w:r>
      <w:r w:rsidR="007B5AEF" w:rsidRPr="003D66DD">
        <w:rPr>
          <w:rFonts w:ascii="Cambria" w:hAnsi="Cambria"/>
        </w:rPr>
        <w:t>Bosnia and Herzegovin</w:t>
      </w:r>
      <w:r w:rsidR="00920596">
        <w:rPr>
          <w:rFonts w:ascii="Cambria" w:hAnsi="Cambria"/>
        </w:rPr>
        <w:t>a</w:t>
      </w:r>
      <w:r w:rsidR="007B5AEF">
        <w:rPr>
          <w:rFonts w:ascii="Cambria" w:hAnsi="Cambria"/>
        </w:rPr>
        <w:t>, Northern Ireland and</w:t>
      </w:r>
      <w:r w:rsidR="003D5B5D">
        <w:rPr>
          <w:rFonts w:ascii="Cambria" w:hAnsi="Cambria"/>
        </w:rPr>
        <w:t xml:space="preserve"> Burundi </w:t>
      </w:r>
      <w:r w:rsidR="006F2E70" w:rsidRPr="003D66DD">
        <w:rPr>
          <w:rFonts w:ascii="Cambria" w:hAnsi="Cambria"/>
        </w:rPr>
        <w:t>reveals substantial implementation gaps, and poor outcomes</w:t>
      </w:r>
      <w:r w:rsidR="00882A8D" w:rsidRPr="003D66DD">
        <w:rPr>
          <w:rFonts w:ascii="Cambria" w:hAnsi="Cambria"/>
        </w:rPr>
        <w:t xml:space="preserve"> in terms of women’s political representation, descriptive and substantive (Byrne </w:t>
      </w:r>
      <w:r w:rsidR="000E381B" w:rsidRPr="003D66DD">
        <w:rPr>
          <w:rFonts w:ascii="Cambria" w:hAnsi="Cambria"/>
        </w:rPr>
        <w:t>and</w:t>
      </w:r>
      <w:r w:rsidR="00882A8D" w:rsidRPr="003D66DD">
        <w:rPr>
          <w:rFonts w:ascii="Cambria" w:hAnsi="Cambria"/>
        </w:rPr>
        <w:t xml:space="preserve"> McCulloch, 2017; </w:t>
      </w:r>
      <w:proofErr w:type="spellStart"/>
      <w:r w:rsidR="00882A8D" w:rsidRPr="003D66DD">
        <w:rPr>
          <w:rFonts w:ascii="Cambria" w:hAnsi="Cambria"/>
        </w:rPr>
        <w:t>Rebouch</w:t>
      </w:r>
      <w:r w:rsidR="003D5B5D">
        <w:rPr>
          <w:rFonts w:ascii="Cambria" w:hAnsi="Cambria"/>
        </w:rPr>
        <w:t>é</w:t>
      </w:r>
      <w:proofErr w:type="spellEnd"/>
      <w:r w:rsidR="00882A8D" w:rsidRPr="003D66DD">
        <w:rPr>
          <w:rFonts w:ascii="Cambria" w:hAnsi="Cambria"/>
        </w:rPr>
        <w:t xml:space="preserve"> </w:t>
      </w:r>
      <w:r w:rsidR="000E381B" w:rsidRPr="003D66DD">
        <w:rPr>
          <w:rFonts w:ascii="Cambria" w:hAnsi="Cambria"/>
        </w:rPr>
        <w:t>and</w:t>
      </w:r>
      <w:r w:rsidR="00882A8D" w:rsidRPr="003D66DD">
        <w:rPr>
          <w:rFonts w:ascii="Cambria" w:hAnsi="Cambria"/>
        </w:rPr>
        <w:t xml:space="preserve"> </w:t>
      </w:r>
      <w:proofErr w:type="spellStart"/>
      <w:r w:rsidR="00882A8D" w:rsidRPr="003D66DD">
        <w:rPr>
          <w:rFonts w:ascii="Cambria" w:hAnsi="Cambria"/>
        </w:rPr>
        <w:t>Fearon</w:t>
      </w:r>
      <w:proofErr w:type="spellEnd"/>
      <w:r w:rsidR="00882A8D" w:rsidRPr="003D66DD">
        <w:rPr>
          <w:rFonts w:ascii="Cambria" w:hAnsi="Cambria"/>
        </w:rPr>
        <w:t>, 2005: 159</w:t>
      </w:r>
      <w:r w:rsidR="003D4C6C" w:rsidRPr="003D66DD">
        <w:rPr>
          <w:rFonts w:ascii="Cambria" w:hAnsi="Cambria"/>
        </w:rPr>
        <w:t xml:space="preserve">). </w:t>
      </w:r>
    </w:p>
    <w:p w14:paraId="04AF4249" w14:textId="7FEF6CCA" w:rsidR="00D876EC" w:rsidRPr="003D66DD" w:rsidRDefault="00D876EC" w:rsidP="00883829">
      <w:pPr>
        <w:spacing w:line="360" w:lineRule="auto"/>
        <w:rPr>
          <w:rFonts w:ascii="Cambria" w:hAnsi="Cambria"/>
        </w:rPr>
      </w:pPr>
    </w:p>
    <w:p w14:paraId="65A351AA" w14:textId="77777777" w:rsidR="003D4C6C" w:rsidRPr="003D66DD" w:rsidRDefault="003D4C6C" w:rsidP="004228D5">
      <w:pPr>
        <w:outlineLvl w:val="0"/>
        <w:rPr>
          <w:rFonts w:ascii="Cambria" w:hAnsi="Cambria"/>
          <w:b/>
        </w:rPr>
      </w:pPr>
      <w:r w:rsidRPr="003D66DD">
        <w:rPr>
          <w:rFonts w:ascii="Cambria" w:hAnsi="Cambria"/>
          <w:b/>
        </w:rPr>
        <w:t xml:space="preserve">A Feminist Institutionalist Perspective </w:t>
      </w:r>
    </w:p>
    <w:p w14:paraId="73A41692" w14:textId="77777777" w:rsidR="00061815" w:rsidRPr="003D66DD" w:rsidRDefault="00061815" w:rsidP="00061815">
      <w:pPr>
        <w:spacing w:line="360" w:lineRule="auto"/>
        <w:rPr>
          <w:rFonts w:ascii="Cambria" w:hAnsi="Cambria"/>
          <w:bCs/>
        </w:rPr>
      </w:pPr>
    </w:p>
    <w:p w14:paraId="2877D81A" w14:textId="59458D80" w:rsidR="00061815" w:rsidRPr="003D66DD" w:rsidRDefault="00061815" w:rsidP="00061815">
      <w:pPr>
        <w:spacing w:line="360" w:lineRule="auto"/>
        <w:rPr>
          <w:rFonts w:ascii="Cambria" w:hAnsi="Cambria"/>
          <w:bCs/>
        </w:rPr>
      </w:pPr>
      <w:r w:rsidRPr="003D66DD">
        <w:rPr>
          <w:rFonts w:ascii="Cambria" w:hAnsi="Cambria"/>
          <w:bCs/>
        </w:rPr>
        <w:t>How might we better understand the</w:t>
      </w:r>
      <w:r w:rsidR="00395E9A" w:rsidRPr="003D66DD">
        <w:rPr>
          <w:rFonts w:ascii="Cambria" w:hAnsi="Cambria"/>
          <w:bCs/>
        </w:rPr>
        <w:t xml:space="preserve">se </w:t>
      </w:r>
      <w:proofErr w:type="spellStart"/>
      <w:r w:rsidR="00395E9A" w:rsidRPr="003D66DD">
        <w:rPr>
          <w:rFonts w:ascii="Cambria" w:hAnsi="Cambria"/>
          <w:bCs/>
        </w:rPr>
        <w:t>disjunctures</w:t>
      </w:r>
      <w:proofErr w:type="spellEnd"/>
      <w:r w:rsidR="00395E9A" w:rsidRPr="003D66DD">
        <w:rPr>
          <w:rFonts w:ascii="Cambria" w:hAnsi="Cambria"/>
          <w:bCs/>
        </w:rPr>
        <w:t xml:space="preserve"> and the</w:t>
      </w:r>
      <w:r w:rsidRPr="003D66DD">
        <w:rPr>
          <w:rFonts w:ascii="Cambria" w:hAnsi="Cambria"/>
          <w:bCs/>
        </w:rPr>
        <w:t xml:space="preserve"> problem identi</w:t>
      </w:r>
      <w:r w:rsidR="007E0B38">
        <w:rPr>
          <w:rFonts w:ascii="Cambria" w:hAnsi="Cambria"/>
          <w:bCs/>
        </w:rPr>
        <w:t>fied by Byrne and McCulloch of “</w:t>
      </w:r>
      <w:r w:rsidRPr="003D66DD">
        <w:rPr>
          <w:rFonts w:ascii="Cambria" w:hAnsi="Cambria"/>
          <w:bCs/>
        </w:rPr>
        <w:t xml:space="preserve">the emerging tension in conflict resolution between the promotion of power-sharing between ethnic groups and the mandating of women’s </w:t>
      </w:r>
      <w:r w:rsidRPr="003D66DD">
        <w:rPr>
          <w:rFonts w:ascii="Cambria" w:hAnsi="Cambria"/>
          <w:bCs/>
        </w:rPr>
        <w:lastRenderedPageBreak/>
        <w:t>inclusion in peace processes</w:t>
      </w:r>
      <w:r w:rsidR="007E0B38">
        <w:rPr>
          <w:rFonts w:ascii="Cambria" w:hAnsi="Cambria"/>
          <w:bCs/>
        </w:rPr>
        <w:t xml:space="preserve"> and post conflict institutions”</w:t>
      </w:r>
      <w:r w:rsidRPr="003D66DD">
        <w:rPr>
          <w:rFonts w:ascii="Cambria" w:hAnsi="Cambria"/>
          <w:bCs/>
        </w:rPr>
        <w:t xml:space="preserve"> (2012:</w:t>
      </w:r>
      <w:r w:rsidR="003D5B5D">
        <w:rPr>
          <w:rFonts w:ascii="Cambria" w:hAnsi="Cambria"/>
          <w:bCs/>
        </w:rPr>
        <w:t xml:space="preserve"> </w:t>
      </w:r>
      <w:r w:rsidRPr="003D66DD">
        <w:rPr>
          <w:rFonts w:ascii="Cambria" w:hAnsi="Cambria"/>
          <w:bCs/>
        </w:rPr>
        <w:t xml:space="preserve">565)? </w:t>
      </w:r>
      <w:proofErr w:type="spellStart"/>
      <w:r w:rsidRPr="003D66DD">
        <w:rPr>
          <w:rFonts w:ascii="Cambria" w:hAnsi="Cambria"/>
          <w:bCs/>
        </w:rPr>
        <w:t>Deiana</w:t>
      </w:r>
      <w:proofErr w:type="spellEnd"/>
      <w:r w:rsidRPr="003D66DD">
        <w:rPr>
          <w:rFonts w:ascii="Cambria" w:hAnsi="Cambria"/>
          <w:bCs/>
        </w:rPr>
        <w:t xml:space="preserve"> (2016</w:t>
      </w:r>
      <w:r w:rsidRPr="003D66DD">
        <w:rPr>
          <w:rFonts w:ascii="Cambria" w:hAnsi="Cambria"/>
        </w:rPr>
        <w:t>) argues that, when it comes to the impact of power-sharing on women, we need to look</w:t>
      </w:r>
      <w:r w:rsidR="00E467A1" w:rsidRPr="003D66DD">
        <w:rPr>
          <w:rFonts w:ascii="Cambria" w:hAnsi="Cambria"/>
          <w:bCs/>
        </w:rPr>
        <w:t xml:space="preserve"> beyond the ‘</w:t>
      </w:r>
      <w:r w:rsidRPr="003D66DD">
        <w:rPr>
          <w:rFonts w:ascii="Cambria" w:hAnsi="Cambria"/>
          <w:bCs/>
        </w:rPr>
        <w:t>s</w:t>
      </w:r>
      <w:r w:rsidR="00E467A1" w:rsidRPr="003D66DD">
        <w:rPr>
          <w:rFonts w:ascii="Cambria" w:hAnsi="Cambria"/>
          <w:bCs/>
        </w:rPr>
        <w:t>trictly institutional dimension’</w:t>
      </w:r>
      <w:r w:rsidRPr="003D66DD">
        <w:rPr>
          <w:rFonts w:ascii="Cambria" w:hAnsi="Cambria"/>
        </w:rPr>
        <w:t xml:space="preserve"> to capture broader dynamics shaping women’s experiences. In so doing, she taps into familiar feminist critiques about the preoccupation of both</w:t>
      </w:r>
      <w:r w:rsidR="00E467A1" w:rsidRPr="003D66DD">
        <w:rPr>
          <w:rFonts w:ascii="Cambria" w:hAnsi="Cambria"/>
        </w:rPr>
        <w:t xml:space="preserve"> </w:t>
      </w:r>
      <w:r w:rsidR="004228D5" w:rsidRPr="003D66DD">
        <w:rPr>
          <w:rFonts w:ascii="Cambria" w:hAnsi="Cambria"/>
        </w:rPr>
        <w:t>power-sharing</w:t>
      </w:r>
      <w:r w:rsidRPr="003D66DD">
        <w:rPr>
          <w:rFonts w:ascii="Cambria" w:hAnsi="Cambria"/>
        </w:rPr>
        <w:t xml:space="preserve"> scholars and practitioners with </w:t>
      </w:r>
      <w:r w:rsidR="00E467A1" w:rsidRPr="003D66DD">
        <w:rPr>
          <w:rFonts w:ascii="Cambria" w:hAnsi="Cambria"/>
        </w:rPr>
        <w:t>the</w:t>
      </w:r>
      <w:r w:rsidRPr="003D66DD">
        <w:rPr>
          <w:rFonts w:ascii="Cambria" w:hAnsi="Cambria"/>
        </w:rPr>
        <w:t xml:space="preserve"> </w:t>
      </w:r>
      <w:r w:rsidR="00E467A1" w:rsidRPr="003D66DD">
        <w:rPr>
          <w:rFonts w:ascii="Cambria" w:hAnsi="Cambria"/>
        </w:rPr>
        <w:t xml:space="preserve">formal rules and the </w:t>
      </w:r>
      <w:r w:rsidRPr="003D66DD">
        <w:rPr>
          <w:rFonts w:ascii="Cambria" w:hAnsi="Cambria"/>
        </w:rPr>
        <w:t xml:space="preserve">institutional dynamics </w:t>
      </w:r>
      <w:r w:rsidR="00E467A1" w:rsidRPr="003D66DD">
        <w:rPr>
          <w:rFonts w:ascii="Cambria" w:hAnsi="Cambria"/>
        </w:rPr>
        <w:t xml:space="preserve">of the public/political arena, and the neglect of social and cultural dynamics and inequalities. </w:t>
      </w:r>
      <w:r w:rsidRPr="003D66DD">
        <w:rPr>
          <w:rFonts w:ascii="Cambria" w:hAnsi="Cambria"/>
        </w:rPr>
        <w:t>While we accept this point, we suggest that the debate should not be conceptualised as an ‘either/or’ – institutional/cultural - but rather</w:t>
      </w:r>
      <w:r w:rsidR="00B60059">
        <w:rPr>
          <w:rFonts w:ascii="Cambria" w:hAnsi="Cambria"/>
        </w:rPr>
        <w:t>,</w:t>
      </w:r>
      <w:r w:rsidRPr="003D66DD">
        <w:rPr>
          <w:rFonts w:ascii="Cambria" w:hAnsi="Cambria"/>
        </w:rPr>
        <w:t xml:space="preserve"> </w:t>
      </w:r>
      <w:r w:rsidR="00B60059">
        <w:rPr>
          <w:rFonts w:ascii="Cambria" w:hAnsi="Cambria"/>
        </w:rPr>
        <w:t xml:space="preserve">as </w:t>
      </w:r>
      <w:r w:rsidRPr="003D66DD">
        <w:rPr>
          <w:rFonts w:ascii="Cambria" w:hAnsi="Cambria"/>
        </w:rPr>
        <w:t xml:space="preserve">a </w:t>
      </w:r>
      <w:r w:rsidRPr="003D66DD">
        <w:rPr>
          <w:rFonts w:ascii="Cambria" w:hAnsi="Cambria"/>
          <w:bCs/>
        </w:rPr>
        <w:t xml:space="preserve">‘both/and’.  </w:t>
      </w:r>
      <w:r w:rsidR="009D440A" w:rsidRPr="003D66DD">
        <w:rPr>
          <w:rFonts w:ascii="Cambria" w:hAnsi="Cambria"/>
          <w:bCs/>
        </w:rPr>
        <w:t>We</w:t>
      </w:r>
      <w:r w:rsidRPr="003D66DD">
        <w:rPr>
          <w:rFonts w:ascii="Cambria" w:hAnsi="Cambria"/>
          <w:bCs/>
        </w:rPr>
        <w:t xml:space="preserve"> argue for a</w:t>
      </w:r>
      <w:r w:rsidR="00160F2B">
        <w:rPr>
          <w:rFonts w:ascii="Cambria" w:hAnsi="Cambria"/>
          <w:bCs/>
        </w:rPr>
        <w:t>n</w:t>
      </w:r>
      <w:r w:rsidRPr="003D66DD">
        <w:rPr>
          <w:rFonts w:ascii="Cambria" w:hAnsi="Cambria"/>
          <w:bCs/>
        </w:rPr>
        <w:t xml:space="preserve"> </w:t>
      </w:r>
      <w:r w:rsidR="00160F2B">
        <w:rPr>
          <w:rFonts w:ascii="Cambria" w:hAnsi="Cambria"/>
          <w:bCs/>
        </w:rPr>
        <w:t>FI</w:t>
      </w:r>
      <w:r w:rsidRPr="003D66DD">
        <w:rPr>
          <w:rFonts w:ascii="Cambria" w:hAnsi="Cambria"/>
          <w:bCs/>
        </w:rPr>
        <w:t xml:space="preserve"> approach which contends that it is the </w:t>
      </w:r>
      <w:r w:rsidRPr="003D66DD">
        <w:rPr>
          <w:rFonts w:ascii="Cambria" w:hAnsi="Cambria"/>
          <w:bCs/>
          <w:i/>
        </w:rPr>
        <w:t>interplay</w:t>
      </w:r>
      <w:r w:rsidRPr="003D66DD">
        <w:rPr>
          <w:rFonts w:ascii="Cambria" w:hAnsi="Cambria"/>
          <w:bCs/>
        </w:rPr>
        <w:t xml:space="preserve"> of formal and informal rules - and the </w:t>
      </w:r>
      <w:r w:rsidRPr="003D66DD">
        <w:rPr>
          <w:rFonts w:ascii="Cambria" w:hAnsi="Cambria"/>
          <w:bCs/>
          <w:i/>
        </w:rPr>
        <w:t>interplay</w:t>
      </w:r>
      <w:r w:rsidRPr="003D66DD">
        <w:rPr>
          <w:rFonts w:ascii="Cambria" w:hAnsi="Cambria"/>
          <w:bCs/>
        </w:rPr>
        <w:t xml:space="preserve"> between political, cultural and economic institutional arenas - that explains political outcomes for women, </w:t>
      </w:r>
      <w:r w:rsidR="00920596">
        <w:rPr>
          <w:rFonts w:ascii="Cambria" w:hAnsi="Cambria"/>
          <w:bCs/>
        </w:rPr>
        <w:t xml:space="preserve">and </w:t>
      </w:r>
      <w:r w:rsidRPr="003D66DD">
        <w:rPr>
          <w:rFonts w:ascii="Cambria" w:hAnsi="Cambria"/>
          <w:bCs/>
        </w:rPr>
        <w:t>the promise and limit</w:t>
      </w:r>
      <w:r w:rsidR="004228D5" w:rsidRPr="003D66DD">
        <w:rPr>
          <w:rFonts w:ascii="Cambria" w:hAnsi="Cambria"/>
          <w:bCs/>
        </w:rPr>
        <w:t>s of institutional innovation</w:t>
      </w:r>
      <w:r w:rsidR="00663337">
        <w:rPr>
          <w:rFonts w:ascii="Cambria" w:hAnsi="Cambria"/>
          <w:bCs/>
        </w:rPr>
        <w:t xml:space="preserve"> </w:t>
      </w:r>
      <w:r w:rsidRPr="003D66DD">
        <w:rPr>
          <w:rFonts w:ascii="Cambria" w:hAnsi="Cambria"/>
          <w:bCs/>
        </w:rPr>
        <w:t xml:space="preserve">in </w:t>
      </w:r>
      <w:r w:rsidR="00663337">
        <w:rPr>
          <w:rFonts w:ascii="Cambria" w:hAnsi="Cambria"/>
          <w:bCs/>
        </w:rPr>
        <w:t>a</w:t>
      </w:r>
      <w:r w:rsidR="00920596">
        <w:rPr>
          <w:rFonts w:ascii="Cambria" w:hAnsi="Cambria"/>
          <w:bCs/>
        </w:rPr>
        <w:t xml:space="preserve"> particular context, including the potential transformation of gender relations.</w:t>
      </w:r>
      <w:r w:rsidRPr="003D66DD">
        <w:rPr>
          <w:rFonts w:ascii="Cambria" w:hAnsi="Cambria"/>
          <w:bCs/>
        </w:rPr>
        <w:t xml:space="preserve"> </w:t>
      </w:r>
    </w:p>
    <w:p w14:paraId="18AA1BDD" w14:textId="77777777" w:rsidR="00061815" w:rsidRPr="003D66DD" w:rsidRDefault="00061815" w:rsidP="00061815">
      <w:pPr>
        <w:spacing w:line="360" w:lineRule="auto"/>
        <w:rPr>
          <w:rFonts w:ascii="Cambria" w:hAnsi="Cambria"/>
          <w:b/>
        </w:rPr>
      </w:pPr>
    </w:p>
    <w:p w14:paraId="50FBAC86" w14:textId="68BAE06B" w:rsidR="00061815" w:rsidRPr="003D66DD" w:rsidRDefault="00061815" w:rsidP="00061815">
      <w:pPr>
        <w:spacing w:line="360" w:lineRule="auto"/>
        <w:rPr>
          <w:rFonts w:ascii="Cambria" w:hAnsi="Cambria"/>
          <w:bCs/>
        </w:rPr>
      </w:pPr>
      <w:r w:rsidRPr="003D66DD">
        <w:rPr>
          <w:rFonts w:ascii="Cambria" w:hAnsi="Cambria"/>
          <w:bCs/>
        </w:rPr>
        <w:t xml:space="preserve">In </w:t>
      </w:r>
      <w:r w:rsidR="009E3D6C">
        <w:rPr>
          <w:rFonts w:ascii="Cambria" w:hAnsi="Cambria"/>
          <w:bCs/>
        </w:rPr>
        <w:t xml:space="preserve">the </w:t>
      </w:r>
      <w:r w:rsidRPr="003D66DD">
        <w:rPr>
          <w:rFonts w:ascii="Cambria" w:hAnsi="Cambria"/>
          <w:bCs/>
        </w:rPr>
        <w:t xml:space="preserve">rest of the paper we set out four organising ideas from </w:t>
      </w:r>
      <w:r w:rsidR="00160F2B">
        <w:rPr>
          <w:rFonts w:ascii="Cambria" w:hAnsi="Cambria"/>
          <w:bCs/>
        </w:rPr>
        <w:t>FI</w:t>
      </w:r>
      <w:r w:rsidR="00A202F0" w:rsidRPr="003D66DD">
        <w:rPr>
          <w:rFonts w:ascii="Cambria" w:hAnsi="Cambria"/>
          <w:bCs/>
        </w:rPr>
        <w:t>:</w:t>
      </w:r>
      <w:r w:rsidRPr="003D66DD">
        <w:rPr>
          <w:rFonts w:ascii="Cambria" w:hAnsi="Cambria"/>
          <w:bCs/>
        </w:rPr>
        <w:t xml:space="preserve"> </w:t>
      </w:r>
      <w:r w:rsidRPr="003D66DD">
        <w:rPr>
          <w:rFonts w:ascii="Cambria" w:hAnsi="Cambria"/>
          <w:bCs/>
          <w:i/>
        </w:rPr>
        <w:t>nested newness</w:t>
      </w:r>
      <w:r w:rsidRPr="003D66DD">
        <w:rPr>
          <w:rFonts w:ascii="Cambria" w:hAnsi="Cambria"/>
          <w:bCs/>
        </w:rPr>
        <w:t xml:space="preserve">; the </w:t>
      </w:r>
      <w:r w:rsidRPr="003D66DD">
        <w:rPr>
          <w:rFonts w:ascii="Cambria" w:hAnsi="Cambria"/>
          <w:bCs/>
          <w:i/>
        </w:rPr>
        <w:t>interplay of formal and informal institutions</w:t>
      </w:r>
      <w:r w:rsidRPr="003D66DD">
        <w:rPr>
          <w:rFonts w:ascii="Cambria" w:hAnsi="Cambria"/>
          <w:bCs/>
        </w:rPr>
        <w:t xml:space="preserve">; the </w:t>
      </w:r>
      <w:r w:rsidRPr="003D66DD">
        <w:rPr>
          <w:rFonts w:ascii="Cambria" w:hAnsi="Cambria"/>
          <w:bCs/>
          <w:i/>
        </w:rPr>
        <w:t>gendered logic of appropriateness</w:t>
      </w:r>
      <w:r w:rsidRPr="003D66DD">
        <w:rPr>
          <w:rFonts w:ascii="Cambria" w:hAnsi="Cambria"/>
          <w:bCs/>
        </w:rPr>
        <w:t xml:space="preserve">; and </w:t>
      </w:r>
      <w:r w:rsidRPr="003D66DD">
        <w:rPr>
          <w:rFonts w:ascii="Cambria" w:hAnsi="Cambria"/>
          <w:bCs/>
          <w:i/>
        </w:rPr>
        <w:t>gendered actors</w:t>
      </w:r>
      <w:r w:rsidR="00A202F0" w:rsidRPr="003D66DD">
        <w:rPr>
          <w:rFonts w:ascii="Cambria" w:hAnsi="Cambria"/>
          <w:bCs/>
        </w:rPr>
        <w:t>. W</w:t>
      </w:r>
      <w:r w:rsidRPr="003D66DD">
        <w:rPr>
          <w:rFonts w:ascii="Cambria" w:hAnsi="Cambria"/>
          <w:bCs/>
        </w:rPr>
        <w:t xml:space="preserve">e argue </w:t>
      </w:r>
      <w:r w:rsidR="009E3D6C">
        <w:rPr>
          <w:rFonts w:ascii="Cambria" w:hAnsi="Cambria"/>
          <w:bCs/>
        </w:rPr>
        <w:t xml:space="preserve">that </w:t>
      </w:r>
      <w:r w:rsidR="00A202F0" w:rsidRPr="003D66DD">
        <w:rPr>
          <w:rFonts w:ascii="Cambria" w:hAnsi="Cambria"/>
          <w:bCs/>
        </w:rPr>
        <w:t>these dimensions together comprise an FI lens that provides</w:t>
      </w:r>
      <w:r w:rsidRPr="003D66DD">
        <w:rPr>
          <w:rFonts w:ascii="Cambria" w:hAnsi="Cambria"/>
          <w:bCs/>
        </w:rPr>
        <w:t xml:space="preserve"> analytical insight </w:t>
      </w:r>
      <w:r w:rsidR="00160F2B">
        <w:rPr>
          <w:rFonts w:ascii="Cambria" w:hAnsi="Cambria"/>
          <w:bCs/>
        </w:rPr>
        <w:t>in</w:t>
      </w:r>
      <w:r w:rsidRPr="003D66DD">
        <w:rPr>
          <w:rFonts w:ascii="Cambria" w:hAnsi="Cambria"/>
          <w:bCs/>
        </w:rPr>
        <w:t>to the apparent gendered paradox of</w:t>
      </w:r>
      <w:r w:rsidR="00E467A1" w:rsidRPr="003D66DD">
        <w:rPr>
          <w:rFonts w:ascii="Cambria" w:hAnsi="Cambria"/>
          <w:bCs/>
        </w:rPr>
        <w:t xml:space="preserve"> </w:t>
      </w:r>
      <w:r w:rsidR="004228D5" w:rsidRPr="003D66DD">
        <w:rPr>
          <w:rFonts w:ascii="Cambria" w:hAnsi="Cambria"/>
          <w:bCs/>
        </w:rPr>
        <w:t>power-sharing</w:t>
      </w:r>
      <w:r w:rsidRPr="003D66DD">
        <w:rPr>
          <w:rFonts w:ascii="Cambria" w:hAnsi="Cambria"/>
          <w:bCs/>
        </w:rPr>
        <w:t xml:space="preserve">.  We </w:t>
      </w:r>
      <w:r w:rsidR="00E467A1" w:rsidRPr="003D66DD">
        <w:rPr>
          <w:rFonts w:ascii="Cambria" w:hAnsi="Cambria"/>
          <w:bCs/>
        </w:rPr>
        <w:t>argue that</w:t>
      </w:r>
      <w:r w:rsidRPr="003D66DD">
        <w:rPr>
          <w:rFonts w:ascii="Cambria" w:hAnsi="Cambria"/>
          <w:bCs/>
        </w:rPr>
        <w:t xml:space="preserve"> </w:t>
      </w:r>
      <w:r w:rsidR="00E467A1" w:rsidRPr="003D66DD">
        <w:rPr>
          <w:rFonts w:ascii="Cambria" w:hAnsi="Cambria"/>
          <w:bCs/>
        </w:rPr>
        <w:t xml:space="preserve">applying </w:t>
      </w:r>
      <w:r w:rsidRPr="003D66DD">
        <w:rPr>
          <w:rFonts w:ascii="Cambria" w:hAnsi="Cambria"/>
          <w:bCs/>
        </w:rPr>
        <w:t xml:space="preserve">an FI </w:t>
      </w:r>
      <w:r w:rsidR="00E467A1" w:rsidRPr="003D66DD">
        <w:rPr>
          <w:rFonts w:ascii="Cambria" w:hAnsi="Cambria"/>
          <w:bCs/>
        </w:rPr>
        <w:t>lens</w:t>
      </w:r>
      <w:r w:rsidRPr="003D66DD">
        <w:rPr>
          <w:rFonts w:ascii="Cambria" w:hAnsi="Cambria"/>
          <w:bCs/>
        </w:rPr>
        <w:t xml:space="preserve"> enables us to explain the interconnections, and the variable outcome</w:t>
      </w:r>
      <w:r w:rsidR="009D440A" w:rsidRPr="003D66DD">
        <w:rPr>
          <w:rFonts w:ascii="Cambria" w:hAnsi="Cambria"/>
          <w:bCs/>
        </w:rPr>
        <w:t>s</w:t>
      </w:r>
      <w:r w:rsidR="00E467A1" w:rsidRPr="003D66DD">
        <w:rPr>
          <w:rFonts w:ascii="Cambria" w:hAnsi="Cambria"/>
          <w:bCs/>
        </w:rPr>
        <w:t>,</w:t>
      </w:r>
      <w:r w:rsidRPr="003D66DD">
        <w:rPr>
          <w:rFonts w:ascii="Cambria" w:hAnsi="Cambria"/>
          <w:bCs/>
        </w:rPr>
        <w:t xml:space="preserve"> of formal gender rules in power-sharing political settlements as well as to better understand the potential entry points and strategies useful for practitioners.</w:t>
      </w:r>
    </w:p>
    <w:p w14:paraId="62167635" w14:textId="77777777" w:rsidR="00061815" w:rsidRPr="003D66DD" w:rsidRDefault="00061815" w:rsidP="00061815">
      <w:pPr>
        <w:spacing w:line="360" w:lineRule="auto"/>
        <w:rPr>
          <w:rFonts w:ascii="Cambria" w:hAnsi="Cambria"/>
          <w:bCs/>
        </w:rPr>
      </w:pPr>
    </w:p>
    <w:p w14:paraId="50212CBF" w14:textId="7C5F6F22" w:rsidR="00A202F0" w:rsidRPr="003D66DD" w:rsidRDefault="00061815" w:rsidP="00061815">
      <w:pPr>
        <w:widowControl w:val="0"/>
        <w:autoSpaceDE w:val="0"/>
        <w:autoSpaceDN w:val="0"/>
        <w:adjustRightInd w:val="0"/>
        <w:spacing w:line="360" w:lineRule="auto"/>
        <w:rPr>
          <w:rFonts w:ascii="Cambria" w:hAnsi="Cambria"/>
        </w:rPr>
      </w:pPr>
      <w:r w:rsidRPr="003D66DD">
        <w:rPr>
          <w:rFonts w:ascii="Cambria" w:hAnsi="Cambria"/>
          <w:bCs/>
        </w:rPr>
        <w:t>FI combines institutionalist theory (see Lowndes and Roberts</w:t>
      </w:r>
      <w:r w:rsidR="00160F2B">
        <w:rPr>
          <w:rFonts w:ascii="Cambria" w:hAnsi="Cambria"/>
          <w:bCs/>
        </w:rPr>
        <w:t>, 2013;</w:t>
      </w:r>
      <w:r w:rsidRPr="003D66DD">
        <w:rPr>
          <w:rFonts w:ascii="Cambria" w:hAnsi="Cambria"/>
          <w:bCs/>
        </w:rPr>
        <w:t xml:space="preserve"> Lowndes</w:t>
      </w:r>
      <w:r w:rsidR="00160F2B">
        <w:rPr>
          <w:rFonts w:ascii="Cambria" w:hAnsi="Cambria"/>
          <w:bCs/>
        </w:rPr>
        <w:t>,</w:t>
      </w:r>
      <w:r w:rsidRPr="003D66DD">
        <w:rPr>
          <w:rFonts w:ascii="Cambria" w:hAnsi="Cambria"/>
          <w:bCs/>
        </w:rPr>
        <w:t xml:space="preserve"> 2018 for recent overviews) with gender analysis (see, for example, </w:t>
      </w:r>
      <w:proofErr w:type="spellStart"/>
      <w:r w:rsidR="005B4AD0">
        <w:rPr>
          <w:rFonts w:ascii="Cambria" w:hAnsi="Cambria"/>
          <w:bCs/>
        </w:rPr>
        <w:t>Krook</w:t>
      </w:r>
      <w:proofErr w:type="spellEnd"/>
      <w:r w:rsidR="005B4AD0">
        <w:rPr>
          <w:rFonts w:ascii="Cambria" w:hAnsi="Cambria"/>
          <w:bCs/>
        </w:rPr>
        <w:t xml:space="preserve"> and Mackay</w:t>
      </w:r>
      <w:r w:rsidR="00160F2B">
        <w:rPr>
          <w:rFonts w:ascii="Cambria" w:hAnsi="Cambria"/>
          <w:bCs/>
        </w:rPr>
        <w:t>,</w:t>
      </w:r>
      <w:r w:rsidR="005B4AD0">
        <w:rPr>
          <w:rFonts w:ascii="Cambria" w:hAnsi="Cambria"/>
          <w:bCs/>
        </w:rPr>
        <w:t xml:space="preserve"> </w:t>
      </w:r>
      <w:r w:rsidR="00E467A1" w:rsidRPr="003D66DD">
        <w:rPr>
          <w:rFonts w:ascii="Cambria" w:hAnsi="Cambria"/>
          <w:bCs/>
        </w:rPr>
        <w:t>2011</w:t>
      </w:r>
      <w:r w:rsidRPr="003D66DD">
        <w:rPr>
          <w:rFonts w:ascii="Cambria" w:hAnsi="Cambria"/>
          <w:bCs/>
        </w:rPr>
        <w:t>; Chappell</w:t>
      </w:r>
      <w:r w:rsidR="00160F2B">
        <w:rPr>
          <w:rFonts w:ascii="Cambria" w:hAnsi="Cambria"/>
          <w:bCs/>
        </w:rPr>
        <w:t>,</w:t>
      </w:r>
      <w:r w:rsidRPr="003D66DD">
        <w:rPr>
          <w:rFonts w:ascii="Cambria" w:hAnsi="Cambria"/>
          <w:bCs/>
        </w:rPr>
        <w:t xml:space="preserve"> 2011; Kenny</w:t>
      </w:r>
      <w:r w:rsidR="00160F2B">
        <w:rPr>
          <w:rFonts w:ascii="Cambria" w:hAnsi="Cambria"/>
          <w:bCs/>
        </w:rPr>
        <w:t>,</w:t>
      </w:r>
      <w:r w:rsidRPr="003D66DD">
        <w:rPr>
          <w:rFonts w:ascii="Cambria" w:hAnsi="Cambria"/>
          <w:bCs/>
        </w:rPr>
        <w:t xml:space="preserve"> 2007</w:t>
      </w:r>
      <w:r w:rsidR="00E467A1" w:rsidRPr="003D66DD">
        <w:rPr>
          <w:rFonts w:ascii="Cambria" w:hAnsi="Cambria"/>
          <w:bCs/>
        </w:rPr>
        <w:t>; Mackay, Kenny and Chappell</w:t>
      </w:r>
      <w:r w:rsidR="00160F2B">
        <w:rPr>
          <w:rFonts w:ascii="Cambria" w:hAnsi="Cambria"/>
          <w:bCs/>
        </w:rPr>
        <w:t>,</w:t>
      </w:r>
      <w:r w:rsidR="00E467A1" w:rsidRPr="003D66DD">
        <w:rPr>
          <w:rFonts w:ascii="Cambria" w:hAnsi="Cambria"/>
          <w:bCs/>
        </w:rPr>
        <w:t xml:space="preserve"> 2010</w:t>
      </w:r>
      <w:r w:rsidRPr="003D66DD">
        <w:rPr>
          <w:rFonts w:ascii="Cambria" w:hAnsi="Cambria"/>
          <w:bCs/>
        </w:rPr>
        <w:t xml:space="preserve">).  In common with wider institutionalism, FI argues that </w:t>
      </w:r>
      <w:r w:rsidR="00160F2B">
        <w:rPr>
          <w:rFonts w:ascii="Cambria" w:hAnsi="Cambria"/>
          <w:bCs/>
        </w:rPr>
        <w:t>institutions (whether formal or</w:t>
      </w:r>
      <w:r w:rsidRPr="003D66DD">
        <w:rPr>
          <w:rFonts w:ascii="Cambria" w:hAnsi="Cambria"/>
          <w:bCs/>
        </w:rPr>
        <w:t xml:space="preserve"> informal) are </w:t>
      </w:r>
      <w:r w:rsidRPr="003D66DD">
        <w:rPr>
          <w:rFonts w:ascii="Cambria" w:hAnsi="Cambria"/>
        </w:rPr>
        <w:t xml:space="preserve">likely to </w:t>
      </w:r>
      <w:r w:rsidRPr="003D66DD">
        <w:rPr>
          <w:rFonts w:ascii="Cambria" w:hAnsi="Cambria"/>
          <w:i/>
        </w:rPr>
        <w:t>matter</w:t>
      </w:r>
      <w:r w:rsidRPr="003D66DD">
        <w:rPr>
          <w:rFonts w:ascii="Cambria" w:hAnsi="Cambria"/>
        </w:rPr>
        <w:t xml:space="preserve"> </w:t>
      </w:r>
      <w:r w:rsidRPr="003D66DD">
        <w:rPr>
          <w:rFonts w:ascii="Cambria" w:hAnsi="Cambria"/>
          <w:i/>
        </w:rPr>
        <w:t>as much if not more</w:t>
      </w:r>
      <w:r w:rsidRPr="003D66DD">
        <w:rPr>
          <w:rFonts w:ascii="Cambria" w:hAnsi="Cambria"/>
        </w:rPr>
        <w:t xml:space="preserve"> than anything else in </w:t>
      </w:r>
      <w:r w:rsidR="00A202F0" w:rsidRPr="003D66DD">
        <w:rPr>
          <w:rFonts w:ascii="Cambria" w:hAnsi="Cambria"/>
        </w:rPr>
        <w:t>explaining political outcomes. As</w:t>
      </w:r>
      <w:r w:rsidRPr="003D66DD">
        <w:rPr>
          <w:rFonts w:ascii="Cambria" w:hAnsi="Cambria"/>
        </w:rPr>
        <w:t xml:space="preserve"> with </w:t>
      </w:r>
      <w:r w:rsidR="00A202F0" w:rsidRPr="003D66DD">
        <w:rPr>
          <w:rFonts w:ascii="Cambria" w:hAnsi="Cambria"/>
        </w:rPr>
        <w:t xml:space="preserve">other </w:t>
      </w:r>
      <w:r w:rsidRPr="003D66DD">
        <w:rPr>
          <w:rFonts w:ascii="Cambria" w:hAnsi="Cambria"/>
        </w:rPr>
        <w:t xml:space="preserve">value-critical institutionalist approaches, </w:t>
      </w:r>
      <w:r w:rsidR="00A202F0" w:rsidRPr="003D66DD">
        <w:rPr>
          <w:rFonts w:ascii="Cambria" w:hAnsi="Cambria"/>
        </w:rPr>
        <w:t>FI</w:t>
      </w:r>
      <w:r w:rsidRPr="003D66DD">
        <w:rPr>
          <w:rFonts w:ascii="Cambria" w:hAnsi="Cambria"/>
        </w:rPr>
        <w:t xml:space="preserve"> </w:t>
      </w:r>
      <w:r w:rsidR="00A202F0" w:rsidRPr="003D66DD">
        <w:rPr>
          <w:rFonts w:ascii="Cambria" w:hAnsi="Cambria"/>
        </w:rPr>
        <w:t>conceive of</w:t>
      </w:r>
      <w:r w:rsidRPr="003D66DD">
        <w:rPr>
          <w:rFonts w:ascii="Cambria" w:hAnsi="Cambria"/>
        </w:rPr>
        <w:t xml:space="preserve"> contests over the political rules of the game </w:t>
      </w:r>
      <w:r w:rsidR="00A202F0" w:rsidRPr="003D66DD">
        <w:rPr>
          <w:rFonts w:ascii="Cambria" w:hAnsi="Cambria"/>
        </w:rPr>
        <w:t>as</w:t>
      </w:r>
      <w:r w:rsidRPr="003D66DD">
        <w:rPr>
          <w:rFonts w:ascii="Cambria" w:hAnsi="Cambria"/>
        </w:rPr>
        <w:t xml:space="preserve"> fundamentally about power</w:t>
      </w:r>
      <w:r w:rsidR="00A202F0" w:rsidRPr="003D66DD">
        <w:rPr>
          <w:rFonts w:ascii="Cambria" w:hAnsi="Cambria"/>
        </w:rPr>
        <w:t>. P</w:t>
      </w:r>
      <w:r w:rsidRPr="003D66DD">
        <w:rPr>
          <w:rFonts w:ascii="Cambria" w:hAnsi="Cambria"/>
        </w:rPr>
        <w:t>olitical institutions embody particular (unequal) power relations as a result of past and ongoing political contestation (see Lowndes</w:t>
      </w:r>
      <w:r w:rsidR="00160F2B">
        <w:rPr>
          <w:rFonts w:ascii="Cambria" w:hAnsi="Cambria"/>
        </w:rPr>
        <w:t>,</w:t>
      </w:r>
      <w:r w:rsidRPr="003D66DD">
        <w:rPr>
          <w:rFonts w:ascii="Cambria" w:hAnsi="Cambria"/>
        </w:rPr>
        <w:t xml:space="preserve"> 2018</w:t>
      </w:r>
      <w:r w:rsidR="009D440A" w:rsidRPr="003D66DD">
        <w:rPr>
          <w:rFonts w:ascii="Cambria" w:hAnsi="Cambria"/>
        </w:rPr>
        <w:t>).</w:t>
      </w:r>
    </w:p>
    <w:p w14:paraId="4A9168FC" w14:textId="77777777" w:rsidR="009D440A" w:rsidRPr="003D66DD" w:rsidRDefault="009D440A" w:rsidP="00061815">
      <w:pPr>
        <w:widowControl w:val="0"/>
        <w:autoSpaceDE w:val="0"/>
        <w:autoSpaceDN w:val="0"/>
        <w:adjustRightInd w:val="0"/>
        <w:spacing w:line="360" w:lineRule="auto"/>
        <w:rPr>
          <w:rFonts w:ascii="Cambria" w:hAnsi="Cambria"/>
        </w:rPr>
      </w:pPr>
    </w:p>
    <w:p w14:paraId="12C1ADD1" w14:textId="5C5244C9" w:rsidR="00061815" w:rsidRPr="003D66DD" w:rsidRDefault="00A202F0" w:rsidP="00061815">
      <w:pPr>
        <w:widowControl w:val="0"/>
        <w:autoSpaceDE w:val="0"/>
        <w:autoSpaceDN w:val="0"/>
        <w:adjustRightInd w:val="0"/>
        <w:spacing w:line="360" w:lineRule="auto"/>
        <w:rPr>
          <w:rFonts w:ascii="Cambria" w:hAnsi="Cambria"/>
        </w:rPr>
      </w:pPr>
      <w:r w:rsidRPr="003D66DD">
        <w:rPr>
          <w:rFonts w:ascii="Cambria" w:hAnsi="Cambria"/>
        </w:rPr>
        <w:lastRenderedPageBreak/>
        <w:t>FI shares the contentions of other</w:t>
      </w:r>
      <w:r w:rsidR="00061815" w:rsidRPr="003D66DD">
        <w:rPr>
          <w:rFonts w:ascii="Cambria" w:hAnsi="Cambria"/>
        </w:rPr>
        <w:t xml:space="preserve"> feminist approaches </w:t>
      </w:r>
      <w:r w:rsidRPr="003D66DD">
        <w:rPr>
          <w:rFonts w:ascii="Cambria" w:hAnsi="Cambria"/>
        </w:rPr>
        <w:t xml:space="preserve">that power is gendered, and it </w:t>
      </w:r>
      <w:r w:rsidR="00061815" w:rsidRPr="003D66DD">
        <w:rPr>
          <w:rFonts w:ascii="Cambria" w:hAnsi="Cambria"/>
        </w:rPr>
        <w:t xml:space="preserve">conceptualises institutions as both </w:t>
      </w:r>
      <w:r w:rsidR="00061815" w:rsidRPr="003D66DD">
        <w:rPr>
          <w:rFonts w:ascii="Cambria" w:hAnsi="Cambria"/>
          <w:i/>
        </w:rPr>
        <w:t>gendered</w:t>
      </w:r>
      <w:r w:rsidR="00061815" w:rsidRPr="003D66DD">
        <w:rPr>
          <w:rFonts w:ascii="Cambria" w:hAnsi="Cambria"/>
        </w:rPr>
        <w:t xml:space="preserve"> and with </w:t>
      </w:r>
      <w:r w:rsidR="00061815" w:rsidRPr="003D66DD">
        <w:rPr>
          <w:rFonts w:ascii="Cambria" w:hAnsi="Cambria"/>
          <w:i/>
        </w:rPr>
        <w:t>gendering</w:t>
      </w:r>
      <w:r w:rsidR="00061815" w:rsidRPr="003D66DD">
        <w:rPr>
          <w:rFonts w:ascii="Cambria" w:hAnsi="Cambria"/>
        </w:rPr>
        <w:t xml:space="preserve"> effects in that they tend to produce and reproduce unequal gender power relations, the misrecognition of women as a group, and the </w:t>
      </w:r>
      <w:proofErr w:type="spellStart"/>
      <w:r w:rsidR="00061815" w:rsidRPr="003D66DD">
        <w:rPr>
          <w:rFonts w:ascii="Cambria" w:hAnsi="Cambria"/>
        </w:rPr>
        <w:t>maldistribution</w:t>
      </w:r>
      <w:proofErr w:type="spellEnd"/>
      <w:r w:rsidR="00061815" w:rsidRPr="003D66DD">
        <w:rPr>
          <w:rFonts w:ascii="Cambria" w:hAnsi="Cambria"/>
        </w:rPr>
        <w:t xml:space="preserve"> of resources</w:t>
      </w:r>
      <w:r w:rsidR="00B60059">
        <w:rPr>
          <w:rFonts w:ascii="Cambria" w:hAnsi="Cambria"/>
        </w:rPr>
        <w:t>,</w:t>
      </w:r>
      <w:r w:rsidRPr="003D66DD">
        <w:rPr>
          <w:rFonts w:ascii="Cambria" w:hAnsi="Cambria"/>
        </w:rPr>
        <w:t xml:space="preserve"> both material and symbolic (</w:t>
      </w:r>
      <w:proofErr w:type="spellStart"/>
      <w:r w:rsidR="00DF6FDB" w:rsidRPr="003D66DD">
        <w:rPr>
          <w:rFonts w:ascii="Cambria" w:hAnsi="Cambria"/>
        </w:rPr>
        <w:t>cf</w:t>
      </w:r>
      <w:proofErr w:type="spellEnd"/>
      <w:r w:rsidR="00DF6FDB" w:rsidRPr="003D66DD">
        <w:rPr>
          <w:rFonts w:ascii="Cambria" w:hAnsi="Cambria"/>
        </w:rPr>
        <w:t xml:space="preserve"> Fraser</w:t>
      </w:r>
      <w:r w:rsidR="00160F2B">
        <w:rPr>
          <w:rFonts w:ascii="Cambria" w:hAnsi="Cambria"/>
        </w:rPr>
        <w:t>, 2003;</w:t>
      </w:r>
      <w:r w:rsidR="00DF6FDB" w:rsidRPr="003D66DD">
        <w:rPr>
          <w:rFonts w:ascii="Cambria" w:hAnsi="Cambria"/>
        </w:rPr>
        <w:t xml:space="preserve"> </w:t>
      </w:r>
      <w:proofErr w:type="spellStart"/>
      <w:r w:rsidR="00061815" w:rsidRPr="003D66DD">
        <w:rPr>
          <w:rFonts w:ascii="Cambria" w:hAnsi="Cambria"/>
        </w:rPr>
        <w:t>Waylen</w:t>
      </w:r>
      <w:proofErr w:type="spellEnd"/>
      <w:r w:rsidR="00160F2B">
        <w:rPr>
          <w:rFonts w:ascii="Cambria" w:hAnsi="Cambria"/>
        </w:rPr>
        <w:t>,</w:t>
      </w:r>
      <w:r w:rsidR="00061815" w:rsidRPr="003D66DD">
        <w:rPr>
          <w:rFonts w:ascii="Cambria" w:hAnsi="Cambria"/>
        </w:rPr>
        <w:t xml:space="preserve"> 2014). </w:t>
      </w:r>
    </w:p>
    <w:p w14:paraId="2B35E73F" w14:textId="77777777" w:rsidR="00061815" w:rsidRPr="003D66DD" w:rsidRDefault="00061815" w:rsidP="00061815">
      <w:pPr>
        <w:widowControl w:val="0"/>
        <w:autoSpaceDE w:val="0"/>
        <w:autoSpaceDN w:val="0"/>
        <w:adjustRightInd w:val="0"/>
        <w:spacing w:line="360" w:lineRule="auto"/>
        <w:rPr>
          <w:rFonts w:ascii="Cambria" w:hAnsi="Cambria"/>
        </w:rPr>
      </w:pPr>
    </w:p>
    <w:p w14:paraId="4DF517D4" w14:textId="5B25B254" w:rsidR="00061815" w:rsidRPr="003D66DD" w:rsidRDefault="00061815" w:rsidP="00061815">
      <w:pPr>
        <w:spacing w:line="360" w:lineRule="auto"/>
        <w:rPr>
          <w:rFonts w:ascii="Cambria" w:hAnsi="Cambria"/>
        </w:rPr>
      </w:pPr>
      <w:r w:rsidRPr="003D66DD">
        <w:rPr>
          <w:rFonts w:ascii="Cambria" w:hAnsi="Cambria"/>
        </w:rPr>
        <w:t>Much institutionalist literature</w:t>
      </w:r>
      <w:r w:rsidR="00EF7471">
        <w:rPr>
          <w:rFonts w:ascii="Cambria" w:hAnsi="Cambria"/>
        </w:rPr>
        <w:t xml:space="preserve"> has been concerned with theoris</w:t>
      </w:r>
      <w:r w:rsidRPr="003D66DD">
        <w:rPr>
          <w:rFonts w:ascii="Cambria" w:hAnsi="Cambria"/>
        </w:rPr>
        <w:t>ing institutional continuity rather than providing explanations of change – indeed, stability is a defining feature of institutions. In line with the transformative aims of feminism, FI has also been concerned with how gendered institutional innovation can be enacted in extant institut</w:t>
      </w:r>
      <w:r w:rsidR="00A202F0" w:rsidRPr="003D66DD">
        <w:rPr>
          <w:rFonts w:ascii="Cambria" w:hAnsi="Cambria"/>
        </w:rPr>
        <w:t>ional arenas (‘new gender rules’ in ‘old institutions’</w:t>
      </w:r>
      <w:r w:rsidRPr="003D66DD">
        <w:rPr>
          <w:rFonts w:ascii="Cambria" w:hAnsi="Cambria"/>
        </w:rPr>
        <w:t xml:space="preserve">), and how wider institutional and constitutional reform processes can be gendered in progressive </w:t>
      </w:r>
      <w:r w:rsidR="00A202F0" w:rsidRPr="003D66DD">
        <w:rPr>
          <w:rFonts w:ascii="Cambria" w:hAnsi="Cambria"/>
        </w:rPr>
        <w:t>ways (‘</w:t>
      </w:r>
      <w:r w:rsidRPr="003D66DD">
        <w:rPr>
          <w:rFonts w:ascii="Cambria" w:hAnsi="Cambria"/>
        </w:rPr>
        <w:t>new gender rules</w:t>
      </w:r>
      <w:r w:rsidR="00A202F0" w:rsidRPr="003D66DD">
        <w:rPr>
          <w:rFonts w:ascii="Cambria" w:hAnsi="Cambria"/>
        </w:rPr>
        <w:t>’ in ‘new institutions’</w:t>
      </w:r>
      <w:r w:rsidRPr="003D66DD">
        <w:rPr>
          <w:rFonts w:ascii="Cambria" w:hAnsi="Cambria"/>
        </w:rPr>
        <w:t>) (see Thomson</w:t>
      </w:r>
      <w:r w:rsidR="00160F2B">
        <w:rPr>
          <w:rFonts w:ascii="Cambria" w:hAnsi="Cambria"/>
        </w:rPr>
        <w:t>,</w:t>
      </w:r>
      <w:r w:rsidRPr="003D66DD">
        <w:rPr>
          <w:rFonts w:ascii="Cambria" w:hAnsi="Cambria"/>
        </w:rPr>
        <w:t xml:space="preserve"> 2018</w:t>
      </w:r>
      <w:r w:rsidR="00585C4D">
        <w:rPr>
          <w:rFonts w:ascii="Cambria" w:hAnsi="Cambria"/>
        </w:rPr>
        <w:t>, 2019</w:t>
      </w:r>
      <w:r w:rsidRPr="003D66DD">
        <w:rPr>
          <w:rFonts w:ascii="Cambria" w:hAnsi="Cambria"/>
        </w:rPr>
        <w:t>). The creation of new political institutions provides potential opportunities for gender concerns to be incorporated from t</w:t>
      </w:r>
      <w:r w:rsidR="00A202F0" w:rsidRPr="003D66DD">
        <w:rPr>
          <w:rFonts w:ascii="Cambria" w:hAnsi="Cambria"/>
        </w:rPr>
        <w:t>he outset – in other words, to ‘lock-in’</w:t>
      </w:r>
      <w:r w:rsidRPr="003D66DD">
        <w:rPr>
          <w:rFonts w:ascii="Cambria" w:hAnsi="Cambria"/>
        </w:rPr>
        <w:t xml:space="preserve"> new gender rules at the permissive phase of institutional emergence (see </w:t>
      </w:r>
      <w:proofErr w:type="spellStart"/>
      <w:r w:rsidRPr="003D66DD">
        <w:rPr>
          <w:rFonts w:ascii="Cambria" w:hAnsi="Cambria"/>
        </w:rPr>
        <w:t>Waylen</w:t>
      </w:r>
      <w:proofErr w:type="spellEnd"/>
      <w:r w:rsidR="00160F2B">
        <w:rPr>
          <w:rFonts w:ascii="Cambria" w:hAnsi="Cambria"/>
        </w:rPr>
        <w:t>,</w:t>
      </w:r>
      <w:r w:rsidR="00D87760">
        <w:rPr>
          <w:rFonts w:ascii="Cambria" w:hAnsi="Cambria"/>
        </w:rPr>
        <w:t xml:space="preserve"> 201</w:t>
      </w:r>
      <w:r w:rsidRPr="003D66DD">
        <w:rPr>
          <w:rFonts w:ascii="Cambria" w:hAnsi="Cambria"/>
        </w:rPr>
        <w:t>7; Kenny</w:t>
      </w:r>
      <w:r w:rsidR="00160F2B">
        <w:rPr>
          <w:rFonts w:ascii="Cambria" w:hAnsi="Cambria"/>
        </w:rPr>
        <w:t>,</w:t>
      </w:r>
      <w:r w:rsidRPr="003D66DD">
        <w:rPr>
          <w:rFonts w:ascii="Cambria" w:hAnsi="Cambria"/>
        </w:rPr>
        <w:t xml:space="preserve"> 2013; Chappell</w:t>
      </w:r>
      <w:r w:rsidR="00160F2B">
        <w:rPr>
          <w:rFonts w:ascii="Cambria" w:hAnsi="Cambria"/>
        </w:rPr>
        <w:t>,</w:t>
      </w:r>
      <w:r w:rsidRPr="003D66DD">
        <w:rPr>
          <w:rFonts w:ascii="Cambria" w:hAnsi="Cambria"/>
        </w:rPr>
        <w:t xml:space="preserve"> 2016). However</w:t>
      </w:r>
      <w:r w:rsidR="00B60059">
        <w:rPr>
          <w:rFonts w:ascii="Cambria" w:hAnsi="Cambria"/>
        </w:rPr>
        <w:t>,</w:t>
      </w:r>
      <w:r w:rsidRPr="003D66DD">
        <w:rPr>
          <w:rFonts w:ascii="Cambria" w:hAnsi="Cambria"/>
        </w:rPr>
        <w:t xml:space="preserve"> institutionalist theory on design cautions against notions of coherence or the ‘intentional designer’. Institutional design is primarily a political rather than a technical exercise and involves contestation and negotiation amongst ‘carrying coalitions’</w:t>
      </w:r>
      <w:r w:rsidR="006E6DD7">
        <w:rPr>
          <w:rFonts w:ascii="Cambria" w:hAnsi="Cambria"/>
        </w:rPr>
        <w:t xml:space="preserve"> </w:t>
      </w:r>
      <w:r w:rsidRPr="003D66DD">
        <w:rPr>
          <w:rFonts w:ascii="Cambria" w:hAnsi="Cambria"/>
        </w:rPr>
        <w:t>(</w:t>
      </w:r>
      <w:proofErr w:type="spellStart"/>
      <w:r w:rsidRPr="003D66DD">
        <w:rPr>
          <w:rFonts w:ascii="Cambria" w:hAnsi="Cambria"/>
        </w:rPr>
        <w:t>Goodin</w:t>
      </w:r>
      <w:proofErr w:type="spellEnd"/>
      <w:r w:rsidR="00160F2B">
        <w:rPr>
          <w:rFonts w:ascii="Cambria" w:hAnsi="Cambria"/>
        </w:rPr>
        <w:t>,</w:t>
      </w:r>
      <w:r w:rsidRPr="003D66DD">
        <w:rPr>
          <w:rFonts w:ascii="Cambria" w:hAnsi="Cambria"/>
        </w:rPr>
        <w:t xml:space="preserve"> 1996). The</w:t>
      </w:r>
      <w:r w:rsidR="00A551CF" w:rsidRPr="003D66DD">
        <w:rPr>
          <w:rFonts w:ascii="Cambria" w:hAnsi="Cambria"/>
        </w:rPr>
        <w:t xml:space="preserve"> understanding is that </w:t>
      </w:r>
      <w:r w:rsidRPr="003D66DD">
        <w:rPr>
          <w:rFonts w:ascii="Cambria" w:hAnsi="Cambria"/>
        </w:rPr>
        <w:t xml:space="preserve">new institutions comprise the aggregation of diverse interests, ideas and goals, and carry within their blueprints ambiguities and contradictions that need to be worked through in practice. </w:t>
      </w:r>
    </w:p>
    <w:p w14:paraId="4EA005D8" w14:textId="77777777" w:rsidR="00061815" w:rsidRPr="003D66DD" w:rsidRDefault="00061815" w:rsidP="00061815">
      <w:pPr>
        <w:spacing w:line="360" w:lineRule="auto"/>
        <w:rPr>
          <w:rFonts w:ascii="Cambria" w:hAnsi="Cambria"/>
        </w:rPr>
      </w:pPr>
    </w:p>
    <w:p w14:paraId="6C0D0389" w14:textId="3CC17A7E" w:rsidR="00061815" w:rsidRPr="003D66DD" w:rsidRDefault="00061815" w:rsidP="00061815">
      <w:pPr>
        <w:pStyle w:val="p1"/>
        <w:spacing w:line="360" w:lineRule="auto"/>
        <w:rPr>
          <w:rFonts w:ascii="Cambria" w:hAnsi="Cambria"/>
          <w:sz w:val="24"/>
          <w:szCs w:val="24"/>
        </w:rPr>
      </w:pPr>
      <w:r w:rsidRPr="003D66DD">
        <w:rPr>
          <w:rFonts w:ascii="Cambria" w:hAnsi="Cambria"/>
          <w:sz w:val="24"/>
          <w:szCs w:val="24"/>
        </w:rPr>
        <w:t xml:space="preserve">In questioning the promises, limits, and </w:t>
      </w:r>
      <w:r w:rsidR="00160F2B">
        <w:rPr>
          <w:rFonts w:ascii="Cambria" w:hAnsi="Cambria"/>
          <w:sz w:val="24"/>
          <w:szCs w:val="24"/>
        </w:rPr>
        <w:t>constraints of</w:t>
      </w:r>
      <w:r w:rsidR="00123FA6">
        <w:rPr>
          <w:rFonts w:ascii="Cambria" w:hAnsi="Cambria"/>
          <w:sz w:val="24"/>
          <w:szCs w:val="24"/>
        </w:rPr>
        <w:t xml:space="preserve"> the inclusion of</w:t>
      </w:r>
      <w:r w:rsidRPr="003D66DD">
        <w:rPr>
          <w:rFonts w:ascii="Cambria" w:hAnsi="Cambria"/>
          <w:sz w:val="24"/>
          <w:szCs w:val="24"/>
        </w:rPr>
        <w:t xml:space="preserve"> women and </w:t>
      </w:r>
      <w:proofErr w:type="spellStart"/>
      <w:r w:rsidR="00A202F0" w:rsidRPr="003D66DD">
        <w:rPr>
          <w:rFonts w:ascii="Cambria" w:hAnsi="Cambria"/>
          <w:sz w:val="24"/>
          <w:szCs w:val="24"/>
        </w:rPr>
        <w:t>transformatory</w:t>
      </w:r>
      <w:proofErr w:type="spellEnd"/>
      <w:r w:rsidRPr="003D66DD">
        <w:rPr>
          <w:rFonts w:ascii="Cambria" w:hAnsi="Cambria"/>
          <w:sz w:val="24"/>
          <w:szCs w:val="24"/>
        </w:rPr>
        <w:t xml:space="preserve"> institutional innovation in wider change processes </w:t>
      </w:r>
      <w:r w:rsidR="00A202F0" w:rsidRPr="003D66DD">
        <w:rPr>
          <w:rFonts w:ascii="Cambria" w:hAnsi="Cambria"/>
          <w:sz w:val="24"/>
          <w:szCs w:val="24"/>
        </w:rPr>
        <w:t>FI scholarship</w:t>
      </w:r>
      <w:r w:rsidRPr="003D66DD">
        <w:rPr>
          <w:rFonts w:ascii="Cambria" w:hAnsi="Cambria"/>
          <w:sz w:val="24"/>
          <w:szCs w:val="24"/>
        </w:rPr>
        <w:t xml:space="preserve"> </w:t>
      </w:r>
      <w:r w:rsidR="00A202F0" w:rsidRPr="003D66DD">
        <w:rPr>
          <w:rFonts w:ascii="Cambria" w:hAnsi="Cambria"/>
          <w:sz w:val="24"/>
          <w:szCs w:val="24"/>
        </w:rPr>
        <w:t>makes</w:t>
      </w:r>
      <w:r w:rsidRPr="003D66DD">
        <w:rPr>
          <w:rFonts w:ascii="Cambria" w:hAnsi="Cambria"/>
          <w:sz w:val="24"/>
          <w:szCs w:val="24"/>
        </w:rPr>
        <w:t xml:space="preserve"> common cause with feminist IR and legal scholars addressing conflict resolution</w:t>
      </w:r>
      <w:r w:rsidR="001E04F8" w:rsidRPr="003D66DD">
        <w:rPr>
          <w:rFonts w:ascii="Cambria" w:hAnsi="Cambria"/>
          <w:sz w:val="24"/>
          <w:szCs w:val="24"/>
        </w:rPr>
        <w:t>, peacebuilding,</w:t>
      </w:r>
      <w:r w:rsidRPr="003D66DD">
        <w:rPr>
          <w:rFonts w:ascii="Cambria" w:hAnsi="Cambria"/>
          <w:sz w:val="24"/>
          <w:szCs w:val="24"/>
        </w:rPr>
        <w:t xml:space="preserve"> and political settlements</w:t>
      </w:r>
      <w:r w:rsidR="00A202F0" w:rsidRPr="003D66DD">
        <w:rPr>
          <w:rFonts w:ascii="Cambria" w:hAnsi="Cambria"/>
          <w:sz w:val="24"/>
          <w:szCs w:val="24"/>
        </w:rPr>
        <w:t xml:space="preserve"> (see, for example, </w:t>
      </w:r>
      <w:proofErr w:type="spellStart"/>
      <w:r w:rsidR="00A202F0" w:rsidRPr="003D66DD">
        <w:rPr>
          <w:rFonts w:ascii="Cambria" w:eastAsia="Times New Roman" w:hAnsi="Cambria"/>
          <w:color w:val="333333"/>
          <w:sz w:val="24"/>
          <w:szCs w:val="24"/>
          <w:shd w:val="clear" w:color="auto" w:fill="FFFFFF"/>
        </w:rPr>
        <w:t>Ní</w:t>
      </w:r>
      <w:proofErr w:type="spellEnd"/>
      <w:r w:rsidR="00A202F0" w:rsidRPr="003D66DD">
        <w:rPr>
          <w:rFonts w:ascii="Cambria" w:eastAsia="Times New Roman" w:hAnsi="Cambria"/>
          <w:color w:val="333333"/>
          <w:sz w:val="24"/>
          <w:szCs w:val="24"/>
          <w:shd w:val="clear" w:color="auto" w:fill="FFFFFF"/>
        </w:rPr>
        <w:t xml:space="preserve"> </w:t>
      </w:r>
      <w:proofErr w:type="spellStart"/>
      <w:r w:rsidR="00A202F0" w:rsidRPr="003D66DD">
        <w:rPr>
          <w:rFonts w:ascii="Cambria" w:eastAsia="Times New Roman" w:hAnsi="Cambria"/>
          <w:color w:val="333333"/>
          <w:sz w:val="24"/>
          <w:szCs w:val="24"/>
          <w:shd w:val="clear" w:color="auto" w:fill="FFFFFF"/>
        </w:rPr>
        <w:t>Aoláin</w:t>
      </w:r>
      <w:proofErr w:type="spellEnd"/>
      <w:r w:rsidR="00160F2B">
        <w:rPr>
          <w:rFonts w:ascii="Cambria" w:eastAsia="Times New Roman" w:hAnsi="Cambria"/>
          <w:color w:val="333333"/>
          <w:sz w:val="24"/>
          <w:szCs w:val="24"/>
          <w:shd w:val="clear" w:color="auto" w:fill="FFFFFF"/>
        </w:rPr>
        <w:t>,</w:t>
      </w:r>
      <w:r w:rsidR="00A202F0" w:rsidRPr="003D66DD">
        <w:rPr>
          <w:rFonts w:ascii="Cambria" w:eastAsia="Times New Roman" w:hAnsi="Cambria"/>
          <w:color w:val="333333"/>
          <w:sz w:val="24"/>
          <w:szCs w:val="24"/>
          <w:shd w:val="clear" w:color="auto" w:fill="FFFFFF"/>
        </w:rPr>
        <w:t xml:space="preserve"> 2018)</w:t>
      </w:r>
      <w:r w:rsidRPr="003D66DD">
        <w:rPr>
          <w:rFonts w:ascii="Cambria" w:hAnsi="Cambria"/>
          <w:sz w:val="24"/>
          <w:szCs w:val="24"/>
        </w:rPr>
        <w:t xml:space="preserve">.  </w:t>
      </w:r>
    </w:p>
    <w:p w14:paraId="4A4D9754" w14:textId="77777777" w:rsidR="00061815" w:rsidRPr="003D66DD" w:rsidRDefault="00061815" w:rsidP="00061815">
      <w:pPr>
        <w:widowControl w:val="0"/>
        <w:autoSpaceDE w:val="0"/>
        <w:autoSpaceDN w:val="0"/>
        <w:adjustRightInd w:val="0"/>
        <w:spacing w:line="360" w:lineRule="auto"/>
        <w:rPr>
          <w:rFonts w:ascii="Cambria" w:hAnsi="Cambria"/>
        </w:rPr>
      </w:pPr>
    </w:p>
    <w:p w14:paraId="1DB35566" w14:textId="2DF15472" w:rsidR="00061815" w:rsidRPr="00160F2B" w:rsidRDefault="00061815" w:rsidP="00061815">
      <w:pPr>
        <w:spacing w:line="360" w:lineRule="auto"/>
        <w:rPr>
          <w:rFonts w:ascii="Cambria" w:hAnsi="Cambria"/>
          <w:b/>
          <w:i/>
        </w:rPr>
      </w:pPr>
      <w:r w:rsidRPr="00160F2B">
        <w:rPr>
          <w:rFonts w:ascii="Cambria" w:hAnsi="Cambria"/>
          <w:b/>
          <w:bCs/>
          <w:i/>
        </w:rPr>
        <w:t>Nested</w:t>
      </w:r>
      <w:r w:rsidR="00160F2B">
        <w:rPr>
          <w:rFonts w:ascii="Cambria" w:hAnsi="Cambria"/>
          <w:b/>
          <w:i/>
        </w:rPr>
        <w:t xml:space="preserve"> Newness: New Settlements as Embedded</w:t>
      </w:r>
      <w:r w:rsidRPr="00160F2B">
        <w:rPr>
          <w:rFonts w:ascii="Cambria" w:hAnsi="Cambria"/>
          <w:b/>
          <w:i/>
        </w:rPr>
        <w:t xml:space="preserve"> </w:t>
      </w:r>
    </w:p>
    <w:p w14:paraId="761DB917" w14:textId="77777777" w:rsidR="00160F2B" w:rsidRDefault="00160F2B" w:rsidP="00061815">
      <w:pPr>
        <w:spacing w:line="360" w:lineRule="auto"/>
        <w:rPr>
          <w:rFonts w:ascii="Cambria" w:hAnsi="Cambria"/>
        </w:rPr>
      </w:pPr>
    </w:p>
    <w:p w14:paraId="3EFD53AC" w14:textId="1F2938EB" w:rsidR="00061815" w:rsidRPr="003D66DD" w:rsidRDefault="008C11D4" w:rsidP="00061815">
      <w:pPr>
        <w:spacing w:line="360" w:lineRule="auto"/>
        <w:rPr>
          <w:rFonts w:ascii="Cambria" w:hAnsi="Cambria"/>
        </w:rPr>
      </w:pPr>
      <w:r>
        <w:rPr>
          <w:rFonts w:ascii="Cambria" w:hAnsi="Cambria"/>
        </w:rPr>
        <w:t>We t</w:t>
      </w:r>
      <w:r w:rsidR="00061815" w:rsidRPr="003D66DD">
        <w:rPr>
          <w:rFonts w:ascii="Cambria" w:hAnsi="Cambria"/>
        </w:rPr>
        <w:t xml:space="preserve">urn first to </w:t>
      </w:r>
      <w:r w:rsidR="00B60059">
        <w:rPr>
          <w:rFonts w:ascii="Cambria" w:hAnsi="Cambria"/>
        </w:rPr>
        <w:t>‘</w:t>
      </w:r>
      <w:r w:rsidR="00061815" w:rsidRPr="003D66DD">
        <w:rPr>
          <w:rFonts w:ascii="Cambria" w:hAnsi="Cambria"/>
        </w:rPr>
        <w:t>nested newness</w:t>
      </w:r>
      <w:r w:rsidR="00B60059">
        <w:rPr>
          <w:rFonts w:ascii="Cambria" w:hAnsi="Cambria"/>
        </w:rPr>
        <w:t>’</w:t>
      </w:r>
      <w:r w:rsidR="00061815" w:rsidRPr="003D66DD">
        <w:rPr>
          <w:rFonts w:ascii="Cambria" w:hAnsi="Cambria"/>
        </w:rPr>
        <w:t>, and broader ideas about the embeddedness of instituti</w:t>
      </w:r>
      <w:r w:rsidR="008604B2" w:rsidRPr="003D66DD">
        <w:rPr>
          <w:rFonts w:ascii="Cambria" w:hAnsi="Cambria"/>
        </w:rPr>
        <w:t>ons. N</w:t>
      </w:r>
      <w:r w:rsidR="00061815" w:rsidRPr="003D66DD">
        <w:rPr>
          <w:rFonts w:ascii="Cambria" w:hAnsi="Cambria"/>
        </w:rPr>
        <w:t xml:space="preserve">ested newness </w:t>
      </w:r>
      <w:r w:rsidR="00711024" w:rsidRPr="003D66DD">
        <w:rPr>
          <w:rFonts w:ascii="Cambria" w:hAnsi="Cambria"/>
        </w:rPr>
        <w:t>is a metaphor that</w:t>
      </w:r>
      <w:r w:rsidR="00061815" w:rsidRPr="003D66DD">
        <w:rPr>
          <w:rFonts w:ascii="Cambria" w:hAnsi="Cambria"/>
        </w:rPr>
        <w:t xml:space="preserve"> capture</w:t>
      </w:r>
      <w:r w:rsidR="00711024" w:rsidRPr="003D66DD">
        <w:rPr>
          <w:rFonts w:ascii="Cambria" w:hAnsi="Cambria"/>
        </w:rPr>
        <w:t>s the way</w:t>
      </w:r>
      <w:r w:rsidR="00061815" w:rsidRPr="003D66DD">
        <w:rPr>
          <w:rFonts w:ascii="Cambria" w:hAnsi="Cambria"/>
        </w:rPr>
        <w:t xml:space="preserve"> in which the </w:t>
      </w:r>
      <w:r w:rsidR="00A603C9" w:rsidRPr="003D66DD">
        <w:rPr>
          <w:rFonts w:ascii="Cambria" w:hAnsi="Cambria"/>
        </w:rPr>
        <w:t>‘</w:t>
      </w:r>
      <w:r w:rsidR="00061815" w:rsidRPr="003D66DD">
        <w:rPr>
          <w:rFonts w:ascii="Cambria" w:hAnsi="Cambria"/>
        </w:rPr>
        <w:t>new</w:t>
      </w:r>
      <w:r w:rsidR="00711024" w:rsidRPr="003D66DD">
        <w:rPr>
          <w:rFonts w:ascii="Cambria" w:hAnsi="Cambria"/>
        </w:rPr>
        <w:t xml:space="preserve">’ </w:t>
      </w:r>
      <w:r w:rsidR="00061815" w:rsidRPr="003D66DD">
        <w:rPr>
          <w:rFonts w:ascii="Cambria" w:hAnsi="Cambria"/>
        </w:rPr>
        <w:t xml:space="preserve">is </w:t>
      </w:r>
      <w:r w:rsidR="00061815" w:rsidRPr="003D66DD">
        <w:rPr>
          <w:rFonts w:ascii="Cambria" w:hAnsi="Cambria"/>
        </w:rPr>
        <w:lastRenderedPageBreak/>
        <w:t>embedded in time, sequence and its wider political, social and economic institutional environment. This influences the design of new institutions, and impacts upon subsequent institutional development and capacity. The insight is that no institution – however new or radically reformed – is a blank slate: the capacity for new paths is profoundly shaped by its institutional environment, no matter how seemingly dramatic the rupture with the past</w:t>
      </w:r>
      <w:r w:rsidR="00711024" w:rsidRPr="003D66DD">
        <w:rPr>
          <w:rFonts w:ascii="Cambria" w:hAnsi="Cambria"/>
        </w:rPr>
        <w:t xml:space="preserve"> (Mackay</w:t>
      </w:r>
      <w:r w:rsidR="00160F2B">
        <w:rPr>
          <w:rFonts w:ascii="Cambria" w:hAnsi="Cambria"/>
        </w:rPr>
        <w:t>,</w:t>
      </w:r>
      <w:r w:rsidR="00711024" w:rsidRPr="003D66DD">
        <w:rPr>
          <w:rFonts w:ascii="Cambria" w:hAnsi="Cambria"/>
        </w:rPr>
        <w:t xml:space="preserve"> 2014</w:t>
      </w:r>
      <w:r w:rsidR="006D7E97" w:rsidRPr="003D66DD">
        <w:rPr>
          <w:rFonts w:ascii="Cambria" w:hAnsi="Cambria"/>
        </w:rPr>
        <w:t xml:space="preserve">: </w:t>
      </w:r>
      <w:r w:rsidR="00753C78" w:rsidRPr="003D66DD">
        <w:rPr>
          <w:rFonts w:ascii="Cambria" w:hAnsi="Cambria"/>
        </w:rPr>
        <w:t>552</w:t>
      </w:r>
      <w:r w:rsidR="00711024" w:rsidRPr="003D66DD">
        <w:rPr>
          <w:rFonts w:ascii="Cambria" w:hAnsi="Cambria"/>
        </w:rPr>
        <w:t>)</w:t>
      </w:r>
      <w:r w:rsidR="00061815" w:rsidRPr="003D66DD">
        <w:rPr>
          <w:rFonts w:ascii="Cambria" w:hAnsi="Cambria"/>
        </w:rPr>
        <w:t>.</w:t>
      </w:r>
      <w:r w:rsidR="00711024" w:rsidRPr="003D66DD">
        <w:rPr>
          <w:rFonts w:ascii="Cambria" w:hAnsi="Cambria"/>
        </w:rPr>
        <w:t xml:space="preserve"> </w:t>
      </w:r>
      <w:r w:rsidR="00061815" w:rsidRPr="003D66DD">
        <w:rPr>
          <w:rFonts w:ascii="Cambria" w:hAnsi="Cambria"/>
        </w:rPr>
        <w:t>As such, political settlements, including new gender rules and reforms, are nested temporally in terms of legacies and path dependencies as well as spatially and structurally in terms of institutional environment and ongoing interactions with other institutions at multiple levels</w:t>
      </w:r>
      <w:r w:rsidR="001E04F8" w:rsidRPr="003D66DD">
        <w:rPr>
          <w:rFonts w:ascii="Cambria" w:hAnsi="Cambria"/>
        </w:rPr>
        <w:t xml:space="preserve"> (Chappell</w:t>
      </w:r>
      <w:r w:rsidR="00160F2B">
        <w:rPr>
          <w:rFonts w:ascii="Cambria" w:hAnsi="Cambria"/>
        </w:rPr>
        <w:t>, 2011;</w:t>
      </w:r>
      <w:r w:rsidR="001E04F8" w:rsidRPr="003D66DD">
        <w:rPr>
          <w:rFonts w:ascii="Cambria" w:hAnsi="Cambria"/>
        </w:rPr>
        <w:t xml:space="preserve"> Mackay</w:t>
      </w:r>
      <w:r w:rsidR="00160F2B">
        <w:rPr>
          <w:rFonts w:ascii="Cambria" w:hAnsi="Cambria"/>
        </w:rPr>
        <w:t>,</w:t>
      </w:r>
      <w:r w:rsidR="001E04F8" w:rsidRPr="003D66DD">
        <w:rPr>
          <w:rFonts w:ascii="Cambria" w:hAnsi="Cambria"/>
        </w:rPr>
        <w:t xml:space="preserve"> 2014)</w:t>
      </w:r>
      <w:r w:rsidR="00061815" w:rsidRPr="003D66DD">
        <w:rPr>
          <w:rFonts w:ascii="Cambria" w:hAnsi="Cambria"/>
        </w:rPr>
        <w:t xml:space="preserve">.  </w:t>
      </w:r>
      <w:r w:rsidR="006D7E97" w:rsidRPr="003D66DD">
        <w:rPr>
          <w:rFonts w:ascii="Cambria" w:hAnsi="Cambria"/>
        </w:rPr>
        <w:t>Feminist institutionalism adds a gender lens</w:t>
      </w:r>
      <w:r w:rsidR="00061815" w:rsidRPr="003D66DD">
        <w:rPr>
          <w:rFonts w:ascii="Cambria" w:hAnsi="Cambria"/>
        </w:rPr>
        <w:t xml:space="preserve">, </w:t>
      </w:r>
      <w:r w:rsidR="006D7E97" w:rsidRPr="003D66DD">
        <w:rPr>
          <w:rFonts w:ascii="Cambria" w:hAnsi="Cambria"/>
        </w:rPr>
        <w:t xml:space="preserve">arguing that </w:t>
      </w:r>
      <w:r w:rsidR="00061815" w:rsidRPr="003D66DD">
        <w:rPr>
          <w:rFonts w:ascii="Cambria" w:hAnsi="Cambria"/>
        </w:rPr>
        <w:t>institutional legacies and wider environments mus</w:t>
      </w:r>
      <w:r w:rsidR="006D7E97" w:rsidRPr="003D66DD">
        <w:rPr>
          <w:rFonts w:ascii="Cambria" w:hAnsi="Cambria"/>
        </w:rPr>
        <w:t>t also be understood as gendered with gendering effects</w:t>
      </w:r>
      <w:r w:rsidR="00061815" w:rsidRPr="003D66DD">
        <w:rPr>
          <w:rFonts w:ascii="Cambria" w:hAnsi="Cambria"/>
        </w:rPr>
        <w:t xml:space="preserve">. </w:t>
      </w:r>
      <w:r w:rsidR="006D7E97" w:rsidRPr="003D66DD">
        <w:rPr>
          <w:rFonts w:ascii="Cambria" w:hAnsi="Cambria"/>
        </w:rPr>
        <w:t xml:space="preserve"> In this respect, </w:t>
      </w:r>
      <w:r w:rsidR="00B9580B">
        <w:rPr>
          <w:rFonts w:ascii="Cambria" w:hAnsi="Cambria"/>
        </w:rPr>
        <w:t xml:space="preserve">institutionalised </w:t>
      </w:r>
      <w:r w:rsidR="006D7E97" w:rsidRPr="003D66DD">
        <w:rPr>
          <w:rFonts w:ascii="Cambria" w:hAnsi="Cambria"/>
        </w:rPr>
        <w:t>g</w:t>
      </w:r>
      <w:r w:rsidR="00061815" w:rsidRPr="003D66DD">
        <w:rPr>
          <w:rFonts w:ascii="Cambria" w:hAnsi="Cambria"/>
        </w:rPr>
        <w:t>ender norms</w:t>
      </w:r>
      <w:r w:rsidR="006D7E97" w:rsidRPr="003D66DD">
        <w:rPr>
          <w:rFonts w:ascii="Cambria" w:hAnsi="Cambria"/>
        </w:rPr>
        <w:t xml:space="preserve"> and practices</w:t>
      </w:r>
      <w:r w:rsidR="00061815" w:rsidRPr="003D66DD">
        <w:rPr>
          <w:rFonts w:ascii="Cambria" w:hAnsi="Cambria"/>
        </w:rPr>
        <w:t xml:space="preserve"> </w:t>
      </w:r>
      <w:r w:rsidR="006D7E97" w:rsidRPr="003D66DD">
        <w:rPr>
          <w:rFonts w:ascii="Cambria" w:hAnsi="Cambria"/>
        </w:rPr>
        <w:t xml:space="preserve">– </w:t>
      </w:r>
      <w:r w:rsidR="00B9580B">
        <w:rPr>
          <w:rFonts w:ascii="Cambria" w:hAnsi="Cambria"/>
        </w:rPr>
        <w:t>or</w:t>
      </w:r>
      <w:r w:rsidR="00753C78" w:rsidRPr="003D66DD">
        <w:rPr>
          <w:rFonts w:ascii="Cambria" w:hAnsi="Cambria"/>
        </w:rPr>
        <w:t xml:space="preserve"> gender regimes</w:t>
      </w:r>
      <w:r w:rsidR="00F94158" w:rsidRPr="003D66DD">
        <w:rPr>
          <w:rFonts w:ascii="Cambria" w:hAnsi="Cambria"/>
        </w:rPr>
        <w:t xml:space="preserve"> </w:t>
      </w:r>
      <w:r w:rsidR="006D7E97" w:rsidRPr="003D66DD">
        <w:rPr>
          <w:rFonts w:ascii="Cambria" w:hAnsi="Cambria"/>
        </w:rPr>
        <w:t>– are important dimensions of analysis</w:t>
      </w:r>
      <w:r w:rsidR="00061815" w:rsidRPr="003D66DD">
        <w:rPr>
          <w:rFonts w:ascii="Cambria" w:hAnsi="Cambria"/>
        </w:rPr>
        <w:t xml:space="preserve">. There are complex </w:t>
      </w:r>
      <w:r w:rsidR="00753C78" w:rsidRPr="003D66DD">
        <w:rPr>
          <w:rFonts w:ascii="Cambria" w:hAnsi="Cambria"/>
        </w:rPr>
        <w:t>interconnections</w:t>
      </w:r>
      <w:r w:rsidR="00061815" w:rsidRPr="003D66DD">
        <w:rPr>
          <w:rFonts w:ascii="Cambria" w:hAnsi="Cambria"/>
        </w:rPr>
        <w:t xml:space="preserve"> between different sorts of i</w:t>
      </w:r>
      <w:r w:rsidR="00753C78" w:rsidRPr="003D66DD">
        <w:rPr>
          <w:rFonts w:ascii="Cambria" w:hAnsi="Cambria"/>
        </w:rPr>
        <w:t>nstitutions over time and space, including social institutions such as the family and organised religion.</w:t>
      </w:r>
      <w:r w:rsidR="00061815" w:rsidRPr="003D66DD">
        <w:rPr>
          <w:rFonts w:ascii="Cambria" w:hAnsi="Cambria"/>
        </w:rPr>
        <w:t xml:space="preserve"> </w:t>
      </w:r>
      <w:r w:rsidR="00753C78" w:rsidRPr="003D66DD">
        <w:rPr>
          <w:rFonts w:ascii="Cambria" w:hAnsi="Cambria"/>
        </w:rPr>
        <w:t>These</w:t>
      </w:r>
      <w:r w:rsidR="00061815" w:rsidRPr="003D66DD">
        <w:rPr>
          <w:rFonts w:ascii="Cambria" w:hAnsi="Cambria"/>
        </w:rPr>
        <w:t xml:space="preserve"> </w:t>
      </w:r>
      <w:r w:rsidR="00A169F8">
        <w:rPr>
          <w:rFonts w:ascii="Cambria" w:hAnsi="Cambria"/>
        </w:rPr>
        <w:t xml:space="preserve">interactions </w:t>
      </w:r>
      <w:r w:rsidR="00061815" w:rsidRPr="003D66DD">
        <w:rPr>
          <w:rFonts w:ascii="Cambria" w:hAnsi="Cambria"/>
        </w:rPr>
        <w:t>shape gendered patterns of advantage and disadvantage (Burns</w:t>
      </w:r>
      <w:r w:rsidR="00322F82">
        <w:rPr>
          <w:rFonts w:ascii="Cambria" w:hAnsi="Cambria"/>
        </w:rPr>
        <w:t xml:space="preserve">, 2005: </w:t>
      </w:r>
      <w:r w:rsidR="00061815" w:rsidRPr="003D66DD">
        <w:rPr>
          <w:rFonts w:ascii="Cambria" w:hAnsi="Cambria"/>
        </w:rPr>
        <w:t>139</w:t>
      </w:r>
      <w:r w:rsidR="00753C78" w:rsidRPr="003D66DD">
        <w:rPr>
          <w:rFonts w:ascii="Cambria" w:hAnsi="Cambria"/>
        </w:rPr>
        <w:t>) in that change</w:t>
      </w:r>
      <w:r w:rsidR="00061815" w:rsidRPr="003D66DD">
        <w:rPr>
          <w:rFonts w:ascii="Cambria" w:hAnsi="Cambria"/>
          <w:color w:val="000000"/>
        </w:rPr>
        <w:t xml:space="preserve"> in one institutional arena may be </w:t>
      </w:r>
      <w:r w:rsidR="00AB5EFE" w:rsidRPr="003D66DD">
        <w:rPr>
          <w:rFonts w:ascii="Cambria" w:hAnsi="Cambria"/>
          <w:color w:val="000000"/>
        </w:rPr>
        <w:t>reinforced</w:t>
      </w:r>
      <w:r w:rsidR="00061815" w:rsidRPr="003D66DD">
        <w:rPr>
          <w:rFonts w:ascii="Cambria" w:hAnsi="Cambria"/>
          <w:color w:val="000000"/>
        </w:rPr>
        <w:t xml:space="preserve"> or confounded by the effect</w:t>
      </w:r>
      <w:r w:rsidR="00AB5EFE" w:rsidRPr="003D66DD">
        <w:rPr>
          <w:rFonts w:ascii="Cambria" w:hAnsi="Cambria"/>
          <w:color w:val="000000"/>
        </w:rPr>
        <w:t>s of other institutional arenas. This</w:t>
      </w:r>
      <w:r w:rsidR="00061815" w:rsidRPr="003D66DD">
        <w:rPr>
          <w:rFonts w:ascii="Cambria" w:hAnsi="Cambria"/>
          <w:color w:val="000000"/>
        </w:rPr>
        <w:t xml:space="preserve"> illuminat</w:t>
      </w:r>
      <w:r w:rsidR="00AB5EFE" w:rsidRPr="003D66DD">
        <w:rPr>
          <w:rFonts w:ascii="Cambria" w:hAnsi="Cambria"/>
          <w:color w:val="000000"/>
        </w:rPr>
        <w:t xml:space="preserve">es </w:t>
      </w:r>
      <w:r w:rsidR="00061815" w:rsidRPr="003D66DD">
        <w:rPr>
          <w:rFonts w:ascii="Cambria" w:hAnsi="Cambria"/>
          <w:color w:val="000000"/>
        </w:rPr>
        <w:t>the difficulties encountered in embedding gender reforms</w:t>
      </w:r>
      <w:r w:rsidR="001E04F8" w:rsidRPr="003D66DD">
        <w:rPr>
          <w:rFonts w:ascii="Cambria" w:hAnsi="Cambria"/>
        </w:rPr>
        <w:t xml:space="preserve"> (Chappell</w:t>
      </w:r>
      <w:r w:rsidR="00322F82">
        <w:rPr>
          <w:rFonts w:ascii="Cambria" w:hAnsi="Cambria"/>
        </w:rPr>
        <w:t>,</w:t>
      </w:r>
      <w:r w:rsidR="001E04F8" w:rsidRPr="003D66DD">
        <w:rPr>
          <w:rFonts w:ascii="Cambria" w:hAnsi="Cambria"/>
        </w:rPr>
        <w:t xml:space="preserve"> 2016</w:t>
      </w:r>
      <w:r w:rsidR="00061815" w:rsidRPr="003D66DD">
        <w:rPr>
          <w:rFonts w:ascii="Cambria" w:hAnsi="Cambria"/>
        </w:rPr>
        <w:t xml:space="preserve">; </w:t>
      </w:r>
      <w:r w:rsidR="008604B2" w:rsidRPr="003D66DD">
        <w:rPr>
          <w:rFonts w:ascii="Cambria" w:hAnsi="Cambria"/>
        </w:rPr>
        <w:t>Mackay</w:t>
      </w:r>
      <w:r w:rsidR="00322F82">
        <w:rPr>
          <w:rFonts w:ascii="Cambria" w:hAnsi="Cambria"/>
        </w:rPr>
        <w:t>,</w:t>
      </w:r>
      <w:r w:rsidR="008604B2" w:rsidRPr="003D66DD">
        <w:rPr>
          <w:rFonts w:ascii="Cambria" w:hAnsi="Cambria"/>
        </w:rPr>
        <w:t xml:space="preserve"> 2014</w:t>
      </w:r>
      <w:r w:rsidR="00061815" w:rsidRPr="003D66DD">
        <w:rPr>
          <w:rFonts w:ascii="Cambria" w:hAnsi="Cambria"/>
        </w:rPr>
        <w:t>).</w:t>
      </w:r>
      <w:r w:rsidR="001E04F8" w:rsidRPr="003D66DD">
        <w:rPr>
          <w:rFonts w:ascii="Cambria" w:hAnsi="Cambria"/>
        </w:rPr>
        <w:t xml:space="preserve"> </w:t>
      </w:r>
    </w:p>
    <w:p w14:paraId="177FC78D" w14:textId="77777777" w:rsidR="00061815" w:rsidRPr="003D66DD" w:rsidRDefault="00061815" w:rsidP="00061815">
      <w:pPr>
        <w:spacing w:line="360" w:lineRule="auto"/>
        <w:jc w:val="center"/>
        <w:rPr>
          <w:rFonts w:ascii="Cambria" w:hAnsi="Cambria"/>
        </w:rPr>
      </w:pPr>
    </w:p>
    <w:p w14:paraId="1C172C70" w14:textId="647C0ECB" w:rsidR="00061815" w:rsidRPr="00EF7471" w:rsidRDefault="00061815" w:rsidP="004228D5">
      <w:pPr>
        <w:spacing w:line="360" w:lineRule="auto"/>
        <w:outlineLvl w:val="0"/>
        <w:rPr>
          <w:rFonts w:ascii="Cambria" w:hAnsi="Cambria"/>
          <w:b/>
          <w:bCs/>
          <w:i/>
        </w:rPr>
      </w:pPr>
      <w:r w:rsidRPr="00EF7471">
        <w:rPr>
          <w:rFonts w:ascii="Cambria" w:hAnsi="Cambria"/>
          <w:b/>
          <w:bCs/>
          <w:i/>
        </w:rPr>
        <w:t>Interplay</w:t>
      </w:r>
      <w:r w:rsidRPr="00EF7471">
        <w:rPr>
          <w:rFonts w:ascii="Cambria" w:hAnsi="Cambria"/>
          <w:b/>
          <w:i/>
        </w:rPr>
        <w:t xml:space="preserve"> </w:t>
      </w:r>
      <w:r w:rsidR="00EF7471">
        <w:rPr>
          <w:rFonts w:ascii="Cambria" w:hAnsi="Cambria"/>
          <w:b/>
          <w:bCs/>
          <w:i/>
        </w:rPr>
        <w:t>Between Formal and Informal I</w:t>
      </w:r>
      <w:r w:rsidRPr="00EF7471">
        <w:rPr>
          <w:rFonts w:ascii="Cambria" w:hAnsi="Cambria"/>
          <w:b/>
          <w:bCs/>
          <w:i/>
        </w:rPr>
        <w:t>nstitutions</w:t>
      </w:r>
    </w:p>
    <w:p w14:paraId="3378F97A" w14:textId="4ECD9174" w:rsidR="008604B2" w:rsidRPr="003D66DD" w:rsidRDefault="00061815" w:rsidP="00061815">
      <w:pPr>
        <w:pStyle w:val="NormalWeb"/>
        <w:spacing w:line="360" w:lineRule="auto"/>
        <w:rPr>
          <w:rFonts w:ascii="Cambria" w:hAnsi="Cambria"/>
        </w:rPr>
      </w:pPr>
      <w:r w:rsidRPr="003D66DD">
        <w:rPr>
          <w:rFonts w:ascii="Cambria" w:hAnsi="Cambria"/>
        </w:rPr>
        <w:t xml:space="preserve">Institutionalist approaches, including FI, confer equal status on formal institutions (such as laws and rules) and informal institutions (such as norms and practices) as factors for explaining political outcomes. </w:t>
      </w:r>
      <w:proofErr w:type="spellStart"/>
      <w:r w:rsidRPr="003D66DD">
        <w:rPr>
          <w:rFonts w:ascii="Cambria" w:hAnsi="Cambria"/>
        </w:rPr>
        <w:t>Helmke</w:t>
      </w:r>
      <w:proofErr w:type="spellEnd"/>
      <w:r w:rsidRPr="003D66DD">
        <w:rPr>
          <w:rFonts w:ascii="Cambria" w:hAnsi="Cambria"/>
        </w:rPr>
        <w:t xml:space="preserve"> and </w:t>
      </w:r>
      <w:proofErr w:type="spellStart"/>
      <w:r w:rsidRPr="003D66DD">
        <w:rPr>
          <w:rFonts w:ascii="Cambria" w:hAnsi="Cambria"/>
        </w:rPr>
        <w:t>Levitsky</w:t>
      </w:r>
      <w:proofErr w:type="spellEnd"/>
      <w:r w:rsidRPr="003D66DD">
        <w:rPr>
          <w:rFonts w:ascii="Cambria" w:hAnsi="Cambria"/>
        </w:rPr>
        <w:t xml:space="preserve"> (2004: 727) define informal institutions as “socially shared rules, usually unwritten, that are created communicated and enforced outside of officially sanctioned channels”, whereas formal institutions are “rules and procedures that are created, communicated and enforced through channels widely accepted as official.”   The informal rules of political life are dif</w:t>
      </w:r>
      <w:r w:rsidR="00EF7471">
        <w:rPr>
          <w:rFonts w:ascii="Cambria" w:hAnsi="Cambria"/>
        </w:rPr>
        <w:t>ficult to research but “</w:t>
      </w:r>
      <w:r w:rsidRPr="003D66DD">
        <w:rPr>
          <w:rFonts w:ascii="Cambria" w:hAnsi="Cambria"/>
        </w:rPr>
        <w:t>can be every bit as importa</w:t>
      </w:r>
      <w:r w:rsidR="00EF7471">
        <w:rPr>
          <w:rFonts w:ascii="Cambria" w:hAnsi="Cambria"/>
        </w:rPr>
        <w:t>nt in shaping actors’ behaviour”</w:t>
      </w:r>
      <w:r w:rsidRPr="003D66DD">
        <w:rPr>
          <w:rFonts w:ascii="Cambria" w:hAnsi="Cambria"/>
        </w:rPr>
        <w:t xml:space="preserve"> as formal laws and policies (Lowndes</w:t>
      </w:r>
      <w:r w:rsidR="00EF7471">
        <w:rPr>
          <w:rFonts w:ascii="Cambria" w:hAnsi="Cambria"/>
        </w:rPr>
        <w:t>,</w:t>
      </w:r>
      <w:r w:rsidRPr="003D66DD">
        <w:rPr>
          <w:rFonts w:ascii="Cambria" w:hAnsi="Cambria"/>
        </w:rPr>
        <w:t xml:space="preserve"> 2018: 61). </w:t>
      </w:r>
    </w:p>
    <w:p w14:paraId="289AF491" w14:textId="0B794EEA" w:rsidR="00061815" w:rsidRPr="003D66DD" w:rsidRDefault="008604B2" w:rsidP="00061815">
      <w:pPr>
        <w:pStyle w:val="NormalWeb"/>
        <w:spacing w:line="360" w:lineRule="auto"/>
        <w:rPr>
          <w:rFonts w:ascii="Cambria" w:hAnsi="Cambria"/>
        </w:rPr>
      </w:pPr>
      <w:r w:rsidRPr="003D66DD">
        <w:rPr>
          <w:rFonts w:ascii="Cambria" w:hAnsi="Cambria"/>
        </w:rPr>
        <w:lastRenderedPageBreak/>
        <w:t>I</w:t>
      </w:r>
      <w:r w:rsidR="00061815" w:rsidRPr="003D66DD">
        <w:rPr>
          <w:rFonts w:ascii="Cambria" w:hAnsi="Cambria"/>
        </w:rPr>
        <w:t xml:space="preserve">nformal gender institutions </w:t>
      </w:r>
      <w:r w:rsidRPr="003D66DD">
        <w:rPr>
          <w:rFonts w:ascii="Cambria" w:hAnsi="Cambria"/>
        </w:rPr>
        <w:t>include</w:t>
      </w:r>
      <w:r w:rsidR="00061815" w:rsidRPr="003D66DD">
        <w:rPr>
          <w:rFonts w:ascii="Cambria" w:hAnsi="Cambria"/>
        </w:rPr>
        <w:t xml:space="preserve"> masculine and feminine norms, and daily gendered practices that maintain hierarchies of status and domination, and reproduce expectations about ‘appropriate’ men’s and women’s capacities, behaviour and roles</w:t>
      </w:r>
      <w:r w:rsidRPr="003D66DD">
        <w:rPr>
          <w:rFonts w:ascii="Cambria" w:hAnsi="Cambria"/>
        </w:rPr>
        <w:t xml:space="preserve">. For FI, these </w:t>
      </w:r>
      <w:r w:rsidR="00061815" w:rsidRPr="003D66DD">
        <w:rPr>
          <w:rFonts w:ascii="Cambria" w:hAnsi="Cambria"/>
        </w:rPr>
        <w:t>are central to shaping political processes and outcomes. Both formal and informal institutions actively construct and reproduce gender relations, hierarchies and ideologies (see, for example, Acker</w:t>
      </w:r>
      <w:r w:rsidR="00EF7471">
        <w:rPr>
          <w:rFonts w:ascii="Cambria" w:hAnsi="Cambria"/>
        </w:rPr>
        <w:t>,</w:t>
      </w:r>
      <w:r w:rsidR="00061815" w:rsidRPr="003D66DD">
        <w:rPr>
          <w:rFonts w:ascii="Cambria" w:hAnsi="Cambria"/>
        </w:rPr>
        <w:t xml:space="preserve"> 1992; </w:t>
      </w:r>
      <w:proofErr w:type="spellStart"/>
      <w:r w:rsidR="00061815" w:rsidRPr="003D66DD">
        <w:rPr>
          <w:rFonts w:ascii="Cambria" w:hAnsi="Cambria"/>
        </w:rPr>
        <w:t>Duerst</w:t>
      </w:r>
      <w:proofErr w:type="spellEnd"/>
      <w:r w:rsidR="00061815" w:rsidRPr="003D66DD">
        <w:rPr>
          <w:rFonts w:ascii="Cambria" w:hAnsi="Cambria"/>
        </w:rPr>
        <w:t>-Lahti and Kelly</w:t>
      </w:r>
      <w:r w:rsidR="00EF7471">
        <w:rPr>
          <w:rFonts w:ascii="Cambria" w:hAnsi="Cambria"/>
        </w:rPr>
        <w:t>,</w:t>
      </w:r>
      <w:r w:rsidR="00061815" w:rsidRPr="003D66DD">
        <w:rPr>
          <w:rFonts w:ascii="Cambria" w:hAnsi="Cambria"/>
        </w:rPr>
        <w:t xml:space="preserve"> 1995, </w:t>
      </w:r>
      <w:proofErr w:type="spellStart"/>
      <w:r w:rsidR="00061815" w:rsidRPr="003D66DD">
        <w:rPr>
          <w:rFonts w:ascii="Cambria" w:hAnsi="Cambria"/>
        </w:rPr>
        <w:t>Duerst</w:t>
      </w:r>
      <w:proofErr w:type="spellEnd"/>
      <w:r w:rsidR="00061815" w:rsidRPr="003D66DD">
        <w:rPr>
          <w:rFonts w:ascii="Cambria" w:hAnsi="Cambria"/>
        </w:rPr>
        <w:t>-Lahti</w:t>
      </w:r>
      <w:r w:rsidR="00EF7471">
        <w:rPr>
          <w:rFonts w:ascii="Cambria" w:hAnsi="Cambria"/>
        </w:rPr>
        <w:t>,</w:t>
      </w:r>
      <w:r w:rsidR="00061815" w:rsidRPr="003D66DD">
        <w:rPr>
          <w:rFonts w:ascii="Cambria" w:hAnsi="Cambria"/>
        </w:rPr>
        <w:t xml:space="preserve"> 2002), and have gendered effects including in terms of who has political capital </w:t>
      </w:r>
      <w:r w:rsidR="005F2E64" w:rsidRPr="003D66DD">
        <w:rPr>
          <w:rFonts w:ascii="Cambria" w:hAnsi="Cambria"/>
        </w:rPr>
        <w:t>in both symbolic and material terms</w:t>
      </w:r>
      <w:r w:rsidR="0065532B" w:rsidRPr="003D66DD">
        <w:rPr>
          <w:rFonts w:ascii="Cambria" w:hAnsi="Cambria"/>
        </w:rPr>
        <w:t xml:space="preserve"> (</w:t>
      </w:r>
      <w:proofErr w:type="spellStart"/>
      <w:r w:rsidR="00061815" w:rsidRPr="003D66DD">
        <w:rPr>
          <w:rFonts w:ascii="Cambria" w:hAnsi="Cambria"/>
        </w:rPr>
        <w:t>Bjarnegard</w:t>
      </w:r>
      <w:proofErr w:type="spellEnd"/>
      <w:r w:rsidR="00EF7471">
        <w:rPr>
          <w:rFonts w:ascii="Cambria" w:hAnsi="Cambria"/>
        </w:rPr>
        <w:t>,</w:t>
      </w:r>
      <w:r w:rsidR="00061815" w:rsidRPr="003D66DD">
        <w:rPr>
          <w:rFonts w:ascii="Cambria" w:hAnsi="Cambria"/>
        </w:rPr>
        <w:t xml:space="preserve"> 2013), </w:t>
      </w:r>
      <w:r w:rsidR="00061815" w:rsidRPr="003D66DD">
        <w:rPr>
          <w:rFonts w:ascii="Cambria" w:hAnsi="Cambria"/>
          <w:i/>
        </w:rPr>
        <w:t>how</w:t>
      </w:r>
      <w:r w:rsidR="00061815" w:rsidRPr="003D66DD">
        <w:rPr>
          <w:rFonts w:ascii="Cambria" w:hAnsi="Cambria"/>
          <w:i/>
          <w:iCs/>
        </w:rPr>
        <w:t xml:space="preserve"> </w:t>
      </w:r>
      <w:r w:rsidR="00061815" w:rsidRPr="003D66DD">
        <w:rPr>
          <w:rFonts w:ascii="Cambria" w:hAnsi="Cambria"/>
        </w:rPr>
        <w:t xml:space="preserve">and </w:t>
      </w:r>
      <w:r w:rsidR="00061815" w:rsidRPr="003D66DD">
        <w:rPr>
          <w:rFonts w:ascii="Cambria" w:hAnsi="Cambria"/>
          <w:i/>
          <w:iCs/>
        </w:rPr>
        <w:t xml:space="preserve">what </w:t>
      </w:r>
      <w:r w:rsidR="00061815" w:rsidRPr="003D66DD">
        <w:rPr>
          <w:rFonts w:ascii="Cambria" w:hAnsi="Cambria"/>
        </w:rPr>
        <w:t>resources are distributed</w:t>
      </w:r>
      <w:r w:rsidR="00B60059">
        <w:rPr>
          <w:rFonts w:ascii="Cambria" w:hAnsi="Cambria"/>
        </w:rPr>
        <w:t>,</w:t>
      </w:r>
      <w:r w:rsidR="00061815" w:rsidRPr="003D66DD">
        <w:rPr>
          <w:rFonts w:ascii="Cambria" w:hAnsi="Cambria"/>
        </w:rPr>
        <w:t xml:space="preserve"> and to </w:t>
      </w:r>
      <w:r w:rsidR="00061815" w:rsidRPr="003D66DD">
        <w:rPr>
          <w:rFonts w:ascii="Cambria" w:hAnsi="Cambria"/>
          <w:i/>
          <w:iCs/>
        </w:rPr>
        <w:t xml:space="preserve">whom </w:t>
      </w:r>
      <w:r w:rsidR="00061815" w:rsidRPr="003D66DD">
        <w:rPr>
          <w:rFonts w:ascii="Cambria" w:hAnsi="Cambria"/>
          <w:iCs/>
        </w:rPr>
        <w:t>and by</w:t>
      </w:r>
      <w:r w:rsidR="00061815" w:rsidRPr="003D66DD">
        <w:rPr>
          <w:rFonts w:ascii="Cambria" w:hAnsi="Cambria"/>
          <w:i/>
          <w:iCs/>
        </w:rPr>
        <w:t xml:space="preserve"> whom</w:t>
      </w:r>
      <w:r w:rsidR="00061815" w:rsidRPr="003D66DD">
        <w:rPr>
          <w:rFonts w:ascii="Cambria" w:hAnsi="Cambria"/>
        </w:rPr>
        <w:t xml:space="preserve"> (Chappell and </w:t>
      </w:r>
      <w:proofErr w:type="spellStart"/>
      <w:r w:rsidR="00061815" w:rsidRPr="003D66DD">
        <w:rPr>
          <w:rFonts w:ascii="Cambria" w:hAnsi="Cambria"/>
        </w:rPr>
        <w:t>Waylen</w:t>
      </w:r>
      <w:proofErr w:type="spellEnd"/>
      <w:r w:rsidR="00EF7471">
        <w:rPr>
          <w:rFonts w:ascii="Cambria" w:hAnsi="Cambria"/>
        </w:rPr>
        <w:t>,</w:t>
      </w:r>
      <w:r w:rsidR="00061815" w:rsidRPr="003D66DD">
        <w:rPr>
          <w:rFonts w:ascii="Cambria" w:hAnsi="Cambria"/>
        </w:rPr>
        <w:t xml:space="preserve"> 2013).</w:t>
      </w:r>
    </w:p>
    <w:p w14:paraId="5BA53990" w14:textId="04DF28BD" w:rsidR="00061815" w:rsidRPr="003D66DD" w:rsidRDefault="00061815" w:rsidP="00061815">
      <w:pPr>
        <w:pStyle w:val="NormalWeb"/>
        <w:spacing w:line="360" w:lineRule="auto"/>
        <w:rPr>
          <w:rFonts w:ascii="Cambria" w:hAnsi="Cambria"/>
        </w:rPr>
      </w:pPr>
      <w:r w:rsidRPr="003D66DD">
        <w:rPr>
          <w:rFonts w:ascii="Cambria" w:hAnsi="Cambria"/>
        </w:rPr>
        <w:t xml:space="preserve">Informal </w:t>
      </w:r>
      <w:r w:rsidR="00AB5EFE" w:rsidRPr="003D66DD">
        <w:rPr>
          <w:rFonts w:ascii="Cambria" w:hAnsi="Cambria"/>
        </w:rPr>
        <w:t xml:space="preserve">political </w:t>
      </w:r>
      <w:r w:rsidRPr="003D66DD">
        <w:rPr>
          <w:rFonts w:ascii="Cambria" w:hAnsi="Cambria"/>
        </w:rPr>
        <w:t xml:space="preserve">institutions (including patronage, paternalism, </w:t>
      </w:r>
      <w:proofErr w:type="spellStart"/>
      <w:r w:rsidRPr="003D66DD">
        <w:rPr>
          <w:rFonts w:ascii="Cambria" w:hAnsi="Cambria"/>
        </w:rPr>
        <w:t>clientelism</w:t>
      </w:r>
      <w:proofErr w:type="spellEnd"/>
      <w:r w:rsidRPr="003D66DD">
        <w:rPr>
          <w:rFonts w:ascii="Cambria" w:hAnsi="Cambria"/>
        </w:rPr>
        <w:t xml:space="preserve">, </w:t>
      </w:r>
      <w:r w:rsidR="005C5081" w:rsidRPr="003D66DD">
        <w:rPr>
          <w:rFonts w:ascii="Cambria" w:hAnsi="Cambria"/>
        </w:rPr>
        <w:t xml:space="preserve">standard operating procedures, </w:t>
      </w:r>
      <w:r w:rsidRPr="003D66DD">
        <w:rPr>
          <w:rFonts w:ascii="Cambria" w:hAnsi="Cambria"/>
        </w:rPr>
        <w:t xml:space="preserve">unwritten conventions </w:t>
      </w:r>
      <w:r w:rsidR="005C5081" w:rsidRPr="003D66DD">
        <w:rPr>
          <w:rFonts w:ascii="Cambria" w:hAnsi="Cambria"/>
        </w:rPr>
        <w:t>and so on</w:t>
      </w:r>
      <w:r w:rsidRPr="003D66DD">
        <w:rPr>
          <w:rFonts w:ascii="Cambria" w:hAnsi="Cambria"/>
        </w:rPr>
        <w:t xml:space="preserve">) can work in </w:t>
      </w:r>
      <w:r w:rsidR="00AB5EFE" w:rsidRPr="003D66DD">
        <w:rPr>
          <w:rFonts w:ascii="Cambria" w:hAnsi="Cambria"/>
        </w:rPr>
        <w:t>several</w:t>
      </w:r>
      <w:r w:rsidRPr="003D66DD">
        <w:rPr>
          <w:rFonts w:ascii="Cambria" w:hAnsi="Cambria"/>
        </w:rPr>
        <w:t xml:space="preserve"> different ways. They may arise (or survive) to reinforce formal institutions (for example through completing or coordinating between different institutions) or to compete with or subvert </w:t>
      </w:r>
      <w:r w:rsidR="00EF7471">
        <w:rPr>
          <w:rFonts w:ascii="Cambria" w:hAnsi="Cambria"/>
        </w:rPr>
        <w:t xml:space="preserve">them </w:t>
      </w:r>
      <w:r w:rsidRPr="003D66DD">
        <w:rPr>
          <w:rFonts w:ascii="Cambria" w:hAnsi="Cambria"/>
        </w:rPr>
        <w:t xml:space="preserve">(for example through distorting, undermining, </w:t>
      </w:r>
      <w:r w:rsidR="002917FD">
        <w:rPr>
          <w:rFonts w:ascii="Cambria" w:hAnsi="Cambria"/>
        </w:rPr>
        <w:t>or</w:t>
      </w:r>
      <w:r w:rsidR="00B60059">
        <w:rPr>
          <w:rFonts w:ascii="Cambria" w:hAnsi="Cambria"/>
        </w:rPr>
        <w:t xml:space="preserve"> </w:t>
      </w:r>
      <w:r w:rsidRPr="003D66DD">
        <w:rPr>
          <w:rFonts w:ascii="Cambria" w:hAnsi="Cambria"/>
        </w:rPr>
        <w:t>even trumping</w:t>
      </w:r>
      <w:r w:rsidR="00B60059">
        <w:rPr>
          <w:rFonts w:ascii="Cambria" w:hAnsi="Cambria"/>
        </w:rPr>
        <w:t>,</w:t>
      </w:r>
      <w:r w:rsidRPr="003D66DD">
        <w:rPr>
          <w:rFonts w:ascii="Cambria" w:hAnsi="Cambria"/>
        </w:rPr>
        <w:t xml:space="preserve"> the formal rules), or something in</w:t>
      </w:r>
      <w:r w:rsidR="00AB5EFE" w:rsidRPr="003D66DD">
        <w:rPr>
          <w:rFonts w:ascii="Cambria" w:hAnsi="Cambria"/>
        </w:rPr>
        <w:t xml:space="preserve"> </w:t>
      </w:r>
      <w:r w:rsidRPr="003D66DD">
        <w:rPr>
          <w:rFonts w:ascii="Cambria" w:hAnsi="Cambria"/>
        </w:rPr>
        <w:t>between (</w:t>
      </w:r>
      <w:proofErr w:type="spellStart"/>
      <w:r w:rsidRPr="003D66DD">
        <w:rPr>
          <w:rFonts w:ascii="Cambria" w:hAnsi="Cambria"/>
        </w:rPr>
        <w:t>Levitsky</w:t>
      </w:r>
      <w:proofErr w:type="spellEnd"/>
      <w:r w:rsidRPr="003D66DD">
        <w:rPr>
          <w:rFonts w:ascii="Cambria" w:hAnsi="Cambria"/>
        </w:rPr>
        <w:t xml:space="preserve"> and Slater</w:t>
      </w:r>
      <w:r w:rsidR="00EF7471">
        <w:rPr>
          <w:rFonts w:ascii="Cambria" w:hAnsi="Cambria"/>
        </w:rPr>
        <w:t>,</w:t>
      </w:r>
      <w:r w:rsidRPr="003D66DD">
        <w:rPr>
          <w:rFonts w:ascii="Cambria" w:hAnsi="Cambria"/>
        </w:rPr>
        <w:t xml:space="preserve"> 2011; Chappell and </w:t>
      </w:r>
      <w:proofErr w:type="spellStart"/>
      <w:r w:rsidRPr="003D66DD">
        <w:rPr>
          <w:rFonts w:ascii="Cambria" w:hAnsi="Cambria"/>
        </w:rPr>
        <w:t>Waylen</w:t>
      </w:r>
      <w:proofErr w:type="spellEnd"/>
      <w:r w:rsidR="00EF7471">
        <w:rPr>
          <w:rFonts w:ascii="Cambria" w:hAnsi="Cambria"/>
        </w:rPr>
        <w:t>, 2013;</w:t>
      </w:r>
      <w:r w:rsidRPr="003D66DD">
        <w:rPr>
          <w:rFonts w:ascii="Cambria" w:hAnsi="Cambria"/>
        </w:rPr>
        <w:t xml:space="preserve"> </w:t>
      </w:r>
      <w:proofErr w:type="spellStart"/>
      <w:r w:rsidRPr="003D66DD">
        <w:rPr>
          <w:rFonts w:ascii="Cambria" w:hAnsi="Cambria"/>
        </w:rPr>
        <w:t>Waylen</w:t>
      </w:r>
      <w:proofErr w:type="spellEnd"/>
      <w:r w:rsidR="00EF7471">
        <w:rPr>
          <w:rFonts w:ascii="Cambria" w:hAnsi="Cambria"/>
        </w:rPr>
        <w:t>,</w:t>
      </w:r>
      <w:r w:rsidRPr="003D66DD">
        <w:rPr>
          <w:rFonts w:ascii="Cambria" w:hAnsi="Cambria"/>
        </w:rPr>
        <w:t xml:space="preserve"> 2014). They may sometimes only be observed in their breach (Azari and Smith</w:t>
      </w:r>
      <w:r w:rsidR="00EF7471">
        <w:rPr>
          <w:rFonts w:ascii="Cambria" w:hAnsi="Cambria"/>
        </w:rPr>
        <w:t>,</w:t>
      </w:r>
      <w:r w:rsidRPr="003D66DD">
        <w:rPr>
          <w:rFonts w:ascii="Cambria" w:hAnsi="Cambria"/>
        </w:rPr>
        <w:t xml:space="preserve"> 2012). Enforce</w:t>
      </w:r>
      <w:r w:rsidR="00EF7471">
        <w:rPr>
          <w:rFonts w:ascii="Cambria" w:hAnsi="Cambria"/>
        </w:rPr>
        <w:t xml:space="preserve">ment is a central element of institutions - </w:t>
      </w:r>
      <w:r w:rsidRPr="003D66DD">
        <w:rPr>
          <w:rFonts w:ascii="Cambria" w:hAnsi="Cambria"/>
        </w:rPr>
        <w:t>whether formal or informal</w:t>
      </w:r>
      <w:r w:rsidR="00EF7471">
        <w:rPr>
          <w:rFonts w:ascii="Cambria" w:hAnsi="Cambria"/>
        </w:rPr>
        <w:t xml:space="preserve"> - with the use of both positive and</w:t>
      </w:r>
      <w:r w:rsidRPr="003D66DD">
        <w:rPr>
          <w:rFonts w:ascii="Cambria" w:hAnsi="Cambria"/>
        </w:rPr>
        <w:t xml:space="preserve"> negative sanctions in their functioning (Azari and Smith</w:t>
      </w:r>
      <w:r w:rsidR="00EF7471">
        <w:rPr>
          <w:rFonts w:ascii="Cambria" w:hAnsi="Cambria"/>
        </w:rPr>
        <w:t>, 2012;</w:t>
      </w:r>
      <w:r w:rsidRPr="003D66DD">
        <w:rPr>
          <w:rFonts w:ascii="Cambria" w:hAnsi="Cambria"/>
        </w:rPr>
        <w:t xml:space="preserve"> </w:t>
      </w:r>
      <w:r w:rsidR="005F2E64" w:rsidRPr="003D66DD">
        <w:rPr>
          <w:rFonts w:ascii="Cambria" w:hAnsi="Cambria"/>
        </w:rPr>
        <w:t xml:space="preserve">Chappell and </w:t>
      </w:r>
      <w:proofErr w:type="spellStart"/>
      <w:r w:rsidR="005F2E64" w:rsidRPr="003D66DD">
        <w:rPr>
          <w:rFonts w:ascii="Cambria" w:hAnsi="Cambria"/>
        </w:rPr>
        <w:t>Galea</w:t>
      </w:r>
      <w:proofErr w:type="spellEnd"/>
      <w:r w:rsidR="00EF7471">
        <w:rPr>
          <w:rFonts w:ascii="Cambria" w:hAnsi="Cambria"/>
        </w:rPr>
        <w:t>,</w:t>
      </w:r>
      <w:r w:rsidR="005F2E64" w:rsidRPr="003D66DD">
        <w:rPr>
          <w:rFonts w:ascii="Cambria" w:hAnsi="Cambria"/>
        </w:rPr>
        <w:t xml:space="preserve"> 2017</w:t>
      </w:r>
      <w:r w:rsidR="00EF7471">
        <w:rPr>
          <w:rFonts w:ascii="Cambria" w:hAnsi="Cambria"/>
        </w:rPr>
        <w:t xml:space="preserve">; </w:t>
      </w:r>
      <w:proofErr w:type="spellStart"/>
      <w:r w:rsidR="00EF7471" w:rsidRPr="003D66DD">
        <w:rPr>
          <w:rFonts w:ascii="Cambria" w:hAnsi="Cambria"/>
        </w:rPr>
        <w:t>Waylen</w:t>
      </w:r>
      <w:proofErr w:type="spellEnd"/>
      <w:r w:rsidR="00EF7471">
        <w:rPr>
          <w:rFonts w:ascii="Cambria" w:hAnsi="Cambria"/>
        </w:rPr>
        <w:t>,</w:t>
      </w:r>
      <w:r w:rsidR="00EF7471" w:rsidRPr="003D66DD">
        <w:rPr>
          <w:rFonts w:ascii="Cambria" w:hAnsi="Cambria"/>
        </w:rPr>
        <w:t xml:space="preserve"> 2014</w:t>
      </w:r>
      <w:r w:rsidR="00EF7471">
        <w:rPr>
          <w:rFonts w:ascii="Cambria" w:hAnsi="Cambria"/>
        </w:rPr>
        <w:t>)</w:t>
      </w:r>
      <w:r w:rsidR="005F2E64" w:rsidRPr="003D66DD">
        <w:rPr>
          <w:rFonts w:ascii="Cambria" w:hAnsi="Cambria"/>
        </w:rPr>
        <w:t>.</w:t>
      </w:r>
      <w:r w:rsidRPr="003D66DD">
        <w:rPr>
          <w:rFonts w:ascii="Cambria" w:hAnsi="Cambria"/>
        </w:rPr>
        <w:t xml:space="preserve"> In contrast to official sanction</w:t>
      </w:r>
      <w:r w:rsidR="00EF7471">
        <w:rPr>
          <w:rFonts w:ascii="Cambria" w:hAnsi="Cambria"/>
        </w:rPr>
        <w:t>s</w:t>
      </w:r>
      <w:r w:rsidRPr="003D66DD">
        <w:rPr>
          <w:rFonts w:ascii="Cambria" w:hAnsi="Cambria"/>
        </w:rPr>
        <w:t xml:space="preserve"> and legal punishments, the enforcement of informal institutions more often takes the form of informal mechanisms such as shunning</w:t>
      </w:r>
      <w:r w:rsidR="005F2E64" w:rsidRPr="003D66DD">
        <w:rPr>
          <w:rFonts w:ascii="Cambria" w:hAnsi="Cambria"/>
        </w:rPr>
        <w:t xml:space="preserve">, social and peer pressure, marginalisation and </w:t>
      </w:r>
      <w:proofErr w:type="spellStart"/>
      <w:r w:rsidR="005F2E64" w:rsidRPr="003D66DD">
        <w:rPr>
          <w:rFonts w:ascii="Cambria" w:hAnsi="Cambria"/>
        </w:rPr>
        <w:t>stigmitisation</w:t>
      </w:r>
      <w:proofErr w:type="spellEnd"/>
      <w:r w:rsidRPr="003D66DD">
        <w:rPr>
          <w:rFonts w:ascii="Cambria" w:hAnsi="Cambria"/>
        </w:rPr>
        <w:t xml:space="preserve">, </w:t>
      </w:r>
      <w:r w:rsidR="005F2E64" w:rsidRPr="003D66DD">
        <w:rPr>
          <w:rFonts w:ascii="Cambria" w:hAnsi="Cambria"/>
        </w:rPr>
        <w:t>intimidation</w:t>
      </w:r>
      <w:r w:rsidRPr="003D66DD">
        <w:rPr>
          <w:rFonts w:ascii="Cambria" w:hAnsi="Cambria"/>
        </w:rPr>
        <w:t xml:space="preserve"> and violence. </w:t>
      </w:r>
    </w:p>
    <w:p w14:paraId="0B9D2AFD" w14:textId="68826FD7" w:rsidR="00061815" w:rsidRPr="003D66DD" w:rsidRDefault="00061815" w:rsidP="00061815">
      <w:pPr>
        <w:spacing w:line="360" w:lineRule="auto"/>
        <w:rPr>
          <w:rFonts w:ascii="Cambria" w:hAnsi="Cambria"/>
        </w:rPr>
      </w:pPr>
      <w:r w:rsidRPr="003D66DD">
        <w:rPr>
          <w:rFonts w:ascii="Cambria" w:hAnsi="Cambria"/>
        </w:rPr>
        <w:t xml:space="preserve">Informal institutions can, therefore, hinder </w:t>
      </w:r>
      <w:r w:rsidR="005C5081" w:rsidRPr="003D66DD">
        <w:rPr>
          <w:rFonts w:ascii="Cambria" w:hAnsi="Cambria"/>
        </w:rPr>
        <w:t>or</w:t>
      </w:r>
      <w:r w:rsidRPr="003D66DD">
        <w:rPr>
          <w:rFonts w:ascii="Cambria" w:hAnsi="Cambria"/>
        </w:rPr>
        <w:t xml:space="preserve"> enhance the implementation of formal rule changes.</w:t>
      </w:r>
      <w:r w:rsidR="000E224F" w:rsidRPr="003D66DD">
        <w:rPr>
          <w:rFonts w:ascii="Cambria" w:hAnsi="Cambria"/>
        </w:rPr>
        <w:t xml:space="preserve"> </w:t>
      </w:r>
      <w:r w:rsidRPr="003D66DD">
        <w:rPr>
          <w:rFonts w:ascii="Cambria" w:hAnsi="Cambria"/>
        </w:rPr>
        <w:t xml:space="preserve">Whilst the weight of empirical evidence suggests that informal institutions </w:t>
      </w:r>
      <w:r w:rsidR="005C5081" w:rsidRPr="003D66DD">
        <w:rPr>
          <w:rFonts w:ascii="Cambria" w:hAnsi="Cambria"/>
        </w:rPr>
        <w:t xml:space="preserve">tend to </w:t>
      </w:r>
      <w:r w:rsidRPr="003D66DD">
        <w:rPr>
          <w:rFonts w:ascii="Cambria" w:hAnsi="Cambria"/>
        </w:rPr>
        <w:t xml:space="preserve">work to dilute or subvert reform, especially reforms that challenge the gendered status quo, it is important </w:t>
      </w:r>
      <w:r w:rsidR="005F2E64" w:rsidRPr="003D66DD">
        <w:rPr>
          <w:rFonts w:ascii="Cambria" w:hAnsi="Cambria"/>
        </w:rPr>
        <w:t>to retain a dynamic conception of interaction effects. Informal institutions are not static or merely</w:t>
      </w:r>
      <w:r w:rsidRPr="003D66DD">
        <w:rPr>
          <w:rFonts w:ascii="Cambria" w:hAnsi="Cambria"/>
        </w:rPr>
        <w:t xml:space="preserve"> a ‘hangover’ from the past</w:t>
      </w:r>
      <w:r w:rsidR="007E0B38">
        <w:rPr>
          <w:rFonts w:ascii="Cambria" w:hAnsi="Cambria"/>
        </w:rPr>
        <w:t>;</w:t>
      </w:r>
      <w:r w:rsidR="005F2E64" w:rsidRPr="003D66DD">
        <w:rPr>
          <w:rFonts w:ascii="Cambria" w:hAnsi="Cambria"/>
        </w:rPr>
        <w:t xml:space="preserve"> theoretically they may prefigure formal change; they may arise to </w:t>
      </w:r>
      <w:r w:rsidRPr="003D66DD">
        <w:rPr>
          <w:rFonts w:ascii="Cambria" w:hAnsi="Cambria"/>
        </w:rPr>
        <w:t xml:space="preserve">support formal rule changes, as well as the possibility that new rules may </w:t>
      </w:r>
      <w:r w:rsidR="005F2E64" w:rsidRPr="003D66DD">
        <w:rPr>
          <w:rFonts w:ascii="Cambria" w:hAnsi="Cambria"/>
        </w:rPr>
        <w:t>shape and modify</w:t>
      </w:r>
      <w:r w:rsidRPr="003D66DD">
        <w:rPr>
          <w:rFonts w:ascii="Cambria" w:hAnsi="Cambria"/>
        </w:rPr>
        <w:t xml:space="preserve"> informal institutions (</w:t>
      </w:r>
      <w:r w:rsidR="005C5081" w:rsidRPr="003D66DD">
        <w:rPr>
          <w:rFonts w:ascii="Cambria" w:hAnsi="Cambria"/>
        </w:rPr>
        <w:t>Beyer</w:t>
      </w:r>
      <w:r w:rsidR="00611DBE">
        <w:rPr>
          <w:rFonts w:ascii="Cambria" w:hAnsi="Cambria"/>
        </w:rPr>
        <w:t xml:space="preserve"> and Annesley</w:t>
      </w:r>
      <w:r w:rsidR="007E0B38">
        <w:rPr>
          <w:rFonts w:ascii="Cambria" w:hAnsi="Cambria"/>
        </w:rPr>
        <w:t>, 2011;</w:t>
      </w:r>
      <w:r w:rsidR="005C5081" w:rsidRPr="003D66DD">
        <w:rPr>
          <w:rFonts w:ascii="Cambria" w:hAnsi="Cambria"/>
        </w:rPr>
        <w:t xml:space="preserve"> </w:t>
      </w:r>
      <w:r w:rsidRPr="003D66DD">
        <w:rPr>
          <w:rFonts w:ascii="Cambria" w:hAnsi="Cambria"/>
        </w:rPr>
        <w:t xml:space="preserve">Chappell and </w:t>
      </w:r>
      <w:proofErr w:type="spellStart"/>
      <w:r w:rsidRPr="003D66DD">
        <w:rPr>
          <w:rFonts w:ascii="Cambria" w:hAnsi="Cambria"/>
        </w:rPr>
        <w:t>Waylen</w:t>
      </w:r>
      <w:proofErr w:type="spellEnd"/>
      <w:r w:rsidR="007E0B38">
        <w:rPr>
          <w:rFonts w:ascii="Cambria" w:hAnsi="Cambria"/>
        </w:rPr>
        <w:t>, 2013;</w:t>
      </w:r>
      <w:r w:rsidRPr="003D66DD">
        <w:rPr>
          <w:rFonts w:ascii="Cambria" w:hAnsi="Cambria"/>
        </w:rPr>
        <w:t xml:space="preserve"> </w:t>
      </w:r>
      <w:proofErr w:type="spellStart"/>
      <w:r w:rsidRPr="003D66DD">
        <w:rPr>
          <w:rFonts w:ascii="Cambria" w:hAnsi="Cambria"/>
        </w:rPr>
        <w:t>Waylen</w:t>
      </w:r>
      <w:proofErr w:type="spellEnd"/>
      <w:r w:rsidR="007E0B38">
        <w:rPr>
          <w:rFonts w:ascii="Cambria" w:hAnsi="Cambria"/>
        </w:rPr>
        <w:t xml:space="preserve">, 2014, </w:t>
      </w:r>
      <w:r w:rsidRPr="003D66DD">
        <w:rPr>
          <w:rFonts w:ascii="Cambria" w:hAnsi="Cambria"/>
        </w:rPr>
        <w:t>2017).</w:t>
      </w:r>
    </w:p>
    <w:p w14:paraId="2786D918" w14:textId="77777777" w:rsidR="00061815" w:rsidRPr="003D66DD" w:rsidRDefault="00061815" w:rsidP="00061815">
      <w:pPr>
        <w:spacing w:line="360" w:lineRule="auto"/>
        <w:rPr>
          <w:rFonts w:ascii="Cambria" w:hAnsi="Cambria"/>
        </w:rPr>
      </w:pPr>
    </w:p>
    <w:p w14:paraId="7B43357F" w14:textId="45B5BCF5" w:rsidR="00061815" w:rsidRPr="007E0B38" w:rsidRDefault="007E0B38" w:rsidP="004228D5">
      <w:pPr>
        <w:spacing w:line="360" w:lineRule="auto"/>
        <w:outlineLvl w:val="0"/>
        <w:rPr>
          <w:rFonts w:ascii="Cambria" w:hAnsi="Cambria"/>
          <w:b/>
          <w:bCs/>
          <w:i/>
        </w:rPr>
      </w:pPr>
      <w:r>
        <w:rPr>
          <w:rFonts w:ascii="Cambria" w:hAnsi="Cambria"/>
          <w:b/>
          <w:bCs/>
          <w:i/>
        </w:rPr>
        <w:lastRenderedPageBreak/>
        <w:t>Gendered Logic of A</w:t>
      </w:r>
      <w:r w:rsidR="00061815" w:rsidRPr="007E0B38">
        <w:rPr>
          <w:rFonts w:ascii="Cambria" w:hAnsi="Cambria"/>
          <w:b/>
          <w:bCs/>
          <w:i/>
        </w:rPr>
        <w:t xml:space="preserve">ppropriateness </w:t>
      </w:r>
    </w:p>
    <w:p w14:paraId="4E2A0CEB" w14:textId="77777777" w:rsidR="005F2E64" w:rsidRPr="003D66DD" w:rsidRDefault="005F2E64" w:rsidP="004228D5">
      <w:pPr>
        <w:spacing w:line="360" w:lineRule="auto"/>
        <w:outlineLvl w:val="0"/>
        <w:rPr>
          <w:rFonts w:ascii="Cambria" w:hAnsi="Cambria"/>
          <w:bCs/>
          <w:i/>
        </w:rPr>
      </w:pPr>
    </w:p>
    <w:p w14:paraId="27E39F94" w14:textId="701729D7" w:rsidR="00061815" w:rsidRPr="003D66DD" w:rsidRDefault="00061815" w:rsidP="00061815">
      <w:pPr>
        <w:pStyle w:val="p1"/>
        <w:spacing w:line="360" w:lineRule="auto"/>
        <w:rPr>
          <w:rFonts w:ascii="Cambria" w:hAnsi="Cambria"/>
          <w:sz w:val="24"/>
          <w:szCs w:val="24"/>
        </w:rPr>
      </w:pPr>
      <w:r w:rsidRPr="003D66DD">
        <w:rPr>
          <w:rFonts w:ascii="Cambria" w:hAnsi="Cambria"/>
          <w:color w:val="292526"/>
          <w:sz w:val="24"/>
          <w:szCs w:val="24"/>
        </w:rPr>
        <w:t xml:space="preserve">The dynamic inter relationship between formal and informal can also be understood through the concept of </w:t>
      </w:r>
      <w:r w:rsidRPr="003D66DD">
        <w:rPr>
          <w:rFonts w:ascii="Cambria" w:hAnsi="Cambria"/>
          <w:i/>
          <w:color w:val="292526"/>
          <w:sz w:val="24"/>
          <w:szCs w:val="24"/>
        </w:rPr>
        <w:t>institutional logics</w:t>
      </w:r>
      <w:r w:rsidRPr="003D66DD">
        <w:rPr>
          <w:rFonts w:ascii="Cambria" w:hAnsi="Cambria"/>
          <w:color w:val="292526"/>
          <w:sz w:val="24"/>
          <w:szCs w:val="24"/>
        </w:rPr>
        <w:t>. Institutional logics provide the organi</w:t>
      </w:r>
      <w:r w:rsidR="00EF7471">
        <w:rPr>
          <w:rFonts w:ascii="Cambria" w:hAnsi="Cambria"/>
          <w:color w:val="292526"/>
          <w:sz w:val="24"/>
          <w:szCs w:val="24"/>
        </w:rPr>
        <w:t>s</w:t>
      </w:r>
      <w:r w:rsidRPr="003D66DD">
        <w:rPr>
          <w:rFonts w:ascii="Cambria" w:hAnsi="Cambria"/>
          <w:color w:val="292526"/>
          <w:sz w:val="24"/>
          <w:szCs w:val="24"/>
        </w:rPr>
        <w:t xml:space="preserve">ing principles, </w:t>
      </w:r>
      <w:r w:rsidR="009B2411" w:rsidRPr="003D66DD">
        <w:rPr>
          <w:rFonts w:ascii="Cambria" w:hAnsi="Cambria"/>
          <w:color w:val="292526"/>
          <w:sz w:val="24"/>
          <w:szCs w:val="24"/>
        </w:rPr>
        <w:t>lexicon</w:t>
      </w:r>
      <w:r w:rsidRPr="003D66DD">
        <w:rPr>
          <w:rFonts w:ascii="Cambria" w:hAnsi="Cambria"/>
          <w:color w:val="292526"/>
          <w:sz w:val="24"/>
          <w:szCs w:val="24"/>
        </w:rPr>
        <w:t xml:space="preserve"> of motivation and action, and the overall framework </w:t>
      </w:r>
      <w:r w:rsidR="009B2411" w:rsidRPr="003D66DD">
        <w:rPr>
          <w:rFonts w:ascii="Cambria" w:hAnsi="Cambria"/>
          <w:color w:val="292526"/>
          <w:sz w:val="24"/>
          <w:szCs w:val="24"/>
        </w:rPr>
        <w:t>for</w:t>
      </w:r>
      <w:r w:rsidRPr="003D66DD">
        <w:rPr>
          <w:rFonts w:ascii="Cambria" w:hAnsi="Cambria"/>
          <w:color w:val="292526"/>
          <w:sz w:val="24"/>
          <w:szCs w:val="24"/>
        </w:rPr>
        <w:t xml:space="preserve"> sense-making in a </w:t>
      </w:r>
      <w:r w:rsidR="00AB5EFE" w:rsidRPr="003D66DD">
        <w:rPr>
          <w:rFonts w:ascii="Cambria" w:hAnsi="Cambria"/>
          <w:color w:val="292526"/>
          <w:sz w:val="24"/>
          <w:szCs w:val="24"/>
        </w:rPr>
        <w:t>specific</w:t>
      </w:r>
      <w:r w:rsidRPr="003D66DD">
        <w:rPr>
          <w:rFonts w:ascii="Cambria" w:hAnsi="Cambria"/>
          <w:color w:val="292526"/>
          <w:sz w:val="24"/>
          <w:szCs w:val="24"/>
        </w:rPr>
        <w:t xml:space="preserve"> institutional arena. </w:t>
      </w:r>
      <w:r w:rsidRPr="003D66DD">
        <w:rPr>
          <w:rFonts w:ascii="Cambria" w:hAnsi="Cambria"/>
          <w:sz w:val="24"/>
          <w:szCs w:val="24"/>
        </w:rPr>
        <w:t>A combination of formal and informal institutional rules, norms, and practices o</w:t>
      </w:r>
      <w:r w:rsidR="00612298">
        <w:rPr>
          <w:rFonts w:ascii="Cambria" w:hAnsi="Cambria"/>
          <w:sz w:val="24"/>
          <w:szCs w:val="24"/>
        </w:rPr>
        <w:t>perate to create a specific “</w:t>
      </w:r>
      <w:r w:rsidRPr="003D66DD">
        <w:rPr>
          <w:rFonts w:ascii="Cambria" w:hAnsi="Cambria"/>
          <w:sz w:val="24"/>
          <w:szCs w:val="24"/>
        </w:rPr>
        <w:t>ge</w:t>
      </w:r>
      <w:r w:rsidR="00EE0C0D" w:rsidRPr="003D66DD">
        <w:rPr>
          <w:rFonts w:ascii="Cambria" w:hAnsi="Cambria"/>
          <w:sz w:val="24"/>
          <w:szCs w:val="24"/>
        </w:rPr>
        <w:t xml:space="preserve">ndered logic of </w:t>
      </w:r>
      <w:r w:rsidR="00612298">
        <w:rPr>
          <w:rFonts w:ascii="Cambria" w:hAnsi="Cambria"/>
          <w:sz w:val="24"/>
          <w:szCs w:val="24"/>
        </w:rPr>
        <w:t>appropriateness”</w:t>
      </w:r>
      <w:r w:rsidRPr="003D66DD">
        <w:rPr>
          <w:rFonts w:ascii="Cambria" w:hAnsi="Cambria"/>
          <w:sz w:val="24"/>
          <w:szCs w:val="24"/>
        </w:rPr>
        <w:t xml:space="preserve"> (see Chappell</w:t>
      </w:r>
      <w:r w:rsidR="007E0B38">
        <w:rPr>
          <w:rFonts w:ascii="Cambria" w:hAnsi="Cambria"/>
          <w:sz w:val="24"/>
          <w:szCs w:val="24"/>
        </w:rPr>
        <w:t>,</w:t>
      </w:r>
      <w:r w:rsidRPr="003D66DD">
        <w:rPr>
          <w:rFonts w:ascii="Cambria" w:hAnsi="Cambria"/>
          <w:sz w:val="24"/>
          <w:szCs w:val="24"/>
        </w:rPr>
        <w:t xml:space="preserve"> 2006).  For example, work on bureaucracies shows the norm of bureaucratic neutrality is </w:t>
      </w:r>
      <w:r w:rsidR="006E6DD7">
        <w:rPr>
          <w:rFonts w:ascii="Cambria" w:hAnsi="Cambria"/>
          <w:sz w:val="24"/>
          <w:szCs w:val="24"/>
        </w:rPr>
        <w:t>deeply</w:t>
      </w:r>
      <w:r w:rsidRPr="003D66DD">
        <w:rPr>
          <w:rFonts w:ascii="Cambria" w:hAnsi="Cambria"/>
          <w:sz w:val="24"/>
          <w:szCs w:val="24"/>
        </w:rPr>
        <w:t xml:space="preserve"> gendered, in terms of its cultural association with specific forms of masculinity, which disadvantages women – and men – who do not live up to the dominant norm. It is also the case that the more the norm of ‘neutrality’ is embedded in institutional logics, the harder it is for reformers to advance what will be perceived as ‘biased’ – </w:t>
      </w:r>
      <w:r w:rsidR="007E0B38">
        <w:rPr>
          <w:rFonts w:ascii="Cambria" w:hAnsi="Cambria"/>
          <w:sz w:val="24"/>
          <w:szCs w:val="24"/>
        </w:rPr>
        <w:t>and therefore ‘inappropriate’ –</w:t>
      </w:r>
      <w:r w:rsidRPr="003D66DD">
        <w:rPr>
          <w:rFonts w:ascii="Cambria" w:hAnsi="Cambria"/>
          <w:sz w:val="24"/>
          <w:szCs w:val="24"/>
        </w:rPr>
        <w:t xml:space="preserve"> claims</w:t>
      </w:r>
      <w:r w:rsidR="007E0B38">
        <w:rPr>
          <w:rFonts w:ascii="Cambria" w:hAnsi="Cambria"/>
          <w:sz w:val="24"/>
          <w:szCs w:val="24"/>
        </w:rPr>
        <w:t xml:space="preserve"> </w:t>
      </w:r>
      <w:r w:rsidRPr="003D66DD">
        <w:rPr>
          <w:rFonts w:ascii="Cambria" w:hAnsi="Cambria"/>
          <w:sz w:val="24"/>
          <w:szCs w:val="24"/>
        </w:rPr>
        <w:t>of gender equality (Chappell</w:t>
      </w:r>
      <w:r w:rsidR="007E0B38">
        <w:rPr>
          <w:rFonts w:ascii="Cambria" w:hAnsi="Cambria"/>
          <w:sz w:val="24"/>
          <w:szCs w:val="24"/>
        </w:rPr>
        <w:t>,</w:t>
      </w:r>
      <w:r w:rsidRPr="003D66DD">
        <w:rPr>
          <w:rFonts w:ascii="Cambria" w:hAnsi="Cambria"/>
          <w:sz w:val="24"/>
          <w:szCs w:val="24"/>
        </w:rPr>
        <w:t xml:space="preserve"> 2002, 2006</w:t>
      </w:r>
      <w:r w:rsidR="001D743F">
        <w:rPr>
          <w:rFonts w:ascii="Cambria" w:hAnsi="Cambria"/>
          <w:sz w:val="24"/>
          <w:szCs w:val="24"/>
        </w:rPr>
        <w:t>)</w:t>
      </w:r>
      <w:r w:rsidRPr="003D66DD">
        <w:rPr>
          <w:rFonts w:ascii="Cambria" w:hAnsi="Cambria"/>
          <w:sz w:val="24"/>
          <w:szCs w:val="24"/>
        </w:rPr>
        <w:t>.</w:t>
      </w:r>
    </w:p>
    <w:p w14:paraId="626DB865" w14:textId="77777777" w:rsidR="00061815" w:rsidRPr="003D66DD" w:rsidRDefault="00061815" w:rsidP="00061815">
      <w:pPr>
        <w:pStyle w:val="p1"/>
        <w:spacing w:line="360" w:lineRule="auto"/>
        <w:rPr>
          <w:rFonts w:ascii="Cambria" w:hAnsi="Cambria"/>
          <w:sz w:val="24"/>
          <w:szCs w:val="24"/>
        </w:rPr>
      </w:pPr>
    </w:p>
    <w:p w14:paraId="2647ED69" w14:textId="5E7B5AEC" w:rsidR="00061815" w:rsidRPr="003D66DD" w:rsidRDefault="00061815" w:rsidP="00061815">
      <w:pPr>
        <w:pStyle w:val="p1"/>
        <w:spacing w:line="360" w:lineRule="auto"/>
        <w:rPr>
          <w:rFonts w:ascii="Cambria" w:hAnsi="Cambria"/>
          <w:color w:val="FF0000"/>
          <w:sz w:val="24"/>
          <w:szCs w:val="24"/>
        </w:rPr>
      </w:pPr>
      <w:r w:rsidRPr="003D66DD">
        <w:rPr>
          <w:rFonts w:ascii="Cambria" w:hAnsi="Cambria"/>
          <w:color w:val="292526"/>
          <w:sz w:val="24"/>
          <w:szCs w:val="24"/>
        </w:rPr>
        <w:t xml:space="preserve">Gendered institutional logics have two key </w:t>
      </w:r>
      <w:r w:rsidR="007E0B38">
        <w:rPr>
          <w:rFonts w:ascii="Cambria" w:hAnsi="Cambria"/>
          <w:color w:val="292526"/>
          <w:sz w:val="24"/>
          <w:szCs w:val="24"/>
        </w:rPr>
        <w:t>effects. First, they prescribe ‘acceptable’</w:t>
      </w:r>
      <w:r w:rsidRPr="003D66DD">
        <w:rPr>
          <w:rFonts w:ascii="Cambria" w:hAnsi="Cambria"/>
          <w:color w:val="292526"/>
          <w:sz w:val="24"/>
          <w:szCs w:val="24"/>
        </w:rPr>
        <w:t xml:space="preserve"> masculine and feminine norms and forms of behaviour within institutional arenas, as well as proscribing or sanctioning that deemed unacceptable. </w:t>
      </w:r>
      <w:r w:rsidR="007E0B38">
        <w:rPr>
          <w:rFonts w:ascii="Cambria" w:hAnsi="Cambria"/>
          <w:color w:val="292526"/>
          <w:sz w:val="24"/>
          <w:szCs w:val="24"/>
        </w:rPr>
        <w:t>“</w:t>
      </w:r>
      <w:r w:rsidRPr="003D66DD">
        <w:rPr>
          <w:rFonts w:ascii="Cambria" w:hAnsi="Cambria"/>
          <w:color w:val="292526"/>
          <w:sz w:val="24"/>
          <w:szCs w:val="24"/>
        </w:rPr>
        <w:t>At the heart of gendered logics of appropriateness in political life is the coding of public authority, and political presence an</w:t>
      </w:r>
      <w:r w:rsidR="007E0B38">
        <w:rPr>
          <w:rFonts w:ascii="Cambria" w:hAnsi="Cambria"/>
          <w:color w:val="292526"/>
          <w:sz w:val="24"/>
          <w:szCs w:val="24"/>
        </w:rPr>
        <w:t>d agency</w:t>
      </w:r>
      <w:r w:rsidR="00A169F8">
        <w:rPr>
          <w:rFonts w:ascii="Cambria" w:hAnsi="Cambria"/>
          <w:color w:val="292526"/>
          <w:sz w:val="24"/>
          <w:szCs w:val="24"/>
        </w:rPr>
        <w:t>,</w:t>
      </w:r>
      <w:r w:rsidR="007E0B38">
        <w:rPr>
          <w:rFonts w:ascii="Cambria" w:hAnsi="Cambria"/>
          <w:color w:val="292526"/>
          <w:sz w:val="24"/>
          <w:szCs w:val="24"/>
        </w:rPr>
        <w:t xml:space="preserve"> as culturally masculine”</w:t>
      </w:r>
      <w:r w:rsidR="00B734F2" w:rsidRPr="003D66DD">
        <w:rPr>
          <w:rFonts w:ascii="Cambria" w:hAnsi="Cambria"/>
          <w:color w:val="292526"/>
          <w:sz w:val="24"/>
          <w:szCs w:val="24"/>
        </w:rPr>
        <w:t xml:space="preserve"> (Chappell and Mackay</w:t>
      </w:r>
      <w:r w:rsidR="007E0B38">
        <w:rPr>
          <w:rFonts w:ascii="Cambria" w:hAnsi="Cambria"/>
          <w:color w:val="292526"/>
          <w:sz w:val="24"/>
          <w:szCs w:val="24"/>
        </w:rPr>
        <w:t>,</w:t>
      </w:r>
      <w:r w:rsidR="00B734F2" w:rsidRPr="003D66DD">
        <w:rPr>
          <w:rFonts w:ascii="Cambria" w:hAnsi="Cambria"/>
          <w:color w:val="292526"/>
          <w:sz w:val="24"/>
          <w:szCs w:val="24"/>
        </w:rPr>
        <w:t xml:space="preserve"> 2017:</w:t>
      </w:r>
      <w:r w:rsidR="007E0B38">
        <w:rPr>
          <w:rFonts w:ascii="Cambria" w:hAnsi="Cambria"/>
          <w:color w:val="292526"/>
          <w:sz w:val="24"/>
          <w:szCs w:val="24"/>
        </w:rPr>
        <w:t xml:space="preserve"> </w:t>
      </w:r>
      <w:r w:rsidR="00B734F2" w:rsidRPr="003D66DD">
        <w:rPr>
          <w:rFonts w:ascii="Cambria" w:hAnsi="Cambria"/>
          <w:color w:val="292526"/>
          <w:sz w:val="24"/>
          <w:szCs w:val="24"/>
        </w:rPr>
        <w:t>29).</w:t>
      </w:r>
      <w:r w:rsidRPr="003D66DD">
        <w:rPr>
          <w:rFonts w:ascii="Cambria" w:hAnsi="Cambria"/>
          <w:sz w:val="24"/>
          <w:szCs w:val="24"/>
        </w:rPr>
        <w:t xml:space="preserve">  Political institutions embed gendered values and rewards, most notably the symbolic association of men and masculinity with the practices of control and authority, and the devaluing of the beliefs and practices culturally and historically associated with femininity, for example empathy and cooperation</w:t>
      </w:r>
      <w:r w:rsidRPr="003D66DD">
        <w:rPr>
          <w:rFonts w:ascii="Cambria" w:hAnsi="Cambria"/>
          <w:color w:val="292526"/>
          <w:sz w:val="24"/>
          <w:szCs w:val="24"/>
        </w:rPr>
        <w:t>. Institutional logics also set boundaries</w:t>
      </w:r>
      <w:r w:rsidR="007E0B38">
        <w:rPr>
          <w:rFonts w:ascii="Cambria" w:hAnsi="Cambria"/>
          <w:color w:val="292526"/>
          <w:sz w:val="24"/>
          <w:szCs w:val="24"/>
        </w:rPr>
        <w:t>,</w:t>
      </w:r>
      <w:r w:rsidRPr="003D66DD">
        <w:rPr>
          <w:rFonts w:ascii="Cambria" w:hAnsi="Cambria"/>
          <w:color w:val="292526"/>
          <w:sz w:val="24"/>
          <w:szCs w:val="24"/>
        </w:rPr>
        <w:t xml:space="preserve"> for example, deciding on appropriate jurisdictions</w:t>
      </w:r>
      <w:r w:rsidR="00A169F8">
        <w:rPr>
          <w:rFonts w:ascii="Cambria" w:hAnsi="Cambria"/>
          <w:color w:val="000000"/>
          <w:sz w:val="24"/>
          <w:szCs w:val="24"/>
        </w:rPr>
        <w:t>, and</w:t>
      </w:r>
      <w:r w:rsidRPr="003D66DD">
        <w:rPr>
          <w:rFonts w:ascii="Cambria" w:hAnsi="Cambria"/>
          <w:color w:val="292526"/>
          <w:sz w:val="24"/>
          <w:szCs w:val="24"/>
        </w:rPr>
        <w:t xml:space="preserve"> influence political outcomes, including reinforcing (where the fit is good) or undermining (where it is not) institutional i</w:t>
      </w:r>
      <w:r w:rsidR="00B734F2" w:rsidRPr="003D66DD">
        <w:rPr>
          <w:rFonts w:ascii="Cambria" w:hAnsi="Cambria"/>
          <w:color w:val="292526"/>
          <w:sz w:val="24"/>
          <w:szCs w:val="24"/>
        </w:rPr>
        <w:t>nnovations and new formal rules.</w:t>
      </w:r>
    </w:p>
    <w:p w14:paraId="6E13C9DE" w14:textId="77777777" w:rsidR="00B734F2" w:rsidRPr="003D66DD" w:rsidRDefault="00B734F2" w:rsidP="00061815">
      <w:pPr>
        <w:pStyle w:val="p1"/>
        <w:spacing w:line="360" w:lineRule="auto"/>
        <w:rPr>
          <w:rFonts w:ascii="Cambria" w:hAnsi="Cambria"/>
          <w:color w:val="292526"/>
          <w:sz w:val="24"/>
          <w:szCs w:val="24"/>
        </w:rPr>
      </w:pPr>
    </w:p>
    <w:p w14:paraId="28EC275B" w14:textId="14E3AC96" w:rsidR="00061815" w:rsidRPr="003D66DD" w:rsidRDefault="00061815" w:rsidP="00061815">
      <w:pPr>
        <w:pStyle w:val="p1"/>
        <w:spacing w:line="360" w:lineRule="auto"/>
        <w:rPr>
          <w:rFonts w:ascii="Cambria" w:hAnsi="Cambria"/>
          <w:sz w:val="24"/>
          <w:szCs w:val="24"/>
        </w:rPr>
      </w:pPr>
      <w:r w:rsidRPr="003D66DD">
        <w:rPr>
          <w:rFonts w:ascii="Cambria" w:hAnsi="Cambria"/>
          <w:color w:val="292526"/>
          <w:sz w:val="24"/>
          <w:szCs w:val="24"/>
        </w:rPr>
        <w:t>Institutional logics can operate at the level of ‘common</w:t>
      </w:r>
      <w:r w:rsidR="007E0B38">
        <w:rPr>
          <w:rFonts w:ascii="Cambria" w:hAnsi="Cambria"/>
          <w:color w:val="292526"/>
          <w:sz w:val="24"/>
          <w:szCs w:val="24"/>
        </w:rPr>
        <w:t xml:space="preserve"> </w:t>
      </w:r>
      <w:r w:rsidRPr="003D66DD">
        <w:rPr>
          <w:rFonts w:ascii="Cambria" w:hAnsi="Cambria"/>
          <w:color w:val="292526"/>
          <w:sz w:val="24"/>
          <w:szCs w:val="24"/>
        </w:rPr>
        <w:t>sense’ and taken for granted</w:t>
      </w:r>
      <w:r w:rsidR="007E0B38">
        <w:rPr>
          <w:rFonts w:ascii="Cambria" w:hAnsi="Cambria"/>
          <w:color w:val="292526"/>
          <w:sz w:val="24"/>
          <w:szCs w:val="24"/>
        </w:rPr>
        <w:t>-</w:t>
      </w:r>
      <w:r w:rsidRPr="003D66DD">
        <w:rPr>
          <w:rFonts w:ascii="Cambria" w:hAnsi="Cambria"/>
          <w:color w:val="292526"/>
          <w:sz w:val="24"/>
          <w:szCs w:val="24"/>
        </w:rPr>
        <w:t>ness, as well as provid</w:t>
      </w:r>
      <w:r w:rsidR="007E0B38">
        <w:rPr>
          <w:rFonts w:ascii="Cambria" w:hAnsi="Cambria"/>
          <w:color w:val="292526"/>
          <w:sz w:val="24"/>
          <w:szCs w:val="24"/>
        </w:rPr>
        <w:t>ing</w:t>
      </w:r>
      <w:r w:rsidRPr="003D66DD">
        <w:rPr>
          <w:rFonts w:ascii="Cambria" w:hAnsi="Cambria"/>
          <w:color w:val="292526"/>
          <w:sz w:val="24"/>
          <w:szCs w:val="24"/>
        </w:rPr>
        <w:t xml:space="preserve"> discursive </w:t>
      </w:r>
      <w:r w:rsidR="00AB5EFE" w:rsidRPr="003D66DD">
        <w:rPr>
          <w:rFonts w:ascii="Cambria" w:hAnsi="Cambria"/>
          <w:color w:val="292526"/>
          <w:sz w:val="24"/>
          <w:szCs w:val="24"/>
        </w:rPr>
        <w:t xml:space="preserve">or framing </w:t>
      </w:r>
      <w:r w:rsidRPr="003D66DD">
        <w:rPr>
          <w:rFonts w:ascii="Cambria" w:hAnsi="Cambria"/>
          <w:color w:val="292526"/>
          <w:sz w:val="24"/>
          <w:szCs w:val="24"/>
        </w:rPr>
        <w:t>resources around which coalitions of actors can mobilise. Whilst there will be a dominant logic</w:t>
      </w:r>
      <w:r w:rsidR="005C5081" w:rsidRPr="003D66DD">
        <w:rPr>
          <w:rFonts w:ascii="Cambria" w:hAnsi="Cambria"/>
          <w:color w:val="292526"/>
          <w:sz w:val="24"/>
          <w:szCs w:val="24"/>
        </w:rPr>
        <w:t xml:space="preserve"> in any given institutional context</w:t>
      </w:r>
      <w:r w:rsidR="007E0B38">
        <w:rPr>
          <w:rFonts w:ascii="Cambria" w:hAnsi="Cambria"/>
          <w:color w:val="292526"/>
          <w:sz w:val="24"/>
          <w:szCs w:val="24"/>
        </w:rPr>
        <w:t>,</w:t>
      </w:r>
      <w:r w:rsidR="00B734F2" w:rsidRPr="003D66DD">
        <w:rPr>
          <w:rFonts w:ascii="Cambria" w:hAnsi="Cambria"/>
          <w:color w:val="292526"/>
          <w:sz w:val="24"/>
          <w:szCs w:val="24"/>
        </w:rPr>
        <w:t xml:space="preserve"> it is important to recognise </w:t>
      </w:r>
      <w:r w:rsidRPr="003D66DD">
        <w:rPr>
          <w:rFonts w:ascii="Cambria" w:hAnsi="Cambria"/>
          <w:color w:val="292526"/>
          <w:sz w:val="24"/>
          <w:szCs w:val="24"/>
        </w:rPr>
        <w:t xml:space="preserve">this will co-exist with other alternative and </w:t>
      </w:r>
      <w:r w:rsidRPr="003D66DD">
        <w:rPr>
          <w:rFonts w:ascii="Cambria" w:hAnsi="Cambria"/>
          <w:color w:val="292526"/>
          <w:sz w:val="24"/>
          <w:szCs w:val="24"/>
        </w:rPr>
        <w:lastRenderedPageBreak/>
        <w:t>subordinate logics</w:t>
      </w:r>
      <w:r w:rsidR="007E0B38">
        <w:rPr>
          <w:rFonts w:ascii="Cambria" w:hAnsi="Cambria"/>
          <w:color w:val="292526"/>
          <w:sz w:val="24"/>
          <w:szCs w:val="24"/>
        </w:rPr>
        <w:t>,</w:t>
      </w:r>
      <w:r w:rsidRPr="003D66DD">
        <w:rPr>
          <w:rFonts w:ascii="Cambria" w:hAnsi="Cambria"/>
          <w:color w:val="292526"/>
          <w:sz w:val="24"/>
          <w:szCs w:val="24"/>
        </w:rPr>
        <w:t xml:space="preserve"> providing the op</w:t>
      </w:r>
      <w:r w:rsidR="00AB5EFE" w:rsidRPr="003D66DD">
        <w:rPr>
          <w:rFonts w:ascii="Cambria" w:hAnsi="Cambria"/>
          <w:color w:val="292526"/>
          <w:sz w:val="24"/>
          <w:szCs w:val="24"/>
        </w:rPr>
        <w:t>portunity for contestation, and</w:t>
      </w:r>
      <w:r w:rsidR="005C5081" w:rsidRPr="003D66DD">
        <w:rPr>
          <w:rFonts w:ascii="Cambria" w:hAnsi="Cambria"/>
          <w:color w:val="292526"/>
          <w:sz w:val="24"/>
          <w:szCs w:val="24"/>
        </w:rPr>
        <w:t xml:space="preserve">, potentially, </w:t>
      </w:r>
      <w:r w:rsidRPr="003D66DD">
        <w:rPr>
          <w:rFonts w:ascii="Cambria" w:hAnsi="Cambria"/>
          <w:color w:val="292526"/>
          <w:sz w:val="24"/>
          <w:szCs w:val="24"/>
        </w:rPr>
        <w:t>change over time.</w:t>
      </w:r>
    </w:p>
    <w:p w14:paraId="06AEA594" w14:textId="77777777" w:rsidR="00061815" w:rsidRPr="003D66DD" w:rsidRDefault="00061815" w:rsidP="00061815">
      <w:pPr>
        <w:spacing w:line="360" w:lineRule="auto"/>
        <w:rPr>
          <w:rFonts w:ascii="Cambria" w:hAnsi="Cambria"/>
        </w:rPr>
      </w:pPr>
    </w:p>
    <w:p w14:paraId="7512D83C" w14:textId="6C56BBA4" w:rsidR="00061815" w:rsidRPr="007E0B38" w:rsidRDefault="007E0B38" w:rsidP="004228D5">
      <w:pPr>
        <w:spacing w:line="360" w:lineRule="auto"/>
        <w:outlineLvl w:val="0"/>
        <w:rPr>
          <w:rFonts w:ascii="Cambria" w:hAnsi="Cambria"/>
          <w:b/>
          <w:bCs/>
          <w:i/>
        </w:rPr>
      </w:pPr>
      <w:r w:rsidRPr="007E0B38">
        <w:rPr>
          <w:rFonts w:ascii="Cambria" w:hAnsi="Cambria"/>
          <w:b/>
          <w:bCs/>
          <w:i/>
        </w:rPr>
        <w:t>Gendered Actors W</w:t>
      </w:r>
      <w:r w:rsidR="00EE0C0D" w:rsidRPr="007E0B38">
        <w:rPr>
          <w:rFonts w:ascii="Cambria" w:hAnsi="Cambria"/>
          <w:b/>
          <w:bCs/>
          <w:i/>
        </w:rPr>
        <w:t>orking with</w:t>
      </w:r>
      <w:r w:rsidRPr="007E0B38">
        <w:rPr>
          <w:rFonts w:ascii="Cambria" w:hAnsi="Cambria"/>
          <w:b/>
          <w:bCs/>
          <w:i/>
        </w:rPr>
        <w:t xml:space="preserve"> Gendered R</w:t>
      </w:r>
      <w:r w:rsidR="00EE0C0D" w:rsidRPr="007E0B38">
        <w:rPr>
          <w:rFonts w:ascii="Cambria" w:hAnsi="Cambria"/>
          <w:b/>
          <w:bCs/>
          <w:i/>
        </w:rPr>
        <w:t>ules</w:t>
      </w:r>
    </w:p>
    <w:p w14:paraId="73EA506D" w14:textId="77777777" w:rsidR="00B734F2" w:rsidRPr="003D66DD" w:rsidRDefault="00B734F2" w:rsidP="004228D5">
      <w:pPr>
        <w:spacing w:line="360" w:lineRule="auto"/>
        <w:outlineLvl w:val="0"/>
        <w:rPr>
          <w:rFonts w:ascii="Cambria" w:hAnsi="Cambria"/>
          <w:bCs/>
          <w:i/>
        </w:rPr>
      </w:pPr>
    </w:p>
    <w:p w14:paraId="025E3195" w14:textId="4CEEE858" w:rsidR="0039330A" w:rsidRPr="003D66DD" w:rsidRDefault="00061815" w:rsidP="0039330A">
      <w:pPr>
        <w:spacing w:line="360" w:lineRule="auto"/>
        <w:rPr>
          <w:rFonts w:ascii="Cambria" w:hAnsi="Cambria"/>
        </w:rPr>
      </w:pPr>
      <w:r w:rsidRPr="003D66DD">
        <w:rPr>
          <w:rStyle w:val="apple-converted-space"/>
          <w:rFonts w:ascii="Cambria" w:hAnsi="Cambria"/>
        </w:rPr>
        <w:t>Institutions are </w:t>
      </w:r>
      <w:r w:rsidR="00612298">
        <w:rPr>
          <w:rFonts w:ascii="Cambria" w:hAnsi="Cambria"/>
        </w:rPr>
        <w:t>the outcome of “</w:t>
      </w:r>
      <w:r w:rsidRPr="003D66DD">
        <w:rPr>
          <w:rFonts w:ascii="Cambria" w:hAnsi="Cambria"/>
        </w:rPr>
        <w:t>deliberate political strategies, of po</w:t>
      </w:r>
      <w:r w:rsidR="00612298">
        <w:rPr>
          <w:rFonts w:ascii="Cambria" w:hAnsi="Cambria"/>
        </w:rPr>
        <w:t>litical conflict, and of choice”</w:t>
      </w:r>
      <w:r w:rsidR="009E1FD1" w:rsidRPr="003D66DD">
        <w:rPr>
          <w:rFonts w:ascii="Cambria" w:hAnsi="Cambria"/>
        </w:rPr>
        <w:t xml:space="preserve"> by actors (</w:t>
      </w:r>
      <w:proofErr w:type="spellStart"/>
      <w:r w:rsidR="00872F74">
        <w:rPr>
          <w:rFonts w:ascii="Cambria" w:hAnsi="Cambria"/>
        </w:rPr>
        <w:t>Thelen</w:t>
      </w:r>
      <w:proofErr w:type="spellEnd"/>
      <w:r w:rsidR="00872F74">
        <w:rPr>
          <w:rFonts w:ascii="Cambria" w:hAnsi="Cambria"/>
        </w:rPr>
        <w:t xml:space="preserve"> and </w:t>
      </w:r>
      <w:proofErr w:type="spellStart"/>
      <w:r w:rsidR="00872F74">
        <w:rPr>
          <w:rFonts w:ascii="Cambria" w:hAnsi="Cambria"/>
        </w:rPr>
        <w:t>Steinmo</w:t>
      </w:r>
      <w:proofErr w:type="spellEnd"/>
      <w:r w:rsidR="009E1FD1" w:rsidRPr="003D66DD">
        <w:rPr>
          <w:rFonts w:ascii="Cambria" w:hAnsi="Cambria"/>
        </w:rPr>
        <w:t xml:space="preserve"> 1992: 10). </w:t>
      </w:r>
      <w:r w:rsidRPr="003D66DD">
        <w:rPr>
          <w:rFonts w:ascii="Cambria" w:hAnsi="Cambria"/>
        </w:rPr>
        <w:t>Institutionalist approaches stress the ways in which institutional rules (including gender norms) shap</w:t>
      </w:r>
      <w:r w:rsidR="00612298">
        <w:rPr>
          <w:rFonts w:ascii="Cambria" w:hAnsi="Cambria"/>
        </w:rPr>
        <w:t>e the types of actors that can “</w:t>
      </w:r>
      <w:r w:rsidRPr="003D66DD">
        <w:rPr>
          <w:rFonts w:ascii="Cambria" w:hAnsi="Cambria"/>
        </w:rPr>
        <w:t xml:space="preserve">emerge and </w:t>
      </w:r>
      <w:r w:rsidRPr="003D66DD">
        <w:rPr>
          <w:rFonts w:ascii="Cambria" w:hAnsi="Cambria"/>
          <w:i/>
        </w:rPr>
        <w:t>thrive</w:t>
      </w:r>
      <w:r w:rsidRPr="003D66DD">
        <w:rPr>
          <w:rFonts w:ascii="Cambria" w:hAnsi="Cambria"/>
        </w:rPr>
        <w:t xml:space="preserve"> in any context, an</w:t>
      </w:r>
      <w:r w:rsidR="00612298">
        <w:rPr>
          <w:rFonts w:ascii="Cambria" w:hAnsi="Cambria"/>
        </w:rPr>
        <w:t xml:space="preserve">d the extent of reform possible” (Mahoney and </w:t>
      </w:r>
      <w:proofErr w:type="spellStart"/>
      <w:r w:rsidR="00612298">
        <w:rPr>
          <w:rFonts w:ascii="Cambria" w:hAnsi="Cambria"/>
        </w:rPr>
        <w:t>Thelen</w:t>
      </w:r>
      <w:proofErr w:type="spellEnd"/>
      <w:r w:rsidR="00612298">
        <w:rPr>
          <w:rFonts w:ascii="Cambria" w:hAnsi="Cambria"/>
        </w:rPr>
        <w:t>,</w:t>
      </w:r>
      <w:r w:rsidRPr="003D66DD">
        <w:rPr>
          <w:rFonts w:ascii="Cambria" w:hAnsi="Cambria"/>
        </w:rPr>
        <w:t xml:space="preserve"> </w:t>
      </w:r>
      <w:r w:rsidR="00612298">
        <w:rPr>
          <w:rFonts w:ascii="Cambria" w:hAnsi="Cambria"/>
        </w:rPr>
        <w:t>2010:</w:t>
      </w:r>
      <w:r w:rsidRPr="003D66DD">
        <w:rPr>
          <w:rFonts w:ascii="Cambria" w:hAnsi="Cambria"/>
        </w:rPr>
        <w:t xml:space="preserve"> 28, emphasis added). Although actors’ agency is constrained, nonetheless it is actors who instantiate new settlements through </w:t>
      </w:r>
      <w:r w:rsidR="009E1FD1" w:rsidRPr="003D66DD">
        <w:rPr>
          <w:rFonts w:ascii="Cambria" w:hAnsi="Cambria"/>
        </w:rPr>
        <w:t xml:space="preserve">the institutional work of interpreting, adapting, contesting or reinforcing rules in their daily practice; and these actors are </w:t>
      </w:r>
      <w:r w:rsidR="009E1FD1" w:rsidRPr="003D66DD">
        <w:rPr>
          <w:rFonts w:ascii="Cambria" w:hAnsi="Cambria"/>
          <w:i/>
        </w:rPr>
        <w:t>gendered.</w:t>
      </w:r>
      <w:r w:rsidR="00612298">
        <w:rPr>
          <w:rFonts w:ascii="Cambria" w:hAnsi="Cambria"/>
        </w:rPr>
        <w:t xml:space="preserve"> As Gains and Lowndes note, “</w:t>
      </w:r>
      <w:r w:rsidR="009E1FD1" w:rsidRPr="003D66DD">
        <w:rPr>
          <w:rFonts w:ascii="Cambria" w:hAnsi="Cambria"/>
        </w:rPr>
        <w:t>actors occupy male or female (or trans) bodies, their values and attitudes reflect different positions on a masculine/feminine spectrum and they hold different perspectives on the gender power balance and possibilities for change (in the contex</w:t>
      </w:r>
      <w:r w:rsidR="00612298">
        <w:rPr>
          <w:rFonts w:ascii="Cambria" w:hAnsi="Cambria"/>
        </w:rPr>
        <w:t>t of intersectional identities)”</w:t>
      </w:r>
      <w:r w:rsidR="009E1FD1" w:rsidRPr="003D66DD">
        <w:rPr>
          <w:rFonts w:ascii="Cambria" w:hAnsi="Cambria"/>
        </w:rPr>
        <w:t xml:space="preserve"> </w:t>
      </w:r>
      <w:r w:rsidR="009E1FD1" w:rsidRPr="0039330A">
        <w:rPr>
          <w:rFonts w:ascii="Cambria" w:hAnsi="Cambria"/>
        </w:rPr>
        <w:t>(2014:</w:t>
      </w:r>
      <w:r w:rsidR="00612298">
        <w:rPr>
          <w:rFonts w:ascii="Cambria" w:hAnsi="Cambria"/>
        </w:rPr>
        <w:t xml:space="preserve"> </w:t>
      </w:r>
      <w:r w:rsidR="0039330A">
        <w:rPr>
          <w:rFonts w:ascii="Cambria" w:hAnsi="Cambria"/>
        </w:rPr>
        <w:t>528-529</w:t>
      </w:r>
      <w:r w:rsidR="009E1FD1" w:rsidRPr="003D66DD">
        <w:rPr>
          <w:rFonts w:ascii="Cambria" w:hAnsi="Cambria"/>
        </w:rPr>
        <w:t xml:space="preserve">). Institutions provide resources as well as constraints for creative and strategic institutional actors. </w:t>
      </w:r>
      <w:r w:rsidR="009E1FD1" w:rsidRPr="003D66DD">
        <w:rPr>
          <w:rFonts w:ascii="Cambria" w:eastAsia="Times New Roman" w:hAnsi="Cambria"/>
          <w:color w:val="000000"/>
          <w:shd w:val="clear" w:color="auto" w:fill="FFFFFF"/>
        </w:rPr>
        <w:t xml:space="preserve">We thus </w:t>
      </w:r>
      <w:r w:rsidR="009E1FD1" w:rsidRPr="003D66DD">
        <w:rPr>
          <w:rFonts w:ascii="Cambria" w:hAnsi="Cambria"/>
        </w:rPr>
        <w:t xml:space="preserve">need to be attentive to </w:t>
      </w:r>
      <w:r w:rsidR="002D70EB" w:rsidRPr="003D66DD">
        <w:rPr>
          <w:rFonts w:ascii="Cambria" w:hAnsi="Cambria"/>
        </w:rPr>
        <w:t>the institutional work of actors</w:t>
      </w:r>
      <w:r w:rsidR="0039330A">
        <w:rPr>
          <w:rFonts w:ascii="Cambria" w:hAnsi="Cambria"/>
        </w:rPr>
        <w:t>.</w:t>
      </w:r>
      <w:r w:rsidR="002D70EB" w:rsidRPr="003D66DD">
        <w:rPr>
          <w:rFonts w:ascii="Cambria" w:hAnsi="Cambria"/>
        </w:rPr>
        <w:t xml:space="preserve"> </w:t>
      </w:r>
      <w:r w:rsidR="0039330A" w:rsidRPr="003D66DD">
        <w:rPr>
          <w:rFonts w:ascii="Cambria" w:hAnsi="Cambria"/>
        </w:rPr>
        <w:t xml:space="preserve">This highlights the importance of examining how </w:t>
      </w:r>
      <w:r w:rsidR="0039330A" w:rsidRPr="003D66DD">
        <w:rPr>
          <w:rFonts w:ascii="Cambria" w:hAnsi="Cambria"/>
          <w:i/>
        </w:rPr>
        <w:t>gendered</w:t>
      </w:r>
      <w:r w:rsidR="0039330A" w:rsidRPr="003D66DD">
        <w:rPr>
          <w:rFonts w:ascii="Cambria" w:hAnsi="Cambria"/>
        </w:rPr>
        <w:t xml:space="preserve"> institutions are enacted and put into practice in the post-design phase by </w:t>
      </w:r>
      <w:r w:rsidR="0039330A" w:rsidRPr="003D66DD">
        <w:rPr>
          <w:rFonts w:ascii="Cambria" w:hAnsi="Cambria"/>
          <w:i/>
        </w:rPr>
        <w:t>gendered</w:t>
      </w:r>
      <w:r w:rsidR="0039330A" w:rsidRPr="003D66DD">
        <w:rPr>
          <w:rFonts w:ascii="Cambria" w:hAnsi="Cambria"/>
        </w:rPr>
        <w:t xml:space="preserve"> actors using formal and informal rules and norms, and combining new and old institutional elements. </w:t>
      </w:r>
    </w:p>
    <w:p w14:paraId="2F167CF5" w14:textId="77777777" w:rsidR="00061815" w:rsidRPr="003D66DD" w:rsidRDefault="00061815" w:rsidP="00061815">
      <w:pPr>
        <w:spacing w:line="360" w:lineRule="auto"/>
        <w:rPr>
          <w:rFonts w:ascii="Cambria" w:hAnsi="Cambria"/>
        </w:rPr>
      </w:pPr>
    </w:p>
    <w:p w14:paraId="5D2C0CF3" w14:textId="5C2F0BEE" w:rsidR="008F37D7" w:rsidRPr="003D66DD" w:rsidRDefault="00AB5EFE" w:rsidP="00883829">
      <w:pPr>
        <w:spacing w:line="360" w:lineRule="auto"/>
        <w:rPr>
          <w:rFonts w:ascii="Cambria" w:hAnsi="Cambria"/>
        </w:rPr>
      </w:pPr>
      <w:r w:rsidRPr="003D66DD">
        <w:rPr>
          <w:rFonts w:ascii="Cambria" w:hAnsi="Cambria"/>
        </w:rPr>
        <w:t>Our argument</w:t>
      </w:r>
      <w:r w:rsidR="00061815" w:rsidRPr="003D66DD">
        <w:rPr>
          <w:rFonts w:ascii="Cambria" w:hAnsi="Cambria"/>
        </w:rPr>
        <w:t xml:space="preserve"> is that</w:t>
      </w:r>
      <w:r w:rsidRPr="003D66DD">
        <w:rPr>
          <w:rFonts w:ascii="Cambria" w:hAnsi="Cambria"/>
        </w:rPr>
        <w:t xml:space="preserve">, taken together, </w:t>
      </w:r>
      <w:r w:rsidR="00061815" w:rsidRPr="003D66DD">
        <w:rPr>
          <w:rFonts w:ascii="Cambria" w:hAnsi="Cambria"/>
        </w:rPr>
        <w:t xml:space="preserve">these concepts provide a means to understand the disjuncture between, on the one hand, a positive correlation between power-sharing settlements and formal rules for the inclusion of and provision for women, and, on the other hand, mixed outcomes in practice. In the following section we discuss the cases of Bosnia and </w:t>
      </w:r>
      <w:r w:rsidR="00125734" w:rsidRPr="003D66DD">
        <w:rPr>
          <w:rFonts w:ascii="Cambria" w:hAnsi="Cambria"/>
        </w:rPr>
        <w:t>Herzegovina</w:t>
      </w:r>
      <w:r w:rsidR="00061815" w:rsidRPr="003D66DD">
        <w:rPr>
          <w:rFonts w:ascii="Cambria" w:hAnsi="Cambria"/>
        </w:rPr>
        <w:t xml:space="preserve">, Northern Ireland, and Burundi through the prisms of </w:t>
      </w:r>
      <w:r w:rsidR="00061815" w:rsidRPr="003D66DD">
        <w:rPr>
          <w:rFonts w:ascii="Cambria" w:hAnsi="Cambria"/>
          <w:i/>
        </w:rPr>
        <w:t>nested newness</w:t>
      </w:r>
      <w:r w:rsidR="00061815" w:rsidRPr="003D66DD">
        <w:rPr>
          <w:rFonts w:ascii="Cambria" w:hAnsi="Cambria"/>
        </w:rPr>
        <w:t xml:space="preserve">, </w:t>
      </w:r>
      <w:r w:rsidR="00061815" w:rsidRPr="00612298">
        <w:rPr>
          <w:rFonts w:ascii="Cambria" w:hAnsi="Cambria"/>
          <w:i/>
        </w:rPr>
        <w:t>formal and</w:t>
      </w:r>
      <w:r w:rsidR="00061815" w:rsidRPr="003D66DD">
        <w:rPr>
          <w:rFonts w:ascii="Cambria" w:hAnsi="Cambria"/>
        </w:rPr>
        <w:t xml:space="preserve"> </w:t>
      </w:r>
      <w:r w:rsidR="00061815" w:rsidRPr="003D66DD">
        <w:rPr>
          <w:rFonts w:ascii="Cambria" w:hAnsi="Cambria"/>
          <w:i/>
        </w:rPr>
        <w:t>informal institutional dynamics</w:t>
      </w:r>
      <w:r w:rsidR="00061815" w:rsidRPr="003D66DD">
        <w:rPr>
          <w:rFonts w:ascii="Cambria" w:hAnsi="Cambria"/>
        </w:rPr>
        <w:t xml:space="preserve">, </w:t>
      </w:r>
      <w:r w:rsidR="00061815" w:rsidRPr="003D66DD">
        <w:rPr>
          <w:rFonts w:ascii="Cambria" w:hAnsi="Cambria"/>
          <w:i/>
        </w:rPr>
        <w:t>gendered logics of appropriateness</w:t>
      </w:r>
      <w:r w:rsidR="00061815" w:rsidRPr="003D66DD">
        <w:rPr>
          <w:rFonts w:ascii="Cambria" w:hAnsi="Cambria"/>
        </w:rPr>
        <w:t xml:space="preserve">, and </w:t>
      </w:r>
      <w:r w:rsidR="00061815" w:rsidRPr="003D66DD">
        <w:rPr>
          <w:rFonts w:ascii="Cambria" w:hAnsi="Cambria"/>
          <w:i/>
        </w:rPr>
        <w:t>gendered actors</w:t>
      </w:r>
      <w:r w:rsidR="00061815" w:rsidRPr="003D66DD">
        <w:rPr>
          <w:rFonts w:ascii="Cambria" w:hAnsi="Cambria"/>
        </w:rPr>
        <w:t xml:space="preserve">. </w:t>
      </w:r>
    </w:p>
    <w:p w14:paraId="2B68823B" w14:textId="77777777" w:rsidR="006A5CED" w:rsidRPr="003D66DD" w:rsidRDefault="006A5CED" w:rsidP="00883829">
      <w:pPr>
        <w:spacing w:line="360" w:lineRule="auto"/>
        <w:rPr>
          <w:rFonts w:ascii="Cambria" w:hAnsi="Cambria"/>
        </w:rPr>
      </w:pPr>
    </w:p>
    <w:p w14:paraId="0E00CEC7" w14:textId="77777777" w:rsidR="00604AC2" w:rsidRDefault="00604AC2">
      <w:pPr>
        <w:spacing w:after="160" w:line="259" w:lineRule="auto"/>
        <w:rPr>
          <w:rFonts w:ascii="Cambria" w:hAnsi="Cambria"/>
          <w:b/>
        </w:rPr>
      </w:pPr>
      <w:r>
        <w:rPr>
          <w:rFonts w:ascii="Cambria" w:hAnsi="Cambria"/>
          <w:b/>
        </w:rPr>
        <w:br w:type="page"/>
      </w:r>
    </w:p>
    <w:p w14:paraId="1F48E91E" w14:textId="4FFBE804" w:rsidR="007F3598" w:rsidRPr="003D66DD" w:rsidRDefault="00DC1164" w:rsidP="004228D5">
      <w:pPr>
        <w:spacing w:line="360" w:lineRule="auto"/>
        <w:outlineLvl w:val="0"/>
        <w:rPr>
          <w:rFonts w:ascii="Cambria" w:hAnsi="Cambria"/>
          <w:b/>
        </w:rPr>
      </w:pPr>
      <w:r w:rsidRPr="003D66DD">
        <w:rPr>
          <w:rFonts w:ascii="Cambria" w:hAnsi="Cambria"/>
          <w:b/>
        </w:rPr>
        <w:lastRenderedPageBreak/>
        <w:t xml:space="preserve">Bosnia and Herzegovina </w:t>
      </w:r>
    </w:p>
    <w:p w14:paraId="4D5B8748" w14:textId="4B61B8CF" w:rsidR="00A25E71" w:rsidRPr="003D66DD" w:rsidRDefault="00A25E71" w:rsidP="00883829">
      <w:pPr>
        <w:spacing w:line="360" w:lineRule="auto"/>
        <w:rPr>
          <w:rFonts w:ascii="Cambria" w:hAnsi="Cambria"/>
          <w:b/>
        </w:rPr>
      </w:pPr>
    </w:p>
    <w:p w14:paraId="37A70A01" w14:textId="3DC0A983" w:rsidR="008B3E28" w:rsidRPr="003D66DD" w:rsidRDefault="00612298" w:rsidP="004228D5">
      <w:pPr>
        <w:spacing w:line="360" w:lineRule="auto"/>
        <w:outlineLvl w:val="0"/>
        <w:rPr>
          <w:rFonts w:ascii="Cambria" w:hAnsi="Cambria"/>
          <w:b/>
          <w:i/>
        </w:rPr>
      </w:pPr>
      <w:r>
        <w:rPr>
          <w:rFonts w:ascii="Cambria" w:hAnsi="Cambria"/>
          <w:b/>
          <w:i/>
        </w:rPr>
        <w:t>Peace A</w:t>
      </w:r>
      <w:r w:rsidR="00350503" w:rsidRPr="003D66DD">
        <w:rPr>
          <w:rFonts w:ascii="Cambria" w:hAnsi="Cambria"/>
          <w:b/>
          <w:i/>
        </w:rPr>
        <w:t xml:space="preserve">greement </w:t>
      </w:r>
    </w:p>
    <w:p w14:paraId="0F8C50B8" w14:textId="6D6DA523" w:rsidR="00303596" w:rsidRPr="003D66DD" w:rsidRDefault="001D110D" w:rsidP="001D110D">
      <w:pPr>
        <w:spacing w:after="240" w:line="360" w:lineRule="auto"/>
        <w:rPr>
          <w:rStyle w:val="eop"/>
          <w:rFonts w:ascii="Cambria" w:hAnsi="Cambria"/>
        </w:rPr>
      </w:pPr>
      <w:r w:rsidRPr="003D66DD">
        <w:rPr>
          <w:rStyle w:val="normaltextrun"/>
          <w:rFonts w:ascii="Cambria" w:hAnsi="Cambria"/>
          <w:shd w:val="clear" w:color="auto" w:fill="FFFFFF"/>
        </w:rPr>
        <w:t xml:space="preserve">The </w:t>
      </w:r>
      <w:r w:rsidRPr="003D66DD">
        <w:rPr>
          <w:rStyle w:val="normaltextrun"/>
          <w:rFonts w:ascii="Cambria" w:hAnsi="Cambria"/>
          <w:bCs/>
          <w:shd w:val="clear" w:color="auto" w:fill="FFFFFF"/>
        </w:rPr>
        <w:t>1995 Dayton Peace Agreement</w:t>
      </w:r>
      <w:r w:rsidRPr="003D66DD">
        <w:rPr>
          <w:rStyle w:val="normaltextrun"/>
          <w:rFonts w:ascii="Cambria" w:hAnsi="Cambria"/>
          <w:shd w:val="clear" w:color="auto" w:fill="FFFFFF"/>
        </w:rPr>
        <w:t xml:space="preserve"> brought an end </w:t>
      </w:r>
      <w:r w:rsidR="00323A3A" w:rsidRPr="003D66DD">
        <w:rPr>
          <w:rStyle w:val="normaltextrun"/>
          <w:rFonts w:ascii="Cambria" w:hAnsi="Cambria"/>
          <w:shd w:val="clear" w:color="auto" w:fill="FFFFFF"/>
        </w:rPr>
        <w:t xml:space="preserve">to a war </w:t>
      </w:r>
      <w:r w:rsidRPr="003D66DD">
        <w:rPr>
          <w:rStyle w:val="normaltextrun"/>
          <w:rFonts w:ascii="Cambria" w:hAnsi="Cambria"/>
          <w:shd w:val="clear" w:color="auto" w:fill="FFFFFF"/>
        </w:rPr>
        <w:t xml:space="preserve">in Bosnia </w:t>
      </w:r>
      <w:r w:rsidR="00323A3A" w:rsidRPr="003D66DD">
        <w:rPr>
          <w:rStyle w:val="normaltextrun"/>
          <w:rFonts w:ascii="Cambria" w:hAnsi="Cambria"/>
          <w:shd w:val="clear" w:color="auto" w:fill="FFFFFF"/>
        </w:rPr>
        <w:t>that had claimed the lives of an estimated 100,000 people and left more than 2 million displaced.  The</w:t>
      </w:r>
      <w:r w:rsidR="008B47DB" w:rsidRPr="003D66DD">
        <w:rPr>
          <w:rStyle w:val="normaltextrun"/>
          <w:rFonts w:ascii="Cambria" w:hAnsi="Cambria"/>
          <w:shd w:val="clear" w:color="auto" w:fill="FFFFFF"/>
        </w:rPr>
        <w:t xml:space="preserve"> absence of women from the</w:t>
      </w:r>
      <w:r w:rsidR="00323A3A" w:rsidRPr="003D66DD">
        <w:rPr>
          <w:rStyle w:val="normaltextrun"/>
          <w:rFonts w:ascii="Cambria" w:hAnsi="Cambria"/>
          <w:shd w:val="clear" w:color="auto" w:fill="FFFFFF"/>
        </w:rPr>
        <w:t xml:space="preserve"> negotiations leading up to the pact, signed between representatives of </w:t>
      </w:r>
      <w:proofErr w:type="spellStart"/>
      <w:r w:rsidR="00323A3A" w:rsidRPr="003D66DD">
        <w:rPr>
          <w:rStyle w:val="normaltextrun"/>
          <w:rFonts w:ascii="Cambria" w:hAnsi="Cambria"/>
          <w:shd w:val="clear" w:color="auto" w:fill="FFFFFF"/>
        </w:rPr>
        <w:t>Bosniak</w:t>
      </w:r>
      <w:proofErr w:type="spellEnd"/>
      <w:r w:rsidR="00323A3A" w:rsidRPr="003D66DD">
        <w:rPr>
          <w:rStyle w:val="normaltextrun"/>
          <w:rFonts w:ascii="Cambria" w:hAnsi="Cambria"/>
          <w:shd w:val="clear" w:color="auto" w:fill="FFFFFF"/>
        </w:rPr>
        <w:t xml:space="preserve">, Croat and Serb forces, </w:t>
      </w:r>
      <w:r w:rsidR="008B47DB" w:rsidRPr="003D66DD">
        <w:rPr>
          <w:rStyle w:val="normaltextrun"/>
          <w:rFonts w:ascii="Cambria" w:hAnsi="Cambria"/>
          <w:shd w:val="clear" w:color="auto" w:fill="FFFFFF"/>
        </w:rPr>
        <w:t xml:space="preserve">was notable </w:t>
      </w:r>
      <w:r w:rsidR="00323A3A" w:rsidRPr="003D66DD">
        <w:rPr>
          <w:rStyle w:val="normaltextrun"/>
          <w:rFonts w:ascii="Cambria" w:hAnsi="Cambria"/>
          <w:shd w:val="clear" w:color="auto" w:fill="FFFFFF"/>
        </w:rPr>
        <w:t>(</w:t>
      </w:r>
      <w:proofErr w:type="spellStart"/>
      <w:r w:rsidR="00766FC4" w:rsidRPr="003D66DD">
        <w:rPr>
          <w:rStyle w:val="normaltextrun"/>
          <w:rFonts w:ascii="Cambria" w:hAnsi="Cambria"/>
          <w:color w:val="000000" w:themeColor="text1"/>
          <w:shd w:val="clear" w:color="auto" w:fill="FFFFFF"/>
        </w:rPr>
        <w:t>Deiana</w:t>
      </w:r>
      <w:proofErr w:type="spellEnd"/>
      <w:r w:rsidR="004211E1">
        <w:rPr>
          <w:rStyle w:val="normaltextrun"/>
          <w:rFonts w:ascii="Cambria" w:hAnsi="Cambria"/>
          <w:color w:val="000000" w:themeColor="text1"/>
          <w:shd w:val="clear" w:color="auto" w:fill="FFFFFF"/>
        </w:rPr>
        <w:t>,</w:t>
      </w:r>
      <w:r w:rsidR="0063390C" w:rsidRPr="003D66DD">
        <w:rPr>
          <w:rStyle w:val="normaltextrun"/>
          <w:rFonts w:ascii="Cambria" w:hAnsi="Cambria"/>
          <w:color w:val="000000" w:themeColor="text1"/>
          <w:shd w:val="clear" w:color="auto" w:fill="FFFFFF"/>
        </w:rPr>
        <w:t xml:space="preserve"> 2016</w:t>
      </w:r>
      <w:r w:rsidR="00323A3A" w:rsidRPr="003D66DD">
        <w:rPr>
          <w:rStyle w:val="normaltextrun"/>
          <w:rFonts w:ascii="Cambria" w:hAnsi="Cambria"/>
          <w:color w:val="000000" w:themeColor="text1"/>
          <w:shd w:val="clear" w:color="auto" w:fill="FFFFFF"/>
        </w:rPr>
        <w:t>)</w:t>
      </w:r>
      <w:r w:rsidR="00125734">
        <w:rPr>
          <w:rStyle w:val="normaltextrun"/>
          <w:rFonts w:ascii="Cambria" w:hAnsi="Cambria"/>
          <w:color w:val="000000" w:themeColor="text1"/>
          <w:shd w:val="clear" w:color="auto" w:fill="FFFFFF"/>
        </w:rPr>
        <w:t xml:space="preserve"> and </w:t>
      </w:r>
      <w:r w:rsidR="00833172" w:rsidRPr="003D66DD">
        <w:rPr>
          <w:rStyle w:val="normaltextrun"/>
          <w:rFonts w:ascii="Cambria" w:hAnsi="Cambria"/>
          <w:color w:val="000000" w:themeColor="text1"/>
          <w:shd w:val="clear" w:color="auto" w:fill="FFFFFF"/>
        </w:rPr>
        <w:t>contributed to international concerns that coalesced into the WPS lobby for UNSCR 1325</w:t>
      </w:r>
      <w:r w:rsidRPr="003D66DD">
        <w:rPr>
          <w:rStyle w:val="normaltextrun"/>
          <w:rFonts w:ascii="Cambria" w:hAnsi="Cambria"/>
          <w:shd w:val="clear" w:color="auto" w:fill="FFFFFF"/>
        </w:rPr>
        <w:t>.</w:t>
      </w:r>
      <w:r w:rsidRPr="003D66DD">
        <w:rPr>
          <w:rStyle w:val="eop"/>
          <w:rFonts w:ascii="Cambria" w:hAnsi="Cambria"/>
        </w:rPr>
        <w:t> </w:t>
      </w:r>
    </w:p>
    <w:p w14:paraId="6E148812" w14:textId="76EBAB44" w:rsidR="00303596" w:rsidRPr="003D66DD" w:rsidRDefault="00612298" w:rsidP="004228D5">
      <w:pPr>
        <w:spacing w:after="240" w:line="360" w:lineRule="auto"/>
        <w:outlineLvl w:val="0"/>
        <w:rPr>
          <w:rStyle w:val="eop"/>
          <w:rFonts w:ascii="Cambria" w:hAnsi="Cambria"/>
          <w:b/>
          <w:i/>
        </w:rPr>
      </w:pPr>
      <w:r>
        <w:rPr>
          <w:rStyle w:val="eop"/>
          <w:rFonts w:ascii="Cambria" w:hAnsi="Cambria"/>
          <w:b/>
          <w:i/>
        </w:rPr>
        <w:t>Power-S</w:t>
      </w:r>
      <w:r w:rsidR="00303596" w:rsidRPr="003D66DD">
        <w:rPr>
          <w:rStyle w:val="eop"/>
          <w:rFonts w:ascii="Cambria" w:hAnsi="Cambria"/>
          <w:b/>
          <w:i/>
        </w:rPr>
        <w:t>haring</w:t>
      </w:r>
    </w:p>
    <w:p w14:paraId="66ED693B" w14:textId="523191E8" w:rsidR="00350503" w:rsidRDefault="001D110D" w:rsidP="001D110D">
      <w:pPr>
        <w:spacing w:after="240" w:line="360" w:lineRule="auto"/>
        <w:rPr>
          <w:rFonts w:ascii="Cambria" w:hAnsi="Cambria"/>
        </w:rPr>
      </w:pPr>
      <w:r w:rsidRPr="003D66DD">
        <w:rPr>
          <w:rStyle w:val="normaltextrun"/>
          <w:rFonts w:ascii="Cambria" w:hAnsi="Cambria"/>
          <w:shd w:val="clear" w:color="auto" w:fill="FFFFFF"/>
        </w:rPr>
        <w:t xml:space="preserve">The settlement put in place a </w:t>
      </w:r>
      <w:r w:rsidRPr="003D66DD">
        <w:rPr>
          <w:rStyle w:val="normaltextrun"/>
          <w:rFonts w:ascii="Cambria" w:hAnsi="Cambria"/>
          <w:bCs/>
          <w:shd w:val="clear" w:color="auto" w:fill="FFFFFF"/>
        </w:rPr>
        <w:t>rigid</w:t>
      </w:r>
      <w:r w:rsidR="008B47DB" w:rsidRPr="003D66DD">
        <w:rPr>
          <w:rStyle w:val="normaltextrun"/>
          <w:rFonts w:ascii="Cambria" w:hAnsi="Cambria"/>
          <w:bCs/>
          <w:shd w:val="clear" w:color="auto" w:fill="FFFFFF"/>
        </w:rPr>
        <w:t xml:space="preserve"> </w:t>
      </w:r>
      <w:r w:rsidRPr="003D66DD">
        <w:rPr>
          <w:rStyle w:val="normaltextrun"/>
          <w:rFonts w:ascii="Cambria" w:hAnsi="Cambria"/>
          <w:bCs/>
          <w:shd w:val="clear" w:color="auto" w:fill="FFFFFF"/>
        </w:rPr>
        <w:t xml:space="preserve">and </w:t>
      </w:r>
      <w:proofErr w:type="spellStart"/>
      <w:r w:rsidRPr="003D66DD">
        <w:rPr>
          <w:rStyle w:val="spellingerror"/>
          <w:rFonts w:ascii="Cambria" w:hAnsi="Cambria"/>
          <w:bCs/>
          <w:shd w:val="clear" w:color="auto" w:fill="FFFFFF"/>
        </w:rPr>
        <w:t>ethnicised</w:t>
      </w:r>
      <w:proofErr w:type="spellEnd"/>
      <w:r w:rsidRPr="003D66DD">
        <w:rPr>
          <w:rStyle w:val="normaltextrun"/>
          <w:rFonts w:ascii="Cambria" w:hAnsi="Cambria"/>
          <w:bCs/>
          <w:shd w:val="clear" w:color="auto" w:fill="FFFFFF"/>
        </w:rPr>
        <w:t xml:space="preserve"> form of </w:t>
      </w:r>
      <w:proofErr w:type="spellStart"/>
      <w:r w:rsidRPr="003D66DD">
        <w:rPr>
          <w:rStyle w:val="spellingerror"/>
          <w:rFonts w:ascii="Cambria" w:hAnsi="Cambria"/>
          <w:bCs/>
          <w:shd w:val="clear" w:color="auto" w:fill="FFFFFF"/>
        </w:rPr>
        <w:t>consociational</w:t>
      </w:r>
      <w:proofErr w:type="spellEnd"/>
      <w:r w:rsidRPr="003D66DD">
        <w:rPr>
          <w:rStyle w:val="normaltextrun"/>
          <w:rFonts w:ascii="Cambria" w:hAnsi="Cambria"/>
          <w:bCs/>
          <w:shd w:val="clear" w:color="auto" w:fill="FFFFFF"/>
        </w:rPr>
        <w:t xml:space="preserve"> power-sharing </w:t>
      </w:r>
      <w:r w:rsidRPr="003D66DD">
        <w:rPr>
          <w:rStyle w:val="normaltextrun"/>
          <w:rFonts w:ascii="Cambria" w:hAnsi="Cambria"/>
          <w:shd w:val="clear" w:color="auto" w:fill="FFFFFF"/>
        </w:rPr>
        <w:t xml:space="preserve">between the three ‘constituent peoples’, </w:t>
      </w:r>
      <w:proofErr w:type="spellStart"/>
      <w:r w:rsidRPr="003D66DD">
        <w:rPr>
          <w:rStyle w:val="spellingerror"/>
          <w:rFonts w:ascii="Cambria" w:hAnsi="Cambria"/>
          <w:shd w:val="clear" w:color="auto" w:fill="FFFFFF"/>
        </w:rPr>
        <w:t>Bosniaks</w:t>
      </w:r>
      <w:proofErr w:type="spellEnd"/>
      <w:r w:rsidRPr="003D66DD">
        <w:rPr>
          <w:rStyle w:val="normaltextrun"/>
          <w:rFonts w:ascii="Cambria" w:hAnsi="Cambria"/>
          <w:shd w:val="clear" w:color="auto" w:fill="FFFFFF"/>
        </w:rPr>
        <w:t>, Croats and Serbs</w:t>
      </w:r>
      <w:r w:rsidR="008B47DB" w:rsidRPr="003D66DD">
        <w:rPr>
          <w:rStyle w:val="normaltextrun"/>
          <w:rFonts w:ascii="Cambria" w:hAnsi="Cambria"/>
          <w:shd w:val="clear" w:color="auto" w:fill="FFFFFF"/>
        </w:rPr>
        <w:t xml:space="preserve"> – a model of </w:t>
      </w:r>
      <w:r w:rsidR="008B47DB" w:rsidRPr="003D66DD">
        <w:rPr>
          <w:rStyle w:val="normaltextrun"/>
          <w:rFonts w:ascii="Cambria" w:hAnsi="Cambria"/>
          <w:bCs/>
          <w:shd w:val="clear" w:color="auto" w:fill="FFFFFF"/>
        </w:rPr>
        <w:t xml:space="preserve">‘corporate’ consociation </w:t>
      </w:r>
      <w:r w:rsidR="008B47DB" w:rsidRPr="003D66DD">
        <w:rPr>
          <w:rStyle w:val="normaltextrun"/>
          <w:rFonts w:ascii="Cambria" w:hAnsi="Cambria"/>
          <w:shd w:val="clear" w:color="auto" w:fill="FFFFFF"/>
        </w:rPr>
        <w:t xml:space="preserve">(McCulloch, 2014).  Territorial autonomy was granted to each of these groups by establishing a weak central state </w:t>
      </w:r>
      <w:r w:rsidR="00A02C8E" w:rsidRPr="003D66DD">
        <w:rPr>
          <w:rStyle w:val="normaltextrun"/>
          <w:rFonts w:ascii="Cambria" w:hAnsi="Cambria"/>
          <w:shd w:val="clear" w:color="auto" w:fill="FFFFFF"/>
        </w:rPr>
        <w:t xml:space="preserve">and </w:t>
      </w:r>
      <w:r w:rsidR="008B47DB" w:rsidRPr="003D66DD">
        <w:rPr>
          <w:rStyle w:val="normaltextrun"/>
          <w:rFonts w:ascii="Cambria" w:hAnsi="Cambria"/>
          <w:shd w:val="clear" w:color="auto" w:fill="FFFFFF"/>
        </w:rPr>
        <w:t xml:space="preserve">two </w:t>
      </w:r>
      <w:r w:rsidR="00A02C8E" w:rsidRPr="003D66DD">
        <w:rPr>
          <w:rStyle w:val="normaltextrun"/>
          <w:rFonts w:ascii="Cambria" w:hAnsi="Cambria"/>
          <w:shd w:val="clear" w:color="auto" w:fill="FFFFFF"/>
        </w:rPr>
        <w:t xml:space="preserve">sub-state </w:t>
      </w:r>
      <w:r w:rsidR="008B47DB" w:rsidRPr="003D66DD">
        <w:rPr>
          <w:rStyle w:val="normaltextrun"/>
          <w:rFonts w:ascii="Cambria" w:hAnsi="Cambria"/>
          <w:shd w:val="clear" w:color="auto" w:fill="FFFFFF"/>
        </w:rPr>
        <w:t>federal entities with considerable autonomy:</w:t>
      </w:r>
      <w:r w:rsidRPr="003D66DD">
        <w:rPr>
          <w:rStyle w:val="normaltextrun"/>
          <w:rFonts w:ascii="Cambria" w:hAnsi="Cambria"/>
          <w:shd w:val="clear" w:color="auto" w:fill="FFFFFF"/>
        </w:rPr>
        <w:t xml:space="preserve"> the Serb-majority Serb Republic</w:t>
      </w:r>
      <w:r w:rsidR="001A3830" w:rsidRPr="003D66DD">
        <w:rPr>
          <w:rStyle w:val="normaltextrun"/>
          <w:rFonts w:ascii="Cambria" w:hAnsi="Cambria"/>
          <w:shd w:val="clear" w:color="auto" w:fill="FFFFFF"/>
        </w:rPr>
        <w:t xml:space="preserve"> (</w:t>
      </w:r>
      <w:proofErr w:type="spellStart"/>
      <w:r w:rsidR="001A3830" w:rsidRPr="003D66DD">
        <w:rPr>
          <w:rStyle w:val="normaltextrun"/>
          <w:rFonts w:ascii="Cambria" w:hAnsi="Cambria"/>
          <w:shd w:val="clear" w:color="auto" w:fill="FFFFFF"/>
        </w:rPr>
        <w:t>Republika</w:t>
      </w:r>
      <w:proofErr w:type="spellEnd"/>
      <w:r w:rsidR="001A3830" w:rsidRPr="003D66DD">
        <w:rPr>
          <w:rStyle w:val="normaltextrun"/>
          <w:rFonts w:ascii="Cambria" w:hAnsi="Cambria"/>
          <w:shd w:val="clear" w:color="auto" w:fill="FFFFFF"/>
        </w:rPr>
        <w:t xml:space="preserve"> </w:t>
      </w:r>
      <w:proofErr w:type="spellStart"/>
      <w:r w:rsidR="001A3830" w:rsidRPr="003D66DD">
        <w:rPr>
          <w:rStyle w:val="normaltextrun"/>
          <w:rFonts w:ascii="Cambria" w:hAnsi="Cambria"/>
          <w:shd w:val="clear" w:color="auto" w:fill="FFFFFF"/>
        </w:rPr>
        <w:t>Srpska</w:t>
      </w:r>
      <w:proofErr w:type="spellEnd"/>
      <w:r w:rsidR="001A3830" w:rsidRPr="003D66DD">
        <w:rPr>
          <w:rStyle w:val="normaltextrun"/>
          <w:rFonts w:ascii="Cambria" w:hAnsi="Cambria"/>
          <w:shd w:val="clear" w:color="auto" w:fill="FFFFFF"/>
        </w:rPr>
        <w:t>; RS)</w:t>
      </w:r>
      <w:r w:rsidRPr="003D66DD">
        <w:rPr>
          <w:rStyle w:val="normaltextrun"/>
          <w:rFonts w:ascii="Cambria" w:hAnsi="Cambria"/>
          <w:shd w:val="clear" w:color="auto" w:fill="FFFFFF"/>
        </w:rPr>
        <w:t xml:space="preserve"> and the mixed Bosnian-Croat Federation of Bosnia and Herzegovina</w:t>
      </w:r>
      <w:r w:rsidR="001A3830" w:rsidRPr="003D66DD">
        <w:rPr>
          <w:rStyle w:val="normaltextrun"/>
          <w:rFonts w:ascii="Cambria" w:hAnsi="Cambria"/>
          <w:shd w:val="clear" w:color="auto" w:fill="FFFFFF"/>
        </w:rPr>
        <w:t xml:space="preserve"> (</w:t>
      </w:r>
      <w:proofErr w:type="spellStart"/>
      <w:r w:rsidR="001A3830" w:rsidRPr="003D66DD">
        <w:rPr>
          <w:rStyle w:val="normaltextrun"/>
          <w:rFonts w:ascii="Cambria" w:hAnsi="Cambria"/>
          <w:shd w:val="clear" w:color="auto" w:fill="FFFFFF"/>
        </w:rPr>
        <w:t>FBiH</w:t>
      </w:r>
      <w:proofErr w:type="spellEnd"/>
      <w:r w:rsidR="001A3830" w:rsidRPr="003D66DD">
        <w:rPr>
          <w:rStyle w:val="normaltextrun"/>
          <w:rFonts w:ascii="Cambria" w:hAnsi="Cambria"/>
          <w:shd w:val="clear" w:color="auto" w:fill="FFFFFF"/>
        </w:rPr>
        <w:t>)</w:t>
      </w:r>
      <w:r w:rsidR="008B47DB" w:rsidRPr="003D66DD">
        <w:rPr>
          <w:rStyle w:val="normaltextrun"/>
          <w:rFonts w:ascii="Cambria" w:hAnsi="Cambria"/>
          <w:shd w:val="clear" w:color="auto" w:fill="FFFFFF"/>
        </w:rPr>
        <w:t xml:space="preserve">, the latter further decentralised into ten cantons, eight of which feature </w:t>
      </w:r>
      <w:proofErr w:type="spellStart"/>
      <w:r w:rsidR="008B47DB" w:rsidRPr="003D66DD">
        <w:rPr>
          <w:rStyle w:val="normaltextrun"/>
          <w:rFonts w:ascii="Cambria" w:hAnsi="Cambria"/>
          <w:shd w:val="clear" w:color="auto" w:fill="FFFFFF"/>
        </w:rPr>
        <w:t>Bosniak</w:t>
      </w:r>
      <w:proofErr w:type="spellEnd"/>
      <w:r w:rsidR="008B47DB" w:rsidRPr="003D66DD">
        <w:rPr>
          <w:rStyle w:val="normaltextrun"/>
          <w:rFonts w:ascii="Cambria" w:hAnsi="Cambria"/>
          <w:shd w:val="clear" w:color="auto" w:fill="FFFFFF"/>
        </w:rPr>
        <w:t xml:space="preserve"> or Croat majorities</w:t>
      </w:r>
      <w:r w:rsidRPr="003D66DD">
        <w:rPr>
          <w:rStyle w:val="normaltextrun"/>
          <w:rFonts w:ascii="Cambria" w:hAnsi="Cambria"/>
          <w:shd w:val="clear" w:color="auto" w:fill="FFFFFF"/>
        </w:rPr>
        <w:t xml:space="preserve"> (</w:t>
      </w:r>
      <w:r w:rsidR="00AF250C" w:rsidRPr="003D66DD">
        <w:rPr>
          <w:rStyle w:val="normaltextrun"/>
          <w:rFonts w:ascii="Cambria" w:hAnsi="Cambria"/>
          <w:shd w:val="clear" w:color="auto" w:fill="FFFFFF"/>
        </w:rPr>
        <w:t>Bieber, 2006</w:t>
      </w:r>
      <w:r w:rsidRPr="003D66DD">
        <w:rPr>
          <w:rStyle w:val="normaltextrun"/>
          <w:rFonts w:ascii="Cambria" w:hAnsi="Cambria"/>
          <w:shd w:val="clear" w:color="auto" w:fill="FFFFFF"/>
        </w:rPr>
        <w:t>).</w:t>
      </w:r>
      <w:r w:rsidR="00A02C8E" w:rsidRPr="003D66DD">
        <w:rPr>
          <w:rStyle w:val="normaltextrun"/>
          <w:rFonts w:ascii="Cambria" w:hAnsi="Cambria"/>
          <w:shd w:val="clear" w:color="auto" w:fill="FFFFFF"/>
        </w:rPr>
        <w:t xml:space="preserve">  The system provides for proportional representation of groups through elaborate ethnic quotas for positions in executive, legislature and public administration (</w:t>
      </w:r>
      <w:proofErr w:type="spellStart"/>
      <w:r w:rsidR="00A02C8E" w:rsidRPr="003D66DD">
        <w:rPr>
          <w:rStyle w:val="normaltextrun"/>
          <w:rFonts w:ascii="Cambria" w:hAnsi="Cambria"/>
          <w:shd w:val="clear" w:color="auto" w:fill="FFFFFF"/>
        </w:rPr>
        <w:t>Keil</w:t>
      </w:r>
      <w:proofErr w:type="spellEnd"/>
      <w:r w:rsidR="00A02C8E" w:rsidRPr="003D66DD">
        <w:rPr>
          <w:rStyle w:val="normaltextrun"/>
          <w:rFonts w:ascii="Cambria" w:hAnsi="Cambria"/>
          <w:shd w:val="clear" w:color="auto" w:fill="FFFFFF"/>
        </w:rPr>
        <w:t xml:space="preserve">, 2013) and features extensive veto </w:t>
      </w:r>
      <w:r w:rsidR="00D35959" w:rsidRPr="003D66DD">
        <w:rPr>
          <w:rStyle w:val="normaltextrun"/>
          <w:rFonts w:ascii="Cambria" w:hAnsi="Cambria"/>
          <w:shd w:val="clear" w:color="auto" w:fill="FFFFFF"/>
        </w:rPr>
        <w:t xml:space="preserve">rights </w:t>
      </w:r>
      <w:r w:rsidR="00A02C8E" w:rsidRPr="003D66DD">
        <w:rPr>
          <w:rStyle w:val="normaltextrun"/>
          <w:rFonts w:ascii="Cambria" w:hAnsi="Cambria"/>
          <w:shd w:val="clear" w:color="auto" w:fill="FFFFFF"/>
        </w:rPr>
        <w:t xml:space="preserve">for each group over legislation affecting their </w:t>
      </w:r>
      <w:r w:rsidR="00AC2674" w:rsidRPr="003D66DD">
        <w:rPr>
          <w:rStyle w:val="normaltextrun"/>
          <w:rFonts w:ascii="Cambria" w:hAnsi="Cambria"/>
          <w:shd w:val="clear" w:color="auto" w:fill="FFFFFF"/>
        </w:rPr>
        <w:t xml:space="preserve">perceived </w:t>
      </w:r>
      <w:r w:rsidR="00A02C8E" w:rsidRPr="003D66DD">
        <w:rPr>
          <w:rStyle w:val="normaltextrun"/>
          <w:rFonts w:ascii="Cambria" w:hAnsi="Cambria"/>
          <w:shd w:val="clear" w:color="auto" w:fill="FFFFFF"/>
        </w:rPr>
        <w:t>vital national interests (</w:t>
      </w:r>
      <w:proofErr w:type="spellStart"/>
      <w:r w:rsidR="00A02C8E" w:rsidRPr="003D66DD">
        <w:rPr>
          <w:rStyle w:val="normaltextrun"/>
          <w:rFonts w:ascii="Cambria" w:hAnsi="Cambria"/>
          <w:shd w:val="clear" w:color="auto" w:fill="FFFFFF"/>
        </w:rPr>
        <w:t>McEvoy</w:t>
      </w:r>
      <w:proofErr w:type="spellEnd"/>
      <w:r w:rsidR="00A02C8E" w:rsidRPr="003D66DD">
        <w:rPr>
          <w:rStyle w:val="normaltextrun"/>
          <w:rFonts w:ascii="Cambria" w:hAnsi="Cambria"/>
          <w:shd w:val="clear" w:color="auto" w:fill="FFFFFF"/>
        </w:rPr>
        <w:t>, 201</w:t>
      </w:r>
      <w:r w:rsidR="00D35959" w:rsidRPr="003D66DD">
        <w:rPr>
          <w:rStyle w:val="normaltextrun"/>
          <w:rFonts w:ascii="Cambria" w:hAnsi="Cambria"/>
          <w:shd w:val="clear" w:color="auto" w:fill="FFFFFF"/>
        </w:rPr>
        <w:t>5</w:t>
      </w:r>
      <w:r w:rsidR="00A02C8E" w:rsidRPr="003D66DD">
        <w:rPr>
          <w:rStyle w:val="normaltextrun"/>
          <w:rFonts w:ascii="Cambria" w:hAnsi="Cambria"/>
          <w:shd w:val="clear" w:color="auto" w:fill="FFFFFF"/>
        </w:rPr>
        <w:t xml:space="preserve">).  </w:t>
      </w:r>
      <w:r w:rsidR="001A3830" w:rsidRPr="003D66DD">
        <w:rPr>
          <w:rFonts w:ascii="Cambria" w:hAnsi="Cambria"/>
        </w:rPr>
        <w:t xml:space="preserve">Delegates are elected to the state lower house of parliament through a Proportional Representation (PR) open party list system (a reform introduced for the 2000 elections before which lists were closed) (Bieber, 2006: 95) </w:t>
      </w:r>
      <w:r w:rsidR="001A1791">
        <w:rPr>
          <w:rFonts w:ascii="Cambria" w:hAnsi="Cambria"/>
        </w:rPr>
        <w:t>with a 3%</w:t>
      </w:r>
      <w:r w:rsidR="00BC0A77" w:rsidRPr="003D66DD">
        <w:rPr>
          <w:rFonts w:ascii="Cambria" w:hAnsi="Cambria"/>
        </w:rPr>
        <w:t xml:space="preserve"> threshold for entering parliament</w:t>
      </w:r>
      <w:r w:rsidR="00EE7800">
        <w:rPr>
          <w:rFonts w:ascii="Cambria" w:hAnsi="Cambria"/>
        </w:rPr>
        <w:t>,</w:t>
      </w:r>
      <w:r w:rsidR="00BC0A77" w:rsidRPr="003D66DD">
        <w:rPr>
          <w:rFonts w:ascii="Cambria" w:hAnsi="Cambria"/>
        </w:rPr>
        <w:t xml:space="preserve"> and </w:t>
      </w:r>
      <w:r w:rsidR="001A3830" w:rsidRPr="003D66DD">
        <w:rPr>
          <w:rFonts w:ascii="Cambria" w:hAnsi="Cambria"/>
        </w:rPr>
        <w:t xml:space="preserve">two thirds elected in </w:t>
      </w:r>
      <w:proofErr w:type="spellStart"/>
      <w:r w:rsidR="001A3830" w:rsidRPr="003D66DD">
        <w:rPr>
          <w:rFonts w:ascii="Cambria" w:hAnsi="Cambria"/>
        </w:rPr>
        <w:t>FBiH</w:t>
      </w:r>
      <w:proofErr w:type="spellEnd"/>
      <w:r w:rsidR="001A3830" w:rsidRPr="003D66DD">
        <w:rPr>
          <w:rFonts w:ascii="Cambria" w:hAnsi="Cambria"/>
        </w:rPr>
        <w:t xml:space="preserve"> and one third in the RS. </w:t>
      </w:r>
      <w:r w:rsidR="001A3830" w:rsidRPr="003D66DD">
        <w:rPr>
          <w:rStyle w:val="normaltextrun"/>
          <w:rFonts w:ascii="Cambria" w:hAnsi="Cambria"/>
          <w:shd w:val="clear" w:color="auto" w:fill="FFFFFF"/>
        </w:rPr>
        <w:t xml:space="preserve"> </w:t>
      </w:r>
      <w:r w:rsidR="00D35959" w:rsidRPr="003D66DD">
        <w:rPr>
          <w:rStyle w:val="normaltextrun"/>
          <w:rFonts w:ascii="Cambria" w:hAnsi="Cambria"/>
          <w:shd w:val="clear" w:color="auto" w:fill="FFFFFF"/>
        </w:rPr>
        <w:t xml:space="preserve">International actors are also accorded a central role in </w:t>
      </w:r>
      <w:r w:rsidR="00AC2674" w:rsidRPr="003D66DD">
        <w:rPr>
          <w:rStyle w:val="normaltextrun"/>
          <w:rFonts w:ascii="Cambria" w:hAnsi="Cambria"/>
          <w:shd w:val="clear" w:color="auto" w:fill="FFFFFF"/>
        </w:rPr>
        <w:t>g</w:t>
      </w:r>
      <w:r w:rsidR="00D35959" w:rsidRPr="003D66DD">
        <w:rPr>
          <w:rStyle w:val="normaltextrun"/>
          <w:rFonts w:ascii="Cambria" w:hAnsi="Cambria"/>
          <w:shd w:val="clear" w:color="auto" w:fill="FFFFFF"/>
        </w:rPr>
        <w:t xml:space="preserve">overnance, primarily through the Office of High Representative </w:t>
      </w:r>
      <w:r w:rsidR="00C00A6D">
        <w:rPr>
          <w:rStyle w:val="normaltextrun"/>
          <w:rFonts w:ascii="Cambria" w:hAnsi="Cambria"/>
          <w:shd w:val="clear" w:color="auto" w:fill="FFFFFF"/>
        </w:rPr>
        <w:t>(OHR)</w:t>
      </w:r>
      <w:r w:rsidR="003E0909">
        <w:rPr>
          <w:rStyle w:val="normaltextrun"/>
          <w:rFonts w:ascii="Cambria" w:hAnsi="Cambria"/>
          <w:shd w:val="clear" w:color="auto" w:fill="FFFFFF"/>
        </w:rPr>
        <w:t>,</w:t>
      </w:r>
      <w:r w:rsidR="00C00A6D">
        <w:rPr>
          <w:rStyle w:val="normaltextrun"/>
          <w:rFonts w:ascii="Cambria" w:hAnsi="Cambria"/>
          <w:shd w:val="clear" w:color="auto" w:fill="FFFFFF"/>
        </w:rPr>
        <w:t xml:space="preserve"> </w:t>
      </w:r>
      <w:r w:rsidR="00D35959" w:rsidRPr="003D66DD">
        <w:rPr>
          <w:rStyle w:val="normaltextrun"/>
          <w:rFonts w:ascii="Cambria" w:hAnsi="Cambria"/>
          <w:shd w:val="clear" w:color="auto" w:fill="FFFFFF"/>
        </w:rPr>
        <w:t>which wields extensive legislative and executive power (</w:t>
      </w:r>
      <w:r w:rsidR="00D35959" w:rsidRPr="003D66DD">
        <w:rPr>
          <w:rFonts w:ascii="Cambria" w:hAnsi="Cambria"/>
        </w:rPr>
        <w:t xml:space="preserve">McCulloch, 2014).  </w:t>
      </w:r>
    </w:p>
    <w:p w14:paraId="6964B78E" w14:textId="77777777" w:rsidR="00604AC2" w:rsidRDefault="00604AC2">
      <w:pPr>
        <w:spacing w:after="160" w:line="259" w:lineRule="auto"/>
        <w:rPr>
          <w:rStyle w:val="normaltextrun"/>
          <w:rFonts w:ascii="Cambria" w:hAnsi="Cambria"/>
          <w:b/>
          <w:i/>
          <w:shd w:val="clear" w:color="auto" w:fill="FFFFFF"/>
        </w:rPr>
      </w:pPr>
      <w:r>
        <w:rPr>
          <w:rStyle w:val="normaltextrun"/>
          <w:rFonts w:ascii="Cambria" w:hAnsi="Cambria"/>
          <w:b/>
          <w:i/>
          <w:shd w:val="clear" w:color="auto" w:fill="FFFFFF"/>
        </w:rPr>
        <w:br w:type="page"/>
      </w:r>
    </w:p>
    <w:p w14:paraId="19051757" w14:textId="628A2971" w:rsidR="00303596" w:rsidRPr="003D66DD" w:rsidRDefault="00EE7800" w:rsidP="004228D5">
      <w:pPr>
        <w:spacing w:after="240" w:line="360" w:lineRule="auto"/>
        <w:outlineLvl w:val="0"/>
        <w:rPr>
          <w:rStyle w:val="normaltextrun"/>
          <w:rFonts w:ascii="Cambria" w:hAnsi="Cambria"/>
          <w:b/>
          <w:i/>
          <w:shd w:val="clear" w:color="auto" w:fill="FFFFFF"/>
        </w:rPr>
      </w:pPr>
      <w:r>
        <w:rPr>
          <w:rStyle w:val="normaltextrun"/>
          <w:rFonts w:ascii="Cambria" w:hAnsi="Cambria"/>
          <w:b/>
          <w:i/>
          <w:shd w:val="clear" w:color="auto" w:fill="FFFFFF"/>
        </w:rPr>
        <w:lastRenderedPageBreak/>
        <w:t>Political A</w:t>
      </w:r>
      <w:r w:rsidR="00303596" w:rsidRPr="003D66DD">
        <w:rPr>
          <w:rStyle w:val="normaltextrun"/>
          <w:rFonts w:ascii="Cambria" w:hAnsi="Cambria"/>
          <w:b/>
          <w:i/>
          <w:shd w:val="clear" w:color="auto" w:fill="FFFFFF"/>
        </w:rPr>
        <w:t xml:space="preserve">ctors </w:t>
      </w:r>
      <w:r w:rsidR="000E381B" w:rsidRPr="003D66DD">
        <w:rPr>
          <w:rStyle w:val="normaltextrun"/>
          <w:rFonts w:ascii="Cambria" w:hAnsi="Cambria"/>
          <w:b/>
          <w:i/>
          <w:shd w:val="clear" w:color="auto" w:fill="FFFFFF"/>
        </w:rPr>
        <w:t>and</w:t>
      </w:r>
      <w:r>
        <w:rPr>
          <w:rStyle w:val="normaltextrun"/>
          <w:rFonts w:ascii="Cambria" w:hAnsi="Cambria"/>
          <w:b/>
          <w:i/>
          <w:shd w:val="clear" w:color="auto" w:fill="FFFFFF"/>
        </w:rPr>
        <w:t xml:space="preserve"> D</w:t>
      </w:r>
      <w:r w:rsidR="00303596" w:rsidRPr="003D66DD">
        <w:rPr>
          <w:rStyle w:val="normaltextrun"/>
          <w:rFonts w:ascii="Cambria" w:hAnsi="Cambria"/>
          <w:b/>
          <w:i/>
          <w:shd w:val="clear" w:color="auto" w:fill="FFFFFF"/>
        </w:rPr>
        <w:t>ynamics</w:t>
      </w:r>
    </w:p>
    <w:p w14:paraId="09C0A642" w14:textId="3F1A9F17" w:rsidR="00AC2674" w:rsidRPr="003D66DD" w:rsidRDefault="00262A23" w:rsidP="001D110D">
      <w:pPr>
        <w:spacing w:after="240" w:line="360" w:lineRule="auto"/>
        <w:rPr>
          <w:rStyle w:val="normaltextrun"/>
          <w:rFonts w:ascii="Cambria" w:hAnsi="Cambria"/>
          <w:shd w:val="clear" w:color="auto" w:fill="FFFFFF"/>
        </w:rPr>
      </w:pPr>
      <w:r w:rsidRPr="003D66DD">
        <w:rPr>
          <w:rStyle w:val="normaltextrun"/>
          <w:rFonts w:ascii="Cambria" w:hAnsi="Cambria"/>
          <w:shd w:val="clear" w:color="auto" w:fill="FFFFFF"/>
        </w:rPr>
        <w:t>T</w:t>
      </w:r>
      <w:r w:rsidR="00AC2674" w:rsidRPr="003D66DD">
        <w:rPr>
          <w:rStyle w:val="normaltextrun"/>
          <w:rFonts w:ascii="Cambria" w:hAnsi="Cambria"/>
          <w:shd w:val="clear" w:color="auto" w:fill="FFFFFF"/>
        </w:rPr>
        <w:t xml:space="preserve">he practice of politics </w:t>
      </w:r>
      <w:r w:rsidRPr="003D66DD">
        <w:rPr>
          <w:rStyle w:val="normaltextrun"/>
          <w:rFonts w:ascii="Cambria" w:hAnsi="Cambria"/>
          <w:shd w:val="clear" w:color="auto" w:fill="FFFFFF"/>
        </w:rPr>
        <w:t xml:space="preserve">within these institutions </w:t>
      </w:r>
      <w:r w:rsidR="00AC2674" w:rsidRPr="003D66DD">
        <w:rPr>
          <w:rStyle w:val="normaltextrun"/>
          <w:rFonts w:ascii="Cambria" w:hAnsi="Cambria"/>
          <w:shd w:val="clear" w:color="auto" w:fill="FFFFFF"/>
        </w:rPr>
        <w:t xml:space="preserve">is marked by ethnic polarisation and dysfunction. Ethno-national parties continue to dominate and advance divergent constitutional aspirations, with </w:t>
      </w:r>
      <w:proofErr w:type="spellStart"/>
      <w:r w:rsidR="00AC2674" w:rsidRPr="003D66DD">
        <w:rPr>
          <w:rStyle w:val="normaltextrun"/>
          <w:rFonts w:ascii="Cambria" w:hAnsi="Cambria"/>
          <w:shd w:val="clear" w:color="auto" w:fill="FFFFFF"/>
        </w:rPr>
        <w:t>Bosniak</w:t>
      </w:r>
      <w:proofErr w:type="spellEnd"/>
      <w:r w:rsidR="00AC2674" w:rsidRPr="003D66DD">
        <w:rPr>
          <w:rStyle w:val="normaltextrun"/>
          <w:rFonts w:ascii="Cambria" w:hAnsi="Cambria"/>
          <w:shd w:val="clear" w:color="auto" w:fill="FFFFFF"/>
        </w:rPr>
        <w:t xml:space="preserve"> parties seeking greater state centralisation while Serb and Croat actors push for greater territori</w:t>
      </w:r>
      <w:r w:rsidR="00AD7642">
        <w:rPr>
          <w:rStyle w:val="normaltextrun"/>
          <w:rFonts w:ascii="Cambria" w:hAnsi="Cambria"/>
          <w:shd w:val="clear" w:color="auto" w:fill="FFFFFF"/>
        </w:rPr>
        <w:t>al autonomy</w:t>
      </w:r>
      <w:r w:rsidR="00AC2674" w:rsidRPr="003D66DD">
        <w:rPr>
          <w:rStyle w:val="normaltextrun"/>
          <w:rFonts w:ascii="Cambria" w:hAnsi="Cambria"/>
          <w:shd w:val="clear" w:color="auto" w:fill="FFFFFF"/>
        </w:rPr>
        <w:t xml:space="preserve"> through a strengthened Serb Republic and the creation of a third Croat entity.  </w:t>
      </w:r>
      <w:r w:rsidR="00232A0A" w:rsidRPr="003D66DD">
        <w:rPr>
          <w:rStyle w:val="normaltextrun"/>
          <w:rFonts w:ascii="Cambria" w:hAnsi="Cambria"/>
          <w:shd w:val="clear" w:color="auto" w:fill="FFFFFF"/>
        </w:rPr>
        <w:t>Governance has been prone to instability and blockage with extensive use of the veto by ethnic actors, not least Serb parties</w:t>
      </w:r>
      <w:r w:rsidRPr="003D66DD">
        <w:rPr>
          <w:rStyle w:val="normaltextrun"/>
          <w:rFonts w:ascii="Cambria" w:hAnsi="Cambria"/>
          <w:shd w:val="clear" w:color="auto" w:fill="FFFFFF"/>
        </w:rPr>
        <w:t xml:space="preserve"> (</w:t>
      </w:r>
      <w:proofErr w:type="spellStart"/>
      <w:r w:rsidRPr="003D66DD">
        <w:rPr>
          <w:rFonts w:ascii="Cambria" w:hAnsi="Cambria"/>
          <w:noProof/>
        </w:rPr>
        <w:t>Bahtić-Kunrath</w:t>
      </w:r>
      <w:proofErr w:type="spellEnd"/>
      <w:r w:rsidRPr="003D66DD">
        <w:rPr>
          <w:rFonts w:ascii="Cambria" w:hAnsi="Cambria"/>
          <w:noProof/>
        </w:rPr>
        <w:t>, 2011)</w:t>
      </w:r>
      <w:r w:rsidR="00232A0A" w:rsidRPr="003D66DD">
        <w:rPr>
          <w:rStyle w:val="normaltextrun"/>
          <w:rFonts w:ascii="Cambria" w:hAnsi="Cambria"/>
          <w:shd w:val="clear" w:color="auto" w:fill="FFFFFF"/>
        </w:rPr>
        <w:t xml:space="preserve">, and ethno-national </w:t>
      </w:r>
      <w:proofErr w:type="spellStart"/>
      <w:r w:rsidR="00232A0A" w:rsidRPr="003D66DD">
        <w:rPr>
          <w:rStyle w:val="normaltextrun"/>
          <w:rFonts w:ascii="Cambria" w:hAnsi="Cambria"/>
          <w:shd w:val="clear" w:color="auto" w:fill="FFFFFF"/>
        </w:rPr>
        <w:t>clientelism</w:t>
      </w:r>
      <w:proofErr w:type="spellEnd"/>
      <w:r w:rsidR="00232A0A" w:rsidRPr="003D66DD">
        <w:rPr>
          <w:rStyle w:val="normaltextrun"/>
          <w:rFonts w:ascii="Cambria" w:hAnsi="Cambria"/>
          <w:shd w:val="clear" w:color="auto" w:fill="FFFFFF"/>
        </w:rPr>
        <w:t xml:space="preserve"> and patronage form distinct features of political life (</w:t>
      </w:r>
      <w:proofErr w:type="spellStart"/>
      <w:r w:rsidRPr="003D66DD">
        <w:rPr>
          <w:rFonts w:ascii="Cambria" w:hAnsi="Cambria"/>
        </w:rPr>
        <w:t>Grandits</w:t>
      </w:r>
      <w:proofErr w:type="spellEnd"/>
      <w:r w:rsidRPr="003D66DD">
        <w:rPr>
          <w:rFonts w:ascii="Cambria" w:hAnsi="Cambria"/>
        </w:rPr>
        <w:t>, 2007</w:t>
      </w:r>
      <w:r w:rsidR="00EE7800">
        <w:rPr>
          <w:rFonts w:ascii="Cambria" w:hAnsi="Cambria"/>
        </w:rPr>
        <w:t>; UNDP, 2009</w:t>
      </w:r>
      <w:r w:rsidR="00232A0A" w:rsidRPr="003D66DD">
        <w:rPr>
          <w:rStyle w:val="normaltextrun"/>
          <w:rFonts w:ascii="Cambria" w:hAnsi="Cambria"/>
          <w:shd w:val="clear" w:color="auto" w:fill="FFFFFF"/>
        </w:rPr>
        <w:t xml:space="preserve">).  From its creation, the Dayton system has been criticised for its dysfunction, entrenchment of ethnic division and discrimination against non-constituent peoples.  Indeed, the European Court of Human Rights has now ruled </w:t>
      </w:r>
      <w:r w:rsidR="004E0CF8" w:rsidRPr="003D66DD">
        <w:rPr>
          <w:rStyle w:val="normaltextrun"/>
          <w:rFonts w:ascii="Cambria" w:hAnsi="Cambria"/>
          <w:shd w:val="clear" w:color="auto" w:fill="FFFFFF"/>
        </w:rPr>
        <w:t xml:space="preserve">against the state of </w:t>
      </w:r>
      <w:proofErr w:type="spellStart"/>
      <w:r w:rsidR="004E0CF8" w:rsidRPr="003D66DD">
        <w:rPr>
          <w:rStyle w:val="normaltextrun"/>
          <w:rFonts w:ascii="Cambria" w:hAnsi="Cambria"/>
          <w:shd w:val="clear" w:color="auto" w:fill="FFFFFF"/>
        </w:rPr>
        <w:t>BiH</w:t>
      </w:r>
      <w:proofErr w:type="spellEnd"/>
      <w:r w:rsidR="004E0CF8" w:rsidRPr="003D66DD">
        <w:rPr>
          <w:rStyle w:val="normaltextrun"/>
          <w:rFonts w:ascii="Cambria" w:hAnsi="Cambria"/>
          <w:shd w:val="clear" w:color="auto" w:fill="FFFFFF"/>
        </w:rPr>
        <w:t xml:space="preserve"> </w:t>
      </w:r>
      <w:r w:rsidR="00232A0A" w:rsidRPr="003D66DD">
        <w:rPr>
          <w:rStyle w:val="normaltextrun"/>
          <w:rFonts w:ascii="Cambria" w:hAnsi="Cambria"/>
          <w:shd w:val="clear" w:color="auto" w:fill="FFFFFF"/>
        </w:rPr>
        <w:t>on three occasions</w:t>
      </w:r>
      <w:r w:rsidR="004E0CF8" w:rsidRPr="003D66DD">
        <w:rPr>
          <w:rStyle w:val="normaltextrun"/>
          <w:rFonts w:ascii="Cambria" w:hAnsi="Cambria"/>
          <w:shd w:val="clear" w:color="auto" w:fill="FFFFFF"/>
        </w:rPr>
        <w:t xml:space="preserve"> for not extending equal rights to those who do not identify as </w:t>
      </w:r>
      <w:proofErr w:type="spellStart"/>
      <w:r w:rsidR="004E0CF8" w:rsidRPr="003D66DD">
        <w:rPr>
          <w:rStyle w:val="normaltextrun"/>
          <w:rFonts w:ascii="Cambria" w:hAnsi="Cambria"/>
          <w:shd w:val="clear" w:color="auto" w:fill="FFFFFF"/>
        </w:rPr>
        <w:t>Bosniak</w:t>
      </w:r>
      <w:proofErr w:type="spellEnd"/>
      <w:r w:rsidR="004E0CF8" w:rsidRPr="003D66DD">
        <w:rPr>
          <w:rStyle w:val="normaltextrun"/>
          <w:rFonts w:ascii="Cambria" w:hAnsi="Cambria"/>
          <w:shd w:val="clear" w:color="auto" w:fill="FFFFFF"/>
        </w:rPr>
        <w:t>, Croat or Serb (as well as members of th</w:t>
      </w:r>
      <w:r w:rsidRPr="003D66DD">
        <w:rPr>
          <w:rStyle w:val="normaltextrun"/>
          <w:rFonts w:ascii="Cambria" w:hAnsi="Cambria"/>
          <w:shd w:val="clear" w:color="auto" w:fill="FFFFFF"/>
        </w:rPr>
        <w:t xml:space="preserve">ese </w:t>
      </w:r>
      <w:r w:rsidR="004E0CF8" w:rsidRPr="003D66DD">
        <w:rPr>
          <w:rStyle w:val="normaltextrun"/>
          <w:rFonts w:ascii="Cambria" w:hAnsi="Cambria"/>
          <w:shd w:val="clear" w:color="auto" w:fill="FFFFFF"/>
        </w:rPr>
        <w:t>group</w:t>
      </w:r>
      <w:r w:rsidRPr="003D66DD">
        <w:rPr>
          <w:rStyle w:val="normaltextrun"/>
          <w:rFonts w:ascii="Cambria" w:hAnsi="Cambria"/>
          <w:shd w:val="clear" w:color="auto" w:fill="FFFFFF"/>
        </w:rPr>
        <w:t>s</w:t>
      </w:r>
      <w:r w:rsidR="004E0CF8" w:rsidRPr="003D66DD">
        <w:rPr>
          <w:rStyle w:val="normaltextrun"/>
          <w:rFonts w:ascii="Cambria" w:hAnsi="Cambria"/>
          <w:shd w:val="clear" w:color="auto" w:fill="FFFFFF"/>
        </w:rPr>
        <w:t xml:space="preserve"> </w:t>
      </w:r>
      <w:r w:rsidRPr="003D66DD">
        <w:rPr>
          <w:rStyle w:val="normaltextrun"/>
          <w:rFonts w:ascii="Cambria" w:hAnsi="Cambria"/>
          <w:shd w:val="clear" w:color="auto" w:fill="FFFFFF"/>
        </w:rPr>
        <w:t xml:space="preserve">residing </w:t>
      </w:r>
      <w:r w:rsidR="004E0CF8" w:rsidRPr="003D66DD">
        <w:rPr>
          <w:rStyle w:val="normaltextrun"/>
          <w:rFonts w:ascii="Cambria" w:hAnsi="Cambria"/>
          <w:shd w:val="clear" w:color="auto" w:fill="FFFFFF"/>
        </w:rPr>
        <w:t xml:space="preserve">in the </w:t>
      </w:r>
      <w:r w:rsidRPr="003D66DD">
        <w:rPr>
          <w:rStyle w:val="normaltextrun"/>
          <w:rFonts w:ascii="Cambria" w:hAnsi="Cambria"/>
          <w:shd w:val="clear" w:color="auto" w:fill="FFFFFF"/>
        </w:rPr>
        <w:t xml:space="preserve">‘wrong’ </w:t>
      </w:r>
      <w:r w:rsidR="004E0CF8" w:rsidRPr="003D66DD">
        <w:rPr>
          <w:rStyle w:val="normaltextrun"/>
          <w:rFonts w:ascii="Cambria" w:hAnsi="Cambria"/>
          <w:shd w:val="clear" w:color="auto" w:fill="FFFFFF"/>
        </w:rPr>
        <w:t>entity</w:t>
      </w:r>
      <w:r w:rsidRPr="003D66DD">
        <w:rPr>
          <w:rStyle w:val="normaltextrun"/>
          <w:rFonts w:ascii="Cambria" w:hAnsi="Cambria"/>
          <w:shd w:val="clear" w:color="auto" w:fill="FFFFFF"/>
        </w:rPr>
        <w:t xml:space="preserve"> under electoral rules</w:t>
      </w:r>
      <w:r w:rsidR="004E0CF8" w:rsidRPr="003D66DD">
        <w:rPr>
          <w:rStyle w:val="normaltextrun"/>
          <w:rFonts w:ascii="Cambria" w:hAnsi="Cambria"/>
          <w:shd w:val="clear" w:color="auto" w:fill="FFFFFF"/>
        </w:rPr>
        <w:t>) from contesting elections to the state presidency and upper house</w:t>
      </w:r>
      <w:r w:rsidR="00EB6FCF" w:rsidRPr="003D66DD">
        <w:rPr>
          <w:rStyle w:val="normaltextrun"/>
          <w:rFonts w:ascii="Cambria" w:hAnsi="Cambria"/>
          <w:shd w:val="clear" w:color="auto" w:fill="FFFFFF"/>
        </w:rPr>
        <w:t xml:space="preserve"> </w:t>
      </w:r>
      <w:r w:rsidR="009B640F" w:rsidRPr="003D66DD">
        <w:rPr>
          <w:rStyle w:val="normaltextrun"/>
          <w:rFonts w:ascii="Cambria" w:hAnsi="Cambria"/>
          <w:shd w:val="clear" w:color="auto" w:fill="FFFFFF"/>
        </w:rPr>
        <w:t>(</w:t>
      </w:r>
      <w:proofErr w:type="spellStart"/>
      <w:r w:rsidR="00EE7800">
        <w:rPr>
          <w:rStyle w:val="normaltextrun"/>
          <w:rFonts w:ascii="Cambria" w:hAnsi="Cambria"/>
          <w:shd w:val="clear" w:color="auto" w:fill="FFFFFF"/>
        </w:rPr>
        <w:t>Agarin</w:t>
      </w:r>
      <w:proofErr w:type="spellEnd"/>
      <w:r w:rsidR="00EE7800">
        <w:rPr>
          <w:rStyle w:val="normaltextrun"/>
          <w:rFonts w:ascii="Cambria" w:hAnsi="Cambria"/>
          <w:shd w:val="clear" w:color="auto" w:fill="FFFFFF"/>
        </w:rPr>
        <w:t xml:space="preserve"> et al., 2018; </w:t>
      </w:r>
      <w:r w:rsidR="00EB6FCF" w:rsidRPr="003D66DD">
        <w:rPr>
          <w:rStyle w:val="normaltextrun"/>
          <w:rFonts w:ascii="Cambria" w:hAnsi="Cambria"/>
          <w:shd w:val="clear" w:color="auto" w:fill="FFFFFF"/>
        </w:rPr>
        <w:t>ECHR, 2018)</w:t>
      </w:r>
      <w:r w:rsidR="004E0CF8" w:rsidRPr="003D66DD">
        <w:rPr>
          <w:rStyle w:val="normaltextrun"/>
          <w:rFonts w:ascii="Cambria" w:hAnsi="Cambria"/>
          <w:shd w:val="clear" w:color="auto" w:fill="FFFFFF"/>
        </w:rPr>
        <w:t xml:space="preserve">.  </w:t>
      </w:r>
      <w:r w:rsidR="00232A0A" w:rsidRPr="003D66DD">
        <w:rPr>
          <w:rStyle w:val="normaltextrun"/>
          <w:rFonts w:ascii="Cambria" w:hAnsi="Cambria"/>
          <w:shd w:val="clear" w:color="auto" w:fill="FFFFFF"/>
        </w:rPr>
        <w:t xml:space="preserve">Yet, internationally-brokered attempts at constitutional reform </w:t>
      </w:r>
      <w:r w:rsidRPr="003D66DD">
        <w:rPr>
          <w:rStyle w:val="normaltextrun"/>
          <w:rFonts w:ascii="Cambria" w:hAnsi="Cambria"/>
          <w:shd w:val="clear" w:color="auto" w:fill="FFFFFF"/>
        </w:rPr>
        <w:t xml:space="preserve">to address these flaws </w:t>
      </w:r>
      <w:r w:rsidR="00232A0A" w:rsidRPr="003D66DD">
        <w:rPr>
          <w:rStyle w:val="normaltextrun"/>
          <w:rFonts w:ascii="Cambria" w:hAnsi="Cambria"/>
          <w:shd w:val="clear" w:color="auto" w:fill="FFFFFF"/>
        </w:rPr>
        <w:t>ha</w:t>
      </w:r>
      <w:r w:rsidRPr="003D66DD">
        <w:rPr>
          <w:rStyle w:val="normaltextrun"/>
          <w:rFonts w:ascii="Cambria" w:hAnsi="Cambria"/>
          <w:shd w:val="clear" w:color="auto" w:fill="FFFFFF"/>
        </w:rPr>
        <w:t>ve</w:t>
      </w:r>
      <w:r w:rsidR="00232A0A" w:rsidRPr="003D66DD">
        <w:rPr>
          <w:rStyle w:val="normaltextrun"/>
          <w:rFonts w:ascii="Cambria" w:hAnsi="Cambria"/>
          <w:shd w:val="clear" w:color="auto" w:fill="FFFFFF"/>
        </w:rPr>
        <w:t xml:space="preserve"> thus far failed, most notably in 2006 when</w:t>
      </w:r>
      <w:r w:rsidR="004E0CF8" w:rsidRPr="003D66DD">
        <w:rPr>
          <w:rStyle w:val="normaltextrun"/>
          <w:rFonts w:ascii="Cambria" w:hAnsi="Cambria"/>
          <w:shd w:val="clear" w:color="auto" w:fill="FFFFFF"/>
        </w:rPr>
        <w:t xml:space="preserve"> parties </w:t>
      </w:r>
      <w:r w:rsidRPr="003D66DD">
        <w:rPr>
          <w:rStyle w:val="normaltextrun"/>
          <w:rFonts w:ascii="Cambria" w:hAnsi="Cambria"/>
          <w:shd w:val="clear" w:color="auto" w:fill="FFFFFF"/>
        </w:rPr>
        <w:t xml:space="preserve">could not </w:t>
      </w:r>
      <w:r w:rsidR="004E0CF8" w:rsidRPr="003D66DD">
        <w:rPr>
          <w:rStyle w:val="normaltextrun"/>
          <w:rFonts w:ascii="Cambria" w:hAnsi="Cambria"/>
          <w:shd w:val="clear" w:color="auto" w:fill="FFFFFF"/>
        </w:rPr>
        <w:t xml:space="preserve">reach agreement </w:t>
      </w:r>
      <w:r w:rsidR="009B640F" w:rsidRPr="003D66DD">
        <w:rPr>
          <w:rStyle w:val="normaltextrun"/>
          <w:rFonts w:ascii="Cambria" w:hAnsi="Cambria"/>
          <w:shd w:val="clear" w:color="auto" w:fill="FFFFFF"/>
        </w:rPr>
        <w:t xml:space="preserve">on </w:t>
      </w:r>
      <w:r w:rsidR="00232A0A" w:rsidRPr="003D66DD">
        <w:rPr>
          <w:rStyle w:val="normaltextrun"/>
          <w:rFonts w:ascii="Cambria" w:hAnsi="Cambria"/>
          <w:shd w:val="clear" w:color="auto" w:fill="FFFFFF"/>
        </w:rPr>
        <w:t>the ‘April Package’ (</w:t>
      </w:r>
      <w:proofErr w:type="spellStart"/>
      <w:r w:rsidR="004E0CF8" w:rsidRPr="003D66DD">
        <w:rPr>
          <w:rFonts w:ascii="Cambria" w:hAnsi="Cambria"/>
        </w:rPr>
        <w:t>Belloni</w:t>
      </w:r>
      <w:proofErr w:type="spellEnd"/>
      <w:r w:rsidR="004E0CF8" w:rsidRPr="003D66DD">
        <w:rPr>
          <w:rFonts w:ascii="Cambria" w:hAnsi="Cambria"/>
        </w:rPr>
        <w:t>, 2007)</w:t>
      </w:r>
      <w:r w:rsidR="00232A0A" w:rsidRPr="003D66DD">
        <w:rPr>
          <w:rStyle w:val="normaltextrun"/>
          <w:rFonts w:ascii="Cambria" w:hAnsi="Cambria"/>
          <w:shd w:val="clear" w:color="auto" w:fill="FFFFFF"/>
        </w:rPr>
        <w:t xml:space="preserve">.  </w:t>
      </w:r>
      <w:r w:rsidR="00AC2674" w:rsidRPr="003D66DD">
        <w:rPr>
          <w:rStyle w:val="normaltextrun"/>
          <w:rFonts w:ascii="Cambria" w:hAnsi="Cambria"/>
          <w:shd w:val="clear" w:color="auto" w:fill="FFFFFF"/>
        </w:rPr>
        <w:t xml:space="preserve">Against this backdrop, </w:t>
      </w:r>
      <w:r w:rsidR="00125734">
        <w:rPr>
          <w:rStyle w:val="normaltextrun"/>
          <w:rFonts w:ascii="Cambria" w:hAnsi="Cambria"/>
          <w:shd w:val="clear" w:color="auto" w:fill="FFFFFF"/>
        </w:rPr>
        <w:t xml:space="preserve">a </w:t>
      </w:r>
      <w:r w:rsidR="004E0CF8" w:rsidRPr="003D66DD">
        <w:rPr>
          <w:rFonts w:ascii="Cambria" w:hAnsi="Cambria"/>
        </w:rPr>
        <w:t xml:space="preserve">Stabilisation and Association Agreement (SAA) </w:t>
      </w:r>
      <w:r w:rsidR="00125734">
        <w:rPr>
          <w:rFonts w:ascii="Cambria" w:hAnsi="Cambria"/>
        </w:rPr>
        <w:t xml:space="preserve">was </w:t>
      </w:r>
      <w:r w:rsidR="004E0CF8" w:rsidRPr="003D66DD">
        <w:rPr>
          <w:rFonts w:ascii="Cambria" w:hAnsi="Cambria"/>
        </w:rPr>
        <w:t xml:space="preserve">signed </w:t>
      </w:r>
      <w:r w:rsidR="00125734">
        <w:rPr>
          <w:rFonts w:ascii="Cambria" w:hAnsi="Cambria"/>
        </w:rPr>
        <w:t xml:space="preserve">with the European Union </w:t>
      </w:r>
      <w:r w:rsidR="004E0CF8" w:rsidRPr="003D66DD">
        <w:rPr>
          <w:rFonts w:ascii="Cambria" w:hAnsi="Cambria"/>
        </w:rPr>
        <w:t>in 2008 and activated in 2015</w:t>
      </w:r>
      <w:r w:rsidR="00125734">
        <w:rPr>
          <w:rFonts w:ascii="Cambria" w:hAnsi="Cambria"/>
        </w:rPr>
        <w:t xml:space="preserve"> but </w:t>
      </w:r>
      <w:r w:rsidR="00125734" w:rsidRPr="003D66DD">
        <w:rPr>
          <w:rStyle w:val="normaltextrun"/>
          <w:rFonts w:ascii="Cambria" w:hAnsi="Cambria"/>
          <w:shd w:val="clear" w:color="auto" w:fill="FFFFFF"/>
        </w:rPr>
        <w:t>progress towards accession has been slow</w:t>
      </w:r>
      <w:r w:rsidR="004E0CF8" w:rsidRPr="003D66DD">
        <w:rPr>
          <w:rFonts w:ascii="Cambria" w:hAnsi="Cambria"/>
        </w:rPr>
        <w:t xml:space="preserve">.  </w:t>
      </w:r>
    </w:p>
    <w:p w14:paraId="736C453F" w14:textId="2D9C71E1" w:rsidR="00A25E71" w:rsidRPr="003D66DD" w:rsidRDefault="00EE7800" w:rsidP="004228D5">
      <w:pPr>
        <w:spacing w:after="240" w:line="360" w:lineRule="auto"/>
        <w:outlineLvl w:val="0"/>
        <w:rPr>
          <w:rStyle w:val="normaltextrun"/>
          <w:rFonts w:ascii="Cambria" w:hAnsi="Cambria"/>
          <w:b/>
          <w:i/>
          <w:shd w:val="clear" w:color="auto" w:fill="FFFFFF"/>
        </w:rPr>
      </w:pPr>
      <w:r>
        <w:rPr>
          <w:rStyle w:val="normaltextrun"/>
          <w:rFonts w:ascii="Cambria" w:hAnsi="Cambria"/>
          <w:b/>
          <w:i/>
          <w:shd w:val="clear" w:color="auto" w:fill="FFFFFF"/>
        </w:rPr>
        <w:t>Gender P</w:t>
      </w:r>
      <w:r w:rsidR="00350503" w:rsidRPr="003D66DD">
        <w:rPr>
          <w:rStyle w:val="normaltextrun"/>
          <w:rFonts w:ascii="Cambria" w:hAnsi="Cambria"/>
          <w:b/>
          <w:i/>
          <w:shd w:val="clear" w:color="auto" w:fill="FFFFFF"/>
        </w:rPr>
        <w:t>rovisions</w:t>
      </w:r>
      <w:r w:rsidR="00132274" w:rsidRPr="003D66DD">
        <w:rPr>
          <w:rStyle w:val="normaltextrun"/>
          <w:rFonts w:ascii="Cambria" w:hAnsi="Cambria"/>
          <w:b/>
          <w:i/>
          <w:shd w:val="clear" w:color="auto" w:fill="FFFFFF"/>
        </w:rPr>
        <w:t xml:space="preserve"> </w:t>
      </w:r>
    </w:p>
    <w:p w14:paraId="0CB12A72" w14:textId="2CD05E9F" w:rsidR="00A4664D" w:rsidRDefault="001D110D" w:rsidP="008F4875">
      <w:pPr>
        <w:pStyle w:val="p1"/>
        <w:spacing w:line="360" w:lineRule="auto"/>
        <w:rPr>
          <w:rFonts w:ascii="Cambria" w:hAnsi="Cambria"/>
          <w:sz w:val="24"/>
          <w:szCs w:val="24"/>
        </w:rPr>
      </w:pPr>
      <w:r w:rsidRPr="00A4664D">
        <w:rPr>
          <w:rStyle w:val="normaltextrun"/>
          <w:rFonts w:ascii="Cambria" w:hAnsi="Cambria"/>
          <w:sz w:val="24"/>
          <w:szCs w:val="24"/>
          <w:shd w:val="clear" w:color="auto" w:fill="FFFFFF"/>
        </w:rPr>
        <w:t xml:space="preserve">Dayton </w:t>
      </w:r>
      <w:r w:rsidR="00132274" w:rsidRPr="00A4664D">
        <w:rPr>
          <w:rStyle w:val="normaltextrun"/>
          <w:rFonts w:ascii="Cambria" w:hAnsi="Cambria"/>
          <w:sz w:val="24"/>
          <w:szCs w:val="24"/>
          <w:shd w:val="clear" w:color="auto" w:fill="FFFFFF"/>
        </w:rPr>
        <w:t xml:space="preserve">enshrined </w:t>
      </w:r>
      <w:r w:rsidR="009B640F" w:rsidRPr="00A4664D">
        <w:rPr>
          <w:rStyle w:val="normaltextrun"/>
          <w:rFonts w:ascii="Cambria" w:hAnsi="Cambria"/>
          <w:sz w:val="24"/>
          <w:szCs w:val="24"/>
          <w:shd w:val="clear" w:color="auto" w:fill="FFFFFF"/>
        </w:rPr>
        <w:t>several</w:t>
      </w:r>
      <w:r w:rsidR="00132274" w:rsidRPr="00A4664D">
        <w:rPr>
          <w:rStyle w:val="normaltextrun"/>
          <w:rFonts w:ascii="Cambria" w:hAnsi="Cambria"/>
          <w:sz w:val="24"/>
          <w:szCs w:val="24"/>
          <w:shd w:val="clear" w:color="auto" w:fill="FFFFFF"/>
        </w:rPr>
        <w:t xml:space="preserve"> international </w:t>
      </w:r>
      <w:r w:rsidR="00A25E71" w:rsidRPr="00A4664D">
        <w:rPr>
          <w:rStyle w:val="normaltextrun"/>
          <w:rFonts w:ascii="Cambria" w:hAnsi="Cambria"/>
          <w:sz w:val="24"/>
          <w:szCs w:val="24"/>
          <w:shd w:val="clear" w:color="auto" w:fill="FFFFFF"/>
        </w:rPr>
        <w:t xml:space="preserve">human rights </w:t>
      </w:r>
      <w:r w:rsidR="00132274" w:rsidRPr="00A4664D">
        <w:rPr>
          <w:rStyle w:val="normaltextrun"/>
          <w:rFonts w:ascii="Cambria" w:hAnsi="Cambria"/>
          <w:sz w:val="24"/>
          <w:szCs w:val="24"/>
          <w:shd w:val="clear" w:color="auto" w:fill="FFFFFF"/>
        </w:rPr>
        <w:t xml:space="preserve">treaties and conventions, such as the </w:t>
      </w:r>
      <w:r w:rsidR="00132274" w:rsidRPr="00A4664D">
        <w:rPr>
          <w:rFonts w:ascii="Cambria" w:hAnsi="Cambria"/>
          <w:sz w:val="24"/>
          <w:szCs w:val="24"/>
        </w:rPr>
        <w:t>European Convention for the Protection of Human Rights and Fundamental Freedoms</w:t>
      </w:r>
      <w:r w:rsidR="009B640F" w:rsidRPr="00A4664D">
        <w:rPr>
          <w:rStyle w:val="normaltextrun"/>
          <w:rFonts w:ascii="Cambria" w:hAnsi="Cambria"/>
          <w:sz w:val="24"/>
          <w:szCs w:val="24"/>
          <w:shd w:val="clear" w:color="auto" w:fill="FFFFFF"/>
        </w:rPr>
        <w:t>.</w:t>
      </w:r>
      <w:r w:rsidRPr="00A4664D">
        <w:rPr>
          <w:rStyle w:val="normaltextrun"/>
          <w:rFonts w:ascii="Cambria" w:hAnsi="Cambria"/>
          <w:sz w:val="24"/>
          <w:szCs w:val="24"/>
          <w:shd w:val="clear" w:color="auto" w:fill="FFFFFF"/>
        </w:rPr>
        <w:t xml:space="preserve"> </w:t>
      </w:r>
      <w:r w:rsidR="008F7B81">
        <w:rPr>
          <w:rFonts w:ascii="Cambria" w:hAnsi="Cambria"/>
          <w:sz w:val="24"/>
          <w:szCs w:val="24"/>
        </w:rPr>
        <w:t>The</w:t>
      </w:r>
      <w:r w:rsidR="008F7B81" w:rsidRPr="00A4664D">
        <w:rPr>
          <w:rFonts w:ascii="Cambria" w:hAnsi="Cambria"/>
          <w:sz w:val="24"/>
          <w:szCs w:val="24"/>
        </w:rPr>
        <w:t xml:space="preserve"> international </w:t>
      </w:r>
      <w:r w:rsidR="008F7B81" w:rsidRPr="008F7B81">
        <w:rPr>
          <w:rFonts w:ascii="Cambria" w:hAnsi="Cambria"/>
          <w:sz w:val="24"/>
          <w:szCs w:val="24"/>
        </w:rPr>
        <w:t>Convention on the Elimination of All Forms of Discrimination Against Women</w:t>
      </w:r>
      <w:r w:rsidR="008F7B81">
        <w:rPr>
          <w:rFonts w:ascii="Cambria" w:hAnsi="Cambria"/>
          <w:sz w:val="24"/>
          <w:szCs w:val="24"/>
        </w:rPr>
        <w:t xml:space="preserve"> (CEDAW) was carried over from the former Yugoslav Republic. </w:t>
      </w:r>
      <w:r w:rsidR="009B640F" w:rsidRPr="00A4664D">
        <w:rPr>
          <w:rStyle w:val="normaltextrun"/>
          <w:rFonts w:ascii="Cambria" w:hAnsi="Cambria"/>
          <w:sz w:val="24"/>
          <w:szCs w:val="24"/>
          <w:shd w:val="clear" w:color="auto" w:fill="FFFFFF"/>
        </w:rPr>
        <w:t xml:space="preserve">The </w:t>
      </w:r>
      <w:r w:rsidR="008F7B81">
        <w:rPr>
          <w:rStyle w:val="normaltextrun"/>
          <w:rFonts w:ascii="Cambria" w:hAnsi="Cambria"/>
          <w:sz w:val="24"/>
          <w:szCs w:val="24"/>
          <w:shd w:val="clear" w:color="auto" w:fill="FFFFFF"/>
        </w:rPr>
        <w:t xml:space="preserve">Dayton </w:t>
      </w:r>
      <w:r w:rsidR="009B640F" w:rsidRPr="00A4664D">
        <w:rPr>
          <w:rStyle w:val="normaltextrun"/>
          <w:rFonts w:ascii="Cambria" w:hAnsi="Cambria"/>
          <w:sz w:val="24"/>
          <w:szCs w:val="24"/>
          <w:shd w:val="clear" w:color="auto" w:fill="FFFFFF"/>
        </w:rPr>
        <w:t xml:space="preserve">Agreement was </w:t>
      </w:r>
      <w:r w:rsidRPr="00A4664D">
        <w:rPr>
          <w:rStyle w:val="normaltextrun"/>
          <w:rFonts w:ascii="Cambria" w:hAnsi="Cambria"/>
          <w:sz w:val="24"/>
          <w:szCs w:val="24"/>
          <w:shd w:val="clear" w:color="auto" w:fill="FFFFFF"/>
        </w:rPr>
        <w:t xml:space="preserve">signed five years before the passage of UNSCR 1325, </w:t>
      </w:r>
      <w:r w:rsidR="009B640F" w:rsidRPr="00A4664D">
        <w:rPr>
          <w:rStyle w:val="normaltextrun"/>
          <w:rFonts w:ascii="Cambria" w:hAnsi="Cambria"/>
          <w:sz w:val="24"/>
          <w:szCs w:val="24"/>
          <w:shd w:val="clear" w:color="auto" w:fill="FFFFFF"/>
        </w:rPr>
        <w:t xml:space="preserve">and </w:t>
      </w:r>
      <w:r w:rsidRPr="00A4664D">
        <w:rPr>
          <w:rStyle w:val="normaltextrun"/>
          <w:rFonts w:ascii="Cambria" w:hAnsi="Cambria"/>
          <w:sz w:val="24"/>
          <w:szCs w:val="24"/>
          <w:shd w:val="clear" w:color="auto" w:fill="FFFFFF"/>
        </w:rPr>
        <w:t xml:space="preserve">it </w:t>
      </w:r>
      <w:r w:rsidRPr="00A4664D">
        <w:rPr>
          <w:rStyle w:val="normaltextrun"/>
          <w:rFonts w:ascii="Cambria" w:hAnsi="Cambria"/>
          <w:bCs/>
          <w:sz w:val="24"/>
          <w:szCs w:val="24"/>
          <w:shd w:val="clear" w:color="auto" w:fill="FFFFFF"/>
        </w:rPr>
        <w:t>did not include specific provisions</w:t>
      </w:r>
      <w:r w:rsidRPr="00A4664D">
        <w:rPr>
          <w:rStyle w:val="normaltextrun"/>
          <w:rFonts w:ascii="Cambria" w:hAnsi="Cambria"/>
          <w:sz w:val="24"/>
          <w:szCs w:val="24"/>
          <w:shd w:val="clear" w:color="auto" w:fill="FFFFFF"/>
        </w:rPr>
        <w:t xml:space="preserve"> to tackle </w:t>
      </w:r>
      <w:r w:rsidR="00FA1487" w:rsidRPr="00A4664D">
        <w:rPr>
          <w:rStyle w:val="normaltextrun"/>
          <w:rFonts w:ascii="Cambria" w:hAnsi="Cambria"/>
          <w:sz w:val="24"/>
          <w:szCs w:val="24"/>
          <w:shd w:val="clear" w:color="auto" w:fill="FFFFFF"/>
        </w:rPr>
        <w:t xml:space="preserve">the </w:t>
      </w:r>
      <w:r w:rsidRPr="00A4664D">
        <w:rPr>
          <w:rStyle w:val="normaltextrun"/>
          <w:rFonts w:ascii="Cambria" w:hAnsi="Cambria"/>
          <w:sz w:val="24"/>
          <w:szCs w:val="24"/>
          <w:shd w:val="clear" w:color="auto" w:fill="FFFFFF"/>
        </w:rPr>
        <w:t>gender</w:t>
      </w:r>
      <w:r w:rsidR="00FA1487" w:rsidRPr="00A4664D">
        <w:rPr>
          <w:rStyle w:val="normaltextrun"/>
          <w:rFonts w:ascii="Cambria" w:hAnsi="Cambria"/>
          <w:sz w:val="24"/>
          <w:szCs w:val="24"/>
          <w:shd w:val="clear" w:color="auto" w:fill="FFFFFF"/>
        </w:rPr>
        <w:t>ed</w:t>
      </w:r>
      <w:r w:rsidRPr="00A4664D">
        <w:rPr>
          <w:rStyle w:val="normaltextrun"/>
          <w:rFonts w:ascii="Cambria" w:hAnsi="Cambria"/>
          <w:sz w:val="24"/>
          <w:szCs w:val="24"/>
          <w:shd w:val="clear" w:color="auto" w:fill="FFFFFF"/>
        </w:rPr>
        <w:t xml:space="preserve"> </w:t>
      </w:r>
      <w:r w:rsidR="00FA1487" w:rsidRPr="00A4664D">
        <w:rPr>
          <w:rStyle w:val="normaltextrun"/>
          <w:rFonts w:ascii="Cambria" w:hAnsi="Cambria"/>
          <w:sz w:val="24"/>
          <w:szCs w:val="24"/>
          <w:shd w:val="clear" w:color="auto" w:fill="FFFFFF"/>
        </w:rPr>
        <w:t>dimensions</w:t>
      </w:r>
      <w:r w:rsidRPr="00A4664D">
        <w:rPr>
          <w:rStyle w:val="normaltextrun"/>
          <w:rFonts w:ascii="Cambria" w:hAnsi="Cambria"/>
          <w:sz w:val="24"/>
          <w:szCs w:val="24"/>
          <w:shd w:val="clear" w:color="auto" w:fill="FFFFFF"/>
        </w:rPr>
        <w:t xml:space="preserve"> of transition or ensure women’s participation in the peace process (</w:t>
      </w:r>
      <w:r w:rsidR="0058798F" w:rsidRPr="00A4664D">
        <w:rPr>
          <w:rStyle w:val="normaltextrun"/>
          <w:rFonts w:ascii="Cambria" w:hAnsi="Cambria"/>
          <w:sz w:val="24"/>
          <w:szCs w:val="24"/>
          <w:shd w:val="clear" w:color="auto" w:fill="FFFFFF"/>
        </w:rPr>
        <w:t xml:space="preserve">McCulloch </w:t>
      </w:r>
      <w:r w:rsidR="000E381B" w:rsidRPr="00A4664D">
        <w:rPr>
          <w:rStyle w:val="normaltextrun"/>
          <w:rFonts w:ascii="Cambria" w:hAnsi="Cambria"/>
          <w:sz w:val="24"/>
          <w:szCs w:val="24"/>
          <w:shd w:val="clear" w:color="auto" w:fill="FFFFFF"/>
        </w:rPr>
        <w:t>and</w:t>
      </w:r>
      <w:r w:rsidR="009B640F" w:rsidRPr="00A4664D">
        <w:rPr>
          <w:rStyle w:val="normaltextrun"/>
          <w:rFonts w:ascii="Cambria" w:hAnsi="Cambria"/>
          <w:sz w:val="24"/>
          <w:szCs w:val="24"/>
          <w:shd w:val="clear" w:color="auto" w:fill="FFFFFF"/>
        </w:rPr>
        <w:t xml:space="preserve"> Byrne</w:t>
      </w:r>
      <w:r w:rsidR="00EE7800">
        <w:rPr>
          <w:rStyle w:val="normaltextrun"/>
          <w:rFonts w:ascii="Cambria" w:hAnsi="Cambria"/>
          <w:sz w:val="24"/>
          <w:szCs w:val="24"/>
          <w:shd w:val="clear" w:color="auto" w:fill="FFFFFF"/>
        </w:rPr>
        <w:t>,</w:t>
      </w:r>
      <w:r w:rsidR="0058798F" w:rsidRPr="00A4664D">
        <w:rPr>
          <w:rStyle w:val="normaltextrun"/>
          <w:rFonts w:ascii="Cambria" w:hAnsi="Cambria"/>
          <w:sz w:val="24"/>
          <w:szCs w:val="24"/>
          <w:shd w:val="clear" w:color="auto" w:fill="FFFFFF"/>
        </w:rPr>
        <w:t xml:space="preserve"> </w:t>
      </w:r>
      <w:r w:rsidR="0058798F" w:rsidRPr="00A4664D">
        <w:rPr>
          <w:rStyle w:val="normaltextrun"/>
          <w:rFonts w:ascii="Cambria" w:hAnsi="Cambria"/>
          <w:sz w:val="24"/>
          <w:szCs w:val="24"/>
          <w:shd w:val="clear" w:color="auto" w:fill="FFFFFF"/>
        </w:rPr>
        <w:lastRenderedPageBreak/>
        <w:t>2017</w:t>
      </w:r>
      <w:r w:rsidRPr="00A4664D">
        <w:rPr>
          <w:rStyle w:val="normaltextrun"/>
          <w:rFonts w:ascii="Cambria" w:hAnsi="Cambria"/>
          <w:sz w:val="24"/>
          <w:szCs w:val="24"/>
          <w:shd w:val="clear" w:color="auto" w:fill="FFFFFF"/>
        </w:rPr>
        <w:t xml:space="preserve">; </w:t>
      </w:r>
      <w:proofErr w:type="spellStart"/>
      <w:r w:rsidRPr="00A4664D">
        <w:rPr>
          <w:rStyle w:val="spellingerror"/>
          <w:rFonts w:ascii="Cambria" w:hAnsi="Cambria"/>
          <w:sz w:val="24"/>
          <w:szCs w:val="24"/>
          <w:shd w:val="clear" w:color="auto" w:fill="FFFFFF"/>
        </w:rPr>
        <w:t>Deiana</w:t>
      </w:r>
      <w:proofErr w:type="spellEnd"/>
      <w:r w:rsidR="00EE7800">
        <w:rPr>
          <w:rStyle w:val="spellingerror"/>
          <w:rFonts w:ascii="Cambria" w:hAnsi="Cambria"/>
          <w:sz w:val="24"/>
          <w:szCs w:val="24"/>
          <w:shd w:val="clear" w:color="auto" w:fill="FFFFFF"/>
        </w:rPr>
        <w:t>,</w:t>
      </w:r>
      <w:r w:rsidRPr="00A4664D">
        <w:rPr>
          <w:rStyle w:val="normaltextrun"/>
          <w:rFonts w:ascii="Cambria" w:hAnsi="Cambria"/>
          <w:sz w:val="24"/>
          <w:szCs w:val="24"/>
          <w:shd w:val="clear" w:color="auto" w:fill="FFFFFF"/>
        </w:rPr>
        <w:t xml:space="preserve"> 201</w:t>
      </w:r>
      <w:r w:rsidR="00424FC8">
        <w:rPr>
          <w:rStyle w:val="normaltextrun"/>
          <w:rFonts w:ascii="Cambria" w:hAnsi="Cambria"/>
          <w:sz w:val="24"/>
          <w:szCs w:val="24"/>
          <w:shd w:val="clear" w:color="auto" w:fill="FFFFFF"/>
        </w:rPr>
        <w:t>6</w:t>
      </w:r>
      <w:r w:rsidRPr="00A4664D">
        <w:rPr>
          <w:rStyle w:val="normaltextrun"/>
          <w:rFonts w:ascii="Cambria" w:hAnsi="Cambria"/>
          <w:sz w:val="24"/>
          <w:szCs w:val="24"/>
          <w:shd w:val="clear" w:color="auto" w:fill="FFFFFF"/>
        </w:rPr>
        <w:t>. </w:t>
      </w:r>
      <w:r w:rsidRPr="00A4664D">
        <w:rPr>
          <w:rStyle w:val="eop"/>
          <w:rFonts w:ascii="Cambria" w:hAnsi="Cambria"/>
          <w:sz w:val="24"/>
          <w:szCs w:val="24"/>
        </w:rPr>
        <w:t> </w:t>
      </w:r>
      <w:r w:rsidR="00A4664D" w:rsidRPr="00A4664D">
        <w:rPr>
          <w:rStyle w:val="eop"/>
          <w:rFonts w:ascii="Cambria" w:hAnsi="Cambria"/>
          <w:sz w:val="24"/>
          <w:szCs w:val="24"/>
        </w:rPr>
        <w:t xml:space="preserve">Feminists </w:t>
      </w:r>
      <w:r w:rsidR="00A4664D" w:rsidRPr="00A4664D">
        <w:rPr>
          <w:rFonts w:ascii="Cambria" w:hAnsi="Cambria"/>
          <w:sz w:val="24"/>
          <w:szCs w:val="24"/>
        </w:rPr>
        <w:t>argued that the internationally-brokered peace was not</w:t>
      </w:r>
      <w:r w:rsidR="00A4664D">
        <w:rPr>
          <w:rFonts w:ascii="Cambria" w:hAnsi="Cambria"/>
          <w:sz w:val="24"/>
          <w:szCs w:val="24"/>
        </w:rPr>
        <w:t xml:space="preserve"> </w:t>
      </w:r>
      <w:r w:rsidR="00A4664D" w:rsidRPr="00A4664D">
        <w:rPr>
          <w:rFonts w:ascii="Cambria" w:hAnsi="Cambria"/>
          <w:sz w:val="24"/>
          <w:szCs w:val="24"/>
        </w:rPr>
        <w:t>‘gender-just’ (</w:t>
      </w:r>
      <w:proofErr w:type="spellStart"/>
      <w:r w:rsidR="00A4664D" w:rsidRPr="00A4664D">
        <w:rPr>
          <w:rFonts w:ascii="Cambria" w:hAnsi="Cambria"/>
          <w:sz w:val="24"/>
          <w:szCs w:val="24"/>
        </w:rPr>
        <w:t>Björkdahl</w:t>
      </w:r>
      <w:proofErr w:type="spellEnd"/>
      <w:r w:rsidR="00EE7800">
        <w:rPr>
          <w:rFonts w:ascii="Cambria" w:hAnsi="Cambria"/>
          <w:sz w:val="24"/>
          <w:szCs w:val="24"/>
        </w:rPr>
        <w:t>,</w:t>
      </w:r>
      <w:r w:rsidR="00A4664D" w:rsidRPr="00A4664D">
        <w:rPr>
          <w:rFonts w:ascii="Cambria" w:hAnsi="Cambria"/>
          <w:sz w:val="24"/>
          <w:szCs w:val="24"/>
        </w:rPr>
        <w:t xml:space="preserve"> 2012)</w:t>
      </w:r>
      <w:r w:rsidR="00A4664D">
        <w:rPr>
          <w:rFonts w:ascii="Cambria" w:hAnsi="Cambria"/>
          <w:sz w:val="24"/>
          <w:szCs w:val="24"/>
        </w:rPr>
        <w:t>.</w:t>
      </w:r>
    </w:p>
    <w:p w14:paraId="24FE4533" w14:textId="77777777" w:rsidR="008F4875" w:rsidRPr="008F4875" w:rsidRDefault="008F4875" w:rsidP="008F4875">
      <w:pPr>
        <w:pStyle w:val="p1"/>
        <w:spacing w:line="360" w:lineRule="auto"/>
        <w:rPr>
          <w:rFonts w:ascii="Cambria" w:hAnsi="Cambria"/>
          <w:sz w:val="24"/>
          <w:szCs w:val="24"/>
        </w:rPr>
      </w:pPr>
    </w:p>
    <w:p w14:paraId="1B889FC1" w14:textId="4448760E" w:rsidR="00833172" w:rsidRPr="003D66DD" w:rsidRDefault="001D110D" w:rsidP="001D110D">
      <w:pPr>
        <w:spacing w:after="240" w:line="360" w:lineRule="auto"/>
        <w:rPr>
          <w:rFonts w:ascii="Cambria" w:hAnsi="Cambria"/>
        </w:rPr>
      </w:pPr>
      <w:r w:rsidRPr="003D66DD">
        <w:rPr>
          <w:rFonts w:ascii="Cambria" w:hAnsi="Cambria"/>
          <w:bCs/>
        </w:rPr>
        <w:t xml:space="preserve">Nevertheless, </w:t>
      </w:r>
      <w:r w:rsidR="00A4664D">
        <w:rPr>
          <w:rFonts w:ascii="Cambria" w:hAnsi="Cambria"/>
          <w:bCs/>
        </w:rPr>
        <w:t xml:space="preserve">some </w:t>
      </w:r>
      <w:r w:rsidRPr="003D66DD">
        <w:rPr>
          <w:rFonts w:ascii="Cambria" w:hAnsi="Cambria"/>
          <w:bCs/>
        </w:rPr>
        <w:t xml:space="preserve">significant gains have been secured </w:t>
      </w:r>
      <w:r w:rsidR="008F4875">
        <w:rPr>
          <w:rFonts w:ascii="Cambria" w:hAnsi="Cambria"/>
          <w:bCs/>
        </w:rPr>
        <w:t>in the post-</w:t>
      </w:r>
      <w:r w:rsidRPr="003D66DD">
        <w:rPr>
          <w:rFonts w:ascii="Cambria" w:hAnsi="Cambria"/>
          <w:bCs/>
        </w:rPr>
        <w:t xml:space="preserve">Dayton </w:t>
      </w:r>
      <w:r w:rsidR="008F4875">
        <w:rPr>
          <w:rFonts w:ascii="Cambria" w:hAnsi="Cambria"/>
          <w:bCs/>
        </w:rPr>
        <w:t xml:space="preserve">period </w:t>
      </w:r>
      <w:r w:rsidRPr="003D66DD">
        <w:rPr>
          <w:rFonts w:ascii="Cambria" w:hAnsi="Cambria"/>
          <w:bCs/>
        </w:rPr>
        <w:t xml:space="preserve">in terms of formal gender rules.  </w:t>
      </w:r>
      <w:r w:rsidRPr="003D66DD">
        <w:rPr>
          <w:rStyle w:val="normaltextrun"/>
          <w:rFonts w:ascii="Cambria" w:hAnsi="Cambria"/>
          <w:bCs/>
        </w:rPr>
        <w:t xml:space="preserve">The 2003 Law on Gender Equality </w:t>
      </w:r>
      <w:r w:rsidRPr="003D66DD">
        <w:rPr>
          <w:rStyle w:val="normaltextrun"/>
          <w:rFonts w:ascii="Cambria" w:hAnsi="Cambria"/>
        </w:rPr>
        <w:t xml:space="preserve">introduced </w:t>
      </w:r>
      <w:r w:rsidRPr="003D66DD">
        <w:rPr>
          <w:rStyle w:val="normaltextrun"/>
          <w:rFonts w:ascii="Cambria" w:hAnsi="Cambria"/>
          <w:bCs/>
        </w:rPr>
        <w:t>gender quotas</w:t>
      </w:r>
      <w:r w:rsidRPr="003D66DD">
        <w:rPr>
          <w:rStyle w:val="normaltextrun"/>
          <w:rFonts w:ascii="Cambria" w:hAnsi="Cambria"/>
        </w:rPr>
        <w:t xml:space="preserve"> for elections and established a </w:t>
      </w:r>
      <w:r w:rsidRPr="003D66DD">
        <w:rPr>
          <w:rStyle w:val="normaltextrun"/>
          <w:rFonts w:ascii="Cambria" w:hAnsi="Cambria"/>
          <w:bCs/>
        </w:rPr>
        <w:t>government agency for Gender Equality in 2004</w:t>
      </w:r>
      <w:r w:rsidRPr="003D66DD">
        <w:rPr>
          <w:rStyle w:val="eop"/>
          <w:rFonts w:ascii="Cambria" w:hAnsi="Cambria"/>
        </w:rPr>
        <w:t>.  O</w:t>
      </w:r>
      <w:r w:rsidRPr="003D66DD">
        <w:rPr>
          <w:rFonts w:ascii="Cambria" w:hAnsi="Cambria"/>
        </w:rPr>
        <w:t xml:space="preserve">ther significant initiatives in the intervening years have included the first National Action Plan </w:t>
      </w:r>
      <w:r w:rsidR="009B640F" w:rsidRPr="003D66DD">
        <w:rPr>
          <w:rFonts w:ascii="Cambria" w:hAnsi="Cambria"/>
        </w:rPr>
        <w:t xml:space="preserve">(NAP) </w:t>
      </w:r>
      <w:r w:rsidRPr="003D66DD">
        <w:rPr>
          <w:rFonts w:ascii="Cambria" w:hAnsi="Cambria"/>
        </w:rPr>
        <w:t xml:space="preserve">on </w:t>
      </w:r>
      <w:r w:rsidR="00FA1487">
        <w:rPr>
          <w:rFonts w:ascii="Cambria" w:hAnsi="Cambria"/>
        </w:rPr>
        <w:t xml:space="preserve">the implementation </w:t>
      </w:r>
      <w:r w:rsidR="009B640F" w:rsidRPr="003D66DD">
        <w:rPr>
          <w:rFonts w:ascii="Cambria" w:hAnsi="Cambria"/>
        </w:rPr>
        <w:t xml:space="preserve">UNSCR </w:t>
      </w:r>
      <w:r w:rsidRPr="003D66DD">
        <w:rPr>
          <w:rFonts w:ascii="Cambria" w:hAnsi="Cambria"/>
        </w:rPr>
        <w:t>1325 in 2010 and the establishment of gender centres in both entities i</w:t>
      </w:r>
      <w:r w:rsidR="0058798F" w:rsidRPr="003D66DD">
        <w:rPr>
          <w:rFonts w:ascii="Cambria" w:hAnsi="Cambria"/>
        </w:rPr>
        <w:t xml:space="preserve">n 2001 (McCulloch </w:t>
      </w:r>
      <w:r w:rsidR="000E381B" w:rsidRPr="003D66DD">
        <w:rPr>
          <w:rFonts w:ascii="Cambria" w:hAnsi="Cambria"/>
        </w:rPr>
        <w:t>and</w:t>
      </w:r>
      <w:r w:rsidR="009B640F" w:rsidRPr="003D66DD">
        <w:rPr>
          <w:rFonts w:ascii="Cambria" w:hAnsi="Cambria"/>
        </w:rPr>
        <w:t xml:space="preserve"> Byrne</w:t>
      </w:r>
      <w:r w:rsidR="00EE7800">
        <w:rPr>
          <w:rFonts w:ascii="Cambria" w:hAnsi="Cambria"/>
        </w:rPr>
        <w:t>,</w:t>
      </w:r>
      <w:r w:rsidR="0058798F" w:rsidRPr="003D66DD">
        <w:rPr>
          <w:rFonts w:ascii="Cambria" w:hAnsi="Cambria"/>
        </w:rPr>
        <w:t xml:space="preserve"> 2017</w:t>
      </w:r>
      <w:r w:rsidRPr="003D66DD">
        <w:rPr>
          <w:rFonts w:ascii="Cambria" w:hAnsi="Cambria"/>
        </w:rPr>
        <w:t xml:space="preserve">). </w:t>
      </w:r>
    </w:p>
    <w:p w14:paraId="1EF05529" w14:textId="2B6F2D7F" w:rsidR="00350503" w:rsidRPr="003D66DD" w:rsidRDefault="00350503" w:rsidP="004228D5">
      <w:pPr>
        <w:spacing w:after="240" w:line="360" w:lineRule="auto"/>
        <w:outlineLvl w:val="0"/>
        <w:rPr>
          <w:rStyle w:val="normaltextrun"/>
          <w:rFonts w:ascii="Cambria" w:hAnsi="Cambria"/>
          <w:b/>
          <w:i/>
          <w:shd w:val="clear" w:color="auto" w:fill="FFFFFF"/>
        </w:rPr>
      </w:pPr>
      <w:r w:rsidRPr="003D66DD">
        <w:rPr>
          <w:rStyle w:val="normaltextrun"/>
          <w:rFonts w:ascii="Cambria" w:hAnsi="Cambria"/>
          <w:b/>
          <w:i/>
          <w:shd w:val="clear" w:color="auto" w:fill="FFFFFF"/>
        </w:rPr>
        <w:t xml:space="preserve">Gender </w:t>
      </w:r>
      <w:r w:rsidR="00EE7800">
        <w:rPr>
          <w:rStyle w:val="normaltextrun"/>
          <w:rFonts w:ascii="Cambria" w:hAnsi="Cambria"/>
          <w:b/>
          <w:i/>
          <w:shd w:val="clear" w:color="auto" w:fill="FFFFFF"/>
        </w:rPr>
        <w:t>O</w:t>
      </w:r>
      <w:r w:rsidRPr="003D66DD">
        <w:rPr>
          <w:rStyle w:val="normaltextrun"/>
          <w:rFonts w:ascii="Cambria" w:hAnsi="Cambria"/>
          <w:b/>
          <w:i/>
          <w:shd w:val="clear" w:color="auto" w:fill="FFFFFF"/>
        </w:rPr>
        <w:t>utcomes</w:t>
      </w:r>
    </w:p>
    <w:p w14:paraId="5E98678A" w14:textId="7506D4BA" w:rsidR="00097DF5" w:rsidRPr="003D66DD" w:rsidRDefault="005F435F" w:rsidP="001D110D">
      <w:pPr>
        <w:spacing w:after="240" w:line="360" w:lineRule="auto"/>
        <w:rPr>
          <w:rFonts w:ascii="Cambria" w:hAnsi="Cambria"/>
          <w:bCs/>
        </w:rPr>
      </w:pPr>
      <w:r w:rsidRPr="003D66DD">
        <w:rPr>
          <w:rFonts w:ascii="Cambria" w:hAnsi="Cambria"/>
        </w:rPr>
        <w:t>The post-settlement reality for women has been challenging, and</w:t>
      </w:r>
      <w:r w:rsidR="001D110D" w:rsidRPr="003D66DD">
        <w:rPr>
          <w:rStyle w:val="normaltextrun"/>
          <w:rFonts w:ascii="Cambria" w:hAnsi="Cambria"/>
          <w:shd w:val="clear" w:color="auto" w:fill="FFFFFF"/>
        </w:rPr>
        <w:t xml:space="preserve"> women’s descriptive and substantive representation in Bosnia remains </w:t>
      </w:r>
      <w:r w:rsidR="00761973" w:rsidRPr="003D66DD">
        <w:rPr>
          <w:rStyle w:val="normaltextrun"/>
          <w:rFonts w:ascii="Cambria" w:hAnsi="Cambria"/>
          <w:shd w:val="clear" w:color="auto" w:fill="FFFFFF"/>
        </w:rPr>
        <w:t xml:space="preserve">relatively </w:t>
      </w:r>
      <w:r w:rsidR="001D110D" w:rsidRPr="003D66DD">
        <w:rPr>
          <w:rStyle w:val="normaltextrun"/>
          <w:rFonts w:ascii="Cambria" w:hAnsi="Cambria"/>
          <w:shd w:val="clear" w:color="auto" w:fill="FFFFFF"/>
        </w:rPr>
        <w:t>poor.</w:t>
      </w:r>
      <w:r w:rsidR="001D110D" w:rsidRPr="003D66DD">
        <w:rPr>
          <w:rStyle w:val="eop"/>
          <w:rFonts w:ascii="Cambria" w:hAnsi="Cambria"/>
        </w:rPr>
        <w:t> </w:t>
      </w:r>
      <w:r w:rsidR="001D110D" w:rsidRPr="003D66DD">
        <w:rPr>
          <w:rStyle w:val="normaltextrun"/>
          <w:rFonts w:ascii="Cambria" w:hAnsi="Cambria"/>
        </w:rPr>
        <w:t>Women ma</w:t>
      </w:r>
      <w:r w:rsidR="00125734">
        <w:rPr>
          <w:rStyle w:val="normaltextrun"/>
          <w:rFonts w:ascii="Cambria" w:hAnsi="Cambria"/>
        </w:rPr>
        <w:t>de</w:t>
      </w:r>
      <w:r w:rsidR="001D110D" w:rsidRPr="003D66DD">
        <w:rPr>
          <w:rStyle w:val="normaltextrun"/>
          <w:rFonts w:ascii="Cambria" w:hAnsi="Cambria"/>
        </w:rPr>
        <w:t xml:space="preserve"> up </w:t>
      </w:r>
      <w:r w:rsidR="001D110D" w:rsidRPr="003D66DD">
        <w:rPr>
          <w:rStyle w:val="normaltextrun"/>
          <w:rFonts w:ascii="Cambria" w:hAnsi="Cambria"/>
          <w:bCs/>
        </w:rPr>
        <w:t>21% of the lower house</w:t>
      </w:r>
      <w:r w:rsidR="001D110D" w:rsidRPr="003D66DD">
        <w:rPr>
          <w:rStyle w:val="normaltextrun"/>
          <w:rFonts w:ascii="Cambria" w:hAnsi="Cambria"/>
        </w:rPr>
        <w:t xml:space="preserve"> and </w:t>
      </w:r>
      <w:r w:rsidR="001D110D" w:rsidRPr="003D66DD">
        <w:rPr>
          <w:rStyle w:val="normaltextrun"/>
          <w:rFonts w:ascii="Cambria" w:hAnsi="Cambria"/>
          <w:bCs/>
        </w:rPr>
        <w:t>13% of the upper house</w:t>
      </w:r>
      <w:r w:rsidR="001D110D" w:rsidRPr="003D66DD">
        <w:rPr>
          <w:rStyle w:val="normaltextrun"/>
          <w:rFonts w:ascii="Cambria" w:hAnsi="Cambria"/>
        </w:rPr>
        <w:t xml:space="preserve"> of the national parliament</w:t>
      </w:r>
      <w:r w:rsidR="00125734">
        <w:rPr>
          <w:rStyle w:val="normaltextrun"/>
          <w:rFonts w:ascii="Cambria" w:hAnsi="Cambria"/>
        </w:rPr>
        <w:t xml:space="preserve"> in the 2014-2018 legislative period</w:t>
      </w:r>
      <w:r w:rsidR="00955613" w:rsidRPr="003D66DD">
        <w:rPr>
          <w:rStyle w:val="normaltextrun"/>
          <w:rFonts w:ascii="Cambria" w:hAnsi="Cambria"/>
        </w:rPr>
        <w:t>.</w:t>
      </w:r>
      <w:r w:rsidR="001D110D" w:rsidRPr="003D66DD">
        <w:rPr>
          <w:rStyle w:val="normaltextrun"/>
          <w:rFonts w:ascii="Cambria" w:hAnsi="Cambria"/>
        </w:rPr>
        <w:t xml:space="preserve"> </w:t>
      </w:r>
      <w:r w:rsidR="00955613" w:rsidRPr="003D66DD">
        <w:rPr>
          <w:rStyle w:val="normaltextrun"/>
          <w:rFonts w:ascii="Cambria" w:hAnsi="Cambria"/>
        </w:rPr>
        <w:t xml:space="preserve">However, politics </w:t>
      </w:r>
      <w:r w:rsidR="00B368B6" w:rsidRPr="003D66DD">
        <w:rPr>
          <w:rStyle w:val="normaltextrun"/>
          <w:rFonts w:ascii="Cambria" w:hAnsi="Cambria"/>
        </w:rPr>
        <w:t>remains</w:t>
      </w:r>
      <w:r w:rsidR="00955613" w:rsidRPr="003D66DD">
        <w:rPr>
          <w:rStyle w:val="normaltextrun"/>
          <w:rFonts w:ascii="Cambria" w:hAnsi="Cambria"/>
        </w:rPr>
        <w:t xml:space="preserve"> highly </w:t>
      </w:r>
      <w:proofErr w:type="spellStart"/>
      <w:r w:rsidR="00955613" w:rsidRPr="003D66DD">
        <w:rPr>
          <w:rStyle w:val="spellingerror"/>
          <w:rFonts w:ascii="Cambria" w:hAnsi="Cambria"/>
          <w:bCs/>
        </w:rPr>
        <w:t>ethnicised</w:t>
      </w:r>
      <w:proofErr w:type="spellEnd"/>
      <w:r w:rsidR="00955613" w:rsidRPr="003D66DD">
        <w:rPr>
          <w:rStyle w:val="normaltextrun"/>
          <w:rFonts w:ascii="Cambria" w:hAnsi="Cambria"/>
        </w:rPr>
        <w:t xml:space="preserve"> with issues of ethno-national identity dominating the agenda, and ethno-national parties prevailing at the ballot box.</w:t>
      </w:r>
      <w:r w:rsidR="00955613" w:rsidRPr="003D66DD">
        <w:rPr>
          <w:rStyle w:val="normaltextrun"/>
          <w:rFonts w:ascii="Cambria" w:hAnsi="Cambria"/>
          <w:color w:val="FF0000"/>
        </w:rPr>
        <w:t xml:space="preserve"> </w:t>
      </w:r>
      <w:r w:rsidR="00B368B6" w:rsidRPr="003D66DD">
        <w:rPr>
          <w:rStyle w:val="normaltextrun"/>
          <w:rFonts w:ascii="Cambria" w:hAnsi="Cambria"/>
        </w:rPr>
        <w:t>P</w:t>
      </w:r>
      <w:r w:rsidR="00955613" w:rsidRPr="003D66DD">
        <w:rPr>
          <w:rStyle w:val="normaltextrun"/>
          <w:rFonts w:ascii="Cambria" w:hAnsi="Cambria"/>
        </w:rPr>
        <w:t xml:space="preserve">arties </w:t>
      </w:r>
      <w:r w:rsidR="00B368B6" w:rsidRPr="003D66DD">
        <w:rPr>
          <w:rStyle w:val="normaltextrun"/>
          <w:rFonts w:ascii="Cambria" w:hAnsi="Cambria"/>
        </w:rPr>
        <w:t>are</w:t>
      </w:r>
      <w:r w:rsidR="00955613" w:rsidRPr="003D66DD">
        <w:rPr>
          <w:rStyle w:val="normaltextrun"/>
          <w:rFonts w:ascii="Cambria" w:hAnsi="Cambria"/>
        </w:rPr>
        <w:t xml:space="preserve"> </w:t>
      </w:r>
      <w:r w:rsidR="00955613" w:rsidRPr="003D66DD">
        <w:rPr>
          <w:rStyle w:val="normaltextrun"/>
          <w:rFonts w:ascii="Cambria" w:hAnsi="Cambria"/>
          <w:bCs/>
        </w:rPr>
        <w:t xml:space="preserve">highly centralised and </w:t>
      </w:r>
      <w:r w:rsidR="00B368B6" w:rsidRPr="003D66DD">
        <w:rPr>
          <w:rStyle w:val="normaltextrun"/>
          <w:rFonts w:ascii="Cambria" w:hAnsi="Cambria"/>
          <w:bCs/>
        </w:rPr>
        <w:t xml:space="preserve">deeply </w:t>
      </w:r>
      <w:r w:rsidR="00955613" w:rsidRPr="003D66DD">
        <w:rPr>
          <w:rStyle w:val="normaltextrun"/>
          <w:rFonts w:ascii="Cambria" w:hAnsi="Cambria"/>
          <w:bCs/>
        </w:rPr>
        <w:t>patriarchal</w:t>
      </w:r>
      <w:r w:rsidR="00955613" w:rsidRPr="003D66DD">
        <w:rPr>
          <w:rStyle w:val="normaltextrun"/>
          <w:rFonts w:ascii="Cambria" w:hAnsi="Cambria"/>
        </w:rPr>
        <w:t xml:space="preserve"> and women </w:t>
      </w:r>
      <w:r w:rsidR="00B368B6" w:rsidRPr="003D66DD">
        <w:rPr>
          <w:rStyle w:val="normaltextrun"/>
          <w:rFonts w:ascii="Cambria" w:hAnsi="Cambria"/>
        </w:rPr>
        <w:t>remain largely excluded from positions of power and leadership (</w:t>
      </w:r>
      <w:r w:rsidR="001D110D" w:rsidRPr="003D66DD">
        <w:rPr>
          <w:rFonts w:ascii="Cambria" w:hAnsi="Cambria"/>
          <w:bCs/>
        </w:rPr>
        <w:t>Byrne and McCulloch</w:t>
      </w:r>
      <w:r w:rsidR="00EE7800">
        <w:rPr>
          <w:rFonts w:ascii="Cambria" w:hAnsi="Cambria"/>
          <w:bCs/>
        </w:rPr>
        <w:t>,</w:t>
      </w:r>
      <w:r w:rsidR="001D110D" w:rsidRPr="003D66DD">
        <w:rPr>
          <w:rFonts w:ascii="Cambria" w:hAnsi="Cambria"/>
          <w:bCs/>
        </w:rPr>
        <w:t xml:space="preserve"> </w:t>
      </w:r>
      <w:r w:rsidR="00B368B6" w:rsidRPr="003D66DD">
        <w:rPr>
          <w:rFonts w:ascii="Cambria" w:hAnsi="Cambria"/>
          <w:bCs/>
        </w:rPr>
        <w:t>2012).</w:t>
      </w:r>
      <w:r w:rsidR="00EF7FFB">
        <w:rPr>
          <w:rFonts w:ascii="Cambria" w:hAnsi="Cambria"/>
          <w:bCs/>
        </w:rPr>
        <w:t xml:space="preserve"> </w:t>
      </w:r>
    </w:p>
    <w:p w14:paraId="7098A523" w14:textId="0C110D02" w:rsidR="00097DF5" w:rsidRPr="003D66DD" w:rsidRDefault="00B01DCC" w:rsidP="00097DF5">
      <w:pPr>
        <w:spacing w:after="240" w:line="360" w:lineRule="auto"/>
        <w:rPr>
          <w:rStyle w:val="normaltextrun"/>
          <w:rFonts w:ascii="Cambria" w:hAnsi="Cambria"/>
        </w:rPr>
      </w:pPr>
      <w:r w:rsidRPr="00097DF5">
        <w:rPr>
          <w:rFonts w:ascii="Cambria" w:eastAsia="Times New Roman" w:hAnsi="Cambria" w:cs="Lucida Grande"/>
          <w:color w:val="202323"/>
          <w:shd w:val="clear" w:color="auto" w:fill="FFFFFF"/>
        </w:rPr>
        <w:t>There have been few tangible results from the National Action Plan for the implementation of UNSCR 1325, despite</w:t>
      </w:r>
      <w:r w:rsidRPr="00097DF5">
        <w:rPr>
          <w:rStyle w:val="normaltextrun"/>
          <w:rFonts w:ascii="Cambria" w:hAnsi="Cambria"/>
          <w:shd w:val="clear" w:color="auto" w:fill="FFFFFF"/>
        </w:rPr>
        <w:t xml:space="preserve"> </w:t>
      </w:r>
      <w:r w:rsidRPr="00097DF5">
        <w:rPr>
          <w:rStyle w:val="normaltextrun"/>
          <w:rFonts w:ascii="Cambria" w:hAnsi="Cambria"/>
        </w:rPr>
        <w:t xml:space="preserve">commitments to protecting human rights of women and girls including victims of war, and those subjected to trafficking. </w:t>
      </w:r>
      <w:r w:rsidR="00FA1487" w:rsidRPr="00097DF5">
        <w:rPr>
          <w:rStyle w:val="normaltextrun"/>
          <w:rFonts w:ascii="Cambria" w:hAnsi="Cambria"/>
        </w:rPr>
        <w:t>I</w:t>
      </w:r>
      <w:r w:rsidRPr="00097DF5">
        <w:rPr>
          <w:rStyle w:val="normaltextrun"/>
          <w:rFonts w:ascii="Cambria" w:hAnsi="Cambria"/>
        </w:rPr>
        <w:t xml:space="preserve">nternational monitors have raised concerns about the </w:t>
      </w:r>
      <w:r w:rsidRPr="00097DF5">
        <w:rPr>
          <w:rFonts w:ascii="Cambria" w:eastAsia="Times New Roman" w:hAnsi="Cambria" w:cs="Lucida Grande"/>
          <w:color w:val="202323"/>
          <w:shd w:val="clear" w:color="auto" w:fill="FFFFFF"/>
        </w:rPr>
        <w:t xml:space="preserve">inadequate definition of wartime sexual violence in </w:t>
      </w:r>
      <w:proofErr w:type="spellStart"/>
      <w:r w:rsidRPr="00097DF5">
        <w:rPr>
          <w:rFonts w:ascii="Cambria" w:eastAsia="Times New Roman" w:hAnsi="Cambria" w:cs="Lucida Grande"/>
          <w:color w:val="202323"/>
          <w:shd w:val="clear" w:color="auto" w:fill="FFFFFF"/>
        </w:rPr>
        <w:t>BiH</w:t>
      </w:r>
      <w:proofErr w:type="spellEnd"/>
      <w:r w:rsidRPr="00097DF5">
        <w:rPr>
          <w:rFonts w:ascii="Cambria" w:eastAsia="Times New Roman" w:hAnsi="Cambria" w:cs="Lucida Grande"/>
          <w:color w:val="202323"/>
          <w:shd w:val="clear" w:color="auto" w:fill="FFFFFF"/>
        </w:rPr>
        <w:t xml:space="preserve"> law, which </w:t>
      </w:r>
      <w:r w:rsidR="00FA1487" w:rsidRPr="00097DF5">
        <w:rPr>
          <w:rFonts w:ascii="Cambria" w:eastAsia="Times New Roman" w:hAnsi="Cambria" w:cs="Lucida Grande"/>
          <w:color w:val="202323"/>
          <w:shd w:val="clear" w:color="auto" w:fill="FFFFFF"/>
        </w:rPr>
        <w:t>remains</w:t>
      </w:r>
      <w:r w:rsidRPr="00097DF5">
        <w:rPr>
          <w:rFonts w:ascii="Cambria" w:eastAsia="Times New Roman" w:hAnsi="Cambria" w:cs="Lucida Grande"/>
          <w:color w:val="202323"/>
          <w:shd w:val="clear" w:color="auto" w:fill="FFFFFF"/>
        </w:rPr>
        <w:t xml:space="preserve"> at odds with the definition set </w:t>
      </w:r>
      <w:r w:rsidR="00EF7FFB">
        <w:rPr>
          <w:rFonts w:ascii="Cambria" w:eastAsia="Times New Roman" w:hAnsi="Cambria" w:cs="Lucida Grande"/>
          <w:color w:val="202323"/>
          <w:shd w:val="clear" w:color="auto" w:fill="FFFFFF"/>
        </w:rPr>
        <w:t>internationally</w:t>
      </w:r>
      <w:r w:rsidR="00097DF5">
        <w:rPr>
          <w:rFonts w:ascii="Cambria" w:eastAsia="Times New Roman" w:hAnsi="Cambria" w:cs="Lucida Grande"/>
          <w:color w:val="202323"/>
          <w:shd w:val="clear" w:color="auto" w:fill="FFFFFF"/>
        </w:rPr>
        <w:t xml:space="preserve">, </w:t>
      </w:r>
      <w:r w:rsidR="00097DF5">
        <w:rPr>
          <w:rFonts w:ascii="Cambria" w:hAnsi="Cambria"/>
        </w:rPr>
        <w:t xml:space="preserve">and </w:t>
      </w:r>
      <w:r w:rsidR="00097DF5">
        <w:rPr>
          <w:rFonts w:ascii="Cambria" w:hAnsi="Cambria"/>
          <w:lang w:val="en-US"/>
        </w:rPr>
        <w:t>t</w:t>
      </w:r>
      <w:r w:rsidR="00097DF5" w:rsidRPr="003D66DD">
        <w:rPr>
          <w:rFonts w:ascii="Cambria" w:hAnsi="Cambria"/>
        </w:rPr>
        <w:t xml:space="preserve">he lack of measures taken to address the </w:t>
      </w:r>
      <w:r w:rsidR="00097DF5">
        <w:rPr>
          <w:rFonts w:ascii="Cambria" w:hAnsi="Cambria"/>
        </w:rPr>
        <w:t>‘</w:t>
      </w:r>
      <w:r w:rsidR="00EF7471">
        <w:rPr>
          <w:rFonts w:ascii="Cambria" w:hAnsi="Cambria"/>
        </w:rPr>
        <w:t>systematic stigmatis</w:t>
      </w:r>
      <w:r w:rsidR="00097DF5" w:rsidRPr="003D66DD">
        <w:rPr>
          <w:rFonts w:ascii="Cambria" w:hAnsi="Cambria"/>
        </w:rPr>
        <w:t>ation</w:t>
      </w:r>
      <w:r w:rsidR="00097DF5">
        <w:rPr>
          <w:rFonts w:ascii="Cambria" w:hAnsi="Cambria"/>
        </w:rPr>
        <w:t>’</w:t>
      </w:r>
      <w:r w:rsidR="00097DF5" w:rsidRPr="003D66DD">
        <w:rPr>
          <w:rFonts w:ascii="Cambria" w:hAnsi="Cambria"/>
        </w:rPr>
        <w:t xml:space="preserve"> faced</w:t>
      </w:r>
      <w:r w:rsidR="00097DF5">
        <w:rPr>
          <w:rFonts w:ascii="Cambria" w:hAnsi="Cambria"/>
          <w:lang w:val="en-US"/>
        </w:rPr>
        <w:t xml:space="preserve"> </w:t>
      </w:r>
      <w:r w:rsidR="00097DF5" w:rsidRPr="003D66DD">
        <w:rPr>
          <w:rFonts w:ascii="Cambria" w:hAnsi="Cambria"/>
        </w:rPr>
        <w:t>by women victims of wartime sexual violence, despite the</w:t>
      </w:r>
      <w:r w:rsidR="00097DF5">
        <w:rPr>
          <w:rFonts w:ascii="Cambria" w:hAnsi="Cambria"/>
          <w:lang w:val="en-US"/>
        </w:rPr>
        <w:t xml:space="preserve"> formal </w:t>
      </w:r>
      <w:r w:rsidR="00097DF5" w:rsidRPr="003D66DD">
        <w:rPr>
          <w:rFonts w:ascii="Cambria" w:hAnsi="Cambria"/>
        </w:rPr>
        <w:t xml:space="preserve">implementation of the 2008 national </w:t>
      </w:r>
      <w:r w:rsidR="00097DF5">
        <w:rPr>
          <w:rFonts w:ascii="Cambria" w:hAnsi="Cambria"/>
        </w:rPr>
        <w:t>war crimes prosecution strategy (</w:t>
      </w:r>
      <w:r w:rsidR="00097DF5" w:rsidRPr="003D66DD">
        <w:rPr>
          <w:rFonts w:ascii="Cambria" w:hAnsi="Cambria"/>
        </w:rPr>
        <w:t>CEDAW</w:t>
      </w:r>
      <w:r w:rsidR="00EE7800">
        <w:rPr>
          <w:rFonts w:ascii="Cambria" w:hAnsi="Cambria"/>
        </w:rPr>
        <w:t>,</w:t>
      </w:r>
      <w:r w:rsidR="00097DF5" w:rsidRPr="003D66DD">
        <w:rPr>
          <w:rFonts w:ascii="Cambria" w:hAnsi="Cambria"/>
        </w:rPr>
        <w:t xml:space="preserve"> 2013</w:t>
      </w:r>
      <w:r w:rsidR="00097DF5">
        <w:rPr>
          <w:rFonts w:ascii="Cambria" w:hAnsi="Cambria"/>
        </w:rPr>
        <w:t>a</w:t>
      </w:r>
      <w:r w:rsidR="00097DF5" w:rsidRPr="003D66DD">
        <w:rPr>
          <w:rFonts w:ascii="Cambria" w:hAnsi="Cambria"/>
        </w:rPr>
        <w:t>:</w:t>
      </w:r>
      <w:r w:rsidR="00EE7800">
        <w:rPr>
          <w:rFonts w:ascii="Cambria" w:hAnsi="Cambria"/>
        </w:rPr>
        <w:t xml:space="preserve"> </w:t>
      </w:r>
      <w:r w:rsidR="00097DF5" w:rsidRPr="003D66DD">
        <w:rPr>
          <w:rFonts w:ascii="Cambria" w:hAnsi="Cambria"/>
        </w:rPr>
        <w:t>3)</w:t>
      </w:r>
      <w:r w:rsidR="00097DF5">
        <w:rPr>
          <w:rFonts w:ascii="Cambria" w:hAnsi="Cambria"/>
        </w:rPr>
        <w:t xml:space="preserve">.  Concerns </w:t>
      </w:r>
      <w:r w:rsidR="00097DF5">
        <w:rPr>
          <w:rFonts w:ascii="Cambria" w:eastAsia="Times New Roman" w:hAnsi="Cambria" w:cs="Lucida Grande"/>
          <w:color w:val="202323"/>
          <w:shd w:val="clear" w:color="auto" w:fill="FFFFFF"/>
        </w:rPr>
        <w:t xml:space="preserve">have also been expressed about the low participation of women and women’s civil society organisations </w:t>
      </w:r>
      <w:r w:rsidR="00097DF5" w:rsidRPr="00097DF5">
        <w:rPr>
          <w:rFonts w:ascii="Cambria" w:eastAsia="Times New Roman" w:hAnsi="Cambria" w:cs="Lucida Grande"/>
          <w:color w:val="202323"/>
          <w:shd w:val="clear" w:color="auto" w:fill="FFFFFF"/>
        </w:rPr>
        <w:t xml:space="preserve">in </w:t>
      </w:r>
      <w:r w:rsidR="00EF7FFB">
        <w:rPr>
          <w:rFonts w:ascii="Cambria" w:eastAsia="Times New Roman" w:hAnsi="Cambria" w:cs="Lucida Grande"/>
          <w:color w:val="202323"/>
          <w:shd w:val="clear" w:color="auto" w:fill="FFFFFF"/>
        </w:rPr>
        <w:t xml:space="preserve">ongoing </w:t>
      </w:r>
      <w:r w:rsidR="00097DF5" w:rsidRPr="00097DF5">
        <w:rPr>
          <w:rFonts w:ascii="Cambria" w:eastAsia="Times New Roman" w:hAnsi="Cambria" w:cs="Lucida Grande"/>
          <w:color w:val="202323"/>
          <w:shd w:val="clear" w:color="auto" w:fill="FFFFFF"/>
        </w:rPr>
        <w:t>peace, reconciliation and rehabilitation processes (CEDAW</w:t>
      </w:r>
      <w:r w:rsidR="00EE7800">
        <w:rPr>
          <w:rFonts w:ascii="Cambria" w:eastAsia="Times New Roman" w:hAnsi="Cambria" w:cs="Lucida Grande"/>
          <w:color w:val="202323"/>
          <w:shd w:val="clear" w:color="auto" w:fill="FFFFFF"/>
        </w:rPr>
        <w:t>,</w:t>
      </w:r>
      <w:r w:rsidR="00097DF5" w:rsidRPr="00097DF5">
        <w:rPr>
          <w:rFonts w:ascii="Cambria" w:eastAsia="Times New Roman" w:hAnsi="Cambria" w:cs="Lucida Grande"/>
          <w:color w:val="202323"/>
          <w:shd w:val="clear" w:color="auto" w:fill="FFFFFF"/>
        </w:rPr>
        <w:t xml:space="preserve"> 2013a)</w:t>
      </w:r>
      <w:r w:rsidR="00097DF5">
        <w:rPr>
          <w:rFonts w:ascii="Cambria" w:eastAsia="Times New Roman" w:hAnsi="Cambria" w:cs="Lucida Grande"/>
          <w:color w:val="202323"/>
          <w:shd w:val="clear" w:color="auto" w:fill="FFFFFF"/>
        </w:rPr>
        <w:t xml:space="preserve">. It appears that </w:t>
      </w:r>
      <w:r w:rsidR="00097DF5">
        <w:rPr>
          <w:rStyle w:val="normaltextrun"/>
          <w:rFonts w:ascii="Cambria" w:hAnsi="Cambria"/>
        </w:rPr>
        <w:t>a</w:t>
      </w:r>
      <w:r w:rsidR="00097DF5" w:rsidRPr="003D66DD">
        <w:rPr>
          <w:rStyle w:val="normaltextrun"/>
          <w:rFonts w:ascii="Cambria" w:hAnsi="Cambria"/>
        </w:rPr>
        <w:t xml:space="preserve"> decade and a half on from the adoption of UNSCR 1325, there has been little institu</w:t>
      </w:r>
      <w:r w:rsidR="00EF7471">
        <w:rPr>
          <w:rStyle w:val="normaltextrun"/>
          <w:rFonts w:ascii="Cambria" w:hAnsi="Cambria"/>
        </w:rPr>
        <w:t>tionalis</w:t>
      </w:r>
      <w:r w:rsidR="00097DF5" w:rsidRPr="003D66DD">
        <w:rPr>
          <w:rStyle w:val="normaltextrun"/>
          <w:rFonts w:ascii="Cambria" w:hAnsi="Cambria"/>
        </w:rPr>
        <w:t>ation of its values in Bosnia (McCulloch and Byrne</w:t>
      </w:r>
      <w:r w:rsidR="00EE7800">
        <w:rPr>
          <w:rStyle w:val="normaltextrun"/>
          <w:rFonts w:ascii="Cambria" w:hAnsi="Cambria"/>
        </w:rPr>
        <w:t>,</w:t>
      </w:r>
      <w:r w:rsidR="00097DF5" w:rsidRPr="003D66DD">
        <w:rPr>
          <w:rStyle w:val="normaltextrun"/>
          <w:rFonts w:ascii="Cambria" w:hAnsi="Cambria"/>
        </w:rPr>
        <w:t xml:space="preserve"> 2017). </w:t>
      </w:r>
    </w:p>
    <w:p w14:paraId="1B5EF9E9" w14:textId="5C1BB45B" w:rsidR="0021722D" w:rsidRPr="003D66DD" w:rsidRDefault="00097DF5" w:rsidP="00EF7FFB">
      <w:pPr>
        <w:pStyle w:val="p1"/>
        <w:spacing w:line="360" w:lineRule="auto"/>
        <w:rPr>
          <w:rFonts w:ascii="Cambria" w:hAnsi="Cambria"/>
          <w:sz w:val="24"/>
          <w:szCs w:val="24"/>
        </w:rPr>
      </w:pPr>
      <w:r>
        <w:rPr>
          <w:rFonts w:ascii="Cambria" w:eastAsia="Times New Roman" w:hAnsi="Cambria" w:cs="Lucida Grande"/>
          <w:color w:val="202323"/>
          <w:sz w:val="24"/>
          <w:szCs w:val="24"/>
          <w:shd w:val="clear" w:color="auto" w:fill="FFFFFF"/>
        </w:rPr>
        <w:lastRenderedPageBreak/>
        <w:t>Shortfalls in the i</w:t>
      </w:r>
      <w:r w:rsidRPr="00097DF5">
        <w:rPr>
          <w:rFonts w:ascii="Cambria" w:eastAsia="Times New Roman" w:hAnsi="Cambria" w:cs="Lucida Grande"/>
          <w:color w:val="202323"/>
          <w:sz w:val="24"/>
          <w:szCs w:val="24"/>
          <w:shd w:val="clear" w:color="auto" w:fill="FFFFFF"/>
        </w:rPr>
        <w:t xml:space="preserve">mplementation </w:t>
      </w:r>
      <w:r>
        <w:rPr>
          <w:rFonts w:ascii="Cambria" w:eastAsia="Times New Roman" w:hAnsi="Cambria" w:cs="Lucida Grande"/>
          <w:color w:val="202323"/>
          <w:sz w:val="24"/>
          <w:szCs w:val="24"/>
          <w:shd w:val="clear" w:color="auto" w:fill="FFFFFF"/>
        </w:rPr>
        <w:t>of</w:t>
      </w:r>
      <w:r w:rsidRPr="00097DF5">
        <w:rPr>
          <w:rFonts w:ascii="Cambria" w:eastAsia="Times New Roman" w:hAnsi="Cambria" w:cs="Lucida Grande"/>
          <w:color w:val="202323"/>
          <w:sz w:val="24"/>
          <w:szCs w:val="24"/>
          <w:shd w:val="clear" w:color="auto" w:fill="FFFFFF"/>
        </w:rPr>
        <w:t xml:space="preserve"> gender equality provisions </w:t>
      </w:r>
      <w:r>
        <w:rPr>
          <w:rFonts w:ascii="Cambria" w:eastAsia="Times New Roman" w:hAnsi="Cambria" w:cs="Lucida Grande"/>
          <w:color w:val="202323"/>
          <w:sz w:val="24"/>
          <w:szCs w:val="24"/>
          <w:shd w:val="clear" w:color="auto" w:fill="FFFFFF"/>
        </w:rPr>
        <w:t xml:space="preserve">have been identified </w:t>
      </w:r>
      <w:r w:rsidR="00EF7FFB">
        <w:rPr>
          <w:rFonts w:ascii="Cambria" w:eastAsia="Times New Roman" w:hAnsi="Cambria" w:cs="Lucida Grande"/>
          <w:color w:val="202323"/>
          <w:sz w:val="24"/>
          <w:szCs w:val="24"/>
          <w:shd w:val="clear" w:color="auto" w:fill="FFFFFF"/>
        </w:rPr>
        <w:t>as resulting in part from</w:t>
      </w:r>
      <w:r w:rsidRPr="00097DF5">
        <w:rPr>
          <w:rFonts w:ascii="Cambria" w:eastAsia="Times New Roman" w:hAnsi="Cambria" w:cs="Lucida Grande"/>
          <w:color w:val="202323"/>
          <w:sz w:val="24"/>
          <w:szCs w:val="24"/>
          <w:shd w:val="clear" w:color="auto" w:fill="FFFFFF"/>
        </w:rPr>
        <w:t xml:space="preserve"> limited cooperation between </w:t>
      </w:r>
      <w:r w:rsidRPr="00097DF5">
        <w:rPr>
          <w:rFonts w:ascii="Cambria" w:hAnsi="Cambria"/>
          <w:sz w:val="24"/>
          <w:szCs w:val="24"/>
        </w:rPr>
        <w:t>existing gender equality bodies and relevant ministries at all</w:t>
      </w:r>
      <w:r w:rsidR="00EF7FFB">
        <w:rPr>
          <w:rFonts w:ascii="Cambria" w:hAnsi="Cambria"/>
          <w:sz w:val="24"/>
          <w:szCs w:val="24"/>
        </w:rPr>
        <w:t xml:space="preserve"> </w:t>
      </w:r>
      <w:r w:rsidRPr="00097DF5">
        <w:rPr>
          <w:rFonts w:ascii="Cambria" w:hAnsi="Cambria"/>
          <w:sz w:val="24"/>
          <w:szCs w:val="24"/>
        </w:rPr>
        <w:t>levels</w:t>
      </w:r>
      <w:r w:rsidR="00EF7FFB">
        <w:rPr>
          <w:rFonts w:ascii="Cambria" w:hAnsi="Cambria"/>
          <w:sz w:val="24"/>
          <w:szCs w:val="24"/>
        </w:rPr>
        <w:t xml:space="preserve">, </w:t>
      </w:r>
      <w:r w:rsidRPr="00097DF5">
        <w:rPr>
          <w:rFonts w:ascii="Cambria" w:eastAsia="Times New Roman" w:hAnsi="Cambria" w:cs="Lucida Grande"/>
          <w:color w:val="202323"/>
          <w:sz w:val="24"/>
          <w:szCs w:val="24"/>
          <w:shd w:val="clear" w:color="auto" w:fill="FFFFFF"/>
        </w:rPr>
        <w:t>poor coordination between gender entities</w:t>
      </w:r>
      <w:r w:rsidR="00EF7FFB">
        <w:rPr>
          <w:rFonts w:ascii="Cambria" w:eastAsia="Times New Roman" w:hAnsi="Cambria" w:cs="Lucida Grande"/>
          <w:color w:val="202323"/>
          <w:sz w:val="24"/>
          <w:szCs w:val="24"/>
          <w:shd w:val="clear" w:color="auto" w:fill="FFFFFF"/>
        </w:rPr>
        <w:t>, and inadequate resources (CEDAW</w:t>
      </w:r>
      <w:r w:rsidR="00EE7800">
        <w:rPr>
          <w:rFonts w:ascii="Cambria" w:eastAsia="Times New Roman" w:hAnsi="Cambria" w:cs="Lucida Grande"/>
          <w:color w:val="202323"/>
          <w:sz w:val="24"/>
          <w:szCs w:val="24"/>
          <w:shd w:val="clear" w:color="auto" w:fill="FFFFFF"/>
        </w:rPr>
        <w:t>,</w:t>
      </w:r>
      <w:r w:rsidR="00EF7FFB">
        <w:rPr>
          <w:rFonts w:ascii="Cambria" w:eastAsia="Times New Roman" w:hAnsi="Cambria" w:cs="Lucida Grande"/>
          <w:color w:val="202323"/>
          <w:sz w:val="24"/>
          <w:szCs w:val="24"/>
          <w:shd w:val="clear" w:color="auto" w:fill="FFFFFF"/>
        </w:rPr>
        <w:t xml:space="preserve"> 2013a).  </w:t>
      </w:r>
      <w:r w:rsidR="008F4875">
        <w:rPr>
          <w:rFonts w:ascii="Cambria" w:eastAsia="Times New Roman" w:hAnsi="Cambria" w:cs="Lucida Grande"/>
          <w:color w:val="202323"/>
          <w:sz w:val="24"/>
          <w:szCs w:val="24"/>
          <w:shd w:val="clear" w:color="auto" w:fill="FFFFFF"/>
        </w:rPr>
        <w:t>Women remain economically disadvantaged despite laws prohibiting discrimination, and occupational segregation is rife</w:t>
      </w:r>
      <w:r w:rsidR="001B2753">
        <w:rPr>
          <w:rFonts w:ascii="Cambria" w:eastAsia="Times New Roman" w:hAnsi="Cambria" w:cs="Lucida Grande"/>
          <w:color w:val="202323"/>
          <w:sz w:val="24"/>
          <w:szCs w:val="24"/>
          <w:shd w:val="clear" w:color="auto" w:fill="FFFFFF"/>
        </w:rPr>
        <w:t xml:space="preserve"> (World Bank</w:t>
      </w:r>
      <w:r w:rsidR="002E2E22">
        <w:rPr>
          <w:rFonts w:ascii="Cambria" w:eastAsia="Times New Roman" w:hAnsi="Cambria" w:cs="Lucida Grande"/>
          <w:color w:val="202323"/>
          <w:sz w:val="24"/>
          <w:szCs w:val="24"/>
          <w:shd w:val="clear" w:color="auto" w:fill="FFFFFF"/>
        </w:rPr>
        <w:t xml:space="preserve"> et al.</w:t>
      </w:r>
      <w:r w:rsidR="00EE7800">
        <w:rPr>
          <w:rFonts w:ascii="Cambria" w:eastAsia="Times New Roman" w:hAnsi="Cambria" w:cs="Lucida Grande"/>
          <w:color w:val="202323"/>
          <w:sz w:val="24"/>
          <w:szCs w:val="24"/>
          <w:shd w:val="clear" w:color="auto" w:fill="FFFFFF"/>
        </w:rPr>
        <w:t>,</w:t>
      </w:r>
      <w:r w:rsidR="001B2753">
        <w:rPr>
          <w:rFonts w:ascii="Cambria" w:eastAsia="Times New Roman" w:hAnsi="Cambria" w:cs="Lucida Grande"/>
          <w:color w:val="202323"/>
          <w:sz w:val="24"/>
          <w:szCs w:val="24"/>
          <w:shd w:val="clear" w:color="auto" w:fill="FFFFFF"/>
        </w:rPr>
        <w:t xml:space="preserve"> 2015)</w:t>
      </w:r>
      <w:r w:rsidR="008F4875">
        <w:rPr>
          <w:rFonts w:ascii="Cambria" w:eastAsia="Times New Roman" w:hAnsi="Cambria" w:cs="Lucida Grande"/>
          <w:color w:val="202323"/>
          <w:sz w:val="24"/>
          <w:szCs w:val="24"/>
          <w:shd w:val="clear" w:color="auto" w:fill="FFFFFF"/>
        </w:rPr>
        <w:t xml:space="preserve">. </w:t>
      </w:r>
      <w:r w:rsidR="00EF7FFB">
        <w:rPr>
          <w:rFonts w:ascii="Cambria" w:eastAsia="Times New Roman" w:hAnsi="Cambria" w:cs="Lucida Grande"/>
          <w:color w:val="202323"/>
          <w:sz w:val="24"/>
          <w:szCs w:val="24"/>
          <w:shd w:val="clear" w:color="auto" w:fill="FFFFFF"/>
        </w:rPr>
        <w:t>In 2016, Bosnia was reported to have the largest gender pay gap in Europe (</w:t>
      </w:r>
      <w:proofErr w:type="spellStart"/>
      <w:r w:rsidR="00EF7FFB" w:rsidRPr="003D66DD">
        <w:rPr>
          <w:rFonts w:ascii="Cambria" w:hAnsi="Cambria"/>
          <w:sz w:val="24"/>
          <w:szCs w:val="24"/>
        </w:rPr>
        <w:t>Hadziristic</w:t>
      </w:r>
      <w:proofErr w:type="spellEnd"/>
      <w:r w:rsidR="00EE7800">
        <w:rPr>
          <w:rFonts w:ascii="Cambria" w:hAnsi="Cambria"/>
          <w:sz w:val="24"/>
          <w:szCs w:val="24"/>
        </w:rPr>
        <w:t>,</w:t>
      </w:r>
      <w:r w:rsidR="00EF7FFB">
        <w:rPr>
          <w:rFonts w:ascii="Cambria" w:hAnsi="Cambria"/>
          <w:sz w:val="24"/>
          <w:szCs w:val="24"/>
        </w:rPr>
        <w:t xml:space="preserve"> 2016).</w:t>
      </w:r>
    </w:p>
    <w:p w14:paraId="4819417C" w14:textId="4A94F584" w:rsidR="001D110D" w:rsidRPr="003D66DD" w:rsidRDefault="001D110D" w:rsidP="001D110D">
      <w:pPr>
        <w:pStyle w:val="paragraph"/>
        <w:spacing w:line="360" w:lineRule="auto"/>
        <w:textAlignment w:val="baseline"/>
        <w:rPr>
          <w:rFonts w:ascii="Cambria" w:hAnsi="Cambria"/>
        </w:rPr>
      </w:pPr>
      <w:r w:rsidRPr="003D66DD">
        <w:rPr>
          <w:rFonts w:ascii="Cambria" w:hAnsi="Cambria"/>
        </w:rPr>
        <w:t>The picture that emerges of the Bosnian case is thus one of exclusion from framework p</w:t>
      </w:r>
      <w:r w:rsidR="00211C62">
        <w:rPr>
          <w:rFonts w:ascii="Cambria" w:hAnsi="Cambria"/>
        </w:rPr>
        <w:t>e</w:t>
      </w:r>
      <w:r w:rsidRPr="003D66DD">
        <w:rPr>
          <w:rFonts w:ascii="Cambria" w:hAnsi="Cambria"/>
        </w:rPr>
        <w:t>ace agreement; subsequent feminist agency in the post-settlement and post-1325 phase to secure new forma</w:t>
      </w:r>
      <w:r w:rsidR="00EE7800">
        <w:rPr>
          <w:rFonts w:ascii="Cambria" w:hAnsi="Cambria"/>
        </w:rPr>
        <w:t>l gender institutions and rules;</w:t>
      </w:r>
      <w:r w:rsidRPr="003D66DD">
        <w:rPr>
          <w:rFonts w:ascii="Cambria" w:hAnsi="Cambria"/>
        </w:rPr>
        <w:t xml:space="preserve"> but with poor outcomes for women’s political inclusion in practice and poor institutionalisation of WPS norms in a substantive sense.   </w:t>
      </w:r>
    </w:p>
    <w:p w14:paraId="34D6C5DE" w14:textId="2A947536" w:rsidR="00350503" w:rsidRPr="003D66DD" w:rsidRDefault="00EE7800" w:rsidP="004228D5">
      <w:pPr>
        <w:pStyle w:val="paragraph"/>
        <w:spacing w:line="360" w:lineRule="auto"/>
        <w:textAlignment w:val="baseline"/>
        <w:outlineLvl w:val="0"/>
        <w:rPr>
          <w:rFonts w:ascii="Cambria" w:hAnsi="Cambria"/>
          <w:b/>
          <w:i/>
        </w:rPr>
      </w:pPr>
      <w:r>
        <w:rPr>
          <w:rFonts w:ascii="Cambria" w:hAnsi="Cambria"/>
          <w:b/>
          <w:i/>
        </w:rPr>
        <w:t>FI A</w:t>
      </w:r>
      <w:r w:rsidR="00350503" w:rsidRPr="003D66DD">
        <w:rPr>
          <w:rFonts w:ascii="Cambria" w:hAnsi="Cambria"/>
          <w:b/>
          <w:i/>
        </w:rPr>
        <w:t xml:space="preserve">nalysis </w:t>
      </w:r>
    </w:p>
    <w:p w14:paraId="0D3E9FE2" w14:textId="77777777" w:rsidR="00246003" w:rsidRPr="003D66DD" w:rsidRDefault="00075A68" w:rsidP="001D110D">
      <w:pPr>
        <w:spacing w:before="100" w:beforeAutospacing="1" w:after="100" w:afterAutospacing="1" w:line="360" w:lineRule="auto"/>
        <w:textAlignment w:val="baseline"/>
        <w:rPr>
          <w:rFonts w:ascii="Cambria" w:eastAsia="Times New Roman" w:hAnsi="Cambria"/>
          <w:i/>
          <w:lang w:eastAsia="en-GB"/>
        </w:rPr>
      </w:pPr>
      <w:r w:rsidRPr="003D66DD">
        <w:rPr>
          <w:rFonts w:ascii="Cambria" w:eastAsia="Times New Roman" w:hAnsi="Cambria"/>
          <w:i/>
          <w:lang w:eastAsia="en-GB"/>
        </w:rPr>
        <w:t>Nested</w:t>
      </w:r>
      <w:r w:rsidR="00246003" w:rsidRPr="003D66DD">
        <w:rPr>
          <w:rFonts w:ascii="Cambria" w:eastAsia="Times New Roman" w:hAnsi="Cambria"/>
          <w:i/>
          <w:lang w:eastAsia="en-GB"/>
        </w:rPr>
        <w:t xml:space="preserve"> Newness</w:t>
      </w:r>
    </w:p>
    <w:p w14:paraId="2410B6E7" w14:textId="1C18CF7D" w:rsidR="00EF7FFB" w:rsidRDefault="001D110D" w:rsidP="001D110D">
      <w:pPr>
        <w:spacing w:before="100" w:beforeAutospacing="1" w:after="100" w:afterAutospacing="1" w:line="360" w:lineRule="auto"/>
        <w:textAlignment w:val="baseline"/>
        <w:rPr>
          <w:rFonts w:ascii="Cambria" w:hAnsi="Cambria"/>
        </w:rPr>
      </w:pPr>
      <w:r w:rsidRPr="003D66DD">
        <w:rPr>
          <w:rFonts w:ascii="Cambria" w:eastAsia="Times New Roman" w:hAnsi="Cambria"/>
          <w:lang w:eastAsia="en-GB"/>
        </w:rPr>
        <w:t xml:space="preserve">If we apply an FI lens to the Bosnian case study then, we see firstly the </w:t>
      </w:r>
      <w:proofErr w:type="spellStart"/>
      <w:r w:rsidRPr="003D66DD">
        <w:rPr>
          <w:rFonts w:ascii="Cambria" w:eastAsia="Times New Roman" w:hAnsi="Cambria"/>
          <w:bCs/>
          <w:i/>
          <w:lang w:eastAsia="en-GB"/>
        </w:rPr>
        <w:t>nestedness</w:t>
      </w:r>
      <w:proofErr w:type="spellEnd"/>
      <w:r w:rsidRPr="003D66DD">
        <w:rPr>
          <w:rFonts w:ascii="Cambria" w:eastAsia="Times New Roman" w:hAnsi="Cambria"/>
          <w:lang w:eastAsia="en-GB"/>
        </w:rPr>
        <w:t xml:space="preserve"> of </w:t>
      </w:r>
      <w:r w:rsidRPr="003D66DD">
        <w:rPr>
          <w:rFonts w:ascii="Cambria" w:eastAsia="Times New Roman" w:hAnsi="Cambria"/>
          <w:bCs/>
          <w:lang w:eastAsia="en-GB"/>
        </w:rPr>
        <w:t>new</w:t>
      </w:r>
      <w:r w:rsidRPr="003D66DD">
        <w:rPr>
          <w:rFonts w:ascii="Cambria" w:eastAsia="Times New Roman" w:hAnsi="Cambria"/>
          <w:lang w:eastAsia="en-GB"/>
        </w:rPr>
        <w:t xml:space="preserve"> institutional arrangements within </w:t>
      </w:r>
      <w:r w:rsidRPr="003D66DD">
        <w:rPr>
          <w:rFonts w:ascii="Cambria" w:eastAsia="Times New Roman" w:hAnsi="Cambria"/>
          <w:bCs/>
          <w:lang w:eastAsia="en-GB"/>
        </w:rPr>
        <w:t xml:space="preserve">wider intersecting systems. </w:t>
      </w:r>
      <w:r w:rsidRPr="003D66DD">
        <w:rPr>
          <w:rFonts w:ascii="Cambria" w:eastAsia="Times New Roman" w:hAnsi="Cambria"/>
          <w:lang w:eastAsia="en-GB"/>
        </w:rPr>
        <w:t xml:space="preserve">Reforms such as </w:t>
      </w:r>
      <w:r w:rsidRPr="003D66DD">
        <w:rPr>
          <w:rFonts w:ascii="Cambria" w:eastAsia="Times New Roman" w:hAnsi="Cambria"/>
          <w:bCs/>
          <w:lang w:eastAsia="en-GB"/>
        </w:rPr>
        <w:t>gender quotas</w:t>
      </w:r>
      <w:r w:rsidRPr="003D66DD">
        <w:rPr>
          <w:rFonts w:ascii="Cambria" w:eastAsia="Times New Roman" w:hAnsi="Cambria"/>
          <w:lang w:eastAsia="en-GB"/>
        </w:rPr>
        <w:t xml:space="preserve"> are nested in </w:t>
      </w:r>
      <w:r w:rsidRPr="003D66DD">
        <w:rPr>
          <w:rFonts w:ascii="Cambria" w:eastAsia="Times New Roman" w:hAnsi="Cambria"/>
          <w:bCs/>
          <w:lang w:eastAsia="en-GB"/>
        </w:rPr>
        <w:t xml:space="preserve">formal and informal rules of power-sharing. </w:t>
      </w:r>
      <w:r w:rsidRPr="003D66DD">
        <w:rPr>
          <w:rFonts w:ascii="Cambria" w:eastAsia="Times New Roman" w:hAnsi="Cambria"/>
          <w:lang w:eastAsia="en-GB"/>
        </w:rPr>
        <w:t>They sit within</w:t>
      </w:r>
      <w:r w:rsidRPr="003D66DD">
        <w:rPr>
          <w:rFonts w:ascii="Cambria" w:eastAsia="Times New Roman" w:hAnsi="Cambria"/>
          <w:bCs/>
          <w:lang w:eastAsia="en-GB"/>
        </w:rPr>
        <w:t xml:space="preserve"> p</w:t>
      </w:r>
      <w:r w:rsidRPr="003D66DD">
        <w:rPr>
          <w:rFonts w:ascii="Cambria" w:eastAsia="Times New Roman" w:hAnsi="Cambria"/>
          <w:lang w:eastAsia="en-GB"/>
        </w:rPr>
        <w:t xml:space="preserve">re-existing </w:t>
      </w:r>
      <w:r w:rsidRPr="003D66DD">
        <w:rPr>
          <w:rFonts w:ascii="Cambria" w:eastAsia="Times New Roman" w:hAnsi="Cambria"/>
          <w:bCs/>
          <w:lang w:eastAsia="en-GB"/>
        </w:rPr>
        <w:t>practices of ethno</w:t>
      </w:r>
      <w:r w:rsidR="00EE7800">
        <w:rPr>
          <w:rFonts w:ascii="Cambria" w:eastAsia="Times New Roman" w:hAnsi="Cambria"/>
          <w:bCs/>
          <w:lang w:eastAsia="en-GB"/>
        </w:rPr>
        <w:t>-</w:t>
      </w:r>
      <w:r w:rsidRPr="003D66DD">
        <w:rPr>
          <w:rFonts w:ascii="Cambria" w:eastAsia="Times New Roman" w:hAnsi="Cambria"/>
          <w:bCs/>
          <w:lang w:eastAsia="en-GB"/>
        </w:rPr>
        <w:t xml:space="preserve">national party competition, </w:t>
      </w:r>
      <w:r w:rsidRPr="003D66DD">
        <w:rPr>
          <w:rFonts w:ascii="Cambria" w:eastAsia="Times New Roman" w:hAnsi="Cambria"/>
          <w:lang w:eastAsia="en-GB"/>
        </w:rPr>
        <w:t xml:space="preserve">conventions of </w:t>
      </w:r>
      <w:r w:rsidRPr="003D66DD">
        <w:rPr>
          <w:rFonts w:ascii="Cambria" w:eastAsia="Times New Roman" w:hAnsi="Cambria"/>
          <w:bCs/>
          <w:lang w:eastAsia="en-GB"/>
        </w:rPr>
        <w:t xml:space="preserve">party hierarchy and ethno-national patronage and </w:t>
      </w:r>
      <w:proofErr w:type="spellStart"/>
      <w:r w:rsidRPr="003D66DD">
        <w:rPr>
          <w:rFonts w:ascii="Cambria" w:eastAsia="Times New Roman" w:hAnsi="Cambria"/>
          <w:bCs/>
          <w:lang w:eastAsia="en-GB"/>
        </w:rPr>
        <w:t>clientelism</w:t>
      </w:r>
      <w:proofErr w:type="spellEnd"/>
      <w:r w:rsidR="005E31CA">
        <w:rPr>
          <w:rFonts w:ascii="Cambria" w:eastAsia="Times New Roman" w:hAnsi="Cambria"/>
          <w:bCs/>
          <w:lang w:eastAsia="en-GB"/>
        </w:rPr>
        <w:t xml:space="preserve"> – each of which is exacerbated, or </w:t>
      </w:r>
      <w:r w:rsidRPr="003D66DD">
        <w:rPr>
          <w:rFonts w:ascii="Cambria" w:eastAsia="Times New Roman" w:hAnsi="Cambria"/>
          <w:bCs/>
          <w:lang w:eastAsia="en-GB"/>
        </w:rPr>
        <w:t>facilitated</w:t>
      </w:r>
      <w:r w:rsidR="005E31CA">
        <w:rPr>
          <w:rFonts w:ascii="Cambria" w:eastAsia="Times New Roman" w:hAnsi="Cambria"/>
          <w:bCs/>
          <w:lang w:eastAsia="en-GB"/>
        </w:rPr>
        <w:t>,</w:t>
      </w:r>
      <w:r w:rsidRPr="003D66DD">
        <w:rPr>
          <w:rFonts w:ascii="Cambria" w:eastAsia="Times New Roman" w:hAnsi="Cambria"/>
          <w:bCs/>
          <w:lang w:eastAsia="en-GB"/>
        </w:rPr>
        <w:t xml:space="preserve"> by the </w:t>
      </w:r>
      <w:r w:rsidRPr="003D66DD">
        <w:rPr>
          <w:rFonts w:ascii="Cambria" w:eastAsia="Times New Roman" w:hAnsi="Cambria"/>
          <w:shd w:val="clear" w:color="auto" w:fill="FFFFFF"/>
          <w:lang w:eastAsia="en-GB"/>
        </w:rPr>
        <w:t xml:space="preserve">heavily </w:t>
      </w:r>
      <w:r w:rsidRPr="003D66DD">
        <w:rPr>
          <w:rFonts w:ascii="Cambria" w:eastAsia="Times New Roman" w:hAnsi="Cambria"/>
          <w:bCs/>
          <w:shd w:val="clear" w:color="auto" w:fill="FFFFFF"/>
          <w:lang w:eastAsia="en-GB"/>
        </w:rPr>
        <w:t xml:space="preserve">decentralised </w:t>
      </w:r>
      <w:proofErr w:type="spellStart"/>
      <w:r w:rsidRPr="003D66DD">
        <w:rPr>
          <w:rFonts w:ascii="Cambria" w:eastAsia="Times New Roman" w:hAnsi="Cambria"/>
          <w:lang w:eastAsia="en-GB"/>
        </w:rPr>
        <w:t>consociational</w:t>
      </w:r>
      <w:proofErr w:type="spellEnd"/>
      <w:r w:rsidRPr="003D66DD">
        <w:rPr>
          <w:rFonts w:ascii="Cambria" w:eastAsia="Times New Roman" w:hAnsi="Cambria"/>
          <w:lang w:eastAsia="en-GB"/>
        </w:rPr>
        <w:t xml:space="preserve"> structures that grant parties a great deal of autonomy.  </w:t>
      </w:r>
      <w:r w:rsidRPr="003D66DD">
        <w:rPr>
          <w:rFonts w:ascii="Cambria" w:eastAsia="Times New Roman" w:hAnsi="Cambria"/>
          <w:bCs/>
          <w:lang w:eastAsia="en-GB"/>
        </w:rPr>
        <w:t xml:space="preserve">New formal gender rules are furthermore </w:t>
      </w:r>
      <w:r w:rsidRPr="003D66DD">
        <w:rPr>
          <w:rFonts w:ascii="Cambria" w:eastAsia="Times New Roman" w:hAnsi="Cambria"/>
          <w:lang w:eastAsia="en-GB"/>
        </w:rPr>
        <w:t xml:space="preserve">nested within liberal peace building, which prioritises </w:t>
      </w:r>
      <w:r w:rsidRPr="003D66DD">
        <w:rPr>
          <w:rFonts w:ascii="Cambria" w:eastAsia="Times New Roman" w:hAnsi="Cambria"/>
          <w:bCs/>
          <w:lang w:eastAsia="en-GB"/>
        </w:rPr>
        <w:t>elite pacts</w:t>
      </w:r>
      <w:r w:rsidRPr="003D66DD">
        <w:rPr>
          <w:rFonts w:ascii="Cambria" w:eastAsia="Times New Roman" w:hAnsi="Cambria"/>
          <w:lang w:eastAsia="en-GB"/>
        </w:rPr>
        <w:t xml:space="preserve"> and </w:t>
      </w:r>
      <w:r w:rsidRPr="003D66DD">
        <w:rPr>
          <w:rFonts w:ascii="Cambria" w:eastAsia="Times New Roman" w:hAnsi="Cambria"/>
          <w:bCs/>
          <w:lang w:eastAsia="en-GB"/>
        </w:rPr>
        <w:t>neoliberal economic reforms</w:t>
      </w:r>
      <w:r w:rsidRPr="003D66DD">
        <w:rPr>
          <w:rFonts w:ascii="Cambria" w:eastAsia="Times New Roman" w:hAnsi="Cambria"/>
          <w:lang w:eastAsia="en-GB"/>
        </w:rPr>
        <w:t xml:space="preserve"> which undermine formal commitments to inclusion or gender equality.  </w:t>
      </w:r>
      <w:r w:rsidR="00761973" w:rsidRPr="003D66DD">
        <w:rPr>
          <w:rStyle w:val="normaltextrun"/>
          <w:rFonts w:ascii="Cambria" w:hAnsi="Cambria"/>
        </w:rPr>
        <w:t xml:space="preserve">Furthermore, the heavy </w:t>
      </w:r>
      <w:r w:rsidR="00761973" w:rsidRPr="003D66DD">
        <w:rPr>
          <w:rStyle w:val="normaltextrun"/>
          <w:rFonts w:ascii="Cambria" w:hAnsi="Cambria"/>
          <w:bCs/>
        </w:rPr>
        <w:t>international intervention</w:t>
      </w:r>
      <w:r w:rsidR="00761973" w:rsidRPr="003D66DD">
        <w:rPr>
          <w:rStyle w:val="normaltextrun"/>
          <w:rFonts w:ascii="Cambria" w:hAnsi="Cambria"/>
        </w:rPr>
        <w:t xml:space="preserve"> in Bosnia has been a double-edged sword.  The international community has been observed to legitimise and incentivise ethnic framings, thus marginalising oth</w:t>
      </w:r>
      <w:r w:rsidR="00EF7471">
        <w:rPr>
          <w:rStyle w:val="normaltextrun"/>
          <w:rFonts w:ascii="Cambria" w:hAnsi="Cambria"/>
        </w:rPr>
        <w:t>er forms of identity and mobilis</w:t>
      </w:r>
      <w:r w:rsidR="00761973" w:rsidRPr="003D66DD">
        <w:rPr>
          <w:rStyle w:val="normaltextrun"/>
          <w:rFonts w:ascii="Cambria" w:hAnsi="Cambria"/>
        </w:rPr>
        <w:t xml:space="preserve">ation (McCulloch </w:t>
      </w:r>
      <w:r w:rsidR="000E381B" w:rsidRPr="003D66DD">
        <w:rPr>
          <w:rStyle w:val="normaltextrun"/>
          <w:rFonts w:ascii="Cambria" w:hAnsi="Cambria"/>
        </w:rPr>
        <w:t>and</w:t>
      </w:r>
      <w:r w:rsidR="00761973" w:rsidRPr="003D66DD">
        <w:rPr>
          <w:rStyle w:val="normaltextrun"/>
          <w:rFonts w:ascii="Cambria" w:hAnsi="Cambria"/>
        </w:rPr>
        <w:t xml:space="preserve"> Byrne, 2017; </w:t>
      </w:r>
      <w:proofErr w:type="spellStart"/>
      <w:r w:rsidR="00761973" w:rsidRPr="003D66DD">
        <w:rPr>
          <w:rStyle w:val="normaltextrun"/>
          <w:rFonts w:ascii="Cambria" w:hAnsi="Cambria"/>
        </w:rPr>
        <w:t>Belloni</w:t>
      </w:r>
      <w:proofErr w:type="spellEnd"/>
      <w:r w:rsidR="00761973" w:rsidRPr="003D66DD">
        <w:rPr>
          <w:rStyle w:val="normaltextrun"/>
          <w:rFonts w:ascii="Cambria" w:hAnsi="Cambria"/>
        </w:rPr>
        <w:t xml:space="preserve">, </w:t>
      </w:r>
      <w:r w:rsidR="00761973" w:rsidRPr="003D66DD">
        <w:rPr>
          <w:rFonts w:ascii="Cambria" w:eastAsia="Arial" w:hAnsi="Cambria"/>
        </w:rPr>
        <w:t>2007: 112</w:t>
      </w:r>
      <w:r w:rsidR="00761973" w:rsidRPr="003D66DD">
        <w:rPr>
          <w:rFonts w:ascii="Cambria" w:hAnsi="Cambria"/>
        </w:rPr>
        <w:t xml:space="preserve">).  </w:t>
      </w:r>
    </w:p>
    <w:p w14:paraId="42B1FE7A" w14:textId="30A78DBB" w:rsidR="00882A3B" w:rsidRPr="003D66DD" w:rsidRDefault="00EF7471" w:rsidP="001D110D">
      <w:pPr>
        <w:spacing w:before="100" w:beforeAutospacing="1" w:after="100" w:afterAutospacing="1" w:line="360" w:lineRule="auto"/>
        <w:textAlignment w:val="baseline"/>
        <w:rPr>
          <w:rFonts w:ascii="Cambria" w:eastAsia="Times New Roman" w:hAnsi="Cambria"/>
        </w:rPr>
      </w:pPr>
      <w:r>
        <w:rPr>
          <w:rStyle w:val="normaltextrun"/>
          <w:rFonts w:ascii="Cambria" w:hAnsi="Cambria"/>
        </w:rPr>
        <w:t>The internationalis</w:t>
      </w:r>
      <w:r w:rsidR="00761973" w:rsidRPr="003D66DD">
        <w:rPr>
          <w:rStyle w:val="normaltextrun"/>
          <w:rFonts w:ascii="Cambria" w:hAnsi="Cambria"/>
        </w:rPr>
        <w:t>ation of the post-war state has also seen an ‘</w:t>
      </w:r>
      <w:r w:rsidR="00761973" w:rsidRPr="003D66DD">
        <w:rPr>
          <w:rStyle w:val="normaltextrun"/>
          <w:rFonts w:ascii="Cambria" w:hAnsi="Cambria"/>
          <w:bCs/>
        </w:rPr>
        <w:t>NGO-</w:t>
      </w:r>
      <w:proofErr w:type="spellStart"/>
      <w:r w:rsidR="00761973" w:rsidRPr="003D66DD">
        <w:rPr>
          <w:rStyle w:val="spellingerror"/>
          <w:rFonts w:ascii="Cambria" w:hAnsi="Cambria"/>
          <w:bCs/>
        </w:rPr>
        <w:t>isation</w:t>
      </w:r>
      <w:proofErr w:type="spellEnd"/>
      <w:r w:rsidR="00761973" w:rsidRPr="003D66DD">
        <w:rPr>
          <w:rStyle w:val="normaltextrun"/>
          <w:rFonts w:ascii="Cambria" w:hAnsi="Cambria"/>
          <w:bCs/>
        </w:rPr>
        <w:t>’ of civil society</w:t>
      </w:r>
      <w:r w:rsidR="00761973" w:rsidRPr="003D66DD">
        <w:rPr>
          <w:rStyle w:val="normaltextrun"/>
          <w:rFonts w:ascii="Cambria" w:hAnsi="Cambria"/>
        </w:rPr>
        <w:t xml:space="preserve"> </w:t>
      </w:r>
      <w:r w:rsidR="00B61785" w:rsidRPr="003D66DD">
        <w:rPr>
          <w:rStyle w:val="normaltextrun"/>
          <w:rFonts w:ascii="Cambria" w:hAnsi="Cambria"/>
        </w:rPr>
        <w:t xml:space="preserve">that has been observed to co-opt the women’s movement and stifle </w:t>
      </w:r>
      <w:r w:rsidR="00B61785" w:rsidRPr="003D66DD">
        <w:rPr>
          <w:rFonts w:ascii="Cambria" w:hAnsi="Cambria"/>
        </w:rPr>
        <w:t xml:space="preserve">the </w:t>
      </w:r>
      <w:r w:rsidR="00B61785" w:rsidRPr="003D66DD">
        <w:rPr>
          <w:rFonts w:ascii="Cambria" w:hAnsi="Cambria"/>
          <w:bCs/>
        </w:rPr>
        <w:lastRenderedPageBreak/>
        <w:t>development of the grassroots feminism (Helms, 2013: 115)</w:t>
      </w:r>
      <w:r w:rsidR="00B61785" w:rsidRPr="003D66DD">
        <w:rPr>
          <w:rFonts w:ascii="Cambria" w:hAnsi="Cambria"/>
        </w:rPr>
        <w:t xml:space="preserve">. This effect has the potential to obstruct the pipeline of progression for women from movement to political party and thus the formal political sphere.  </w:t>
      </w:r>
      <w:r w:rsidR="00B61785" w:rsidRPr="003D66DD">
        <w:rPr>
          <w:rFonts w:ascii="Cambria" w:eastAsia="Times New Roman" w:hAnsi="Cambria"/>
        </w:rPr>
        <w:t> </w:t>
      </w:r>
    </w:p>
    <w:p w14:paraId="3F6758DA" w14:textId="5132CFCD" w:rsidR="00246003" w:rsidRPr="003D66DD" w:rsidRDefault="00C00A6D" w:rsidP="001D110D">
      <w:pPr>
        <w:spacing w:before="100" w:beforeAutospacing="1" w:after="100" w:afterAutospacing="1" w:line="360" w:lineRule="auto"/>
        <w:textAlignment w:val="baseline"/>
        <w:rPr>
          <w:rFonts w:ascii="Cambria" w:hAnsi="Cambria"/>
          <w:i/>
        </w:rPr>
      </w:pPr>
      <w:r>
        <w:rPr>
          <w:rFonts w:ascii="Cambria" w:hAnsi="Cambria"/>
          <w:bCs/>
          <w:i/>
        </w:rPr>
        <w:t>Interplay B</w:t>
      </w:r>
      <w:r w:rsidR="00246003" w:rsidRPr="003D66DD">
        <w:rPr>
          <w:rFonts w:ascii="Cambria" w:hAnsi="Cambria"/>
          <w:bCs/>
          <w:i/>
        </w:rPr>
        <w:t>etween Formal and Informal</w:t>
      </w:r>
      <w:r w:rsidR="00246003" w:rsidRPr="003D66DD">
        <w:rPr>
          <w:rFonts w:ascii="Cambria" w:hAnsi="Cambria"/>
          <w:bCs/>
        </w:rPr>
        <w:t xml:space="preserve"> </w:t>
      </w:r>
      <w:r w:rsidR="00246003" w:rsidRPr="003D66DD">
        <w:rPr>
          <w:rFonts w:ascii="Cambria" w:hAnsi="Cambria"/>
          <w:bCs/>
          <w:i/>
        </w:rPr>
        <w:t>Institutions</w:t>
      </w:r>
    </w:p>
    <w:p w14:paraId="10E591D6" w14:textId="15933853" w:rsidR="00EF7FFB" w:rsidRDefault="00FE416A" w:rsidP="001D110D">
      <w:pPr>
        <w:spacing w:before="100" w:beforeAutospacing="1" w:after="100" w:afterAutospacing="1" w:line="360" w:lineRule="auto"/>
        <w:textAlignment w:val="baseline"/>
        <w:rPr>
          <w:rFonts w:ascii="Cambria" w:hAnsi="Cambria"/>
        </w:rPr>
      </w:pPr>
      <w:r w:rsidRPr="003D66DD">
        <w:rPr>
          <w:rFonts w:ascii="Cambria" w:eastAsia="Times New Roman" w:hAnsi="Cambria"/>
          <w:lang w:eastAsia="en-GB"/>
        </w:rPr>
        <w:t>Second</w:t>
      </w:r>
      <w:r w:rsidR="001D110D" w:rsidRPr="003D66DD">
        <w:rPr>
          <w:rFonts w:ascii="Cambria" w:eastAsia="Times New Roman" w:hAnsi="Cambria"/>
          <w:lang w:eastAsia="en-GB"/>
        </w:rPr>
        <w:t xml:space="preserve">, the case of Bosnia demonstrates </w:t>
      </w:r>
      <w:r w:rsidR="001D110D" w:rsidRPr="003D66DD">
        <w:rPr>
          <w:rFonts w:ascii="Cambria" w:hAnsi="Cambria"/>
        </w:rPr>
        <w:t xml:space="preserve">the </w:t>
      </w:r>
      <w:r w:rsidR="001D110D" w:rsidRPr="003D66DD">
        <w:rPr>
          <w:rFonts w:ascii="Cambria" w:hAnsi="Cambria"/>
          <w:bCs/>
          <w:i/>
        </w:rPr>
        <w:t>interplay between formal and informal</w:t>
      </w:r>
      <w:r w:rsidR="001D110D" w:rsidRPr="003D66DD">
        <w:rPr>
          <w:rFonts w:ascii="Cambria" w:hAnsi="Cambria"/>
          <w:bCs/>
        </w:rPr>
        <w:t xml:space="preserve"> </w:t>
      </w:r>
      <w:r w:rsidR="001D110D" w:rsidRPr="003D66DD">
        <w:rPr>
          <w:rFonts w:ascii="Cambria" w:hAnsi="Cambria"/>
          <w:bCs/>
          <w:i/>
        </w:rPr>
        <w:t>institutions</w:t>
      </w:r>
      <w:r w:rsidR="001D110D" w:rsidRPr="003D66DD">
        <w:rPr>
          <w:rFonts w:ascii="Cambria" w:hAnsi="Cambria"/>
        </w:rPr>
        <w:t xml:space="preserve">. </w:t>
      </w:r>
      <w:r w:rsidR="008E6D7E" w:rsidRPr="003D66DD">
        <w:rPr>
          <w:rFonts w:ascii="Cambria" w:hAnsi="Cambria"/>
        </w:rPr>
        <w:t xml:space="preserve">In Bosnia, the significant territorial decentralisation under the Dayton power-sharing system gives ethno-national parties a great deal of control over ‘their areas’. This creates a permissive environment for </w:t>
      </w:r>
      <w:proofErr w:type="spellStart"/>
      <w:r w:rsidR="008E6D7E" w:rsidRPr="003D66DD">
        <w:rPr>
          <w:rFonts w:ascii="Cambria" w:hAnsi="Cambria"/>
        </w:rPr>
        <w:t>clientelism</w:t>
      </w:r>
      <w:proofErr w:type="spellEnd"/>
      <w:r w:rsidR="008E6D7E" w:rsidRPr="003D66DD">
        <w:rPr>
          <w:rFonts w:ascii="Cambria" w:hAnsi="Cambria"/>
        </w:rPr>
        <w:t xml:space="preserve"> and allows for it to be used as a tool of deterrence and intimidation against any kind of political mobilisation that disrupts the ethno-national </w:t>
      </w:r>
      <w:r w:rsidR="008E6D7E" w:rsidRPr="00AD7642">
        <w:rPr>
          <w:rFonts w:ascii="Cambria" w:hAnsi="Cambria"/>
        </w:rPr>
        <w:t>status quo.</w:t>
      </w:r>
      <w:r w:rsidR="008E6D7E" w:rsidRPr="003D66DD">
        <w:rPr>
          <w:rFonts w:ascii="Cambria" w:hAnsi="Cambria"/>
        </w:rPr>
        <w:t xml:space="preserve"> </w:t>
      </w:r>
      <w:proofErr w:type="spellStart"/>
      <w:r w:rsidR="00EF7FFB">
        <w:rPr>
          <w:rFonts w:ascii="Cambria" w:hAnsi="Cambria"/>
        </w:rPr>
        <w:t>Clientelism</w:t>
      </w:r>
      <w:proofErr w:type="spellEnd"/>
      <w:r w:rsidR="00EF7FFB">
        <w:rPr>
          <w:rFonts w:ascii="Cambria" w:hAnsi="Cambria"/>
        </w:rPr>
        <w:t xml:space="preserve"> is an informal </w:t>
      </w:r>
      <w:r w:rsidR="001B2753">
        <w:rPr>
          <w:rFonts w:ascii="Cambria" w:hAnsi="Cambria"/>
        </w:rPr>
        <w:t xml:space="preserve">political </w:t>
      </w:r>
      <w:r w:rsidR="00EF7FFB">
        <w:rPr>
          <w:rFonts w:ascii="Cambria" w:hAnsi="Cambria"/>
        </w:rPr>
        <w:t>institution</w:t>
      </w:r>
      <w:r w:rsidR="001B2753">
        <w:rPr>
          <w:rFonts w:ascii="Cambria" w:hAnsi="Cambria"/>
        </w:rPr>
        <w:t xml:space="preserve"> </w:t>
      </w:r>
      <w:r w:rsidR="00787B59">
        <w:rPr>
          <w:rFonts w:ascii="Cambria" w:hAnsi="Cambria"/>
        </w:rPr>
        <w:t xml:space="preserve">– and socio-political hierarchy - </w:t>
      </w:r>
      <w:r w:rsidR="001B2753">
        <w:rPr>
          <w:rFonts w:ascii="Cambria" w:hAnsi="Cambria"/>
        </w:rPr>
        <w:t xml:space="preserve">which involves the exchange of resources and benefits between powerful patrons (politicians, government ministers, elite power brokers) and subordinate </w:t>
      </w:r>
      <w:r w:rsidR="00787B59">
        <w:rPr>
          <w:rFonts w:ascii="Cambria" w:hAnsi="Cambria"/>
        </w:rPr>
        <w:t>‘</w:t>
      </w:r>
      <w:r w:rsidR="001B2753">
        <w:rPr>
          <w:rFonts w:ascii="Cambria" w:hAnsi="Cambria"/>
        </w:rPr>
        <w:t>others</w:t>
      </w:r>
      <w:r w:rsidR="00787B59">
        <w:rPr>
          <w:rFonts w:ascii="Cambria" w:hAnsi="Cambria"/>
        </w:rPr>
        <w:t>’</w:t>
      </w:r>
      <w:r w:rsidR="00EE7800">
        <w:rPr>
          <w:rFonts w:ascii="Cambria" w:hAnsi="Cambria"/>
        </w:rPr>
        <w:t>,</w:t>
      </w:r>
      <w:r w:rsidR="00787B59">
        <w:rPr>
          <w:rFonts w:ascii="Cambria" w:hAnsi="Cambria"/>
        </w:rPr>
        <w:t xml:space="preserve"> i.e. clients</w:t>
      </w:r>
      <w:r w:rsidR="001B2753">
        <w:rPr>
          <w:rFonts w:ascii="Cambria" w:hAnsi="Cambria"/>
        </w:rPr>
        <w:t xml:space="preserve"> (members or lesser officials in political parties and other </w:t>
      </w:r>
      <w:r w:rsidR="00787B59">
        <w:rPr>
          <w:rFonts w:ascii="Cambria" w:hAnsi="Cambria"/>
        </w:rPr>
        <w:t>political and state structures;</w:t>
      </w:r>
      <w:r w:rsidR="001B2753">
        <w:rPr>
          <w:rFonts w:ascii="Cambria" w:hAnsi="Cambria"/>
        </w:rPr>
        <w:t xml:space="preserve"> voters</w:t>
      </w:r>
      <w:r w:rsidR="00C00A6D">
        <w:rPr>
          <w:rFonts w:ascii="Cambria" w:hAnsi="Cambria"/>
        </w:rPr>
        <w:t>,</w:t>
      </w:r>
      <w:r w:rsidR="001B2753">
        <w:rPr>
          <w:rFonts w:ascii="Cambria" w:hAnsi="Cambria"/>
        </w:rPr>
        <w:t xml:space="preserve"> especially </w:t>
      </w:r>
      <w:r w:rsidR="00787B59">
        <w:rPr>
          <w:rFonts w:ascii="Cambria" w:hAnsi="Cambria"/>
        </w:rPr>
        <w:t xml:space="preserve">with </w:t>
      </w:r>
      <w:r w:rsidR="001B2753">
        <w:rPr>
          <w:rFonts w:ascii="Cambria" w:hAnsi="Cambria"/>
        </w:rPr>
        <w:t xml:space="preserve">regional or ethnic </w:t>
      </w:r>
      <w:r w:rsidR="00787B59">
        <w:rPr>
          <w:rFonts w:ascii="Cambria" w:hAnsi="Cambria"/>
        </w:rPr>
        <w:t>links</w:t>
      </w:r>
      <w:r w:rsidR="001B2753">
        <w:rPr>
          <w:rFonts w:ascii="Cambria" w:hAnsi="Cambria"/>
        </w:rPr>
        <w:t xml:space="preserve">). </w:t>
      </w:r>
      <w:r w:rsidR="00787B59">
        <w:rPr>
          <w:rFonts w:ascii="Cambria" w:hAnsi="Cambria"/>
        </w:rPr>
        <w:t>B</w:t>
      </w:r>
      <w:r w:rsidR="001B2753">
        <w:rPr>
          <w:rFonts w:ascii="Cambria" w:hAnsi="Cambria"/>
        </w:rPr>
        <w:t>enefits such as positions, financial and other sorts of resources might be exchanged in return for political loyalty and support, including votes (Stokes</w:t>
      </w:r>
      <w:r w:rsidR="00C00A6D">
        <w:rPr>
          <w:rFonts w:ascii="Cambria" w:hAnsi="Cambria"/>
        </w:rPr>
        <w:t>,</w:t>
      </w:r>
      <w:r w:rsidR="001B2753">
        <w:rPr>
          <w:rFonts w:ascii="Cambria" w:hAnsi="Cambria"/>
        </w:rPr>
        <w:t xml:space="preserve"> 2009).</w:t>
      </w:r>
      <w:r w:rsidR="00787B59">
        <w:rPr>
          <w:rFonts w:ascii="Cambria" w:hAnsi="Cambria"/>
        </w:rPr>
        <w:t xml:space="preserve"> Closely related to this informal institution of political organisation is </w:t>
      </w:r>
      <w:r w:rsidR="00201314">
        <w:rPr>
          <w:rFonts w:ascii="Cambria" w:hAnsi="Cambria"/>
        </w:rPr>
        <w:t>n</w:t>
      </w:r>
      <w:r w:rsidR="00787B59">
        <w:rPr>
          <w:rFonts w:ascii="Cambria" w:hAnsi="Cambria"/>
        </w:rPr>
        <w:t xml:space="preserve">eopatrimonialism, where state resources are used to secure loyalty and for personal gain, and the division between public and private is blurred. In such systems, formal positions of power may be undermined by a shadow hierarchy of influence and </w:t>
      </w:r>
      <w:r w:rsidR="00787B59" w:rsidRPr="00AD7642">
        <w:rPr>
          <w:rFonts w:ascii="Cambria" w:hAnsi="Cambria"/>
        </w:rPr>
        <w:t>connection (</w:t>
      </w:r>
      <w:r w:rsidR="00787B59" w:rsidRPr="00AD7642">
        <w:rPr>
          <w:rFonts w:ascii="Cambria" w:eastAsia="Times New Roman" w:hAnsi="Cambria"/>
          <w:color w:val="222222"/>
          <w:shd w:val="clear" w:color="auto" w:fill="FFFFFF"/>
        </w:rPr>
        <w:t xml:space="preserve">de </w:t>
      </w:r>
      <w:proofErr w:type="spellStart"/>
      <w:r w:rsidR="00787B59" w:rsidRPr="00AD7642">
        <w:rPr>
          <w:rFonts w:ascii="Cambria" w:eastAsia="Times New Roman" w:hAnsi="Cambria"/>
          <w:color w:val="222222"/>
          <w:shd w:val="clear" w:color="auto" w:fill="FFFFFF"/>
        </w:rPr>
        <w:t>Walle</w:t>
      </w:r>
      <w:proofErr w:type="spellEnd"/>
      <w:r w:rsidR="00C00A6D">
        <w:rPr>
          <w:rFonts w:ascii="Cambria" w:eastAsia="Times New Roman" w:hAnsi="Cambria"/>
          <w:color w:val="222222"/>
          <w:shd w:val="clear" w:color="auto" w:fill="FFFFFF"/>
        </w:rPr>
        <w:t>,</w:t>
      </w:r>
      <w:r w:rsidR="00787B59" w:rsidRPr="00AD7642">
        <w:rPr>
          <w:rFonts w:ascii="Cambria" w:eastAsia="Times New Roman" w:hAnsi="Cambria"/>
          <w:color w:val="222222"/>
          <w:shd w:val="clear" w:color="auto" w:fill="FFFFFF"/>
        </w:rPr>
        <w:t xml:space="preserve"> 2005).</w:t>
      </w:r>
    </w:p>
    <w:p w14:paraId="10698E6E" w14:textId="48B1E891" w:rsidR="00EF7FFB" w:rsidRPr="003D66DD" w:rsidRDefault="008E6D7E" w:rsidP="001D110D">
      <w:pPr>
        <w:spacing w:before="100" w:beforeAutospacing="1" w:after="100" w:afterAutospacing="1" w:line="360" w:lineRule="auto"/>
        <w:textAlignment w:val="baseline"/>
        <w:rPr>
          <w:rStyle w:val="normaltextrun"/>
          <w:rFonts w:ascii="Cambria" w:hAnsi="Cambria"/>
        </w:rPr>
      </w:pPr>
      <w:r w:rsidRPr="003D66DD">
        <w:rPr>
          <w:rFonts w:ascii="Cambria" w:hAnsi="Cambria"/>
        </w:rPr>
        <w:t>C</w:t>
      </w:r>
      <w:r w:rsidR="000B0943" w:rsidRPr="003D66DD">
        <w:rPr>
          <w:rFonts w:ascii="Cambria" w:hAnsi="Cambria"/>
        </w:rPr>
        <w:t>onsiderable party autonomy and the centralisation of power interacts with existing gender regimes of male dominance to create patriarchal parties</w:t>
      </w:r>
      <w:r w:rsidR="008F4875">
        <w:rPr>
          <w:rFonts w:ascii="Cambria" w:hAnsi="Cambria"/>
        </w:rPr>
        <w:t xml:space="preserve"> and governmental arenas</w:t>
      </w:r>
      <w:r w:rsidRPr="003D66DD">
        <w:rPr>
          <w:rFonts w:ascii="Cambria" w:hAnsi="Cambria"/>
        </w:rPr>
        <w:t xml:space="preserve"> in which power is centralised and</w:t>
      </w:r>
      <w:r w:rsidR="000B0943" w:rsidRPr="003D66DD">
        <w:rPr>
          <w:rFonts w:ascii="Cambria" w:hAnsi="Cambria"/>
        </w:rPr>
        <w:t xml:space="preserve"> </w:t>
      </w:r>
      <w:r w:rsidR="00FD287A">
        <w:rPr>
          <w:rFonts w:ascii="Cambria" w:hAnsi="Cambria"/>
        </w:rPr>
        <w:t xml:space="preserve">women </w:t>
      </w:r>
      <w:r w:rsidR="000B0943" w:rsidRPr="003D66DD">
        <w:rPr>
          <w:rFonts w:ascii="Cambria" w:hAnsi="Cambria"/>
        </w:rPr>
        <w:t>further remove</w:t>
      </w:r>
      <w:r w:rsidR="00D145B9">
        <w:rPr>
          <w:rFonts w:ascii="Cambria" w:hAnsi="Cambria"/>
        </w:rPr>
        <w:t>d</w:t>
      </w:r>
      <w:r w:rsidR="000B0943" w:rsidRPr="003D66DD">
        <w:rPr>
          <w:rFonts w:ascii="Cambria" w:hAnsi="Cambria"/>
        </w:rPr>
        <w:t xml:space="preserve"> from positions of power. We </w:t>
      </w:r>
      <w:r w:rsidR="00D145B9">
        <w:rPr>
          <w:rFonts w:ascii="Cambria" w:hAnsi="Cambria"/>
        </w:rPr>
        <w:t xml:space="preserve">also </w:t>
      </w:r>
      <w:r w:rsidR="000B0943" w:rsidRPr="003D66DD">
        <w:rPr>
          <w:rFonts w:ascii="Cambria" w:hAnsi="Cambria"/>
        </w:rPr>
        <w:t xml:space="preserve">see </w:t>
      </w:r>
      <w:r w:rsidR="001D110D" w:rsidRPr="003D66DD">
        <w:rPr>
          <w:rFonts w:ascii="Cambria" w:hAnsi="Cambria"/>
        </w:rPr>
        <w:t xml:space="preserve">a </w:t>
      </w:r>
      <w:r w:rsidR="001D110D" w:rsidRPr="003D66DD">
        <w:rPr>
          <w:rFonts w:ascii="Cambria" w:hAnsi="Cambria"/>
          <w:bCs/>
        </w:rPr>
        <w:t xml:space="preserve">clash </w:t>
      </w:r>
      <w:r w:rsidR="001D110D" w:rsidRPr="003D66DD">
        <w:rPr>
          <w:rFonts w:ascii="Cambria" w:hAnsi="Cambria"/>
        </w:rPr>
        <w:t xml:space="preserve">between some </w:t>
      </w:r>
      <w:r w:rsidR="001D110D" w:rsidRPr="003D66DD">
        <w:rPr>
          <w:rFonts w:ascii="Cambria" w:hAnsi="Cambria"/>
          <w:bCs/>
        </w:rPr>
        <w:t xml:space="preserve">formal gender rules </w:t>
      </w:r>
      <w:r w:rsidR="001D110D" w:rsidRPr="003D66DD">
        <w:rPr>
          <w:rFonts w:ascii="Cambria" w:hAnsi="Cambria"/>
        </w:rPr>
        <w:t xml:space="preserve">and the </w:t>
      </w:r>
      <w:r w:rsidR="001D110D" w:rsidRPr="003D66DD">
        <w:rPr>
          <w:rFonts w:ascii="Cambria" w:hAnsi="Cambria"/>
          <w:bCs/>
        </w:rPr>
        <w:t>formal and informal rules of power-sharing</w:t>
      </w:r>
      <w:r w:rsidR="001D110D" w:rsidRPr="003D66DD">
        <w:rPr>
          <w:rFonts w:ascii="Cambria" w:hAnsi="Cambria"/>
        </w:rPr>
        <w:t xml:space="preserve"> that prioritise ethno-national identities.  </w:t>
      </w:r>
      <w:r w:rsidR="000B0943" w:rsidRPr="003D66DD">
        <w:rPr>
          <w:rFonts w:ascii="Cambria" w:hAnsi="Cambria"/>
        </w:rPr>
        <w:t>For example, t</w:t>
      </w:r>
      <w:r w:rsidR="001D110D" w:rsidRPr="003D66DD">
        <w:rPr>
          <w:rFonts w:ascii="Cambria" w:hAnsi="Cambria"/>
          <w:shd w:val="clear" w:color="auto" w:fill="FFFFFF"/>
        </w:rPr>
        <w:t xml:space="preserve">he </w:t>
      </w:r>
      <w:r w:rsidR="001D110D" w:rsidRPr="003D66DD">
        <w:rPr>
          <w:rFonts w:ascii="Cambria" w:hAnsi="Cambria"/>
          <w:bCs/>
          <w:shd w:val="clear" w:color="auto" w:fill="FFFFFF"/>
        </w:rPr>
        <w:t xml:space="preserve">National Action Plan on </w:t>
      </w:r>
      <w:r w:rsidR="00C00A6D">
        <w:rPr>
          <w:rFonts w:ascii="Cambria" w:hAnsi="Cambria"/>
          <w:bCs/>
          <w:shd w:val="clear" w:color="auto" w:fill="FFFFFF"/>
        </w:rPr>
        <w:t xml:space="preserve">UNSCR </w:t>
      </w:r>
      <w:r w:rsidR="001D110D" w:rsidRPr="003D66DD">
        <w:rPr>
          <w:rFonts w:ascii="Cambria" w:hAnsi="Cambria"/>
          <w:bCs/>
          <w:shd w:val="clear" w:color="auto" w:fill="FFFFFF"/>
        </w:rPr>
        <w:t>1325</w:t>
      </w:r>
      <w:r w:rsidR="001D110D" w:rsidRPr="003D66DD">
        <w:rPr>
          <w:rFonts w:ascii="Cambria" w:hAnsi="Cambria"/>
          <w:shd w:val="clear" w:color="auto" w:fill="FFFFFF"/>
        </w:rPr>
        <w:t xml:space="preserve"> </w:t>
      </w:r>
      <w:r w:rsidR="001D110D" w:rsidRPr="003D66DD">
        <w:rPr>
          <w:rStyle w:val="normaltextrun"/>
          <w:rFonts w:ascii="Cambria" w:hAnsi="Cambria"/>
          <w:shd w:val="clear" w:color="auto" w:fill="FFFFFF"/>
        </w:rPr>
        <w:t xml:space="preserve">makes </w:t>
      </w:r>
      <w:r w:rsidR="001D110D" w:rsidRPr="003D66DD">
        <w:rPr>
          <w:rStyle w:val="normaltextrun"/>
          <w:rFonts w:ascii="Cambria" w:hAnsi="Cambria"/>
        </w:rPr>
        <w:t>commitments</w:t>
      </w:r>
      <w:r w:rsidR="00D145B9">
        <w:rPr>
          <w:rStyle w:val="normaltextrun"/>
          <w:rFonts w:ascii="Cambria" w:hAnsi="Cambria"/>
        </w:rPr>
        <w:t xml:space="preserve"> </w:t>
      </w:r>
      <w:r w:rsidR="001D110D" w:rsidRPr="003D66DD">
        <w:rPr>
          <w:rStyle w:val="normaltextrun"/>
          <w:rFonts w:ascii="Cambria" w:hAnsi="Cambria"/>
        </w:rPr>
        <w:t>to protecting human rights of women and</w:t>
      </w:r>
      <w:r w:rsidR="00C00A6D">
        <w:rPr>
          <w:rStyle w:val="normaltextrun"/>
          <w:rFonts w:ascii="Cambria" w:hAnsi="Cambria"/>
        </w:rPr>
        <w:t xml:space="preserve"> girls including victims of war.</w:t>
      </w:r>
      <w:r w:rsidR="001D110D" w:rsidRPr="003D66DD">
        <w:rPr>
          <w:rStyle w:val="normaltextrun"/>
          <w:rFonts w:ascii="Cambria" w:hAnsi="Cambria"/>
        </w:rPr>
        <w:t xml:space="preserve"> </w:t>
      </w:r>
      <w:r w:rsidR="00D145B9">
        <w:rPr>
          <w:rStyle w:val="normaltextrun"/>
          <w:rFonts w:ascii="Cambria" w:hAnsi="Cambria"/>
        </w:rPr>
        <w:t>Yet, a</w:t>
      </w:r>
      <w:r w:rsidR="001D110D" w:rsidRPr="003D66DD">
        <w:rPr>
          <w:rStyle w:val="normaltextrun"/>
          <w:rFonts w:ascii="Cambria" w:hAnsi="Cambria"/>
        </w:rPr>
        <w:t>t the same time</w:t>
      </w:r>
      <w:r w:rsidR="00D145B9">
        <w:rPr>
          <w:rStyle w:val="normaltextrun"/>
          <w:rFonts w:ascii="Cambria" w:hAnsi="Cambria"/>
        </w:rPr>
        <w:t xml:space="preserve"> </w:t>
      </w:r>
      <w:r w:rsidR="001D110D" w:rsidRPr="003D66DD">
        <w:rPr>
          <w:rStyle w:val="normaltextrun"/>
          <w:rFonts w:ascii="Cambria" w:hAnsi="Cambria"/>
        </w:rPr>
        <w:t xml:space="preserve">there are gaps in legislation on the </w:t>
      </w:r>
      <w:r w:rsidR="001D110D" w:rsidRPr="003D66DD">
        <w:rPr>
          <w:rStyle w:val="normaltextrun"/>
          <w:rFonts w:ascii="Cambria" w:hAnsi="Cambria"/>
          <w:bCs/>
        </w:rPr>
        <w:t>status of survivors of wartime sexual violence</w:t>
      </w:r>
      <w:r w:rsidR="001D110D" w:rsidRPr="003D66DD">
        <w:rPr>
          <w:rStyle w:val="normaltextrun"/>
          <w:rFonts w:ascii="Cambria" w:hAnsi="Cambria"/>
        </w:rPr>
        <w:t xml:space="preserve">.  </w:t>
      </w:r>
      <w:r w:rsidR="0028017D">
        <w:rPr>
          <w:rStyle w:val="normaltextrun"/>
          <w:rFonts w:ascii="Cambria" w:hAnsi="Cambria"/>
        </w:rPr>
        <w:t xml:space="preserve">According to </w:t>
      </w:r>
      <w:proofErr w:type="spellStart"/>
      <w:r w:rsidR="0028017D">
        <w:rPr>
          <w:rStyle w:val="normaltextrun"/>
          <w:rFonts w:ascii="Cambria" w:hAnsi="Cambria"/>
        </w:rPr>
        <w:t>Deiana</w:t>
      </w:r>
      <w:proofErr w:type="spellEnd"/>
      <w:r w:rsidR="0028017D">
        <w:rPr>
          <w:rStyle w:val="normaltextrun"/>
          <w:rFonts w:ascii="Cambria" w:hAnsi="Cambria"/>
        </w:rPr>
        <w:t xml:space="preserve"> (201</w:t>
      </w:r>
      <w:r w:rsidR="00906412" w:rsidRPr="003D66DD">
        <w:rPr>
          <w:rStyle w:val="normaltextrun"/>
          <w:rFonts w:ascii="Cambria" w:hAnsi="Cambria"/>
        </w:rPr>
        <w:t>6:</w:t>
      </w:r>
      <w:r w:rsidR="00C00A6D">
        <w:rPr>
          <w:rStyle w:val="normaltextrun"/>
          <w:rFonts w:ascii="Cambria" w:hAnsi="Cambria"/>
        </w:rPr>
        <w:t xml:space="preserve"> </w:t>
      </w:r>
      <w:r w:rsidR="00906412" w:rsidRPr="003D66DD">
        <w:rPr>
          <w:rStyle w:val="normaltextrun"/>
          <w:rFonts w:ascii="Cambria" w:hAnsi="Cambria"/>
        </w:rPr>
        <w:t xml:space="preserve">103) the practice of </w:t>
      </w:r>
      <w:r w:rsidR="004228D5" w:rsidRPr="003D66DD">
        <w:rPr>
          <w:rStyle w:val="normaltextrun"/>
          <w:rFonts w:ascii="Cambria" w:hAnsi="Cambria"/>
        </w:rPr>
        <w:t>power-sharing</w:t>
      </w:r>
      <w:r w:rsidR="00906412" w:rsidRPr="003D66DD">
        <w:rPr>
          <w:rStyle w:val="normaltextrun"/>
          <w:rFonts w:ascii="Cambria" w:hAnsi="Cambria"/>
        </w:rPr>
        <w:t xml:space="preserve"> has reproduced the gender order and </w:t>
      </w:r>
      <w:r w:rsidR="00EF7FFB">
        <w:rPr>
          <w:rStyle w:val="normaltextrun"/>
          <w:rFonts w:ascii="Cambria" w:hAnsi="Cambria"/>
        </w:rPr>
        <w:t xml:space="preserve">has </w:t>
      </w:r>
      <w:r w:rsidR="00906412" w:rsidRPr="003D66DD">
        <w:rPr>
          <w:rStyle w:val="normaltextrun"/>
          <w:rFonts w:ascii="Cambria" w:hAnsi="Cambria"/>
        </w:rPr>
        <w:t>failed to address gender as a salient issue in the conflict.</w:t>
      </w:r>
    </w:p>
    <w:p w14:paraId="2719A597" w14:textId="73933EBC" w:rsidR="003B39BF" w:rsidRPr="003D66DD" w:rsidRDefault="003B39BF" w:rsidP="001D110D">
      <w:pPr>
        <w:spacing w:before="100" w:beforeAutospacing="1" w:after="100" w:afterAutospacing="1" w:line="360" w:lineRule="auto"/>
        <w:textAlignment w:val="baseline"/>
        <w:rPr>
          <w:rFonts w:ascii="Cambria" w:eastAsia="Times New Roman" w:hAnsi="Cambria"/>
          <w:lang w:eastAsia="en-GB"/>
        </w:rPr>
      </w:pPr>
      <w:r w:rsidRPr="003D66DD">
        <w:rPr>
          <w:rStyle w:val="normaltextrun"/>
          <w:rFonts w:ascii="Cambria" w:hAnsi="Cambria"/>
          <w:bCs/>
          <w:i/>
        </w:rPr>
        <w:lastRenderedPageBreak/>
        <w:t>Gendered L</w:t>
      </w:r>
      <w:r w:rsidR="00EE0C0D" w:rsidRPr="003D66DD">
        <w:rPr>
          <w:rStyle w:val="normaltextrun"/>
          <w:rFonts w:ascii="Cambria" w:hAnsi="Cambria"/>
          <w:bCs/>
          <w:i/>
        </w:rPr>
        <w:t>ogic</w:t>
      </w:r>
      <w:r w:rsidRPr="003D66DD">
        <w:rPr>
          <w:rStyle w:val="normaltextrun"/>
          <w:rFonts w:ascii="Cambria" w:hAnsi="Cambria"/>
          <w:bCs/>
          <w:i/>
        </w:rPr>
        <w:t xml:space="preserve"> of Appropriateness</w:t>
      </w:r>
    </w:p>
    <w:p w14:paraId="36C1478F" w14:textId="2468A83A" w:rsidR="00AD7642" w:rsidRDefault="00FE416A" w:rsidP="00614FA8">
      <w:pPr>
        <w:autoSpaceDE w:val="0"/>
        <w:autoSpaceDN w:val="0"/>
        <w:adjustRightInd w:val="0"/>
        <w:spacing w:line="360" w:lineRule="auto"/>
        <w:rPr>
          <w:rFonts w:ascii="Cambria" w:hAnsi="Cambria"/>
          <w:bCs/>
        </w:rPr>
      </w:pPr>
      <w:r w:rsidRPr="003D66DD">
        <w:rPr>
          <w:rStyle w:val="normaltextrun"/>
          <w:rFonts w:ascii="Cambria" w:hAnsi="Cambria"/>
          <w:bCs/>
        </w:rPr>
        <w:t>Third</w:t>
      </w:r>
      <w:r w:rsidR="001D110D" w:rsidRPr="003D66DD">
        <w:rPr>
          <w:rStyle w:val="normaltextrun"/>
          <w:rFonts w:ascii="Cambria" w:hAnsi="Cambria"/>
          <w:bCs/>
        </w:rPr>
        <w:t xml:space="preserve">, the Bosnia case stands illustrative of </w:t>
      </w:r>
      <w:r w:rsidR="00EE0C0D" w:rsidRPr="003D66DD">
        <w:rPr>
          <w:rStyle w:val="normaltextrun"/>
          <w:rFonts w:ascii="Cambria" w:hAnsi="Cambria"/>
          <w:bCs/>
        </w:rPr>
        <w:t xml:space="preserve">the </w:t>
      </w:r>
      <w:r w:rsidR="00EE0C0D" w:rsidRPr="003D66DD">
        <w:rPr>
          <w:rStyle w:val="normaltextrun"/>
          <w:rFonts w:ascii="Cambria" w:hAnsi="Cambria"/>
          <w:bCs/>
          <w:i/>
        </w:rPr>
        <w:t>gendered logic</w:t>
      </w:r>
      <w:r w:rsidR="001D110D" w:rsidRPr="003D66DD">
        <w:rPr>
          <w:rStyle w:val="normaltextrun"/>
          <w:rFonts w:ascii="Cambria" w:hAnsi="Cambria"/>
          <w:bCs/>
          <w:i/>
        </w:rPr>
        <w:t xml:space="preserve"> of appropriateness</w:t>
      </w:r>
      <w:r w:rsidR="00F15AA0" w:rsidRPr="003D66DD">
        <w:rPr>
          <w:rStyle w:val="normaltextrun"/>
          <w:rFonts w:ascii="Cambria" w:hAnsi="Cambria"/>
        </w:rPr>
        <w:t xml:space="preserve">. </w:t>
      </w:r>
      <w:r w:rsidR="001D110D" w:rsidRPr="003D66DD">
        <w:rPr>
          <w:rStyle w:val="normaltextrun"/>
          <w:rFonts w:ascii="Cambria" w:hAnsi="Cambria"/>
          <w:bCs/>
        </w:rPr>
        <w:t>According to FI, gendered logics of appropriateness</w:t>
      </w:r>
      <w:r w:rsidR="001D110D" w:rsidRPr="003D66DD">
        <w:rPr>
          <w:rStyle w:val="normaltextrun"/>
          <w:rFonts w:ascii="Cambria" w:hAnsi="Cambria"/>
        </w:rPr>
        <w:t xml:space="preserve"> prescribe and proscribe what is </w:t>
      </w:r>
      <w:r w:rsidR="001D110D" w:rsidRPr="003D66DD">
        <w:rPr>
          <w:rStyle w:val="normaltextrun"/>
          <w:rFonts w:ascii="Cambria" w:hAnsi="Cambria"/>
          <w:bCs/>
        </w:rPr>
        <w:t>acceptable</w:t>
      </w:r>
      <w:r w:rsidR="001D110D" w:rsidRPr="003D66DD">
        <w:rPr>
          <w:rStyle w:val="normaltextrun"/>
          <w:rFonts w:ascii="Cambria" w:hAnsi="Cambria"/>
        </w:rPr>
        <w:t xml:space="preserve"> </w:t>
      </w:r>
      <w:r w:rsidR="00C00A6D">
        <w:rPr>
          <w:rStyle w:val="normaltextrun"/>
          <w:rFonts w:ascii="Cambria" w:hAnsi="Cambria"/>
        </w:rPr>
        <w:t>for gendered actors in politics</w:t>
      </w:r>
      <w:r w:rsidR="00BB3B27" w:rsidRPr="003D66DD">
        <w:rPr>
          <w:rStyle w:val="normaltextrun"/>
          <w:rFonts w:ascii="Cambria" w:hAnsi="Cambria"/>
        </w:rPr>
        <w:t xml:space="preserve"> (Chappell</w:t>
      </w:r>
      <w:r w:rsidR="00C00A6D">
        <w:rPr>
          <w:rStyle w:val="normaltextrun"/>
          <w:rFonts w:ascii="Cambria" w:hAnsi="Cambria"/>
        </w:rPr>
        <w:t>,</w:t>
      </w:r>
      <w:r w:rsidR="00BB3B27" w:rsidRPr="003D66DD">
        <w:rPr>
          <w:rStyle w:val="normaltextrun"/>
          <w:rFonts w:ascii="Cambria" w:hAnsi="Cambria"/>
        </w:rPr>
        <w:t xml:space="preserve"> 2006). In </w:t>
      </w:r>
      <w:r w:rsidR="001D110D" w:rsidRPr="003D66DD">
        <w:rPr>
          <w:rStyle w:val="normaltextrun"/>
          <w:rFonts w:ascii="Cambria" w:hAnsi="Cambria"/>
        </w:rPr>
        <w:t xml:space="preserve">the post-Dayton political context, attempts to assert gender identities and </w:t>
      </w:r>
      <w:r w:rsidR="00906412" w:rsidRPr="003D66DD">
        <w:rPr>
          <w:rStyle w:val="normaltextrun"/>
          <w:rFonts w:ascii="Cambria" w:hAnsi="Cambria"/>
        </w:rPr>
        <w:t xml:space="preserve">gendered </w:t>
      </w:r>
      <w:r w:rsidR="001D110D" w:rsidRPr="003D66DD">
        <w:rPr>
          <w:rStyle w:val="normaltextrun"/>
          <w:rFonts w:ascii="Cambria" w:hAnsi="Cambria"/>
        </w:rPr>
        <w:t xml:space="preserve">needs are seen as </w:t>
      </w:r>
      <w:r w:rsidR="001D110D" w:rsidRPr="003D66DD">
        <w:rPr>
          <w:rStyle w:val="normaltextrun"/>
          <w:rFonts w:ascii="Cambria" w:hAnsi="Cambria"/>
          <w:bCs/>
        </w:rPr>
        <w:t>inappropriate</w:t>
      </w:r>
      <w:r w:rsidR="00906412" w:rsidRPr="003D66DD">
        <w:rPr>
          <w:rStyle w:val="normaltextrun"/>
          <w:rFonts w:ascii="Cambria" w:hAnsi="Cambria"/>
          <w:bCs/>
        </w:rPr>
        <w:t>, and are thus marginalised at the expense of matters relating to relations between the ethno-nationalist groups, security concerns, and the stability of institutions (</w:t>
      </w:r>
      <w:proofErr w:type="spellStart"/>
      <w:r w:rsidR="00BB3B27" w:rsidRPr="003D66DD">
        <w:rPr>
          <w:rStyle w:val="normaltextrun"/>
          <w:rFonts w:ascii="Cambria" w:hAnsi="Cambria"/>
          <w:bCs/>
        </w:rPr>
        <w:t>Deiana</w:t>
      </w:r>
      <w:proofErr w:type="spellEnd"/>
      <w:r w:rsidR="00C00A6D">
        <w:rPr>
          <w:rStyle w:val="normaltextrun"/>
          <w:rFonts w:ascii="Cambria" w:hAnsi="Cambria"/>
          <w:bCs/>
        </w:rPr>
        <w:t>,</w:t>
      </w:r>
      <w:r w:rsidR="00BB3B27" w:rsidRPr="003D66DD">
        <w:rPr>
          <w:rStyle w:val="normaltextrun"/>
          <w:rFonts w:ascii="Cambria" w:hAnsi="Cambria"/>
          <w:bCs/>
        </w:rPr>
        <w:t xml:space="preserve"> </w:t>
      </w:r>
      <w:r w:rsidR="00906412" w:rsidRPr="003D66DD">
        <w:rPr>
          <w:rStyle w:val="normaltextrun"/>
          <w:rFonts w:ascii="Cambria" w:hAnsi="Cambria"/>
          <w:bCs/>
        </w:rPr>
        <w:t>2016:</w:t>
      </w:r>
      <w:r w:rsidR="00C00A6D">
        <w:rPr>
          <w:rStyle w:val="normaltextrun"/>
          <w:rFonts w:ascii="Cambria" w:hAnsi="Cambria"/>
          <w:bCs/>
        </w:rPr>
        <w:t xml:space="preserve"> </w:t>
      </w:r>
      <w:r w:rsidR="00906412" w:rsidRPr="003D66DD">
        <w:rPr>
          <w:rStyle w:val="normaltextrun"/>
          <w:rFonts w:ascii="Cambria" w:hAnsi="Cambria"/>
          <w:bCs/>
        </w:rPr>
        <w:t>99)</w:t>
      </w:r>
      <w:r w:rsidR="001D110D" w:rsidRPr="003D66DD">
        <w:rPr>
          <w:rStyle w:val="normaltextrun"/>
          <w:rFonts w:ascii="Cambria" w:hAnsi="Cambria"/>
          <w:bCs/>
        </w:rPr>
        <w:t xml:space="preserve">. </w:t>
      </w:r>
      <w:r w:rsidR="001D110D" w:rsidRPr="003D66DD">
        <w:rPr>
          <w:rStyle w:val="normaltextrun"/>
          <w:rFonts w:ascii="Cambria" w:hAnsi="Cambria"/>
        </w:rPr>
        <w:t xml:space="preserve">Sanctions are applied </w:t>
      </w:r>
      <w:r w:rsidR="002A5D2D" w:rsidRPr="003D66DD">
        <w:rPr>
          <w:rStyle w:val="normaltextrun"/>
          <w:rFonts w:ascii="Cambria" w:hAnsi="Cambria"/>
        </w:rPr>
        <w:t>to</w:t>
      </w:r>
      <w:r w:rsidR="001D110D" w:rsidRPr="003D66DD">
        <w:rPr>
          <w:rStyle w:val="normaltextrun"/>
          <w:rFonts w:ascii="Cambria" w:hAnsi="Cambria"/>
        </w:rPr>
        <w:t xml:space="preserve"> those who challenge the informal rules of the game, i.e. the </w:t>
      </w:r>
      <w:proofErr w:type="spellStart"/>
      <w:r w:rsidR="001D110D" w:rsidRPr="003D66DD">
        <w:rPr>
          <w:rStyle w:val="spellingerror"/>
          <w:rFonts w:ascii="Cambria" w:hAnsi="Cambria"/>
        </w:rPr>
        <w:t>ethnicised</w:t>
      </w:r>
      <w:proofErr w:type="spellEnd"/>
      <w:r w:rsidR="001D110D" w:rsidRPr="003D66DD">
        <w:rPr>
          <w:rStyle w:val="normaltextrun"/>
          <w:rFonts w:ascii="Cambria" w:hAnsi="Cambria"/>
        </w:rPr>
        <w:t xml:space="preserve"> and masculinised status quo. </w:t>
      </w:r>
      <w:proofErr w:type="spellStart"/>
      <w:r w:rsidR="001D110D" w:rsidRPr="003D66DD">
        <w:rPr>
          <w:rFonts w:ascii="Cambria" w:hAnsi="Cambria"/>
          <w:bCs/>
        </w:rPr>
        <w:t>Deiana</w:t>
      </w:r>
      <w:proofErr w:type="spellEnd"/>
      <w:r w:rsidR="001D110D" w:rsidRPr="003D66DD">
        <w:rPr>
          <w:rFonts w:ascii="Cambria" w:hAnsi="Cambria"/>
          <w:bCs/>
        </w:rPr>
        <w:t xml:space="preserve"> demonstrates how feminist actors who highlight the link between the ethno-national status quo and gender inequality are portrayed as ‘</w:t>
      </w:r>
      <w:r w:rsidR="00906412" w:rsidRPr="003D66DD">
        <w:rPr>
          <w:rFonts w:ascii="Cambria" w:hAnsi="Cambria"/>
          <w:bCs/>
        </w:rPr>
        <w:t>traitors’ to the national cause (2016:</w:t>
      </w:r>
      <w:r w:rsidR="00C00A6D">
        <w:rPr>
          <w:rFonts w:ascii="Cambria" w:hAnsi="Cambria"/>
          <w:bCs/>
        </w:rPr>
        <w:t xml:space="preserve"> </w:t>
      </w:r>
      <w:r w:rsidR="00906412" w:rsidRPr="003D66DD">
        <w:rPr>
          <w:rFonts w:ascii="Cambria" w:hAnsi="Cambria"/>
          <w:bCs/>
        </w:rPr>
        <w:t xml:space="preserve">105). </w:t>
      </w:r>
    </w:p>
    <w:p w14:paraId="33A57474" w14:textId="77777777" w:rsidR="00AD7642" w:rsidRDefault="00AD7642" w:rsidP="00614FA8">
      <w:pPr>
        <w:autoSpaceDE w:val="0"/>
        <w:autoSpaceDN w:val="0"/>
        <w:adjustRightInd w:val="0"/>
        <w:spacing w:line="360" w:lineRule="auto"/>
        <w:rPr>
          <w:rFonts w:ascii="Cambria" w:hAnsi="Cambria"/>
          <w:bCs/>
        </w:rPr>
      </w:pPr>
    </w:p>
    <w:p w14:paraId="485FB7E5" w14:textId="72C8D839" w:rsidR="001D110D" w:rsidRPr="003D66DD" w:rsidRDefault="008E265F" w:rsidP="00614FA8">
      <w:pPr>
        <w:autoSpaceDE w:val="0"/>
        <w:autoSpaceDN w:val="0"/>
        <w:adjustRightInd w:val="0"/>
        <w:spacing w:line="360" w:lineRule="auto"/>
        <w:rPr>
          <w:rFonts w:ascii="Cambria" w:hAnsi="Cambria"/>
        </w:rPr>
      </w:pPr>
      <w:r w:rsidRPr="003D66DD">
        <w:rPr>
          <w:rFonts w:ascii="Cambria" w:hAnsi="Cambria"/>
          <w:bCs/>
        </w:rPr>
        <w:t>Th</w:t>
      </w:r>
      <w:r w:rsidR="00AD7642">
        <w:rPr>
          <w:rFonts w:ascii="Cambria" w:hAnsi="Cambria"/>
          <w:bCs/>
        </w:rPr>
        <w:t>e logic also helps to explain</w:t>
      </w:r>
      <w:r w:rsidRPr="003D66DD">
        <w:rPr>
          <w:rFonts w:ascii="Cambria" w:hAnsi="Cambria"/>
          <w:bCs/>
        </w:rPr>
        <w:t xml:space="preserve"> </w:t>
      </w:r>
      <w:r w:rsidR="00AD7642">
        <w:rPr>
          <w:rFonts w:ascii="Cambria" w:hAnsi="Cambria"/>
          <w:bCs/>
        </w:rPr>
        <w:t>the</w:t>
      </w:r>
      <w:r w:rsidRPr="003D66DD">
        <w:rPr>
          <w:rFonts w:ascii="Cambria" w:hAnsi="Cambria"/>
          <w:bCs/>
        </w:rPr>
        <w:t xml:space="preserve"> tendency fo</w:t>
      </w:r>
      <w:r w:rsidR="00EF7471">
        <w:rPr>
          <w:rFonts w:ascii="Cambria" w:hAnsi="Cambria"/>
          <w:bCs/>
        </w:rPr>
        <w:t>r women’s organis</w:t>
      </w:r>
      <w:r w:rsidRPr="003D66DD">
        <w:rPr>
          <w:rFonts w:ascii="Cambria" w:hAnsi="Cambria"/>
          <w:bCs/>
        </w:rPr>
        <w:t xml:space="preserve">ations in </w:t>
      </w:r>
      <w:proofErr w:type="spellStart"/>
      <w:r w:rsidRPr="003D66DD">
        <w:rPr>
          <w:rFonts w:ascii="Cambria" w:hAnsi="Cambria"/>
          <w:bCs/>
        </w:rPr>
        <w:t>BiH</w:t>
      </w:r>
      <w:proofErr w:type="spellEnd"/>
      <w:r w:rsidRPr="003D66DD">
        <w:rPr>
          <w:rFonts w:ascii="Cambria" w:hAnsi="Cambria"/>
          <w:bCs/>
        </w:rPr>
        <w:t xml:space="preserve"> to frame their activities as removed</w:t>
      </w:r>
      <w:r w:rsidR="00EF7471">
        <w:rPr>
          <w:rFonts w:ascii="Cambria" w:hAnsi="Cambria"/>
          <w:bCs/>
        </w:rPr>
        <w:t xml:space="preserve"> from the ‘dirty’ and masculinis</w:t>
      </w:r>
      <w:r w:rsidRPr="003D66DD">
        <w:rPr>
          <w:rFonts w:ascii="Cambria" w:hAnsi="Cambria"/>
          <w:bCs/>
        </w:rPr>
        <w:t xml:space="preserve">ed world of politics. </w:t>
      </w:r>
      <w:r w:rsidRPr="003D66DD">
        <w:rPr>
          <w:rFonts w:ascii="Cambria" w:hAnsi="Cambria"/>
        </w:rPr>
        <w:t>Helms describe</w:t>
      </w:r>
      <w:r w:rsidR="00201314">
        <w:rPr>
          <w:rFonts w:ascii="Cambria" w:hAnsi="Cambria"/>
        </w:rPr>
        <w:t xml:space="preserve">s </w:t>
      </w:r>
      <w:r w:rsidRPr="003D66DD">
        <w:rPr>
          <w:rFonts w:ascii="Cambria" w:hAnsi="Cambria"/>
        </w:rPr>
        <w:t xml:space="preserve">how women’s NGOs such as </w:t>
      </w:r>
      <w:proofErr w:type="spellStart"/>
      <w:r w:rsidRPr="003D66DD">
        <w:rPr>
          <w:rFonts w:ascii="Cambria" w:hAnsi="Cambria"/>
        </w:rPr>
        <w:t>Srcem</w:t>
      </w:r>
      <w:proofErr w:type="spellEnd"/>
      <w:r w:rsidRPr="003D66DD">
        <w:rPr>
          <w:rFonts w:ascii="Cambria" w:hAnsi="Cambria"/>
        </w:rPr>
        <w:t xml:space="preserve"> do Mira (Through Heart to Peace) and </w:t>
      </w:r>
      <w:proofErr w:type="spellStart"/>
      <w:r w:rsidRPr="003D66DD">
        <w:rPr>
          <w:rFonts w:ascii="Cambria" w:hAnsi="Cambria"/>
        </w:rPr>
        <w:t>Zene</w:t>
      </w:r>
      <w:proofErr w:type="spellEnd"/>
      <w:r w:rsidRPr="003D66DD">
        <w:rPr>
          <w:rFonts w:ascii="Cambria" w:hAnsi="Cambria"/>
        </w:rPr>
        <w:t xml:space="preserve"> s </w:t>
      </w:r>
      <w:proofErr w:type="spellStart"/>
      <w:r w:rsidRPr="003D66DD">
        <w:rPr>
          <w:rFonts w:ascii="Cambria" w:hAnsi="Cambria"/>
        </w:rPr>
        <w:t>Podrinja</w:t>
      </w:r>
      <w:proofErr w:type="spellEnd"/>
      <w:r w:rsidRPr="003D66DD">
        <w:rPr>
          <w:rFonts w:ascii="Cambria" w:hAnsi="Cambria"/>
        </w:rPr>
        <w:t xml:space="preserve"> (Women of </w:t>
      </w:r>
      <w:proofErr w:type="spellStart"/>
      <w:r w:rsidRPr="003D66DD">
        <w:rPr>
          <w:rFonts w:ascii="Cambria" w:hAnsi="Cambria"/>
        </w:rPr>
        <w:t>Podrinja</w:t>
      </w:r>
      <w:proofErr w:type="spellEnd"/>
      <w:r w:rsidRPr="003D66DD">
        <w:rPr>
          <w:rFonts w:ascii="Cambria" w:hAnsi="Cambria"/>
        </w:rPr>
        <w:t xml:space="preserve">), despite engaging in fundamentally political work relating to ethnic reconciliation and refugee return, frame their activities as humanitarian and </w:t>
      </w:r>
      <w:r w:rsidRPr="003D66DD">
        <w:rPr>
          <w:rFonts w:ascii="Cambria" w:hAnsi="Cambria"/>
          <w:i/>
        </w:rPr>
        <w:t xml:space="preserve">apolitical </w:t>
      </w:r>
      <w:r w:rsidRPr="003D66DD">
        <w:rPr>
          <w:rFonts w:ascii="Cambria" w:hAnsi="Cambria"/>
        </w:rPr>
        <w:t>(</w:t>
      </w:r>
      <w:r w:rsidR="00C00A6D">
        <w:rPr>
          <w:rFonts w:ascii="Cambria" w:hAnsi="Cambria"/>
        </w:rPr>
        <w:t xml:space="preserve">Helms, </w:t>
      </w:r>
      <w:r w:rsidR="0028017D">
        <w:rPr>
          <w:rFonts w:ascii="Cambria" w:hAnsi="Cambria"/>
        </w:rPr>
        <w:t>200</w:t>
      </w:r>
      <w:r w:rsidRPr="003D66DD">
        <w:rPr>
          <w:rFonts w:ascii="Cambria" w:hAnsi="Cambria"/>
        </w:rPr>
        <w:t xml:space="preserve">3: 25). This representation </w:t>
      </w:r>
      <w:r w:rsidR="00AD7642">
        <w:rPr>
          <w:rFonts w:ascii="Cambria" w:hAnsi="Cambria"/>
        </w:rPr>
        <w:t xml:space="preserve">also </w:t>
      </w:r>
      <w:r w:rsidRPr="003D66DD">
        <w:rPr>
          <w:rFonts w:ascii="Cambria" w:hAnsi="Cambria"/>
        </w:rPr>
        <w:t>aligns with essentialist notions of women’s roles as mothers, caregivers and peacemakers (Helms, 2013)</w:t>
      </w:r>
      <w:r w:rsidR="00D145B9">
        <w:rPr>
          <w:rFonts w:ascii="Cambria" w:hAnsi="Cambria"/>
        </w:rPr>
        <w:t>;</w:t>
      </w:r>
      <w:r w:rsidRPr="003D66DD">
        <w:rPr>
          <w:rFonts w:ascii="Cambria" w:hAnsi="Cambria"/>
        </w:rPr>
        <w:t xml:space="preserve"> as </w:t>
      </w:r>
      <w:r w:rsidR="00D145B9">
        <w:rPr>
          <w:rFonts w:ascii="Cambria" w:hAnsi="Cambria"/>
        </w:rPr>
        <w:t xml:space="preserve">is </w:t>
      </w:r>
      <w:r w:rsidRPr="003D66DD">
        <w:rPr>
          <w:rFonts w:ascii="Cambria" w:hAnsi="Cambria"/>
        </w:rPr>
        <w:t>also propagated by international donors (</w:t>
      </w:r>
      <w:r w:rsidR="00C00A6D">
        <w:rPr>
          <w:rFonts w:ascii="Cambria" w:hAnsi="Cambria"/>
        </w:rPr>
        <w:t xml:space="preserve">Helms, </w:t>
      </w:r>
      <w:r w:rsidRPr="003D66DD">
        <w:rPr>
          <w:rFonts w:ascii="Cambria" w:hAnsi="Cambria"/>
        </w:rPr>
        <w:t xml:space="preserve">2003: 15). Helms argues that while this apolitical discourse allows women to stake a legitimate space in the public arena and access power indirectly, it has also contributed to a </w:t>
      </w:r>
      <w:r w:rsidRPr="003D66DD">
        <w:rPr>
          <w:rFonts w:ascii="Cambria" w:hAnsi="Cambria"/>
          <w:bCs/>
        </w:rPr>
        <w:t xml:space="preserve">disconnect between women’s activism </w:t>
      </w:r>
      <w:r w:rsidRPr="003D66DD">
        <w:rPr>
          <w:rFonts w:ascii="Cambria" w:hAnsi="Cambria"/>
        </w:rPr>
        <w:t>and the formal political sphere (2007: 252-253; 2013: 118</w:t>
      </w:r>
      <w:r w:rsidR="00EF7471">
        <w:rPr>
          <w:rFonts w:ascii="Cambria" w:hAnsi="Cambria"/>
        </w:rPr>
        <w:t>), and hence to their marginalis</w:t>
      </w:r>
      <w:r w:rsidRPr="003D66DD">
        <w:rPr>
          <w:rFonts w:ascii="Cambria" w:hAnsi="Cambria"/>
        </w:rPr>
        <w:t xml:space="preserve">ation from the real political power. </w:t>
      </w:r>
    </w:p>
    <w:p w14:paraId="4A0A5550" w14:textId="77777777" w:rsidR="00EE0C0D" w:rsidRPr="003D66DD" w:rsidRDefault="00EE0C0D" w:rsidP="00EE0C0D">
      <w:pPr>
        <w:spacing w:line="360" w:lineRule="auto"/>
        <w:outlineLvl w:val="0"/>
        <w:rPr>
          <w:rFonts w:ascii="Cambria" w:hAnsi="Cambria"/>
          <w:bCs/>
          <w:i/>
        </w:rPr>
      </w:pPr>
    </w:p>
    <w:p w14:paraId="72DAAC21" w14:textId="2062FB96" w:rsidR="00EE0C0D" w:rsidRPr="003D66DD" w:rsidRDefault="00C00A6D" w:rsidP="00EE0C0D">
      <w:pPr>
        <w:spacing w:line="360" w:lineRule="auto"/>
        <w:outlineLvl w:val="0"/>
        <w:rPr>
          <w:rFonts w:ascii="Cambria" w:hAnsi="Cambria"/>
          <w:bCs/>
          <w:i/>
        </w:rPr>
      </w:pPr>
      <w:r>
        <w:rPr>
          <w:rFonts w:ascii="Cambria" w:hAnsi="Cambria"/>
          <w:bCs/>
          <w:i/>
        </w:rPr>
        <w:t>Gendered Actors Working with Gendered R</w:t>
      </w:r>
      <w:r w:rsidR="00EE0C0D" w:rsidRPr="003D66DD">
        <w:rPr>
          <w:rFonts w:ascii="Cambria" w:hAnsi="Cambria"/>
          <w:bCs/>
          <w:i/>
        </w:rPr>
        <w:t>ules</w:t>
      </w:r>
    </w:p>
    <w:p w14:paraId="05AE771C" w14:textId="361C1A6F" w:rsidR="00380BC2" w:rsidRPr="003D66DD" w:rsidRDefault="001D110D" w:rsidP="001D110D">
      <w:pPr>
        <w:pStyle w:val="paragraph"/>
        <w:spacing w:line="360" w:lineRule="auto"/>
        <w:textAlignment w:val="baseline"/>
        <w:rPr>
          <w:rStyle w:val="normaltextrun"/>
          <w:rFonts w:ascii="Cambria" w:hAnsi="Cambria"/>
        </w:rPr>
      </w:pPr>
      <w:r w:rsidRPr="003D66DD">
        <w:rPr>
          <w:rStyle w:val="normaltextrun"/>
          <w:rFonts w:ascii="Cambria" w:hAnsi="Cambria"/>
        </w:rPr>
        <w:t>Finally, the post-Dayton Bosnia</w:t>
      </w:r>
      <w:r w:rsidR="00BB3B27" w:rsidRPr="003D66DD">
        <w:rPr>
          <w:rStyle w:val="normaltextrun"/>
          <w:rFonts w:ascii="Cambria" w:hAnsi="Cambria"/>
        </w:rPr>
        <w:t>n case</w:t>
      </w:r>
      <w:r w:rsidRPr="003D66DD">
        <w:rPr>
          <w:rStyle w:val="normaltextrun"/>
          <w:rFonts w:ascii="Cambria" w:hAnsi="Cambria"/>
        </w:rPr>
        <w:t xml:space="preserve"> draws attention to </w:t>
      </w:r>
      <w:r w:rsidRPr="003D66DD">
        <w:rPr>
          <w:rStyle w:val="normaltextrun"/>
          <w:rFonts w:ascii="Cambria" w:hAnsi="Cambria"/>
          <w:bCs/>
        </w:rPr>
        <w:t xml:space="preserve">the </w:t>
      </w:r>
      <w:r w:rsidRPr="003D66DD">
        <w:rPr>
          <w:rStyle w:val="normaltextrun"/>
          <w:rFonts w:ascii="Cambria" w:hAnsi="Cambria"/>
          <w:bCs/>
          <w:i/>
        </w:rPr>
        <w:t>role of actors</w:t>
      </w:r>
      <w:r w:rsidRPr="003D66DD">
        <w:rPr>
          <w:rStyle w:val="normaltextrun"/>
          <w:rFonts w:ascii="Cambria" w:hAnsi="Cambria"/>
        </w:rPr>
        <w:t>.  New institutionalism</w:t>
      </w:r>
      <w:r w:rsidR="00FE416A" w:rsidRPr="003D66DD">
        <w:rPr>
          <w:rStyle w:val="normaltextrun"/>
          <w:rFonts w:ascii="Cambria" w:hAnsi="Cambria"/>
        </w:rPr>
        <w:t xml:space="preserve"> and FI see</w:t>
      </w:r>
      <w:r w:rsidRPr="003D66DD">
        <w:rPr>
          <w:rStyle w:val="normaltextrun"/>
          <w:rFonts w:ascii="Cambria" w:hAnsi="Cambria"/>
        </w:rPr>
        <w:t xml:space="preserve"> actors in this sense as constrained but also creative.  This is evident in the Bosnian case in the use by local </w:t>
      </w:r>
      <w:r w:rsidR="00FE416A" w:rsidRPr="003D66DD">
        <w:rPr>
          <w:rStyle w:val="normaltextrun"/>
          <w:rFonts w:ascii="Cambria" w:hAnsi="Cambria"/>
        </w:rPr>
        <w:t>elites</w:t>
      </w:r>
      <w:r w:rsidRPr="003D66DD">
        <w:rPr>
          <w:rStyle w:val="normaltextrun"/>
          <w:rFonts w:ascii="Cambria" w:hAnsi="Cambria"/>
        </w:rPr>
        <w:t xml:space="preserve"> of </w:t>
      </w:r>
      <w:r w:rsidR="002A5D2D" w:rsidRPr="003D66DD">
        <w:rPr>
          <w:rStyle w:val="normaltextrun"/>
          <w:rFonts w:ascii="Cambria" w:hAnsi="Cambria"/>
        </w:rPr>
        <w:t xml:space="preserve">institutional logics and </w:t>
      </w:r>
      <w:r w:rsidRPr="003D66DD">
        <w:rPr>
          <w:rStyle w:val="normaltextrun"/>
          <w:rFonts w:ascii="Cambria" w:hAnsi="Cambria"/>
          <w:bCs/>
        </w:rPr>
        <w:t>discursive strategies</w:t>
      </w:r>
      <w:r w:rsidRPr="003D66DD">
        <w:rPr>
          <w:rStyle w:val="normaltextrun"/>
          <w:rFonts w:ascii="Cambria" w:hAnsi="Cambria"/>
        </w:rPr>
        <w:t xml:space="preserve"> to delegitimise and discourage </w:t>
      </w:r>
      <w:r w:rsidR="00AA6A0D">
        <w:rPr>
          <w:rStyle w:val="normaltextrun"/>
          <w:rFonts w:ascii="Cambria" w:hAnsi="Cambria"/>
        </w:rPr>
        <w:t>women’s political ambition</w:t>
      </w:r>
      <w:r w:rsidR="00C00A6D">
        <w:rPr>
          <w:rStyle w:val="normaltextrun"/>
          <w:rFonts w:ascii="Cambria" w:hAnsi="Cambria"/>
        </w:rPr>
        <w:t>s</w:t>
      </w:r>
      <w:r w:rsidR="00AA6A0D">
        <w:rPr>
          <w:rStyle w:val="normaltextrun"/>
          <w:rFonts w:ascii="Cambria" w:hAnsi="Cambria"/>
        </w:rPr>
        <w:t>, and the</w:t>
      </w:r>
      <w:r w:rsidRPr="003D66DD">
        <w:rPr>
          <w:rStyle w:val="normaltextrun"/>
          <w:rFonts w:ascii="Cambria" w:hAnsi="Cambria"/>
        </w:rPr>
        <w:t xml:space="preserve"> activism</w:t>
      </w:r>
      <w:r w:rsidR="00AA6A0D">
        <w:rPr>
          <w:rStyle w:val="normaltextrun"/>
          <w:rFonts w:ascii="Cambria" w:hAnsi="Cambria"/>
        </w:rPr>
        <w:t xml:space="preserve"> of women’s civil society</w:t>
      </w:r>
      <w:r w:rsidRPr="003D66DD">
        <w:rPr>
          <w:rStyle w:val="normaltextrun"/>
          <w:rFonts w:ascii="Cambria" w:hAnsi="Cambria"/>
        </w:rPr>
        <w:t xml:space="preserve">.  It emerges furthermore in the work of </w:t>
      </w:r>
      <w:r w:rsidRPr="003D66DD">
        <w:rPr>
          <w:rStyle w:val="normaltextrun"/>
          <w:rFonts w:ascii="Cambria" w:hAnsi="Cambria"/>
          <w:bCs/>
        </w:rPr>
        <w:t>do</w:t>
      </w:r>
      <w:r w:rsidR="00FE416A" w:rsidRPr="003D66DD">
        <w:rPr>
          <w:rStyle w:val="normaltextrun"/>
          <w:rFonts w:ascii="Cambria" w:hAnsi="Cambria"/>
          <w:bCs/>
        </w:rPr>
        <w:t xml:space="preserve">mestic and </w:t>
      </w:r>
      <w:r w:rsidR="00FE416A" w:rsidRPr="003D66DD">
        <w:rPr>
          <w:rStyle w:val="normaltextrun"/>
          <w:rFonts w:ascii="Cambria" w:hAnsi="Cambria"/>
          <w:bCs/>
        </w:rPr>
        <w:lastRenderedPageBreak/>
        <w:t>international actors</w:t>
      </w:r>
      <w:r w:rsidRPr="003D66DD">
        <w:rPr>
          <w:rStyle w:val="normaltextrun"/>
          <w:rFonts w:ascii="Cambria" w:hAnsi="Cambria"/>
          <w:bCs/>
        </w:rPr>
        <w:t xml:space="preserve"> </w:t>
      </w:r>
      <w:r w:rsidRPr="003D66DD">
        <w:rPr>
          <w:rStyle w:val="normaltextrun"/>
          <w:rFonts w:ascii="Cambria" w:hAnsi="Cambria"/>
        </w:rPr>
        <w:t xml:space="preserve">to maintain the </w:t>
      </w:r>
      <w:r w:rsidRPr="003D66DD">
        <w:rPr>
          <w:rStyle w:val="normaltextrun"/>
          <w:rFonts w:ascii="Cambria" w:hAnsi="Cambria"/>
          <w:bCs/>
        </w:rPr>
        <w:t>gendered status quo</w:t>
      </w:r>
      <w:r w:rsidRPr="003D66DD">
        <w:rPr>
          <w:rStyle w:val="normaltextrun"/>
          <w:rFonts w:ascii="Cambria" w:hAnsi="Cambria"/>
        </w:rPr>
        <w:t xml:space="preserve"> in the name of </w:t>
      </w:r>
      <w:r w:rsidRPr="003D66DD">
        <w:rPr>
          <w:rStyle w:val="normaltextrun"/>
          <w:rFonts w:ascii="Cambria" w:hAnsi="Cambria"/>
          <w:bCs/>
        </w:rPr>
        <w:t>stability</w:t>
      </w:r>
      <w:r w:rsidRPr="003D66DD">
        <w:rPr>
          <w:rStyle w:val="normaltextrun"/>
          <w:rFonts w:ascii="Cambria" w:hAnsi="Cambria"/>
        </w:rPr>
        <w:t xml:space="preserve">, including the </w:t>
      </w:r>
      <w:proofErr w:type="spellStart"/>
      <w:r w:rsidRPr="003D66DD">
        <w:rPr>
          <w:rStyle w:val="spellingerror"/>
          <w:rFonts w:ascii="Cambria" w:hAnsi="Cambria"/>
          <w:bCs/>
        </w:rPr>
        <w:t>deprioritisation</w:t>
      </w:r>
      <w:proofErr w:type="spellEnd"/>
      <w:r w:rsidRPr="003D66DD">
        <w:rPr>
          <w:rStyle w:val="normaltextrun"/>
          <w:rFonts w:ascii="Cambria" w:hAnsi="Cambria"/>
          <w:bCs/>
        </w:rPr>
        <w:t xml:space="preserve"> of formal gender provisions.  An </w:t>
      </w:r>
      <w:r w:rsidRPr="003D66DD">
        <w:rPr>
          <w:rStyle w:val="normaltextrun"/>
          <w:rFonts w:ascii="Cambria" w:hAnsi="Cambria"/>
        </w:rPr>
        <w:t xml:space="preserve">example of this effect was the </w:t>
      </w:r>
      <w:r w:rsidRPr="003D66DD">
        <w:rPr>
          <w:rStyle w:val="normaltextrun"/>
          <w:rFonts w:ascii="Cambria" w:hAnsi="Cambria"/>
          <w:bCs/>
        </w:rPr>
        <w:t xml:space="preserve">scrapping of the ‘Adviser on Gender Equality’ position by the </w:t>
      </w:r>
      <w:r w:rsidR="00C00A6D">
        <w:rPr>
          <w:rStyle w:val="normaltextrun"/>
          <w:rFonts w:ascii="Cambria" w:hAnsi="Cambria"/>
          <w:bCs/>
        </w:rPr>
        <w:t>OHR</w:t>
      </w:r>
      <w:r w:rsidRPr="003D66DD">
        <w:rPr>
          <w:rStyle w:val="normaltextrun"/>
          <w:rFonts w:ascii="Cambria" w:hAnsi="Cambria"/>
          <w:bCs/>
        </w:rPr>
        <w:t xml:space="preserve"> in 2001</w:t>
      </w:r>
      <w:r w:rsidRPr="003D66DD">
        <w:rPr>
          <w:rStyle w:val="normaltextrun"/>
          <w:rFonts w:ascii="Cambria" w:hAnsi="Cambria"/>
        </w:rPr>
        <w:t xml:space="preserve">.  </w:t>
      </w:r>
      <w:r w:rsidRPr="003D66DD">
        <w:rPr>
          <w:rStyle w:val="normaltextrun"/>
          <w:rFonts w:ascii="Cambria" w:hAnsi="Cambria"/>
          <w:bCs/>
          <w:shd w:val="clear" w:color="auto" w:fill="FFFFFF"/>
        </w:rPr>
        <w:t xml:space="preserve">Indeed, </w:t>
      </w:r>
      <w:r w:rsidR="00380BC2" w:rsidRPr="003D66DD">
        <w:rPr>
          <w:rStyle w:val="normaltextrun"/>
          <w:rFonts w:ascii="Cambria" w:hAnsi="Cambria"/>
        </w:rPr>
        <w:t xml:space="preserve">according to McCulloch and Byrne (2017), </w:t>
      </w:r>
      <w:r w:rsidRPr="003D66DD">
        <w:rPr>
          <w:rStyle w:val="normaltextrun"/>
          <w:rFonts w:ascii="Cambria" w:hAnsi="Cambria"/>
          <w:bCs/>
          <w:shd w:val="clear" w:color="auto" w:fill="FFFFFF"/>
        </w:rPr>
        <w:t>the OHR</w:t>
      </w:r>
      <w:r w:rsidRPr="003D66DD">
        <w:rPr>
          <w:rStyle w:val="normaltextrun"/>
          <w:rFonts w:ascii="Cambria" w:hAnsi="Cambria"/>
        </w:rPr>
        <w:t> failed consistently to prioritise gender issues in the post-Dayton phase</w:t>
      </w:r>
      <w:r w:rsidR="00F868BE" w:rsidRPr="003D66DD">
        <w:rPr>
          <w:rStyle w:val="normaltextrun"/>
          <w:rFonts w:ascii="Cambria" w:hAnsi="Cambria"/>
        </w:rPr>
        <w:t xml:space="preserve">.  </w:t>
      </w:r>
    </w:p>
    <w:p w14:paraId="62488025" w14:textId="6DAFDFC8" w:rsidR="00380BC2" w:rsidRPr="003D66DD" w:rsidRDefault="002A5D2D" w:rsidP="001D110D">
      <w:pPr>
        <w:pStyle w:val="paragraph"/>
        <w:spacing w:line="360" w:lineRule="auto"/>
        <w:textAlignment w:val="baseline"/>
        <w:rPr>
          <w:rStyle w:val="normaltextrun"/>
          <w:rFonts w:ascii="Cambria" w:hAnsi="Cambria"/>
          <w:shd w:val="clear" w:color="auto" w:fill="FFFFFF"/>
        </w:rPr>
      </w:pPr>
      <w:r w:rsidRPr="003D66DD">
        <w:rPr>
          <w:rStyle w:val="normaltextrun"/>
          <w:rFonts w:ascii="Cambria" w:hAnsi="Cambria"/>
        </w:rPr>
        <w:t xml:space="preserve">Nevertheless, we also see </w:t>
      </w:r>
      <w:r w:rsidR="003F0B0B" w:rsidRPr="003D66DD">
        <w:rPr>
          <w:rStyle w:val="normaltextrun"/>
          <w:rFonts w:ascii="Cambria" w:hAnsi="Cambria"/>
          <w:bCs/>
        </w:rPr>
        <w:t>the creative agency of women’s civil society</w:t>
      </w:r>
      <w:r w:rsidRPr="003D66DD">
        <w:rPr>
          <w:rStyle w:val="normaltextrun"/>
          <w:rFonts w:ascii="Cambria" w:hAnsi="Cambria"/>
          <w:bCs/>
        </w:rPr>
        <w:t xml:space="preserve"> activists </w:t>
      </w:r>
      <w:r w:rsidRPr="003D66DD">
        <w:rPr>
          <w:rStyle w:val="normaltextrun"/>
          <w:rFonts w:ascii="Cambria" w:hAnsi="Cambria"/>
        </w:rPr>
        <w:t xml:space="preserve">in seizing the WPS agenda and exploiting cooperation with </w:t>
      </w:r>
      <w:r w:rsidR="00D129FC">
        <w:rPr>
          <w:rStyle w:val="normaltextrun"/>
          <w:rFonts w:ascii="Cambria" w:hAnsi="Cambria"/>
        </w:rPr>
        <w:t xml:space="preserve">the </w:t>
      </w:r>
      <w:r w:rsidRPr="003D66DD">
        <w:rPr>
          <w:rStyle w:val="normaltextrun"/>
          <w:rFonts w:ascii="Cambria" w:hAnsi="Cambria"/>
        </w:rPr>
        <w:t xml:space="preserve">international community to secure gains and to </w:t>
      </w:r>
      <w:r w:rsidRPr="003D66DD">
        <w:rPr>
          <w:rStyle w:val="normaltextrun"/>
          <w:rFonts w:ascii="Cambria" w:hAnsi="Cambria"/>
          <w:bCs/>
        </w:rPr>
        <w:t>make new formal rules</w:t>
      </w:r>
      <w:r w:rsidR="003F0B0B" w:rsidRPr="003D66DD">
        <w:rPr>
          <w:rStyle w:val="normaltextrun"/>
          <w:rFonts w:ascii="Cambria" w:hAnsi="Cambria"/>
          <w:bCs/>
        </w:rPr>
        <w:t xml:space="preserve">, for example, </w:t>
      </w:r>
      <w:r w:rsidR="003F0B0B" w:rsidRPr="003D66DD">
        <w:rPr>
          <w:rStyle w:val="normaltextrun"/>
          <w:rFonts w:ascii="Cambria" w:hAnsi="Cambria"/>
          <w:shd w:val="clear" w:color="auto" w:fill="FFFFFF"/>
        </w:rPr>
        <w:t xml:space="preserve">the </w:t>
      </w:r>
      <w:r w:rsidR="003F0B0B" w:rsidRPr="003D66DD">
        <w:rPr>
          <w:rStyle w:val="normaltextrun"/>
          <w:rFonts w:ascii="Cambria" w:hAnsi="Cambria"/>
          <w:bCs/>
          <w:shd w:val="clear" w:color="auto" w:fill="FFFFFF"/>
        </w:rPr>
        <w:t>Law on Gender Equality</w:t>
      </w:r>
      <w:r w:rsidR="00380BC2" w:rsidRPr="003D66DD">
        <w:rPr>
          <w:rStyle w:val="normaltextrun"/>
          <w:rFonts w:ascii="Cambria" w:hAnsi="Cambria"/>
          <w:bCs/>
        </w:rPr>
        <w:t>.</w:t>
      </w:r>
      <w:r w:rsidRPr="003D66DD">
        <w:rPr>
          <w:rStyle w:val="eop"/>
          <w:rFonts w:ascii="Cambria" w:hAnsi="Cambria"/>
        </w:rPr>
        <w:t> </w:t>
      </w:r>
      <w:r w:rsidR="00380BC2" w:rsidRPr="003D66DD">
        <w:rPr>
          <w:rStyle w:val="normaltextrun"/>
          <w:rFonts w:ascii="Cambria" w:hAnsi="Cambria"/>
          <w:shd w:val="clear" w:color="auto" w:fill="FFFFFF"/>
        </w:rPr>
        <w:t>We see an invoking of the formal rules and a calling to account of elites.</w:t>
      </w:r>
      <w:r w:rsidR="00380BC2" w:rsidRPr="003D66DD">
        <w:rPr>
          <w:rFonts w:ascii="Cambria" w:hAnsi="Cambria"/>
        </w:rPr>
        <w:t xml:space="preserve"> </w:t>
      </w:r>
      <w:r w:rsidRPr="003D66DD">
        <w:rPr>
          <w:rFonts w:ascii="Cambria" w:hAnsi="Cambria"/>
        </w:rPr>
        <w:t>McCulloch and Byrne</w:t>
      </w:r>
      <w:r w:rsidR="00C00A6D">
        <w:rPr>
          <w:rFonts w:ascii="Cambria" w:hAnsi="Cambria"/>
        </w:rPr>
        <w:t xml:space="preserve"> (2017)</w:t>
      </w:r>
      <w:r w:rsidRPr="003D66DD">
        <w:rPr>
          <w:rFonts w:ascii="Cambria" w:hAnsi="Cambria"/>
        </w:rPr>
        <w:t>, describe how feminist activists have worked to “fill in the blanks” left in the Dayton peace deal with respect to WPS, through the development of an institutional framework for the pursuit of gender equality, the implementation of a gender perspective and the inclusion of women</w:t>
      </w:r>
      <w:r w:rsidR="00C00A6D">
        <w:rPr>
          <w:rFonts w:ascii="Cambria" w:hAnsi="Cambria"/>
        </w:rPr>
        <w:t xml:space="preserve"> in public political life</w:t>
      </w:r>
      <w:r w:rsidRPr="003D66DD">
        <w:rPr>
          <w:rFonts w:ascii="Cambria" w:hAnsi="Cambria"/>
        </w:rPr>
        <w:t>.  A further example is the</w:t>
      </w:r>
      <w:r w:rsidRPr="003D66DD">
        <w:rPr>
          <w:rStyle w:val="normaltextrun"/>
          <w:rFonts w:ascii="Cambria" w:hAnsi="Cambria"/>
          <w:shd w:val="clear" w:color="auto" w:fill="FFFFFF"/>
        </w:rPr>
        <w:t xml:space="preserve"> </w:t>
      </w:r>
      <w:r w:rsidRPr="003D66DD">
        <w:rPr>
          <w:rStyle w:val="normaltextrun"/>
          <w:rFonts w:ascii="Cambria" w:hAnsi="Cambria"/>
          <w:bCs/>
          <w:shd w:val="clear" w:color="auto" w:fill="FFFFFF"/>
        </w:rPr>
        <w:t>2013 women’s caucus</w:t>
      </w:r>
      <w:r w:rsidRPr="003D66DD">
        <w:rPr>
          <w:rStyle w:val="normaltextrun"/>
          <w:rFonts w:ascii="Cambria" w:hAnsi="Cambria"/>
          <w:shd w:val="clear" w:color="auto" w:fill="FFFFFF"/>
        </w:rPr>
        <w:t xml:space="preserve"> in the Federation entity parliament, the first cross-party parliamentary caucus in </w:t>
      </w:r>
      <w:proofErr w:type="spellStart"/>
      <w:r w:rsidRPr="003D66DD">
        <w:rPr>
          <w:rStyle w:val="spellingerror"/>
          <w:rFonts w:ascii="Cambria" w:hAnsi="Cambria"/>
          <w:shd w:val="clear" w:color="auto" w:fill="FFFFFF"/>
        </w:rPr>
        <w:t>BiH</w:t>
      </w:r>
      <w:proofErr w:type="spellEnd"/>
      <w:r w:rsidRPr="003D66DD">
        <w:rPr>
          <w:rStyle w:val="normaltextrun"/>
          <w:rFonts w:ascii="Cambria" w:hAnsi="Cambria"/>
          <w:shd w:val="clear" w:color="auto" w:fill="FFFFFF"/>
        </w:rPr>
        <w:t>, which was facilitated by US AID.</w:t>
      </w:r>
      <w:r w:rsidR="002A3EB5" w:rsidRPr="003D66DD">
        <w:rPr>
          <w:rStyle w:val="normaltextrun"/>
          <w:rFonts w:ascii="Cambria" w:hAnsi="Cambria"/>
          <w:shd w:val="clear" w:color="auto" w:fill="FFFFFF"/>
        </w:rPr>
        <w:t xml:space="preserve"> </w:t>
      </w:r>
    </w:p>
    <w:p w14:paraId="1B1E965F" w14:textId="02709E93" w:rsidR="001D110D" w:rsidRPr="003D66DD" w:rsidRDefault="00BB3B27" w:rsidP="001D110D">
      <w:pPr>
        <w:pStyle w:val="paragraph"/>
        <w:spacing w:line="360" w:lineRule="auto"/>
        <w:textAlignment w:val="baseline"/>
        <w:rPr>
          <w:rStyle w:val="normaltextrun"/>
          <w:rFonts w:ascii="Cambria" w:hAnsi="Cambria"/>
          <w:shd w:val="clear" w:color="auto" w:fill="FFFFFF"/>
        </w:rPr>
      </w:pPr>
      <w:r w:rsidRPr="003D66DD">
        <w:rPr>
          <w:rStyle w:val="normaltextrun"/>
          <w:rFonts w:ascii="Cambria" w:hAnsi="Cambria"/>
        </w:rPr>
        <w:t>The presence of international organisations and donors</w:t>
      </w:r>
      <w:r w:rsidR="00EF7471">
        <w:rPr>
          <w:rStyle w:val="normaltextrun"/>
          <w:rFonts w:ascii="Cambria" w:hAnsi="Cambria"/>
        </w:rPr>
        <w:t xml:space="preserve"> has affected women’s mobilis</w:t>
      </w:r>
      <w:r w:rsidR="001D110D" w:rsidRPr="003D66DD">
        <w:rPr>
          <w:rStyle w:val="normaltextrun"/>
          <w:rFonts w:ascii="Cambria" w:hAnsi="Cambria"/>
        </w:rPr>
        <w:t>ation strategies</w:t>
      </w:r>
      <w:r w:rsidR="00F868BE" w:rsidRPr="003D66DD">
        <w:rPr>
          <w:rStyle w:val="normaltextrun"/>
          <w:rFonts w:ascii="Cambria" w:hAnsi="Cambria"/>
        </w:rPr>
        <w:t xml:space="preserve">, with women’s NGOs able to appeal to transnational actors to assert international pressure against national governments to enforce human rights norms </w:t>
      </w:r>
      <w:r w:rsidR="001D110D" w:rsidRPr="003D66DD">
        <w:rPr>
          <w:rStyle w:val="normaltextrun"/>
          <w:rFonts w:ascii="Cambria" w:hAnsi="Cambria"/>
        </w:rPr>
        <w:t>(</w:t>
      </w:r>
      <w:r w:rsidR="009E5D0F" w:rsidRPr="003D66DD">
        <w:rPr>
          <w:rFonts w:ascii="Cambria" w:hAnsi="Cambria"/>
        </w:rPr>
        <w:t>McCulloch and Byrne</w:t>
      </w:r>
      <w:r w:rsidR="00C00A6D">
        <w:rPr>
          <w:rFonts w:ascii="Cambria" w:hAnsi="Cambria"/>
        </w:rPr>
        <w:t>,</w:t>
      </w:r>
      <w:r w:rsidR="009E5D0F" w:rsidRPr="003D66DD">
        <w:rPr>
          <w:rStyle w:val="normaltextrun"/>
          <w:rFonts w:ascii="Cambria" w:hAnsi="Cambria"/>
        </w:rPr>
        <w:t xml:space="preserve"> 2017), in classic instances of the ‘boomerang’ strategy (Keck and </w:t>
      </w:r>
      <w:proofErr w:type="spellStart"/>
      <w:r w:rsidR="009E5D0F" w:rsidRPr="003D66DD">
        <w:rPr>
          <w:rStyle w:val="normaltextrun"/>
          <w:rFonts w:ascii="Cambria" w:hAnsi="Cambria"/>
        </w:rPr>
        <w:t>Sikkink</w:t>
      </w:r>
      <w:proofErr w:type="spellEnd"/>
      <w:r w:rsidR="007A1A2E">
        <w:rPr>
          <w:rStyle w:val="normaltextrun"/>
          <w:rFonts w:ascii="Cambria" w:hAnsi="Cambria"/>
        </w:rPr>
        <w:t>,</w:t>
      </w:r>
      <w:r w:rsidR="0058798F" w:rsidRPr="003D66DD">
        <w:rPr>
          <w:rStyle w:val="normaltextrun"/>
          <w:rFonts w:ascii="Cambria" w:hAnsi="Cambria"/>
        </w:rPr>
        <w:t xml:space="preserve"> </w:t>
      </w:r>
      <w:r w:rsidR="009E5D0F" w:rsidRPr="003D66DD">
        <w:rPr>
          <w:rStyle w:val="normaltextrun"/>
          <w:rFonts w:ascii="Cambria" w:hAnsi="Cambria"/>
        </w:rPr>
        <w:t>1998).</w:t>
      </w:r>
      <w:r w:rsidR="0058798F" w:rsidRPr="003D66DD">
        <w:rPr>
          <w:rStyle w:val="normaltextrun"/>
          <w:rFonts w:ascii="Cambria" w:hAnsi="Cambria"/>
        </w:rPr>
        <w:t xml:space="preserve"> </w:t>
      </w:r>
      <w:r w:rsidR="002A5D2D" w:rsidRPr="003D66DD">
        <w:rPr>
          <w:rStyle w:val="normaltextrun"/>
          <w:rFonts w:ascii="Cambria" w:hAnsi="Cambria"/>
        </w:rPr>
        <w:t xml:space="preserve">Actors are thus both constrained and </w:t>
      </w:r>
      <w:r w:rsidR="00BA1555" w:rsidRPr="003D66DD">
        <w:rPr>
          <w:rStyle w:val="normaltextrun"/>
          <w:rFonts w:ascii="Cambria" w:hAnsi="Cambria"/>
        </w:rPr>
        <w:t>empowered by the wider international context and their connections with t</w:t>
      </w:r>
      <w:r w:rsidR="0058798F" w:rsidRPr="003D66DD">
        <w:rPr>
          <w:rStyle w:val="normaltextrun"/>
          <w:rFonts w:ascii="Cambria" w:hAnsi="Cambria"/>
        </w:rPr>
        <w:t>he international community</w:t>
      </w:r>
      <w:r w:rsidR="00F868BE" w:rsidRPr="003D66DD">
        <w:rPr>
          <w:rStyle w:val="normaltextrun"/>
          <w:rFonts w:ascii="Cambria" w:hAnsi="Cambria"/>
        </w:rPr>
        <w:t xml:space="preserve">. </w:t>
      </w:r>
    </w:p>
    <w:p w14:paraId="557244AB" w14:textId="0545F385" w:rsidR="00C0518A" w:rsidRPr="00AD7642" w:rsidRDefault="00F842D6" w:rsidP="004228D5">
      <w:pPr>
        <w:pStyle w:val="paragraph"/>
        <w:spacing w:line="360" w:lineRule="auto"/>
        <w:textAlignment w:val="baseline"/>
        <w:outlineLvl w:val="0"/>
        <w:rPr>
          <w:rStyle w:val="normaltextrun"/>
          <w:rFonts w:ascii="Cambria" w:hAnsi="Cambria"/>
          <w:b/>
          <w:color w:val="000000" w:themeColor="text1"/>
          <w:shd w:val="clear" w:color="auto" w:fill="FFFFFF"/>
        </w:rPr>
      </w:pPr>
      <w:r w:rsidRPr="00AD7642">
        <w:rPr>
          <w:rStyle w:val="normaltextrun"/>
          <w:rFonts w:ascii="Cambria" w:hAnsi="Cambria"/>
          <w:b/>
          <w:color w:val="000000" w:themeColor="text1"/>
          <w:shd w:val="clear" w:color="auto" w:fill="FFFFFF"/>
        </w:rPr>
        <w:t xml:space="preserve">Northern Ireland </w:t>
      </w:r>
    </w:p>
    <w:p w14:paraId="679BEF4F" w14:textId="5F76B998" w:rsidR="005B60F1" w:rsidRPr="00AD7642" w:rsidRDefault="00D631A6" w:rsidP="004228D5">
      <w:pPr>
        <w:spacing w:line="360" w:lineRule="auto"/>
        <w:outlineLvl w:val="0"/>
        <w:rPr>
          <w:rStyle w:val="normaltextrun"/>
          <w:rFonts w:ascii="Cambria" w:hAnsi="Cambria"/>
          <w:b/>
          <w:i/>
          <w:color w:val="000000" w:themeColor="text1"/>
        </w:rPr>
      </w:pPr>
      <w:r>
        <w:rPr>
          <w:rFonts w:ascii="Cambria" w:hAnsi="Cambria"/>
          <w:b/>
          <w:i/>
          <w:color w:val="000000" w:themeColor="text1"/>
        </w:rPr>
        <w:t>Peace A</w:t>
      </w:r>
      <w:r w:rsidR="005B60F1" w:rsidRPr="00AD7642">
        <w:rPr>
          <w:rFonts w:ascii="Cambria" w:hAnsi="Cambria"/>
          <w:b/>
          <w:i/>
          <w:color w:val="000000" w:themeColor="text1"/>
        </w:rPr>
        <w:t xml:space="preserve">greement </w:t>
      </w:r>
    </w:p>
    <w:p w14:paraId="6688872A" w14:textId="37170E7B" w:rsidR="005B60F1" w:rsidRPr="003D66DD" w:rsidRDefault="00C0518A" w:rsidP="00F842D6">
      <w:pPr>
        <w:pStyle w:val="paragraph"/>
        <w:spacing w:line="360" w:lineRule="auto"/>
        <w:textAlignment w:val="baseline"/>
        <w:rPr>
          <w:rStyle w:val="normaltextrun"/>
          <w:rFonts w:ascii="Cambria" w:hAnsi="Cambria"/>
          <w:shd w:val="clear" w:color="auto" w:fill="FFFFFF"/>
        </w:rPr>
      </w:pPr>
      <w:r w:rsidRPr="003D66DD">
        <w:rPr>
          <w:rStyle w:val="normaltextrun"/>
          <w:rFonts w:ascii="Cambria" w:hAnsi="Cambria"/>
          <w:shd w:val="clear" w:color="auto" w:fill="FFFFFF"/>
        </w:rPr>
        <w:t xml:space="preserve">After some </w:t>
      </w:r>
      <w:r w:rsidR="005F05A1">
        <w:rPr>
          <w:rStyle w:val="normaltextrun"/>
          <w:rFonts w:ascii="Cambria" w:hAnsi="Cambria"/>
          <w:shd w:val="clear" w:color="auto" w:fill="FFFFFF"/>
        </w:rPr>
        <w:t>30</w:t>
      </w:r>
      <w:r w:rsidRPr="003D66DD">
        <w:rPr>
          <w:rStyle w:val="normaltextrun"/>
          <w:rFonts w:ascii="Cambria" w:hAnsi="Cambria"/>
          <w:shd w:val="clear" w:color="auto" w:fill="FFFFFF"/>
        </w:rPr>
        <w:t xml:space="preserve"> years of conflict in which more than 3600 were killed, a peace process involving </w:t>
      </w:r>
      <w:r w:rsidR="00D43152" w:rsidRPr="003D66DD">
        <w:rPr>
          <w:rStyle w:val="normaltextrun"/>
          <w:rFonts w:ascii="Cambria" w:hAnsi="Cambria"/>
          <w:shd w:val="clear" w:color="auto" w:fill="FFFFFF"/>
        </w:rPr>
        <w:t xml:space="preserve">most of the main </w:t>
      </w:r>
      <w:r w:rsidRPr="003D66DD">
        <w:rPr>
          <w:rStyle w:val="normaltextrun"/>
          <w:rFonts w:ascii="Cambria" w:hAnsi="Cambria"/>
          <w:shd w:val="clear" w:color="auto" w:fill="FFFFFF"/>
        </w:rPr>
        <w:t>political parties</w:t>
      </w:r>
      <w:r w:rsidR="00D43152" w:rsidRPr="003D66DD">
        <w:rPr>
          <w:rStyle w:val="normaltextrun"/>
          <w:rFonts w:ascii="Cambria" w:hAnsi="Cambria"/>
          <w:shd w:val="clear" w:color="auto" w:fill="FFFFFF"/>
        </w:rPr>
        <w:t xml:space="preserve"> </w:t>
      </w:r>
      <w:r w:rsidRPr="003D66DD">
        <w:rPr>
          <w:rStyle w:val="normaltextrun"/>
          <w:rFonts w:ascii="Cambria" w:hAnsi="Cambria"/>
          <w:shd w:val="clear" w:color="auto" w:fill="FFFFFF"/>
        </w:rPr>
        <w:t>and the UK and Irish governments led to the signing of the Good Friday Agreement</w:t>
      </w:r>
      <w:r w:rsidR="00D43152" w:rsidRPr="003D66DD">
        <w:rPr>
          <w:rStyle w:val="normaltextrun"/>
          <w:rFonts w:ascii="Cambria" w:hAnsi="Cambria"/>
          <w:shd w:val="clear" w:color="auto" w:fill="FFFFFF"/>
        </w:rPr>
        <w:t xml:space="preserve"> (GFA)/Belfast</w:t>
      </w:r>
      <w:r w:rsidRPr="003D66DD">
        <w:rPr>
          <w:rStyle w:val="normaltextrun"/>
          <w:rFonts w:ascii="Cambria" w:hAnsi="Cambria"/>
          <w:shd w:val="clear" w:color="auto" w:fill="FFFFFF"/>
        </w:rPr>
        <w:t xml:space="preserve"> </w:t>
      </w:r>
      <w:r w:rsidR="00D43152" w:rsidRPr="003D66DD">
        <w:rPr>
          <w:rStyle w:val="normaltextrun"/>
          <w:rFonts w:ascii="Cambria" w:hAnsi="Cambria"/>
          <w:shd w:val="clear" w:color="auto" w:fill="FFFFFF"/>
        </w:rPr>
        <w:t xml:space="preserve">Agreement </w:t>
      </w:r>
      <w:r w:rsidRPr="003D66DD">
        <w:rPr>
          <w:rStyle w:val="normaltextrun"/>
          <w:rFonts w:ascii="Cambria" w:hAnsi="Cambria"/>
          <w:shd w:val="clear" w:color="auto" w:fill="FFFFFF"/>
        </w:rPr>
        <w:t>in 1998.</w:t>
      </w:r>
      <w:r w:rsidR="005B60F1" w:rsidRPr="003D66DD">
        <w:rPr>
          <w:rStyle w:val="normaltextrun"/>
          <w:rFonts w:ascii="Cambria" w:hAnsi="Cambria"/>
          <w:shd w:val="clear" w:color="auto" w:fill="FFFFFF"/>
        </w:rPr>
        <w:t xml:space="preserve">  </w:t>
      </w:r>
      <w:r w:rsidR="00BC0A77" w:rsidRPr="003D66DD">
        <w:rPr>
          <w:rStyle w:val="normaltextrun"/>
          <w:rFonts w:ascii="Cambria" w:hAnsi="Cambria"/>
          <w:shd w:val="clear" w:color="auto" w:fill="FFFFFF"/>
        </w:rPr>
        <w:t>W</w:t>
      </w:r>
      <w:r w:rsidR="005B60F1" w:rsidRPr="003D66DD">
        <w:rPr>
          <w:rStyle w:val="normaltextrun"/>
          <w:rFonts w:ascii="Cambria" w:hAnsi="Cambria"/>
          <w:shd w:val="clear" w:color="auto" w:fill="FFFFFF"/>
        </w:rPr>
        <w:t>omen secured a small but significant presence</w:t>
      </w:r>
      <w:r w:rsidR="00BC0A77" w:rsidRPr="003D66DD">
        <w:rPr>
          <w:rStyle w:val="normaltextrun"/>
          <w:rFonts w:ascii="Cambria" w:hAnsi="Cambria"/>
          <w:shd w:val="clear" w:color="auto" w:fill="FFFFFF"/>
        </w:rPr>
        <w:t xml:space="preserve"> in the peace negotiations that led to this settlement</w:t>
      </w:r>
      <w:r w:rsidR="005B60F1" w:rsidRPr="003D66DD">
        <w:rPr>
          <w:rStyle w:val="normaltextrun"/>
          <w:rFonts w:ascii="Cambria" w:hAnsi="Cambria"/>
          <w:shd w:val="clear" w:color="auto" w:fill="FFFFFF"/>
        </w:rPr>
        <w:t xml:space="preserve">, primarily in the shape of the </w:t>
      </w:r>
      <w:r w:rsidR="005B60F1" w:rsidRPr="003D66DD">
        <w:rPr>
          <w:rFonts w:ascii="Cambria" w:hAnsi="Cambria"/>
        </w:rPr>
        <w:t>Northern Ireland Women’s Coalition (NIWC)</w:t>
      </w:r>
      <w:r w:rsidR="00BC0A77" w:rsidRPr="003D66DD">
        <w:rPr>
          <w:rFonts w:ascii="Cambria" w:hAnsi="Cambria"/>
        </w:rPr>
        <w:t xml:space="preserve">.  This </w:t>
      </w:r>
      <w:r w:rsidR="005B60F1" w:rsidRPr="003D66DD">
        <w:rPr>
          <w:rFonts w:ascii="Cambria" w:hAnsi="Cambria"/>
        </w:rPr>
        <w:t xml:space="preserve">cross-community women’s party came into being in 1996 on the </w:t>
      </w:r>
      <w:r w:rsidR="005B60F1" w:rsidRPr="003D66DD">
        <w:rPr>
          <w:rFonts w:ascii="Cambria" w:hAnsi="Cambria"/>
          <w:bCs/>
        </w:rPr>
        <w:t xml:space="preserve">eve of the </w:t>
      </w:r>
      <w:r w:rsidR="00BC0A77" w:rsidRPr="003D66DD">
        <w:rPr>
          <w:rFonts w:ascii="Cambria" w:hAnsi="Cambria"/>
          <w:bCs/>
        </w:rPr>
        <w:t>all-</w:t>
      </w:r>
      <w:r w:rsidR="00BC0A77" w:rsidRPr="003D66DD">
        <w:rPr>
          <w:rFonts w:ascii="Cambria" w:hAnsi="Cambria"/>
          <w:bCs/>
        </w:rPr>
        <w:lastRenderedPageBreak/>
        <w:t xml:space="preserve">party </w:t>
      </w:r>
      <w:r w:rsidR="005B60F1" w:rsidRPr="003D66DD">
        <w:rPr>
          <w:rFonts w:ascii="Cambria" w:hAnsi="Cambria"/>
          <w:bCs/>
        </w:rPr>
        <w:t xml:space="preserve">peace talks, </w:t>
      </w:r>
      <w:r w:rsidR="00BC0A77" w:rsidRPr="003D66DD">
        <w:rPr>
          <w:rFonts w:ascii="Cambria" w:hAnsi="Cambria"/>
          <w:bCs/>
        </w:rPr>
        <w:t xml:space="preserve">the </w:t>
      </w:r>
      <w:r w:rsidR="00BC0A77" w:rsidRPr="003D66DD">
        <w:rPr>
          <w:rStyle w:val="normaltextrun"/>
          <w:rFonts w:ascii="Cambria" w:hAnsi="Cambria"/>
          <w:shd w:val="clear" w:color="auto" w:fill="FFFFFF"/>
        </w:rPr>
        <w:t xml:space="preserve">Northern Ireland Forum for Political Dialogue, </w:t>
      </w:r>
      <w:r w:rsidR="005B60F1" w:rsidRPr="003D66DD">
        <w:rPr>
          <w:rFonts w:ascii="Cambria" w:hAnsi="Cambria"/>
        </w:rPr>
        <w:t xml:space="preserve">with the sole purpose of </w:t>
      </w:r>
      <w:r w:rsidR="005B60F1" w:rsidRPr="003D66DD">
        <w:rPr>
          <w:rFonts w:ascii="Cambria" w:hAnsi="Cambria"/>
          <w:bCs/>
        </w:rPr>
        <w:t>influencing the negotiations and resulting pact</w:t>
      </w:r>
      <w:r w:rsidR="005B60F1" w:rsidRPr="003D66DD">
        <w:rPr>
          <w:rFonts w:ascii="Cambria" w:hAnsi="Cambria"/>
        </w:rPr>
        <w:t xml:space="preserve"> and, thanks in part to the use of a PR list system with regional top-up, secured two elected representatives to the </w:t>
      </w:r>
      <w:r w:rsidR="005B60F1" w:rsidRPr="003D66DD">
        <w:rPr>
          <w:rFonts w:ascii="Cambria" w:hAnsi="Cambria"/>
          <w:bCs/>
        </w:rPr>
        <w:t>Forum</w:t>
      </w:r>
      <w:r w:rsidR="005B60F1" w:rsidRPr="003D66DD">
        <w:rPr>
          <w:rFonts w:ascii="Cambria" w:hAnsi="Cambria"/>
        </w:rPr>
        <w:t>.</w:t>
      </w:r>
      <w:r w:rsidR="00D06303" w:rsidRPr="003D66DD">
        <w:rPr>
          <w:rFonts w:ascii="Cambria" w:hAnsi="Cambria"/>
        </w:rPr>
        <w:t xml:space="preserve">  </w:t>
      </w:r>
    </w:p>
    <w:p w14:paraId="5308EB15" w14:textId="5A5B4F03" w:rsidR="005B60F1" w:rsidRPr="003D66DD" w:rsidRDefault="00D631A6" w:rsidP="004228D5">
      <w:pPr>
        <w:spacing w:after="240" w:line="360" w:lineRule="auto"/>
        <w:outlineLvl w:val="0"/>
        <w:rPr>
          <w:rStyle w:val="normaltextrun"/>
          <w:rFonts w:ascii="Cambria" w:hAnsi="Cambria"/>
          <w:b/>
          <w:i/>
        </w:rPr>
      </w:pPr>
      <w:r>
        <w:rPr>
          <w:rStyle w:val="eop"/>
          <w:rFonts w:ascii="Cambria" w:hAnsi="Cambria"/>
          <w:b/>
          <w:i/>
        </w:rPr>
        <w:t>Power-S</w:t>
      </w:r>
      <w:r w:rsidR="005B60F1" w:rsidRPr="003D66DD">
        <w:rPr>
          <w:rStyle w:val="eop"/>
          <w:rFonts w:ascii="Cambria" w:hAnsi="Cambria"/>
          <w:b/>
          <w:i/>
        </w:rPr>
        <w:t>haring</w:t>
      </w:r>
    </w:p>
    <w:p w14:paraId="0BC9344C" w14:textId="61CEC970" w:rsidR="00AF250C" w:rsidRDefault="00BC0A77" w:rsidP="00F842D6">
      <w:pPr>
        <w:pStyle w:val="paragraph"/>
        <w:spacing w:line="360" w:lineRule="auto"/>
        <w:textAlignment w:val="baseline"/>
        <w:rPr>
          <w:rFonts w:ascii="Cambria" w:hAnsi="Cambria"/>
        </w:rPr>
      </w:pPr>
      <w:r w:rsidRPr="003D66DD">
        <w:rPr>
          <w:rStyle w:val="normaltextrun"/>
          <w:rFonts w:ascii="Cambria" w:hAnsi="Cambria"/>
          <w:shd w:val="clear" w:color="auto" w:fill="FFFFFF"/>
        </w:rPr>
        <w:t>T</w:t>
      </w:r>
      <w:r w:rsidR="00D43152" w:rsidRPr="003D66DD">
        <w:rPr>
          <w:rStyle w:val="normaltextrun"/>
          <w:rFonts w:ascii="Cambria" w:hAnsi="Cambria"/>
          <w:shd w:val="clear" w:color="auto" w:fill="FFFFFF"/>
        </w:rPr>
        <w:t xml:space="preserve">he </w:t>
      </w:r>
      <w:r w:rsidR="00D631A6">
        <w:rPr>
          <w:rStyle w:val="normaltextrun"/>
          <w:rFonts w:ascii="Cambria" w:hAnsi="Cambria"/>
          <w:shd w:val="clear" w:color="auto" w:fill="FFFFFF"/>
        </w:rPr>
        <w:t>GFA</w:t>
      </w:r>
      <w:r w:rsidR="00D43152" w:rsidRPr="003D66DD">
        <w:rPr>
          <w:rStyle w:val="normaltextrun"/>
          <w:rFonts w:ascii="Cambria" w:hAnsi="Cambria"/>
          <w:shd w:val="clear" w:color="auto" w:fill="FFFFFF"/>
        </w:rPr>
        <w:t xml:space="preserve"> was distinctly </w:t>
      </w:r>
      <w:proofErr w:type="spellStart"/>
      <w:r w:rsidR="00D43152" w:rsidRPr="003D66DD">
        <w:rPr>
          <w:rStyle w:val="normaltextrun"/>
          <w:rFonts w:ascii="Cambria" w:hAnsi="Cambria"/>
          <w:shd w:val="clear" w:color="auto" w:fill="FFFFFF"/>
        </w:rPr>
        <w:t>consociational</w:t>
      </w:r>
      <w:proofErr w:type="spellEnd"/>
      <w:r w:rsidR="00D43152" w:rsidRPr="003D66DD">
        <w:rPr>
          <w:rStyle w:val="normaltextrun"/>
          <w:rFonts w:ascii="Cambria" w:hAnsi="Cambria"/>
          <w:shd w:val="clear" w:color="auto" w:fill="FFFFFF"/>
        </w:rPr>
        <w:t xml:space="preserve"> in nature</w:t>
      </w:r>
      <w:r w:rsidR="00195209" w:rsidRPr="003D66DD">
        <w:rPr>
          <w:rStyle w:val="normaltextrun"/>
          <w:rFonts w:ascii="Cambria" w:hAnsi="Cambria"/>
          <w:shd w:val="clear" w:color="auto" w:fill="FFFFFF"/>
        </w:rPr>
        <w:t xml:space="preserve"> (</w:t>
      </w:r>
      <w:r w:rsidR="00AC2EE9" w:rsidRPr="003D66DD">
        <w:rPr>
          <w:rFonts w:ascii="Cambria" w:hAnsi="Cambria"/>
        </w:rPr>
        <w:t>Horowitz</w:t>
      </w:r>
      <w:r w:rsidR="00D631A6">
        <w:rPr>
          <w:rFonts w:ascii="Cambria" w:hAnsi="Cambria"/>
        </w:rPr>
        <w:t>,</w:t>
      </w:r>
      <w:r w:rsidR="00AC2EE9" w:rsidRPr="003D66DD">
        <w:rPr>
          <w:rFonts w:ascii="Cambria" w:hAnsi="Cambria"/>
        </w:rPr>
        <w:t xml:space="preserve"> 2002: 194), </w:t>
      </w:r>
      <w:r w:rsidR="00D43152" w:rsidRPr="003D66DD">
        <w:rPr>
          <w:rStyle w:val="normaltextrun"/>
          <w:rFonts w:ascii="Cambria" w:hAnsi="Cambria"/>
          <w:shd w:val="clear" w:color="auto" w:fill="FFFFFF"/>
        </w:rPr>
        <w:t xml:space="preserve">establishing a devolved Northern Ireland Assembly and Executive in which power would be </w:t>
      </w:r>
      <w:r w:rsidR="00D631A6">
        <w:rPr>
          <w:rStyle w:val="normaltextrun"/>
          <w:rFonts w:ascii="Cambria" w:hAnsi="Cambria"/>
          <w:shd w:val="clear" w:color="auto" w:fill="FFFFFF"/>
        </w:rPr>
        <w:t>shared between the main parties,</w:t>
      </w:r>
      <w:r w:rsidR="00D43152" w:rsidRPr="003D66DD">
        <w:rPr>
          <w:rStyle w:val="normaltextrun"/>
          <w:rFonts w:ascii="Cambria" w:hAnsi="Cambria"/>
          <w:shd w:val="clear" w:color="auto" w:fill="FFFFFF"/>
        </w:rPr>
        <w:t xml:space="preserve"> effectively between nationalist and unionist representatives.  </w:t>
      </w:r>
      <w:r w:rsidR="00D06303" w:rsidRPr="003D66DD">
        <w:rPr>
          <w:rStyle w:val="normaltextrun"/>
          <w:rFonts w:ascii="Cambria" w:hAnsi="Cambria"/>
          <w:shd w:val="clear" w:color="auto" w:fill="FFFFFF"/>
        </w:rPr>
        <w:t xml:space="preserve">Members are elected to the Northern Ireland Assembly through the PR- Single Transferrable Vote (STV) system and seats in the Executive allocated through </w:t>
      </w:r>
      <w:proofErr w:type="spellStart"/>
      <w:r w:rsidR="00D06303" w:rsidRPr="003D66DD">
        <w:rPr>
          <w:rStyle w:val="normaltextrun"/>
          <w:rFonts w:ascii="Cambria" w:hAnsi="Cambria"/>
          <w:shd w:val="clear" w:color="auto" w:fill="FFFFFF"/>
        </w:rPr>
        <w:t>d’Hondt</w:t>
      </w:r>
      <w:proofErr w:type="spellEnd"/>
      <w:r w:rsidR="00D06303" w:rsidRPr="003D66DD">
        <w:rPr>
          <w:rStyle w:val="normaltextrun"/>
          <w:rFonts w:ascii="Cambria" w:hAnsi="Cambria"/>
          <w:shd w:val="clear" w:color="auto" w:fill="FFFFFF"/>
        </w:rPr>
        <w:t xml:space="preserve">, a sequential system based on party strengths in the Assembly and open to all parties.  </w:t>
      </w:r>
      <w:r w:rsidR="00D43152" w:rsidRPr="003D66DD">
        <w:rPr>
          <w:rStyle w:val="normaltextrun"/>
          <w:rFonts w:ascii="Cambria" w:hAnsi="Cambria"/>
          <w:shd w:val="clear" w:color="auto" w:fill="FFFFFF"/>
        </w:rPr>
        <w:t xml:space="preserve">While the system represents a more </w:t>
      </w:r>
      <w:r w:rsidRPr="003D66DD">
        <w:rPr>
          <w:rStyle w:val="normaltextrun"/>
          <w:rFonts w:ascii="Cambria" w:hAnsi="Cambria"/>
          <w:shd w:val="clear" w:color="auto" w:fill="FFFFFF"/>
        </w:rPr>
        <w:t>‘</w:t>
      </w:r>
      <w:r w:rsidR="00D43152" w:rsidRPr="003D66DD">
        <w:rPr>
          <w:rStyle w:val="normaltextrun"/>
          <w:rFonts w:ascii="Cambria" w:hAnsi="Cambria"/>
          <w:shd w:val="clear" w:color="auto" w:fill="FFFFFF"/>
        </w:rPr>
        <w:t>liberal</w:t>
      </w:r>
      <w:r w:rsidRPr="003D66DD">
        <w:rPr>
          <w:rStyle w:val="normaltextrun"/>
          <w:rFonts w:ascii="Cambria" w:hAnsi="Cambria"/>
          <w:shd w:val="clear" w:color="auto" w:fill="FFFFFF"/>
        </w:rPr>
        <w:t>’</w:t>
      </w:r>
      <w:r w:rsidR="00D43152" w:rsidRPr="003D66DD">
        <w:rPr>
          <w:rStyle w:val="normaltextrun"/>
          <w:rFonts w:ascii="Cambria" w:hAnsi="Cambria"/>
          <w:shd w:val="clear" w:color="auto" w:fill="FFFFFF"/>
        </w:rPr>
        <w:t xml:space="preserve"> form of power-sharing than Bosnia or Burundi’s corporate forms, where the power-sharing partners are not defined in ethnic terms but determined by the electorate (</w:t>
      </w:r>
      <w:proofErr w:type="spellStart"/>
      <w:r w:rsidR="00D43152" w:rsidRPr="003D66DD">
        <w:rPr>
          <w:rStyle w:val="normaltextrun"/>
          <w:rFonts w:ascii="Cambria" w:hAnsi="Cambria"/>
          <w:shd w:val="clear" w:color="auto" w:fill="FFFFFF"/>
        </w:rPr>
        <w:t>McGarry</w:t>
      </w:r>
      <w:proofErr w:type="spellEnd"/>
      <w:r w:rsidR="00D43152" w:rsidRPr="003D66DD">
        <w:rPr>
          <w:rStyle w:val="normaltextrun"/>
          <w:rFonts w:ascii="Cambria" w:hAnsi="Cambria"/>
          <w:shd w:val="clear" w:color="auto" w:fill="FFFFFF"/>
        </w:rPr>
        <w:t xml:space="preserve"> </w:t>
      </w:r>
      <w:r w:rsidR="000E381B" w:rsidRPr="003D66DD">
        <w:rPr>
          <w:rStyle w:val="normaltextrun"/>
          <w:rFonts w:ascii="Cambria" w:hAnsi="Cambria"/>
          <w:shd w:val="clear" w:color="auto" w:fill="FFFFFF"/>
        </w:rPr>
        <w:t>and</w:t>
      </w:r>
      <w:r w:rsidR="00D43152" w:rsidRPr="003D66DD">
        <w:rPr>
          <w:rStyle w:val="normaltextrun"/>
          <w:rFonts w:ascii="Cambria" w:hAnsi="Cambria"/>
          <w:shd w:val="clear" w:color="auto" w:fill="FFFFFF"/>
        </w:rPr>
        <w:t xml:space="preserve"> O’Leary, 2009</w:t>
      </w:r>
      <w:r w:rsidR="00AC2EE9" w:rsidRPr="003D66DD">
        <w:rPr>
          <w:rStyle w:val="normaltextrun"/>
          <w:rFonts w:ascii="Cambria" w:hAnsi="Cambria"/>
          <w:shd w:val="clear" w:color="auto" w:fill="FFFFFF"/>
        </w:rPr>
        <w:t xml:space="preserve">: 71; </w:t>
      </w:r>
      <w:proofErr w:type="spellStart"/>
      <w:r w:rsidR="00AC2EE9" w:rsidRPr="003D66DD">
        <w:rPr>
          <w:rFonts w:ascii="Cambria" w:hAnsi="Cambria"/>
        </w:rPr>
        <w:t>McCrudden</w:t>
      </w:r>
      <w:proofErr w:type="spellEnd"/>
      <w:r w:rsidR="00AC2EE9" w:rsidRPr="003D66DD">
        <w:rPr>
          <w:rFonts w:ascii="Cambria" w:hAnsi="Cambria"/>
        </w:rPr>
        <w:t xml:space="preserve"> et al., 2013: 235</w:t>
      </w:r>
      <w:r w:rsidR="00D43152" w:rsidRPr="003D66DD">
        <w:rPr>
          <w:rStyle w:val="normaltextrun"/>
          <w:rFonts w:ascii="Cambria" w:hAnsi="Cambria"/>
          <w:shd w:val="clear" w:color="auto" w:fill="FFFFFF"/>
        </w:rPr>
        <w:t xml:space="preserve">), it entails </w:t>
      </w:r>
      <w:r w:rsidRPr="003D66DD">
        <w:rPr>
          <w:rStyle w:val="normaltextrun"/>
          <w:rFonts w:ascii="Cambria" w:hAnsi="Cambria"/>
          <w:shd w:val="clear" w:color="auto" w:fill="FFFFFF"/>
        </w:rPr>
        <w:t xml:space="preserve">distinct </w:t>
      </w:r>
      <w:r w:rsidR="00D43152" w:rsidRPr="003D66DD">
        <w:rPr>
          <w:rStyle w:val="normaltextrun"/>
          <w:rFonts w:ascii="Cambria" w:hAnsi="Cambria"/>
          <w:shd w:val="clear" w:color="auto" w:fill="FFFFFF"/>
        </w:rPr>
        <w:t xml:space="preserve">corporate elements </w:t>
      </w:r>
      <w:r w:rsidRPr="003D66DD">
        <w:rPr>
          <w:rStyle w:val="normaltextrun"/>
          <w:rFonts w:ascii="Cambria" w:hAnsi="Cambria"/>
          <w:shd w:val="clear" w:color="auto" w:fill="FFFFFF"/>
        </w:rPr>
        <w:t xml:space="preserve">(Nagle, 2011). </w:t>
      </w:r>
      <w:r w:rsidR="00D06303" w:rsidRPr="003D66DD">
        <w:rPr>
          <w:rStyle w:val="normaltextrun"/>
          <w:rFonts w:ascii="Cambria" w:hAnsi="Cambria"/>
          <w:shd w:val="clear" w:color="auto" w:fill="FFFFFF"/>
        </w:rPr>
        <w:t xml:space="preserve"> </w:t>
      </w:r>
      <w:r w:rsidR="00D43152" w:rsidRPr="003D66DD">
        <w:rPr>
          <w:rStyle w:val="normaltextrun"/>
          <w:rFonts w:ascii="Cambria" w:hAnsi="Cambria"/>
          <w:shd w:val="clear" w:color="auto" w:fill="FFFFFF"/>
        </w:rPr>
        <w:t xml:space="preserve">Members of the Legislative Assembly (MLAs) </w:t>
      </w:r>
      <w:r w:rsidRPr="003D66DD">
        <w:rPr>
          <w:rStyle w:val="normaltextrun"/>
          <w:rFonts w:ascii="Cambria" w:hAnsi="Cambria"/>
          <w:shd w:val="clear" w:color="auto" w:fill="FFFFFF"/>
        </w:rPr>
        <w:t xml:space="preserve">are </w:t>
      </w:r>
      <w:r w:rsidR="00D43152" w:rsidRPr="003D66DD">
        <w:rPr>
          <w:rStyle w:val="normaltextrun"/>
          <w:rFonts w:ascii="Cambria" w:hAnsi="Cambria"/>
          <w:shd w:val="clear" w:color="auto" w:fill="FFFFFF"/>
        </w:rPr>
        <w:t xml:space="preserve">required to designate on entering the Assembly as nationalist, unionist or other.  </w:t>
      </w:r>
      <w:r w:rsidR="0047632E" w:rsidRPr="003D66DD">
        <w:rPr>
          <w:rStyle w:val="normaltextrun"/>
          <w:rFonts w:ascii="Cambria" w:hAnsi="Cambria"/>
          <w:shd w:val="clear" w:color="auto" w:fill="FFFFFF"/>
        </w:rPr>
        <w:t xml:space="preserve">This rule is designed to ensure ethnic community guarantees, with certain Assembly votes requiring the support of </w:t>
      </w:r>
      <w:r w:rsidRPr="003D66DD">
        <w:rPr>
          <w:rStyle w:val="normaltextrun"/>
          <w:rFonts w:ascii="Cambria" w:hAnsi="Cambria"/>
          <w:shd w:val="clear" w:color="auto" w:fill="FFFFFF"/>
        </w:rPr>
        <w:t xml:space="preserve">‘parallel consent’ or </w:t>
      </w:r>
      <w:r w:rsidR="0047632E" w:rsidRPr="003D66DD">
        <w:rPr>
          <w:rStyle w:val="normaltextrun"/>
          <w:rFonts w:ascii="Cambria" w:hAnsi="Cambria"/>
          <w:shd w:val="clear" w:color="auto" w:fill="FFFFFF"/>
        </w:rPr>
        <w:t xml:space="preserve">a </w:t>
      </w:r>
      <w:r w:rsidRPr="003D66DD">
        <w:rPr>
          <w:rStyle w:val="normaltextrun"/>
          <w:rFonts w:ascii="Cambria" w:hAnsi="Cambria"/>
          <w:shd w:val="clear" w:color="auto" w:fill="FFFFFF"/>
        </w:rPr>
        <w:t>‘</w:t>
      </w:r>
      <w:r w:rsidR="0047632E" w:rsidRPr="003D66DD">
        <w:rPr>
          <w:rStyle w:val="normaltextrun"/>
          <w:rFonts w:ascii="Cambria" w:hAnsi="Cambria"/>
          <w:shd w:val="clear" w:color="auto" w:fill="FFFFFF"/>
        </w:rPr>
        <w:t>weighted majority</w:t>
      </w:r>
      <w:r w:rsidRPr="003D66DD">
        <w:rPr>
          <w:rStyle w:val="normaltextrun"/>
          <w:rFonts w:ascii="Cambria" w:hAnsi="Cambria"/>
          <w:shd w:val="clear" w:color="auto" w:fill="FFFFFF"/>
        </w:rPr>
        <w:t>’</w:t>
      </w:r>
      <w:r w:rsidR="0047632E" w:rsidRPr="003D66DD">
        <w:rPr>
          <w:rStyle w:val="normaltextrun"/>
          <w:rFonts w:ascii="Cambria" w:hAnsi="Cambria"/>
          <w:shd w:val="clear" w:color="auto" w:fill="FFFFFF"/>
        </w:rPr>
        <w:t xml:space="preserve"> - 60% of members overall, plus 40% of nationalist and unionist blocs respectively. Such a vote can </w:t>
      </w:r>
      <w:r w:rsidRPr="003D66DD">
        <w:rPr>
          <w:rStyle w:val="normaltextrun"/>
          <w:rFonts w:ascii="Cambria" w:hAnsi="Cambria"/>
          <w:shd w:val="clear" w:color="auto" w:fill="FFFFFF"/>
        </w:rPr>
        <w:t xml:space="preserve">also </w:t>
      </w:r>
      <w:r w:rsidR="0047632E" w:rsidRPr="003D66DD">
        <w:rPr>
          <w:rStyle w:val="normaltextrun"/>
          <w:rFonts w:ascii="Cambria" w:hAnsi="Cambria"/>
          <w:shd w:val="clear" w:color="auto" w:fill="FFFFFF"/>
        </w:rPr>
        <w:t>be triggered by a ‘petition of concern’ signed by 30 MLAs (</w:t>
      </w:r>
      <w:r w:rsidR="0047632E" w:rsidRPr="003D66DD">
        <w:rPr>
          <w:rFonts w:ascii="Cambria" w:hAnsi="Cambria"/>
        </w:rPr>
        <w:t>Standing Orders of NI Assembly, 2013)</w:t>
      </w:r>
      <w:r w:rsidRPr="003D66DD">
        <w:rPr>
          <w:rFonts w:ascii="Cambria" w:hAnsi="Cambria"/>
        </w:rPr>
        <w:t xml:space="preserve"> – </w:t>
      </w:r>
      <w:r w:rsidRPr="003D66DD">
        <w:rPr>
          <w:rStyle w:val="normaltextrun"/>
          <w:rFonts w:ascii="Cambria" w:hAnsi="Cambria"/>
          <w:shd w:val="clear" w:color="auto" w:fill="FFFFFF"/>
        </w:rPr>
        <w:t>providing for an effective community veto.</w:t>
      </w:r>
      <w:r w:rsidR="00D06303" w:rsidRPr="003D66DD">
        <w:rPr>
          <w:rStyle w:val="normaltextrun"/>
          <w:rFonts w:ascii="Cambria" w:hAnsi="Cambria"/>
          <w:shd w:val="clear" w:color="auto" w:fill="FFFFFF"/>
        </w:rPr>
        <w:t xml:space="preserve">  </w:t>
      </w:r>
      <w:r w:rsidR="00D06303" w:rsidRPr="003D66DD">
        <w:rPr>
          <w:rFonts w:ascii="Cambria" w:hAnsi="Cambria"/>
        </w:rPr>
        <w:t xml:space="preserve">Revisions have been made to these structures through a number of subsequent agreements, most notably the 2006 St Andrews Agreement and more recently the 2014 Stormont House Agreement and 2015 Fresh Start Agreement. </w:t>
      </w:r>
    </w:p>
    <w:p w14:paraId="0DE4EEFB" w14:textId="367A5C89" w:rsidR="005B60F1" w:rsidRPr="003D66DD" w:rsidRDefault="005B60F1" w:rsidP="004228D5">
      <w:pPr>
        <w:spacing w:after="240" w:line="360" w:lineRule="auto"/>
        <w:outlineLvl w:val="0"/>
        <w:rPr>
          <w:rStyle w:val="normaltextrun"/>
          <w:rFonts w:ascii="Cambria" w:hAnsi="Cambria"/>
          <w:b/>
          <w:i/>
          <w:shd w:val="clear" w:color="auto" w:fill="FFFFFF"/>
        </w:rPr>
      </w:pPr>
      <w:r w:rsidRPr="003D66DD">
        <w:rPr>
          <w:rStyle w:val="normaltextrun"/>
          <w:rFonts w:ascii="Cambria" w:hAnsi="Cambria"/>
          <w:b/>
          <w:i/>
          <w:shd w:val="clear" w:color="auto" w:fill="FFFFFF"/>
        </w:rPr>
        <w:t xml:space="preserve">Political </w:t>
      </w:r>
      <w:r w:rsidR="00D631A6">
        <w:rPr>
          <w:rStyle w:val="normaltextrun"/>
          <w:rFonts w:ascii="Cambria" w:hAnsi="Cambria"/>
          <w:b/>
          <w:i/>
          <w:shd w:val="clear" w:color="auto" w:fill="FFFFFF"/>
        </w:rPr>
        <w:t>A</w:t>
      </w:r>
      <w:r w:rsidRPr="003D66DD">
        <w:rPr>
          <w:rStyle w:val="normaltextrun"/>
          <w:rFonts w:ascii="Cambria" w:hAnsi="Cambria"/>
          <w:b/>
          <w:i/>
          <w:shd w:val="clear" w:color="auto" w:fill="FFFFFF"/>
        </w:rPr>
        <w:t xml:space="preserve">ctors </w:t>
      </w:r>
      <w:r w:rsidR="000E381B" w:rsidRPr="003D66DD">
        <w:rPr>
          <w:rStyle w:val="normaltextrun"/>
          <w:rFonts w:ascii="Cambria" w:hAnsi="Cambria"/>
          <w:b/>
          <w:i/>
          <w:shd w:val="clear" w:color="auto" w:fill="FFFFFF"/>
        </w:rPr>
        <w:t>and</w:t>
      </w:r>
      <w:r w:rsidR="00D631A6">
        <w:rPr>
          <w:rStyle w:val="normaltextrun"/>
          <w:rFonts w:ascii="Cambria" w:hAnsi="Cambria"/>
          <w:b/>
          <w:i/>
          <w:shd w:val="clear" w:color="auto" w:fill="FFFFFF"/>
        </w:rPr>
        <w:t xml:space="preserve"> D</w:t>
      </w:r>
      <w:r w:rsidRPr="003D66DD">
        <w:rPr>
          <w:rStyle w:val="normaltextrun"/>
          <w:rFonts w:ascii="Cambria" w:hAnsi="Cambria"/>
          <w:b/>
          <w:i/>
          <w:shd w:val="clear" w:color="auto" w:fill="FFFFFF"/>
        </w:rPr>
        <w:t>ynamics</w:t>
      </w:r>
    </w:p>
    <w:p w14:paraId="1DD3BAE9" w14:textId="73D07564" w:rsidR="00A85200" w:rsidRPr="003D66DD" w:rsidRDefault="00CC245E" w:rsidP="005B60F1">
      <w:pPr>
        <w:spacing w:after="240" w:line="360" w:lineRule="auto"/>
        <w:rPr>
          <w:rStyle w:val="normaltextrun"/>
          <w:rFonts w:ascii="Cambria" w:hAnsi="Cambria"/>
          <w:shd w:val="clear" w:color="auto" w:fill="FFFFFF"/>
        </w:rPr>
      </w:pPr>
      <w:r w:rsidRPr="003D66DD">
        <w:rPr>
          <w:rStyle w:val="normaltextrun"/>
          <w:rFonts w:ascii="Cambria" w:hAnsi="Cambria"/>
          <w:shd w:val="clear" w:color="auto" w:fill="FFFFFF"/>
        </w:rPr>
        <w:t>In practice, p</w:t>
      </w:r>
      <w:r w:rsidR="007726EC" w:rsidRPr="003D66DD">
        <w:rPr>
          <w:rStyle w:val="normaltextrun"/>
          <w:rFonts w:ascii="Cambria" w:hAnsi="Cambria"/>
          <w:shd w:val="clear" w:color="auto" w:fill="FFFFFF"/>
        </w:rPr>
        <w:t xml:space="preserve">ower-sharing </w:t>
      </w:r>
      <w:r w:rsidR="00D06303" w:rsidRPr="003D66DD">
        <w:rPr>
          <w:rStyle w:val="normaltextrun"/>
          <w:rFonts w:ascii="Cambria" w:hAnsi="Cambria"/>
          <w:shd w:val="clear" w:color="auto" w:fill="FFFFFF"/>
        </w:rPr>
        <w:t xml:space="preserve">in Northern Ireland </w:t>
      </w:r>
      <w:r w:rsidR="006F7799" w:rsidRPr="003D66DD">
        <w:rPr>
          <w:rStyle w:val="normaltextrun"/>
          <w:rFonts w:ascii="Cambria" w:hAnsi="Cambria"/>
          <w:shd w:val="clear" w:color="auto" w:fill="FFFFFF"/>
        </w:rPr>
        <w:t>has</w:t>
      </w:r>
      <w:r w:rsidR="007726EC" w:rsidRPr="003D66DD">
        <w:rPr>
          <w:rStyle w:val="normaltextrun"/>
          <w:rFonts w:ascii="Cambria" w:hAnsi="Cambria"/>
          <w:shd w:val="clear" w:color="auto" w:fill="FFFFFF"/>
        </w:rPr>
        <w:t xml:space="preserve"> had a mixed record in terms of stability</w:t>
      </w:r>
      <w:r w:rsidRPr="003D66DD">
        <w:rPr>
          <w:rStyle w:val="normaltextrun"/>
          <w:rFonts w:ascii="Cambria" w:hAnsi="Cambria"/>
          <w:shd w:val="clear" w:color="auto" w:fill="FFFFFF"/>
        </w:rPr>
        <w:t xml:space="preserve"> and democracy</w:t>
      </w:r>
      <w:r w:rsidR="00D129FC">
        <w:rPr>
          <w:rStyle w:val="normaltextrun"/>
          <w:rFonts w:ascii="Cambria" w:hAnsi="Cambria"/>
          <w:shd w:val="clear" w:color="auto" w:fill="FFFFFF"/>
        </w:rPr>
        <w:t xml:space="preserve">, marked by ethno-nationalist polarisation and dysfunction. At </w:t>
      </w:r>
      <w:r w:rsidR="00D631A6">
        <w:rPr>
          <w:rStyle w:val="normaltextrun"/>
          <w:rFonts w:ascii="Cambria" w:hAnsi="Cambria"/>
          <w:shd w:val="clear" w:color="auto" w:fill="FFFFFF"/>
        </w:rPr>
        <w:t xml:space="preserve">the </w:t>
      </w:r>
      <w:r w:rsidR="00D129FC">
        <w:rPr>
          <w:rStyle w:val="normaltextrun"/>
          <w:rFonts w:ascii="Cambria" w:hAnsi="Cambria"/>
          <w:shd w:val="clear" w:color="auto" w:fill="FFFFFF"/>
        </w:rPr>
        <w:t>time of writing (</w:t>
      </w:r>
      <w:r w:rsidR="005E31CA">
        <w:rPr>
          <w:rStyle w:val="normaltextrun"/>
          <w:rFonts w:ascii="Cambria" w:hAnsi="Cambria"/>
          <w:shd w:val="clear" w:color="auto" w:fill="FFFFFF"/>
        </w:rPr>
        <w:t>November</w:t>
      </w:r>
      <w:r w:rsidR="00D129FC">
        <w:rPr>
          <w:rStyle w:val="normaltextrun"/>
          <w:rFonts w:ascii="Cambria" w:hAnsi="Cambria"/>
          <w:shd w:val="clear" w:color="auto" w:fill="FFFFFF"/>
        </w:rPr>
        <w:t xml:space="preserve"> 2018), Northern Ireland has been without </w:t>
      </w:r>
      <w:r w:rsidR="00D631A6">
        <w:rPr>
          <w:rStyle w:val="normaltextrun"/>
          <w:rFonts w:ascii="Cambria" w:hAnsi="Cambria"/>
          <w:shd w:val="clear" w:color="auto" w:fill="FFFFFF"/>
        </w:rPr>
        <w:t xml:space="preserve">a </w:t>
      </w:r>
      <w:r w:rsidR="00D129FC">
        <w:rPr>
          <w:rStyle w:val="normaltextrun"/>
          <w:rFonts w:ascii="Cambria" w:hAnsi="Cambria"/>
          <w:shd w:val="clear" w:color="auto" w:fill="FFFFFF"/>
        </w:rPr>
        <w:t xml:space="preserve">devolved government </w:t>
      </w:r>
      <w:r w:rsidR="00D631A6">
        <w:rPr>
          <w:rStyle w:val="normaltextrun"/>
          <w:rFonts w:ascii="Cambria" w:hAnsi="Cambria"/>
          <w:shd w:val="clear" w:color="auto" w:fill="FFFFFF"/>
        </w:rPr>
        <w:t>since January 2017</w:t>
      </w:r>
      <w:r w:rsidR="00D129FC">
        <w:rPr>
          <w:rStyle w:val="normaltextrun"/>
          <w:rFonts w:ascii="Cambria" w:hAnsi="Cambria"/>
          <w:shd w:val="clear" w:color="auto" w:fill="FFFFFF"/>
        </w:rPr>
        <w:t>.</w:t>
      </w:r>
      <w:r w:rsidR="007726EC" w:rsidRPr="003D66DD">
        <w:rPr>
          <w:rStyle w:val="normaltextrun"/>
          <w:rFonts w:ascii="Cambria" w:hAnsi="Cambria"/>
          <w:shd w:val="clear" w:color="auto" w:fill="FFFFFF"/>
        </w:rPr>
        <w:t xml:space="preserve">  </w:t>
      </w:r>
    </w:p>
    <w:p w14:paraId="0108157E" w14:textId="79B7CBE5" w:rsidR="00A85200" w:rsidRDefault="007726EC" w:rsidP="00FA6F1B">
      <w:pPr>
        <w:spacing w:after="240" w:line="360" w:lineRule="auto"/>
        <w:rPr>
          <w:rStyle w:val="normaltextrun"/>
          <w:rFonts w:ascii="Cambria" w:hAnsi="Cambria"/>
          <w:shd w:val="clear" w:color="auto" w:fill="FFFFFF"/>
        </w:rPr>
      </w:pPr>
      <w:r w:rsidRPr="003D66DD">
        <w:rPr>
          <w:rStyle w:val="normaltextrun"/>
          <w:rFonts w:ascii="Cambria" w:hAnsi="Cambria"/>
          <w:shd w:val="clear" w:color="auto" w:fill="FFFFFF"/>
        </w:rPr>
        <w:lastRenderedPageBreak/>
        <w:t>A</w:t>
      </w:r>
      <w:r w:rsidR="00D129FC">
        <w:rPr>
          <w:rStyle w:val="normaltextrun"/>
          <w:rFonts w:ascii="Cambria" w:hAnsi="Cambria"/>
          <w:shd w:val="clear" w:color="auto" w:fill="FFFFFF"/>
        </w:rPr>
        <w:t xml:space="preserve">fter a shaky start </w:t>
      </w:r>
      <w:r w:rsidR="00FA6F1B">
        <w:rPr>
          <w:rStyle w:val="normaltextrun"/>
          <w:rFonts w:ascii="Cambria" w:hAnsi="Cambria"/>
          <w:shd w:val="clear" w:color="auto" w:fill="FFFFFF"/>
        </w:rPr>
        <w:t>marked by</w:t>
      </w:r>
      <w:r w:rsidR="006F7799" w:rsidRPr="003D66DD">
        <w:rPr>
          <w:rStyle w:val="normaltextrun"/>
          <w:rFonts w:ascii="Cambria" w:hAnsi="Cambria"/>
          <w:shd w:val="clear" w:color="auto" w:fill="FFFFFF"/>
        </w:rPr>
        <w:t xml:space="preserve"> instability centring on peace and security </w:t>
      </w:r>
      <w:r w:rsidR="00D129FC">
        <w:rPr>
          <w:rStyle w:val="normaltextrun"/>
          <w:rFonts w:ascii="Cambria" w:hAnsi="Cambria"/>
          <w:shd w:val="clear" w:color="auto" w:fill="FFFFFF"/>
        </w:rPr>
        <w:t xml:space="preserve">disagreements, </w:t>
      </w:r>
      <w:r w:rsidR="00FA6F1B">
        <w:rPr>
          <w:rStyle w:val="normaltextrun"/>
          <w:rFonts w:ascii="Cambria" w:hAnsi="Cambria"/>
          <w:shd w:val="clear" w:color="auto" w:fill="FFFFFF"/>
        </w:rPr>
        <w:t xml:space="preserve">the settlement was stabilised through the 2006 St Andrews Agreement, and Northern Ireland experienced </w:t>
      </w:r>
      <w:r w:rsidR="00FA6F1B" w:rsidRPr="003D66DD">
        <w:rPr>
          <w:rStyle w:val="normaltextrun"/>
          <w:rFonts w:ascii="Cambria" w:hAnsi="Cambria"/>
          <w:shd w:val="clear" w:color="auto" w:fill="FFFFFF"/>
        </w:rPr>
        <w:t>10 years of uninterrupted power-sharing</w:t>
      </w:r>
      <w:r w:rsidR="00CC245E" w:rsidRPr="003D66DD">
        <w:rPr>
          <w:rStyle w:val="normaltextrun"/>
          <w:rFonts w:ascii="Cambria" w:hAnsi="Cambria"/>
          <w:shd w:val="clear" w:color="auto" w:fill="FFFFFF"/>
        </w:rPr>
        <w:t>.  Recent developments have seen a return to instability and polarisation, with the institutions suspended since January 2017 following a dispute between nationalist and unionist power-sharing partners</w:t>
      </w:r>
      <w:r w:rsidR="009F28FF">
        <w:rPr>
          <w:rStyle w:val="normaltextrun"/>
          <w:rFonts w:ascii="Cambria" w:hAnsi="Cambria"/>
          <w:shd w:val="clear" w:color="auto" w:fill="FFFFFF"/>
        </w:rPr>
        <w:t>, Sinn Fein and the D</w:t>
      </w:r>
      <w:r w:rsidR="00D631A6">
        <w:rPr>
          <w:rStyle w:val="normaltextrun"/>
          <w:rFonts w:ascii="Cambria" w:hAnsi="Cambria"/>
          <w:shd w:val="clear" w:color="auto" w:fill="FFFFFF"/>
        </w:rPr>
        <w:t xml:space="preserve">emocratic </w:t>
      </w:r>
      <w:r w:rsidR="009F28FF">
        <w:rPr>
          <w:rStyle w:val="normaltextrun"/>
          <w:rFonts w:ascii="Cambria" w:hAnsi="Cambria"/>
          <w:shd w:val="clear" w:color="auto" w:fill="FFFFFF"/>
        </w:rPr>
        <w:t>U</w:t>
      </w:r>
      <w:r w:rsidR="00D631A6">
        <w:rPr>
          <w:rStyle w:val="normaltextrun"/>
          <w:rFonts w:ascii="Cambria" w:hAnsi="Cambria"/>
          <w:shd w:val="clear" w:color="auto" w:fill="FFFFFF"/>
        </w:rPr>
        <w:t xml:space="preserve">nionist </w:t>
      </w:r>
      <w:r w:rsidR="009F28FF">
        <w:rPr>
          <w:rStyle w:val="normaltextrun"/>
          <w:rFonts w:ascii="Cambria" w:hAnsi="Cambria"/>
          <w:shd w:val="clear" w:color="auto" w:fill="FFFFFF"/>
        </w:rPr>
        <w:t>P</w:t>
      </w:r>
      <w:r w:rsidR="00D631A6">
        <w:rPr>
          <w:rStyle w:val="normaltextrun"/>
          <w:rFonts w:ascii="Cambria" w:hAnsi="Cambria"/>
          <w:shd w:val="clear" w:color="auto" w:fill="FFFFFF"/>
        </w:rPr>
        <w:t>arty</w:t>
      </w:r>
      <w:r w:rsidR="005F05A1">
        <w:rPr>
          <w:rStyle w:val="normaltextrun"/>
          <w:rFonts w:ascii="Cambria" w:hAnsi="Cambria"/>
          <w:shd w:val="clear" w:color="auto" w:fill="FFFFFF"/>
        </w:rPr>
        <w:t xml:space="preserve"> (DUP)</w:t>
      </w:r>
      <w:r w:rsidR="00D631A6">
        <w:rPr>
          <w:rStyle w:val="normaltextrun"/>
          <w:rFonts w:ascii="Cambria" w:hAnsi="Cambria"/>
          <w:shd w:val="clear" w:color="auto" w:fill="FFFFFF"/>
        </w:rPr>
        <w:t>,</w:t>
      </w:r>
      <w:r w:rsidR="00CC245E" w:rsidRPr="003D66DD">
        <w:rPr>
          <w:rStyle w:val="normaltextrun"/>
          <w:rFonts w:ascii="Cambria" w:hAnsi="Cambria"/>
          <w:shd w:val="clear" w:color="auto" w:fill="FFFFFF"/>
        </w:rPr>
        <w:t xml:space="preserve"> </w:t>
      </w:r>
      <w:r w:rsidR="007B5E7F">
        <w:rPr>
          <w:rStyle w:val="normaltextrun"/>
          <w:rFonts w:ascii="Cambria" w:hAnsi="Cambria"/>
          <w:shd w:val="clear" w:color="auto" w:fill="FFFFFF"/>
        </w:rPr>
        <w:t xml:space="preserve">ostensibly </w:t>
      </w:r>
      <w:r w:rsidR="00CC245E" w:rsidRPr="003D66DD">
        <w:rPr>
          <w:rStyle w:val="normaltextrun"/>
          <w:rFonts w:ascii="Cambria" w:hAnsi="Cambria"/>
          <w:shd w:val="clear" w:color="auto" w:fill="FFFFFF"/>
        </w:rPr>
        <w:t xml:space="preserve">over </w:t>
      </w:r>
      <w:r w:rsidR="007B5E7F">
        <w:rPr>
          <w:rStyle w:val="normaltextrun"/>
          <w:rFonts w:ascii="Cambria" w:hAnsi="Cambria"/>
          <w:shd w:val="clear" w:color="auto" w:fill="FFFFFF"/>
        </w:rPr>
        <w:t xml:space="preserve">a scandal relating </w:t>
      </w:r>
      <w:r w:rsidR="00D631A6">
        <w:rPr>
          <w:rStyle w:val="normaltextrun"/>
          <w:rFonts w:ascii="Cambria" w:hAnsi="Cambria"/>
          <w:shd w:val="clear" w:color="auto" w:fill="FFFFFF"/>
        </w:rPr>
        <w:t xml:space="preserve">to </w:t>
      </w:r>
      <w:r w:rsidR="007B5E7F">
        <w:rPr>
          <w:rStyle w:val="normaltextrun"/>
          <w:rFonts w:ascii="Cambria" w:hAnsi="Cambria"/>
          <w:shd w:val="clear" w:color="auto" w:fill="FFFFFF"/>
        </w:rPr>
        <w:t>the operation of a</w:t>
      </w:r>
      <w:r w:rsidR="00BF0CA8">
        <w:rPr>
          <w:rStyle w:val="normaltextrun"/>
          <w:rFonts w:ascii="Cambria" w:hAnsi="Cambria"/>
          <w:shd w:val="clear" w:color="auto" w:fill="FFFFFF"/>
        </w:rPr>
        <w:t xml:space="preserve"> renewable heating </w:t>
      </w:r>
      <w:r w:rsidR="007B5E7F">
        <w:rPr>
          <w:rStyle w:val="normaltextrun"/>
          <w:rFonts w:ascii="Cambria" w:hAnsi="Cambria"/>
          <w:shd w:val="clear" w:color="auto" w:fill="FFFFFF"/>
        </w:rPr>
        <w:t>scheme</w:t>
      </w:r>
      <w:r w:rsidR="001C59E5">
        <w:rPr>
          <w:rStyle w:val="normaltextrun"/>
          <w:rFonts w:ascii="Cambria" w:hAnsi="Cambria"/>
          <w:shd w:val="clear" w:color="auto" w:fill="FFFFFF"/>
        </w:rPr>
        <w:t xml:space="preserve"> in which the </w:t>
      </w:r>
      <w:r w:rsidR="009F28FF">
        <w:rPr>
          <w:rStyle w:val="normaltextrun"/>
          <w:rFonts w:ascii="Cambria" w:hAnsi="Cambria"/>
          <w:shd w:val="clear" w:color="auto" w:fill="FFFFFF"/>
        </w:rPr>
        <w:t xml:space="preserve">latter </w:t>
      </w:r>
      <w:r w:rsidR="001C59E5">
        <w:rPr>
          <w:rStyle w:val="normaltextrun"/>
          <w:rFonts w:ascii="Cambria" w:hAnsi="Cambria"/>
          <w:shd w:val="clear" w:color="auto" w:fill="FFFFFF"/>
        </w:rPr>
        <w:t>was engulfed</w:t>
      </w:r>
      <w:r w:rsidR="009F28FF">
        <w:rPr>
          <w:rStyle w:val="normaltextrun"/>
          <w:rFonts w:ascii="Cambria" w:hAnsi="Cambria"/>
          <w:shd w:val="clear" w:color="auto" w:fill="FFFFFF"/>
        </w:rPr>
        <w:t xml:space="preserve">. The fallout was </w:t>
      </w:r>
      <w:r w:rsidR="00B3069D">
        <w:rPr>
          <w:rStyle w:val="normaltextrun"/>
          <w:rFonts w:ascii="Cambria" w:hAnsi="Cambria"/>
          <w:shd w:val="clear" w:color="auto" w:fill="FFFFFF"/>
        </w:rPr>
        <w:t xml:space="preserve">further </w:t>
      </w:r>
      <w:r w:rsidR="007B5E7F">
        <w:rPr>
          <w:rStyle w:val="normaltextrun"/>
          <w:rFonts w:ascii="Cambria" w:hAnsi="Cambria"/>
          <w:shd w:val="clear" w:color="auto" w:fill="FFFFFF"/>
        </w:rPr>
        <w:t xml:space="preserve">underpinned by </w:t>
      </w:r>
      <w:r w:rsidR="00CC245E" w:rsidRPr="003D66DD">
        <w:rPr>
          <w:rStyle w:val="normaltextrun"/>
          <w:rFonts w:ascii="Cambria" w:hAnsi="Cambria"/>
          <w:shd w:val="clear" w:color="auto" w:fill="FFFFFF"/>
        </w:rPr>
        <w:t>unresolved issues relating to identity, legacies of the conflict</w:t>
      </w:r>
      <w:r w:rsidR="00D145B9">
        <w:rPr>
          <w:rStyle w:val="normaltextrun"/>
          <w:rFonts w:ascii="Cambria" w:hAnsi="Cambria"/>
          <w:shd w:val="clear" w:color="auto" w:fill="FFFFFF"/>
        </w:rPr>
        <w:t>,</w:t>
      </w:r>
      <w:r w:rsidR="00CC245E" w:rsidRPr="003D66DD">
        <w:rPr>
          <w:rStyle w:val="normaltextrun"/>
          <w:rFonts w:ascii="Cambria" w:hAnsi="Cambria"/>
          <w:shd w:val="clear" w:color="auto" w:fill="FFFFFF"/>
        </w:rPr>
        <w:t xml:space="preserve"> and broader human rights and equality.  </w:t>
      </w:r>
    </w:p>
    <w:p w14:paraId="5F75A129" w14:textId="6C74A15A" w:rsidR="00FA6F1B" w:rsidRPr="00FA6F1B" w:rsidRDefault="00FA6F1B" w:rsidP="00FA6F1B">
      <w:pPr>
        <w:spacing w:after="240" w:line="360" w:lineRule="auto"/>
        <w:rPr>
          <w:rStyle w:val="normaltextrun"/>
          <w:rFonts w:ascii="Cambria" w:hAnsi="Cambria"/>
          <w:shd w:val="clear" w:color="auto" w:fill="FFFFFF"/>
        </w:rPr>
      </w:pPr>
      <w:r>
        <w:rPr>
          <w:rStyle w:val="normaltextrun"/>
          <w:rFonts w:ascii="Cambria" w:hAnsi="Cambria"/>
          <w:shd w:val="clear" w:color="auto" w:fill="FFFFFF"/>
        </w:rPr>
        <w:t xml:space="preserve">In this latest crisis, the UK government has been reluctant to impose Direct Rule from Westminster and has instead allowed </w:t>
      </w:r>
      <w:r w:rsidR="007B5E7F">
        <w:rPr>
          <w:rStyle w:val="normaltextrun"/>
          <w:rFonts w:ascii="Cambria" w:hAnsi="Cambria"/>
          <w:shd w:val="clear" w:color="auto" w:fill="FFFFFF"/>
        </w:rPr>
        <w:t xml:space="preserve">the governance of Northern Ireland to continue in a state of ambiguity, with civil servants running public services without a functioning </w:t>
      </w:r>
      <w:r w:rsidR="008850F7">
        <w:rPr>
          <w:rStyle w:val="normaltextrun"/>
          <w:rFonts w:ascii="Cambria" w:hAnsi="Cambria"/>
          <w:shd w:val="clear" w:color="auto" w:fill="FFFFFF"/>
        </w:rPr>
        <w:t xml:space="preserve">political </w:t>
      </w:r>
      <w:r w:rsidR="007B5E7F">
        <w:rPr>
          <w:rStyle w:val="normaltextrun"/>
          <w:rFonts w:ascii="Cambria" w:hAnsi="Cambria"/>
          <w:shd w:val="clear" w:color="auto" w:fill="FFFFFF"/>
        </w:rPr>
        <w:t xml:space="preserve">executive or oversight from Westminster, except in limited instances. </w:t>
      </w:r>
      <w:r>
        <w:rPr>
          <w:rStyle w:val="normaltextrun"/>
          <w:rFonts w:ascii="Cambria" w:hAnsi="Cambria"/>
          <w:shd w:val="clear" w:color="auto" w:fill="FFFFFF"/>
        </w:rPr>
        <w:t xml:space="preserve"> </w:t>
      </w:r>
    </w:p>
    <w:p w14:paraId="196B9052" w14:textId="08A35488" w:rsidR="00CC245E" w:rsidRPr="003D66DD" w:rsidRDefault="00CC245E" w:rsidP="005B60F1">
      <w:pPr>
        <w:spacing w:after="240" w:line="360" w:lineRule="auto"/>
        <w:rPr>
          <w:rStyle w:val="normaltextrun"/>
          <w:rFonts w:ascii="Cambria" w:hAnsi="Cambria"/>
          <w:shd w:val="clear" w:color="auto" w:fill="FFFFFF"/>
        </w:rPr>
      </w:pPr>
      <w:r w:rsidRPr="003D66DD">
        <w:rPr>
          <w:rStyle w:val="normaltextrun"/>
          <w:rFonts w:ascii="Cambria" w:hAnsi="Cambria"/>
          <w:shd w:val="clear" w:color="auto" w:fill="FFFFFF"/>
        </w:rPr>
        <w:t xml:space="preserve">Nationalist and unionist parties predominate </w:t>
      </w:r>
      <w:r w:rsidR="00D631A6">
        <w:rPr>
          <w:rStyle w:val="normaltextrun"/>
          <w:rFonts w:ascii="Cambria" w:hAnsi="Cambria"/>
          <w:shd w:val="clear" w:color="auto" w:fill="FFFFFF"/>
        </w:rPr>
        <w:t xml:space="preserve">in Northern Ireland </w:t>
      </w:r>
      <w:r w:rsidRPr="003D66DD">
        <w:rPr>
          <w:rStyle w:val="normaltextrun"/>
          <w:rFonts w:ascii="Cambria" w:hAnsi="Cambria"/>
          <w:shd w:val="clear" w:color="auto" w:fill="FFFFFF"/>
        </w:rPr>
        <w:t xml:space="preserve">and the last ten years have seen a narrowing of the </w:t>
      </w:r>
      <w:r w:rsidR="008850F7">
        <w:rPr>
          <w:rStyle w:val="normaltextrun"/>
          <w:rFonts w:ascii="Cambria" w:hAnsi="Cambria"/>
          <w:shd w:val="clear" w:color="auto" w:fill="FFFFFF"/>
        </w:rPr>
        <w:t xml:space="preserve">scope and vision of </w:t>
      </w:r>
      <w:r w:rsidR="00EF230E">
        <w:rPr>
          <w:rStyle w:val="normaltextrun"/>
          <w:rFonts w:ascii="Cambria" w:hAnsi="Cambria"/>
          <w:shd w:val="clear" w:color="auto" w:fill="FFFFFF"/>
        </w:rPr>
        <w:t xml:space="preserve">the </w:t>
      </w:r>
      <w:r w:rsidRPr="003D66DD">
        <w:rPr>
          <w:rStyle w:val="normaltextrun"/>
          <w:rFonts w:ascii="Cambria" w:hAnsi="Cambria"/>
          <w:shd w:val="clear" w:color="auto" w:fill="FFFFFF"/>
        </w:rPr>
        <w:t xml:space="preserve">peace process, with more recent agreements focusing on the two largest parties and </w:t>
      </w:r>
      <w:r w:rsidR="00C57A64" w:rsidRPr="003D66DD">
        <w:rPr>
          <w:rStyle w:val="normaltextrun"/>
          <w:rFonts w:ascii="Cambria" w:hAnsi="Cambria"/>
          <w:shd w:val="clear" w:color="auto" w:fill="FFFFFF"/>
        </w:rPr>
        <w:t xml:space="preserve">showing less regard </w:t>
      </w:r>
      <w:r w:rsidR="008850F7">
        <w:rPr>
          <w:rStyle w:val="normaltextrun"/>
          <w:rFonts w:ascii="Cambria" w:hAnsi="Cambria"/>
          <w:shd w:val="clear" w:color="auto" w:fill="FFFFFF"/>
        </w:rPr>
        <w:t xml:space="preserve">for inclusion, or </w:t>
      </w:r>
      <w:r w:rsidR="00C57A64" w:rsidRPr="003D66DD">
        <w:rPr>
          <w:rStyle w:val="normaltextrun"/>
          <w:rFonts w:ascii="Cambria" w:hAnsi="Cambria"/>
          <w:shd w:val="clear" w:color="auto" w:fill="FFFFFF"/>
        </w:rPr>
        <w:t>broader human rights and equality</w:t>
      </w:r>
      <w:r w:rsidR="008850F7">
        <w:rPr>
          <w:rStyle w:val="normaltextrun"/>
          <w:rFonts w:ascii="Cambria" w:hAnsi="Cambria"/>
          <w:shd w:val="clear" w:color="auto" w:fill="FFFFFF"/>
        </w:rPr>
        <w:t xml:space="preserve"> agendas</w:t>
      </w:r>
      <w:r w:rsidR="00C57A64" w:rsidRPr="003D66DD">
        <w:rPr>
          <w:rStyle w:val="normaltextrun"/>
          <w:rFonts w:ascii="Cambria" w:hAnsi="Cambria"/>
          <w:shd w:val="clear" w:color="auto" w:fill="FFFFFF"/>
        </w:rPr>
        <w:t>, including gender</w:t>
      </w:r>
      <w:r w:rsidR="0087414C" w:rsidRPr="003D66DD">
        <w:rPr>
          <w:rStyle w:val="normaltextrun"/>
          <w:rFonts w:ascii="Cambria" w:hAnsi="Cambria"/>
          <w:shd w:val="clear" w:color="auto" w:fill="FFFFFF"/>
        </w:rPr>
        <w:t xml:space="preserve"> </w:t>
      </w:r>
      <w:r w:rsidR="008850F7">
        <w:rPr>
          <w:rStyle w:val="normaltextrun"/>
          <w:rFonts w:ascii="Cambria" w:hAnsi="Cambria"/>
          <w:shd w:val="clear" w:color="auto" w:fill="FFFFFF"/>
        </w:rPr>
        <w:t xml:space="preserve">equality </w:t>
      </w:r>
      <w:r w:rsidR="0087414C" w:rsidRPr="003D66DD">
        <w:rPr>
          <w:rStyle w:val="normaltextrun"/>
          <w:rFonts w:ascii="Cambria" w:hAnsi="Cambria"/>
          <w:shd w:val="clear" w:color="auto" w:fill="FFFFFF"/>
        </w:rPr>
        <w:t>(Rous</w:t>
      </w:r>
      <w:r w:rsidR="001E3411" w:rsidRPr="003D66DD">
        <w:rPr>
          <w:rStyle w:val="normaltextrun"/>
          <w:rFonts w:ascii="Cambria" w:hAnsi="Cambria"/>
          <w:shd w:val="clear" w:color="auto" w:fill="FFFFFF"/>
        </w:rPr>
        <w:t xml:space="preserve">e, 2016).  Furthermore, </w:t>
      </w:r>
      <w:r w:rsidR="002A3EB5" w:rsidRPr="003D66DD">
        <w:rPr>
          <w:rStyle w:val="normaltextrun"/>
          <w:rFonts w:ascii="Cambria" w:hAnsi="Cambria"/>
          <w:shd w:val="clear" w:color="auto" w:fill="FFFFFF"/>
        </w:rPr>
        <w:t xml:space="preserve">several equalities and human rights issues have become </w:t>
      </w:r>
      <w:r w:rsidR="001E3411" w:rsidRPr="003D66DD">
        <w:rPr>
          <w:rStyle w:val="normaltextrun"/>
          <w:rFonts w:ascii="Cambria" w:hAnsi="Cambria"/>
          <w:shd w:val="clear" w:color="auto" w:fill="FFFFFF"/>
        </w:rPr>
        <w:t xml:space="preserve">subject to ethnic contestation and </w:t>
      </w:r>
      <w:r w:rsidR="0053607B">
        <w:rPr>
          <w:rStyle w:val="normaltextrun"/>
          <w:rFonts w:ascii="Cambria" w:hAnsi="Cambria"/>
          <w:shd w:val="clear" w:color="auto" w:fill="FFFFFF"/>
        </w:rPr>
        <w:t xml:space="preserve">have been reframed </w:t>
      </w:r>
      <w:r w:rsidR="001E3411" w:rsidRPr="003D66DD">
        <w:rPr>
          <w:rStyle w:val="normaltextrun"/>
          <w:rFonts w:ascii="Cambria" w:hAnsi="Cambria"/>
          <w:shd w:val="clear" w:color="auto" w:fill="FFFFFF"/>
        </w:rPr>
        <w:t>by ethno-national parties</w:t>
      </w:r>
      <w:r w:rsidR="002A3EB5" w:rsidRPr="003D66DD">
        <w:rPr>
          <w:rStyle w:val="normaltextrun"/>
          <w:rFonts w:ascii="Cambria" w:hAnsi="Cambria"/>
          <w:shd w:val="clear" w:color="auto" w:fill="FFFFFF"/>
        </w:rPr>
        <w:t xml:space="preserve"> as partisan issues</w:t>
      </w:r>
      <w:r w:rsidR="001E3411" w:rsidRPr="003D66DD">
        <w:rPr>
          <w:rStyle w:val="normaltextrun"/>
          <w:rFonts w:ascii="Cambria" w:hAnsi="Cambria"/>
          <w:shd w:val="clear" w:color="auto" w:fill="FFFFFF"/>
        </w:rPr>
        <w:t>, with matters such as marriage equality becoming enmeshed in ‘orange and green politics’ (Nagle, 2016</w:t>
      </w:r>
      <w:r w:rsidR="0031532B">
        <w:rPr>
          <w:rStyle w:val="normaltextrun"/>
          <w:rFonts w:ascii="Cambria" w:hAnsi="Cambria"/>
          <w:shd w:val="clear" w:color="auto" w:fill="FFFFFF"/>
        </w:rPr>
        <w:t>b</w:t>
      </w:r>
      <w:r w:rsidR="001E3411" w:rsidRPr="003D66DD">
        <w:rPr>
          <w:rStyle w:val="normaltextrun"/>
          <w:rFonts w:ascii="Cambria" w:hAnsi="Cambria"/>
          <w:shd w:val="clear" w:color="auto" w:fill="FFFFFF"/>
        </w:rPr>
        <w:t xml:space="preserve">). </w:t>
      </w:r>
      <w:r w:rsidR="00AD7642">
        <w:rPr>
          <w:rStyle w:val="normaltextrun"/>
          <w:rFonts w:ascii="Cambria" w:hAnsi="Cambria"/>
          <w:shd w:val="clear" w:color="auto" w:fill="FFFFFF"/>
        </w:rPr>
        <w:t xml:space="preserve"> </w:t>
      </w:r>
      <w:r w:rsidR="0053607B">
        <w:rPr>
          <w:rStyle w:val="normaltextrun"/>
          <w:rFonts w:ascii="Cambria" w:hAnsi="Cambria"/>
          <w:shd w:val="clear" w:color="auto" w:fill="FFFFFF"/>
        </w:rPr>
        <w:t xml:space="preserve">The UK government </w:t>
      </w:r>
      <w:r w:rsidR="004D7B08">
        <w:rPr>
          <w:rStyle w:val="normaltextrun"/>
          <w:rFonts w:ascii="Cambria" w:hAnsi="Cambria"/>
          <w:shd w:val="clear" w:color="auto" w:fill="FFFFFF"/>
        </w:rPr>
        <w:t xml:space="preserve">has been unwilling to intervene, insisting such matters are for politicians in </w:t>
      </w:r>
      <w:r w:rsidR="00AD7642">
        <w:rPr>
          <w:rStyle w:val="normaltextrun"/>
          <w:rFonts w:ascii="Cambria" w:hAnsi="Cambria"/>
          <w:shd w:val="clear" w:color="auto" w:fill="FFFFFF"/>
        </w:rPr>
        <w:t xml:space="preserve">the devolved </w:t>
      </w:r>
      <w:r w:rsidR="004D7B08">
        <w:rPr>
          <w:rStyle w:val="normaltextrun"/>
          <w:rFonts w:ascii="Cambria" w:hAnsi="Cambria"/>
          <w:shd w:val="clear" w:color="auto" w:fill="FFFFFF"/>
        </w:rPr>
        <w:t xml:space="preserve">Northern Ireland </w:t>
      </w:r>
      <w:r w:rsidR="00AD7642">
        <w:rPr>
          <w:rStyle w:val="normaltextrun"/>
          <w:rFonts w:ascii="Cambria" w:hAnsi="Cambria"/>
          <w:shd w:val="clear" w:color="auto" w:fill="FFFFFF"/>
        </w:rPr>
        <w:t xml:space="preserve">institutions </w:t>
      </w:r>
      <w:r w:rsidR="004D7B08">
        <w:rPr>
          <w:rStyle w:val="normaltextrun"/>
          <w:rFonts w:ascii="Cambria" w:hAnsi="Cambria"/>
          <w:shd w:val="clear" w:color="auto" w:fill="FFFFFF"/>
        </w:rPr>
        <w:t xml:space="preserve">to decide. </w:t>
      </w:r>
    </w:p>
    <w:p w14:paraId="085BD3AE" w14:textId="5A07EE71" w:rsidR="005B60F1" w:rsidRPr="003D66DD" w:rsidRDefault="00D631A6" w:rsidP="004228D5">
      <w:pPr>
        <w:spacing w:after="240" w:line="360" w:lineRule="auto"/>
        <w:outlineLvl w:val="0"/>
        <w:rPr>
          <w:rStyle w:val="normaltextrun"/>
          <w:rFonts w:ascii="Cambria" w:hAnsi="Cambria"/>
          <w:b/>
          <w:i/>
          <w:shd w:val="clear" w:color="auto" w:fill="FFFFFF"/>
        </w:rPr>
      </w:pPr>
      <w:r>
        <w:rPr>
          <w:rStyle w:val="normaltextrun"/>
          <w:rFonts w:ascii="Cambria" w:hAnsi="Cambria"/>
          <w:b/>
          <w:i/>
          <w:shd w:val="clear" w:color="auto" w:fill="FFFFFF"/>
        </w:rPr>
        <w:t>Gender P</w:t>
      </w:r>
      <w:r w:rsidR="005B60F1" w:rsidRPr="003D66DD">
        <w:rPr>
          <w:rStyle w:val="normaltextrun"/>
          <w:rFonts w:ascii="Cambria" w:hAnsi="Cambria"/>
          <w:b/>
          <w:i/>
          <w:shd w:val="clear" w:color="auto" w:fill="FFFFFF"/>
        </w:rPr>
        <w:t xml:space="preserve">rovisions </w:t>
      </w:r>
    </w:p>
    <w:p w14:paraId="2B878998" w14:textId="5B9AFED1" w:rsidR="0053607B" w:rsidRDefault="00C750D3" w:rsidP="00F842D6">
      <w:pPr>
        <w:pStyle w:val="paragraph"/>
        <w:spacing w:line="360" w:lineRule="auto"/>
        <w:textAlignment w:val="baseline"/>
        <w:rPr>
          <w:rFonts w:ascii="Cambria" w:hAnsi="Cambria"/>
        </w:rPr>
      </w:pPr>
      <w:r w:rsidRPr="003D66DD">
        <w:rPr>
          <w:rFonts w:ascii="Cambria" w:hAnsi="Cambria"/>
        </w:rPr>
        <w:t xml:space="preserve">While the </w:t>
      </w:r>
      <w:r w:rsidR="00D631A6">
        <w:rPr>
          <w:rFonts w:ascii="Cambria" w:hAnsi="Cambria"/>
        </w:rPr>
        <w:t>GFA</w:t>
      </w:r>
      <w:r w:rsidRPr="003D66DD">
        <w:rPr>
          <w:rFonts w:ascii="Cambria" w:hAnsi="Cambria"/>
        </w:rPr>
        <w:t xml:space="preserve"> d</w:t>
      </w:r>
      <w:r w:rsidR="002B5C84" w:rsidRPr="003D66DD">
        <w:rPr>
          <w:rFonts w:ascii="Cambria" w:hAnsi="Cambria"/>
        </w:rPr>
        <w:t>oes</w:t>
      </w:r>
      <w:r w:rsidRPr="003D66DD">
        <w:rPr>
          <w:rFonts w:ascii="Cambria" w:hAnsi="Cambria"/>
        </w:rPr>
        <w:t xml:space="preserve"> not include provision for gender quotas, it does contain a number of human rights and equality provisions, including a commitment to “the right of women to full and equal political participation” and “the advancement of women in public life” (</w:t>
      </w:r>
      <w:r w:rsidR="0031532B">
        <w:rPr>
          <w:rFonts w:ascii="Cambria" w:hAnsi="Cambria"/>
        </w:rPr>
        <w:t>Belfast Agreement, 1998</w:t>
      </w:r>
      <w:r w:rsidRPr="003D66DD">
        <w:rPr>
          <w:rFonts w:ascii="Cambria" w:hAnsi="Cambria"/>
        </w:rPr>
        <w:t>)</w:t>
      </w:r>
      <w:r w:rsidR="00465E5E" w:rsidRPr="003D66DD">
        <w:rPr>
          <w:rFonts w:ascii="Cambria" w:hAnsi="Cambria"/>
        </w:rPr>
        <w:t xml:space="preserve"> granting</w:t>
      </w:r>
      <w:r w:rsidR="009F14E4">
        <w:rPr>
          <w:rFonts w:ascii="Cambria" w:hAnsi="Cambria"/>
        </w:rPr>
        <w:t>,</w:t>
      </w:r>
      <w:r w:rsidR="00465E5E" w:rsidRPr="003D66DD">
        <w:rPr>
          <w:rFonts w:ascii="Cambria" w:hAnsi="Cambria"/>
        </w:rPr>
        <w:t xml:space="preserve"> f</w:t>
      </w:r>
      <w:r w:rsidR="00A13642">
        <w:rPr>
          <w:rFonts w:ascii="Cambria" w:hAnsi="Cambria"/>
        </w:rPr>
        <w:t>or the first time</w:t>
      </w:r>
      <w:r w:rsidR="009F14E4">
        <w:rPr>
          <w:rFonts w:ascii="Cambria" w:hAnsi="Cambria"/>
        </w:rPr>
        <w:t>,</w:t>
      </w:r>
      <w:r w:rsidR="00A13642">
        <w:rPr>
          <w:rFonts w:ascii="Cambria" w:hAnsi="Cambria"/>
        </w:rPr>
        <w:t xml:space="preserve"> recognition of</w:t>
      </w:r>
      <w:r w:rsidR="00465E5E" w:rsidRPr="003D66DD">
        <w:rPr>
          <w:rFonts w:ascii="Cambria" w:hAnsi="Cambria"/>
        </w:rPr>
        <w:t xml:space="preserve"> women’s right to political inclusion in Northern Ireland (</w:t>
      </w:r>
      <w:proofErr w:type="spellStart"/>
      <w:r w:rsidR="00465E5E" w:rsidRPr="003D66DD">
        <w:rPr>
          <w:rFonts w:ascii="Cambria" w:hAnsi="Cambria"/>
        </w:rPr>
        <w:t>Galligan</w:t>
      </w:r>
      <w:proofErr w:type="spellEnd"/>
      <w:r w:rsidR="00465E5E" w:rsidRPr="003D66DD">
        <w:rPr>
          <w:rFonts w:ascii="Cambria" w:hAnsi="Cambria"/>
        </w:rPr>
        <w:t xml:space="preserve">, 2013: </w:t>
      </w:r>
      <w:r w:rsidR="004421D5">
        <w:rPr>
          <w:rFonts w:ascii="Cambria" w:hAnsi="Cambria"/>
        </w:rPr>
        <w:t>4</w:t>
      </w:r>
      <w:r w:rsidR="00465E5E" w:rsidRPr="003D66DD">
        <w:rPr>
          <w:rFonts w:ascii="Cambria" w:hAnsi="Cambria"/>
        </w:rPr>
        <w:t>1</w:t>
      </w:r>
      <w:r w:rsidR="004421D5">
        <w:rPr>
          <w:rFonts w:ascii="Cambria" w:hAnsi="Cambria"/>
        </w:rPr>
        <w:t>3</w:t>
      </w:r>
      <w:r w:rsidR="00465E5E" w:rsidRPr="003D66DD">
        <w:rPr>
          <w:rFonts w:ascii="Cambria" w:hAnsi="Cambria"/>
        </w:rPr>
        <w:t xml:space="preserve">).  The </w:t>
      </w:r>
      <w:r w:rsidR="00A13642">
        <w:rPr>
          <w:rFonts w:ascii="Cambria" w:hAnsi="Cambria"/>
        </w:rPr>
        <w:t>GFA</w:t>
      </w:r>
      <w:r w:rsidR="00465E5E" w:rsidRPr="003D66DD">
        <w:rPr>
          <w:rFonts w:ascii="Cambria" w:hAnsi="Cambria"/>
        </w:rPr>
        <w:t xml:space="preserve"> </w:t>
      </w:r>
      <w:r w:rsidRPr="003D66DD">
        <w:rPr>
          <w:rFonts w:ascii="Cambria" w:hAnsi="Cambria"/>
        </w:rPr>
        <w:t xml:space="preserve">also features a provision for a statutory obligation on public authorities to carry out all their functions with due regard to the need to promote equality of opportunity in relation to “religion </w:t>
      </w:r>
      <w:r w:rsidRPr="003D66DD">
        <w:rPr>
          <w:rFonts w:ascii="Cambria" w:hAnsi="Cambria"/>
        </w:rPr>
        <w:lastRenderedPageBreak/>
        <w:t xml:space="preserve">and political opinion; gender; race; disability; age; marital status; dependants; and sexual orientation.” </w:t>
      </w:r>
      <w:r w:rsidR="00F868BE" w:rsidRPr="003D66DD">
        <w:rPr>
          <w:rFonts w:ascii="Cambria" w:hAnsi="Cambria"/>
        </w:rPr>
        <w:t>(</w:t>
      </w:r>
      <w:r w:rsidR="0031532B">
        <w:rPr>
          <w:rFonts w:ascii="Cambria" w:hAnsi="Cambria"/>
        </w:rPr>
        <w:t>Belfast Agreement, 1998</w:t>
      </w:r>
      <w:r w:rsidR="002B5C84" w:rsidRPr="003D66DD">
        <w:rPr>
          <w:rFonts w:ascii="Cambria" w:hAnsi="Cambria"/>
        </w:rPr>
        <w:t>), a form of equalities mainstreaming.</w:t>
      </w:r>
      <w:r w:rsidR="00C13A1C" w:rsidRPr="003D66DD">
        <w:rPr>
          <w:rFonts w:ascii="Cambria" w:hAnsi="Cambria"/>
        </w:rPr>
        <w:t xml:space="preserve">  Indeed, the NIWC’s influence on the peace talks and the resulting pact has been widely noted, particularly in the area</w:t>
      </w:r>
      <w:r w:rsidR="00041471" w:rsidRPr="003D66DD">
        <w:rPr>
          <w:rFonts w:ascii="Cambria" w:hAnsi="Cambria"/>
        </w:rPr>
        <w:t>s</w:t>
      </w:r>
      <w:r w:rsidR="00C13A1C" w:rsidRPr="003D66DD">
        <w:rPr>
          <w:rFonts w:ascii="Cambria" w:hAnsi="Cambria"/>
        </w:rPr>
        <w:t xml:space="preserve"> of equality and human rights, securing</w:t>
      </w:r>
      <w:r w:rsidR="00465E5E" w:rsidRPr="003D66DD">
        <w:rPr>
          <w:rFonts w:ascii="Cambria" w:hAnsi="Cambria"/>
        </w:rPr>
        <w:t>,</w:t>
      </w:r>
      <w:r w:rsidR="00C13A1C" w:rsidRPr="003D66DD">
        <w:rPr>
          <w:rFonts w:ascii="Cambria" w:hAnsi="Cambria"/>
        </w:rPr>
        <w:t xml:space="preserve"> for example</w:t>
      </w:r>
      <w:r w:rsidR="00465E5E" w:rsidRPr="003D66DD">
        <w:rPr>
          <w:rFonts w:ascii="Cambria" w:hAnsi="Cambria"/>
        </w:rPr>
        <w:t>,</w:t>
      </w:r>
      <w:r w:rsidR="00C13A1C" w:rsidRPr="003D66DD">
        <w:rPr>
          <w:rFonts w:ascii="Cambria" w:hAnsi="Cambria"/>
        </w:rPr>
        <w:t xml:space="preserve"> a commitment to the establishment of a civic forum, </w:t>
      </w:r>
      <w:r w:rsidR="00465E5E" w:rsidRPr="003D66DD">
        <w:rPr>
          <w:rFonts w:ascii="Cambria" w:hAnsi="Cambria"/>
        </w:rPr>
        <w:t xml:space="preserve">to </w:t>
      </w:r>
      <w:r w:rsidR="00C13A1C" w:rsidRPr="003D66DD">
        <w:rPr>
          <w:rFonts w:ascii="Cambria" w:hAnsi="Cambria"/>
        </w:rPr>
        <w:t>a bill of rights and provisions for victims’ rights (</w:t>
      </w:r>
      <w:proofErr w:type="spellStart"/>
      <w:r w:rsidR="00C13A1C" w:rsidRPr="003D66DD">
        <w:rPr>
          <w:rFonts w:ascii="Cambria" w:hAnsi="Cambria"/>
        </w:rPr>
        <w:t>Fearon</w:t>
      </w:r>
      <w:proofErr w:type="spellEnd"/>
      <w:r w:rsidR="00C13A1C" w:rsidRPr="003D66DD">
        <w:rPr>
          <w:rFonts w:ascii="Cambria" w:hAnsi="Cambria"/>
        </w:rPr>
        <w:t xml:space="preserve">, 1999; </w:t>
      </w:r>
      <w:proofErr w:type="spellStart"/>
      <w:r w:rsidR="00C13A1C" w:rsidRPr="003D66DD">
        <w:rPr>
          <w:rFonts w:ascii="Cambria" w:hAnsi="Cambria"/>
        </w:rPr>
        <w:t>Waylen</w:t>
      </w:r>
      <w:proofErr w:type="spellEnd"/>
      <w:r w:rsidR="00C13A1C" w:rsidRPr="003D66DD">
        <w:rPr>
          <w:rFonts w:ascii="Cambria" w:hAnsi="Cambria"/>
        </w:rPr>
        <w:t xml:space="preserve">, 2014).  </w:t>
      </w:r>
    </w:p>
    <w:p w14:paraId="6FADEAB2" w14:textId="4B671661" w:rsidR="004D7B08" w:rsidRPr="005740FC" w:rsidRDefault="005740FC" w:rsidP="005740FC">
      <w:pPr>
        <w:pStyle w:val="paragraph"/>
        <w:spacing w:line="360" w:lineRule="auto"/>
        <w:textAlignment w:val="baseline"/>
        <w:rPr>
          <w:rFonts w:ascii="Cambria" w:hAnsi="Cambria"/>
        </w:rPr>
      </w:pPr>
      <w:r>
        <w:rPr>
          <w:rFonts w:ascii="Cambria" w:hAnsi="Cambria"/>
        </w:rPr>
        <w:t>As a constituent</w:t>
      </w:r>
      <w:r w:rsidR="0053607B">
        <w:rPr>
          <w:rFonts w:ascii="Cambria" w:hAnsi="Cambria"/>
        </w:rPr>
        <w:t xml:space="preserve"> part of the United Kingdom of Great Britain and</w:t>
      </w:r>
      <w:r w:rsidR="00EF230E">
        <w:rPr>
          <w:rFonts w:ascii="Cambria" w:hAnsi="Cambria"/>
        </w:rPr>
        <w:t xml:space="preserve"> Northern Ireland, CEDAW applies</w:t>
      </w:r>
      <w:r w:rsidR="0053607B">
        <w:rPr>
          <w:rFonts w:ascii="Cambria" w:hAnsi="Cambria"/>
        </w:rPr>
        <w:t xml:space="preserve"> in the jurisdiction.</w:t>
      </w:r>
      <w:r w:rsidR="00C750D3" w:rsidRPr="003D66DD">
        <w:rPr>
          <w:rFonts w:ascii="Cambria" w:hAnsi="Cambria"/>
        </w:rPr>
        <w:t xml:space="preserve"> </w:t>
      </w:r>
      <w:r>
        <w:rPr>
          <w:rFonts w:ascii="Cambria" w:hAnsi="Cambria"/>
        </w:rPr>
        <w:t xml:space="preserve"> In terms of UNSCR 1325, </w:t>
      </w:r>
      <w:r>
        <w:rPr>
          <w:rFonts w:ascii="Cambria" w:hAnsi="Cambria"/>
          <w:color w:val="000000" w:themeColor="text1"/>
        </w:rPr>
        <w:t>w</w:t>
      </w:r>
      <w:r w:rsidR="004D7B08" w:rsidRPr="00424FC8">
        <w:rPr>
          <w:rFonts w:ascii="Cambria" w:hAnsi="Cambria"/>
          <w:color w:val="000000" w:themeColor="text1"/>
        </w:rPr>
        <w:t>hilst the U</w:t>
      </w:r>
      <w:r>
        <w:rPr>
          <w:rFonts w:ascii="Cambria" w:hAnsi="Cambria"/>
          <w:color w:val="000000" w:themeColor="text1"/>
        </w:rPr>
        <w:t>K government has developed three consecutive</w:t>
      </w:r>
      <w:r w:rsidR="004D7B08" w:rsidRPr="00424FC8">
        <w:rPr>
          <w:rFonts w:ascii="Cambria" w:hAnsi="Cambria"/>
          <w:color w:val="000000" w:themeColor="text1"/>
        </w:rPr>
        <w:t xml:space="preserve"> National Action Plan</w:t>
      </w:r>
      <w:r>
        <w:rPr>
          <w:rFonts w:ascii="Cambria" w:hAnsi="Cambria"/>
          <w:color w:val="000000" w:themeColor="text1"/>
        </w:rPr>
        <w:t>s</w:t>
      </w:r>
      <w:r w:rsidR="004D7B08" w:rsidRPr="00424FC8">
        <w:rPr>
          <w:rFonts w:ascii="Cambria" w:hAnsi="Cambria"/>
          <w:color w:val="000000" w:themeColor="text1"/>
        </w:rPr>
        <w:t xml:space="preserve"> for implementing </w:t>
      </w:r>
      <w:r>
        <w:rPr>
          <w:rFonts w:ascii="Cambria" w:hAnsi="Cambria"/>
          <w:color w:val="000000" w:themeColor="text1"/>
        </w:rPr>
        <w:t>the resolution</w:t>
      </w:r>
      <w:r w:rsidR="00AD7642" w:rsidRPr="00424FC8">
        <w:rPr>
          <w:rFonts w:ascii="Cambria" w:hAnsi="Cambria"/>
          <w:color w:val="000000" w:themeColor="text1"/>
        </w:rPr>
        <w:t>,</w:t>
      </w:r>
      <w:r w:rsidR="004D7B08" w:rsidRPr="00424FC8">
        <w:rPr>
          <w:rFonts w:ascii="Cambria" w:hAnsi="Cambria"/>
          <w:color w:val="000000" w:themeColor="text1"/>
        </w:rPr>
        <w:t xml:space="preserve"> </w:t>
      </w:r>
      <w:r>
        <w:rPr>
          <w:rFonts w:ascii="Cambria" w:hAnsi="Cambria"/>
          <w:color w:val="000000" w:themeColor="text1"/>
        </w:rPr>
        <w:t>these relate</w:t>
      </w:r>
      <w:r w:rsidR="001E56AC">
        <w:rPr>
          <w:rFonts w:ascii="Cambria" w:hAnsi="Cambria"/>
          <w:color w:val="000000" w:themeColor="text1"/>
        </w:rPr>
        <w:t>,</w:t>
      </w:r>
      <w:r>
        <w:rPr>
          <w:rFonts w:ascii="Cambria" w:hAnsi="Cambria"/>
          <w:color w:val="000000" w:themeColor="text1"/>
        </w:rPr>
        <w:t xml:space="preserve"> exclusively</w:t>
      </w:r>
      <w:r w:rsidR="001E56AC">
        <w:rPr>
          <w:rFonts w:ascii="Cambria" w:hAnsi="Cambria"/>
          <w:color w:val="000000" w:themeColor="text1"/>
        </w:rPr>
        <w:t>,</w:t>
      </w:r>
      <w:r w:rsidR="001A2783" w:rsidRPr="00424FC8">
        <w:rPr>
          <w:rFonts w:ascii="Cambria" w:hAnsi="Cambria"/>
          <w:color w:val="000000" w:themeColor="text1"/>
        </w:rPr>
        <w:t xml:space="preserve"> to foreign and international development aid policy. The UK government </w:t>
      </w:r>
      <w:r w:rsidR="004D7B08" w:rsidRPr="00424FC8">
        <w:rPr>
          <w:rFonts w:ascii="Cambria" w:hAnsi="Cambria"/>
          <w:color w:val="000000" w:themeColor="text1"/>
        </w:rPr>
        <w:t xml:space="preserve">does not </w:t>
      </w:r>
      <w:r w:rsidR="001A2783" w:rsidRPr="00424FC8">
        <w:rPr>
          <w:rFonts w:ascii="Cambria" w:hAnsi="Cambria"/>
          <w:color w:val="000000" w:themeColor="text1"/>
        </w:rPr>
        <w:t xml:space="preserve">accept that Northern Ireland is a post-conflict country </w:t>
      </w:r>
      <w:r w:rsidR="00AD7642" w:rsidRPr="00424FC8">
        <w:rPr>
          <w:rFonts w:ascii="Cambria" w:hAnsi="Cambria"/>
          <w:color w:val="000000" w:themeColor="text1"/>
        </w:rPr>
        <w:t xml:space="preserve">under international legal definitions </w:t>
      </w:r>
      <w:r w:rsidR="001A2783" w:rsidRPr="00424FC8">
        <w:rPr>
          <w:rFonts w:ascii="Cambria" w:hAnsi="Cambria"/>
          <w:color w:val="000000" w:themeColor="text1"/>
        </w:rPr>
        <w:t>and</w:t>
      </w:r>
      <w:r w:rsidR="00AD7642" w:rsidRPr="00424FC8">
        <w:rPr>
          <w:rFonts w:ascii="Cambria" w:hAnsi="Cambria"/>
          <w:color w:val="000000" w:themeColor="text1"/>
        </w:rPr>
        <w:t>,</w:t>
      </w:r>
      <w:r w:rsidR="001A2783" w:rsidRPr="00424FC8">
        <w:rPr>
          <w:rFonts w:ascii="Cambria" w:hAnsi="Cambria"/>
          <w:color w:val="000000" w:themeColor="text1"/>
        </w:rPr>
        <w:t xml:space="preserve"> </w:t>
      </w:r>
      <w:r w:rsidR="00AD7642" w:rsidRPr="00424FC8">
        <w:rPr>
          <w:rFonts w:ascii="Cambria" w:hAnsi="Cambria"/>
          <w:color w:val="000000" w:themeColor="text1"/>
        </w:rPr>
        <w:t xml:space="preserve">therefore, </w:t>
      </w:r>
      <w:r w:rsidR="001A2783" w:rsidRPr="00424FC8">
        <w:rPr>
          <w:rFonts w:ascii="Cambria" w:hAnsi="Cambria"/>
          <w:color w:val="000000" w:themeColor="text1"/>
        </w:rPr>
        <w:t xml:space="preserve">it has deemed </w:t>
      </w:r>
      <w:r w:rsidR="001A2783" w:rsidRPr="00424FC8">
        <w:rPr>
          <w:rFonts w:ascii="Cambria" w:hAnsi="Cambria" w:cs="Lucida Grande"/>
          <w:color w:val="000000" w:themeColor="text1"/>
          <w:shd w:val="clear" w:color="auto" w:fill="FFFFFF"/>
          <w:lang w:val="en-US"/>
        </w:rPr>
        <w:t>UNSCR 1325 on Women, Peace and Security not applicable to Northern Ireland</w:t>
      </w:r>
      <w:r w:rsidR="00424FC8" w:rsidRPr="00424FC8">
        <w:rPr>
          <w:rFonts w:ascii="Cambria" w:hAnsi="Cambria" w:cs="Lucida Grande"/>
          <w:color w:val="000000" w:themeColor="text1"/>
          <w:shd w:val="clear" w:color="auto" w:fill="FFFFFF"/>
          <w:lang w:val="en-US"/>
        </w:rPr>
        <w:t xml:space="preserve"> (OHCHR 2013</w:t>
      </w:r>
      <w:r w:rsidR="005D16E0">
        <w:rPr>
          <w:rFonts w:ascii="Cambria" w:hAnsi="Cambria" w:cs="Lucida Grande"/>
          <w:color w:val="000000" w:themeColor="text1"/>
          <w:shd w:val="clear" w:color="auto" w:fill="FFFFFF"/>
          <w:lang w:val="en-US"/>
        </w:rPr>
        <w:t>; Law and Grey 2014; WIL</w:t>
      </w:r>
      <w:r w:rsidR="00EC5A1B">
        <w:rPr>
          <w:rFonts w:ascii="Cambria" w:hAnsi="Cambria" w:cs="Lucida Grande"/>
          <w:color w:val="000000" w:themeColor="text1"/>
          <w:shd w:val="clear" w:color="auto" w:fill="FFFFFF"/>
          <w:lang w:val="en-US"/>
        </w:rPr>
        <w:t>P</w:t>
      </w:r>
      <w:r w:rsidR="005D16E0">
        <w:rPr>
          <w:rFonts w:ascii="Cambria" w:hAnsi="Cambria" w:cs="Lucida Grande"/>
          <w:color w:val="000000" w:themeColor="text1"/>
          <w:shd w:val="clear" w:color="auto" w:fill="FFFFFF"/>
          <w:lang w:val="en-US"/>
        </w:rPr>
        <w:t>F 2013</w:t>
      </w:r>
      <w:r w:rsidR="00EC5A1B">
        <w:rPr>
          <w:rFonts w:ascii="Cambria" w:hAnsi="Cambria" w:cs="Lucida Grande"/>
          <w:color w:val="000000" w:themeColor="text1"/>
          <w:shd w:val="clear" w:color="auto" w:fill="FFFFFF"/>
          <w:lang w:val="en-US"/>
        </w:rPr>
        <w:t>a</w:t>
      </w:r>
      <w:r w:rsidR="00424FC8" w:rsidRPr="00424FC8">
        <w:rPr>
          <w:rFonts w:ascii="Cambria" w:hAnsi="Cambria" w:cs="Lucida Grande"/>
          <w:color w:val="000000" w:themeColor="text1"/>
          <w:shd w:val="clear" w:color="auto" w:fill="FFFFFF"/>
          <w:lang w:val="en-US"/>
        </w:rPr>
        <w:t>)</w:t>
      </w:r>
      <w:r w:rsidR="00AD7642" w:rsidRPr="00424FC8">
        <w:rPr>
          <w:rFonts w:ascii="Cambria" w:hAnsi="Cambria" w:cs="Lucida Grande"/>
          <w:color w:val="000000" w:themeColor="text1"/>
          <w:shd w:val="clear" w:color="auto" w:fill="FFFFFF"/>
          <w:lang w:val="en-US"/>
        </w:rPr>
        <w:t>.</w:t>
      </w:r>
    </w:p>
    <w:p w14:paraId="794ADC1B" w14:textId="77777777" w:rsidR="001A2783" w:rsidRPr="001A2783" w:rsidRDefault="001A2783" w:rsidP="001A2783">
      <w:pPr>
        <w:rPr>
          <w:rFonts w:ascii="Lucida Grande" w:eastAsia="Times New Roman" w:hAnsi="Lucida Grande" w:cs="Lucida Grande"/>
          <w:color w:val="202323"/>
          <w:sz w:val="21"/>
          <w:szCs w:val="21"/>
          <w:shd w:val="clear" w:color="auto" w:fill="FFFFFF"/>
          <w:lang w:val="en-US"/>
        </w:rPr>
      </w:pPr>
    </w:p>
    <w:p w14:paraId="38C49398" w14:textId="3C891D45" w:rsidR="00D66E0C" w:rsidRPr="003D66DD" w:rsidRDefault="00A13642" w:rsidP="004228D5">
      <w:pPr>
        <w:spacing w:after="240" w:line="360" w:lineRule="auto"/>
        <w:outlineLvl w:val="0"/>
        <w:rPr>
          <w:rStyle w:val="normaltextrun"/>
          <w:rFonts w:ascii="Cambria" w:hAnsi="Cambria"/>
          <w:b/>
          <w:i/>
          <w:shd w:val="clear" w:color="auto" w:fill="FFFFFF"/>
        </w:rPr>
      </w:pPr>
      <w:r>
        <w:rPr>
          <w:rStyle w:val="normaltextrun"/>
          <w:rFonts w:ascii="Cambria" w:hAnsi="Cambria"/>
          <w:b/>
          <w:i/>
          <w:shd w:val="clear" w:color="auto" w:fill="FFFFFF"/>
        </w:rPr>
        <w:t>Gender O</w:t>
      </w:r>
      <w:r w:rsidR="00D66E0C" w:rsidRPr="003D66DD">
        <w:rPr>
          <w:rStyle w:val="normaltextrun"/>
          <w:rFonts w:ascii="Cambria" w:hAnsi="Cambria"/>
          <w:b/>
          <w:i/>
          <w:shd w:val="clear" w:color="auto" w:fill="FFFFFF"/>
        </w:rPr>
        <w:t>utcomes</w:t>
      </w:r>
    </w:p>
    <w:p w14:paraId="723398F1" w14:textId="66E950F8" w:rsidR="0053607B" w:rsidRDefault="00465E5E" w:rsidP="00CF2D33">
      <w:pPr>
        <w:pStyle w:val="paragraph"/>
        <w:spacing w:line="360" w:lineRule="auto"/>
        <w:textAlignment w:val="baseline"/>
        <w:rPr>
          <w:rStyle w:val="normaltextrun"/>
          <w:rFonts w:ascii="Cambria" w:hAnsi="Cambria"/>
          <w:shd w:val="clear" w:color="auto" w:fill="FFFFFF"/>
        </w:rPr>
      </w:pPr>
      <w:r w:rsidRPr="003D66DD">
        <w:rPr>
          <w:rFonts w:ascii="Cambria" w:hAnsi="Cambria"/>
        </w:rPr>
        <w:t xml:space="preserve">The post-settlement reality for women in Northern Ireland has </w:t>
      </w:r>
      <w:r w:rsidR="00673CE4" w:rsidRPr="003D66DD">
        <w:rPr>
          <w:rFonts w:ascii="Cambria" w:hAnsi="Cambria"/>
        </w:rPr>
        <w:t>been uneven</w:t>
      </w:r>
      <w:r w:rsidRPr="003D66DD">
        <w:rPr>
          <w:rFonts w:ascii="Cambria" w:hAnsi="Cambria"/>
        </w:rPr>
        <w:t>.</w:t>
      </w:r>
      <w:r w:rsidR="00E97C45" w:rsidRPr="003D66DD">
        <w:rPr>
          <w:rFonts w:ascii="Cambria" w:hAnsi="Cambria"/>
        </w:rPr>
        <w:t xml:space="preserve">  </w:t>
      </w:r>
      <w:r w:rsidR="00E97C45" w:rsidRPr="003D66DD">
        <w:rPr>
          <w:rStyle w:val="normaltextrun"/>
          <w:rFonts w:ascii="Cambria" w:hAnsi="Cambria"/>
          <w:shd w:val="clear" w:color="auto" w:fill="FFFFFF"/>
        </w:rPr>
        <w:t>In the absence of legislative gender quotas, w</w:t>
      </w:r>
      <w:r w:rsidRPr="003D66DD">
        <w:rPr>
          <w:rStyle w:val="normaltextrun"/>
          <w:rFonts w:ascii="Cambria" w:hAnsi="Cambria"/>
          <w:shd w:val="clear" w:color="auto" w:fill="FFFFFF"/>
        </w:rPr>
        <w:t xml:space="preserve">omen’s descriptive representation </w:t>
      </w:r>
      <w:r w:rsidR="00E97C45" w:rsidRPr="003D66DD">
        <w:rPr>
          <w:rStyle w:val="normaltextrun"/>
          <w:rFonts w:ascii="Cambria" w:hAnsi="Cambria"/>
          <w:shd w:val="clear" w:color="auto" w:fill="FFFFFF"/>
        </w:rPr>
        <w:t>stood at just 14% in 1998, creeping up to 17% in 2003 and 2007 and 19% in 2011 (</w:t>
      </w:r>
      <w:proofErr w:type="spellStart"/>
      <w:r w:rsidR="00E97C45" w:rsidRPr="003D66DD">
        <w:rPr>
          <w:rStyle w:val="normaltextrun"/>
          <w:rFonts w:ascii="Cambria" w:hAnsi="Cambria"/>
          <w:shd w:val="clear" w:color="auto" w:fill="FFFFFF"/>
        </w:rPr>
        <w:t>R</w:t>
      </w:r>
      <w:r w:rsidR="00424FC8">
        <w:rPr>
          <w:rStyle w:val="normaltextrun"/>
          <w:rFonts w:ascii="Cambria" w:hAnsi="Cambria"/>
          <w:shd w:val="clear" w:color="auto" w:fill="FFFFFF"/>
        </w:rPr>
        <w:t>aISe</w:t>
      </w:r>
      <w:proofErr w:type="spellEnd"/>
      <w:r w:rsidR="00E97C45" w:rsidRPr="003D66DD">
        <w:rPr>
          <w:rStyle w:val="normaltextrun"/>
          <w:rFonts w:ascii="Cambria" w:hAnsi="Cambria"/>
          <w:shd w:val="clear" w:color="auto" w:fill="FFFFFF"/>
        </w:rPr>
        <w:t xml:space="preserve">, 2015), </w:t>
      </w:r>
      <w:r w:rsidR="00673CE4" w:rsidRPr="003D66DD">
        <w:rPr>
          <w:rStyle w:val="normaltextrun"/>
          <w:rFonts w:ascii="Cambria" w:hAnsi="Cambria"/>
          <w:shd w:val="clear" w:color="auto" w:fill="FFFFFF"/>
        </w:rPr>
        <w:t xml:space="preserve">although there </w:t>
      </w:r>
      <w:r w:rsidR="00A13642">
        <w:rPr>
          <w:rStyle w:val="normaltextrun"/>
          <w:rFonts w:ascii="Cambria" w:hAnsi="Cambria"/>
          <w:shd w:val="clear" w:color="auto" w:fill="FFFFFF"/>
        </w:rPr>
        <w:t>was</w:t>
      </w:r>
      <w:r w:rsidR="00673CE4" w:rsidRPr="003D66DD">
        <w:rPr>
          <w:rStyle w:val="normaltextrun"/>
          <w:rFonts w:ascii="Cambria" w:hAnsi="Cambria"/>
          <w:shd w:val="clear" w:color="auto" w:fill="FFFFFF"/>
        </w:rPr>
        <w:t xml:space="preserve"> a substantial</w:t>
      </w:r>
      <w:r w:rsidR="00E97C45" w:rsidRPr="003D66DD">
        <w:rPr>
          <w:rStyle w:val="normaltextrun"/>
          <w:rFonts w:ascii="Cambria" w:hAnsi="Cambria"/>
          <w:shd w:val="clear" w:color="auto" w:fill="FFFFFF"/>
        </w:rPr>
        <w:t xml:space="preserve"> increas</w:t>
      </w:r>
      <w:r w:rsidR="00673CE4" w:rsidRPr="003D66DD">
        <w:rPr>
          <w:rStyle w:val="normaltextrun"/>
          <w:rFonts w:ascii="Cambria" w:hAnsi="Cambria"/>
          <w:shd w:val="clear" w:color="auto" w:fill="FFFFFF"/>
        </w:rPr>
        <w:t>e</w:t>
      </w:r>
      <w:r w:rsidR="00E97C45" w:rsidRPr="003D66DD">
        <w:rPr>
          <w:rStyle w:val="normaltextrun"/>
          <w:rFonts w:ascii="Cambria" w:hAnsi="Cambria"/>
          <w:shd w:val="clear" w:color="auto" w:fill="FFFFFF"/>
        </w:rPr>
        <w:t xml:space="preserve"> to 30% in 2017</w:t>
      </w:r>
      <w:r w:rsidR="00CF2D33" w:rsidRPr="003D66DD">
        <w:rPr>
          <w:rStyle w:val="normaltextrun"/>
          <w:rFonts w:ascii="Cambria" w:hAnsi="Cambria"/>
          <w:shd w:val="clear" w:color="auto" w:fill="FFFFFF"/>
        </w:rPr>
        <w:t xml:space="preserve">.  </w:t>
      </w:r>
      <w:r w:rsidR="00673CE4" w:rsidRPr="003D66DD">
        <w:rPr>
          <w:rStyle w:val="normaltextrun"/>
          <w:rFonts w:ascii="Cambria" w:hAnsi="Cambria"/>
          <w:shd w:val="clear" w:color="auto" w:fill="FFFFFF"/>
        </w:rPr>
        <w:t>The leaders of both main parties in the suspende</w:t>
      </w:r>
      <w:r w:rsidR="00A13642">
        <w:rPr>
          <w:rStyle w:val="normaltextrun"/>
          <w:rFonts w:ascii="Cambria" w:hAnsi="Cambria"/>
          <w:shd w:val="clear" w:color="auto" w:fill="FFFFFF"/>
        </w:rPr>
        <w:t xml:space="preserve">d Legislative Assembly are </w:t>
      </w:r>
      <w:r w:rsidR="00673CE4" w:rsidRPr="003D66DD">
        <w:rPr>
          <w:rStyle w:val="normaltextrun"/>
          <w:rFonts w:ascii="Cambria" w:hAnsi="Cambria"/>
          <w:shd w:val="clear" w:color="auto" w:fill="FFFFFF"/>
        </w:rPr>
        <w:t xml:space="preserve">women, which represents a considerable </w:t>
      </w:r>
      <w:r w:rsidR="00AD7642">
        <w:rPr>
          <w:rStyle w:val="normaltextrun"/>
          <w:rFonts w:ascii="Cambria" w:hAnsi="Cambria"/>
          <w:shd w:val="clear" w:color="auto" w:fill="FFFFFF"/>
        </w:rPr>
        <w:t xml:space="preserve">symbolic </w:t>
      </w:r>
      <w:r w:rsidR="00673CE4" w:rsidRPr="003D66DD">
        <w:rPr>
          <w:rStyle w:val="normaltextrun"/>
          <w:rFonts w:ascii="Cambria" w:hAnsi="Cambria"/>
          <w:shd w:val="clear" w:color="auto" w:fill="FFFFFF"/>
        </w:rPr>
        <w:t xml:space="preserve">break with the past. </w:t>
      </w:r>
    </w:p>
    <w:p w14:paraId="1BCA128B" w14:textId="3BE5F1D5" w:rsidR="00BB06F7" w:rsidRPr="003D66DD" w:rsidRDefault="00BB06F7" w:rsidP="0038454D">
      <w:pPr>
        <w:spacing w:line="360" w:lineRule="auto"/>
        <w:rPr>
          <w:rFonts w:ascii="Cambria" w:hAnsi="Cambria"/>
        </w:rPr>
      </w:pPr>
      <w:r w:rsidRPr="003D66DD">
        <w:rPr>
          <w:rFonts w:ascii="Cambria" w:hAnsi="Cambria"/>
        </w:rPr>
        <w:t>Spaces for women’s participation</w:t>
      </w:r>
      <w:r w:rsidR="00424FC8">
        <w:rPr>
          <w:rFonts w:ascii="Cambria" w:hAnsi="Cambria"/>
        </w:rPr>
        <w:t xml:space="preserve"> - that</w:t>
      </w:r>
      <w:r w:rsidRPr="003D66DD">
        <w:rPr>
          <w:rFonts w:ascii="Cambria" w:hAnsi="Cambria"/>
        </w:rPr>
        <w:t xml:space="preserve"> </w:t>
      </w:r>
      <w:r w:rsidR="005740FC">
        <w:rPr>
          <w:rFonts w:ascii="Cambria" w:hAnsi="Cambria"/>
        </w:rPr>
        <w:t>m</w:t>
      </w:r>
      <w:r w:rsidR="001E56AC">
        <w:rPr>
          <w:rFonts w:ascii="Cambria" w:hAnsi="Cambria"/>
        </w:rPr>
        <w:t>ay</w:t>
      </w:r>
      <w:r w:rsidR="005740FC">
        <w:rPr>
          <w:rFonts w:ascii="Cambria" w:hAnsi="Cambria"/>
        </w:rPr>
        <w:t xml:space="preserve"> </w:t>
      </w:r>
      <w:r w:rsidRPr="003D66DD">
        <w:rPr>
          <w:rFonts w:ascii="Cambria" w:hAnsi="Cambria"/>
        </w:rPr>
        <w:t xml:space="preserve">open up during peace processes </w:t>
      </w:r>
      <w:r w:rsidR="00424FC8">
        <w:rPr>
          <w:rFonts w:ascii="Cambria" w:hAnsi="Cambria"/>
        </w:rPr>
        <w:t xml:space="preserve">- </w:t>
      </w:r>
      <w:r w:rsidRPr="003D66DD">
        <w:rPr>
          <w:rFonts w:ascii="Cambria" w:hAnsi="Cambria"/>
        </w:rPr>
        <w:t>often close down in the post-agreement period as politics returns to its conflict dynamic</w:t>
      </w:r>
      <w:r w:rsidR="005740FC">
        <w:rPr>
          <w:rFonts w:ascii="Cambria" w:hAnsi="Cambria"/>
        </w:rPr>
        <w:t>,</w:t>
      </w:r>
      <w:r w:rsidRPr="003D66DD">
        <w:rPr>
          <w:rFonts w:ascii="Cambria" w:hAnsi="Cambria"/>
        </w:rPr>
        <w:t xml:space="preserve"> and ethno-national party competition resumes</w:t>
      </w:r>
      <w:r w:rsidR="00673CE4" w:rsidRPr="003D66DD">
        <w:rPr>
          <w:rFonts w:ascii="Cambria" w:hAnsi="Cambria"/>
        </w:rPr>
        <w:t xml:space="preserve">. </w:t>
      </w:r>
      <w:r w:rsidRPr="003D66DD">
        <w:rPr>
          <w:rFonts w:ascii="Cambria" w:hAnsi="Cambria"/>
        </w:rPr>
        <w:t>Indeed, t</w:t>
      </w:r>
      <w:r w:rsidRPr="003D66DD">
        <w:rPr>
          <w:rFonts w:ascii="Cambria" w:eastAsia="Times New Roman" w:hAnsi="Cambria"/>
          <w:lang w:eastAsia="en-GB"/>
        </w:rPr>
        <w:t xml:space="preserve">he trajectory of the NIWC stands illustrative of </w:t>
      </w:r>
      <w:r w:rsidRPr="003D66DD">
        <w:rPr>
          <w:rFonts w:ascii="Cambria" w:hAnsi="Cambria"/>
        </w:rPr>
        <w:t xml:space="preserve">this effect.  New institutions granted gender actors a window of opportunity, as </w:t>
      </w:r>
      <w:r w:rsidRPr="003D66DD">
        <w:rPr>
          <w:rFonts w:ascii="Cambria" w:eastAsia="Times New Roman" w:hAnsi="Cambria"/>
          <w:lang w:eastAsia="en-GB"/>
        </w:rPr>
        <w:t xml:space="preserve">the Coalition secured two elected representatives to the 1996 </w:t>
      </w:r>
      <w:r w:rsidRPr="003D66DD">
        <w:rPr>
          <w:rFonts w:ascii="Cambria" w:eastAsia="Times New Roman" w:hAnsi="Cambria"/>
          <w:bCs/>
          <w:lang w:eastAsia="en-GB"/>
        </w:rPr>
        <w:t xml:space="preserve">Forum, </w:t>
      </w:r>
      <w:r w:rsidR="007D641D" w:rsidRPr="003D66DD">
        <w:rPr>
          <w:rFonts w:ascii="Cambria" w:eastAsia="Times New Roman" w:hAnsi="Cambria"/>
          <w:lang w:eastAsia="en-GB"/>
        </w:rPr>
        <w:t xml:space="preserve">under </w:t>
      </w:r>
      <w:r w:rsidRPr="003D66DD">
        <w:rPr>
          <w:rFonts w:ascii="Cambria" w:eastAsia="Times New Roman" w:hAnsi="Cambria"/>
          <w:lang w:eastAsia="en-GB"/>
        </w:rPr>
        <w:t xml:space="preserve">a </w:t>
      </w:r>
      <w:r w:rsidR="007D641D" w:rsidRPr="003D66DD">
        <w:rPr>
          <w:rFonts w:ascii="Cambria" w:eastAsia="Times New Roman" w:hAnsi="Cambria"/>
          <w:lang w:eastAsia="en-GB"/>
        </w:rPr>
        <w:t xml:space="preserve">conducive </w:t>
      </w:r>
      <w:r w:rsidRPr="003D66DD">
        <w:rPr>
          <w:rFonts w:ascii="Cambria" w:eastAsia="Times New Roman" w:hAnsi="Cambria"/>
          <w:lang w:eastAsia="en-GB"/>
        </w:rPr>
        <w:t xml:space="preserve">PR list system with regional top-up, </w:t>
      </w:r>
      <w:r w:rsidRPr="003D66DD">
        <w:rPr>
          <w:rFonts w:ascii="Cambria" w:eastAsia="Times New Roman" w:hAnsi="Cambria"/>
          <w:bCs/>
          <w:lang w:eastAsia="en-GB"/>
        </w:rPr>
        <w:t xml:space="preserve">and </w:t>
      </w:r>
      <w:r w:rsidR="00A13642">
        <w:rPr>
          <w:rFonts w:ascii="Cambria" w:eastAsia="Times New Roman" w:hAnsi="Cambria"/>
          <w:bCs/>
          <w:lang w:eastAsia="en-GB"/>
        </w:rPr>
        <w:t xml:space="preserve">it </w:t>
      </w:r>
      <w:r w:rsidRPr="003D66DD">
        <w:rPr>
          <w:rFonts w:ascii="Cambria" w:eastAsia="Times New Roman" w:hAnsi="Cambria"/>
          <w:bCs/>
          <w:lang w:eastAsia="en-GB"/>
        </w:rPr>
        <w:t xml:space="preserve">proceeded to exert a considerable impact on the negotiations and agreement.  It subsequently </w:t>
      </w:r>
      <w:r w:rsidRPr="003D66DD">
        <w:rPr>
          <w:rFonts w:ascii="Cambria" w:eastAsia="Times New Roman" w:hAnsi="Cambria"/>
          <w:lang w:eastAsia="en-GB"/>
        </w:rPr>
        <w:t xml:space="preserve">managed to win two seats in the </w:t>
      </w:r>
      <w:r w:rsidRPr="003D66DD">
        <w:rPr>
          <w:rFonts w:ascii="Cambria" w:eastAsia="Times New Roman" w:hAnsi="Cambria"/>
          <w:bCs/>
          <w:lang w:eastAsia="en-GB"/>
        </w:rPr>
        <w:t>first NI Assembly in 1998</w:t>
      </w:r>
      <w:r w:rsidRPr="003D66DD">
        <w:rPr>
          <w:rFonts w:ascii="Cambria" w:eastAsia="Times New Roman" w:hAnsi="Cambria"/>
          <w:lang w:eastAsia="en-GB"/>
        </w:rPr>
        <w:t xml:space="preserve">, under the less </w:t>
      </w:r>
      <w:r w:rsidR="00951EB2">
        <w:rPr>
          <w:rFonts w:ascii="Cambria" w:eastAsia="Times New Roman" w:hAnsi="Cambria"/>
          <w:lang w:eastAsia="en-GB"/>
        </w:rPr>
        <w:t>inclusive</w:t>
      </w:r>
      <w:r w:rsidRPr="003D66DD">
        <w:rPr>
          <w:rFonts w:ascii="Cambria" w:eastAsia="Times New Roman" w:hAnsi="Cambria"/>
          <w:lang w:eastAsia="en-GB"/>
        </w:rPr>
        <w:t xml:space="preserve"> Single </w:t>
      </w:r>
      <w:r w:rsidRPr="003D66DD">
        <w:rPr>
          <w:rFonts w:ascii="Cambria" w:eastAsia="Times New Roman" w:hAnsi="Cambria"/>
          <w:lang w:eastAsia="en-GB"/>
        </w:rPr>
        <w:lastRenderedPageBreak/>
        <w:t>Tran</w:t>
      </w:r>
      <w:r w:rsidR="007D641D" w:rsidRPr="003D66DD">
        <w:rPr>
          <w:rFonts w:ascii="Cambria" w:eastAsia="Times New Roman" w:hAnsi="Cambria"/>
          <w:lang w:eastAsia="en-GB"/>
        </w:rPr>
        <w:t>sferrable Vote (STV) form of PR</w:t>
      </w:r>
      <w:r w:rsidRPr="003D66DD">
        <w:rPr>
          <w:rFonts w:ascii="Cambria" w:eastAsia="Times New Roman" w:hAnsi="Cambria"/>
          <w:lang w:eastAsia="en-GB"/>
        </w:rPr>
        <w:t xml:space="preserve">.  </w:t>
      </w:r>
      <w:r w:rsidRPr="003D66DD">
        <w:rPr>
          <w:rFonts w:ascii="Cambria" w:hAnsi="Cambria"/>
          <w:color w:val="000000" w:themeColor="text1"/>
        </w:rPr>
        <w:t>The formal rules of</w:t>
      </w:r>
      <w:r w:rsidR="0038454D" w:rsidRPr="003D66DD">
        <w:rPr>
          <w:rFonts w:ascii="Cambria" w:hAnsi="Cambria"/>
          <w:color w:val="000000" w:themeColor="text1"/>
        </w:rPr>
        <w:t xml:space="preserve"> the power-sharing institutions, such as the designation rule, </w:t>
      </w:r>
      <w:r w:rsidRPr="003D66DD">
        <w:rPr>
          <w:rFonts w:ascii="Cambria" w:hAnsi="Cambria"/>
          <w:color w:val="000000" w:themeColor="text1"/>
        </w:rPr>
        <w:t xml:space="preserve">and the informal dynamics of </w:t>
      </w:r>
      <w:r w:rsidR="00F868BE" w:rsidRPr="003D66DD">
        <w:rPr>
          <w:rFonts w:ascii="Cambria" w:hAnsi="Cambria"/>
          <w:color w:val="000000" w:themeColor="text1"/>
        </w:rPr>
        <w:t xml:space="preserve">ethnic party competition and discourse </w:t>
      </w:r>
      <w:r w:rsidRPr="003D66DD">
        <w:rPr>
          <w:rFonts w:ascii="Cambria" w:hAnsi="Cambria"/>
          <w:color w:val="000000" w:themeColor="text1"/>
        </w:rPr>
        <w:t>therein, faced the party with significant structural constraints</w:t>
      </w:r>
      <w:r w:rsidR="0038454D" w:rsidRPr="003D66DD">
        <w:rPr>
          <w:rFonts w:ascii="Cambria" w:hAnsi="Cambria"/>
          <w:color w:val="000000" w:themeColor="text1"/>
        </w:rPr>
        <w:t xml:space="preserve"> and made it difficult for it to sustain its position</w:t>
      </w:r>
      <w:r w:rsidR="007D641D" w:rsidRPr="003D66DD">
        <w:rPr>
          <w:rFonts w:ascii="Cambria" w:hAnsi="Cambria"/>
          <w:color w:val="000000" w:themeColor="text1"/>
        </w:rPr>
        <w:t xml:space="preserve"> and pursue its </w:t>
      </w:r>
      <w:r w:rsidR="00F868BE" w:rsidRPr="003D66DD">
        <w:rPr>
          <w:rFonts w:ascii="Cambria" w:hAnsi="Cambria"/>
          <w:color w:val="000000" w:themeColor="text1"/>
        </w:rPr>
        <w:t xml:space="preserve">distinct </w:t>
      </w:r>
      <w:r w:rsidR="007D641D" w:rsidRPr="003D66DD">
        <w:rPr>
          <w:rFonts w:ascii="Cambria" w:hAnsi="Cambria"/>
          <w:color w:val="000000" w:themeColor="text1"/>
        </w:rPr>
        <w:t>form of politics</w:t>
      </w:r>
      <w:r w:rsidR="0038454D" w:rsidRPr="003D66DD">
        <w:rPr>
          <w:rFonts w:ascii="Cambria" w:hAnsi="Cambria"/>
          <w:color w:val="000000" w:themeColor="text1"/>
        </w:rPr>
        <w:t xml:space="preserve"> </w:t>
      </w:r>
      <w:r w:rsidR="0038454D" w:rsidRPr="003D66DD">
        <w:rPr>
          <w:rFonts w:ascii="Cambria" w:hAnsi="Cambria"/>
        </w:rPr>
        <w:t>(</w:t>
      </w:r>
      <w:proofErr w:type="spellStart"/>
      <w:r w:rsidR="0038454D" w:rsidRPr="003D66DD">
        <w:rPr>
          <w:rFonts w:ascii="Cambria" w:hAnsi="Cambria"/>
        </w:rPr>
        <w:t>Murtagh</w:t>
      </w:r>
      <w:proofErr w:type="spellEnd"/>
      <w:r w:rsidR="00AD7642">
        <w:rPr>
          <w:rFonts w:ascii="Cambria" w:hAnsi="Cambria"/>
        </w:rPr>
        <w:t xml:space="preserve">, 2008).  The party lost all </w:t>
      </w:r>
      <w:r w:rsidR="007D641D" w:rsidRPr="003D66DD">
        <w:rPr>
          <w:rFonts w:ascii="Cambria" w:hAnsi="Cambria"/>
        </w:rPr>
        <w:t xml:space="preserve">of its </w:t>
      </w:r>
      <w:r w:rsidR="00CC0F72">
        <w:rPr>
          <w:rFonts w:ascii="Cambria" w:hAnsi="Cambria"/>
        </w:rPr>
        <w:t>seats</w:t>
      </w:r>
      <w:r w:rsidR="007D641D" w:rsidRPr="003D66DD">
        <w:rPr>
          <w:rFonts w:ascii="Cambria" w:hAnsi="Cambria"/>
        </w:rPr>
        <w:t xml:space="preserve"> in the subsequent elections in 2003 and disbanded in 2006 (</w:t>
      </w:r>
      <w:proofErr w:type="spellStart"/>
      <w:r w:rsidR="007D641D" w:rsidRPr="003D66DD">
        <w:rPr>
          <w:rFonts w:ascii="Cambria" w:hAnsi="Cambria"/>
        </w:rPr>
        <w:t>Murtagh</w:t>
      </w:r>
      <w:proofErr w:type="spellEnd"/>
      <w:r w:rsidR="007D641D" w:rsidRPr="003D66DD">
        <w:rPr>
          <w:rFonts w:ascii="Cambria" w:hAnsi="Cambria"/>
        </w:rPr>
        <w:t xml:space="preserve">, 2008).  </w:t>
      </w:r>
    </w:p>
    <w:p w14:paraId="5BBCCC9F" w14:textId="78E65BAF" w:rsidR="0053607B" w:rsidRDefault="0011604D" w:rsidP="0038454D">
      <w:pPr>
        <w:pStyle w:val="paragraph"/>
        <w:spacing w:line="360" w:lineRule="auto"/>
        <w:textAlignment w:val="baseline"/>
        <w:rPr>
          <w:rFonts w:ascii="Cambria" w:hAnsi="Cambria"/>
        </w:rPr>
      </w:pPr>
      <w:r w:rsidRPr="003D66DD">
        <w:rPr>
          <w:rFonts w:ascii="Cambria" w:hAnsi="Cambria"/>
        </w:rPr>
        <w:t xml:space="preserve">Furthermore, </w:t>
      </w:r>
      <w:r w:rsidR="00816D08" w:rsidRPr="003D66DD">
        <w:rPr>
          <w:rFonts w:ascii="Cambria" w:hAnsi="Cambria"/>
        </w:rPr>
        <w:t>Rou</w:t>
      </w:r>
      <w:r w:rsidR="00A13642">
        <w:rPr>
          <w:rFonts w:ascii="Cambria" w:hAnsi="Cambria"/>
        </w:rPr>
        <w:t>se describes a “</w:t>
      </w:r>
      <w:r w:rsidR="00CC0F72">
        <w:rPr>
          <w:rFonts w:ascii="Cambria" w:hAnsi="Cambria"/>
        </w:rPr>
        <w:t>gendered pattern of attrition</w:t>
      </w:r>
      <w:r w:rsidR="00A13642">
        <w:rPr>
          <w:rFonts w:ascii="Cambria" w:hAnsi="Cambria"/>
        </w:rPr>
        <w:t>”</w:t>
      </w:r>
      <w:r w:rsidR="00C13A1C" w:rsidRPr="003D66DD">
        <w:rPr>
          <w:rFonts w:ascii="Cambria" w:hAnsi="Cambria"/>
        </w:rPr>
        <w:t xml:space="preserve"> in the case of the implementation of the gender and human rights provisions of the </w:t>
      </w:r>
      <w:r w:rsidR="00A13642">
        <w:rPr>
          <w:rFonts w:ascii="Cambria" w:hAnsi="Cambria"/>
        </w:rPr>
        <w:t>GFA</w:t>
      </w:r>
      <w:r w:rsidR="00C13A1C" w:rsidRPr="003D66DD">
        <w:rPr>
          <w:rFonts w:ascii="Cambria" w:hAnsi="Cambria"/>
        </w:rPr>
        <w:t>.  By way of illustration she points to the Civic Forum, an initiative put forward by the NIWC in the peace negotiations that was provided for in the agreement and established in 2000 but functioned only for a brief period before being suspended with the devolved power-sharing in</w:t>
      </w:r>
      <w:r w:rsidR="00EF230E">
        <w:rPr>
          <w:rFonts w:ascii="Cambria" w:hAnsi="Cambria"/>
        </w:rPr>
        <w:t>stitutions in 2002 (Rou</w:t>
      </w:r>
      <w:r w:rsidR="000E20B5" w:rsidRPr="003D66DD">
        <w:rPr>
          <w:rFonts w:ascii="Cambria" w:hAnsi="Cambria"/>
        </w:rPr>
        <w:t>se, 2016</w:t>
      </w:r>
      <w:r w:rsidR="00C13A1C" w:rsidRPr="003D66DD">
        <w:rPr>
          <w:rFonts w:ascii="Cambria" w:hAnsi="Cambria"/>
        </w:rPr>
        <w:t>).</w:t>
      </w:r>
      <w:r w:rsidRPr="003D66DD">
        <w:rPr>
          <w:rFonts w:ascii="Cambria" w:hAnsi="Cambria"/>
        </w:rPr>
        <w:t xml:space="preserve">  Likewise, </w:t>
      </w:r>
      <w:r w:rsidR="00A13642">
        <w:rPr>
          <w:rFonts w:ascii="Cambria" w:hAnsi="Cambria"/>
        </w:rPr>
        <w:t>20</w:t>
      </w:r>
      <w:r w:rsidRPr="003D66DD">
        <w:rPr>
          <w:rFonts w:ascii="Cambria" w:hAnsi="Cambria"/>
        </w:rPr>
        <w:t xml:space="preserve"> years on from the Agreement, </w:t>
      </w:r>
      <w:r w:rsidR="00A13642">
        <w:rPr>
          <w:rFonts w:ascii="Cambria" w:hAnsi="Cambria"/>
        </w:rPr>
        <w:t>a</w:t>
      </w:r>
      <w:r w:rsidRPr="003D66DD">
        <w:rPr>
          <w:rFonts w:ascii="Cambria" w:hAnsi="Cambria"/>
        </w:rPr>
        <w:t xml:space="preserve"> consensus between nationalist and unionist parties has not been reached to pass a Bill of Rights for Northern Ireland. </w:t>
      </w:r>
    </w:p>
    <w:p w14:paraId="086CDA11" w14:textId="383189E5" w:rsidR="0053607B" w:rsidRDefault="0053607B" w:rsidP="0053607B">
      <w:pPr>
        <w:pStyle w:val="NormalWeb"/>
        <w:spacing w:before="270" w:beforeAutospacing="0" w:after="0" w:afterAutospacing="0" w:line="360" w:lineRule="auto"/>
        <w:textAlignment w:val="baseline"/>
        <w:rPr>
          <w:rFonts w:ascii="Cambria" w:hAnsi="Cambria"/>
        </w:rPr>
      </w:pPr>
      <w:r w:rsidRPr="0053607B">
        <w:rPr>
          <w:rStyle w:val="normaltextrun"/>
          <w:rFonts w:ascii="Cambria" w:hAnsi="Cambria"/>
          <w:shd w:val="clear" w:color="auto" w:fill="FFFFFF"/>
        </w:rPr>
        <w:t xml:space="preserve">When it comes to substantive representation, Northern Ireland stands well apart from the rest of the UK in terms of gender policies.  </w:t>
      </w:r>
      <w:r w:rsidRPr="0053607B">
        <w:rPr>
          <w:rFonts w:ascii="Cambria" w:hAnsi="Cambria"/>
        </w:rPr>
        <w:t xml:space="preserve">Access to abortion is highly restricted (Thomson, 2016, 2018). </w:t>
      </w:r>
      <w:r w:rsidRPr="00CC0F72">
        <w:rPr>
          <w:rFonts w:ascii="Cambria" w:hAnsi="Cambria"/>
          <w:color w:val="000000" w:themeColor="text1"/>
        </w:rPr>
        <w:t xml:space="preserve">Unlike other parts of the UK, the 1967 Abortion Act does not extend to Northern Ireland. </w:t>
      </w:r>
      <w:r w:rsidRPr="00CC0F72">
        <w:rPr>
          <w:rFonts w:ascii="Cambria" w:hAnsi="Cambria"/>
          <w:color w:val="000000" w:themeColor="text1"/>
          <w:shd w:val="clear" w:color="auto" w:fill="FFFFFF"/>
        </w:rPr>
        <w:t xml:space="preserve">Currently, a termination is only permitted in Northern Ireland if a woman's life is at risk or if there is a risk of permanent and serious damage to her mental or physical health. </w:t>
      </w:r>
      <w:r w:rsidRPr="0053607B">
        <w:rPr>
          <w:rFonts w:ascii="Cambria" w:hAnsi="Cambria"/>
        </w:rPr>
        <w:t>It is otherwise outlawed even in cases of rape, incest and fatal foetal abnormalities. There has been little effort to consider legal reform despite international criticism including from the CEDAW Committee</w:t>
      </w:r>
      <w:r w:rsidR="001E56AC">
        <w:rPr>
          <w:rFonts w:ascii="Cambria" w:hAnsi="Cambria"/>
        </w:rPr>
        <w:t xml:space="preserve"> (CEDAW 2013</w:t>
      </w:r>
      <w:r w:rsidR="00C346F0">
        <w:rPr>
          <w:rFonts w:ascii="Cambria" w:hAnsi="Cambria"/>
        </w:rPr>
        <w:t>b)</w:t>
      </w:r>
      <w:r w:rsidRPr="0053607B">
        <w:rPr>
          <w:rFonts w:ascii="Cambria" w:hAnsi="Cambria"/>
        </w:rPr>
        <w:t>, and pressure from women’s rights activists which has intensified after the successful 2018 Referendum in the Republic of Ireland to liberalise its own strict laws on abortion</w:t>
      </w:r>
      <w:r w:rsidR="00585C4D">
        <w:rPr>
          <w:rFonts w:ascii="Cambria" w:hAnsi="Cambria"/>
        </w:rPr>
        <w:t xml:space="preserve"> (Thomson 2019)</w:t>
      </w:r>
      <w:r w:rsidRPr="0053607B">
        <w:rPr>
          <w:rFonts w:ascii="Cambria" w:hAnsi="Cambria"/>
        </w:rPr>
        <w:t xml:space="preserve">.   Northern Ireland also stands as the only part of the UK and Ireland where same sex marriage remains illegal.  </w:t>
      </w:r>
    </w:p>
    <w:p w14:paraId="5B599EA7" w14:textId="77777777" w:rsidR="00CC0F72" w:rsidRDefault="00CC0F72" w:rsidP="00830921">
      <w:pPr>
        <w:spacing w:line="360" w:lineRule="auto"/>
        <w:rPr>
          <w:rFonts w:ascii="Cambria" w:hAnsi="Cambria"/>
        </w:rPr>
      </w:pPr>
    </w:p>
    <w:p w14:paraId="3ECB22FF" w14:textId="70AFDC6B" w:rsidR="004D7B08" w:rsidRPr="00830921" w:rsidRDefault="004B6FFC" w:rsidP="00830921">
      <w:pPr>
        <w:spacing w:line="360" w:lineRule="auto"/>
        <w:rPr>
          <w:rFonts w:ascii="Cambria" w:eastAsia="Times New Roman" w:hAnsi="Cambria"/>
          <w:lang w:val="en-US"/>
        </w:rPr>
      </w:pPr>
      <w:r w:rsidRPr="00830921">
        <w:rPr>
          <w:rFonts w:ascii="Cambria" w:hAnsi="Cambria"/>
        </w:rPr>
        <w:t>Beyond the formal political arena (currently suspended) women’s participation</w:t>
      </w:r>
      <w:r w:rsidR="004D7B08" w:rsidRPr="00830921">
        <w:rPr>
          <w:rFonts w:ascii="Cambria" w:hAnsi="Cambria"/>
        </w:rPr>
        <w:t xml:space="preserve"> in ongoing post-conflict </w:t>
      </w:r>
      <w:r w:rsidR="001A2783" w:rsidRPr="00830921">
        <w:rPr>
          <w:rFonts w:ascii="Cambria" w:hAnsi="Cambria"/>
        </w:rPr>
        <w:t>and peace</w:t>
      </w:r>
      <w:r w:rsidRPr="00830921">
        <w:rPr>
          <w:rFonts w:ascii="Cambria" w:hAnsi="Cambria"/>
        </w:rPr>
        <w:t>building</w:t>
      </w:r>
      <w:r w:rsidR="001A2783" w:rsidRPr="00830921">
        <w:rPr>
          <w:rFonts w:ascii="Cambria" w:hAnsi="Cambria"/>
        </w:rPr>
        <w:t xml:space="preserve"> </w:t>
      </w:r>
      <w:r w:rsidR="004D7B08" w:rsidRPr="00830921">
        <w:rPr>
          <w:rFonts w:ascii="Cambria" w:hAnsi="Cambria"/>
        </w:rPr>
        <w:t xml:space="preserve">processes </w:t>
      </w:r>
      <w:r w:rsidR="00CC0F72">
        <w:rPr>
          <w:rFonts w:ascii="Cambria" w:hAnsi="Cambria"/>
        </w:rPr>
        <w:t>has been</w:t>
      </w:r>
      <w:r w:rsidRPr="00830921">
        <w:rPr>
          <w:rFonts w:ascii="Cambria" w:hAnsi="Cambria"/>
        </w:rPr>
        <w:t xml:space="preserve"> uneven. </w:t>
      </w:r>
      <w:r w:rsidR="00830921" w:rsidRPr="00830921">
        <w:rPr>
          <w:rFonts w:ascii="Cambria" w:hAnsi="Cambria"/>
        </w:rPr>
        <w:t xml:space="preserve">Pierson </w:t>
      </w:r>
      <w:r w:rsidR="00A13642">
        <w:rPr>
          <w:rFonts w:ascii="Cambria" w:hAnsi="Cambria"/>
        </w:rPr>
        <w:t>reports that women remain under-</w:t>
      </w:r>
      <w:r w:rsidR="00830921" w:rsidRPr="00830921">
        <w:rPr>
          <w:rFonts w:ascii="Cambria" w:hAnsi="Cambria"/>
        </w:rPr>
        <w:t>represented in other formal</w:t>
      </w:r>
      <w:r w:rsidR="00830921" w:rsidRPr="00830921">
        <w:rPr>
          <w:rFonts w:ascii="Cambria" w:eastAsia="Times New Roman" w:hAnsi="Cambria" w:cs="Arial"/>
          <w:color w:val="000000"/>
          <w:shd w:val="clear" w:color="auto" w:fill="FFFFFF"/>
        </w:rPr>
        <w:t xml:space="preserve"> forums to discuss issues of conflict legacy and ongoing contested comm</w:t>
      </w:r>
      <w:r w:rsidR="00511142">
        <w:rPr>
          <w:rFonts w:ascii="Cambria" w:eastAsia="Times New Roman" w:hAnsi="Cambria" w:cs="Arial"/>
          <w:color w:val="000000"/>
          <w:shd w:val="clear" w:color="auto" w:fill="FFFFFF"/>
        </w:rPr>
        <w:t xml:space="preserve">unity issues, such as the 2016 </w:t>
      </w:r>
      <w:r w:rsidR="00830921" w:rsidRPr="00830921">
        <w:rPr>
          <w:rFonts w:ascii="Cambria" w:eastAsia="Times New Roman" w:hAnsi="Cambria" w:cs="Arial"/>
          <w:color w:val="000000"/>
          <w:shd w:val="clear" w:color="auto" w:fill="FFFFFF"/>
        </w:rPr>
        <w:t xml:space="preserve">Flags, </w:t>
      </w:r>
      <w:r w:rsidR="00511142">
        <w:rPr>
          <w:rFonts w:ascii="Cambria" w:eastAsia="Times New Roman" w:hAnsi="Cambria" w:cs="Arial"/>
          <w:color w:val="000000"/>
          <w:shd w:val="clear" w:color="auto" w:fill="FFFFFF"/>
        </w:rPr>
        <w:lastRenderedPageBreak/>
        <w:t>Identity, Culture and Tradition</w:t>
      </w:r>
      <w:r w:rsidR="00830921" w:rsidRPr="00830921">
        <w:rPr>
          <w:rFonts w:ascii="Cambria" w:eastAsia="Times New Roman" w:hAnsi="Cambria" w:cs="Arial"/>
          <w:color w:val="000000"/>
          <w:shd w:val="clear" w:color="auto" w:fill="FFFFFF"/>
        </w:rPr>
        <w:t xml:space="preserve"> Commission which comprised </w:t>
      </w:r>
      <w:r w:rsidR="00A13642">
        <w:rPr>
          <w:rFonts w:ascii="Cambria" w:eastAsia="Times New Roman" w:hAnsi="Cambria" w:cs="Arial"/>
          <w:color w:val="000000"/>
          <w:shd w:val="clear" w:color="auto" w:fill="FFFFFF"/>
        </w:rPr>
        <w:t>14</w:t>
      </w:r>
      <w:r w:rsidR="00830921" w:rsidRPr="00830921">
        <w:rPr>
          <w:rFonts w:ascii="Cambria" w:eastAsia="Times New Roman" w:hAnsi="Cambria" w:cs="Arial"/>
          <w:color w:val="000000"/>
          <w:shd w:val="clear" w:color="auto" w:fill="FFFFFF"/>
        </w:rPr>
        <w:t xml:space="preserve"> men and </w:t>
      </w:r>
      <w:r w:rsidR="00511142">
        <w:rPr>
          <w:rFonts w:ascii="Cambria" w:eastAsia="Times New Roman" w:hAnsi="Cambria" w:cs="Arial"/>
          <w:color w:val="000000"/>
          <w:shd w:val="clear" w:color="auto" w:fill="FFFFFF"/>
        </w:rPr>
        <w:t xml:space="preserve">only </w:t>
      </w:r>
      <w:r w:rsidR="00830921" w:rsidRPr="00830921">
        <w:rPr>
          <w:rFonts w:ascii="Cambria" w:eastAsia="Times New Roman" w:hAnsi="Cambria" w:cs="Arial"/>
          <w:color w:val="000000"/>
          <w:shd w:val="clear" w:color="auto" w:fill="FFFFFF"/>
        </w:rPr>
        <w:t xml:space="preserve">one woman </w:t>
      </w:r>
      <w:r w:rsidR="00DA1EBC" w:rsidRPr="00830921">
        <w:rPr>
          <w:rFonts w:ascii="Cambria" w:hAnsi="Cambria"/>
        </w:rPr>
        <w:t>(</w:t>
      </w:r>
      <w:r w:rsidR="001A2783" w:rsidRPr="00830921">
        <w:rPr>
          <w:rFonts w:ascii="Cambria" w:hAnsi="Cambria"/>
        </w:rPr>
        <w:t>Pierson</w:t>
      </w:r>
      <w:r w:rsidR="00A13642">
        <w:rPr>
          <w:rFonts w:ascii="Cambria" w:hAnsi="Cambria"/>
        </w:rPr>
        <w:t>,</w:t>
      </w:r>
      <w:r w:rsidR="001A2783" w:rsidRPr="00830921">
        <w:rPr>
          <w:rFonts w:ascii="Cambria" w:hAnsi="Cambria"/>
        </w:rPr>
        <w:t xml:space="preserve"> </w:t>
      </w:r>
      <w:r w:rsidR="00A13642">
        <w:rPr>
          <w:rFonts w:ascii="Cambria" w:hAnsi="Cambria"/>
        </w:rPr>
        <w:t>2018a,</w:t>
      </w:r>
      <w:r w:rsidR="00DA1EBC" w:rsidRPr="00830921">
        <w:rPr>
          <w:rFonts w:ascii="Cambria" w:hAnsi="Cambria"/>
        </w:rPr>
        <w:t xml:space="preserve"> 2018b)</w:t>
      </w:r>
      <w:r w:rsidR="00830921" w:rsidRPr="00830921">
        <w:rPr>
          <w:rFonts w:ascii="Cambria" w:hAnsi="Cambria"/>
        </w:rPr>
        <w:t xml:space="preserve">. </w:t>
      </w:r>
    </w:p>
    <w:p w14:paraId="187E6C18" w14:textId="344B68CC" w:rsidR="008222F5" w:rsidRPr="003D66DD" w:rsidRDefault="00C13A1C" w:rsidP="00830921">
      <w:pPr>
        <w:pStyle w:val="SingleTxt"/>
        <w:keepNext/>
        <w:keepLines/>
        <w:rPr>
          <w:rFonts w:ascii="Cambria" w:hAnsi="Cambria"/>
          <w:sz w:val="24"/>
          <w:szCs w:val="24"/>
        </w:rPr>
      </w:pPr>
      <w:r w:rsidRPr="003D66DD">
        <w:rPr>
          <w:rFonts w:ascii="Cambria" w:hAnsi="Cambria"/>
          <w:sz w:val="24"/>
          <w:szCs w:val="24"/>
        </w:rPr>
        <w:t xml:space="preserve"> </w:t>
      </w:r>
    </w:p>
    <w:p w14:paraId="32420C72" w14:textId="081F9B64" w:rsidR="00D66E0C" w:rsidRPr="003D66DD" w:rsidRDefault="00A13642" w:rsidP="004228D5">
      <w:pPr>
        <w:pStyle w:val="paragraph"/>
        <w:spacing w:line="360" w:lineRule="auto"/>
        <w:textAlignment w:val="baseline"/>
        <w:outlineLvl w:val="0"/>
        <w:rPr>
          <w:rFonts w:ascii="Cambria" w:hAnsi="Cambria"/>
          <w:b/>
          <w:i/>
        </w:rPr>
      </w:pPr>
      <w:r>
        <w:rPr>
          <w:rFonts w:ascii="Cambria" w:hAnsi="Cambria"/>
          <w:b/>
          <w:i/>
        </w:rPr>
        <w:t>FI A</w:t>
      </w:r>
      <w:r w:rsidR="00D66E0C" w:rsidRPr="003D66DD">
        <w:rPr>
          <w:rFonts w:ascii="Cambria" w:hAnsi="Cambria"/>
          <w:b/>
          <w:i/>
        </w:rPr>
        <w:t xml:space="preserve">nalysis </w:t>
      </w:r>
    </w:p>
    <w:p w14:paraId="787BA0C0" w14:textId="71E4A43C" w:rsidR="00574591" w:rsidRPr="003D66DD" w:rsidRDefault="00A13642" w:rsidP="00F15AA0">
      <w:pPr>
        <w:pStyle w:val="paragraph"/>
        <w:spacing w:line="360" w:lineRule="auto"/>
        <w:textAlignment w:val="baseline"/>
        <w:rPr>
          <w:rFonts w:ascii="Cambria" w:hAnsi="Cambria"/>
          <w:i/>
          <w:color w:val="000000" w:themeColor="text1"/>
        </w:rPr>
      </w:pPr>
      <w:r>
        <w:rPr>
          <w:rFonts w:ascii="Cambria" w:hAnsi="Cambria"/>
          <w:i/>
          <w:color w:val="000000" w:themeColor="text1"/>
        </w:rPr>
        <w:t>Nested N</w:t>
      </w:r>
      <w:r w:rsidR="00574591" w:rsidRPr="003D66DD">
        <w:rPr>
          <w:rFonts w:ascii="Cambria" w:hAnsi="Cambria"/>
          <w:i/>
          <w:color w:val="000000" w:themeColor="text1"/>
        </w:rPr>
        <w:t>ewness</w:t>
      </w:r>
    </w:p>
    <w:p w14:paraId="3335F65A" w14:textId="584A395F" w:rsidR="0012690F" w:rsidRDefault="00982BB1" w:rsidP="00F15AA0">
      <w:pPr>
        <w:pStyle w:val="paragraph"/>
        <w:spacing w:line="360" w:lineRule="auto"/>
        <w:textAlignment w:val="baseline"/>
        <w:rPr>
          <w:rFonts w:ascii="Cambria" w:hAnsi="Cambria"/>
          <w:color w:val="000000" w:themeColor="text1"/>
        </w:rPr>
      </w:pPr>
      <w:r w:rsidRPr="003D66DD">
        <w:rPr>
          <w:rFonts w:ascii="Cambria" w:hAnsi="Cambria"/>
          <w:color w:val="000000" w:themeColor="text1"/>
        </w:rPr>
        <w:t xml:space="preserve">New institutions and norms </w:t>
      </w:r>
      <w:r w:rsidR="002A3EB5" w:rsidRPr="003D66DD">
        <w:rPr>
          <w:rFonts w:ascii="Cambria" w:hAnsi="Cambria"/>
          <w:color w:val="000000" w:themeColor="text1"/>
        </w:rPr>
        <w:t xml:space="preserve">are </w:t>
      </w:r>
      <w:r w:rsidRPr="003D66DD">
        <w:rPr>
          <w:rFonts w:ascii="Cambria" w:hAnsi="Cambria"/>
          <w:color w:val="000000" w:themeColor="text1"/>
        </w:rPr>
        <w:t xml:space="preserve">nested within pre-existing </w:t>
      </w:r>
      <w:r w:rsidR="002A3EB5" w:rsidRPr="003D66DD">
        <w:rPr>
          <w:rFonts w:ascii="Cambria" w:hAnsi="Cambria"/>
          <w:color w:val="000000" w:themeColor="text1"/>
        </w:rPr>
        <w:t xml:space="preserve">and ongoing </w:t>
      </w:r>
      <w:r w:rsidRPr="003D66DD">
        <w:rPr>
          <w:rFonts w:ascii="Cambria" w:hAnsi="Cambria"/>
          <w:color w:val="000000" w:themeColor="text1"/>
        </w:rPr>
        <w:t>dyna</w:t>
      </w:r>
      <w:r w:rsidR="00186A4E" w:rsidRPr="003D66DD">
        <w:rPr>
          <w:rFonts w:ascii="Cambria" w:hAnsi="Cambria"/>
          <w:color w:val="000000" w:themeColor="text1"/>
        </w:rPr>
        <w:t>mics of ethno-national politics as well as wider contexts, such as the priorities of the UK and Ir</w:t>
      </w:r>
      <w:r w:rsidR="00274565">
        <w:rPr>
          <w:rFonts w:ascii="Cambria" w:hAnsi="Cambria"/>
          <w:color w:val="000000" w:themeColor="text1"/>
        </w:rPr>
        <w:t xml:space="preserve">ish </w:t>
      </w:r>
      <w:r w:rsidR="00186A4E" w:rsidRPr="003D66DD">
        <w:rPr>
          <w:rFonts w:ascii="Cambria" w:hAnsi="Cambria"/>
          <w:color w:val="000000" w:themeColor="text1"/>
        </w:rPr>
        <w:t xml:space="preserve">governments. Whilst norms of gender equality have purchase amongst key external stakeholders, the WPS agenda itself is </w:t>
      </w:r>
      <w:r w:rsidR="004147F5">
        <w:rPr>
          <w:rFonts w:ascii="Cambria" w:hAnsi="Cambria"/>
          <w:color w:val="000000" w:themeColor="text1"/>
        </w:rPr>
        <w:t xml:space="preserve">not without controversy. For example, </w:t>
      </w:r>
      <w:r w:rsidR="00186A4E" w:rsidRPr="003D66DD">
        <w:rPr>
          <w:rFonts w:ascii="Cambria" w:hAnsi="Cambria"/>
          <w:color w:val="000000" w:themeColor="text1"/>
        </w:rPr>
        <w:t xml:space="preserve">the UK government </w:t>
      </w:r>
      <w:r w:rsidR="004147F5">
        <w:rPr>
          <w:rFonts w:ascii="Cambria" w:hAnsi="Cambria"/>
          <w:color w:val="000000" w:themeColor="text1"/>
        </w:rPr>
        <w:t xml:space="preserve">has </w:t>
      </w:r>
      <w:r w:rsidR="003A30E5">
        <w:rPr>
          <w:rFonts w:ascii="Cambria" w:hAnsi="Cambria"/>
          <w:color w:val="000000" w:themeColor="text1"/>
        </w:rPr>
        <w:t>declin</w:t>
      </w:r>
      <w:r w:rsidR="004147F5">
        <w:rPr>
          <w:rFonts w:ascii="Cambria" w:hAnsi="Cambria"/>
          <w:color w:val="000000" w:themeColor="text1"/>
        </w:rPr>
        <w:t>ed</w:t>
      </w:r>
      <w:r w:rsidR="00186A4E" w:rsidRPr="003D66DD">
        <w:rPr>
          <w:rFonts w:ascii="Cambria" w:hAnsi="Cambria"/>
          <w:color w:val="000000" w:themeColor="text1"/>
        </w:rPr>
        <w:t xml:space="preserve"> to include NI in its </w:t>
      </w:r>
      <w:r w:rsidR="003A30E5">
        <w:rPr>
          <w:rFonts w:ascii="Cambria" w:hAnsi="Cambria"/>
          <w:color w:val="000000" w:themeColor="text1"/>
        </w:rPr>
        <w:t xml:space="preserve">1325 </w:t>
      </w:r>
      <w:r w:rsidR="00186A4E" w:rsidRPr="003D66DD">
        <w:rPr>
          <w:rFonts w:ascii="Cambria" w:hAnsi="Cambria"/>
          <w:color w:val="000000" w:themeColor="text1"/>
        </w:rPr>
        <w:t>N</w:t>
      </w:r>
      <w:r w:rsidR="0012690F">
        <w:rPr>
          <w:rFonts w:ascii="Cambria" w:hAnsi="Cambria"/>
          <w:color w:val="000000" w:themeColor="text1"/>
        </w:rPr>
        <w:t xml:space="preserve">ational </w:t>
      </w:r>
      <w:r w:rsidR="00186A4E" w:rsidRPr="003D66DD">
        <w:rPr>
          <w:rFonts w:ascii="Cambria" w:hAnsi="Cambria"/>
          <w:color w:val="000000" w:themeColor="text1"/>
        </w:rPr>
        <w:t>A</w:t>
      </w:r>
      <w:r w:rsidR="0012690F">
        <w:rPr>
          <w:rFonts w:ascii="Cambria" w:hAnsi="Cambria"/>
          <w:color w:val="000000" w:themeColor="text1"/>
        </w:rPr>
        <w:t xml:space="preserve">ction </w:t>
      </w:r>
      <w:r w:rsidR="00186A4E" w:rsidRPr="003D66DD">
        <w:rPr>
          <w:rFonts w:ascii="Cambria" w:hAnsi="Cambria"/>
          <w:color w:val="000000" w:themeColor="text1"/>
        </w:rPr>
        <w:t>P</w:t>
      </w:r>
      <w:r w:rsidR="0012690F">
        <w:rPr>
          <w:rFonts w:ascii="Cambria" w:hAnsi="Cambria"/>
          <w:color w:val="000000" w:themeColor="text1"/>
        </w:rPr>
        <w:t>lan</w:t>
      </w:r>
      <w:r w:rsidR="004147F5">
        <w:rPr>
          <w:rFonts w:ascii="Cambria" w:hAnsi="Cambria"/>
          <w:color w:val="000000" w:themeColor="text1"/>
        </w:rPr>
        <w:t xml:space="preserve">s, despite repeated recommendations by the CEDAW Committee (CEDAW, 2013b; </w:t>
      </w:r>
      <w:r w:rsidR="00EC4D0E">
        <w:rPr>
          <w:rFonts w:ascii="Cambria" w:hAnsi="Cambria"/>
          <w:color w:val="000000" w:themeColor="text1"/>
        </w:rPr>
        <w:t xml:space="preserve">Law and Grey 2014; </w:t>
      </w:r>
      <w:r w:rsidR="004147F5">
        <w:rPr>
          <w:rFonts w:ascii="Cambria" w:hAnsi="Cambria"/>
          <w:color w:val="000000" w:themeColor="text1"/>
        </w:rPr>
        <w:t>OHCHR</w:t>
      </w:r>
      <w:r w:rsidR="00687FF4">
        <w:rPr>
          <w:rFonts w:ascii="Cambria" w:hAnsi="Cambria"/>
          <w:color w:val="000000" w:themeColor="text1"/>
        </w:rPr>
        <w:t xml:space="preserve"> 2013).</w:t>
      </w:r>
      <w:r w:rsidR="00186A4E" w:rsidRPr="003D66DD">
        <w:rPr>
          <w:rFonts w:ascii="Cambria" w:hAnsi="Cambria"/>
          <w:color w:val="000000" w:themeColor="text1"/>
        </w:rPr>
        <w:t xml:space="preserve"> </w:t>
      </w:r>
    </w:p>
    <w:p w14:paraId="6CF87750" w14:textId="59E4DDEC" w:rsidR="002852B0" w:rsidRDefault="0012690F" w:rsidP="00F15AA0">
      <w:pPr>
        <w:pStyle w:val="paragraph"/>
        <w:spacing w:line="360" w:lineRule="auto"/>
        <w:textAlignment w:val="baseline"/>
        <w:rPr>
          <w:rFonts w:ascii="Cambria" w:hAnsi="Cambria"/>
          <w:color w:val="000000" w:themeColor="text1"/>
        </w:rPr>
      </w:pPr>
      <w:r>
        <w:rPr>
          <w:rFonts w:ascii="Cambria" w:hAnsi="Cambria"/>
          <w:color w:val="000000" w:themeColor="text1"/>
        </w:rPr>
        <w:t>Stability</w:t>
      </w:r>
      <w:r w:rsidR="00186A4E" w:rsidRPr="003D66DD">
        <w:rPr>
          <w:rFonts w:ascii="Cambria" w:hAnsi="Cambria"/>
          <w:color w:val="000000" w:themeColor="text1"/>
        </w:rPr>
        <w:t xml:space="preserve"> – or the promise of stability – is paramount and this has</w:t>
      </w:r>
      <w:r w:rsidR="00186A4E" w:rsidRPr="003D66DD">
        <w:rPr>
          <w:rStyle w:val="normaltextrun"/>
          <w:rFonts w:ascii="Cambria" w:hAnsi="Cambria"/>
          <w:color w:val="000000" w:themeColor="text1"/>
        </w:rPr>
        <w:t xml:space="preserve"> squeezed gender issues from </w:t>
      </w:r>
      <w:r w:rsidR="00A13642">
        <w:rPr>
          <w:rStyle w:val="normaltextrun"/>
          <w:rFonts w:ascii="Cambria" w:hAnsi="Cambria"/>
          <w:color w:val="000000" w:themeColor="text1"/>
        </w:rPr>
        <w:t xml:space="preserve">the </w:t>
      </w:r>
      <w:r w:rsidR="00186A4E" w:rsidRPr="003D66DD">
        <w:rPr>
          <w:rStyle w:val="normaltextrun"/>
          <w:rFonts w:ascii="Cambria" w:hAnsi="Cambria"/>
          <w:color w:val="000000" w:themeColor="text1"/>
        </w:rPr>
        <w:t>agenda in the polarised post-</w:t>
      </w:r>
      <w:r w:rsidR="00A13642">
        <w:rPr>
          <w:rStyle w:val="normaltextrun"/>
          <w:rFonts w:ascii="Cambria" w:hAnsi="Cambria"/>
          <w:color w:val="000000" w:themeColor="text1"/>
        </w:rPr>
        <w:t>GFA</w:t>
      </w:r>
      <w:r w:rsidR="00186A4E" w:rsidRPr="003D66DD">
        <w:rPr>
          <w:rStyle w:val="normaltextrun"/>
          <w:rFonts w:ascii="Cambria" w:hAnsi="Cambria"/>
          <w:color w:val="000000" w:themeColor="text1"/>
        </w:rPr>
        <w:t xml:space="preserve"> environment, and subsequent suspensions of power-sharing. For example, we see the failure to resurrect </w:t>
      </w:r>
      <w:r w:rsidR="00A13642">
        <w:rPr>
          <w:rStyle w:val="normaltextrun"/>
          <w:rFonts w:ascii="Cambria" w:hAnsi="Cambria"/>
          <w:color w:val="000000" w:themeColor="text1"/>
        </w:rPr>
        <w:t xml:space="preserve">the </w:t>
      </w:r>
      <w:r w:rsidR="00186A4E" w:rsidRPr="003D66DD">
        <w:rPr>
          <w:rStyle w:val="normaltextrun"/>
          <w:rFonts w:ascii="Cambria" w:hAnsi="Cambria"/>
          <w:color w:val="000000" w:themeColor="text1"/>
        </w:rPr>
        <w:t xml:space="preserve">Civic Forum following </w:t>
      </w:r>
      <w:r w:rsidR="00A13642">
        <w:rPr>
          <w:rStyle w:val="normaltextrun"/>
          <w:rFonts w:ascii="Cambria" w:hAnsi="Cambria"/>
          <w:color w:val="000000" w:themeColor="text1"/>
        </w:rPr>
        <w:t xml:space="preserve">its </w:t>
      </w:r>
      <w:r w:rsidR="00186A4E" w:rsidRPr="003D66DD">
        <w:rPr>
          <w:rStyle w:val="normaltextrun"/>
          <w:rFonts w:ascii="Cambria" w:hAnsi="Cambria"/>
          <w:color w:val="000000" w:themeColor="text1"/>
        </w:rPr>
        <w:t>suspension in 2002</w:t>
      </w:r>
      <w:r w:rsidR="00186A4E" w:rsidRPr="003D66DD">
        <w:rPr>
          <w:rStyle w:val="eop"/>
          <w:rFonts w:ascii="Cambria" w:hAnsi="Cambria"/>
          <w:color w:val="000000" w:themeColor="text1"/>
        </w:rPr>
        <w:t xml:space="preserve">.  In addition, </w:t>
      </w:r>
      <w:r w:rsidR="00186A4E" w:rsidRPr="003D66DD">
        <w:rPr>
          <w:rFonts w:ascii="Cambria" w:hAnsi="Cambria"/>
          <w:color w:val="000000" w:themeColor="text1"/>
        </w:rPr>
        <w:t>e</w:t>
      </w:r>
      <w:r w:rsidR="007D641D" w:rsidRPr="003D66DD">
        <w:rPr>
          <w:rFonts w:ascii="Cambria" w:hAnsi="Cambria"/>
          <w:color w:val="000000" w:themeColor="text1"/>
        </w:rPr>
        <w:t xml:space="preserve">ach </w:t>
      </w:r>
      <w:r w:rsidR="007D641D" w:rsidRPr="003D66DD">
        <w:rPr>
          <w:rFonts w:ascii="Cambria" w:hAnsi="Cambria"/>
          <w:bCs/>
          <w:color w:val="000000" w:themeColor="text1"/>
        </w:rPr>
        <w:t>new round of talks and negotiations and agreement</w:t>
      </w:r>
      <w:r w:rsidR="007D641D" w:rsidRPr="003D66DD">
        <w:rPr>
          <w:rFonts w:ascii="Cambria" w:hAnsi="Cambria"/>
          <w:color w:val="000000" w:themeColor="text1"/>
        </w:rPr>
        <w:t xml:space="preserve"> since </w:t>
      </w:r>
      <w:r w:rsidR="005F05A1">
        <w:rPr>
          <w:rFonts w:ascii="Cambria" w:hAnsi="Cambria"/>
          <w:color w:val="000000" w:themeColor="text1"/>
        </w:rPr>
        <w:t xml:space="preserve">1998 </w:t>
      </w:r>
      <w:r w:rsidR="007D641D" w:rsidRPr="003D66DD">
        <w:rPr>
          <w:rFonts w:ascii="Cambria" w:hAnsi="Cambria"/>
          <w:color w:val="000000" w:themeColor="text1"/>
        </w:rPr>
        <w:t xml:space="preserve">has proven </w:t>
      </w:r>
      <w:r w:rsidR="007D641D" w:rsidRPr="003D66DD">
        <w:rPr>
          <w:rFonts w:ascii="Cambria" w:hAnsi="Cambria"/>
          <w:bCs/>
          <w:color w:val="000000" w:themeColor="text1"/>
        </w:rPr>
        <w:t>more exclusive</w:t>
      </w:r>
      <w:r w:rsidR="007D641D" w:rsidRPr="003D66DD">
        <w:rPr>
          <w:rFonts w:ascii="Cambria" w:hAnsi="Cambria"/>
          <w:color w:val="000000" w:themeColor="text1"/>
        </w:rPr>
        <w:t xml:space="preserve"> and focused on the main parties at </w:t>
      </w:r>
      <w:r w:rsidR="005F05A1">
        <w:rPr>
          <w:rFonts w:ascii="Cambria" w:hAnsi="Cambria"/>
          <w:color w:val="000000" w:themeColor="text1"/>
        </w:rPr>
        <w:t xml:space="preserve">the </w:t>
      </w:r>
      <w:r w:rsidR="007D641D" w:rsidRPr="003D66DD">
        <w:rPr>
          <w:rFonts w:ascii="Cambria" w:hAnsi="Cambria"/>
          <w:color w:val="000000" w:themeColor="text1"/>
        </w:rPr>
        <w:t>expense of smaller parties (including civic</w:t>
      </w:r>
      <w:r w:rsidR="002852B0" w:rsidRPr="003D66DD">
        <w:rPr>
          <w:rFonts w:ascii="Cambria" w:hAnsi="Cambria"/>
          <w:color w:val="000000" w:themeColor="text1"/>
        </w:rPr>
        <w:t xml:space="preserve"> parties</w:t>
      </w:r>
      <w:r w:rsidR="00186A4E" w:rsidRPr="003D66DD">
        <w:rPr>
          <w:rFonts w:ascii="Cambria" w:hAnsi="Cambria"/>
          <w:color w:val="000000" w:themeColor="text1"/>
        </w:rPr>
        <w:t>) and civil society, including women’s organisations.</w:t>
      </w:r>
      <w:r w:rsidR="007D641D" w:rsidRPr="003D66DD">
        <w:rPr>
          <w:rFonts w:ascii="Cambria" w:hAnsi="Cambria"/>
          <w:color w:val="000000" w:themeColor="text1"/>
        </w:rPr>
        <w:t xml:space="preserve"> </w:t>
      </w:r>
    </w:p>
    <w:p w14:paraId="2686FB5F" w14:textId="4D90C628" w:rsidR="00CC0F72" w:rsidRPr="003A30E5" w:rsidRDefault="003A30E5" w:rsidP="003A30E5">
      <w:pPr>
        <w:spacing w:line="360" w:lineRule="auto"/>
        <w:rPr>
          <w:rFonts w:ascii="Cambria" w:eastAsia="Times New Roman" w:hAnsi="Cambria"/>
          <w:color w:val="000000" w:themeColor="text1"/>
          <w:lang w:val="en-US"/>
        </w:rPr>
      </w:pPr>
      <w:r w:rsidRPr="003A30E5">
        <w:rPr>
          <w:rFonts w:ascii="Cambria" w:eastAsia="Times New Roman" w:hAnsi="Cambria"/>
          <w:color w:val="000000" w:themeColor="text1"/>
          <w:shd w:val="clear" w:color="auto" w:fill="FFFFFF"/>
        </w:rPr>
        <w:t>The UK’s decision to leave the European Union after the 2016 ‘</w:t>
      </w:r>
      <w:proofErr w:type="spellStart"/>
      <w:r w:rsidRPr="003A30E5">
        <w:rPr>
          <w:rFonts w:ascii="Cambria" w:eastAsia="Times New Roman" w:hAnsi="Cambria"/>
          <w:color w:val="000000" w:themeColor="text1"/>
          <w:shd w:val="clear" w:color="auto" w:fill="FFFFFF"/>
        </w:rPr>
        <w:t>Brexit</w:t>
      </w:r>
      <w:proofErr w:type="spellEnd"/>
      <w:r w:rsidRPr="003A30E5">
        <w:rPr>
          <w:rFonts w:ascii="Cambria" w:eastAsia="Times New Roman" w:hAnsi="Cambria"/>
          <w:color w:val="000000" w:themeColor="text1"/>
          <w:shd w:val="clear" w:color="auto" w:fill="FFFFFF"/>
        </w:rPr>
        <w:t>’ referendum risks disrupting constitutional settlements within the UK, and has</w:t>
      </w:r>
      <w:r w:rsidR="00EF7471">
        <w:rPr>
          <w:rFonts w:ascii="Cambria" w:eastAsia="Times New Roman" w:hAnsi="Cambria"/>
          <w:color w:val="000000" w:themeColor="text1"/>
          <w:shd w:val="clear" w:color="auto" w:fill="FFFFFF"/>
        </w:rPr>
        <w:t xml:space="preserve"> destabilis</w:t>
      </w:r>
      <w:r w:rsidRPr="003A30E5">
        <w:rPr>
          <w:rFonts w:ascii="Cambria" w:eastAsia="Times New Roman" w:hAnsi="Cambria"/>
          <w:color w:val="000000" w:themeColor="text1"/>
          <w:shd w:val="clear" w:color="auto" w:fill="FFFFFF"/>
        </w:rPr>
        <w:t xml:space="preserve">ed the UK’s relationship with the Republic of Ireland, its key partner in the </w:t>
      </w:r>
      <w:r w:rsidR="005F05A1">
        <w:rPr>
          <w:rFonts w:ascii="Cambria" w:eastAsia="Times New Roman" w:hAnsi="Cambria"/>
          <w:color w:val="000000" w:themeColor="text1"/>
          <w:shd w:val="clear" w:color="auto" w:fill="FFFFFF"/>
        </w:rPr>
        <w:t>GFA</w:t>
      </w:r>
      <w:r w:rsidRPr="003A30E5">
        <w:rPr>
          <w:rFonts w:ascii="Cambria" w:eastAsia="Times New Roman" w:hAnsi="Cambria"/>
          <w:color w:val="000000" w:themeColor="text1"/>
          <w:shd w:val="clear" w:color="auto" w:fill="FFFFFF"/>
        </w:rPr>
        <w:t>.</w:t>
      </w:r>
      <w:r w:rsidRPr="003A30E5">
        <w:rPr>
          <w:rFonts w:ascii="Cambria" w:hAnsi="Cambria"/>
          <w:color w:val="000000" w:themeColor="text1"/>
        </w:rPr>
        <w:t xml:space="preserve"> However, in this context, </w:t>
      </w:r>
      <w:r w:rsidR="008870BC" w:rsidRPr="003A30E5">
        <w:rPr>
          <w:rFonts w:ascii="Cambria" w:hAnsi="Cambria"/>
          <w:color w:val="000000" w:themeColor="text1"/>
        </w:rPr>
        <w:t xml:space="preserve">the issue of the Irish border </w:t>
      </w:r>
      <w:r w:rsidRPr="003A30E5">
        <w:rPr>
          <w:rFonts w:ascii="Cambria" w:hAnsi="Cambria"/>
          <w:color w:val="000000" w:themeColor="text1"/>
        </w:rPr>
        <w:t>predominates and all other agenda</w:t>
      </w:r>
      <w:r w:rsidR="00681133">
        <w:rPr>
          <w:rFonts w:ascii="Cambria" w:hAnsi="Cambria"/>
          <w:color w:val="000000" w:themeColor="text1"/>
        </w:rPr>
        <w:t>s</w:t>
      </w:r>
      <w:r w:rsidRPr="003A30E5">
        <w:rPr>
          <w:rFonts w:ascii="Cambria" w:hAnsi="Cambria"/>
          <w:color w:val="000000" w:themeColor="text1"/>
        </w:rPr>
        <w:t xml:space="preserve"> have been rendered secondary. The Conservative minority government’s </w:t>
      </w:r>
      <w:r w:rsidR="008870BC" w:rsidRPr="003A30E5">
        <w:rPr>
          <w:rFonts w:ascii="Cambria" w:hAnsi="Cambria"/>
          <w:color w:val="000000" w:themeColor="text1"/>
        </w:rPr>
        <w:t xml:space="preserve">reliance </w:t>
      </w:r>
      <w:r w:rsidRPr="003A30E5">
        <w:rPr>
          <w:rFonts w:ascii="Cambria" w:hAnsi="Cambria"/>
          <w:color w:val="000000" w:themeColor="text1"/>
        </w:rPr>
        <w:t xml:space="preserve">since 2017 </w:t>
      </w:r>
      <w:r w:rsidR="008870BC" w:rsidRPr="003A30E5">
        <w:rPr>
          <w:rFonts w:ascii="Cambria" w:hAnsi="Cambria"/>
          <w:color w:val="000000" w:themeColor="text1"/>
        </w:rPr>
        <w:t xml:space="preserve">on </w:t>
      </w:r>
      <w:r w:rsidRPr="003A30E5">
        <w:rPr>
          <w:rFonts w:ascii="Cambria" w:hAnsi="Cambria"/>
          <w:color w:val="000000" w:themeColor="text1"/>
        </w:rPr>
        <w:t xml:space="preserve">the electoral support of </w:t>
      </w:r>
      <w:r w:rsidR="008870BC" w:rsidRPr="003A30E5">
        <w:rPr>
          <w:rFonts w:ascii="Cambria" w:hAnsi="Cambria"/>
          <w:color w:val="000000" w:themeColor="text1"/>
        </w:rPr>
        <w:t xml:space="preserve">one of the Northern Ireland political parties (the </w:t>
      </w:r>
      <w:r w:rsidRPr="003A30E5">
        <w:rPr>
          <w:rFonts w:ascii="Cambria" w:hAnsi="Cambria"/>
          <w:color w:val="000000" w:themeColor="text1"/>
        </w:rPr>
        <w:t xml:space="preserve">socially conservative and </w:t>
      </w:r>
      <w:r w:rsidR="008870BC" w:rsidRPr="003A30E5">
        <w:rPr>
          <w:rFonts w:ascii="Cambria" w:hAnsi="Cambria"/>
          <w:color w:val="000000" w:themeColor="text1"/>
        </w:rPr>
        <w:t xml:space="preserve">unionist </w:t>
      </w:r>
      <w:r w:rsidR="0047559E">
        <w:rPr>
          <w:rFonts w:ascii="Cambria" w:hAnsi="Cambria"/>
          <w:color w:val="000000" w:themeColor="text1"/>
        </w:rPr>
        <w:t>D</w:t>
      </w:r>
      <w:r w:rsidRPr="003A30E5">
        <w:rPr>
          <w:rFonts w:ascii="Cambria" w:hAnsi="Cambria"/>
          <w:color w:val="000000" w:themeColor="text1"/>
        </w:rPr>
        <w:t xml:space="preserve">UP) </w:t>
      </w:r>
      <w:r w:rsidRPr="003A30E5">
        <w:rPr>
          <w:rFonts w:ascii="Cambria" w:eastAsia="Times New Roman" w:hAnsi="Cambria"/>
          <w:color w:val="000000" w:themeColor="text1"/>
          <w:shd w:val="clear" w:color="auto" w:fill="FFFFFF"/>
        </w:rPr>
        <w:t xml:space="preserve">further constrains the potential for political reforms or progress on women’s rights and gender equality.  </w:t>
      </w:r>
    </w:p>
    <w:p w14:paraId="5F383807" w14:textId="77777777" w:rsidR="00604AC2" w:rsidRDefault="00604AC2">
      <w:pPr>
        <w:spacing w:after="160" w:line="259" w:lineRule="auto"/>
        <w:rPr>
          <w:rFonts w:ascii="Cambria" w:eastAsia="Times New Roman" w:hAnsi="Cambria"/>
          <w:i/>
          <w:color w:val="000000" w:themeColor="text1"/>
          <w:lang w:eastAsia="en-GB"/>
        </w:rPr>
      </w:pPr>
      <w:r>
        <w:rPr>
          <w:rFonts w:ascii="Cambria" w:hAnsi="Cambria"/>
          <w:i/>
          <w:color w:val="000000" w:themeColor="text1"/>
        </w:rPr>
        <w:br w:type="page"/>
      </w:r>
    </w:p>
    <w:p w14:paraId="19774851" w14:textId="05BA82CA" w:rsidR="00574591" w:rsidRPr="003D66DD" w:rsidRDefault="005F05A1" w:rsidP="00F15AA0">
      <w:pPr>
        <w:pStyle w:val="paragraph"/>
        <w:spacing w:line="360" w:lineRule="auto"/>
        <w:textAlignment w:val="baseline"/>
        <w:rPr>
          <w:rFonts w:ascii="Cambria" w:hAnsi="Cambria"/>
          <w:i/>
          <w:color w:val="000000" w:themeColor="text1"/>
        </w:rPr>
      </w:pPr>
      <w:r>
        <w:rPr>
          <w:rFonts w:ascii="Cambria" w:hAnsi="Cambria"/>
          <w:i/>
          <w:color w:val="000000" w:themeColor="text1"/>
        </w:rPr>
        <w:lastRenderedPageBreak/>
        <w:t>Interplay B</w:t>
      </w:r>
      <w:r w:rsidR="00574591" w:rsidRPr="003D66DD">
        <w:rPr>
          <w:rFonts w:ascii="Cambria" w:hAnsi="Cambria"/>
          <w:i/>
          <w:color w:val="000000" w:themeColor="text1"/>
        </w:rPr>
        <w:t>etween Formal and Informal Institutions</w:t>
      </w:r>
    </w:p>
    <w:p w14:paraId="2DAECE02" w14:textId="14813254" w:rsidR="002A3EB5" w:rsidRPr="003D66DD" w:rsidRDefault="00906412" w:rsidP="00F15AA0">
      <w:pPr>
        <w:spacing w:before="100" w:beforeAutospacing="1" w:after="100" w:afterAutospacing="1" w:line="360" w:lineRule="auto"/>
        <w:textAlignment w:val="baseline"/>
        <w:rPr>
          <w:rFonts w:ascii="Cambria" w:eastAsia="Times New Roman" w:hAnsi="Cambria"/>
          <w:color w:val="000000" w:themeColor="text1"/>
          <w:lang w:eastAsia="en-GB"/>
        </w:rPr>
      </w:pPr>
      <w:r w:rsidRPr="003D66DD">
        <w:rPr>
          <w:rFonts w:ascii="Cambria" w:eastAsia="Times New Roman" w:hAnsi="Cambria"/>
          <w:color w:val="000000" w:themeColor="text1"/>
          <w:lang w:eastAsia="en-GB"/>
        </w:rPr>
        <w:t xml:space="preserve">Turning to the interplay between </w:t>
      </w:r>
      <w:r w:rsidR="00F15AA0" w:rsidRPr="003D66DD">
        <w:rPr>
          <w:rFonts w:ascii="Cambria" w:eastAsia="Times New Roman" w:hAnsi="Cambria"/>
          <w:color w:val="000000" w:themeColor="text1"/>
          <w:lang w:eastAsia="en-GB"/>
        </w:rPr>
        <w:t>f</w:t>
      </w:r>
      <w:r w:rsidR="007D641D" w:rsidRPr="003D66DD">
        <w:rPr>
          <w:rFonts w:ascii="Cambria" w:eastAsia="Times New Roman" w:hAnsi="Cambria"/>
          <w:color w:val="000000" w:themeColor="text1"/>
          <w:lang w:eastAsia="en-GB"/>
        </w:rPr>
        <w:t>ormal and informal</w:t>
      </w:r>
      <w:r w:rsidR="00A14F22" w:rsidRPr="003D66DD">
        <w:rPr>
          <w:rFonts w:ascii="Cambria" w:eastAsia="Times New Roman" w:hAnsi="Cambria"/>
          <w:color w:val="000000" w:themeColor="text1"/>
          <w:lang w:eastAsia="en-GB"/>
        </w:rPr>
        <w:t xml:space="preserve"> institutions</w:t>
      </w:r>
      <w:r w:rsidR="007D641D" w:rsidRPr="003D66DD">
        <w:rPr>
          <w:rFonts w:ascii="Cambria" w:eastAsia="Times New Roman" w:hAnsi="Cambria"/>
          <w:color w:val="000000" w:themeColor="text1"/>
          <w:lang w:eastAsia="en-GB"/>
        </w:rPr>
        <w:t>:</w:t>
      </w:r>
      <w:r w:rsidR="007D641D" w:rsidRPr="003D66DD">
        <w:rPr>
          <w:rFonts w:ascii="Cambria" w:eastAsia="Times New Roman" w:hAnsi="Cambria"/>
          <w:b/>
          <w:color w:val="000000" w:themeColor="text1"/>
          <w:lang w:eastAsia="en-GB"/>
        </w:rPr>
        <w:t xml:space="preserve"> </w:t>
      </w:r>
      <w:r w:rsidR="00A14F22" w:rsidRPr="003D66DD">
        <w:rPr>
          <w:rFonts w:ascii="Cambria" w:eastAsia="Times New Roman" w:hAnsi="Cambria"/>
          <w:color w:val="000000" w:themeColor="text1"/>
          <w:lang w:eastAsia="en-GB"/>
        </w:rPr>
        <w:t>n</w:t>
      </w:r>
      <w:r w:rsidR="00982BB1" w:rsidRPr="003D66DD">
        <w:rPr>
          <w:rFonts w:ascii="Cambria" w:eastAsia="Times New Roman" w:hAnsi="Cambria"/>
          <w:color w:val="000000" w:themeColor="text1"/>
          <w:lang w:eastAsia="en-GB"/>
        </w:rPr>
        <w:t xml:space="preserve">ew gender rules and norms exist within broader institutional architecture that privileges and enshrines ethno-national identity. </w:t>
      </w:r>
      <w:r w:rsidR="00F842D6" w:rsidRPr="003D66DD">
        <w:rPr>
          <w:rFonts w:ascii="Cambria" w:eastAsia="Times New Roman" w:hAnsi="Cambria"/>
          <w:color w:val="000000" w:themeColor="text1"/>
          <w:lang w:eastAsia="en-GB"/>
        </w:rPr>
        <w:t>For example</w:t>
      </w:r>
      <w:r w:rsidR="00F842D6" w:rsidRPr="003D66DD">
        <w:rPr>
          <w:rFonts w:ascii="Cambria" w:eastAsia="Times New Roman" w:hAnsi="Cambria"/>
          <w:bCs/>
          <w:color w:val="000000" w:themeColor="text1"/>
          <w:lang w:eastAsia="en-GB"/>
        </w:rPr>
        <w:t xml:space="preserve">, </w:t>
      </w:r>
      <w:r w:rsidR="003903B6" w:rsidRPr="003D66DD">
        <w:rPr>
          <w:rFonts w:ascii="Cambria" w:eastAsia="Times New Roman" w:hAnsi="Cambria"/>
          <w:bCs/>
          <w:color w:val="000000" w:themeColor="text1"/>
          <w:lang w:eastAsia="en-GB"/>
        </w:rPr>
        <w:t xml:space="preserve">the </w:t>
      </w:r>
      <w:r w:rsidR="00F842D6" w:rsidRPr="003D66DD">
        <w:rPr>
          <w:rFonts w:ascii="Cambria" w:eastAsia="Times New Roman" w:hAnsi="Cambria"/>
          <w:bCs/>
          <w:color w:val="000000" w:themeColor="text1"/>
          <w:lang w:eastAsia="en-GB"/>
        </w:rPr>
        <w:t>rules of the</w:t>
      </w:r>
      <w:r w:rsidR="00F842D6" w:rsidRPr="003D66DD">
        <w:rPr>
          <w:rFonts w:ascii="Cambria" w:eastAsia="Times New Roman" w:hAnsi="Cambria"/>
          <w:color w:val="000000" w:themeColor="text1"/>
          <w:lang w:eastAsia="en-GB"/>
        </w:rPr>
        <w:t xml:space="preserve"> </w:t>
      </w:r>
      <w:r w:rsidR="00F842D6" w:rsidRPr="003D66DD">
        <w:rPr>
          <w:rFonts w:ascii="Cambria" w:eastAsia="Times New Roman" w:hAnsi="Cambria"/>
          <w:bCs/>
          <w:color w:val="000000" w:themeColor="text1"/>
          <w:lang w:eastAsia="en-GB"/>
        </w:rPr>
        <w:t xml:space="preserve">Assembly </w:t>
      </w:r>
      <w:r w:rsidR="00F842D6" w:rsidRPr="003D66DD">
        <w:rPr>
          <w:rFonts w:ascii="Cambria" w:eastAsia="Times New Roman" w:hAnsi="Cambria"/>
          <w:color w:val="000000" w:themeColor="text1"/>
          <w:lang w:eastAsia="en-GB"/>
        </w:rPr>
        <w:t xml:space="preserve">require members to </w:t>
      </w:r>
      <w:r w:rsidR="00F842D6" w:rsidRPr="003D66DD">
        <w:rPr>
          <w:rFonts w:ascii="Cambria" w:eastAsia="Times New Roman" w:hAnsi="Cambria"/>
          <w:bCs/>
          <w:color w:val="000000" w:themeColor="text1"/>
          <w:lang w:eastAsia="en-GB"/>
        </w:rPr>
        <w:t xml:space="preserve">designate </w:t>
      </w:r>
      <w:r w:rsidR="005F05A1">
        <w:rPr>
          <w:rFonts w:ascii="Cambria" w:eastAsia="Times New Roman" w:hAnsi="Cambria"/>
          <w:color w:val="000000" w:themeColor="text1"/>
          <w:lang w:eastAsia="en-GB"/>
        </w:rPr>
        <w:t xml:space="preserve">as </w:t>
      </w:r>
      <w:r w:rsidR="00F842D6" w:rsidRPr="003D66DD">
        <w:rPr>
          <w:rFonts w:ascii="Cambria" w:eastAsia="Times New Roman" w:hAnsi="Cambria"/>
          <w:color w:val="000000" w:themeColor="text1"/>
          <w:lang w:eastAsia="en-GB"/>
        </w:rPr>
        <w:t>nationalist, unionist or ‘other’</w:t>
      </w:r>
      <w:r w:rsidR="005F05A1">
        <w:rPr>
          <w:rFonts w:ascii="Cambria" w:eastAsia="Times New Roman" w:hAnsi="Cambria"/>
          <w:color w:val="000000" w:themeColor="text1"/>
          <w:lang w:eastAsia="en-GB"/>
        </w:rPr>
        <w:t>,</w:t>
      </w:r>
      <w:r w:rsidR="00F842D6" w:rsidRPr="003D66DD">
        <w:rPr>
          <w:rFonts w:ascii="Cambria" w:eastAsia="Times New Roman" w:hAnsi="Cambria"/>
          <w:color w:val="000000" w:themeColor="text1"/>
          <w:lang w:eastAsia="en-GB"/>
        </w:rPr>
        <w:t xml:space="preserve"> and </w:t>
      </w:r>
      <w:r w:rsidR="005F05A1">
        <w:rPr>
          <w:rFonts w:ascii="Cambria" w:eastAsia="Times New Roman" w:hAnsi="Cambria"/>
          <w:color w:val="000000" w:themeColor="text1"/>
          <w:lang w:eastAsia="en-GB"/>
        </w:rPr>
        <w:t xml:space="preserve">it has </w:t>
      </w:r>
      <w:r w:rsidR="00F842D6" w:rsidRPr="003D66DD">
        <w:rPr>
          <w:rFonts w:ascii="Cambria" w:eastAsia="Times New Roman" w:hAnsi="Cambria"/>
          <w:bCs/>
          <w:color w:val="000000" w:themeColor="text1"/>
          <w:lang w:eastAsia="en-GB"/>
        </w:rPr>
        <w:t>voting procedures</w:t>
      </w:r>
      <w:r w:rsidR="005F05A1">
        <w:rPr>
          <w:rFonts w:ascii="Cambria" w:eastAsia="Times New Roman" w:hAnsi="Cambria"/>
          <w:color w:val="000000" w:themeColor="text1"/>
          <w:lang w:eastAsia="en-GB"/>
        </w:rPr>
        <w:t xml:space="preserve"> where in certain key votes</w:t>
      </w:r>
      <w:r w:rsidR="00F842D6" w:rsidRPr="003D66DD">
        <w:rPr>
          <w:rFonts w:ascii="Cambria" w:eastAsia="Times New Roman" w:hAnsi="Cambria"/>
          <w:color w:val="000000" w:themeColor="text1"/>
          <w:lang w:eastAsia="en-GB"/>
        </w:rPr>
        <w:t xml:space="preserve"> the votes of </w:t>
      </w:r>
      <w:r w:rsidR="005F05A1">
        <w:rPr>
          <w:rFonts w:ascii="Cambria" w:eastAsia="Times New Roman" w:hAnsi="Cambria"/>
          <w:color w:val="000000" w:themeColor="text1"/>
          <w:lang w:eastAsia="en-GB"/>
        </w:rPr>
        <w:t>‘</w:t>
      </w:r>
      <w:r w:rsidR="00F842D6" w:rsidRPr="003D66DD">
        <w:rPr>
          <w:rFonts w:ascii="Cambria" w:eastAsia="Times New Roman" w:hAnsi="Cambria"/>
          <w:color w:val="000000" w:themeColor="text1"/>
          <w:lang w:eastAsia="en-GB"/>
        </w:rPr>
        <w:t>others</w:t>
      </w:r>
      <w:r w:rsidR="005F05A1">
        <w:rPr>
          <w:rFonts w:ascii="Cambria" w:eastAsia="Times New Roman" w:hAnsi="Cambria"/>
          <w:color w:val="000000" w:themeColor="text1"/>
          <w:lang w:eastAsia="en-GB"/>
        </w:rPr>
        <w:t>’</w:t>
      </w:r>
      <w:r w:rsidR="00F842D6" w:rsidRPr="003D66DD">
        <w:rPr>
          <w:rFonts w:ascii="Cambria" w:eastAsia="Times New Roman" w:hAnsi="Cambria"/>
          <w:color w:val="000000" w:themeColor="text1"/>
          <w:lang w:eastAsia="en-GB"/>
        </w:rPr>
        <w:t xml:space="preserve"> do</w:t>
      </w:r>
      <w:r w:rsidR="00862A40" w:rsidRPr="003D66DD">
        <w:rPr>
          <w:rFonts w:ascii="Cambria" w:eastAsia="Times New Roman" w:hAnsi="Cambria"/>
          <w:color w:val="000000" w:themeColor="text1"/>
          <w:lang w:eastAsia="en-GB"/>
        </w:rPr>
        <w:t xml:space="preserve"> no</w:t>
      </w:r>
      <w:r w:rsidR="00F842D6" w:rsidRPr="003D66DD">
        <w:rPr>
          <w:rFonts w:ascii="Cambria" w:eastAsia="Times New Roman" w:hAnsi="Cambria"/>
          <w:color w:val="000000" w:themeColor="text1"/>
          <w:lang w:eastAsia="en-GB"/>
        </w:rPr>
        <w:t>t count.  </w:t>
      </w:r>
      <w:r w:rsidR="002A3EB5" w:rsidRPr="003D66DD">
        <w:rPr>
          <w:rFonts w:ascii="Cambria" w:eastAsia="Times New Roman" w:hAnsi="Cambria"/>
          <w:color w:val="000000" w:themeColor="text1"/>
          <w:lang w:eastAsia="en-GB"/>
        </w:rPr>
        <w:t xml:space="preserve">Gender </w:t>
      </w:r>
      <w:r w:rsidR="00B06641">
        <w:rPr>
          <w:rFonts w:ascii="Cambria" w:eastAsia="Times New Roman" w:hAnsi="Cambria"/>
          <w:color w:val="000000" w:themeColor="text1"/>
          <w:lang w:eastAsia="en-GB"/>
        </w:rPr>
        <w:t xml:space="preserve">reform </w:t>
      </w:r>
      <w:r w:rsidR="002A3EB5" w:rsidRPr="003D66DD">
        <w:rPr>
          <w:rFonts w:ascii="Cambria" w:eastAsia="Times New Roman" w:hAnsi="Cambria"/>
          <w:color w:val="000000" w:themeColor="text1"/>
          <w:lang w:eastAsia="en-GB"/>
        </w:rPr>
        <w:t xml:space="preserve">actors such as the NIWC seized the </w:t>
      </w:r>
      <w:r w:rsidR="002A3EB5" w:rsidRPr="003D66DD">
        <w:rPr>
          <w:rFonts w:ascii="Cambria" w:eastAsia="Times New Roman" w:hAnsi="Cambria"/>
          <w:bCs/>
          <w:color w:val="000000" w:themeColor="text1"/>
          <w:lang w:eastAsia="en-GB"/>
        </w:rPr>
        <w:t>window of opportunity that</w:t>
      </w:r>
      <w:r w:rsidR="002A3EB5" w:rsidRPr="003D66DD">
        <w:rPr>
          <w:rFonts w:ascii="Cambria" w:eastAsia="Times New Roman" w:hAnsi="Cambria"/>
          <w:color w:val="000000" w:themeColor="text1"/>
          <w:lang w:eastAsia="en-GB"/>
        </w:rPr>
        <w:t xml:space="preserve"> institutional restructuring and</w:t>
      </w:r>
      <w:r w:rsidR="002A3EB5" w:rsidRPr="003D66DD">
        <w:rPr>
          <w:rFonts w:ascii="Cambria" w:eastAsia="Times New Roman" w:hAnsi="Cambria"/>
          <w:b/>
          <w:i/>
          <w:color w:val="000000" w:themeColor="text1"/>
          <w:lang w:eastAsia="en-GB"/>
        </w:rPr>
        <w:t xml:space="preserve"> </w:t>
      </w:r>
      <w:r w:rsidR="002A3EB5" w:rsidRPr="003D66DD">
        <w:rPr>
          <w:rFonts w:ascii="Cambria" w:eastAsia="Times New Roman" w:hAnsi="Cambria"/>
          <w:color w:val="000000" w:themeColor="text1"/>
          <w:lang w:eastAsia="en-GB"/>
        </w:rPr>
        <w:t xml:space="preserve">new institutions presented, and made claims that in many ways prefigured the WPS agenda. However, </w:t>
      </w:r>
      <w:r w:rsidR="002A3EB5" w:rsidRPr="003D66DD">
        <w:rPr>
          <w:rFonts w:ascii="Cambria" w:eastAsia="Times New Roman" w:hAnsi="Cambria"/>
          <w:bCs/>
          <w:color w:val="000000" w:themeColor="text1"/>
          <w:lang w:eastAsia="en-GB"/>
        </w:rPr>
        <w:t xml:space="preserve">over the longer haul, and in the daily instantiation of the </w:t>
      </w:r>
      <w:r w:rsidR="002A3EB5" w:rsidRPr="003D66DD">
        <w:rPr>
          <w:rFonts w:ascii="Cambria" w:eastAsia="Times New Roman" w:hAnsi="Cambria"/>
          <w:color w:val="000000" w:themeColor="text1"/>
          <w:lang w:eastAsia="en-GB"/>
        </w:rPr>
        <w:t xml:space="preserve">power-sharing institutions the NIWC found themselves in many ways </w:t>
      </w:r>
      <w:r w:rsidR="002A3EB5" w:rsidRPr="003D66DD">
        <w:rPr>
          <w:rFonts w:ascii="Cambria" w:eastAsia="Times New Roman" w:hAnsi="Cambria"/>
          <w:bCs/>
          <w:color w:val="000000" w:themeColor="text1"/>
          <w:lang w:eastAsia="en-GB"/>
        </w:rPr>
        <w:t xml:space="preserve">marginalised by the formal and informal rules of the </w:t>
      </w:r>
      <w:proofErr w:type="spellStart"/>
      <w:r w:rsidR="002A3EB5" w:rsidRPr="003D66DD">
        <w:rPr>
          <w:rFonts w:ascii="Cambria" w:eastAsia="Times New Roman" w:hAnsi="Cambria"/>
          <w:bCs/>
          <w:color w:val="000000" w:themeColor="text1"/>
          <w:lang w:eastAsia="en-GB"/>
        </w:rPr>
        <w:t>consociational</w:t>
      </w:r>
      <w:proofErr w:type="spellEnd"/>
      <w:r w:rsidR="002A3EB5" w:rsidRPr="003D66DD">
        <w:rPr>
          <w:rFonts w:ascii="Cambria" w:eastAsia="Times New Roman" w:hAnsi="Cambria"/>
          <w:bCs/>
          <w:color w:val="000000" w:themeColor="text1"/>
          <w:lang w:eastAsia="en-GB"/>
        </w:rPr>
        <w:t xml:space="preserve"> system</w:t>
      </w:r>
      <w:r w:rsidR="005F05A1">
        <w:rPr>
          <w:rFonts w:ascii="Cambria" w:eastAsia="Times New Roman" w:hAnsi="Cambria"/>
          <w:color w:val="000000" w:themeColor="text1"/>
          <w:lang w:eastAsia="en-GB"/>
        </w:rPr>
        <w:t xml:space="preserve">, such as the </w:t>
      </w:r>
      <w:r w:rsidR="002A3EB5" w:rsidRPr="003D66DD">
        <w:rPr>
          <w:rFonts w:ascii="Cambria" w:eastAsia="Times New Roman" w:hAnsi="Cambria"/>
          <w:color w:val="000000" w:themeColor="text1"/>
          <w:lang w:eastAsia="en-GB"/>
        </w:rPr>
        <w:t xml:space="preserve">formal </w:t>
      </w:r>
      <w:r w:rsidR="005F05A1">
        <w:rPr>
          <w:rFonts w:ascii="Cambria" w:eastAsia="Times New Roman" w:hAnsi="Cambria"/>
          <w:color w:val="000000" w:themeColor="text1"/>
          <w:lang w:eastAsia="en-GB"/>
        </w:rPr>
        <w:t>designation rules,</w:t>
      </w:r>
      <w:r w:rsidR="002A3EB5" w:rsidRPr="003D66DD">
        <w:rPr>
          <w:rFonts w:ascii="Cambria" w:eastAsia="Times New Roman" w:hAnsi="Cambria"/>
          <w:color w:val="000000" w:themeColor="text1"/>
          <w:lang w:eastAsia="en-GB"/>
        </w:rPr>
        <w:t xml:space="preserve"> </w:t>
      </w:r>
      <w:r w:rsidR="00B14904" w:rsidRPr="003D66DD">
        <w:rPr>
          <w:rFonts w:ascii="Cambria" w:eastAsia="Times New Roman" w:hAnsi="Cambria"/>
          <w:color w:val="000000" w:themeColor="text1"/>
          <w:lang w:eastAsia="en-GB"/>
        </w:rPr>
        <w:t xml:space="preserve">and </w:t>
      </w:r>
      <w:r w:rsidR="002A3EB5" w:rsidRPr="003D66DD">
        <w:rPr>
          <w:rFonts w:ascii="Cambria" w:eastAsia="Times New Roman" w:hAnsi="Cambria"/>
          <w:color w:val="000000" w:themeColor="text1"/>
          <w:lang w:eastAsia="en-GB"/>
        </w:rPr>
        <w:t xml:space="preserve">informal </w:t>
      </w:r>
      <w:r w:rsidR="006B3113" w:rsidRPr="003D66DD">
        <w:rPr>
          <w:rFonts w:ascii="Cambria" w:eastAsia="Times New Roman" w:hAnsi="Cambria"/>
          <w:color w:val="000000" w:themeColor="text1"/>
          <w:lang w:eastAsia="en-GB"/>
        </w:rPr>
        <w:t>practices that result in</w:t>
      </w:r>
      <w:r w:rsidR="00EF7471">
        <w:rPr>
          <w:rFonts w:ascii="Cambria" w:eastAsia="Times New Roman" w:hAnsi="Cambria"/>
          <w:color w:val="000000" w:themeColor="text1"/>
          <w:lang w:eastAsia="en-GB"/>
        </w:rPr>
        <w:t xml:space="preserve"> polaris</w:t>
      </w:r>
      <w:r w:rsidR="00B14904" w:rsidRPr="003D66DD">
        <w:rPr>
          <w:rFonts w:ascii="Cambria" w:eastAsia="Times New Roman" w:hAnsi="Cambria"/>
          <w:color w:val="000000" w:themeColor="text1"/>
          <w:lang w:eastAsia="en-GB"/>
        </w:rPr>
        <w:t>ation and instability</w:t>
      </w:r>
      <w:r w:rsidR="006B3113" w:rsidRPr="003D66DD">
        <w:rPr>
          <w:rFonts w:ascii="Cambria" w:eastAsia="Times New Roman" w:hAnsi="Cambria"/>
          <w:color w:val="000000" w:themeColor="text1"/>
          <w:lang w:eastAsia="en-GB"/>
        </w:rPr>
        <w:t>.</w:t>
      </w:r>
    </w:p>
    <w:p w14:paraId="629D912B" w14:textId="792D04B3" w:rsidR="002852B0" w:rsidRDefault="00B14904" w:rsidP="00F15AA0">
      <w:pPr>
        <w:pStyle w:val="paragraph"/>
        <w:spacing w:line="360" w:lineRule="auto"/>
        <w:textAlignment w:val="baseline"/>
        <w:rPr>
          <w:rFonts w:ascii="Cambria" w:hAnsi="Cambria"/>
          <w:color w:val="000000" w:themeColor="text1"/>
        </w:rPr>
      </w:pPr>
      <w:r w:rsidRPr="003D66DD">
        <w:rPr>
          <w:rFonts w:ascii="Cambria" w:hAnsi="Cambria"/>
          <w:color w:val="000000" w:themeColor="text1"/>
        </w:rPr>
        <w:t xml:space="preserve">Whilst </w:t>
      </w:r>
      <w:proofErr w:type="spellStart"/>
      <w:r w:rsidRPr="003D66DD">
        <w:rPr>
          <w:rFonts w:ascii="Cambria" w:hAnsi="Cambria"/>
          <w:color w:val="000000" w:themeColor="text1"/>
        </w:rPr>
        <w:t>clientelism</w:t>
      </w:r>
      <w:proofErr w:type="spellEnd"/>
      <w:r w:rsidRPr="003D66DD">
        <w:rPr>
          <w:rFonts w:ascii="Cambria" w:hAnsi="Cambria"/>
          <w:color w:val="000000" w:themeColor="text1"/>
        </w:rPr>
        <w:t xml:space="preserve"> is not as pronounced as in </w:t>
      </w:r>
      <w:proofErr w:type="spellStart"/>
      <w:r w:rsidRPr="003D66DD">
        <w:rPr>
          <w:rFonts w:ascii="Cambria" w:hAnsi="Cambria"/>
          <w:color w:val="000000" w:themeColor="text1"/>
        </w:rPr>
        <w:t>BiH</w:t>
      </w:r>
      <w:proofErr w:type="spellEnd"/>
      <w:r w:rsidRPr="003D66DD">
        <w:rPr>
          <w:rFonts w:ascii="Cambria" w:hAnsi="Cambria"/>
          <w:color w:val="000000" w:themeColor="text1"/>
        </w:rPr>
        <w:t xml:space="preserve"> and Burundi, ‘cronyism</w:t>
      </w:r>
      <w:r w:rsidR="006B3113" w:rsidRPr="003D66DD">
        <w:rPr>
          <w:rFonts w:ascii="Cambria" w:hAnsi="Cambria"/>
          <w:color w:val="000000" w:themeColor="text1"/>
        </w:rPr>
        <w:t>’</w:t>
      </w:r>
      <w:r w:rsidRPr="003D66DD">
        <w:rPr>
          <w:rFonts w:ascii="Cambria" w:hAnsi="Cambria"/>
          <w:color w:val="000000" w:themeColor="text1"/>
        </w:rPr>
        <w:t xml:space="preserve"> and links between political parties and ethno-nationally aligned organisations are </w:t>
      </w:r>
      <w:r w:rsidR="00F372FA">
        <w:rPr>
          <w:rFonts w:ascii="Cambria" w:hAnsi="Cambria"/>
          <w:color w:val="000000" w:themeColor="text1"/>
        </w:rPr>
        <w:t xml:space="preserve">significant </w:t>
      </w:r>
      <w:r w:rsidRPr="003D66DD">
        <w:rPr>
          <w:rFonts w:ascii="Cambria" w:hAnsi="Cambria"/>
          <w:color w:val="000000" w:themeColor="text1"/>
        </w:rPr>
        <w:t>issues in N</w:t>
      </w:r>
      <w:r w:rsidR="005F05A1">
        <w:rPr>
          <w:rFonts w:ascii="Cambria" w:hAnsi="Cambria"/>
          <w:color w:val="000000" w:themeColor="text1"/>
        </w:rPr>
        <w:t xml:space="preserve">orthern </w:t>
      </w:r>
      <w:r w:rsidRPr="003D66DD">
        <w:rPr>
          <w:rFonts w:ascii="Cambria" w:hAnsi="Cambria"/>
          <w:color w:val="000000" w:themeColor="text1"/>
        </w:rPr>
        <w:t>I</w:t>
      </w:r>
      <w:r w:rsidR="005F05A1">
        <w:rPr>
          <w:rFonts w:ascii="Cambria" w:hAnsi="Cambria"/>
          <w:color w:val="000000" w:themeColor="text1"/>
        </w:rPr>
        <w:t>reland</w:t>
      </w:r>
      <w:r w:rsidRPr="003D66DD">
        <w:rPr>
          <w:rFonts w:ascii="Cambria" w:hAnsi="Cambria"/>
          <w:color w:val="000000" w:themeColor="text1"/>
        </w:rPr>
        <w:t xml:space="preserve"> politics. </w:t>
      </w:r>
      <w:r w:rsidR="00FA69F0">
        <w:rPr>
          <w:rFonts w:ascii="Cambria" w:hAnsi="Cambria"/>
          <w:color w:val="000000" w:themeColor="text1"/>
        </w:rPr>
        <w:t>Th</w:t>
      </w:r>
      <w:r w:rsidR="003042BA">
        <w:rPr>
          <w:rFonts w:ascii="Cambria" w:hAnsi="Cambria"/>
          <w:color w:val="000000" w:themeColor="text1"/>
        </w:rPr>
        <w:t>ese</w:t>
      </w:r>
      <w:r w:rsidR="00FA69F0">
        <w:rPr>
          <w:rFonts w:ascii="Cambria" w:hAnsi="Cambria"/>
          <w:color w:val="000000" w:themeColor="text1"/>
        </w:rPr>
        <w:t xml:space="preserve"> dynamic</w:t>
      </w:r>
      <w:r w:rsidR="003042BA">
        <w:rPr>
          <w:rFonts w:ascii="Cambria" w:hAnsi="Cambria"/>
          <w:color w:val="000000" w:themeColor="text1"/>
        </w:rPr>
        <w:t>s</w:t>
      </w:r>
      <w:r w:rsidR="00FA69F0">
        <w:rPr>
          <w:rFonts w:ascii="Cambria" w:hAnsi="Cambria"/>
          <w:color w:val="000000" w:themeColor="text1"/>
        </w:rPr>
        <w:t xml:space="preserve"> ha</w:t>
      </w:r>
      <w:r w:rsidR="003042BA">
        <w:rPr>
          <w:rFonts w:ascii="Cambria" w:hAnsi="Cambria"/>
          <w:color w:val="000000" w:themeColor="text1"/>
        </w:rPr>
        <w:t xml:space="preserve">ve </w:t>
      </w:r>
      <w:r w:rsidR="00FA69F0">
        <w:rPr>
          <w:rFonts w:ascii="Cambria" w:hAnsi="Cambria"/>
          <w:color w:val="000000" w:themeColor="text1"/>
        </w:rPr>
        <w:t xml:space="preserve">been illustrated </w:t>
      </w:r>
      <w:r w:rsidR="003042BA">
        <w:rPr>
          <w:rFonts w:ascii="Cambria" w:hAnsi="Cambria"/>
          <w:color w:val="000000" w:themeColor="text1"/>
        </w:rPr>
        <w:t xml:space="preserve">by </w:t>
      </w:r>
      <w:r w:rsidR="00FA69F0">
        <w:rPr>
          <w:rFonts w:ascii="Cambria" w:hAnsi="Cambria"/>
          <w:color w:val="000000" w:themeColor="text1"/>
        </w:rPr>
        <w:t xml:space="preserve">the </w:t>
      </w:r>
      <w:r w:rsidR="009F7CB3">
        <w:rPr>
          <w:rFonts w:ascii="Cambria" w:hAnsi="Cambria"/>
          <w:color w:val="000000" w:themeColor="text1"/>
        </w:rPr>
        <w:t>above</w:t>
      </w:r>
      <w:r w:rsidR="00D924C5">
        <w:rPr>
          <w:rFonts w:ascii="Cambria" w:hAnsi="Cambria"/>
          <w:color w:val="000000" w:themeColor="text1"/>
        </w:rPr>
        <w:t>-</w:t>
      </w:r>
      <w:r w:rsidR="009F7CB3">
        <w:rPr>
          <w:rFonts w:ascii="Cambria" w:hAnsi="Cambria"/>
          <w:color w:val="000000" w:themeColor="text1"/>
        </w:rPr>
        <w:t xml:space="preserve">mentioned </w:t>
      </w:r>
      <w:r w:rsidR="005E54F2">
        <w:rPr>
          <w:rFonts w:ascii="Cambria" w:hAnsi="Cambria"/>
          <w:color w:val="000000" w:themeColor="text1"/>
        </w:rPr>
        <w:t xml:space="preserve">heating </w:t>
      </w:r>
      <w:r w:rsidR="00463FE3">
        <w:rPr>
          <w:rFonts w:ascii="Cambria" w:hAnsi="Cambria"/>
          <w:color w:val="000000" w:themeColor="text1"/>
        </w:rPr>
        <w:t xml:space="preserve">scheme </w:t>
      </w:r>
      <w:r w:rsidR="00D72A99">
        <w:rPr>
          <w:rFonts w:ascii="Cambria" w:hAnsi="Cambria"/>
          <w:color w:val="000000" w:themeColor="text1"/>
        </w:rPr>
        <w:t xml:space="preserve">which implicated the DUP leader in </w:t>
      </w:r>
      <w:r w:rsidR="00E417FB">
        <w:rPr>
          <w:rFonts w:ascii="Cambria" w:hAnsi="Cambria"/>
          <w:color w:val="000000" w:themeColor="text1"/>
        </w:rPr>
        <w:t xml:space="preserve">a </w:t>
      </w:r>
      <w:r w:rsidR="00D72A99">
        <w:rPr>
          <w:rFonts w:ascii="Cambria" w:hAnsi="Cambria"/>
          <w:color w:val="000000" w:themeColor="text1"/>
        </w:rPr>
        <w:t>corruption</w:t>
      </w:r>
      <w:r w:rsidR="00E417FB">
        <w:rPr>
          <w:rFonts w:ascii="Cambria" w:hAnsi="Cambria"/>
          <w:color w:val="000000" w:themeColor="text1"/>
        </w:rPr>
        <w:t xml:space="preserve"> scandal</w:t>
      </w:r>
      <w:r w:rsidR="00D72A99">
        <w:rPr>
          <w:rFonts w:ascii="Cambria" w:hAnsi="Cambria"/>
          <w:color w:val="000000" w:themeColor="text1"/>
        </w:rPr>
        <w:t xml:space="preserve">, </w:t>
      </w:r>
      <w:r w:rsidR="009F7CB3">
        <w:rPr>
          <w:rFonts w:ascii="Cambria" w:hAnsi="Cambria"/>
          <w:color w:val="000000" w:themeColor="text1"/>
        </w:rPr>
        <w:t>precipitating the collapse of power-sharing</w:t>
      </w:r>
      <w:r w:rsidR="00FF53B4">
        <w:rPr>
          <w:rFonts w:ascii="Cambria" w:hAnsi="Cambria"/>
          <w:color w:val="000000" w:themeColor="text1"/>
        </w:rPr>
        <w:t xml:space="preserve"> in 2017</w:t>
      </w:r>
      <w:r w:rsidR="004B0666">
        <w:rPr>
          <w:rFonts w:ascii="Cambria" w:hAnsi="Cambria"/>
          <w:color w:val="000000" w:themeColor="text1"/>
        </w:rPr>
        <w:t xml:space="preserve">. Likewise, </w:t>
      </w:r>
      <w:r w:rsidR="00FA69F0">
        <w:rPr>
          <w:rFonts w:ascii="Cambria" w:hAnsi="Cambria"/>
          <w:color w:val="000000" w:themeColor="text1"/>
        </w:rPr>
        <w:t xml:space="preserve">controversy erupted in 2016 </w:t>
      </w:r>
      <w:r w:rsidR="00CA65F5">
        <w:rPr>
          <w:rFonts w:ascii="Cambria" w:hAnsi="Cambria"/>
          <w:color w:val="000000" w:themeColor="text1"/>
        </w:rPr>
        <w:t xml:space="preserve">when it emerged that a significant proportion of </w:t>
      </w:r>
      <w:r w:rsidR="00D71CFE">
        <w:rPr>
          <w:rFonts w:ascii="Cambria" w:hAnsi="Cambria"/>
          <w:color w:val="000000" w:themeColor="text1"/>
        </w:rPr>
        <w:t>a public fund</w:t>
      </w:r>
      <w:r w:rsidR="004E4458">
        <w:rPr>
          <w:rFonts w:ascii="Cambria" w:hAnsi="Cambria"/>
          <w:color w:val="000000" w:themeColor="text1"/>
        </w:rPr>
        <w:t>ing scheme</w:t>
      </w:r>
      <w:r w:rsidR="00D71CFE">
        <w:rPr>
          <w:rFonts w:ascii="Cambria" w:hAnsi="Cambria"/>
          <w:color w:val="000000" w:themeColor="text1"/>
        </w:rPr>
        <w:t xml:space="preserve"> </w:t>
      </w:r>
      <w:r w:rsidR="00B06641">
        <w:rPr>
          <w:rFonts w:ascii="Cambria" w:hAnsi="Cambria"/>
          <w:color w:val="000000" w:themeColor="text1"/>
        </w:rPr>
        <w:t xml:space="preserve">(the Social Investment Fund) </w:t>
      </w:r>
      <w:r w:rsidR="00FA69F0">
        <w:rPr>
          <w:rFonts w:ascii="Cambria" w:hAnsi="Cambria"/>
          <w:color w:val="000000" w:themeColor="text1"/>
        </w:rPr>
        <w:t>intended to support</w:t>
      </w:r>
      <w:r w:rsidR="00B06641">
        <w:rPr>
          <w:rFonts w:ascii="Cambria" w:hAnsi="Cambria"/>
          <w:color w:val="000000" w:themeColor="text1"/>
        </w:rPr>
        <w:t xml:space="preserve"> socially deprived communities</w:t>
      </w:r>
      <w:r w:rsidR="00D71CFE">
        <w:rPr>
          <w:rFonts w:ascii="Cambria" w:hAnsi="Cambria"/>
          <w:color w:val="000000" w:themeColor="text1"/>
        </w:rPr>
        <w:t xml:space="preserve"> </w:t>
      </w:r>
      <w:r w:rsidR="00165C13">
        <w:rPr>
          <w:rFonts w:ascii="Cambria" w:hAnsi="Cambria"/>
          <w:color w:val="000000" w:themeColor="text1"/>
        </w:rPr>
        <w:t xml:space="preserve">had been </w:t>
      </w:r>
      <w:r w:rsidR="00FA69F0">
        <w:rPr>
          <w:rFonts w:ascii="Cambria" w:hAnsi="Cambria"/>
          <w:color w:val="000000" w:themeColor="text1"/>
        </w:rPr>
        <w:t xml:space="preserve">allocated to </w:t>
      </w:r>
      <w:r w:rsidR="00165C13">
        <w:rPr>
          <w:rFonts w:ascii="Cambria" w:hAnsi="Cambria"/>
          <w:color w:val="000000" w:themeColor="text1"/>
        </w:rPr>
        <w:t xml:space="preserve">an </w:t>
      </w:r>
      <w:r w:rsidR="00FA69F0">
        <w:rPr>
          <w:rFonts w:ascii="Cambria" w:hAnsi="Cambria"/>
          <w:color w:val="000000" w:themeColor="text1"/>
        </w:rPr>
        <w:t>organisation headed by the leader of a loyalist paramilitary group</w:t>
      </w:r>
      <w:r w:rsidR="00F535E1">
        <w:rPr>
          <w:rFonts w:ascii="Cambria" w:hAnsi="Cambria"/>
          <w:color w:val="000000" w:themeColor="text1"/>
        </w:rPr>
        <w:t xml:space="preserve"> (Gordon, 2018)</w:t>
      </w:r>
      <w:r w:rsidR="00165C13">
        <w:rPr>
          <w:rFonts w:ascii="Cambria" w:hAnsi="Cambria"/>
          <w:color w:val="000000" w:themeColor="text1"/>
        </w:rPr>
        <w:t xml:space="preserve">. </w:t>
      </w:r>
      <w:r w:rsidRPr="003D66DD">
        <w:rPr>
          <w:rFonts w:ascii="Cambria" w:hAnsi="Cambria"/>
          <w:color w:val="000000" w:themeColor="text1"/>
        </w:rPr>
        <w:t>Th</w:t>
      </w:r>
      <w:r w:rsidR="00B92DD5">
        <w:rPr>
          <w:rFonts w:ascii="Cambria" w:hAnsi="Cambria"/>
          <w:color w:val="000000" w:themeColor="text1"/>
        </w:rPr>
        <w:t xml:space="preserve">e latter </w:t>
      </w:r>
      <w:r w:rsidRPr="003D66DD">
        <w:rPr>
          <w:rFonts w:ascii="Cambria" w:hAnsi="Cambria"/>
          <w:color w:val="000000" w:themeColor="text1"/>
        </w:rPr>
        <w:t xml:space="preserve">has clear implications for </w:t>
      </w:r>
      <w:proofErr w:type="spellStart"/>
      <w:r w:rsidRPr="003D66DD">
        <w:rPr>
          <w:rFonts w:ascii="Cambria" w:hAnsi="Cambria"/>
          <w:color w:val="000000" w:themeColor="text1"/>
        </w:rPr>
        <w:t>deprioritisation</w:t>
      </w:r>
      <w:proofErr w:type="spellEnd"/>
      <w:r w:rsidRPr="003D66DD">
        <w:rPr>
          <w:rFonts w:ascii="Cambria" w:hAnsi="Cambria"/>
          <w:color w:val="000000" w:themeColor="text1"/>
        </w:rPr>
        <w:t xml:space="preserve"> of non-ethno-national issues</w:t>
      </w:r>
      <w:r w:rsidR="0012690F">
        <w:rPr>
          <w:rFonts w:ascii="Cambria" w:hAnsi="Cambria"/>
          <w:color w:val="000000" w:themeColor="text1"/>
        </w:rPr>
        <w:t>,</w:t>
      </w:r>
      <w:r w:rsidRPr="003D66DD">
        <w:rPr>
          <w:rFonts w:ascii="Cambria" w:hAnsi="Cambria"/>
          <w:color w:val="000000" w:themeColor="text1"/>
        </w:rPr>
        <w:t xml:space="preserve"> including gender</w:t>
      </w:r>
      <w:r w:rsidR="00B06641">
        <w:rPr>
          <w:rFonts w:ascii="Cambria" w:hAnsi="Cambria"/>
          <w:color w:val="000000" w:themeColor="text1"/>
        </w:rPr>
        <w:t xml:space="preserve"> equality</w:t>
      </w:r>
      <w:r w:rsidR="00F372FA">
        <w:rPr>
          <w:rFonts w:ascii="Cambria" w:hAnsi="Cambria"/>
          <w:color w:val="000000" w:themeColor="text1"/>
        </w:rPr>
        <w:t>,</w:t>
      </w:r>
      <w:r w:rsidR="005D4308">
        <w:rPr>
          <w:rFonts w:ascii="Cambria" w:hAnsi="Cambria"/>
          <w:color w:val="000000" w:themeColor="text1"/>
        </w:rPr>
        <w:t xml:space="preserve"> as</w:t>
      </w:r>
      <w:r w:rsidR="00DC440D">
        <w:rPr>
          <w:rFonts w:ascii="Cambria" w:hAnsi="Cambria"/>
          <w:color w:val="000000" w:themeColor="text1"/>
        </w:rPr>
        <w:t xml:space="preserve"> </w:t>
      </w:r>
      <w:r w:rsidR="00B06641">
        <w:rPr>
          <w:rFonts w:ascii="Cambria" w:hAnsi="Cambria"/>
          <w:color w:val="000000" w:themeColor="text1"/>
        </w:rPr>
        <w:t xml:space="preserve">also </w:t>
      </w:r>
      <w:r w:rsidR="004633BA">
        <w:rPr>
          <w:rFonts w:ascii="Cambria" w:hAnsi="Cambria"/>
          <w:color w:val="000000" w:themeColor="text1"/>
        </w:rPr>
        <w:t>indicated by</w:t>
      </w:r>
      <w:r w:rsidR="00DC440D">
        <w:rPr>
          <w:rFonts w:ascii="Cambria" w:hAnsi="Cambria"/>
          <w:color w:val="000000" w:themeColor="text1"/>
        </w:rPr>
        <w:t xml:space="preserve"> the </w:t>
      </w:r>
      <w:r w:rsidR="006E753C">
        <w:rPr>
          <w:rFonts w:ascii="Cambria" w:hAnsi="Cambria"/>
          <w:color w:val="000000" w:themeColor="text1"/>
        </w:rPr>
        <w:t xml:space="preserve">gradual </w:t>
      </w:r>
      <w:r w:rsidR="00DC440D">
        <w:rPr>
          <w:rFonts w:ascii="Cambria" w:hAnsi="Cambria"/>
          <w:color w:val="000000" w:themeColor="text1"/>
        </w:rPr>
        <w:t xml:space="preserve">closure of </w:t>
      </w:r>
      <w:r w:rsidR="004633BA">
        <w:rPr>
          <w:rFonts w:ascii="Cambria" w:hAnsi="Cambria"/>
          <w:color w:val="000000" w:themeColor="text1"/>
        </w:rPr>
        <w:t xml:space="preserve">Belfast’s </w:t>
      </w:r>
      <w:r w:rsidR="00DC440D">
        <w:rPr>
          <w:rFonts w:ascii="Cambria" w:hAnsi="Cambria"/>
          <w:color w:val="000000" w:themeColor="text1"/>
        </w:rPr>
        <w:t xml:space="preserve">only rape crisis centre </w:t>
      </w:r>
      <w:r w:rsidR="001A1EA5">
        <w:rPr>
          <w:rFonts w:ascii="Cambria" w:hAnsi="Cambria"/>
          <w:color w:val="000000" w:themeColor="text1"/>
        </w:rPr>
        <w:t xml:space="preserve">following the withdrawal of government funding </w:t>
      </w:r>
      <w:r w:rsidR="00615656">
        <w:rPr>
          <w:rFonts w:ascii="Cambria" w:hAnsi="Cambria"/>
          <w:color w:val="000000" w:themeColor="text1"/>
        </w:rPr>
        <w:t>(McKay, 2018)</w:t>
      </w:r>
      <w:r w:rsidR="006B3113" w:rsidRPr="003D66DD">
        <w:rPr>
          <w:rFonts w:ascii="Cambria" w:hAnsi="Cambria"/>
          <w:color w:val="000000" w:themeColor="text1"/>
        </w:rPr>
        <w:t xml:space="preserve">. </w:t>
      </w:r>
    </w:p>
    <w:p w14:paraId="2893BF85" w14:textId="17443F5A" w:rsidR="00574591" w:rsidRPr="003D66DD" w:rsidRDefault="005F05A1" w:rsidP="00862A40">
      <w:pPr>
        <w:pStyle w:val="paragraph"/>
        <w:spacing w:line="360" w:lineRule="auto"/>
        <w:textAlignment w:val="baseline"/>
        <w:rPr>
          <w:rFonts w:ascii="Cambria" w:hAnsi="Cambria"/>
          <w:bCs/>
          <w:i/>
          <w:color w:val="000000" w:themeColor="text1"/>
        </w:rPr>
      </w:pPr>
      <w:r>
        <w:rPr>
          <w:rFonts w:ascii="Cambria" w:hAnsi="Cambria"/>
          <w:bCs/>
          <w:i/>
          <w:color w:val="000000" w:themeColor="text1"/>
        </w:rPr>
        <w:t>The Gendered Logic of A</w:t>
      </w:r>
      <w:r w:rsidR="006B3113" w:rsidRPr="003D66DD">
        <w:rPr>
          <w:rFonts w:ascii="Cambria" w:hAnsi="Cambria"/>
          <w:bCs/>
          <w:i/>
          <w:color w:val="000000" w:themeColor="text1"/>
        </w:rPr>
        <w:t>ppropriateness</w:t>
      </w:r>
      <w:r w:rsidR="007D641D" w:rsidRPr="003D66DD">
        <w:rPr>
          <w:rFonts w:ascii="Cambria" w:hAnsi="Cambria"/>
          <w:bCs/>
          <w:i/>
          <w:color w:val="000000" w:themeColor="text1"/>
        </w:rPr>
        <w:t xml:space="preserve"> </w:t>
      </w:r>
    </w:p>
    <w:p w14:paraId="54CC05D3" w14:textId="59036C85" w:rsidR="00862A40" w:rsidRPr="003D66DD" w:rsidRDefault="002852B0" w:rsidP="00862A40">
      <w:pPr>
        <w:pStyle w:val="paragraph"/>
        <w:spacing w:line="360" w:lineRule="auto"/>
        <w:textAlignment w:val="baseline"/>
        <w:rPr>
          <w:rStyle w:val="normaltextrun"/>
          <w:rFonts w:ascii="Cambria" w:hAnsi="Cambria"/>
          <w:color w:val="000000" w:themeColor="text1"/>
          <w:shd w:val="clear" w:color="auto" w:fill="FFFFFF"/>
        </w:rPr>
      </w:pPr>
      <w:r w:rsidRPr="003D66DD">
        <w:rPr>
          <w:rStyle w:val="normaltextrun"/>
          <w:rFonts w:ascii="Cambria" w:hAnsi="Cambria"/>
          <w:color w:val="000000" w:themeColor="text1"/>
          <w:shd w:val="clear" w:color="auto" w:fill="FFFFFF"/>
        </w:rPr>
        <w:t>Power-sharing institutionalises ethno</w:t>
      </w:r>
      <w:r w:rsidR="005F05A1">
        <w:rPr>
          <w:rStyle w:val="normaltextrun"/>
          <w:rFonts w:ascii="Cambria" w:hAnsi="Cambria"/>
          <w:color w:val="000000" w:themeColor="text1"/>
          <w:shd w:val="clear" w:color="auto" w:fill="FFFFFF"/>
        </w:rPr>
        <w:t>-</w:t>
      </w:r>
      <w:r w:rsidRPr="003D66DD">
        <w:rPr>
          <w:rStyle w:val="normaltextrun"/>
          <w:rFonts w:ascii="Cambria" w:hAnsi="Cambria"/>
          <w:color w:val="000000" w:themeColor="text1"/>
          <w:shd w:val="clear" w:color="auto" w:fill="FFFFFF"/>
        </w:rPr>
        <w:t xml:space="preserve">nationalism and the logics of appropriateness that come with it, </w:t>
      </w:r>
      <w:r w:rsidR="0012690F">
        <w:rPr>
          <w:rStyle w:val="normaltextrun"/>
          <w:rFonts w:ascii="Cambria" w:hAnsi="Cambria"/>
          <w:color w:val="000000" w:themeColor="text1"/>
          <w:shd w:val="clear" w:color="auto" w:fill="FFFFFF"/>
        </w:rPr>
        <w:t>for example,</w:t>
      </w:r>
      <w:r w:rsidRPr="003D66DD">
        <w:rPr>
          <w:rStyle w:val="normaltextrun"/>
          <w:rFonts w:ascii="Cambria" w:hAnsi="Cambria"/>
          <w:color w:val="000000" w:themeColor="text1"/>
          <w:shd w:val="clear" w:color="auto" w:fill="FFFFFF"/>
        </w:rPr>
        <w:t xml:space="preserve"> loyalty to the national cause; </w:t>
      </w:r>
      <w:r w:rsidR="0012690F">
        <w:rPr>
          <w:rStyle w:val="normaltextrun"/>
          <w:rFonts w:ascii="Cambria" w:hAnsi="Cambria"/>
          <w:color w:val="000000" w:themeColor="text1"/>
          <w:shd w:val="clear" w:color="auto" w:fill="FFFFFF"/>
        </w:rPr>
        <w:t xml:space="preserve">traditional notions of </w:t>
      </w:r>
      <w:r w:rsidRPr="003D66DD">
        <w:rPr>
          <w:rStyle w:val="normaltextrun"/>
          <w:rFonts w:ascii="Cambria" w:hAnsi="Cambria"/>
          <w:color w:val="000000" w:themeColor="text1"/>
          <w:shd w:val="clear" w:color="auto" w:fill="FFFFFF"/>
        </w:rPr>
        <w:t>gender roles;</w:t>
      </w:r>
      <w:r w:rsidR="00862A40" w:rsidRPr="003D66DD">
        <w:rPr>
          <w:rStyle w:val="normaltextrun"/>
          <w:rFonts w:ascii="Cambria" w:hAnsi="Cambria"/>
          <w:color w:val="000000" w:themeColor="text1"/>
          <w:shd w:val="clear" w:color="auto" w:fill="FFFFFF"/>
        </w:rPr>
        <w:t xml:space="preserve"> </w:t>
      </w:r>
      <w:r w:rsidR="0012690F">
        <w:rPr>
          <w:rStyle w:val="normaltextrun"/>
          <w:rFonts w:ascii="Cambria" w:hAnsi="Cambria"/>
          <w:color w:val="000000" w:themeColor="text1"/>
          <w:shd w:val="clear" w:color="auto" w:fill="FFFFFF"/>
        </w:rPr>
        <w:t xml:space="preserve">and powerful ideas of </w:t>
      </w:r>
      <w:r w:rsidR="005F05A1">
        <w:rPr>
          <w:rStyle w:val="normaltextrun"/>
          <w:rFonts w:ascii="Cambria" w:hAnsi="Cambria"/>
          <w:color w:val="000000" w:themeColor="text1"/>
          <w:shd w:val="clear" w:color="auto" w:fill="FFFFFF"/>
        </w:rPr>
        <w:t>women serving the nation</w:t>
      </w:r>
      <w:r w:rsidR="00862A40" w:rsidRPr="003D66DD">
        <w:rPr>
          <w:rStyle w:val="normaltextrun"/>
          <w:rFonts w:ascii="Cambria" w:hAnsi="Cambria"/>
          <w:color w:val="000000" w:themeColor="text1"/>
          <w:shd w:val="clear" w:color="auto" w:fill="FFFFFF"/>
        </w:rPr>
        <w:t xml:space="preserve"> (Nagle</w:t>
      </w:r>
      <w:r w:rsidR="005F05A1">
        <w:rPr>
          <w:rStyle w:val="normaltextrun"/>
          <w:rFonts w:ascii="Cambria" w:hAnsi="Cambria"/>
          <w:color w:val="000000" w:themeColor="text1"/>
          <w:shd w:val="clear" w:color="auto" w:fill="FFFFFF"/>
        </w:rPr>
        <w:t xml:space="preserve">, 2016a: 166; </w:t>
      </w:r>
      <w:proofErr w:type="spellStart"/>
      <w:r w:rsidR="005F05A1">
        <w:rPr>
          <w:rStyle w:val="normaltextrun"/>
          <w:rFonts w:ascii="Cambria" w:hAnsi="Cambria"/>
          <w:color w:val="000000" w:themeColor="text1"/>
          <w:shd w:val="clear" w:color="auto" w:fill="FFFFFF"/>
        </w:rPr>
        <w:t>Murtagh</w:t>
      </w:r>
      <w:proofErr w:type="spellEnd"/>
      <w:r w:rsidR="005F05A1">
        <w:rPr>
          <w:rStyle w:val="normaltextrun"/>
          <w:rFonts w:ascii="Cambria" w:hAnsi="Cambria"/>
          <w:color w:val="000000" w:themeColor="text1"/>
          <w:shd w:val="clear" w:color="auto" w:fill="FFFFFF"/>
        </w:rPr>
        <w:t>, 2008: 32,</w:t>
      </w:r>
      <w:r w:rsidR="00862A40" w:rsidRPr="003D66DD">
        <w:rPr>
          <w:rStyle w:val="normaltextrun"/>
          <w:rFonts w:ascii="Cambria" w:hAnsi="Cambria"/>
          <w:color w:val="000000" w:themeColor="text1"/>
          <w:shd w:val="clear" w:color="auto" w:fill="FFFFFF"/>
        </w:rPr>
        <w:t xml:space="preserve"> 35). Danielle Roberts’s work on Protestant/Unionist/Loyalist </w:t>
      </w:r>
      <w:r w:rsidR="00862A40" w:rsidRPr="003D66DD">
        <w:rPr>
          <w:rStyle w:val="normaltextrun"/>
          <w:rFonts w:ascii="Cambria" w:hAnsi="Cambria"/>
          <w:color w:val="000000" w:themeColor="text1"/>
          <w:shd w:val="clear" w:color="auto" w:fill="FFFFFF"/>
        </w:rPr>
        <w:lastRenderedPageBreak/>
        <w:t xml:space="preserve">women finds women can be accommodated in politics but </w:t>
      </w:r>
      <w:r w:rsidR="0012690F">
        <w:rPr>
          <w:rStyle w:val="normaltextrun"/>
          <w:rFonts w:ascii="Cambria" w:hAnsi="Cambria"/>
          <w:color w:val="000000" w:themeColor="text1"/>
          <w:shd w:val="clear" w:color="auto" w:fill="FFFFFF"/>
        </w:rPr>
        <w:t xml:space="preserve">they </w:t>
      </w:r>
      <w:r w:rsidR="00862A40" w:rsidRPr="003D66DD">
        <w:rPr>
          <w:rStyle w:val="normaltextrun"/>
          <w:rFonts w:ascii="Cambria" w:hAnsi="Cambria"/>
          <w:color w:val="000000" w:themeColor="text1"/>
          <w:shd w:val="clear" w:color="auto" w:fill="FFFFFF"/>
        </w:rPr>
        <w:t>must be a certain type of woman</w:t>
      </w:r>
      <w:r w:rsidR="0012690F">
        <w:rPr>
          <w:rStyle w:val="normaltextrun"/>
          <w:rFonts w:ascii="Cambria" w:hAnsi="Cambria"/>
          <w:color w:val="000000" w:themeColor="text1"/>
          <w:shd w:val="clear" w:color="auto" w:fill="FFFFFF"/>
        </w:rPr>
        <w:t xml:space="preserve">, relating to traditional archetypes such as </w:t>
      </w:r>
      <w:r w:rsidR="00862A40" w:rsidRPr="003D66DD">
        <w:rPr>
          <w:rStyle w:val="normaltextrun"/>
          <w:rFonts w:ascii="Cambria" w:hAnsi="Cambria"/>
          <w:color w:val="000000" w:themeColor="text1"/>
          <w:shd w:val="clear" w:color="auto" w:fill="FFFFFF"/>
        </w:rPr>
        <w:t>mother, church goer</w:t>
      </w:r>
      <w:r w:rsidR="0012690F">
        <w:rPr>
          <w:rStyle w:val="normaltextrun"/>
          <w:rFonts w:ascii="Cambria" w:hAnsi="Cambria"/>
          <w:color w:val="000000" w:themeColor="text1"/>
          <w:shd w:val="clear" w:color="auto" w:fill="FFFFFF"/>
        </w:rPr>
        <w:t xml:space="preserve"> and so on</w:t>
      </w:r>
      <w:r w:rsidR="005F05A1">
        <w:rPr>
          <w:rStyle w:val="normaltextrun"/>
          <w:rFonts w:ascii="Cambria" w:hAnsi="Cambria"/>
          <w:color w:val="000000" w:themeColor="text1"/>
          <w:shd w:val="clear" w:color="auto" w:fill="FFFFFF"/>
        </w:rPr>
        <w:t xml:space="preserve"> (Roberts, </w:t>
      </w:r>
      <w:r w:rsidR="00862A40" w:rsidRPr="003D66DD">
        <w:rPr>
          <w:rStyle w:val="normaltextrun"/>
          <w:rFonts w:ascii="Cambria" w:hAnsi="Cambria"/>
          <w:color w:val="000000" w:themeColor="text1"/>
          <w:shd w:val="clear" w:color="auto" w:fill="FFFFFF"/>
        </w:rPr>
        <w:t xml:space="preserve">2017). Whilst political culture remains ‘macho’, </w:t>
      </w:r>
      <w:r w:rsidR="0012690F">
        <w:rPr>
          <w:rStyle w:val="normaltextrun"/>
          <w:rFonts w:ascii="Cambria" w:hAnsi="Cambria"/>
          <w:color w:val="000000" w:themeColor="text1"/>
          <w:shd w:val="clear" w:color="auto" w:fill="FFFFFF"/>
        </w:rPr>
        <w:t>in terms of its</w:t>
      </w:r>
      <w:r w:rsidR="009B5547">
        <w:rPr>
          <w:rStyle w:val="normaltextrun"/>
          <w:rFonts w:ascii="Cambria" w:hAnsi="Cambria"/>
          <w:color w:val="000000" w:themeColor="text1"/>
          <w:shd w:val="clear" w:color="auto" w:fill="FFFFFF"/>
        </w:rPr>
        <w:t xml:space="preserve"> aggressive posturing, </w:t>
      </w:r>
      <w:r w:rsidR="00E47139">
        <w:rPr>
          <w:rStyle w:val="normaltextrun"/>
          <w:rFonts w:ascii="Cambria" w:hAnsi="Cambria"/>
          <w:color w:val="000000" w:themeColor="text1"/>
          <w:shd w:val="clear" w:color="auto" w:fill="FFFFFF"/>
        </w:rPr>
        <w:t xml:space="preserve">casual misogyny, </w:t>
      </w:r>
      <w:r w:rsidR="00F222E8">
        <w:rPr>
          <w:rStyle w:val="normaltextrun"/>
          <w:rFonts w:ascii="Cambria" w:hAnsi="Cambria"/>
          <w:color w:val="000000" w:themeColor="text1"/>
          <w:shd w:val="clear" w:color="auto" w:fill="FFFFFF"/>
        </w:rPr>
        <w:t xml:space="preserve">and </w:t>
      </w:r>
      <w:r w:rsidR="009B5547">
        <w:rPr>
          <w:rStyle w:val="normaltextrun"/>
          <w:rFonts w:ascii="Cambria" w:hAnsi="Cambria"/>
          <w:color w:val="000000" w:themeColor="text1"/>
          <w:shd w:val="clear" w:color="auto" w:fill="FFFFFF"/>
        </w:rPr>
        <w:t xml:space="preserve">its </w:t>
      </w:r>
      <w:r w:rsidR="00F222E8">
        <w:rPr>
          <w:rStyle w:val="normaltextrun"/>
          <w:rFonts w:ascii="Cambria" w:hAnsi="Cambria"/>
          <w:color w:val="000000" w:themeColor="text1"/>
          <w:shd w:val="clear" w:color="auto" w:fill="FFFFFF"/>
        </w:rPr>
        <w:t xml:space="preserve">prioritisation of ethno-masculinist values and agenda, </w:t>
      </w:r>
      <w:r w:rsidR="00862A40" w:rsidRPr="003D66DD">
        <w:rPr>
          <w:rStyle w:val="normaltextrun"/>
          <w:rFonts w:ascii="Cambria" w:hAnsi="Cambria"/>
          <w:color w:val="000000" w:themeColor="text1"/>
          <w:shd w:val="clear" w:color="auto" w:fill="FFFFFF"/>
        </w:rPr>
        <w:t xml:space="preserve">the presence of female leaders does </w:t>
      </w:r>
      <w:r w:rsidR="00AD698D">
        <w:rPr>
          <w:rStyle w:val="normaltextrun"/>
          <w:rFonts w:ascii="Cambria" w:hAnsi="Cambria"/>
          <w:color w:val="000000" w:themeColor="text1"/>
          <w:shd w:val="clear" w:color="auto" w:fill="FFFFFF"/>
        </w:rPr>
        <w:t xml:space="preserve">potentially </w:t>
      </w:r>
      <w:r w:rsidR="00862A40" w:rsidRPr="003D66DD">
        <w:rPr>
          <w:rStyle w:val="normaltextrun"/>
          <w:rFonts w:ascii="Cambria" w:hAnsi="Cambria"/>
          <w:color w:val="000000" w:themeColor="text1"/>
          <w:shd w:val="clear" w:color="auto" w:fill="FFFFFF"/>
        </w:rPr>
        <w:t>present a challenge to the dominant institutional logic</w:t>
      </w:r>
      <w:r w:rsidR="00172A31" w:rsidRPr="003D66DD">
        <w:rPr>
          <w:rStyle w:val="normaltextrun"/>
          <w:rFonts w:ascii="Cambria" w:hAnsi="Cambria"/>
          <w:color w:val="000000" w:themeColor="text1"/>
          <w:shd w:val="clear" w:color="auto" w:fill="FFFFFF"/>
        </w:rPr>
        <w:t xml:space="preserve"> of who should wie</w:t>
      </w:r>
      <w:r w:rsidR="00862A40" w:rsidRPr="003D66DD">
        <w:rPr>
          <w:rStyle w:val="normaltextrun"/>
          <w:rFonts w:ascii="Cambria" w:hAnsi="Cambria"/>
          <w:color w:val="000000" w:themeColor="text1"/>
          <w:shd w:val="clear" w:color="auto" w:fill="FFFFFF"/>
        </w:rPr>
        <w:t xml:space="preserve">ld political power. </w:t>
      </w:r>
    </w:p>
    <w:p w14:paraId="5AC48658" w14:textId="5FAAC757" w:rsidR="00365DC8" w:rsidRPr="00365DC8" w:rsidRDefault="00862A40" w:rsidP="00365DC8">
      <w:pPr>
        <w:spacing w:line="360" w:lineRule="auto"/>
        <w:rPr>
          <w:rFonts w:ascii="Cambria" w:eastAsia="Times New Roman" w:hAnsi="Cambria"/>
          <w:lang w:val="en-US"/>
        </w:rPr>
      </w:pPr>
      <w:r w:rsidRPr="00365DC8">
        <w:rPr>
          <w:rStyle w:val="normaltextrun"/>
          <w:rFonts w:ascii="Cambria" w:hAnsi="Cambria"/>
          <w:color w:val="000000" w:themeColor="text1"/>
          <w:shd w:val="clear" w:color="auto" w:fill="FFFFFF"/>
        </w:rPr>
        <w:t>Kennedy et al</w:t>
      </w:r>
      <w:r w:rsidR="005F05A1">
        <w:rPr>
          <w:rStyle w:val="normaltextrun"/>
          <w:rFonts w:ascii="Cambria" w:hAnsi="Cambria"/>
          <w:color w:val="000000" w:themeColor="text1"/>
          <w:shd w:val="clear" w:color="auto" w:fill="FFFFFF"/>
        </w:rPr>
        <w:t>.</w:t>
      </w:r>
      <w:r w:rsidRPr="00365DC8">
        <w:rPr>
          <w:rStyle w:val="normaltextrun"/>
          <w:rFonts w:ascii="Cambria" w:hAnsi="Cambria"/>
          <w:color w:val="000000" w:themeColor="text1"/>
          <w:shd w:val="clear" w:color="auto" w:fill="FFFFFF"/>
        </w:rPr>
        <w:t xml:space="preserve"> (2016) note the difficulty in mobilising on gender issues in a climate in which political mobilisation must be framed within the ‘appropriate’ discourse of ethno-nationalism and women’s interests are secondary. </w:t>
      </w:r>
      <w:r w:rsidR="003D7AB5">
        <w:rPr>
          <w:rStyle w:val="normaltextrun"/>
          <w:rFonts w:ascii="Cambria" w:hAnsi="Cambria"/>
          <w:color w:val="000000" w:themeColor="text1"/>
          <w:shd w:val="clear" w:color="auto" w:fill="FFFFFF"/>
        </w:rPr>
        <w:t>A</w:t>
      </w:r>
      <w:r w:rsidR="00365DC8">
        <w:rPr>
          <w:rStyle w:val="normaltextrun"/>
          <w:rFonts w:ascii="Cambria" w:hAnsi="Cambria"/>
          <w:color w:val="000000" w:themeColor="text1"/>
          <w:shd w:val="clear" w:color="auto" w:fill="FFFFFF"/>
        </w:rPr>
        <w:t xml:space="preserve">s </w:t>
      </w:r>
      <w:r w:rsidR="00365DC8" w:rsidRPr="00365DC8">
        <w:rPr>
          <w:rStyle w:val="normaltextrun"/>
          <w:rFonts w:ascii="Cambria" w:hAnsi="Cambria"/>
          <w:color w:val="000000" w:themeColor="text1"/>
          <w:shd w:val="clear" w:color="auto" w:fill="FFFFFF"/>
        </w:rPr>
        <w:t>Pierson (2018</w:t>
      </w:r>
      <w:r w:rsidR="00365DC8">
        <w:rPr>
          <w:rStyle w:val="normaltextrun"/>
          <w:rFonts w:ascii="Cambria" w:hAnsi="Cambria"/>
          <w:color w:val="000000" w:themeColor="text1"/>
          <w:shd w:val="clear" w:color="auto" w:fill="FFFFFF"/>
        </w:rPr>
        <w:t>a</w:t>
      </w:r>
      <w:r w:rsidR="00365DC8" w:rsidRPr="00365DC8">
        <w:rPr>
          <w:rStyle w:val="normaltextrun"/>
          <w:rFonts w:ascii="Cambria" w:hAnsi="Cambria"/>
          <w:color w:val="000000" w:themeColor="text1"/>
          <w:shd w:val="clear" w:color="auto" w:fill="FFFFFF"/>
        </w:rPr>
        <w:t>) notes</w:t>
      </w:r>
      <w:r w:rsidR="00365DC8">
        <w:rPr>
          <w:rStyle w:val="normaltextrun"/>
          <w:rFonts w:ascii="Cambria" w:hAnsi="Cambria"/>
          <w:color w:val="000000" w:themeColor="text1"/>
          <w:shd w:val="clear" w:color="auto" w:fill="FFFFFF"/>
        </w:rPr>
        <w:t xml:space="preserve">, many gendered issues such as gender-based violence either </w:t>
      </w:r>
      <w:r w:rsidR="003D7AB5">
        <w:rPr>
          <w:rStyle w:val="normaltextrun"/>
          <w:rFonts w:ascii="Cambria" w:hAnsi="Cambria"/>
          <w:color w:val="000000" w:themeColor="text1"/>
          <w:shd w:val="clear" w:color="auto" w:fill="FFFFFF"/>
        </w:rPr>
        <w:t xml:space="preserve">have </w:t>
      </w:r>
      <w:r w:rsidR="00365DC8">
        <w:rPr>
          <w:rStyle w:val="normaltextrun"/>
          <w:rFonts w:ascii="Cambria" w:hAnsi="Cambria"/>
          <w:color w:val="000000" w:themeColor="text1"/>
          <w:shd w:val="clear" w:color="auto" w:fill="FFFFFF"/>
        </w:rPr>
        <w:t xml:space="preserve">become </w:t>
      </w:r>
      <w:proofErr w:type="spellStart"/>
      <w:r w:rsidR="00365DC8">
        <w:rPr>
          <w:rStyle w:val="normaltextrun"/>
          <w:rFonts w:ascii="Cambria" w:hAnsi="Cambria"/>
          <w:color w:val="000000" w:themeColor="text1"/>
          <w:shd w:val="clear" w:color="auto" w:fill="FFFFFF"/>
        </w:rPr>
        <w:t>sectarianised</w:t>
      </w:r>
      <w:proofErr w:type="spellEnd"/>
      <w:r w:rsidR="00365DC8" w:rsidRPr="00365DC8">
        <w:rPr>
          <w:rStyle w:val="normaltextrun"/>
          <w:rFonts w:ascii="Cambria" w:hAnsi="Cambria"/>
          <w:color w:val="000000" w:themeColor="text1"/>
          <w:shd w:val="clear" w:color="auto" w:fill="FFFFFF"/>
        </w:rPr>
        <w:t xml:space="preserve"> </w:t>
      </w:r>
      <w:r w:rsidR="00365DC8">
        <w:rPr>
          <w:rStyle w:val="normaltextrun"/>
          <w:rFonts w:ascii="Cambria" w:hAnsi="Cambria"/>
          <w:color w:val="000000" w:themeColor="text1"/>
          <w:shd w:val="clear" w:color="auto" w:fill="FFFFFF"/>
        </w:rPr>
        <w:t xml:space="preserve">or marginalised which, either way, diminishes the prospects for effective </w:t>
      </w:r>
      <w:r w:rsidR="003D7AB5">
        <w:rPr>
          <w:rStyle w:val="normaltextrun"/>
          <w:rFonts w:ascii="Cambria" w:hAnsi="Cambria"/>
          <w:color w:val="000000" w:themeColor="text1"/>
          <w:shd w:val="clear" w:color="auto" w:fill="FFFFFF"/>
        </w:rPr>
        <w:t xml:space="preserve">cross-party </w:t>
      </w:r>
      <w:r w:rsidR="00365DC8">
        <w:rPr>
          <w:rStyle w:val="normaltextrun"/>
          <w:rFonts w:ascii="Cambria" w:hAnsi="Cambria"/>
          <w:color w:val="000000" w:themeColor="text1"/>
          <w:shd w:val="clear" w:color="auto" w:fill="FFFFFF"/>
        </w:rPr>
        <w:t xml:space="preserve">political action. </w:t>
      </w:r>
    </w:p>
    <w:p w14:paraId="4C65EE8C" w14:textId="3B303603" w:rsidR="00862A40" w:rsidRPr="003D66DD" w:rsidRDefault="004228D5" w:rsidP="00862A40">
      <w:pPr>
        <w:pStyle w:val="paragraph"/>
        <w:spacing w:line="360" w:lineRule="auto"/>
        <w:textAlignment w:val="baseline"/>
        <w:rPr>
          <w:rFonts w:ascii="Cambria" w:hAnsi="Cambria"/>
          <w:color w:val="000000" w:themeColor="text1"/>
          <w:shd w:val="clear" w:color="auto" w:fill="FFFFFF"/>
        </w:rPr>
      </w:pPr>
      <w:r w:rsidRPr="003D66DD">
        <w:rPr>
          <w:rStyle w:val="normaltextrun"/>
          <w:rFonts w:ascii="Cambria" w:hAnsi="Cambria"/>
          <w:color w:val="000000" w:themeColor="text1"/>
          <w:shd w:val="clear" w:color="auto" w:fill="FFFFFF"/>
        </w:rPr>
        <w:t>Power-sharing</w:t>
      </w:r>
      <w:r w:rsidR="00862A40" w:rsidRPr="003D66DD">
        <w:rPr>
          <w:rStyle w:val="normaltextrun"/>
          <w:rFonts w:ascii="Cambria" w:hAnsi="Cambria"/>
          <w:color w:val="000000" w:themeColor="text1"/>
          <w:shd w:val="clear" w:color="auto" w:fill="FFFFFF"/>
        </w:rPr>
        <w:t xml:space="preserve"> also brings the logic of the primacy of stability. In N</w:t>
      </w:r>
      <w:r w:rsidR="005F05A1">
        <w:rPr>
          <w:rStyle w:val="normaltextrun"/>
          <w:rFonts w:ascii="Cambria" w:hAnsi="Cambria"/>
          <w:color w:val="000000" w:themeColor="text1"/>
          <w:shd w:val="clear" w:color="auto" w:fill="FFFFFF"/>
        </w:rPr>
        <w:t xml:space="preserve">orthern </w:t>
      </w:r>
      <w:r w:rsidR="00862A40" w:rsidRPr="003D66DD">
        <w:rPr>
          <w:rStyle w:val="normaltextrun"/>
          <w:rFonts w:ascii="Cambria" w:hAnsi="Cambria"/>
          <w:color w:val="000000" w:themeColor="text1"/>
          <w:shd w:val="clear" w:color="auto" w:fill="FFFFFF"/>
        </w:rPr>
        <w:t>I</w:t>
      </w:r>
      <w:r w:rsidR="005F05A1">
        <w:rPr>
          <w:rStyle w:val="normaltextrun"/>
          <w:rFonts w:ascii="Cambria" w:hAnsi="Cambria"/>
          <w:color w:val="000000" w:themeColor="text1"/>
          <w:shd w:val="clear" w:color="auto" w:fill="FFFFFF"/>
        </w:rPr>
        <w:t>reland</w:t>
      </w:r>
      <w:r w:rsidR="00862A40" w:rsidRPr="003D66DD">
        <w:rPr>
          <w:rStyle w:val="normaltextrun"/>
          <w:rFonts w:ascii="Cambria" w:hAnsi="Cambria"/>
          <w:color w:val="000000" w:themeColor="text1"/>
          <w:shd w:val="clear" w:color="auto" w:fill="FFFFFF"/>
        </w:rPr>
        <w:t>, e</w:t>
      </w:r>
      <w:r w:rsidR="00862A40" w:rsidRPr="003D66DD">
        <w:rPr>
          <w:rFonts w:ascii="Cambria" w:hAnsi="Cambria"/>
          <w:bCs/>
          <w:color w:val="000000" w:themeColor="text1"/>
        </w:rPr>
        <w:t xml:space="preserve">qualities issues </w:t>
      </w:r>
      <w:r w:rsidR="00862A40" w:rsidRPr="003D66DD">
        <w:rPr>
          <w:rFonts w:ascii="Cambria" w:hAnsi="Cambria"/>
          <w:color w:val="000000" w:themeColor="text1"/>
        </w:rPr>
        <w:t xml:space="preserve">like marriage equality, abortion and gender based violence are recast as partisan issues by ethno-national elites and therefore treated as </w:t>
      </w:r>
      <w:r w:rsidR="003D7AB5">
        <w:rPr>
          <w:rFonts w:ascii="Cambria" w:hAnsi="Cambria"/>
          <w:color w:val="000000" w:themeColor="text1"/>
        </w:rPr>
        <w:t xml:space="preserve">potential </w:t>
      </w:r>
      <w:r w:rsidR="00862A40" w:rsidRPr="003D66DD">
        <w:rPr>
          <w:rFonts w:ascii="Cambria" w:hAnsi="Cambria"/>
          <w:color w:val="000000" w:themeColor="text1"/>
        </w:rPr>
        <w:t xml:space="preserve">destabilising </w:t>
      </w:r>
      <w:r w:rsidR="003D7AB5">
        <w:rPr>
          <w:rFonts w:ascii="Cambria" w:hAnsi="Cambria"/>
          <w:color w:val="000000" w:themeColor="text1"/>
        </w:rPr>
        <w:t xml:space="preserve">t the peace process, </w:t>
      </w:r>
      <w:r w:rsidR="00862A40" w:rsidRPr="003D66DD">
        <w:rPr>
          <w:rFonts w:ascii="Cambria" w:hAnsi="Cambria"/>
          <w:color w:val="000000" w:themeColor="text1"/>
        </w:rPr>
        <w:t xml:space="preserve">including by </w:t>
      </w:r>
      <w:r w:rsidR="00AD698D">
        <w:rPr>
          <w:rFonts w:ascii="Cambria" w:hAnsi="Cambria"/>
          <w:color w:val="000000" w:themeColor="text1"/>
        </w:rPr>
        <w:t>actors such as the UK government</w:t>
      </w:r>
      <w:r w:rsidR="00172A31" w:rsidRPr="003D66DD">
        <w:rPr>
          <w:rFonts w:ascii="Cambria" w:hAnsi="Cambria"/>
          <w:color w:val="000000" w:themeColor="text1"/>
        </w:rPr>
        <w:t xml:space="preserve"> (see Thomson</w:t>
      </w:r>
      <w:r w:rsidR="005F05A1">
        <w:rPr>
          <w:rFonts w:ascii="Cambria" w:hAnsi="Cambria"/>
          <w:color w:val="000000" w:themeColor="text1"/>
        </w:rPr>
        <w:t>,</w:t>
      </w:r>
      <w:r w:rsidR="00172A31" w:rsidRPr="003D66DD">
        <w:rPr>
          <w:rFonts w:ascii="Cambria" w:hAnsi="Cambria"/>
          <w:color w:val="000000" w:themeColor="text1"/>
        </w:rPr>
        <w:t xml:space="preserve"> </w:t>
      </w:r>
      <w:r w:rsidR="00AD698D">
        <w:rPr>
          <w:rFonts w:ascii="Cambria" w:hAnsi="Cambria"/>
          <w:color w:val="000000" w:themeColor="text1"/>
        </w:rPr>
        <w:t>201</w:t>
      </w:r>
      <w:r w:rsidR="0066455D">
        <w:rPr>
          <w:rFonts w:ascii="Cambria" w:hAnsi="Cambria"/>
          <w:color w:val="000000" w:themeColor="text1"/>
        </w:rPr>
        <w:t>6</w:t>
      </w:r>
      <w:r w:rsidR="00585C4D">
        <w:rPr>
          <w:rFonts w:ascii="Cambria" w:hAnsi="Cambria"/>
          <w:color w:val="000000" w:themeColor="text1"/>
        </w:rPr>
        <w:t>, 2019</w:t>
      </w:r>
      <w:r w:rsidR="003D7AB5">
        <w:rPr>
          <w:rFonts w:ascii="Cambria" w:hAnsi="Cambria"/>
          <w:color w:val="000000" w:themeColor="text1"/>
        </w:rPr>
        <w:t>)</w:t>
      </w:r>
      <w:r w:rsidR="00862A40" w:rsidRPr="003D66DD">
        <w:rPr>
          <w:rFonts w:ascii="Cambria" w:hAnsi="Cambria"/>
          <w:color w:val="000000" w:themeColor="text1"/>
        </w:rPr>
        <w:t xml:space="preserve">. </w:t>
      </w:r>
      <w:r w:rsidR="003D7AB5">
        <w:rPr>
          <w:rFonts w:ascii="Cambria" w:hAnsi="Cambria"/>
          <w:color w:val="000000" w:themeColor="text1"/>
        </w:rPr>
        <w:t xml:space="preserve">According to </w:t>
      </w:r>
      <w:r w:rsidR="00862A40" w:rsidRPr="003D66DD">
        <w:rPr>
          <w:rStyle w:val="normaltextrun"/>
          <w:rFonts w:ascii="Cambria" w:hAnsi="Cambria"/>
          <w:color w:val="000000" w:themeColor="text1"/>
          <w:shd w:val="clear" w:color="auto" w:fill="FFFFFF"/>
        </w:rPr>
        <w:t>Rooney and Swaine (2012</w:t>
      </w:r>
      <w:r w:rsidR="003D7AB5">
        <w:rPr>
          <w:rStyle w:val="normaltextrun"/>
          <w:rFonts w:ascii="Cambria" w:hAnsi="Cambria"/>
          <w:color w:val="000000" w:themeColor="text1"/>
          <w:shd w:val="clear" w:color="auto" w:fill="FFFFFF"/>
        </w:rPr>
        <w:t xml:space="preserve">), </w:t>
      </w:r>
      <w:r w:rsidR="00862A40" w:rsidRPr="003D66DD">
        <w:rPr>
          <w:rStyle w:val="normaltextrun"/>
          <w:rFonts w:ascii="Cambria" w:hAnsi="Cambria"/>
          <w:color w:val="000000" w:themeColor="text1"/>
          <w:shd w:val="clear" w:color="auto" w:fill="FFFFFF"/>
        </w:rPr>
        <w:t xml:space="preserve">intersectional issues </w:t>
      </w:r>
      <w:r w:rsidR="003D7AB5">
        <w:rPr>
          <w:rStyle w:val="normaltextrun"/>
          <w:rFonts w:ascii="Cambria" w:hAnsi="Cambria"/>
          <w:color w:val="000000" w:themeColor="text1"/>
          <w:shd w:val="clear" w:color="auto" w:fill="FFFFFF"/>
        </w:rPr>
        <w:t xml:space="preserve">such as </w:t>
      </w:r>
      <w:r w:rsidR="00862A40" w:rsidRPr="003D66DD">
        <w:rPr>
          <w:rStyle w:val="normaltextrun"/>
          <w:rFonts w:ascii="Cambria" w:hAnsi="Cambria"/>
          <w:color w:val="000000" w:themeColor="text1"/>
          <w:shd w:val="clear" w:color="auto" w:fill="FFFFFF"/>
        </w:rPr>
        <w:t xml:space="preserve">women’s </w:t>
      </w:r>
      <w:r w:rsidR="005F05A1">
        <w:rPr>
          <w:rStyle w:val="normaltextrun"/>
          <w:rFonts w:ascii="Cambria" w:hAnsi="Cambria"/>
          <w:color w:val="000000" w:themeColor="text1"/>
          <w:shd w:val="clear" w:color="auto" w:fill="FFFFFF"/>
        </w:rPr>
        <w:t xml:space="preserve">experiences of </w:t>
      </w:r>
      <w:r w:rsidR="00862A40" w:rsidRPr="003D66DD">
        <w:rPr>
          <w:rStyle w:val="normaltextrun"/>
          <w:rFonts w:ascii="Cambria" w:hAnsi="Cambria"/>
          <w:color w:val="000000" w:themeColor="text1"/>
          <w:shd w:val="clear" w:color="auto" w:fill="FFFFFF"/>
        </w:rPr>
        <w:t>d</w:t>
      </w:r>
      <w:r w:rsidR="003D7AB5">
        <w:rPr>
          <w:rStyle w:val="normaltextrun"/>
          <w:rFonts w:ascii="Cambria" w:hAnsi="Cambria"/>
          <w:color w:val="000000" w:themeColor="text1"/>
          <w:shd w:val="clear" w:color="auto" w:fill="FFFFFF"/>
        </w:rPr>
        <w:t>iscrimination (</w:t>
      </w:r>
      <w:r w:rsidR="00862A40" w:rsidRPr="003D66DD">
        <w:rPr>
          <w:rStyle w:val="normaltextrun"/>
          <w:rFonts w:ascii="Cambria" w:hAnsi="Cambria"/>
          <w:color w:val="000000" w:themeColor="text1"/>
          <w:shd w:val="clear" w:color="auto" w:fill="FFFFFF"/>
        </w:rPr>
        <w:t xml:space="preserve">for example the interplay between gender, poverty and religion) </w:t>
      </w:r>
      <w:r w:rsidR="003D7AB5">
        <w:rPr>
          <w:rStyle w:val="normaltextrun"/>
          <w:rFonts w:ascii="Cambria" w:hAnsi="Cambria"/>
          <w:color w:val="000000" w:themeColor="text1"/>
          <w:shd w:val="clear" w:color="auto" w:fill="FFFFFF"/>
        </w:rPr>
        <w:t>are being increasingly</w:t>
      </w:r>
      <w:r w:rsidR="00862A40" w:rsidRPr="003D66DD">
        <w:rPr>
          <w:rStyle w:val="normaltextrun"/>
          <w:rFonts w:ascii="Cambria" w:hAnsi="Cambria"/>
          <w:color w:val="000000" w:themeColor="text1"/>
          <w:shd w:val="clear" w:color="auto" w:fill="FFFFFF"/>
        </w:rPr>
        <w:t xml:space="preserve"> organised out of politics</w:t>
      </w:r>
      <w:r w:rsidR="003D7AB5">
        <w:rPr>
          <w:rStyle w:val="normaltextrun"/>
          <w:rFonts w:ascii="Cambria" w:hAnsi="Cambria"/>
          <w:color w:val="000000" w:themeColor="text1"/>
          <w:shd w:val="clear" w:color="auto" w:fill="FFFFFF"/>
        </w:rPr>
        <w:t>. W</w:t>
      </w:r>
      <w:r w:rsidR="00862A40" w:rsidRPr="003D66DD">
        <w:rPr>
          <w:rStyle w:val="normaltextrun"/>
          <w:rFonts w:ascii="Cambria" w:hAnsi="Cambria"/>
          <w:color w:val="000000" w:themeColor="text1"/>
          <w:shd w:val="clear" w:color="auto" w:fill="FFFFFF"/>
        </w:rPr>
        <w:t xml:space="preserve">omen’s organisations </w:t>
      </w:r>
      <w:r w:rsidR="003D7AB5">
        <w:rPr>
          <w:rStyle w:val="normaltextrun"/>
          <w:rFonts w:ascii="Cambria" w:hAnsi="Cambria"/>
          <w:color w:val="000000" w:themeColor="text1"/>
          <w:shd w:val="clear" w:color="auto" w:fill="FFFFFF"/>
        </w:rPr>
        <w:t xml:space="preserve">self-censor, in that they </w:t>
      </w:r>
      <w:r w:rsidR="00862A40" w:rsidRPr="003D66DD">
        <w:rPr>
          <w:rStyle w:val="normaltextrun"/>
          <w:rFonts w:ascii="Cambria" w:hAnsi="Cambria"/>
          <w:color w:val="000000" w:themeColor="text1"/>
          <w:shd w:val="clear" w:color="auto" w:fill="FFFFFF"/>
        </w:rPr>
        <w:t xml:space="preserve">consciously avoid raising </w:t>
      </w:r>
      <w:r w:rsidR="003D7AB5">
        <w:rPr>
          <w:rStyle w:val="normaltextrun"/>
          <w:rFonts w:ascii="Cambria" w:hAnsi="Cambria"/>
          <w:color w:val="000000" w:themeColor="text1"/>
          <w:shd w:val="clear" w:color="auto" w:fill="FFFFFF"/>
        </w:rPr>
        <w:t>such concerns for fear that they will be deemed partisan</w:t>
      </w:r>
      <w:r w:rsidR="003D7AB5" w:rsidRPr="003D66DD">
        <w:rPr>
          <w:rStyle w:val="normaltextrun"/>
          <w:rFonts w:ascii="Cambria" w:hAnsi="Cambria"/>
          <w:color w:val="000000" w:themeColor="text1"/>
          <w:shd w:val="clear" w:color="auto" w:fill="FFFFFF"/>
        </w:rPr>
        <w:t xml:space="preserve"> by elite ethno-nationalist actors</w:t>
      </w:r>
      <w:r w:rsidR="003D7AB5">
        <w:rPr>
          <w:rStyle w:val="normaltextrun"/>
          <w:rFonts w:ascii="Cambria" w:hAnsi="Cambria"/>
          <w:color w:val="000000" w:themeColor="text1"/>
          <w:shd w:val="clear" w:color="auto" w:fill="FFFFFF"/>
        </w:rPr>
        <w:t>, and</w:t>
      </w:r>
      <w:r w:rsidR="003D7AB5" w:rsidRPr="003D66DD">
        <w:rPr>
          <w:rStyle w:val="normaltextrun"/>
          <w:rFonts w:ascii="Cambria" w:hAnsi="Cambria"/>
          <w:color w:val="000000" w:themeColor="text1"/>
          <w:shd w:val="clear" w:color="auto" w:fill="FFFFFF"/>
        </w:rPr>
        <w:t xml:space="preserve"> </w:t>
      </w:r>
      <w:r w:rsidR="003D7AB5">
        <w:rPr>
          <w:rStyle w:val="normaltextrun"/>
          <w:rFonts w:ascii="Cambria" w:hAnsi="Cambria"/>
          <w:color w:val="000000" w:themeColor="text1"/>
          <w:shd w:val="clear" w:color="auto" w:fill="FFFFFF"/>
        </w:rPr>
        <w:t xml:space="preserve">risk losing their funding. </w:t>
      </w:r>
    </w:p>
    <w:p w14:paraId="172D33A7" w14:textId="1EDE26C8" w:rsidR="002852B0" w:rsidRPr="003D66DD" w:rsidRDefault="007367CF" w:rsidP="00F15AA0">
      <w:pPr>
        <w:pStyle w:val="paragraph"/>
        <w:spacing w:line="360" w:lineRule="auto"/>
        <w:textAlignment w:val="baseline"/>
        <w:rPr>
          <w:rFonts w:ascii="Cambria" w:hAnsi="Cambria"/>
          <w:color w:val="000000" w:themeColor="text1"/>
          <w:shd w:val="clear" w:color="auto" w:fill="FFFFFF"/>
        </w:rPr>
      </w:pPr>
      <w:r w:rsidRPr="003D66DD">
        <w:rPr>
          <w:rStyle w:val="normaltextrun"/>
          <w:rFonts w:ascii="Cambria" w:hAnsi="Cambria"/>
          <w:color w:val="000000" w:themeColor="text1"/>
          <w:shd w:val="clear" w:color="auto" w:fill="FFFFFF"/>
        </w:rPr>
        <w:t xml:space="preserve">The gendered logic of appropriateness </w:t>
      </w:r>
      <w:r w:rsidR="00AD698D">
        <w:rPr>
          <w:rStyle w:val="normaltextrun"/>
          <w:rFonts w:ascii="Cambria" w:hAnsi="Cambria"/>
          <w:color w:val="000000" w:themeColor="text1"/>
          <w:shd w:val="clear" w:color="auto" w:fill="FFFFFF"/>
        </w:rPr>
        <w:t xml:space="preserve">also </w:t>
      </w:r>
      <w:r w:rsidRPr="003D66DD">
        <w:rPr>
          <w:rStyle w:val="normaltextrun"/>
          <w:rFonts w:ascii="Cambria" w:hAnsi="Cambria"/>
          <w:color w:val="000000" w:themeColor="text1"/>
          <w:shd w:val="clear" w:color="auto" w:fill="FFFFFF"/>
        </w:rPr>
        <w:t xml:space="preserve">enables processes of </w:t>
      </w:r>
      <w:proofErr w:type="spellStart"/>
      <w:r w:rsidRPr="003D66DD">
        <w:rPr>
          <w:rStyle w:val="normaltextrun"/>
          <w:rFonts w:ascii="Cambria" w:hAnsi="Cambria"/>
          <w:color w:val="000000" w:themeColor="text1"/>
          <w:shd w:val="clear" w:color="auto" w:fill="FFFFFF"/>
        </w:rPr>
        <w:t>e</w:t>
      </w:r>
      <w:r w:rsidR="002852B0" w:rsidRPr="003D66DD">
        <w:rPr>
          <w:rStyle w:val="normaltextrun"/>
          <w:rFonts w:ascii="Cambria" w:hAnsi="Cambria"/>
          <w:color w:val="000000" w:themeColor="text1"/>
          <w:shd w:val="clear" w:color="auto" w:fill="FFFFFF"/>
        </w:rPr>
        <w:t>ssenti</w:t>
      </w:r>
      <w:r w:rsidR="00982BB1" w:rsidRPr="003D66DD">
        <w:rPr>
          <w:rStyle w:val="normaltextrun"/>
          <w:rFonts w:ascii="Cambria" w:hAnsi="Cambria"/>
          <w:color w:val="000000" w:themeColor="text1"/>
          <w:shd w:val="clear" w:color="auto" w:fill="FFFFFF"/>
        </w:rPr>
        <w:t>alisation</w:t>
      </w:r>
      <w:proofErr w:type="spellEnd"/>
      <w:r w:rsidR="00982BB1" w:rsidRPr="003D66DD">
        <w:rPr>
          <w:rStyle w:val="normaltextrun"/>
          <w:rFonts w:ascii="Cambria" w:hAnsi="Cambria"/>
          <w:color w:val="000000" w:themeColor="text1"/>
          <w:shd w:val="clear" w:color="auto" w:fill="FFFFFF"/>
        </w:rPr>
        <w:t xml:space="preserve"> and </w:t>
      </w:r>
      <w:proofErr w:type="spellStart"/>
      <w:r w:rsidR="00982BB1" w:rsidRPr="003D66DD">
        <w:rPr>
          <w:rStyle w:val="normaltextrun"/>
          <w:rFonts w:ascii="Cambria" w:hAnsi="Cambria"/>
          <w:color w:val="000000" w:themeColor="text1"/>
          <w:shd w:val="clear" w:color="auto" w:fill="FFFFFF"/>
        </w:rPr>
        <w:t>depoliticisation</w:t>
      </w:r>
      <w:proofErr w:type="spellEnd"/>
      <w:r w:rsidR="00982BB1" w:rsidRPr="003D66DD">
        <w:rPr>
          <w:rStyle w:val="normaltextrun"/>
          <w:rFonts w:ascii="Cambria" w:hAnsi="Cambria"/>
          <w:color w:val="000000" w:themeColor="text1"/>
          <w:shd w:val="clear" w:color="auto" w:fill="FFFFFF"/>
        </w:rPr>
        <w:t xml:space="preserve"> of women in post</w:t>
      </w:r>
      <w:r w:rsidR="0033579B" w:rsidRPr="003D66DD">
        <w:rPr>
          <w:rStyle w:val="normaltextrun"/>
          <w:rFonts w:ascii="Cambria" w:hAnsi="Cambria"/>
          <w:color w:val="000000" w:themeColor="text1"/>
          <w:shd w:val="clear" w:color="auto" w:fill="FFFFFF"/>
        </w:rPr>
        <w:t>-settlement discourse</w:t>
      </w:r>
      <w:r w:rsidRPr="003D66DD">
        <w:rPr>
          <w:rStyle w:val="normaltextrun"/>
          <w:rFonts w:ascii="Cambria" w:hAnsi="Cambria"/>
          <w:color w:val="000000" w:themeColor="text1"/>
          <w:shd w:val="clear" w:color="auto" w:fill="FFFFFF"/>
        </w:rPr>
        <w:t>s,</w:t>
      </w:r>
      <w:r w:rsidR="0033579B" w:rsidRPr="003D66DD">
        <w:rPr>
          <w:rStyle w:val="normaltextrun"/>
          <w:rFonts w:ascii="Cambria" w:hAnsi="Cambria"/>
          <w:color w:val="000000" w:themeColor="text1"/>
          <w:shd w:val="clear" w:color="auto" w:fill="FFFFFF"/>
        </w:rPr>
        <w:t xml:space="preserve"> </w:t>
      </w:r>
      <w:r w:rsidR="00982BB1" w:rsidRPr="003D66DD">
        <w:rPr>
          <w:rStyle w:val="normaltextrun"/>
          <w:rFonts w:ascii="Cambria" w:hAnsi="Cambria"/>
          <w:color w:val="000000" w:themeColor="text1"/>
          <w:shd w:val="clear" w:color="auto" w:fill="FFFFFF"/>
        </w:rPr>
        <w:t xml:space="preserve">where they often find themselves </w:t>
      </w:r>
      <w:r w:rsidR="0033579B" w:rsidRPr="003D66DD">
        <w:rPr>
          <w:rStyle w:val="normaltextrun"/>
          <w:rFonts w:ascii="Cambria" w:hAnsi="Cambria"/>
          <w:color w:val="000000" w:themeColor="text1"/>
          <w:shd w:val="clear" w:color="auto" w:fill="FFFFFF"/>
        </w:rPr>
        <w:t xml:space="preserve">represented as peacebuilders and inadvertently </w:t>
      </w:r>
      <w:r w:rsidR="002852B0" w:rsidRPr="003D66DD">
        <w:rPr>
          <w:rStyle w:val="normaltextrun"/>
          <w:rFonts w:ascii="Cambria" w:hAnsi="Cambria"/>
          <w:color w:val="000000" w:themeColor="text1"/>
          <w:shd w:val="clear" w:color="auto" w:fill="FFFFFF"/>
        </w:rPr>
        <w:t xml:space="preserve">confined to </w:t>
      </w:r>
      <w:r w:rsidR="00982BB1" w:rsidRPr="003D66DD">
        <w:rPr>
          <w:rStyle w:val="normaltextrun"/>
          <w:rFonts w:ascii="Cambria" w:hAnsi="Cambria"/>
          <w:color w:val="000000" w:themeColor="text1"/>
          <w:shd w:val="clear" w:color="auto" w:fill="FFFFFF"/>
        </w:rPr>
        <w:t xml:space="preserve">the </w:t>
      </w:r>
      <w:r w:rsidR="0033579B" w:rsidRPr="003D66DD">
        <w:rPr>
          <w:rStyle w:val="normaltextrun"/>
          <w:rFonts w:ascii="Cambria" w:hAnsi="Cambria"/>
          <w:color w:val="000000" w:themeColor="text1"/>
          <w:shd w:val="clear" w:color="auto" w:fill="FFFFFF"/>
        </w:rPr>
        <w:t xml:space="preserve">informal sphere and isolated from sites of real political power </w:t>
      </w:r>
      <w:r w:rsidR="002452A0" w:rsidRPr="003D66DD">
        <w:rPr>
          <w:rStyle w:val="normaltextrun"/>
          <w:rFonts w:ascii="Cambria" w:hAnsi="Cambria"/>
          <w:color w:val="000000" w:themeColor="text1"/>
          <w:shd w:val="clear" w:color="auto" w:fill="FFFFFF"/>
        </w:rPr>
        <w:t>(Nagle, 2016a</w:t>
      </w:r>
      <w:r w:rsidR="002852B0" w:rsidRPr="003D66DD">
        <w:rPr>
          <w:rStyle w:val="normaltextrun"/>
          <w:rFonts w:ascii="Cambria" w:hAnsi="Cambria"/>
          <w:color w:val="000000" w:themeColor="text1"/>
          <w:shd w:val="clear" w:color="auto" w:fill="FFFFFF"/>
        </w:rPr>
        <w:t xml:space="preserve">: 165; </w:t>
      </w:r>
      <w:proofErr w:type="spellStart"/>
      <w:r w:rsidR="002852B0" w:rsidRPr="003D66DD">
        <w:rPr>
          <w:rStyle w:val="normaltextrun"/>
          <w:rFonts w:ascii="Cambria" w:hAnsi="Cambria"/>
          <w:color w:val="000000" w:themeColor="text1"/>
          <w:shd w:val="clear" w:color="auto" w:fill="FFFFFF"/>
        </w:rPr>
        <w:t>N</w:t>
      </w:r>
      <w:r w:rsidR="00F47D1E">
        <w:rPr>
          <w:rStyle w:val="normaltextrun"/>
          <w:rFonts w:ascii="Cambria" w:hAnsi="Cambria"/>
          <w:color w:val="000000" w:themeColor="text1"/>
          <w:shd w:val="clear" w:color="auto" w:fill="FFFFFF"/>
        </w:rPr>
        <w:t>í</w:t>
      </w:r>
      <w:proofErr w:type="spellEnd"/>
      <w:r w:rsidR="002852B0" w:rsidRPr="003D66DD">
        <w:rPr>
          <w:rStyle w:val="normaltextrun"/>
          <w:rFonts w:ascii="Cambria" w:hAnsi="Cambria"/>
          <w:color w:val="000000" w:themeColor="text1"/>
          <w:shd w:val="clear" w:color="auto" w:fill="FFFFFF"/>
        </w:rPr>
        <w:t xml:space="preserve"> </w:t>
      </w:r>
      <w:proofErr w:type="spellStart"/>
      <w:r w:rsidR="002852B0" w:rsidRPr="003D66DD">
        <w:rPr>
          <w:rStyle w:val="normaltextrun"/>
          <w:rFonts w:ascii="Cambria" w:hAnsi="Cambria"/>
          <w:color w:val="000000" w:themeColor="text1"/>
          <w:shd w:val="clear" w:color="auto" w:fill="FFFFFF"/>
        </w:rPr>
        <w:t>Aol</w:t>
      </w:r>
      <w:r w:rsidR="00DC4465">
        <w:rPr>
          <w:rStyle w:val="normaltextrun"/>
          <w:rFonts w:ascii="Cambria" w:hAnsi="Cambria"/>
          <w:color w:val="000000" w:themeColor="text1"/>
          <w:shd w:val="clear" w:color="auto" w:fill="FFFFFF"/>
        </w:rPr>
        <w:t>á</w:t>
      </w:r>
      <w:r w:rsidR="002852B0" w:rsidRPr="003D66DD">
        <w:rPr>
          <w:rStyle w:val="normaltextrun"/>
          <w:rFonts w:ascii="Cambria" w:hAnsi="Cambria"/>
          <w:color w:val="000000" w:themeColor="text1"/>
          <w:shd w:val="clear" w:color="auto" w:fill="FFFFFF"/>
        </w:rPr>
        <w:t>in</w:t>
      </w:r>
      <w:proofErr w:type="spellEnd"/>
      <w:r w:rsidR="002852B0" w:rsidRPr="003D66DD">
        <w:rPr>
          <w:rStyle w:val="normaltextrun"/>
          <w:rFonts w:ascii="Cambria" w:hAnsi="Cambria"/>
          <w:color w:val="000000" w:themeColor="text1"/>
          <w:shd w:val="clear" w:color="auto" w:fill="FFFFFF"/>
        </w:rPr>
        <w:t>, 201</w:t>
      </w:r>
      <w:r w:rsidR="00424FC8">
        <w:rPr>
          <w:rStyle w:val="normaltextrun"/>
          <w:rFonts w:ascii="Cambria" w:hAnsi="Cambria"/>
          <w:color w:val="000000" w:themeColor="text1"/>
          <w:shd w:val="clear" w:color="auto" w:fill="FFFFFF"/>
        </w:rPr>
        <w:t>8:</w:t>
      </w:r>
      <w:r w:rsidR="002852B0" w:rsidRPr="003D66DD">
        <w:rPr>
          <w:rStyle w:val="normaltextrun"/>
          <w:rFonts w:ascii="Cambria" w:hAnsi="Cambria"/>
          <w:color w:val="000000" w:themeColor="text1"/>
          <w:shd w:val="clear" w:color="auto" w:fill="FFFFFF"/>
        </w:rPr>
        <w:t xml:space="preserve"> 6</w:t>
      </w:r>
      <w:r w:rsidR="00982BB1" w:rsidRPr="003D66DD">
        <w:rPr>
          <w:rStyle w:val="normaltextrun"/>
          <w:rFonts w:ascii="Cambria" w:hAnsi="Cambria"/>
          <w:color w:val="000000" w:themeColor="text1"/>
          <w:shd w:val="clear" w:color="auto" w:fill="FFFFFF"/>
        </w:rPr>
        <w:t xml:space="preserve">). </w:t>
      </w:r>
    </w:p>
    <w:p w14:paraId="56D63323" w14:textId="77777777" w:rsidR="00604AC2" w:rsidRDefault="00604AC2">
      <w:pPr>
        <w:spacing w:after="160" w:line="259" w:lineRule="auto"/>
        <w:rPr>
          <w:rFonts w:ascii="Cambria" w:eastAsia="Times New Roman" w:hAnsi="Cambria"/>
          <w:i/>
          <w:color w:val="000000" w:themeColor="text1"/>
          <w:lang w:eastAsia="en-GB"/>
        </w:rPr>
      </w:pPr>
      <w:r>
        <w:rPr>
          <w:rFonts w:ascii="Cambria" w:eastAsia="Times New Roman" w:hAnsi="Cambria"/>
          <w:i/>
          <w:color w:val="000000" w:themeColor="text1"/>
          <w:lang w:eastAsia="en-GB"/>
        </w:rPr>
        <w:br w:type="page"/>
      </w:r>
    </w:p>
    <w:p w14:paraId="146F2139" w14:textId="23B44C0C" w:rsidR="00A316CE" w:rsidRPr="00AF1066" w:rsidRDefault="00A316CE" w:rsidP="00A316CE">
      <w:pPr>
        <w:spacing w:before="100" w:beforeAutospacing="1" w:after="100" w:afterAutospacing="1" w:line="360" w:lineRule="auto"/>
        <w:textAlignment w:val="baseline"/>
        <w:rPr>
          <w:rFonts w:ascii="Cambria" w:eastAsia="Times New Roman" w:hAnsi="Cambria"/>
          <w:i/>
          <w:color w:val="000000" w:themeColor="text1"/>
          <w:lang w:eastAsia="en-GB"/>
        </w:rPr>
      </w:pPr>
      <w:r w:rsidRPr="00AF1066">
        <w:rPr>
          <w:rFonts w:ascii="Cambria" w:eastAsia="Times New Roman" w:hAnsi="Cambria"/>
          <w:i/>
          <w:color w:val="000000" w:themeColor="text1"/>
          <w:lang w:eastAsia="en-GB"/>
        </w:rPr>
        <w:lastRenderedPageBreak/>
        <w:t>Gendered Actors</w:t>
      </w:r>
    </w:p>
    <w:p w14:paraId="065A50B1" w14:textId="77777777" w:rsidR="00A316CE" w:rsidRDefault="00A316CE" w:rsidP="00A316CE">
      <w:pPr>
        <w:spacing w:before="100" w:beforeAutospacing="1" w:after="100" w:afterAutospacing="1" w:line="360" w:lineRule="auto"/>
        <w:textAlignment w:val="baseline"/>
        <w:rPr>
          <w:rFonts w:ascii="Cambria" w:eastAsia="Times New Roman" w:hAnsi="Cambria"/>
          <w:color w:val="000000" w:themeColor="text1"/>
          <w:lang w:eastAsia="en-GB"/>
        </w:rPr>
      </w:pPr>
      <w:r w:rsidRPr="003D66DD">
        <w:rPr>
          <w:rFonts w:ascii="Cambria" w:eastAsia="Times New Roman" w:hAnsi="Cambria"/>
          <w:color w:val="000000" w:themeColor="text1"/>
          <w:lang w:eastAsia="en-GB"/>
        </w:rPr>
        <w:t xml:space="preserve"> In terms of agency, we see various actors</w:t>
      </w:r>
      <w:r>
        <w:rPr>
          <w:rFonts w:ascii="Cambria" w:eastAsia="Times New Roman" w:hAnsi="Cambria"/>
          <w:color w:val="000000" w:themeColor="text1"/>
          <w:lang w:eastAsia="en-GB"/>
        </w:rPr>
        <w:t>, including political elites in Northern Ireland,</w:t>
      </w:r>
      <w:r w:rsidRPr="003D66DD">
        <w:rPr>
          <w:rFonts w:ascii="Cambria" w:eastAsia="Times New Roman" w:hAnsi="Cambria"/>
          <w:color w:val="000000" w:themeColor="text1"/>
          <w:lang w:eastAsia="en-GB"/>
        </w:rPr>
        <w:t xml:space="preserve"> involved in framing contests, for example in the </w:t>
      </w:r>
      <w:r>
        <w:rPr>
          <w:rFonts w:ascii="Cambria" w:eastAsia="Times New Roman" w:hAnsi="Cambria"/>
          <w:color w:val="000000" w:themeColor="text1"/>
          <w:lang w:eastAsia="en-GB"/>
        </w:rPr>
        <w:t>presentation of</w:t>
      </w:r>
      <w:r w:rsidRPr="003D66DD">
        <w:rPr>
          <w:rFonts w:ascii="Cambria" w:eastAsia="Times New Roman" w:hAnsi="Cambria"/>
          <w:color w:val="000000" w:themeColor="text1"/>
          <w:lang w:eastAsia="en-GB"/>
        </w:rPr>
        <w:t xml:space="preserve"> transformational policies such as reproductive rights as both secondary to ethno</w:t>
      </w:r>
      <w:r>
        <w:rPr>
          <w:rFonts w:ascii="Cambria" w:eastAsia="Times New Roman" w:hAnsi="Cambria"/>
          <w:color w:val="000000" w:themeColor="text1"/>
          <w:lang w:eastAsia="en-GB"/>
        </w:rPr>
        <w:t>-</w:t>
      </w:r>
      <w:r w:rsidRPr="003D66DD">
        <w:rPr>
          <w:rFonts w:ascii="Cambria" w:eastAsia="Times New Roman" w:hAnsi="Cambria"/>
          <w:color w:val="000000" w:themeColor="text1"/>
          <w:lang w:eastAsia="en-GB"/>
        </w:rPr>
        <w:t xml:space="preserve">national priorities and destabilising to peace and security. </w:t>
      </w:r>
    </w:p>
    <w:p w14:paraId="51D646A1" w14:textId="6E0FCEBA" w:rsidR="00A316CE" w:rsidRPr="000147D3" w:rsidRDefault="00A316CE" w:rsidP="00A316CE">
      <w:pPr>
        <w:spacing w:line="360" w:lineRule="auto"/>
        <w:rPr>
          <w:rFonts w:ascii="Cambria" w:eastAsia="Times New Roman" w:hAnsi="Cambria"/>
        </w:rPr>
      </w:pPr>
      <w:r w:rsidRPr="000147D3">
        <w:rPr>
          <w:rFonts w:ascii="Cambria" w:eastAsia="Times New Roman" w:hAnsi="Cambria"/>
          <w:color w:val="000000" w:themeColor="text1"/>
          <w:lang w:eastAsia="en-GB"/>
        </w:rPr>
        <w:t>We have also seen the</w:t>
      </w:r>
      <w:r w:rsidRPr="000147D3">
        <w:rPr>
          <w:rFonts w:ascii="Cambria" w:eastAsia="Times New Roman" w:hAnsi="Cambria"/>
          <w:bCs/>
          <w:color w:val="000000" w:themeColor="text1"/>
          <w:lang w:eastAsia="en-GB"/>
        </w:rPr>
        <w:t xml:space="preserve"> role of actors like UK Government who have taken an increasingly hands off approach</w:t>
      </w:r>
      <w:r w:rsidRPr="000147D3">
        <w:rPr>
          <w:rFonts w:ascii="Cambria" w:eastAsia="Times New Roman" w:hAnsi="Cambria"/>
          <w:color w:val="000000" w:themeColor="text1"/>
          <w:lang w:eastAsia="en-GB"/>
        </w:rPr>
        <w:t xml:space="preserve"> in recent years, including during the current period of </w:t>
      </w:r>
      <w:r>
        <w:rPr>
          <w:rFonts w:ascii="Cambria" w:eastAsia="Times New Roman" w:hAnsi="Cambria"/>
          <w:color w:val="000000" w:themeColor="text1"/>
          <w:lang w:eastAsia="en-GB"/>
        </w:rPr>
        <w:t>constitutional impasse,</w:t>
      </w:r>
      <w:r w:rsidR="00AF1066">
        <w:rPr>
          <w:rFonts w:ascii="Cambria" w:eastAsia="Times New Roman" w:hAnsi="Cambria"/>
          <w:color w:val="000000" w:themeColor="text1"/>
          <w:lang w:eastAsia="en-GB"/>
        </w:rPr>
        <w:t xml:space="preserve"> after </w:t>
      </w:r>
      <w:r w:rsidRPr="000147D3">
        <w:rPr>
          <w:rFonts w:ascii="Cambria" w:eastAsia="Times New Roman" w:hAnsi="Cambria"/>
          <w:color w:val="222222"/>
          <w:shd w:val="clear" w:color="auto" w:fill="FFFFFF"/>
        </w:rPr>
        <w:t xml:space="preserve">Sinn Fein and the </w:t>
      </w:r>
      <w:r w:rsidR="00AF1066">
        <w:rPr>
          <w:rFonts w:ascii="Cambria" w:eastAsia="Times New Roman" w:hAnsi="Cambria"/>
          <w:color w:val="222222"/>
          <w:shd w:val="clear" w:color="auto" w:fill="FFFFFF"/>
        </w:rPr>
        <w:t>DUP</w:t>
      </w:r>
      <w:r w:rsidRPr="000147D3">
        <w:rPr>
          <w:rFonts w:ascii="Cambria" w:eastAsia="Times New Roman" w:hAnsi="Cambria"/>
          <w:color w:val="222222"/>
          <w:shd w:val="clear" w:color="auto" w:fill="FFFFFF"/>
        </w:rPr>
        <w:t> failed to broker the power</w:t>
      </w:r>
      <w:r>
        <w:rPr>
          <w:rFonts w:ascii="Cambria" w:eastAsia="Times New Roman" w:hAnsi="Cambria"/>
          <w:color w:val="222222"/>
          <w:shd w:val="clear" w:color="auto" w:fill="FFFFFF"/>
        </w:rPr>
        <w:t>-</w:t>
      </w:r>
      <w:r w:rsidRPr="000147D3">
        <w:rPr>
          <w:rFonts w:ascii="Cambria" w:eastAsia="Times New Roman" w:hAnsi="Cambria"/>
          <w:color w:val="222222"/>
          <w:shd w:val="clear" w:color="auto" w:fill="FFFFFF"/>
        </w:rPr>
        <w:t>sharing agreement necessary to restore government at Stormont</w:t>
      </w:r>
      <w:r>
        <w:rPr>
          <w:rStyle w:val="apple-converted-space"/>
          <w:rFonts w:ascii="Cambria" w:hAnsi="Cambria"/>
          <w:color w:val="222222"/>
          <w:shd w:val="clear" w:color="auto" w:fill="FFFFFF"/>
        </w:rPr>
        <w:t>.</w:t>
      </w:r>
    </w:p>
    <w:p w14:paraId="24606E66" w14:textId="77777777" w:rsidR="00A316CE" w:rsidRDefault="00A316CE" w:rsidP="00A316CE">
      <w:pPr>
        <w:spacing w:line="360" w:lineRule="auto"/>
        <w:rPr>
          <w:rFonts w:ascii="Cambria" w:eastAsia="Times New Roman" w:hAnsi="Cambria"/>
          <w:color w:val="222222"/>
          <w:shd w:val="clear" w:color="auto" w:fill="FFFFFF"/>
        </w:rPr>
      </w:pPr>
    </w:p>
    <w:p w14:paraId="227805B7" w14:textId="77777777" w:rsidR="00A316CE" w:rsidRPr="000147D3" w:rsidRDefault="00A316CE" w:rsidP="00A316CE">
      <w:pPr>
        <w:spacing w:line="360" w:lineRule="auto"/>
        <w:rPr>
          <w:rFonts w:ascii="Cambria" w:eastAsia="Times New Roman" w:hAnsi="Cambria"/>
        </w:rPr>
      </w:pPr>
      <w:r w:rsidRPr="000147D3">
        <w:rPr>
          <w:rFonts w:ascii="Cambria" w:eastAsia="Times New Roman" w:hAnsi="Cambria"/>
          <w:color w:val="222222"/>
          <w:shd w:val="clear" w:color="auto" w:fill="FFFFFF"/>
        </w:rPr>
        <w:t>As noted earlier, Northern Irish politics is currently operating in a limbo with power-sharing suspended but no formal Direct Rule</w:t>
      </w:r>
      <w:r w:rsidRPr="000147D3">
        <w:rPr>
          <w:rStyle w:val="apple-converted-space"/>
          <w:rFonts w:ascii="Cambria" w:hAnsi="Cambria"/>
          <w:color w:val="222222"/>
          <w:shd w:val="clear" w:color="auto" w:fill="FFFFFF"/>
        </w:rPr>
        <w:t xml:space="preserve"> from Westminster; a context in which civil servants are exercising considerable power. Bureaucratic discretion has seen a further </w:t>
      </w:r>
      <w:proofErr w:type="spellStart"/>
      <w:r w:rsidRPr="000147D3">
        <w:rPr>
          <w:rStyle w:val="apple-converted-space"/>
          <w:rFonts w:ascii="Cambria" w:hAnsi="Cambria"/>
          <w:color w:val="222222"/>
          <w:shd w:val="clear" w:color="auto" w:fill="FFFFFF"/>
        </w:rPr>
        <w:t>deprioritisation</w:t>
      </w:r>
      <w:proofErr w:type="spellEnd"/>
      <w:r w:rsidRPr="000147D3">
        <w:rPr>
          <w:rStyle w:val="apple-converted-space"/>
          <w:rFonts w:ascii="Cambria" w:hAnsi="Cambria"/>
          <w:color w:val="222222"/>
          <w:shd w:val="clear" w:color="auto" w:fill="FFFFFF"/>
        </w:rPr>
        <w:t xml:space="preserve"> of gender equality and human rights, as a tension is seen to exist between such measures and community good relations.</w:t>
      </w:r>
    </w:p>
    <w:p w14:paraId="717FFBF8" w14:textId="750B812F" w:rsidR="00A316CE" w:rsidRDefault="00A316CE" w:rsidP="00A316CE">
      <w:pPr>
        <w:spacing w:before="100" w:beforeAutospacing="1" w:after="100" w:afterAutospacing="1" w:line="360" w:lineRule="auto"/>
        <w:textAlignment w:val="baseline"/>
        <w:rPr>
          <w:rFonts w:ascii="Cambria" w:eastAsia="Times New Roman" w:hAnsi="Cambria"/>
          <w:color w:val="000000" w:themeColor="text1"/>
          <w:lang w:eastAsia="en-GB"/>
        </w:rPr>
      </w:pPr>
      <w:r w:rsidRPr="003D66DD">
        <w:rPr>
          <w:rFonts w:ascii="Cambria" w:eastAsia="Times New Roman" w:hAnsi="Cambria"/>
          <w:bCs/>
          <w:color w:val="000000" w:themeColor="text1"/>
          <w:lang w:eastAsia="en-GB"/>
        </w:rPr>
        <w:t>Whilst actors are constrained by the rules, ther</w:t>
      </w:r>
      <w:r w:rsidRPr="003D66DD">
        <w:rPr>
          <w:rFonts w:ascii="Cambria" w:eastAsia="Times New Roman" w:hAnsi="Cambria"/>
          <w:color w:val="000000" w:themeColor="text1"/>
          <w:lang w:eastAsia="en-GB"/>
        </w:rPr>
        <w:t>e h</w:t>
      </w:r>
      <w:r w:rsidR="003D7AB5">
        <w:rPr>
          <w:rFonts w:ascii="Cambria" w:eastAsia="Times New Roman" w:hAnsi="Cambria"/>
          <w:color w:val="000000" w:themeColor="text1"/>
          <w:lang w:eastAsia="en-GB"/>
        </w:rPr>
        <w:t xml:space="preserve">as been some creative navigation. One </w:t>
      </w:r>
      <w:r w:rsidRPr="003D66DD">
        <w:rPr>
          <w:rFonts w:ascii="Cambria" w:eastAsia="Times New Roman" w:hAnsi="Cambria"/>
          <w:color w:val="000000" w:themeColor="text1"/>
          <w:lang w:eastAsia="en-GB"/>
        </w:rPr>
        <w:t xml:space="preserve">example </w:t>
      </w:r>
      <w:r w:rsidR="003D7AB5">
        <w:rPr>
          <w:rFonts w:ascii="Cambria" w:eastAsia="Times New Roman" w:hAnsi="Cambria"/>
          <w:color w:val="000000" w:themeColor="text1"/>
          <w:lang w:eastAsia="en-GB"/>
        </w:rPr>
        <w:t>is that of the</w:t>
      </w:r>
      <w:r w:rsidRPr="003D66DD">
        <w:rPr>
          <w:rFonts w:ascii="Cambria" w:eastAsia="Times New Roman" w:hAnsi="Cambria"/>
          <w:color w:val="000000" w:themeColor="text1"/>
          <w:lang w:eastAsia="en-GB"/>
        </w:rPr>
        <w:t xml:space="preserve"> NIWC</w:t>
      </w:r>
      <w:r w:rsidR="003D7AB5">
        <w:rPr>
          <w:rFonts w:ascii="Cambria" w:eastAsia="Times New Roman" w:hAnsi="Cambria"/>
          <w:color w:val="000000" w:themeColor="text1"/>
          <w:lang w:eastAsia="en-GB"/>
        </w:rPr>
        <w:t xml:space="preserve"> in 2001,</w:t>
      </w:r>
      <w:r w:rsidRPr="003D66DD">
        <w:rPr>
          <w:rFonts w:ascii="Cambria" w:eastAsia="Times New Roman" w:hAnsi="Cambria"/>
          <w:color w:val="000000" w:themeColor="text1"/>
          <w:lang w:eastAsia="en-GB"/>
        </w:rPr>
        <w:t xml:space="preserve"> when they temporarily </w:t>
      </w:r>
      <w:proofErr w:type="spellStart"/>
      <w:r w:rsidRPr="003D66DD">
        <w:rPr>
          <w:rFonts w:ascii="Cambria" w:eastAsia="Times New Roman" w:hAnsi="Cambria"/>
          <w:color w:val="000000" w:themeColor="text1"/>
          <w:lang w:eastAsia="en-GB"/>
        </w:rPr>
        <w:t>redesignated</w:t>
      </w:r>
      <w:proofErr w:type="spellEnd"/>
      <w:r w:rsidRPr="003D66DD">
        <w:rPr>
          <w:rFonts w:ascii="Cambria" w:eastAsia="Times New Roman" w:hAnsi="Cambria"/>
          <w:color w:val="000000" w:themeColor="text1"/>
          <w:lang w:eastAsia="en-GB"/>
        </w:rPr>
        <w:t xml:space="preserve"> </w:t>
      </w:r>
      <w:r w:rsidR="003D7AB5">
        <w:rPr>
          <w:rFonts w:ascii="Cambria" w:eastAsia="Times New Roman" w:hAnsi="Cambria"/>
          <w:color w:val="000000" w:themeColor="text1"/>
          <w:lang w:eastAsia="en-GB"/>
        </w:rPr>
        <w:t>their MLAs</w:t>
      </w:r>
      <w:r w:rsidRPr="003D66DD">
        <w:rPr>
          <w:rFonts w:ascii="Cambria" w:eastAsia="Times New Roman" w:hAnsi="Cambria"/>
          <w:color w:val="000000" w:themeColor="text1"/>
          <w:lang w:eastAsia="en-GB"/>
        </w:rPr>
        <w:t xml:space="preserve">, one to </w:t>
      </w:r>
      <w:r w:rsidR="003D7AB5">
        <w:rPr>
          <w:rFonts w:ascii="Cambria" w:eastAsia="Times New Roman" w:hAnsi="Cambria"/>
          <w:color w:val="000000" w:themeColor="text1"/>
          <w:lang w:eastAsia="en-GB"/>
        </w:rPr>
        <w:t xml:space="preserve">the </w:t>
      </w:r>
      <w:r w:rsidRPr="003D66DD">
        <w:rPr>
          <w:rFonts w:ascii="Cambria" w:eastAsia="Times New Roman" w:hAnsi="Cambria"/>
          <w:color w:val="000000" w:themeColor="text1"/>
          <w:lang w:eastAsia="en-GB"/>
        </w:rPr>
        <w:t>nationalist</w:t>
      </w:r>
      <w:r w:rsidR="003D7AB5">
        <w:rPr>
          <w:rFonts w:ascii="Cambria" w:eastAsia="Times New Roman" w:hAnsi="Cambria"/>
          <w:color w:val="000000" w:themeColor="text1"/>
          <w:lang w:eastAsia="en-GB"/>
        </w:rPr>
        <w:t xml:space="preserve"> grouping</w:t>
      </w:r>
      <w:r w:rsidRPr="003D66DD">
        <w:rPr>
          <w:rFonts w:ascii="Cambria" w:eastAsia="Times New Roman" w:hAnsi="Cambria"/>
          <w:color w:val="000000" w:themeColor="text1"/>
          <w:lang w:eastAsia="en-GB"/>
        </w:rPr>
        <w:t xml:space="preserve">, </w:t>
      </w:r>
      <w:r w:rsidR="003D7AB5">
        <w:rPr>
          <w:rFonts w:ascii="Cambria" w:eastAsia="Times New Roman" w:hAnsi="Cambria"/>
          <w:color w:val="000000" w:themeColor="text1"/>
          <w:lang w:eastAsia="en-GB"/>
        </w:rPr>
        <w:t xml:space="preserve">and </w:t>
      </w:r>
      <w:r w:rsidRPr="003D66DD">
        <w:rPr>
          <w:rFonts w:ascii="Cambria" w:eastAsia="Times New Roman" w:hAnsi="Cambria"/>
          <w:color w:val="000000" w:themeColor="text1"/>
          <w:lang w:eastAsia="en-GB"/>
        </w:rPr>
        <w:t xml:space="preserve">one to </w:t>
      </w:r>
      <w:r w:rsidR="003D7AB5">
        <w:rPr>
          <w:rFonts w:ascii="Cambria" w:eastAsia="Times New Roman" w:hAnsi="Cambria"/>
          <w:color w:val="000000" w:themeColor="text1"/>
          <w:lang w:eastAsia="en-GB"/>
        </w:rPr>
        <w:t xml:space="preserve">the </w:t>
      </w:r>
      <w:r w:rsidRPr="003D66DD">
        <w:rPr>
          <w:rFonts w:ascii="Cambria" w:eastAsia="Times New Roman" w:hAnsi="Cambria"/>
          <w:color w:val="000000" w:themeColor="text1"/>
          <w:lang w:eastAsia="en-GB"/>
        </w:rPr>
        <w:t>unionist</w:t>
      </w:r>
      <w:r w:rsidR="003D7AB5">
        <w:rPr>
          <w:rFonts w:ascii="Cambria" w:eastAsia="Times New Roman" w:hAnsi="Cambria"/>
          <w:color w:val="000000" w:themeColor="text1"/>
          <w:lang w:eastAsia="en-GB"/>
        </w:rPr>
        <w:t xml:space="preserve"> grouping. In doing so, their votes helped </w:t>
      </w:r>
      <w:r w:rsidRPr="003D66DD">
        <w:rPr>
          <w:rFonts w:ascii="Cambria" w:eastAsia="Times New Roman" w:hAnsi="Cambria"/>
          <w:color w:val="000000" w:themeColor="text1"/>
          <w:lang w:eastAsia="en-GB"/>
        </w:rPr>
        <w:t>to reinstall the F</w:t>
      </w:r>
      <w:r w:rsidR="00AF1066">
        <w:rPr>
          <w:rFonts w:ascii="Cambria" w:eastAsia="Times New Roman" w:hAnsi="Cambria"/>
          <w:color w:val="000000" w:themeColor="text1"/>
          <w:lang w:eastAsia="en-GB"/>
        </w:rPr>
        <w:t xml:space="preserve">irst </w:t>
      </w:r>
      <w:r w:rsidRPr="003D66DD">
        <w:rPr>
          <w:rFonts w:ascii="Cambria" w:eastAsia="Times New Roman" w:hAnsi="Cambria"/>
          <w:color w:val="000000" w:themeColor="text1"/>
          <w:lang w:eastAsia="en-GB"/>
        </w:rPr>
        <w:t>M</w:t>
      </w:r>
      <w:r w:rsidR="00AF1066">
        <w:rPr>
          <w:rFonts w:ascii="Cambria" w:eastAsia="Times New Roman" w:hAnsi="Cambria"/>
          <w:color w:val="000000" w:themeColor="text1"/>
          <w:lang w:eastAsia="en-GB"/>
        </w:rPr>
        <w:t>inister</w:t>
      </w:r>
      <w:r w:rsidRPr="003D66DD">
        <w:rPr>
          <w:rFonts w:ascii="Cambria" w:eastAsia="Times New Roman" w:hAnsi="Cambria"/>
          <w:color w:val="000000" w:themeColor="text1"/>
          <w:lang w:eastAsia="en-GB"/>
        </w:rPr>
        <w:t xml:space="preserve"> and D</w:t>
      </w:r>
      <w:r w:rsidR="00AF1066">
        <w:rPr>
          <w:rFonts w:ascii="Cambria" w:eastAsia="Times New Roman" w:hAnsi="Cambria"/>
          <w:color w:val="000000" w:themeColor="text1"/>
          <w:lang w:eastAsia="en-GB"/>
        </w:rPr>
        <w:t xml:space="preserve">eputy </w:t>
      </w:r>
      <w:r w:rsidRPr="003D66DD">
        <w:rPr>
          <w:rFonts w:ascii="Cambria" w:eastAsia="Times New Roman" w:hAnsi="Cambria"/>
          <w:color w:val="000000" w:themeColor="text1"/>
          <w:lang w:eastAsia="en-GB"/>
        </w:rPr>
        <w:t>F</w:t>
      </w:r>
      <w:r w:rsidR="00AF1066">
        <w:rPr>
          <w:rFonts w:ascii="Cambria" w:eastAsia="Times New Roman" w:hAnsi="Cambria"/>
          <w:color w:val="000000" w:themeColor="text1"/>
          <w:lang w:eastAsia="en-GB"/>
        </w:rPr>
        <w:t xml:space="preserve">irst </w:t>
      </w:r>
      <w:r w:rsidRPr="003D66DD">
        <w:rPr>
          <w:rFonts w:ascii="Cambria" w:eastAsia="Times New Roman" w:hAnsi="Cambria"/>
          <w:color w:val="000000" w:themeColor="text1"/>
          <w:lang w:eastAsia="en-GB"/>
        </w:rPr>
        <w:t>M</w:t>
      </w:r>
      <w:r w:rsidR="00AF1066">
        <w:rPr>
          <w:rFonts w:ascii="Cambria" w:eastAsia="Times New Roman" w:hAnsi="Cambria"/>
          <w:color w:val="000000" w:themeColor="text1"/>
          <w:lang w:eastAsia="en-GB"/>
        </w:rPr>
        <w:t>inister</w:t>
      </w:r>
      <w:r w:rsidRPr="003D66DD">
        <w:rPr>
          <w:rFonts w:ascii="Cambria" w:eastAsia="Times New Roman" w:hAnsi="Cambria"/>
          <w:color w:val="000000" w:themeColor="text1"/>
          <w:lang w:eastAsia="en-GB"/>
        </w:rPr>
        <w:t xml:space="preserve"> and save Stormont from collapse.</w:t>
      </w:r>
      <w:r>
        <w:rPr>
          <w:rFonts w:ascii="Cambria" w:eastAsia="Times New Roman" w:hAnsi="Cambria"/>
          <w:color w:val="000000" w:themeColor="text1"/>
          <w:lang w:eastAsia="en-GB"/>
        </w:rPr>
        <w:t xml:space="preserve"> Women’s civil society organisations have also employed classic ‘boomerang’ strategies appealing to transnational actors to assert international pressure, for example the CEDAW Committee has exerted pressure on the UK government to extend its 1325 Action Plan to include Northern Ireland (CEDAW</w:t>
      </w:r>
      <w:r w:rsidR="00DC4465">
        <w:rPr>
          <w:rFonts w:ascii="Cambria" w:eastAsia="Times New Roman" w:hAnsi="Cambria"/>
          <w:color w:val="000000" w:themeColor="text1"/>
          <w:lang w:eastAsia="en-GB"/>
        </w:rPr>
        <w:t>,</w:t>
      </w:r>
      <w:r>
        <w:rPr>
          <w:rFonts w:ascii="Cambria" w:eastAsia="Times New Roman" w:hAnsi="Cambria"/>
          <w:color w:val="000000" w:themeColor="text1"/>
          <w:lang w:eastAsia="en-GB"/>
        </w:rPr>
        <w:t xml:space="preserve"> 2013</w:t>
      </w:r>
      <w:r w:rsidR="00B62CBC">
        <w:rPr>
          <w:rFonts w:ascii="Cambria" w:eastAsia="Times New Roman" w:hAnsi="Cambria"/>
          <w:color w:val="000000" w:themeColor="text1"/>
          <w:lang w:eastAsia="en-GB"/>
        </w:rPr>
        <w:t>b</w:t>
      </w:r>
      <w:r w:rsidR="0033297A">
        <w:rPr>
          <w:rFonts w:ascii="Cambria" w:eastAsia="Times New Roman" w:hAnsi="Cambria"/>
          <w:color w:val="000000" w:themeColor="text1"/>
          <w:lang w:eastAsia="en-GB"/>
        </w:rPr>
        <w:t>; Law and Grey 2014</w:t>
      </w:r>
      <w:r>
        <w:rPr>
          <w:rFonts w:ascii="Cambria" w:eastAsia="Times New Roman" w:hAnsi="Cambria"/>
          <w:color w:val="000000" w:themeColor="text1"/>
          <w:lang w:eastAsia="en-GB"/>
        </w:rPr>
        <w:t xml:space="preserve">); </w:t>
      </w:r>
      <w:r w:rsidR="00AF1066">
        <w:rPr>
          <w:rFonts w:ascii="Cambria" w:eastAsia="Times New Roman" w:hAnsi="Cambria"/>
          <w:color w:val="000000" w:themeColor="text1"/>
          <w:lang w:eastAsia="en-GB"/>
        </w:rPr>
        <w:t xml:space="preserve">and </w:t>
      </w:r>
      <w:r>
        <w:rPr>
          <w:rFonts w:ascii="Cambria" w:eastAsia="Times New Roman" w:hAnsi="Cambria"/>
          <w:color w:val="000000" w:themeColor="text1"/>
          <w:lang w:eastAsia="en-GB"/>
        </w:rPr>
        <w:t>women’s rights activists and feminist politicians in Northern Ireland and mainland Britain have worked together to lobby for abortion reform</w:t>
      </w:r>
      <w:r w:rsidR="003D7AB5">
        <w:rPr>
          <w:rFonts w:ascii="Cambria" w:eastAsia="Times New Roman" w:hAnsi="Cambria"/>
          <w:color w:val="000000" w:themeColor="text1"/>
          <w:lang w:eastAsia="en-GB"/>
        </w:rPr>
        <w:t xml:space="preserve"> (Thomson</w:t>
      </w:r>
      <w:r w:rsidR="004F559D">
        <w:rPr>
          <w:rFonts w:ascii="Cambria" w:eastAsia="Times New Roman" w:hAnsi="Cambria"/>
          <w:color w:val="000000" w:themeColor="text1"/>
          <w:lang w:eastAsia="en-GB"/>
        </w:rPr>
        <w:t xml:space="preserve"> 2019)</w:t>
      </w:r>
      <w:r>
        <w:rPr>
          <w:rFonts w:ascii="Cambria" w:eastAsia="Times New Roman" w:hAnsi="Cambria"/>
          <w:color w:val="000000" w:themeColor="text1"/>
          <w:lang w:eastAsia="en-GB"/>
        </w:rPr>
        <w:t xml:space="preserve">. </w:t>
      </w:r>
    </w:p>
    <w:p w14:paraId="1DDB8A92" w14:textId="0A5FC248" w:rsidR="007B496D" w:rsidRPr="00121558" w:rsidRDefault="007B496D" w:rsidP="00A316CE">
      <w:pPr>
        <w:spacing w:before="100" w:beforeAutospacing="1" w:after="100" w:afterAutospacing="1" w:line="360" w:lineRule="auto"/>
        <w:textAlignment w:val="baseline"/>
        <w:rPr>
          <w:rFonts w:ascii="Cambria" w:eastAsia="Times New Roman" w:hAnsi="Cambria"/>
          <w:color w:val="000000" w:themeColor="text1"/>
          <w:lang w:eastAsia="en-GB"/>
        </w:rPr>
      </w:pPr>
      <w:r w:rsidRPr="00121558">
        <w:rPr>
          <w:rFonts w:ascii="Cambria" w:eastAsia="Times New Roman" w:hAnsi="Cambria"/>
          <w:color w:val="000000" w:themeColor="text1"/>
          <w:lang w:eastAsia="en-GB"/>
        </w:rPr>
        <w:t>Thus, the Northern Ireland case demonstrates the barriers women face within post-conflict power-sharing structures, but also the creative agency they can wield in this framework and their capacity to seize opportunities therein.</w:t>
      </w:r>
    </w:p>
    <w:p w14:paraId="5ECC2F0B" w14:textId="77777777" w:rsidR="00865D2A" w:rsidRPr="003D66DD" w:rsidRDefault="00865D2A" w:rsidP="00865D2A">
      <w:pPr>
        <w:pStyle w:val="paragraph"/>
        <w:spacing w:line="360" w:lineRule="auto"/>
        <w:textAlignment w:val="baseline"/>
        <w:outlineLvl w:val="0"/>
        <w:rPr>
          <w:rStyle w:val="normaltextrun"/>
          <w:rFonts w:ascii="Cambria" w:hAnsi="Cambria"/>
          <w:b/>
          <w:shd w:val="clear" w:color="auto" w:fill="FFFFFF"/>
        </w:rPr>
      </w:pPr>
      <w:r w:rsidRPr="003D66DD">
        <w:rPr>
          <w:rStyle w:val="normaltextrun"/>
          <w:rFonts w:ascii="Cambria" w:hAnsi="Cambria"/>
          <w:b/>
          <w:shd w:val="clear" w:color="auto" w:fill="FFFFFF"/>
        </w:rPr>
        <w:lastRenderedPageBreak/>
        <w:t xml:space="preserve">Burundi </w:t>
      </w:r>
    </w:p>
    <w:p w14:paraId="5A3597EE" w14:textId="2F150BDF" w:rsidR="00865D2A" w:rsidRPr="003D66DD" w:rsidRDefault="004D3220" w:rsidP="00865D2A">
      <w:pPr>
        <w:spacing w:line="360" w:lineRule="auto"/>
        <w:outlineLvl w:val="0"/>
        <w:rPr>
          <w:rStyle w:val="normaltextrun"/>
          <w:rFonts w:ascii="Cambria" w:hAnsi="Cambria"/>
          <w:b/>
          <w:i/>
        </w:rPr>
      </w:pPr>
      <w:r>
        <w:rPr>
          <w:rFonts w:ascii="Cambria" w:hAnsi="Cambria"/>
          <w:b/>
          <w:i/>
        </w:rPr>
        <w:t>Peace A</w:t>
      </w:r>
      <w:r w:rsidR="00865D2A" w:rsidRPr="003D66DD">
        <w:rPr>
          <w:rFonts w:ascii="Cambria" w:hAnsi="Cambria"/>
          <w:b/>
          <w:i/>
        </w:rPr>
        <w:t xml:space="preserve">greement </w:t>
      </w:r>
    </w:p>
    <w:p w14:paraId="5512649E" w14:textId="7F511DA9" w:rsidR="00865D2A" w:rsidRPr="003D66DD" w:rsidRDefault="00865D2A" w:rsidP="00865D2A">
      <w:pPr>
        <w:pStyle w:val="NormalWeb"/>
        <w:spacing w:line="360" w:lineRule="auto"/>
        <w:rPr>
          <w:rStyle w:val="normaltextrun"/>
          <w:rFonts w:ascii="Cambria" w:hAnsi="Cambria"/>
        </w:rPr>
      </w:pPr>
      <w:r w:rsidRPr="003D66DD">
        <w:rPr>
          <w:rStyle w:val="normaltextrun"/>
          <w:rFonts w:ascii="Cambria" w:hAnsi="Cambria"/>
          <w:shd w:val="clear" w:color="auto" w:fill="FFFFFF"/>
        </w:rPr>
        <w:t>The Arusha Accord</w:t>
      </w:r>
      <w:r w:rsidR="00EC7613">
        <w:rPr>
          <w:rStyle w:val="normaltextrun"/>
          <w:rFonts w:ascii="Cambria" w:hAnsi="Cambria"/>
          <w:shd w:val="clear" w:color="auto" w:fill="FFFFFF"/>
        </w:rPr>
        <w:t>s</w:t>
      </w:r>
      <w:r w:rsidRPr="003D66DD">
        <w:rPr>
          <w:rStyle w:val="normaltextrun"/>
          <w:rFonts w:ascii="Cambria" w:hAnsi="Cambria"/>
          <w:shd w:val="clear" w:color="auto" w:fill="FFFFFF"/>
        </w:rPr>
        <w:t xml:space="preserve"> signed in 2000, after two years of negotiations, provided the blueprint f</w:t>
      </w:r>
      <w:r w:rsidR="004D3220">
        <w:rPr>
          <w:rStyle w:val="normaltextrun"/>
          <w:rFonts w:ascii="Cambria" w:hAnsi="Cambria"/>
          <w:shd w:val="clear" w:color="auto" w:fill="FFFFFF"/>
        </w:rPr>
        <w:t>or the end of civil war that had</w:t>
      </w:r>
      <w:r w:rsidRPr="003D66DD">
        <w:rPr>
          <w:rStyle w:val="normaltextrun"/>
          <w:rFonts w:ascii="Cambria" w:hAnsi="Cambria"/>
          <w:shd w:val="clear" w:color="auto" w:fill="FFFFFF"/>
        </w:rPr>
        <w:t xml:space="preserve"> been waged between Hutu and Tutsi forces in Burundi since 1993. Women’s organisations, who had mobilised on a multi-ethnic basis to lobby for peace during the conflict, demanded representation in the peace talks. The negotiating elites eventually permitted seven women observers to attend the talks, in which capacity </w:t>
      </w:r>
      <w:r w:rsidRPr="003D66DD">
        <w:rPr>
          <w:rFonts w:ascii="Cambria" w:hAnsi="Cambria"/>
        </w:rPr>
        <w:t xml:space="preserve">they were able to follow the negotiations, lobby political leaders and report back to the women’s movement </w:t>
      </w:r>
      <w:r w:rsidRPr="003D66DD">
        <w:rPr>
          <w:rStyle w:val="normaltextrun"/>
          <w:rFonts w:ascii="Cambria" w:hAnsi="Cambria"/>
          <w:shd w:val="clear" w:color="auto" w:fill="FFFFFF"/>
        </w:rPr>
        <w:t>(</w:t>
      </w:r>
      <w:proofErr w:type="spellStart"/>
      <w:r w:rsidRPr="003D66DD">
        <w:rPr>
          <w:rStyle w:val="normaltextrun"/>
          <w:rFonts w:ascii="Cambria" w:hAnsi="Cambria"/>
          <w:shd w:val="clear" w:color="auto" w:fill="FFFFFF"/>
        </w:rPr>
        <w:t>Falch</w:t>
      </w:r>
      <w:proofErr w:type="spellEnd"/>
      <w:r w:rsidR="004D3220">
        <w:rPr>
          <w:rStyle w:val="normaltextrun"/>
          <w:rFonts w:ascii="Cambria" w:hAnsi="Cambria"/>
          <w:shd w:val="clear" w:color="auto" w:fill="FFFFFF"/>
        </w:rPr>
        <w:t>,</w:t>
      </w:r>
      <w:r w:rsidRPr="003D66DD">
        <w:rPr>
          <w:rStyle w:val="normaltextrun"/>
          <w:rFonts w:ascii="Cambria" w:hAnsi="Cambria"/>
          <w:shd w:val="clear" w:color="auto" w:fill="FFFFFF"/>
        </w:rPr>
        <w:t xml:space="preserve"> 2010)</w:t>
      </w:r>
      <w:r w:rsidRPr="003D66DD">
        <w:rPr>
          <w:rFonts w:ascii="Cambria" w:hAnsi="Cambria"/>
        </w:rPr>
        <w:t xml:space="preserve">. </w:t>
      </w:r>
      <w:r w:rsidRPr="003D66DD">
        <w:rPr>
          <w:rStyle w:val="normaltextrun"/>
          <w:rFonts w:ascii="Cambria" w:hAnsi="Cambria"/>
          <w:shd w:val="clear" w:color="auto" w:fill="FFFFFF"/>
        </w:rPr>
        <w:t xml:space="preserve">As part of lobbying efforts, and as a means of highlighting women’s perspectives, </w:t>
      </w:r>
      <w:r w:rsidRPr="003D66DD">
        <w:rPr>
          <w:rFonts w:ascii="Cambria" w:hAnsi="Cambria"/>
        </w:rPr>
        <w:t xml:space="preserve">an All-Party Burundi Women’s Peace Conference was convened a month before the signing of the peace accord with the help of international bodies such as UN Development Fund for Women (UNIFEM) and the UN High Commission for Refugees. Whilst late to the process, and with no formal status, several of its recommendations were subsequently adopted, as noted below </w:t>
      </w:r>
      <w:r w:rsidRPr="003D66DD">
        <w:rPr>
          <w:rStyle w:val="normaltextrun"/>
          <w:rFonts w:ascii="Cambria" w:hAnsi="Cambria"/>
          <w:shd w:val="clear" w:color="auto" w:fill="FFFFFF"/>
        </w:rPr>
        <w:t>(Byrne and McCulloch, 2012: 574; Tripp et al.</w:t>
      </w:r>
      <w:r w:rsidR="004D3220">
        <w:rPr>
          <w:rStyle w:val="normaltextrun"/>
          <w:rFonts w:ascii="Cambria" w:hAnsi="Cambria"/>
          <w:shd w:val="clear" w:color="auto" w:fill="FFFFFF"/>
        </w:rPr>
        <w:t>,</w:t>
      </w:r>
      <w:r w:rsidRPr="003D66DD">
        <w:rPr>
          <w:rStyle w:val="normaltextrun"/>
          <w:rFonts w:ascii="Cambria" w:hAnsi="Cambria"/>
          <w:shd w:val="clear" w:color="auto" w:fill="FFFFFF"/>
        </w:rPr>
        <w:t xml:space="preserve"> 2009). </w:t>
      </w:r>
    </w:p>
    <w:p w14:paraId="3DAAF576" w14:textId="67383B78" w:rsidR="00865D2A" w:rsidRPr="003D66DD" w:rsidRDefault="00865D2A" w:rsidP="00865D2A">
      <w:pPr>
        <w:spacing w:after="240" w:line="360" w:lineRule="auto"/>
        <w:outlineLvl w:val="0"/>
        <w:rPr>
          <w:rStyle w:val="normaltextrun"/>
          <w:rFonts w:ascii="Cambria" w:hAnsi="Cambria"/>
          <w:b/>
          <w:i/>
        </w:rPr>
      </w:pPr>
      <w:r w:rsidRPr="003D66DD">
        <w:rPr>
          <w:rStyle w:val="eop"/>
          <w:rFonts w:ascii="Cambria" w:hAnsi="Cambria"/>
          <w:b/>
          <w:i/>
        </w:rPr>
        <w:t>Power-</w:t>
      </w:r>
      <w:r w:rsidR="004D3220">
        <w:rPr>
          <w:rStyle w:val="eop"/>
          <w:rFonts w:ascii="Cambria" w:hAnsi="Cambria"/>
          <w:b/>
          <w:i/>
        </w:rPr>
        <w:t>S</w:t>
      </w:r>
      <w:r w:rsidRPr="003D66DD">
        <w:rPr>
          <w:rStyle w:val="eop"/>
          <w:rFonts w:ascii="Cambria" w:hAnsi="Cambria"/>
          <w:b/>
          <w:i/>
        </w:rPr>
        <w:t>haring</w:t>
      </w:r>
    </w:p>
    <w:p w14:paraId="62979791" w14:textId="6682E4EF" w:rsidR="00865D2A" w:rsidRPr="003D66DD" w:rsidRDefault="00DC4465" w:rsidP="00865D2A">
      <w:pPr>
        <w:pStyle w:val="NormalWeb"/>
        <w:spacing w:line="360" w:lineRule="auto"/>
        <w:rPr>
          <w:rStyle w:val="normaltextrun"/>
          <w:rFonts w:ascii="Cambria" w:hAnsi="Cambria"/>
          <w:shd w:val="clear" w:color="auto" w:fill="FFFFFF"/>
        </w:rPr>
      </w:pPr>
      <w:r>
        <w:rPr>
          <w:rFonts w:ascii="Cambria" w:hAnsi="Cambria"/>
        </w:rPr>
        <w:t>The Arusha A</w:t>
      </w:r>
      <w:r w:rsidR="00EC7613">
        <w:rPr>
          <w:rFonts w:ascii="Cambria" w:hAnsi="Cambria"/>
        </w:rPr>
        <w:t xml:space="preserve">ccords </w:t>
      </w:r>
      <w:r w:rsidR="00865D2A" w:rsidRPr="003D66DD">
        <w:rPr>
          <w:rFonts w:ascii="Cambria" w:hAnsi="Cambria"/>
        </w:rPr>
        <w:t xml:space="preserve">guaranteed representation in state institutions to Burundi’s various ethnic groups and provided the model for a broad-based coalition government. This paved the way for democratic elections and the drafting of a new constitution in 2005. </w:t>
      </w:r>
      <w:r w:rsidR="00865D2A" w:rsidRPr="003D66DD">
        <w:rPr>
          <w:rStyle w:val="normaltextrun"/>
          <w:rFonts w:ascii="Cambria" w:hAnsi="Cambria"/>
          <w:shd w:val="clear" w:color="auto" w:fill="FFFFFF"/>
        </w:rPr>
        <w:t xml:space="preserve">The constitution was clearly corporate </w:t>
      </w:r>
      <w:proofErr w:type="spellStart"/>
      <w:r w:rsidR="00865D2A" w:rsidRPr="003D66DD">
        <w:rPr>
          <w:rStyle w:val="normaltextrun"/>
          <w:rFonts w:ascii="Cambria" w:hAnsi="Cambria"/>
          <w:shd w:val="clear" w:color="auto" w:fill="FFFFFF"/>
        </w:rPr>
        <w:t>consociational</w:t>
      </w:r>
      <w:proofErr w:type="spellEnd"/>
      <w:r w:rsidR="00865D2A" w:rsidRPr="003D66DD">
        <w:rPr>
          <w:rStyle w:val="normaltextrun"/>
          <w:rFonts w:ascii="Cambria" w:hAnsi="Cambria"/>
          <w:shd w:val="clear" w:color="auto" w:fill="FFFFFF"/>
        </w:rPr>
        <w:t xml:space="preserve"> in form, mandating the sharing of power between the main ethnic groups, Hutus (comprising approximately 85% of the population), Tutsis (approximately 14%) and </w:t>
      </w:r>
      <w:proofErr w:type="spellStart"/>
      <w:r w:rsidR="00865D2A" w:rsidRPr="003D66DD">
        <w:rPr>
          <w:rStyle w:val="normaltextrun"/>
          <w:rFonts w:ascii="Cambria" w:hAnsi="Cambria"/>
          <w:shd w:val="clear" w:color="auto" w:fill="FFFFFF"/>
        </w:rPr>
        <w:t>Twa</w:t>
      </w:r>
      <w:proofErr w:type="spellEnd"/>
      <w:r w:rsidR="00865D2A" w:rsidRPr="003D66DD">
        <w:rPr>
          <w:rStyle w:val="normaltextrun"/>
          <w:rFonts w:ascii="Cambria" w:hAnsi="Cambria"/>
          <w:shd w:val="clear" w:color="auto" w:fill="FFFFFF"/>
        </w:rPr>
        <w:t xml:space="preserve"> (approximately 1%).  </w:t>
      </w:r>
      <w:r w:rsidR="00865D2A" w:rsidRPr="003D66DD">
        <w:rPr>
          <w:rFonts w:ascii="Cambria" w:hAnsi="Cambria"/>
        </w:rPr>
        <w:t>This included a grand coalition presidency where the two Vice Presidents must come from different groups (</w:t>
      </w:r>
      <w:proofErr w:type="spellStart"/>
      <w:r w:rsidR="00865D2A" w:rsidRPr="003D66DD">
        <w:rPr>
          <w:rFonts w:ascii="Cambria" w:hAnsi="Cambria"/>
        </w:rPr>
        <w:t>Vandeginste</w:t>
      </w:r>
      <w:proofErr w:type="spellEnd"/>
      <w:r w:rsidR="001A0A84">
        <w:rPr>
          <w:rFonts w:ascii="Cambria" w:hAnsi="Cambria"/>
        </w:rPr>
        <w:t>, 2017a: 170,</w:t>
      </w:r>
      <w:r w:rsidR="00865D2A" w:rsidRPr="003D66DD">
        <w:rPr>
          <w:rFonts w:ascii="Cambria" w:hAnsi="Cambria"/>
        </w:rPr>
        <w:t xml:space="preserve"> 2009) and </w:t>
      </w:r>
      <w:r w:rsidR="001A0A84">
        <w:rPr>
          <w:rFonts w:ascii="Cambria" w:hAnsi="Cambria"/>
        </w:rPr>
        <w:t xml:space="preserve">a </w:t>
      </w:r>
      <w:r w:rsidR="00865D2A" w:rsidRPr="003D66DD">
        <w:rPr>
          <w:rFonts w:ascii="Cambria" w:hAnsi="Cambria"/>
        </w:rPr>
        <w:t>guaranteed 60:40 representation ratio of Hutu and Tutsis respectively in the National Assembly and Council of Ministers, and 50:50 in the Senate, through an electoral system that mandates multi-ethnic electoral lists (McCulloch</w:t>
      </w:r>
      <w:r w:rsidR="001A0A84">
        <w:rPr>
          <w:rFonts w:ascii="Cambria" w:hAnsi="Cambria"/>
        </w:rPr>
        <w:t>,</w:t>
      </w:r>
      <w:r w:rsidR="00865D2A" w:rsidRPr="003D66DD">
        <w:rPr>
          <w:rFonts w:ascii="Cambria" w:hAnsi="Cambria"/>
        </w:rPr>
        <w:t xml:space="preserve"> 2014: 55; </w:t>
      </w:r>
      <w:proofErr w:type="spellStart"/>
      <w:r w:rsidR="00865D2A" w:rsidRPr="003D66DD">
        <w:rPr>
          <w:rFonts w:ascii="Cambria" w:hAnsi="Cambria"/>
        </w:rPr>
        <w:t>Vandeginste</w:t>
      </w:r>
      <w:proofErr w:type="spellEnd"/>
      <w:r w:rsidR="001A0A84">
        <w:rPr>
          <w:rFonts w:ascii="Cambria" w:hAnsi="Cambria"/>
        </w:rPr>
        <w:t>,</w:t>
      </w:r>
      <w:r w:rsidR="00865D2A" w:rsidRPr="003D66DD">
        <w:rPr>
          <w:rFonts w:ascii="Cambria" w:hAnsi="Cambria"/>
        </w:rPr>
        <w:t xml:space="preserve"> 2017a: 169</w:t>
      </w:r>
      <w:r w:rsidR="001A0A84">
        <w:rPr>
          <w:rFonts w:ascii="Cambria" w:hAnsi="Cambria"/>
        </w:rPr>
        <w:t>,</w:t>
      </w:r>
      <w:r w:rsidR="00865D2A" w:rsidRPr="003D66DD">
        <w:rPr>
          <w:rFonts w:ascii="Cambria" w:hAnsi="Cambria"/>
        </w:rPr>
        <w:t xml:space="preserve"> 2009).  </w:t>
      </w:r>
      <w:r w:rsidR="00865D2A" w:rsidRPr="003D66DD">
        <w:rPr>
          <w:rFonts w:ascii="Cambria" w:hAnsi="Cambria"/>
          <w:shd w:val="clear" w:color="auto" w:fill="FFFFFF"/>
        </w:rPr>
        <w:t>National Assembly members are elected by proportional representation from closed multi-ethnic party lists for each of th</w:t>
      </w:r>
      <w:r w:rsidR="001A1791">
        <w:rPr>
          <w:rFonts w:ascii="Cambria" w:hAnsi="Cambria"/>
          <w:shd w:val="clear" w:color="auto" w:fill="FFFFFF"/>
        </w:rPr>
        <w:t>e 18 provinces with a 2%</w:t>
      </w:r>
      <w:r w:rsidR="00865D2A" w:rsidRPr="003D66DD">
        <w:rPr>
          <w:rFonts w:ascii="Cambria" w:hAnsi="Cambria"/>
          <w:shd w:val="clear" w:color="auto" w:fill="FFFFFF"/>
        </w:rPr>
        <w:t xml:space="preserve"> threshold for entering </w:t>
      </w:r>
      <w:r w:rsidR="00865D2A" w:rsidRPr="003D66DD">
        <w:rPr>
          <w:rFonts w:ascii="Cambria" w:hAnsi="Cambria"/>
          <w:shd w:val="clear" w:color="auto" w:fill="FFFFFF"/>
        </w:rPr>
        <w:lastRenderedPageBreak/>
        <w:t>parliament.</w:t>
      </w:r>
      <w:r w:rsidR="00865D2A" w:rsidRPr="003D66DD">
        <w:rPr>
          <w:rStyle w:val="normaltextrun"/>
          <w:rFonts w:ascii="Cambria" w:hAnsi="Cambria"/>
          <w:shd w:val="clear" w:color="auto" w:fill="FFFFFF"/>
        </w:rPr>
        <w:t xml:space="preserve">  </w:t>
      </w:r>
      <w:r w:rsidR="00865D2A" w:rsidRPr="003D66DD">
        <w:rPr>
          <w:rFonts w:ascii="Cambria" w:hAnsi="Cambria"/>
        </w:rPr>
        <w:t>This electoral system also mandates multi-ethnic electoral lists from parties, whereby lists are ‘zipped’ so that for every three candidates only two can be from the same group, failing which, a process of co-optation is triggered (McCulloch</w:t>
      </w:r>
      <w:r w:rsidR="001A0A84">
        <w:rPr>
          <w:rFonts w:ascii="Cambria" w:hAnsi="Cambria"/>
        </w:rPr>
        <w:t>,</w:t>
      </w:r>
      <w:r w:rsidR="00865D2A" w:rsidRPr="003D66DD">
        <w:rPr>
          <w:rFonts w:ascii="Cambria" w:hAnsi="Cambria"/>
        </w:rPr>
        <w:t xml:space="preserve"> 2014: 55), while electoral laws are in place to ensure parties are </w:t>
      </w:r>
      <w:r w:rsidR="001A0A84">
        <w:rPr>
          <w:rStyle w:val="normaltextrun"/>
          <w:rFonts w:ascii="Cambria" w:hAnsi="Cambria"/>
          <w:shd w:val="clear" w:color="auto" w:fill="FFFFFF"/>
        </w:rPr>
        <w:t>multi-ethnic in composition</w:t>
      </w:r>
      <w:r w:rsidR="00865D2A" w:rsidRPr="003D66DD">
        <w:rPr>
          <w:rStyle w:val="normaltextrun"/>
          <w:rFonts w:ascii="Cambria" w:hAnsi="Cambria"/>
          <w:shd w:val="clear" w:color="auto" w:fill="FFFFFF"/>
        </w:rPr>
        <w:t xml:space="preserve"> (</w:t>
      </w:r>
      <w:proofErr w:type="spellStart"/>
      <w:r w:rsidR="001A0A84" w:rsidRPr="003D66DD">
        <w:rPr>
          <w:rFonts w:ascii="Cambria" w:hAnsi="Cambria"/>
        </w:rPr>
        <w:t>Nindorera</w:t>
      </w:r>
      <w:proofErr w:type="spellEnd"/>
      <w:r w:rsidR="001A0A84">
        <w:rPr>
          <w:rFonts w:ascii="Cambria" w:hAnsi="Cambria"/>
        </w:rPr>
        <w:t>,</w:t>
      </w:r>
      <w:r w:rsidR="001A0A84" w:rsidRPr="003D66DD">
        <w:rPr>
          <w:rFonts w:ascii="Cambria" w:hAnsi="Cambria"/>
        </w:rPr>
        <w:t xml:space="preserve"> 2012</w:t>
      </w:r>
      <w:r w:rsidR="001A0A84">
        <w:rPr>
          <w:rFonts w:ascii="Cambria" w:hAnsi="Cambria"/>
        </w:rPr>
        <w:t xml:space="preserve">; </w:t>
      </w:r>
      <w:proofErr w:type="spellStart"/>
      <w:r w:rsidR="00865D2A" w:rsidRPr="003D66DD">
        <w:rPr>
          <w:rStyle w:val="normaltextrun"/>
          <w:rFonts w:ascii="Cambria" w:hAnsi="Cambria"/>
          <w:shd w:val="clear" w:color="auto" w:fill="FFFFFF"/>
        </w:rPr>
        <w:t>Vandeginste</w:t>
      </w:r>
      <w:proofErr w:type="spellEnd"/>
      <w:r w:rsidR="001A0A84">
        <w:rPr>
          <w:rStyle w:val="normaltextrun"/>
          <w:rFonts w:ascii="Cambria" w:hAnsi="Cambria"/>
          <w:shd w:val="clear" w:color="auto" w:fill="FFFFFF"/>
        </w:rPr>
        <w:t>, 2017a: 167</w:t>
      </w:r>
      <w:r w:rsidR="00865D2A" w:rsidRPr="003D66DD">
        <w:rPr>
          <w:rStyle w:val="normaltextrun"/>
          <w:rFonts w:ascii="Cambria" w:hAnsi="Cambria"/>
          <w:shd w:val="clear" w:color="auto" w:fill="FFFFFF"/>
        </w:rPr>
        <w:t>).</w:t>
      </w:r>
    </w:p>
    <w:p w14:paraId="6C9E7E80" w14:textId="4073EB6A" w:rsidR="00865D2A" w:rsidRPr="003D66DD" w:rsidRDefault="00865D2A" w:rsidP="00865D2A">
      <w:pPr>
        <w:spacing w:line="360" w:lineRule="auto"/>
        <w:rPr>
          <w:rStyle w:val="normaltextrun"/>
          <w:rFonts w:ascii="Cambria" w:hAnsi="Cambria"/>
          <w:color w:val="000000" w:themeColor="text1"/>
        </w:rPr>
      </w:pPr>
      <w:r w:rsidRPr="003D66DD">
        <w:rPr>
          <w:rFonts w:ascii="Cambria" w:hAnsi="Cambria"/>
          <w:color w:val="000000" w:themeColor="text1"/>
        </w:rPr>
        <w:t>The Arusha A</w:t>
      </w:r>
      <w:r w:rsidR="00EC7613">
        <w:rPr>
          <w:rFonts w:ascii="Cambria" w:hAnsi="Cambria"/>
          <w:color w:val="000000" w:themeColor="text1"/>
        </w:rPr>
        <w:t>ccords</w:t>
      </w:r>
      <w:r w:rsidRPr="003D66DD">
        <w:rPr>
          <w:rFonts w:ascii="Cambria" w:hAnsi="Cambria"/>
          <w:color w:val="000000" w:themeColor="text1"/>
        </w:rPr>
        <w:t xml:space="preserve"> also enshrined the principle of ethnic parity in the security forces, and subsequent agreements provided for the integration of rebel forces into the army with t</w:t>
      </w:r>
      <w:r w:rsidR="00585C4D">
        <w:rPr>
          <w:rFonts w:ascii="Cambria" w:hAnsi="Cambria"/>
          <w:color w:val="000000" w:themeColor="text1"/>
        </w:rPr>
        <w:t>he support of the international guarantors</w:t>
      </w:r>
      <w:r w:rsidR="001A0A84">
        <w:rPr>
          <w:rFonts w:ascii="Cambria" w:hAnsi="Cambria"/>
          <w:color w:val="000000" w:themeColor="text1"/>
        </w:rPr>
        <w:t>,</w:t>
      </w:r>
      <w:r w:rsidRPr="003D66DD">
        <w:rPr>
          <w:rFonts w:ascii="Cambria" w:hAnsi="Cambria"/>
          <w:color w:val="000000" w:themeColor="text1"/>
        </w:rPr>
        <w:t xml:space="preserve"> in</w:t>
      </w:r>
      <w:r w:rsidR="00F07885">
        <w:rPr>
          <w:rFonts w:ascii="Cambria" w:hAnsi="Cambria"/>
          <w:color w:val="000000" w:themeColor="text1"/>
        </w:rPr>
        <w:t>cluding the UN and South Africa</w:t>
      </w:r>
      <w:r w:rsidRPr="003D66DD">
        <w:rPr>
          <w:rFonts w:ascii="Cambria" w:hAnsi="Cambria"/>
          <w:color w:val="000000" w:themeColor="text1"/>
        </w:rPr>
        <w:t xml:space="preserve"> (</w:t>
      </w:r>
      <w:r w:rsidR="00121558">
        <w:rPr>
          <w:rFonts w:ascii="Cambria" w:hAnsi="Cambria"/>
          <w:color w:val="000000" w:themeColor="text1"/>
        </w:rPr>
        <w:t xml:space="preserve">International </w:t>
      </w:r>
      <w:r w:rsidRPr="003D66DD">
        <w:rPr>
          <w:rFonts w:ascii="Cambria" w:hAnsi="Cambria"/>
          <w:color w:val="000000" w:themeColor="text1"/>
        </w:rPr>
        <w:t>Crisis Group</w:t>
      </w:r>
      <w:r w:rsidR="001A0A84">
        <w:rPr>
          <w:rFonts w:ascii="Cambria" w:hAnsi="Cambria"/>
          <w:color w:val="000000" w:themeColor="text1"/>
        </w:rPr>
        <w:t>,</w:t>
      </w:r>
      <w:r w:rsidRPr="003D66DD">
        <w:rPr>
          <w:rFonts w:ascii="Cambria" w:hAnsi="Cambria"/>
          <w:color w:val="000000" w:themeColor="text1"/>
        </w:rPr>
        <w:t xml:space="preserve"> 2017).</w:t>
      </w:r>
    </w:p>
    <w:p w14:paraId="1767D2C3" w14:textId="2F2E9377" w:rsidR="00865D2A" w:rsidRPr="003D66DD" w:rsidRDefault="00865D2A" w:rsidP="00865D2A">
      <w:pPr>
        <w:pStyle w:val="NormalWeb"/>
        <w:spacing w:line="360" w:lineRule="auto"/>
        <w:rPr>
          <w:rStyle w:val="normaltextrun"/>
          <w:rFonts w:ascii="Cambria" w:hAnsi="Cambria"/>
        </w:rPr>
      </w:pPr>
      <w:r w:rsidRPr="003D66DD">
        <w:rPr>
          <w:rFonts w:ascii="Cambria" w:hAnsi="Cambria"/>
        </w:rPr>
        <w:t>The Burundi case was widely praised internationally in its first decade as an example of effective institutional engineering to address ethnic conflict</w:t>
      </w:r>
      <w:r w:rsidRPr="003D66DD">
        <w:rPr>
          <w:rStyle w:val="normaltextrun"/>
          <w:rFonts w:ascii="Cambria" w:hAnsi="Cambria"/>
          <w:shd w:val="clear" w:color="auto" w:fill="FFFFFF"/>
        </w:rPr>
        <w:t xml:space="preserve"> and to promote inclusive dialogue and consensus, and non-violent politics (</w:t>
      </w:r>
      <w:proofErr w:type="spellStart"/>
      <w:r w:rsidRPr="003D66DD">
        <w:rPr>
          <w:rStyle w:val="normaltextrun"/>
          <w:rFonts w:ascii="Cambria" w:hAnsi="Cambria"/>
          <w:shd w:val="clear" w:color="auto" w:fill="FFFFFF"/>
        </w:rPr>
        <w:t>Vandeginste</w:t>
      </w:r>
      <w:proofErr w:type="spellEnd"/>
      <w:r w:rsidRPr="003D66DD">
        <w:rPr>
          <w:rStyle w:val="normaltextrun"/>
          <w:rFonts w:ascii="Cambria" w:hAnsi="Cambria"/>
          <w:shd w:val="clear" w:color="auto" w:fill="FFFFFF"/>
        </w:rPr>
        <w:t>, 2017b:</w:t>
      </w:r>
      <w:r w:rsidR="001A0A84">
        <w:rPr>
          <w:rStyle w:val="normaltextrun"/>
          <w:rFonts w:ascii="Cambria" w:hAnsi="Cambria"/>
          <w:shd w:val="clear" w:color="auto" w:fill="FFFFFF"/>
        </w:rPr>
        <w:t xml:space="preserve"> </w:t>
      </w:r>
      <w:r w:rsidR="000240E7">
        <w:rPr>
          <w:rStyle w:val="normaltextrun"/>
          <w:rFonts w:ascii="Cambria" w:hAnsi="Cambria"/>
          <w:shd w:val="clear" w:color="auto" w:fill="FFFFFF"/>
        </w:rPr>
        <w:t>11-12)</w:t>
      </w:r>
      <w:r w:rsidRPr="003D66DD">
        <w:rPr>
          <w:rStyle w:val="normaltextrun"/>
          <w:rFonts w:ascii="Cambria" w:hAnsi="Cambria"/>
          <w:shd w:val="clear" w:color="auto" w:fill="FFFFFF"/>
        </w:rPr>
        <w:t xml:space="preserve">. </w:t>
      </w:r>
    </w:p>
    <w:p w14:paraId="050D49CD" w14:textId="7EFA6F94" w:rsidR="00865D2A" w:rsidRPr="003D66DD" w:rsidRDefault="001A0A84" w:rsidP="00865D2A">
      <w:pPr>
        <w:spacing w:after="240" w:line="360" w:lineRule="auto"/>
        <w:outlineLvl w:val="0"/>
        <w:rPr>
          <w:rStyle w:val="normaltextrun"/>
          <w:rFonts w:ascii="Cambria" w:hAnsi="Cambria"/>
          <w:b/>
          <w:i/>
          <w:shd w:val="clear" w:color="auto" w:fill="FFFFFF"/>
        </w:rPr>
      </w:pPr>
      <w:r>
        <w:rPr>
          <w:rStyle w:val="normaltextrun"/>
          <w:rFonts w:ascii="Cambria" w:hAnsi="Cambria"/>
          <w:b/>
          <w:i/>
          <w:shd w:val="clear" w:color="auto" w:fill="FFFFFF"/>
        </w:rPr>
        <w:t>Political Actors and D</w:t>
      </w:r>
      <w:r w:rsidR="00865D2A" w:rsidRPr="003D66DD">
        <w:rPr>
          <w:rStyle w:val="normaltextrun"/>
          <w:rFonts w:ascii="Cambria" w:hAnsi="Cambria"/>
          <w:b/>
          <w:i/>
          <w:shd w:val="clear" w:color="auto" w:fill="FFFFFF"/>
        </w:rPr>
        <w:t xml:space="preserve">ynamics </w:t>
      </w:r>
    </w:p>
    <w:p w14:paraId="69D4F178" w14:textId="0904DF1F" w:rsidR="00865D2A" w:rsidRPr="003D66DD" w:rsidRDefault="001A0A84" w:rsidP="00865D2A">
      <w:pPr>
        <w:pStyle w:val="Default"/>
        <w:spacing w:after="240" w:line="360" w:lineRule="auto"/>
        <w:rPr>
          <w:rFonts w:ascii="Cambria" w:hAnsi="Cambria"/>
        </w:rPr>
      </w:pPr>
      <w:r>
        <w:rPr>
          <w:rStyle w:val="normaltextrun"/>
          <w:rFonts w:ascii="Cambria" w:hAnsi="Cambria"/>
          <w:shd w:val="clear" w:color="auto" w:fill="FFFFFF"/>
        </w:rPr>
        <w:t>In practice, however, this “</w:t>
      </w:r>
      <w:r w:rsidR="00865D2A" w:rsidRPr="003D66DD">
        <w:rPr>
          <w:rStyle w:val="normaltextrun"/>
          <w:rFonts w:ascii="Cambria" w:hAnsi="Cambria"/>
          <w:shd w:val="clear" w:color="auto" w:fill="FFFFFF"/>
        </w:rPr>
        <w:t>rare and sophisti</w:t>
      </w:r>
      <w:r>
        <w:rPr>
          <w:rStyle w:val="normaltextrun"/>
          <w:rFonts w:ascii="Cambria" w:hAnsi="Cambria"/>
          <w:shd w:val="clear" w:color="auto" w:fill="FFFFFF"/>
        </w:rPr>
        <w:t xml:space="preserve">cated form of </w:t>
      </w:r>
      <w:proofErr w:type="spellStart"/>
      <w:r>
        <w:rPr>
          <w:rStyle w:val="normaltextrun"/>
          <w:rFonts w:ascii="Cambria" w:hAnsi="Cambria"/>
          <w:shd w:val="clear" w:color="auto" w:fill="FFFFFF"/>
        </w:rPr>
        <w:t>consociationalism</w:t>
      </w:r>
      <w:proofErr w:type="spellEnd"/>
      <w:r>
        <w:rPr>
          <w:rStyle w:val="normaltextrun"/>
          <w:rFonts w:ascii="Cambria" w:hAnsi="Cambria"/>
          <w:shd w:val="clear" w:color="auto" w:fill="FFFFFF"/>
        </w:rPr>
        <w:t>”</w:t>
      </w:r>
      <w:r w:rsidR="00865D2A" w:rsidRPr="003D66DD">
        <w:rPr>
          <w:rStyle w:val="normaltextrun"/>
          <w:rFonts w:ascii="Cambria" w:hAnsi="Cambria"/>
          <w:shd w:val="clear" w:color="auto" w:fill="FFFFFF"/>
        </w:rPr>
        <w:t xml:space="preserve"> (Le </w:t>
      </w:r>
      <w:proofErr w:type="spellStart"/>
      <w:r w:rsidR="00865D2A" w:rsidRPr="003D66DD">
        <w:rPr>
          <w:rStyle w:val="normaltextrun"/>
          <w:rFonts w:ascii="Cambria" w:hAnsi="Cambria"/>
          <w:shd w:val="clear" w:color="auto" w:fill="FFFFFF"/>
        </w:rPr>
        <w:t>Marchand</w:t>
      </w:r>
      <w:proofErr w:type="spellEnd"/>
      <w:r>
        <w:rPr>
          <w:rStyle w:val="normaltextrun"/>
          <w:rFonts w:ascii="Cambria" w:hAnsi="Cambria"/>
          <w:shd w:val="clear" w:color="auto" w:fill="FFFFFF"/>
        </w:rPr>
        <w:t>,</w:t>
      </w:r>
      <w:r w:rsidR="00865D2A" w:rsidRPr="003D66DD">
        <w:rPr>
          <w:rStyle w:val="normaltextrun"/>
          <w:rFonts w:ascii="Cambria" w:hAnsi="Cambria"/>
          <w:shd w:val="clear" w:color="auto" w:fill="FFFFFF"/>
        </w:rPr>
        <w:t xml:space="preserve"> 2007, cited by </w:t>
      </w:r>
      <w:proofErr w:type="spellStart"/>
      <w:r w:rsidR="00865D2A" w:rsidRPr="003D66DD">
        <w:rPr>
          <w:rFonts w:ascii="Cambria" w:hAnsi="Cambria"/>
        </w:rPr>
        <w:t>Vandeginste</w:t>
      </w:r>
      <w:proofErr w:type="spellEnd"/>
      <w:r>
        <w:rPr>
          <w:rFonts w:ascii="Cambria" w:hAnsi="Cambria"/>
        </w:rPr>
        <w:t>,</w:t>
      </w:r>
      <w:r w:rsidR="00865D2A" w:rsidRPr="003D66DD">
        <w:rPr>
          <w:rFonts w:ascii="Cambria" w:hAnsi="Cambria"/>
        </w:rPr>
        <w:t xml:space="preserve"> 2017b</w:t>
      </w:r>
      <w:r w:rsidR="00865D2A" w:rsidRPr="003D66DD">
        <w:rPr>
          <w:rStyle w:val="normaltextrun"/>
          <w:rFonts w:ascii="Cambria" w:hAnsi="Cambria"/>
          <w:shd w:val="clear" w:color="auto" w:fill="FFFFFF"/>
        </w:rPr>
        <w:t xml:space="preserve">) has been marked by severe </w:t>
      </w:r>
      <w:proofErr w:type="spellStart"/>
      <w:r w:rsidR="00865D2A" w:rsidRPr="003D66DD">
        <w:rPr>
          <w:rStyle w:val="normaltextrun"/>
          <w:rFonts w:ascii="Cambria" w:hAnsi="Cambria"/>
          <w:shd w:val="clear" w:color="auto" w:fill="FFFFFF"/>
        </w:rPr>
        <w:t>immobilism</w:t>
      </w:r>
      <w:proofErr w:type="spellEnd"/>
      <w:r w:rsidR="00865D2A" w:rsidRPr="003D66DD">
        <w:rPr>
          <w:rStyle w:val="normaltextrun"/>
          <w:rFonts w:ascii="Cambria" w:hAnsi="Cambria"/>
          <w:shd w:val="clear" w:color="auto" w:fill="FFFFFF"/>
        </w:rPr>
        <w:t xml:space="preserve">, one-party dominance and </w:t>
      </w:r>
      <w:r>
        <w:rPr>
          <w:rStyle w:val="normaltextrun"/>
          <w:rFonts w:ascii="Cambria" w:hAnsi="Cambria"/>
          <w:shd w:val="clear" w:color="auto" w:fill="FFFFFF"/>
        </w:rPr>
        <w:t>‘</w:t>
      </w:r>
      <w:r>
        <w:rPr>
          <w:rFonts w:ascii="Cambria" w:hAnsi="Cambria"/>
        </w:rPr>
        <w:t>authoritarian drift’</w:t>
      </w:r>
      <w:r w:rsidR="00865D2A" w:rsidRPr="003D66DD">
        <w:rPr>
          <w:rFonts w:ascii="Cambria" w:hAnsi="Cambria"/>
        </w:rPr>
        <w:t xml:space="preserve"> (McCulloch</w:t>
      </w:r>
      <w:r>
        <w:rPr>
          <w:rFonts w:ascii="Cambria" w:hAnsi="Cambria"/>
        </w:rPr>
        <w:t>,</w:t>
      </w:r>
      <w:r w:rsidR="00865D2A" w:rsidRPr="003D66DD">
        <w:rPr>
          <w:rFonts w:ascii="Cambria" w:hAnsi="Cambria"/>
        </w:rPr>
        <w:t xml:space="preserve"> 2014: 50).  </w:t>
      </w:r>
      <w:r w:rsidR="00865D2A" w:rsidRPr="003D66DD">
        <w:rPr>
          <w:rStyle w:val="normaltextrun"/>
          <w:rFonts w:ascii="Cambria" w:hAnsi="Cambria"/>
          <w:shd w:val="clear" w:color="auto" w:fill="FFFFFF"/>
        </w:rPr>
        <w:t xml:space="preserve">Burundi’s power-sharing system, which places parties centrally, has been prone to </w:t>
      </w:r>
      <w:proofErr w:type="spellStart"/>
      <w:r w:rsidR="00865D2A" w:rsidRPr="003D66DD">
        <w:rPr>
          <w:rStyle w:val="normaltextrun"/>
          <w:rFonts w:ascii="Cambria" w:hAnsi="Cambria"/>
          <w:shd w:val="clear" w:color="auto" w:fill="FFFFFF"/>
        </w:rPr>
        <w:t>clientelism</w:t>
      </w:r>
      <w:proofErr w:type="spellEnd"/>
      <w:r w:rsidR="00865D2A" w:rsidRPr="003D66DD">
        <w:rPr>
          <w:rStyle w:val="normaltextrun"/>
          <w:rFonts w:ascii="Cambria" w:hAnsi="Cambria"/>
          <w:shd w:val="clear" w:color="auto" w:fill="FFFFFF"/>
        </w:rPr>
        <w:t xml:space="preserve"> and patronage (</w:t>
      </w:r>
      <w:proofErr w:type="spellStart"/>
      <w:r w:rsidR="00865D2A" w:rsidRPr="003D66DD">
        <w:rPr>
          <w:rFonts w:ascii="Cambria" w:hAnsi="Cambria"/>
        </w:rPr>
        <w:t>Vandeginste</w:t>
      </w:r>
      <w:proofErr w:type="spellEnd"/>
      <w:r>
        <w:rPr>
          <w:rFonts w:ascii="Cambria" w:hAnsi="Cambria"/>
        </w:rPr>
        <w:t>,</w:t>
      </w:r>
      <w:r w:rsidR="00865D2A" w:rsidRPr="003D66DD">
        <w:rPr>
          <w:rFonts w:ascii="Cambria" w:hAnsi="Cambria"/>
        </w:rPr>
        <w:t xml:space="preserve"> 2017a: 184), in some cases leading to the creation of shadow structures that bypass the formal power-sharing institutions and regulations. </w:t>
      </w:r>
    </w:p>
    <w:p w14:paraId="29408B0C" w14:textId="27B63592" w:rsidR="00865D2A" w:rsidRPr="003D66DD" w:rsidRDefault="00865D2A" w:rsidP="00865D2A">
      <w:pPr>
        <w:pStyle w:val="NormalWeb"/>
        <w:spacing w:line="360" w:lineRule="auto"/>
        <w:rPr>
          <w:rFonts w:ascii="Cambria" w:hAnsi="Cambria"/>
        </w:rPr>
      </w:pPr>
      <w:r w:rsidRPr="003D66DD">
        <w:rPr>
          <w:rFonts w:ascii="Cambria" w:hAnsi="Cambria"/>
        </w:rPr>
        <w:t xml:space="preserve">President Pierre </w:t>
      </w:r>
      <w:proofErr w:type="spellStart"/>
      <w:r w:rsidRPr="003D66DD">
        <w:rPr>
          <w:rFonts w:ascii="Cambria" w:hAnsi="Cambria"/>
        </w:rPr>
        <w:t>Nkurunziza</w:t>
      </w:r>
      <w:proofErr w:type="spellEnd"/>
      <w:r w:rsidRPr="003D66DD">
        <w:rPr>
          <w:rFonts w:ascii="Cambria" w:hAnsi="Cambria"/>
        </w:rPr>
        <w:t>, formerly a leader of a Hutu rebel group</w:t>
      </w:r>
      <w:r w:rsidR="001A0A84">
        <w:rPr>
          <w:rFonts w:ascii="Cambria" w:hAnsi="Cambria"/>
        </w:rPr>
        <w:t>,</w:t>
      </w:r>
      <w:r w:rsidRPr="003D66DD">
        <w:rPr>
          <w:rFonts w:ascii="Cambria" w:hAnsi="Cambria"/>
        </w:rPr>
        <w:t xml:space="preserve"> and CNDD-FDD, a former Hutu party which now presents itself as multi-ethnic, have dominated Burundi politics since the first elections of 2005 (</w:t>
      </w:r>
      <w:proofErr w:type="spellStart"/>
      <w:r w:rsidRPr="003D66DD">
        <w:rPr>
          <w:rFonts w:ascii="Cambria" w:hAnsi="Cambria"/>
        </w:rPr>
        <w:t>Vandeginste</w:t>
      </w:r>
      <w:proofErr w:type="spellEnd"/>
      <w:r w:rsidR="001A0A84">
        <w:rPr>
          <w:rFonts w:ascii="Cambria" w:hAnsi="Cambria"/>
        </w:rPr>
        <w:t>,</w:t>
      </w:r>
      <w:r w:rsidRPr="003D66DD">
        <w:rPr>
          <w:rFonts w:ascii="Cambria" w:hAnsi="Cambria"/>
        </w:rPr>
        <w:t xml:space="preserve"> 2017</w:t>
      </w:r>
      <w:r w:rsidR="00A71D54">
        <w:rPr>
          <w:rFonts w:ascii="Cambria" w:hAnsi="Cambria"/>
        </w:rPr>
        <w:t>a</w:t>
      </w:r>
      <w:r w:rsidRPr="003D66DD">
        <w:rPr>
          <w:rFonts w:ascii="Cambria" w:hAnsi="Cambria"/>
        </w:rPr>
        <w:t xml:space="preserve">: 181), and have gradually tightened their grip on political power and state institutions. The run up to the </w:t>
      </w:r>
      <w:r w:rsidRPr="003D66DD">
        <w:rPr>
          <w:rStyle w:val="normaltextrun"/>
          <w:rFonts w:ascii="Cambria" w:hAnsi="Cambria"/>
          <w:shd w:val="clear" w:color="auto" w:fill="FFFFFF"/>
        </w:rPr>
        <w:t xml:space="preserve">2010 elections were marked by an upsurge in political violence, and </w:t>
      </w:r>
      <w:r w:rsidR="001A0A84">
        <w:rPr>
          <w:rStyle w:val="normaltextrun"/>
          <w:rFonts w:ascii="Cambria" w:hAnsi="Cambria"/>
          <w:shd w:val="clear" w:color="auto" w:fill="FFFFFF"/>
        </w:rPr>
        <w:t xml:space="preserve">the elections </w:t>
      </w:r>
      <w:r w:rsidRPr="003D66DD">
        <w:rPr>
          <w:rStyle w:val="normaltextrun"/>
          <w:rFonts w:ascii="Cambria" w:hAnsi="Cambria"/>
          <w:shd w:val="clear" w:color="auto" w:fill="FFFFFF"/>
        </w:rPr>
        <w:t xml:space="preserve">were boycotted by opposition parties claiming </w:t>
      </w:r>
      <w:r w:rsidR="001A0A84">
        <w:rPr>
          <w:rStyle w:val="normaltextrun"/>
          <w:rFonts w:ascii="Cambria" w:hAnsi="Cambria"/>
          <w:shd w:val="clear" w:color="auto" w:fill="FFFFFF"/>
        </w:rPr>
        <w:t>they</w:t>
      </w:r>
      <w:r w:rsidRPr="003D66DD">
        <w:rPr>
          <w:rStyle w:val="normaltextrun"/>
          <w:rFonts w:ascii="Cambria" w:hAnsi="Cambria"/>
          <w:shd w:val="clear" w:color="auto" w:fill="FFFFFF"/>
        </w:rPr>
        <w:t xml:space="preserve"> were a ‘sham’. By 2015, Burundi’s standing in the Freedom House index had declined from ‘partly free’ to ‘not free’, triggered by President </w:t>
      </w:r>
      <w:proofErr w:type="spellStart"/>
      <w:r w:rsidRPr="003D66DD">
        <w:rPr>
          <w:rFonts w:ascii="Cambria" w:hAnsi="Cambria"/>
        </w:rPr>
        <w:t>Nkurunziza’s</w:t>
      </w:r>
      <w:proofErr w:type="spellEnd"/>
      <w:r w:rsidRPr="003D66DD">
        <w:rPr>
          <w:rFonts w:ascii="Cambria" w:hAnsi="Cambria"/>
        </w:rPr>
        <w:t xml:space="preserve"> controversial decision to stand for a third term, and increased state repression and violence in response to escalating instability and political protest (</w:t>
      </w:r>
      <w:proofErr w:type="spellStart"/>
      <w:r w:rsidRPr="003D66DD">
        <w:rPr>
          <w:rStyle w:val="normaltextrun"/>
          <w:rFonts w:ascii="Cambria" w:hAnsi="Cambria"/>
          <w:shd w:val="clear" w:color="auto" w:fill="FFFFFF"/>
        </w:rPr>
        <w:t>Guariso</w:t>
      </w:r>
      <w:proofErr w:type="spellEnd"/>
      <w:r w:rsidRPr="003D66DD">
        <w:rPr>
          <w:rStyle w:val="normaltextrun"/>
          <w:rFonts w:ascii="Cambria" w:hAnsi="Cambria"/>
          <w:shd w:val="clear" w:color="auto" w:fill="FFFFFF"/>
        </w:rPr>
        <w:t xml:space="preserve"> et al.</w:t>
      </w:r>
      <w:r w:rsidR="001A0A84">
        <w:rPr>
          <w:rStyle w:val="normaltextrun"/>
          <w:rFonts w:ascii="Cambria" w:hAnsi="Cambria"/>
          <w:shd w:val="clear" w:color="auto" w:fill="FFFFFF"/>
        </w:rPr>
        <w:t>,</w:t>
      </w:r>
      <w:r w:rsidRPr="003D66DD">
        <w:rPr>
          <w:rStyle w:val="normaltextrun"/>
          <w:rFonts w:ascii="Cambria" w:hAnsi="Cambria"/>
          <w:shd w:val="clear" w:color="auto" w:fill="FFFFFF"/>
        </w:rPr>
        <w:t xml:space="preserve"> 2017</w:t>
      </w:r>
      <w:r w:rsidRPr="003D66DD">
        <w:rPr>
          <w:rFonts w:ascii="Cambria" w:hAnsi="Cambria"/>
        </w:rPr>
        <w:t xml:space="preserve">).  The future of power-sharing has been placed </w:t>
      </w:r>
      <w:r w:rsidRPr="003D66DD">
        <w:rPr>
          <w:rFonts w:ascii="Cambria" w:hAnsi="Cambria"/>
        </w:rPr>
        <w:lastRenderedPageBreak/>
        <w:t>under considerable pressure by these developments and by proposals to</w:t>
      </w:r>
      <w:r w:rsidR="001A0A84">
        <w:rPr>
          <w:rFonts w:ascii="Cambria" w:hAnsi="Cambria"/>
        </w:rPr>
        <w:t xml:space="preserve"> revise key elements of the c</w:t>
      </w:r>
      <w:r w:rsidRPr="003D66DD">
        <w:rPr>
          <w:rFonts w:ascii="Cambria" w:hAnsi="Cambria"/>
        </w:rPr>
        <w:t>onstitution (</w:t>
      </w:r>
      <w:proofErr w:type="spellStart"/>
      <w:r w:rsidR="001A0A84" w:rsidRPr="003D66DD">
        <w:rPr>
          <w:rStyle w:val="normaltextrun"/>
          <w:rFonts w:ascii="Cambria" w:hAnsi="Cambria"/>
          <w:shd w:val="clear" w:color="auto" w:fill="FFFFFF"/>
        </w:rPr>
        <w:t>Guariso</w:t>
      </w:r>
      <w:proofErr w:type="spellEnd"/>
      <w:r w:rsidR="001A0A84" w:rsidRPr="003D66DD">
        <w:rPr>
          <w:rStyle w:val="normaltextrun"/>
          <w:rFonts w:ascii="Cambria" w:hAnsi="Cambria"/>
          <w:shd w:val="clear" w:color="auto" w:fill="FFFFFF"/>
        </w:rPr>
        <w:t xml:space="preserve"> et al.</w:t>
      </w:r>
      <w:r w:rsidR="001A0A84">
        <w:rPr>
          <w:rStyle w:val="normaltextrun"/>
          <w:rFonts w:ascii="Cambria" w:hAnsi="Cambria"/>
          <w:shd w:val="clear" w:color="auto" w:fill="FFFFFF"/>
        </w:rPr>
        <w:t>,</w:t>
      </w:r>
      <w:r w:rsidR="001A0A84" w:rsidRPr="003D66DD">
        <w:rPr>
          <w:rStyle w:val="normaltextrun"/>
          <w:rFonts w:ascii="Cambria" w:hAnsi="Cambria"/>
          <w:shd w:val="clear" w:color="auto" w:fill="FFFFFF"/>
        </w:rPr>
        <w:t xml:space="preserve"> 2017</w:t>
      </w:r>
      <w:r w:rsidR="001A0A84">
        <w:rPr>
          <w:rStyle w:val="normaltextrun"/>
          <w:rFonts w:ascii="Cambria" w:hAnsi="Cambria"/>
          <w:shd w:val="clear" w:color="auto" w:fill="FFFFFF"/>
        </w:rPr>
        <w:t xml:space="preserve">; </w:t>
      </w:r>
      <w:r w:rsidRPr="003D66DD">
        <w:rPr>
          <w:rFonts w:ascii="Cambria" w:hAnsi="Cambria"/>
        </w:rPr>
        <w:t>Horowitz</w:t>
      </w:r>
      <w:r w:rsidR="001A0A84">
        <w:rPr>
          <w:rFonts w:ascii="Cambria" w:hAnsi="Cambria"/>
        </w:rPr>
        <w:t>,</w:t>
      </w:r>
      <w:r w:rsidRPr="003D66DD">
        <w:rPr>
          <w:rFonts w:ascii="Cambria" w:hAnsi="Cambria"/>
        </w:rPr>
        <w:t xml:space="preserve"> 2014: 18;</w:t>
      </w:r>
      <w:r w:rsidR="001A0A84">
        <w:rPr>
          <w:rFonts w:ascii="Cambria" w:hAnsi="Cambria"/>
        </w:rPr>
        <w:t xml:space="preserve"> </w:t>
      </w:r>
      <w:proofErr w:type="spellStart"/>
      <w:r w:rsidR="001A0A84" w:rsidRPr="003D66DD">
        <w:rPr>
          <w:rFonts w:ascii="Cambria" w:hAnsi="Cambria"/>
        </w:rPr>
        <w:t>Vandeginste</w:t>
      </w:r>
      <w:proofErr w:type="spellEnd"/>
      <w:r w:rsidR="001A0A84">
        <w:rPr>
          <w:rFonts w:ascii="Cambria" w:hAnsi="Cambria"/>
        </w:rPr>
        <w:t>, 2017</w:t>
      </w:r>
      <w:r w:rsidR="00A324CB">
        <w:rPr>
          <w:rFonts w:ascii="Cambria" w:hAnsi="Cambria"/>
        </w:rPr>
        <w:t>a</w:t>
      </w:r>
      <w:r w:rsidR="001A0A84">
        <w:rPr>
          <w:rFonts w:ascii="Cambria" w:hAnsi="Cambria"/>
        </w:rPr>
        <w:t>: 171-173</w:t>
      </w:r>
      <w:r w:rsidRPr="003D66DD">
        <w:rPr>
          <w:rFonts w:ascii="Cambria" w:hAnsi="Cambria"/>
        </w:rPr>
        <w:t xml:space="preserve">). </w:t>
      </w:r>
    </w:p>
    <w:p w14:paraId="2C2307E7" w14:textId="1772DF4E" w:rsidR="00865D2A" w:rsidRPr="003D66DD" w:rsidRDefault="00865D2A" w:rsidP="00865D2A">
      <w:pPr>
        <w:pStyle w:val="Default"/>
        <w:spacing w:after="240" w:line="360" w:lineRule="auto"/>
        <w:rPr>
          <w:rStyle w:val="normaltextrun"/>
          <w:rFonts w:ascii="Cambria" w:hAnsi="Cambria"/>
          <w:color w:val="auto"/>
        </w:rPr>
      </w:pPr>
      <w:r w:rsidRPr="003D66DD">
        <w:rPr>
          <w:rStyle w:val="normaltextrun"/>
          <w:rFonts w:ascii="Cambria" w:hAnsi="Cambria"/>
          <w:shd w:val="clear" w:color="auto" w:fill="FFFFFF"/>
        </w:rPr>
        <w:t>By February 2018 the UNHCR estimated that 428,000 people had fled the country, and the Burundi state and other actors faced multiple investigations for alleged human rights abuses, including crimes against humanity (Human Rights Watch</w:t>
      </w:r>
      <w:r w:rsidR="001A0A84">
        <w:rPr>
          <w:rStyle w:val="normaltextrun"/>
          <w:rFonts w:ascii="Cambria" w:hAnsi="Cambria"/>
          <w:shd w:val="clear" w:color="auto" w:fill="FFFFFF"/>
        </w:rPr>
        <w:t>,</w:t>
      </w:r>
      <w:r w:rsidRPr="003D66DD">
        <w:rPr>
          <w:rStyle w:val="normaltextrun"/>
          <w:rFonts w:ascii="Cambria" w:hAnsi="Cambria"/>
          <w:shd w:val="clear" w:color="auto" w:fill="FFFFFF"/>
        </w:rPr>
        <w:t xml:space="preserve"> 2018). </w:t>
      </w:r>
    </w:p>
    <w:p w14:paraId="56F2F9C4" w14:textId="650BD970" w:rsidR="00865D2A" w:rsidRPr="003D66DD" w:rsidRDefault="001A0A84" w:rsidP="00865D2A">
      <w:pPr>
        <w:spacing w:after="240" w:line="360" w:lineRule="auto"/>
        <w:outlineLvl w:val="0"/>
        <w:rPr>
          <w:rStyle w:val="normaltextrun"/>
          <w:rFonts w:ascii="Cambria" w:hAnsi="Cambria"/>
          <w:b/>
          <w:i/>
          <w:shd w:val="clear" w:color="auto" w:fill="FFFFFF"/>
        </w:rPr>
      </w:pPr>
      <w:r>
        <w:rPr>
          <w:rStyle w:val="normaltextrun"/>
          <w:rFonts w:ascii="Cambria" w:hAnsi="Cambria"/>
          <w:b/>
          <w:i/>
          <w:shd w:val="clear" w:color="auto" w:fill="FFFFFF"/>
        </w:rPr>
        <w:t>Gender P</w:t>
      </w:r>
      <w:r w:rsidR="00865D2A" w:rsidRPr="003D66DD">
        <w:rPr>
          <w:rStyle w:val="normaltextrun"/>
          <w:rFonts w:ascii="Cambria" w:hAnsi="Cambria"/>
          <w:b/>
          <w:i/>
          <w:shd w:val="clear" w:color="auto" w:fill="FFFFFF"/>
        </w:rPr>
        <w:t xml:space="preserve">rovisions </w:t>
      </w:r>
    </w:p>
    <w:p w14:paraId="4264ADAB" w14:textId="650F6089" w:rsidR="00865D2A" w:rsidRPr="003D66DD" w:rsidRDefault="00865D2A" w:rsidP="00865D2A">
      <w:pPr>
        <w:pStyle w:val="Default"/>
        <w:spacing w:after="240" w:line="360" w:lineRule="auto"/>
        <w:rPr>
          <w:rStyle w:val="normaltextrun"/>
          <w:rFonts w:ascii="Cambria" w:hAnsi="Cambria"/>
          <w:color w:val="auto"/>
          <w:shd w:val="clear" w:color="auto" w:fill="FFFFFF"/>
        </w:rPr>
      </w:pPr>
      <w:r w:rsidRPr="003D66DD">
        <w:rPr>
          <w:rStyle w:val="normaltextrun"/>
          <w:rFonts w:ascii="Cambria" w:hAnsi="Cambria"/>
          <w:color w:val="auto"/>
          <w:shd w:val="clear" w:color="auto" w:fill="FFFFFF"/>
        </w:rPr>
        <w:t xml:space="preserve">Burundi represents a case of rigid, corporate power-sharing that features extensive institutional guarantees for women alongside ethnic groups. </w:t>
      </w:r>
      <w:r w:rsidRPr="003D66DD">
        <w:rPr>
          <w:rFonts w:ascii="Cambria" w:hAnsi="Cambria"/>
          <w:color w:val="auto"/>
        </w:rPr>
        <w:t xml:space="preserve">Quotas are deeply embedded in Burundi’s corporate </w:t>
      </w:r>
      <w:proofErr w:type="spellStart"/>
      <w:r w:rsidRPr="003D66DD">
        <w:rPr>
          <w:rFonts w:ascii="Cambria" w:hAnsi="Cambria"/>
          <w:color w:val="auto"/>
        </w:rPr>
        <w:t>consociational</w:t>
      </w:r>
      <w:proofErr w:type="spellEnd"/>
      <w:r w:rsidRPr="003D66DD">
        <w:rPr>
          <w:rFonts w:ascii="Cambria" w:hAnsi="Cambria"/>
          <w:color w:val="auto"/>
        </w:rPr>
        <w:t xml:space="preserve"> structures, </w:t>
      </w:r>
      <w:r w:rsidR="000240E7">
        <w:rPr>
          <w:rFonts w:ascii="Cambria" w:hAnsi="Cambria"/>
          <w:color w:val="auto"/>
        </w:rPr>
        <w:t>and t</w:t>
      </w:r>
      <w:r w:rsidRPr="003D66DD">
        <w:rPr>
          <w:rFonts w:ascii="Cambria" w:hAnsi="Cambria"/>
          <w:color w:val="auto"/>
        </w:rPr>
        <w:t xml:space="preserve">he constitution </w:t>
      </w:r>
      <w:r w:rsidR="001A0A84">
        <w:rPr>
          <w:rFonts w:ascii="Cambria" w:hAnsi="Cambria"/>
          <w:color w:val="auto"/>
        </w:rPr>
        <w:t xml:space="preserve">also </w:t>
      </w:r>
      <w:r w:rsidRPr="003D66DD">
        <w:rPr>
          <w:rFonts w:ascii="Cambria" w:hAnsi="Cambria"/>
          <w:color w:val="auto"/>
        </w:rPr>
        <w:t xml:space="preserve">contains provisions for quotas for women alongside those for Hutus and Tutsis in the executive and legislature, with, a requirement that women make up a minimum of 30% of deputies to the National Assembly, Cabinet and the Senate </w:t>
      </w:r>
      <w:r w:rsidR="00967679" w:rsidRPr="003D66DD">
        <w:rPr>
          <w:rFonts w:ascii="Cambria" w:hAnsi="Cambria"/>
          <w:color w:val="auto"/>
        </w:rPr>
        <w:t>(Women</w:t>
      </w:r>
      <w:r w:rsidR="00967679">
        <w:rPr>
          <w:rFonts w:ascii="Cambria" w:hAnsi="Cambria"/>
          <w:color w:val="auto"/>
        </w:rPr>
        <w:t xml:space="preserve"> and Peace Agreement Database</w:t>
      </w:r>
      <w:r w:rsidR="000240E7">
        <w:rPr>
          <w:rFonts w:ascii="Cambria" w:hAnsi="Cambria"/>
          <w:color w:val="auto"/>
        </w:rPr>
        <w:t xml:space="preserve">; </w:t>
      </w:r>
      <w:proofErr w:type="spellStart"/>
      <w:r w:rsidR="000240E7">
        <w:rPr>
          <w:rFonts w:ascii="Cambria" w:hAnsi="Cambria"/>
          <w:color w:val="auto"/>
        </w:rPr>
        <w:t>Vandeginste</w:t>
      </w:r>
      <w:proofErr w:type="spellEnd"/>
      <w:r w:rsidR="000240E7">
        <w:rPr>
          <w:rFonts w:ascii="Cambria" w:hAnsi="Cambria"/>
          <w:color w:val="auto"/>
        </w:rPr>
        <w:t xml:space="preserve"> 2017a</w:t>
      </w:r>
      <w:r w:rsidR="00967679" w:rsidRPr="003D66DD">
        <w:rPr>
          <w:rFonts w:ascii="Cambria" w:hAnsi="Cambria"/>
          <w:color w:val="auto"/>
        </w:rPr>
        <w:t>)</w:t>
      </w:r>
      <w:r w:rsidR="00967679">
        <w:rPr>
          <w:rFonts w:ascii="Cambria" w:hAnsi="Cambria"/>
          <w:color w:val="auto"/>
        </w:rPr>
        <w:t xml:space="preserve">. </w:t>
      </w:r>
      <w:r w:rsidRPr="003D66DD">
        <w:rPr>
          <w:rFonts w:ascii="Cambria" w:hAnsi="Cambria"/>
          <w:color w:val="auto"/>
        </w:rPr>
        <w:t>In practice this means electoral lists are zipped on the basis of both ethnicity and gender: of the top three candidates on the electoral list, only two can come from the same ethnic group, while of the top four candidates, at least one must be a woman (</w:t>
      </w:r>
      <w:proofErr w:type="spellStart"/>
      <w:r w:rsidRPr="003D66DD">
        <w:rPr>
          <w:rStyle w:val="normaltextrun"/>
          <w:rFonts w:ascii="Cambria" w:hAnsi="Cambria"/>
          <w:color w:val="auto"/>
          <w:shd w:val="clear" w:color="auto" w:fill="FFFFFF"/>
        </w:rPr>
        <w:t>Vandeginste</w:t>
      </w:r>
      <w:proofErr w:type="spellEnd"/>
      <w:r w:rsidRPr="003D66DD">
        <w:rPr>
          <w:rStyle w:val="normaltextrun"/>
          <w:rFonts w:ascii="Cambria" w:hAnsi="Cambria"/>
          <w:color w:val="auto"/>
          <w:shd w:val="clear" w:color="auto" w:fill="FFFFFF"/>
        </w:rPr>
        <w:t xml:space="preserve">, 2014: 268), </w:t>
      </w:r>
      <w:r w:rsidRPr="003D66DD">
        <w:rPr>
          <w:rFonts w:ascii="Cambria" w:hAnsi="Cambria"/>
          <w:color w:val="auto"/>
        </w:rPr>
        <w:t>failing which, a process of co-optation is triggered (McCulloch, 2014: 55).  This contrasts with the post-conflict architecture implemented in neighbouring Rwanda where gender provisions sit within a system where ethnicity is not constitutionally recognised, with quotas in the national legislature for gender (minimum 30% women’s representation), youth and disability but not for ethnicity (</w:t>
      </w:r>
      <w:proofErr w:type="spellStart"/>
      <w:r w:rsidRPr="003D66DD">
        <w:rPr>
          <w:rStyle w:val="normaltextrun"/>
          <w:rFonts w:ascii="Cambria" w:hAnsi="Cambria"/>
          <w:color w:val="auto"/>
          <w:shd w:val="clear" w:color="auto" w:fill="FFFFFF"/>
        </w:rPr>
        <w:t>Vandeginste</w:t>
      </w:r>
      <w:proofErr w:type="spellEnd"/>
      <w:r w:rsidRPr="003D66DD">
        <w:rPr>
          <w:rStyle w:val="normaltextrun"/>
          <w:rFonts w:ascii="Cambria" w:hAnsi="Cambria"/>
          <w:color w:val="auto"/>
          <w:shd w:val="clear" w:color="auto" w:fill="FFFFFF"/>
        </w:rPr>
        <w:t xml:space="preserve">, 2014: 274; quotaproject.org).  </w:t>
      </w:r>
    </w:p>
    <w:p w14:paraId="1F75334F" w14:textId="31244278" w:rsidR="008C2A56" w:rsidRDefault="00865D2A" w:rsidP="008C2A56">
      <w:pPr>
        <w:spacing w:line="360" w:lineRule="auto"/>
        <w:rPr>
          <w:rStyle w:val="normaltextrun"/>
          <w:rFonts w:ascii="Cambria" w:hAnsi="Cambria"/>
          <w:b/>
          <w:i/>
          <w:shd w:val="clear" w:color="auto" w:fill="FFFFFF"/>
        </w:rPr>
      </w:pPr>
      <w:r w:rsidRPr="003D66DD">
        <w:rPr>
          <w:rStyle w:val="normaltextrun"/>
          <w:rFonts w:ascii="Cambria" w:hAnsi="Cambria"/>
          <w:shd w:val="clear" w:color="auto" w:fill="FFFFFF"/>
        </w:rPr>
        <w:t>In addition, the 2005 Constitution enshrined equality for all before the law, as well as outlawing gender-based discrimination, building on the transitional National Gender Policy (2003). Despite important constitutional and legal provisions, there remained significant gaps in the constitutional framework to confer women’s rights around inheritance, land reforms, nationality and to address gender-based violence.</w:t>
      </w:r>
    </w:p>
    <w:p w14:paraId="79731D65" w14:textId="77777777" w:rsidR="008C2A56" w:rsidRDefault="008C2A56" w:rsidP="00865D2A">
      <w:pPr>
        <w:spacing w:after="240" w:line="360" w:lineRule="auto"/>
        <w:outlineLvl w:val="0"/>
        <w:rPr>
          <w:rStyle w:val="normaltextrun"/>
          <w:rFonts w:ascii="Cambria" w:hAnsi="Cambria"/>
          <w:b/>
          <w:i/>
          <w:shd w:val="clear" w:color="auto" w:fill="FFFFFF"/>
        </w:rPr>
      </w:pPr>
    </w:p>
    <w:p w14:paraId="0F8D5D3B" w14:textId="77777777" w:rsidR="00604AC2" w:rsidRDefault="00604AC2">
      <w:pPr>
        <w:spacing w:after="160" w:line="259" w:lineRule="auto"/>
        <w:rPr>
          <w:rStyle w:val="normaltextrun"/>
          <w:rFonts w:ascii="Cambria" w:hAnsi="Cambria"/>
          <w:b/>
          <w:i/>
          <w:shd w:val="clear" w:color="auto" w:fill="FFFFFF"/>
        </w:rPr>
      </w:pPr>
      <w:r>
        <w:rPr>
          <w:rStyle w:val="normaltextrun"/>
          <w:rFonts w:ascii="Cambria" w:hAnsi="Cambria"/>
          <w:b/>
          <w:i/>
          <w:shd w:val="clear" w:color="auto" w:fill="FFFFFF"/>
        </w:rPr>
        <w:br w:type="page"/>
      </w:r>
    </w:p>
    <w:p w14:paraId="3534410F" w14:textId="18946257" w:rsidR="00865D2A" w:rsidRPr="003D66DD" w:rsidRDefault="008C2A56" w:rsidP="00865D2A">
      <w:pPr>
        <w:spacing w:after="240" w:line="360" w:lineRule="auto"/>
        <w:outlineLvl w:val="0"/>
        <w:rPr>
          <w:rStyle w:val="normaltextrun"/>
          <w:rFonts w:ascii="Cambria" w:hAnsi="Cambria"/>
          <w:b/>
          <w:i/>
          <w:shd w:val="clear" w:color="auto" w:fill="FFFFFF"/>
        </w:rPr>
      </w:pPr>
      <w:r>
        <w:rPr>
          <w:rStyle w:val="normaltextrun"/>
          <w:rFonts w:ascii="Cambria" w:hAnsi="Cambria"/>
          <w:b/>
          <w:i/>
          <w:shd w:val="clear" w:color="auto" w:fill="FFFFFF"/>
        </w:rPr>
        <w:lastRenderedPageBreak/>
        <w:t>Gender O</w:t>
      </w:r>
      <w:r w:rsidR="00865D2A" w:rsidRPr="003D66DD">
        <w:rPr>
          <w:rStyle w:val="normaltextrun"/>
          <w:rFonts w:ascii="Cambria" w:hAnsi="Cambria"/>
          <w:b/>
          <w:i/>
          <w:shd w:val="clear" w:color="auto" w:fill="FFFFFF"/>
        </w:rPr>
        <w:t>utcomes</w:t>
      </w:r>
    </w:p>
    <w:p w14:paraId="30B0A8CD" w14:textId="41691B39" w:rsidR="00865D2A" w:rsidRPr="003D66DD" w:rsidRDefault="00041471" w:rsidP="00865D2A">
      <w:pPr>
        <w:spacing w:line="360" w:lineRule="auto"/>
        <w:rPr>
          <w:rStyle w:val="normaltextrun"/>
          <w:rFonts w:ascii="Cambria" w:hAnsi="Cambria"/>
          <w:shd w:val="clear" w:color="auto" w:fill="FFFFFF"/>
        </w:rPr>
      </w:pPr>
      <w:r w:rsidRPr="003D66DD">
        <w:rPr>
          <w:rFonts w:ascii="Cambria" w:hAnsi="Cambria"/>
        </w:rPr>
        <w:t xml:space="preserve">The post-settlement reality for women has been mixed. </w:t>
      </w:r>
      <w:r w:rsidR="00865D2A" w:rsidRPr="003D66DD">
        <w:rPr>
          <w:rStyle w:val="normaltextrun"/>
          <w:rFonts w:ascii="Cambria" w:hAnsi="Cambria"/>
          <w:shd w:val="clear" w:color="auto" w:fill="FFFFFF"/>
        </w:rPr>
        <w:t>In practice, the quota provisions have translated into relatively high descriptive representation for women, with 32% of delegates elected to parliament in 2010 and 36% in 2015</w:t>
      </w:r>
      <w:r w:rsidR="008C2A56">
        <w:rPr>
          <w:rStyle w:val="normaltextrun"/>
          <w:rFonts w:ascii="Cambria" w:hAnsi="Cambria"/>
          <w:shd w:val="clear" w:color="auto" w:fill="FFFFFF"/>
        </w:rPr>
        <w:t xml:space="preserve"> being women</w:t>
      </w:r>
      <w:r w:rsidR="00865D2A" w:rsidRPr="003D66DD">
        <w:rPr>
          <w:rStyle w:val="normaltextrun"/>
          <w:rFonts w:ascii="Cambria" w:hAnsi="Cambria"/>
          <w:shd w:val="clear" w:color="auto" w:fill="FFFFFF"/>
        </w:rPr>
        <w:t>, compared to just 10% in 1993 (</w:t>
      </w:r>
      <w:proofErr w:type="spellStart"/>
      <w:r w:rsidR="00865D2A" w:rsidRPr="003D66DD">
        <w:rPr>
          <w:rStyle w:val="normaltextrun"/>
          <w:rFonts w:ascii="Cambria" w:hAnsi="Cambria"/>
          <w:shd w:val="clear" w:color="auto" w:fill="FFFFFF"/>
        </w:rPr>
        <w:t>Guariso</w:t>
      </w:r>
      <w:proofErr w:type="spellEnd"/>
      <w:r w:rsidR="00865D2A" w:rsidRPr="003D66DD">
        <w:rPr>
          <w:rStyle w:val="normaltextrun"/>
          <w:rFonts w:ascii="Cambria" w:hAnsi="Cambria"/>
          <w:shd w:val="clear" w:color="auto" w:fill="FFFFFF"/>
        </w:rPr>
        <w:t xml:space="preserve"> et al, 2017: 8; quotaproject.org).  </w:t>
      </w:r>
      <w:r w:rsidR="008C2A56">
        <w:rPr>
          <w:rStyle w:val="normaltextrun"/>
          <w:rFonts w:ascii="Cambria" w:hAnsi="Cambria"/>
          <w:shd w:val="clear" w:color="auto" w:fill="FFFFFF"/>
        </w:rPr>
        <w:t>W</w:t>
      </w:r>
      <w:r w:rsidR="00865D2A" w:rsidRPr="003D66DD">
        <w:rPr>
          <w:rStyle w:val="normaltextrun"/>
          <w:rFonts w:ascii="Cambria" w:hAnsi="Cambria"/>
          <w:shd w:val="clear" w:color="auto" w:fill="FFFFFF"/>
        </w:rPr>
        <w:t xml:space="preserve">omen comprised 46.2% </w:t>
      </w:r>
      <w:r w:rsidR="008C2A56">
        <w:rPr>
          <w:rStyle w:val="normaltextrun"/>
          <w:rFonts w:ascii="Cambria" w:hAnsi="Cambria"/>
          <w:shd w:val="clear" w:color="auto" w:fill="FFFFFF"/>
        </w:rPr>
        <w:t xml:space="preserve">of the Senate </w:t>
      </w:r>
      <w:r w:rsidR="00865D2A" w:rsidRPr="003D66DD">
        <w:rPr>
          <w:rStyle w:val="normaltextrun"/>
          <w:rFonts w:ascii="Cambria" w:hAnsi="Cambria"/>
          <w:shd w:val="clear" w:color="auto" w:fill="FFFFFF"/>
        </w:rPr>
        <w:t>in 2015. They also held an average of 31% of cabinet positions from 1996-2016 (</w:t>
      </w:r>
      <w:proofErr w:type="spellStart"/>
      <w:r w:rsidR="00865D2A" w:rsidRPr="003D66DD">
        <w:rPr>
          <w:rStyle w:val="normaltextrun"/>
          <w:rFonts w:ascii="Cambria" w:hAnsi="Cambria"/>
          <w:shd w:val="clear" w:color="auto" w:fill="FFFFFF"/>
        </w:rPr>
        <w:t>Guariso</w:t>
      </w:r>
      <w:proofErr w:type="spellEnd"/>
      <w:r w:rsidR="00865D2A" w:rsidRPr="003D66DD">
        <w:rPr>
          <w:rStyle w:val="normaltextrun"/>
          <w:rFonts w:ascii="Cambria" w:hAnsi="Cambria"/>
          <w:shd w:val="clear" w:color="auto" w:fill="FFFFFF"/>
        </w:rPr>
        <w:t xml:space="preserve"> et </w:t>
      </w:r>
      <w:proofErr w:type="spellStart"/>
      <w:r w:rsidR="00865D2A" w:rsidRPr="003D66DD">
        <w:rPr>
          <w:rStyle w:val="normaltextrun"/>
          <w:rFonts w:ascii="Cambria" w:hAnsi="Cambria"/>
          <w:shd w:val="clear" w:color="auto" w:fill="FFFFFF"/>
        </w:rPr>
        <w:t>a</w:t>
      </w:r>
      <w:r w:rsidR="008C2A56">
        <w:rPr>
          <w:rStyle w:val="normaltextrun"/>
          <w:rFonts w:ascii="Cambria" w:hAnsi="Cambria"/>
          <w:shd w:val="clear" w:color="auto" w:fill="FFFFFF"/>
        </w:rPr>
        <w:t>.</w:t>
      </w:r>
      <w:r w:rsidR="00865D2A" w:rsidRPr="003D66DD">
        <w:rPr>
          <w:rStyle w:val="normaltextrun"/>
          <w:rFonts w:ascii="Cambria" w:hAnsi="Cambria"/>
          <w:shd w:val="clear" w:color="auto" w:fill="FFFFFF"/>
        </w:rPr>
        <w:t>l</w:t>
      </w:r>
      <w:proofErr w:type="spellEnd"/>
      <w:r w:rsidR="00865D2A" w:rsidRPr="003D66DD">
        <w:rPr>
          <w:rStyle w:val="normaltextrun"/>
          <w:rFonts w:ascii="Cambria" w:hAnsi="Cambria"/>
          <w:shd w:val="clear" w:color="auto" w:fill="FFFFFF"/>
        </w:rPr>
        <w:t xml:space="preserve">, 2017: 8). </w:t>
      </w:r>
    </w:p>
    <w:p w14:paraId="04489DD6" w14:textId="37658243" w:rsidR="00865D2A" w:rsidRPr="003D66DD" w:rsidRDefault="00865D2A" w:rsidP="00865D2A">
      <w:pPr>
        <w:pStyle w:val="NormalWeb"/>
        <w:spacing w:line="360" w:lineRule="auto"/>
        <w:rPr>
          <w:rFonts w:ascii="Cambria" w:hAnsi="Cambria"/>
        </w:rPr>
      </w:pPr>
      <w:r w:rsidRPr="003D66DD">
        <w:rPr>
          <w:rFonts w:ascii="Cambria" w:hAnsi="Cambria"/>
        </w:rPr>
        <w:t>In the run-up to the 2010 elections, the adoption of a strengthened electo</w:t>
      </w:r>
      <w:r w:rsidR="001A1791">
        <w:rPr>
          <w:rFonts w:ascii="Cambria" w:hAnsi="Cambria"/>
        </w:rPr>
        <w:t>ral law established a 30%</w:t>
      </w:r>
      <w:r w:rsidRPr="003D66DD">
        <w:rPr>
          <w:rFonts w:ascii="Cambria" w:hAnsi="Cambria"/>
        </w:rPr>
        <w:t xml:space="preserve"> quota for representation of women at the level of communal councils. However, the absence of a quota for women at the </w:t>
      </w:r>
      <w:proofErr w:type="spellStart"/>
      <w:r w:rsidRPr="00967679">
        <w:rPr>
          <w:rFonts w:ascii="Cambria" w:hAnsi="Cambria"/>
          <w:i/>
          <w:iCs/>
        </w:rPr>
        <w:t>colline</w:t>
      </w:r>
      <w:proofErr w:type="spellEnd"/>
      <w:r w:rsidRPr="003D66DD">
        <w:rPr>
          <w:rFonts w:ascii="Cambria" w:hAnsi="Cambria"/>
          <w:i/>
          <w:iCs/>
        </w:rPr>
        <w:t xml:space="preserve"> </w:t>
      </w:r>
      <w:r w:rsidRPr="003D66DD">
        <w:rPr>
          <w:rFonts w:ascii="Cambria" w:hAnsi="Cambria"/>
        </w:rPr>
        <w:t>level (the most local level of government) remains a serious impediment for women’s participation, given evidence globally that local politics provides an important entry point for wome</w:t>
      </w:r>
      <w:r w:rsidR="00967679">
        <w:rPr>
          <w:rFonts w:ascii="Cambria" w:hAnsi="Cambria"/>
        </w:rPr>
        <w:t xml:space="preserve">n. Without quotas, only 14% of </w:t>
      </w:r>
      <w:proofErr w:type="spellStart"/>
      <w:r w:rsidR="00967679" w:rsidRPr="00967679">
        <w:rPr>
          <w:rFonts w:ascii="Cambria" w:hAnsi="Cambria"/>
          <w:i/>
        </w:rPr>
        <w:t>c</w:t>
      </w:r>
      <w:r w:rsidRPr="00967679">
        <w:rPr>
          <w:rFonts w:ascii="Cambria" w:hAnsi="Cambria"/>
          <w:i/>
        </w:rPr>
        <w:t>ol</w:t>
      </w:r>
      <w:r w:rsidR="00967679" w:rsidRPr="00967679">
        <w:rPr>
          <w:rFonts w:ascii="Cambria" w:hAnsi="Cambria"/>
          <w:i/>
        </w:rPr>
        <w:t>line</w:t>
      </w:r>
      <w:proofErr w:type="spellEnd"/>
      <w:r w:rsidR="00967679">
        <w:rPr>
          <w:rFonts w:ascii="Cambria" w:hAnsi="Cambria"/>
        </w:rPr>
        <w:t xml:space="preserve"> council members and 4% of </w:t>
      </w:r>
      <w:proofErr w:type="spellStart"/>
      <w:r w:rsidR="00967679" w:rsidRPr="00967679">
        <w:rPr>
          <w:rFonts w:ascii="Cambria" w:hAnsi="Cambria"/>
          <w:i/>
        </w:rPr>
        <w:t>c</w:t>
      </w:r>
      <w:r w:rsidRPr="00967679">
        <w:rPr>
          <w:rFonts w:ascii="Cambria" w:hAnsi="Cambria"/>
          <w:i/>
        </w:rPr>
        <w:t>olline</w:t>
      </w:r>
      <w:proofErr w:type="spellEnd"/>
      <w:r w:rsidRPr="003D66DD">
        <w:rPr>
          <w:rFonts w:ascii="Cambria" w:hAnsi="Cambria"/>
        </w:rPr>
        <w:t xml:space="preserve"> leaders</w:t>
      </w:r>
      <w:r w:rsidR="008C2A56">
        <w:rPr>
          <w:rFonts w:ascii="Cambria" w:hAnsi="Cambria"/>
        </w:rPr>
        <w:t xml:space="preserve"> in 2010 were women (</w:t>
      </w:r>
      <w:r w:rsidRPr="003D66DD">
        <w:rPr>
          <w:rFonts w:ascii="Cambria" w:hAnsi="Cambria"/>
        </w:rPr>
        <w:t>UNDP</w:t>
      </w:r>
      <w:r w:rsidR="008C2A56">
        <w:rPr>
          <w:rFonts w:ascii="Cambria" w:hAnsi="Cambria"/>
        </w:rPr>
        <w:t>,</w:t>
      </w:r>
      <w:r w:rsidRPr="003D66DD">
        <w:rPr>
          <w:rFonts w:ascii="Cambria" w:hAnsi="Cambria"/>
        </w:rPr>
        <w:t xml:space="preserve"> 2014).</w:t>
      </w:r>
    </w:p>
    <w:p w14:paraId="70DBDAA7" w14:textId="08E15158" w:rsidR="00865D2A" w:rsidRPr="003D66DD" w:rsidRDefault="009F4FEF" w:rsidP="00865D2A">
      <w:pPr>
        <w:pStyle w:val="p1"/>
        <w:spacing w:line="360" w:lineRule="auto"/>
        <w:rPr>
          <w:rStyle w:val="normaltextrun"/>
          <w:rFonts w:ascii="Cambria" w:hAnsi="Cambria"/>
          <w:sz w:val="24"/>
          <w:szCs w:val="24"/>
        </w:rPr>
      </w:pPr>
      <w:r>
        <w:rPr>
          <w:rStyle w:val="normaltextrun"/>
          <w:rFonts w:ascii="Cambria" w:hAnsi="Cambria"/>
          <w:sz w:val="24"/>
          <w:szCs w:val="24"/>
          <w:shd w:val="clear" w:color="auto" w:fill="FFFFFF"/>
        </w:rPr>
        <w:t>It is also the case that</w:t>
      </w:r>
      <w:r w:rsidR="00865D2A" w:rsidRPr="003D66DD">
        <w:rPr>
          <w:rStyle w:val="normaltextrun"/>
          <w:rFonts w:ascii="Cambria" w:hAnsi="Cambria"/>
          <w:sz w:val="24"/>
          <w:szCs w:val="24"/>
          <w:shd w:val="clear" w:color="auto" w:fill="FFFFFF"/>
        </w:rPr>
        <w:t>, beyond numbers, elected women have limited influence within Burundi’s political institutions and significant constraints diminish their opportunities to shape policy.  Byrne and McCulloch observe that political and</w:t>
      </w:r>
      <w:r>
        <w:rPr>
          <w:rStyle w:val="normaltextrun"/>
          <w:rFonts w:ascii="Cambria" w:hAnsi="Cambria"/>
          <w:sz w:val="24"/>
          <w:szCs w:val="24"/>
          <w:shd w:val="clear" w:color="auto" w:fill="FFFFFF"/>
        </w:rPr>
        <w:t xml:space="preserve"> party culture in Burundi remain</w:t>
      </w:r>
      <w:r w:rsidR="00865D2A" w:rsidRPr="003D66DD">
        <w:rPr>
          <w:rStyle w:val="normaltextrun"/>
          <w:rFonts w:ascii="Cambria" w:hAnsi="Cambria"/>
          <w:sz w:val="24"/>
          <w:szCs w:val="24"/>
          <w:shd w:val="clear" w:color="auto" w:fill="FFFFFF"/>
        </w:rPr>
        <w:t xml:space="preserve"> highly patriarchal, despite the substantial presence of women in politics (2012). On </w:t>
      </w:r>
      <w:r w:rsidR="00865D2A" w:rsidRPr="003D66DD">
        <w:rPr>
          <w:rFonts w:ascii="Cambria" w:hAnsi="Cambria"/>
          <w:sz w:val="24"/>
          <w:szCs w:val="24"/>
        </w:rPr>
        <w:t>occasions women are obliged and expected to leave political discussions</w:t>
      </w:r>
      <w:r>
        <w:rPr>
          <w:rFonts w:ascii="Cambria" w:hAnsi="Cambria"/>
          <w:sz w:val="24"/>
          <w:szCs w:val="24"/>
        </w:rPr>
        <w:t>,</w:t>
      </w:r>
      <w:r w:rsidR="00865D2A" w:rsidRPr="003D66DD">
        <w:rPr>
          <w:rFonts w:ascii="Cambria" w:hAnsi="Cambria"/>
          <w:sz w:val="24"/>
          <w:szCs w:val="24"/>
        </w:rPr>
        <w:t xml:space="preserve"> in order to take care of their domestic duties (</w:t>
      </w:r>
      <w:proofErr w:type="spellStart"/>
      <w:r w:rsidR="00865D2A" w:rsidRPr="003D66DD">
        <w:rPr>
          <w:rFonts w:ascii="Cambria" w:hAnsi="Cambria"/>
          <w:sz w:val="24"/>
          <w:szCs w:val="24"/>
        </w:rPr>
        <w:t>Falch</w:t>
      </w:r>
      <w:proofErr w:type="spellEnd"/>
      <w:r w:rsidR="008C2A56">
        <w:rPr>
          <w:rFonts w:ascii="Cambria" w:hAnsi="Cambria"/>
          <w:sz w:val="24"/>
          <w:szCs w:val="24"/>
        </w:rPr>
        <w:t>,</w:t>
      </w:r>
      <w:r w:rsidR="00865D2A" w:rsidRPr="003D66DD">
        <w:rPr>
          <w:rFonts w:ascii="Cambria" w:hAnsi="Cambria"/>
          <w:sz w:val="24"/>
          <w:szCs w:val="24"/>
        </w:rPr>
        <w:t xml:space="preserve"> 2010:</w:t>
      </w:r>
      <w:r w:rsidR="008C2A56">
        <w:rPr>
          <w:rFonts w:ascii="Cambria" w:hAnsi="Cambria"/>
          <w:sz w:val="24"/>
          <w:szCs w:val="24"/>
        </w:rPr>
        <w:t xml:space="preserve"> </w:t>
      </w:r>
      <w:r w:rsidR="00865D2A" w:rsidRPr="003D66DD">
        <w:rPr>
          <w:rFonts w:ascii="Cambria" w:hAnsi="Cambria"/>
          <w:sz w:val="24"/>
          <w:szCs w:val="24"/>
        </w:rPr>
        <w:t xml:space="preserve">15). </w:t>
      </w:r>
      <w:r w:rsidR="00865D2A" w:rsidRPr="003D66DD">
        <w:rPr>
          <w:rStyle w:val="normaltextrun"/>
          <w:rFonts w:ascii="Cambria" w:hAnsi="Cambria"/>
          <w:sz w:val="24"/>
          <w:szCs w:val="24"/>
          <w:shd w:val="clear" w:color="auto" w:fill="FFFFFF"/>
        </w:rPr>
        <w:t xml:space="preserve">Even when women are appointed ministers, they are more likely than their male colleagues to hold a ministry </w:t>
      </w:r>
      <w:r w:rsidR="008C2A56">
        <w:rPr>
          <w:rStyle w:val="normaltextrun"/>
          <w:rFonts w:ascii="Cambria" w:hAnsi="Cambria"/>
          <w:sz w:val="24"/>
          <w:szCs w:val="24"/>
          <w:shd w:val="clear" w:color="auto" w:fill="FFFFFF"/>
        </w:rPr>
        <w:t>perceived as ‘low-prestige’</w:t>
      </w:r>
      <w:r w:rsidR="00865D2A" w:rsidRPr="003D66DD">
        <w:rPr>
          <w:rStyle w:val="normaltextrun"/>
          <w:rFonts w:ascii="Cambria" w:hAnsi="Cambria"/>
          <w:sz w:val="24"/>
          <w:szCs w:val="24"/>
          <w:shd w:val="clear" w:color="auto" w:fill="FFFFFF"/>
        </w:rPr>
        <w:t>, dealing with, for exampl</w:t>
      </w:r>
      <w:r w:rsidR="008C2A56">
        <w:rPr>
          <w:rStyle w:val="normaltextrun"/>
          <w:rFonts w:ascii="Cambria" w:hAnsi="Cambria"/>
          <w:sz w:val="24"/>
          <w:szCs w:val="24"/>
          <w:shd w:val="clear" w:color="auto" w:fill="FFFFFF"/>
        </w:rPr>
        <w:t>e, culture, sports, tourism or ‘women’s affairs’</w:t>
      </w:r>
      <w:r w:rsidR="00865D2A" w:rsidRPr="003D66DD">
        <w:rPr>
          <w:rStyle w:val="normaltextrun"/>
          <w:rFonts w:ascii="Cambria" w:hAnsi="Cambria"/>
          <w:sz w:val="24"/>
          <w:szCs w:val="24"/>
          <w:shd w:val="clear" w:color="auto" w:fill="FFFFFF"/>
        </w:rPr>
        <w:t xml:space="preserve"> (</w:t>
      </w:r>
      <w:proofErr w:type="spellStart"/>
      <w:r w:rsidR="00865D2A" w:rsidRPr="003D66DD">
        <w:rPr>
          <w:rStyle w:val="normaltextrun"/>
          <w:rFonts w:ascii="Cambria" w:hAnsi="Cambria"/>
          <w:sz w:val="24"/>
          <w:szCs w:val="24"/>
          <w:shd w:val="clear" w:color="auto" w:fill="FFFFFF"/>
        </w:rPr>
        <w:t>Guariso</w:t>
      </w:r>
      <w:proofErr w:type="spellEnd"/>
      <w:r w:rsidR="00865D2A" w:rsidRPr="003D66DD">
        <w:rPr>
          <w:rStyle w:val="normaltextrun"/>
          <w:rFonts w:ascii="Cambria" w:hAnsi="Cambria"/>
          <w:sz w:val="24"/>
          <w:szCs w:val="24"/>
          <w:shd w:val="clear" w:color="auto" w:fill="FFFFFF"/>
        </w:rPr>
        <w:t xml:space="preserve"> et al.</w:t>
      </w:r>
      <w:r w:rsidR="008C2A56">
        <w:rPr>
          <w:rStyle w:val="normaltextrun"/>
          <w:rFonts w:ascii="Cambria" w:hAnsi="Cambria"/>
          <w:sz w:val="24"/>
          <w:szCs w:val="24"/>
          <w:shd w:val="clear" w:color="auto" w:fill="FFFFFF"/>
        </w:rPr>
        <w:t>,</w:t>
      </w:r>
      <w:r w:rsidR="00865D2A" w:rsidRPr="003D66DD">
        <w:rPr>
          <w:rStyle w:val="normaltextrun"/>
          <w:rFonts w:ascii="Cambria" w:hAnsi="Cambria"/>
          <w:sz w:val="24"/>
          <w:szCs w:val="24"/>
          <w:shd w:val="clear" w:color="auto" w:fill="FFFFFF"/>
        </w:rPr>
        <w:t xml:space="preserve"> 2017: 8). </w:t>
      </w:r>
    </w:p>
    <w:p w14:paraId="4A676C3D" w14:textId="77777777" w:rsidR="00A316CE" w:rsidRDefault="00A316CE" w:rsidP="00865D2A">
      <w:pPr>
        <w:spacing w:line="360" w:lineRule="auto"/>
        <w:rPr>
          <w:rStyle w:val="normaltextrun"/>
          <w:rFonts w:ascii="Cambria" w:hAnsi="Cambria"/>
          <w:shd w:val="clear" w:color="auto" w:fill="FFFFFF"/>
        </w:rPr>
      </w:pPr>
    </w:p>
    <w:p w14:paraId="2F1978B2" w14:textId="32A72865" w:rsidR="00865D2A" w:rsidRPr="003D66DD" w:rsidRDefault="00865D2A" w:rsidP="00865D2A">
      <w:pPr>
        <w:spacing w:line="360" w:lineRule="auto"/>
        <w:rPr>
          <w:rStyle w:val="normaltextrun"/>
          <w:rFonts w:ascii="Cambria" w:hAnsi="Cambria"/>
          <w:shd w:val="clear" w:color="auto" w:fill="FFFFFF"/>
        </w:rPr>
      </w:pPr>
      <w:r w:rsidRPr="003D66DD">
        <w:rPr>
          <w:rStyle w:val="normaltextrun"/>
          <w:rFonts w:ascii="Cambria" w:hAnsi="Cambria"/>
          <w:shd w:val="clear" w:color="auto" w:fill="FFFFFF"/>
        </w:rPr>
        <w:t>There has been significant capacity building and programming by international agencies and I</w:t>
      </w:r>
      <w:r w:rsidR="008C2A56">
        <w:rPr>
          <w:rStyle w:val="normaltextrun"/>
          <w:rFonts w:ascii="Cambria" w:hAnsi="Cambria"/>
          <w:shd w:val="clear" w:color="auto" w:fill="FFFFFF"/>
        </w:rPr>
        <w:t xml:space="preserve">nternational </w:t>
      </w:r>
      <w:r w:rsidRPr="003D66DD">
        <w:rPr>
          <w:rStyle w:val="normaltextrun"/>
          <w:rFonts w:ascii="Cambria" w:hAnsi="Cambria"/>
          <w:shd w:val="clear" w:color="auto" w:fill="FFFFFF"/>
        </w:rPr>
        <w:t xml:space="preserve">NGOs around political participation and women’s rights, and women’s civil society movements have been mobilised and supported. However, the inclusion of women’s civil society in post-conflict construction is not automatic, despite espoused commitments to the WPS agenda by Burundi and international agencies. For example, </w:t>
      </w:r>
    </w:p>
    <w:p w14:paraId="7F380459" w14:textId="6D5B6BCE" w:rsidR="00865D2A" w:rsidRPr="003D66DD" w:rsidRDefault="00865D2A" w:rsidP="00865D2A">
      <w:pPr>
        <w:spacing w:line="360" w:lineRule="auto"/>
        <w:rPr>
          <w:rStyle w:val="normaltextrun"/>
          <w:rFonts w:ascii="Cambria" w:hAnsi="Cambria"/>
          <w:shd w:val="clear" w:color="auto" w:fill="FFFFFF"/>
        </w:rPr>
      </w:pPr>
      <w:r w:rsidRPr="003D66DD">
        <w:rPr>
          <w:rStyle w:val="normaltextrun"/>
          <w:rFonts w:ascii="Cambria" w:hAnsi="Cambria"/>
          <w:shd w:val="clear" w:color="auto" w:fill="FFFFFF"/>
        </w:rPr>
        <w:lastRenderedPageBreak/>
        <w:t xml:space="preserve">in 2006 Burundi was picked as one of the pilot countries for peacebuilding programming by the new UN Peacebuilding Commission (and funded by the UN Peacebuilding Fund). However, women’s organisations – despite their long track record </w:t>
      </w:r>
      <w:r w:rsidR="008C2A56">
        <w:rPr>
          <w:rStyle w:val="normaltextrun"/>
          <w:rFonts w:ascii="Cambria" w:hAnsi="Cambria"/>
          <w:shd w:val="clear" w:color="auto" w:fill="FFFFFF"/>
        </w:rPr>
        <w:t>of education and lobbying for p</w:t>
      </w:r>
      <w:r w:rsidRPr="003D66DD">
        <w:rPr>
          <w:rStyle w:val="normaltextrun"/>
          <w:rFonts w:ascii="Cambria" w:hAnsi="Cambria"/>
          <w:shd w:val="clear" w:color="auto" w:fill="FFFFFF"/>
        </w:rPr>
        <w:t>e</w:t>
      </w:r>
      <w:r w:rsidR="008C2A56">
        <w:rPr>
          <w:rStyle w:val="normaltextrun"/>
          <w:rFonts w:ascii="Cambria" w:hAnsi="Cambria"/>
          <w:shd w:val="clear" w:color="auto" w:fill="FFFFFF"/>
        </w:rPr>
        <w:t>a</w:t>
      </w:r>
      <w:r w:rsidRPr="003D66DD">
        <w:rPr>
          <w:rStyle w:val="normaltextrun"/>
          <w:rFonts w:ascii="Cambria" w:hAnsi="Cambria"/>
          <w:shd w:val="clear" w:color="auto" w:fill="FFFFFF"/>
        </w:rPr>
        <w:t>ce – were initially excluded from the Joint Steering Group (UNDP</w:t>
      </w:r>
      <w:r w:rsidR="008C2A56">
        <w:rPr>
          <w:rStyle w:val="normaltextrun"/>
          <w:rFonts w:ascii="Cambria" w:hAnsi="Cambria"/>
          <w:shd w:val="clear" w:color="auto" w:fill="FFFFFF"/>
        </w:rPr>
        <w:t>,</w:t>
      </w:r>
      <w:r w:rsidRPr="003D66DD">
        <w:rPr>
          <w:rStyle w:val="normaltextrun"/>
          <w:rFonts w:ascii="Cambria" w:hAnsi="Cambria"/>
          <w:shd w:val="clear" w:color="auto" w:fill="FFFFFF"/>
        </w:rPr>
        <w:t xml:space="preserve"> 2014), and were not included until interventions from International NGOs, such as the International Alert and the Working Group on Women Peace and Security (</w:t>
      </w:r>
      <w:proofErr w:type="spellStart"/>
      <w:r w:rsidRPr="003D66DD">
        <w:rPr>
          <w:rStyle w:val="normaltextrun"/>
          <w:rFonts w:ascii="Cambria" w:hAnsi="Cambria"/>
          <w:shd w:val="clear" w:color="auto" w:fill="FFFFFF"/>
        </w:rPr>
        <w:t>Falch</w:t>
      </w:r>
      <w:proofErr w:type="spellEnd"/>
      <w:r w:rsidR="008C2A56">
        <w:rPr>
          <w:rStyle w:val="normaltextrun"/>
          <w:rFonts w:ascii="Cambria" w:hAnsi="Cambria"/>
          <w:shd w:val="clear" w:color="auto" w:fill="FFFFFF"/>
        </w:rPr>
        <w:t>,</w:t>
      </w:r>
      <w:r w:rsidRPr="003D66DD">
        <w:rPr>
          <w:rStyle w:val="normaltextrun"/>
          <w:rFonts w:ascii="Cambria" w:hAnsi="Cambria"/>
          <w:shd w:val="clear" w:color="auto" w:fill="FFFFFF"/>
        </w:rPr>
        <w:t xml:space="preserve"> 2010).</w:t>
      </w:r>
    </w:p>
    <w:p w14:paraId="230BD9AC" w14:textId="77777777" w:rsidR="00865D2A" w:rsidRPr="003D66DD" w:rsidRDefault="00865D2A" w:rsidP="00865D2A">
      <w:pPr>
        <w:spacing w:line="360" w:lineRule="auto"/>
        <w:rPr>
          <w:rStyle w:val="normaltextrun"/>
          <w:rFonts w:ascii="Cambria" w:hAnsi="Cambria"/>
          <w:shd w:val="clear" w:color="auto" w:fill="FFFFFF"/>
        </w:rPr>
      </w:pPr>
      <w:r w:rsidRPr="003D66DD">
        <w:rPr>
          <w:rStyle w:val="normaltextrun"/>
          <w:rFonts w:ascii="Cambria" w:hAnsi="Cambria"/>
          <w:shd w:val="clear" w:color="auto" w:fill="FFFFFF"/>
        </w:rPr>
        <w:t xml:space="preserve"> </w:t>
      </w:r>
    </w:p>
    <w:p w14:paraId="18AA6165" w14:textId="0DC7EE49" w:rsidR="00865D2A" w:rsidRPr="003D66DD" w:rsidRDefault="00865D2A" w:rsidP="00865D2A">
      <w:pPr>
        <w:spacing w:line="360" w:lineRule="auto"/>
        <w:rPr>
          <w:rStyle w:val="normaltextrun"/>
          <w:rFonts w:ascii="Cambria" w:hAnsi="Cambria"/>
          <w:shd w:val="clear" w:color="auto" w:fill="FFFFFF"/>
        </w:rPr>
      </w:pPr>
      <w:r w:rsidRPr="003D66DD">
        <w:rPr>
          <w:rStyle w:val="normaltextrun"/>
          <w:rFonts w:ascii="Cambria" w:hAnsi="Cambria"/>
          <w:shd w:val="clear" w:color="auto" w:fill="FFFFFF"/>
        </w:rPr>
        <w:t>As noted above, despite some key gender provisions, many gaps remain. As a result of lobbying, including by</w:t>
      </w:r>
      <w:r w:rsidR="00EF7471">
        <w:rPr>
          <w:rStyle w:val="normaltextrun"/>
          <w:rFonts w:ascii="Cambria" w:hAnsi="Cambria"/>
          <w:shd w:val="clear" w:color="auto" w:fill="FFFFFF"/>
        </w:rPr>
        <w:t xml:space="preserve"> the organis</w:t>
      </w:r>
      <w:r w:rsidRPr="003D66DD">
        <w:rPr>
          <w:rStyle w:val="normaltextrun"/>
          <w:rFonts w:ascii="Cambria" w:hAnsi="Cambria"/>
          <w:shd w:val="clear" w:color="auto" w:fill="FFFFFF"/>
        </w:rPr>
        <w:t>ation of Burundian female lawyers and jurists (</w:t>
      </w:r>
      <w:r w:rsidRPr="003D66DD">
        <w:rPr>
          <w:rFonts w:ascii="Cambria" w:hAnsi="Cambria"/>
          <w:i/>
          <w:iCs/>
        </w:rPr>
        <w:t xml:space="preserve">Association des Femmes </w:t>
      </w:r>
      <w:proofErr w:type="spellStart"/>
      <w:r w:rsidRPr="003D66DD">
        <w:rPr>
          <w:rFonts w:ascii="Cambria" w:hAnsi="Cambria"/>
          <w:i/>
          <w:iCs/>
        </w:rPr>
        <w:t>Juristes</w:t>
      </w:r>
      <w:proofErr w:type="spellEnd"/>
      <w:r w:rsidRPr="003D66DD">
        <w:rPr>
          <w:rFonts w:ascii="Cambria" w:hAnsi="Cambria"/>
          <w:i/>
          <w:iCs/>
        </w:rPr>
        <w:t xml:space="preserve"> du Burundi),</w:t>
      </w:r>
      <w:r w:rsidRPr="003D66DD">
        <w:rPr>
          <w:rStyle w:val="normaltextrun"/>
          <w:rFonts w:ascii="Cambria" w:hAnsi="Cambria"/>
          <w:shd w:val="clear" w:color="auto" w:fill="FFFFFF"/>
        </w:rPr>
        <w:t xml:space="preserve"> legislation was introduced in 2009 to provide legal sanctions for the perpetrators of violence against women. To date, howeve</w:t>
      </w:r>
      <w:r w:rsidR="009F4FEF">
        <w:rPr>
          <w:rStyle w:val="normaltextrun"/>
          <w:rFonts w:ascii="Cambria" w:hAnsi="Cambria"/>
          <w:shd w:val="clear" w:color="auto" w:fill="FFFFFF"/>
        </w:rPr>
        <w:t>r, implementation has been weak. M</w:t>
      </w:r>
      <w:r w:rsidRPr="003D66DD">
        <w:rPr>
          <w:rStyle w:val="normaltextrun"/>
          <w:rFonts w:ascii="Cambria" w:hAnsi="Cambria"/>
          <w:shd w:val="clear" w:color="auto" w:fill="FFFFFF"/>
        </w:rPr>
        <w:t>eanwhile</w:t>
      </w:r>
      <w:r w:rsidR="009F4FEF">
        <w:rPr>
          <w:rStyle w:val="normaltextrun"/>
          <w:rFonts w:ascii="Cambria" w:hAnsi="Cambria"/>
          <w:shd w:val="clear" w:color="auto" w:fill="FFFFFF"/>
        </w:rPr>
        <w:t>,</w:t>
      </w:r>
      <w:r w:rsidRPr="003D66DD">
        <w:rPr>
          <w:rStyle w:val="normaltextrun"/>
          <w:rFonts w:ascii="Cambria" w:hAnsi="Cambria"/>
          <w:shd w:val="clear" w:color="auto" w:fill="FFFFFF"/>
        </w:rPr>
        <w:t xml:space="preserve"> draft legislation on inheritance and women’s land rights has been indefinitely stalled (Byrne and McCulloch, 2012: 574). </w:t>
      </w:r>
    </w:p>
    <w:p w14:paraId="5B672539" w14:textId="77777777" w:rsidR="00865D2A" w:rsidRPr="003D66DD" w:rsidRDefault="00865D2A" w:rsidP="00865D2A">
      <w:pPr>
        <w:spacing w:line="360" w:lineRule="auto"/>
        <w:rPr>
          <w:rStyle w:val="normaltextrun"/>
          <w:rFonts w:ascii="Cambria" w:hAnsi="Cambria"/>
          <w:shd w:val="clear" w:color="auto" w:fill="FFFFFF"/>
        </w:rPr>
      </w:pPr>
    </w:p>
    <w:p w14:paraId="1F0BEB21" w14:textId="0E4E479A" w:rsidR="00865D2A" w:rsidRPr="003D66DD" w:rsidRDefault="00865D2A" w:rsidP="00865D2A">
      <w:pPr>
        <w:spacing w:line="360" w:lineRule="auto"/>
        <w:rPr>
          <w:rStyle w:val="normaltextrun"/>
          <w:rFonts w:ascii="Cambria" w:hAnsi="Cambria"/>
          <w:shd w:val="clear" w:color="auto" w:fill="FFFFFF"/>
        </w:rPr>
      </w:pPr>
      <w:r w:rsidRPr="003D66DD">
        <w:rPr>
          <w:rStyle w:val="normaltextrun"/>
          <w:rFonts w:ascii="Cambria" w:hAnsi="Cambria"/>
          <w:color w:val="000000" w:themeColor="text1"/>
          <w:shd w:val="clear" w:color="auto" w:fill="FFFFFF"/>
        </w:rPr>
        <w:t xml:space="preserve">Women in Burundi, especially rural women, experience poverty, legal and customary discrimination, </w:t>
      </w:r>
      <w:r w:rsidRPr="003D66DD">
        <w:rPr>
          <w:rFonts w:ascii="Cambria" w:eastAsia="Times New Roman" w:hAnsi="Cambria"/>
          <w:color w:val="000000" w:themeColor="text1"/>
          <w:shd w:val="clear" w:color="auto" w:fill="FFFFFF"/>
        </w:rPr>
        <w:t>limited access to education, the labour market and health care, and endemic gender-based violence. Since the onset of the 2015 political and security crisis</w:t>
      </w:r>
      <w:r w:rsidRPr="003D66DD">
        <w:rPr>
          <w:rStyle w:val="normaltextrun"/>
          <w:rFonts w:ascii="Cambria" w:hAnsi="Cambria"/>
          <w:color w:val="000000" w:themeColor="text1"/>
          <w:shd w:val="clear" w:color="auto" w:fill="FFFFFF"/>
        </w:rPr>
        <w:t xml:space="preserve">, patterns of sexual violence and </w:t>
      </w:r>
      <w:r w:rsidRPr="003D66DD">
        <w:rPr>
          <w:rFonts w:ascii="Cambria" w:eastAsia="Times New Roman" w:hAnsi="Cambria"/>
          <w:color w:val="000000" w:themeColor="text1"/>
          <w:shd w:val="clear" w:color="auto" w:fill="FFFFFF"/>
        </w:rPr>
        <w:t>gang rape, perpetrated by members of the secu</w:t>
      </w:r>
      <w:r w:rsidR="00967679">
        <w:rPr>
          <w:rFonts w:ascii="Cambria" w:eastAsia="Times New Roman" w:hAnsi="Cambria"/>
          <w:color w:val="000000" w:themeColor="text1"/>
          <w:shd w:val="clear" w:color="auto" w:fill="FFFFFF"/>
        </w:rPr>
        <w:t xml:space="preserve">rity forces and pro-government </w:t>
      </w:r>
      <w:proofErr w:type="spellStart"/>
      <w:r w:rsidR="00967679">
        <w:rPr>
          <w:rFonts w:ascii="Cambria" w:eastAsia="Times New Roman" w:hAnsi="Cambria"/>
          <w:i/>
          <w:color w:val="000000" w:themeColor="text1"/>
          <w:shd w:val="clear" w:color="auto" w:fill="FFFFFF"/>
        </w:rPr>
        <w:t>i</w:t>
      </w:r>
      <w:r w:rsidRPr="00967679">
        <w:rPr>
          <w:rFonts w:ascii="Cambria" w:eastAsia="Times New Roman" w:hAnsi="Cambria"/>
          <w:i/>
          <w:color w:val="000000" w:themeColor="text1"/>
          <w:shd w:val="clear" w:color="auto" w:fill="FFFFFF"/>
        </w:rPr>
        <w:t>mbonerakure</w:t>
      </w:r>
      <w:proofErr w:type="spellEnd"/>
      <w:r w:rsidRPr="003D66DD">
        <w:rPr>
          <w:rFonts w:ascii="Cambria" w:eastAsia="Times New Roman" w:hAnsi="Cambria"/>
          <w:color w:val="000000" w:themeColor="text1"/>
          <w:shd w:val="clear" w:color="auto" w:fill="FFFFFF"/>
        </w:rPr>
        <w:t xml:space="preserve"> youth are em</w:t>
      </w:r>
      <w:r w:rsidR="00EF7471">
        <w:rPr>
          <w:rFonts w:ascii="Cambria" w:eastAsia="Times New Roman" w:hAnsi="Cambria"/>
          <w:color w:val="000000" w:themeColor="text1"/>
          <w:shd w:val="clear" w:color="auto" w:fill="FFFFFF"/>
        </w:rPr>
        <w:t xml:space="preserve">erging and increasingly </w:t>
      </w:r>
      <w:proofErr w:type="spellStart"/>
      <w:r w:rsidR="00EF7471">
        <w:rPr>
          <w:rFonts w:ascii="Cambria" w:eastAsia="Times New Roman" w:hAnsi="Cambria"/>
          <w:color w:val="000000" w:themeColor="text1"/>
          <w:shd w:val="clear" w:color="auto" w:fill="FFFFFF"/>
        </w:rPr>
        <w:t>ethnicis</w:t>
      </w:r>
      <w:r w:rsidRPr="003D66DD">
        <w:rPr>
          <w:rFonts w:ascii="Cambria" w:eastAsia="Times New Roman" w:hAnsi="Cambria"/>
          <w:color w:val="000000" w:themeColor="text1"/>
          <w:shd w:val="clear" w:color="auto" w:fill="FFFFFF"/>
        </w:rPr>
        <w:t>ed</w:t>
      </w:r>
      <w:proofErr w:type="spellEnd"/>
      <w:r w:rsidRPr="003D66DD">
        <w:rPr>
          <w:rFonts w:ascii="Cambria" w:eastAsia="Times New Roman" w:hAnsi="Cambria"/>
          <w:color w:val="000000" w:themeColor="text1"/>
          <w:shd w:val="clear" w:color="auto" w:fill="FFFFFF"/>
        </w:rPr>
        <w:t xml:space="preserve"> and targe</w:t>
      </w:r>
      <w:r w:rsidR="00843C34">
        <w:rPr>
          <w:rFonts w:ascii="Cambria" w:eastAsia="Times New Roman" w:hAnsi="Cambria"/>
          <w:color w:val="000000" w:themeColor="text1"/>
          <w:shd w:val="clear" w:color="auto" w:fill="FFFFFF"/>
        </w:rPr>
        <w:t>ted on opposition neighbo</w:t>
      </w:r>
      <w:r w:rsidR="008C2A56">
        <w:rPr>
          <w:rFonts w:ascii="Cambria" w:eastAsia="Times New Roman" w:hAnsi="Cambria"/>
          <w:color w:val="000000" w:themeColor="text1"/>
          <w:shd w:val="clear" w:color="auto" w:fill="FFFFFF"/>
        </w:rPr>
        <w:t>u</w:t>
      </w:r>
      <w:r w:rsidR="00843C34">
        <w:rPr>
          <w:rFonts w:ascii="Cambria" w:eastAsia="Times New Roman" w:hAnsi="Cambria"/>
          <w:color w:val="000000" w:themeColor="text1"/>
          <w:shd w:val="clear" w:color="auto" w:fill="FFFFFF"/>
        </w:rPr>
        <w:t>rhoods</w:t>
      </w:r>
      <w:r w:rsidRPr="003D66DD">
        <w:rPr>
          <w:rFonts w:ascii="Cambria" w:eastAsia="Times New Roman" w:hAnsi="Cambria"/>
          <w:color w:val="000000" w:themeColor="text1"/>
          <w:shd w:val="clear" w:color="auto" w:fill="FFFFFF"/>
        </w:rPr>
        <w:t xml:space="preserve"> (</w:t>
      </w:r>
      <w:proofErr w:type="spellStart"/>
      <w:r w:rsidRPr="003D66DD">
        <w:rPr>
          <w:rFonts w:ascii="Cambria" w:eastAsia="Times New Roman" w:hAnsi="Cambria"/>
          <w:color w:val="000000" w:themeColor="text1"/>
          <w:shd w:val="clear" w:color="auto" w:fill="FFFFFF"/>
        </w:rPr>
        <w:t>Alleblas</w:t>
      </w:r>
      <w:proofErr w:type="spellEnd"/>
      <w:r w:rsidR="00877F3F">
        <w:rPr>
          <w:rFonts w:ascii="Cambria" w:eastAsia="Times New Roman" w:hAnsi="Cambria"/>
          <w:color w:val="000000" w:themeColor="text1"/>
          <w:shd w:val="clear" w:color="auto" w:fill="FFFFFF"/>
        </w:rPr>
        <w:t xml:space="preserve"> et al.</w:t>
      </w:r>
      <w:r w:rsidR="008C2A56">
        <w:rPr>
          <w:rFonts w:ascii="Cambria" w:eastAsia="Times New Roman" w:hAnsi="Cambria"/>
          <w:color w:val="000000" w:themeColor="text1"/>
          <w:shd w:val="clear" w:color="auto" w:fill="FFFFFF"/>
        </w:rPr>
        <w:t>, 2016;</w:t>
      </w:r>
      <w:r w:rsidRPr="003D66DD">
        <w:rPr>
          <w:rFonts w:ascii="Cambria" w:eastAsia="Times New Roman" w:hAnsi="Cambria"/>
          <w:color w:val="000000" w:themeColor="text1"/>
          <w:shd w:val="clear" w:color="auto" w:fill="FFFFFF"/>
        </w:rPr>
        <w:t xml:space="preserve"> Human Rights Watch</w:t>
      </w:r>
      <w:r w:rsidR="008C2A56">
        <w:rPr>
          <w:rFonts w:ascii="Cambria" w:eastAsia="Times New Roman" w:hAnsi="Cambria"/>
          <w:color w:val="000000" w:themeColor="text1"/>
          <w:shd w:val="clear" w:color="auto" w:fill="FFFFFF"/>
        </w:rPr>
        <w:t>,</w:t>
      </w:r>
      <w:r w:rsidRPr="003D66DD">
        <w:rPr>
          <w:rFonts w:ascii="Cambria" w:eastAsia="Times New Roman" w:hAnsi="Cambria"/>
          <w:color w:val="000000" w:themeColor="text1"/>
          <w:shd w:val="clear" w:color="auto" w:fill="FFFFFF"/>
        </w:rPr>
        <w:t xml:space="preserve"> 2018). </w:t>
      </w:r>
      <w:r w:rsidRPr="003D66DD">
        <w:rPr>
          <w:rStyle w:val="normaltextrun"/>
          <w:rFonts w:ascii="Cambria" w:hAnsi="Cambria"/>
          <w:color w:val="000000" w:themeColor="text1"/>
          <w:shd w:val="clear" w:color="auto" w:fill="FFFFFF"/>
        </w:rPr>
        <w:t xml:space="preserve">Many women’s organisations, including those defending women’s rights, have been compelled to shut down, and activists </w:t>
      </w:r>
      <w:r w:rsidR="0003605D">
        <w:rPr>
          <w:rStyle w:val="normaltextrun"/>
          <w:rFonts w:ascii="Cambria" w:hAnsi="Cambria"/>
          <w:color w:val="000000" w:themeColor="text1"/>
          <w:shd w:val="clear" w:color="auto" w:fill="FFFFFF"/>
        </w:rPr>
        <w:t xml:space="preserve">have been </w:t>
      </w:r>
      <w:r w:rsidRPr="003D66DD">
        <w:rPr>
          <w:rStyle w:val="normaltextrun"/>
          <w:rFonts w:ascii="Cambria" w:hAnsi="Cambria"/>
          <w:color w:val="000000" w:themeColor="text1"/>
          <w:shd w:val="clear" w:color="auto" w:fill="FFFFFF"/>
        </w:rPr>
        <w:t>forced into exile (</w:t>
      </w:r>
      <w:proofErr w:type="spellStart"/>
      <w:r w:rsidRPr="003D66DD">
        <w:rPr>
          <w:rStyle w:val="normaltextrun"/>
          <w:rFonts w:ascii="Cambria" w:hAnsi="Cambria"/>
          <w:color w:val="000000" w:themeColor="text1"/>
          <w:shd w:val="clear" w:color="auto" w:fill="FFFFFF"/>
        </w:rPr>
        <w:t>Alleblas</w:t>
      </w:r>
      <w:proofErr w:type="spellEnd"/>
      <w:r w:rsidR="00877F3F">
        <w:rPr>
          <w:rStyle w:val="normaltextrun"/>
          <w:rFonts w:ascii="Cambria" w:hAnsi="Cambria"/>
          <w:color w:val="000000" w:themeColor="text1"/>
          <w:shd w:val="clear" w:color="auto" w:fill="FFFFFF"/>
        </w:rPr>
        <w:t xml:space="preserve"> et al.</w:t>
      </w:r>
      <w:r w:rsidR="008C2A56">
        <w:rPr>
          <w:rStyle w:val="normaltextrun"/>
          <w:rFonts w:ascii="Cambria" w:hAnsi="Cambria"/>
          <w:color w:val="000000" w:themeColor="text1"/>
          <w:shd w:val="clear" w:color="auto" w:fill="FFFFFF"/>
        </w:rPr>
        <w:t>, 2016;</w:t>
      </w:r>
      <w:r w:rsidRPr="003D66DD">
        <w:rPr>
          <w:rStyle w:val="normaltextrun"/>
          <w:rFonts w:ascii="Cambria" w:hAnsi="Cambria"/>
          <w:color w:val="000000" w:themeColor="text1"/>
          <w:shd w:val="clear" w:color="auto" w:fill="FFFFFF"/>
        </w:rPr>
        <w:t xml:space="preserve"> Human Rights Watch</w:t>
      </w:r>
      <w:r w:rsidR="008C2A56">
        <w:rPr>
          <w:rStyle w:val="normaltextrun"/>
          <w:rFonts w:ascii="Cambria" w:hAnsi="Cambria"/>
          <w:color w:val="000000" w:themeColor="text1"/>
          <w:shd w:val="clear" w:color="auto" w:fill="FFFFFF"/>
        </w:rPr>
        <w:t>,</w:t>
      </w:r>
      <w:r w:rsidRPr="003D66DD">
        <w:rPr>
          <w:rStyle w:val="normaltextrun"/>
          <w:rFonts w:ascii="Cambria" w:hAnsi="Cambria"/>
          <w:color w:val="000000" w:themeColor="text1"/>
          <w:shd w:val="clear" w:color="auto" w:fill="FFFFFF"/>
        </w:rPr>
        <w:t xml:space="preserve"> 2018). Women have faced worsening conditions and increasing insecurity and gendered vulnerabilities, including as refugees.</w:t>
      </w:r>
    </w:p>
    <w:p w14:paraId="2748084A" w14:textId="5BF26BEC" w:rsidR="00865D2A" w:rsidRPr="003D66DD" w:rsidRDefault="008C2A56" w:rsidP="00865D2A">
      <w:pPr>
        <w:pStyle w:val="paragraph"/>
        <w:spacing w:line="360" w:lineRule="auto"/>
        <w:textAlignment w:val="baseline"/>
        <w:outlineLvl w:val="0"/>
        <w:rPr>
          <w:rStyle w:val="normaltextrun"/>
          <w:rFonts w:ascii="Cambria" w:hAnsi="Cambria"/>
          <w:b/>
          <w:i/>
        </w:rPr>
      </w:pPr>
      <w:r>
        <w:rPr>
          <w:rFonts w:ascii="Cambria" w:hAnsi="Cambria"/>
          <w:b/>
          <w:i/>
        </w:rPr>
        <w:t>FI A</w:t>
      </w:r>
      <w:r w:rsidR="00865D2A" w:rsidRPr="003D66DD">
        <w:rPr>
          <w:rFonts w:ascii="Cambria" w:hAnsi="Cambria"/>
          <w:b/>
          <w:i/>
        </w:rPr>
        <w:t xml:space="preserve">nalysis </w:t>
      </w:r>
    </w:p>
    <w:p w14:paraId="55FDD53D" w14:textId="7A21E9A1" w:rsidR="00041471" w:rsidRPr="003D66DD" w:rsidRDefault="00865D2A" w:rsidP="00865D2A">
      <w:pPr>
        <w:pStyle w:val="paragraph"/>
        <w:spacing w:line="360" w:lineRule="auto"/>
        <w:textAlignment w:val="baseline"/>
        <w:rPr>
          <w:rStyle w:val="normaltextrun"/>
          <w:rFonts w:ascii="Cambria" w:hAnsi="Cambria"/>
          <w:color w:val="000000" w:themeColor="text1"/>
          <w:shd w:val="clear" w:color="auto" w:fill="FFFFFF"/>
        </w:rPr>
      </w:pPr>
      <w:r w:rsidRPr="003D66DD">
        <w:rPr>
          <w:rStyle w:val="normaltextrun"/>
          <w:rFonts w:ascii="Cambria" w:hAnsi="Cambria"/>
          <w:i/>
          <w:color w:val="000000" w:themeColor="text1"/>
          <w:shd w:val="clear" w:color="auto" w:fill="FFFFFF"/>
        </w:rPr>
        <w:t>Nested</w:t>
      </w:r>
      <w:r w:rsidR="00041471" w:rsidRPr="003D66DD">
        <w:rPr>
          <w:rStyle w:val="normaltextrun"/>
          <w:rFonts w:ascii="Cambria" w:hAnsi="Cambria"/>
          <w:i/>
          <w:color w:val="000000" w:themeColor="text1"/>
          <w:shd w:val="clear" w:color="auto" w:fill="FFFFFF"/>
        </w:rPr>
        <w:t xml:space="preserve"> Newness</w:t>
      </w:r>
      <w:r w:rsidRPr="003D66DD">
        <w:rPr>
          <w:rStyle w:val="normaltextrun"/>
          <w:rFonts w:ascii="Cambria" w:hAnsi="Cambria"/>
          <w:color w:val="000000" w:themeColor="text1"/>
          <w:shd w:val="clear" w:color="auto" w:fill="FFFFFF"/>
        </w:rPr>
        <w:t xml:space="preserve"> </w:t>
      </w:r>
    </w:p>
    <w:p w14:paraId="1172B44F" w14:textId="007E3595" w:rsidR="00865D2A" w:rsidRPr="003D66DD" w:rsidRDefault="00041471" w:rsidP="00865D2A">
      <w:pPr>
        <w:pStyle w:val="paragraph"/>
        <w:spacing w:line="360" w:lineRule="auto"/>
        <w:textAlignment w:val="baseline"/>
        <w:rPr>
          <w:rFonts w:ascii="Cambria" w:hAnsi="Cambria"/>
          <w:color w:val="000000"/>
        </w:rPr>
      </w:pPr>
      <w:r w:rsidRPr="003D66DD">
        <w:rPr>
          <w:rFonts w:ascii="Cambria" w:hAnsi="Cambria"/>
          <w:color w:val="000000" w:themeColor="text1"/>
        </w:rPr>
        <w:t xml:space="preserve">New institutions and norms are nested within pre-existing and ongoing dynamics of ethno-national politics as well as wider contexts. </w:t>
      </w:r>
      <w:r w:rsidR="00865D2A" w:rsidRPr="003D66DD">
        <w:rPr>
          <w:rStyle w:val="normaltextrun"/>
          <w:rFonts w:ascii="Cambria" w:hAnsi="Cambria"/>
          <w:color w:val="000000" w:themeColor="text1"/>
          <w:shd w:val="clear" w:color="auto" w:fill="FFFFFF"/>
        </w:rPr>
        <w:t xml:space="preserve">As in </w:t>
      </w:r>
      <w:proofErr w:type="spellStart"/>
      <w:r w:rsidR="00865D2A" w:rsidRPr="003D66DD">
        <w:rPr>
          <w:rStyle w:val="normaltextrun"/>
          <w:rFonts w:ascii="Cambria" w:hAnsi="Cambria"/>
          <w:color w:val="000000" w:themeColor="text1"/>
          <w:shd w:val="clear" w:color="auto" w:fill="FFFFFF"/>
        </w:rPr>
        <w:t>BiH</w:t>
      </w:r>
      <w:proofErr w:type="spellEnd"/>
      <w:r w:rsidR="00865D2A" w:rsidRPr="003D66DD">
        <w:rPr>
          <w:rStyle w:val="normaltextrun"/>
          <w:rFonts w:ascii="Cambria" w:hAnsi="Cambria"/>
          <w:color w:val="000000" w:themeColor="text1"/>
          <w:shd w:val="clear" w:color="auto" w:fill="FFFFFF"/>
        </w:rPr>
        <w:t xml:space="preserve">, we see the </w:t>
      </w:r>
      <w:proofErr w:type="spellStart"/>
      <w:r w:rsidR="00865D2A" w:rsidRPr="003D66DD">
        <w:rPr>
          <w:rStyle w:val="normaltextrun"/>
          <w:rFonts w:ascii="Cambria" w:hAnsi="Cambria"/>
          <w:color w:val="000000" w:themeColor="text1"/>
          <w:shd w:val="clear" w:color="auto" w:fill="FFFFFF"/>
        </w:rPr>
        <w:t>nestedness</w:t>
      </w:r>
      <w:proofErr w:type="spellEnd"/>
      <w:r w:rsidR="00865D2A" w:rsidRPr="003D66DD">
        <w:rPr>
          <w:rStyle w:val="normaltextrun"/>
          <w:rFonts w:ascii="Cambria" w:hAnsi="Cambria"/>
          <w:color w:val="000000" w:themeColor="text1"/>
          <w:shd w:val="clear" w:color="auto" w:fill="FFFFFF"/>
        </w:rPr>
        <w:t xml:space="preserve"> of the </w:t>
      </w:r>
      <w:r w:rsidR="00865D2A" w:rsidRPr="003D66DD">
        <w:rPr>
          <w:rStyle w:val="normaltextrun"/>
          <w:rFonts w:ascii="Cambria" w:hAnsi="Cambria"/>
          <w:color w:val="000000" w:themeColor="text1"/>
          <w:shd w:val="clear" w:color="auto" w:fill="FFFFFF"/>
        </w:rPr>
        <w:lastRenderedPageBreak/>
        <w:t>Burundi case in the wider</w:t>
      </w:r>
      <w:r w:rsidR="00865D2A" w:rsidRPr="003D66DD">
        <w:rPr>
          <w:rFonts w:ascii="Cambria" w:hAnsi="Cambria"/>
          <w:color w:val="000000"/>
        </w:rPr>
        <w:t xml:space="preserve"> international system, not only in the design of political settlements, but also the promotion of international norms, including human rights and gender equality. Different parts of the international system worked with political elites on the one hand, and mobilised women’s organisations on the other hand, leading to striking disconnects.  So, for example, the UN Peacebuilding Commission initially omitted women’s groups </w:t>
      </w:r>
      <w:r w:rsidR="00843C34">
        <w:rPr>
          <w:rFonts w:ascii="Cambria" w:hAnsi="Cambria"/>
          <w:color w:val="000000"/>
        </w:rPr>
        <w:t>from</w:t>
      </w:r>
      <w:r w:rsidR="00865D2A" w:rsidRPr="003D66DD">
        <w:rPr>
          <w:rFonts w:ascii="Cambria" w:hAnsi="Cambria"/>
          <w:color w:val="000000"/>
        </w:rPr>
        <w:t xml:space="preserve"> </w:t>
      </w:r>
      <w:r w:rsidR="009F4FEF">
        <w:rPr>
          <w:rFonts w:ascii="Cambria" w:hAnsi="Cambria"/>
          <w:color w:val="000000"/>
        </w:rPr>
        <w:t>steering its pilot programming. This was</w:t>
      </w:r>
      <w:r w:rsidR="00865D2A" w:rsidRPr="003D66DD">
        <w:rPr>
          <w:rFonts w:ascii="Cambria" w:hAnsi="Cambria"/>
          <w:color w:val="000000"/>
        </w:rPr>
        <w:t xml:space="preserve"> despite the prominence of the WPS agenda internationally, and the advocacy work of gender advisors within the UN system, and agencies such as UNIFEM, to mainstream gender perspectives into the design and implementation of post-conflict reconstruction (UNDP</w:t>
      </w:r>
      <w:r w:rsidR="0082692A">
        <w:rPr>
          <w:rFonts w:ascii="Cambria" w:hAnsi="Cambria"/>
          <w:color w:val="000000"/>
        </w:rPr>
        <w:t>,</w:t>
      </w:r>
      <w:r w:rsidR="00865D2A" w:rsidRPr="003D66DD">
        <w:rPr>
          <w:rFonts w:ascii="Cambria" w:hAnsi="Cambria"/>
          <w:color w:val="000000"/>
        </w:rPr>
        <w:t xml:space="preserve"> 2014). </w:t>
      </w:r>
    </w:p>
    <w:p w14:paraId="787C01BA" w14:textId="77777777" w:rsidR="00865D2A" w:rsidRPr="003D66DD" w:rsidRDefault="00865D2A" w:rsidP="00865D2A">
      <w:pPr>
        <w:pStyle w:val="paragraph"/>
        <w:spacing w:line="360" w:lineRule="auto"/>
        <w:textAlignment w:val="baseline"/>
        <w:rPr>
          <w:rStyle w:val="normaltextrun"/>
          <w:rFonts w:ascii="Cambria" w:hAnsi="Cambria"/>
          <w:color w:val="000000" w:themeColor="text1"/>
          <w:shd w:val="clear" w:color="auto" w:fill="FFFFFF"/>
        </w:rPr>
      </w:pPr>
      <w:r w:rsidRPr="003D66DD">
        <w:rPr>
          <w:rStyle w:val="normaltextrun"/>
          <w:rFonts w:ascii="Cambria" w:hAnsi="Cambria"/>
          <w:color w:val="000000" w:themeColor="text1"/>
          <w:shd w:val="clear" w:color="auto" w:fill="FFFFFF"/>
        </w:rPr>
        <w:t xml:space="preserve">As well as being embedded in wider international arenas, post-conflict power-sharing institutions and actors were closely intertwined with older institutions of traditional authority, control and influence. </w:t>
      </w:r>
    </w:p>
    <w:p w14:paraId="485B4444" w14:textId="287FEE43" w:rsidR="00865D2A" w:rsidRPr="003D66DD" w:rsidRDefault="00865D2A" w:rsidP="00865D2A">
      <w:pPr>
        <w:pStyle w:val="paragraph"/>
        <w:spacing w:line="360" w:lineRule="auto"/>
        <w:textAlignment w:val="baseline"/>
        <w:rPr>
          <w:rStyle w:val="normaltextrun"/>
          <w:rFonts w:ascii="Cambria" w:hAnsi="Cambria"/>
          <w:color w:val="000000" w:themeColor="text1"/>
          <w:shd w:val="clear" w:color="auto" w:fill="FFFFFF"/>
        </w:rPr>
      </w:pPr>
      <w:r w:rsidRPr="003D66DD">
        <w:rPr>
          <w:rFonts w:ascii="Cambria" w:hAnsi="Cambria"/>
        </w:rPr>
        <w:t xml:space="preserve">Gender provisions also exist in a context not only of ethnic power-sharing but the absence of democratic consolidation and stability, and presence of prevalent ethnic </w:t>
      </w:r>
      <w:proofErr w:type="spellStart"/>
      <w:r w:rsidRPr="003D66DD">
        <w:rPr>
          <w:rFonts w:ascii="Cambria" w:hAnsi="Cambria"/>
        </w:rPr>
        <w:t>client</w:t>
      </w:r>
      <w:r w:rsidR="00EF7471">
        <w:rPr>
          <w:rFonts w:ascii="Cambria" w:hAnsi="Cambria"/>
        </w:rPr>
        <w:t>elism</w:t>
      </w:r>
      <w:proofErr w:type="spellEnd"/>
      <w:r w:rsidR="00EF7471">
        <w:rPr>
          <w:rFonts w:ascii="Cambria" w:hAnsi="Cambria"/>
        </w:rPr>
        <w:t xml:space="preserve">, as outlined, and </w:t>
      </w:r>
      <w:proofErr w:type="spellStart"/>
      <w:r w:rsidR="00EF7471">
        <w:rPr>
          <w:rFonts w:ascii="Cambria" w:hAnsi="Cambria"/>
        </w:rPr>
        <w:t>ethnicis</w:t>
      </w:r>
      <w:r w:rsidRPr="003D66DD">
        <w:rPr>
          <w:rFonts w:ascii="Cambria" w:hAnsi="Cambria"/>
        </w:rPr>
        <w:t>ed</w:t>
      </w:r>
      <w:proofErr w:type="spellEnd"/>
      <w:r w:rsidRPr="003D66DD">
        <w:rPr>
          <w:rFonts w:ascii="Cambria" w:hAnsi="Cambria"/>
        </w:rPr>
        <w:t xml:space="preserve"> violence </w:t>
      </w:r>
      <w:r w:rsidRPr="003D66DD">
        <w:rPr>
          <w:rStyle w:val="normaltextrun"/>
          <w:rFonts w:ascii="Cambria" w:hAnsi="Cambria"/>
          <w:shd w:val="clear" w:color="auto" w:fill="FFFFFF"/>
        </w:rPr>
        <w:t>- conditions hardly conducive to the realisation of gender equal outcomes</w:t>
      </w:r>
      <w:r w:rsidRPr="003D66DD">
        <w:rPr>
          <w:rFonts w:ascii="Cambria" w:hAnsi="Cambria"/>
        </w:rPr>
        <w:t xml:space="preserve">. Gains for individual women as politicians and as electoral officials (for example on the independent electoral commission) take place at a time </w:t>
      </w:r>
      <w:r w:rsidRPr="003D66DD">
        <w:rPr>
          <w:rStyle w:val="normaltextrun"/>
          <w:rFonts w:ascii="Cambria" w:hAnsi="Cambria"/>
          <w:color w:val="000000" w:themeColor="text1"/>
          <w:shd w:val="clear" w:color="auto" w:fill="FFFFFF"/>
        </w:rPr>
        <w:t>in which the electoral arena has all but been abandoned by opposition groups, and in a context of political viole</w:t>
      </w:r>
      <w:r w:rsidR="0082692A">
        <w:rPr>
          <w:rStyle w:val="normaltextrun"/>
          <w:rFonts w:ascii="Cambria" w:hAnsi="Cambria"/>
          <w:color w:val="000000" w:themeColor="text1"/>
          <w:shd w:val="clear" w:color="auto" w:fill="FFFFFF"/>
        </w:rPr>
        <w:t>nce and intimidation.  The silo-</w:t>
      </w:r>
      <w:proofErr w:type="spellStart"/>
      <w:r w:rsidRPr="003D66DD">
        <w:rPr>
          <w:rStyle w:val="normaltextrun"/>
          <w:rFonts w:ascii="Cambria" w:hAnsi="Cambria"/>
          <w:color w:val="000000" w:themeColor="text1"/>
          <w:shd w:val="clear" w:color="auto" w:fill="FFFFFF"/>
        </w:rPr>
        <w:t>ed</w:t>
      </w:r>
      <w:proofErr w:type="spellEnd"/>
      <w:r w:rsidRPr="003D66DD">
        <w:rPr>
          <w:rStyle w:val="normaltextrun"/>
          <w:rFonts w:ascii="Cambria" w:hAnsi="Cambria"/>
          <w:color w:val="000000" w:themeColor="text1"/>
          <w:shd w:val="clear" w:color="auto" w:fill="FFFFFF"/>
        </w:rPr>
        <w:t xml:space="preserve"> nature of intervention around women’s political </w:t>
      </w:r>
      <w:r w:rsidR="00843C34" w:rsidRPr="003D66DD">
        <w:rPr>
          <w:rStyle w:val="normaltextrun"/>
          <w:rFonts w:ascii="Cambria" w:hAnsi="Cambria"/>
          <w:color w:val="000000" w:themeColor="text1"/>
          <w:shd w:val="clear" w:color="auto" w:fill="FFFFFF"/>
        </w:rPr>
        <w:t>participation</w:t>
      </w:r>
      <w:r w:rsidRPr="003D66DD">
        <w:rPr>
          <w:rStyle w:val="normaltextrun"/>
          <w:rFonts w:ascii="Cambria" w:hAnsi="Cambria"/>
          <w:color w:val="000000" w:themeColor="text1"/>
          <w:shd w:val="clear" w:color="auto" w:fill="FFFFFF"/>
        </w:rPr>
        <w:t xml:space="preserve">, where the emphasis is frequently on working exclusively with women candidates on elections, means work fails to address the broader politico-economic context </w:t>
      </w:r>
      <w:r w:rsidRPr="003D66DD">
        <w:rPr>
          <w:rFonts w:ascii="Cambria" w:hAnsi="Cambria"/>
        </w:rPr>
        <w:t>(UNDP</w:t>
      </w:r>
      <w:r w:rsidR="0082692A">
        <w:rPr>
          <w:rFonts w:ascii="Cambria" w:hAnsi="Cambria"/>
        </w:rPr>
        <w:t>,</w:t>
      </w:r>
      <w:r w:rsidRPr="003D66DD">
        <w:rPr>
          <w:rFonts w:ascii="Cambria" w:hAnsi="Cambria"/>
        </w:rPr>
        <w:t xml:space="preserve"> 2014). </w:t>
      </w:r>
      <w:r w:rsidRPr="003D66DD">
        <w:rPr>
          <w:rStyle w:val="normaltextrun"/>
          <w:rFonts w:ascii="Cambria" w:hAnsi="Cambria"/>
          <w:color w:val="000000" w:themeColor="text1"/>
          <w:shd w:val="clear" w:color="auto" w:fill="FFFFFF"/>
        </w:rPr>
        <w:t xml:space="preserve">Increasingly volatile politics, especially post 2015, have played out in ways </w:t>
      </w:r>
      <w:r w:rsidR="0003605D">
        <w:rPr>
          <w:rStyle w:val="normaltextrun"/>
          <w:rFonts w:ascii="Cambria" w:hAnsi="Cambria"/>
          <w:color w:val="000000" w:themeColor="text1"/>
          <w:shd w:val="clear" w:color="auto" w:fill="FFFFFF"/>
        </w:rPr>
        <w:t xml:space="preserve">that </w:t>
      </w:r>
      <w:r w:rsidRPr="003D66DD">
        <w:rPr>
          <w:rStyle w:val="normaltextrun"/>
          <w:rFonts w:ascii="Cambria" w:hAnsi="Cambria"/>
          <w:color w:val="000000" w:themeColor="text1"/>
          <w:shd w:val="clear" w:color="auto" w:fill="FFFFFF"/>
        </w:rPr>
        <w:t xml:space="preserve">have increased the insecurity of women and heightened gendered vulnerabilities. </w:t>
      </w:r>
    </w:p>
    <w:p w14:paraId="2CC4E457" w14:textId="249B7D86" w:rsidR="00E47139" w:rsidRDefault="0082692A" w:rsidP="00865D2A">
      <w:pPr>
        <w:pStyle w:val="paragraph"/>
        <w:spacing w:line="360" w:lineRule="auto"/>
        <w:textAlignment w:val="baseline"/>
        <w:rPr>
          <w:rStyle w:val="normaltextrun"/>
          <w:rFonts w:ascii="Cambria" w:hAnsi="Cambria"/>
          <w:color w:val="000000" w:themeColor="text1"/>
          <w:shd w:val="clear" w:color="auto" w:fill="FFFFFF"/>
        </w:rPr>
      </w:pPr>
      <w:r>
        <w:rPr>
          <w:rStyle w:val="normaltextrun"/>
          <w:rFonts w:ascii="Cambria" w:hAnsi="Cambria"/>
          <w:i/>
          <w:color w:val="000000" w:themeColor="text1"/>
          <w:shd w:val="clear" w:color="auto" w:fill="FFFFFF"/>
        </w:rPr>
        <w:t>Formal and Informal I</w:t>
      </w:r>
      <w:r w:rsidR="00865D2A" w:rsidRPr="003D66DD">
        <w:rPr>
          <w:rStyle w:val="normaltextrun"/>
          <w:rFonts w:ascii="Cambria" w:hAnsi="Cambria"/>
          <w:i/>
          <w:color w:val="000000" w:themeColor="text1"/>
          <w:shd w:val="clear" w:color="auto" w:fill="FFFFFF"/>
        </w:rPr>
        <w:t>nstitutions</w:t>
      </w:r>
    </w:p>
    <w:p w14:paraId="7056BCBE" w14:textId="3AD6DFB8" w:rsidR="00865D2A" w:rsidRPr="003D66DD" w:rsidRDefault="00E47139" w:rsidP="00865D2A">
      <w:pPr>
        <w:pStyle w:val="paragraph"/>
        <w:spacing w:line="360" w:lineRule="auto"/>
        <w:textAlignment w:val="baseline"/>
        <w:rPr>
          <w:rStyle w:val="normaltextrun"/>
          <w:rFonts w:ascii="Cambria" w:hAnsi="Cambria"/>
          <w:color w:val="000000" w:themeColor="text1"/>
          <w:shd w:val="clear" w:color="auto" w:fill="FFFFFF"/>
        </w:rPr>
      </w:pPr>
      <w:r>
        <w:rPr>
          <w:rStyle w:val="normaltextrun"/>
          <w:rFonts w:ascii="Cambria" w:hAnsi="Cambria"/>
          <w:color w:val="000000" w:themeColor="text1"/>
          <w:shd w:val="clear" w:color="auto" w:fill="FFFFFF"/>
        </w:rPr>
        <w:t xml:space="preserve"> </w:t>
      </w:r>
      <w:r w:rsidR="00865D2A" w:rsidRPr="003D66DD">
        <w:rPr>
          <w:rStyle w:val="normaltextrun"/>
          <w:rFonts w:ascii="Cambria" w:hAnsi="Cambria"/>
          <w:color w:val="000000" w:themeColor="text1"/>
          <w:shd w:val="clear" w:color="auto" w:fill="FFFFFF"/>
        </w:rPr>
        <w:t>The formal features of the post-conflict design, including the autonomy granted to parties</w:t>
      </w:r>
      <w:r w:rsidR="0082692A">
        <w:rPr>
          <w:rStyle w:val="normaltextrun"/>
          <w:rFonts w:ascii="Cambria" w:hAnsi="Cambria"/>
          <w:color w:val="000000" w:themeColor="text1"/>
          <w:shd w:val="clear" w:color="auto" w:fill="FFFFFF"/>
        </w:rPr>
        <w:t>,</w:t>
      </w:r>
      <w:r w:rsidR="00865D2A" w:rsidRPr="003D66DD">
        <w:rPr>
          <w:rStyle w:val="normaltextrun"/>
          <w:rFonts w:ascii="Cambria" w:hAnsi="Cambria"/>
          <w:color w:val="000000" w:themeColor="text1"/>
          <w:shd w:val="clear" w:color="auto" w:fill="FFFFFF"/>
        </w:rPr>
        <w:t xml:space="preserve"> has enabled informal institutions of patronage and </w:t>
      </w:r>
      <w:proofErr w:type="spellStart"/>
      <w:r w:rsidR="00865D2A" w:rsidRPr="003D66DD">
        <w:rPr>
          <w:rStyle w:val="normaltextrun"/>
          <w:rFonts w:ascii="Cambria" w:hAnsi="Cambria"/>
          <w:color w:val="000000" w:themeColor="text1"/>
          <w:shd w:val="clear" w:color="auto" w:fill="FFFFFF"/>
        </w:rPr>
        <w:t>clientelism</w:t>
      </w:r>
      <w:proofErr w:type="spellEnd"/>
      <w:r w:rsidR="00865D2A" w:rsidRPr="003D66DD">
        <w:rPr>
          <w:rStyle w:val="normaltextrun"/>
          <w:rFonts w:ascii="Cambria" w:hAnsi="Cambria"/>
          <w:color w:val="000000" w:themeColor="text1"/>
          <w:shd w:val="clear" w:color="auto" w:fill="FFFFFF"/>
        </w:rPr>
        <w:t xml:space="preserve"> to thrive, including in the form of ‘Big Man’ politics (</w:t>
      </w:r>
      <w:proofErr w:type="spellStart"/>
      <w:r w:rsidR="00865D2A" w:rsidRPr="003D66DD">
        <w:rPr>
          <w:rStyle w:val="normaltextrun"/>
          <w:rFonts w:ascii="Cambria" w:hAnsi="Cambria"/>
          <w:color w:val="000000" w:themeColor="text1"/>
          <w:shd w:val="clear" w:color="auto" w:fill="FFFFFF"/>
        </w:rPr>
        <w:t>Arriola</w:t>
      </w:r>
      <w:proofErr w:type="spellEnd"/>
      <w:r w:rsidR="00865D2A" w:rsidRPr="003D66DD">
        <w:rPr>
          <w:rStyle w:val="normaltextrun"/>
          <w:rFonts w:ascii="Cambria" w:hAnsi="Cambria"/>
          <w:color w:val="000000" w:themeColor="text1"/>
          <w:shd w:val="clear" w:color="auto" w:fill="FFFFFF"/>
        </w:rPr>
        <w:t xml:space="preserve"> and Johnson</w:t>
      </w:r>
      <w:r w:rsidR="0082692A">
        <w:rPr>
          <w:rStyle w:val="normaltextrun"/>
          <w:rFonts w:ascii="Cambria" w:hAnsi="Cambria"/>
          <w:color w:val="000000" w:themeColor="text1"/>
          <w:shd w:val="clear" w:color="auto" w:fill="FFFFFF"/>
        </w:rPr>
        <w:t>,</w:t>
      </w:r>
      <w:r w:rsidR="00865D2A" w:rsidRPr="003D66DD">
        <w:rPr>
          <w:rStyle w:val="normaltextrun"/>
          <w:rFonts w:ascii="Cambria" w:hAnsi="Cambria"/>
          <w:color w:val="000000" w:themeColor="text1"/>
          <w:shd w:val="clear" w:color="auto" w:fill="FFFFFF"/>
        </w:rPr>
        <w:t xml:space="preserve"> 2014) whereby alliances </w:t>
      </w:r>
      <w:r w:rsidR="00865D2A" w:rsidRPr="003D66DD">
        <w:rPr>
          <w:rStyle w:val="normaltextrun"/>
          <w:rFonts w:ascii="Cambria" w:hAnsi="Cambria"/>
          <w:color w:val="000000" w:themeColor="text1"/>
          <w:shd w:val="clear" w:color="auto" w:fill="FFFFFF"/>
        </w:rPr>
        <w:lastRenderedPageBreak/>
        <w:t xml:space="preserve">are built including through the conferment of high prestige positions. In turn, this further entrenches the power of male elites and their control over the policy agenda as well as reducing the opportunities for women to serve in high impact ministries. </w:t>
      </w:r>
      <w:r w:rsidR="00865D2A" w:rsidRPr="003D66DD">
        <w:rPr>
          <w:rFonts w:ascii="Cambria" w:hAnsi="Cambria"/>
        </w:rPr>
        <w:t xml:space="preserve">Women are </w:t>
      </w:r>
      <w:r w:rsidR="00865D2A" w:rsidRPr="003D66DD">
        <w:rPr>
          <w:rFonts w:ascii="Cambria" w:hAnsi="Cambria"/>
          <w:i/>
        </w:rPr>
        <w:t>de facto</w:t>
      </w:r>
      <w:r w:rsidR="00865D2A" w:rsidRPr="003D66DD">
        <w:rPr>
          <w:rFonts w:ascii="Cambria" w:hAnsi="Cambria"/>
        </w:rPr>
        <w:t xml:space="preserve"> excluded from political party decision making positions. </w:t>
      </w:r>
    </w:p>
    <w:p w14:paraId="4A93AF45" w14:textId="0C5636BD" w:rsidR="00865D2A" w:rsidRPr="003D66DD" w:rsidRDefault="00865D2A" w:rsidP="00865D2A">
      <w:pPr>
        <w:pStyle w:val="NormalWeb"/>
        <w:spacing w:line="360" w:lineRule="auto"/>
        <w:rPr>
          <w:rFonts w:ascii="Cambria" w:hAnsi="Cambria"/>
        </w:rPr>
      </w:pPr>
      <w:r w:rsidRPr="003D66DD">
        <w:rPr>
          <w:rStyle w:val="normaltextrun"/>
          <w:rFonts w:ascii="Cambria" w:hAnsi="Cambria"/>
          <w:color w:val="000000" w:themeColor="text1"/>
          <w:shd w:val="clear" w:color="auto" w:fill="FFFFFF"/>
        </w:rPr>
        <w:t xml:space="preserve">As </w:t>
      </w:r>
      <w:proofErr w:type="spellStart"/>
      <w:r w:rsidRPr="003D66DD">
        <w:rPr>
          <w:rFonts w:ascii="Cambria" w:hAnsi="Cambria"/>
        </w:rPr>
        <w:t>Guariso</w:t>
      </w:r>
      <w:proofErr w:type="spellEnd"/>
      <w:r w:rsidRPr="003D66DD">
        <w:rPr>
          <w:rFonts w:ascii="Cambria" w:hAnsi="Cambria"/>
        </w:rPr>
        <w:t xml:space="preserve"> et al. argue gender quotas – designed for democratic systems – are introduced into regimes, including Burundi, that are </w:t>
      </w:r>
      <w:r w:rsidRPr="003D66DD">
        <w:rPr>
          <w:rFonts w:ascii="Cambria" w:hAnsi="Cambria"/>
          <w:i/>
        </w:rPr>
        <w:t>de facto</w:t>
      </w:r>
      <w:r w:rsidRPr="003D66DD">
        <w:rPr>
          <w:rFonts w:ascii="Cambria" w:hAnsi="Cambria"/>
        </w:rPr>
        <w:t xml:space="preserve"> authoritarian, or drif</w:t>
      </w:r>
      <w:r w:rsidR="0082692A">
        <w:rPr>
          <w:rFonts w:ascii="Cambria" w:hAnsi="Cambria"/>
        </w:rPr>
        <w:t>ting towards authoritarianism. “</w:t>
      </w:r>
      <w:r w:rsidRPr="003D66DD">
        <w:rPr>
          <w:rFonts w:ascii="Cambria" w:hAnsi="Cambria"/>
        </w:rPr>
        <w:t>Although featuring the formal institutions associated with democratic regimes, the actual political power in t</w:t>
      </w:r>
      <w:r w:rsidR="00EF7471">
        <w:rPr>
          <w:rFonts w:ascii="Cambria" w:hAnsi="Cambria"/>
        </w:rPr>
        <w:t>hese regimes is highly centralis</w:t>
      </w:r>
      <w:r w:rsidRPr="003D66DD">
        <w:rPr>
          <w:rFonts w:ascii="Cambria" w:hAnsi="Cambria"/>
        </w:rPr>
        <w:t xml:space="preserve">ed in the executive, the actions of which are largely unconstrained </w:t>
      </w:r>
      <w:r w:rsidR="0082692A">
        <w:rPr>
          <w:rFonts w:ascii="Cambria" w:hAnsi="Cambria"/>
        </w:rPr>
        <w:t>by other branches of government.”</w:t>
      </w:r>
      <w:r w:rsidRPr="003D66DD">
        <w:rPr>
          <w:rFonts w:ascii="Cambria" w:hAnsi="Cambria"/>
        </w:rPr>
        <w:t xml:space="preserve"> In this context, new formal rules such as gender quotas cannot influence policy, unless they apply to the i</w:t>
      </w:r>
      <w:r w:rsidR="0082692A">
        <w:rPr>
          <w:rFonts w:ascii="Cambria" w:hAnsi="Cambria"/>
        </w:rPr>
        <w:t>nformal rules operating at the “</w:t>
      </w:r>
      <w:r w:rsidRPr="003D66DD">
        <w:rPr>
          <w:rFonts w:ascii="Cambria" w:hAnsi="Cambria"/>
        </w:rPr>
        <w:t>highest echelons of ex</w:t>
      </w:r>
      <w:r w:rsidR="0082692A">
        <w:rPr>
          <w:rFonts w:ascii="Cambria" w:hAnsi="Cambria"/>
        </w:rPr>
        <w:t xml:space="preserve">ecutive power (but they do not)” </w:t>
      </w:r>
      <w:r w:rsidR="0082692A" w:rsidRPr="003D66DD">
        <w:rPr>
          <w:rFonts w:ascii="Cambria" w:hAnsi="Cambria"/>
        </w:rPr>
        <w:t>(2017:</w:t>
      </w:r>
      <w:r w:rsidR="0082692A">
        <w:rPr>
          <w:rFonts w:ascii="Cambria" w:hAnsi="Cambria"/>
        </w:rPr>
        <w:t xml:space="preserve"> </w:t>
      </w:r>
      <w:r w:rsidR="0082692A" w:rsidRPr="003D66DD">
        <w:rPr>
          <w:rFonts w:ascii="Cambria" w:hAnsi="Cambria"/>
        </w:rPr>
        <w:t>2)</w:t>
      </w:r>
      <w:r w:rsidRPr="003D66DD">
        <w:rPr>
          <w:rFonts w:ascii="Cambria" w:hAnsi="Cambria"/>
        </w:rPr>
        <w:t xml:space="preserve">. </w:t>
      </w:r>
    </w:p>
    <w:p w14:paraId="1EB7D9C9" w14:textId="177B1DC5" w:rsidR="00865D2A" w:rsidRPr="003D66DD" w:rsidRDefault="00865D2A" w:rsidP="00865D2A">
      <w:pPr>
        <w:pStyle w:val="paragraph"/>
        <w:spacing w:line="360" w:lineRule="auto"/>
        <w:textAlignment w:val="baseline"/>
        <w:rPr>
          <w:rFonts w:ascii="Cambria" w:hAnsi="Cambria"/>
        </w:rPr>
      </w:pPr>
      <w:r w:rsidRPr="003D66DD">
        <w:rPr>
          <w:rStyle w:val="normaltextrun"/>
          <w:rFonts w:ascii="Cambria" w:hAnsi="Cambria"/>
          <w:color w:val="000000" w:themeColor="text1"/>
          <w:shd w:val="clear" w:color="auto" w:fill="FFFFFF"/>
        </w:rPr>
        <w:t>Many of the power-sharing provisions and institutions of the Arusha</w:t>
      </w:r>
      <w:r w:rsidR="0082692A">
        <w:rPr>
          <w:rStyle w:val="normaltextrun"/>
          <w:rFonts w:ascii="Cambria" w:hAnsi="Cambria"/>
          <w:color w:val="000000" w:themeColor="text1"/>
          <w:shd w:val="clear" w:color="auto" w:fill="FFFFFF"/>
        </w:rPr>
        <w:t xml:space="preserve"> A</w:t>
      </w:r>
      <w:r w:rsidR="00967679">
        <w:rPr>
          <w:rStyle w:val="normaltextrun"/>
          <w:rFonts w:ascii="Cambria" w:hAnsi="Cambria"/>
          <w:color w:val="000000" w:themeColor="text1"/>
          <w:shd w:val="clear" w:color="auto" w:fill="FFFFFF"/>
        </w:rPr>
        <w:t>ccords</w:t>
      </w:r>
      <w:r w:rsidRPr="003D66DD">
        <w:rPr>
          <w:rStyle w:val="normaltextrun"/>
          <w:rFonts w:ascii="Cambria" w:hAnsi="Cambria"/>
          <w:color w:val="000000" w:themeColor="text1"/>
          <w:shd w:val="clear" w:color="auto" w:fill="FFFFFF"/>
        </w:rPr>
        <w:t>-based constitution have been informally degraded by the ruling party (</w:t>
      </w:r>
      <w:proofErr w:type="spellStart"/>
      <w:r w:rsidRPr="003D66DD">
        <w:rPr>
          <w:rStyle w:val="normaltextrun"/>
          <w:rFonts w:ascii="Cambria" w:hAnsi="Cambria"/>
          <w:shd w:val="clear" w:color="auto" w:fill="FFFFFF"/>
        </w:rPr>
        <w:t>Vandeginste</w:t>
      </w:r>
      <w:proofErr w:type="spellEnd"/>
      <w:r w:rsidR="0082692A">
        <w:rPr>
          <w:rStyle w:val="normaltextrun"/>
          <w:rFonts w:ascii="Cambria" w:hAnsi="Cambria"/>
          <w:shd w:val="clear" w:color="auto" w:fill="FFFFFF"/>
        </w:rPr>
        <w:t>,</w:t>
      </w:r>
      <w:r w:rsidRPr="003D66DD">
        <w:rPr>
          <w:rStyle w:val="normaltextrun"/>
          <w:rFonts w:ascii="Cambria" w:hAnsi="Cambria"/>
          <w:shd w:val="clear" w:color="auto" w:fill="FFFFFF"/>
        </w:rPr>
        <w:t xml:space="preserve"> 2017b:</w:t>
      </w:r>
      <w:r w:rsidR="0082692A">
        <w:rPr>
          <w:rStyle w:val="normaltextrun"/>
          <w:rFonts w:ascii="Cambria" w:hAnsi="Cambria"/>
          <w:shd w:val="clear" w:color="auto" w:fill="FFFFFF"/>
        </w:rPr>
        <w:t xml:space="preserve"> </w:t>
      </w:r>
      <w:r w:rsidRPr="003D66DD">
        <w:rPr>
          <w:rStyle w:val="normaltextrun"/>
          <w:rFonts w:ascii="Cambria" w:hAnsi="Cambria"/>
          <w:shd w:val="clear" w:color="auto" w:fill="FFFFFF"/>
        </w:rPr>
        <w:t>12)</w:t>
      </w:r>
      <w:r w:rsidRPr="003D66DD">
        <w:rPr>
          <w:rStyle w:val="normaltextrun"/>
          <w:rFonts w:ascii="Cambria" w:hAnsi="Cambria"/>
          <w:color w:val="000000" w:themeColor="text1"/>
          <w:shd w:val="clear" w:color="auto" w:fill="FFFFFF"/>
        </w:rPr>
        <w:t xml:space="preserve">. This includes the </w:t>
      </w:r>
      <w:r w:rsidRPr="003D66DD">
        <w:rPr>
          <w:rFonts w:ascii="Cambria" w:hAnsi="Cambria"/>
        </w:rPr>
        <w:t>gradual transformation of the dominant party’s youth wing (</w:t>
      </w:r>
      <w:proofErr w:type="spellStart"/>
      <w:r w:rsidR="00967679" w:rsidRPr="00967679">
        <w:rPr>
          <w:rFonts w:ascii="Cambria" w:hAnsi="Cambria"/>
          <w:i/>
          <w:iCs/>
        </w:rPr>
        <w:t>i</w:t>
      </w:r>
      <w:r w:rsidRPr="00967679">
        <w:rPr>
          <w:rFonts w:ascii="Cambria" w:hAnsi="Cambria"/>
          <w:i/>
          <w:iCs/>
        </w:rPr>
        <w:t>mbonerakure</w:t>
      </w:r>
      <w:proofErr w:type="spellEnd"/>
      <w:r w:rsidRPr="00967679">
        <w:rPr>
          <w:rFonts w:ascii="Cambria" w:hAnsi="Cambria"/>
        </w:rPr>
        <w:t>)</w:t>
      </w:r>
      <w:r w:rsidRPr="003D66DD">
        <w:rPr>
          <w:rFonts w:ascii="Cambria" w:hAnsi="Cambria"/>
        </w:rPr>
        <w:t xml:space="preserve"> into a parallel agency </w:t>
      </w:r>
      <w:r w:rsidRPr="003D66DD">
        <w:rPr>
          <w:rFonts w:ascii="Cambria" w:hAnsi="Cambria"/>
          <w:i/>
          <w:iCs/>
        </w:rPr>
        <w:t xml:space="preserve">de facto </w:t>
      </w:r>
      <w:r w:rsidRPr="003D66DD">
        <w:rPr>
          <w:rFonts w:ascii="Cambria" w:hAnsi="Cambria"/>
        </w:rPr>
        <w:t xml:space="preserve">in charge of law and order. As </w:t>
      </w:r>
      <w:proofErr w:type="spellStart"/>
      <w:r w:rsidRPr="003D66DD">
        <w:rPr>
          <w:rStyle w:val="normaltextrun"/>
          <w:rFonts w:ascii="Cambria" w:hAnsi="Cambria"/>
          <w:shd w:val="clear" w:color="auto" w:fill="FFFFFF"/>
        </w:rPr>
        <w:t>Vandeginste</w:t>
      </w:r>
      <w:proofErr w:type="spellEnd"/>
      <w:r w:rsidRPr="003D66DD">
        <w:rPr>
          <w:rStyle w:val="normaltextrun"/>
          <w:rFonts w:ascii="Cambria" w:hAnsi="Cambria"/>
          <w:shd w:val="clear" w:color="auto" w:fill="FFFFFF"/>
        </w:rPr>
        <w:t xml:space="preserve"> notes, as an informal institution, the </w:t>
      </w:r>
      <w:proofErr w:type="spellStart"/>
      <w:r w:rsidR="00967679" w:rsidRPr="00967679">
        <w:rPr>
          <w:rStyle w:val="normaltextrun"/>
          <w:rFonts w:ascii="Cambria" w:hAnsi="Cambria"/>
          <w:i/>
          <w:shd w:val="clear" w:color="auto" w:fill="FFFFFF"/>
        </w:rPr>
        <w:t>i</w:t>
      </w:r>
      <w:r w:rsidRPr="00967679">
        <w:rPr>
          <w:rStyle w:val="normaltextrun"/>
          <w:rFonts w:ascii="Cambria" w:hAnsi="Cambria"/>
          <w:i/>
          <w:shd w:val="clear" w:color="auto" w:fill="FFFFFF"/>
        </w:rPr>
        <w:t>mbonerakure</w:t>
      </w:r>
      <w:proofErr w:type="spellEnd"/>
      <w:r w:rsidRPr="003D66DD">
        <w:rPr>
          <w:rStyle w:val="normaltextrun"/>
          <w:rFonts w:ascii="Cambria" w:hAnsi="Cambria"/>
          <w:shd w:val="clear" w:color="auto" w:fill="FFFFFF"/>
        </w:rPr>
        <w:t xml:space="preserve"> are not </w:t>
      </w:r>
      <w:r w:rsidRPr="003D66DD">
        <w:rPr>
          <w:rFonts w:ascii="Cambria" w:hAnsi="Cambria"/>
        </w:rPr>
        <w:t>formally</w:t>
      </w:r>
      <w:r w:rsidR="0082692A">
        <w:rPr>
          <w:rFonts w:ascii="Cambria" w:hAnsi="Cambria"/>
        </w:rPr>
        <w:t xml:space="preserve"> regulated by the ethnic power-</w:t>
      </w:r>
      <w:r w:rsidRPr="003D66DD">
        <w:rPr>
          <w:rFonts w:ascii="Cambria" w:hAnsi="Cambria"/>
        </w:rPr>
        <w:t>sharing provisions laid down in the Arusha A</w:t>
      </w:r>
      <w:r w:rsidR="00967679">
        <w:rPr>
          <w:rFonts w:ascii="Cambria" w:hAnsi="Cambria"/>
        </w:rPr>
        <w:t>ccords</w:t>
      </w:r>
      <w:r w:rsidRPr="003D66DD">
        <w:rPr>
          <w:rFonts w:ascii="Cambria" w:hAnsi="Cambria"/>
        </w:rPr>
        <w:t xml:space="preserve"> and in t</w:t>
      </w:r>
      <w:r w:rsidR="009F4FEF">
        <w:rPr>
          <w:rFonts w:ascii="Cambria" w:hAnsi="Cambria"/>
        </w:rPr>
        <w:t>he 2005 Constitution. As noted earlier</w:t>
      </w:r>
      <w:r w:rsidRPr="003D66DD">
        <w:rPr>
          <w:rFonts w:ascii="Cambria" w:hAnsi="Cambria"/>
        </w:rPr>
        <w:t xml:space="preserve">, the </w:t>
      </w:r>
      <w:proofErr w:type="spellStart"/>
      <w:r w:rsidR="00967679" w:rsidRPr="00967679">
        <w:rPr>
          <w:rStyle w:val="normaltextrun"/>
          <w:rFonts w:ascii="Cambria" w:hAnsi="Cambria"/>
          <w:i/>
          <w:shd w:val="clear" w:color="auto" w:fill="FFFFFF"/>
        </w:rPr>
        <w:t>imbonerakure</w:t>
      </w:r>
      <w:proofErr w:type="spellEnd"/>
      <w:r w:rsidRPr="003D66DD">
        <w:rPr>
          <w:rFonts w:ascii="Cambria" w:hAnsi="Cambria"/>
        </w:rPr>
        <w:t xml:space="preserve"> has been implicated in the escalation of political violence and intimidation, including sexual violence and systematic rape with seeming impunity.</w:t>
      </w:r>
    </w:p>
    <w:p w14:paraId="280019A5" w14:textId="2EAFB88D" w:rsidR="0050774F" w:rsidRDefault="00865D2A" w:rsidP="00865D2A">
      <w:pPr>
        <w:pStyle w:val="NormalWeb"/>
        <w:spacing w:line="360" w:lineRule="auto"/>
        <w:rPr>
          <w:rStyle w:val="normaltextrun"/>
          <w:rFonts w:ascii="Cambria" w:hAnsi="Cambria"/>
          <w:i/>
          <w:color w:val="000000" w:themeColor="text1"/>
          <w:shd w:val="clear" w:color="auto" w:fill="FFFFFF"/>
        </w:rPr>
      </w:pPr>
      <w:r w:rsidRPr="003D66DD">
        <w:rPr>
          <w:rStyle w:val="normaltextrun"/>
          <w:rFonts w:ascii="Cambria" w:hAnsi="Cambria"/>
          <w:i/>
          <w:color w:val="000000" w:themeColor="text1"/>
          <w:shd w:val="clear" w:color="auto" w:fill="FFFFFF"/>
        </w:rPr>
        <w:t>Gend</w:t>
      </w:r>
      <w:r w:rsidR="0082692A">
        <w:rPr>
          <w:rStyle w:val="normaltextrun"/>
          <w:rFonts w:ascii="Cambria" w:hAnsi="Cambria"/>
          <w:i/>
          <w:color w:val="000000" w:themeColor="text1"/>
          <w:shd w:val="clear" w:color="auto" w:fill="FFFFFF"/>
        </w:rPr>
        <w:t>ered Logic of A</w:t>
      </w:r>
      <w:r w:rsidR="0050774F">
        <w:rPr>
          <w:rStyle w:val="normaltextrun"/>
          <w:rFonts w:ascii="Cambria" w:hAnsi="Cambria"/>
          <w:i/>
          <w:color w:val="000000" w:themeColor="text1"/>
          <w:shd w:val="clear" w:color="auto" w:fill="FFFFFF"/>
        </w:rPr>
        <w:t>ppropriateness</w:t>
      </w:r>
    </w:p>
    <w:p w14:paraId="1C14CA57" w14:textId="69CB8ECB" w:rsidR="00865D2A" w:rsidRPr="009F4FEF" w:rsidRDefault="00865D2A" w:rsidP="009F4FEF">
      <w:pPr>
        <w:pStyle w:val="paragraph"/>
        <w:spacing w:line="360" w:lineRule="auto"/>
        <w:textAlignment w:val="baseline"/>
        <w:rPr>
          <w:rStyle w:val="normaltextrun"/>
          <w:rFonts w:ascii="Cambria" w:hAnsi="Cambria"/>
          <w:shd w:val="clear" w:color="auto" w:fill="FFFFFF"/>
        </w:rPr>
      </w:pPr>
      <w:r w:rsidRPr="003D66DD">
        <w:rPr>
          <w:rStyle w:val="normaltextrun"/>
          <w:rFonts w:ascii="Cambria" w:hAnsi="Cambria"/>
          <w:i/>
          <w:color w:val="000000" w:themeColor="text1"/>
          <w:shd w:val="clear" w:color="auto" w:fill="FFFFFF"/>
        </w:rPr>
        <w:t xml:space="preserve"> </w:t>
      </w:r>
      <w:r w:rsidRPr="003D66DD">
        <w:rPr>
          <w:rFonts w:ascii="Cambria" w:hAnsi="Cambria"/>
        </w:rPr>
        <w:t>Burundian political party culture represents an ongoing barrier for women candidates and elected officials. In local culture, ‘virtuous’ women are not expected to speak in public and therefore risk social censure for perceived inappropriate behaviour. Accordi</w:t>
      </w:r>
      <w:r w:rsidR="0082692A">
        <w:rPr>
          <w:rFonts w:ascii="Cambria" w:hAnsi="Cambria"/>
        </w:rPr>
        <w:t xml:space="preserve">ng to </w:t>
      </w:r>
      <w:proofErr w:type="spellStart"/>
      <w:r w:rsidR="0082692A">
        <w:rPr>
          <w:rFonts w:ascii="Cambria" w:hAnsi="Cambria"/>
        </w:rPr>
        <w:t>Ashild</w:t>
      </w:r>
      <w:proofErr w:type="spellEnd"/>
      <w:r w:rsidR="0082692A">
        <w:rPr>
          <w:rFonts w:ascii="Cambria" w:hAnsi="Cambria"/>
        </w:rPr>
        <w:t xml:space="preserve"> </w:t>
      </w:r>
      <w:proofErr w:type="spellStart"/>
      <w:r w:rsidR="0082692A">
        <w:rPr>
          <w:rFonts w:ascii="Cambria" w:hAnsi="Cambria"/>
        </w:rPr>
        <w:t>Falch’s</w:t>
      </w:r>
      <w:proofErr w:type="spellEnd"/>
      <w:r w:rsidR="0082692A">
        <w:rPr>
          <w:rFonts w:ascii="Cambria" w:hAnsi="Cambria"/>
        </w:rPr>
        <w:t xml:space="preserve"> research, “</w:t>
      </w:r>
      <w:r w:rsidRPr="003D66DD">
        <w:rPr>
          <w:rFonts w:ascii="Cambria" w:hAnsi="Cambria"/>
        </w:rPr>
        <w:t>political leaders are resistant to letting women speak up and engage in political discussions, and women party members often appear to be subordinate to their male colleagues</w:t>
      </w:r>
      <w:r w:rsidR="0082692A">
        <w:rPr>
          <w:rFonts w:ascii="Cambria" w:hAnsi="Cambria"/>
        </w:rPr>
        <w:t>”</w:t>
      </w:r>
      <w:r w:rsidRPr="003D66DD">
        <w:rPr>
          <w:rFonts w:ascii="Cambria" w:hAnsi="Cambria"/>
        </w:rPr>
        <w:t xml:space="preserve"> (</w:t>
      </w:r>
      <w:proofErr w:type="spellStart"/>
      <w:r w:rsidRPr="003D66DD">
        <w:rPr>
          <w:rFonts w:ascii="Cambria" w:hAnsi="Cambria"/>
        </w:rPr>
        <w:t>Falch</w:t>
      </w:r>
      <w:proofErr w:type="spellEnd"/>
      <w:r w:rsidR="0082692A">
        <w:rPr>
          <w:rFonts w:ascii="Cambria" w:hAnsi="Cambria"/>
        </w:rPr>
        <w:t>,</w:t>
      </w:r>
      <w:r w:rsidRPr="003D66DD">
        <w:rPr>
          <w:rFonts w:ascii="Cambria" w:hAnsi="Cambria"/>
        </w:rPr>
        <w:t xml:space="preserve"> 2010:</w:t>
      </w:r>
      <w:r w:rsidR="0082692A">
        <w:rPr>
          <w:rFonts w:ascii="Cambria" w:hAnsi="Cambria"/>
        </w:rPr>
        <w:t xml:space="preserve"> </w:t>
      </w:r>
      <w:r w:rsidRPr="003D66DD">
        <w:rPr>
          <w:rFonts w:ascii="Cambria" w:hAnsi="Cambria"/>
        </w:rPr>
        <w:t>13)</w:t>
      </w:r>
      <w:r w:rsidR="009F4FEF">
        <w:rPr>
          <w:rFonts w:ascii="Cambria" w:hAnsi="Cambria"/>
        </w:rPr>
        <w:t>.</w:t>
      </w:r>
      <w:r w:rsidRPr="003D66DD">
        <w:rPr>
          <w:rFonts w:ascii="Cambria" w:hAnsi="Cambria"/>
        </w:rPr>
        <w:t xml:space="preserve"> </w:t>
      </w:r>
      <w:r w:rsidR="009F4FEF">
        <w:rPr>
          <w:rStyle w:val="normaltextrun"/>
          <w:rFonts w:ascii="Cambria" w:hAnsi="Cambria"/>
          <w:shd w:val="clear" w:color="auto" w:fill="FFFFFF"/>
        </w:rPr>
        <w:t>NGOs argue they “fight to be heard”</w:t>
      </w:r>
      <w:r w:rsidR="009F4FEF" w:rsidRPr="003D66DD">
        <w:rPr>
          <w:rStyle w:val="normaltextrun"/>
          <w:rFonts w:ascii="Cambria" w:hAnsi="Cambria"/>
          <w:shd w:val="clear" w:color="auto" w:fill="FFFFFF"/>
        </w:rPr>
        <w:t xml:space="preserve">, </w:t>
      </w:r>
      <w:r w:rsidR="009F4FEF">
        <w:rPr>
          <w:rStyle w:val="normaltextrun"/>
          <w:rFonts w:ascii="Cambria" w:hAnsi="Cambria"/>
          <w:shd w:val="clear" w:color="auto" w:fill="FFFFFF"/>
        </w:rPr>
        <w:t>and are not routinely consulted because of</w:t>
      </w:r>
      <w:r w:rsidR="009F4FEF" w:rsidRPr="003D66DD">
        <w:rPr>
          <w:rStyle w:val="normaltextrun"/>
          <w:rFonts w:ascii="Cambria" w:hAnsi="Cambria"/>
          <w:shd w:val="clear" w:color="auto" w:fill="FFFFFF"/>
        </w:rPr>
        <w:t xml:space="preserve"> patriarchal cultural assumptions </w:t>
      </w:r>
      <w:r w:rsidR="009F4FEF" w:rsidRPr="003D66DD">
        <w:rPr>
          <w:rStyle w:val="normaltextrun"/>
          <w:rFonts w:ascii="Cambria" w:hAnsi="Cambria"/>
          <w:shd w:val="clear" w:color="auto" w:fill="FFFFFF"/>
        </w:rPr>
        <w:lastRenderedPageBreak/>
        <w:t>that women should not participate in public arenas (UNDP</w:t>
      </w:r>
      <w:r w:rsidR="009F4FEF">
        <w:rPr>
          <w:rStyle w:val="normaltextrun"/>
          <w:rFonts w:ascii="Cambria" w:hAnsi="Cambria"/>
          <w:shd w:val="clear" w:color="auto" w:fill="FFFFFF"/>
        </w:rPr>
        <w:t>,</w:t>
      </w:r>
      <w:r w:rsidR="009F4FEF" w:rsidRPr="003D66DD">
        <w:rPr>
          <w:rStyle w:val="normaltextrun"/>
          <w:rFonts w:ascii="Cambria" w:hAnsi="Cambria"/>
          <w:shd w:val="clear" w:color="auto" w:fill="FFFFFF"/>
        </w:rPr>
        <w:t xml:space="preserve"> 2014: 18). </w:t>
      </w:r>
      <w:r w:rsidRPr="003D66DD">
        <w:rPr>
          <w:rFonts w:ascii="Cambria" w:hAnsi="Cambria"/>
        </w:rPr>
        <w:t xml:space="preserve">In other words, </w:t>
      </w:r>
      <w:r w:rsidRPr="003D66DD">
        <w:rPr>
          <w:rStyle w:val="normaltextrun"/>
          <w:rFonts w:ascii="Cambria" w:hAnsi="Cambria"/>
          <w:color w:val="000000" w:themeColor="text1"/>
          <w:shd w:val="clear" w:color="auto" w:fill="FFFFFF"/>
        </w:rPr>
        <w:t>the logic of appropriateness in political life requires male dominance and female deference, whatever a woman’s formal position or status. Indeed gender</w:t>
      </w:r>
      <w:r w:rsidR="00EF7471">
        <w:rPr>
          <w:rStyle w:val="normaltextrun"/>
          <w:rFonts w:ascii="Cambria" w:hAnsi="Cambria"/>
          <w:color w:val="000000" w:themeColor="text1"/>
          <w:shd w:val="clear" w:color="auto" w:fill="FFFFFF"/>
        </w:rPr>
        <w:t xml:space="preserve"> experts in UN agencies </w:t>
      </w:r>
      <w:r w:rsidR="00AD7CF1">
        <w:rPr>
          <w:rStyle w:val="normaltextrun"/>
          <w:rFonts w:ascii="Cambria" w:hAnsi="Cambria"/>
          <w:color w:val="000000" w:themeColor="text1"/>
          <w:shd w:val="clear" w:color="auto" w:fill="FFFFFF"/>
        </w:rPr>
        <w:t xml:space="preserve">have </w:t>
      </w:r>
      <w:r w:rsidR="00EF7471">
        <w:rPr>
          <w:rStyle w:val="normaltextrun"/>
          <w:rFonts w:ascii="Cambria" w:hAnsi="Cambria"/>
          <w:color w:val="000000" w:themeColor="text1"/>
          <w:shd w:val="clear" w:color="auto" w:fill="FFFFFF"/>
        </w:rPr>
        <w:t>recognis</w:t>
      </w:r>
      <w:r w:rsidRPr="003D66DD">
        <w:rPr>
          <w:rStyle w:val="normaltextrun"/>
          <w:rFonts w:ascii="Cambria" w:hAnsi="Cambria"/>
          <w:color w:val="000000" w:themeColor="text1"/>
          <w:shd w:val="clear" w:color="auto" w:fill="FFFFFF"/>
        </w:rPr>
        <w:t xml:space="preserve">ed that the </w:t>
      </w:r>
      <w:r w:rsidR="00EF7471">
        <w:rPr>
          <w:rFonts w:ascii="Cambria" w:hAnsi="Cambria"/>
        </w:rPr>
        <w:t>sensitis</w:t>
      </w:r>
      <w:r w:rsidRPr="003D66DD">
        <w:rPr>
          <w:rFonts w:ascii="Cambria" w:hAnsi="Cambria"/>
        </w:rPr>
        <w:t>ation strategies and training undertaken i</w:t>
      </w:r>
      <w:r w:rsidR="0082692A">
        <w:rPr>
          <w:rFonts w:ascii="Cambria" w:hAnsi="Cambria"/>
        </w:rPr>
        <w:t xml:space="preserve">n the run up to elections </w:t>
      </w:r>
      <w:r w:rsidR="00AD7CF1">
        <w:rPr>
          <w:rFonts w:ascii="Cambria" w:hAnsi="Cambria"/>
        </w:rPr>
        <w:t>has been</w:t>
      </w:r>
      <w:r w:rsidR="0082692A">
        <w:rPr>
          <w:rFonts w:ascii="Cambria" w:hAnsi="Cambria"/>
        </w:rPr>
        <w:t>, “</w:t>
      </w:r>
      <w:r w:rsidRPr="003D66DD">
        <w:rPr>
          <w:rFonts w:ascii="Cambria" w:hAnsi="Cambria"/>
        </w:rPr>
        <w:t>inade</w:t>
      </w:r>
      <w:r w:rsidR="0082692A">
        <w:rPr>
          <w:rFonts w:ascii="Cambria" w:hAnsi="Cambria"/>
        </w:rPr>
        <w:t>quate for the scale of the task”</w:t>
      </w:r>
      <w:r w:rsidRPr="003D66DD">
        <w:rPr>
          <w:rFonts w:ascii="Cambria" w:hAnsi="Cambria"/>
        </w:rPr>
        <w:t xml:space="preserve"> (UNDP</w:t>
      </w:r>
      <w:r w:rsidR="0082692A">
        <w:rPr>
          <w:rFonts w:ascii="Cambria" w:hAnsi="Cambria"/>
        </w:rPr>
        <w:t>,</w:t>
      </w:r>
      <w:r w:rsidRPr="003D66DD">
        <w:rPr>
          <w:rFonts w:ascii="Cambria" w:hAnsi="Cambria"/>
        </w:rPr>
        <w:t xml:space="preserve"> 2014: 35). In terms of </w:t>
      </w:r>
      <w:r w:rsidR="00AD7CF1">
        <w:rPr>
          <w:rFonts w:ascii="Cambria" w:hAnsi="Cambria"/>
        </w:rPr>
        <w:t xml:space="preserve">the </w:t>
      </w:r>
      <w:r w:rsidRPr="003D66DD">
        <w:rPr>
          <w:rFonts w:ascii="Cambria" w:hAnsi="Cambria"/>
        </w:rPr>
        <w:t>deep rootedness of cultural stereotypes and logics of appropriateness</w:t>
      </w:r>
      <w:r w:rsidR="0082692A">
        <w:rPr>
          <w:rFonts w:ascii="Cambria" w:hAnsi="Cambria"/>
        </w:rPr>
        <w:t>,</w:t>
      </w:r>
      <w:r w:rsidRPr="003D66DD">
        <w:rPr>
          <w:rFonts w:ascii="Cambria" w:hAnsi="Cambria"/>
        </w:rPr>
        <w:t xml:space="preserve"> </w:t>
      </w:r>
      <w:r w:rsidR="00AD7CF1">
        <w:rPr>
          <w:rFonts w:ascii="Cambria" w:hAnsi="Cambria"/>
        </w:rPr>
        <w:t xml:space="preserve">it is increasingly recognised that </w:t>
      </w:r>
      <w:r w:rsidRPr="003D66DD">
        <w:rPr>
          <w:rFonts w:ascii="Cambria" w:hAnsi="Cambria"/>
        </w:rPr>
        <w:t xml:space="preserve">sustained work </w:t>
      </w:r>
      <w:r w:rsidR="00AD7CF1">
        <w:rPr>
          <w:rFonts w:ascii="Cambria" w:hAnsi="Cambria"/>
        </w:rPr>
        <w:t>is</w:t>
      </w:r>
      <w:r w:rsidRPr="003D66DD">
        <w:rPr>
          <w:rFonts w:ascii="Cambria" w:hAnsi="Cambria"/>
        </w:rPr>
        <w:t xml:space="preserve"> required over the long haul.</w:t>
      </w:r>
    </w:p>
    <w:p w14:paraId="65AF0377" w14:textId="24FC5F3E" w:rsidR="00865D2A" w:rsidRPr="003D66DD" w:rsidRDefault="00865D2A" w:rsidP="00865D2A">
      <w:pPr>
        <w:pStyle w:val="paragraph"/>
        <w:spacing w:line="360" w:lineRule="auto"/>
        <w:textAlignment w:val="baseline"/>
        <w:rPr>
          <w:rStyle w:val="normaltextrun"/>
          <w:rFonts w:ascii="Cambria" w:hAnsi="Cambria"/>
          <w:shd w:val="clear" w:color="auto" w:fill="FFFFFF"/>
        </w:rPr>
      </w:pPr>
      <w:r w:rsidRPr="003D66DD">
        <w:rPr>
          <w:rStyle w:val="normaltextrun"/>
          <w:rFonts w:ascii="Cambria" w:hAnsi="Cambria"/>
          <w:shd w:val="clear" w:color="auto" w:fill="FFFFFF"/>
        </w:rPr>
        <w:t>With respect to the prioritisation of stability over transformation, we see this illustrated in the ruling party’s stalling of legislation to reform land rights to enhance women’s right</w:t>
      </w:r>
      <w:r w:rsidR="0082692A">
        <w:rPr>
          <w:rStyle w:val="normaltextrun"/>
          <w:rFonts w:ascii="Cambria" w:hAnsi="Cambria"/>
          <w:shd w:val="clear" w:color="auto" w:fill="FFFFFF"/>
        </w:rPr>
        <w:t xml:space="preserve">s and livelihood, </w:t>
      </w:r>
      <w:r w:rsidRPr="003D66DD">
        <w:rPr>
          <w:rStyle w:val="normaltextrun"/>
          <w:rFonts w:ascii="Cambria" w:hAnsi="Cambria"/>
          <w:shd w:val="clear" w:color="auto" w:fill="FFFFFF"/>
        </w:rPr>
        <w:t>after fears from government elites that new rules might ‘destabilise’ the country (Byrne and McCulloch</w:t>
      </w:r>
      <w:r w:rsidR="0082692A">
        <w:rPr>
          <w:rStyle w:val="normaltextrun"/>
          <w:rFonts w:ascii="Cambria" w:hAnsi="Cambria"/>
          <w:shd w:val="clear" w:color="auto" w:fill="FFFFFF"/>
        </w:rPr>
        <w:t>,</w:t>
      </w:r>
      <w:r w:rsidRPr="003D66DD">
        <w:rPr>
          <w:rStyle w:val="normaltextrun"/>
          <w:rFonts w:ascii="Cambria" w:hAnsi="Cambria"/>
          <w:shd w:val="clear" w:color="auto" w:fill="FFFFFF"/>
        </w:rPr>
        <w:t xml:space="preserve"> 2012).  This, in turn, has reinforced the power of traditional authorities who have filled the vacuum. </w:t>
      </w:r>
    </w:p>
    <w:p w14:paraId="7E727B8F" w14:textId="02145F61" w:rsidR="0050774F" w:rsidRDefault="0082692A" w:rsidP="00865D2A">
      <w:pPr>
        <w:pStyle w:val="paragraph"/>
        <w:spacing w:line="360" w:lineRule="auto"/>
        <w:textAlignment w:val="baseline"/>
        <w:rPr>
          <w:rStyle w:val="normaltextrun"/>
          <w:rFonts w:ascii="Cambria" w:hAnsi="Cambria"/>
          <w:i/>
          <w:color w:val="000000" w:themeColor="text1"/>
          <w:shd w:val="clear" w:color="auto" w:fill="FFFFFF"/>
        </w:rPr>
      </w:pPr>
      <w:r>
        <w:rPr>
          <w:rStyle w:val="normaltextrun"/>
          <w:rFonts w:ascii="Cambria" w:hAnsi="Cambria"/>
          <w:i/>
          <w:color w:val="000000" w:themeColor="text1"/>
          <w:shd w:val="clear" w:color="auto" w:fill="FFFFFF"/>
        </w:rPr>
        <w:t xml:space="preserve">Gendered </w:t>
      </w:r>
      <w:r w:rsidR="00865D2A" w:rsidRPr="003D66DD">
        <w:rPr>
          <w:rStyle w:val="normaltextrun"/>
          <w:rFonts w:ascii="Cambria" w:hAnsi="Cambria"/>
          <w:i/>
          <w:color w:val="000000" w:themeColor="text1"/>
          <w:shd w:val="clear" w:color="auto" w:fill="FFFFFF"/>
        </w:rPr>
        <w:t>Actors</w:t>
      </w:r>
    </w:p>
    <w:p w14:paraId="4E5914FC" w14:textId="39DC1CBE" w:rsidR="00865D2A" w:rsidRPr="003D66DD" w:rsidRDefault="00865D2A" w:rsidP="00865D2A">
      <w:pPr>
        <w:pStyle w:val="paragraph"/>
        <w:spacing w:line="360" w:lineRule="auto"/>
        <w:textAlignment w:val="baseline"/>
        <w:rPr>
          <w:rStyle w:val="normaltextrun"/>
          <w:rFonts w:ascii="Cambria" w:hAnsi="Cambria"/>
          <w:color w:val="000000" w:themeColor="text1"/>
          <w:shd w:val="clear" w:color="auto" w:fill="FFFFFF"/>
        </w:rPr>
      </w:pPr>
      <w:r w:rsidRPr="003D66DD">
        <w:rPr>
          <w:rStyle w:val="normaltextrun"/>
          <w:rFonts w:ascii="Cambria" w:hAnsi="Cambria"/>
          <w:color w:val="000000" w:themeColor="text1"/>
          <w:shd w:val="clear" w:color="auto" w:fill="FFFFFF"/>
        </w:rPr>
        <w:t xml:space="preserve">The Burundi case highlights a common trend in post-conflict contexts where politics is dominated by members of ex-combatant groups, the majority of whom are invariably men. We see the agency of male elites including party leaders </w:t>
      </w:r>
      <w:r w:rsidR="0082692A">
        <w:rPr>
          <w:rStyle w:val="normaltextrun"/>
          <w:rFonts w:ascii="Cambria" w:hAnsi="Cambria"/>
          <w:color w:val="000000" w:themeColor="text1"/>
          <w:shd w:val="clear" w:color="auto" w:fill="FFFFFF"/>
        </w:rPr>
        <w:t>and traditional power holders</w:t>
      </w:r>
      <w:r w:rsidRPr="003D66DD">
        <w:rPr>
          <w:rStyle w:val="normaltextrun"/>
          <w:rFonts w:ascii="Cambria" w:hAnsi="Cambria"/>
          <w:color w:val="000000" w:themeColor="text1"/>
          <w:shd w:val="clear" w:color="auto" w:fill="FFFFFF"/>
        </w:rPr>
        <w:t xml:space="preserve"> and also see the way that the ruling party elite has undermined the formal rules of power-sharing to maximise power. </w:t>
      </w:r>
    </w:p>
    <w:p w14:paraId="4A86D64C" w14:textId="1AAD9F78" w:rsidR="00865D2A" w:rsidRPr="003D66DD" w:rsidRDefault="00865D2A" w:rsidP="00865D2A">
      <w:pPr>
        <w:pStyle w:val="paragraph"/>
        <w:spacing w:line="360" w:lineRule="auto"/>
        <w:textAlignment w:val="baseline"/>
        <w:rPr>
          <w:rStyle w:val="normaltextrun"/>
          <w:rFonts w:ascii="Cambria" w:hAnsi="Cambria"/>
          <w:color w:val="000000" w:themeColor="text1"/>
          <w:shd w:val="clear" w:color="auto" w:fill="FFFFFF"/>
        </w:rPr>
      </w:pPr>
      <w:r w:rsidRPr="003D66DD">
        <w:rPr>
          <w:rStyle w:val="normaltextrun"/>
          <w:rFonts w:ascii="Cambria" w:hAnsi="Cambria"/>
          <w:color w:val="000000" w:themeColor="text1"/>
          <w:shd w:val="clear" w:color="auto" w:fill="FFFFFF"/>
        </w:rPr>
        <w:t xml:space="preserve">Government elite actors may use the </w:t>
      </w:r>
      <w:r w:rsidRPr="003D66DD">
        <w:rPr>
          <w:rFonts w:ascii="Cambria" w:hAnsi="Cambria"/>
        </w:rPr>
        <w:t xml:space="preserve">promotion of gender quotas to please donors, shore up legitimacy, and divert attention away from democratic backsliding and the erosion of power-sharing institutions. They may also use discourses of illegitimacy to discipline female politicians. </w:t>
      </w:r>
      <w:r w:rsidRPr="003D66DD">
        <w:rPr>
          <w:rStyle w:val="normaltextrun"/>
          <w:rFonts w:ascii="Cambria" w:hAnsi="Cambria"/>
          <w:color w:val="000000" w:themeColor="text1"/>
          <w:shd w:val="clear" w:color="auto" w:fill="FFFFFF"/>
        </w:rPr>
        <w:t>Byrne and McCulloch not</w:t>
      </w:r>
      <w:r w:rsidR="0082692A">
        <w:rPr>
          <w:rStyle w:val="normaltextrun"/>
          <w:rFonts w:ascii="Cambria" w:hAnsi="Cambria"/>
          <w:color w:val="000000" w:themeColor="text1"/>
          <w:shd w:val="clear" w:color="auto" w:fill="FFFFFF"/>
        </w:rPr>
        <w:t>e that the legitimacy of ‘quota</w:t>
      </w:r>
      <w:r w:rsidRPr="003D66DD">
        <w:rPr>
          <w:rStyle w:val="normaltextrun"/>
          <w:rFonts w:ascii="Cambria" w:hAnsi="Cambria"/>
          <w:color w:val="000000" w:themeColor="text1"/>
          <w:shd w:val="clear" w:color="auto" w:fill="FFFFFF"/>
        </w:rPr>
        <w:t xml:space="preserve"> women’ is contested, </w:t>
      </w:r>
      <w:r w:rsidRPr="003D66DD">
        <w:rPr>
          <w:rStyle w:val="normaltextrun"/>
          <w:rFonts w:ascii="Cambria" w:hAnsi="Cambria"/>
          <w:shd w:val="clear" w:color="auto" w:fill="FFFFFF"/>
        </w:rPr>
        <w:t xml:space="preserve">their positions represented as tokenistic, not least those elected through co-optation (i.e. where party leaders insert candidates post-election, in instances where the quota has not been met), while an expectation of compliance with male party leadership persists (2012: 574; see also </w:t>
      </w:r>
      <w:proofErr w:type="spellStart"/>
      <w:r w:rsidRPr="003D66DD">
        <w:rPr>
          <w:rStyle w:val="normaltextrun"/>
          <w:rFonts w:ascii="Cambria" w:hAnsi="Cambria"/>
          <w:shd w:val="clear" w:color="auto" w:fill="FFFFFF"/>
        </w:rPr>
        <w:t>Falch</w:t>
      </w:r>
      <w:proofErr w:type="spellEnd"/>
      <w:r w:rsidR="0082692A">
        <w:rPr>
          <w:rStyle w:val="normaltextrun"/>
          <w:rFonts w:ascii="Cambria" w:hAnsi="Cambria"/>
          <w:shd w:val="clear" w:color="auto" w:fill="FFFFFF"/>
        </w:rPr>
        <w:t>,</w:t>
      </w:r>
      <w:r w:rsidRPr="003D66DD">
        <w:rPr>
          <w:rStyle w:val="normaltextrun"/>
          <w:rFonts w:ascii="Cambria" w:hAnsi="Cambria"/>
          <w:shd w:val="clear" w:color="auto" w:fill="FFFFFF"/>
        </w:rPr>
        <w:t xml:space="preserve"> 2010). </w:t>
      </w:r>
      <w:r w:rsidRPr="003D66DD">
        <w:rPr>
          <w:rStyle w:val="normaltextrun"/>
          <w:rFonts w:ascii="Cambria" w:hAnsi="Cambria"/>
          <w:color w:val="000000" w:themeColor="text1"/>
          <w:shd w:val="clear" w:color="auto" w:fill="FFFFFF"/>
        </w:rPr>
        <w:t>This has had consequences for the legitimacy of women politicians, including their standing with women’s civil society movement organisations (UNDP</w:t>
      </w:r>
      <w:r w:rsidR="0082692A">
        <w:rPr>
          <w:rStyle w:val="normaltextrun"/>
          <w:rFonts w:ascii="Cambria" w:hAnsi="Cambria"/>
          <w:color w:val="000000" w:themeColor="text1"/>
          <w:shd w:val="clear" w:color="auto" w:fill="FFFFFF"/>
        </w:rPr>
        <w:t>,</w:t>
      </w:r>
      <w:r w:rsidRPr="003D66DD">
        <w:rPr>
          <w:rStyle w:val="normaltextrun"/>
          <w:rFonts w:ascii="Cambria" w:hAnsi="Cambria"/>
          <w:color w:val="000000" w:themeColor="text1"/>
          <w:shd w:val="clear" w:color="auto" w:fill="FFFFFF"/>
        </w:rPr>
        <w:t xml:space="preserve"> 2014).  </w:t>
      </w:r>
    </w:p>
    <w:p w14:paraId="31D7F7C7" w14:textId="4131F01E" w:rsidR="00865D2A" w:rsidRPr="003D66DD" w:rsidRDefault="00865D2A" w:rsidP="00865D2A">
      <w:pPr>
        <w:pStyle w:val="paragraph"/>
        <w:spacing w:line="360" w:lineRule="auto"/>
        <w:textAlignment w:val="baseline"/>
        <w:rPr>
          <w:rStyle w:val="normaltextrun"/>
          <w:rFonts w:ascii="Cambria" w:hAnsi="Cambria"/>
          <w:color w:val="000000" w:themeColor="text1"/>
          <w:shd w:val="clear" w:color="auto" w:fill="FFFFFF"/>
        </w:rPr>
      </w:pPr>
      <w:r w:rsidRPr="003D66DD">
        <w:rPr>
          <w:rStyle w:val="normaltextrun"/>
          <w:rFonts w:ascii="Cambria" w:hAnsi="Cambria"/>
          <w:color w:val="000000" w:themeColor="text1"/>
          <w:shd w:val="clear" w:color="auto" w:fill="FFFFFF"/>
        </w:rPr>
        <w:lastRenderedPageBreak/>
        <w:t xml:space="preserve">Paradoxically, the espoused elite support for gender equality may </w:t>
      </w:r>
      <w:r w:rsidR="00843C34">
        <w:rPr>
          <w:rStyle w:val="normaltextrun"/>
          <w:rFonts w:ascii="Cambria" w:hAnsi="Cambria"/>
          <w:color w:val="000000" w:themeColor="text1"/>
          <w:shd w:val="clear" w:color="auto" w:fill="FFFFFF"/>
        </w:rPr>
        <w:t xml:space="preserve">have </w:t>
      </w:r>
      <w:r w:rsidRPr="003D66DD">
        <w:rPr>
          <w:rStyle w:val="normaltextrun"/>
          <w:rFonts w:ascii="Cambria" w:hAnsi="Cambria"/>
          <w:color w:val="000000" w:themeColor="text1"/>
          <w:shd w:val="clear" w:color="auto" w:fill="FFFFFF"/>
        </w:rPr>
        <w:t>been used strategically by women’s civil society to advance their agenda. Certainly prior to the crisis of 2015, they enjoyed greater freedom to advocate than did their human rights and good governance counterparts (UNDP</w:t>
      </w:r>
      <w:r w:rsidR="00AD7CF1">
        <w:rPr>
          <w:rStyle w:val="normaltextrun"/>
          <w:rFonts w:ascii="Cambria" w:hAnsi="Cambria"/>
          <w:color w:val="000000" w:themeColor="text1"/>
          <w:shd w:val="clear" w:color="auto" w:fill="FFFFFF"/>
        </w:rPr>
        <w:t>, 2014</w:t>
      </w:r>
      <w:r w:rsidRPr="003D66DD">
        <w:rPr>
          <w:rStyle w:val="normaltextrun"/>
          <w:rFonts w:ascii="Cambria" w:hAnsi="Cambria"/>
          <w:color w:val="000000" w:themeColor="text1"/>
          <w:shd w:val="clear" w:color="auto" w:fill="FFFFFF"/>
        </w:rPr>
        <w:t>), in the context of worsening state-civil society relations and increasing repression (Human Rights Watch</w:t>
      </w:r>
      <w:r w:rsidR="0082692A">
        <w:rPr>
          <w:rStyle w:val="normaltextrun"/>
          <w:rFonts w:ascii="Cambria" w:hAnsi="Cambria"/>
          <w:color w:val="000000" w:themeColor="text1"/>
          <w:shd w:val="clear" w:color="auto" w:fill="FFFFFF"/>
        </w:rPr>
        <w:t>,</w:t>
      </w:r>
      <w:r w:rsidRPr="003D66DD">
        <w:rPr>
          <w:rStyle w:val="normaltextrun"/>
          <w:rFonts w:ascii="Cambria" w:hAnsi="Cambria"/>
          <w:color w:val="000000" w:themeColor="text1"/>
          <w:shd w:val="clear" w:color="auto" w:fill="FFFFFF"/>
        </w:rPr>
        <w:t xml:space="preserve"> 2018).</w:t>
      </w:r>
    </w:p>
    <w:p w14:paraId="454962C9" w14:textId="77777777" w:rsidR="00865D2A" w:rsidRPr="003D66DD" w:rsidRDefault="00865D2A" w:rsidP="00865D2A">
      <w:pPr>
        <w:pStyle w:val="paragraph"/>
        <w:spacing w:line="360" w:lineRule="auto"/>
        <w:textAlignment w:val="baseline"/>
        <w:rPr>
          <w:rStyle w:val="normaltextrun"/>
          <w:rFonts w:ascii="Cambria" w:hAnsi="Cambria"/>
          <w:color w:val="000000" w:themeColor="text1"/>
          <w:shd w:val="clear" w:color="auto" w:fill="FFFFFF"/>
        </w:rPr>
      </w:pPr>
      <w:r w:rsidRPr="003D66DD">
        <w:rPr>
          <w:rStyle w:val="normaltextrun"/>
          <w:rFonts w:ascii="Cambria" w:hAnsi="Cambria"/>
          <w:color w:val="000000" w:themeColor="text1"/>
          <w:shd w:val="clear" w:color="auto" w:fill="FFFFFF"/>
        </w:rPr>
        <w:t xml:space="preserve">The case demonstrates the importance of mobilised women’s groups as gendered actors exercising agency at key points in the process of conflict resolution, transition and beyond, and the effectiveness of appeals to international actors to support their efforts at inclusion. Time-limited alliances between female politicians and women’s civil society have resulted in some legislative gains, despite at times considerable differences of political allegiance and ethnic identity. International agencies and NGOs have also played a pivotal role, especially gender specialists who have provided advocacy and support.   </w:t>
      </w:r>
    </w:p>
    <w:p w14:paraId="4956BD56" w14:textId="1BCBBDAC" w:rsidR="004748CC" w:rsidRDefault="0027037A" w:rsidP="00ED5FA9">
      <w:pPr>
        <w:spacing w:line="360" w:lineRule="auto"/>
        <w:outlineLvl w:val="0"/>
        <w:rPr>
          <w:rFonts w:ascii="Cambria" w:hAnsi="Cambria"/>
          <w:b/>
        </w:rPr>
      </w:pPr>
      <w:r>
        <w:rPr>
          <w:rFonts w:ascii="Cambria" w:hAnsi="Cambria"/>
          <w:b/>
        </w:rPr>
        <w:t>Comparing the C</w:t>
      </w:r>
      <w:r w:rsidR="004748CC" w:rsidRPr="003D66DD">
        <w:rPr>
          <w:rFonts w:ascii="Cambria" w:hAnsi="Cambria"/>
          <w:b/>
        </w:rPr>
        <w:t xml:space="preserve">ases </w:t>
      </w:r>
    </w:p>
    <w:p w14:paraId="723831A5" w14:textId="77777777" w:rsidR="00ED5FA9" w:rsidRPr="00ED5FA9" w:rsidRDefault="00ED5FA9" w:rsidP="00ED5FA9">
      <w:pPr>
        <w:spacing w:line="360" w:lineRule="auto"/>
        <w:outlineLvl w:val="0"/>
        <w:rPr>
          <w:rFonts w:ascii="Cambria" w:hAnsi="Cambria"/>
          <w:b/>
        </w:rPr>
      </w:pPr>
    </w:p>
    <w:p w14:paraId="1FAA778B" w14:textId="1BE05D19" w:rsidR="004748CC" w:rsidRPr="003D66DD" w:rsidRDefault="004748CC" w:rsidP="004748CC">
      <w:pPr>
        <w:spacing w:line="360" w:lineRule="auto"/>
        <w:rPr>
          <w:rFonts w:ascii="Cambria" w:eastAsia="Times New Roman" w:hAnsi="Cambria"/>
          <w:color w:val="000000"/>
        </w:rPr>
      </w:pPr>
      <w:r w:rsidRPr="003D66DD">
        <w:rPr>
          <w:rFonts w:ascii="Cambria" w:eastAsia="Times New Roman" w:hAnsi="Cambria"/>
          <w:color w:val="000000"/>
        </w:rPr>
        <w:t xml:space="preserve">We have drawn upon pioneering extant feminist research on the gendered effects and outcomes of </w:t>
      </w:r>
      <w:r w:rsidR="004228D5" w:rsidRPr="003D66DD">
        <w:rPr>
          <w:rFonts w:ascii="Cambria" w:eastAsia="Times New Roman" w:hAnsi="Cambria"/>
          <w:color w:val="000000"/>
        </w:rPr>
        <w:t>power-sharing</w:t>
      </w:r>
      <w:r w:rsidRPr="003D66DD">
        <w:rPr>
          <w:rFonts w:ascii="Cambria" w:eastAsia="Times New Roman" w:hAnsi="Cambria"/>
          <w:color w:val="000000"/>
        </w:rPr>
        <w:t xml:space="preserve"> settlements in Bosnia and Herz</w:t>
      </w:r>
      <w:r w:rsidR="0027037A">
        <w:rPr>
          <w:rFonts w:ascii="Cambria" w:eastAsia="Times New Roman" w:hAnsi="Cambria"/>
          <w:color w:val="000000"/>
        </w:rPr>
        <w:t>egovin</w:t>
      </w:r>
      <w:r w:rsidRPr="003D66DD">
        <w:rPr>
          <w:rFonts w:ascii="Cambria" w:eastAsia="Times New Roman" w:hAnsi="Cambria"/>
          <w:color w:val="000000"/>
        </w:rPr>
        <w:t xml:space="preserve">a, Northern Ireland and Burundi to explore the potential value of an FI approach in furthering our understanding of the tensions between gender and </w:t>
      </w:r>
      <w:r w:rsidR="004228D5" w:rsidRPr="003D66DD">
        <w:rPr>
          <w:rFonts w:ascii="Cambria" w:eastAsia="Times New Roman" w:hAnsi="Cambria"/>
          <w:color w:val="000000"/>
        </w:rPr>
        <w:t>power-sharing</w:t>
      </w:r>
      <w:r w:rsidRPr="003D66DD">
        <w:rPr>
          <w:rFonts w:ascii="Cambria" w:eastAsia="Times New Roman" w:hAnsi="Cambria"/>
          <w:color w:val="000000"/>
        </w:rPr>
        <w:t xml:space="preserve">. Below we draw together common themes from across the three cases, using our four concepts of: </w:t>
      </w:r>
      <w:r w:rsidRPr="003D66DD">
        <w:rPr>
          <w:rFonts w:ascii="Cambria" w:eastAsia="Times New Roman" w:hAnsi="Cambria"/>
          <w:i/>
          <w:color w:val="000000"/>
        </w:rPr>
        <w:t>nested newness</w:t>
      </w:r>
      <w:r w:rsidRPr="003D66DD">
        <w:rPr>
          <w:rFonts w:ascii="Cambria" w:eastAsia="Times New Roman" w:hAnsi="Cambria"/>
          <w:color w:val="000000"/>
        </w:rPr>
        <w:t xml:space="preserve">, </w:t>
      </w:r>
      <w:r w:rsidRPr="003D66DD">
        <w:rPr>
          <w:rFonts w:ascii="Cambria" w:eastAsia="Times New Roman" w:hAnsi="Cambria"/>
          <w:i/>
          <w:color w:val="000000"/>
        </w:rPr>
        <w:t>formal/informal institutions</w:t>
      </w:r>
      <w:r w:rsidRPr="003D66DD">
        <w:rPr>
          <w:rFonts w:ascii="Cambria" w:eastAsia="Times New Roman" w:hAnsi="Cambria"/>
          <w:color w:val="000000"/>
        </w:rPr>
        <w:t xml:space="preserve">, </w:t>
      </w:r>
      <w:r w:rsidRPr="003D66DD">
        <w:rPr>
          <w:rFonts w:ascii="Cambria" w:eastAsia="Times New Roman" w:hAnsi="Cambria"/>
          <w:i/>
          <w:color w:val="000000"/>
        </w:rPr>
        <w:t>gendered logic of appropriateness</w:t>
      </w:r>
      <w:r w:rsidRPr="003D66DD">
        <w:rPr>
          <w:rFonts w:ascii="Cambria" w:eastAsia="Times New Roman" w:hAnsi="Cambria"/>
          <w:color w:val="000000"/>
        </w:rPr>
        <w:t xml:space="preserve">, and </w:t>
      </w:r>
      <w:r w:rsidRPr="003D66DD">
        <w:rPr>
          <w:rFonts w:ascii="Cambria" w:eastAsia="Times New Roman" w:hAnsi="Cambria"/>
          <w:i/>
          <w:color w:val="000000"/>
        </w:rPr>
        <w:t>gendered actors</w:t>
      </w:r>
      <w:r w:rsidRPr="003D66DD">
        <w:rPr>
          <w:rFonts w:ascii="Cambria" w:eastAsia="Times New Roman" w:hAnsi="Cambria"/>
          <w:color w:val="000000"/>
        </w:rPr>
        <w:t xml:space="preserve"> to examine the puzzle. </w:t>
      </w:r>
    </w:p>
    <w:p w14:paraId="69B8C72A" w14:textId="77777777" w:rsidR="004748CC" w:rsidRPr="003D66DD" w:rsidRDefault="004748CC" w:rsidP="004748CC">
      <w:pPr>
        <w:spacing w:line="360" w:lineRule="auto"/>
        <w:rPr>
          <w:rFonts w:ascii="Cambria" w:eastAsia="Times New Roman" w:hAnsi="Cambria"/>
          <w:color w:val="000000"/>
        </w:rPr>
      </w:pPr>
      <w:r w:rsidRPr="003D66DD">
        <w:rPr>
          <w:rFonts w:ascii="Cambria" w:eastAsia="Times New Roman" w:hAnsi="Cambria"/>
          <w:color w:val="000000"/>
        </w:rPr>
        <w:t xml:space="preserve"> </w:t>
      </w:r>
    </w:p>
    <w:p w14:paraId="70BD94E2" w14:textId="77777777" w:rsidR="004748CC" w:rsidRPr="0027037A" w:rsidRDefault="004748CC" w:rsidP="004228D5">
      <w:pPr>
        <w:spacing w:line="360" w:lineRule="auto"/>
        <w:outlineLvl w:val="0"/>
        <w:rPr>
          <w:rFonts w:ascii="Cambria" w:eastAsia="Times New Roman" w:hAnsi="Cambria"/>
          <w:b/>
          <w:i/>
          <w:color w:val="000000"/>
        </w:rPr>
      </w:pPr>
      <w:r w:rsidRPr="0027037A">
        <w:rPr>
          <w:rFonts w:ascii="Cambria" w:eastAsia="Times New Roman" w:hAnsi="Cambria"/>
          <w:b/>
          <w:i/>
          <w:color w:val="000000"/>
        </w:rPr>
        <w:t>Nested Newness</w:t>
      </w:r>
    </w:p>
    <w:p w14:paraId="3405A142" w14:textId="77777777" w:rsidR="004748CC" w:rsidRPr="003D66DD" w:rsidRDefault="004748CC" w:rsidP="004748CC">
      <w:pPr>
        <w:spacing w:line="360" w:lineRule="auto"/>
        <w:rPr>
          <w:rFonts w:ascii="Cambria" w:eastAsia="Times New Roman" w:hAnsi="Cambria"/>
          <w:color w:val="000000"/>
        </w:rPr>
      </w:pPr>
    </w:p>
    <w:p w14:paraId="57081DE4" w14:textId="77777777" w:rsidR="004748CC" w:rsidRPr="003D66DD" w:rsidRDefault="004748CC" w:rsidP="004748CC">
      <w:pPr>
        <w:spacing w:line="360" w:lineRule="auto"/>
        <w:rPr>
          <w:rFonts w:ascii="Cambria" w:eastAsia="Times New Roman" w:hAnsi="Cambria"/>
          <w:color w:val="000000"/>
        </w:rPr>
      </w:pPr>
      <w:r w:rsidRPr="003D66DD">
        <w:rPr>
          <w:rFonts w:ascii="Cambria" w:eastAsia="Times New Roman" w:hAnsi="Cambria"/>
          <w:color w:val="000000"/>
        </w:rPr>
        <w:t>One of the most important wider contexts within which these cases are embedded is</w:t>
      </w:r>
    </w:p>
    <w:p w14:paraId="6D6FA784" w14:textId="13E43861" w:rsidR="004748CC" w:rsidRPr="003D66DD" w:rsidRDefault="004748CC" w:rsidP="004748CC">
      <w:pPr>
        <w:spacing w:line="360" w:lineRule="auto"/>
        <w:rPr>
          <w:rStyle w:val="normaltextrun"/>
          <w:rFonts w:ascii="Cambria" w:hAnsi="Cambria"/>
        </w:rPr>
      </w:pPr>
      <w:r w:rsidRPr="003D66DD">
        <w:rPr>
          <w:rFonts w:ascii="Cambria" w:eastAsia="Times New Roman" w:hAnsi="Cambria"/>
          <w:color w:val="000000"/>
        </w:rPr>
        <w:t xml:space="preserve">the </w:t>
      </w:r>
      <w:r w:rsidR="00527E40">
        <w:rPr>
          <w:rFonts w:ascii="Cambria" w:eastAsia="Times New Roman" w:hAnsi="Cambria"/>
          <w:color w:val="000000"/>
        </w:rPr>
        <w:t>broa</w:t>
      </w:r>
      <w:r w:rsidRPr="003D66DD">
        <w:rPr>
          <w:rFonts w:ascii="Cambria" w:eastAsia="Times New Roman" w:hAnsi="Cambria"/>
          <w:color w:val="000000"/>
        </w:rPr>
        <w:t>der international system. Of not</w:t>
      </w:r>
      <w:r w:rsidR="007D6505">
        <w:rPr>
          <w:rFonts w:ascii="Cambria" w:eastAsia="Times New Roman" w:hAnsi="Cambria"/>
          <w:color w:val="000000"/>
        </w:rPr>
        <w:t xml:space="preserve">e is the increasing role of </w:t>
      </w:r>
      <w:r w:rsidRPr="003D66DD">
        <w:rPr>
          <w:rFonts w:ascii="Cambria" w:eastAsia="Times New Roman" w:hAnsi="Cambria"/>
          <w:color w:val="000000"/>
        </w:rPr>
        <w:t>international (and sometimes regional) actors in the d</w:t>
      </w:r>
      <w:r w:rsidR="007D6505">
        <w:rPr>
          <w:rFonts w:ascii="Cambria" w:eastAsia="Times New Roman" w:hAnsi="Cambria"/>
          <w:color w:val="000000"/>
        </w:rPr>
        <w:t xml:space="preserve">esign of political settlements and </w:t>
      </w:r>
      <w:r w:rsidRPr="003D66DD">
        <w:rPr>
          <w:rFonts w:ascii="Cambria" w:eastAsia="Times New Roman" w:hAnsi="Cambria"/>
          <w:color w:val="000000"/>
        </w:rPr>
        <w:t>the promotion of international norms, including human rights and gender equality, and the</w:t>
      </w:r>
      <w:r w:rsidR="007D6505">
        <w:rPr>
          <w:rFonts w:ascii="Cambria" w:eastAsia="Times New Roman" w:hAnsi="Cambria"/>
          <w:color w:val="000000"/>
        </w:rPr>
        <w:t>ir</w:t>
      </w:r>
      <w:r w:rsidRPr="003D66DD">
        <w:rPr>
          <w:rFonts w:ascii="Cambria" w:eastAsia="Times New Roman" w:hAnsi="Cambria"/>
          <w:color w:val="000000"/>
        </w:rPr>
        <w:t xml:space="preserve"> ongoing involvement</w:t>
      </w:r>
      <w:r w:rsidR="00527E40">
        <w:rPr>
          <w:rFonts w:ascii="Cambria" w:eastAsia="Times New Roman" w:hAnsi="Cambria"/>
          <w:color w:val="000000"/>
        </w:rPr>
        <w:t xml:space="preserve"> in</w:t>
      </w:r>
      <w:r w:rsidRPr="003D66DD">
        <w:rPr>
          <w:rFonts w:ascii="Cambria" w:eastAsia="Times New Roman" w:hAnsi="Cambria"/>
          <w:color w:val="000000"/>
        </w:rPr>
        <w:t>, and sometimes management of</w:t>
      </w:r>
      <w:r w:rsidR="00527E40">
        <w:rPr>
          <w:rFonts w:ascii="Cambria" w:eastAsia="Times New Roman" w:hAnsi="Cambria"/>
          <w:color w:val="000000"/>
        </w:rPr>
        <w:t>,</w:t>
      </w:r>
      <w:r w:rsidRPr="003D66DD">
        <w:rPr>
          <w:rFonts w:ascii="Cambria" w:eastAsia="Times New Roman" w:hAnsi="Cambria"/>
          <w:color w:val="000000"/>
        </w:rPr>
        <w:t xml:space="preserve"> settlements as part of wider development activities. The three cases sit at the intersection of two burgeoning trends </w:t>
      </w:r>
      <w:r w:rsidRPr="003D66DD">
        <w:rPr>
          <w:rFonts w:ascii="Cambria" w:eastAsia="Times New Roman" w:hAnsi="Cambria"/>
          <w:color w:val="000000"/>
        </w:rPr>
        <w:lastRenderedPageBreak/>
        <w:t xml:space="preserve">in conflict resolution institutional design: </w:t>
      </w:r>
      <w:r w:rsidR="004228D5" w:rsidRPr="003D66DD">
        <w:rPr>
          <w:rFonts w:ascii="Cambria" w:eastAsia="Times New Roman" w:hAnsi="Cambria"/>
          <w:color w:val="000000"/>
        </w:rPr>
        <w:t>power-sharing</w:t>
      </w:r>
      <w:r w:rsidRPr="003D66DD">
        <w:rPr>
          <w:rFonts w:ascii="Cambria" w:eastAsia="Times New Roman" w:hAnsi="Cambria"/>
          <w:color w:val="000000"/>
        </w:rPr>
        <w:t xml:space="preserve"> as the predominant model in theory and in practice, and the promotion of new rules about women’s political inclusion and provision for gender equality (in shorthand, the WPS agenda). Both these institutional trends are gendered: most obviously, reforms such as quotas for women, and gender mainstreaming seek to reform gender hierarchies and improve the descriptive and substantive representation of women; but </w:t>
      </w:r>
      <w:r w:rsidR="004228D5" w:rsidRPr="003D66DD">
        <w:rPr>
          <w:rFonts w:ascii="Cambria" w:eastAsia="Times New Roman" w:hAnsi="Cambria"/>
          <w:color w:val="000000"/>
        </w:rPr>
        <w:t>power-sharing</w:t>
      </w:r>
      <w:r w:rsidRPr="003D66DD">
        <w:rPr>
          <w:rFonts w:ascii="Cambria" w:eastAsia="Times New Roman" w:hAnsi="Cambria"/>
          <w:color w:val="000000"/>
        </w:rPr>
        <w:t xml:space="preserve"> models in practice are also gendered</w:t>
      </w:r>
      <w:r w:rsidR="007D6505">
        <w:rPr>
          <w:rFonts w:ascii="Cambria" w:eastAsia="Times New Roman" w:hAnsi="Cambria"/>
          <w:color w:val="000000"/>
        </w:rPr>
        <w:t>,</w:t>
      </w:r>
      <w:r w:rsidRPr="003D66DD">
        <w:rPr>
          <w:rFonts w:ascii="Cambria" w:eastAsia="Times New Roman" w:hAnsi="Cambria"/>
          <w:color w:val="000000"/>
        </w:rPr>
        <w:t xml:space="preserve"> not least in the privileging of ethno-national identities over gendered or intersectional identities, and the dominance of male political elites and male protagonists. </w:t>
      </w:r>
    </w:p>
    <w:p w14:paraId="6F7A5E2C" w14:textId="77777777" w:rsidR="004748CC" w:rsidRPr="003D66DD" w:rsidRDefault="004748CC" w:rsidP="004748CC">
      <w:pPr>
        <w:spacing w:line="360" w:lineRule="auto"/>
        <w:rPr>
          <w:rFonts w:ascii="Cambria" w:eastAsia="Times New Roman" w:hAnsi="Cambria"/>
          <w:color w:val="000000"/>
        </w:rPr>
      </w:pPr>
    </w:p>
    <w:p w14:paraId="447BBB7D" w14:textId="566F300F" w:rsidR="004748CC" w:rsidRPr="003D66DD" w:rsidRDefault="004748CC" w:rsidP="004748CC">
      <w:pPr>
        <w:spacing w:line="360" w:lineRule="auto"/>
        <w:rPr>
          <w:rFonts w:ascii="Cambria" w:eastAsia="Times New Roman" w:hAnsi="Cambria"/>
          <w:color w:val="000000"/>
        </w:rPr>
      </w:pPr>
      <w:r w:rsidRPr="003D66DD">
        <w:rPr>
          <w:rFonts w:ascii="Cambria" w:eastAsia="Times New Roman" w:hAnsi="Cambria"/>
          <w:color w:val="000000"/>
        </w:rPr>
        <w:t xml:space="preserve">In all three cases, but particularly in </w:t>
      </w:r>
      <w:proofErr w:type="spellStart"/>
      <w:r w:rsidRPr="003D66DD">
        <w:rPr>
          <w:rFonts w:ascii="Cambria" w:eastAsia="Times New Roman" w:hAnsi="Cambria"/>
          <w:color w:val="000000"/>
        </w:rPr>
        <w:t>BiH</w:t>
      </w:r>
      <w:proofErr w:type="spellEnd"/>
      <w:r w:rsidRPr="003D66DD">
        <w:rPr>
          <w:rFonts w:ascii="Cambria" w:eastAsia="Times New Roman" w:hAnsi="Cambria"/>
          <w:color w:val="000000"/>
        </w:rPr>
        <w:t xml:space="preserve">, </w:t>
      </w:r>
      <w:r w:rsidRPr="003D66DD">
        <w:rPr>
          <w:rStyle w:val="normaltextrun"/>
          <w:rFonts w:ascii="Cambria" w:hAnsi="Cambria"/>
        </w:rPr>
        <w:t>international (and other external) actors are observed as legitimising and incentivising ethnic framings, thus marginalising oth</w:t>
      </w:r>
      <w:r w:rsidR="00EF7471">
        <w:rPr>
          <w:rStyle w:val="normaltextrun"/>
          <w:rFonts w:ascii="Cambria" w:hAnsi="Cambria"/>
        </w:rPr>
        <w:t>er forms of identity and mobilis</w:t>
      </w:r>
      <w:r w:rsidRPr="003D66DD">
        <w:rPr>
          <w:rStyle w:val="normaltextrun"/>
          <w:rFonts w:ascii="Cambria" w:hAnsi="Cambria"/>
        </w:rPr>
        <w:t xml:space="preserve">ation. The WPS agenda has found traction, increasing over time and supported by new rules such as UNSCR 1325 and its sister resolutions. </w:t>
      </w:r>
      <w:r w:rsidRPr="003D66DD">
        <w:rPr>
          <w:rFonts w:ascii="Cambria" w:eastAsia="Times New Roman" w:hAnsi="Cambria"/>
          <w:color w:val="000000"/>
        </w:rPr>
        <w:t xml:space="preserve">Whereas gender provisions were absent in </w:t>
      </w:r>
      <w:proofErr w:type="spellStart"/>
      <w:r w:rsidRPr="003D66DD">
        <w:rPr>
          <w:rFonts w:ascii="Cambria" w:eastAsia="Times New Roman" w:hAnsi="Cambria"/>
          <w:color w:val="000000"/>
        </w:rPr>
        <w:t>BiH</w:t>
      </w:r>
      <w:proofErr w:type="spellEnd"/>
      <w:r w:rsidRPr="003D66DD">
        <w:rPr>
          <w:rFonts w:ascii="Cambria" w:eastAsia="Times New Roman" w:hAnsi="Cambria"/>
          <w:color w:val="000000"/>
        </w:rPr>
        <w:t xml:space="preserve">, these claims were prefigured in the advocacy of the NIWC in Northern Ireland, and were </w:t>
      </w:r>
      <w:r w:rsidR="003B4665">
        <w:rPr>
          <w:rFonts w:ascii="Cambria" w:eastAsia="Times New Roman" w:hAnsi="Cambria"/>
          <w:color w:val="000000"/>
        </w:rPr>
        <w:t>integrated</w:t>
      </w:r>
      <w:r w:rsidRPr="003D66DD">
        <w:rPr>
          <w:rFonts w:ascii="Cambria" w:eastAsia="Times New Roman" w:hAnsi="Cambria"/>
          <w:color w:val="000000"/>
        </w:rPr>
        <w:t xml:space="preserve"> </w:t>
      </w:r>
      <w:r w:rsidR="006F6555">
        <w:rPr>
          <w:rFonts w:ascii="Cambria" w:eastAsia="Times New Roman" w:hAnsi="Cambria"/>
          <w:color w:val="000000"/>
        </w:rPr>
        <w:t>into</w:t>
      </w:r>
      <w:r w:rsidRPr="003D66DD">
        <w:rPr>
          <w:rFonts w:ascii="Cambria" w:eastAsia="Times New Roman" w:hAnsi="Cambria"/>
          <w:color w:val="000000"/>
        </w:rPr>
        <w:t xml:space="preserve"> the Burundi </w:t>
      </w:r>
      <w:r w:rsidR="009E4E37" w:rsidRPr="003D66DD">
        <w:rPr>
          <w:rFonts w:ascii="Cambria" w:eastAsia="Times New Roman" w:hAnsi="Cambria"/>
          <w:color w:val="000000"/>
        </w:rPr>
        <w:t xml:space="preserve">process </w:t>
      </w:r>
      <w:r w:rsidRPr="003D66DD">
        <w:rPr>
          <w:rFonts w:ascii="Cambria" w:eastAsia="Times New Roman" w:hAnsi="Cambria"/>
          <w:color w:val="000000"/>
        </w:rPr>
        <w:t>(</w:t>
      </w:r>
      <w:r w:rsidR="006F6555">
        <w:rPr>
          <w:rFonts w:ascii="Cambria" w:eastAsia="Times New Roman" w:hAnsi="Cambria"/>
          <w:color w:val="000000"/>
        </w:rPr>
        <w:t>albeit late in the proceedings</w:t>
      </w:r>
      <w:r w:rsidRPr="003D66DD">
        <w:rPr>
          <w:rFonts w:ascii="Cambria" w:eastAsia="Times New Roman" w:hAnsi="Cambria"/>
          <w:color w:val="000000"/>
        </w:rPr>
        <w:t>). We also see the impact of WPS norms on influencing revisions to settlements</w:t>
      </w:r>
      <w:r w:rsidR="00A87CC7">
        <w:rPr>
          <w:rFonts w:ascii="Cambria" w:eastAsia="Times New Roman" w:hAnsi="Cambria"/>
          <w:color w:val="000000"/>
        </w:rPr>
        <w:t xml:space="preserve">, including in </w:t>
      </w:r>
      <w:proofErr w:type="spellStart"/>
      <w:r w:rsidR="00A87CC7">
        <w:rPr>
          <w:rFonts w:ascii="Cambria" w:eastAsia="Times New Roman" w:hAnsi="Cambria"/>
          <w:color w:val="000000"/>
        </w:rPr>
        <w:t>BiH</w:t>
      </w:r>
      <w:proofErr w:type="spellEnd"/>
      <w:r w:rsidR="00A87CC7">
        <w:rPr>
          <w:rFonts w:ascii="Cambria" w:eastAsia="Times New Roman" w:hAnsi="Cambria"/>
          <w:color w:val="000000"/>
        </w:rPr>
        <w:t>.</w:t>
      </w:r>
      <w:r w:rsidRPr="003D66DD">
        <w:rPr>
          <w:rFonts w:ascii="Cambria" w:eastAsia="Times New Roman" w:hAnsi="Cambria"/>
          <w:color w:val="000000"/>
        </w:rPr>
        <w:t xml:space="preserve"> However, overall</w:t>
      </w:r>
      <w:r w:rsidR="00A87CC7">
        <w:rPr>
          <w:rFonts w:ascii="Cambria" w:eastAsia="Times New Roman" w:hAnsi="Cambria"/>
          <w:color w:val="000000"/>
        </w:rPr>
        <w:t>, the impact of WPS norms</w:t>
      </w:r>
      <w:r w:rsidRPr="003D66DD">
        <w:rPr>
          <w:rFonts w:ascii="Cambria" w:eastAsia="Times New Roman" w:hAnsi="Cambria"/>
          <w:color w:val="000000"/>
        </w:rPr>
        <w:t xml:space="preserve"> </w:t>
      </w:r>
      <w:r w:rsidR="00A87CC7">
        <w:rPr>
          <w:rFonts w:ascii="Cambria" w:eastAsia="Times New Roman" w:hAnsi="Cambria"/>
          <w:color w:val="000000"/>
        </w:rPr>
        <w:t>remains</w:t>
      </w:r>
      <w:r w:rsidRPr="003D66DD">
        <w:rPr>
          <w:rFonts w:ascii="Cambria" w:eastAsia="Times New Roman" w:hAnsi="Cambria"/>
          <w:color w:val="000000"/>
        </w:rPr>
        <w:t xml:space="preserve"> </w:t>
      </w:r>
      <w:r w:rsidRPr="003D66DD">
        <w:rPr>
          <w:rStyle w:val="normaltextrun"/>
          <w:rFonts w:ascii="Cambria" w:hAnsi="Cambria"/>
        </w:rPr>
        <w:t xml:space="preserve">limited.  </w:t>
      </w:r>
    </w:p>
    <w:p w14:paraId="5BE3FE7A" w14:textId="77777777" w:rsidR="006F6555" w:rsidRDefault="006F6555" w:rsidP="004748CC">
      <w:pPr>
        <w:spacing w:line="360" w:lineRule="auto"/>
        <w:rPr>
          <w:rFonts w:ascii="Cambria" w:eastAsia="Times New Roman" w:hAnsi="Cambria"/>
          <w:color w:val="000000"/>
        </w:rPr>
      </w:pPr>
    </w:p>
    <w:p w14:paraId="59D48DD7" w14:textId="1DC94193" w:rsidR="004748CC" w:rsidRPr="003D66DD" w:rsidRDefault="004748CC" w:rsidP="004748CC">
      <w:pPr>
        <w:spacing w:line="360" w:lineRule="auto"/>
        <w:rPr>
          <w:rFonts w:ascii="Cambria" w:eastAsia="Times New Roman" w:hAnsi="Cambria"/>
          <w:color w:val="000000"/>
        </w:rPr>
      </w:pPr>
      <w:r w:rsidRPr="003D66DD">
        <w:rPr>
          <w:rFonts w:ascii="Cambria" w:eastAsia="Times New Roman" w:hAnsi="Cambria"/>
          <w:color w:val="000000"/>
        </w:rPr>
        <w:t>In terms of legacies, there are important continuities</w:t>
      </w:r>
      <w:r w:rsidR="002917FD">
        <w:rPr>
          <w:rFonts w:ascii="Cambria" w:eastAsia="Times New Roman" w:hAnsi="Cambria"/>
          <w:color w:val="000000"/>
        </w:rPr>
        <w:t xml:space="preserve"> in terms of political cultures</w:t>
      </w:r>
      <w:r w:rsidRPr="003D66DD">
        <w:rPr>
          <w:rFonts w:ascii="Cambria" w:eastAsia="Times New Roman" w:hAnsi="Cambria"/>
          <w:color w:val="000000"/>
        </w:rPr>
        <w:t xml:space="preserve"> and traditional gendered social hierarchies</w:t>
      </w:r>
      <w:r w:rsidR="00527E40">
        <w:rPr>
          <w:rFonts w:ascii="Cambria" w:eastAsia="Times New Roman" w:hAnsi="Cambria"/>
          <w:color w:val="000000"/>
        </w:rPr>
        <w:t>,</w:t>
      </w:r>
      <w:r w:rsidRPr="003D66DD">
        <w:rPr>
          <w:rFonts w:ascii="Cambria" w:eastAsia="Times New Roman" w:hAnsi="Cambria"/>
          <w:color w:val="000000"/>
        </w:rPr>
        <w:t xml:space="preserve"> which have worked to dilute change.</w:t>
      </w:r>
    </w:p>
    <w:p w14:paraId="4A524C5E" w14:textId="77777777" w:rsidR="004748CC" w:rsidRPr="003D66DD" w:rsidRDefault="004748CC" w:rsidP="004748CC">
      <w:pPr>
        <w:spacing w:line="360" w:lineRule="auto"/>
        <w:rPr>
          <w:rFonts w:ascii="Cambria" w:eastAsia="Times New Roman" w:hAnsi="Cambria"/>
          <w:color w:val="000000"/>
        </w:rPr>
      </w:pPr>
    </w:p>
    <w:p w14:paraId="52489521" w14:textId="5D06AD0C" w:rsidR="004748CC" w:rsidRPr="007D6505" w:rsidRDefault="007D6505" w:rsidP="004228D5">
      <w:pPr>
        <w:spacing w:line="360" w:lineRule="auto"/>
        <w:outlineLvl w:val="0"/>
        <w:rPr>
          <w:rFonts w:ascii="Cambria" w:eastAsia="Times New Roman" w:hAnsi="Cambria"/>
          <w:b/>
          <w:i/>
          <w:color w:val="000000"/>
        </w:rPr>
      </w:pPr>
      <w:r w:rsidRPr="007D6505">
        <w:rPr>
          <w:rFonts w:ascii="Cambria" w:eastAsia="Times New Roman" w:hAnsi="Cambria"/>
          <w:b/>
          <w:i/>
          <w:color w:val="000000"/>
        </w:rPr>
        <w:t>Formal/Informal Institutions</w:t>
      </w:r>
      <w:r w:rsidR="004748CC" w:rsidRPr="007D6505">
        <w:rPr>
          <w:rFonts w:ascii="Cambria" w:eastAsia="Times New Roman" w:hAnsi="Cambria"/>
          <w:b/>
          <w:i/>
          <w:color w:val="000000"/>
        </w:rPr>
        <w:t xml:space="preserve"> </w:t>
      </w:r>
    </w:p>
    <w:p w14:paraId="458DEACE" w14:textId="77777777" w:rsidR="004748CC" w:rsidRPr="003D66DD" w:rsidRDefault="004748CC" w:rsidP="004748CC">
      <w:pPr>
        <w:spacing w:line="360" w:lineRule="auto"/>
        <w:rPr>
          <w:rFonts w:ascii="Cambria" w:eastAsia="Times New Roman" w:hAnsi="Cambria"/>
          <w:color w:val="000000"/>
        </w:rPr>
      </w:pPr>
    </w:p>
    <w:p w14:paraId="7075B62D" w14:textId="76F9F782" w:rsidR="004748CC" w:rsidRPr="003D66DD" w:rsidRDefault="004748CC" w:rsidP="004748CC">
      <w:pPr>
        <w:spacing w:line="360" w:lineRule="auto"/>
        <w:rPr>
          <w:rFonts w:ascii="Cambria" w:eastAsia="Times New Roman" w:hAnsi="Cambria"/>
          <w:color w:val="000000"/>
        </w:rPr>
      </w:pPr>
      <w:r w:rsidRPr="003D66DD">
        <w:rPr>
          <w:rFonts w:ascii="Cambria" w:eastAsia="Times New Roman" w:hAnsi="Cambria"/>
          <w:color w:val="000000"/>
        </w:rPr>
        <w:t xml:space="preserve">Formal rules matter, and the cases </w:t>
      </w:r>
      <w:r w:rsidR="00527E40">
        <w:rPr>
          <w:rFonts w:ascii="Cambria" w:eastAsia="Times New Roman" w:hAnsi="Cambria"/>
          <w:color w:val="000000"/>
        </w:rPr>
        <w:t xml:space="preserve">examined here </w:t>
      </w:r>
      <w:r w:rsidRPr="003D66DD">
        <w:rPr>
          <w:rFonts w:ascii="Cambria" w:eastAsia="Times New Roman" w:hAnsi="Cambria"/>
          <w:color w:val="000000"/>
        </w:rPr>
        <w:t>demonstrate the varying effects of formal rule</w:t>
      </w:r>
      <w:r w:rsidR="009E4E37" w:rsidRPr="003D66DD">
        <w:rPr>
          <w:rFonts w:ascii="Cambria" w:eastAsia="Times New Roman" w:hAnsi="Cambria"/>
          <w:color w:val="000000"/>
        </w:rPr>
        <w:t>s, intended and unintended. F</w:t>
      </w:r>
      <w:r w:rsidRPr="003D66DD">
        <w:rPr>
          <w:rFonts w:ascii="Cambria" w:eastAsia="Times New Roman" w:hAnsi="Cambria"/>
          <w:color w:val="000000"/>
        </w:rPr>
        <w:t>or example</w:t>
      </w:r>
      <w:r w:rsidR="009E4E37" w:rsidRPr="003D66DD">
        <w:rPr>
          <w:rFonts w:ascii="Cambria" w:eastAsia="Times New Roman" w:hAnsi="Cambria"/>
          <w:color w:val="000000"/>
        </w:rPr>
        <w:t>,</w:t>
      </w:r>
      <w:r w:rsidRPr="003D66DD">
        <w:rPr>
          <w:rFonts w:ascii="Cambria" w:eastAsia="Times New Roman" w:hAnsi="Cambria"/>
          <w:color w:val="000000"/>
        </w:rPr>
        <w:t xml:space="preserve"> formal quotas have delivered as intended in terms of descriptive representation in Burundi</w:t>
      </w:r>
      <w:r w:rsidR="00527E40">
        <w:rPr>
          <w:rFonts w:ascii="Cambria" w:eastAsia="Times New Roman" w:hAnsi="Cambria"/>
          <w:color w:val="000000"/>
        </w:rPr>
        <w:t>,</w:t>
      </w:r>
      <w:r w:rsidRPr="003D66DD">
        <w:rPr>
          <w:rFonts w:ascii="Cambria" w:eastAsia="Times New Roman" w:hAnsi="Cambria"/>
          <w:color w:val="000000"/>
        </w:rPr>
        <w:t xml:space="preserve"> but the </w:t>
      </w:r>
      <w:r w:rsidRPr="003D66DD">
        <w:rPr>
          <w:rFonts w:ascii="Cambria" w:eastAsia="Times New Roman" w:hAnsi="Cambria"/>
          <w:color w:val="000000" w:themeColor="text1"/>
        </w:rPr>
        <w:t>enforcement mechanism of co-optation has diminished female politicians’ legitimacy</w:t>
      </w:r>
      <w:r w:rsidR="009E4E37" w:rsidRPr="003D66DD">
        <w:rPr>
          <w:rFonts w:ascii="Cambria" w:eastAsia="Times New Roman" w:hAnsi="Cambria"/>
          <w:color w:val="000000" w:themeColor="text1"/>
        </w:rPr>
        <w:t>.</w:t>
      </w:r>
      <w:r w:rsidR="009E4E37" w:rsidRPr="003D66DD">
        <w:rPr>
          <w:rFonts w:ascii="Cambria" w:eastAsia="Times New Roman" w:hAnsi="Cambria"/>
          <w:color w:val="000000"/>
        </w:rPr>
        <w:t xml:space="preserve"> I</w:t>
      </w:r>
      <w:r w:rsidRPr="003D66DD">
        <w:rPr>
          <w:rFonts w:ascii="Cambria" w:eastAsia="Times New Roman" w:hAnsi="Cambria"/>
          <w:color w:val="000000"/>
        </w:rPr>
        <w:t xml:space="preserve">nstitutional </w:t>
      </w:r>
      <w:r w:rsidR="004228D5" w:rsidRPr="003D66DD">
        <w:rPr>
          <w:rFonts w:ascii="Cambria" w:eastAsia="Times New Roman" w:hAnsi="Cambria"/>
          <w:color w:val="000000"/>
        </w:rPr>
        <w:t>power-sharing</w:t>
      </w:r>
      <w:r w:rsidRPr="003D66DD">
        <w:rPr>
          <w:rFonts w:ascii="Cambria" w:eastAsia="Times New Roman" w:hAnsi="Cambria"/>
          <w:color w:val="000000"/>
        </w:rPr>
        <w:t xml:space="preserve"> design</w:t>
      </w:r>
      <w:r w:rsidR="009E4E37" w:rsidRPr="003D66DD">
        <w:rPr>
          <w:rFonts w:ascii="Cambria" w:eastAsia="Times New Roman" w:hAnsi="Cambria"/>
          <w:color w:val="000000"/>
        </w:rPr>
        <w:t xml:space="preserve"> features in all three cases have</w:t>
      </w:r>
      <w:r w:rsidR="00EF7471">
        <w:rPr>
          <w:rFonts w:ascii="Cambria" w:eastAsia="Times New Roman" w:hAnsi="Cambria"/>
          <w:color w:val="000000"/>
        </w:rPr>
        <w:t xml:space="preserve"> led to the polaris</w:t>
      </w:r>
      <w:r w:rsidRPr="003D66DD">
        <w:rPr>
          <w:rFonts w:ascii="Cambria" w:eastAsia="Times New Roman" w:hAnsi="Cambria"/>
          <w:color w:val="000000"/>
        </w:rPr>
        <w:t>ation of political parties</w:t>
      </w:r>
      <w:r w:rsidR="009E4E37" w:rsidRPr="003D66DD">
        <w:rPr>
          <w:rFonts w:ascii="Cambria" w:eastAsia="Times New Roman" w:hAnsi="Cambria"/>
          <w:color w:val="000000"/>
        </w:rPr>
        <w:t>, and the ‘freezing’ of ethno-national identities</w:t>
      </w:r>
      <w:r w:rsidRPr="003D66DD">
        <w:rPr>
          <w:rFonts w:ascii="Cambria" w:eastAsia="Times New Roman" w:hAnsi="Cambria"/>
          <w:color w:val="000000"/>
        </w:rPr>
        <w:t xml:space="preserve">. </w:t>
      </w:r>
      <w:r w:rsidR="009E4E37" w:rsidRPr="003D66DD">
        <w:rPr>
          <w:rFonts w:ascii="Cambria" w:eastAsia="Times New Roman" w:hAnsi="Cambria"/>
          <w:color w:val="000000"/>
        </w:rPr>
        <w:t>The</w:t>
      </w:r>
      <w:r w:rsidR="00F159B5">
        <w:rPr>
          <w:rFonts w:ascii="Cambria" w:eastAsia="Times New Roman" w:hAnsi="Cambria"/>
          <w:color w:val="000000"/>
        </w:rPr>
        <w:t>se</w:t>
      </w:r>
      <w:r w:rsidR="009E4E37" w:rsidRPr="003D66DD">
        <w:rPr>
          <w:rFonts w:ascii="Cambria" w:eastAsia="Times New Roman" w:hAnsi="Cambria"/>
          <w:color w:val="000000"/>
        </w:rPr>
        <w:t xml:space="preserve"> three cases expose</w:t>
      </w:r>
      <w:r w:rsidRPr="003D66DD">
        <w:rPr>
          <w:rFonts w:ascii="Cambria" w:eastAsia="Times New Roman" w:hAnsi="Cambria"/>
          <w:color w:val="000000"/>
        </w:rPr>
        <w:t xml:space="preserve"> the tension between two sets of formal rules, those pertaining to</w:t>
      </w:r>
      <w:r w:rsidR="006937FF" w:rsidRPr="003D66DD">
        <w:rPr>
          <w:rFonts w:ascii="Cambria" w:eastAsia="Times New Roman" w:hAnsi="Cambria"/>
          <w:color w:val="000000"/>
        </w:rPr>
        <w:t xml:space="preserve"> </w:t>
      </w:r>
      <w:r w:rsidR="004228D5" w:rsidRPr="003D66DD">
        <w:rPr>
          <w:rFonts w:ascii="Cambria" w:eastAsia="Times New Roman" w:hAnsi="Cambria"/>
          <w:color w:val="000000"/>
        </w:rPr>
        <w:t>power-sharing</w:t>
      </w:r>
      <w:r w:rsidR="006937FF" w:rsidRPr="003D66DD">
        <w:rPr>
          <w:rFonts w:ascii="Cambria" w:eastAsia="Times New Roman" w:hAnsi="Cambria"/>
          <w:color w:val="000000"/>
        </w:rPr>
        <w:t xml:space="preserve">, </w:t>
      </w:r>
      <w:r w:rsidRPr="003D66DD">
        <w:rPr>
          <w:rFonts w:ascii="Cambria" w:eastAsia="Times New Roman" w:hAnsi="Cambria"/>
          <w:color w:val="000000"/>
        </w:rPr>
        <w:lastRenderedPageBreak/>
        <w:t>particularly political</w:t>
      </w:r>
      <w:r w:rsidR="006937FF" w:rsidRPr="003D66DD">
        <w:rPr>
          <w:rFonts w:ascii="Cambria" w:eastAsia="Times New Roman" w:hAnsi="Cambria"/>
          <w:color w:val="000000"/>
        </w:rPr>
        <w:t xml:space="preserve"> </w:t>
      </w:r>
      <w:r w:rsidR="004228D5" w:rsidRPr="003D66DD">
        <w:rPr>
          <w:rFonts w:ascii="Cambria" w:eastAsia="Times New Roman" w:hAnsi="Cambria"/>
          <w:color w:val="000000"/>
        </w:rPr>
        <w:t>power-sharing</w:t>
      </w:r>
      <w:r w:rsidR="006937FF" w:rsidRPr="003D66DD">
        <w:rPr>
          <w:rFonts w:ascii="Cambria" w:eastAsia="Times New Roman" w:hAnsi="Cambria"/>
          <w:color w:val="000000"/>
        </w:rPr>
        <w:t>,</w:t>
      </w:r>
      <w:r w:rsidRPr="003D66DD">
        <w:rPr>
          <w:rFonts w:ascii="Cambria" w:eastAsia="Times New Roman" w:hAnsi="Cambria"/>
          <w:color w:val="000000"/>
        </w:rPr>
        <w:t xml:space="preserve"> and those promoting WPS norms through various formal provision</w:t>
      </w:r>
      <w:r w:rsidR="007D6505">
        <w:rPr>
          <w:rFonts w:ascii="Cambria" w:eastAsia="Times New Roman" w:hAnsi="Cambria"/>
          <w:color w:val="000000"/>
        </w:rPr>
        <w:t>s</w:t>
      </w:r>
      <w:r w:rsidRPr="003D66DD">
        <w:rPr>
          <w:rFonts w:ascii="Cambria" w:eastAsia="Times New Roman" w:hAnsi="Cambria"/>
          <w:color w:val="000000"/>
        </w:rPr>
        <w:t xml:space="preserve"> for the inclusion of women and for reforms to promote gender equality. </w:t>
      </w:r>
    </w:p>
    <w:p w14:paraId="6EDAD847" w14:textId="77777777" w:rsidR="004748CC" w:rsidRPr="003D66DD" w:rsidRDefault="004748CC" w:rsidP="004748CC">
      <w:pPr>
        <w:spacing w:line="360" w:lineRule="auto"/>
        <w:rPr>
          <w:rFonts w:ascii="Cambria" w:eastAsia="Times New Roman" w:hAnsi="Cambria"/>
          <w:color w:val="000000"/>
        </w:rPr>
      </w:pPr>
    </w:p>
    <w:p w14:paraId="57F7EC68" w14:textId="06E0EAAD" w:rsidR="00B14904" w:rsidRPr="003D66DD" w:rsidRDefault="004748CC" w:rsidP="006937FF">
      <w:pPr>
        <w:spacing w:line="360" w:lineRule="auto"/>
        <w:rPr>
          <w:rFonts w:ascii="Cambria" w:eastAsia="Times New Roman" w:hAnsi="Cambria"/>
          <w:color w:val="000000"/>
        </w:rPr>
      </w:pPr>
      <w:r w:rsidRPr="003D66DD">
        <w:rPr>
          <w:rFonts w:ascii="Cambria" w:eastAsia="Times New Roman" w:hAnsi="Cambria"/>
          <w:color w:val="000000"/>
        </w:rPr>
        <w:t xml:space="preserve">Across all three cases, our </w:t>
      </w:r>
      <w:r w:rsidR="006937FF" w:rsidRPr="003D66DD">
        <w:rPr>
          <w:rFonts w:ascii="Cambria" w:eastAsia="Times New Roman" w:hAnsi="Cambria"/>
          <w:color w:val="000000"/>
        </w:rPr>
        <w:t>FI lens</w:t>
      </w:r>
      <w:r w:rsidRPr="003D66DD">
        <w:rPr>
          <w:rFonts w:ascii="Cambria" w:eastAsia="Times New Roman" w:hAnsi="Cambria"/>
          <w:color w:val="000000"/>
        </w:rPr>
        <w:t xml:space="preserve"> reveals the </w:t>
      </w:r>
      <w:r w:rsidR="006937FF" w:rsidRPr="003D66DD">
        <w:rPr>
          <w:rFonts w:ascii="Cambria" w:eastAsia="Times New Roman" w:hAnsi="Cambria"/>
          <w:color w:val="000000"/>
        </w:rPr>
        <w:t xml:space="preserve">equal </w:t>
      </w:r>
      <w:r w:rsidRPr="003D66DD">
        <w:rPr>
          <w:rFonts w:ascii="Cambria" w:eastAsia="Times New Roman" w:hAnsi="Cambria"/>
          <w:color w:val="000000"/>
        </w:rPr>
        <w:t>importance of informal institutions (rules, norms and practices)</w:t>
      </w:r>
      <w:r w:rsidR="006937FF" w:rsidRPr="003D66DD">
        <w:rPr>
          <w:rFonts w:ascii="Cambria" w:eastAsia="Times New Roman" w:hAnsi="Cambria"/>
          <w:color w:val="000000"/>
        </w:rPr>
        <w:t xml:space="preserve"> </w:t>
      </w:r>
      <w:r w:rsidR="00F159B5">
        <w:rPr>
          <w:rFonts w:ascii="Cambria" w:eastAsia="Times New Roman" w:hAnsi="Cambria"/>
          <w:color w:val="000000"/>
        </w:rPr>
        <w:t xml:space="preserve">alongside the </w:t>
      </w:r>
      <w:r w:rsidR="006937FF" w:rsidRPr="003D66DD">
        <w:rPr>
          <w:rFonts w:ascii="Cambria" w:eastAsia="Times New Roman" w:hAnsi="Cambria"/>
          <w:color w:val="000000"/>
        </w:rPr>
        <w:t>formal</w:t>
      </w:r>
      <w:r w:rsidRPr="003D66DD">
        <w:rPr>
          <w:rFonts w:ascii="Cambria" w:eastAsia="Times New Roman" w:hAnsi="Cambria"/>
          <w:color w:val="000000"/>
        </w:rPr>
        <w:t xml:space="preserve">.  Most often these informal institutions have worked not to coordinate but to resolve the contradictions between ethno-national power-sharing and gender-sensitive inclusion rules in favour of ethno-national identities and elites, and the gender status quo. </w:t>
      </w:r>
      <w:r w:rsidR="00924E66">
        <w:rPr>
          <w:rFonts w:ascii="Cambria" w:eastAsia="Times New Roman" w:hAnsi="Cambria"/>
          <w:color w:val="000000"/>
        </w:rPr>
        <w:t>To be sure,</w:t>
      </w:r>
      <w:r w:rsidRPr="003D66DD">
        <w:rPr>
          <w:rFonts w:ascii="Cambria" w:eastAsia="Times New Roman" w:hAnsi="Cambria"/>
          <w:color w:val="000000"/>
        </w:rPr>
        <w:t xml:space="preserve"> there have been instances where ‘completing’ institutions have been created to ‘fill in the gaps’ in the formal rules, for example the raft of new gende</w:t>
      </w:r>
      <w:r w:rsidR="00924E66">
        <w:rPr>
          <w:rFonts w:ascii="Cambria" w:eastAsia="Times New Roman" w:hAnsi="Cambria"/>
          <w:color w:val="000000"/>
        </w:rPr>
        <w:t xml:space="preserve">r provisions in </w:t>
      </w:r>
      <w:proofErr w:type="spellStart"/>
      <w:r w:rsidR="00924E66">
        <w:rPr>
          <w:rFonts w:ascii="Cambria" w:eastAsia="Times New Roman" w:hAnsi="Cambria"/>
          <w:color w:val="000000"/>
        </w:rPr>
        <w:t>BiH</w:t>
      </w:r>
      <w:proofErr w:type="spellEnd"/>
      <w:r w:rsidR="00924E66">
        <w:rPr>
          <w:rFonts w:ascii="Cambria" w:eastAsia="Times New Roman" w:hAnsi="Cambria"/>
          <w:color w:val="000000"/>
        </w:rPr>
        <w:t xml:space="preserve">. However, the weight of </w:t>
      </w:r>
      <w:r w:rsidR="006937FF" w:rsidRPr="003D66DD">
        <w:rPr>
          <w:rFonts w:ascii="Cambria" w:eastAsia="Times New Roman" w:hAnsi="Cambria"/>
          <w:color w:val="000000"/>
        </w:rPr>
        <w:t xml:space="preserve">evidence from </w:t>
      </w:r>
      <w:r w:rsidRPr="003D66DD">
        <w:rPr>
          <w:rFonts w:ascii="Cambria" w:eastAsia="Times New Roman" w:hAnsi="Cambria"/>
          <w:color w:val="000000"/>
        </w:rPr>
        <w:t xml:space="preserve">the cases </w:t>
      </w:r>
      <w:r w:rsidR="00D45B63" w:rsidRPr="003D66DD">
        <w:rPr>
          <w:rFonts w:ascii="Cambria" w:eastAsia="Times New Roman" w:hAnsi="Cambria"/>
          <w:color w:val="000000"/>
        </w:rPr>
        <w:t>point</w:t>
      </w:r>
      <w:r w:rsidR="00924E66">
        <w:rPr>
          <w:rFonts w:ascii="Cambria" w:eastAsia="Times New Roman" w:hAnsi="Cambria"/>
          <w:color w:val="000000"/>
        </w:rPr>
        <w:t>s</w:t>
      </w:r>
      <w:r w:rsidR="00D45B63" w:rsidRPr="003D66DD">
        <w:rPr>
          <w:rFonts w:ascii="Cambria" w:eastAsia="Times New Roman" w:hAnsi="Cambria"/>
          <w:color w:val="000000"/>
        </w:rPr>
        <w:t xml:space="preserve"> to the</w:t>
      </w:r>
      <w:r w:rsidRPr="003D66DD">
        <w:rPr>
          <w:rFonts w:ascii="Cambria" w:eastAsia="Times New Roman" w:hAnsi="Cambria"/>
          <w:color w:val="000000"/>
        </w:rPr>
        <w:t xml:space="preserve"> </w:t>
      </w:r>
      <w:r w:rsidRPr="003D66DD">
        <w:rPr>
          <w:rFonts w:ascii="Cambria" w:hAnsi="Cambria"/>
        </w:rPr>
        <w:t xml:space="preserve">lack of completing, complementary or reinforcing informal institutions that would help to institutionalise new gender rules. </w:t>
      </w:r>
    </w:p>
    <w:p w14:paraId="398E4279" w14:textId="77777777" w:rsidR="006937FF" w:rsidRPr="003D66DD" w:rsidRDefault="006937FF" w:rsidP="006937FF">
      <w:pPr>
        <w:spacing w:line="360" w:lineRule="auto"/>
        <w:rPr>
          <w:rFonts w:ascii="Cambria" w:eastAsia="Times New Roman" w:hAnsi="Cambria"/>
          <w:color w:val="000000"/>
        </w:rPr>
      </w:pPr>
    </w:p>
    <w:p w14:paraId="7ABEF2BE" w14:textId="176C2811" w:rsidR="007367CF" w:rsidRPr="003D66DD" w:rsidRDefault="00924E66" w:rsidP="006B5AE6">
      <w:pPr>
        <w:spacing w:line="360" w:lineRule="auto"/>
        <w:rPr>
          <w:rFonts w:ascii="Cambria" w:eastAsia="Times New Roman" w:hAnsi="Cambria"/>
          <w:color w:val="000000"/>
        </w:rPr>
      </w:pPr>
      <w:r>
        <w:rPr>
          <w:rFonts w:ascii="Cambria" w:eastAsia="Times New Roman" w:hAnsi="Cambria"/>
          <w:color w:val="000000"/>
        </w:rPr>
        <w:t>The</w:t>
      </w:r>
      <w:r w:rsidR="004748CC" w:rsidRPr="003D66DD">
        <w:rPr>
          <w:rFonts w:ascii="Cambria" w:eastAsia="Times New Roman" w:hAnsi="Cambria"/>
          <w:color w:val="000000"/>
        </w:rPr>
        <w:t xml:space="preserve"> informal institution </w:t>
      </w:r>
      <w:r w:rsidR="00370A44" w:rsidRPr="003D66DD">
        <w:rPr>
          <w:rFonts w:ascii="Cambria" w:eastAsia="Times New Roman" w:hAnsi="Cambria"/>
          <w:color w:val="000000"/>
        </w:rPr>
        <w:t xml:space="preserve">of </w:t>
      </w:r>
      <w:proofErr w:type="spellStart"/>
      <w:r w:rsidR="00370A44" w:rsidRPr="003D66DD">
        <w:rPr>
          <w:rFonts w:ascii="Cambria" w:eastAsia="Times New Roman" w:hAnsi="Cambria"/>
          <w:color w:val="000000"/>
        </w:rPr>
        <w:t>clientelism</w:t>
      </w:r>
      <w:proofErr w:type="spellEnd"/>
      <w:r w:rsidR="00370A44" w:rsidRPr="003D66DD">
        <w:rPr>
          <w:rFonts w:ascii="Cambria" w:eastAsia="Times New Roman" w:hAnsi="Cambria"/>
          <w:color w:val="000000"/>
        </w:rPr>
        <w:t xml:space="preserve"> </w:t>
      </w:r>
      <w:r w:rsidR="004748CC" w:rsidRPr="003D66DD">
        <w:rPr>
          <w:rFonts w:ascii="Cambria" w:eastAsia="Times New Roman" w:hAnsi="Cambria"/>
          <w:color w:val="000000"/>
        </w:rPr>
        <w:t xml:space="preserve">is </w:t>
      </w:r>
      <w:r w:rsidR="006937FF" w:rsidRPr="003D66DD">
        <w:rPr>
          <w:rFonts w:ascii="Cambria" w:eastAsia="Times New Roman" w:hAnsi="Cambria"/>
          <w:color w:val="000000"/>
        </w:rPr>
        <w:t xml:space="preserve">revealed as </w:t>
      </w:r>
      <w:r w:rsidR="004748CC" w:rsidRPr="003D66DD">
        <w:rPr>
          <w:rFonts w:ascii="Cambria" w:eastAsia="Times New Roman" w:hAnsi="Cambria"/>
          <w:color w:val="000000"/>
        </w:rPr>
        <w:t>an important</w:t>
      </w:r>
      <w:r w:rsidR="00B14904" w:rsidRPr="003D66DD">
        <w:rPr>
          <w:rFonts w:ascii="Cambria" w:hAnsi="Cambria"/>
          <w:color w:val="000000"/>
        </w:rPr>
        <w:t xml:space="preserve"> feature across all three cases.</w:t>
      </w:r>
      <w:r w:rsidR="004748CC" w:rsidRPr="003D66DD">
        <w:rPr>
          <w:rFonts w:ascii="Cambria" w:eastAsia="Times New Roman" w:hAnsi="Cambria"/>
          <w:color w:val="000000"/>
        </w:rPr>
        <w:t xml:space="preserve"> </w:t>
      </w:r>
      <w:r w:rsidR="00B14904" w:rsidRPr="003D66DD">
        <w:rPr>
          <w:rFonts w:ascii="Cambria" w:hAnsi="Cambria"/>
        </w:rPr>
        <w:t xml:space="preserve">The design of the power-sharing institutions arguably facilitates </w:t>
      </w:r>
      <w:proofErr w:type="spellStart"/>
      <w:r w:rsidR="003C38D0" w:rsidRPr="003D66DD">
        <w:rPr>
          <w:rFonts w:ascii="Cambria" w:hAnsi="Cambria"/>
        </w:rPr>
        <w:t>cliente</w:t>
      </w:r>
      <w:r w:rsidR="006937FF" w:rsidRPr="003D66DD">
        <w:rPr>
          <w:rFonts w:ascii="Cambria" w:hAnsi="Cambria"/>
        </w:rPr>
        <w:t>lism</w:t>
      </w:r>
      <w:proofErr w:type="spellEnd"/>
      <w:r w:rsidR="00B14904" w:rsidRPr="003D66DD">
        <w:rPr>
          <w:rFonts w:ascii="Cambria" w:hAnsi="Cambria"/>
        </w:rPr>
        <w:t xml:space="preserve"> by granting considerable autonomy </w:t>
      </w:r>
      <w:r w:rsidR="00AF3966" w:rsidRPr="003D66DD">
        <w:rPr>
          <w:rFonts w:ascii="Cambria" w:hAnsi="Cambria"/>
        </w:rPr>
        <w:t xml:space="preserve">to parties, and sometimes effective control over specific areas, </w:t>
      </w:r>
      <w:r w:rsidR="00B14904" w:rsidRPr="003D66DD">
        <w:rPr>
          <w:rFonts w:ascii="Cambria" w:hAnsi="Cambria"/>
        </w:rPr>
        <w:t>and entailing limited requirements for collective responsibility. B</w:t>
      </w:r>
      <w:r w:rsidR="004748CC" w:rsidRPr="003D66DD">
        <w:rPr>
          <w:rFonts w:ascii="Cambria" w:eastAsia="Times New Roman" w:hAnsi="Cambria"/>
          <w:color w:val="000000" w:themeColor="text1"/>
          <w:shd w:val="clear" w:color="auto" w:fill="FFFFFF"/>
        </w:rPr>
        <w:t xml:space="preserve">ut </w:t>
      </w:r>
      <w:r w:rsidR="007D6505">
        <w:rPr>
          <w:rFonts w:ascii="Cambria" w:eastAsia="Times New Roman" w:hAnsi="Cambria"/>
          <w:color w:val="000000" w:themeColor="text1"/>
          <w:shd w:val="clear" w:color="auto" w:fill="FFFFFF"/>
        </w:rPr>
        <w:t xml:space="preserve">it </w:t>
      </w:r>
      <w:r w:rsidR="004748CC" w:rsidRPr="003D66DD">
        <w:rPr>
          <w:rFonts w:ascii="Cambria" w:eastAsia="Times New Roman" w:hAnsi="Cambria"/>
          <w:color w:val="000000" w:themeColor="text1"/>
          <w:shd w:val="clear" w:color="auto" w:fill="FFFFFF"/>
        </w:rPr>
        <w:t>is also a</w:t>
      </w:r>
      <w:r w:rsidR="00B14904" w:rsidRPr="003D66DD">
        <w:rPr>
          <w:rFonts w:ascii="Cambria" w:eastAsia="Times New Roman" w:hAnsi="Cambria"/>
          <w:color w:val="000000" w:themeColor="text1"/>
          <w:shd w:val="clear" w:color="auto" w:fill="FFFFFF"/>
        </w:rPr>
        <w:t>n</w:t>
      </w:r>
      <w:r w:rsidR="004748CC" w:rsidRPr="003D66DD">
        <w:rPr>
          <w:rFonts w:ascii="Cambria" w:eastAsia="Times New Roman" w:hAnsi="Cambria"/>
          <w:color w:val="000000" w:themeColor="text1"/>
          <w:shd w:val="clear" w:color="auto" w:fill="FFFFFF"/>
        </w:rPr>
        <w:t xml:space="preserve"> example of an informal institution surviving or arising to address shortfalls in formal institutions.  </w:t>
      </w:r>
      <w:r w:rsidR="004748CC" w:rsidRPr="003D66DD">
        <w:rPr>
          <w:rFonts w:ascii="Cambria" w:eastAsia="Times New Roman" w:hAnsi="Cambria"/>
          <w:color w:val="000000"/>
        </w:rPr>
        <w:t xml:space="preserve">Although the gendered impacts of </w:t>
      </w:r>
      <w:proofErr w:type="spellStart"/>
      <w:r w:rsidR="004748CC" w:rsidRPr="003D66DD">
        <w:rPr>
          <w:rFonts w:ascii="Cambria" w:eastAsia="Times New Roman" w:hAnsi="Cambria"/>
          <w:color w:val="000000"/>
        </w:rPr>
        <w:t>clientelism</w:t>
      </w:r>
      <w:proofErr w:type="spellEnd"/>
      <w:r w:rsidR="004748CC" w:rsidRPr="003D66DD">
        <w:rPr>
          <w:rFonts w:ascii="Cambria" w:eastAsia="Times New Roman" w:hAnsi="Cambria"/>
          <w:color w:val="000000"/>
        </w:rPr>
        <w:t xml:space="preserve"> are not explored fully in the extant literature on these cases, research elsewhere suggests that </w:t>
      </w:r>
      <w:proofErr w:type="spellStart"/>
      <w:r w:rsidR="004748CC" w:rsidRPr="003D66DD">
        <w:rPr>
          <w:rFonts w:ascii="Cambria" w:eastAsia="Times New Roman" w:hAnsi="Cambria"/>
          <w:color w:val="000000"/>
        </w:rPr>
        <w:t>clientelist</w:t>
      </w:r>
      <w:proofErr w:type="spellEnd"/>
      <w:r w:rsidR="004748CC" w:rsidRPr="003D66DD">
        <w:rPr>
          <w:rFonts w:ascii="Cambria" w:eastAsia="Times New Roman" w:hAnsi="Cambria"/>
          <w:color w:val="000000"/>
        </w:rPr>
        <w:t xml:space="preserve"> practices fix and reinforce male dominance in political life, whatever the f</w:t>
      </w:r>
      <w:r w:rsidR="00D45B63" w:rsidRPr="003D66DD">
        <w:rPr>
          <w:rFonts w:ascii="Cambria" w:eastAsia="Times New Roman" w:hAnsi="Cambria"/>
          <w:color w:val="000000"/>
        </w:rPr>
        <w:t>ormal rules of inclusion (</w:t>
      </w:r>
      <w:proofErr w:type="spellStart"/>
      <w:r w:rsidR="00D45B63" w:rsidRPr="003D66DD">
        <w:rPr>
          <w:rFonts w:ascii="Cambria" w:eastAsia="Times New Roman" w:hAnsi="Cambria"/>
          <w:color w:val="000000"/>
        </w:rPr>
        <w:t>Bjarn</w:t>
      </w:r>
      <w:r w:rsidR="003C38D0" w:rsidRPr="003D66DD">
        <w:rPr>
          <w:rFonts w:ascii="Cambria" w:eastAsia="Times New Roman" w:hAnsi="Cambria"/>
          <w:color w:val="000000"/>
        </w:rPr>
        <w:t>e</w:t>
      </w:r>
      <w:r w:rsidR="004748CC" w:rsidRPr="003D66DD">
        <w:rPr>
          <w:rFonts w:ascii="Cambria" w:eastAsia="Times New Roman" w:hAnsi="Cambria"/>
          <w:color w:val="000000"/>
        </w:rPr>
        <w:t>gard</w:t>
      </w:r>
      <w:proofErr w:type="spellEnd"/>
      <w:r w:rsidR="007D6505">
        <w:rPr>
          <w:rFonts w:ascii="Cambria" w:eastAsia="Times New Roman" w:hAnsi="Cambria"/>
          <w:color w:val="000000"/>
        </w:rPr>
        <w:t>,</w:t>
      </w:r>
      <w:r w:rsidR="004748CC" w:rsidRPr="003D66DD">
        <w:rPr>
          <w:rFonts w:ascii="Cambria" w:eastAsia="Times New Roman" w:hAnsi="Cambria"/>
          <w:color w:val="000000"/>
        </w:rPr>
        <w:t xml:space="preserve"> 201</w:t>
      </w:r>
      <w:r w:rsidR="00967679">
        <w:rPr>
          <w:rFonts w:ascii="Cambria" w:eastAsia="Times New Roman" w:hAnsi="Cambria"/>
          <w:color w:val="000000"/>
        </w:rPr>
        <w:t>3)</w:t>
      </w:r>
      <w:r w:rsidR="004748CC" w:rsidRPr="003D66DD">
        <w:rPr>
          <w:rFonts w:ascii="Cambria" w:eastAsia="Times New Roman" w:hAnsi="Cambria"/>
          <w:color w:val="000000"/>
        </w:rPr>
        <w:t xml:space="preserve">. </w:t>
      </w:r>
      <w:proofErr w:type="spellStart"/>
      <w:r w:rsidR="004748CC" w:rsidRPr="003D66DD">
        <w:rPr>
          <w:rFonts w:ascii="Cambria" w:eastAsia="Times New Roman" w:hAnsi="Cambria"/>
          <w:color w:val="000000"/>
        </w:rPr>
        <w:t>Clientelism</w:t>
      </w:r>
      <w:proofErr w:type="spellEnd"/>
      <w:r w:rsidR="004748CC" w:rsidRPr="003D66DD">
        <w:rPr>
          <w:rFonts w:ascii="Cambria" w:eastAsia="Times New Roman" w:hAnsi="Cambria"/>
          <w:color w:val="000000"/>
        </w:rPr>
        <w:t xml:space="preserve"> is an informal institution that arises to address unpredictability and to maximise stability in turbulent political systems (</w:t>
      </w:r>
      <w:proofErr w:type="spellStart"/>
      <w:r w:rsidR="004748CC" w:rsidRPr="003D66DD">
        <w:rPr>
          <w:rFonts w:ascii="Cambria" w:eastAsia="Times New Roman" w:hAnsi="Cambria"/>
          <w:color w:val="000000"/>
        </w:rPr>
        <w:t>Bjarnegard</w:t>
      </w:r>
      <w:proofErr w:type="spellEnd"/>
      <w:r w:rsidR="007D6505">
        <w:rPr>
          <w:rFonts w:ascii="Cambria" w:eastAsia="Times New Roman" w:hAnsi="Cambria"/>
          <w:color w:val="000000"/>
        </w:rPr>
        <w:t>,</w:t>
      </w:r>
      <w:r w:rsidR="004748CC" w:rsidRPr="003D66DD">
        <w:rPr>
          <w:rFonts w:ascii="Cambria" w:eastAsia="Times New Roman" w:hAnsi="Cambria"/>
          <w:color w:val="000000"/>
        </w:rPr>
        <w:t xml:space="preserve"> 201</w:t>
      </w:r>
      <w:r w:rsidR="00967679">
        <w:rPr>
          <w:rFonts w:ascii="Cambria" w:eastAsia="Times New Roman" w:hAnsi="Cambria"/>
          <w:color w:val="000000"/>
        </w:rPr>
        <w:t>3)</w:t>
      </w:r>
      <w:r w:rsidR="004748CC" w:rsidRPr="003D66DD">
        <w:rPr>
          <w:rFonts w:ascii="Cambria" w:eastAsia="Times New Roman" w:hAnsi="Cambria"/>
          <w:color w:val="000000"/>
        </w:rPr>
        <w:t xml:space="preserve"> but it also works as a gendered informal institution drawing upon ‘</w:t>
      </w:r>
      <w:proofErr w:type="spellStart"/>
      <w:r w:rsidR="004748CC" w:rsidRPr="003D66DD">
        <w:rPr>
          <w:rFonts w:ascii="Cambria" w:eastAsia="Times New Roman" w:hAnsi="Cambria"/>
          <w:color w:val="000000"/>
        </w:rPr>
        <w:t>homosocial</w:t>
      </w:r>
      <w:proofErr w:type="spellEnd"/>
      <w:r w:rsidR="004748CC" w:rsidRPr="003D66DD">
        <w:rPr>
          <w:rFonts w:ascii="Cambria" w:eastAsia="Times New Roman" w:hAnsi="Cambria"/>
          <w:color w:val="000000"/>
        </w:rPr>
        <w:t xml:space="preserve"> capital’ accrued by powerful male elites and exchanged via male dominated networks. The gendered operation of </w:t>
      </w:r>
      <w:proofErr w:type="spellStart"/>
      <w:r w:rsidR="004748CC" w:rsidRPr="003D66DD">
        <w:rPr>
          <w:rFonts w:ascii="Cambria" w:eastAsia="Times New Roman" w:hAnsi="Cambria"/>
          <w:color w:val="000000"/>
        </w:rPr>
        <w:t>clientelism</w:t>
      </w:r>
      <w:proofErr w:type="spellEnd"/>
      <w:r w:rsidR="004748CC" w:rsidRPr="003D66DD">
        <w:rPr>
          <w:rFonts w:ascii="Cambria" w:eastAsia="Times New Roman" w:hAnsi="Cambria"/>
          <w:color w:val="000000"/>
        </w:rPr>
        <w:t xml:space="preserve"> advantages male over female politicians, providing political, material and symbolic resources, networks, and, in some cases, electoral votes. In our cases, </w:t>
      </w:r>
      <w:proofErr w:type="spellStart"/>
      <w:r w:rsidR="004748CC" w:rsidRPr="003D66DD">
        <w:rPr>
          <w:rFonts w:ascii="Cambria" w:eastAsia="Times New Roman" w:hAnsi="Cambria"/>
          <w:color w:val="000000"/>
        </w:rPr>
        <w:t>clientelism</w:t>
      </w:r>
      <w:proofErr w:type="spellEnd"/>
      <w:r w:rsidR="004748CC" w:rsidRPr="003D66DD">
        <w:rPr>
          <w:rFonts w:ascii="Cambria" w:eastAsia="Times New Roman" w:hAnsi="Cambria"/>
          <w:color w:val="000000"/>
        </w:rPr>
        <w:t xml:space="preserve"> has </w:t>
      </w:r>
      <w:r w:rsidR="00374E67">
        <w:rPr>
          <w:rFonts w:ascii="Cambria" w:eastAsia="Times New Roman" w:hAnsi="Cambria"/>
          <w:color w:val="000000"/>
        </w:rPr>
        <w:t xml:space="preserve">also </w:t>
      </w:r>
      <w:r w:rsidR="004748CC" w:rsidRPr="003D66DD">
        <w:rPr>
          <w:rFonts w:ascii="Cambria" w:eastAsia="Times New Roman" w:hAnsi="Cambria"/>
          <w:color w:val="000000"/>
        </w:rPr>
        <w:t>contribu</w:t>
      </w:r>
      <w:r w:rsidR="007D6505">
        <w:rPr>
          <w:rFonts w:ascii="Cambria" w:eastAsia="Times New Roman" w:hAnsi="Cambria"/>
          <w:color w:val="000000"/>
        </w:rPr>
        <w:t xml:space="preserve">ted to </w:t>
      </w:r>
      <w:r w:rsidR="00374E67">
        <w:rPr>
          <w:rFonts w:ascii="Cambria" w:eastAsia="Times New Roman" w:hAnsi="Cambria"/>
          <w:color w:val="000000"/>
        </w:rPr>
        <w:t>the framing</w:t>
      </w:r>
      <w:r w:rsidR="007D6505">
        <w:rPr>
          <w:rFonts w:ascii="Cambria" w:eastAsia="Times New Roman" w:hAnsi="Cambria"/>
          <w:color w:val="000000"/>
        </w:rPr>
        <w:t xml:space="preserve"> of politics as ‘dirty’ and ‘macho’</w:t>
      </w:r>
      <w:r w:rsidR="004748CC" w:rsidRPr="003D66DD">
        <w:rPr>
          <w:rFonts w:ascii="Cambria" w:eastAsia="Times New Roman" w:hAnsi="Cambria"/>
          <w:color w:val="000000"/>
        </w:rPr>
        <w:t xml:space="preserve">, and </w:t>
      </w:r>
      <w:r w:rsidR="007D6505">
        <w:rPr>
          <w:rFonts w:ascii="Cambria" w:eastAsia="Times New Roman" w:hAnsi="Cambria"/>
          <w:color w:val="000000"/>
        </w:rPr>
        <w:t xml:space="preserve">it </w:t>
      </w:r>
      <w:r w:rsidR="00EA125D" w:rsidRPr="003D66DD">
        <w:rPr>
          <w:rFonts w:ascii="Cambria" w:eastAsia="Times New Roman" w:hAnsi="Cambria"/>
          <w:color w:val="000000"/>
        </w:rPr>
        <w:t>is</w:t>
      </w:r>
      <w:r w:rsidR="004748CC" w:rsidRPr="003D66DD">
        <w:rPr>
          <w:rFonts w:ascii="Cambria" w:eastAsia="Times New Roman" w:hAnsi="Cambria"/>
          <w:color w:val="000000"/>
        </w:rPr>
        <w:t xml:space="preserve"> an important context within which women’s groups have been silenced or have self-censored in terms of cross-community advocacy. </w:t>
      </w:r>
      <w:proofErr w:type="spellStart"/>
      <w:r w:rsidR="004748CC" w:rsidRPr="003D66DD">
        <w:rPr>
          <w:rFonts w:ascii="Cambria" w:eastAsia="Times New Roman" w:hAnsi="Cambria"/>
          <w:color w:val="000000"/>
        </w:rPr>
        <w:t>Clientelism</w:t>
      </w:r>
      <w:proofErr w:type="spellEnd"/>
      <w:r w:rsidR="004748CC" w:rsidRPr="003D66DD">
        <w:rPr>
          <w:rFonts w:ascii="Cambria" w:eastAsia="Times New Roman" w:hAnsi="Cambria"/>
          <w:color w:val="000000"/>
        </w:rPr>
        <w:t xml:space="preserve"> is not confined to </w:t>
      </w:r>
      <w:r w:rsidR="004228D5" w:rsidRPr="003D66DD">
        <w:rPr>
          <w:rFonts w:ascii="Cambria" w:eastAsia="Times New Roman" w:hAnsi="Cambria"/>
          <w:color w:val="000000"/>
        </w:rPr>
        <w:t>power-sharing</w:t>
      </w:r>
      <w:r w:rsidR="004748CC" w:rsidRPr="003D66DD">
        <w:rPr>
          <w:rFonts w:ascii="Cambria" w:eastAsia="Times New Roman" w:hAnsi="Cambria"/>
          <w:color w:val="000000"/>
        </w:rPr>
        <w:t xml:space="preserve"> systems, nor to post-conflict states, but </w:t>
      </w:r>
      <w:r w:rsidR="004748CC" w:rsidRPr="003D66DD">
        <w:rPr>
          <w:rFonts w:ascii="Cambria" w:eastAsia="Times New Roman" w:hAnsi="Cambria"/>
          <w:color w:val="000000"/>
        </w:rPr>
        <w:lastRenderedPageBreak/>
        <w:t xml:space="preserve">these </w:t>
      </w:r>
      <w:r w:rsidR="006B5AE6" w:rsidRPr="003D66DD">
        <w:rPr>
          <w:rFonts w:ascii="Cambria" w:eastAsia="Times New Roman" w:hAnsi="Cambria"/>
          <w:color w:val="000000"/>
        </w:rPr>
        <w:t>institutional contexts</w:t>
      </w:r>
      <w:r w:rsidR="004748CC" w:rsidRPr="003D66DD">
        <w:rPr>
          <w:rFonts w:ascii="Cambria" w:eastAsia="Times New Roman" w:hAnsi="Cambria"/>
          <w:color w:val="000000"/>
        </w:rPr>
        <w:t xml:space="preserve"> enable the rise and flourishing of such informal institutions. It provides an example of the gendered effects of informal institutions </w:t>
      </w:r>
      <w:r w:rsidR="00F159B5">
        <w:rPr>
          <w:rFonts w:ascii="Cambria" w:eastAsia="Times New Roman" w:hAnsi="Cambria"/>
          <w:color w:val="000000"/>
        </w:rPr>
        <w:t xml:space="preserve">that </w:t>
      </w:r>
      <w:r w:rsidR="004748CC" w:rsidRPr="003D66DD">
        <w:rPr>
          <w:rFonts w:ascii="Cambria" w:eastAsia="Times New Roman" w:hAnsi="Cambria"/>
          <w:color w:val="000000"/>
        </w:rPr>
        <w:t xml:space="preserve">undermine formal rules of inclusion and, as such, merits further research.  </w:t>
      </w:r>
      <w:r w:rsidR="006B5AE6" w:rsidRPr="003D66DD">
        <w:rPr>
          <w:rFonts w:ascii="Cambria" w:eastAsia="Times New Roman" w:hAnsi="Cambria"/>
          <w:color w:val="000000"/>
        </w:rPr>
        <w:t xml:space="preserve"> </w:t>
      </w:r>
      <w:r w:rsidR="007367CF" w:rsidRPr="003D66DD">
        <w:rPr>
          <w:rFonts w:ascii="Cambria" w:eastAsia="Times New Roman" w:hAnsi="Cambria"/>
          <w:color w:val="000000"/>
        </w:rPr>
        <w:t xml:space="preserve">We see the resilience of </w:t>
      </w:r>
      <w:r w:rsidR="009F600B" w:rsidRPr="003D66DD">
        <w:rPr>
          <w:rFonts w:ascii="Cambria" w:eastAsia="Times New Roman" w:hAnsi="Cambria"/>
          <w:color w:val="000000"/>
        </w:rPr>
        <w:t xml:space="preserve">other </w:t>
      </w:r>
      <w:r w:rsidR="007367CF" w:rsidRPr="003D66DD">
        <w:rPr>
          <w:rFonts w:ascii="Cambria" w:eastAsia="Times New Roman" w:hAnsi="Cambria"/>
          <w:color w:val="000000"/>
        </w:rPr>
        <w:t>informal institutions that reinforce gender hierarchies despite the presence of new formal rules.</w:t>
      </w:r>
      <w:r w:rsidR="009F600B" w:rsidRPr="003D66DD">
        <w:rPr>
          <w:rFonts w:ascii="Cambria" w:eastAsia="Times New Roman" w:hAnsi="Cambria"/>
          <w:color w:val="000000"/>
        </w:rPr>
        <w:t xml:space="preserve"> </w:t>
      </w:r>
    </w:p>
    <w:p w14:paraId="018A8A74" w14:textId="77777777" w:rsidR="004748CC" w:rsidRPr="003D66DD" w:rsidRDefault="004748CC" w:rsidP="004748CC">
      <w:pPr>
        <w:spacing w:line="360" w:lineRule="auto"/>
        <w:rPr>
          <w:rFonts w:ascii="Cambria" w:eastAsia="Times New Roman" w:hAnsi="Cambria"/>
          <w:color w:val="000000"/>
        </w:rPr>
      </w:pPr>
    </w:p>
    <w:p w14:paraId="3AEE2F13" w14:textId="5EA7D3C5" w:rsidR="004748CC" w:rsidRPr="007D6505" w:rsidRDefault="006B5AE6" w:rsidP="004228D5">
      <w:pPr>
        <w:spacing w:line="360" w:lineRule="auto"/>
        <w:outlineLvl w:val="0"/>
        <w:rPr>
          <w:rFonts w:ascii="Cambria" w:eastAsia="Times New Roman" w:hAnsi="Cambria"/>
          <w:i/>
          <w:color w:val="000000"/>
        </w:rPr>
      </w:pPr>
      <w:r w:rsidRPr="007D6505">
        <w:rPr>
          <w:rFonts w:ascii="Cambria" w:eastAsia="Times New Roman" w:hAnsi="Cambria"/>
          <w:b/>
          <w:i/>
          <w:color w:val="000000"/>
        </w:rPr>
        <w:t xml:space="preserve">The </w:t>
      </w:r>
      <w:r w:rsidR="007D6505">
        <w:rPr>
          <w:rFonts w:ascii="Cambria" w:eastAsia="Times New Roman" w:hAnsi="Cambria"/>
          <w:b/>
          <w:i/>
          <w:color w:val="000000"/>
        </w:rPr>
        <w:t>Gendered Logic of A</w:t>
      </w:r>
      <w:r w:rsidR="004748CC" w:rsidRPr="007D6505">
        <w:rPr>
          <w:rFonts w:ascii="Cambria" w:eastAsia="Times New Roman" w:hAnsi="Cambria"/>
          <w:b/>
          <w:i/>
          <w:color w:val="000000"/>
        </w:rPr>
        <w:t>ppropriateness</w:t>
      </w:r>
      <w:r w:rsidR="004748CC" w:rsidRPr="007D6505">
        <w:rPr>
          <w:rFonts w:ascii="Cambria" w:eastAsia="Times New Roman" w:hAnsi="Cambria"/>
          <w:i/>
          <w:color w:val="000000"/>
        </w:rPr>
        <w:t>:  </w:t>
      </w:r>
    </w:p>
    <w:p w14:paraId="4D322256" w14:textId="77777777" w:rsidR="007D6505" w:rsidRDefault="007D6505" w:rsidP="007F5391">
      <w:pPr>
        <w:spacing w:line="360" w:lineRule="auto"/>
        <w:rPr>
          <w:rFonts w:ascii="Cambria" w:eastAsia="Times New Roman" w:hAnsi="Cambria"/>
          <w:color w:val="000000"/>
        </w:rPr>
      </w:pPr>
    </w:p>
    <w:p w14:paraId="04C589BB" w14:textId="2980170F" w:rsidR="007F5391" w:rsidRPr="003D66DD" w:rsidRDefault="004748CC" w:rsidP="007F5391">
      <w:pPr>
        <w:spacing w:line="360" w:lineRule="auto"/>
        <w:rPr>
          <w:rFonts w:ascii="Cambria" w:eastAsia="Times New Roman" w:hAnsi="Cambria"/>
          <w:color w:val="000000"/>
        </w:rPr>
      </w:pPr>
      <w:r w:rsidRPr="003D66DD">
        <w:rPr>
          <w:rFonts w:ascii="Cambria" w:eastAsia="Times New Roman" w:hAnsi="Cambria"/>
          <w:color w:val="000000"/>
        </w:rPr>
        <w:t>At the heart of the gendered logic of appropriateness is the coding of public and political authority as masculine, and clear boundaries between public and private. In all three cases, to varying degrees, female politicians experience sanctioning for their participation in the public world of politics including</w:t>
      </w:r>
      <w:r w:rsidR="00EF7471">
        <w:rPr>
          <w:rFonts w:ascii="Cambria" w:eastAsia="Times New Roman" w:hAnsi="Cambria"/>
          <w:color w:val="000000"/>
        </w:rPr>
        <w:t xml:space="preserve"> through mechanisms of marginalis</w:t>
      </w:r>
      <w:r w:rsidRPr="003D66DD">
        <w:rPr>
          <w:rFonts w:ascii="Cambria" w:eastAsia="Times New Roman" w:hAnsi="Cambria"/>
          <w:color w:val="000000"/>
        </w:rPr>
        <w:t xml:space="preserve">ation and </w:t>
      </w:r>
      <w:proofErr w:type="spellStart"/>
      <w:r w:rsidRPr="003D66DD">
        <w:rPr>
          <w:rFonts w:ascii="Cambria" w:eastAsia="Times New Roman" w:hAnsi="Cambria"/>
          <w:color w:val="000000"/>
        </w:rPr>
        <w:t>delegitimisation</w:t>
      </w:r>
      <w:proofErr w:type="spellEnd"/>
      <w:r w:rsidRPr="003D66DD">
        <w:rPr>
          <w:rFonts w:ascii="Cambria" w:eastAsia="Times New Roman" w:hAnsi="Cambria"/>
          <w:color w:val="000000"/>
        </w:rPr>
        <w:t>.</w:t>
      </w:r>
      <w:r w:rsidR="007F5391" w:rsidRPr="003D66DD">
        <w:rPr>
          <w:rFonts w:ascii="Cambria" w:eastAsia="Times New Roman" w:hAnsi="Cambria"/>
          <w:color w:val="000000"/>
        </w:rPr>
        <w:t xml:space="preserve"> T</w:t>
      </w:r>
      <w:r w:rsidRPr="003D66DD">
        <w:rPr>
          <w:rFonts w:ascii="Cambria" w:eastAsia="Times New Roman" w:hAnsi="Cambria"/>
          <w:color w:val="000000"/>
        </w:rPr>
        <w:t>here are some striking similarities across the three cases in terms of</w:t>
      </w:r>
      <w:r w:rsidR="007F5391" w:rsidRPr="003D66DD">
        <w:rPr>
          <w:rFonts w:ascii="Cambria" w:eastAsia="Times New Roman" w:hAnsi="Cambria"/>
          <w:color w:val="000000"/>
        </w:rPr>
        <w:t xml:space="preserve"> the gendered logic </w:t>
      </w:r>
      <w:r w:rsidR="007D6505">
        <w:rPr>
          <w:rFonts w:ascii="Cambria" w:eastAsia="Times New Roman" w:hAnsi="Cambria"/>
          <w:color w:val="000000"/>
        </w:rPr>
        <w:t xml:space="preserve">of </w:t>
      </w:r>
      <w:r w:rsidR="007F5391" w:rsidRPr="003D66DD">
        <w:rPr>
          <w:rFonts w:ascii="Cambria" w:eastAsia="Times New Roman" w:hAnsi="Cambria"/>
          <w:color w:val="000000"/>
        </w:rPr>
        <w:t xml:space="preserve">appropriateness. </w:t>
      </w:r>
    </w:p>
    <w:p w14:paraId="4DD553C2" w14:textId="77777777" w:rsidR="007F5391" w:rsidRPr="003D66DD" w:rsidRDefault="007F5391" w:rsidP="007F5391">
      <w:pPr>
        <w:spacing w:line="360" w:lineRule="auto"/>
        <w:rPr>
          <w:rFonts w:ascii="Cambria" w:eastAsia="Times New Roman" w:hAnsi="Cambria"/>
          <w:color w:val="000000"/>
        </w:rPr>
      </w:pPr>
    </w:p>
    <w:p w14:paraId="64F08278" w14:textId="3BB1BB0B" w:rsidR="007367CF" w:rsidRPr="003D66DD" w:rsidRDefault="007F5391" w:rsidP="007F5391">
      <w:pPr>
        <w:spacing w:line="360" w:lineRule="auto"/>
        <w:rPr>
          <w:rFonts w:ascii="Cambria" w:eastAsia="Times New Roman" w:hAnsi="Cambria"/>
          <w:color w:val="000000"/>
        </w:rPr>
      </w:pPr>
      <w:r w:rsidRPr="003D66DD">
        <w:rPr>
          <w:rFonts w:ascii="Cambria" w:eastAsia="Times New Roman" w:hAnsi="Cambria"/>
          <w:color w:val="000000"/>
        </w:rPr>
        <w:t>Firstly, t</w:t>
      </w:r>
      <w:r w:rsidR="004748CC" w:rsidRPr="003D66DD">
        <w:rPr>
          <w:rFonts w:ascii="Cambria" w:eastAsia="Times New Roman" w:hAnsi="Cambria"/>
          <w:color w:val="000000"/>
        </w:rPr>
        <w:t>he primacy of ethno</w:t>
      </w:r>
      <w:r w:rsidR="007D6505">
        <w:rPr>
          <w:rFonts w:ascii="Cambria" w:eastAsia="Times New Roman" w:hAnsi="Cambria"/>
          <w:color w:val="000000"/>
        </w:rPr>
        <w:t>-</w:t>
      </w:r>
      <w:r w:rsidR="004748CC" w:rsidRPr="003D66DD">
        <w:rPr>
          <w:rFonts w:ascii="Cambria" w:eastAsia="Times New Roman" w:hAnsi="Cambria"/>
          <w:color w:val="000000"/>
        </w:rPr>
        <w:t>national identities over other identities</w:t>
      </w:r>
      <w:r w:rsidR="003E04A7">
        <w:rPr>
          <w:rFonts w:ascii="Cambria" w:eastAsia="Times New Roman" w:hAnsi="Cambria"/>
          <w:color w:val="000000"/>
        </w:rPr>
        <w:t xml:space="preserve"> is evident</w:t>
      </w:r>
      <w:r w:rsidR="004748CC" w:rsidRPr="003D66DD">
        <w:rPr>
          <w:rFonts w:ascii="Cambria" w:eastAsia="Times New Roman" w:hAnsi="Cambria"/>
          <w:color w:val="000000"/>
        </w:rPr>
        <w:t>, resulting in the dominance of ethno-</w:t>
      </w:r>
      <w:proofErr w:type="spellStart"/>
      <w:r w:rsidR="004748CC" w:rsidRPr="003D66DD">
        <w:rPr>
          <w:rFonts w:ascii="Cambria" w:eastAsia="Times New Roman" w:hAnsi="Cambria"/>
          <w:color w:val="000000"/>
        </w:rPr>
        <w:t>masculinistic</w:t>
      </w:r>
      <w:proofErr w:type="spellEnd"/>
      <w:r w:rsidR="004748CC" w:rsidRPr="003D66DD">
        <w:rPr>
          <w:rFonts w:ascii="Cambria" w:eastAsia="Times New Roman" w:hAnsi="Cambria"/>
          <w:color w:val="000000"/>
        </w:rPr>
        <w:t xml:space="preserve"> identities and values. </w:t>
      </w:r>
      <w:r w:rsidRPr="003D66DD">
        <w:rPr>
          <w:rFonts w:ascii="Cambria" w:eastAsia="Times New Roman" w:hAnsi="Cambria"/>
          <w:color w:val="000000"/>
        </w:rPr>
        <w:t>Secondly, the presumption of m</w:t>
      </w:r>
      <w:r w:rsidR="004748CC" w:rsidRPr="003D66DD">
        <w:rPr>
          <w:rFonts w:ascii="Cambria" w:eastAsia="Times New Roman" w:hAnsi="Cambria"/>
          <w:color w:val="000000"/>
        </w:rPr>
        <w:t>a</w:t>
      </w:r>
      <w:r w:rsidR="009F600B" w:rsidRPr="003D66DD">
        <w:rPr>
          <w:rFonts w:ascii="Cambria" w:eastAsia="Times New Roman" w:hAnsi="Cambria"/>
          <w:color w:val="000000"/>
        </w:rPr>
        <w:t xml:space="preserve">le dominance in political life and of politics as a ‘man’s business’ are common features across the three cases, </w:t>
      </w:r>
      <w:r w:rsidR="004748CC" w:rsidRPr="003D66DD">
        <w:rPr>
          <w:rFonts w:ascii="Cambria" w:eastAsia="Times New Roman" w:hAnsi="Cambria"/>
          <w:color w:val="000000"/>
        </w:rPr>
        <w:t>although we have the paradox in Northern Ireland of female leaders of both main parties in th</w:t>
      </w:r>
      <w:r w:rsidRPr="003D66DD">
        <w:rPr>
          <w:rFonts w:ascii="Cambria" w:eastAsia="Times New Roman" w:hAnsi="Cambria"/>
          <w:color w:val="000000"/>
        </w:rPr>
        <w:t>e currently suspended Assembly</w:t>
      </w:r>
      <w:r w:rsidR="004748CC" w:rsidRPr="003D66DD">
        <w:rPr>
          <w:rFonts w:ascii="Cambria" w:eastAsia="Times New Roman" w:hAnsi="Cambria"/>
          <w:color w:val="000000"/>
        </w:rPr>
        <w:t>. Th</w:t>
      </w:r>
      <w:r w:rsidRPr="003D66DD">
        <w:rPr>
          <w:rFonts w:ascii="Cambria" w:eastAsia="Times New Roman" w:hAnsi="Cambria"/>
          <w:color w:val="000000"/>
        </w:rPr>
        <w:t>ese</w:t>
      </w:r>
      <w:r w:rsidR="004748CC" w:rsidRPr="003D66DD">
        <w:rPr>
          <w:rFonts w:ascii="Cambria" w:eastAsia="Times New Roman" w:hAnsi="Cambria"/>
          <w:color w:val="000000"/>
        </w:rPr>
        <w:t xml:space="preserve"> </w:t>
      </w:r>
      <w:r w:rsidRPr="003D66DD">
        <w:rPr>
          <w:rFonts w:ascii="Cambria" w:eastAsia="Times New Roman" w:hAnsi="Cambria"/>
          <w:color w:val="000000"/>
        </w:rPr>
        <w:t>logics play</w:t>
      </w:r>
      <w:r w:rsidR="004748CC" w:rsidRPr="003D66DD">
        <w:rPr>
          <w:rFonts w:ascii="Cambria" w:eastAsia="Times New Roman" w:hAnsi="Cambria"/>
          <w:color w:val="000000"/>
        </w:rPr>
        <w:t xml:space="preserve"> out in </w:t>
      </w:r>
      <w:r w:rsidR="009F600B" w:rsidRPr="003D66DD">
        <w:rPr>
          <w:rFonts w:ascii="Cambria" w:eastAsia="Times New Roman" w:hAnsi="Cambria"/>
          <w:color w:val="000000"/>
        </w:rPr>
        <w:t>several</w:t>
      </w:r>
      <w:r w:rsidR="004748CC" w:rsidRPr="003D66DD">
        <w:rPr>
          <w:rFonts w:ascii="Cambria" w:eastAsia="Times New Roman" w:hAnsi="Cambria"/>
          <w:color w:val="000000"/>
        </w:rPr>
        <w:t xml:space="preserve"> ways, including the exclusion of women and their relegation to the domestic sphere, or to the ‘small p’ politics of civil society; or the inclusion of the ‘right sort’ of women (loyal, deferential) to work in low status or gender ‘appropriate’ areas (such as health, families, and women’s issues).</w:t>
      </w:r>
    </w:p>
    <w:p w14:paraId="587E6A6C" w14:textId="77777777" w:rsidR="007F5391" w:rsidRPr="003D66DD" w:rsidRDefault="007F5391" w:rsidP="007F5391">
      <w:pPr>
        <w:spacing w:line="360" w:lineRule="auto"/>
        <w:rPr>
          <w:rFonts w:ascii="Cambria" w:eastAsia="Times New Roman" w:hAnsi="Cambria"/>
          <w:color w:val="000000"/>
        </w:rPr>
      </w:pPr>
    </w:p>
    <w:p w14:paraId="03367DD8" w14:textId="0A45B7A0" w:rsidR="004748CC" w:rsidRPr="003D66DD" w:rsidRDefault="007F5391" w:rsidP="007F5391">
      <w:pPr>
        <w:spacing w:line="360" w:lineRule="auto"/>
        <w:rPr>
          <w:rFonts w:ascii="Cambria" w:eastAsia="Times New Roman" w:hAnsi="Cambria"/>
          <w:color w:val="000000"/>
        </w:rPr>
      </w:pPr>
      <w:r w:rsidRPr="003D66DD">
        <w:rPr>
          <w:rFonts w:ascii="Cambria" w:eastAsia="Times New Roman" w:hAnsi="Cambria"/>
          <w:color w:val="000000"/>
        </w:rPr>
        <w:t>Secondly, we see the</w:t>
      </w:r>
      <w:r w:rsidR="004748CC" w:rsidRPr="003D66DD">
        <w:rPr>
          <w:rFonts w:ascii="Cambria" w:eastAsia="Times New Roman" w:hAnsi="Cambria"/>
          <w:color w:val="000000"/>
        </w:rPr>
        <w:t xml:space="preserve"> </w:t>
      </w:r>
      <w:r w:rsidR="00725963" w:rsidRPr="003D66DD">
        <w:rPr>
          <w:rFonts w:ascii="Cambria" w:eastAsia="Times New Roman" w:hAnsi="Cambria"/>
          <w:color w:val="000000"/>
        </w:rPr>
        <w:t xml:space="preserve">logic of appropriateness </w:t>
      </w:r>
      <w:r w:rsidR="0071333D" w:rsidRPr="003D66DD">
        <w:rPr>
          <w:rFonts w:ascii="Cambria" w:eastAsia="Times New Roman" w:hAnsi="Cambria"/>
          <w:color w:val="000000"/>
        </w:rPr>
        <w:t>pri</w:t>
      </w:r>
      <w:r w:rsidR="00BB6729" w:rsidRPr="003D66DD">
        <w:rPr>
          <w:rFonts w:ascii="Cambria" w:eastAsia="Times New Roman" w:hAnsi="Cambria"/>
          <w:color w:val="000000"/>
        </w:rPr>
        <w:t>vil</w:t>
      </w:r>
      <w:r w:rsidR="0071333D" w:rsidRPr="003D66DD">
        <w:rPr>
          <w:rFonts w:ascii="Cambria" w:eastAsia="Times New Roman" w:hAnsi="Cambria"/>
          <w:color w:val="000000"/>
        </w:rPr>
        <w:t>eging</w:t>
      </w:r>
      <w:r w:rsidR="004748CC" w:rsidRPr="003D66DD">
        <w:rPr>
          <w:rFonts w:ascii="Cambria" w:eastAsia="Times New Roman" w:hAnsi="Cambria"/>
          <w:color w:val="000000"/>
        </w:rPr>
        <w:t xml:space="preserve"> stability over inclusion, and </w:t>
      </w:r>
      <w:r w:rsidR="0071333D" w:rsidRPr="003D66DD">
        <w:rPr>
          <w:rFonts w:ascii="Cambria" w:eastAsia="Times New Roman" w:hAnsi="Cambria"/>
          <w:color w:val="000000"/>
        </w:rPr>
        <w:t>giving primacy to</w:t>
      </w:r>
      <w:r w:rsidRPr="003D66DD">
        <w:rPr>
          <w:rFonts w:ascii="Cambria" w:eastAsia="Times New Roman" w:hAnsi="Cambria"/>
          <w:color w:val="000000"/>
        </w:rPr>
        <w:t xml:space="preserve"> </w:t>
      </w:r>
      <w:r w:rsidR="004748CC" w:rsidRPr="003D66DD">
        <w:rPr>
          <w:rFonts w:ascii="Cambria" w:eastAsia="Times New Roman" w:hAnsi="Cambria"/>
          <w:color w:val="000000"/>
        </w:rPr>
        <w:t>containment over transformation. This means there is little incentive to address underlying structural inequalities, including gendered inequalities. Indeed, there is an institutional lo</w:t>
      </w:r>
      <w:r w:rsidR="00EF7471">
        <w:rPr>
          <w:rFonts w:ascii="Cambria" w:eastAsia="Times New Roman" w:hAnsi="Cambria"/>
          <w:color w:val="000000"/>
        </w:rPr>
        <w:t>gic (whether explicitly recognis</w:t>
      </w:r>
      <w:r w:rsidR="004748CC" w:rsidRPr="003D66DD">
        <w:rPr>
          <w:rFonts w:ascii="Cambria" w:eastAsia="Times New Roman" w:hAnsi="Cambria"/>
          <w:color w:val="000000"/>
        </w:rPr>
        <w:t>ed or not) to maintain the gendered status quo</w:t>
      </w:r>
      <w:r w:rsidRPr="003D66DD">
        <w:rPr>
          <w:rFonts w:ascii="Cambria" w:eastAsia="Times New Roman" w:hAnsi="Cambria"/>
          <w:color w:val="000000"/>
        </w:rPr>
        <w:t>,</w:t>
      </w:r>
      <w:r w:rsidR="004748CC" w:rsidRPr="003D66DD">
        <w:rPr>
          <w:rFonts w:ascii="Cambria" w:eastAsia="Times New Roman" w:hAnsi="Cambria"/>
          <w:color w:val="000000"/>
        </w:rPr>
        <w:t xml:space="preserve"> including the public/private divide</w:t>
      </w:r>
      <w:r w:rsidRPr="003D66DD">
        <w:rPr>
          <w:rFonts w:ascii="Cambria" w:eastAsia="Times New Roman" w:hAnsi="Cambria"/>
          <w:color w:val="000000"/>
        </w:rPr>
        <w:t xml:space="preserve">, </w:t>
      </w:r>
      <w:r w:rsidR="004748CC" w:rsidRPr="003D66DD">
        <w:rPr>
          <w:rFonts w:ascii="Cambria" w:eastAsia="Times New Roman" w:hAnsi="Cambria"/>
          <w:i/>
          <w:color w:val="000000"/>
        </w:rPr>
        <w:t>because</w:t>
      </w:r>
      <w:r w:rsidR="004748CC" w:rsidRPr="003D66DD">
        <w:rPr>
          <w:rFonts w:ascii="Cambria" w:eastAsia="Times New Roman" w:hAnsi="Cambria"/>
          <w:color w:val="000000"/>
        </w:rPr>
        <w:t xml:space="preserve"> it </w:t>
      </w:r>
      <w:r w:rsidR="00291EA5" w:rsidRPr="003D66DD">
        <w:rPr>
          <w:rFonts w:ascii="Cambria" w:eastAsia="Times New Roman" w:hAnsi="Cambria"/>
          <w:color w:val="000000"/>
        </w:rPr>
        <w:t>is seen to underpin</w:t>
      </w:r>
      <w:r w:rsidR="004748CC" w:rsidRPr="003D66DD">
        <w:rPr>
          <w:rFonts w:ascii="Cambria" w:eastAsia="Times New Roman" w:hAnsi="Cambria"/>
          <w:color w:val="000000"/>
        </w:rPr>
        <w:t xml:space="preserve"> stability. We see the impact on outcomes </w:t>
      </w:r>
      <w:r w:rsidR="001C1280">
        <w:rPr>
          <w:rFonts w:ascii="Cambria" w:eastAsia="Times New Roman" w:hAnsi="Cambria"/>
          <w:color w:val="000000"/>
        </w:rPr>
        <w:t>in all three cases, where policies</w:t>
      </w:r>
      <w:r w:rsidR="004748CC" w:rsidRPr="003D66DD">
        <w:rPr>
          <w:rFonts w:ascii="Cambria" w:eastAsia="Times New Roman" w:hAnsi="Cambria"/>
          <w:color w:val="000000"/>
        </w:rPr>
        <w:t xml:space="preserve"> that would lead to ‘transformational’ gender change such as land reform (Burundi), reproductive </w:t>
      </w:r>
      <w:r w:rsidR="004748CC" w:rsidRPr="003D66DD">
        <w:rPr>
          <w:rFonts w:ascii="Cambria" w:eastAsia="Times New Roman" w:hAnsi="Cambria"/>
          <w:color w:val="000000"/>
        </w:rPr>
        <w:lastRenderedPageBreak/>
        <w:t xml:space="preserve">and abortion rights (NI), and redress for war-time survivors of sexual violence </w:t>
      </w:r>
      <w:r w:rsidR="00291EA5" w:rsidRPr="003D66DD">
        <w:rPr>
          <w:rFonts w:ascii="Cambria" w:eastAsia="Times New Roman" w:hAnsi="Cambria"/>
          <w:color w:val="000000"/>
        </w:rPr>
        <w:t>(</w:t>
      </w:r>
      <w:proofErr w:type="spellStart"/>
      <w:r w:rsidR="00291EA5" w:rsidRPr="003D66DD">
        <w:rPr>
          <w:rFonts w:ascii="Cambria" w:eastAsia="Times New Roman" w:hAnsi="Cambria"/>
          <w:color w:val="000000"/>
        </w:rPr>
        <w:t>BiH</w:t>
      </w:r>
      <w:proofErr w:type="spellEnd"/>
      <w:r w:rsidR="00291EA5" w:rsidRPr="003D66DD">
        <w:rPr>
          <w:rFonts w:ascii="Cambria" w:eastAsia="Times New Roman" w:hAnsi="Cambria"/>
          <w:color w:val="000000"/>
        </w:rPr>
        <w:t xml:space="preserve">) </w:t>
      </w:r>
      <w:r w:rsidR="001C1280">
        <w:rPr>
          <w:rFonts w:ascii="Cambria" w:eastAsia="Times New Roman" w:hAnsi="Cambria"/>
          <w:color w:val="000000"/>
        </w:rPr>
        <w:t>are</w:t>
      </w:r>
      <w:r w:rsidR="004748CC" w:rsidRPr="003D66DD">
        <w:rPr>
          <w:rFonts w:ascii="Cambria" w:eastAsia="Times New Roman" w:hAnsi="Cambria"/>
          <w:color w:val="000000"/>
        </w:rPr>
        <w:t xml:space="preserve"> </w:t>
      </w:r>
      <w:r w:rsidR="00374E67">
        <w:rPr>
          <w:rFonts w:ascii="Cambria" w:eastAsia="Times New Roman" w:hAnsi="Cambria"/>
          <w:color w:val="000000"/>
        </w:rPr>
        <w:t>framed</w:t>
      </w:r>
      <w:r w:rsidR="004748CC" w:rsidRPr="003D66DD">
        <w:rPr>
          <w:rFonts w:ascii="Cambria" w:eastAsia="Times New Roman" w:hAnsi="Cambria"/>
          <w:color w:val="000000"/>
        </w:rPr>
        <w:t xml:space="preserve"> </w:t>
      </w:r>
      <w:r w:rsidR="00EF7471">
        <w:rPr>
          <w:rFonts w:ascii="Cambria" w:eastAsia="Times New Roman" w:hAnsi="Cambria"/>
          <w:color w:val="000000"/>
        </w:rPr>
        <w:t xml:space="preserve">as illegitimate and </w:t>
      </w:r>
      <w:r w:rsidR="001C1280">
        <w:rPr>
          <w:rFonts w:ascii="Cambria" w:eastAsia="Times New Roman" w:hAnsi="Cambria"/>
          <w:color w:val="000000"/>
        </w:rPr>
        <w:t xml:space="preserve">potentially </w:t>
      </w:r>
      <w:r w:rsidR="00EF7471">
        <w:rPr>
          <w:rFonts w:ascii="Cambria" w:eastAsia="Times New Roman" w:hAnsi="Cambria"/>
          <w:color w:val="000000"/>
        </w:rPr>
        <w:t>destabilis</w:t>
      </w:r>
      <w:r w:rsidR="004748CC" w:rsidRPr="003D66DD">
        <w:rPr>
          <w:rFonts w:ascii="Cambria" w:eastAsia="Times New Roman" w:hAnsi="Cambria"/>
          <w:color w:val="000000"/>
        </w:rPr>
        <w:t xml:space="preserve">ing. </w:t>
      </w:r>
    </w:p>
    <w:p w14:paraId="4CFF3AC5" w14:textId="77777777" w:rsidR="007F5391" w:rsidRPr="003D66DD" w:rsidRDefault="007F5391" w:rsidP="007F5391">
      <w:pPr>
        <w:spacing w:line="360" w:lineRule="auto"/>
        <w:rPr>
          <w:rFonts w:ascii="Cambria" w:eastAsia="Times New Roman" w:hAnsi="Cambria"/>
          <w:color w:val="000000"/>
        </w:rPr>
      </w:pPr>
    </w:p>
    <w:p w14:paraId="5C86666A" w14:textId="4B982273" w:rsidR="004748CC" w:rsidRPr="003D66DD" w:rsidRDefault="004748CC" w:rsidP="007F5391">
      <w:pPr>
        <w:spacing w:line="360" w:lineRule="auto"/>
        <w:rPr>
          <w:rFonts w:ascii="Cambria" w:eastAsia="Times New Roman" w:hAnsi="Cambria"/>
          <w:color w:val="000000"/>
        </w:rPr>
      </w:pPr>
      <w:r w:rsidRPr="003D66DD">
        <w:rPr>
          <w:rFonts w:ascii="Cambria" w:eastAsia="Times New Roman" w:hAnsi="Cambria"/>
          <w:color w:val="000000"/>
        </w:rPr>
        <w:t>Given these logi</w:t>
      </w:r>
      <w:r w:rsidR="007F5391" w:rsidRPr="003D66DD">
        <w:rPr>
          <w:rFonts w:ascii="Cambria" w:eastAsia="Times New Roman" w:hAnsi="Cambria"/>
          <w:color w:val="000000"/>
        </w:rPr>
        <w:t>cs, gendered critiques of ethno</w:t>
      </w:r>
      <w:r w:rsidRPr="003D66DD">
        <w:rPr>
          <w:rFonts w:ascii="Cambria" w:eastAsia="Times New Roman" w:hAnsi="Cambria"/>
          <w:color w:val="000000"/>
        </w:rPr>
        <w:t xml:space="preserve">-masculinist politics, efforts to connect the public and private (for example, </w:t>
      </w:r>
      <w:r w:rsidR="007F5391" w:rsidRPr="003D66DD">
        <w:rPr>
          <w:rFonts w:ascii="Cambria" w:eastAsia="Times New Roman" w:hAnsi="Cambria"/>
          <w:color w:val="000000"/>
        </w:rPr>
        <w:t xml:space="preserve">to expose </w:t>
      </w:r>
      <w:r w:rsidRPr="003D66DD">
        <w:rPr>
          <w:rFonts w:ascii="Cambria" w:eastAsia="Times New Roman" w:hAnsi="Cambria"/>
          <w:color w:val="000000"/>
        </w:rPr>
        <w:t xml:space="preserve">the links between domestic violence and wider notions of security), and the pursuit of cross-cutting alliances around gender equality are all, to some degree, deemed ‘inappropriate’ and subject to sanction. </w:t>
      </w:r>
      <w:r w:rsidR="007F5391" w:rsidRPr="003D66DD">
        <w:rPr>
          <w:rFonts w:ascii="Cambria" w:eastAsia="Times New Roman" w:hAnsi="Cambria"/>
          <w:color w:val="000000"/>
        </w:rPr>
        <w:t xml:space="preserve">Such sanctions </w:t>
      </w:r>
      <w:r w:rsidRPr="003D66DD">
        <w:rPr>
          <w:rFonts w:ascii="Cambria" w:eastAsia="Times New Roman" w:hAnsi="Cambria"/>
          <w:color w:val="000000"/>
        </w:rPr>
        <w:t xml:space="preserve">may involve </w:t>
      </w:r>
      <w:r w:rsidR="00374E67">
        <w:rPr>
          <w:rFonts w:ascii="Cambria" w:eastAsia="Times New Roman" w:hAnsi="Cambria"/>
          <w:color w:val="000000"/>
        </w:rPr>
        <w:t xml:space="preserve">the </w:t>
      </w:r>
      <w:r w:rsidRPr="003D66DD">
        <w:rPr>
          <w:rFonts w:ascii="Cambria" w:eastAsia="Times New Roman" w:hAnsi="Cambria"/>
          <w:color w:val="000000"/>
        </w:rPr>
        <w:t xml:space="preserve">labelling </w:t>
      </w:r>
      <w:r w:rsidR="00374E67">
        <w:rPr>
          <w:rFonts w:ascii="Cambria" w:eastAsia="Times New Roman" w:hAnsi="Cambria"/>
          <w:color w:val="000000"/>
        </w:rPr>
        <w:t>of advocates</w:t>
      </w:r>
      <w:r w:rsidRPr="003D66DD">
        <w:rPr>
          <w:rFonts w:ascii="Cambria" w:eastAsia="Times New Roman" w:hAnsi="Cambria"/>
          <w:color w:val="000000"/>
        </w:rPr>
        <w:t xml:space="preserve"> as ‘traitors’, shunning, and violence and </w:t>
      </w:r>
      <w:r w:rsidR="00291EA5" w:rsidRPr="003D66DD">
        <w:rPr>
          <w:rFonts w:ascii="Cambria" w:eastAsia="Times New Roman" w:hAnsi="Cambria"/>
          <w:color w:val="000000"/>
        </w:rPr>
        <w:t>intimidation.  M</w:t>
      </w:r>
      <w:r w:rsidRPr="003D66DD">
        <w:rPr>
          <w:rFonts w:ascii="Cambria" w:eastAsia="Times New Roman" w:hAnsi="Cambria"/>
          <w:color w:val="000000"/>
        </w:rPr>
        <w:t>ore procedural forms of marginal</w:t>
      </w:r>
      <w:r w:rsidR="00EF7471">
        <w:rPr>
          <w:rFonts w:ascii="Cambria" w:eastAsia="Times New Roman" w:hAnsi="Cambria"/>
          <w:color w:val="000000"/>
        </w:rPr>
        <w:t>is</w:t>
      </w:r>
      <w:r w:rsidRPr="003D66DD">
        <w:rPr>
          <w:rFonts w:ascii="Cambria" w:eastAsia="Times New Roman" w:hAnsi="Cambria"/>
          <w:color w:val="000000"/>
        </w:rPr>
        <w:t xml:space="preserve">ation </w:t>
      </w:r>
      <w:r w:rsidR="00291EA5" w:rsidRPr="003D66DD">
        <w:rPr>
          <w:rFonts w:ascii="Cambria" w:eastAsia="Times New Roman" w:hAnsi="Cambria"/>
          <w:color w:val="000000"/>
        </w:rPr>
        <w:t xml:space="preserve">include, for example, </w:t>
      </w:r>
      <w:r w:rsidRPr="003D66DD">
        <w:rPr>
          <w:rFonts w:ascii="Cambria" w:eastAsia="Times New Roman" w:hAnsi="Cambria"/>
          <w:color w:val="000000"/>
        </w:rPr>
        <w:t xml:space="preserve">the subordination of equalities legislation to the perceived needs of ‘community relations’ </w:t>
      </w:r>
      <w:r w:rsidR="00291EA5" w:rsidRPr="003D66DD">
        <w:rPr>
          <w:rFonts w:ascii="Cambria" w:eastAsia="Times New Roman" w:hAnsi="Cambria"/>
          <w:color w:val="000000"/>
        </w:rPr>
        <w:t xml:space="preserve">by policymakers </w:t>
      </w:r>
      <w:r w:rsidRPr="003D66DD">
        <w:rPr>
          <w:rFonts w:ascii="Cambria" w:eastAsia="Times New Roman" w:hAnsi="Cambria"/>
          <w:color w:val="000000"/>
        </w:rPr>
        <w:t xml:space="preserve">in </w:t>
      </w:r>
      <w:r w:rsidR="00374E67">
        <w:rPr>
          <w:rFonts w:ascii="Cambria" w:eastAsia="Times New Roman" w:hAnsi="Cambria"/>
          <w:color w:val="000000"/>
        </w:rPr>
        <w:t>their</w:t>
      </w:r>
      <w:r w:rsidRPr="003D66DD">
        <w:rPr>
          <w:rFonts w:ascii="Cambria" w:eastAsia="Times New Roman" w:hAnsi="Cambria"/>
          <w:color w:val="000000"/>
        </w:rPr>
        <w:t xml:space="preserve"> translation and implementation.</w:t>
      </w:r>
    </w:p>
    <w:p w14:paraId="2B13CB06" w14:textId="77777777" w:rsidR="004748CC" w:rsidRPr="003D66DD" w:rsidRDefault="004748CC" w:rsidP="004748CC">
      <w:pPr>
        <w:spacing w:line="360" w:lineRule="auto"/>
        <w:rPr>
          <w:rFonts w:ascii="Cambria" w:eastAsia="Times New Roman" w:hAnsi="Cambria"/>
          <w:color w:val="000000"/>
        </w:rPr>
      </w:pPr>
    </w:p>
    <w:p w14:paraId="31607FD8" w14:textId="60CA0C4E" w:rsidR="004748CC" w:rsidRPr="003E04A7" w:rsidRDefault="003E04A7" w:rsidP="004228D5">
      <w:pPr>
        <w:spacing w:line="360" w:lineRule="auto"/>
        <w:outlineLvl w:val="0"/>
        <w:rPr>
          <w:rFonts w:ascii="Cambria" w:eastAsia="Times New Roman" w:hAnsi="Cambria"/>
          <w:b/>
          <w:i/>
          <w:color w:val="000000"/>
        </w:rPr>
      </w:pPr>
      <w:r>
        <w:rPr>
          <w:rFonts w:ascii="Cambria" w:eastAsia="Times New Roman" w:hAnsi="Cambria"/>
          <w:b/>
          <w:i/>
          <w:color w:val="000000"/>
        </w:rPr>
        <w:t>Gendered Actors:  Rule-Makers, Rule-Takers, and Rule-B</w:t>
      </w:r>
      <w:r w:rsidR="004748CC" w:rsidRPr="003E04A7">
        <w:rPr>
          <w:rFonts w:ascii="Cambria" w:eastAsia="Times New Roman" w:hAnsi="Cambria"/>
          <w:b/>
          <w:i/>
          <w:color w:val="000000"/>
        </w:rPr>
        <w:t>reakers</w:t>
      </w:r>
    </w:p>
    <w:p w14:paraId="5E155310" w14:textId="77777777" w:rsidR="004748CC" w:rsidRPr="003D66DD" w:rsidRDefault="004748CC" w:rsidP="004748CC">
      <w:pPr>
        <w:spacing w:line="360" w:lineRule="auto"/>
        <w:rPr>
          <w:rFonts w:ascii="Cambria" w:eastAsia="Times New Roman" w:hAnsi="Cambria"/>
          <w:b/>
          <w:color w:val="000000"/>
        </w:rPr>
      </w:pPr>
    </w:p>
    <w:p w14:paraId="239F515B" w14:textId="77777777" w:rsidR="00F159B5" w:rsidRDefault="004748CC" w:rsidP="00291EA5">
      <w:pPr>
        <w:spacing w:line="360" w:lineRule="auto"/>
        <w:rPr>
          <w:rFonts w:ascii="Cambria" w:eastAsia="Times New Roman" w:hAnsi="Cambria"/>
          <w:color w:val="000000"/>
        </w:rPr>
      </w:pPr>
      <w:r w:rsidRPr="003D66DD">
        <w:rPr>
          <w:rFonts w:ascii="Cambria" w:eastAsia="Times New Roman" w:hAnsi="Cambria"/>
          <w:color w:val="000000"/>
        </w:rPr>
        <w:t>Institutions are created, maintained and contested through human action. The common themes across the three cases are:</w:t>
      </w:r>
      <w:r w:rsidR="006F6555">
        <w:rPr>
          <w:rFonts w:ascii="Cambria" w:eastAsia="Times New Roman" w:hAnsi="Cambria"/>
          <w:color w:val="000000"/>
        </w:rPr>
        <w:t xml:space="preserve"> </w:t>
      </w:r>
    </w:p>
    <w:p w14:paraId="6581EC19" w14:textId="77777777" w:rsidR="00F159B5" w:rsidRDefault="00F159B5" w:rsidP="00291EA5">
      <w:pPr>
        <w:spacing w:line="360" w:lineRule="auto"/>
        <w:rPr>
          <w:rFonts w:ascii="Cambria" w:eastAsia="Times New Roman" w:hAnsi="Cambria"/>
          <w:color w:val="000000"/>
        </w:rPr>
      </w:pPr>
    </w:p>
    <w:p w14:paraId="41B210EE" w14:textId="2023F6D7" w:rsidR="004748CC" w:rsidRPr="006F6555" w:rsidRDefault="00F159B5" w:rsidP="00291EA5">
      <w:pPr>
        <w:spacing w:line="360" w:lineRule="auto"/>
        <w:rPr>
          <w:rFonts w:ascii="Cambria" w:eastAsia="Times New Roman" w:hAnsi="Cambria"/>
          <w:color w:val="000000"/>
        </w:rPr>
      </w:pPr>
      <w:r>
        <w:rPr>
          <w:rFonts w:ascii="Cambria" w:eastAsia="Times New Roman" w:hAnsi="Cambria"/>
          <w:color w:val="000000"/>
        </w:rPr>
        <w:t>F</w:t>
      </w:r>
      <w:r w:rsidR="00326EA7" w:rsidRPr="003D66DD">
        <w:rPr>
          <w:rFonts w:ascii="Cambria" w:eastAsia="Times New Roman" w:hAnsi="Cambria"/>
          <w:color w:val="000000"/>
        </w:rPr>
        <w:t>irstly, t</w:t>
      </w:r>
      <w:r w:rsidR="004748CC" w:rsidRPr="003D66DD">
        <w:rPr>
          <w:rFonts w:ascii="Cambria" w:eastAsia="Times New Roman" w:hAnsi="Cambria"/>
          <w:color w:val="000000"/>
        </w:rPr>
        <w:t xml:space="preserve">he dominance of predominantly male elites across the cases (both international and domestic). </w:t>
      </w:r>
      <w:r w:rsidR="004748CC" w:rsidRPr="003D66DD">
        <w:rPr>
          <w:rStyle w:val="normaltextrun"/>
          <w:rFonts w:ascii="Cambria" w:hAnsi="Cambria"/>
        </w:rPr>
        <w:t xml:space="preserve">In all three cases, </w:t>
      </w:r>
      <w:r w:rsidR="004748CC" w:rsidRPr="003D66DD">
        <w:rPr>
          <w:rFonts w:ascii="Cambria" w:hAnsi="Cambria"/>
        </w:rPr>
        <w:t>international designers have done little to change the</w:t>
      </w:r>
      <w:r w:rsidR="00494962">
        <w:rPr>
          <w:rFonts w:ascii="Cambria" w:hAnsi="Cambria"/>
        </w:rPr>
        <w:t xml:space="preserve"> status quo of the elites </w:t>
      </w:r>
      <w:r w:rsidR="004748CC" w:rsidRPr="003D66DD">
        <w:rPr>
          <w:rFonts w:ascii="Cambria" w:hAnsi="Cambria"/>
        </w:rPr>
        <w:t>who are in the position of enforcing (or not enforcing) new rules, including new gender rules.</w:t>
      </w:r>
    </w:p>
    <w:p w14:paraId="5FD07096" w14:textId="77777777" w:rsidR="00326EA7" w:rsidRPr="003D66DD" w:rsidRDefault="00326EA7" w:rsidP="00291EA5">
      <w:pPr>
        <w:spacing w:line="360" w:lineRule="auto"/>
        <w:rPr>
          <w:rFonts w:ascii="Cambria" w:eastAsia="Times New Roman" w:hAnsi="Cambria"/>
          <w:color w:val="000000"/>
        </w:rPr>
      </w:pPr>
    </w:p>
    <w:p w14:paraId="674045E9" w14:textId="3DE528CB" w:rsidR="004748CC" w:rsidRPr="003D66DD" w:rsidRDefault="00326EA7" w:rsidP="00291EA5">
      <w:pPr>
        <w:spacing w:line="360" w:lineRule="auto"/>
        <w:rPr>
          <w:rFonts w:ascii="Cambria" w:eastAsia="Times New Roman" w:hAnsi="Cambria"/>
          <w:color w:val="000000"/>
        </w:rPr>
      </w:pPr>
      <w:r w:rsidRPr="003D66DD">
        <w:rPr>
          <w:rFonts w:ascii="Cambria" w:eastAsia="Times New Roman" w:hAnsi="Cambria"/>
          <w:color w:val="000000"/>
        </w:rPr>
        <w:t xml:space="preserve">Secondly, </w:t>
      </w:r>
      <w:r w:rsidR="004748CC" w:rsidRPr="003D66DD">
        <w:rPr>
          <w:rFonts w:ascii="Cambria" w:eastAsia="Times New Roman" w:hAnsi="Cambria"/>
          <w:color w:val="000000"/>
        </w:rPr>
        <w:t>gender reform actors both international (</w:t>
      </w:r>
      <w:r w:rsidR="006F6555">
        <w:rPr>
          <w:rFonts w:ascii="Cambria" w:eastAsia="Times New Roman" w:hAnsi="Cambria"/>
          <w:color w:val="000000"/>
        </w:rPr>
        <w:t xml:space="preserve">for example, </w:t>
      </w:r>
      <w:r w:rsidR="004748CC" w:rsidRPr="003D66DD">
        <w:rPr>
          <w:rFonts w:ascii="Cambria" w:eastAsia="Times New Roman" w:hAnsi="Cambria"/>
          <w:color w:val="000000"/>
        </w:rPr>
        <w:t>UNIFEM</w:t>
      </w:r>
      <w:r w:rsidR="006F6555">
        <w:rPr>
          <w:rFonts w:ascii="Cambria" w:eastAsia="Times New Roman" w:hAnsi="Cambria"/>
          <w:color w:val="000000"/>
        </w:rPr>
        <w:t xml:space="preserve">, UN Women, </w:t>
      </w:r>
      <w:r w:rsidR="004748CC" w:rsidRPr="003D66DD">
        <w:rPr>
          <w:rFonts w:ascii="Cambria" w:eastAsia="Times New Roman" w:hAnsi="Cambria"/>
          <w:color w:val="000000"/>
        </w:rPr>
        <w:t>and transnational women’s movements</w:t>
      </w:r>
      <w:r w:rsidR="00374E67">
        <w:rPr>
          <w:rFonts w:ascii="Cambria" w:eastAsia="Times New Roman" w:hAnsi="Cambria"/>
          <w:color w:val="000000"/>
        </w:rPr>
        <w:t xml:space="preserve"> and advocacy groups</w:t>
      </w:r>
      <w:r w:rsidR="004748CC" w:rsidRPr="003D66DD">
        <w:rPr>
          <w:rFonts w:ascii="Cambria" w:eastAsia="Times New Roman" w:hAnsi="Cambria"/>
          <w:color w:val="000000"/>
        </w:rPr>
        <w:t>) and domestic (politicians, women’s movement organisations)</w:t>
      </w:r>
      <w:r w:rsidR="003E04A7">
        <w:rPr>
          <w:rFonts w:ascii="Cambria" w:eastAsia="Times New Roman" w:hAnsi="Cambria"/>
          <w:color w:val="000000"/>
        </w:rPr>
        <w:t xml:space="preserve"> have had a variable impact</w:t>
      </w:r>
      <w:r w:rsidR="00374E67">
        <w:rPr>
          <w:rFonts w:ascii="Cambria" w:eastAsia="Times New Roman" w:hAnsi="Cambria"/>
          <w:color w:val="000000"/>
        </w:rPr>
        <w:t>. W</w:t>
      </w:r>
      <w:r w:rsidR="004748CC" w:rsidRPr="003D66DD">
        <w:rPr>
          <w:rFonts w:ascii="Cambria" w:eastAsia="Times New Roman" w:hAnsi="Cambria"/>
          <w:color w:val="000000"/>
        </w:rPr>
        <w:t xml:space="preserve">e see </w:t>
      </w:r>
      <w:r w:rsidR="004748CC" w:rsidRPr="003D66DD">
        <w:rPr>
          <w:rStyle w:val="normaltextrun"/>
          <w:rFonts w:ascii="Cambria" w:hAnsi="Cambria"/>
        </w:rPr>
        <w:t>marginalisation, contestation and co-optation of women as actors</w:t>
      </w:r>
      <w:r w:rsidR="00374E67">
        <w:rPr>
          <w:rStyle w:val="normaltextrun"/>
          <w:rFonts w:ascii="Cambria" w:hAnsi="Cambria"/>
        </w:rPr>
        <w:t>. W</w:t>
      </w:r>
      <w:r w:rsidR="004748CC" w:rsidRPr="003D66DD">
        <w:rPr>
          <w:rStyle w:val="normaltextrun"/>
          <w:rFonts w:ascii="Cambria" w:hAnsi="Cambria"/>
        </w:rPr>
        <w:t xml:space="preserve">e also see </w:t>
      </w:r>
      <w:r w:rsidR="004748CC" w:rsidRPr="003D66DD">
        <w:rPr>
          <w:rFonts w:ascii="Cambria" w:eastAsia="Times New Roman" w:hAnsi="Cambria"/>
          <w:color w:val="000000"/>
        </w:rPr>
        <w:t xml:space="preserve">evidence of strategic or </w:t>
      </w:r>
      <w:r w:rsidR="00EF7471">
        <w:rPr>
          <w:rFonts w:ascii="Cambria" w:eastAsia="Times New Roman" w:hAnsi="Cambria"/>
          <w:color w:val="000000"/>
        </w:rPr>
        <w:t>creative use of rules by mobilis</w:t>
      </w:r>
      <w:r w:rsidR="004748CC" w:rsidRPr="003D66DD">
        <w:rPr>
          <w:rFonts w:ascii="Cambria" w:eastAsia="Times New Roman" w:hAnsi="Cambria"/>
          <w:color w:val="000000"/>
        </w:rPr>
        <w:t xml:space="preserve">ed women’s and feminist groups sometimes in alliance with transnational feminist actors or allies </w:t>
      </w:r>
      <w:r w:rsidR="00374E67">
        <w:rPr>
          <w:rFonts w:ascii="Cambria" w:eastAsia="Times New Roman" w:hAnsi="Cambria"/>
          <w:color w:val="000000"/>
        </w:rPr>
        <w:t>within the international system. This</w:t>
      </w:r>
      <w:r w:rsidR="004748CC" w:rsidRPr="003D66DD">
        <w:rPr>
          <w:rFonts w:ascii="Cambria" w:eastAsia="Times New Roman" w:hAnsi="Cambria"/>
          <w:color w:val="000000"/>
        </w:rPr>
        <w:t xml:space="preserve"> includ</w:t>
      </w:r>
      <w:r w:rsidR="00374E67">
        <w:rPr>
          <w:rFonts w:ascii="Cambria" w:eastAsia="Times New Roman" w:hAnsi="Cambria"/>
          <w:color w:val="000000"/>
        </w:rPr>
        <w:t>es</w:t>
      </w:r>
      <w:r w:rsidR="004748CC" w:rsidRPr="003D66DD">
        <w:rPr>
          <w:rFonts w:ascii="Cambria" w:eastAsia="Times New Roman" w:hAnsi="Cambria"/>
          <w:color w:val="000000"/>
        </w:rPr>
        <w:t xml:space="preserve"> the deployment of WPS norms to promote the inclusion of women and provisions for gender equality in new frameworks, </w:t>
      </w:r>
      <w:r w:rsidRPr="003D66DD">
        <w:rPr>
          <w:rFonts w:ascii="Cambria" w:eastAsia="Times New Roman" w:hAnsi="Cambria"/>
          <w:color w:val="000000"/>
        </w:rPr>
        <w:t>or the taking advantage of the ‘soft spots’ and ‘gaps’ in existing frameworks to ‘fill in the blanks’</w:t>
      </w:r>
      <w:r w:rsidR="004748CC" w:rsidRPr="003D66DD">
        <w:rPr>
          <w:rFonts w:ascii="Cambria" w:eastAsia="Times New Roman" w:hAnsi="Cambria"/>
          <w:color w:val="000000"/>
        </w:rPr>
        <w:t xml:space="preserve"> with new gender rules.  </w:t>
      </w:r>
    </w:p>
    <w:p w14:paraId="6ADE6C1E" w14:textId="77777777" w:rsidR="006F6555" w:rsidRDefault="006F6555" w:rsidP="00291EA5">
      <w:pPr>
        <w:spacing w:line="360" w:lineRule="auto"/>
        <w:rPr>
          <w:rFonts w:ascii="Cambria" w:eastAsia="Times New Roman" w:hAnsi="Cambria"/>
          <w:color w:val="000000"/>
        </w:rPr>
      </w:pPr>
    </w:p>
    <w:p w14:paraId="27C6F87A" w14:textId="71E6BB66" w:rsidR="004748CC" w:rsidRPr="003D66DD" w:rsidRDefault="004748CC" w:rsidP="00291EA5">
      <w:pPr>
        <w:spacing w:line="360" w:lineRule="auto"/>
        <w:rPr>
          <w:rFonts w:ascii="Cambria" w:eastAsia="Times New Roman" w:hAnsi="Cambria"/>
          <w:color w:val="000000"/>
        </w:rPr>
      </w:pPr>
      <w:r w:rsidRPr="003D66DD">
        <w:rPr>
          <w:rFonts w:ascii="Cambria" w:eastAsia="Times New Roman" w:hAnsi="Cambria"/>
          <w:color w:val="000000"/>
        </w:rPr>
        <w:lastRenderedPageBreak/>
        <w:t xml:space="preserve">We see the promotion of and to resistance to gendered change by domestic and international actors, as well as more indirect effects of actors following </w:t>
      </w:r>
      <w:r w:rsidR="006F6555">
        <w:rPr>
          <w:rFonts w:ascii="Cambria" w:eastAsia="Times New Roman" w:hAnsi="Cambria"/>
          <w:color w:val="000000"/>
        </w:rPr>
        <w:t xml:space="preserve">gendered </w:t>
      </w:r>
      <w:r w:rsidRPr="003D66DD">
        <w:rPr>
          <w:rFonts w:ascii="Cambria" w:eastAsia="Times New Roman" w:hAnsi="Cambria"/>
          <w:color w:val="000000"/>
        </w:rPr>
        <w:t xml:space="preserve">logics of appropriateness. </w:t>
      </w:r>
    </w:p>
    <w:p w14:paraId="45FA63FD" w14:textId="77777777" w:rsidR="00326EA7" w:rsidRPr="003D66DD" w:rsidRDefault="00326EA7" w:rsidP="00291EA5">
      <w:pPr>
        <w:spacing w:line="360" w:lineRule="auto"/>
        <w:rPr>
          <w:rFonts w:ascii="Cambria" w:eastAsia="Times New Roman" w:hAnsi="Cambria"/>
          <w:color w:val="000000"/>
        </w:rPr>
      </w:pPr>
    </w:p>
    <w:p w14:paraId="17372B54" w14:textId="77777777" w:rsidR="004748CC" w:rsidRPr="003D66DD" w:rsidRDefault="004748CC" w:rsidP="00291EA5">
      <w:pPr>
        <w:spacing w:line="360" w:lineRule="auto"/>
        <w:rPr>
          <w:rFonts w:ascii="Cambria" w:eastAsia="Times New Roman" w:hAnsi="Cambria"/>
          <w:color w:val="000000"/>
        </w:rPr>
      </w:pPr>
      <w:r w:rsidRPr="003D66DD">
        <w:rPr>
          <w:rFonts w:ascii="Cambria" w:eastAsia="Times New Roman" w:hAnsi="Cambria"/>
          <w:color w:val="000000"/>
        </w:rPr>
        <w:t xml:space="preserve">In all three cases, there are significant shortfalls in rules of enforcement for new gender provisions, or in their application in cases where monitoring and evaluation requirements formally exist. </w:t>
      </w:r>
    </w:p>
    <w:p w14:paraId="546AAD94" w14:textId="77777777" w:rsidR="004748CC" w:rsidRPr="003D66DD" w:rsidRDefault="004748CC" w:rsidP="004748CC">
      <w:pPr>
        <w:pStyle w:val="ListParagraph"/>
        <w:spacing w:after="0" w:line="360" w:lineRule="auto"/>
        <w:rPr>
          <w:rFonts w:ascii="Cambria" w:eastAsia="Times New Roman" w:hAnsi="Cambria" w:cs="Times New Roman"/>
          <w:color w:val="000000"/>
          <w:sz w:val="24"/>
          <w:szCs w:val="24"/>
        </w:rPr>
      </w:pPr>
    </w:p>
    <w:p w14:paraId="75E6F06E" w14:textId="4545C637" w:rsidR="004748CC" w:rsidRPr="003D66DD" w:rsidRDefault="004748CC" w:rsidP="004228D5">
      <w:pPr>
        <w:spacing w:line="360" w:lineRule="auto"/>
        <w:outlineLvl w:val="0"/>
        <w:rPr>
          <w:rFonts w:ascii="Cambria" w:eastAsia="Times New Roman" w:hAnsi="Cambria"/>
          <w:b/>
          <w:color w:val="000000"/>
        </w:rPr>
      </w:pPr>
      <w:r w:rsidRPr="003D66DD">
        <w:rPr>
          <w:rFonts w:ascii="Cambria" w:eastAsia="Times New Roman" w:hAnsi="Cambria"/>
          <w:b/>
          <w:color w:val="000000"/>
        </w:rPr>
        <w:t>Conclusions: A Fem</w:t>
      </w:r>
      <w:r w:rsidR="003E04A7">
        <w:rPr>
          <w:rFonts w:ascii="Cambria" w:eastAsia="Times New Roman" w:hAnsi="Cambria"/>
          <w:b/>
          <w:color w:val="000000"/>
        </w:rPr>
        <w:t>inist Institutionalist Lens on G</w:t>
      </w:r>
      <w:r w:rsidRPr="003D66DD">
        <w:rPr>
          <w:rFonts w:ascii="Cambria" w:eastAsia="Times New Roman" w:hAnsi="Cambria"/>
          <w:b/>
          <w:color w:val="000000"/>
        </w:rPr>
        <w:t xml:space="preserve">ender and </w:t>
      </w:r>
      <w:r w:rsidR="003E04A7">
        <w:rPr>
          <w:rFonts w:ascii="Cambria" w:eastAsia="Times New Roman" w:hAnsi="Cambria"/>
          <w:b/>
          <w:color w:val="000000"/>
        </w:rPr>
        <w:t>Power-S</w:t>
      </w:r>
      <w:r w:rsidR="004228D5" w:rsidRPr="003D66DD">
        <w:rPr>
          <w:rFonts w:ascii="Cambria" w:eastAsia="Times New Roman" w:hAnsi="Cambria"/>
          <w:b/>
          <w:color w:val="000000"/>
        </w:rPr>
        <w:t>haring</w:t>
      </w:r>
      <w:r w:rsidRPr="003D66DD">
        <w:rPr>
          <w:rFonts w:ascii="Cambria" w:eastAsia="Times New Roman" w:hAnsi="Cambria"/>
          <w:b/>
          <w:color w:val="000000"/>
        </w:rPr>
        <w:t xml:space="preserve"> </w:t>
      </w:r>
    </w:p>
    <w:p w14:paraId="5A09EDE4" w14:textId="77777777" w:rsidR="005A5F27" w:rsidRPr="003D66DD" w:rsidRDefault="005A5F27" w:rsidP="004748CC">
      <w:pPr>
        <w:spacing w:line="360" w:lineRule="auto"/>
        <w:rPr>
          <w:rFonts w:ascii="Cambria" w:eastAsia="Times New Roman" w:hAnsi="Cambria"/>
          <w:color w:val="000000"/>
        </w:rPr>
      </w:pPr>
    </w:p>
    <w:p w14:paraId="73805DEF" w14:textId="02E43067" w:rsidR="004748CC" w:rsidRPr="003D66DD" w:rsidRDefault="004748CC" w:rsidP="004748CC">
      <w:pPr>
        <w:spacing w:line="360" w:lineRule="auto"/>
        <w:rPr>
          <w:rFonts w:ascii="Cambria" w:eastAsia="Times New Roman" w:hAnsi="Cambria"/>
          <w:color w:val="000000"/>
        </w:rPr>
      </w:pPr>
      <w:r w:rsidRPr="003D66DD">
        <w:rPr>
          <w:rFonts w:ascii="Cambria" w:eastAsia="Times New Roman" w:hAnsi="Cambria"/>
          <w:color w:val="000000"/>
        </w:rPr>
        <w:t xml:space="preserve">This exploratory and illustrative exercise has </w:t>
      </w:r>
      <w:r w:rsidR="005A5F27" w:rsidRPr="003D66DD">
        <w:rPr>
          <w:rFonts w:ascii="Cambria" w:eastAsia="Times New Roman" w:hAnsi="Cambria"/>
          <w:color w:val="000000"/>
        </w:rPr>
        <w:t>applied an FI lens</w:t>
      </w:r>
      <w:r w:rsidRPr="003D66DD">
        <w:rPr>
          <w:rFonts w:ascii="Cambria" w:eastAsia="Times New Roman" w:hAnsi="Cambria"/>
          <w:color w:val="000000"/>
        </w:rPr>
        <w:t xml:space="preserve"> to try to better understand the </w:t>
      </w:r>
      <w:r w:rsidR="005A5F27" w:rsidRPr="003D66DD">
        <w:rPr>
          <w:rFonts w:ascii="Cambria" w:eastAsia="Times New Roman" w:hAnsi="Cambria"/>
          <w:color w:val="000000"/>
        </w:rPr>
        <w:t xml:space="preserve">apparent </w:t>
      </w:r>
      <w:r w:rsidRPr="003D66DD">
        <w:rPr>
          <w:rFonts w:ascii="Cambria" w:eastAsia="Times New Roman" w:hAnsi="Cambria"/>
          <w:color w:val="000000"/>
        </w:rPr>
        <w:t xml:space="preserve">tension between </w:t>
      </w:r>
      <w:r w:rsidR="004228D5" w:rsidRPr="003D66DD">
        <w:rPr>
          <w:rFonts w:ascii="Cambria" w:eastAsia="Times New Roman" w:hAnsi="Cambria"/>
          <w:color w:val="000000"/>
        </w:rPr>
        <w:t>power-sharing</w:t>
      </w:r>
      <w:r w:rsidR="00F66160" w:rsidRPr="003D66DD">
        <w:rPr>
          <w:rFonts w:ascii="Cambria" w:eastAsia="Times New Roman" w:hAnsi="Cambria"/>
          <w:color w:val="000000"/>
        </w:rPr>
        <w:t xml:space="preserve"> – </w:t>
      </w:r>
      <w:r w:rsidRPr="003D66DD">
        <w:rPr>
          <w:rFonts w:ascii="Cambria" w:eastAsia="Times New Roman" w:hAnsi="Cambria"/>
          <w:color w:val="000000"/>
        </w:rPr>
        <w:t xml:space="preserve">as the dominant institutional framework in conflict resolution – and the inclusion of women and provisions to promote gender equality as exemplified by the burgeoning WPS agenda. </w:t>
      </w:r>
    </w:p>
    <w:p w14:paraId="1EA098C1" w14:textId="77777777" w:rsidR="004748CC" w:rsidRPr="003D66DD" w:rsidRDefault="004748CC" w:rsidP="004748CC">
      <w:pPr>
        <w:spacing w:line="360" w:lineRule="auto"/>
        <w:rPr>
          <w:rFonts w:ascii="Cambria" w:eastAsia="Times New Roman" w:hAnsi="Cambria"/>
          <w:color w:val="000000"/>
        </w:rPr>
      </w:pPr>
    </w:p>
    <w:p w14:paraId="050284FD" w14:textId="77777777" w:rsidR="00291EA5" w:rsidRPr="003D66DD" w:rsidRDefault="004748CC" w:rsidP="00291EA5">
      <w:pPr>
        <w:spacing w:line="360" w:lineRule="auto"/>
        <w:rPr>
          <w:rFonts w:ascii="Cambria" w:eastAsia="Times New Roman" w:hAnsi="Cambria"/>
          <w:color w:val="000000"/>
        </w:rPr>
      </w:pPr>
      <w:r w:rsidRPr="003D66DD">
        <w:rPr>
          <w:rFonts w:ascii="Cambria" w:eastAsia="Times New Roman" w:hAnsi="Cambria"/>
          <w:color w:val="000000"/>
        </w:rPr>
        <w:t xml:space="preserve">This </w:t>
      </w:r>
      <w:r w:rsidR="00291EA5" w:rsidRPr="003D66DD">
        <w:rPr>
          <w:rFonts w:ascii="Cambria" w:eastAsia="Times New Roman" w:hAnsi="Cambria"/>
          <w:color w:val="000000"/>
        </w:rPr>
        <w:t>article</w:t>
      </w:r>
      <w:r w:rsidRPr="003D66DD">
        <w:rPr>
          <w:rFonts w:ascii="Cambria" w:eastAsia="Times New Roman" w:hAnsi="Cambria"/>
          <w:color w:val="000000"/>
        </w:rPr>
        <w:t xml:space="preserve"> makes five contributions:</w:t>
      </w:r>
      <w:r w:rsidR="00291EA5" w:rsidRPr="003D66DD">
        <w:rPr>
          <w:rFonts w:ascii="Cambria" w:eastAsia="Times New Roman" w:hAnsi="Cambria"/>
          <w:color w:val="000000"/>
        </w:rPr>
        <w:t xml:space="preserve"> </w:t>
      </w:r>
    </w:p>
    <w:p w14:paraId="44C78552" w14:textId="77777777" w:rsidR="00291EA5" w:rsidRPr="003D66DD" w:rsidRDefault="00291EA5" w:rsidP="00291EA5">
      <w:pPr>
        <w:spacing w:line="360" w:lineRule="auto"/>
        <w:rPr>
          <w:rFonts w:ascii="Cambria" w:eastAsia="Times New Roman" w:hAnsi="Cambria"/>
          <w:color w:val="000000"/>
        </w:rPr>
      </w:pPr>
    </w:p>
    <w:p w14:paraId="7CFD3368" w14:textId="77777777" w:rsidR="000A587A" w:rsidRPr="003D66DD" w:rsidRDefault="00291EA5" w:rsidP="00291EA5">
      <w:pPr>
        <w:spacing w:line="360" w:lineRule="auto"/>
        <w:rPr>
          <w:rFonts w:ascii="Cambria" w:hAnsi="Cambria"/>
          <w:color w:val="1C1D1E"/>
        </w:rPr>
      </w:pPr>
      <w:r w:rsidRPr="003D66DD">
        <w:rPr>
          <w:rFonts w:ascii="Cambria" w:hAnsi="Cambria"/>
          <w:color w:val="1C1D1E"/>
        </w:rPr>
        <w:t>Firstly, i</w:t>
      </w:r>
      <w:r w:rsidR="004748CC" w:rsidRPr="003D66DD">
        <w:rPr>
          <w:rFonts w:ascii="Cambria" w:hAnsi="Cambria"/>
          <w:color w:val="1C1D1E"/>
        </w:rPr>
        <w:t xml:space="preserve">t contributes concepts such as </w:t>
      </w:r>
      <w:r w:rsidR="004748CC" w:rsidRPr="003D66DD">
        <w:rPr>
          <w:rFonts w:ascii="Cambria" w:hAnsi="Cambria"/>
          <w:i/>
          <w:color w:val="1C1D1E"/>
        </w:rPr>
        <w:t>nested newness</w:t>
      </w:r>
      <w:r w:rsidR="004748CC" w:rsidRPr="003D66DD">
        <w:rPr>
          <w:rFonts w:ascii="Cambria" w:hAnsi="Cambria"/>
          <w:color w:val="1C1D1E"/>
        </w:rPr>
        <w:t xml:space="preserve">, </w:t>
      </w:r>
      <w:r w:rsidR="004748CC" w:rsidRPr="003D66DD">
        <w:rPr>
          <w:rFonts w:ascii="Cambria" w:hAnsi="Cambria"/>
          <w:i/>
          <w:color w:val="1C1D1E"/>
        </w:rPr>
        <w:t>formal and informal institutional dynamics</w:t>
      </w:r>
      <w:r w:rsidR="004748CC" w:rsidRPr="003D66DD">
        <w:rPr>
          <w:rFonts w:ascii="Cambria" w:hAnsi="Cambria"/>
          <w:color w:val="1C1D1E"/>
        </w:rPr>
        <w:t xml:space="preserve">, </w:t>
      </w:r>
      <w:r w:rsidR="004748CC" w:rsidRPr="003D66DD">
        <w:rPr>
          <w:rFonts w:ascii="Cambria" w:hAnsi="Cambria"/>
          <w:i/>
          <w:color w:val="1C1D1E"/>
        </w:rPr>
        <w:t>gendered logics of appropriateness</w:t>
      </w:r>
      <w:r w:rsidR="004748CC" w:rsidRPr="003D66DD">
        <w:rPr>
          <w:rFonts w:ascii="Cambria" w:hAnsi="Cambria"/>
          <w:color w:val="1C1D1E"/>
        </w:rPr>
        <w:t xml:space="preserve">, and </w:t>
      </w:r>
      <w:r w:rsidR="004748CC" w:rsidRPr="003D66DD">
        <w:rPr>
          <w:rFonts w:ascii="Cambria" w:hAnsi="Cambria"/>
          <w:i/>
          <w:color w:val="1C1D1E"/>
        </w:rPr>
        <w:t>gendered actors</w:t>
      </w:r>
      <w:r w:rsidR="004748CC" w:rsidRPr="003D66DD">
        <w:rPr>
          <w:rFonts w:ascii="Cambria" w:hAnsi="Cambria"/>
          <w:color w:val="1C1D1E"/>
        </w:rPr>
        <w:t xml:space="preserve"> to the literature on </w:t>
      </w:r>
      <w:r w:rsidR="004228D5" w:rsidRPr="003D66DD">
        <w:rPr>
          <w:rFonts w:ascii="Cambria" w:hAnsi="Cambria"/>
          <w:color w:val="1C1D1E"/>
        </w:rPr>
        <w:t>power-sharing</w:t>
      </w:r>
      <w:r w:rsidR="004748CC" w:rsidRPr="003D66DD">
        <w:rPr>
          <w:rFonts w:ascii="Cambria" w:hAnsi="Cambria"/>
          <w:color w:val="1C1D1E"/>
        </w:rPr>
        <w:t xml:space="preserve"> and post-conflict institutional design and reform processes.</w:t>
      </w:r>
      <w:r w:rsidRPr="003D66DD">
        <w:rPr>
          <w:rFonts w:ascii="Cambria" w:hAnsi="Cambria"/>
          <w:color w:val="1C1D1E"/>
        </w:rPr>
        <w:t xml:space="preserve"> </w:t>
      </w:r>
    </w:p>
    <w:p w14:paraId="50AB26C7" w14:textId="77777777" w:rsidR="000A587A" w:rsidRPr="003D66DD" w:rsidRDefault="000A587A" w:rsidP="00291EA5">
      <w:pPr>
        <w:spacing w:line="360" w:lineRule="auto"/>
        <w:rPr>
          <w:rFonts w:ascii="Cambria" w:hAnsi="Cambria"/>
          <w:color w:val="1C1D1E"/>
        </w:rPr>
      </w:pPr>
    </w:p>
    <w:p w14:paraId="50FB916F" w14:textId="77777777" w:rsidR="000A587A" w:rsidRPr="003D66DD" w:rsidRDefault="004748CC" w:rsidP="00291EA5">
      <w:pPr>
        <w:spacing w:line="360" w:lineRule="auto"/>
        <w:rPr>
          <w:rFonts w:ascii="Cambria" w:hAnsi="Cambria"/>
          <w:color w:val="000000"/>
        </w:rPr>
      </w:pPr>
      <w:r w:rsidRPr="003D66DD">
        <w:rPr>
          <w:rFonts w:ascii="Cambria" w:hAnsi="Cambria"/>
          <w:color w:val="1C1D1E"/>
        </w:rPr>
        <w:t>Second</w:t>
      </w:r>
      <w:r w:rsidR="00291EA5" w:rsidRPr="003D66DD">
        <w:rPr>
          <w:rFonts w:ascii="Cambria" w:hAnsi="Cambria"/>
          <w:color w:val="1C1D1E"/>
        </w:rPr>
        <w:t>ly</w:t>
      </w:r>
      <w:r w:rsidRPr="003D66DD">
        <w:rPr>
          <w:rFonts w:ascii="Cambria" w:hAnsi="Cambria"/>
          <w:color w:val="1C1D1E"/>
        </w:rPr>
        <w:t>, it improves our understanding of why the introduction of new formal rules does not always result in the outcomes intended and desired by institutional designers in different contexts and</w:t>
      </w:r>
      <w:r w:rsidRPr="003D66DD">
        <w:rPr>
          <w:rFonts w:ascii="Cambria" w:hAnsi="Cambria"/>
          <w:color w:val="000000"/>
        </w:rPr>
        <w:t xml:space="preserve"> </w:t>
      </w:r>
      <w:r w:rsidRPr="003D66DD">
        <w:rPr>
          <w:rFonts w:ascii="Cambria" w:hAnsi="Cambria"/>
          <w:i/>
          <w:color w:val="000000"/>
        </w:rPr>
        <w:t>why</w:t>
      </w:r>
      <w:r w:rsidRPr="003D66DD">
        <w:rPr>
          <w:rFonts w:ascii="Cambria" w:hAnsi="Cambria"/>
          <w:color w:val="000000"/>
        </w:rPr>
        <w:t xml:space="preserve"> it has been so difficult for gender progressive institutional innovations to be instantiated. </w:t>
      </w:r>
    </w:p>
    <w:p w14:paraId="555B2F90" w14:textId="77777777" w:rsidR="000A587A" w:rsidRPr="003D66DD" w:rsidRDefault="000A587A" w:rsidP="00291EA5">
      <w:pPr>
        <w:spacing w:line="360" w:lineRule="auto"/>
        <w:rPr>
          <w:rFonts w:ascii="Cambria" w:hAnsi="Cambria"/>
          <w:color w:val="000000"/>
        </w:rPr>
      </w:pPr>
    </w:p>
    <w:p w14:paraId="7E6C5636" w14:textId="253B1F2E" w:rsidR="000A587A" w:rsidRPr="003D66DD" w:rsidRDefault="004748CC" w:rsidP="000A587A">
      <w:pPr>
        <w:spacing w:line="360" w:lineRule="auto"/>
        <w:rPr>
          <w:rFonts w:ascii="Cambria" w:hAnsi="Cambria"/>
          <w:color w:val="000000"/>
        </w:rPr>
      </w:pPr>
      <w:r w:rsidRPr="003D66DD">
        <w:rPr>
          <w:rFonts w:ascii="Cambria" w:hAnsi="Cambria"/>
          <w:color w:val="1C1D1E"/>
        </w:rPr>
        <w:t>Thirdly</w:t>
      </w:r>
      <w:r w:rsidR="00291EA5" w:rsidRPr="003D66DD">
        <w:rPr>
          <w:rFonts w:ascii="Cambria" w:hAnsi="Cambria"/>
          <w:color w:val="1C1D1E"/>
        </w:rPr>
        <w:t>,</w:t>
      </w:r>
      <w:r w:rsidR="00EF7471">
        <w:rPr>
          <w:rFonts w:ascii="Cambria" w:hAnsi="Cambria"/>
          <w:color w:val="1C1D1E"/>
        </w:rPr>
        <w:t xml:space="preserve"> by overtly recognis</w:t>
      </w:r>
      <w:r w:rsidRPr="003D66DD">
        <w:rPr>
          <w:rFonts w:ascii="Cambria" w:hAnsi="Cambria"/>
          <w:color w:val="1C1D1E"/>
        </w:rPr>
        <w:t xml:space="preserve">ing the formal and informal and their interaction, it also contributes to the feminist analysis of political settlements including </w:t>
      </w:r>
      <w:r w:rsidR="004228D5" w:rsidRPr="003D66DD">
        <w:rPr>
          <w:rFonts w:ascii="Cambria" w:hAnsi="Cambria"/>
          <w:color w:val="1C1D1E"/>
        </w:rPr>
        <w:t>power-sharing</w:t>
      </w:r>
      <w:r w:rsidRPr="003D66DD">
        <w:rPr>
          <w:rFonts w:ascii="Cambria" w:hAnsi="Cambria"/>
          <w:color w:val="1C1D1E"/>
        </w:rPr>
        <w:t xml:space="preserve"> models</w:t>
      </w:r>
      <w:r w:rsidRPr="003D66DD">
        <w:rPr>
          <w:rFonts w:ascii="Cambria" w:hAnsi="Cambria"/>
          <w:color w:val="000000"/>
        </w:rPr>
        <w:t xml:space="preserve">. </w:t>
      </w:r>
      <w:r w:rsidRPr="003D66DD">
        <w:rPr>
          <w:rFonts w:ascii="Cambria" w:hAnsi="Cambria"/>
          <w:color w:val="1C1D1E"/>
        </w:rPr>
        <w:t xml:space="preserve">It offers </w:t>
      </w:r>
      <w:r w:rsidR="00291EA5" w:rsidRPr="003D66DD">
        <w:rPr>
          <w:rFonts w:ascii="Cambria" w:hAnsi="Cambria"/>
          <w:color w:val="1C1D1E"/>
        </w:rPr>
        <w:t>several</w:t>
      </w:r>
      <w:r w:rsidRPr="003D66DD">
        <w:rPr>
          <w:rFonts w:ascii="Cambria" w:hAnsi="Cambria"/>
          <w:color w:val="1C1D1E"/>
        </w:rPr>
        <w:t xml:space="preserve"> linked insights about the explicit and implicit ways institutional design and gendered logics of appropriateness instantiate institutions and outcomes over the longer haul. In particular, </w:t>
      </w:r>
      <w:r w:rsidR="00291EA5" w:rsidRPr="003D66DD">
        <w:rPr>
          <w:rFonts w:ascii="Cambria" w:hAnsi="Cambria"/>
          <w:color w:val="1C1D1E"/>
        </w:rPr>
        <w:t>we highlight</w:t>
      </w:r>
      <w:r w:rsidRPr="003D66DD">
        <w:rPr>
          <w:rFonts w:ascii="Cambria" w:hAnsi="Cambria"/>
          <w:color w:val="1C1D1E"/>
        </w:rPr>
        <w:t xml:space="preserve"> the way that institutional settlements that privilege stability o</w:t>
      </w:r>
      <w:r w:rsidR="00EF7471">
        <w:rPr>
          <w:rFonts w:ascii="Cambria" w:hAnsi="Cambria"/>
          <w:color w:val="1C1D1E"/>
        </w:rPr>
        <w:t>ver transformation, and recognis</w:t>
      </w:r>
      <w:r w:rsidRPr="003D66DD">
        <w:rPr>
          <w:rFonts w:ascii="Cambria" w:hAnsi="Cambria"/>
          <w:color w:val="1C1D1E"/>
        </w:rPr>
        <w:t xml:space="preserve">e and accommodate difference </w:t>
      </w:r>
      <w:r w:rsidRPr="003D66DD">
        <w:rPr>
          <w:rFonts w:ascii="Cambria" w:hAnsi="Cambria"/>
          <w:color w:val="1C1D1E"/>
        </w:rPr>
        <w:lastRenderedPageBreak/>
        <w:t>along only one dimension</w:t>
      </w:r>
      <w:r w:rsidR="003E04A7">
        <w:rPr>
          <w:rFonts w:ascii="Cambria" w:hAnsi="Cambria"/>
          <w:color w:val="1C1D1E"/>
        </w:rPr>
        <w:t>,</w:t>
      </w:r>
      <w:r w:rsidRPr="003D66DD">
        <w:rPr>
          <w:rFonts w:ascii="Cambria" w:hAnsi="Cambria"/>
          <w:color w:val="1C1D1E"/>
        </w:rPr>
        <w:t xml:space="preserve"> work to</w:t>
      </w:r>
      <w:r w:rsidR="00EF7471">
        <w:rPr>
          <w:rFonts w:ascii="Cambria" w:hAnsi="Cambria"/>
          <w:color w:val="1C1D1E"/>
        </w:rPr>
        <w:t xml:space="preserve"> incentivis</w:t>
      </w:r>
      <w:r w:rsidRPr="003D66DD">
        <w:rPr>
          <w:rFonts w:ascii="Cambria" w:hAnsi="Cambria"/>
          <w:color w:val="1C1D1E"/>
        </w:rPr>
        <w:t>e and fix the gender status quo, dilu</w:t>
      </w:r>
      <w:r w:rsidR="00EF7471">
        <w:rPr>
          <w:rFonts w:ascii="Cambria" w:hAnsi="Cambria"/>
          <w:color w:val="1C1D1E"/>
        </w:rPr>
        <w:t>te gender reforms, and marginalise and stigmatis</w:t>
      </w:r>
      <w:r w:rsidRPr="003D66DD">
        <w:rPr>
          <w:rFonts w:ascii="Cambria" w:hAnsi="Cambria"/>
          <w:color w:val="1C1D1E"/>
        </w:rPr>
        <w:t xml:space="preserve">e women. Observed in its breach, </w:t>
      </w:r>
      <w:r w:rsidRPr="003D66DD">
        <w:rPr>
          <w:rFonts w:ascii="Cambria" w:hAnsi="Cambria"/>
          <w:color w:val="000000"/>
        </w:rPr>
        <w:t>the logic links the gendered status quo of dominance and deference with the delivery of stability, predictability, and predominant norms of ethno</w:t>
      </w:r>
      <w:r w:rsidR="003E04A7">
        <w:rPr>
          <w:rFonts w:ascii="Cambria" w:hAnsi="Cambria"/>
          <w:color w:val="000000"/>
        </w:rPr>
        <w:t>-</w:t>
      </w:r>
      <w:r w:rsidRPr="003D66DD">
        <w:rPr>
          <w:rFonts w:ascii="Cambria" w:hAnsi="Cambria"/>
          <w:color w:val="000000"/>
        </w:rPr>
        <w:t xml:space="preserve">nationalism. </w:t>
      </w:r>
    </w:p>
    <w:p w14:paraId="797D05AC" w14:textId="77777777" w:rsidR="000A587A" w:rsidRPr="003D66DD" w:rsidRDefault="000A587A" w:rsidP="000A587A">
      <w:pPr>
        <w:spacing w:line="360" w:lineRule="auto"/>
        <w:rPr>
          <w:rFonts w:ascii="Cambria" w:hAnsi="Cambria"/>
          <w:color w:val="000000"/>
        </w:rPr>
      </w:pPr>
    </w:p>
    <w:p w14:paraId="5F60EED0" w14:textId="246E911B" w:rsidR="004748CC" w:rsidRPr="003D66DD" w:rsidRDefault="004748CC" w:rsidP="000A587A">
      <w:pPr>
        <w:spacing w:line="360" w:lineRule="auto"/>
        <w:rPr>
          <w:rFonts w:ascii="Cambria" w:eastAsia="Times New Roman" w:hAnsi="Cambria"/>
          <w:color w:val="000000"/>
        </w:rPr>
      </w:pPr>
      <w:r w:rsidRPr="003D66DD">
        <w:rPr>
          <w:rFonts w:ascii="Cambria" w:hAnsi="Cambria"/>
          <w:color w:val="1C1D1E"/>
        </w:rPr>
        <w:t>Fourthly, by exposing the contingency of formal institutional settlements, their daily maintenance, and the ongoing processes of contestation by shifting coalitions of actors</w:t>
      </w:r>
      <w:r w:rsidR="003E04A7">
        <w:rPr>
          <w:rFonts w:ascii="Cambria" w:hAnsi="Cambria"/>
          <w:color w:val="1C1D1E"/>
        </w:rPr>
        <w:t>,</w:t>
      </w:r>
      <w:r w:rsidRPr="003D66DD">
        <w:rPr>
          <w:rFonts w:ascii="Cambria" w:hAnsi="Cambria"/>
          <w:color w:val="1C1D1E"/>
        </w:rPr>
        <w:t xml:space="preserve"> we provide dynamic understandings of change and highlight the constraints and resources that institutions (including informal institutions, and institutional logics) provide for actors. The critical point is that institutions and the hierarchies and power distributions they produce are open to challenge, including the dominant gender regime and the prevailing gendered logic of appropriateness.</w:t>
      </w:r>
    </w:p>
    <w:p w14:paraId="4C4FA326" w14:textId="77777777" w:rsidR="000A587A" w:rsidRPr="003D66DD" w:rsidRDefault="000A587A" w:rsidP="004748CC">
      <w:pPr>
        <w:spacing w:line="360" w:lineRule="auto"/>
        <w:rPr>
          <w:rFonts w:ascii="Cambria" w:eastAsia="Times New Roman" w:hAnsi="Cambria"/>
          <w:color w:val="000000"/>
        </w:rPr>
      </w:pPr>
    </w:p>
    <w:p w14:paraId="1CCFC9A6" w14:textId="4F11FF83" w:rsidR="000F7F2A" w:rsidRPr="003D66DD" w:rsidRDefault="000A587A" w:rsidP="004748CC">
      <w:pPr>
        <w:spacing w:line="360" w:lineRule="auto"/>
        <w:rPr>
          <w:rFonts w:ascii="Cambria" w:hAnsi="Cambria"/>
          <w:color w:val="1C1D1E"/>
        </w:rPr>
      </w:pPr>
      <w:r w:rsidRPr="003D66DD">
        <w:rPr>
          <w:rFonts w:ascii="Cambria" w:eastAsia="Times New Roman" w:hAnsi="Cambria"/>
          <w:color w:val="000000"/>
        </w:rPr>
        <w:t>And finally, i</w:t>
      </w:r>
      <w:r w:rsidR="004748CC" w:rsidRPr="003D66DD">
        <w:rPr>
          <w:rFonts w:ascii="Cambria" w:eastAsia="Times New Roman" w:hAnsi="Cambria"/>
          <w:color w:val="000000"/>
        </w:rPr>
        <w:t>n so doing, we answer the call of Byrne and McCulloch (2012) for more</w:t>
      </w:r>
      <w:r w:rsidR="00EF7471">
        <w:rPr>
          <w:rFonts w:ascii="Cambria" w:eastAsia="Times New Roman" w:hAnsi="Cambria"/>
          <w:color w:val="000000"/>
        </w:rPr>
        <w:t xml:space="preserve"> systematic analysis and theoris</w:t>
      </w:r>
      <w:r w:rsidR="004748CC" w:rsidRPr="003D66DD">
        <w:rPr>
          <w:rFonts w:ascii="Cambria" w:eastAsia="Times New Roman" w:hAnsi="Cambria"/>
          <w:color w:val="000000"/>
        </w:rPr>
        <w:t xml:space="preserve">ing around the gendered paradox of </w:t>
      </w:r>
      <w:r w:rsidR="004228D5" w:rsidRPr="003D66DD">
        <w:rPr>
          <w:rFonts w:ascii="Cambria" w:eastAsia="Times New Roman" w:hAnsi="Cambria"/>
          <w:color w:val="000000"/>
        </w:rPr>
        <w:t>power-sharing</w:t>
      </w:r>
      <w:r w:rsidR="004748CC" w:rsidRPr="003D66DD">
        <w:rPr>
          <w:rFonts w:ascii="Cambria" w:eastAsia="Times New Roman" w:hAnsi="Cambria"/>
          <w:color w:val="000000"/>
        </w:rPr>
        <w:t xml:space="preserve"> and</w:t>
      </w:r>
      <w:r w:rsidR="00494962">
        <w:rPr>
          <w:rFonts w:ascii="Cambria" w:eastAsia="Times New Roman" w:hAnsi="Cambria"/>
          <w:color w:val="000000"/>
        </w:rPr>
        <w:t xml:space="preserve">, hence, </w:t>
      </w:r>
      <w:r w:rsidR="004748CC" w:rsidRPr="003D66DD">
        <w:rPr>
          <w:rFonts w:ascii="Cambria" w:eastAsia="Times New Roman" w:hAnsi="Cambria"/>
          <w:color w:val="000000"/>
        </w:rPr>
        <w:t xml:space="preserve">help </w:t>
      </w:r>
      <w:r w:rsidR="00F159B5">
        <w:rPr>
          <w:rFonts w:ascii="Cambria" w:eastAsia="Times New Roman" w:hAnsi="Cambria"/>
          <w:color w:val="000000"/>
        </w:rPr>
        <w:t xml:space="preserve">the </w:t>
      </w:r>
      <w:r w:rsidR="004748CC" w:rsidRPr="003D66DD">
        <w:rPr>
          <w:rFonts w:ascii="Cambria" w:eastAsia="Times New Roman" w:hAnsi="Cambria"/>
          <w:color w:val="000000"/>
        </w:rPr>
        <w:t xml:space="preserve">understanding of the uneven outcomes of post conflict institutional design and reform efforts. It may be that there will always be “an awkward fit” between </w:t>
      </w:r>
      <w:r w:rsidR="004228D5" w:rsidRPr="003D66DD">
        <w:rPr>
          <w:rFonts w:ascii="Cambria" w:eastAsia="Times New Roman" w:hAnsi="Cambria"/>
          <w:color w:val="000000"/>
        </w:rPr>
        <w:t>power-sharing</w:t>
      </w:r>
      <w:r w:rsidR="004748CC" w:rsidRPr="003D66DD">
        <w:rPr>
          <w:rFonts w:ascii="Cambria" w:eastAsia="Times New Roman" w:hAnsi="Cambria"/>
          <w:color w:val="000000"/>
        </w:rPr>
        <w:t xml:space="preserve"> and WPS norms and goals (Byrne and McCulloch</w:t>
      </w:r>
      <w:r w:rsidR="003E04A7">
        <w:rPr>
          <w:rFonts w:ascii="Cambria" w:eastAsia="Times New Roman" w:hAnsi="Cambria"/>
          <w:color w:val="000000"/>
        </w:rPr>
        <w:t>,</w:t>
      </w:r>
      <w:r w:rsidR="004748CC" w:rsidRPr="003D66DD">
        <w:rPr>
          <w:rFonts w:ascii="Cambria" w:eastAsia="Times New Roman" w:hAnsi="Cambria"/>
          <w:color w:val="000000"/>
        </w:rPr>
        <w:t xml:space="preserve"> 2017), but by exposing mechanisms of exclusion, and dynamics of contestation, we also provide a basis for beginning to identify what institutional mechanisms might be needed to embed the inclusion of </w:t>
      </w:r>
      <w:r w:rsidR="003E04A7">
        <w:rPr>
          <w:rFonts w:ascii="Cambria" w:eastAsia="Times New Roman" w:hAnsi="Cambria"/>
          <w:color w:val="000000"/>
        </w:rPr>
        <w:t>women and the integration of</w:t>
      </w:r>
      <w:r w:rsidR="004748CC" w:rsidRPr="003D66DD">
        <w:rPr>
          <w:rFonts w:ascii="Cambria" w:eastAsia="Times New Roman" w:hAnsi="Cambria"/>
          <w:color w:val="000000"/>
        </w:rPr>
        <w:t xml:space="preserve"> WPS norms in power-sharing frameworks in the future.</w:t>
      </w:r>
      <w:r w:rsidR="004748CC" w:rsidRPr="003D66DD">
        <w:rPr>
          <w:rFonts w:ascii="Cambria" w:hAnsi="Cambria"/>
          <w:color w:val="1C1D1E"/>
        </w:rPr>
        <w:t xml:space="preserve"> </w:t>
      </w:r>
    </w:p>
    <w:p w14:paraId="6A77A8BD" w14:textId="77777777" w:rsidR="000F7F2A" w:rsidRPr="003D66DD" w:rsidRDefault="000F7F2A" w:rsidP="004748CC">
      <w:pPr>
        <w:spacing w:line="360" w:lineRule="auto"/>
        <w:rPr>
          <w:rFonts w:ascii="Cambria" w:hAnsi="Cambria"/>
          <w:color w:val="1C1D1E"/>
        </w:rPr>
      </w:pPr>
    </w:p>
    <w:p w14:paraId="5F55449D" w14:textId="77777777" w:rsidR="000F7F2A" w:rsidRPr="003E04A7" w:rsidRDefault="000F7F2A" w:rsidP="003E04A7">
      <w:pPr>
        <w:outlineLvl w:val="0"/>
        <w:rPr>
          <w:rFonts w:ascii="Cambria" w:hAnsi="Cambria"/>
          <w:b/>
        </w:rPr>
      </w:pPr>
      <w:r w:rsidRPr="003E04A7">
        <w:rPr>
          <w:rFonts w:ascii="Cambria" w:hAnsi="Cambria"/>
          <w:b/>
        </w:rPr>
        <w:t>References</w:t>
      </w:r>
    </w:p>
    <w:p w14:paraId="653632B2" w14:textId="77777777" w:rsidR="000F7F2A" w:rsidRPr="009E0DAB" w:rsidRDefault="000F7F2A" w:rsidP="000F7F2A">
      <w:pPr>
        <w:rPr>
          <w:rFonts w:asciiTheme="minorHAnsi" w:hAnsiTheme="minorHAnsi"/>
        </w:rPr>
      </w:pPr>
    </w:p>
    <w:p w14:paraId="1135BB5B" w14:textId="49959BA0" w:rsidR="00F42492" w:rsidRPr="00FB1F83" w:rsidRDefault="005C5081" w:rsidP="00494962">
      <w:pPr>
        <w:pStyle w:val="p1"/>
        <w:rPr>
          <w:rFonts w:ascii="Cambria" w:hAnsi="Cambria"/>
          <w:sz w:val="22"/>
          <w:szCs w:val="22"/>
        </w:rPr>
      </w:pPr>
      <w:r w:rsidRPr="00FB1F83">
        <w:rPr>
          <w:rFonts w:ascii="Cambria" w:hAnsi="Cambria"/>
          <w:sz w:val="22"/>
          <w:szCs w:val="22"/>
        </w:rPr>
        <w:t>Acker</w:t>
      </w:r>
      <w:r w:rsidR="009E0DAB" w:rsidRPr="00FB1F83">
        <w:rPr>
          <w:rFonts w:ascii="Cambria" w:hAnsi="Cambria"/>
          <w:sz w:val="22"/>
          <w:szCs w:val="22"/>
        </w:rPr>
        <w:t>, J.</w:t>
      </w:r>
      <w:r w:rsidR="00453DA7">
        <w:rPr>
          <w:rFonts w:ascii="Cambria" w:hAnsi="Cambria"/>
          <w:sz w:val="22"/>
          <w:szCs w:val="22"/>
        </w:rPr>
        <w:t xml:space="preserve">, </w:t>
      </w:r>
      <w:r w:rsidR="00D4154F" w:rsidRPr="00FB1F83">
        <w:rPr>
          <w:rFonts w:ascii="Cambria" w:hAnsi="Cambria"/>
          <w:sz w:val="22"/>
          <w:szCs w:val="22"/>
        </w:rPr>
        <w:t>(1992)</w:t>
      </w:r>
      <w:r w:rsidR="00453DA7">
        <w:rPr>
          <w:rFonts w:ascii="Cambria" w:hAnsi="Cambria"/>
          <w:sz w:val="22"/>
          <w:szCs w:val="22"/>
        </w:rPr>
        <w:t>.</w:t>
      </w:r>
      <w:r w:rsidR="00E77EA5">
        <w:rPr>
          <w:rFonts w:ascii="Cambria" w:hAnsi="Cambria"/>
          <w:sz w:val="22"/>
          <w:szCs w:val="22"/>
        </w:rPr>
        <w:t xml:space="preserve"> ‘</w:t>
      </w:r>
      <w:r w:rsidR="00494962">
        <w:rPr>
          <w:rFonts w:ascii="Cambria" w:hAnsi="Cambria"/>
          <w:sz w:val="22"/>
          <w:szCs w:val="22"/>
        </w:rPr>
        <w:t>From Sex Roles to Gendered I</w:t>
      </w:r>
      <w:r w:rsidR="00F42492" w:rsidRPr="00FB1F83">
        <w:rPr>
          <w:rFonts w:ascii="Cambria" w:hAnsi="Cambria"/>
          <w:sz w:val="22"/>
          <w:szCs w:val="22"/>
        </w:rPr>
        <w:t>nstitutions</w:t>
      </w:r>
      <w:r w:rsidR="001F1C57">
        <w:rPr>
          <w:rFonts w:ascii="Cambria" w:hAnsi="Cambria"/>
          <w:sz w:val="22"/>
          <w:szCs w:val="22"/>
        </w:rPr>
        <w:t>’.</w:t>
      </w:r>
      <w:r w:rsidR="00F42492" w:rsidRPr="00FB1F83">
        <w:rPr>
          <w:rFonts w:ascii="Cambria" w:hAnsi="Cambria"/>
          <w:sz w:val="22"/>
          <w:szCs w:val="22"/>
        </w:rPr>
        <w:t xml:space="preserve"> </w:t>
      </w:r>
      <w:r w:rsidR="00F42492" w:rsidRPr="00E77EA5">
        <w:rPr>
          <w:rFonts w:ascii="Cambria" w:hAnsi="Cambria"/>
          <w:i/>
          <w:sz w:val="22"/>
          <w:szCs w:val="22"/>
        </w:rPr>
        <w:t>Contemporary Sociology</w:t>
      </w:r>
      <w:r w:rsidR="00453DA7">
        <w:rPr>
          <w:rFonts w:ascii="Cambria" w:hAnsi="Cambria"/>
          <w:sz w:val="22"/>
          <w:szCs w:val="22"/>
        </w:rPr>
        <w:t xml:space="preserve"> </w:t>
      </w:r>
      <w:r w:rsidR="00E77EA5">
        <w:rPr>
          <w:rFonts w:ascii="Cambria" w:hAnsi="Cambria"/>
          <w:sz w:val="22"/>
          <w:szCs w:val="22"/>
        </w:rPr>
        <w:t>21(5): 565</w:t>
      </w:r>
      <w:r w:rsidR="006268DE">
        <w:rPr>
          <w:rFonts w:ascii="Cambria" w:hAnsi="Cambria"/>
          <w:sz w:val="22"/>
          <w:szCs w:val="22"/>
        </w:rPr>
        <w:t>-</w:t>
      </w:r>
      <w:r w:rsidR="00E77EA5">
        <w:rPr>
          <w:rFonts w:ascii="Cambria" w:hAnsi="Cambria"/>
          <w:sz w:val="22"/>
          <w:szCs w:val="22"/>
        </w:rPr>
        <w:t>569</w:t>
      </w:r>
      <w:r w:rsidR="00DA1AA6">
        <w:rPr>
          <w:rFonts w:ascii="Cambria" w:hAnsi="Cambria"/>
          <w:sz w:val="22"/>
          <w:szCs w:val="22"/>
        </w:rPr>
        <w:t>.</w:t>
      </w:r>
    </w:p>
    <w:p w14:paraId="70B00B18" w14:textId="2CA69839" w:rsidR="00D77A4E" w:rsidRPr="00FB1F83" w:rsidRDefault="00D77A4E" w:rsidP="00494962">
      <w:pPr>
        <w:pStyle w:val="p1"/>
        <w:rPr>
          <w:rFonts w:ascii="Cambria" w:hAnsi="Cambria"/>
          <w:sz w:val="22"/>
          <w:szCs w:val="22"/>
        </w:rPr>
      </w:pPr>
    </w:p>
    <w:p w14:paraId="0E2A89F8" w14:textId="7C401144" w:rsidR="00D77A4E" w:rsidRPr="00FB1F83" w:rsidRDefault="00D77A4E" w:rsidP="00494962">
      <w:pPr>
        <w:pStyle w:val="p1"/>
        <w:rPr>
          <w:rFonts w:ascii="Cambria" w:hAnsi="Cambria"/>
          <w:sz w:val="22"/>
          <w:szCs w:val="22"/>
        </w:rPr>
      </w:pPr>
      <w:proofErr w:type="spellStart"/>
      <w:r w:rsidRPr="00FB1F83">
        <w:rPr>
          <w:rFonts w:ascii="Cambria" w:hAnsi="Cambria"/>
          <w:sz w:val="22"/>
          <w:szCs w:val="22"/>
        </w:rPr>
        <w:t>Agarin</w:t>
      </w:r>
      <w:proofErr w:type="spellEnd"/>
      <w:r w:rsidRPr="00FB1F83">
        <w:rPr>
          <w:rFonts w:ascii="Cambria" w:hAnsi="Cambria"/>
          <w:sz w:val="22"/>
          <w:szCs w:val="22"/>
        </w:rPr>
        <w:t xml:space="preserve">, </w:t>
      </w:r>
      <w:r w:rsidR="008E68BD" w:rsidRPr="00FB1F83">
        <w:rPr>
          <w:rFonts w:ascii="Cambria" w:hAnsi="Cambria"/>
          <w:sz w:val="22"/>
          <w:szCs w:val="22"/>
        </w:rPr>
        <w:t>T.</w:t>
      </w:r>
      <w:r w:rsidR="009E0DAB" w:rsidRPr="00FB1F83">
        <w:rPr>
          <w:rFonts w:ascii="Cambria" w:hAnsi="Cambria"/>
          <w:sz w:val="22"/>
          <w:szCs w:val="22"/>
        </w:rPr>
        <w:t>,</w:t>
      </w:r>
      <w:r w:rsidRPr="00FB1F83">
        <w:rPr>
          <w:rFonts w:ascii="Cambria" w:hAnsi="Cambria"/>
          <w:sz w:val="22"/>
          <w:szCs w:val="22"/>
        </w:rPr>
        <w:t xml:space="preserve"> McCulloch, </w:t>
      </w:r>
      <w:r w:rsidR="008E68BD" w:rsidRPr="00FB1F83">
        <w:rPr>
          <w:rFonts w:ascii="Cambria" w:hAnsi="Cambria"/>
          <w:sz w:val="22"/>
          <w:szCs w:val="22"/>
        </w:rPr>
        <w:t>A.</w:t>
      </w:r>
      <w:r w:rsidR="009E0DAB" w:rsidRPr="00FB1F83">
        <w:rPr>
          <w:rFonts w:ascii="Cambria" w:hAnsi="Cambria"/>
          <w:sz w:val="22"/>
          <w:szCs w:val="22"/>
        </w:rPr>
        <w:t>,</w:t>
      </w:r>
      <w:r w:rsidR="008E68BD" w:rsidRPr="00FB1F83">
        <w:rPr>
          <w:rFonts w:ascii="Cambria" w:hAnsi="Cambria"/>
          <w:sz w:val="22"/>
          <w:szCs w:val="22"/>
        </w:rPr>
        <w:t xml:space="preserve"> </w:t>
      </w:r>
      <w:r w:rsidRPr="00FB1F83">
        <w:rPr>
          <w:rFonts w:ascii="Cambria" w:hAnsi="Cambria"/>
          <w:sz w:val="22"/>
          <w:szCs w:val="22"/>
        </w:rPr>
        <w:t xml:space="preserve">and </w:t>
      </w:r>
      <w:proofErr w:type="spellStart"/>
      <w:r w:rsidRPr="00FB1F83">
        <w:rPr>
          <w:rFonts w:ascii="Cambria" w:hAnsi="Cambria"/>
          <w:sz w:val="22"/>
          <w:szCs w:val="22"/>
        </w:rPr>
        <w:t>Murtagh</w:t>
      </w:r>
      <w:proofErr w:type="spellEnd"/>
      <w:r w:rsidR="008E68BD" w:rsidRPr="00FB1F83">
        <w:rPr>
          <w:rFonts w:ascii="Cambria" w:hAnsi="Cambria"/>
          <w:sz w:val="22"/>
          <w:szCs w:val="22"/>
        </w:rPr>
        <w:t>, C</w:t>
      </w:r>
      <w:r w:rsidRPr="00FB1F83">
        <w:rPr>
          <w:rFonts w:ascii="Cambria" w:hAnsi="Cambria"/>
          <w:sz w:val="22"/>
          <w:szCs w:val="22"/>
        </w:rPr>
        <w:t>.</w:t>
      </w:r>
      <w:r w:rsidR="001F1C57">
        <w:rPr>
          <w:rFonts w:ascii="Cambria" w:hAnsi="Cambria"/>
          <w:sz w:val="22"/>
          <w:szCs w:val="22"/>
        </w:rPr>
        <w:t>,</w:t>
      </w:r>
      <w:r w:rsidRPr="00FB1F83">
        <w:rPr>
          <w:rFonts w:ascii="Cambria" w:hAnsi="Cambria"/>
          <w:sz w:val="22"/>
          <w:szCs w:val="22"/>
        </w:rPr>
        <w:t xml:space="preserve"> </w:t>
      </w:r>
      <w:r w:rsidR="00F45F80">
        <w:rPr>
          <w:rFonts w:ascii="Cambria" w:hAnsi="Cambria"/>
          <w:sz w:val="22"/>
          <w:szCs w:val="22"/>
        </w:rPr>
        <w:t>(2018)</w:t>
      </w:r>
      <w:r w:rsidR="001F1C57">
        <w:rPr>
          <w:rFonts w:ascii="Cambria" w:hAnsi="Cambria"/>
          <w:sz w:val="22"/>
          <w:szCs w:val="22"/>
        </w:rPr>
        <w:t>.</w:t>
      </w:r>
      <w:r w:rsidRPr="00FB1F83">
        <w:rPr>
          <w:rFonts w:ascii="Cambria" w:hAnsi="Cambria"/>
          <w:sz w:val="22"/>
          <w:szCs w:val="22"/>
        </w:rPr>
        <w:t xml:space="preserve"> ‘Others in Deeply Divide</w:t>
      </w:r>
      <w:r w:rsidR="009E0DAB" w:rsidRPr="00FB1F83">
        <w:rPr>
          <w:rFonts w:ascii="Cambria" w:hAnsi="Cambria"/>
          <w:sz w:val="22"/>
          <w:szCs w:val="22"/>
        </w:rPr>
        <w:t>d Societies: A Research Agenda’</w:t>
      </w:r>
      <w:r w:rsidR="001F1C57">
        <w:rPr>
          <w:rFonts w:ascii="Cambria" w:hAnsi="Cambria"/>
          <w:sz w:val="22"/>
          <w:szCs w:val="22"/>
        </w:rPr>
        <w:t>.</w:t>
      </w:r>
      <w:r w:rsidR="00E77EA5">
        <w:rPr>
          <w:rFonts w:ascii="Cambria" w:hAnsi="Cambria"/>
          <w:sz w:val="22"/>
          <w:szCs w:val="22"/>
        </w:rPr>
        <w:t xml:space="preserve"> </w:t>
      </w:r>
      <w:r w:rsidRPr="00FB1F83">
        <w:rPr>
          <w:rFonts w:ascii="Cambria" w:hAnsi="Cambria"/>
          <w:i/>
          <w:iCs/>
          <w:sz w:val="22"/>
          <w:szCs w:val="22"/>
        </w:rPr>
        <w:t>Nationalism and Ethnic Politics</w:t>
      </w:r>
      <w:r w:rsidR="000E0AA9">
        <w:rPr>
          <w:rFonts w:ascii="Cambria" w:hAnsi="Cambria"/>
          <w:sz w:val="22"/>
          <w:szCs w:val="22"/>
        </w:rPr>
        <w:t xml:space="preserve"> </w:t>
      </w:r>
      <w:r w:rsidR="00494962">
        <w:rPr>
          <w:rFonts w:ascii="Cambria" w:hAnsi="Cambria"/>
          <w:sz w:val="22"/>
          <w:szCs w:val="22"/>
        </w:rPr>
        <w:t>24</w:t>
      </w:r>
      <w:r w:rsidR="006268DE">
        <w:rPr>
          <w:rFonts w:ascii="Cambria" w:hAnsi="Cambria"/>
          <w:sz w:val="22"/>
          <w:szCs w:val="22"/>
        </w:rPr>
        <w:t>(3): 299-</w:t>
      </w:r>
      <w:r w:rsidR="00E77EA5">
        <w:rPr>
          <w:rFonts w:ascii="Cambria" w:hAnsi="Cambria"/>
          <w:sz w:val="22"/>
          <w:szCs w:val="22"/>
        </w:rPr>
        <w:t>310</w:t>
      </w:r>
      <w:r w:rsidR="00DA1AA6">
        <w:rPr>
          <w:rFonts w:ascii="Cambria" w:hAnsi="Cambria"/>
          <w:sz w:val="22"/>
          <w:szCs w:val="22"/>
        </w:rPr>
        <w:t>.</w:t>
      </w:r>
    </w:p>
    <w:p w14:paraId="131D526A" w14:textId="77777777" w:rsidR="005C5081" w:rsidRPr="00FB1F83" w:rsidRDefault="005C5081" w:rsidP="00494962">
      <w:pPr>
        <w:shd w:val="clear" w:color="auto" w:fill="FFFFFF"/>
        <w:rPr>
          <w:rFonts w:ascii="Cambria" w:hAnsi="Cambria"/>
          <w:sz w:val="22"/>
          <w:szCs w:val="22"/>
        </w:rPr>
      </w:pPr>
    </w:p>
    <w:p w14:paraId="2F73EBED" w14:textId="3512B45B" w:rsidR="00F97D60" w:rsidRDefault="009E0DAB" w:rsidP="00494962">
      <w:pPr>
        <w:pStyle w:val="NormalWeb"/>
        <w:spacing w:before="0" w:beforeAutospacing="0" w:after="0" w:afterAutospacing="0"/>
        <w:rPr>
          <w:rFonts w:ascii="Cambria" w:hAnsi="Cambria"/>
          <w:sz w:val="22"/>
          <w:szCs w:val="22"/>
        </w:rPr>
      </w:pPr>
      <w:proofErr w:type="spellStart"/>
      <w:r w:rsidRPr="00FB1F83">
        <w:rPr>
          <w:rFonts w:ascii="Cambria" w:hAnsi="Cambria"/>
          <w:sz w:val="22"/>
          <w:szCs w:val="22"/>
        </w:rPr>
        <w:t>Alleb</w:t>
      </w:r>
      <w:r w:rsidR="00877F3F">
        <w:rPr>
          <w:rFonts w:ascii="Cambria" w:hAnsi="Cambria"/>
          <w:sz w:val="22"/>
          <w:szCs w:val="22"/>
        </w:rPr>
        <w:t>l</w:t>
      </w:r>
      <w:r w:rsidRPr="00FB1F83">
        <w:rPr>
          <w:rFonts w:ascii="Cambria" w:hAnsi="Cambria"/>
          <w:sz w:val="22"/>
          <w:szCs w:val="22"/>
        </w:rPr>
        <w:t>as</w:t>
      </w:r>
      <w:proofErr w:type="spellEnd"/>
      <w:r w:rsidRPr="00FB1F83">
        <w:rPr>
          <w:rFonts w:ascii="Cambria" w:hAnsi="Cambria"/>
          <w:sz w:val="22"/>
          <w:szCs w:val="22"/>
        </w:rPr>
        <w:t>, T., Cools, L.,</w:t>
      </w:r>
      <w:r w:rsidR="00F97D60" w:rsidRPr="00F97D60">
        <w:rPr>
          <w:rFonts w:ascii="Minion" w:hAnsi="Minion"/>
          <w:b/>
          <w:bCs/>
          <w:i/>
          <w:iCs/>
          <w:sz w:val="18"/>
          <w:szCs w:val="18"/>
        </w:rPr>
        <w:t xml:space="preserve"> </w:t>
      </w:r>
      <w:r w:rsidR="00EE53F1">
        <w:rPr>
          <w:rFonts w:ascii="Cambria" w:hAnsi="Cambria"/>
          <w:sz w:val="22"/>
          <w:szCs w:val="22"/>
        </w:rPr>
        <w:t xml:space="preserve">and </w:t>
      </w:r>
      <w:r w:rsidR="008F21B3" w:rsidRPr="00FB1F83">
        <w:rPr>
          <w:rFonts w:ascii="Cambria" w:hAnsi="Cambria"/>
          <w:sz w:val="22"/>
          <w:szCs w:val="22"/>
        </w:rPr>
        <w:t>Messina</w:t>
      </w:r>
      <w:r w:rsidRPr="00FB1F83">
        <w:rPr>
          <w:rFonts w:ascii="Cambria" w:hAnsi="Cambria"/>
          <w:sz w:val="22"/>
          <w:szCs w:val="22"/>
        </w:rPr>
        <w:t>,</w:t>
      </w:r>
      <w:r w:rsidR="008F21B3" w:rsidRPr="00FB1F83">
        <w:rPr>
          <w:rFonts w:ascii="Cambria" w:hAnsi="Cambria"/>
          <w:sz w:val="22"/>
          <w:szCs w:val="22"/>
        </w:rPr>
        <w:t xml:space="preserve"> </w:t>
      </w:r>
      <w:r w:rsidR="00EE53F1">
        <w:rPr>
          <w:rFonts w:ascii="Cambria" w:hAnsi="Cambria"/>
          <w:sz w:val="22"/>
          <w:szCs w:val="22"/>
        </w:rPr>
        <w:t>L</w:t>
      </w:r>
      <w:r w:rsidR="006268DE">
        <w:rPr>
          <w:rFonts w:ascii="Cambria" w:hAnsi="Cambria"/>
          <w:sz w:val="22"/>
          <w:szCs w:val="22"/>
        </w:rPr>
        <w:t>.</w:t>
      </w:r>
      <w:r w:rsidR="008F21B3" w:rsidRPr="00FB1F83">
        <w:rPr>
          <w:rFonts w:ascii="Cambria" w:hAnsi="Cambria"/>
          <w:sz w:val="22"/>
          <w:szCs w:val="22"/>
        </w:rPr>
        <w:t>M.</w:t>
      </w:r>
      <w:r w:rsidRPr="00FB1F83">
        <w:rPr>
          <w:rFonts w:ascii="Cambria" w:hAnsi="Cambria"/>
          <w:sz w:val="22"/>
          <w:szCs w:val="22"/>
        </w:rPr>
        <w:t>,</w:t>
      </w:r>
      <w:r w:rsidR="008F21B3" w:rsidRPr="00FB1F83">
        <w:rPr>
          <w:rFonts w:ascii="Cambria" w:hAnsi="Cambria"/>
          <w:sz w:val="22"/>
          <w:szCs w:val="22"/>
        </w:rPr>
        <w:t xml:space="preserve"> (2016)</w:t>
      </w:r>
      <w:r w:rsidR="00611DBE">
        <w:rPr>
          <w:rFonts w:ascii="Cambria" w:hAnsi="Cambria"/>
          <w:sz w:val="22"/>
          <w:szCs w:val="22"/>
        </w:rPr>
        <w:t>.</w:t>
      </w:r>
      <w:r w:rsidR="008F21B3" w:rsidRPr="00FB1F83">
        <w:rPr>
          <w:rFonts w:ascii="Cambria" w:hAnsi="Cambria"/>
          <w:sz w:val="22"/>
          <w:szCs w:val="22"/>
        </w:rPr>
        <w:t xml:space="preserve"> ‘The “</w:t>
      </w:r>
      <w:proofErr w:type="spellStart"/>
      <w:r w:rsidR="008F21B3" w:rsidRPr="00FB1F83">
        <w:rPr>
          <w:rFonts w:ascii="Cambria" w:hAnsi="Cambria"/>
          <w:sz w:val="22"/>
          <w:szCs w:val="22"/>
        </w:rPr>
        <w:t>Barunddikazi</w:t>
      </w:r>
      <w:proofErr w:type="spellEnd"/>
      <w:r w:rsidR="008F21B3" w:rsidRPr="00FB1F83">
        <w:rPr>
          <w:rFonts w:ascii="Cambria" w:hAnsi="Cambria"/>
          <w:sz w:val="22"/>
          <w:szCs w:val="22"/>
        </w:rPr>
        <w:t xml:space="preserve">” – Burundian Women’s Quest for a Voice in the Peace Process’, </w:t>
      </w:r>
      <w:r w:rsidR="008F21B3" w:rsidRPr="00FB1F83">
        <w:rPr>
          <w:rFonts w:ascii="Cambria" w:hAnsi="Cambria"/>
          <w:i/>
          <w:sz w:val="22"/>
          <w:szCs w:val="22"/>
        </w:rPr>
        <w:t>The Hague Institute for Global Justice</w:t>
      </w:r>
      <w:r w:rsidR="009B382F">
        <w:rPr>
          <w:rFonts w:ascii="Cambria" w:hAnsi="Cambria"/>
          <w:sz w:val="22"/>
          <w:szCs w:val="22"/>
        </w:rPr>
        <w:t xml:space="preserve"> Comment.</w:t>
      </w:r>
      <w:r w:rsidR="008F21B3" w:rsidRPr="00FB1F83">
        <w:rPr>
          <w:rFonts w:ascii="Cambria" w:hAnsi="Cambria"/>
          <w:sz w:val="22"/>
          <w:szCs w:val="22"/>
        </w:rPr>
        <w:t xml:space="preserve"> </w:t>
      </w:r>
      <w:r w:rsidRPr="00FB1F83">
        <w:rPr>
          <w:rFonts w:ascii="Cambria" w:hAnsi="Cambria"/>
          <w:sz w:val="22"/>
          <w:szCs w:val="22"/>
        </w:rPr>
        <w:t>Available</w:t>
      </w:r>
      <w:r w:rsidR="008F21B3" w:rsidRPr="00FB1F83">
        <w:rPr>
          <w:rFonts w:ascii="Cambria" w:hAnsi="Cambria"/>
          <w:sz w:val="22"/>
          <w:szCs w:val="22"/>
        </w:rPr>
        <w:t xml:space="preserve"> at: </w:t>
      </w:r>
      <w:hyperlink r:id="rId8" w:history="1">
        <w:r w:rsidR="008F21B3" w:rsidRPr="00FB1F83">
          <w:rPr>
            <w:rStyle w:val="Hyperlink"/>
            <w:rFonts w:ascii="Cambria" w:hAnsi="Cambria"/>
            <w:sz w:val="22"/>
            <w:szCs w:val="22"/>
          </w:rPr>
          <w:t>http://www.thehagueinstituteforglobaljustice.org/latest-insights/latest-insights/commentary/the-barundikazi-burundian-womens-quest-for-a-voice-in-the-peace-process/</w:t>
        </w:r>
      </w:hyperlink>
      <w:r w:rsidR="007A37CD" w:rsidRPr="00FB1F83">
        <w:rPr>
          <w:rFonts w:ascii="Cambria" w:hAnsi="Cambria"/>
          <w:sz w:val="22"/>
          <w:szCs w:val="22"/>
        </w:rPr>
        <w:t xml:space="preserve">  </w:t>
      </w:r>
      <w:r w:rsidRPr="00FB1F83">
        <w:rPr>
          <w:rFonts w:ascii="Cambria" w:hAnsi="Cambria"/>
          <w:sz w:val="22"/>
          <w:szCs w:val="22"/>
        </w:rPr>
        <w:t>[</w:t>
      </w:r>
      <w:r w:rsidR="007A37CD" w:rsidRPr="00FB1F83">
        <w:rPr>
          <w:rFonts w:ascii="Cambria" w:hAnsi="Cambria"/>
          <w:sz w:val="22"/>
          <w:szCs w:val="22"/>
        </w:rPr>
        <w:t>Accessed</w:t>
      </w:r>
      <w:r w:rsidR="00E77EA5">
        <w:rPr>
          <w:rFonts w:ascii="Cambria" w:hAnsi="Cambria"/>
          <w:sz w:val="22"/>
          <w:szCs w:val="22"/>
        </w:rPr>
        <w:t xml:space="preserve"> </w:t>
      </w:r>
      <w:r w:rsidR="00494962">
        <w:rPr>
          <w:rFonts w:ascii="Cambria" w:hAnsi="Cambria"/>
          <w:sz w:val="22"/>
          <w:szCs w:val="22"/>
        </w:rPr>
        <w:t xml:space="preserve">8 </w:t>
      </w:r>
      <w:r w:rsidR="00E77EA5">
        <w:rPr>
          <w:rFonts w:ascii="Cambria" w:hAnsi="Cambria"/>
          <w:sz w:val="22"/>
          <w:szCs w:val="22"/>
        </w:rPr>
        <w:t>Oct</w:t>
      </w:r>
      <w:r w:rsidR="00494962">
        <w:rPr>
          <w:rFonts w:ascii="Cambria" w:hAnsi="Cambria"/>
          <w:sz w:val="22"/>
          <w:szCs w:val="22"/>
        </w:rPr>
        <w:t>ober</w:t>
      </w:r>
      <w:r w:rsidR="007A37CD" w:rsidRPr="00FB1F83">
        <w:rPr>
          <w:rFonts w:ascii="Cambria" w:hAnsi="Cambria"/>
          <w:sz w:val="22"/>
          <w:szCs w:val="22"/>
        </w:rPr>
        <w:t xml:space="preserve"> 2018</w:t>
      </w:r>
      <w:r w:rsidRPr="00FB1F83">
        <w:rPr>
          <w:rFonts w:ascii="Cambria" w:hAnsi="Cambria"/>
          <w:sz w:val="22"/>
          <w:szCs w:val="22"/>
        </w:rPr>
        <w:t>]</w:t>
      </w:r>
      <w:r w:rsidR="00DA1AA6">
        <w:rPr>
          <w:rFonts w:ascii="Cambria" w:hAnsi="Cambria"/>
          <w:sz w:val="22"/>
          <w:szCs w:val="22"/>
        </w:rPr>
        <w:t>.</w:t>
      </w:r>
    </w:p>
    <w:p w14:paraId="4734C984" w14:textId="5E69AF3F" w:rsidR="005C5081" w:rsidRPr="005F242E" w:rsidRDefault="00F97D60" w:rsidP="00494962">
      <w:pPr>
        <w:pStyle w:val="NormalWeb"/>
        <w:rPr>
          <w:rFonts w:ascii="Cambria" w:hAnsi="Cambria"/>
          <w:sz w:val="22"/>
          <w:szCs w:val="22"/>
        </w:rPr>
      </w:pPr>
      <w:proofErr w:type="spellStart"/>
      <w:r>
        <w:rPr>
          <w:rFonts w:ascii="Cambria" w:hAnsi="Cambria"/>
          <w:sz w:val="22"/>
          <w:szCs w:val="22"/>
        </w:rPr>
        <w:lastRenderedPageBreak/>
        <w:t>Arriola</w:t>
      </w:r>
      <w:proofErr w:type="spellEnd"/>
      <w:r>
        <w:rPr>
          <w:rFonts w:ascii="Cambria" w:hAnsi="Cambria"/>
          <w:sz w:val="22"/>
          <w:szCs w:val="22"/>
        </w:rPr>
        <w:t>, L.R.</w:t>
      </w:r>
      <w:r w:rsidR="00494962">
        <w:rPr>
          <w:rFonts w:ascii="Cambria" w:hAnsi="Cambria"/>
          <w:sz w:val="22"/>
          <w:szCs w:val="22"/>
        </w:rPr>
        <w:t>,</w:t>
      </w:r>
      <w:r>
        <w:rPr>
          <w:rFonts w:ascii="Cambria" w:hAnsi="Cambria"/>
          <w:sz w:val="22"/>
          <w:szCs w:val="22"/>
        </w:rPr>
        <w:t xml:space="preserve"> and Johnson, M.C.</w:t>
      </w:r>
      <w:r w:rsidR="00611DBE">
        <w:rPr>
          <w:rFonts w:ascii="Cambria" w:hAnsi="Cambria"/>
          <w:sz w:val="22"/>
          <w:szCs w:val="22"/>
        </w:rPr>
        <w:t>,</w:t>
      </w:r>
      <w:r>
        <w:rPr>
          <w:rFonts w:ascii="Cambria" w:hAnsi="Cambria"/>
          <w:sz w:val="22"/>
          <w:szCs w:val="22"/>
        </w:rPr>
        <w:t xml:space="preserve"> (2014)</w:t>
      </w:r>
      <w:r w:rsidR="00611DBE">
        <w:rPr>
          <w:rFonts w:ascii="Cambria" w:hAnsi="Cambria"/>
          <w:sz w:val="22"/>
          <w:szCs w:val="22"/>
        </w:rPr>
        <w:t>. ‘</w:t>
      </w:r>
      <w:r w:rsidRPr="004C10AD">
        <w:rPr>
          <w:rFonts w:ascii="Cambria" w:hAnsi="Cambria"/>
          <w:sz w:val="22"/>
          <w:szCs w:val="22"/>
        </w:rPr>
        <w:t>Ethnic Politics and Women's Empowerment in Africa: Ministerial Appointments to Executive Cabinets</w:t>
      </w:r>
      <w:r>
        <w:rPr>
          <w:rFonts w:ascii="Cambria" w:hAnsi="Cambria"/>
          <w:sz w:val="22"/>
          <w:szCs w:val="22"/>
        </w:rPr>
        <w:t>’.</w:t>
      </w:r>
      <w:r w:rsidRPr="004C10AD">
        <w:rPr>
          <w:rFonts w:ascii="Cambria" w:hAnsi="Cambria"/>
          <w:sz w:val="22"/>
          <w:szCs w:val="22"/>
        </w:rPr>
        <w:t xml:space="preserve"> </w:t>
      </w:r>
      <w:r w:rsidRPr="004C10AD">
        <w:rPr>
          <w:rFonts w:ascii="Cambria" w:hAnsi="Cambria"/>
          <w:bCs/>
          <w:i/>
          <w:iCs/>
          <w:sz w:val="22"/>
          <w:szCs w:val="22"/>
        </w:rPr>
        <w:t>American Journal of Political Science</w:t>
      </w:r>
      <w:r>
        <w:rPr>
          <w:rFonts w:ascii="Cambria" w:hAnsi="Cambria"/>
          <w:bCs/>
          <w:sz w:val="22"/>
          <w:szCs w:val="22"/>
        </w:rPr>
        <w:t xml:space="preserve"> </w:t>
      </w:r>
      <w:r w:rsidR="00494962">
        <w:rPr>
          <w:rFonts w:ascii="Cambria" w:hAnsi="Cambria"/>
          <w:sz w:val="22"/>
          <w:szCs w:val="22"/>
        </w:rPr>
        <w:t>58</w:t>
      </w:r>
      <w:r>
        <w:rPr>
          <w:rFonts w:ascii="Cambria" w:hAnsi="Cambria"/>
          <w:sz w:val="22"/>
          <w:szCs w:val="22"/>
        </w:rPr>
        <w:t>(</w:t>
      </w:r>
      <w:r w:rsidRPr="004C10AD">
        <w:rPr>
          <w:rFonts w:ascii="Cambria" w:hAnsi="Cambria"/>
          <w:sz w:val="22"/>
          <w:szCs w:val="22"/>
        </w:rPr>
        <w:t>2</w:t>
      </w:r>
      <w:r>
        <w:rPr>
          <w:rFonts w:ascii="Cambria" w:hAnsi="Cambria"/>
          <w:sz w:val="22"/>
          <w:szCs w:val="22"/>
        </w:rPr>
        <w:t xml:space="preserve">): </w:t>
      </w:r>
      <w:r w:rsidR="006268DE">
        <w:rPr>
          <w:rFonts w:ascii="Cambria" w:hAnsi="Cambria"/>
          <w:sz w:val="22"/>
          <w:szCs w:val="22"/>
        </w:rPr>
        <w:t>495-</w:t>
      </w:r>
      <w:r w:rsidRPr="004C10AD">
        <w:rPr>
          <w:rFonts w:ascii="Cambria" w:hAnsi="Cambria"/>
          <w:sz w:val="22"/>
          <w:szCs w:val="22"/>
        </w:rPr>
        <w:t>510</w:t>
      </w:r>
      <w:r w:rsidR="00DA1AA6">
        <w:rPr>
          <w:rFonts w:ascii="Cambria" w:hAnsi="Cambria"/>
          <w:sz w:val="22"/>
          <w:szCs w:val="22"/>
        </w:rPr>
        <w:t>.</w:t>
      </w:r>
    </w:p>
    <w:p w14:paraId="6B43B393" w14:textId="7F5FC768" w:rsidR="000F7F2A" w:rsidRDefault="000F7F2A" w:rsidP="00494962">
      <w:pPr>
        <w:shd w:val="clear" w:color="auto" w:fill="FFFFFF"/>
        <w:rPr>
          <w:rFonts w:ascii="Cambria" w:hAnsi="Cambria"/>
          <w:sz w:val="22"/>
          <w:szCs w:val="22"/>
        </w:rPr>
      </w:pPr>
      <w:r w:rsidRPr="00F45F80">
        <w:rPr>
          <w:rFonts w:ascii="Cambria" w:hAnsi="Cambria"/>
          <w:sz w:val="22"/>
          <w:szCs w:val="22"/>
        </w:rPr>
        <w:t>Azari, J.</w:t>
      </w:r>
      <w:r w:rsidR="00FB1F83" w:rsidRPr="00F45F80">
        <w:rPr>
          <w:rFonts w:ascii="Cambria" w:hAnsi="Cambria"/>
          <w:sz w:val="22"/>
          <w:szCs w:val="22"/>
        </w:rPr>
        <w:t xml:space="preserve">, </w:t>
      </w:r>
      <w:r w:rsidR="00F45F80" w:rsidRPr="00F45F80">
        <w:rPr>
          <w:rFonts w:ascii="Cambria" w:hAnsi="Cambria"/>
          <w:sz w:val="22"/>
          <w:szCs w:val="22"/>
        </w:rPr>
        <w:t>and</w:t>
      </w:r>
      <w:r w:rsidR="00FB1F83" w:rsidRPr="00F45F80">
        <w:rPr>
          <w:rFonts w:ascii="Cambria" w:hAnsi="Cambria"/>
          <w:sz w:val="22"/>
          <w:szCs w:val="22"/>
        </w:rPr>
        <w:t xml:space="preserve"> </w:t>
      </w:r>
      <w:r w:rsidRPr="00F45F80">
        <w:rPr>
          <w:rFonts w:ascii="Cambria" w:hAnsi="Cambria"/>
          <w:sz w:val="22"/>
          <w:szCs w:val="22"/>
        </w:rPr>
        <w:t>Smith, J.</w:t>
      </w:r>
      <w:r w:rsidR="00F45F80" w:rsidRPr="00F45F80">
        <w:rPr>
          <w:rFonts w:ascii="Cambria" w:hAnsi="Cambria"/>
          <w:sz w:val="22"/>
          <w:szCs w:val="22"/>
        </w:rPr>
        <w:t xml:space="preserve">, </w:t>
      </w:r>
      <w:r w:rsidR="00FB1F83" w:rsidRPr="00F45F80">
        <w:rPr>
          <w:rFonts w:ascii="Cambria" w:hAnsi="Cambria"/>
          <w:sz w:val="22"/>
          <w:szCs w:val="22"/>
        </w:rPr>
        <w:t>(2012)</w:t>
      </w:r>
      <w:r w:rsidR="000E0AA9">
        <w:rPr>
          <w:rFonts w:ascii="Cambria" w:hAnsi="Cambria"/>
          <w:sz w:val="22"/>
          <w:szCs w:val="22"/>
        </w:rPr>
        <w:t>.</w:t>
      </w:r>
      <w:r w:rsidR="00FB1F83" w:rsidRPr="00F45F80">
        <w:rPr>
          <w:rFonts w:ascii="Cambria" w:hAnsi="Cambria"/>
          <w:sz w:val="22"/>
          <w:szCs w:val="22"/>
        </w:rPr>
        <w:t xml:space="preserve"> ‘</w:t>
      </w:r>
      <w:r w:rsidRPr="00F45F80">
        <w:rPr>
          <w:rFonts w:ascii="Cambria" w:hAnsi="Cambria"/>
          <w:sz w:val="22"/>
          <w:szCs w:val="22"/>
        </w:rPr>
        <w:t>Unwritten Rules: Informal Institut</w:t>
      </w:r>
      <w:r w:rsidR="00FB1F83" w:rsidRPr="00F45F80">
        <w:rPr>
          <w:rFonts w:ascii="Cambria" w:hAnsi="Cambria"/>
          <w:sz w:val="22"/>
          <w:szCs w:val="22"/>
        </w:rPr>
        <w:t>ions in Established Democracies’</w:t>
      </w:r>
      <w:r w:rsidR="000E0AA9">
        <w:rPr>
          <w:rFonts w:ascii="Cambria" w:hAnsi="Cambria"/>
          <w:sz w:val="22"/>
          <w:szCs w:val="22"/>
        </w:rPr>
        <w:t>.</w:t>
      </w:r>
      <w:r w:rsidRPr="00F45F80">
        <w:rPr>
          <w:rFonts w:ascii="Cambria" w:hAnsi="Cambria"/>
          <w:sz w:val="22"/>
          <w:szCs w:val="22"/>
        </w:rPr>
        <w:t xml:space="preserve"> </w:t>
      </w:r>
      <w:r w:rsidRPr="00F45F80">
        <w:rPr>
          <w:rFonts w:ascii="Cambria" w:hAnsi="Cambria"/>
          <w:i/>
          <w:sz w:val="22"/>
          <w:szCs w:val="22"/>
        </w:rPr>
        <w:t>Perspectives on Politics</w:t>
      </w:r>
      <w:r w:rsidR="009B382F">
        <w:rPr>
          <w:rFonts w:ascii="Cambria" w:hAnsi="Cambria"/>
          <w:i/>
          <w:sz w:val="22"/>
          <w:szCs w:val="22"/>
        </w:rPr>
        <w:t xml:space="preserve"> </w:t>
      </w:r>
      <w:r w:rsidR="00EE53F1">
        <w:rPr>
          <w:rFonts w:ascii="Cambria" w:hAnsi="Cambria"/>
          <w:sz w:val="22"/>
          <w:szCs w:val="22"/>
        </w:rPr>
        <w:t>10</w:t>
      </w:r>
      <w:r w:rsidRPr="00F45F80">
        <w:rPr>
          <w:rFonts w:ascii="Cambria" w:hAnsi="Cambria"/>
          <w:sz w:val="22"/>
          <w:szCs w:val="22"/>
        </w:rPr>
        <w:t>(1): 37</w:t>
      </w:r>
      <w:r w:rsidR="006268DE">
        <w:rPr>
          <w:rFonts w:ascii="Cambria" w:hAnsi="Cambria"/>
          <w:sz w:val="22"/>
          <w:szCs w:val="22"/>
        </w:rPr>
        <w:t>-</w:t>
      </w:r>
      <w:r w:rsidRPr="00F45F80">
        <w:rPr>
          <w:rFonts w:ascii="Cambria" w:hAnsi="Cambria"/>
          <w:sz w:val="22"/>
          <w:szCs w:val="22"/>
        </w:rPr>
        <w:t>55</w:t>
      </w:r>
      <w:r w:rsidR="00DA1AA6">
        <w:rPr>
          <w:rFonts w:ascii="Cambria" w:hAnsi="Cambria"/>
          <w:sz w:val="22"/>
          <w:szCs w:val="22"/>
        </w:rPr>
        <w:t>.</w:t>
      </w:r>
    </w:p>
    <w:p w14:paraId="174C0139" w14:textId="77777777" w:rsidR="00FB3EAC" w:rsidRDefault="00FB3EAC" w:rsidP="00494962">
      <w:pPr>
        <w:shd w:val="clear" w:color="auto" w:fill="FFFFFF"/>
        <w:rPr>
          <w:rFonts w:ascii="Cambria" w:hAnsi="Cambria"/>
          <w:sz w:val="22"/>
          <w:szCs w:val="22"/>
        </w:rPr>
      </w:pPr>
    </w:p>
    <w:p w14:paraId="1F4CF13C" w14:textId="772C07D8" w:rsidR="000F7F2A" w:rsidRPr="009B382F" w:rsidRDefault="00FB3EAC" w:rsidP="00494962">
      <w:pPr>
        <w:pStyle w:val="NormalWeb"/>
        <w:spacing w:beforeAutospacing="0" w:after="160" w:afterAutospacing="0"/>
        <w:rPr>
          <w:rFonts w:ascii="Cambria" w:hAnsi="Cambria"/>
          <w:noProof/>
          <w:color w:val="000000" w:themeColor="text1"/>
          <w:sz w:val="22"/>
          <w:szCs w:val="22"/>
        </w:rPr>
      </w:pPr>
      <w:r w:rsidRPr="009B382F">
        <w:rPr>
          <w:rFonts w:ascii="Cambria" w:hAnsi="Cambria"/>
          <w:noProof/>
          <w:color w:val="000000" w:themeColor="text1"/>
          <w:sz w:val="22"/>
          <w:szCs w:val="22"/>
        </w:rPr>
        <w:t>Bahtić-Kunrath, B.</w:t>
      </w:r>
      <w:r w:rsidR="009B382F">
        <w:rPr>
          <w:rFonts w:ascii="Cambria" w:hAnsi="Cambria"/>
          <w:noProof/>
          <w:color w:val="000000" w:themeColor="text1"/>
          <w:sz w:val="22"/>
          <w:szCs w:val="22"/>
        </w:rPr>
        <w:t>,</w:t>
      </w:r>
      <w:r w:rsidRPr="009B382F">
        <w:rPr>
          <w:rFonts w:ascii="Cambria" w:hAnsi="Cambria"/>
          <w:noProof/>
          <w:color w:val="000000" w:themeColor="text1"/>
          <w:sz w:val="22"/>
          <w:szCs w:val="22"/>
        </w:rPr>
        <w:t xml:space="preserve"> (2011)</w:t>
      </w:r>
      <w:r w:rsidR="009B382F">
        <w:rPr>
          <w:rFonts w:ascii="Cambria" w:hAnsi="Cambria"/>
          <w:noProof/>
          <w:color w:val="000000" w:themeColor="text1"/>
          <w:sz w:val="22"/>
          <w:szCs w:val="22"/>
        </w:rPr>
        <w:t>.</w:t>
      </w:r>
      <w:r w:rsidRPr="009B382F">
        <w:rPr>
          <w:rFonts w:ascii="Cambria" w:hAnsi="Cambria"/>
          <w:noProof/>
          <w:color w:val="000000" w:themeColor="text1"/>
          <w:sz w:val="22"/>
          <w:szCs w:val="22"/>
        </w:rPr>
        <w:t xml:space="preserve"> ‘Of Veto Players And Entity-Voting: Institutional Gridloc</w:t>
      </w:r>
      <w:r w:rsidR="009B382F">
        <w:rPr>
          <w:rFonts w:ascii="Cambria" w:hAnsi="Cambria"/>
          <w:noProof/>
          <w:color w:val="000000" w:themeColor="text1"/>
          <w:sz w:val="22"/>
          <w:szCs w:val="22"/>
        </w:rPr>
        <w:t>k in the Bosnian Reform Process</w:t>
      </w:r>
      <w:r w:rsidRPr="009B382F">
        <w:rPr>
          <w:rFonts w:ascii="Cambria" w:hAnsi="Cambria"/>
          <w:noProof/>
          <w:color w:val="000000" w:themeColor="text1"/>
          <w:sz w:val="22"/>
          <w:szCs w:val="22"/>
        </w:rPr>
        <w:t>’</w:t>
      </w:r>
      <w:r w:rsidR="009B382F">
        <w:rPr>
          <w:rFonts w:ascii="Cambria" w:hAnsi="Cambria"/>
          <w:noProof/>
          <w:color w:val="000000" w:themeColor="text1"/>
          <w:sz w:val="22"/>
          <w:szCs w:val="22"/>
        </w:rPr>
        <w:t>.</w:t>
      </w:r>
      <w:r w:rsidRPr="009B382F">
        <w:rPr>
          <w:rFonts w:ascii="Cambria" w:hAnsi="Cambria"/>
          <w:noProof/>
          <w:color w:val="000000" w:themeColor="text1"/>
          <w:sz w:val="22"/>
          <w:szCs w:val="22"/>
        </w:rPr>
        <w:t xml:space="preserve"> </w:t>
      </w:r>
      <w:r w:rsidRPr="009B382F">
        <w:rPr>
          <w:rFonts w:ascii="Cambria" w:hAnsi="Cambria"/>
          <w:i/>
          <w:iCs/>
          <w:noProof/>
          <w:color w:val="000000" w:themeColor="text1"/>
          <w:sz w:val="22"/>
          <w:szCs w:val="22"/>
        </w:rPr>
        <w:t>Nationalities Papers</w:t>
      </w:r>
      <w:r w:rsidR="009B382F">
        <w:rPr>
          <w:rFonts w:ascii="Cambria" w:hAnsi="Cambria"/>
          <w:noProof/>
          <w:color w:val="000000" w:themeColor="text1"/>
          <w:sz w:val="22"/>
          <w:szCs w:val="22"/>
        </w:rPr>
        <w:t xml:space="preserve"> </w:t>
      </w:r>
      <w:r w:rsidR="001F1C57" w:rsidRPr="009B382F">
        <w:rPr>
          <w:rFonts w:ascii="Cambria" w:hAnsi="Cambria"/>
          <w:noProof/>
          <w:color w:val="000000" w:themeColor="text1"/>
          <w:sz w:val="22"/>
          <w:szCs w:val="22"/>
        </w:rPr>
        <w:t>39(6): 899–923</w:t>
      </w:r>
      <w:r w:rsidR="00DA1AA6">
        <w:rPr>
          <w:rFonts w:ascii="Cambria" w:hAnsi="Cambria"/>
          <w:noProof/>
          <w:color w:val="000000" w:themeColor="text1"/>
          <w:sz w:val="22"/>
          <w:szCs w:val="22"/>
        </w:rPr>
        <w:t>.</w:t>
      </w:r>
    </w:p>
    <w:p w14:paraId="5DF32E4D" w14:textId="6F35E22D" w:rsidR="000F7F2A" w:rsidRPr="00F45F80" w:rsidRDefault="000F7F2A" w:rsidP="00494962">
      <w:pPr>
        <w:shd w:val="clear" w:color="auto" w:fill="FFFFFF"/>
        <w:outlineLvl w:val="0"/>
        <w:rPr>
          <w:rFonts w:ascii="Cambria" w:eastAsia="Times New Roman" w:hAnsi="Cambria"/>
          <w:sz w:val="22"/>
          <w:szCs w:val="22"/>
          <w:lang w:eastAsia="en-GB"/>
        </w:rPr>
      </w:pPr>
      <w:r w:rsidRPr="00F45F80">
        <w:rPr>
          <w:rFonts w:ascii="Cambria" w:eastAsia="Times New Roman" w:hAnsi="Cambria"/>
          <w:sz w:val="22"/>
          <w:szCs w:val="22"/>
          <w:lang w:eastAsia="en-GB"/>
        </w:rPr>
        <w:t>Bell, C.</w:t>
      </w:r>
      <w:r w:rsidR="00F45F80">
        <w:rPr>
          <w:rFonts w:ascii="Cambria" w:eastAsia="Times New Roman" w:hAnsi="Cambria"/>
          <w:sz w:val="22"/>
          <w:szCs w:val="22"/>
          <w:lang w:eastAsia="en-GB"/>
        </w:rPr>
        <w:t>,</w:t>
      </w:r>
      <w:r w:rsidRPr="00F45F80">
        <w:rPr>
          <w:rFonts w:ascii="Cambria" w:eastAsia="Times New Roman" w:hAnsi="Cambria"/>
          <w:sz w:val="22"/>
          <w:szCs w:val="22"/>
          <w:lang w:eastAsia="en-GB"/>
        </w:rPr>
        <w:t xml:space="preserve"> (2015a)</w:t>
      </w:r>
      <w:r w:rsidR="00611DBE">
        <w:rPr>
          <w:rFonts w:ascii="Cambria" w:eastAsia="Times New Roman" w:hAnsi="Cambria"/>
          <w:sz w:val="22"/>
          <w:szCs w:val="22"/>
          <w:lang w:eastAsia="en-GB"/>
        </w:rPr>
        <w:t>.</w:t>
      </w:r>
      <w:r w:rsidR="00E77EA5">
        <w:rPr>
          <w:rFonts w:ascii="Cambria" w:eastAsia="Times New Roman" w:hAnsi="Cambria"/>
          <w:sz w:val="22"/>
          <w:szCs w:val="22"/>
          <w:lang w:eastAsia="en-GB"/>
        </w:rPr>
        <w:t xml:space="preserve"> ‘</w:t>
      </w:r>
      <w:r w:rsidRPr="00F45F80">
        <w:rPr>
          <w:rFonts w:ascii="Cambria" w:eastAsia="Times New Roman" w:hAnsi="Cambria"/>
          <w:sz w:val="22"/>
          <w:szCs w:val="22"/>
          <w:lang w:eastAsia="en-GB"/>
        </w:rPr>
        <w:t>Text and Context: Evaluating Peace Agreements for their Gender Perspective</w:t>
      </w:r>
      <w:r w:rsidR="00E77EA5">
        <w:rPr>
          <w:rFonts w:ascii="Cambria" w:eastAsia="Times New Roman" w:hAnsi="Cambria"/>
          <w:sz w:val="22"/>
          <w:szCs w:val="22"/>
          <w:lang w:eastAsia="en-GB"/>
        </w:rPr>
        <w:t>’</w:t>
      </w:r>
      <w:r w:rsidR="000E0AA9">
        <w:rPr>
          <w:rFonts w:ascii="Cambria" w:eastAsia="Times New Roman" w:hAnsi="Cambria"/>
          <w:sz w:val="22"/>
          <w:szCs w:val="22"/>
          <w:lang w:eastAsia="en-GB"/>
        </w:rPr>
        <w:t xml:space="preserve">. </w:t>
      </w:r>
      <w:r w:rsidRPr="00F45F80">
        <w:rPr>
          <w:rFonts w:ascii="Cambria" w:eastAsia="Times New Roman" w:hAnsi="Cambria"/>
          <w:i/>
          <w:sz w:val="22"/>
          <w:szCs w:val="22"/>
          <w:lang w:eastAsia="en-GB"/>
        </w:rPr>
        <w:t>Political Settlements Research Programme</w:t>
      </w:r>
      <w:r w:rsidR="000E0AA9">
        <w:rPr>
          <w:rFonts w:ascii="Cambria" w:eastAsia="Times New Roman" w:hAnsi="Cambria"/>
          <w:sz w:val="22"/>
          <w:szCs w:val="22"/>
          <w:lang w:eastAsia="en-GB"/>
        </w:rPr>
        <w:t xml:space="preserve">. </w:t>
      </w:r>
      <w:r w:rsidR="009B382F">
        <w:rPr>
          <w:rFonts w:ascii="Cambria" w:eastAsia="Times New Roman" w:hAnsi="Cambria"/>
          <w:sz w:val="22"/>
          <w:szCs w:val="22"/>
          <w:lang w:eastAsia="en-GB"/>
        </w:rPr>
        <w:t xml:space="preserve">Edinburgh: </w:t>
      </w:r>
      <w:r w:rsidR="00E77EA5">
        <w:rPr>
          <w:rFonts w:ascii="Cambria" w:hAnsi="Cambria"/>
          <w:sz w:val="22"/>
          <w:szCs w:val="22"/>
        </w:rPr>
        <w:t>University of Edinburgh</w:t>
      </w:r>
      <w:r w:rsidR="00DA1AA6">
        <w:rPr>
          <w:rFonts w:ascii="Cambria" w:hAnsi="Cambria"/>
          <w:sz w:val="22"/>
          <w:szCs w:val="22"/>
        </w:rPr>
        <w:t>.</w:t>
      </w:r>
    </w:p>
    <w:p w14:paraId="55443708" w14:textId="77777777" w:rsidR="000F7F2A" w:rsidRPr="003D66DD" w:rsidRDefault="000F7F2A" w:rsidP="00494962">
      <w:pPr>
        <w:pStyle w:val="Default"/>
        <w:rPr>
          <w:rFonts w:ascii="Cambria" w:eastAsia="Times New Roman" w:hAnsi="Cambria"/>
          <w:lang w:eastAsia="en-GB"/>
        </w:rPr>
      </w:pPr>
    </w:p>
    <w:p w14:paraId="7212F88E" w14:textId="0AB47DD6" w:rsidR="00494962" w:rsidRPr="00F45F80" w:rsidRDefault="00494962" w:rsidP="00494962">
      <w:pPr>
        <w:pStyle w:val="Default"/>
        <w:rPr>
          <w:rFonts w:ascii="Cambria" w:hAnsi="Cambria"/>
          <w:sz w:val="22"/>
          <w:szCs w:val="22"/>
        </w:rPr>
      </w:pPr>
      <w:r w:rsidRPr="00F45F80">
        <w:rPr>
          <w:rFonts w:ascii="Cambria" w:hAnsi="Cambria"/>
          <w:sz w:val="22"/>
          <w:szCs w:val="22"/>
        </w:rPr>
        <w:t>Bell C.</w:t>
      </w:r>
      <w:r>
        <w:rPr>
          <w:rFonts w:ascii="Cambria" w:hAnsi="Cambria"/>
          <w:sz w:val="22"/>
          <w:szCs w:val="22"/>
        </w:rPr>
        <w:t>, (2015b).</w:t>
      </w:r>
      <w:r w:rsidRPr="00F45F80">
        <w:rPr>
          <w:rFonts w:ascii="Cambria" w:hAnsi="Cambria"/>
          <w:sz w:val="22"/>
          <w:szCs w:val="22"/>
        </w:rPr>
        <w:t xml:space="preserve"> </w:t>
      </w:r>
      <w:r>
        <w:rPr>
          <w:rFonts w:ascii="Cambria" w:hAnsi="Cambria"/>
          <w:sz w:val="22"/>
          <w:szCs w:val="22"/>
        </w:rPr>
        <w:t>‘What We Talk About When We Talk About Political S</w:t>
      </w:r>
      <w:r w:rsidRPr="00F45F80">
        <w:rPr>
          <w:rFonts w:ascii="Cambria" w:hAnsi="Cambria"/>
          <w:sz w:val="22"/>
          <w:szCs w:val="22"/>
        </w:rPr>
        <w:t>ettlements: Towards Inclusive and Open Political Settlements in an Era of Disillusionment</w:t>
      </w:r>
      <w:r>
        <w:rPr>
          <w:rFonts w:ascii="Cambria" w:hAnsi="Cambria"/>
          <w:sz w:val="22"/>
          <w:szCs w:val="22"/>
        </w:rPr>
        <w:t>’</w:t>
      </w:r>
      <w:r w:rsidRPr="00F45F80">
        <w:rPr>
          <w:rFonts w:ascii="Cambria" w:hAnsi="Cambria"/>
          <w:sz w:val="22"/>
          <w:szCs w:val="22"/>
        </w:rPr>
        <w:t xml:space="preserve">. </w:t>
      </w:r>
      <w:r w:rsidRPr="00F45F80">
        <w:rPr>
          <w:rFonts w:ascii="Cambria" w:hAnsi="Cambria"/>
          <w:i/>
          <w:sz w:val="22"/>
          <w:szCs w:val="22"/>
        </w:rPr>
        <w:t>PSRP Working Paper</w:t>
      </w:r>
      <w:r>
        <w:rPr>
          <w:rFonts w:ascii="Cambria" w:hAnsi="Cambria"/>
          <w:sz w:val="22"/>
          <w:szCs w:val="22"/>
        </w:rPr>
        <w:t xml:space="preserve"> 2, </w:t>
      </w:r>
      <w:r w:rsidRPr="00F45F80">
        <w:rPr>
          <w:rFonts w:ascii="Cambria" w:hAnsi="Cambria"/>
          <w:i/>
          <w:sz w:val="22"/>
          <w:szCs w:val="22"/>
        </w:rPr>
        <w:t>Political Settlements Research Programme</w:t>
      </w:r>
      <w:r>
        <w:rPr>
          <w:rFonts w:ascii="Cambria" w:hAnsi="Cambria"/>
          <w:sz w:val="22"/>
          <w:szCs w:val="22"/>
        </w:rPr>
        <w:t xml:space="preserve">. </w:t>
      </w:r>
      <w:r>
        <w:rPr>
          <w:rFonts w:ascii="Cambria" w:eastAsia="Times New Roman" w:hAnsi="Cambria"/>
          <w:sz w:val="22"/>
          <w:szCs w:val="22"/>
          <w:lang w:eastAsia="en-GB"/>
        </w:rPr>
        <w:t>Edinburgh</w:t>
      </w:r>
      <w:r>
        <w:rPr>
          <w:rFonts w:ascii="Cambria" w:hAnsi="Cambria"/>
          <w:sz w:val="22"/>
          <w:szCs w:val="22"/>
        </w:rPr>
        <w:t>: University of Edinburgh.</w:t>
      </w:r>
    </w:p>
    <w:p w14:paraId="5CD664E2" w14:textId="77777777" w:rsidR="00494962" w:rsidRPr="003D66DD" w:rsidRDefault="00494962" w:rsidP="00494962">
      <w:pPr>
        <w:rPr>
          <w:rFonts w:ascii="Cambria" w:hAnsi="Cambria"/>
        </w:rPr>
      </w:pPr>
    </w:p>
    <w:p w14:paraId="35001FCC" w14:textId="0132CA2B" w:rsidR="000F7F2A" w:rsidRPr="00F45F80" w:rsidRDefault="000F7F2A" w:rsidP="00494962">
      <w:pPr>
        <w:rPr>
          <w:rFonts w:ascii="Cambria" w:hAnsi="Cambria"/>
          <w:sz w:val="22"/>
          <w:szCs w:val="22"/>
        </w:rPr>
      </w:pPr>
      <w:r w:rsidRPr="00F45F80">
        <w:rPr>
          <w:rFonts w:ascii="Cambria" w:hAnsi="Cambria"/>
          <w:sz w:val="22"/>
          <w:szCs w:val="22"/>
        </w:rPr>
        <w:t>Bell, C.</w:t>
      </w:r>
      <w:r w:rsidR="000E0AA9">
        <w:rPr>
          <w:rFonts w:ascii="Cambria" w:hAnsi="Cambria"/>
          <w:sz w:val="22"/>
          <w:szCs w:val="22"/>
        </w:rPr>
        <w:t>,</w:t>
      </w:r>
      <w:r w:rsidRPr="00F45F80">
        <w:rPr>
          <w:rFonts w:ascii="Cambria" w:hAnsi="Cambria"/>
          <w:sz w:val="22"/>
          <w:szCs w:val="22"/>
        </w:rPr>
        <w:t xml:space="preserve"> (2015c)</w:t>
      </w:r>
      <w:r w:rsidR="000E0AA9">
        <w:rPr>
          <w:rFonts w:ascii="Cambria" w:hAnsi="Cambria"/>
          <w:sz w:val="22"/>
          <w:szCs w:val="22"/>
        </w:rPr>
        <w:t xml:space="preserve">. </w:t>
      </w:r>
      <w:r w:rsidR="00E77EA5">
        <w:rPr>
          <w:rFonts w:ascii="Cambria" w:hAnsi="Cambria"/>
          <w:sz w:val="22"/>
          <w:szCs w:val="22"/>
        </w:rPr>
        <w:t>‘</w:t>
      </w:r>
      <w:r w:rsidRPr="00F45F80">
        <w:rPr>
          <w:rFonts w:ascii="Cambria" w:hAnsi="Cambria"/>
          <w:sz w:val="22"/>
          <w:szCs w:val="22"/>
        </w:rPr>
        <w:t xml:space="preserve">Unsettling Bargains? Power-sharing and the Inclusion </w:t>
      </w:r>
      <w:r w:rsidR="000E0AA9">
        <w:rPr>
          <w:rFonts w:ascii="Cambria" w:hAnsi="Cambria"/>
          <w:sz w:val="22"/>
          <w:szCs w:val="22"/>
        </w:rPr>
        <w:t xml:space="preserve">of Women in Peace Negotiations’. </w:t>
      </w:r>
      <w:r w:rsidRPr="00F45F80">
        <w:rPr>
          <w:rFonts w:ascii="Cambria" w:hAnsi="Cambria"/>
          <w:i/>
          <w:sz w:val="22"/>
          <w:szCs w:val="22"/>
        </w:rPr>
        <w:t>Political Settlements Research Programme</w:t>
      </w:r>
      <w:r w:rsidR="000E0AA9">
        <w:rPr>
          <w:rFonts w:ascii="Cambria" w:hAnsi="Cambria"/>
          <w:sz w:val="22"/>
          <w:szCs w:val="22"/>
        </w:rPr>
        <w:t>.</w:t>
      </w:r>
      <w:r w:rsidR="00644BC2">
        <w:rPr>
          <w:rFonts w:ascii="Cambria" w:hAnsi="Cambria"/>
          <w:sz w:val="22"/>
          <w:szCs w:val="22"/>
        </w:rPr>
        <w:t xml:space="preserve"> </w:t>
      </w:r>
      <w:r w:rsidR="009B382F">
        <w:rPr>
          <w:rFonts w:ascii="Cambria" w:eastAsia="Times New Roman" w:hAnsi="Cambria"/>
          <w:sz w:val="22"/>
          <w:szCs w:val="22"/>
          <w:lang w:eastAsia="en-GB"/>
        </w:rPr>
        <w:t xml:space="preserve">Edinburgh: </w:t>
      </w:r>
      <w:r w:rsidR="00644BC2">
        <w:rPr>
          <w:rFonts w:ascii="Cambria" w:hAnsi="Cambria"/>
          <w:sz w:val="22"/>
          <w:szCs w:val="22"/>
        </w:rPr>
        <w:t>University of Edinburgh</w:t>
      </w:r>
      <w:r w:rsidR="00DA1AA6">
        <w:rPr>
          <w:rFonts w:ascii="Cambria" w:hAnsi="Cambria"/>
          <w:sz w:val="22"/>
          <w:szCs w:val="22"/>
        </w:rPr>
        <w:t>.</w:t>
      </w:r>
    </w:p>
    <w:p w14:paraId="60D0B28B" w14:textId="77777777" w:rsidR="000F7F2A" w:rsidRPr="00F45F80" w:rsidRDefault="000F7F2A" w:rsidP="00494962">
      <w:pPr>
        <w:pStyle w:val="Default"/>
        <w:rPr>
          <w:rFonts w:ascii="Cambria" w:hAnsi="Cambria"/>
          <w:sz w:val="22"/>
          <w:szCs w:val="22"/>
        </w:rPr>
      </w:pPr>
    </w:p>
    <w:p w14:paraId="77868813" w14:textId="3723BC91" w:rsidR="000F7F2A" w:rsidRPr="00F45F80" w:rsidRDefault="000F7F2A" w:rsidP="00494962">
      <w:pPr>
        <w:autoSpaceDE w:val="0"/>
        <w:autoSpaceDN w:val="0"/>
        <w:adjustRightInd w:val="0"/>
        <w:rPr>
          <w:rFonts w:ascii="Cambria" w:hAnsi="Cambria"/>
          <w:sz w:val="22"/>
          <w:szCs w:val="22"/>
        </w:rPr>
      </w:pPr>
      <w:r w:rsidRPr="00F45F80">
        <w:rPr>
          <w:rFonts w:ascii="Cambria" w:hAnsi="Cambria"/>
          <w:sz w:val="22"/>
          <w:szCs w:val="22"/>
        </w:rPr>
        <w:t>Bell, C.</w:t>
      </w:r>
      <w:r w:rsidR="00F45F80">
        <w:rPr>
          <w:rFonts w:ascii="Cambria" w:hAnsi="Cambria"/>
          <w:sz w:val="22"/>
          <w:szCs w:val="22"/>
        </w:rPr>
        <w:t>,</w:t>
      </w:r>
      <w:r w:rsidRPr="00F45F80">
        <w:rPr>
          <w:rFonts w:ascii="Cambria" w:hAnsi="Cambria"/>
          <w:sz w:val="22"/>
          <w:szCs w:val="22"/>
        </w:rPr>
        <w:t xml:space="preserve"> </w:t>
      </w:r>
      <w:r w:rsidR="000E381B" w:rsidRPr="00F45F80">
        <w:rPr>
          <w:rFonts w:ascii="Cambria" w:hAnsi="Cambria"/>
          <w:sz w:val="22"/>
          <w:szCs w:val="22"/>
        </w:rPr>
        <w:t>and</w:t>
      </w:r>
      <w:r w:rsidRPr="00F45F80">
        <w:rPr>
          <w:rFonts w:ascii="Cambria" w:hAnsi="Cambria"/>
          <w:sz w:val="22"/>
          <w:szCs w:val="22"/>
        </w:rPr>
        <w:t xml:space="preserve"> O’Rourke, C</w:t>
      </w:r>
      <w:r w:rsidR="00F45F80">
        <w:rPr>
          <w:rFonts w:ascii="Cambria" w:hAnsi="Cambria"/>
          <w:sz w:val="22"/>
          <w:szCs w:val="22"/>
        </w:rPr>
        <w:t>.</w:t>
      </w:r>
      <w:r w:rsidR="007139F5">
        <w:rPr>
          <w:rFonts w:ascii="Cambria" w:hAnsi="Cambria"/>
          <w:sz w:val="22"/>
          <w:szCs w:val="22"/>
        </w:rPr>
        <w:t>,</w:t>
      </w:r>
      <w:r w:rsidR="00F45F80">
        <w:rPr>
          <w:rFonts w:ascii="Cambria" w:hAnsi="Cambria"/>
          <w:sz w:val="22"/>
          <w:szCs w:val="22"/>
        </w:rPr>
        <w:t xml:space="preserve"> (2010)</w:t>
      </w:r>
      <w:r w:rsidR="007139F5">
        <w:rPr>
          <w:rFonts w:ascii="Cambria" w:hAnsi="Cambria"/>
          <w:sz w:val="22"/>
          <w:szCs w:val="22"/>
        </w:rPr>
        <w:t>.</w:t>
      </w:r>
      <w:r w:rsidRPr="00F45F80">
        <w:rPr>
          <w:rFonts w:ascii="Cambria" w:hAnsi="Cambria"/>
          <w:sz w:val="22"/>
          <w:szCs w:val="22"/>
        </w:rPr>
        <w:t xml:space="preserve"> ‘Peace Agreements or Pieces of Paper? The Impact of UNSC Resolution 1325 on Peace </w:t>
      </w:r>
      <w:r w:rsidR="007139F5">
        <w:rPr>
          <w:rFonts w:ascii="Cambria" w:hAnsi="Cambria"/>
          <w:sz w:val="22"/>
          <w:szCs w:val="22"/>
        </w:rPr>
        <w:t>Processes and Their Agreements’.</w:t>
      </w:r>
      <w:r w:rsidRPr="00F45F80">
        <w:rPr>
          <w:rFonts w:ascii="Cambria" w:hAnsi="Cambria"/>
          <w:sz w:val="22"/>
          <w:szCs w:val="22"/>
        </w:rPr>
        <w:t xml:space="preserve"> </w:t>
      </w:r>
      <w:r w:rsidRPr="00F45F80">
        <w:rPr>
          <w:rFonts w:ascii="Cambria" w:hAnsi="Cambria"/>
          <w:i/>
          <w:sz w:val="22"/>
          <w:szCs w:val="22"/>
        </w:rPr>
        <w:t>International and Comparative Law Quarterly</w:t>
      </w:r>
      <w:r w:rsidR="007139F5">
        <w:rPr>
          <w:rFonts w:ascii="Cambria" w:hAnsi="Cambria"/>
          <w:sz w:val="22"/>
          <w:szCs w:val="22"/>
        </w:rPr>
        <w:t xml:space="preserve"> 59</w:t>
      </w:r>
      <w:r w:rsidR="00E77EA5">
        <w:rPr>
          <w:rFonts w:ascii="Cambria" w:hAnsi="Cambria"/>
          <w:sz w:val="22"/>
          <w:szCs w:val="22"/>
        </w:rPr>
        <w:t>(</w:t>
      </w:r>
      <w:r w:rsidRPr="00F45F80">
        <w:rPr>
          <w:rFonts w:ascii="Cambria" w:hAnsi="Cambria"/>
          <w:sz w:val="22"/>
          <w:szCs w:val="22"/>
        </w:rPr>
        <w:t>4</w:t>
      </w:r>
      <w:r w:rsidR="00E77EA5">
        <w:rPr>
          <w:rFonts w:ascii="Cambria" w:hAnsi="Cambria"/>
          <w:sz w:val="22"/>
          <w:szCs w:val="22"/>
        </w:rPr>
        <w:t xml:space="preserve">): </w:t>
      </w:r>
      <w:r w:rsidR="006268DE">
        <w:rPr>
          <w:rFonts w:ascii="Cambria" w:hAnsi="Cambria"/>
          <w:sz w:val="22"/>
          <w:szCs w:val="22"/>
        </w:rPr>
        <w:t>941-</w:t>
      </w:r>
      <w:r w:rsidR="00494962">
        <w:rPr>
          <w:rFonts w:ascii="Cambria" w:hAnsi="Cambria"/>
          <w:sz w:val="22"/>
          <w:szCs w:val="22"/>
        </w:rPr>
        <w:t>9</w:t>
      </w:r>
      <w:r w:rsidR="00644BC2">
        <w:rPr>
          <w:rFonts w:ascii="Cambria" w:hAnsi="Cambria"/>
          <w:sz w:val="22"/>
          <w:szCs w:val="22"/>
        </w:rPr>
        <w:t>80</w:t>
      </w:r>
      <w:r w:rsidR="00DA1AA6">
        <w:rPr>
          <w:rFonts w:ascii="Cambria" w:hAnsi="Cambria"/>
          <w:sz w:val="22"/>
          <w:szCs w:val="22"/>
        </w:rPr>
        <w:t>.</w:t>
      </w:r>
    </w:p>
    <w:p w14:paraId="7F1F49CB" w14:textId="77777777" w:rsidR="000F7F2A" w:rsidRPr="00F45F80" w:rsidRDefault="000F7F2A" w:rsidP="00494962">
      <w:pPr>
        <w:autoSpaceDE w:val="0"/>
        <w:autoSpaceDN w:val="0"/>
        <w:adjustRightInd w:val="0"/>
        <w:rPr>
          <w:rFonts w:ascii="Cambria" w:hAnsi="Cambria"/>
          <w:sz w:val="22"/>
          <w:szCs w:val="22"/>
        </w:rPr>
      </w:pPr>
    </w:p>
    <w:p w14:paraId="6E5EEB8D" w14:textId="1D63F715" w:rsidR="000F7F2A" w:rsidRPr="00F45F80" w:rsidRDefault="000F7F2A" w:rsidP="00494962">
      <w:pPr>
        <w:autoSpaceDE w:val="0"/>
        <w:autoSpaceDN w:val="0"/>
        <w:adjustRightInd w:val="0"/>
        <w:rPr>
          <w:rFonts w:ascii="Cambria" w:hAnsi="Cambria"/>
          <w:sz w:val="22"/>
          <w:szCs w:val="22"/>
        </w:rPr>
      </w:pPr>
      <w:r w:rsidRPr="00F45F80">
        <w:rPr>
          <w:rFonts w:ascii="Cambria" w:hAnsi="Cambria"/>
          <w:sz w:val="22"/>
          <w:szCs w:val="22"/>
        </w:rPr>
        <w:t>Bell, C.</w:t>
      </w:r>
      <w:r w:rsidR="00E77EA5">
        <w:rPr>
          <w:rFonts w:ascii="Cambria" w:hAnsi="Cambria"/>
          <w:sz w:val="22"/>
          <w:szCs w:val="22"/>
        </w:rPr>
        <w:t>,</w:t>
      </w:r>
      <w:r w:rsidRPr="00F45F80">
        <w:rPr>
          <w:rFonts w:ascii="Cambria" w:hAnsi="Cambria"/>
          <w:sz w:val="22"/>
          <w:szCs w:val="22"/>
        </w:rPr>
        <w:t xml:space="preserve"> </w:t>
      </w:r>
      <w:r w:rsidR="000E381B" w:rsidRPr="00F45F80">
        <w:rPr>
          <w:rFonts w:ascii="Cambria" w:hAnsi="Cambria"/>
          <w:sz w:val="22"/>
          <w:szCs w:val="22"/>
        </w:rPr>
        <w:t>and</w:t>
      </w:r>
      <w:r w:rsidR="00E77EA5">
        <w:rPr>
          <w:rFonts w:ascii="Cambria" w:hAnsi="Cambria"/>
          <w:sz w:val="22"/>
          <w:szCs w:val="22"/>
        </w:rPr>
        <w:t xml:space="preserve"> O’Rourke,</w:t>
      </w:r>
      <w:r w:rsidRPr="00F45F80">
        <w:rPr>
          <w:rFonts w:ascii="Cambria" w:hAnsi="Cambria"/>
          <w:sz w:val="22"/>
          <w:szCs w:val="22"/>
        </w:rPr>
        <w:t xml:space="preserve"> C.</w:t>
      </w:r>
      <w:r w:rsidR="007139F5">
        <w:rPr>
          <w:rFonts w:ascii="Cambria" w:hAnsi="Cambria"/>
          <w:sz w:val="22"/>
          <w:szCs w:val="22"/>
        </w:rPr>
        <w:t>,</w:t>
      </w:r>
      <w:r w:rsidRPr="00F45F80">
        <w:rPr>
          <w:rFonts w:ascii="Cambria" w:hAnsi="Cambria"/>
          <w:sz w:val="22"/>
          <w:szCs w:val="22"/>
        </w:rPr>
        <w:t xml:space="preserve"> (2007)</w:t>
      </w:r>
      <w:r w:rsidR="009B382F">
        <w:rPr>
          <w:rFonts w:ascii="Cambria" w:hAnsi="Cambria"/>
          <w:sz w:val="22"/>
          <w:szCs w:val="22"/>
        </w:rPr>
        <w:t>.</w:t>
      </w:r>
      <w:r w:rsidR="00E77EA5">
        <w:rPr>
          <w:rFonts w:ascii="Cambria" w:hAnsi="Cambria"/>
          <w:sz w:val="22"/>
          <w:szCs w:val="22"/>
        </w:rPr>
        <w:t xml:space="preserve"> ‘</w:t>
      </w:r>
      <w:r w:rsidRPr="00F45F80">
        <w:rPr>
          <w:rFonts w:ascii="Cambria" w:hAnsi="Cambria"/>
          <w:sz w:val="22"/>
          <w:szCs w:val="22"/>
        </w:rPr>
        <w:t>The people’s peace? Peace agreements, civil socie</w:t>
      </w:r>
      <w:r w:rsidR="007139F5">
        <w:rPr>
          <w:rFonts w:ascii="Cambria" w:hAnsi="Cambria"/>
          <w:sz w:val="22"/>
          <w:szCs w:val="22"/>
        </w:rPr>
        <w:t>ty, and participatory democracy</w:t>
      </w:r>
      <w:r w:rsidR="009B382F">
        <w:rPr>
          <w:rFonts w:ascii="Cambria" w:hAnsi="Cambria"/>
          <w:sz w:val="22"/>
          <w:szCs w:val="22"/>
        </w:rPr>
        <w:t>’</w:t>
      </w:r>
      <w:r w:rsidR="007139F5">
        <w:rPr>
          <w:rFonts w:ascii="Cambria" w:hAnsi="Cambria"/>
          <w:sz w:val="22"/>
          <w:szCs w:val="22"/>
        </w:rPr>
        <w:t>.</w:t>
      </w:r>
      <w:r w:rsidRPr="00F45F80">
        <w:rPr>
          <w:rFonts w:ascii="Cambria" w:hAnsi="Cambria"/>
          <w:sz w:val="22"/>
          <w:szCs w:val="22"/>
        </w:rPr>
        <w:t xml:space="preserve"> </w:t>
      </w:r>
      <w:r w:rsidRPr="00F45F80">
        <w:rPr>
          <w:rFonts w:ascii="Cambria" w:hAnsi="Cambria"/>
          <w:i/>
          <w:sz w:val="22"/>
          <w:szCs w:val="22"/>
        </w:rPr>
        <w:t>International Political Science Review</w:t>
      </w:r>
      <w:r w:rsidR="007139F5">
        <w:rPr>
          <w:rFonts w:ascii="Cambria" w:hAnsi="Cambria"/>
          <w:sz w:val="22"/>
          <w:szCs w:val="22"/>
        </w:rPr>
        <w:t xml:space="preserve"> </w:t>
      </w:r>
      <w:r w:rsidRPr="00F45F80">
        <w:rPr>
          <w:rFonts w:ascii="Cambria" w:hAnsi="Cambria"/>
          <w:sz w:val="22"/>
          <w:szCs w:val="22"/>
        </w:rPr>
        <w:t>28(3):</w:t>
      </w:r>
      <w:r w:rsidR="006268DE">
        <w:rPr>
          <w:rFonts w:ascii="Cambria" w:hAnsi="Cambria"/>
          <w:sz w:val="22"/>
          <w:szCs w:val="22"/>
        </w:rPr>
        <w:t xml:space="preserve"> 293-</w:t>
      </w:r>
      <w:r w:rsidR="00644BC2">
        <w:rPr>
          <w:rFonts w:ascii="Cambria" w:hAnsi="Cambria"/>
          <w:sz w:val="22"/>
          <w:szCs w:val="22"/>
        </w:rPr>
        <w:t>324</w:t>
      </w:r>
      <w:r w:rsidR="00DA1AA6">
        <w:rPr>
          <w:rFonts w:ascii="Cambria" w:hAnsi="Cambria"/>
          <w:sz w:val="22"/>
          <w:szCs w:val="22"/>
        </w:rPr>
        <w:t>.</w:t>
      </w:r>
    </w:p>
    <w:p w14:paraId="4A7F7556" w14:textId="77777777" w:rsidR="000F7F2A" w:rsidRPr="003D66DD" w:rsidRDefault="000F7F2A" w:rsidP="00494962">
      <w:pPr>
        <w:autoSpaceDE w:val="0"/>
        <w:autoSpaceDN w:val="0"/>
        <w:adjustRightInd w:val="0"/>
        <w:rPr>
          <w:rFonts w:ascii="Cambria" w:hAnsi="Cambria"/>
        </w:rPr>
      </w:pPr>
    </w:p>
    <w:p w14:paraId="5AB2BBF2" w14:textId="5271D13E" w:rsidR="00F42492" w:rsidRDefault="000F7F2A" w:rsidP="00494962">
      <w:pPr>
        <w:jc w:val="both"/>
        <w:rPr>
          <w:rFonts w:ascii="Cambria" w:eastAsia="AdvTimes" w:hAnsi="Cambria"/>
          <w:sz w:val="22"/>
          <w:szCs w:val="22"/>
        </w:rPr>
      </w:pPr>
      <w:proofErr w:type="spellStart"/>
      <w:r w:rsidRPr="00F45F80">
        <w:rPr>
          <w:rFonts w:ascii="Cambria" w:eastAsia="AdvTimes" w:hAnsi="Cambria"/>
          <w:sz w:val="22"/>
          <w:szCs w:val="22"/>
        </w:rPr>
        <w:t>Belloni</w:t>
      </w:r>
      <w:proofErr w:type="spellEnd"/>
      <w:r w:rsidRPr="00F45F80">
        <w:rPr>
          <w:rFonts w:ascii="Cambria" w:eastAsia="AdvTimes" w:hAnsi="Cambria"/>
          <w:sz w:val="22"/>
          <w:szCs w:val="22"/>
        </w:rPr>
        <w:t>, R.</w:t>
      </w:r>
      <w:r w:rsidR="00523CA4">
        <w:rPr>
          <w:rFonts w:ascii="Cambria" w:eastAsia="AdvTimes" w:hAnsi="Cambria"/>
          <w:sz w:val="22"/>
          <w:szCs w:val="22"/>
        </w:rPr>
        <w:t>,</w:t>
      </w:r>
      <w:r w:rsidRPr="00F45F80">
        <w:rPr>
          <w:rFonts w:ascii="Cambria" w:eastAsia="AdvTimes" w:hAnsi="Cambria"/>
          <w:sz w:val="22"/>
          <w:szCs w:val="22"/>
        </w:rPr>
        <w:t xml:space="preserve"> (2007)</w:t>
      </w:r>
      <w:r w:rsidR="00523CA4">
        <w:rPr>
          <w:rFonts w:ascii="Cambria" w:eastAsia="AdvTimes" w:hAnsi="Cambria"/>
          <w:sz w:val="22"/>
          <w:szCs w:val="22"/>
        </w:rPr>
        <w:t>.</w:t>
      </w:r>
      <w:r w:rsidRPr="00F45F80">
        <w:rPr>
          <w:rFonts w:ascii="Cambria" w:eastAsia="AdvTimes" w:hAnsi="Cambria"/>
          <w:sz w:val="22"/>
          <w:szCs w:val="22"/>
        </w:rPr>
        <w:t xml:space="preserve"> </w:t>
      </w:r>
      <w:r w:rsidRPr="00F45F80">
        <w:rPr>
          <w:rFonts w:ascii="Cambria" w:eastAsia="AdvTimes" w:hAnsi="Cambria"/>
          <w:i/>
          <w:sz w:val="22"/>
          <w:szCs w:val="22"/>
        </w:rPr>
        <w:t>State Building and International Intervention in Bosnia</w:t>
      </w:r>
      <w:r w:rsidR="00523CA4">
        <w:rPr>
          <w:rFonts w:ascii="Cambria" w:eastAsia="AdvTimes" w:hAnsi="Cambria"/>
          <w:sz w:val="22"/>
          <w:szCs w:val="22"/>
        </w:rPr>
        <w:t xml:space="preserve">. </w:t>
      </w:r>
      <w:r w:rsidR="00F029EA">
        <w:rPr>
          <w:rFonts w:ascii="Cambria" w:eastAsia="AdvTimes" w:hAnsi="Cambria"/>
          <w:sz w:val="22"/>
          <w:szCs w:val="22"/>
        </w:rPr>
        <w:t>Abingdon</w:t>
      </w:r>
      <w:r w:rsidRPr="00F45F80">
        <w:rPr>
          <w:rFonts w:ascii="Cambria" w:eastAsia="AdvTimes" w:hAnsi="Cambria"/>
          <w:sz w:val="22"/>
          <w:szCs w:val="22"/>
        </w:rPr>
        <w:t xml:space="preserve"> </w:t>
      </w:r>
      <w:r w:rsidR="000E381B" w:rsidRPr="00F45F80">
        <w:rPr>
          <w:rFonts w:ascii="Cambria" w:eastAsia="AdvTimes" w:hAnsi="Cambria"/>
          <w:sz w:val="22"/>
          <w:szCs w:val="22"/>
        </w:rPr>
        <w:t>and</w:t>
      </w:r>
      <w:r w:rsidR="00F45F80">
        <w:rPr>
          <w:rFonts w:ascii="Cambria" w:eastAsia="AdvTimes" w:hAnsi="Cambria"/>
          <w:sz w:val="22"/>
          <w:szCs w:val="22"/>
        </w:rPr>
        <w:t xml:space="preserve"> New York: Routledge</w:t>
      </w:r>
      <w:r w:rsidR="00DA1AA6">
        <w:rPr>
          <w:rFonts w:ascii="Cambria" w:eastAsia="AdvTimes" w:hAnsi="Cambria"/>
          <w:sz w:val="22"/>
          <w:szCs w:val="22"/>
        </w:rPr>
        <w:t>.</w:t>
      </w:r>
    </w:p>
    <w:p w14:paraId="45F44400" w14:textId="77777777" w:rsidR="00644BC2" w:rsidRPr="00644BC2" w:rsidRDefault="00644BC2" w:rsidP="00494962">
      <w:pPr>
        <w:jc w:val="both"/>
        <w:rPr>
          <w:rFonts w:ascii="Cambria" w:eastAsia="AdvTimes" w:hAnsi="Cambria"/>
          <w:sz w:val="22"/>
          <w:szCs w:val="22"/>
        </w:rPr>
      </w:pPr>
    </w:p>
    <w:p w14:paraId="0EBBEE54" w14:textId="39F1861A" w:rsidR="00F42492" w:rsidRPr="00523CA4" w:rsidRDefault="00F42492" w:rsidP="00494962">
      <w:pPr>
        <w:shd w:val="clear" w:color="auto" w:fill="FFFFFF"/>
        <w:rPr>
          <w:rFonts w:ascii="Cambria" w:hAnsi="Cambria"/>
          <w:sz w:val="22"/>
          <w:szCs w:val="22"/>
        </w:rPr>
      </w:pPr>
      <w:r w:rsidRPr="00523CA4">
        <w:rPr>
          <w:rFonts w:ascii="Cambria" w:hAnsi="Cambria"/>
          <w:sz w:val="22"/>
          <w:szCs w:val="22"/>
        </w:rPr>
        <w:t>Beyer, M.</w:t>
      </w:r>
      <w:r w:rsidR="00523CA4">
        <w:rPr>
          <w:rFonts w:ascii="Cambria" w:hAnsi="Cambria"/>
          <w:sz w:val="22"/>
          <w:szCs w:val="22"/>
        </w:rPr>
        <w:t>,</w:t>
      </w:r>
      <w:r w:rsidRPr="00523CA4">
        <w:rPr>
          <w:rFonts w:ascii="Cambria" w:hAnsi="Cambria"/>
          <w:sz w:val="22"/>
          <w:szCs w:val="22"/>
        </w:rPr>
        <w:t xml:space="preserve"> and Annesley, C.</w:t>
      </w:r>
      <w:r w:rsidR="00523CA4">
        <w:rPr>
          <w:rFonts w:ascii="Cambria" w:hAnsi="Cambria"/>
          <w:sz w:val="22"/>
          <w:szCs w:val="22"/>
        </w:rPr>
        <w:t>,</w:t>
      </w:r>
      <w:r w:rsidRPr="00523CA4">
        <w:rPr>
          <w:rFonts w:ascii="Cambria" w:hAnsi="Cambria"/>
          <w:sz w:val="22"/>
          <w:szCs w:val="22"/>
        </w:rPr>
        <w:t xml:space="preserve"> (2011</w:t>
      </w:r>
      <w:r w:rsidR="00523CA4">
        <w:rPr>
          <w:rFonts w:ascii="Cambria" w:hAnsi="Cambria"/>
          <w:sz w:val="22"/>
          <w:szCs w:val="22"/>
        </w:rPr>
        <w:t>).</w:t>
      </w:r>
      <w:r w:rsidR="00C75788" w:rsidRPr="00523CA4">
        <w:rPr>
          <w:rFonts w:ascii="Cambria" w:hAnsi="Cambria"/>
          <w:sz w:val="22"/>
          <w:szCs w:val="22"/>
        </w:rPr>
        <w:t xml:space="preserve"> ‘Gendering the Institutional Reform of the Welfare State: Germany, the United Kingdom and Switzerland</w:t>
      </w:r>
      <w:r w:rsidR="00861495">
        <w:rPr>
          <w:rFonts w:ascii="Cambria" w:hAnsi="Cambria"/>
          <w:sz w:val="22"/>
          <w:szCs w:val="22"/>
        </w:rPr>
        <w:t>’</w:t>
      </w:r>
      <w:r w:rsidR="00C75788" w:rsidRPr="00523CA4">
        <w:rPr>
          <w:rFonts w:ascii="Cambria" w:hAnsi="Cambria"/>
          <w:sz w:val="22"/>
          <w:szCs w:val="22"/>
        </w:rPr>
        <w:t>, in M.</w:t>
      </w:r>
      <w:r w:rsidR="00FC7EE5">
        <w:rPr>
          <w:rFonts w:ascii="Cambria" w:hAnsi="Cambria"/>
          <w:sz w:val="22"/>
          <w:szCs w:val="22"/>
        </w:rPr>
        <w:t xml:space="preserve">L. </w:t>
      </w:r>
      <w:r w:rsidR="00523CA4">
        <w:rPr>
          <w:rFonts w:ascii="Cambria" w:hAnsi="Cambria"/>
          <w:sz w:val="22"/>
          <w:szCs w:val="22"/>
        </w:rPr>
        <w:t xml:space="preserve"> </w:t>
      </w:r>
      <w:proofErr w:type="spellStart"/>
      <w:r w:rsidR="00C75788" w:rsidRPr="00523CA4">
        <w:rPr>
          <w:rFonts w:ascii="Cambria" w:hAnsi="Cambria"/>
          <w:sz w:val="22"/>
          <w:szCs w:val="22"/>
        </w:rPr>
        <w:t>Krook</w:t>
      </w:r>
      <w:proofErr w:type="spellEnd"/>
      <w:r w:rsidR="00523CA4">
        <w:rPr>
          <w:rFonts w:ascii="Cambria" w:hAnsi="Cambria"/>
          <w:sz w:val="22"/>
          <w:szCs w:val="22"/>
        </w:rPr>
        <w:t>,</w:t>
      </w:r>
      <w:r w:rsidR="00C75788" w:rsidRPr="00523CA4">
        <w:rPr>
          <w:rFonts w:ascii="Cambria" w:hAnsi="Cambria"/>
          <w:sz w:val="22"/>
          <w:szCs w:val="22"/>
        </w:rPr>
        <w:t xml:space="preserve"> and F. Mackay</w:t>
      </w:r>
      <w:r w:rsidR="00861495">
        <w:rPr>
          <w:rFonts w:ascii="Cambria" w:hAnsi="Cambria"/>
          <w:sz w:val="22"/>
          <w:szCs w:val="22"/>
        </w:rPr>
        <w:t>,</w:t>
      </w:r>
      <w:r w:rsidR="007139F5">
        <w:rPr>
          <w:rFonts w:ascii="Cambria" w:hAnsi="Cambria"/>
          <w:sz w:val="22"/>
          <w:szCs w:val="22"/>
        </w:rPr>
        <w:t xml:space="preserve"> </w:t>
      </w:r>
      <w:r w:rsidR="00523CA4">
        <w:rPr>
          <w:rFonts w:ascii="Cambria" w:hAnsi="Cambria"/>
          <w:sz w:val="22"/>
          <w:szCs w:val="22"/>
        </w:rPr>
        <w:t>eds.</w:t>
      </w:r>
      <w:r w:rsidR="00C75788" w:rsidRPr="00523CA4">
        <w:rPr>
          <w:rFonts w:ascii="Cambria" w:hAnsi="Cambria"/>
          <w:sz w:val="22"/>
          <w:szCs w:val="22"/>
        </w:rPr>
        <w:t xml:space="preserve"> </w:t>
      </w:r>
      <w:r w:rsidR="00C75788" w:rsidRPr="00523CA4">
        <w:rPr>
          <w:rFonts w:ascii="Cambria" w:hAnsi="Cambria"/>
          <w:i/>
          <w:sz w:val="22"/>
          <w:szCs w:val="22"/>
        </w:rPr>
        <w:t>Gender, Politics and Institutions: Towards a Feminist Institutionalism</w:t>
      </w:r>
      <w:r w:rsidR="00C75788" w:rsidRPr="00523CA4">
        <w:rPr>
          <w:rFonts w:ascii="Cambria" w:hAnsi="Cambria"/>
          <w:sz w:val="22"/>
          <w:szCs w:val="22"/>
        </w:rPr>
        <w:t>. B</w:t>
      </w:r>
      <w:r w:rsidR="005B4AD0">
        <w:rPr>
          <w:rFonts w:ascii="Cambria" w:hAnsi="Cambria"/>
          <w:sz w:val="22"/>
          <w:szCs w:val="22"/>
        </w:rPr>
        <w:t>asingstoke: Palgrave Macmillan,</w:t>
      </w:r>
      <w:r w:rsidR="00523CA4">
        <w:rPr>
          <w:rFonts w:ascii="Cambria" w:hAnsi="Cambria"/>
          <w:sz w:val="22"/>
          <w:szCs w:val="22"/>
        </w:rPr>
        <w:t xml:space="preserve"> pp.</w:t>
      </w:r>
      <w:r w:rsidR="00C75788" w:rsidRPr="00523CA4">
        <w:rPr>
          <w:rFonts w:ascii="Cambria" w:hAnsi="Cambria"/>
          <w:sz w:val="22"/>
          <w:szCs w:val="22"/>
        </w:rPr>
        <w:t>79</w:t>
      </w:r>
      <w:r w:rsidR="006268DE">
        <w:rPr>
          <w:rFonts w:ascii="Cambria" w:hAnsi="Cambria"/>
          <w:sz w:val="22"/>
          <w:szCs w:val="22"/>
        </w:rPr>
        <w:t>-</w:t>
      </w:r>
      <w:r w:rsidR="00C75788" w:rsidRPr="00523CA4">
        <w:rPr>
          <w:rFonts w:ascii="Cambria" w:hAnsi="Cambria"/>
          <w:sz w:val="22"/>
          <w:szCs w:val="22"/>
        </w:rPr>
        <w:t>94</w:t>
      </w:r>
      <w:r w:rsidR="00DA1AA6">
        <w:rPr>
          <w:rFonts w:ascii="Cambria" w:hAnsi="Cambria"/>
          <w:sz w:val="22"/>
          <w:szCs w:val="22"/>
        </w:rPr>
        <w:t>.</w:t>
      </w:r>
    </w:p>
    <w:p w14:paraId="27618383" w14:textId="5F7EE188" w:rsidR="000F7F2A" w:rsidRPr="00523CA4" w:rsidRDefault="00523CA4" w:rsidP="00494962">
      <w:pPr>
        <w:spacing w:before="240"/>
        <w:rPr>
          <w:rFonts w:ascii="Cambria" w:hAnsi="Cambria"/>
          <w:sz w:val="22"/>
          <w:szCs w:val="22"/>
        </w:rPr>
      </w:pPr>
      <w:r>
        <w:rPr>
          <w:rFonts w:ascii="Cambria" w:hAnsi="Cambria"/>
          <w:sz w:val="22"/>
          <w:szCs w:val="22"/>
        </w:rPr>
        <w:t xml:space="preserve">Bieber, </w:t>
      </w:r>
      <w:r w:rsidR="000F7F2A" w:rsidRPr="00523CA4">
        <w:rPr>
          <w:rFonts w:ascii="Cambria" w:hAnsi="Cambria"/>
          <w:sz w:val="22"/>
          <w:szCs w:val="22"/>
        </w:rPr>
        <w:t>F.</w:t>
      </w:r>
      <w:r>
        <w:rPr>
          <w:rFonts w:ascii="Cambria" w:hAnsi="Cambria"/>
          <w:sz w:val="22"/>
          <w:szCs w:val="22"/>
        </w:rPr>
        <w:t xml:space="preserve">, </w:t>
      </w:r>
      <w:r w:rsidR="000F7F2A" w:rsidRPr="00523CA4">
        <w:rPr>
          <w:rFonts w:ascii="Cambria" w:hAnsi="Cambria"/>
          <w:sz w:val="22"/>
          <w:szCs w:val="22"/>
        </w:rPr>
        <w:t>(2006)</w:t>
      </w:r>
      <w:r>
        <w:rPr>
          <w:rFonts w:ascii="Cambria" w:hAnsi="Cambria"/>
          <w:sz w:val="22"/>
          <w:szCs w:val="22"/>
        </w:rPr>
        <w:t>.</w:t>
      </w:r>
      <w:r w:rsidR="000F7F2A" w:rsidRPr="00523CA4">
        <w:rPr>
          <w:rFonts w:ascii="Cambria" w:hAnsi="Cambria"/>
          <w:sz w:val="22"/>
          <w:szCs w:val="22"/>
        </w:rPr>
        <w:t xml:space="preserve"> </w:t>
      </w:r>
      <w:r w:rsidR="000F7F2A" w:rsidRPr="00523CA4">
        <w:rPr>
          <w:rFonts w:ascii="Cambria" w:hAnsi="Cambria"/>
          <w:i/>
          <w:sz w:val="22"/>
          <w:szCs w:val="22"/>
        </w:rPr>
        <w:t>Post-War Bosnia: Ethnicity, Inequality and Public Sector Governance</w:t>
      </w:r>
      <w:r w:rsidR="00861495">
        <w:rPr>
          <w:rFonts w:ascii="Cambria" w:hAnsi="Cambria"/>
          <w:sz w:val="22"/>
          <w:szCs w:val="22"/>
        </w:rPr>
        <w:t>.</w:t>
      </w:r>
      <w:r>
        <w:rPr>
          <w:rFonts w:ascii="Cambria" w:hAnsi="Cambria"/>
          <w:sz w:val="22"/>
          <w:szCs w:val="22"/>
        </w:rPr>
        <w:t xml:space="preserve"> </w:t>
      </w:r>
      <w:r w:rsidR="006268DE">
        <w:rPr>
          <w:rFonts w:ascii="Cambria" w:hAnsi="Cambria"/>
          <w:sz w:val="22"/>
          <w:szCs w:val="22"/>
        </w:rPr>
        <w:t>Basingstoke</w:t>
      </w:r>
      <w:r w:rsidR="00EB1AA0">
        <w:rPr>
          <w:rFonts w:ascii="Cambria" w:hAnsi="Cambria"/>
          <w:sz w:val="22"/>
          <w:szCs w:val="22"/>
        </w:rPr>
        <w:t>: Palgrave</w:t>
      </w:r>
      <w:r w:rsidR="006268DE">
        <w:rPr>
          <w:rFonts w:ascii="Cambria" w:hAnsi="Cambria"/>
          <w:sz w:val="22"/>
          <w:szCs w:val="22"/>
        </w:rPr>
        <w:t xml:space="preserve"> Macmillan</w:t>
      </w:r>
      <w:r w:rsidR="00DA1AA6">
        <w:rPr>
          <w:rFonts w:ascii="Cambria" w:hAnsi="Cambria"/>
          <w:sz w:val="22"/>
          <w:szCs w:val="22"/>
        </w:rPr>
        <w:t>.</w:t>
      </w:r>
    </w:p>
    <w:p w14:paraId="62FEF19C" w14:textId="5F0F6AB9" w:rsidR="000F7F2A" w:rsidRPr="00523CA4" w:rsidRDefault="000F7F2A" w:rsidP="00494962">
      <w:pPr>
        <w:spacing w:before="240"/>
        <w:jc w:val="both"/>
        <w:rPr>
          <w:rFonts w:ascii="Cambria" w:hAnsi="Cambria"/>
          <w:sz w:val="22"/>
          <w:szCs w:val="22"/>
        </w:rPr>
      </w:pPr>
      <w:proofErr w:type="spellStart"/>
      <w:r w:rsidRPr="00523CA4">
        <w:rPr>
          <w:rFonts w:ascii="Cambria" w:hAnsi="Cambria"/>
          <w:sz w:val="22"/>
          <w:szCs w:val="22"/>
        </w:rPr>
        <w:t>Bjarnegard</w:t>
      </w:r>
      <w:proofErr w:type="spellEnd"/>
      <w:r w:rsidRPr="00523CA4">
        <w:rPr>
          <w:rFonts w:ascii="Cambria" w:hAnsi="Cambria"/>
          <w:sz w:val="22"/>
          <w:szCs w:val="22"/>
        </w:rPr>
        <w:t>, E.</w:t>
      </w:r>
      <w:r w:rsidR="00523CA4" w:rsidRPr="00523CA4">
        <w:rPr>
          <w:rFonts w:ascii="Cambria" w:hAnsi="Cambria"/>
          <w:sz w:val="22"/>
          <w:szCs w:val="22"/>
        </w:rPr>
        <w:t>,</w:t>
      </w:r>
      <w:r w:rsidR="00BC5580">
        <w:rPr>
          <w:rFonts w:ascii="Cambria" w:hAnsi="Cambria"/>
          <w:sz w:val="22"/>
          <w:szCs w:val="22"/>
        </w:rPr>
        <w:t xml:space="preserve"> (2013)</w:t>
      </w:r>
      <w:r w:rsidR="00523CA4" w:rsidRPr="00523CA4">
        <w:rPr>
          <w:rFonts w:ascii="Cambria" w:hAnsi="Cambria"/>
          <w:sz w:val="22"/>
          <w:szCs w:val="22"/>
        </w:rPr>
        <w:t xml:space="preserve">. </w:t>
      </w:r>
      <w:r w:rsidRPr="00523CA4">
        <w:rPr>
          <w:rFonts w:ascii="Cambria" w:hAnsi="Cambria"/>
          <w:i/>
          <w:sz w:val="22"/>
          <w:szCs w:val="22"/>
        </w:rPr>
        <w:t>Gender, Informal Instituti</w:t>
      </w:r>
      <w:r w:rsidR="006268DE">
        <w:rPr>
          <w:rFonts w:ascii="Cambria" w:hAnsi="Cambria"/>
          <w:i/>
          <w:sz w:val="22"/>
          <w:szCs w:val="22"/>
        </w:rPr>
        <w:t>ons and Political Recruitment: E</w:t>
      </w:r>
      <w:r w:rsidRPr="00523CA4">
        <w:rPr>
          <w:rFonts w:ascii="Cambria" w:hAnsi="Cambria"/>
          <w:i/>
          <w:sz w:val="22"/>
          <w:szCs w:val="22"/>
        </w:rPr>
        <w:t>xplaining Male Dominance in Parliamentary Representation</w:t>
      </w:r>
      <w:r w:rsidRPr="00523CA4">
        <w:rPr>
          <w:rFonts w:ascii="Cambria" w:hAnsi="Cambria"/>
          <w:sz w:val="22"/>
          <w:szCs w:val="22"/>
        </w:rPr>
        <w:t xml:space="preserve">. </w:t>
      </w:r>
      <w:r w:rsidR="005C5081" w:rsidRPr="00523CA4">
        <w:rPr>
          <w:rFonts w:ascii="Cambria" w:hAnsi="Cambria"/>
          <w:sz w:val="22"/>
          <w:szCs w:val="22"/>
        </w:rPr>
        <w:t xml:space="preserve">Basingstoke: </w:t>
      </w:r>
      <w:r w:rsidRPr="00523CA4">
        <w:rPr>
          <w:rFonts w:ascii="Cambria" w:hAnsi="Cambria"/>
          <w:sz w:val="22"/>
          <w:szCs w:val="22"/>
        </w:rPr>
        <w:t>Palgrave Macmillan</w:t>
      </w:r>
      <w:r w:rsidR="00DA1AA6">
        <w:rPr>
          <w:rFonts w:ascii="Cambria" w:hAnsi="Cambria"/>
          <w:sz w:val="22"/>
          <w:szCs w:val="22"/>
        </w:rPr>
        <w:t>.</w:t>
      </w:r>
    </w:p>
    <w:p w14:paraId="7855B3CF" w14:textId="77777777" w:rsidR="00A4664D" w:rsidRPr="00523CA4" w:rsidRDefault="00A4664D" w:rsidP="00494962">
      <w:pPr>
        <w:pStyle w:val="p1"/>
        <w:rPr>
          <w:sz w:val="22"/>
          <w:szCs w:val="22"/>
        </w:rPr>
      </w:pPr>
    </w:p>
    <w:p w14:paraId="16437DBE" w14:textId="4AAC6B3E" w:rsidR="00A4664D" w:rsidRDefault="00A4664D" w:rsidP="00494962">
      <w:pPr>
        <w:pStyle w:val="p1"/>
        <w:rPr>
          <w:rFonts w:ascii="Cambria" w:hAnsi="Cambria"/>
          <w:sz w:val="22"/>
          <w:szCs w:val="22"/>
        </w:rPr>
      </w:pPr>
      <w:proofErr w:type="spellStart"/>
      <w:r w:rsidRPr="00644BC2">
        <w:rPr>
          <w:rFonts w:ascii="Cambria" w:hAnsi="Cambria"/>
          <w:sz w:val="22"/>
          <w:szCs w:val="22"/>
        </w:rPr>
        <w:t>Bjö</w:t>
      </w:r>
      <w:r w:rsidR="00644BC2" w:rsidRPr="00644BC2">
        <w:rPr>
          <w:rFonts w:ascii="Cambria" w:hAnsi="Cambria"/>
          <w:sz w:val="22"/>
          <w:szCs w:val="22"/>
        </w:rPr>
        <w:t>rkdahl</w:t>
      </w:r>
      <w:proofErr w:type="spellEnd"/>
      <w:r w:rsidR="00644BC2" w:rsidRPr="00644BC2">
        <w:rPr>
          <w:rFonts w:ascii="Cambria" w:hAnsi="Cambria"/>
          <w:sz w:val="22"/>
          <w:szCs w:val="22"/>
        </w:rPr>
        <w:t>, A.,</w:t>
      </w:r>
      <w:r w:rsidRPr="00644BC2">
        <w:rPr>
          <w:rFonts w:ascii="Cambria" w:hAnsi="Cambria"/>
          <w:sz w:val="22"/>
          <w:szCs w:val="22"/>
        </w:rPr>
        <w:t xml:space="preserve"> (2012)</w:t>
      </w:r>
      <w:r w:rsidR="00644BC2" w:rsidRPr="00644BC2">
        <w:rPr>
          <w:rFonts w:ascii="Cambria" w:hAnsi="Cambria"/>
          <w:sz w:val="22"/>
          <w:szCs w:val="22"/>
        </w:rPr>
        <w:t>.</w:t>
      </w:r>
      <w:r w:rsidRPr="00644BC2">
        <w:rPr>
          <w:rFonts w:ascii="Cambria" w:hAnsi="Cambria"/>
          <w:sz w:val="22"/>
          <w:szCs w:val="22"/>
        </w:rPr>
        <w:t xml:space="preserve"> </w:t>
      </w:r>
      <w:r w:rsidR="00644BC2" w:rsidRPr="00644BC2">
        <w:rPr>
          <w:rFonts w:ascii="Cambria" w:hAnsi="Cambria"/>
          <w:sz w:val="22"/>
          <w:szCs w:val="22"/>
        </w:rPr>
        <w:t>‘</w:t>
      </w:r>
      <w:r w:rsidR="006268DE">
        <w:rPr>
          <w:rFonts w:ascii="Cambria" w:hAnsi="Cambria"/>
          <w:sz w:val="22"/>
          <w:szCs w:val="22"/>
        </w:rPr>
        <w:t>A Gender-just Peace? Exploring the P</w:t>
      </w:r>
      <w:r w:rsidRPr="00644BC2">
        <w:rPr>
          <w:rFonts w:ascii="Cambria" w:hAnsi="Cambria"/>
          <w:sz w:val="22"/>
          <w:szCs w:val="22"/>
        </w:rPr>
        <w:t>ost</w:t>
      </w:r>
      <w:r w:rsidR="006268DE">
        <w:rPr>
          <w:rFonts w:ascii="Cambria" w:hAnsi="Cambria"/>
          <w:sz w:val="22"/>
          <w:szCs w:val="22"/>
        </w:rPr>
        <w:t>-Dayton Peace P</w:t>
      </w:r>
      <w:r w:rsidR="00644BC2" w:rsidRPr="00644BC2">
        <w:rPr>
          <w:rFonts w:ascii="Cambria" w:hAnsi="Cambria"/>
          <w:sz w:val="22"/>
          <w:szCs w:val="22"/>
        </w:rPr>
        <w:t>rocess in Bosnia’.</w:t>
      </w:r>
      <w:r w:rsidRPr="00644BC2">
        <w:rPr>
          <w:rFonts w:ascii="Cambria" w:hAnsi="Cambria"/>
          <w:sz w:val="22"/>
          <w:szCs w:val="22"/>
        </w:rPr>
        <w:t xml:space="preserve"> </w:t>
      </w:r>
      <w:r w:rsidRPr="00644BC2">
        <w:rPr>
          <w:rFonts w:ascii="Cambria" w:hAnsi="Cambria"/>
          <w:i/>
          <w:sz w:val="22"/>
          <w:szCs w:val="22"/>
        </w:rPr>
        <w:t>Peace and Change</w:t>
      </w:r>
      <w:r w:rsidR="006268DE">
        <w:rPr>
          <w:rFonts w:ascii="Cambria" w:hAnsi="Cambria"/>
          <w:sz w:val="22"/>
          <w:szCs w:val="22"/>
        </w:rPr>
        <w:t xml:space="preserve"> 37</w:t>
      </w:r>
      <w:r w:rsidRPr="00644BC2">
        <w:rPr>
          <w:rFonts w:ascii="Cambria" w:hAnsi="Cambria"/>
          <w:sz w:val="22"/>
          <w:szCs w:val="22"/>
        </w:rPr>
        <w:t>(2):</w:t>
      </w:r>
      <w:r w:rsidR="00861495">
        <w:rPr>
          <w:rFonts w:ascii="Cambria" w:hAnsi="Cambria"/>
          <w:sz w:val="22"/>
          <w:szCs w:val="22"/>
        </w:rPr>
        <w:t xml:space="preserve"> </w:t>
      </w:r>
      <w:r w:rsidR="00EB1AA0">
        <w:rPr>
          <w:rFonts w:ascii="Cambria" w:hAnsi="Cambria"/>
          <w:sz w:val="22"/>
          <w:szCs w:val="22"/>
        </w:rPr>
        <w:t>286</w:t>
      </w:r>
      <w:r w:rsidR="00DA1AA6">
        <w:rPr>
          <w:rFonts w:ascii="Cambria" w:hAnsi="Cambria"/>
          <w:sz w:val="22"/>
          <w:szCs w:val="22"/>
        </w:rPr>
        <w:t>.</w:t>
      </w:r>
    </w:p>
    <w:p w14:paraId="05C077EF" w14:textId="77777777" w:rsidR="00C82693" w:rsidRDefault="00C82693" w:rsidP="00494962">
      <w:pPr>
        <w:pStyle w:val="p1"/>
        <w:rPr>
          <w:rFonts w:ascii="Cambria" w:hAnsi="Cambria"/>
          <w:sz w:val="22"/>
          <w:szCs w:val="22"/>
        </w:rPr>
      </w:pPr>
    </w:p>
    <w:p w14:paraId="43C5CD89" w14:textId="42B35AB5" w:rsidR="00C82693" w:rsidRPr="00451487" w:rsidRDefault="00C82693" w:rsidP="00494962">
      <w:pPr>
        <w:pStyle w:val="p1"/>
        <w:rPr>
          <w:rFonts w:ascii="Cambria" w:hAnsi="Cambria"/>
          <w:color w:val="000000" w:themeColor="text1"/>
          <w:sz w:val="22"/>
          <w:szCs w:val="22"/>
        </w:rPr>
      </w:pPr>
      <w:r w:rsidRPr="00451487">
        <w:rPr>
          <w:rFonts w:ascii="Cambria" w:hAnsi="Cambria"/>
          <w:color w:val="000000" w:themeColor="text1"/>
          <w:sz w:val="22"/>
          <w:szCs w:val="22"/>
        </w:rPr>
        <w:t>Burns, N.</w:t>
      </w:r>
      <w:r w:rsidR="005B4AD0" w:rsidRPr="00451487">
        <w:rPr>
          <w:rFonts w:ascii="Cambria" w:hAnsi="Cambria"/>
          <w:color w:val="000000" w:themeColor="text1"/>
          <w:sz w:val="22"/>
          <w:szCs w:val="22"/>
        </w:rPr>
        <w:t>,</w:t>
      </w:r>
      <w:r w:rsidRPr="00451487">
        <w:rPr>
          <w:rFonts w:ascii="Cambria" w:hAnsi="Cambria"/>
          <w:color w:val="000000" w:themeColor="text1"/>
          <w:sz w:val="22"/>
          <w:szCs w:val="22"/>
        </w:rPr>
        <w:t xml:space="preserve"> (2005)</w:t>
      </w:r>
      <w:r w:rsidR="00861495">
        <w:rPr>
          <w:rFonts w:ascii="Cambria" w:hAnsi="Cambria"/>
          <w:color w:val="000000" w:themeColor="text1"/>
          <w:sz w:val="22"/>
          <w:szCs w:val="22"/>
        </w:rPr>
        <w:t>. ‘Finding Gender</w:t>
      </w:r>
      <w:r w:rsidR="005B4AD0" w:rsidRPr="00451487">
        <w:rPr>
          <w:rFonts w:ascii="Cambria" w:hAnsi="Cambria"/>
          <w:color w:val="000000" w:themeColor="text1"/>
          <w:sz w:val="22"/>
          <w:szCs w:val="22"/>
        </w:rPr>
        <w:t>’</w:t>
      </w:r>
      <w:r w:rsidR="00861495">
        <w:rPr>
          <w:rFonts w:ascii="Cambria" w:hAnsi="Cambria"/>
          <w:color w:val="000000" w:themeColor="text1"/>
          <w:sz w:val="22"/>
          <w:szCs w:val="22"/>
        </w:rPr>
        <w:t>.</w:t>
      </w:r>
      <w:r w:rsidR="005B4AD0" w:rsidRPr="00451487">
        <w:rPr>
          <w:rFonts w:ascii="Cambria" w:hAnsi="Cambria"/>
          <w:color w:val="000000" w:themeColor="text1"/>
          <w:sz w:val="22"/>
          <w:szCs w:val="22"/>
        </w:rPr>
        <w:t xml:space="preserve"> </w:t>
      </w:r>
      <w:r w:rsidR="005B4AD0" w:rsidRPr="00451487">
        <w:rPr>
          <w:rFonts w:ascii="Cambria" w:hAnsi="Cambria"/>
          <w:i/>
          <w:color w:val="000000" w:themeColor="text1"/>
          <w:sz w:val="22"/>
          <w:szCs w:val="22"/>
        </w:rPr>
        <w:t>Politics &amp; Gender</w:t>
      </w:r>
      <w:r w:rsidR="006268DE">
        <w:rPr>
          <w:rFonts w:ascii="Cambria" w:hAnsi="Cambria"/>
          <w:color w:val="000000" w:themeColor="text1"/>
          <w:sz w:val="22"/>
          <w:szCs w:val="22"/>
        </w:rPr>
        <w:t xml:space="preserve"> 1</w:t>
      </w:r>
      <w:r w:rsidR="005B4AD0" w:rsidRPr="00451487">
        <w:rPr>
          <w:rFonts w:ascii="Cambria" w:hAnsi="Cambria"/>
          <w:color w:val="000000" w:themeColor="text1"/>
          <w:sz w:val="22"/>
          <w:szCs w:val="22"/>
        </w:rPr>
        <w:t>(1):</w:t>
      </w:r>
      <w:r w:rsidR="00DA1AA6">
        <w:rPr>
          <w:rFonts w:ascii="Cambria" w:hAnsi="Cambria"/>
          <w:color w:val="000000" w:themeColor="text1"/>
          <w:sz w:val="22"/>
          <w:szCs w:val="22"/>
        </w:rPr>
        <w:t xml:space="preserve"> </w:t>
      </w:r>
      <w:r w:rsidR="005B4AD0" w:rsidRPr="00451487">
        <w:rPr>
          <w:rFonts w:ascii="Cambria" w:hAnsi="Cambria"/>
          <w:color w:val="000000" w:themeColor="text1"/>
          <w:sz w:val="22"/>
          <w:szCs w:val="22"/>
        </w:rPr>
        <w:t>137</w:t>
      </w:r>
      <w:r w:rsidR="006268DE">
        <w:rPr>
          <w:rFonts w:ascii="Cambria" w:hAnsi="Cambria"/>
          <w:color w:val="000000" w:themeColor="text1"/>
          <w:sz w:val="22"/>
          <w:szCs w:val="22"/>
        </w:rPr>
        <w:t>-</w:t>
      </w:r>
      <w:r w:rsidR="005B4AD0" w:rsidRPr="00451487">
        <w:rPr>
          <w:rFonts w:ascii="Cambria" w:hAnsi="Cambria"/>
          <w:color w:val="000000" w:themeColor="text1"/>
          <w:sz w:val="22"/>
          <w:szCs w:val="22"/>
        </w:rPr>
        <w:t>141</w:t>
      </w:r>
      <w:r w:rsidR="00DA1AA6">
        <w:rPr>
          <w:rFonts w:ascii="Cambria" w:hAnsi="Cambria"/>
          <w:color w:val="000000" w:themeColor="text1"/>
          <w:sz w:val="22"/>
          <w:szCs w:val="22"/>
        </w:rPr>
        <w:t>.</w:t>
      </w:r>
    </w:p>
    <w:p w14:paraId="6987D046" w14:textId="77777777" w:rsidR="000F7F2A" w:rsidRPr="00644BC2" w:rsidRDefault="000F7F2A" w:rsidP="00494962">
      <w:pPr>
        <w:autoSpaceDE w:val="0"/>
        <w:autoSpaceDN w:val="0"/>
        <w:adjustRightInd w:val="0"/>
        <w:rPr>
          <w:rFonts w:ascii="Cambria" w:hAnsi="Cambria"/>
          <w:sz w:val="22"/>
          <w:szCs w:val="22"/>
        </w:rPr>
      </w:pPr>
    </w:p>
    <w:p w14:paraId="2BA12B37" w14:textId="11F77626" w:rsidR="00BC3A92" w:rsidRPr="00A90D10" w:rsidRDefault="000F7F2A" w:rsidP="00494962">
      <w:pPr>
        <w:rPr>
          <w:rFonts w:ascii="Cambria" w:eastAsia="Times New Roman" w:hAnsi="Cambria" w:cs="Arial"/>
          <w:color w:val="000000" w:themeColor="text1"/>
          <w:sz w:val="22"/>
          <w:szCs w:val="22"/>
          <w:shd w:val="clear" w:color="auto" w:fill="FFFFFF"/>
        </w:rPr>
      </w:pPr>
      <w:r w:rsidRPr="00644BC2">
        <w:rPr>
          <w:rFonts w:ascii="Cambria" w:hAnsi="Cambria"/>
          <w:sz w:val="22"/>
          <w:szCs w:val="22"/>
        </w:rPr>
        <w:t>Byrne, S</w:t>
      </w:r>
      <w:r w:rsidR="00644BC2">
        <w:rPr>
          <w:rFonts w:ascii="Cambria" w:hAnsi="Cambria"/>
          <w:sz w:val="22"/>
          <w:szCs w:val="22"/>
        </w:rPr>
        <w:t>.,</w:t>
      </w:r>
      <w:r w:rsidRPr="00644BC2">
        <w:rPr>
          <w:rFonts w:ascii="Cambria" w:hAnsi="Cambria"/>
          <w:sz w:val="22"/>
          <w:szCs w:val="22"/>
        </w:rPr>
        <w:t xml:space="preserve"> </w:t>
      </w:r>
      <w:r w:rsidR="000E381B" w:rsidRPr="00644BC2">
        <w:rPr>
          <w:rFonts w:ascii="Cambria" w:hAnsi="Cambria"/>
          <w:sz w:val="22"/>
          <w:szCs w:val="22"/>
        </w:rPr>
        <w:t>and</w:t>
      </w:r>
      <w:r w:rsidRPr="00644BC2">
        <w:rPr>
          <w:rFonts w:ascii="Cambria" w:hAnsi="Cambria"/>
          <w:sz w:val="22"/>
          <w:szCs w:val="22"/>
        </w:rPr>
        <w:t xml:space="preserve"> McCulloch, A.</w:t>
      </w:r>
      <w:r w:rsidR="00644BC2">
        <w:rPr>
          <w:rFonts w:ascii="Cambria" w:hAnsi="Cambria"/>
          <w:sz w:val="22"/>
          <w:szCs w:val="22"/>
        </w:rPr>
        <w:t>,</w:t>
      </w:r>
      <w:r w:rsidR="00407101">
        <w:rPr>
          <w:rFonts w:ascii="Cambria" w:hAnsi="Cambria"/>
          <w:sz w:val="22"/>
          <w:szCs w:val="22"/>
        </w:rPr>
        <w:t xml:space="preserve"> </w:t>
      </w:r>
      <w:r w:rsidR="0029232F">
        <w:rPr>
          <w:rFonts w:ascii="Cambria" w:hAnsi="Cambria"/>
          <w:sz w:val="22"/>
          <w:szCs w:val="22"/>
        </w:rPr>
        <w:t>(2017)</w:t>
      </w:r>
      <w:r w:rsidR="00407101">
        <w:rPr>
          <w:rFonts w:ascii="Cambria" w:hAnsi="Cambria"/>
          <w:sz w:val="22"/>
          <w:szCs w:val="22"/>
        </w:rPr>
        <w:t>.</w:t>
      </w:r>
      <w:r w:rsidR="00644BC2">
        <w:rPr>
          <w:rFonts w:ascii="Cambria" w:hAnsi="Cambria"/>
          <w:sz w:val="22"/>
          <w:szCs w:val="22"/>
        </w:rPr>
        <w:t xml:space="preserve"> </w:t>
      </w:r>
      <w:r w:rsidRPr="00644BC2">
        <w:rPr>
          <w:rFonts w:ascii="Cambria" w:hAnsi="Cambria"/>
          <w:sz w:val="22"/>
          <w:szCs w:val="22"/>
        </w:rPr>
        <w:t>‘</w:t>
      </w:r>
      <w:r w:rsidR="00407101">
        <w:rPr>
          <w:rFonts w:ascii="Cambria" w:hAnsi="Cambria"/>
          <w:sz w:val="22"/>
          <w:szCs w:val="22"/>
        </w:rPr>
        <w:t>Gendering Power-Sharing</w:t>
      </w:r>
      <w:r w:rsidRPr="00644BC2">
        <w:rPr>
          <w:rFonts w:ascii="Cambria" w:hAnsi="Cambria"/>
          <w:sz w:val="22"/>
          <w:szCs w:val="22"/>
        </w:rPr>
        <w:t>’</w:t>
      </w:r>
      <w:r w:rsidR="00407101">
        <w:rPr>
          <w:rFonts w:ascii="Cambria" w:hAnsi="Cambria"/>
          <w:sz w:val="22"/>
          <w:szCs w:val="22"/>
        </w:rPr>
        <w:t>,</w:t>
      </w:r>
      <w:r w:rsidRPr="00644BC2">
        <w:rPr>
          <w:rFonts w:ascii="Cambria" w:hAnsi="Cambria"/>
          <w:sz w:val="22"/>
          <w:szCs w:val="22"/>
        </w:rPr>
        <w:t xml:space="preserve"> in </w:t>
      </w:r>
      <w:r w:rsidR="00175EDA">
        <w:rPr>
          <w:rFonts w:ascii="Cambria" w:hAnsi="Cambria"/>
          <w:sz w:val="22"/>
          <w:szCs w:val="22"/>
        </w:rPr>
        <w:t>A. McCulloch</w:t>
      </w:r>
      <w:r w:rsidR="00644BC2">
        <w:rPr>
          <w:rFonts w:ascii="Cambria" w:hAnsi="Cambria"/>
          <w:sz w:val="22"/>
          <w:szCs w:val="22"/>
        </w:rPr>
        <w:t xml:space="preserve"> </w:t>
      </w:r>
      <w:r w:rsidR="000E381B" w:rsidRPr="00644BC2">
        <w:rPr>
          <w:rFonts w:ascii="Cambria" w:hAnsi="Cambria"/>
          <w:sz w:val="22"/>
          <w:szCs w:val="22"/>
        </w:rPr>
        <w:t>and</w:t>
      </w:r>
      <w:r w:rsidRPr="00644BC2">
        <w:rPr>
          <w:rFonts w:ascii="Cambria" w:hAnsi="Cambria"/>
          <w:sz w:val="22"/>
          <w:szCs w:val="22"/>
        </w:rPr>
        <w:t xml:space="preserve"> </w:t>
      </w:r>
      <w:r w:rsidR="00407101">
        <w:rPr>
          <w:rFonts w:ascii="Cambria" w:hAnsi="Cambria"/>
          <w:sz w:val="22"/>
          <w:szCs w:val="22"/>
        </w:rPr>
        <w:t xml:space="preserve">J. </w:t>
      </w:r>
      <w:proofErr w:type="spellStart"/>
      <w:r w:rsidR="00407101">
        <w:rPr>
          <w:rFonts w:ascii="Cambria" w:hAnsi="Cambria"/>
          <w:sz w:val="22"/>
          <w:szCs w:val="22"/>
        </w:rPr>
        <w:t>McGarry</w:t>
      </w:r>
      <w:proofErr w:type="spellEnd"/>
      <w:r w:rsidR="00407101">
        <w:rPr>
          <w:rFonts w:ascii="Cambria" w:hAnsi="Cambria"/>
          <w:sz w:val="22"/>
          <w:szCs w:val="22"/>
        </w:rPr>
        <w:t>, eds</w:t>
      </w:r>
      <w:r w:rsidR="00644BC2">
        <w:rPr>
          <w:rFonts w:ascii="Cambria" w:hAnsi="Cambria"/>
          <w:sz w:val="22"/>
          <w:szCs w:val="22"/>
        </w:rPr>
        <w:t>.</w:t>
      </w:r>
      <w:r w:rsidR="00644BC2" w:rsidRPr="00644BC2">
        <w:rPr>
          <w:rFonts w:ascii="Cambria" w:hAnsi="Cambria"/>
          <w:sz w:val="22"/>
          <w:szCs w:val="22"/>
        </w:rPr>
        <w:t xml:space="preserve"> </w:t>
      </w:r>
      <w:r w:rsidRPr="00644BC2">
        <w:rPr>
          <w:rFonts w:ascii="Cambria" w:hAnsi="Cambria"/>
          <w:i/>
          <w:sz w:val="22"/>
          <w:szCs w:val="22"/>
        </w:rPr>
        <w:t>Power-Sharing: Empirical and Normative Challenges</w:t>
      </w:r>
      <w:r w:rsidR="005C5081" w:rsidRPr="00644BC2">
        <w:rPr>
          <w:rFonts w:ascii="Cambria" w:hAnsi="Cambria"/>
          <w:sz w:val="22"/>
          <w:szCs w:val="22"/>
        </w:rPr>
        <w:t xml:space="preserve">. </w:t>
      </w:r>
      <w:r w:rsidRPr="00644BC2">
        <w:rPr>
          <w:rFonts w:ascii="Cambria" w:hAnsi="Cambria"/>
          <w:sz w:val="22"/>
          <w:szCs w:val="22"/>
        </w:rPr>
        <w:t xml:space="preserve">London </w:t>
      </w:r>
      <w:r w:rsidR="000E381B" w:rsidRPr="00644BC2">
        <w:rPr>
          <w:rFonts w:ascii="Cambria" w:hAnsi="Cambria"/>
          <w:sz w:val="22"/>
          <w:szCs w:val="22"/>
        </w:rPr>
        <w:t>and</w:t>
      </w:r>
      <w:r w:rsidR="005C5081" w:rsidRPr="00644BC2">
        <w:rPr>
          <w:rFonts w:ascii="Cambria" w:hAnsi="Cambria"/>
          <w:sz w:val="22"/>
          <w:szCs w:val="22"/>
        </w:rPr>
        <w:t xml:space="preserve"> New York: Routledge</w:t>
      </w:r>
      <w:r w:rsidR="0029232F">
        <w:rPr>
          <w:rFonts w:ascii="Cambria" w:hAnsi="Cambria"/>
          <w:sz w:val="22"/>
          <w:szCs w:val="22"/>
        </w:rPr>
        <w:t>, pp.</w:t>
      </w:r>
      <w:r w:rsidR="0029232F" w:rsidRPr="0029232F">
        <w:rPr>
          <w:rFonts w:ascii="Cambria" w:hAnsi="Cambria"/>
          <w:color w:val="FF0000"/>
          <w:sz w:val="22"/>
          <w:szCs w:val="22"/>
          <w:shd w:val="clear" w:color="auto" w:fill="FFFFFF"/>
        </w:rPr>
        <w:t xml:space="preserve"> </w:t>
      </w:r>
      <w:r w:rsidR="0029232F" w:rsidRPr="00CC1D04">
        <w:rPr>
          <w:rFonts w:ascii="Cambria" w:hAnsi="Cambria"/>
          <w:color w:val="000000" w:themeColor="text1"/>
          <w:sz w:val="22"/>
          <w:szCs w:val="22"/>
          <w:shd w:val="clear" w:color="auto" w:fill="FFFFFF"/>
        </w:rPr>
        <w:t>250-267.</w:t>
      </w:r>
    </w:p>
    <w:p w14:paraId="1A4E0F22" w14:textId="65132C8E" w:rsidR="000F7F2A" w:rsidRPr="00644BC2" w:rsidRDefault="000F7F2A" w:rsidP="00494962">
      <w:pPr>
        <w:rPr>
          <w:rFonts w:ascii="Cambria" w:hAnsi="Cambria"/>
          <w:sz w:val="22"/>
          <w:szCs w:val="22"/>
        </w:rPr>
      </w:pPr>
    </w:p>
    <w:p w14:paraId="108C20E3" w14:textId="7C738A1F" w:rsidR="000F7F2A" w:rsidRPr="00644BC2" w:rsidRDefault="000F7F2A" w:rsidP="00494962">
      <w:pPr>
        <w:autoSpaceDE w:val="0"/>
        <w:autoSpaceDN w:val="0"/>
        <w:adjustRightInd w:val="0"/>
        <w:rPr>
          <w:rFonts w:ascii="Cambria" w:hAnsi="Cambria"/>
          <w:sz w:val="22"/>
          <w:szCs w:val="22"/>
        </w:rPr>
      </w:pPr>
      <w:r w:rsidRPr="00644BC2">
        <w:rPr>
          <w:rFonts w:ascii="Cambria" w:hAnsi="Cambria"/>
          <w:sz w:val="22"/>
          <w:szCs w:val="22"/>
        </w:rPr>
        <w:t>Byrne, S.</w:t>
      </w:r>
      <w:r w:rsidR="00644BC2">
        <w:rPr>
          <w:rFonts w:ascii="Cambria" w:hAnsi="Cambria"/>
          <w:sz w:val="22"/>
          <w:szCs w:val="22"/>
        </w:rPr>
        <w:t>,</w:t>
      </w:r>
      <w:r w:rsidRPr="00644BC2">
        <w:rPr>
          <w:rFonts w:ascii="Cambria" w:hAnsi="Cambria"/>
          <w:sz w:val="22"/>
          <w:szCs w:val="22"/>
        </w:rPr>
        <w:t xml:space="preserve"> </w:t>
      </w:r>
      <w:r w:rsidR="000E381B" w:rsidRPr="00644BC2">
        <w:rPr>
          <w:rFonts w:ascii="Cambria" w:hAnsi="Cambria"/>
          <w:sz w:val="22"/>
          <w:szCs w:val="22"/>
        </w:rPr>
        <w:t>and</w:t>
      </w:r>
      <w:r w:rsidRPr="00644BC2">
        <w:rPr>
          <w:rFonts w:ascii="Cambria" w:hAnsi="Cambria"/>
          <w:sz w:val="22"/>
          <w:szCs w:val="22"/>
        </w:rPr>
        <w:t xml:space="preserve"> McCulloch, A.</w:t>
      </w:r>
      <w:r w:rsidR="00644BC2">
        <w:rPr>
          <w:rFonts w:ascii="Cambria" w:hAnsi="Cambria"/>
          <w:sz w:val="22"/>
          <w:szCs w:val="22"/>
        </w:rPr>
        <w:t>,</w:t>
      </w:r>
      <w:r w:rsidRPr="00644BC2">
        <w:rPr>
          <w:rFonts w:ascii="Cambria" w:hAnsi="Cambria"/>
          <w:sz w:val="22"/>
          <w:szCs w:val="22"/>
        </w:rPr>
        <w:t xml:space="preserve"> (2012)</w:t>
      </w:r>
      <w:r w:rsidR="00644BC2">
        <w:rPr>
          <w:rFonts w:ascii="Cambria" w:hAnsi="Cambria"/>
          <w:sz w:val="22"/>
          <w:szCs w:val="22"/>
        </w:rPr>
        <w:t>.</w:t>
      </w:r>
      <w:r w:rsidRPr="00644BC2">
        <w:rPr>
          <w:rFonts w:ascii="Cambria" w:hAnsi="Cambria"/>
          <w:sz w:val="22"/>
          <w:szCs w:val="22"/>
        </w:rPr>
        <w:t xml:space="preserve"> ‘Gender, Representation and Power-Sharing </w:t>
      </w:r>
      <w:r w:rsidR="00644BC2">
        <w:rPr>
          <w:rFonts w:ascii="Cambria" w:hAnsi="Cambria"/>
          <w:sz w:val="22"/>
          <w:szCs w:val="22"/>
        </w:rPr>
        <w:t xml:space="preserve">in Post-Conflict Institutions’. </w:t>
      </w:r>
      <w:r w:rsidRPr="00644BC2">
        <w:rPr>
          <w:rFonts w:ascii="Cambria" w:hAnsi="Cambria"/>
          <w:i/>
          <w:sz w:val="22"/>
          <w:szCs w:val="22"/>
        </w:rPr>
        <w:t>International Peacekeeping</w:t>
      </w:r>
      <w:r w:rsidR="00644BC2">
        <w:rPr>
          <w:rFonts w:ascii="Cambria" w:hAnsi="Cambria"/>
          <w:sz w:val="22"/>
          <w:szCs w:val="22"/>
        </w:rPr>
        <w:t xml:space="preserve"> </w:t>
      </w:r>
      <w:r w:rsidR="00407101">
        <w:rPr>
          <w:rFonts w:ascii="Cambria" w:hAnsi="Cambria"/>
          <w:sz w:val="22"/>
          <w:szCs w:val="22"/>
        </w:rPr>
        <w:t>19(5):</w:t>
      </w:r>
      <w:r w:rsidR="00DA1AA6">
        <w:rPr>
          <w:rFonts w:ascii="Cambria" w:hAnsi="Cambria"/>
          <w:sz w:val="22"/>
          <w:szCs w:val="22"/>
        </w:rPr>
        <w:t xml:space="preserve"> </w:t>
      </w:r>
      <w:r w:rsidR="00EB1AA0">
        <w:rPr>
          <w:rFonts w:ascii="Cambria" w:hAnsi="Cambria"/>
          <w:sz w:val="22"/>
          <w:szCs w:val="22"/>
        </w:rPr>
        <w:t>565-580</w:t>
      </w:r>
      <w:r w:rsidR="00DA1AA6">
        <w:rPr>
          <w:rFonts w:ascii="Cambria" w:hAnsi="Cambria"/>
          <w:sz w:val="22"/>
          <w:szCs w:val="22"/>
        </w:rPr>
        <w:t xml:space="preserve">. </w:t>
      </w:r>
    </w:p>
    <w:p w14:paraId="6AD653D1" w14:textId="77777777" w:rsidR="000F7F2A" w:rsidRPr="00644BC2" w:rsidRDefault="000F7F2A" w:rsidP="00494962">
      <w:pPr>
        <w:autoSpaceDE w:val="0"/>
        <w:autoSpaceDN w:val="0"/>
        <w:adjustRightInd w:val="0"/>
        <w:rPr>
          <w:rFonts w:ascii="Cambria" w:hAnsi="Cambria"/>
          <w:sz w:val="22"/>
          <w:szCs w:val="22"/>
        </w:rPr>
      </w:pPr>
    </w:p>
    <w:p w14:paraId="63A035D5" w14:textId="7786C60A" w:rsidR="005A6C84" w:rsidRPr="00644BC2" w:rsidRDefault="005A6C84" w:rsidP="00494962">
      <w:pPr>
        <w:autoSpaceDE w:val="0"/>
        <w:autoSpaceDN w:val="0"/>
        <w:adjustRightInd w:val="0"/>
        <w:rPr>
          <w:rFonts w:ascii="Cambria" w:hAnsi="Cambria"/>
          <w:color w:val="000000" w:themeColor="text1"/>
          <w:sz w:val="22"/>
          <w:szCs w:val="22"/>
        </w:rPr>
      </w:pPr>
      <w:r w:rsidRPr="00644BC2">
        <w:rPr>
          <w:rFonts w:ascii="Cambria" w:hAnsi="Cambria"/>
          <w:color w:val="000000" w:themeColor="text1"/>
          <w:sz w:val="22"/>
          <w:szCs w:val="22"/>
        </w:rPr>
        <w:t>Chappell, L.</w:t>
      </w:r>
      <w:r w:rsidR="00BC5580">
        <w:rPr>
          <w:rFonts w:ascii="Cambria" w:hAnsi="Cambria"/>
          <w:color w:val="000000" w:themeColor="text1"/>
          <w:sz w:val="22"/>
          <w:szCs w:val="22"/>
        </w:rPr>
        <w:t>,</w:t>
      </w:r>
      <w:r w:rsidRPr="00644BC2">
        <w:rPr>
          <w:rFonts w:ascii="Cambria" w:hAnsi="Cambria"/>
          <w:color w:val="000000" w:themeColor="text1"/>
          <w:sz w:val="22"/>
          <w:szCs w:val="22"/>
        </w:rPr>
        <w:t xml:space="preserve"> (2016</w:t>
      </w:r>
      <w:r w:rsidR="00FB73F0" w:rsidRPr="00644BC2">
        <w:rPr>
          <w:rFonts w:ascii="Cambria" w:hAnsi="Cambria"/>
          <w:color w:val="000000" w:themeColor="text1"/>
          <w:sz w:val="22"/>
          <w:szCs w:val="22"/>
        </w:rPr>
        <w:t>)</w:t>
      </w:r>
      <w:r w:rsidR="00EB1AA0">
        <w:rPr>
          <w:rFonts w:ascii="Cambria" w:hAnsi="Cambria"/>
          <w:color w:val="000000" w:themeColor="text1"/>
          <w:sz w:val="22"/>
          <w:szCs w:val="22"/>
        </w:rPr>
        <w:t>.</w:t>
      </w:r>
      <w:r w:rsidR="00FB73F0" w:rsidRPr="00644BC2">
        <w:rPr>
          <w:rFonts w:ascii="Cambria" w:hAnsi="Cambria"/>
          <w:color w:val="000000" w:themeColor="text1"/>
          <w:sz w:val="22"/>
          <w:szCs w:val="22"/>
        </w:rPr>
        <w:t xml:space="preserve"> </w:t>
      </w:r>
      <w:r w:rsidR="00FB73F0" w:rsidRPr="00644BC2">
        <w:rPr>
          <w:rFonts w:ascii="Cambria" w:hAnsi="Cambria"/>
          <w:i/>
          <w:color w:val="000000" w:themeColor="text1"/>
          <w:sz w:val="22"/>
          <w:szCs w:val="22"/>
        </w:rPr>
        <w:t>The Politics of Gender Justice at the International Criminal Court</w:t>
      </w:r>
      <w:r w:rsidR="002B1866" w:rsidRPr="00644BC2">
        <w:rPr>
          <w:rFonts w:ascii="Cambria" w:hAnsi="Cambria"/>
          <w:i/>
          <w:color w:val="000000" w:themeColor="text1"/>
          <w:sz w:val="22"/>
          <w:szCs w:val="22"/>
        </w:rPr>
        <w:t xml:space="preserve">. </w:t>
      </w:r>
      <w:r w:rsidR="00EB1AA0">
        <w:rPr>
          <w:rFonts w:ascii="Cambria" w:hAnsi="Cambria"/>
          <w:color w:val="000000" w:themeColor="text1"/>
          <w:sz w:val="22"/>
          <w:szCs w:val="22"/>
        </w:rPr>
        <w:t>Oxford: Oxford University Press</w:t>
      </w:r>
      <w:r w:rsidR="00DA1AA6">
        <w:rPr>
          <w:rFonts w:ascii="Cambria" w:hAnsi="Cambria"/>
          <w:color w:val="000000" w:themeColor="text1"/>
          <w:sz w:val="22"/>
          <w:szCs w:val="22"/>
        </w:rPr>
        <w:t>.</w:t>
      </w:r>
    </w:p>
    <w:p w14:paraId="2CDA28FD" w14:textId="77777777" w:rsidR="005A6C84" w:rsidRPr="003D66DD" w:rsidRDefault="005A6C84" w:rsidP="00494962">
      <w:pPr>
        <w:autoSpaceDE w:val="0"/>
        <w:autoSpaceDN w:val="0"/>
        <w:adjustRightInd w:val="0"/>
        <w:rPr>
          <w:rFonts w:ascii="Cambria" w:hAnsi="Cambria"/>
          <w:color w:val="FF0000"/>
        </w:rPr>
      </w:pPr>
    </w:p>
    <w:p w14:paraId="61FD3C56" w14:textId="3D01F7D0" w:rsidR="00BC3A92" w:rsidRPr="00A90D10" w:rsidRDefault="005A6C84" w:rsidP="00494962">
      <w:pPr>
        <w:rPr>
          <w:rFonts w:ascii="Cambria" w:eastAsia="Times New Roman" w:hAnsi="Cambria" w:cs="Arial"/>
          <w:color w:val="000000" w:themeColor="text1"/>
          <w:sz w:val="22"/>
          <w:szCs w:val="22"/>
          <w:shd w:val="clear" w:color="auto" w:fill="FFFFFF"/>
        </w:rPr>
      </w:pPr>
      <w:r w:rsidRPr="00FF53F6">
        <w:rPr>
          <w:rFonts w:ascii="Cambria" w:hAnsi="Cambria"/>
          <w:sz w:val="22"/>
          <w:szCs w:val="22"/>
        </w:rPr>
        <w:t>Chappell, L.</w:t>
      </w:r>
      <w:r w:rsidR="00BC5580">
        <w:rPr>
          <w:rFonts w:ascii="Cambria" w:hAnsi="Cambria"/>
          <w:sz w:val="22"/>
          <w:szCs w:val="22"/>
        </w:rPr>
        <w:t>,</w:t>
      </w:r>
      <w:r w:rsidRPr="00FF53F6">
        <w:rPr>
          <w:rFonts w:ascii="Cambria" w:hAnsi="Cambria"/>
          <w:sz w:val="22"/>
          <w:szCs w:val="22"/>
        </w:rPr>
        <w:t xml:space="preserve"> (2013)</w:t>
      </w:r>
      <w:r w:rsidR="00A90D10">
        <w:rPr>
          <w:rFonts w:ascii="Cambria" w:hAnsi="Cambria"/>
          <w:sz w:val="22"/>
          <w:szCs w:val="22"/>
        </w:rPr>
        <w:t>.</w:t>
      </w:r>
      <w:r w:rsidRPr="00FF53F6">
        <w:rPr>
          <w:rFonts w:ascii="Cambria" w:hAnsi="Cambria"/>
          <w:sz w:val="22"/>
          <w:szCs w:val="22"/>
        </w:rPr>
        <w:t xml:space="preserve"> ‘The State and Governance’</w:t>
      </w:r>
      <w:r w:rsidR="00407101">
        <w:rPr>
          <w:rFonts w:ascii="Cambria" w:hAnsi="Cambria"/>
          <w:sz w:val="22"/>
          <w:szCs w:val="22"/>
        </w:rPr>
        <w:t>,</w:t>
      </w:r>
      <w:r w:rsidRPr="00FF53F6">
        <w:rPr>
          <w:rFonts w:ascii="Cambria" w:hAnsi="Cambria"/>
          <w:sz w:val="22"/>
          <w:szCs w:val="22"/>
        </w:rPr>
        <w:t xml:space="preserve"> in </w:t>
      </w:r>
      <w:r w:rsidR="00A90D10">
        <w:rPr>
          <w:rFonts w:ascii="Cambria" w:hAnsi="Cambria"/>
          <w:sz w:val="22"/>
          <w:szCs w:val="22"/>
        </w:rPr>
        <w:t xml:space="preserve">G. </w:t>
      </w:r>
      <w:proofErr w:type="spellStart"/>
      <w:r w:rsidR="00A90D10">
        <w:rPr>
          <w:rFonts w:ascii="Cambria" w:hAnsi="Cambria"/>
          <w:sz w:val="22"/>
          <w:szCs w:val="22"/>
        </w:rPr>
        <w:t>Waylen</w:t>
      </w:r>
      <w:proofErr w:type="spellEnd"/>
      <w:r w:rsidR="00A90D10">
        <w:rPr>
          <w:rFonts w:ascii="Cambria" w:hAnsi="Cambria"/>
          <w:sz w:val="22"/>
          <w:szCs w:val="22"/>
        </w:rPr>
        <w:t>, K.</w:t>
      </w:r>
      <w:r w:rsidRPr="00FF53F6">
        <w:rPr>
          <w:rFonts w:ascii="Cambria" w:hAnsi="Cambria"/>
          <w:sz w:val="22"/>
          <w:szCs w:val="22"/>
        </w:rPr>
        <w:t xml:space="preserve"> </w:t>
      </w:r>
      <w:proofErr w:type="spellStart"/>
      <w:r w:rsidR="00602F59">
        <w:rPr>
          <w:rFonts w:ascii="Cambria" w:hAnsi="Cambria"/>
          <w:sz w:val="22"/>
          <w:szCs w:val="22"/>
        </w:rPr>
        <w:t>Celis</w:t>
      </w:r>
      <w:proofErr w:type="spellEnd"/>
      <w:r w:rsidR="00602F59">
        <w:rPr>
          <w:rFonts w:ascii="Cambria" w:hAnsi="Cambria"/>
          <w:sz w:val="22"/>
          <w:szCs w:val="22"/>
        </w:rPr>
        <w:t xml:space="preserve">, J. </w:t>
      </w:r>
      <w:proofErr w:type="spellStart"/>
      <w:r w:rsidR="00602F59">
        <w:rPr>
          <w:rFonts w:ascii="Cambria" w:hAnsi="Cambria"/>
          <w:sz w:val="22"/>
          <w:szCs w:val="22"/>
        </w:rPr>
        <w:t>Kantola</w:t>
      </w:r>
      <w:proofErr w:type="spellEnd"/>
      <w:r w:rsidR="00602F59">
        <w:rPr>
          <w:rFonts w:ascii="Cambria" w:hAnsi="Cambria"/>
          <w:sz w:val="22"/>
          <w:szCs w:val="22"/>
        </w:rPr>
        <w:t xml:space="preserve">, </w:t>
      </w:r>
      <w:r w:rsidR="006268DE">
        <w:rPr>
          <w:rFonts w:ascii="Cambria" w:hAnsi="Cambria"/>
          <w:sz w:val="22"/>
          <w:szCs w:val="22"/>
        </w:rPr>
        <w:t>and S.</w:t>
      </w:r>
      <w:r w:rsidR="00407101">
        <w:rPr>
          <w:rFonts w:ascii="Cambria" w:hAnsi="Cambria"/>
          <w:sz w:val="22"/>
          <w:szCs w:val="22"/>
        </w:rPr>
        <w:t>L. Weldon,</w:t>
      </w:r>
      <w:r w:rsidR="00A90D10">
        <w:rPr>
          <w:rFonts w:ascii="Cambria" w:hAnsi="Cambria"/>
          <w:sz w:val="22"/>
          <w:szCs w:val="22"/>
        </w:rPr>
        <w:t xml:space="preserve"> </w:t>
      </w:r>
      <w:r w:rsidRPr="00FF53F6">
        <w:rPr>
          <w:rFonts w:ascii="Cambria" w:hAnsi="Cambria"/>
          <w:sz w:val="22"/>
          <w:szCs w:val="22"/>
        </w:rPr>
        <w:t xml:space="preserve">eds. </w:t>
      </w:r>
      <w:r w:rsidRPr="00FF53F6">
        <w:rPr>
          <w:rFonts w:ascii="Cambria" w:hAnsi="Cambria"/>
          <w:i/>
          <w:sz w:val="22"/>
          <w:szCs w:val="22"/>
        </w:rPr>
        <w:t>The Oxford Handbook of Gender and Politics</w:t>
      </w:r>
      <w:r w:rsidR="005C5081" w:rsidRPr="00FF53F6">
        <w:rPr>
          <w:rFonts w:ascii="Cambria" w:hAnsi="Cambria"/>
          <w:i/>
          <w:sz w:val="22"/>
          <w:szCs w:val="22"/>
        </w:rPr>
        <w:t xml:space="preserve">. </w:t>
      </w:r>
      <w:r w:rsidR="005C5081" w:rsidRPr="00FF53F6">
        <w:rPr>
          <w:rFonts w:ascii="Cambria" w:hAnsi="Cambria"/>
          <w:sz w:val="22"/>
          <w:szCs w:val="22"/>
        </w:rPr>
        <w:t>Oxford: Oxford University Press</w:t>
      </w:r>
      <w:r w:rsidR="00D51561">
        <w:rPr>
          <w:rFonts w:ascii="Cambria" w:hAnsi="Cambria"/>
          <w:sz w:val="22"/>
          <w:szCs w:val="22"/>
        </w:rPr>
        <w:t>, pp</w:t>
      </w:r>
      <w:r w:rsidR="00D51561" w:rsidRPr="00D51561">
        <w:rPr>
          <w:rFonts w:ascii="Cambria" w:hAnsi="Cambria"/>
          <w:color w:val="000000" w:themeColor="text1"/>
          <w:sz w:val="22"/>
          <w:szCs w:val="22"/>
        </w:rPr>
        <w:t>.</w:t>
      </w:r>
      <w:r w:rsidR="00BC3A92" w:rsidRPr="00D51561">
        <w:rPr>
          <w:rFonts w:ascii="Cambria" w:hAnsi="Cambria"/>
          <w:color w:val="000000" w:themeColor="text1"/>
          <w:sz w:val="22"/>
          <w:szCs w:val="22"/>
        </w:rPr>
        <w:t xml:space="preserve"> </w:t>
      </w:r>
      <w:r w:rsidR="00D51561" w:rsidRPr="00D51561">
        <w:rPr>
          <w:rFonts w:ascii="Cambria" w:eastAsia="Times New Roman" w:hAnsi="Cambria" w:cs="Arial"/>
          <w:color w:val="000000" w:themeColor="text1"/>
          <w:sz w:val="22"/>
          <w:szCs w:val="22"/>
          <w:shd w:val="clear" w:color="auto" w:fill="FFFFFF"/>
        </w:rPr>
        <w:t>603-621</w:t>
      </w:r>
      <w:r w:rsidR="00DA1AA6">
        <w:rPr>
          <w:rFonts w:ascii="Cambria" w:eastAsia="Times New Roman" w:hAnsi="Cambria" w:cs="Arial"/>
          <w:color w:val="000000" w:themeColor="text1"/>
          <w:sz w:val="22"/>
          <w:szCs w:val="22"/>
          <w:shd w:val="clear" w:color="auto" w:fill="FFFFFF"/>
        </w:rPr>
        <w:t>.</w:t>
      </w:r>
    </w:p>
    <w:p w14:paraId="1C3CFD2E" w14:textId="77777777" w:rsidR="0030087A" w:rsidRDefault="0030087A" w:rsidP="00494962">
      <w:pPr>
        <w:autoSpaceDE w:val="0"/>
        <w:autoSpaceDN w:val="0"/>
        <w:adjustRightInd w:val="0"/>
        <w:rPr>
          <w:rFonts w:ascii="Cambria" w:hAnsi="Cambria"/>
          <w:sz w:val="22"/>
          <w:szCs w:val="22"/>
        </w:rPr>
      </w:pPr>
    </w:p>
    <w:p w14:paraId="6AC989F3" w14:textId="3A62760C" w:rsidR="0030087A" w:rsidRPr="00E77FD0" w:rsidRDefault="0030087A" w:rsidP="00494962">
      <w:pPr>
        <w:autoSpaceDE w:val="0"/>
        <w:autoSpaceDN w:val="0"/>
        <w:adjustRightInd w:val="0"/>
        <w:rPr>
          <w:rFonts w:ascii="Cambria" w:hAnsi="Cambria"/>
          <w:color w:val="000000" w:themeColor="text1"/>
          <w:sz w:val="22"/>
          <w:szCs w:val="22"/>
        </w:rPr>
      </w:pPr>
      <w:r w:rsidRPr="00E77FD0">
        <w:rPr>
          <w:rFonts w:ascii="Cambria" w:hAnsi="Cambria"/>
          <w:color w:val="000000" w:themeColor="text1"/>
          <w:sz w:val="22"/>
          <w:szCs w:val="22"/>
        </w:rPr>
        <w:t>Chappell, L., (2011).</w:t>
      </w:r>
      <w:r w:rsidR="005B4AD0" w:rsidRPr="00E77FD0">
        <w:rPr>
          <w:rFonts w:ascii="Cambria" w:hAnsi="Cambria"/>
          <w:color w:val="000000" w:themeColor="text1"/>
          <w:sz w:val="22"/>
          <w:szCs w:val="22"/>
        </w:rPr>
        <w:t xml:space="preserve"> ‘</w:t>
      </w:r>
      <w:r w:rsidR="00FC7EE5" w:rsidRPr="00E77FD0">
        <w:rPr>
          <w:rFonts w:ascii="Cambria" w:hAnsi="Cambria"/>
          <w:color w:val="000000" w:themeColor="text1"/>
          <w:sz w:val="22"/>
          <w:szCs w:val="22"/>
        </w:rPr>
        <w:t>Nested N</w:t>
      </w:r>
      <w:r w:rsidR="005B4AD0" w:rsidRPr="00E77FD0">
        <w:rPr>
          <w:rFonts w:ascii="Cambria" w:hAnsi="Cambria"/>
          <w:color w:val="000000" w:themeColor="text1"/>
          <w:sz w:val="22"/>
          <w:szCs w:val="22"/>
        </w:rPr>
        <w:t xml:space="preserve">ewness and </w:t>
      </w:r>
      <w:r w:rsidR="00FC7EE5" w:rsidRPr="00E77FD0">
        <w:rPr>
          <w:rFonts w:ascii="Cambria" w:hAnsi="Cambria"/>
          <w:color w:val="000000" w:themeColor="text1"/>
          <w:sz w:val="22"/>
          <w:szCs w:val="22"/>
        </w:rPr>
        <w:t>I</w:t>
      </w:r>
      <w:r w:rsidR="005B4AD0" w:rsidRPr="00E77FD0">
        <w:rPr>
          <w:rFonts w:ascii="Cambria" w:hAnsi="Cambria"/>
          <w:color w:val="000000" w:themeColor="text1"/>
          <w:sz w:val="22"/>
          <w:szCs w:val="22"/>
        </w:rPr>
        <w:t xml:space="preserve">nstitutional </w:t>
      </w:r>
      <w:r w:rsidR="006268DE">
        <w:rPr>
          <w:rFonts w:ascii="Cambria" w:hAnsi="Cambria"/>
          <w:color w:val="000000" w:themeColor="text1"/>
          <w:sz w:val="22"/>
          <w:szCs w:val="22"/>
        </w:rPr>
        <w:t>Innovation: E</w:t>
      </w:r>
      <w:r w:rsidR="00FC7EE5" w:rsidRPr="00E77FD0">
        <w:rPr>
          <w:rFonts w:ascii="Cambria" w:hAnsi="Cambria"/>
          <w:color w:val="000000" w:themeColor="text1"/>
          <w:sz w:val="22"/>
          <w:szCs w:val="22"/>
        </w:rPr>
        <w:t>xp</w:t>
      </w:r>
      <w:r w:rsidR="005B4AD0" w:rsidRPr="00E77FD0">
        <w:rPr>
          <w:rFonts w:ascii="Cambria" w:hAnsi="Cambria"/>
          <w:color w:val="000000" w:themeColor="text1"/>
          <w:sz w:val="22"/>
          <w:szCs w:val="22"/>
        </w:rPr>
        <w:t>and</w:t>
      </w:r>
      <w:r w:rsidR="00A81CE4">
        <w:rPr>
          <w:rFonts w:ascii="Cambria" w:hAnsi="Cambria"/>
          <w:color w:val="000000" w:themeColor="text1"/>
          <w:sz w:val="22"/>
          <w:szCs w:val="22"/>
        </w:rPr>
        <w:t>i</w:t>
      </w:r>
      <w:r w:rsidR="006268DE">
        <w:rPr>
          <w:rFonts w:ascii="Cambria" w:hAnsi="Cambria"/>
          <w:color w:val="000000" w:themeColor="text1"/>
          <w:sz w:val="22"/>
          <w:szCs w:val="22"/>
        </w:rPr>
        <w:t>ng G</w:t>
      </w:r>
      <w:r w:rsidR="005B4AD0" w:rsidRPr="00E77FD0">
        <w:rPr>
          <w:rFonts w:ascii="Cambria" w:hAnsi="Cambria"/>
          <w:color w:val="000000" w:themeColor="text1"/>
          <w:sz w:val="22"/>
          <w:szCs w:val="22"/>
        </w:rPr>
        <w:t xml:space="preserve">ender </w:t>
      </w:r>
      <w:r w:rsidR="006268DE">
        <w:rPr>
          <w:rFonts w:ascii="Cambria" w:hAnsi="Cambria"/>
          <w:color w:val="000000" w:themeColor="text1"/>
          <w:sz w:val="22"/>
          <w:szCs w:val="22"/>
        </w:rPr>
        <w:t>J</w:t>
      </w:r>
      <w:r w:rsidR="005B4AD0" w:rsidRPr="00E77FD0">
        <w:rPr>
          <w:rFonts w:ascii="Cambria" w:hAnsi="Cambria"/>
          <w:color w:val="000000" w:themeColor="text1"/>
          <w:sz w:val="22"/>
          <w:szCs w:val="22"/>
        </w:rPr>
        <w:t xml:space="preserve">ustice </w:t>
      </w:r>
      <w:r w:rsidR="00FC7EE5" w:rsidRPr="00E77FD0">
        <w:rPr>
          <w:rFonts w:ascii="Cambria" w:hAnsi="Cambria"/>
          <w:color w:val="000000" w:themeColor="text1"/>
          <w:sz w:val="22"/>
          <w:szCs w:val="22"/>
        </w:rPr>
        <w:t>in the International Criminal Court’</w:t>
      </w:r>
      <w:r w:rsidR="00407101">
        <w:rPr>
          <w:rFonts w:ascii="Cambria" w:hAnsi="Cambria"/>
          <w:color w:val="000000" w:themeColor="text1"/>
          <w:sz w:val="22"/>
          <w:szCs w:val="22"/>
        </w:rPr>
        <w:t xml:space="preserve">, in M.L. </w:t>
      </w:r>
      <w:proofErr w:type="spellStart"/>
      <w:r w:rsidR="00407101">
        <w:rPr>
          <w:rFonts w:ascii="Cambria" w:hAnsi="Cambria"/>
          <w:color w:val="000000" w:themeColor="text1"/>
          <w:sz w:val="22"/>
          <w:szCs w:val="22"/>
        </w:rPr>
        <w:t>Krook</w:t>
      </w:r>
      <w:proofErr w:type="spellEnd"/>
      <w:r w:rsidR="00407101">
        <w:rPr>
          <w:rFonts w:ascii="Cambria" w:hAnsi="Cambria"/>
          <w:color w:val="000000" w:themeColor="text1"/>
          <w:sz w:val="22"/>
          <w:szCs w:val="22"/>
        </w:rPr>
        <w:t xml:space="preserve"> and F.</w:t>
      </w:r>
      <w:r w:rsidR="00FC7EE5" w:rsidRPr="00E77FD0">
        <w:rPr>
          <w:rFonts w:ascii="Cambria" w:hAnsi="Cambria"/>
          <w:color w:val="000000" w:themeColor="text1"/>
          <w:sz w:val="22"/>
          <w:szCs w:val="22"/>
        </w:rPr>
        <w:t xml:space="preserve"> Mackay</w:t>
      </w:r>
      <w:r w:rsidR="00407101">
        <w:rPr>
          <w:rFonts w:ascii="Cambria" w:hAnsi="Cambria"/>
          <w:color w:val="000000" w:themeColor="text1"/>
          <w:sz w:val="22"/>
          <w:szCs w:val="22"/>
        </w:rPr>
        <w:t>,</w:t>
      </w:r>
      <w:r w:rsidR="00FC7EE5" w:rsidRPr="00E77FD0">
        <w:rPr>
          <w:rFonts w:ascii="Cambria" w:hAnsi="Cambria"/>
          <w:color w:val="000000" w:themeColor="text1"/>
          <w:sz w:val="22"/>
          <w:szCs w:val="22"/>
        </w:rPr>
        <w:t xml:space="preserve"> eds. </w:t>
      </w:r>
      <w:r w:rsidR="00FC7EE5" w:rsidRPr="00E77FD0">
        <w:rPr>
          <w:rFonts w:ascii="Cambria" w:hAnsi="Cambria"/>
          <w:i/>
          <w:color w:val="000000" w:themeColor="text1"/>
          <w:sz w:val="22"/>
          <w:szCs w:val="22"/>
        </w:rPr>
        <w:t>Gender, Politics and Institutions: Towards a Feminist Institutionalism</w:t>
      </w:r>
      <w:r w:rsidR="00FC7EE5" w:rsidRPr="00E77FD0">
        <w:rPr>
          <w:rFonts w:ascii="Cambria" w:hAnsi="Cambria"/>
          <w:color w:val="000000" w:themeColor="text1"/>
          <w:sz w:val="22"/>
          <w:szCs w:val="22"/>
        </w:rPr>
        <w:t xml:space="preserve">. Basingstoke: Palgrave Macmillan, </w:t>
      </w:r>
      <w:r w:rsidR="00407101">
        <w:rPr>
          <w:rFonts w:ascii="Cambria" w:hAnsi="Cambria"/>
          <w:color w:val="000000" w:themeColor="text1"/>
          <w:sz w:val="22"/>
          <w:szCs w:val="22"/>
        </w:rPr>
        <w:t xml:space="preserve">pp. </w:t>
      </w:r>
      <w:r w:rsidR="005B4AD0" w:rsidRPr="00E77FD0">
        <w:rPr>
          <w:rFonts w:ascii="Cambria" w:hAnsi="Cambria"/>
          <w:color w:val="000000" w:themeColor="text1"/>
          <w:sz w:val="22"/>
          <w:szCs w:val="22"/>
        </w:rPr>
        <w:t>163-180</w:t>
      </w:r>
      <w:r w:rsidR="00DA1AA6">
        <w:rPr>
          <w:rFonts w:ascii="Cambria" w:hAnsi="Cambria"/>
          <w:color w:val="000000" w:themeColor="text1"/>
          <w:sz w:val="22"/>
          <w:szCs w:val="22"/>
        </w:rPr>
        <w:t>.</w:t>
      </w:r>
    </w:p>
    <w:p w14:paraId="0DC898F2" w14:textId="77777777" w:rsidR="005A6C84" w:rsidRPr="00FF53F6" w:rsidRDefault="005A6C84" w:rsidP="00494962">
      <w:pPr>
        <w:autoSpaceDE w:val="0"/>
        <w:autoSpaceDN w:val="0"/>
        <w:adjustRightInd w:val="0"/>
        <w:rPr>
          <w:rFonts w:ascii="Cambria" w:hAnsi="Cambria"/>
          <w:sz w:val="22"/>
          <w:szCs w:val="22"/>
        </w:rPr>
      </w:pPr>
    </w:p>
    <w:p w14:paraId="17BAC630" w14:textId="10ADF0D7" w:rsidR="000F7F2A" w:rsidRPr="00FF53F6" w:rsidRDefault="000F7F2A" w:rsidP="00494962">
      <w:pPr>
        <w:autoSpaceDE w:val="0"/>
        <w:autoSpaceDN w:val="0"/>
        <w:adjustRightInd w:val="0"/>
        <w:rPr>
          <w:rFonts w:ascii="Cambria" w:hAnsi="Cambria"/>
          <w:sz w:val="22"/>
          <w:szCs w:val="22"/>
        </w:rPr>
      </w:pPr>
      <w:r w:rsidRPr="00FF53F6">
        <w:rPr>
          <w:rFonts w:ascii="Cambria" w:hAnsi="Cambria"/>
          <w:sz w:val="22"/>
          <w:szCs w:val="22"/>
        </w:rPr>
        <w:t>Chappell, L.</w:t>
      </w:r>
      <w:r w:rsidR="00BC5580">
        <w:rPr>
          <w:rFonts w:ascii="Cambria" w:hAnsi="Cambria"/>
          <w:sz w:val="22"/>
          <w:szCs w:val="22"/>
        </w:rPr>
        <w:t>,</w:t>
      </w:r>
      <w:r w:rsidR="00A90D10">
        <w:rPr>
          <w:rFonts w:ascii="Cambria" w:hAnsi="Cambria"/>
          <w:sz w:val="22"/>
          <w:szCs w:val="22"/>
        </w:rPr>
        <w:t xml:space="preserve"> (2006). </w:t>
      </w:r>
      <w:r w:rsidRPr="00FF53F6">
        <w:rPr>
          <w:rFonts w:ascii="Cambria" w:hAnsi="Cambria"/>
          <w:sz w:val="22"/>
          <w:szCs w:val="22"/>
        </w:rPr>
        <w:t>‘Comparing Institutions: Revealing the “Gend</w:t>
      </w:r>
      <w:r w:rsidR="00A90D10">
        <w:rPr>
          <w:rFonts w:ascii="Cambria" w:hAnsi="Cambria"/>
          <w:sz w:val="22"/>
          <w:szCs w:val="22"/>
        </w:rPr>
        <w:t>ered Logic of Appropriateness”’.</w:t>
      </w:r>
      <w:r w:rsidRPr="00FF53F6">
        <w:rPr>
          <w:rFonts w:ascii="Cambria" w:hAnsi="Cambria"/>
          <w:sz w:val="22"/>
          <w:szCs w:val="22"/>
        </w:rPr>
        <w:t xml:space="preserve"> </w:t>
      </w:r>
      <w:r w:rsidRPr="00FF53F6">
        <w:rPr>
          <w:rFonts w:ascii="Cambria" w:hAnsi="Cambria"/>
          <w:i/>
          <w:sz w:val="22"/>
          <w:szCs w:val="22"/>
        </w:rPr>
        <w:t xml:space="preserve">Politics </w:t>
      </w:r>
      <w:r w:rsidR="000E381B" w:rsidRPr="00FF53F6">
        <w:rPr>
          <w:rFonts w:ascii="Cambria" w:hAnsi="Cambria"/>
          <w:i/>
          <w:sz w:val="22"/>
          <w:szCs w:val="22"/>
        </w:rPr>
        <w:t>and</w:t>
      </w:r>
      <w:r w:rsidRPr="00FF53F6">
        <w:rPr>
          <w:rFonts w:ascii="Cambria" w:hAnsi="Cambria"/>
          <w:i/>
          <w:sz w:val="22"/>
          <w:szCs w:val="22"/>
        </w:rPr>
        <w:t xml:space="preserve"> Gender</w:t>
      </w:r>
      <w:r w:rsidR="00602F59">
        <w:rPr>
          <w:rFonts w:ascii="Cambria" w:hAnsi="Cambria"/>
          <w:sz w:val="22"/>
          <w:szCs w:val="22"/>
        </w:rPr>
        <w:t xml:space="preserve"> 2</w:t>
      </w:r>
      <w:r w:rsidRPr="00FF53F6">
        <w:rPr>
          <w:rFonts w:ascii="Cambria" w:hAnsi="Cambria"/>
          <w:sz w:val="22"/>
          <w:szCs w:val="22"/>
        </w:rPr>
        <w:t>(2):</w:t>
      </w:r>
      <w:r w:rsidR="00FF53F6">
        <w:rPr>
          <w:rFonts w:ascii="Cambria" w:hAnsi="Cambria"/>
          <w:sz w:val="22"/>
          <w:szCs w:val="22"/>
        </w:rPr>
        <w:t xml:space="preserve"> </w:t>
      </w:r>
      <w:r w:rsidRPr="00FF53F6">
        <w:rPr>
          <w:rFonts w:ascii="Cambria" w:hAnsi="Cambria"/>
          <w:sz w:val="22"/>
          <w:szCs w:val="22"/>
        </w:rPr>
        <w:t>223-</w:t>
      </w:r>
      <w:r w:rsidR="006268DE">
        <w:rPr>
          <w:rFonts w:ascii="Cambria" w:hAnsi="Cambria"/>
          <w:sz w:val="22"/>
          <w:szCs w:val="22"/>
        </w:rPr>
        <w:t>2</w:t>
      </w:r>
      <w:r w:rsidRPr="00FF53F6">
        <w:rPr>
          <w:rFonts w:ascii="Cambria" w:hAnsi="Cambria"/>
          <w:sz w:val="22"/>
          <w:szCs w:val="22"/>
        </w:rPr>
        <w:t>35</w:t>
      </w:r>
      <w:r w:rsidR="00DA1AA6">
        <w:rPr>
          <w:rFonts w:ascii="Cambria" w:hAnsi="Cambria"/>
          <w:sz w:val="22"/>
          <w:szCs w:val="22"/>
        </w:rPr>
        <w:t>.</w:t>
      </w:r>
    </w:p>
    <w:p w14:paraId="33BD928E" w14:textId="77777777" w:rsidR="009E687D" w:rsidRPr="00FF53F6" w:rsidRDefault="009E687D" w:rsidP="00494962">
      <w:pPr>
        <w:autoSpaceDE w:val="0"/>
        <w:autoSpaceDN w:val="0"/>
        <w:adjustRightInd w:val="0"/>
        <w:rPr>
          <w:rFonts w:ascii="Cambria" w:hAnsi="Cambria"/>
          <w:sz w:val="22"/>
          <w:szCs w:val="22"/>
        </w:rPr>
      </w:pPr>
    </w:p>
    <w:p w14:paraId="4A419403" w14:textId="01A51D50" w:rsidR="00767121" w:rsidRDefault="005C5081" w:rsidP="006268DE">
      <w:pPr>
        <w:pStyle w:val="Heading4"/>
        <w:spacing w:before="0"/>
        <w:rPr>
          <w:rFonts w:ascii="Cambria" w:eastAsia="Times New Roman" w:hAnsi="Cambria" w:cs="Arial"/>
          <w:bCs/>
          <w:i w:val="0"/>
          <w:color w:val="000000" w:themeColor="text1"/>
          <w:sz w:val="22"/>
          <w:szCs w:val="22"/>
        </w:rPr>
      </w:pPr>
      <w:r w:rsidRPr="00FF53F6">
        <w:rPr>
          <w:rFonts w:ascii="Cambria" w:hAnsi="Cambria" w:cs="Times New Roman"/>
          <w:i w:val="0"/>
          <w:color w:val="000000" w:themeColor="text1"/>
          <w:sz w:val="22"/>
          <w:szCs w:val="22"/>
        </w:rPr>
        <w:t>Chappell</w:t>
      </w:r>
      <w:r w:rsidR="000A714D" w:rsidRPr="00FF53F6">
        <w:rPr>
          <w:rFonts w:ascii="Cambria" w:hAnsi="Cambria" w:cs="Times New Roman"/>
          <w:i w:val="0"/>
          <w:color w:val="000000" w:themeColor="text1"/>
          <w:sz w:val="22"/>
          <w:szCs w:val="22"/>
        </w:rPr>
        <w:t>, L.</w:t>
      </w:r>
      <w:r w:rsidR="00BC5580">
        <w:rPr>
          <w:rFonts w:ascii="Cambria" w:hAnsi="Cambria" w:cs="Times New Roman"/>
          <w:i w:val="0"/>
          <w:color w:val="000000" w:themeColor="text1"/>
          <w:sz w:val="22"/>
          <w:szCs w:val="22"/>
        </w:rPr>
        <w:t>,</w:t>
      </w:r>
      <w:r w:rsidR="000A714D" w:rsidRPr="00FF53F6">
        <w:rPr>
          <w:rFonts w:ascii="Cambria" w:hAnsi="Cambria" w:cs="Times New Roman"/>
          <w:i w:val="0"/>
          <w:color w:val="000000" w:themeColor="text1"/>
          <w:sz w:val="22"/>
          <w:szCs w:val="22"/>
        </w:rPr>
        <w:t xml:space="preserve"> </w:t>
      </w:r>
      <w:r w:rsidRPr="00FF53F6">
        <w:rPr>
          <w:rFonts w:ascii="Cambria" w:hAnsi="Cambria" w:cs="Times New Roman"/>
          <w:i w:val="0"/>
          <w:color w:val="000000" w:themeColor="text1"/>
          <w:sz w:val="22"/>
          <w:szCs w:val="22"/>
        </w:rPr>
        <w:t>(2002)</w:t>
      </w:r>
      <w:r w:rsidR="00A90D10">
        <w:rPr>
          <w:rFonts w:ascii="Cambria" w:hAnsi="Cambria" w:cs="Times New Roman"/>
          <w:i w:val="0"/>
          <w:color w:val="000000" w:themeColor="text1"/>
          <w:sz w:val="22"/>
          <w:szCs w:val="22"/>
        </w:rPr>
        <w:t>.</w:t>
      </w:r>
      <w:r w:rsidR="00767121" w:rsidRPr="00FF53F6">
        <w:rPr>
          <w:rFonts w:ascii="Cambria" w:hAnsi="Cambria" w:cs="Times New Roman"/>
          <w:color w:val="000000" w:themeColor="text1"/>
          <w:sz w:val="22"/>
          <w:szCs w:val="22"/>
        </w:rPr>
        <w:t xml:space="preserve"> </w:t>
      </w:r>
      <w:r w:rsidR="00767121" w:rsidRPr="00FF53F6">
        <w:rPr>
          <w:rFonts w:ascii="Cambria" w:eastAsia="Times New Roman" w:hAnsi="Cambria" w:cs="Arial"/>
          <w:bCs/>
          <w:color w:val="000000" w:themeColor="text1"/>
          <w:sz w:val="22"/>
          <w:szCs w:val="22"/>
        </w:rPr>
        <w:t>Feminist Engagement with the State in Australia and Canada.</w:t>
      </w:r>
      <w:r w:rsidR="00602F59">
        <w:rPr>
          <w:rFonts w:ascii="Cambria" w:eastAsia="Times New Roman" w:hAnsi="Cambria" w:cs="Arial"/>
          <w:color w:val="000000" w:themeColor="text1"/>
          <w:sz w:val="22"/>
          <w:szCs w:val="22"/>
          <w:lang w:val="en-US"/>
        </w:rPr>
        <w:t xml:space="preserve"> </w:t>
      </w:r>
      <w:r w:rsidR="00602F59">
        <w:rPr>
          <w:rFonts w:ascii="Cambria" w:eastAsia="Times New Roman" w:hAnsi="Cambria" w:cs="Arial"/>
          <w:bCs/>
          <w:i w:val="0"/>
          <w:color w:val="000000" w:themeColor="text1"/>
          <w:sz w:val="22"/>
          <w:szCs w:val="22"/>
        </w:rPr>
        <w:t>Vancouver</w:t>
      </w:r>
      <w:r w:rsidR="00D90747" w:rsidRPr="00FF53F6">
        <w:rPr>
          <w:rFonts w:ascii="Cambria" w:eastAsia="Times New Roman" w:hAnsi="Cambria" w:cs="Arial"/>
          <w:bCs/>
          <w:i w:val="0"/>
          <w:color w:val="000000" w:themeColor="text1"/>
          <w:sz w:val="22"/>
          <w:szCs w:val="22"/>
        </w:rPr>
        <w:t xml:space="preserve">: </w:t>
      </w:r>
      <w:r w:rsidR="00767121" w:rsidRPr="00FF53F6">
        <w:rPr>
          <w:rFonts w:ascii="Cambria" w:eastAsia="Times New Roman" w:hAnsi="Cambria" w:cs="Arial"/>
          <w:bCs/>
          <w:i w:val="0"/>
          <w:color w:val="000000" w:themeColor="text1"/>
          <w:sz w:val="22"/>
          <w:szCs w:val="22"/>
        </w:rPr>
        <w:t>Unive</w:t>
      </w:r>
      <w:r w:rsidR="00602F59">
        <w:rPr>
          <w:rFonts w:ascii="Cambria" w:eastAsia="Times New Roman" w:hAnsi="Cambria" w:cs="Arial"/>
          <w:bCs/>
          <w:i w:val="0"/>
          <w:color w:val="000000" w:themeColor="text1"/>
          <w:sz w:val="22"/>
          <w:szCs w:val="22"/>
        </w:rPr>
        <w:t>rsity of British Columbia Press</w:t>
      </w:r>
      <w:r w:rsidR="00DA1AA6">
        <w:rPr>
          <w:rFonts w:ascii="Cambria" w:eastAsia="Times New Roman" w:hAnsi="Cambria" w:cs="Arial"/>
          <w:bCs/>
          <w:i w:val="0"/>
          <w:color w:val="000000" w:themeColor="text1"/>
          <w:sz w:val="22"/>
          <w:szCs w:val="22"/>
        </w:rPr>
        <w:t>.</w:t>
      </w:r>
    </w:p>
    <w:p w14:paraId="36623891" w14:textId="77777777" w:rsidR="006268DE" w:rsidRPr="006268DE" w:rsidRDefault="006268DE" w:rsidP="006268DE"/>
    <w:p w14:paraId="3B7C5E05" w14:textId="030679AA" w:rsidR="0030087A" w:rsidRPr="00D819B2" w:rsidRDefault="0030087A" w:rsidP="00494962">
      <w:pPr>
        <w:rPr>
          <w:rFonts w:ascii="Cambria" w:hAnsi="Cambria"/>
          <w:color w:val="000000" w:themeColor="text1"/>
          <w:sz w:val="22"/>
          <w:szCs w:val="22"/>
        </w:rPr>
      </w:pPr>
      <w:r w:rsidRPr="00D819B2">
        <w:rPr>
          <w:rFonts w:ascii="Cambria" w:hAnsi="Cambria"/>
          <w:color w:val="000000" w:themeColor="text1"/>
          <w:sz w:val="22"/>
          <w:szCs w:val="22"/>
        </w:rPr>
        <w:t>Chappell</w:t>
      </w:r>
      <w:r w:rsidR="00D819B2">
        <w:rPr>
          <w:rFonts w:ascii="Cambria" w:hAnsi="Cambria"/>
          <w:color w:val="000000" w:themeColor="text1"/>
          <w:sz w:val="22"/>
          <w:szCs w:val="22"/>
        </w:rPr>
        <w:t>, L.</w:t>
      </w:r>
      <w:r w:rsidR="006268DE">
        <w:rPr>
          <w:rFonts w:ascii="Cambria" w:hAnsi="Cambria"/>
          <w:color w:val="000000" w:themeColor="text1"/>
          <w:sz w:val="22"/>
          <w:szCs w:val="22"/>
        </w:rPr>
        <w:t>,</w:t>
      </w:r>
      <w:r w:rsidR="00D819B2">
        <w:rPr>
          <w:rFonts w:ascii="Cambria" w:hAnsi="Cambria"/>
          <w:color w:val="000000" w:themeColor="text1"/>
          <w:sz w:val="22"/>
          <w:szCs w:val="22"/>
        </w:rPr>
        <w:t xml:space="preserve"> </w:t>
      </w:r>
      <w:r w:rsidRPr="00D819B2">
        <w:rPr>
          <w:rFonts w:ascii="Cambria" w:hAnsi="Cambria"/>
          <w:color w:val="000000" w:themeColor="text1"/>
          <w:sz w:val="22"/>
          <w:szCs w:val="22"/>
        </w:rPr>
        <w:t xml:space="preserve">and </w:t>
      </w:r>
      <w:proofErr w:type="spellStart"/>
      <w:r w:rsidRPr="00D819B2">
        <w:rPr>
          <w:rFonts w:ascii="Cambria" w:hAnsi="Cambria"/>
          <w:color w:val="000000" w:themeColor="text1"/>
          <w:sz w:val="22"/>
          <w:szCs w:val="22"/>
        </w:rPr>
        <w:t>Galea</w:t>
      </w:r>
      <w:proofErr w:type="spellEnd"/>
      <w:r w:rsidR="00D819B2">
        <w:rPr>
          <w:rFonts w:ascii="Cambria" w:hAnsi="Cambria"/>
          <w:color w:val="000000" w:themeColor="text1"/>
          <w:sz w:val="22"/>
          <w:szCs w:val="22"/>
        </w:rPr>
        <w:t>, N.,</w:t>
      </w:r>
      <w:r w:rsidRPr="00D819B2">
        <w:rPr>
          <w:rFonts w:ascii="Cambria" w:hAnsi="Cambria"/>
          <w:color w:val="000000" w:themeColor="text1"/>
          <w:sz w:val="22"/>
          <w:szCs w:val="22"/>
        </w:rPr>
        <w:t xml:space="preserve"> (2017)</w:t>
      </w:r>
      <w:r w:rsidR="00D819B2">
        <w:rPr>
          <w:rFonts w:ascii="Cambria" w:hAnsi="Cambria"/>
          <w:color w:val="000000" w:themeColor="text1"/>
          <w:sz w:val="22"/>
          <w:szCs w:val="22"/>
        </w:rPr>
        <w:t>. ‘Excavating Informal Institutional Enforcement through “Rapid” Ethnography: Lessons from the Australian Construction Industry’</w:t>
      </w:r>
      <w:r w:rsidR="006268DE">
        <w:rPr>
          <w:rFonts w:ascii="Cambria" w:hAnsi="Cambria"/>
          <w:color w:val="000000" w:themeColor="text1"/>
          <w:sz w:val="22"/>
          <w:szCs w:val="22"/>
        </w:rPr>
        <w:t>,</w:t>
      </w:r>
      <w:r w:rsidR="00D819B2">
        <w:rPr>
          <w:rFonts w:ascii="Cambria" w:hAnsi="Cambria"/>
          <w:color w:val="000000" w:themeColor="text1"/>
          <w:sz w:val="22"/>
          <w:szCs w:val="22"/>
        </w:rPr>
        <w:t xml:space="preserve"> </w:t>
      </w:r>
      <w:r w:rsidR="00D819B2">
        <w:rPr>
          <w:rFonts w:ascii="Cambria" w:hAnsi="Cambria"/>
          <w:sz w:val="22"/>
          <w:szCs w:val="22"/>
        </w:rPr>
        <w:t xml:space="preserve">in G. </w:t>
      </w:r>
      <w:proofErr w:type="spellStart"/>
      <w:r w:rsidR="00D819B2">
        <w:rPr>
          <w:rFonts w:ascii="Cambria" w:hAnsi="Cambria"/>
          <w:sz w:val="22"/>
          <w:szCs w:val="22"/>
        </w:rPr>
        <w:t>Waylen</w:t>
      </w:r>
      <w:proofErr w:type="spellEnd"/>
      <w:r w:rsidR="00D819B2">
        <w:rPr>
          <w:rFonts w:ascii="Cambria" w:hAnsi="Cambria"/>
          <w:sz w:val="22"/>
          <w:szCs w:val="22"/>
        </w:rPr>
        <w:t>. ed.</w:t>
      </w:r>
      <w:r w:rsidR="00D819B2" w:rsidRPr="00FF53F6">
        <w:rPr>
          <w:rFonts w:ascii="Cambria" w:hAnsi="Cambria"/>
          <w:sz w:val="22"/>
          <w:szCs w:val="22"/>
        </w:rPr>
        <w:t xml:space="preserve"> </w:t>
      </w:r>
      <w:r w:rsidR="00D819B2" w:rsidRPr="00FF53F6">
        <w:rPr>
          <w:rFonts w:ascii="Cambria" w:hAnsi="Cambria"/>
          <w:i/>
          <w:sz w:val="22"/>
          <w:szCs w:val="22"/>
        </w:rPr>
        <w:t>Gender and Informal Institutions</w:t>
      </w:r>
      <w:r w:rsidR="00D819B2">
        <w:rPr>
          <w:rFonts w:ascii="Cambria" w:hAnsi="Cambria"/>
          <w:sz w:val="22"/>
          <w:szCs w:val="22"/>
        </w:rPr>
        <w:t xml:space="preserve">. London: </w:t>
      </w:r>
      <w:proofErr w:type="spellStart"/>
      <w:r w:rsidR="00D819B2">
        <w:rPr>
          <w:rFonts w:ascii="Cambria" w:hAnsi="Cambria"/>
          <w:sz w:val="22"/>
          <w:szCs w:val="22"/>
        </w:rPr>
        <w:t>Rowman</w:t>
      </w:r>
      <w:proofErr w:type="spellEnd"/>
      <w:r w:rsidR="00D819B2">
        <w:rPr>
          <w:rFonts w:ascii="Cambria" w:hAnsi="Cambria"/>
          <w:sz w:val="22"/>
          <w:szCs w:val="22"/>
        </w:rPr>
        <w:t xml:space="preserve">, </w:t>
      </w:r>
      <w:r w:rsidR="00D819B2" w:rsidRPr="00FF53F6">
        <w:rPr>
          <w:rFonts w:ascii="Cambria" w:hAnsi="Cambria"/>
          <w:sz w:val="22"/>
          <w:szCs w:val="22"/>
        </w:rPr>
        <w:t>Littlefield International</w:t>
      </w:r>
      <w:r w:rsidR="006268DE">
        <w:rPr>
          <w:rFonts w:ascii="Cambria" w:hAnsi="Cambria"/>
          <w:sz w:val="22"/>
          <w:szCs w:val="22"/>
        </w:rPr>
        <w:t>,</w:t>
      </w:r>
      <w:r w:rsidR="00D819B2">
        <w:rPr>
          <w:rFonts w:ascii="Cambria" w:hAnsi="Cambria"/>
          <w:sz w:val="22"/>
          <w:szCs w:val="22"/>
        </w:rPr>
        <w:t xml:space="preserve"> pp. 67-90</w:t>
      </w:r>
      <w:r w:rsidR="00DA1AA6">
        <w:rPr>
          <w:rFonts w:ascii="Cambria" w:hAnsi="Cambria"/>
          <w:sz w:val="22"/>
          <w:szCs w:val="22"/>
        </w:rPr>
        <w:t>.</w:t>
      </w:r>
    </w:p>
    <w:p w14:paraId="1A512AED" w14:textId="77777777" w:rsidR="005C5081" w:rsidRPr="00FF53F6" w:rsidRDefault="005C5081" w:rsidP="00494962">
      <w:pPr>
        <w:autoSpaceDE w:val="0"/>
        <w:autoSpaceDN w:val="0"/>
        <w:adjustRightInd w:val="0"/>
        <w:rPr>
          <w:rFonts w:ascii="Cambria" w:hAnsi="Cambria"/>
          <w:sz w:val="22"/>
          <w:szCs w:val="22"/>
        </w:rPr>
      </w:pPr>
    </w:p>
    <w:p w14:paraId="5299FB3F" w14:textId="156D4944" w:rsidR="00E52F07" w:rsidRPr="00FF53F6" w:rsidRDefault="00E52F07" w:rsidP="00494962">
      <w:pPr>
        <w:rPr>
          <w:rFonts w:ascii="Cambria" w:hAnsi="Cambria"/>
          <w:sz w:val="22"/>
          <w:szCs w:val="22"/>
        </w:rPr>
      </w:pPr>
      <w:r w:rsidRPr="00FF53F6">
        <w:rPr>
          <w:rFonts w:ascii="Cambria" w:hAnsi="Cambria"/>
          <w:sz w:val="22"/>
          <w:szCs w:val="22"/>
        </w:rPr>
        <w:t>Chappell</w:t>
      </w:r>
      <w:r w:rsidR="00AD38BA" w:rsidRPr="00FF53F6">
        <w:rPr>
          <w:rFonts w:ascii="Cambria" w:hAnsi="Cambria"/>
          <w:sz w:val="22"/>
          <w:szCs w:val="22"/>
        </w:rPr>
        <w:t>, L.</w:t>
      </w:r>
      <w:r w:rsidR="00FF53F6">
        <w:rPr>
          <w:rFonts w:ascii="Cambria" w:hAnsi="Cambria"/>
          <w:sz w:val="22"/>
          <w:szCs w:val="22"/>
        </w:rPr>
        <w:t>,</w:t>
      </w:r>
      <w:r w:rsidRPr="00FF53F6">
        <w:rPr>
          <w:rFonts w:ascii="Cambria" w:hAnsi="Cambria"/>
          <w:sz w:val="22"/>
          <w:szCs w:val="22"/>
        </w:rPr>
        <w:t xml:space="preserve"> and</w:t>
      </w:r>
      <w:r w:rsidRPr="00FF53F6">
        <w:rPr>
          <w:rFonts w:ascii="Cambria" w:hAnsi="Cambria"/>
          <w:b/>
          <w:sz w:val="22"/>
          <w:szCs w:val="22"/>
        </w:rPr>
        <w:t xml:space="preserve"> </w:t>
      </w:r>
      <w:r w:rsidRPr="00FF53F6">
        <w:rPr>
          <w:rFonts w:ascii="Cambria" w:hAnsi="Cambria"/>
          <w:sz w:val="22"/>
          <w:szCs w:val="22"/>
        </w:rPr>
        <w:t>Mackay</w:t>
      </w:r>
      <w:r w:rsidR="00AD38BA" w:rsidRPr="00FF53F6">
        <w:rPr>
          <w:rFonts w:ascii="Cambria" w:hAnsi="Cambria"/>
          <w:sz w:val="22"/>
          <w:szCs w:val="22"/>
        </w:rPr>
        <w:t>, F</w:t>
      </w:r>
      <w:r w:rsidRPr="00FF53F6">
        <w:rPr>
          <w:rFonts w:ascii="Cambria" w:hAnsi="Cambria"/>
          <w:sz w:val="22"/>
          <w:szCs w:val="22"/>
        </w:rPr>
        <w:t>.</w:t>
      </w:r>
      <w:r w:rsidR="00FF53F6">
        <w:rPr>
          <w:rFonts w:ascii="Cambria" w:hAnsi="Cambria"/>
          <w:sz w:val="22"/>
          <w:szCs w:val="22"/>
        </w:rPr>
        <w:t>,</w:t>
      </w:r>
      <w:r w:rsidRPr="00FF53F6">
        <w:rPr>
          <w:rFonts w:ascii="Cambria" w:hAnsi="Cambria"/>
          <w:sz w:val="22"/>
          <w:szCs w:val="22"/>
        </w:rPr>
        <w:t xml:space="preserve"> </w:t>
      </w:r>
      <w:r w:rsidR="00AD38BA" w:rsidRPr="00FF53F6">
        <w:rPr>
          <w:rFonts w:ascii="Cambria" w:hAnsi="Cambria"/>
          <w:sz w:val="22"/>
          <w:szCs w:val="22"/>
        </w:rPr>
        <w:t>(2017)</w:t>
      </w:r>
      <w:r w:rsidR="00FF53F6">
        <w:rPr>
          <w:rFonts w:ascii="Cambria" w:hAnsi="Cambria"/>
          <w:sz w:val="22"/>
          <w:szCs w:val="22"/>
        </w:rPr>
        <w:t>.</w:t>
      </w:r>
      <w:r w:rsidR="00AD38BA" w:rsidRPr="00FF53F6">
        <w:rPr>
          <w:rFonts w:ascii="Cambria" w:hAnsi="Cambria"/>
          <w:sz w:val="22"/>
          <w:szCs w:val="22"/>
        </w:rPr>
        <w:t xml:space="preserve"> </w:t>
      </w:r>
      <w:r w:rsidRPr="00FF53F6">
        <w:rPr>
          <w:rFonts w:ascii="Cambria" w:hAnsi="Cambria"/>
          <w:sz w:val="22"/>
          <w:szCs w:val="22"/>
        </w:rPr>
        <w:t>‘What’s in a Name? Mapping the Terrain of Informal Institutions and</w:t>
      </w:r>
      <w:r w:rsidR="00602F59">
        <w:rPr>
          <w:rFonts w:ascii="Cambria" w:hAnsi="Cambria"/>
          <w:sz w:val="22"/>
          <w:szCs w:val="22"/>
        </w:rPr>
        <w:t xml:space="preserve"> Gender Politics’</w:t>
      </w:r>
      <w:r w:rsidR="006268DE">
        <w:rPr>
          <w:rFonts w:ascii="Cambria" w:hAnsi="Cambria"/>
          <w:sz w:val="22"/>
          <w:szCs w:val="22"/>
        </w:rPr>
        <w:t>,</w:t>
      </w:r>
      <w:r w:rsidR="00602F59">
        <w:rPr>
          <w:rFonts w:ascii="Cambria" w:hAnsi="Cambria"/>
          <w:sz w:val="22"/>
          <w:szCs w:val="22"/>
        </w:rPr>
        <w:t xml:space="preserve"> in G. </w:t>
      </w:r>
      <w:proofErr w:type="spellStart"/>
      <w:r w:rsidR="00602F59">
        <w:rPr>
          <w:rFonts w:ascii="Cambria" w:hAnsi="Cambria"/>
          <w:sz w:val="22"/>
          <w:szCs w:val="22"/>
        </w:rPr>
        <w:t>Waylen</w:t>
      </w:r>
      <w:proofErr w:type="spellEnd"/>
      <w:r w:rsidR="00602F59">
        <w:rPr>
          <w:rFonts w:ascii="Cambria" w:hAnsi="Cambria"/>
          <w:sz w:val="22"/>
          <w:szCs w:val="22"/>
        </w:rPr>
        <w:t xml:space="preserve">. </w:t>
      </w:r>
      <w:r w:rsidR="00FF53F6">
        <w:rPr>
          <w:rFonts w:ascii="Cambria" w:hAnsi="Cambria"/>
          <w:sz w:val="22"/>
          <w:szCs w:val="22"/>
        </w:rPr>
        <w:t>ed.</w:t>
      </w:r>
      <w:r w:rsidRPr="00FF53F6">
        <w:rPr>
          <w:rFonts w:ascii="Cambria" w:hAnsi="Cambria"/>
          <w:sz w:val="22"/>
          <w:szCs w:val="22"/>
        </w:rPr>
        <w:t xml:space="preserve"> </w:t>
      </w:r>
      <w:r w:rsidRPr="00FF53F6">
        <w:rPr>
          <w:rFonts w:ascii="Cambria" w:hAnsi="Cambria"/>
          <w:i/>
          <w:sz w:val="22"/>
          <w:szCs w:val="22"/>
        </w:rPr>
        <w:t>Gender and Informal Institutions</w:t>
      </w:r>
      <w:r w:rsidR="00602F59">
        <w:rPr>
          <w:rFonts w:ascii="Cambria" w:hAnsi="Cambria"/>
          <w:sz w:val="22"/>
          <w:szCs w:val="22"/>
        </w:rPr>
        <w:t xml:space="preserve">. London: </w:t>
      </w:r>
      <w:proofErr w:type="spellStart"/>
      <w:r w:rsidR="00602F59">
        <w:rPr>
          <w:rFonts w:ascii="Cambria" w:hAnsi="Cambria"/>
          <w:sz w:val="22"/>
          <w:szCs w:val="22"/>
        </w:rPr>
        <w:t>Rowman</w:t>
      </w:r>
      <w:proofErr w:type="spellEnd"/>
      <w:r w:rsidR="00602F59">
        <w:rPr>
          <w:rFonts w:ascii="Cambria" w:hAnsi="Cambria"/>
          <w:sz w:val="22"/>
          <w:szCs w:val="22"/>
        </w:rPr>
        <w:t xml:space="preserve">, </w:t>
      </w:r>
      <w:r w:rsidRPr="00FF53F6">
        <w:rPr>
          <w:rFonts w:ascii="Cambria" w:hAnsi="Cambria"/>
          <w:sz w:val="22"/>
          <w:szCs w:val="22"/>
        </w:rPr>
        <w:t>Littlefield International</w:t>
      </w:r>
      <w:r w:rsidR="006268DE">
        <w:rPr>
          <w:rFonts w:ascii="Cambria" w:hAnsi="Cambria"/>
          <w:sz w:val="22"/>
          <w:szCs w:val="22"/>
        </w:rPr>
        <w:t>,</w:t>
      </w:r>
      <w:r w:rsidR="00602F59">
        <w:rPr>
          <w:rFonts w:ascii="Cambria" w:hAnsi="Cambria"/>
          <w:sz w:val="22"/>
          <w:szCs w:val="22"/>
        </w:rPr>
        <w:t xml:space="preserve"> </w:t>
      </w:r>
      <w:r w:rsidR="00FF53F6">
        <w:rPr>
          <w:rFonts w:ascii="Cambria" w:hAnsi="Cambria"/>
          <w:sz w:val="22"/>
          <w:szCs w:val="22"/>
        </w:rPr>
        <w:t xml:space="preserve">pp. </w:t>
      </w:r>
      <w:r w:rsidR="00A90D10">
        <w:rPr>
          <w:rFonts w:ascii="Cambria" w:hAnsi="Cambria"/>
          <w:sz w:val="22"/>
          <w:szCs w:val="22"/>
        </w:rPr>
        <w:t>23-44</w:t>
      </w:r>
      <w:r w:rsidR="00DA1AA6">
        <w:rPr>
          <w:rFonts w:ascii="Cambria" w:hAnsi="Cambria"/>
          <w:sz w:val="22"/>
          <w:szCs w:val="22"/>
        </w:rPr>
        <w:t>.</w:t>
      </w:r>
    </w:p>
    <w:p w14:paraId="3FB10FE7" w14:textId="77777777" w:rsidR="005A6C84" w:rsidRPr="003D66DD" w:rsidRDefault="005A6C84" w:rsidP="00494962">
      <w:pPr>
        <w:autoSpaceDE w:val="0"/>
        <w:autoSpaceDN w:val="0"/>
        <w:adjustRightInd w:val="0"/>
        <w:rPr>
          <w:rFonts w:ascii="Cambria" w:hAnsi="Cambria"/>
        </w:rPr>
      </w:pPr>
    </w:p>
    <w:p w14:paraId="1A824B8B" w14:textId="2D9FC912" w:rsidR="000F7F2A" w:rsidRPr="00A90D10" w:rsidRDefault="000F7F2A" w:rsidP="00494962">
      <w:pPr>
        <w:autoSpaceDE w:val="0"/>
        <w:autoSpaceDN w:val="0"/>
        <w:adjustRightInd w:val="0"/>
        <w:rPr>
          <w:rFonts w:ascii="Cambria" w:hAnsi="Cambria"/>
          <w:sz w:val="22"/>
          <w:szCs w:val="22"/>
        </w:rPr>
      </w:pPr>
      <w:r w:rsidRPr="00A90D10">
        <w:rPr>
          <w:rFonts w:ascii="Cambria" w:hAnsi="Cambria"/>
          <w:sz w:val="22"/>
          <w:szCs w:val="22"/>
        </w:rPr>
        <w:t>Chappell, L.</w:t>
      </w:r>
      <w:r w:rsidR="00A90D10">
        <w:rPr>
          <w:rFonts w:ascii="Cambria" w:hAnsi="Cambria"/>
          <w:sz w:val="22"/>
          <w:szCs w:val="22"/>
        </w:rPr>
        <w:t>,</w:t>
      </w:r>
      <w:r w:rsidRPr="00A90D10">
        <w:rPr>
          <w:rFonts w:ascii="Cambria" w:hAnsi="Cambria"/>
          <w:sz w:val="22"/>
          <w:szCs w:val="22"/>
        </w:rPr>
        <w:t xml:space="preserve"> a</w:t>
      </w:r>
      <w:r w:rsidR="00A90D10">
        <w:rPr>
          <w:rFonts w:ascii="Cambria" w:hAnsi="Cambria"/>
          <w:sz w:val="22"/>
          <w:szCs w:val="22"/>
        </w:rPr>
        <w:t xml:space="preserve">nd </w:t>
      </w:r>
      <w:proofErr w:type="spellStart"/>
      <w:r w:rsidR="00A90D10">
        <w:rPr>
          <w:rFonts w:ascii="Cambria" w:hAnsi="Cambria"/>
          <w:sz w:val="22"/>
          <w:szCs w:val="22"/>
        </w:rPr>
        <w:t>Waylen</w:t>
      </w:r>
      <w:proofErr w:type="spellEnd"/>
      <w:r w:rsidR="00A90D10">
        <w:rPr>
          <w:rFonts w:ascii="Cambria" w:hAnsi="Cambria"/>
          <w:sz w:val="22"/>
          <w:szCs w:val="22"/>
        </w:rPr>
        <w:t xml:space="preserve"> G., (2013)</w:t>
      </w:r>
      <w:r w:rsidR="00602F59">
        <w:rPr>
          <w:rFonts w:ascii="Cambria" w:hAnsi="Cambria"/>
          <w:sz w:val="22"/>
          <w:szCs w:val="22"/>
        </w:rPr>
        <w:t>.</w:t>
      </w:r>
      <w:r w:rsidR="00A90D10">
        <w:rPr>
          <w:rFonts w:ascii="Cambria" w:hAnsi="Cambria"/>
          <w:sz w:val="22"/>
          <w:szCs w:val="22"/>
        </w:rPr>
        <w:t xml:space="preserve"> ‘</w:t>
      </w:r>
      <w:r w:rsidRPr="00A90D10">
        <w:rPr>
          <w:rFonts w:ascii="Cambria" w:hAnsi="Cambria"/>
          <w:sz w:val="22"/>
          <w:szCs w:val="22"/>
        </w:rPr>
        <w:t>Gender and th</w:t>
      </w:r>
      <w:r w:rsidR="00602F59">
        <w:rPr>
          <w:rFonts w:ascii="Cambria" w:hAnsi="Cambria"/>
          <w:sz w:val="22"/>
          <w:szCs w:val="22"/>
        </w:rPr>
        <w:t>e Hidden Life of Institutions</w:t>
      </w:r>
      <w:r w:rsidR="00DA1AA6">
        <w:rPr>
          <w:rFonts w:ascii="Cambria" w:hAnsi="Cambria"/>
          <w:sz w:val="22"/>
          <w:szCs w:val="22"/>
        </w:rPr>
        <w:t>’</w:t>
      </w:r>
      <w:r w:rsidR="00602F59">
        <w:rPr>
          <w:rFonts w:ascii="Cambria" w:hAnsi="Cambria"/>
          <w:sz w:val="22"/>
          <w:szCs w:val="22"/>
        </w:rPr>
        <w:t xml:space="preserve">. </w:t>
      </w:r>
      <w:r w:rsidRPr="00A90D10">
        <w:rPr>
          <w:rFonts w:ascii="Cambria" w:hAnsi="Cambria"/>
          <w:i/>
          <w:sz w:val="22"/>
          <w:szCs w:val="22"/>
        </w:rPr>
        <w:t>Public Administ</w:t>
      </w:r>
      <w:r w:rsidR="00407101">
        <w:rPr>
          <w:rFonts w:ascii="Cambria" w:hAnsi="Cambria"/>
          <w:i/>
          <w:sz w:val="22"/>
          <w:szCs w:val="22"/>
        </w:rPr>
        <w:t xml:space="preserve">ration </w:t>
      </w:r>
      <w:r w:rsidR="00A90D10">
        <w:rPr>
          <w:rFonts w:ascii="Cambria" w:hAnsi="Cambria"/>
          <w:sz w:val="22"/>
          <w:szCs w:val="22"/>
        </w:rPr>
        <w:t>91</w:t>
      </w:r>
      <w:r w:rsidR="00407101">
        <w:rPr>
          <w:rFonts w:ascii="Cambria" w:hAnsi="Cambria"/>
          <w:sz w:val="22"/>
          <w:szCs w:val="22"/>
        </w:rPr>
        <w:t>(3):</w:t>
      </w:r>
      <w:r w:rsidR="00A90D10">
        <w:rPr>
          <w:rFonts w:ascii="Cambria" w:hAnsi="Cambria"/>
          <w:sz w:val="22"/>
          <w:szCs w:val="22"/>
        </w:rPr>
        <w:t xml:space="preserve"> </w:t>
      </w:r>
      <w:r w:rsidRPr="00A90D10">
        <w:rPr>
          <w:rFonts w:ascii="Cambria" w:hAnsi="Cambria"/>
          <w:sz w:val="22"/>
          <w:szCs w:val="22"/>
        </w:rPr>
        <w:t>599-615</w:t>
      </w:r>
      <w:r w:rsidR="00DA1AA6">
        <w:rPr>
          <w:rFonts w:ascii="Cambria" w:hAnsi="Cambria"/>
          <w:sz w:val="22"/>
          <w:szCs w:val="22"/>
        </w:rPr>
        <w:t>.</w:t>
      </w:r>
    </w:p>
    <w:p w14:paraId="1398DD87" w14:textId="77777777" w:rsidR="000F7F2A" w:rsidRPr="00A90D10" w:rsidRDefault="000F7F2A" w:rsidP="00494962">
      <w:pPr>
        <w:autoSpaceDE w:val="0"/>
        <w:autoSpaceDN w:val="0"/>
        <w:adjustRightInd w:val="0"/>
        <w:rPr>
          <w:rFonts w:ascii="Cambria" w:hAnsi="Cambria"/>
          <w:color w:val="FF0000"/>
          <w:sz w:val="22"/>
          <w:szCs w:val="22"/>
        </w:rPr>
      </w:pPr>
    </w:p>
    <w:p w14:paraId="4641C22F" w14:textId="34393746" w:rsidR="007B13F4" w:rsidRDefault="000F7F2A" w:rsidP="00494962">
      <w:pPr>
        <w:pStyle w:val="Default"/>
        <w:rPr>
          <w:rFonts w:ascii="Cambria" w:hAnsi="Cambria"/>
          <w:sz w:val="22"/>
          <w:szCs w:val="22"/>
        </w:rPr>
      </w:pPr>
      <w:proofErr w:type="spellStart"/>
      <w:r w:rsidRPr="00A90D10">
        <w:rPr>
          <w:rFonts w:ascii="Cambria" w:hAnsi="Cambria"/>
          <w:sz w:val="22"/>
          <w:szCs w:val="22"/>
        </w:rPr>
        <w:t>Chinkin</w:t>
      </w:r>
      <w:proofErr w:type="spellEnd"/>
      <w:r w:rsidRPr="00A90D10">
        <w:rPr>
          <w:rFonts w:ascii="Cambria" w:hAnsi="Cambria"/>
          <w:sz w:val="22"/>
          <w:szCs w:val="22"/>
        </w:rPr>
        <w:t>, C</w:t>
      </w:r>
      <w:r w:rsidR="00A90D10">
        <w:rPr>
          <w:rFonts w:ascii="Cambria" w:hAnsi="Cambria"/>
          <w:sz w:val="22"/>
          <w:szCs w:val="22"/>
        </w:rPr>
        <w:t xml:space="preserve">., </w:t>
      </w:r>
      <w:r w:rsidR="000A714D" w:rsidRPr="00A90D10">
        <w:rPr>
          <w:rFonts w:ascii="Cambria" w:hAnsi="Cambria"/>
          <w:sz w:val="22"/>
          <w:szCs w:val="22"/>
        </w:rPr>
        <w:t>(2003)</w:t>
      </w:r>
      <w:r w:rsidR="00A90D10">
        <w:rPr>
          <w:rFonts w:ascii="Cambria" w:hAnsi="Cambria"/>
          <w:sz w:val="22"/>
          <w:szCs w:val="22"/>
        </w:rPr>
        <w:t>.</w:t>
      </w:r>
      <w:r w:rsidRPr="00A90D10">
        <w:rPr>
          <w:rFonts w:ascii="Cambria" w:hAnsi="Cambria"/>
          <w:sz w:val="22"/>
          <w:szCs w:val="22"/>
        </w:rPr>
        <w:t xml:space="preserve"> </w:t>
      </w:r>
      <w:r w:rsidR="0086295E">
        <w:rPr>
          <w:rFonts w:ascii="Cambria" w:hAnsi="Cambria"/>
          <w:sz w:val="22"/>
          <w:szCs w:val="22"/>
        </w:rPr>
        <w:t>‘</w:t>
      </w:r>
      <w:r w:rsidRPr="0086295E">
        <w:rPr>
          <w:rFonts w:ascii="Cambria" w:hAnsi="Cambria"/>
          <w:sz w:val="22"/>
          <w:szCs w:val="22"/>
        </w:rPr>
        <w:t>Peace Agreements as A Means for Promoting Gender Equality and Ensuring Participation of Women</w:t>
      </w:r>
      <w:r w:rsidR="0086295E">
        <w:rPr>
          <w:rFonts w:ascii="Cambria" w:hAnsi="Cambria"/>
          <w:sz w:val="22"/>
          <w:szCs w:val="22"/>
        </w:rPr>
        <w:t>’</w:t>
      </w:r>
      <w:r w:rsidR="00A90D10">
        <w:rPr>
          <w:rFonts w:ascii="Cambria" w:hAnsi="Cambria"/>
          <w:sz w:val="22"/>
          <w:szCs w:val="22"/>
        </w:rPr>
        <w:t xml:space="preserve">. </w:t>
      </w:r>
      <w:r w:rsidRPr="00A90D10">
        <w:rPr>
          <w:rFonts w:ascii="Cambria" w:hAnsi="Cambria"/>
          <w:sz w:val="22"/>
          <w:szCs w:val="22"/>
        </w:rPr>
        <w:t>UN Division for the Advancement of Women</w:t>
      </w:r>
      <w:r w:rsidR="00602F59">
        <w:rPr>
          <w:rFonts w:ascii="Cambria" w:hAnsi="Cambria"/>
          <w:sz w:val="22"/>
          <w:szCs w:val="22"/>
        </w:rPr>
        <w:t xml:space="preserve">. </w:t>
      </w:r>
      <w:r w:rsidR="00A90D10">
        <w:rPr>
          <w:rFonts w:ascii="Cambria" w:hAnsi="Cambria"/>
          <w:sz w:val="22"/>
          <w:szCs w:val="22"/>
        </w:rPr>
        <w:t>A</w:t>
      </w:r>
      <w:r w:rsidRPr="00A90D10">
        <w:rPr>
          <w:rFonts w:ascii="Cambria" w:hAnsi="Cambria"/>
          <w:sz w:val="22"/>
          <w:szCs w:val="22"/>
        </w:rPr>
        <w:t>vailable</w:t>
      </w:r>
      <w:r w:rsidR="00602F59">
        <w:rPr>
          <w:rFonts w:ascii="Cambria" w:hAnsi="Cambria"/>
          <w:sz w:val="22"/>
          <w:szCs w:val="22"/>
        </w:rPr>
        <w:t xml:space="preserve"> </w:t>
      </w:r>
      <w:r w:rsidRPr="00A90D10">
        <w:rPr>
          <w:rFonts w:ascii="Cambria" w:hAnsi="Cambria"/>
          <w:sz w:val="22"/>
          <w:szCs w:val="22"/>
        </w:rPr>
        <w:t>at</w:t>
      </w:r>
      <w:r w:rsidR="00602F59">
        <w:rPr>
          <w:rFonts w:ascii="Cambria" w:hAnsi="Cambria"/>
          <w:sz w:val="22"/>
          <w:szCs w:val="22"/>
        </w:rPr>
        <w:t xml:space="preserve">: </w:t>
      </w:r>
      <w:hyperlink r:id="rId9" w:history="1">
        <w:r w:rsidR="00A90D10" w:rsidRPr="00CD2D0C">
          <w:rPr>
            <w:rStyle w:val="Hyperlink"/>
            <w:rFonts w:ascii="Cambria" w:hAnsi="Cambria"/>
            <w:sz w:val="22"/>
            <w:szCs w:val="22"/>
          </w:rPr>
          <w:t>http://www.un.org/womenwatch/daw/egm/peace2003/reports/BPChinkin.PDF</w:t>
        </w:r>
      </w:hyperlink>
      <w:r w:rsidR="00A90D10">
        <w:rPr>
          <w:rFonts w:ascii="Cambria" w:hAnsi="Cambria"/>
          <w:sz w:val="22"/>
          <w:szCs w:val="22"/>
        </w:rPr>
        <w:t xml:space="preserve"> [Accessed </w:t>
      </w:r>
      <w:r w:rsidR="006268DE">
        <w:rPr>
          <w:rFonts w:ascii="Cambria" w:hAnsi="Cambria"/>
          <w:sz w:val="22"/>
          <w:szCs w:val="22"/>
        </w:rPr>
        <w:t xml:space="preserve">8 </w:t>
      </w:r>
      <w:r w:rsidR="00A90D10">
        <w:rPr>
          <w:rFonts w:ascii="Cambria" w:hAnsi="Cambria"/>
          <w:sz w:val="22"/>
          <w:szCs w:val="22"/>
        </w:rPr>
        <w:t>Dec</w:t>
      </w:r>
      <w:r w:rsidR="006268DE">
        <w:rPr>
          <w:rFonts w:ascii="Cambria" w:hAnsi="Cambria"/>
          <w:sz w:val="22"/>
          <w:szCs w:val="22"/>
        </w:rPr>
        <w:t>ember</w:t>
      </w:r>
      <w:r w:rsidR="00A90D10">
        <w:rPr>
          <w:rFonts w:ascii="Cambria" w:hAnsi="Cambria"/>
          <w:sz w:val="22"/>
          <w:szCs w:val="22"/>
        </w:rPr>
        <w:t xml:space="preserve"> 2018]</w:t>
      </w:r>
      <w:r w:rsidR="00DA1AA6">
        <w:rPr>
          <w:rFonts w:ascii="Cambria" w:hAnsi="Cambria"/>
          <w:sz w:val="22"/>
          <w:szCs w:val="22"/>
        </w:rPr>
        <w:t>.</w:t>
      </w:r>
      <w:r w:rsidR="00A90D10">
        <w:rPr>
          <w:rFonts w:ascii="Cambria" w:hAnsi="Cambria"/>
          <w:sz w:val="22"/>
          <w:szCs w:val="22"/>
        </w:rPr>
        <w:t xml:space="preserve"> </w:t>
      </w:r>
    </w:p>
    <w:p w14:paraId="52CB3EF9" w14:textId="77777777" w:rsidR="0030087A" w:rsidRDefault="0030087A" w:rsidP="00494962">
      <w:pPr>
        <w:pStyle w:val="Default"/>
        <w:rPr>
          <w:rFonts w:ascii="Cambria" w:hAnsi="Cambria"/>
          <w:sz w:val="22"/>
          <w:szCs w:val="22"/>
        </w:rPr>
      </w:pPr>
    </w:p>
    <w:p w14:paraId="5A3BA608" w14:textId="1CF71E44" w:rsidR="0030087A" w:rsidRPr="00D93096" w:rsidRDefault="0030087A" w:rsidP="00494962">
      <w:pPr>
        <w:pStyle w:val="Default"/>
        <w:rPr>
          <w:rFonts w:ascii="Cambria" w:hAnsi="Cambria"/>
          <w:color w:val="000000" w:themeColor="text1"/>
          <w:sz w:val="22"/>
          <w:szCs w:val="22"/>
        </w:rPr>
      </w:pPr>
      <w:r w:rsidRPr="00D93096">
        <w:rPr>
          <w:rFonts w:ascii="Cambria" w:hAnsi="Cambria"/>
          <w:color w:val="000000" w:themeColor="text1"/>
          <w:sz w:val="22"/>
          <w:szCs w:val="22"/>
        </w:rPr>
        <w:t>Cockburn</w:t>
      </w:r>
      <w:r w:rsidR="00A81CE4" w:rsidRPr="00D93096">
        <w:rPr>
          <w:rFonts w:ascii="Cambria" w:hAnsi="Cambria"/>
          <w:color w:val="000000" w:themeColor="text1"/>
          <w:sz w:val="22"/>
          <w:szCs w:val="22"/>
        </w:rPr>
        <w:t>, C.,</w:t>
      </w:r>
      <w:r w:rsidRPr="00D93096">
        <w:rPr>
          <w:rFonts w:ascii="Cambria" w:hAnsi="Cambria"/>
          <w:color w:val="000000" w:themeColor="text1"/>
          <w:sz w:val="22"/>
          <w:szCs w:val="22"/>
        </w:rPr>
        <w:t xml:space="preserve"> </w:t>
      </w:r>
      <w:r w:rsidR="00A81CE4" w:rsidRPr="00D93096">
        <w:rPr>
          <w:rFonts w:ascii="Cambria" w:hAnsi="Cambria"/>
          <w:color w:val="000000" w:themeColor="text1"/>
          <w:sz w:val="22"/>
          <w:szCs w:val="22"/>
        </w:rPr>
        <w:t>(</w:t>
      </w:r>
      <w:r w:rsidRPr="00D93096">
        <w:rPr>
          <w:rFonts w:ascii="Cambria" w:hAnsi="Cambria"/>
          <w:color w:val="000000" w:themeColor="text1"/>
          <w:sz w:val="22"/>
          <w:szCs w:val="22"/>
        </w:rPr>
        <w:t>1998</w:t>
      </w:r>
      <w:r w:rsidR="00A81CE4" w:rsidRPr="00D93096">
        <w:rPr>
          <w:rFonts w:ascii="Cambria" w:hAnsi="Cambria"/>
          <w:color w:val="000000" w:themeColor="text1"/>
          <w:sz w:val="22"/>
          <w:szCs w:val="22"/>
        </w:rPr>
        <w:t xml:space="preserve">). </w:t>
      </w:r>
      <w:r w:rsidR="00A81CE4" w:rsidRPr="00D93096">
        <w:rPr>
          <w:rFonts w:ascii="Cambria" w:hAnsi="Cambria"/>
          <w:i/>
          <w:color w:val="000000" w:themeColor="text1"/>
          <w:sz w:val="22"/>
          <w:szCs w:val="22"/>
        </w:rPr>
        <w:t>The Space Between Us:</w:t>
      </w:r>
      <w:r w:rsidR="00A81CE4" w:rsidRPr="00D93096">
        <w:rPr>
          <w:rFonts w:ascii="Cambria" w:hAnsi="Cambria"/>
          <w:color w:val="000000" w:themeColor="text1"/>
          <w:sz w:val="22"/>
          <w:szCs w:val="22"/>
        </w:rPr>
        <w:t xml:space="preserve"> </w:t>
      </w:r>
      <w:r w:rsidR="00A81CE4" w:rsidRPr="00D93096">
        <w:rPr>
          <w:rFonts w:ascii="Cambria" w:hAnsi="Cambria"/>
          <w:i/>
          <w:color w:val="000000" w:themeColor="text1"/>
          <w:sz w:val="22"/>
          <w:szCs w:val="22"/>
        </w:rPr>
        <w:t>Negotiating Gender and National Identities in Conflict</w:t>
      </w:r>
      <w:r w:rsidR="00A81CE4" w:rsidRPr="00D93096">
        <w:rPr>
          <w:rFonts w:ascii="Cambria" w:hAnsi="Cambria"/>
          <w:color w:val="000000" w:themeColor="text1"/>
          <w:sz w:val="22"/>
          <w:szCs w:val="22"/>
        </w:rPr>
        <w:t xml:space="preserve">. </w:t>
      </w:r>
      <w:r w:rsidR="00D93096" w:rsidRPr="00D93096">
        <w:rPr>
          <w:rFonts w:ascii="Cambria" w:hAnsi="Cambria"/>
          <w:color w:val="000000" w:themeColor="text1"/>
          <w:sz w:val="22"/>
          <w:szCs w:val="22"/>
        </w:rPr>
        <w:t xml:space="preserve">London: </w:t>
      </w:r>
      <w:r w:rsidR="00A81CE4" w:rsidRPr="00D93096">
        <w:rPr>
          <w:rFonts w:ascii="Cambria" w:hAnsi="Cambria"/>
          <w:color w:val="000000" w:themeColor="text1"/>
          <w:sz w:val="22"/>
          <w:szCs w:val="22"/>
        </w:rPr>
        <w:t>Zed Books</w:t>
      </w:r>
      <w:r w:rsidR="00DA1AA6">
        <w:rPr>
          <w:rFonts w:ascii="Cambria" w:hAnsi="Cambria"/>
          <w:color w:val="000000" w:themeColor="text1"/>
          <w:sz w:val="22"/>
          <w:szCs w:val="22"/>
        </w:rPr>
        <w:t>.</w:t>
      </w:r>
    </w:p>
    <w:p w14:paraId="714DDEA5" w14:textId="77777777" w:rsidR="00A90D10" w:rsidRPr="00A90D10" w:rsidRDefault="00A90D10" w:rsidP="00494962">
      <w:pPr>
        <w:pStyle w:val="Default"/>
        <w:rPr>
          <w:rFonts w:ascii="Cambria" w:hAnsi="Cambria"/>
          <w:sz w:val="22"/>
          <w:szCs w:val="22"/>
        </w:rPr>
      </w:pPr>
    </w:p>
    <w:p w14:paraId="19498107" w14:textId="4F50EA9F" w:rsidR="00775D81" w:rsidRDefault="007B13F4" w:rsidP="00494962">
      <w:pPr>
        <w:autoSpaceDE w:val="0"/>
        <w:autoSpaceDN w:val="0"/>
        <w:adjustRightInd w:val="0"/>
        <w:rPr>
          <w:rFonts w:ascii="Cambria" w:eastAsia="Times New Roman" w:hAnsi="Cambria"/>
          <w:sz w:val="22"/>
          <w:szCs w:val="22"/>
          <w:lang w:val="en-US"/>
        </w:rPr>
      </w:pPr>
      <w:r w:rsidRPr="00A90D10">
        <w:rPr>
          <w:rFonts w:ascii="Cambria" w:eastAsia="Times New Roman" w:hAnsi="Cambria"/>
          <w:sz w:val="22"/>
          <w:szCs w:val="22"/>
          <w:lang w:val="en-US"/>
        </w:rPr>
        <w:t>Committee on the Elimination of Discrimination Against Women</w:t>
      </w:r>
      <w:r w:rsidR="00211B7A">
        <w:rPr>
          <w:rFonts w:ascii="Cambria" w:eastAsia="Times New Roman" w:hAnsi="Cambria"/>
          <w:sz w:val="22"/>
          <w:szCs w:val="22"/>
          <w:lang w:val="en-US"/>
        </w:rPr>
        <w:t xml:space="preserve"> (CEDAW)</w:t>
      </w:r>
      <w:r w:rsidR="00A90D10">
        <w:rPr>
          <w:rFonts w:ascii="Cambria" w:eastAsia="Times New Roman" w:hAnsi="Cambria"/>
          <w:sz w:val="22"/>
          <w:szCs w:val="22"/>
          <w:lang w:val="en-US"/>
        </w:rPr>
        <w:t>,</w:t>
      </w:r>
      <w:r w:rsidRPr="00A90D10">
        <w:rPr>
          <w:rFonts w:ascii="Cambria" w:eastAsia="Times New Roman" w:hAnsi="Cambria"/>
          <w:sz w:val="22"/>
          <w:szCs w:val="22"/>
          <w:lang w:val="en-US"/>
        </w:rPr>
        <w:t xml:space="preserve"> (</w:t>
      </w:r>
      <w:r w:rsidR="002F565E" w:rsidRPr="00A90D10">
        <w:rPr>
          <w:rFonts w:ascii="Cambria" w:eastAsia="Times New Roman" w:hAnsi="Cambria"/>
          <w:sz w:val="22"/>
          <w:szCs w:val="22"/>
          <w:lang w:val="en-US"/>
        </w:rPr>
        <w:t>2016</w:t>
      </w:r>
      <w:r w:rsidRPr="00A90D10">
        <w:rPr>
          <w:rFonts w:ascii="Cambria" w:eastAsia="Times New Roman" w:hAnsi="Cambria"/>
          <w:sz w:val="22"/>
          <w:szCs w:val="22"/>
          <w:lang w:val="en-US"/>
        </w:rPr>
        <w:t>)</w:t>
      </w:r>
      <w:r w:rsidR="00A90D10">
        <w:rPr>
          <w:rFonts w:ascii="Cambria" w:eastAsia="Times New Roman" w:hAnsi="Cambria"/>
          <w:sz w:val="22"/>
          <w:szCs w:val="22"/>
          <w:lang w:val="en-US"/>
        </w:rPr>
        <w:t>.</w:t>
      </w:r>
      <w:r w:rsidRPr="00A90D10">
        <w:rPr>
          <w:rFonts w:ascii="Cambria" w:eastAsia="Times New Roman" w:hAnsi="Cambria"/>
          <w:sz w:val="22"/>
          <w:szCs w:val="22"/>
          <w:lang w:val="en-US"/>
        </w:rPr>
        <w:t xml:space="preserve"> </w:t>
      </w:r>
      <w:r w:rsidRPr="00A90D10">
        <w:rPr>
          <w:rFonts w:ascii="Cambria" w:eastAsia="Times New Roman" w:hAnsi="Cambria"/>
          <w:i/>
          <w:sz w:val="22"/>
          <w:szCs w:val="22"/>
          <w:lang w:val="en-US"/>
        </w:rPr>
        <w:t xml:space="preserve">Concluding Observations on </w:t>
      </w:r>
      <w:r w:rsidR="002F565E" w:rsidRPr="00A90D10">
        <w:rPr>
          <w:rFonts w:ascii="Cambria" w:eastAsia="Times New Roman" w:hAnsi="Cambria"/>
          <w:i/>
          <w:sz w:val="22"/>
          <w:szCs w:val="22"/>
          <w:lang w:val="en-US"/>
        </w:rPr>
        <w:t>the Combined Fifth and Sixth</w:t>
      </w:r>
      <w:r w:rsidRPr="00A90D10">
        <w:rPr>
          <w:rFonts w:ascii="Cambria" w:eastAsia="Times New Roman" w:hAnsi="Cambria"/>
          <w:i/>
          <w:sz w:val="22"/>
          <w:szCs w:val="22"/>
          <w:lang w:val="en-US"/>
        </w:rPr>
        <w:t xml:space="preserve"> Periodic Reports of Burundi</w:t>
      </w:r>
      <w:r w:rsidRPr="00A90D10">
        <w:rPr>
          <w:rFonts w:ascii="Cambria" w:eastAsia="Times New Roman" w:hAnsi="Cambria"/>
          <w:sz w:val="22"/>
          <w:szCs w:val="22"/>
          <w:lang w:val="en-US"/>
        </w:rPr>
        <w:t xml:space="preserve">. </w:t>
      </w:r>
      <w:r w:rsidR="002F565E" w:rsidRPr="00A90D10">
        <w:rPr>
          <w:rFonts w:ascii="Cambria" w:eastAsia="Times New Roman" w:hAnsi="Cambria"/>
          <w:sz w:val="22"/>
          <w:szCs w:val="22"/>
          <w:lang w:val="en-US"/>
        </w:rPr>
        <w:t>CEDAW/C/BDI/5-6</w:t>
      </w:r>
      <w:r w:rsidR="00DA1AA6">
        <w:rPr>
          <w:rFonts w:ascii="Cambria" w:eastAsia="Times New Roman" w:hAnsi="Cambria"/>
          <w:sz w:val="22"/>
          <w:szCs w:val="22"/>
          <w:lang w:val="en-US"/>
        </w:rPr>
        <w:t>.</w:t>
      </w:r>
    </w:p>
    <w:p w14:paraId="1DB5DEBF" w14:textId="77777777" w:rsidR="00775D81" w:rsidRDefault="00775D81" w:rsidP="00494962">
      <w:pPr>
        <w:autoSpaceDE w:val="0"/>
        <w:autoSpaceDN w:val="0"/>
        <w:adjustRightInd w:val="0"/>
        <w:rPr>
          <w:rFonts w:ascii="Cambria" w:eastAsia="Times New Roman" w:hAnsi="Cambria"/>
          <w:sz w:val="22"/>
          <w:szCs w:val="22"/>
          <w:lang w:val="en-US"/>
        </w:rPr>
      </w:pPr>
    </w:p>
    <w:p w14:paraId="528AAC26" w14:textId="2FD19CF7" w:rsidR="002F565E" w:rsidRPr="00A90D10" w:rsidRDefault="002F565E" w:rsidP="00494962">
      <w:pPr>
        <w:autoSpaceDE w:val="0"/>
        <w:autoSpaceDN w:val="0"/>
        <w:adjustRightInd w:val="0"/>
        <w:rPr>
          <w:rFonts w:ascii="Cambria" w:eastAsia="Times New Roman" w:hAnsi="Cambria"/>
          <w:sz w:val="22"/>
          <w:szCs w:val="22"/>
          <w:lang w:val="en-US"/>
        </w:rPr>
      </w:pPr>
      <w:r w:rsidRPr="00A90D10">
        <w:rPr>
          <w:rFonts w:ascii="Cambria" w:eastAsia="Times New Roman" w:hAnsi="Cambria"/>
          <w:sz w:val="22"/>
          <w:szCs w:val="22"/>
          <w:lang w:val="en-US"/>
        </w:rPr>
        <w:t>Committee on the Elimination of Discrimination Against Women</w:t>
      </w:r>
      <w:r w:rsidR="00211B7A">
        <w:rPr>
          <w:rFonts w:ascii="Cambria" w:eastAsia="Times New Roman" w:hAnsi="Cambria"/>
          <w:sz w:val="22"/>
          <w:szCs w:val="22"/>
          <w:lang w:val="en-US"/>
        </w:rPr>
        <w:t xml:space="preserve"> (CEDAW)</w:t>
      </w:r>
      <w:r w:rsidR="00602F59">
        <w:rPr>
          <w:rFonts w:ascii="Cambria" w:eastAsia="Times New Roman" w:hAnsi="Cambria"/>
          <w:sz w:val="22"/>
          <w:szCs w:val="22"/>
          <w:lang w:val="en-US"/>
        </w:rPr>
        <w:t>,</w:t>
      </w:r>
      <w:r w:rsidRPr="00A90D10">
        <w:rPr>
          <w:rFonts w:ascii="Cambria" w:eastAsia="Times New Roman" w:hAnsi="Cambria"/>
          <w:sz w:val="22"/>
          <w:szCs w:val="22"/>
          <w:lang w:val="en-US"/>
        </w:rPr>
        <w:t xml:space="preserve"> (2013</w:t>
      </w:r>
      <w:r w:rsidR="000A714D" w:rsidRPr="00A90D10">
        <w:rPr>
          <w:rFonts w:ascii="Cambria" w:eastAsia="Times New Roman" w:hAnsi="Cambria"/>
          <w:sz w:val="22"/>
          <w:szCs w:val="22"/>
          <w:lang w:val="en-US"/>
        </w:rPr>
        <w:t>a</w:t>
      </w:r>
      <w:r w:rsidRPr="00A90D10">
        <w:rPr>
          <w:rFonts w:ascii="Cambria" w:eastAsia="Times New Roman" w:hAnsi="Cambria"/>
          <w:sz w:val="22"/>
          <w:szCs w:val="22"/>
          <w:lang w:val="en-US"/>
        </w:rPr>
        <w:t>)</w:t>
      </w:r>
      <w:r w:rsidR="00602F59">
        <w:rPr>
          <w:rFonts w:ascii="Cambria" w:eastAsia="Times New Roman" w:hAnsi="Cambria"/>
          <w:sz w:val="22"/>
          <w:szCs w:val="22"/>
          <w:lang w:val="en-US"/>
        </w:rPr>
        <w:t>.</w:t>
      </w:r>
      <w:r w:rsidRPr="00A90D10">
        <w:rPr>
          <w:rFonts w:ascii="Cambria" w:eastAsia="Times New Roman" w:hAnsi="Cambria"/>
          <w:sz w:val="22"/>
          <w:szCs w:val="22"/>
          <w:lang w:val="en-US"/>
        </w:rPr>
        <w:t xml:space="preserve"> </w:t>
      </w:r>
      <w:r w:rsidRPr="00A90D10">
        <w:rPr>
          <w:rFonts w:ascii="Cambria" w:eastAsia="Times New Roman" w:hAnsi="Cambria"/>
          <w:i/>
          <w:sz w:val="22"/>
          <w:szCs w:val="22"/>
          <w:lang w:val="en-US"/>
        </w:rPr>
        <w:t xml:space="preserve">Concluding Observations on the Combined Fourth and Fifth Periodic of Bosnia and </w:t>
      </w:r>
      <w:proofErr w:type="spellStart"/>
      <w:r w:rsidRPr="00A90D10">
        <w:rPr>
          <w:rFonts w:ascii="Cambria" w:eastAsia="Times New Roman" w:hAnsi="Cambria"/>
          <w:i/>
          <w:sz w:val="22"/>
          <w:szCs w:val="22"/>
          <w:lang w:val="en-US"/>
        </w:rPr>
        <w:t>Hertzegovina</w:t>
      </w:r>
      <w:proofErr w:type="spellEnd"/>
      <w:r w:rsidR="00602F59">
        <w:rPr>
          <w:rFonts w:ascii="Cambria" w:eastAsia="Times New Roman" w:hAnsi="Cambria"/>
          <w:sz w:val="22"/>
          <w:szCs w:val="22"/>
          <w:lang w:val="en-US"/>
        </w:rPr>
        <w:t xml:space="preserve">. </w:t>
      </w:r>
      <w:r w:rsidRPr="00A90D10">
        <w:rPr>
          <w:rFonts w:ascii="Cambria" w:eastAsia="Times New Roman" w:hAnsi="Cambria"/>
          <w:sz w:val="22"/>
          <w:szCs w:val="22"/>
          <w:lang w:val="en-US"/>
        </w:rPr>
        <w:t>CEDAW</w:t>
      </w:r>
      <w:r w:rsidR="00602F59">
        <w:rPr>
          <w:rFonts w:ascii="Cambria" w:eastAsia="Times New Roman" w:hAnsi="Cambria"/>
          <w:sz w:val="22"/>
          <w:szCs w:val="22"/>
          <w:lang w:val="en-US"/>
        </w:rPr>
        <w:t>/C/</w:t>
      </w:r>
      <w:r w:rsidRPr="00A90D10">
        <w:rPr>
          <w:rFonts w:ascii="Cambria" w:eastAsia="Times New Roman" w:hAnsi="Cambria"/>
          <w:sz w:val="22"/>
          <w:szCs w:val="22"/>
          <w:lang w:val="en-US"/>
        </w:rPr>
        <w:t>BIH/CO</w:t>
      </w:r>
      <w:r w:rsidR="00602F59">
        <w:rPr>
          <w:rFonts w:ascii="Cambria" w:eastAsia="Times New Roman" w:hAnsi="Cambria"/>
          <w:sz w:val="22"/>
          <w:szCs w:val="22"/>
          <w:lang w:val="en-US"/>
        </w:rPr>
        <w:t>/ 4-5</w:t>
      </w:r>
      <w:r w:rsidR="00DA1AA6">
        <w:rPr>
          <w:rFonts w:ascii="Cambria" w:eastAsia="Times New Roman" w:hAnsi="Cambria"/>
          <w:sz w:val="22"/>
          <w:szCs w:val="22"/>
          <w:lang w:val="en-US"/>
        </w:rPr>
        <w:t>.</w:t>
      </w:r>
      <w:r w:rsidR="00602F59">
        <w:rPr>
          <w:rFonts w:ascii="Cambria" w:eastAsia="Times New Roman" w:hAnsi="Cambria"/>
          <w:sz w:val="22"/>
          <w:szCs w:val="22"/>
          <w:lang w:val="en-US"/>
        </w:rPr>
        <w:t xml:space="preserve"> </w:t>
      </w:r>
    </w:p>
    <w:p w14:paraId="1F90F380" w14:textId="77777777" w:rsidR="000F7F2A" w:rsidRPr="00A90D10" w:rsidRDefault="000F7F2A" w:rsidP="00494962">
      <w:pPr>
        <w:autoSpaceDE w:val="0"/>
        <w:autoSpaceDN w:val="0"/>
        <w:adjustRightInd w:val="0"/>
        <w:rPr>
          <w:rFonts w:ascii="Cambria" w:hAnsi="Cambria"/>
          <w:sz w:val="22"/>
          <w:szCs w:val="22"/>
        </w:rPr>
      </w:pPr>
    </w:p>
    <w:p w14:paraId="5ADA94A2" w14:textId="04F25BA7" w:rsidR="007B13F4" w:rsidRPr="00602F59" w:rsidRDefault="007B13F4" w:rsidP="00494962">
      <w:pPr>
        <w:autoSpaceDE w:val="0"/>
        <w:autoSpaceDN w:val="0"/>
        <w:adjustRightInd w:val="0"/>
        <w:rPr>
          <w:rFonts w:ascii="Cambria" w:eastAsia="Times New Roman" w:hAnsi="Cambria"/>
          <w:sz w:val="22"/>
          <w:szCs w:val="22"/>
          <w:lang w:val="en-US"/>
        </w:rPr>
      </w:pPr>
      <w:r w:rsidRPr="00602F59">
        <w:rPr>
          <w:rFonts w:ascii="Cambria" w:eastAsia="Times New Roman" w:hAnsi="Cambria"/>
          <w:sz w:val="22"/>
          <w:szCs w:val="22"/>
          <w:lang w:val="en-US"/>
        </w:rPr>
        <w:t>Committee on the Elimination of Discrimination Against Women</w:t>
      </w:r>
      <w:r w:rsidR="006265B6">
        <w:rPr>
          <w:rFonts w:ascii="Cambria" w:eastAsia="Times New Roman" w:hAnsi="Cambria"/>
          <w:sz w:val="22"/>
          <w:szCs w:val="22"/>
          <w:lang w:val="en-US"/>
        </w:rPr>
        <w:t>(CEDAW)</w:t>
      </w:r>
      <w:r w:rsidR="00211B7A">
        <w:rPr>
          <w:rFonts w:ascii="Cambria" w:eastAsia="Times New Roman" w:hAnsi="Cambria"/>
          <w:sz w:val="22"/>
          <w:szCs w:val="22"/>
          <w:lang w:val="en-US"/>
        </w:rPr>
        <w:t>,</w:t>
      </w:r>
      <w:r w:rsidRPr="00602F59">
        <w:rPr>
          <w:rFonts w:ascii="Cambria" w:eastAsia="Times New Roman" w:hAnsi="Cambria"/>
          <w:sz w:val="22"/>
          <w:szCs w:val="22"/>
          <w:lang w:val="en-US"/>
        </w:rPr>
        <w:t xml:space="preserve"> </w:t>
      </w:r>
      <w:r w:rsidR="00396195" w:rsidRPr="00602F59">
        <w:rPr>
          <w:rFonts w:ascii="Cambria" w:eastAsia="Times New Roman" w:hAnsi="Cambria"/>
          <w:sz w:val="22"/>
          <w:szCs w:val="22"/>
          <w:lang w:val="en-US"/>
        </w:rPr>
        <w:t>(2013</w:t>
      </w:r>
      <w:r w:rsidR="000A714D" w:rsidRPr="00602F59">
        <w:rPr>
          <w:rFonts w:ascii="Cambria" w:eastAsia="Times New Roman" w:hAnsi="Cambria"/>
          <w:sz w:val="22"/>
          <w:szCs w:val="22"/>
          <w:lang w:val="en-US"/>
        </w:rPr>
        <w:t>b</w:t>
      </w:r>
      <w:r w:rsidR="00775D81" w:rsidRPr="00602F59">
        <w:rPr>
          <w:rFonts w:ascii="Cambria" w:eastAsia="Times New Roman" w:hAnsi="Cambria"/>
          <w:sz w:val="22"/>
          <w:szCs w:val="22"/>
          <w:lang w:val="en-US"/>
        </w:rPr>
        <w:t xml:space="preserve">). </w:t>
      </w:r>
      <w:r w:rsidRPr="00602F59">
        <w:rPr>
          <w:rFonts w:ascii="Cambria" w:eastAsia="Times New Roman" w:hAnsi="Cambria"/>
          <w:i/>
          <w:sz w:val="22"/>
          <w:szCs w:val="22"/>
          <w:lang w:val="en-US"/>
        </w:rPr>
        <w:t xml:space="preserve">Concluding Observations on the </w:t>
      </w:r>
      <w:r w:rsidR="00155960" w:rsidRPr="00602F59">
        <w:rPr>
          <w:rFonts w:ascii="Cambria" w:eastAsia="Times New Roman" w:hAnsi="Cambria"/>
          <w:i/>
          <w:sz w:val="22"/>
          <w:szCs w:val="22"/>
          <w:lang w:val="en-US"/>
        </w:rPr>
        <w:t>Seventh</w:t>
      </w:r>
      <w:r w:rsidR="00396195" w:rsidRPr="00602F59">
        <w:rPr>
          <w:rFonts w:ascii="Cambria" w:eastAsia="Times New Roman" w:hAnsi="Cambria"/>
          <w:i/>
          <w:sz w:val="22"/>
          <w:szCs w:val="22"/>
          <w:lang w:val="en-US"/>
        </w:rPr>
        <w:t xml:space="preserve"> </w:t>
      </w:r>
      <w:r w:rsidRPr="00602F59">
        <w:rPr>
          <w:rFonts w:ascii="Cambria" w:eastAsia="Times New Roman" w:hAnsi="Cambria"/>
          <w:i/>
          <w:sz w:val="22"/>
          <w:szCs w:val="22"/>
          <w:lang w:val="en-US"/>
        </w:rPr>
        <w:t xml:space="preserve">Periodic Report of </w:t>
      </w:r>
      <w:r w:rsidR="002F565E" w:rsidRPr="00602F59">
        <w:rPr>
          <w:rFonts w:ascii="Cambria" w:eastAsia="Times New Roman" w:hAnsi="Cambria"/>
          <w:i/>
          <w:sz w:val="22"/>
          <w:szCs w:val="22"/>
          <w:lang w:val="en-US"/>
        </w:rPr>
        <w:t>the</w:t>
      </w:r>
      <w:r w:rsidRPr="00602F59">
        <w:rPr>
          <w:rFonts w:ascii="Cambria" w:eastAsia="Times New Roman" w:hAnsi="Cambria"/>
          <w:i/>
          <w:sz w:val="22"/>
          <w:szCs w:val="22"/>
          <w:lang w:val="en-US"/>
        </w:rPr>
        <w:t xml:space="preserve"> United Kingdom </w:t>
      </w:r>
      <w:r w:rsidR="00396195" w:rsidRPr="00602F59">
        <w:rPr>
          <w:rFonts w:ascii="Cambria" w:eastAsia="Times New Roman" w:hAnsi="Cambria"/>
          <w:sz w:val="22"/>
          <w:szCs w:val="22"/>
          <w:lang w:val="en-US"/>
        </w:rPr>
        <w:t>o</w:t>
      </w:r>
      <w:r w:rsidR="00396195" w:rsidRPr="00602F59">
        <w:rPr>
          <w:rFonts w:ascii="Cambria" w:eastAsia="Times New Roman" w:hAnsi="Cambria"/>
          <w:i/>
          <w:sz w:val="22"/>
          <w:szCs w:val="22"/>
          <w:lang w:val="en-US"/>
        </w:rPr>
        <w:t>f Gre</w:t>
      </w:r>
      <w:r w:rsidR="00775D81" w:rsidRPr="00602F59">
        <w:rPr>
          <w:rFonts w:ascii="Cambria" w:eastAsia="Times New Roman" w:hAnsi="Cambria"/>
          <w:i/>
          <w:sz w:val="22"/>
          <w:szCs w:val="22"/>
          <w:lang w:val="en-US"/>
        </w:rPr>
        <w:t>at Br</w:t>
      </w:r>
      <w:r w:rsidR="00602F59" w:rsidRPr="00602F59">
        <w:rPr>
          <w:rFonts w:ascii="Cambria" w:eastAsia="Times New Roman" w:hAnsi="Cambria"/>
          <w:i/>
          <w:sz w:val="22"/>
          <w:szCs w:val="22"/>
          <w:lang w:val="en-US"/>
        </w:rPr>
        <w:t xml:space="preserve">itain and Northern Ireland. </w:t>
      </w:r>
      <w:r w:rsidR="00602F59" w:rsidRPr="00602F59">
        <w:rPr>
          <w:rFonts w:ascii="Cambria" w:hAnsi="Cambria" w:cs="Lucida Grande"/>
          <w:sz w:val="22"/>
          <w:szCs w:val="22"/>
          <w:lang w:val="en-US"/>
        </w:rPr>
        <w:t>CEDAW/C/GBR/CO/7</w:t>
      </w:r>
      <w:r w:rsidR="00DA1AA6">
        <w:rPr>
          <w:rFonts w:ascii="Cambria" w:hAnsi="Cambria" w:cs="Lucida Grande"/>
          <w:sz w:val="22"/>
          <w:szCs w:val="22"/>
          <w:lang w:val="en-US"/>
        </w:rPr>
        <w:t>.</w:t>
      </w:r>
    </w:p>
    <w:p w14:paraId="7C02AFD3" w14:textId="77777777" w:rsidR="007B13F4" w:rsidRPr="00602F59" w:rsidRDefault="007B13F4" w:rsidP="00494962">
      <w:pPr>
        <w:autoSpaceDE w:val="0"/>
        <w:autoSpaceDN w:val="0"/>
        <w:adjustRightInd w:val="0"/>
        <w:rPr>
          <w:rFonts w:ascii="Cambria" w:hAnsi="Cambria"/>
          <w:sz w:val="22"/>
          <w:szCs w:val="22"/>
        </w:rPr>
      </w:pPr>
    </w:p>
    <w:p w14:paraId="16DA2921" w14:textId="60B2C672" w:rsidR="000F7F2A" w:rsidRPr="00A90D10" w:rsidRDefault="00775D81" w:rsidP="00494962">
      <w:pPr>
        <w:pStyle w:val="Bibliography"/>
        <w:rPr>
          <w:rFonts w:ascii="Cambria" w:hAnsi="Cambria" w:cs="Times New Roman"/>
          <w:sz w:val="22"/>
          <w:szCs w:val="22"/>
        </w:rPr>
      </w:pPr>
      <w:proofErr w:type="spellStart"/>
      <w:r>
        <w:rPr>
          <w:rFonts w:ascii="Cambria" w:hAnsi="Cambria" w:cs="Times New Roman"/>
          <w:sz w:val="22"/>
          <w:szCs w:val="22"/>
        </w:rPr>
        <w:t>Coomaraswamy</w:t>
      </w:r>
      <w:proofErr w:type="spellEnd"/>
      <w:r>
        <w:rPr>
          <w:rFonts w:ascii="Cambria" w:hAnsi="Cambria" w:cs="Times New Roman"/>
          <w:sz w:val="22"/>
          <w:szCs w:val="22"/>
        </w:rPr>
        <w:t xml:space="preserve">, R., </w:t>
      </w:r>
      <w:r w:rsidR="002506BF" w:rsidRPr="00A90D10">
        <w:rPr>
          <w:rFonts w:ascii="Cambria" w:hAnsi="Cambria" w:cs="Times New Roman"/>
          <w:sz w:val="22"/>
          <w:szCs w:val="22"/>
        </w:rPr>
        <w:t>(2015)</w:t>
      </w:r>
      <w:r>
        <w:rPr>
          <w:rFonts w:ascii="Cambria" w:hAnsi="Cambria" w:cs="Times New Roman"/>
          <w:sz w:val="22"/>
          <w:szCs w:val="22"/>
        </w:rPr>
        <w:t>.</w:t>
      </w:r>
      <w:r w:rsidR="002506BF" w:rsidRPr="00A90D10">
        <w:rPr>
          <w:rFonts w:ascii="Cambria" w:hAnsi="Cambria" w:cs="Times New Roman"/>
          <w:sz w:val="22"/>
          <w:szCs w:val="22"/>
        </w:rPr>
        <w:t xml:space="preserve"> </w:t>
      </w:r>
      <w:r w:rsidR="000F7F2A" w:rsidRPr="00A90D10">
        <w:rPr>
          <w:rFonts w:ascii="Cambria" w:hAnsi="Cambria" w:cs="Times New Roman"/>
          <w:i/>
          <w:sz w:val="22"/>
          <w:szCs w:val="22"/>
        </w:rPr>
        <w:t>Preventing Conflict, Transforming Justice, Securing the Peace: A G</w:t>
      </w:r>
      <w:r w:rsidR="002506BF" w:rsidRPr="00A90D10">
        <w:rPr>
          <w:rFonts w:ascii="Cambria" w:hAnsi="Cambria" w:cs="Times New Roman"/>
          <w:i/>
          <w:sz w:val="22"/>
          <w:szCs w:val="22"/>
        </w:rPr>
        <w:t>lobal</w:t>
      </w:r>
      <w:r w:rsidR="000F7F2A" w:rsidRPr="00A90D10">
        <w:rPr>
          <w:rFonts w:ascii="Cambria" w:hAnsi="Cambria" w:cs="Times New Roman"/>
          <w:i/>
          <w:sz w:val="22"/>
          <w:szCs w:val="22"/>
        </w:rPr>
        <w:t xml:space="preserve"> Study on the Implementation of United Nations Security Council Resolution 1325</w:t>
      </w:r>
      <w:r>
        <w:rPr>
          <w:rFonts w:ascii="Cambria" w:hAnsi="Cambria" w:cs="Times New Roman"/>
          <w:sz w:val="22"/>
          <w:szCs w:val="22"/>
        </w:rPr>
        <w:t>. New York: UN Women</w:t>
      </w:r>
      <w:r w:rsidR="00DA1AA6">
        <w:rPr>
          <w:rFonts w:ascii="Cambria" w:hAnsi="Cambria" w:cs="Times New Roman"/>
          <w:sz w:val="22"/>
          <w:szCs w:val="22"/>
        </w:rPr>
        <w:t>.</w:t>
      </w:r>
    </w:p>
    <w:p w14:paraId="4A68903C" w14:textId="77777777" w:rsidR="000F7F2A" w:rsidRPr="00A90D10" w:rsidRDefault="000F7F2A" w:rsidP="00494962">
      <w:pPr>
        <w:autoSpaceDE w:val="0"/>
        <w:autoSpaceDN w:val="0"/>
        <w:adjustRightInd w:val="0"/>
        <w:rPr>
          <w:rFonts w:ascii="Cambria" w:hAnsi="Cambria"/>
          <w:sz w:val="22"/>
          <w:szCs w:val="22"/>
        </w:rPr>
      </w:pPr>
    </w:p>
    <w:p w14:paraId="28721EF2" w14:textId="4573E6C5" w:rsidR="000F7F2A" w:rsidRDefault="00775D81" w:rsidP="00494962">
      <w:pPr>
        <w:autoSpaceDE w:val="0"/>
        <w:autoSpaceDN w:val="0"/>
        <w:adjustRightInd w:val="0"/>
        <w:rPr>
          <w:rFonts w:ascii="Cambria" w:hAnsi="Cambria"/>
          <w:sz w:val="22"/>
          <w:szCs w:val="22"/>
        </w:rPr>
      </w:pPr>
      <w:proofErr w:type="spellStart"/>
      <w:r>
        <w:rPr>
          <w:rFonts w:ascii="Cambria" w:hAnsi="Cambria"/>
          <w:sz w:val="22"/>
          <w:szCs w:val="22"/>
        </w:rPr>
        <w:lastRenderedPageBreak/>
        <w:t>Deiana</w:t>
      </w:r>
      <w:proofErr w:type="spellEnd"/>
      <w:r>
        <w:rPr>
          <w:rFonts w:ascii="Cambria" w:hAnsi="Cambria"/>
          <w:sz w:val="22"/>
          <w:szCs w:val="22"/>
        </w:rPr>
        <w:t xml:space="preserve">, M., </w:t>
      </w:r>
      <w:r w:rsidR="000F7F2A" w:rsidRPr="00A90D10">
        <w:rPr>
          <w:rFonts w:ascii="Cambria" w:hAnsi="Cambria"/>
          <w:sz w:val="22"/>
          <w:szCs w:val="22"/>
        </w:rPr>
        <w:t>(2016)</w:t>
      </w:r>
      <w:r>
        <w:rPr>
          <w:rFonts w:ascii="Cambria" w:hAnsi="Cambria"/>
          <w:sz w:val="22"/>
          <w:szCs w:val="22"/>
        </w:rPr>
        <w:t>.</w:t>
      </w:r>
      <w:r w:rsidR="000F7F2A" w:rsidRPr="00A90D10">
        <w:rPr>
          <w:rFonts w:ascii="Cambria" w:hAnsi="Cambria"/>
          <w:sz w:val="22"/>
          <w:szCs w:val="22"/>
        </w:rPr>
        <w:t xml:space="preserve"> ‘To Settle for a Gendered Peace? Spaces for Feminist Grassroots Mobilization in Northern Ireland and B</w:t>
      </w:r>
      <w:r>
        <w:rPr>
          <w:rFonts w:ascii="Cambria" w:hAnsi="Cambria"/>
          <w:sz w:val="22"/>
          <w:szCs w:val="22"/>
        </w:rPr>
        <w:t>osnia Herzegovina</w:t>
      </w:r>
      <w:r w:rsidR="000F7F2A" w:rsidRPr="00A90D10">
        <w:rPr>
          <w:rFonts w:ascii="Cambria" w:hAnsi="Cambria"/>
          <w:sz w:val="22"/>
          <w:szCs w:val="22"/>
        </w:rPr>
        <w:t>’</w:t>
      </w:r>
      <w:r>
        <w:rPr>
          <w:rFonts w:ascii="Cambria" w:hAnsi="Cambria"/>
          <w:sz w:val="22"/>
          <w:szCs w:val="22"/>
        </w:rPr>
        <w:t>.</w:t>
      </w:r>
      <w:r w:rsidR="000F7F2A" w:rsidRPr="00A90D10">
        <w:rPr>
          <w:rFonts w:ascii="Cambria" w:hAnsi="Cambria"/>
          <w:sz w:val="22"/>
          <w:szCs w:val="22"/>
        </w:rPr>
        <w:t xml:space="preserve"> </w:t>
      </w:r>
      <w:r w:rsidR="000F7F2A" w:rsidRPr="00A90D10">
        <w:rPr>
          <w:rFonts w:ascii="Cambria" w:hAnsi="Cambria"/>
          <w:i/>
          <w:sz w:val="22"/>
          <w:szCs w:val="22"/>
        </w:rPr>
        <w:t>Citizenship Studies</w:t>
      </w:r>
      <w:r>
        <w:rPr>
          <w:rFonts w:ascii="Cambria" w:hAnsi="Cambria"/>
          <w:sz w:val="22"/>
          <w:szCs w:val="22"/>
        </w:rPr>
        <w:t xml:space="preserve"> </w:t>
      </w:r>
      <w:r w:rsidR="005E2C7C">
        <w:rPr>
          <w:rFonts w:ascii="Cambria" w:hAnsi="Cambria"/>
          <w:sz w:val="22"/>
          <w:szCs w:val="22"/>
        </w:rPr>
        <w:t>20(1):</w:t>
      </w:r>
      <w:r w:rsidR="00DA1AA6">
        <w:rPr>
          <w:rFonts w:ascii="Cambria" w:hAnsi="Cambria"/>
          <w:sz w:val="22"/>
          <w:szCs w:val="22"/>
        </w:rPr>
        <w:t xml:space="preserve"> </w:t>
      </w:r>
      <w:r w:rsidR="000F7F2A" w:rsidRPr="00A90D10">
        <w:rPr>
          <w:rFonts w:ascii="Cambria" w:hAnsi="Cambria"/>
          <w:sz w:val="22"/>
          <w:szCs w:val="22"/>
        </w:rPr>
        <w:t>99-114.</w:t>
      </w:r>
    </w:p>
    <w:p w14:paraId="6A20CEF6" w14:textId="77777777" w:rsidR="0030087A" w:rsidRPr="00A90D10" w:rsidRDefault="0030087A" w:rsidP="00494962">
      <w:pPr>
        <w:autoSpaceDE w:val="0"/>
        <w:autoSpaceDN w:val="0"/>
        <w:adjustRightInd w:val="0"/>
        <w:rPr>
          <w:rFonts w:ascii="Cambria" w:hAnsi="Cambria"/>
          <w:sz w:val="22"/>
          <w:szCs w:val="22"/>
        </w:rPr>
      </w:pPr>
    </w:p>
    <w:p w14:paraId="36E88D81" w14:textId="0A68E7DD" w:rsidR="005C5081" w:rsidRPr="00E73471" w:rsidRDefault="0030087A" w:rsidP="00494962">
      <w:pPr>
        <w:autoSpaceDE w:val="0"/>
        <w:autoSpaceDN w:val="0"/>
        <w:adjustRightInd w:val="0"/>
        <w:rPr>
          <w:rFonts w:ascii="Cambria" w:hAnsi="Cambria"/>
          <w:color w:val="000000" w:themeColor="text1"/>
          <w:sz w:val="22"/>
          <w:szCs w:val="22"/>
        </w:rPr>
      </w:pPr>
      <w:proofErr w:type="spellStart"/>
      <w:r w:rsidRPr="00E73471">
        <w:rPr>
          <w:rFonts w:ascii="Cambria" w:hAnsi="Cambria"/>
          <w:color w:val="000000" w:themeColor="text1"/>
          <w:sz w:val="22"/>
          <w:szCs w:val="22"/>
        </w:rPr>
        <w:t>Deiana</w:t>
      </w:r>
      <w:proofErr w:type="spellEnd"/>
      <w:r w:rsidRPr="00E73471">
        <w:rPr>
          <w:rFonts w:ascii="Cambria" w:hAnsi="Cambria"/>
          <w:color w:val="000000" w:themeColor="text1"/>
          <w:sz w:val="22"/>
          <w:szCs w:val="22"/>
        </w:rPr>
        <w:t>, M., (2013)</w:t>
      </w:r>
      <w:r w:rsidR="00E73471" w:rsidRPr="00E73471">
        <w:rPr>
          <w:rFonts w:ascii="Cambria" w:hAnsi="Cambria"/>
          <w:color w:val="000000" w:themeColor="text1"/>
          <w:sz w:val="22"/>
          <w:szCs w:val="22"/>
        </w:rPr>
        <w:t xml:space="preserve">. </w:t>
      </w:r>
      <w:r w:rsidR="00E73471" w:rsidRPr="00E73471">
        <w:rPr>
          <w:rFonts w:ascii="Cambria" w:hAnsi="Cambria" w:cs="ArialUnicodeMS"/>
          <w:color w:val="000000" w:themeColor="text1"/>
          <w:sz w:val="22"/>
          <w:szCs w:val="22"/>
        </w:rPr>
        <w:t xml:space="preserve">‘Women's Citizenship in Northern Ireland after the 1998 Agreement’. </w:t>
      </w:r>
      <w:r w:rsidR="00E73471" w:rsidRPr="00E73471">
        <w:rPr>
          <w:rFonts w:ascii="Cambria" w:hAnsi="Cambria" w:cs="ArialUnicodeMS"/>
          <w:i/>
          <w:color w:val="000000" w:themeColor="text1"/>
          <w:sz w:val="22"/>
          <w:szCs w:val="22"/>
        </w:rPr>
        <w:t>Irish Political Studies</w:t>
      </w:r>
      <w:r w:rsidR="00E73471" w:rsidRPr="00E73471">
        <w:rPr>
          <w:rFonts w:ascii="Cambria" w:hAnsi="Cambria" w:cs="ArialUnicodeMS"/>
          <w:color w:val="000000" w:themeColor="text1"/>
          <w:sz w:val="22"/>
          <w:szCs w:val="22"/>
        </w:rPr>
        <w:t xml:space="preserve"> 28(3): 399-412</w:t>
      </w:r>
      <w:r w:rsidR="00DA1AA6">
        <w:rPr>
          <w:rFonts w:ascii="Cambria" w:hAnsi="Cambria" w:cs="ArialUnicodeMS"/>
          <w:color w:val="000000" w:themeColor="text1"/>
          <w:sz w:val="22"/>
          <w:szCs w:val="22"/>
        </w:rPr>
        <w:t>.</w:t>
      </w:r>
    </w:p>
    <w:p w14:paraId="5BC4F43D" w14:textId="77777777" w:rsidR="0030087A" w:rsidRPr="0030087A" w:rsidRDefault="0030087A" w:rsidP="00494962">
      <w:pPr>
        <w:autoSpaceDE w:val="0"/>
        <w:autoSpaceDN w:val="0"/>
        <w:adjustRightInd w:val="0"/>
        <w:rPr>
          <w:rFonts w:ascii="Cambria" w:hAnsi="Cambria"/>
          <w:color w:val="FF0000"/>
          <w:sz w:val="22"/>
          <w:szCs w:val="22"/>
        </w:rPr>
      </w:pPr>
    </w:p>
    <w:p w14:paraId="3CF48F35" w14:textId="1B01A8B8" w:rsidR="005C5081" w:rsidRDefault="00775D81" w:rsidP="00494962">
      <w:pPr>
        <w:pStyle w:val="RefReference"/>
        <w:spacing w:line="240" w:lineRule="auto"/>
        <w:ind w:left="0" w:firstLine="0"/>
        <w:rPr>
          <w:rFonts w:ascii="Cambria" w:hAnsi="Cambria"/>
          <w:sz w:val="22"/>
          <w:szCs w:val="22"/>
          <w:lang w:eastAsia="en-GB"/>
        </w:rPr>
      </w:pPr>
      <w:proofErr w:type="spellStart"/>
      <w:r>
        <w:rPr>
          <w:rFonts w:ascii="Cambria" w:hAnsi="Cambria"/>
          <w:sz w:val="22"/>
          <w:szCs w:val="22"/>
          <w:lang w:eastAsia="en-GB"/>
        </w:rPr>
        <w:t>Duerst</w:t>
      </w:r>
      <w:proofErr w:type="spellEnd"/>
      <w:r>
        <w:rPr>
          <w:rFonts w:ascii="Cambria" w:hAnsi="Cambria"/>
          <w:sz w:val="22"/>
          <w:szCs w:val="22"/>
          <w:lang w:eastAsia="en-GB"/>
        </w:rPr>
        <w:t>-Lahti, G., (</w:t>
      </w:r>
      <w:r w:rsidR="002506BF" w:rsidRPr="00A90D10">
        <w:rPr>
          <w:rFonts w:ascii="Cambria" w:hAnsi="Cambria"/>
          <w:sz w:val="22"/>
          <w:szCs w:val="22"/>
          <w:lang w:eastAsia="en-GB"/>
        </w:rPr>
        <w:t>2008</w:t>
      </w:r>
      <w:r>
        <w:rPr>
          <w:rFonts w:ascii="Cambria" w:hAnsi="Cambria"/>
          <w:sz w:val="22"/>
          <w:szCs w:val="22"/>
          <w:lang w:eastAsia="en-GB"/>
        </w:rPr>
        <w:t>)</w:t>
      </w:r>
      <w:r w:rsidR="002506BF" w:rsidRPr="00A90D10">
        <w:rPr>
          <w:rFonts w:ascii="Cambria" w:hAnsi="Cambria"/>
          <w:sz w:val="22"/>
          <w:szCs w:val="22"/>
          <w:lang w:eastAsia="en-GB"/>
        </w:rPr>
        <w:t>. ‘</w:t>
      </w:r>
      <w:r w:rsidR="009821D2" w:rsidRPr="00A90D10">
        <w:rPr>
          <w:rFonts w:ascii="Cambria" w:hAnsi="Cambria"/>
          <w:sz w:val="22"/>
          <w:szCs w:val="22"/>
          <w:lang w:eastAsia="en-GB"/>
        </w:rPr>
        <w:t>Gender Ideolo</w:t>
      </w:r>
      <w:r w:rsidR="005E2C7C">
        <w:rPr>
          <w:rFonts w:ascii="Cambria" w:hAnsi="Cambria"/>
          <w:sz w:val="22"/>
          <w:szCs w:val="22"/>
          <w:lang w:eastAsia="en-GB"/>
        </w:rPr>
        <w:t xml:space="preserve">gy: </w:t>
      </w:r>
      <w:proofErr w:type="spellStart"/>
      <w:r w:rsidR="005E2C7C">
        <w:rPr>
          <w:rFonts w:ascii="Cambria" w:hAnsi="Cambria"/>
          <w:sz w:val="22"/>
          <w:szCs w:val="22"/>
          <w:lang w:eastAsia="en-GB"/>
        </w:rPr>
        <w:t>Masculinism</w:t>
      </w:r>
      <w:proofErr w:type="spellEnd"/>
      <w:r w:rsidR="005E2C7C">
        <w:rPr>
          <w:rFonts w:ascii="Cambria" w:hAnsi="Cambria"/>
          <w:sz w:val="22"/>
          <w:szCs w:val="22"/>
          <w:lang w:eastAsia="en-GB"/>
        </w:rPr>
        <w:t xml:space="preserve"> and </w:t>
      </w:r>
      <w:proofErr w:type="spellStart"/>
      <w:r w:rsidR="005E2C7C">
        <w:rPr>
          <w:rFonts w:ascii="Cambria" w:hAnsi="Cambria"/>
          <w:sz w:val="22"/>
          <w:szCs w:val="22"/>
          <w:lang w:eastAsia="en-GB"/>
        </w:rPr>
        <w:t>Feminalism</w:t>
      </w:r>
      <w:proofErr w:type="spellEnd"/>
      <w:r w:rsidR="002506BF" w:rsidRPr="00A90D10">
        <w:rPr>
          <w:rFonts w:ascii="Cambria" w:hAnsi="Cambria"/>
          <w:sz w:val="22"/>
          <w:szCs w:val="22"/>
          <w:lang w:eastAsia="en-GB"/>
        </w:rPr>
        <w:t>’</w:t>
      </w:r>
      <w:r w:rsidR="005E2C7C">
        <w:rPr>
          <w:rFonts w:ascii="Cambria" w:hAnsi="Cambria"/>
          <w:sz w:val="22"/>
          <w:szCs w:val="22"/>
          <w:lang w:eastAsia="en-GB"/>
        </w:rPr>
        <w:t>, i</w:t>
      </w:r>
      <w:r w:rsidR="009821D2" w:rsidRPr="00A90D10">
        <w:rPr>
          <w:rFonts w:ascii="Cambria" w:hAnsi="Cambria"/>
          <w:sz w:val="22"/>
          <w:szCs w:val="22"/>
          <w:lang w:eastAsia="en-GB"/>
        </w:rPr>
        <w:t xml:space="preserve">n </w:t>
      </w:r>
      <w:r>
        <w:rPr>
          <w:rFonts w:ascii="Cambria" w:hAnsi="Cambria"/>
          <w:sz w:val="22"/>
          <w:szCs w:val="22"/>
          <w:lang w:eastAsia="en-GB"/>
        </w:rPr>
        <w:t xml:space="preserve">G. </w:t>
      </w:r>
      <w:proofErr w:type="spellStart"/>
      <w:r>
        <w:rPr>
          <w:rFonts w:ascii="Cambria" w:hAnsi="Cambria"/>
          <w:sz w:val="22"/>
          <w:szCs w:val="22"/>
          <w:lang w:eastAsia="en-GB"/>
        </w:rPr>
        <w:t>Goertz</w:t>
      </w:r>
      <w:proofErr w:type="spellEnd"/>
      <w:r>
        <w:rPr>
          <w:rFonts w:ascii="Cambria" w:hAnsi="Cambria"/>
          <w:sz w:val="22"/>
          <w:szCs w:val="22"/>
          <w:lang w:eastAsia="en-GB"/>
        </w:rPr>
        <w:t xml:space="preserve"> and A.</w:t>
      </w:r>
      <w:r w:rsidR="002506BF" w:rsidRPr="00A90D10">
        <w:rPr>
          <w:rFonts w:ascii="Cambria" w:hAnsi="Cambria"/>
          <w:sz w:val="22"/>
          <w:szCs w:val="22"/>
          <w:lang w:eastAsia="en-GB"/>
        </w:rPr>
        <w:t>G.</w:t>
      </w:r>
      <w:r w:rsidR="00602F59">
        <w:rPr>
          <w:rFonts w:ascii="Cambria" w:hAnsi="Cambria"/>
          <w:sz w:val="22"/>
          <w:szCs w:val="22"/>
          <w:lang w:eastAsia="en-GB"/>
        </w:rPr>
        <w:t xml:space="preserve"> </w:t>
      </w:r>
      <w:r w:rsidR="002506BF" w:rsidRPr="00A90D10">
        <w:rPr>
          <w:rFonts w:ascii="Cambria" w:hAnsi="Cambria"/>
          <w:sz w:val="22"/>
          <w:szCs w:val="22"/>
          <w:lang w:eastAsia="en-GB"/>
        </w:rPr>
        <w:t>Mazur</w:t>
      </w:r>
      <w:r w:rsidR="005E2C7C">
        <w:rPr>
          <w:rFonts w:ascii="Cambria" w:hAnsi="Cambria"/>
          <w:sz w:val="22"/>
          <w:szCs w:val="22"/>
          <w:lang w:eastAsia="en-GB"/>
        </w:rPr>
        <w:t>,</w:t>
      </w:r>
      <w:r>
        <w:rPr>
          <w:rFonts w:ascii="Cambria" w:hAnsi="Cambria"/>
          <w:i/>
          <w:sz w:val="22"/>
          <w:szCs w:val="22"/>
          <w:lang w:eastAsia="en-GB"/>
        </w:rPr>
        <w:t xml:space="preserve"> </w:t>
      </w:r>
      <w:r>
        <w:rPr>
          <w:rFonts w:ascii="Cambria" w:hAnsi="Cambria"/>
          <w:sz w:val="22"/>
          <w:szCs w:val="22"/>
          <w:lang w:eastAsia="en-GB"/>
        </w:rPr>
        <w:t xml:space="preserve">eds. </w:t>
      </w:r>
      <w:r w:rsidR="009821D2" w:rsidRPr="00A90D10">
        <w:rPr>
          <w:rFonts w:ascii="Cambria" w:hAnsi="Cambria"/>
          <w:i/>
          <w:sz w:val="22"/>
          <w:szCs w:val="22"/>
          <w:lang w:eastAsia="en-GB"/>
        </w:rPr>
        <w:t>Politics, Gender, and Concepts: Theory and Methodology</w:t>
      </w:r>
      <w:r w:rsidR="002506BF" w:rsidRPr="00A90D10">
        <w:rPr>
          <w:rFonts w:ascii="Cambria" w:hAnsi="Cambria"/>
          <w:sz w:val="22"/>
          <w:szCs w:val="22"/>
          <w:lang w:eastAsia="en-GB"/>
        </w:rPr>
        <w:t xml:space="preserve">. </w:t>
      </w:r>
      <w:r w:rsidR="009821D2" w:rsidRPr="00A90D10">
        <w:rPr>
          <w:rFonts w:ascii="Cambria" w:hAnsi="Cambria"/>
          <w:sz w:val="22"/>
          <w:szCs w:val="22"/>
          <w:lang w:eastAsia="en-GB"/>
        </w:rPr>
        <w:t>Cambridge: Cambridge Universi</w:t>
      </w:r>
      <w:r w:rsidR="005E2C7C">
        <w:rPr>
          <w:rFonts w:ascii="Cambria" w:hAnsi="Cambria"/>
          <w:sz w:val="22"/>
          <w:szCs w:val="22"/>
          <w:lang w:eastAsia="en-GB"/>
        </w:rPr>
        <w:t>ty Press,</w:t>
      </w:r>
      <w:r w:rsidR="00602F59">
        <w:rPr>
          <w:rFonts w:ascii="Cambria" w:hAnsi="Cambria"/>
          <w:sz w:val="22"/>
          <w:szCs w:val="22"/>
          <w:lang w:eastAsia="en-GB"/>
        </w:rPr>
        <w:t xml:space="preserve"> pp. </w:t>
      </w:r>
      <w:r w:rsidR="006268DE">
        <w:rPr>
          <w:rFonts w:ascii="Cambria" w:hAnsi="Cambria"/>
          <w:sz w:val="22"/>
          <w:szCs w:val="22"/>
          <w:lang w:eastAsia="en-GB"/>
        </w:rPr>
        <w:t>159-1</w:t>
      </w:r>
      <w:r w:rsidR="009821D2" w:rsidRPr="00A90D10">
        <w:rPr>
          <w:rFonts w:ascii="Cambria" w:hAnsi="Cambria"/>
          <w:sz w:val="22"/>
          <w:szCs w:val="22"/>
          <w:lang w:eastAsia="en-GB"/>
        </w:rPr>
        <w:t>92.</w:t>
      </w:r>
    </w:p>
    <w:p w14:paraId="1D842BC0" w14:textId="5F89D827" w:rsidR="00835207" w:rsidRPr="00835207" w:rsidRDefault="00835207" w:rsidP="00494962">
      <w:pPr>
        <w:pStyle w:val="RefReference"/>
        <w:spacing w:line="240" w:lineRule="auto"/>
        <w:ind w:left="0" w:firstLine="0"/>
        <w:rPr>
          <w:rFonts w:ascii="Cambria" w:hAnsi="Cambria"/>
          <w:color w:val="FF0000"/>
          <w:sz w:val="22"/>
          <w:szCs w:val="22"/>
          <w:lang w:eastAsia="en-GB"/>
        </w:rPr>
      </w:pPr>
      <w:proofErr w:type="spellStart"/>
      <w:r w:rsidRPr="00C818AF">
        <w:rPr>
          <w:rFonts w:ascii="Cambria" w:hAnsi="Cambria"/>
          <w:color w:val="000000" w:themeColor="text1"/>
          <w:sz w:val="22"/>
          <w:szCs w:val="22"/>
          <w:lang w:eastAsia="en-GB"/>
        </w:rPr>
        <w:t>Duerst</w:t>
      </w:r>
      <w:proofErr w:type="spellEnd"/>
      <w:r w:rsidRPr="00C818AF">
        <w:rPr>
          <w:rFonts w:ascii="Cambria" w:hAnsi="Cambria"/>
          <w:color w:val="000000" w:themeColor="text1"/>
          <w:sz w:val="22"/>
          <w:szCs w:val="22"/>
          <w:lang w:eastAsia="en-GB"/>
        </w:rPr>
        <w:t>-Lahti, G., (2002).</w:t>
      </w:r>
      <w:r w:rsidR="00451487" w:rsidRPr="00C818AF">
        <w:rPr>
          <w:rFonts w:ascii="Cambria" w:hAnsi="Cambria"/>
          <w:color w:val="000000" w:themeColor="text1"/>
          <w:sz w:val="22"/>
          <w:szCs w:val="22"/>
          <w:lang w:eastAsia="en-GB"/>
        </w:rPr>
        <w:t xml:space="preserve"> ‘</w:t>
      </w:r>
      <w:r w:rsidR="00451487">
        <w:rPr>
          <w:rFonts w:ascii="Cambria" w:hAnsi="Cambria"/>
          <w:sz w:val="22"/>
          <w:szCs w:val="22"/>
        </w:rPr>
        <w:t>Governing Instit</w:t>
      </w:r>
      <w:r w:rsidR="006268DE">
        <w:rPr>
          <w:rFonts w:ascii="Cambria" w:hAnsi="Cambria"/>
          <w:sz w:val="22"/>
          <w:szCs w:val="22"/>
        </w:rPr>
        <w:t>utions, Ideologies and Gender; Towards the Possibility of Equal Political R</w:t>
      </w:r>
      <w:r w:rsidR="00451487">
        <w:rPr>
          <w:rFonts w:ascii="Cambria" w:hAnsi="Cambria"/>
          <w:sz w:val="22"/>
          <w:szCs w:val="22"/>
        </w:rPr>
        <w:t xml:space="preserve">epresentation’.  </w:t>
      </w:r>
      <w:r w:rsidR="00451487" w:rsidRPr="00451487">
        <w:rPr>
          <w:rFonts w:ascii="Cambria" w:hAnsi="Cambria"/>
          <w:i/>
          <w:sz w:val="22"/>
          <w:szCs w:val="22"/>
        </w:rPr>
        <w:t>Sex Roles</w:t>
      </w:r>
      <w:r w:rsidR="006268DE">
        <w:rPr>
          <w:rFonts w:ascii="Cambria" w:hAnsi="Cambria"/>
          <w:sz w:val="22"/>
          <w:szCs w:val="22"/>
        </w:rPr>
        <w:t xml:space="preserve"> 47</w:t>
      </w:r>
      <w:r w:rsidR="00451487">
        <w:rPr>
          <w:rFonts w:ascii="Cambria" w:hAnsi="Cambria"/>
          <w:sz w:val="22"/>
          <w:szCs w:val="22"/>
        </w:rPr>
        <w:t>(7/8): 371-388</w:t>
      </w:r>
      <w:r w:rsidR="00DA1AA6">
        <w:rPr>
          <w:rFonts w:ascii="Cambria" w:hAnsi="Cambria"/>
          <w:sz w:val="22"/>
          <w:szCs w:val="22"/>
        </w:rPr>
        <w:t>.</w:t>
      </w:r>
    </w:p>
    <w:p w14:paraId="3D19F8E4" w14:textId="3F3666B9" w:rsidR="000F7F2A" w:rsidRDefault="009821D2" w:rsidP="00494962">
      <w:pPr>
        <w:pStyle w:val="RefReference"/>
        <w:spacing w:line="240" w:lineRule="auto"/>
        <w:ind w:left="0" w:firstLine="0"/>
        <w:rPr>
          <w:rFonts w:ascii="Cambria" w:hAnsi="Cambria"/>
          <w:sz w:val="22"/>
          <w:szCs w:val="22"/>
          <w:lang w:eastAsia="en-GB"/>
        </w:rPr>
      </w:pPr>
      <w:proofErr w:type="spellStart"/>
      <w:r w:rsidRPr="00A90D10">
        <w:rPr>
          <w:rFonts w:ascii="Cambria" w:hAnsi="Cambria"/>
          <w:sz w:val="22"/>
          <w:szCs w:val="22"/>
          <w:lang w:eastAsia="en-GB"/>
        </w:rPr>
        <w:t>Duerst</w:t>
      </w:r>
      <w:proofErr w:type="spellEnd"/>
      <w:r w:rsidRPr="00A90D10">
        <w:rPr>
          <w:rFonts w:ascii="Cambria" w:hAnsi="Cambria"/>
          <w:sz w:val="22"/>
          <w:szCs w:val="22"/>
          <w:lang w:eastAsia="en-GB"/>
        </w:rPr>
        <w:t xml:space="preserve">-Lahti, </w:t>
      </w:r>
      <w:r w:rsidR="00775D81">
        <w:rPr>
          <w:rFonts w:ascii="Cambria" w:hAnsi="Cambria"/>
          <w:sz w:val="22"/>
          <w:szCs w:val="22"/>
          <w:lang w:eastAsia="en-GB"/>
        </w:rPr>
        <w:t>G</w:t>
      </w:r>
      <w:r w:rsidR="006268DE">
        <w:rPr>
          <w:rFonts w:ascii="Cambria" w:hAnsi="Cambria"/>
          <w:sz w:val="22"/>
          <w:szCs w:val="22"/>
          <w:lang w:eastAsia="en-GB"/>
        </w:rPr>
        <w:t>.,</w:t>
      </w:r>
      <w:r w:rsidR="00775D81">
        <w:rPr>
          <w:rFonts w:ascii="Cambria" w:hAnsi="Cambria"/>
          <w:sz w:val="22"/>
          <w:szCs w:val="22"/>
          <w:lang w:eastAsia="en-GB"/>
        </w:rPr>
        <w:t xml:space="preserve"> and </w:t>
      </w:r>
      <w:r w:rsidRPr="00A90D10">
        <w:rPr>
          <w:rFonts w:ascii="Cambria" w:hAnsi="Cambria"/>
          <w:sz w:val="22"/>
          <w:szCs w:val="22"/>
          <w:lang w:eastAsia="en-GB"/>
        </w:rPr>
        <w:t>Kelly.</w:t>
      </w:r>
      <w:r w:rsidR="006268DE">
        <w:rPr>
          <w:rFonts w:ascii="Cambria" w:hAnsi="Cambria"/>
          <w:sz w:val="22"/>
          <w:szCs w:val="22"/>
          <w:lang w:eastAsia="en-GB"/>
        </w:rPr>
        <w:t>, R.</w:t>
      </w:r>
      <w:r w:rsidR="00775D81">
        <w:rPr>
          <w:rFonts w:ascii="Cambria" w:hAnsi="Cambria"/>
          <w:sz w:val="22"/>
          <w:szCs w:val="22"/>
          <w:lang w:eastAsia="en-GB"/>
        </w:rPr>
        <w:t>M.,</w:t>
      </w:r>
      <w:r w:rsidRPr="00A90D10">
        <w:rPr>
          <w:rFonts w:ascii="Cambria" w:hAnsi="Cambria"/>
          <w:sz w:val="22"/>
          <w:szCs w:val="22"/>
          <w:lang w:eastAsia="en-GB"/>
        </w:rPr>
        <w:t xml:space="preserve"> </w:t>
      </w:r>
      <w:r w:rsidR="00775D81">
        <w:rPr>
          <w:rFonts w:ascii="Cambria" w:hAnsi="Cambria"/>
          <w:sz w:val="22"/>
          <w:szCs w:val="22"/>
          <w:lang w:eastAsia="en-GB"/>
        </w:rPr>
        <w:t>(</w:t>
      </w:r>
      <w:r w:rsidRPr="00A90D10">
        <w:rPr>
          <w:rFonts w:ascii="Cambria" w:hAnsi="Cambria"/>
          <w:sz w:val="22"/>
          <w:szCs w:val="22"/>
          <w:lang w:eastAsia="en-GB"/>
        </w:rPr>
        <w:t>1995</w:t>
      </w:r>
      <w:r w:rsidR="00775D81">
        <w:rPr>
          <w:rFonts w:ascii="Cambria" w:hAnsi="Cambria"/>
          <w:sz w:val="22"/>
          <w:szCs w:val="22"/>
          <w:lang w:eastAsia="en-GB"/>
        </w:rPr>
        <w:t>)</w:t>
      </w:r>
      <w:r w:rsidRPr="00A90D10">
        <w:rPr>
          <w:rFonts w:ascii="Cambria" w:hAnsi="Cambria"/>
          <w:sz w:val="22"/>
          <w:szCs w:val="22"/>
          <w:lang w:eastAsia="en-GB"/>
        </w:rPr>
        <w:t xml:space="preserve">. </w:t>
      </w:r>
      <w:r w:rsidR="002506BF" w:rsidRPr="00A90D10">
        <w:rPr>
          <w:rFonts w:ascii="Cambria" w:hAnsi="Cambria"/>
          <w:sz w:val="22"/>
          <w:szCs w:val="22"/>
          <w:lang w:eastAsia="en-GB"/>
        </w:rPr>
        <w:t>‘</w:t>
      </w:r>
      <w:r w:rsidRPr="00A90D10">
        <w:rPr>
          <w:rFonts w:ascii="Cambria" w:hAnsi="Cambria"/>
          <w:sz w:val="22"/>
          <w:szCs w:val="22"/>
          <w:shd w:val="clear" w:color="auto" w:fill="FFFFFF"/>
        </w:rPr>
        <w:t>Gender, Power, and Leadership</w:t>
      </w:r>
      <w:r w:rsidR="005303ED">
        <w:rPr>
          <w:rStyle w:val="apple-converted-space"/>
          <w:rFonts w:ascii="Cambria" w:hAnsi="Cambria"/>
          <w:sz w:val="22"/>
          <w:szCs w:val="22"/>
          <w:shd w:val="clear" w:color="auto" w:fill="FFFFFF"/>
        </w:rPr>
        <w:t>’, i</w:t>
      </w:r>
      <w:r w:rsidRPr="00A90D10">
        <w:rPr>
          <w:rStyle w:val="apple-converted-space"/>
          <w:rFonts w:ascii="Cambria" w:hAnsi="Cambria"/>
          <w:sz w:val="22"/>
          <w:szCs w:val="22"/>
          <w:shd w:val="clear" w:color="auto" w:fill="FFFFFF"/>
        </w:rPr>
        <w:t xml:space="preserve">n </w:t>
      </w:r>
      <w:r w:rsidR="006268DE">
        <w:rPr>
          <w:rFonts w:ascii="Cambria" w:hAnsi="Cambria"/>
          <w:sz w:val="22"/>
          <w:szCs w:val="22"/>
          <w:lang w:eastAsia="en-GB"/>
        </w:rPr>
        <w:t xml:space="preserve">G. </w:t>
      </w:r>
      <w:proofErr w:type="spellStart"/>
      <w:r w:rsidR="006268DE">
        <w:rPr>
          <w:rFonts w:ascii="Cambria" w:hAnsi="Cambria"/>
          <w:sz w:val="22"/>
          <w:szCs w:val="22"/>
          <w:lang w:eastAsia="en-GB"/>
        </w:rPr>
        <w:t>Duerst</w:t>
      </w:r>
      <w:proofErr w:type="spellEnd"/>
      <w:r w:rsidR="006268DE">
        <w:rPr>
          <w:rFonts w:ascii="Cambria" w:hAnsi="Cambria"/>
          <w:sz w:val="22"/>
          <w:szCs w:val="22"/>
          <w:lang w:eastAsia="en-GB"/>
        </w:rPr>
        <w:t>-Lahti and R.</w:t>
      </w:r>
      <w:r w:rsidR="005303ED">
        <w:rPr>
          <w:rFonts w:ascii="Cambria" w:hAnsi="Cambria"/>
          <w:sz w:val="22"/>
          <w:szCs w:val="22"/>
          <w:lang w:eastAsia="en-GB"/>
        </w:rPr>
        <w:t>M. Kelly,</w:t>
      </w:r>
      <w:r w:rsidR="00775D81">
        <w:rPr>
          <w:rFonts w:ascii="Cambria" w:hAnsi="Cambria"/>
          <w:sz w:val="22"/>
          <w:szCs w:val="22"/>
          <w:lang w:eastAsia="en-GB"/>
        </w:rPr>
        <w:t xml:space="preserve"> </w:t>
      </w:r>
      <w:r w:rsidR="00602F59">
        <w:rPr>
          <w:rFonts w:ascii="Cambria" w:hAnsi="Cambria"/>
          <w:sz w:val="22"/>
          <w:szCs w:val="22"/>
          <w:lang w:eastAsia="en-GB"/>
        </w:rPr>
        <w:t>e</w:t>
      </w:r>
      <w:r w:rsidR="00775D81">
        <w:rPr>
          <w:rFonts w:ascii="Cambria" w:hAnsi="Cambria"/>
          <w:sz w:val="22"/>
          <w:szCs w:val="22"/>
          <w:lang w:eastAsia="en-GB"/>
        </w:rPr>
        <w:t xml:space="preserve">ds. </w:t>
      </w:r>
      <w:r w:rsidRPr="00A90D10">
        <w:rPr>
          <w:rFonts w:ascii="Cambria" w:hAnsi="Cambria"/>
          <w:i/>
          <w:kern w:val="36"/>
          <w:sz w:val="22"/>
          <w:szCs w:val="22"/>
          <w:lang w:eastAsia="en-GB"/>
        </w:rPr>
        <w:t>Gender Power, Leadership, and Governance</w:t>
      </w:r>
      <w:r w:rsidRPr="00A90D10">
        <w:rPr>
          <w:rFonts w:ascii="Cambria" w:hAnsi="Cambria"/>
          <w:sz w:val="22"/>
          <w:szCs w:val="22"/>
          <w:lang w:eastAsia="en-GB"/>
        </w:rPr>
        <w:t>.</w:t>
      </w:r>
      <w:r w:rsidRPr="00A90D10">
        <w:rPr>
          <w:rFonts w:ascii="Cambria" w:hAnsi="Cambria"/>
          <w:spacing w:val="8"/>
          <w:sz w:val="22"/>
          <w:szCs w:val="22"/>
          <w:shd w:val="clear" w:color="auto" w:fill="FFFFFF"/>
        </w:rPr>
        <w:t xml:space="preserve"> </w:t>
      </w:r>
      <w:r w:rsidRPr="00A90D10">
        <w:rPr>
          <w:rFonts w:ascii="Cambria" w:hAnsi="Cambria"/>
          <w:sz w:val="22"/>
          <w:szCs w:val="22"/>
          <w:lang w:eastAsia="en-GB"/>
        </w:rPr>
        <w:t xml:space="preserve">Ann </w:t>
      </w:r>
      <w:proofErr w:type="spellStart"/>
      <w:r w:rsidRPr="00A90D10">
        <w:rPr>
          <w:rFonts w:ascii="Cambria" w:hAnsi="Cambria"/>
          <w:sz w:val="22"/>
          <w:szCs w:val="22"/>
          <w:lang w:eastAsia="en-GB"/>
        </w:rPr>
        <w:t>Arbor</w:t>
      </w:r>
      <w:proofErr w:type="spellEnd"/>
      <w:r w:rsidR="005303ED">
        <w:rPr>
          <w:rFonts w:ascii="Cambria" w:hAnsi="Cambria"/>
          <w:sz w:val="22"/>
          <w:szCs w:val="22"/>
          <w:lang w:eastAsia="en-GB"/>
        </w:rPr>
        <w:t>: University of Michigan Press,</w:t>
      </w:r>
      <w:r w:rsidR="00EF4796">
        <w:rPr>
          <w:rFonts w:ascii="Cambria" w:hAnsi="Cambria"/>
          <w:sz w:val="22"/>
          <w:szCs w:val="22"/>
          <w:lang w:eastAsia="en-GB"/>
        </w:rPr>
        <w:t xml:space="preserve"> pp. </w:t>
      </w:r>
      <w:r w:rsidR="00602F59">
        <w:rPr>
          <w:rFonts w:ascii="Cambria" w:hAnsi="Cambria"/>
          <w:sz w:val="22"/>
          <w:szCs w:val="22"/>
          <w:lang w:eastAsia="en-GB"/>
        </w:rPr>
        <w:t>11–39</w:t>
      </w:r>
      <w:r w:rsidR="00DA1AA6">
        <w:rPr>
          <w:rFonts w:ascii="Cambria" w:hAnsi="Cambria"/>
          <w:sz w:val="22"/>
          <w:szCs w:val="22"/>
          <w:lang w:eastAsia="en-GB"/>
        </w:rPr>
        <w:t>.</w:t>
      </w:r>
    </w:p>
    <w:p w14:paraId="60D2A126" w14:textId="6894B1EA" w:rsidR="00832DB3" w:rsidRPr="00A90D10" w:rsidRDefault="0079161F" w:rsidP="00494962">
      <w:pPr>
        <w:pStyle w:val="RefReference"/>
        <w:spacing w:line="240" w:lineRule="auto"/>
        <w:ind w:left="0" w:firstLine="0"/>
        <w:rPr>
          <w:rFonts w:ascii="Cambria" w:hAnsi="Cambria"/>
          <w:sz w:val="22"/>
          <w:szCs w:val="22"/>
          <w:lang w:eastAsia="en-GB"/>
        </w:rPr>
      </w:pPr>
      <w:r>
        <w:rPr>
          <w:rFonts w:ascii="Cambria" w:hAnsi="Cambria"/>
          <w:sz w:val="22"/>
          <w:szCs w:val="22"/>
        </w:rPr>
        <w:t>European Court of Human Rights,</w:t>
      </w:r>
      <w:r w:rsidR="00832DB3" w:rsidRPr="00C818AF">
        <w:rPr>
          <w:rFonts w:ascii="Cambria" w:hAnsi="Cambria"/>
          <w:sz w:val="22"/>
          <w:szCs w:val="22"/>
        </w:rPr>
        <w:t xml:space="preserve"> (2018)</w:t>
      </w:r>
      <w:r>
        <w:rPr>
          <w:rFonts w:ascii="Cambria" w:hAnsi="Cambria"/>
          <w:sz w:val="22"/>
          <w:szCs w:val="22"/>
        </w:rPr>
        <w:t>.</w:t>
      </w:r>
      <w:r w:rsidR="00832DB3" w:rsidRPr="00C818AF">
        <w:rPr>
          <w:rFonts w:ascii="Cambria" w:hAnsi="Cambria"/>
          <w:sz w:val="22"/>
          <w:szCs w:val="22"/>
        </w:rPr>
        <w:t xml:space="preserve"> </w:t>
      </w:r>
      <w:r w:rsidR="004E3755">
        <w:rPr>
          <w:rFonts w:ascii="Cambria" w:hAnsi="Cambria"/>
          <w:sz w:val="22"/>
          <w:szCs w:val="22"/>
        </w:rPr>
        <w:t>‘</w:t>
      </w:r>
      <w:r w:rsidR="00832DB3" w:rsidRPr="00C818AF">
        <w:rPr>
          <w:rFonts w:ascii="Cambria" w:hAnsi="Cambria"/>
          <w:sz w:val="22"/>
          <w:szCs w:val="22"/>
        </w:rPr>
        <w:t>ECHR Press Country Profile: Bosnia and Herzegovina</w:t>
      </w:r>
      <w:r w:rsidR="004E3755">
        <w:rPr>
          <w:rFonts w:ascii="Cambria" w:hAnsi="Cambria"/>
          <w:sz w:val="22"/>
          <w:szCs w:val="22"/>
        </w:rPr>
        <w:t>’</w:t>
      </w:r>
      <w:r w:rsidR="00832DB3" w:rsidRPr="00C818AF">
        <w:rPr>
          <w:rFonts w:ascii="Cambria" w:hAnsi="Cambria" w:cs="Arial"/>
          <w:sz w:val="22"/>
          <w:szCs w:val="22"/>
          <w:shd w:val="clear" w:color="auto" w:fill="FFFFFF"/>
        </w:rPr>
        <w:t xml:space="preserve">. Available at: </w:t>
      </w:r>
      <w:hyperlink r:id="rId10" w:history="1">
        <w:r w:rsidR="00832DB3" w:rsidRPr="00C818AF">
          <w:rPr>
            <w:rStyle w:val="Hyperlink"/>
            <w:rFonts w:ascii="Cambria" w:hAnsi="Cambria"/>
            <w:sz w:val="22"/>
            <w:szCs w:val="22"/>
          </w:rPr>
          <w:t>https://www.echr.coe.int/Documents/CP_Bosnia_and_Herzegovina_ENG.pdf</w:t>
        </w:r>
      </w:hyperlink>
      <w:r w:rsidR="00832DB3" w:rsidRPr="00C818AF">
        <w:rPr>
          <w:rStyle w:val="Hyperlink"/>
          <w:rFonts w:ascii="Cambria" w:hAnsi="Cambria"/>
          <w:sz w:val="22"/>
          <w:szCs w:val="22"/>
        </w:rPr>
        <w:t xml:space="preserve"> </w:t>
      </w:r>
      <w:r>
        <w:rPr>
          <w:rFonts w:ascii="Cambria" w:hAnsi="Cambria" w:cs="Arial"/>
          <w:sz w:val="22"/>
          <w:szCs w:val="22"/>
          <w:shd w:val="clear" w:color="auto" w:fill="FFFFFF"/>
        </w:rPr>
        <w:t xml:space="preserve">[Accessed </w:t>
      </w:r>
      <w:r w:rsidR="006268DE">
        <w:rPr>
          <w:rFonts w:ascii="Cambria" w:hAnsi="Cambria" w:cs="Arial"/>
          <w:sz w:val="22"/>
          <w:szCs w:val="22"/>
          <w:shd w:val="clear" w:color="auto" w:fill="FFFFFF"/>
        </w:rPr>
        <w:t xml:space="preserve">8 </w:t>
      </w:r>
      <w:r w:rsidR="00832DB3" w:rsidRPr="00C818AF">
        <w:rPr>
          <w:rFonts w:ascii="Cambria" w:hAnsi="Cambria" w:cs="Arial"/>
          <w:sz w:val="22"/>
          <w:szCs w:val="22"/>
          <w:shd w:val="clear" w:color="auto" w:fill="FFFFFF"/>
        </w:rPr>
        <w:t>Dec</w:t>
      </w:r>
      <w:r w:rsidR="006268DE">
        <w:rPr>
          <w:rFonts w:ascii="Cambria" w:hAnsi="Cambria" w:cs="Arial"/>
          <w:sz w:val="22"/>
          <w:szCs w:val="22"/>
          <w:shd w:val="clear" w:color="auto" w:fill="FFFFFF"/>
        </w:rPr>
        <w:t>ember</w:t>
      </w:r>
      <w:r w:rsidR="0049392F">
        <w:rPr>
          <w:rFonts w:ascii="Cambria" w:hAnsi="Cambria" w:cs="Arial"/>
          <w:sz w:val="22"/>
          <w:szCs w:val="22"/>
          <w:shd w:val="clear" w:color="auto" w:fill="FFFFFF"/>
        </w:rPr>
        <w:t xml:space="preserve"> </w:t>
      </w:r>
      <w:r w:rsidR="00832DB3" w:rsidRPr="00C818AF">
        <w:rPr>
          <w:rFonts w:ascii="Cambria" w:hAnsi="Cambria" w:cs="Arial"/>
          <w:sz w:val="22"/>
          <w:szCs w:val="22"/>
          <w:shd w:val="clear" w:color="auto" w:fill="FFFFFF"/>
        </w:rPr>
        <w:t>2018]</w:t>
      </w:r>
      <w:r w:rsidR="00DA1AA6">
        <w:rPr>
          <w:rFonts w:ascii="Cambria" w:hAnsi="Cambria" w:cs="Arial"/>
          <w:sz w:val="22"/>
          <w:szCs w:val="22"/>
          <w:shd w:val="clear" w:color="auto" w:fill="FFFFFF"/>
        </w:rPr>
        <w:t>.</w:t>
      </w:r>
    </w:p>
    <w:p w14:paraId="59EE2E53" w14:textId="1220D91C" w:rsidR="009821D2" w:rsidRDefault="00EF4796" w:rsidP="00494962">
      <w:pPr>
        <w:pStyle w:val="NormalWeb"/>
        <w:rPr>
          <w:rFonts w:ascii="Cambria" w:hAnsi="Cambria" w:cs="GillSans"/>
          <w:iCs/>
          <w:color w:val="000000" w:themeColor="text1"/>
          <w:sz w:val="22"/>
          <w:szCs w:val="22"/>
        </w:rPr>
      </w:pPr>
      <w:proofErr w:type="spellStart"/>
      <w:r>
        <w:rPr>
          <w:rFonts w:ascii="Cambria" w:hAnsi="Cambria" w:cs="GillSans"/>
          <w:color w:val="000000" w:themeColor="text1"/>
          <w:sz w:val="22"/>
          <w:szCs w:val="22"/>
        </w:rPr>
        <w:t>Falch</w:t>
      </w:r>
      <w:proofErr w:type="spellEnd"/>
      <w:r>
        <w:rPr>
          <w:rFonts w:ascii="Cambria" w:hAnsi="Cambria" w:cs="GillSans"/>
          <w:color w:val="000000" w:themeColor="text1"/>
          <w:sz w:val="22"/>
          <w:szCs w:val="22"/>
        </w:rPr>
        <w:t xml:space="preserve">, Å., </w:t>
      </w:r>
      <w:r w:rsidR="00D46709" w:rsidRPr="00A90D10">
        <w:rPr>
          <w:rFonts w:ascii="Cambria" w:hAnsi="Cambria" w:cs="GillSans"/>
          <w:color w:val="000000" w:themeColor="text1"/>
          <w:sz w:val="22"/>
          <w:szCs w:val="22"/>
        </w:rPr>
        <w:t>(2010)</w:t>
      </w:r>
      <w:r w:rsidR="0079161F">
        <w:rPr>
          <w:rFonts w:ascii="Cambria" w:hAnsi="Cambria" w:cs="GillSans"/>
          <w:color w:val="000000" w:themeColor="text1"/>
          <w:sz w:val="22"/>
          <w:szCs w:val="22"/>
        </w:rPr>
        <w:t>.</w:t>
      </w:r>
      <w:r w:rsidR="00D46709" w:rsidRPr="00A90D10">
        <w:rPr>
          <w:rFonts w:ascii="Cambria" w:hAnsi="Cambria" w:cs="GillSans"/>
          <w:color w:val="000000" w:themeColor="text1"/>
          <w:sz w:val="22"/>
          <w:szCs w:val="22"/>
        </w:rPr>
        <w:t xml:space="preserve"> </w:t>
      </w:r>
      <w:r w:rsidR="004E3755">
        <w:rPr>
          <w:rFonts w:ascii="Cambria" w:hAnsi="Cambria" w:cs="GillSans"/>
          <w:color w:val="000000" w:themeColor="text1"/>
          <w:sz w:val="22"/>
          <w:szCs w:val="22"/>
        </w:rPr>
        <w:t>‘</w:t>
      </w:r>
      <w:r w:rsidR="00FB600B" w:rsidRPr="00A90D10">
        <w:rPr>
          <w:rFonts w:ascii="Cambria" w:hAnsi="Cambria"/>
          <w:color w:val="000000" w:themeColor="text1"/>
          <w:sz w:val="22"/>
          <w:szCs w:val="22"/>
        </w:rPr>
        <w:t xml:space="preserve">Women’s Political Participation and Influence in </w:t>
      </w:r>
      <w:r w:rsidR="004E3755">
        <w:rPr>
          <w:rFonts w:ascii="Cambria" w:hAnsi="Cambria"/>
          <w:color w:val="000000" w:themeColor="text1"/>
          <w:sz w:val="22"/>
          <w:szCs w:val="22"/>
        </w:rPr>
        <w:t>Post-Conflict Burundi and Nepal’,</w:t>
      </w:r>
      <w:r>
        <w:rPr>
          <w:rFonts w:ascii="Cambria" w:hAnsi="Cambria"/>
          <w:color w:val="000000" w:themeColor="text1"/>
          <w:sz w:val="22"/>
          <w:szCs w:val="22"/>
        </w:rPr>
        <w:t xml:space="preserve"> </w:t>
      </w:r>
      <w:r w:rsidR="00FB600B" w:rsidRPr="00A90D10">
        <w:rPr>
          <w:rFonts w:ascii="Cambria" w:hAnsi="Cambria" w:cs="GillSans"/>
          <w:i/>
          <w:iCs/>
          <w:color w:val="000000" w:themeColor="text1"/>
          <w:sz w:val="22"/>
          <w:szCs w:val="22"/>
        </w:rPr>
        <w:t>Peace Research I</w:t>
      </w:r>
      <w:r>
        <w:rPr>
          <w:rFonts w:ascii="Cambria" w:hAnsi="Cambria" w:cs="GillSans"/>
          <w:i/>
          <w:iCs/>
          <w:color w:val="000000" w:themeColor="text1"/>
          <w:sz w:val="22"/>
          <w:szCs w:val="22"/>
        </w:rPr>
        <w:t xml:space="preserve">nstitute Oslo (PRIO) </w:t>
      </w:r>
      <w:proofErr w:type="spellStart"/>
      <w:r>
        <w:rPr>
          <w:rFonts w:ascii="Cambria" w:hAnsi="Cambria" w:cs="GillSans"/>
          <w:i/>
          <w:iCs/>
          <w:color w:val="000000" w:themeColor="text1"/>
          <w:sz w:val="22"/>
          <w:szCs w:val="22"/>
        </w:rPr>
        <w:t>Prio</w:t>
      </w:r>
      <w:proofErr w:type="spellEnd"/>
      <w:r>
        <w:rPr>
          <w:rFonts w:ascii="Cambria" w:hAnsi="Cambria" w:cs="GillSans"/>
          <w:i/>
          <w:iCs/>
          <w:color w:val="000000" w:themeColor="text1"/>
          <w:sz w:val="22"/>
          <w:szCs w:val="22"/>
        </w:rPr>
        <w:t xml:space="preserve"> Paper. </w:t>
      </w:r>
      <w:r w:rsidRPr="00EF4796">
        <w:rPr>
          <w:rFonts w:ascii="Cambria" w:hAnsi="Cambria" w:cs="GillSans"/>
          <w:iCs/>
          <w:color w:val="000000" w:themeColor="text1"/>
          <w:sz w:val="22"/>
          <w:szCs w:val="22"/>
        </w:rPr>
        <w:t>Available at:</w:t>
      </w:r>
      <w:r>
        <w:rPr>
          <w:rFonts w:ascii="Cambria" w:hAnsi="Cambria" w:cs="GillSans"/>
          <w:i/>
          <w:iCs/>
          <w:color w:val="000000" w:themeColor="text1"/>
          <w:sz w:val="22"/>
          <w:szCs w:val="22"/>
        </w:rPr>
        <w:t xml:space="preserve"> </w:t>
      </w:r>
      <w:hyperlink r:id="rId11" w:history="1">
        <w:r w:rsidR="00FB600B" w:rsidRPr="00602F59">
          <w:rPr>
            <w:rStyle w:val="Hyperlink"/>
            <w:rFonts w:ascii="Cambria" w:hAnsi="Cambria" w:cs="GillSans"/>
            <w:iCs/>
            <w:sz w:val="22"/>
            <w:szCs w:val="22"/>
          </w:rPr>
          <w:t>https://www.prio.org/utility/DownloadFile.ashx?id=394&amp;type=publicationfile</w:t>
        </w:r>
      </w:hyperlink>
      <w:r w:rsidR="00D46709" w:rsidRPr="00A90D10">
        <w:rPr>
          <w:rFonts w:ascii="Cambria" w:hAnsi="Cambria" w:cs="GillSans"/>
          <w:i/>
          <w:iCs/>
          <w:color w:val="000000" w:themeColor="text1"/>
          <w:sz w:val="22"/>
          <w:szCs w:val="22"/>
        </w:rPr>
        <w:t xml:space="preserve"> </w:t>
      </w:r>
      <w:r w:rsidRPr="00EF4796">
        <w:rPr>
          <w:rFonts w:ascii="Cambria" w:hAnsi="Cambria" w:cs="GillSans"/>
          <w:iCs/>
          <w:color w:val="000000" w:themeColor="text1"/>
          <w:sz w:val="22"/>
          <w:szCs w:val="22"/>
        </w:rPr>
        <w:t>[Accessed</w:t>
      </w:r>
      <w:r w:rsidR="006268DE">
        <w:rPr>
          <w:rFonts w:ascii="Cambria" w:hAnsi="Cambria" w:cs="GillSans"/>
          <w:iCs/>
          <w:color w:val="000000" w:themeColor="text1"/>
          <w:sz w:val="22"/>
          <w:szCs w:val="22"/>
        </w:rPr>
        <w:t xml:space="preserve"> 12</w:t>
      </w:r>
      <w:r w:rsidRPr="00EF4796">
        <w:rPr>
          <w:rFonts w:ascii="Cambria" w:hAnsi="Cambria" w:cs="GillSans"/>
          <w:iCs/>
          <w:color w:val="000000" w:themeColor="text1"/>
          <w:sz w:val="22"/>
          <w:szCs w:val="22"/>
        </w:rPr>
        <w:t xml:space="preserve"> Oct</w:t>
      </w:r>
      <w:r w:rsidR="006268DE">
        <w:rPr>
          <w:rFonts w:ascii="Cambria" w:hAnsi="Cambria" w:cs="GillSans"/>
          <w:iCs/>
          <w:color w:val="000000" w:themeColor="text1"/>
          <w:sz w:val="22"/>
          <w:szCs w:val="22"/>
        </w:rPr>
        <w:t>ober</w:t>
      </w:r>
      <w:r w:rsidR="00FB600B" w:rsidRPr="00EF4796">
        <w:rPr>
          <w:rFonts w:ascii="Cambria" w:hAnsi="Cambria" w:cs="GillSans"/>
          <w:iCs/>
          <w:color w:val="000000" w:themeColor="text1"/>
          <w:sz w:val="22"/>
          <w:szCs w:val="22"/>
        </w:rPr>
        <w:t xml:space="preserve"> 2018</w:t>
      </w:r>
      <w:r w:rsidRPr="00EF4796">
        <w:rPr>
          <w:rFonts w:ascii="Cambria" w:hAnsi="Cambria" w:cs="GillSans"/>
          <w:iCs/>
          <w:color w:val="000000" w:themeColor="text1"/>
          <w:sz w:val="22"/>
          <w:szCs w:val="22"/>
        </w:rPr>
        <w:t>]</w:t>
      </w:r>
      <w:r w:rsidR="00DA1AA6">
        <w:rPr>
          <w:rFonts w:ascii="Cambria" w:hAnsi="Cambria" w:cs="GillSans"/>
          <w:iCs/>
          <w:color w:val="000000" w:themeColor="text1"/>
          <w:sz w:val="22"/>
          <w:szCs w:val="22"/>
        </w:rPr>
        <w:t>.</w:t>
      </w:r>
    </w:p>
    <w:p w14:paraId="14991584" w14:textId="543F3119" w:rsidR="00FB3EAC" w:rsidRPr="0079161F" w:rsidRDefault="00FB3EAC" w:rsidP="00494962">
      <w:pPr>
        <w:spacing w:before="100" w:beforeAutospacing="1"/>
        <w:outlineLvl w:val="1"/>
        <w:rPr>
          <w:rFonts w:ascii="Cambria" w:eastAsia="Times New Roman" w:hAnsi="Cambria"/>
          <w:bCs/>
          <w:color w:val="000000" w:themeColor="text1"/>
          <w:sz w:val="22"/>
          <w:szCs w:val="22"/>
          <w:lang w:eastAsia="en-GB"/>
        </w:rPr>
      </w:pPr>
      <w:proofErr w:type="spellStart"/>
      <w:r w:rsidRPr="0079161F">
        <w:rPr>
          <w:rFonts w:ascii="Cambria" w:eastAsia="Times New Roman" w:hAnsi="Cambria"/>
          <w:bCs/>
          <w:color w:val="000000" w:themeColor="text1"/>
          <w:sz w:val="22"/>
          <w:szCs w:val="22"/>
          <w:lang w:eastAsia="en-GB"/>
        </w:rPr>
        <w:t>Fearon</w:t>
      </w:r>
      <w:proofErr w:type="spellEnd"/>
      <w:r w:rsidRPr="0079161F">
        <w:rPr>
          <w:rFonts w:ascii="Cambria" w:eastAsia="Times New Roman" w:hAnsi="Cambria"/>
          <w:bCs/>
          <w:color w:val="000000" w:themeColor="text1"/>
          <w:sz w:val="22"/>
          <w:szCs w:val="22"/>
          <w:lang w:eastAsia="en-GB"/>
        </w:rPr>
        <w:t>, K.</w:t>
      </w:r>
      <w:r w:rsidR="0079161F">
        <w:rPr>
          <w:rFonts w:ascii="Cambria" w:eastAsia="Times New Roman" w:hAnsi="Cambria"/>
          <w:bCs/>
          <w:color w:val="000000" w:themeColor="text1"/>
          <w:sz w:val="22"/>
          <w:szCs w:val="22"/>
          <w:lang w:eastAsia="en-GB"/>
        </w:rPr>
        <w:t>,</w:t>
      </w:r>
      <w:r w:rsidRPr="0079161F">
        <w:rPr>
          <w:rFonts w:ascii="Cambria" w:eastAsia="Times New Roman" w:hAnsi="Cambria"/>
          <w:bCs/>
          <w:color w:val="000000" w:themeColor="text1"/>
          <w:sz w:val="22"/>
          <w:szCs w:val="22"/>
          <w:lang w:eastAsia="en-GB"/>
        </w:rPr>
        <w:t xml:space="preserve"> (1999)</w:t>
      </w:r>
      <w:r w:rsidR="0079161F" w:rsidRPr="0079161F">
        <w:rPr>
          <w:rFonts w:ascii="Cambria" w:eastAsia="Times New Roman" w:hAnsi="Cambria"/>
          <w:bCs/>
          <w:color w:val="000000" w:themeColor="text1"/>
          <w:sz w:val="22"/>
          <w:szCs w:val="22"/>
          <w:lang w:eastAsia="en-GB"/>
        </w:rPr>
        <w:t>.</w:t>
      </w:r>
      <w:r w:rsidRPr="0079161F">
        <w:rPr>
          <w:rFonts w:ascii="Cambria" w:eastAsia="Times New Roman" w:hAnsi="Cambria"/>
          <w:bCs/>
          <w:color w:val="000000" w:themeColor="text1"/>
          <w:sz w:val="22"/>
          <w:szCs w:val="22"/>
          <w:lang w:eastAsia="en-GB"/>
        </w:rPr>
        <w:t xml:space="preserve"> </w:t>
      </w:r>
      <w:r w:rsidRPr="0079161F">
        <w:rPr>
          <w:rFonts w:ascii="Cambria" w:eastAsia="Times New Roman" w:hAnsi="Cambria"/>
          <w:bCs/>
          <w:i/>
          <w:color w:val="000000" w:themeColor="text1"/>
          <w:sz w:val="22"/>
          <w:szCs w:val="22"/>
          <w:lang w:eastAsia="en-GB"/>
        </w:rPr>
        <w:t>Women’s Work: The Story of the Northern Ireland Women’s Coalition</w:t>
      </w:r>
      <w:r w:rsidR="0079161F" w:rsidRPr="0079161F">
        <w:rPr>
          <w:rFonts w:ascii="Cambria" w:eastAsia="Times New Roman" w:hAnsi="Cambria"/>
          <w:bCs/>
          <w:color w:val="000000" w:themeColor="text1"/>
          <w:sz w:val="22"/>
          <w:szCs w:val="22"/>
          <w:lang w:eastAsia="en-GB"/>
        </w:rPr>
        <w:t xml:space="preserve">. Belfast: </w:t>
      </w:r>
      <w:proofErr w:type="spellStart"/>
      <w:r w:rsidR="0079161F" w:rsidRPr="0079161F">
        <w:rPr>
          <w:rFonts w:ascii="Cambria" w:eastAsia="Times New Roman" w:hAnsi="Cambria"/>
          <w:bCs/>
          <w:color w:val="000000" w:themeColor="text1"/>
          <w:sz w:val="22"/>
          <w:szCs w:val="22"/>
          <w:lang w:eastAsia="en-GB"/>
        </w:rPr>
        <w:t>Blackstaff</w:t>
      </w:r>
      <w:proofErr w:type="spellEnd"/>
      <w:r w:rsidR="00DA1AA6">
        <w:rPr>
          <w:rFonts w:ascii="Cambria" w:eastAsia="Times New Roman" w:hAnsi="Cambria"/>
          <w:bCs/>
          <w:color w:val="000000" w:themeColor="text1"/>
          <w:sz w:val="22"/>
          <w:szCs w:val="22"/>
          <w:lang w:eastAsia="en-GB"/>
        </w:rPr>
        <w:t>.</w:t>
      </w:r>
    </w:p>
    <w:p w14:paraId="0690E93F" w14:textId="174B7C2D" w:rsidR="00730EF9" w:rsidRPr="00C818AF" w:rsidRDefault="00C82693" w:rsidP="00494962">
      <w:pPr>
        <w:pStyle w:val="NormalWeb"/>
        <w:rPr>
          <w:rFonts w:ascii="Cambria" w:hAnsi="Cambria" w:cs="GillSans"/>
          <w:iCs/>
          <w:color w:val="000000" w:themeColor="text1"/>
          <w:sz w:val="22"/>
          <w:szCs w:val="22"/>
        </w:rPr>
      </w:pPr>
      <w:r w:rsidRPr="00C818AF">
        <w:rPr>
          <w:rFonts w:ascii="Cambria" w:hAnsi="Cambria" w:cs="GillSans"/>
          <w:iCs/>
          <w:color w:val="000000" w:themeColor="text1"/>
          <w:sz w:val="22"/>
          <w:szCs w:val="22"/>
        </w:rPr>
        <w:t>Fraser, N.</w:t>
      </w:r>
      <w:r w:rsidR="0079161F">
        <w:rPr>
          <w:rFonts w:ascii="Cambria" w:hAnsi="Cambria" w:cs="GillSans"/>
          <w:iCs/>
          <w:color w:val="000000" w:themeColor="text1"/>
          <w:sz w:val="22"/>
          <w:szCs w:val="22"/>
        </w:rPr>
        <w:t>,</w:t>
      </w:r>
      <w:r w:rsidRPr="00C818AF">
        <w:rPr>
          <w:rFonts w:ascii="Cambria" w:hAnsi="Cambria" w:cs="GillSans"/>
          <w:iCs/>
          <w:color w:val="000000" w:themeColor="text1"/>
          <w:sz w:val="22"/>
          <w:szCs w:val="22"/>
        </w:rPr>
        <w:t xml:space="preserve"> (2003)</w:t>
      </w:r>
      <w:r w:rsidR="004E3755">
        <w:rPr>
          <w:rFonts w:ascii="Cambria" w:hAnsi="Cambria" w:cs="GillSans"/>
          <w:iCs/>
          <w:color w:val="000000" w:themeColor="text1"/>
          <w:sz w:val="22"/>
          <w:szCs w:val="22"/>
        </w:rPr>
        <w:t>.</w:t>
      </w:r>
      <w:r w:rsidR="00C818AF" w:rsidRPr="00C818AF">
        <w:rPr>
          <w:rFonts w:ascii="Cambria" w:hAnsi="Cambria" w:cs="GillSans"/>
          <w:iCs/>
          <w:color w:val="000000" w:themeColor="text1"/>
          <w:sz w:val="22"/>
          <w:szCs w:val="22"/>
        </w:rPr>
        <w:t xml:space="preserve"> </w:t>
      </w:r>
      <w:r w:rsidR="00C818AF" w:rsidRPr="00C818AF">
        <w:rPr>
          <w:rFonts w:ascii="Cambria" w:hAnsi="Cambria" w:cs="GillSans"/>
          <w:i/>
          <w:iCs/>
          <w:color w:val="000000" w:themeColor="text1"/>
          <w:sz w:val="22"/>
          <w:szCs w:val="22"/>
        </w:rPr>
        <w:t>Redistribution or Recognition?: A Political-Philosophical Exchange</w:t>
      </w:r>
      <w:r w:rsidR="00C818AF" w:rsidRPr="00C818AF">
        <w:rPr>
          <w:rFonts w:ascii="Cambria" w:hAnsi="Cambria" w:cs="GillSans"/>
          <w:iCs/>
          <w:color w:val="000000" w:themeColor="text1"/>
          <w:sz w:val="22"/>
          <w:szCs w:val="22"/>
        </w:rPr>
        <w:t>. London and New York: Verso</w:t>
      </w:r>
      <w:r w:rsidR="00DA1AA6">
        <w:rPr>
          <w:rFonts w:ascii="Cambria" w:hAnsi="Cambria" w:cs="GillSans"/>
          <w:iCs/>
          <w:color w:val="000000" w:themeColor="text1"/>
          <w:sz w:val="22"/>
          <w:szCs w:val="22"/>
        </w:rPr>
        <w:t>.</w:t>
      </w:r>
    </w:p>
    <w:p w14:paraId="797E4CF6" w14:textId="7BFE0286" w:rsidR="009821D2" w:rsidRDefault="009821D2" w:rsidP="00494962">
      <w:pPr>
        <w:pStyle w:val="RefReference"/>
        <w:spacing w:after="0" w:line="240" w:lineRule="auto"/>
        <w:ind w:left="0" w:firstLine="0"/>
        <w:rPr>
          <w:rFonts w:ascii="Cambria" w:hAnsi="Cambria"/>
          <w:bCs/>
          <w:sz w:val="22"/>
          <w:szCs w:val="22"/>
        </w:rPr>
      </w:pPr>
      <w:r w:rsidRPr="00A90D10">
        <w:rPr>
          <w:rFonts w:ascii="Cambria" w:hAnsi="Cambria"/>
          <w:sz w:val="22"/>
          <w:szCs w:val="22"/>
          <w:bdr w:val="none" w:sz="0" w:space="0" w:color="auto" w:frame="1"/>
          <w:shd w:val="clear" w:color="auto" w:fill="FFFFFF"/>
        </w:rPr>
        <w:t>Gains, F</w:t>
      </w:r>
      <w:r w:rsidR="00E15B5F" w:rsidRPr="00A90D10">
        <w:rPr>
          <w:rFonts w:ascii="Cambria" w:hAnsi="Cambria"/>
          <w:sz w:val="22"/>
          <w:szCs w:val="22"/>
          <w:bdr w:val="none" w:sz="0" w:space="0" w:color="auto" w:frame="1"/>
          <w:shd w:val="clear" w:color="auto" w:fill="FFFFFF"/>
        </w:rPr>
        <w:t>.</w:t>
      </w:r>
      <w:r w:rsidR="00EF4796">
        <w:rPr>
          <w:rFonts w:ascii="Cambria" w:hAnsi="Cambria"/>
          <w:sz w:val="22"/>
          <w:szCs w:val="22"/>
          <w:bdr w:val="none" w:sz="0" w:space="0" w:color="auto" w:frame="1"/>
          <w:shd w:val="clear" w:color="auto" w:fill="FFFFFF"/>
        </w:rPr>
        <w:t>,</w:t>
      </w:r>
      <w:r w:rsidRPr="00A90D10">
        <w:rPr>
          <w:rFonts w:ascii="Cambria" w:hAnsi="Cambria"/>
          <w:sz w:val="22"/>
          <w:szCs w:val="22"/>
          <w:bdr w:val="none" w:sz="0" w:space="0" w:color="auto" w:frame="1"/>
          <w:shd w:val="clear" w:color="auto" w:fill="FFFFFF"/>
        </w:rPr>
        <w:t xml:space="preserve"> </w:t>
      </w:r>
      <w:r w:rsidRPr="00A90D10">
        <w:rPr>
          <w:rFonts w:ascii="Cambria" w:hAnsi="Cambria"/>
          <w:sz w:val="22"/>
          <w:szCs w:val="22"/>
          <w:shd w:val="clear" w:color="auto" w:fill="FFFFFF"/>
        </w:rPr>
        <w:t>and Lowndes</w:t>
      </w:r>
      <w:r w:rsidR="00E15B5F" w:rsidRPr="00A90D10">
        <w:rPr>
          <w:rFonts w:ascii="Cambria" w:hAnsi="Cambria"/>
          <w:sz w:val="22"/>
          <w:szCs w:val="22"/>
          <w:shd w:val="clear" w:color="auto" w:fill="FFFFFF"/>
        </w:rPr>
        <w:t>, V</w:t>
      </w:r>
      <w:r w:rsidRPr="00A90D10">
        <w:rPr>
          <w:rFonts w:ascii="Cambria" w:hAnsi="Cambria"/>
          <w:sz w:val="22"/>
          <w:szCs w:val="22"/>
          <w:shd w:val="clear" w:color="auto" w:fill="FFFFFF"/>
        </w:rPr>
        <w:t>.</w:t>
      </w:r>
      <w:r w:rsidR="00EF4796">
        <w:rPr>
          <w:rFonts w:ascii="Cambria" w:hAnsi="Cambria"/>
          <w:sz w:val="22"/>
          <w:szCs w:val="22"/>
          <w:shd w:val="clear" w:color="auto" w:fill="FFFFFF"/>
        </w:rPr>
        <w:t>,</w:t>
      </w:r>
      <w:r w:rsidRPr="00A90D10">
        <w:rPr>
          <w:rFonts w:ascii="Cambria" w:hAnsi="Cambria"/>
          <w:sz w:val="22"/>
          <w:szCs w:val="22"/>
          <w:shd w:val="clear" w:color="auto" w:fill="FFFFFF"/>
        </w:rPr>
        <w:t xml:space="preserve"> </w:t>
      </w:r>
      <w:r w:rsidR="00E15B5F" w:rsidRPr="00A90D10">
        <w:rPr>
          <w:rFonts w:ascii="Cambria" w:hAnsi="Cambria"/>
          <w:sz w:val="22"/>
          <w:szCs w:val="22"/>
          <w:shd w:val="clear" w:color="auto" w:fill="FFFFFF"/>
        </w:rPr>
        <w:t>(</w:t>
      </w:r>
      <w:r w:rsidRPr="00A90D10">
        <w:rPr>
          <w:rFonts w:ascii="Cambria" w:hAnsi="Cambria"/>
          <w:sz w:val="22"/>
          <w:szCs w:val="22"/>
          <w:shd w:val="clear" w:color="auto" w:fill="FFFFFF"/>
        </w:rPr>
        <w:t>2014</w:t>
      </w:r>
      <w:r w:rsidR="00E15B5F" w:rsidRPr="00A90D10">
        <w:rPr>
          <w:rFonts w:ascii="Cambria" w:hAnsi="Cambria"/>
          <w:sz w:val="22"/>
          <w:szCs w:val="22"/>
          <w:shd w:val="clear" w:color="auto" w:fill="FFFFFF"/>
        </w:rPr>
        <w:t>)</w:t>
      </w:r>
      <w:r w:rsidR="00EF4796">
        <w:rPr>
          <w:rFonts w:ascii="Cambria" w:hAnsi="Cambria"/>
          <w:sz w:val="22"/>
          <w:szCs w:val="22"/>
          <w:shd w:val="clear" w:color="auto" w:fill="FFFFFF"/>
        </w:rPr>
        <w:t>.</w:t>
      </w:r>
      <w:r w:rsidR="00EF4796">
        <w:rPr>
          <w:rStyle w:val="apple-converted-space"/>
          <w:rFonts w:ascii="Cambria" w:hAnsi="Cambria"/>
          <w:sz w:val="22"/>
          <w:szCs w:val="22"/>
          <w:shd w:val="clear" w:color="auto" w:fill="FFFFFF"/>
        </w:rPr>
        <w:t> ‘</w:t>
      </w:r>
      <w:r w:rsidRPr="00A90D10">
        <w:rPr>
          <w:rFonts w:ascii="Cambria" w:hAnsi="Cambria"/>
          <w:bCs/>
          <w:sz w:val="22"/>
          <w:szCs w:val="22"/>
        </w:rPr>
        <w:t>How is Institutional Formation Gendered,</w:t>
      </w:r>
      <w:r w:rsidR="00EF4796">
        <w:rPr>
          <w:rFonts w:ascii="Cambria" w:hAnsi="Cambria"/>
          <w:bCs/>
          <w:sz w:val="22"/>
          <w:szCs w:val="22"/>
        </w:rPr>
        <w:t xml:space="preserve"> and Does it Make a Difference? </w:t>
      </w:r>
      <w:r w:rsidRPr="00A90D10">
        <w:rPr>
          <w:rFonts w:ascii="Cambria" w:hAnsi="Cambria"/>
          <w:bCs/>
          <w:sz w:val="22"/>
          <w:szCs w:val="22"/>
        </w:rPr>
        <w:t>A New Conceptual Framework and a Case Study of Police and Crime Comm</w:t>
      </w:r>
      <w:r w:rsidR="00EF4796">
        <w:rPr>
          <w:rFonts w:ascii="Cambria" w:hAnsi="Cambria"/>
          <w:bCs/>
          <w:sz w:val="22"/>
          <w:szCs w:val="22"/>
        </w:rPr>
        <w:t>issioners in England and Wales’.</w:t>
      </w:r>
      <w:r w:rsidRPr="00A90D10">
        <w:rPr>
          <w:rFonts w:ascii="Cambria" w:hAnsi="Cambria"/>
          <w:bCs/>
          <w:sz w:val="22"/>
          <w:szCs w:val="22"/>
        </w:rPr>
        <w:t xml:space="preserve"> </w:t>
      </w:r>
      <w:r w:rsidRPr="00A90D10">
        <w:rPr>
          <w:rFonts w:ascii="Cambria" w:hAnsi="Cambria"/>
          <w:bCs/>
          <w:i/>
          <w:sz w:val="22"/>
          <w:szCs w:val="22"/>
        </w:rPr>
        <w:t>Politics and Gender</w:t>
      </w:r>
      <w:r w:rsidR="004E3755">
        <w:rPr>
          <w:rFonts w:ascii="Cambria" w:hAnsi="Cambria"/>
          <w:bCs/>
          <w:sz w:val="22"/>
          <w:szCs w:val="22"/>
        </w:rPr>
        <w:t xml:space="preserve"> </w:t>
      </w:r>
      <w:r w:rsidR="00E424B9">
        <w:rPr>
          <w:rFonts w:ascii="Cambria" w:hAnsi="Cambria"/>
          <w:bCs/>
          <w:sz w:val="22"/>
          <w:szCs w:val="22"/>
        </w:rPr>
        <w:t>10(4):</w:t>
      </w:r>
      <w:r w:rsidR="00DA1AA6">
        <w:rPr>
          <w:rFonts w:ascii="Cambria" w:hAnsi="Cambria"/>
          <w:bCs/>
          <w:sz w:val="22"/>
          <w:szCs w:val="22"/>
        </w:rPr>
        <w:t xml:space="preserve"> </w:t>
      </w:r>
      <w:r w:rsidR="00EB34D1">
        <w:rPr>
          <w:rFonts w:ascii="Cambria" w:hAnsi="Cambria"/>
          <w:bCs/>
          <w:sz w:val="22"/>
          <w:szCs w:val="22"/>
        </w:rPr>
        <w:t>524-52</w:t>
      </w:r>
      <w:r w:rsidR="00602F59">
        <w:rPr>
          <w:rFonts w:ascii="Cambria" w:hAnsi="Cambria"/>
          <w:bCs/>
          <w:sz w:val="22"/>
          <w:szCs w:val="22"/>
        </w:rPr>
        <w:t>8</w:t>
      </w:r>
      <w:r w:rsidR="00DA1AA6">
        <w:rPr>
          <w:rFonts w:ascii="Cambria" w:hAnsi="Cambria"/>
          <w:bCs/>
          <w:sz w:val="22"/>
          <w:szCs w:val="22"/>
        </w:rPr>
        <w:t>.</w:t>
      </w:r>
    </w:p>
    <w:p w14:paraId="34052095" w14:textId="77777777" w:rsidR="00730EF9" w:rsidRDefault="00730EF9" w:rsidP="00494962">
      <w:pPr>
        <w:pStyle w:val="RefReference"/>
        <w:spacing w:after="0" w:line="240" w:lineRule="auto"/>
        <w:ind w:left="0" w:firstLine="0"/>
        <w:rPr>
          <w:rFonts w:ascii="Cambria" w:hAnsi="Cambria"/>
          <w:bCs/>
          <w:sz w:val="22"/>
          <w:szCs w:val="22"/>
        </w:rPr>
      </w:pPr>
    </w:p>
    <w:p w14:paraId="43BFC1FB" w14:textId="2576B384" w:rsidR="00730EF9" w:rsidRPr="00E73471" w:rsidRDefault="00730EF9" w:rsidP="00494962">
      <w:pPr>
        <w:pStyle w:val="RefReference"/>
        <w:spacing w:after="0" w:line="240" w:lineRule="auto"/>
        <w:ind w:left="0" w:firstLine="0"/>
        <w:rPr>
          <w:rFonts w:ascii="Cambria" w:hAnsi="Cambria"/>
          <w:bCs/>
          <w:color w:val="000000" w:themeColor="text1"/>
          <w:sz w:val="22"/>
          <w:szCs w:val="22"/>
        </w:rPr>
      </w:pPr>
      <w:proofErr w:type="spellStart"/>
      <w:r w:rsidRPr="00E73471">
        <w:rPr>
          <w:rFonts w:ascii="Cambria" w:hAnsi="Cambria"/>
          <w:bCs/>
          <w:color w:val="000000" w:themeColor="text1"/>
          <w:sz w:val="22"/>
          <w:szCs w:val="22"/>
        </w:rPr>
        <w:t>Galligan</w:t>
      </w:r>
      <w:proofErr w:type="spellEnd"/>
      <w:r w:rsidRPr="00E73471">
        <w:rPr>
          <w:rFonts w:ascii="Cambria" w:hAnsi="Cambria"/>
          <w:bCs/>
          <w:color w:val="000000" w:themeColor="text1"/>
          <w:sz w:val="22"/>
          <w:szCs w:val="22"/>
        </w:rPr>
        <w:t>, Y.</w:t>
      </w:r>
      <w:r w:rsidR="0079161F">
        <w:rPr>
          <w:rFonts w:ascii="Cambria" w:hAnsi="Cambria"/>
          <w:bCs/>
          <w:color w:val="000000" w:themeColor="text1"/>
          <w:sz w:val="22"/>
          <w:szCs w:val="22"/>
        </w:rPr>
        <w:t>,</w:t>
      </w:r>
      <w:r w:rsidRPr="00E73471">
        <w:rPr>
          <w:rFonts w:ascii="Cambria" w:hAnsi="Cambria"/>
          <w:bCs/>
          <w:color w:val="000000" w:themeColor="text1"/>
          <w:sz w:val="22"/>
          <w:szCs w:val="22"/>
        </w:rPr>
        <w:t xml:space="preserve"> (2013)</w:t>
      </w:r>
      <w:r w:rsidR="00DA1AA6">
        <w:rPr>
          <w:rFonts w:ascii="Cambria" w:hAnsi="Cambria"/>
          <w:bCs/>
          <w:color w:val="000000" w:themeColor="text1"/>
          <w:sz w:val="22"/>
          <w:szCs w:val="22"/>
        </w:rPr>
        <w:t>.</w:t>
      </w:r>
      <w:r w:rsidR="00E73471" w:rsidRPr="00E73471">
        <w:rPr>
          <w:rFonts w:ascii="Cambria" w:hAnsi="Cambria"/>
          <w:color w:val="000000" w:themeColor="text1"/>
          <w:sz w:val="22"/>
          <w:szCs w:val="22"/>
        </w:rPr>
        <w:t xml:space="preserve"> ‘</w:t>
      </w:r>
      <w:r w:rsidR="00E73471" w:rsidRPr="00E73471">
        <w:rPr>
          <w:rStyle w:val="Strong"/>
          <w:rFonts w:ascii="Cambria" w:hAnsi="Cambria"/>
          <w:b w:val="0"/>
          <w:color w:val="000000" w:themeColor="text1"/>
          <w:sz w:val="22"/>
          <w:szCs w:val="22"/>
        </w:rPr>
        <w:t>Gender and</w:t>
      </w:r>
      <w:r w:rsidR="00EB34D1">
        <w:rPr>
          <w:rStyle w:val="Strong"/>
          <w:rFonts w:ascii="Cambria" w:hAnsi="Cambria"/>
          <w:b w:val="0"/>
          <w:color w:val="000000" w:themeColor="text1"/>
          <w:sz w:val="22"/>
          <w:szCs w:val="22"/>
        </w:rPr>
        <w:t xml:space="preserve"> Politics in Northern Ireland: The Representation Gap R</w:t>
      </w:r>
      <w:r w:rsidR="00E73471" w:rsidRPr="00E73471">
        <w:rPr>
          <w:rStyle w:val="Strong"/>
          <w:rFonts w:ascii="Cambria" w:hAnsi="Cambria"/>
          <w:b w:val="0"/>
          <w:color w:val="000000" w:themeColor="text1"/>
          <w:sz w:val="22"/>
          <w:szCs w:val="22"/>
        </w:rPr>
        <w:t>evisited</w:t>
      </w:r>
      <w:r w:rsidR="00E73471" w:rsidRPr="00E73471">
        <w:rPr>
          <w:rStyle w:val="Strong"/>
          <w:rFonts w:ascii="Cambria" w:hAnsi="Cambria"/>
          <w:color w:val="000000" w:themeColor="text1"/>
          <w:sz w:val="22"/>
          <w:szCs w:val="22"/>
        </w:rPr>
        <w:t>’</w:t>
      </w:r>
      <w:r w:rsidR="00557D62">
        <w:rPr>
          <w:rStyle w:val="Strong"/>
          <w:rFonts w:ascii="Cambria" w:hAnsi="Cambria"/>
          <w:color w:val="000000" w:themeColor="text1"/>
          <w:sz w:val="22"/>
          <w:szCs w:val="22"/>
        </w:rPr>
        <w:t>.</w:t>
      </w:r>
      <w:r w:rsidR="00E73471" w:rsidRPr="00E73471">
        <w:rPr>
          <w:rStyle w:val="Strong"/>
          <w:rFonts w:ascii="Cambria" w:hAnsi="Cambria"/>
          <w:color w:val="000000" w:themeColor="text1"/>
          <w:sz w:val="22"/>
          <w:szCs w:val="22"/>
        </w:rPr>
        <w:t xml:space="preserve"> </w:t>
      </w:r>
      <w:r w:rsidR="00E73471" w:rsidRPr="00E73471">
        <w:rPr>
          <w:rFonts w:ascii="Cambria" w:hAnsi="Cambria"/>
          <w:i/>
          <w:color w:val="000000" w:themeColor="text1"/>
          <w:sz w:val="22"/>
          <w:szCs w:val="22"/>
          <w:shd w:val="clear" w:color="auto" w:fill="FFFFFF"/>
        </w:rPr>
        <w:t>Irish Political Studies</w:t>
      </w:r>
      <w:r w:rsidR="00EB34D1">
        <w:rPr>
          <w:rFonts w:ascii="Cambria" w:hAnsi="Cambria"/>
          <w:color w:val="000000" w:themeColor="text1"/>
          <w:sz w:val="22"/>
          <w:szCs w:val="22"/>
          <w:shd w:val="clear" w:color="auto" w:fill="FFFFFF"/>
        </w:rPr>
        <w:t xml:space="preserve"> 28</w:t>
      </w:r>
      <w:r w:rsidR="00E73471" w:rsidRPr="00E73471">
        <w:rPr>
          <w:rFonts w:ascii="Cambria" w:hAnsi="Cambria"/>
          <w:color w:val="000000" w:themeColor="text1"/>
          <w:sz w:val="22"/>
          <w:szCs w:val="22"/>
          <w:shd w:val="clear" w:color="auto" w:fill="FFFFFF"/>
        </w:rPr>
        <w:t>(3):</w:t>
      </w:r>
      <w:r w:rsidR="00DA1AA6">
        <w:rPr>
          <w:rFonts w:ascii="Cambria" w:hAnsi="Cambria"/>
          <w:color w:val="000000" w:themeColor="text1"/>
          <w:sz w:val="22"/>
          <w:szCs w:val="22"/>
          <w:shd w:val="clear" w:color="auto" w:fill="FFFFFF"/>
        </w:rPr>
        <w:t xml:space="preserve"> </w:t>
      </w:r>
      <w:r w:rsidR="00E73471" w:rsidRPr="00E73471">
        <w:rPr>
          <w:rFonts w:ascii="Cambria" w:hAnsi="Cambria"/>
          <w:color w:val="000000" w:themeColor="text1"/>
          <w:sz w:val="22"/>
          <w:szCs w:val="22"/>
          <w:shd w:val="clear" w:color="auto" w:fill="FFFFFF"/>
        </w:rPr>
        <w:t>413-433</w:t>
      </w:r>
      <w:r w:rsidR="00DA1AA6">
        <w:rPr>
          <w:rFonts w:ascii="Cambria" w:hAnsi="Cambria"/>
          <w:color w:val="000000" w:themeColor="text1"/>
          <w:sz w:val="22"/>
          <w:szCs w:val="22"/>
          <w:shd w:val="clear" w:color="auto" w:fill="FFFFFF"/>
        </w:rPr>
        <w:t>.</w:t>
      </w:r>
    </w:p>
    <w:p w14:paraId="51C0A056" w14:textId="77777777" w:rsidR="008E0013" w:rsidRDefault="008E0013" w:rsidP="00494962">
      <w:pPr>
        <w:pStyle w:val="RefReference"/>
        <w:spacing w:after="0" w:line="240" w:lineRule="auto"/>
        <w:ind w:left="0" w:firstLine="0"/>
        <w:rPr>
          <w:rFonts w:ascii="Cambria" w:hAnsi="Cambria"/>
          <w:bCs/>
          <w:color w:val="FF0000"/>
          <w:sz w:val="22"/>
          <w:szCs w:val="22"/>
        </w:rPr>
      </w:pPr>
    </w:p>
    <w:p w14:paraId="0C1FFCF1" w14:textId="435C565B" w:rsidR="008E0013" w:rsidRPr="008E0013" w:rsidRDefault="008E0013" w:rsidP="00494962">
      <w:pPr>
        <w:rPr>
          <w:rStyle w:val="Hyperlink"/>
          <w:rFonts w:ascii="Cambria" w:hAnsi="Cambria"/>
          <w:color w:val="auto"/>
          <w:sz w:val="22"/>
          <w:szCs w:val="22"/>
        </w:rPr>
      </w:pPr>
      <w:r w:rsidRPr="008E0013">
        <w:rPr>
          <w:rFonts w:ascii="Cambria" w:hAnsi="Cambria"/>
          <w:sz w:val="22"/>
          <w:szCs w:val="22"/>
        </w:rPr>
        <w:t xml:space="preserve">Gender Quotas Database., (2018). </w:t>
      </w:r>
      <w:r w:rsidRPr="008E0013">
        <w:rPr>
          <w:rFonts w:ascii="Cambria" w:hAnsi="Cambria" w:cs="Arial"/>
          <w:sz w:val="22"/>
          <w:szCs w:val="22"/>
          <w:shd w:val="clear" w:color="auto" w:fill="FFFFFF"/>
        </w:rPr>
        <w:t xml:space="preserve">Available at: </w:t>
      </w:r>
      <w:hyperlink r:id="rId12" w:history="1">
        <w:r w:rsidR="002C6C19" w:rsidRPr="002C6C19">
          <w:rPr>
            <w:rStyle w:val="Hyperlink"/>
            <w:rFonts w:ascii="Cambria" w:hAnsi="Cambria" w:cs="Arial"/>
            <w:sz w:val="22"/>
            <w:szCs w:val="22"/>
            <w:shd w:val="clear" w:color="auto" w:fill="FFFFFF"/>
          </w:rPr>
          <w:t>http://www.quotaproject.org/country/rwanda</w:t>
        </w:r>
      </w:hyperlink>
      <w:r w:rsidR="002C6C19">
        <w:rPr>
          <w:rFonts w:ascii="Cambria" w:hAnsi="Cambria" w:cs="Arial"/>
          <w:sz w:val="22"/>
          <w:szCs w:val="22"/>
          <w:shd w:val="clear" w:color="auto" w:fill="FFFFFF"/>
        </w:rPr>
        <w:t xml:space="preserve"> </w:t>
      </w:r>
      <w:r w:rsidR="002C6C19" w:rsidRPr="008E0013">
        <w:rPr>
          <w:rFonts w:ascii="Cambria" w:hAnsi="Cambria" w:cs="Arial"/>
          <w:sz w:val="22"/>
          <w:szCs w:val="22"/>
          <w:shd w:val="clear" w:color="auto" w:fill="FFFFFF"/>
        </w:rPr>
        <w:t xml:space="preserve">[Viewed </w:t>
      </w:r>
      <w:r w:rsidR="00EB34D1">
        <w:rPr>
          <w:rFonts w:ascii="Cambria" w:hAnsi="Cambria" w:cs="Arial"/>
          <w:sz w:val="22"/>
          <w:szCs w:val="22"/>
          <w:shd w:val="clear" w:color="auto" w:fill="FFFFFF"/>
        </w:rPr>
        <w:t xml:space="preserve">8 </w:t>
      </w:r>
      <w:r w:rsidR="002C6C19" w:rsidRPr="008E0013">
        <w:rPr>
          <w:rFonts w:ascii="Cambria" w:hAnsi="Cambria" w:cs="Arial"/>
          <w:sz w:val="22"/>
          <w:szCs w:val="22"/>
          <w:shd w:val="clear" w:color="auto" w:fill="FFFFFF"/>
        </w:rPr>
        <w:t>Dec</w:t>
      </w:r>
      <w:r w:rsidR="00EB34D1">
        <w:rPr>
          <w:rFonts w:ascii="Cambria" w:hAnsi="Cambria" w:cs="Arial"/>
          <w:sz w:val="22"/>
          <w:szCs w:val="22"/>
          <w:shd w:val="clear" w:color="auto" w:fill="FFFFFF"/>
        </w:rPr>
        <w:t>ember</w:t>
      </w:r>
      <w:r w:rsidR="0049392F">
        <w:rPr>
          <w:rFonts w:ascii="Cambria" w:hAnsi="Cambria" w:cs="Arial"/>
          <w:sz w:val="22"/>
          <w:szCs w:val="22"/>
          <w:shd w:val="clear" w:color="auto" w:fill="FFFFFF"/>
        </w:rPr>
        <w:t xml:space="preserve"> </w:t>
      </w:r>
      <w:r w:rsidR="002C6C19" w:rsidRPr="008E0013">
        <w:rPr>
          <w:rFonts w:ascii="Cambria" w:hAnsi="Cambria" w:cs="Arial"/>
          <w:sz w:val="22"/>
          <w:szCs w:val="22"/>
          <w:shd w:val="clear" w:color="auto" w:fill="FFFFFF"/>
        </w:rPr>
        <w:t>2018].</w:t>
      </w:r>
    </w:p>
    <w:p w14:paraId="20240244" w14:textId="77777777" w:rsidR="000F7F2A" w:rsidRPr="00A90D10" w:rsidRDefault="000F7F2A" w:rsidP="00494962">
      <w:pPr>
        <w:autoSpaceDE w:val="0"/>
        <w:autoSpaceDN w:val="0"/>
        <w:adjustRightInd w:val="0"/>
        <w:rPr>
          <w:rFonts w:ascii="Cambria" w:hAnsi="Cambria"/>
          <w:color w:val="FF0000"/>
          <w:sz w:val="22"/>
          <w:szCs w:val="22"/>
        </w:rPr>
      </w:pPr>
    </w:p>
    <w:p w14:paraId="716EFB94" w14:textId="57CBD8E3" w:rsidR="00BC3A92" w:rsidRPr="00A90D10" w:rsidRDefault="000F7F2A" w:rsidP="00494962">
      <w:pPr>
        <w:rPr>
          <w:rFonts w:ascii="Cambria" w:eastAsia="Times New Roman" w:hAnsi="Cambria" w:cs="Arial"/>
          <w:color w:val="000000" w:themeColor="text1"/>
          <w:sz w:val="22"/>
          <w:szCs w:val="22"/>
          <w:shd w:val="clear" w:color="auto" w:fill="FFFFFF"/>
        </w:rPr>
      </w:pPr>
      <w:proofErr w:type="spellStart"/>
      <w:r w:rsidRPr="00A90D10">
        <w:rPr>
          <w:rFonts w:ascii="Cambria" w:hAnsi="Cambria"/>
          <w:color w:val="000000"/>
          <w:sz w:val="22"/>
          <w:szCs w:val="22"/>
        </w:rPr>
        <w:t>Goodin</w:t>
      </w:r>
      <w:proofErr w:type="spellEnd"/>
      <w:r w:rsidRPr="00A90D10">
        <w:rPr>
          <w:rFonts w:ascii="Cambria" w:hAnsi="Cambria"/>
          <w:color w:val="000000"/>
          <w:sz w:val="22"/>
          <w:szCs w:val="22"/>
        </w:rPr>
        <w:t>, R.</w:t>
      </w:r>
      <w:r w:rsidR="00DB42F9">
        <w:rPr>
          <w:rFonts w:ascii="Cambria" w:hAnsi="Cambria"/>
          <w:color w:val="000000"/>
          <w:sz w:val="22"/>
          <w:szCs w:val="22"/>
        </w:rPr>
        <w:t>, (1996). ‘Institutions and their Design’</w:t>
      </w:r>
      <w:r w:rsidR="00557D62">
        <w:rPr>
          <w:rFonts w:ascii="Cambria" w:hAnsi="Cambria"/>
          <w:color w:val="000000"/>
          <w:sz w:val="22"/>
          <w:szCs w:val="22"/>
        </w:rPr>
        <w:t>, in</w:t>
      </w:r>
      <w:r w:rsidRPr="00A90D10">
        <w:rPr>
          <w:rFonts w:ascii="Cambria" w:hAnsi="Cambria"/>
          <w:color w:val="000000"/>
          <w:sz w:val="22"/>
          <w:szCs w:val="22"/>
        </w:rPr>
        <w:t xml:space="preserve"> </w:t>
      </w:r>
      <w:r w:rsidR="00557D62">
        <w:rPr>
          <w:rFonts w:ascii="Cambria" w:hAnsi="Cambria"/>
          <w:color w:val="000000"/>
          <w:sz w:val="22"/>
          <w:szCs w:val="22"/>
        </w:rPr>
        <w:t xml:space="preserve">R. </w:t>
      </w:r>
      <w:proofErr w:type="spellStart"/>
      <w:r w:rsidR="00557D62">
        <w:rPr>
          <w:rFonts w:ascii="Cambria" w:hAnsi="Cambria"/>
          <w:color w:val="000000"/>
          <w:sz w:val="22"/>
          <w:szCs w:val="22"/>
        </w:rPr>
        <w:t>Goodin</w:t>
      </w:r>
      <w:proofErr w:type="spellEnd"/>
      <w:r w:rsidR="00557D62">
        <w:rPr>
          <w:rFonts w:ascii="Cambria" w:hAnsi="Cambria"/>
          <w:color w:val="000000"/>
          <w:sz w:val="22"/>
          <w:szCs w:val="22"/>
        </w:rPr>
        <w:t>,</w:t>
      </w:r>
      <w:r w:rsidR="00DB42F9">
        <w:rPr>
          <w:rFonts w:ascii="Cambria" w:hAnsi="Cambria"/>
          <w:color w:val="000000"/>
          <w:sz w:val="22"/>
          <w:szCs w:val="22"/>
        </w:rPr>
        <w:t xml:space="preserve"> ed. </w:t>
      </w:r>
      <w:r w:rsidRPr="00A90D10">
        <w:rPr>
          <w:rFonts w:ascii="Cambria" w:hAnsi="Cambria"/>
          <w:i/>
          <w:color w:val="000000"/>
          <w:sz w:val="22"/>
          <w:szCs w:val="22"/>
        </w:rPr>
        <w:t>The Theory</w:t>
      </w:r>
      <w:r w:rsidR="0090342D" w:rsidRPr="00A90D10">
        <w:rPr>
          <w:rFonts w:ascii="Cambria" w:hAnsi="Cambria"/>
          <w:i/>
          <w:color w:val="000000"/>
          <w:sz w:val="22"/>
          <w:szCs w:val="22"/>
        </w:rPr>
        <w:t xml:space="preserve"> of Institutional Design</w:t>
      </w:r>
      <w:r w:rsidR="0090342D" w:rsidRPr="00A90D10">
        <w:rPr>
          <w:rFonts w:ascii="Cambria" w:hAnsi="Cambria"/>
          <w:color w:val="000000"/>
          <w:sz w:val="22"/>
          <w:szCs w:val="22"/>
        </w:rPr>
        <w:t>.</w:t>
      </w:r>
      <w:r w:rsidRPr="00A90D10">
        <w:rPr>
          <w:rFonts w:ascii="Cambria" w:hAnsi="Cambria"/>
          <w:color w:val="000000"/>
          <w:sz w:val="22"/>
          <w:szCs w:val="22"/>
        </w:rPr>
        <w:t xml:space="preserve"> Cambri</w:t>
      </w:r>
      <w:r w:rsidR="00DB42F9">
        <w:rPr>
          <w:rFonts w:ascii="Cambria" w:hAnsi="Cambria"/>
          <w:color w:val="000000"/>
          <w:sz w:val="22"/>
          <w:szCs w:val="22"/>
        </w:rPr>
        <w:t>dge: Cambridge University Press</w:t>
      </w:r>
      <w:r w:rsidR="00C83B5A">
        <w:rPr>
          <w:rFonts w:ascii="Cambria" w:hAnsi="Cambria"/>
          <w:color w:val="000000"/>
          <w:sz w:val="22"/>
          <w:szCs w:val="22"/>
        </w:rPr>
        <w:t>, pp. 1-59</w:t>
      </w:r>
      <w:r w:rsidR="00DA1AA6">
        <w:rPr>
          <w:rFonts w:ascii="Cambria" w:hAnsi="Cambria"/>
          <w:color w:val="000000"/>
          <w:sz w:val="22"/>
          <w:szCs w:val="22"/>
        </w:rPr>
        <w:t>.</w:t>
      </w:r>
      <w:r w:rsidR="00BC3A92">
        <w:rPr>
          <w:rFonts w:ascii="Cambria" w:hAnsi="Cambria"/>
          <w:color w:val="000000"/>
          <w:sz w:val="22"/>
          <w:szCs w:val="22"/>
        </w:rPr>
        <w:t xml:space="preserve"> </w:t>
      </w:r>
    </w:p>
    <w:p w14:paraId="53AB3FDC" w14:textId="4B009C0A" w:rsidR="00AC3C72" w:rsidRPr="00A90D10" w:rsidRDefault="00AC3C72" w:rsidP="00494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olor w:val="000000"/>
          <w:sz w:val="22"/>
          <w:szCs w:val="22"/>
        </w:rPr>
      </w:pPr>
    </w:p>
    <w:p w14:paraId="7E736720" w14:textId="2821D060" w:rsidR="003B61E6" w:rsidRDefault="003B61E6" w:rsidP="00494962">
      <w:pPr>
        <w:pStyle w:val="Heading1"/>
        <w:spacing w:before="0" w:beforeAutospacing="0" w:after="0" w:afterAutospacing="0"/>
        <w:textAlignment w:val="baseline"/>
        <w:rPr>
          <w:rFonts w:ascii="Cambria" w:hAnsi="Cambria"/>
          <w:b w:val="0"/>
          <w:color w:val="1E1E1E"/>
          <w:sz w:val="22"/>
          <w:szCs w:val="22"/>
        </w:rPr>
      </w:pPr>
      <w:r w:rsidRPr="00A90D10">
        <w:rPr>
          <w:rFonts w:ascii="Cambria" w:hAnsi="Cambria"/>
          <w:b w:val="0"/>
          <w:color w:val="000000"/>
          <w:sz w:val="22"/>
          <w:szCs w:val="22"/>
        </w:rPr>
        <w:t>Gordon, A.</w:t>
      </w:r>
      <w:r w:rsidR="00DB42F9">
        <w:rPr>
          <w:rFonts w:ascii="Cambria" w:hAnsi="Cambria"/>
          <w:b w:val="0"/>
          <w:color w:val="000000"/>
          <w:sz w:val="22"/>
          <w:szCs w:val="22"/>
        </w:rPr>
        <w:t>,</w:t>
      </w:r>
      <w:r w:rsidRPr="00A90D10">
        <w:rPr>
          <w:rFonts w:ascii="Cambria" w:hAnsi="Cambria"/>
          <w:b w:val="0"/>
          <w:color w:val="000000"/>
          <w:sz w:val="22"/>
          <w:szCs w:val="22"/>
        </w:rPr>
        <w:t xml:space="preserve"> (2018)</w:t>
      </w:r>
      <w:r w:rsidR="00DB42F9">
        <w:rPr>
          <w:rFonts w:ascii="Cambria" w:hAnsi="Cambria"/>
          <w:b w:val="0"/>
          <w:color w:val="000000"/>
          <w:sz w:val="22"/>
          <w:szCs w:val="22"/>
        </w:rPr>
        <w:t>.</w:t>
      </w:r>
      <w:r w:rsidRPr="00A90D10">
        <w:rPr>
          <w:rFonts w:ascii="Cambria" w:hAnsi="Cambria"/>
          <w:b w:val="0"/>
          <w:color w:val="000000"/>
          <w:sz w:val="22"/>
          <w:szCs w:val="22"/>
        </w:rPr>
        <w:t xml:space="preserve"> </w:t>
      </w:r>
      <w:r w:rsidR="00DB42F9">
        <w:rPr>
          <w:rFonts w:ascii="Cambria" w:hAnsi="Cambria"/>
          <w:b w:val="0"/>
          <w:color w:val="000000"/>
          <w:sz w:val="22"/>
          <w:szCs w:val="22"/>
        </w:rPr>
        <w:t>‘</w:t>
      </w:r>
      <w:r w:rsidRPr="00A90D10">
        <w:rPr>
          <w:rFonts w:ascii="Cambria" w:hAnsi="Cambria"/>
          <w:b w:val="0"/>
          <w:color w:val="1E1E1E"/>
          <w:sz w:val="22"/>
          <w:szCs w:val="22"/>
        </w:rPr>
        <w:t>Dee Stitt: Loyalist accuses Arlene Foster of "ruining his street cred"</w:t>
      </w:r>
      <w:r w:rsidR="00DB42F9">
        <w:rPr>
          <w:rFonts w:ascii="Cambria" w:hAnsi="Cambria"/>
          <w:b w:val="0"/>
          <w:color w:val="1E1E1E"/>
          <w:sz w:val="22"/>
          <w:szCs w:val="22"/>
        </w:rPr>
        <w:t xml:space="preserve">’. BBC News. Available at: </w:t>
      </w:r>
      <w:hyperlink r:id="rId13" w:history="1">
        <w:r w:rsidR="001D178D" w:rsidRPr="00A90D10">
          <w:rPr>
            <w:rStyle w:val="Hyperlink"/>
            <w:rFonts w:ascii="Cambria" w:hAnsi="Cambria"/>
            <w:b w:val="0"/>
            <w:sz w:val="22"/>
            <w:szCs w:val="22"/>
          </w:rPr>
          <w:t>https://www.bbc.com/news/uk-northern-ireland-45437388</w:t>
        </w:r>
      </w:hyperlink>
      <w:r w:rsidR="001D178D" w:rsidRPr="00A90D10">
        <w:rPr>
          <w:rFonts w:ascii="Cambria" w:hAnsi="Cambria"/>
          <w:b w:val="0"/>
          <w:color w:val="1E1E1E"/>
          <w:sz w:val="22"/>
          <w:szCs w:val="22"/>
        </w:rPr>
        <w:t xml:space="preserve"> </w:t>
      </w:r>
      <w:r w:rsidR="00DB42F9">
        <w:rPr>
          <w:rFonts w:ascii="Cambria" w:hAnsi="Cambria"/>
          <w:b w:val="0"/>
          <w:color w:val="1E1E1E"/>
          <w:sz w:val="22"/>
          <w:szCs w:val="22"/>
        </w:rPr>
        <w:t xml:space="preserve">[Accessed </w:t>
      </w:r>
      <w:r w:rsidR="00EB34D1">
        <w:rPr>
          <w:rFonts w:ascii="Cambria" w:hAnsi="Cambria"/>
          <w:b w:val="0"/>
          <w:color w:val="1E1E1E"/>
          <w:sz w:val="22"/>
          <w:szCs w:val="22"/>
        </w:rPr>
        <w:t xml:space="preserve">12 </w:t>
      </w:r>
      <w:r w:rsidR="00DB42F9">
        <w:rPr>
          <w:rFonts w:ascii="Cambria" w:hAnsi="Cambria"/>
          <w:b w:val="0"/>
          <w:color w:val="1E1E1E"/>
          <w:sz w:val="22"/>
          <w:szCs w:val="22"/>
        </w:rPr>
        <w:t>Oct</w:t>
      </w:r>
      <w:r w:rsidR="00EB34D1">
        <w:rPr>
          <w:rFonts w:ascii="Cambria" w:hAnsi="Cambria"/>
          <w:b w:val="0"/>
          <w:color w:val="1E1E1E"/>
          <w:sz w:val="22"/>
          <w:szCs w:val="22"/>
        </w:rPr>
        <w:t>ober</w:t>
      </w:r>
      <w:r w:rsidR="00602F59">
        <w:rPr>
          <w:rFonts w:ascii="Cambria" w:hAnsi="Cambria"/>
          <w:b w:val="0"/>
          <w:color w:val="1E1E1E"/>
          <w:sz w:val="22"/>
          <w:szCs w:val="22"/>
        </w:rPr>
        <w:t xml:space="preserve"> </w:t>
      </w:r>
      <w:r w:rsidR="001D178D" w:rsidRPr="00A90D10">
        <w:rPr>
          <w:rFonts w:ascii="Cambria" w:hAnsi="Cambria"/>
          <w:b w:val="0"/>
          <w:color w:val="1E1E1E"/>
          <w:sz w:val="22"/>
          <w:szCs w:val="22"/>
        </w:rPr>
        <w:t>2018</w:t>
      </w:r>
      <w:r w:rsidR="00DB42F9">
        <w:rPr>
          <w:rFonts w:ascii="Cambria" w:hAnsi="Cambria"/>
          <w:b w:val="0"/>
          <w:color w:val="1E1E1E"/>
          <w:sz w:val="22"/>
          <w:szCs w:val="22"/>
        </w:rPr>
        <w:t>]</w:t>
      </w:r>
      <w:r w:rsidR="00DA1AA6">
        <w:rPr>
          <w:rFonts w:ascii="Cambria" w:hAnsi="Cambria"/>
          <w:b w:val="0"/>
          <w:color w:val="1E1E1E"/>
          <w:sz w:val="22"/>
          <w:szCs w:val="22"/>
        </w:rPr>
        <w:t>.</w:t>
      </w:r>
    </w:p>
    <w:p w14:paraId="249FF265" w14:textId="77777777" w:rsidR="0079161F" w:rsidRDefault="0079161F" w:rsidP="00494962">
      <w:pPr>
        <w:pStyle w:val="Heading1"/>
        <w:spacing w:before="0" w:beforeAutospacing="0" w:after="0" w:afterAutospacing="0"/>
        <w:textAlignment w:val="baseline"/>
        <w:rPr>
          <w:rFonts w:ascii="Cambria" w:hAnsi="Cambria"/>
          <w:b w:val="0"/>
          <w:color w:val="1E1E1E"/>
          <w:sz w:val="22"/>
          <w:szCs w:val="22"/>
        </w:rPr>
      </w:pPr>
    </w:p>
    <w:p w14:paraId="20589C22" w14:textId="6C4031DA" w:rsidR="00FB3EAC" w:rsidRPr="0079161F" w:rsidRDefault="00FB3EAC" w:rsidP="00494962">
      <w:pPr>
        <w:autoSpaceDE w:val="0"/>
        <w:autoSpaceDN w:val="0"/>
        <w:adjustRightInd w:val="0"/>
        <w:rPr>
          <w:rFonts w:ascii="Cambria" w:hAnsi="Cambria"/>
          <w:color w:val="000000" w:themeColor="text1"/>
          <w:sz w:val="22"/>
          <w:szCs w:val="22"/>
        </w:rPr>
      </w:pPr>
      <w:proofErr w:type="spellStart"/>
      <w:r w:rsidRPr="0079161F">
        <w:rPr>
          <w:rFonts w:ascii="Cambria" w:hAnsi="Cambria"/>
          <w:color w:val="000000" w:themeColor="text1"/>
          <w:sz w:val="22"/>
          <w:szCs w:val="22"/>
        </w:rPr>
        <w:t>Grandits</w:t>
      </w:r>
      <w:proofErr w:type="spellEnd"/>
      <w:r w:rsidRPr="0079161F">
        <w:rPr>
          <w:rFonts w:ascii="Cambria" w:hAnsi="Cambria"/>
          <w:color w:val="000000" w:themeColor="text1"/>
          <w:sz w:val="22"/>
          <w:szCs w:val="22"/>
        </w:rPr>
        <w:t>, H.</w:t>
      </w:r>
      <w:r w:rsidR="0079161F">
        <w:rPr>
          <w:rFonts w:ascii="Cambria" w:hAnsi="Cambria"/>
          <w:color w:val="000000" w:themeColor="text1"/>
          <w:sz w:val="22"/>
          <w:szCs w:val="22"/>
        </w:rPr>
        <w:t>,</w:t>
      </w:r>
      <w:r w:rsidRPr="0079161F">
        <w:rPr>
          <w:rFonts w:ascii="Cambria" w:hAnsi="Cambria"/>
          <w:color w:val="000000" w:themeColor="text1"/>
          <w:sz w:val="22"/>
          <w:szCs w:val="22"/>
        </w:rPr>
        <w:t xml:space="preserve"> (2007)</w:t>
      </w:r>
      <w:r w:rsidR="0079161F" w:rsidRPr="0079161F">
        <w:rPr>
          <w:rFonts w:ascii="Cambria" w:hAnsi="Cambria"/>
          <w:color w:val="000000" w:themeColor="text1"/>
          <w:sz w:val="22"/>
          <w:szCs w:val="22"/>
        </w:rPr>
        <w:t>.</w:t>
      </w:r>
      <w:r w:rsidR="00557D62">
        <w:rPr>
          <w:rFonts w:ascii="Cambria" w:hAnsi="Cambria"/>
          <w:color w:val="000000" w:themeColor="text1"/>
          <w:sz w:val="22"/>
          <w:szCs w:val="22"/>
        </w:rPr>
        <w:t xml:space="preserve"> ‘The Power of “Armchair Politicians”</w:t>
      </w:r>
      <w:r w:rsidRPr="0079161F">
        <w:rPr>
          <w:rFonts w:ascii="Cambria" w:hAnsi="Cambria"/>
          <w:color w:val="000000" w:themeColor="text1"/>
          <w:sz w:val="22"/>
          <w:szCs w:val="22"/>
        </w:rPr>
        <w:t>: Ethnic Loyalty and Political Factionalism among Herzegovinian Croats’</w:t>
      </w:r>
      <w:r w:rsidR="00557D62">
        <w:rPr>
          <w:rFonts w:ascii="Cambria" w:hAnsi="Cambria"/>
          <w:color w:val="000000" w:themeColor="text1"/>
          <w:sz w:val="22"/>
          <w:szCs w:val="22"/>
        </w:rPr>
        <w:t>,</w:t>
      </w:r>
      <w:r w:rsidRPr="0079161F">
        <w:rPr>
          <w:rFonts w:ascii="Cambria" w:hAnsi="Cambria"/>
          <w:color w:val="000000" w:themeColor="text1"/>
          <w:sz w:val="22"/>
          <w:szCs w:val="22"/>
        </w:rPr>
        <w:t xml:space="preserve"> in </w:t>
      </w:r>
      <w:r w:rsidR="00557D62">
        <w:rPr>
          <w:rFonts w:ascii="Cambria" w:hAnsi="Cambria"/>
          <w:color w:val="000000" w:themeColor="text1"/>
          <w:sz w:val="22"/>
          <w:szCs w:val="22"/>
        </w:rPr>
        <w:t xml:space="preserve">X. </w:t>
      </w:r>
      <w:proofErr w:type="spellStart"/>
      <w:r w:rsidRPr="0079161F">
        <w:rPr>
          <w:rFonts w:ascii="Cambria" w:hAnsi="Cambria"/>
          <w:color w:val="000000" w:themeColor="text1"/>
          <w:sz w:val="22"/>
          <w:szCs w:val="22"/>
        </w:rPr>
        <w:t>Bougarel</w:t>
      </w:r>
      <w:proofErr w:type="spellEnd"/>
      <w:r w:rsidRPr="0079161F">
        <w:rPr>
          <w:rFonts w:ascii="Cambria" w:hAnsi="Cambria"/>
          <w:color w:val="000000" w:themeColor="text1"/>
          <w:sz w:val="22"/>
          <w:szCs w:val="22"/>
        </w:rPr>
        <w:t xml:space="preserve">, </w:t>
      </w:r>
      <w:r w:rsidR="00557D62">
        <w:rPr>
          <w:rFonts w:ascii="Cambria" w:hAnsi="Cambria"/>
          <w:color w:val="000000" w:themeColor="text1"/>
          <w:sz w:val="22"/>
          <w:szCs w:val="22"/>
        </w:rPr>
        <w:t xml:space="preserve">E. </w:t>
      </w:r>
      <w:r w:rsidRPr="0079161F">
        <w:rPr>
          <w:rFonts w:ascii="Cambria" w:hAnsi="Cambria"/>
          <w:color w:val="000000" w:themeColor="text1"/>
          <w:sz w:val="22"/>
          <w:szCs w:val="22"/>
        </w:rPr>
        <w:t>Helms</w:t>
      </w:r>
      <w:r w:rsidR="00557D62">
        <w:rPr>
          <w:rFonts w:ascii="Cambria" w:hAnsi="Cambria"/>
          <w:color w:val="000000" w:themeColor="text1"/>
          <w:sz w:val="22"/>
          <w:szCs w:val="22"/>
        </w:rPr>
        <w:t xml:space="preserve"> and G. </w:t>
      </w:r>
      <w:proofErr w:type="spellStart"/>
      <w:r w:rsidR="00557D62">
        <w:rPr>
          <w:rFonts w:ascii="Cambria" w:hAnsi="Cambria"/>
          <w:color w:val="000000" w:themeColor="text1"/>
          <w:sz w:val="22"/>
          <w:szCs w:val="22"/>
        </w:rPr>
        <w:t>Duijzings</w:t>
      </w:r>
      <w:proofErr w:type="spellEnd"/>
      <w:r w:rsidR="00557D62">
        <w:rPr>
          <w:rFonts w:ascii="Cambria" w:hAnsi="Cambria"/>
          <w:color w:val="000000" w:themeColor="text1"/>
          <w:sz w:val="22"/>
          <w:szCs w:val="22"/>
        </w:rPr>
        <w:t>, eds.</w:t>
      </w:r>
      <w:r w:rsidRPr="0079161F">
        <w:rPr>
          <w:rFonts w:ascii="Cambria" w:hAnsi="Cambria"/>
          <w:color w:val="000000" w:themeColor="text1"/>
          <w:sz w:val="22"/>
          <w:szCs w:val="22"/>
        </w:rPr>
        <w:t xml:space="preserve"> </w:t>
      </w:r>
      <w:r w:rsidRPr="0079161F">
        <w:rPr>
          <w:rFonts w:ascii="Cambria" w:hAnsi="Cambria"/>
          <w:i/>
          <w:color w:val="000000" w:themeColor="text1"/>
          <w:sz w:val="22"/>
          <w:szCs w:val="22"/>
        </w:rPr>
        <w:t xml:space="preserve">The </w:t>
      </w:r>
      <w:r w:rsidRPr="0079161F">
        <w:rPr>
          <w:rFonts w:ascii="Cambria" w:hAnsi="Cambria"/>
          <w:i/>
          <w:color w:val="000000" w:themeColor="text1"/>
          <w:sz w:val="22"/>
          <w:szCs w:val="22"/>
        </w:rPr>
        <w:lastRenderedPageBreak/>
        <w:t>New Bosnian Mosaic: Identities, Memories and Moral Claims in a Post-War Society</w:t>
      </w:r>
      <w:r w:rsidR="00EB34D1">
        <w:rPr>
          <w:rFonts w:ascii="Cambria" w:hAnsi="Cambria"/>
          <w:color w:val="000000" w:themeColor="text1"/>
          <w:sz w:val="22"/>
          <w:szCs w:val="22"/>
        </w:rPr>
        <w:t>. Hampshire and</w:t>
      </w:r>
      <w:r w:rsidR="0079161F" w:rsidRPr="0079161F">
        <w:rPr>
          <w:rFonts w:ascii="Cambria" w:hAnsi="Cambria"/>
          <w:color w:val="000000" w:themeColor="text1"/>
          <w:sz w:val="22"/>
          <w:szCs w:val="22"/>
        </w:rPr>
        <w:t xml:space="preserve"> Vermont: </w:t>
      </w:r>
      <w:proofErr w:type="spellStart"/>
      <w:r w:rsidR="0079161F" w:rsidRPr="0079161F">
        <w:rPr>
          <w:rFonts w:ascii="Cambria" w:hAnsi="Cambria"/>
          <w:color w:val="000000" w:themeColor="text1"/>
          <w:sz w:val="22"/>
          <w:szCs w:val="22"/>
        </w:rPr>
        <w:t>Ashgate</w:t>
      </w:r>
      <w:proofErr w:type="spellEnd"/>
      <w:r w:rsidR="00DA1AA6">
        <w:rPr>
          <w:rFonts w:ascii="Cambria" w:hAnsi="Cambria"/>
          <w:color w:val="000000" w:themeColor="text1"/>
          <w:sz w:val="22"/>
          <w:szCs w:val="22"/>
        </w:rPr>
        <w:t>.</w:t>
      </w:r>
    </w:p>
    <w:p w14:paraId="5920133D" w14:textId="77777777" w:rsidR="001D178D" w:rsidRPr="00A90D10" w:rsidRDefault="001D178D" w:rsidP="00494962">
      <w:pPr>
        <w:autoSpaceDE w:val="0"/>
        <w:autoSpaceDN w:val="0"/>
        <w:adjustRightInd w:val="0"/>
        <w:rPr>
          <w:rFonts w:ascii="Cambria" w:hAnsi="Cambria"/>
          <w:color w:val="000000"/>
          <w:sz w:val="22"/>
          <w:szCs w:val="22"/>
        </w:rPr>
      </w:pPr>
    </w:p>
    <w:p w14:paraId="299A09C3" w14:textId="463AE912" w:rsidR="000F7F2A" w:rsidRDefault="000F7F2A" w:rsidP="00494962">
      <w:pPr>
        <w:autoSpaceDE w:val="0"/>
        <w:autoSpaceDN w:val="0"/>
        <w:adjustRightInd w:val="0"/>
        <w:rPr>
          <w:rFonts w:ascii="Cambria" w:hAnsi="Cambria"/>
          <w:color w:val="000000" w:themeColor="text1"/>
          <w:sz w:val="22"/>
          <w:szCs w:val="22"/>
        </w:rPr>
      </w:pPr>
      <w:proofErr w:type="spellStart"/>
      <w:r w:rsidRPr="00A90D10">
        <w:rPr>
          <w:rFonts w:ascii="Cambria" w:hAnsi="Cambria"/>
          <w:color w:val="000000" w:themeColor="text1"/>
          <w:sz w:val="22"/>
          <w:szCs w:val="22"/>
        </w:rPr>
        <w:t>Gryzmala-Busse</w:t>
      </w:r>
      <w:proofErr w:type="spellEnd"/>
      <w:r w:rsidRPr="00A90D10">
        <w:rPr>
          <w:rFonts w:ascii="Cambria" w:hAnsi="Cambria"/>
          <w:color w:val="000000" w:themeColor="text1"/>
          <w:sz w:val="22"/>
          <w:szCs w:val="22"/>
        </w:rPr>
        <w:t>, A.</w:t>
      </w:r>
      <w:r w:rsidR="00DB42F9">
        <w:rPr>
          <w:rFonts w:ascii="Cambria" w:hAnsi="Cambria"/>
          <w:color w:val="000000" w:themeColor="text1"/>
          <w:sz w:val="22"/>
          <w:szCs w:val="22"/>
        </w:rPr>
        <w:t>, (2010).</w:t>
      </w:r>
      <w:r w:rsidR="00B53B4B">
        <w:rPr>
          <w:rFonts w:ascii="Cambria" w:hAnsi="Cambria"/>
          <w:color w:val="000000" w:themeColor="text1"/>
          <w:sz w:val="22"/>
          <w:szCs w:val="22"/>
        </w:rPr>
        <w:t xml:space="preserve"> ‘“</w:t>
      </w:r>
      <w:r w:rsidRPr="00A90D10">
        <w:rPr>
          <w:rFonts w:ascii="Cambria" w:hAnsi="Cambria"/>
          <w:color w:val="000000" w:themeColor="text1"/>
          <w:sz w:val="22"/>
          <w:szCs w:val="22"/>
        </w:rPr>
        <w:t>The Best Laid Plans</w:t>
      </w:r>
      <w:r w:rsidR="006C5F1C">
        <w:rPr>
          <w:rFonts w:ascii="Cambria" w:hAnsi="Cambria"/>
          <w:color w:val="000000" w:themeColor="text1"/>
          <w:sz w:val="22"/>
          <w:szCs w:val="22"/>
        </w:rPr>
        <w:t>”</w:t>
      </w:r>
      <w:r w:rsidRPr="00A90D10">
        <w:rPr>
          <w:rFonts w:ascii="Cambria" w:hAnsi="Cambria"/>
          <w:color w:val="000000" w:themeColor="text1"/>
          <w:sz w:val="22"/>
          <w:szCs w:val="22"/>
        </w:rPr>
        <w:t>: The Impact of Informal Rules on Formal Institu</w:t>
      </w:r>
      <w:r w:rsidR="00DB42F9">
        <w:rPr>
          <w:rFonts w:ascii="Cambria" w:hAnsi="Cambria"/>
          <w:color w:val="000000" w:themeColor="text1"/>
          <w:sz w:val="22"/>
          <w:szCs w:val="22"/>
        </w:rPr>
        <w:t xml:space="preserve">tions in Transitional Regimes’. </w:t>
      </w:r>
      <w:r w:rsidRPr="00A90D10">
        <w:rPr>
          <w:rFonts w:ascii="Cambria" w:hAnsi="Cambria"/>
          <w:i/>
          <w:color w:val="000000" w:themeColor="text1"/>
          <w:sz w:val="22"/>
          <w:szCs w:val="22"/>
        </w:rPr>
        <w:t>Studies in Comparative International Development</w:t>
      </w:r>
      <w:r w:rsidR="00DB42F9">
        <w:rPr>
          <w:rFonts w:ascii="Cambria" w:hAnsi="Cambria"/>
          <w:color w:val="000000" w:themeColor="text1"/>
          <w:sz w:val="22"/>
          <w:szCs w:val="22"/>
        </w:rPr>
        <w:t xml:space="preserve"> 45</w:t>
      </w:r>
      <w:r w:rsidR="006C5F1C">
        <w:rPr>
          <w:rFonts w:ascii="Cambria" w:hAnsi="Cambria"/>
          <w:color w:val="000000" w:themeColor="text1"/>
          <w:sz w:val="22"/>
          <w:szCs w:val="22"/>
        </w:rPr>
        <w:t xml:space="preserve">(3): </w:t>
      </w:r>
      <w:r w:rsidRPr="00A90D10">
        <w:rPr>
          <w:rFonts w:ascii="Cambria" w:hAnsi="Cambria"/>
          <w:color w:val="000000" w:themeColor="text1"/>
          <w:sz w:val="22"/>
          <w:szCs w:val="22"/>
        </w:rPr>
        <w:t>311-</w:t>
      </w:r>
      <w:r w:rsidR="00EB34D1">
        <w:rPr>
          <w:rFonts w:ascii="Cambria" w:hAnsi="Cambria"/>
          <w:color w:val="000000" w:themeColor="text1"/>
          <w:sz w:val="22"/>
          <w:szCs w:val="22"/>
        </w:rPr>
        <w:t>3</w:t>
      </w:r>
      <w:r w:rsidRPr="00A90D10">
        <w:rPr>
          <w:rFonts w:ascii="Cambria" w:hAnsi="Cambria"/>
          <w:color w:val="000000" w:themeColor="text1"/>
          <w:sz w:val="22"/>
          <w:szCs w:val="22"/>
        </w:rPr>
        <w:t>33</w:t>
      </w:r>
      <w:r w:rsidR="00DA1AA6">
        <w:rPr>
          <w:rFonts w:ascii="Cambria" w:hAnsi="Cambria"/>
          <w:color w:val="000000" w:themeColor="text1"/>
          <w:sz w:val="22"/>
          <w:szCs w:val="22"/>
        </w:rPr>
        <w:t>.</w:t>
      </w:r>
    </w:p>
    <w:p w14:paraId="3CAB1542" w14:textId="77777777" w:rsidR="00730EF9" w:rsidRDefault="00730EF9" w:rsidP="00494962">
      <w:pPr>
        <w:autoSpaceDE w:val="0"/>
        <w:autoSpaceDN w:val="0"/>
        <w:adjustRightInd w:val="0"/>
        <w:rPr>
          <w:rFonts w:ascii="Cambria" w:hAnsi="Cambria"/>
          <w:color w:val="000000" w:themeColor="text1"/>
          <w:sz w:val="22"/>
          <w:szCs w:val="22"/>
        </w:rPr>
      </w:pPr>
    </w:p>
    <w:p w14:paraId="47EAC8F6" w14:textId="6ED096AD" w:rsidR="00730EF9" w:rsidRPr="00516708" w:rsidRDefault="00730EF9" w:rsidP="00494962">
      <w:pPr>
        <w:pStyle w:val="Heading1"/>
        <w:spacing w:before="0" w:beforeAutospacing="0" w:after="0" w:afterAutospacing="0"/>
        <w:textAlignment w:val="baseline"/>
        <w:rPr>
          <w:rFonts w:ascii="Cambria" w:hAnsi="Cambria"/>
          <w:b w:val="0"/>
          <w:color w:val="1E1E1E"/>
          <w:sz w:val="22"/>
          <w:szCs w:val="22"/>
        </w:rPr>
      </w:pPr>
      <w:proofErr w:type="spellStart"/>
      <w:r w:rsidRPr="00516708">
        <w:rPr>
          <w:rFonts w:ascii="Cambria" w:hAnsi="Cambria"/>
          <w:b w:val="0"/>
          <w:color w:val="000000" w:themeColor="text1"/>
          <w:sz w:val="22"/>
          <w:szCs w:val="22"/>
        </w:rPr>
        <w:t>Guariso</w:t>
      </w:r>
      <w:proofErr w:type="spellEnd"/>
      <w:r w:rsidRPr="00516708">
        <w:rPr>
          <w:rFonts w:ascii="Cambria" w:hAnsi="Cambria"/>
          <w:b w:val="0"/>
          <w:color w:val="000000" w:themeColor="text1"/>
          <w:sz w:val="22"/>
          <w:szCs w:val="22"/>
        </w:rPr>
        <w:t xml:space="preserve">, A., </w:t>
      </w:r>
      <w:proofErr w:type="spellStart"/>
      <w:r w:rsidRPr="00516708">
        <w:rPr>
          <w:rFonts w:ascii="Cambria" w:hAnsi="Cambria"/>
          <w:b w:val="0"/>
          <w:color w:val="000000" w:themeColor="text1"/>
          <w:sz w:val="22"/>
          <w:szCs w:val="22"/>
        </w:rPr>
        <w:t>In</w:t>
      </w:r>
      <w:r w:rsidR="0079161F">
        <w:rPr>
          <w:rFonts w:ascii="Cambria" w:hAnsi="Cambria"/>
          <w:b w:val="0"/>
          <w:color w:val="000000" w:themeColor="text1"/>
          <w:sz w:val="22"/>
          <w:szCs w:val="22"/>
        </w:rPr>
        <w:t>gelaera</w:t>
      </w:r>
      <w:proofErr w:type="spellEnd"/>
      <w:r w:rsidR="0079161F">
        <w:rPr>
          <w:rFonts w:ascii="Cambria" w:hAnsi="Cambria"/>
          <w:b w:val="0"/>
          <w:color w:val="000000" w:themeColor="text1"/>
          <w:sz w:val="22"/>
          <w:szCs w:val="22"/>
        </w:rPr>
        <w:t xml:space="preserve">, B., and </w:t>
      </w:r>
      <w:proofErr w:type="spellStart"/>
      <w:r w:rsidR="0079161F">
        <w:rPr>
          <w:rFonts w:ascii="Cambria" w:hAnsi="Cambria"/>
          <w:b w:val="0"/>
          <w:color w:val="000000" w:themeColor="text1"/>
          <w:sz w:val="22"/>
          <w:szCs w:val="22"/>
        </w:rPr>
        <w:t>Verpoorten</w:t>
      </w:r>
      <w:proofErr w:type="spellEnd"/>
      <w:r w:rsidR="0079161F">
        <w:rPr>
          <w:rFonts w:ascii="Cambria" w:hAnsi="Cambria"/>
          <w:b w:val="0"/>
          <w:color w:val="000000" w:themeColor="text1"/>
          <w:sz w:val="22"/>
          <w:szCs w:val="22"/>
        </w:rPr>
        <w:t>, M.,</w:t>
      </w:r>
      <w:r w:rsidRPr="00516708">
        <w:rPr>
          <w:rFonts w:ascii="Cambria" w:hAnsi="Cambria"/>
          <w:b w:val="0"/>
          <w:color w:val="000000" w:themeColor="text1"/>
          <w:sz w:val="22"/>
          <w:szCs w:val="22"/>
        </w:rPr>
        <w:t xml:space="preserve"> (2017)</w:t>
      </w:r>
      <w:r w:rsidR="00B53B4B">
        <w:rPr>
          <w:rFonts w:ascii="Cambria" w:hAnsi="Cambria"/>
          <w:b w:val="0"/>
          <w:color w:val="000000" w:themeColor="text1"/>
          <w:sz w:val="22"/>
          <w:szCs w:val="22"/>
        </w:rPr>
        <w:t>.</w:t>
      </w:r>
      <w:r w:rsidRPr="00516708">
        <w:rPr>
          <w:rFonts w:ascii="Cambria" w:hAnsi="Cambria"/>
          <w:b w:val="0"/>
          <w:color w:val="000000" w:themeColor="text1"/>
          <w:sz w:val="22"/>
          <w:szCs w:val="22"/>
        </w:rPr>
        <w:t xml:space="preserve"> </w:t>
      </w:r>
      <w:r w:rsidR="0046605F">
        <w:rPr>
          <w:rFonts w:ascii="Cambria" w:hAnsi="Cambria"/>
          <w:b w:val="0"/>
          <w:color w:val="000000" w:themeColor="text1"/>
          <w:sz w:val="22"/>
          <w:szCs w:val="22"/>
        </w:rPr>
        <w:t>‘</w:t>
      </w:r>
      <w:r w:rsidR="00EB34D1">
        <w:rPr>
          <w:rFonts w:ascii="Cambria" w:hAnsi="Cambria"/>
          <w:b w:val="0"/>
          <w:color w:val="000000" w:themeColor="text1"/>
          <w:sz w:val="22"/>
          <w:szCs w:val="22"/>
        </w:rPr>
        <w:t>Female Political R</w:t>
      </w:r>
      <w:r w:rsidRPr="0046605F">
        <w:rPr>
          <w:rFonts w:ascii="Cambria" w:hAnsi="Cambria"/>
          <w:b w:val="0"/>
          <w:color w:val="000000" w:themeColor="text1"/>
          <w:sz w:val="22"/>
          <w:szCs w:val="22"/>
        </w:rPr>
        <w:t>epresen</w:t>
      </w:r>
      <w:r w:rsidR="00EB34D1">
        <w:rPr>
          <w:rFonts w:ascii="Cambria" w:hAnsi="Cambria"/>
          <w:b w:val="0"/>
          <w:color w:val="000000" w:themeColor="text1"/>
          <w:sz w:val="22"/>
          <w:szCs w:val="22"/>
        </w:rPr>
        <w:t>tation in the Aftermath of E</w:t>
      </w:r>
      <w:r w:rsidR="00516708" w:rsidRPr="0046605F">
        <w:rPr>
          <w:rFonts w:ascii="Cambria" w:hAnsi="Cambria"/>
          <w:b w:val="0"/>
          <w:color w:val="000000" w:themeColor="text1"/>
          <w:sz w:val="22"/>
          <w:szCs w:val="22"/>
        </w:rPr>
        <w:t>thni</w:t>
      </w:r>
      <w:r w:rsidR="00EB34D1">
        <w:rPr>
          <w:rFonts w:ascii="Cambria" w:hAnsi="Cambria"/>
          <w:b w:val="0"/>
          <w:color w:val="000000" w:themeColor="text1"/>
          <w:sz w:val="22"/>
          <w:szCs w:val="22"/>
        </w:rPr>
        <w:t>c Violence: A</w:t>
      </w:r>
      <w:r w:rsidRPr="0046605F">
        <w:rPr>
          <w:rFonts w:ascii="Cambria" w:hAnsi="Cambria"/>
          <w:b w:val="0"/>
          <w:color w:val="000000" w:themeColor="text1"/>
          <w:sz w:val="22"/>
          <w:szCs w:val="22"/>
        </w:rPr>
        <w:t xml:space="preserve"> </w:t>
      </w:r>
      <w:r w:rsidR="00EB34D1">
        <w:rPr>
          <w:rFonts w:ascii="Cambria" w:hAnsi="Cambria"/>
          <w:b w:val="0"/>
          <w:color w:val="000000" w:themeColor="text1"/>
          <w:sz w:val="22"/>
          <w:szCs w:val="22"/>
        </w:rPr>
        <w:t>Comparative A</w:t>
      </w:r>
      <w:r w:rsidRPr="0046605F">
        <w:rPr>
          <w:rFonts w:ascii="Cambria" w:hAnsi="Cambria"/>
          <w:b w:val="0"/>
          <w:color w:val="000000" w:themeColor="text1"/>
          <w:sz w:val="22"/>
          <w:szCs w:val="22"/>
        </w:rPr>
        <w:t>nalysis of Burundi and Rwanda</w:t>
      </w:r>
      <w:r w:rsidR="0046605F">
        <w:rPr>
          <w:rFonts w:ascii="Cambria" w:hAnsi="Cambria"/>
          <w:b w:val="0"/>
          <w:color w:val="000000" w:themeColor="text1"/>
          <w:sz w:val="22"/>
          <w:szCs w:val="22"/>
        </w:rPr>
        <w:t>’</w:t>
      </w:r>
      <w:r w:rsidR="00B53B4B">
        <w:rPr>
          <w:rFonts w:ascii="Cambria" w:hAnsi="Cambria"/>
          <w:b w:val="0"/>
          <w:color w:val="000000" w:themeColor="text1"/>
          <w:sz w:val="22"/>
          <w:szCs w:val="22"/>
        </w:rPr>
        <w:t>,</w:t>
      </w:r>
      <w:r w:rsidRPr="00516708">
        <w:rPr>
          <w:rFonts w:ascii="Cambria" w:hAnsi="Cambria"/>
          <w:b w:val="0"/>
          <w:color w:val="000000" w:themeColor="text1"/>
          <w:sz w:val="22"/>
          <w:szCs w:val="22"/>
        </w:rPr>
        <w:t xml:space="preserve">  </w:t>
      </w:r>
      <w:r w:rsidRPr="0046605F">
        <w:rPr>
          <w:rFonts w:ascii="Cambria" w:hAnsi="Cambria"/>
          <w:b w:val="0"/>
          <w:i/>
          <w:color w:val="000000" w:themeColor="text1"/>
          <w:sz w:val="22"/>
          <w:szCs w:val="22"/>
        </w:rPr>
        <w:t>WIDER Working Paper</w:t>
      </w:r>
      <w:r w:rsidRPr="00516708">
        <w:rPr>
          <w:rFonts w:ascii="Cambria" w:hAnsi="Cambria"/>
          <w:b w:val="0"/>
          <w:color w:val="000000" w:themeColor="text1"/>
          <w:sz w:val="22"/>
          <w:szCs w:val="22"/>
        </w:rPr>
        <w:t xml:space="preserve"> No. 201/74. Available at: </w:t>
      </w:r>
      <w:hyperlink r:id="rId14" w:history="1">
        <w:r w:rsidRPr="00516708">
          <w:rPr>
            <w:rStyle w:val="Hyperlink"/>
            <w:rFonts w:ascii="Cambria" w:hAnsi="Cambria"/>
            <w:b w:val="0"/>
            <w:sz w:val="22"/>
            <w:szCs w:val="22"/>
          </w:rPr>
          <w:t>http://hdl.handle.net/10419/163045</w:t>
        </w:r>
      </w:hyperlink>
      <w:r w:rsidRPr="00516708">
        <w:rPr>
          <w:rFonts w:ascii="Cambria" w:hAnsi="Cambria"/>
          <w:b w:val="0"/>
          <w:sz w:val="22"/>
          <w:szCs w:val="22"/>
        </w:rPr>
        <w:t xml:space="preserve"> </w:t>
      </w:r>
      <w:r w:rsidR="00516708">
        <w:rPr>
          <w:rFonts w:ascii="Cambria" w:hAnsi="Cambria"/>
          <w:b w:val="0"/>
          <w:sz w:val="22"/>
          <w:szCs w:val="22"/>
        </w:rPr>
        <w:t xml:space="preserve"> </w:t>
      </w:r>
      <w:r w:rsidRPr="00516708">
        <w:rPr>
          <w:rFonts w:ascii="Cambria" w:hAnsi="Cambria"/>
          <w:b w:val="0"/>
          <w:color w:val="1E1E1E"/>
          <w:sz w:val="22"/>
          <w:szCs w:val="22"/>
        </w:rPr>
        <w:t xml:space="preserve">[Accessed </w:t>
      </w:r>
      <w:r w:rsidR="00EB34D1">
        <w:rPr>
          <w:rFonts w:ascii="Cambria" w:hAnsi="Cambria"/>
          <w:b w:val="0"/>
          <w:color w:val="1E1E1E"/>
          <w:sz w:val="22"/>
          <w:szCs w:val="22"/>
        </w:rPr>
        <w:t xml:space="preserve">21 </w:t>
      </w:r>
      <w:r w:rsidRPr="00516708">
        <w:rPr>
          <w:rFonts w:ascii="Cambria" w:hAnsi="Cambria"/>
          <w:b w:val="0"/>
          <w:color w:val="1E1E1E"/>
          <w:sz w:val="22"/>
          <w:szCs w:val="22"/>
        </w:rPr>
        <w:t>Oct</w:t>
      </w:r>
      <w:r w:rsidR="00EB34D1">
        <w:rPr>
          <w:rFonts w:ascii="Cambria" w:hAnsi="Cambria"/>
          <w:b w:val="0"/>
          <w:color w:val="1E1E1E"/>
          <w:sz w:val="22"/>
          <w:szCs w:val="22"/>
        </w:rPr>
        <w:t>ober</w:t>
      </w:r>
      <w:r w:rsidRPr="00516708">
        <w:rPr>
          <w:rFonts w:ascii="Cambria" w:hAnsi="Cambria"/>
          <w:b w:val="0"/>
          <w:color w:val="1E1E1E"/>
          <w:sz w:val="22"/>
          <w:szCs w:val="22"/>
        </w:rPr>
        <w:t xml:space="preserve"> 2018]</w:t>
      </w:r>
      <w:r w:rsidR="00DA1AA6">
        <w:rPr>
          <w:rFonts w:ascii="Cambria" w:hAnsi="Cambria"/>
          <w:b w:val="0"/>
          <w:color w:val="1E1E1E"/>
          <w:sz w:val="22"/>
          <w:szCs w:val="22"/>
        </w:rPr>
        <w:t>.</w:t>
      </w:r>
    </w:p>
    <w:p w14:paraId="15754540" w14:textId="77777777" w:rsidR="000F7F2A" w:rsidRPr="00A90D10" w:rsidRDefault="000F7F2A" w:rsidP="00494962">
      <w:pPr>
        <w:autoSpaceDE w:val="0"/>
        <w:autoSpaceDN w:val="0"/>
        <w:adjustRightInd w:val="0"/>
        <w:rPr>
          <w:rFonts w:ascii="Cambria" w:hAnsi="Cambria"/>
          <w:sz w:val="22"/>
          <w:szCs w:val="22"/>
        </w:rPr>
      </w:pPr>
    </w:p>
    <w:p w14:paraId="4B0C53AA" w14:textId="19CB67A7" w:rsidR="00FB3EAC" w:rsidRDefault="00FB3EAC" w:rsidP="00494962">
      <w:pPr>
        <w:rPr>
          <w:rFonts w:ascii="Cambria" w:hAnsi="Cambria"/>
          <w:sz w:val="22"/>
          <w:szCs w:val="22"/>
        </w:rPr>
      </w:pPr>
      <w:proofErr w:type="spellStart"/>
      <w:r w:rsidRPr="00054012">
        <w:rPr>
          <w:rFonts w:ascii="Cambria" w:hAnsi="Cambria"/>
          <w:sz w:val="22"/>
          <w:szCs w:val="22"/>
        </w:rPr>
        <w:t>Hadziristic</w:t>
      </w:r>
      <w:proofErr w:type="spellEnd"/>
      <w:r w:rsidRPr="00054012">
        <w:rPr>
          <w:rFonts w:ascii="Cambria" w:hAnsi="Cambria"/>
          <w:sz w:val="22"/>
          <w:szCs w:val="22"/>
        </w:rPr>
        <w:t xml:space="preserve">, T., (2016). ‘Is Bosnia the worst place in Europe to be a woman?’. </w:t>
      </w:r>
      <w:r w:rsidRPr="00B53B4B">
        <w:rPr>
          <w:rFonts w:ascii="Cambria" w:hAnsi="Cambria"/>
          <w:i/>
          <w:sz w:val="22"/>
          <w:szCs w:val="22"/>
        </w:rPr>
        <w:t>Open Democracy</w:t>
      </w:r>
      <w:r w:rsidRPr="00054012">
        <w:rPr>
          <w:rFonts w:ascii="Cambria" w:hAnsi="Cambria"/>
          <w:sz w:val="22"/>
          <w:szCs w:val="22"/>
        </w:rPr>
        <w:t xml:space="preserve"> [online]. Available at: </w:t>
      </w:r>
      <w:hyperlink r:id="rId15" w:history="1">
        <w:r w:rsidRPr="00054012">
          <w:rPr>
            <w:rStyle w:val="Hyperlink"/>
            <w:rFonts w:ascii="Cambria" w:hAnsi="Cambria"/>
            <w:sz w:val="22"/>
            <w:szCs w:val="22"/>
          </w:rPr>
          <w:t>https://www.opendemocracy.net/can-europe-make-it/tea-hadziristic/women-in-bosnia</w:t>
        </w:r>
      </w:hyperlink>
      <w:r w:rsidRPr="00054012">
        <w:rPr>
          <w:rFonts w:ascii="Cambria" w:hAnsi="Cambria"/>
          <w:sz w:val="22"/>
          <w:szCs w:val="22"/>
        </w:rPr>
        <w:t xml:space="preserve"> [Accessed </w:t>
      </w:r>
      <w:r w:rsidR="0081794C">
        <w:rPr>
          <w:rFonts w:ascii="Cambria" w:hAnsi="Cambria"/>
          <w:sz w:val="22"/>
          <w:szCs w:val="22"/>
        </w:rPr>
        <w:t xml:space="preserve">8 </w:t>
      </w:r>
      <w:r w:rsidRPr="00054012">
        <w:rPr>
          <w:rFonts w:ascii="Cambria" w:hAnsi="Cambria"/>
          <w:sz w:val="22"/>
          <w:szCs w:val="22"/>
        </w:rPr>
        <w:t>Oct</w:t>
      </w:r>
      <w:r w:rsidR="0081794C">
        <w:rPr>
          <w:rFonts w:ascii="Cambria" w:hAnsi="Cambria"/>
          <w:sz w:val="22"/>
          <w:szCs w:val="22"/>
        </w:rPr>
        <w:t>ober</w:t>
      </w:r>
      <w:r w:rsidRPr="00054012">
        <w:rPr>
          <w:rFonts w:ascii="Cambria" w:hAnsi="Cambria"/>
          <w:sz w:val="22"/>
          <w:szCs w:val="22"/>
        </w:rPr>
        <w:t xml:space="preserve"> 2018]</w:t>
      </w:r>
      <w:r w:rsidR="00DA1AA6">
        <w:rPr>
          <w:rFonts w:ascii="Cambria" w:hAnsi="Cambria"/>
          <w:sz w:val="22"/>
          <w:szCs w:val="22"/>
        </w:rPr>
        <w:t>.</w:t>
      </w:r>
    </w:p>
    <w:p w14:paraId="32F28011" w14:textId="77777777" w:rsidR="00FB3EAC" w:rsidRPr="00A90D10" w:rsidRDefault="00FB3EAC" w:rsidP="00494962">
      <w:pPr>
        <w:rPr>
          <w:rFonts w:ascii="Cambria" w:hAnsi="Cambria"/>
          <w:sz w:val="22"/>
          <w:szCs w:val="22"/>
        </w:rPr>
      </w:pPr>
    </w:p>
    <w:p w14:paraId="4EEE5FB2" w14:textId="0807EE34" w:rsidR="000F7F2A" w:rsidRDefault="000F7F2A" w:rsidP="00494962">
      <w:pPr>
        <w:rPr>
          <w:rFonts w:ascii="Cambria" w:hAnsi="Cambria"/>
          <w:sz w:val="22"/>
          <w:szCs w:val="22"/>
        </w:rPr>
      </w:pPr>
      <w:proofErr w:type="spellStart"/>
      <w:r w:rsidRPr="00A90D10">
        <w:rPr>
          <w:rFonts w:ascii="Cambria" w:hAnsi="Cambria"/>
          <w:sz w:val="22"/>
          <w:szCs w:val="22"/>
        </w:rPr>
        <w:t>Hartzell</w:t>
      </w:r>
      <w:proofErr w:type="spellEnd"/>
      <w:r w:rsidRPr="00A90D10">
        <w:rPr>
          <w:rFonts w:ascii="Cambria" w:hAnsi="Cambria"/>
          <w:sz w:val="22"/>
          <w:szCs w:val="22"/>
        </w:rPr>
        <w:t>, C.</w:t>
      </w:r>
      <w:r w:rsidR="00DB42F9">
        <w:rPr>
          <w:rFonts w:ascii="Cambria" w:hAnsi="Cambria"/>
          <w:sz w:val="22"/>
          <w:szCs w:val="22"/>
        </w:rPr>
        <w:t>,</w:t>
      </w:r>
      <w:r w:rsidRPr="00A90D10">
        <w:rPr>
          <w:rFonts w:ascii="Cambria" w:hAnsi="Cambria"/>
          <w:sz w:val="22"/>
          <w:szCs w:val="22"/>
        </w:rPr>
        <w:t xml:space="preserve"> (2015)</w:t>
      </w:r>
      <w:r w:rsidR="00DB42F9">
        <w:rPr>
          <w:rFonts w:ascii="Cambria" w:hAnsi="Cambria"/>
          <w:sz w:val="22"/>
          <w:szCs w:val="22"/>
        </w:rPr>
        <w:t>.</w:t>
      </w:r>
      <w:r w:rsidRPr="00A90D10">
        <w:rPr>
          <w:rFonts w:ascii="Cambria" w:hAnsi="Cambria"/>
          <w:sz w:val="22"/>
          <w:szCs w:val="22"/>
        </w:rPr>
        <w:t xml:space="preserve"> ‘Power-Sharing and Women’s Political Rights Following Civil War’</w:t>
      </w:r>
      <w:r w:rsidR="002038A7">
        <w:rPr>
          <w:rFonts w:ascii="Cambria" w:hAnsi="Cambria"/>
          <w:sz w:val="22"/>
          <w:szCs w:val="22"/>
        </w:rPr>
        <w:t>, Q</w:t>
      </w:r>
      <w:r w:rsidR="00602F59">
        <w:rPr>
          <w:rFonts w:ascii="Cambria" w:hAnsi="Cambria"/>
          <w:sz w:val="22"/>
          <w:szCs w:val="22"/>
        </w:rPr>
        <w:t xml:space="preserve">ueens </w:t>
      </w:r>
      <w:r w:rsidR="002038A7">
        <w:rPr>
          <w:rFonts w:ascii="Cambria" w:hAnsi="Cambria"/>
          <w:sz w:val="22"/>
          <w:szCs w:val="22"/>
        </w:rPr>
        <w:t>U</w:t>
      </w:r>
      <w:r w:rsidR="00602F59">
        <w:rPr>
          <w:rFonts w:ascii="Cambria" w:hAnsi="Cambria"/>
          <w:sz w:val="22"/>
          <w:szCs w:val="22"/>
        </w:rPr>
        <w:t xml:space="preserve">niversity </w:t>
      </w:r>
      <w:r w:rsidR="002038A7">
        <w:rPr>
          <w:rFonts w:ascii="Cambria" w:hAnsi="Cambria"/>
          <w:sz w:val="22"/>
          <w:szCs w:val="22"/>
        </w:rPr>
        <w:t>B</w:t>
      </w:r>
      <w:r w:rsidR="00602F59">
        <w:rPr>
          <w:rFonts w:ascii="Cambria" w:hAnsi="Cambria"/>
          <w:sz w:val="22"/>
          <w:szCs w:val="22"/>
        </w:rPr>
        <w:t xml:space="preserve">elfast Conference Paper: </w:t>
      </w:r>
      <w:r w:rsidR="00DB42F9">
        <w:rPr>
          <w:rFonts w:ascii="Cambria" w:hAnsi="Cambria"/>
          <w:sz w:val="22"/>
          <w:szCs w:val="22"/>
        </w:rPr>
        <w:t>Belfast</w:t>
      </w:r>
      <w:r w:rsidR="00DA1AA6">
        <w:rPr>
          <w:rFonts w:ascii="Cambria" w:hAnsi="Cambria"/>
          <w:sz w:val="22"/>
          <w:szCs w:val="22"/>
        </w:rPr>
        <w:t>.</w:t>
      </w:r>
    </w:p>
    <w:p w14:paraId="5398527D" w14:textId="77777777" w:rsidR="009A4794" w:rsidRDefault="009A4794" w:rsidP="00494962">
      <w:pPr>
        <w:rPr>
          <w:rFonts w:ascii="Cambria" w:hAnsi="Cambria"/>
          <w:sz w:val="22"/>
          <w:szCs w:val="22"/>
        </w:rPr>
      </w:pPr>
    </w:p>
    <w:p w14:paraId="72960888" w14:textId="4BE61761" w:rsidR="009A4794" w:rsidRPr="00B0302C" w:rsidRDefault="0081794C" w:rsidP="00494962">
      <w:pPr>
        <w:pStyle w:val="Default"/>
        <w:rPr>
          <w:rFonts w:ascii="Cambria" w:hAnsi="Cambria" w:cs="GillSans"/>
          <w:color w:val="000000" w:themeColor="text1"/>
          <w:sz w:val="22"/>
          <w:szCs w:val="22"/>
        </w:rPr>
      </w:pPr>
      <w:r>
        <w:rPr>
          <w:rFonts w:ascii="Cambria" w:hAnsi="Cambria"/>
          <w:color w:val="000000" w:themeColor="text1"/>
          <w:sz w:val="22"/>
          <w:szCs w:val="22"/>
        </w:rPr>
        <w:t>Hayes, B., and</w:t>
      </w:r>
      <w:r w:rsidR="009A4794" w:rsidRPr="00B0302C">
        <w:rPr>
          <w:rFonts w:ascii="Cambria" w:hAnsi="Cambria"/>
          <w:color w:val="000000" w:themeColor="text1"/>
          <w:sz w:val="22"/>
          <w:szCs w:val="22"/>
        </w:rPr>
        <w:t xml:space="preserve"> McAllister, I.</w:t>
      </w:r>
      <w:r w:rsidR="00B53B4B">
        <w:rPr>
          <w:rFonts w:ascii="Cambria" w:hAnsi="Cambria"/>
          <w:color w:val="000000" w:themeColor="text1"/>
          <w:sz w:val="22"/>
          <w:szCs w:val="22"/>
        </w:rPr>
        <w:t>,</w:t>
      </w:r>
      <w:r w:rsidR="009A4794" w:rsidRPr="00B0302C">
        <w:rPr>
          <w:rFonts w:ascii="Cambria" w:hAnsi="Cambria"/>
          <w:color w:val="000000" w:themeColor="text1"/>
          <w:sz w:val="22"/>
          <w:szCs w:val="22"/>
        </w:rPr>
        <w:t xml:space="preserve"> (2012)</w:t>
      </w:r>
      <w:r w:rsidR="00B53B4B">
        <w:rPr>
          <w:rFonts w:ascii="Cambria" w:hAnsi="Cambria"/>
          <w:color w:val="000000" w:themeColor="text1"/>
          <w:sz w:val="22"/>
          <w:szCs w:val="22"/>
        </w:rPr>
        <w:t>.</w:t>
      </w:r>
      <w:r w:rsidR="009A4794" w:rsidRPr="00B0302C">
        <w:rPr>
          <w:rFonts w:ascii="Cambria" w:hAnsi="Cambria"/>
          <w:color w:val="000000" w:themeColor="text1"/>
          <w:sz w:val="22"/>
          <w:szCs w:val="22"/>
        </w:rPr>
        <w:t xml:space="preserve"> ‘</w:t>
      </w:r>
      <w:r w:rsidR="009A4794" w:rsidRPr="00B0302C">
        <w:rPr>
          <w:rFonts w:ascii="Cambria" w:hAnsi="Cambria" w:cs="Arial"/>
          <w:color w:val="000000" w:themeColor="text1"/>
          <w:sz w:val="22"/>
          <w:szCs w:val="22"/>
        </w:rPr>
        <w:t xml:space="preserve">Gender and </w:t>
      </w:r>
      <w:proofErr w:type="spellStart"/>
      <w:r w:rsidR="009A4794" w:rsidRPr="00B0302C">
        <w:rPr>
          <w:rFonts w:ascii="Cambria" w:hAnsi="Cambria" w:cs="Arial"/>
          <w:color w:val="000000" w:themeColor="text1"/>
          <w:sz w:val="22"/>
          <w:szCs w:val="22"/>
        </w:rPr>
        <w:t>Consociational</w:t>
      </w:r>
      <w:proofErr w:type="spellEnd"/>
      <w:r w:rsidR="009A4794" w:rsidRPr="00B0302C">
        <w:rPr>
          <w:rFonts w:ascii="Cambria" w:hAnsi="Cambria" w:cs="Arial"/>
          <w:color w:val="000000" w:themeColor="text1"/>
          <w:sz w:val="22"/>
          <w:szCs w:val="22"/>
        </w:rPr>
        <w:t xml:space="preserve"> Power-Sharing in Northern Ireland</w:t>
      </w:r>
      <w:r w:rsidR="009A4794" w:rsidRPr="00B0302C">
        <w:rPr>
          <w:rFonts w:ascii="Cambria" w:hAnsi="Cambria" w:cs="GillSans"/>
          <w:color w:val="000000" w:themeColor="text1"/>
          <w:sz w:val="22"/>
          <w:szCs w:val="22"/>
        </w:rPr>
        <w:t>’</w:t>
      </w:r>
      <w:r w:rsidR="00B53B4B">
        <w:rPr>
          <w:rFonts w:ascii="Cambria" w:hAnsi="Cambria" w:cs="GillSans"/>
          <w:color w:val="000000" w:themeColor="text1"/>
          <w:sz w:val="22"/>
          <w:szCs w:val="22"/>
        </w:rPr>
        <w:t>.</w:t>
      </w:r>
      <w:r w:rsidR="009A4794" w:rsidRPr="00B0302C">
        <w:rPr>
          <w:rFonts w:ascii="Cambria" w:hAnsi="Cambria" w:cs="GillSans"/>
          <w:color w:val="000000" w:themeColor="text1"/>
          <w:sz w:val="22"/>
          <w:szCs w:val="22"/>
        </w:rPr>
        <w:t xml:space="preserve"> </w:t>
      </w:r>
      <w:r w:rsidR="009A4794" w:rsidRPr="00B0302C">
        <w:rPr>
          <w:rFonts w:ascii="Cambria" w:hAnsi="Cambria" w:cs="GillSans"/>
          <w:i/>
          <w:color w:val="000000" w:themeColor="text1"/>
          <w:sz w:val="22"/>
          <w:szCs w:val="22"/>
        </w:rPr>
        <w:t>International Political Science Review</w:t>
      </w:r>
      <w:r w:rsidR="00B53B4B">
        <w:rPr>
          <w:rFonts w:ascii="Cambria" w:hAnsi="Cambria" w:cs="GillSans"/>
          <w:color w:val="000000" w:themeColor="text1"/>
          <w:sz w:val="22"/>
          <w:szCs w:val="22"/>
        </w:rPr>
        <w:t xml:space="preserve"> </w:t>
      </w:r>
      <w:r w:rsidR="00DD05BE">
        <w:rPr>
          <w:rFonts w:ascii="Cambria" w:hAnsi="Cambria" w:cs="GillSans"/>
          <w:color w:val="000000" w:themeColor="text1"/>
          <w:sz w:val="22"/>
          <w:szCs w:val="22"/>
        </w:rPr>
        <w:t>34(2):</w:t>
      </w:r>
      <w:r w:rsidR="0049392F">
        <w:rPr>
          <w:rFonts w:ascii="Cambria" w:hAnsi="Cambria" w:cs="GillSans"/>
          <w:color w:val="000000" w:themeColor="text1"/>
          <w:sz w:val="22"/>
          <w:szCs w:val="22"/>
        </w:rPr>
        <w:t xml:space="preserve"> </w:t>
      </w:r>
      <w:r>
        <w:rPr>
          <w:rFonts w:ascii="Cambria" w:hAnsi="Cambria" w:cs="GillSans"/>
          <w:color w:val="000000" w:themeColor="text1"/>
          <w:sz w:val="22"/>
          <w:szCs w:val="22"/>
        </w:rPr>
        <w:t>123-</w:t>
      </w:r>
      <w:r w:rsidR="00B53B4B">
        <w:rPr>
          <w:rFonts w:ascii="Cambria" w:hAnsi="Cambria" w:cs="GillSans"/>
          <w:color w:val="000000" w:themeColor="text1"/>
          <w:sz w:val="22"/>
          <w:szCs w:val="22"/>
        </w:rPr>
        <w:t>139</w:t>
      </w:r>
      <w:r w:rsidR="0049392F">
        <w:rPr>
          <w:rFonts w:ascii="Cambria" w:hAnsi="Cambria" w:cs="GillSans"/>
          <w:color w:val="000000" w:themeColor="text1"/>
          <w:sz w:val="22"/>
          <w:szCs w:val="22"/>
        </w:rPr>
        <w:t>.</w:t>
      </w:r>
    </w:p>
    <w:p w14:paraId="29DA1964" w14:textId="77777777" w:rsidR="000F7F2A" w:rsidRPr="00A90D10" w:rsidRDefault="000F7F2A" w:rsidP="00494962">
      <w:pPr>
        <w:rPr>
          <w:rFonts w:ascii="Cambria" w:hAnsi="Cambria"/>
          <w:sz w:val="22"/>
          <w:szCs w:val="22"/>
        </w:rPr>
      </w:pPr>
    </w:p>
    <w:p w14:paraId="2F0CD01F" w14:textId="2F2A45C8" w:rsidR="000F7F2A" w:rsidRPr="00A90D10" w:rsidRDefault="000F7F2A" w:rsidP="00494962">
      <w:pPr>
        <w:rPr>
          <w:rFonts w:ascii="Cambria" w:hAnsi="Cambria"/>
          <w:sz w:val="22"/>
          <w:szCs w:val="22"/>
        </w:rPr>
      </w:pPr>
      <w:proofErr w:type="spellStart"/>
      <w:r w:rsidRPr="00A90D10">
        <w:rPr>
          <w:rFonts w:ascii="Cambria" w:hAnsi="Cambria"/>
          <w:sz w:val="22"/>
          <w:szCs w:val="22"/>
        </w:rPr>
        <w:t>Helmke</w:t>
      </w:r>
      <w:proofErr w:type="spellEnd"/>
      <w:r w:rsidRPr="00A90D10">
        <w:rPr>
          <w:rFonts w:ascii="Cambria" w:hAnsi="Cambria"/>
          <w:sz w:val="22"/>
          <w:szCs w:val="22"/>
        </w:rPr>
        <w:t>, G.</w:t>
      </w:r>
      <w:r w:rsidR="002038A7">
        <w:rPr>
          <w:rFonts w:ascii="Cambria" w:hAnsi="Cambria"/>
          <w:sz w:val="22"/>
          <w:szCs w:val="22"/>
        </w:rPr>
        <w:t>,</w:t>
      </w:r>
      <w:r w:rsidRPr="00A90D10">
        <w:rPr>
          <w:rFonts w:ascii="Cambria" w:hAnsi="Cambria"/>
          <w:sz w:val="22"/>
          <w:szCs w:val="22"/>
        </w:rPr>
        <w:t xml:space="preserve"> and </w:t>
      </w:r>
      <w:proofErr w:type="spellStart"/>
      <w:r w:rsidRPr="00A90D10">
        <w:rPr>
          <w:rFonts w:ascii="Cambria" w:hAnsi="Cambria"/>
          <w:sz w:val="22"/>
          <w:szCs w:val="22"/>
        </w:rPr>
        <w:t>Levitsky</w:t>
      </w:r>
      <w:proofErr w:type="spellEnd"/>
      <w:r w:rsidRPr="00A90D10">
        <w:rPr>
          <w:rFonts w:ascii="Cambria" w:hAnsi="Cambria"/>
          <w:sz w:val="22"/>
          <w:szCs w:val="22"/>
        </w:rPr>
        <w:t>, S.</w:t>
      </w:r>
      <w:r w:rsidR="002038A7">
        <w:rPr>
          <w:rFonts w:ascii="Cambria" w:hAnsi="Cambria"/>
          <w:sz w:val="22"/>
          <w:szCs w:val="22"/>
        </w:rPr>
        <w:t>,</w:t>
      </w:r>
      <w:r w:rsidRPr="00A90D10">
        <w:rPr>
          <w:rFonts w:ascii="Cambria" w:hAnsi="Cambria"/>
          <w:sz w:val="22"/>
          <w:szCs w:val="22"/>
        </w:rPr>
        <w:t xml:space="preserve"> (2004)</w:t>
      </w:r>
      <w:r w:rsidR="002038A7">
        <w:rPr>
          <w:rFonts w:ascii="Cambria" w:hAnsi="Cambria"/>
          <w:sz w:val="22"/>
          <w:szCs w:val="22"/>
        </w:rPr>
        <w:t xml:space="preserve">. </w:t>
      </w:r>
      <w:r w:rsidRPr="00A90D10">
        <w:rPr>
          <w:rFonts w:ascii="Cambria" w:hAnsi="Cambria"/>
          <w:sz w:val="22"/>
          <w:szCs w:val="22"/>
        </w:rPr>
        <w:t>’Informal Institutions and Comparati</w:t>
      </w:r>
      <w:r w:rsidR="002038A7">
        <w:rPr>
          <w:rFonts w:ascii="Cambria" w:hAnsi="Cambria"/>
          <w:sz w:val="22"/>
          <w:szCs w:val="22"/>
        </w:rPr>
        <w:t xml:space="preserve">ve Politics: A Research Agenda’. </w:t>
      </w:r>
      <w:r w:rsidRPr="00A90D10">
        <w:rPr>
          <w:rFonts w:ascii="Cambria" w:hAnsi="Cambria"/>
          <w:i/>
          <w:sz w:val="22"/>
          <w:szCs w:val="22"/>
        </w:rPr>
        <w:t>Perspectives on Politics</w:t>
      </w:r>
      <w:r w:rsidR="00B53B4B">
        <w:rPr>
          <w:rFonts w:ascii="Cambria" w:hAnsi="Cambria"/>
          <w:sz w:val="22"/>
          <w:szCs w:val="22"/>
        </w:rPr>
        <w:t xml:space="preserve"> 2(4):</w:t>
      </w:r>
      <w:r w:rsidR="0049392F">
        <w:rPr>
          <w:rFonts w:ascii="Cambria" w:hAnsi="Cambria"/>
          <w:sz w:val="22"/>
          <w:szCs w:val="22"/>
        </w:rPr>
        <w:t xml:space="preserve"> </w:t>
      </w:r>
      <w:r w:rsidRPr="00A90D10">
        <w:rPr>
          <w:rFonts w:ascii="Cambria" w:hAnsi="Cambria"/>
          <w:sz w:val="22"/>
          <w:szCs w:val="22"/>
        </w:rPr>
        <w:t>725-</w:t>
      </w:r>
      <w:r w:rsidR="0081794C">
        <w:rPr>
          <w:rFonts w:ascii="Cambria" w:hAnsi="Cambria"/>
          <w:sz w:val="22"/>
          <w:szCs w:val="22"/>
        </w:rPr>
        <w:t>7</w:t>
      </w:r>
      <w:r w:rsidRPr="00A90D10">
        <w:rPr>
          <w:rFonts w:ascii="Cambria" w:hAnsi="Cambria"/>
          <w:sz w:val="22"/>
          <w:szCs w:val="22"/>
        </w:rPr>
        <w:t>40</w:t>
      </w:r>
      <w:r w:rsidR="0049392F">
        <w:rPr>
          <w:rFonts w:ascii="Cambria" w:hAnsi="Cambria"/>
          <w:sz w:val="22"/>
          <w:szCs w:val="22"/>
        </w:rPr>
        <w:t>.</w:t>
      </w:r>
    </w:p>
    <w:p w14:paraId="183ABF41" w14:textId="72526DED" w:rsidR="00412681" w:rsidRDefault="00E458A9" w:rsidP="00494962">
      <w:pPr>
        <w:spacing w:before="100" w:beforeAutospacing="1" w:after="100" w:afterAutospacing="1"/>
        <w:textAlignment w:val="baseline"/>
        <w:rPr>
          <w:rFonts w:ascii="Cambria" w:eastAsia="Times New Roman" w:hAnsi="Cambria"/>
          <w:sz w:val="22"/>
          <w:szCs w:val="22"/>
        </w:rPr>
      </w:pPr>
      <w:r w:rsidRPr="00A90D10">
        <w:rPr>
          <w:rFonts w:ascii="Cambria" w:eastAsia="Times New Roman" w:hAnsi="Cambria"/>
          <w:sz w:val="22"/>
          <w:szCs w:val="22"/>
        </w:rPr>
        <w:t>Helms,</w:t>
      </w:r>
      <w:r w:rsidR="002038A7">
        <w:rPr>
          <w:rFonts w:ascii="Cambria" w:eastAsia="Times New Roman" w:hAnsi="Cambria"/>
          <w:sz w:val="22"/>
          <w:szCs w:val="22"/>
        </w:rPr>
        <w:t xml:space="preserve"> E.,</w:t>
      </w:r>
      <w:r w:rsidRPr="00A90D10">
        <w:rPr>
          <w:rFonts w:ascii="Cambria" w:eastAsia="Times New Roman" w:hAnsi="Cambria"/>
          <w:sz w:val="22"/>
          <w:szCs w:val="22"/>
        </w:rPr>
        <w:t xml:space="preserve"> (2013)</w:t>
      </w:r>
      <w:r w:rsidR="002038A7">
        <w:rPr>
          <w:rFonts w:ascii="Cambria" w:eastAsia="Times New Roman" w:hAnsi="Cambria"/>
          <w:sz w:val="22"/>
          <w:szCs w:val="22"/>
        </w:rPr>
        <w:t>.</w:t>
      </w:r>
      <w:r w:rsidRPr="00A90D10">
        <w:rPr>
          <w:rFonts w:ascii="Cambria" w:eastAsia="Times New Roman" w:hAnsi="Cambria"/>
          <w:sz w:val="22"/>
          <w:szCs w:val="22"/>
        </w:rPr>
        <w:t xml:space="preserve"> </w:t>
      </w:r>
      <w:r w:rsidRPr="00A90D10">
        <w:rPr>
          <w:rFonts w:ascii="Cambria" w:eastAsia="Times New Roman" w:hAnsi="Cambria"/>
          <w:i/>
          <w:sz w:val="22"/>
          <w:szCs w:val="22"/>
        </w:rPr>
        <w:t xml:space="preserve">Innocence and Victimhood: Gender, Nation and Women’s Activism in </w:t>
      </w:r>
      <w:proofErr w:type="spellStart"/>
      <w:r w:rsidRPr="00A90D10">
        <w:rPr>
          <w:rFonts w:ascii="Cambria" w:eastAsia="Times New Roman" w:hAnsi="Cambria"/>
          <w:i/>
          <w:sz w:val="22"/>
          <w:szCs w:val="22"/>
        </w:rPr>
        <w:t>Postwar</w:t>
      </w:r>
      <w:proofErr w:type="spellEnd"/>
      <w:r w:rsidRPr="00A90D10">
        <w:rPr>
          <w:rFonts w:ascii="Cambria" w:eastAsia="Times New Roman" w:hAnsi="Cambria"/>
          <w:i/>
          <w:sz w:val="22"/>
          <w:szCs w:val="22"/>
        </w:rPr>
        <w:t xml:space="preserve"> Bosnia-Herzegovina</w:t>
      </w:r>
      <w:r w:rsidR="002038A7">
        <w:rPr>
          <w:rFonts w:ascii="Cambria" w:eastAsia="Times New Roman" w:hAnsi="Cambria"/>
          <w:sz w:val="22"/>
          <w:szCs w:val="22"/>
        </w:rPr>
        <w:t xml:space="preserve">. </w:t>
      </w:r>
      <w:r w:rsidRPr="00A90D10">
        <w:rPr>
          <w:rFonts w:ascii="Cambria" w:eastAsia="Times New Roman" w:hAnsi="Cambria"/>
          <w:sz w:val="22"/>
          <w:szCs w:val="22"/>
        </w:rPr>
        <w:t>Wisconsin: The</w:t>
      </w:r>
      <w:r w:rsidR="009E687D" w:rsidRPr="00A90D10">
        <w:rPr>
          <w:rFonts w:ascii="Cambria" w:eastAsia="Times New Roman" w:hAnsi="Cambria"/>
          <w:sz w:val="22"/>
          <w:szCs w:val="22"/>
        </w:rPr>
        <w:t xml:space="preserve"> University of Wisconsin Press</w:t>
      </w:r>
      <w:r w:rsidR="0081794C">
        <w:rPr>
          <w:rFonts w:ascii="Cambria" w:eastAsia="Times New Roman" w:hAnsi="Cambria"/>
          <w:sz w:val="22"/>
          <w:szCs w:val="22"/>
        </w:rPr>
        <w:t>.</w:t>
      </w:r>
    </w:p>
    <w:p w14:paraId="73029475" w14:textId="356C463F" w:rsidR="00BC3A92" w:rsidRPr="00CC1D04" w:rsidRDefault="00CC1D04" w:rsidP="00494962">
      <w:pPr>
        <w:rPr>
          <w:rFonts w:ascii="Cambria" w:eastAsia="Times New Roman" w:hAnsi="Cambria" w:cs="Arial"/>
          <w:color w:val="000000" w:themeColor="text1"/>
          <w:sz w:val="22"/>
          <w:szCs w:val="22"/>
          <w:shd w:val="clear" w:color="auto" w:fill="FFFFFF"/>
        </w:rPr>
      </w:pPr>
      <w:r>
        <w:rPr>
          <w:rFonts w:ascii="Cambria" w:hAnsi="Cambria"/>
          <w:color w:val="000000" w:themeColor="text1"/>
          <w:sz w:val="22"/>
          <w:szCs w:val="22"/>
        </w:rPr>
        <w:t>Helms, E.</w:t>
      </w:r>
      <w:r w:rsidR="00DD05BE">
        <w:rPr>
          <w:rFonts w:ascii="Cambria" w:hAnsi="Cambria"/>
          <w:color w:val="000000" w:themeColor="text1"/>
          <w:sz w:val="22"/>
          <w:szCs w:val="22"/>
        </w:rPr>
        <w:t>,</w:t>
      </w:r>
      <w:r>
        <w:rPr>
          <w:rFonts w:ascii="Cambria" w:hAnsi="Cambria"/>
          <w:color w:val="000000" w:themeColor="text1"/>
          <w:sz w:val="22"/>
          <w:szCs w:val="22"/>
        </w:rPr>
        <w:t xml:space="preserve"> (2007)</w:t>
      </w:r>
      <w:r w:rsidR="00DD05BE">
        <w:rPr>
          <w:rFonts w:ascii="Cambria" w:hAnsi="Cambria"/>
          <w:color w:val="000000" w:themeColor="text1"/>
          <w:sz w:val="22"/>
          <w:szCs w:val="22"/>
        </w:rPr>
        <w:t>. ‘</w:t>
      </w:r>
      <w:r>
        <w:rPr>
          <w:rFonts w:ascii="Cambria" w:hAnsi="Cambria"/>
          <w:color w:val="000000" w:themeColor="text1"/>
          <w:sz w:val="22"/>
          <w:szCs w:val="22"/>
        </w:rPr>
        <w:t>“Politics is a Whore”</w:t>
      </w:r>
      <w:r w:rsidR="009A4794" w:rsidRPr="00CC1D04">
        <w:rPr>
          <w:rFonts w:ascii="Cambria" w:hAnsi="Cambria"/>
          <w:color w:val="000000" w:themeColor="text1"/>
          <w:sz w:val="22"/>
          <w:szCs w:val="22"/>
        </w:rPr>
        <w:t>: Women, Morality and Victimhood in Post-War Bosnia-Herzegovina’</w:t>
      </w:r>
      <w:r w:rsidR="0081794C">
        <w:rPr>
          <w:rFonts w:ascii="Cambria" w:hAnsi="Cambria"/>
          <w:color w:val="000000" w:themeColor="text1"/>
          <w:sz w:val="22"/>
          <w:szCs w:val="22"/>
        </w:rPr>
        <w:t>,</w:t>
      </w:r>
      <w:r w:rsidR="00DD05BE" w:rsidRPr="00DD05BE">
        <w:rPr>
          <w:rFonts w:ascii="Cambria" w:hAnsi="Cambria"/>
          <w:color w:val="000000" w:themeColor="text1"/>
          <w:sz w:val="22"/>
          <w:szCs w:val="22"/>
        </w:rPr>
        <w:t xml:space="preserve"> </w:t>
      </w:r>
      <w:r w:rsidR="00DD05BE" w:rsidRPr="0079161F">
        <w:rPr>
          <w:rFonts w:ascii="Cambria" w:hAnsi="Cambria"/>
          <w:color w:val="000000" w:themeColor="text1"/>
          <w:sz w:val="22"/>
          <w:szCs w:val="22"/>
        </w:rPr>
        <w:t xml:space="preserve">in </w:t>
      </w:r>
      <w:r w:rsidR="00DD05BE">
        <w:rPr>
          <w:rFonts w:ascii="Cambria" w:hAnsi="Cambria"/>
          <w:color w:val="000000" w:themeColor="text1"/>
          <w:sz w:val="22"/>
          <w:szCs w:val="22"/>
        </w:rPr>
        <w:t xml:space="preserve">X. </w:t>
      </w:r>
      <w:proofErr w:type="spellStart"/>
      <w:r w:rsidR="00DD05BE" w:rsidRPr="0079161F">
        <w:rPr>
          <w:rFonts w:ascii="Cambria" w:hAnsi="Cambria"/>
          <w:color w:val="000000" w:themeColor="text1"/>
          <w:sz w:val="22"/>
          <w:szCs w:val="22"/>
        </w:rPr>
        <w:t>Bougarel</w:t>
      </w:r>
      <w:proofErr w:type="spellEnd"/>
      <w:r w:rsidR="00DD05BE" w:rsidRPr="0079161F">
        <w:rPr>
          <w:rFonts w:ascii="Cambria" w:hAnsi="Cambria"/>
          <w:color w:val="000000" w:themeColor="text1"/>
          <w:sz w:val="22"/>
          <w:szCs w:val="22"/>
        </w:rPr>
        <w:t xml:space="preserve">, </w:t>
      </w:r>
      <w:r w:rsidR="00DD05BE">
        <w:rPr>
          <w:rFonts w:ascii="Cambria" w:hAnsi="Cambria"/>
          <w:color w:val="000000" w:themeColor="text1"/>
          <w:sz w:val="22"/>
          <w:szCs w:val="22"/>
        </w:rPr>
        <w:t xml:space="preserve">E. </w:t>
      </w:r>
      <w:r w:rsidR="00DD05BE" w:rsidRPr="0079161F">
        <w:rPr>
          <w:rFonts w:ascii="Cambria" w:hAnsi="Cambria"/>
          <w:color w:val="000000" w:themeColor="text1"/>
          <w:sz w:val="22"/>
          <w:szCs w:val="22"/>
        </w:rPr>
        <w:t>Helms</w:t>
      </w:r>
      <w:r w:rsidR="00DD05BE">
        <w:rPr>
          <w:rFonts w:ascii="Cambria" w:hAnsi="Cambria"/>
          <w:color w:val="000000" w:themeColor="text1"/>
          <w:sz w:val="22"/>
          <w:szCs w:val="22"/>
        </w:rPr>
        <w:t xml:space="preserve"> and G. </w:t>
      </w:r>
      <w:proofErr w:type="spellStart"/>
      <w:r w:rsidR="00DD05BE">
        <w:rPr>
          <w:rFonts w:ascii="Cambria" w:hAnsi="Cambria"/>
          <w:color w:val="000000" w:themeColor="text1"/>
          <w:sz w:val="22"/>
          <w:szCs w:val="22"/>
        </w:rPr>
        <w:t>Duijzings</w:t>
      </w:r>
      <w:proofErr w:type="spellEnd"/>
      <w:r w:rsidR="00DD05BE">
        <w:rPr>
          <w:rFonts w:ascii="Cambria" w:hAnsi="Cambria"/>
          <w:color w:val="000000" w:themeColor="text1"/>
          <w:sz w:val="22"/>
          <w:szCs w:val="22"/>
        </w:rPr>
        <w:t>, eds.</w:t>
      </w:r>
      <w:r w:rsidR="00DD05BE" w:rsidRPr="0079161F">
        <w:rPr>
          <w:rFonts w:ascii="Cambria" w:hAnsi="Cambria"/>
          <w:color w:val="000000" w:themeColor="text1"/>
          <w:sz w:val="22"/>
          <w:szCs w:val="22"/>
        </w:rPr>
        <w:t xml:space="preserve"> </w:t>
      </w:r>
      <w:r w:rsidR="00DD05BE" w:rsidRPr="0079161F">
        <w:rPr>
          <w:rFonts w:ascii="Cambria" w:hAnsi="Cambria"/>
          <w:i/>
          <w:color w:val="000000" w:themeColor="text1"/>
          <w:sz w:val="22"/>
          <w:szCs w:val="22"/>
        </w:rPr>
        <w:t>The New Bosnian Mosaic: Identities, Memories and Moral Claims in a Post-War Society</w:t>
      </w:r>
      <w:r w:rsidR="0081794C">
        <w:rPr>
          <w:rFonts w:ascii="Cambria" w:hAnsi="Cambria"/>
          <w:color w:val="000000" w:themeColor="text1"/>
          <w:sz w:val="22"/>
          <w:szCs w:val="22"/>
        </w:rPr>
        <w:t>. Hampshire and</w:t>
      </w:r>
      <w:r w:rsidR="00DD05BE" w:rsidRPr="0079161F">
        <w:rPr>
          <w:rFonts w:ascii="Cambria" w:hAnsi="Cambria"/>
          <w:color w:val="000000" w:themeColor="text1"/>
          <w:sz w:val="22"/>
          <w:szCs w:val="22"/>
        </w:rPr>
        <w:t xml:space="preserve"> Vermont: </w:t>
      </w:r>
      <w:proofErr w:type="spellStart"/>
      <w:r w:rsidR="00DD05BE" w:rsidRPr="0079161F">
        <w:rPr>
          <w:rFonts w:ascii="Cambria" w:hAnsi="Cambria"/>
          <w:color w:val="000000" w:themeColor="text1"/>
          <w:sz w:val="22"/>
          <w:szCs w:val="22"/>
        </w:rPr>
        <w:t>Ashgate</w:t>
      </w:r>
      <w:proofErr w:type="spellEnd"/>
      <w:r w:rsidRPr="00CC1D04">
        <w:rPr>
          <w:rFonts w:ascii="Cambria" w:hAnsi="Cambria"/>
          <w:color w:val="000000" w:themeColor="text1"/>
          <w:sz w:val="22"/>
          <w:szCs w:val="22"/>
        </w:rPr>
        <w:t xml:space="preserve">, </w:t>
      </w:r>
      <w:r w:rsidR="00DD05BE">
        <w:rPr>
          <w:rFonts w:ascii="Cambria" w:hAnsi="Cambria"/>
          <w:color w:val="000000" w:themeColor="text1"/>
          <w:sz w:val="22"/>
          <w:szCs w:val="22"/>
        </w:rPr>
        <w:t xml:space="preserve">pp. </w:t>
      </w:r>
      <w:r w:rsidRPr="00CC1D04">
        <w:rPr>
          <w:rFonts w:ascii="Cambria" w:hAnsi="Cambria"/>
          <w:color w:val="000000" w:themeColor="text1"/>
          <w:sz w:val="22"/>
          <w:szCs w:val="22"/>
        </w:rPr>
        <w:t>235-254</w:t>
      </w:r>
    </w:p>
    <w:p w14:paraId="31973F79" w14:textId="77777777" w:rsidR="009A4794" w:rsidRPr="00FF1838" w:rsidRDefault="009A4794" w:rsidP="00494962">
      <w:pPr>
        <w:rPr>
          <w:rFonts w:ascii="Cambria" w:hAnsi="Cambria"/>
          <w:color w:val="000000" w:themeColor="text1"/>
          <w:sz w:val="22"/>
          <w:szCs w:val="22"/>
        </w:rPr>
      </w:pPr>
    </w:p>
    <w:p w14:paraId="126AD702" w14:textId="176602E4" w:rsidR="009A4794" w:rsidRPr="00FF1838" w:rsidRDefault="009A4794" w:rsidP="00494962">
      <w:pPr>
        <w:autoSpaceDE w:val="0"/>
        <w:autoSpaceDN w:val="0"/>
        <w:adjustRightInd w:val="0"/>
        <w:rPr>
          <w:rFonts w:ascii="Cambria" w:hAnsi="Cambria" w:cs="AdvTT5843c571"/>
          <w:color w:val="000000" w:themeColor="text1"/>
          <w:sz w:val="22"/>
          <w:szCs w:val="22"/>
        </w:rPr>
      </w:pPr>
      <w:r w:rsidRPr="00FF1838">
        <w:rPr>
          <w:rFonts w:ascii="Cambria" w:hAnsi="Cambria"/>
          <w:color w:val="000000" w:themeColor="text1"/>
          <w:sz w:val="22"/>
          <w:szCs w:val="22"/>
        </w:rPr>
        <w:t>Helms, E.</w:t>
      </w:r>
      <w:r w:rsidR="00F34B82">
        <w:rPr>
          <w:rFonts w:ascii="Cambria" w:hAnsi="Cambria"/>
          <w:color w:val="000000" w:themeColor="text1"/>
          <w:sz w:val="22"/>
          <w:szCs w:val="22"/>
        </w:rPr>
        <w:t>,</w:t>
      </w:r>
      <w:r w:rsidRPr="00FF1838">
        <w:rPr>
          <w:rFonts w:ascii="Cambria" w:hAnsi="Cambria"/>
          <w:color w:val="000000" w:themeColor="text1"/>
          <w:sz w:val="22"/>
          <w:szCs w:val="22"/>
        </w:rPr>
        <w:t xml:space="preserve"> (2003)</w:t>
      </w:r>
      <w:r w:rsidR="00F34B82">
        <w:rPr>
          <w:rFonts w:ascii="Cambria" w:hAnsi="Cambria"/>
          <w:color w:val="000000" w:themeColor="text1"/>
          <w:sz w:val="22"/>
          <w:szCs w:val="22"/>
        </w:rPr>
        <w:t>.</w:t>
      </w:r>
      <w:r w:rsidRPr="00FF1838">
        <w:rPr>
          <w:rFonts w:ascii="Cambria" w:hAnsi="Cambria"/>
          <w:color w:val="000000" w:themeColor="text1"/>
          <w:sz w:val="22"/>
          <w:szCs w:val="22"/>
        </w:rPr>
        <w:t xml:space="preserve"> ‘</w:t>
      </w:r>
      <w:r w:rsidR="00FF1838">
        <w:rPr>
          <w:rFonts w:ascii="Cambria" w:hAnsi="Cambria" w:cs="AdvTT2cba4af3.B"/>
          <w:color w:val="000000" w:themeColor="text1"/>
          <w:sz w:val="22"/>
          <w:szCs w:val="22"/>
        </w:rPr>
        <w:t>Women as Agents o</w:t>
      </w:r>
      <w:r w:rsidRPr="00FF1838">
        <w:rPr>
          <w:rFonts w:ascii="Cambria" w:hAnsi="Cambria" w:cs="AdvTT2cba4af3.B"/>
          <w:color w:val="000000" w:themeColor="text1"/>
          <w:sz w:val="22"/>
          <w:szCs w:val="22"/>
        </w:rPr>
        <w:t>f Ethnic Reconciliation? Women’s NGOs and International Intervention in Post</w:t>
      </w:r>
      <w:r w:rsidR="0081794C">
        <w:rPr>
          <w:rFonts w:ascii="Cambria" w:hAnsi="Cambria" w:cs="AdvTT2cba4af3.B"/>
          <w:color w:val="000000" w:themeColor="text1"/>
          <w:sz w:val="22"/>
          <w:szCs w:val="22"/>
        </w:rPr>
        <w:t xml:space="preserve"> War Bosnia-</w:t>
      </w:r>
      <w:r w:rsidR="00F34B82">
        <w:rPr>
          <w:rFonts w:ascii="Cambria" w:hAnsi="Cambria" w:cs="AdvTT2cba4af3.B"/>
          <w:color w:val="000000" w:themeColor="text1"/>
          <w:sz w:val="22"/>
          <w:szCs w:val="22"/>
        </w:rPr>
        <w:t>Herzegovina</w:t>
      </w:r>
      <w:r w:rsidRPr="00FF1838">
        <w:rPr>
          <w:rFonts w:ascii="Cambria" w:hAnsi="Cambria" w:cs="AdvTT2cba4af3.B"/>
          <w:color w:val="000000" w:themeColor="text1"/>
          <w:sz w:val="22"/>
          <w:szCs w:val="22"/>
        </w:rPr>
        <w:t>’</w:t>
      </w:r>
      <w:r w:rsidR="00F34B82">
        <w:rPr>
          <w:rFonts w:ascii="Cambria" w:hAnsi="Cambria" w:cs="AdvTT2cba4af3.B"/>
          <w:color w:val="000000" w:themeColor="text1"/>
          <w:sz w:val="22"/>
          <w:szCs w:val="22"/>
        </w:rPr>
        <w:t>.</w:t>
      </w:r>
      <w:r w:rsidRPr="00FF1838">
        <w:rPr>
          <w:rFonts w:ascii="Cambria" w:hAnsi="Cambria" w:cs="AdvTT2cba4af3.B"/>
          <w:color w:val="000000" w:themeColor="text1"/>
          <w:sz w:val="22"/>
          <w:szCs w:val="22"/>
        </w:rPr>
        <w:t xml:space="preserve"> </w:t>
      </w:r>
      <w:r w:rsidRPr="00FF1838">
        <w:rPr>
          <w:rFonts w:ascii="Cambria" w:hAnsi="Cambria" w:cs="AdvTT5843c571"/>
          <w:i/>
          <w:color w:val="000000" w:themeColor="text1"/>
          <w:sz w:val="22"/>
          <w:szCs w:val="22"/>
        </w:rPr>
        <w:t>Women’s Studies International Forum</w:t>
      </w:r>
      <w:r w:rsidR="00F34B82">
        <w:rPr>
          <w:rFonts w:ascii="Cambria" w:hAnsi="Cambria" w:cs="AdvTT5843c571"/>
          <w:color w:val="000000" w:themeColor="text1"/>
          <w:sz w:val="22"/>
          <w:szCs w:val="22"/>
        </w:rPr>
        <w:t xml:space="preserve"> </w:t>
      </w:r>
      <w:r w:rsidRPr="00FF1838">
        <w:rPr>
          <w:rFonts w:ascii="Cambria" w:hAnsi="Cambria" w:cs="AdvTT5843c571"/>
          <w:color w:val="000000" w:themeColor="text1"/>
          <w:sz w:val="22"/>
          <w:szCs w:val="22"/>
        </w:rPr>
        <w:t>26</w:t>
      </w:r>
      <w:r w:rsidR="00F34B82">
        <w:rPr>
          <w:rFonts w:ascii="Cambria" w:hAnsi="Cambria" w:cs="AdvTT5843c571"/>
          <w:color w:val="000000" w:themeColor="text1"/>
          <w:sz w:val="22"/>
          <w:szCs w:val="22"/>
        </w:rPr>
        <w:t>(</w:t>
      </w:r>
      <w:r w:rsidRPr="00FF1838">
        <w:rPr>
          <w:rFonts w:ascii="Cambria" w:hAnsi="Cambria" w:cs="AdvTT5843c571"/>
          <w:color w:val="000000" w:themeColor="text1"/>
          <w:sz w:val="22"/>
          <w:szCs w:val="22"/>
        </w:rPr>
        <w:t>1</w:t>
      </w:r>
      <w:r w:rsidR="0081794C">
        <w:rPr>
          <w:rFonts w:ascii="Cambria" w:hAnsi="Cambria" w:cs="AdvTT5843c571"/>
          <w:color w:val="000000" w:themeColor="text1"/>
          <w:sz w:val="22"/>
          <w:szCs w:val="22"/>
        </w:rPr>
        <w:t>): 15-</w:t>
      </w:r>
      <w:r w:rsidR="00F34B82">
        <w:rPr>
          <w:rFonts w:ascii="Cambria" w:hAnsi="Cambria" w:cs="AdvTT5843c571"/>
          <w:color w:val="000000" w:themeColor="text1"/>
          <w:sz w:val="22"/>
          <w:szCs w:val="22"/>
        </w:rPr>
        <w:t>33</w:t>
      </w:r>
      <w:r w:rsidR="0081794C">
        <w:rPr>
          <w:rFonts w:ascii="Cambria" w:hAnsi="Cambria" w:cs="AdvTT5843c571"/>
          <w:color w:val="000000" w:themeColor="text1"/>
          <w:sz w:val="22"/>
          <w:szCs w:val="22"/>
        </w:rPr>
        <w:t>.</w:t>
      </w:r>
    </w:p>
    <w:p w14:paraId="478A6C5A" w14:textId="77777777" w:rsidR="005F242E" w:rsidRPr="00FF1838" w:rsidRDefault="005F242E" w:rsidP="00494962">
      <w:pPr>
        <w:rPr>
          <w:rFonts w:ascii="Cambria" w:hAnsi="Cambria"/>
          <w:iCs/>
          <w:color w:val="000000" w:themeColor="text1"/>
          <w:sz w:val="22"/>
          <w:szCs w:val="22"/>
        </w:rPr>
      </w:pPr>
    </w:p>
    <w:p w14:paraId="1CD67A1B" w14:textId="7DB462DD" w:rsidR="009A4794" w:rsidRPr="00FF1838" w:rsidRDefault="0081794C" w:rsidP="00494962">
      <w:pPr>
        <w:rPr>
          <w:rFonts w:ascii="Cambria" w:hAnsi="Cambria"/>
          <w:iCs/>
          <w:color w:val="000000" w:themeColor="text1"/>
          <w:sz w:val="22"/>
          <w:szCs w:val="22"/>
        </w:rPr>
      </w:pPr>
      <w:r>
        <w:rPr>
          <w:rFonts w:ascii="Cambria" w:hAnsi="Cambria"/>
          <w:iCs/>
          <w:color w:val="000000" w:themeColor="text1"/>
          <w:sz w:val="22"/>
          <w:szCs w:val="22"/>
        </w:rPr>
        <w:t>Horowitz, D.</w:t>
      </w:r>
      <w:r w:rsidR="009A4794" w:rsidRPr="00FF1838">
        <w:rPr>
          <w:rFonts w:ascii="Cambria" w:hAnsi="Cambria"/>
          <w:iCs/>
          <w:color w:val="000000" w:themeColor="text1"/>
          <w:sz w:val="22"/>
          <w:szCs w:val="22"/>
        </w:rPr>
        <w:t>L.</w:t>
      </w:r>
      <w:r w:rsidR="00F34B82">
        <w:rPr>
          <w:rFonts w:ascii="Cambria" w:hAnsi="Cambria"/>
          <w:iCs/>
          <w:color w:val="000000" w:themeColor="text1"/>
          <w:sz w:val="22"/>
          <w:szCs w:val="22"/>
        </w:rPr>
        <w:t>,</w:t>
      </w:r>
      <w:r w:rsidR="009A4794" w:rsidRPr="00FF1838">
        <w:rPr>
          <w:rFonts w:ascii="Cambria" w:hAnsi="Cambria"/>
          <w:iCs/>
          <w:color w:val="000000" w:themeColor="text1"/>
          <w:sz w:val="22"/>
          <w:szCs w:val="22"/>
        </w:rPr>
        <w:t xml:space="preserve"> (2014)</w:t>
      </w:r>
      <w:r w:rsidR="00F34B82">
        <w:rPr>
          <w:rFonts w:ascii="Cambria" w:hAnsi="Cambria"/>
          <w:iCs/>
          <w:color w:val="000000" w:themeColor="text1"/>
          <w:sz w:val="22"/>
          <w:szCs w:val="22"/>
        </w:rPr>
        <w:t>.</w:t>
      </w:r>
      <w:r w:rsidR="009A4794" w:rsidRPr="00FF1838">
        <w:rPr>
          <w:rFonts w:ascii="Cambria" w:hAnsi="Cambria"/>
          <w:iCs/>
          <w:color w:val="000000" w:themeColor="text1"/>
          <w:sz w:val="22"/>
          <w:szCs w:val="22"/>
        </w:rPr>
        <w:t xml:space="preserve"> ‘Ethnic Power Sharing: Three Big Problems</w:t>
      </w:r>
      <w:r w:rsidR="004656F1" w:rsidRPr="00FF1838">
        <w:rPr>
          <w:rFonts w:ascii="Cambria" w:hAnsi="Cambria"/>
          <w:iCs/>
          <w:color w:val="000000" w:themeColor="text1"/>
          <w:sz w:val="22"/>
          <w:szCs w:val="22"/>
        </w:rPr>
        <w:t>’</w:t>
      </w:r>
      <w:r w:rsidR="00F34B82">
        <w:rPr>
          <w:rFonts w:ascii="Cambria" w:hAnsi="Cambria"/>
          <w:iCs/>
          <w:color w:val="000000" w:themeColor="text1"/>
          <w:sz w:val="22"/>
          <w:szCs w:val="22"/>
        </w:rPr>
        <w:t>.</w:t>
      </w:r>
      <w:r w:rsidR="004656F1" w:rsidRPr="00FF1838">
        <w:rPr>
          <w:rFonts w:ascii="Cambria" w:hAnsi="Cambria"/>
          <w:iCs/>
          <w:color w:val="000000" w:themeColor="text1"/>
          <w:sz w:val="22"/>
          <w:szCs w:val="22"/>
        </w:rPr>
        <w:t xml:space="preserve"> </w:t>
      </w:r>
      <w:r w:rsidR="004656F1" w:rsidRPr="00FF1838">
        <w:rPr>
          <w:rFonts w:ascii="Cambria" w:hAnsi="Cambria"/>
          <w:i/>
          <w:iCs/>
          <w:color w:val="000000" w:themeColor="text1"/>
          <w:sz w:val="22"/>
          <w:szCs w:val="22"/>
        </w:rPr>
        <w:t>Journal of Democracy</w:t>
      </w:r>
      <w:r>
        <w:rPr>
          <w:rFonts w:ascii="Cambria" w:hAnsi="Cambria"/>
          <w:iCs/>
          <w:color w:val="000000" w:themeColor="text1"/>
          <w:sz w:val="22"/>
          <w:szCs w:val="22"/>
        </w:rPr>
        <w:t xml:space="preserve"> 25</w:t>
      </w:r>
      <w:r w:rsidR="004656F1" w:rsidRPr="00FF1838">
        <w:rPr>
          <w:rFonts w:ascii="Cambria" w:hAnsi="Cambria"/>
          <w:iCs/>
          <w:color w:val="000000" w:themeColor="text1"/>
          <w:sz w:val="22"/>
          <w:szCs w:val="22"/>
        </w:rPr>
        <w:t>(2):</w:t>
      </w:r>
      <w:r w:rsidR="00F34B82">
        <w:rPr>
          <w:rFonts w:ascii="Cambria" w:hAnsi="Cambria"/>
          <w:iCs/>
          <w:color w:val="000000" w:themeColor="text1"/>
          <w:sz w:val="22"/>
          <w:szCs w:val="22"/>
        </w:rPr>
        <w:t xml:space="preserve"> 5-20</w:t>
      </w:r>
      <w:r w:rsidR="0049392F">
        <w:rPr>
          <w:rFonts w:ascii="Cambria" w:hAnsi="Cambria"/>
          <w:iCs/>
          <w:color w:val="000000" w:themeColor="text1"/>
          <w:sz w:val="22"/>
          <w:szCs w:val="22"/>
        </w:rPr>
        <w:t>.</w:t>
      </w:r>
    </w:p>
    <w:p w14:paraId="31A71769" w14:textId="325E4940" w:rsidR="009A4794" w:rsidRDefault="0081794C" w:rsidP="00494962">
      <w:pPr>
        <w:widowControl w:val="0"/>
        <w:overflowPunct w:val="0"/>
        <w:autoSpaceDE w:val="0"/>
        <w:autoSpaceDN w:val="0"/>
        <w:adjustRightInd w:val="0"/>
        <w:spacing w:before="240"/>
        <w:rPr>
          <w:rFonts w:ascii="Cambria" w:hAnsi="Cambria"/>
          <w:color w:val="000000" w:themeColor="text1"/>
          <w:sz w:val="22"/>
          <w:szCs w:val="22"/>
        </w:rPr>
      </w:pPr>
      <w:r>
        <w:rPr>
          <w:rFonts w:ascii="Cambria" w:hAnsi="Cambria"/>
          <w:color w:val="000000" w:themeColor="text1"/>
          <w:sz w:val="22"/>
          <w:szCs w:val="22"/>
        </w:rPr>
        <w:t>Horowitz, D.</w:t>
      </w:r>
      <w:r w:rsidR="009A4794" w:rsidRPr="00FF1838">
        <w:rPr>
          <w:rFonts w:ascii="Cambria" w:hAnsi="Cambria"/>
          <w:color w:val="000000" w:themeColor="text1"/>
          <w:sz w:val="22"/>
          <w:szCs w:val="22"/>
        </w:rPr>
        <w:t>L.</w:t>
      </w:r>
      <w:r w:rsidR="003F41A9">
        <w:rPr>
          <w:rFonts w:ascii="Cambria" w:hAnsi="Cambria"/>
          <w:color w:val="000000" w:themeColor="text1"/>
          <w:sz w:val="22"/>
          <w:szCs w:val="22"/>
        </w:rPr>
        <w:t xml:space="preserve">, (2002). </w:t>
      </w:r>
      <w:r w:rsidR="009A4794" w:rsidRPr="00FF1838">
        <w:rPr>
          <w:rFonts w:ascii="Cambria" w:hAnsi="Cambria"/>
          <w:color w:val="000000" w:themeColor="text1"/>
          <w:sz w:val="22"/>
          <w:szCs w:val="22"/>
        </w:rPr>
        <w:t>‘Explaining t</w:t>
      </w:r>
      <w:r w:rsidR="00FF1838">
        <w:rPr>
          <w:rFonts w:ascii="Cambria" w:hAnsi="Cambria"/>
          <w:color w:val="000000" w:themeColor="text1"/>
          <w:sz w:val="22"/>
          <w:szCs w:val="22"/>
        </w:rPr>
        <w:t>he Northern Ireland Agreement: T</w:t>
      </w:r>
      <w:r w:rsidR="009A4794" w:rsidRPr="00FF1838">
        <w:rPr>
          <w:rFonts w:ascii="Cambria" w:hAnsi="Cambria"/>
          <w:color w:val="000000" w:themeColor="text1"/>
          <w:sz w:val="22"/>
          <w:szCs w:val="22"/>
        </w:rPr>
        <w:t>he Sources of an Un</w:t>
      </w:r>
      <w:r w:rsidR="003F41A9">
        <w:rPr>
          <w:rFonts w:ascii="Cambria" w:hAnsi="Cambria"/>
          <w:color w:val="000000" w:themeColor="text1"/>
          <w:sz w:val="22"/>
          <w:szCs w:val="22"/>
        </w:rPr>
        <w:t>likely Constitutional Consensus</w:t>
      </w:r>
      <w:r w:rsidR="009A4794" w:rsidRPr="00FF1838">
        <w:rPr>
          <w:rFonts w:ascii="Cambria" w:hAnsi="Cambria"/>
          <w:color w:val="000000" w:themeColor="text1"/>
          <w:sz w:val="22"/>
          <w:szCs w:val="22"/>
        </w:rPr>
        <w:t>’</w:t>
      </w:r>
      <w:r w:rsidR="003F41A9">
        <w:rPr>
          <w:rFonts w:ascii="Cambria" w:hAnsi="Cambria"/>
          <w:color w:val="000000" w:themeColor="text1"/>
          <w:sz w:val="22"/>
          <w:szCs w:val="22"/>
        </w:rPr>
        <w:t>.</w:t>
      </w:r>
      <w:r w:rsidR="009A4794" w:rsidRPr="00FF1838">
        <w:rPr>
          <w:rFonts w:ascii="Cambria" w:hAnsi="Cambria"/>
          <w:color w:val="000000" w:themeColor="text1"/>
          <w:sz w:val="22"/>
          <w:szCs w:val="22"/>
        </w:rPr>
        <w:t xml:space="preserve"> </w:t>
      </w:r>
      <w:r w:rsidR="009A4794" w:rsidRPr="00FF1838">
        <w:rPr>
          <w:rFonts w:ascii="Cambria" w:hAnsi="Cambria"/>
          <w:i/>
          <w:iCs/>
          <w:color w:val="000000" w:themeColor="text1"/>
          <w:sz w:val="22"/>
          <w:szCs w:val="22"/>
        </w:rPr>
        <w:t>British Journal of Political Science</w:t>
      </w:r>
      <w:r w:rsidR="00991581" w:rsidRPr="00FF1838">
        <w:rPr>
          <w:rFonts w:ascii="Cambria" w:hAnsi="Cambria"/>
          <w:color w:val="000000" w:themeColor="text1"/>
          <w:sz w:val="22"/>
          <w:szCs w:val="22"/>
        </w:rPr>
        <w:t xml:space="preserve"> 32(2):</w:t>
      </w:r>
      <w:r w:rsidR="0049392F">
        <w:rPr>
          <w:rFonts w:ascii="Cambria" w:hAnsi="Cambria"/>
          <w:color w:val="000000" w:themeColor="text1"/>
          <w:sz w:val="22"/>
          <w:szCs w:val="22"/>
        </w:rPr>
        <w:t xml:space="preserve"> </w:t>
      </w:r>
      <w:r w:rsidR="00FF1838">
        <w:rPr>
          <w:rFonts w:ascii="Cambria" w:hAnsi="Cambria"/>
          <w:color w:val="000000" w:themeColor="text1"/>
          <w:sz w:val="22"/>
          <w:szCs w:val="22"/>
        </w:rPr>
        <w:t>193-195</w:t>
      </w:r>
      <w:r w:rsidR="0049392F">
        <w:rPr>
          <w:rFonts w:ascii="Cambria" w:hAnsi="Cambria"/>
          <w:color w:val="000000" w:themeColor="text1"/>
          <w:sz w:val="22"/>
          <w:szCs w:val="22"/>
        </w:rPr>
        <w:t>.</w:t>
      </w:r>
    </w:p>
    <w:p w14:paraId="2E3AF6B0" w14:textId="77777777" w:rsidR="00FF1838" w:rsidRPr="00FF1838" w:rsidRDefault="00FF1838" w:rsidP="00494962">
      <w:pPr>
        <w:widowControl w:val="0"/>
        <w:overflowPunct w:val="0"/>
        <w:autoSpaceDE w:val="0"/>
        <w:autoSpaceDN w:val="0"/>
        <w:adjustRightInd w:val="0"/>
        <w:rPr>
          <w:rFonts w:ascii="Cambria" w:hAnsi="Cambria"/>
          <w:color w:val="000000" w:themeColor="text1"/>
          <w:sz w:val="22"/>
          <w:szCs w:val="22"/>
        </w:rPr>
      </w:pPr>
    </w:p>
    <w:p w14:paraId="20C7D18B" w14:textId="33528F5A" w:rsidR="00412681" w:rsidRDefault="00412681" w:rsidP="00494962">
      <w:pPr>
        <w:rPr>
          <w:rFonts w:ascii="Cambria" w:hAnsi="Cambria"/>
          <w:sz w:val="22"/>
          <w:szCs w:val="22"/>
        </w:rPr>
      </w:pPr>
      <w:r w:rsidRPr="00A90D10">
        <w:rPr>
          <w:rFonts w:ascii="Cambria" w:hAnsi="Cambria"/>
          <w:sz w:val="22"/>
          <w:szCs w:val="22"/>
        </w:rPr>
        <w:t>Human Rights Watch</w:t>
      </w:r>
      <w:r w:rsidR="000928E8">
        <w:rPr>
          <w:rFonts w:ascii="Cambria" w:hAnsi="Cambria"/>
          <w:sz w:val="22"/>
          <w:szCs w:val="22"/>
        </w:rPr>
        <w:t>,</w:t>
      </w:r>
      <w:r w:rsidRPr="00A90D10">
        <w:rPr>
          <w:rFonts w:ascii="Cambria" w:hAnsi="Cambria"/>
          <w:sz w:val="22"/>
          <w:szCs w:val="22"/>
        </w:rPr>
        <w:t xml:space="preserve"> (2018)</w:t>
      </w:r>
      <w:r w:rsidR="000928E8">
        <w:rPr>
          <w:rFonts w:ascii="Cambria" w:hAnsi="Cambria"/>
          <w:sz w:val="22"/>
          <w:szCs w:val="22"/>
        </w:rPr>
        <w:t>.</w:t>
      </w:r>
      <w:r w:rsidRPr="00A90D10">
        <w:rPr>
          <w:rFonts w:ascii="Cambria" w:hAnsi="Cambria"/>
          <w:sz w:val="22"/>
          <w:szCs w:val="22"/>
        </w:rPr>
        <w:t xml:space="preserve"> </w:t>
      </w:r>
      <w:r w:rsidRPr="00A90D10">
        <w:rPr>
          <w:rFonts w:ascii="Cambria" w:hAnsi="Cambria"/>
          <w:i/>
          <w:sz w:val="22"/>
          <w:szCs w:val="22"/>
        </w:rPr>
        <w:t>World Report: The Events of 2017</w:t>
      </w:r>
      <w:r w:rsidRPr="00A90D10">
        <w:rPr>
          <w:rFonts w:ascii="Cambria" w:hAnsi="Cambria"/>
          <w:sz w:val="22"/>
          <w:szCs w:val="22"/>
        </w:rPr>
        <w:t>. New York: Human Rights Watch</w:t>
      </w:r>
      <w:r w:rsidR="0081794C">
        <w:rPr>
          <w:rFonts w:ascii="Cambria" w:hAnsi="Cambria"/>
          <w:sz w:val="22"/>
          <w:szCs w:val="22"/>
        </w:rPr>
        <w:t>.</w:t>
      </w:r>
    </w:p>
    <w:p w14:paraId="56085ED1" w14:textId="77777777" w:rsidR="008F009B" w:rsidRDefault="008F009B" w:rsidP="00494962">
      <w:pPr>
        <w:rPr>
          <w:rFonts w:ascii="Cambria" w:hAnsi="Cambria"/>
          <w:sz w:val="22"/>
          <w:szCs w:val="22"/>
        </w:rPr>
      </w:pPr>
    </w:p>
    <w:p w14:paraId="7C14177D" w14:textId="7A833921" w:rsidR="008F009B" w:rsidRPr="00A90D10" w:rsidRDefault="008F009B" w:rsidP="00494962">
      <w:pPr>
        <w:shd w:val="clear" w:color="auto" w:fill="FFFFFF"/>
        <w:textAlignment w:val="baseline"/>
        <w:rPr>
          <w:rFonts w:ascii="Cambria" w:hAnsi="Cambria"/>
          <w:color w:val="000000"/>
          <w:sz w:val="22"/>
          <w:szCs w:val="22"/>
        </w:rPr>
      </w:pPr>
      <w:r w:rsidRPr="008F009B">
        <w:rPr>
          <w:rFonts w:ascii="Cambria" w:hAnsi="Cambria"/>
          <w:sz w:val="22"/>
          <w:szCs w:val="22"/>
        </w:rPr>
        <w:t>International Crisis Group</w:t>
      </w:r>
      <w:r w:rsidR="000928E8">
        <w:rPr>
          <w:rFonts w:ascii="Cambria" w:hAnsi="Cambria"/>
          <w:sz w:val="22"/>
          <w:szCs w:val="22"/>
        </w:rPr>
        <w:t>,</w:t>
      </w:r>
      <w:r w:rsidRPr="008F009B">
        <w:rPr>
          <w:rFonts w:ascii="Cambria" w:hAnsi="Cambria"/>
          <w:sz w:val="22"/>
          <w:szCs w:val="22"/>
        </w:rPr>
        <w:t xml:space="preserve"> (2017)</w:t>
      </w:r>
      <w:r w:rsidR="000928E8">
        <w:rPr>
          <w:rFonts w:ascii="Cambria" w:hAnsi="Cambria"/>
          <w:sz w:val="22"/>
          <w:szCs w:val="22"/>
        </w:rPr>
        <w:t>.</w:t>
      </w:r>
      <w:r w:rsidRPr="008F009B">
        <w:rPr>
          <w:rFonts w:ascii="Cambria" w:hAnsi="Cambria"/>
          <w:sz w:val="22"/>
          <w:szCs w:val="22"/>
        </w:rPr>
        <w:t xml:space="preserve"> </w:t>
      </w:r>
      <w:r w:rsidR="000928E8">
        <w:rPr>
          <w:rFonts w:ascii="Cambria" w:hAnsi="Cambria"/>
          <w:sz w:val="22"/>
          <w:szCs w:val="22"/>
        </w:rPr>
        <w:t>‘</w:t>
      </w:r>
      <w:r w:rsidRPr="008F009B">
        <w:rPr>
          <w:rFonts w:ascii="Cambria" w:hAnsi="Cambria"/>
          <w:sz w:val="22"/>
          <w:szCs w:val="22"/>
        </w:rPr>
        <w:t>Burundi: The Army in Crisis</w:t>
      </w:r>
      <w:r w:rsidR="000928E8">
        <w:rPr>
          <w:rFonts w:ascii="Cambria" w:hAnsi="Cambria"/>
          <w:sz w:val="22"/>
          <w:szCs w:val="22"/>
        </w:rPr>
        <w:t>’</w:t>
      </w:r>
      <w:r w:rsidRPr="008F009B">
        <w:rPr>
          <w:rFonts w:ascii="Cambria" w:hAnsi="Cambria"/>
          <w:sz w:val="22"/>
          <w:szCs w:val="22"/>
        </w:rPr>
        <w:t xml:space="preserve">. </w:t>
      </w:r>
      <w:r w:rsidRPr="000928E8">
        <w:rPr>
          <w:rFonts w:ascii="Cambria" w:hAnsi="Cambria"/>
          <w:i/>
          <w:sz w:val="22"/>
          <w:szCs w:val="22"/>
        </w:rPr>
        <w:t>Report No. 247/Africa</w:t>
      </w:r>
      <w:r w:rsidRPr="008F009B">
        <w:rPr>
          <w:rFonts w:ascii="Cambria" w:hAnsi="Cambria"/>
          <w:sz w:val="22"/>
          <w:szCs w:val="22"/>
        </w:rPr>
        <w:t>. 5 April 2017. Available from:</w:t>
      </w:r>
      <w:r>
        <w:rPr>
          <w:rFonts w:ascii="Cambria" w:hAnsi="Cambria"/>
          <w:sz w:val="22"/>
          <w:szCs w:val="22"/>
        </w:rPr>
        <w:t xml:space="preserve"> </w:t>
      </w:r>
      <w:hyperlink r:id="rId16" w:history="1">
        <w:r w:rsidRPr="008F009B">
          <w:rPr>
            <w:rStyle w:val="Hyperlink"/>
            <w:rFonts w:ascii="Cambria" w:hAnsi="Cambria"/>
            <w:sz w:val="22"/>
            <w:szCs w:val="22"/>
          </w:rPr>
          <w:t>https://www.crisisgroup.org/africa/central-africa/burundi/247-burundi-army-crisis</w:t>
        </w:r>
      </w:hyperlink>
      <w:r>
        <w:rPr>
          <w:rFonts w:ascii="Cambria" w:hAnsi="Cambria"/>
          <w:sz w:val="22"/>
          <w:szCs w:val="22"/>
        </w:rPr>
        <w:t xml:space="preserve"> </w:t>
      </w:r>
      <w:r>
        <w:rPr>
          <w:rFonts w:ascii="Cambria" w:hAnsi="Cambria"/>
          <w:color w:val="000000"/>
          <w:sz w:val="22"/>
          <w:szCs w:val="22"/>
        </w:rPr>
        <w:t xml:space="preserve">[Accessed </w:t>
      </w:r>
      <w:r w:rsidR="0081794C">
        <w:rPr>
          <w:rFonts w:ascii="Cambria" w:hAnsi="Cambria"/>
          <w:color w:val="000000"/>
          <w:sz w:val="22"/>
          <w:szCs w:val="22"/>
        </w:rPr>
        <w:t xml:space="preserve">18 </w:t>
      </w:r>
      <w:r>
        <w:rPr>
          <w:rFonts w:ascii="Cambria" w:hAnsi="Cambria"/>
          <w:color w:val="000000"/>
          <w:sz w:val="22"/>
          <w:szCs w:val="22"/>
        </w:rPr>
        <w:t>Oct</w:t>
      </w:r>
      <w:r w:rsidR="0081794C">
        <w:rPr>
          <w:rFonts w:ascii="Cambria" w:hAnsi="Cambria"/>
          <w:color w:val="000000"/>
          <w:sz w:val="22"/>
          <w:szCs w:val="22"/>
        </w:rPr>
        <w:t>ober</w:t>
      </w:r>
      <w:r>
        <w:rPr>
          <w:rFonts w:ascii="Cambria" w:hAnsi="Cambria"/>
          <w:color w:val="000000"/>
          <w:sz w:val="22"/>
          <w:szCs w:val="22"/>
        </w:rPr>
        <w:t xml:space="preserve"> 2018]</w:t>
      </w:r>
      <w:r w:rsidR="0049392F">
        <w:rPr>
          <w:rFonts w:ascii="Cambria" w:hAnsi="Cambria"/>
          <w:color w:val="000000"/>
          <w:sz w:val="22"/>
          <w:szCs w:val="22"/>
        </w:rPr>
        <w:t>.</w:t>
      </w:r>
    </w:p>
    <w:p w14:paraId="15A7AEB0" w14:textId="77777777" w:rsidR="009E5D0F" w:rsidRPr="00A90D10" w:rsidRDefault="009E5D0F" w:rsidP="00494962">
      <w:pPr>
        <w:rPr>
          <w:rFonts w:ascii="Cambria" w:hAnsi="Cambria"/>
          <w:sz w:val="22"/>
          <w:szCs w:val="22"/>
        </w:rPr>
      </w:pPr>
    </w:p>
    <w:p w14:paraId="14264E2B" w14:textId="27BDF2B0" w:rsidR="009E5D0F" w:rsidRPr="00A90D10" w:rsidRDefault="009E5D0F" w:rsidP="00494962">
      <w:pPr>
        <w:rPr>
          <w:rFonts w:ascii="Cambria" w:eastAsia="Times New Roman" w:hAnsi="Cambria"/>
          <w:sz w:val="22"/>
          <w:szCs w:val="22"/>
        </w:rPr>
      </w:pPr>
      <w:r w:rsidRPr="00A90D10">
        <w:rPr>
          <w:rStyle w:val="normaltextrun"/>
          <w:rFonts w:ascii="Cambria" w:hAnsi="Cambria"/>
          <w:sz w:val="22"/>
          <w:szCs w:val="22"/>
        </w:rPr>
        <w:t>Keck,</w:t>
      </w:r>
      <w:r w:rsidR="00D71A1D">
        <w:rPr>
          <w:rStyle w:val="normaltextrun"/>
          <w:rFonts w:ascii="Cambria" w:hAnsi="Cambria"/>
          <w:sz w:val="22"/>
          <w:szCs w:val="22"/>
        </w:rPr>
        <w:t xml:space="preserve"> M.E.,</w:t>
      </w:r>
      <w:r w:rsidR="001C44BF" w:rsidRPr="00A90D10">
        <w:rPr>
          <w:rStyle w:val="normaltextrun"/>
          <w:rFonts w:ascii="Cambria" w:hAnsi="Cambria"/>
          <w:sz w:val="22"/>
          <w:szCs w:val="22"/>
        </w:rPr>
        <w:t xml:space="preserve"> and </w:t>
      </w:r>
      <w:proofErr w:type="spellStart"/>
      <w:r w:rsidR="001C44BF" w:rsidRPr="00A90D10">
        <w:rPr>
          <w:rStyle w:val="normaltextrun"/>
          <w:rFonts w:ascii="Cambria" w:hAnsi="Cambria"/>
          <w:sz w:val="22"/>
          <w:szCs w:val="22"/>
        </w:rPr>
        <w:t>Sikkink</w:t>
      </w:r>
      <w:proofErr w:type="spellEnd"/>
      <w:r w:rsidR="001C44BF" w:rsidRPr="00A90D10">
        <w:rPr>
          <w:rStyle w:val="normaltextrun"/>
          <w:rFonts w:ascii="Cambria" w:hAnsi="Cambria"/>
          <w:sz w:val="22"/>
          <w:szCs w:val="22"/>
        </w:rPr>
        <w:t>, K.</w:t>
      </w:r>
      <w:r w:rsidR="00D71A1D">
        <w:rPr>
          <w:rStyle w:val="normaltextrun"/>
          <w:rFonts w:ascii="Cambria" w:hAnsi="Cambria"/>
          <w:sz w:val="22"/>
          <w:szCs w:val="22"/>
        </w:rPr>
        <w:t xml:space="preserve">, (1998). </w:t>
      </w:r>
      <w:r w:rsidR="001C44BF" w:rsidRPr="00A90D10">
        <w:rPr>
          <w:rStyle w:val="normaltextrun"/>
          <w:rFonts w:ascii="Cambria" w:hAnsi="Cambria"/>
          <w:i/>
          <w:sz w:val="22"/>
          <w:szCs w:val="22"/>
        </w:rPr>
        <w:t>Ac</w:t>
      </w:r>
      <w:r w:rsidRPr="00A90D10">
        <w:rPr>
          <w:rStyle w:val="normaltextrun"/>
          <w:rFonts w:ascii="Cambria" w:hAnsi="Cambria"/>
          <w:i/>
          <w:sz w:val="22"/>
          <w:szCs w:val="22"/>
        </w:rPr>
        <w:t>tivists Beyond Borders: Advocacy Networks in International Politics</w:t>
      </w:r>
      <w:r w:rsidR="00D71A1D">
        <w:rPr>
          <w:rStyle w:val="normaltextrun"/>
          <w:rFonts w:ascii="Cambria" w:hAnsi="Cambria"/>
          <w:sz w:val="22"/>
          <w:szCs w:val="22"/>
        </w:rPr>
        <w:t>.</w:t>
      </w:r>
      <w:r w:rsidRPr="00A90D10">
        <w:rPr>
          <w:rStyle w:val="normaltextrun"/>
          <w:rFonts w:ascii="Cambria" w:hAnsi="Cambria"/>
          <w:sz w:val="22"/>
          <w:szCs w:val="22"/>
        </w:rPr>
        <w:t xml:space="preserve"> Ithaca, NY:</w:t>
      </w:r>
      <w:r w:rsidR="00D71A1D">
        <w:rPr>
          <w:rStyle w:val="normaltextrun"/>
          <w:rFonts w:ascii="Cambria" w:hAnsi="Cambria"/>
          <w:sz w:val="22"/>
          <w:szCs w:val="22"/>
        </w:rPr>
        <w:t xml:space="preserve"> Cornell University Press</w:t>
      </w:r>
      <w:r w:rsidR="0049392F">
        <w:rPr>
          <w:rStyle w:val="normaltextrun"/>
          <w:rFonts w:ascii="Cambria" w:hAnsi="Cambria"/>
          <w:sz w:val="22"/>
          <w:szCs w:val="22"/>
        </w:rPr>
        <w:t>.</w:t>
      </w:r>
    </w:p>
    <w:p w14:paraId="270F2CEB" w14:textId="6FAF9D22" w:rsidR="009A4794" w:rsidRPr="00FF1838" w:rsidRDefault="009A4794" w:rsidP="00494962">
      <w:pPr>
        <w:spacing w:before="100" w:beforeAutospacing="1"/>
        <w:rPr>
          <w:rFonts w:ascii="Cambria" w:eastAsia="Times New Roman" w:hAnsi="Cambria"/>
          <w:color w:val="000000" w:themeColor="text1"/>
          <w:sz w:val="22"/>
          <w:szCs w:val="22"/>
          <w:lang w:eastAsia="en-GB"/>
        </w:rPr>
      </w:pPr>
      <w:proofErr w:type="spellStart"/>
      <w:r w:rsidRPr="00FF1838">
        <w:rPr>
          <w:rFonts w:ascii="Cambria" w:eastAsia="Times New Roman" w:hAnsi="Cambria"/>
          <w:bCs/>
          <w:color w:val="000000" w:themeColor="text1"/>
          <w:sz w:val="22"/>
          <w:szCs w:val="22"/>
          <w:lang w:eastAsia="en-GB"/>
        </w:rPr>
        <w:lastRenderedPageBreak/>
        <w:t>Keil</w:t>
      </w:r>
      <w:proofErr w:type="spellEnd"/>
      <w:r w:rsidRPr="00FF1838">
        <w:rPr>
          <w:rFonts w:ascii="Cambria" w:eastAsia="Times New Roman" w:hAnsi="Cambria"/>
          <w:bCs/>
          <w:color w:val="000000" w:themeColor="text1"/>
          <w:sz w:val="22"/>
          <w:szCs w:val="22"/>
          <w:lang w:eastAsia="en-GB"/>
        </w:rPr>
        <w:t>, S.</w:t>
      </w:r>
      <w:r w:rsidR="00FF1838" w:rsidRPr="00FF1838">
        <w:rPr>
          <w:rFonts w:ascii="Cambria" w:eastAsia="Times New Roman" w:hAnsi="Cambria"/>
          <w:bCs/>
          <w:color w:val="000000" w:themeColor="text1"/>
          <w:sz w:val="22"/>
          <w:szCs w:val="22"/>
          <w:lang w:eastAsia="en-GB"/>
        </w:rPr>
        <w:t>,</w:t>
      </w:r>
      <w:r w:rsidRPr="00FF1838">
        <w:rPr>
          <w:rFonts w:ascii="Cambria" w:eastAsia="Times New Roman" w:hAnsi="Cambria"/>
          <w:bCs/>
          <w:color w:val="000000" w:themeColor="text1"/>
          <w:sz w:val="22"/>
          <w:szCs w:val="22"/>
          <w:lang w:eastAsia="en-GB"/>
        </w:rPr>
        <w:t xml:space="preserve"> (2013)</w:t>
      </w:r>
      <w:r w:rsidR="000928E8">
        <w:rPr>
          <w:rFonts w:ascii="Cambria" w:eastAsia="Times New Roman" w:hAnsi="Cambria"/>
          <w:bCs/>
          <w:color w:val="000000" w:themeColor="text1"/>
          <w:sz w:val="22"/>
          <w:szCs w:val="22"/>
          <w:lang w:eastAsia="en-GB"/>
        </w:rPr>
        <w:t>.</w:t>
      </w:r>
      <w:r w:rsidRPr="00FF1838">
        <w:rPr>
          <w:rFonts w:ascii="Cambria" w:eastAsia="Times New Roman" w:hAnsi="Cambria"/>
          <w:bCs/>
          <w:i/>
          <w:iCs/>
          <w:color w:val="000000" w:themeColor="text1"/>
          <w:sz w:val="22"/>
          <w:szCs w:val="22"/>
          <w:lang w:eastAsia="en-GB"/>
        </w:rPr>
        <w:t xml:space="preserve"> Multinational Federalism in Bosnia and Herzegovina</w:t>
      </w:r>
      <w:r w:rsidR="00FF1838" w:rsidRPr="00FF1838">
        <w:rPr>
          <w:rFonts w:ascii="Cambria" w:eastAsia="Times New Roman" w:hAnsi="Cambria"/>
          <w:bCs/>
          <w:i/>
          <w:iCs/>
          <w:color w:val="000000" w:themeColor="text1"/>
          <w:sz w:val="22"/>
          <w:szCs w:val="22"/>
          <w:lang w:eastAsia="en-GB"/>
        </w:rPr>
        <w:t xml:space="preserve">. </w:t>
      </w:r>
      <w:r w:rsidR="0081794C">
        <w:rPr>
          <w:rFonts w:ascii="Cambria" w:eastAsia="Times New Roman" w:hAnsi="Cambria"/>
          <w:bCs/>
          <w:color w:val="000000" w:themeColor="text1"/>
          <w:sz w:val="22"/>
          <w:szCs w:val="22"/>
          <w:lang w:eastAsia="en-GB"/>
        </w:rPr>
        <w:t>Farnham</w:t>
      </w:r>
      <w:r w:rsidR="00FF1838" w:rsidRPr="00FF1838">
        <w:rPr>
          <w:rFonts w:ascii="Cambria" w:eastAsia="Times New Roman" w:hAnsi="Cambria"/>
          <w:bCs/>
          <w:color w:val="000000" w:themeColor="text1"/>
          <w:sz w:val="22"/>
          <w:szCs w:val="22"/>
          <w:lang w:eastAsia="en-GB"/>
        </w:rPr>
        <w:t xml:space="preserve">: </w:t>
      </w:r>
      <w:proofErr w:type="spellStart"/>
      <w:r w:rsidR="00FF1838" w:rsidRPr="00FF1838">
        <w:rPr>
          <w:rFonts w:ascii="Cambria" w:eastAsia="Times New Roman" w:hAnsi="Cambria"/>
          <w:bCs/>
          <w:color w:val="000000" w:themeColor="text1"/>
          <w:sz w:val="22"/>
          <w:szCs w:val="22"/>
          <w:lang w:eastAsia="en-GB"/>
        </w:rPr>
        <w:t>Ashgate</w:t>
      </w:r>
      <w:proofErr w:type="spellEnd"/>
      <w:r w:rsidR="0049392F">
        <w:rPr>
          <w:rFonts w:ascii="Cambria" w:eastAsia="Times New Roman" w:hAnsi="Cambria"/>
          <w:bCs/>
          <w:color w:val="000000" w:themeColor="text1"/>
          <w:sz w:val="22"/>
          <w:szCs w:val="22"/>
          <w:lang w:eastAsia="en-GB"/>
        </w:rPr>
        <w:t>.</w:t>
      </w:r>
    </w:p>
    <w:p w14:paraId="1998F0FB" w14:textId="77777777" w:rsidR="000F7F2A" w:rsidRPr="00A90D10" w:rsidRDefault="000F7F2A" w:rsidP="00494962">
      <w:pPr>
        <w:autoSpaceDE w:val="0"/>
        <w:autoSpaceDN w:val="0"/>
        <w:adjustRightInd w:val="0"/>
        <w:rPr>
          <w:rFonts w:ascii="Cambria" w:hAnsi="Cambria"/>
          <w:sz w:val="22"/>
          <w:szCs w:val="22"/>
        </w:rPr>
      </w:pPr>
    </w:p>
    <w:p w14:paraId="0AFB523F" w14:textId="483A6023" w:rsidR="000F7F2A" w:rsidRPr="00602F59" w:rsidRDefault="000F7F2A" w:rsidP="00494962">
      <w:pPr>
        <w:rPr>
          <w:rFonts w:ascii="Cambria" w:hAnsi="Cambria" w:cs="Arial"/>
          <w:sz w:val="22"/>
          <w:szCs w:val="22"/>
          <w:shd w:val="clear" w:color="auto" w:fill="FFFFFF"/>
        </w:rPr>
      </w:pPr>
      <w:r w:rsidRPr="00602F59">
        <w:rPr>
          <w:rFonts w:ascii="Cambria" w:hAnsi="Cambria"/>
          <w:sz w:val="22"/>
          <w:szCs w:val="22"/>
        </w:rPr>
        <w:t>Kennedy, R., Pierson, C.</w:t>
      </w:r>
      <w:r w:rsidR="00D71A1D" w:rsidRPr="00602F59">
        <w:rPr>
          <w:rFonts w:ascii="Cambria" w:hAnsi="Cambria"/>
          <w:sz w:val="22"/>
          <w:szCs w:val="22"/>
        </w:rPr>
        <w:t>,</w:t>
      </w:r>
      <w:r w:rsidRPr="00602F59">
        <w:rPr>
          <w:rFonts w:ascii="Cambria" w:hAnsi="Cambria"/>
          <w:sz w:val="22"/>
          <w:szCs w:val="22"/>
        </w:rPr>
        <w:t xml:space="preserve"> </w:t>
      </w:r>
      <w:r w:rsidR="00D71A1D" w:rsidRPr="00602F59">
        <w:rPr>
          <w:rFonts w:ascii="Cambria" w:hAnsi="Cambria"/>
          <w:sz w:val="22"/>
          <w:szCs w:val="22"/>
        </w:rPr>
        <w:t xml:space="preserve">and </w:t>
      </w:r>
      <w:r w:rsidRPr="00602F59">
        <w:rPr>
          <w:rFonts w:ascii="Cambria" w:hAnsi="Cambria"/>
          <w:sz w:val="22"/>
          <w:szCs w:val="22"/>
        </w:rPr>
        <w:t>Thomson, J.</w:t>
      </w:r>
      <w:r w:rsidR="00D71A1D" w:rsidRPr="00602F59">
        <w:rPr>
          <w:rFonts w:ascii="Cambria" w:hAnsi="Cambria"/>
          <w:sz w:val="22"/>
          <w:szCs w:val="22"/>
        </w:rPr>
        <w:t xml:space="preserve">, (2016). </w:t>
      </w:r>
      <w:r w:rsidRPr="00602F59">
        <w:rPr>
          <w:rFonts w:ascii="Cambria" w:hAnsi="Cambria"/>
          <w:sz w:val="22"/>
          <w:szCs w:val="22"/>
        </w:rPr>
        <w:t>‘Challenging Identity Hierarchies: Gender a</w:t>
      </w:r>
      <w:r w:rsidR="00D71A1D" w:rsidRPr="00602F59">
        <w:rPr>
          <w:rFonts w:ascii="Cambria" w:hAnsi="Cambria"/>
          <w:sz w:val="22"/>
          <w:szCs w:val="22"/>
        </w:rPr>
        <w:t xml:space="preserve">nd </w:t>
      </w:r>
      <w:proofErr w:type="spellStart"/>
      <w:r w:rsidR="00D71A1D" w:rsidRPr="00602F59">
        <w:rPr>
          <w:rFonts w:ascii="Cambria" w:hAnsi="Cambria"/>
          <w:sz w:val="22"/>
          <w:szCs w:val="22"/>
        </w:rPr>
        <w:t>Consociational</w:t>
      </w:r>
      <w:proofErr w:type="spellEnd"/>
      <w:r w:rsidR="00D71A1D" w:rsidRPr="00602F59">
        <w:rPr>
          <w:rFonts w:ascii="Cambria" w:hAnsi="Cambria"/>
          <w:sz w:val="22"/>
          <w:szCs w:val="22"/>
        </w:rPr>
        <w:t xml:space="preserve"> Power-Sharing</w:t>
      </w:r>
      <w:r w:rsidRPr="00602F59">
        <w:rPr>
          <w:rFonts w:ascii="Cambria" w:hAnsi="Cambria"/>
          <w:sz w:val="22"/>
          <w:szCs w:val="22"/>
        </w:rPr>
        <w:t>’</w:t>
      </w:r>
      <w:r w:rsidR="00D71A1D" w:rsidRPr="00602F59">
        <w:rPr>
          <w:rFonts w:ascii="Cambria" w:hAnsi="Cambria"/>
          <w:sz w:val="22"/>
          <w:szCs w:val="22"/>
        </w:rPr>
        <w:t xml:space="preserve">. </w:t>
      </w:r>
      <w:r w:rsidRPr="00602F59">
        <w:rPr>
          <w:rFonts w:ascii="Cambria" w:hAnsi="Cambria"/>
          <w:i/>
          <w:sz w:val="22"/>
          <w:szCs w:val="22"/>
        </w:rPr>
        <w:t>The British Journal of Politics and International Relations</w:t>
      </w:r>
      <w:r w:rsidR="00602F59" w:rsidRPr="00602F59">
        <w:rPr>
          <w:rFonts w:ascii="Cambria" w:hAnsi="Cambria"/>
          <w:sz w:val="22"/>
          <w:szCs w:val="22"/>
        </w:rPr>
        <w:t xml:space="preserve"> 18</w:t>
      </w:r>
      <w:r w:rsidR="00602F59" w:rsidRPr="00602F59">
        <w:rPr>
          <w:rFonts w:ascii="Cambria" w:hAnsi="Cambria" w:cs="Arial"/>
          <w:sz w:val="22"/>
          <w:szCs w:val="22"/>
          <w:shd w:val="clear" w:color="auto" w:fill="FFFFFF"/>
        </w:rPr>
        <w:t>(3): 618–633</w:t>
      </w:r>
      <w:r w:rsidR="0049392F">
        <w:rPr>
          <w:rFonts w:ascii="Cambria" w:hAnsi="Cambria" w:cs="Arial"/>
          <w:sz w:val="22"/>
          <w:szCs w:val="22"/>
          <w:shd w:val="clear" w:color="auto" w:fill="FFFFFF"/>
        </w:rPr>
        <w:t>.</w:t>
      </w:r>
    </w:p>
    <w:p w14:paraId="5C49756D" w14:textId="77777777" w:rsidR="00602F59" w:rsidRPr="00602F59" w:rsidRDefault="00602F59" w:rsidP="00494962">
      <w:pPr>
        <w:rPr>
          <w:rFonts w:ascii="Cambria" w:hAnsi="Cambria"/>
          <w:sz w:val="22"/>
          <w:szCs w:val="22"/>
        </w:rPr>
      </w:pPr>
    </w:p>
    <w:p w14:paraId="384579BB" w14:textId="77777777" w:rsidR="0013534F" w:rsidRPr="00602F59" w:rsidRDefault="0013534F" w:rsidP="000E7FDC">
      <w:pPr>
        <w:rPr>
          <w:rFonts w:ascii="Cambria" w:hAnsi="Cambria"/>
          <w:sz w:val="22"/>
          <w:szCs w:val="22"/>
        </w:rPr>
      </w:pPr>
      <w:r w:rsidRPr="00602F59">
        <w:rPr>
          <w:rFonts w:ascii="Cambria" w:hAnsi="Cambria"/>
          <w:sz w:val="22"/>
          <w:szCs w:val="22"/>
        </w:rPr>
        <w:t>Ke</w:t>
      </w:r>
      <w:bookmarkStart w:id="0" w:name="_GoBack"/>
      <w:bookmarkEnd w:id="0"/>
      <w:r w:rsidRPr="00602F59">
        <w:rPr>
          <w:rFonts w:ascii="Cambria" w:hAnsi="Cambria"/>
          <w:sz w:val="22"/>
          <w:szCs w:val="22"/>
        </w:rPr>
        <w:t xml:space="preserve">nny M., (2013). </w:t>
      </w:r>
      <w:r>
        <w:rPr>
          <w:rFonts w:ascii="Cambria" w:hAnsi="Cambria"/>
          <w:i/>
          <w:sz w:val="22"/>
          <w:szCs w:val="22"/>
        </w:rPr>
        <w:t>Gender and Political R</w:t>
      </w:r>
      <w:r w:rsidRPr="00602F59">
        <w:rPr>
          <w:rFonts w:ascii="Cambria" w:hAnsi="Cambria"/>
          <w:i/>
          <w:sz w:val="22"/>
          <w:szCs w:val="22"/>
        </w:rPr>
        <w:t>ecruitment: Theorizing Institutional Change</w:t>
      </w:r>
      <w:r w:rsidRPr="00602F59">
        <w:rPr>
          <w:rFonts w:ascii="Cambria" w:hAnsi="Cambria"/>
          <w:sz w:val="22"/>
          <w:szCs w:val="22"/>
        </w:rPr>
        <w:t>. Basingstoke: Palgrave Macmillan</w:t>
      </w:r>
      <w:r>
        <w:rPr>
          <w:rFonts w:ascii="Cambria" w:hAnsi="Cambria"/>
          <w:sz w:val="22"/>
          <w:szCs w:val="22"/>
        </w:rPr>
        <w:t>.</w:t>
      </w:r>
    </w:p>
    <w:p w14:paraId="5C5BC616" w14:textId="77777777" w:rsidR="0013534F" w:rsidRPr="00602F59" w:rsidRDefault="0013534F" w:rsidP="0013534F">
      <w:pPr>
        <w:pStyle w:val="RefReference"/>
        <w:spacing w:after="0" w:line="240" w:lineRule="auto"/>
        <w:ind w:left="0" w:firstLine="0"/>
        <w:rPr>
          <w:rFonts w:ascii="Cambria" w:eastAsiaTheme="minorEastAsia" w:hAnsi="Cambria"/>
          <w:sz w:val="22"/>
          <w:szCs w:val="22"/>
        </w:rPr>
      </w:pPr>
    </w:p>
    <w:p w14:paraId="668EE598" w14:textId="109DDE61" w:rsidR="000F7F2A" w:rsidRPr="00A90D10" w:rsidRDefault="00602F59" w:rsidP="00494962">
      <w:pPr>
        <w:autoSpaceDE w:val="0"/>
        <w:autoSpaceDN w:val="0"/>
        <w:adjustRightInd w:val="0"/>
        <w:outlineLvl w:val="0"/>
        <w:rPr>
          <w:rFonts w:ascii="Cambria" w:hAnsi="Cambria"/>
          <w:sz w:val="22"/>
          <w:szCs w:val="22"/>
        </w:rPr>
      </w:pPr>
      <w:r>
        <w:rPr>
          <w:rFonts w:ascii="Cambria" w:hAnsi="Cambria"/>
          <w:sz w:val="22"/>
          <w:szCs w:val="22"/>
        </w:rPr>
        <w:t xml:space="preserve">Kenny, M., </w:t>
      </w:r>
      <w:r w:rsidR="00EA4137">
        <w:rPr>
          <w:rFonts w:ascii="Cambria" w:hAnsi="Cambria"/>
          <w:sz w:val="22"/>
          <w:szCs w:val="22"/>
        </w:rPr>
        <w:t xml:space="preserve">(2007). </w:t>
      </w:r>
      <w:r w:rsidR="000F7F2A" w:rsidRPr="00A90D10">
        <w:rPr>
          <w:rFonts w:ascii="Cambria" w:hAnsi="Cambria"/>
          <w:sz w:val="22"/>
          <w:szCs w:val="22"/>
        </w:rPr>
        <w:t xml:space="preserve">‘Gender Institutions and Power: A Critical Review’. </w:t>
      </w:r>
      <w:r w:rsidR="000F7F2A" w:rsidRPr="00A90D10">
        <w:rPr>
          <w:rFonts w:ascii="Cambria" w:hAnsi="Cambria"/>
          <w:i/>
          <w:sz w:val="22"/>
          <w:szCs w:val="22"/>
        </w:rPr>
        <w:t>Politics</w:t>
      </w:r>
      <w:r w:rsidR="00BC3A92">
        <w:rPr>
          <w:rFonts w:ascii="Cambria" w:hAnsi="Cambria"/>
          <w:sz w:val="22"/>
          <w:szCs w:val="22"/>
        </w:rPr>
        <w:t xml:space="preserve"> 27:</w:t>
      </w:r>
      <w:r w:rsidR="0049392F">
        <w:rPr>
          <w:rFonts w:ascii="Cambria" w:hAnsi="Cambria"/>
          <w:sz w:val="22"/>
          <w:szCs w:val="22"/>
        </w:rPr>
        <w:t xml:space="preserve"> </w:t>
      </w:r>
      <w:r w:rsidR="000F7F2A" w:rsidRPr="00A90D10">
        <w:rPr>
          <w:rFonts w:ascii="Cambria" w:hAnsi="Cambria"/>
          <w:sz w:val="22"/>
          <w:szCs w:val="22"/>
        </w:rPr>
        <w:t>91-100</w:t>
      </w:r>
      <w:r w:rsidR="0049392F">
        <w:rPr>
          <w:rFonts w:ascii="Cambria" w:hAnsi="Cambria"/>
          <w:sz w:val="22"/>
          <w:szCs w:val="22"/>
        </w:rPr>
        <w:t>.</w:t>
      </w:r>
    </w:p>
    <w:p w14:paraId="2F8CF790" w14:textId="77777777" w:rsidR="0013534F" w:rsidRDefault="0013534F" w:rsidP="00494962">
      <w:pPr>
        <w:pStyle w:val="RefReference"/>
        <w:spacing w:after="0" w:line="240" w:lineRule="auto"/>
        <w:ind w:left="0" w:firstLine="0"/>
        <w:rPr>
          <w:rFonts w:ascii="Cambria" w:hAnsi="Cambria"/>
          <w:sz w:val="22"/>
          <w:szCs w:val="22"/>
          <w:shd w:val="clear" w:color="auto" w:fill="FFFFFF"/>
        </w:rPr>
      </w:pPr>
    </w:p>
    <w:p w14:paraId="524B3593" w14:textId="3D9F9E69" w:rsidR="009821D2" w:rsidRPr="00602F59" w:rsidRDefault="009821D2" w:rsidP="00494962">
      <w:pPr>
        <w:pStyle w:val="RefReference"/>
        <w:spacing w:after="0" w:line="240" w:lineRule="auto"/>
        <w:ind w:left="0" w:firstLine="0"/>
        <w:rPr>
          <w:rFonts w:ascii="Cambria" w:hAnsi="Cambria"/>
          <w:sz w:val="22"/>
          <w:szCs w:val="22"/>
          <w:shd w:val="clear" w:color="auto" w:fill="FFFFFF"/>
        </w:rPr>
      </w:pPr>
      <w:proofErr w:type="spellStart"/>
      <w:r w:rsidRPr="00602F59">
        <w:rPr>
          <w:rFonts w:ascii="Cambria" w:hAnsi="Cambria"/>
          <w:sz w:val="22"/>
          <w:szCs w:val="22"/>
          <w:shd w:val="clear" w:color="auto" w:fill="FFFFFF"/>
        </w:rPr>
        <w:t>Krook</w:t>
      </w:r>
      <w:proofErr w:type="spellEnd"/>
      <w:r w:rsidRPr="00602F59">
        <w:rPr>
          <w:rFonts w:ascii="Cambria" w:hAnsi="Cambria"/>
          <w:sz w:val="22"/>
          <w:szCs w:val="22"/>
          <w:shd w:val="clear" w:color="auto" w:fill="FFFFFF"/>
        </w:rPr>
        <w:t xml:space="preserve">, </w:t>
      </w:r>
      <w:r w:rsidR="0045034F" w:rsidRPr="00602F59">
        <w:rPr>
          <w:rFonts w:ascii="Cambria" w:hAnsi="Cambria"/>
          <w:sz w:val="22"/>
          <w:szCs w:val="22"/>
          <w:shd w:val="clear" w:color="auto" w:fill="FFFFFF"/>
        </w:rPr>
        <w:t>M.L.</w:t>
      </w:r>
      <w:r w:rsidR="00EA4137" w:rsidRPr="00602F59">
        <w:rPr>
          <w:rFonts w:ascii="Cambria" w:hAnsi="Cambria"/>
          <w:sz w:val="22"/>
          <w:szCs w:val="22"/>
          <w:shd w:val="clear" w:color="auto" w:fill="FFFFFF"/>
        </w:rPr>
        <w:t xml:space="preserve">, </w:t>
      </w:r>
      <w:r w:rsidRPr="00602F59">
        <w:rPr>
          <w:rFonts w:ascii="Cambria" w:hAnsi="Cambria"/>
          <w:sz w:val="22"/>
          <w:szCs w:val="22"/>
          <w:shd w:val="clear" w:color="auto" w:fill="FFFFFF"/>
        </w:rPr>
        <w:t>and Mackay</w:t>
      </w:r>
      <w:r w:rsidR="0045034F" w:rsidRPr="00602F59">
        <w:rPr>
          <w:rFonts w:ascii="Cambria" w:hAnsi="Cambria"/>
          <w:sz w:val="22"/>
          <w:szCs w:val="22"/>
          <w:shd w:val="clear" w:color="auto" w:fill="FFFFFF"/>
        </w:rPr>
        <w:t>, F</w:t>
      </w:r>
      <w:r w:rsidR="00EA4137" w:rsidRPr="00602F59">
        <w:rPr>
          <w:rFonts w:ascii="Cambria" w:hAnsi="Cambria"/>
          <w:sz w:val="22"/>
          <w:szCs w:val="22"/>
          <w:shd w:val="clear" w:color="auto" w:fill="FFFFFF"/>
        </w:rPr>
        <w:t>.,</w:t>
      </w:r>
      <w:r w:rsidR="00FB2B68">
        <w:rPr>
          <w:rFonts w:ascii="Cambria" w:hAnsi="Cambria"/>
          <w:sz w:val="22"/>
          <w:szCs w:val="22"/>
          <w:shd w:val="clear" w:color="auto" w:fill="FFFFFF"/>
        </w:rPr>
        <w:t xml:space="preserve"> (2011).</w:t>
      </w:r>
      <w:r w:rsidR="00EA4137" w:rsidRPr="00602F59">
        <w:rPr>
          <w:rFonts w:ascii="Cambria" w:hAnsi="Cambria"/>
          <w:sz w:val="22"/>
          <w:szCs w:val="22"/>
          <w:shd w:val="clear" w:color="auto" w:fill="FFFFFF"/>
        </w:rPr>
        <w:t xml:space="preserve"> ‘</w:t>
      </w:r>
      <w:r w:rsidRPr="00602F59">
        <w:rPr>
          <w:rFonts w:ascii="Cambria" w:hAnsi="Cambria"/>
          <w:sz w:val="22"/>
          <w:szCs w:val="22"/>
          <w:shd w:val="clear" w:color="auto" w:fill="FFFFFF"/>
        </w:rPr>
        <w:t>Introduction: Gen</w:t>
      </w:r>
      <w:r w:rsidR="00FB2B68">
        <w:rPr>
          <w:rFonts w:ascii="Cambria" w:hAnsi="Cambria"/>
          <w:sz w:val="22"/>
          <w:szCs w:val="22"/>
          <w:shd w:val="clear" w:color="auto" w:fill="FFFFFF"/>
        </w:rPr>
        <w:t>der, Politics and Institutions’, i</w:t>
      </w:r>
      <w:r w:rsidRPr="00602F59">
        <w:rPr>
          <w:rFonts w:ascii="Cambria" w:hAnsi="Cambria"/>
          <w:sz w:val="22"/>
          <w:szCs w:val="22"/>
          <w:shd w:val="clear" w:color="auto" w:fill="FFFFFF"/>
        </w:rPr>
        <w:t xml:space="preserve">n </w:t>
      </w:r>
      <w:r w:rsidR="0081794C">
        <w:rPr>
          <w:rFonts w:ascii="Cambria" w:hAnsi="Cambria"/>
          <w:sz w:val="22"/>
          <w:szCs w:val="22"/>
          <w:shd w:val="clear" w:color="auto" w:fill="FFFFFF"/>
        </w:rPr>
        <w:t>M.</w:t>
      </w:r>
      <w:r w:rsidR="00602F59">
        <w:rPr>
          <w:rFonts w:ascii="Cambria" w:hAnsi="Cambria"/>
          <w:sz w:val="22"/>
          <w:szCs w:val="22"/>
          <w:shd w:val="clear" w:color="auto" w:fill="FFFFFF"/>
        </w:rPr>
        <w:t>L.</w:t>
      </w:r>
      <w:r w:rsidR="00EA4137" w:rsidRPr="00602F59">
        <w:rPr>
          <w:rFonts w:ascii="Cambria" w:hAnsi="Cambria"/>
          <w:sz w:val="22"/>
          <w:szCs w:val="22"/>
          <w:shd w:val="clear" w:color="auto" w:fill="FFFFFF"/>
        </w:rPr>
        <w:t xml:space="preserve"> </w:t>
      </w:r>
      <w:proofErr w:type="spellStart"/>
      <w:r w:rsidR="00EA4137" w:rsidRPr="00602F59">
        <w:rPr>
          <w:rFonts w:ascii="Cambria" w:hAnsi="Cambria"/>
          <w:sz w:val="22"/>
          <w:szCs w:val="22"/>
          <w:shd w:val="clear" w:color="auto" w:fill="FFFFFF"/>
        </w:rPr>
        <w:t>Krook</w:t>
      </w:r>
      <w:proofErr w:type="spellEnd"/>
      <w:r w:rsidR="00EA4137" w:rsidRPr="00602F59">
        <w:rPr>
          <w:rFonts w:ascii="Cambria" w:hAnsi="Cambria"/>
          <w:sz w:val="22"/>
          <w:szCs w:val="22"/>
          <w:shd w:val="clear" w:color="auto" w:fill="FFFFFF"/>
        </w:rPr>
        <w:t>, and F. Mackay</w:t>
      </w:r>
      <w:r w:rsidR="00767B3C">
        <w:rPr>
          <w:rFonts w:ascii="Cambria" w:hAnsi="Cambria"/>
          <w:sz w:val="22"/>
          <w:szCs w:val="22"/>
          <w:shd w:val="clear" w:color="auto" w:fill="FFFFFF"/>
        </w:rPr>
        <w:t>, eds</w:t>
      </w:r>
      <w:r w:rsidR="00EA4137" w:rsidRPr="00602F59">
        <w:rPr>
          <w:rFonts w:ascii="Cambria" w:hAnsi="Cambria"/>
          <w:sz w:val="22"/>
          <w:szCs w:val="22"/>
          <w:shd w:val="clear" w:color="auto" w:fill="FFFFFF"/>
        </w:rPr>
        <w:t xml:space="preserve">. </w:t>
      </w:r>
      <w:r w:rsidRPr="00602F59">
        <w:rPr>
          <w:rFonts w:ascii="Cambria" w:hAnsi="Cambria"/>
          <w:i/>
          <w:sz w:val="22"/>
          <w:szCs w:val="22"/>
          <w:shd w:val="clear" w:color="auto" w:fill="FFFFFF"/>
        </w:rPr>
        <w:t>Gender, Politics and Institutions: Tow</w:t>
      </w:r>
      <w:r w:rsidR="00602F59">
        <w:rPr>
          <w:rFonts w:ascii="Cambria" w:hAnsi="Cambria"/>
          <w:i/>
          <w:sz w:val="22"/>
          <w:szCs w:val="22"/>
          <w:shd w:val="clear" w:color="auto" w:fill="FFFFFF"/>
        </w:rPr>
        <w:t xml:space="preserve">ard a Feminist Institutionalism. </w:t>
      </w:r>
      <w:r w:rsidRPr="00602F59">
        <w:rPr>
          <w:rFonts w:ascii="Cambria" w:hAnsi="Cambria"/>
          <w:sz w:val="22"/>
          <w:szCs w:val="22"/>
          <w:shd w:val="clear" w:color="auto" w:fill="FFFFFF"/>
        </w:rPr>
        <w:t>B</w:t>
      </w:r>
      <w:r w:rsidR="00FB2B68">
        <w:rPr>
          <w:rFonts w:ascii="Cambria" w:hAnsi="Cambria"/>
          <w:sz w:val="22"/>
          <w:szCs w:val="22"/>
          <w:shd w:val="clear" w:color="auto" w:fill="FFFFFF"/>
        </w:rPr>
        <w:t>asingstoke: Palgrave Macmillan,</w:t>
      </w:r>
      <w:r w:rsidR="00602F59">
        <w:rPr>
          <w:rFonts w:ascii="Cambria" w:hAnsi="Cambria"/>
          <w:sz w:val="22"/>
          <w:szCs w:val="22"/>
          <w:shd w:val="clear" w:color="auto" w:fill="FFFFFF"/>
        </w:rPr>
        <w:t xml:space="preserve"> </w:t>
      </w:r>
      <w:r w:rsidR="00EA4137" w:rsidRPr="00602F59">
        <w:rPr>
          <w:rFonts w:ascii="Cambria" w:hAnsi="Cambria"/>
          <w:sz w:val="22"/>
          <w:szCs w:val="22"/>
          <w:shd w:val="clear" w:color="auto" w:fill="FFFFFF"/>
        </w:rPr>
        <w:t xml:space="preserve">pp. </w:t>
      </w:r>
      <w:r w:rsidR="00602F59">
        <w:rPr>
          <w:rFonts w:ascii="Cambria" w:hAnsi="Cambria"/>
          <w:sz w:val="22"/>
          <w:szCs w:val="22"/>
          <w:shd w:val="clear" w:color="auto" w:fill="FFFFFF"/>
        </w:rPr>
        <w:t>181–</w:t>
      </w:r>
      <w:r w:rsidR="0081794C">
        <w:rPr>
          <w:rFonts w:ascii="Cambria" w:hAnsi="Cambria"/>
          <w:sz w:val="22"/>
          <w:szCs w:val="22"/>
          <w:shd w:val="clear" w:color="auto" w:fill="FFFFFF"/>
        </w:rPr>
        <w:t>1</w:t>
      </w:r>
      <w:r w:rsidR="00602F59">
        <w:rPr>
          <w:rFonts w:ascii="Cambria" w:hAnsi="Cambria"/>
          <w:sz w:val="22"/>
          <w:szCs w:val="22"/>
          <w:shd w:val="clear" w:color="auto" w:fill="FFFFFF"/>
        </w:rPr>
        <w:t>96</w:t>
      </w:r>
      <w:r w:rsidR="0049392F">
        <w:rPr>
          <w:rFonts w:ascii="Cambria" w:hAnsi="Cambria"/>
          <w:sz w:val="22"/>
          <w:szCs w:val="22"/>
          <w:shd w:val="clear" w:color="auto" w:fill="FFFFFF"/>
        </w:rPr>
        <w:t>.</w:t>
      </w:r>
    </w:p>
    <w:p w14:paraId="35C4B4E0" w14:textId="77777777" w:rsidR="00AC3C72" w:rsidRPr="00602F59" w:rsidRDefault="00AC3C72" w:rsidP="00494962">
      <w:pPr>
        <w:pStyle w:val="RefReference"/>
        <w:spacing w:after="0" w:line="240" w:lineRule="auto"/>
        <w:ind w:firstLine="0"/>
        <w:rPr>
          <w:rFonts w:ascii="Cambria" w:hAnsi="Cambria"/>
          <w:sz w:val="22"/>
          <w:szCs w:val="22"/>
        </w:rPr>
      </w:pPr>
    </w:p>
    <w:p w14:paraId="6E3E3720" w14:textId="158A7EF7" w:rsidR="009821D2" w:rsidRDefault="009821D2" w:rsidP="00494962">
      <w:pPr>
        <w:pStyle w:val="RefReference"/>
        <w:spacing w:after="0" w:line="240" w:lineRule="auto"/>
        <w:ind w:left="0" w:firstLine="0"/>
        <w:rPr>
          <w:rFonts w:ascii="Cambria" w:hAnsi="Cambria"/>
          <w:sz w:val="22"/>
          <w:szCs w:val="22"/>
        </w:rPr>
      </w:pPr>
      <w:proofErr w:type="spellStart"/>
      <w:r w:rsidRPr="00602F59">
        <w:rPr>
          <w:rFonts w:ascii="Cambria" w:hAnsi="Cambria"/>
          <w:sz w:val="22"/>
          <w:szCs w:val="22"/>
        </w:rPr>
        <w:t>Krook</w:t>
      </w:r>
      <w:proofErr w:type="spellEnd"/>
      <w:r w:rsidRPr="00602F59">
        <w:rPr>
          <w:rFonts w:ascii="Cambria" w:hAnsi="Cambria"/>
          <w:sz w:val="22"/>
          <w:szCs w:val="22"/>
        </w:rPr>
        <w:t>, M</w:t>
      </w:r>
      <w:r w:rsidR="0045034F" w:rsidRPr="00602F59">
        <w:rPr>
          <w:rFonts w:ascii="Cambria" w:hAnsi="Cambria"/>
          <w:sz w:val="22"/>
          <w:szCs w:val="22"/>
        </w:rPr>
        <w:t>.</w:t>
      </w:r>
      <w:r w:rsidRPr="00602F59">
        <w:rPr>
          <w:rFonts w:ascii="Cambria" w:hAnsi="Cambria"/>
          <w:sz w:val="22"/>
          <w:szCs w:val="22"/>
        </w:rPr>
        <w:t>L.</w:t>
      </w:r>
      <w:r w:rsidR="00EA4137" w:rsidRPr="00602F59">
        <w:rPr>
          <w:rFonts w:ascii="Cambria" w:hAnsi="Cambria"/>
          <w:sz w:val="22"/>
          <w:szCs w:val="22"/>
        </w:rPr>
        <w:t>,</w:t>
      </w:r>
      <w:r w:rsidRPr="00602F59">
        <w:rPr>
          <w:rFonts w:ascii="Cambria" w:hAnsi="Cambria"/>
          <w:sz w:val="22"/>
          <w:szCs w:val="22"/>
        </w:rPr>
        <w:t xml:space="preserve"> </w:t>
      </w:r>
      <w:r w:rsidR="00EA4137" w:rsidRPr="00602F59">
        <w:rPr>
          <w:rFonts w:ascii="Cambria" w:hAnsi="Cambria"/>
          <w:sz w:val="22"/>
          <w:szCs w:val="22"/>
        </w:rPr>
        <w:t>(2009).</w:t>
      </w:r>
      <w:r w:rsidRPr="00602F59">
        <w:rPr>
          <w:rFonts w:ascii="Cambria" w:hAnsi="Cambria"/>
          <w:sz w:val="22"/>
          <w:szCs w:val="22"/>
        </w:rPr>
        <w:t xml:space="preserve"> </w:t>
      </w:r>
      <w:r w:rsidRPr="00602F59">
        <w:rPr>
          <w:rFonts w:ascii="Cambria" w:hAnsi="Cambria"/>
          <w:i/>
          <w:sz w:val="22"/>
          <w:szCs w:val="22"/>
        </w:rPr>
        <w:t>Quotas for Women in Politics: Gender and Candidate Selection Worldwide</w:t>
      </w:r>
      <w:r w:rsidRPr="00602F59">
        <w:rPr>
          <w:rFonts w:ascii="Cambria" w:hAnsi="Cambria"/>
          <w:sz w:val="22"/>
          <w:szCs w:val="22"/>
        </w:rPr>
        <w:t>. New York: Oxford University Press.</w:t>
      </w:r>
    </w:p>
    <w:p w14:paraId="0BFE2681" w14:textId="77777777" w:rsidR="00DC69DD" w:rsidRDefault="00DC69DD" w:rsidP="00494962">
      <w:pPr>
        <w:pStyle w:val="RefReference"/>
        <w:spacing w:after="0" w:line="240" w:lineRule="auto"/>
        <w:ind w:left="0" w:firstLine="0"/>
        <w:rPr>
          <w:rFonts w:ascii="Cambria" w:hAnsi="Cambria"/>
          <w:sz w:val="22"/>
          <w:szCs w:val="22"/>
        </w:rPr>
      </w:pPr>
    </w:p>
    <w:p w14:paraId="162693A7" w14:textId="23C9D073" w:rsidR="002359A0" w:rsidRPr="00602F59" w:rsidRDefault="002359A0" w:rsidP="00494962">
      <w:pPr>
        <w:pStyle w:val="RefReference"/>
        <w:spacing w:after="0" w:line="240" w:lineRule="auto"/>
        <w:ind w:left="0" w:firstLine="0"/>
        <w:rPr>
          <w:rFonts w:ascii="Cambria" w:hAnsi="Cambria"/>
          <w:sz w:val="22"/>
          <w:szCs w:val="22"/>
        </w:rPr>
      </w:pPr>
      <w:r>
        <w:rPr>
          <w:rFonts w:ascii="Cambria" w:hAnsi="Cambria"/>
          <w:sz w:val="22"/>
          <w:szCs w:val="22"/>
        </w:rPr>
        <w:t>Law</w:t>
      </w:r>
      <w:r w:rsidR="008C783D">
        <w:rPr>
          <w:rFonts w:ascii="Cambria" w:hAnsi="Cambria"/>
          <w:sz w:val="22"/>
          <w:szCs w:val="22"/>
        </w:rPr>
        <w:t>, E.</w:t>
      </w:r>
      <w:r w:rsidR="0081794C">
        <w:rPr>
          <w:rFonts w:ascii="Cambria" w:hAnsi="Cambria"/>
          <w:sz w:val="22"/>
          <w:szCs w:val="22"/>
        </w:rPr>
        <w:t>,</w:t>
      </w:r>
      <w:r w:rsidR="008C783D">
        <w:rPr>
          <w:rFonts w:ascii="Cambria" w:hAnsi="Cambria"/>
          <w:sz w:val="22"/>
          <w:szCs w:val="22"/>
        </w:rPr>
        <w:t xml:space="preserve"> </w:t>
      </w:r>
      <w:r>
        <w:rPr>
          <w:rFonts w:ascii="Cambria" w:hAnsi="Cambria"/>
          <w:sz w:val="22"/>
          <w:szCs w:val="22"/>
        </w:rPr>
        <w:t xml:space="preserve"> and Grey</w:t>
      </w:r>
      <w:r w:rsidR="008C783D">
        <w:rPr>
          <w:rFonts w:ascii="Cambria" w:hAnsi="Cambria"/>
          <w:sz w:val="22"/>
          <w:szCs w:val="22"/>
        </w:rPr>
        <w:t>, A.M., (2014)</w:t>
      </w:r>
      <w:r w:rsidR="00767B3C">
        <w:rPr>
          <w:rFonts w:ascii="Cambria" w:hAnsi="Cambria"/>
          <w:sz w:val="22"/>
          <w:szCs w:val="22"/>
        </w:rPr>
        <w:t>.</w:t>
      </w:r>
      <w:r w:rsidR="008C783D">
        <w:rPr>
          <w:rFonts w:ascii="Cambria" w:hAnsi="Cambria"/>
          <w:sz w:val="22"/>
          <w:szCs w:val="22"/>
        </w:rPr>
        <w:t xml:space="preserve"> ‘The Politics of Defining “Armed Conflict” in Northern Ireland’, in </w:t>
      </w:r>
      <w:r w:rsidR="008C783D" w:rsidRPr="008C783D">
        <w:rPr>
          <w:rFonts w:ascii="Cambria" w:hAnsi="Cambria"/>
          <w:i/>
          <w:sz w:val="22"/>
          <w:szCs w:val="22"/>
        </w:rPr>
        <w:t xml:space="preserve">Open Democracy </w:t>
      </w:r>
      <w:r w:rsidR="008C783D">
        <w:rPr>
          <w:rFonts w:ascii="Cambria" w:hAnsi="Cambria"/>
          <w:sz w:val="22"/>
          <w:szCs w:val="22"/>
        </w:rPr>
        <w:t xml:space="preserve"> 26 June 2014. Available at: </w:t>
      </w:r>
      <w:r>
        <w:rPr>
          <w:rFonts w:ascii="Cambria" w:hAnsi="Cambria"/>
          <w:sz w:val="22"/>
          <w:szCs w:val="22"/>
        </w:rPr>
        <w:t xml:space="preserve"> </w:t>
      </w:r>
      <w:hyperlink r:id="rId17" w:history="1">
        <w:r w:rsidR="008C783D" w:rsidRPr="008B26F3">
          <w:rPr>
            <w:rStyle w:val="Hyperlink"/>
            <w:rFonts w:ascii="Cambria" w:hAnsi="Cambria"/>
            <w:sz w:val="22"/>
            <w:szCs w:val="22"/>
          </w:rPr>
          <w:t>https://www.opendemocracy.net/5050/elizabeth-law-ann-marie-gray/politics-of-defining-armed-conflict-in-northern-ireland</w:t>
        </w:r>
      </w:hyperlink>
      <w:r w:rsidR="008C783D">
        <w:rPr>
          <w:rFonts w:ascii="Cambria" w:hAnsi="Cambria"/>
          <w:sz w:val="22"/>
          <w:szCs w:val="22"/>
        </w:rPr>
        <w:t xml:space="preserve">  [Accessed </w:t>
      </w:r>
      <w:r w:rsidR="0081794C">
        <w:rPr>
          <w:rFonts w:ascii="Cambria" w:hAnsi="Cambria"/>
          <w:sz w:val="22"/>
          <w:szCs w:val="22"/>
        </w:rPr>
        <w:t xml:space="preserve">18 </w:t>
      </w:r>
      <w:r w:rsidR="008C783D">
        <w:rPr>
          <w:rFonts w:ascii="Cambria" w:hAnsi="Cambria"/>
          <w:sz w:val="22"/>
          <w:szCs w:val="22"/>
        </w:rPr>
        <w:t>Oct</w:t>
      </w:r>
      <w:r w:rsidR="0081794C">
        <w:rPr>
          <w:rFonts w:ascii="Cambria" w:hAnsi="Cambria"/>
          <w:sz w:val="22"/>
          <w:szCs w:val="22"/>
        </w:rPr>
        <w:t>ober</w:t>
      </w:r>
      <w:r w:rsidR="008C783D">
        <w:rPr>
          <w:rFonts w:ascii="Cambria" w:hAnsi="Cambria"/>
          <w:sz w:val="22"/>
          <w:szCs w:val="22"/>
        </w:rPr>
        <w:t xml:space="preserve"> 2018]</w:t>
      </w:r>
      <w:r w:rsidR="0049392F">
        <w:rPr>
          <w:rFonts w:ascii="Cambria" w:hAnsi="Cambria"/>
          <w:sz w:val="22"/>
          <w:szCs w:val="22"/>
        </w:rPr>
        <w:t>.</w:t>
      </w:r>
    </w:p>
    <w:p w14:paraId="0789E574" w14:textId="77777777" w:rsidR="000F7F2A" w:rsidRPr="00602F59" w:rsidRDefault="000F7F2A" w:rsidP="00494962">
      <w:pPr>
        <w:autoSpaceDE w:val="0"/>
        <w:autoSpaceDN w:val="0"/>
        <w:adjustRightInd w:val="0"/>
        <w:rPr>
          <w:rFonts w:ascii="Cambria" w:hAnsi="Cambria"/>
          <w:sz w:val="22"/>
          <w:szCs w:val="22"/>
        </w:rPr>
      </w:pPr>
    </w:p>
    <w:p w14:paraId="5034590C" w14:textId="5A1F7D3D" w:rsidR="000F7F2A" w:rsidRPr="00602F59" w:rsidRDefault="00EA4137" w:rsidP="00494962">
      <w:pPr>
        <w:autoSpaceDE w:val="0"/>
        <w:autoSpaceDN w:val="0"/>
        <w:adjustRightInd w:val="0"/>
        <w:rPr>
          <w:rFonts w:ascii="Cambria" w:hAnsi="Cambria"/>
          <w:sz w:val="22"/>
          <w:szCs w:val="22"/>
        </w:rPr>
      </w:pPr>
      <w:proofErr w:type="spellStart"/>
      <w:r w:rsidRPr="00602F59">
        <w:rPr>
          <w:rFonts w:ascii="Cambria" w:hAnsi="Cambria"/>
          <w:sz w:val="22"/>
          <w:szCs w:val="22"/>
        </w:rPr>
        <w:t>Levitsky</w:t>
      </w:r>
      <w:proofErr w:type="spellEnd"/>
      <w:r w:rsidRPr="00602F59">
        <w:rPr>
          <w:rFonts w:ascii="Cambria" w:hAnsi="Cambria"/>
          <w:sz w:val="22"/>
          <w:szCs w:val="22"/>
        </w:rPr>
        <w:t>, S.,</w:t>
      </w:r>
      <w:r w:rsidR="000F7F2A" w:rsidRPr="00602F59">
        <w:rPr>
          <w:rFonts w:ascii="Cambria" w:hAnsi="Cambria"/>
          <w:sz w:val="22"/>
          <w:szCs w:val="22"/>
        </w:rPr>
        <w:t xml:space="preserve"> and Slater, D.</w:t>
      </w:r>
      <w:r w:rsidRPr="00602F59">
        <w:rPr>
          <w:rFonts w:ascii="Cambria" w:hAnsi="Cambria"/>
          <w:sz w:val="22"/>
          <w:szCs w:val="22"/>
        </w:rPr>
        <w:t xml:space="preserve">, (2011). </w:t>
      </w:r>
      <w:r w:rsidR="000F7F2A" w:rsidRPr="00602F59">
        <w:rPr>
          <w:rFonts w:ascii="Cambria" w:hAnsi="Cambria"/>
          <w:sz w:val="22"/>
          <w:szCs w:val="22"/>
        </w:rPr>
        <w:t>‘Ruling Politics: The Formal and Informal Founda</w:t>
      </w:r>
      <w:r w:rsidRPr="00602F59">
        <w:rPr>
          <w:rFonts w:ascii="Cambria" w:hAnsi="Cambria"/>
          <w:sz w:val="22"/>
          <w:szCs w:val="22"/>
        </w:rPr>
        <w:t xml:space="preserve">tions of Institutional Reform’. </w:t>
      </w:r>
      <w:r w:rsidR="000F7F2A" w:rsidRPr="00602F59">
        <w:rPr>
          <w:rFonts w:ascii="Cambria" w:hAnsi="Cambria"/>
          <w:sz w:val="22"/>
          <w:szCs w:val="22"/>
        </w:rPr>
        <w:t>Wor</w:t>
      </w:r>
      <w:r w:rsidRPr="00602F59">
        <w:rPr>
          <w:rFonts w:ascii="Cambria" w:hAnsi="Cambria"/>
          <w:sz w:val="22"/>
          <w:szCs w:val="22"/>
        </w:rPr>
        <w:t xml:space="preserve">kshop on Informal Institutions. </w:t>
      </w:r>
      <w:r w:rsidR="00602F59">
        <w:rPr>
          <w:rFonts w:ascii="Cambria" w:hAnsi="Cambria"/>
          <w:sz w:val="22"/>
          <w:szCs w:val="22"/>
        </w:rPr>
        <w:t>Harvard University</w:t>
      </w:r>
      <w:r w:rsidR="0049392F">
        <w:rPr>
          <w:rFonts w:ascii="Cambria" w:hAnsi="Cambria"/>
          <w:sz w:val="22"/>
          <w:szCs w:val="22"/>
        </w:rPr>
        <w:t>.</w:t>
      </w:r>
    </w:p>
    <w:p w14:paraId="70E7322B" w14:textId="707C9C33" w:rsidR="0088281F" w:rsidRPr="00602F59" w:rsidRDefault="0088281F" w:rsidP="00494962">
      <w:pPr>
        <w:autoSpaceDE w:val="0"/>
        <w:autoSpaceDN w:val="0"/>
        <w:adjustRightInd w:val="0"/>
        <w:rPr>
          <w:rFonts w:ascii="Cambria" w:hAnsi="Cambria"/>
          <w:sz w:val="22"/>
          <w:szCs w:val="22"/>
        </w:rPr>
      </w:pPr>
    </w:p>
    <w:p w14:paraId="520E2081" w14:textId="4CE69D6F" w:rsidR="00A12180" w:rsidRPr="004A4BCC" w:rsidRDefault="00A12180" w:rsidP="00494962">
      <w:pPr>
        <w:autoSpaceDE w:val="0"/>
        <w:autoSpaceDN w:val="0"/>
        <w:adjustRightInd w:val="0"/>
        <w:rPr>
          <w:rFonts w:ascii="Cambria" w:hAnsi="Cambria"/>
          <w:color w:val="000000" w:themeColor="text1"/>
          <w:sz w:val="22"/>
          <w:szCs w:val="22"/>
        </w:rPr>
      </w:pPr>
      <w:proofErr w:type="spellStart"/>
      <w:r w:rsidRPr="004A4BCC">
        <w:rPr>
          <w:rFonts w:ascii="Cambria" w:hAnsi="Cambria"/>
          <w:color w:val="000000" w:themeColor="text1"/>
          <w:sz w:val="22"/>
          <w:szCs w:val="22"/>
        </w:rPr>
        <w:t>Lijphart</w:t>
      </w:r>
      <w:proofErr w:type="spellEnd"/>
      <w:r w:rsidRPr="004A4BCC">
        <w:rPr>
          <w:rFonts w:ascii="Cambria" w:hAnsi="Cambria"/>
          <w:color w:val="000000" w:themeColor="text1"/>
          <w:sz w:val="22"/>
          <w:szCs w:val="22"/>
        </w:rPr>
        <w:t>, A.</w:t>
      </w:r>
      <w:r w:rsidR="00767B3C">
        <w:rPr>
          <w:rFonts w:ascii="Cambria" w:hAnsi="Cambria"/>
          <w:color w:val="000000" w:themeColor="text1"/>
          <w:sz w:val="22"/>
          <w:szCs w:val="22"/>
        </w:rPr>
        <w:t>,</w:t>
      </w:r>
      <w:r w:rsidRPr="004A4BCC">
        <w:rPr>
          <w:rFonts w:ascii="Cambria" w:hAnsi="Cambria"/>
          <w:color w:val="000000" w:themeColor="text1"/>
          <w:sz w:val="22"/>
          <w:szCs w:val="22"/>
        </w:rPr>
        <w:t xml:space="preserve"> (1991)</w:t>
      </w:r>
      <w:r w:rsidR="00767B3C">
        <w:rPr>
          <w:rFonts w:ascii="Cambria" w:hAnsi="Cambria"/>
          <w:color w:val="000000" w:themeColor="text1"/>
          <w:sz w:val="22"/>
          <w:szCs w:val="22"/>
        </w:rPr>
        <w:t>.</w:t>
      </w:r>
      <w:r w:rsidRPr="004A4BCC">
        <w:rPr>
          <w:rFonts w:ascii="Cambria" w:hAnsi="Cambria"/>
          <w:color w:val="000000" w:themeColor="text1"/>
          <w:sz w:val="22"/>
          <w:szCs w:val="22"/>
        </w:rPr>
        <w:t xml:space="preserve"> ‘Self-Determination Versus Pre-Determination of Ethnic Mino</w:t>
      </w:r>
      <w:r w:rsidR="00767B3C">
        <w:rPr>
          <w:rFonts w:ascii="Cambria" w:hAnsi="Cambria"/>
          <w:color w:val="000000" w:themeColor="text1"/>
          <w:sz w:val="22"/>
          <w:szCs w:val="22"/>
        </w:rPr>
        <w:t>rities in Power Sharing Systems</w:t>
      </w:r>
      <w:r w:rsidRPr="004A4BCC">
        <w:rPr>
          <w:rFonts w:ascii="Cambria" w:hAnsi="Cambria"/>
          <w:color w:val="000000" w:themeColor="text1"/>
          <w:sz w:val="22"/>
          <w:szCs w:val="22"/>
        </w:rPr>
        <w:t>’</w:t>
      </w:r>
      <w:r w:rsidR="00767B3C">
        <w:rPr>
          <w:rFonts w:ascii="Cambria" w:hAnsi="Cambria"/>
          <w:color w:val="000000" w:themeColor="text1"/>
          <w:sz w:val="22"/>
          <w:szCs w:val="22"/>
        </w:rPr>
        <w:t>,</w:t>
      </w:r>
      <w:r w:rsidRPr="004A4BCC">
        <w:rPr>
          <w:rFonts w:ascii="Cambria" w:hAnsi="Cambria"/>
          <w:color w:val="000000" w:themeColor="text1"/>
          <w:sz w:val="22"/>
          <w:szCs w:val="22"/>
        </w:rPr>
        <w:t xml:space="preserve"> </w:t>
      </w:r>
      <w:r w:rsidR="00767B3C">
        <w:rPr>
          <w:rFonts w:ascii="Cambria" w:hAnsi="Cambria"/>
          <w:color w:val="000000" w:themeColor="text1"/>
          <w:sz w:val="22"/>
          <w:szCs w:val="22"/>
        </w:rPr>
        <w:t xml:space="preserve">reprinted </w:t>
      </w:r>
      <w:r w:rsidRPr="004A4BCC">
        <w:rPr>
          <w:rFonts w:ascii="Cambria" w:hAnsi="Cambria"/>
          <w:color w:val="000000" w:themeColor="text1"/>
          <w:sz w:val="22"/>
          <w:szCs w:val="22"/>
        </w:rPr>
        <w:t xml:space="preserve">in </w:t>
      </w:r>
      <w:proofErr w:type="spellStart"/>
      <w:r w:rsidRPr="004A4BCC">
        <w:rPr>
          <w:rFonts w:ascii="Cambria" w:hAnsi="Cambria"/>
          <w:color w:val="000000" w:themeColor="text1"/>
          <w:sz w:val="22"/>
          <w:szCs w:val="22"/>
        </w:rPr>
        <w:t>Lijphart</w:t>
      </w:r>
      <w:proofErr w:type="spellEnd"/>
      <w:r w:rsidRPr="004A4BCC">
        <w:rPr>
          <w:rFonts w:ascii="Cambria" w:hAnsi="Cambria"/>
          <w:color w:val="000000" w:themeColor="text1"/>
          <w:sz w:val="22"/>
          <w:szCs w:val="22"/>
        </w:rPr>
        <w:t>, A.</w:t>
      </w:r>
      <w:r w:rsidR="00767B3C">
        <w:rPr>
          <w:rFonts w:ascii="Cambria" w:hAnsi="Cambria"/>
          <w:color w:val="000000" w:themeColor="text1"/>
          <w:sz w:val="22"/>
          <w:szCs w:val="22"/>
        </w:rPr>
        <w:t>, ed.,</w:t>
      </w:r>
      <w:r w:rsidRPr="004A4BCC">
        <w:rPr>
          <w:rFonts w:ascii="Cambria" w:hAnsi="Cambria"/>
          <w:color w:val="000000" w:themeColor="text1"/>
          <w:sz w:val="22"/>
          <w:szCs w:val="22"/>
        </w:rPr>
        <w:t xml:space="preserve"> (2008)</w:t>
      </w:r>
      <w:r w:rsidR="00767B3C">
        <w:rPr>
          <w:rFonts w:ascii="Cambria" w:hAnsi="Cambria"/>
          <w:color w:val="000000" w:themeColor="text1"/>
          <w:sz w:val="22"/>
          <w:szCs w:val="22"/>
        </w:rPr>
        <w:t>.</w:t>
      </w:r>
      <w:r w:rsidRPr="004A4BCC">
        <w:rPr>
          <w:rFonts w:ascii="Cambria" w:hAnsi="Cambria"/>
          <w:color w:val="000000" w:themeColor="text1"/>
          <w:sz w:val="22"/>
          <w:szCs w:val="22"/>
        </w:rPr>
        <w:t xml:space="preserve"> </w:t>
      </w:r>
      <w:r w:rsidRPr="004A4BCC">
        <w:rPr>
          <w:rFonts w:ascii="Cambria" w:hAnsi="Cambria"/>
          <w:i/>
          <w:color w:val="000000" w:themeColor="text1"/>
          <w:sz w:val="22"/>
          <w:szCs w:val="22"/>
        </w:rPr>
        <w:t>Thinking About Democracy: Power-Sharing and Majority Rule in Theory and Practice</w:t>
      </w:r>
      <w:r w:rsidR="004A4BCC">
        <w:rPr>
          <w:rFonts w:ascii="Cambria" w:hAnsi="Cambria"/>
          <w:color w:val="000000" w:themeColor="text1"/>
          <w:sz w:val="22"/>
          <w:szCs w:val="22"/>
        </w:rPr>
        <w:t>. London: Routledge</w:t>
      </w:r>
      <w:r w:rsidRPr="004A4BCC">
        <w:rPr>
          <w:rFonts w:ascii="Cambria" w:hAnsi="Cambria"/>
          <w:color w:val="000000" w:themeColor="text1"/>
          <w:sz w:val="22"/>
          <w:szCs w:val="22"/>
        </w:rPr>
        <w:t>, pp. 66-74.</w:t>
      </w:r>
    </w:p>
    <w:p w14:paraId="501ADCAB" w14:textId="051472FE" w:rsidR="001D6820" w:rsidRDefault="009A4794" w:rsidP="00494962">
      <w:pPr>
        <w:overflowPunct w:val="0"/>
        <w:autoSpaceDE w:val="0"/>
        <w:autoSpaceDN w:val="0"/>
        <w:adjustRightInd w:val="0"/>
        <w:spacing w:before="240"/>
        <w:jc w:val="both"/>
        <w:rPr>
          <w:rFonts w:ascii="Cambria" w:hAnsi="Cambria"/>
          <w:sz w:val="22"/>
          <w:szCs w:val="22"/>
        </w:rPr>
      </w:pPr>
      <w:proofErr w:type="spellStart"/>
      <w:r w:rsidRPr="00602F59">
        <w:rPr>
          <w:rFonts w:ascii="Cambria" w:hAnsi="Cambria"/>
          <w:sz w:val="22"/>
          <w:szCs w:val="22"/>
        </w:rPr>
        <w:t>Lijphart</w:t>
      </w:r>
      <w:proofErr w:type="spellEnd"/>
      <w:r w:rsidRPr="00602F59">
        <w:rPr>
          <w:rFonts w:ascii="Cambria" w:hAnsi="Cambria"/>
          <w:sz w:val="22"/>
          <w:szCs w:val="22"/>
        </w:rPr>
        <w:t xml:space="preserve">, A., (1977). </w:t>
      </w:r>
      <w:r w:rsidRPr="00602F59">
        <w:rPr>
          <w:rFonts w:ascii="Cambria" w:hAnsi="Cambria"/>
          <w:i/>
          <w:iCs/>
          <w:sz w:val="22"/>
          <w:szCs w:val="22"/>
        </w:rPr>
        <w:t>Democracy in Plural Societies: A Comparative Exploration</w:t>
      </w:r>
      <w:r w:rsidRPr="00602F59">
        <w:rPr>
          <w:rFonts w:ascii="Cambria" w:hAnsi="Cambria"/>
          <w:sz w:val="22"/>
          <w:szCs w:val="22"/>
        </w:rPr>
        <w:t xml:space="preserve">. </w:t>
      </w:r>
      <w:r>
        <w:rPr>
          <w:rFonts w:ascii="Cambria" w:hAnsi="Cambria"/>
          <w:sz w:val="22"/>
          <w:szCs w:val="22"/>
        </w:rPr>
        <w:t>New Haven and London: Yale University Press</w:t>
      </w:r>
      <w:r w:rsidR="0049392F">
        <w:rPr>
          <w:rFonts w:ascii="Cambria" w:hAnsi="Cambria"/>
          <w:sz w:val="22"/>
          <w:szCs w:val="22"/>
        </w:rPr>
        <w:t>.</w:t>
      </w:r>
    </w:p>
    <w:p w14:paraId="752CEA8A" w14:textId="77777777" w:rsidR="005B4AD0" w:rsidRDefault="005B4AD0" w:rsidP="00494962">
      <w:pPr>
        <w:overflowPunct w:val="0"/>
        <w:autoSpaceDE w:val="0"/>
        <w:autoSpaceDN w:val="0"/>
        <w:adjustRightInd w:val="0"/>
        <w:jc w:val="both"/>
        <w:rPr>
          <w:rFonts w:ascii="Cambria" w:hAnsi="Cambria"/>
          <w:sz w:val="22"/>
          <w:szCs w:val="22"/>
        </w:rPr>
      </w:pPr>
    </w:p>
    <w:p w14:paraId="03490D43" w14:textId="7C8C27FA" w:rsidR="000F7F2A" w:rsidRDefault="00F441E2" w:rsidP="00494962">
      <w:pPr>
        <w:autoSpaceDE w:val="0"/>
        <w:autoSpaceDN w:val="0"/>
        <w:adjustRightInd w:val="0"/>
        <w:rPr>
          <w:rFonts w:ascii="Cambria" w:hAnsi="Cambria"/>
          <w:color w:val="FF0000"/>
          <w:sz w:val="22"/>
          <w:szCs w:val="22"/>
        </w:rPr>
      </w:pPr>
      <w:proofErr w:type="spellStart"/>
      <w:r w:rsidRPr="00C76902">
        <w:rPr>
          <w:rFonts w:ascii="Cambria" w:hAnsi="Cambria"/>
          <w:color w:val="000000"/>
          <w:sz w:val="22"/>
          <w:szCs w:val="22"/>
        </w:rPr>
        <w:t>Lijphart</w:t>
      </w:r>
      <w:proofErr w:type="spellEnd"/>
      <w:r w:rsidRPr="00C76902">
        <w:rPr>
          <w:rFonts w:ascii="Cambria" w:hAnsi="Cambria"/>
          <w:color w:val="000000"/>
          <w:sz w:val="22"/>
          <w:szCs w:val="22"/>
        </w:rPr>
        <w:t>, A., (1969). ‘</w:t>
      </w:r>
      <w:proofErr w:type="spellStart"/>
      <w:r w:rsidRPr="00C76902">
        <w:rPr>
          <w:rFonts w:ascii="Cambria" w:hAnsi="Cambria"/>
          <w:color w:val="000000"/>
          <w:sz w:val="22"/>
          <w:szCs w:val="22"/>
        </w:rPr>
        <w:t>Consociational</w:t>
      </w:r>
      <w:proofErr w:type="spellEnd"/>
      <w:r w:rsidRPr="00C76902">
        <w:rPr>
          <w:rFonts w:ascii="Cambria" w:hAnsi="Cambria"/>
          <w:color w:val="000000"/>
          <w:sz w:val="22"/>
          <w:szCs w:val="22"/>
        </w:rPr>
        <w:t xml:space="preserve"> Democracy’</w:t>
      </w:r>
      <w:r w:rsidR="006C5678">
        <w:rPr>
          <w:rFonts w:ascii="Cambria" w:hAnsi="Cambria"/>
          <w:color w:val="000000"/>
          <w:sz w:val="22"/>
          <w:szCs w:val="22"/>
        </w:rPr>
        <w:t>.</w:t>
      </w:r>
      <w:r>
        <w:rPr>
          <w:rFonts w:ascii="Cambria" w:hAnsi="Cambria"/>
          <w:color w:val="000000"/>
          <w:sz w:val="22"/>
          <w:szCs w:val="22"/>
        </w:rPr>
        <w:t xml:space="preserve"> </w:t>
      </w:r>
      <w:r w:rsidRPr="004421D5">
        <w:rPr>
          <w:rFonts w:ascii="Cambria" w:hAnsi="Cambria"/>
          <w:i/>
          <w:color w:val="000000" w:themeColor="text1"/>
          <w:sz w:val="22"/>
          <w:szCs w:val="22"/>
        </w:rPr>
        <w:t>World Politics</w:t>
      </w:r>
      <w:r w:rsidRPr="004421D5">
        <w:rPr>
          <w:rFonts w:ascii="Cambria" w:hAnsi="Cambria"/>
          <w:color w:val="000000" w:themeColor="text1"/>
          <w:sz w:val="22"/>
          <w:szCs w:val="22"/>
        </w:rPr>
        <w:t xml:space="preserve"> 21(2): 207-225</w:t>
      </w:r>
      <w:r w:rsidR="0049392F">
        <w:rPr>
          <w:rFonts w:ascii="Cambria" w:hAnsi="Cambria"/>
          <w:color w:val="000000" w:themeColor="text1"/>
          <w:sz w:val="22"/>
          <w:szCs w:val="22"/>
        </w:rPr>
        <w:t>.</w:t>
      </w:r>
    </w:p>
    <w:p w14:paraId="6C1193A6" w14:textId="77777777" w:rsidR="00F441E2" w:rsidRPr="00602F59" w:rsidRDefault="00F441E2" w:rsidP="00494962">
      <w:pPr>
        <w:autoSpaceDE w:val="0"/>
        <w:autoSpaceDN w:val="0"/>
        <w:adjustRightInd w:val="0"/>
        <w:rPr>
          <w:rFonts w:ascii="Cambria" w:hAnsi="Cambria"/>
          <w:sz w:val="22"/>
          <w:szCs w:val="22"/>
        </w:rPr>
      </w:pPr>
    </w:p>
    <w:p w14:paraId="44A2EC32" w14:textId="0C1819E4" w:rsidR="0045034F" w:rsidRPr="00A90D10" w:rsidRDefault="00325CD8" w:rsidP="00494962">
      <w:pPr>
        <w:rPr>
          <w:rFonts w:ascii="Cambria" w:eastAsia="Times New Roman" w:hAnsi="Cambria" w:cs="Arial"/>
          <w:color w:val="000000" w:themeColor="text1"/>
          <w:sz w:val="22"/>
          <w:szCs w:val="22"/>
          <w:shd w:val="clear" w:color="auto" w:fill="FFFFFF"/>
        </w:rPr>
      </w:pPr>
      <w:r w:rsidRPr="00602F59">
        <w:rPr>
          <w:rFonts w:ascii="Cambria" w:eastAsia="Times New Roman" w:hAnsi="Cambria" w:cs="Arial"/>
          <w:sz w:val="22"/>
          <w:szCs w:val="22"/>
          <w:shd w:val="clear" w:color="auto" w:fill="FFFFFF"/>
        </w:rPr>
        <w:t>Lowndes, V.,</w:t>
      </w:r>
      <w:r w:rsidR="00EA4137" w:rsidRPr="00602F59">
        <w:rPr>
          <w:rFonts w:ascii="Cambria" w:eastAsia="Times New Roman" w:hAnsi="Cambria" w:cs="Arial"/>
          <w:sz w:val="22"/>
          <w:szCs w:val="22"/>
          <w:shd w:val="clear" w:color="auto" w:fill="FFFFFF"/>
        </w:rPr>
        <w:t xml:space="preserve"> </w:t>
      </w:r>
      <w:r w:rsidR="00E920C8">
        <w:rPr>
          <w:rFonts w:ascii="Cambria" w:eastAsia="Times New Roman" w:hAnsi="Cambria" w:cs="Arial"/>
          <w:sz w:val="22"/>
          <w:szCs w:val="22"/>
          <w:shd w:val="clear" w:color="auto" w:fill="FFFFFF"/>
        </w:rPr>
        <w:t>(2018)</w:t>
      </w:r>
      <w:r w:rsidR="008D1C85">
        <w:rPr>
          <w:rFonts w:ascii="Cambria" w:eastAsia="Times New Roman" w:hAnsi="Cambria" w:cs="Arial"/>
          <w:sz w:val="22"/>
          <w:szCs w:val="22"/>
          <w:shd w:val="clear" w:color="auto" w:fill="FFFFFF"/>
        </w:rPr>
        <w:t>.</w:t>
      </w:r>
      <w:r w:rsidR="00E920C8">
        <w:rPr>
          <w:rFonts w:ascii="Cambria" w:eastAsia="Times New Roman" w:hAnsi="Cambria" w:cs="Arial"/>
          <w:sz w:val="22"/>
          <w:szCs w:val="22"/>
          <w:shd w:val="clear" w:color="auto" w:fill="FFFFFF"/>
        </w:rPr>
        <w:t xml:space="preserve"> </w:t>
      </w:r>
      <w:r w:rsidR="00EA4137" w:rsidRPr="00602F59">
        <w:rPr>
          <w:rFonts w:ascii="Cambria" w:eastAsia="Times New Roman" w:hAnsi="Cambria" w:cs="Arial"/>
          <w:sz w:val="22"/>
          <w:szCs w:val="22"/>
          <w:shd w:val="clear" w:color="auto" w:fill="FFFFFF"/>
        </w:rPr>
        <w:t>‘</w:t>
      </w:r>
      <w:r w:rsidR="0045034F" w:rsidRPr="00602F59">
        <w:rPr>
          <w:rFonts w:ascii="Cambria" w:eastAsia="Times New Roman" w:hAnsi="Cambria" w:cs="Arial"/>
          <w:sz w:val="22"/>
          <w:szCs w:val="22"/>
          <w:shd w:val="clear" w:color="auto" w:fill="FFFFFF"/>
        </w:rPr>
        <w:t>Institution</w:t>
      </w:r>
      <w:r w:rsidR="00EA4137" w:rsidRPr="00602F59">
        <w:rPr>
          <w:rFonts w:ascii="Cambria" w:eastAsia="Times New Roman" w:hAnsi="Cambria" w:cs="Arial"/>
          <w:sz w:val="22"/>
          <w:szCs w:val="22"/>
          <w:shd w:val="clear" w:color="auto" w:fill="FFFFFF"/>
        </w:rPr>
        <w:t>alism’</w:t>
      </w:r>
      <w:r w:rsidR="00E920C8">
        <w:rPr>
          <w:rFonts w:ascii="Cambria" w:eastAsia="Times New Roman" w:hAnsi="Cambria" w:cs="Arial"/>
          <w:sz w:val="22"/>
          <w:szCs w:val="22"/>
          <w:shd w:val="clear" w:color="auto" w:fill="FFFFFF"/>
        </w:rPr>
        <w:t>,</w:t>
      </w:r>
      <w:r w:rsidR="00EA4137" w:rsidRPr="00602F59">
        <w:rPr>
          <w:rFonts w:ascii="Cambria" w:eastAsia="Times New Roman" w:hAnsi="Cambria" w:cs="Arial"/>
          <w:sz w:val="22"/>
          <w:szCs w:val="22"/>
          <w:shd w:val="clear" w:color="auto" w:fill="FFFFFF"/>
        </w:rPr>
        <w:t xml:space="preserve"> in </w:t>
      </w:r>
      <w:r w:rsidR="00EA4137">
        <w:rPr>
          <w:rFonts w:ascii="Cambria" w:eastAsia="Times New Roman" w:hAnsi="Cambria" w:cs="Arial"/>
          <w:color w:val="000000" w:themeColor="text1"/>
          <w:sz w:val="22"/>
          <w:szCs w:val="22"/>
          <w:shd w:val="clear" w:color="auto" w:fill="FFFFFF"/>
        </w:rPr>
        <w:t xml:space="preserve">V. Lowndes, </w:t>
      </w:r>
      <w:r>
        <w:rPr>
          <w:rFonts w:ascii="Cambria" w:eastAsia="Times New Roman" w:hAnsi="Cambria" w:cs="Arial"/>
          <w:color w:val="000000" w:themeColor="text1"/>
          <w:sz w:val="22"/>
          <w:szCs w:val="22"/>
          <w:shd w:val="clear" w:color="auto" w:fill="FFFFFF"/>
        </w:rPr>
        <w:t xml:space="preserve">D. </w:t>
      </w:r>
      <w:r w:rsidR="0045034F" w:rsidRPr="00A90D10">
        <w:rPr>
          <w:rFonts w:ascii="Cambria" w:eastAsia="Times New Roman" w:hAnsi="Cambria" w:cs="Arial"/>
          <w:color w:val="000000" w:themeColor="text1"/>
          <w:sz w:val="22"/>
          <w:szCs w:val="22"/>
          <w:shd w:val="clear" w:color="auto" w:fill="FFFFFF"/>
        </w:rPr>
        <w:t>Marsh</w:t>
      </w:r>
      <w:r w:rsidR="00EA4137">
        <w:rPr>
          <w:rFonts w:ascii="Cambria" w:eastAsia="Times New Roman" w:hAnsi="Cambria" w:cs="Arial"/>
          <w:color w:val="000000" w:themeColor="text1"/>
          <w:sz w:val="22"/>
          <w:szCs w:val="22"/>
          <w:shd w:val="clear" w:color="auto" w:fill="FFFFFF"/>
        </w:rPr>
        <w:t xml:space="preserve"> </w:t>
      </w:r>
      <w:r w:rsidR="00E920C8">
        <w:rPr>
          <w:rFonts w:ascii="Cambria" w:eastAsia="Times New Roman" w:hAnsi="Cambria" w:cs="Arial"/>
          <w:color w:val="000000" w:themeColor="text1"/>
          <w:sz w:val="22"/>
          <w:szCs w:val="22"/>
          <w:shd w:val="clear" w:color="auto" w:fill="FFFFFF"/>
        </w:rPr>
        <w:t>and G. Stoker, eds.</w:t>
      </w:r>
      <w:r>
        <w:rPr>
          <w:rFonts w:ascii="Cambria" w:eastAsia="Times New Roman" w:hAnsi="Cambria" w:cs="Arial"/>
          <w:color w:val="000000" w:themeColor="text1"/>
          <w:sz w:val="22"/>
          <w:szCs w:val="22"/>
          <w:shd w:val="clear" w:color="auto" w:fill="FFFFFF"/>
        </w:rPr>
        <w:t xml:space="preserve"> 4</w:t>
      </w:r>
      <w:r w:rsidRPr="00325CD8">
        <w:rPr>
          <w:rFonts w:ascii="Cambria" w:eastAsia="Times New Roman" w:hAnsi="Cambria" w:cs="Arial"/>
          <w:color w:val="000000" w:themeColor="text1"/>
          <w:sz w:val="22"/>
          <w:szCs w:val="22"/>
          <w:shd w:val="clear" w:color="auto" w:fill="FFFFFF"/>
          <w:vertAlign w:val="superscript"/>
        </w:rPr>
        <w:t>th</w:t>
      </w:r>
      <w:r>
        <w:rPr>
          <w:rFonts w:ascii="Cambria" w:eastAsia="Times New Roman" w:hAnsi="Cambria" w:cs="Arial"/>
          <w:color w:val="000000" w:themeColor="text1"/>
          <w:sz w:val="22"/>
          <w:szCs w:val="22"/>
          <w:shd w:val="clear" w:color="auto" w:fill="FFFFFF"/>
        </w:rPr>
        <w:t xml:space="preserve"> ed.</w:t>
      </w:r>
      <w:r w:rsidR="00E920C8">
        <w:rPr>
          <w:rFonts w:ascii="Cambria" w:eastAsia="Times New Roman" w:hAnsi="Cambria" w:cs="Arial"/>
          <w:color w:val="000000" w:themeColor="text1"/>
          <w:sz w:val="22"/>
          <w:szCs w:val="22"/>
          <w:shd w:val="clear" w:color="auto" w:fill="FFFFFF"/>
        </w:rPr>
        <w:t xml:space="preserve"> </w:t>
      </w:r>
      <w:r w:rsidR="0045034F" w:rsidRPr="00A90D10">
        <w:rPr>
          <w:rFonts w:ascii="Cambria" w:eastAsia="Times New Roman" w:hAnsi="Cambria" w:cs="Arial"/>
          <w:i/>
          <w:iCs/>
          <w:color w:val="000000" w:themeColor="text1"/>
          <w:sz w:val="22"/>
          <w:szCs w:val="22"/>
        </w:rPr>
        <w:t>Theories and Methods in Political Science</w:t>
      </w:r>
      <w:r w:rsidR="00602F59">
        <w:rPr>
          <w:rFonts w:ascii="Cambria" w:eastAsia="Times New Roman" w:hAnsi="Cambria" w:cs="Arial"/>
          <w:color w:val="000000" w:themeColor="text1"/>
          <w:sz w:val="22"/>
          <w:szCs w:val="22"/>
          <w:shd w:val="clear" w:color="auto" w:fill="FFFFFF"/>
        </w:rPr>
        <w:t xml:space="preserve">. </w:t>
      </w:r>
      <w:r w:rsidR="0045034F" w:rsidRPr="00A90D10">
        <w:rPr>
          <w:rFonts w:ascii="Cambria" w:eastAsia="Times New Roman" w:hAnsi="Cambria" w:cs="Arial"/>
          <w:color w:val="000000" w:themeColor="text1"/>
          <w:sz w:val="22"/>
          <w:szCs w:val="22"/>
          <w:shd w:val="clear" w:color="auto" w:fill="FFFFFF"/>
        </w:rPr>
        <w:t>Basingstoke: Palgrave Macmillan</w:t>
      </w:r>
      <w:r w:rsidR="001E5159">
        <w:rPr>
          <w:rFonts w:ascii="Cambria" w:eastAsia="Times New Roman" w:hAnsi="Cambria" w:cs="Arial"/>
          <w:color w:val="000000" w:themeColor="text1"/>
          <w:sz w:val="22"/>
          <w:szCs w:val="22"/>
          <w:shd w:val="clear" w:color="auto" w:fill="FFFFFF"/>
        </w:rPr>
        <w:t>, pp. 54-74</w:t>
      </w:r>
      <w:r w:rsidR="0049392F">
        <w:rPr>
          <w:rFonts w:ascii="Cambria" w:eastAsia="Times New Roman" w:hAnsi="Cambria" w:cs="Arial"/>
          <w:color w:val="000000" w:themeColor="text1"/>
          <w:sz w:val="22"/>
          <w:szCs w:val="22"/>
          <w:shd w:val="clear" w:color="auto" w:fill="FFFFFF"/>
        </w:rPr>
        <w:t>.</w:t>
      </w:r>
      <w:r w:rsidR="0045034F" w:rsidRPr="00A90D10">
        <w:rPr>
          <w:rFonts w:ascii="Cambria" w:eastAsia="Times New Roman" w:hAnsi="Cambria" w:cs="Arial"/>
          <w:color w:val="000000" w:themeColor="text1"/>
          <w:sz w:val="22"/>
          <w:szCs w:val="22"/>
          <w:shd w:val="clear" w:color="auto" w:fill="FFFFFF"/>
        </w:rPr>
        <w:t xml:space="preserve"> </w:t>
      </w:r>
    </w:p>
    <w:p w14:paraId="394C023F" w14:textId="77777777" w:rsidR="0045034F" w:rsidRPr="00A90D10" w:rsidRDefault="0045034F" w:rsidP="00494962">
      <w:pPr>
        <w:autoSpaceDE w:val="0"/>
        <w:autoSpaceDN w:val="0"/>
        <w:adjustRightInd w:val="0"/>
        <w:rPr>
          <w:rFonts w:ascii="Cambria" w:hAnsi="Cambria"/>
          <w:sz w:val="22"/>
          <w:szCs w:val="22"/>
        </w:rPr>
      </w:pPr>
    </w:p>
    <w:p w14:paraId="248E6609" w14:textId="20D464B2" w:rsidR="000F7F2A" w:rsidRPr="00A90D10" w:rsidRDefault="00EA4137" w:rsidP="00494962">
      <w:pPr>
        <w:autoSpaceDE w:val="0"/>
        <w:autoSpaceDN w:val="0"/>
        <w:adjustRightInd w:val="0"/>
        <w:rPr>
          <w:rFonts w:ascii="Cambria" w:hAnsi="Cambria"/>
          <w:sz w:val="22"/>
          <w:szCs w:val="22"/>
        </w:rPr>
      </w:pPr>
      <w:r>
        <w:rPr>
          <w:rFonts w:ascii="Cambria" w:hAnsi="Cambria"/>
          <w:sz w:val="22"/>
          <w:szCs w:val="22"/>
        </w:rPr>
        <w:t>Lowndes, V., (2014). ‘</w:t>
      </w:r>
      <w:r w:rsidR="000F7F2A" w:rsidRPr="00A90D10">
        <w:rPr>
          <w:rFonts w:ascii="Cambria" w:hAnsi="Cambria"/>
          <w:sz w:val="22"/>
          <w:szCs w:val="22"/>
        </w:rPr>
        <w:t>How Are Things Done Around Here? Uncovering Institutional Rules and their Gendered</w:t>
      </w:r>
      <w:r>
        <w:rPr>
          <w:rFonts w:ascii="Cambria" w:hAnsi="Cambria"/>
          <w:sz w:val="22"/>
          <w:szCs w:val="22"/>
        </w:rPr>
        <w:t xml:space="preserve"> Effects’. </w:t>
      </w:r>
      <w:r w:rsidR="000F7F2A" w:rsidRPr="00A90D10">
        <w:rPr>
          <w:rFonts w:ascii="Cambria" w:hAnsi="Cambria"/>
          <w:i/>
          <w:sz w:val="22"/>
          <w:szCs w:val="22"/>
        </w:rPr>
        <w:t xml:space="preserve">Politics </w:t>
      </w:r>
      <w:r w:rsidR="00A1572A">
        <w:rPr>
          <w:rFonts w:ascii="Cambria" w:hAnsi="Cambria"/>
          <w:i/>
          <w:sz w:val="22"/>
          <w:szCs w:val="22"/>
        </w:rPr>
        <w:t>&amp;</w:t>
      </w:r>
      <w:r w:rsidR="000F7F2A" w:rsidRPr="00A90D10">
        <w:rPr>
          <w:rFonts w:ascii="Cambria" w:hAnsi="Cambria"/>
          <w:i/>
          <w:sz w:val="22"/>
          <w:szCs w:val="22"/>
        </w:rPr>
        <w:t xml:space="preserve"> Gender</w:t>
      </w:r>
      <w:r w:rsidR="00325CD8">
        <w:rPr>
          <w:rFonts w:ascii="Cambria" w:hAnsi="Cambria"/>
          <w:sz w:val="22"/>
          <w:szCs w:val="22"/>
        </w:rPr>
        <w:t xml:space="preserve"> </w:t>
      </w:r>
      <w:r>
        <w:rPr>
          <w:rFonts w:ascii="Cambria" w:hAnsi="Cambria"/>
          <w:sz w:val="22"/>
          <w:szCs w:val="22"/>
        </w:rPr>
        <w:t>10</w:t>
      </w:r>
      <w:r w:rsidR="008D1C85">
        <w:rPr>
          <w:rFonts w:ascii="Cambria" w:hAnsi="Cambria"/>
          <w:sz w:val="22"/>
          <w:szCs w:val="22"/>
        </w:rPr>
        <w:t>(</w:t>
      </w:r>
      <w:r w:rsidR="000F7F2A" w:rsidRPr="00A90D10">
        <w:rPr>
          <w:rFonts w:ascii="Cambria" w:hAnsi="Cambria"/>
          <w:sz w:val="22"/>
          <w:szCs w:val="22"/>
        </w:rPr>
        <w:t xml:space="preserve">4): </w:t>
      </w:r>
      <w:r w:rsidR="00602F59">
        <w:rPr>
          <w:rFonts w:ascii="Cambria" w:hAnsi="Cambria"/>
          <w:sz w:val="22"/>
          <w:szCs w:val="22"/>
        </w:rPr>
        <w:t>685-</w:t>
      </w:r>
      <w:r w:rsidR="008D1C85">
        <w:rPr>
          <w:rFonts w:ascii="Cambria" w:hAnsi="Cambria"/>
          <w:sz w:val="22"/>
          <w:szCs w:val="22"/>
        </w:rPr>
        <w:t>6</w:t>
      </w:r>
      <w:r w:rsidR="00602F59">
        <w:rPr>
          <w:rFonts w:ascii="Cambria" w:hAnsi="Cambria"/>
          <w:sz w:val="22"/>
          <w:szCs w:val="22"/>
        </w:rPr>
        <w:t>91</w:t>
      </w:r>
      <w:r w:rsidR="0049392F">
        <w:rPr>
          <w:rFonts w:ascii="Cambria" w:hAnsi="Cambria"/>
          <w:sz w:val="22"/>
          <w:szCs w:val="22"/>
        </w:rPr>
        <w:t>.</w:t>
      </w:r>
    </w:p>
    <w:p w14:paraId="24D8AE99" w14:textId="77777777" w:rsidR="00A14175" w:rsidRPr="00A90D10" w:rsidRDefault="00A14175" w:rsidP="00494962">
      <w:pPr>
        <w:rPr>
          <w:rFonts w:ascii="Cambria" w:eastAsia="Times New Roman" w:hAnsi="Cambria" w:cs="Arial"/>
          <w:color w:val="4C4C4C"/>
          <w:sz w:val="22"/>
          <w:szCs w:val="22"/>
          <w:shd w:val="clear" w:color="auto" w:fill="FFFFFF"/>
        </w:rPr>
      </w:pPr>
    </w:p>
    <w:p w14:paraId="1115C2FC" w14:textId="18DA4A70" w:rsidR="00EA4137" w:rsidRDefault="009821D2" w:rsidP="008D1C85">
      <w:pPr>
        <w:pStyle w:val="RefReference"/>
        <w:spacing w:after="0" w:line="240" w:lineRule="auto"/>
        <w:ind w:left="0" w:firstLine="0"/>
        <w:rPr>
          <w:rFonts w:ascii="Cambria" w:hAnsi="Cambria"/>
          <w:sz w:val="22"/>
          <w:szCs w:val="22"/>
        </w:rPr>
      </w:pPr>
      <w:r w:rsidRPr="00A90D10">
        <w:rPr>
          <w:rFonts w:ascii="Cambria" w:hAnsi="Cambria"/>
          <w:sz w:val="22"/>
          <w:szCs w:val="22"/>
        </w:rPr>
        <w:t>Lowndes, V</w:t>
      </w:r>
      <w:r w:rsidR="003B7953" w:rsidRPr="00A90D10">
        <w:rPr>
          <w:rFonts w:ascii="Cambria" w:hAnsi="Cambria"/>
          <w:sz w:val="22"/>
          <w:szCs w:val="22"/>
        </w:rPr>
        <w:t>.</w:t>
      </w:r>
      <w:r w:rsidR="00325CD8">
        <w:rPr>
          <w:rFonts w:ascii="Cambria" w:hAnsi="Cambria"/>
          <w:sz w:val="22"/>
          <w:szCs w:val="22"/>
        </w:rPr>
        <w:t>,</w:t>
      </w:r>
      <w:r w:rsidRPr="00A90D10">
        <w:rPr>
          <w:rFonts w:ascii="Cambria" w:hAnsi="Cambria"/>
          <w:sz w:val="22"/>
          <w:szCs w:val="22"/>
        </w:rPr>
        <w:t xml:space="preserve"> and Roberts</w:t>
      </w:r>
      <w:r w:rsidR="003B7953" w:rsidRPr="00A90D10">
        <w:rPr>
          <w:rFonts w:ascii="Cambria" w:hAnsi="Cambria"/>
          <w:sz w:val="22"/>
          <w:szCs w:val="22"/>
        </w:rPr>
        <w:t>, M</w:t>
      </w:r>
      <w:r w:rsidRPr="00A90D10">
        <w:rPr>
          <w:rFonts w:ascii="Cambria" w:hAnsi="Cambria"/>
          <w:sz w:val="22"/>
          <w:szCs w:val="22"/>
        </w:rPr>
        <w:t>.</w:t>
      </w:r>
      <w:r w:rsidR="00325CD8">
        <w:rPr>
          <w:rFonts w:ascii="Cambria" w:hAnsi="Cambria"/>
          <w:sz w:val="22"/>
          <w:szCs w:val="22"/>
        </w:rPr>
        <w:t>,</w:t>
      </w:r>
      <w:r w:rsidRPr="00A90D10">
        <w:rPr>
          <w:rFonts w:ascii="Cambria" w:hAnsi="Cambria"/>
          <w:sz w:val="22"/>
          <w:szCs w:val="22"/>
        </w:rPr>
        <w:t xml:space="preserve"> </w:t>
      </w:r>
      <w:r w:rsidR="003B7953" w:rsidRPr="00A90D10">
        <w:rPr>
          <w:rFonts w:ascii="Cambria" w:hAnsi="Cambria"/>
          <w:sz w:val="22"/>
          <w:szCs w:val="22"/>
        </w:rPr>
        <w:t>(2013)</w:t>
      </w:r>
      <w:r w:rsidR="00325CD8">
        <w:rPr>
          <w:rFonts w:ascii="Cambria" w:hAnsi="Cambria"/>
          <w:sz w:val="22"/>
          <w:szCs w:val="22"/>
        </w:rPr>
        <w:t>.</w:t>
      </w:r>
      <w:r w:rsidRPr="00A90D10">
        <w:rPr>
          <w:rFonts w:ascii="Cambria" w:hAnsi="Cambria"/>
          <w:sz w:val="22"/>
          <w:szCs w:val="22"/>
        </w:rPr>
        <w:t xml:space="preserve"> </w:t>
      </w:r>
      <w:r w:rsidRPr="00A90D10">
        <w:rPr>
          <w:rFonts w:ascii="Cambria" w:hAnsi="Cambria"/>
          <w:i/>
          <w:sz w:val="22"/>
          <w:szCs w:val="22"/>
        </w:rPr>
        <w:t>Why Institutions Matter: The New Institutionalism in Political Science</w:t>
      </w:r>
      <w:r w:rsidRPr="00A90D10">
        <w:rPr>
          <w:rFonts w:ascii="Cambria" w:hAnsi="Cambria"/>
          <w:sz w:val="22"/>
          <w:szCs w:val="22"/>
        </w:rPr>
        <w:t xml:space="preserve">. </w:t>
      </w:r>
      <w:r w:rsidR="00EA4137">
        <w:rPr>
          <w:rFonts w:ascii="Cambria" w:hAnsi="Cambria"/>
          <w:sz w:val="22"/>
          <w:szCs w:val="22"/>
        </w:rPr>
        <w:t>Basingstoke: Palgrave Macmillan</w:t>
      </w:r>
      <w:r w:rsidR="0049392F">
        <w:rPr>
          <w:rFonts w:ascii="Cambria" w:hAnsi="Cambria"/>
          <w:sz w:val="22"/>
          <w:szCs w:val="22"/>
        </w:rPr>
        <w:t>.</w:t>
      </w:r>
    </w:p>
    <w:p w14:paraId="09665EEB" w14:textId="77777777" w:rsidR="008D1C85" w:rsidRPr="00A90D10" w:rsidRDefault="008D1C85" w:rsidP="008D1C85">
      <w:pPr>
        <w:pStyle w:val="RefReference"/>
        <w:spacing w:after="0" w:line="240" w:lineRule="auto"/>
        <w:ind w:left="0" w:firstLine="0"/>
        <w:rPr>
          <w:rFonts w:ascii="Cambria" w:hAnsi="Cambria"/>
          <w:sz w:val="22"/>
          <w:szCs w:val="22"/>
        </w:rPr>
      </w:pPr>
    </w:p>
    <w:p w14:paraId="024A67B8" w14:textId="658A7C1D" w:rsidR="00602F59" w:rsidRDefault="009821D2" w:rsidP="008D1C85">
      <w:pPr>
        <w:pStyle w:val="RefReference"/>
        <w:spacing w:after="0" w:line="240" w:lineRule="auto"/>
        <w:ind w:left="0" w:firstLine="0"/>
        <w:rPr>
          <w:rFonts w:ascii="Cambria" w:hAnsi="Cambria" w:cs="Arial"/>
          <w:color w:val="000000" w:themeColor="text1"/>
          <w:sz w:val="22"/>
          <w:szCs w:val="22"/>
          <w:shd w:val="clear" w:color="auto" w:fill="FFFFFF"/>
        </w:rPr>
      </w:pPr>
      <w:proofErr w:type="spellStart"/>
      <w:r w:rsidRPr="00A90D10">
        <w:rPr>
          <w:rFonts w:ascii="Cambria" w:hAnsi="Cambria"/>
          <w:sz w:val="22"/>
          <w:szCs w:val="22"/>
        </w:rPr>
        <w:t>Levitsky</w:t>
      </w:r>
      <w:proofErr w:type="spellEnd"/>
      <w:r w:rsidRPr="00A90D10">
        <w:rPr>
          <w:rFonts w:ascii="Cambria" w:hAnsi="Cambria"/>
          <w:sz w:val="22"/>
          <w:szCs w:val="22"/>
        </w:rPr>
        <w:t>, S</w:t>
      </w:r>
      <w:r w:rsidR="003B7953" w:rsidRPr="00A90D10">
        <w:rPr>
          <w:rFonts w:ascii="Cambria" w:hAnsi="Cambria"/>
          <w:sz w:val="22"/>
          <w:szCs w:val="22"/>
        </w:rPr>
        <w:t>.</w:t>
      </w:r>
      <w:r w:rsidR="008D1C85">
        <w:rPr>
          <w:rFonts w:ascii="Cambria" w:hAnsi="Cambria"/>
          <w:sz w:val="22"/>
          <w:szCs w:val="22"/>
        </w:rPr>
        <w:t>,</w:t>
      </w:r>
      <w:r w:rsidRPr="00A90D10">
        <w:rPr>
          <w:rFonts w:ascii="Cambria" w:hAnsi="Cambria"/>
          <w:sz w:val="22"/>
          <w:szCs w:val="22"/>
        </w:rPr>
        <w:t xml:space="preserve"> and Slater</w:t>
      </w:r>
      <w:r w:rsidR="003B7953" w:rsidRPr="00A90D10">
        <w:rPr>
          <w:rFonts w:ascii="Cambria" w:hAnsi="Cambria"/>
          <w:sz w:val="22"/>
          <w:szCs w:val="22"/>
        </w:rPr>
        <w:t>, D</w:t>
      </w:r>
      <w:r w:rsidRPr="00A90D10">
        <w:rPr>
          <w:rFonts w:ascii="Cambria" w:hAnsi="Cambria"/>
          <w:sz w:val="22"/>
          <w:szCs w:val="22"/>
        </w:rPr>
        <w:t>.</w:t>
      </w:r>
      <w:r w:rsidR="00073F9A">
        <w:rPr>
          <w:rFonts w:ascii="Cambria" w:hAnsi="Cambria"/>
          <w:sz w:val="22"/>
          <w:szCs w:val="22"/>
        </w:rPr>
        <w:t>,</w:t>
      </w:r>
      <w:r w:rsidRPr="00A90D10">
        <w:rPr>
          <w:rFonts w:ascii="Cambria" w:hAnsi="Cambria"/>
          <w:sz w:val="22"/>
          <w:szCs w:val="22"/>
        </w:rPr>
        <w:t xml:space="preserve"> </w:t>
      </w:r>
      <w:r w:rsidR="003B7953" w:rsidRPr="00A90D10">
        <w:rPr>
          <w:rFonts w:ascii="Cambria" w:hAnsi="Cambria"/>
          <w:sz w:val="22"/>
          <w:szCs w:val="22"/>
        </w:rPr>
        <w:t>(2011)</w:t>
      </w:r>
      <w:r w:rsidR="00834717">
        <w:rPr>
          <w:rFonts w:ascii="Cambria" w:hAnsi="Cambria"/>
          <w:sz w:val="22"/>
          <w:szCs w:val="22"/>
        </w:rPr>
        <w:t>.</w:t>
      </w:r>
      <w:r w:rsidR="003B7953" w:rsidRPr="00A90D10">
        <w:rPr>
          <w:rFonts w:ascii="Cambria" w:hAnsi="Cambria"/>
          <w:sz w:val="22"/>
          <w:szCs w:val="22"/>
        </w:rPr>
        <w:t xml:space="preserve"> ‘</w:t>
      </w:r>
      <w:r w:rsidRPr="00A90D10">
        <w:rPr>
          <w:rFonts w:ascii="Cambria" w:hAnsi="Cambria"/>
          <w:sz w:val="22"/>
          <w:szCs w:val="22"/>
        </w:rPr>
        <w:t>Ruling Politics: The Formal and Informal Found</w:t>
      </w:r>
      <w:r w:rsidR="003B7953" w:rsidRPr="00A90D10">
        <w:rPr>
          <w:rFonts w:ascii="Cambria" w:hAnsi="Cambria"/>
          <w:sz w:val="22"/>
          <w:szCs w:val="22"/>
        </w:rPr>
        <w:t xml:space="preserve">ations of Institutional Reform.’ </w:t>
      </w:r>
      <w:r w:rsidR="00834717">
        <w:rPr>
          <w:rFonts w:ascii="Cambria" w:hAnsi="Cambria"/>
          <w:sz w:val="22"/>
          <w:szCs w:val="22"/>
        </w:rPr>
        <w:t xml:space="preserve">Harvard University </w:t>
      </w:r>
      <w:r w:rsidR="007B7054">
        <w:rPr>
          <w:rFonts w:ascii="Cambria" w:hAnsi="Cambria"/>
          <w:sz w:val="22"/>
          <w:szCs w:val="22"/>
        </w:rPr>
        <w:t>Working Paper, available at:</w:t>
      </w:r>
      <w:r w:rsidR="008F009B" w:rsidRPr="00A90D10">
        <w:rPr>
          <w:rFonts w:ascii="Cambria" w:hAnsi="Cambria" w:cs="Arial"/>
          <w:color w:val="000000" w:themeColor="text1"/>
          <w:sz w:val="22"/>
          <w:szCs w:val="22"/>
          <w:shd w:val="clear" w:color="auto" w:fill="FFFFFF"/>
        </w:rPr>
        <w:t xml:space="preserve"> </w:t>
      </w:r>
      <w:r w:rsidR="008F009B">
        <w:rPr>
          <w:rFonts w:ascii="Cambria" w:hAnsi="Cambria" w:cs="Arial"/>
          <w:color w:val="000000" w:themeColor="text1"/>
          <w:sz w:val="22"/>
          <w:szCs w:val="22"/>
          <w:shd w:val="clear" w:color="auto" w:fill="FFFFFF"/>
        </w:rPr>
        <w:t xml:space="preserve"> </w:t>
      </w:r>
      <w:hyperlink r:id="rId18" w:history="1">
        <w:r w:rsidR="007B7054" w:rsidRPr="008B26F3">
          <w:rPr>
            <w:rStyle w:val="Hyperlink"/>
            <w:rFonts w:ascii="Cambria" w:hAnsi="Cambria" w:cs="Arial"/>
            <w:sz w:val="22"/>
            <w:szCs w:val="22"/>
            <w:shd w:val="clear" w:color="auto" w:fill="FFFFFF"/>
          </w:rPr>
          <w:t>https://projects.iq.harvard.edu/files/ruling_politics/files/ruling_politics_intro-finalcompletedraft.pdf</w:t>
        </w:r>
      </w:hyperlink>
      <w:r w:rsidR="007B7054">
        <w:rPr>
          <w:rFonts w:ascii="Cambria" w:hAnsi="Cambria" w:cs="Arial"/>
          <w:color w:val="FF0000"/>
          <w:sz w:val="22"/>
          <w:szCs w:val="22"/>
          <w:shd w:val="clear" w:color="auto" w:fill="FFFFFF"/>
        </w:rPr>
        <w:t xml:space="preserve">  </w:t>
      </w:r>
      <w:r w:rsidR="007B7054">
        <w:rPr>
          <w:rFonts w:ascii="Cambria" w:hAnsi="Cambria" w:cs="Arial"/>
          <w:color w:val="000000" w:themeColor="text1"/>
          <w:sz w:val="22"/>
          <w:szCs w:val="22"/>
          <w:shd w:val="clear" w:color="auto" w:fill="FFFFFF"/>
        </w:rPr>
        <w:t>[</w:t>
      </w:r>
      <w:r w:rsidR="007B7054" w:rsidRPr="007B7054">
        <w:rPr>
          <w:rFonts w:ascii="Cambria" w:hAnsi="Cambria" w:cs="Arial"/>
          <w:color w:val="000000" w:themeColor="text1"/>
          <w:sz w:val="22"/>
          <w:szCs w:val="22"/>
          <w:shd w:val="clear" w:color="auto" w:fill="FFFFFF"/>
        </w:rPr>
        <w:t>Accessed</w:t>
      </w:r>
      <w:r w:rsidR="007B7054">
        <w:rPr>
          <w:rFonts w:ascii="Cambria" w:hAnsi="Cambria" w:cs="Arial"/>
          <w:color w:val="000000" w:themeColor="text1"/>
          <w:sz w:val="22"/>
          <w:szCs w:val="22"/>
          <w:shd w:val="clear" w:color="auto" w:fill="FFFFFF"/>
        </w:rPr>
        <w:t xml:space="preserve"> </w:t>
      </w:r>
      <w:r w:rsidR="008D1C85">
        <w:rPr>
          <w:rFonts w:ascii="Cambria" w:hAnsi="Cambria" w:cs="Arial"/>
          <w:color w:val="000000" w:themeColor="text1"/>
          <w:sz w:val="22"/>
          <w:szCs w:val="22"/>
          <w:shd w:val="clear" w:color="auto" w:fill="FFFFFF"/>
        </w:rPr>
        <w:t xml:space="preserve">21 March </w:t>
      </w:r>
      <w:r w:rsidR="007B7054">
        <w:rPr>
          <w:rFonts w:ascii="Cambria" w:hAnsi="Cambria" w:cs="Arial"/>
          <w:color w:val="000000" w:themeColor="text1"/>
          <w:sz w:val="22"/>
          <w:szCs w:val="22"/>
          <w:shd w:val="clear" w:color="auto" w:fill="FFFFFF"/>
        </w:rPr>
        <w:t>2017]</w:t>
      </w:r>
      <w:r w:rsidR="0049392F">
        <w:rPr>
          <w:rFonts w:ascii="Cambria" w:hAnsi="Cambria" w:cs="Arial"/>
          <w:color w:val="000000" w:themeColor="text1"/>
          <w:sz w:val="22"/>
          <w:szCs w:val="22"/>
          <w:shd w:val="clear" w:color="auto" w:fill="FFFFFF"/>
        </w:rPr>
        <w:t>.</w:t>
      </w:r>
    </w:p>
    <w:p w14:paraId="0CC84F63" w14:textId="77777777" w:rsidR="008D1C85" w:rsidRPr="00A90D10" w:rsidRDefault="008D1C85" w:rsidP="008D1C85">
      <w:pPr>
        <w:pStyle w:val="RefReference"/>
        <w:spacing w:after="0" w:line="240" w:lineRule="auto"/>
        <w:ind w:left="0" w:firstLine="0"/>
        <w:rPr>
          <w:rFonts w:ascii="Cambria" w:hAnsi="Cambria"/>
          <w:sz w:val="22"/>
          <w:szCs w:val="22"/>
        </w:rPr>
      </w:pPr>
    </w:p>
    <w:p w14:paraId="39C92E92" w14:textId="0C2A1893" w:rsidR="00073F9A" w:rsidRDefault="00073F9A" w:rsidP="008D1C85">
      <w:pPr>
        <w:rPr>
          <w:rFonts w:ascii="Cambria" w:hAnsi="Cambria"/>
          <w:sz w:val="22"/>
          <w:szCs w:val="22"/>
          <w:lang w:eastAsia="en-GB"/>
        </w:rPr>
      </w:pPr>
      <w:r>
        <w:rPr>
          <w:rFonts w:ascii="Cambria" w:hAnsi="Cambria"/>
          <w:sz w:val="22"/>
          <w:szCs w:val="22"/>
          <w:lang w:eastAsia="en-GB"/>
        </w:rPr>
        <w:t xml:space="preserve">Mackay, F., </w:t>
      </w:r>
      <w:r w:rsidR="00624CAB" w:rsidRPr="00A90D10">
        <w:rPr>
          <w:rFonts w:ascii="Cambria" w:hAnsi="Cambria"/>
          <w:sz w:val="22"/>
          <w:szCs w:val="22"/>
          <w:lang w:eastAsia="en-GB"/>
        </w:rPr>
        <w:t>(2014)</w:t>
      </w:r>
      <w:r>
        <w:rPr>
          <w:rFonts w:ascii="Cambria" w:hAnsi="Cambria"/>
          <w:sz w:val="22"/>
          <w:szCs w:val="22"/>
          <w:lang w:eastAsia="en-GB"/>
        </w:rPr>
        <w:t>. ‘</w:t>
      </w:r>
      <w:r w:rsidR="009821D2" w:rsidRPr="00A90D10">
        <w:rPr>
          <w:rFonts w:ascii="Cambria" w:hAnsi="Cambria"/>
          <w:sz w:val="22"/>
          <w:szCs w:val="22"/>
          <w:lang w:eastAsia="en-GB"/>
        </w:rPr>
        <w:t>Nested Newness, Institutional Innovation, and</w:t>
      </w:r>
      <w:r>
        <w:rPr>
          <w:rFonts w:ascii="Cambria" w:hAnsi="Cambria"/>
          <w:sz w:val="22"/>
          <w:szCs w:val="22"/>
          <w:lang w:eastAsia="en-GB"/>
        </w:rPr>
        <w:t xml:space="preserve"> the Gendered Limits of Change’.</w:t>
      </w:r>
      <w:r w:rsidR="009821D2" w:rsidRPr="00A90D10">
        <w:rPr>
          <w:rFonts w:ascii="Cambria" w:hAnsi="Cambria"/>
          <w:sz w:val="22"/>
          <w:szCs w:val="22"/>
          <w:lang w:eastAsia="en-GB"/>
        </w:rPr>
        <w:t xml:space="preserve"> </w:t>
      </w:r>
      <w:r w:rsidR="009821D2" w:rsidRPr="00A90D10">
        <w:rPr>
          <w:rFonts w:ascii="Cambria" w:hAnsi="Cambria"/>
          <w:i/>
          <w:sz w:val="22"/>
          <w:szCs w:val="22"/>
          <w:lang w:eastAsia="en-GB"/>
        </w:rPr>
        <w:t xml:space="preserve">Politics </w:t>
      </w:r>
      <w:r w:rsidR="00A1572A">
        <w:rPr>
          <w:rFonts w:ascii="Cambria" w:hAnsi="Cambria"/>
          <w:i/>
          <w:sz w:val="22"/>
          <w:szCs w:val="22"/>
          <w:lang w:eastAsia="en-GB"/>
        </w:rPr>
        <w:t>&amp;</w:t>
      </w:r>
      <w:r w:rsidR="009821D2" w:rsidRPr="00A90D10">
        <w:rPr>
          <w:rFonts w:ascii="Cambria" w:hAnsi="Cambria"/>
          <w:i/>
          <w:sz w:val="22"/>
          <w:szCs w:val="22"/>
          <w:lang w:eastAsia="en-GB"/>
        </w:rPr>
        <w:t xml:space="preserve"> Gender</w:t>
      </w:r>
      <w:r w:rsidR="008D1C85">
        <w:rPr>
          <w:rFonts w:ascii="Cambria" w:hAnsi="Cambria"/>
          <w:sz w:val="22"/>
          <w:szCs w:val="22"/>
          <w:lang w:eastAsia="en-GB"/>
        </w:rPr>
        <w:t xml:space="preserve"> 10(4): 649-6</w:t>
      </w:r>
      <w:r w:rsidR="009821D2" w:rsidRPr="00A90D10">
        <w:rPr>
          <w:rFonts w:ascii="Cambria" w:hAnsi="Cambria"/>
          <w:sz w:val="22"/>
          <w:szCs w:val="22"/>
          <w:lang w:eastAsia="en-GB"/>
        </w:rPr>
        <w:t>71</w:t>
      </w:r>
      <w:r w:rsidR="0049392F">
        <w:rPr>
          <w:rFonts w:ascii="Cambria" w:hAnsi="Cambria"/>
          <w:sz w:val="22"/>
          <w:szCs w:val="22"/>
          <w:lang w:eastAsia="en-GB"/>
        </w:rPr>
        <w:t>.</w:t>
      </w:r>
    </w:p>
    <w:p w14:paraId="34A223F0" w14:textId="77777777" w:rsidR="008D1C85" w:rsidRDefault="008D1C85" w:rsidP="008D1C85">
      <w:pPr>
        <w:rPr>
          <w:rFonts w:ascii="Cambria" w:hAnsi="Cambria"/>
          <w:sz w:val="22"/>
          <w:szCs w:val="22"/>
          <w:lang w:eastAsia="en-GB"/>
        </w:rPr>
      </w:pPr>
    </w:p>
    <w:p w14:paraId="1A0D4454" w14:textId="606BB1A8" w:rsidR="00B20C4D" w:rsidRDefault="009821D2" w:rsidP="008D1C85">
      <w:pPr>
        <w:rPr>
          <w:rFonts w:ascii="Cambria" w:hAnsi="Cambria"/>
          <w:sz w:val="22"/>
          <w:szCs w:val="22"/>
        </w:rPr>
      </w:pPr>
      <w:r w:rsidRPr="00A90D10">
        <w:rPr>
          <w:rFonts w:ascii="Cambria" w:hAnsi="Cambria"/>
          <w:sz w:val="22"/>
          <w:szCs w:val="22"/>
        </w:rPr>
        <w:lastRenderedPageBreak/>
        <w:t>Mackay, F</w:t>
      </w:r>
      <w:r w:rsidR="00AC3C72" w:rsidRPr="00A90D10">
        <w:rPr>
          <w:rFonts w:ascii="Cambria" w:hAnsi="Cambria"/>
          <w:sz w:val="22"/>
          <w:szCs w:val="22"/>
        </w:rPr>
        <w:t>.</w:t>
      </w:r>
      <w:r w:rsidRPr="00A90D10">
        <w:rPr>
          <w:rFonts w:ascii="Cambria" w:hAnsi="Cambria"/>
          <w:sz w:val="22"/>
          <w:szCs w:val="22"/>
        </w:rPr>
        <w:t xml:space="preserve">, </w:t>
      </w:r>
      <w:r w:rsidR="003B7953" w:rsidRPr="00A90D10">
        <w:rPr>
          <w:rFonts w:ascii="Cambria" w:hAnsi="Cambria"/>
          <w:sz w:val="22"/>
          <w:szCs w:val="22"/>
        </w:rPr>
        <w:t>Kenny, M.</w:t>
      </w:r>
      <w:r w:rsidR="00073F9A">
        <w:rPr>
          <w:rFonts w:ascii="Cambria" w:hAnsi="Cambria"/>
          <w:sz w:val="22"/>
          <w:szCs w:val="22"/>
        </w:rPr>
        <w:t>,</w:t>
      </w:r>
      <w:r w:rsidR="003B7953" w:rsidRPr="00A90D10">
        <w:rPr>
          <w:rFonts w:ascii="Cambria" w:hAnsi="Cambria"/>
          <w:sz w:val="22"/>
          <w:szCs w:val="22"/>
        </w:rPr>
        <w:t xml:space="preserve"> and Chappell, L.</w:t>
      </w:r>
      <w:r w:rsidR="00073F9A">
        <w:rPr>
          <w:rFonts w:ascii="Cambria" w:hAnsi="Cambria"/>
          <w:sz w:val="22"/>
          <w:szCs w:val="22"/>
        </w:rPr>
        <w:t>,</w:t>
      </w:r>
      <w:r w:rsidR="003B7953" w:rsidRPr="00A90D10">
        <w:rPr>
          <w:rFonts w:ascii="Cambria" w:hAnsi="Cambria"/>
          <w:sz w:val="22"/>
          <w:szCs w:val="22"/>
        </w:rPr>
        <w:t xml:space="preserve"> (</w:t>
      </w:r>
      <w:r w:rsidRPr="00A90D10">
        <w:rPr>
          <w:rFonts w:ascii="Cambria" w:hAnsi="Cambria"/>
          <w:sz w:val="22"/>
          <w:szCs w:val="22"/>
        </w:rPr>
        <w:t>2010</w:t>
      </w:r>
      <w:r w:rsidR="003B7953" w:rsidRPr="00A90D10">
        <w:rPr>
          <w:rFonts w:ascii="Cambria" w:hAnsi="Cambria"/>
          <w:sz w:val="22"/>
          <w:szCs w:val="22"/>
        </w:rPr>
        <w:t>)</w:t>
      </w:r>
      <w:r w:rsidR="00073F9A">
        <w:rPr>
          <w:rFonts w:ascii="Cambria" w:hAnsi="Cambria"/>
          <w:sz w:val="22"/>
          <w:szCs w:val="22"/>
        </w:rPr>
        <w:t>. ‘</w:t>
      </w:r>
      <w:r w:rsidR="008D1C85">
        <w:rPr>
          <w:rFonts w:ascii="Cambria" w:hAnsi="Cambria"/>
          <w:sz w:val="22"/>
          <w:szCs w:val="22"/>
        </w:rPr>
        <w:t>New Institutionalism T</w:t>
      </w:r>
      <w:r w:rsidRPr="00A90D10">
        <w:rPr>
          <w:rFonts w:ascii="Cambria" w:hAnsi="Cambria"/>
          <w:sz w:val="22"/>
          <w:szCs w:val="22"/>
        </w:rPr>
        <w:t>hrough a Gender Lens: Towar</w:t>
      </w:r>
      <w:r w:rsidR="00073F9A">
        <w:rPr>
          <w:rFonts w:ascii="Cambria" w:hAnsi="Cambria"/>
          <w:sz w:val="22"/>
          <w:szCs w:val="22"/>
        </w:rPr>
        <w:t>ds a Feminist Institutionalism?’.</w:t>
      </w:r>
      <w:r w:rsidRPr="00A90D10">
        <w:rPr>
          <w:rFonts w:ascii="Cambria" w:hAnsi="Cambria"/>
          <w:sz w:val="22"/>
          <w:szCs w:val="22"/>
        </w:rPr>
        <w:t xml:space="preserve"> </w:t>
      </w:r>
      <w:r w:rsidRPr="00A90D10">
        <w:rPr>
          <w:rFonts w:ascii="Cambria" w:hAnsi="Cambria"/>
          <w:i/>
          <w:sz w:val="22"/>
          <w:szCs w:val="22"/>
        </w:rPr>
        <w:t>International Political Science Review</w:t>
      </w:r>
      <w:r w:rsidR="00073F9A">
        <w:rPr>
          <w:rFonts w:ascii="Cambria" w:hAnsi="Cambria"/>
          <w:sz w:val="22"/>
          <w:szCs w:val="22"/>
        </w:rPr>
        <w:t xml:space="preserve"> </w:t>
      </w:r>
      <w:r w:rsidRPr="00A90D10">
        <w:rPr>
          <w:rFonts w:ascii="Cambria" w:hAnsi="Cambria"/>
          <w:sz w:val="22"/>
          <w:szCs w:val="22"/>
        </w:rPr>
        <w:t xml:space="preserve">31(5): </w:t>
      </w:r>
      <w:r w:rsidR="008D1C85">
        <w:rPr>
          <w:rFonts w:ascii="Cambria" w:hAnsi="Cambria"/>
          <w:sz w:val="22"/>
          <w:szCs w:val="22"/>
        </w:rPr>
        <w:t>1-</w:t>
      </w:r>
      <w:r w:rsidR="00B20C4D">
        <w:rPr>
          <w:rFonts w:ascii="Cambria" w:hAnsi="Cambria"/>
          <w:sz w:val="22"/>
          <w:szCs w:val="22"/>
        </w:rPr>
        <w:t>16</w:t>
      </w:r>
      <w:r w:rsidR="0049392F">
        <w:rPr>
          <w:rFonts w:ascii="Cambria" w:hAnsi="Cambria"/>
          <w:sz w:val="22"/>
          <w:szCs w:val="22"/>
        </w:rPr>
        <w:t>.</w:t>
      </w:r>
    </w:p>
    <w:p w14:paraId="31F81B9F" w14:textId="77777777" w:rsidR="008D1C85" w:rsidRDefault="008D1C85" w:rsidP="008D1C85">
      <w:pPr>
        <w:rPr>
          <w:rFonts w:ascii="Cambria" w:hAnsi="Cambria"/>
          <w:sz w:val="22"/>
          <w:szCs w:val="22"/>
        </w:rPr>
      </w:pPr>
    </w:p>
    <w:p w14:paraId="6EAA8A5A" w14:textId="790E249B" w:rsidR="00B20C4D" w:rsidRPr="00A90D10" w:rsidRDefault="00B20C4D" w:rsidP="008D1C85">
      <w:pPr>
        <w:shd w:val="clear" w:color="auto" w:fill="FFFFFF"/>
        <w:textAlignment w:val="baseline"/>
        <w:rPr>
          <w:rFonts w:ascii="Cambria" w:hAnsi="Cambria"/>
          <w:color w:val="000000"/>
          <w:sz w:val="22"/>
          <w:szCs w:val="22"/>
        </w:rPr>
      </w:pPr>
      <w:r>
        <w:rPr>
          <w:rFonts w:ascii="Cambria" w:hAnsi="Cambria"/>
          <w:sz w:val="22"/>
          <w:szCs w:val="22"/>
        </w:rPr>
        <w:t xml:space="preserve">Maguire, P., </w:t>
      </w:r>
      <w:r w:rsidRPr="00A90D10">
        <w:rPr>
          <w:rFonts w:ascii="Cambria" w:hAnsi="Cambria"/>
          <w:sz w:val="22"/>
          <w:szCs w:val="22"/>
        </w:rPr>
        <w:t>(2018)</w:t>
      </w:r>
      <w:r>
        <w:rPr>
          <w:rFonts w:ascii="Cambria" w:hAnsi="Cambria"/>
          <w:sz w:val="22"/>
          <w:szCs w:val="22"/>
        </w:rPr>
        <w:t>.</w:t>
      </w:r>
      <w:r w:rsidRPr="00A90D10">
        <w:rPr>
          <w:rFonts w:ascii="Cambria" w:hAnsi="Cambria"/>
          <w:sz w:val="22"/>
          <w:szCs w:val="22"/>
        </w:rPr>
        <w:t xml:space="preserve"> ‘</w:t>
      </w:r>
      <w:r w:rsidRPr="00A90D10">
        <w:rPr>
          <w:rFonts w:ascii="Cambria" w:eastAsia="Times New Roman" w:hAnsi="Cambria"/>
          <w:color w:val="000000"/>
          <w:sz w:val="22"/>
          <w:szCs w:val="22"/>
        </w:rPr>
        <w:t xml:space="preserve">The government has little choice but to introduce direct rule in Northern Ireland’, </w:t>
      </w:r>
      <w:r w:rsidRPr="00A90D10">
        <w:rPr>
          <w:rFonts w:ascii="Cambria" w:eastAsia="Times New Roman" w:hAnsi="Cambria"/>
          <w:i/>
          <w:color w:val="000000"/>
          <w:sz w:val="22"/>
          <w:szCs w:val="22"/>
        </w:rPr>
        <w:t>The New Statesman</w:t>
      </w:r>
      <w:r w:rsidRPr="00A90D10">
        <w:rPr>
          <w:rFonts w:ascii="Cambria" w:eastAsia="Times New Roman" w:hAnsi="Cambria"/>
          <w:color w:val="000000"/>
          <w:sz w:val="22"/>
          <w:szCs w:val="22"/>
        </w:rPr>
        <w:t>,</w:t>
      </w:r>
      <w:r>
        <w:rPr>
          <w:rFonts w:ascii="Cambria" w:hAnsi="Cambria"/>
          <w:color w:val="000000"/>
          <w:sz w:val="22"/>
          <w:szCs w:val="22"/>
        </w:rPr>
        <w:t xml:space="preserve"> Available at: </w:t>
      </w:r>
      <w:hyperlink r:id="rId19" w:history="1">
        <w:r w:rsidRPr="00A90D10">
          <w:rPr>
            <w:rStyle w:val="Hyperlink"/>
            <w:rFonts w:ascii="Cambria" w:hAnsi="Cambria"/>
            <w:sz w:val="22"/>
            <w:szCs w:val="22"/>
          </w:rPr>
          <w:t>https://www.newstatesman.com/politics/uk/2018/05/government-has-little-choice-introduce-direct-rule-northern-ireland</w:t>
        </w:r>
      </w:hyperlink>
      <w:r w:rsidRPr="00A90D10">
        <w:rPr>
          <w:rFonts w:ascii="Cambria" w:hAnsi="Cambria"/>
          <w:color w:val="000000"/>
          <w:sz w:val="22"/>
          <w:szCs w:val="22"/>
        </w:rPr>
        <w:t xml:space="preserve"> </w:t>
      </w:r>
      <w:r>
        <w:rPr>
          <w:rFonts w:ascii="Cambria" w:hAnsi="Cambria"/>
          <w:color w:val="000000"/>
          <w:sz w:val="22"/>
          <w:szCs w:val="22"/>
        </w:rPr>
        <w:t xml:space="preserve">[Accessed </w:t>
      </w:r>
      <w:r w:rsidR="008D1C85">
        <w:rPr>
          <w:rFonts w:ascii="Cambria" w:hAnsi="Cambria"/>
          <w:color w:val="000000"/>
          <w:sz w:val="22"/>
          <w:szCs w:val="22"/>
        </w:rPr>
        <w:t xml:space="preserve">18 </w:t>
      </w:r>
      <w:proofErr w:type="spellStart"/>
      <w:r>
        <w:rPr>
          <w:rFonts w:ascii="Cambria" w:hAnsi="Cambria"/>
          <w:color w:val="000000"/>
          <w:sz w:val="22"/>
          <w:szCs w:val="22"/>
        </w:rPr>
        <w:t>Oct</w:t>
      </w:r>
      <w:r w:rsidR="008D1C85">
        <w:rPr>
          <w:rFonts w:ascii="Cambria" w:hAnsi="Cambria"/>
          <w:color w:val="000000"/>
          <w:sz w:val="22"/>
          <w:szCs w:val="22"/>
        </w:rPr>
        <w:t>tober</w:t>
      </w:r>
      <w:proofErr w:type="spellEnd"/>
      <w:r>
        <w:rPr>
          <w:rFonts w:ascii="Cambria" w:hAnsi="Cambria"/>
          <w:color w:val="000000"/>
          <w:sz w:val="22"/>
          <w:szCs w:val="22"/>
        </w:rPr>
        <w:t xml:space="preserve"> 2018]</w:t>
      </w:r>
      <w:r w:rsidR="0049392F">
        <w:rPr>
          <w:rFonts w:ascii="Cambria" w:hAnsi="Cambria"/>
          <w:color w:val="000000"/>
          <w:sz w:val="22"/>
          <w:szCs w:val="22"/>
        </w:rPr>
        <w:t>.</w:t>
      </w:r>
    </w:p>
    <w:p w14:paraId="1F8A9216" w14:textId="77777777" w:rsidR="00B20C4D" w:rsidRDefault="00B20C4D" w:rsidP="00494962">
      <w:pPr>
        <w:autoSpaceDE w:val="0"/>
        <w:autoSpaceDN w:val="0"/>
        <w:adjustRightInd w:val="0"/>
        <w:rPr>
          <w:rFonts w:ascii="Cambria" w:hAnsi="Cambria"/>
          <w:sz w:val="22"/>
          <w:szCs w:val="22"/>
        </w:rPr>
      </w:pPr>
    </w:p>
    <w:p w14:paraId="0521E1CB" w14:textId="75171271" w:rsidR="00B20C4D" w:rsidRPr="00F83F33" w:rsidRDefault="00B20C4D" w:rsidP="00494962">
      <w:pPr>
        <w:rPr>
          <w:rFonts w:ascii="Cambria" w:eastAsia="Times New Roman" w:hAnsi="Cambria" w:cs="Arial"/>
          <w:color w:val="000000" w:themeColor="text1"/>
          <w:sz w:val="22"/>
          <w:szCs w:val="22"/>
          <w:shd w:val="clear" w:color="auto" w:fill="FFFFFF"/>
        </w:rPr>
      </w:pPr>
      <w:r w:rsidRPr="00A90D10">
        <w:rPr>
          <w:rFonts w:ascii="Cambria" w:hAnsi="Cambria"/>
          <w:sz w:val="22"/>
          <w:szCs w:val="22"/>
        </w:rPr>
        <w:t>Mahon</w:t>
      </w:r>
      <w:r>
        <w:rPr>
          <w:rFonts w:ascii="Cambria" w:hAnsi="Cambria"/>
          <w:sz w:val="22"/>
          <w:szCs w:val="22"/>
        </w:rPr>
        <w:t>ey, J.</w:t>
      </w:r>
      <w:r w:rsidR="008D1C85">
        <w:rPr>
          <w:rFonts w:ascii="Cambria" w:hAnsi="Cambria"/>
          <w:sz w:val="22"/>
          <w:szCs w:val="22"/>
        </w:rPr>
        <w:t>,</w:t>
      </w:r>
      <w:r>
        <w:rPr>
          <w:rFonts w:ascii="Cambria" w:hAnsi="Cambria"/>
          <w:sz w:val="22"/>
          <w:szCs w:val="22"/>
        </w:rPr>
        <w:t xml:space="preserve">  and </w:t>
      </w:r>
      <w:proofErr w:type="spellStart"/>
      <w:r>
        <w:rPr>
          <w:rFonts w:ascii="Cambria" w:hAnsi="Cambria"/>
          <w:sz w:val="22"/>
          <w:szCs w:val="22"/>
        </w:rPr>
        <w:t>Thelen</w:t>
      </w:r>
      <w:proofErr w:type="spellEnd"/>
      <w:r>
        <w:rPr>
          <w:rFonts w:ascii="Cambria" w:hAnsi="Cambria"/>
          <w:sz w:val="22"/>
          <w:szCs w:val="22"/>
        </w:rPr>
        <w:t>, K.,</w:t>
      </w:r>
      <w:r w:rsidR="00F83F33">
        <w:rPr>
          <w:rFonts w:ascii="Cambria" w:hAnsi="Cambria"/>
          <w:sz w:val="22"/>
          <w:szCs w:val="22"/>
        </w:rPr>
        <w:t xml:space="preserve"> (2010)</w:t>
      </w:r>
      <w:r w:rsidR="00A1572A">
        <w:rPr>
          <w:rFonts w:ascii="Cambria" w:hAnsi="Cambria"/>
          <w:sz w:val="22"/>
          <w:szCs w:val="22"/>
        </w:rPr>
        <w:t>.</w:t>
      </w:r>
      <w:r>
        <w:rPr>
          <w:rFonts w:ascii="Cambria" w:hAnsi="Cambria"/>
          <w:sz w:val="22"/>
          <w:szCs w:val="22"/>
        </w:rPr>
        <w:t xml:space="preserve"> ‘</w:t>
      </w:r>
      <w:r w:rsidRPr="00A90D10">
        <w:rPr>
          <w:rFonts w:ascii="Cambria" w:hAnsi="Cambria"/>
          <w:sz w:val="22"/>
          <w:szCs w:val="22"/>
        </w:rPr>
        <w:t>A Theory o</w:t>
      </w:r>
      <w:r w:rsidR="00A1572A">
        <w:rPr>
          <w:rFonts w:ascii="Cambria" w:hAnsi="Cambria"/>
          <w:sz w:val="22"/>
          <w:szCs w:val="22"/>
        </w:rPr>
        <w:t xml:space="preserve">f Gradual Institutional Change’, in J. Mahoney and K. </w:t>
      </w:r>
      <w:proofErr w:type="spellStart"/>
      <w:r w:rsidR="00A1572A">
        <w:rPr>
          <w:rFonts w:ascii="Cambria" w:hAnsi="Cambria"/>
          <w:sz w:val="22"/>
          <w:szCs w:val="22"/>
        </w:rPr>
        <w:t>Thelen</w:t>
      </w:r>
      <w:proofErr w:type="spellEnd"/>
      <w:r w:rsidR="00A1572A">
        <w:rPr>
          <w:rFonts w:ascii="Cambria" w:hAnsi="Cambria"/>
          <w:sz w:val="22"/>
          <w:szCs w:val="22"/>
        </w:rPr>
        <w:t>,</w:t>
      </w:r>
      <w:r w:rsidR="00F83F33">
        <w:rPr>
          <w:rFonts w:ascii="Cambria" w:hAnsi="Cambria"/>
          <w:sz w:val="22"/>
          <w:szCs w:val="22"/>
        </w:rPr>
        <w:t xml:space="preserve"> eds</w:t>
      </w:r>
      <w:r>
        <w:rPr>
          <w:rFonts w:ascii="Cambria" w:hAnsi="Cambria"/>
          <w:sz w:val="22"/>
          <w:szCs w:val="22"/>
        </w:rPr>
        <w:t xml:space="preserve">. </w:t>
      </w:r>
      <w:r w:rsidRPr="00A90D10">
        <w:rPr>
          <w:rFonts w:ascii="Cambria" w:hAnsi="Cambria"/>
          <w:i/>
          <w:sz w:val="22"/>
          <w:szCs w:val="22"/>
        </w:rPr>
        <w:t>Explaining Institutional Change: Ambiguity, Agency and Power</w:t>
      </w:r>
      <w:r w:rsidRPr="00A90D10">
        <w:rPr>
          <w:rFonts w:ascii="Cambria" w:hAnsi="Cambria"/>
          <w:sz w:val="22"/>
          <w:szCs w:val="22"/>
        </w:rPr>
        <w:t>. Cambridge: Cambridge University P</w:t>
      </w:r>
      <w:r>
        <w:rPr>
          <w:rFonts w:ascii="Cambria" w:hAnsi="Cambria"/>
          <w:sz w:val="22"/>
          <w:szCs w:val="22"/>
        </w:rPr>
        <w:t>ress</w:t>
      </w:r>
      <w:r w:rsidR="00AD0797">
        <w:rPr>
          <w:rFonts w:ascii="Cambria" w:hAnsi="Cambria"/>
          <w:sz w:val="22"/>
          <w:szCs w:val="22"/>
        </w:rPr>
        <w:t>, pp. 1-37</w:t>
      </w:r>
      <w:r w:rsidR="0049392F">
        <w:rPr>
          <w:rFonts w:ascii="Cambria" w:hAnsi="Cambria"/>
          <w:sz w:val="22"/>
          <w:szCs w:val="22"/>
        </w:rPr>
        <w:t>.</w:t>
      </w:r>
    </w:p>
    <w:p w14:paraId="21A66B3C" w14:textId="77777777" w:rsidR="00B20C4D" w:rsidRDefault="00B20C4D" w:rsidP="00494962">
      <w:pPr>
        <w:autoSpaceDE w:val="0"/>
        <w:autoSpaceDN w:val="0"/>
        <w:adjustRightInd w:val="0"/>
        <w:rPr>
          <w:rFonts w:ascii="Cambria" w:hAnsi="Cambria"/>
          <w:sz w:val="22"/>
          <w:szCs w:val="22"/>
        </w:rPr>
      </w:pPr>
    </w:p>
    <w:p w14:paraId="429BF392" w14:textId="491BBB4E" w:rsidR="000F7F2A" w:rsidRDefault="000F7F2A" w:rsidP="00494962">
      <w:pPr>
        <w:autoSpaceDE w:val="0"/>
        <w:autoSpaceDN w:val="0"/>
        <w:adjustRightInd w:val="0"/>
        <w:rPr>
          <w:rFonts w:ascii="Cambria" w:hAnsi="Cambria"/>
          <w:sz w:val="22"/>
          <w:szCs w:val="22"/>
        </w:rPr>
      </w:pPr>
      <w:proofErr w:type="spellStart"/>
      <w:r w:rsidRPr="00A90D10">
        <w:rPr>
          <w:rFonts w:ascii="Cambria" w:hAnsi="Cambria"/>
          <w:sz w:val="22"/>
          <w:szCs w:val="22"/>
        </w:rPr>
        <w:t>McCrudden</w:t>
      </w:r>
      <w:proofErr w:type="spellEnd"/>
      <w:r w:rsidRPr="00A90D10">
        <w:rPr>
          <w:rFonts w:ascii="Cambria" w:hAnsi="Cambria"/>
          <w:sz w:val="22"/>
          <w:szCs w:val="22"/>
        </w:rPr>
        <w:t xml:space="preserve">, C., </w:t>
      </w:r>
      <w:proofErr w:type="spellStart"/>
      <w:r w:rsidRPr="00A90D10">
        <w:rPr>
          <w:rFonts w:ascii="Cambria" w:hAnsi="Cambria"/>
          <w:sz w:val="22"/>
          <w:szCs w:val="22"/>
        </w:rPr>
        <w:t>McGarry</w:t>
      </w:r>
      <w:proofErr w:type="spellEnd"/>
      <w:r w:rsidRPr="00A90D10">
        <w:rPr>
          <w:rFonts w:ascii="Cambria" w:hAnsi="Cambria"/>
          <w:sz w:val="22"/>
          <w:szCs w:val="22"/>
        </w:rPr>
        <w:t>, J., O’Leary, B.</w:t>
      </w:r>
      <w:r w:rsidR="008D1C85">
        <w:rPr>
          <w:rFonts w:ascii="Cambria" w:hAnsi="Cambria"/>
          <w:sz w:val="22"/>
          <w:szCs w:val="22"/>
        </w:rPr>
        <w:t>,</w:t>
      </w:r>
      <w:r w:rsidRPr="00A90D10">
        <w:rPr>
          <w:rFonts w:ascii="Cambria" w:hAnsi="Cambria"/>
          <w:sz w:val="22"/>
          <w:szCs w:val="22"/>
        </w:rPr>
        <w:t xml:space="preserve"> </w:t>
      </w:r>
      <w:r w:rsidR="000E381B" w:rsidRPr="00A90D10">
        <w:rPr>
          <w:rFonts w:ascii="Cambria" w:hAnsi="Cambria"/>
          <w:sz w:val="22"/>
          <w:szCs w:val="22"/>
        </w:rPr>
        <w:t>and</w:t>
      </w:r>
      <w:r w:rsidRPr="00A90D10">
        <w:rPr>
          <w:rFonts w:ascii="Cambria" w:hAnsi="Cambria"/>
          <w:sz w:val="22"/>
          <w:szCs w:val="22"/>
        </w:rPr>
        <w:t xml:space="preserve"> Schwartz, A.</w:t>
      </w:r>
      <w:r w:rsidR="00CF1DED">
        <w:rPr>
          <w:rFonts w:ascii="Cambria" w:hAnsi="Cambria"/>
          <w:sz w:val="22"/>
          <w:szCs w:val="22"/>
        </w:rPr>
        <w:t xml:space="preserve">, (2013). </w:t>
      </w:r>
      <w:r w:rsidRPr="00A90D10">
        <w:rPr>
          <w:rFonts w:ascii="Cambria" w:hAnsi="Cambria"/>
          <w:sz w:val="22"/>
          <w:szCs w:val="22"/>
        </w:rPr>
        <w:t>‘Memorandum for the Northern Ireland Assembly a</w:t>
      </w:r>
      <w:r w:rsidR="00CF1DED">
        <w:rPr>
          <w:rFonts w:ascii="Cambria" w:hAnsi="Cambria"/>
          <w:sz w:val="22"/>
          <w:szCs w:val="22"/>
        </w:rPr>
        <w:t xml:space="preserve">nd Executive Review Committee’. </w:t>
      </w:r>
      <w:r w:rsidRPr="007B7054">
        <w:rPr>
          <w:rFonts w:ascii="Cambria" w:hAnsi="Cambria"/>
          <w:i/>
          <w:sz w:val="22"/>
          <w:szCs w:val="22"/>
        </w:rPr>
        <w:t xml:space="preserve">Review of </w:t>
      </w:r>
      <w:proofErr w:type="spellStart"/>
      <w:r w:rsidRPr="007B7054">
        <w:rPr>
          <w:rFonts w:ascii="Cambria" w:hAnsi="Cambria"/>
          <w:i/>
          <w:sz w:val="22"/>
          <w:szCs w:val="22"/>
        </w:rPr>
        <w:t>D’Hondt</w:t>
      </w:r>
      <w:proofErr w:type="spellEnd"/>
      <w:r w:rsidRPr="007B7054">
        <w:rPr>
          <w:rFonts w:ascii="Cambria" w:hAnsi="Cambria"/>
          <w:i/>
          <w:sz w:val="22"/>
          <w:szCs w:val="22"/>
        </w:rPr>
        <w:t>, Community Designation</w:t>
      </w:r>
      <w:r w:rsidR="00CF1DED" w:rsidRPr="007B7054">
        <w:rPr>
          <w:rFonts w:ascii="Cambria" w:hAnsi="Cambria"/>
          <w:i/>
          <w:sz w:val="22"/>
          <w:szCs w:val="22"/>
        </w:rPr>
        <w:t xml:space="preserve"> and Provisions for Opposition</w:t>
      </w:r>
      <w:r w:rsidR="00CF1DED">
        <w:rPr>
          <w:rFonts w:ascii="Cambria" w:hAnsi="Cambria"/>
          <w:sz w:val="22"/>
          <w:szCs w:val="22"/>
        </w:rPr>
        <w:t xml:space="preserve">. </w:t>
      </w:r>
      <w:r w:rsidR="008D1C85">
        <w:rPr>
          <w:rFonts w:ascii="Cambria" w:hAnsi="Cambria"/>
          <w:sz w:val="22"/>
          <w:szCs w:val="22"/>
        </w:rPr>
        <w:t xml:space="preserve">Belfast: </w:t>
      </w:r>
      <w:r w:rsidR="00CF1DED">
        <w:rPr>
          <w:rFonts w:ascii="Cambria" w:hAnsi="Cambria"/>
          <w:sz w:val="22"/>
          <w:szCs w:val="22"/>
        </w:rPr>
        <w:t>Northern Ireland Assembly</w:t>
      </w:r>
      <w:r w:rsidR="0049392F">
        <w:rPr>
          <w:rFonts w:ascii="Cambria" w:hAnsi="Cambria"/>
          <w:sz w:val="22"/>
          <w:szCs w:val="22"/>
        </w:rPr>
        <w:t>.</w:t>
      </w:r>
    </w:p>
    <w:p w14:paraId="24E35868" w14:textId="77777777" w:rsidR="007B7054" w:rsidRDefault="007B7054" w:rsidP="00494962">
      <w:pPr>
        <w:autoSpaceDE w:val="0"/>
        <w:autoSpaceDN w:val="0"/>
        <w:adjustRightInd w:val="0"/>
        <w:rPr>
          <w:rFonts w:ascii="Cambria" w:hAnsi="Cambria"/>
          <w:sz w:val="22"/>
          <w:szCs w:val="22"/>
        </w:rPr>
      </w:pPr>
    </w:p>
    <w:p w14:paraId="6F579899" w14:textId="7817A0F3" w:rsidR="00A12180" w:rsidRPr="00DD5E78" w:rsidRDefault="00A12180" w:rsidP="00494962">
      <w:pPr>
        <w:pStyle w:val="Default"/>
        <w:spacing w:after="160"/>
        <w:rPr>
          <w:rFonts w:ascii="Cambria" w:hAnsi="Cambria"/>
          <w:color w:val="000000" w:themeColor="text1"/>
          <w:sz w:val="22"/>
          <w:szCs w:val="22"/>
        </w:rPr>
      </w:pPr>
      <w:proofErr w:type="spellStart"/>
      <w:r w:rsidRPr="00DD5E78">
        <w:rPr>
          <w:rFonts w:ascii="Cambria" w:hAnsi="Cambria"/>
          <w:color w:val="000000" w:themeColor="text1"/>
          <w:sz w:val="22"/>
          <w:szCs w:val="22"/>
        </w:rPr>
        <w:t>McCrudden</w:t>
      </w:r>
      <w:proofErr w:type="spellEnd"/>
      <w:r w:rsidRPr="00DD5E78">
        <w:rPr>
          <w:rFonts w:ascii="Cambria" w:hAnsi="Cambria"/>
          <w:color w:val="000000" w:themeColor="text1"/>
          <w:sz w:val="22"/>
          <w:szCs w:val="22"/>
        </w:rPr>
        <w:t xml:space="preserve">, </w:t>
      </w:r>
      <w:r w:rsidR="008D1C85">
        <w:rPr>
          <w:rFonts w:ascii="Cambria" w:hAnsi="Cambria"/>
          <w:color w:val="000000" w:themeColor="text1"/>
          <w:sz w:val="22"/>
          <w:szCs w:val="22"/>
        </w:rPr>
        <w:t>C., and</w:t>
      </w:r>
      <w:r w:rsidRPr="00DD5E78">
        <w:rPr>
          <w:rFonts w:ascii="Cambria" w:hAnsi="Cambria"/>
          <w:color w:val="000000" w:themeColor="text1"/>
          <w:sz w:val="22"/>
          <w:szCs w:val="22"/>
        </w:rPr>
        <w:t xml:space="preserve"> O’Leary, B.</w:t>
      </w:r>
      <w:r w:rsidR="00A1572A">
        <w:rPr>
          <w:rFonts w:ascii="Cambria" w:hAnsi="Cambria"/>
          <w:color w:val="000000" w:themeColor="text1"/>
          <w:sz w:val="22"/>
          <w:szCs w:val="22"/>
        </w:rPr>
        <w:t>,</w:t>
      </w:r>
      <w:r w:rsidRPr="00DD5E78">
        <w:rPr>
          <w:rFonts w:ascii="Cambria" w:hAnsi="Cambria"/>
          <w:color w:val="000000" w:themeColor="text1"/>
          <w:sz w:val="22"/>
          <w:szCs w:val="22"/>
        </w:rPr>
        <w:t xml:space="preserve"> (2013)</w:t>
      </w:r>
      <w:r w:rsidR="00A1572A">
        <w:rPr>
          <w:rFonts w:ascii="Cambria" w:hAnsi="Cambria"/>
          <w:color w:val="000000" w:themeColor="text1"/>
          <w:sz w:val="22"/>
          <w:szCs w:val="22"/>
        </w:rPr>
        <w:t>.</w:t>
      </w:r>
      <w:r w:rsidRPr="00DD5E78">
        <w:rPr>
          <w:rFonts w:ascii="Cambria" w:hAnsi="Cambria"/>
          <w:color w:val="000000" w:themeColor="text1"/>
          <w:sz w:val="22"/>
          <w:szCs w:val="22"/>
        </w:rPr>
        <w:t xml:space="preserve"> ‘Courts and Consociations, or How Human Rights Courts May Destabi</w:t>
      </w:r>
      <w:r w:rsidR="00A1572A">
        <w:rPr>
          <w:rFonts w:ascii="Cambria" w:hAnsi="Cambria"/>
          <w:color w:val="000000" w:themeColor="text1"/>
          <w:sz w:val="22"/>
          <w:szCs w:val="22"/>
        </w:rPr>
        <w:t>lize Power-Sharing Settlements’.</w:t>
      </w:r>
      <w:r w:rsidRPr="00DD5E78">
        <w:rPr>
          <w:rFonts w:ascii="Cambria" w:hAnsi="Cambria"/>
          <w:color w:val="000000" w:themeColor="text1"/>
          <w:sz w:val="22"/>
          <w:szCs w:val="22"/>
        </w:rPr>
        <w:t xml:space="preserve"> </w:t>
      </w:r>
      <w:r w:rsidRPr="00DD5E78">
        <w:rPr>
          <w:rFonts w:ascii="Cambria" w:hAnsi="Cambria"/>
          <w:i/>
          <w:color w:val="000000" w:themeColor="text1"/>
          <w:sz w:val="22"/>
          <w:szCs w:val="22"/>
        </w:rPr>
        <w:t>The European Journal of International Law</w:t>
      </w:r>
      <w:r w:rsidR="00126928">
        <w:rPr>
          <w:rFonts w:ascii="Cambria" w:hAnsi="Cambria"/>
          <w:color w:val="000000" w:themeColor="text1"/>
          <w:sz w:val="22"/>
          <w:szCs w:val="22"/>
        </w:rPr>
        <w:t xml:space="preserve"> 24(2):</w:t>
      </w:r>
      <w:r w:rsidR="00A1572A">
        <w:rPr>
          <w:rFonts w:ascii="Cambria" w:hAnsi="Cambria"/>
          <w:color w:val="000000" w:themeColor="text1"/>
          <w:sz w:val="22"/>
          <w:szCs w:val="22"/>
        </w:rPr>
        <w:t xml:space="preserve"> 477-501</w:t>
      </w:r>
      <w:r w:rsidR="0049392F">
        <w:rPr>
          <w:rFonts w:ascii="Cambria" w:hAnsi="Cambria"/>
          <w:color w:val="000000" w:themeColor="text1"/>
          <w:sz w:val="22"/>
          <w:szCs w:val="22"/>
        </w:rPr>
        <w:t>.</w:t>
      </w:r>
    </w:p>
    <w:p w14:paraId="1A635243" w14:textId="6742BBDB" w:rsidR="00A12180" w:rsidRPr="00DD5E78" w:rsidRDefault="00AE0328" w:rsidP="00494962">
      <w:pPr>
        <w:autoSpaceDE w:val="0"/>
        <w:autoSpaceDN w:val="0"/>
        <w:adjustRightInd w:val="0"/>
        <w:rPr>
          <w:rFonts w:ascii="Cambria" w:hAnsi="Cambria"/>
          <w:color w:val="000000" w:themeColor="text1"/>
          <w:sz w:val="22"/>
          <w:szCs w:val="22"/>
        </w:rPr>
      </w:pPr>
      <w:r>
        <w:rPr>
          <w:rFonts w:ascii="Cambria" w:hAnsi="Cambria"/>
          <w:color w:val="000000" w:themeColor="text1"/>
          <w:sz w:val="22"/>
          <w:szCs w:val="22"/>
        </w:rPr>
        <w:t>McCulloch, A., (2014). ‘</w:t>
      </w:r>
      <w:proofErr w:type="spellStart"/>
      <w:r w:rsidR="00A12180" w:rsidRPr="00DD5E78">
        <w:rPr>
          <w:rFonts w:ascii="Cambria" w:hAnsi="Cambria"/>
          <w:color w:val="000000" w:themeColor="text1"/>
          <w:sz w:val="22"/>
          <w:szCs w:val="22"/>
        </w:rPr>
        <w:t>Consociational</w:t>
      </w:r>
      <w:proofErr w:type="spellEnd"/>
      <w:r w:rsidR="00A12180" w:rsidRPr="00DD5E78">
        <w:rPr>
          <w:rFonts w:ascii="Cambria" w:hAnsi="Cambria"/>
          <w:color w:val="000000" w:themeColor="text1"/>
          <w:sz w:val="22"/>
          <w:szCs w:val="22"/>
        </w:rPr>
        <w:t xml:space="preserve"> Settlements in Deeply Divided Societies: Th</w:t>
      </w:r>
      <w:r>
        <w:rPr>
          <w:rFonts w:ascii="Cambria" w:hAnsi="Cambria"/>
          <w:color w:val="000000" w:themeColor="text1"/>
          <w:sz w:val="22"/>
          <w:szCs w:val="22"/>
        </w:rPr>
        <w:t>e Liberal-Corporate Distinction’.</w:t>
      </w:r>
      <w:r w:rsidR="00A12180" w:rsidRPr="00DD5E78">
        <w:rPr>
          <w:rFonts w:ascii="Cambria" w:hAnsi="Cambria"/>
          <w:color w:val="000000" w:themeColor="text1"/>
          <w:sz w:val="22"/>
          <w:szCs w:val="22"/>
        </w:rPr>
        <w:t xml:space="preserve"> </w:t>
      </w:r>
      <w:r w:rsidR="00A12180" w:rsidRPr="00DD5E78">
        <w:rPr>
          <w:rFonts w:ascii="Cambria" w:hAnsi="Cambria"/>
          <w:i/>
          <w:color w:val="000000" w:themeColor="text1"/>
          <w:sz w:val="22"/>
          <w:szCs w:val="22"/>
        </w:rPr>
        <w:t>Democratization</w:t>
      </w:r>
      <w:r>
        <w:rPr>
          <w:rFonts w:ascii="Cambria" w:hAnsi="Cambria"/>
          <w:color w:val="000000" w:themeColor="text1"/>
          <w:sz w:val="22"/>
          <w:szCs w:val="22"/>
        </w:rPr>
        <w:t xml:space="preserve"> 21(3):</w:t>
      </w:r>
      <w:r w:rsidR="00A1572A">
        <w:rPr>
          <w:rFonts w:ascii="Cambria" w:hAnsi="Cambria"/>
          <w:color w:val="000000" w:themeColor="text1"/>
          <w:sz w:val="22"/>
          <w:szCs w:val="22"/>
        </w:rPr>
        <w:t xml:space="preserve"> 501-518</w:t>
      </w:r>
      <w:r w:rsidR="0049392F">
        <w:rPr>
          <w:rFonts w:ascii="Cambria" w:hAnsi="Cambria"/>
          <w:color w:val="000000" w:themeColor="text1"/>
          <w:sz w:val="22"/>
          <w:szCs w:val="22"/>
        </w:rPr>
        <w:t>.</w:t>
      </w:r>
    </w:p>
    <w:p w14:paraId="754CD951" w14:textId="77777777" w:rsidR="00B20C4D" w:rsidRDefault="00B20C4D" w:rsidP="00494962">
      <w:pPr>
        <w:autoSpaceDE w:val="0"/>
        <w:autoSpaceDN w:val="0"/>
        <w:adjustRightInd w:val="0"/>
        <w:rPr>
          <w:rFonts w:ascii="Cambria" w:hAnsi="Cambria"/>
          <w:sz w:val="22"/>
          <w:szCs w:val="22"/>
        </w:rPr>
      </w:pPr>
    </w:p>
    <w:p w14:paraId="5A01A941" w14:textId="062D9CCD" w:rsidR="000F7F2A" w:rsidRPr="00A90D10" w:rsidRDefault="00CF1DED" w:rsidP="00494962">
      <w:pPr>
        <w:autoSpaceDE w:val="0"/>
        <w:autoSpaceDN w:val="0"/>
        <w:adjustRightInd w:val="0"/>
        <w:rPr>
          <w:rFonts w:ascii="Cambria" w:hAnsi="Cambria"/>
          <w:sz w:val="22"/>
          <w:szCs w:val="22"/>
        </w:rPr>
      </w:pPr>
      <w:r>
        <w:rPr>
          <w:rFonts w:ascii="Cambria" w:hAnsi="Cambria"/>
          <w:sz w:val="22"/>
          <w:szCs w:val="22"/>
        </w:rPr>
        <w:t xml:space="preserve">McCulloch, A., </w:t>
      </w:r>
      <w:r w:rsidR="000E381B" w:rsidRPr="00A90D10">
        <w:rPr>
          <w:rFonts w:ascii="Cambria" w:hAnsi="Cambria"/>
          <w:sz w:val="22"/>
          <w:szCs w:val="22"/>
        </w:rPr>
        <w:t>and</w:t>
      </w:r>
      <w:r w:rsidR="000F7F2A" w:rsidRPr="00A90D10">
        <w:rPr>
          <w:rFonts w:ascii="Cambria" w:hAnsi="Cambria"/>
          <w:sz w:val="22"/>
          <w:szCs w:val="22"/>
        </w:rPr>
        <w:t xml:space="preserve"> Byrne, S.</w:t>
      </w:r>
      <w:r>
        <w:rPr>
          <w:rFonts w:ascii="Cambria" w:hAnsi="Cambria"/>
          <w:sz w:val="22"/>
          <w:szCs w:val="22"/>
        </w:rPr>
        <w:t>, (2017). ‘</w:t>
      </w:r>
      <w:r w:rsidR="000F7F2A" w:rsidRPr="00A90D10">
        <w:rPr>
          <w:rFonts w:ascii="Cambria" w:hAnsi="Cambria"/>
          <w:sz w:val="22"/>
          <w:szCs w:val="22"/>
        </w:rPr>
        <w:t>Is Syria like Bosnia? Feminist Lessons for Power-Sharing and Conflict Transformatio</w:t>
      </w:r>
      <w:r w:rsidR="00EF7D3A" w:rsidRPr="00A90D10">
        <w:rPr>
          <w:rFonts w:ascii="Cambria" w:hAnsi="Cambria"/>
          <w:sz w:val="22"/>
          <w:szCs w:val="22"/>
        </w:rPr>
        <w:t>n</w:t>
      </w:r>
      <w:r>
        <w:rPr>
          <w:rFonts w:ascii="Cambria" w:hAnsi="Cambria"/>
          <w:sz w:val="22"/>
          <w:szCs w:val="22"/>
        </w:rPr>
        <w:t xml:space="preserve">’. </w:t>
      </w:r>
      <w:r w:rsidR="00EF7D3A" w:rsidRPr="00A90D10">
        <w:rPr>
          <w:rFonts w:ascii="Cambria" w:hAnsi="Cambria"/>
          <w:sz w:val="22"/>
          <w:szCs w:val="22"/>
        </w:rPr>
        <w:t xml:space="preserve">Joint </w:t>
      </w:r>
      <w:r w:rsidR="000F7F2A" w:rsidRPr="00A90D10">
        <w:rPr>
          <w:rFonts w:ascii="Cambria" w:hAnsi="Cambria"/>
          <w:sz w:val="22"/>
          <w:szCs w:val="22"/>
        </w:rPr>
        <w:t>IPS</w:t>
      </w:r>
      <w:r w:rsidR="00EF7D3A" w:rsidRPr="00A90D10">
        <w:rPr>
          <w:rFonts w:ascii="Cambria" w:hAnsi="Cambria"/>
          <w:sz w:val="22"/>
          <w:szCs w:val="22"/>
        </w:rPr>
        <w:t xml:space="preserve">A Colloquium on Democratization </w:t>
      </w:r>
      <w:r>
        <w:rPr>
          <w:rFonts w:ascii="Cambria" w:hAnsi="Cambria"/>
          <w:sz w:val="22"/>
          <w:szCs w:val="22"/>
        </w:rPr>
        <w:t xml:space="preserve">and </w:t>
      </w:r>
      <w:r w:rsidR="00EF7D3A" w:rsidRPr="00A90D10">
        <w:rPr>
          <w:rFonts w:ascii="Cambria" w:hAnsi="Cambria"/>
          <w:sz w:val="22"/>
          <w:szCs w:val="22"/>
        </w:rPr>
        <w:t xml:space="preserve">Constitutional Design in </w:t>
      </w:r>
      <w:r>
        <w:rPr>
          <w:rFonts w:ascii="Cambria" w:hAnsi="Cambria"/>
          <w:sz w:val="22"/>
          <w:szCs w:val="22"/>
        </w:rPr>
        <w:t xml:space="preserve">Divided Societies. 24-26 </w:t>
      </w:r>
      <w:r w:rsidR="00EF7D3A" w:rsidRPr="00A90D10">
        <w:rPr>
          <w:rFonts w:ascii="Cambria" w:hAnsi="Cambria"/>
          <w:sz w:val="22"/>
          <w:szCs w:val="22"/>
        </w:rPr>
        <w:t xml:space="preserve">June </w:t>
      </w:r>
      <w:r w:rsidR="000F7F2A" w:rsidRPr="00A90D10">
        <w:rPr>
          <w:rFonts w:ascii="Cambria" w:hAnsi="Cambria"/>
          <w:sz w:val="22"/>
          <w:szCs w:val="22"/>
        </w:rPr>
        <w:t>2017.</w:t>
      </w:r>
      <w:r>
        <w:rPr>
          <w:rFonts w:ascii="Cambria" w:hAnsi="Cambria"/>
          <w:sz w:val="22"/>
          <w:szCs w:val="22"/>
        </w:rPr>
        <w:t xml:space="preserve"> University of </w:t>
      </w:r>
      <w:r w:rsidRPr="00A90D10">
        <w:rPr>
          <w:rFonts w:ascii="Cambria" w:hAnsi="Cambria"/>
          <w:sz w:val="22"/>
          <w:szCs w:val="22"/>
        </w:rPr>
        <w:t>Cyprus</w:t>
      </w:r>
      <w:r w:rsidR="0049392F">
        <w:rPr>
          <w:rFonts w:ascii="Cambria" w:hAnsi="Cambria"/>
          <w:sz w:val="22"/>
          <w:szCs w:val="22"/>
        </w:rPr>
        <w:t>.</w:t>
      </w:r>
    </w:p>
    <w:p w14:paraId="1E66B0D3" w14:textId="77777777" w:rsidR="009517AD" w:rsidRPr="00A90D10" w:rsidRDefault="009517AD" w:rsidP="00494962">
      <w:pPr>
        <w:autoSpaceDE w:val="0"/>
        <w:autoSpaceDN w:val="0"/>
        <w:adjustRightInd w:val="0"/>
        <w:rPr>
          <w:rFonts w:ascii="Cambria" w:hAnsi="Cambria"/>
          <w:sz w:val="22"/>
          <w:szCs w:val="22"/>
        </w:rPr>
      </w:pPr>
    </w:p>
    <w:p w14:paraId="0A3712F3" w14:textId="47C0D91D" w:rsidR="009517AD" w:rsidRDefault="00CF1DED" w:rsidP="00494962">
      <w:pPr>
        <w:rPr>
          <w:rFonts w:ascii="Cambria" w:hAnsi="Cambria"/>
          <w:sz w:val="22"/>
          <w:szCs w:val="22"/>
        </w:rPr>
      </w:pPr>
      <w:r>
        <w:rPr>
          <w:rFonts w:ascii="Cambria" w:hAnsi="Cambria"/>
          <w:sz w:val="22"/>
          <w:szCs w:val="22"/>
        </w:rPr>
        <w:t>McCulloch, A.</w:t>
      </w:r>
      <w:r w:rsidR="008D1C85">
        <w:rPr>
          <w:rFonts w:ascii="Cambria" w:hAnsi="Cambria"/>
          <w:sz w:val="22"/>
          <w:szCs w:val="22"/>
        </w:rPr>
        <w:t>,</w:t>
      </w:r>
      <w:r>
        <w:rPr>
          <w:rFonts w:ascii="Cambria" w:hAnsi="Cambria"/>
          <w:sz w:val="22"/>
          <w:szCs w:val="22"/>
        </w:rPr>
        <w:t xml:space="preserve"> and </w:t>
      </w:r>
      <w:proofErr w:type="spellStart"/>
      <w:r>
        <w:rPr>
          <w:rFonts w:ascii="Cambria" w:hAnsi="Cambria"/>
          <w:sz w:val="22"/>
          <w:szCs w:val="22"/>
        </w:rPr>
        <w:t>McGarry</w:t>
      </w:r>
      <w:proofErr w:type="spellEnd"/>
      <w:r>
        <w:rPr>
          <w:rFonts w:ascii="Cambria" w:hAnsi="Cambria"/>
          <w:sz w:val="22"/>
          <w:szCs w:val="22"/>
        </w:rPr>
        <w:t>, J.</w:t>
      </w:r>
      <w:r w:rsidR="00AE0328">
        <w:rPr>
          <w:rFonts w:ascii="Cambria" w:hAnsi="Cambria"/>
          <w:sz w:val="22"/>
          <w:szCs w:val="22"/>
        </w:rPr>
        <w:t>, eds</w:t>
      </w:r>
      <w:r w:rsidR="008D1C85">
        <w:rPr>
          <w:rFonts w:ascii="Cambria" w:hAnsi="Cambria"/>
          <w:sz w:val="22"/>
          <w:szCs w:val="22"/>
        </w:rPr>
        <w:t>.</w:t>
      </w:r>
      <w:r w:rsidR="00AE0328">
        <w:rPr>
          <w:rFonts w:ascii="Cambria" w:hAnsi="Cambria"/>
          <w:sz w:val="22"/>
          <w:szCs w:val="22"/>
        </w:rPr>
        <w:t>,</w:t>
      </w:r>
      <w:r w:rsidR="009517AD" w:rsidRPr="00A90D10">
        <w:rPr>
          <w:rFonts w:ascii="Cambria" w:hAnsi="Cambria"/>
          <w:sz w:val="22"/>
          <w:szCs w:val="22"/>
        </w:rPr>
        <w:t xml:space="preserve"> (2017).  </w:t>
      </w:r>
      <w:r w:rsidR="008D1C85">
        <w:rPr>
          <w:rFonts w:ascii="Cambria" w:hAnsi="Cambria"/>
          <w:i/>
          <w:iCs/>
          <w:sz w:val="22"/>
          <w:szCs w:val="22"/>
        </w:rPr>
        <w:t>Power Sharing:</w:t>
      </w:r>
      <w:r w:rsidR="009517AD" w:rsidRPr="00A90D10">
        <w:rPr>
          <w:rFonts w:ascii="Cambria" w:hAnsi="Cambria"/>
          <w:i/>
          <w:iCs/>
          <w:sz w:val="22"/>
          <w:szCs w:val="22"/>
        </w:rPr>
        <w:t xml:space="preserve"> Empirical and Normative Challenges</w:t>
      </w:r>
      <w:r w:rsidR="008D1C85">
        <w:rPr>
          <w:rFonts w:ascii="Cambria" w:hAnsi="Cambria"/>
          <w:sz w:val="22"/>
          <w:szCs w:val="22"/>
        </w:rPr>
        <w:t>.</w:t>
      </w:r>
      <w:r w:rsidR="009517AD" w:rsidRPr="00A90D10">
        <w:rPr>
          <w:rFonts w:ascii="Cambria" w:hAnsi="Cambria"/>
          <w:sz w:val="22"/>
          <w:szCs w:val="22"/>
        </w:rPr>
        <w:t xml:space="preserve"> London: Routledge. </w:t>
      </w:r>
    </w:p>
    <w:p w14:paraId="1F0BA537" w14:textId="77777777" w:rsidR="00A12180" w:rsidRDefault="00A12180" w:rsidP="00494962">
      <w:pPr>
        <w:rPr>
          <w:rFonts w:ascii="Cambria" w:hAnsi="Cambria"/>
          <w:sz w:val="22"/>
          <w:szCs w:val="22"/>
        </w:rPr>
      </w:pPr>
    </w:p>
    <w:p w14:paraId="24F36BF5" w14:textId="0ECFBECA" w:rsidR="00A12180" w:rsidRPr="00730B71" w:rsidRDefault="00A12180" w:rsidP="00494962">
      <w:pPr>
        <w:rPr>
          <w:rFonts w:ascii="Cambria" w:hAnsi="Cambria"/>
          <w:color w:val="000000" w:themeColor="text1"/>
          <w:sz w:val="22"/>
          <w:szCs w:val="22"/>
        </w:rPr>
      </w:pPr>
      <w:proofErr w:type="spellStart"/>
      <w:r w:rsidRPr="00730B71">
        <w:rPr>
          <w:rFonts w:ascii="Cambria" w:hAnsi="Cambria"/>
          <w:color w:val="000000" w:themeColor="text1"/>
          <w:sz w:val="22"/>
          <w:szCs w:val="22"/>
        </w:rPr>
        <w:t>McEvoy</w:t>
      </w:r>
      <w:proofErr w:type="spellEnd"/>
      <w:r w:rsidRPr="00730B71">
        <w:rPr>
          <w:rFonts w:ascii="Cambria" w:hAnsi="Cambria"/>
          <w:color w:val="000000" w:themeColor="text1"/>
          <w:sz w:val="22"/>
          <w:szCs w:val="22"/>
        </w:rPr>
        <w:t>, J.</w:t>
      </w:r>
      <w:r w:rsidR="002506A8">
        <w:rPr>
          <w:rFonts w:ascii="Cambria" w:hAnsi="Cambria"/>
          <w:color w:val="000000" w:themeColor="text1"/>
          <w:sz w:val="22"/>
          <w:szCs w:val="22"/>
        </w:rPr>
        <w:t xml:space="preserve">, (2015). </w:t>
      </w:r>
      <w:r w:rsidRPr="002506A8">
        <w:rPr>
          <w:rFonts w:ascii="Cambria" w:hAnsi="Cambria"/>
          <w:i/>
          <w:color w:val="000000" w:themeColor="text1"/>
          <w:sz w:val="22"/>
          <w:szCs w:val="22"/>
        </w:rPr>
        <w:t xml:space="preserve">Power-Sharing Executives: Governing in Bosnia, </w:t>
      </w:r>
      <w:r w:rsidR="002506A8" w:rsidRPr="002506A8">
        <w:rPr>
          <w:rFonts w:ascii="Cambria" w:hAnsi="Cambria"/>
          <w:i/>
          <w:color w:val="000000" w:themeColor="text1"/>
          <w:sz w:val="22"/>
          <w:szCs w:val="22"/>
        </w:rPr>
        <w:t>Macedonia and Northern Ireland</w:t>
      </w:r>
      <w:r w:rsidR="00AE0328">
        <w:rPr>
          <w:rFonts w:ascii="Cambria" w:hAnsi="Cambria"/>
          <w:color w:val="000000" w:themeColor="text1"/>
          <w:sz w:val="22"/>
          <w:szCs w:val="22"/>
        </w:rPr>
        <w:t>.</w:t>
      </w:r>
      <w:r w:rsidR="002506A8">
        <w:rPr>
          <w:rFonts w:ascii="Cambria" w:hAnsi="Cambria"/>
          <w:color w:val="000000" w:themeColor="text1"/>
          <w:sz w:val="22"/>
          <w:szCs w:val="22"/>
        </w:rPr>
        <w:t xml:space="preserve"> </w:t>
      </w:r>
      <w:r w:rsidRPr="00730B71">
        <w:rPr>
          <w:rFonts w:ascii="Cambria" w:hAnsi="Cambria"/>
          <w:color w:val="000000" w:themeColor="text1"/>
          <w:sz w:val="22"/>
          <w:szCs w:val="22"/>
        </w:rPr>
        <w:t>Philadelphia: U</w:t>
      </w:r>
      <w:r w:rsidR="002506A8">
        <w:rPr>
          <w:rFonts w:ascii="Cambria" w:hAnsi="Cambria"/>
          <w:color w:val="000000" w:themeColor="text1"/>
          <w:sz w:val="22"/>
          <w:szCs w:val="22"/>
        </w:rPr>
        <w:t>niversity of Pennsylvania Press</w:t>
      </w:r>
      <w:r w:rsidRPr="00730B71">
        <w:rPr>
          <w:rFonts w:ascii="Cambria" w:hAnsi="Cambria"/>
          <w:color w:val="000000" w:themeColor="text1"/>
          <w:sz w:val="22"/>
          <w:szCs w:val="22"/>
        </w:rPr>
        <w:t>.</w:t>
      </w:r>
    </w:p>
    <w:p w14:paraId="1CCDF9C3" w14:textId="77777777" w:rsidR="00A12180" w:rsidRPr="00A90D10" w:rsidRDefault="00A12180" w:rsidP="00494962">
      <w:pPr>
        <w:rPr>
          <w:rFonts w:ascii="Cambria" w:hAnsi="Cambria"/>
          <w:sz w:val="22"/>
          <w:szCs w:val="22"/>
        </w:rPr>
      </w:pPr>
    </w:p>
    <w:p w14:paraId="1C693CB6" w14:textId="1919A07C" w:rsidR="00BC3A92" w:rsidRDefault="009517AD" w:rsidP="00494962">
      <w:pPr>
        <w:rPr>
          <w:rFonts w:ascii="Cambria" w:eastAsia="Times New Roman" w:hAnsi="Cambria" w:cs="Arial"/>
          <w:color w:val="FF0000"/>
          <w:sz w:val="22"/>
          <w:szCs w:val="22"/>
          <w:shd w:val="clear" w:color="auto" w:fill="FFFFFF"/>
        </w:rPr>
      </w:pPr>
      <w:proofErr w:type="spellStart"/>
      <w:r w:rsidRPr="00A90D10">
        <w:rPr>
          <w:rFonts w:ascii="Cambria" w:hAnsi="Cambria"/>
          <w:sz w:val="22"/>
          <w:szCs w:val="22"/>
        </w:rPr>
        <w:t>M</w:t>
      </w:r>
      <w:r w:rsidR="000F7F2A" w:rsidRPr="00A90D10">
        <w:rPr>
          <w:rFonts w:ascii="Cambria" w:hAnsi="Cambria"/>
          <w:sz w:val="22"/>
          <w:szCs w:val="22"/>
        </w:rPr>
        <w:t>cGarry</w:t>
      </w:r>
      <w:proofErr w:type="spellEnd"/>
      <w:r w:rsidR="000F7F2A" w:rsidRPr="00A90D10">
        <w:rPr>
          <w:rFonts w:ascii="Cambria" w:hAnsi="Cambria"/>
          <w:sz w:val="22"/>
          <w:szCs w:val="22"/>
        </w:rPr>
        <w:t>, J.</w:t>
      </w:r>
      <w:r w:rsidR="008D1C85">
        <w:rPr>
          <w:rFonts w:ascii="Cambria" w:hAnsi="Cambria"/>
          <w:sz w:val="22"/>
          <w:szCs w:val="22"/>
        </w:rPr>
        <w:t>,</w:t>
      </w:r>
      <w:r w:rsidR="000F7F2A" w:rsidRPr="00A90D10">
        <w:rPr>
          <w:rFonts w:ascii="Cambria" w:hAnsi="Cambria"/>
          <w:sz w:val="22"/>
          <w:szCs w:val="22"/>
        </w:rPr>
        <w:t xml:space="preserve"> </w:t>
      </w:r>
      <w:r w:rsidR="000E381B" w:rsidRPr="00A90D10">
        <w:rPr>
          <w:rFonts w:ascii="Cambria" w:hAnsi="Cambria"/>
          <w:sz w:val="22"/>
          <w:szCs w:val="22"/>
        </w:rPr>
        <w:t>and</w:t>
      </w:r>
      <w:r w:rsidR="000F7F2A" w:rsidRPr="00A90D10">
        <w:rPr>
          <w:rFonts w:ascii="Cambria" w:hAnsi="Cambria"/>
          <w:sz w:val="22"/>
          <w:szCs w:val="22"/>
        </w:rPr>
        <w:t xml:space="preserve"> O’Leary B.</w:t>
      </w:r>
      <w:r w:rsidR="00CF1DED">
        <w:rPr>
          <w:rFonts w:ascii="Cambria" w:hAnsi="Cambria"/>
          <w:sz w:val="22"/>
          <w:szCs w:val="22"/>
        </w:rPr>
        <w:t>,</w:t>
      </w:r>
      <w:r w:rsidR="000F7F2A" w:rsidRPr="00A90D10">
        <w:rPr>
          <w:rFonts w:ascii="Cambria" w:hAnsi="Cambria"/>
          <w:sz w:val="22"/>
          <w:szCs w:val="22"/>
        </w:rPr>
        <w:t xml:space="preserve"> </w:t>
      </w:r>
      <w:r w:rsidR="00835207">
        <w:rPr>
          <w:rFonts w:ascii="Cambria" w:hAnsi="Cambria"/>
          <w:sz w:val="22"/>
          <w:szCs w:val="22"/>
        </w:rPr>
        <w:t>(2009)</w:t>
      </w:r>
      <w:r w:rsidR="00AE0328">
        <w:rPr>
          <w:rFonts w:ascii="Cambria" w:hAnsi="Cambria"/>
          <w:sz w:val="22"/>
          <w:szCs w:val="22"/>
        </w:rPr>
        <w:t>.</w:t>
      </w:r>
      <w:r w:rsidR="00F1182D">
        <w:rPr>
          <w:rFonts w:ascii="Cambria" w:hAnsi="Cambria"/>
          <w:sz w:val="22"/>
          <w:szCs w:val="22"/>
        </w:rPr>
        <w:t xml:space="preserve"> </w:t>
      </w:r>
      <w:r w:rsidR="008D1C85">
        <w:rPr>
          <w:rFonts w:ascii="Cambria" w:hAnsi="Cambria"/>
          <w:sz w:val="22"/>
          <w:szCs w:val="22"/>
        </w:rPr>
        <w:t>‘Power Shared After the Deaths of T</w:t>
      </w:r>
      <w:r w:rsidR="000F7F2A" w:rsidRPr="00A90D10">
        <w:rPr>
          <w:rFonts w:ascii="Cambria" w:hAnsi="Cambria"/>
          <w:sz w:val="22"/>
          <w:szCs w:val="22"/>
        </w:rPr>
        <w:t>hous</w:t>
      </w:r>
      <w:r w:rsidR="00AE0328">
        <w:rPr>
          <w:rFonts w:ascii="Cambria" w:hAnsi="Cambria"/>
          <w:sz w:val="22"/>
          <w:szCs w:val="22"/>
        </w:rPr>
        <w:t>ands</w:t>
      </w:r>
      <w:r w:rsidR="00835207">
        <w:rPr>
          <w:rFonts w:ascii="Cambria" w:hAnsi="Cambria"/>
          <w:sz w:val="22"/>
          <w:szCs w:val="22"/>
        </w:rPr>
        <w:t>’</w:t>
      </w:r>
      <w:r w:rsidR="00AE0328">
        <w:rPr>
          <w:rFonts w:ascii="Cambria" w:hAnsi="Cambria"/>
          <w:sz w:val="22"/>
          <w:szCs w:val="22"/>
        </w:rPr>
        <w:t>,</w:t>
      </w:r>
      <w:r w:rsidR="00835207">
        <w:rPr>
          <w:rFonts w:ascii="Cambria" w:hAnsi="Cambria"/>
          <w:sz w:val="22"/>
          <w:szCs w:val="22"/>
        </w:rPr>
        <w:t xml:space="preserve"> in </w:t>
      </w:r>
      <w:r w:rsidR="008D1C85">
        <w:rPr>
          <w:rFonts w:ascii="Cambria" w:hAnsi="Cambria"/>
          <w:sz w:val="22"/>
          <w:szCs w:val="22"/>
        </w:rPr>
        <w:t xml:space="preserve">R. Taylor, </w:t>
      </w:r>
      <w:r w:rsidR="00CF1DED">
        <w:rPr>
          <w:rFonts w:ascii="Cambria" w:hAnsi="Cambria"/>
          <w:sz w:val="22"/>
          <w:szCs w:val="22"/>
        </w:rPr>
        <w:t xml:space="preserve">ed. </w:t>
      </w:r>
      <w:r w:rsidR="000F7F2A" w:rsidRPr="00A90D10">
        <w:rPr>
          <w:rFonts w:ascii="Cambria" w:hAnsi="Cambria"/>
          <w:sz w:val="22"/>
          <w:szCs w:val="22"/>
        </w:rPr>
        <w:t xml:space="preserve"> </w:t>
      </w:r>
      <w:proofErr w:type="spellStart"/>
      <w:r w:rsidR="000F7F2A" w:rsidRPr="00A90D10">
        <w:rPr>
          <w:rFonts w:ascii="Cambria" w:hAnsi="Cambria"/>
          <w:i/>
          <w:sz w:val="22"/>
          <w:szCs w:val="22"/>
        </w:rPr>
        <w:t>Consociational</w:t>
      </w:r>
      <w:proofErr w:type="spellEnd"/>
      <w:r w:rsidR="000F7F2A" w:rsidRPr="00A90D10">
        <w:rPr>
          <w:rFonts w:ascii="Cambria" w:hAnsi="Cambria"/>
          <w:i/>
          <w:sz w:val="22"/>
          <w:szCs w:val="22"/>
        </w:rPr>
        <w:t xml:space="preserve"> Theory: </w:t>
      </w:r>
      <w:proofErr w:type="spellStart"/>
      <w:r w:rsidR="000F7F2A" w:rsidRPr="00A90D10">
        <w:rPr>
          <w:rFonts w:ascii="Cambria" w:hAnsi="Cambria"/>
          <w:i/>
          <w:sz w:val="22"/>
          <w:szCs w:val="22"/>
        </w:rPr>
        <w:t>McGarry</w:t>
      </w:r>
      <w:proofErr w:type="spellEnd"/>
      <w:r w:rsidR="000F7F2A" w:rsidRPr="00A90D10">
        <w:rPr>
          <w:rFonts w:ascii="Cambria" w:hAnsi="Cambria"/>
          <w:i/>
          <w:sz w:val="22"/>
          <w:szCs w:val="22"/>
        </w:rPr>
        <w:t xml:space="preserve"> and O’Leary an</w:t>
      </w:r>
      <w:r w:rsidR="004421D5">
        <w:rPr>
          <w:rFonts w:ascii="Cambria" w:hAnsi="Cambria"/>
          <w:i/>
          <w:sz w:val="22"/>
          <w:szCs w:val="22"/>
        </w:rPr>
        <w:t xml:space="preserve">d the Northern Ireland Conflict. </w:t>
      </w:r>
      <w:r w:rsidR="00CF1DED">
        <w:rPr>
          <w:rFonts w:ascii="Cambria" w:hAnsi="Cambria"/>
          <w:i/>
          <w:sz w:val="22"/>
          <w:szCs w:val="22"/>
        </w:rPr>
        <w:t xml:space="preserve"> </w:t>
      </w:r>
      <w:r w:rsidR="00F029EA">
        <w:rPr>
          <w:rFonts w:ascii="Cambria" w:hAnsi="Cambria"/>
          <w:sz w:val="22"/>
          <w:szCs w:val="22"/>
        </w:rPr>
        <w:t>Abingdon</w:t>
      </w:r>
      <w:r w:rsidR="00CF1DED">
        <w:rPr>
          <w:rFonts w:ascii="Cambria" w:hAnsi="Cambria"/>
          <w:sz w:val="22"/>
          <w:szCs w:val="22"/>
        </w:rPr>
        <w:t>: Routledge</w:t>
      </w:r>
      <w:r w:rsidR="004421D5">
        <w:rPr>
          <w:rFonts w:ascii="Cambria" w:hAnsi="Cambria"/>
          <w:sz w:val="22"/>
          <w:szCs w:val="22"/>
        </w:rPr>
        <w:t>, pp.1-60</w:t>
      </w:r>
      <w:r w:rsidR="0049392F">
        <w:rPr>
          <w:rFonts w:ascii="Cambria" w:hAnsi="Cambria"/>
          <w:sz w:val="22"/>
          <w:szCs w:val="22"/>
        </w:rPr>
        <w:t>.</w:t>
      </w:r>
      <w:r w:rsidR="00BC3A92">
        <w:rPr>
          <w:rFonts w:ascii="Cambria" w:hAnsi="Cambria"/>
          <w:sz w:val="22"/>
          <w:szCs w:val="22"/>
        </w:rPr>
        <w:t xml:space="preserve"> </w:t>
      </w:r>
    </w:p>
    <w:p w14:paraId="7E34A35F" w14:textId="77777777" w:rsidR="00730B71" w:rsidRPr="00730B71" w:rsidRDefault="00730B71" w:rsidP="00494962">
      <w:pPr>
        <w:rPr>
          <w:rFonts w:ascii="Cambria" w:eastAsia="Times New Roman" w:hAnsi="Cambria" w:cs="Arial"/>
          <w:color w:val="000000" w:themeColor="text1"/>
          <w:sz w:val="22"/>
          <w:szCs w:val="22"/>
          <w:shd w:val="clear" w:color="auto" w:fill="FFFFFF"/>
        </w:rPr>
      </w:pPr>
    </w:p>
    <w:p w14:paraId="193415CA" w14:textId="5FDEB0CA" w:rsidR="00730B71" w:rsidRPr="00730B71" w:rsidRDefault="008D1C85" w:rsidP="00494962">
      <w:pPr>
        <w:autoSpaceDE w:val="0"/>
        <w:autoSpaceDN w:val="0"/>
        <w:adjustRightInd w:val="0"/>
        <w:rPr>
          <w:rFonts w:ascii="Cambria" w:hAnsi="Cambria"/>
          <w:color w:val="000000" w:themeColor="text1"/>
          <w:sz w:val="22"/>
          <w:szCs w:val="22"/>
        </w:rPr>
      </w:pPr>
      <w:proofErr w:type="spellStart"/>
      <w:r>
        <w:rPr>
          <w:rFonts w:ascii="Cambria" w:hAnsi="Cambria"/>
          <w:color w:val="000000" w:themeColor="text1"/>
          <w:sz w:val="22"/>
          <w:szCs w:val="22"/>
        </w:rPr>
        <w:t>McGarry</w:t>
      </w:r>
      <w:proofErr w:type="spellEnd"/>
      <w:r>
        <w:rPr>
          <w:rFonts w:ascii="Cambria" w:hAnsi="Cambria"/>
          <w:color w:val="000000" w:themeColor="text1"/>
          <w:sz w:val="22"/>
          <w:szCs w:val="22"/>
        </w:rPr>
        <w:t>, J., and</w:t>
      </w:r>
      <w:r w:rsidR="00730B71" w:rsidRPr="00730B71">
        <w:rPr>
          <w:rFonts w:ascii="Cambria" w:hAnsi="Cambria"/>
          <w:color w:val="000000" w:themeColor="text1"/>
          <w:sz w:val="22"/>
          <w:szCs w:val="22"/>
        </w:rPr>
        <w:t xml:space="preserve"> O’Leary, B.</w:t>
      </w:r>
      <w:r w:rsidR="00AE0328">
        <w:rPr>
          <w:rFonts w:ascii="Cambria" w:hAnsi="Cambria"/>
          <w:color w:val="000000" w:themeColor="text1"/>
          <w:sz w:val="22"/>
          <w:szCs w:val="22"/>
        </w:rPr>
        <w:t>,</w:t>
      </w:r>
      <w:r w:rsidR="00730B71" w:rsidRPr="00730B71">
        <w:rPr>
          <w:rFonts w:ascii="Cambria" w:hAnsi="Cambria"/>
          <w:color w:val="000000" w:themeColor="text1"/>
          <w:sz w:val="22"/>
          <w:szCs w:val="22"/>
        </w:rPr>
        <w:t xml:space="preserve"> (2007)</w:t>
      </w:r>
      <w:r w:rsidR="00AE0328">
        <w:rPr>
          <w:rFonts w:ascii="Cambria" w:hAnsi="Cambria"/>
          <w:color w:val="000000" w:themeColor="text1"/>
          <w:sz w:val="22"/>
          <w:szCs w:val="22"/>
        </w:rPr>
        <w:t>.</w:t>
      </w:r>
      <w:r w:rsidR="00730B71" w:rsidRPr="00730B71">
        <w:rPr>
          <w:rFonts w:ascii="Cambria" w:hAnsi="Cambria"/>
          <w:color w:val="000000" w:themeColor="text1"/>
          <w:sz w:val="22"/>
          <w:szCs w:val="22"/>
        </w:rPr>
        <w:t xml:space="preserve"> ‘Iraq’s Constitution of 2005: Liberal Consoci</w:t>
      </w:r>
      <w:r w:rsidR="00AE0328">
        <w:rPr>
          <w:rFonts w:ascii="Cambria" w:hAnsi="Cambria"/>
          <w:color w:val="000000" w:themeColor="text1"/>
          <w:sz w:val="22"/>
          <w:szCs w:val="22"/>
        </w:rPr>
        <w:t>ation as Political Prescription</w:t>
      </w:r>
      <w:r w:rsidR="00730B71" w:rsidRPr="00730B71">
        <w:rPr>
          <w:rFonts w:ascii="Cambria" w:hAnsi="Cambria"/>
          <w:color w:val="000000" w:themeColor="text1"/>
          <w:sz w:val="22"/>
          <w:szCs w:val="22"/>
        </w:rPr>
        <w:t>’</w:t>
      </w:r>
      <w:r w:rsidR="00AE0328">
        <w:rPr>
          <w:rFonts w:ascii="Cambria" w:hAnsi="Cambria"/>
          <w:color w:val="000000" w:themeColor="text1"/>
          <w:sz w:val="22"/>
          <w:szCs w:val="22"/>
        </w:rPr>
        <w:t>.</w:t>
      </w:r>
      <w:r w:rsidR="00730B71" w:rsidRPr="00730B71">
        <w:rPr>
          <w:rFonts w:ascii="Cambria" w:hAnsi="Cambria"/>
          <w:color w:val="000000" w:themeColor="text1"/>
          <w:sz w:val="22"/>
          <w:szCs w:val="22"/>
        </w:rPr>
        <w:t xml:space="preserve"> </w:t>
      </w:r>
      <w:r w:rsidR="00730B71" w:rsidRPr="00730B71">
        <w:rPr>
          <w:rFonts w:ascii="Cambria" w:hAnsi="Cambria"/>
          <w:i/>
          <w:color w:val="000000" w:themeColor="text1"/>
          <w:sz w:val="22"/>
          <w:szCs w:val="22"/>
        </w:rPr>
        <w:t xml:space="preserve">International Journal of Constitutional Law </w:t>
      </w:r>
      <w:r w:rsidR="00730B71" w:rsidRPr="00494962">
        <w:rPr>
          <w:rFonts w:ascii="Cambria" w:hAnsi="Cambria"/>
          <w:color w:val="000000" w:themeColor="text1"/>
          <w:sz w:val="22"/>
          <w:szCs w:val="22"/>
        </w:rPr>
        <w:t>5</w:t>
      </w:r>
      <w:r w:rsidR="00AE0328">
        <w:rPr>
          <w:rFonts w:ascii="Cambria" w:hAnsi="Cambria"/>
          <w:color w:val="000000" w:themeColor="text1"/>
          <w:sz w:val="22"/>
          <w:szCs w:val="22"/>
        </w:rPr>
        <w:t>(</w:t>
      </w:r>
      <w:r w:rsidR="00730B71" w:rsidRPr="00730B71">
        <w:rPr>
          <w:rFonts w:ascii="Cambria" w:hAnsi="Cambria"/>
          <w:color w:val="000000" w:themeColor="text1"/>
          <w:sz w:val="22"/>
          <w:szCs w:val="22"/>
        </w:rPr>
        <w:t>4</w:t>
      </w:r>
      <w:r w:rsidR="00AE0328">
        <w:rPr>
          <w:rFonts w:ascii="Cambria" w:hAnsi="Cambria"/>
          <w:color w:val="000000" w:themeColor="text1"/>
          <w:sz w:val="22"/>
          <w:szCs w:val="22"/>
        </w:rPr>
        <w:t>)</w:t>
      </w:r>
      <w:r>
        <w:rPr>
          <w:rFonts w:ascii="Cambria" w:hAnsi="Cambria"/>
          <w:color w:val="000000" w:themeColor="text1"/>
          <w:sz w:val="22"/>
          <w:szCs w:val="22"/>
        </w:rPr>
        <w:t>: 670-</w:t>
      </w:r>
      <w:r w:rsidR="00730B71" w:rsidRPr="00730B71">
        <w:rPr>
          <w:rFonts w:ascii="Cambria" w:hAnsi="Cambria"/>
          <w:color w:val="000000" w:themeColor="text1"/>
          <w:sz w:val="22"/>
          <w:szCs w:val="22"/>
        </w:rPr>
        <w:t xml:space="preserve">698. </w:t>
      </w:r>
    </w:p>
    <w:p w14:paraId="758925C0" w14:textId="77777777" w:rsidR="00730B71" w:rsidRPr="00730B71" w:rsidRDefault="00730B71" w:rsidP="00494962">
      <w:pPr>
        <w:rPr>
          <w:rFonts w:ascii="Cambria" w:hAnsi="Cambria"/>
          <w:color w:val="000000" w:themeColor="text1"/>
          <w:sz w:val="22"/>
          <w:szCs w:val="22"/>
        </w:rPr>
      </w:pPr>
    </w:p>
    <w:p w14:paraId="4AD52889" w14:textId="666496B5" w:rsidR="000F7F2A" w:rsidRDefault="008D1C85" w:rsidP="00494962">
      <w:pPr>
        <w:rPr>
          <w:rFonts w:ascii="Cambria" w:hAnsi="Cambria"/>
          <w:bCs/>
          <w:color w:val="000000" w:themeColor="text1"/>
          <w:sz w:val="22"/>
          <w:szCs w:val="22"/>
        </w:rPr>
      </w:pPr>
      <w:proofErr w:type="spellStart"/>
      <w:r>
        <w:rPr>
          <w:rFonts w:ascii="Cambria" w:hAnsi="Cambria"/>
          <w:bCs/>
          <w:color w:val="000000" w:themeColor="text1"/>
          <w:sz w:val="22"/>
          <w:szCs w:val="22"/>
        </w:rPr>
        <w:t>McGarry</w:t>
      </w:r>
      <w:proofErr w:type="spellEnd"/>
      <w:r>
        <w:rPr>
          <w:rFonts w:ascii="Cambria" w:hAnsi="Cambria"/>
          <w:bCs/>
          <w:color w:val="000000" w:themeColor="text1"/>
          <w:sz w:val="22"/>
          <w:szCs w:val="22"/>
        </w:rPr>
        <w:t>, J., and</w:t>
      </w:r>
      <w:r w:rsidR="00730B71" w:rsidRPr="00730B71">
        <w:rPr>
          <w:rFonts w:ascii="Cambria" w:hAnsi="Cambria"/>
          <w:bCs/>
          <w:color w:val="000000" w:themeColor="text1"/>
          <w:sz w:val="22"/>
          <w:szCs w:val="22"/>
        </w:rPr>
        <w:t xml:space="preserve"> O’Leary, B.</w:t>
      </w:r>
      <w:r w:rsidR="007F3CCD">
        <w:rPr>
          <w:rFonts w:ascii="Cambria" w:hAnsi="Cambria"/>
          <w:bCs/>
          <w:color w:val="000000" w:themeColor="text1"/>
          <w:sz w:val="22"/>
          <w:szCs w:val="22"/>
        </w:rPr>
        <w:t>,</w:t>
      </w:r>
      <w:r w:rsidR="00730B71" w:rsidRPr="00730B71">
        <w:rPr>
          <w:rFonts w:ascii="Cambria" w:hAnsi="Cambria"/>
          <w:bCs/>
          <w:color w:val="000000" w:themeColor="text1"/>
          <w:sz w:val="22"/>
          <w:szCs w:val="22"/>
        </w:rPr>
        <w:t xml:space="preserve"> (1995)</w:t>
      </w:r>
      <w:r w:rsidR="007F3CCD">
        <w:rPr>
          <w:rFonts w:ascii="Cambria" w:hAnsi="Cambria"/>
          <w:bCs/>
          <w:color w:val="000000" w:themeColor="text1"/>
          <w:sz w:val="22"/>
          <w:szCs w:val="22"/>
        </w:rPr>
        <w:t>.</w:t>
      </w:r>
      <w:r w:rsidR="00730B71" w:rsidRPr="00730B71">
        <w:rPr>
          <w:rFonts w:ascii="Cambria" w:hAnsi="Cambria"/>
          <w:bCs/>
          <w:color w:val="000000" w:themeColor="text1"/>
          <w:sz w:val="22"/>
          <w:szCs w:val="22"/>
        </w:rPr>
        <w:t xml:space="preserve"> </w:t>
      </w:r>
      <w:r w:rsidR="00730B71" w:rsidRPr="00730B71">
        <w:rPr>
          <w:rFonts w:ascii="Cambria" w:hAnsi="Cambria"/>
          <w:bCs/>
          <w:i/>
          <w:color w:val="000000" w:themeColor="text1"/>
          <w:sz w:val="22"/>
          <w:szCs w:val="22"/>
        </w:rPr>
        <w:t>Explaining Northern Ireland: Broken Images</w:t>
      </w:r>
      <w:r w:rsidR="007F3CCD">
        <w:rPr>
          <w:rFonts w:ascii="Cambria" w:hAnsi="Cambria"/>
          <w:bCs/>
          <w:i/>
          <w:color w:val="000000" w:themeColor="text1"/>
          <w:sz w:val="22"/>
          <w:szCs w:val="22"/>
        </w:rPr>
        <w:t xml:space="preserve">. </w:t>
      </w:r>
      <w:r w:rsidR="007F3CCD">
        <w:rPr>
          <w:rFonts w:ascii="Cambria" w:hAnsi="Cambria"/>
          <w:bCs/>
          <w:color w:val="000000" w:themeColor="text1"/>
          <w:sz w:val="22"/>
          <w:szCs w:val="22"/>
        </w:rPr>
        <w:t>Oxford: Blackwell</w:t>
      </w:r>
      <w:r w:rsidR="0049392F">
        <w:rPr>
          <w:rFonts w:ascii="Cambria" w:hAnsi="Cambria"/>
          <w:bCs/>
          <w:color w:val="000000" w:themeColor="text1"/>
          <w:sz w:val="22"/>
          <w:szCs w:val="22"/>
        </w:rPr>
        <w:t>.</w:t>
      </w:r>
    </w:p>
    <w:p w14:paraId="289AC685" w14:textId="77777777" w:rsidR="00730B71" w:rsidRPr="00730B71" w:rsidRDefault="00730B71" w:rsidP="00494962">
      <w:pPr>
        <w:rPr>
          <w:rFonts w:ascii="Cambria" w:hAnsi="Cambria"/>
          <w:bCs/>
          <w:color w:val="000000" w:themeColor="text1"/>
          <w:sz w:val="22"/>
          <w:szCs w:val="22"/>
        </w:rPr>
      </w:pPr>
    </w:p>
    <w:p w14:paraId="313E9F88" w14:textId="159E54EE" w:rsidR="00467B3C" w:rsidRPr="00A90D10" w:rsidRDefault="00D74B82" w:rsidP="00494962">
      <w:pPr>
        <w:pStyle w:val="Heading1"/>
        <w:spacing w:before="0" w:beforeAutospacing="0" w:after="75" w:afterAutospacing="0"/>
        <w:rPr>
          <w:rFonts w:ascii="Cambria" w:hAnsi="Cambria"/>
          <w:b w:val="0"/>
          <w:bCs w:val="0"/>
          <w:color w:val="000000"/>
          <w:sz w:val="22"/>
          <w:szCs w:val="22"/>
        </w:rPr>
      </w:pPr>
      <w:r>
        <w:rPr>
          <w:rFonts w:ascii="Cambria" w:hAnsi="Cambria"/>
          <w:b w:val="0"/>
          <w:sz w:val="22"/>
          <w:szCs w:val="22"/>
        </w:rPr>
        <w:t xml:space="preserve">McKay, S., </w:t>
      </w:r>
      <w:r w:rsidR="00467B3C" w:rsidRPr="00A90D10">
        <w:rPr>
          <w:rFonts w:ascii="Cambria" w:hAnsi="Cambria"/>
          <w:b w:val="0"/>
          <w:sz w:val="22"/>
          <w:szCs w:val="22"/>
        </w:rPr>
        <w:t>(2018)</w:t>
      </w:r>
      <w:r w:rsidR="007F3CCD">
        <w:rPr>
          <w:rFonts w:ascii="Cambria" w:hAnsi="Cambria"/>
          <w:b w:val="0"/>
          <w:sz w:val="22"/>
          <w:szCs w:val="22"/>
        </w:rPr>
        <w:t>.</w:t>
      </w:r>
      <w:r w:rsidR="00467B3C" w:rsidRPr="00A90D10">
        <w:rPr>
          <w:rFonts w:ascii="Cambria" w:hAnsi="Cambria"/>
          <w:b w:val="0"/>
          <w:sz w:val="22"/>
          <w:szCs w:val="22"/>
        </w:rPr>
        <w:t xml:space="preserve"> </w:t>
      </w:r>
      <w:r>
        <w:rPr>
          <w:rFonts w:ascii="Cambria" w:hAnsi="Cambria"/>
          <w:b w:val="0"/>
          <w:sz w:val="22"/>
          <w:szCs w:val="22"/>
        </w:rPr>
        <w:t>‘</w:t>
      </w:r>
      <w:r w:rsidR="00467B3C" w:rsidRPr="00A90D10">
        <w:rPr>
          <w:rFonts w:ascii="Cambria" w:hAnsi="Cambria"/>
          <w:b w:val="0"/>
          <w:bCs w:val="0"/>
          <w:color w:val="000000"/>
          <w:sz w:val="22"/>
          <w:szCs w:val="22"/>
        </w:rPr>
        <w:t>After the Belfast rape trial, the city needs its rape crisis centre back</w:t>
      </w:r>
      <w:r>
        <w:rPr>
          <w:rFonts w:ascii="Cambria" w:hAnsi="Cambria"/>
          <w:b w:val="0"/>
          <w:bCs w:val="0"/>
          <w:color w:val="000000"/>
          <w:sz w:val="22"/>
          <w:szCs w:val="22"/>
        </w:rPr>
        <w:t>’.</w:t>
      </w:r>
      <w:r w:rsidR="000E63D7" w:rsidRPr="00A90D10">
        <w:rPr>
          <w:rFonts w:ascii="Cambria" w:hAnsi="Cambria"/>
          <w:b w:val="0"/>
          <w:bCs w:val="0"/>
          <w:color w:val="000000"/>
          <w:sz w:val="22"/>
          <w:szCs w:val="22"/>
        </w:rPr>
        <w:t xml:space="preserve"> </w:t>
      </w:r>
      <w:r w:rsidR="000E63D7" w:rsidRPr="00A90D10">
        <w:rPr>
          <w:rFonts w:ascii="Cambria" w:hAnsi="Cambria"/>
          <w:b w:val="0"/>
          <w:bCs w:val="0"/>
          <w:i/>
          <w:color w:val="000000"/>
          <w:sz w:val="22"/>
          <w:szCs w:val="22"/>
        </w:rPr>
        <w:t>The Irish Times</w:t>
      </w:r>
      <w:r w:rsidR="000E63D7" w:rsidRPr="00A90D10">
        <w:rPr>
          <w:rFonts w:ascii="Cambria" w:hAnsi="Cambria"/>
          <w:b w:val="0"/>
          <w:bCs w:val="0"/>
          <w:color w:val="000000"/>
          <w:sz w:val="22"/>
          <w:szCs w:val="22"/>
        </w:rPr>
        <w:t xml:space="preserve">, </w:t>
      </w:r>
      <w:r>
        <w:rPr>
          <w:rFonts w:ascii="Cambria" w:hAnsi="Cambria"/>
          <w:b w:val="0"/>
          <w:bCs w:val="0"/>
          <w:color w:val="000000"/>
          <w:sz w:val="22"/>
          <w:szCs w:val="22"/>
        </w:rPr>
        <w:t>Available at:</w:t>
      </w:r>
      <w:r w:rsidR="000E63D7" w:rsidRPr="00A90D10">
        <w:rPr>
          <w:rFonts w:ascii="Cambria" w:hAnsi="Cambria"/>
          <w:b w:val="0"/>
          <w:bCs w:val="0"/>
          <w:color w:val="000000"/>
          <w:sz w:val="22"/>
          <w:szCs w:val="22"/>
        </w:rPr>
        <w:t xml:space="preserve"> </w:t>
      </w:r>
      <w:hyperlink r:id="rId20" w:history="1">
        <w:r w:rsidR="000E63D7" w:rsidRPr="00A90D10">
          <w:rPr>
            <w:rStyle w:val="Hyperlink"/>
            <w:rFonts w:ascii="Cambria" w:hAnsi="Cambria"/>
            <w:b w:val="0"/>
            <w:bCs w:val="0"/>
            <w:sz w:val="22"/>
            <w:szCs w:val="22"/>
          </w:rPr>
          <w:t>https://www.irishtimes.com/opinion/after-the-belfast-rape-trial-the-city-needs-its-rape-crisis-centre-back-1.3460804</w:t>
        </w:r>
      </w:hyperlink>
      <w:r w:rsidR="000E63D7" w:rsidRPr="00A90D10">
        <w:rPr>
          <w:rFonts w:ascii="Cambria" w:hAnsi="Cambria"/>
          <w:b w:val="0"/>
          <w:bCs w:val="0"/>
          <w:color w:val="000000"/>
          <w:sz w:val="22"/>
          <w:szCs w:val="22"/>
        </w:rPr>
        <w:t xml:space="preserve"> </w:t>
      </w:r>
      <w:r>
        <w:rPr>
          <w:rFonts w:ascii="Cambria" w:hAnsi="Cambria"/>
          <w:b w:val="0"/>
          <w:bCs w:val="0"/>
          <w:color w:val="000000"/>
          <w:sz w:val="22"/>
          <w:szCs w:val="22"/>
        </w:rPr>
        <w:t>[</w:t>
      </w:r>
      <w:r w:rsidR="000E63D7" w:rsidRPr="00A90D10">
        <w:rPr>
          <w:rFonts w:ascii="Cambria" w:hAnsi="Cambria"/>
          <w:b w:val="0"/>
          <w:bCs w:val="0"/>
          <w:color w:val="000000"/>
          <w:sz w:val="22"/>
          <w:szCs w:val="22"/>
        </w:rPr>
        <w:t xml:space="preserve">Accessed </w:t>
      </w:r>
      <w:r w:rsidR="008D1C85">
        <w:rPr>
          <w:rFonts w:ascii="Cambria" w:hAnsi="Cambria"/>
          <w:b w:val="0"/>
          <w:bCs w:val="0"/>
          <w:color w:val="000000"/>
          <w:sz w:val="22"/>
          <w:szCs w:val="22"/>
        </w:rPr>
        <w:t xml:space="preserve">1 May </w:t>
      </w:r>
      <w:r w:rsidR="00DA7A35" w:rsidRPr="00A90D10">
        <w:rPr>
          <w:rFonts w:ascii="Cambria" w:hAnsi="Cambria"/>
          <w:b w:val="0"/>
          <w:bCs w:val="0"/>
          <w:color w:val="000000"/>
          <w:sz w:val="22"/>
          <w:szCs w:val="22"/>
        </w:rPr>
        <w:t>2018</w:t>
      </w:r>
      <w:r>
        <w:rPr>
          <w:rFonts w:ascii="Cambria" w:hAnsi="Cambria"/>
          <w:b w:val="0"/>
          <w:bCs w:val="0"/>
          <w:color w:val="000000"/>
          <w:sz w:val="22"/>
          <w:szCs w:val="22"/>
        </w:rPr>
        <w:t>]</w:t>
      </w:r>
      <w:r w:rsidR="0049392F">
        <w:rPr>
          <w:rFonts w:ascii="Cambria" w:hAnsi="Cambria"/>
          <w:b w:val="0"/>
          <w:bCs w:val="0"/>
          <w:color w:val="000000"/>
          <w:sz w:val="22"/>
          <w:szCs w:val="22"/>
        </w:rPr>
        <w:t>.</w:t>
      </w:r>
    </w:p>
    <w:p w14:paraId="43D03C92" w14:textId="77777777" w:rsidR="000E63D7" w:rsidRPr="00A90D10" w:rsidRDefault="000E63D7" w:rsidP="00494962">
      <w:pPr>
        <w:autoSpaceDE w:val="0"/>
        <w:autoSpaceDN w:val="0"/>
        <w:adjustRightInd w:val="0"/>
        <w:rPr>
          <w:rFonts w:ascii="Cambria" w:eastAsiaTheme="minorEastAsia" w:hAnsi="Cambria"/>
          <w:sz w:val="22"/>
          <w:szCs w:val="22"/>
        </w:rPr>
      </w:pPr>
    </w:p>
    <w:p w14:paraId="6E80DC45" w14:textId="096689BF" w:rsidR="000F7F2A" w:rsidRPr="00A90D10" w:rsidRDefault="000F7F2A" w:rsidP="00494962">
      <w:pPr>
        <w:autoSpaceDE w:val="0"/>
        <w:autoSpaceDN w:val="0"/>
        <w:adjustRightInd w:val="0"/>
        <w:rPr>
          <w:rFonts w:ascii="Cambria" w:hAnsi="Cambria"/>
          <w:color w:val="000000"/>
          <w:sz w:val="22"/>
          <w:szCs w:val="22"/>
        </w:rPr>
      </w:pPr>
      <w:r w:rsidRPr="00A90D10">
        <w:rPr>
          <w:rFonts w:ascii="Cambria" w:hAnsi="Cambria"/>
          <w:sz w:val="22"/>
          <w:szCs w:val="22"/>
        </w:rPr>
        <w:t xml:space="preserve">Miller, B., </w:t>
      </w:r>
      <w:proofErr w:type="spellStart"/>
      <w:r w:rsidRPr="00A90D10">
        <w:rPr>
          <w:rFonts w:ascii="Cambria" w:hAnsi="Cambria"/>
          <w:sz w:val="22"/>
          <w:szCs w:val="22"/>
        </w:rPr>
        <w:t>Pournik</w:t>
      </w:r>
      <w:proofErr w:type="spellEnd"/>
      <w:r w:rsidRPr="00A90D10">
        <w:rPr>
          <w:rFonts w:ascii="Cambria" w:hAnsi="Cambria"/>
          <w:sz w:val="22"/>
          <w:szCs w:val="22"/>
        </w:rPr>
        <w:t>, M.</w:t>
      </w:r>
      <w:r w:rsidR="00D74B82">
        <w:rPr>
          <w:rFonts w:ascii="Cambria" w:hAnsi="Cambria"/>
          <w:sz w:val="22"/>
          <w:szCs w:val="22"/>
        </w:rPr>
        <w:t>,</w:t>
      </w:r>
      <w:r w:rsidRPr="00A90D10">
        <w:rPr>
          <w:rFonts w:ascii="Cambria" w:hAnsi="Cambria"/>
          <w:sz w:val="22"/>
          <w:szCs w:val="22"/>
        </w:rPr>
        <w:t xml:space="preserve"> </w:t>
      </w:r>
      <w:r w:rsidR="000E381B" w:rsidRPr="00A90D10">
        <w:rPr>
          <w:rFonts w:ascii="Cambria" w:hAnsi="Cambria"/>
          <w:sz w:val="22"/>
          <w:szCs w:val="22"/>
        </w:rPr>
        <w:t>and</w:t>
      </w:r>
      <w:r w:rsidRPr="00A90D10">
        <w:rPr>
          <w:rFonts w:ascii="Cambria" w:hAnsi="Cambria"/>
          <w:sz w:val="22"/>
          <w:szCs w:val="22"/>
        </w:rPr>
        <w:t xml:space="preserve"> Swaine, A.</w:t>
      </w:r>
      <w:r w:rsidR="00D74B82">
        <w:rPr>
          <w:rFonts w:ascii="Cambria" w:hAnsi="Cambria"/>
          <w:sz w:val="22"/>
          <w:szCs w:val="22"/>
        </w:rPr>
        <w:t>,</w:t>
      </w:r>
      <w:r w:rsidRPr="00A90D10">
        <w:rPr>
          <w:rFonts w:ascii="Cambria" w:hAnsi="Cambria"/>
          <w:sz w:val="22"/>
          <w:szCs w:val="22"/>
        </w:rPr>
        <w:t xml:space="preserve"> (2014)</w:t>
      </w:r>
      <w:r w:rsidR="00D74B82">
        <w:rPr>
          <w:rFonts w:ascii="Cambria" w:hAnsi="Cambria"/>
          <w:sz w:val="22"/>
          <w:szCs w:val="22"/>
        </w:rPr>
        <w:t>.</w:t>
      </w:r>
      <w:r w:rsidRPr="00A90D10">
        <w:rPr>
          <w:rFonts w:ascii="Cambria" w:hAnsi="Cambria"/>
          <w:sz w:val="22"/>
          <w:szCs w:val="22"/>
        </w:rPr>
        <w:t xml:space="preserve"> ‘</w:t>
      </w:r>
      <w:r w:rsidRPr="00A90D10">
        <w:rPr>
          <w:rFonts w:ascii="Cambria" w:hAnsi="Cambria"/>
          <w:color w:val="000000"/>
          <w:sz w:val="22"/>
          <w:szCs w:val="22"/>
        </w:rPr>
        <w:t>Women in Peace and Security through United Nations Security Resolution 1325: Literature Review, Content Analysis of National Acti</w:t>
      </w:r>
      <w:r w:rsidR="00D74B82">
        <w:rPr>
          <w:rFonts w:ascii="Cambria" w:hAnsi="Cambria"/>
          <w:color w:val="000000"/>
          <w:sz w:val="22"/>
          <w:szCs w:val="22"/>
        </w:rPr>
        <w:t xml:space="preserve">on Plans, and Implementation’. </w:t>
      </w:r>
      <w:r w:rsidR="007F3CCD">
        <w:rPr>
          <w:rFonts w:ascii="Cambria" w:hAnsi="Cambria"/>
          <w:color w:val="000000"/>
          <w:sz w:val="22"/>
          <w:szCs w:val="22"/>
        </w:rPr>
        <w:t xml:space="preserve"> </w:t>
      </w:r>
      <w:r w:rsidR="007F3CCD" w:rsidRPr="007F3CCD">
        <w:rPr>
          <w:rFonts w:ascii="Cambria" w:hAnsi="Cambria"/>
          <w:i/>
          <w:color w:val="000000"/>
          <w:sz w:val="22"/>
          <w:szCs w:val="22"/>
        </w:rPr>
        <w:t>Institute for Global and International Studies W</w:t>
      </w:r>
      <w:r w:rsidR="007F3CCD">
        <w:rPr>
          <w:rFonts w:ascii="Cambria" w:hAnsi="Cambria"/>
          <w:i/>
          <w:color w:val="000000"/>
          <w:sz w:val="22"/>
          <w:szCs w:val="22"/>
        </w:rPr>
        <w:t xml:space="preserve">orking </w:t>
      </w:r>
      <w:r w:rsidR="007F3CCD" w:rsidRPr="007F3CCD">
        <w:rPr>
          <w:rFonts w:ascii="Cambria" w:hAnsi="Cambria"/>
          <w:i/>
          <w:color w:val="000000"/>
          <w:sz w:val="22"/>
          <w:szCs w:val="22"/>
        </w:rPr>
        <w:t>P</w:t>
      </w:r>
      <w:r w:rsidR="007F3CCD">
        <w:rPr>
          <w:rFonts w:ascii="Cambria" w:hAnsi="Cambria"/>
          <w:i/>
          <w:color w:val="000000"/>
          <w:sz w:val="22"/>
          <w:szCs w:val="22"/>
        </w:rPr>
        <w:t>aper</w:t>
      </w:r>
      <w:r w:rsidR="007F3CCD">
        <w:rPr>
          <w:rFonts w:ascii="Cambria" w:hAnsi="Cambria"/>
          <w:color w:val="000000"/>
          <w:sz w:val="22"/>
          <w:szCs w:val="22"/>
        </w:rPr>
        <w:t xml:space="preserve"> 13/09. </w:t>
      </w:r>
      <w:r w:rsidR="00D74B82">
        <w:rPr>
          <w:rFonts w:ascii="Cambria" w:hAnsi="Cambria"/>
          <w:color w:val="000000"/>
          <w:sz w:val="22"/>
          <w:szCs w:val="22"/>
        </w:rPr>
        <w:t>Washington: I</w:t>
      </w:r>
      <w:r w:rsidRPr="00A90D10">
        <w:rPr>
          <w:rFonts w:ascii="Cambria" w:hAnsi="Cambria"/>
          <w:color w:val="000000"/>
          <w:sz w:val="22"/>
          <w:szCs w:val="22"/>
        </w:rPr>
        <w:t>nstitute for Global and Inter</w:t>
      </w:r>
      <w:r w:rsidR="00D74B82">
        <w:rPr>
          <w:rFonts w:ascii="Cambria" w:hAnsi="Cambria"/>
          <w:color w:val="000000"/>
          <w:sz w:val="22"/>
          <w:szCs w:val="22"/>
        </w:rPr>
        <w:t>national Studies</w:t>
      </w:r>
      <w:r w:rsidR="0049392F">
        <w:rPr>
          <w:rFonts w:ascii="Cambria" w:hAnsi="Cambria"/>
          <w:color w:val="000000"/>
          <w:sz w:val="22"/>
          <w:szCs w:val="22"/>
        </w:rPr>
        <w:t>.</w:t>
      </w:r>
      <w:r w:rsidR="00D74B82">
        <w:rPr>
          <w:rFonts w:ascii="Cambria" w:hAnsi="Cambria"/>
          <w:color w:val="000000"/>
          <w:sz w:val="22"/>
          <w:szCs w:val="22"/>
        </w:rPr>
        <w:t xml:space="preserve"> </w:t>
      </w:r>
    </w:p>
    <w:p w14:paraId="19EAF2E1" w14:textId="77777777" w:rsidR="0090342D" w:rsidRPr="00A90D10" w:rsidRDefault="0090342D" w:rsidP="00494962">
      <w:pPr>
        <w:autoSpaceDE w:val="0"/>
        <w:autoSpaceDN w:val="0"/>
        <w:adjustRightInd w:val="0"/>
        <w:rPr>
          <w:rFonts w:ascii="Cambria" w:hAnsi="Cambria"/>
          <w:color w:val="000000"/>
          <w:sz w:val="22"/>
          <w:szCs w:val="22"/>
        </w:rPr>
      </w:pPr>
    </w:p>
    <w:p w14:paraId="45B7E78E" w14:textId="666DD1AE" w:rsidR="000F7F2A" w:rsidRPr="00B20C4D" w:rsidRDefault="0090342D" w:rsidP="00494962">
      <w:pPr>
        <w:rPr>
          <w:rFonts w:ascii="Cambria" w:eastAsia="Times New Roman" w:hAnsi="Cambria"/>
          <w:sz w:val="22"/>
          <w:szCs w:val="22"/>
          <w:shd w:val="clear" w:color="auto" w:fill="FFFFFF"/>
        </w:rPr>
      </w:pPr>
      <w:proofErr w:type="spellStart"/>
      <w:r w:rsidRPr="00B20C4D">
        <w:rPr>
          <w:rFonts w:ascii="Cambria" w:hAnsi="Cambria"/>
          <w:sz w:val="22"/>
          <w:szCs w:val="22"/>
        </w:rPr>
        <w:lastRenderedPageBreak/>
        <w:t>Murtagh</w:t>
      </w:r>
      <w:proofErr w:type="spellEnd"/>
      <w:r w:rsidRPr="00B20C4D">
        <w:rPr>
          <w:rFonts w:ascii="Cambria" w:hAnsi="Cambria"/>
          <w:sz w:val="22"/>
          <w:szCs w:val="22"/>
        </w:rPr>
        <w:t>, C.</w:t>
      </w:r>
      <w:r w:rsidR="00D74B82" w:rsidRPr="00B20C4D">
        <w:rPr>
          <w:rFonts w:ascii="Cambria" w:eastAsia="Times New Roman" w:hAnsi="Cambria"/>
          <w:sz w:val="22"/>
          <w:szCs w:val="22"/>
          <w:shd w:val="clear" w:color="auto" w:fill="FFFFFF"/>
        </w:rPr>
        <w:t>, (2008).</w:t>
      </w:r>
      <w:r w:rsidR="00341ED3" w:rsidRPr="00B20C4D">
        <w:rPr>
          <w:rFonts w:ascii="Cambria" w:eastAsia="Times New Roman" w:hAnsi="Cambria"/>
          <w:sz w:val="22"/>
          <w:szCs w:val="22"/>
          <w:shd w:val="clear" w:color="auto" w:fill="FFFFFF"/>
        </w:rPr>
        <w:t xml:space="preserve"> ‘A Transient Transition: The Cultural and Institutional Obstacles Impeding the Northern Ireland Women’s Coalition in its Progression f</w:t>
      </w:r>
      <w:r w:rsidR="00361AFE">
        <w:rPr>
          <w:rFonts w:ascii="Cambria" w:eastAsia="Times New Roman" w:hAnsi="Cambria"/>
          <w:sz w:val="22"/>
          <w:szCs w:val="22"/>
          <w:shd w:val="clear" w:color="auto" w:fill="FFFFFF"/>
        </w:rPr>
        <w:t>rom Informal to Formal Politics</w:t>
      </w:r>
      <w:r w:rsidR="00341ED3" w:rsidRPr="00B20C4D">
        <w:rPr>
          <w:rFonts w:ascii="Cambria" w:eastAsia="Times New Roman" w:hAnsi="Cambria"/>
          <w:sz w:val="22"/>
          <w:szCs w:val="22"/>
          <w:shd w:val="clear" w:color="auto" w:fill="FFFFFF"/>
        </w:rPr>
        <w:t>’</w:t>
      </w:r>
      <w:r w:rsidR="00361AFE">
        <w:rPr>
          <w:rFonts w:ascii="Cambria" w:eastAsia="Times New Roman" w:hAnsi="Cambria"/>
          <w:sz w:val="22"/>
          <w:szCs w:val="22"/>
          <w:shd w:val="clear" w:color="auto" w:fill="FFFFFF"/>
        </w:rPr>
        <w:t>.</w:t>
      </w:r>
      <w:r w:rsidR="00341ED3" w:rsidRPr="00B20C4D">
        <w:rPr>
          <w:rFonts w:ascii="Cambria" w:eastAsia="Times New Roman" w:hAnsi="Cambria"/>
          <w:sz w:val="22"/>
          <w:szCs w:val="22"/>
          <w:shd w:val="clear" w:color="auto" w:fill="FFFFFF"/>
        </w:rPr>
        <w:t xml:space="preserve"> </w:t>
      </w:r>
      <w:r w:rsidR="00341ED3" w:rsidRPr="00B20C4D">
        <w:rPr>
          <w:rFonts w:ascii="Cambria" w:eastAsia="Times New Roman" w:hAnsi="Cambria"/>
          <w:i/>
          <w:sz w:val="22"/>
          <w:szCs w:val="22"/>
          <w:shd w:val="clear" w:color="auto" w:fill="FFFFFF"/>
        </w:rPr>
        <w:t>Irish Political Studies</w:t>
      </w:r>
      <w:r w:rsidR="00361AFE">
        <w:rPr>
          <w:rFonts w:ascii="Cambria" w:eastAsia="Times New Roman" w:hAnsi="Cambria"/>
          <w:sz w:val="22"/>
          <w:szCs w:val="22"/>
          <w:shd w:val="clear" w:color="auto" w:fill="FFFFFF"/>
        </w:rPr>
        <w:t xml:space="preserve"> </w:t>
      </w:r>
      <w:r w:rsidR="00D74B82" w:rsidRPr="00B20C4D">
        <w:rPr>
          <w:rFonts w:ascii="Cambria" w:eastAsia="Times New Roman" w:hAnsi="Cambria"/>
          <w:sz w:val="22"/>
          <w:szCs w:val="22"/>
          <w:shd w:val="clear" w:color="auto" w:fill="FFFFFF"/>
        </w:rPr>
        <w:t>23</w:t>
      </w:r>
      <w:r w:rsidR="00361AFE">
        <w:rPr>
          <w:rFonts w:ascii="Cambria" w:eastAsia="Times New Roman" w:hAnsi="Cambria"/>
          <w:sz w:val="22"/>
          <w:szCs w:val="22"/>
          <w:shd w:val="clear" w:color="auto" w:fill="FFFFFF"/>
        </w:rPr>
        <w:t>(1):</w:t>
      </w:r>
      <w:r w:rsidR="0049392F">
        <w:rPr>
          <w:rFonts w:ascii="Cambria" w:eastAsia="Times New Roman" w:hAnsi="Cambria"/>
          <w:sz w:val="22"/>
          <w:szCs w:val="22"/>
          <w:shd w:val="clear" w:color="auto" w:fill="FFFFFF"/>
        </w:rPr>
        <w:t xml:space="preserve"> </w:t>
      </w:r>
      <w:r w:rsidR="00D74B82" w:rsidRPr="00B20C4D">
        <w:rPr>
          <w:rFonts w:ascii="Cambria" w:eastAsia="Times New Roman" w:hAnsi="Cambria"/>
          <w:sz w:val="22"/>
          <w:szCs w:val="22"/>
          <w:shd w:val="clear" w:color="auto" w:fill="FFFFFF"/>
        </w:rPr>
        <w:t>21-40</w:t>
      </w:r>
      <w:r w:rsidR="0049392F">
        <w:rPr>
          <w:rFonts w:ascii="Cambria" w:eastAsia="Times New Roman" w:hAnsi="Cambria"/>
          <w:sz w:val="22"/>
          <w:szCs w:val="22"/>
          <w:shd w:val="clear" w:color="auto" w:fill="FFFFFF"/>
        </w:rPr>
        <w:t>.</w:t>
      </w:r>
    </w:p>
    <w:p w14:paraId="5BA60AA9" w14:textId="77777777" w:rsidR="00D74B82" w:rsidRPr="00B20C4D" w:rsidRDefault="00D74B82" w:rsidP="00494962">
      <w:pPr>
        <w:rPr>
          <w:rFonts w:ascii="Cambria" w:eastAsia="Times New Roman" w:hAnsi="Cambria"/>
          <w:sz w:val="22"/>
          <w:szCs w:val="22"/>
        </w:rPr>
      </w:pPr>
    </w:p>
    <w:p w14:paraId="2A63D0C5" w14:textId="55A6441E" w:rsidR="000F7F2A" w:rsidRDefault="00CB6992" w:rsidP="00BF1B21">
      <w:pPr>
        <w:pStyle w:val="NormalWeb"/>
        <w:spacing w:before="0" w:beforeAutospacing="0" w:after="0" w:afterAutospacing="0"/>
        <w:rPr>
          <w:rFonts w:ascii="Cambria" w:hAnsi="Cambria"/>
          <w:sz w:val="22"/>
          <w:szCs w:val="22"/>
        </w:rPr>
      </w:pPr>
      <w:r w:rsidRPr="00B20C4D">
        <w:rPr>
          <w:rFonts w:ascii="Cambria" w:hAnsi="Cambria"/>
          <w:sz w:val="22"/>
          <w:szCs w:val="22"/>
        </w:rPr>
        <w:t xml:space="preserve">Nagle, J., (2016a). </w:t>
      </w:r>
      <w:r w:rsidR="000F7F2A" w:rsidRPr="00B20C4D">
        <w:rPr>
          <w:rFonts w:ascii="Cambria" w:hAnsi="Cambria"/>
          <w:i/>
          <w:sz w:val="22"/>
          <w:szCs w:val="22"/>
        </w:rPr>
        <w:t>Social Movements in Violently Divided Societies: Constructing Conflict and Peacebuilding</w:t>
      </w:r>
      <w:r w:rsidR="00BF1B21">
        <w:rPr>
          <w:rFonts w:ascii="Cambria" w:hAnsi="Cambria"/>
          <w:sz w:val="22"/>
          <w:szCs w:val="22"/>
        </w:rPr>
        <w:t xml:space="preserve">. </w:t>
      </w:r>
      <w:r w:rsidR="00F029EA">
        <w:rPr>
          <w:rFonts w:ascii="Cambria" w:hAnsi="Cambria"/>
          <w:sz w:val="22"/>
          <w:szCs w:val="22"/>
        </w:rPr>
        <w:t>Abingdon</w:t>
      </w:r>
      <w:r w:rsidR="003B7953" w:rsidRPr="001F6CEC">
        <w:rPr>
          <w:rFonts w:ascii="Cambria" w:hAnsi="Cambria"/>
          <w:sz w:val="22"/>
          <w:szCs w:val="22"/>
        </w:rPr>
        <w:t>: Routledge</w:t>
      </w:r>
      <w:r w:rsidRPr="001F6CEC">
        <w:rPr>
          <w:rFonts w:ascii="Cambria" w:hAnsi="Cambria"/>
          <w:sz w:val="22"/>
          <w:szCs w:val="22"/>
        </w:rPr>
        <w:t>.</w:t>
      </w:r>
    </w:p>
    <w:p w14:paraId="65A25E16" w14:textId="77777777" w:rsidR="00BF1B21" w:rsidRPr="001F6CEC" w:rsidRDefault="00BF1B21" w:rsidP="00BF1B21">
      <w:pPr>
        <w:pStyle w:val="NormalWeb"/>
        <w:spacing w:before="0" w:beforeAutospacing="0" w:after="0" w:afterAutospacing="0"/>
        <w:rPr>
          <w:rFonts w:ascii="Cambria" w:hAnsi="Cambria"/>
          <w:sz w:val="22"/>
          <w:szCs w:val="22"/>
        </w:rPr>
      </w:pPr>
    </w:p>
    <w:p w14:paraId="524CDF4C" w14:textId="67773F19" w:rsidR="000F7F2A" w:rsidRDefault="00CB6992" w:rsidP="00BF1B21">
      <w:pPr>
        <w:autoSpaceDE w:val="0"/>
        <w:autoSpaceDN w:val="0"/>
        <w:adjustRightInd w:val="0"/>
        <w:rPr>
          <w:rFonts w:ascii="Cambria" w:hAnsi="Cambria"/>
          <w:sz w:val="22"/>
          <w:szCs w:val="22"/>
          <w:shd w:val="clear" w:color="auto" w:fill="FFFFFF"/>
        </w:rPr>
      </w:pPr>
      <w:r w:rsidRPr="001F6CEC">
        <w:rPr>
          <w:rFonts w:ascii="Cambria" w:hAnsi="Cambria"/>
          <w:sz w:val="22"/>
          <w:szCs w:val="22"/>
          <w:shd w:val="clear" w:color="auto" w:fill="FFFFFF"/>
        </w:rPr>
        <w:t xml:space="preserve">Nagle, J., </w:t>
      </w:r>
      <w:r w:rsidR="000F7F2A" w:rsidRPr="001F6CEC">
        <w:rPr>
          <w:rFonts w:ascii="Cambria" w:hAnsi="Cambria"/>
          <w:sz w:val="22"/>
          <w:szCs w:val="22"/>
          <w:shd w:val="clear" w:color="auto" w:fill="FFFFFF"/>
        </w:rPr>
        <w:t>(2016b)</w:t>
      </w:r>
      <w:r w:rsidRPr="001F6CEC">
        <w:rPr>
          <w:rFonts w:ascii="Cambria" w:hAnsi="Cambria"/>
          <w:sz w:val="22"/>
          <w:szCs w:val="22"/>
          <w:shd w:val="clear" w:color="auto" w:fill="FFFFFF"/>
        </w:rPr>
        <w:t>.</w:t>
      </w:r>
      <w:r w:rsidR="000F7F2A" w:rsidRPr="001F6CEC">
        <w:rPr>
          <w:rFonts w:ascii="Cambria" w:hAnsi="Cambria"/>
          <w:sz w:val="22"/>
          <w:szCs w:val="22"/>
          <w:shd w:val="clear" w:color="auto" w:fill="FFFFFF"/>
        </w:rPr>
        <w:t xml:space="preserve"> 'What are the Consequences of </w:t>
      </w:r>
      <w:proofErr w:type="spellStart"/>
      <w:r w:rsidR="000F7F2A" w:rsidRPr="001F6CEC">
        <w:rPr>
          <w:rFonts w:ascii="Cambria" w:hAnsi="Cambria"/>
          <w:sz w:val="22"/>
          <w:szCs w:val="22"/>
          <w:shd w:val="clear" w:color="auto" w:fill="FFFFFF"/>
        </w:rPr>
        <w:t>Consocia</w:t>
      </w:r>
      <w:r w:rsidR="0072344E">
        <w:rPr>
          <w:rFonts w:ascii="Cambria" w:hAnsi="Cambria"/>
          <w:sz w:val="22"/>
          <w:szCs w:val="22"/>
          <w:shd w:val="clear" w:color="auto" w:fill="FFFFFF"/>
        </w:rPr>
        <w:t>tionalism</w:t>
      </w:r>
      <w:proofErr w:type="spellEnd"/>
      <w:r w:rsidR="0072344E">
        <w:rPr>
          <w:rFonts w:ascii="Cambria" w:hAnsi="Cambria"/>
          <w:sz w:val="22"/>
          <w:szCs w:val="22"/>
          <w:shd w:val="clear" w:color="auto" w:fill="FFFFFF"/>
        </w:rPr>
        <w:t xml:space="preserve"> for Sexual Minorities?</w:t>
      </w:r>
      <w:r w:rsidR="0011583A">
        <w:rPr>
          <w:rFonts w:ascii="Cambria" w:hAnsi="Cambria"/>
          <w:sz w:val="22"/>
          <w:szCs w:val="22"/>
          <w:shd w:val="clear" w:color="auto" w:fill="FFFFFF"/>
        </w:rPr>
        <w:t xml:space="preserve"> </w:t>
      </w:r>
      <w:r w:rsidR="000F7F2A" w:rsidRPr="001F6CEC">
        <w:rPr>
          <w:rFonts w:ascii="Cambria" w:hAnsi="Cambria"/>
          <w:sz w:val="22"/>
          <w:szCs w:val="22"/>
          <w:shd w:val="clear" w:color="auto" w:fill="FFFFFF"/>
        </w:rPr>
        <w:t xml:space="preserve">An Analysis of Liberal and Corporate </w:t>
      </w:r>
      <w:proofErr w:type="spellStart"/>
      <w:r w:rsidR="000F7F2A" w:rsidRPr="001F6CEC">
        <w:rPr>
          <w:rFonts w:ascii="Cambria" w:hAnsi="Cambria"/>
          <w:sz w:val="22"/>
          <w:szCs w:val="22"/>
          <w:shd w:val="clear" w:color="auto" w:fill="FFFFFF"/>
        </w:rPr>
        <w:t>Consociationalism</w:t>
      </w:r>
      <w:proofErr w:type="spellEnd"/>
      <w:r w:rsidR="000F7F2A" w:rsidRPr="001F6CEC">
        <w:rPr>
          <w:rFonts w:ascii="Cambria" w:hAnsi="Cambria"/>
          <w:sz w:val="22"/>
          <w:szCs w:val="22"/>
          <w:shd w:val="clear" w:color="auto" w:fill="FFFFFF"/>
        </w:rPr>
        <w:t xml:space="preserve"> and Sexual Minorities in</w:t>
      </w:r>
      <w:r w:rsidR="0011583A">
        <w:rPr>
          <w:rFonts w:ascii="Cambria" w:hAnsi="Cambria"/>
          <w:sz w:val="22"/>
          <w:szCs w:val="22"/>
          <w:shd w:val="clear" w:color="auto" w:fill="FFFFFF"/>
        </w:rPr>
        <w:t xml:space="preserve"> Northern Ireland and Lebanon’</w:t>
      </w:r>
      <w:r w:rsidRPr="001F6CEC">
        <w:rPr>
          <w:rFonts w:ascii="Cambria" w:hAnsi="Cambria"/>
          <w:sz w:val="22"/>
          <w:szCs w:val="22"/>
          <w:shd w:val="clear" w:color="auto" w:fill="FFFFFF"/>
        </w:rPr>
        <w:t xml:space="preserve">. </w:t>
      </w:r>
      <w:r w:rsidR="000F7F2A" w:rsidRPr="001F6CEC">
        <w:rPr>
          <w:rStyle w:val="Emphasis"/>
          <w:rFonts w:ascii="Cambria" w:hAnsi="Cambria"/>
          <w:sz w:val="22"/>
          <w:szCs w:val="22"/>
          <w:shd w:val="clear" w:color="auto" w:fill="FFFFFF"/>
        </w:rPr>
        <w:t>Political Studies</w:t>
      </w:r>
      <w:r w:rsidR="00F029EA">
        <w:rPr>
          <w:rFonts w:ascii="Cambria" w:hAnsi="Cambria"/>
          <w:sz w:val="22"/>
          <w:szCs w:val="22"/>
          <w:shd w:val="clear" w:color="auto" w:fill="FFFFFF"/>
        </w:rPr>
        <w:t xml:space="preserve"> 64</w:t>
      </w:r>
      <w:r w:rsidR="009F6E9B">
        <w:rPr>
          <w:rFonts w:ascii="Cambria" w:hAnsi="Cambria"/>
          <w:sz w:val="22"/>
          <w:szCs w:val="22"/>
          <w:shd w:val="clear" w:color="auto" w:fill="FFFFFF"/>
        </w:rPr>
        <w:t>(4):</w:t>
      </w:r>
      <w:r w:rsidR="0049392F">
        <w:rPr>
          <w:rFonts w:ascii="Cambria" w:hAnsi="Cambria"/>
          <w:sz w:val="22"/>
          <w:szCs w:val="22"/>
          <w:shd w:val="clear" w:color="auto" w:fill="FFFFFF"/>
        </w:rPr>
        <w:t xml:space="preserve"> </w:t>
      </w:r>
      <w:r w:rsidR="00F029EA">
        <w:rPr>
          <w:rFonts w:ascii="Cambria" w:hAnsi="Cambria"/>
          <w:sz w:val="22"/>
          <w:szCs w:val="22"/>
          <w:shd w:val="clear" w:color="auto" w:fill="FFFFFF"/>
        </w:rPr>
        <w:t>854-</w:t>
      </w:r>
      <w:r w:rsidRPr="001F6CEC">
        <w:rPr>
          <w:rFonts w:ascii="Cambria" w:hAnsi="Cambria"/>
          <w:sz w:val="22"/>
          <w:szCs w:val="22"/>
          <w:shd w:val="clear" w:color="auto" w:fill="FFFFFF"/>
        </w:rPr>
        <w:t>871</w:t>
      </w:r>
      <w:r w:rsidR="0049392F">
        <w:rPr>
          <w:rFonts w:ascii="Cambria" w:hAnsi="Cambria"/>
          <w:sz w:val="22"/>
          <w:szCs w:val="22"/>
          <w:shd w:val="clear" w:color="auto" w:fill="FFFFFF"/>
        </w:rPr>
        <w:t>.</w:t>
      </w:r>
    </w:p>
    <w:p w14:paraId="590E477F" w14:textId="77777777" w:rsidR="00CD590F" w:rsidRDefault="00CD590F" w:rsidP="00494962">
      <w:pPr>
        <w:autoSpaceDE w:val="0"/>
        <w:autoSpaceDN w:val="0"/>
        <w:adjustRightInd w:val="0"/>
        <w:rPr>
          <w:rFonts w:ascii="Cambria" w:hAnsi="Cambria"/>
          <w:sz w:val="22"/>
          <w:szCs w:val="22"/>
          <w:shd w:val="clear" w:color="auto" w:fill="FFFFFF"/>
        </w:rPr>
      </w:pPr>
    </w:p>
    <w:p w14:paraId="36E014B0" w14:textId="77777777" w:rsidR="00BF1B21" w:rsidRDefault="00BF1B21" w:rsidP="00BF1B21">
      <w:pPr>
        <w:autoSpaceDE w:val="0"/>
        <w:autoSpaceDN w:val="0"/>
        <w:adjustRightInd w:val="0"/>
        <w:rPr>
          <w:rFonts w:ascii="Cambria" w:hAnsi="Cambria"/>
          <w:sz w:val="22"/>
          <w:szCs w:val="22"/>
        </w:rPr>
      </w:pPr>
      <w:r w:rsidRPr="00B20C4D">
        <w:rPr>
          <w:rFonts w:ascii="Cambria" w:hAnsi="Cambria"/>
          <w:sz w:val="22"/>
          <w:szCs w:val="22"/>
        </w:rPr>
        <w:t xml:space="preserve">Nagle, J., (2011). ‘Plying Nostrums or Exporting Peace Models? An Examination of the Contradictions between the Northern Irish Peace Process and International Peacebuilding’. </w:t>
      </w:r>
      <w:r w:rsidRPr="00B20C4D">
        <w:rPr>
          <w:rFonts w:ascii="Cambria" w:hAnsi="Cambria"/>
          <w:i/>
          <w:sz w:val="22"/>
          <w:szCs w:val="22"/>
        </w:rPr>
        <w:t>Democracy and Security</w:t>
      </w:r>
      <w:r w:rsidRPr="00B20C4D">
        <w:rPr>
          <w:rFonts w:ascii="Cambria" w:hAnsi="Cambria"/>
          <w:sz w:val="22"/>
          <w:szCs w:val="22"/>
        </w:rPr>
        <w:t xml:space="preserve"> </w:t>
      </w:r>
      <w:r>
        <w:rPr>
          <w:rFonts w:ascii="Cambria" w:hAnsi="Cambria"/>
          <w:sz w:val="22"/>
          <w:szCs w:val="22"/>
        </w:rPr>
        <w:t>7: 160-</w:t>
      </w:r>
      <w:r w:rsidRPr="00B20C4D">
        <w:rPr>
          <w:rFonts w:ascii="Cambria" w:hAnsi="Cambria"/>
          <w:sz w:val="22"/>
          <w:szCs w:val="22"/>
        </w:rPr>
        <w:t>183</w:t>
      </w:r>
      <w:r>
        <w:rPr>
          <w:rFonts w:ascii="Cambria" w:hAnsi="Cambria"/>
          <w:sz w:val="22"/>
          <w:szCs w:val="22"/>
        </w:rPr>
        <w:t>.</w:t>
      </w:r>
    </w:p>
    <w:p w14:paraId="4D867EE6" w14:textId="77777777" w:rsidR="00BF1B21" w:rsidRPr="00B20C4D" w:rsidRDefault="00BF1B21" w:rsidP="00BF1B21">
      <w:pPr>
        <w:autoSpaceDE w:val="0"/>
        <w:autoSpaceDN w:val="0"/>
        <w:adjustRightInd w:val="0"/>
        <w:rPr>
          <w:rFonts w:ascii="Cambria" w:hAnsi="Cambria"/>
          <w:sz w:val="22"/>
          <w:szCs w:val="22"/>
        </w:rPr>
      </w:pPr>
    </w:p>
    <w:p w14:paraId="4F1B3008" w14:textId="77777777" w:rsidR="0072344E" w:rsidRDefault="00CD590F" w:rsidP="00494962">
      <w:pPr>
        <w:autoSpaceDE w:val="0"/>
        <w:autoSpaceDN w:val="0"/>
        <w:adjustRightInd w:val="0"/>
        <w:rPr>
          <w:rFonts w:ascii="Cambria" w:hAnsi="Cambria"/>
          <w:sz w:val="22"/>
          <w:szCs w:val="22"/>
          <w:shd w:val="clear" w:color="auto" w:fill="FFFFFF"/>
        </w:rPr>
      </w:pPr>
      <w:r>
        <w:rPr>
          <w:rFonts w:ascii="Cambria" w:hAnsi="Cambria"/>
          <w:sz w:val="22"/>
          <w:szCs w:val="22"/>
          <w:shd w:val="clear" w:color="auto" w:fill="FFFFFF"/>
        </w:rPr>
        <w:t xml:space="preserve">National Association of Women’s Organisations (NAWO)  </w:t>
      </w:r>
      <w:hyperlink r:id="rId21" w:history="1">
        <w:r w:rsidRPr="008B26F3">
          <w:rPr>
            <w:rStyle w:val="Hyperlink"/>
            <w:rFonts w:ascii="Cambria" w:hAnsi="Cambria"/>
            <w:sz w:val="22"/>
            <w:szCs w:val="22"/>
            <w:shd w:val="clear" w:color="auto" w:fill="FFFFFF"/>
          </w:rPr>
          <w:t>https://nawo.org.uk/wp-content/uploads/2012/07/OHCHR-Read-the-UN-Press-Office-press-release-on-the-UK-Governments-examination-by-CEDAW-yesterday.pdf</w:t>
        </w:r>
      </w:hyperlink>
    </w:p>
    <w:p w14:paraId="04DCF12A" w14:textId="77777777" w:rsidR="0072344E" w:rsidRDefault="0072344E" w:rsidP="00494962">
      <w:pPr>
        <w:autoSpaceDE w:val="0"/>
        <w:autoSpaceDN w:val="0"/>
        <w:adjustRightInd w:val="0"/>
        <w:rPr>
          <w:rFonts w:ascii="Cambria" w:hAnsi="Cambria"/>
          <w:sz w:val="22"/>
          <w:szCs w:val="22"/>
          <w:shd w:val="clear" w:color="auto" w:fill="FFFFFF"/>
        </w:rPr>
      </w:pPr>
    </w:p>
    <w:p w14:paraId="2B1C8FC8" w14:textId="774B359B" w:rsidR="0072344E" w:rsidRDefault="005A6C84" w:rsidP="00494962">
      <w:pPr>
        <w:autoSpaceDE w:val="0"/>
        <w:autoSpaceDN w:val="0"/>
        <w:adjustRightInd w:val="0"/>
        <w:rPr>
          <w:rFonts w:ascii="Cambria" w:hAnsi="Cambria"/>
          <w:sz w:val="22"/>
          <w:szCs w:val="22"/>
        </w:rPr>
      </w:pPr>
      <w:proofErr w:type="spellStart"/>
      <w:r w:rsidRPr="001F6CEC">
        <w:rPr>
          <w:rFonts w:ascii="Cambria" w:hAnsi="Cambria"/>
          <w:sz w:val="22"/>
          <w:szCs w:val="22"/>
          <w:shd w:val="clear" w:color="auto" w:fill="FFFFFF"/>
        </w:rPr>
        <w:t>N</w:t>
      </w:r>
      <w:r w:rsidR="001F6CEC" w:rsidRPr="001F6CEC">
        <w:rPr>
          <w:rFonts w:ascii="Cambria" w:hAnsi="Cambria"/>
          <w:sz w:val="22"/>
          <w:szCs w:val="22"/>
        </w:rPr>
        <w:t>í</w:t>
      </w:r>
      <w:proofErr w:type="spellEnd"/>
      <w:r w:rsidR="001F6CEC" w:rsidRPr="001F6CEC">
        <w:rPr>
          <w:rFonts w:ascii="Cambria" w:hAnsi="Cambria"/>
          <w:sz w:val="22"/>
          <w:szCs w:val="22"/>
        </w:rPr>
        <w:t xml:space="preserve"> </w:t>
      </w:r>
      <w:proofErr w:type="spellStart"/>
      <w:r w:rsidR="001F6CEC" w:rsidRPr="001F6CEC">
        <w:rPr>
          <w:rFonts w:ascii="Cambria" w:hAnsi="Cambria"/>
          <w:sz w:val="22"/>
          <w:szCs w:val="22"/>
        </w:rPr>
        <w:t>Aoláin</w:t>
      </w:r>
      <w:proofErr w:type="spellEnd"/>
      <w:r w:rsidR="001F6CEC" w:rsidRPr="001F6CEC">
        <w:rPr>
          <w:rFonts w:ascii="Cambria" w:hAnsi="Cambria"/>
          <w:sz w:val="22"/>
          <w:szCs w:val="22"/>
        </w:rPr>
        <w:t xml:space="preserve">, F., (2018). </w:t>
      </w:r>
      <w:r w:rsidR="0072344E">
        <w:rPr>
          <w:rFonts w:ascii="Cambria" w:hAnsi="Cambria"/>
          <w:sz w:val="22"/>
          <w:szCs w:val="22"/>
        </w:rPr>
        <w:t>‘</w:t>
      </w:r>
      <w:r w:rsidRPr="001F6CEC">
        <w:rPr>
          <w:rFonts w:ascii="Cambria" w:eastAsia="Times New Roman" w:hAnsi="Cambria"/>
          <w:bCs/>
          <w:kern w:val="36"/>
          <w:sz w:val="22"/>
          <w:szCs w:val="22"/>
        </w:rPr>
        <w:t>The Feminist Institutional Dimensions of Power-Sharing and Political Settlements</w:t>
      </w:r>
      <w:r w:rsidR="0072344E">
        <w:rPr>
          <w:rFonts w:ascii="Cambria" w:eastAsia="Times New Roman" w:hAnsi="Cambria"/>
          <w:bCs/>
          <w:kern w:val="36"/>
          <w:sz w:val="22"/>
          <w:szCs w:val="22"/>
        </w:rPr>
        <w:t>’</w:t>
      </w:r>
      <w:r w:rsidRPr="001F6CEC">
        <w:rPr>
          <w:rFonts w:ascii="Cambria" w:eastAsia="Times New Roman" w:hAnsi="Cambria"/>
          <w:bCs/>
          <w:i/>
          <w:kern w:val="36"/>
          <w:sz w:val="22"/>
          <w:szCs w:val="22"/>
        </w:rPr>
        <w:t xml:space="preserve">. </w:t>
      </w:r>
      <w:r w:rsidRPr="001F6CEC">
        <w:rPr>
          <w:rFonts w:ascii="Cambria" w:hAnsi="Cambria"/>
          <w:i/>
          <w:sz w:val="22"/>
          <w:szCs w:val="22"/>
        </w:rPr>
        <w:t>Nationalism and Ethnic Politics</w:t>
      </w:r>
      <w:r w:rsidR="001F6CEC" w:rsidRPr="001F6CEC">
        <w:rPr>
          <w:rFonts w:ascii="Cambria" w:hAnsi="Cambria"/>
          <w:sz w:val="22"/>
          <w:szCs w:val="22"/>
        </w:rPr>
        <w:t xml:space="preserve"> </w:t>
      </w:r>
      <w:r w:rsidR="00D00E7E">
        <w:rPr>
          <w:rFonts w:ascii="Cambria" w:hAnsi="Cambria"/>
          <w:sz w:val="22"/>
          <w:szCs w:val="22"/>
        </w:rPr>
        <w:t>24</w:t>
      </w:r>
      <w:r w:rsidRPr="001F6CEC">
        <w:rPr>
          <w:rFonts w:ascii="Cambria" w:hAnsi="Cambria"/>
          <w:sz w:val="22"/>
          <w:szCs w:val="22"/>
        </w:rPr>
        <w:t>(1):</w:t>
      </w:r>
      <w:r w:rsidR="0049392F">
        <w:rPr>
          <w:rFonts w:ascii="Cambria" w:hAnsi="Cambria"/>
          <w:sz w:val="22"/>
          <w:szCs w:val="22"/>
        </w:rPr>
        <w:t xml:space="preserve"> </w:t>
      </w:r>
      <w:r w:rsidRPr="001F6CEC">
        <w:rPr>
          <w:rFonts w:ascii="Cambria" w:hAnsi="Cambria"/>
          <w:sz w:val="22"/>
          <w:szCs w:val="22"/>
        </w:rPr>
        <w:t>116-132</w:t>
      </w:r>
      <w:r w:rsidR="0049392F">
        <w:rPr>
          <w:rFonts w:ascii="Cambria" w:hAnsi="Cambria"/>
          <w:sz w:val="22"/>
          <w:szCs w:val="22"/>
        </w:rPr>
        <w:t>.</w:t>
      </w:r>
    </w:p>
    <w:p w14:paraId="4A715F0A" w14:textId="01C4B5FD" w:rsidR="000F7F2A" w:rsidRPr="0072344E" w:rsidRDefault="005A6C84" w:rsidP="00494962">
      <w:pPr>
        <w:autoSpaceDE w:val="0"/>
        <w:autoSpaceDN w:val="0"/>
        <w:adjustRightInd w:val="0"/>
        <w:rPr>
          <w:rFonts w:ascii="Cambria" w:hAnsi="Cambria"/>
          <w:sz w:val="22"/>
          <w:szCs w:val="22"/>
          <w:shd w:val="clear" w:color="auto" w:fill="FFFFFF"/>
        </w:rPr>
      </w:pPr>
      <w:r w:rsidRPr="001F6CEC">
        <w:rPr>
          <w:rFonts w:ascii="Cambria" w:hAnsi="Cambria"/>
          <w:sz w:val="22"/>
          <w:szCs w:val="22"/>
        </w:rPr>
        <w:t xml:space="preserve"> </w:t>
      </w:r>
    </w:p>
    <w:p w14:paraId="2EE3C7DA" w14:textId="477C4626" w:rsidR="00AE79AA" w:rsidRPr="00F029EA" w:rsidRDefault="007854C2" w:rsidP="00F029EA">
      <w:pPr>
        <w:pStyle w:val="p1"/>
        <w:rPr>
          <w:rFonts w:ascii="Cambria" w:hAnsi="Cambria"/>
          <w:i/>
          <w:color w:val="231F20"/>
          <w:sz w:val="22"/>
          <w:szCs w:val="22"/>
          <w:lang w:eastAsia="en-GB"/>
        </w:rPr>
      </w:pPr>
      <w:proofErr w:type="spellStart"/>
      <w:r w:rsidRPr="004E1A53">
        <w:rPr>
          <w:rFonts w:ascii="Cambria" w:hAnsi="Cambria"/>
          <w:sz w:val="22"/>
          <w:szCs w:val="22"/>
        </w:rPr>
        <w:t>Nindorera</w:t>
      </w:r>
      <w:proofErr w:type="spellEnd"/>
      <w:r w:rsidR="00AE79AA" w:rsidRPr="004E1A53">
        <w:rPr>
          <w:rFonts w:ascii="Cambria" w:hAnsi="Cambria"/>
          <w:sz w:val="22"/>
          <w:szCs w:val="22"/>
        </w:rPr>
        <w:t>, W.</w:t>
      </w:r>
      <w:r w:rsidR="00737015">
        <w:rPr>
          <w:rFonts w:ascii="Cambria" w:hAnsi="Cambria"/>
          <w:sz w:val="22"/>
          <w:szCs w:val="22"/>
        </w:rPr>
        <w:t>,</w:t>
      </w:r>
      <w:r w:rsidR="00AE79AA" w:rsidRPr="004E1A53">
        <w:rPr>
          <w:rFonts w:ascii="Cambria" w:hAnsi="Cambria"/>
          <w:sz w:val="22"/>
          <w:szCs w:val="22"/>
        </w:rPr>
        <w:t xml:space="preserve"> </w:t>
      </w:r>
      <w:r w:rsidRPr="004E1A53">
        <w:rPr>
          <w:rFonts w:ascii="Cambria" w:hAnsi="Cambria"/>
          <w:sz w:val="22"/>
          <w:szCs w:val="22"/>
        </w:rPr>
        <w:t>(2012)</w:t>
      </w:r>
      <w:r w:rsidR="00737015">
        <w:rPr>
          <w:rFonts w:ascii="Cambria" w:hAnsi="Cambria"/>
          <w:sz w:val="22"/>
          <w:szCs w:val="22"/>
        </w:rPr>
        <w:t>.</w:t>
      </w:r>
      <w:r w:rsidR="00AE79AA" w:rsidRPr="004E1A53">
        <w:rPr>
          <w:rFonts w:ascii="Cambria" w:hAnsi="Cambria"/>
          <w:sz w:val="22"/>
          <w:szCs w:val="22"/>
        </w:rPr>
        <w:t xml:space="preserve"> </w:t>
      </w:r>
      <w:r w:rsidR="00AE79AA" w:rsidRPr="00F029EA">
        <w:rPr>
          <w:rFonts w:ascii="Cambria" w:hAnsi="Cambria"/>
          <w:i/>
          <w:color w:val="231F20"/>
          <w:sz w:val="22"/>
          <w:szCs w:val="22"/>
          <w:lang w:eastAsia="en-GB"/>
        </w:rPr>
        <w:t>The CNDD-FDD in Burundi: The Path from Armed</w:t>
      </w:r>
    </w:p>
    <w:p w14:paraId="0A8C7E71" w14:textId="7F433B46" w:rsidR="004E1A53" w:rsidRDefault="00AE79AA" w:rsidP="00494962">
      <w:pPr>
        <w:shd w:val="clear" w:color="auto" w:fill="FFFFFF"/>
        <w:textAlignment w:val="baseline"/>
        <w:rPr>
          <w:rFonts w:ascii="Cambria" w:hAnsi="Cambria"/>
          <w:color w:val="000000"/>
          <w:sz w:val="22"/>
          <w:szCs w:val="22"/>
        </w:rPr>
      </w:pPr>
      <w:r w:rsidRPr="00F029EA">
        <w:rPr>
          <w:rFonts w:ascii="Cambria" w:hAnsi="Cambria"/>
          <w:i/>
          <w:color w:val="231F20"/>
          <w:sz w:val="22"/>
          <w:szCs w:val="22"/>
          <w:lang w:eastAsia="en-GB"/>
        </w:rPr>
        <w:t>to Political Struggle</w:t>
      </w:r>
      <w:r w:rsidR="00F029EA">
        <w:rPr>
          <w:rFonts w:ascii="Cambria" w:hAnsi="Cambria"/>
          <w:color w:val="231F20"/>
          <w:sz w:val="22"/>
          <w:szCs w:val="22"/>
          <w:lang w:eastAsia="en-GB"/>
        </w:rPr>
        <w:t>.</w:t>
      </w:r>
      <w:r w:rsidRPr="00AE79AA">
        <w:rPr>
          <w:rFonts w:ascii="Cambria" w:hAnsi="Cambria"/>
          <w:color w:val="231F20"/>
          <w:sz w:val="22"/>
          <w:szCs w:val="22"/>
          <w:lang w:eastAsia="en-GB"/>
        </w:rPr>
        <w:t xml:space="preserve"> Berlin: </w:t>
      </w:r>
      <w:proofErr w:type="spellStart"/>
      <w:r w:rsidRPr="00AE79AA">
        <w:rPr>
          <w:rFonts w:ascii="Cambria" w:hAnsi="Cambria"/>
          <w:color w:val="231F20"/>
          <w:sz w:val="22"/>
          <w:szCs w:val="22"/>
          <w:lang w:eastAsia="en-GB"/>
        </w:rPr>
        <w:t>Berghof</w:t>
      </w:r>
      <w:proofErr w:type="spellEnd"/>
      <w:r w:rsidRPr="00AE79AA">
        <w:rPr>
          <w:rFonts w:ascii="Cambria" w:hAnsi="Cambria"/>
          <w:color w:val="231F20"/>
          <w:sz w:val="22"/>
          <w:szCs w:val="22"/>
          <w:lang w:eastAsia="en-GB"/>
        </w:rPr>
        <w:t xml:space="preserve"> Foundation, </w:t>
      </w:r>
      <w:r w:rsidR="004E1A53" w:rsidRPr="004E1A53">
        <w:rPr>
          <w:rFonts w:ascii="Cambria" w:hAnsi="Cambria"/>
          <w:color w:val="231F20"/>
          <w:sz w:val="22"/>
          <w:szCs w:val="22"/>
          <w:lang w:eastAsia="en-GB"/>
        </w:rPr>
        <w:t>Available at:</w:t>
      </w:r>
      <w:r w:rsidR="004E1A53">
        <w:rPr>
          <w:rFonts w:ascii="Cambria" w:hAnsi="Cambria"/>
          <w:color w:val="231F20"/>
          <w:sz w:val="22"/>
          <w:szCs w:val="22"/>
          <w:lang w:eastAsia="en-GB"/>
        </w:rPr>
        <w:t xml:space="preserve"> </w:t>
      </w:r>
      <w:hyperlink r:id="rId22" w:history="1">
        <w:r w:rsidR="004E1A53" w:rsidRPr="004E1A53">
          <w:rPr>
            <w:rStyle w:val="Hyperlink"/>
            <w:rFonts w:ascii="Cambria" w:hAnsi="Cambria"/>
            <w:sz w:val="22"/>
            <w:szCs w:val="22"/>
            <w:lang w:eastAsia="en-GB"/>
          </w:rPr>
          <w:t>https://www.berghof-foundation.org/fileadmin/redaktion/Publications/Papers/Transitions_Series/transitions10_burundi.pdf</w:t>
        </w:r>
      </w:hyperlink>
      <w:r w:rsidR="004E1A53">
        <w:rPr>
          <w:rFonts w:ascii="Cambria" w:hAnsi="Cambria"/>
          <w:color w:val="231F20"/>
          <w:sz w:val="22"/>
          <w:szCs w:val="22"/>
          <w:lang w:eastAsia="en-GB"/>
        </w:rPr>
        <w:t xml:space="preserve"> </w:t>
      </w:r>
      <w:r w:rsidR="004E1A53">
        <w:rPr>
          <w:rFonts w:ascii="Cambria" w:hAnsi="Cambria"/>
          <w:color w:val="000000"/>
          <w:sz w:val="22"/>
          <w:szCs w:val="22"/>
        </w:rPr>
        <w:t xml:space="preserve">[Accessed </w:t>
      </w:r>
      <w:r w:rsidR="00F029EA">
        <w:rPr>
          <w:rFonts w:ascii="Cambria" w:hAnsi="Cambria"/>
          <w:color w:val="000000"/>
          <w:sz w:val="22"/>
          <w:szCs w:val="22"/>
        </w:rPr>
        <w:t xml:space="preserve">18 </w:t>
      </w:r>
      <w:r w:rsidR="004E1A53">
        <w:rPr>
          <w:rFonts w:ascii="Cambria" w:hAnsi="Cambria"/>
          <w:color w:val="000000"/>
          <w:sz w:val="22"/>
          <w:szCs w:val="22"/>
        </w:rPr>
        <w:t>Oct</w:t>
      </w:r>
      <w:r w:rsidR="00F029EA">
        <w:rPr>
          <w:rFonts w:ascii="Cambria" w:hAnsi="Cambria"/>
          <w:color w:val="000000"/>
          <w:sz w:val="22"/>
          <w:szCs w:val="22"/>
        </w:rPr>
        <w:t>ober</w:t>
      </w:r>
      <w:r w:rsidR="004E1A53">
        <w:rPr>
          <w:rFonts w:ascii="Cambria" w:hAnsi="Cambria"/>
          <w:color w:val="000000"/>
          <w:sz w:val="22"/>
          <w:szCs w:val="22"/>
        </w:rPr>
        <w:t xml:space="preserve"> 2018]</w:t>
      </w:r>
      <w:r w:rsidR="0049392F">
        <w:rPr>
          <w:rFonts w:ascii="Cambria" w:hAnsi="Cambria"/>
          <w:color w:val="000000"/>
          <w:sz w:val="22"/>
          <w:szCs w:val="22"/>
        </w:rPr>
        <w:t>.</w:t>
      </w:r>
    </w:p>
    <w:p w14:paraId="342CDE5E" w14:textId="77777777" w:rsidR="00F6141D" w:rsidRDefault="00F6141D" w:rsidP="00494962">
      <w:pPr>
        <w:shd w:val="clear" w:color="auto" w:fill="FFFFFF"/>
        <w:textAlignment w:val="baseline"/>
        <w:rPr>
          <w:rFonts w:ascii="Cambria" w:hAnsi="Cambria"/>
          <w:color w:val="000000"/>
          <w:sz w:val="22"/>
          <w:szCs w:val="22"/>
        </w:rPr>
      </w:pPr>
    </w:p>
    <w:p w14:paraId="385B7F49" w14:textId="7768A045" w:rsidR="00F6141D" w:rsidRDefault="00F6141D" w:rsidP="00494962">
      <w:pPr>
        <w:shd w:val="clear" w:color="auto" w:fill="FFFFFF"/>
        <w:textAlignment w:val="baseline"/>
        <w:rPr>
          <w:rFonts w:ascii="Cambria" w:hAnsi="Cambria"/>
          <w:color w:val="000000"/>
          <w:sz w:val="22"/>
          <w:szCs w:val="22"/>
        </w:rPr>
      </w:pPr>
      <w:r>
        <w:rPr>
          <w:rFonts w:ascii="Cambria" w:hAnsi="Cambria"/>
          <w:color w:val="000000"/>
          <w:sz w:val="22"/>
          <w:szCs w:val="22"/>
        </w:rPr>
        <w:t>United Nations Office of the High Commissioner for Human Rights</w:t>
      </w:r>
      <w:r w:rsidR="00D80769">
        <w:rPr>
          <w:rFonts w:ascii="Cambria" w:hAnsi="Cambria"/>
          <w:color w:val="000000"/>
          <w:sz w:val="22"/>
          <w:szCs w:val="22"/>
        </w:rPr>
        <w:t xml:space="preserve"> (OHCHR)</w:t>
      </w:r>
      <w:r w:rsidR="00236A4E">
        <w:rPr>
          <w:rFonts w:ascii="Cambria" w:hAnsi="Cambria"/>
          <w:color w:val="000000"/>
          <w:sz w:val="22"/>
          <w:szCs w:val="22"/>
        </w:rPr>
        <w:t>,</w:t>
      </w:r>
      <w:r>
        <w:rPr>
          <w:rFonts w:ascii="Cambria" w:hAnsi="Cambria"/>
          <w:color w:val="000000"/>
          <w:sz w:val="22"/>
          <w:szCs w:val="22"/>
        </w:rPr>
        <w:t xml:space="preserve"> (2013)</w:t>
      </w:r>
      <w:r w:rsidR="00236A4E">
        <w:rPr>
          <w:rFonts w:ascii="Cambria" w:hAnsi="Cambria"/>
          <w:color w:val="000000"/>
          <w:sz w:val="22"/>
          <w:szCs w:val="22"/>
        </w:rPr>
        <w:t>.</w:t>
      </w:r>
      <w:r>
        <w:rPr>
          <w:rFonts w:ascii="Cambria" w:hAnsi="Cambria"/>
          <w:color w:val="000000"/>
          <w:sz w:val="22"/>
          <w:szCs w:val="22"/>
        </w:rPr>
        <w:t xml:space="preserve"> ‘Committee on the Elimination of Discrimination Against Women considers report of the United Kingdom’. Press Release, </w:t>
      </w:r>
      <w:r w:rsidR="00F029EA">
        <w:rPr>
          <w:rFonts w:ascii="Cambria" w:hAnsi="Cambria"/>
          <w:color w:val="000000"/>
          <w:sz w:val="22"/>
          <w:szCs w:val="22"/>
        </w:rPr>
        <w:t xml:space="preserve">17 July </w:t>
      </w:r>
      <w:r>
        <w:rPr>
          <w:rFonts w:ascii="Cambria" w:hAnsi="Cambria"/>
          <w:color w:val="000000"/>
          <w:sz w:val="22"/>
          <w:szCs w:val="22"/>
        </w:rPr>
        <w:t>2013</w:t>
      </w:r>
      <w:r w:rsidR="00096A3C">
        <w:rPr>
          <w:rFonts w:ascii="Cambria" w:hAnsi="Cambria"/>
          <w:color w:val="000000"/>
          <w:sz w:val="22"/>
          <w:szCs w:val="22"/>
        </w:rPr>
        <w:t>,</w:t>
      </w:r>
      <w:r>
        <w:rPr>
          <w:rFonts w:ascii="Cambria" w:hAnsi="Cambria"/>
          <w:color w:val="000000"/>
          <w:sz w:val="22"/>
          <w:szCs w:val="22"/>
        </w:rPr>
        <w:t xml:space="preserve"> </w:t>
      </w:r>
      <w:hyperlink r:id="rId23" w:history="1">
        <w:r w:rsidRPr="008B26F3">
          <w:rPr>
            <w:rStyle w:val="Hyperlink"/>
            <w:rFonts w:ascii="Cambria" w:hAnsi="Cambria"/>
            <w:sz w:val="22"/>
            <w:szCs w:val="22"/>
          </w:rPr>
          <w:t>https://newsarchive.ohchr.org/EN/NewsEvents/Pages/DisplayNews.aspx?NewsID=13556&amp;LangID=E</w:t>
        </w:r>
      </w:hyperlink>
      <w:r>
        <w:rPr>
          <w:rFonts w:ascii="Cambria" w:hAnsi="Cambria"/>
          <w:color w:val="000000"/>
          <w:sz w:val="22"/>
          <w:szCs w:val="22"/>
        </w:rPr>
        <w:t xml:space="preserve"> [Accessed </w:t>
      </w:r>
      <w:r w:rsidR="00F029EA">
        <w:rPr>
          <w:rFonts w:ascii="Cambria" w:hAnsi="Cambria"/>
          <w:color w:val="000000"/>
          <w:sz w:val="22"/>
          <w:szCs w:val="22"/>
        </w:rPr>
        <w:t xml:space="preserve">10 </w:t>
      </w:r>
      <w:r>
        <w:rPr>
          <w:rFonts w:ascii="Cambria" w:hAnsi="Cambria"/>
          <w:color w:val="000000"/>
          <w:sz w:val="22"/>
          <w:szCs w:val="22"/>
        </w:rPr>
        <w:t>Dec</w:t>
      </w:r>
      <w:r w:rsidR="00F029EA">
        <w:rPr>
          <w:rFonts w:ascii="Cambria" w:hAnsi="Cambria"/>
          <w:color w:val="000000"/>
          <w:sz w:val="22"/>
          <w:szCs w:val="22"/>
        </w:rPr>
        <w:t>ember</w:t>
      </w:r>
      <w:r>
        <w:rPr>
          <w:rFonts w:ascii="Cambria" w:hAnsi="Cambria"/>
          <w:color w:val="000000"/>
          <w:sz w:val="22"/>
          <w:szCs w:val="22"/>
        </w:rPr>
        <w:t xml:space="preserve"> 2018]</w:t>
      </w:r>
      <w:r w:rsidR="004E2563">
        <w:rPr>
          <w:rFonts w:ascii="Cambria" w:hAnsi="Cambria"/>
          <w:color w:val="000000"/>
          <w:sz w:val="22"/>
          <w:szCs w:val="22"/>
        </w:rPr>
        <w:t>.</w:t>
      </w:r>
    </w:p>
    <w:p w14:paraId="3F5381FB" w14:textId="77777777" w:rsidR="00F6141D" w:rsidRPr="00A90D10" w:rsidRDefault="00F6141D" w:rsidP="00494962">
      <w:pPr>
        <w:shd w:val="clear" w:color="auto" w:fill="FFFFFF"/>
        <w:textAlignment w:val="baseline"/>
        <w:rPr>
          <w:rFonts w:ascii="Cambria" w:hAnsi="Cambria"/>
          <w:color w:val="000000"/>
          <w:sz w:val="22"/>
          <w:szCs w:val="22"/>
        </w:rPr>
      </w:pPr>
    </w:p>
    <w:p w14:paraId="492B0612" w14:textId="0D603504" w:rsidR="00D000B9" w:rsidRPr="00A90D10" w:rsidRDefault="00D000B9" w:rsidP="00494962">
      <w:pPr>
        <w:rPr>
          <w:rFonts w:ascii="Cambria" w:hAnsi="Cambria"/>
          <w:sz w:val="22"/>
          <w:szCs w:val="22"/>
        </w:rPr>
      </w:pPr>
      <w:r w:rsidRPr="00A90D10">
        <w:rPr>
          <w:rFonts w:ascii="Cambria" w:hAnsi="Cambria"/>
          <w:sz w:val="22"/>
          <w:szCs w:val="22"/>
        </w:rPr>
        <w:t>Pierson, C.</w:t>
      </w:r>
      <w:r w:rsidR="00D00E7E">
        <w:rPr>
          <w:rFonts w:ascii="Cambria" w:hAnsi="Cambria"/>
          <w:sz w:val="22"/>
          <w:szCs w:val="22"/>
        </w:rPr>
        <w:t>,</w:t>
      </w:r>
      <w:r w:rsidRPr="00A90D10">
        <w:rPr>
          <w:rFonts w:ascii="Cambria" w:hAnsi="Cambria"/>
          <w:sz w:val="22"/>
          <w:szCs w:val="22"/>
        </w:rPr>
        <w:t xml:space="preserve"> (2018</w:t>
      </w:r>
      <w:r w:rsidR="003B7953" w:rsidRPr="00A90D10">
        <w:rPr>
          <w:rFonts w:ascii="Cambria" w:hAnsi="Cambria"/>
          <w:sz w:val="22"/>
          <w:szCs w:val="22"/>
        </w:rPr>
        <w:t>a</w:t>
      </w:r>
      <w:r w:rsidRPr="00A90D10">
        <w:rPr>
          <w:rFonts w:ascii="Cambria" w:hAnsi="Cambria"/>
          <w:sz w:val="22"/>
          <w:szCs w:val="22"/>
        </w:rPr>
        <w:t>)</w:t>
      </w:r>
      <w:r w:rsidR="00D00E7E">
        <w:rPr>
          <w:rFonts w:ascii="Cambria" w:hAnsi="Cambria"/>
          <w:sz w:val="22"/>
          <w:szCs w:val="22"/>
        </w:rPr>
        <w:t xml:space="preserve">. </w:t>
      </w:r>
      <w:r w:rsidR="00236A4E">
        <w:rPr>
          <w:rFonts w:ascii="Cambria" w:hAnsi="Cambria"/>
          <w:sz w:val="22"/>
          <w:szCs w:val="22"/>
        </w:rPr>
        <w:t>‘“</w:t>
      </w:r>
      <w:r w:rsidRPr="00A90D10">
        <w:rPr>
          <w:rFonts w:ascii="Cambria" w:hAnsi="Cambria"/>
          <w:sz w:val="22"/>
          <w:szCs w:val="22"/>
        </w:rPr>
        <w:t>One Step Forwards, Two Steps Back</w:t>
      </w:r>
      <w:r w:rsidR="00236A4E">
        <w:rPr>
          <w:rFonts w:ascii="Cambria" w:hAnsi="Cambria"/>
          <w:sz w:val="22"/>
          <w:szCs w:val="22"/>
        </w:rPr>
        <w:t>”</w:t>
      </w:r>
      <w:r w:rsidRPr="00A90D10">
        <w:rPr>
          <w:rFonts w:ascii="Cambria" w:hAnsi="Cambria"/>
          <w:sz w:val="22"/>
          <w:szCs w:val="22"/>
        </w:rPr>
        <w:t>: Women’s Rights 20 Years a</w:t>
      </w:r>
      <w:r w:rsidR="00D00E7E">
        <w:rPr>
          <w:rFonts w:ascii="Cambria" w:hAnsi="Cambria"/>
          <w:sz w:val="22"/>
          <w:szCs w:val="22"/>
        </w:rPr>
        <w:t>fter the Good Friday Agreement’.</w:t>
      </w:r>
      <w:r w:rsidRPr="00A90D10">
        <w:rPr>
          <w:rFonts w:ascii="Cambria" w:hAnsi="Cambria"/>
          <w:sz w:val="22"/>
          <w:szCs w:val="22"/>
        </w:rPr>
        <w:t xml:space="preserve"> </w:t>
      </w:r>
      <w:r w:rsidRPr="00A90D10">
        <w:rPr>
          <w:rFonts w:ascii="Cambria" w:hAnsi="Cambria"/>
          <w:i/>
          <w:sz w:val="22"/>
          <w:szCs w:val="22"/>
        </w:rPr>
        <w:t>Parliamentary Affairs</w:t>
      </w:r>
      <w:r w:rsidR="00D00E7E">
        <w:rPr>
          <w:rFonts w:ascii="Cambria" w:hAnsi="Cambria"/>
          <w:sz w:val="22"/>
          <w:szCs w:val="22"/>
        </w:rPr>
        <w:t xml:space="preserve"> 71</w:t>
      </w:r>
      <w:r w:rsidRPr="00A90D10">
        <w:rPr>
          <w:rFonts w:ascii="Cambria" w:hAnsi="Cambria"/>
          <w:sz w:val="22"/>
          <w:szCs w:val="22"/>
        </w:rPr>
        <w:t>(2):</w:t>
      </w:r>
      <w:r w:rsidR="00D00E7E">
        <w:rPr>
          <w:rFonts w:ascii="Cambria" w:hAnsi="Cambria"/>
          <w:sz w:val="22"/>
          <w:szCs w:val="22"/>
        </w:rPr>
        <w:t xml:space="preserve"> </w:t>
      </w:r>
      <w:r w:rsidRPr="00A90D10">
        <w:rPr>
          <w:rFonts w:ascii="Cambria" w:hAnsi="Cambria"/>
          <w:sz w:val="22"/>
          <w:szCs w:val="22"/>
        </w:rPr>
        <w:t>461-481</w:t>
      </w:r>
      <w:r w:rsidR="00096A3C">
        <w:rPr>
          <w:rFonts w:ascii="Cambria" w:hAnsi="Cambria"/>
          <w:sz w:val="22"/>
          <w:szCs w:val="22"/>
        </w:rPr>
        <w:t>.</w:t>
      </w:r>
    </w:p>
    <w:p w14:paraId="1556363D" w14:textId="77777777" w:rsidR="00E458A9" w:rsidRPr="00A90D10" w:rsidRDefault="00E458A9" w:rsidP="00494962">
      <w:pPr>
        <w:rPr>
          <w:rFonts w:ascii="Cambria" w:hAnsi="Cambria"/>
          <w:sz w:val="22"/>
          <w:szCs w:val="22"/>
        </w:rPr>
      </w:pPr>
    </w:p>
    <w:p w14:paraId="4F66D593" w14:textId="3D334545" w:rsidR="003B7953" w:rsidRPr="00A90D10" w:rsidRDefault="00D00E7E" w:rsidP="00494962">
      <w:pPr>
        <w:rPr>
          <w:rFonts w:ascii="Cambria" w:hAnsi="Cambria"/>
          <w:sz w:val="22"/>
          <w:szCs w:val="22"/>
        </w:rPr>
      </w:pPr>
      <w:r>
        <w:rPr>
          <w:rFonts w:ascii="Cambria" w:hAnsi="Cambria"/>
          <w:sz w:val="22"/>
          <w:szCs w:val="22"/>
        </w:rPr>
        <w:t xml:space="preserve">Pierson, C., (2018b). </w:t>
      </w:r>
      <w:r w:rsidR="00D94E9E" w:rsidRPr="00A90D10">
        <w:rPr>
          <w:rFonts w:ascii="Cambria" w:hAnsi="Cambria"/>
          <w:i/>
          <w:sz w:val="22"/>
          <w:szCs w:val="22"/>
        </w:rPr>
        <w:t>The Marginalisation of Women’s Rights in Northern Ireland, 20 Years after the Good Friday Agreement</w:t>
      </w:r>
      <w:r w:rsidR="00D94E9E" w:rsidRPr="00A90D10">
        <w:rPr>
          <w:rFonts w:ascii="Cambria" w:hAnsi="Cambria"/>
          <w:sz w:val="22"/>
          <w:szCs w:val="22"/>
        </w:rPr>
        <w:t xml:space="preserve">. </w:t>
      </w:r>
      <w:r>
        <w:rPr>
          <w:rFonts w:ascii="Cambria" w:hAnsi="Cambria"/>
          <w:sz w:val="22"/>
          <w:szCs w:val="22"/>
        </w:rPr>
        <w:t xml:space="preserve">Available at: </w:t>
      </w:r>
    </w:p>
    <w:p w14:paraId="371C3880" w14:textId="7B7ADB02" w:rsidR="003B7953" w:rsidRDefault="003E6E5A" w:rsidP="00494962">
      <w:pPr>
        <w:rPr>
          <w:rFonts w:ascii="Cambria" w:hAnsi="Cambria"/>
          <w:sz w:val="22"/>
          <w:szCs w:val="22"/>
        </w:rPr>
      </w:pPr>
      <w:hyperlink r:id="rId24" w:history="1">
        <w:r w:rsidR="00D94E9E" w:rsidRPr="00A90D10">
          <w:rPr>
            <w:rStyle w:val="Hyperlink"/>
            <w:rFonts w:ascii="Cambria" w:hAnsi="Cambria"/>
            <w:sz w:val="22"/>
            <w:szCs w:val="22"/>
          </w:rPr>
          <w:t>http://blogs.lse.ac.uk/politicsandpolicy/the-marginalisation-of-womens-rights-in-northern-ireland-20-years-after-the-good-friday-agreement/</w:t>
        </w:r>
      </w:hyperlink>
      <w:r w:rsidR="00D94E9E" w:rsidRPr="00A90D10">
        <w:rPr>
          <w:rFonts w:ascii="Cambria" w:hAnsi="Cambria"/>
          <w:sz w:val="22"/>
          <w:szCs w:val="22"/>
        </w:rPr>
        <w:t xml:space="preserve"> </w:t>
      </w:r>
      <w:r w:rsidR="00D00E7E">
        <w:rPr>
          <w:rFonts w:ascii="Cambria" w:hAnsi="Cambria"/>
          <w:sz w:val="22"/>
          <w:szCs w:val="22"/>
        </w:rPr>
        <w:t xml:space="preserve">[Accessed </w:t>
      </w:r>
      <w:r w:rsidR="00F029EA">
        <w:rPr>
          <w:rFonts w:ascii="Cambria" w:hAnsi="Cambria"/>
          <w:sz w:val="22"/>
          <w:szCs w:val="22"/>
        </w:rPr>
        <w:t xml:space="preserve">18 </w:t>
      </w:r>
      <w:r w:rsidR="00D00E7E">
        <w:rPr>
          <w:rFonts w:ascii="Cambria" w:hAnsi="Cambria"/>
          <w:sz w:val="22"/>
          <w:szCs w:val="22"/>
        </w:rPr>
        <w:t>Oct</w:t>
      </w:r>
      <w:r w:rsidR="00F029EA">
        <w:rPr>
          <w:rFonts w:ascii="Cambria" w:hAnsi="Cambria"/>
          <w:sz w:val="22"/>
          <w:szCs w:val="22"/>
        </w:rPr>
        <w:t>ober</w:t>
      </w:r>
      <w:r w:rsidR="00D94E9E" w:rsidRPr="00A90D10">
        <w:rPr>
          <w:rFonts w:ascii="Cambria" w:hAnsi="Cambria"/>
          <w:sz w:val="22"/>
          <w:szCs w:val="22"/>
        </w:rPr>
        <w:t xml:space="preserve"> 2018</w:t>
      </w:r>
      <w:r w:rsidR="00D00E7E">
        <w:rPr>
          <w:rFonts w:ascii="Cambria" w:hAnsi="Cambria"/>
          <w:sz w:val="22"/>
          <w:szCs w:val="22"/>
        </w:rPr>
        <w:t>]</w:t>
      </w:r>
    </w:p>
    <w:p w14:paraId="6740EF16" w14:textId="77777777" w:rsidR="00A12180" w:rsidRDefault="00A12180" w:rsidP="00494962">
      <w:pPr>
        <w:rPr>
          <w:rFonts w:ascii="Cambria" w:hAnsi="Cambria"/>
          <w:sz w:val="22"/>
          <w:szCs w:val="22"/>
        </w:rPr>
      </w:pPr>
    </w:p>
    <w:p w14:paraId="2CE7C7A9" w14:textId="1B97E15F" w:rsidR="00A12180" w:rsidRPr="00737015" w:rsidRDefault="00F029EA" w:rsidP="00494962">
      <w:pPr>
        <w:rPr>
          <w:rFonts w:ascii="Cambria" w:eastAsia="Times New Roman" w:hAnsi="Cambria"/>
          <w:color w:val="000000" w:themeColor="text1"/>
          <w:sz w:val="22"/>
          <w:szCs w:val="22"/>
          <w:lang w:val="en-US"/>
        </w:rPr>
      </w:pPr>
      <w:r>
        <w:rPr>
          <w:rFonts w:ascii="Cambria" w:hAnsi="Cambria"/>
          <w:color w:val="000000" w:themeColor="text1"/>
          <w:sz w:val="22"/>
          <w:szCs w:val="22"/>
        </w:rPr>
        <w:t>Pierson, C., and</w:t>
      </w:r>
      <w:r w:rsidR="00A12180" w:rsidRPr="00737015">
        <w:rPr>
          <w:rFonts w:ascii="Cambria" w:hAnsi="Cambria"/>
          <w:color w:val="000000" w:themeColor="text1"/>
          <w:sz w:val="22"/>
          <w:szCs w:val="22"/>
        </w:rPr>
        <w:t xml:space="preserve"> Thomson, J.</w:t>
      </w:r>
      <w:r w:rsidR="00737015">
        <w:rPr>
          <w:rFonts w:ascii="Cambria" w:hAnsi="Cambria"/>
          <w:color w:val="000000" w:themeColor="text1"/>
          <w:sz w:val="22"/>
          <w:szCs w:val="22"/>
        </w:rPr>
        <w:t>,</w:t>
      </w:r>
      <w:r w:rsidR="00A12180" w:rsidRPr="00737015">
        <w:rPr>
          <w:rFonts w:ascii="Cambria" w:hAnsi="Cambria"/>
          <w:color w:val="000000" w:themeColor="text1"/>
          <w:sz w:val="22"/>
          <w:szCs w:val="22"/>
        </w:rPr>
        <w:t xml:space="preserve"> </w:t>
      </w:r>
      <w:r w:rsidR="009A4794" w:rsidRPr="00737015">
        <w:rPr>
          <w:rFonts w:ascii="Cambria" w:hAnsi="Cambria"/>
          <w:color w:val="000000" w:themeColor="text1"/>
          <w:sz w:val="22"/>
          <w:szCs w:val="22"/>
        </w:rPr>
        <w:t xml:space="preserve">(2018). </w:t>
      </w:r>
      <w:r w:rsidR="00A12180" w:rsidRPr="00737015">
        <w:rPr>
          <w:rFonts w:ascii="Cambria" w:hAnsi="Cambria"/>
          <w:color w:val="000000" w:themeColor="text1"/>
          <w:sz w:val="22"/>
          <w:szCs w:val="22"/>
        </w:rPr>
        <w:t>‘</w:t>
      </w:r>
      <w:hyperlink r:id="rId25" w:history="1">
        <w:r w:rsidR="00A12180" w:rsidRPr="00737015">
          <w:rPr>
            <w:rFonts w:ascii="Cambria" w:eastAsia="Times New Roman" w:hAnsi="Cambria"/>
            <w:color w:val="000000" w:themeColor="text1"/>
            <w:sz w:val="22"/>
            <w:szCs w:val="22"/>
            <w:shd w:val="clear" w:color="auto" w:fill="FFFFFF"/>
            <w:lang w:val="en-US"/>
          </w:rPr>
          <w:t>Allies or Opponents? Power-Sharing, Civil Society, and Gender</w:t>
        </w:r>
      </w:hyperlink>
      <w:r w:rsidR="00737015">
        <w:rPr>
          <w:rFonts w:ascii="Cambria" w:eastAsia="Times New Roman" w:hAnsi="Cambria"/>
          <w:color w:val="000000" w:themeColor="text1"/>
          <w:sz w:val="22"/>
          <w:szCs w:val="22"/>
          <w:shd w:val="clear" w:color="auto" w:fill="FFFFFF"/>
          <w:lang w:val="en-US"/>
        </w:rPr>
        <w:t>’</w:t>
      </w:r>
      <w:r w:rsidR="00737015">
        <w:rPr>
          <w:rFonts w:ascii="Cambria" w:eastAsia="Times New Roman" w:hAnsi="Cambria"/>
          <w:color w:val="000000" w:themeColor="text1"/>
          <w:sz w:val="22"/>
          <w:szCs w:val="22"/>
          <w:lang w:val="en-US"/>
        </w:rPr>
        <w:t>.</w:t>
      </w:r>
      <w:r w:rsidR="00A12180" w:rsidRPr="00737015">
        <w:rPr>
          <w:rFonts w:ascii="Cambria" w:eastAsia="Times New Roman" w:hAnsi="Cambria"/>
          <w:color w:val="000000" w:themeColor="text1"/>
          <w:sz w:val="22"/>
          <w:szCs w:val="22"/>
          <w:lang w:val="en-US"/>
        </w:rPr>
        <w:t xml:space="preserve"> </w:t>
      </w:r>
      <w:r w:rsidR="00A12180" w:rsidRPr="00737015">
        <w:rPr>
          <w:rFonts w:ascii="Cambria" w:hAnsi="Cambria"/>
          <w:i/>
          <w:color w:val="000000" w:themeColor="text1"/>
          <w:sz w:val="22"/>
          <w:szCs w:val="22"/>
        </w:rPr>
        <w:t>Nationalism and Ethnic Politics</w:t>
      </w:r>
      <w:r w:rsidR="00737015">
        <w:rPr>
          <w:rFonts w:ascii="Cambria" w:hAnsi="Cambria"/>
          <w:i/>
          <w:color w:val="000000" w:themeColor="text1"/>
          <w:sz w:val="22"/>
          <w:szCs w:val="22"/>
        </w:rPr>
        <w:t>.</w:t>
      </w:r>
      <w:r w:rsidR="00A12180" w:rsidRPr="00737015">
        <w:rPr>
          <w:rFonts w:ascii="Cambria" w:hAnsi="Cambria"/>
          <w:color w:val="000000" w:themeColor="text1"/>
          <w:sz w:val="22"/>
          <w:szCs w:val="22"/>
        </w:rPr>
        <w:t xml:space="preserve"> 24(1): 100-115.</w:t>
      </w:r>
    </w:p>
    <w:p w14:paraId="53EFBEF9" w14:textId="77777777" w:rsidR="00D94E9E" w:rsidRPr="00A90D10" w:rsidRDefault="00D94E9E" w:rsidP="00494962">
      <w:pPr>
        <w:rPr>
          <w:rFonts w:ascii="Cambria" w:hAnsi="Cambria"/>
          <w:sz w:val="22"/>
          <w:szCs w:val="22"/>
        </w:rPr>
      </w:pPr>
    </w:p>
    <w:p w14:paraId="63782CA1" w14:textId="0006E5EF" w:rsidR="00E458A9" w:rsidRDefault="00D00E7E" w:rsidP="00494962">
      <w:pPr>
        <w:contextualSpacing/>
        <w:rPr>
          <w:rFonts w:ascii="Cambria" w:hAnsi="Cambria"/>
          <w:sz w:val="22"/>
          <w:szCs w:val="22"/>
        </w:rPr>
      </w:pPr>
      <w:r>
        <w:rPr>
          <w:rFonts w:ascii="Cambria" w:hAnsi="Cambria"/>
          <w:sz w:val="22"/>
          <w:szCs w:val="22"/>
          <w:shd w:val="clear" w:color="auto" w:fill="FFFFFF"/>
        </w:rPr>
        <w:t xml:space="preserve">Potter, M., (2018). </w:t>
      </w:r>
      <w:r w:rsidR="00E458A9" w:rsidRPr="00A90D10">
        <w:rPr>
          <w:rFonts w:ascii="Cambria" w:hAnsi="Cambria"/>
          <w:sz w:val="22"/>
          <w:szCs w:val="22"/>
          <w:shd w:val="clear" w:color="auto" w:fill="FFFFFF"/>
        </w:rPr>
        <w:t>‘</w:t>
      </w:r>
      <w:r w:rsidR="00E458A9" w:rsidRPr="00A90D10">
        <w:rPr>
          <w:rFonts w:ascii="Cambria" w:hAnsi="Cambria"/>
          <w:sz w:val="22"/>
          <w:szCs w:val="22"/>
        </w:rPr>
        <w:t>Measuring Inclusion in Political</w:t>
      </w:r>
      <w:r w:rsidR="00FA3006">
        <w:rPr>
          <w:rFonts w:ascii="Cambria" w:hAnsi="Cambria"/>
          <w:sz w:val="22"/>
          <w:szCs w:val="22"/>
        </w:rPr>
        <w:t xml:space="preserve"> Life: A Framework for Analysis</w:t>
      </w:r>
      <w:r w:rsidR="00E458A9" w:rsidRPr="00A90D10">
        <w:rPr>
          <w:rFonts w:ascii="Cambria" w:hAnsi="Cambria"/>
          <w:sz w:val="22"/>
          <w:szCs w:val="22"/>
        </w:rPr>
        <w:t>’</w:t>
      </w:r>
      <w:r w:rsidR="00FA3006">
        <w:rPr>
          <w:rFonts w:ascii="Cambria" w:hAnsi="Cambria"/>
          <w:sz w:val="22"/>
          <w:szCs w:val="22"/>
        </w:rPr>
        <w:t>.</w:t>
      </w:r>
      <w:r w:rsidR="00E458A9" w:rsidRPr="00A90D10">
        <w:rPr>
          <w:rFonts w:ascii="Cambria" w:hAnsi="Cambria"/>
          <w:sz w:val="22"/>
          <w:szCs w:val="22"/>
        </w:rPr>
        <w:t xml:space="preserve"> </w:t>
      </w:r>
      <w:r w:rsidR="00E458A9" w:rsidRPr="00A90D10">
        <w:rPr>
          <w:rFonts w:ascii="Cambria" w:hAnsi="Cambria"/>
          <w:i/>
          <w:sz w:val="22"/>
          <w:szCs w:val="22"/>
        </w:rPr>
        <w:t>Nationalism and Ethnic Politics</w:t>
      </w:r>
      <w:r w:rsidR="00236A4E">
        <w:rPr>
          <w:rFonts w:ascii="Cambria" w:hAnsi="Cambria"/>
          <w:sz w:val="22"/>
          <w:szCs w:val="22"/>
        </w:rPr>
        <w:t xml:space="preserve"> </w:t>
      </w:r>
      <w:r w:rsidR="009F6E9B">
        <w:rPr>
          <w:rFonts w:ascii="Cambria" w:hAnsi="Cambria"/>
          <w:sz w:val="22"/>
          <w:szCs w:val="22"/>
        </w:rPr>
        <w:t>24(3):</w:t>
      </w:r>
      <w:r w:rsidR="00096A3C">
        <w:rPr>
          <w:rFonts w:ascii="Cambria" w:hAnsi="Cambria"/>
          <w:sz w:val="22"/>
          <w:szCs w:val="22"/>
        </w:rPr>
        <w:t xml:space="preserve"> </w:t>
      </w:r>
      <w:r w:rsidR="00E458A9" w:rsidRPr="00A90D10">
        <w:rPr>
          <w:rFonts w:ascii="Cambria" w:hAnsi="Cambria"/>
          <w:sz w:val="22"/>
          <w:szCs w:val="22"/>
        </w:rPr>
        <w:t>324-335.</w:t>
      </w:r>
    </w:p>
    <w:p w14:paraId="0BBB6739" w14:textId="77777777" w:rsidR="00AB2704" w:rsidRDefault="00AB2704" w:rsidP="00494962">
      <w:pPr>
        <w:contextualSpacing/>
        <w:rPr>
          <w:rFonts w:ascii="Cambria" w:hAnsi="Cambria"/>
          <w:sz w:val="22"/>
          <w:szCs w:val="22"/>
        </w:rPr>
      </w:pPr>
    </w:p>
    <w:p w14:paraId="16FF5436" w14:textId="3D597EA4" w:rsidR="00F2053F" w:rsidRPr="00F2053F" w:rsidRDefault="00F2053F" w:rsidP="00494962">
      <w:pPr>
        <w:rPr>
          <w:rFonts w:ascii="Cambria" w:eastAsia="Times New Roman" w:hAnsi="Cambria"/>
          <w:color w:val="000000" w:themeColor="text1"/>
          <w:sz w:val="22"/>
          <w:szCs w:val="22"/>
          <w:lang w:eastAsia="en-GB"/>
        </w:rPr>
      </w:pPr>
      <w:r w:rsidRPr="00F2053F">
        <w:rPr>
          <w:rFonts w:ascii="Cambria" w:eastAsia="Times New Roman" w:hAnsi="Cambria"/>
          <w:color w:val="000000" w:themeColor="text1"/>
          <w:sz w:val="22"/>
          <w:szCs w:val="22"/>
          <w:lang w:eastAsia="en-GB"/>
        </w:rPr>
        <w:t xml:space="preserve">Research and Information Service of the Northern Ireland Assembly and of the Library and Research Service of the Houses of the </w:t>
      </w:r>
      <w:proofErr w:type="spellStart"/>
      <w:r w:rsidRPr="00F2053F">
        <w:rPr>
          <w:rFonts w:ascii="Cambria" w:eastAsia="Times New Roman" w:hAnsi="Cambria"/>
          <w:color w:val="000000" w:themeColor="text1"/>
          <w:sz w:val="22"/>
          <w:szCs w:val="22"/>
          <w:lang w:eastAsia="en-GB"/>
        </w:rPr>
        <w:t>Oireachtas</w:t>
      </w:r>
      <w:proofErr w:type="spellEnd"/>
      <w:r w:rsidRPr="00F2053F">
        <w:rPr>
          <w:rFonts w:ascii="Cambria" w:hAnsi="Cambria"/>
          <w:color w:val="000000" w:themeColor="text1"/>
          <w:sz w:val="22"/>
          <w:szCs w:val="22"/>
        </w:rPr>
        <w:t xml:space="preserve"> </w:t>
      </w:r>
      <w:r>
        <w:rPr>
          <w:rFonts w:ascii="Cambria" w:hAnsi="Cambria"/>
          <w:color w:val="000000" w:themeColor="text1"/>
          <w:sz w:val="22"/>
          <w:szCs w:val="22"/>
        </w:rPr>
        <w:t>(</w:t>
      </w:r>
      <w:proofErr w:type="spellStart"/>
      <w:r w:rsidRPr="00F2053F">
        <w:rPr>
          <w:rFonts w:ascii="Cambria" w:hAnsi="Cambria"/>
          <w:color w:val="000000" w:themeColor="text1"/>
          <w:sz w:val="22"/>
          <w:szCs w:val="22"/>
        </w:rPr>
        <w:t>RaISe</w:t>
      </w:r>
      <w:proofErr w:type="spellEnd"/>
      <w:r>
        <w:rPr>
          <w:rFonts w:ascii="Cambria" w:hAnsi="Cambria"/>
          <w:color w:val="000000" w:themeColor="text1"/>
          <w:sz w:val="22"/>
          <w:szCs w:val="22"/>
        </w:rPr>
        <w:t>)</w:t>
      </w:r>
      <w:r w:rsidRPr="00F2053F">
        <w:rPr>
          <w:rFonts w:ascii="Cambria" w:hAnsi="Cambria"/>
          <w:color w:val="000000" w:themeColor="text1"/>
          <w:sz w:val="22"/>
          <w:szCs w:val="22"/>
        </w:rPr>
        <w:t xml:space="preserve">, </w:t>
      </w:r>
      <w:r w:rsidR="00AB2704" w:rsidRPr="00F2053F">
        <w:rPr>
          <w:rFonts w:ascii="Cambria" w:hAnsi="Cambria"/>
          <w:color w:val="000000" w:themeColor="text1"/>
          <w:sz w:val="22"/>
          <w:szCs w:val="22"/>
        </w:rPr>
        <w:t>(2015)</w:t>
      </w:r>
      <w:r w:rsidRPr="00F2053F">
        <w:rPr>
          <w:rFonts w:ascii="Cambria" w:hAnsi="Cambria"/>
          <w:color w:val="000000" w:themeColor="text1"/>
          <w:sz w:val="22"/>
          <w:szCs w:val="22"/>
        </w:rPr>
        <w:t xml:space="preserve">. </w:t>
      </w:r>
      <w:r w:rsidRPr="00F2053F">
        <w:rPr>
          <w:rFonts w:ascii="Cambria" w:eastAsia="Times New Roman" w:hAnsi="Cambria"/>
          <w:color w:val="000000" w:themeColor="text1"/>
          <w:sz w:val="22"/>
          <w:szCs w:val="22"/>
          <w:lang w:eastAsia="en-GB"/>
        </w:rPr>
        <w:t xml:space="preserve">‘Women in Public Life: Briefing Paper for the </w:t>
      </w:r>
      <w:r w:rsidR="00F029EA">
        <w:rPr>
          <w:rFonts w:ascii="Cambria" w:eastAsia="Times New Roman" w:hAnsi="Cambria"/>
          <w:color w:val="000000" w:themeColor="text1"/>
          <w:sz w:val="22"/>
          <w:szCs w:val="22"/>
          <w:lang w:eastAsia="en-GB"/>
        </w:rPr>
        <w:t>Seventh M</w:t>
      </w:r>
      <w:r w:rsidRPr="00F2053F">
        <w:rPr>
          <w:rFonts w:ascii="Cambria" w:eastAsia="Times New Roman" w:hAnsi="Cambria"/>
          <w:color w:val="000000" w:themeColor="text1"/>
          <w:sz w:val="22"/>
          <w:szCs w:val="22"/>
          <w:lang w:eastAsia="en-GB"/>
        </w:rPr>
        <w:t xml:space="preserve">eeting of the North-South Inter-Parliamentary Association’. </w:t>
      </w:r>
      <w:r w:rsidR="00236A4E">
        <w:rPr>
          <w:rFonts w:ascii="Cambria" w:hAnsi="Cambria"/>
          <w:i/>
          <w:color w:val="000000" w:themeColor="text1"/>
          <w:sz w:val="22"/>
          <w:szCs w:val="22"/>
        </w:rPr>
        <w:t xml:space="preserve">Joint </w:t>
      </w:r>
      <w:proofErr w:type="spellStart"/>
      <w:r w:rsidR="00236A4E">
        <w:rPr>
          <w:rFonts w:ascii="Cambria" w:hAnsi="Cambria"/>
          <w:i/>
          <w:color w:val="000000" w:themeColor="text1"/>
          <w:sz w:val="22"/>
          <w:szCs w:val="22"/>
        </w:rPr>
        <w:t>RaISe</w:t>
      </w:r>
      <w:proofErr w:type="spellEnd"/>
      <w:r w:rsidRPr="00236A4E">
        <w:rPr>
          <w:rFonts w:ascii="Cambria" w:hAnsi="Cambria"/>
          <w:i/>
          <w:color w:val="000000" w:themeColor="text1"/>
          <w:sz w:val="22"/>
          <w:szCs w:val="22"/>
        </w:rPr>
        <w:t>/L&amp;RS Paper 4</w:t>
      </w:r>
      <w:r w:rsidR="00F029EA">
        <w:rPr>
          <w:rFonts w:ascii="Cambria" w:hAnsi="Cambria"/>
          <w:color w:val="000000" w:themeColor="text1"/>
          <w:sz w:val="22"/>
          <w:szCs w:val="22"/>
        </w:rPr>
        <w:t>. Belfast and Dublin:</w:t>
      </w:r>
      <w:r w:rsidR="00236A4E">
        <w:rPr>
          <w:rFonts w:ascii="Cambria" w:hAnsi="Cambria"/>
          <w:color w:val="000000" w:themeColor="text1"/>
          <w:sz w:val="22"/>
          <w:szCs w:val="22"/>
        </w:rPr>
        <w:t xml:space="preserve"> </w:t>
      </w:r>
      <w:r w:rsidR="00236A4E" w:rsidRPr="00F2053F">
        <w:rPr>
          <w:rFonts w:ascii="Cambria" w:eastAsia="Times New Roman" w:hAnsi="Cambria"/>
          <w:color w:val="000000" w:themeColor="text1"/>
          <w:sz w:val="22"/>
          <w:szCs w:val="22"/>
          <w:lang w:eastAsia="en-GB"/>
        </w:rPr>
        <w:t xml:space="preserve">Northern Ireland Assembly and Houses of the </w:t>
      </w:r>
      <w:proofErr w:type="spellStart"/>
      <w:r w:rsidR="00236A4E" w:rsidRPr="00F2053F">
        <w:rPr>
          <w:rFonts w:ascii="Cambria" w:eastAsia="Times New Roman" w:hAnsi="Cambria"/>
          <w:color w:val="000000" w:themeColor="text1"/>
          <w:sz w:val="22"/>
          <w:szCs w:val="22"/>
          <w:lang w:eastAsia="en-GB"/>
        </w:rPr>
        <w:t>Oireachtas</w:t>
      </w:r>
      <w:proofErr w:type="spellEnd"/>
      <w:r w:rsidR="00096A3C">
        <w:rPr>
          <w:rFonts w:ascii="Cambria" w:eastAsia="Times New Roman" w:hAnsi="Cambria"/>
          <w:color w:val="000000" w:themeColor="text1"/>
          <w:sz w:val="22"/>
          <w:szCs w:val="22"/>
          <w:lang w:eastAsia="en-GB"/>
        </w:rPr>
        <w:t>.</w:t>
      </w:r>
    </w:p>
    <w:p w14:paraId="1A758832" w14:textId="7B762F70" w:rsidR="000F7F2A" w:rsidRPr="00A90D10" w:rsidRDefault="00F2053F" w:rsidP="00494962">
      <w:pPr>
        <w:tabs>
          <w:tab w:val="left" w:pos="7875"/>
        </w:tabs>
        <w:rPr>
          <w:rFonts w:ascii="Cambria" w:hAnsi="Cambria"/>
          <w:sz w:val="22"/>
          <w:szCs w:val="22"/>
        </w:rPr>
      </w:pPr>
      <w:r w:rsidRPr="00F2053F">
        <w:rPr>
          <w:rFonts w:ascii="Cambria" w:hAnsi="Cambria"/>
          <w:color w:val="000000" w:themeColor="text1"/>
          <w:sz w:val="22"/>
          <w:szCs w:val="22"/>
        </w:rPr>
        <w:lastRenderedPageBreak/>
        <w:tab/>
      </w:r>
      <w:r w:rsidRPr="00F2053F">
        <w:rPr>
          <w:rFonts w:ascii="Cambria" w:hAnsi="Cambria"/>
          <w:sz w:val="22"/>
          <w:szCs w:val="22"/>
        </w:rPr>
        <w:tab/>
      </w:r>
      <w:r w:rsidR="00096A3C">
        <w:rPr>
          <w:rFonts w:ascii="Cambria" w:hAnsi="Cambria"/>
          <w:sz w:val="22"/>
          <w:szCs w:val="22"/>
        </w:rPr>
        <w:t xml:space="preserve"> </w:t>
      </w:r>
    </w:p>
    <w:p w14:paraId="2B154F32" w14:textId="1FCC730D" w:rsidR="00BC3A92" w:rsidRPr="00A90D10" w:rsidRDefault="000F7F2A" w:rsidP="00494962">
      <w:pPr>
        <w:rPr>
          <w:rFonts w:ascii="Cambria" w:eastAsia="Times New Roman" w:hAnsi="Cambria" w:cs="Arial"/>
          <w:color w:val="000000" w:themeColor="text1"/>
          <w:sz w:val="22"/>
          <w:szCs w:val="22"/>
          <w:shd w:val="clear" w:color="auto" w:fill="FFFFFF"/>
        </w:rPr>
      </w:pPr>
      <w:proofErr w:type="spellStart"/>
      <w:r w:rsidRPr="00A90D10">
        <w:rPr>
          <w:rFonts w:ascii="Cambria" w:hAnsi="Cambria"/>
          <w:sz w:val="22"/>
          <w:szCs w:val="22"/>
        </w:rPr>
        <w:t>Rebouch</w:t>
      </w:r>
      <w:r w:rsidR="003D5B5D" w:rsidRPr="00A90D10">
        <w:rPr>
          <w:rFonts w:ascii="Cambria" w:hAnsi="Cambria"/>
          <w:sz w:val="22"/>
          <w:szCs w:val="22"/>
        </w:rPr>
        <w:t>é</w:t>
      </w:r>
      <w:proofErr w:type="spellEnd"/>
      <w:r w:rsidR="00FA3006">
        <w:rPr>
          <w:rFonts w:ascii="Cambria" w:hAnsi="Cambria"/>
          <w:sz w:val="22"/>
          <w:szCs w:val="22"/>
        </w:rPr>
        <w:t xml:space="preserve">, R., </w:t>
      </w:r>
      <w:r w:rsidR="000E381B" w:rsidRPr="00A90D10">
        <w:rPr>
          <w:rFonts w:ascii="Cambria" w:hAnsi="Cambria"/>
          <w:sz w:val="22"/>
          <w:szCs w:val="22"/>
        </w:rPr>
        <w:t>and</w:t>
      </w:r>
      <w:r w:rsidRPr="00A90D10">
        <w:rPr>
          <w:rFonts w:ascii="Cambria" w:hAnsi="Cambria"/>
          <w:sz w:val="22"/>
          <w:szCs w:val="22"/>
        </w:rPr>
        <w:t xml:space="preserve"> </w:t>
      </w:r>
      <w:proofErr w:type="spellStart"/>
      <w:r w:rsidRPr="00A90D10">
        <w:rPr>
          <w:rFonts w:ascii="Cambria" w:hAnsi="Cambria"/>
          <w:sz w:val="22"/>
          <w:szCs w:val="22"/>
        </w:rPr>
        <w:t>Fearon</w:t>
      </w:r>
      <w:proofErr w:type="spellEnd"/>
      <w:r w:rsidRPr="00A90D10">
        <w:rPr>
          <w:rFonts w:ascii="Cambria" w:hAnsi="Cambria"/>
          <w:sz w:val="22"/>
          <w:szCs w:val="22"/>
        </w:rPr>
        <w:t>, K.</w:t>
      </w:r>
      <w:r w:rsidR="00FA3006">
        <w:rPr>
          <w:rFonts w:ascii="Cambria" w:hAnsi="Cambria"/>
          <w:sz w:val="22"/>
          <w:szCs w:val="22"/>
        </w:rPr>
        <w:t>,</w:t>
      </w:r>
      <w:r w:rsidRPr="00A90D10">
        <w:rPr>
          <w:rFonts w:ascii="Cambria" w:hAnsi="Cambria"/>
          <w:sz w:val="22"/>
          <w:szCs w:val="22"/>
        </w:rPr>
        <w:t xml:space="preserve"> </w:t>
      </w:r>
      <w:r w:rsidR="00AB2704">
        <w:rPr>
          <w:rFonts w:ascii="Cambria" w:hAnsi="Cambria"/>
          <w:sz w:val="22"/>
          <w:szCs w:val="22"/>
        </w:rPr>
        <w:t>(2005)</w:t>
      </w:r>
      <w:r w:rsidR="00236A4E">
        <w:rPr>
          <w:rFonts w:ascii="Cambria" w:hAnsi="Cambria"/>
          <w:sz w:val="22"/>
          <w:szCs w:val="22"/>
        </w:rPr>
        <w:t>.</w:t>
      </w:r>
      <w:r w:rsidR="00AB2704">
        <w:rPr>
          <w:rFonts w:ascii="Cambria" w:hAnsi="Cambria"/>
          <w:sz w:val="22"/>
          <w:szCs w:val="22"/>
        </w:rPr>
        <w:t xml:space="preserve"> </w:t>
      </w:r>
      <w:r w:rsidRPr="00A90D10">
        <w:rPr>
          <w:rFonts w:ascii="Cambria" w:hAnsi="Cambria"/>
          <w:sz w:val="22"/>
          <w:szCs w:val="22"/>
        </w:rPr>
        <w:t>‘Overlapping Identities:</w:t>
      </w:r>
      <w:r w:rsidR="00EF7D3A" w:rsidRPr="00A90D10">
        <w:rPr>
          <w:rFonts w:ascii="Cambria" w:hAnsi="Cambria"/>
          <w:sz w:val="22"/>
          <w:szCs w:val="22"/>
        </w:rPr>
        <w:t xml:space="preserve"> </w:t>
      </w:r>
      <w:r w:rsidR="00F029EA">
        <w:rPr>
          <w:rFonts w:ascii="Cambria" w:hAnsi="Cambria"/>
          <w:sz w:val="22"/>
          <w:szCs w:val="22"/>
        </w:rPr>
        <w:t>P</w:t>
      </w:r>
      <w:r w:rsidR="004228D5" w:rsidRPr="00A90D10">
        <w:rPr>
          <w:rFonts w:ascii="Cambria" w:hAnsi="Cambria"/>
          <w:sz w:val="22"/>
          <w:szCs w:val="22"/>
        </w:rPr>
        <w:t>ower-sharing</w:t>
      </w:r>
      <w:r w:rsidRPr="00A90D10">
        <w:rPr>
          <w:rFonts w:ascii="Cambria" w:hAnsi="Cambria"/>
          <w:sz w:val="22"/>
          <w:szCs w:val="22"/>
        </w:rPr>
        <w:t xml:space="preserve"> and Women’s Rights’, in</w:t>
      </w:r>
      <w:r w:rsidR="00F029EA">
        <w:rPr>
          <w:rFonts w:ascii="Cambria" w:hAnsi="Cambria"/>
          <w:sz w:val="22"/>
          <w:szCs w:val="22"/>
        </w:rPr>
        <w:t xml:space="preserve"> I. </w:t>
      </w:r>
      <w:proofErr w:type="spellStart"/>
      <w:r w:rsidR="00F029EA">
        <w:rPr>
          <w:rFonts w:ascii="Cambria" w:hAnsi="Cambria"/>
          <w:sz w:val="22"/>
          <w:szCs w:val="22"/>
        </w:rPr>
        <w:t>O’Flynn</w:t>
      </w:r>
      <w:proofErr w:type="spellEnd"/>
      <w:r w:rsidR="00F029EA">
        <w:rPr>
          <w:rFonts w:ascii="Cambria" w:hAnsi="Cambria"/>
          <w:sz w:val="22"/>
          <w:szCs w:val="22"/>
        </w:rPr>
        <w:t xml:space="preserve"> and D.</w:t>
      </w:r>
      <w:r w:rsidR="00236A4E">
        <w:rPr>
          <w:rFonts w:ascii="Cambria" w:hAnsi="Cambria"/>
          <w:sz w:val="22"/>
          <w:szCs w:val="22"/>
        </w:rPr>
        <w:t xml:space="preserve"> Russell,</w:t>
      </w:r>
      <w:r w:rsidR="00FA3006">
        <w:rPr>
          <w:rFonts w:ascii="Cambria" w:hAnsi="Cambria"/>
          <w:sz w:val="22"/>
          <w:szCs w:val="22"/>
        </w:rPr>
        <w:t xml:space="preserve"> </w:t>
      </w:r>
      <w:r w:rsidR="00236A4E">
        <w:rPr>
          <w:rFonts w:ascii="Cambria" w:hAnsi="Cambria"/>
          <w:sz w:val="22"/>
          <w:szCs w:val="22"/>
        </w:rPr>
        <w:t>e</w:t>
      </w:r>
      <w:r w:rsidR="00FA3006">
        <w:rPr>
          <w:rFonts w:ascii="Cambria" w:hAnsi="Cambria"/>
          <w:sz w:val="22"/>
          <w:szCs w:val="22"/>
        </w:rPr>
        <w:t>ds</w:t>
      </w:r>
      <w:r w:rsidR="00AB2704">
        <w:rPr>
          <w:rFonts w:ascii="Cambria" w:hAnsi="Cambria"/>
          <w:sz w:val="22"/>
          <w:szCs w:val="22"/>
        </w:rPr>
        <w:t xml:space="preserve">. </w:t>
      </w:r>
      <w:r w:rsidR="0090342D" w:rsidRPr="00A90D10">
        <w:rPr>
          <w:rFonts w:ascii="Cambria" w:hAnsi="Cambria"/>
          <w:i/>
          <w:sz w:val="22"/>
          <w:szCs w:val="22"/>
        </w:rPr>
        <w:t>P</w:t>
      </w:r>
      <w:r w:rsidR="004228D5" w:rsidRPr="00A90D10">
        <w:rPr>
          <w:rFonts w:ascii="Cambria" w:hAnsi="Cambria"/>
          <w:i/>
          <w:sz w:val="22"/>
          <w:szCs w:val="22"/>
        </w:rPr>
        <w:t>ower-sharing</w:t>
      </w:r>
      <w:r w:rsidRPr="00A90D10">
        <w:rPr>
          <w:rFonts w:ascii="Cambria" w:hAnsi="Cambria"/>
          <w:i/>
          <w:sz w:val="22"/>
          <w:szCs w:val="22"/>
        </w:rPr>
        <w:t>: New Challenges for Divided Societies</w:t>
      </w:r>
      <w:r w:rsidR="00E57B66">
        <w:rPr>
          <w:rFonts w:ascii="Cambria" w:hAnsi="Cambria"/>
          <w:sz w:val="22"/>
          <w:szCs w:val="22"/>
        </w:rPr>
        <w:t xml:space="preserve">. </w:t>
      </w:r>
      <w:r w:rsidR="00FA3006">
        <w:rPr>
          <w:rFonts w:ascii="Cambria" w:hAnsi="Cambria"/>
          <w:sz w:val="22"/>
          <w:szCs w:val="22"/>
        </w:rPr>
        <w:t>London: Pluto</w:t>
      </w:r>
      <w:r w:rsidR="000A7B90">
        <w:rPr>
          <w:rFonts w:ascii="Cambria" w:hAnsi="Cambria"/>
          <w:sz w:val="22"/>
          <w:szCs w:val="22"/>
        </w:rPr>
        <w:t>, pp. 155-171</w:t>
      </w:r>
      <w:r w:rsidR="00096A3C">
        <w:rPr>
          <w:rFonts w:ascii="Cambria" w:hAnsi="Cambria"/>
          <w:sz w:val="22"/>
          <w:szCs w:val="22"/>
        </w:rPr>
        <w:t>.</w:t>
      </w:r>
    </w:p>
    <w:p w14:paraId="7790164B" w14:textId="77777777" w:rsidR="000F7F2A" w:rsidRPr="00A90D10" w:rsidRDefault="000F7F2A" w:rsidP="00494962">
      <w:pPr>
        <w:autoSpaceDE w:val="0"/>
        <w:autoSpaceDN w:val="0"/>
        <w:adjustRightInd w:val="0"/>
        <w:rPr>
          <w:rFonts w:ascii="Cambria" w:hAnsi="Cambria"/>
          <w:sz w:val="22"/>
          <w:szCs w:val="22"/>
        </w:rPr>
      </w:pPr>
    </w:p>
    <w:p w14:paraId="6DB4403E" w14:textId="5AAB0203" w:rsidR="000F7F2A" w:rsidRPr="00A90D10" w:rsidRDefault="002B362D" w:rsidP="00494962">
      <w:pPr>
        <w:rPr>
          <w:rFonts w:ascii="Cambria" w:hAnsi="Cambria"/>
          <w:sz w:val="22"/>
          <w:szCs w:val="22"/>
        </w:rPr>
      </w:pPr>
      <w:r>
        <w:rPr>
          <w:rFonts w:ascii="Cambria" w:hAnsi="Cambria"/>
          <w:sz w:val="22"/>
          <w:szCs w:val="22"/>
        </w:rPr>
        <w:t xml:space="preserve">Reid, L., </w:t>
      </w:r>
      <w:r w:rsidR="000F7F2A" w:rsidRPr="00A90D10">
        <w:rPr>
          <w:rFonts w:ascii="Cambria" w:hAnsi="Cambria"/>
          <w:sz w:val="22"/>
          <w:szCs w:val="22"/>
        </w:rPr>
        <w:t>(2015)</w:t>
      </w:r>
      <w:r>
        <w:rPr>
          <w:rFonts w:ascii="Cambria" w:hAnsi="Cambria"/>
          <w:sz w:val="22"/>
          <w:szCs w:val="22"/>
        </w:rPr>
        <w:t>. ‘</w:t>
      </w:r>
      <w:r w:rsidR="000F7F2A" w:rsidRPr="00A90D10">
        <w:rPr>
          <w:rFonts w:ascii="Cambria" w:hAnsi="Cambria"/>
          <w:sz w:val="22"/>
          <w:szCs w:val="22"/>
        </w:rPr>
        <w:t>Generating a Quality Peace: Negotiated Settlements and Women’s</w:t>
      </w:r>
      <w:r>
        <w:rPr>
          <w:rFonts w:ascii="Cambria" w:hAnsi="Cambria"/>
          <w:sz w:val="22"/>
          <w:szCs w:val="22"/>
        </w:rPr>
        <w:t xml:space="preserve"> Rights in the Aftermath of War’. Nov</w:t>
      </w:r>
      <w:r w:rsidR="00F029EA">
        <w:rPr>
          <w:rFonts w:ascii="Cambria" w:hAnsi="Cambria"/>
          <w:sz w:val="22"/>
          <w:szCs w:val="22"/>
        </w:rPr>
        <w:t>ember</w:t>
      </w:r>
      <w:r>
        <w:rPr>
          <w:rFonts w:ascii="Cambria" w:hAnsi="Cambria"/>
          <w:sz w:val="22"/>
          <w:szCs w:val="22"/>
        </w:rPr>
        <w:t xml:space="preserve"> 2015, Belfast. Queens University Belfast Conference  </w:t>
      </w:r>
    </w:p>
    <w:p w14:paraId="062FADAD" w14:textId="758D5887" w:rsidR="009517AD" w:rsidRDefault="002B362D" w:rsidP="00494962">
      <w:pPr>
        <w:spacing w:before="100" w:beforeAutospacing="1" w:after="100" w:afterAutospacing="1"/>
        <w:rPr>
          <w:rFonts w:ascii="Cambria" w:hAnsi="Cambria"/>
          <w:sz w:val="22"/>
          <w:szCs w:val="22"/>
        </w:rPr>
      </w:pPr>
      <w:proofErr w:type="spellStart"/>
      <w:r>
        <w:rPr>
          <w:rFonts w:ascii="Cambria" w:hAnsi="Cambria"/>
          <w:sz w:val="22"/>
          <w:szCs w:val="22"/>
        </w:rPr>
        <w:t>Reyntjens</w:t>
      </w:r>
      <w:proofErr w:type="spellEnd"/>
      <w:r>
        <w:rPr>
          <w:rFonts w:ascii="Cambria" w:hAnsi="Cambria"/>
          <w:sz w:val="22"/>
          <w:szCs w:val="22"/>
        </w:rPr>
        <w:t>, F.</w:t>
      </w:r>
      <w:r w:rsidR="00236A4E">
        <w:rPr>
          <w:rFonts w:ascii="Cambria" w:hAnsi="Cambria"/>
          <w:sz w:val="22"/>
          <w:szCs w:val="22"/>
        </w:rPr>
        <w:t>, (2015).</w:t>
      </w:r>
      <w:r>
        <w:rPr>
          <w:rFonts w:ascii="Cambria" w:hAnsi="Cambria"/>
          <w:sz w:val="22"/>
          <w:szCs w:val="22"/>
        </w:rPr>
        <w:t xml:space="preserve"> ‘</w:t>
      </w:r>
      <w:r w:rsidR="009517AD" w:rsidRPr="00A90D10">
        <w:rPr>
          <w:rFonts w:ascii="Cambria" w:hAnsi="Cambria"/>
          <w:sz w:val="22"/>
          <w:szCs w:val="22"/>
        </w:rPr>
        <w:t>Burundi: Institutionalizing Ethnic</w:t>
      </w:r>
      <w:r>
        <w:rPr>
          <w:rFonts w:ascii="Cambria" w:hAnsi="Cambria"/>
          <w:sz w:val="22"/>
          <w:szCs w:val="22"/>
        </w:rPr>
        <w:t>ity t</w:t>
      </w:r>
      <w:r w:rsidR="00236A4E">
        <w:rPr>
          <w:rFonts w:ascii="Cambria" w:hAnsi="Cambria"/>
          <w:sz w:val="22"/>
          <w:szCs w:val="22"/>
        </w:rPr>
        <w:t>o Bridge the Ethnic Divide’, in A.</w:t>
      </w:r>
      <w:r>
        <w:rPr>
          <w:rFonts w:ascii="Cambria" w:hAnsi="Cambria"/>
          <w:sz w:val="22"/>
          <w:szCs w:val="22"/>
        </w:rPr>
        <w:t xml:space="preserve"> </w:t>
      </w:r>
      <w:proofErr w:type="spellStart"/>
      <w:r>
        <w:rPr>
          <w:rFonts w:ascii="Cambria" w:hAnsi="Cambria"/>
          <w:sz w:val="22"/>
          <w:szCs w:val="22"/>
        </w:rPr>
        <w:t>Kuperman</w:t>
      </w:r>
      <w:proofErr w:type="spellEnd"/>
      <w:r>
        <w:rPr>
          <w:rFonts w:ascii="Cambria" w:hAnsi="Cambria"/>
          <w:sz w:val="22"/>
          <w:szCs w:val="22"/>
        </w:rPr>
        <w:t>, ed.</w:t>
      </w:r>
      <w:r w:rsidR="009517AD" w:rsidRPr="00A90D10">
        <w:rPr>
          <w:rFonts w:ascii="Cambria" w:hAnsi="Cambria"/>
          <w:sz w:val="22"/>
          <w:szCs w:val="22"/>
        </w:rPr>
        <w:t xml:space="preserve"> </w:t>
      </w:r>
      <w:r w:rsidR="00B650BD" w:rsidRPr="00A90D10">
        <w:rPr>
          <w:rFonts w:ascii="Cambria" w:hAnsi="Cambria"/>
          <w:i/>
          <w:iCs/>
          <w:sz w:val="22"/>
          <w:szCs w:val="22"/>
        </w:rPr>
        <w:t>Constitutions and Confl</w:t>
      </w:r>
      <w:r w:rsidR="009517AD" w:rsidRPr="00A90D10">
        <w:rPr>
          <w:rFonts w:ascii="Cambria" w:hAnsi="Cambria"/>
          <w:i/>
          <w:iCs/>
          <w:sz w:val="22"/>
          <w:szCs w:val="22"/>
        </w:rPr>
        <w:t>ict Management in Africa: Preventing Civil War Through Institutional Design</w:t>
      </w:r>
      <w:r w:rsidR="00236A4E">
        <w:rPr>
          <w:rFonts w:ascii="Cambria" w:hAnsi="Cambria"/>
          <w:sz w:val="22"/>
          <w:szCs w:val="22"/>
        </w:rPr>
        <w:t>.</w:t>
      </w:r>
      <w:r w:rsidR="009517AD" w:rsidRPr="00A90D10">
        <w:rPr>
          <w:rFonts w:ascii="Cambria" w:hAnsi="Cambria"/>
          <w:sz w:val="22"/>
          <w:szCs w:val="22"/>
        </w:rPr>
        <w:t xml:space="preserve"> </w:t>
      </w:r>
      <w:r w:rsidR="00236A4E">
        <w:rPr>
          <w:rFonts w:ascii="Cambria" w:hAnsi="Cambria"/>
          <w:sz w:val="22"/>
          <w:szCs w:val="22"/>
        </w:rPr>
        <w:t>Philadelphia:</w:t>
      </w:r>
      <w:r w:rsidR="00F029EA">
        <w:rPr>
          <w:rFonts w:ascii="Cambria" w:hAnsi="Cambria"/>
          <w:sz w:val="22"/>
          <w:szCs w:val="22"/>
        </w:rPr>
        <w:t xml:space="preserve"> </w:t>
      </w:r>
      <w:r w:rsidR="009517AD" w:rsidRPr="00A90D10">
        <w:rPr>
          <w:rFonts w:ascii="Cambria" w:hAnsi="Cambria"/>
          <w:sz w:val="22"/>
          <w:szCs w:val="22"/>
        </w:rPr>
        <w:t>Un</w:t>
      </w:r>
      <w:r w:rsidR="00236A4E">
        <w:rPr>
          <w:rFonts w:ascii="Cambria" w:hAnsi="Cambria"/>
          <w:sz w:val="22"/>
          <w:szCs w:val="22"/>
        </w:rPr>
        <w:t>iversity of Pennsylvania Press,</w:t>
      </w:r>
      <w:r>
        <w:rPr>
          <w:rFonts w:ascii="Cambria" w:hAnsi="Cambria"/>
          <w:sz w:val="22"/>
          <w:szCs w:val="22"/>
        </w:rPr>
        <w:t xml:space="preserve"> pp. </w:t>
      </w:r>
      <w:r w:rsidR="0039226A">
        <w:rPr>
          <w:rFonts w:ascii="Cambria" w:hAnsi="Cambria"/>
          <w:sz w:val="22"/>
          <w:szCs w:val="22"/>
        </w:rPr>
        <w:t>27-50</w:t>
      </w:r>
      <w:r w:rsidR="00096A3C">
        <w:rPr>
          <w:rFonts w:ascii="Cambria" w:hAnsi="Cambria"/>
          <w:sz w:val="22"/>
          <w:szCs w:val="22"/>
        </w:rPr>
        <w:t>.</w:t>
      </w:r>
      <w:r w:rsidR="009517AD" w:rsidRPr="00A90D10">
        <w:rPr>
          <w:rFonts w:ascii="Cambria" w:hAnsi="Cambria"/>
          <w:sz w:val="22"/>
          <w:szCs w:val="22"/>
        </w:rPr>
        <w:t xml:space="preserve"> </w:t>
      </w:r>
    </w:p>
    <w:p w14:paraId="776976EE" w14:textId="17BAE7F1" w:rsidR="00A12180" w:rsidRPr="00C11D7E" w:rsidRDefault="00A12180" w:rsidP="00494962">
      <w:pPr>
        <w:rPr>
          <w:rFonts w:ascii="Cambria" w:eastAsia="Times New Roman" w:hAnsi="Cambria"/>
          <w:color w:val="000000" w:themeColor="text1"/>
          <w:sz w:val="22"/>
          <w:szCs w:val="22"/>
          <w:lang w:val="en-US"/>
        </w:rPr>
      </w:pPr>
      <w:r w:rsidRPr="00C11D7E">
        <w:rPr>
          <w:rFonts w:ascii="Cambria" w:hAnsi="Cambria"/>
          <w:color w:val="000000" w:themeColor="text1"/>
          <w:sz w:val="22"/>
          <w:szCs w:val="22"/>
        </w:rPr>
        <w:t>Roberts, D.</w:t>
      </w:r>
      <w:r w:rsidR="00967FA9">
        <w:rPr>
          <w:rFonts w:ascii="Cambria" w:hAnsi="Cambria"/>
          <w:color w:val="000000" w:themeColor="text1"/>
          <w:sz w:val="22"/>
          <w:szCs w:val="22"/>
        </w:rPr>
        <w:t>, (2017).</w:t>
      </w:r>
      <w:r w:rsidRPr="00C11D7E">
        <w:rPr>
          <w:rFonts w:ascii="Cambria" w:hAnsi="Cambria"/>
          <w:color w:val="000000" w:themeColor="text1"/>
          <w:sz w:val="22"/>
          <w:szCs w:val="22"/>
        </w:rPr>
        <w:t xml:space="preserve"> </w:t>
      </w:r>
      <w:r w:rsidRPr="00C11D7E">
        <w:rPr>
          <w:rFonts w:ascii="Cambria" w:eastAsia="Times New Roman" w:hAnsi="Cambria"/>
          <w:color w:val="000000" w:themeColor="text1"/>
          <w:sz w:val="22"/>
          <w:szCs w:val="22"/>
          <w:lang w:val="en-US"/>
        </w:rPr>
        <w:t>‘</w:t>
      </w:r>
      <w:r w:rsidR="00E60506" w:rsidRPr="00C11D7E">
        <w:rPr>
          <w:rFonts w:ascii="Cambria" w:eastAsia="Times New Roman" w:hAnsi="Cambria"/>
          <w:color w:val="000000" w:themeColor="text1"/>
          <w:sz w:val="22"/>
          <w:szCs w:val="22"/>
          <w:lang w:val="en-US"/>
        </w:rPr>
        <w:t>“</w:t>
      </w:r>
      <w:r w:rsidRPr="00C11D7E">
        <w:rPr>
          <w:rFonts w:ascii="Cambria" w:eastAsia="Times New Roman" w:hAnsi="Cambria"/>
          <w:color w:val="000000" w:themeColor="text1"/>
          <w:sz w:val="22"/>
          <w:szCs w:val="22"/>
          <w:lang w:val="en-US"/>
        </w:rPr>
        <w:t>…it’s being asked to leave a meeting half way t</w:t>
      </w:r>
      <w:r w:rsidR="00E60506" w:rsidRPr="00C11D7E">
        <w:rPr>
          <w:rFonts w:ascii="Cambria" w:eastAsia="Times New Roman" w:hAnsi="Cambria"/>
          <w:color w:val="000000" w:themeColor="text1"/>
          <w:sz w:val="22"/>
          <w:szCs w:val="22"/>
          <w:lang w:val="en-US"/>
        </w:rPr>
        <w:t>hrough to make tea for someone…”</w:t>
      </w:r>
      <w:r w:rsidR="00F029EA">
        <w:rPr>
          <w:rFonts w:ascii="Cambria" w:eastAsia="Times New Roman" w:hAnsi="Cambria"/>
          <w:color w:val="000000" w:themeColor="text1"/>
          <w:sz w:val="22"/>
          <w:szCs w:val="22"/>
          <w:lang w:val="en-US"/>
        </w:rPr>
        <w:t xml:space="preserve"> Barriers to Political Participation E</w:t>
      </w:r>
      <w:r w:rsidRPr="00C11D7E">
        <w:rPr>
          <w:rFonts w:ascii="Cambria" w:eastAsia="Times New Roman" w:hAnsi="Cambria"/>
          <w:color w:val="000000" w:themeColor="text1"/>
          <w:sz w:val="22"/>
          <w:szCs w:val="22"/>
          <w:lang w:val="en-US"/>
        </w:rPr>
        <w:t xml:space="preserve">xperienced </w:t>
      </w:r>
      <w:r w:rsidR="00F029EA">
        <w:rPr>
          <w:rFonts w:ascii="Cambria" w:eastAsia="Times New Roman" w:hAnsi="Cambria"/>
          <w:color w:val="000000" w:themeColor="text1"/>
          <w:sz w:val="22"/>
          <w:szCs w:val="22"/>
          <w:lang w:val="en-US"/>
        </w:rPr>
        <w:t>by Protestant, Unionist and/or L</w:t>
      </w:r>
      <w:r w:rsidRPr="00C11D7E">
        <w:rPr>
          <w:rFonts w:ascii="Cambria" w:eastAsia="Times New Roman" w:hAnsi="Cambria"/>
          <w:color w:val="000000" w:themeColor="text1"/>
          <w:sz w:val="22"/>
          <w:szCs w:val="22"/>
          <w:lang w:val="en-US"/>
        </w:rPr>
        <w:t>oy</w:t>
      </w:r>
      <w:r w:rsidR="00F029EA">
        <w:rPr>
          <w:rFonts w:ascii="Cambria" w:eastAsia="Times New Roman" w:hAnsi="Cambria"/>
          <w:color w:val="000000" w:themeColor="text1"/>
          <w:sz w:val="22"/>
          <w:szCs w:val="22"/>
          <w:lang w:val="en-US"/>
        </w:rPr>
        <w:t>alist W</w:t>
      </w:r>
      <w:r w:rsidR="00E60506" w:rsidRPr="00C11D7E">
        <w:rPr>
          <w:rFonts w:ascii="Cambria" w:eastAsia="Times New Roman" w:hAnsi="Cambria"/>
          <w:color w:val="000000" w:themeColor="text1"/>
          <w:sz w:val="22"/>
          <w:szCs w:val="22"/>
          <w:lang w:val="en-US"/>
        </w:rPr>
        <w:t>omen in Northern Ireland.</w:t>
      </w:r>
      <w:r w:rsidRPr="00C11D7E">
        <w:rPr>
          <w:rFonts w:ascii="Cambria" w:eastAsia="Times New Roman" w:hAnsi="Cambria"/>
          <w:color w:val="000000" w:themeColor="text1"/>
          <w:sz w:val="22"/>
          <w:szCs w:val="22"/>
          <w:lang w:val="en-US"/>
        </w:rPr>
        <w:t>’ Paper presented at Political Studies of Ireland</w:t>
      </w:r>
      <w:r w:rsidR="0039226A">
        <w:rPr>
          <w:rFonts w:ascii="Cambria" w:eastAsia="Times New Roman" w:hAnsi="Cambria"/>
          <w:color w:val="000000" w:themeColor="text1"/>
          <w:sz w:val="22"/>
          <w:szCs w:val="22"/>
          <w:lang w:val="en-US"/>
        </w:rPr>
        <w:t xml:space="preserve"> Annual Conference 2017, Dublin</w:t>
      </w:r>
      <w:r w:rsidR="00096A3C">
        <w:rPr>
          <w:rFonts w:ascii="Cambria" w:eastAsia="Times New Roman" w:hAnsi="Cambria"/>
          <w:color w:val="000000" w:themeColor="text1"/>
          <w:sz w:val="22"/>
          <w:szCs w:val="22"/>
          <w:lang w:val="en-US"/>
        </w:rPr>
        <w:t>.</w:t>
      </w:r>
    </w:p>
    <w:p w14:paraId="45C1A967" w14:textId="77777777" w:rsidR="00E60506" w:rsidRPr="00E60506" w:rsidRDefault="00E60506" w:rsidP="00494962">
      <w:pPr>
        <w:rPr>
          <w:rFonts w:ascii="Cambria" w:eastAsia="Times New Roman" w:hAnsi="Cambria"/>
          <w:color w:val="FF0000"/>
          <w:sz w:val="22"/>
          <w:szCs w:val="22"/>
          <w:lang w:val="en-US"/>
        </w:rPr>
      </w:pPr>
    </w:p>
    <w:p w14:paraId="33A57A1E" w14:textId="35B38220" w:rsidR="000F7F2A" w:rsidRPr="00A90D10" w:rsidRDefault="000F7F2A" w:rsidP="00494962">
      <w:pPr>
        <w:rPr>
          <w:rFonts w:ascii="Cambria" w:eastAsia="Times New Roman" w:hAnsi="Cambria"/>
          <w:color w:val="000000" w:themeColor="text1"/>
          <w:sz w:val="22"/>
          <w:szCs w:val="22"/>
        </w:rPr>
      </w:pPr>
      <w:r w:rsidRPr="00A90D10">
        <w:rPr>
          <w:rFonts w:ascii="Cambria" w:hAnsi="Cambria"/>
          <w:color w:val="000000" w:themeColor="text1"/>
          <w:sz w:val="22"/>
          <w:szCs w:val="22"/>
        </w:rPr>
        <w:t>Rooney, E.</w:t>
      </w:r>
      <w:r w:rsidR="009D7D02">
        <w:rPr>
          <w:rFonts w:ascii="Cambria" w:hAnsi="Cambria"/>
          <w:color w:val="000000" w:themeColor="text1"/>
          <w:sz w:val="22"/>
          <w:szCs w:val="22"/>
        </w:rPr>
        <w:t>,</w:t>
      </w:r>
      <w:r w:rsidRPr="00A90D10">
        <w:rPr>
          <w:rFonts w:ascii="Cambria" w:hAnsi="Cambria"/>
          <w:color w:val="000000" w:themeColor="text1"/>
          <w:sz w:val="22"/>
          <w:szCs w:val="22"/>
        </w:rPr>
        <w:t xml:space="preserve"> and Swaine, A.</w:t>
      </w:r>
      <w:r w:rsidR="009D7D02">
        <w:rPr>
          <w:rFonts w:ascii="Cambria" w:hAnsi="Cambria"/>
          <w:color w:val="000000" w:themeColor="text1"/>
          <w:sz w:val="22"/>
          <w:szCs w:val="22"/>
        </w:rPr>
        <w:t>,</w:t>
      </w:r>
      <w:r w:rsidRPr="00A90D10">
        <w:rPr>
          <w:rFonts w:ascii="Cambria" w:hAnsi="Cambria"/>
          <w:color w:val="000000" w:themeColor="text1"/>
          <w:sz w:val="22"/>
          <w:szCs w:val="22"/>
        </w:rPr>
        <w:t xml:space="preserve"> (2012)</w:t>
      </w:r>
      <w:r w:rsidR="009D7D02">
        <w:rPr>
          <w:rFonts w:ascii="Cambria" w:hAnsi="Cambria"/>
          <w:color w:val="000000" w:themeColor="text1"/>
          <w:sz w:val="22"/>
          <w:szCs w:val="22"/>
        </w:rPr>
        <w:t>.</w:t>
      </w:r>
      <w:r w:rsidRPr="00A90D10">
        <w:rPr>
          <w:rFonts w:ascii="Cambria" w:hAnsi="Cambria"/>
          <w:color w:val="000000" w:themeColor="text1"/>
          <w:sz w:val="22"/>
          <w:szCs w:val="22"/>
        </w:rPr>
        <w:t xml:space="preserve"> </w:t>
      </w:r>
      <w:r w:rsidR="00967FA9">
        <w:rPr>
          <w:rFonts w:ascii="Cambria" w:hAnsi="Cambria"/>
          <w:color w:val="000000" w:themeColor="text1"/>
          <w:sz w:val="22"/>
          <w:szCs w:val="22"/>
        </w:rPr>
        <w:t>‘</w:t>
      </w:r>
      <w:r w:rsidRPr="00A90D10">
        <w:rPr>
          <w:rFonts w:ascii="Cambria" w:eastAsia="Times New Roman" w:hAnsi="Cambria"/>
          <w:color w:val="000000" w:themeColor="text1"/>
          <w:sz w:val="22"/>
          <w:szCs w:val="22"/>
          <w:shd w:val="clear" w:color="auto" w:fill="FFFFFF"/>
        </w:rPr>
        <w:t xml:space="preserve">The </w:t>
      </w:r>
      <w:r w:rsidR="00967FA9">
        <w:rPr>
          <w:rFonts w:ascii="Cambria" w:eastAsia="Times New Roman" w:hAnsi="Cambria"/>
          <w:color w:val="000000" w:themeColor="text1"/>
          <w:sz w:val="22"/>
          <w:szCs w:val="22"/>
          <w:shd w:val="clear" w:color="auto" w:fill="FFFFFF"/>
        </w:rPr>
        <w:t>“</w:t>
      </w:r>
      <w:r w:rsidRPr="00A90D10">
        <w:rPr>
          <w:rFonts w:ascii="Cambria" w:eastAsia="Times New Roman" w:hAnsi="Cambria"/>
          <w:color w:val="000000" w:themeColor="text1"/>
          <w:sz w:val="22"/>
          <w:szCs w:val="22"/>
        </w:rPr>
        <w:t>Long Grass</w:t>
      </w:r>
      <w:r w:rsidR="00967FA9">
        <w:rPr>
          <w:rFonts w:ascii="Cambria" w:eastAsia="Times New Roman" w:hAnsi="Cambria"/>
          <w:color w:val="000000" w:themeColor="text1"/>
          <w:sz w:val="22"/>
          <w:szCs w:val="22"/>
          <w:shd w:val="clear" w:color="auto" w:fill="FFFFFF"/>
        </w:rPr>
        <w:t>”</w:t>
      </w:r>
      <w:r w:rsidRPr="00A90D10">
        <w:rPr>
          <w:rFonts w:ascii="Cambria" w:eastAsia="Times New Roman" w:hAnsi="Cambria"/>
          <w:color w:val="000000" w:themeColor="text1"/>
          <w:sz w:val="22"/>
          <w:szCs w:val="22"/>
          <w:shd w:val="clear" w:color="auto" w:fill="FFFFFF"/>
        </w:rPr>
        <w:t xml:space="preserve"> of Agreements</w:t>
      </w:r>
      <w:r w:rsidR="009D7D02">
        <w:rPr>
          <w:rFonts w:ascii="Cambria" w:eastAsia="Times New Roman" w:hAnsi="Cambria"/>
          <w:color w:val="000000" w:themeColor="text1"/>
          <w:sz w:val="22"/>
          <w:szCs w:val="22"/>
          <w:shd w:val="clear" w:color="auto" w:fill="FFFFFF"/>
        </w:rPr>
        <w:t>: Promise, Theory and Practice</w:t>
      </w:r>
      <w:r w:rsidR="00967FA9">
        <w:rPr>
          <w:rFonts w:ascii="Cambria" w:eastAsia="Times New Roman" w:hAnsi="Cambria"/>
          <w:color w:val="000000" w:themeColor="text1"/>
          <w:sz w:val="22"/>
          <w:szCs w:val="22"/>
          <w:shd w:val="clear" w:color="auto" w:fill="FFFFFF"/>
        </w:rPr>
        <w:t>’</w:t>
      </w:r>
      <w:r w:rsidR="009D7D02">
        <w:rPr>
          <w:rFonts w:ascii="Cambria" w:eastAsia="Times New Roman" w:hAnsi="Cambria"/>
          <w:color w:val="000000" w:themeColor="text1"/>
          <w:sz w:val="22"/>
          <w:szCs w:val="22"/>
          <w:shd w:val="clear" w:color="auto" w:fill="FFFFFF"/>
        </w:rPr>
        <w:t xml:space="preserve">. </w:t>
      </w:r>
      <w:r w:rsidRPr="00A90D10">
        <w:rPr>
          <w:rFonts w:ascii="Cambria" w:eastAsia="Times New Roman" w:hAnsi="Cambria"/>
          <w:i/>
          <w:color w:val="000000" w:themeColor="text1"/>
          <w:sz w:val="22"/>
          <w:szCs w:val="22"/>
          <w:shd w:val="clear" w:color="auto" w:fill="FFFFFF"/>
        </w:rPr>
        <w:t>Brill International Criminal Law Review</w:t>
      </w:r>
      <w:r w:rsidR="009D7D02">
        <w:rPr>
          <w:rFonts w:ascii="Cambria" w:eastAsia="Times New Roman" w:hAnsi="Cambria"/>
          <w:color w:val="000000" w:themeColor="text1"/>
          <w:sz w:val="22"/>
          <w:szCs w:val="22"/>
          <w:shd w:val="clear" w:color="auto" w:fill="FFFFFF"/>
        </w:rPr>
        <w:t xml:space="preserve"> 12</w:t>
      </w:r>
      <w:r w:rsidR="00CD36B7">
        <w:rPr>
          <w:rFonts w:ascii="Cambria" w:eastAsia="Times New Roman" w:hAnsi="Cambria"/>
          <w:color w:val="000000" w:themeColor="text1"/>
          <w:sz w:val="22"/>
          <w:szCs w:val="22"/>
          <w:shd w:val="clear" w:color="auto" w:fill="FFFFFF"/>
        </w:rPr>
        <w:t>(3): 1-30</w:t>
      </w:r>
      <w:r w:rsidR="00096A3C">
        <w:rPr>
          <w:rFonts w:ascii="Cambria" w:eastAsia="Times New Roman" w:hAnsi="Cambria"/>
          <w:color w:val="000000" w:themeColor="text1"/>
          <w:sz w:val="22"/>
          <w:szCs w:val="22"/>
          <w:shd w:val="clear" w:color="auto" w:fill="FFFFFF"/>
        </w:rPr>
        <w:t>.</w:t>
      </w:r>
    </w:p>
    <w:p w14:paraId="6E4A9395" w14:textId="77777777" w:rsidR="000F7F2A" w:rsidRPr="009D7D02" w:rsidRDefault="000F7F2A" w:rsidP="00494962">
      <w:pPr>
        <w:rPr>
          <w:rFonts w:ascii="Cambria" w:hAnsi="Cambria"/>
          <w:sz w:val="22"/>
          <w:szCs w:val="22"/>
        </w:rPr>
      </w:pPr>
    </w:p>
    <w:p w14:paraId="3E0CAE4B" w14:textId="0D16BB66" w:rsidR="000F7F2A" w:rsidRDefault="0039226A" w:rsidP="00494962">
      <w:pPr>
        <w:autoSpaceDE w:val="0"/>
        <w:autoSpaceDN w:val="0"/>
        <w:adjustRightInd w:val="0"/>
        <w:rPr>
          <w:rFonts w:ascii="Cambria" w:hAnsi="Cambria"/>
          <w:sz w:val="22"/>
          <w:szCs w:val="22"/>
        </w:rPr>
      </w:pPr>
      <w:r>
        <w:rPr>
          <w:rFonts w:ascii="Cambria" w:hAnsi="Cambria"/>
          <w:sz w:val="22"/>
          <w:szCs w:val="22"/>
        </w:rPr>
        <w:t>Rouse, M., (2016). ‘“</w:t>
      </w:r>
      <w:r w:rsidR="00F029EA">
        <w:rPr>
          <w:rFonts w:ascii="Cambria" w:hAnsi="Cambria"/>
          <w:sz w:val="22"/>
          <w:szCs w:val="22"/>
        </w:rPr>
        <w:t>In Need of a Fresh S</w:t>
      </w:r>
      <w:r w:rsidR="000F7F2A" w:rsidRPr="009D7D02">
        <w:rPr>
          <w:rFonts w:ascii="Cambria" w:hAnsi="Cambria"/>
          <w:sz w:val="22"/>
          <w:szCs w:val="22"/>
        </w:rPr>
        <w:t>tart</w:t>
      </w:r>
      <w:r>
        <w:rPr>
          <w:rFonts w:ascii="Cambria" w:hAnsi="Cambria"/>
          <w:sz w:val="22"/>
          <w:szCs w:val="22"/>
        </w:rPr>
        <w:t>”</w:t>
      </w:r>
      <w:r w:rsidR="00F029EA">
        <w:rPr>
          <w:rFonts w:ascii="Cambria" w:hAnsi="Cambria"/>
          <w:sz w:val="22"/>
          <w:szCs w:val="22"/>
        </w:rPr>
        <w:t>: Gender Equality in P</w:t>
      </w:r>
      <w:r w:rsidR="000F7F2A" w:rsidRPr="009D7D02">
        <w:rPr>
          <w:rFonts w:ascii="Cambria" w:hAnsi="Cambria"/>
          <w:sz w:val="22"/>
          <w:szCs w:val="22"/>
        </w:rPr>
        <w:t>ost-GFA North</w:t>
      </w:r>
      <w:r w:rsidR="009D7D02" w:rsidRPr="009D7D02">
        <w:rPr>
          <w:rFonts w:ascii="Cambria" w:hAnsi="Cambria"/>
          <w:sz w:val="22"/>
          <w:szCs w:val="22"/>
        </w:rPr>
        <w:t>ern Ireland’.</w:t>
      </w:r>
      <w:r w:rsidR="000F7F2A" w:rsidRPr="009D7D02">
        <w:rPr>
          <w:rFonts w:ascii="Cambria" w:hAnsi="Cambria"/>
          <w:sz w:val="22"/>
          <w:szCs w:val="22"/>
        </w:rPr>
        <w:t xml:space="preserve"> </w:t>
      </w:r>
      <w:r w:rsidR="000F7F2A" w:rsidRPr="009D7D02">
        <w:rPr>
          <w:rFonts w:ascii="Cambria" w:hAnsi="Cambria"/>
          <w:i/>
          <w:sz w:val="22"/>
          <w:szCs w:val="22"/>
        </w:rPr>
        <w:t>NILQ</w:t>
      </w:r>
      <w:r w:rsidR="009D7D02" w:rsidRPr="009D7D02">
        <w:rPr>
          <w:rFonts w:ascii="Cambria" w:hAnsi="Cambria"/>
          <w:sz w:val="22"/>
          <w:szCs w:val="22"/>
        </w:rPr>
        <w:t xml:space="preserve"> 67</w:t>
      </w:r>
      <w:r>
        <w:rPr>
          <w:rFonts w:ascii="Cambria" w:hAnsi="Cambria"/>
          <w:sz w:val="22"/>
          <w:szCs w:val="22"/>
        </w:rPr>
        <w:t>(2):</w:t>
      </w:r>
      <w:r w:rsidR="000F7F2A" w:rsidRPr="009D7D02">
        <w:rPr>
          <w:rFonts w:ascii="Cambria" w:hAnsi="Cambria"/>
          <w:sz w:val="22"/>
          <w:szCs w:val="22"/>
        </w:rPr>
        <w:t xml:space="preserve"> </w:t>
      </w:r>
      <w:r w:rsidR="009D7D02" w:rsidRPr="009D7D02">
        <w:rPr>
          <w:rFonts w:ascii="Cambria" w:hAnsi="Cambria"/>
          <w:sz w:val="22"/>
          <w:szCs w:val="22"/>
        </w:rPr>
        <w:t>233-240</w:t>
      </w:r>
      <w:r w:rsidR="00096A3C">
        <w:rPr>
          <w:rFonts w:ascii="Cambria" w:hAnsi="Cambria"/>
          <w:sz w:val="22"/>
          <w:szCs w:val="22"/>
        </w:rPr>
        <w:t>.</w:t>
      </w:r>
    </w:p>
    <w:p w14:paraId="203819A6" w14:textId="77777777" w:rsidR="00E2419E" w:rsidRDefault="00E2419E" w:rsidP="00494962">
      <w:pPr>
        <w:autoSpaceDE w:val="0"/>
        <w:autoSpaceDN w:val="0"/>
        <w:adjustRightInd w:val="0"/>
        <w:rPr>
          <w:rFonts w:ascii="Cambria" w:hAnsi="Cambria"/>
          <w:sz w:val="22"/>
          <w:szCs w:val="22"/>
        </w:rPr>
      </w:pPr>
    </w:p>
    <w:p w14:paraId="233CB85E" w14:textId="61354320" w:rsidR="00E2419E" w:rsidRPr="00096371" w:rsidRDefault="00096371" w:rsidP="00494962">
      <w:pPr>
        <w:autoSpaceDE w:val="0"/>
        <w:autoSpaceDN w:val="0"/>
        <w:adjustRightInd w:val="0"/>
        <w:rPr>
          <w:rFonts w:ascii="Cambria" w:hAnsi="Cambria"/>
          <w:i/>
          <w:color w:val="000000" w:themeColor="text1"/>
          <w:sz w:val="22"/>
          <w:szCs w:val="22"/>
        </w:rPr>
      </w:pPr>
      <w:proofErr w:type="spellStart"/>
      <w:r w:rsidRPr="00096371">
        <w:rPr>
          <w:rFonts w:ascii="Cambria" w:hAnsi="Cambria"/>
          <w:color w:val="000000" w:themeColor="text1"/>
          <w:sz w:val="22"/>
          <w:szCs w:val="22"/>
        </w:rPr>
        <w:t>Thelen</w:t>
      </w:r>
      <w:proofErr w:type="spellEnd"/>
      <w:r w:rsidRPr="00096371">
        <w:rPr>
          <w:rFonts w:ascii="Cambria" w:hAnsi="Cambria"/>
          <w:color w:val="000000" w:themeColor="text1"/>
          <w:sz w:val="22"/>
          <w:szCs w:val="22"/>
        </w:rPr>
        <w:t>, K.</w:t>
      </w:r>
      <w:r w:rsidR="00F029EA">
        <w:rPr>
          <w:rFonts w:ascii="Cambria" w:hAnsi="Cambria"/>
          <w:color w:val="000000" w:themeColor="text1"/>
          <w:sz w:val="22"/>
          <w:szCs w:val="22"/>
        </w:rPr>
        <w:t>,</w:t>
      </w:r>
      <w:r w:rsidRPr="00096371">
        <w:rPr>
          <w:rFonts w:ascii="Cambria" w:hAnsi="Cambria"/>
          <w:color w:val="000000" w:themeColor="text1"/>
          <w:sz w:val="22"/>
          <w:szCs w:val="22"/>
        </w:rPr>
        <w:t xml:space="preserve"> and </w:t>
      </w:r>
      <w:proofErr w:type="spellStart"/>
      <w:r w:rsidRPr="00096371">
        <w:rPr>
          <w:rFonts w:ascii="Cambria" w:hAnsi="Cambria"/>
          <w:color w:val="000000" w:themeColor="text1"/>
          <w:sz w:val="22"/>
          <w:szCs w:val="22"/>
        </w:rPr>
        <w:t>Steinmo</w:t>
      </w:r>
      <w:proofErr w:type="spellEnd"/>
      <w:r w:rsidRPr="00096371">
        <w:rPr>
          <w:rFonts w:ascii="Cambria" w:hAnsi="Cambria"/>
          <w:color w:val="000000" w:themeColor="text1"/>
          <w:sz w:val="22"/>
          <w:szCs w:val="22"/>
        </w:rPr>
        <w:t>, S., (</w:t>
      </w:r>
      <w:r w:rsidR="00872F74" w:rsidRPr="00096371">
        <w:rPr>
          <w:rFonts w:ascii="Cambria" w:hAnsi="Cambria"/>
          <w:color w:val="000000" w:themeColor="text1"/>
          <w:sz w:val="22"/>
          <w:szCs w:val="22"/>
        </w:rPr>
        <w:t>1992)</w:t>
      </w:r>
      <w:r w:rsidRPr="00096371">
        <w:rPr>
          <w:rFonts w:ascii="Cambria" w:hAnsi="Cambria"/>
          <w:color w:val="000000" w:themeColor="text1"/>
          <w:sz w:val="22"/>
          <w:szCs w:val="22"/>
        </w:rPr>
        <w:t>. ‘</w:t>
      </w:r>
      <w:r w:rsidR="00F029EA">
        <w:rPr>
          <w:rFonts w:ascii="Cambria" w:eastAsia="Times New Roman" w:hAnsi="Cambria" w:cs="Arial"/>
          <w:color w:val="000000" w:themeColor="text1"/>
          <w:kern w:val="36"/>
          <w:sz w:val="22"/>
          <w:szCs w:val="22"/>
          <w:lang w:eastAsia="en-GB"/>
        </w:rPr>
        <w:t>Historical Institutionalism in Comparative P</w:t>
      </w:r>
      <w:r w:rsidRPr="00096371">
        <w:rPr>
          <w:rFonts w:ascii="Cambria" w:eastAsia="Times New Roman" w:hAnsi="Cambria" w:cs="Arial"/>
          <w:color w:val="000000" w:themeColor="text1"/>
          <w:kern w:val="36"/>
          <w:sz w:val="22"/>
          <w:szCs w:val="22"/>
          <w:lang w:eastAsia="en-GB"/>
        </w:rPr>
        <w:t>olitics’, in</w:t>
      </w:r>
      <w:r w:rsidR="00872F74" w:rsidRPr="00096371">
        <w:rPr>
          <w:rFonts w:ascii="Cambria" w:hAnsi="Cambria"/>
          <w:color w:val="000000" w:themeColor="text1"/>
          <w:sz w:val="22"/>
          <w:szCs w:val="22"/>
        </w:rPr>
        <w:t xml:space="preserve"> </w:t>
      </w:r>
      <w:r w:rsidRPr="00096371">
        <w:rPr>
          <w:rFonts w:ascii="Cambria" w:hAnsi="Cambria"/>
          <w:color w:val="000000" w:themeColor="text1"/>
          <w:sz w:val="22"/>
          <w:szCs w:val="22"/>
        </w:rPr>
        <w:t xml:space="preserve">S. </w:t>
      </w:r>
      <w:proofErr w:type="spellStart"/>
      <w:r w:rsidR="00E2419E" w:rsidRPr="00096371">
        <w:rPr>
          <w:rFonts w:ascii="Cambria" w:hAnsi="Cambria"/>
          <w:color w:val="000000" w:themeColor="text1"/>
          <w:sz w:val="22"/>
          <w:szCs w:val="22"/>
        </w:rPr>
        <w:t>Steinmo</w:t>
      </w:r>
      <w:proofErr w:type="spellEnd"/>
      <w:r w:rsidR="00E2419E" w:rsidRPr="00096371">
        <w:rPr>
          <w:rFonts w:ascii="Cambria" w:hAnsi="Cambria"/>
          <w:color w:val="000000" w:themeColor="text1"/>
          <w:sz w:val="22"/>
          <w:szCs w:val="22"/>
        </w:rPr>
        <w:t xml:space="preserve">, </w:t>
      </w:r>
      <w:r w:rsidRPr="00096371">
        <w:rPr>
          <w:rFonts w:ascii="Cambria" w:hAnsi="Cambria"/>
          <w:color w:val="000000" w:themeColor="text1"/>
          <w:sz w:val="22"/>
          <w:szCs w:val="22"/>
        </w:rPr>
        <w:t xml:space="preserve">K. </w:t>
      </w:r>
      <w:proofErr w:type="spellStart"/>
      <w:r w:rsidRPr="00096371">
        <w:rPr>
          <w:rFonts w:ascii="Cambria" w:hAnsi="Cambria"/>
          <w:color w:val="000000" w:themeColor="text1"/>
          <w:sz w:val="22"/>
          <w:szCs w:val="22"/>
        </w:rPr>
        <w:t>Thelen</w:t>
      </w:r>
      <w:proofErr w:type="spellEnd"/>
      <w:r w:rsidRPr="00096371">
        <w:rPr>
          <w:rFonts w:ascii="Cambria" w:hAnsi="Cambria"/>
          <w:color w:val="000000" w:themeColor="text1"/>
          <w:sz w:val="22"/>
          <w:szCs w:val="22"/>
        </w:rPr>
        <w:t xml:space="preserve"> </w:t>
      </w:r>
      <w:r w:rsidR="00E2419E" w:rsidRPr="00096371">
        <w:rPr>
          <w:rFonts w:ascii="Cambria" w:hAnsi="Cambria"/>
          <w:color w:val="000000" w:themeColor="text1"/>
          <w:sz w:val="22"/>
          <w:szCs w:val="22"/>
        </w:rPr>
        <w:t xml:space="preserve">and </w:t>
      </w:r>
      <w:r w:rsidRPr="00096371">
        <w:rPr>
          <w:rFonts w:ascii="Cambria" w:hAnsi="Cambria"/>
          <w:color w:val="000000" w:themeColor="text1"/>
          <w:sz w:val="22"/>
          <w:szCs w:val="22"/>
        </w:rPr>
        <w:t xml:space="preserve">F. </w:t>
      </w:r>
      <w:proofErr w:type="spellStart"/>
      <w:r w:rsidR="00E2419E" w:rsidRPr="00096371">
        <w:rPr>
          <w:rFonts w:ascii="Cambria" w:hAnsi="Cambria"/>
          <w:color w:val="000000" w:themeColor="text1"/>
          <w:sz w:val="22"/>
          <w:szCs w:val="22"/>
        </w:rPr>
        <w:t>Longstreth</w:t>
      </w:r>
      <w:proofErr w:type="spellEnd"/>
      <w:r w:rsidR="00E2419E" w:rsidRPr="00096371">
        <w:rPr>
          <w:rFonts w:ascii="Cambria" w:hAnsi="Cambria"/>
          <w:color w:val="000000" w:themeColor="text1"/>
          <w:sz w:val="22"/>
          <w:szCs w:val="22"/>
        </w:rPr>
        <w:t xml:space="preserve">, </w:t>
      </w:r>
      <w:r w:rsidRPr="00096371">
        <w:rPr>
          <w:rFonts w:ascii="Cambria" w:hAnsi="Cambria"/>
          <w:color w:val="000000" w:themeColor="text1"/>
          <w:sz w:val="22"/>
          <w:szCs w:val="22"/>
        </w:rPr>
        <w:t xml:space="preserve">eds. </w:t>
      </w:r>
      <w:r w:rsidRPr="00096371">
        <w:rPr>
          <w:rFonts w:ascii="Cambria" w:eastAsia="Times New Roman" w:hAnsi="Cambria" w:cs="Arial"/>
          <w:bCs/>
          <w:i/>
          <w:color w:val="000000" w:themeColor="text1"/>
          <w:kern w:val="36"/>
          <w:sz w:val="22"/>
          <w:szCs w:val="22"/>
          <w:lang w:eastAsia="en-GB"/>
        </w:rPr>
        <w:t>Structuring Politics</w:t>
      </w:r>
      <w:r w:rsidRPr="00B45F1C">
        <w:rPr>
          <w:rFonts w:ascii="Cambria" w:eastAsia="Times New Roman" w:hAnsi="Cambria" w:cs="Arial"/>
          <w:bCs/>
          <w:i/>
          <w:color w:val="000000" w:themeColor="text1"/>
          <w:kern w:val="36"/>
          <w:sz w:val="22"/>
          <w:szCs w:val="22"/>
          <w:lang w:eastAsia="en-GB"/>
        </w:rPr>
        <w:t>:</w:t>
      </w:r>
      <w:r w:rsidRPr="00096371">
        <w:rPr>
          <w:rFonts w:ascii="Cambria" w:eastAsia="Times New Roman" w:hAnsi="Cambria" w:cs="Arial"/>
          <w:bCs/>
          <w:i/>
          <w:color w:val="000000" w:themeColor="text1"/>
          <w:kern w:val="36"/>
          <w:sz w:val="22"/>
          <w:szCs w:val="22"/>
          <w:lang w:eastAsia="en-GB"/>
        </w:rPr>
        <w:t> </w:t>
      </w:r>
      <w:r w:rsidRPr="00096371">
        <w:rPr>
          <w:rFonts w:ascii="Cambria" w:eastAsia="Times New Roman" w:hAnsi="Cambria" w:cs="Arial"/>
          <w:i/>
          <w:color w:val="000000" w:themeColor="text1"/>
          <w:kern w:val="36"/>
          <w:sz w:val="22"/>
          <w:szCs w:val="22"/>
          <w:lang w:eastAsia="en-GB"/>
        </w:rPr>
        <w:t xml:space="preserve">Historical Institutionalism in Comparative Analysis. </w:t>
      </w:r>
      <w:r w:rsidRPr="00096371">
        <w:rPr>
          <w:rFonts w:ascii="Cambria" w:eastAsia="Times New Roman" w:hAnsi="Cambria" w:cs="Arial"/>
          <w:color w:val="000000" w:themeColor="text1"/>
          <w:kern w:val="36"/>
          <w:sz w:val="22"/>
          <w:szCs w:val="22"/>
          <w:lang w:eastAsia="en-GB"/>
        </w:rPr>
        <w:t>Cambridge: Cambridge University Press</w:t>
      </w:r>
      <w:r w:rsidR="00837F4C">
        <w:rPr>
          <w:rFonts w:ascii="Cambria" w:eastAsia="Times New Roman" w:hAnsi="Cambria" w:cs="Arial"/>
          <w:color w:val="000000" w:themeColor="text1"/>
          <w:kern w:val="36"/>
          <w:sz w:val="22"/>
          <w:szCs w:val="22"/>
          <w:lang w:eastAsia="en-GB"/>
        </w:rPr>
        <w:t>, pp.</w:t>
      </w:r>
      <w:r w:rsidR="00096A3C">
        <w:rPr>
          <w:rFonts w:ascii="Cambria" w:eastAsia="Times New Roman" w:hAnsi="Cambria" w:cs="Arial"/>
          <w:color w:val="000000" w:themeColor="text1"/>
          <w:kern w:val="36"/>
          <w:sz w:val="22"/>
          <w:szCs w:val="22"/>
          <w:lang w:eastAsia="en-GB"/>
        </w:rPr>
        <w:t xml:space="preserve"> </w:t>
      </w:r>
      <w:r w:rsidR="00837F4C">
        <w:rPr>
          <w:rFonts w:ascii="Cambria" w:eastAsia="Times New Roman" w:hAnsi="Cambria" w:cs="Arial"/>
          <w:color w:val="000000" w:themeColor="text1"/>
          <w:kern w:val="36"/>
          <w:sz w:val="22"/>
          <w:szCs w:val="22"/>
          <w:lang w:eastAsia="en-GB"/>
        </w:rPr>
        <w:t>1-37</w:t>
      </w:r>
      <w:r w:rsidR="00096A3C">
        <w:rPr>
          <w:rFonts w:ascii="Cambria" w:eastAsia="Times New Roman" w:hAnsi="Cambria" w:cs="Arial"/>
          <w:color w:val="000000" w:themeColor="text1"/>
          <w:kern w:val="36"/>
          <w:sz w:val="22"/>
          <w:szCs w:val="22"/>
          <w:lang w:eastAsia="en-GB"/>
        </w:rPr>
        <w:t>.</w:t>
      </w:r>
    </w:p>
    <w:p w14:paraId="66E0896E" w14:textId="77777777" w:rsidR="001B2753" w:rsidRPr="009D7D02" w:rsidRDefault="001B2753" w:rsidP="00494962">
      <w:pPr>
        <w:autoSpaceDE w:val="0"/>
        <w:autoSpaceDN w:val="0"/>
        <w:adjustRightInd w:val="0"/>
        <w:rPr>
          <w:rFonts w:ascii="Cambria" w:hAnsi="Cambria"/>
          <w:sz w:val="22"/>
          <w:szCs w:val="22"/>
        </w:rPr>
      </w:pPr>
    </w:p>
    <w:p w14:paraId="0E939DB2" w14:textId="736E3AA7" w:rsidR="005B54A4" w:rsidRPr="00A90D10" w:rsidRDefault="001B2753" w:rsidP="00494962">
      <w:pPr>
        <w:rPr>
          <w:rFonts w:ascii="Cambria" w:eastAsia="Times New Roman" w:hAnsi="Cambria" w:cs="Arial"/>
          <w:color w:val="000000" w:themeColor="text1"/>
          <w:sz w:val="22"/>
          <w:szCs w:val="22"/>
          <w:shd w:val="clear" w:color="auto" w:fill="FFFFFF"/>
        </w:rPr>
      </w:pPr>
      <w:r w:rsidRPr="009D7D02">
        <w:rPr>
          <w:rFonts w:ascii="Cambria" w:hAnsi="Cambria"/>
          <w:sz w:val="22"/>
          <w:szCs w:val="22"/>
        </w:rPr>
        <w:t>Stokes, S.</w:t>
      </w:r>
      <w:r w:rsidR="009D7D02" w:rsidRPr="009D7D02">
        <w:rPr>
          <w:rFonts w:ascii="Cambria" w:hAnsi="Cambria"/>
          <w:sz w:val="22"/>
          <w:szCs w:val="22"/>
        </w:rPr>
        <w:t>,</w:t>
      </w:r>
      <w:r w:rsidRPr="009D7D02">
        <w:rPr>
          <w:rFonts w:ascii="Cambria" w:hAnsi="Cambria"/>
          <w:sz w:val="22"/>
          <w:szCs w:val="22"/>
        </w:rPr>
        <w:t xml:space="preserve"> (2009)</w:t>
      </w:r>
      <w:r w:rsidR="009D7D02" w:rsidRPr="009D7D02">
        <w:rPr>
          <w:rFonts w:ascii="Cambria" w:hAnsi="Cambria"/>
          <w:sz w:val="22"/>
          <w:szCs w:val="22"/>
        </w:rPr>
        <w:t>.</w:t>
      </w:r>
      <w:r w:rsidRPr="009D7D02">
        <w:rPr>
          <w:rFonts w:ascii="Cambria" w:eastAsia="Times New Roman" w:hAnsi="Cambria"/>
          <w:i/>
          <w:iCs/>
          <w:sz w:val="22"/>
          <w:szCs w:val="22"/>
        </w:rPr>
        <w:t xml:space="preserve"> </w:t>
      </w:r>
      <w:r w:rsidR="00D32B63" w:rsidRPr="009D7D02">
        <w:rPr>
          <w:rFonts w:ascii="Cambria" w:eastAsia="Times New Roman" w:hAnsi="Cambria"/>
          <w:i/>
          <w:iCs/>
          <w:sz w:val="22"/>
          <w:szCs w:val="22"/>
        </w:rPr>
        <w:t>‘</w:t>
      </w:r>
      <w:r w:rsidRPr="009D7D02">
        <w:rPr>
          <w:rFonts w:ascii="Cambria" w:eastAsia="Times New Roman" w:hAnsi="Cambria"/>
          <w:iCs/>
          <w:sz w:val="22"/>
          <w:szCs w:val="22"/>
        </w:rPr>
        <w:t xml:space="preserve">Political </w:t>
      </w:r>
      <w:proofErr w:type="spellStart"/>
      <w:r w:rsidRPr="009D7D02">
        <w:rPr>
          <w:rFonts w:ascii="Cambria" w:eastAsia="Times New Roman" w:hAnsi="Cambria"/>
          <w:iCs/>
          <w:sz w:val="22"/>
          <w:szCs w:val="22"/>
        </w:rPr>
        <w:t>Clientelism</w:t>
      </w:r>
      <w:proofErr w:type="spellEnd"/>
      <w:r w:rsidR="00D32B63" w:rsidRPr="009D7D02">
        <w:rPr>
          <w:rFonts w:ascii="Cambria" w:eastAsia="Times New Roman" w:hAnsi="Cambria"/>
          <w:iCs/>
          <w:sz w:val="22"/>
          <w:szCs w:val="22"/>
        </w:rPr>
        <w:t>’</w:t>
      </w:r>
      <w:r w:rsidR="00096371">
        <w:rPr>
          <w:rFonts w:ascii="Cambria" w:eastAsia="Times New Roman" w:hAnsi="Cambria"/>
          <w:iCs/>
          <w:sz w:val="22"/>
          <w:szCs w:val="22"/>
        </w:rPr>
        <w:t>,</w:t>
      </w:r>
      <w:r w:rsidRPr="009D7D02">
        <w:rPr>
          <w:rFonts w:ascii="Cambria" w:eastAsia="Times New Roman" w:hAnsi="Cambria"/>
          <w:iCs/>
          <w:sz w:val="22"/>
          <w:szCs w:val="22"/>
        </w:rPr>
        <w:t> </w:t>
      </w:r>
      <w:r w:rsidR="009D7D02" w:rsidRPr="009D7D02">
        <w:rPr>
          <w:rFonts w:ascii="Cambria" w:eastAsia="Times New Roman" w:hAnsi="Cambria"/>
          <w:iCs/>
          <w:sz w:val="22"/>
          <w:szCs w:val="22"/>
        </w:rPr>
        <w:t xml:space="preserve">in C. </w:t>
      </w:r>
      <w:proofErr w:type="spellStart"/>
      <w:r w:rsidR="009D7D02" w:rsidRPr="009D7D02">
        <w:rPr>
          <w:rFonts w:ascii="Cambria" w:eastAsia="Times New Roman" w:hAnsi="Cambria"/>
          <w:iCs/>
          <w:sz w:val="22"/>
          <w:szCs w:val="22"/>
        </w:rPr>
        <w:t>Bo</w:t>
      </w:r>
      <w:r w:rsidR="006F4D08">
        <w:rPr>
          <w:rFonts w:ascii="Cambria" w:eastAsia="Times New Roman" w:hAnsi="Cambria"/>
          <w:iCs/>
          <w:sz w:val="22"/>
          <w:szCs w:val="22"/>
        </w:rPr>
        <w:t>ix</w:t>
      </w:r>
      <w:proofErr w:type="spellEnd"/>
      <w:r w:rsidR="006F4D08">
        <w:rPr>
          <w:rFonts w:ascii="Cambria" w:eastAsia="Times New Roman" w:hAnsi="Cambria"/>
          <w:iCs/>
          <w:sz w:val="22"/>
          <w:szCs w:val="22"/>
        </w:rPr>
        <w:t xml:space="preserve"> and S. Stokes,</w:t>
      </w:r>
      <w:r w:rsidR="009D7D02" w:rsidRPr="009D7D02">
        <w:rPr>
          <w:rFonts w:ascii="Cambria" w:eastAsia="Times New Roman" w:hAnsi="Cambria"/>
          <w:iCs/>
          <w:sz w:val="22"/>
          <w:szCs w:val="22"/>
        </w:rPr>
        <w:t xml:space="preserve"> eds.</w:t>
      </w:r>
      <w:r w:rsidR="003467DF" w:rsidRPr="009D7D02">
        <w:rPr>
          <w:rFonts w:ascii="Cambria" w:eastAsia="Times New Roman" w:hAnsi="Cambria"/>
          <w:iCs/>
          <w:sz w:val="22"/>
          <w:szCs w:val="22"/>
        </w:rPr>
        <w:t xml:space="preserve"> </w:t>
      </w:r>
      <w:r w:rsidRPr="009D7D02">
        <w:rPr>
          <w:rFonts w:ascii="Cambria" w:eastAsia="Times New Roman" w:hAnsi="Cambria"/>
          <w:i/>
          <w:iCs/>
          <w:sz w:val="22"/>
          <w:szCs w:val="22"/>
        </w:rPr>
        <w:t>The Oxford Handbook of Comparative Politics</w:t>
      </w:r>
      <w:r w:rsidR="00D32B63" w:rsidRPr="009D7D02">
        <w:rPr>
          <w:rFonts w:ascii="Cambria" w:eastAsia="Times New Roman" w:hAnsi="Cambria"/>
          <w:i/>
          <w:iCs/>
          <w:sz w:val="22"/>
          <w:szCs w:val="22"/>
        </w:rPr>
        <w:t xml:space="preserve">. </w:t>
      </w:r>
      <w:r w:rsidR="007D6D36">
        <w:rPr>
          <w:rFonts w:ascii="Cambria" w:eastAsia="Times New Roman" w:hAnsi="Cambria"/>
          <w:iCs/>
          <w:sz w:val="22"/>
          <w:szCs w:val="22"/>
        </w:rPr>
        <w:t>Oxford: Oxford University Press,</w:t>
      </w:r>
      <w:r w:rsidR="005B54A4">
        <w:rPr>
          <w:rFonts w:ascii="Cambria" w:eastAsia="Times New Roman" w:hAnsi="Cambria"/>
          <w:iCs/>
          <w:sz w:val="22"/>
          <w:szCs w:val="22"/>
        </w:rPr>
        <w:t xml:space="preserve"> </w:t>
      </w:r>
      <w:r w:rsidR="007D6D36" w:rsidRPr="007D6D36">
        <w:rPr>
          <w:rFonts w:ascii="Cambria" w:eastAsia="Times New Roman" w:hAnsi="Cambria" w:cs="Arial"/>
          <w:color w:val="000000" w:themeColor="text1"/>
          <w:sz w:val="22"/>
          <w:szCs w:val="22"/>
          <w:shd w:val="clear" w:color="auto" w:fill="FFFFFF"/>
        </w:rPr>
        <w:t>pp.</w:t>
      </w:r>
      <w:r w:rsidR="00096A3C">
        <w:rPr>
          <w:rFonts w:ascii="Cambria" w:eastAsia="Times New Roman" w:hAnsi="Cambria" w:cs="Arial"/>
          <w:color w:val="000000" w:themeColor="text1"/>
          <w:sz w:val="22"/>
          <w:szCs w:val="22"/>
          <w:shd w:val="clear" w:color="auto" w:fill="FFFFFF"/>
        </w:rPr>
        <w:t xml:space="preserve"> </w:t>
      </w:r>
      <w:r w:rsidR="007D6D36" w:rsidRPr="007D6D36">
        <w:rPr>
          <w:rFonts w:ascii="Cambria" w:eastAsia="Times New Roman" w:hAnsi="Cambria" w:cs="Arial"/>
          <w:color w:val="000000" w:themeColor="text1"/>
          <w:sz w:val="22"/>
          <w:szCs w:val="22"/>
          <w:shd w:val="clear" w:color="auto" w:fill="FFFFFF"/>
        </w:rPr>
        <w:t>604-627</w:t>
      </w:r>
      <w:r w:rsidR="00096A3C">
        <w:rPr>
          <w:rFonts w:ascii="Cambria" w:eastAsia="Times New Roman" w:hAnsi="Cambria" w:cs="Arial"/>
          <w:color w:val="000000" w:themeColor="text1"/>
          <w:sz w:val="22"/>
          <w:szCs w:val="22"/>
          <w:shd w:val="clear" w:color="auto" w:fill="FFFFFF"/>
        </w:rPr>
        <w:t>.</w:t>
      </w:r>
    </w:p>
    <w:p w14:paraId="4F051EB2" w14:textId="6749A032" w:rsidR="001B2753" w:rsidRDefault="001B2753" w:rsidP="00494962">
      <w:pPr>
        <w:autoSpaceDE w:val="0"/>
        <w:autoSpaceDN w:val="0"/>
        <w:adjustRightInd w:val="0"/>
        <w:rPr>
          <w:rFonts w:ascii="Cambria" w:eastAsia="Times New Roman" w:hAnsi="Cambria"/>
          <w:iCs/>
          <w:sz w:val="22"/>
          <w:szCs w:val="22"/>
        </w:rPr>
      </w:pPr>
    </w:p>
    <w:p w14:paraId="123E32DF" w14:textId="375D6D46" w:rsidR="000F7F2A" w:rsidRDefault="004F559D" w:rsidP="00494962">
      <w:pPr>
        <w:autoSpaceDE w:val="0"/>
        <w:autoSpaceDN w:val="0"/>
        <w:adjustRightInd w:val="0"/>
        <w:rPr>
          <w:rFonts w:ascii="Cambria" w:hAnsi="Cambria"/>
          <w:sz w:val="22"/>
          <w:szCs w:val="22"/>
        </w:rPr>
      </w:pPr>
      <w:r w:rsidRPr="009D7D02">
        <w:rPr>
          <w:rFonts w:ascii="Cambria" w:hAnsi="Cambria"/>
          <w:sz w:val="22"/>
          <w:szCs w:val="22"/>
        </w:rPr>
        <w:t>Thomson, J.</w:t>
      </w:r>
      <w:r>
        <w:rPr>
          <w:rFonts w:ascii="Cambria" w:hAnsi="Cambria"/>
          <w:sz w:val="22"/>
          <w:szCs w:val="22"/>
        </w:rPr>
        <w:t>, (2019)</w:t>
      </w:r>
      <w:r w:rsidR="00C56466">
        <w:rPr>
          <w:rFonts w:ascii="Cambria" w:hAnsi="Cambria"/>
          <w:sz w:val="22"/>
          <w:szCs w:val="22"/>
        </w:rPr>
        <w:t>.</w:t>
      </w:r>
      <w:r>
        <w:rPr>
          <w:rFonts w:ascii="Cambria" w:hAnsi="Cambria"/>
          <w:sz w:val="22"/>
          <w:szCs w:val="22"/>
        </w:rPr>
        <w:t xml:space="preserve"> </w:t>
      </w:r>
      <w:r w:rsidRPr="00C56466">
        <w:rPr>
          <w:rFonts w:ascii="Cambria" w:hAnsi="Cambria"/>
          <w:i/>
          <w:sz w:val="22"/>
          <w:szCs w:val="22"/>
        </w:rPr>
        <w:t>Abortion Law and Political Institutions: Explaining Policy Resistance</w:t>
      </w:r>
      <w:r>
        <w:rPr>
          <w:rFonts w:ascii="Cambria" w:hAnsi="Cambria"/>
          <w:sz w:val="22"/>
          <w:szCs w:val="22"/>
        </w:rPr>
        <w:t xml:space="preserve">. </w:t>
      </w:r>
      <w:r w:rsidR="00F029EA">
        <w:rPr>
          <w:rFonts w:ascii="Cambria" w:hAnsi="Cambria"/>
          <w:sz w:val="22"/>
          <w:szCs w:val="22"/>
        </w:rPr>
        <w:t>Basingstoke</w:t>
      </w:r>
      <w:r>
        <w:rPr>
          <w:rFonts w:ascii="Cambria" w:hAnsi="Cambria"/>
          <w:sz w:val="22"/>
          <w:szCs w:val="22"/>
        </w:rPr>
        <w:t>: Palgrave Macmillan</w:t>
      </w:r>
      <w:r w:rsidR="00096A3C">
        <w:rPr>
          <w:rFonts w:ascii="Cambria" w:hAnsi="Cambria"/>
          <w:sz w:val="22"/>
          <w:szCs w:val="22"/>
        </w:rPr>
        <w:t>.</w:t>
      </w:r>
    </w:p>
    <w:p w14:paraId="4A0873B2" w14:textId="77777777" w:rsidR="00C56466" w:rsidRPr="009D7D02" w:rsidRDefault="00C56466" w:rsidP="00494962">
      <w:pPr>
        <w:autoSpaceDE w:val="0"/>
        <w:autoSpaceDN w:val="0"/>
        <w:adjustRightInd w:val="0"/>
        <w:rPr>
          <w:rFonts w:ascii="Cambria" w:hAnsi="Cambria"/>
          <w:sz w:val="22"/>
          <w:szCs w:val="22"/>
        </w:rPr>
      </w:pPr>
    </w:p>
    <w:p w14:paraId="77326029" w14:textId="3769E547" w:rsidR="000F7F2A" w:rsidRDefault="000F7F2A" w:rsidP="00494962">
      <w:pPr>
        <w:autoSpaceDE w:val="0"/>
        <w:autoSpaceDN w:val="0"/>
        <w:adjustRightInd w:val="0"/>
        <w:rPr>
          <w:rFonts w:ascii="Cambria" w:hAnsi="Cambria"/>
          <w:sz w:val="22"/>
          <w:szCs w:val="22"/>
        </w:rPr>
      </w:pPr>
      <w:r w:rsidRPr="009D7D02">
        <w:rPr>
          <w:rFonts w:ascii="Cambria" w:hAnsi="Cambria"/>
          <w:sz w:val="22"/>
          <w:szCs w:val="22"/>
        </w:rPr>
        <w:t>Thomson, J.</w:t>
      </w:r>
      <w:r w:rsidR="001B2B15">
        <w:rPr>
          <w:rFonts w:ascii="Cambria" w:hAnsi="Cambria"/>
          <w:sz w:val="22"/>
          <w:szCs w:val="22"/>
        </w:rPr>
        <w:t>, (2018). ‘</w:t>
      </w:r>
      <w:r w:rsidR="00F029EA">
        <w:rPr>
          <w:rFonts w:ascii="Cambria" w:hAnsi="Cambria"/>
          <w:sz w:val="22"/>
          <w:szCs w:val="22"/>
        </w:rPr>
        <w:t>Resisting Gendered Change: Feminist Institutionalism and Critical A</w:t>
      </w:r>
      <w:r w:rsidRPr="009D7D02">
        <w:rPr>
          <w:rFonts w:ascii="Cambria" w:hAnsi="Cambria"/>
          <w:sz w:val="22"/>
          <w:szCs w:val="22"/>
        </w:rPr>
        <w:t xml:space="preserve">ctors’, </w:t>
      </w:r>
      <w:r w:rsidRPr="009D7D02">
        <w:rPr>
          <w:rFonts w:ascii="Cambria" w:hAnsi="Cambria"/>
          <w:i/>
          <w:sz w:val="22"/>
          <w:szCs w:val="22"/>
        </w:rPr>
        <w:t>International Political Science Review</w:t>
      </w:r>
      <w:r w:rsidR="001B2B15">
        <w:rPr>
          <w:rFonts w:ascii="Cambria" w:hAnsi="Cambria"/>
          <w:sz w:val="22"/>
          <w:szCs w:val="22"/>
        </w:rPr>
        <w:t xml:space="preserve"> </w:t>
      </w:r>
      <w:r w:rsidR="0000341C">
        <w:rPr>
          <w:rFonts w:ascii="Cambria" w:hAnsi="Cambria"/>
          <w:sz w:val="22"/>
          <w:szCs w:val="22"/>
        </w:rPr>
        <w:t>39</w:t>
      </w:r>
      <w:r w:rsidR="009F6E9B">
        <w:rPr>
          <w:rFonts w:ascii="Cambria" w:hAnsi="Cambria"/>
          <w:sz w:val="22"/>
          <w:szCs w:val="22"/>
        </w:rPr>
        <w:t>(2):</w:t>
      </w:r>
      <w:r w:rsidR="00096A3C">
        <w:rPr>
          <w:rFonts w:ascii="Cambria" w:hAnsi="Cambria"/>
          <w:sz w:val="22"/>
          <w:szCs w:val="22"/>
        </w:rPr>
        <w:t xml:space="preserve"> </w:t>
      </w:r>
      <w:r w:rsidRPr="009D7D02">
        <w:rPr>
          <w:rFonts w:ascii="Cambria" w:hAnsi="Cambria"/>
          <w:sz w:val="22"/>
          <w:szCs w:val="22"/>
        </w:rPr>
        <w:t>178</w:t>
      </w:r>
      <w:r w:rsidR="001B2B15">
        <w:rPr>
          <w:rFonts w:ascii="Cambria" w:hAnsi="Cambria"/>
          <w:sz w:val="22"/>
          <w:szCs w:val="22"/>
        </w:rPr>
        <w:t>-191</w:t>
      </w:r>
      <w:r w:rsidR="00096A3C">
        <w:rPr>
          <w:rFonts w:ascii="Cambria" w:hAnsi="Cambria"/>
          <w:sz w:val="22"/>
          <w:szCs w:val="22"/>
        </w:rPr>
        <w:t>.</w:t>
      </w:r>
    </w:p>
    <w:p w14:paraId="39A6295D" w14:textId="77777777" w:rsidR="006F4D08" w:rsidRDefault="006F4D08" w:rsidP="00494962">
      <w:pPr>
        <w:autoSpaceDE w:val="0"/>
        <w:autoSpaceDN w:val="0"/>
        <w:adjustRightInd w:val="0"/>
        <w:rPr>
          <w:rFonts w:ascii="Cambria" w:hAnsi="Cambria"/>
          <w:sz w:val="22"/>
          <w:szCs w:val="22"/>
        </w:rPr>
      </w:pPr>
    </w:p>
    <w:p w14:paraId="4A834810" w14:textId="7B50606A" w:rsidR="004F559D" w:rsidRPr="009D7D02" w:rsidRDefault="004F559D" w:rsidP="00494962">
      <w:pPr>
        <w:autoSpaceDE w:val="0"/>
        <w:autoSpaceDN w:val="0"/>
        <w:adjustRightInd w:val="0"/>
        <w:rPr>
          <w:rFonts w:ascii="Cambria" w:hAnsi="Cambria"/>
          <w:sz w:val="22"/>
          <w:szCs w:val="22"/>
        </w:rPr>
      </w:pPr>
      <w:r w:rsidRPr="009D7D02">
        <w:rPr>
          <w:rFonts w:ascii="Cambria" w:hAnsi="Cambria"/>
          <w:sz w:val="22"/>
          <w:szCs w:val="22"/>
        </w:rPr>
        <w:t>Thomson, J.,</w:t>
      </w:r>
      <w:r>
        <w:rPr>
          <w:rFonts w:ascii="Cambria" w:hAnsi="Cambria"/>
          <w:sz w:val="22"/>
          <w:szCs w:val="22"/>
        </w:rPr>
        <w:t xml:space="preserve"> (2016). </w:t>
      </w:r>
      <w:r w:rsidRPr="009D7D02">
        <w:rPr>
          <w:rFonts w:ascii="Cambria" w:hAnsi="Cambria"/>
          <w:sz w:val="22"/>
          <w:szCs w:val="22"/>
        </w:rPr>
        <w:t>‘Abortion and Same-Sex Marriage: How are Non-Sectarian Controversial Issues Discuss</w:t>
      </w:r>
      <w:r>
        <w:rPr>
          <w:rFonts w:ascii="Cambria" w:hAnsi="Cambria"/>
          <w:sz w:val="22"/>
          <w:szCs w:val="22"/>
        </w:rPr>
        <w:t>ed in Northern Irish Politics?’.</w:t>
      </w:r>
      <w:r w:rsidRPr="009D7D02">
        <w:rPr>
          <w:rFonts w:ascii="Cambria" w:hAnsi="Cambria"/>
          <w:sz w:val="22"/>
          <w:szCs w:val="22"/>
        </w:rPr>
        <w:t xml:space="preserve"> </w:t>
      </w:r>
      <w:r w:rsidRPr="009D7D02">
        <w:rPr>
          <w:rFonts w:ascii="Cambria" w:hAnsi="Cambria"/>
          <w:i/>
          <w:sz w:val="22"/>
          <w:szCs w:val="22"/>
        </w:rPr>
        <w:t>Irish Political Studies</w:t>
      </w:r>
      <w:r>
        <w:rPr>
          <w:rFonts w:ascii="Cambria" w:hAnsi="Cambria"/>
          <w:sz w:val="22"/>
          <w:szCs w:val="22"/>
        </w:rPr>
        <w:t xml:space="preserve"> 31(4):</w:t>
      </w:r>
      <w:r w:rsidR="00096A3C">
        <w:rPr>
          <w:rFonts w:ascii="Cambria" w:hAnsi="Cambria"/>
          <w:sz w:val="22"/>
          <w:szCs w:val="22"/>
        </w:rPr>
        <w:t xml:space="preserve"> </w:t>
      </w:r>
      <w:r>
        <w:rPr>
          <w:rFonts w:ascii="Cambria" w:hAnsi="Cambria"/>
          <w:sz w:val="22"/>
          <w:szCs w:val="22"/>
        </w:rPr>
        <w:t>483-501</w:t>
      </w:r>
      <w:r w:rsidR="00096A3C">
        <w:rPr>
          <w:rFonts w:ascii="Cambria" w:hAnsi="Cambria"/>
          <w:sz w:val="22"/>
          <w:szCs w:val="22"/>
        </w:rPr>
        <w:t>.</w:t>
      </w:r>
    </w:p>
    <w:p w14:paraId="6C113E10" w14:textId="77777777" w:rsidR="00837F4C" w:rsidRDefault="00837F4C" w:rsidP="00494962">
      <w:pPr>
        <w:autoSpaceDE w:val="0"/>
        <w:autoSpaceDN w:val="0"/>
        <w:adjustRightInd w:val="0"/>
        <w:rPr>
          <w:rFonts w:ascii="Cambria" w:hAnsi="Cambria"/>
          <w:sz w:val="22"/>
          <w:szCs w:val="22"/>
        </w:rPr>
      </w:pPr>
    </w:p>
    <w:p w14:paraId="6C86CF8A" w14:textId="34BF06CF" w:rsidR="00837F4C" w:rsidRPr="007E0FBE" w:rsidRDefault="007E0FBE" w:rsidP="00494962">
      <w:pPr>
        <w:autoSpaceDE w:val="0"/>
        <w:autoSpaceDN w:val="0"/>
        <w:adjustRightInd w:val="0"/>
        <w:rPr>
          <w:rFonts w:ascii="Cambria" w:hAnsi="Cambria"/>
          <w:color w:val="000000" w:themeColor="text1"/>
          <w:sz w:val="22"/>
          <w:szCs w:val="22"/>
        </w:rPr>
      </w:pPr>
      <w:r w:rsidRPr="007E0FBE">
        <w:rPr>
          <w:rFonts w:ascii="Cambria" w:hAnsi="Cambria"/>
          <w:color w:val="000000" w:themeColor="text1"/>
          <w:sz w:val="22"/>
          <w:szCs w:val="22"/>
        </w:rPr>
        <w:t xml:space="preserve">Tripp, A., </w:t>
      </w:r>
      <w:proofErr w:type="spellStart"/>
      <w:r w:rsidRPr="007E0FBE">
        <w:rPr>
          <w:rFonts w:ascii="Cambria" w:hAnsi="Cambria"/>
          <w:color w:val="000000" w:themeColor="text1"/>
          <w:sz w:val="22"/>
          <w:szCs w:val="22"/>
        </w:rPr>
        <w:t>Casimiro</w:t>
      </w:r>
      <w:proofErr w:type="spellEnd"/>
      <w:r w:rsidRPr="007E0FBE">
        <w:rPr>
          <w:rFonts w:ascii="Cambria" w:hAnsi="Cambria"/>
          <w:color w:val="000000" w:themeColor="text1"/>
          <w:sz w:val="22"/>
          <w:szCs w:val="22"/>
        </w:rPr>
        <w:t xml:space="preserve">, I., </w:t>
      </w:r>
      <w:proofErr w:type="spellStart"/>
      <w:r w:rsidRPr="007E0FBE">
        <w:rPr>
          <w:rFonts w:ascii="Cambria" w:hAnsi="Cambria"/>
          <w:color w:val="000000" w:themeColor="text1"/>
          <w:sz w:val="22"/>
          <w:szCs w:val="22"/>
        </w:rPr>
        <w:t>Kwesiga</w:t>
      </w:r>
      <w:proofErr w:type="spellEnd"/>
      <w:r w:rsidRPr="007E0FBE">
        <w:rPr>
          <w:rFonts w:ascii="Cambria" w:hAnsi="Cambria"/>
          <w:color w:val="000000" w:themeColor="text1"/>
          <w:sz w:val="22"/>
          <w:szCs w:val="22"/>
        </w:rPr>
        <w:t xml:space="preserve">, J., and </w:t>
      </w:r>
      <w:proofErr w:type="spellStart"/>
      <w:r w:rsidRPr="007E0FBE">
        <w:rPr>
          <w:rFonts w:ascii="Cambria" w:hAnsi="Cambria"/>
          <w:color w:val="000000" w:themeColor="text1"/>
          <w:sz w:val="22"/>
          <w:szCs w:val="22"/>
        </w:rPr>
        <w:t>Mungwa</w:t>
      </w:r>
      <w:proofErr w:type="spellEnd"/>
      <w:r w:rsidRPr="007E0FBE">
        <w:rPr>
          <w:rFonts w:ascii="Cambria" w:hAnsi="Cambria"/>
          <w:color w:val="000000" w:themeColor="text1"/>
          <w:sz w:val="22"/>
          <w:szCs w:val="22"/>
        </w:rPr>
        <w:t>, A., (</w:t>
      </w:r>
      <w:r w:rsidR="00837F4C" w:rsidRPr="007E0FBE">
        <w:rPr>
          <w:rFonts w:ascii="Cambria" w:hAnsi="Cambria"/>
          <w:color w:val="000000" w:themeColor="text1"/>
          <w:sz w:val="22"/>
          <w:szCs w:val="22"/>
        </w:rPr>
        <w:t>2009</w:t>
      </w:r>
      <w:r w:rsidRPr="007E0FBE">
        <w:rPr>
          <w:rFonts w:ascii="Cambria" w:hAnsi="Cambria"/>
          <w:color w:val="000000" w:themeColor="text1"/>
          <w:sz w:val="22"/>
          <w:szCs w:val="22"/>
        </w:rPr>
        <w:t xml:space="preserve">). </w:t>
      </w:r>
      <w:r w:rsidRPr="006F4D08">
        <w:rPr>
          <w:rFonts w:ascii="Cambria" w:hAnsi="Cambria"/>
          <w:i/>
          <w:color w:val="000000" w:themeColor="text1"/>
          <w:sz w:val="22"/>
          <w:szCs w:val="22"/>
        </w:rPr>
        <w:t>African Women’s Movements: Transforming Political Landscapes: Changing Political Landscapes</w:t>
      </w:r>
      <w:r w:rsidRPr="007E0FBE">
        <w:rPr>
          <w:rFonts w:ascii="Cambria" w:hAnsi="Cambria"/>
          <w:color w:val="000000" w:themeColor="text1"/>
          <w:sz w:val="22"/>
          <w:szCs w:val="22"/>
        </w:rPr>
        <w:t>. Cambridge: Cambridge University Press.</w:t>
      </w:r>
    </w:p>
    <w:p w14:paraId="62A00C37" w14:textId="77777777" w:rsidR="000F7F2A" w:rsidRPr="007E0FBE" w:rsidRDefault="000F7F2A" w:rsidP="00494962">
      <w:pPr>
        <w:autoSpaceDE w:val="0"/>
        <w:autoSpaceDN w:val="0"/>
        <w:adjustRightInd w:val="0"/>
        <w:rPr>
          <w:rFonts w:ascii="Cambria" w:hAnsi="Cambria"/>
          <w:color w:val="000000" w:themeColor="text1"/>
          <w:sz w:val="22"/>
          <w:szCs w:val="22"/>
        </w:rPr>
      </w:pPr>
    </w:p>
    <w:p w14:paraId="3CC27422" w14:textId="72C08326" w:rsidR="000F7F2A" w:rsidRDefault="000F7F2A" w:rsidP="00494962">
      <w:pPr>
        <w:autoSpaceDE w:val="0"/>
        <w:autoSpaceDN w:val="0"/>
        <w:adjustRightInd w:val="0"/>
        <w:rPr>
          <w:rFonts w:ascii="Cambria" w:hAnsi="Cambria"/>
          <w:sz w:val="22"/>
          <w:szCs w:val="22"/>
        </w:rPr>
      </w:pPr>
      <w:r w:rsidRPr="009D7D02">
        <w:rPr>
          <w:rFonts w:ascii="Cambria" w:hAnsi="Cambria"/>
          <w:sz w:val="22"/>
          <w:szCs w:val="22"/>
        </w:rPr>
        <w:t>United Nations,</w:t>
      </w:r>
      <w:r w:rsidR="006F4D08">
        <w:rPr>
          <w:rFonts w:ascii="Cambria" w:hAnsi="Cambria"/>
          <w:sz w:val="22"/>
          <w:szCs w:val="22"/>
        </w:rPr>
        <w:t xml:space="preserve"> (2010).</w:t>
      </w:r>
      <w:r w:rsidRPr="009D7D02">
        <w:rPr>
          <w:rFonts w:ascii="Cambria" w:hAnsi="Cambria"/>
          <w:sz w:val="22"/>
          <w:szCs w:val="22"/>
        </w:rPr>
        <w:t xml:space="preserve"> ‘Report of the Secretary-General: Women’s P</w:t>
      </w:r>
      <w:r w:rsidR="00E57B66">
        <w:rPr>
          <w:rFonts w:ascii="Cambria" w:hAnsi="Cambria"/>
          <w:sz w:val="22"/>
          <w:szCs w:val="22"/>
        </w:rPr>
        <w:t>artic</w:t>
      </w:r>
      <w:r w:rsidR="006F4D08">
        <w:rPr>
          <w:rFonts w:ascii="Cambria" w:hAnsi="Cambria"/>
          <w:sz w:val="22"/>
          <w:szCs w:val="22"/>
        </w:rPr>
        <w:t>ipation in Peacebuilding’,</w:t>
      </w:r>
      <w:r w:rsidR="00B35304">
        <w:rPr>
          <w:rFonts w:ascii="Cambria" w:hAnsi="Cambria"/>
          <w:sz w:val="22"/>
          <w:szCs w:val="22"/>
        </w:rPr>
        <w:t xml:space="preserve"> </w:t>
      </w:r>
      <w:r w:rsidRPr="009D7D02">
        <w:rPr>
          <w:rFonts w:ascii="Cambria" w:hAnsi="Cambria"/>
          <w:sz w:val="22"/>
          <w:szCs w:val="22"/>
        </w:rPr>
        <w:t>7 September</w:t>
      </w:r>
      <w:r w:rsidR="0000341C">
        <w:rPr>
          <w:rFonts w:ascii="Cambria" w:hAnsi="Cambria"/>
          <w:sz w:val="22"/>
          <w:szCs w:val="22"/>
        </w:rPr>
        <w:t>. A/65/354–S/2010/466. Available a</w:t>
      </w:r>
      <w:r w:rsidRPr="009D7D02">
        <w:rPr>
          <w:rFonts w:ascii="Cambria" w:hAnsi="Cambria"/>
          <w:sz w:val="22"/>
          <w:szCs w:val="22"/>
        </w:rPr>
        <w:t xml:space="preserve">t: </w:t>
      </w:r>
      <w:hyperlink r:id="rId26" w:history="1">
        <w:r w:rsidR="0000341C" w:rsidRPr="00CD2D0C">
          <w:rPr>
            <w:rStyle w:val="Hyperlink"/>
            <w:rFonts w:ascii="Cambria" w:hAnsi="Cambria"/>
            <w:sz w:val="22"/>
            <w:szCs w:val="22"/>
          </w:rPr>
          <w:t>http://documents-dds-ny.un.org/doc/UNDOC/GEN/N10/508/20/pdf/N1050820.pdf?OpenElement</w:t>
        </w:r>
      </w:hyperlink>
      <w:r w:rsidR="0000341C">
        <w:rPr>
          <w:rFonts w:ascii="Cambria" w:hAnsi="Cambria"/>
          <w:sz w:val="22"/>
          <w:szCs w:val="22"/>
        </w:rPr>
        <w:t xml:space="preserve">. [Accessed </w:t>
      </w:r>
      <w:r w:rsidR="00B35304">
        <w:rPr>
          <w:rFonts w:ascii="Cambria" w:hAnsi="Cambria"/>
          <w:sz w:val="22"/>
          <w:szCs w:val="22"/>
        </w:rPr>
        <w:t xml:space="preserve">8 </w:t>
      </w:r>
      <w:r w:rsidR="0000341C">
        <w:rPr>
          <w:rFonts w:ascii="Cambria" w:hAnsi="Cambria"/>
          <w:sz w:val="22"/>
          <w:szCs w:val="22"/>
        </w:rPr>
        <w:t>Dec</w:t>
      </w:r>
      <w:r w:rsidR="00B35304">
        <w:rPr>
          <w:rFonts w:ascii="Cambria" w:hAnsi="Cambria"/>
          <w:sz w:val="22"/>
          <w:szCs w:val="22"/>
        </w:rPr>
        <w:t>ember</w:t>
      </w:r>
      <w:r w:rsidR="0000341C">
        <w:rPr>
          <w:rFonts w:ascii="Cambria" w:hAnsi="Cambria"/>
          <w:sz w:val="22"/>
          <w:szCs w:val="22"/>
        </w:rPr>
        <w:t xml:space="preserve"> 2018]</w:t>
      </w:r>
    </w:p>
    <w:p w14:paraId="4400F3BF" w14:textId="77777777" w:rsidR="00F753D1" w:rsidRDefault="00F753D1" w:rsidP="00494962">
      <w:pPr>
        <w:autoSpaceDE w:val="0"/>
        <w:autoSpaceDN w:val="0"/>
        <w:adjustRightInd w:val="0"/>
        <w:rPr>
          <w:rFonts w:ascii="Cambria" w:hAnsi="Cambria"/>
          <w:sz w:val="22"/>
          <w:szCs w:val="22"/>
        </w:rPr>
      </w:pPr>
    </w:p>
    <w:p w14:paraId="29766087" w14:textId="3088B052" w:rsidR="004E34CE" w:rsidRDefault="00F753D1" w:rsidP="00494962">
      <w:pPr>
        <w:autoSpaceDE w:val="0"/>
        <w:autoSpaceDN w:val="0"/>
        <w:adjustRightInd w:val="0"/>
        <w:rPr>
          <w:rFonts w:ascii="Cambria" w:hAnsi="Cambria"/>
          <w:color w:val="FF0000"/>
          <w:sz w:val="22"/>
          <w:szCs w:val="22"/>
        </w:rPr>
      </w:pPr>
      <w:r w:rsidRPr="00646D41">
        <w:rPr>
          <w:rFonts w:ascii="Cambria" w:hAnsi="Cambria"/>
          <w:color w:val="000000" w:themeColor="text1"/>
          <w:sz w:val="22"/>
          <w:szCs w:val="22"/>
        </w:rPr>
        <w:t>United Nations Development Programme</w:t>
      </w:r>
      <w:r w:rsidR="006F4D08">
        <w:rPr>
          <w:rFonts w:ascii="Cambria" w:hAnsi="Cambria"/>
          <w:color w:val="000000" w:themeColor="text1"/>
          <w:sz w:val="22"/>
          <w:szCs w:val="22"/>
        </w:rPr>
        <w:t>,</w:t>
      </w:r>
      <w:r w:rsidRPr="00646D41">
        <w:rPr>
          <w:rFonts w:ascii="Cambria" w:hAnsi="Cambria"/>
          <w:color w:val="000000" w:themeColor="text1"/>
          <w:sz w:val="22"/>
          <w:szCs w:val="22"/>
        </w:rPr>
        <w:t xml:space="preserve"> (2014)</w:t>
      </w:r>
      <w:r w:rsidR="006F4D08">
        <w:rPr>
          <w:rFonts w:ascii="Cambria" w:hAnsi="Cambria"/>
          <w:color w:val="000000" w:themeColor="text1"/>
          <w:sz w:val="22"/>
          <w:szCs w:val="22"/>
        </w:rPr>
        <w:t>.</w:t>
      </w:r>
      <w:r w:rsidR="00B35304">
        <w:rPr>
          <w:rFonts w:ascii="Cambria" w:hAnsi="Cambria"/>
          <w:color w:val="000000" w:themeColor="text1"/>
          <w:sz w:val="22"/>
          <w:szCs w:val="22"/>
        </w:rPr>
        <w:t xml:space="preserve"> ‘Promoting G</w:t>
      </w:r>
      <w:r w:rsidRPr="00646D41">
        <w:rPr>
          <w:rFonts w:ascii="Cambria" w:hAnsi="Cambria"/>
          <w:color w:val="000000" w:themeColor="text1"/>
          <w:sz w:val="22"/>
          <w:szCs w:val="22"/>
        </w:rPr>
        <w:t>ender Equality in Electoral Assistance: Lesson Learned in Comparative Perspecti</w:t>
      </w:r>
      <w:r w:rsidR="006F4D08">
        <w:rPr>
          <w:rFonts w:ascii="Cambria" w:hAnsi="Cambria"/>
          <w:color w:val="000000" w:themeColor="text1"/>
          <w:sz w:val="22"/>
          <w:szCs w:val="22"/>
        </w:rPr>
        <w:t>ve. Country Report for Burundi’.</w:t>
      </w:r>
      <w:r w:rsidRPr="00646D41">
        <w:rPr>
          <w:rFonts w:ascii="Cambria" w:hAnsi="Cambria"/>
          <w:color w:val="000000" w:themeColor="text1"/>
          <w:sz w:val="22"/>
          <w:szCs w:val="22"/>
        </w:rPr>
        <w:t xml:space="preserve"> UNDP Democratic Governance</w:t>
      </w:r>
      <w:r w:rsidRPr="006F4D08">
        <w:rPr>
          <w:rFonts w:ascii="Cambria" w:hAnsi="Cambria"/>
          <w:color w:val="000000" w:themeColor="text1"/>
          <w:sz w:val="22"/>
          <w:szCs w:val="22"/>
        </w:rPr>
        <w:t>.</w:t>
      </w:r>
      <w:r w:rsidR="006F4D08">
        <w:rPr>
          <w:rFonts w:ascii="Cambria" w:hAnsi="Cambria"/>
          <w:color w:val="FF0000"/>
          <w:sz w:val="22"/>
          <w:szCs w:val="22"/>
        </w:rPr>
        <w:t xml:space="preserve"> </w:t>
      </w:r>
      <w:r w:rsidR="006F4D08" w:rsidRPr="006F4D08">
        <w:rPr>
          <w:rFonts w:ascii="Cambria" w:hAnsi="Cambria"/>
          <w:color w:val="000000" w:themeColor="text1"/>
          <w:sz w:val="22"/>
          <w:szCs w:val="22"/>
        </w:rPr>
        <w:t>Available at:</w:t>
      </w:r>
      <w:r w:rsidR="004E34CE" w:rsidRPr="006F4D08">
        <w:rPr>
          <w:rFonts w:ascii="Cambria" w:hAnsi="Cambria"/>
          <w:color w:val="000000" w:themeColor="text1"/>
          <w:sz w:val="22"/>
          <w:szCs w:val="22"/>
        </w:rPr>
        <w:t xml:space="preserve"> </w:t>
      </w:r>
      <w:hyperlink r:id="rId27" w:history="1">
        <w:r w:rsidR="004E34CE" w:rsidRPr="008B26F3">
          <w:rPr>
            <w:rStyle w:val="Hyperlink"/>
            <w:rFonts w:ascii="Cambria" w:hAnsi="Cambria"/>
            <w:sz w:val="22"/>
            <w:szCs w:val="22"/>
          </w:rPr>
          <w:t>http://www.undp.org/content/undp/en/home/librarypage/democratic-</w:t>
        </w:r>
        <w:r w:rsidR="004E34CE" w:rsidRPr="008B26F3">
          <w:rPr>
            <w:rStyle w:val="Hyperlink"/>
            <w:rFonts w:ascii="Cambria" w:hAnsi="Cambria"/>
            <w:sz w:val="22"/>
            <w:szCs w:val="22"/>
          </w:rPr>
          <w:lastRenderedPageBreak/>
          <w:t>governance/electoral_systemsandprocesses/promoting-gender-equality-in-electoral-assistance0.html</w:t>
        </w:r>
      </w:hyperlink>
      <w:r w:rsidR="004E34CE">
        <w:rPr>
          <w:rFonts w:ascii="Cambria" w:hAnsi="Cambria"/>
          <w:color w:val="FF0000"/>
          <w:sz w:val="22"/>
          <w:szCs w:val="22"/>
        </w:rPr>
        <w:t xml:space="preserve"> </w:t>
      </w:r>
      <w:r w:rsidR="004E34CE">
        <w:rPr>
          <w:rFonts w:ascii="Cambria" w:hAnsi="Cambria"/>
          <w:sz w:val="22"/>
          <w:szCs w:val="22"/>
        </w:rPr>
        <w:t xml:space="preserve">[Accessed </w:t>
      </w:r>
      <w:r w:rsidR="00B35304">
        <w:rPr>
          <w:rFonts w:ascii="Cambria" w:hAnsi="Cambria"/>
          <w:sz w:val="22"/>
          <w:szCs w:val="22"/>
        </w:rPr>
        <w:t xml:space="preserve">18 </w:t>
      </w:r>
      <w:r w:rsidR="004E34CE">
        <w:rPr>
          <w:rFonts w:ascii="Cambria" w:hAnsi="Cambria"/>
          <w:sz w:val="22"/>
          <w:szCs w:val="22"/>
        </w:rPr>
        <w:t>Oct</w:t>
      </w:r>
      <w:r w:rsidR="00B35304">
        <w:rPr>
          <w:rFonts w:ascii="Cambria" w:hAnsi="Cambria"/>
          <w:sz w:val="22"/>
          <w:szCs w:val="22"/>
        </w:rPr>
        <w:t>ober</w:t>
      </w:r>
      <w:r w:rsidR="004E34CE" w:rsidRPr="00A90D10">
        <w:rPr>
          <w:rFonts w:ascii="Cambria" w:hAnsi="Cambria"/>
          <w:sz w:val="22"/>
          <w:szCs w:val="22"/>
        </w:rPr>
        <w:t xml:space="preserve"> 2018</w:t>
      </w:r>
      <w:r w:rsidR="004E34CE">
        <w:rPr>
          <w:rFonts w:ascii="Cambria" w:hAnsi="Cambria"/>
          <w:sz w:val="22"/>
          <w:szCs w:val="22"/>
        </w:rPr>
        <w:t>]</w:t>
      </w:r>
      <w:r w:rsidR="00096A3C">
        <w:rPr>
          <w:rFonts w:ascii="Cambria" w:hAnsi="Cambria"/>
          <w:sz w:val="22"/>
          <w:szCs w:val="22"/>
        </w:rPr>
        <w:t>.</w:t>
      </w:r>
    </w:p>
    <w:p w14:paraId="75695A5B" w14:textId="77777777" w:rsidR="00F753D1" w:rsidRPr="00F753D1" w:rsidRDefault="00F753D1" w:rsidP="00494962">
      <w:pPr>
        <w:autoSpaceDE w:val="0"/>
        <w:autoSpaceDN w:val="0"/>
        <w:adjustRightInd w:val="0"/>
        <w:rPr>
          <w:rFonts w:ascii="Cambria" w:hAnsi="Cambria"/>
          <w:sz w:val="22"/>
          <w:szCs w:val="22"/>
        </w:rPr>
      </w:pPr>
    </w:p>
    <w:p w14:paraId="70BFADD2" w14:textId="44083944" w:rsidR="00A12180" w:rsidRPr="006F4D08" w:rsidRDefault="00A12180" w:rsidP="00494962">
      <w:pPr>
        <w:rPr>
          <w:rFonts w:ascii="Cambria" w:hAnsi="Cambria"/>
          <w:sz w:val="22"/>
          <w:szCs w:val="22"/>
        </w:rPr>
      </w:pPr>
      <w:r w:rsidRPr="006F4D08">
        <w:rPr>
          <w:rFonts w:ascii="Cambria" w:hAnsi="Cambria"/>
          <w:color w:val="000000" w:themeColor="text1"/>
          <w:sz w:val="22"/>
          <w:szCs w:val="22"/>
        </w:rPr>
        <w:t>United Nations Development Programme</w:t>
      </w:r>
      <w:r w:rsidR="006F4D08" w:rsidRPr="006F4D08">
        <w:rPr>
          <w:rFonts w:ascii="Cambria" w:hAnsi="Cambria"/>
          <w:color w:val="000000" w:themeColor="text1"/>
          <w:sz w:val="22"/>
          <w:szCs w:val="22"/>
        </w:rPr>
        <w:t>,</w:t>
      </w:r>
      <w:r w:rsidR="00FB3EAC" w:rsidRPr="006F4D08">
        <w:rPr>
          <w:rFonts w:ascii="Cambria" w:hAnsi="Cambria"/>
          <w:color w:val="000000" w:themeColor="text1"/>
          <w:sz w:val="22"/>
          <w:szCs w:val="22"/>
        </w:rPr>
        <w:t xml:space="preserve"> (2009)</w:t>
      </w:r>
      <w:r w:rsidR="006F4D08" w:rsidRPr="006F4D08">
        <w:rPr>
          <w:rFonts w:ascii="Cambria" w:hAnsi="Cambria"/>
          <w:color w:val="000000" w:themeColor="text1"/>
          <w:sz w:val="22"/>
          <w:szCs w:val="22"/>
        </w:rPr>
        <w:t>.</w:t>
      </w:r>
      <w:r w:rsidRPr="006F4D08">
        <w:rPr>
          <w:rFonts w:ascii="Cambria" w:hAnsi="Cambria"/>
          <w:color w:val="000000" w:themeColor="text1"/>
          <w:sz w:val="22"/>
          <w:szCs w:val="22"/>
        </w:rPr>
        <w:t xml:space="preserve"> ‘The Ties that Bind: Social Cap</w:t>
      </w:r>
      <w:r w:rsidR="006F4D08" w:rsidRPr="006F4D08">
        <w:rPr>
          <w:rFonts w:ascii="Cambria" w:hAnsi="Cambria"/>
          <w:color w:val="000000" w:themeColor="text1"/>
          <w:sz w:val="22"/>
          <w:szCs w:val="22"/>
        </w:rPr>
        <w:t>ital in Bosnia and Herzegovina’.</w:t>
      </w:r>
      <w:r w:rsidRPr="006F4D08">
        <w:rPr>
          <w:rFonts w:ascii="Cambria" w:hAnsi="Cambria"/>
          <w:color w:val="000000" w:themeColor="text1"/>
          <w:sz w:val="22"/>
          <w:szCs w:val="22"/>
        </w:rPr>
        <w:t xml:space="preserve"> </w:t>
      </w:r>
      <w:r w:rsidRPr="006F4D08">
        <w:rPr>
          <w:rFonts w:ascii="Cambria" w:hAnsi="Cambria"/>
          <w:i/>
          <w:color w:val="000000" w:themeColor="text1"/>
          <w:sz w:val="22"/>
          <w:szCs w:val="22"/>
        </w:rPr>
        <w:t>National Human Development Report 2009</w:t>
      </w:r>
      <w:r w:rsidR="006F4D08">
        <w:rPr>
          <w:rFonts w:ascii="Cambria" w:hAnsi="Cambria"/>
          <w:color w:val="000000" w:themeColor="text1"/>
          <w:sz w:val="22"/>
          <w:szCs w:val="22"/>
        </w:rPr>
        <w:t>.</w:t>
      </w:r>
      <w:r w:rsidRPr="006F4D08">
        <w:rPr>
          <w:rFonts w:ascii="Cambria" w:hAnsi="Cambria"/>
          <w:color w:val="000000" w:themeColor="text1"/>
          <w:sz w:val="22"/>
          <w:szCs w:val="22"/>
        </w:rPr>
        <w:t xml:space="preserve"> </w:t>
      </w:r>
      <w:r w:rsidR="006F4D08">
        <w:rPr>
          <w:rFonts w:ascii="Cambria" w:hAnsi="Cambria"/>
          <w:color w:val="000000" w:themeColor="text1"/>
          <w:sz w:val="22"/>
          <w:szCs w:val="22"/>
        </w:rPr>
        <w:t>Sar</w:t>
      </w:r>
      <w:r w:rsidR="00B35304">
        <w:rPr>
          <w:rFonts w:ascii="Cambria" w:hAnsi="Cambria"/>
          <w:color w:val="000000" w:themeColor="text1"/>
          <w:sz w:val="22"/>
          <w:szCs w:val="22"/>
        </w:rPr>
        <w:t>a</w:t>
      </w:r>
      <w:r w:rsidR="006F4D08">
        <w:rPr>
          <w:rFonts w:ascii="Cambria" w:hAnsi="Cambria"/>
          <w:color w:val="000000" w:themeColor="text1"/>
          <w:sz w:val="22"/>
          <w:szCs w:val="22"/>
        </w:rPr>
        <w:t>jevo:</w:t>
      </w:r>
      <w:r w:rsidR="00B35304">
        <w:rPr>
          <w:rFonts w:ascii="Cambria" w:hAnsi="Cambria"/>
          <w:color w:val="000000" w:themeColor="text1"/>
          <w:sz w:val="22"/>
          <w:szCs w:val="22"/>
        </w:rPr>
        <w:t xml:space="preserve"> </w:t>
      </w:r>
      <w:r w:rsidRPr="006F4D08">
        <w:rPr>
          <w:rFonts w:ascii="Cambria" w:hAnsi="Cambria"/>
          <w:color w:val="000000" w:themeColor="text1"/>
          <w:sz w:val="22"/>
          <w:szCs w:val="22"/>
        </w:rPr>
        <w:t>United Nations Development Programme</w:t>
      </w:r>
      <w:r w:rsidR="006F4D08">
        <w:rPr>
          <w:rFonts w:ascii="Cambria" w:hAnsi="Cambria"/>
          <w:color w:val="000000" w:themeColor="text1"/>
          <w:sz w:val="22"/>
          <w:szCs w:val="22"/>
        </w:rPr>
        <w:t xml:space="preserve">. Available at: </w:t>
      </w:r>
      <w:r w:rsidRPr="006F4D08">
        <w:rPr>
          <w:rFonts w:ascii="Cambria" w:hAnsi="Cambria"/>
          <w:color w:val="000000" w:themeColor="text1"/>
          <w:sz w:val="22"/>
          <w:szCs w:val="22"/>
        </w:rPr>
        <w:t xml:space="preserve"> </w:t>
      </w:r>
      <w:hyperlink r:id="rId28" w:history="1">
        <w:r w:rsidRPr="006F4D08">
          <w:rPr>
            <w:rStyle w:val="Hyperlink"/>
            <w:rFonts w:ascii="Cambria" w:hAnsi="Cambria"/>
            <w:sz w:val="22"/>
            <w:szCs w:val="22"/>
          </w:rPr>
          <w:t>http://hdr.undp.org/sites/default/files/bosnia_nhdr_2009_en_0.pdf</w:t>
        </w:r>
      </w:hyperlink>
      <w:r w:rsidR="006F4D08">
        <w:rPr>
          <w:rStyle w:val="Hyperlink"/>
          <w:rFonts w:ascii="Cambria" w:hAnsi="Cambria"/>
          <w:sz w:val="22"/>
          <w:szCs w:val="22"/>
        </w:rPr>
        <w:t xml:space="preserve"> </w:t>
      </w:r>
      <w:r w:rsidR="006F4D08">
        <w:rPr>
          <w:rFonts w:ascii="Cambria" w:hAnsi="Cambria"/>
          <w:sz w:val="22"/>
          <w:szCs w:val="22"/>
        </w:rPr>
        <w:t>[Accessed</w:t>
      </w:r>
      <w:r w:rsidR="00B35304">
        <w:rPr>
          <w:rFonts w:ascii="Cambria" w:hAnsi="Cambria"/>
          <w:sz w:val="22"/>
          <w:szCs w:val="22"/>
        </w:rPr>
        <w:t xml:space="preserve"> 18</w:t>
      </w:r>
      <w:r w:rsidR="006F4D08">
        <w:rPr>
          <w:rFonts w:ascii="Cambria" w:hAnsi="Cambria"/>
          <w:sz w:val="22"/>
          <w:szCs w:val="22"/>
        </w:rPr>
        <w:t xml:space="preserve"> Oct</w:t>
      </w:r>
      <w:r w:rsidR="00B35304">
        <w:rPr>
          <w:rFonts w:ascii="Cambria" w:hAnsi="Cambria"/>
          <w:sz w:val="22"/>
          <w:szCs w:val="22"/>
        </w:rPr>
        <w:t>ober</w:t>
      </w:r>
      <w:r w:rsidR="006F4D08" w:rsidRPr="00A90D10">
        <w:rPr>
          <w:rFonts w:ascii="Cambria" w:hAnsi="Cambria"/>
          <w:sz w:val="22"/>
          <w:szCs w:val="22"/>
        </w:rPr>
        <w:t xml:space="preserve"> 2018</w:t>
      </w:r>
      <w:r w:rsidR="006F4D08">
        <w:rPr>
          <w:rFonts w:ascii="Cambria" w:hAnsi="Cambria"/>
          <w:sz w:val="22"/>
          <w:szCs w:val="22"/>
        </w:rPr>
        <w:t>]</w:t>
      </w:r>
      <w:r w:rsidR="00096A3C">
        <w:rPr>
          <w:rFonts w:ascii="Cambria" w:hAnsi="Cambria"/>
          <w:sz w:val="22"/>
          <w:szCs w:val="22"/>
        </w:rPr>
        <w:t>.</w:t>
      </w:r>
    </w:p>
    <w:p w14:paraId="0AEE1392" w14:textId="77777777" w:rsidR="000F7F2A" w:rsidRPr="009D7D02" w:rsidRDefault="000F7F2A" w:rsidP="00494962">
      <w:pPr>
        <w:autoSpaceDE w:val="0"/>
        <w:autoSpaceDN w:val="0"/>
        <w:adjustRightInd w:val="0"/>
        <w:rPr>
          <w:rFonts w:ascii="Cambria" w:hAnsi="Cambria"/>
          <w:sz w:val="22"/>
          <w:szCs w:val="22"/>
        </w:rPr>
      </w:pPr>
    </w:p>
    <w:p w14:paraId="665A98AA" w14:textId="46E99044" w:rsidR="006F4D08" w:rsidRDefault="000F7F2A" w:rsidP="00494962">
      <w:pPr>
        <w:autoSpaceDE w:val="0"/>
        <w:autoSpaceDN w:val="0"/>
        <w:adjustRightInd w:val="0"/>
        <w:rPr>
          <w:rFonts w:ascii="Cambria" w:hAnsi="Cambria"/>
          <w:sz w:val="22"/>
          <w:szCs w:val="22"/>
        </w:rPr>
      </w:pPr>
      <w:r w:rsidRPr="00646D41">
        <w:rPr>
          <w:rFonts w:ascii="Cambria" w:hAnsi="Cambria"/>
          <w:sz w:val="22"/>
          <w:szCs w:val="22"/>
        </w:rPr>
        <w:t>Uni</w:t>
      </w:r>
      <w:r w:rsidR="00A12180" w:rsidRPr="00646D41">
        <w:rPr>
          <w:rFonts w:ascii="Cambria" w:hAnsi="Cambria"/>
          <w:sz w:val="22"/>
          <w:szCs w:val="22"/>
        </w:rPr>
        <w:t>ted Nations Security Council</w:t>
      </w:r>
      <w:r w:rsidR="006F4D08">
        <w:rPr>
          <w:rFonts w:ascii="Cambria" w:hAnsi="Cambria"/>
          <w:sz w:val="22"/>
          <w:szCs w:val="22"/>
        </w:rPr>
        <w:t>, (2000).</w:t>
      </w:r>
      <w:r w:rsidR="005B54A4" w:rsidRPr="00646D41">
        <w:rPr>
          <w:rFonts w:ascii="Cambria" w:hAnsi="Cambria"/>
          <w:sz w:val="22"/>
          <w:szCs w:val="22"/>
        </w:rPr>
        <w:t xml:space="preserve"> </w:t>
      </w:r>
      <w:r w:rsidR="006F4D08">
        <w:rPr>
          <w:rFonts w:ascii="Cambria" w:hAnsi="Cambria"/>
          <w:sz w:val="22"/>
          <w:szCs w:val="22"/>
        </w:rPr>
        <w:t xml:space="preserve">UN Security Council </w:t>
      </w:r>
      <w:r w:rsidRPr="00646D41">
        <w:rPr>
          <w:rFonts w:ascii="Cambria" w:hAnsi="Cambria"/>
          <w:sz w:val="22"/>
          <w:szCs w:val="22"/>
        </w:rPr>
        <w:t xml:space="preserve">Resolution </w:t>
      </w:r>
      <w:r w:rsidR="00E57B66" w:rsidRPr="00646D41">
        <w:rPr>
          <w:rFonts w:ascii="Cambria" w:hAnsi="Cambria"/>
          <w:sz w:val="22"/>
          <w:szCs w:val="22"/>
        </w:rPr>
        <w:t>1325</w:t>
      </w:r>
      <w:r w:rsidR="006F4D08">
        <w:rPr>
          <w:rFonts w:ascii="Cambria" w:hAnsi="Cambria"/>
          <w:sz w:val="22"/>
          <w:szCs w:val="22"/>
        </w:rPr>
        <w:t>.</w:t>
      </w:r>
      <w:r w:rsidR="00E57B66" w:rsidRPr="00646D41">
        <w:rPr>
          <w:rFonts w:ascii="Cambria" w:hAnsi="Cambria"/>
          <w:sz w:val="22"/>
          <w:szCs w:val="22"/>
        </w:rPr>
        <w:t xml:space="preserve"> </w:t>
      </w:r>
      <w:r w:rsidR="006F4D08">
        <w:rPr>
          <w:rFonts w:ascii="Cambria" w:hAnsi="Cambria"/>
          <w:sz w:val="22"/>
          <w:szCs w:val="22"/>
        </w:rPr>
        <w:t>S/ RES/ 1325, 31 October 2000.</w:t>
      </w:r>
      <w:r w:rsidR="0000341C" w:rsidRPr="00646D41">
        <w:rPr>
          <w:rFonts w:ascii="Cambria" w:hAnsi="Cambria"/>
          <w:sz w:val="22"/>
          <w:szCs w:val="22"/>
        </w:rPr>
        <w:t xml:space="preserve"> Available </w:t>
      </w:r>
      <w:r w:rsidRPr="00646D41">
        <w:rPr>
          <w:rFonts w:ascii="Cambria" w:hAnsi="Cambria"/>
          <w:sz w:val="22"/>
          <w:szCs w:val="22"/>
        </w:rPr>
        <w:t xml:space="preserve">at: </w:t>
      </w:r>
      <w:hyperlink r:id="rId29" w:history="1">
        <w:r w:rsidR="0000341C" w:rsidRPr="00646D41">
          <w:rPr>
            <w:rStyle w:val="Hyperlink"/>
            <w:rFonts w:ascii="Cambria" w:hAnsi="Cambria"/>
            <w:sz w:val="22"/>
            <w:szCs w:val="22"/>
          </w:rPr>
          <w:t>https://documents-dds-ny.un.org/doc/UNDOC/GEN/N00/720/18/PDF/N0072018.pdf?OpenElement</w:t>
        </w:r>
      </w:hyperlink>
      <w:r w:rsidR="006F4D08">
        <w:rPr>
          <w:rFonts w:ascii="Cambria" w:hAnsi="Cambria"/>
          <w:sz w:val="22"/>
          <w:szCs w:val="22"/>
        </w:rPr>
        <w:t xml:space="preserve"> </w:t>
      </w:r>
    </w:p>
    <w:p w14:paraId="4DE751CC" w14:textId="76E5FD02" w:rsidR="00E57B66" w:rsidRDefault="0000341C" w:rsidP="00494962">
      <w:pPr>
        <w:autoSpaceDE w:val="0"/>
        <w:autoSpaceDN w:val="0"/>
        <w:adjustRightInd w:val="0"/>
        <w:rPr>
          <w:rFonts w:ascii="Cambria" w:hAnsi="Cambria"/>
          <w:sz w:val="22"/>
          <w:szCs w:val="22"/>
        </w:rPr>
      </w:pPr>
      <w:r>
        <w:rPr>
          <w:rFonts w:ascii="Cambria" w:hAnsi="Cambria"/>
          <w:sz w:val="22"/>
          <w:szCs w:val="22"/>
        </w:rPr>
        <w:t xml:space="preserve">[Accessed </w:t>
      </w:r>
      <w:r w:rsidR="00B35304">
        <w:rPr>
          <w:rFonts w:ascii="Cambria" w:hAnsi="Cambria"/>
          <w:sz w:val="22"/>
          <w:szCs w:val="22"/>
        </w:rPr>
        <w:t xml:space="preserve">8 </w:t>
      </w:r>
      <w:r>
        <w:rPr>
          <w:rFonts w:ascii="Cambria" w:hAnsi="Cambria"/>
          <w:sz w:val="22"/>
          <w:szCs w:val="22"/>
        </w:rPr>
        <w:t>Dec</w:t>
      </w:r>
      <w:r w:rsidR="00B35304">
        <w:rPr>
          <w:rFonts w:ascii="Cambria" w:hAnsi="Cambria"/>
          <w:sz w:val="22"/>
          <w:szCs w:val="22"/>
        </w:rPr>
        <w:t>ember</w:t>
      </w:r>
      <w:r>
        <w:rPr>
          <w:rFonts w:ascii="Cambria" w:hAnsi="Cambria"/>
          <w:sz w:val="22"/>
          <w:szCs w:val="22"/>
        </w:rPr>
        <w:t xml:space="preserve"> 2018]</w:t>
      </w:r>
      <w:r w:rsidR="00096A3C">
        <w:rPr>
          <w:rFonts w:ascii="Cambria" w:hAnsi="Cambria"/>
          <w:sz w:val="22"/>
          <w:szCs w:val="22"/>
        </w:rPr>
        <w:t>.</w:t>
      </w:r>
    </w:p>
    <w:p w14:paraId="3634A97D" w14:textId="77777777" w:rsidR="00832DB3" w:rsidRDefault="00832DB3" w:rsidP="00494962">
      <w:pPr>
        <w:autoSpaceDE w:val="0"/>
        <w:autoSpaceDN w:val="0"/>
        <w:adjustRightInd w:val="0"/>
        <w:rPr>
          <w:rFonts w:ascii="Cambria" w:hAnsi="Cambria"/>
          <w:sz w:val="22"/>
          <w:szCs w:val="22"/>
        </w:rPr>
      </w:pPr>
    </w:p>
    <w:p w14:paraId="2A7555D3" w14:textId="0DAB887B" w:rsidR="00832DB3" w:rsidRPr="000B06BD" w:rsidRDefault="00832DB3" w:rsidP="00B35304">
      <w:pPr>
        <w:pStyle w:val="Heading1"/>
        <w:shd w:val="clear" w:color="auto" w:fill="FFFFFF"/>
        <w:spacing w:before="0" w:beforeAutospacing="0" w:after="0" w:afterAutospacing="0"/>
        <w:textAlignment w:val="baseline"/>
        <w:rPr>
          <w:rFonts w:ascii="Cambria" w:hAnsi="Cambria"/>
          <w:b w:val="0"/>
          <w:caps/>
          <w:color w:val="000000"/>
          <w:sz w:val="22"/>
          <w:szCs w:val="22"/>
        </w:rPr>
      </w:pPr>
      <w:r w:rsidRPr="000B06BD">
        <w:rPr>
          <w:rFonts w:ascii="Cambria" w:hAnsi="Cambria"/>
          <w:b w:val="0"/>
          <w:sz w:val="22"/>
          <w:szCs w:val="22"/>
        </w:rPr>
        <w:t>USAID, (2018)</w:t>
      </w:r>
      <w:r w:rsidR="00F2053F">
        <w:rPr>
          <w:rFonts w:ascii="Cambria" w:hAnsi="Cambria"/>
          <w:b w:val="0"/>
          <w:sz w:val="22"/>
          <w:szCs w:val="22"/>
        </w:rPr>
        <w:t>.</w:t>
      </w:r>
      <w:r w:rsidRPr="000B06BD">
        <w:rPr>
          <w:rFonts w:ascii="Cambria" w:hAnsi="Cambria"/>
          <w:b w:val="0"/>
          <w:sz w:val="22"/>
          <w:szCs w:val="22"/>
        </w:rPr>
        <w:t xml:space="preserve"> </w:t>
      </w:r>
      <w:r w:rsidRPr="00F2053F">
        <w:rPr>
          <w:rFonts w:ascii="Cambria" w:hAnsi="Cambria"/>
          <w:b w:val="0"/>
          <w:i/>
          <w:sz w:val="22"/>
          <w:szCs w:val="22"/>
        </w:rPr>
        <w:t>Fact Sheet: Empowering Women in Bosnia and Herze</w:t>
      </w:r>
      <w:r w:rsidR="004E69F1">
        <w:rPr>
          <w:rFonts w:ascii="Cambria" w:hAnsi="Cambria"/>
          <w:b w:val="0"/>
          <w:i/>
          <w:sz w:val="22"/>
          <w:szCs w:val="22"/>
        </w:rPr>
        <w:t>g</w:t>
      </w:r>
      <w:r w:rsidRPr="00F2053F">
        <w:rPr>
          <w:rFonts w:ascii="Cambria" w:hAnsi="Cambria"/>
          <w:b w:val="0"/>
          <w:i/>
          <w:sz w:val="22"/>
          <w:szCs w:val="22"/>
        </w:rPr>
        <w:t>ovina</w:t>
      </w:r>
      <w:r w:rsidRPr="000B06BD">
        <w:rPr>
          <w:rFonts w:ascii="Cambria" w:hAnsi="Cambria"/>
          <w:b w:val="0"/>
          <w:sz w:val="22"/>
          <w:szCs w:val="22"/>
        </w:rPr>
        <w:t xml:space="preserve">. Available at: </w:t>
      </w:r>
    </w:p>
    <w:p w14:paraId="7120F4AC" w14:textId="03EF516B" w:rsidR="00832DB3" w:rsidRPr="000B06BD" w:rsidRDefault="003E6E5A" w:rsidP="00B35304">
      <w:pPr>
        <w:rPr>
          <w:rFonts w:ascii="Cambria" w:hAnsi="Cambria"/>
          <w:sz w:val="22"/>
          <w:szCs w:val="22"/>
          <w:shd w:val="clear" w:color="auto" w:fill="FFFFFF"/>
        </w:rPr>
      </w:pPr>
      <w:hyperlink r:id="rId30" w:history="1">
        <w:r w:rsidR="00832DB3" w:rsidRPr="000B06BD">
          <w:rPr>
            <w:rStyle w:val="Hyperlink"/>
            <w:rFonts w:ascii="Cambria" w:hAnsi="Cambria"/>
            <w:sz w:val="22"/>
            <w:szCs w:val="22"/>
            <w:shd w:val="clear" w:color="auto" w:fill="FFFFFF"/>
          </w:rPr>
          <w:t>https://www.usaid.gov/bosnia/fact-sheets/fact-sheet-empowering-women-bosnia-and-herzegovina</w:t>
        </w:r>
      </w:hyperlink>
      <w:r w:rsidR="00832DB3" w:rsidRPr="000B06BD">
        <w:rPr>
          <w:rFonts w:ascii="Cambria" w:hAnsi="Cambria"/>
          <w:sz w:val="22"/>
          <w:szCs w:val="22"/>
          <w:shd w:val="clear" w:color="auto" w:fill="FFFFFF"/>
        </w:rPr>
        <w:t xml:space="preserve">  </w:t>
      </w:r>
      <w:r w:rsidR="00832DB3" w:rsidRPr="000B06BD">
        <w:rPr>
          <w:rFonts w:ascii="Cambria" w:hAnsi="Cambria" w:cs="Arial"/>
          <w:sz w:val="22"/>
          <w:szCs w:val="22"/>
          <w:shd w:val="clear" w:color="auto" w:fill="FFFFFF"/>
        </w:rPr>
        <w:t xml:space="preserve">[Accessed </w:t>
      </w:r>
      <w:r w:rsidR="00B35304">
        <w:rPr>
          <w:rFonts w:ascii="Cambria" w:hAnsi="Cambria" w:cs="Arial"/>
          <w:sz w:val="22"/>
          <w:szCs w:val="22"/>
          <w:shd w:val="clear" w:color="auto" w:fill="FFFFFF"/>
        </w:rPr>
        <w:t xml:space="preserve">8 </w:t>
      </w:r>
      <w:r w:rsidR="00096A3C">
        <w:rPr>
          <w:rFonts w:ascii="Cambria" w:hAnsi="Cambria" w:cs="Arial"/>
          <w:sz w:val="22"/>
          <w:szCs w:val="22"/>
          <w:shd w:val="clear" w:color="auto" w:fill="FFFFFF"/>
        </w:rPr>
        <w:t>Dec</w:t>
      </w:r>
      <w:r w:rsidR="00B35304">
        <w:rPr>
          <w:rFonts w:ascii="Cambria" w:hAnsi="Cambria" w:cs="Arial"/>
          <w:sz w:val="22"/>
          <w:szCs w:val="22"/>
          <w:shd w:val="clear" w:color="auto" w:fill="FFFFFF"/>
        </w:rPr>
        <w:t>ember</w:t>
      </w:r>
      <w:r w:rsidR="00832DB3" w:rsidRPr="000B06BD">
        <w:rPr>
          <w:rFonts w:ascii="Cambria" w:hAnsi="Cambria" w:cs="Arial"/>
          <w:sz w:val="22"/>
          <w:szCs w:val="22"/>
          <w:shd w:val="clear" w:color="auto" w:fill="FFFFFF"/>
        </w:rPr>
        <w:t xml:space="preserve"> 2018]</w:t>
      </w:r>
      <w:r w:rsidR="00096A3C">
        <w:rPr>
          <w:rFonts w:ascii="Cambria" w:hAnsi="Cambria" w:cs="Arial"/>
          <w:sz w:val="22"/>
          <w:szCs w:val="22"/>
          <w:shd w:val="clear" w:color="auto" w:fill="FFFFFF"/>
        </w:rPr>
        <w:t>.</w:t>
      </w:r>
    </w:p>
    <w:p w14:paraId="0302F821" w14:textId="77777777" w:rsidR="00E57B66" w:rsidRDefault="00E57B66" w:rsidP="00494962">
      <w:pPr>
        <w:autoSpaceDE w:val="0"/>
        <w:autoSpaceDN w:val="0"/>
        <w:adjustRightInd w:val="0"/>
        <w:rPr>
          <w:rFonts w:ascii="Cambria" w:hAnsi="Cambria"/>
          <w:sz w:val="22"/>
          <w:szCs w:val="22"/>
        </w:rPr>
      </w:pPr>
    </w:p>
    <w:p w14:paraId="4493F19C" w14:textId="055E3AB8" w:rsidR="005B54A4" w:rsidRPr="00A90D10" w:rsidRDefault="0000341C" w:rsidP="00494962">
      <w:pPr>
        <w:rPr>
          <w:rFonts w:ascii="Cambria" w:eastAsia="Times New Roman" w:hAnsi="Cambria" w:cs="Arial"/>
          <w:color w:val="000000" w:themeColor="text1"/>
          <w:sz w:val="22"/>
          <w:szCs w:val="22"/>
          <w:shd w:val="clear" w:color="auto" w:fill="FFFFFF"/>
        </w:rPr>
      </w:pPr>
      <w:proofErr w:type="spellStart"/>
      <w:r>
        <w:rPr>
          <w:rFonts w:ascii="Cambria" w:hAnsi="Cambria"/>
          <w:sz w:val="22"/>
          <w:szCs w:val="22"/>
        </w:rPr>
        <w:t>Vandeginste</w:t>
      </w:r>
      <w:proofErr w:type="spellEnd"/>
      <w:r>
        <w:rPr>
          <w:rFonts w:ascii="Cambria" w:hAnsi="Cambria"/>
          <w:sz w:val="22"/>
          <w:szCs w:val="22"/>
        </w:rPr>
        <w:t xml:space="preserve">, S., </w:t>
      </w:r>
      <w:r w:rsidR="00FC73CE" w:rsidRPr="00A90D10">
        <w:rPr>
          <w:rFonts w:ascii="Cambria" w:hAnsi="Cambria"/>
          <w:sz w:val="22"/>
          <w:szCs w:val="22"/>
        </w:rPr>
        <w:t>(2017a)</w:t>
      </w:r>
      <w:r>
        <w:rPr>
          <w:rFonts w:ascii="Cambria" w:hAnsi="Cambria"/>
          <w:sz w:val="22"/>
          <w:szCs w:val="22"/>
        </w:rPr>
        <w:t>.</w:t>
      </w:r>
      <w:r w:rsidR="00FC73CE" w:rsidRPr="00A90D10">
        <w:rPr>
          <w:rFonts w:ascii="Cambria" w:hAnsi="Cambria"/>
          <w:sz w:val="22"/>
          <w:szCs w:val="22"/>
        </w:rPr>
        <w:t xml:space="preserve"> ‘Power-Sharing in </w:t>
      </w:r>
      <w:r>
        <w:rPr>
          <w:rFonts w:ascii="Cambria" w:hAnsi="Cambria"/>
          <w:sz w:val="22"/>
          <w:szCs w:val="22"/>
        </w:rPr>
        <w:t>Burundi: An Enduring Miracle?’</w:t>
      </w:r>
      <w:r w:rsidR="006F4D08">
        <w:rPr>
          <w:rFonts w:ascii="Cambria" w:hAnsi="Cambria"/>
          <w:sz w:val="22"/>
          <w:szCs w:val="22"/>
        </w:rPr>
        <w:t>,</w:t>
      </w:r>
      <w:r>
        <w:rPr>
          <w:rFonts w:ascii="Cambria" w:hAnsi="Cambria"/>
          <w:sz w:val="22"/>
          <w:szCs w:val="22"/>
        </w:rPr>
        <w:t xml:space="preserve"> i</w:t>
      </w:r>
      <w:r w:rsidR="00FC73CE" w:rsidRPr="00A90D10">
        <w:rPr>
          <w:rFonts w:ascii="Cambria" w:hAnsi="Cambria"/>
          <w:sz w:val="22"/>
          <w:szCs w:val="22"/>
        </w:rPr>
        <w:t xml:space="preserve">n </w:t>
      </w:r>
      <w:r w:rsidR="00D32B63" w:rsidRPr="00A90D10">
        <w:rPr>
          <w:rFonts w:ascii="Cambria" w:hAnsi="Cambria"/>
          <w:sz w:val="22"/>
          <w:szCs w:val="22"/>
        </w:rPr>
        <w:t xml:space="preserve">A. </w:t>
      </w:r>
      <w:r w:rsidR="00FC73CE" w:rsidRPr="00A90D10">
        <w:rPr>
          <w:rFonts w:ascii="Cambria" w:hAnsi="Cambria"/>
          <w:sz w:val="22"/>
          <w:szCs w:val="22"/>
        </w:rPr>
        <w:t xml:space="preserve">McCulloch and </w:t>
      </w:r>
      <w:r w:rsidR="00D32B63" w:rsidRPr="00A90D10">
        <w:rPr>
          <w:rFonts w:ascii="Cambria" w:hAnsi="Cambria"/>
          <w:sz w:val="22"/>
          <w:szCs w:val="22"/>
        </w:rPr>
        <w:t xml:space="preserve">J. </w:t>
      </w:r>
      <w:proofErr w:type="spellStart"/>
      <w:r w:rsidR="006F4D08">
        <w:rPr>
          <w:rFonts w:ascii="Cambria" w:hAnsi="Cambria"/>
          <w:sz w:val="22"/>
          <w:szCs w:val="22"/>
        </w:rPr>
        <w:t>McGarry</w:t>
      </w:r>
      <w:proofErr w:type="spellEnd"/>
      <w:r w:rsidR="006F4D08">
        <w:rPr>
          <w:rFonts w:ascii="Cambria" w:hAnsi="Cambria"/>
          <w:sz w:val="22"/>
          <w:szCs w:val="22"/>
        </w:rPr>
        <w:t>,</w:t>
      </w:r>
      <w:r>
        <w:rPr>
          <w:rFonts w:ascii="Cambria" w:hAnsi="Cambria"/>
          <w:sz w:val="22"/>
          <w:szCs w:val="22"/>
        </w:rPr>
        <w:t xml:space="preserve"> eds.</w:t>
      </w:r>
      <w:r w:rsidR="00FC73CE" w:rsidRPr="00A90D10">
        <w:rPr>
          <w:rFonts w:ascii="Cambria" w:hAnsi="Cambria"/>
          <w:sz w:val="22"/>
          <w:szCs w:val="22"/>
        </w:rPr>
        <w:t xml:space="preserve"> P</w:t>
      </w:r>
      <w:r w:rsidR="00FC73CE" w:rsidRPr="00A90D10">
        <w:rPr>
          <w:rFonts w:ascii="Cambria" w:hAnsi="Cambria"/>
          <w:i/>
          <w:sz w:val="22"/>
          <w:szCs w:val="22"/>
        </w:rPr>
        <w:t>ower-Sharing: Empirical and Normative Challenges.</w:t>
      </w:r>
      <w:r>
        <w:rPr>
          <w:rFonts w:ascii="Cambria" w:hAnsi="Cambria"/>
          <w:sz w:val="22"/>
          <w:szCs w:val="22"/>
        </w:rPr>
        <w:t xml:space="preserve"> London: Routledge</w:t>
      </w:r>
      <w:r w:rsidR="000A7B90">
        <w:rPr>
          <w:rFonts w:ascii="Cambria" w:hAnsi="Cambria"/>
          <w:sz w:val="22"/>
          <w:szCs w:val="22"/>
        </w:rPr>
        <w:t>, pp. 166</w:t>
      </w:r>
      <w:r w:rsidR="00ED1752">
        <w:rPr>
          <w:rFonts w:ascii="Cambria" w:hAnsi="Cambria"/>
          <w:sz w:val="22"/>
          <w:szCs w:val="22"/>
        </w:rPr>
        <w:t>-188</w:t>
      </w:r>
      <w:r w:rsidR="00096A3C">
        <w:rPr>
          <w:rFonts w:ascii="Cambria" w:hAnsi="Cambria"/>
          <w:sz w:val="22"/>
          <w:szCs w:val="22"/>
        </w:rPr>
        <w:t>.</w:t>
      </w:r>
    </w:p>
    <w:p w14:paraId="37BB4212" w14:textId="77777777" w:rsidR="00FC73CE" w:rsidRPr="00E57B66" w:rsidRDefault="00FC73CE" w:rsidP="00494962">
      <w:pPr>
        <w:rPr>
          <w:rFonts w:ascii="Cambria" w:eastAsia="Times New Roman" w:hAnsi="Cambria"/>
          <w:sz w:val="22"/>
          <w:szCs w:val="22"/>
        </w:rPr>
      </w:pPr>
    </w:p>
    <w:p w14:paraId="7D718F20" w14:textId="398F3274" w:rsidR="009517AD" w:rsidRDefault="009517AD" w:rsidP="00494962">
      <w:pPr>
        <w:autoSpaceDE w:val="0"/>
        <w:autoSpaceDN w:val="0"/>
        <w:adjustRightInd w:val="0"/>
        <w:rPr>
          <w:rFonts w:ascii="Cambria" w:hAnsi="Cambria"/>
          <w:sz w:val="22"/>
          <w:szCs w:val="22"/>
        </w:rPr>
      </w:pPr>
      <w:proofErr w:type="spellStart"/>
      <w:r w:rsidRPr="00E57B66">
        <w:rPr>
          <w:rFonts w:ascii="Cambria" w:hAnsi="Cambria"/>
          <w:sz w:val="22"/>
          <w:szCs w:val="22"/>
        </w:rPr>
        <w:t>Vandeginste</w:t>
      </w:r>
      <w:proofErr w:type="spellEnd"/>
      <w:r w:rsidRPr="00E57B66">
        <w:rPr>
          <w:rFonts w:ascii="Cambria" w:hAnsi="Cambria"/>
          <w:sz w:val="22"/>
          <w:szCs w:val="22"/>
        </w:rPr>
        <w:t>, S.</w:t>
      </w:r>
      <w:r w:rsidR="0000341C" w:rsidRPr="00E57B66">
        <w:rPr>
          <w:rFonts w:ascii="Cambria" w:hAnsi="Cambria"/>
          <w:sz w:val="22"/>
          <w:szCs w:val="22"/>
        </w:rPr>
        <w:t>,</w:t>
      </w:r>
      <w:r w:rsidRPr="00E57B66">
        <w:rPr>
          <w:rFonts w:ascii="Cambria" w:hAnsi="Cambria"/>
          <w:sz w:val="22"/>
          <w:szCs w:val="22"/>
        </w:rPr>
        <w:t xml:space="preserve"> (2017</w:t>
      </w:r>
      <w:r w:rsidR="00FC73CE" w:rsidRPr="00E57B66">
        <w:rPr>
          <w:rFonts w:ascii="Cambria" w:hAnsi="Cambria"/>
          <w:sz w:val="22"/>
          <w:szCs w:val="22"/>
        </w:rPr>
        <w:t>b</w:t>
      </w:r>
      <w:r w:rsidR="0000341C" w:rsidRPr="00E57B66">
        <w:rPr>
          <w:rFonts w:ascii="Cambria" w:hAnsi="Cambria"/>
          <w:sz w:val="22"/>
          <w:szCs w:val="22"/>
        </w:rPr>
        <w:t>). ‘</w:t>
      </w:r>
      <w:r w:rsidRPr="00E57B66">
        <w:rPr>
          <w:rFonts w:ascii="Cambria" w:hAnsi="Cambria"/>
          <w:sz w:val="22"/>
          <w:szCs w:val="22"/>
        </w:rPr>
        <w:t>Exit Arusha? Pathways from Power-Sharing i</w:t>
      </w:r>
      <w:r w:rsidR="0000341C" w:rsidRPr="00E57B66">
        <w:rPr>
          <w:rFonts w:ascii="Cambria" w:hAnsi="Cambria"/>
          <w:sz w:val="22"/>
          <w:szCs w:val="22"/>
        </w:rPr>
        <w:t>n Burundi: A Manuscript Outline’.</w:t>
      </w:r>
      <w:r w:rsidRPr="00E57B66">
        <w:rPr>
          <w:rFonts w:ascii="Cambria" w:hAnsi="Cambria"/>
          <w:sz w:val="22"/>
          <w:szCs w:val="22"/>
        </w:rPr>
        <w:t xml:space="preserve"> </w:t>
      </w:r>
      <w:r w:rsidRPr="006F4D08">
        <w:rPr>
          <w:rFonts w:ascii="Cambria" w:hAnsi="Cambria"/>
          <w:i/>
          <w:sz w:val="22"/>
          <w:szCs w:val="22"/>
        </w:rPr>
        <w:t>IOB Working Paper</w:t>
      </w:r>
      <w:r w:rsidR="00B35304">
        <w:rPr>
          <w:rFonts w:ascii="Cambria" w:hAnsi="Cambria"/>
          <w:sz w:val="22"/>
          <w:szCs w:val="22"/>
        </w:rPr>
        <w:t>,</w:t>
      </w:r>
      <w:r w:rsidRPr="00E57B66">
        <w:rPr>
          <w:rFonts w:ascii="Cambria" w:hAnsi="Cambria"/>
          <w:sz w:val="22"/>
          <w:szCs w:val="22"/>
        </w:rPr>
        <w:t xml:space="preserve"> </w:t>
      </w:r>
      <w:r w:rsidR="00B35304">
        <w:rPr>
          <w:rFonts w:ascii="Cambria" w:hAnsi="Cambria"/>
          <w:sz w:val="22"/>
          <w:szCs w:val="22"/>
        </w:rPr>
        <w:t>January</w:t>
      </w:r>
      <w:r w:rsidR="0000341C" w:rsidRPr="00E57B66">
        <w:rPr>
          <w:rFonts w:ascii="Cambria" w:hAnsi="Cambria"/>
          <w:sz w:val="22"/>
          <w:szCs w:val="22"/>
        </w:rPr>
        <w:t xml:space="preserve"> 2017. </w:t>
      </w:r>
      <w:r w:rsidR="00B35304">
        <w:rPr>
          <w:rFonts w:ascii="Cambria" w:hAnsi="Cambria"/>
          <w:sz w:val="22"/>
          <w:szCs w:val="22"/>
        </w:rPr>
        <w:t xml:space="preserve">Available at: </w:t>
      </w:r>
      <w:hyperlink r:id="rId31" w:history="1">
        <w:r w:rsidR="003C63D8" w:rsidRPr="00E57B66">
          <w:rPr>
            <w:rStyle w:val="Hyperlink"/>
            <w:rFonts w:ascii="Cambria" w:hAnsi="Cambria"/>
            <w:color w:val="auto"/>
            <w:sz w:val="22"/>
            <w:szCs w:val="22"/>
          </w:rPr>
          <w:t>https://www.uantwerpen.be/images/uantwerpen/container2673/files/Publications/WP/2017/wp-201701.pdf</w:t>
        </w:r>
      </w:hyperlink>
      <w:r w:rsidR="0000341C" w:rsidRPr="00E57B66">
        <w:rPr>
          <w:rFonts w:ascii="Cambria" w:hAnsi="Cambria"/>
          <w:sz w:val="22"/>
          <w:szCs w:val="22"/>
        </w:rPr>
        <w:t xml:space="preserve"> [</w:t>
      </w:r>
      <w:r w:rsidR="003C63D8" w:rsidRPr="00E57B66">
        <w:rPr>
          <w:rFonts w:ascii="Cambria" w:hAnsi="Cambria"/>
          <w:sz w:val="22"/>
          <w:szCs w:val="22"/>
        </w:rPr>
        <w:t xml:space="preserve">Accessed </w:t>
      </w:r>
      <w:r w:rsidR="00B35304">
        <w:rPr>
          <w:rFonts w:ascii="Cambria" w:hAnsi="Cambria"/>
          <w:sz w:val="22"/>
          <w:szCs w:val="22"/>
        </w:rPr>
        <w:t xml:space="preserve">8 </w:t>
      </w:r>
      <w:r w:rsidR="0000341C" w:rsidRPr="00E57B66">
        <w:rPr>
          <w:rFonts w:ascii="Cambria" w:hAnsi="Cambria"/>
          <w:sz w:val="22"/>
          <w:szCs w:val="22"/>
        </w:rPr>
        <w:t>Oct</w:t>
      </w:r>
      <w:r w:rsidR="00B35304">
        <w:rPr>
          <w:rFonts w:ascii="Cambria" w:hAnsi="Cambria"/>
          <w:sz w:val="22"/>
          <w:szCs w:val="22"/>
        </w:rPr>
        <w:t>ober</w:t>
      </w:r>
      <w:r w:rsidR="0000341C" w:rsidRPr="00E57B66">
        <w:rPr>
          <w:rFonts w:ascii="Cambria" w:hAnsi="Cambria"/>
          <w:sz w:val="22"/>
          <w:szCs w:val="22"/>
        </w:rPr>
        <w:t xml:space="preserve"> 2018]</w:t>
      </w:r>
    </w:p>
    <w:p w14:paraId="4EBEC2B0" w14:textId="4CDE0326" w:rsidR="009517AD" w:rsidRPr="0090650C" w:rsidRDefault="00A12180" w:rsidP="00494962">
      <w:pPr>
        <w:spacing w:before="100" w:beforeAutospacing="1" w:after="100" w:afterAutospacing="1"/>
        <w:rPr>
          <w:rFonts w:ascii="Cambria" w:eastAsia="Times New Roman" w:hAnsi="Cambria"/>
          <w:color w:val="000000" w:themeColor="text1"/>
          <w:sz w:val="22"/>
          <w:szCs w:val="22"/>
          <w:lang w:val="en-US"/>
        </w:rPr>
      </w:pPr>
      <w:proofErr w:type="spellStart"/>
      <w:r w:rsidRPr="0090650C">
        <w:rPr>
          <w:rFonts w:ascii="Cambria" w:eastAsia="Times New Roman" w:hAnsi="Cambria"/>
          <w:color w:val="000000" w:themeColor="text1"/>
          <w:sz w:val="22"/>
          <w:szCs w:val="22"/>
          <w:lang w:val="en-US"/>
        </w:rPr>
        <w:t>Vandeginste</w:t>
      </w:r>
      <w:proofErr w:type="spellEnd"/>
      <w:r w:rsidRPr="0090650C">
        <w:rPr>
          <w:rFonts w:ascii="Cambria" w:eastAsia="Times New Roman" w:hAnsi="Cambria"/>
          <w:color w:val="000000" w:themeColor="text1"/>
          <w:sz w:val="22"/>
          <w:szCs w:val="22"/>
          <w:lang w:val="en-US"/>
        </w:rPr>
        <w:t>, S.</w:t>
      </w:r>
      <w:r w:rsidR="00E85BE0">
        <w:rPr>
          <w:rFonts w:ascii="Cambria" w:eastAsia="Times New Roman" w:hAnsi="Cambria"/>
          <w:color w:val="000000" w:themeColor="text1"/>
          <w:sz w:val="22"/>
          <w:szCs w:val="22"/>
          <w:lang w:val="en-US"/>
        </w:rPr>
        <w:t>,</w:t>
      </w:r>
      <w:r w:rsidRPr="0090650C">
        <w:rPr>
          <w:rFonts w:ascii="Cambria" w:eastAsia="Times New Roman" w:hAnsi="Cambria"/>
          <w:color w:val="000000" w:themeColor="text1"/>
          <w:sz w:val="22"/>
          <w:szCs w:val="22"/>
          <w:lang w:val="en-US"/>
        </w:rPr>
        <w:t xml:space="preserve"> (2014)</w:t>
      </w:r>
      <w:r w:rsidR="006F4D08">
        <w:rPr>
          <w:rFonts w:ascii="Cambria" w:eastAsia="Times New Roman" w:hAnsi="Cambria"/>
          <w:color w:val="000000" w:themeColor="text1"/>
          <w:sz w:val="22"/>
          <w:szCs w:val="22"/>
          <w:lang w:val="en-US"/>
        </w:rPr>
        <w:t>.</w:t>
      </w:r>
      <w:r w:rsidRPr="0090650C">
        <w:rPr>
          <w:rFonts w:ascii="Cambria" w:eastAsia="Times New Roman" w:hAnsi="Cambria"/>
          <w:color w:val="000000" w:themeColor="text1"/>
          <w:sz w:val="22"/>
          <w:szCs w:val="22"/>
          <w:lang w:val="en-US"/>
        </w:rPr>
        <w:t xml:space="preserve"> </w:t>
      </w:r>
      <w:r w:rsidR="006F4D08">
        <w:rPr>
          <w:rFonts w:ascii="Cambria" w:eastAsia="Times New Roman" w:hAnsi="Cambria"/>
          <w:color w:val="000000" w:themeColor="text1"/>
          <w:sz w:val="22"/>
          <w:szCs w:val="22"/>
          <w:lang w:val="en-US"/>
        </w:rPr>
        <w:t>‘</w:t>
      </w:r>
      <w:r w:rsidR="00B35304">
        <w:rPr>
          <w:rFonts w:ascii="Cambria" w:eastAsia="Times New Roman" w:hAnsi="Cambria"/>
          <w:color w:val="000000" w:themeColor="text1"/>
          <w:sz w:val="22"/>
          <w:szCs w:val="22"/>
          <w:lang w:val="en-US"/>
        </w:rPr>
        <w:t>Governing Ethnicity After Genocide: Ethnic Amnesia in Rwanda Versus Ethnic Power-S</w:t>
      </w:r>
      <w:r w:rsidRPr="0090650C">
        <w:rPr>
          <w:rFonts w:ascii="Cambria" w:eastAsia="Times New Roman" w:hAnsi="Cambria"/>
          <w:color w:val="000000" w:themeColor="text1"/>
          <w:sz w:val="22"/>
          <w:szCs w:val="22"/>
          <w:lang w:val="en-US"/>
        </w:rPr>
        <w:t>haring in Burundi</w:t>
      </w:r>
      <w:r w:rsidR="006F4D08">
        <w:rPr>
          <w:rFonts w:ascii="Cambria" w:eastAsia="Times New Roman" w:hAnsi="Cambria"/>
          <w:color w:val="000000" w:themeColor="text1"/>
          <w:sz w:val="22"/>
          <w:szCs w:val="22"/>
          <w:lang w:val="en-US"/>
        </w:rPr>
        <w:t>’.</w:t>
      </w:r>
      <w:r w:rsidRPr="0090650C">
        <w:rPr>
          <w:rFonts w:ascii="Cambria" w:eastAsia="Times New Roman" w:hAnsi="Cambria"/>
          <w:color w:val="000000" w:themeColor="text1"/>
          <w:sz w:val="22"/>
          <w:szCs w:val="22"/>
          <w:lang w:val="en-US"/>
        </w:rPr>
        <w:t xml:space="preserve"> </w:t>
      </w:r>
      <w:r w:rsidRPr="0090650C">
        <w:rPr>
          <w:rFonts w:ascii="Cambria" w:eastAsia="Times New Roman" w:hAnsi="Cambria"/>
          <w:i/>
          <w:color w:val="000000" w:themeColor="text1"/>
          <w:sz w:val="22"/>
          <w:szCs w:val="22"/>
          <w:lang w:val="en-US"/>
        </w:rPr>
        <w:t>Journal of Eastern African Studies</w:t>
      </w:r>
      <w:r w:rsidR="0090650C" w:rsidRPr="0090650C">
        <w:rPr>
          <w:rFonts w:ascii="Cambria" w:eastAsia="Times New Roman" w:hAnsi="Cambria"/>
          <w:color w:val="000000" w:themeColor="text1"/>
          <w:sz w:val="22"/>
          <w:szCs w:val="22"/>
          <w:lang w:val="en-US"/>
        </w:rPr>
        <w:t xml:space="preserve"> 8(2): 263-277</w:t>
      </w:r>
      <w:r w:rsidR="00096A3C">
        <w:rPr>
          <w:rFonts w:ascii="Cambria" w:eastAsia="Times New Roman" w:hAnsi="Cambria"/>
          <w:color w:val="000000" w:themeColor="text1"/>
          <w:sz w:val="22"/>
          <w:szCs w:val="22"/>
          <w:lang w:val="en-US"/>
        </w:rPr>
        <w:t>.</w:t>
      </w:r>
    </w:p>
    <w:p w14:paraId="2FDB423F" w14:textId="4F10423C" w:rsidR="009517AD" w:rsidRDefault="0000341C" w:rsidP="00494962">
      <w:pPr>
        <w:autoSpaceDE w:val="0"/>
        <w:autoSpaceDN w:val="0"/>
        <w:adjustRightInd w:val="0"/>
        <w:rPr>
          <w:rFonts w:ascii="Cambria" w:hAnsi="Cambria"/>
          <w:sz w:val="22"/>
          <w:szCs w:val="22"/>
        </w:rPr>
      </w:pPr>
      <w:proofErr w:type="spellStart"/>
      <w:r w:rsidRPr="00E57B66">
        <w:rPr>
          <w:rFonts w:ascii="Cambria" w:hAnsi="Cambria"/>
          <w:sz w:val="22"/>
          <w:szCs w:val="22"/>
        </w:rPr>
        <w:t>Vandeginste</w:t>
      </w:r>
      <w:proofErr w:type="spellEnd"/>
      <w:r w:rsidRPr="00E57B66">
        <w:rPr>
          <w:rFonts w:ascii="Cambria" w:hAnsi="Cambria"/>
          <w:sz w:val="22"/>
          <w:szCs w:val="22"/>
        </w:rPr>
        <w:t xml:space="preserve">, S., </w:t>
      </w:r>
      <w:r w:rsidR="009517AD" w:rsidRPr="00E57B66">
        <w:rPr>
          <w:rFonts w:ascii="Cambria" w:hAnsi="Cambria"/>
          <w:sz w:val="22"/>
          <w:szCs w:val="22"/>
        </w:rPr>
        <w:t>(2009)</w:t>
      </w:r>
      <w:r w:rsidR="001C00F8" w:rsidRPr="00E57B66">
        <w:rPr>
          <w:rFonts w:ascii="Cambria" w:hAnsi="Cambria"/>
          <w:sz w:val="22"/>
          <w:szCs w:val="22"/>
        </w:rPr>
        <w:t>.</w:t>
      </w:r>
      <w:r w:rsidR="009517AD" w:rsidRPr="00E57B66">
        <w:rPr>
          <w:rFonts w:ascii="Cambria" w:hAnsi="Cambria"/>
          <w:sz w:val="22"/>
          <w:szCs w:val="22"/>
        </w:rPr>
        <w:t xml:space="preserve"> ‘Power-Sharing, Conflict and Transition in Burundi: Tw</w:t>
      </w:r>
      <w:r w:rsidRPr="00E57B66">
        <w:rPr>
          <w:rFonts w:ascii="Cambria" w:hAnsi="Cambria"/>
          <w:sz w:val="22"/>
          <w:szCs w:val="22"/>
        </w:rPr>
        <w:t xml:space="preserve">enty Years of Trial and Error’. </w:t>
      </w:r>
      <w:r w:rsidR="009517AD" w:rsidRPr="00E57B66">
        <w:rPr>
          <w:rFonts w:ascii="Cambria" w:hAnsi="Cambria"/>
          <w:i/>
          <w:sz w:val="22"/>
          <w:szCs w:val="22"/>
        </w:rPr>
        <w:t>Africa Spectrum</w:t>
      </w:r>
      <w:r w:rsidRPr="00E57B66">
        <w:rPr>
          <w:rFonts w:ascii="Cambria" w:hAnsi="Cambria"/>
          <w:sz w:val="22"/>
          <w:szCs w:val="22"/>
        </w:rPr>
        <w:t xml:space="preserve"> 44</w:t>
      </w:r>
      <w:r w:rsidR="009517AD" w:rsidRPr="00E57B66">
        <w:rPr>
          <w:rFonts w:ascii="Cambria" w:hAnsi="Cambria"/>
          <w:sz w:val="22"/>
          <w:szCs w:val="22"/>
        </w:rPr>
        <w:t>(3</w:t>
      </w:r>
      <w:r w:rsidR="004E5E1D">
        <w:rPr>
          <w:rFonts w:ascii="Cambria" w:hAnsi="Cambria"/>
          <w:sz w:val="22"/>
          <w:szCs w:val="22"/>
        </w:rPr>
        <w:t>)</w:t>
      </w:r>
      <w:r w:rsidR="00DA3BE4">
        <w:rPr>
          <w:rFonts w:ascii="Cambria" w:hAnsi="Cambria"/>
          <w:sz w:val="22"/>
          <w:szCs w:val="22"/>
        </w:rPr>
        <w:t>:</w:t>
      </w:r>
      <w:r w:rsidRPr="00E57B66">
        <w:rPr>
          <w:rFonts w:ascii="Cambria" w:hAnsi="Cambria"/>
          <w:sz w:val="22"/>
          <w:szCs w:val="22"/>
        </w:rPr>
        <w:t xml:space="preserve"> </w:t>
      </w:r>
      <w:r w:rsidR="00267A2C" w:rsidRPr="00E57B66">
        <w:rPr>
          <w:rFonts w:ascii="Cambria" w:hAnsi="Cambria"/>
          <w:sz w:val="22"/>
          <w:szCs w:val="22"/>
        </w:rPr>
        <w:t xml:space="preserve">63-86. </w:t>
      </w:r>
    </w:p>
    <w:p w14:paraId="24B44C06" w14:textId="77777777" w:rsidR="00A12180" w:rsidRPr="00E57B66" w:rsidRDefault="00A12180" w:rsidP="00494962">
      <w:pPr>
        <w:autoSpaceDE w:val="0"/>
        <w:autoSpaceDN w:val="0"/>
        <w:adjustRightInd w:val="0"/>
        <w:rPr>
          <w:rFonts w:ascii="Cambria" w:hAnsi="Cambria"/>
          <w:sz w:val="22"/>
          <w:szCs w:val="22"/>
        </w:rPr>
      </w:pPr>
    </w:p>
    <w:p w14:paraId="5880143B" w14:textId="2CF14EC0" w:rsidR="00A12180" w:rsidRPr="00E57B66" w:rsidRDefault="00A12180" w:rsidP="00494962">
      <w:pPr>
        <w:autoSpaceDE w:val="0"/>
        <w:autoSpaceDN w:val="0"/>
        <w:adjustRightInd w:val="0"/>
        <w:rPr>
          <w:rFonts w:ascii="Cambria" w:hAnsi="Cambria"/>
          <w:sz w:val="22"/>
          <w:szCs w:val="22"/>
        </w:rPr>
      </w:pPr>
      <w:r w:rsidRPr="00E57B66">
        <w:rPr>
          <w:rFonts w:ascii="Cambria" w:eastAsia="Times New Roman" w:hAnsi="Cambria"/>
          <w:sz w:val="22"/>
          <w:szCs w:val="22"/>
          <w:shd w:val="clear" w:color="auto" w:fill="FFFFFF"/>
        </w:rPr>
        <w:t xml:space="preserve">Van de </w:t>
      </w:r>
      <w:proofErr w:type="spellStart"/>
      <w:r w:rsidRPr="00E57B66">
        <w:rPr>
          <w:rFonts w:ascii="Cambria" w:eastAsia="Times New Roman" w:hAnsi="Cambria"/>
          <w:sz w:val="22"/>
          <w:szCs w:val="22"/>
          <w:shd w:val="clear" w:color="auto" w:fill="FFFFFF"/>
        </w:rPr>
        <w:t>Walle</w:t>
      </w:r>
      <w:proofErr w:type="spellEnd"/>
      <w:r w:rsidRPr="00E57B66">
        <w:rPr>
          <w:rFonts w:ascii="Cambria" w:eastAsia="Times New Roman" w:hAnsi="Cambria"/>
          <w:sz w:val="22"/>
          <w:szCs w:val="22"/>
          <w:shd w:val="clear" w:color="auto" w:fill="FFFFFF"/>
        </w:rPr>
        <w:t>, N., (2005). </w:t>
      </w:r>
      <w:r w:rsidRPr="00E57B66">
        <w:rPr>
          <w:rFonts w:ascii="Cambria" w:eastAsia="Times New Roman" w:hAnsi="Cambria"/>
          <w:i/>
          <w:iCs/>
          <w:sz w:val="22"/>
          <w:szCs w:val="22"/>
        </w:rPr>
        <w:t>Democratic Reform in Africa</w:t>
      </w:r>
      <w:r w:rsidRPr="00E57B66">
        <w:rPr>
          <w:rFonts w:ascii="Cambria" w:eastAsia="Times New Roman" w:hAnsi="Cambria"/>
          <w:sz w:val="22"/>
          <w:szCs w:val="22"/>
          <w:shd w:val="clear" w:color="auto" w:fill="FFFFFF"/>
        </w:rPr>
        <w:t xml:space="preserve">. </w:t>
      </w:r>
      <w:r w:rsidR="00B35304">
        <w:rPr>
          <w:rFonts w:ascii="Cambria" w:eastAsia="Times New Roman" w:hAnsi="Cambria"/>
          <w:sz w:val="22"/>
          <w:szCs w:val="22"/>
          <w:shd w:val="clear" w:color="auto" w:fill="FFFFFF"/>
        </w:rPr>
        <w:t>Boulder, CO</w:t>
      </w:r>
      <w:r w:rsidRPr="00E57B66">
        <w:rPr>
          <w:rFonts w:ascii="Cambria" w:eastAsia="Times New Roman" w:hAnsi="Cambria"/>
          <w:sz w:val="22"/>
          <w:szCs w:val="22"/>
          <w:shd w:val="clear" w:color="auto" w:fill="FFFFFF"/>
        </w:rPr>
        <w:t xml:space="preserve">: Lynne </w:t>
      </w:r>
      <w:proofErr w:type="spellStart"/>
      <w:r w:rsidRPr="00E57B66">
        <w:rPr>
          <w:rFonts w:ascii="Cambria" w:eastAsia="Times New Roman" w:hAnsi="Cambria"/>
          <w:sz w:val="22"/>
          <w:szCs w:val="22"/>
          <w:shd w:val="clear" w:color="auto" w:fill="FFFFFF"/>
        </w:rPr>
        <w:t>Rienner</w:t>
      </w:r>
      <w:proofErr w:type="spellEnd"/>
      <w:r w:rsidRPr="00E57B66">
        <w:rPr>
          <w:rFonts w:ascii="Cambria" w:eastAsia="Times New Roman" w:hAnsi="Cambria"/>
          <w:sz w:val="22"/>
          <w:szCs w:val="22"/>
          <w:shd w:val="clear" w:color="auto" w:fill="FFFFFF"/>
        </w:rPr>
        <w:t xml:space="preserve"> Publishers</w:t>
      </w:r>
      <w:r w:rsidR="00B35304">
        <w:rPr>
          <w:rFonts w:ascii="Cambria" w:eastAsia="Times New Roman" w:hAnsi="Cambria"/>
          <w:sz w:val="22"/>
          <w:szCs w:val="22"/>
          <w:shd w:val="clear" w:color="auto" w:fill="FFFFFF"/>
        </w:rPr>
        <w:t>.</w:t>
      </w:r>
    </w:p>
    <w:p w14:paraId="088CC8B9" w14:textId="77777777" w:rsidR="009517AD" w:rsidRPr="00E57B66" w:rsidRDefault="009517AD" w:rsidP="00494962">
      <w:pPr>
        <w:autoSpaceDE w:val="0"/>
        <w:autoSpaceDN w:val="0"/>
        <w:adjustRightInd w:val="0"/>
        <w:rPr>
          <w:rFonts w:ascii="Cambria" w:hAnsi="Cambria"/>
          <w:sz w:val="22"/>
          <w:szCs w:val="22"/>
        </w:rPr>
      </w:pPr>
    </w:p>
    <w:p w14:paraId="1D17C5D4" w14:textId="07DDDC22" w:rsidR="00416981" w:rsidRPr="00E57B66" w:rsidRDefault="00B35304" w:rsidP="00494962">
      <w:pPr>
        <w:autoSpaceDE w:val="0"/>
        <w:autoSpaceDN w:val="0"/>
        <w:adjustRightInd w:val="0"/>
        <w:rPr>
          <w:rFonts w:ascii="Cambria" w:hAnsi="Cambria"/>
          <w:sz w:val="22"/>
          <w:szCs w:val="22"/>
        </w:rPr>
      </w:pPr>
      <w:proofErr w:type="spellStart"/>
      <w:r>
        <w:rPr>
          <w:rFonts w:ascii="Cambria" w:hAnsi="Cambria"/>
          <w:sz w:val="22"/>
          <w:szCs w:val="22"/>
        </w:rPr>
        <w:t>Vigaud</w:t>
      </w:r>
      <w:proofErr w:type="spellEnd"/>
      <w:r>
        <w:rPr>
          <w:rFonts w:ascii="Cambria" w:hAnsi="Cambria"/>
          <w:sz w:val="22"/>
          <w:szCs w:val="22"/>
        </w:rPr>
        <w:t>-</w:t>
      </w:r>
      <w:r w:rsidR="00416981" w:rsidRPr="00E57B66">
        <w:rPr>
          <w:rFonts w:ascii="Cambria" w:hAnsi="Cambria"/>
          <w:sz w:val="22"/>
          <w:szCs w:val="22"/>
        </w:rPr>
        <w:t>Walsh, F.</w:t>
      </w:r>
      <w:r w:rsidR="00267A2C" w:rsidRPr="00E57B66">
        <w:rPr>
          <w:rFonts w:ascii="Cambria" w:hAnsi="Cambria"/>
          <w:sz w:val="22"/>
          <w:szCs w:val="22"/>
        </w:rPr>
        <w:t>,</w:t>
      </w:r>
      <w:r w:rsidR="00416981" w:rsidRPr="00E57B66">
        <w:rPr>
          <w:rFonts w:ascii="Cambria" w:hAnsi="Cambria"/>
          <w:sz w:val="22"/>
          <w:szCs w:val="22"/>
        </w:rPr>
        <w:t xml:space="preserve"> (2015)</w:t>
      </w:r>
      <w:r w:rsidR="001C00F8" w:rsidRPr="00E57B66">
        <w:rPr>
          <w:rFonts w:ascii="Cambria" w:hAnsi="Cambria"/>
          <w:sz w:val="22"/>
          <w:szCs w:val="22"/>
        </w:rPr>
        <w:t>.</w:t>
      </w:r>
      <w:r w:rsidR="00416981" w:rsidRPr="00E57B66">
        <w:rPr>
          <w:rFonts w:ascii="Cambria" w:hAnsi="Cambria"/>
          <w:sz w:val="22"/>
          <w:szCs w:val="22"/>
        </w:rPr>
        <w:t xml:space="preserve"> </w:t>
      </w:r>
      <w:r w:rsidR="00267A2C" w:rsidRPr="00E57B66">
        <w:rPr>
          <w:rFonts w:ascii="Cambria" w:hAnsi="Cambria"/>
          <w:sz w:val="22"/>
          <w:szCs w:val="22"/>
        </w:rPr>
        <w:t>‘</w:t>
      </w:r>
      <w:r w:rsidR="00416981" w:rsidRPr="00E57B66">
        <w:rPr>
          <w:rFonts w:ascii="Cambria" w:hAnsi="Cambria"/>
          <w:sz w:val="22"/>
          <w:szCs w:val="22"/>
        </w:rPr>
        <w:t>Women and Girls Failed: The Burundian Refugee Response in Tanzania</w:t>
      </w:r>
      <w:r w:rsidR="004E5E1D">
        <w:rPr>
          <w:rFonts w:ascii="Cambria" w:hAnsi="Cambria"/>
          <w:sz w:val="22"/>
          <w:szCs w:val="22"/>
        </w:rPr>
        <w:t>’</w:t>
      </w:r>
      <w:r w:rsidR="00416981" w:rsidRPr="00E57B66">
        <w:rPr>
          <w:rFonts w:ascii="Cambria" w:hAnsi="Cambria"/>
          <w:sz w:val="22"/>
          <w:szCs w:val="22"/>
        </w:rPr>
        <w:t xml:space="preserve">. </w:t>
      </w:r>
      <w:r w:rsidR="00416981" w:rsidRPr="004E5E1D">
        <w:rPr>
          <w:rFonts w:ascii="Cambria" w:hAnsi="Cambria"/>
          <w:i/>
          <w:sz w:val="22"/>
          <w:szCs w:val="22"/>
        </w:rPr>
        <w:t>Refugees International Field Report</w:t>
      </w:r>
      <w:r w:rsidR="00267A2C" w:rsidRPr="00E57B66">
        <w:rPr>
          <w:rFonts w:ascii="Cambria" w:hAnsi="Cambria"/>
          <w:sz w:val="22"/>
          <w:szCs w:val="22"/>
        </w:rPr>
        <w:t>.</w:t>
      </w:r>
      <w:r w:rsidR="007A37CD" w:rsidRPr="00E57B66">
        <w:rPr>
          <w:rFonts w:ascii="Cambria" w:hAnsi="Cambria"/>
          <w:sz w:val="22"/>
          <w:szCs w:val="22"/>
        </w:rPr>
        <w:t xml:space="preserve"> Washington, DC: Refugees International</w:t>
      </w:r>
      <w:r w:rsidR="00312DC8">
        <w:rPr>
          <w:rFonts w:ascii="Cambria" w:hAnsi="Cambria"/>
          <w:sz w:val="22"/>
          <w:szCs w:val="22"/>
        </w:rPr>
        <w:t>.</w:t>
      </w:r>
    </w:p>
    <w:p w14:paraId="2114AC2D" w14:textId="77777777" w:rsidR="000F7F2A" w:rsidRPr="00E57B66" w:rsidRDefault="000F7F2A" w:rsidP="00494962">
      <w:pPr>
        <w:autoSpaceDE w:val="0"/>
        <w:autoSpaceDN w:val="0"/>
        <w:adjustRightInd w:val="0"/>
        <w:rPr>
          <w:rFonts w:ascii="Cambria" w:hAnsi="Cambria"/>
          <w:sz w:val="22"/>
          <w:szCs w:val="22"/>
        </w:rPr>
      </w:pPr>
    </w:p>
    <w:p w14:paraId="7160DE66" w14:textId="1A6A6569" w:rsidR="00EF7D3A" w:rsidRPr="00E57B66" w:rsidRDefault="00EF7D3A" w:rsidP="00494962">
      <w:pPr>
        <w:autoSpaceDE w:val="0"/>
        <w:autoSpaceDN w:val="0"/>
        <w:adjustRightInd w:val="0"/>
        <w:rPr>
          <w:rFonts w:ascii="Cambria" w:hAnsi="Cambria"/>
          <w:sz w:val="22"/>
          <w:szCs w:val="22"/>
        </w:rPr>
      </w:pPr>
      <w:proofErr w:type="spellStart"/>
      <w:r w:rsidRPr="00E57B66">
        <w:rPr>
          <w:rFonts w:ascii="Cambria" w:hAnsi="Cambria"/>
          <w:sz w:val="22"/>
          <w:szCs w:val="22"/>
        </w:rPr>
        <w:t>Waylen</w:t>
      </w:r>
      <w:proofErr w:type="spellEnd"/>
      <w:r w:rsidRPr="00E57B66">
        <w:rPr>
          <w:rFonts w:ascii="Cambria" w:hAnsi="Cambria"/>
          <w:sz w:val="22"/>
          <w:szCs w:val="22"/>
        </w:rPr>
        <w:t>, G.</w:t>
      </w:r>
      <w:r w:rsidR="001C00F8" w:rsidRPr="00E57B66">
        <w:rPr>
          <w:rFonts w:ascii="Cambria" w:hAnsi="Cambria"/>
          <w:sz w:val="22"/>
          <w:szCs w:val="22"/>
        </w:rPr>
        <w:t>,</w:t>
      </w:r>
      <w:r w:rsidRPr="00E57B66">
        <w:rPr>
          <w:rFonts w:ascii="Cambria" w:hAnsi="Cambria"/>
          <w:sz w:val="22"/>
          <w:szCs w:val="22"/>
        </w:rPr>
        <w:t xml:space="preserve"> ed.</w:t>
      </w:r>
      <w:r w:rsidR="004E5E1D">
        <w:rPr>
          <w:rFonts w:ascii="Cambria" w:hAnsi="Cambria"/>
          <w:sz w:val="22"/>
          <w:szCs w:val="22"/>
        </w:rPr>
        <w:t>,</w:t>
      </w:r>
      <w:r w:rsidRPr="00E57B66">
        <w:rPr>
          <w:rFonts w:ascii="Cambria" w:hAnsi="Cambria"/>
          <w:sz w:val="22"/>
          <w:szCs w:val="22"/>
        </w:rPr>
        <w:t xml:space="preserve"> (2017)</w:t>
      </w:r>
      <w:r w:rsidR="001C00F8" w:rsidRPr="00E57B66">
        <w:rPr>
          <w:rFonts w:ascii="Cambria" w:hAnsi="Cambria"/>
          <w:sz w:val="22"/>
          <w:szCs w:val="22"/>
        </w:rPr>
        <w:t>.</w:t>
      </w:r>
      <w:r w:rsidRPr="00E57B66">
        <w:rPr>
          <w:rFonts w:ascii="Cambria" w:hAnsi="Cambria"/>
          <w:sz w:val="22"/>
          <w:szCs w:val="22"/>
        </w:rPr>
        <w:t xml:space="preserve"> </w:t>
      </w:r>
      <w:r w:rsidRPr="00E57B66">
        <w:rPr>
          <w:rFonts w:ascii="Cambria" w:hAnsi="Cambria"/>
          <w:i/>
          <w:sz w:val="22"/>
          <w:szCs w:val="22"/>
        </w:rPr>
        <w:t>Gender and Informal Institutions</w:t>
      </w:r>
      <w:r w:rsidRPr="00E57B66">
        <w:rPr>
          <w:rFonts w:ascii="Cambria" w:hAnsi="Cambria"/>
          <w:sz w:val="22"/>
          <w:szCs w:val="22"/>
        </w:rPr>
        <w:t xml:space="preserve">. London: </w:t>
      </w:r>
      <w:proofErr w:type="spellStart"/>
      <w:r w:rsidRPr="00E57B66">
        <w:rPr>
          <w:rFonts w:ascii="Cambria" w:hAnsi="Cambria"/>
          <w:sz w:val="22"/>
          <w:szCs w:val="22"/>
        </w:rPr>
        <w:t>Rowman</w:t>
      </w:r>
      <w:proofErr w:type="spellEnd"/>
      <w:r w:rsidRPr="00E57B66">
        <w:rPr>
          <w:rFonts w:ascii="Cambria" w:hAnsi="Cambria"/>
          <w:sz w:val="22"/>
          <w:szCs w:val="22"/>
        </w:rPr>
        <w:t xml:space="preserve"> Littlefield International</w:t>
      </w:r>
      <w:r w:rsidR="00312DC8">
        <w:rPr>
          <w:rFonts w:ascii="Cambria" w:hAnsi="Cambria"/>
          <w:sz w:val="22"/>
          <w:szCs w:val="22"/>
        </w:rPr>
        <w:t>.</w:t>
      </w:r>
    </w:p>
    <w:p w14:paraId="2C40ECDC" w14:textId="77777777" w:rsidR="00EF7D3A" w:rsidRPr="00E57B66" w:rsidRDefault="00EF7D3A" w:rsidP="00494962">
      <w:pPr>
        <w:autoSpaceDE w:val="0"/>
        <w:autoSpaceDN w:val="0"/>
        <w:adjustRightInd w:val="0"/>
        <w:rPr>
          <w:rFonts w:ascii="Cambria" w:hAnsi="Cambria"/>
          <w:sz w:val="22"/>
          <w:szCs w:val="22"/>
        </w:rPr>
      </w:pPr>
    </w:p>
    <w:p w14:paraId="311DFB76" w14:textId="0FEF59A4" w:rsidR="000F7F2A" w:rsidRPr="00E57B66" w:rsidRDefault="000F7F2A" w:rsidP="00494962">
      <w:pPr>
        <w:autoSpaceDE w:val="0"/>
        <w:autoSpaceDN w:val="0"/>
        <w:adjustRightInd w:val="0"/>
        <w:rPr>
          <w:rFonts w:ascii="Cambria" w:hAnsi="Cambria"/>
          <w:sz w:val="22"/>
          <w:szCs w:val="22"/>
        </w:rPr>
      </w:pPr>
      <w:proofErr w:type="spellStart"/>
      <w:r w:rsidRPr="00E57B66">
        <w:rPr>
          <w:rFonts w:ascii="Cambria" w:hAnsi="Cambria"/>
          <w:sz w:val="22"/>
          <w:szCs w:val="22"/>
        </w:rPr>
        <w:t>Waylen</w:t>
      </w:r>
      <w:proofErr w:type="spellEnd"/>
      <w:r w:rsidRPr="00E57B66">
        <w:rPr>
          <w:rFonts w:ascii="Cambria" w:hAnsi="Cambria"/>
          <w:sz w:val="22"/>
          <w:szCs w:val="22"/>
        </w:rPr>
        <w:t>, G.</w:t>
      </w:r>
      <w:r w:rsidR="001C00F8" w:rsidRPr="00E57B66">
        <w:rPr>
          <w:rFonts w:ascii="Cambria" w:hAnsi="Cambria"/>
          <w:sz w:val="22"/>
          <w:szCs w:val="22"/>
        </w:rPr>
        <w:t>, (2014).</w:t>
      </w:r>
      <w:r w:rsidRPr="00E57B66">
        <w:rPr>
          <w:rFonts w:ascii="Cambria" w:hAnsi="Cambria"/>
          <w:sz w:val="22"/>
          <w:szCs w:val="22"/>
        </w:rPr>
        <w:t xml:space="preserve"> ‘Informal Institutions, Institutiona</w:t>
      </w:r>
      <w:r w:rsidR="00602F59" w:rsidRPr="00E57B66">
        <w:rPr>
          <w:rFonts w:ascii="Cambria" w:hAnsi="Cambria"/>
          <w:sz w:val="22"/>
          <w:szCs w:val="22"/>
        </w:rPr>
        <w:t xml:space="preserve">l Change, </w:t>
      </w:r>
      <w:r w:rsidR="001C00F8" w:rsidRPr="00E57B66">
        <w:rPr>
          <w:rFonts w:ascii="Cambria" w:hAnsi="Cambria"/>
          <w:sz w:val="22"/>
          <w:szCs w:val="22"/>
        </w:rPr>
        <w:t xml:space="preserve">and Gender Equality’. </w:t>
      </w:r>
      <w:r w:rsidRPr="00E57B66">
        <w:rPr>
          <w:rFonts w:ascii="Cambria" w:hAnsi="Cambria"/>
          <w:i/>
          <w:sz w:val="22"/>
          <w:szCs w:val="22"/>
        </w:rPr>
        <w:t>Political Research Quarterly</w:t>
      </w:r>
      <w:r w:rsidR="001C00F8" w:rsidRPr="00E57B66">
        <w:rPr>
          <w:rFonts w:ascii="Cambria" w:hAnsi="Cambria"/>
          <w:sz w:val="22"/>
          <w:szCs w:val="22"/>
        </w:rPr>
        <w:t xml:space="preserve"> 67</w:t>
      </w:r>
      <w:r w:rsidRPr="00E57B66">
        <w:rPr>
          <w:rFonts w:ascii="Cambria" w:hAnsi="Cambria"/>
          <w:sz w:val="22"/>
          <w:szCs w:val="22"/>
        </w:rPr>
        <w:t>(1): 212-</w:t>
      </w:r>
      <w:r w:rsidR="00B35304">
        <w:rPr>
          <w:rFonts w:ascii="Cambria" w:hAnsi="Cambria"/>
          <w:sz w:val="22"/>
          <w:szCs w:val="22"/>
        </w:rPr>
        <w:t>2</w:t>
      </w:r>
      <w:r w:rsidRPr="00E57B66">
        <w:rPr>
          <w:rFonts w:ascii="Cambria" w:hAnsi="Cambria"/>
          <w:sz w:val="22"/>
          <w:szCs w:val="22"/>
        </w:rPr>
        <w:t>23</w:t>
      </w:r>
      <w:r w:rsidR="00312DC8">
        <w:rPr>
          <w:rFonts w:ascii="Cambria" w:hAnsi="Cambria"/>
          <w:sz w:val="22"/>
          <w:szCs w:val="22"/>
        </w:rPr>
        <w:t>.</w:t>
      </w:r>
    </w:p>
    <w:p w14:paraId="6EB9BD9F" w14:textId="77777777" w:rsidR="000F7F2A" w:rsidRPr="00E57B66" w:rsidRDefault="000F7F2A" w:rsidP="00494962">
      <w:pPr>
        <w:autoSpaceDE w:val="0"/>
        <w:autoSpaceDN w:val="0"/>
        <w:adjustRightInd w:val="0"/>
        <w:rPr>
          <w:rFonts w:ascii="Cambria" w:hAnsi="Cambria"/>
          <w:sz w:val="22"/>
          <w:szCs w:val="22"/>
        </w:rPr>
      </w:pPr>
    </w:p>
    <w:p w14:paraId="66AC7A44" w14:textId="2ECDD7B1" w:rsidR="000F7F2A" w:rsidRPr="00A90D10" w:rsidRDefault="00D87760" w:rsidP="00494962">
      <w:pPr>
        <w:autoSpaceDE w:val="0"/>
        <w:autoSpaceDN w:val="0"/>
        <w:adjustRightInd w:val="0"/>
        <w:rPr>
          <w:rFonts w:ascii="Cambria" w:hAnsi="Cambria"/>
          <w:sz w:val="22"/>
          <w:szCs w:val="22"/>
        </w:rPr>
      </w:pPr>
      <w:proofErr w:type="spellStart"/>
      <w:r w:rsidRPr="00A90D10">
        <w:rPr>
          <w:rFonts w:ascii="Cambria" w:hAnsi="Cambria"/>
          <w:sz w:val="22"/>
          <w:szCs w:val="22"/>
        </w:rPr>
        <w:t>Wilford</w:t>
      </w:r>
      <w:proofErr w:type="spellEnd"/>
      <w:r w:rsidRPr="00A90D10">
        <w:rPr>
          <w:rFonts w:ascii="Cambria" w:hAnsi="Cambria"/>
          <w:sz w:val="22"/>
          <w:szCs w:val="22"/>
        </w:rPr>
        <w:t>, R.</w:t>
      </w:r>
      <w:r w:rsidR="001C00F8">
        <w:rPr>
          <w:rFonts w:ascii="Cambria" w:hAnsi="Cambria"/>
          <w:sz w:val="22"/>
          <w:szCs w:val="22"/>
        </w:rPr>
        <w:t>,</w:t>
      </w:r>
      <w:r w:rsidRPr="00A90D10">
        <w:rPr>
          <w:rFonts w:ascii="Cambria" w:hAnsi="Cambria"/>
          <w:sz w:val="22"/>
          <w:szCs w:val="22"/>
        </w:rPr>
        <w:t xml:space="preserve"> (1996</w:t>
      </w:r>
      <w:r w:rsidR="001C00F8">
        <w:rPr>
          <w:rFonts w:ascii="Cambria" w:hAnsi="Cambria"/>
          <w:sz w:val="22"/>
          <w:szCs w:val="22"/>
        </w:rPr>
        <w:t>). ‘</w:t>
      </w:r>
      <w:r w:rsidR="00B35304">
        <w:rPr>
          <w:rFonts w:ascii="Cambria" w:hAnsi="Cambria"/>
          <w:sz w:val="22"/>
          <w:szCs w:val="22"/>
        </w:rPr>
        <w:t>Women and P</w:t>
      </w:r>
      <w:r w:rsidR="000F7F2A" w:rsidRPr="00A90D10">
        <w:rPr>
          <w:rFonts w:ascii="Cambria" w:hAnsi="Cambria"/>
          <w:sz w:val="22"/>
          <w:szCs w:val="22"/>
        </w:rPr>
        <w:t>olitics in Northern Irel</w:t>
      </w:r>
      <w:r w:rsidR="001C00F8">
        <w:rPr>
          <w:rFonts w:ascii="Cambria" w:hAnsi="Cambria"/>
          <w:sz w:val="22"/>
          <w:szCs w:val="22"/>
        </w:rPr>
        <w:t>and’</w:t>
      </w:r>
      <w:r w:rsidR="004E5E1D">
        <w:rPr>
          <w:rFonts w:ascii="Cambria" w:hAnsi="Cambria"/>
          <w:sz w:val="22"/>
          <w:szCs w:val="22"/>
        </w:rPr>
        <w:t>,</w:t>
      </w:r>
      <w:r w:rsidR="001C00F8">
        <w:rPr>
          <w:rFonts w:ascii="Cambria" w:hAnsi="Cambria"/>
          <w:sz w:val="22"/>
          <w:szCs w:val="22"/>
        </w:rPr>
        <w:t xml:space="preserve"> in</w:t>
      </w:r>
      <w:r w:rsidR="000F7F2A" w:rsidRPr="00A90D10">
        <w:rPr>
          <w:rFonts w:ascii="Cambria" w:hAnsi="Cambria"/>
          <w:sz w:val="22"/>
          <w:szCs w:val="22"/>
        </w:rPr>
        <w:t xml:space="preserve"> J. </w:t>
      </w:r>
      <w:proofErr w:type="spellStart"/>
      <w:r w:rsidR="000F7F2A" w:rsidRPr="00A90D10">
        <w:rPr>
          <w:rFonts w:ascii="Cambria" w:hAnsi="Cambria"/>
          <w:sz w:val="22"/>
          <w:szCs w:val="22"/>
        </w:rPr>
        <w:t>Lovenduski</w:t>
      </w:r>
      <w:proofErr w:type="spellEnd"/>
      <w:r w:rsidR="000F7F2A" w:rsidRPr="00A90D10">
        <w:rPr>
          <w:rFonts w:ascii="Cambria" w:hAnsi="Cambria"/>
          <w:sz w:val="22"/>
          <w:szCs w:val="22"/>
        </w:rPr>
        <w:t xml:space="preserve"> </w:t>
      </w:r>
      <w:r w:rsidR="000E381B" w:rsidRPr="00A90D10">
        <w:rPr>
          <w:rFonts w:ascii="Cambria" w:hAnsi="Cambria"/>
          <w:sz w:val="22"/>
          <w:szCs w:val="22"/>
        </w:rPr>
        <w:t>and</w:t>
      </w:r>
      <w:r w:rsidR="00B35304">
        <w:rPr>
          <w:rFonts w:ascii="Cambria" w:hAnsi="Cambria"/>
          <w:sz w:val="22"/>
          <w:szCs w:val="22"/>
        </w:rPr>
        <w:t xml:space="preserve"> P. Norris,</w:t>
      </w:r>
      <w:r w:rsidR="001C00F8">
        <w:rPr>
          <w:rFonts w:ascii="Cambria" w:hAnsi="Cambria"/>
          <w:sz w:val="22"/>
          <w:szCs w:val="22"/>
        </w:rPr>
        <w:t xml:space="preserve"> eds. </w:t>
      </w:r>
      <w:r w:rsidR="001C00F8" w:rsidRPr="005D16E0">
        <w:rPr>
          <w:rFonts w:ascii="Cambria" w:hAnsi="Cambria"/>
          <w:i/>
          <w:sz w:val="22"/>
          <w:szCs w:val="22"/>
        </w:rPr>
        <w:t>Women in Politics</w:t>
      </w:r>
      <w:r w:rsidR="001C00F8">
        <w:rPr>
          <w:rFonts w:ascii="Cambria" w:hAnsi="Cambria"/>
          <w:sz w:val="22"/>
          <w:szCs w:val="22"/>
        </w:rPr>
        <w:t xml:space="preserve">. </w:t>
      </w:r>
      <w:r w:rsidR="000F7F2A" w:rsidRPr="00A90D10">
        <w:rPr>
          <w:rFonts w:ascii="Cambria" w:hAnsi="Cambria"/>
          <w:sz w:val="22"/>
          <w:szCs w:val="22"/>
        </w:rPr>
        <w:t>New</w:t>
      </w:r>
      <w:r w:rsidR="001C00F8">
        <w:rPr>
          <w:rFonts w:ascii="Cambria" w:hAnsi="Cambria"/>
          <w:sz w:val="22"/>
          <w:szCs w:val="22"/>
        </w:rPr>
        <w:t xml:space="preserve"> York: Oxford University Press</w:t>
      </w:r>
      <w:r w:rsidR="00312DC8">
        <w:rPr>
          <w:rFonts w:ascii="Cambria" w:hAnsi="Cambria"/>
          <w:sz w:val="22"/>
          <w:szCs w:val="22"/>
        </w:rPr>
        <w:t>.</w:t>
      </w:r>
    </w:p>
    <w:p w14:paraId="198FAF16" w14:textId="77777777" w:rsidR="00C2347B" w:rsidRPr="00A90D10" w:rsidRDefault="00C2347B" w:rsidP="00494962">
      <w:pPr>
        <w:autoSpaceDE w:val="0"/>
        <w:autoSpaceDN w:val="0"/>
        <w:adjustRightInd w:val="0"/>
        <w:rPr>
          <w:rFonts w:ascii="Cambria" w:hAnsi="Cambria"/>
          <w:sz w:val="22"/>
          <w:szCs w:val="22"/>
        </w:rPr>
      </w:pPr>
    </w:p>
    <w:p w14:paraId="383C9E15" w14:textId="435ECF97" w:rsidR="00C2347B" w:rsidRPr="00A90D10" w:rsidRDefault="005D16E0" w:rsidP="00494962">
      <w:pPr>
        <w:autoSpaceDE w:val="0"/>
        <w:autoSpaceDN w:val="0"/>
        <w:adjustRightInd w:val="0"/>
        <w:rPr>
          <w:rFonts w:ascii="Cambria" w:hAnsi="Cambria"/>
          <w:sz w:val="22"/>
          <w:szCs w:val="22"/>
        </w:rPr>
      </w:pPr>
      <w:r>
        <w:rPr>
          <w:rFonts w:ascii="Cambria" w:hAnsi="Cambria"/>
          <w:sz w:val="22"/>
          <w:szCs w:val="22"/>
        </w:rPr>
        <w:t>Women’s International League for Peace and Freedom (</w:t>
      </w:r>
      <w:r w:rsidR="00C2347B" w:rsidRPr="00A90D10">
        <w:rPr>
          <w:rFonts w:ascii="Cambria" w:hAnsi="Cambria"/>
          <w:sz w:val="22"/>
          <w:szCs w:val="22"/>
        </w:rPr>
        <w:t>WILPF</w:t>
      </w:r>
      <w:r>
        <w:rPr>
          <w:rFonts w:ascii="Cambria" w:hAnsi="Cambria"/>
          <w:sz w:val="22"/>
          <w:szCs w:val="22"/>
        </w:rPr>
        <w:t>)</w:t>
      </w:r>
      <w:r w:rsidR="001C00F8">
        <w:rPr>
          <w:rFonts w:ascii="Cambria" w:hAnsi="Cambria"/>
          <w:sz w:val="22"/>
          <w:szCs w:val="22"/>
        </w:rPr>
        <w:t>, (2013</w:t>
      </w:r>
      <w:r w:rsidR="00EC5A1B">
        <w:rPr>
          <w:rFonts w:ascii="Cambria" w:hAnsi="Cambria"/>
          <w:sz w:val="22"/>
          <w:szCs w:val="22"/>
        </w:rPr>
        <w:t>a</w:t>
      </w:r>
      <w:r w:rsidR="001C00F8">
        <w:rPr>
          <w:rFonts w:ascii="Cambria" w:hAnsi="Cambria"/>
          <w:sz w:val="22"/>
          <w:szCs w:val="22"/>
        </w:rPr>
        <w:t xml:space="preserve">). </w:t>
      </w:r>
      <w:r>
        <w:rPr>
          <w:rFonts w:ascii="Cambria" w:hAnsi="Cambria"/>
          <w:sz w:val="22"/>
          <w:szCs w:val="22"/>
        </w:rPr>
        <w:t>‘</w:t>
      </w:r>
      <w:r w:rsidR="00C2347B" w:rsidRPr="00A90D10">
        <w:rPr>
          <w:rFonts w:ascii="Cambria" w:hAnsi="Cambria"/>
          <w:sz w:val="22"/>
          <w:szCs w:val="22"/>
        </w:rPr>
        <w:t>CEDAW Discusses the Implementation of UNSCR 1325</w:t>
      </w:r>
      <w:r w:rsidR="001C00F8">
        <w:rPr>
          <w:rFonts w:ascii="Cambria" w:hAnsi="Cambria"/>
          <w:sz w:val="22"/>
          <w:szCs w:val="22"/>
        </w:rPr>
        <w:t xml:space="preserve"> in the United Kingdom</w:t>
      </w:r>
      <w:r>
        <w:rPr>
          <w:rFonts w:ascii="Cambria" w:hAnsi="Cambria"/>
          <w:sz w:val="22"/>
          <w:szCs w:val="22"/>
        </w:rPr>
        <w:t>’</w:t>
      </w:r>
      <w:r w:rsidR="004E69F1">
        <w:rPr>
          <w:rFonts w:ascii="Cambria" w:hAnsi="Cambria"/>
          <w:sz w:val="22"/>
          <w:szCs w:val="22"/>
        </w:rPr>
        <w:t>.</w:t>
      </w:r>
      <w:r w:rsidR="001C00F8">
        <w:rPr>
          <w:rFonts w:ascii="Cambria" w:hAnsi="Cambria"/>
          <w:sz w:val="22"/>
          <w:szCs w:val="22"/>
        </w:rPr>
        <w:t xml:space="preserve"> </w:t>
      </w:r>
      <w:r w:rsidR="004E69F1">
        <w:rPr>
          <w:rFonts w:ascii="Cambria" w:hAnsi="Cambria"/>
          <w:sz w:val="22"/>
          <w:szCs w:val="22"/>
        </w:rPr>
        <w:t xml:space="preserve">Briefing, </w:t>
      </w:r>
      <w:r w:rsidR="00B35304">
        <w:rPr>
          <w:rFonts w:ascii="Cambria" w:hAnsi="Cambria"/>
          <w:sz w:val="22"/>
          <w:szCs w:val="22"/>
        </w:rPr>
        <w:t xml:space="preserve">31 July </w:t>
      </w:r>
      <w:r w:rsidR="001C00F8">
        <w:rPr>
          <w:rFonts w:ascii="Cambria" w:hAnsi="Cambria"/>
          <w:sz w:val="22"/>
          <w:szCs w:val="22"/>
        </w:rPr>
        <w:t>2013. Available at:</w:t>
      </w:r>
      <w:r w:rsidR="00C2347B" w:rsidRPr="00A90D10">
        <w:rPr>
          <w:rFonts w:ascii="Cambria" w:hAnsi="Cambria"/>
          <w:sz w:val="22"/>
          <w:szCs w:val="22"/>
        </w:rPr>
        <w:t xml:space="preserve"> </w:t>
      </w:r>
      <w:hyperlink r:id="rId32" w:history="1">
        <w:r w:rsidR="00C2347B" w:rsidRPr="00A90D10">
          <w:rPr>
            <w:rStyle w:val="Hyperlink"/>
            <w:rFonts w:ascii="Cambria" w:hAnsi="Cambria"/>
            <w:sz w:val="22"/>
            <w:szCs w:val="22"/>
          </w:rPr>
          <w:t>https://wilpf.org/cedaw-discusses-the-implementation-of-unscr-1325-in-the-united-kingdom/</w:t>
        </w:r>
      </w:hyperlink>
      <w:r w:rsidR="001C00F8">
        <w:rPr>
          <w:rFonts w:ascii="Cambria" w:hAnsi="Cambria"/>
          <w:sz w:val="22"/>
          <w:szCs w:val="22"/>
        </w:rPr>
        <w:t xml:space="preserve">  [</w:t>
      </w:r>
      <w:r w:rsidR="00C2347B" w:rsidRPr="00A90D10">
        <w:rPr>
          <w:rFonts w:ascii="Cambria" w:hAnsi="Cambria"/>
          <w:sz w:val="22"/>
          <w:szCs w:val="22"/>
        </w:rPr>
        <w:t xml:space="preserve">Accessed </w:t>
      </w:r>
      <w:r w:rsidR="00B35304">
        <w:rPr>
          <w:rFonts w:ascii="Cambria" w:hAnsi="Cambria"/>
          <w:sz w:val="22"/>
          <w:szCs w:val="22"/>
        </w:rPr>
        <w:t>13 O</w:t>
      </w:r>
      <w:r w:rsidR="00C2347B" w:rsidRPr="00A90D10">
        <w:rPr>
          <w:rFonts w:ascii="Cambria" w:hAnsi="Cambria"/>
          <w:sz w:val="22"/>
          <w:szCs w:val="22"/>
        </w:rPr>
        <w:t>ct</w:t>
      </w:r>
      <w:r w:rsidR="00B35304">
        <w:rPr>
          <w:rFonts w:ascii="Cambria" w:hAnsi="Cambria"/>
          <w:sz w:val="22"/>
          <w:szCs w:val="22"/>
        </w:rPr>
        <w:t>ober</w:t>
      </w:r>
      <w:r w:rsidR="00C2347B" w:rsidRPr="00A90D10">
        <w:rPr>
          <w:rFonts w:ascii="Cambria" w:hAnsi="Cambria"/>
          <w:sz w:val="22"/>
          <w:szCs w:val="22"/>
        </w:rPr>
        <w:t xml:space="preserve"> 2018</w:t>
      </w:r>
      <w:r w:rsidR="001C00F8">
        <w:rPr>
          <w:rFonts w:ascii="Cambria" w:hAnsi="Cambria"/>
          <w:sz w:val="22"/>
          <w:szCs w:val="22"/>
        </w:rPr>
        <w:t>]</w:t>
      </w:r>
    </w:p>
    <w:p w14:paraId="6A67A708" w14:textId="77777777" w:rsidR="00C2347B" w:rsidRPr="00A90D10" w:rsidRDefault="00C2347B" w:rsidP="00494962">
      <w:pPr>
        <w:autoSpaceDE w:val="0"/>
        <w:autoSpaceDN w:val="0"/>
        <w:adjustRightInd w:val="0"/>
        <w:rPr>
          <w:rFonts w:ascii="Cambria" w:hAnsi="Cambria"/>
          <w:sz w:val="22"/>
          <w:szCs w:val="22"/>
        </w:rPr>
      </w:pPr>
    </w:p>
    <w:p w14:paraId="0ADF795E" w14:textId="27DDFD4D" w:rsidR="00C2347B" w:rsidRDefault="004E69F1" w:rsidP="00494962">
      <w:pPr>
        <w:autoSpaceDE w:val="0"/>
        <w:autoSpaceDN w:val="0"/>
        <w:adjustRightInd w:val="0"/>
        <w:rPr>
          <w:rFonts w:ascii="Cambria" w:hAnsi="Cambria"/>
          <w:sz w:val="22"/>
          <w:szCs w:val="22"/>
        </w:rPr>
      </w:pPr>
      <w:r>
        <w:rPr>
          <w:rFonts w:ascii="Cambria" w:hAnsi="Cambria"/>
          <w:sz w:val="22"/>
          <w:szCs w:val="22"/>
        </w:rPr>
        <w:lastRenderedPageBreak/>
        <w:t>Women’s International League for Peace and Freedom (</w:t>
      </w:r>
      <w:r w:rsidRPr="00A90D10">
        <w:rPr>
          <w:rFonts w:ascii="Cambria" w:hAnsi="Cambria"/>
          <w:sz w:val="22"/>
          <w:szCs w:val="22"/>
        </w:rPr>
        <w:t>WILPF</w:t>
      </w:r>
      <w:r>
        <w:rPr>
          <w:rFonts w:ascii="Cambria" w:hAnsi="Cambria"/>
          <w:sz w:val="22"/>
          <w:szCs w:val="22"/>
        </w:rPr>
        <w:t xml:space="preserve">), </w:t>
      </w:r>
      <w:r w:rsidR="00C2347B" w:rsidRPr="00A90D10">
        <w:rPr>
          <w:rFonts w:ascii="Cambria" w:hAnsi="Cambria"/>
          <w:sz w:val="22"/>
          <w:szCs w:val="22"/>
        </w:rPr>
        <w:t>(2013</w:t>
      </w:r>
      <w:r w:rsidR="00B35304">
        <w:rPr>
          <w:rFonts w:ascii="Cambria" w:hAnsi="Cambria"/>
          <w:sz w:val="22"/>
          <w:szCs w:val="22"/>
        </w:rPr>
        <w:t>b</w:t>
      </w:r>
      <w:r w:rsidR="00C2347B" w:rsidRPr="00A90D10">
        <w:rPr>
          <w:rFonts w:ascii="Cambria" w:hAnsi="Cambria"/>
          <w:sz w:val="22"/>
          <w:szCs w:val="22"/>
        </w:rPr>
        <w:t>)</w:t>
      </w:r>
      <w:r w:rsidR="001C00F8">
        <w:rPr>
          <w:rFonts w:ascii="Cambria" w:hAnsi="Cambria"/>
          <w:sz w:val="22"/>
          <w:szCs w:val="22"/>
        </w:rPr>
        <w:t>.</w:t>
      </w:r>
      <w:r w:rsidR="00C2347B" w:rsidRPr="00A90D10">
        <w:rPr>
          <w:rFonts w:ascii="Cambria" w:hAnsi="Cambria"/>
          <w:sz w:val="22"/>
          <w:szCs w:val="22"/>
        </w:rPr>
        <w:t xml:space="preserve"> </w:t>
      </w:r>
      <w:r>
        <w:rPr>
          <w:rFonts w:ascii="Cambria" w:hAnsi="Cambria"/>
          <w:sz w:val="22"/>
          <w:szCs w:val="22"/>
        </w:rPr>
        <w:t>‘</w:t>
      </w:r>
      <w:r w:rsidR="00C2347B" w:rsidRPr="00A90D10">
        <w:rPr>
          <w:rFonts w:ascii="Cambria" w:hAnsi="Cambria"/>
          <w:sz w:val="22"/>
          <w:szCs w:val="22"/>
        </w:rPr>
        <w:t>CEDAW and Women’s Rights in Bosnia</w:t>
      </w:r>
      <w:r>
        <w:rPr>
          <w:rFonts w:ascii="Cambria" w:hAnsi="Cambria"/>
          <w:sz w:val="22"/>
          <w:szCs w:val="22"/>
        </w:rPr>
        <w:t xml:space="preserve">’. Briefing, </w:t>
      </w:r>
      <w:r w:rsidR="00B35304">
        <w:rPr>
          <w:rFonts w:ascii="Cambria" w:hAnsi="Cambria"/>
          <w:sz w:val="22"/>
          <w:szCs w:val="22"/>
        </w:rPr>
        <w:t xml:space="preserve">2 August </w:t>
      </w:r>
      <w:r w:rsidR="001C00F8">
        <w:rPr>
          <w:rFonts w:ascii="Cambria" w:hAnsi="Cambria"/>
          <w:sz w:val="22"/>
          <w:szCs w:val="22"/>
        </w:rPr>
        <w:t>2013</w:t>
      </w:r>
      <w:r w:rsidR="00C2347B" w:rsidRPr="00A90D10">
        <w:rPr>
          <w:rFonts w:ascii="Cambria" w:hAnsi="Cambria"/>
          <w:sz w:val="22"/>
          <w:szCs w:val="22"/>
        </w:rPr>
        <w:t>.</w:t>
      </w:r>
      <w:r w:rsidR="001C00F8">
        <w:rPr>
          <w:rFonts w:ascii="Cambria" w:hAnsi="Cambria"/>
          <w:sz w:val="22"/>
          <w:szCs w:val="22"/>
        </w:rPr>
        <w:t xml:space="preserve"> Available at: </w:t>
      </w:r>
      <w:r w:rsidR="00C2347B" w:rsidRPr="00A90D10">
        <w:rPr>
          <w:rFonts w:ascii="Cambria" w:hAnsi="Cambria"/>
          <w:sz w:val="22"/>
          <w:szCs w:val="22"/>
        </w:rPr>
        <w:t xml:space="preserve"> </w:t>
      </w:r>
      <w:hyperlink r:id="rId33" w:history="1">
        <w:r w:rsidR="00C2347B" w:rsidRPr="00A90D10">
          <w:rPr>
            <w:rStyle w:val="Hyperlink"/>
            <w:rFonts w:ascii="Cambria" w:hAnsi="Cambria"/>
            <w:sz w:val="22"/>
            <w:szCs w:val="22"/>
          </w:rPr>
          <w:t>https://wilpf.org/cedaw-and-womens-rights-in-bosnia/</w:t>
        </w:r>
      </w:hyperlink>
      <w:r w:rsidR="001C00F8">
        <w:rPr>
          <w:rFonts w:ascii="Cambria" w:hAnsi="Cambria"/>
          <w:sz w:val="22"/>
          <w:szCs w:val="22"/>
        </w:rPr>
        <w:t xml:space="preserve"> [Accessed </w:t>
      </w:r>
      <w:r w:rsidR="00B35304">
        <w:rPr>
          <w:rFonts w:ascii="Cambria" w:hAnsi="Cambria"/>
          <w:sz w:val="22"/>
          <w:szCs w:val="22"/>
        </w:rPr>
        <w:t xml:space="preserve">13 </w:t>
      </w:r>
      <w:r w:rsidR="001C00F8">
        <w:rPr>
          <w:rFonts w:ascii="Cambria" w:hAnsi="Cambria"/>
          <w:sz w:val="22"/>
          <w:szCs w:val="22"/>
        </w:rPr>
        <w:t>Oct</w:t>
      </w:r>
      <w:r w:rsidR="00B35304">
        <w:rPr>
          <w:rFonts w:ascii="Cambria" w:hAnsi="Cambria"/>
          <w:sz w:val="22"/>
          <w:szCs w:val="22"/>
        </w:rPr>
        <w:t>ober</w:t>
      </w:r>
      <w:r w:rsidR="00C2347B" w:rsidRPr="00A90D10">
        <w:rPr>
          <w:rFonts w:ascii="Cambria" w:hAnsi="Cambria"/>
          <w:sz w:val="22"/>
          <w:szCs w:val="22"/>
        </w:rPr>
        <w:t xml:space="preserve"> 2018</w:t>
      </w:r>
      <w:r w:rsidR="001C00F8">
        <w:rPr>
          <w:rFonts w:ascii="Cambria" w:hAnsi="Cambria"/>
          <w:sz w:val="22"/>
          <w:szCs w:val="22"/>
        </w:rPr>
        <w:t>]</w:t>
      </w:r>
    </w:p>
    <w:p w14:paraId="4589807F" w14:textId="77777777" w:rsidR="00A12180" w:rsidRDefault="00A12180" w:rsidP="00494962">
      <w:pPr>
        <w:autoSpaceDE w:val="0"/>
        <w:autoSpaceDN w:val="0"/>
        <w:adjustRightInd w:val="0"/>
        <w:jc w:val="both"/>
        <w:rPr>
          <w:rFonts w:ascii="Cambria" w:eastAsia="TimesNewRomanPSMT" w:hAnsi="Cambria"/>
          <w:color w:val="FF0000"/>
        </w:rPr>
      </w:pPr>
    </w:p>
    <w:p w14:paraId="3EA3472D" w14:textId="766EDD02" w:rsidR="00A12180" w:rsidRPr="001C7BF8" w:rsidRDefault="00A12180" w:rsidP="00494962">
      <w:pPr>
        <w:autoSpaceDE w:val="0"/>
        <w:autoSpaceDN w:val="0"/>
        <w:adjustRightInd w:val="0"/>
        <w:jc w:val="both"/>
        <w:rPr>
          <w:rFonts w:ascii="Cambria" w:eastAsia="TimesNewRomanPSMT" w:hAnsi="Cambria"/>
          <w:color w:val="000000" w:themeColor="text1"/>
          <w:sz w:val="22"/>
          <w:szCs w:val="22"/>
        </w:rPr>
      </w:pPr>
      <w:r w:rsidRPr="001C7BF8">
        <w:rPr>
          <w:rFonts w:ascii="Cambria" w:eastAsia="TimesNewRomanPSMT" w:hAnsi="Cambria"/>
          <w:color w:val="000000" w:themeColor="text1"/>
          <w:sz w:val="22"/>
          <w:szCs w:val="22"/>
        </w:rPr>
        <w:t>Wolff, S.</w:t>
      </w:r>
      <w:r w:rsidR="004E69F1">
        <w:rPr>
          <w:rFonts w:ascii="Cambria" w:eastAsia="TimesNewRomanPSMT" w:hAnsi="Cambria"/>
          <w:color w:val="000000" w:themeColor="text1"/>
          <w:sz w:val="22"/>
          <w:szCs w:val="22"/>
        </w:rPr>
        <w:t>,</w:t>
      </w:r>
      <w:r w:rsidRPr="001C7BF8">
        <w:rPr>
          <w:rFonts w:ascii="Cambria" w:eastAsia="TimesNewRomanPSMT" w:hAnsi="Cambria"/>
          <w:color w:val="000000" w:themeColor="text1"/>
          <w:sz w:val="22"/>
          <w:szCs w:val="22"/>
        </w:rPr>
        <w:t xml:space="preserve"> (2010)</w:t>
      </w:r>
      <w:r w:rsidR="004E69F1">
        <w:rPr>
          <w:rFonts w:ascii="Cambria" w:eastAsia="TimesNewRomanPSMT" w:hAnsi="Cambria"/>
          <w:color w:val="000000" w:themeColor="text1"/>
          <w:sz w:val="22"/>
          <w:szCs w:val="22"/>
        </w:rPr>
        <w:t>. ‘</w:t>
      </w:r>
      <w:r w:rsidRPr="001C7BF8">
        <w:rPr>
          <w:rFonts w:ascii="Cambria" w:eastAsia="TimesNewRomanPSMT" w:hAnsi="Cambria"/>
          <w:color w:val="000000" w:themeColor="text1"/>
          <w:sz w:val="22"/>
          <w:szCs w:val="22"/>
        </w:rPr>
        <w:t>Building Democratic States after Conflict: Institutional Design Revisited</w:t>
      </w:r>
      <w:r w:rsidR="004E69F1">
        <w:rPr>
          <w:rFonts w:ascii="Cambria" w:eastAsia="TimesNewRomanPSMT" w:hAnsi="Cambria"/>
          <w:color w:val="000000" w:themeColor="text1"/>
          <w:sz w:val="22"/>
          <w:szCs w:val="22"/>
        </w:rPr>
        <w:t>’.</w:t>
      </w:r>
      <w:r w:rsidRPr="001C7BF8">
        <w:rPr>
          <w:rFonts w:ascii="Cambria" w:eastAsia="TimesNewRomanPSMT" w:hAnsi="Cambria"/>
          <w:color w:val="000000" w:themeColor="text1"/>
          <w:sz w:val="22"/>
          <w:szCs w:val="22"/>
        </w:rPr>
        <w:t xml:space="preserve"> </w:t>
      </w:r>
      <w:r w:rsidR="004E69F1">
        <w:rPr>
          <w:rFonts w:ascii="Cambria" w:eastAsia="TimesNewRomanPSMT" w:hAnsi="Cambria"/>
          <w:i/>
          <w:iCs/>
          <w:color w:val="000000" w:themeColor="text1"/>
          <w:sz w:val="22"/>
          <w:szCs w:val="22"/>
        </w:rPr>
        <w:t>International Studies Review</w:t>
      </w:r>
      <w:r w:rsidRPr="001C7BF8">
        <w:rPr>
          <w:rFonts w:ascii="Cambria" w:eastAsia="TimesNewRomanPSMT" w:hAnsi="Cambria"/>
          <w:i/>
          <w:iCs/>
          <w:color w:val="000000" w:themeColor="text1"/>
          <w:sz w:val="22"/>
          <w:szCs w:val="22"/>
        </w:rPr>
        <w:t xml:space="preserve">, </w:t>
      </w:r>
      <w:r w:rsidRPr="001C7BF8">
        <w:rPr>
          <w:rFonts w:ascii="Cambria" w:eastAsia="TimesNewRomanPSMT" w:hAnsi="Cambria"/>
          <w:color w:val="000000" w:themeColor="text1"/>
          <w:sz w:val="22"/>
          <w:szCs w:val="22"/>
        </w:rPr>
        <w:t>12</w:t>
      </w:r>
      <w:r w:rsidR="004E69F1">
        <w:rPr>
          <w:rFonts w:ascii="Cambria" w:eastAsia="TimesNewRomanPSMT" w:hAnsi="Cambria"/>
          <w:color w:val="000000" w:themeColor="text1"/>
          <w:sz w:val="22"/>
          <w:szCs w:val="22"/>
        </w:rPr>
        <w:t>(1)</w:t>
      </w:r>
      <w:r w:rsidR="00B35304">
        <w:rPr>
          <w:rFonts w:ascii="Cambria" w:eastAsia="TimesNewRomanPSMT" w:hAnsi="Cambria"/>
          <w:color w:val="000000" w:themeColor="text1"/>
          <w:sz w:val="22"/>
          <w:szCs w:val="22"/>
        </w:rPr>
        <w:t>: 128-</w:t>
      </w:r>
      <w:r w:rsidRPr="001C7BF8">
        <w:rPr>
          <w:rFonts w:ascii="Cambria" w:eastAsia="TimesNewRomanPSMT" w:hAnsi="Cambria"/>
          <w:color w:val="000000" w:themeColor="text1"/>
          <w:sz w:val="22"/>
          <w:szCs w:val="22"/>
        </w:rPr>
        <w:t>141.</w:t>
      </w:r>
    </w:p>
    <w:p w14:paraId="18EE5BB2" w14:textId="77777777" w:rsidR="00A12180" w:rsidRDefault="00A12180" w:rsidP="00B35304">
      <w:pPr>
        <w:autoSpaceDE w:val="0"/>
        <w:autoSpaceDN w:val="0"/>
        <w:adjustRightInd w:val="0"/>
        <w:jc w:val="both"/>
        <w:rPr>
          <w:rFonts w:ascii="Cambria" w:eastAsia="TimesNewRomanPSMT" w:hAnsi="Cambria"/>
          <w:color w:val="FF0000"/>
        </w:rPr>
      </w:pPr>
    </w:p>
    <w:p w14:paraId="0B40870C" w14:textId="36397F89" w:rsidR="00A12180" w:rsidRPr="004E69F1" w:rsidRDefault="00A12180" w:rsidP="00B35304">
      <w:pPr>
        <w:pStyle w:val="Heading2"/>
        <w:shd w:val="clear" w:color="auto" w:fill="FFFFFF"/>
        <w:spacing w:before="0"/>
        <w:textAlignment w:val="top"/>
        <w:rPr>
          <w:rFonts w:ascii="Cambria" w:hAnsi="Cambria" w:cs="Arial"/>
          <w:bCs/>
          <w:color w:val="FF0000"/>
          <w:sz w:val="22"/>
          <w:szCs w:val="22"/>
        </w:rPr>
      </w:pPr>
      <w:r w:rsidRPr="004E69F1">
        <w:rPr>
          <w:rFonts w:ascii="Cambria" w:hAnsi="Cambria" w:cs="Arial"/>
          <w:bCs/>
          <w:color w:val="000000" w:themeColor="text1"/>
          <w:sz w:val="22"/>
          <w:szCs w:val="22"/>
        </w:rPr>
        <w:t xml:space="preserve">Women and Peace Agreements (PA-X Women) Database, Political Settlements Research Programme, </w:t>
      </w:r>
      <w:r w:rsidR="004E69F1" w:rsidRPr="004E69F1">
        <w:rPr>
          <w:rFonts w:ascii="Cambria" w:hAnsi="Cambria" w:cs="Arial"/>
          <w:bCs/>
          <w:color w:val="000000" w:themeColor="text1"/>
          <w:sz w:val="22"/>
          <w:szCs w:val="22"/>
        </w:rPr>
        <w:t>Edinburgh: University of Edinburgh. Available at:</w:t>
      </w:r>
      <w:r w:rsidR="004E69F1">
        <w:rPr>
          <w:rFonts w:ascii="Cambria" w:hAnsi="Cambria" w:cs="Arial"/>
          <w:bCs/>
          <w:color w:val="000000" w:themeColor="text1"/>
          <w:sz w:val="24"/>
          <w:szCs w:val="24"/>
        </w:rPr>
        <w:t xml:space="preserve"> </w:t>
      </w:r>
      <w:hyperlink r:id="rId34" w:history="1">
        <w:r w:rsidRPr="004E69F1">
          <w:rPr>
            <w:rStyle w:val="Hyperlink"/>
            <w:rFonts w:ascii="Cambria" w:hAnsi="Cambria" w:cs="Arial"/>
            <w:bCs/>
            <w:sz w:val="22"/>
            <w:szCs w:val="22"/>
          </w:rPr>
          <w:t>http://www.politicalsettlements.org/research/pax-women/</w:t>
        </w:r>
      </w:hyperlink>
      <w:r w:rsidRPr="004E69F1">
        <w:rPr>
          <w:rFonts w:ascii="Cambria" w:hAnsi="Cambria" w:cs="Arial"/>
          <w:bCs/>
          <w:color w:val="FF0000"/>
          <w:sz w:val="22"/>
          <w:szCs w:val="22"/>
        </w:rPr>
        <w:t xml:space="preserve"> </w:t>
      </w:r>
    </w:p>
    <w:p w14:paraId="70A4EA48" w14:textId="77777777" w:rsidR="00B35304" w:rsidRDefault="00B35304" w:rsidP="00B35304">
      <w:pPr>
        <w:pStyle w:val="NormalWeb"/>
        <w:spacing w:before="0" w:beforeAutospacing="0" w:after="0" w:afterAutospacing="0"/>
        <w:rPr>
          <w:rFonts w:ascii="Cambria" w:hAnsi="Cambria"/>
          <w:sz w:val="22"/>
          <w:szCs w:val="22"/>
        </w:rPr>
      </w:pPr>
    </w:p>
    <w:p w14:paraId="390CB8AA" w14:textId="48BA9E7B" w:rsidR="002E2E22" w:rsidRPr="008E0013" w:rsidRDefault="002E2E22" w:rsidP="00B35304">
      <w:pPr>
        <w:pStyle w:val="NormalWeb"/>
        <w:spacing w:before="0" w:beforeAutospacing="0" w:after="0" w:afterAutospacing="0"/>
        <w:rPr>
          <w:rFonts w:ascii="Cambria" w:hAnsi="Cambria"/>
          <w:color w:val="16355B"/>
          <w:sz w:val="22"/>
          <w:szCs w:val="22"/>
        </w:rPr>
      </w:pPr>
      <w:r w:rsidRPr="00C640DF">
        <w:rPr>
          <w:rFonts w:ascii="Cambria" w:hAnsi="Cambria"/>
          <w:sz w:val="22"/>
          <w:szCs w:val="22"/>
        </w:rPr>
        <w:t xml:space="preserve">World Bank, </w:t>
      </w:r>
      <w:r w:rsidRPr="00C640DF">
        <w:rPr>
          <w:rFonts w:ascii="Cambria" w:eastAsiaTheme="minorHAnsi" w:hAnsi="Cambria"/>
          <w:sz w:val="22"/>
          <w:szCs w:val="22"/>
        </w:rPr>
        <w:t xml:space="preserve">Agency for Statistics of Bosnia and Herzegovina, </w:t>
      </w:r>
      <w:proofErr w:type="spellStart"/>
      <w:r w:rsidRPr="00C640DF">
        <w:rPr>
          <w:rFonts w:ascii="Cambria" w:eastAsiaTheme="minorHAnsi" w:hAnsi="Cambria"/>
          <w:sz w:val="22"/>
          <w:szCs w:val="22"/>
        </w:rPr>
        <w:t>FBiH</w:t>
      </w:r>
      <w:proofErr w:type="spellEnd"/>
      <w:r w:rsidRPr="00C640DF">
        <w:rPr>
          <w:rFonts w:ascii="Cambria" w:eastAsiaTheme="minorHAnsi" w:hAnsi="Cambria"/>
          <w:sz w:val="22"/>
          <w:szCs w:val="22"/>
        </w:rPr>
        <w:t xml:space="preserve"> Institute for Statistics and RS Institute for Statistics</w:t>
      </w:r>
      <w:r w:rsidR="004E69F1">
        <w:rPr>
          <w:rFonts w:ascii="Cambria" w:eastAsiaTheme="minorHAnsi" w:hAnsi="Cambria"/>
          <w:sz w:val="22"/>
          <w:szCs w:val="22"/>
        </w:rPr>
        <w:t>,</w:t>
      </w:r>
      <w:r w:rsidRPr="00C640DF">
        <w:rPr>
          <w:rFonts w:ascii="Cambria" w:eastAsiaTheme="minorHAnsi" w:hAnsi="Cambria"/>
          <w:sz w:val="22"/>
          <w:szCs w:val="22"/>
        </w:rPr>
        <w:t xml:space="preserve"> (2015)</w:t>
      </w:r>
      <w:r w:rsidR="008E0013">
        <w:rPr>
          <w:rFonts w:ascii="Cambria" w:eastAsiaTheme="minorHAnsi" w:hAnsi="Cambria"/>
          <w:sz w:val="22"/>
          <w:szCs w:val="22"/>
        </w:rPr>
        <w:t xml:space="preserve">. </w:t>
      </w:r>
      <w:r w:rsidRPr="00C640DF">
        <w:rPr>
          <w:rFonts w:ascii="Cambria" w:eastAsiaTheme="minorHAnsi" w:hAnsi="Cambria"/>
          <w:sz w:val="22"/>
          <w:szCs w:val="22"/>
        </w:rPr>
        <w:t xml:space="preserve"> </w:t>
      </w:r>
      <w:r w:rsidRPr="00C640DF">
        <w:rPr>
          <w:rFonts w:ascii="Cambria" w:hAnsi="Cambria"/>
          <w:i/>
          <w:color w:val="000000" w:themeColor="text1"/>
          <w:sz w:val="22"/>
          <w:szCs w:val="22"/>
        </w:rPr>
        <w:t>Bosnia and Herzegovina: Gender Disparities in Endowments, Access to Economic Opportunities and Agency</w:t>
      </w:r>
      <w:r w:rsidRPr="00C640DF">
        <w:rPr>
          <w:rFonts w:ascii="Cambria" w:hAnsi="Cambria"/>
          <w:color w:val="000000" w:themeColor="text1"/>
          <w:sz w:val="22"/>
          <w:szCs w:val="22"/>
        </w:rPr>
        <w:t>. April. Available at:</w:t>
      </w:r>
      <w:r>
        <w:rPr>
          <w:rFonts w:ascii="Cambria" w:hAnsi="Cambria"/>
          <w:color w:val="000000" w:themeColor="text1"/>
          <w:sz w:val="22"/>
          <w:szCs w:val="22"/>
        </w:rPr>
        <w:t xml:space="preserve"> </w:t>
      </w:r>
      <w:hyperlink r:id="rId35" w:history="1">
        <w:r w:rsidRPr="00EE467B">
          <w:rPr>
            <w:rStyle w:val="Hyperlink"/>
            <w:rFonts w:ascii="Cambria" w:hAnsi="Cambria"/>
            <w:sz w:val="22"/>
            <w:szCs w:val="22"/>
          </w:rPr>
          <w:t>http://documents.worldbank.org/curated/en/754241467992483659/pdf/97640-ESW-P132666-and-P152786-Box385353B-PUBLIC-BiH-Gender-Disparities-in-Endowments.pdf</w:t>
        </w:r>
      </w:hyperlink>
      <w:r>
        <w:rPr>
          <w:rFonts w:ascii="Cambria" w:hAnsi="Cambria"/>
          <w:color w:val="16355B"/>
          <w:sz w:val="22"/>
          <w:szCs w:val="22"/>
        </w:rPr>
        <w:t xml:space="preserve"> </w:t>
      </w:r>
      <w:r>
        <w:rPr>
          <w:rFonts w:ascii="Cambria" w:hAnsi="Cambria"/>
          <w:sz w:val="22"/>
          <w:szCs w:val="22"/>
        </w:rPr>
        <w:t xml:space="preserve">[Accessed </w:t>
      </w:r>
      <w:r w:rsidR="007A2CF1">
        <w:rPr>
          <w:rFonts w:ascii="Cambria" w:hAnsi="Cambria"/>
          <w:sz w:val="22"/>
          <w:szCs w:val="22"/>
        </w:rPr>
        <w:t xml:space="preserve">13 </w:t>
      </w:r>
      <w:r>
        <w:rPr>
          <w:rFonts w:ascii="Cambria" w:hAnsi="Cambria"/>
          <w:sz w:val="22"/>
          <w:szCs w:val="22"/>
        </w:rPr>
        <w:t>Oct</w:t>
      </w:r>
      <w:r w:rsidR="007A2CF1">
        <w:rPr>
          <w:rFonts w:ascii="Cambria" w:hAnsi="Cambria"/>
          <w:sz w:val="22"/>
          <w:szCs w:val="22"/>
        </w:rPr>
        <w:t>ober</w:t>
      </w:r>
      <w:r w:rsidRPr="00A90D10">
        <w:rPr>
          <w:rFonts w:ascii="Cambria" w:hAnsi="Cambria"/>
          <w:sz w:val="22"/>
          <w:szCs w:val="22"/>
        </w:rPr>
        <w:t xml:space="preserve"> 2018</w:t>
      </w:r>
      <w:r w:rsidR="008E0013">
        <w:rPr>
          <w:rFonts w:ascii="Cambria" w:hAnsi="Cambria"/>
          <w:sz w:val="22"/>
          <w:szCs w:val="22"/>
        </w:rPr>
        <w:t>]</w:t>
      </w:r>
      <w:r w:rsidR="00312DC8">
        <w:rPr>
          <w:rFonts w:ascii="Cambria" w:hAnsi="Cambria"/>
          <w:sz w:val="22"/>
          <w:szCs w:val="22"/>
        </w:rPr>
        <w:t>.</w:t>
      </w:r>
    </w:p>
    <w:p w14:paraId="22D3AF87" w14:textId="77777777" w:rsidR="00B35304" w:rsidRDefault="00B35304" w:rsidP="00494962">
      <w:pPr>
        <w:rPr>
          <w:rFonts w:ascii="Cambria" w:hAnsi="Cambria" w:cs="Arial"/>
          <w:color w:val="000000" w:themeColor="text1"/>
          <w:sz w:val="22"/>
          <w:szCs w:val="22"/>
        </w:rPr>
      </w:pPr>
    </w:p>
    <w:p w14:paraId="4C0777FC" w14:textId="02D7909E" w:rsidR="00A12180" w:rsidRPr="008E0013" w:rsidRDefault="00A12180" w:rsidP="00494962">
      <w:pPr>
        <w:rPr>
          <w:rFonts w:ascii="Cambria" w:hAnsi="Cambria" w:cs="Arial"/>
          <w:color w:val="000000" w:themeColor="text1"/>
          <w:sz w:val="22"/>
          <w:szCs w:val="22"/>
        </w:rPr>
      </w:pPr>
      <w:r w:rsidRPr="008E0013">
        <w:rPr>
          <w:rFonts w:ascii="Cambria" w:hAnsi="Cambria" w:cs="Arial"/>
          <w:color w:val="000000" w:themeColor="text1"/>
          <w:sz w:val="22"/>
          <w:szCs w:val="22"/>
        </w:rPr>
        <w:t>Yuval Davis, N.</w:t>
      </w:r>
      <w:r w:rsidR="004E69F1">
        <w:rPr>
          <w:rFonts w:ascii="Cambria" w:hAnsi="Cambria" w:cs="Arial"/>
          <w:color w:val="000000" w:themeColor="text1"/>
          <w:sz w:val="22"/>
          <w:szCs w:val="22"/>
        </w:rPr>
        <w:t>,</w:t>
      </w:r>
      <w:r w:rsidRPr="008E0013">
        <w:rPr>
          <w:rFonts w:ascii="Cambria" w:hAnsi="Cambria" w:cs="Arial"/>
          <w:color w:val="000000" w:themeColor="text1"/>
          <w:sz w:val="22"/>
          <w:szCs w:val="22"/>
        </w:rPr>
        <w:t xml:space="preserve"> (1997)</w:t>
      </w:r>
      <w:r w:rsidR="004E69F1">
        <w:rPr>
          <w:rFonts w:ascii="Cambria" w:hAnsi="Cambria" w:cs="Arial"/>
          <w:color w:val="000000" w:themeColor="text1"/>
          <w:sz w:val="22"/>
          <w:szCs w:val="22"/>
        </w:rPr>
        <w:t>.</w:t>
      </w:r>
      <w:r w:rsidRPr="008E0013">
        <w:rPr>
          <w:rFonts w:ascii="Cambria" w:hAnsi="Cambria" w:cs="Arial"/>
          <w:color w:val="000000" w:themeColor="text1"/>
          <w:sz w:val="22"/>
          <w:szCs w:val="22"/>
        </w:rPr>
        <w:t xml:space="preserve"> </w:t>
      </w:r>
      <w:r w:rsidRPr="008E0013">
        <w:rPr>
          <w:rFonts w:ascii="Cambria" w:hAnsi="Cambria" w:cs="Arial"/>
          <w:i/>
          <w:color w:val="000000" w:themeColor="text1"/>
          <w:sz w:val="22"/>
          <w:szCs w:val="22"/>
        </w:rPr>
        <w:t>Gender and Nation</w:t>
      </w:r>
      <w:r w:rsidR="004E69F1">
        <w:rPr>
          <w:rFonts w:ascii="Cambria" w:hAnsi="Cambria" w:cs="Arial"/>
          <w:color w:val="000000" w:themeColor="text1"/>
          <w:sz w:val="22"/>
          <w:szCs w:val="22"/>
        </w:rPr>
        <w:t>. London: Sage</w:t>
      </w:r>
      <w:r w:rsidR="00312DC8">
        <w:rPr>
          <w:rFonts w:ascii="Cambria" w:hAnsi="Cambria" w:cs="Arial"/>
          <w:color w:val="000000" w:themeColor="text1"/>
          <w:sz w:val="22"/>
          <w:szCs w:val="22"/>
        </w:rPr>
        <w:t>.</w:t>
      </w:r>
    </w:p>
    <w:p w14:paraId="697ACF27" w14:textId="77777777" w:rsidR="00365AB9" w:rsidRPr="003D66DD" w:rsidRDefault="00365AB9" w:rsidP="00B35304">
      <w:pPr>
        <w:rPr>
          <w:rFonts w:ascii="Cambria" w:eastAsia="Times New Roman" w:hAnsi="Cambria"/>
          <w:b/>
        </w:rPr>
      </w:pPr>
    </w:p>
    <w:sectPr w:rsidR="00365AB9" w:rsidRPr="003D66DD" w:rsidSect="00604AC2">
      <w:headerReference w:type="even" r:id="rId36"/>
      <w:headerReference w:type="default" r:id="rId37"/>
      <w:footerReference w:type="even"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7B29" w14:textId="77777777" w:rsidR="003E6E5A" w:rsidRDefault="003E6E5A" w:rsidP="00DE5440">
      <w:r>
        <w:separator/>
      </w:r>
    </w:p>
  </w:endnote>
  <w:endnote w:type="continuationSeparator" w:id="0">
    <w:p w14:paraId="41853CA9" w14:textId="77777777" w:rsidR="003E6E5A" w:rsidRDefault="003E6E5A" w:rsidP="00DE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inion">
    <w:altName w:val="Times New Roman"/>
    <w:panose1 w:val="00000000000000000000"/>
    <w:charset w:val="00"/>
    <w:family w:val="roman"/>
    <w:notTrueType/>
    <w:pitch w:val="default"/>
  </w:font>
  <w:font w:name="AdvTimes">
    <w:altName w:val="MS Mincho"/>
    <w:charset w:val="80"/>
    <w:family w:val="auto"/>
    <w:pitch w:val="default"/>
    <w:sig w:usb0="00000000" w:usb1="08070000" w:usb2="00000010" w:usb3="00000000" w:csb0="00020000" w:csb1="00000000"/>
  </w:font>
  <w:font w:name="ArialUnicodeMS">
    <w:altName w:val="Arial"/>
    <w:panose1 w:val="00000000000000000000"/>
    <w:charset w:val="00"/>
    <w:family w:val="auto"/>
    <w:notTrueType/>
    <w:pitch w:val="default"/>
    <w:sig w:usb0="00000003" w:usb1="00000000" w:usb2="00000000" w:usb3="00000000" w:csb0="00000001" w:csb1="00000000"/>
  </w:font>
  <w:font w:name="GillSans">
    <w:altName w:val="Plantin"/>
    <w:panose1 w:val="00000000000000000000"/>
    <w:charset w:val="00"/>
    <w:family w:val="swiss"/>
    <w:notTrueType/>
    <w:pitch w:val="variable"/>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AdvTT2cba4af3.B">
    <w:altName w:val="Cambria"/>
    <w:panose1 w:val="00000000000000000000"/>
    <w:charset w:val="00"/>
    <w:family w:val="roman"/>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D7E6" w14:textId="68B79795" w:rsidR="00604AC2" w:rsidRDefault="00604AC2">
    <w:pPr>
      <w:pStyle w:val="Footer"/>
      <w:jc w:val="center"/>
      <w:rPr>
        <w:sz w:val="22"/>
        <w:szCs w:val="22"/>
      </w:rPr>
    </w:pPr>
    <w:r w:rsidRPr="00604AC2">
      <w:rPr>
        <w:sz w:val="22"/>
        <w:szCs w:val="22"/>
      </w:rPr>
      <w:t>__</w:t>
    </w:r>
    <w:r>
      <w:rPr>
        <w:sz w:val="22"/>
        <w:szCs w:val="22"/>
      </w:rPr>
      <w:t>________________________________________________________________________________</w:t>
    </w:r>
  </w:p>
  <w:p w14:paraId="663F0E10" w14:textId="77777777" w:rsidR="00604AC2" w:rsidRPr="00604AC2" w:rsidRDefault="00604AC2">
    <w:pPr>
      <w:pStyle w:val="Footer"/>
      <w:jc w:val="center"/>
      <w:rPr>
        <w:sz w:val="22"/>
        <w:szCs w:val="22"/>
      </w:rPr>
    </w:pPr>
  </w:p>
  <w:p w14:paraId="6529EFEE" w14:textId="10895408" w:rsidR="00604AC2" w:rsidRDefault="003E6E5A">
    <w:pPr>
      <w:pStyle w:val="Footer"/>
      <w:jc w:val="center"/>
    </w:pPr>
    <w:sdt>
      <w:sdtPr>
        <w:rPr>
          <w:sz w:val="22"/>
          <w:szCs w:val="22"/>
        </w:rPr>
        <w:id w:val="797725583"/>
        <w:docPartObj>
          <w:docPartGallery w:val="Page Numbers (Bottom of Page)"/>
          <w:docPartUnique/>
        </w:docPartObj>
      </w:sdtPr>
      <w:sdtEndPr>
        <w:rPr>
          <w:noProof/>
        </w:rPr>
      </w:sdtEndPr>
      <w:sdtContent>
        <w:r w:rsidR="00604AC2" w:rsidRPr="00604AC2">
          <w:rPr>
            <w:sz w:val="22"/>
            <w:szCs w:val="22"/>
          </w:rPr>
          <w:fldChar w:fldCharType="begin"/>
        </w:r>
        <w:r w:rsidR="00604AC2" w:rsidRPr="00604AC2">
          <w:rPr>
            <w:sz w:val="22"/>
            <w:szCs w:val="22"/>
          </w:rPr>
          <w:instrText xml:space="preserve"> PAGE   \* MERGEFORMAT </w:instrText>
        </w:r>
        <w:r w:rsidR="00604AC2" w:rsidRPr="00604AC2">
          <w:rPr>
            <w:sz w:val="22"/>
            <w:szCs w:val="22"/>
          </w:rPr>
          <w:fldChar w:fldCharType="separate"/>
        </w:r>
        <w:r w:rsidR="000E7FDC">
          <w:rPr>
            <w:noProof/>
            <w:sz w:val="22"/>
            <w:szCs w:val="22"/>
          </w:rPr>
          <w:t>52</w:t>
        </w:r>
        <w:r w:rsidR="00604AC2" w:rsidRPr="00604AC2">
          <w:rPr>
            <w:noProof/>
            <w:sz w:val="22"/>
            <w:szCs w:val="22"/>
          </w:rPr>
          <w:fldChar w:fldCharType="end"/>
        </w:r>
      </w:sdtContent>
    </w:sdt>
  </w:p>
  <w:p w14:paraId="53AEBAF6" w14:textId="77777777" w:rsidR="00604AC2" w:rsidRDefault="0060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7C07" w14:textId="10DD8E0B" w:rsidR="00604AC2" w:rsidRDefault="00604AC2">
    <w:pPr>
      <w:pStyle w:val="Footer"/>
      <w:jc w:val="center"/>
      <w:rPr>
        <w:sz w:val="22"/>
        <w:szCs w:val="22"/>
      </w:rPr>
    </w:pPr>
    <w:r w:rsidRPr="00604AC2">
      <w:rPr>
        <w:sz w:val="22"/>
        <w:szCs w:val="22"/>
      </w:rPr>
      <w:t>__</w:t>
    </w:r>
    <w:r>
      <w:rPr>
        <w:sz w:val="22"/>
        <w:szCs w:val="22"/>
      </w:rPr>
      <w:t>________________________________________________________________________________</w:t>
    </w:r>
  </w:p>
  <w:p w14:paraId="1E9EEA74" w14:textId="77777777" w:rsidR="00604AC2" w:rsidRPr="00604AC2" w:rsidRDefault="00604AC2">
    <w:pPr>
      <w:pStyle w:val="Footer"/>
      <w:jc w:val="center"/>
      <w:rPr>
        <w:sz w:val="22"/>
        <w:szCs w:val="22"/>
      </w:rPr>
    </w:pPr>
  </w:p>
  <w:p w14:paraId="7E53C37B" w14:textId="43A4CABD" w:rsidR="00604AC2" w:rsidRDefault="003E6E5A">
    <w:pPr>
      <w:pStyle w:val="Footer"/>
      <w:jc w:val="center"/>
    </w:pPr>
    <w:sdt>
      <w:sdtPr>
        <w:rPr>
          <w:sz w:val="22"/>
          <w:szCs w:val="22"/>
        </w:rPr>
        <w:id w:val="2125422400"/>
        <w:docPartObj>
          <w:docPartGallery w:val="Page Numbers (Bottom of Page)"/>
          <w:docPartUnique/>
        </w:docPartObj>
      </w:sdtPr>
      <w:sdtEndPr>
        <w:rPr>
          <w:noProof/>
        </w:rPr>
      </w:sdtEndPr>
      <w:sdtContent>
        <w:r w:rsidR="00604AC2" w:rsidRPr="00604AC2">
          <w:rPr>
            <w:sz w:val="22"/>
            <w:szCs w:val="22"/>
          </w:rPr>
          <w:fldChar w:fldCharType="begin"/>
        </w:r>
        <w:r w:rsidR="00604AC2" w:rsidRPr="00604AC2">
          <w:rPr>
            <w:sz w:val="22"/>
            <w:szCs w:val="22"/>
          </w:rPr>
          <w:instrText xml:space="preserve"> PAGE   \* MERGEFORMAT </w:instrText>
        </w:r>
        <w:r w:rsidR="00604AC2" w:rsidRPr="00604AC2">
          <w:rPr>
            <w:sz w:val="22"/>
            <w:szCs w:val="22"/>
          </w:rPr>
          <w:fldChar w:fldCharType="separate"/>
        </w:r>
        <w:r w:rsidR="000E7FDC">
          <w:rPr>
            <w:noProof/>
            <w:sz w:val="22"/>
            <w:szCs w:val="22"/>
          </w:rPr>
          <w:t>51</w:t>
        </w:r>
        <w:r w:rsidR="00604AC2" w:rsidRPr="00604AC2">
          <w:rPr>
            <w:noProof/>
            <w:sz w:val="22"/>
            <w:szCs w:val="22"/>
          </w:rPr>
          <w:fldChar w:fldCharType="end"/>
        </w:r>
      </w:sdtContent>
    </w:sdt>
  </w:p>
  <w:p w14:paraId="0EB5B999" w14:textId="77777777" w:rsidR="00B35304" w:rsidRDefault="00B3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4DDC5" w14:textId="77777777" w:rsidR="003E6E5A" w:rsidRDefault="003E6E5A" w:rsidP="00DE5440">
      <w:r>
        <w:separator/>
      </w:r>
    </w:p>
  </w:footnote>
  <w:footnote w:type="continuationSeparator" w:id="0">
    <w:p w14:paraId="063C4D51" w14:textId="77777777" w:rsidR="003E6E5A" w:rsidRDefault="003E6E5A" w:rsidP="00DE5440">
      <w:r>
        <w:continuationSeparator/>
      </w:r>
    </w:p>
  </w:footnote>
  <w:footnote w:id="1">
    <w:p w14:paraId="327262F7" w14:textId="3B2D7A96" w:rsidR="0093710E" w:rsidRDefault="0093710E" w:rsidP="0093710E">
      <w:pPr>
        <w:pStyle w:val="FootnoteText"/>
      </w:pPr>
      <w:r>
        <w:rPr>
          <w:rStyle w:val="FootnoteReference"/>
        </w:rPr>
        <w:t>*</w:t>
      </w:r>
      <w:r>
        <w:t xml:space="preserve"> </w:t>
      </w:r>
      <w:r>
        <w:rPr>
          <w:rFonts w:ascii="Cambria" w:eastAsia="Times New Roman" w:hAnsi="Cambria"/>
          <w:color w:val="000000" w:themeColor="text1"/>
          <w:shd w:val="clear" w:color="auto" w:fill="FFFFFF"/>
        </w:rPr>
        <w:t xml:space="preserve">Politics and International Relations, </w:t>
      </w:r>
      <w:r w:rsidRPr="00730B71">
        <w:rPr>
          <w:rFonts w:ascii="Cambria" w:eastAsia="Times New Roman" w:hAnsi="Cambria"/>
          <w:color w:val="000000" w:themeColor="text1"/>
          <w:shd w:val="clear" w:color="auto" w:fill="FFFFFF"/>
        </w:rPr>
        <w:t>School of Social and Political Science, U</w:t>
      </w:r>
      <w:r>
        <w:rPr>
          <w:rFonts w:ascii="Cambria" w:eastAsia="Times New Roman" w:hAnsi="Cambria"/>
          <w:color w:val="000000" w:themeColor="text1"/>
          <w:shd w:val="clear" w:color="auto" w:fill="FFFFFF"/>
        </w:rPr>
        <w:t xml:space="preserve">niversity of Edinburgh, UK. Email </w:t>
      </w:r>
      <w:hyperlink r:id="rId1" w:history="1">
        <w:r w:rsidRPr="00421D4B">
          <w:rPr>
            <w:rStyle w:val="Hyperlink"/>
            <w:rFonts w:ascii="Cambria" w:eastAsia="Times New Roman" w:hAnsi="Cambria"/>
            <w:shd w:val="clear" w:color="auto" w:fill="FFFFFF"/>
          </w:rPr>
          <w:t>f.s.mackay@ed.ac.uk</w:t>
        </w:r>
      </w:hyperlink>
      <w:r>
        <w:rPr>
          <w:rFonts w:ascii="Cambria" w:eastAsia="Times New Roman" w:hAnsi="Cambria"/>
          <w:color w:val="000000" w:themeColor="text1"/>
          <w:shd w:val="clear" w:color="auto" w:fill="FFFFFF"/>
        </w:rPr>
        <w:t xml:space="preserve"> </w:t>
      </w:r>
    </w:p>
  </w:footnote>
  <w:footnote w:id="2">
    <w:p w14:paraId="5DAF129D" w14:textId="294C9AD6" w:rsidR="0093710E" w:rsidRDefault="0093710E">
      <w:pPr>
        <w:pStyle w:val="FootnoteText"/>
      </w:pPr>
      <w:r>
        <w:rPr>
          <w:rStyle w:val="FootnoteReference"/>
        </w:rPr>
        <w:t>**</w:t>
      </w:r>
      <w:r>
        <w:t xml:space="preserve"> </w:t>
      </w:r>
      <w:r w:rsidRPr="00730B71">
        <w:rPr>
          <w:rFonts w:ascii="Cambria" w:eastAsia="Times New Roman" w:hAnsi="Cambria"/>
          <w:color w:val="000000" w:themeColor="text1"/>
          <w:shd w:val="clear" w:color="auto" w:fill="FFFFFF"/>
        </w:rPr>
        <w:t>Department of Political Science, Villanova University</w:t>
      </w:r>
      <w:r>
        <w:rPr>
          <w:rFonts w:ascii="Cambria" w:eastAsia="Times New Roman" w:hAnsi="Cambria"/>
          <w:color w:val="000000" w:themeColor="text1"/>
          <w:shd w:val="clear" w:color="auto" w:fill="FFFFFF"/>
        </w:rPr>
        <w:t xml:space="preserve">, USA. Email </w:t>
      </w:r>
      <w:hyperlink r:id="rId2" w:history="1">
        <w:r w:rsidRPr="00421D4B">
          <w:rPr>
            <w:rStyle w:val="Hyperlink"/>
            <w:rFonts w:ascii="Cambria" w:eastAsia="Times New Roman" w:hAnsi="Cambria"/>
            <w:shd w:val="clear" w:color="auto" w:fill="FFFFFF"/>
          </w:rPr>
          <w:t>cera.murtagh@villanova.edu</w:t>
        </w:r>
      </w:hyperlink>
      <w:r>
        <w:rPr>
          <w:rFonts w:ascii="Cambria" w:eastAsia="Times New Roman" w:hAnsi="Cambria"/>
          <w:color w:val="000000" w:themeColor="text1"/>
          <w:shd w:val="clear" w:color="auto" w:fill="FFFFFF"/>
        </w:rPr>
        <w:t xml:space="preserve"> </w:t>
      </w:r>
    </w:p>
  </w:footnote>
  <w:footnote w:id="3">
    <w:p w14:paraId="3CF68886" w14:textId="49D99945" w:rsidR="00B35304" w:rsidRPr="0093710E" w:rsidRDefault="00B35304">
      <w:pPr>
        <w:pStyle w:val="FootnoteText"/>
        <w:rPr>
          <w:rFonts w:ascii="Cambria" w:hAnsi="Cambria"/>
        </w:rPr>
      </w:pPr>
      <w:r w:rsidRPr="0093710E">
        <w:rPr>
          <w:rStyle w:val="FootnoteReference"/>
          <w:rFonts w:ascii="Cambria" w:hAnsi="Cambria"/>
        </w:rPr>
        <w:footnoteRef/>
      </w:r>
      <w:r w:rsidRPr="0093710E">
        <w:rPr>
          <w:rFonts w:ascii="Cambria" w:hAnsi="Cambria"/>
        </w:rPr>
        <w:t xml:space="preserve"> </w:t>
      </w:r>
      <w:r w:rsidRPr="0093710E">
        <w:rPr>
          <w:rFonts w:ascii="Cambria" w:hAnsi="Cambria"/>
          <w:color w:val="000000" w:themeColor="text1"/>
        </w:rPr>
        <w:t xml:space="preserve">This article reports on research undertaken as part of the Political Settlements Research Programme </w:t>
      </w:r>
      <w:r w:rsidRPr="0093710E">
        <w:rPr>
          <w:rFonts w:ascii="Cambria" w:hAnsi="Cambria"/>
        </w:rPr>
        <w:t xml:space="preserve">(PSRP), funded by UK Aid from the UK Department for International Development (DFID) for the benefit of developing countries. The information and views set out in this publication are those of the authors. Nothing herein constitutes the view of the Department, or has been subject to input by the Department. </w:t>
      </w:r>
      <w:r w:rsidRPr="0093710E">
        <w:rPr>
          <w:rFonts w:ascii="Cambria" w:hAnsi="Cambria"/>
          <w:color w:val="000000" w:themeColor="text1"/>
        </w:rPr>
        <w:t xml:space="preserve">We would like to thank the funders, the PSRP Principal Investigator, Professor Christine Bell (Global Justice Academy, University of Edinburgh), and Gender Theme leader, Dr Catherine O’Rourke (Transitional Justice Institute, Ulster University). Our thanks to Christine Bell, Catherine O’Rourke and the two anonymous reviewers for their thoughtful feedback. We would also like to acknowledge the helpful comments we received on earlier versions of the paper from Michelle Rouse and Georgina </w:t>
      </w:r>
      <w:proofErr w:type="spellStart"/>
      <w:r w:rsidRPr="0093710E">
        <w:rPr>
          <w:rFonts w:ascii="Cambria" w:hAnsi="Cambria"/>
          <w:color w:val="000000" w:themeColor="text1"/>
        </w:rPr>
        <w:t>Waylen</w:t>
      </w:r>
      <w:proofErr w:type="spellEnd"/>
      <w:r w:rsidRPr="0093710E">
        <w:rPr>
          <w:rFonts w:ascii="Cambria" w:hAnsi="Cambria"/>
          <w:color w:val="000000" w:themeColor="text1"/>
        </w:rPr>
        <w:t>, and participants at the 2017 Gender, Institutions and Change: Feminist Institutionalism After 10 Years conference in Manchester; the 2017 Annual European Conference on Politics and Gender conference in Lausanne; and the 2017 Political Studies of Ireland Annual Conference in Dublin.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B80A" w14:textId="374AEA1F" w:rsidR="00604AC2" w:rsidRDefault="00604AC2">
    <w:pPr>
      <w:pStyle w:val="Header"/>
      <w:rPr>
        <w:sz w:val="22"/>
        <w:szCs w:val="22"/>
      </w:rPr>
    </w:pPr>
    <w:r>
      <w:rPr>
        <w:sz w:val="22"/>
        <w:szCs w:val="22"/>
      </w:rPr>
      <w:t xml:space="preserve">Mackay &amp; </w:t>
    </w:r>
    <w:proofErr w:type="spellStart"/>
    <w:r>
      <w:rPr>
        <w:sz w:val="22"/>
        <w:szCs w:val="22"/>
      </w:rPr>
      <w:t>Murtagh</w:t>
    </w:r>
    <w:proofErr w:type="spellEnd"/>
    <w:r>
      <w:rPr>
        <w:sz w:val="22"/>
        <w:szCs w:val="22"/>
      </w:rPr>
      <w:tab/>
    </w:r>
    <w:r>
      <w:rPr>
        <w:sz w:val="22"/>
        <w:szCs w:val="22"/>
      </w:rPr>
      <w:tab/>
      <w:t>New Institutions, New Gender Rules?</w:t>
    </w:r>
  </w:p>
  <w:p w14:paraId="500477E2" w14:textId="3A0A406E" w:rsidR="00604AC2" w:rsidRPr="00604AC2" w:rsidRDefault="00604AC2">
    <w:pPr>
      <w:pStyle w:val="Header"/>
      <w:rPr>
        <w:sz w:val="22"/>
        <w:szCs w:val="22"/>
      </w:rPr>
    </w:pPr>
    <w:r>
      <w:rPr>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C0A2" w14:textId="68CF9E3B" w:rsidR="00604AC2" w:rsidRDefault="00604AC2">
    <w:pPr>
      <w:pStyle w:val="Header"/>
      <w:rPr>
        <w:sz w:val="22"/>
        <w:szCs w:val="22"/>
      </w:rPr>
    </w:pPr>
    <w:proofErr w:type="spellStart"/>
    <w:r>
      <w:rPr>
        <w:i/>
        <w:sz w:val="22"/>
        <w:szCs w:val="22"/>
      </w:rPr>
      <w:t>feminists@law</w:t>
    </w:r>
    <w:proofErr w:type="spellEnd"/>
    <w:r>
      <w:rPr>
        <w:sz w:val="22"/>
        <w:szCs w:val="22"/>
      </w:rPr>
      <w:tab/>
    </w:r>
    <w:r>
      <w:rPr>
        <w:sz w:val="22"/>
        <w:szCs w:val="22"/>
      </w:rPr>
      <w:tab/>
      <w:t>Vol 9, No 1 (2019)</w:t>
    </w:r>
  </w:p>
  <w:p w14:paraId="7FF6238F" w14:textId="20B09029" w:rsidR="00604AC2" w:rsidRPr="00604AC2" w:rsidRDefault="00604AC2">
    <w:pPr>
      <w:pStyle w:val="Header"/>
      <w:rPr>
        <w:sz w:val="22"/>
        <w:szCs w:val="22"/>
      </w:rPr>
    </w:pPr>
    <w:r>
      <w:rPr>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3A8"/>
    <w:multiLevelType w:val="hybridMultilevel"/>
    <w:tmpl w:val="DB0E3F6A"/>
    <w:lvl w:ilvl="0" w:tplc="102E388E">
      <w:start w:val="1"/>
      <w:numFmt w:val="bullet"/>
      <w:lvlText w:val="•"/>
      <w:lvlJc w:val="left"/>
      <w:pPr>
        <w:tabs>
          <w:tab w:val="num" w:pos="720"/>
        </w:tabs>
        <w:ind w:left="720" w:hanging="360"/>
      </w:pPr>
      <w:rPr>
        <w:rFonts w:ascii="Arial" w:hAnsi="Arial" w:hint="default"/>
      </w:rPr>
    </w:lvl>
    <w:lvl w:ilvl="1" w:tplc="EE1AF5FA" w:tentative="1">
      <w:start w:val="1"/>
      <w:numFmt w:val="bullet"/>
      <w:lvlText w:val="•"/>
      <w:lvlJc w:val="left"/>
      <w:pPr>
        <w:tabs>
          <w:tab w:val="num" w:pos="1440"/>
        </w:tabs>
        <w:ind w:left="1440" w:hanging="360"/>
      </w:pPr>
      <w:rPr>
        <w:rFonts w:ascii="Arial" w:hAnsi="Arial" w:hint="default"/>
      </w:rPr>
    </w:lvl>
    <w:lvl w:ilvl="2" w:tplc="16E25B9C" w:tentative="1">
      <w:start w:val="1"/>
      <w:numFmt w:val="bullet"/>
      <w:lvlText w:val="•"/>
      <w:lvlJc w:val="left"/>
      <w:pPr>
        <w:tabs>
          <w:tab w:val="num" w:pos="2160"/>
        </w:tabs>
        <w:ind w:left="2160" w:hanging="360"/>
      </w:pPr>
      <w:rPr>
        <w:rFonts w:ascii="Arial" w:hAnsi="Arial" w:hint="default"/>
      </w:rPr>
    </w:lvl>
    <w:lvl w:ilvl="3" w:tplc="DC9A7D32" w:tentative="1">
      <w:start w:val="1"/>
      <w:numFmt w:val="bullet"/>
      <w:lvlText w:val="•"/>
      <w:lvlJc w:val="left"/>
      <w:pPr>
        <w:tabs>
          <w:tab w:val="num" w:pos="2880"/>
        </w:tabs>
        <w:ind w:left="2880" w:hanging="360"/>
      </w:pPr>
      <w:rPr>
        <w:rFonts w:ascii="Arial" w:hAnsi="Arial" w:hint="default"/>
      </w:rPr>
    </w:lvl>
    <w:lvl w:ilvl="4" w:tplc="4B76587C" w:tentative="1">
      <w:start w:val="1"/>
      <w:numFmt w:val="bullet"/>
      <w:lvlText w:val="•"/>
      <w:lvlJc w:val="left"/>
      <w:pPr>
        <w:tabs>
          <w:tab w:val="num" w:pos="3600"/>
        </w:tabs>
        <w:ind w:left="3600" w:hanging="360"/>
      </w:pPr>
      <w:rPr>
        <w:rFonts w:ascii="Arial" w:hAnsi="Arial" w:hint="default"/>
      </w:rPr>
    </w:lvl>
    <w:lvl w:ilvl="5" w:tplc="05FABEAA" w:tentative="1">
      <w:start w:val="1"/>
      <w:numFmt w:val="bullet"/>
      <w:lvlText w:val="•"/>
      <w:lvlJc w:val="left"/>
      <w:pPr>
        <w:tabs>
          <w:tab w:val="num" w:pos="4320"/>
        </w:tabs>
        <w:ind w:left="4320" w:hanging="360"/>
      </w:pPr>
      <w:rPr>
        <w:rFonts w:ascii="Arial" w:hAnsi="Arial" w:hint="default"/>
      </w:rPr>
    </w:lvl>
    <w:lvl w:ilvl="6" w:tplc="0200FF94" w:tentative="1">
      <w:start w:val="1"/>
      <w:numFmt w:val="bullet"/>
      <w:lvlText w:val="•"/>
      <w:lvlJc w:val="left"/>
      <w:pPr>
        <w:tabs>
          <w:tab w:val="num" w:pos="5040"/>
        </w:tabs>
        <w:ind w:left="5040" w:hanging="360"/>
      </w:pPr>
      <w:rPr>
        <w:rFonts w:ascii="Arial" w:hAnsi="Arial" w:hint="default"/>
      </w:rPr>
    </w:lvl>
    <w:lvl w:ilvl="7" w:tplc="7E18CD20" w:tentative="1">
      <w:start w:val="1"/>
      <w:numFmt w:val="bullet"/>
      <w:lvlText w:val="•"/>
      <w:lvlJc w:val="left"/>
      <w:pPr>
        <w:tabs>
          <w:tab w:val="num" w:pos="5760"/>
        </w:tabs>
        <w:ind w:left="5760" w:hanging="360"/>
      </w:pPr>
      <w:rPr>
        <w:rFonts w:ascii="Arial" w:hAnsi="Arial" w:hint="default"/>
      </w:rPr>
    </w:lvl>
    <w:lvl w:ilvl="8" w:tplc="F59A9F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24141"/>
    <w:multiLevelType w:val="multilevel"/>
    <w:tmpl w:val="2FE00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50E36"/>
    <w:multiLevelType w:val="hybridMultilevel"/>
    <w:tmpl w:val="0D9219C6"/>
    <w:lvl w:ilvl="0" w:tplc="1188D6F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E2DB5"/>
    <w:multiLevelType w:val="multilevel"/>
    <w:tmpl w:val="7A965E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6306A"/>
    <w:multiLevelType w:val="hybridMultilevel"/>
    <w:tmpl w:val="3146C9B6"/>
    <w:lvl w:ilvl="0" w:tplc="D2F0BA84">
      <w:start w:val="1"/>
      <w:numFmt w:val="bullet"/>
      <w:lvlText w:val="•"/>
      <w:lvlJc w:val="left"/>
      <w:pPr>
        <w:tabs>
          <w:tab w:val="num" w:pos="720"/>
        </w:tabs>
        <w:ind w:left="720" w:hanging="360"/>
      </w:pPr>
      <w:rPr>
        <w:rFonts w:ascii="Arial" w:hAnsi="Arial" w:cs="Times New Roman" w:hint="default"/>
      </w:rPr>
    </w:lvl>
    <w:lvl w:ilvl="1" w:tplc="F4E470B2">
      <w:start w:val="1"/>
      <w:numFmt w:val="bullet"/>
      <w:lvlText w:val="•"/>
      <w:lvlJc w:val="left"/>
      <w:pPr>
        <w:tabs>
          <w:tab w:val="num" w:pos="1440"/>
        </w:tabs>
        <w:ind w:left="1440" w:hanging="360"/>
      </w:pPr>
      <w:rPr>
        <w:rFonts w:ascii="Arial" w:hAnsi="Arial" w:cs="Times New Roman" w:hint="default"/>
      </w:rPr>
    </w:lvl>
    <w:lvl w:ilvl="2" w:tplc="C40459EC">
      <w:start w:val="1"/>
      <w:numFmt w:val="bullet"/>
      <w:lvlText w:val="•"/>
      <w:lvlJc w:val="left"/>
      <w:pPr>
        <w:tabs>
          <w:tab w:val="num" w:pos="2160"/>
        </w:tabs>
        <w:ind w:left="2160" w:hanging="360"/>
      </w:pPr>
      <w:rPr>
        <w:rFonts w:ascii="Arial" w:hAnsi="Arial" w:cs="Times New Roman" w:hint="default"/>
      </w:rPr>
    </w:lvl>
    <w:lvl w:ilvl="3" w:tplc="0ED8F7A2">
      <w:start w:val="1"/>
      <w:numFmt w:val="bullet"/>
      <w:lvlText w:val="•"/>
      <w:lvlJc w:val="left"/>
      <w:pPr>
        <w:tabs>
          <w:tab w:val="num" w:pos="2880"/>
        </w:tabs>
        <w:ind w:left="2880" w:hanging="360"/>
      </w:pPr>
      <w:rPr>
        <w:rFonts w:ascii="Arial" w:hAnsi="Arial" w:cs="Times New Roman" w:hint="default"/>
      </w:rPr>
    </w:lvl>
    <w:lvl w:ilvl="4" w:tplc="9118DCD6">
      <w:start w:val="1"/>
      <w:numFmt w:val="bullet"/>
      <w:lvlText w:val="•"/>
      <w:lvlJc w:val="left"/>
      <w:pPr>
        <w:tabs>
          <w:tab w:val="num" w:pos="3600"/>
        </w:tabs>
        <w:ind w:left="3600" w:hanging="360"/>
      </w:pPr>
      <w:rPr>
        <w:rFonts w:ascii="Arial" w:hAnsi="Arial" w:cs="Times New Roman" w:hint="default"/>
      </w:rPr>
    </w:lvl>
    <w:lvl w:ilvl="5" w:tplc="BFC6BC56">
      <w:start w:val="1"/>
      <w:numFmt w:val="bullet"/>
      <w:lvlText w:val="•"/>
      <w:lvlJc w:val="left"/>
      <w:pPr>
        <w:tabs>
          <w:tab w:val="num" w:pos="4320"/>
        </w:tabs>
        <w:ind w:left="4320" w:hanging="360"/>
      </w:pPr>
      <w:rPr>
        <w:rFonts w:ascii="Arial" w:hAnsi="Arial" w:cs="Times New Roman" w:hint="default"/>
      </w:rPr>
    </w:lvl>
    <w:lvl w:ilvl="6" w:tplc="9F12DCB6">
      <w:start w:val="1"/>
      <w:numFmt w:val="bullet"/>
      <w:lvlText w:val="•"/>
      <w:lvlJc w:val="left"/>
      <w:pPr>
        <w:tabs>
          <w:tab w:val="num" w:pos="5040"/>
        </w:tabs>
        <w:ind w:left="5040" w:hanging="360"/>
      </w:pPr>
      <w:rPr>
        <w:rFonts w:ascii="Arial" w:hAnsi="Arial" w:cs="Times New Roman" w:hint="default"/>
      </w:rPr>
    </w:lvl>
    <w:lvl w:ilvl="7" w:tplc="EED03FE0">
      <w:start w:val="1"/>
      <w:numFmt w:val="bullet"/>
      <w:lvlText w:val="•"/>
      <w:lvlJc w:val="left"/>
      <w:pPr>
        <w:tabs>
          <w:tab w:val="num" w:pos="5760"/>
        </w:tabs>
        <w:ind w:left="5760" w:hanging="360"/>
      </w:pPr>
      <w:rPr>
        <w:rFonts w:ascii="Arial" w:hAnsi="Arial" w:cs="Times New Roman" w:hint="default"/>
      </w:rPr>
    </w:lvl>
    <w:lvl w:ilvl="8" w:tplc="063EFB2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46477FE"/>
    <w:multiLevelType w:val="hybridMultilevel"/>
    <w:tmpl w:val="5F94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13FD"/>
    <w:multiLevelType w:val="multilevel"/>
    <w:tmpl w:val="FEA81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E64FE"/>
    <w:multiLevelType w:val="hybridMultilevel"/>
    <w:tmpl w:val="4638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61291"/>
    <w:multiLevelType w:val="hybridMultilevel"/>
    <w:tmpl w:val="10AE3178"/>
    <w:lvl w:ilvl="0" w:tplc="26ACFF34">
      <w:start w:val="1"/>
      <w:numFmt w:val="bullet"/>
      <w:lvlText w:val="•"/>
      <w:lvlJc w:val="left"/>
      <w:pPr>
        <w:tabs>
          <w:tab w:val="num" w:pos="720"/>
        </w:tabs>
        <w:ind w:left="720" w:hanging="360"/>
      </w:pPr>
      <w:rPr>
        <w:rFonts w:ascii="Arial" w:hAnsi="Arial" w:hint="default"/>
      </w:rPr>
    </w:lvl>
    <w:lvl w:ilvl="1" w:tplc="34B08F78" w:tentative="1">
      <w:start w:val="1"/>
      <w:numFmt w:val="bullet"/>
      <w:lvlText w:val="•"/>
      <w:lvlJc w:val="left"/>
      <w:pPr>
        <w:tabs>
          <w:tab w:val="num" w:pos="1440"/>
        </w:tabs>
        <w:ind w:left="1440" w:hanging="360"/>
      </w:pPr>
      <w:rPr>
        <w:rFonts w:ascii="Arial" w:hAnsi="Arial" w:hint="default"/>
      </w:rPr>
    </w:lvl>
    <w:lvl w:ilvl="2" w:tplc="78DADE22" w:tentative="1">
      <w:start w:val="1"/>
      <w:numFmt w:val="bullet"/>
      <w:lvlText w:val="•"/>
      <w:lvlJc w:val="left"/>
      <w:pPr>
        <w:tabs>
          <w:tab w:val="num" w:pos="2160"/>
        </w:tabs>
        <w:ind w:left="2160" w:hanging="360"/>
      </w:pPr>
      <w:rPr>
        <w:rFonts w:ascii="Arial" w:hAnsi="Arial" w:hint="default"/>
      </w:rPr>
    </w:lvl>
    <w:lvl w:ilvl="3" w:tplc="6B32F4B2" w:tentative="1">
      <w:start w:val="1"/>
      <w:numFmt w:val="bullet"/>
      <w:lvlText w:val="•"/>
      <w:lvlJc w:val="left"/>
      <w:pPr>
        <w:tabs>
          <w:tab w:val="num" w:pos="2880"/>
        </w:tabs>
        <w:ind w:left="2880" w:hanging="360"/>
      </w:pPr>
      <w:rPr>
        <w:rFonts w:ascii="Arial" w:hAnsi="Arial" w:hint="default"/>
      </w:rPr>
    </w:lvl>
    <w:lvl w:ilvl="4" w:tplc="F1A4E260" w:tentative="1">
      <w:start w:val="1"/>
      <w:numFmt w:val="bullet"/>
      <w:lvlText w:val="•"/>
      <w:lvlJc w:val="left"/>
      <w:pPr>
        <w:tabs>
          <w:tab w:val="num" w:pos="3600"/>
        </w:tabs>
        <w:ind w:left="3600" w:hanging="360"/>
      </w:pPr>
      <w:rPr>
        <w:rFonts w:ascii="Arial" w:hAnsi="Arial" w:hint="default"/>
      </w:rPr>
    </w:lvl>
    <w:lvl w:ilvl="5" w:tplc="FE26994A" w:tentative="1">
      <w:start w:val="1"/>
      <w:numFmt w:val="bullet"/>
      <w:lvlText w:val="•"/>
      <w:lvlJc w:val="left"/>
      <w:pPr>
        <w:tabs>
          <w:tab w:val="num" w:pos="4320"/>
        </w:tabs>
        <w:ind w:left="4320" w:hanging="360"/>
      </w:pPr>
      <w:rPr>
        <w:rFonts w:ascii="Arial" w:hAnsi="Arial" w:hint="default"/>
      </w:rPr>
    </w:lvl>
    <w:lvl w:ilvl="6" w:tplc="3BC8DA2A" w:tentative="1">
      <w:start w:val="1"/>
      <w:numFmt w:val="bullet"/>
      <w:lvlText w:val="•"/>
      <w:lvlJc w:val="left"/>
      <w:pPr>
        <w:tabs>
          <w:tab w:val="num" w:pos="5040"/>
        </w:tabs>
        <w:ind w:left="5040" w:hanging="360"/>
      </w:pPr>
      <w:rPr>
        <w:rFonts w:ascii="Arial" w:hAnsi="Arial" w:hint="default"/>
      </w:rPr>
    </w:lvl>
    <w:lvl w:ilvl="7" w:tplc="0CA43F46" w:tentative="1">
      <w:start w:val="1"/>
      <w:numFmt w:val="bullet"/>
      <w:lvlText w:val="•"/>
      <w:lvlJc w:val="left"/>
      <w:pPr>
        <w:tabs>
          <w:tab w:val="num" w:pos="5760"/>
        </w:tabs>
        <w:ind w:left="5760" w:hanging="360"/>
      </w:pPr>
      <w:rPr>
        <w:rFonts w:ascii="Arial" w:hAnsi="Arial" w:hint="default"/>
      </w:rPr>
    </w:lvl>
    <w:lvl w:ilvl="8" w:tplc="C58C0A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4F6DF1"/>
    <w:multiLevelType w:val="multilevel"/>
    <w:tmpl w:val="25F44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A6DD3"/>
    <w:multiLevelType w:val="hybridMultilevel"/>
    <w:tmpl w:val="140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460B"/>
    <w:multiLevelType w:val="hybridMultilevel"/>
    <w:tmpl w:val="CFE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4639F"/>
    <w:multiLevelType w:val="hybridMultilevel"/>
    <w:tmpl w:val="C880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42489"/>
    <w:multiLevelType w:val="hybridMultilevel"/>
    <w:tmpl w:val="8D54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1371F"/>
    <w:multiLevelType w:val="hybridMultilevel"/>
    <w:tmpl w:val="C478AC54"/>
    <w:lvl w:ilvl="0" w:tplc="C1F0C9A2">
      <w:start w:val="1"/>
      <w:numFmt w:val="bullet"/>
      <w:lvlText w:val="•"/>
      <w:lvlJc w:val="left"/>
      <w:pPr>
        <w:tabs>
          <w:tab w:val="num" w:pos="720"/>
        </w:tabs>
        <w:ind w:left="720" w:hanging="360"/>
      </w:pPr>
      <w:rPr>
        <w:rFonts w:ascii="Arial" w:hAnsi="Arial" w:hint="default"/>
      </w:rPr>
    </w:lvl>
    <w:lvl w:ilvl="1" w:tplc="C65EB500" w:tentative="1">
      <w:start w:val="1"/>
      <w:numFmt w:val="bullet"/>
      <w:lvlText w:val="•"/>
      <w:lvlJc w:val="left"/>
      <w:pPr>
        <w:tabs>
          <w:tab w:val="num" w:pos="1440"/>
        </w:tabs>
        <w:ind w:left="1440" w:hanging="360"/>
      </w:pPr>
      <w:rPr>
        <w:rFonts w:ascii="Arial" w:hAnsi="Arial" w:hint="default"/>
      </w:rPr>
    </w:lvl>
    <w:lvl w:ilvl="2" w:tplc="520C045A" w:tentative="1">
      <w:start w:val="1"/>
      <w:numFmt w:val="bullet"/>
      <w:lvlText w:val="•"/>
      <w:lvlJc w:val="left"/>
      <w:pPr>
        <w:tabs>
          <w:tab w:val="num" w:pos="2160"/>
        </w:tabs>
        <w:ind w:left="2160" w:hanging="360"/>
      </w:pPr>
      <w:rPr>
        <w:rFonts w:ascii="Arial" w:hAnsi="Arial" w:hint="default"/>
      </w:rPr>
    </w:lvl>
    <w:lvl w:ilvl="3" w:tplc="5A20D54C" w:tentative="1">
      <w:start w:val="1"/>
      <w:numFmt w:val="bullet"/>
      <w:lvlText w:val="•"/>
      <w:lvlJc w:val="left"/>
      <w:pPr>
        <w:tabs>
          <w:tab w:val="num" w:pos="2880"/>
        </w:tabs>
        <w:ind w:left="2880" w:hanging="360"/>
      </w:pPr>
      <w:rPr>
        <w:rFonts w:ascii="Arial" w:hAnsi="Arial" w:hint="default"/>
      </w:rPr>
    </w:lvl>
    <w:lvl w:ilvl="4" w:tplc="697078F0" w:tentative="1">
      <w:start w:val="1"/>
      <w:numFmt w:val="bullet"/>
      <w:lvlText w:val="•"/>
      <w:lvlJc w:val="left"/>
      <w:pPr>
        <w:tabs>
          <w:tab w:val="num" w:pos="3600"/>
        </w:tabs>
        <w:ind w:left="3600" w:hanging="360"/>
      </w:pPr>
      <w:rPr>
        <w:rFonts w:ascii="Arial" w:hAnsi="Arial" w:hint="default"/>
      </w:rPr>
    </w:lvl>
    <w:lvl w:ilvl="5" w:tplc="0B8A1F6C" w:tentative="1">
      <w:start w:val="1"/>
      <w:numFmt w:val="bullet"/>
      <w:lvlText w:val="•"/>
      <w:lvlJc w:val="left"/>
      <w:pPr>
        <w:tabs>
          <w:tab w:val="num" w:pos="4320"/>
        </w:tabs>
        <w:ind w:left="4320" w:hanging="360"/>
      </w:pPr>
      <w:rPr>
        <w:rFonts w:ascii="Arial" w:hAnsi="Arial" w:hint="default"/>
      </w:rPr>
    </w:lvl>
    <w:lvl w:ilvl="6" w:tplc="D70C99AA" w:tentative="1">
      <w:start w:val="1"/>
      <w:numFmt w:val="bullet"/>
      <w:lvlText w:val="•"/>
      <w:lvlJc w:val="left"/>
      <w:pPr>
        <w:tabs>
          <w:tab w:val="num" w:pos="5040"/>
        </w:tabs>
        <w:ind w:left="5040" w:hanging="360"/>
      </w:pPr>
      <w:rPr>
        <w:rFonts w:ascii="Arial" w:hAnsi="Arial" w:hint="default"/>
      </w:rPr>
    </w:lvl>
    <w:lvl w:ilvl="7" w:tplc="ABDEFD40" w:tentative="1">
      <w:start w:val="1"/>
      <w:numFmt w:val="bullet"/>
      <w:lvlText w:val="•"/>
      <w:lvlJc w:val="left"/>
      <w:pPr>
        <w:tabs>
          <w:tab w:val="num" w:pos="5760"/>
        </w:tabs>
        <w:ind w:left="5760" w:hanging="360"/>
      </w:pPr>
      <w:rPr>
        <w:rFonts w:ascii="Arial" w:hAnsi="Arial" w:hint="default"/>
      </w:rPr>
    </w:lvl>
    <w:lvl w:ilvl="8" w:tplc="0CC0A5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A54801"/>
    <w:multiLevelType w:val="hybridMultilevel"/>
    <w:tmpl w:val="5B507B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D4223E"/>
    <w:multiLevelType w:val="hybridMultilevel"/>
    <w:tmpl w:val="A82A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879C8"/>
    <w:multiLevelType w:val="hybridMultilevel"/>
    <w:tmpl w:val="7AEE768A"/>
    <w:lvl w:ilvl="0" w:tplc="1BAE28D8">
      <w:start w:val="1"/>
      <w:numFmt w:val="bullet"/>
      <w:lvlText w:val="•"/>
      <w:lvlJc w:val="left"/>
      <w:pPr>
        <w:tabs>
          <w:tab w:val="num" w:pos="720"/>
        </w:tabs>
        <w:ind w:left="720" w:hanging="360"/>
      </w:pPr>
      <w:rPr>
        <w:rFonts w:ascii="Arial" w:hAnsi="Arial" w:hint="default"/>
      </w:rPr>
    </w:lvl>
    <w:lvl w:ilvl="1" w:tplc="3EC0C5F4" w:tentative="1">
      <w:start w:val="1"/>
      <w:numFmt w:val="bullet"/>
      <w:lvlText w:val="•"/>
      <w:lvlJc w:val="left"/>
      <w:pPr>
        <w:tabs>
          <w:tab w:val="num" w:pos="1440"/>
        </w:tabs>
        <w:ind w:left="1440" w:hanging="360"/>
      </w:pPr>
      <w:rPr>
        <w:rFonts w:ascii="Arial" w:hAnsi="Arial" w:hint="default"/>
      </w:rPr>
    </w:lvl>
    <w:lvl w:ilvl="2" w:tplc="DC2C10F8" w:tentative="1">
      <w:start w:val="1"/>
      <w:numFmt w:val="bullet"/>
      <w:lvlText w:val="•"/>
      <w:lvlJc w:val="left"/>
      <w:pPr>
        <w:tabs>
          <w:tab w:val="num" w:pos="2160"/>
        </w:tabs>
        <w:ind w:left="2160" w:hanging="360"/>
      </w:pPr>
      <w:rPr>
        <w:rFonts w:ascii="Arial" w:hAnsi="Arial" w:hint="default"/>
      </w:rPr>
    </w:lvl>
    <w:lvl w:ilvl="3" w:tplc="780E3046" w:tentative="1">
      <w:start w:val="1"/>
      <w:numFmt w:val="bullet"/>
      <w:lvlText w:val="•"/>
      <w:lvlJc w:val="left"/>
      <w:pPr>
        <w:tabs>
          <w:tab w:val="num" w:pos="2880"/>
        </w:tabs>
        <w:ind w:left="2880" w:hanging="360"/>
      </w:pPr>
      <w:rPr>
        <w:rFonts w:ascii="Arial" w:hAnsi="Arial" w:hint="default"/>
      </w:rPr>
    </w:lvl>
    <w:lvl w:ilvl="4" w:tplc="4AF2A234" w:tentative="1">
      <w:start w:val="1"/>
      <w:numFmt w:val="bullet"/>
      <w:lvlText w:val="•"/>
      <w:lvlJc w:val="left"/>
      <w:pPr>
        <w:tabs>
          <w:tab w:val="num" w:pos="3600"/>
        </w:tabs>
        <w:ind w:left="3600" w:hanging="360"/>
      </w:pPr>
      <w:rPr>
        <w:rFonts w:ascii="Arial" w:hAnsi="Arial" w:hint="default"/>
      </w:rPr>
    </w:lvl>
    <w:lvl w:ilvl="5" w:tplc="45703640" w:tentative="1">
      <w:start w:val="1"/>
      <w:numFmt w:val="bullet"/>
      <w:lvlText w:val="•"/>
      <w:lvlJc w:val="left"/>
      <w:pPr>
        <w:tabs>
          <w:tab w:val="num" w:pos="4320"/>
        </w:tabs>
        <w:ind w:left="4320" w:hanging="360"/>
      </w:pPr>
      <w:rPr>
        <w:rFonts w:ascii="Arial" w:hAnsi="Arial" w:hint="default"/>
      </w:rPr>
    </w:lvl>
    <w:lvl w:ilvl="6" w:tplc="A998D65C" w:tentative="1">
      <w:start w:val="1"/>
      <w:numFmt w:val="bullet"/>
      <w:lvlText w:val="•"/>
      <w:lvlJc w:val="left"/>
      <w:pPr>
        <w:tabs>
          <w:tab w:val="num" w:pos="5040"/>
        </w:tabs>
        <w:ind w:left="5040" w:hanging="360"/>
      </w:pPr>
      <w:rPr>
        <w:rFonts w:ascii="Arial" w:hAnsi="Arial" w:hint="default"/>
      </w:rPr>
    </w:lvl>
    <w:lvl w:ilvl="7" w:tplc="306C1DCE" w:tentative="1">
      <w:start w:val="1"/>
      <w:numFmt w:val="bullet"/>
      <w:lvlText w:val="•"/>
      <w:lvlJc w:val="left"/>
      <w:pPr>
        <w:tabs>
          <w:tab w:val="num" w:pos="5760"/>
        </w:tabs>
        <w:ind w:left="5760" w:hanging="360"/>
      </w:pPr>
      <w:rPr>
        <w:rFonts w:ascii="Arial" w:hAnsi="Arial" w:hint="default"/>
      </w:rPr>
    </w:lvl>
    <w:lvl w:ilvl="8" w:tplc="EC2A9E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6A1171"/>
    <w:multiLevelType w:val="hybridMultilevel"/>
    <w:tmpl w:val="AC1E70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2790B"/>
    <w:multiLevelType w:val="multilevel"/>
    <w:tmpl w:val="CC3258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070212"/>
    <w:multiLevelType w:val="multilevel"/>
    <w:tmpl w:val="3922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E5672"/>
    <w:multiLevelType w:val="hybridMultilevel"/>
    <w:tmpl w:val="28DE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8735A"/>
    <w:multiLevelType w:val="hybridMultilevel"/>
    <w:tmpl w:val="1FECE3FC"/>
    <w:lvl w:ilvl="0" w:tplc="C72697EC">
      <w:start w:val="1"/>
      <w:numFmt w:val="bullet"/>
      <w:lvlText w:val="•"/>
      <w:lvlJc w:val="left"/>
      <w:pPr>
        <w:tabs>
          <w:tab w:val="num" w:pos="720"/>
        </w:tabs>
        <w:ind w:left="720" w:hanging="360"/>
      </w:pPr>
      <w:rPr>
        <w:rFonts w:ascii="Arial" w:hAnsi="Arial" w:hint="default"/>
      </w:rPr>
    </w:lvl>
    <w:lvl w:ilvl="1" w:tplc="CE6808F2" w:tentative="1">
      <w:start w:val="1"/>
      <w:numFmt w:val="bullet"/>
      <w:lvlText w:val="•"/>
      <w:lvlJc w:val="left"/>
      <w:pPr>
        <w:tabs>
          <w:tab w:val="num" w:pos="1440"/>
        </w:tabs>
        <w:ind w:left="1440" w:hanging="360"/>
      </w:pPr>
      <w:rPr>
        <w:rFonts w:ascii="Arial" w:hAnsi="Arial" w:hint="default"/>
      </w:rPr>
    </w:lvl>
    <w:lvl w:ilvl="2" w:tplc="A0D0FDEE" w:tentative="1">
      <w:start w:val="1"/>
      <w:numFmt w:val="bullet"/>
      <w:lvlText w:val="•"/>
      <w:lvlJc w:val="left"/>
      <w:pPr>
        <w:tabs>
          <w:tab w:val="num" w:pos="2160"/>
        </w:tabs>
        <w:ind w:left="2160" w:hanging="360"/>
      </w:pPr>
      <w:rPr>
        <w:rFonts w:ascii="Arial" w:hAnsi="Arial" w:hint="default"/>
      </w:rPr>
    </w:lvl>
    <w:lvl w:ilvl="3" w:tplc="4788905A" w:tentative="1">
      <w:start w:val="1"/>
      <w:numFmt w:val="bullet"/>
      <w:lvlText w:val="•"/>
      <w:lvlJc w:val="left"/>
      <w:pPr>
        <w:tabs>
          <w:tab w:val="num" w:pos="2880"/>
        </w:tabs>
        <w:ind w:left="2880" w:hanging="360"/>
      </w:pPr>
      <w:rPr>
        <w:rFonts w:ascii="Arial" w:hAnsi="Arial" w:hint="default"/>
      </w:rPr>
    </w:lvl>
    <w:lvl w:ilvl="4" w:tplc="3CFE6B9A" w:tentative="1">
      <w:start w:val="1"/>
      <w:numFmt w:val="bullet"/>
      <w:lvlText w:val="•"/>
      <w:lvlJc w:val="left"/>
      <w:pPr>
        <w:tabs>
          <w:tab w:val="num" w:pos="3600"/>
        </w:tabs>
        <w:ind w:left="3600" w:hanging="360"/>
      </w:pPr>
      <w:rPr>
        <w:rFonts w:ascii="Arial" w:hAnsi="Arial" w:hint="default"/>
      </w:rPr>
    </w:lvl>
    <w:lvl w:ilvl="5" w:tplc="8C1E0744" w:tentative="1">
      <w:start w:val="1"/>
      <w:numFmt w:val="bullet"/>
      <w:lvlText w:val="•"/>
      <w:lvlJc w:val="left"/>
      <w:pPr>
        <w:tabs>
          <w:tab w:val="num" w:pos="4320"/>
        </w:tabs>
        <w:ind w:left="4320" w:hanging="360"/>
      </w:pPr>
      <w:rPr>
        <w:rFonts w:ascii="Arial" w:hAnsi="Arial" w:hint="default"/>
      </w:rPr>
    </w:lvl>
    <w:lvl w:ilvl="6" w:tplc="3D0C42B6" w:tentative="1">
      <w:start w:val="1"/>
      <w:numFmt w:val="bullet"/>
      <w:lvlText w:val="•"/>
      <w:lvlJc w:val="left"/>
      <w:pPr>
        <w:tabs>
          <w:tab w:val="num" w:pos="5040"/>
        </w:tabs>
        <w:ind w:left="5040" w:hanging="360"/>
      </w:pPr>
      <w:rPr>
        <w:rFonts w:ascii="Arial" w:hAnsi="Arial" w:hint="default"/>
      </w:rPr>
    </w:lvl>
    <w:lvl w:ilvl="7" w:tplc="CEBC9CDC" w:tentative="1">
      <w:start w:val="1"/>
      <w:numFmt w:val="bullet"/>
      <w:lvlText w:val="•"/>
      <w:lvlJc w:val="left"/>
      <w:pPr>
        <w:tabs>
          <w:tab w:val="num" w:pos="5760"/>
        </w:tabs>
        <w:ind w:left="5760" w:hanging="360"/>
      </w:pPr>
      <w:rPr>
        <w:rFonts w:ascii="Arial" w:hAnsi="Arial" w:hint="default"/>
      </w:rPr>
    </w:lvl>
    <w:lvl w:ilvl="8" w:tplc="0FCC7A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451685"/>
    <w:multiLevelType w:val="hybridMultilevel"/>
    <w:tmpl w:val="52A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31ECE"/>
    <w:multiLevelType w:val="multilevel"/>
    <w:tmpl w:val="FFACFB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D451C4"/>
    <w:multiLevelType w:val="hybridMultilevel"/>
    <w:tmpl w:val="B630FB40"/>
    <w:lvl w:ilvl="0" w:tplc="7152F5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27D9F"/>
    <w:multiLevelType w:val="multilevel"/>
    <w:tmpl w:val="2A12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86176A"/>
    <w:multiLevelType w:val="hybridMultilevel"/>
    <w:tmpl w:val="D186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169E4"/>
    <w:multiLevelType w:val="hybridMultilevel"/>
    <w:tmpl w:val="EBD8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22D9D"/>
    <w:multiLevelType w:val="hybridMultilevel"/>
    <w:tmpl w:val="52747DDE"/>
    <w:lvl w:ilvl="0" w:tplc="165C2BEE">
      <w:start w:val="1"/>
      <w:numFmt w:val="bullet"/>
      <w:lvlText w:val="•"/>
      <w:lvlJc w:val="left"/>
      <w:pPr>
        <w:tabs>
          <w:tab w:val="num" w:pos="720"/>
        </w:tabs>
        <w:ind w:left="720" w:hanging="360"/>
      </w:pPr>
      <w:rPr>
        <w:rFonts w:ascii="Arial" w:hAnsi="Arial" w:hint="default"/>
      </w:rPr>
    </w:lvl>
    <w:lvl w:ilvl="1" w:tplc="A1CA663C" w:tentative="1">
      <w:start w:val="1"/>
      <w:numFmt w:val="bullet"/>
      <w:lvlText w:val="•"/>
      <w:lvlJc w:val="left"/>
      <w:pPr>
        <w:tabs>
          <w:tab w:val="num" w:pos="1440"/>
        </w:tabs>
        <w:ind w:left="1440" w:hanging="360"/>
      </w:pPr>
      <w:rPr>
        <w:rFonts w:ascii="Arial" w:hAnsi="Arial" w:hint="default"/>
      </w:rPr>
    </w:lvl>
    <w:lvl w:ilvl="2" w:tplc="9CAE6B54" w:tentative="1">
      <w:start w:val="1"/>
      <w:numFmt w:val="bullet"/>
      <w:lvlText w:val="•"/>
      <w:lvlJc w:val="left"/>
      <w:pPr>
        <w:tabs>
          <w:tab w:val="num" w:pos="2160"/>
        </w:tabs>
        <w:ind w:left="2160" w:hanging="360"/>
      </w:pPr>
      <w:rPr>
        <w:rFonts w:ascii="Arial" w:hAnsi="Arial" w:hint="default"/>
      </w:rPr>
    </w:lvl>
    <w:lvl w:ilvl="3" w:tplc="0CD84062" w:tentative="1">
      <w:start w:val="1"/>
      <w:numFmt w:val="bullet"/>
      <w:lvlText w:val="•"/>
      <w:lvlJc w:val="left"/>
      <w:pPr>
        <w:tabs>
          <w:tab w:val="num" w:pos="2880"/>
        </w:tabs>
        <w:ind w:left="2880" w:hanging="360"/>
      </w:pPr>
      <w:rPr>
        <w:rFonts w:ascii="Arial" w:hAnsi="Arial" w:hint="default"/>
      </w:rPr>
    </w:lvl>
    <w:lvl w:ilvl="4" w:tplc="6D1ADA04" w:tentative="1">
      <w:start w:val="1"/>
      <w:numFmt w:val="bullet"/>
      <w:lvlText w:val="•"/>
      <w:lvlJc w:val="left"/>
      <w:pPr>
        <w:tabs>
          <w:tab w:val="num" w:pos="3600"/>
        </w:tabs>
        <w:ind w:left="3600" w:hanging="360"/>
      </w:pPr>
      <w:rPr>
        <w:rFonts w:ascii="Arial" w:hAnsi="Arial" w:hint="default"/>
      </w:rPr>
    </w:lvl>
    <w:lvl w:ilvl="5" w:tplc="89A02944" w:tentative="1">
      <w:start w:val="1"/>
      <w:numFmt w:val="bullet"/>
      <w:lvlText w:val="•"/>
      <w:lvlJc w:val="left"/>
      <w:pPr>
        <w:tabs>
          <w:tab w:val="num" w:pos="4320"/>
        </w:tabs>
        <w:ind w:left="4320" w:hanging="360"/>
      </w:pPr>
      <w:rPr>
        <w:rFonts w:ascii="Arial" w:hAnsi="Arial" w:hint="default"/>
      </w:rPr>
    </w:lvl>
    <w:lvl w:ilvl="6" w:tplc="6B0E58C4" w:tentative="1">
      <w:start w:val="1"/>
      <w:numFmt w:val="bullet"/>
      <w:lvlText w:val="•"/>
      <w:lvlJc w:val="left"/>
      <w:pPr>
        <w:tabs>
          <w:tab w:val="num" w:pos="5040"/>
        </w:tabs>
        <w:ind w:left="5040" w:hanging="360"/>
      </w:pPr>
      <w:rPr>
        <w:rFonts w:ascii="Arial" w:hAnsi="Arial" w:hint="default"/>
      </w:rPr>
    </w:lvl>
    <w:lvl w:ilvl="7" w:tplc="CA940402" w:tentative="1">
      <w:start w:val="1"/>
      <w:numFmt w:val="bullet"/>
      <w:lvlText w:val="•"/>
      <w:lvlJc w:val="left"/>
      <w:pPr>
        <w:tabs>
          <w:tab w:val="num" w:pos="5760"/>
        </w:tabs>
        <w:ind w:left="5760" w:hanging="360"/>
      </w:pPr>
      <w:rPr>
        <w:rFonts w:ascii="Arial" w:hAnsi="Arial" w:hint="default"/>
      </w:rPr>
    </w:lvl>
    <w:lvl w:ilvl="8" w:tplc="FF2866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6B6776"/>
    <w:multiLevelType w:val="hybridMultilevel"/>
    <w:tmpl w:val="EB5CB000"/>
    <w:lvl w:ilvl="0" w:tplc="7CAEA2D2">
      <w:start w:val="1"/>
      <w:numFmt w:val="bullet"/>
      <w:lvlText w:val="•"/>
      <w:lvlJc w:val="left"/>
      <w:pPr>
        <w:tabs>
          <w:tab w:val="num" w:pos="720"/>
        </w:tabs>
        <w:ind w:left="720" w:hanging="360"/>
      </w:pPr>
      <w:rPr>
        <w:rFonts w:ascii="Arial" w:hAnsi="Arial" w:hint="default"/>
      </w:rPr>
    </w:lvl>
    <w:lvl w:ilvl="1" w:tplc="B96CD694" w:tentative="1">
      <w:start w:val="1"/>
      <w:numFmt w:val="bullet"/>
      <w:lvlText w:val="•"/>
      <w:lvlJc w:val="left"/>
      <w:pPr>
        <w:tabs>
          <w:tab w:val="num" w:pos="1440"/>
        </w:tabs>
        <w:ind w:left="1440" w:hanging="360"/>
      </w:pPr>
      <w:rPr>
        <w:rFonts w:ascii="Arial" w:hAnsi="Arial" w:hint="default"/>
      </w:rPr>
    </w:lvl>
    <w:lvl w:ilvl="2" w:tplc="67C2DB22" w:tentative="1">
      <w:start w:val="1"/>
      <w:numFmt w:val="bullet"/>
      <w:lvlText w:val="•"/>
      <w:lvlJc w:val="left"/>
      <w:pPr>
        <w:tabs>
          <w:tab w:val="num" w:pos="2160"/>
        </w:tabs>
        <w:ind w:left="2160" w:hanging="360"/>
      </w:pPr>
      <w:rPr>
        <w:rFonts w:ascii="Arial" w:hAnsi="Arial" w:hint="default"/>
      </w:rPr>
    </w:lvl>
    <w:lvl w:ilvl="3" w:tplc="6156B100" w:tentative="1">
      <w:start w:val="1"/>
      <w:numFmt w:val="bullet"/>
      <w:lvlText w:val="•"/>
      <w:lvlJc w:val="left"/>
      <w:pPr>
        <w:tabs>
          <w:tab w:val="num" w:pos="2880"/>
        </w:tabs>
        <w:ind w:left="2880" w:hanging="360"/>
      </w:pPr>
      <w:rPr>
        <w:rFonts w:ascii="Arial" w:hAnsi="Arial" w:hint="default"/>
      </w:rPr>
    </w:lvl>
    <w:lvl w:ilvl="4" w:tplc="C9CAF926" w:tentative="1">
      <w:start w:val="1"/>
      <w:numFmt w:val="bullet"/>
      <w:lvlText w:val="•"/>
      <w:lvlJc w:val="left"/>
      <w:pPr>
        <w:tabs>
          <w:tab w:val="num" w:pos="3600"/>
        </w:tabs>
        <w:ind w:left="3600" w:hanging="360"/>
      </w:pPr>
      <w:rPr>
        <w:rFonts w:ascii="Arial" w:hAnsi="Arial" w:hint="default"/>
      </w:rPr>
    </w:lvl>
    <w:lvl w:ilvl="5" w:tplc="E0AE14C8" w:tentative="1">
      <w:start w:val="1"/>
      <w:numFmt w:val="bullet"/>
      <w:lvlText w:val="•"/>
      <w:lvlJc w:val="left"/>
      <w:pPr>
        <w:tabs>
          <w:tab w:val="num" w:pos="4320"/>
        </w:tabs>
        <w:ind w:left="4320" w:hanging="360"/>
      </w:pPr>
      <w:rPr>
        <w:rFonts w:ascii="Arial" w:hAnsi="Arial" w:hint="default"/>
      </w:rPr>
    </w:lvl>
    <w:lvl w:ilvl="6" w:tplc="82A8E712" w:tentative="1">
      <w:start w:val="1"/>
      <w:numFmt w:val="bullet"/>
      <w:lvlText w:val="•"/>
      <w:lvlJc w:val="left"/>
      <w:pPr>
        <w:tabs>
          <w:tab w:val="num" w:pos="5040"/>
        </w:tabs>
        <w:ind w:left="5040" w:hanging="360"/>
      </w:pPr>
      <w:rPr>
        <w:rFonts w:ascii="Arial" w:hAnsi="Arial" w:hint="default"/>
      </w:rPr>
    </w:lvl>
    <w:lvl w:ilvl="7" w:tplc="4A7A9990" w:tentative="1">
      <w:start w:val="1"/>
      <w:numFmt w:val="bullet"/>
      <w:lvlText w:val="•"/>
      <w:lvlJc w:val="left"/>
      <w:pPr>
        <w:tabs>
          <w:tab w:val="num" w:pos="5760"/>
        </w:tabs>
        <w:ind w:left="5760" w:hanging="360"/>
      </w:pPr>
      <w:rPr>
        <w:rFonts w:ascii="Arial" w:hAnsi="Arial" w:hint="default"/>
      </w:rPr>
    </w:lvl>
    <w:lvl w:ilvl="8" w:tplc="A948C6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C07C79"/>
    <w:multiLevelType w:val="multilevel"/>
    <w:tmpl w:val="04F22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91377E"/>
    <w:multiLevelType w:val="hybridMultilevel"/>
    <w:tmpl w:val="B830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C6FD4"/>
    <w:multiLevelType w:val="hybridMultilevel"/>
    <w:tmpl w:val="AF747D92"/>
    <w:lvl w:ilvl="0" w:tplc="D04EEB1A">
      <w:start w:val="1"/>
      <w:numFmt w:val="bullet"/>
      <w:lvlText w:val="•"/>
      <w:lvlJc w:val="left"/>
      <w:pPr>
        <w:tabs>
          <w:tab w:val="num" w:pos="720"/>
        </w:tabs>
        <w:ind w:left="720" w:hanging="360"/>
      </w:pPr>
      <w:rPr>
        <w:rFonts w:ascii="Arial" w:hAnsi="Arial" w:hint="default"/>
      </w:rPr>
    </w:lvl>
    <w:lvl w:ilvl="1" w:tplc="E7E4DB00" w:tentative="1">
      <w:start w:val="1"/>
      <w:numFmt w:val="bullet"/>
      <w:lvlText w:val="•"/>
      <w:lvlJc w:val="left"/>
      <w:pPr>
        <w:tabs>
          <w:tab w:val="num" w:pos="1440"/>
        </w:tabs>
        <w:ind w:left="1440" w:hanging="360"/>
      </w:pPr>
      <w:rPr>
        <w:rFonts w:ascii="Arial" w:hAnsi="Arial" w:hint="default"/>
      </w:rPr>
    </w:lvl>
    <w:lvl w:ilvl="2" w:tplc="11040FFA" w:tentative="1">
      <w:start w:val="1"/>
      <w:numFmt w:val="bullet"/>
      <w:lvlText w:val="•"/>
      <w:lvlJc w:val="left"/>
      <w:pPr>
        <w:tabs>
          <w:tab w:val="num" w:pos="2160"/>
        </w:tabs>
        <w:ind w:left="2160" w:hanging="360"/>
      </w:pPr>
      <w:rPr>
        <w:rFonts w:ascii="Arial" w:hAnsi="Arial" w:hint="default"/>
      </w:rPr>
    </w:lvl>
    <w:lvl w:ilvl="3" w:tplc="5410757E" w:tentative="1">
      <w:start w:val="1"/>
      <w:numFmt w:val="bullet"/>
      <w:lvlText w:val="•"/>
      <w:lvlJc w:val="left"/>
      <w:pPr>
        <w:tabs>
          <w:tab w:val="num" w:pos="2880"/>
        </w:tabs>
        <w:ind w:left="2880" w:hanging="360"/>
      </w:pPr>
      <w:rPr>
        <w:rFonts w:ascii="Arial" w:hAnsi="Arial" w:hint="default"/>
      </w:rPr>
    </w:lvl>
    <w:lvl w:ilvl="4" w:tplc="C0C274F8" w:tentative="1">
      <w:start w:val="1"/>
      <w:numFmt w:val="bullet"/>
      <w:lvlText w:val="•"/>
      <w:lvlJc w:val="left"/>
      <w:pPr>
        <w:tabs>
          <w:tab w:val="num" w:pos="3600"/>
        </w:tabs>
        <w:ind w:left="3600" w:hanging="360"/>
      </w:pPr>
      <w:rPr>
        <w:rFonts w:ascii="Arial" w:hAnsi="Arial" w:hint="default"/>
      </w:rPr>
    </w:lvl>
    <w:lvl w:ilvl="5" w:tplc="C4E4173A" w:tentative="1">
      <w:start w:val="1"/>
      <w:numFmt w:val="bullet"/>
      <w:lvlText w:val="•"/>
      <w:lvlJc w:val="left"/>
      <w:pPr>
        <w:tabs>
          <w:tab w:val="num" w:pos="4320"/>
        </w:tabs>
        <w:ind w:left="4320" w:hanging="360"/>
      </w:pPr>
      <w:rPr>
        <w:rFonts w:ascii="Arial" w:hAnsi="Arial" w:hint="default"/>
      </w:rPr>
    </w:lvl>
    <w:lvl w:ilvl="6" w:tplc="5C38368C" w:tentative="1">
      <w:start w:val="1"/>
      <w:numFmt w:val="bullet"/>
      <w:lvlText w:val="•"/>
      <w:lvlJc w:val="left"/>
      <w:pPr>
        <w:tabs>
          <w:tab w:val="num" w:pos="5040"/>
        </w:tabs>
        <w:ind w:left="5040" w:hanging="360"/>
      </w:pPr>
      <w:rPr>
        <w:rFonts w:ascii="Arial" w:hAnsi="Arial" w:hint="default"/>
      </w:rPr>
    </w:lvl>
    <w:lvl w:ilvl="7" w:tplc="F0824D1C" w:tentative="1">
      <w:start w:val="1"/>
      <w:numFmt w:val="bullet"/>
      <w:lvlText w:val="•"/>
      <w:lvlJc w:val="left"/>
      <w:pPr>
        <w:tabs>
          <w:tab w:val="num" w:pos="5760"/>
        </w:tabs>
        <w:ind w:left="5760" w:hanging="360"/>
      </w:pPr>
      <w:rPr>
        <w:rFonts w:ascii="Arial" w:hAnsi="Arial" w:hint="default"/>
      </w:rPr>
    </w:lvl>
    <w:lvl w:ilvl="8" w:tplc="A57E7BB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C86563"/>
    <w:multiLevelType w:val="hybridMultilevel"/>
    <w:tmpl w:val="084A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B07D1"/>
    <w:multiLevelType w:val="hybridMultilevel"/>
    <w:tmpl w:val="2146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E3D96"/>
    <w:multiLevelType w:val="hybridMultilevel"/>
    <w:tmpl w:val="B84A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2081D"/>
    <w:multiLevelType w:val="multilevel"/>
    <w:tmpl w:val="E7E6FC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A178EA"/>
    <w:multiLevelType w:val="multilevel"/>
    <w:tmpl w:val="F21804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C46A9E"/>
    <w:multiLevelType w:val="hybridMultilevel"/>
    <w:tmpl w:val="DBDAC482"/>
    <w:lvl w:ilvl="0" w:tplc="439C1CE0">
      <w:start w:val="1"/>
      <w:numFmt w:val="bullet"/>
      <w:lvlText w:val="•"/>
      <w:lvlJc w:val="left"/>
      <w:pPr>
        <w:tabs>
          <w:tab w:val="num" w:pos="720"/>
        </w:tabs>
        <w:ind w:left="720" w:hanging="360"/>
      </w:pPr>
      <w:rPr>
        <w:rFonts w:ascii="Arial" w:hAnsi="Arial" w:hint="default"/>
      </w:rPr>
    </w:lvl>
    <w:lvl w:ilvl="1" w:tplc="2C6202D6" w:tentative="1">
      <w:start w:val="1"/>
      <w:numFmt w:val="bullet"/>
      <w:lvlText w:val="•"/>
      <w:lvlJc w:val="left"/>
      <w:pPr>
        <w:tabs>
          <w:tab w:val="num" w:pos="1440"/>
        </w:tabs>
        <w:ind w:left="1440" w:hanging="360"/>
      </w:pPr>
      <w:rPr>
        <w:rFonts w:ascii="Arial" w:hAnsi="Arial" w:hint="default"/>
      </w:rPr>
    </w:lvl>
    <w:lvl w:ilvl="2" w:tplc="4C12C786" w:tentative="1">
      <w:start w:val="1"/>
      <w:numFmt w:val="bullet"/>
      <w:lvlText w:val="•"/>
      <w:lvlJc w:val="left"/>
      <w:pPr>
        <w:tabs>
          <w:tab w:val="num" w:pos="2160"/>
        </w:tabs>
        <w:ind w:left="2160" w:hanging="360"/>
      </w:pPr>
      <w:rPr>
        <w:rFonts w:ascii="Arial" w:hAnsi="Arial" w:hint="default"/>
      </w:rPr>
    </w:lvl>
    <w:lvl w:ilvl="3" w:tplc="033C76FC" w:tentative="1">
      <w:start w:val="1"/>
      <w:numFmt w:val="bullet"/>
      <w:lvlText w:val="•"/>
      <w:lvlJc w:val="left"/>
      <w:pPr>
        <w:tabs>
          <w:tab w:val="num" w:pos="2880"/>
        </w:tabs>
        <w:ind w:left="2880" w:hanging="360"/>
      </w:pPr>
      <w:rPr>
        <w:rFonts w:ascii="Arial" w:hAnsi="Arial" w:hint="default"/>
      </w:rPr>
    </w:lvl>
    <w:lvl w:ilvl="4" w:tplc="FD2E91E2" w:tentative="1">
      <w:start w:val="1"/>
      <w:numFmt w:val="bullet"/>
      <w:lvlText w:val="•"/>
      <w:lvlJc w:val="left"/>
      <w:pPr>
        <w:tabs>
          <w:tab w:val="num" w:pos="3600"/>
        </w:tabs>
        <w:ind w:left="3600" w:hanging="360"/>
      </w:pPr>
      <w:rPr>
        <w:rFonts w:ascii="Arial" w:hAnsi="Arial" w:hint="default"/>
      </w:rPr>
    </w:lvl>
    <w:lvl w:ilvl="5" w:tplc="FD0C61C2" w:tentative="1">
      <w:start w:val="1"/>
      <w:numFmt w:val="bullet"/>
      <w:lvlText w:val="•"/>
      <w:lvlJc w:val="left"/>
      <w:pPr>
        <w:tabs>
          <w:tab w:val="num" w:pos="4320"/>
        </w:tabs>
        <w:ind w:left="4320" w:hanging="360"/>
      </w:pPr>
      <w:rPr>
        <w:rFonts w:ascii="Arial" w:hAnsi="Arial" w:hint="default"/>
      </w:rPr>
    </w:lvl>
    <w:lvl w:ilvl="6" w:tplc="C5106974" w:tentative="1">
      <w:start w:val="1"/>
      <w:numFmt w:val="bullet"/>
      <w:lvlText w:val="•"/>
      <w:lvlJc w:val="left"/>
      <w:pPr>
        <w:tabs>
          <w:tab w:val="num" w:pos="5040"/>
        </w:tabs>
        <w:ind w:left="5040" w:hanging="360"/>
      </w:pPr>
      <w:rPr>
        <w:rFonts w:ascii="Arial" w:hAnsi="Arial" w:hint="default"/>
      </w:rPr>
    </w:lvl>
    <w:lvl w:ilvl="7" w:tplc="21F89584" w:tentative="1">
      <w:start w:val="1"/>
      <w:numFmt w:val="bullet"/>
      <w:lvlText w:val="•"/>
      <w:lvlJc w:val="left"/>
      <w:pPr>
        <w:tabs>
          <w:tab w:val="num" w:pos="5760"/>
        </w:tabs>
        <w:ind w:left="5760" w:hanging="360"/>
      </w:pPr>
      <w:rPr>
        <w:rFonts w:ascii="Arial" w:hAnsi="Arial" w:hint="default"/>
      </w:rPr>
    </w:lvl>
    <w:lvl w:ilvl="8" w:tplc="85B63EA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2"/>
  </w:num>
  <w:num w:numId="3">
    <w:abstractNumId w:val="5"/>
  </w:num>
  <w:num w:numId="4">
    <w:abstractNumId w:val="18"/>
  </w:num>
  <w:num w:numId="5">
    <w:abstractNumId w:val="10"/>
  </w:num>
  <w:num w:numId="6">
    <w:abstractNumId w:val="16"/>
  </w:num>
  <w:num w:numId="7">
    <w:abstractNumId w:val="8"/>
  </w:num>
  <w:num w:numId="8">
    <w:abstractNumId w:val="14"/>
  </w:num>
  <w:num w:numId="9">
    <w:abstractNumId w:val="30"/>
  </w:num>
  <w:num w:numId="10">
    <w:abstractNumId w:val="33"/>
  </w:num>
  <w:num w:numId="11">
    <w:abstractNumId w:val="39"/>
  </w:num>
  <w:num w:numId="12">
    <w:abstractNumId w:val="22"/>
  </w:num>
  <w:num w:numId="13">
    <w:abstractNumId w:val="29"/>
  </w:num>
  <w:num w:numId="14">
    <w:abstractNumId w:val="0"/>
  </w:num>
  <w:num w:numId="15">
    <w:abstractNumId w:val="17"/>
  </w:num>
  <w:num w:numId="16">
    <w:abstractNumId w:val="4"/>
  </w:num>
  <w:num w:numId="17">
    <w:abstractNumId w:val="35"/>
  </w:num>
  <w:num w:numId="18">
    <w:abstractNumId w:val="26"/>
  </w:num>
  <w:num w:numId="19">
    <w:abstractNumId w:val="9"/>
  </w:num>
  <w:num w:numId="20">
    <w:abstractNumId w:val="31"/>
  </w:num>
  <w:num w:numId="21">
    <w:abstractNumId w:val="6"/>
  </w:num>
  <w:num w:numId="22">
    <w:abstractNumId w:val="19"/>
  </w:num>
  <w:num w:numId="23">
    <w:abstractNumId w:val="1"/>
  </w:num>
  <w:num w:numId="24">
    <w:abstractNumId w:val="24"/>
  </w:num>
  <w:num w:numId="25">
    <w:abstractNumId w:val="38"/>
  </w:num>
  <w:num w:numId="26">
    <w:abstractNumId w:val="37"/>
  </w:num>
  <w:num w:numId="27">
    <w:abstractNumId w:val="3"/>
  </w:num>
  <w:num w:numId="28">
    <w:abstractNumId w:val="20"/>
  </w:num>
  <w:num w:numId="29">
    <w:abstractNumId w:val="7"/>
  </w:num>
  <w:num w:numId="30">
    <w:abstractNumId w:val="27"/>
  </w:num>
  <w:num w:numId="31">
    <w:abstractNumId w:val="11"/>
  </w:num>
  <w:num w:numId="32">
    <w:abstractNumId w:val="36"/>
  </w:num>
  <w:num w:numId="33">
    <w:abstractNumId w:val="23"/>
  </w:num>
  <w:num w:numId="34">
    <w:abstractNumId w:val="13"/>
  </w:num>
  <w:num w:numId="35">
    <w:abstractNumId w:val="34"/>
  </w:num>
  <w:num w:numId="36">
    <w:abstractNumId w:val="28"/>
  </w:num>
  <w:num w:numId="37">
    <w:abstractNumId w:val="21"/>
  </w:num>
  <w:num w:numId="38">
    <w:abstractNumId w:val="12"/>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F1"/>
    <w:rsid w:val="0000341C"/>
    <w:rsid w:val="00004581"/>
    <w:rsid w:val="00004F1D"/>
    <w:rsid w:val="0001447C"/>
    <w:rsid w:val="00015DF6"/>
    <w:rsid w:val="00016507"/>
    <w:rsid w:val="00021767"/>
    <w:rsid w:val="00022F21"/>
    <w:rsid w:val="000240E7"/>
    <w:rsid w:val="00031392"/>
    <w:rsid w:val="000327B6"/>
    <w:rsid w:val="0003605D"/>
    <w:rsid w:val="000401CC"/>
    <w:rsid w:val="00041471"/>
    <w:rsid w:val="00041EB6"/>
    <w:rsid w:val="00046C06"/>
    <w:rsid w:val="00054012"/>
    <w:rsid w:val="000558D1"/>
    <w:rsid w:val="00055B82"/>
    <w:rsid w:val="00061815"/>
    <w:rsid w:val="00067BE2"/>
    <w:rsid w:val="00070BC2"/>
    <w:rsid w:val="00070ED1"/>
    <w:rsid w:val="00073F9A"/>
    <w:rsid w:val="0007522A"/>
    <w:rsid w:val="00075A68"/>
    <w:rsid w:val="00082D6E"/>
    <w:rsid w:val="00086B99"/>
    <w:rsid w:val="000928E8"/>
    <w:rsid w:val="00092CC7"/>
    <w:rsid w:val="00094158"/>
    <w:rsid w:val="00094F88"/>
    <w:rsid w:val="00096371"/>
    <w:rsid w:val="00096A3C"/>
    <w:rsid w:val="00097DF5"/>
    <w:rsid w:val="000A587A"/>
    <w:rsid w:val="000A61C0"/>
    <w:rsid w:val="000A714D"/>
    <w:rsid w:val="000A7B90"/>
    <w:rsid w:val="000B06BD"/>
    <w:rsid w:val="000B0943"/>
    <w:rsid w:val="000B483A"/>
    <w:rsid w:val="000B4F58"/>
    <w:rsid w:val="000B710D"/>
    <w:rsid w:val="000C3E3D"/>
    <w:rsid w:val="000C51F8"/>
    <w:rsid w:val="000C57AC"/>
    <w:rsid w:val="000C5A86"/>
    <w:rsid w:val="000C6A5E"/>
    <w:rsid w:val="000C7B58"/>
    <w:rsid w:val="000D136D"/>
    <w:rsid w:val="000D1381"/>
    <w:rsid w:val="000D44B8"/>
    <w:rsid w:val="000D79F6"/>
    <w:rsid w:val="000E0AA9"/>
    <w:rsid w:val="000E20B5"/>
    <w:rsid w:val="000E224F"/>
    <w:rsid w:val="000E23F3"/>
    <w:rsid w:val="000E381B"/>
    <w:rsid w:val="000E63D7"/>
    <w:rsid w:val="000E7FDC"/>
    <w:rsid w:val="000F33FA"/>
    <w:rsid w:val="000F5138"/>
    <w:rsid w:val="000F7EDD"/>
    <w:rsid w:val="000F7F2A"/>
    <w:rsid w:val="00103D6E"/>
    <w:rsid w:val="0010608F"/>
    <w:rsid w:val="00107C2F"/>
    <w:rsid w:val="00111851"/>
    <w:rsid w:val="00111CB6"/>
    <w:rsid w:val="0011419C"/>
    <w:rsid w:val="0011583A"/>
    <w:rsid w:val="0011604D"/>
    <w:rsid w:val="00121558"/>
    <w:rsid w:val="00121E27"/>
    <w:rsid w:val="0012227C"/>
    <w:rsid w:val="00123380"/>
    <w:rsid w:val="00123FA6"/>
    <w:rsid w:val="00125734"/>
    <w:rsid w:val="0012690F"/>
    <w:rsid w:val="00126928"/>
    <w:rsid w:val="00131EB3"/>
    <w:rsid w:val="00132274"/>
    <w:rsid w:val="0013532D"/>
    <w:rsid w:val="0013534F"/>
    <w:rsid w:val="00135F4C"/>
    <w:rsid w:val="001439CE"/>
    <w:rsid w:val="00145A49"/>
    <w:rsid w:val="00146B77"/>
    <w:rsid w:val="00152400"/>
    <w:rsid w:val="00152DC0"/>
    <w:rsid w:val="00153363"/>
    <w:rsid w:val="00153A3F"/>
    <w:rsid w:val="00154BF5"/>
    <w:rsid w:val="001552EA"/>
    <w:rsid w:val="00155960"/>
    <w:rsid w:val="001560AF"/>
    <w:rsid w:val="00157FB2"/>
    <w:rsid w:val="00160F2B"/>
    <w:rsid w:val="00165C13"/>
    <w:rsid w:val="00166356"/>
    <w:rsid w:val="001717B0"/>
    <w:rsid w:val="00171FF0"/>
    <w:rsid w:val="00172A31"/>
    <w:rsid w:val="00174D57"/>
    <w:rsid w:val="00175EDA"/>
    <w:rsid w:val="00177BCD"/>
    <w:rsid w:val="00180DC9"/>
    <w:rsid w:val="00184445"/>
    <w:rsid w:val="00185E3A"/>
    <w:rsid w:val="00186A4E"/>
    <w:rsid w:val="00187778"/>
    <w:rsid w:val="00190516"/>
    <w:rsid w:val="00195209"/>
    <w:rsid w:val="00195898"/>
    <w:rsid w:val="001A0A84"/>
    <w:rsid w:val="001A1791"/>
    <w:rsid w:val="001A1EA5"/>
    <w:rsid w:val="001A2783"/>
    <w:rsid w:val="001A3830"/>
    <w:rsid w:val="001A4121"/>
    <w:rsid w:val="001A421B"/>
    <w:rsid w:val="001A4F66"/>
    <w:rsid w:val="001B0AE0"/>
    <w:rsid w:val="001B2753"/>
    <w:rsid w:val="001B2B15"/>
    <w:rsid w:val="001C00F8"/>
    <w:rsid w:val="001C1280"/>
    <w:rsid w:val="001C3064"/>
    <w:rsid w:val="001C44BF"/>
    <w:rsid w:val="001C4634"/>
    <w:rsid w:val="001C59E5"/>
    <w:rsid w:val="001C799D"/>
    <w:rsid w:val="001C7BF8"/>
    <w:rsid w:val="001D0BC1"/>
    <w:rsid w:val="001D110D"/>
    <w:rsid w:val="001D178D"/>
    <w:rsid w:val="001D2436"/>
    <w:rsid w:val="001D4F54"/>
    <w:rsid w:val="001D6820"/>
    <w:rsid w:val="001D743F"/>
    <w:rsid w:val="001E04F8"/>
    <w:rsid w:val="001E3411"/>
    <w:rsid w:val="001E5159"/>
    <w:rsid w:val="001E56AC"/>
    <w:rsid w:val="001F1856"/>
    <w:rsid w:val="001F1C57"/>
    <w:rsid w:val="001F3157"/>
    <w:rsid w:val="001F6CEC"/>
    <w:rsid w:val="0020098C"/>
    <w:rsid w:val="00201314"/>
    <w:rsid w:val="002038A7"/>
    <w:rsid w:val="00205BBA"/>
    <w:rsid w:val="00211B7A"/>
    <w:rsid w:val="00211C62"/>
    <w:rsid w:val="0021246F"/>
    <w:rsid w:val="0021291F"/>
    <w:rsid w:val="00212E54"/>
    <w:rsid w:val="0021722D"/>
    <w:rsid w:val="00217E2C"/>
    <w:rsid w:val="00220DFF"/>
    <w:rsid w:val="002223AF"/>
    <w:rsid w:val="002257A4"/>
    <w:rsid w:val="00231F86"/>
    <w:rsid w:val="00232A0A"/>
    <w:rsid w:val="00234DE8"/>
    <w:rsid w:val="002359A0"/>
    <w:rsid w:val="00236A4E"/>
    <w:rsid w:val="00237293"/>
    <w:rsid w:val="0023798B"/>
    <w:rsid w:val="00237F91"/>
    <w:rsid w:val="00241785"/>
    <w:rsid w:val="002420D6"/>
    <w:rsid w:val="00244350"/>
    <w:rsid w:val="002452A0"/>
    <w:rsid w:val="0024545F"/>
    <w:rsid w:val="00246003"/>
    <w:rsid w:val="002506A8"/>
    <w:rsid w:val="002506BF"/>
    <w:rsid w:val="0025088F"/>
    <w:rsid w:val="00255C17"/>
    <w:rsid w:val="00257AFF"/>
    <w:rsid w:val="00262720"/>
    <w:rsid w:val="00262A23"/>
    <w:rsid w:val="00267A2C"/>
    <w:rsid w:val="00267B25"/>
    <w:rsid w:val="0027037A"/>
    <w:rsid w:val="00272002"/>
    <w:rsid w:val="002731F3"/>
    <w:rsid w:val="00274565"/>
    <w:rsid w:val="0028017D"/>
    <w:rsid w:val="00281353"/>
    <w:rsid w:val="0028142A"/>
    <w:rsid w:val="00282260"/>
    <w:rsid w:val="002826D7"/>
    <w:rsid w:val="0028318C"/>
    <w:rsid w:val="002852B0"/>
    <w:rsid w:val="00285940"/>
    <w:rsid w:val="002875CF"/>
    <w:rsid w:val="00290A76"/>
    <w:rsid w:val="00290E26"/>
    <w:rsid w:val="002917FD"/>
    <w:rsid w:val="00291EA5"/>
    <w:rsid w:val="0029232F"/>
    <w:rsid w:val="00296418"/>
    <w:rsid w:val="002967B8"/>
    <w:rsid w:val="0029706B"/>
    <w:rsid w:val="002A1EBC"/>
    <w:rsid w:val="002A24A0"/>
    <w:rsid w:val="002A3EA2"/>
    <w:rsid w:val="002A3EB5"/>
    <w:rsid w:val="002A5D2D"/>
    <w:rsid w:val="002A5EC3"/>
    <w:rsid w:val="002B0756"/>
    <w:rsid w:val="002B0EAC"/>
    <w:rsid w:val="002B131F"/>
    <w:rsid w:val="002B1866"/>
    <w:rsid w:val="002B19D7"/>
    <w:rsid w:val="002B362D"/>
    <w:rsid w:val="002B5C84"/>
    <w:rsid w:val="002C0065"/>
    <w:rsid w:val="002C30B8"/>
    <w:rsid w:val="002C6C19"/>
    <w:rsid w:val="002C6D63"/>
    <w:rsid w:val="002C6E53"/>
    <w:rsid w:val="002C7BBA"/>
    <w:rsid w:val="002D70EB"/>
    <w:rsid w:val="002E096A"/>
    <w:rsid w:val="002E0C66"/>
    <w:rsid w:val="002E1071"/>
    <w:rsid w:val="002E22A7"/>
    <w:rsid w:val="002E2E22"/>
    <w:rsid w:val="002E3222"/>
    <w:rsid w:val="002F1964"/>
    <w:rsid w:val="002F253C"/>
    <w:rsid w:val="002F3262"/>
    <w:rsid w:val="002F565E"/>
    <w:rsid w:val="0030087A"/>
    <w:rsid w:val="00303596"/>
    <w:rsid w:val="003042BA"/>
    <w:rsid w:val="00305652"/>
    <w:rsid w:val="00307092"/>
    <w:rsid w:val="00307DE2"/>
    <w:rsid w:val="00312DC8"/>
    <w:rsid w:val="0031532B"/>
    <w:rsid w:val="00316076"/>
    <w:rsid w:val="00316719"/>
    <w:rsid w:val="00320998"/>
    <w:rsid w:val="00321DD4"/>
    <w:rsid w:val="00322722"/>
    <w:rsid w:val="00322F82"/>
    <w:rsid w:val="00323A3A"/>
    <w:rsid w:val="00324F2C"/>
    <w:rsid w:val="00325350"/>
    <w:rsid w:val="00325CD8"/>
    <w:rsid w:val="00326EA7"/>
    <w:rsid w:val="00330D7E"/>
    <w:rsid w:val="00331E0A"/>
    <w:rsid w:val="0033297A"/>
    <w:rsid w:val="003343A2"/>
    <w:rsid w:val="0033579B"/>
    <w:rsid w:val="00341ED3"/>
    <w:rsid w:val="00342838"/>
    <w:rsid w:val="00344D23"/>
    <w:rsid w:val="003467DF"/>
    <w:rsid w:val="003478CC"/>
    <w:rsid w:val="00347BA8"/>
    <w:rsid w:val="00350503"/>
    <w:rsid w:val="0035130D"/>
    <w:rsid w:val="00355B3E"/>
    <w:rsid w:val="003568D5"/>
    <w:rsid w:val="00357EEA"/>
    <w:rsid w:val="00361AFE"/>
    <w:rsid w:val="00362925"/>
    <w:rsid w:val="00363E20"/>
    <w:rsid w:val="0036415D"/>
    <w:rsid w:val="003643B9"/>
    <w:rsid w:val="00365AB9"/>
    <w:rsid w:val="00365DC8"/>
    <w:rsid w:val="00370A44"/>
    <w:rsid w:val="00371338"/>
    <w:rsid w:val="003729F1"/>
    <w:rsid w:val="00374E67"/>
    <w:rsid w:val="00380BC2"/>
    <w:rsid w:val="00382AAD"/>
    <w:rsid w:val="0038454D"/>
    <w:rsid w:val="00384E23"/>
    <w:rsid w:val="0038602D"/>
    <w:rsid w:val="003903B6"/>
    <w:rsid w:val="00391082"/>
    <w:rsid w:val="00391677"/>
    <w:rsid w:val="00391867"/>
    <w:rsid w:val="0039226A"/>
    <w:rsid w:val="0039330A"/>
    <w:rsid w:val="00395E9A"/>
    <w:rsid w:val="00396195"/>
    <w:rsid w:val="003A30E5"/>
    <w:rsid w:val="003A64C4"/>
    <w:rsid w:val="003A7703"/>
    <w:rsid w:val="003A7C40"/>
    <w:rsid w:val="003B39BF"/>
    <w:rsid w:val="003B4665"/>
    <w:rsid w:val="003B4E6D"/>
    <w:rsid w:val="003B61E6"/>
    <w:rsid w:val="003B75DC"/>
    <w:rsid w:val="003B7953"/>
    <w:rsid w:val="003C38D0"/>
    <w:rsid w:val="003C4ADD"/>
    <w:rsid w:val="003C5EF3"/>
    <w:rsid w:val="003C63D8"/>
    <w:rsid w:val="003C6F9D"/>
    <w:rsid w:val="003D100A"/>
    <w:rsid w:val="003D49E3"/>
    <w:rsid w:val="003D4C6C"/>
    <w:rsid w:val="003D5B5D"/>
    <w:rsid w:val="003D66DD"/>
    <w:rsid w:val="003D7AB5"/>
    <w:rsid w:val="003E04A7"/>
    <w:rsid w:val="003E0909"/>
    <w:rsid w:val="003E3BD8"/>
    <w:rsid w:val="003E45E3"/>
    <w:rsid w:val="003E6E5A"/>
    <w:rsid w:val="003E7DC2"/>
    <w:rsid w:val="003F07A1"/>
    <w:rsid w:val="003F0B0B"/>
    <w:rsid w:val="003F13E6"/>
    <w:rsid w:val="003F41A9"/>
    <w:rsid w:val="003F475B"/>
    <w:rsid w:val="00403BC0"/>
    <w:rsid w:val="00407101"/>
    <w:rsid w:val="00407AB0"/>
    <w:rsid w:val="00412681"/>
    <w:rsid w:val="00413A9A"/>
    <w:rsid w:val="004147F5"/>
    <w:rsid w:val="00414969"/>
    <w:rsid w:val="0041582E"/>
    <w:rsid w:val="00416981"/>
    <w:rsid w:val="004211E1"/>
    <w:rsid w:val="0042265B"/>
    <w:rsid w:val="004228D5"/>
    <w:rsid w:val="00424FC8"/>
    <w:rsid w:val="0043399E"/>
    <w:rsid w:val="004421D5"/>
    <w:rsid w:val="00443771"/>
    <w:rsid w:val="00444283"/>
    <w:rsid w:val="00444C44"/>
    <w:rsid w:val="0045034F"/>
    <w:rsid w:val="0045119F"/>
    <w:rsid w:val="00451487"/>
    <w:rsid w:val="00452EB2"/>
    <w:rsid w:val="00453DA7"/>
    <w:rsid w:val="004633BA"/>
    <w:rsid w:val="00463FE3"/>
    <w:rsid w:val="00464936"/>
    <w:rsid w:val="004656F1"/>
    <w:rsid w:val="00465E5E"/>
    <w:rsid w:val="0046605F"/>
    <w:rsid w:val="004674CB"/>
    <w:rsid w:val="00467B3C"/>
    <w:rsid w:val="00467DC1"/>
    <w:rsid w:val="00470F45"/>
    <w:rsid w:val="004748CC"/>
    <w:rsid w:val="0047559E"/>
    <w:rsid w:val="0047632E"/>
    <w:rsid w:val="004775EB"/>
    <w:rsid w:val="00486964"/>
    <w:rsid w:val="0049068A"/>
    <w:rsid w:val="0049183C"/>
    <w:rsid w:val="00491900"/>
    <w:rsid w:val="00491933"/>
    <w:rsid w:val="0049392F"/>
    <w:rsid w:val="00494962"/>
    <w:rsid w:val="00495FF8"/>
    <w:rsid w:val="00497D03"/>
    <w:rsid w:val="004A4BCC"/>
    <w:rsid w:val="004A4E22"/>
    <w:rsid w:val="004B0666"/>
    <w:rsid w:val="004B0706"/>
    <w:rsid w:val="004B110B"/>
    <w:rsid w:val="004B6FFC"/>
    <w:rsid w:val="004C0D0D"/>
    <w:rsid w:val="004C2522"/>
    <w:rsid w:val="004C351A"/>
    <w:rsid w:val="004C660D"/>
    <w:rsid w:val="004D0669"/>
    <w:rsid w:val="004D15BA"/>
    <w:rsid w:val="004D3220"/>
    <w:rsid w:val="004D7B08"/>
    <w:rsid w:val="004D7FC1"/>
    <w:rsid w:val="004E0CF8"/>
    <w:rsid w:val="004E1A53"/>
    <w:rsid w:val="004E24B4"/>
    <w:rsid w:val="004E2563"/>
    <w:rsid w:val="004E34CE"/>
    <w:rsid w:val="004E3755"/>
    <w:rsid w:val="004E4458"/>
    <w:rsid w:val="004E49F6"/>
    <w:rsid w:val="004E5E1D"/>
    <w:rsid w:val="004E69F1"/>
    <w:rsid w:val="004E7C61"/>
    <w:rsid w:val="004F0C44"/>
    <w:rsid w:val="004F25C3"/>
    <w:rsid w:val="004F29FC"/>
    <w:rsid w:val="004F559D"/>
    <w:rsid w:val="004F663E"/>
    <w:rsid w:val="004F73EE"/>
    <w:rsid w:val="004F782C"/>
    <w:rsid w:val="005009B5"/>
    <w:rsid w:val="0050102E"/>
    <w:rsid w:val="00501352"/>
    <w:rsid w:val="00502A56"/>
    <w:rsid w:val="00502B96"/>
    <w:rsid w:val="00502CE5"/>
    <w:rsid w:val="00506064"/>
    <w:rsid w:val="0050774F"/>
    <w:rsid w:val="00511142"/>
    <w:rsid w:val="00513E1F"/>
    <w:rsid w:val="00514163"/>
    <w:rsid w:val="00514FD0"/>
    <w:rsid w:val="005150FF"/>
    <w:rsid w:val="00516708"/>
    <w:rsid w:val="00522CA8"/>
    <w:rsid w:val="00522E44"/>
    <w:rsid w:val="00523CA4"/>
    <w:rsid w:val="00525D29"/>
    <w:rsid w:val="00527E40"/>
    <w:rsid w:val="005303ED"/>
    <w:rsid w:val="0053050E"/>
    <w:rsid w:val="00533A9D"/>
    <w:rsid w:val="0053607B"/>
    <w:rsid w:val="00536493"/>
    <w:rsid w:val="00537B2F"/>
    <w:rsid w:val="00547B81"/>
    <w:rsid w:val="00553BAE"/>
    <w:rsid w:val="00553E95"/>
    <w:rsid w:val="005552F2"/>
    <w:rsid w:val="00557D62"/>
    <w:rsid w:val="00560BA2"/>
    <w:rsid w:val="00563E43"/>
    <w:rsid w:val="00563F6A"/>
    <w:rsid w:val="00564053"/>
    <w:rsid w:val="00564D84"/>
    <w:rsid w:val="00565DB2"/>
    <w:rsid w:val="0057361B"/>
    <w:rsid w:val="005740FC"/>
    <w:rsid w:val="00574591"/>
    <w:rsid w:val="00576035"/>
    <w:rsid w:val="00581AFB"/>
    <w:rsid w:val="0058345E"/>
    <w:rsid w:val="00585C4D"/>
    <w:rsid w:val="0058798F"/>
    <w:rsid w:val="0059520B"/>
    <w:rsid w:val="005A028B"/>
    <w:rsid w:val="005A4250"/>
    <w:rsid w:val="005A5F27"/>
    <w:rsid w:val="005A6C84"/>
    <w:rsid w:val="005B356C"/>
    <w:rsid w:val="005B3E39"/>
    <w:rsid w:val="005B4AD0"/>
    <w:rsid w:val="005B54A4"/>
    <w:rsid w:val="005B60F1"/>
    <w:rsid w:val="005C0205"/>
    <w:rsid w:val="005C3C05"/>
    <w:rsid w:val="005C5081"/>
    <w:rsid w:val="005D16E0"/>
    <w:rsid w:val="005D1836"/>
    <w:rsid w:val="005D376A"/>
    <w:rsid w:val="005D3876"/>
    <w:rsid w:val="005D4308"/>
    <w:rsid w:val="005D721D"/>
    <w:rsid w:val="005D7AF2"/>
    <w:rsid w:val="005E2C7C"/>
    <w:rsid w:val="005E31CA"/>
    <w:rsid w:val="005E47A8"/>
    <w:rsid w:val="005E54F2"/>
    <w:rsid w:val="005E5CCA"/>
    <w:rsid w:val="005E60CC"/>
    <w:rsid w:val="005E72D7"/>
    <w:rsid w:val="005E7B83"/>
    <w:rsid w:val="005F05A1"/>
    <w:rsid w:val="005F242E"/>
    <w:rsid w:val="005F2E64"/>
    <w:rsid w:val="005F435F"/>
    <w:rsid w:val="005F6097"/>
    <w:rsid w:val="00602B93"/>
    <w:rsid w:val="00602F59"/>
    <w:rsid w:val="00604AC2"/>
    <w:rsid w:val="00611DBE"/>
    <w:rsid w:val="00612298"/>
    <w:rsid w:val="00614EA5"/>
    <w:rsid w:val="00614FA8"/>
    <w:rsid w:val="00615656"/>
    <w:rsid w:val="006161D5"/>
    <w:rsid w:val="00616512"/>
    <w:rsid w:val="006206D5"/>
    <w:rsid w:val="0062374C"/>
    <w:rsid w:val="00624CAB"/>
    <w:rsid w:val="006265B6"/>
    <w:rsid w:val="006268DE"/>
    <w:rsid w:val="00631DC1"/>
    <w:rsid w:val="0063390C"/>
    <w:rsid w:val="006351CD"/>
    <w:rsid w:val="00636F8F"/>
    <w:rsid w:val="00636FCE"/>
    <w:rsid w:val="00637376"/>
    <w:rsid w:val="00644BC2"/>
    <w:rsid w:val="00645A4E"/>
    <w:rsid w:val="00646D41"/>
    <w:rsid w:val="006514BC"/>
    <w:rsid w:val="00654D56"/>
    <w:rsid w:val="0065532B"/>
    <w:rsid w:val="00655B82"/>
    <w:rsid w:val="006571F9"/>
    <w:rsid w:val="0065722C"/>
    <w:rsid w:val="00657727"/>
    <w:rsid w:val="006626C1"/>
    <w:rsid w:val="00663337"/>
    <w:rsid w:val="0066455D"/>
    <w:rsid w:val="00665080"/>
    <w:rsid w:val="00670576"/>
    <w:rsid w:val="00673CE4"/>
    <w:rsid w:val="006745A7"/>
    <w:rsid w:val="00675156"/>
    <w:rsid w:val="00675C09"/>
    <w:rsid w:val="00681133"/>
    <w:rsid w:val="006836B6"/>
    <w:rsid w:val="006868AC"/>
    <w:rsid w:val="00687FF4"/>
    <w:rsid w:val="006906F9"/>
    <w:rsid w:val="0069193E"/>
    <w:rsid w:val="006930E5"/>
    <w:rsid w:val="006937FF"/>
    <w:rsid w:val="006A02C4"/>
    <w:rsid w:val="006A0EF0"/>
    <w:rsid w:val="006A4326"/>
    <w:rsid w:val="006A5CED"/>
    <w:rsid w:val="006B3113"/>
    <w:rsid w:val="006B493D"/>
    <w:rsid w:val="006B5AE6"/>
    <w:rsid w:val="006B77E3"/>
    <w:rsid w:val="006C10F0"/>
    <w:rsid w:val="006C30D7"/>
    <w:rsid w:val="006C47FA"/>
    <w:rsid w:val="006C5678"/>
    <w:rsid w:val="006C58A4"/>
    <w:rsid w:val="006C5F1C"/>
    <w:rsid w:val="006C7A89"/>
    <w:rsid w:val="006D7627"/>
    <w:rsid w:val="006D7E97"/>
    <w:rsid w:val="006E110E"/>
    <w:rsid w:val="006E1733"/>
    <w:rsid w:val="006E6DD7"/>
    <w:rsid w:val="006E753C"/>
    <w:rsid w:val="006E7A10"/>
    <w:rsid w:val="006F2E70"/>
    <w:rsid w:val="006F4D08"/>
    <w:rsid w:val="006F561E"/>
    <w:rsid w:val="006F588D"/>
    <w:rsid w:val="006F6555"/>
    <w:rsid w:val="006F7799"/>
    <w:rsid w:val="007016F5"/>
    <w:rsid w:val="007104CC"/>
    <w:rsid w:val="00711024"/>
    <w:rsid w:val="00711F10"/>
    <w:rsid w:val="0071333D"/>
    <w:rsid w:val="007139F5"/>
    <w:rsid w:val="007176D6"/>
    <w:rsid w:val="007207D9"/>
    <w:rsid w:val="0072344E"/>
    <w:rsid w:val="00725963"/>
    <w:rsid w:val="00730B71"/>
    <w:rsid w:val="00730EF9"/>
    <w:rsid w:val="00735CD6"/>
    <w:rsid w:val="007367CF"/>
    <w:rsid w:val="00736804"/>
    <w:rsid w:val="00736919"/>
    <w:rsid w:val="00737015"/>
    <w:rsid w:val="007442CF"/>
    <w:rsid w:val="00744741"/>
    <w:rsid w:val="007469CA"/>
    <w:rsid w:val="00747BCA"/>
    <w:rsid w:val="00751410"/>
    <w:rsid w:val="0075212A"/>
    <w:rsid w:val="0075354A"/>
    <w:rsid w:val="00753C78"/>
    <w:rsid w:val="007557B9"/>
    <w:rsid w:val="00760855"/>
    <w:rsid w:val="00761973"/>
    <w:rsid w:val="00761C98"/>
    <w:rsid w:val="00761CEF"/>
    <w:rsid w:val="0076267B"/>
    <w:rsid w:val="0076422B"/>
    <w:rsid w:val="0076558D"/>
    <w:rsid w:val="00766FC4"/>
    <w:rsid w:val="00767121"/>
    <w:rsid w:val="00767B3C"/>
    <w:rsid w:val="007726EC"/>
    <w:rsid w:val="00775D81"/>
    <w:rsid w:val="00780DA7"/>
    <w:rsid w:val="007833FE"/>
    <w:rsid w:val="0078465C"/>
    <w:rsid w:val="007854C2"/>
    <w:rsid w:val="00787B59"/>
    <w:rsid w:val="0079161F"/>
    <w:rsid w:val="00792124"/>
    <w:rsid w:val="00793000"/>
    <w:rsid w:val="00797705"/>
    <w:rsid w:val="007A1A2E"/>
    <w:rsid w:val="007A1A8B"/>
    <w:rsid w:val="007A2CF1"/>
    <w:rsid w:val="007A37CD"/>
    <w:rsid w:val="007A3BB4"/>
    <w:rsid w:val="007A462C"/>
    <w:rsid w:val="007A6083"/>
    <w:rsid w:val="007A787A"/>
    <w:rsid w:val="007B13F4"/>
    <w:rsid w:val="007B496D"/>
    <w:rsid w:val="007B5AEF"/>
    <w:rsid w:val="007B5E7F"/>
    <w:rsid w:val="007B7054"/>
    <w:rsid w:val="007C18A0"/>
    <w:rsid w:val="007C2255"/>
    <w:rsid w:val="007D07F9"/>
    <w:rsid w:val="007D52A0"/>
    <w:rsid w:val="007D641D"/>
    <w:rsid w:val="007D6505"/>
    <w:rsid w:val="007D66F9"/>
    <w:rsid w:val="007D6D36"/>
    <w:rsid w:val="007E0B38"/>
    <w:rsid w:val="007E0FBE"/>
    <w:rsid w:val="007E4291"/>
    <w:rsid w:val="007E43E3"/>
    <w:rsid w:val="007F190E"/>
    <w:rsid w:val="007F3598"/>
    <w:rsid w:val="007F3CCD"/>
    <w:rsid w:val="007F4093"/>
    <w:rsid w:val="007F5391"/>
    <w:rsid w:val="007F5453"/>
    <w:rsid w:val="00801CB2"/>
    <w:rsid w:val="008051BB"/>
    <w:rsid w:val="00807EB0"/>
    <w:rsid w:val="0081688E"/>
    <w:rsid w:val="00816D08"/>
    <w:rsid w:val="00816DBC"/>
    <w:rsid w:val="0081794C"/>
    <w:rsid w:val="008222F5"/>
    <w:rsid w:val="0082692A"/>
    <w:rsid w:val="0083076A"/>
    <w:rsid w:val="00830921"/>
    <w:rsid w:val="00832DB3"/>
    <w:rsid w:val="00833172"/>
    <w:rsid w:val="008341F5"/>
    <w:rsid w:val="00834717"/>
    <w:rsid w:val="00835207"/>
    <w:rsid w:val="00837F4C"/>
    <w:rsid w:val="008412A4"/>
    <w:rsid w:val="008430A5"/>
    <w:rsid w:val="00843C34"/>
    <w:rsid w:val="00843CBC"/>
    <w:rsid w:val="00852F96"/>
    <w:rsid w:val="00857FBF"/>
    <w:rsid w:val="008604B2"/>
    <w:rsid w:val="00861495"/>
    <w:rsid w:val="0086295E"/>
    <w:rsid w:val="00862A40"/>
    <w:rsid w:val="00863E38"/>
    <w:rsid w:val="00865D2A"/>
    <w:rsid w:val="00872F74"/>
    <w:rsid w:val="008737F8"/>
    <w:rsid w:val="00873A18"/>
    <w:rsid w:val="0087414C"/>
    <w:rsid w:val="00874881"/>
    <w:rsid w:val="00877F3F"/>
    <w:rsid w:val="008808B7"/>
    <w:rsid w:val="0088281F"/>
    <w:rsid w:val="00882A3B"/>
    <w:rsid w:val="00882A8D"/>
    <w:rsid w:val="00882AB2"/>
    <w:rsid w:val="00883829"/>
    <w:rsid w:val="00885070"/>
    <w:rsid w:val="008850F7"/>
    <w:rsid w:val="008870BC"/>
    <w:rsid w:val="00891B75"/>
    <w:rsid w:val="00892E8E"/>
    <w:rsid w:val="008936A2"/>
    <w:rsid w:val="00893AED"/>
    <w:rsid w:val="008940A8"/>
    <w:rsid w:val="008A653A"/>
    <w:rsid w:val="008A7183"/>
    <w:rsid w:val="008B01A5"/>
    <w:rsid w:val="008B3E28"/>
    <w:rsid w:val="008B47DB"/>
    <w:rsid w:val="008B5C4D"/>
    <w:rsid w:val="008C11D4"/>
    <w:rsid w:val="008C1957"/>
    <w:rsid w:val="008C2A56"/>
    <w:rsid w:val="008C783D"/>
    <w:rsid w:val="008D1C85"/>
    <w:rsid w:val="008D3B7C"/>
    <w:rsid w:val="008D66FC"/>
    <w:rsid w:val="008D6DA2"/>
    <w:rsid w:val="008E0013"/>
    <w:rsid w:val="008E265F"/>
    <w:rsid w:val="008E68BD"/>
    <w:rsid w:val="008E6D7E"/>
    <w:rsid w:val="008E7345"/>
    <w:rsid w:val="008F009B"/>
    <w:rsid w:val="008F00AF"/>
    <w:rsid w:val="008F21B3"/>
    <w:rsid w:val="008F37D7"/>
    <w:rsid w:val="008F4875"/>
    <w:rsid w:val="008F7B81"/>
    <w:rsid w:val="00901A26"/>
    <w:rsid w:val="0090342D"/>
    <w:rsid w:val="00906412"/>
    <w:rsid w:val="0090650C"/>
    <w:rsid w:val="00912FD6"/>
    <w:rsid w:val="00920596"/>
    <w:rsid w:val="00923200"/>
    <w:rsid w:val="00923F5D"/>
    <w:rsid w:val="00924E66"/>
    <w:rsid w:val="00925E2E"/>
    <w:rsid w:val="009307EF"/>
    <w:rsid w:val="009368A1"/>
    <w:rsid w:val="0093710E"/>
    <w:rsid w:val="0093765B"/>
    <w:rsid w:val="00942DCB"/>
    <w:rsid w:val="00945B3F"/>
    <w:rsid w:val="009473DC"/>
    <w:rsid w:val="0094796A"/>
    <w:rsid w:val="0095032D"/>
    <w:rsid w:val="00950689"/>
    <w:rsid w:val="009517AD"/>
    <w:rsid w:val="00951A96"/>
    <w:rsid w:val="00951EB2"/>
    <w:rsid w:val="00953143"/>
    <w:rsid w:val="00955613"/>
    <w:rsid w:val="0096001E"/>
    <w:rsid w:val="00964B78"/>
    <w:rsid w:val="00967679"/>
    <w:rsid w:val="00967FA9"/>
    <w:rsid w:val="0098078C"/>
    <w:rsid w:val="009821D2"/>
    <w:rsid w:val="0098244D"/>
    <w:rsid w:val="0098263B"/>
    <w:rsid w:val="00982BB1"/>
    <w:rsid w:val="00983D66"/>
    <w:rsid w:val="00984BFB"/>
    <w:rsid w:val="00985649"/>
    <w:rsid w:val="00991581"/>
    <w:rsid w:val="0099224D"/>
    <w:rsid w:val="009971D5"/>
    <w:rsid w:val="00997D71"/>
    <w:rsid w:val="009A06B0"/>
    <w:rsid w:val="009A1BB2"/>
    <w:rsid w:val="009A4794"/>
    <w:rsid w:val="009A6E95"/>
    <w:rsid w:val="009B076E"/>
    <w:rsid w:val="009B14FA"/>
    <w:rsid w:val="009B2411"/>
    <w:rsid w:val="009B382F"/>
    <w:rsid w:val="009B5547"/>
    <w:rsid w:val="009B640F"/>
    <w:rsid w:val="009B6A24"/>
    <w:rsid w:val="009C42D1"/>
    <w:rsid w:val="009C7AE4"/>
    <w:rsid w:val="009D2244"/>
    <w:rsid w:val="009D2D29"/>
    <w:rsid w:val="009D440A"/>
    <w:rsid w:val="009D4B14"/>
    <w:rsid w:val="009D7D02"/>
    <w:rsid w:val="009E0DAB"/>
    <w:rsid w:val="009E1FD1"/>
    <w:rsid w:val="009E297B"/>
    <w:rsid w:val="009E3344"/>
    <w:rsid w:val="009E3D6C"/>
    <w:rsid w:val="009E4E37"/>
    <w:rsid w:val="009E5CF4"/>
    <w:rsid w:val="009E5D0F"/>
    <w:rsid w:val="009E636A"/>
    <w:rsid w:val="009E687D"/>
    <w:rsid w:val="009F14E4"/>
    <w:rsid w:val="009F28FF"/>
    <w:rsid w:val="009F3530"/>
    <w:rsid w:val="009F4FEF"/>
    <w:rsid w:val="009F5E65"/>
    <w:rsid w:val="009F5F7A"/>
    <w:rsid w:val="009F600B"/>
    <w:rsid w:val="009F6E9B"/>
    <w:rsid w:val="009F7CB3"/>
    <w:rsid w:val="00A02C8E"/>
    <w:rsid w:val="00A048E6"/>
    <w:rsid w:val="00A04D6C"/>
    <w:rsid w:val="00A064BB"/>
    <w:rsid w:val="00A12180"/>
    <w:rsid w:val="00A13642"/>
    <w:rsid w:val="00A14175"/>
    <w:rsid w:val="00A14F22"/>
    <w:rsid w:val="00A1572A"/>
    <w:rsid w:val="00A16719"/>
    <w:rsid w:val="00A169F8"/>
    <w:rsid w:val="00A202F0"/>
    <w:rsid w:val="00A22FA2"/>
    <w:rsid w:val="00A25E71"/>
    <w:rsid w:val="00A316CE"/>
    <w:rsid w:val="00A324CB"/>
    <w:rsid w:val="00A325B1"/>
    <w:rsid w:val="00A32A66"/>
    <w:rsid w:val="00A32C0F"/>
    <w:rsid w:val="00A33C9F"/>
    <w:rsid w:val="00A400D7"/>
    <w:rsid w:val="00A41235"/>
    <w:rsid w:val="00A4664D"/>
    <w:rsid w:val="00A51AB2"/>
    <w:rsid w:val="00A551A8"/>
    <w:rsid w:val="00A551CF"/>
    <w:rsid w:val="00A5621B"/>
    <w:rsid w:val="00A60077"/>
    <w:rsid w:val="00A603C9"/>
    <w:rsid w:val="00A6445F"/>
    <w:rsid w:val="00A67A7E"/>
    <w:rsid w:val="00A71D54"/>
    <w:rsid w:val="00A812F9"/>
    <w:rsid w:val="00A81CE4"/>
    <w:rsid w:val="00A84A85"/>
    <w:rsid w:val="00A85200"/>
    <w:rsid w:val="00A859D2"/>
    <w:rsid w:val="00A85BD8"/>
    <w:rsid w:val="00A86513"/>
    <w:rsid w:val="00A87CC7"/>
    <w:rsid w:val="00A90D10"/>
    <w:rsid w:val="00A94ACC"/>
    <w:rsid w:val="00A9736C"/>
    <w:rsid w:val="00AA0F1B"/>
    <w:rsid w:val="00AA2662"/>
    <w:rsid w:val="00AA5F58"/>
    <w:rsid w:val="00AA6A0D"/>
    <w:rsid w:val="00AB2704"/>
    <w:rsid w:val="00AB3EA5"/>
    <w:rsid w:val="00AB476F"/>
    <w:rsid w:val="00AB4DD6"/>
    <w:rsid w:val="00AB5EFE"/>
    <w:rsid w:val="00AB70EF"/>
    <w:rsid w:val="00AC2674"/>
    <w:rsid w:val="00AC27A9"/>
    <w:rsid w:val="00AC2EE9"/>
    <w:rsid w:val="00AC3C72"/>
    <w:rsid w:val="00AC6932"/>
    <w:rsid w:val="00AD0797"/>
    <w:rsid w:val="00AD38BA"/>
    <w:rsid w:val="00AD698D"/>
    <w:rsid w:val="00AD7642"/>
    <w:rsid w:val="00AD7CF1"/>
    <w:rsid w:val="00AE0328"/>
    <w:rsid w:val="00AE5990"/>
    <w:rsid w:val="00AE79AA"/>
    <w:rsid w:val="00AF03FB"/>
    <w:rsid w:val="00AF1066"/>
    <w:rsid w:val="00AF1C2B"/>
    <w:rsid w:val="00AF250C"/>
    <w:rsid w:val="00AF3966"/>
    <w:rsid w:val="00AF43A0"/>
    <w:rsid w:val="00B01DCC"/>
    <w:rsid w:val="00B0302C"/>
    <w:rsid w:val="00B03659"/>
    <w:rsid w:val="00B05732"/>
    <w:rsid w:val="00B06641"/>
    <w:rsid w:val="00B1017D"/>
    <w:rsid w:val="00B1376D"/>
    <w:rsid w:val="00B1402A"/>
    <w:rsid w:val="00B14904"/>
    <w:rsid w:val="00B1558F"/>
    <w:rsid w:val="00B16E35"/>
    <w:rsid w:val="00B20C4D"/>
    <w:rsid w:val="00B26D3A"/>
    <w:rsid w:val="00B3069D"/>
    <w:rsid w:val="00B33AE5"/>
    <w:rsid w:val="00B35304"/>
    <w:rsid w:val="00B368B6"/>
    <w:rsid w:val="00B43C7D"/>
    <w:rsid w:val="00B46557"/>
    <w:rsid w:val="00B466B8"/>
    <w:rsid w:val="00B53B4B"/>
    <w:rsid w:val="00B53F6A"/>
    <w:rsid w:val="00B563DE"/>
    <w:rsid w:val="00B570D7"/>
    <w:rsid w:val="00B60059"/>
    <w:rsid w:val="00B605A0"/>
    <w:rsid w:val="00B6110C"/>
    <w:rsid w:val="00B61785"/>
    <w:rsid w:val="00B619A1"/>
    <w:rsid w:val="00B62CBC"/>
    <w:rsid w:val="00B650BD"/>
    <w:rsid w:val="00B65C7D"/>
    <w:rsid w:val="00B6765C"/>
    <w:rsid w:val="00B734F2"/>
    <w:rsid w:val="00B8446B"/>
    <w:rsid w:val="00B869B4"/>
    <w:rsid w:val="00B902B1"/>
    <w:rsid w:val="00B92DD5"/>
    <w:rsid w:val="00B9580B"/>
    <w:rsid w:val="00BA1555"/>
    <w:rsid w:val="00BA1650"/>
    <w:rsid w:val="00BB06F7"/>
    <w:rsid w:val="00BB1731"/>
    <w:rsid w:val="00BB3674"/>
    <w:rsid w:val="00BB36E3"/>
    <w:rsid w:val="00BB3B27"/>
    <w:rsid w:val="00BB6729"/>
    <w:rsid w:val="00BB7104"/>
    <w:rsid w:val="00BC0A77"/>
    <w:rsid w:val="00BC0EAD"/>
    <w:rsid w:val="00BC3A92"/>
    <w:rsid w:val="00BC5580"/>
    <w:rsid w:val="00BD2D64"/>
    <w:rsid w:val="00BD7AF9"/>
    <w:rsid w:val="00BE2335"/>
    <w:rsid w:val="00BE75CF"/>
    <w:rsid w:val="00BF0CA8"/>
    <w:rsid w:val="00BF1B21"/>
    <w:rsid w:val="00BF1B24"/>
    <w:rsid w:val="00BF63BD"/>
    <w:rsid w:val="00C00A6D"/>
    <w:rsid w:val="00C02366"/>
    <w:rsid w:val="00C0518A"/>
    <w:rsid w:val="00C109F1"/>
    <w:rsid w:val="00C11D7E"/>
    <w:rsid w:val="00C13A1C"/>
    <w:rsid w:val="00C2253A"/>
    <w:rsid w:val="00C22C76"/>
    <w:rsid w:val="00C2347B"/>
    <w:rsid w:val="00C25C38"/>
    <w:rsid w:val="00C26DB5"/>
    <w:rsid w:val="00C273F5"/>
    <w:rsid w:val="00C27D80"/>
    <w:rsid w:val="00C30911"/>
    <w:rsid w:val="00C319C7"/>
    <w:rsid w:val="00C326E6"/>
    <w:rsid w:val="00C346F0"/>
    <w:rsid w:val="00C42569"/>
    <w:rsid w:val="00C441B4"/>
    <w:rsid w:val="00C4636A"/>
    <w:rsid w:val="00C464AA"/>
    <w:rsid w:val="00C4660B"/>
    <w:rsid w:val="00C522F4"/>
    <w:rsid w:val="00C54539"/>
    <w:rsid w:val="00C56466"/>
    <w:rsid w:val="00C57A64"/>
    <w:rsid w:val="00C608ED"/>
    <w:rsid w:val="00C640DF"/>
    <w:rsid w:val="00C65678"/>
    <w:rsid w:val="00C6569A"/>
    <w:rsid w:val="00C6688C"/>
    <w:rsid w:val="00C750D3"/>
    <w:rsid w:val="00C75788"/>
    <w:rsid w:val="00C818AF"/>
    <w:rsid w:val="00C82693"/>
    <w:rsid w:val="00C83B00"/>
    <w:rsid w:val="00C83B5A"/>
    <w:rsid w:val="00C91B90"/>
    <w:rsid w:val="00C9722C"/>
    <w:rsid w:val="00C97D16"/>
    <w:rsid w:val="00CA0539"/>
    <w:rsid w:val="00CA29F1"/>
    <w:rsid w:val="00CA2C93"/>
    <w:rsid w:val="00CA65F5"/>
    <w:rsid w:val="00CA7ED3"/>
    <w:rsid w:val="00CB22B8"/>
    <w:rsid w:val="00CB4F71"/>
    <w:rsid w:val="00CB6992"/>
    <w:rsid w:val="00CC0F72"/>
    <w:rsid w:val="00CC1A9D"/>
    <w:rsid w:val="00CC1C31"/>
    <w:rsid w:val="00CC1D04"/>
    <w:rsid w:val="00CC20B5"/>
    <w:rsid w:val="00CC2346"/>
    <w:rsid w:val="00CC245E"/>
    <w:rsid w:val="00CC263A"/>
    <w:rsid w:val="00CC2F19"/>
    <w:rsid w:val="00CC6E60"/>
    <w:rsid w:val="00CC7390"/>
    <w:rsid w:val="00CC780F"/>
    <w:rsid w:val="00CD1FA9"/>
    <w:rsid w:val="00CD36B7"/>
    <w:rsid w:val="00CD590F"/>
    <w:rsid w:val="00CE056F"/>
    <w:rsid w:val="00CE1CEB"/>
    <w:rsid w:val="00CE3DE6"/>
    <w:rsid w:val="00CF1DED"/>
    <w:rsid w:val="00CF2D33"/>
    <w:rsid w:val="00CF4085"/>
    <w:rsid w:val="00CF630E"/>
    <w:rsid w:val="00CF69C3"/>
    <w:rsid w:val="00D000B9"/>
    <w:rsid w:val="00D00E7E"/>
    <w:rsid w:val="00D01D5D"/>
    <w:rsid w:val="00D01F0B"/>
    <w:rsid w:val="00D024A3"/>
    <w:rsid w:val="00D026B9"/>
    <w:rsid w:val="00D06303"/>
    <w:rsid w:val="00D076C4"/>
    <w:rsid w:val="00D10768"/>
    <w:rsid w:val="00D11CA7"/>
    <w:rsid w:val="00D129FC"/>
    <w:rsid w:val="00D137A0"/>
    <w:rsid w:val="00D145B9"/>
    <w:rsid w:val="00D152DE"/>
    <w:rsid w:val="00D27C26"/>
    <w:rsid w:val="00D32B63"/>
    <w:rsid w:val="00D35959"/>
    <w:rsid w:val="00D3606B"/>
    <w:rsid w:val="00D4154F"/>
    <w:rsid w:val="00D43152"/>
    <w:rsid w:val="00D439D1"/>
    <w:rsid w:val="00D4555F"/>
    <w:rsid w:val="00D45B63"/>
    <w:rsid w:val="00D46709"/>
    <w:rsid w:val="00D46BFD"/>
    <w:rsid w:val="00D509C1"/>
    <w:rsid w:val="00D51561"/>
    <w:rsid w:val="00D5327B"/>
    <w:rsid w:val="00D56614"/>
    <w:rsid w:val="00D57BBC"/>
    <w:rsid w:val="00D57E94"/>
    <w:rsid w:val="00D61C4B"/>
    <w:rsid w:val="00D6302C"/>
    <w:rsid w:val="00D631A6"/>
    <w:rsid w:val="00D66E0C"/>
    <w:rsid w:val="00D71A1D"/>
    <w:rsid w:val="00D71CFE"/>
    <w:rsid w:val="00D72A99"/>
    <w:rsid w:val="00D74545"/>
    <w:rsid w:val="00D748A1"/>
    <w:rsid w:val="00D74B82"/>
    <w:rsid w:val="00D74B9B"/>
    <w:rsid w:val="00D77A4E"/>
    <w:rsid w:val="00D80769"/>
    <w:rsid w:val="00D80A06"/>
    <w:rsid w:val="00D819B2"/>
    <w:rsid w:val="00D83253"/>
    <w:rsid w:val="00D876EC"/>
    <w:rsid w:val="00D87760"/>
    <w:rsid w:val="00D90747"/>
    <w:rsid w:val="00D924C5"/>
    <w:rsid w:val="00D93096"/>
    <w:rsid w:val="00D94E9E"/>
    <w:rsid w:val="00D96872"/>
    <w:rsid w:val="00DA0A67"/>
    <w:rsid w:val="00DA1AA6"/>
    <w:rsid w:val="00DA1EBC"/>
    <w:rsid w:val="00DA304D"/>
    <w:rsid w:val="00DA3BE4"/>
    <w:rsid w:val="00DA4417"/>
    <w:rsid w:val="00DA6AEB"/>
    <w:rsid w:val="00DA7A35"/>
    <w:rsid w:val="00DB42F9"/>
    <w:rsid w:val="00DC0E7C"/>
    <w:rsid w:val="00DC1164"/>
    <w:rsid w:val="00DC14B4"/>
    <w:rsid w:val="00DC440D"/>
    <w:rsid w:val="00DC4465"/>
    <w:rsid w:val="00DC69DD"/>
    <w:rsid w:val="00DD05BE"/>
    <w:rsid w:val="00DD11D6"/>
    <w:rsid w:val="00DD4EBE"/>
    <w:rsid w:val="00DD5006"/>
    <w:rsid w:val="00DD5E78"/>
    <w:rsid w:val="00DE4B13"/>
    <w:rsid w:val="00DE5440"/>
    <w:rsid w:val="00DF2109"/>
    <w:rsid w:val="00DF3003"/>
    <w:rsid w:val="00DF66B7"/>
    <w:rsid w:val="00DF6C31"/>
    <w:rsid w:val="00DF6FDB"/>
    <w:rsid w:val="00E00BB4"/>
    <w:rsid w:val="00E013A2"/>
    <w:rsid w:val="00E0274B"/>
    <w:rsid w:val="00E14AE0"/>
    <w:rsid w:val="00E14DD5"/>
    <w:rsid w:val="00E15ADE"/>
    <w:rsid w:val="00E15B5F"/>
    <w:rsid w:val="00E229EA"/>
    <w:rsid w:val="00E2419E"/>
    <w:rsid w:val="00E31C5C"/>
    <w:rsid w:val="00E342C7"/>
    <w:rsid w:val="00E347E6"/>
    <w:rsid w:val="00E34A40"/>
    <w:rsid w:val="00E34CF9"/>
    <w:rsid w:val="00E4055A"/>
    <w:rsid w:val="00E417FB"/>
    <w:rsid w:val="00E424B9"/>
    <w:rsid w:val="00E43B8E"/>
    <w:rsid w:val="00E458A9"/>
    <w:rsid w:val="00E467A1"/>
    <w:rsid w:val="00E46CA9"/>
    <w:rsid w:val="00E47021"/>
    <w:rsid w:val="00E47139"/>
    <w:rsid w:val="00E52F07"/>
    <w:rsid w:val="00E55566"/>
    <w:rsid w:val="00E5637B"/>
    <w:rsid w:val="00E579E7"/>
    <w:rsid w:val="00E57B66"/>
    <w:rsid w:val="00E60506"/>
    <w:rsid w:val="00E651DD"/>
    <w:rsid w:val="00E67D73"/>
    <w:rsid w:val="00E70579"/>
    <w:rsid w:val="00E72567"/>
    <w:rsid w:val="00E73471"/>
    <w:rsid w:val="00E77EA5"/>
    <w:rsid w:val="00E77FD0"/>
    <w:rsid w:val="00E84F20"/>
    <w:rsid w:val="00E85BE0"/>
    <w:rsid w:val="00E85C4C"/>
    <w:rsid w:val="00E86E43"/>
    <w:rsid w:val="00E91803"/>
    <w:rsid w:val="00E92082"/>
    <w:rsid w:val="00E920C8"/>
    <w:rsid w:val="00E92128"/>
    <w:rsid w:val="00E94289"/>
    <w:rsid w:val="00E950DB"/>
    <w:rsid w:val="00E97C45"/>
    <w:rsid w:val="00EA125D"/>
    <w:rsid w:val="00EA4137"/>
    <w:rsid w:val="00EB0931"/>
    <w:rsid w:val="00EB1AA0"/>
    <w:rsid w:val="00EB2AC0"/>
    <w:rsid w:val="00EB34D1"/>
    <w:rsid w:val="00EB48F5"/>
    <w:rsid w:val="00EB6FCF"/>
    <w:rsid w:val="00EB7F5A"/>
    <w:rsid w:val="00EC0D9E"/>
    <w:rsid w:val="00EC157B"/>
    <w:rsid w:val="00EC4D0E"/>
    <w:rsid w:val="00EC5244"/>
    <w:rsid w:val="00EC5A1B"/>
    <w:rsid w:val="00EC5B24"/>
    <w:rsid w:val="00EC7613"/>
    <w:rsid w:val="00ED06BB"/>
    <w:rsid w:val="00ED1752"/>
    <w:rsid w:val="00ED52F1"/>
    <w:rsid w:val="00ED5FA9"/>
    <w:rsid w:val="00EE0C0D"/>
    <w:rsid w:val="00EE3EAD"/>
    <w:rsid w:val="00EE53F1"/>
    <w:rsid w:val="00EE6B51"/>
    <w:rsid w:val="00EE7800"/>
    <w:rsid w:val="00EF225E"/>
    <w:rsid w:val="00EF230E"/>
    <w:rsid w:val="00EF4796"/>
    <w:rsid w:val="00EF7471"/>
    <w:rsid w:val="00EF7D3A"/>
    <w:rsid w:val="00EF7FFB"/>
    <w:rsid w:val="00F01125"/>
    <w:rsid w:val="00F0192B"/>
    <w:rsid w:val="00F021CD"/>
    <w:rsid w:val="00F029EA"/>
    <w:rsid w:val="00F0311D"/>
    <w:rsid w:val="00F03767"/>
    <w:rsid w:val="00F07885"/>
    <w:rsid w:val="00F1182D"/>
    <w:rsid w:val="00F138F0"/>
    <w:rsid w:val="00F158F9"/>
    <w:rsid w:val="00F159B5"/>
    <w:rsid w:val="00F15AA0"/>
    <w:rsid w:val="00F1754B"/>
    <w:rsid w:val="00F2053F"/>
    <w:rsid w:val="00F208C3"/>
    <w:rsid w:val="00F2185A"/>
    <w:rsid w:val="00F222E8"/>
    <w:rsid w:val="00F23895"/>
    <w:rsid w:val="00F24445"/>
    <w:rsid w:val="00F2473D"/>
    <w:rsid w:val="00F27545"/>
    <w:rsid w:val="00F33EC6"/>
    <w:rsid w:val="00F34AB7"/>
    <w:rsid w:val="00F34B82"/>
    <w:rsid w:val="00F36004"/>
    <w:rsid w:val="00F36F5A"/>
    <w:rsid w:val="00F372FA"/>
    <w:rsid w:val="00F421F8"/>
    <w:rsid w:val="00F42492"/>
    <w:rsid w:val="00F441E2"/>
    <w:rsid w:val="00F4421C"/>
    <w:rsid w:val="00F45F80"/>
    <w:rsid w:val="00F46B79"/>
    <w:rsid w:val="00F47D1E"/>
    <w:rsid w:val="00F500D3"/>
    <w:rsid w:val="00F535E1"/>
    <w:rsid w:val="00F53CA8"/>
    <w:rsid w:val="00F55E10"/>
    <w:rsid w:val="00F575AB"/>
    <w:rsid w:val="00F6141D"/>
    <w:rsid w:val="00F6287D"/>
    <w:rsid w:val="00F64895"/>
    <w:rsid w:val="00F66160"/>
    <w:rsid w:val="00F7293E"/>
    <w:rsid w:val="00F74309"/>
    <w:rsid w:val="00F753D1"/>
    <w:rsid w:val="00F77623"/>
    <w:rsid w:val="00F8013D"/>
    <w:rsid w:val="00F8270B"/>
    <w:rsid w:val="00F83F33"/>
    <w:rsid w:val="00F842D6"/>
    <w:rsid w:val="00F8648D"/>
    <w:rsid w:val="00F868BE"/>
    <w:rsid w:val="00F87A0F"/>
    <w:rsid w:val="00F94158"/>
    <w:rsid w:val="00F95B6B"/>
    <w:rsid w:val="00F97D60"/>
    <w:rsid w:val="00FA1487"/>
    <w:rsid w:val="00FA3006"/>
    <w:rsid w:val="00FA423B"/>
    <w:rsid w:val="00FA69F0"/>
    <w:rsid w:val="00FA6F1B"/>
    <w:rsid w:val="00FB1F83"/>
    <w:rsid w:val="00FB2B68"/>
    <w:rsid w:val="00FB3EAC"/>
    <w:rsid w:val="00FB5E5A"/>
    <w:rsid w:val="00FB600B"/>
    <w:rsid w:val="00FB73F0"/>
    <w:rsid w:val="00FC05F1"/>
    <w:rsid w:val="00FC25C3"/>
    <w:rsid w:val="00FC73CE"/>
    <w:rsid w:val="00FC7EE5"/>
    <w:rsid w:val="00FD0838"/>
    <w:rsid w:val="00FD287A"/>
    <w:rsid w:val="00FD461B"/>
    <w:rsid w:val="00FD5480"/>
    <w:rsid w:val="00FD6679"/>
    <w:rsid w:val="00FE0D60"/>
    <w:rsid w:val="00FE416A"/>
    <w:rsid w:val="00FF1546"/>
    <w:rsid w:val="00FF1838"/>
    <w:rsid w:val="00FF53B4"/>
    <w:rsid w:val="00FF53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7F42C"/>
  <w15:docId w15:val="{EEBCA185-8987-4D57-90DE-AA7101CF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0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109F1"/>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121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6712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F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109F1"/>
    <w:rPr>
      <w:color w:val="0000FF"/>
      <w:u w:val="single"/>
    </w:rPr>
  </w:style>
  <w:style w:type="character" w:customStyle="1" w:styleId="wixguard">
    <w:name w:val="wixguard"/>
    <w:basedOn w:val="DefaultParagraphFont"/>
    <w:rsid w:val="00C109F1"/>
  </w:style>
  <w:style w:type="character" w:customStyle="1" w:styleId="apple-converted-space">
    <w:name w:val="apple-converted-space"/>
    <w:basedOn w:val="DefaultParagraphFont"/>
    <w:rsid w:val="006C10F0"/>
  </w:style>
  <w:style w:type="character" w:styleId="Strong">
    <w:name w:val="Strong"/>
    <w:basedOn w:val="DefaultParagraphFont"/>
    <w:uiPriority w:val="22"/>
    <w:qFormat/>
    <w:rsid w:val="006C10F0"/>
    <w:rPr>
      <w:b/>
      <w:bCs/>
    </w:rPr>
  </w:style>
  <w:style w:type="paragraph" w:styleId="ListParagraph">
    <w:name w:val="List Paragraph"/>
    <w:basedOn w:val="Normal"/>
    <w:uiPriority w:val="34"/>
    <w:qFormat/>
    <w:rsid w:val="00320998"/>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nhideWhenUsed/>
    <w:rsid w:val="00AB476F"/>
    <w:rPr>
      <w:sz w:val="16"/>
      <w:szCs w:val="16"/>
    </w:rPr>
  </w:style>
  <w:style w:type="paragraph" w:styleId="CommentText">
    <w:name w:val="annotation text"/>
    <w:basedOn w:val="Normal"/>
    <w:link w:val="CommentTextChar"/>
    <w:unhideWhenUsed/>
    <w:rsid w:val="00AB476F"/>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rsid w:val="00AB476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B476F"/>
    <w:rPr>
      <w:b/>
      <w:bCs/>
    </w:rPr>
  </w:style>
  <w:style w:type="character" w:customStyle="1" w:styleId="CommentSubjectChar">
    <w:name w:val="Comment Subject Char"/>
    <w:basedOn w:val="CommentTextChar"/>
    <w:link w:val="CommentSubject"/>
    <w:uiPriority w:val="99"/>
    <w:semiHidden/>
    <w:rsid w:val="00AB476F"/>
    <w:rPr>
      <w:rFonts w:eastAsiaTheme="minorEastAsia"/>
      <w:b/>
      <w:bCs/>
      <w:sz w:val="20"/>
      <w:szCs w:val="20"/>
    </w:rPr>
  </w:style>
  <w:style w:type="paragraph" w:styleId="BalloonText">
    <w:name w:val="Balloon Text"/>
    <w:basedOn w:val="Normal"/>
    <w:link w:val="BalloonTextChar"/>
    <w:uiPriority w:val="99"/>
    <w:semiHidden/>
    <w:unhideWhenUsed/>
    <w:rsid w:val="00AB4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6F"/>
    <w:rPr>
      <w:rFonts w:ascii="Segoe UI" w:eastAsiaTheme="minorEastAsia" w:hAnsi="Segoe UI" w:cs="Segoe UI"/>
      <w:sz w:val="18"/>
      <w:szCs w:val="18"/>
    </w:rPr>
  </w:style>
  <w:style w:type="paragraph" w:styleId="Revision">
    <w:name w:val="Revision"/>
    <w:hidden/>
    <w:uiPriority w:val="99"/>
    <w:semiHidden/>
    <w:rsid w:val="00AB476F"/>
    <w:pPr>
      <w:spacing w:after="0" w:line="240" w:lineRule="auto"/>
    </w:pPr>
    <w:rPr>
      <w:rFonts w:eastAsiaTheme="minorEastAsia"/>
      <w:sz w:val="24"/>
      <w:szCs w:val="24"/>
    </w:rPr>
  </w:style>
  <w:style w:type="paragraph" w:styleId="FootnoteText">
    <w:name w:val="footnote text"/>
    <w:basedOn w:val="Normal"/>
    <w:link w:val="FootnoteTextChar"/>
    <w:uiPriority w:val="99"/>
    <w:unhideWhenUsed/>
    <w:rsid w:val="00DE544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DE5440"/>
    <w:rPr>
      <w:rFonts w:eastAsiaTheme="minorEastAsia"/>
      <w:sz w:val="20"/>
      <w:szCs w:val="20"/>
    </w:rPr>
  </w:style>
  <w:style w:type="character" w:styleId="FootnoteReference">
    <w:name w:val="footnote reference"/>
    <w:basedOn w:val="DefaultParagraphFont"/>
    <w:uiPriority w:val="99"/>
    <w:unhideWhenUsed/>
    <w:rsid w:val="00DE5440"/>
    <w:rPr>
      <w:vertAlign w:val="superscript"/>
    </w:rPr>
  </w:style>
  <w:style w:type="table" w:styleId="TableGrid">
    <w:name w:val="Table Grid"/>
    <w:basedOn w:val="TableNormal"/>
    <w:uiPriority w:val="39"/>
    <w:rsid w:val="0011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96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F1964"/>
    <w:rPr>
      <w:i/>
      <w:iCs/>
    </w:rPr>
  </w:style>
  <w:style w:type="paragraph" w:styleId="Bibliography">
    <w:name w:val="Bibliography"/>
    <w:basedOn w:val="Normal"/>
    <w:next w:val="Normal"/>
    <w:uiPriority w:val="37"/>
    <w:unhideWhenUsed/>
    <w:rsid w:val="0035130D"/>
    <w:rPr>
      <w:rFonts w:asciiTheme="minorHAnsi" w:eastAsiaTheme="minorEastAsia" w:hAnsiTheme="minorHAnsi" w:cstheme="minorBidi"/>
    </w:rPr>
  </w:style>
  <w:style w:type="paragraph" w:styleId="Header">
    <w:name w:val="header"/>
    <w:basedOn w:val="Normal"/>
    <w:link w:val="HeaderChar"/>
    <w:uiPriority w:val="99"/>
    <w:unhideWhenUsed/>
    <w:rsid w:val="00C4636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4636A"/>
    <w:rPr>
      <w:rFonts w:eastAsiaTheme="minorEastAsia"/>
      <w:sz w:val="24"/>
      <w:szCs w:val="24"/>
    </w:rPr>
  </w:style>
  <w:style w:type="paragraph" w:styleId="Footer">
    <w:name w:val="footer"/>
    <w:basedOn w:val="Normal"/>
    <w:link w:val="FooterChar"/>
    <w:uiPriority w:val="99"/>
    <w:unhideWhenUsed/>
    <w:rsid w:val="00C4636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4636A"/>
    <w:rPr>
      <w:rFonts w:eastAsiaTheme="minorEastAsia"/>
      <w:sz w:val="24"/>
      <w:szCs w:val="24"/>
    </w:rPr>
  </w:style>
  <w:style w:type="paragraph" w:customStyle="1" w:styleId="paragraph">
    <w:name w:val="paragraph"/>
    <w:basedOn w:val="Normal"/>
    <w:rsid w:val="007F3598"/>
    <w:pPr>
      <w:spacing w:before="100" w:beforeAutospacing="1" w:after="100" w:afterAutospacing="1"/>
    </w:pPr>
    <w:rPr>
      <w:rFonts w:eastAsia="Times New Roman"/>
      <w:lang w:eastAsia="en-GB"/>
    </w:rPr>
  </w:style>
  <w:style w:type="character" w:customStyle="1" w:styleId="normaltextrun">
    <w:name w:val="normaltextrun"/>
    <w:basedOn w:val="DefaultParagraphFont"/>
    <w:rsid w:val="007F3598"/>
  </w:style>
  <w:style w:type="character" w:customStyle="1" w:styleId="findhit">
    <w:name w:val="findhit"/>
    <w:basedOn w:val="DefaultParagraphFont"/>
    <w:rsid w:val="007F3598"/>
  </w:style>
  <w:style w:type="character" w:customStyle="1" w:styleId="eop">
    <w:name w:val="eop"/>
    <w:basedOn w:val="DefaultParagraphFont"/>
    <w:rsid w:val="007F3598"/>
  </w:style>
  <w:style w:type="character" w:customStyle="1" w:styleId="spellingerror">
    <w:name w:val="spellingerror"/>
    <w:basedOn w:val="DefaultParagraphFont"/>
    <w:rsid w:val="007F3598"/>
  </w:style>
  <w:style w:type="paragraph" w:styleId="NormalWeb">
    <w:name w:val="Normal (Web)"/>
    <w:basedOn w:val="Normal"/>
    <w:uiPriority w:val="99"/>
    <w:unhideWhenUsed/>
    <w:rsid w:val="00D748A1"/>
    <w:pPr>
      <w:spacing w:before="100" w:beforeAutospacing="1" w:after="100" w:afterAutospacing="1"/>
    </w:pPr>
    <w:rPr>
      <w:rFonts w:eastAsia="Times New Roman"/>
      <w:lang w:eastAsia="en-GB"/>
    </w:rPr>
  </w:style>
  <w:style w:type="character" w:styleId="FollowedHyperlink">
    <w:name w:val="FollowedHyperlink"/>
    <w:basedOn w:val="DefaultParagraphFont"/>
    <w:uiPriority w:val="99"/>
    <w:semiHidden/>
    <w:unhideWhenUsed/>
    <w:rsid w:val="00CF2D33"/>
    <w:rPr>
      <w:color w:val="954F72" w:themeColor="followedHyperlink"/>
      <w:u w:val="single"/>
    </w:rPr>
  </w:style>
  <w:style w:type="character" w:customStyle="1" w:styleId="UnresolvedMention1">
    <w:name w:val="Unresolved Mention1"/>
    <w:basedOn w:val="DefaultParagraphFont"/>
    <w:uiPriority w:val="99"/>
    <w:semiHidden/>
    <w:unhideWhenUsed/>
    <w:rsid w:val="00262A23"/>
    <w:rPr>
      <w:color w:val="808080"/>
      <w:shd w:val="clear" w:color="auto" w:fill="E6E6E6"/>
    </w:rPr>
  </w:style>
  <w:style w:type="paragraph" w:customStyle="1" w:styleId="p1">
    <w:name w:val="p1"/>
    <w:basedOn w:val="Normal"/>
    <w:rsid w:val="00061815"/>
    <w:rPr>
      <w:rFonts w:ascii="Times" w:hAnsi="Times"/>
      <w:sz w:val="15"/>
      <w:szCs w:val="15"/>
    </w:rPr>
  </w:style>
  <w:style w:type="paragraph" w:styleId="DocumentMap">
    <w:name w:val="Document Map"/>
    <w:basedOn w:val="Normal"/>
    <w:link w:val="DocumentMapChar"/>
    <w:uiPriority w:val="99"/>
    <w:semiHidden/>
    <w:unhideWhenUsed/>
    <w:rsid w:val="004228D5"/>
  </w:style>
  <w:style w:type="character" w:customStyle="1" w:styleId="DocumentMapChar">
    <w:name w:val="Document Map Char"/>
    <w:basedOn w:val="DefaultParagraphFont"/>
    <w:link w:val="DocumentMap"/>
    <w:uiPriority w:val="99"/>
    <w:semiHidden/>
    <w:rsid w:val="004228D5"/>
    <w:rPr>
      <w:rFonts w:ascii="Times New Roman" w:eastAsiaTheme="minorEastAsia" w:hAnsi="Times New Roman" w:cs="Times New Roman"/>
      <w:sz w:val="24"/>
      <w:szCs w:val="24"/>
    </w:rPr>
  </w:style>
  <w:style w:type="paragraph" w:customStyle="1" w:styleId="RefReference">
    <w:name w:val="Ref Reference"/>
    <w:basedOn w:val="Normal"/>
    <w:rsid w:val="009821D2"/>
    <w:pPr>
      <w:spacing w:after="120" w:line="560" w:lineRule="exact"/>
      <w:ind w:left="720" w:hanging="720"/>
    </w:pPr>
    <w:rPr>
      <w:rFonts w:eastAsia="Times New Roman"/>
      <w:szCs w:val="20"/>
    </w:rPr>
  </w:style>
  <w:style w:type="paragraph" w:customStyle="1" w:styleId="CTChapterTitle">
    <w:name w:val="CT Chapter Title"/>
    <w:basedOn w:val="Normal"/>
    <w:rsid w:val="009821D2"/>
    <w:pPr>
      <w:keepNext/>
      <w:keepLines/>
      <w:spacing w:before="360" w:after="360" w:line="560" w:lineRule="exact"/>
      <w:outlineLvl w:val="0"/>
    </w:pPr>
    <w:rPr>
      <w:rFonts w:eastAsia="Times New Roman"/>
      <w:b/>
      <w:sz w:val="40"/>
      <w:szCs w:val="20"/>
    </w:rPr>
  </w:style>
  <w:style w:type="character" w:customStyle="1" w:styleId="Heading4Char">
    <w:name w:val="Heading 4 Char"/>
    <w:basedOn w:val="DefaultParagraphFont"/>
    <w:link w:val="Heading4"/>
    <w:uiPriority w:val="9"/>
    <w:semiHidden/>
    <w:rsid w:val="00767121"/>
    <w:rPr>
      <w:rFonts w:asciiTheme="majorHAnsi" w:eastAsiaTheme="majorEastAsia" w:hAnsiTheme="majorHAnsi" w:cstheme="majorBidi"/>
      <w:i/>
      <w:iCs/>
      <w:color w:val="2E74B5" w:themeColor="accent1" w:themeShade="BF"/>
      <w:sz w:val="24"/>
      <w:szCs w:val="24"/>
    </w:rPr>
  </w:style>
  <w:style w:type="paragraph" w:customStyle="1" w:styleId="SingleTxt">
    <w:name w:val="__Single Txt"/>
    <w:basedOn w:val="Normal"/>
    <w:rsid w:val="004D7B0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character" w:customStyle="1" w:styleId="UnresolvedMention">
    <w:name w:val="Unresolved Mention"/>
    <w:basedOn w:val="DefaultParagraphFont"/>
    <w:uiPriority w:val="99"/>
    <w:rsid w:val="000E63D7"/>
    <w:rPr>
      <w:color w:val="605E5C"/>
      <w:shd w:val="clear" w:color="auto" w:fill="E1DFDD"/>
    </w:rPr>
  </w:style>
  <w:style w:type="character" w:customStyle="1" w:styleId="Heading2Char">
    <w:name w:val="Heading 2 Char"/>
    <w:basedOn w:val="DefaultParagraphFont"/>
    <w:link w:val="Heading2"/>
    <w:uiPriority w:val="9"/>
    <w:semiHidden/>
    <w:rsid w:val="00A121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540">
      <w:bodyDiv w:val="1"/>
      <w:marLeft w:val="0"/>
      <w:marRight w:val="0"/>
      <w:marTop w:val="0"/>
      <w:marBottom w:val="0"/>
      <w:divBdr>
        <w:top w:val="none" w:sz="0" w:space="0" w:color="auto"/>
        <w:left w:val="none" w:sz="0" w:space="0" w:color="auto"/>
        <w:bottom w:val="none" w:sz="0" w:space="0" w:color="auto"/>
        <w:right w:val="none" w:sz="0" w:space="0" w:color="auto"/>
      </w:divBdr>
    </w:div>
    <w:div w:id="37046951">
      <w:bodyDiv w:val="1"/>
      <w:marLeft w:val="0"/>
      <w:marRight w:val="0"/>
      <w:marTop w:val="0"/>
      <w:marBottom w:val="0"/>
      <w:divBdr>
        <w:top w:val="none" w:sz="0" w:space="0" w:color="auto"/>
        <w:left w:val="none" w:sz="0" w:space="0" w:color="auto"/>
        <w:bottom w:val="none" w:sz="0" w:space="0" w:color="auto"/>
        <w:right w:val="none" w:sz="0" w:space="0" w:color="auto"/>
      </w:divBdr>
    </w:div>
    <w:div w:id="40055042">
      <w:bodyDiv w:val="1"/>
      <w:marLeft w:val="0"/>
      <w:marRight w:val="0"/>
      <w:marTop w:val="0"/>
      <w:marBottom w:val="0"/>
      <w:divBdr>
        <w:top w:val="none" w:sz="0" w:space="0" w:color="auto"/>
        <w:left w:val="none" w:sz="0" w:space="0" w:color="auto"/>
        <w:bottom w:val="none" w:sz="0" w:space="0" w:color="auto"/>
        <w:right w:val="none" w:sz="0" w:space="0" w:color="auto"/>
      </w:divBdr>
    </w:div>
    <w:div w:id="60758092">
      <w:bodyDiv w:val="1"/>
      <w:marLeft w:val="0"/>
      <w:marRight w:val="0"/>
      <w:marTop w:val="0"/>
      <w:marBottom w:val="0"/>
      <w:divBdr>
        <w:top w:val="none" w:sz="0" w:space="0" w:color="auto"/>
        <w:left w:val="none" w:sz="0" w:space="0" w:color="auto"/>
        <w:bottom w:val="none" w:sz="0" w:space="0" w:color="auto"/>
        <w:right w:val="none" w:sz="0" w:space="0" w:color="auto"/>
      </w:divBdr>
    </w:div>
    <w:div w:id="73937949">
      <w:bodyDiv w:val="1"/>
      <w:marLeft w:val="0"/>
      <w:marRight w:val="0"/>
      <w:marTop w:val="0"/>
      <w:marBottom w:val="0"/>
      <w:divBdr>
        <w:top w:val="none" w:sz="0" w:space="0" w:color="auto"/>
        <w:left w:val="none" w:sz="0" w:space="0" w:color="auto"/>
        <w:bottom w:val="none" w:sz="0" w:space="0" w:color="auto"/>
        <w:right w:val="none" w:sz="0" w:space="0" w:color="auto"/>
      </w:divBdr>
    </w:div>
    <w:div w:id="137577117">
      <w:bodyDiv w:val="1"/>
      <w:marLeft w:val="0"/>
      <w:marRight w:val="0"/>
      <w:marTop w:val="0"/>
      <w:marBottom w:val="0"/>
      <w:divBdr>
        <w:top w:val="none" w:sz="0" w:space="0" w:color="auto"/>
        <w:left w:val="none" w:sz="0" w:space="0" w:color="auto"/>
        <w:bottom w:val="none" w:sz="0" w:space="0" w:color="auto"/>
        <w:right w:val="none" w:sz="0" w:space="0" w:color="auto"/>
      </w:divBdr>
    </w:div>
    <w:div w:id="208035637">
      <w:bodyDiv w:val="1"/>
      <w:marLeft w:val="0"/>
      <w:marRight w:val="0"/>
      <w:marTop w:val="0"/>
      <w:marBottom w:val="0"/>
      <w:divBdr>
        <w:top w:val="none" w:sz="0" w:space="0" w:color="auto"/>
        <w:left w:val="none" w:sz="0" w:space="0" w:color="auto"/>
        <w:bottom w:val="none" w:sz="0" w:space="0" w:color="auto"/>
        <w:right w:val="none" w:sz="0" w:space="0" w:color="auto"/>
      </w:divBdr>
    </w:div>
    <w:div w:id="222761317">
      <w:bodyDiv w:val="1"/>
      <w:marLeft w:val="0"/>
      <w:marRight w:val="0"/>
      <w:marTop w:val="0"/>
      <w:marBottom w:val="0"/>
      <w:divBdr>
        <w:top w:val="none" w:sz="0" w:space="0" w:color="auto"/>
        <w:left w:val="none" w:sz="0" w:space="0" w:color="auto"/>
        <w:bottom w:val="none" w:sz="0" w:space="0" w:color="auto"/>
        <w:right w:val="none" w:sz="0" w:space="0" w:color="auto"/>
      </w:divBdr>
    </w:div>
    <w:div w:id="225147587">
      <w:bodyDiv w:val="1"/>
      <w:marLeft w:val="0"/>
      <w:marRight w:val="0"/>
      <w:marTop w:val="0"/>
      <w:marBottom w:val="0"/>
      <w:divBdr>
        <w:top w:val="none" w:sz="0" w:space="0" w:color="auto"/>
        <w:left w:val="none" w:sz="0" w:space="0" w:color="auto"/>
        <w:bottom w:val="none" w:sz="0" w:space="0" w:color="auto"/>
        <w:right w:val="none" w:sz="0" w:space="0" w:color="auto"/>
      </w:divBdr>
    </w:div>
    <w:div w:id="256208386">
      <w:bodyDiv w:val="1"/>
      <w:marLeft w:val="0"/>
      <w:marRight w:val="0"/>
      <w:marTop w:val="0"/>
      <w:marBottom w:val="0"/>
      <w:divBdr>
        <w:top w:val="none" w:sz="0" w:space="0" w:color="auto"/>
        <w:left w:val="none" w:sz="0" w:space="0" w:color="auto"/>
        <w:bottom w:val="none" w:sz="0" w:space="0" w:color="auto"/>
        <w:right w:val="none" w:sz="0" w:space="0" w:color="auto"/>
      </w:divBdr>
    </w:div>
    <w:div w:id="276253194">
      <w:bodyDiv w:val="1"/>
      <w:marLeft w:val="0"/>
      <w:marRight w:val="0"/>
      <w:marTop w:val="0"/>
      <w:marBottom w:val="0"/>
      <w:divBdr>
        <w:top w:val="none" w:sz="0" w:space="0" w:color="auto"/>
        <w:left w:val="none" w:sz="0" w:space="0" w:color="auto"/>
        <w:bottom w:val="none" w:sz="0" w:space="0" w:color="auto"/>
        <w:right w:val="none" w:sz="0" w:space="0" w:color="auto"/>
      </w:divBdr>
    </w:div>
    <w:div w:id="283930546">
      <w:bodyDiv w:val="1"/>
      <w:marLeft w:val="0"/>
      <w:marRight w:val="0"/>
      <w:marTop w:val="0"/>
      <w:marBottom w:val="0"/>
      <w:divBdr>
        <w:top w:val="none" w:sz="0" w:space="0" w:color="auto"/>
        <w:left w:val="none" w:sz="0" w:space="0" w:color="auto"/>
        <w:bottom w:val="none" w:sz="0" w:space="0" w:color="auto"/>
        <w:right w:val="none" w:sz="0" w:space="0" w:color="auto"/>
      </w:divBdr>
    </w:div>
    <w:div w:id="285281714">
      <w:bodyDiv w:val="1"/>
      <w:marLeft w:val="0"/>
      <w:marRight w:val="0"/>
      <w:marTop w:val="0"/>
      <w:marBottom w:val="0"/>
      <w:divBdr>
        <w:top w:val="none" w:sz="0" w:space="0" w:color="auto"/>
        <w:left w:val="none" w:sz="0" w:space="0" w:color="auto"/>
        <w:bottom w:val="none" w:sz="0" w:space="0" w:color="auto"/>
        <w:right w:val="none" w:sz="0" w:space="0" w:color="auto"/>
      </w:divBdr>
      <w:divsChild>
        <w:div w:id="812138942">
          <w:marLeft w:val="547"/>
          <w:marRight w:val="0"/>
          <w:marTop w:val="120"/>
          <w:marBottom w:val="0"/>
          <w:divBdr>
            <w:top w:val="none" w:sz="0" w:space="0" w:color="auto"/>
            <w:left w:val="none" w:sz="0" w:space="0" w:color="auto"/>
            <w:bottom w:val="none" w:sz="0" w:space="0" w:color="auto"/>
            <w:right w:val="none" w:sz="0" w:space="0" w:color="auto"/>
          </w:divBdr>
        </w:div>
        <w:div w:id="1345863199">
          <w:marLeft w:val="547"/>
          <w:marRight w:val="0"/>
          <w:marTop w:val="120"/>
          <w:marBottom w:val="0"/>
          <w:divBdr>
            <w:top w:val="none" w:sz="0" w:space="0" w:color="auto"/>
            <w:left w:val="none" w:sz="0" w:space="0" w:color="auto"/>
            <w:bottom w:val="none" w:sz="0" w:space="0" w:color="auto"/>
            <w:right w:val="none" w:sz="0" w:space="0" w:color="auto"/>
          </w:divBdr>
        </w:div>
        <w:div w:id="39401409">
          <w:marLeft w:val="547"/>
          <w:marRight w:val="0"/>
          <w:marTop w:val="120"/>
          <w:marBottom w:val="0"/>
          <w:divBdr>
            <w:top w:val="none" w:sz="0" w:space="0" w:color="auto"/>
            <w:left w:val="none" w:sz="0" w:space="0" w:color="auto"/>
            <w:bottom w:val="none" w:sz="0" w:space="0" w:color="auto"/>
            <w:right w:val="none" w:sz="0" w:space="0" w:color="auto"/>
          </w:divBdr>
        </w:div>
        <w:div w:id="432554946">
          <w:marLeft w:val="547"/>
          <w:marRight w:val="0"/>
          <w:marTop w:val="120"/>
          <w:marBottom w:val="0"/>
          <w:divBdr>
            <w:top w:val="none" w:sz="0" w:space="0" w:color="auto"/>
            <w:left w:val="none" w:sz="0" w:space="0" w:color="auto"/>
            <w:bottom w:val="none" w:sz="0" w:space="0" w:color="auto"/>
            <w:right w:val="none" w:sz="0" w:space="0" w:color="auto"/>
          </w:divBdr>
        </w:div>
        <w:div w:id="1918322096">
          <w:marLeft w:val="547"/>
          <w:marRight w:val="0"/>
          <w:marTop w:val="120"/>
          <w:marBottom w:val="0"/>
          <w:divBdr>
            <w:top w:val="none" w:sz="0" w:space="0" w:color="auto"/>
            <w:left w:val="none" w:sz="0" w:space="0" w:color="auto"/>
            <w:bottom w:val="none" w:sz="0" w:space="0" w:color="auto"/>
            <w:right w:val="none" w:sz="0" w:space="0" w:color="auto"/>
          </w:divBdr>
        </w:div>
      </w:divsChild>
    </w:div>
    <w:div w:id="296961186">
      <w:bodyDiv w:val="1"/>
      <w:marLeft w:val="0"/>
      <w:marRight w:val="0"/>
      <w:marTop w:val="0"/>
      <w:marBottom w:val="0"/>
      <w:divBdr>
        <w:top w:val="none" w:sz="0" w:space="0" w:color="auto"/>
        <w:left w:val="none" w:sz="0" w:space="0" w:color="auto"/>
        <w:bottom w:val="none" w:sz="0" w:space="0" w:color="auto"/>
        <w:right w:val="none" w:sz="0" w:space="0" w:color="auto"/>
      </w:divBdr>
    </w:div>
    <w:div w:id="313263253">
      <w:bodyDiv w:val="1"/>
      <w:marLeft w:val="0"/>
      <w:marRight w:val="0"/>
      <w:marTop w:val="0"/>
      <w:marBottom w:val="0"/>
      <w:divBdr>
        <w:top w:val="none" w:sz="0" w:space="0" w:color="auto"/>
        <w:left w:val="none" w:sz="0" w:space="0" w:color="auto"/>
        <w:bottom w:val="none" w:sz="0" w:space="0" w:color="auto"/>
        <w:right w:val="none" w:sz="0" w:space="0" w:color="auto"/>
      </w:divBdr>
      <w:divsChild>
        <w:div w:id="2083217327">
          <w:marLeft w:val="0"/>
          <w:marRight w:val="0"/>
          <w:marTop w:val="0"/>
          <w:marBottom w:val="0"/>
          <w:divBdr>
            <w:top w:val="none" w:sz="0" w:space="0" w:color="auto"/>
            <w:left w:val="none" w:sz="0" w:space="0" w:color="auto"/>
            <w:bottom w:val="none" w:sz="0" w:space="0" w:color="auto"/>
            <w:right w:val="none" w:sz="0" w:space="0" w:color="auto"/>
          </w:divBdr>
        </w:div>
        <w:div w:id="1670254988">
          <w:marLeft w:val="0"/>
          <w:marRight w:val="0"/>
          <w:marTop w:val="0"/>
          <w:marBottom w:val="0"/>
          <w:divBdr>
            <w:top w:val="none" w:sz="0" w:space="0" w:color="auto"/>
            <w:left w:val="none" w:sz="0" w:space="0" w:color="auto"/>
            <w:bottom w:val="none" w:sz="0" w:space="0" w:color="auto"/>
            <w:right w:val="none" w:sz="0" w:space="0" w:color="auto"/>
          </w:divBdr>
        </w:div>
        <w:div w:id="902259799">
          <w:marLeft w:val="0"/>
          <w:marRight w:val="0"/>
          <w:marTop w:val="0"/>
          <w:marBottom w:val="0"/>
          <w:divBdr>
            <w:top w:val="none" w:sz="0" w:space="0" w:color="auto"/>
            <w:left w:val="none" w:sz="0" w:space="0" w:color="auto"/>
            <w:bottom w:val="none" w:sz="0" w:space="0" w:color="auto"/>
            <w:right w:val="none" w:sz="0" w:space="0" w:color="auto"/>
          </w:divBdr>
        </w:div>
        <w:div w:id="185560009">
          <w:marLeft w:val="0"/>
          <w:marRight w:val="0"/>
          <w:marTop w:val="0"/>
          <w:marBottom w:val="0"/>
          <w:divBdr>
            <w:top w:val="none" w:sz="0" w:space="0" w:color="auto"/>
            <w:left w:val="none" w:sz="0" w:space="0" w:color="auto"/>
            <w:bottom w:val="none" w:sz="0" w:space="0" w:color="auto"/>
            <w:right w:val="none" w:sz="0" w:space="0" w:color="auto"/>
          </w:divBdr>
        </w:div>
        <w:div w:id="341007200">
          <w:marLeft w:val="0"/>
          <w:marRight w:val="0"/>
          <w:marTop w:val="0"/>
          <w:marBottom w:val="0"/>
          <w:divBdr>
            <w:top w:val="none" w:sz="0" w:space="0" w:color="auto"/>
            <w:left w:val="none" w:sz="0" w:space="0" w:color="auto"/>
            <w:bottom w:val="none" w:sz="0" w:space="0" w:color="auto"/>
            <w:right w:val="none" w:sz="0" w:space="0" w:color="auto"/>
          </w:divBdr>
        </w:div>
      </w:divsChild>
    </w:div>
    <w:div w:id="329067469">
      <w:bodyDiv w:val="1"/>
      <w:marLeft w:val="0"/>
      <w:marRight w:val="0"/>
      <w:marTop w:val="0"/>
      <w:marBottom w:val="0"/>
      <w:divBdr>
        <w:top w:val="none" w:sz="0" w:space="0" w:color="auto"/>
        <w:left w:val="none" w:sz="0" w:space="0" w:color="auto"/>
        <w:bottom w:val="none" w:sz="0" w:space="0" w:color="auto"/>
        <w:right w:val="none" w:sz="0" w:space="0" w:color="auto"/>
      </w:divBdr>
    </w:div>
    <w:div w:id="356740568">
      <w:bodyDiv w:val="1"/>
      <w:marLeft w:val="0"/>
      <w:marRight w:val="0"/>
      <w:marTop w:val="0"/>
      <w:marBottom w:val="0"/>
      <w:divBdr>
        <w:top w:val="none" w:sz="0" w:space="0" w:color="auto"/>
        <w:left w:val="none" w:sz="0" w:space="0" w:color="auto"/>
        <w:bottom w:val="none" w:sz="0" w:space="0" w:color="auto"/>
        <w:right w:val="none" w:sz="0" w:space="0" w:color="auto"/>
      </w:divBdr>
    </w:div>
    <w:div w:id="375080892">
      <w:bodyDiv w:val="1"/>
      <w:marLeft w:val="0"/>
      <w:marRight w:val="0"/>
      <w:marTop w:val="0"/>
      <w:marBottom w:val="0"/>
      <w:divBdr>
        <w:top w:val="none" w:sz="0" w:space="0" w:color="auto"/>
        <w:left w:val="none" w:sz="0" w:space="0" w:color="auto"/>
        <w:bottom w:val="none" w:sz="0" w:space="0" w:color="auto"/>
        <w:right w:val="none" w:sz="0" w:space="0" w:color="auto"/>
      </w:divBdr>
    </w:div>
    <w:div w:id="395124455">
      <w:bodyDiv w:val="1"/>
      <w:marLeft w:val="0"/>
      <w:marRight w:val="0"/>
      <w:marTop w:val="0"/>
      <w:marBottom w:val="0"/>
      <w:divBdr>
        <w:top w:val="none" w:sz="0" w:space="0" w:color="auto"/>
        <w:left w:val="none" w:sz="0" w:space="0" w:color="auto"/>
        <w:bottom w:val="none" w:sz="0" w:space="0" w:color="auto"/>
        <w:right w:val="none" w:sz="0" w:space="0" w:color="auto"/>
      </w:divBdr>
    </w:div>
    <w:div w:id="448478537">
      <w:bodyDiv w:val="1"/>
      <w:marLeft w:val="0"/>
      <w:marRight w:val="0"/>
      <w:marTop w:val="0"/>
      <w:marBottom w:val="0"/>
      <w:divBdr>
        <w:top w:val="none" w:sz="0" w:space="0" w:color="auto"/>
        <w:left w:val="none" w:sz="0" w:space="0" w:color="auto"/>
        <w:bottom w:val="none" w:sz="0" w:space="0" w:color="auto"/>
        <w:right w:val="none" w:sz="0" w:space="0" w:color="auto"/>
      </w:divBdr>
    </w:div>
    <w:div w:id="478038243">
      <w:bodyDiv w:val="1"/>
      <w:marLeft w:val="0"/>
      <w:marRight w:val="0"/>
      <w:marTop w:val="0"/>
      <w:marBottom w:val="0"/>
      <w:divBdr>
        <w:top w:val="none" w:sz="0" w:space="0" w:color="auto"/>
        <w:left w:val="none" w:sz="0" w:space="0" w:color="auto"/>
        <w:bottom w:val="none" w:sz="0" w:space="0" w:color="auto"/>
        <w:right w:val="none" w:sz="0" w:space="0" w:color="auto"/>
      </w:divBdr>
    </w:div>
    <w:div w:id="495415481">
      <w:bodyDiv w:val="1"/>
      <w:marLeft w:val="0"/>
      <w:marRight w:val="0"/>
      <w:marTop w:val="0"/>
      <w:marBottom w:val="0"/>
      <w:divBdr>
        <w:top w:val="none" w:sz="0" w:space="0" w:color="auto"/>
        <w:left w:val="none" w:sz="0" w:space="0" w:color="auto"/>
        <w:bottom w:val="none" w:sz="0" w:space="0" w:color="auto"/>
        <w:right w:val="none" w:sz="0" w:space="0" w:color="auto"/>
      </w:divBdr>
    </w:div>
    <w:div w:id="586576197">
      <w:bodyDiv w:val="1"/>
      <w:marLeft w:val="0"/>
      <w:marRight w:val="0"/>
      <w:marTop w:val="0"/>
      <w:marBottom w:val="0"/>
      <w:divBdr>
        <w:top w:val="none" w:sz="0" w:space="0" w:color="auto"/>
        <w:left w:val="none" w:sz="0" w:space="0" w:color="auto"/>
        <w:bottom w:val="none" w:sz="0" w:space="0" w:color="auto"/>
        <w:right w:val="none" w:sz="0" w:space="0" w:color="auto"/>
      </w:divBdr>
    </w:div>
    <w:div w:id="596524369">
      <w:bodyDiv w:val="1"/>
      <w:marLeft w:val="0"/>
      <w:marRight w:val="0"/>
      <w:marTop w:val="0"/>
      <w:marBottom w:val="0"/>
      <w:divBdr>
        <w:top w:val="none" w:sz="0" w:space="0" w:color="auto"/>
        <w:left w:val="none" w:sz="0" w:space="0" w:color="auto"/>
        <w:bottom w:val="none" w:sz="0" w:space="0" w:color="auto"/>
        <w:right w:val="none" w:sz="0" w:space="0" w:color="auto"/>
      </w:divBdr>
    </w:div>
    <w:div w:id="610749652">
      <w:bodyDiv w:val="1"/>
      <w:marLeft w:val="0"/>
      <w:marRight w:val="0"/>
      <w:marTop w:val="0"/>
      <w:marBottom w:val="0"/>
      <w:divBdr>
        <w:top w:val="none" w:sz="0" w:space="0" w:color="auto"/>
        <w:left w:val="none" w:sz="0" w:space="0" w:color="auto"/>
        <w:bottom w:val="none" w:sz="0" w:space="0" w:color="auto"/>
        <w:right w:val="none" w:sz="0" w:space="0" w:color="auto"/>
      </w:divBdr>
    </w:div>
    <w:div w:id="612635550">
      <w:bodyDiv w:val="1"/>
      <w:marLeft w:val="0"/>
      <w:marRight w:val="0"/>
      <w:marTop w:val="0"/>
      <w:marBottom w:val="0"/>
      <w:divBdr>
        <w:top w:val="none" w:sz="0" w:space="0" w:color="auto"/>
        <w:left w:val="none" w:sz="0" w:space="0" w:color="auto"/>
        <w:bottom w:val="none" w:sz="0" w:space="0" w:color="auto"/>
        <w:right w:val="none" w:sz="0" w:space="0" w:color="auto"/>
      </w:divBdr>
      <w:divsChild>
        <w:div w:id="256014281">
          <w:marLeft w:val="547"/>
          <w:marRight w:val="0"/>
          <w:marTop w:val="120"/>
          <w:marBottom w:val="0"/>
          <w:divBdr>
            <w:top w:val="none" w:sz="0" w:space="0" w:color="auto"/>
            <w:left w:val="none" w:sz="0" w:space="0" w:color="auto"/>
            <w:bottom w:val="none" w:sz="0" w:space="0" w:color="auto"/>
            <w:right w:val="none" w:sz="0" w:space="0" w:color="auto"/>
          </w:divBdr>
        </w:div>
        <w:div w:id="552623413">
          <w:marLeft w:val="547"/>
          <w:marRight w:val="0"/>
          <w:marTop w:val="120"/>
          <w:marBottom w:val="0"/>
          <w:divBdr>
            <w:top w:val="none" w:sz="0" w:space="0" w:color="auto"/>
            <w:left w:val="none" w:sz="0" w:space="0" w:color="auto"/>
            <w:bottom w:val="none" w:sz="0" w:space="0" w:color="auto"/>
            <w:right w:val="none" w:sz="0" w:space="0" w:color="auto"/>
          </w:divBdr>
        </w:div>
        <w:div w:id="1405370572">
          <w:marLeft w:val="547"/>
          <w:marRight w:val="0"/>
          <w:marTop w:val="120"/>
          <w:marBottom w:val="0"/>
          <w:divBdr>
            <w:top w:val="none" w:sz="0" w:space="0" w:color="auto"/>
            <w:left w:val="none" w:sz="0" w:space="0" w:color="auto"/>
            <w:bottom w:val="none" w:sz="0" w:space="0" w:color="auto"/>
            <w:right w:val="none" w:sz="0" w:space="0" w:color="auto"/>
          </w:divBdr>
        </w:div>
        <w:div w:id="537662729">
          <w:marLeft w:val="547"/>
          <w:marRight w:val="0"/>
          <w:marTop w:val="120"/>
          <w:marBottom w:val="0"/>
          <w:divBdr>
            <w:top w:val="none" w:sz="0" w:space="0" w:color="auto"/>
            <w:left w:val="none" w:sz="0" w:space="0" w:color="auto"/>
            <w:bottom w:val="none" w:sz="0" w:space="0" w:color="auto"/>
            <w:right w:val="none" w:sz="0" w:space="0" w:color="auto"/>
          </w:divBdr>
        </w:div>
        <w:div w:id="755706393">
          <w:marLeft w:val="547"/>
          <w:marRight w:val="0"/>
          <w:marTop w:val="120"/>
          <w:marBottom w:val="0"/>
          <w:divBdr>
            <w:top w:val="none" w:sz="0" w:space="0" w:color="auto"/>
            <w:left w:val="none" w:sz="0" w:space="0" w:color="auto"/>
            <w:bottom w:val="none" w:sz="0" w:space="0" w:color="auto"/>
            <w:right w:val="none" w:sz="0" w:space="0" w:color="auto"/>
          </w:divBdr>
        </w:div>
      </w:divsChild>
    </w:div>
    <w:div w:id="627473677">
      <w:bodyDiv w:val="1"/>
      <w:marLeft w:val="0"/>
      <w:marRight w:val="0"/>
      <w:marTop w:val="0"/>
      <w:marBottom w:val="0"/>
      <w:divBdr>
        <w:top w:val="none" w:sz="0" w:space="0" w:color="auto"/>
        <w:left w:val="none" w:sz="0" w:space="0" w:color="auto"/>
        <w:bottom w:val="none" w:sz="0" w:space="0" w:color="auto"/>
        <w:right w:val="none" w:sz="0" w:space="0" w:color="auto"/>
      </w:divBdr>
    </w:div>
    <w:div w:id="628974292">
      <w:bodyDiv w:val="1"/>
      <w:marLeft w:val="0"/>
      <w:marRight w:val="0"/>
      <w:marTop w:val="0"/>
      <w:marBottom w:val="0"/>
      <w:divBdr>
        <w:top w:val="none" w:sz="0" w:space="0" w:color="auto"/>
        <w:left w:val="none" w:sz="0" w:space="0" w:color="auto"/>
        <w:bottom w:val="none" w:sz="0" w:space="0" w:color="auto"/>
        <w:right w:val="none" w:sz="0" w:space="0" w:color="auto"/>
      </w:divBdr>
    </w:div>
    <w:div w:id="650673949">
      <w:bodyDiv w:val="1"/>
      <w:marLeft w:val="0"/>
      <w:marRight w:val="0"/>
      <w:marTop w:val="0"/>
      <w:marBottom w:val="0"/>
      <w:divBdr>
        <w:top w:val="none" w:sz="0" w:space="0" w:color="auto"/>
        <w:left w:val="none" w:sz="0" w:space="0" w:color="auto"/>
        <w:bottom w:val="none" w:sz="0" w:space="0" w:color="auto"/>
        <w:right w:val="none" w:sz="0" w:space="0" w:color="auto"/>
      </w:divBdr>
    </w:div>
    <w:div w:id="694355257">
      <w:bodyDiv w:val="1"/>
      <w:marLeft w:val="0"/>
      <w:marRight w:val="0"/>
      <w:marTop w:val="0"/>
      <w:marBottom w:val="0"/>
      <w:divBdr>
        <w:top w:val="none" w:sz="0" w:space="0" w:color="auto"/>
        <w:left w:val="none" w:sz="0" w:space="0" w:color="auto"/>
        <w:bottom w:val="none" w:sz="0" w:space="0" w:color="auto"/>
        <w:right w:val="none" w:sz="0" w:space="0" w:color="auto"/>
      </w:divBdr>
    </w:div>
    <w:div w:id="704521869">
      <w:bodyDiv w:val="1"/>
      <w:marLeft w:val="0"/>
      <w:marRight w:val="0"/>
      <w:marTop w:val="0"/>
      <w:marBottom w:val="0"/>
      <w:divBdr>
        <w:top w:val="none" w:sz="0" w:space="0" w:color="auto"/>
        <w:left w:val="none" w:sz="0" w:space="0" w:color="auto"/>
        <w:bottom w:val="none" w:sz="0" w:space="0" w:color="auto"/>
        <w:right w:val="none" w:sz="0" w:space="0" w:color="auto"/>
      </w:divBdr>
    </w:div>
    <w:div w:id="738594110">
      <w:bodyDiv w:val="1"/>
      <w:marLeft w:val="0"/>
      <w:marRight w:val="0"/>
      <w:marTop w:val="0"/>
      <w:marBottom w:val="0"/>
      <w:divBdr>
        <w:top w:val="none" w:sz="0" w:space="0" w:color="auto"/>
        <w:left w:val="none" w:sz="0" w:space="0" w:color="auto"/>
        <w:bottom w:val="none" w:sz="0" w:space="0" w:color="auto"/>
        <w:right w:val="none" w:sz="0" w:space="0" w:color="auto"/>
      </w:divBdr>
    </w:div>
    <w:div w:id="743913680">
      <w:bodyDiv w:val="1"/>
      <w:marLeft w:val="0"/>
      <w:marRight w:val="0"/>
      <w:marTop w:val="0"/>
      <w:marBottom w:val="0"/>
      <w:divBdr>
        <w:top w:val="none" w:sz="0" w:space="0" w:color="auto"/>
        <w:left w:val="none" w:sz="0" w:space="0" w:color="auto"/>
        <w:bottom w:val="none" w:sz="0" w:space="0" w:color="auto"/>
        <w:right w:val="none" w:sz="0" w:space="0" w:color="auto"/>
      </w:divBdr>
    </w:div>
    <w:div w:id="745684116">
      <w:bodyDiv w:val="1"/>
      <w:marLeft w:val="0"/>
      <w:marRight w:val="0"/>
      <w:marTop w:val="0"/>
      <w:marBottom w:val="0"/>
      <w:divBdr>
        <w:top w:val="none" w:sz="0" w:space="0" w:color="auto"/>
        <w:left w:val="none" w:sz="0" w:space="0" w:color="auto"/>
        <w:bottom w:val="none" w:sz="0" w:space="0" w:color="auto"/>
        <w:right w:val="none" w:sz="0" w:space="0" w:color="auto"/>
      </w:divBdr>
    </w:div>
    <w:div w:id="746533203">
      <w:bodyDiv w:val="1"/>
      <w:marLeft w:val="0"/>
      <w:marRight w:val="0"/>
      <w:marTop w:val="0"/>
      <w:marBottom w:val="0"/>
      <w:divBdr>
        <w:top w:val="none" w:sz="0" w:space="0" w:color="auto"/>
        <w:left w:val="none" w:sz="0" w:space="0" w:color="auto"/>
        <w:bottom w:val="none" w:sz="0" w:space="0" w:color="auto"/>
        <w:right w:val="none" w:sz="0" w:space="0" w:color="auto"/>
      </w:divBdr>
    </w:div>
    <w:div w:id="807361723">
      <w:bodyDiv w:val="1"/>
      <w:marLeft w:val="0"/>
      <w:marRight w:val="0"/>
      <w:marTop w:val="0"/>
      <w:marBottom w:val="0"/>
      <w:divBdr>
        <w:top w:val="none" w:sz="0" w:space="0" w:color="auto"/>
        <w:left w:val="none" w:sz="0" w:space="0" w:color="auto"/>
        <w:bottom w:val="none" w:sz="0" w:space="0" w:color="auto"/>
        <w:right w:val="none" w:sz="0" w:space="0" w:color="auto"/>
      </w:divBdr>
      <w:divsChild>
        <w:div w:id="1078747401">
          <w:marLeft w:val="0"/>
          <w:marRight w:val="0"/>
          <w:marTop w:val="0"/>
          <w:marBottom w:val="0"/>
          <w:divBdr>
            <w:top w:val="none" w:sz="0" w:space="0" w:color="auto"/>
            <w:left w:val="none" w:sz="0" w:space="0" w:color="auto"/>
            <w:bottom w:val="none" w:sz="0" w:space="0" w:color="auto"/>
            <w:right w:val="none" w:sz="0" w:space="0" w:color="auto"/>
          </w:divBdr>
          <w:divsChild>
            <w:div w:id="16711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8157">
      <w:bodyDiv w:val="1"/>
      <w:marLeft w:val="0"/>
      <w:marRight w:val="0"/>
      <w:marTop w:val="0"/>
      <w:marBottom w:val="0"/>
      <w:divBdr>
        <w:top w:val="none" w:sz="0" w:space="0" w:color="auto"/>
        <w:left w:val="none" w:sz="0" w:space="0" w:color="auto"/>
        <w:bottom w:val="none" w:sz="0" w:space="0" w:color="auto"/>
        <w:right w:val="none" w:sz="0" w:space="0" w:color="auto"/>
      </w:divBdr>
    </w:div>
    <w:div w:id="829834769">
      <w:bodyDiv w:val="1"/>
      <w:marLeft w:val="0"/>
      <w:marRight w:val="0"/>
      <w:marTop w:val="0"/>
      <w:marBottom w:val="0"/>
      <w:divBdr>
        <w:top w:val="none" w:sz="0" w:space="0" w:color="auto"/>
        <w:left w:val="none" w:sz="0" w:space="0" w:color="auto"/>
        <w:bottom w:val="none" w:sz="0" w:space="0" w:color="auto"/>
        <w:right w:val="none" w:sz="0" w:space="0" w:color="auto"/>
      </w:divBdr>
    </w:div>
    <w:div w:id="852646368">
      <w:bodyDiv w:val="1"/>
      <w:marLeft w:val="0"/>
      <w:marRight w:val="0"/>
      <w:marTop w:val="0"/>
      <w:marBottom w:val="0"/>
      <w:divBdr>
        <w:top w:val="none" w:sz="0" w:space="0" w:color="auto"/>
        <w:left w:val="none" w:sz="0" w:space="0" w:color="auto"/>
        <w:bottom w:val="none" w:sz="0" w:space="0" w:color="auto"/>
        <w:right w:val="none" w:sz="0" w:space="0" w:color="auto"/>
      </w:divBdr>
    </w:div>
    <w:div w:id="881484062">
      <w:bodyDiv w:val="1"/>
      <w:marLeft w:val="0"/>
      <w:marRight w:val="0"/>
      <w:marTop w:val="0"/>
      <w:marBottom w:val="0"/>
      <w:divBdr>
        <w:top w:val="none" w:sz="0" w:space="0" w:color="auto"/>
        <w:left w:val="none" w:sz="0" w:space="0" w:color="auto"/>
        <w:bottom w:val="none" w:sz="0" w:space="0" w:color="auto"/>
        <w:right w:val="none" w:sz="0" w:space="0" w:color="auto"/>
      </w:divBdr>
    </w:div>
    <w:div w:id="884103718">
      <w:bodyDiv w:val="1"/>
      <w:marLeft w:val="0"/>
      <w:marRight w:val="0"/>
      <w:marTop w:val="0"/>
      <w:marBottom w:val="0"/>
      <w:divBdr>
        <w:top w:val="none" w:sz="0" w:space="0" w:color="auto"/>
        <w:left w:val="none" w:sz="0" w:space="0" w:color="auto"/>
        <w:bottom w:val="none" w:sz="0" w:space="0" w:color="auto"/>
        <w:right w:val="none" w:sz="0" w:space="0" w:color="auto"/>
      </w:divBdr>
    </w:div>
    <w:div w:id="921837554">
      <w:bodyDiv w:val="1"/>
      <w:marLeft w:val="0"/>
      <w:marRight w:val="0"/>
      <w:marTop w:val="0"/>
      <w:marBottom w:val="0"/>
      <w:divBdr>
        <w:top w:val="none" w:sz="0" w:space="0" w:color="auto"/>
        <w:left w:val="none" w:sz="0" w:space="0" w:color="auto"/>
        <w:bottom w:val="none" w:sz="0" w:space="0" w:color="auto"/>
        <w:right w:val="none" w:sz="0" w:space="0" w:color="auto"/>
      </w:divBdr>
    </w:div>
    <w:div w:id="935557959">
      <w:bodyDiv w:val="1"/>
      <w:marLeft w:val="0"/>
      <w:marRight w:val="0"/>
      <w:marTop w:val="0"/>
      <w:marBottom w:val="0"/>
      <w:divBdr>
        <w:top w:val="none" w:sz="0" w:space="0" w:color="auto"/>
        <w:left w:val="none" w:sz="0" w:space="0" w:color="auto"/>
        <w:bottom w:val="none" w:sz="0" w:space="0" w:color="auto"/>
        <w:right w:val="none" w:sz="0" w:space="0" w:color="auto"/>
      </w:divBdr>
    </w:div>
    <w:div w:id="938951599">
      <w:bodyDiv w:val="1"/>
      <w:marLeft w:val="0"/>
      <w:marRight w:val="0"/>
      <w:marTop w:val="0"/>
      <w:marBottom w:val="0"/>
      <w:divBdr>
        <w:top w:val="none" w:sz="0" w:space="0" w:color="auto"/>
        <w:left w:val="none" w:sz="0" w:space="0" w:color="auto"/>
        <w:bottom w:val="none" w:sz="0" w:space="0" w:color="auto"/>
        <w:right w:val="none" w:sz="0" w:space="0" w:color="auto"/>
      </w:divBdr>
    </w:div>
    <w:div w:id="949432656">
      <w:bodyDiv w:val="1"/>
      <w:marLeft w:val="0"/>
      <w:marRight w:val="0"/>
      <w:marTop w:val="0"/>
      <w:marBottom w:val="0"/>
      <w:divBdr>
        <w:top w:val="none" w:sz="0" w:space="0" w:color="auto"/>
        <w:left w:val="none" w:sz="0" w:space="0" w:color="auto"/>
        <w:bottom w:val="none" w:sz="0" w:space="0" w:color="auto"/>
        <w:right w:val="none" w:sz="0" w:space="0" w:color="auto"/>
      </w:divBdr>
    </w:div>
    <w:div w:id="992950694">
      <w:bodyDiv w:val="1"/>
      <w:marLeft w:val="0"/>
      <w:marRight w:val="0"/>
      <w:marTop w:val="0"/>
      <w:marBottom w:val="0"/>
      <w:divBdr>
        <w:top w:val="none" w:sz="0" w:space="0" w:color="auto"/>
        <w:left w:val="none" w:sz="0" w:space="0" w:color="auto"/>
        <w:bottom w:val="none" w:sz="0" w:space="0" w:color="auto"/>
        <w:right w:val="none" w:sz="0" w:space="0" w:color="auto"/>
      </w:divBdr>
    </w:div>
    <w:div w:id="1021205243">
      <w:bodyDiv w:val="1"/>
      <w:marLeft w:val="0"/>
      <w:marRight w:val="0"/>
      <w:marTop w:val="0"/>
      <w:marBottom w:val="0"/>
      <w:divBdr>
        <w:top w:val="none" w:sz="0" w:space="0" w:color="auto"/>
        <w:left w:val="none" w:sz="0" w:space="0" w:color="auto"/>
        <w:bottom w:val="none" w:sz="0" w:space="0" w:color="auto"/>
        <w:right w:val="none" w:sz="0" w:space="0" w:color="auto"/>
      </w:divBdr>
    </w:div>
    <w:div w:id="1037780374">
      <w:bodyDiv w:val="1"/>
      <w:marLeft w:val="0"/>
      <w:marRight w:val="0"/>
      <w:marTop w:val="0"/>
      <w:marBottom w:val="0"/>
      <w:divBdr>
        <w:top w:val="none" w:sz="0" w:space="0" w:color="auto"/>
        <w:left w:val="none" w:sz="0" w:space="0" w:color="auto"/>
        <w:bottom w:val="none" w:sz="0" w:space="0" w:color="auto"/>
        <w:right w:val="none" w:sz="0" w:space="0" w:color="auto"/>
      </w:divBdr>
      <w:divsChild>
        <w:div w:id="2070223629">
          <w:marLeft w:val="547"/>
          <w:marRight w:val="0"/>
          <w:marTop w:val="400"/>
          <w:marBottom w:val="0"/>
          <w:divBdr>
            <w:top w:val="none" w:sz="0" w:space="0" w:color="auto"/>
            <w:left w:val="none" w:sz="0" w:space="0" w:color="auto"/>
            <w:bottom w:val="none" w:sz="0" w:space="0" w:color="auto"/>
            <w:right w:val="none" w:sz="0" w:space="0" w:color="auto"/>
          </w:divBdr>
        </w:div>
        <w:div w:id="876698762">
          <w:marLeft w:val="547"/>
          <w:marRight w:val="0"/>
          <w:marTop w:val="400"/>
          <w:marBottom w:val="0"/>
          <w:divBdr>
            <w:top w:val="none" w:sz="0" w:space="0" w:color="auto"/>
            <w:left w:val="none" w:sz="0" w:space="0" w:color="auto"/>
            <w:bottom w:val="none" w:sz="0" w:space="0" w:color="auto"/>
            <w:right w:val="none" w:sz="0" w:space="0" w:color="auto"/>
          </w:divBdr>
        </w:div>
        <w:div w:id="2043896838">
          <w:marLeft w:val="547"/>
          <w:marRight w:val="0"/>
          <w:marTop w:val="400"/>
          <w:marBottom w:val="0"/>
          <w:divBdr>
            <w:top w:val="none" w:sz="0" w:space="0" w:color="auto"/>
            <w:left w:val="none" w:sz="0" w:space="0" w:color="auto"/>
            <w:bottom w:val="none" w:sz="0" w:space="0" w:color="auto"/>
            <w:right w:val="none" w:sz="0" w:space="0" w:color="auto"/>
          </w:divBdr>
        </w:div>
        <w:div w:id="1042822433">
          <w:marLeft w:val="547"/>
          <w:marRight w:val="0"/>
          <w:marTop w:val="400"/>
          <w:marBottom w:val="0"/>
          <w:divBdr>
            <w:top w:val="none" w:sz="0" w:space="0" w:color="auto"/>
            <w:left w:val="none" w:sz="0" w:space="0" w:color="auto"/>
            <w:bottom w:val="none" w:sz="0" w:space="0" w:color="auto"/>
            <w:right w:val="none" w:sz="0" w:space="0" w:color="auto"/>
          </w:divBdr>
        </w:div>
      </w:divsChild>
    </w:div>
    <w:div w:id="1043479685">
      <w:bodyDiv w:val="1"/>
      <w:marLeft w:val="0"/>
      <w:marRight w:val="0"/>
      <w:marTop w:val="0"/>
      <w:marBottom w:val="0"/>
      <w:divBdr>
        <w:top w:val="none" w:sz="0" w:space="0" w:color="auto"/>
        <w:left w:val="none" w:sz="0" w:space="0" w:color="auto"/>
        <w:bottom w:val="none" w:sz="0" w:space="0" w:color="auto"/>
        <w:right w:val="none" w:sz="0" w:space="0" w:color="auto"/>
      </w:divBdr>
      <w:divsChild>
        <w:div w:id="271741609">
          <w:marLeft w:val="0"/>
          <w:marRight w:val="0"/>
          <w:marTop w:val="0"/>
          <w:marBottom w:val="0"/>
          <w:divBdr>
            <w:top w:val="none" w:sz="0" w:space="0" w:color="auto"/>
            <w:left w:val="none" w:sz="0" w:space="0" w:color="auto"/>
            <w:bottom w:val="none" w:sz="0" w:space="0" w:color="auto"/>
            <w:right w:val="none" w:sz="0" w:space="0" w:color="auto"/>
          </w:divBdr>
          <w:divsChild>
            <w:div w:id="193269598">
              <w:marLeft w:val="0"/>
              <w:marRight w:val="0"/>
              <w:marTop w:val="0"/>
              <w:marBottom w:val="0"/>
              <w:divBdr>
                <w:top w:val="none" w:sz="0" w:space="0" w:color="auto"/>
                <w:left w:val="none" w:sz="0" w:space="0" w:color="auto"/>
                <w:bottom w:val="none" w:sz="0" w:space="0" w:color="auto"/>
                <w:right w:val="none" w:sz="0" w:space="0" w:color="auto"/>
              </w:divBdr>
            </w:div>
          </w:divsChild>
        </w:div>
        <w:div w:id="1037895168">
          <w:marLeft w:val="0"/>
          <w:marRight w:val="0"/>
          <w:marTop w:val="0"/>
          <w:marBottom w:val="0"/>
          <w:divBdr>
            <w:top w:val="none" w:sz="0" w:space="0" w:color="auto"/>
            <w:left w:val="none" w:sz="0" w:space="0" w:color="auto"/>
            <w:bottom w:val="none" w:sz="0" w:space="0" w:color="auto"/>
            <w:right w:val="none" w:sz="0" w:space="0" w:color="auto"/>
          </w:divBdr>
        </w:div>
      </w:divsChild>
    </w:div>
    <w:div w:id="1046950073">
      <w:bodyDiv w:val="1"/>
      <w:marLeft w:val="0"/>
      <w:marRight w:val="0"/>
      <w:marTop w:val="0"/>
      <w:marBottom w:val="0"/>
      <w:divBdr>
        <w:top w:val="none" w:sz="0" w:space="0" w:color="auto"/>
        <w:left w:val="none" w:sz="0" w:space="0" w:color="auto"/>
        <w:bottom w:val="none" w:sz="0" w:space="0" w:color="auto"/>
        <w:right w:val="none" w:sz="0" w:space="0" w:color="auto"/>
      </w:divBdr>
    </w:div>
    <w:div w:id="1059405536">
      <w:bodyDiv w:val="1"/>
      <w:marLeft w:val="0"/>
      <w:marRight w:val="0"/>
      <w:marTop w:val="0"/>
      <w:marBottom w:val="0"/>
      <w:divBdr>
        <w:top w:val="none" w:sz="0" w:space="0" w:color="auto"/>
        <w:left w:val="none" w:sz="0" w:space="0" w:color="auto"/>
        <w:bottom w:val="none" w:sz="0" w:space="0" w:color="auto"/>
        <w:right w:val="none" w:sz="0" w:space="0" w:color="auto"/>
      </w:divBdr>
      <w:divsChild>
        <w:div w:id="798961555">
          <w:marLeft w:val="0"/>
          <w:marRight w:val="0"/>
          <w:marTop w:val="0"/>
          <w:marBottom w:val="0"/>
          <w:divBdr>
            <w:top w:val="none" w:sz="0" w:space="0" w:color="auto"/>
            <w:left w:val="none" w:sz="0" w:space="0" w:color="auto"/>
            <w:bottom w:val="none" w:sz="0" w:space="0" w:color="auto"/>
            <w:right w:val="none" w:sz="0" w:space="0" w:color="auto"/>
          </w:divBdr>
          <w:divsChild>
            <w:div w:id="328993050">
              <w:marLeft w:val="0"/>
              <w:marRight w:val="0"/>
              <w:marTop w:val="0"/>
              <w:marBottom w:val="0"/>
              <w:divBdr>
                <w:top w:val="none" w:sz="0" w:space="0" w:color="auto"/>
                <w:left w:val="none" w:sz="0" w:space="0" w:color="auto"/>
                <w:bottom w:val="none" w:sz="0" w:space="0" w:color="auto"/>
                <w:right w:val="none" w:sz="0" w:space="0" w:color="auto"/>
              </w:divBdr>
              <w:divsChild>
                <w:div w:id="365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1724">
      <w:bodyDiv w:val="1"/>
      <w:marLeft w:val="0"/>
      <w:marRight w:val="0"/>
      <w:marTop w:val="0"/>
      <w:marBottom w:val="0"/>
      <w:divBdr>
        <w:top w:val="none" w:sz="0" w:space="0" w:color="auto"/>
        <w:left w:val="none" w:sz="0" w:space="0" w:color="auto"/>
        <w:bottom w:val="none" w:sz="0" w:space="0" w:color="auto"/>
        <w:right w:val="none" w:sz="0" w:space="0" w:color="auto"/>
      </w:divBdr>
    </w:div>
    <w:div w:id="1137576178">
      <w:bodyDiv w:val="1"/>
      <w:marLeft w:val="0"/>
      <w:marRight w:val="0"/>
      <w:marTop w:val="0"/>
      <w:marBottom w:val="0"/>
      <w:divBdr>
        <w:top w:val="none" w:sz="0" w:space="0" w:color="auto"/>
        <w:left w:val="none" w:sz="0" w:space="0" w:color="auto"/>
        <w:bottom w:val="none" w:sz="0" w:space="0" w:color="auto"/>
        <w:right w:val="none" w:sz="0" w:space="0" w:color="auto"/>
      </w:divBdr>
      <w:divsChild>
        <w:div w:id="137846253">
          <w:marLeft w:val="547"/>
          <w:marRight w:val="0"/>
          <w:marTop w:val="400"/>
          <w:marBottom w:val="0"/>
          <w:divBdr>
            <w:top w:val="none" w:sz="0" w:space="0" w:color="auto"/>
            <w:left w:val="none" w:sz="0" w:space="0" w:color="auto"/>
            <w:bottom w:val="none" w:sz="0" w:space="0" w:color="auto"/>
            <w:right w:val="none" w:sz="0" w:space="0" w:color="auto"/>
          </w:divBdr>
        </w:div>
        <w:div w:id="1339892846">
          <w:marLeft w:val="547"/>
          <w:marRight w:val="0"/>
          <w:marTop w:val="400"/>
          <w:marBottom w:val="0"/>
          <w:divBdr>
            <w:top w:val="none" w:sz="0" w:space="0" w:color="auto"/>
            <w:left w:val="none" w:sz="0" w:space="0" w:color="auto"/>
            <w:bottom w:val="none" w:sz="0" w:space="0" w:color="auto"/>
            <w:right w:val="none" w:sz="0" w:space="0" w:color="auto"/>
          </w:divBdr>
        </w:div>
        <w:div w:id="1133904176">
          <w:marLeft w:val="547"/>
          <w:marRight w:val="0"/>
          <w:marTop w:val="400"/>
          <w:marBottom w:val="0"/>
          <w:divBdr>
            <w:top w:val="none" w:sz="0" w:space="0" w:color="auto"/>
            <w:left w:val="none" w:sz="0" w:space="0" w:color="auto"/>
            <w:bottom w:val="none" w:sz="0" w:space="0" w:color="auto"/>
            <w:right w:val="none" w:sz="0" w:space="0" w:color="auto"/>
          </w:divBdr>
        </w:div>
        <w:div w:id="727531009">
          <w:marLeft w:val="547"/>
          <w:marRight w:val="0"/>
          <w:marTop w:val="400"/>
          <w:marBottom w:val="0"/>
          <w:divBdr>
            <w:top w:val="none" w:sz="0" w:space="0" w:color="auto"/>
            <w:left w:val="none" w:sz="0" w:space="0" w:color="auto"/>
            <w:bottom w:val="none" w:sz="0" w:space="0" w:color="auto"/>
            <w:right w:val="none" w:sz="0" w:space="0" w:color="auto"/>
          </w:divBdr>
        </w:div>
      </w:divsChild>
    </w:div>
    <w:div w:id="1157384619">
      <w:bodyDiv w:val="1"/>
      <w:marLeft w:val="0"/>
      <w:marRight w:val="0"/>
      <w:marTop w:val="0"/>
      <w:marBottom w:val="0"/>
      <w:divBdr>
        <w:top w:val="none" w:sz="0" w:space="0" w:color="auto"/>
        <w:left w:val="none" w:sz="0" w:space="0" w:color="auto"/>
        <w:bottom w:val="none" w:sz="0" w:space="0" w:color="auto"/>
        <w:right w:val="none" w:sz="0" w:space="0" w:color="auto"/>
      </w:divBdr>
      <w:divsChild>
        <w:div w:id="590890357">
          <w:marLeft w:val="0"/>
          <w:marRight w:val="240"/>
          <w:marTop w:val="0"/>
          <w:marBottom w:val="300"/>
          <w:divBdr>
            <w:top w:val="none" w:sz="0" w:space="0" w:color="auto"/>
            <w:left w:val="none" w:sz="0" w:space="0" w:color="auto"/>
            <w:bottom w:val="none" w:sz="0" w:space="0" w:color="auto"/>
            <w:right w:val="none" w:sz="0" w:space="0" w:color="auto"/>
          </w:divBdr>
        </w:div>
      </w:divsChild>
    </w:div>
    <w:div w:id="1206453783">
      <w:bodyDiv w:val="1"/>
      <w:marLeft w:val="0"/>
      <w:marRight w:val="0"/>
      <w:marTop w:val="0"/>
      <w:marBottom w:val="0"/>
      <w:divBdr>
        <w:top w:val="none" w:sz="0" w:space="0" w:color="auto"/>
        <w:left w:val="none" w:sz="0" w:space="0" w:color="auto"/>
        <w:bottom w:val="none" w:sz="0" w:space="0" w:color="auto"/>
        <w:right w:val="none" w:sz="0" w:space="0" w:color="auto"/>
      </w:divBdr>
    </w:div>
    <w:div w:id="1272861862">
      <w:bodyDiv w:val="1"/>
      <w:marLeft w:val="0"/>
      <w:marRight w:val="0"/>
      <w:marTop w:val="0"/>
      <w:marBottom w:val="0"/>
      <w:divBdr>
        <w:top w:val="none" w:sz="0" w:space="0" w:color="auto"/>
        <w:left w:val="none" w:sz="0" w:space="0" w:color="auto"/>
        <w:bottom w:val="none" w:sz="0" w:space="0" w:color="auto"/>
        <w:right w:val="none" w:sz="0" w:space="0" w:color="auto"/>
      </w:divBdr>
    </w:div>
    <w:div w:id="1280987463">
      <w:bodyDiv w:val="1"/>
      <w:marLeft w:val="0"/>
      <w:marRight w:val="0"/>
      <w:marTop w:val="0"/>
      <w:marBottom w:val="0"/>
      <w:divBdr>
        <w:top w:val="none" w:sz="0" w:space="0" w:color="auto"/>
        <w:left w:val="none" w:sz="0" w:space="0" w:color="auto"/>
        <w:bottom w:val="none" w:sz="0" w:space="0" w:color="auto"/>
        <w:right w:val="none" w:sz="0" w:space="0" w:color="auto"/>
      </w:divBdr>
      <w:divsChild>
        <w:div w:id="1834293191">
          <w:marLeft w:val="0"/>
          <w:marRight w:val="0"/>
          <w:marTop w:val="0"/>
          <w:marBottom w:val="0"/>
          <w:divBdr>
            <w:top w:val="none" w:sz="0" w:space="0" w:color="auto"/>
            <w:left w:val="none" w:sz="0" w:space="0" w:color="auto"/>
            <w:bottom w:val="none" w:sz="0" w:space="0" w:color="auto"/>
            <w:right w:val="none" w:sz="0" w:space="0" w:color="auto"/>
          </w:divBdr>
        </w:div>
        <w:div w:id="1229919564">
          <w:marLeft w:val="0"/>
          <w:marRight w:val="0"/>
          <w:marTop w:val="0"/>
          <w:marBottom w:val="0"/>
          <w:divBdr>
            <w:top w:val="none" w:sz="0" w:space="0" w:color="auto"/>
            <w:left w:val="none" w:sz="0" w:space="0" w:color="auto"/>
            <w:bottom w:val="none" w:sz="0" w:space="0" w:color="auto"/>
            <w:right w:val="none" w:sz="0" w:space="0" w:color="auto"/>
          </w:divBdr>
        </w:div>
        <w:div w:id="317341881">
          <w:marLeft w:val="0"/>
          <w:marRight w:val="0"/>
          <w:marTop w:val="0"/>
          <w:marBottom w:val="0"/>
          <w:divBdr>
            <w:top w:val="none" w:sz="0" w:space="0" w:color="auto"/>
            <w:left w:val="none" w:sz="0" w:space="0" w:color="auto"/>
            <w:bottom w:val="none" w:sz="0" w:space="0" w:color="auto"/>
            <w:right w:val="none" w:sz="0" w:space="0" w:color="auto"/>
          </w:divBdr>
        </w:div>
        <w:div w:id="54012673">
          <w:marLeft w:val="0"/>
          <w:marRight w:val="0"/>
          <w:marTop w:val="0"/>
          <w:marBottom w:val="0"/>
          <w:divBdr>
            <w:top w:val="none" w:sz="0" w:space="0" w:color="auto"/>
            <w:left w:val="none" w:sz="0" w:space="0" w:color="auto"/>
            <w:bottom w:val="none" w:sz="0" w:space="0" w:color="auto"/>
            <w:right w:val="none" w:sz="0" w:space="0" w:color="auto"/>
          </w:divBdr>
        </w:div>
        <w:div w:id="179973262">
          <w:marLeft w:val="0"/>
          <w:marRight w:val="0"/>
          <w:marTop w:val="0"/>
          <w:marBottom w:val="0"/>
          <w:divBdr>
            <w:top w:val="none" w:sz="0" w:space="0" w:color="auto"/>
            <w:left w:val="none" w:sz="0" w:space="0" w:color="auto"/>
            <w:bottom w:val="none" w:sz="0" w:space="0" w:color="auto"/>
            <w:right w:val="none" w:sz="0" w:space="0" w:color="auto"/>
          </w:divBdr>
        </w:div>
        <w:div w:id="1388722613">
          <w:marLeft w:val="0"/>
          <w:marRight w:val="0"/>
          <w:marTop w:val="0"/>
          <w:marBottom w:val="0"/>
          <w:divBdr>
            <w:top w:val="none" w:sz="0" w:space="0" w:color="auto"/>
            <w:left w:val="none" w:sz="0" w:space="0" w:color="auto"/>
            <w:bottom w:val="none" w:sz="0" w:space="0" w:color="auto"/>
            <w:right w:val="none" w:sz="0" w:space="0" w:color="auto"/>
          </w:divBdr>
        </w:div>
      </w:divsChild>
    </w:div>
    <w:div w:id="1292597089">
      <w:bodyDiv w:val="1"/>
      <w:marLeft w:val="0"/>
      <w:marRight w:val="0"/>
      <w:marTop w:val="0"/>
      <w:marBottom w:val="0"/>
      <w:divBdr>
        <w:top w:val="none" w:sz="0" w:space="0" w:color="auto"/>
        <w:left w:val="none" w:sz="0" w:space="0" w:color="auto"/>
        <w:bottom w:val="none" w:sz="0" w:space="0" w:color="auto"/>
        <w:right w:val="none" w:sz="0" w:space="0" w:color="auto"/>
      </w:divBdr>
    </w:div>
    <w:div w:id="1301305240">
      <w:bodyDiv w:val="1"/>
      <w:marLeft w:val="0"/>
      <w:marRight w:val="0"/>
      <w:marTop w:val="0"/>
      <w:marBottom w:val="0"/>
      <w:divBdr>
        <w:top w:val="none" w:sz="0" w:space="0" w:color="auto"/>
        <w:left w:val="none" w:sz="0" w:space="0" w:color="auto"/>
        <w:bottom w:val="none" w:sz="0" w:space="0" w:color="auto"/>
        <w:right w:val="none" w:sz="0" w:space="0" w:color="auto"/>
      </w:divBdr>
    </w:div>
    <w:div w:id="1316108123">
      <w:bodyDiv w:val="1"/>
      <w:marLeft w:val="0"/>
      <w:marRight w:val="0"/>
      <w:marTop w:val="0"/>
      <w:marBottom w:val="0"/>
      <w:divBdr>
        <w:top w:val="none" w:sz="0" w:space="0" w:color="auto"/>
        <w:left w:val="none" w:sz="0" w:space="0" w:color="auto"/>
        <w:bottom w:val="none" w:sz="0" w:space="0" w:color="auto"/>
        <w:right w:val="none" w:sz="0" w:space="0" w:color="auto"/>
      </w:divBdr>
    </w:div>
    <w:div w:id="1324622830">
      <w:bodyDiv w:val="1"/>
      <w:marLeft w:val="0"/>
      <w:marRight w:val="0"/>
      <w:marTop w:val="0"/>
      <w:marBottom w:val="0"/>
      <w:divBdr>
        <w:top w:val="none" w:sz="0" w:space="0" w:color="auto"/>
        <w:left w:val="none" w:sz="0" w:space="0" w:color="auto"/>
        <w:bottom w:val="none" w:sz="0" w:space="0" w:color="auto"/>
        <w:right w:val="none" w:sz="0" w:space="0" w:color="auto"/>
      </w:divBdr>
    </w:div>
    <w:div w:id="1343973057">
      <w:bodyDiv w:val="1"/>
      <w:marLeft w:val="0"/>
      <w:marRight w:val="0"/>
      <w:marTop w:val="0"/>
      <w:marBottom w:val="0"/>
      <w:divBdr>
        <w:top w:val="none" w:sz="0" w:space="0" w:color="auto"/>
        <w:left w:val="none" w:sz="0" w:space="0" w:color="auto"/>
        <w:bottom w:val="none" w:sz="0" w:space="0" w:color="auto"/>
        <w:right w:val="none" w:sz="0" w:space="0" w:color="auto"/>
      </w:divBdr>
      <w:divsChild>
        <w:div w:id="55397203">
          <w:marLeft w:val="0"/>
          <w:marRight w:val="0"/>
          <w:marTop w:val="0"/>
          <w:marBottom w:val="0"/>
          <w:divBdr>
            <w:top w:val="none" w:sz="0" w:space="0" w:color="auto"/>
            <w:left w:val="none" w:sz="0" w:space="0" w:color="auto"/>
            <w:bottom w:val="none" w:sz="0" w:space="0" w:color="auto"/>
            <w:right w:val="none" w:sz="0" w:space="0" w:color="auto"/>
          </w:divBdr>
          <w:divsChild>
            <w:div w:id="1817916850">
              <w:marLeft w:val="0"/>
              <w:marRight w:val="0"/>
              <w:marTop w:val="0"/>
              <w:marBottom w:val="0"/>
              <w:divBdr>
                <w:top w:val="none" w:sz="0" w:space="0" w:color="auto"/>
                <w:left w:val="none" w:sz="0" w:space="0" w:color="auto"/>
                <w:bottom w:val="none" w:sz="0" w:space="0" w:color="auto"/>
                <w:right w:val="none" w:sz="0" w:space="0" w:color="auto"/>
              </w:divBdr>
              <w:divsChild>
                <w:div w:id="9400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3955">
      <w:bodyDiv w:val="1"/>
      <w:marLeft w:val="0"/>
      <w:marRight w:val="0"/>
      <w:marTop w:val="0"/>
      <w:marBottom w:val="0"/>
      <w:divBdr>
        <w:top w:val="none" w:sz="0" w:space="0" w:color="auto"/>
        <w:left w:val="none" w:sz="0" w:space="0" w:color="auto"/>
        <w:bottom w:val="none" w:sz="0" w:space="0" w:color="auto"/>
        <w:right w:val="none" w:sz="0" w:space="0" w:color="auto"/>
      </w:divBdr>
    </w:div>
    <w:div w:id="1371998836">
      <w:bodyDiv w:val="1"/>
      <w:marLeft w:val="0"/>
      <w:marRight w:val="0"/>
      <w:marTop w:val="0"/>
      <w:marBottom w:val="0"/>
      <w:divBdr>
        <w:top w:val="none" w:sz="0" w:space="0" w:color="auto"/>
        <w:left w:val="none" w:sz="0" w:space="0" w:color="auto"/>
        <w:bottom w:val="none" w:sz="0" w:space="0" w:color="auto"/>
        <w:right w:val="none" w:sz="0" w:space="0" w:color="auto"/>
      </w:divBdr>
    </w:div>
    <w:div w:id="1461222960">
      <w:bodyDiv w:val="1"/>
      <w:marLeft w:val="0"/>
      <w:marRight w:val="0"/>
      <w:marTop w:val="0"/>
      <w:marBottom w:val="0"/>
      <w:divBdr>
        <w:top w:val="none" w:sz="0" w:space="0" w:color="auto"/>
        <w:left w:val="none" w:sz="0" w:space="0" w:color="auto"/>
        <w:bottom w:val="none" w:sz="0" w:space="0" w:color="auto"/>
        <w:right w:val="none" w:sz="0" w:space="0" w:color="auto"/>
      </w:divBdr>
    </w:div>
    <w:div w:id="1462728708">
      <w:bodyDiv w:val="1"/>
      <w:marLeft w:val="0"/>
      <w:marRight w:val="0"/>
      <w:marTop w:val="0"/>
      <w:marBottom w:val="0"/>
      <w:divBdr>
        <w:top w:val="none" w:sz="0" w:space="0" w:color="auto"/>
        <w:left w:val="none" w:sz="0" w:space="0" w:color="auto"/>
        <w:bottom w:val="none" w:sz="0" w:space="0" w:color="auto"/>
        <w:right w:val="none" w:sz="0" w:space="0" w:color="auto"/>
      </w:divBdr>
      <w:divsChild>
        <w:div w:id="638653236">
          <w:marLeft w:val="0"/>
          <w:marRight w:val="0"/>
          <w:marTop w:val="0"/>
          <w:marBottom w:val="0"/>
          <w:divBdr>
            <w:top w:val="none" w:sz="0" w:space="0" w:color="auto"/>
            <w:left w:val="none" w:sz="0" w:space="0" w:color="auto"/>
            <w:bottom w:val="none" w:sz="0" w:space="0" w:color="auto"/>
            <w:right w:val="none" w:sz="0" w:space="0" w:color="auto"/>
          </w:divBdr>
        </w:div>
        <w:div w:id="903639114">
          <w:marLeft w:val="0"/>
          <w:marRight w:val="0"/>
          <w:marTop w:val="0"/>
          <w:marBottom w:val="0"/>
          <w:divBdr>
            <w:top w:val="none" w:sz="0" w:space="0" w:color="auto"/>
            <w:left w:val="none" w:sz="0" w:space="0" w:color="auto"/>
            <w:bottom w:val="none" w:sz="0" w:space="0" w:color="auto"/>
            <w:right w:val="none" w:sz="0" w:space="0" w:color="auto"/>
          </w:divBdr>
        </w:div>
        <w:div w:id="2122531919">
          <w:marLeft w:val="0"/>
          <w:marRight w:val="0"/>
          <w:marTop w:val="0"/>
          <w:marBottom w:val="0"/>
          <w:divBdr>
            <w:top w:val="none" w:sz="0" w:space="0" w:color="auto"/>
            <w:left w:val="none" w:sz="0" w:space="0" w:color="auto"/>
            <w:bottom w:val="none" w:sz="0" w:space="0" w:color="auto"/>
            <w:right w:val="none" w:sz="0" w:space="0" w:color="auto"/>
          </w:divBdr>
        </w:div>
        <w:div w:id="972442126">
          <w:marLeft w:val="0"/>
          <w:marRight w:val="0"/>
          <w:marTop w:val="0"/>
          <w:marBottom w:val="0"/>
          <w:divBdr>
            <w:top w:val="none" w:sz="0" w:space="0" w:color="auto"/>
            <w:left w:val="none" w:sz="0" w:space="0" w:color="auto"/>
            <w:bottom w:val="none" w:sz="0" w:space="0" w:color="auto"/>
            <w:right w:val="none" w:sz="0" w:space="0" w:color="auto"/>
          </w:divBdr>
        </w:div>
        <w:div w:id="548150786">
          <w:marLeft w:val="0"/>
          <w:marRight w:val="0"/>
          <w:marTop w:val="0"/>
          <w:marBottom w:val="0"/>
          <w:divBdr>
            <w:top w:val="none" w:sz="0" w:space="0" w:color="auto"/>
            <w:left w:val="none" w:sz="0" w:space="0" w:color="auto"/>
            <w:bottom w:val="none" w:sz="0" w:space="0" w:color="auto"/>
            <w:right w:val="none" w:sz="0" w:space="0" w:color="auto"/>
          </w:divBdr>
        </w:div>
        <w:div w:id="868908926">
          <w:marLeft w:val="0"/>
          <w:marRight w:val="0"/>
          <w:marTop w:val="0"/>
          <w:marBottom w:val="0"/>
          <w:divBdr>
            <w:top w:val="none" w:sz="0" w:space="0" w:color="auto"/>
            <w:left w:val="none" w:sz="0" w:space="0" w:color="auto"/>
            <w:bottom w:val="none" w:sz="0" w:space="0" w:color="auto"/>
            <w:right w:val="none" w:sz="0" w:space="0" w:color="auto"/>
          </w:divBdr>
        </w:div>
        <w:div w:id="744497402">
          <w:marLeft w:val="0"/>
          <w:marRight w:val="0"/>
          <w:marTop w:val="0"/>
          <w:marBottom w:val="0"/>
          <w:divBdr>
            <w:top w:val="none" w:sz="0" w:space="0" w:color="auto"/>
            <w:left w:val="none" w:sz="0" w:space="0" w:color="auto"/>
            <w:bottom w:val="none" w:sz="0" w:space="0" w:color="auto"/>
            <w:right w:val="none" w:sz="0" w:space="0" w:color="auto"/>
          </w:divBdr>
        </w:div>
        <w:div w:id="665019663">
          <w:marLeft w:val="0"/>
          <w:marRight w:val="0"/>
          <w:marTop w:val="0"/>
          <w:marBottom w:val="0"/>
          <w:divBdr>
            <w:top w:val="none" w:sz="0" w:space="0" w:color="auto"/>
            <w:left w:val="none" w:sz="0" w:space="0" w:color="auto"/>
            <w:bottom w:val="none" w:sz="0" w:space="0" w:color="auto"/>
            <w:right w:val="none" w:sz="0" w:space="0" w:color="auto"/>
          </w:divBdr>
        </w:div>
        <w:div w:id="260726637">
          <w:marLeft w:val="0"/>
          <w:marRight w:val="0"/>
          <w:marTop w:val="0"/>
          <w:marBottom w:val="0"/>
          <w:divBdr>
            <w:top w:val="none" w:sz="0" w:space="0" w:color="auto"/>
            <w:left w:val="none" w:sz="0" w:space="0" w:color="auto"/>
            <w:bottom w:val="none" w:sz="0" w:space="0" w:color="auto"/>
            <w:right w:val="none" w:sz="0" w:space="0" w:color="auto"/>
          </w:divBdr>
        </w:div>
        <w:div w:id="258105735">
          <w:marLeft w:val="0"/>
          <w:marRight w:val="0"/>
          <w:marTop w:val="0"/>
          <w:marBottom w:val="0"/>
          <w:divBdr>
            <w:top w:val="none" w:sz="0" w:space="0" w:color="auto"/>
            <w:left w:val="none" w:sz="0" w:space="0" w:color="auto"/>
            <w:bottom w:val="none" w:sz="0" w:space="0" w:color="auto"/>
            <w:right w:val="none" w:sz="0" w:space="0" w:color="auto"/>
          </w:divBdr>
        </w:div>
        <w:div w:id="678846399">
          <w:marLeft w:val="0"/>
          <w:marRight w:val="0"/>
          <w:marTop w:val="0"/>
          <w:marBottom w:val="0"/>
          <w:divBdr>
            <w:top w:val="none" w:sz="0" w:space="0" w:color="auto"/>
            <w:left w:val="none" w:sz="0" w:space="0" w:color="auto"/>
            <w:bottom w:val="none" w:sz="0" w:space="0" w:color="auto"/>
            <w:right w:val="none" w:sz="0" w:space="0" w:color="auto"/>
          </w:divBdr>
        </w:div>
      </w:divsChild>
    </w:div>
    <w:div w:id="1466393505">
      <w:bodyDiv w:val="1"/>
      <w:marLeft w:val="0"/>
      <w:marRight w:val="0"/>
      <w:marTop w:val="0"/>
      <w:marBottom w:val="0"/>
      <w:divBdr>
        <w:top w:val="none" w:sz="0" w:space="0" w:color="auto"/>
        <w:left w:val="none" w:sz="0" w:space="0" w:color="auto"/>
        <w:bottom w:val="none" w:sz="0" w:space="0" w:color="auto"/>
        <w:right w:val="none" w:sz="0" w:space="0" w:color="auto"/>
      </w:divBdr>
    </w:div>
    <w:div w:id="1507787420">
      <w:bodyDiv w:val="1"/>
      <w:marLeft w:val="0"/>
      <w:marRight w:val="0"/>
      <w:marTop w:val="0"/>
      <w:marBottom w:val="0"/>
      <w:divBdr>
        <w:top w:val="none" w:sz="0" w:space="0" w:color="auto"/>
        <w:left w:val="none" w:sz="0" w:space="0" w:color="auto"/>
        <w:bottom w:val="none" w:sz="0" w:space="0" w:color="auto"/>
        <w:right w:val="none" w:sz="0" w:space="0" w:color="auto"/>
      </w:divBdr>
    </w:div>
    <w:div w:id="1576551869">
      <w:bodyDiv w:val="1"/>
      <w:marLeft w:val="0"/>
      <w:marRight w:val="0"/>
      <w:marTop w:val="0"/>
      <w:marBottom w:val="0"/>
      <w:divBdr>
        <w:top w:val="none" w:sz="0" w:space="0" w:color="auto"/>
        <w:left w:val="none" w:sz="0" w:space="0" w:color="auto"/>
        <w:bottom w:val="none" w:sz="0" w:space="0" w:color="auto"/>
        <w:right w:val="none" w:sz="0" w:space="0" w:color="auto"/>
      </w:divBdr>
    </w:div>
    <w:div w:id="1597591089">
      <w:bodyDiv w:val="1"/>
      <w:marLeft w:val="0"/>
      <w:marRight w:val="0"/>
      <w:marTop w:val="0"/>
      <w:marBottom w:val="0"/>
      <w:divBdr>
        <w:top w:val="none" w:sz="0" w:space="0" w:color="auto"/>
        <w:left w:val="none" w:sz="0" w:space="0" w:color="auto"/>
        <w:bottom w:val="none" w:sz="0" w:space="0" w:color="auto"/>
        <w:right w:val="none" w:sz="0" w:space="0" w:color="auto"/>
      </w:divBdr>
    </w:div>
    <w:div w:id="1605722669">
      <w:bodyDiv w:val="1"/>
      <w:marLeft w:val="0"/>
      <w:marRight w:val="0"/>
      <w:marTop w:val="0"/>
      <w:marBottom w:val="0"/>
      <w:divBdr>
        <w:top w:val="none" w:sz="0" w:space="0" w:color="auto"/>
        <w:left w:val="none" w:sz="0" w:space="0" w:color="auto"/>
        <w:bottom w:val="none" w:sz="0" w:space="0" w:color="auto"/>
        <w:right w:val="none" w:sz="0" w:space="0" w:color="auto"/>
      </w:divBdr>
    </w:div>
    <w:div w:id="1681548105">
      <w:bodyDiv w:val="1"/>
      <w:marLeft w:val="0"/>
      <w:marRight w:val="0"/>
      <w:marTop w:val="0"/>
      <w:marBottom w:val="0"/>
      <w:divBdr>
        <w:top w:val="none" w:sz="0" w:space="0" w:color="auto"/>
        <w:left w:val="none" w:sz="0" w:space="0" w:color="auto"/>
        <w:bottom w:val="none" w:sz="0" w:space="0" w:color="auto"/>
        <w:right w:val="none" w:sz="0" w:space="0" w:color="auto"/>
      </w:divBdr>
    </w:div>
    <w:div w:id="1704361950">
      <w:bodyDiv w:val="1"/>
      <w:marLeft w:val="0"/>
      <w:marRight w:val="0"/>
      <w:marTop w:val="0"/>
      <w:marBottom w:val="0"/>
      <w:divBdr>
        <w:top w:val="none" w:sz="0" w:space="0" w:color="auto"/>
        <w:left w:val="none" w:sz="0" w:space="0" w:color="auto"/>
        <w:bottom w:val="none" w:sz="0" w:space="0" w:color="auto"/>
        <w:right w:val="none" w:sz="0" w:space="0" w:color="auto"/>
      </w:divBdr>
    </w:div>
    <w:div w:id="1777872163">
      <w:bodyDiv w:val="1"/>
      <w:marLeft w:val="0"/>
      <w:marRight w:val="0"/>
      <w:marTop w:val="0"/>
      <w:marBottom w:val="0"/>
      <w:divBdr>
        <w:top w:val="none" w:sz="0" w:space="0" w:color="auto"/>
        <w:left w:val="none" w:sz="0" w:space="0" w:color="auto"/>
        <w:bottom w:val="none" w:sz="0" w:space="0" w:color="auto"/>
        <w:right w:val="none" w:sz="0" w:space="0" w:color="auto"/>
      </w:divBdr>
      <w:divsChild>
        <w:div w:id="809637178">
          <w:marLeft w:val="0"/>
          <w:marRight w:val="0"/>
          <w:marTop w:val="0"/>
          <w:marBottom w:val="0"/>
          <w:divBdr>
            <w:top w:val="none" w:sz="0" w:space="0" w:color="auto"/>
            <w:left w:val="none" w:sz="0" w:space="0" w:color="auto"/>
            <w:bottom w:val="none" w:sz="0" w:space="0" w:color="auto"/>
            <w:right w:val="none" w:sz="0" w:space="0" w:color="auto"/>
          </w:divBdr>
          <w:divsChild>
            <w:div w:id="757213607">
              <w:marLeft w:val="0"/>
              <w:marRight w:val="0"/>
              <w:marTop w:val="0"/>
              <w:marBottom w:val="0"/>
              <w:divBdr>
                <w:top w:val="none" w:sz="0" w:space="0" w:color="auto"/>
                <w:left w:val="none" w:sz="0" w:space="0" w:color="auto"/>
                <w:bottom w:val="none" w:sz="0" w:space="0" w:color="auto"/>
                <w:right w:val="none" w:sz="0" w:space="0" w:color="auto"/>
              </w:divBdr>
            </w:div>
            <w:div w:id="2109814936">
              <w:marLeft w:val="0"/>
              <w:marRight w:val="0"/>
              <w:marTop w:val="0"/>
              <w:marBottom w:val="0"/>
              <w:divBdr>
                <w:top w:val="none" w:sz="0" w:space="0" w:color="auto"/>
                <w:left w:val="none" w:sz="0" w:space="0" w:color="auto"/>
                <w:bottom w:val="none" w:sz="0" w:space="0" w:color="auto"/>
                <w:right w:val="none" w:sz="0" w:space="0" w:color="auto"/>
              </w:divBdr>
            </w:div>
            <w:div w:id="8625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348">
      <w:bodyDiv w:val="1"/>
      <w:marLeft w:val="0"/>
      <w:marRight w:val="0"/>
      <w:marTop w:val="0"/>
      <w:marBottom w:val="0"/>
      <w:divBdr>
        <w:top w:val="none" w:sz="0" w:space="0" w:color="auto"/>
        <w:left w:val="none" w:sz="0" w:space="0" w:color="auto"/>
        <w:bottom w:val="none" w:sz="0" w:space="0" w:color="auto"/>
        <w:right w:val="none" w:sz="0" w:space="0" w:color="auto"/>
      </w:divBdr>
    </w:div>
    <w:div w:id="1806434590">
      <w:bodyDiv w:val="1"/>
      <w:marLeft w:val="0"/>
      <w:marRight w:val="0"/>
      <w:marTop w:val="0"/>
      <w:marBottom w:val="0"/>
      <w:divBdr>
        <w:top w:val="none" w:sz="0" w:space="0" w:color="auto"/>
        <w:left w:val="none" w:sz="0" w:space="0" w:color="auto"/>
        <w:bottom w:val="none" w:sz="0" w:space="0" w:color="auto"/>
        <w:right w:val="none" w:sz="0" w:space="0" w:color="auto"/>
      </w:divBdr>
    </w:div>
    <w:div w:id="1819226117">
      <w:bodyDiv w:val="1"/>
      <w:marLeft w:val="0"/>
      <w:marRight w:val="0"/>
      <w:marTop w:val="0"/>
      <w:marBottom w:val="0"/>
      <w:divBdr>
        <w:top w:val="none" w:sz="0" w:space="0" w:color="auto"/>
        <w:left w:val="none" w:sz="0" w:space="0" w:color="auto"/>
        <w:bottom w:val="none" w:sz="0" w:space="0" w:color="auto"/>
        <w:right w:val="none" w:sz="0" w:space="0" w:color="auto"/>
      </w:divBdr>
    </w:div>
    <w:div w:id="1819805651">
      <w:bodyDiv w:val="1"/>
      <w:marLeft w:val="0"/>
      <w:marRight w:val="0"/>
      <w:marTop w:val="0"/>
      <w:marBottom w:val="0"/>
      <w:divBdr>
        <w:top w:val="none" w:sz="0" w:space="0" w:color="auto"/>
        <w:left w:val="none" w:sz="0" w:space="0" w:color="auto"/>
        <w:bottom w:val="none" w:sz="0" w:space="0" w:color="auto"/>
        <w:right w:val="none" w:sz="0" w:space="0" w:color="auto"/>
      </w:divBdr>
      <w:divsChild>
        <w:div w:id="787626294">
          <w:marLeft w:val="0"/>
          <w:marRight w:val="0"/>
          <w:marTop w:val="0"/>
          <w:marBottom w:val="0"/>
          <w:divBdr>
            <w:top w:val="none" w:sz="0" w:space="0" w:color="auto"/>
            <w:left w:val="none" w:sz="0" w:space="0" w:color="auto"/>
            <w:bottom w:val="none" w:sz="0" w:space="0" w:color="auto"/>
            <w:right w:val="none" w:sz="0" w:space="0" w:color="auto"/>
          </w:divBdr>
          <w:divsChild>
            <w:div w:id="31225452">
              <w:marLeft w:val="0"/>
              <w:marRight w:val="0"/>
              <w:marTop w:val="0"/>
              <w:marBottom w:val="0"/>
              <w:divBdr>
                <w:top w:val="none" w:sz="0" w:space="0" w:color="auto"/>
                <w:left w:val="none" w:sz="0" w:space="0" w:color="auto"/>
                <w:bottom w:val="none" w:sz="0" w:space="0" w:color="auto"/>
                <w:right w:val="none" w:sz="0" w:space="0" w:color="auto"/>
              </w:divBdr>
              <w:divsChild>
                <w:div w:id="14334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7122">
      <w:bodyDiv w:val="1"/>
      <w:marLeft w:val="0"/>
      <w:marRight w:val="0"/>
      <w:marTop w:val="0"/>
      <w:marBottom w:val="0"/>
      <w:divBdr>
        <w:top w:val="none" w:sz="0" w:space="0" w:color="auto"/>
        <w:left w:val="none" w:sz="0" w:space="0" w:color="auto"/>
        <w:bottom w:val="none" w:sz="0" w:space="0" w:color="auto"/>
        <w:right w:val="none" w:sz="0" w:space="0" w:color="auto"/>
      </w:divBdr>
    </w:div>
    <w:div w:id="1851290151">
      <w:bodyDiv w:val="1"/>
      <w:marLeft w:val="0"/>
      <w:marRight w:val="0"/>
      <w:marTop w:val="0"/>
      <w:marBottom w:val="0"/>
      <w:divBdr>
        <w:top w:val="none" w:sz="0" w:space="0" w:color="auto"/>
        <w:left w:val="none" w:sz="0" w:space="0" w:color="auto"/>
        <w:bottom w:val="none" w:sz="0" w:space="0" w:color="auto"/>
        <w:right w:val="none" w:sz="0" w:space="0" w:color="auto"/>
      </w:divBdr>
      <w:divsChild>
        <w:div w:id="190992976">
          <w:marLeft w:val="0"/>
          <w:marRight w:val="0"/>
          <w:marTop w:val="0"/>
          <w:marBottom w:val="0"/>
          <w:divBdr>
            <w:top w:val="none" w:sz="0" w:space="0" w:color="auto"/>
            <w:left w:val="none" w:sz="0" w:space="0" w:color="auto"/>
            <w:bottom w:val="none" w:sz="0" w:space="0" w:color="auto"/>
            <w:right w:val="none" w:sz="0" w:space="0" w:color="auto"/>
          </w:divBdr>
          <w:divsChild>
            <w:div w:id="568855763">
              <w:marLeft w:val="0"/>
              <w:marRight w:val="0"/>
              <w:marTop w:val="0"/>
              <w:marBottom w:val="0"/>
              <w:divBdr>
                <w:top w:val="none" w:sz="0" w:space="0" w:color="auto"/>
                <w:left w:val="none" w:sz="0" w:space="0" w:color="auto"/>
                <w:bottom w:val="none" w:sz="0" w:space="0" w:color="auto"/>
                <w:right w:val="none" w:sz="0" w:space="0" w:color="auto"/>
              </w:divBdr>
            </w:div>
            <w:div w:id="229196549">
              <w:marLeft w:val="0"/>
              <w:marRight w:val="0"/>
              <w:marTop w:val="0"/>
              <w:marBottom w:val="0"/>
              <w:divBdr>
                <w:top w:val="none" w:sz="0" w:space="0" w:color="auto"/>
                <w:left w:val="none" w:sz="0" w:space="0" w:color="auto"/>
                <w:bottom w:val="none" w:sz="0" w:space="0" w:color="auto"/>
                <w:right w:val="none" w:sz="0" w:space="0" w:color="auto"/>
              </w:divBdr>
            </w:div>
            <w:div w:id="882712702">
              <w:marLeft w:val="0"/>
              <w:marRight w:val="0"/>
              <w:marTop w:val="0"/>
              <w:marBottom w:val="0"/>
              <w:divBdr>
                <w:top w:val="none" w:sz="0" w:space="0" w:color="auto"/>
                <w:left w:val="none" w:sz="0" w:space="0" w:color="auto"/>
                <w:bottom w:val="none" w:sz="0" w:space="0" w:color="auto"/>
                <w:right w:val="none" w:sz="0" w:space="0" w:color="auto"/>
              </w:divBdr>
            </w:div>
            <w:div w:id="274555474">
              <w:marLeft w:val="0"/>
              <w:marRight w:val="0"/>
              <w:marTop w:val="0"/>
              <w:marBottom w:val="0"/>
              <w:divBdr>
                <w:top w:val="none" w:sz="0" w:space="0" w:color="auto"/>
                <w:left w:val="none" w:sz="0" w:space="0" w:color="auto"/>
                <w:bottom w:val="none" w:sz="0" w:space="0" w:color="auto"/>
                <w:right w:val="none" w:sz="0" w:space="0" w:color="auto"/>
              </w:divBdr>
            </w:div>
            <w:div w:id="351273185">
              <w:marLeft w:val="0"/>
              <w:marRight w:val="0"/>
              <w:marTop w:val="0"/>
              <w:marBottom w:val="0"/>
              <w:divBdr>
                <w:top w:val="none" w:sz="0" w:space="0" w:color="auto"/>
                <w:left w:val="none" w:sz="0" w:space="0" w:color="auto"/>
                <w:bottom w:val="none" w:sz="0" w:space="0" w:color="auto"/>
                <w:right w:val="none" w:sz="0" w:space="0" w:color="auto"/>
              </w:divBdr>
            </w:div>
            <w:div w:id="1301379631">
              <w:marLeft w:val="0"/>
              <w:marRight w:val="0"/>
              <w:marTop w:val="0"/>
              <w:marBottom w:val="0"/>
              <w:divBdr>
                <w:top w:val="none" w:sz="0" w:space="0" w:color="auto"/>
                <w:left w:val="none" w:sz="0" w:space="0" w:color="auto"/>
                <w:bottom w:val="none" w:sz="0" w:space="0" w:color="auto"/>
                <w:right w:val="none" w:sz="0" w:space="0" w:color="auto"/>
              </w:divBdr>
            </w:div>
            <w:div w:id="2136560407">
              <w:marLeft w:val="0"/>
              <w:marRight w:val="0"/>
              <w:marTop w:val="0"/>
              <w:marBottom w:val="0"/>
              <w:divBdr>
                <w:top w:val="none" w:sz="0" w:space="0" w:color="auto"/>
                <w:left w:val="none" w:sz="0" w:space="0" w:color="auto"/>
                <w:bottom w:val="none" w:sz="0" w:space="0" w:color="auto"/>
                <w:right w:val="none" w:sz="0" w:space="0" w:color="auto"/>
              </w:divBdr>
            </w:div>
            <w:div w:id="831919574">
              <w:marLeft w:val="0"/>
              <w:marRight w:val="0"/>
              <w:marTop w:val="0"/>
              <w:marBottom w:val="0"/>
              <w:divBdr>
                <w:top w:val="none" w:sz="0" w:space="0" w:color="auto"/>
                <w:left w:val="none" w:sz="0" w:space="0" w:color="auto"/>
                <w:bottom w:val="none" w:sz="0" w:space="0" w:color="auto"/>
                <w:right w:val="none" w:sz="0" w:space="0" w:color="auto"/>
              </w:divBdr>
            </w:div>
            <w:div w:id="1288270440">
              <w:marLeft w:val="0"/>
              <w:marRight w:val="0"/>
              <w:marTop w:val="0"/>
              <w:marBottom w:val="0"/>
              <w:divBdr>
                <w:top w:val="none" w:sz="0" w:space="0" w:color="auto"/>
                <w:left w:val="none" w:sz="0" w:space="0" w:color="auto"/>
                <w:bottom w:val="none" w:sz="0" w:space="0" w:color="auto"/>
                <w:right w:val="none" w:sz="0" w:space="0" w:color="auto"/>
              </w:divBdr>
            </w:div>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 w:id="789590627">
              <w:marLeft w:val="0"/>
              <w:marRight w:val="0"/>
              <w:marTop w:val="0"/>
              <w:marBottom w:val="0"/>
              <w:divBdr>
                <w:top w:val="none" w:sz="0" w:space="0" w:color="auto"/>
                <w:left w:val="none" w:sz="0" w:space="0" w:color="auto"/>
                <w:bottom w:val="none" w:sz="0" w:space="0" w:color="auto"/>
                <w:right w:val="none" w:sz="0" w:space="0" w:color="auto"/>
              </w:divBdr>
            </w:div>
            <w:div w:id="413363468">
              <w:marLeft w:val="0"/>
              <w:marRight w:val="0"/>
              <w:marTop w:val="0"/>
              <w:marBottom w:val="0"/>
              <w:divBdr>
                <w:top w:val="none" w:sz="0" w:space="0" w:color="auto"/>
                <w:left w:val="none" w:sz="0" w:space="0" w:color="auto"/>
                <w:bottom w:val="none" w:sz="0" w:space="0" w:color="auto"/>
                <w:right w:val="none" w:sz="0" w:space="0" w:color="auto"/>
              </w:divBdr>
            </w:div>
            <w:div w:id="154419033">
              <w:marLeft w:val="0"/>
              <w:marRight w:val="0"/>
              <w:marTop w:val="0"/>
              <w:marBottom w:val="0"/>
              <w:divBdr>
                <w:top w:val="none" w:sz="0" w:space="0" w:color="auto"/>
                <w:left w:val="none" w:sz="0" w:space="0" w:color="auto"/>
                <w:bottom w:val="none" w:sz="0" w:space="0" w:color="auto"/>
                <w:right w:val="none" w:sz="0" w:space="0" w:color="auto"/>
              </w:divBdr>
            </w:div>
            <w:div w:id="1241676022">
              <w:marLeft w:val="0"/>
              <w:marRight w:val="0"/>
              <w:marTop w:val="0"/>
              <w:marBottom w:val="0"/>
              <w:divBdr>
                <w:top w:val="none" w:sz="0" w:space="0" w:color="auto"/>
                <w:left w:val="none" w:sz="0" w:space="0" w:color="auto"/>
                <w:bottom w:val="none" w:sz="0" w:space="0" w:color="auto"/>
                <w:right w:val="none" w:sz="0" w:space="0" w:color="auto"/>
              </w:divBdr>
            </w:div>
            <w:div w:id="345328454">
              <w:marLeft w:val="0"/>
              <w:marRight w:val="0"/>
              <w:marTop w:val="0"/>
              <w:marBottom w:val="0"/>
              <w:divBdr>
                <w:top w:val="none" w:sz="0" w:space="0" w:color="auto"/>
                <w:left w:val="none" w:sz="0" w:space="0" w:color="auto"/>
                <w:bottom w:val="none" w:sz="0" w:space="0" w:color="auto"/>
                <w:right w:val="none" w:sz="0" w:space="0" w:color="auto"/>
              </w:divBdr>
            </w:div>
            <w:div w:id="1302539289">
              <w:marLeft w:val="0"/>
              <w:marRight w:val="0"/>
              <w:marTop w:val="0"/>
              <w:marBottom w:val="0"/>
              <w:divBdr>
                <w:top w:val="none" w:sz="0" w:space="0" w:color="auto"/>
                <w:left w:val="none" w:sz="0" w:space="0" w:color="auto"/>
                <w:bottom w:val="none" w:sz="0" w:space="0" w:color="auto"/>
                <w:right w:val="none" w:sz="0" w:space="0" w:color="auto"/>
              </w:divBdr>
            </w:div>
            <w:div w:id="1328556823">
              <w:marLeft w:val="0"/>
              <w:marRight w:val="0"/>
              <w:marTop w:val="0"/>
              <w:marBottom w:val="0"/>
              <w:divBdr>
                <w:top w:val="none" w:sz="0" w:space="0" w:color="auto"/>
                <w:left w:val="none" w:sz="0" w:space="0" w:color="auto"/>
                <w:bottom w:val="none" w:sz="0" w:space="0" w:color="auto"/>
                <w:right w:val="none" w:sz="0" w:space="0" w:color="auto"/>
              </w:divBdr>
            </w:div>
            <w:div w:id="645818943">
              <w:marLeft w:val="0"/>
              <w:marRight w:val="0"/>
              <w:marTop w:val="0"/>
              <w:marBottom w:val="0"/>
              <w:divBdr>
                <w:top w:val="none" w:sz="0" w:space="0" w:color="auto"/>
                <w:left w:val="none" w:sz="0" w:space="0" w:color="auto"/>
                <w:bottom w:val="none" w:sz="0" w:space="0" w:color="auto"/>
                <w:right w:val="none" w:sz="0" w:space="0" w:color="auto"/>
              </w:divBdr>
            </w:div>
            <w:div w:id="5433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8911">
      <w:bodyDiv w:val="1"/>
      <w:marLeft w:val="0"/>
      <w:marRight w:val="0"/>
      <w:marTop w:val="0"/>
      <w:marBottom w:val="0"/>
      <w:divBdr>
        <w:top w:val="none" w:sz="0" w:space="0" w:color="auto"/>
        <w:left w:val="none" w:sz="0" w:space="0" w:color="auto"/>
        <w:bottom w:val="none" w:sz="0" w:space="0" w:color="auto"/>
        <w:right w:val="none" w:sz="0" w:space="0" w:color="auto"/>
      </w:divBdr>
    </w:div>
    <w:div w:id="1915622321">
      <w:bodyDiv w:val="1"/>
      <w:marLeft w:val="0"/>
      <w:marRight w:val="0"/>
      <w:marTop w:val="0"/>
      <w:marBottom w:val="0"/>
      <w:divBdr>
        <w:top w:val="none" w:sz="0" w:space="0" w:color="auto"/>
        <w:left w:val="none" w:sz="0" w:space="0" w:color="auto"/>
        <w:bottom w:val="none" w:sz="0" w:space="0" w:color="auto"/>
        <w:right w:val="none" w:sz="0" w:space="0" w:color="auto"/>
      </w:divBdr>
    </w:div>
    <w:div w:id="1944219467">
      <w:bodyDiv w:val="1"/>
      <w:marLeft w:val="0"/>
      <w:marRight w:val="0"/>
      <w:marTop w:val="0"/>
      <w:marBottom w:val="0"/>
      <w:divBdr>
        <w:top w:val="none" w:sz="0" w:space="0" w:color="auto"/>
        <w:left w:val="none" w:sz="0" w:space="0" w:color="auto"/>
        <w:bottom w:val="none" w:sz="0" w:space="0" w:color="auto"/>
        <w:right w:val="none" w:sz="0" w:space="0" w:color="auto"/>
      </w:divBdr>
    </w:div>
    <w:div w:id="1956862035">
      <w:bodyDiv w:val="1"/>
      <w:marLeft w:val="0"/>
      <w:marRight w:val="0"/>
      <w:marTop w:val="0"/>
      <w:marBottom w:val="0"/>
      <w:divBdr>
        <w:top w:val="none" w:sz="0" w:space="0" w:color="auto"/>
        <w:left w:val="none" w:sz="0" w:space="0" w:color="auto"/>
        <w:bottom w:val="none" w:sz="0" w:space="0" w:color="auto"/>
        <w:right w:val="none" w:sz="0" w:space="0" w:color="auto"/>
      </w:divBdr>
    </w:div>
    <w:div w:id="1963075454">
      <w:bodyDiv w:val="1"/>
      <w:marLeft w:val="0"/>
      <w:marRight w:val="0"/>
      <w:marTop w:val="0"/>
      <w:marBottom w:val="0"/>
      <w:divBdr>
        <w:top w:val="none" w:sz="0" w:space="0" w:color="auto"/>
        <w:left w:val="none" w:sz="0" w:space="0" w:color="auto"/>
        <w:bottom w:val="none" w:sz="0" w:space="0" w:color="auto"/>
        <w:right w:val="none" w:sz="0" w:space="0" w:color="auto"/>
      </w:divBdr>
      <w:divsChild>
        <w:div w:id="1173909675">
          <w:marLeft w:val="547"/>
          <w:marRight w:val="0"/>
          <w:marTop w:val="400"/>
          <w:marBottom w:val="0"/>
          <w:divBdr>
            <w:top w:val="none" w:sz="0" w:space="0" w:color="auto"/>
            <w:left w:val="none" w:sz="0" w:space="0" w:color="auto"/>
            <w:bottom w:val="none" w:sz="0" w:space="0" w:color="auto"/>
            <w:right w:val="none" w:sz="0" w:space="0" w:color="auto"/>
          </w:divBdr>
        </w:div>
        <w:div w:id="515002009">
          <w:marLeft w:val="547"/>
          <w:marRight w:val="0"/>
          <w:marTop w:val="400"/>
          <w:marBottom w:val="0"/>
          <w:divBdr>
            <w:top w:val="none" w:sz="0" w:space="0" w:color="auto"/>
            <w:left w:val="none" w:sz="0" w:space="0" w:color="auto"/>
            <w:bottom w:val="none" w:sz="0" w:space="0" w:color="auto"/>
            <w:right w:val="none" w:sz="0" w:space="0" w:color="auto"/>
          </w:divBdr>
        </w:div>
        <w:div w:id="1822501862">
          <w:marLeft w:val="547"/>
          <w:marRight w:val="0"/>
          <w:marTop w:val="400"/>
          <w:marBottom w:val="0"/>
          <w:divBdr>
            <w:top w:val="none" w:sz="0" w:space="0" w:color="auto"/>
            <w:left w:val="none" w:sz="0" w:space="0" w:color="auto"/>
            <w:bottom w:val="none" w:sz="0" w:space="0" w:color="auto"/>
            <w:right w:val="none" w:sz="0" w:space="0" w:color="auto"/>
          </w:divBdr>
        </w:div>
        <w:div w:id="1009334032">
          <w:marLeft w:val="547"/>
          <w:marRight w:val="0"/>
          <w:marTop w:val="400"/>
          <w:marBottom w:val="0"/>
          <w:divBdr>
            <w:top w:val="none" w:sz="0" w:space="0" w:color="auto"/>
            <w:left w:val="none" w:sz="0" w:space="0" w:color="auto"/>
            <w:bottom w:val="none" w:sz="0" w:space="0" w:color="auto"/>
            <w:right w:val="none" w:sz="0" w:space="0" w:color="auto"/>
          </w:divBdr>
        </w:div>
      </w:divsChild>
    </w:div>
    <w:div w:id="2016615542">
      <w:bodyDiv w:val="1"/>
      <w:marLeft w:val="0"/>
      <w:marRight w:val="0"/>
      <w:marTop w:val="0"/>
      <w:marBottom w:val="0"/>
      <w:divBdr>
        <w:top w:val="none" w:sz="0" w:space="0" w:color="auto"/>
        <w:left w:val="none" w:sz="0" w:space="0" w:color="auto"/>
        <w:bottom w:val="none" w:sz="0" w:space="0" w:color="auto"/>
        <w:right w:val="none" w:sz="0" w:space="0" w:color="auto"/>
      </w:divBdr>
    </w:div>
    <w:div w:id="2036536291">
      <w:bodyDiv w:val="1"/>
      <w:marLeft w:val="0"/>
      <w:marRight w:val="0"/>
      <w:marTop w:val="0"/>
      <w:marBottom w:val="0"/>
      <w:divBdr>
        <w:top w:val="none" w:sz="0" w:space="0" w:color="auto"/>
        <w:left w:val="none" w:sz="0" w:space="0" w:color="auto"/>
        <w:bottom w:val="none" w:sz="0" w:space="0" w:color="auto"/>
        <w:right w:val="none" w:sz="0" w:space="0" w:color="auto"/>
      </w:divBdr>
    </w:div>
    <w:div w:id="2036541534">
      <w:bodyDiv w:val="1"/>
      <w:marLeft w:val="0"/>
      <w:marRight w:val="0"/>
      <w:marTop w:val="0"/>
      <w:marBottom w:val="0"/>
      <w:divBdr>
        <w:top w:val="none" w:sz="0" w:space="0" w:color="auto"/>
        <w:left w:val="none" w:sz="0" w:space="0" w:color="auto"/>
        <w:bottom w:val="none" w:sz="0" w:space="0" w:color="auto"/>
        <w:right w:val="none" w:sz="0" w:space="0" w:color="auto"/>
      </w:divBdr>
    </w:div>
    <w:div w:id="2040348799">
      <w:bodyDiv w:val="1"/>
      <w:marLeft w:val="0"/>
      <w:marRight w:val="0"/>
      <w:marTop w:val="0"/>
      <w:marBottom w:val="0"/>
      <w:divBdr>
        <w:top w:val="none" w:sz="0" w:space="0" w:color="auto"/>
        <w:left w:val="none" w:sz="0" w:space="0" w:color="auto"/>
        <w:bottom w:val="none" w:sz="0" w:space="0" w:color="auto"/>
        <w:right w:val="none" w:sz="0" w:space="0" w:color="auto"/>
      </w:divBdr>
    </w:div>
    <w:div w:id="2040546824">
      <w:bodyDiv w:val="1"/>
      <w:marLeft w:val="0"/>
      <w:marRight w:val="0"/>
      <w:marTop w:val="0"/>
      <w:marBottom w:val="0"/>
      <w:divBdr>
        <w:top w:val="none" w:sz="0" w:space="0" w:color="auto"/>
        <w:left w:val="none" w:sz="0" w:space="0" w:color="auto"/>
        <w:bottom w:val="none" w:sz="0" w:space="0" w:color="auto"/>
        <w:right w:val="none" w:sz="0" w:space="0" w:color="auto"/>
      </w:divBdr>
    </w:div>
    <w:div w:id="2042120785">
      <w:bodyDiv w:val="1"/>
      <w:marLeft w:val="0"/>
      <w:marRight w:val="0"/>
      <w:marTop w:val="0"/>
      <w:marBottom w:val="0"/>
      <w:divBdr>
        <w:top w:val="none" w:sz="0" w:space="0" w:color="auto"/>
        <w:left w:val="none" w:sz="0" w:space="0" w:color="auto"/>
        <w:bottom w:val="none" w:sz="0" w:space="0" w:color="auto"/>
        <w:right w:val="none" w:sz="0" w:space="0" w:color="auto"/>
      </w:divBdr>
    </w:div>
    <w:div w:id="2079135516">
      <w:bodyDiv w:val="1"/>
      <w:marLeft w:val="0"/>
      <w:marRight w:val="0"/>
      <w:marTop w:val="0"/>
      <w:marBottom w:val="0"/>
      <w:divBdr>
        <w:top w:val="none" w:sz="0" w:space="0" w:color="auto"/>
        <w:left w:val="none" w:sz="0" w:space="0" w:color="auto"/>
        <w:bottom w:val="none" w:sz="0" w:space="0" w:color="auto"/>
        <w:right w:val="none" w:sz="0" w:space="0" w:color="auto"/>
      </w:divBdr>
    </w:div>
    <w:div w:id="2091805504">
      <w:bodyDiv w:val="1"/>
      <w:marLeft w:val="0"/>
      <w:marRight w:val="0"/>
      <w:marTop w:val="0"/>
      <w:marBottom w:val="0"/>
      <w:divBdr>
        <w:top w:val="none" w:sz="0" w:space="0" w:color="auto"/>
        <w:left w:val="none" w:sz="0" w:space="0" w:color="auto"/>
        <w:bottom w:val="none" w:sz="0" w:space="0" w:color="auto"/>
        <w:right w:val="none" w:sz="0" w:space="0" w:color="auto"/>
      </w:divBdr>
      <w:divsChild>
        <w:div w:id="589196856">
          <w:marLeft w:val="0"/>
          <w:marRight w:val="0"/>
          <w:marTop w:val="0"/>
          <w:marBottom w:val="0"/>
          <w:divBdr>
            <w:top w:val="none" w:sz="0" w:space="0" w:color="auto"/>
            <w:left w:val="none" w:sz="0" w:space="0" w:color="auto"/>
            <w:bottom w:val="none" w:sz="0" w:space="0" w:color="auto"/>
            <w:right w:val="none" w:sz="0" w:space="0" w:color="auto"/>
          </w:divBdr>
          <w:divsChild>
            <w:div w:id="209733578">
              <w:marLeft w:val="0"/>
              <w:marRight w:val="0"/>
              <w:marTop w:val="0"/>
              <w:marBottom w:val="0"/>
              <w:divBdr>
                <w:top w:val="none" w:sz="0" w:space="0" w:color="auto"/>
                <w:left w:val="none" w:sz="0" w:space="0" w:color="auto"/>
                <w:bottom w:val="none" w:sz="0" w:space="0" w:color="auto"/>
                <w:right w:val="none" w:sz="0" w:space="0" w:color="auto"/>
              </w:divBdr>
              <w:divsChild>
                <w:div w:id="3238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6448">
      <w:bodyDiv w:val="1"/>
      <w:marLeft w:val="0"/>
      <w:marRight w:val="0"/>
      <w:marTop w:val="0"/>
      <w:marBottom w:val="0"/>
      <w:divBdr>
        <w:top w:val="none" w:sz="0" w:space="0" w:color="auto"/>
        <w:left w:val="none" w:sz="0" w:space="0" w:color="auto"/>
        <w:bottom w:val="none" w:sz="0" w:space="0" w:color="auto"/>
        <w:right w:val="none" w:sz="0" w:space="0" w:color="auto"/>
      </w:divBdr>
    </w:div>
    <w:div w:id="2125339495">
      <w:bodyDiv w:val="1"/>
      <w:marLeft w:val="0"/>
      <w:marRight w:val="0"/>
      <w:marTop w:val="0"/>
      <w:marBottom w:val="0"/>
      <w:divBdr>
        <w:top w:val="none" w:sz="0" w:space="0" w:color="auto"/>
        <w:left w:val="none" w:sz="0" w:space="0" w:color="auto"/>
        <w:bottom w:val="none" w:sz="0" w:space="0" w:color="auto"/>
        <w:right w:val="none" w:sz="0" w:space="0" w:color="auto"/>
      </w:divBdr>
    </w:div>
    <w:div w:id="2126339512">
      <w:bodyDiv w:val="1"/>
      <w:marLeft w:val="0"/>
      <w:marRight w:val="0"/>
      <w:marTop w:val="0"/>
      <w:marBottom w:val="0"/>
      <w:divBdr>
        <w:top w:val="none" w:sz="0" w:space="0" w:color="auto"/>
        <w:left w:val="none" w:sz="0" w:space="0" w:color="auto"/>
        <w:bottom w:val="none" w:sz="0" w:space="0" w:color="auto"/>
        <w:right w:val="none" w:sz="0" w:space="0" w:color="auto"/>
      </w:divBdr>
    </w:div>
    <w:div w:id="2126345522">
      <w:bodyDiv w:val="1"/>
      <w:marLeft w:val="0"/>
      <w:marRight w:val="0"/>
      <w:marTop w:val="0"/>
      <w:marBottom w:val="0"/>
      <w:divBdr>
        <w:top w:val="none" w:sz="0" w:space="0" w:color="auto"/>
        <w:left w:val="none" w:sz="0" w:space="0" w:color="auto"/>
        <w:bottom w:val="none" w:sz="0" w:space="0" w:color="auto"/>
        <w:right w:val="none" w:sz="0" w:space="0" w:color="auto"/>
      </w:divBdr>
      <w:divsChild>
        <w:div w:id="1996958236">
          <w:marLeft w:val="0"/>
          <w:marRight w:val="0"/>
          <w:marTop w:val="0"/>
          <w:marBottom w:val="0"/>
          <w:divBdr>
            <w:top w:val="none" w:sz="0" w:space="0" w:color="auto"/>
            <w:left w:val="none" w:sz="0" w:space="0" w:color="auto"/>
            <w:bottom w:val="none" w:sz="0" w:space="0" w:color="auto"/>
            <w:right w:val="none" w:sz="0" w:space="0" w:color="auto"/>
          </w:divBdr>
          <w:divsChild>
            <w:div w:id="56169244">
              <w:marLeft w:val="0"/>
              <w:marRight w:val="0"/>
              <w:marTop w:val="0"/>
              <w:marBottom w:val="0"/>
              <w:divBdr>
                <w:top w:val="none" w:sz="0" w:space="0" w:color="auto"/>
                <w:left w:val="none" w:sz="0" w:space="0" w:color="auto"/>
                <w:bottom w:val="none" w:sz="0" w:space="0" w:color="auto"/>
                <w:right w:val="none" w:sz="0" w:space="0" w:color="auto"/>
              </w:divBdr>
            </w:div>
            <w:div w:id="957876189">
              <w:marLeft w:val="0"/>
              <w:marRight w:val="0"/>
              <w:marTop w:val="0"/>
              <w:marBottom w:val="0"/>
              <w:divBdr>
                <w:top w:val="none" w:sz="0" w:space="0" w:color="auto"/>
                <w:left w:val="none" w:sz="0" w:space="0" w:color="auto"/>
                <w:bottom w:val="none" w:sz="0" w:space="0" w:color="auto"/>
                <w:right w:val="none" w:sz="0" w:space="0" w:color="auto"/>
              </w:divBdr>
            </w:div>
            <w:div w:id="2917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885">
      <w:bodyDiv w:val="1"/>
      <w:marLeft w:val="0"/>
      <w:marRight w:val="0"/>
      <w:marTop w:val="0"/>
      <w:marBottom w:val="0"/>
      <w:divBdr>
        <w:top w:val="none" w:sz="0" w:space="0" w:color="auto"/>
        <w:left w:val="none" w:sz="0" w:space="0" w:color="auto"/>
        <w:bottom w:val="none" w:sz="0" w:space="0" w:color="auto"/>
        <w:right w:val="none" w:sz="0" w:space="0" w:color="auto"/>
      </w:divBdr>
    </w:div>
    <w:div w:id="21333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agueinstituteforglobaljustice.org/latest-insights/latest-insights/commentary/the-barundikazi-burundian-womens-quest-for-a-voice-in-the-peace-process/" TargetMode="External"/><Relationship Id="rId13" Type="http://schemas.openxmlformats.org/officeDocument/2006/relationships/hyperlink" Target="https://www.bbc.com/news/uk-northern-ireland-45437388" TargetMode="External"/><Relationship Id="rId18" Type="http://schemas.openxmlformats.org/officeDocument/2006/relationships/hyperlink" Target="https://projects.iq.harvard.edu/files/ruling_politics/files/ruling_politics_intro-finalcompletedraft.pdf" TargetMode="External"/><Relationship Id="rId26" Type="http://schemas.openxmlformats.org/officeDocument/2006/relationships/hyperlink" Target="http://documents-dds-ny.un.org/doc/UNDOC/GEN/N10/508/20/pdf/N1050820.pdf?OpenEleme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nawo.org.uk/wp-content/uploads/2012/07/OHCHR-Read-the-UN-Press-Office-press-release-on-the-UK-Governments-examination-by-CEDAW-yesterday.pdf" TargetMode="External"/><Relationship Id="rId34" Type="http://schemas.openxmlformats.org/officeDocument/2006/relationships/hyperlink" Target="http://www.politicalsettlements.org/research/pax-women/" TargetMode="External"/><Relationship Id="rId7" Type="http://schemas.openxmlformats.org/officeDocument/2006/relationships/endnotes" Target="endnotes.xml"/><Relationship Id="rId12" Type="http://schemas.openxmlformats.org/officeDocument/2006/relationships/hyperlink" Target="http://www.quotaproject.org/country/rwanda" TargetMode="External"/><Relationship Id="rId17" Type="http://schemas.openxmlformats.org/officeDocument/2006/relationships/hyperlink" Target="https://www.opendemocracy.net/5050/elizabeth-law-ann-marie-gray/politics-of-defining-armed-conflict-in-northern-ireland" TargetMode="External"/><Relationship Id="rId25" Type="http://schemas.openxmlformats.org/officeDocument/2006/relationships/hyperlink" Target="https://www.tandfonline.com/doi/full/10.1080/13537113.2017.1422642" TargetMode="External"/><Relationship Id="rId33" Type="http://schemas.openxmlformats.org/officeDocument/2006/relationships/hyperlink" Target="https://wilpf.org/cedaw-and-womens-rights-in-bosni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isisgroup.org/africa/central-africa/burundi/247-burundi-army-crisis" TargetMode="External"/><Relationship Id="rId20" Type="http://schemas.openxmlformats.org/officeDocument/2006/relationships/hyperlink" Target="https://www.irishtimes.com/opinion/after-the-belfast-rape-trial-the-city-needs-its-rape-crisis-centre-back-1.3460804" TargetMode="External"/><Relationship Id="rId29" Type="http://schemas.openxmlformats.org/officeDocument/2006/relationships/hyperlink" Target="https://documents-dds-ny.un.org/doc/UNDOC/GEN/N00/720/18/PDF/N0072018.pdf?OpenEle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o.org/utility/DownloadFile.ashx?id=394&amp;type=publicationfile" TargetMode="External"/><Relationship Id="rId24" Type="http://schemas.openxmlformats.org/officeDocument/2006/relationships/hyperlink" Target="http://blogs.lse.ac.uk/politicsandpolicy/the-marginalisation-of-womens-rights-in-northern-ireland-20-years-after-the-good-friday-agreement/" TargetMode="External"/><Relationship Id="rId32" Type="http://schemas.openxmlformats.org/officeDocument/2006/relationships/hyperlink" Target="https://wilpf.org/cedaw-discusses-the-implementation-of-unscr-1325-in-the-united-kingdom/"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pendemocracy.net/can-europe-make-it/tea-hadziristic/women-in-bosnia" TargetMode="External"/><Relationship Id="rId23" Type="http://schemas.openxmlformats.org/officeDocument/2006/relationships/hyperlink" Target="https://newsarchive.ohchr.org/EN/NewsEvents/Pages/DisplayNews.aspx?NewsID=13556&amp;LangID=E" TargetMode="External"/><Relationship Id="rId28" Type="http://schemas.openxmlformats.org/officeDocument/2006/relationships/hyperlink" Target="http://hdr.undp.org/sites/default/files/bosnia_nhdr_2009_en_0.pdf" TargetMode="External"/><Relationship Id="rId36" Type="http://schemas.openxmlformats.org/officeDocument/2006/relationships/header" Target="header1.xml"/><Relationship Id="rId10" Type="http://schemas.openxmlformats.org/officeDocument/2006/relationships/hyperlink" Target="https://www.echr.coe.int/Documents/CP_Bosnia_and_Herzegovina_ENG.pdf" TargetMode="External"/><Relationship Id="rId19" Type="http://schemas.openxmlformats.org/officeDocument/2006/relationships/hyperlink" Target="https://www.newstatesman.com/politics/uk/2018/05/government-has-little-choice-introduce-direct-rule-northern-ireland" TargetMode="External"/><Relationship Id="rId31" Type="http://schemas.openxmlformats.org/officeDocument/2006/relationships/hyperlink" Target="https://www.uantwerpen.be/images/uantwerpen/container2673/files/Publications/WP/2017/wp-201701.pdf" TargetMode="External"/><Relationship Id="rId4" Type="http://schemas.openxmlformats.org/officeDocument/2006/relationships/settings" Target="settings.xml"/><Relationship Id="rId9" Type="http://schemas.openxmlformats.org/officeDocument/2006/relationships/hyperlink" Target="http://www.un.org/womenwatch/daw/egm/peace2003/reports/BPChinkin.PDF" TargetMode="External"/><Relationship Id="rId14" Type="http://schemas.openxmlformats.org/officeDocument/2006/relationships/hyperlink" Target="http://hdl.handle.net/10419/163045" TargetMode="External"/><Relationship Id="rId22" Type="http://schemas.openxmlformats.org/officeDocument/2006/relationships/hyperlink" Target="https://www.berghof-foundation.org/fileadmin/redaktion/Publications/Papers/Transitions_Series/transitions10_burundi.pdf" TargetMode="External"/><Relationship Id="rId27" Type="http://schemas.openxmlformats.org/officeDocument/2006/relationships/hyperlink" Target="http://www.undp.org/content/undp/en/home/librarypage/democratic-governance/electoral_systemsandprocesses/promoting-gender-equality-in-electoral-assistance0.html" TargetMode="External"/><Relationship Id="rId30" Type="http://schemas.openxmlformats.org/officeDocument/2006/relationships/hyperlink" Target="https://www.usaid.gov/bosnia/fact-sheets/fact-sheet-empowering-women-bosnia-and-herzegovina" TargetMode="External"/><Relationship Id="rId35" Type="http://schemas.openxmlformats.org/officeDocument/2006/relationships/hyperlink" Target="http://documents.worldbank.org/curated/en/754241467992483659/pdf/97640-ESW-P132666-and-P152786-Box385353B-PUBLIC-BiH-Gender-Disparities-in-Endowment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era.murtagh@villanova.edu" TargetMode="External"/><Relationship Id="rId1" Type="http://schemas.openxmlformats.org/officeDocument/2006/relationships/hyperlink" Target="mailto:f.s.mackay@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EB7A-8EBD-431A-BDDE-EB581D3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54</Pages>
  <Words>17740</Words>
  <Characters>108395</Characters>
  <Application>Microsoft Office Word</Application>
  <DocSecurity>0</DocSecurity>
  <Lines>1868</Lines>
  <Paragraphs>385</Paragraphs>
  <ScaleCrop>false</ScaleCrop>
  <HeadingPairs>
    <vt:vector size="2" baseType="variant">
      <vt:variant>
        <vt:lpstr>Title</vt:lpstr>
      </vt:variant>
      <vt:variant>
        <vt:i4>1</vt:i4>
      </vt:variant>
    </vt:vector>
  </HeadingPairs>
  <TitlesOfParts>
    <vt:vector size="1" baseType="lpstr">
      <vt:lpstr/>
    </vt:vector>
  </TitlesOfParts>
  <Company>The University of Edinburgh</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s0565577</dc:creator>
  <cp:keywords/>
  <dc:description/>
  <cp:lastModifiedBy>Rosemary Hunter</cp:lastModifiedBy>
  <cp:revision>12</cp:revision>
  <cp:lastPrinted>2018-04-30T11:25:00Z</cp:lastPrinted>
  <dcterms:created xsi:type="dcterms:W3CDTF">2019-02-07T23:04:00Z</dcterms:created>
  <dcterms:modified xsi:type="dcterms:W3CDTF">2019-02-08T21:27:00Z</dcterms:modified>
</cp:coreProperties>
</file>