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858" w:rsidRPr="00101EB7" w:rsidRDefault="003417B9" w:rsidP="00340CFF">
      <w:pPr>
        <w:spacing w:line="276" w:lineRule="auto"/>
        <w:rPr>
          <w:rFonts w:ascii="Times New Roman" w:hAnsi="Times New Roman" w:cs="Times New Roman"/>
          <w:b/>
          <w:sz w:val="28"/>
          <w:szCs w:val="28"/>
        </w:rPr>
      </w:pPr>
      <w:r w:rsidRPr="00101EB7">
        <w:rPr>
          <w:rFonts w:ascii="Times New Roman" w:hAnsi="Times New Roman" w:cs="Times New Roman"/>
          <w:b/>
          <w:sz w:val="28"/>
          <w:szCs w:val="28"/>
        </w:rPr>
        <w:t xml:space="preserve">‘A woman like you’: gender, uncertainty and expert opinion evidence in the contemporary criminal trial </w:t>
      </w:r>
    </w:p>
    <w:p w:rsidR="00F84A4F" w:rsidRPr="00621883" w:rsidRDefault="00F84A4F" w:rsidP="00AB4819">
      <w:pPr>
        <w:spacing w:line="276" w:lineRule="auto"/>
        <w:jc w:val="both"/>
        <w:rPr>
          <w:rFonts w:ascii="Times New Roman" w:hAnsi="Times New Roman" w:cs="Times New Roman"/>
        </w:rPr>
      </w:pPr>
    </w:p>
    <w:p w:rsidR="002B32B1" w:rsidRPr="00F6463B" w:rsidRDefault="00DA2B25" w:rsidP="00AB4819">
      <w:pPr>
        <w:spacing w:line="276" w:lineRule="auto"/>
        <w:jc w:val="both"/>
        <w:rPr>
          <w:rFonts w:ascii="Times New Roman" w:hAnsi="Times New Roman" w:cs="Times New Roman"/>
          <w:b/>
        </w:rPr>
      </w:pPr>
      <w:r w:rsidRPr="00F6463B">
        <w:rPr>
          <w:rFonts w:ascii="Times New Roman" w:hAnsi="Times New Roman" w:cs="Times New Roman"/>
          <w:b/>
        </w:rPr>
        <w:t>Mehera San Roque</w:t>
      </w:r>
      <w:r w:rsidR="00F6463B">
        <w:rPr>
          <w:rStyle w:val="FootnoteReference"/>
          <w:rFonts w:ascii="Times New Roman" w:hAnsi="Times New Roman" w:cs="Times New Roman"/>
          <w:b/>
        </w:rPr>
        <w:footnoteReference w:customMarkFollows="1" w:id="1"/>
        <w:t>*</w:t>
      </w:r>
    </w:p>
    <w:p w:rsidR="00F84A4F" w:rsidRPr="00621883" w:rsidRDefault="00F84A4F" w:rsidP="00AB4819">
      <w:pPr>
        <w:spacing w:line="276" w:lineRule="auto"/>
        <w:jc w:val="both"/>
        <w:rPr>
          <w:rFonts w:ascii="Times New Roman" w:hAnsi="Times New Roman" w:cs="Times New Roman"/>
        </w:rPr>
      </w:pPr>
    </w:p>
    <w:p w:rsidR="006402FA" w:rsidRDefault="00A506EE" w:rsidP="00AB4819">
      <w:pPr>
        <w:spacing w:line="276" w:lineRule="auto"/>
        <w:jc w:val="both"/>
        <w:rPr>
          <w:rFonts w:ascii="Times New Roman" w:hAnsi="Times New Roman" w:cs="Times New Roman"/>
        </w:rPr>
      </w:pPr>
      <w:r w:rsidRPr="00621883">
        <w:rPr>
          <w:rFonts w:ascii="Times New Roman" w:hAnsi="Times New Roman" w:cs="Times New Roman"/>
        </w:rPr>
        <w:t xml:space="preserve">Emma </w:t>
      </w:r>
      <w:r w:rsidR="006402FA">
        <w:rPr>
          <w:rFonts w:ascii="Times New Roman" w:hAnsi="Times New Roman" w:cs="Times New Roman"/>
        </w:rPr>
        <w:t xml:space="preserve">Cunliffe </w:t>
      </w:r>
      <w:r w:rsidRPr="00621883">
        <w:rPr>
          <w:rFonts w:ascii="Times New Roman" w:hAnsi="Times New Roman" w:cs="Times New Roman"/>
        </w:rPr>
        <w:t>begins her a</w:t>
      </w:r>
      <w:r w:rsidR="00EF0C84">
        <w:rPr>
          <w:rFonts w:ascii="Times New Roman" w:hAnsi="Times New Roman" w:cs="Times New Roman"/>
        </w:rPr>
        <w:t>ccount of the Kathleen Folbigg</w:t>
      </w:r>
      <w:r w:rsidRPr="00621883">
        <w:rPr>
          <w:rFonts w:ascii="Times New Roman" w:hAnsi="Times New Roman" w:cs="Times New Roman"/>
        </w:rPr>
        <w:t xml:space="preserve"> case</w:t>
      </w:r>
      <w:r w:rsidR="00295AA9" w:rsidRPr="00621883">
        <w:rPr>
          <w:rFonts w:ascii="Times New Roman" w:hAnsi="Times New Roman" w:cs="Times New Roman"/>
        </w:rPr>
        <w:t xml:space="preserve">, in </w:t>
      </w:r>
      <w:r w:rsidR="00295AA9" w:rsidRPr="00621883">
        <w:rPr>
          <w:rFonts w:ascii="Times New Roman" w:hAnsi="Times New Roman" w:cs="Times New Roman"/>
          <w:i/>
        </w:rPr>
        <w:t>Murder, Medicine and Motherhood</w:t>
      </w:r>
      <w:bookmarkStart w:id="0" w:name="_Ref224015445"/>
      <w:r w:rsidR="00CB2563">
        <w:rPr>
          <w:rFonts w:ascii="Times New Roman" w:hAnsi="Times New Roman" w:cs="Times New Roman"/>
        </w:rPr>
        <w:t>,</w:t>
      </w:r>
      <w:r w:rsidR="00CB2563" w:rsidRPr="00CB2563">
        <w:rPr>
          <w:rStyle w:val="FootnoteReference"/>
          <w:rFonts w:ascii="Times New Roman" w:hAnsi="Times New Roman" w:cs="Times New Roman"/>
        </w:rPr>
        <w:t xml:space="preserve"> </w:t>
      </w:r>
      <w:bookmarkStart w:id="1" w:name="_Ref226424945"/>
      <w:r w:rsidR="00CB2563" w:rsidRPr="00621883">
        <w:rPr>
          <w:rStyle w:val="FootnoteReference"/>
          <w:rFonts w:ascii="Times New Roman" w:hAnsi="Times New Roman" w:cs="Times New Roman"/>
        </w:rPr>
        <w:footnoteReference w:id="2"/>
      </w:r>
      <w:bookmarkEnd w:id="0"/>
      <w:bookmarkEnd w:id="1"/>
      <w:r w:rsidR="00295AA9" w:rsidRPr="00621883">
        <w:rPr>
          <w:rFonts w:ascii="Times New Roman" w:hAnsi="Times New Roman" w:cs="Times New Roman"/>
        </w:rPr>
        <w:t xml:space="preserve"> with a quote from Patricia Williams: </w:t>
      </w:r>
      <w:r w:rsidR="00126CC1">
        <w:rPr>
          <w:rFonts w:ascii="Times New Roman" w:hAnsi="Times New Roman" w:cs="Times New Roman"/>
        </w:rPr>
        <w:t>“</w:t>
      </w:r>
      <w:r w:rsidR="00295AA9" w:rsidRPr="00621883">
        <w:rPr>
          <w:rFonts w:ascii="Times New Roman" w:hAnsi="Times New Roman" w:cs="Times New Roman"/>
        </w:rPr>
        <w:t xml:space="preserve">That life is complicated is a fact </w:t>
      </w:r>
      <w:r w:rsidRPr="00621883">
        <w:rPr>
          <w:rFonts w:ascii="Times New Roman" w:hAnsi="Times New Roman" w:cs="Times New Roman"/>
        </w:rPr>
        <w:t>of great analytical importance.</w:t>
      </w:r>
      <w:r w:rsidR="00B16F2E">
        <w:rPr>
          <w:rFonts w:ascii="Times New Roman" w:hAnsi="Times New Roman" w:cs="Times New Roman"/>
        </w:rPr>
        <w:t xml:space="preserve"> Law often seeks to avoid this truth by making up it</w:t>
      </w:r>
      <w:r w:rsidR="00EF0C84">
        <w:rPr>
          <w:rFonts w:ascii="Times New Roman" w:hAnsi="Times New Roman" w:cs="Times New Roman"/>
        </w:rPr>
        <w:t>s</w:t>
      </w:r>
      <w:r w:rsidR="00B16F2E">
        <w:rPr>
          <w:rFonts w:ascii="Times New Roman" w:hAnsi="Times New Roman" w:cs="Times New Roman"/>
        </w:rPr>
        <w:t xml:space="preserve"> own breed of narrower, simpler, but hypnotically powerful rhetorical truths.</w:t>
      </w:r>
      <w:r w:rsidR="00126CC1">
        <w:rPr>
          <w:rFonts w:ascii="Times New Roman" w:hAnsi="Times New Roman" w:cs="Times New Roman"/>
        </w:rPr>
        <w:t>”</w:t>
      </w:r>
      <w:r w:rsidR="00CB2563">
        <w:rPr>
          <w:rStyle w:val="FootnoteReference"/>
          <w:rFonts w:ascii="Times New Roman" w:hAnsi="Times New Roman" w:cs="Times New Roman"/>
        </w:rPr>
        <w:footnoteReference w:id="3"/>
      </w:r>
      <w:r w:rsidR="00B16F2E">
        <w:rPr>
          <w:rFonts w:ascii="Times New Roman" w:hAnsi="Times New Roman" w:cs="Times New Roman"/>
        </w:rPr>
        <w:t xml:space="preserve"> Williams</w:t>
      </w:r>
      <w:r w:rsidRPr="00621883">
        <w:rPr>
          <w:rFonts w:ascii="Times New Roman" w:hAnsi="Times New Roman" w:cs="Times New Roman"/>
        </w:rPr>
        <w:t xml:space="preserve"> calls on us to recognise</w:t>
      </w:r>
      <w:r w:rsidR="002751CA">
        <w:rPr>
          <w:rFonts w:ascii="Times New Roman" w:hAnsi="Times New Roman" w:cs="Times New Roman"/>
        </w:rPr>
        <w:t>,</w:t>
      </w:r>
      <w:r w:rsidR="004A0ADE" w:rsidRPr="00621883">
        <w:rPr>
          <w:rFonts w:ascii="Times New Roman" w:hAnsi="Times New Roman" w:cs="Times New Roman"/>
        </w:rPr>
        <w:t xml:space="preserve"> and challenge</w:t>
      </w:r>
      <w:r w:rsidR="002751CA">
        <w:rPr>
          <w:rFonts w:ascii="Times New Roman" w:hAnsi="Times New Roman" w:cs="Times New Roman"/>
        </w:rPr>
        <w:t>,</w:t>
      </w:r>
      <w:r w:rsidR="004A0ADE" w:rsidRPr="00621883">
        <w:rPr>
          <w:rFonts w:ascii="Times New Roman" w:hAnsi="Times New Roman" w:cs="Times New Roman"/>
        </w:rPr>
        <w:t xml:space="preserve"> </w:t>
      </w:r>
      <w:r w:rsidR="002751CA">
        <w:rPr>
          <w:rFonts w:ascii="Times New Roman" w:hAnsi="Times New Roman" w:cs="Times New Roman"/>
        </w:rPr>
        <w:t xml:space="preserve">these ways in which Law occludes </w:t>
      </w:r>
      <w:r w:rsidR="002751CA" w:rsidRPr="002751CA">
        <w:rPr>
          <w:rFonts w:ascii="Times New Roman" w:hAnsi="Times New Roman" w:cs="Times New Roman"/>
          <w:i/>
        </w:rPr>
        <w:t>necessary</w:t>
      </w:r>
      <w:r w:rsidR="002751CA">
        <w:rPr>
          <w:rFonts w:ascii="Times New Roman" w:hAnsi="Times New Roman" w:cs="Times New Roman"/>
        </w:rPr>
        <w:t xml:space="preserve"> complexity</w:t>
      </w:r>
      <w:r w:rsidR="002D391C" w:rsidRPr="00621883">
        <w:rPr>
          <w:rFonts w:ascii="Times New Roman" w:hAnsi="Times New Roman" w:cs="Times New Roman"/>
        </w:rPr>
        <w:t xml:space="preserve">, </w:t>
      </w:r>
      <w:r w:rsidR="002751CA">
        <w:rPr>
          <w:rFonts w:ascii="Times New Roman" w:hAnsi="Times New Roman" w:cs="Times New Roman"/>
        </w:rPr>
        <w:t xml:space="preserve">and how </w:t>
      </w:r>
      <w:r w:rsidR="003417B9">
        <w:rPr>
          <w:rFonts w:ascii="Times New Roman" w:hAnsi="Times New Roman" w:cs="Times New Roman"/>
        </w:rPr>
        <w:t xml:space="preserve">closing down on complexity </w:t>
      </w:r>
      <w:r w:rsidRPr="00621883">
        <w:rPr>
          <w:rFonts w:ascii="Times New Roman" w:hAnsi="Times New Roman" w:cs="Times New Roman"/>
        </w:rPr>
        <w:t>does damage to justice</w:t>
      </w:r>
      <w:r w:rsidR="00CB2563">
        <w:rPr>
          <w:rFonts w:ascii="Times New Roman" w:hAnsi="Times New Roman" w:cs="Times New Roman"/>
        </w:rPr>
        <w:t>. F</w:t>
      </w:r>
      <w:r w:rsidR="004A0ADE" w:rsidRPr="00621883">
        <w:rPr>
          <w:rFonts w:ascii="Times New Roman" w:hAnsi="Times New Roman" w:cs="Times New Roman"/>
        </w:rPr>
        <w:t xml:space="preserve">urther, </w:t>
      </w:r>
      <w:r w:rsidR="002751CA">
        <w:rPr>
          <w:rFonts w:ascii="Times New Roman" w:hAnsi="Times New Roman" w:cs="Times New Roman"/>
        </w:rPr>
        <w:t xml:space="preserve">she argues, </w:t>
      </w:r>
      <w:r w:rsidR="004A0ADE" w:rsidRPr="00621883">
        <w:rPr>
          <w:rFonts w:ascii="Times New Roman" w:hAnsi="Times New Roman" w:cs="Times New Roman"/>
        </w:rPr>
        <w:t xml:space="preserve">such challenges </w:t>
      </w:r>
      <w:r w:rsidR="00D60639">
        <w:rPr>
          <w:rFonts w:ascii="Times New Roman" w:hAnsi="Times New Roman" w:cs="Times New Roman"/>
        </w:rPr>
        <w:t>can</w:t>
      </w:r>
      <w:r w:rsidR="004A0ADE" w:rsidRPr="00621883">
        <w:rPr>
          <w:rFonts w:ascii="Times New Roman" w:hAnsi="Times New Roman" w:cs="Times New Roman"/>
        </w:rPr>
        <w:t xml:space="preserve"> reframe, rework—perhaps reclaim—law’s own narratives and rhetorical devices</w:t>
      </w:r>
      <w:r w:rsidRPr="00621883">
        <w:rPr>
          <w:rFonts w:ascii="Times New Roman" w:hAnsi="Times New Roman" w:cs="Times New Roman"/>
        </w:rPr>
        <w:t>.</w:t>
      </w:r>
      <w:r w:rsidR="00295AA9" w:rsidRPr="00621883">
        <w:rPr>
          <w:rFonts w:ascii="Times New Roman" w:hAnsi="Times New Roman" w:cs="Times New Roman"/>
        </w:rPr>
        <w:t xml:space="preserve"> </w:t>
      </w:r>
      <w:r w:rsidR="004A0ADE" w:rsidRPr="00621883">
        <w:rPr>
          <w:rFonts w:ascii="Times New Roman" w:hAnsi="Times New Roman" w:cs="Times New Roman"/>
        </w:rPr>
        <w:t>So i</w:t>
      </w:r>
      <w:r w:rsidR="002B32B1" w:rsidRPr="00621883">
        <w:rPr>
          <w:rFonts w:ascii="Times New Roman" w:hAnsi="Times New Roman" w:cs="Times New Roman"/>
        </w:rPr>
        <w:t>n my contribution to this conversation</w:t>
      </w:r>
      <w:r w:rsidR="009E3E7B" w:rsidRPr="00621883">
        <w:rPr>
          <w:rFonts w:ascii="Times New Roman" w:hAnsi="Times New Roman" w:cs="Times New Roman"/>
        </w:rPr>
        <w:t xml:space="preserve"> about law, women’s lives and justice</w:t>
      </w:r>
      <w:r w:rsidR="002B32B1" w:rsidRPr="00621883">
        <w:rPr>
          <w:rFonts w:ascii="Times New Roman" w:hAnsi="Times New Roman" w:cs="Times New Roman"/>
        </w:rPr>
        <w:t xml:space="preserve">, </w:t>
      </w:r>
      <w:r w:rsidR="00AC3082" w:rsidRPr="00621883">
        <w:rPr>
          <w:rFonts w:ascii="Times New Roman" w:hAnsi="Times New Roman" w:cs="Times New Roman"/>
        </w:rPr>
        <w:t>I want to</w:t>
      </w:r>
      <w:r w:rsidR="002B32B1" w:rsidRPr="00621883">
        <w:rPr>
          <w:rFonts w:ascii="Times New Roman" w:hAnsi="Times New Roman" w:cs="Times New Roman"/>
        </w:rPr>
        <w:t xml:space="preserve"> </w:t>
      </w:r>
      <w:r w:rsidR="004A0ADE" w:rsidRPr="00621883">
        <w:rPr>
          <w:rFonts w:ascii="Times New Roman" w:hAnsi="Times New Roman" w:cs="Times New Roman"/>
        </w:rPr>
        <w:t>highlight the ways in which Emma’s book takes up Williams’ call</w:t>
      </w:r>
      <w:r w:rsidR="003417B9">
        <w:rPr>
          <w:rFonts w:ascii="Times New Roman" w:hAnsi="Times New Roman" w:cs="Times New Roman"/>
        </w:rPr>
        <w:t>;</w:t>
      </w:r>
      <w:r w:rsidR="004A0ADE" w:rsidRPr="00621883">
        <w:rPr>
          <w:rFonts w:ascii="Times New Roman" w:hAnsi="Times New Roman" w:cs="Times New Roman"/>
        </w:rPr>
        <w:t xml:space="preserve"> offering a challenge and a reworking, and perhaps also a reclaiming of some of the criminal justice system</w:t>
      </w:r>
      <w:r w:rsidR="00EF0C84">
        <w:rPr>
          <w:rFonts w:ascii="Times New Roman" w:hAnsi="Times New Roman" w:cs="Times New Roman"/>
        </w:rPr>
        <w:t>’</w:t>
      </w:r>
      <w:r w:rsidR="004A0ADE" w:rsidRPr="00621883">
        <w:rPr>
          <w:rFonts w:ascii="Times New Roman" w:hAnsi="Times New Roman" w:cs="Times New Roman"/>
        </w:rPr>
        <w:t>s most powerful rhetorical narrative</w:t>
      </w:r>
      <w:r w:rsidR="003417B9">
        <w:rPr>
          <w:rFonts w:ascii="Times New Roman" w:hAnsi="Times New Roman" w:cs="Times New Roman"/>
        </w:rPr>
        <w:t>s. And</w:t>
      </w:r>
      <w:r w:rsidR="00CB2563">
        <w:rPr>
          <w:rFonts w:ascii="Times New Roman" w:hAnsi="Times New Roman" w:cs="Times New Roman"/>
        </w:rPr>
        <w:t xml:space="preserve"> at the same time</w:t>
      </w:r>
      <w:r w:rsidR="003417B9">
        <w:rPr>
          <w:rFonts w:ascii="Times New Roman" w:hAnsi="Times New Roman" w:cs="Times New Roman"/>
        </w:rPr>
        <w:t xml:space="preserve">, </w:t>
      </w:r>
      <w:r w:rsidR="00CB2563">
        <w:rPr>
          <w:rFonts w:ascii="Times New Roman" w:hAnsi="Times New Roman" w:cs="Times New Roman"/>
        </w:rPr>
        <w:t>recognising, as Williams does, that sometime</w:t>
      </w:r>
      <w:r w:rsidR="003417B9">
        <w:rPr>
          <w:rFonts w:ascii="Times New Roman" w:hAnsi="Times New Roman" w:cs="Times New Roman"/>
        </w:rPr>
        <w:t>s</w:t>
      </w:r>
      <w:r w:rsidR="00CB2563">
        <w:rPr>
          <w:rFonts w:ascii="Times New Roman" w:hAnsi="Times New Roman" w:cs="Times New Roman"/>
        </w:rPr>
        <w:t xml:space="preserve"> there is u</w:t>
      </w:r>
      <w:r w:rsidR="00EF0C84">
        <w:rPr>
          <w:rFonts w:ascii="Times New Roman" w:hAnsi="Times New Roman" w:cs="Times New Roman"/>
        </w:rPr>
        <w:t>tility in conventional categoris</w:t>
      </w:r>
      <w:r w:rsidR="00CB2563">
        <w:rPr>
          <w:rFonts w:ascii="Times New Roman" w:hAnsi="Times New Roman" w:cs="Times New Roman"/>
        </w:rPr>
        <w:t>ations, as long as one is attentive to the ‘rhetorical event’</w:t>
      </w:r>
      <w:r w:rsidR="00D60639">
        <w:rPr>
          <w:rFonts w:ascii="Times New Roman" w:hAnsi="Times New Roman" w:cs="Times New Roman"/>
        </w:rPr>
        <w:t>,</w:t>
      </w:r>
      <w:r w:rsidR="00CB2563">
        <w:rPr>
          <w:rFonts w:ascii="Times New Roman" w:hAnsi="Times New Roman" w:cs="Times New Roman"/>
        </w:rPr>
        <w:t xml:space="preserve"> and do not mistake </w:t>
      </w:r>
      <w:r w:rsidR="00D60639">
        <w:rPr>
          <w:rFonts w:ascii="Times New Roman" w:hAnsi="Times New Roman" w:cs="Times New Roman"/>
        </w:rPr>
        <w:t>such</w:t>
      </w:r>
      <w:r w:rsidR="00CB2563">
        <w:rPr>
          <w:rFonts w:ascii="Times New Roman" w:hAnsi="Times New Roman" w:cs="Times New Roman"/>
        </w:rPr>
        <w:t xml:space="preserve"> categories as representing an objective truth</w:t>
      </w:r>
      <w:r w:rsidR="004A0ADE" w:rsidRPr="00621883">
        <w:rPr>
          <w:rFonts w:ascii="Times New Roman" w:hAnsi="Times New Roman" w:cs="Times New Roman"/>
        </w:rPr>
        <w:t xml:space="preserve">. </w:t>
      </w:r>
    </w:p>
    <w:p w:rsidR="006402FA" w:rsidRDefault="006402FA" w:rsidP="00AB4819">
      <w:pPr>
        <w:spacing w:line="276" w:lineRule="auto"/>
        <w:jc w:val="both"/>
        <w:rPr>
          <w:rFonts w:ascii="Times New Roman" w:hAnsi="Times New Roman" w:cs="Times New Roman"/>
        </w:rPr>
      </w:pPr>
    </w:p>
    <w:p w:rsidR="00E31B84" w:rsidRPr="00621883" w:rsidRDefault="004A0ADE" w:rsidP="00AB4819">
      <w:pPr>
        <w:spacing w:line="276" w:lineRule="auto"/>
        <w:jc w:val="both"/>
        <w:rPr>
          <w:rFonts w:ascii="Times New Roman" w:hAnsi="Times New Roman" w:cs="Times New Roman"/>
        </w:rPr>
      </w:pPr>
      <w:r w:rsidRPr="00621883">
        <w:rPr>
          <w:rFonts w:ascii="Times New Roman" w:hAnsi="Times New Roman" w:cs="Times New Roman"/>
        </w:rPr>
        <w:t xml:space="preserve">In this review I </w:t>
      </w:r>
      <w:r w:rsidR="002B32B1" w:rsidRPr="00621883">
        <w:rPr>
          <w:rFonts w:ascii="Times New Roman" w:hAnsi="Times New Roman" w:cs="Times New Roman"/>
        </w:rPr>
        <w:t>a</w:t>
      </w:r>
      <w:r w:rsidR="00E12E85" w:rsidRPr="00621883">
        <w:rPr>
          <w:rFonts w:ascii="Times New Roman" w:hAnsi="Times New Roman" w:cs="Times New Roman"/>
        </w:rPr>
        <w:t xml:space="preserve">ddress three </w:t>
      </w:r>
      <w:r w:rsidR="005B2E95" w:rsidRPr="00621883">
        <w:rPr>
          <w:rFonts w:ascii="Times New Roman" w:hAnsi="Times New Roman" w:cs="Times New Roman"/>
        </w:rPr>
        <w:t xml:space="preserve">aspects of the </w:t>
      </w:r>
      <w:r w:rsidR="005B2E95" w:rsidRPr="00621883">
        <w:rPr>
          <w:rFonts w:ascii="Times New Roman" w:hAnsi="Times New Roman" w:cs="Times New Roman"/>
          <w:i/>
        </w:rPr>
        <w:t>Folbigg</w:t>
      </w:r>
      <w:r w:rsidR="005B2E95" w:rsidRPr="00621883">
        <w:rPr>
          <w:rFonts w:ascii="Times New Roman" w:hAnsi="Times New Roman" w:cs="Times New Roman"/>
        </w:rPr>
        <w:t xml:space="preserve"> case</w:t>
      </w:r>
      <w:r w:rsidR="009E3E7B" w:rsidRPr="00621883">
        <w:rPr>
          <w:rFonts w:ascii="Times New Roman" w:hAnsi="Times New Roman" w:cs="Times New Roman"/>
        </w:rPr>
        <w:t>,</w:t>
      </w:r>
      <w:r w:rsidR="005B2E95" w:rsidRPr="00621883">
        <w:rPr>
          <w:rFonts w:ascii="Times New Roman" w:hAnsi="Times New Roman" w:cs="Times New Roman"/>
        </w:rPr>
        <w:t xml:space="preserve"> as </w:t>
      </w:r>
      <w:r w:rsidR="002B32B1" w:rsidRPr="00621883">
        <w:rPr>
          <w:rFonts w:ascii="Times New Roman" w:hAnsi="Times New Roman" w:cs="Times New Roman"/>
        </w:rPr>
        <w:t xml:space="preserve">they are </w:t>
      </w:r>
      <w:r w:rsidR="005B2E95" w:rsidRPr="00621883">
        <w:rPr>
          <w:rFonts w:ascii="Times New Roman" w:hAnsi="Times New Roman" w:cs="Times New Roman"/>
        </w:rPr>
        <w:t xml:space="preserve">analysed in </w:t>
      </w:r>
      <w:r w:rsidR="005B2E95" w:rsidRPr="00621883">
        <w:rPr>
          <w:rFonts w:ascii="Times New Roman" w:hAnsi="Times New Roman" w:cs="Times New Roman"/>
          <w:i/>
        </w:rPr>
        <w:t>Murder, Medicine and Motherhood</w:t>
      </w:r>
      <w:r w:rsidR="00C25E6C" w:rsidRPr="00621883">
        <w:rPr>
          <w:rFonts w:ascii="Times New Roman" w:hAnsi="Times New Roman" w:cs="Times New Roman"/>
        </w:rPr>
        <w:t>,</w:t>
      </w:r>
      <w:r w:rsidR="00E12E85" w:rsidRPr="00621883">
        <w:rPr>
          <w:rFonts w:ascii="Times New Roman" w:hAnsi="Times New Roman" w:cs="Times New Roman"/>
        </w:rPr>
        <w:t xml:space="preserve"> aspects </w:t>
      </w:r>
      <w:r w:rsidR="00C25E6C" w:rsidRPr="00621883">
        <w:rPr>
          <w:rFonts w:ascii="Times New Roman" w:hAnsi="Times New Roman" w:cs="Times New Roman"/>
        </w:rPr>
        <w:t xml:space="preserve">that </w:t>
      </w:r>
      <w:r w:rsidR="00E12E85" w:rsidRPr="00621883">
        <w:rPr>
          <w:rFonts w:ascii="Times New Roman" w:hAnsi="Times New Roman" w:cs="Times New Roman"/>
        </w:rPr>
        <w:t>are, inevitably, re</w:t>
      </w:r>
      <w:r w:rsidR="00F84A4F" w:rsidRPr="00621883">
        <w:rPr>
          <w:rFonts w:ascii="Times New Roman" w:hAnsi="Times New Roman" w:cs="Times New Roman"/>
        </w:rPr>
        <w:t xml:space="preserve">lated, </w:t>
      </w:r>
      <w:r w:rsidR="00A506EE" w:rsidRPr="00621883">
        <w:rPr>
          <w:rFonts w:ascii="Times New Roman" w:hAnsi="Times New Roman" w:cs="Times New Roman"/>
        </w:rPr>
        <w:t xml:space="preserve">complicated, </w:t>
      </w:r>
      <w:r w:rsidR="00C25E6C" w:rsidRPr="00621883">
        <w:rPr>
          <w:rFonts w:ascii="Times New Roman" w:hAnsi="Times New Roman" w:cs="Times New Roman"/>
        </w:rPr>
        <w:t xml:space="preserve">and so </w:t>
      </w:r>
      <w:r w:rsidR="00F84A4F" w:rsidRPr="00621883">
        <w:rPr>
          <w:rFonts w:ascii="Times New Roman" w:hAnsi="Times New Roman" w:cs="Times New Roman"/>
        </w:rPr>
        <w:t>defy neat packaging</w:t>
      </w:r>
      <w:r w:rsidR="00E12E85" w:rsidRPr="00621883">
        <w:rPr>
          <w:rFonts w:ascii="Times New Roman" w:hAnsi="Times New Roman" w:cs="Times New Roman"/>
        </w:rPr>
        <w:t xml:space="preserve"> in</w:t>
      </w:r>
      <w:r w:rsidR="00F84A4F" w:rsidRPr="00621883">
        <w:rPr>
          <w:rFonts w:ascii="Times New Roman" w:hAnsi="Times New Roman" w:cs="Times New Roman"/>
        </w:rPr>
        <w:t>to sequential</w:t>
      </w:r>
      <w:r w:rsidR="00E12E85" w:rsidRPr="00621883">
        <w:rPr>
          <w:rFonts w:ascii="Times New Roman" w:hAnsi="Times New Roman" w:cs="Times New Roman"/>
        </w:rPr>
        <w:t xml:space="preserve"> order. </w:t>
      </w:r>
      <w:r w:rsidR="00B16CD7" w:rsidRPr="00621883">
        <w:rPr>
          <w:rFonts w:ascii="Times New Roman" w:hAnsi="Times New Roman" w:cs="Times New Roman"/>
        </w:rPr>
        <w:t>A</w:t>
      </w:r>
      <w:r w:rsidR="00AC3082" w:rsidRPr="00621883">
        <w:rPr>
          <w:rFonts w:ascii="Times New Roman" w:hAnsi="Times New Roman" w:cs="Times New Roman"/>
        </w:rPr>
        <w:t>t the core of Emma’s book</w:t>
      </w:r>
      <w:r w:rsidR="005B2E95" w:rsidRPr="00621883">
        <w:rPr>
          <w:rFonts w:ascii="Times New Roman" w:hAnsi="Times New Roman" w:cs="Times New Roman"/>
        </w:rPr>
        <w:t xml:space="preserve"> is </w:t>
      </w:r>
      <w:r w:rsidR="00DC0339" w:rsidRPr="00621883">
        <w:rPr>
          <w:rFonts w:ascii="Times New Roman" w:hAnsi="Times New Roman" w:cs="Times New Roman"/>
        </w:rPr>
        <w:t>her</w:t>
      </w:r>
      <w:r w:rsidR="00AC3082" w:rsidRPr="00621883">
        <w:rPr>
          <w:rFonts w:ascii="Times New Roman" w:hAnsi="Times New Roman" w:cs="Times New Roman"/>
        </w:rPr>
        <w:t xml:space="preserve"> </w:t>
      </w:r>
      <w:r w:rsidR="005B2E95" w:rsidRPr="00621883">
        <w:rPr>
          <w:rFonts w:ascii="Times New Roman" w:hAnsi="Times New Roman" w:cs="Times New Roman"/>
        </w:rPr>
        <w:t>analysis of th</w:t>
      </w:r>
      <w:r w:rsidR="00EF0C84">
        <w:rPr>
          <w:rFonts w:ascii="Times New Roman" w:hAnsi="Times New Roman" w:cs="Times New Roman"/>
        </w:rPr>
        <w:t>e gendered narratives of idealis</w:t>
      </w:r>
      <w:r w:rsidR="005B2E95" w:rsidRPr="00621883">
        <w:rPr>
          <w:rFonts w:ascii="Times New Roman" w:hAnsi="Times New Roman" w:cs="Times New Roman"/>
        </w:rPr>
        <w:t xml:space="preserve">ed, normative motherhood that were put to work so successfully </w:t>
      </w:r>
      <w:r w:rsidR="00AC3082" w:rsidRPr="00621883">
        <w:rPr>
          <w:rFonts w:ascii="Times New Roman" w:hAnsi="Times New Roman" w:cs="Times New Roman"/>
        </w:rPr>
        <w:t>both in</w:t>
      </w:r>
      <w:r w:rsidR="005B2E95" w:rsidRPr="00621883">
        <w:rPr>
          <w:rFonts w:ascii="Times New Roman" w:hAnsi="Times New Roman" w:cs="Times New Roman"/>
        </w:rPr>
        <w:t xml:space="preserve"> the Crown case</w:t>
      </w:r>
      <w:r w:rsidR="00AC3082" w:rsidRPr="00621883">
        <w:rPr>
          <w:rFonts w:ascii="Times New Roman" w:hAnsi="Times New Roman" w:cs="Times New Roman"/>
        </w:rPr>
        <w:t xml:space="preserve"> against Folbigg and in the media coverage of her case</w:t>
      </w:r>
      <w:r w:rsidR="00E12E85" w:rsidRPr="00621883">
        <w:rPr>
          <w:rFonts w:ascii="Times New Roman" w:hAnsi="Times New Roman" w:cs="Times New Roman"/>
        </w:rPr>
        <w:t xml:space="preserve">. So </w:t>
      </w:r>
      <w:r w:rsidR="00DD6F56" w:rsidRPr="00621883">
        <w:rPr>
          <w:rFonts w:ascii="Times New Roman" w:hAnsi="Times New Roman" w:cs="Times New Roman"/>
        </w:rPr>
        <w:t xml:space="preserve">my starting point in this review </w:t>
      </w:r>
      <w:r w:rsidR="002E6D7A" w:rsidRPr="00621883">
        <w:rPr>
          <w:rFonts w:ascii="Times New Roman" w:hAnsi="Times New Roman" w:cs="Times New Roman"/>
        </w:rPr>
        <w:t>was to consider</w:t>
      </w:r>
      <w:r w:rsidR="00701307" w:rsidRPr="00621883">
        <w:rPr>
          <w:rFonts w:ascii="Times New Roman" w:hAnsi="Times New Roman" w:cs="Times New Roman"/>
        </w:rPr>
        <w:t xml:space="preserve"> the </w:t>
      </w:r>
      <w:r w:rsidR="004E38DE">
        <w:rPr>
          <w:rFonts w:ascii="Times New Roman" w:hAnsi="Times New Roman" w:cs="Times New Roman"/>
        </w:rPr>
        <w:t>different levels at which these narratives registered—their significance</w:t>
      </w:r>
      <w:r w:rsidR="00B16CD7" w:rsidRPr="00621883">
        <w:rPr>
          <w:rFonts w:ascii="Times New Roman" w:hAnsi="Times New Roman" w:cs="Times New Roman"/>
        </w:rPr>
        <w:t xml:space="preserve"> in terms of the overall </w:t>
      </w:r>
      <w:r w:rsidR="004E38DE">
        <w:rPr>
          <w:rFonts w:ascii="Times New Roman" w:hAnsi="Times New Roman" w:cs="Times New Roman"/>
        </w:rPr>
        <w:t xml:space="preserve">framing of Folbigg’s guilt, but also </w:t>
      </w:r>
      <w:r w:rsidR="00701307" w:rsidRPr="00621883">
        <w:rPr>
          <w:rFonts w:ascii="Times New Roman" w:hAnsi="Times New Roman" w:cs="Times New Roman"/>
        </w:rPr>
        <w:t>t</w:t>
      </w:r>
      <w:r w:rsidR="002B32B1" w:rsidRPr="00621883">
        <w:rPr>
          <w:rFonts w:ascii="Times New Roman" w:hAnsi="Times New Roman" w:cs="Times New Roman"/>
        </w:rPr>
        <w:t xml:space="preserve">he </w:t>
      </w:r>
      <w:r w:rsidR="00701307" w:rsidRPr="00621883">
        <w:rPr>
          <w:rFonts w:ascii="Times New Roman" w:hAnsi="Times New Roman" w:cs="Times New Roman"/>
        </w:rPr>
        <w:t xml:space="preserve">ways in which the </w:t>
      </w:r>
      <w:r w:rsidR="002B32B1" w:rsidRPr="00621883">
        <w:rPr>
          <w:rFonts w:ascii="Times New Roman" w:hAnsi="Times New Roman" w:cs="Times New Roman"/>
        </w:rPr>
        <w:t xml:space="preserve">Crown’s </w:t>
      </w:r>
      <w:r w:rsidR="0005478D" w:rsidRPr="00621883">
        <w:rPr>
          <w:rFonts w:ascii="Times New Roman" w:hAnsi="Times New Roman" w:cs="Times New Roman"/>
        </w:rPr>
        <w:t>striking</w:t>
      </w:r>
      <w:r w:rsidR="002B32B1" w:rsidRPr="00621883">
        <w:rPr>
          <w:rFonts w:ascii="Times New Roman" w:hAnsi="Times New Roman" w:cs="Times New Roman"/>
        </w:rPr>
        <w:t>, though not always consistent</w:t>
      </w:r>
      <w:r w:rsidR="0005478D" w:rsidRPr="00621883">
        <w:rPr>
          <w:rFonts w:ascii="Times New Roman" w:hAnsi="Times New Roman" w:cs="Times New Roman"/>
        </w:rPr>
        <w:t>,</w:t>
      </w:r>
      <w:r w:rsidR="002B32B1" w:rsidRPr="00621883">
        <w:rPr>
          <w:rFonts w:ascii="Times New Roman" w:hAnsi="Times New Roman" w:cs="Times New Roman"/>
        </w:rPr>
        <w:t xml:space="preserve"> appeal to these normative values</w:t>
      </w:r>
      <w:r w:rsidR="00AC3082" w:rsidRPr="00621883">
        <w:rPr>
          <w:rFonts w:ascii="Times New Roman" w:hAnsi="Times New Roman" w:cs="Times New Roman"/>
        </w:rPr>
        <w:t xml:space="preserve"> </w:t>
      </w:r>
      <w:r w:rsidR="0005478D" w:rsidRPr="00621883">
        <w:rPr>
          <w:rFonts w:ascii="Times New Roman" w:hAnsi="Times New Roman" w:cs="Times New Roman"/>
        </w:rPr>
        <w:t>underpinned the</w:t>
      </w:r>
      <w:r w:rsidR="005B2E95" w:rsidRPr="00621883">
        <w:rPr>
          <w:rFonts w:ascii="Times New Roman" w:hAnsi="Times New Roman" w:cs="Times New Roman"/>
        </w:rPr>
        <w:t xml:space="preserve"> particularly troubling use of the rules of admissibility that allowed the court and the jury to consider in one trial, the m</w:t>
      </w:r>
      <w:r w:rsidR="0081514B" w:rsidRPr="00621883">
        <w:rPr>
          <w:rFonts w:ascii="Times New Roman" w:hAnsi="Times New Roman" w:cs="Times New Roman"/>
        </w:rPr>
        <w:t>ultiple deaths of her children</w:t>
      </w:r>
      <w:r w:rsidR="006A3EEF" w:rsidRPr="00621883">
        <w:rPr>
          <w:rFonts w:ascii="Times New Roman" w:hAnsi="Times New Roman" w:cs="Times New Roman"/>
        </w:rPr>
        <w:t>.</w:t>
      </w:r>
      <w:bookmarkStart w:id="2" w:name="_Ref223325523"/>
      <w:r w:rsidR="006A3EEF" w:rsidRPr="00621883">
        <w:rPr>
          <w:rStyle w:val="FootnoteReference"/>
          <w:rFonts w:ascii="Times New Roman" w:hAnsi="Times New Roman" w:cs="Times New Roman"/>
        </w:rPr>
        <w:footnoteReference w:id="4"/>
      </w:r>
      <w:bookmarkEnd w:id="2"/>
      <w:r w:rsidR="005B2E95" w:rsidRPr="00621883">
        <w:rPr>
          <w:rFonts w:ascii="Times New Roman" w:hAnsi="Times New Roman" w:cs="Times New Roman"/>
        </w:rPr>
        <w:t xml:space="preserve"> </w:t>
      </w:r>
      <w:r w:rsidR="00AC3082" w:rsidRPr="00621883">
        <w:rPr>
          <w:rFonts w:ascii="Times New Roman" w:hAnsi="Times New Roman" w:cs="Times New Roman"/>
        </w:rPr>
        <w:t xml:space="preserve">In particular, the ways in </w:t>
      </w:r>
      <w:r w:rsidR="00AC3082" w:rsidRPr="00621883">
        <w:rPr>
          <w:rFonts w:ascii="Times New Roman" w:hAnsi="Times New Roman" w:cs="Times New Roman"/>
        </w:rPr>
        <w:lastRenderedPageBreak/>
        <w:t xml:space="preserve">which the court </w:t>
      </w:r>
      <w:r w:rsidR="009B4D29" w:rsidRPr="00621883">
        <w:rPr>
          <w:rFonts w:ascii="Times New Roman" w:hAnsi="Times New Roman" w:cs="Times New Roman"/>
        </w:rPr>
        <w:t xml:space="preserve">accepted that facts that were, </w:t>
      </w:r>
      <w:r w:rsidR="00AC3082" w:rsidRPr="00621883">
        <w:rPr>
          <w:rFonts w:ascii="Times New Roman" w:hAnsi="Times New Roman" w:cs="Times New Roman"/>
        </w:rPr>
        <w:t>primarily</w:t>
      </w:r>
      <w:r w:rsidR="009B4D29" w:rsidRPr="00621883">
        <w:rPr>
          <w:rFonts w:ascii="Times New Roman" w:hAnsi="Times New Roman" w:cs="Times New Roman"/>
        </w:rPr>
        <w:t>,</w:t>
      </w:r>
      <w:r w:rsidR="00AC3082" w:rsidRPr="00621883">
        <w:rPr>
          <w:rFonts w:ascii="Times New Roman" w:hAnsi="Times New Roman" w:cs="Times New Roman"/>
        </w:rPr>
        <w:t xml:space="preserve"> </w:t>
      </w:r>
      <w:r w:rsidR="009B4D29" w:rsidRPr="00621883">
        <w:rPr>
          <w:rFonts w:ascii="Times New Roman" w:hAnsi="Times New Roman" w:cs="Times New Roman"/>
        </w:rPr>
        <w:t>expressions of</w:t>
      </w:r>
      <w:r w:rsidR="00AC3082" w:rsidRPr="00621883">
        <w:rPr>
          <w:rFonts w:ascii="Times New Roman" w:hAnsi="Times New Roman" w:cs="Times New Roman"/>
        </w:rPr>
        <w:t xml:space="preserve"> her role as primary carer were also probative of her guilt. </w:t>
      </w:r>
      <w:r w:rsidR="005B2E95" w:rsidRPr="00621883">
        <w:rPr>
          <w:rFonts w:ascii="Times New Roman" w:hAnsi="Times New Roman" w:cs="Times New Roman"/>
        </w:rPr>
        <w:t xml:space="preserve">But </w:t>
      </w:r>
      <w:r w:rsidR="002E6D7A" w:rsidRPr="00621883">
        <w:rPr>
          <w:rFonts w:ascii="Times New Roman" w:hAnsi="Times New Roman" w:cs="Times New Roman"/>
        </w:rPr>
        <w:t>further</w:t>
      </w:r>
      <w:r w:rsidR="00DD6F56" w:rsidRPr="00621883">
        <w:rPr>
          <w:rFonts w:ascii="Times New Roman" w:hAnsi="Times New Roman" w:cs="Times New Roman"/>
        </w:rPr>
        <w:t>,</w:t>
      </w:r>
      <w:r w:rsidR="0003694A" w:rsidRPr="00621883">
        <w:rPr>
          <w:rFonts w:ascii="Times New Roman" w:hAnsi="Times New Roman" w:cs="Times New Roman"/>
        </w:rPr>
        <w:t xml:space="preserve"> </w:t>
      </w:r>
      <w:r w:rsidR="00B16CD7" w:rsidRPr="00621883">
        <w:rPr>
          <w:rFonts w:ascii="Times New Roman" w:hAnsi="Times New Roman" w:cs="Times New Roman"/>
        </w:rPr>
        <w:t xml:space="preserve">because of the heavy reliance on expert evidence in the case against Folbigg, and </w:t>
      </w:r>
      <w:r w:rsidR="0005478D" w:rsidRPr="00621883">
        <w:rPr>
          <w:rFonts w:ascii="Times New Roman" w:hAnsi="Times New Roman" w:cs="Times New Roman"/>
        </w:rPr>
        <w:t xml:space="preserve">as has been made explicit in recent coverage of the case, </w:t>
      </w:r>
      <w:r w:rsidR="009E66C3" w:rsidRPr="00621883">
        <w:rPr>
          <w:rFonts w:ascii="Times New Roman" w:hAnsi="Times New Roman" w:cs="Times New Roman"/>
        </w:rPr>
        <w:t xml:space="preserve">there are </w:t>
      </w:r>
      <w:r w:rsidR="00DD6F56" w:rsidRPr="00621883">
        <w:rPr>
          <w:rFonts w:ascii="Times New Roman" w:hAnsi="Times New Roman" w:cs="Times New Roman"/>
        </w:rPr>
        <w:t>other connections—</w:t>
      </w:r>
      <w:r w:rsidR="00B16CD7" w:rsidRPr="00621883">
        <w:rPr>
          <w:rFonts w:ascii="Times New Roman" w:hAnsi="Times New Roman" w:cs="Times New Roman"/>
        </w:rPr>
        <w:t>in particular there are aspects of the emerging</w:t>
      </w:r>
      <w:r w:rsidR="00150A52" w:rsidRPr="00621883">
        <w:rPr>
          <w:rFonts w:ascii="Times New Roman" w:hAnsi="Times New Roman" w:cs="Times New Roman"/>
        </w:rPr>
        <w:t xml:space="preserve"> crisis in the forensic sciences that can be mapped onto this case</w:t>
      </w:r>
      <w:r w:rsidR="009E66C3" w:rsidRPr="00621883">
        <w:rPr>
          <w:rFonts w:ascii="Times New Roman" w:hAnsi="Times New Roman" w:cs="Times New Roman"/>
        </w:rPr>
        <w:t>.</w:t>
      </w:r>
      <w:bookmarkStart w:id="3" w:name="_Ref225748068"/>
      <w:r w:rsidR="00DA2B25" w:rsidRPr="00621883">
        <w:rPr>
          <w:rStyle w:val="FootnoteReference"/>
          <w:rFonts w:ascii="Times New Roman" w:hAnsi="Times New Roman" w:cs="Times New Roman"/>
        </w:rPr>
        <w:footnoteReference w:id="5"/>
      </w:r>
      <w:bookmarkEnd w:id="3"/>
      <w:r w:rsidR="00AB4819">
        <w:rPr>
          <w:rFonts w:ascii="Times New Roman" w:hAnsi="Times New Roman" w:cs="Times New Roman"/>
        </w:rPr>
        <w:t xml:space="preserve"> </w:t>
      </w:r>
      <w:r w:rsidR="002E6D7A" w:rsidRPr="00621883">
        <w:rPr>
          <w:rFonts w:ascii="Times New Roman" w:hAnsi="Times New Roman" w:cs="Times New Roman"/>
        </w:rPr>
        <w:t xml:space="preserve">Presciently, </w:t>
      </w:r>
      <w:r w:rsidR="002E6D7A" w:rsidRPr="00621883">
        <w:rPr>
          <w:rFonts w:ascii="Times New Roman" w:hAnsi="Times New Roman" w:cs="Times New Roman"/>
          <w:i/>
        </w:rPr>
        <w:t>Murder, Medicine and Motherhood</w:t>
      </w:r>
      <w:r w:rsidR="002E6D7A" w:rsidRPr="00621883">
        <w:rPr>
          <w:rFonts w:ascii="Times New Roman" w:hAnsi="Times New Roman" w:cs="Times New Roman"/>
        </w:rPr>
        <w:t xml:space="preserve"> offers ways for us to think </w:t>
      </w:r>
      <w:r w:rsidR="006402FA">
        <w:rPr>
          <w:rFonts w:ascii="Times New Roman" w:hAnsi="Times New Roman" w:cs="Times New Roman"/>
        </w:rPr>
        <w:lastRenderedPageBreak/>
        <w:t>thorough the particular medico-</w:t>
      </w:r>
      <w:r w:rsidR="002E6D7A" w:rsidRPr="00621883">
        <w:rPr>
          <w:rFonts w:ascii="Times New Roman" w:hAnsi="Times New Roman" w:cs="Times New Roman"/>
        </w:rPr>
        <w:t xml:space="preserve">legal complex that has arisen around unexplained infant death, and </w:t>
      </w:r>
      <w:r w:rsidR="00017F59" w:rsidRPr="00621883">
        <w:rPr>
          <w:rFonts w:ascii="Times New Roman" w:hAnsi="Times New Roman" w:cs="Times New Roman"/>
        </w:rPr>
        <w:t xml:space="preserve">in doing so offers </w:t>
      </w:r>
      <w:r w:rsidR="002E6D7A" w:rsidRPr="00621883">
        <w:rPr>
          <w:rFonts w:ascii="Times New Roman" w:hAnsi="Times New Roman" w:cs="Times New Roman"/>
        </w:rPr>
        <w:t xml:space="preserve">principles that could be usefully applied in other contexts. </w:t>
      </w:r>
      <w:r w:rsidR="00DD6F56" w:rsidRPr="00621883">
        <w:rPr>
          <w:rFonts w:ascii="Times New Roman" w:hAnsi="Times New Roman" w:cs="Times New Roman"/>
        </w:rPr>
        <w:t xml:space="preserve">And </w:t>
      </w:r>
      <w:r w:rsidR="002E6D7A" w:rsidRPr="00621883">
        <w:rPr>
          <w:rFonts w:ascii="Times New Roman" w:hAnsi="Times New Roman" w:cs="Times New Roman"/>
        </w:rPr>
        <w:t>so</w:t>
      </w:r>
      <w:r w:rsidR="00DD6F56" w:rsidRPr="00621883">
        <w:rPr>
          <w:rFonts w:ascii="Times New Roman" w:hAnsi="Times New Roman" w:cs="Times New Roman"/>
        </w:rPr>
        <w:t xml:space="preserve"> </w:t>
      </w:r>
      <w:r w:rsidR="009E66C3" w:rsidRPr="00621883">
        <w:rPr>
          <w:rFonts w:ascii="Times New Roman" w:hAnsi="Times New Roman" w:cs="Times New Roman"/>
        </w:rPr>
        <w:t xml:space="preserve">this review </w:t>
      </w:r>
      <w:r w:rsidR="00250C06" w:rsidRPr="00621883">
        <w:rPr>
          <w:rFonts w:ascii="Times New Roman" w:hAnsi="Times New Roman" w:cs="Times New Roman"/>
        </w:rPr>
        <w:t xml:space="preserve">engages </w:t>
      </w:r>
      <w:r w:rsidR="002E6D7A" w:rsidRPr="00621883">
        <w:rPr>
          <w:rFonts w:ascii="Times New Roman" w:hAnsi="Times New Roman" w:cs="Times New Roman"/>
        </w:rPr>
        <w:t xml:space="preserve">also with the </w:t>
      </w:r>
      <w:r w:rsidR="00E31B84" w:rsidRPr="00621883">
        <w:rPr>
          <w:rFonts w:ascii="Times New Roman" w:hAnsi="Times New Roman" w:cs="Times New Roman"/>
        </w:rPr>
        <w:t xml:space="preserve">responsibilities of courts when faced with </w:t>
      </w:r>
      <w:r w:rsidR="00136DC0" w:rsidRPr="00621883">
        <w:rPr>
          <w:rFonts w:ascii="Times New Roman" w:hAnsi="Times New Roman" w:cs="Times New Roman"/>
        </w:rPr>
        <w:t xml:space="preserve">uncertain or </w:t>
      </w:r>
      <w:r w:rsidR="00E31B84" w:rsidRPr="00621883">
        <w:rPr>
          <w:rFonts w:ascii="Times New Roman" w:hAnsi="Times New Roman" w:cs="Times New Roman"/>
        </w:rPr>
        <w:t>conflicting expert testimony of the kind that wa</w:t>
      </w:r>
      <w:r w:rsidR="00136DC0" w:rsidRPr="00621883">
        <w:rPr>
          <w:rFonts w:ascii="Times New Roman" w:hAnsi="Times New Roman" w:cs="Times New Roman"/>
        </w:rPr>
        <w:t xml:space="preserve">s </w:t>
      </w:r>
      <w:r w:rsidR="00E31B84" w:rsidRPr="00621883">
        <w:rPr>
          <w:rFonts w:ascii="Times New Roman" w:hAnsi="Times New Roman" w:cs="Times New Roman"/>
        </w:rPr>
        <w:t>presented</w:t>
      </w:r>
      <w:r w:rsidR="00B94A7D" w:rsidRPr="00621883">
        <w:rPr>
          <w:rFonts w:ascii="Times New Roman" w:hAnsi="Times New Roman" w:cs="Times New Roman"/>
        </w:rPr>
        <w:t xml:space="preserve"> in Folbigg’s case</w:t>
      </w:r>
      <w:r w:rsidR="00136DC0" w:rsidRPr="00621883">
        <w:rPr>
          <w:rFonts w:ascii="Times New Roman" w:hAnsi="Times New Roman" w:cs="Times New Roman"/>
        </w:rPr>
        <w:t>,</w:t>
      </w:r>
      <w:r w:rsidR="00B94A7D" w:rsidRPr="00621883">
        <w:rPr>
          <w:rFonts w:ascii="Times New Roman" w:hAnsi="Times New Roman" w:cs="Times New Roman"/>
        </w:rPr>
        <w:t xml:space="preserve"> and </w:t>
      </w:r>
      <w:r w:rsidR="00136DC0" w:rsidRPr="00621883">
        <w:rPr>
          <w:rFonts w:ascii="Times New Roman" w:hAnsi="Times New Roman" w:cs="Times New Roman"/>
        </w:rPr>
        <w:t xml:space="preserve">more broadly </w:t>
      </w:r>
      <w:r w:rsidR="009E66C3" w:rsidRPr="00621883">
        <w:rPr>
          <w:rFonts w:ascii="Times New Roman" w:hAnsi="Times New Roman" w:cs="Times New Roman"/>
        </w:rPr>
        <w:t>t</w:t>
      </w:r>
      <w:r w:rsidR="00136DC0" w:rsidRPr="00621883">
        <w:rPr>
          <w:rFonts w:ascii="Times New Roman" w:hAnsi="Times New Roman" w:cs="Times New Roman"/>
        </w:rPr>
        <w:t xml:space="preserve">he failure or inadequacy of current admissibility standards and </w:t>
      </w:r>
      <w:r w:rsidR="009E66C3" w:rsidRPr="00621883">
        <w:rPr>
          <w:rFonts w:ascii="Times New Roman" w:hAnsi="Times New Roman" w:cs="Times New Roman"/>
        </w:rPr>
        <w:t xml:space="preserve">conventional trial safeguards </w:t>
      </w:r>
      <w:r w:rsidR="00741A82" w:rsidRPr="00621883">
        <w:rPr>
          <w:rFonts w:ascii="Times New Roman" w:hAnsi="Times New Roman" w:cs="Times New Roman"/>
        </w:rPr>
        <w:t>when it comes to adequately managing</w:t>
      </w:r>
      <w:r w:rsidR="00B94A7D" w:rsidRPr="00621883">
        <w:rPr>
          <w:rFonts w:ascii="Times New Roman" w:hAnsi="Times New Roman" w:cs="Times New Roman"/>
        </w:rPr>
        <w:t xml:space="preserve"> the expert evidence in </w:t>
      </w:r>
      <w:r w:rsidR="0003694A" w:rsidRPr="00621883">
        <w:rPr>
          <w:rFonts w:ascii="Times New Roman" w:hAnsi="Times New Roman" w:cs="Times New Roman"/>
        </w:rPr>
        <w:t>this and other recent</w:t>
      </w:r>
      <w:r w:rsidR="00B94A7D" w:rsidRPr="00621883">
        <w:rPr>
          <w:rFonts w:ascii="Times New Roman" w:hAnsi="Times New Roman" w:cs="Times New Roman"/>
        </w:rPr>
        <w:t xml:space="preserve"> case</w:t>
      </w:r>
      <w:r w:rsidR="0003694A" w:rsidRPr="00621883">
        <w:rPr>
          <w:rFonts w:ascii="Times New Roman" w:hAnsi="Times New Roman" w:cs="Times New Roman"/>
        </w:rPr>
        <w:t>s</w:t>
      </w:r>
      <w:r w:rsidR="00B94A7D" w:rsidRPr="00621883">
        <w:rPr>
          <w:rFonts w:ascii="Times New Roman" w:hAnsi="Times New Roman" w:cs="Times New Roman"/>
        </w:rPr>
        <w:t>.</w:t>
      </w:r>
      <w:r w:rsidR="00900300" w:rsidRPr="00621883">
        <w:rPr>
          <w:rStyle w:val="FootnoteReference"/>
          <w:rFonts w:ascii="Times New Roman" w:hAnsi="Times New Roman" w:cs="Times New Roman"/>
        </w:rPr>
        <w:footnoteReference w:id="6"/>
      </w:r>
      <w:r w:rsidR="00B94A7D" w:rsidRPr="00621883">
        <w:rPr>
          <w:rFonts w:ascii="Times New Roman" w:hAnsi="Times New Roman" w:cs="Times New Roman"/>
        </w:rPr>
        <w:t xml:space="preserve"> </w:t>
      </w:r>
    </w:p>
    <w:p w:rsidR="00E31B84" w:rsidRPr="00621883" w:rsidRDefault="00E31B84" w:rsidP="00AB4819">
      <w:pPr>
        <w:spacing w:line="276" w:lineRule="auto"/>
        <w:jc w:val="both"/>
        <w:rPr>
          <w:rFonts w:ascii="Times New Roman" w:hAnsi="Times New Roman" w:cs="Times New Roman"/>
        </w:rPr>
      </w:pPr>
    </w:p>
    <w:p w:rsidR="006402FA" w:rsidRDefault="00DC0339" w:rsidP="00AB4819">
      <w:pPr>
        <w:spacing w:line="276" w:lineRule="auto"/>
        <w:jc w:val="both"/>
        <w:rPr>
          <w:rFonts w:ascii="Times New Roman" w:hAnsi="Times New Roman" w:cs="Times New Roman"/>
        </w:rPr>
      </w:pPr>
      <w:r w:rsidRPr="00621883">
        <w:rPr>
          <w:rFonts w:ascii="Times New Roman" w:hAnsi="Times New Roman" w:cs="Times New Roman"/>
          <w:i/>
        </w:rPr>
        <w:t>Murder, Medicine and Motherhood</w:t>
      </w:r>
      <w:r w:rsidRPr="00621883">
        <w:rPr>
          <w:rFonts w:ascii="Times New Roman" w:hAnsi="Times New Roman" w:cs="Times New Roman"/>
        </w:rPr>
        <w:t xml:space="preserve"> provides a</w:t>
      </w:r>
      <w:r w:rsidR="0003694A" w:rsidRPr="00621883">
        <w:rPr>
          <w:rFonts w:ascii="Times New Roman" w:hAnsi="Times New Roman" w:cs="Times New Roman"/>
        </w:rPr>
        <w:t xml:space="preserve"> </w:t>
      </w:r>
      <w:r w:rsidRPr="00621883">
        <w:rPr>
          <w:rFonts w:ascii="Times New Roman" w:hAnsi="Times New Roman" w:cs="Times New Roman"/>
        </w:rPr>
        <w:t xml:space="preserve">detailed and nuanced </w:t>
      </w:r>
      <w:r w:rsidR="0003694A" w:rsidRPr="00621883">
        <w:rPr>
          <w:rFonts w:ascii="Times New Roman" w:hAnsi="Times New Roman" w:cs="Times New Roman"/>
        </w:rPr>
        <w:t>analysis of the ways in which the Crown and the defence</w:t>
      </w:r>
      <w:r w:rsidR="001420CD" w:rsidRPr="00621883">
        <w:rPr>
          <w:rFonts w:ascii="Times New Roman" w:hAnsi="Times New Roman" w:cs="Times New Roman"/>
        </w:rPr>
        <w:t xml:space="preserve"> cases</w:t>
      </w:r>
      <w:r w:rsidR="0003694A" w:rsidRPr="00621883">
        <w:rPr>
          <w:rFonts w:ascii="Times New Roman" w:hAnsi="Times New Roman" w:cs="Times New Roman"/>
        </w:rPr>
        <w:t xml:space="preserve"> were </w:t>
      </w:r>
      <w:r w:rsidR="001420CD" w:rsidRPr="00621883">
        <w:rPr>
          <w:rFonts w:ascii="Times New Roman" w:hAnsi="Times New Roman" w:cs="Times New Roman"/>
        </w:rPr>
        <w:t xml:space="preserve">respectively </w:t>
      </w:r>
      <w:r w:rsidR="0003694A" w:rsidRPr="00621883">
        <w:rPr>
          <w:rFonts w:ascii="Times New Roman" w:hAnsi="Times New Roman" w:cs="Times New Roman"/>
        </w:rPr>
        <w:t xml:space="preserve">enabled and constrained </w:t>
      </w:r>
      <w:r w:rsidR="001420CD" w:rsidRPr="00621883">
        <w:rPr>
          <w:rFonts w:ascii="Times New Roman" w:hAnsi="Times New Roman" w:cs="Times New Roman"/>
        </w:rPr>
        <w:t>by normative ideals of motherhood</w:t>
      </w:r>
      <w:r w:rsidR="008E29FA">
        <w:rPr>
          <w:rFonts w:ascii="Times New Roman" w:hAnsi="Times New Roman" w:cs="Times New Roman"/>
        </w:rPr>
        <w:t>.</w:t>
      </w:r>
      <w:r w:rsidR="001420CD" w:rsidRPr="00621883">
        <w:rPr>
          <w:rFonts w:ascii="Times New Roman" w:hAnsi="Times New Roman" w:cs="Times New Roman"/>
        </w:rPr>
        <w:t xml:space="preserve"> </w:t>
      </w:r>
      <w:r w:rsidR="008E29FA">
        <w:rPr>
          <w:rFonts w:ascii="Times New Roman" w:hAnsi="Times New Roman" w:cs="Times New Roman"/>
        </w:rPr>
        <w:t>I</w:t>
      </w:r>
      <w:r w:rsidR="001420CD" w:rsidRPr="00621883">
        <w:rPr>
          <w:rFonts w:ascii="Times New Roman" w:hAnsi="Times New Roman" w:cs="Times New Roman"/>
        </w:rPr>
        <w:t xml:space="preserve">deals that the </w:t>
      </w:r>
      <w:r w:rsidR="00E15A94" w:rsidRPr="00621883">
        <w:rPr>
          <w:rFonts w:ascii="Times New Roman" w:hAnsi="Times New Roman" w:cs="Times New Roman"/>
        </w:rPr>
        <w:t>Folbigg case showed to</w:t>
      </w:r>
      <w:r w:rsidR="0003694A" w:rsidRPr="00621883">
        <w:rPr>
          <w:rFonts w:ascii="Times New Roman" w:hAnsi="Times New Roman" w:cs="Times New Roman"/>
        </w:rPr>
        <w:t xml:space="preserve"> </w:t>
      </w:r>
      <w:r w:rsidR="00900300" w:rsidRPr="00621883">
        <w:rPr>
          <w:rFonts w:ascii="Times New Roman" w:hAnsi="Times New Roman" w:cs="Times New Roman"/>
        </w:rPr>
        <w:t xml:space="preserve">be </w:t>
      </w:r>
      <w:r w:rsidR="0003694A" w:rsidRPr="00621883">
        <w:rPr>
          <w:rFonts w:ascii="Times New Roman" w:hAnsi="Times New Roman" w:cs="Times New Roman"/>
        </w:rPr>
        <w:t>extra</w:t>
      </w:r>
      <w:r w:rsidR="00E15A94" w:rsidRPr="00621883">
        <w:rPr>
          <w:rFonts w:ascii="Times New Roman" w:hAnsi="Times New Roman" w:cs="Times New Roman"/>
        </w:rPr>
        <w:t>ordinarily</w:t>
      </w:r>
      <w:r w:rsidR="00AB1DA8" w:rsidRPr="00621883">
        <w:rPr>
          <w:rFonts w:ascii="Times New Roman" w:hAnsi="Times New Roman" w:cs="Times New Roman"/>
        </w:rPr>
        <w:t>, even unexpectedly</w:t>
      </w:r>
      <w:r w:rsidR="00336CF6" w:rsidRPr="00621883">
        <w:rPr>
          <w:rFonts w:ascii="Times New Roman" w:hAnsi="Times New Roman" w:cs="Times New Roman"/>
        </w:rPr>
        <w:t>,</w:t>
      </w:r>
      <w:r w:rsidR="00E15A94" w:rsidRPr="00621883">
        <w:rPr>
          <w:rFonts w:ascii="Times New Roman" w:hAnsi="Times New Roman" w:cs="Times New Roman"/>
        </w:rPr>
        <w:t xml:space="preserve"> persistent</w:t>
      </w:r>
      <w:r w:rsidR="00336CF6" w:rsidRPr="00621883">
        <w:rPr>
          <w:rFonts w:ascii="Times New Roman" w:hAnsi="Times New Roman" w:cs="Times New Roman"/>
        </w:rPr>
        <w:t xml:space="preserve"> and powerful</w:t>
      </w:r>
      <w:r w:rsidR="00C4702F" w:rsidRPr="00621883">
        <w:rPr>
          <w:rFonts w:ascii="Times New Roman" w:hAnsi="Times New Roman" w:cs="Times New Roman"/>
        </w:rPr>
        <w:t xml:space="preserve">. In particular </w:t>
      </w:r>
      <w:r w:rsidRPr="00621883">
        <w:rPr>
          <w:rFonts w:ascii="Times New Roman" w:hAnsi="Times New Roman" w:cs="Times New Roman"/>
        </w:rPr>
        <w:t xml:space="preserve">the difficulties faced by the defence in trying to counter the prejudicial effects that flowed from </w:t>
      </w:r>
      <w:r w:rsidR="00336CF6" w:rsidRPr="00621883">
        <w:rPr>
          <w:rFonts w:ascii="Times New Roman" w:hAnsi="Times New Roman" w:cs="Times New Roman"/>
        </w:rPr>
        <w:t xml:space="preserve">the </w:t>
      </w:r>
      <w:r w:rsidRPr="00621883">
        <w:rPr>
          <w:rFonts w:ascii="Times New Roman" w:hAnsi="Times New Roman" w:cs="Times New Roman"/>
        </w:rPr>
        <w:t xml:space="preserve">complex expectations </w:t>
      </w:r>
      <w:r w:rsidR="00336CF6" w:rsidRPr="00621883">
        <w:rPr>
          <w:rFonts w:ascii="Times New Roman" w:hAnsi="Times New Roman" w:cs="Times New Roman"/>
        </w:rPr>
        <w:t xml:space="preserve">attached to (good) mothering, </w:t>
      </w:r>
      <w:r w:rsidRPr="00621883">
        <w:rPr>
          <w:rFonts w:ascii="Times New Roman" w:hAnsi="Times New Roman" w:cs="Times New Roman"/>
        </w:rPr>
        <w:t>refracted through the figure of Folbigg as the failed mother.</w:t>
      </w:r>
      <w:r w:rsidR="0003694A" w:rsidRPr="00621883">
        <w:rPr>
          <w:rFonts w:ascii="Times New Roman" w:hAnsi="Times New Roman" w:cs="Times New Roman"/>
        </w:rPr>
        <w:t xml:space="preserve"> </w:t>
      </w:r>
      <w:r w:rsidR="0069449B" w:rsidRPr="00621883">
        <w:rPr>
          <w:rFonts w:ascii="Times New Roman" w:hAnsi="Times New Roman" w:cs="Times New Roman"/>
          <w:i/>
        </w:rPr>
        <w:t>Murder, Medicine and Motherhood</w:t>
      </w:r>
      <w:r w:rsidR="00A45D09" w:rsidRPr="00621883">
        <w:rPr>
          <w:rFonts w:ascii="Times New Roman" w:hAnsi="Times New Roman" w:cs="Times New Roman"/>
        </w:rPr>
        <w:t xml:space="preserve"> makes the case that the deployment of these narratives, in combination with the expert evidence, was critical to the </w:t>
      </w:r>
      <w:r w:rsidR="0069449B" w:rsidRPr="00621883">
        <w:rPr>
          <w:rFonts w:ascii="Times New Roman" w:hAnsi="Times New Roman" w:cs="Times New Roman"/>
        </w:rPr>
        <w:t xml:space="preserve">success of the </w:t>
      </w:r>
      <w:r w:rsidR="00A45D09" w:rsidRPr="00621883">
        <w:rPr>
          <w:rFonts w:ascii="Times New Roman" w:hAnsi="Times New Roman" w:cs="Times New Roman"/>
        </w:rPr>
        <w:t>Crown’s case</w:t>
      </w:r>
      <w:r w:rsidR="0069449B" w:rsidRPr="00621883">
        <w:rPr>
          <w:rFonts w:ascii="Times New Roman" w:hAnsi="Times New Roman" w:cs="Times New Roman"/>
        </w:rPr>
        <w:t>, and the failure of each appeal</w:t>
      </w:r>
      <w:r w:rsidR="00A45D09" w:rsidRPr="00621883">
        <w:rPr>
          <w:rFonts w:ascii="Times New Roman" w:hAnsi="Times New Roman" w:cs="Times New Roman"/>
        </w:rPr>
        <w:t xml:space="preserve">. And as other cases in comparable jurisdictions have been revisited and </w:t>
      </w:r>
      <w:r w:rsidR="0069449B" w:rsidRPr="00621883">
        <w:rPr>
          <w:rFonts w:ascii="Times New Roman" w:hAnsi="Times New Roman" w:cs="Times New Roman"/>
        </w:rPr>
        <w:t xml:space="preserve">convictions </w:t>
      </w:r>
      <w:r w:rsidR="00A45D09" w:rsidRPr="00621883">
        <w:rPr>
          <w:rFonts w:ascii="Times New Roman" w:hAnsi="Times New Roman" w:cs="Times New Roman"/>
        </w:rPr>
        <w:t xml:space="preserve">overturned, </w:t>
      </w:r>
      <w:r w:rsidR="0096318A" w:rsidRPr="00621883">
        <w:rPr>
          <w:rFonts w:ascii="Times New Roman" w:hAnsi="Times New Roman" w:cs="Times New Roman"/>
        </w:rPr>
        <w:t xml:space="preserve">the lingering effects </w:t>
      </w:r>
      <w:r w:rsidR="00D5769D" w:rsidRPr="00621883">
        <w:rPr>
          <w:rFonts w:ascii="Times New Roman" w:hAnsi="Times New Roman" w:cs="Times New Roman"/>
        </w:rPr>
        <w:t xml:space="preserve">of the Crown’s account of </w:t>
      </w:r>
      <w:r w:rsidR="0069449B" w:rsidRPr="00621883">
        <w:rPr>
          <w:rFonts w:ascii="Times New Roman" w:hAnsi="Times New Roman" w:cs="Times New Roman"/>
        </w:rPr>
        <w:t xml:space="preserve">Folbigg’s </w:t>
      </w:r>
      <w:r w:rsidR="00D5769D" w:rsidRPr="00621883">
        <w:rPr>
          <w:rFonts w:ascii="Times New Roman" w:hAnsi="Times New Roman" w:cs="Times New Roman"/>
        </w:rPr>
        <w:t>suspect, failed mothering, continues to set</w:t>
      </w:r>
      <w:r w:rsidR="0096318A" w:rsidRPr="00621883">
        <w:rPr>
          <w:rFonts w:ascii="Times New Roman" w:hAnsi="Times New Roman" w:cs="Times New Roman"/>
        </w:rPr>
        <w:t xml:space="preserve"> </w:t>
      </w:r>
      <w:r w:rsidR="0069449B" w:rsidRPr="00621883">
        <w:rPr>
          <w:rFonts w:ascii="Times New Roman" w:hAnsi="Times New Roman" w:cs="Times New Roman"/>
        </w:rPr>
        <w:t>her</w:t>
      </w:r>
      <w:r w:rsidR="0096318A" w:rsidRPr="00621883">
        <w:rPr>
          <w:rFonts w:ascii="Times New Roman" w:hAnsi="Times New Roman" w:cs="Times New Roman"/>
        </w:rPr>
        <w:t xml:space="preserve"> case apart.</w:t>
      </w:r>
      <w:r w:rsidR="00E43AD4" w:rsidRPr="00621883">
        <w:rPr>
          <w:rStyle w:val="FootnoteReference"/>
          <w:rFonts w:ascii="Times New Roman" w:hAnsi="Times New Roman" w:cs="Times New Roman"/>
        </w:rPr>
        <w:footnoteReference w:id="7"/>
      </w:r>
      <w:r w:rsidR="0096318A" w:rsidRPr="00621883">
        <w:rPr>
          <w:rFonts w:ascii="Times New Roman" w:hAnsi="Times New Roman" w:cs="Times New Roman"/>
        </w:rPr>
        <w:t xml:space="preserve"> </w:t>
      </w:r>
    </w:p>
    <w:p w:rsidR="006402FA" w:rsidRDefault="006402FA" w:rsidP="00AB4819">
      <w:pPr>
        <w:spacing w:line="276" w:lineRule="auto"/>
        <w:jc w:val="both"/>
        <w:rPr>
          <w:rFonts w:ascii="Times New Roman" w:hAnsi="Times New Roman" w:cs="Times New Roman"/>
        </w:rPr>
      </w:pPr>
    </w:p>
    <w:p w:rsidR="00DC0339" w:rsidRPr="00621883" w:rsidRDefault="00DC0339" w:rsidP="00AB4819">
      <w:pPr>
        <w:spacing w:line="276" w:lineRule="auto"/>
        <w:jc w:val="both"/>
        <w:rPr>
          <w:rFonts w:ascii="Times New Roman" w:hAnsi="Times New Roman" w:cs="Times New Roman"/>
        </w:rPr>
      </w:pPr>
      <w:r w:rsidRPr="00621883">
        <w:rPr>
          <w:rFonts w:ascii="Times New Roman" w:hAnsi="Times New Roman" w:cs="Times New Roman"/>
        </w:rPr>
        <w:t xml:space="preserve">In discussing why </w:t>
      </w:r>
      <w:r w:rsidR="00D5769D" w:rsidRPr="00621883">
        <w:rPr>
          <w:rFonts w:ascii="Times New Roman" w:hAnsi="Times New Roman" w:cs="Times New Roman"/>
        </w:rPr>
        <w:t>Emma’s</w:t>
      </w:r>
      <w:r w:rsidRPr="00621883">
        <w:rPr>
          <w:rFonts w:ascii="Times New Roman" w:hAnsi="Times New Roman" w:cs="Times New Roman"/>
        </w:rPr>
        <w:t xml:space="preserve"> analysis </w:t>
      </w:r>
      <w:r w:rsidR="00A135FD" w:rsidRPr="00621883">
        <w:rPr>
          <w:rFonts w:ascii="Times New Roman" w:hAnsi="Times New Roman" w:cs="Times New Roman"/>
        </w:rPr>
        <w:t xml:space="preserve">of the case </w:t>
      </w:r>
      <w:r w:rsidRPr="00621883">
        <w:rPr>
          <w:rFonts w:ascii="Times New Roman" w:hAnsi="Times New Roman" w:cs="Times New Roman"/>
        </w:rPr>
        <w:t xml:space="preserve">is so compelling, </w:t>
      </w:r>
      <w:r w:rsidR="0003694A" w:rsidRPr="00621883">
        <w:rPr>
          <w:rFonts w:ascii="Times New Roman" w:hAnsi="Times New Roman" w:cs="Times New Roman"/>
        </w:rPr>
        <w:t>I want to also draw some connections between</w:t>
      </w:r>
      <w:r w:rsidR="00150A52" w:rsidRPr="00621883">
        <w:rPr>
          <w:rFonts w:ascii="Times New Roman" w:hAnsi="Times New Roman" w:cs="Times New Roman"/>
        </w:rPr>
        <w:t xml:space="preserve"> </w:t>
      </w:r>
      <w:r w:rsidR="00B066D5" w:rsidRPr="00621883">
        <w:rPr>
          <w:rFonts w:ascii="Times New Roman" w:hAnsi="Times New Roman" w:cs="Times New Roman"/>
        </w:rPr>
        <w:t xml:space="preserve">the narratives </w:t>
      </w:r>
      <w:r w:rsidR="0003694A" w:rsidRPr="00621883">
        <w:rPr>
          <w:rFonts w:ascii="Times New Roman" w:hAnsi="Times New Roman" w:cs="Times New Roman"/>
        </w:rPr>
        <w:t>that were allowed to run</w:t>
      </w:r>
      <w:r w:rsidR="00B066D5" w:rsidRPr="00621883">
        <w:rPr>
          <w:rFonts w:ascii="Times New Roman" w:hAnsi="Times New Roman" w:cs="Times New Roman"/>
        </w:rPr>
        <w:t xml:space="preserve"> in </w:t>
      </w:r>
      <w:r w:rsidR="00150A52" w:rsidRPr="00621883">
        <w:rPr>
          <w:rFonts w:ascii="Times New Roman" w:hAnsi="Times New Roman" w:cs="Times New Roman"/>
        </w:rPr>
        <w:t>Folbigg a</w:t>
      </w:r>
      <w:r w:rsidR="00B066D5" w:rsidRPr="00621883">
        <w:rPr>
          <w:rFonts w:ascii="Times New Roman" w:hAnsi="Times New Roman" w:cs="Times New Roman"/>
        </w:rPr>
        <w:t xml:space="preserve">nd </w:t>
      </w:r>
      <w:r w:rsidR="0003694A" w:rsidRPr="00621883">
        <w:rPr>
          <w:rFonts w:ascii="Times New Roman" w:hAnsi="Times New Roman" w:cs="Times New Roman"/>
        </w:rPr>
        <w:t xml:space="preserve">some </w:t>
      </w:r>
      <w:r w:rsidR="00B066D5" w:rsidRPr="00621883">
        <w:rPr>
          <w:rFonts w:ascii="Times New Roman" w:hAnsi="Times New Roman" w:cs="Times New Roman"/>
        </w:rPr>
        <w:t xml:space="preserve">other recent Australian cases. </w:t>
      </w:r>
      <w:r w:rsidR="006221D1" w:rsidRPr="00621883">
        <w:rPr>
          <w:rFonts w:ascii="Times New Roman" w:hAnsi="Times New Roman" w:cs="Times New Roman"/>
        </w:rPr>
        <w:t>The most direct comparison</w:t>
      </w:r>
      <w:r w:rsidR="00A135FD" w:rsidRPr="00621883">
        <w:rPr>
          <w:rFonts w:ascii="Times New Roman" w:hAnsi="Times New Roman" w:cs="Times New Roman"/>
        </w:rPr>
        <w:t>s can be drawn between Folbigg’s trial</w:t>
      </w:r>
      <w:r w:rsidR="006221D1" w:rsidRPr="00621883">
        <w:rPr>
          <w:rFonts w:ascii="Times New Roman" w:hAnsi="Times New Roman" w:cs="Times New Roman"/>
        </w:rPr>
        <w:t xml:space="preserve"> and</w:t>
      </w:r>
      <w:r w:rsidR="00922786" w:rsidRPr="00621883">
        <w:rPr>
          <w:rFonts w:ascii="Times New Roman" w:hAnsi="Times New Roman" w:cs="Times New Roman"/>
        </w:rPr>
        <w:t xml:space="preserve"> the </w:t>
      </w:r>
      <w:r w:rsidR="0003694A" w:rsidRPr="00621883">
        <w:rPr>
          <w:rFonts w:ascii="Times New Roman" w:hAnsi="Times New Roman" w:cs="Times New Roman"/>
        </w:rPr>
        <w:t>trial of</w:t>
      </w:r>
      <w:r w:rsidR="006003D9" w:rsidRPr="00621883">
        <w:rPr>
          <w:rFonts w:ascii="Times New Roman" w:hAnsi="Times New Roman" w:cs="Times New Roman"/>
        </w:rPr>
        <w:t xml:space="preserve"> Keli Lane, </w:t>
      </w:r>
      <w:r w:rsidR="00A135FD" w:rsidRPr="00621883">
        <w:rPr>
          <w:rFonts w:ascii="Times New Roman" w:hAnsi="Times New Roman" w:cs="Times New Roman"/>
        </w:rPr>
        <w:t xml:space="preserve">who was </w:t>
      </w:r>
      <w:r w:rsidR="006003D9" w:rsidRPr="00621883">
        <w:rPr>
          <w:rFonts w:ascii="Times New Roman" w:hAnsi="Times New Roman" w:cs="Times New Roman"/>
        </w:rPr>
        <w:t>convicted, in 2010</w:t>
      </w:r>
      <w:r w:rsidR="00AF07BB" w:rsidRPr="00621883">
        <w:rPr>
          <w:rFonts w:ascii="Times New Roman" w:hAnsi="Times New Roman" w:cs="Times New Roman"/>
        </w:rPr>
        <w:t>,</w:t>
      </w:r>
      <w:r w:rsidR="006003D9" w:rsidRPr="00621883">
        <w:rPr>
          <w:rFonts w:ascii="Times New Roman" w:hAnsi="Times New Roman" w:cs="Times New Roman"/>
        </w:rPr>
        <w:t xml:space="preserve"> of the murder of </w:t>
      </w:r>
      <w:r w:rsidR="00CF6A72" w:rsidRPr="00621883">
        <w:rPr>
          <w:rFonts w:ascii="Times New Roman" w:hAnsi="Times New Roman" w:cs="Times New Roman"/>
        </w:rPr>
        <w:t xml:space="preserve">her newborn </w:t>
      </w:r>
      <w:r w:rsidR="00A135FD" w:rsidRPr="00621883">
        <w:rPr>
          <w:rFonts w:ascii="Times New Roman" w:hAnsi="Times New Roman" w:cs="Times New Roman"/>
        </w:rPr>
        <w:t xml:space="preserve">baby Tegan, born </w:t>
      </w:r>
      <w:r w:rsidR="00AF07BB" w:rsidRPr="00621883">
        <w:rPr>
          <w:rFonts w:ascii="Times New Roman" w:hAnsi="Times New Roman" w:cs="Times New Roman"/>
        </w:rPr>
        <w:t>in 1995</w:t>
      </w:r>
      <w:r w:rsidR="0003694A" w:rsidRPr="00621883">
        <w:rPr>
          <w:rFonts w:ascii="Times New Roman" w:hAnsi="Times New Roman" w:cs="Times New Roman"/>
        </w:rPr>
        <w:t>.</w:t>
      </w:r>
      <w:r w:rsidR="00472EC7" w:rsidRPr="00621883">
        <w:rPr>
          <w:rStyle w:val="FootnoteReference"/>
          <w:rFonts w:ascii="Times New Roman" w:hAnsi="Times New Roman" w:cs="Times New Roman"/>
        </w:rPr>
        <w:footnoteReference w:id="8"/>
      </w:r>
      <w:r w:rsidR="00CF6A72" w:rsidRPr="00621883">
        <w:rPr>
          <w:rFonts w:ascii="Times New Roman" w:hAnsi="Times New Roman" w:cs="Times New Roman"/>
        </w:rPr>
        <w:t xml:space="preserve"> </w:t>
      </w:r>
      <w:r w:rsidR="006402FA">
        <w:rPr>
          <w:rFonts w:ascii="Times New Roman" w:hAnsi="Times New Roman" w:cs="Times New Roman"/>
        </w:rPr>
        <w:t>Lane</w:t>
      </w:r>
      <w:r w:rsidR="00D936D0" w:rsidRPr="00621883">
        <w:rPr>
          <w:rFonts w:ascii="Times New Roman" w:hAnsi="Times New Roman" w:cs="Times New Roman"/>
        </w:rPr>
        <w:t xml:space="preserve"> bears closer analysis in relation to Folbigg</w:t>
      </w:r>
      <w:r w:rsidR="006402FA">
        <w:rPr>
          <w:rFonts w:ascii="Times New Roman" w:hAnsi="Times New Roman" w:cs="Times New Roman"/>
        </w:rPr>
        <w:t>,</w:t>
      </w:r>
      <w:r w:rsidR="00D936D0" w:rsidRPr="00621883">
        <w:rPr>
          <w:rFonts w:ascii="Times New Roman" w:hAnsi="Times New Roman" w:cs="Times New Roman"/>
        </w:rPr>
        <w:t xml:space="preserve"> not only because she too was convicted of killing her child, but also because, </w:t>
      </w:r>
      <w:r w:rsidR="00690CE7" w:rsidRPr="00621883">
        <w:rPr>
          <w:rFonts w:ascii="Times New Roman" w:hAnsi="Times New Roman" w:cs="Times New Roman"/>
        </w:rPr>
        <w:t>like Folbigg</w:t>
      </w:r>
      <w:r w:rsidR="00D936D0" w:rsidRPr="00621883">
        <w:rPr>
          <w:rFonts w:ascii="Times New Roman" w:hAnsi="Times New Roman" w:cs="Times New Roman"/>
        </w:rPr>
        <w:t xml:space="preserve">, she was prosecuted by perhaps New South Wales’ most successful Crown Prosecutor, Mark Tedeschi. In comparing the two cases, there are some striking similarities in the narratives deployed against Folbigg and those deployed against Lane. </w:t>
      </w:r>
      <w:r w:rsidR="0099669B" w:rsidRPr="00621883">
        <w:rPr>
          <w:rFonts w:ascii="Times New Roman" w:hAnsi="Times New Roman" w:cs="Times New Roman"/>
        </w:rPr>
        <w:t>But there are two other significant cases that can be drawn in</w:t>
      </w:r>
      <w:r w:rsidR="00A135FD" w:rsidRPr="00621883">
        <w:rPr>
          <w:rFonts w:ascii="Times New Roman" w:hAnsi="Times New Roman" w:cs="Times New Roman"/>
        </w:rPr>
        <w:t xml:space="preserve"> for comparison. The first is the long running </w:t>
      </w:r>
      <w:r w:rsidR="0099669B" w:rsidRPr="00621883">
        <w:rPr>
          <w:rFonts w:ascii="Times New Roman" w:hAnsi="Times New Roman" w:cs="Times New Roman"/>
        </w:rPr>
        <w:t>case of</w:t>
      </w:r>
      <w:r w:rsidR="006003D9" w:rsidRPr="00621883">
        <w:rPr>
          <w:rFonts w:ascii="Times New Roman" w:hAnsi="Times New Roman" w:cs="Times New Roman"/>
        </w:rPr>
        <w:t xml:space="preserve"> Gordon Wood, </w:t>
      </w:r>
      <w:r w:rsidR="00A135FD" w:rsidRPr="00621883">
        <w:rPr>
          <w:rFonts w:ascii="Times New Roman" w:hAnsi="Times New Roman" w:cs="Times New Roman"/>
        </w:rPr>
        <w:t xml:space="preserve">who was </w:t>
      </w:r>
      <w:r w:rsidR="00AF07BB" w:rsidRPr="00621883">
        <w:rPr>
          <w:rFonts w:ascii="Times New Roman" w:hAnsi="Times New Roman" w:cs="Times New Roman"/>
        </w:rPr>
        <w:t xml:space="preserve">convicted in 2008, </w:t>
      </w:r>
      <w:r w:rsidR="006003D9" w:rsidRPr="00621883">
        <w:rPr>
          <w:rFonts w:ascii="Times New Roman" w:hAnsi="Times New Roman" w:cs="Times New Roman"/>
        </w:rPr>
        <w:t>of the murder of his girlfriend Caroline Byrne</w:t>
      </w:r>
      <w:r w:rsidR="00AF07BB" w:rsidRPr="00621883">
        <w:rPr>
          <w:rFonts w:ascii="Times New Roman" w:hAnsi="Times New Roman" w:cs="Times New Roman"/>
        </w:rPr>
        <w:t xml:space="preserve"> who died in 1995, </w:t>
      </w:r>
      <w:r w:rsidR="00A135FD" w:rsidRPr="00621883">
        <w:rPr>
          <w:rFonts w:ascii="Times New Roman" w:hAnsi="Times New Roman" w:cs="Times New Roman"/>
        </w:rPr>
        <w:t>only to be acquitted in 2012.</w:t>
      </w:r>
      <w:bookmarkStart w:id="4" w:name="_Ref352246022"/>
      <w:r w:rsidR="00A135FD" w:rsidRPr="00621883">
        <w:rPr>
          <w:rStyle w:val="FootnoteReference"/>
          <w:rFonts w:ascii="Times New Roman" w:hAnsi="Times New Roman" w:cs="Times New Roman"/>
        </w:rPr>
        <w:footnoteReference w:id="9"/>
      </w:r>
      <w:bookmarkEnd w:id="4"/>
      <w:r w:rsidR="00A135FD" w:rsidRPr="00621883">
        <w:rPr>
          <w:rFonts w:ascii="Times New Roman" w:hAnsi="Times New Roman" w:cs="Times New Roman"/>
        </w:rPr>
        <w:t xml:space="preserve"> The second is the equally long running case </w:t>
      </w:r>
      <w:r w:rsidR="00E77CFF" w:rsidRPr="00621883">
        <w:rPr>
          <w:rFonts w:ascii="Times New Roman" w:hAnsi="Times New Roman" w:cs="Times New Roman"/>
        </w:rPr>
        <w:t>of</w:t>
      </w:r>
      <w:r w:rsidR="00AF07BB" w:rsidRPr="00621883">
        <w:rPr>
          <w:rFonts w:ascii="Times New Roman" w:hAnsi="Times New Roman" w:cs="Times New Roman"/>
        </w:rPr>
        <w:t xml:space="preserve"> Jeffrey Gilham, who was convicted in 20</w:t>
      </w:r>
      <w:r w:rsidR="008048FE" w:rsidRPr="00621883">
        <w:rPr>
          <w:rFonts w:ascii="Times New Roman" w:hAnsi="Times New Roman" w:cs="Times New Roman"/>
        </w:rPr>
        <w:t xml:space="preserve">09 </w:t>
      </w:r>
      <w:r w:rsidR="00E77CFF" w:rsidRPr="00621883">
        <w:rPr>
          <w:rFonts w:ascii="Times New Roman" w:hAnsi="Times New Roman" w:cs="Times New Roman"/>
        </w:rPr>
        <w:t xml:space="preserve">of the </w:t>
      </w:r>
      <w:r w:rsidR="00CB6868" w:rsidRPr="00621883">
        <w:rPr>
          <w:rFonts w:ascii="Times New Roman" w:hAnsi="Times New Roman" w:cs="Times New Roman"/>
        </w:rPr>
        <w:t xml:space="preserve">1993 </w:t>
      </w:r>
      <w:r w:rsidR="00E77CFF" w:rsidRPr="00621883">
        <w:rPr>
          <w:rFonts w:ascii="Times New Roman" w:hAnsi="Times New Roman" w:cs="Times New Roman"/>
        </w:rPr>
        <w:t>murder of</w:t>
      </w:r>
      <w:r w:rsidR="008048FE" w:rsidRPr="00621883">
        <w:rPr>
          <w:rFonts w:ascii="Times New Roman" w:hAnsi="Times New Roman" w:cs="Times New Roman"/>
        </w:rPr>
        <w:t xml:space="preserve"> his par</w:t>
      </w:r>
      <w:r w:rsidR="00CB6868" w:rsidRPr="00621883">
        <w:rPr>
          <w:rFonts w:ascii="Times New Roman" w:hAnsi="Times New Roman" w:cs="Times New Roman"/>
        </w:rPr>
        <w:t>ents</w:t>
      </w:r>
      <w:r w:rsidR="00E77CFF" w:rsidRPr="00621883">
        <w:rPr>
          <w:rFonts w:ascii="Times New Roman" w:hAnsi="Times New Roman" w:cs="Times New Roman"/>
        </w:rPr>
        <w:t xml:space="preserve">, </w:t>
      </w:r>
      <w:r w:rsidR="00A135FD" w:rsidRPr="00621883">
        <w:rPr>
          <w:rFonts w:ascii="Times New Roman" w:hAnsi="Times New Roman" w:cs="Times New Roman"/>
        </w:rPr>
        <w:t>and</w:t>
      </w:r>
      <w:r w:rsidR="00E77CFF" w:rsidRPr="00621883">
        <w:rPr>
          <w:rFonts w:ascii="Times New Roman" w:hAnsi="Times New Roman" w:cs="Times New Roman"/>
        </w:rPr>
        <w:t xml:space="preserve"> </w:t>
      </w:r>
      <w:r w:rsidR="00A135FD" w:rsidRPr="00621883">
        <w:rPr>
          <w:rFonts w:ascii="Times New Roman" w:hAnsi="Times New Roman" w:cs="Times New Roman"/>
        </w:rPr>
        <w:t xml:space="preserve">also </w:t>
      </w:r>
      <w:r w:rsidR="00E77CFF" w:rsidRPr="00621883">
        <w:rPr>
          <w:rFonts w:ascii="Times New Roman" w:hAnsi="Times New Roman" w:cs="Times New Roman"/>
        </w:rPr>
        <w:t>acquitted in 2012</w:t>
      </w:r>
      <w:r w:rsidR="008048FE" w:rsidRPr="00621883">
        <w:rPr>
          <w:rFonts w:ascii="Times New Roman" w:hAnsi="Times New Roman" w:cs="Times New Roman"/>
        </w:rPr>
        <w:t>.</w:t>
      </w:r>
      <w:bookmarkStart w:id="5" w:name="_Ref224700901"/>
      <w:r w:rsidR="00E77CFF" w:rsidRPr="00621883">
        <w:rPr>
          <w:rStyle w:val="FootnoteReference"/>
          <w:rFonts w:ascii="Times New Roman" w:hAnsi="Times New Roman" w:cs="Times New Roman"/>
        </w:rPr>
        <w:footnoteReference w:id="10"/>
      </w:r>
      <w:bookmarkEnd w:id="5"/>
      <w:r w:rsidR="008048FE" w:rsidRPr="00621883">
        <w:rPr>
          <w:rFonts w:ascii="Times New Roman" w:hAnsi="Times New Roman" w:cs="Times New Roman"/>
        </w:rPr>
        <w:t xml:space="preserve"> </w:t>
      </w:r>
      <w:r w:rsidR="00D936D0" w:rsidRPr="00621883">
        <w:rPr>
          <w:rFonts w:ascii="Times New Roman" w:hAnsi="Times New Roman" w:cs="Times New Roman"/>
        </w:rPr>
        <w:t xml:space="preserve">These two cases </w:t>
      </w:r>
      <w:r w:rsidR="00D024AB" w:rsidRPr="00621883">
        <w:rPr>
          <w:rFonts w:ascii="Times New Roman" w:hAnsi="Times New Roman" w:cs="Times New Roman"/>
        </w:rPr>
        <w:t xml:space="preserve">speak to the </w:t>
      </w:r>
      <w:r w:rsidR="006C4C9A" w:rsidRPr="00621883">
        <w:rPr>
          <w:rFonts w:ascii="Times New Roman" w:hAnsi="Times New Roman" w:cs="Times New Roman"/>
        </w:rPr>
        <w:t xml:space="preserve">related, but also </w:t>
      </w:r>
      <w:r w:rsidR="00D024AB" w:rsidRPr="00621883">
        <w:rPr>
          <w:rFonts w:ascii="Times New Roman" w:hAnsi="Times New Roman" w:cs="Times New Roman"/>
        </w:rPr>
        <w:t>broade</w:t>
      </w:r>
      <w:r w:rsidR="006C4C9A" w:rsidRPr="00621883">
        <w:rPr>
          <w:rFonts w:ascii="Times New Roman" w:hAnsi="Times New Roman" w:cs="Times New Roman"/>
        </w:rPr>
        <w:t>r question</w:t>
      </w:r>
      <w:r w:rsidR="00D024AB" w:rsidRPr="00621883">
        <w:rPr>
          <w:rFonts w:ascii="Times New Roman" w:hAnsi="Times New Roman" w:cs="Times New Roman"/>
        </w:rPr>
        <w:t xml:space="preserve"> of how courts manage </w:t>
      </w:r>
      <w:r w:rsidRPr="00621883">
        <w:rPr>
          <w:rFonts w:ascii="Times New Roman" w:hAnsi="Times New Roman" w:cs="Times New Roman"/>
        </w:rPr>
        <w:t>(</w:t>
      </w:r>
      <w:r w:rsidR="00D024AB" w:rsidRPr="00621883">
        <w:rPr>
          <w:rFonts w:ascii="Times New Roman" w:hAnsi="Times New Roman" w:cs="Times New Roman"/>
        </w:rPr>
        <w:t>or fail to manage) incriminating expert evidence</w:t>
      </w:r>
      <w:r w:rsidR="002C05BA" w:rsidRPr="00621883">
        <w:rPr>
          <w:rFonts w:ascii="Times New Roman" w:hAnsi="Times New Roman" w:cs="Times New Roman"/>
        </w:rPr>
        <w:t xml:space="preserve">, </w:t>
      </w:r>
      <w:r w:rsidRPr="00621883">
        <w:rPr>
          <w:rFonts w:ascii="Times New Roman" w:hAnsi="Times New Roman" w:cs="Times New Roman"/>
        </w:rPr>
        <w:t>and</w:t>
      </w:r>
      <w:r w:rsidR="006C4C9A" w:rsidRPr="00621883">
        <w:rPr>
          <w:rFonts w:ascii="Times New Roman" w:hAnsi="Times New Roman" w:cs="Times New Roman"/>
        </w:rPr>
        <w:t xml:space="preserve">, like </w:t>
      </w:r>
      <w:r w:rsidR="006C4C9A" w:rsidRPr="00621883">
        <w:rPr>
          <w:rFonts w:ascii="Times New Roman" w:hAnsi="Times New Roman" w:cs="Times New Roman"/>
          <w:i/>
        </w:rPr>
        <w:t>Folbigg</w:t>
      </w:r>
      <w:r w:rsidR="006C4C9A" w:rsidRPr="00621883">
        <w:rPr>
          <w:rFonts w:ascii="Times New Roman" w:hAnsi="Times New Roman" w:cs="Times New Roman"/>
        </w:rPr>
        <w:t>,</w:t>
      </w:r>
      <w:r w:rsidRPr="00621883">
        <w:rPr>
          <w:rFonts w:ascii="Times New Roman" w:hAnsi="Times New Roman" w:cs="Times New Roman"/>
        </w:rPr>
        <w:t xml:space="preserve"> speak to the failures of the adversarial trial and safeguards to adequately manage the expert evidence in the case, </w:t>
      </w:r>
      <w:r w:rsidR="006C4C9A" w:rsidRPr="00621883">
        <w:rPr>
          <w:rFonts w:ascii="Times New Roman" w:hAnsi="Times New Roman" w:cs="Times New Roman"/>
        </w:rPr>
        <w:t xml:space="preserve">and in particular </w:t>
      </w:r>
      <w:r w:rsidR="006402FA">
        <w:rPr>
          <w:rFonts w:ascii="Times New Roman" w:hAnsi="Times New Roman" w:cs="Times New Roman"/>
        </w:rPr>
        <w:t>the failure of the ‘safeguard’</w:t>
      </w:r>
      <w:r w:rsidRPr="00621883">
        <w:rPr>
          <w:rFonts w:ascii="Times New Roman" w:hAnsi="Times New Roman" w:cs="Times New Roman"/>
        </w:rPr>
        <w:t xml:space="preserve"> </w:t>
      </w:r>
      <w:r w:rsidR="00005B84" w:rsidRPr="00621883">
        <w:rPr>
          <w:rFonts w:ascii="Times New Roman" w:hAnsi="Times New Roman" w:cs="Times New Roman"/>
        </w:rPr>
        <w:t>that is prosecutorial restraint—</w:t>
      </w:r>
      <w:r w:rsidRPr="00621883">
        <w:rPr>
          <w:rFonts w:ascii="Times New Roman" w:hAnsi="Times New Roman" w:cs="Times New Roman"/>
        </w:rPr>
        <w:t xml:space="preserve">prosecutorial obligations of fairness that are a </w:t>
      </w:r>
      <w:r w:rsidRPr="00621883">
        <w:rPr>
          <w:rFonts w:ascii="Times New Roman" w:hAnsi="Times New Roman" w:cs="Times New Roman"/>
        </w:rPr>
        <w:lastRenderedPageBreak/>
        <w:t>prominent feature of the rhetoric underpinning the conduct o</w:t>
      </w:r>
      <w:r w:rsidR="009B7C80" w:rsidRPr="00621883">
        <w:rPr>
          <w:rFonts w:ascii="Times New Roman" w:hAnsi="Times New Roman" w:cs="Times New Roman"/>
        </w:rPr>
        <w:t>f criminal trials in Australia.</w:t>
      </w:r>
      <w:bookmarkStart w:id="6" w:name="_Ref225917224"/>
      <w:r w:rsidR="009B7C80" w:rsidRPr="00621883">
        <w:rPr>
          <w:rStyle w:val="FootnoteReference"/>
          <w:rFonts w:ascii="Times New Roman" w:hAnsi="Times New Roman" w:cs="Times New Roman"/>
        </w:rPr>
        <w:footnoteReference w:id="11"/>
      </w:r>
      <w:bookmarkEnd w:id="6"/>
    </w:p>
    <w:p w:rsidR="006C4C9A" w:rsidRPr="00621883" w:rsidRDefault="006C4C9A" w:rsidP="00AB4819">
      <w:pPr>
        <w:widowControl w:val="0"/>
        <w:autoSpaceDE w:val="0"/>
        <w:autoSpaceDN w:val="0"/>
        <w:adjustRightInd w:val="0"/>
        <w:spacing w:line="276" w:lineRule="auto"/>
        <w:jc w:val="both"/>
        <w:rPr>
          <w:rFonts w:ascii="Times New Roman" w:hAnsi="Times New Roman" w:cs="Times New Roman"/>
        </w:rPr>
      </w:pPr>
    </w:p>
    <w:p w:rsidR="006402FA" w:rsidRDefault="00DC2DD6" w:rsidP="00AB4819">
      <w:pPr>
        <w:widowControl w:val="0"/>
        <w:autoSpaceDE w:val="0"/>
        <w:autoSpaceDN w:val="0"/>
        <w:adjustRightInd w:val="0"/>
        <w:spacing w:line="276" w:lineRule="auto"/>
        <w:jc w:val="both"/>
        <w:rPr>
          <w:rFonts w:ascii="Times New Roman" w:hAnsi="Times New Roman" w:cs="Times New Roman"/>
        </w:rPr>
      </w:pPr>
      <w:r w:rsidRPr="00621883">
        <w:rPr>
          <w:rFonts w:ascii="Times New Roman" w:hAnsi="Times New Roman" w:cs="Times New Roman"/>
        </w:rPr>
        <w:t xml:space="preserve">These </w:t>
      </w:r>
      <w:r w:rsidR="00F72C92">
        <w:rPr>
          <w:rFonts w:ascii="Times New Roman" w:hAnsi="Times New Roman" w:cs="Times New Roman"/>
        </w:rPr>
        <w:t xml:space="preserve">other </w:t>
      </w:r>
      <w:r w:rsidRPr="00621883">
        <w:rPr>
          <w:rFonts w:ascii="Times New Roman" w:hAnsi="Times New Roman" w:cs="Times New Roman"/>
        </w:rPr>
        <w:t xml:space="preserve">recent appellate decisions are worth noting in part also because of the involvement of Mark Tedeschi in the prosecutions. </w:t>
      </w:r>
      <w:r w:rsidR="00FD1338" w:rsidRPr="00621883">
        <w:rPr>
          <w:rFonts w:ascii="Times New Roman" w:hAnsi="Times New Roman" w:cs="Times New Roman"/>
        </w:rPr>
        <w:t xml:space="preserve">Gordon </w:t>
      </w:r>
      <w:r w:rsidRPr="00621883">
        <w:rPr>
          <w:rFonts w:ascii="Times New Roman" w:hAnsi="Times New Roman" w:cs="Times New Roman"/>
        </w:rPr>
        <w:t>Wood, like Folbi</w:t>
      </w:r>
      <w:r w:rsidR="00CB6868" w:rsidRPr="00621883">
        <w:rPr>
          <w:rFonts w:ascii="Times New Roman" w:hAnsi="Times New Roman" w:cs="Times New Roman"/>
        </w:rPr>
        <w:t xml:space="preserve">gg, was prosecuted by Tedeschi. </w:t>
      </w:r>
      <w:r w:rsidRPr="00621883">
        <w:rPr>
          <w:rFonts w:ascii="Times New Roman" w:hAnsi="Times New Roman" w:cs="Times New Roman"/>
        </w:rPr>
        <w:t>The issues that gave rise to the successful appeal were numerous and comple</w:t>
      </w:r>
      <w:r w:rsidR="006402FA">
        <w:rPr>
          <w:rFonts w:ascii="Times New Roman" w:hAnsi="Times New Roman" w:cs="Times New Roman"/>
        </w:rPr>
        <w:t>x;</w:t>
      </w:r>
      <w:r w:rsidR="0064579B" w:rsidRPr="00621883">
        <w:rPr>
          <w:rFonts w:ascii="Times New Roman" w:hAnsi="Times New Roman" w:cs="Times New Roman"/>
        </w:rPr>
        <w:t xml:space="preserve"> critically they </w:t>
      </w:r>
      <w:r w:rsidR="00CB6868" w:rsidRPr="00621883">
        <w:rPr>
          <w:rFonts w:ascii="Times New Roman" w:hAnsi="Times New Roman" w:cs="Times New Roman"/>
        </w:rPr>
        <w:t xml:space="preserve">included the reliance on </w:t>
      </w:r>
      <w:r w:rsidRPr="00621883">
        <w:rPr>
          <w:rFonts w:ascii="Times New Roman" w:hAnsi="Times New Roman" w:cs="Times New Roman"/>
        </w:rPr>
        <w:t>inadequate and erroneous expert evidence to support the Crown case</w:t>
      </w:r>
      <w:r w:rsidR="0064579B" w:rsidRPr="00621883">
        <w:rPr>
          <w:rFonts w:ascii="Times New Roman" w:hAnsi="Times New Roman" w:cs="Times New Roman"/>
        </w:rPr>
        <w:t>.</w:t>
      </w:r>
      <w:r w:rsidR="0064579B" w:rsidRPr="00621883">
        <w:rPr>
          <w:rStyle w:val="FootnoteReference"/>
          <w:rFonts w:ascii="Times New Roman" w:hAnsi="Times New Roman" w:cs="Times New Roman"/>
        </w:rPr>
        <w:footnoteReference w:id="12"/>
      </w:r>
      <w:r w:rsidR="0064579B" w:rsidRPr="00621883">
        <w:rPr>
          <w:rFonts w:ascii="Times New Roman" w:hAnsi="Times New Roman" w:cs="Times New Roman"/>
        </w:rPr>
        <w:t xml:space="preserve"> B</w:t>
      </w:r>
      <w:r w:rsidRPr="00621883">
        <w:rPr>
          <w:rFonts w:ascii="Times New Roman" w:hAnsi="Times New Roman" w:cs="Times New Roman"/>
        </w:rPr>
        <w:t xml:space="preserve">ut </w:t>
      </w:r>
      <w:r w:rsidR="00CB6868" w:rsidRPr="00621883">
        <w:rPr>
          <w:rFonts w:ascii="Times New Roman" w:hAnsi="Times New Roman" w:cs="Times New Roman"/>
        </w:rPr>
        <w:t xml:space="preserve">arguably, </w:t>
      </w:r>
      <w:r w:rsidRPr="00621883">
        <w:rPr>
          <w:rFonts w:ascii="Times New Roman" w:hAnsi="Times New Roman" w:cs="Times New Roman"/>
        </w:rPr>
        <w:t xml:space="preserve">at the heart of the appeal was the conduct of the prosecution, the unsupported and speculative </w:t>
      </w:r>
      <w:r w:rsidR="00777173" w:rsidRPr="00621883">
        <w:rPr>
          <w:rFonts w:ascii="Times New Roman" w:hAnsi="Times New Roman" w:cs="Times New Roman"/>
        </w:rPr>
        <w:t xml:space="preserve">(and sometimes conflicting) </w:t>
      </w:r>
      <w:r w:rsidRPr="00621883">
        <w:rPr>
          <w:rFonts w:ascii="Times New Roman" w:hAnsi="Times New Roman" w:cs="Times New Roman"/>
        </w:rPr>
        <w:t>narrative</w:t>
      </w:r>
      <w:r w:rsidR="00777173" w:rsidRPr="00621883">
        <w:rPr>
          <w:rFonts w:ascii="Times New Roman" w:hAnsi="Times New Roman" w:cs="Times New Roman"/>
        </w:rPr>
        <w:t xml:space="preserve">s spun out of </w:t>
      </w:r>
      <w:r w:rsidR="00AE79B1" w:rsidRPr="00621883">
        <w:rPr>
          <w:rFonts w:ascii="Times New Roman" w:hAnsi="Times New Roman" w:cs="Times New Roman"/>
        </w:rPr>
        <w:t xml:space="preserve">the </w:t>
      </w:r>
      <w:r w:rsidR="00777173" w:rsidRPr="00621883">
        <w:rPr>
          <w:rFonts w:ascii="Times New Roman" w:hAnsi="Times New Roman" w:cs="Times New Roman"/>
        </w:rPr>
        <w:t xml:space="preserve">circumstantial case against Wood. As </w:t>
      </w:r>
      <w:r w:rsidR="00E77CFF" w:rsidRPr="00621883">
        <w:rPr>
          <w:rFonts w:ascii="Times New Roman" w:hAnsi="Times New Roman" w:cs="Times New Roman"/>
        </w:rPr>
        <w:t>McClellan</w:t>
      </w:r>
      <w:r w:rsidR="00777173" w:rsidRPr="00621883">
        <w:rPr>
          <w:rFonts w:ascii="Times New Roman" w:hAnsi="Times New Roman" w:cs="Times New Roman"/>
        </w:rPr>
        <w:t xml:space="preserve"> CJ wrote in the appeal,</w:t>
      </w:r>
      <w:r w:rsidR="00126CC1">
        <w:rPr>
          <w:rFonts w:ascii="Times New Roman" w:hAnsi="Times New Roman" w:cs="Times New Roman"/>
        </w:rPr>
        <w:t xml:space="preserve"> “</w:t>
      </w:r>
      <w:r w:rsidR="00825058">
        <w:rPr>
          <w:rFonts w:ascii="Times New Roman" w:hAnsi="Times New Roman" w:cs="Times New Roman"/>
        </w:rPr>
        <w:t>[t]</w:t>
      </w:r>
      <w:r w:rsidR="00E77CFF" w:rsidRPr="00621883">
        <w:rPr>
          <w:rFonts w:ascii="Times New Roman" w:hAnsi="Times New Roman" w:cs="Times New Roman"/>
        </w:rPr>
        <w:t>he difficulties which the prosecutor's conduct created are so significant that I am satisfied it caused the trial to miscarry occasio</w:t>
      </w:r>
      <w:r w:rsidR="00777173" w:rsidRPr="00621883">
        <w:rPr>
          <w:rFonts w:ascii="Times New Roman" w:hAnsi="Times New Roman" w:cs="Times New Roman"/>
        </w:rPr>
        <w:t>ning a miscarriage of justice.</w:t>
      </w:r>
      <w:r w:rsidR="00126CC1">
        <w:rPr>
          <w:rFonts w:ascii="Times New Roman" w:hAnsi="Times New Roman" w:cs="Times New Roman"/>
        </w:rPr>
        <w:t>”</w:t>
      </w:r>
      <w:r w:rsidR="00777173" w:rsidRPr="00621883">
        <w:rPr>
          <w:rStyle w:val="FootnoteReference"/>
          <w:rFonts w:ascii="Times New Roman" w:hAnsi="Times New Roman" w:cs="Times New Roman"/>
        </w:rPr>
        <w:footnoteReference w:id="13"/>
      </w:r>
      <w:r w:rsidR="00E03B96" w:rsidRPr="00621883">
        <w:rPr>
          <w:rFonts w:ascii="Times New Roman" w:hAnsi="Times New Roman" w:cs="Times New Roman"/>
        </w:rPr>
        <w:t xml:space="preserve"> </w:t>
      </w:r>
    </w:p>
    <w:p w:rsidR="006402FA" w:rsidRDefault="006402FA" w:rsidP="00AB4819">
      <w:pPr>
        <w:widowControl w:val="0"/>
        <w:autoSpaceDE w:val="0"/>
        <w:autoSpaceDN w:val="0"/>
        <w:adjustRightInd w:val="0"/>
        <w:spacing w:line="276" w:lineRule="auto"/>
        <w:jc w:val="both"/>
        <w:rPr>
          <w:rFonts w:ascii="Times New Roman" w:hAnsi="Times New Roman" w:cs="Times New Roman"/>
        </w:rPr>
      </w:pPr>
    </w:p>
    <w:p w:rsidR="00777173" w:rsidRPr="00621883" w:rsidRDefault="00CB6868" w:rsidP="00AB4819">
      <w:pPr>
        <w:widowControl w:val="0"/>
        <w:autoSpaceDE w:val="0"/>
        <w:autoSpaceDN w:val="0"/>
        <w:adjustRightInd w:val="0"/>
        <w:spacing w:line="276" w:lineRule="auto"/>
        <w:jc w:val="both"/>
        <w:rPr>
          <w:rFonts w:ascii="Times New Roman" w:hAnsi="Times New Roman" w:cs="Times New Roman"/>
        </w:rPr>
      </w:pPr>
      <w:r w:rsidRPr="00621883">
        <w:rPr>
          <w:rFonts w:ascii="Times New Roman" w:hAnsi="Times New Roman" w:cs="Times New Roman"/>
        </w:rPr>
        <w:t>Gilham’s case</w:t>
      </w:r>
      <w:r w:rsidR="00E03B96" w:rsidRPr="00621883">
        <w:rPr>
          <w:rFonts w:ascii="Times New Roman" w:hAnsi="Times New Roman" w:cs="Times New Roman"/>
        </w:rPr>
        <w:t xml:space="preserve"> </w:t>
      </w:r>
      <w:r w:rsidR="00520AF0" w:rsidRPr="00621883">
        <w:rPr>
          <w:rFonts w:ascii="Times New Roman" w:hAnsi="Times New Roman" w:cs="Times New Roman"/>
        </w:rPr>
        <w:t xml:space="preserve">similarly </w:t>
      </w:r>
      <w:r w:rsidR="00E03B96" w:rsidRPr="00621883">
        <w:rPr>
          <w:rFonts w:ascii="Times New Roman" w:hAnsi="Times New Roman" w:cs="Times New Roman"/>
        </w:rPr>
        <w:t>raised questions about prosecutorial conduct</w:t>
      </w:r>
      <w:r w:rsidRPr="00621883">
        <w:rPr>
          <w:rFonts w:ascii="Times New Roman" w:hAnsi="Times New Roman" w:cs="Times New Roman"/>
        </w:rPr>
        <w:t>, in combination with a reliance on equivocal</w:t>
      </w:r>
      <w:r w:rsidR="00E03B96" w:rsidRPr="00621883">
        <w:rPr>
          <w:rFonts w:ascii="Times New Roman" w:hAnsi="Times New Roman" w:cs="Times New Roman"/>
        </w:rPr>
        <w:t xml:space="preserve"> expert evidence.</w:t>
      </w:r>
      <w:r w:rsidR="00520AF0" w:rsidRPr="00621883">
        <w:rPr>
          <w:rFonts w:ascii="Times New Roman" w:hAnsi="Times New Roman" w:cs="Times New Roman"/>
        </w:rPr>
        <w:t xml:space="preserve"> Tedeschi prosecuted </w:t>
      </w:r>
      <w:r w:rsidR="00D15AA7" w:rsidRPr="00621883">
        <w:rPr>
          <w:rFonts w:ascii="Times New Roman" w:hAnsi="Times New Roman" w:cs="Times New Roman"/>
        </w:rPr>
        <w:t>Gilham’s</w:t>
      </w:r>
      <w:r w:rsidR="00520AF0" w:rsidRPr="00621883">
        <w:rPr>
          <w:rFonts w:ascii="Times New Roman" w:hAnsi="Times New Roman" w:cs="Times New Roman"/>
        </w:rPr>
        <w:t xml:space="preserve"> first trial, which ended in a hung jury</w:t>
      </w:r>
      <w:r w:rsidR="006402FA">
        <w:rPr>
          <w:rFonts w:ascii="Times New Roman" w:hAnsi="Times New Roman" w:cs="Times New Roman"/>
        </w:rPr>
        <w:t>,</w:t>
      </w:r>
      <w:r w:rsidR="00D15AA7" w:rsidRPr="00621883">
        <w:rPr>
          <w:rFonts w:ascii="Times New Roman" w:hAnsi="Times New Roman" w:cs="Times New Roman"/>
        </w:rPr>
        <w:t xml:space="preserve"> and it</w:t>
      </w:r>
      <w:r w:rsidR="00520AF0" w:rsidRPr="00621883">
        <w:rPr>
          <w:rFonts w:ascii="Times New Roman" w:hAnsi="Times New Roman" w:cs="Times New Roman"/>
        </w:rPr>
        <w:t xml:space="preserve"> is certainly arguable that the </w:t>
      </w:r>
      <w:r w:rsidR="00D15AA7" w:rsidRPr="00621883">
        <w:rPr>
          <w:rFonts w:ascii="Times New Roman" w:hAnsi="Times New Roman" w:cs="Times New Roman"/>
        </w:rPr>
        <w:t xml:space="preserve">Crown </w:t>
      </w:r>
      <w:r w:rsidR="00520AF0" w:rsidRPr="00621883">
        <w:rPr>
          <w:rFonts w:ascii="Times New Roman" w:hAnsi="Times New Roman" w:cs="Times New Roman"/>
        </w:rPr>
        <w:t>case</w:t>
      </w:r>
      <w:r w:rsidR="00D15AA7" w:rsidRPr="00621883">
        <w:rPr>
          <w:rFonts w:ascii="Times New Roman" w:hAnsi="Times New Roman" w:cs="Times New Roman"/>
        </w:rPr>
        <w:t>,</w:t>
      </w:r>
      <w:r w:rsidR="00520AF0" w:rsidRPr="00621883">
        <w:rPr>
          <w:rFonts w:ascii="Times New Roman" w:hAnsi="Times New Roman" w:cs="Times New Roman"/>
        </w:rPr>
        <w:t xml:space="preserve"> as run in the second trial</w:t>
      </w:r>
      <w:r w:rsidR="00E2722B" w:rsidRPr="00621883">
        <w:rPr>
          <w:rFonts w:ascii="Times New Roman" w:hAnsi="Times New Roman" w:cs="Times New Roman"/>
        </w:rPr>
        <w:t xml:space="preserve"> by Margaret Cunneen</w:t>
      </w:r>
      <w:r w:rsidR="00D15AA7" w:rsidRPr="00621883">
        <w:rPr>
          <w:rFonts w:ascii="Times New Roman" w:hAnsi="Times New Roman" w:cs="Times New Roman"/>
        </w:rPr>
        <w:t>,</w:t>
      </w:r>
      <w:r w:rsidR="00520AF0" w:rsidRPr="00621883">
        <w:rPr>
          <w:rFonts w:ascii="Times New Roman" w:hAnsi="Times New Roman" w:cs="Times New Roman"/>
        </w:rPr>
        <w:t xml:space="preserve"> was built on the foundations laid by Tedeschi.</w:t>
      </w:r>
      <w:r w:rsidR="00E03B96" w:rsidRPr="00621883">
        <w:rPr>
          <w:rStyle w:val="FootnoteReference"/>
          <w:rFonts w:ascii="Times New Roman" w:hAnsi="Times New Roman" w:cs="Times New Roman"/>
        </w:rPr>
        <w:footnoteReference w:id="14"/>
      </w:r>
      <w:r w:rsidR="00E03B96" w:rsidRPr="00621883">
        <w:rPr>
          <w:rFonts w:ascii="Times New Roman" w:hAnsi="Times New Roman" w:cs="Times New Roman"/>
        </w:rPr>
        <w:t xml:space="preserve"> </w:t>
      </w:r>
      <w:r w:rsidR="00460FE1" w:rsidRPr="00621883">
        <w:rPr>
          <w:rFonts w:ascii="Times New Roman" w:hAnsi="Times New Roman" w:cs="Times New Roman"/>
        </w:rPr>
        <w:t>One of the striking aspects of this case</w:t>
      </w:r>
      <w:r w:rsidR="00825058">
        <w:rPr>
          <w:rFonts w:ascii="Times New Roman" w:hAnsi="Times New Roman" w:cs="Times New Roman"/>
        </w:rPr>
        <w:t>,</w:t>
      </w:r>
      <w:r w:rsidR="00460FE1" w:rsidRPr="00621883">
        <w:rPr>
          <w:rFonts w:ascii="Times New Roman" w:hAnsi="Times New Roman" w:cs="Times New Roman"/>
        </w:rPr>
        <w:t xml:space="preserve"> that map</w:t>
      </w:r>
      <w:r w:rsidR="00825058">
        <w:rPr>
          <w:rFonts w:ascii="Times New Roman" w:hAnsi="Times New Roman" w:cs="Times New Roman"/>
        </w:rPr>
        <w:t>s</w:t>
      </w:r>
      <w:r w:rsidR="00460FE1" w:rsidRPr="00621883">
        <w:rPr>
          <w:rFonts w:ascii="Times New Roman" w:hAnsi="Times New Roman" w:cs="Times New Roman"/>
        </w:rPr>
        <w:t xml:space="preserve"> back to </w:t>
      </w:r>
      <w:r w:rsidR="00460FE1" w:rsidRPr="006402FA">
        <w:rPr>
          <w:rFonts w:ascii="Times New Roman" w:hAnsi="Times New Roman" w:cs="Times New Roman"/>
          <w:i/>
        </w:rPr>
        <w:t>Folbigg</w:t>
      </w:r>
      <w:r w:rsidR="00825058">
        <w:rPr>
          <w:rFonts w:ascii="Times New Roman" w:hAnsi="Times New Roman" w:cs="Times New Roman"/>
        </w:rPr>
        <w:t>,</w:t>
      </w:r>
      <w:r w:rsidR="00460FE1" w:rsidRPr="00621883">
        <w:rPr>
          <w:rFonts w:ascii="Times New Roman" w:hAnsi="Times New Roman" w:cs="Times New Roman"/>
        </w:rPr>
        <w:t xml:space="preserve"> was the manner in which the Crown Prosecutor </w:t>
      </w:r>
      <w:r w:rsidR="00D15AA7" w:rsidRPr="00621883">
        <w:rPr>
          <w:rFonts w:ascii="Times New Roman" w:hAnsi="Times New Roman" w:cs="Times New Roman"/>
        </w:rPr>
        <w:t xml:space="preserve">was </w:t>
      </w:r>
      <w:r w:rsidR="003B0D82" w:rsidRPr="00621883">
        <w:rPr>
          <w:rFonts w:ascii="Times New Roman" w:hAnsi="Times New Roman" w:cs="Times New Roman"/>
        </w:rPr>
        <w:t>able</w:t>
      </w:r>
      <w:r w:rsidR="00D15AA7" w:rsidRPr="00621883">
        <w:rPr>
          <w:rFonts w:ascii="Times New Roman" w:hAnsi="Times New Roman" w:cs="Times New Roman"/>
        </w:rPr>
        <w:t xml:space="preserve"> to draw</w:t>
      </w:r>
      <w:r w:rsidR="00460FE1" w:rsidRPr="00621883">
        <w:rPr>
          <w:rFonts w:ascii="Times New Roman" w:hAnsi="Times New Roman" w:cs="Times New Roman"/>
        </w:rPr>
        <w:t xml:space="preserve"> inferences</w:t>
      </w:r>
      <w:r w:rsidR="00BB44C8" w:rsidRPr="00621883">
        <w:rPr>
          <w:rFonts w:ascii="Times New Roman" w:hAnsi="Times New Roman" w:cs="Times New Roman"/>
        </w:rPr>
        <w:t xml:space="preserve"> from </w:t>
      </w:r>
      <w:r w:rsidR="00460FE1" w:rsidRPr="00621883">
        <w:rPr>
          <w:rFonts w:ascii="Times New Roman" w:hAnsi="Times New Roman" w:cs="Times New Roman"/>
        </w:rPr>
        <w:t xml:space="preserve">the expert evidence </w:t>
      </w:r>
      <w:r w:rsidR="00BB44C8" w:rsidRPr="00621883">
        <w:rPr>
          <w:rFonts w:ascii="Times New Roman" w:hAnsi="Times New Roman" w:cs="Times New Roman"/>
        </w:rPr>
        <w:t xml:space="preserve">far beyond </w:t>
      </w:r>
      <w:r w:rsidR="00EF0C84">
        <w:rPr>
          <w:rFonts w:ascii="Times New Roman" w:hAnsi="Times New Roman" w:cs="Times New Roman"/>
        </w:rPr>
        <w:t>those</w:t>
      </w:r>
      <w:r w:rsidR="00D15AA7" w:rsidRPr="00621883">
        <w:rPr>
          <w:rFonts w:ascii="Times New Roman" w:hAnsi="Times New Roman" w:cs="Times New Roman"/>
        </w:rPr>
        <w:t xml:space="preserve"> which</w:t>
      </w:r>
      <w:r w:rsidR="00BB44C8" w:rsidRPr="00621883">
        <w:rPr>
          <w:rFonts w:ascii="Times New Roman" w:hAnsi="Times New Roman" w:cs="Times New Roman"/>
        </w:rPr>
        <w:t xml:space="preserve"> it was </w:t>
      </w:r>
      <w:r w:rsidR="00460FE1" w:rsidRPr="00621883">
        <w:rPr>
          <w:rFonts w:ascii="Times New Roman" w:hAnsi="Times New Roman" w:cs="Times New Roman"/>
        </w:rPr>
        <w:t>capable of bearing</w:t>
      </w:r>
      <w:r w:rsidR="00D15AA7" w:rsidRPr="00621883">
        <w:rPr>
          <w:rFonts w:ascii="Times New Roman" w:hAnsi="Times New Roman" w:cs="Times New Roman"/>
        </w:rPr>
        <w:t>, but present</w:t>
      </w:r>
      <w:r w:rsidR="00EF0C84">
        <w:rPr>
          <w:rFonts w:ascii="Times New Roman" w:hAnsi="Times New Roman" w:cs="Times New Roman"/>
        </w:rPr>
        <w:t>ed</w:t>
      </w:r>
      <w:r w:rsidR="00D15AA7" w:rsidRPr="00621883">
        <w:rPr>
          <w:rFonts w:ascii="Times New Roman" w:hAnsi="Times New Roman" w:cs="Times New Roman"/>
        </w:rPr>
        <w:t xml:space="preserve"> these </w:t>
      </w:r>
      <w:r w:rsidR="00D15AA7" w:rsidRPr="00621883">
        <w:rPr>
          <w:rFonts w:ascii="Times New Roman" w:hAnsi="Times New Roman" w:cs="Times New Roman"/>
        </w:rPr>
        <w:lastRenderedPageBreak/>
        <w:t xml:space="preserve">to the jury as </w:t>
      </w:r>
      <w:r w:rsidR="003B0D82" w:rsidRPr="00621883">
        <w:rPr>
          <w:rFonts w:ascii="Times New Roman" w:hAnsi="Times New Roman" w:cs="Times New Roman"/>
        </w:rPr>
        <w:t xml:space="preserve">legitimate, </w:t>
      </w:r>
      <w:r w:rsidR="00D15AA7" w:rsidRPr="00621883">
        <w:rPr>
          <w:rFonts w:ascii="Times New Roman" w:hAnsi="Times New Roman" w:cs="Times New Roman"/>
        </w:rPr>
        <w:t>available</w:t>
      </w:r>
      <w:r w:rsidR="006402FA">
        <w:rPr>
          <w:rFonts w:ascii="Times New Roman" w:hAnsi="Times New Roman" w:cs="Times New Roman"/>
        </w:rPr>
        <w:t>,</w:t>
      </w:r>
      <w:r w:rsidR="00D15AA7" w:rsidRPr="00621883">
        <w:rPr>
          <w:rFonts w:ascii="Times New Roman" w:hAnsi="Times New Roman" w:cs="Times New Roman"/>
        </w:rPr>
        <w:t xml:space="preserve"> </w:t>
      </w:r>
      <w:r w:rsidR="003B0D82" w:rsidRPr="00621883">
        <w:rPr>
          <w:rFonts w:ascii="Times New Roman" w:hAnsi="Times New Roman" w:cs="Times New Roman"/>
        </w:rPr>
        <w:t xml:space="preserve">almost inevitable </w:t>
      </w:r>
      <w:r w:rsidR="00D15AA7" w:rsidRPr="00621883">
        <w:rPr>
          <w:rFonts w:ascii="Times New Roman" w:hAnsi="Times New Roman" w:cs="Times New Roman"/>
        </w:rPr>
        <w:t>conclusions</w:t>
      </w:r>
      <w:r w:rsidR="00460FE1" w:rsidRPr="00621883">
        <w:rPr>
          <w:rFonts w:ascii="Times New Roman" w:hAnsi="Times New Roman" w:cs="Times New Roman"/>
        </w:rPr>
        <w:t>.</w:t>
      </w:r>
      <w:r w:rsidR="00D15AA7" w:rsidRPr="00621883">
        <w:rPr>
          <w:rFonts w:ascii="Times New Roman" w:hAnsi="Times New Roman" w:cs="Times New Roman"/>
        </w:rPr>
        <w:t xml:space="preserve"> </w:t>
      </w:r>
      <w:r w:rsidR="003B0D82" w:rsidRPr="00621883">
        <w:rPr>
          <w:rFonts w:ascii="Times New Roman" w:hAnsi="Times New Roman" w:cs="Times New Roman"/>
        </w:rPr>
        <w:t xml:space="preserve">In particular, in </w:t>
      </w:r>
      <w:r w:rsidR="003B0D82" w:rsidRPr="00621883">
        <w:rPr>
          <w:rFonts w:ascii="Times New Roman" w:hAnsi="Times New Roman" w:cs="Times New Roman"/>
          <w:i/>
        </w:rPr>
        <w:t>Gilham</w:t>
      </w:r>
      <w:r w:rsidR="006402FA">
        <w:rPr>
          <w:rFonts w:ascii="Times New Roman" w:hAnsi="Times New Roman" w:cs="Times New Roman"/>
        </w:rPr>
        <w:t>, the P</w:t>
      </w:r>
      <w:r w:rsidR="003B0D82" w:rsidRPr="00621883">
        <w:rPr>
          <w:rFonts w:ascii="Times New Roman" w:hAnsi="Times New Roman" w:cs="Times New Roman"/>
        </w:rPr>
        <w:t>rosecutor was allowed to make repeated reference to the conclusions that could be drawn from the pattern of stab wounds present in all thr</w:t>
      </w:r>
      <w:r w:rsidR="00825058">
        <w:rPr>
          <w:rFonts w:ascii="Times New Roman" w:hAnsi="Times New Roman" w:cs="Times New Roman"/>
        </w:rPr>
        <w:t>ee bodies;</w:t>
      </w:r>
      <w:r w:rsidR="003B0D82" w:rsidRPr="00621883">
        <w:rPr>
          <w:rFonts w:ascii="Times New Roman" w:hAnsi="Times New Roman" w:cs="Times New Roman"/>
        </w:rPr>
        <w:t xml:space="preserve"> in characterising the matter as one of common sense, the Crown invited the jury to conclude that it defied belief that more than one person was responsible, such was the similarity of the pattern and number of stab wounds.</w:t>
      </w:r>
      <w:r w:rsidR="00DA2AEF" w:rsidRPr="00621883">
        <w:rPr>
          <w:rStyle w:val="FootnoteReference"/>
          <w:rFonts w:ascii="Times New Roman" w:hAnsi="Times New Roman" w:cs="Times New Roman"/>
        </w:rPr>
        <w:footnoteReference w:id="15"/>
      </w:r>
      <w:r w:rsidR="003B0D82" w:rsidRPr="00621883">
        <w:rPr>
          <w:rFonts w:ascii="Times New Roman" w:hAnsi="Times New Roman" w:cs="Times New Roman"/>
        </w:rPr>
        <w:t xml:space="preserve"> This was despite the fact that </w:t>
      </w:r>
      <w:r w:rsidR="00DA2AEF" w:rsidRPr="00621883">
        <w:rPr>
          <w:rFonts w:ascii="Times New Roman" w:hAnsi="Times New Roman" w:cs="Times New Roman"/>
        </w:rPr>
        <w:t>a number of the</w:t>
      </w:r>
      <w:r w:rsidR="003B0D82" w:rsidRPr="00621883">
        <w:rPr>
          <w:rFonts w:ascii="Times New Roman" w:hAnsi="Times New Roman" w:cs="Times New Roman"/>
        </w:rPr>
        <w:t xml:space="preserve"> expert witnesses in the trial had disavowed such conclusions and had been explicitly prevented from giving evidence along these lines.</w:t>
      </w:r>
      <w:r w:rsidR="00DA2AEF" w:rsidRPr="00621883">
        <w:rPr>
          <w:rStyle w:val="FootnoteReference"/>
          <w:rFonts w:ascii="Times New Roman" w:hAnsi="Times New Roman" w:cs="Times New Roman"/>
        </w:rPr>
        <w:footnoteReference w:id="16"/>
      </w:r>
      <w:r w:rsidR="003B0D82" w:rsidRPr="00621883">
        <w:rPr>
          <w:rFonts w:ascii="Times New Roman" w:hAnsi="Times New Roman" w:cs="Times New Roman"/>
          <w:sz w:val="20"/>
          <w:szCs w:val="20"/>
        </w:rPr>
        <w:t xml:space="preserve"> </w:t>
      </w:r>
      <w:r w:rsidR="00723998" w:rsidRPr="00621883">
        <w:rPr>
          <w:rFonts w:ascii="Times New Roman" w:hAnsi="Times New Roman" w:cs="Times New Roman"/>
        </w:rPr>
        <w:t>This was compounded by the Crown’s failure to call, as part of its case, Professor Cordner who of all the experts was the most unequi</w:t>
      </w:r>
      <w:r w:rsidR="00EF0C84">
        <w:rPr>
          <w:rFonts w:ascii="Times New Roman" w:hAnsi="Times New Roman" w:cs="Times New Roman"/>
        </w:rPr>
        <w:t xml:space="preserve">vocal in emphasising that </w:t>
      </w:r>
      <w:r w:rsidR="00723998" w:rsidRPr="00621883">
        <w:rPr>
          <w:rFonts w:ascii="Times New Roman" w:hAnsi="Times New Roman" w:cs="Times New Roman"/>
        </w:rPr>
        <w:t>it was not possible to draw meaningful conclusions from the pattern and number of wounds.</w:t>
      </w:r>
      <w:r w:rsidR="00723998" w:rsidRPr="00621883">
        <w:rPr>
          <w:rStyle w:val="FootnoteReference"/>
          <w:rFonts w:ascii="Times New Roman" w:hAnsi="Times New Roman" w:cs="Times New Roman"/>
        </w:rPr>
        <w:footnoteReference w:id="17"/>
      </w:r>
      <w:r w:rsidR="00723998" w:rsidRPr="00621883">
        <w:rPr>
          <w:rFonts w:ascii="Times New Roman" w:hAnsi="Times New Roman" w:cs="Times New Roman"/>
          <w:sz w:val="20"/>
          <w:szCs w:val="20"/>
        </w:rPr>
        <w:t xml:space="preserve"> </w:t>
      </w:r>
      <w:r w:rsidR="00BB44C8" w:rsidRPr="00621883">
        <w:rPr>
          <w:rFonts w:ascii="Times New Roman" w:hAnsi="Times New Roman" w:cs="Times New Roman"/>
        </w:rPr>
        <w:t xml:space="preserve">Further </w:t>
      </w:r>
      <w:r w:rsidR="00DB01EB" w:rsidRPr="00621883">
        <w:rPr>
          <w:rFonts w:ascii="Times New Roman" w:hAnsi="Times New Roman" w:cs="Times New Roman"/>
        </w:rPr>
        <w:t>weaknesses</w:t>
      </w:r>
      <w:r w:rsidR="00BB44C8" w:rsidRPr="00621883">
        <w:rPr>
          <w:rFonts w:ascii="Times New Roman" w:hAnsi="Times New Roman" w:cs="Times New Roman"/>
        </w:rPr>
        <w:t xml:space="preserve"> </w:t>
      </w:r>
      <w:r w:rsidR="00DB01EB" w:rsidRPr="00621883">
        <w:rPr>
          <w:rFonts w:ascii="Times New Roman" w:hAnsi="Times New Roman" w:cs="Times New Roman"/>
        </w:rPr>
        <w:t>in</w:t>
      </w:r>
      <w:r w:rsidR="00BB44C8" w:rsidRPr="00621883">
        <w:rPr>
          <w:rFonts w:ascii="Times New Roman" w:hAnsi="Times New Roman" w:cs="Times New Roman"/>
        </w:rPr>
        <w:t xml:space="preserve"> the expert evidence </w:t>
      </w:r>
      <w:r w:rsidRPr="00621883">
        <w:rPr>
          <w:rFonts w:ascii="Times New Roman" w:hAnsi="Times New Roman" w:cs="Times New Roman"/>
        </w:rPr>
        <w:t xml:space="preserve">relied on in Gilham’s prosecution </w:t>
      </w:r>
      <w:r w:rsidR="00BB44C8" w:rsidRPr="00621883">
        <w:rPr>
          <w:rFonts w:ascii="Times New Roman" w:hAnsi="Times New Roman" w:cs="Times New Roman"/>
        </w:rPr>
        <w:t xml:space="preserve">emerged </w:t>
      </w:r>
      <w:r w:rsidRPr="00621883">
        <w:rPr>
          <w:rFonts w:ascii="Times New Roman" w:hAnsi="Times New Roman" w:cs="Times New Roman"/>
        </w:rPr>
        <w:t>after the trial</w:t>
      </w:r>
      <w:r w:rsidR="00334DE2" w:rsidRPr="00621883">
        <w:rPr>
          <w:rFonts w:ascii="Times New Roman" w:hAnsi="Times New Roman" w:cs="Times New Roman"/>
        </w:rPr>
        <w:t>,</w:t>
      </w:r>
      <w:r w:rsidR="00BB44C8" w:rsidRPr="00621883">
        <w:rPr>
          <w:rFonts w:ascii="Times New Roman" w:hAnsi="Times New Roman" w:cs="Times New Roman"/>
        </w:rPr>
        <w:t xml:space="preserve"> with on</w:t>
      </w:r>
      <w:r w:rsidRPr="00621883">
        <w:rPr>
          <w:rFonts w:ascii="Times New Roman" w:hAnsi="Times New Roman" w:cs="Times New Roman"/>
        </w:rPr>
        <w:t>e</w:t>
      </w:r>
      <w:r w:rsidR="00BB44C8" w:rsidRPr="00621883">
        <w:rPr>
          <w:rFonts w:ascii="Times New Roman" w:hAnsi="Times New Roman" w:cs="Times New Roman"/>
        </w:rPr>
        <w:t xml:space="preserve"> of the witnesses</w:t>
      </w:r>
      <w:r w:rsidR="00334DE2" w:rsidRPr="00621883">
        <w:rPr>
          <w:rFonts w:ascii="Times New Roman" w:hAnsi="Times New Roman" w:cs="Times New Roman"/>
        </w:rPr>
        <w:t>,</w:t>
      </w:r>
      <w:r w:rsidR="00BB44C8" w:rsidRPr="00621883">
        <w:rPr>
          <w:rFonts w:ascii="Times New Roman" w:hAnsi="Times New Roman" w:cs="Times New Roman"/>
        </w:rPr>
        <w:t xml:space="preserve"> </w:t>
      </w:r>
      <w:r w:rsidR="00334DE2" w:rsidRPr="00621883">
        <w:rPr>
          <w:rFonts w:ascii="Times New Roman" w:hAnsi="Times New Roman" w:cs="Times New Roman"/>
        </w:rPr>
        <w:t>whose evidence had been crucial in establishing the sequence of events</w:t>
      </w:r>
      <w:r w:rsidR="00DB01EB" w:rsidRPr="00621883">
        <w:rPr>
          <w:rFonts w:ascii="Times New Roman" w:hAnsi="Times New Roman" w:cs="Times New Roman"/>
        </w:rPr>
        <w:t>, and in particular the sequence of death(s)</w:t>
      </w:r>
      <w:r w:rsidR="00334DE2" w:rsidRPr="00621883">
        <w:rPr>
          <w:rFonts w:ascii="Times New Roman" w:hAnsi="Times New Roman" w:cs="Times New Roman"/>
        </w:rPr>
        <w:t xml:space="preserve">, </w:t>
      </w:r>
      <w:r w:rsidR="00BB44C8" w:rsidRPr="00621883">
        <w:rPr>
          <w:rFonts w:ascii="Times New Roman" w:hAnsi="Times New Roman" w:cs="Times New Roman"/>
        </w:rPr>
        <w:t xml:space="preserve">admitting in the appeal hearing in 2011 that they had exceeded their expertise when they had given </w:t>
      </w:r>
      <w:r w:rsidR="00334DE2" w:rsidRPr="00621883">
        <w:rPr>
          <w:rFonts w:ascii="Times New Roman" w:hAnsi="Times New Roman" w:cs="Times New Roman"/>
        </w:rPr>
        <w:t xml:space="preserve">this </w:t>
      </w:r>
      <w:r w:rsidR="00BB44C8" w:rsidRPr="00621883">
        <w:rPr>
          <w:rFonts w:ascii="Times New Roman" w:hAnsi="Times New Roman" w:cs="Times New Roman"/>
        </w:rPr>
        <w:t>incriminating evidence in the trial.</w:t>
      </w:r>
      <w:r w:rsidR="00BB44C8" w:rsidRPr="00621883">
        <w:rPr>
          <w:rStyle w:val="FootnoteReference"/>
          <w:rFonts w:ascii="Times New Roman" w:hAnsi="Times New Roman" w:cs="Times New Roman"/>
        </w:rPr>
        <w:footnoteReference w:id="18"/>
      </w:r>
      <w:r w:rsidR="00912103" w:rsidRPr="00621883">
        <w:rPr>
          <w:rFonts w:ascii="Times New Roman" w:hAnsi="Times New Roman" w:cs="Times New Roman"/>
        </w:rPr>
        <w:t xml:space="preserve"> </w:t>
      </w:r>
      <w:r w:rsidR="00DB01EB" w:rsidRPr="00621883">
        <w:rPr>
          <w:rFonts w:ascii="Times New Roman" w:hAnsi="Times New Roman" w:cs="Times New Roman"/>
        </w:rPr>
        <w:t xml:space="preserve">In all of these cases attempts </w:t>
      </w:r>
      <w:r w:rsidR="00EF0C84">
        <w:rPr>
          <w:rFonts w:ascii="Times New Roman" w:hAnsi="Times New Roman" w:cs="Times New Roman"/>
        </w:rPr>
        <w:t>by the trial judge, and defence,</w:t>
      </w:r>
      <w:r w:rsidR="00DB01EB" w:rsidRPr="00621883">
        <w:rPr>
          <w:rFonts w:ascii="Times New Roman" w:hAnsi="Times New Roman" w:cs="Times New Roman"/>
        </w:rPr>
        <w:t xml:space="preserve"> to maintain control of the presentation of the evidence were ineffective, or, worse, </w:t>
      </w:r>
      <w:r w:rsidR="00DB01EB" w:rsidRPr="00621883">
        <w:rPr>
          <w:rFonts w:ascii="Times New Roman" w:hAnsi="Times New Roman" w:cs="Times New Roman"/>
          <w:i/>
        </w:rPr>
        <w:t>generated</w:t>
      </w:r>
      <w:r w:rsidR="00DB01EB" w:rsidRPr="00621883">
        <w:rPr>
          <w:rFonts w:ascii="Times New Roman" w:hAnsi="Times New Roman" w:cs="Times New Roman"/>
        </w:rPr>
        <w:t xml:space="preserve"> misunderstandings.</w:t>
      </w:r>
      <w:bookmarkStart w:id="7" w:name="_Ref225049577"/>
      <w:r w:rsidR="00DB01EB" w:rsidRPr="00621883">
        <w:rPr>
          <w:rStyle w:val="FootnoteReference"/>
          <w:rFonts w:ascii="Times New Roman" w:hAnsi="Times New Roman" w:cs="Times New Roman"/>
        </w:rPr>
        <w:footnoteReference w:id="19"/>
      </w:r>
      <w:bookmarkEnd w:id="7"/>
      <w:r w:rsidR="00DB01EB" w:rsidRPr="00621883">
        <w:rPr>
          <w:rFonts w:ascii="Times New Roman" w:hAnsi="Times New Roman" w:cs="Times New Roman"/>
        </w:rPr>
        <w:t xml:space="preserve"> </w:t>
      </w:r>
    </w:p>
    <w:p w:rsidR="00777173" w:rsidRPr="00621883" w:rsidRDefault="00777173" w:rsidP="00AB4819">
      <w:pPr>
        <w:widowControl w:val="0"/>
        <w:autoSpaceDE w:val="0"/>
        <w:autoSpaceDN w:val="0"/>
        <w:adjustRightInd w:val="0"/>
        <w:spacing w:line="276" w:lineRule="auto"/>
        <w:jc w:val="both"/>
        <w:rPr>
          <w:rFonts w:ascii="Times New Roman" w:hAnsi="Times New Roman" w:cs="Times New Roman"/>
        </w:rPr>
      </w:pPr>
    </w:p>
    <w:p w:rsidR="0054715D" w:rsidRDefault="001C7A15" w:rsidP="00AB4819">
      <w:pPr>
        <w:widowControl w:val="0"/>
        <w:autoSpaceDE w:val="0"/>
        <w:autoSpaceDN w:val="0"/>
        <w:adjustRightInd w:val="0"/>
        <w:spacing w:line="276" w:lineRule="auto"/>
        <w:jc w:val="both"/>
        <w:rPr>
          <w:rFonts w:ascii="Times New Roman" w:hAnsi="Times New Roman" w:cs="Times New Roman"/>
        </w:rPr>
      </w:pPr>
      <w:r w:rsidRPr="00621883">
        <w:rPr>
          <w:rFonts w:ascii="Times New Roman" w:hAnsi="Times New Roman" w:cs="Times New Roman"/>
        </w:rPr>
        <w:t>So, a</w:t>
      </w:r>
      <w:r w:rsidR="009A4858" w:rsidRPr="00621883">
        <w:rPr>
          <w:rFonts w:ascii="Times New Roman" w:hAnsi="Times New Roman" w:cs="Times New Roman"/>
        </w:rPr>
        <w:t xml:space="preserve">ll of these more recent cases bear some comparison to </w:t>
      </w:r>
      <w:r w:rsidR="009A4858" w:rsidRPr="00621883">
        <w:rPr>
          <w:rFonts w:ascii="Times New Roman" w:hAnsi="Times New Roman" w:cs="Times New Roman"/>
          <w:i/>
        </w:rPr>
        <w:t>Folbigg</w:t>
      </w:r>
      <w:r w:rsidR="009A4858" w:rsidRPr="00621883">
        <w:rPr>
          <w:rFonts w:ascii="Times New Roman" w:hAnsi="Times New Roman" w:cs="Times New Roman"/>
        </w:rPr>
        <w:t xml:space="preserve">, </w:t>
      </w:r>
      <w:r w:rsidR="00E153CF" w:rsidRPr="00621883">
        <w:rPr>
          <w:rFonts w:ascii="Times New Roman" w:hAnsi="Times New Roman" w:cs="Times New Roman"/>
        </w:rPr>
        <w:t>if one is thinking about the problem</w:t>
      </w:r>
      <w:r w:rsidR="001F4A51">
        <w:rPr>
          <w:rFonts w:ascii="Times New Roman" w:hAnsi="Times New Roman" w:cs="Times New Roman"/>
        </w:rPr>
        <w:t>s raised by the expert evidence.</w:t>
      </w:r>
      <w:r w:rsidR="00E153CF" w:rsidRPr="00621883">
        <w:rPr>
          <w:rFonts w:ascii="Times New Roman" w:hAnsi="Times New Roman" w:cs="Times New Roman"/>
        </w:rPr>
        <w:t xml:space="preserve"> </w:t>
      </w:r>
      <w:r w:rsidR="001F4A51">
        <w:rPr>
          <w:rFonts w:ascii="Times New Roman" w:hAnsi="Times New Roman" w:cs="Times New Roman"/>
        </w:rPr>
        <w:t>B</w:t>
      </w:r>
      <w:r w:rsidR="009A4858" w:rsidRPr="00621883">
        <w:rPr>
          <w:rFonts w:ascii="Times New Roman" w:hAnsi="Times New Roman" w:cs="Times New Roman"/>
        </w:rPr>
        <w:t xml:space="preserve">ut </w:t>
      </w:r>
      <w:r w:rsidRPr="00621883">
        <w:rPr>
          <w:rFonts w:ascii="Times New Roman" w:hAnsi="Times New Roman" w:cs="Times New Roman"/>
        </w:rPr>
        <w:t xml:space="preserve">turning back to </w:t>
      </w:r>
      <w:r w:rsidR="00E153CF" w:rsidRPr="00621883">
        <w:rPr>
          <w:rFonts w:ascii="Times New Roman" w:hAnsi="Times New Roman" w:cs="Times New Roman"/>
        </w:rPr>
        <w:t xml:space="preserve">Lane, </w:t>
      </w:r>
      <w:r w:rsidR="009A4858" w:rsidRPr="00621883">
        <w:rPr>
          <w:rFonts w:ascii="Times New Roman" w:hAnsi="Times New Roman" w:cs="Times New Roman"/>
        </w:rPr>
        <w:t>the case that bears the closest relationship</w:t>
      </w:r>
      <w:r w:rsidRPr="00621883">
        <w:rPr>
          <w:rFonts w:ascii="Times New Roman" w:hAnsi="Times New Roman" w:cs="Times New Roman"/>
        </w:rPr>
        <w:t xml:space="preserve"> </w:t>
      </w:r>
      <w:r w:rsidR="00E153CF" w:rsidRPr="00621883">
        <w:rPr>
          <w:rFonts w:ascii="Times New Roman" w:hAnsi="Times New Roman" w:cs="Times New Roman"/>
        </w:rPr>
        <w:t>in terms of the narratives of ideal(ised) or normativ</w:t>
      </w:r>
      <w:r w:rsidR="00004AE2" w:rsidRPr="00621883">
        <w:rPr>
          <w:rFonts w:ascii="Times New Roman" w:hAnsi="Times New Roman" w:cs="Times New Roman"/>
        </w:rPr>
        <w:t>e motherhood, I wanted to start</w:t>
      </w:r>
      <w:r w:rsidR="00E153CF" w:rsidRPr="00621883">
        <w:rPr>
          <w:rFonts w:ascii="Times New Roman" w:hAnsi="Times New Roman" w:cs="Times New Roman"/>
        </w:rPr>
        <w:t xml:space="preserve"> with </w:t>
      </w:r>
      <w:r w:rsidR="00004AE2" w:rsidRPr="00621883">
        <w:rPr>
          <w:rFonts w:ascii="Times New Roman" w:hAnsi="Times New Roman" w:cs="Times New Roman"/>
        </w:rPr>
        <w:t>an</w:t>
      </w:r>
      <w:r w:rsidR="00E153CF" w:rsidRPr="00621883">
        <w:rPr>
          <w:rFonts w:ascii="Times New Roman" w:hAnsi="Times New Roman" w:cs="Times New Roman"/>
        </w:rPr>
        <w:t xml:space="preserve"> image. </w:t>
      </w:r>
      <w:r w:rsidR="00004AE2" w:rsidRPr="00621883">
        <w:rPr>
          <w:rFonts w:ascii="Times New Roman" w:hAnsi="Times New Roman" w:cs="Times New Roman"/>
        </w:rPr>
        <w:t xml:space="preserve">In this double page spread from the </w:t>
      </w:r>
      <w:r w:rsidR="001D1B84" w:rsidRPr="00621883">
        <w:rPr>
          <w:rFonts w:ascii="Times New Roman" w:hAnsi="Times New Roman" w:cs="Times New Roman"/>
        </w:rPr>
        <w:t>popular</w:t>
      </w:r>
      <w:r w:rsidR="00004AE2" w:rsidRPr="00621883">
        <w:rPr>
          <w:rFonts w:ascii="Times New Roman" w:hAnsi="Times New Roman" w:cs="Times New Roman"/>
        </w:rPr>
        <w:t xml:space="preserve"> </w:t>
      </w:r>
      <w:r w:rsidR="002C75E5">
        <w:rPr>
          <w:rFonts w:ascii="Times New Roman" w:hAnsi="Times New Roman" w:cs="Times New Roman"/>
        </w:rPr>
        <w:t xml:space="preserve">weekly </w:t>
      </w:r>
      <w:r w:rsidR="00004AE2" w:rsidRPr="00621883">
        <w:rPr>
          <w:rFonts w:ascii="Times New Roman" w:hAnsi="Times New Roman" w:cs="Times New Roman"/>
        </w:rPr>
        <w:t xml:space="preserve">magazine, </w:t>
      </w:r>
      <w:r w:rsidR="002C75E5">
        <w:rPr>
          <w:rFonts w:ascii="Times New Roman" w:hAnsi="Times New Roman" w:cs="Times New Roman"/>
          <w:i/>
        </w:rPr>
        <w:t>Woma</w:t>
      </w:r>
      <w:r w:rsidR="00004AE2" w:rsidRPr="00621883">
        <w:rPr>
          <w:rFonts w:ascii="Times New Roman" w:hAnsi="Times New Roman" w:cs="Times New Roman"/>
          <w:i/>
        </w:rPr>
        <w:t>n’s Day</w:t>
      </w:r>
      <w:r w:rsidR="00004AE2" w:rsidRPr="00621883">
        <w:rPr>
          <w:rFonts w:ascii="Times New Roman" w:hAnsi="Times New Roman" w:cs="Times New Roman"/>
        </w:rPr>
        <w:t>, we have the headline “</w:t>
      </w:r>
      <w:r w:rsidR="001D1B84" w:rsidRPr="00621883">
        <w:rPr>
          <w:rFonts w:ascii="Times New Roman" w:hAnsi="Times New Roman" w:cs="Times New Roman"/>
        </w:rPr>
        <w:t>Baby Killer Mums”.</w:t>
      </w:r>
      <w:r w:rsidR="001D1B84" w:rsidRPr="00621883">
        <w:rPr>
          <w:rStyle w:val="FootnoteReference"/>
          <w:rFonts w:ascii="Times New Roman" w:hAnsi="Times New Roman" w:cs="Times New Roman"/>
        </w:rPr>
        <w:footnoteReference w:id="20"/>
      </w:r>
      <w:r w:rsidR="00AF6CE2">
        <w:rPr>
          <w:rFonts w:ascii="Times New Roman" w:hAnsi="Times New Roman" w:cs="Times New Roman"/>
        </w:rPr>
        <w:t xml:space="preserve"> </w:t>
      </w:r>
      <w:r w:rsidR="00E153CF" w:rsidRPr="00621883">
        <w:rPr>
          <w:rFonts w:ascii="Times New Roman" w:hAnsi="Times New Roman" w:cs="Times New Roman"/>
        </w:rPr>
        <w:t>I</w:t>
      </w:r>
      <w:r w:rsidR="00EC490D" w:rsidRPr="00621883">
        <w:rPr>
          <w:rFonts w:ascii="Times New Roman" w:hAnsi="Times New Roman" w:cs="Times New Roman"/>
        </w:rPr>
        <w:t xml:space="preserve">n contrast to Emma’s careful, systematic and illuminating analysis of the media coverage of </w:t>
      </w:r>
      <w:r w:rsidR="00E153CF" w:rsidRPr="00621883">
        <w:rPr>
          <w:rFonts w:ascii="Times New Roman" w:hAnsi="Times New Roman" w:cs="Times New Roman"/>
        </w:rPr>
        <w:t>Folbigg’s case—</w:t>
      </w:r>
      <w:r w:rsidR="00EC490D" w:rsidRPr="00621883">
        <w:rPr>
          <w:rFonts w:ascii="Times New Roman" w:hAnsi="Times New Roman" w:cs="Times New Roman"/>
        </w:rPr>
        <w:t>that manages to combine a discourse analysis of the representation of Folbigg herself, with an account of the imb</w:t>
      </w:r>
      <w:r w:rsidR="00EF0C84">
        <w:rPr>
          <w:rFonts w:ascii="Times New Roman" w:hAnsi="Times New Roman" w:cs="Times New Roman"/>
        </w:rPr>
        <w:t>alance between the reporting of</w:t>
      </w:r>
      <w:r w:rsidR="00EC490D" w:rsidRPr="00621883">
        <w:rPr>
          <w:rFonts w:ascii="Times New Roman" w:hAnsi="Times New Roman" w:cs="Times New Roman"/>
        </w:rPr>
        <w:t xml:space="preserve"> the pro</w:t>
      </w:r>
      <w:r w:rsidR="00E153CF" w:rsidRPr="00621883">
        <w:rPr>
          <w:rFonts w:ascii="Times New Roman" w:hAnsi="Times New Roman" w:cs="Times New Roman"/>
        </w:rPr>
        <w:t>secution and defence narratives</w:t>
      </w:r>
      <w:r w:rsidR="00E153CF" w:rsidRPr="00621883">
        <w:rPr>
          <w:rFonts w:ascii="Times New Roman" w:hAnsi="Times New Roman" w:cs="Times New Roman"/>
        </w:rPr>
        <w:softHyphen/>
        <w:t>—</w:t>
      </w:r>
      <w:r w:rsidR="00460FE1" w:rsidRPr="00621883">
        <w:rPr>
          <w:rFonts w:ascii="Times New Roman" w:hAnsi="Times New Roman" w:cs="Times New Roman"/>
        </w:rPr>
        <w:t xml:space="preserve">I am relying on </w:t>
      </w:r>
      <w:r w:rsidR="00E153CF" w:rsidRPr="00621883">
        <w:rPr>
          <w:rFonts w:ascii="Times New Roman" w:hAnsi="Times New Roman" w:cs="Times New Roman"/>
        </w:rPr>
        <w:t xml:space="preserve">this </w:t>
      </w:r>
      <w:r w:rsidR="00460FE1" w:rsidRPr="00621883">
        <w:rPr>
          <w:rFonts w:ascii="Times New Roman" w:hAnsi="Times New Roman" w:cs="Times New Roman"/>
        </w:rPr>
        <w:t>on</w:t>
      </w:r>
      <w:r w:rsidR="00E153CF" w:rsidRPr="00621883">
        <w:rPr>
          <w:rFonts w:ascii="Times New Roman" w:hAnsi="Times New Roman" w:cs="Times New Roman"/>
        </w:rPr>
        <w:t xml:space="preserve">e image to set the tone. </w:t>
      </w:r>
      <w:r w:rsidR="00460FE1" w:rsidRPr="00621883">
        <w:rPr>
          <w:rFonts w:ascii="Times New Roman" w:hAnsi="Times New Roman" w:cs="Times New Roman"/>
        </w:rPr>
        <w:t>I am</w:t>
      </w:r>
      <w:r w:rsidR="007D610B" w:rsidRPr="00621883">
        <w:rPr>
          <w:rFonts w:ascii="Times New Roman" w:hAnsi="Times New Roman" w:cs="Times New Roman"/>
        </w:rPr>
        <w:t xml:space="preserve"> using it here not to point to </w:t>
      </w:r>
      <w:r w:rsidR="00E153CF" w:rsidRPr="00621883">
        <w:rPr>
          <w:rFonts w:ascii="Times New Roman" w:hAnsi="Times New Roman" w:cs="Times New Roman"/>
        </w:rPr>
        <w:t xml:space="preserve">the </w:t>
      </w:r>
      <w:r w:rsidR="007D610B" w:rsidRPr="00621883">
        <w:rPr>
          <w:rFonts w:ascii="Times New Roman" w:hAnsi="Times New Roman" w:cs="Times New Roman"/>
        </w:rPr>
        <w:t>simplistic popular media coverage</w:t>
      </w:r>
      <w:r w:rsidR="00E153CF" w:rsidRPr="00621883">
        <w:rPr>
          <w:rFonts w:ascii="Times New Roman" w:hAnsi="Times New Roman" w:cs="Times New Roman"/>
        </w:rPr>
        <w:t xml:space="preserve"> endemic to these cases</w:t>
      </w:r>
      <w:r w:rsidR="007D610B" w:rsidRPr="00621883">
        <w:rPr>
          <w:rFonts w:ascii="Times New Roman" w:hAnsi="Times New Roman" w:cs="Times New Roman"/>
        </w:rPr>
        <w:t xml:space="preserve">, but </w:t>
      </w:r>
      <w:r w:rsidR="00D46740" w:rsidRPr="00621883">
        <w:rPr>
          <w:rFonts w:ascii="Times New Roman" w:hAnsi="Times New Roman" w:cs="Times New Roman"/>
        </w:rPr>
        <w:t>because it sets Folbigg alongside three other recent Australian cases where women have been convicted of the murder of their child</w:t>
      </w:r>
      <w:r w:rsidR="00460FE1" w:rsidRPr="00621883">
        <w:rPr>
          <w:rFonts w:ascii="Times New Roman" w:hAnsi="Times New Roman" w:cs="Times New Roman"/>
        </w:rPr>
        <w:t xml:space="preserve">, one of </w:t>
      </w:r>
      <w:r w:rsidR="00195DCA" w:rsidRPr="00621883">
        <w:rPr>
          <w:rFonts w:ascii="Times New Roman" w:hAnsi="Times New Roman" w:cs="Times New Roman"/>
        </w:rPr>
        <w:t>whom</w:t>
      </w:r>
      <w:r w:rsidR="00460FE1" w:rsidRPr="00621883">
        <w:rPr>
          <w:rFonts w:ascii="Times New Roman" w:hAnsi="Times New Roman" w:cs="Times New Roman"/>
        </w:rPr>
        <w:t xml:space="preserve"> is Keli Lane.</w:t>
      </w:r>
      <w:r w:rsidR="00D46740" w:rsidRPr="00621883">
        <w:rPr>
          <w:rFonts w:ascii="Times New Roman" w:hAnsi="Times New Roman" w:cs="Times New Roman"/>
        </w:rPr>
        <w:t xml:space="preserve"> </w:t>
      </w:r>
    </w:p>
    <w:p w:rsidR="0054715D" w:rsidRDefault="0054715D">
      <w:pPr>
        <w:rPr>
          <w:rFonts w:ascii="Times New Roman" w:hAnsi="Times New Roman" w:cs="Times New Roman"/>
        </w:rPr>
      </w:pPr>
    </w:p>
    <w:p w:rsidR="0054715D" w:rsidRDefault="0054715D" w:rsidP="0054715D">
      <w:pPr>
        <w:rPr>
          <w:rFonts w:ascii="Times New Roman" w:hAnsi="Times New Roman" w:cs="Times New Roman"/>
        </w:rPr>
      </w:pPr>
      <w:r>
        <w:rPr>
          <w:rFonts w:ascii="Times New Roman" w:hAnsi="Times New Roman" w:cs="Times New Roman"/>
          <w:noProof/>
          <w:lang w:val="en-GB" w:eastAsia="en-GB"/>
        </w:rPr>
        <w:drawing>
          <wp:inline distT="0" distB="0" distL="0" distR="0">
            <wp:extent cx="5270500" cy="3558003"/>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0500" cy="3558003"/>
                    </a:xfrm>
                    <a:prstGeom prst="rect">
                      <a:avLst/>
                    </a:prstGeom>
                    <a:noFill/>
                    <a:ln w="9525">
                      <a:noFill/>
                      <a:miter lim="800000"/>
                      <a:headEnd/>
                      <a:tailEnd/>
                    </a:ln>
                  </pic:spPr>
                </pic:pic>
              </a:graphicData>
            </a:graphic>
          </wp:inline>
        </w:drawing>
      </w:r>
    </w:p>
    <w:p w:rsidR="0054715D" w:rsidRDefault="0054715D" w:rsidP="0054715D">
      <w:pPr>
        <w:rPr>
          <w:rFonts w:ascii="Times New Roman" w:hAnsi="Times New Roman" w:cs="Times New Roman"/>
        </w:rPr>
      </w:pPr>
    </w:p>
    <w:p w:rsidR="0054715D" w:rsidRDefault="00A20764" w:rsidP="00160696">
      <w:pPr>
        <w:jc w:val="both"/>
        <w:rPr>
          <w:rFonts w:ascii="Times New Roman" w:hAnsi="Times New Roman" w:cs="Times New Roman"/>
        </w:rPr>
      </w:pPr>
      <w:r w:rsidRPr="00621883">
        <w:rPr>
          <w:rFonts w:ascii="Times New Roman" w:hAnsi="Times New Roman" w:cs="Times New Roman"/>
        </w:rPr>
        <w:t>Th</w:t>
      </w:r>
      <w:r w:rsidR="00D60C7A" w:rsidRPr="00621883">
        <w:rPr>
          <w:rFonts w:ascii="Times New Roman" w:hAnsi="Times New Roman" w:cs="Times New Roman"/>
        </w:rPr>
        <w:t>e case against Lane was entirely speculative and circumstantial.</w:t>
      </w:r>
      <w:r w:rsidR="00BE2F26" w:rsidRPr="00621883">
        <w:rPr>
          <w:rFonts w:ascii="Times New Roman" w:hAnsi="Times New Roman" w:cs="Times New Roman"/>
        </w:rPr>
        <w:t xml:space="preserve"> She had fallen pregnant in 1996</w:t>
      </w:r>
      <w:r w:rsidR="00D60C7A" w:rsidRPr="00621883">
        <w:rPr>
          <w:rFonts w:ascii="Times New Roman" w:hAnsi="Times New Roman" w:cs="Times New Roman"/>
        </w:rPr>
        <w:t xml:space="preserve">, </w:t>
      </w:r>
      <w:r w:rsidR="001A304F" w:rsidRPr="00621883">
        <w:rPr>
          <w:rFonts w:ascii="Times New Roman" w:hAnsi="Times New Roman" w:cs="Times New Roman"/>
        </w:rPr>
        <w:t xml:space="preserve">giving birth to Tegan on </w:t>
      </w:r>
      <w:r w:rsidR="00BE2F26" w:rsidRPr="00621883">
        <w:rPr>
          <w:rFonts w:ascii="Times New Roman" w:hAnsi="Times New Roman" w:cs="Times New Roman"/>
        </w:rPr>
        <w:t xml:space="preserve">12 September 1996. </w:t>
      </w:r>
      <w:r w:rsidR="007A56FD" w:rsidRPr="00621883">
        <w:rPr>
          <w:rFonts w:ascii="Times New Roman" w:hAnsi="Times New Roman" w:cs="Times New Roman"/>
        </w:rPr>
        <w:t>Lane</w:t>
      </w:r>
      <w:r w:rsidR="001A304F" w:rsidRPr="00621883">
        <w:rPr>
          <w:rFonts w:ascii="Times New Roman" w:hAnsi="Times New Roman" w:cs="Times New Roman"/>
        </w:rPr>
        <w:t xml:space="preserve"> </w:t>
      </w:r>
      <w:r w:rsidR="00D60C7A" w:rsidRPr="00621883">
        <w:rPr>
          <w:rFonts w:ascii="Times New Roman" w:hAnsi="Times New Roman" w:cs="Times New Roman"/>
        </w:rPr>
        <w:t>had successfully concealed the pregnancy from family and friends</w:t>
      </w:r>
      <w:r w:rsidR="007A56FD" w:rsidRPr="00621883">
        <w:rPr>
          <w:rFonts w:ascii="Times New Roman" w:hAnsi="Times New Roman" w:cs="Times New Roman"/>
        </w:rPr>
        <w:t>, including, according to the evidence, her</w:t>
      </w:r>
      <w:r w:rsidRPr="00621883">
        <w:rPr>
          <w:rFonts w:ascii="Times New Roman" w:hAnsi="Times New Roman" w:cs="Times New Roman"/>
        </w:rPr>
        <w:t xml:space="preserve"> then partner</w:t>
      </w:r>
      <w:r w:rsidR="00D60C7A" w:rsidRPr="00621883">
        <w:rPr>
          <w:rFonts w:ascii="Times New Roman" w:hAnsi="Times New Roman" w:cs="Times New Roman"/>
        </w:rPr>
        <w:t>.</w:t>
      </w:r>
      <w:r w:rsidR="00B134A6" w:rsidRPr="00621883">
        <w:rPr>
          <w:rStyle w:val="FootnoteReference"/>
          <w:rFonts w:ascii="Times New Roman" w:hAnsi="Times New Roman" w:cs="Times New Roman"/>
        </w:rPr>
        <w:footnoteReference w:id="21"/>
      </w:r>
      <w:r w:rsidR="00D60C7A" w:rsidRPr="00621883">
        <w:rPr>
          <w:rFonts w:ascii="Times New Roman" w:hAnsi="Times New Roman" w:cs="Times New Roman"/>
        </w:rPr>
        <w:t xml:space="preserve"> </w:t>
      </w:r>
      <w:r w:rsidRPr="00621883">
        <w:rPr>
          <w:rFonts w:ascii="Times New Roman" w:hAnsi="Times New Roman" w:cs="Times New Roman"/>
        </w:rPr>
        <w:t>Lane had previously carr</w:t>
      </w:r>
      <w:r w:rsidR="001F4A51">
        <w:rPr>
          <w:rFonts w:ascii="Times New Roman" w:hAnsi="Times New Roman" w:cs="Times New Roman"/>
        </w:rPr>
        <w:t>ied a child to term</w:t>
      </w:r>
      <w:r w:rsidRPr="00621883">
        <w:rPr>
          <w:rFonts w:ascii="Times New Roman" w:hAnsi="Times New Roman" w:cs="Times New Roman"/>
        </w:rPr>
        <w:t xml:space="preserve"> </w:t>
      </w:r>
      <w:r w:rsidR="00BE2F26" w:rsidRPr="00621883">
        <w:rPr>
          <w:rFonts w:ascii="Times New Roman" w:hAnsi="Times New Roman" w:cs="Times New Roman"/>
        </w:rPr>
        <w:t xml:space="preserve">in 1995, </w:t>
      </w:r>
      <w:r w:rsidRPr="00621883">
        <w:rPr>
          <w:rFonts w:ascii="Times New Roman" w:hAnsi="Times New Roman" w:cs="Times New Roman"/>
        </w:rPr>
        <w:t xml:space="preserve">a </w:t>
      </w:r>
      <w:r w:rsidR="00BE2F26" w:rsidRPr="00621883">
        <w:rPr>
          <w:rFonts w:ascii="Times New Roman" w:hAnsi="Times New Roman" w:cs="Times New Roman"/>
        </w:rPr>
        <w:t>girl</w:t>
      </w:r>
      <w:r w:rsidRPr="00621883">
        <w:rPr>
          <w:rFonts w:ascii="Times New Roman" w:hAnsi="Times New Roman" w:cs="Times New Roman"/>
        </w:rPr>
        <w:t xml:space="preserve"> who had been adopted out, and </w:t>
      </w:r>
      <w:r w:rsidR="00C95278" w:rsidRPr="00621883">
        <w:rPr>
          <w:rFonts w:ascii="Times New Roman" w:hAnsi="Times New Roman" w:cs="Times New Roman"/>
        </w:rPr>
        <w:t>two previous pregnancies</w:t>
      </w:r>
      <w:r w:rsidR="001741CD">
        <w:rPr>
          <w:rFonts w:ascii="Times New Roman" w:hAnsi="Times New Roman" w:cs="Times New Roman"/>
        </w:rPr>
        <w:t xml:space="preserve"> had ended in</w:t>
      </w:r>
      <w:r w:rsidRPr="00621883">
        <w:rPr>
          <w:rFonts w:ascii="Times New Roman" w:hAnsi="Times New Roman" w:cs="Times New Roman"/>
        </w:rPr>
        <w:t xml:space="preserve"> </w:t>
      </w:r>
      <w:r w:rsidRPr="00621883">
        <w:rPr>
          <w:rFonts w:ascii="Times New Roman" w:hAnsi="Times New Roman" w:cs="Times New Roman"/>
        </w:rPr>
        <w:lastRenderedPageBreak/>
        <w:t>termination</w:t>
      </w:r>
      <w:r w:rsidR="001741CD">
        <w:rPr>
          <w:rFonts w:ascii="Times New Roman" w:hAnsi="Times New Roman" w:cs="Times New Roman"/>
        </w:rPr>
        <w:t>s</w:t>
      </w:r>
      <w:r w:rsidR="0050523B" w:rsidRPr="00621883">
        <w:rPr>
          <w:rFonts w:ascii="Times New Roman" w:hAnsi="Times New Roman" w:cs="Times New Roman"/>
        </w:rPr>
        <w:t>.</w:t>
      </w:r>
      <w:bookmarkStart w:id="8" w:name="_Ref225755243"/>
      <w:r w:rsidR="00B7133E" w:rsidRPr="00621883">
        <w:rPr>
          <w:rStyle w:val="FootnoteReference"/>
          <w:rFonts w:ascii="Times New Roman" w:hAnsi="Times New Roman" w:cs="Times New Roman"/>
        </w:rPr>
        <w:footnoteReference w:id="22"/>
      </w:r>
      <w:bookmarkEnd w:id="8"/>
      <w:r w:rsidR="0050523B" w:rsidRPr="00621883">
        <w:rPr>
          <w:rFonts w:ascii="Times New Roman" w:hAnsi="Times New Roman" w:cs="Times New Roman"/>
        </w:rPr>
        <w:t xml:space="preserve"> </w:t>
      </w:r>
      <w:r w:rsidR="00BE2F26" w:rsidRPr="00621883">
        <w:rPr>
          <w:rFonts w:ascii="Times New Roman" w:hAnsi="Times New Roman" w:cs="Times New Roman"/>
        </w:rPr>
        <w:t>In 1999</w:t>
      </w:r>
      <w:r w:rsidR="00B7133E" w:rsidRPr="00621883">
        <w:rPr>
          <w:rFonts w:ascii="Times New Roman" w:hAnsi="Times New Roman" w:cs="Times New Roman"/>
        </w:rPr>
        <w:t>,</w:t>
      </w:r>
      <w:r w:rsidR="0050523B" w:rsidRPr="00621883">
        <w:rPr>
          <w:rFonts w:ascii="Times New Roman" w:hAnsi="Times New Roman" w:cs="Times New Roman"/>
        </w:rPr>
        <w:t xml:space="preserve"> Lane had a third child, a boy, who was also adopted out</w:t>
      </w:r>
      <w:r w:rsidR="00C95278" w:rsidRPr="00621883">
        <w:rPr>
          <w:rFonts w:ascii="Times New Roman" w:hAnsi="Times New Roman" w:cs="Times New Roman"/>
        </w:rPr>
        <w:t xml:space="preserve">. With the exception of the first pregnancy and termination, which was known </w:t>
      </w:r>
      <w:r w:rsidR="001741CD">
        <w:rPr>
          <w:rFonts w:ascii="Times New Roman" w:hAnsi="Times New Roman" w:cs="Times New Roman"/>
        </w:rPr>
        <w:t xml:space="preserve">(only) </w:t>
      </w:r>
      <w:r w:rsidR="00C95278" w:rsidRPr="00621883">
        <w:rPr>
          <w:rFonts w:ascii="Times New Roman" w:hAnsi="Times New Roman" w:cs="Times New Roman"/>
        </w:rPr>
        <w:t>to her then boyfriend, a</w:t>
      </w:r>
      <w:r w:rsidR="00B7133E" w:rsidRPr="00621883">
        <w:rPr>
          <w:rFonts w:ascii="Times New Roman" w:hAnsi="Times New Roman" w:cs="Times New Roman"/>
        </w:rPr>
        <w:t>ll of t</w:t>
      </w:r>
      <w:r w:rsidRPr="00621883">
        <w:rPr>
          <w:rFonts w:ascii="Times New Roman" w:hAnsi="Times New Roman" w:cs="Times New Roman"/>
        </w:rPr>
        <w:t xml:space="preserve">hese </w:t>
      </w:r>
      <w:r w:rsidR="0050523B" w:rsidRPr="00621883">
        <w:rPr>
          <w:rFonts w:ascii="Times New Roman" w:hAnsi="Times New Roman" w:cs="Times New Roman"/>
        </w:rPr>
        <w:t>other</w:t>
      </w:r>
      <w:r w:rsidRPr="00621883">
        <w:rPr>
          <w:rFonts w:ascii="Times New Roman" w:hAnsi="Times New Roman" w:cs="Times New Roman"/>
        </w:rPr>
        <w:t xml:space="preserve"> pregnancies had, apparently, been successfully concealed from family and friends.</w:t>
      </w:r>
      <w:r w:rsidR="00C95278" w:rsidRPr="00621883">
        <w:rPr>
          <w:rStyle w:val="FootnoteReference"/>
          <w:rFonts w:ascii="Times New Roman" w:hAnsi="Times New Roman" w:cs="Times New Roman"/>
        </w:rPr>
        <w:footnoteReference w:id="23"/>
      </w:r>
      <w:r w:rsidRPr="00621883">
        <w:rPr>
          <w:rFonts w:ascii="Times New Roman" w:hAnsi="Times New Roman" w:cs="Times New Roman"/>
        </w:rPr>
        <w:t xml:space="preserve"> In the case of baby Tegan, </w:t>
      </w:r>
      <w:r w:rsidR="00497556" w:rsidRPr="00621883">
        <w:rPr>
          <w:rFonts w:ascii="Times New Roman" w:hAnsi="Times New Roman" w:cs="Times New Roman"/>
        </w:rPr>
        <w:t xml:space="preserve">the defence case was that </w:t>
      </w:r>
      <w:r w:rsidR="001D1B84" w:rsidRPr="00621883">
        <w:rPr>
          <w:rFonts w:ascii="Times New Roman" w:hAnsi="Times New Roman" w:cs="Times New Roman"/>
        </w:rPr>
        <w:t xml:space="preserve">Lane </w:t>
      </w:r>
      <w:r w:rsidR="00497556" w:rsidRPr="00621883">
        <w:rPr>
          <w:rFonts w:ascii="Times New Roman" w:hAnsi="Times New Roman" w:cs="Times New Roman"/>
        </w:rPr>
        <w:t>had handed the baby over to</w:t>
      </w:r>
      <w:r w:rsidR="001D1B84" w:rsidRPr="00621883">
        <w:rPr>
          <w:rFonts w:ascii="Times New Roman" w:hAnsi="Times New Roman" w:cs="Times New Roman"/>
        </w:rPr>
        <w:t xml:space="preserve"> </w:t>
      </w:r>
      <w:r w:rsidR="00497556" w:rsidRPr="00621883">
        <w:rPr>
          <w:rFonts w:ascii="Times New Roman" w:hAnsi="Times New Roman" w:cs="Times New Roman"/>
        </w:rPr>
        <w:t xml:space="preserve">the </w:t>
      </w:r>
      <w:r w:rsidR="00BE2F26" w:rsidRPr="00621883">
        <w:rPr>
          <w:rFonts w:ascii="Times New Roman" w:hAnsi="Times New Roman" w:cs="Times New Roman"/>
        </w:rPr>
        <w:t xml:space="preserve">(initially unnamed) </w:t>
      </w:r>
      <w:r w:rsidR="00497556" w:rsidRPr="00621883">
        <w:rPr>
          <w:rFonts w:ascii="Times New Roman" w:hAnsi="Times New Roman" w:cs="Times New Roman"/>
        </w:rPr>
        <w:t xml:space="preserve">natural </w:t>
      </w:r>
      <w:r w:rsidR="001D1B84" w:rsidRPr="00621883">
        <w:rPr>
          <w:rFonts w:ascii="Times New Roman" w:hAnsi="Times New Roman" w:cs="Times New Roman"/>
        </w:rPr>
        <w:t>father. T</w:t>
      </w:r>
      <w:r w:rsidR="00023FFF" w:rsidRPr="00621883">
        <w:rPr>
          <w:rFonts w:ascii="Times New Roman" w:hAnsi="Times New Roman" w:cs="Times New Roman"/>
        </w:rPr>
        <w:t xml:space="preserve">here was </w:t>
      </w:r>
      <w:r w:rsidR="00D60C7A" w:rsidRPr="00621883">
        <w:rPr>
          <w:rFonts w:ascii="Times New Roman" w:hAnsi="Times New Roman" w:cs="Times New Roman"/>
        </w:rPr>
        <w:t>no body, no adm</w:t>
      </w:r>
      <w:r w:rsidR="00023FFF" w:rsidRPr="00621883">
        <w:rPr>
          <w:rFonts w:ascii="Times New Roman" w:hAnsi="Times New Roman" w:cs="Times New Roman"/>
        </w:rPr>
        <w:t xml:space="preserve">ission, and no direct evidence. The </w:t>
      </w:r>
      <w:r w:rsidR="00C33794" w:rsidRPr="00621883">
        <w:rPr>
          <w:rFonts w:ascii="Times New Roman" w:hAnsi="Times New Roman" w:cs="Times New Roman"/>
        </w:rPr>
        <w:t xml:space="preserve">circumstantial </w:t>
      </w:r>
      <w:r w:rsidR="00023FFF" w:rsidRPr="00621883">
        <w:rPr>
          <w:rFonts w:ascii="Times New Roman" w:hAnsi="Times New Roman" w:cs="Times New Roman"/>
        </w:rPr>
        <w:t>evidenc</w:t>
      </w:r>
      <w:r w:rsidR="001D1B84" w:rsidRPr="00621883">
        <w:rPr>
          <w:rFonts w:ascii="Times New Roman" w:hAnsi="Times New Roman" w:cs="Times New Roman"/>
        </w:rPr>
        <w:t>e supporting the case was primarily negative, including</w:t>
      </w:r>
      <w:r w:rsidR="00023FFF" w:rsidRPr="00621883">
        <w:rPr>
          <w:rFonts w:ascii="Times New Roman" w:hAnsi="Times New Roman" w:cs="Times New Roman"/>
        </w:rPr>
        <w:t xml:space="preserve"> the inferences to be drawn from the failure</w:t>
      </w:r>
      <w:r w:rsidR="001D1B84" w:rsidRPr="00621883">
        <w:rPr>
          <w:rFonts w:ascii="Times New Roman" w:hAnsi="Times New Roman" w:cs="Times New Roman"/>
        </w:rPr>
        <w:t xml:space="preserve"> to locate the surviving child or man that Lane </w:t>
      </w:r>
      <w:r w:rsidR="00C33794" w:rsidRPr="00621883">
        <w:rPr>
          <w:rFonts w:ascii="Times New Roman" w:hAnsi="Times New Roman" w:cs="Times New Roman"/>
        </w:rPr>
        <w:t xml:space="preserve">had </w:t>
      </w:r>
      <w:r w:rsidR="001D1B84" w:rsidRPr="00621883">
        <w:rPr>
          <w:rFonts w:ascii="Times New Roman" w:hAnsi="Times New Roman" w:cs="Times New Roman"/>
        </w:rPr>
        <w:t>c</w:t>
      </w:r>
      <w:r w:rsidR="00376CF3" w:rsidRPr="00621883">
        <w:rPr>
          <w:rFonts w:ascii="Times New Roman" w:hAnsi="Times New Roman" w:cs="Times New Roman"/>
        </w:rPr>
        <w:t>laimed was the father of Tegan. W</w:t>
      </w:r>
      <w:r w:rsidR="001D1B84" w:rsidRPr="00621883">
        <w:rPr>
          <w:rFonts w:ascii="Times New Roman" w:hAnsi="Times New Roman" w:cs="Times New Roman"/>
        </w:rPr>
        <w:t>hich is to say that</w:t>
      </w:r>
      <w:r w:rsidR="000433F5">
        <w:rPr>
          <w:rFonts w:ascii="Times New Roman" w:hAnsi="Times New Roman" w:cs="Times New Roman"/>
        </w:rPr>
        <w:t>,</w:t>
      </w:r>
      <w:r w:rsidR="001D1B84" w:rsidRPr="00621883">
        <w:rPr>
          <w:rFonts w:ascii="Times New Roman" w:hAnsi="Times New Roman" w:cs="Times New Roman"/>
        </w:rPr>
        <w:t xml:space="preserve"> </w:t>
      </w:r>
      <w:r w:rsidR="00E10CE6" w:rsidRPr="00621883">
        <w:rPr>
          <w:rFonts w:ascii="Times New Roman" w:hAnsi="Times New Roman" w:cs="Times New Roman"/>
        </w:rPr>
        <w:t xml:space="preserve">in addition to the reliance on hegemonic gendered narratives, </w:t>
      </w:r>
      <w:r w:rsidR="001D1B84" w:rsidRPr="00621883">
        <w:rPr>
          <w:rFonts w:ascii="Times New Roman" w:hAnsi="Times New Roman" w:cs="Times New Roman"/>
        </w:rPr>
        <w:t>th</w:t>
      </w:r>
      <w:r w:rsidR="0050523B" w:rsidRPr="00621883">
        <w:rPr>
          <w:rFonts w:ascii="Times New Roman" w:hAnsi="Times New Roman" w:cs="Times New Roman"/>
        </w:rPr>
        <w:t>e Crown</w:t>
      </w:r>
      <w:r w:rsidR="001741CD">
        <w:rPr>
          <w:rFonts w:ascii="Times New Roman" w:hAnsi="Times New Roman" w:cs="Times New Roman"/>
        </w:rPr>
        <w:t xml:space="preserve"> case</w:t>
      </w:r>
      <w:r w:rsidR="00E10CE6" w:rsidRPr="00621883">
        <w:rPr>
          <w:rFonts w:ascii="Times New Roman" w:hAnsi="Times New Roman" w:cs="Times New Roman"/>
        </w:rPr>
        <w:t xml:space="preserve"> </w:t>
      </w:r>
      <w:r w:rsidR="0050523B" w:rsidRPr="00621883">
        <w:rPr>
          <w:rFonts w:ascii="Times New Roman" w:hAnsi="Times New Roman" w:cs="Times New Roman"/>
        </w:rPr>
        <w:t xml:space="preserve">was strongly dependent </w:t>
      </w:r>
      <w:r w:rsidR="001D1B84" w:rsidRPr="00621883">
        <w:rPr>
          <w:rFonts w:ascii="Times New Roman" w:hAnsi="Times New Roman" w:cs="Times New Roman"/>
        </w:rPr>
        <w:t xml:space="preserve">on </w:t>
      </w:r>
      <w:r w:rsidR="00023FFF" w:rsidRPr="00621883">
        <w:rPr>
          <w:rFonts w:ascii="Times New Roman" w:hAnsi="Times New Roman" w:cs="Times New Roman"/>
        </w:rPr>
        <w:t xml:space="preserve">what was </w:t>
      </w:r>
      <w:r w:rsidR="00C33794" w:rsidRPr="00621883">
        <w:rPr>
          <w:rFonts w:ascii="Times New Roman" w:hAnsi="Times New Roman" w:cs="Times New Roman"/>
        </w:rPr>
        <w:t>argued</w:t>
      </w:r>
      <w:r w:rsidR="00023FFF" w:rsidRPr="00621883">
        <w:rPr>
          <w:rFonts w:ascii="Times New Roman" w:hAnsi="Times New Roman" w:cs="Times New Roman"/>
        </w:rPr>
        <w:t xml:space="preserve"> to be the sheer implausibility of her account</w:t>
      </w:r>
      <w:r w:rsidR="00C33794" w:rsidRPr="00621883">
        <w:rPr>
          <w:rFonts w:ascii="Times New Roman" w:hAnsi="Times New Roman" w:cs="Times New Roman"/>
        </w:rPr>
        <w:t>. This appeal to (</w:t>
      </w:r>
      <w:r w:rsidR="00376CF3" w:rsidRPr="00621883">
        <w:rPr>
          <w:rFonts w:ascii="Times New Roman" w:hAnsi="Times New Roman" w:cs="Times New Roman"/>
        </w:rPr>
        <w:t>im</w:t>
      </w:r>
      <w:r w:rsidR="00C33794" w:rsidRPr="00621883">
        <w:rPr>
          <w:rFonts w:ascii="Times New Roman" w:hAnsi="Times New Roman" w:cs="Times New Roman"/>
        </w:rPr>
        <w:t>)</w:t>
      </w:r>
      <w:r w:rsidR="00376CF3" w:rsidRPr="00621883">
        <w:rPr>
          <w:rFonts w:ascii="Times New Roman" w:hAnsi="Times New Roman" w:cs="Times New Roman"/>
        </w:rPr>
        <w:t>plausibility</w:t>
      </w:r>
      <w:r w:rsidR="00C33794" w:rsidRPr="00621883">
        <w:rPr>
          <w:rFonts w:ascii="Times New Roman" w:hAnsi="Times New Roman" w:cs="Times New Roman"/>
        </w:rPr>
        <w:t xml:space="preserve"> was</w:t>
      </w:r>
      <w:r w:rsidR="00376CF3" w:rsidRPr="00621883">
        <w:rPr>
          <w:rFonts w:ascii="Times New Roman" w:hAnsi="Times New Roman" w:cs="Times New Roman"/>
        </w:rPr>
        <w:t xml:space="preserve"> </w:t>
      </w:r>
      <w:r w:rsidR="00C33794" w:rsidRPr="00621883">
        <w:rPr>
          <w:rFonts w:ascii="Times New Roman" w:hAnsi="Times New Roman" w:cs="Times New Roman"/>
        </w:rPr>
        <w:t>implicated in the decision to allow</w:t>
      </w:r>
      <w:r w:rsidR="00497556" w:rsidRPr="00621883">
        <w:rPr>
          <w:rFonts w:ascii="Times New Roman" w:hAnsi="Times New Roman" w:cs="Times New Roman"/>
        </w:rPr>
        <w:t xml:space="preserve"> the jury</w:t>
      </w:r>
      <w:r w:rsidR="00023FFF" w:rsidRPr="00621883">
        <w:rPr>
          <w:rFonts w:ascii="Times New Roman" w:hAnsi="Times New Roman" w:cs="Times New Roman"/>
        </w:rPr>
        <w:t xml:space="preserve"> to draw some limited inferences from Keli Lane’s conduct</w:t>
      </w:r>
      <w:r w:rsidR="00C33794" w:rsidRPr="00621883">
        <w:rPr>
          <w:rFonts w:ascii="Times New Roman" w:hAnsi="Times New Roman" w:cs="Times New Roman"/>
        </w:rPr>
        <w:t>, in particular, what were said to be lies</w:t>
      </w:r>
      <w:r w:rsidR="00023FFF" w:rsidRPr="00621883">
        <w:rPr>
          <w:rFonts w:ascii="Times New Roman" w:hAnsi="Times New Roman" w:cs="Times New Roman"/>
        </w:rPr>
        <w:t>.</w:t>
      </w:r>
      <w:r w:rsidR="00376CF3" w:rsidRPr="00621883">
        <w:rPr>
          <w:rStyle w:val="FootnoteReference"/>
          <w:rFonts w:ascii="Times New Roman" w:hAnsi="Times New Roman" w:cs="Times New Roman"/>
        </w:rPr>
        <w:footnoteReference w:id="24"/>
      </w:r>
      <w:r w:rsidR="00023FFF" w:rsidRPr="00621883">
        <w:rPr>
          <w:rFonts w:ascii="Times New Roman" w:hAnsi="Times New Roman" w:cs="Times New Roman"/>
        </w:rPr>
        <w:t xml:space="preserve"> </w:t>
      </w:r>
      <w:r w:rsidR="00F54AD9" w:rsidRPr="00621883">
        <w:rPr>
          <w:rFonts w:ascii="Times New Roman" w:hAnsi="Times New Roman" w:cs="Times New Roman"/>
        </w:rPr>
        <w:t>Perhaps even m</w:t>
      </w:r>
      <w:r w:rsidR="00B134A6" w:rsidRPr="00621883">
        <w:rPr>
          <w:rFonts w:ascii="Times New Roman" w:hAnsi="Times New Roman" w:cs="Times New Roman"/>
        </w:rPr>
        <w:t xml:space="preserve">ore than </w:t>
      </w:r>
      <w:r w:rsidR="00B134A6" w:rsidRPr="00621883">
        <w:rPr>
          <w:rFonts w:ascii="Times New Roman" w:hAnsi="Times New Roman" w:cs="Times New Roman"/>
          <w:i/>
        </w:rPr>
        <w:t>Fo</w:t>
      </w:r>
      <w:r w:rsidR="00F54AD9" w:rsidRPr="00621883">
        <w:rPr>
          <w:rFonts w:ascii="Times New Roman" w:hAnsi="Times New Roman" w:cs="Times New Roman"/>
          <w:i/>
        </w:rPr>
        <w:t>lbigg</w:t>
      </w:r>
      <w:r w:rsidR="00F54AD9" w:rsidRPr="00621883">
        <w:rPr>
          <w:rFonts w:ascii="Times New Roman" w:hAnsi="Times New Roman" w:cs="Times New Roman"/>
        </w:rPr>
        <w:t xml:space="preserve"> or </w:t>
      </w:r>
      <w:r w:rsidR="00F54AD9" w:rsidRPr="00621883">
        <w:rPr>
          <w:rFonts w:ascii="Times New Roman" w:hAnsi="Times New Roman" w:cs="Times New Roman"/>
          <w:i/>
        </w:rPr>
        <w:t>Wood</w:t>
      </w:r>
      <w:r w:rsidR="00F54AD9" w:rsidRPr="00621883">
        <w:rPr>
          <w:rFonts w:ascii="Times New Roman" w:hAnsi="Times New Roman" w:cs="Times New Roman"/>
        </w:rPr>
        <w:t xml:space="preserve">, this was </w:t>
      </w:r>
      <w:r w:rsidR="00D60C7A" w:rsidRPr="00621883">
        <w:rPr>
          <w:rFonts w:ascii="Times New Roman" w:hAnsi="Times New Roman" w:cs="Times New Roman"/>
        </w:rPr>
        <w:t>the case of Tedeschi’s car</w:t>
      </w:r>
      <w:r w:rsidR="00F54AD9" w:rsidRPr="00621883">
        <w:rPr>
          <w:rFonts w:ascii="Times New Roman" w:hAnsi="Times New Roman" w:cs="Times New Roman"/>
        </w:rPr>
        <w:t xml:space="preserve">eer, </w:t>
      </w:r>
      <w:r w:rsidR="001D6C95" w:rsidRPr="00621883">
        <w:rPr>
          <w:rFonts w:ascii="Times New Roman" w:hAnsi="Times New Roman" w:cs="Times New Roman"/>
        </w:rPr>
        <w:t xml:space="preserve">considered to be </w:t>
      </w:r>
      <w:r w:rsidR="00F54AD9" w:rsidRPr="00621883">
        <w:rPr>
          <w:rFonts w:ascii="Times New Roman" w:hAnsi="Times New Roman" w:cs="Times New Roman"/>
        </w:rPr>
        <w:t xml:space="preserve">the impossible conviction. </w:t>
      </w:r>
      <w:r w:rsidR="009B490F" w:rsidRPr="00621883">
        <w:rPr>
          <w:rFonts w:ascii="Times New Roman" w:hAnsi="Times New Roman" w:cs="Times New Roman"/>
        </w:rPr>
        <w:t>And it</w:t>
      </w:r>
      <w:r w:rsidR="00F54AD9" w:rsidRPr="00621883">
        <w:rPr>
          <w:rFonts w:ascii="Times New Roman" w:hAnsi="Times New Roman" w:cs="Times New Roman"/>
        </w:rPr>
        <w:t xml:space="preserve"> was </w:t>
      </w:r>
      <w:r w:rsidR="00D60C7A" w:rsidRPr="00621883">
        <w:rPr>
          <w:rFonts w:ascii="Times New Roman" w:hAnsi="Times New Roman" w:cs="Times New Roman"/>
        </w:rPr>
        <w:t>a case that clearly troubled</w:t>
      </w:r>
      <w:r w:rsidR="008D06BD" w:rsidRPr="00621883">
        <w:rPr>
          <w:rFonts w:ascii="Times New Roman" w:hAnsi="Times New Roman" w:cs="Times New Roman"/>
        </w:rPr>
        <w:t xml:space="preserve"> the trial judge. In the sentencing judgment, </w:t>
      </w:r>
      <w:r w:rsidR="00A951EE" w:rsidRPr="00621883">
        <w:rPr>
          <w:rFonts w:ascii="Times New Roman" w:hAnsi="Times New Roman" w:cs="Times New Roman"/>
        </w:rPr>
        <w:t>Justice Whealy of the New South Wales Supreme Court, said</w:t>
      </w:r>
      <w:r w:rsidR="001741CD">
        <w:rPr>
          <w:rFonts w:ascii="Times New Roman" w:hAnsi="Times New Roman" w:cs="Times New Roman"/>
        </w:rPr>
        <w:t>,</w:t>
      </w:r>
      <w:r w:rsidR="00F54AD9" w:rsidRPr="00621883">
        <w:rPr>
          <w:rFonts w:ascii="Times New Roman" w:hAnsi="Times New Roman" w:cs="Times New Roman"/>
        </w:rPr>
        <w:t xml:space="preserve"> </w:t>
      </w:r>
      <w:r w:rsidR="00126CC1">
        <w:rPr>
          <w:rFonts w:ascii="Times New Roman" w:hAnsi="Times New Roman" w:cs="Times New Roman"/>
        </w:rPr>
        <w:t>“</w:t>
      </w:r>
      <w:r w:rsidR="00D60C7A" w:rsidRPr="00621883">
        <w:rPr>
          <w:rFonts w:ascii="Times New Roman" w:hAnsi="Times New Roman" w:cs="Times New Roman"/>
        </w:rPr>
        <w:t>whatever views I may have had about the strength of the Crown case must take second place to the jury verdict</w:t>
      </w:r>
      <w:r w:rsidR="00F54AD9" w:rsidRPr="00621883">
        <w:rPr>
          <w:rFonts w:ascii="Times New Roman" w:hAnsi="Times New Roman" w:cs="Times New Roman"/>
        </w:rPr>
        <w:t>.</w:t>
      </w:r>
      <w:r w:rsidR="00126CC1">
        <w:rPr>
          <w:rFonts w:ascii="Times New Roman" w:hAnsi="Times New Roman" w:cs="Times New Roman"/>
        </w:rPr>
        <w:t>”</w:t>
      </w:r>
      <w:r w:rsidR="008D06BD" w:rsidRPr="00621883">
        <w:rPr>
          <w:rStyle w:val="FootnoteReference"/>
          <w:rFonts w:ascii="Times New Roman" w:hAnsi="Times New Roman" w:cs="Times New Roman"/>
        </w:rPr>
        <w:footnoteReference w:id="25"/>
      </w:r>
      <w:r w:rsidR="008D06BD" w:rsidRPr="00621883">
        <w:rPr>
          <w:rFonts w:ascii="Times New Roman" w:hAnsi="Times New Roman" w:cs="Times New Roman"/>
        </w:rPr>
        <w:t xml:space="preserve"> More recently, on his retirement, and in what has been widely regarded as a surprising and controversial move, </w:t>
      </w:r>
      <w:r w:rsidR="009B2660" w:rsidRPr="00621883">
        <w:rPr>
          <w:rFonts w:ascii="Times New Roman" w:hAnsi="Times New Roman" w:cs="Times New Roman"/>
        </w:rPr>
        <w:t xml:space="preserve">Justice </w:t>
      </w:r>
      <w:r w:rsidR="001F4A51">
        <w:rPr>
          <w:rFonts w:ascii="Times New Roman" w:hAnsi="Times New Roman" w:cs="Times New Roman"/>
        </w:rPr>
        <w:t>Whealy has spoken public</w:t>
      </w:r>
      <w:r w:rsidR="008D06BD" w:rsidRPr="00621883">
        <w:rPr>
          <w:rFonts w:ascii="Times New Roman" w:hAnsi="Times New Roman" w:cs="Times New Roman"/>
        </w:rPr>
        <w:t>ly about his unease at the outcome of the case.</w:t>
      </w:r>
      <w:r w:rsidR="00753C90" w:rsidRPr="00621883">
        <w:rPr>
          <w:rStyle w:val="FootnoteReference"/>
          <w:rFonts w:ascii="Times New Roman" w:hAnsi="Times New Roman" w:cs="Times New Roman"/>
        </w:rPr>
        <w:footnoteReference w:id="26"/>
      </w:r>
      <w:r w:rsidR="008D06BD" w:rsidRPr="00621883">
        <w:rPr>
          <w:rFonts w:ascii="Times New Roman" w:hAnsi="Times New Roman" w:cs="Times New Roman"/>
        </w:rPr>
        <w:t xml:space="preserve"> </w:t>
      </w:r>
      <w:r w:rsidR="005666F2" w:rsidRPr="00621883">
        <w:rPr>
          <w:rFonts w:ascii="Times New Roman" w:hAnsi="Times New Roman" w:cs="Times New Roman"/>
        </w:rPr>
        <w:t xml:space="preserve"> </w:t>
      </w:r>
    </w:p>
    <w:p w:rsidR="0054715D" w:rsidRDefault="0054715D" w:rsidP="0054715D">
      <w:pPr>
        <w:rPr>
          <w:rFonts w:ascii="Times New Roman" w:hAnsi="Times New Roman" w:cs="Times New Roman"/>
        </w:rPr>
      </w:pPr>
    </w:p>
    <w:p w:rsidR="004F1E1A" w:rsidRPr="00621883" w:rsidRDefault="00D46740" w:rsidP="00160696">
      <w:pPr>
        <w:jc w:val="both"/>
        <w:rPr>
          <w:rFonts w:ascii="Times New Roman" w:hAnsi="Times New Roman" w:cs="Times New Roman"/>
        </w:rPr>
      </w:pPr>
      <w:r w:rsidRPr="00621883">
        <w:rPr>
          <w:rFonts w:ascii="Times New Roman" w:hAnsi="Times New Roman" w:cs="Times New Roman"/>
        </w:rPr>
        <w:t xml:space="preserve">The four women discussed in this article also </w:t>
      </w:r>
      <w:r w:rsidR="005666F2" w:rsidRPr="00621883">
        <w:rPr>
          <w:rFonts w:ascii="Times New Roman" w:hAnsi="Times New Roman" w:cs="Times New Roman"/>
        </w:rPr>
        <w:t>present, and represent,</w:t>
      </w:r>
      <w:r w:rsidRPr="00621883">
        <w:rPr>
          <w:rFonts w:ascii="Times New Roman" w:hAnsi="Times New Roman" w:cs="Times New Roman"/>
        </w:rPr>
        <w:t xml:space="preserve"> </w:t>
      </w:r>
      <w:r w:rsidR="005666F2" w:rsidRPr="00621883">
        <w:rPr>
          <w:rFonts w:ascii="Times New Roman" w:hAnsi="Times New Roman" w:cs="Times New Roman"/>
        </w:rPr>
        <w:t xml:space="preserve">a range of different </w:t>
      </w:r>
      <w:r w:rsidR="00CF7ED7" w:rsidRPr="00621883">
        <w:rPr>
          <w:rFonts w:ascii="Times New Roman" w:hAnsi="Times New Roman" w:cs="Times New Roman"/>
        </w:rPr>
        <w:t>scenarios</w:t>
      </w:r>
      <w:r w:rsidR="005666F2" w:rsidRPr="00621883">
        <w:rPr>
          <w:rFonts w:ascii="Times New Roman" w:hAnsi="Times New Roman" w:cs="Times New Roman"/>
        </w:rPr>
        <w:t xml:space="preserve"> of failed </w:t>
      </w:r>
      <w:r w:rsidR="00CF7ED7" w:rsidRPr="00621883">
        <w:rPr>
          <w:rFonts w:ascii="Times New Roman" w:hAnsi="Times New Roman" w:cs="Times New Roman"/>
        </w:rPr>
        <w:t xml:space="preserve">or feckless </w:t>
      </w:r>
      <w:r w:rsidR="005666F2" w:rsidRPr="00621883">
        <w:rPr>
          <w:rFonts w:ascii="Times New Roman" w:hAnsi="Times New Roman" w:cs="Times New Roman"/>
        </w:rPr>
        <w:t xml:space="preserve">motherhood. Folbigg, concealing her murders behind the screen of </w:t>
      </w:r>
      <w:r w:rsidRPr="00621883">
        <w:rPr>
          <w:rFonts w:ascii="Times New Roman" w:hAnsi="Times New Roman" w:cs="Times New Roman"/>
        </w:rPr>
        <w:t xml:space="preserve">multiple cot deaths, </w:t>
      </w:r>
      <w:r w:rsidR="0054715D">
        <w:rPr>
          <w:rFonts w:ascii="Times New Roman" w:hAnsi="Times New Roman" w:cs="Times New Roman"/>
        </w:rPr>
        <w:t>is perhaps the most reviled, w</w:t>
      </w:r>
      <w:r w:rsidR="005666F2" w:rsidRPr="00621883">
        <w:rPr>
          <w:rFonts w:ascii="Times New Roman" w:hAnsi="Times New Roman" w:cs="Times New Roman"/>
        </w:rPr>
        <w:t xml:space="preserve">hereas Lane’s conduct places her into a different category, and most closely resembles the traditional picture of an infanticide. </w:t>
      </w:r>
      <w:r w:rsidR="00CF7ED7" w:rsidRPr="00621883">
        <w:rPr>
          <w:rFonts w:ascii="Times New Roman" w:hAnsi="Times New Roman" w:cs="Times New Roman"/>
        </w:rPr>
        <w:t xml:space="preserve">In contrast to both of these we have </w:t>
      </w:r>
      <w:r w:rsidR="00124ACE">
        <w:rPr>
          <w:rFonts w:ascii="Times New Roman" w:hAnsi="Times New Roman" w:cs="Times New Roman"/>
        </w:rPr>
        <w:t xml:space="preserve">Rachel </w:t>
      </w:r>
      <w:r w:rsidRPr="00124ACE">
        <w:rPr>
          <w:rFonts w:ascii="Times New Roman" w:hAnsi="Times New Roman" w:cs="Times New Roman"/>
        </w:rPr>
        <w:t>Pfitzner</w:t>
      </w:r>
      <w:r w:rsidRPr="00621883">
        <w:rPr>
          <w:rFonts w:ascii="Times New Roman" w:hAnsi="Times New Roman" w:cs="Times New Roman"/>
        </w:rPr>
        <w:t xml:space="preserve"> and the unn</w:t>
      </w:r>
      <w:r w:rsidR="00414484" w:rsidRPr="00621883">
        <w:rPr>
          <w:rFonts w:ascii="Times New Roman" w:hAnsi="Times New Roman" w:cs="Times New Roman"/>
        </w:rPr>
        <w:t>amed mother of Ebony</w:t>
      </w:r>
      <w:r w:rsidR="00414484" w:rsidRPr="00621883">
        <w:rPr>
          <w:rFonts w:ascii="Times New Roman" w:hAnsi="Times New Roman" w:cs="Times New Roman"/>
        </w:rPr>
        <w:softHyphen/>
        <w:t>—</w:t>
      </w:r>
      <w:r w:rsidRPr="00621883">
        <w:rPr>
          <w:rFonts w:ascii="Times New Roman" w:hAnsi="Times New Roman" w:cs="Times New Roman"/>
        </w:rPr>
        <w:t xml:space="preserve">both parents whose children had come to the attention of </w:t>
      </w:r>
      <w:r w:rsidR="00CF7ED7" w:rsidRPr="00621883">
        <w:rPr>
          <w:rFonts w:ascii="Times New Roman" w:hAnsi="Times New Roman" w:cs="Times New Roman"/>
        </w:rPr>
        <w:t>the overstretch</w:t>
      </w:r>
      <w:r w:rsidR="00F2183A" w:rsidRPr="00621883">
        <w:rPr>
          <w:rFonts w:ascii="Times New Roman" w:hAnsi="Times New Roman" w:cs="Times New Roman"/>
        </w:rPr>
        <w:t xml:space="preserve">ed child welfare apparatus (including the </w:t>
      </w:r>
      <w:r w:rsidRPr="00621883">
        <w:rPr>
          <w:rFonts w:ascii="Times New Roman" w:hAnsi="Times New Roman" w:cs="Times New Roman"/>
        </w:rPr>
        <w:t>D</w:t>
      </w:r>
      <w:r w:rsidR="00CF7ED7" w:rsidRPr="00621883">
        <w:rPr>
          <w:rFonts w:ascii="Times New Roman" w:hAnsi="Times New Roman" w:cs="Times New Roman"/>
        </w:rPr>
        <w:t xml:space="preserve">epartment </w:t>
      </w:r>
      <w:r w:rsidR="00CF7ED7" w:rsidRPr="00621883">
        <w:rPr>
          <w:rFonts w:ascii="Times New Roman" w:hAnsi="Times New Roman" w:cs="Times New Roman"/>
        </w:rPr>
        <w:lastRenderedPageBreak/>
        <w:t>of Community Services</w:t>
      </w:r>
      <w:r w:rsidR="00EA2DC9" w:rsidRPr="00621883">
        <w:rPr>
          <w:rFonts w:ascii="Times New Roman" w:hAnsi="Times New Roman" w:cs="Times New Roman"/>
        </w:rPr>
        <w:t>)</w:t>
      </w:r>
      <w:r w:rsidR="00124ACE">
        <w:rPr>
          <w:rFonts w:ascii="Times New Roman" w:hAnsi="Times New Roman" w:cs="Times New Roman"/>
        </w:rPr>
        <w:t>,</w:t>
      </w:r>
      <w:r w:rsidR="00A41758" w:rsidRPr="00621883">
        <w:rPr>
          <w:rStyle w:val="FootnoteReference"/>
          <w:rFonts w:ascii="Times New Roman" w:hAnsi="Times New Roman" w:cs="Times New Roman"/>
        </w:rPr>
        <w:footnoteReference w:id="27"/>
      </w:r>
      <w:r w:rsidR="00124ACE">
        <w:rPr>
          <w:rFonts w:ascii="Times New Roman" w:hAnsi="Times New Roman" w:cs="Times New Roman"/>
        </w:rPr>
        <w:t xml:space="preserve"> </w:t>
      </w:r>
      <w:r w:rsidR="00A41758" w:rsidRPr="00621883">
        <w:rPr>
          <w:rFonts w:ascii="Times New Roman" w:hAnsi="Times New Roman" w:cs="Times New Roman"/>
        </w:rPr>
        <w:t>Pfitz</w:t>
      </w:r>
      <w:r w:rsidR="00124ACE">
        <w:rPr>
          <w:rFonts w:ascii="Times New Roman" w:hAnsi="Times New Roman" w:cs="Times New Roman"/>
        </w:rPr>
        <w:t>n</w:t>
      </w:r>
      <w:r w:rsidR="00A41758" w:rsidRPr="00621883">
        <w:rPr>
          <w:rFonts w:ascii="Times New Roman" w:hAnsi="Times New Roman" w:cs="Times New Roman"/>
        </w:rPr>
        <w:t xml:space="preserve">er’s case raising also the </w:t>
      </w:r>
      <w:r w:rsidRPr="00621883">
        <w:rPr>
          <w:rFonts w:ascii="Times New Roman" w:hAnsi="Times New Roman" w:cs="Times New Roman"/>
        </w:rPr>
        <w:t>added complexities of race</w:t>
      </w:r>
      <w:r w:rsidR="00BA490A" w:rsidRPr="00621883">
        <w:rPr>
          <w:rFonts w:ascii="Times New Roman" w:hAnsi="Times New Roman" w:cs="Times New Roman"/>
        </w:rPr>
        <w:t>,</w:t>
      </w:r>
      <w:r w:rsidRPr="00621883">
        <w:rPr>
          <w:rFonts w:ascii="Times New Roman" w:hAnsi="Times New Roman" w:cs="Times New Roman"/>
        </w:rPr>
        <w:t xml:space="preserve"> </w:t>
      </w:r>
      <w:r w:rsidR="00A41758" w:rsidRPr="00621883">
        <w:rPr>
          <w:rFonts w:ascii="Times New Roman" w:hAnsi="Times New Roman" w:cs="Times New Roman"/>
        </w:rPr>
        <w:t xml:space="preserve">involving as it did the </w:t>
      </w:r>
      <w:r w:rsidR="00BA490A" w:rsidRPr="00621883">
        <w:rPr>
          <w:rFonts w:ascii="Times New Roman" w:hAnsi="Times New Roman" w:cs="Times New Roman"/>
        </w:rPr>
        <w:t>death</w:t>
      </w:r>
      <w:r w:rsidR="00A41758" w:rsidRPr="00621883">
        <w:rPr>
          <w:rFonts w:ascii="Times New Roman" w:hAnsi="Times New Roman" w:cs="Times New Roman"/>
        </w:rPr>
        <w:t xml:space="preserve"> of an Aboriginal boy </w:t>
      </w:r>
      <w:r w:rsidR="00BA490A" w:rsidRPr="00621883">
        <w:rPr>
          <w:rFonts w:ascii="Times New Roman" w:hAnsi="Times New Roman" w:cs="Times New Roman"/>
        </w:rPr>
        <w:t>caused by</w:t>
      </w:r>
      <w:r w:rsidR="00A41758" w:rsidRPr="00621883">
        <w:rPr>
          <w:rFonts w:ascii="Times New Roman" w:hAnsi="Times New Roman" w:cs="Times New Roman"/>
        </w:rPr>
        <w:t xml:space="preserve"> his white </w:t>
      </w:r>
      <w:r w:rsidR="00217882" w:rsidRPr="00621883">
        <w:rPr>
          <w:rFonts w:ascii="Times New Roman" w:hAnsi="Times New Roman" w:cs="Times New Roman"/>
        </w:rPr>
        <w:t>mother</w:t>
      </w:r>
      <w:r w:rsidRPr="00621883">
        <w:rPr>
          <w:rFonts w:ascii="Times New Roman" w:hAnsi="Times New Roman" w:cs="Times New Roman"/>
        </w:rPr>
        <w:t xml:space="preserve">. It is perhaps worth noticing that </w:t>
      </w:r>
      <w:r w:rsidR="00414484" w:rsidRPr="00621883">
        <w:rPr>
          <w:rFonts w:ascii="Times New Roman" w:hAnsi="Times New Roman" w:cs="Times New Roman"/>
        </w:rPr>
        <w:t xml:space="preserve">with </w:t>
      </w:r>
      <w:r w:rsidR="00414484" w:rsidRPr="001F4A51">
        <w:rPr>
          <w:rFonts w:ascii="Times New Roman" w:hAnsi="Times New Roman" w:cs="Times New Roman"/>
          <w:i/>
        </w:rPr>
        <w:t>Folbigg</w:t>
      </w:r>
      <w:r w:rsidR="001F4A51">
        <w:rPr>
          <w:rFonts w:ascii="Times New Roman" w:hAnsi="Times New Roman" w:cs="Times New Roman"/>
        </w:rPr>
        <w:t>,</w:t>
      </w:r>
      <w:r w:rsidR="00414484" w:rsidRPr="00621883">
        <w:rPr>
          <w:rFonts w:ascii="Times New Roman" w:hAnsi="Times New Roman" w:cs="Times New Roman"/>
        </w:rPr>
        <w:t xml:space="preserve"> </w:t>
      </w:r>
      <w:r w:rsidRPr="00621883">
        <w:rPr>
          <w:rFonts w:ascii="Times New Roman" w:hAnsi="Times New Roman" w:cs="Times New Roman"/>
        </w:rPr>
        <w:t>the experts</w:t>
      </w:r>
      <w:r w:rsidR="00414484" w:rsidRPr="00621883">
        <w:rPr>
          <w:rFonts w:ascii="Times New Roman" w:hAnsi="Times New Roman" w:cs="Times New Roman"/>
        </w:rPr>
        <w:t xml:space="preserve"> (and ultimately the courts)</w:t>
      </w:r>
      <w:r w:rsidRPr="00621883">
        <w:rPr>
          <w:rFonts w:ascii="Times New Roman" w:hAnsi="Times New Roman" w:cs="Times New Roman"/>
        </w:rPr>
        <w:t xml:space="preserve"> were dealing with </w:t>
      </w:r>
      <w:r w:rsidR="00414484" w:rsidRPr="00621883">
        <w:rPr>
          <w:rFonts w:ascii="Times New Roman" w:hAnsi="Times New Roman" w:cs="Times New Roman"/>
        </w:rPr>
        <w:t xml:space="preserve">what they saw as </w:t>
      </w:r>
      <w:r w:rsidR="00124ACE">
        <w:rPr>
          <w:rFonts w:ascii="Times New Roman" w:hAnsi="Times New Roman" w:cs="Times New Roman"/>
        </w:rPr>
        <w:t>an exceptional case;</w:t>
      </w:r>
      <w:r w:rsidR="00414484" w:rsidRPr="00621883">
        <w:rPr>
          <w:rFonts w:ascii="Times New Roman" w:hAnsi="Times New Roman" w:cs="Times New Roman"/>
        </w:rPr>
        <w:t xml:space="preserve"> it was the very rarity of the four</w:t>
      </w:r>
      <w:r w:rsidRPr="00621883">
        <w:rPr>
          <w:rFonts w:ascii="Times New Roman" w:hAnsi="Times New Roman" w:cs="Times New Roman"/>
        </w:rPr>
        <w:t xml:space="preserve"> deaths in one family that, in a sense</w:t>
      </w:r>
      <w:r w:rsidR="00414484" w:rsidRPr="00621883">
        <w:rPr>
          <w:rFonts w:ascii="Times New Roman" w:hAnsi="Times New Roman" w:cs="Times New Roman"/>
        </w:rPr>
        <w:t xml:space="preserve"> and in the end</w:t>
      </w:r>
      <w:r w:rsidRPr="00621883">
        <w:rPr>
          <w:rFonts w:ascii="Times New Roman" w:hAnsi="Times New Roman" w:cs="Times New Roman"/>
        </w:rPr>
        <w:t>, raised the a</w:t>
      </w:r>
      <w:r w:rsidR="00414484" w:rsidRPr="00621883">
        <w:rPr>
          <w:rFonts w:ascii="Times New Roman" w:hAnsi="Times New Roman" w:cs="Times New Roman"/>
        </w:rPr>
        <w:t>larm.</w:t>
      </w:r>
      <w:r w:rsidR="00414484" w:rsidRPr="00621883">
        <w:rPr>
          <w:rStyle w:val="FootnoteReference"/>
          <w:rFonts w:ascii="Times New Roman" w:hAnsi="Times New Roman" w:cs="Times New Roman"/>
        </w:rPr>
        <w:footnoteReference w:id="28"/>
      </w:r>
      <w:r w:rsidR="00414484" w:rsidRPr="00621883">
        <w:rPr>
          <w:rFonts w:ascii="Times New Roman" w:hAnsi="Times New Roman" w:cs="Times New Roman"/>
        </w:rPr>
        <w:t xml:space="preserve"> But alongside, running as a counterpoint to cases such as </w:t>
      </w:r>
      <w:r w:rsidR="00414484" w:rsidRPr="001F4A51">
        <w:rPr>
          <w:rFonts w:ascii="Times New Roman" w:hAnsi="Times New Roman" w:cs="Times New Roman"/>
          <w:i/>
        </w:rPr>
        <w:t>Folbigg</w:t>
      </w:r>
      <w:r w:rsidR="00414484" w:rsidRPr="00621883">
        <w:rPr>
          <w:rFonts w:ascii="Times New Roman" w:hAnsi="Times New Roman" w:cs="Times New Roman"/>
        </w:rPr>
        <w:t xml:space="preserve">, </w:t>
      </w:r>
      <w:r w:rsidR="004A6C84" w:rsidRPr="00621883">
        <w:rPr>
          <w:rFonts w:ascii="Times New Roman" w:hAnsi="Times New Roman" w:cs="Times New Roman"/>
        </w:rPr>
        <w:t>there is that routine, heavily bureaucrat</w:t>
      </w:r>
      <w:r w:rsidR="00124ACE">
        <w:rPr>
          <w:rFonts w:ascii="Times New Roman" w:hAnsi="Times New Roman" w:cs="Times New Roman"/>
        </w:rPr>
        <w:t>is</w:t>
      </w:r>
      <w:r w:rsidR="004A6C84" w:rsidRPr="00621883">
        <w:rPr>
          <w:rFonts w:ascii="Times New Roman" w:hAnsi="Times New Roman" w:cs="Times New Roman"/>
        </w:rPr>
        <w:t xml:space="preserve">ed space of </w:t>
      </w:r>
      <w:r w:rsidRPr="00621883">
        <w:rPr>
          <w:rFonts w:ascii="Times New Roman" w:hAnsi="Times New Roman" w:cs="Times New Roman"/>
        </w:rPr>
        <w:t>child protection, risk assessments, welfare interventions</w:t>
      </w:r>
      <w:r w:rsidR="004A6C84" w:rsidRPr="00621883">
        <w:rPr>
          <w:rFonts w:ascii="Times New Roman" w:hAnsi="Times New Roman" w:cs="Times New Roman"/>
        </w:rPr>
        <w:t>, family</w:t>
      </w:r>
      <w:r w:rsidR="00F5494E" w:rsidRPr="00621883">
        <w:rPr>
          <w:rFonts w:ascii="Times New Roman" w:hAnsi="Times New Roman" w:cs="Times New Roman"/>
        </w:rPr>
        <w:t xml:space="preserve"> placements and child removals—</w:t>
      </w:r>
      <w:r w:rsidR="004A6C84" w:rsidRPr="00621883">
        <w:rPr>
          <w:rFonts w:ascii="Times New Roman" w:hAnsi="Times New Roman" w:cs="Times New Roman"/>
        </w:rPr>
        <w:t>the folk devils and moral panics of child welfare discourse that in Australia provoked the Northern Territory Intervention with its targeting of Aboriginal parents and families</w:t>
      </w:r>
      <w:r w:rsidR="00F5494E" w:rsidRPr="00621883">
        <w:rPr>
          <w:rStyle w:val="FootnoteReference"/>
          <w:rFonts w:ascii="Times New Roman" w:hAnsi="Times New Roman" w:cs="Times New Roman"/>
        </w:rPr>
        <w:footnoteReference w:id="29"/>
      </w:r>
      <w:r w:rsidR="00F5494E" w:rsidRPr="00621883">
        <w:rPr>
          <w:rFonts w:ascii="Times New Roman" w:hAnsi="Times New Roman" w:cs="Times New Roman"/>
        </w:rPr>
        <w:t>—</w:t>
      </w:r>
      <w:r w:rsidR="008F2C5B" w:rsidRPr="00621883">
        <w:rPr>
          <w:rFonts w:ascii="Times New Roman" w:hAnsi="Times New Roman" w:cs="Times New Roman"/>
        </w:rPr>
        <w:t xml:space="preserve">that operates as </w:t>
      </w:r>
      <w:r w:rsidR="00647BBA" w:rsidRPr="00621883">
        <w:rPr>
          <w:rFonts w:ascii="Times New Roman" w:hAnsi="Times New Roman" w:cs="Times New Roman"/>
        </w:rPr>
        <w:t xml:space="preserve">an echo chamber for the </w:t>
      </w:r>
      <w:r w:rsidR="008F2C5B" w:rsidRPr="00621883">
        <w:rPr>
          <w:rFonts w:ascii="Times New Roman" w:hAnsi="Times New Roman" w:cs="Times New Roman"/>
        </w:rPr>
        <w:t xml:space="preserve">apparently </w:t>
      </w:r>
      <w:r w:rsidRPr="00621883">
        <w:rPr>
          <w:rFonts w:ascii="Times New Roman" w:hAnsi="Times New Roman" w:cs="Times New Roman"/>
        </w:rPr>
        <w:t xml:space="preserve">disruptive, exceptional, spectacular </w:t>
      </w:r>
      <w:r w:rsidR="004A6C84" w:rsidRPr="00621883">
        <w:rPr>
          <w:rFonts w:ascii="Times New Roman" w:hAnsi="Times New Roman" w:cs="Times New Roman"/>
        </w:rPr>
        <w:t xml:space="preserve">criminal </w:t>
      </w:r>
      <w:r w:rsidRPr="00621883">
        <w:rPr>
          <w:rFonts w:ascii="Times New Roman" w:hAnsi="Times New Roman" w:cs="Times New Roman"/>
        </w:rPr>
        <w:t>case</w:t>
      </w:r>
      <w:r w:rsidR="00CB144B" w:rsidRPr="00621883">
        <w:rPr>
          <w:rFonts w:ascii="Times New Roman" w:hAnsi="Times New Roman" w:cs="Times New Roman"/>
        </w:rPr>
        <w:t xml:space="preserve"> of maternal filicide</w:t>
      </w:r>
      <w:r w:rsidRPr="00621883">
        <w:rPr>
          <w:rFonts w:ascii="Times New Roman" w:hAnsi="Times New Roman" w:cs="Times New Roman"/>
        </w:rPr>
        <w:t>.</w:t>
      </w:r>
    </w:p>
    <w:p w:rsidR="00D46740" w:rsidRPr="00621883" w:rsidRDefault="00D46740" w:rsidP="00AB4819">
      <w:pPr>
        <w:spacing w:line="276" w:lineRule="auto"/>
        <w:jc w:val="both"/>
        <w:rPr>
          <w:rFonts w:ascii="Times New Roman" w:hAnsi="Times New Roman" w:cs="Times New Roman"/>
        </w:rPr>
      </w:pPr>
    </w:p>
    <w:p w:rsidR="001F4A51" w:rsidRDefault="004327BF" w:rsidP="00AB4819">
      <w:pPr>
        <w:spacing w:line="276" w:lineRule="auto"/>
        <w:jc w:val="both"/>
        <w:rPr>
          <w:rFonts w:ascii="Times New Roman" w:hAnsi="Times New Roman" w:cs="Times New Roman"/>
        </w:rPr>
      </w:pPr>
      <w:r w:rsidRPr="00621883">
        <w:rPr>
          <w:rFonts w:ascii="Times New Roman" w:hAnsi="Times New Roman" w:cs="Times New Roman"/>
        </w:rPr>
        <w:t>And so,</w:t>
      </w:r>
      <w:r w:rsidR="00D46740" w:rsidRPr="00621883">
        <w:rPr>
          <w:rFonts w:ascii="Times New Roman" w:hAnsi="Times New Roman" w:cs="Times New Roman"/>
        </w:rPr>
        <w:t xml:space="preserve"> Emma’s book speaks of </w:t>
      </w:r>
      <w:r w:rsidR="00EA2DC9" w:rsidRPr="00621883">
        <w:rPr>
          <w:rFonts w:ascii="Times New Roman" w:hAnsi="Times New Roman" w:cs="Times New Roman"/>
        </w:rPr>
        <w:t>Folbigg’s</w:t>
      </w:r>
      <w:r w:rsidR="00D46740" w:rsidRPr="00621883">
        <w:rPr>
          <w:rFonts w:ascii="Times New Roman" w:hAnsi="Times New Roman" w:cs="Times New Roman"/>
        </w:rPr>
        <w:t xml:space="preserve"> case as </w:t>
      </w:r>
      <w:r w:rsidR="0069682A" w:rsidRPr="00621883">
        <w:rPr>
          <w:rFonts w:ascii="Times New Roman" w:hAnsi="Times New Roman" w:cs="Times New Roman"/>
        </w:rPr>
        <w:t>prov</w:t>
      </w:r>
      <w:r w:rsidR="00367A14" w:rsidRPr="00621883">
        <w:rPr>
          <w:rFonts w:ascii="Times New Roman" w:hAnsi="Times New Roman" w:cs="Times New Roman"/>
        </w:rPr>
        <w:t>i</w:t>
      </w:r>
      <w:r w:rsidR="0069682A" w:rsidRPr="00621883">
        <w:rPr>
          <w:rFonts w:ascii="Times New Roman" w:hAnsi="Times New Roman" w:cs="Times New Roman"/>
        </w:rPr>
        <w:t xml:space="preserve">ding us with </w:t>
      </w:r>
      <w:r w:rsidR="00EA2DC9" w:rsidRPr="00621883">
        <w:rPr>
          <w:rFonts w:ascii="Times New Roman" w:hAnsi="Times New Roman" w:cs="Times New Roman"/>
        </w:rPr>
        <w:t>what Fitizpatrick calls a ‘telling instance</w:t>
      </w:r>
      <w:r w:rsidR="00414484" w:rsidRPr="00621883">
        <w:rPr>
          <w:rFonts w:ascii="Times New Roman" w:hAnsi="Times New Roman" w:cs="Times New Roman"/>
        </w:rPr>
        <w:t>’. T</w:t>
      </w:r>
      <w:r w:rsidR="0069682A" w:rsidRPr="00621883">
        <w:rPr>
          <w:rFonts w:ascii="Times New Roman" w:hAnsi="Times New Roman" w:cs="Times New Roman"/>
        </w:rPr>
        <w:t xml:space="preserve">hat is to say </w:t>
      </w:r>
      <w:r w:rsidR="004A6C84" w:rsidRPr="00621883">
        <w:rPr>
          <w:rFonts w:ascii="Times New Roman" w:hAnsi="Times New Roman" w:cs="Times New Roman"/>
        </w:rPr>
        <w:t>we can read off the case</w:t>
      </w:r>
      <w:r w:rsidR="00414484" w:rsidRPr="00621883">
        <w:rPr>
          <w:rFonts w:ascii="Times New Roman" w:hAnsi="Times New Roman" w:cs="Times New Roman"/>
        </w:rPr>
        <w:t>, it allows us to see further, to see broader patterns</w:t>
      </w:r>
      <w:r w:rsidR="0069682A" w:rsidRPr="00621883">
        <w:rPr>
          <w:rFonts w:ascii="Times New Roman" w:hAnsi="Times New Roman" w:cs="Times New Roman"/>
        </w:rPr>
        <w:t>—</w:t>
      </w:r>
      <w:r w:rsidR="00414484" w:rsidRPr="00621883">
        <w:rPr>
          <w:rFonts w:ascii="Times New Roman" w:hAnsi="Times New Roman" w:cs="Times New Roman"/>
        </w:rPr>
        <w:t>and in these telling moments, the case itself c</w:t>
      </w:r>
      <w:r w:rsidR="009F5766" w:rsidRPr="00621883">
        <w:rPr>
          <w:rFonts w:ascii="Times New Roman" w:hAnsi="Times New Roman" w:cs="Times New Roman"/>
        </w:rPr>
        <w:t>an function b</w:t>
      </w:r>
      <w:r w:rsidR="00414484" w:rsidRPr="00621883">
        <w:rPr>
          <w:rFonts w:ascii="Times New Roman" w:hAnsi="Times New Roman" w:cs="Times New Roman"/>
        </w:rPr>
        <w:t>oth as evidence and as authority, it is both reflective and generative.</w:t>
      </w:r>
      <w:r w:rsidR="0069682A" w:rsidRPr="00621883">
        <w:rPr>
          <w:rFonts w:ascii="Times New Roman" w:hAnsi="Times New Roman" w:cs="Times New Roman"/>
        </w:rPr>
        <w:t xml:space="preserve"> I</w:t>
      </w:r>
      <w:r w:rsidR="00EA2DC9" w:rsidRPr="00621883">
        <w:rPr>
          <w:rFonts w:ascii="Times New Roman" w:hAnsi="Times New Roman" w:cs="Times New Roman"/>
        </w:rPr>
        <w:t xml:space="preserve">t </w:t>
      </w:r>
      <w:r w:rsidR="0069682A" w:rsidRPr="00621883">
        <w:rPr>
          <w:rFonts w:ascii="Times New Roman" w:hAnsi="Times New Roman" w:cs="Times New Roman"/>
        </w:rPr>
        <w:t xml:space="preserve">is a case that </w:t>
      </w:r>
      <w:r w:rsidR="009F5766" w:rsidRPr="00621883">
        <w:rPr>
          <w:rFonts w:ascii="Times New Roman" w:hAnsi="Times New Roman" w:cs="Times New Roman"/>
        </w:rPr>
        <w:t>can tell us about social expectations and constructions of moth</w:t>
      </w:r>
      <w:r w:rsidR="006726A4" w:rsidRPr="00621883">
        <w:rPr>
          <w:rFonts w:ascii="Times New Roman" w:hAnsi="Times New Roman" w:cs="Times New Roman"/>
        </w:rPr>
        <w:t>erhood (and indeed fatherhood) even as it reconstructs and reinforces them, and exposes particular vulnerabilities in the criminal justice system</w:t>
      </w:r>
      <w:r w:rsidR="00124ACE">
        <w:rPr>
          <w:rFonts w:ascii="Times New Roman" w:hAnsi="Times New Roman" w:cs="Times New Roman"/>
        </w:rPr>
        <w:t>,</w:t>
      </w:r>
      <w:r w:rsidR="006726A4" w:rsidRPr="00621883">
        <w:rPr>
          <w:rFonts w:ascii="Times New Roman" w:hAnsi="Times New Roman" w:cs="Times New Roman"/>
        </w:rPr>
        <w:t xml:space="preserve"> compounding what might otherwise be an ordinary failure to manage the expert forensic evidence.  </w:t>
      </w:r>
      <w:r w:rsidR="00520304" w:rsidRPr="00621883">
        <w:rPr>
          <w:rFonts w:ascii="Times New Roman" w:hAnsi="Times New Roman" w:cs="Times New Roman"/>
        </w:rPr>
        <w:t>Related to this and more familiar to me is</w:t>
      </w:r>
      <w:r w:rsidR="009F5766" w:rsidRPr="00621883">
        <w:rPr>
          <w:rFonts w:ascii="Times New Roman" w:hAnsi="Times New Roman" w:cs="Times New Roman"/>
        </w:rPr>
        <w:t xml:space="preserve"> </w:t>
      </w:r>
      <w:r w:rsidR="00520304" w:rsidRPr="00621883">
        <w:rPr>
          <w:rFonts w:ascii="Times New Roman" w:hAnsi="Times New Roman" w:cs="Times New Roman"/>
        </w:rPr>
        <w:t>Robert Ha</w:t>
      </w:r>
      <w:r w:rsidR="000B2DFF" w:rsidRPr="00621883">
        <w:rPr>
          <w:rFonts w:ascii="Times New Roman" w:hAnsi="Times New Roman" w:cs="Times New Roman"/>
        </w:rPr>
        <w:t>riman’s</w:t>
      </w:r>
      <w:r w:rsidR="006726A4" w:rsidRPr="00621883">
        <w:rPr>
          <w:rFonts w:ascii="Times New Roman" w:hAnsi="Times New Roman" w:cs="Times New Roman"/>
        </w:rPr>
        <w:t xml:space="preserve"> conception of a ‘popular trial’</w:t>
      </w:r>
      <w:r w:rsidR="009F5766" w:rsidRPr="00621883">
        <w:rPr>
          <w:rFonts w:ascii="Times New Roman" w:hAnsi="Times New Roman" w:cs="Times New Roman"/>
        </w:rPr>
        <w:t xml:space="preserve"> </w:t>
      </w:r>
      <w:r w:rsidR="006C3E58" w:rsidRPr="00621883">
        <w:rPr>
          <w:rFonts w:ascii="Times New Roman" w:hAnsi="Times New Roman" w:cs="Times New Roman"/>
        </w:rPr>
        <w:t xml:space="preserve">and also </w:t>
      </w:r>
      <w:r w:rsidR="000B2DFF" w:rsidRPr="00621883">
        <w:rPr>
          <w:rFonts w:ascii="Times New Roman" w:hAnsi="Times New Roman" w:cs="Times New Roman"/>
        </w:rPr>
        <w:t>Nancy Fraser’s analysi</w:t>
      </w:r>
      <w:r w:rsidR="006726A4" w:rsidRPr="00621883">
        <w:rPr>
          <w:rFonts w:ascii="Times New Roman" w:hAnsi="Times New Roman" w:cs="Times New Roman"/>
        </w:rPr>
        <w:t xml:space="preserve">s of moments of </w:t>
      </w:r>
      <w:r w:rsidR="006C3E58" w:rsidRPr="00621883">
        <w:rPr>
          <w:rFonts w:ascii="Times New Roman" w:hAnsi="Times New Roman" w:cs="Times New Roman"/>
        </w:rPr>
        <w:t xml:space="preserve">what she terms </w:t>
      </w:r>
      <w:r w:rsidR="006726A4" w:rsidRPr="00621883">
        <w:rPr>
          <w:rFonts w:ascii="Times New Roman" w:hAnsi="Times New Roman" w:cs="Times New Roman"/>
        </w:rPr>
        <w:t>‘hyperpublicity’.</w:t>
      </w:r>
      <w:r w:rsidR="006C1143" w:rsidRPr="00621883">
        <w:rPr>
          <w:rFonts w:ascii="Times New Roman" w:hAnsi="Times New Roman" w:cs="Times New Roman"/>
        </w:rPr>
        <w:t xml:space="preserve"> For Hariman </w:t>
      </w:r>
      <w:r w:rsidR="00E66428" w:rsidRPr="00621883">
        <w:rPr>
          <w:rFonts w:ascii="Times New Roman" w:hAnsi="Times New Roman" w:cs="Times New Roman"/>
        </w:rPr>
        <w:t xml:space="preserve">a popular trial </w:t>
      </w:r>
      <w:r w:rsidR="00BE2F26" w:rsidRPr="00621883">
        <w:rPr>
          <w:rFonts w:ascii="Times New Roman" w:hAnsi="Times New Roman" w:cs="Times New Roman"/>
        </w:rPr>
        <w:t>is a particular class of  ‘persuasive event’</w:t>
      </w:r>
      <w:r w:rsidR="006C1143" w:rsidRPr="00621883">
        <w:rPr>
          <w:rFonts w:ascii="Times New Roman" w:hAnsi="Times New Roman" w:cs="Times New Roman"/>
        </w:rPr>
        <w:t xml:space="preserve">, </w:t>
      </w:r>
      <w:r w:rsidR="00BE2F26" w:rsidRPr="00621883">
        <w:rPr>
          <w:rFonts w:ascii="Times New Roman" w:hAnsi="Times New Roman" w:cs="Times New Roman"/>
        </w:rPr>
        <w:t>a social performance of the law that functions to create social knowledge, perhaps even</w:t>
      </w:r>
      <w:r w:rsidR="00633BD7">
        <w:rPr>
          <w:rFonts w:ascii="Times New Roman" w:hAnsi="Times New Roman" w:cs="Times New Roman"/>
        </w:rPr>
        <w:t xml:space="preserve">, though not entirely </w:t>
      </w:r>
      <w:r w:rsidR="00E66428" w:rsidRPr="00621883">
        <w:rPr>
          <w:rFonts w:ascii="Times New Roman" w:hAnsi="Times New Roman" w:cs="Times New Roman"/>
        </w:rPr>
        <w:t xml:space="preserve">in the </w:t>
      </w:r>
      <w:r w:rsidR="00E66428" w:rsidRPr="00621883">
        <w:rPr>
          <w:rFonts w:ascii="Times New Roman" w:hAnsi="Times New Roman" w:cs="Times New Roman"/>
        </w:rPr>
        <w:lastRenderedPageBreak/>
        <w:t>old fashioned sense, ideologically.</w:t>
      </w:r>
      <w:r w:rsidR="00E66428" w:rsidRPr="00621883">
        <w:rPr>
          <w:rStyle w:val="FootnoteReference"/>
          <w:rFonts w:ascii="Times New Roman" w:hAnsi="Times New Roman" w:cs="Times New Roman"/>
        </w:rPr>
        <w:footnoteReference w:id="30"/>
      </w:r>
      <w:r w:rsidR="00E66428" w:rsidRPr="00621883">
        <w:rPr>
          <w:rFonts w:ascii="Times New Roman" w:hAnsi="Times New Roman" w:cs="Times New Roman"/>
        </w:rPr>
        <w:t xml:space="preserve"> For </w:t>
      </w:r>
      <w:r w:rsidR="006C1143" w:rsidRPr="00621883">
        <w:rPr>
          <w:rFonts w:ascii="Times New Roman" w:hAnsi="Times New Roman" w:cs="Times New Roman"/>
        </w:rPr>
        <w:t xml:space="preserve">Fraser, </w:t>
      </w:r>
      <w:r w:rsidR="006726A4" w:rsidRPr="00621883">
        <w:rPr>
          <w:rFonts w:ascii="Times New Roman" w:hAnsi="Times New Roman" w:cs="Times New Roman"/>
        </w:rPr>
        <w:t>these moments are e</w:t>
      </w:r>
      <w:r w:rsidR="000B2DFF" w:rsidRPr="00621883">
        <w:rPr>
          <w:rFonts w:ascii="Times New Roman" w:hAnsi="Times New Roman" w:cs="Times New Roman"/>
        </w:rPr>
        <w:t xml:space="preserve">vents </w:t>
      </w:r>
      <w:r w:rsidR="00124ACE">
        <w:rPr>
          <w:rFonts w:ascii="Times New Roman" w:hAnsi="Times New Roman" w:cs="Times New Roman"/>
        </w:rPr>
        <w:t>that break our routine, provoke wide</w:t>
      </w:r>
      <w:r w:rsidR="009F5766" w:rsidRPr="00621883">
        <w:rPr>
          <w:rFonts w:ascii="Times New Roman" w:hAnsi="Times New Roman" w:cs="Times New Roman"/>
        </w:rPr>
        <w:t>spread attention, and</w:t>
      </w:r>
      <w:r w:rsidR="000B2DFF" w:rsidRPr="00621883">
        <w:rPr>
          <w:rFonts w:ascii="Times New Roman" w:hAnsi="Times New Roman" w:cs="Times New Roman"/>
        </w:rPr>
        <w:t xml:space="preserve"> </w:t>
      </w:r>
      <w:r w:rsidR="006726A4" w:rsidRPr="00621883">
        <w:rPr>
          <w:rFonts w:ascii="Times New Roman" w:hAnsi="Times New Roman" w:cs="Times New Roman"/>
        </w:rPr>
        <w:t>cons</w:t>
      </w:r>
      <w:r w:rsidR="001F4A51">
        <w:rPr>
          <w:rFonts w:ascii="Times New Roman" w:hAnsi="Times New Roman" w:cs="Times New Roman"/>
        </w:rPr>
        <w:t>equently have, as she puts it, “great diagnostic value,” making visible the “</w:t>
      </w:r>
      <w:r w:rsidR="000B2DFF" w:rsidRPr="00621883">
        <w:rPr>
          <w:rFonts w:ascii="Times New Roman" w:hAnsi="Times New Roman" w:cs="Times New Roman"/>
        </w:rPr>
        <w:t>structures of inequality and practices of power th</w:t>
      </w:r>
      <w:r w:rsidR="00620EFC" w:rsidRPr="00621883">
        <w:rPr>
          <w:rFonts w:ascii="Times New Roman" w:hAnsi="Times New Roman" w:cs="Times New Roman"/>
        </w:rPr>
        <w:t>at deform public opinion making</w:t>
      </w:r>
      <w:r w:rsidR="000B2DFF" w:rsidRPr="00621883">
        <w:rPr>
          <w:rFonts w:ascii="Times New Roman" w:hAnsi="Times New Roman" w:cs="Times New Roman"/>
        </w:rPr>
        <w:t xml:space="preserve"> in ordinary times, less obtr</w:t>
      </w:r>
      <w:r w:rsidR="006726A4" w:rsidRPr="00621883">
        <w:rPr>
          <w:rFonts w:ascii="Times New Roman" w:hAnsi="Times New Roman" w:cs="Times New Roman"/>
        </w:rPr>
        <w:t>usively but more systematically</w:t>
      </w:r>
      <w:r w:rsidR="000B2DFF" w:rsidRPr="00621883">
        <w:rPr>
          <w:rFonts w:ascii="Times New Roman" w:hAnsi="Times New Roman" w:cs="Times New Roman"/>
        </w:rPr>
        <w:t>.</w:t>
      </w:r>
      <w:bookmarkStart w:id="9" w:name="_Ref226428212"/>
      <w:r w:rsidR="001F4A51">
        <w:rPr>
          <w:rFonts w:ascii="Times New Roman" w:hAnsi="Times New Roman" w:cs="Times New Roman"/>
        </w:rPr>
        <w:t>”</w:t>
      </w:r>
      <w:r w:rsidR="006726A4" w:rsidRPr="00621883">
        <w:rPr>
          <w:rStyle w:val="FootnoteReference"/>
          <w:rFonts w:ascii="Times New Roman" w:hAnsi="Times New Roman" w:cs="Times New Roman"/>
        </w:rPr>
        <w:footnoteReference w:id="31"/>
      </w:r>
      <w:bookmarkEnd w:id="9"/>
      <w:r w:rsidR="000B2DFF" w:rsidRPr="00621883">
        <w:rPr>
          <w:rFonts w:ascii="Times New Roman" w:hAnsi="Times New Roman" w:cs="Times New Roman"/>
        </w:rPr>
        <w:t xml:space="preserve"> </w:t>
      </w:r>
    </w:p>
    <w:p w:rsidR="001F4A51" w:rsidRDefault="001F4A51" w:rsidP="00AB4819">
      <w:pPr>
        <w:spacing w:line="276" w:lineRule="auto"/>
        <w:jc w:val="both"/>
        <w:rPr>
          <w:rFonts w:ascii="Times New Roman" w:hAnsi="Times New Roman" w:cs="Times New Roman"/>
        </w:rPr>
      </w:pPr>
    </w:p>
    <w:p w:rsidR="00777955" w:rsidRPr="00621883" w:rsidRDefault="006726A4" w:rsidP="00AB4819">
      <w:pPr>
        <w:spacing w:line="276" w:lineRule="auto"/>
        <w:jc w:val="both"/>
        <w:rPr>
          <w:rFonts w:ascii="Times New Roman" w:hAnsi="Times New Roman" w:cs="Times New Roman"/>
        </w:rPr>
      </w:pPr>
      <w:r w:rsidRPr="00621883">
        <w:rPr>
          <w:rFonts w:ascii="Times New Roman" w:hAnsi="Times New Roman" w:cs="Times New Roman"/>
        </w:rPr>
        <w:t xml:space="preserve">So </w:t>
      </w:r>
      <w:r w:rsidRPr="00621883">
        <w:rPr>
          <w:rFonts w:ascii="Times New Roman" w:hAnsi="Times New Roman" w:cs="Times New Roman"/>
          <w:i/>
        </w:rPr>
        <w:t>Folbigg</w:t>
      </w:r>
      <w:r w:rsidRPr="00621883">
        <w:rPr>
          <w:rFonts w:ascii="Times New Roman" w:hAnsi="Times New Roman" w:cs="Times New Roman"/>
        </w:rPr>
        <w:t xml:space="preserve"> can tell us much about the faith in and the failures of the adversarial criminal trial and forensic sciences</w:t>
      </w:r>
      <w:r w:rsidR="00620EFC" w:rsidRPr="00621883">
        <w:rPr>
          <w:rFonts w:ascii="Times New Roman" w:hAnsi="Times New Roman" w:cs="Times New Roman"/>
        </w:rPr>
        <w:t xml:space="preserve">, the structures and practices that function to impede public accountability mechanisms such as the criminal trial. And in this respect it is like other recent cases, such as </w:t>
      </w:r>
      <w:r w:rsidR="00620EFC" w:rsidRPr="00621883">
        <w:rPr>
          <w:rFonts w:ascii="Times New Roman" w:hAnsi="Times New Roman" w:cs="Times New Roman"/>
          <w:i/>
        </w:rPr>
        <w:t>Wood</w:t>
      </w:r>
      <w:r w:rsidR="00620EFC" w:rsidRPr="00621883">
        <w:rPr>
          <w:rFonts w:ascii="Times New Roman" w:hAnsi="Times New Roman" w:cs="Times New Roman"/>
        </w:rPr>
        <w:t xml:space="preserve"> and </w:t>
      </w:r>
      <w:r w:rsidR="00620EFC" w:rsidRPr="00621883">
        <w:rPr>
          <w:rFonts w:ascii="Times New Roman" w:hAnsi="Times New Roman" w:cs="Times New Roman"/>
          <w:i/>
        </w:rPr>
        <w:t>Gilham</w:t>
      </w:r>
      <w:r w:rsidR="00124ACE">
        <w:rPr>
          <w:rFonts w:ascii="Times New Roman" w:hAnsi="Times New Roman" w:cs="Times New Roman"/>
        </w:rPr>
        <w:t>. But taking Fitzpatrick, Har</w:t>
      </w:r>
      <w:r w:rsidR="00620EFC" w:rsidRPr="00621883">
        <w:rPr>
          <w:rFonts w:ascii="Times New Roman" w:hAnsi="Times New Roman" w:cs="Times New Roman"/>
        </w:rPr>
        <w:t xml:space="preserve">iman and Fraser’s framing a little further, </w:t>
      </w:r>
      <w:r w:rsidR="00124ACE">
        <w:rPr>
          <w:rFonts w:ascii="Times New Roman" w:hAnsi="Times New Roman" w:cs="Times New Roman"/>
        </w:rPr>
        <w:t xml:space="preserve">the </w:t>
      </w:r>
      <w:r w:rsidR="00F7491B" w:rsidRPr="00621883">
        <w:rPr>
          <w:rFonts w:ascii="Times New Roman" w:hAnsi="Times New Roman" w:cs="Times New Roman"/>
          <w:i/>
        </w:rPr>
        <w:t>Folbigg</w:t>
      </w:r>
      <w:r w:rsidR="00F7491B" w:rsidRPr="00621883">
        <w:rPr>
          <w:rFonts w:ascii="Times New Roman" w:hAnsi="Times New Roman" w:cs="Times New Roman"/>
        </w:rPr>
        <w:t xml:space="preserve"> </w:t>
      </w:r>
      <w:r w:rsidR="001F4A51">
        <w:rPr>
          <w:rFonts w:ascii="Times New Roman" w:hAnsi="Times New Roman" w:cs="Times New Roman"/>
        </w:rPr>
        <w:t xml:space="preserve">case </w:t>
      </w:r>
      <w:r w:rsidR="00F7491B" w:rsidRPr="00621883">
        <w:rPr>
          <w:rFonts w:ascii="Times New Roman" w:hAnsi="Times New Roman" w:cs="Times New Roman"/>
        </w:rPr>
        <w:t xml:space="preserve">can be </w:t>
      </w:r>
      <w:r w:rsidRPr="00621883">
        <w:rPr>
          <w:rFonts w:ascii="Times New Roman" w:hAnsi="Times New Roman" w:cs="Times New Roman"/>
        </w:rPr>
        <w:t xml:space="preserve">both aligned with, but also </w:t>
      </w:r>
      <w:r w:rsidR="00F7491B" w:rsidRPr="00621883">
        <w:rPr>
          <w:rFonts w:ascii="Times New Roman" w:hAnsi="Times New Roman" w:cs="Times New Roman"/>
        </w:rPr>
        <w:t xml:space="preserve">distinguished from, say </w:t>
      </w:r>
      <w:r w:rsidR="00F7491B" w:rsidRPr="00621883">
        <w:rPr>
          <w:rFonts w:ascii="Times New Roman" w:hAnsi="Times New Roman" w:cs="Times New Roman"/>
          <w:i/>
        </w:rPr>
        <w:t>Wood</w:t>
      </w:r>
      <w:r w:rsidR="00F7491B" w:rsidRPr="00621883">
        <w:rPr>
          <w:rFonts w:ascii="Times New Roman" w:hAnsi="Times New Roman" w:cs="Times New Roman"/>
        </w:rPr>
        <w:t xml:space="preserve"> and </w:t>
      </w:r>
      <w:r w:rsidR="00F7491B" w:rsidRPr="00621883">
        <w:rPr>
          <w:rFonts w:ascii="Times New Roman" w:hAnsi="Times New Roman" w:cs="Times New Roman"/>
          <w:i/>
        </w:rPr>
        <w:t>Gilham</w:t>
      </w:r>
      <w:r w:rsidRPr="00621883">
        <w:rPr>
          <w:rFonts w:ascii="Times New Roman" w:hAnsi="Times New Roman" w:cs="Times New Roman"/>
        </w:rPr>
        <w:t>.</w:t>
      </w:r>
      <w:r w:rsidR="00620EFC" w:rsidRPr="00621883">
        <w:rPr>
          <w:rFonts w:ascii="Times New Roman" w:hAnsi="Times New Roman" w:cs="Times New Roman"/>
        </w:rPr>
        <w:t xml:space="preserve"> B</w:t>
      </w:r>
      <w:r w:rsidR="005A712D" w:rsidRPr="00621883">
        <w:rPr>
          <w:rFonts w:ascii="Times New Roman" w:hAnsi="Times New Roman" w:cs="Times New Roman"/>
        </w:rPr>
        <w:t>ecause while</w:t>
      </w:r>
      <w:r w:rsidR="00F7491B" w:rsidRPr="00621883">
        <w:rPr>
          <w:rFonts w:ascii="Times New Roman" w:hAnsi="Times New Roman" w:cs="Times New Roman"/>
        </w:rPr>
        <w:t xml:space="preserve">, like </w:t>
      </w:r>
      <w:r w:rsidR="00F7491B" w:rsidRPr="00621883">
        <w:rPr>
          <w:rFonts w:ascii="Times New Roman" w:hAnsi="Times New Roman" w:cs="Times New Roman"/>
          <w:i/>
        </w:rPr>
        <w:t>Folbigg</w:t>
      </w:r>
      <w:r w:rsidR="00F7491B" w:rsidRPr="00621883">
        <w:rPr>
          <w:rFonts w:ascii="Times New Roman" w:hAnsi="Times New Roman" w:cs="Times New Roman"/>
        </w:rPr>
        <w:t xml:space="preserve">, </w:t>
      </w:r>
      <w:r w:rsidR="00620EFC" w:rsidRPr="00621883">
        <w:rPr>
          <w:rFonts w:ascii="Times New Roman" w:hAnsi="Times New Roman" w:cs="Times New Roman"/>
        </w:rPr>
        <w:t>these two cases can</w:t>
      </w:r>
      <w:r w:rsidR="005A712D" w:rsidRPr="00621883">
        <w:rPr>
          <w:rFonts w:ascii="Times New Roman" w:hAnsi="Times New Roman" w:cs="Times New Roman"/>
        </w:rPr>
        <w:t xml:space="preserve"> </w:t>
      </w:r>
      <w:r w:rsidR="00F7491B" w:rsidRPr="00621883">
        <w:rPr>
          <w:rFonts w:ascii="Times New Roman" w:hAnsi="Times New Roman" w:cs="Times New Roman"/>
        </w:rPr>
        <w:t xml:space="preserve">tell us much about the systematic failures of the criminal trial, </w:t>
      </w:r>
      <w:r w:rsidR="00620EFC" w:rsidRPr="00621883">
        <w:rPr>
          <w:rFonts w:ascii="Times New Roman" w:hAnsi="Times New Roman" w:cs="Times New Roman"/>
        </w:rPr>
        <w:t xml:space="preserve">about </w:t>
      </w:r>
      <w:r w:rsidR="00F7491B" w:rsidRPr="00621883">
        <w:rPr>
          <w:rFonts w:ascii="Times New Roman" w:hAnsi="Times New Roman" w:cs="Times New Roman"/>
        </w:rPr>
        <w:t xml:space="preserve">what can go wrong in even well resourced cases, </w:t>
      </w:r>
      <w:r w:rsidR="00620EFC" w:rsidRPr="00621883">
        <w:rPr>
          <w:rFonts w:ascii="Times New Roman" w:hAnsi="Times New Roman" w:cs="Times New Roman"/>
        </w:rPr>
        <w:t xml:space="preserve">or about </w:t>
      </w:r>
      <w:r w:rsidR="00F7491B" w:rsidRPr="00621883">
        <w:rPr>
          <w:rFonts w:ascii="Times New Roman" w:hAnsi="Times New Roman" w:cs="Times New Roman"/>
        </w:rPr>
        <w:t>the under</w:t>
      </w:r>
      <w:r w:rsidR="001F4A51">
        <w:rPr>
          <w:rFonts w:ascii="Times New Roman" w:hAnsi="Times New Roman" w:cs="Times New Roman"/>
        </w:rPr>
        <w:t>-</w:t>
      </w:r>
      <w:r w:rsidR="005A712D" w:rsidRPr="00621883">
        <w:rPr>
          <w:rFonts w:ascii="Times New Roman" w:hAnsi="Times New Roman" w:cs="Times New Roman"/>
        </w:rPr>
        <w:t xml:space="preserve">considered relationship between prosecutorial obligations and the use of incriminating expert evidence, and </w:t>
      </w:r>
      <w:r w:rsidR="0046623B" w:rsidRPr="00621883">
        <w:rPr>
          <w:rFonts w:ascii="Times New Roman" w:hAnsi="Times New Roman" w:cs="Times New Roman"/>
        </w:rPr>
        <w:t xml:space="preserve">they </w:t>
      </w:r>
      <w:r w:rsidR="005A712D" w:rsidRPr="00621883">
        <w:rPr>
          <w:rFonts w:ascii="Times New Roman" w:hAnsi="Times New Roman" w:cs="Times New Roman"/>
        </w:rPr>
        <w:t xml:space="preserve">are certainly </w:t>
      </w:r>
      <w:r w:rsidR="005A712D" w:rsidRPr="00126CC1">
        <w:rPr>
          <w:rFonts w:ascii="Times New Roman" w:hAnsi="Times New Roman" w:cs="Times New Roman"/>
          <w:i/>
        </w:rPr>
        <w:t>sensational</w:t>
      </w:r>
      <w:r w:rsidR="005A712D" w:rsidRPr="00621883">
        <w:rPr>
          <w:rFonts w:ascii="Times New Roman" w:hAnsi="Times New Roman" w:cs="Times New Roman"/>
        </w:rPr>
        <w:t xml:space="preserve"> cases, they are not </w:t>
      </w:r>
      <w:r w:rsidR="003F7CDA" w:rsidRPr="00621883">
        <w:rPr>
          <w:rFonts w:ascii="Times New Roman" w:hAnsi="Times New Roman" w:cs="Times New Roman"/>
        </w:rPr>
        <w:t>‘telling’</w:t>
      </w:r>
      <w:r w:rsidR="005A712D" w:rsidRPr="00621883">
        <w:rPr>
          <w:rFonts w:ascii="Times New Roman" w:hAnsi="Times New Roman" w:cs="Times New Roman"/>
        </w:rPr>
        <w:t xml:space="preserve"> in quite the same way.</w:t>
      </w:r>
      <w:r w:rsidR="00777955" w:rsidRPr="00621883">
        <w:rPr>
          <w:rFonts w:ascii="Times New Roman" w:hAnsi="Times New Roman" w:cs="Times New Roman"/>
        </w:rPr>
        <w:t xml:space="preserve"> </w:t>
      </w:r>
      <w:r w:rsidR="00F7491B" w:rsidRPr="00621883">
        <w:rPr>
          <w:rFonts w:ascii="Times New Roman" w:hAnsi="Times New Roman" w:cs="Times New Roman"/>
        </w:rPr>
        <w:t>Emma’s book is special</w:t>
      </w:r>
      <w:r w:rsidR="00C77B2E" w:rsidRPr="00621883">
        <w:rPr>
          <w:rFonts w:ascii="Times New Roman" w:hAnsi="Times New Roman" w:cs="Times New Roman"/>
        </w:rPr>
        <w:t>,</w:t>
      </w:r>
      <w:r w:rsidR="00F7491B" w:rsidRPr="00621883">
        <w:rPr>
          <w:rFonts w:ascii="Times New Roman" w:hAnsi="Times New Roman" w:cs="Times New Roman"/>
        </w:rPr>
        <w:t xml:space="preserve"> I think, because she manages to show how </w:t>
      </w:r>
      <w:r w:rsidR="00B0158A" w:rsidRPr="00621883">
        <w:rPr>
          <w:rFonts w:ascii="Times New Roman" w:hAnsi="Times New Roman" w:cs="Times New Roman"/>
        </w:rPr>
        <w:t>Folbigg’s</w:t>
      </w:r>
      <w:r w:rsidR="00F7491B" w:rsidRPr="00621883">
        <w:rPr>
          <w:rFonts w:ascii="Times New Roman" w:hAnsi="Times New Roman" w:cs="Times New Roman"/>
        </w:rPr>
        <w:t xml:space="preserve"> case is </w:t>
      </w:r>
      <w:r w:rsidR="005A712D" w:rsidRPr="00621883">
        <w:rPr>
          <w:rFonts w:ascii="Times New Roman" w:hAnsi="Times New Roman" w:cs="Times New Roman"/>
        </w:rPr>
        <w:t xml:space="preserve">telling in the Fizpatrick </w:t>
      </w:r>
      <w:r w:rsidR="009F743A" w:rsidRPr="00621883">
        <w:rPr>
          <w:rFonts w:ascii="Times New Roman" w:hAnsi="Times New Roman" w:cs="Times New Roman"/>
        </w:rPr>
        <w:t>sense</w:t>
      </w:r>
      <w:r w:rsidR="005A712D" w:rsidRPr="00621883">
        <w:rPr>
          <w:rFonts w:ascii="Times New Roman" w:hAnsi="Times New Roman" w:cs="Times New Roman"/>
        </w:rPr>
        <w:t xml:space="preserve">, </w:t>
      </w:r>
      <w:r w:rsidR="009F743A" w:rsidRPr="00621883">
        <w:rPr>
          <w:rFonts w:ascii="Times New Roman" w:hAnsi="Times New Roman" w:cs="Times New Roman"/>
        </w:rPr>
        <w:t xml:space="preserve">popular on Hariman’s terms, </w:t>
      </w:r>
      <w:r w:rsidR="00B0158A" w:rsidRPr="00621883">
        <w:rPr>
          <w:rFonts w:ascii="Times New Roman" w:hAnsi="Times New Roman" w:cs="Times New Roman"/>
        </w:rPr>
        <w:t xml:space="preserve">and </w:t>
      </w:r>
      <w:r w:rsidR="00F7491B" w:rsidRPr="00621883">
        <w:rPr>
          <w:rFonts w:ascii="Times New Roman" w:hAnsi="Times New Roman" w:cs="Times New Roman"/>
        </w:rPr>
        <w:t>diagnostic in the Fraser sense</w:t>
      </w:r>
      <w:r w:rsidR="00B0158A" w:rsidRPr="00621883">
        <w:rPr>
          <w:rFonts w:ascii="Times New Roman" w:hAnsi="Times New Roman" w:cs="Times New Roman"/>
        </w:rPr>
        <w:t xml:space="preserve">. Most clearly in these terms, Emma charts what this case </w:t>
      </w:r>
      <w:r w:rsidR="00E97417" w:rsidRPr="00621883">
        <w:rPr>
          <w:rFonts w:ascii="Times New Roman" w:hAnsi="Times New Roman" w:cs="Times New Roman"/>
        </w:rPr>
        <w:t xml:space="preserve">can tell us </w:t>
      </w:r>
      <w:r w:rsidR="009F743A" w:rsidRPr="00621883">
        <w:rPr>
          <w:rFonts w:ascii="Times New Roman" w:hAnsi="Times New Roman" w:cs="Times New Roman"/>
        </w:rPr>
        <w:t>about ideologies of motherhood—</w:t>
      </w:r>
      <w:r w:rsidR="00E97417" w:rsidRPr="00621883">
        <w:rPr>
          <w:rFonts w:ascii="Times New Roman" w:hAnsi="Times New Roman" w:cs="Times New Roman"/>
        </w:rPr>
        <w:t>as well as historical</w:t>
      </w:r>
      <w:r w:rsidR="00656359" w:rsidRPr="00621883">
        <w:rPr>
          <w:rFonts w:ascii="Times New Roman" w:hAnsi="Times New Roman" w:cs="Times New Roman"/>
        </w:rPr>
        <w:t xml:space="preserve"> and current discourses of</w:t>
      </w:r>
      <w:r w:rsidR="00E97417" w:rsidRPr="00621883">
        <w:rPr>
          <w:rFonts w:ascii="Times New Roman" w:hAnsi="Times New Roman" w:cs="Times New Roman"/>
        </w:rPr>
        <w:t xml:space="preserve"> women</w:t>
      </w:r>
      <w:r w:rsidR="009F743A" w:rsidRPr="00621883">
        <w:rPr>
          <w:rFonts w:ascii="Times New Roman" w:hAnsi="Times New Roman" w:cs="Times New Roman"/>
        </w:rPr>
        <w:t xml:space="preserve">, criminality and violence—as it also </w:t>
      </w:r>
      <w:r w:rsidR="00656359" w:rsidRPr="00621883">
        <w:rPr>
          <w:rFonts w:ascii="Times New Roman" w:hAnsi="Times New Roman" w:cs="Times New Roman"/>
        </w:rPr>
        <w:t xml:space="preserve">hints at </w:t>
      </w:r>
      <w:r w:rsidR="00126CC1">
        <w:rPr>
          <w:rFonts w:ascii="Times New Roman" w:hAnsi="Times New Roman" w:cs="Times New Roman"/>
        </w:rPr>
        <w:t>the relevance of ‘post</w:t>
      </w:r>
      <w:r w:rsidR="00E97417" w:rsidRPr="00621883">
        <w:rPr>
          <w:rFonts w:ascii="Times New Roman" w:hAnsi="Times New Roman" w:cs="Times New Roman"/>
        </w:rPr>
        <w:t>feminism’ as</w:t>
      </w:r>
      <w:r w:rsidR="009F743A" w:rsidRPr="00621883">
        <w:rPr>
          <w:rFonts w:ascii="Times New Roman" w:hAnsi="Times New Roman" w:cs="Times New Roman"/>
        </w:rPr>
        <w:t xml:space="preserve"> a complicating cross-narrative</w:t>
      </w:r>
      <w:r w:rsidR="00E97417" w:rsidRPr="00621883">
        <w:rPr>
          <w:rFonts w:ascii="Times New Roman" w:hAnsi="Times New Roman" w:cs="Times New Roman"/>
        </w:rPr>
        <w:t>.</w:t>
      </w:r>
      <w:r w:rsidR="003F7CDA" w:rsidRPr="00621883">
        <w:rPr>
          <w:rFonts w:ascii="Times New Roman" w:hAnsi="Times New Roman" w:cs="Times New Roman"/>
        </w:rPr>
        <w:t xml:space="preserve"> And, as I discuss further below, it manages to combine this with a careful, pragmatic account of how courts could do better when faced</w:t>
      </w:r>
      <w:r w:rsidR="00111BD2" w:rsidRPr="00621883">
        <w:rPr>
          <w:rFonts w:ascii="Times New Roman" w:hAnsi="Times New Roman" w:cs="Times New Roman"/>
        </w:rPr>
        <w:t xml:space="preserve">, as they </w:t>
      </w:r>
      <w:r w:rsidR="00037078" w:rsidRPr="00621883">
        <w:rPr>
          <w:rFonts w:ascii="Times New Roman" w:hAnsi="Times New Roman" w:cs="Times New Roman"/>
        </w:rPr>
        <w:t>will inevitably be, with conflicting</w:t>
      </w:r>
      <w:r w:rsidR="003F7CDA" w:rsidRPr="00621883">
        <w:rPr>
          <w:rFonts w:ascii="Times New Roman" w:hAnsi="Times New Roman" w:cs="Times New Roman"/>
        </w:rPr>
        <w:t xml:space="preserve"> or uncertain forensic evidence, particularly in situations where such evidence is especially vulnerable to </w:t>
      </w:r>
      <w:r w:rsidR="00C77B2E" w:rsidRPr="00621883">
        <w:rPr>
          <w:rFonts w:ascii="Times New Roman" w:hAnsi="Times New Roman" w:cs="Times New Roman"/>
        </w:rPr>
        <w:t xml:space="preserve">an </w:t>
      </w:r>
      <w:r w:rsidR="006C6A0A" w:rsidRPr="00621883">
        <w:rPr>
          <w:rFonts w:ascii="Times New Roman" w:hAnsi="Times New Roman" w:cs="Times New Roman"/>
        </w:rPr>
        <w:t xml:space="preserve">insidious form of </w:t>
      </w:r>
      <w:r w:rsidR="008A5920" w:rsidRPr="00621883">
        <w:rPr>
          <w:rFonts w:ascii="Times New Roman" w:hAnsi="Times New Roman" w:cs="Times New Roman"/>
        </w:rPr>
        <w:t>co</w:t>
      </w:r>
      <w:r w:rsidR="003F7CDA" w:rsidRPr="00621883">
        <w:rPr>
          <w:rFonts w:ascii="Times New Roman" w:hAnsi="Times New Roman" w:cs="Times New Roman"/>
        </w:rPr>
        <w:t>production.</w:t>
      </w:r>
      <w:r w:rsidR="009F743A" w:rsidRPr="00621883">
        <w:rPr>
          <w:rStyle w:val="FootnoteReference"/>
          <w:rFonts w:ascii="Times New Roman" w:hAnsi="Times New Roman" w:cs="Times New Roman"/>
        </w:rPr>
        <w:footnoteReference w:id="32"/>
      </w:r>
    </w:p>
    <w:p w:rsidR="00777955" w:rsidRPr="00621883" w:rsidRDefault="00777955" w:rsidP="00AB4819">
      <w:pPr>
        <w:spacing w:line="276" w:lineRule="auto"/>
        <w:jc w:val="both"/>
        <w:rPr>
          <w:rFonts w:ascii="Times New Roman" w:hAnsi="Times New Roman" w:cs="Times New Roman"/>
        </w:rPr>
      </w:pPr>
    </w:p>
    <w:p w:rsidR="00126A93" w:rsidRDefault="00777955" w:rsidP="00AB4819">
      <w:pPr>
        <w:spacing w:line="276" w:lineRule="auto"/>
        <w:jc w:val="both"/>
        <w:rPr>
          <w:rFonts w:ascii="Times New Roman" w:hAnsi="Times New Roman" w:cs="Times New Roman"/>
        </w:rPr>
      </w:pPr>
      <w:r w:rsidRPr="00621883">
        <w:rPr>
          <w:rFonts w:ascii="Times New Roman" w:hAnsi="Times New Roman" w:cs="Times New Roman"/>
        </w:rPr>
        <w:t xml:space="preserve">But </w:t>
      </w:r>
      <w:r w:rsidR="00353F6C" w:rsidRPr="00621883">
        <w:rPr>
          <w:rFonts w:ascii="Times New Roman" w:hAnsi="Times New Roman" w:cs="Times New Roman"/>
        </w:rPr>
        <w:t xml:space="preserve">turning </w:t>
      </w:r>
      <w:r w:rsidR="00C77B2E" w:rsidRPr="00621883">
        <w:rPr>
          <w:rFonts w:ascii="Times New Roman" w:hAnsi="Times New Roman" w:cs="Times New Roman"/>
        </w:rPr>
        <w:t>first</w:t>
      </w:r>
      <w:r w:rsidR="00353F6C" w:rsidRPr="00621883">
        <w:rPr>
          <w:rFonts w:ascii="Times New Roman" w:hAnsi="Times New Roman" w:cs="Times New Roman"/>
        </w:rPr>
        <w:t xml:space="preserve"> to what Emma’s </w:t>
      </w:r>
      <w:r w:rsidR="00583F64" w:rsidRPr="00621883">
        <w:rPr>
          <w:rFonts w:ascii="Times New Roman" w:hAnsi="Times New Roman" w:cs="Times New Roman"/>
        </w:rPr>
        <w:t>account tell</w:t>
      </w:r>
      <w:r w:rsidRPr="00621883">
        <w:rPr>
          <w:rFonts w:ascii="Times New Roman" w:hAnsi="Times New Roman" w:cs="Times New Roman"/>
        </w:rPr>
        <w:t>s</w:t>
      </w:r>
      <w:r w:rsidR="00583F64" w:rsidRPr="00621883">
        <w:rPr>
          <w:rFonts w:ascii="Times New Roman" w:hAnsi="Times New Roman" w:cs="Times New Roman"/>
        </w:rPr>
        <w:t xml:space="preserve"> us about </w:t>
      </w:r>
      <w:r w:rsidR="00126A93">
        <w:rPr>
          <w:rFonts w:ascii="Times New Roman" w:hAnsi="Times New Roman" w:cs="Times New Roman"/>
        </w:rPr>
        <w:t>how</w:t>
      </w:r>
      <w:r w:rsidR="00583F64" w:rsidRPr="00621883">
        <w:rPr>
          <w:rFonts w:ascii="Times New Roman" w:hAnsi="Times New Roman" w:cs="Times New Roman"/>
        </w:rPr>
        <w:t xml:space="preserve"> the trial</w:t>
      </w:r>
      <w:r w:rsidR="00353F6C" w:rsidRPr="00621883">
        <w:rPr>
          <w:rFonts w:ascii="Times New Roman" w:hAnsi="Times New Roman" w:cs="Times New Roman"/>
        </w:rPr>
        <w:t xml:space="preserve"> and indeed the appeals</w:t>
      </w:r>
      <w:r w:rsidR="00583F64" w:rsidRPr="00621883">
        <w:rPr>
          <w:rFonts w:ascii="Times New Roman" w:hAnsi="Times New Roman" w:cs="Times New Roman"/>
        </w:rPr>
        <w:t xml:space="preserve">, </w:t>
      </w:r>
      <w:r w:rsidR="00353F6C" w:rsidRPr="00621883">
        <w:rPr>
          <w:rFonts w:ascii="Times New Roman" w:hAnsi="Times New Roman" w:cs="Times New Roman"/>
        </w:rPr>
        <w:t>constructed</w:t>
      </w:r>
      <w:r w:rsidR="00AB7A77" w:rsidRPr="00621883">
        <w:rPr>
          <w:rFonts w:ascii="Times New Roman" w:hAnsi="Times New Roman" w:cs="Times New Roman"/>
        </w:rPr>
        <w:t xml:space="preserve"> and </w:t>
      </w:r>
      <w:r w:rsidR="00583F64" w:rsidRPr="00621883">
        <w:rPr>
          <w:rFonts w:ascii="Times New Roman" w:hAnsi="Times New Roman" w:cs="Times New Roman"/>
        </w:rPr>
        <w:t>flatten</w:t>
      </w:r>
      <w:r w:rsidR="00353F6C" w:rsidRPr="00621883">
        <w:rPr>
          <w:rFonts w:ascii="Times New Roman" w:hAnsi="Times New Roman" w:cs="Times New Roman"/>
        </w:rPr>
        <w:t>ed</w:t>
      </w:r>
      <w:r w:rsidR="00583F64" w:rsidRPr="00621883">
        <w:rPr>
          <w:rFonts w:ascii="Times New Roman" w:hAnsi="Times New Roman" w:cs="Times New Roman"/>
        </w:rPr>
        <w:t xml:space="preserve"> out Fo</w:t>
      </w:r>
      <w:r w:rsidR="00126A93">
        <w:rPr>
          <w:rFonts w:ascii="Times New Roman" w:hAnsi="Times New Roman" w:cs="Times New Roman"/>
        </w:rPr>
        <w:t>l</w:t>
      </w:r>
      <w:r w:rsidR="00583F64" w:rsidRPr="00621883">
        <w:rPr>
          <w:rFonts w:ascii="Times New Roman" w:hAnsi="Times New Roman" w:cs="Times New Roman"/>
        </w:rPr>
        <w:t>bigg’s experience of mothering</w:t>
      </w:r>
      <w:r w:rsidR="00AB7A77" w:rsidRPr="00621883">
        <w:rPr>
          <w:rFonts w:ascii="Times New Roman" w:hAnsi="Times New Roman" w:cs="Times New Roman"/>
        </w:rPr>
        <w:t>,</w:t>
      </w:r>
      <w:r w:rsidR="00124ACE">
        <w:rPr>
          <w:rFonts w:ascii="Times New Roman" w:hAnsi="Times New Roman" w:cs="Times New Roman"/>
        </w:rPr>
        <w:t xml:space="preserve"> in such a</w:t>
      </w:r>
      <w:r w:rsidR="00583F64" w:rsidRPr="00621883">
        <w:rPr>
          <w:rFonts w:ascii="Times New Roman" w:hAnsi="Times New Roman" w:cs="Times New Roman"/>
        </w:rPr>
        <w:t xml:space="preserve"> way as to provide, in the absence of definitive, reliable evidence that could point to how her children died, and in the face of significant known </w:t>
      </w:r>
      <w:r w:rsidR="00583F64" w:rsidRPr="00621883">
        <w:rPr>
          <w:rFonts w:ascii="Times New Roman" w:hAnsi="Times New Roman" w:cs="Times New Roman"/>
          <w:i/>
        </w:rPr>
        <w:t>challenge</w:t>
      </w:r>
      <w:r w:rsidR="00672BB5" w:rsidRPr="00621883">
        <w:rPr>
          <w:rFonts w:ascii="Times New Roman" w:hAnsi="Times New Roman" w:cs="Times New Roman"/>
          <w:i/>
        </w:rPr>
        <w:t>s</w:t>
      </w:r>
      <w:r w:rsidR="00583F64" w:rsidRPr="00621883">
        <w:rPr>
          <w:rFonts w:ascii="Times New Roman" w:hAnsi="Times New Roman" w:cs="Times New Roman"/>
        </w:rPr>
        <w:t xml:space="preserve"> in overse</w:t>
      </w:r>
      <w:r w:rsidR="00672BB5" w:rsidRPr="00621883">
        <w:rPr>
          <w:rFonts w:ascii="Times New Roman" w:hAnsi="Times New Roman" w:cs="Times New Roman"/>
        </w:rPr>
        <w:t>as jurisdictions to the use of ‘coincidence’</w:t>
      </w:r>
      <w:r w:rsidR="00126A93">
        <w:rPr>
          <w:rFonts w:ascii="Times New Roman" w:hAnsi="Times New Roman" w:cs="Times New Roman"/>
        </w:rPr>
        <w:t>,</w:t>
      </w:r>
      <w:r w:rsidR="00F67B39" w:rsidRPr="00621883">
        <w:rPr>
          <w:rFonts w:ascii="Times New Roman" w:hAnsi="Times New Roman" w:cs="Times New Roman"/>
        </w:rPr>
        <w:t xml:space="preserve"> evidence</w:t>
      </w:r>
      <w:r w:rsidR="00672BB5" w:rsidRPr="00621883">
        <w:rPr>
          <w:rFonts w:ascii="Times New Roman" w:hAnsi="Times New Roman" w:cs="Times New Roman"/>
        </w:rPr>
        <w:t xml:space="preserve"> </w:t>
      </w:r>
      <w:r w:rsidR="00583F64" w:rsidRPr="00621883">
        <w:rPr>
          <w:rFonts w:ascii="Times New Roman" w:hAnsi="Times New Roman" w:cs="Times New Roman"/>
        </w:rPr>
        <w:t>that relied on the pattern of four unexplained deaths as an indicia of murder, proof of guilt.</w:t>
      </w:r>
      <w:bookmarkStart w:id="10" w:name="_Ref225051557"/>
      <w:r w:rsidR="009D0EB5" w:rsidRPr="00621883">
        <w:rPr>
          <w:rStyle w:val="FootnoteReference"/>
          <w:rFonts w:ascii="Times New Roman" w:hAnsi="Times New Roman" w:cs="Times New Roman"/>
        </w:rPr>
        <w:footnoteReference w:id="33"/>
      </w:r>
      <w:bookmarkEnd w:id="10"/>
      <w:r w:rsidR="00583F64" w:rsidRPr="00621883">
        <w:rPr>
          <w:rFonts w:ascii="Times New Roman" w:hAnsi="Times New Roman" w:cs="Times New Roman"/>
        </w:rPr>
        <w:t xml:space="preserve"> </w:t>
      </w:r>
      <w:r w:rsidR="00E0040F" w:rsidRPr="00621883">
        <w:rPr>
          <w:rFonts w:ascii="Times New Roman" w:hAnsi="Times New Roman" w:cs="Times New Roman"/>
        </w:rPr>
        <w:t>In this respect the use of Folbigg’s diaries was critical, but more than this, the nar</w:t>
      </w:r>
      <w:r w:rsidR="009D0EB5" w:rsidRPr="00621883">
        <w:rPr>
          <w:rFonts w:ascii="Times New Roman" w:hAnsi="Times New Roman" w:cs="Times New Roman"/>
        </w:rPr>
        <w:t xml:space="preserve">rative constructed by Tedeschi, </w:t>
      </w:r>
      <w:r w:rsidR="00E0040F" w:rsidRPr="00621883">
        <w:rPr>
          <w:rFonts w:ascii="Times New Roman" w:hAnsi="Times New Roman" w:cs="Times New Roman"/>
        </w:rPr>
        <w:t>elements of which were repeated</w:t>
      </w:r>
      <w:r w:rsidR="009D0EB5" w:rsidRPr="00621883">
        <w:rPr>
          <w:rFonts w:ascii="Times New Roman" w:hAnsi="Times New Roman" w:cs="Times New Roman"/>
        </w:rPr>
        <w:t xml:space="preserve"> in the case against Keli Lane, </w:t>
      </w:r>
      <w:r w:rsidR="00E0040F" w:rsidRPr="00621883">
        <w:rPr>
          <w:rFonts w:ascii="Times New Roman" w:hAnsi="Times New Roman" w:cs="Times New Roman"/>
        </w:rPr>
        <w:t>managed to create a situation where every action by Folbigg was able to be constructed as suspicious, leaving her, and her defence, very little room to move when it came to countering what became an apparently overwhelming</w:t>
      </w:r>
      <w:r w:rsidR="00962E26" w:rsidRPr="00621883">
        <w:rPr>
          <w:rFonts w:ascii="Times New Roman" w:hAnsi="Times New Roman" w:cs="Times New Roman"/>
        </w:rPr>
        <w:t xml:space="preserve"> case.</w:t>
      </w:r>
      <w:r w:rsidR="00E0040F" w:rsidRPr="00621883">
        <w:rPr>
          <w:rFonts w:ascii="Times New Roman" w:hAnsi="Times New Roman" w:cs="Times New Roman"/>
        </w:rPr>
        <w:t xml:space="preserve"> </w:t>
      </w:r>
    </w:p>
    <w:p w:rsidR="00126A93" w:rsidRDefault="00126A93" w:rsidP="00AB4819">
      <w:pPr>
        <w:spacing w:line="276" w:lineRule="auto"/>
        <w:jc w:val="both"/>
        <w:rPr>
          <w:rFonts w:ascii="Times New Roman" w:hAnsi="Times New Roman" w:cs="Times New Roman"/>
        </w:rPr>
      </w:pPr>
    </w:p>
    <w:p w:rsidR="002B7917" w:rsidRPr="00621883" w:rsidRDefault="00962E26" w:rsidP="00AB4819">
      <w:pPr>
        <w:spacing w:line="276" w:lineRule="auto"/>
        <w:jc w:val="both"/>
        <w:rPr>
          <w:rFonts w:ascii="Times New Roman" w:hAnsi="Times New Roman" w:cs="Times New Roman"/>
        </w:rPr>
      </w:pPr>
      <w:r w:rsidRPr="00621883">
        <w:rPr>
          <w:rFonts w:ascii="Times New Roman" w:hAnsi="Times New Roman" w:cs="Times New Roman"/>
        </w:rPr>
        <w:t>To begin, and in the context of the admissibility rules that governed the (joint) trial, there are significant cross-overs between thinking about the rules of evidence and thinking about the gendered narratives running through the case</w:t>
      </w:r>
      <w:r w:rsidR="00126A93">
        <w:rPr>
          <w:rFonts w:ascii="Times New Roman" w:hAnsi="Times New Roman" w:cs="Times New Roman"/>
        </w:rPr>
        <w:t>, p</w:t>
      </w:r>
      <w:r w:rsidRPr="00621883">
        <w:rPr>
          <w:rFonts w:ascii="Times New Roman" w:hAnsi="Times New Roman" w:cs="Times New Roman"/>
        </w:rPr>
        <w:t>erhaps most significant being the way in which the Crown manag</w:t>
      </w:r>
      <w:r w:rsidR="00C771F5" w:rsidRPr="00621883">
        <w:rPr>
          <w:rFonts w:ascii="Times New Roman" w:hAnsi="Times New Roman" w:cs="Times New Roman"/>
        </w:rPr>
        <w:t>ed to use the coincidence rules not only as the conceptual framework for thinking about the (damning) significance of the four unexplained deaths, but also, and equally as damaging, as the means of</w:t>
      </w:r>
      <w:r w:rsidRPr="00621883">
        <w:rPr>
          <w:rFonts w:ascii="Times New Roman" w:hAnsi="Times New Roman" w:cs="Times New Roman"/>
        </w:rPr>
        <w:t xml:space="preserve"> render</w:t>
      </w:r>
      <w:r w:rsidR="00C771F5" w:rsidRPr="00621883">
        <w:rPr>
          <w:rFonts w:ascii="Times New Roman" w:hAnsi="Times New Roman" w:cs="Times New Roman"/>
        </w:rPr>
        <w:t>ing</w:t>
      </w:r>
      <w:r w:rsidRPr="00621883">
        <w:rPr>
          <w:rFonts w:ascii="Times New Roman" w:hAnsi="Times New Roman" w:cs="Times New Roman"/>
        </w:rPr>
        <w:t xml:space="preserve"> the </w:t>
      </w:r>
      <w:r w:rsidR="00F67B39" w:rsidRPr="00621883">
        <w:rPr>
          <w:rFonts w:ascii="Times New Roman" w:hAnsi="Times New Roman" w:cs="Times New Roman"/>
        </w:rPr>
        <w:t>largely</w:t>
      </w:r>
      <w:r w:rsidRPr="00621883">
        <w:rPr>
          <w:rFonts w:ascii="Times New Roman" w:hAnsi="Times New Roman" w:cs="Times New Roman"/>
        </w:rPr>
        <w:t xml:space="preserve"> inevitable consequences of the gendered division of labour </w:t>
      </w:r>
      <w:r w:rsidRPr="00621883">
        <w:rPr>
          <w:rFonts w:ascii="Times New Roman" w:hAnsi="Times New Roman" w:cs="Times New Roman"/>
        </w:rPr>
        <w:lastRenderedPageBreak/>
        <w:t>within t</w:t>
      </w:r>
      <w:r w:rsidR="002B7917" w:rsidRPr="00621883">
        <w:rPr>
          <w:rFonts w:ascii="Times New Roman" w:hAnsi="Times New Roman" w:cs="Times New Roman"/>
        </w:rPr>
        <w:t xml:space="preserve">he Folbigg household </w:t>
      </w:r>
      <w:r w:rsidR="00F67B39" w:rsidRPr="00621883">
        <w:rPr>
          <w:rFonts w:ascii="Times New Roman" w:hAnsi="Times New Roman" w:cs="Times New Roman"/>
        </w:rPr>
        <w:t xml:space="preserve">as </w:t>
      </w:r>
      <w:r w:rsidR="009B4D29" w:rsidRPr="00621883">
        <w:rPr>
          <w:rFonts w:ascii="Times New Roman" w:hAnsi="Times New Roman" w:cs="Times New Roman"/>
        </w:rPr>
        <w:t xml:space="preserve">suspicious. </w:t>
      </w:r>
      <w:r w:rsidR="004E6AA5" w:rsidRPr="00621883">
        <w:rPr>
          <w:rFonts w:ascii="Times New Roman" w:hAnsi="Times New Roman" w:cs="Times New Roman"/>
        </w:rPr>
        <w:t xml:space="preserve">As Emma tracks in detail, </w:t>
      </w:r>
      <w:r w:rsidR="002B7917" w:rsidRPr="00621883">
        <w:rPr>
          <w:rFonts w:ascii="Times New Roman" w:hAnsi="Times New Roman" w:cs="Times New Roman"/>
        </w:rPr>
        <w:t>the list of similarities</w:t>
      </w:r>
      <w:r w:rsidR="00C771F5" w:rsidRPr="00621883">
        <w:rPr>
          <w:rFonts w:ascii="Times New Roman" w:hAnsi="Times New Roman" w:cs="Times New Roman"/>
        </w:rPr>
        <w:t xml:space="preserve"> </w:t>
      </w:r>
      <w:r w:rsidR="004E6AA5" w:rsidRPr="00621883">
        <w:rPr>
          <w:rFonts w:ascii="Times New Roman" w:hAnsi="Times New Roman" w:cs="Times New Roman"/>
        </w:rPr>
        <w:t xml:space="preserve">relied on </w:t>
      </w:r>
      <w:r w:rsidR="00C0462F">
        <w:rPr>
          <w:rFonts w:ascii="Times New Roman" w:hAnsi="Times New Roman" w:cs="Times New Roman"/>
        </w:rPr>
        <w:t>to show that the evidence had “</w:t>
      </w:r>
      <w:r w:rsidR="00822AD8" w:rsidRPr="00621883">
        <w:rPr>
          <w:rFonts w:ascii="Times New Roman" w:hAnsi="Times New Roman" w:cs="Times New Roman"/>
        </w:rPr>
        <w:t>significant</w:t>
      </w:r>
      <w:r w:rsidR="00BF3A77" w:rsidRPr="00621883">
        <w:rPr>
          <w:rFonts w:ascii="Times New Roman" w:hAnsi="Times New Roman" w:cs="Times New Roman"/>
        </w:rPr>
        <w:t xml:space="preserve"> probative v</w:t>
      </w:r>
      <w:r w:rsidR="00C0462F">
        <w:rPr>
          <w:rFonts w:ascii="Times New Roman" w:hAnsi="Times New Roman" w:cs="Times New Roman"/>
        </w:rPr>
        <w:t>alue”</w:t>
      </w:r>
      <w:r w:rsidR="00BF3A77" w:rsidRPr="00621883">
        <w:rPr>
          <w:rFonts w:ascii="Times New Roman" w:hAnsi="Times New Roman" w:cs="Times New Roman"/>
        </w:rPr>
        <w:t xml:space="preserve"> such that it could be used to determine</w:t>
      </w:r>
      <w:r w:rsidR="00C771F5" w:rsidRPr="00621883">
        <w:rPr>
          <w:rFonts w:ascii="Times New Roman" w:hAnsi="Times New Roman" w:cs="Times New Roman"/>
        </w:rPr>
        <w:t xml:space="preserve"> whether Folbigg had killed the children</w:t>
      </w:r>
      <w:r w:rsidR="004E6AA5" w:rsidRPr="00621883">
        <w:rPr>
          <w:rFonts w:ascii="Times New Roman" w:hAnsi="Times New Roman" w:cs="Times New Roman"/>
        </w:rPr>
        <w:t xml:space="preserve"> included</w:t>
      </w:r>
      <w:r w:rsidR="002B7917" w:rsidRPr="00621883">
        <w:rPr>
          <w:rFonts w:ascii="Times New Roman" w:hAnsi="Times New Roman" w:cs="Times New Roman"/>
        </w:rPr>
        <w:t>:</w:t>
      </w:r>
    </w:p>
    <w:p w:rsidR="002B7917" w:rsidRPr="00621883" w:rsidRDefault="002B7917" w:rsidP="00AB4819">
      <w:pPr>
        <w:spacing w:line="276" w:lineRule="auto"/>
        <w:jc w:val="both"/>
        <w:rPr>
          <w:rFonts w:ascii="Times New Roman" w:hAnsi="Times New Roman" w:cs="Times New Roman"/>
        </w:rPr>
      </w:pPr>
    </w:p>
    <w:p w:rsidR="009C31FE" w:rsidRPr="00621883" w:rsidRDefault="004E6AA5" w:rsidP="00AB4819">
      <w:pPr>
        <w:widowControl w:val="0"/>
        <w:autoSpaceDE w:val="0"/>
        <w:autoSpaceDN w:val="0"/>
        <w:adjustRightInd w:val="0"/>
        <w:spacing w:after="320"/>
        <w:ind w:left="720"/>
        <w:jc w:val="both"/>
        <w:rPr>
          <w:rFonts w:ascii="Times New Roman" w:hAnsi="Times New Roman" w:cs="Times New Roman"/>
          <w:sz w:val="22"/>
          <w:szCs w:val="22"/>
        </w:rPr>
      </w:pPr>
      <w:r w:rsidRPr="00621883">
        <w:rPr>
          <w:rFonts w:ascii="Times New Roman" w:hAnsi="Times New Roman" w:cs="Times New Roman"/>
          <w:i/>
          <w:iCs/>
          <w:sz w:val="22"/>
          <w:szCs w:val="22"/>
        </w:rPr>
        <w:t xml:space="preserve"> </w:t>
      </w:r>
      <w:r w:rsidR="009C31FE" w:rsidRPr="00621883">
        <w:rPr>
          <w:rFonts w:ascii="Times New Roman" w:hAnsi="Times New Roman" w:cs="Times New Roman"/>
          <w:i/>
          <w:iCs/>
          <w:sz w:val="22"/>
          <w:szCs w:val="22"/>
        </w:rPr>
        <w:t>(iii) each death occurred in the child's own cot or bed;</w:t>
      </w:r>
    </w:p>
    <w:p w:rsidR="009C31FE" w:rsidRPr="00621883" w:rsidRDefault="009C31FE" w:rsidP="00AB4819">
      <w:pPr>
        <w:widowControl w:val="0"/>
        <w:autoSpaceDE w:val="0"/>
        <w:autoSpaceDN w:val="0"/>
        <w:adjustRightInd w:val="0"/>
        <w:spacing w:after="320"/>
        <w:ind w:left="720"/>
        <w:jc w:val="both"/>
        <w:rPr>
          <w:rFonts w:ascii="Times New Roman" w:hAnsi="Times New Roman" w:cs="Times New Roman"/>
          <w:sz w:val="22"/>
          <w:szCs w:val="22"/>
        </w:rPr>
      </w:pPr>
      <w:r w:rsidRPr="00621883">
        <w:rPr>
          <w:rFonts w:ascii="Times New Roman" w:hAnsi="Times New Roman" w:cs="Times New Roman"/>
          <w:i/>
          <w:iCs/>
          <w:sz w:val="22"/>
          <w:szCs w:val="22"/>
        </w:rPr>
        <w:t>(iv) each death or ALTE occurred during a sleep period;</w:t>
      </w:r>
    </w:p>
    <w:p w:rsidR="009C31FE" w:rsidRPr="00621883" w:rsidRDefault="009C31FE" w:rsidP="00AB4819">
      <w:pPr>
        <w:widowControl w:val="0"/>
        <w:autoSpaceDE w:val="0"/>
        <w:autoSpaceDN w:val="0"/>
        <w:adjustRightInd w:val="0"/>
        <w:spacing w:after="320"/>
        <w:ind w:left="720"/>
        <w:jc w:val="both"/>
        <w:rPr>
          <w:rFonts w:ascii="Times New Roman" w:hAnsi="Times New Roman" w:cs="Times New Roman"/>
          <w:sz w:val="22"/>
          <w:szCs w:val="22"/>
        </w:rPr>
      </w:pPr>
      <w:r w:rsidRPr="00621883">
        <w:rPr>
          <w:rFonts w:ascii="Times New Roman" w:hAnsi="Times New Roman" w:cs="Times New Roman"/>
          <w:i/>
          <w:iCs/>
          <w:sz w:val="22"/>
          <w:szCs w:val="22"/>
        </w:rPr>
        <w:t>(v) each child was last seen alive by the accused;</w:t>
      </w:r>
    </w:p>
    <w:p w:rsidR="009C31FE" w:rsidRPr="00621883" w:rsidRDefault="009C31FE" w:rsidP="00AB4819">
      <w:pPr>
        <w:widowControl w:val="0"/>
        <w:autoSpaceDE w:val="0"/>
        <w:autoSpaceDN w:val="0"/>
        <w:adjustRightInd w:val="0"/>
        <w:spacing w:after="320"/>
        <w:ind w:left="720"/>
        <w:jc w:val="both"/>
        <w:rPr>
          <w:rFonts w:ascii="Times New Roman" w:hAnsi="Times New Roman" w:cs="Times New Roman"/>
          <w:sz w:val="22"/>
          <w:szCs w:val="22"/>
        </w:rPr>
      </w:pPr>
      <w:r w:rsidRPr="00621883">
        <w:rPr>
          <w:rFonts w:ascii="Times New Roman" w:hAnsi="Times New Roman" w:cs="Times New Roman"/>
          <w:i/>
          <w:iCs/>
          <w:sz w:val="22"/>
          <w:szCs w:val="22"/>
        </w:rPr>
        <w:t>(vi) each child was found not breathing by the accused, and in relation to those who died in the night, she claimed to have observed from a distance, and in the dark, that they had stopped breathing;</w:t>
      </w:r>
    </w:p>
    <w:p w:rsidR="009C31FE" w:rsidRPr="00621883" w:rsidRDefault="009C31FE" w:rsidP="00AB4819">
      <w:pPr>
        <w:widowControl w:val="0"/>
        <w:autoSpaceDE w:val="0"/>
        <w:autoSpaceDN w:val="0"/>
        <w:adjustRightInd w:val="0"/>
        <w:spacing w:after="320"/>
        <w:ind w:left="720"/>
        <w:jc w:val="both"/>
        <w:rPr>
          <w:rFonts w:ascii="Times New Roman" w:hAnsi="Times New Roman" w:cs="Times New Roman"/>
          <w:sz w:val="22"/>
          <w:szCs w:val="22"/>
        </w:rPr>
      </w:pPr>
      <w:r w:rsidRPr="00621883">
        <w:rPr>
          <w:rFonts w:ascii="Times New Roman" w:hAnsi="Times New Roman" w:cs="Times New Roman"/>
          <w:i/>
          <w:iCs/>
          <w:sz w:val="22"/>
          <w:szCs w:val="22"/>
        </w:rPr>
        <w:t>(vii) only the accused was awake or present at the time when each child was found dead or not breathing;</w:t>
      </w:r>
    </w:p>
    <w:p w:rsidR="009C31FE" w:rsidRPr="00621883" w:rsidRDefault="009C31FE" w:rsidP="00AB4819">
      <w:pPr>
        <w:widowControl w:val="0"/>
        <w:autoSpaceDE w:val="0"/>
        <w:autoSpaceDN w:val="0"/>
        <w:adjustRightInd w:val="0"/>
        <w:spacing w:after="320"/>
        <w:ind w:left="720"/>
        <w:jc w:val="both"/>
        <w:rPr>
          <w:rFonts w:ascii="Times New Roman" w:hAnsi="Times New Roman" w:cs="Times New Roman"/>
          <w:sz w:val="22"/>
          <w:szCs w:val="22"/>
        </w:rPr>
      </w:pPr>
      <w:r w:rsidRPr="00621883">
        <w:rPr>
          <w:rFonts w:ascii="Times New Roman" w:hAnsi="Times New Roman" w:cs="Times New Roman"/>
          <w:i/>
          <w:iCs/>
          <w:sz w:val="22"/>
          <w:szCs w:val="22"/>
        </w:rPr>
        <w:t>(viii) there was, in each case, a short interval between the time when the child was last claimed to have been seen alive by the accused, and the time when he or she was found lifeless or not breathing properly;</w:t>
      </w:r>
    </w:p>
    <w:p w:rsidR="009C31FE" w:rsidRPr="00621883" w:rsidRDefault="009C31FE" w:rsidP="00AB4819">
      <w:pPr>
        <w:widowControl w:val="0"/>
        <w:autoSpaceDE w:val="0"/>
        <w:autoSpaceDN w:val="0"/>
        <w:adjustRightInd w:val="0"/>
        <w:spacing w:after="320"/>
        <w:ind w:left="720"/>
        <w:jc w:val="both"/>
        <w:rPr>
          <w:rFonts w:ascii="Times New Roman" w:hAnsi="Times New Roman" w:cs="Times New Roman"/>
          <w:sz w:val="22"/>
          <w:szCs w:val="22"/>
        </w:rPr>
      </w:pPr>
      <w:r w:rsidRPr="00621883">
        <w:rPr>
          <w:rFonts w:ascii="Times New Roman" w:hAnsi="Times New Roman" w:cs="Times New Roman"/>
          <w:i/>
          <w:iCs/>
          <w:sz w:val="22"/>
          <w:szCs w:val="22"/>
        </w:rPr>
        <w:t>(ix) in relation to the children who died in their cots or had an ALTE in the night, the accused had got up to go to the toilet, and in some cases had returned to bed, before getting up again and sounding the alarm;</w:t>
      </w:r>
    </w:p>
    <w:p w:rsidR="002B7917" w:rsidRPr="00621883" w:rsidRDefault="009C31FE" w:rsidP="00AB4819">
      <w:pPr>
        <w:widowControl w:val="0"/>
        <w:autoSpaceDE w:val="0"/>
        <w:autoSpaceDN w:val="0"/>
        <w:adjustRightInd w:val="0"/>
        <w:spacing w:after="320"/>
        <w:ind w:left="720"/>
        <w:jc w:val="both"/>
        <w:rPr>
          <w:rFonts w:ascii="Times New Roman" w:hAnsi="Times New Roman" w:cs="Times New Roman"/>
          <w:sz w:val="22"/>
          <w:szCs w:val="22"/>
        </w:rPr>
      </w:pPr>
      <w:r w:rsidRPr="00621883">
        <w:rPr>
          <w:rFonts w:ascii="Times New Roman" w:hAnsi="Times New Roman" w:cs="Times New Roman"/>
          <w:i/>
          <w:iCs/>
          <w:sz w:val="22"/>
          <w:szCs w:val="22"/>
        </w:rPr>
        <w:t>(x) the accused had failed to pick up or attempt to resuscitate any of the children after the discovery of his or her death or cessation of breathing (subject to her claim to have done so in relation to Laura);</w:t>
      </w:r>
      <w:r w:rsidR="007C57F8" w:rsidRPr="00621883">
        <w:rPr>
          <w:rFonts w:ascii="Times New Roman" w:hAnsi="Times New Roman" w:cs="Times New Roman"/>
          <w:i/>
          <w:iCs/>
          <w:sz w:val="22"/>
          <w:szCs w:val="22"/>
        </w:rPr>
        <w:t>…</w:t>
      </w:r>
      <w:r w:rsidR="003B6A97" w:rsidRPr="00621883">
        <w:rPr>
          <w:rStyle w:val="FootnoteReference"/>
          <w:rFonts w:ascii="Times New Roman" w:hAnsi="Times New Roman" w:cs="Times New Roman"/>
        </w:rPr>
        <w:footnoteReference w:id="34"/>
      </w:r>
    </w:p>
    <w:p w:rsidR="00962E26" w:rsidRPr="00621883" w:rsidRDefault="009C31FE" w:rsidP="00AB4819">
      <w:pPr>
        <w:spacing w:line="276" w:lineRule="auto"/>
        <w:jc w:val="both"/>
        <w:rPr>
          <w:rFonts w:ascii="Times New Roman" w:hAnsi="Times New Roman" w:cs="Times New Roman"/>
        </w:rPr>
      </w:pPr>
      <w:r w:rsidRPr="00621883">
        <w:rPr>
          <w:rFonts w:ascii="Times New Roman" w:hAnsi="Times New Roman" w:cs="Times New Roman"/>
        </w:rPr>
        <w:t xml:space="preserve">Of particular note here </w:t>
      </w:r>
      <w:r w:rsidR="002C0A0A" w:rsidRPr="00621883">
        <w:rPr>
          <w:rFonts w:ascii="Times New Roman" w:hAnsi="Times New Roman" w:cs="Times New Roman"/>
        </w:rPr>
        <w:t xml:space="preserve">is the attempt to read </w:t>
      </w:r>
      <w:r w:rsidR="005F389D" w:rsidRPr="00621883">
        <w:rPr>
          <w:rFonts w:ascii="Times New Roman" w:hAnsi="Times New Roman" w:cs="Times New Roman"/>
        </w:rPr>
        <w:t xml:space="preserve">something significant in terms of the probative value </w:t>
      </w:r>
      <w:r w:rsidR="002C0A0A" w:rsidRPr="00621883">
        <w:rPr>
          <w:rFonts w:ascii="Times New Roman" w:hAnsi="Times New Roman" w:cs="Times New Roman"/>
        </w:rPr>
        <w:t xml:space="preserve">into the fact that it was Folbigg who was getting up at night, and who thus was the parent who raised the alarm.  </w:t>
      </w:r>
      <w:r w:rsidR="00052EA0" w:rsidRPr="00621883">
        <w:rPr>
          <w:rFonts w:ascii="Times New Roman" w:hAnsi="Times New Roman" w:cs="Times New Roman"/>
        </w:rPr>
        <w:t>Tedeschi’s success in framing care as suspect i</w:t>
      </w:r>
      <w:r w:rsidR="00124ACE">
        <w:rPr>
          <w:rFonts w:ascii="Times New Roman" w:hAnsi="Times New Roman" w:cs="Times New Roman"/>
        </w:rPr>
        <w:t>s apparent when you consider the</w:t>
      </w:r>
      <w:r w:rsidR="00052EA0" w:rsidRPr="00621883">
        <w:rPr>
          <w:rFonts w:ascii="Times New Roman" w:hAnsi="Times New Roman" w:cs="Times New Roman"/>
        </w:rPr>
        <w:t xml:space="preserve"> extraordinary language he uses in describing Folbigg finding her children dead after checking on them while getting up </w:t>
      </w:r>
      <w:r w:rsidR="00052EA0" w:rsidRPr="00621883">
        <w:rPr>
          <w:rFonts w:ascii="Times New Roman" w:hAnsi="Times New Roman" w:cs="Times New Roman"/>
        </w:rPr>
        <w:lastRenderedPageBreak/>
        <w:t xml:space="preserve">to go to the toilet. As Emma recounts, he first expresses disbelief that a sleep deprived mother would </w:t>
      </w:r>
      <w:r w:rsidR="00E9255D">
        <w:rPr>
          <w:rFonts w:ascii="Times New Roman" w:hAnsi="Times New Roman" w:cs="Times New Roman"/>
        </w:rPr>
        <w:t>(</w:t>
      </w:r>
      <w:r w:rsidR="00052EA0" w:rsidRPr="00621883">
        <w:rPr>
          <w:rFonts w:ascii="Times New Roman" w:hAnsi="Times New Roman" w:cs="Times New Roman"/>
        </w:rPr>
        <w:t>need to</w:t>
      </w:r>
      <w:r w:rsidR="00E9255D">
        <w:rPr>
          <w:rFonts w:ascii="Times New Roman" w:hAnsi="Times New Roman" w:cs="Times New Roman"/>
        </w:rPr>
        <w:t>)</w:t>
      </w:r>
      <w:r w:rsidR="00052EA0" w:rsidRPr="00621883">
        <w:rPr>
          <w:rFonts w:ascii="Times New Roman" w:hAnsi="Times New Roman" w:cs="Times New Roman"/>
        </w:rPr>
        <w:t xml:space="preserve"> get up to go to the toilet during the night, and then goes on to</w:t>
      </w:r>
      <w:r w:rsidR="00840C67" w:rsidRPr="00621883">
        <w:rPr>
          <w:rFonts w:ascii="Times New Roman" w:hAnsi="Times New Roman" w:cs="Times New Roman"/>
        </w:rPr>
        <w:t xml:space="preserve"> say, in his closing add</w:t>
      </w:r>
      <w:r w:rsidR="00126CC1">
        <w:rPr>
          <w:rFonts w:ascii="Times New Roman" w:hAnsi="Times New Roman" w:cs="Times New Roman"/>
        </w:rPr>
        <w:t>ress,  “</w:t>
      </w:r>
      <w:r w:rsidR="00052EA0" w:rsidRPr="00621883">
        <w:rPr>
          <w:rFonts w:ascii="Times New Roman" w:hAnsi="Times New Roman" w:cs="Times New Roman"/>
        </w:rPr>
        <w:t>her going to the toilet was very dangerous for these children. … Gosh you’d be te</w:t>
      </w:r>
      <w:r w:rsidR="00126CC1">
        <w:rPr>
          <w:rFonts w:ascii="Times New Roman" w:hAnsi="Times New Roman" w:cs="Times New Roman"/>
        </w:rPr>
        <w:t>lling her not to check on them.”</w:t>
      </w:r>
      <w:r w:rsidR="00052EA0" w:rsidRPr="00621883">
        <w:rPr>
          <w:rFonts w:ascii="Times New Roman" w:hAnsi="Times New Roman" w:cs="Times New Roman"/>
        </w:rPr>
        <w:t xml:space="preserve"> And a</w:t>
      </w:r>
      <w:r w:rsidR="002B7917" w:rsidRPr="00621883">
        <w:rPr>
          <w:rFonts w:ascii="Times New Roman" w:hAnsi="Times New Roman" w:cs="Times New Roman"/>
        </w:rPr>
        <w:t xml:space="preserve">s </w:t>
      </w:r>
      <w:r w:rsidR="007C57F8" w:rsidRPr="00621883">
        <w:rPr>
          <w:rFonts w:ascii="Times New Roman" w:hAnsi="Times New Roman" w:cs="Times New Roman"/>
        </w:rPr>
        <w:t xml:space="preserve">Emma emphasises, what </w:t>
      </w:r>
      <w:r w:rsidR="002B7917" w:rsidRPr="00621883">
        <w:rPr>
          <w:rFonts w:ascii="Times New Roman" w:hAnsi="Times New Roman" w:cs="Times New Roman"/>
        </w:rPr>
        <w:t xml:space="preserve">should have been </w:t>
      </w:r>
      <w:r w:rsidR="005F389D" w:rsidRPr="00621883">
        <w:rPr>
          <w:rFonts w:ascii="Times New Roman" w:hAnsi="Times New Roman" w:cs="Times New Roman"/>
        </w:rPr>
        <w:t xml:space="preserve">much </w:t>
      </w:r>
      <w:r w:rsidR="002B7917" w:rsidRPr="00621883">
        <w:rPr>
          <w:rFonts w:ascii="Times New Roman" w:hAnsi="Times New Roman" w:cs="Times New Roman"/>
        </w:rPr>
        <w:t>clear</w:t>
      </w:r>
      <w:r w:rsidR="005F389D" w:rsidRPr="00621883">
        <w:rPr>
          <w:rFonts w:ascii="Times New Roman" w:hAnsi="Times New Roman" w:cs="Times New Roman"/>
        </w:rPr>
        <w:t>er</w:t>
      </w:r>
      <w:r w:rsidR="002B7917" w:rsidRPr="00621883">
        <w:rPr>
          <w:rFonts w:ascii="Times New Roman" w:hAnsi="Times New Roman" w:cs="Times New Roman"/>
        </w:rPr>
        <w:t xml:space="preserve">, to the trial judge and indeed the </w:t>
      </w:r>
      <w:r w:rsidR="003B6A97" w:rsidRPr="00621883">
        <w:rPr>
          <w:rFonts w:ascii="Times New Roman" w:hAnsi="Times New Roman" w:cs="Times New Roman"/>
        </w:rPr>
        <w:t>appellate</w:t>
      </w:r>
      <w:r w:rsidR="002B7917" w:rsidRPr="00621883">
        <w:rPr>
          <w:rFonts w:ascii="Times New Roman" w:hAnsi="Times New Roman" w:cs="Times New Roman"/>
        </w:rPr>
        <w:t xml:space="preserve"> </w:t>
      </w:r>
      <w:r w:rsidR="003B6A97" w:rsidRPr="00621883">
        <w:rPr>
          <w:rFonts w:ascii="Times New Roman" w:hAnsi="Times New Roman" w:cs="Times New Roman"/>
        </w:rPr>
        <w:t>courts</w:t>
      </w:r>
      <w:r w:rsidR="002C0A0A" w:rsidRPr="00621883">
        <w:rPr>
          <w:rFonts w:ascii="Times New Roman" w:hAnsi="Times New Roman" w:cs="Times New Roman"/>
        </w:rPr>
        <w:t xml:space="preserve">—and </w:t>
      </w:r>
      <w:r w:rsidR="00352BFD" w:rsidRPr="00621883">
        <w:rPr>
          <w:rFonts w:ascii="Times New Roman" w:hAnsi="Times New Roman" w:cs="Times New Roman"/>
        </w:rPr>
        <w:t xml:space="preserve">this is </w:t>
      </w:r>
      <w:r w:rsidR="002C0A0A" w:rsidRPr="00621883">
        <w:rPr>
          <w:rFonts w:ascii="Times New Roman" w:hAnsi="Times New Roman" w:cs="Times New Roman"/>
        </w:rPr>
        <w:t xml:space="preserve">putting aside the descriptive circular similarities that are necessarily present in a case where the deaths of four children </w:t>
      </w:r>
      <w:r w:rsidR="00E9255D">
        <w:rPr>
          <w:rFonts w:ascii="Times New Roman" w:hAnsi="Times New Roman" w:cs="Times New Roman"/>
        </w:rPr>
        <w:t xml:space="preserve">from the same family </w:t>
      </w:r>
      <w:r w:rsidR="002C0A0A" w:rsidRPr="00621883">
        <w:rPr>
          <w:rFonts w:ascii="Times New Roman" w:hAnsi="Times New Roman" w:cs="Times New Roman"/>
        </w:rPr>
        <w:t>are being heard together—</w:t>
      </w:r>
      <w:r w:rsidR="00962E26" w:rsidRPr="00621883">
        <w:rPr>
          <w:rFonts w:ascii="Times New Roman" w:hAnsi="Times New Roman" w:cs="Times New Roman"/>
        </w:rPr>
        <w:t xml:space="preserve">the fact that </w:t>
      </w:r>
      <w:r w:rsidR="00352BFD" w:rsidRPr="00621883">
        <w:rPr>
          <w:rFonts w:ascii="Times New Roman" w:hAnsi="Times New Roman" w:cs="Times New Roman"/>
        </w:rPr>
        <w:t xml:space="preserve">Folbigg </w:t>
      </w:r>
      <w:r w:rsidR="00962E26" w:rsidRPr="00621883">
        <w:rPr>
          <w:rFonts w:ascii="Times New Roman" w:hAnsi="Times New Roman" w:cs="Times New Roman"/>
        </w:rPr>
        <w:t xml:space="preserve">was the primary </w:t>
      </w:r>
      <w:r w:rsidR="00F67B39" w:rsidRPr="00621883">
        <w:rPr>
          <w:rFonts w:ascii="Times New Roman" w:hAnsi="Times New Roman" w:cs="Times New Roman"/>
        </w:rPr>
        <w:t>caregiver explains most of the ‘striking similarities’</w:t>
      </w:r>
      <w:r w:rsidR="00962E26" w:rsidRPr="00621883">
        <w:rPr>
          <w:rFonts w:ascii="Times New Roman" w:hAnsi="Times New Roman" w:cs="Times New Roman"/>
        </w:rPr>
        <w:t xml:space="preserve"> that underpinned the joint trial and the admissibility of the evidence as </w:t>
      </w:r>
      <w:r w:rsidRPr="00621883">
        <w:rPr>
          <w:rFonts w:ascii="Times New Roman" w:hAnsi="Times New Roman" w:cs="Times New Roman"/>
        </w:rPr>
        <w:t>evidence that can be used to negate coincidence.</w:t>
      </w:r>
      <w:r w:rsidR="00822AD8" w:rsidRPr="00621883">
        <w:rPr>
          <w:rStyle w:val="FootnoteReference"/>
          <w:rFonts w:ascii="Times New Roman" w:hAnsi="Times New Roman" w:cs="Times New Roman"/>
        </w:rPr>
        <w:footnoteReference w:id="35"/>
      </w:r>
      <w:r w:rsidRPr="00621883">
        <w:rPr>
          <w:rFonts w:ascii="Times New Roman" w:hAnsi="Times New Roman" w:cs="Times New Roman"/>
        </w:rPr>
        <w:t xml:space="preserve"> </w:t>
      </w:r>
      <w:r w:rsidR="00962E26" w:rsidRPr="00621883">
        <w:rPr>
          <w:rFonts w:ascii="Times New Roman" w:hAnsi="Times New Roman" w:cs="Times New Roman"/>
        </w:rPr>
        <w:t>Counter</w:t>
      </w:r>
      <w:r w:rsidR="005F6351">
        <w:rPr>
          <w:rFonts w:ascii="Times New Roman" w:hAnsi="Times New Roman" w:cs="Times New Roman"/>
        </w:rPr>
        <w:t>-</w:t>
      </w:r>
      <w:r w:rsidR="00F67B39" w:rsidRPr="00621883">
        <w:rPr>
          <w:rFonts w:ascii="Times New Roman" w:hAnsi="Times New Roman" w:cs="Times New Roman"/>
        </w:rPr>
        <w:t>intuitively</w:t>
      </w:r>
      <w:r w:rsidR="00962E26" w:rsidRPr="00621883">
        <w:rPr>
          <w:rFonts w:ascii="Times New Roman" w:hAnsi="Times New Roman" w:cs="Times New Roman"/>
        </w:rPr>
        <w:t xml:space="preserve"> the </w:t>
      </w:r>
      <w:r w:rsidR="00351063" w:rsidRPr="00621883">
        <w:rPr>
          <w:rFonts w:ascii="Times New Roman" w:hAnsi="Times New Roman" w:cs="Times New Roman"/>
        </w:rPr>
        <w:t>Crown was able to conve</w:t>
      </w:r>
      <w:r w:rsidR="008C48B2" w:rsidRPr="00621883">
        <w:rPr>
          <w:rFonts w:ascii="Times New Roman" w:hAnsi="Times New Roman" w:cs="Times New Roman"/>
        </w:rPr>
        <w:t xml:space="preserve">rt Folbigg’s ‘good mothering’, </w:t>
      </w:r>
      <w:r w:rsidR="00AC2276" w:rsidRPr="00621883">
        <w:rPr>
          <w:rFonts w:ascii="Times New Roman" w:hAnsi="Times New Roman" w:cs="Times New Roman"/>
        </w:rPr>
        <w:t xml:space="preserve">her active parenting and </w:t>
      </w:r>
      <w:r w:rsidR="00351063" w:rsidRPr="00621883">
        <w:rPr>
          <w:rFonts w:ascii="Times New Roman" w:hAnsi="Times New Roman" w:cs="Times New Roman"/>
        </w:rPr>
        <w:t xml:space="preserve">role as primary caregiver, into evidence </w:t>
      </w:r>
      <w:r w:rsidR="00F67B39" w:rsidRPr="00621883">
        <w:rPr>
          <w:rFonts w:ascii="Times New Roman" w:hAnsi="Times New Roman" w:cs="Times New Roman"/>
        </w:rPr>
        <w:t xml:space="preserve">that </w:t>
      </w:r>
      <w:r w:rsidR="006848EC" w:rsidRPr="00621883">
        <w:rPr>
          <w:rFonts w:ascii="Times New Roman" w:hAnsi="Times New Roman" w:cs="Times New Roman"/>
        </w:rPr>
        <w:t xml:space="preserve">substantiated </w:t>
      </w:r>
      <w:r w:rsidR="008C48B2" w:rsidRPr="00621883">
        <w:rPr>
          <w:rFonts w:ascii="Times New Roman" w:hAnsi="Times New Roman" w:cs="Times New Roman"/>
        </w:rPr>
        <w:t xml:space="preserve">her guilt. And while this </w:t>
      </w:r>
      <w:r w:rsidR="006955CD" w:rsidRPr="00621883">
        <w:rPr>
          <w:rFonts w:ascii="Times New Roman" w:hAnsi="Times New Roman" w:cs="Times New Roman"/>
        </w:rPr>
        <w:t>was</w:t>
      </w:r>
      <w:r w:rsidR="008C48B2" w:rsidRPr="00621883">
        <w:rPr>
          <w:rFonts w:ascii="Times New Roman" w:hAnsi="Times New Roman" w:cs="Times New Roman"/>
        </w:rPr>
        <w:t xml:space="preserve"> a </w:t>
      </w:r>
      <w:r w:rsidR="00962E26" w:rsidRPr="00621883">
        <w:rPr>
          <w:rFonts w:ascii="Times New Roman" w:hAnsi="Times New Roman" w:cs="Times New Roman"/>
        </w:rPr>
        <w:t>point that the d</w:t>
      </w:r>
      <w:r w:rsidR="008C48B2" w:rsidRPr="00621883">
        <w:rPr>
          <w:rFonts w:ascii="Times New Roman" w:hAnsi="Times New Roman" w:cs="Times New Roman"/>
        </w:rPr>
        <w:t xml:space="preserve">efence </w:t>
      </w:r>
      <w:r w:rsidR="006955CD" w:rsidRPr="00621883">
        <w:rPr>
          <w:rFonts w:ascii="Times New Roman" w:hAnsi="Times New Roman" w:cs="Times New Roman"/>
        </w:rPr>
        <w:t>made some attempt</w:t>
      </w:r>
      <w:r w:rsidR="008C48B2" w:rsidRPr="00621883">
        <w:rPr>
          <w:rFonts w:ascii="Times New Roman" w:hAnsi="Times New Roman" w:cs="Times New Roman"/>
        </w:rPr>
        <w:t xml:space="preserve"> to articulate, in the end it </w:t>
      </w:r>
      <w:r w:rsidR="00962E26" w:rsidRPr="00621883">
        <w:rPr>
          <w:rFonts w:ascii="Times New Roman" w:hAnsi="Times New Roman" w:cs="Times New Roman"/>
        </w:rPr>
        <w:t xml:space="preserve">was unable to make </w:t>
      </w:r>
      <w:r w:rsidR="008C48B2" w:rsidRPr="00621883">
        <w:rPr>
          <w:rFonts w:ascii="Times New Roman" w:hAnsi="Times New Roman" w:cs="Times New Roman"/>
        </w:rPr>
        <w:t xml:space="preserve">this point </w:t>
      </w:r>
      <w:r w:rsidR="007C57F8" w:rsidRPr="00621883">
        <w:rPr>
          <w:rFonts w:ascii="Times New Roman" w:hAnsi="Times New Roman" w:cs="Times New Roman"/>
        </w:rPr>
        <w:t xml:space="preserve">strongly or </w:t>
      </w:r>
      <w:r w:rsidR="00962E26" w:rsidRPr="00621883">
        <w:rPr>
          <w:rFonts w:ascii="Times New Roman" w:hAnsi="Times New Roman" w:cs="Times New Roman"/>
        </w:rPr>
        <w:t xml:space="preserve">clearly enough, faced as it was with the difficulty of </w:t>
      </w:r>
      <w:r w:rsidR="003B6A97" w:rsidRPr="00621883">
        <w:rPr>
          <w:rFonts w:ascii="Times New Roman" w:hAnsi="Times New Roman" w:cs="Times New Roman"/>
        </w:rPr>
        <w:t>simultaneously</w:t>
      </w:r>
      <w:r w:rsidR="00962E26" w:rsidRPr="00621883">
        <w:rPr>
          <w:rFonts w:ascii="Times New Roman" w:hAnsi="Times New Roman" w:cs="Times New Roman"/>
        </w:rPr>
        <w:t xml:space="preserve"> trying to frame Folbigg as a caring, ideal, </w:t>
      </w:r>
      <w:r w:rsidR="00962E26" w:rsidRPr="00621883">
        <w:rPr>
          <w:rFonts w:ascii="Times New Roman" w:hAnsi="Times New Roman" w:cs="Times New Roman"/>
          <w:i/>
        </w:rPr>
        <w:t>unambiguous</w:t>
      </w:r>
      <w:r w:rsidR="003B6A97" w:rsidRPr="00621883">
        <w:rPr>
          <w:rFonts w:ascii="Times New Roman" w:hAnsi="Times New Roman" w:cs="Times New Roman"/>
          <w:i/>
        </w:rPr>
        <w:t>ly</w:t>
      </w:r>
      <w:r w:rsidR="003B6A97" w:rsidRPr="00621883">
        <w:rPr>
          <w:rFonts w:ascii="Times New Roman" w:hAnsi="Times New Roman" w:cs="Times New Roman"/>
        </w:rPr>
        <w:t xml:space="preserve"> good mother, </w:t>
      </w:r>
      <w:r w:rsidR="00962E26" w:rsidRPr="00621883">
        <w:rPr>
          <w:rFonts w:ascii="Times New Roman" w:hAnsi="Times New Roman" w:cs="Times New Roman"/>
        </w:rPr>
        <w:t>who dressed her children neatly a</w:t>
      </w:r>
      <w:r w:rsidR="003B6A97" w:rsidRPr="00621883">
        <w:rPr>
          <w:rFonts w:ascii="Times New Roman" w:hAnsi="Times New Roman" w:cs="Times New Roman"/>
        </w:rPr>
        <w:t xml:space="preserve">nd was </w:t>
      </w:r>
      <w:r w:rsidR="00B76D99" w:rsidRPr="00621883">
        <w:rPr>
          <w:rFonts w:ascii="Times New Roman" w:hAnsi="Times New Roman" w:cs="Times New Roman"/>
        </w:rPr>
        <w:t xml:space="preserve">consistently </w:t>
      </w:r>
      <w:r w:rsidR="003B6A97" w:rsidRPr="00621883">
        <w:rPr>
          <w:rFonts w:ascii="Times New Roman" w:hAnsi="Times New Roman" w:cs="Times New Roman"/>
        </w:rPr>
        <w:t>attentive to their needs</w:t>
      </w:r>
      <w:r w:rsidR="00962E26" w:rsidRPr="00621883">
        <w:rPr>
          <w:rFonts w:ascii="Times New Roman" w:hAnsi="Times New Roman" w:cs="Times New Roman"/>
        </w:rPr>
        <w:t>.</w:t>
      </w:r>
      <w:r w:rsidR="00B76D99" w:rsidRPr="00621883">
        <w:rPr>
          <w:rStyle w:val="FootnoteReference"/>
          <w:rFonts w:ascii="Times New Roman" w:hAnsi="Times New Roman" w:cs="Times New Roman"/>
        </w:rPr>
        <w:footnoteReference w:id="36"/>
      </w:r>
      <w:r w:rsidR="00B76D99" w:rsidRPr="00621883">
        <w:rPr>
          <w:rFonts w:ascii="Times New Roman" w:hAnsi="Times New Roman" w:cs="Times New Roman"/>
        </w:rPr>
        <w:t xml:space="preserve"> </w:t>
      </w:r>
    </w:p>
    <w:p w:rsidR="00962E26" w:rsidRPr="00621883" w:rsidRDefault="00962E26" w:rsidP="00AB4819">
      <w:pPr>
        <w:spacing w:line="276" w:lineRule="auto"/>
        <w:jc w:val="both"/>
        <w:rPr>
          <w:rFonts w:ascii="Times New Roman" w:hAnsi="Times New Roman" w:cs="Times New Roman"/>
        </w:rPr>
      </w:pPr>
    </w:p>
    <w:p w:rsidR="005F6351" w:rsidRDefault="00052EA0" w:rsidP="00AB4819">
      <w:pPr>
        <w:spacing w:line="276" w:lineRule="auto"/>
        <w:jc w:val="both"/>
        <w:rPr>
          <w:rFonts w:ascii="Times New Roman" w:hAnsi="Times New Roman" w:cs="Times New Roman"/>
        </w:rPr>
      </w:pPr>
      <w:r w:rsidRPr="00621883">
        <w:rPr>
          <w:rFonts w:ascii="Times New Roman" w:hAnsi="Times New Roman" w:cs="Times New Roman"/>
        </w:rPr>
        <w:t>So, f</w:t>
      </w:r>
      <w:r w:rsidR="00351063" w:rsidRPr="00621883">
        <w:rPr>
          <w:rFonts w:ascii="Times New Roman" w:hAnsi="Times New Roman" w:cs="Times New Roman"/>
        </w:rPr>
        <w:t>aced with a mother who in many re</w:t>
      </w:r>
      <w:r w:rsidR="00821655">
        <w:rPr>
          <w:rFonts w:ascii="Times New Roman" w:hAnsi="Times New Roman" w:cs="Times New Roman"/>
        </w:rPr>
        <w:t>spects confo</w:t>
      </w:r>
      <w:r w:rsidR="008C48B2" w:rsidRPr="00621883">
        <w:rPr>
          <w:rFonts w:ascii="Times New Roman" w:hAnsi="Times New Roman" w:cs="Times New Roman"/>
        </w:rPr>
        <w:t>rmed to the ideal</w:t>
      </w:r>
      <w:r w:rsidR="008C48B2" w:rsidRPr="00621883">
        <w:rPr>
          <w:rFonts w:ascii="Times New Roman" w:hAnsi="Times New Roman" w:cs="Times New Roman"/>
        </w:rPr>
        <w:softHyphen/>
        <w:t>—</w:t>
      </w:r>
      <w:r w:rsidR="00351063" w:rsidRPr="00621883">
        <w:rPr>
          <w:rFonts w:ascii="Times New Roman" w:hAnsi="Times New Roman" w:cs="Times New Roman"/>
        </w:rPr>
        <w:t xml:space="preserve">she gave up work, she devoted herself to her children, she to all outside appearances put </w:t>
      </w:r>
      <w:r w:rsidR="009E4D8C" w:rsidRPr="00621883">
        <w:rPr>
          <w:rFonts w:ascii="Times New Roman" w:hAnsi="Times New Roman" w:cs="Times New Roman"/>
        </w:rPr>
        <w:t>the interests of her children</w:t>
      </w:r>
      <w:r w:rsidR="005F6351">
        <w:rPr>
          <w:rFonts w:ascii="Times New Roman" w:hAnsi="Times New Roman" w:cs="Times New Roman"/>
        </w:rPr>
        <w:t xml:space="preserve"> ahead of herself</w:t>
      </w:r>
      <w:r w:rsidR="009E4D8C" w:rsidRPr="00621883">
        <w:rPr>
          <w:rFonts w:ascii="Times New Roman" w:hAnsi="Times New Roman" w:cs="Times New Roman"/>
        </w:rPr>
        <w:t xml:space="preserve">, and she </w:t>
      </w:r>
      <w:r w:rsidR="00351063" w:rsidRPr="00621883">
        <w:rPr>
          <w:rFonts w:ascii="Times New Roman" w:hAnsi="Times New Roman" w:cs="Times New Roman"/>
        </w:rPr>
        <w:t xml:space="preserve">had, </w:t>
      </w:r>
      <w:r w:rsidR="00821655">
        <w:rPr>
          <w:rFonts w:ascii="Times New Roman" w:hAnsi="Times New Roman" w:cs="Times New Roman"/>
        </w:rPr>
        <w:t>nonethe</w:t>
      </w:r>
      <w:r w:rsidR="009E4D8C" w:rsidRPr="00621883">
        <w:rPr>
          <w:rFonts w:ascii="Times New Roman" w:hAnsi="Times New Roman" w:cs="Times New Roman"/>
        </w:rPr>
        <w:t xml:space="preserve">less </w:t>
      </w:r>
      <w:r w:rsidR="00351063" w:rsidRPr="00621883">
        <w:rPr>
          <w:rFonts w:ascii="Times New Roman" w:hAnsi="Times New Roman" w:cs="Times New Roman"/>
        </w:rPr>
        <w:t>tra</w:t>
      </w:r>
      <w:r w:rsidR="009E4D8C" w:rsidRPr="00621883">
        <w:rPr>
          <w:rFonts w:ascii="Times New Roman" w:hAnsi="Times New Roman" w:cs="Times New Roman"/>
        </w:rPr>
        <w:t>gically, lost those children</w:t>
      </w:r>
      <w:r w:rsidR="008C48B2" w:rsidRPr="00621883">
        <w:rPr>
          <w:rFonts w:ascii="Times New Roman" w:hAnsi="Times New Roman" w:cs="Times New Roman"/>
        </w:rPr>
        <w:t>—</w:t>
      </w:r>
      <w:r w:rsidR="009E4D8C" w:rsidRPr="00621883">
        <w:rPr>
          <w:rFonts w:ascii="Times New Roman" w:hAnsi="Times New Roman" w:cs="Times New Roman"/>
        </w:rPr>
        <w:t xml:space="preserve">the Crown case as run by </w:t>
      </w:r>
      <w:r w:rsidR="00351063" w:rsidRPr="00621883">
        <w:rPr>
          <w:rFonts w:ascii="Times New Roman" w:hAnsi="Times New Roman" w:cs="Times New Roman"/>
        </w:rPr>
        <w:t>Tedeschi does a number of things</w:t>
      </w:r>
      <w:r w:rsidR="003B268A" w:rsidRPr="00621883">
        <w:rPr>
          <w:rFonts w:ascii="Times New Roman" w:hAnsi="Times New Roman" w:cs="Times New Roman"/>
        </w:rPr>
        <w:t>, many of them familiar and predicable mano</w:t>
      </w:r>
      <w:r w:rsidR="00821655">
        <w:rPr>
          <w:rFonts w:ascii="Times New Roman" w:hAnsi="Times New Roman" w:cs="Times New Roman"/>
        </w:rPr>
        <w:t>e</w:t>
      </w:r>
      <w:r w:rsidR="003B268A" w:rsidRPr="00621883">
        <w:rPr>
          <w:rFonts w:ascii="Times New Roman" w:hAnsi="Times New Roman" w:cs="Times New Roman"/>
        </w:rPr>
        <w:t xml:space="preserve">uvres. It is perhaps this that makes </w:t>
      </w:r>
      <w:r w:rsidR="00352BFD" w:rsidRPr="00621883">
        <w:rPr>
          <w:rFonts w:ascii="Times New Roman" w:hAnsi="Times New Roman" w:cs="Times New Roman"/>
        </w:rPr>
        <w:t>them in many ways so striking—</w:t>
      </w:r>
      <w:r w:rsidR="003B268A" w:rsidRPr="00621883">
        <w:rPr>
          <w:rFonts w:ascii="Times New Roman" w:hAnsi="Times New Roman" w:cs="Times New Roman"/>
        </w:rPr>
        <w:t>because what Emma’s book points to is the resilience of normative constructions of motherhood</w:t>
      </w:r>
      <w:r w:rsidR="00352BFD" w:rsidRPr="00621883">
        <w:rPr>
          <w:rFonts w:ascii="Times New Roman" w:hAnsi="Times New Roman" w:cs="Times New Roman"/>
        </w:rPr>
        <w:t>,</w:t>
      </w:r>
      <w:r w:rsidR="003B268A" w:rsidRPr="00621883">
        <w:rPr>
          <w:rFonts w:ascii="Times New Roman" w:hAnsi="Times New Roman" w:cs="Times New Roman"/>
        </w:rPr>
        <w:t xml:space="preserve"> </w:t>
      </w:r>
      <w:r w:rsidR="00352BFD" w:rsidRPr="00621883">
        <w:rPr>
          <w:rFonts w:ascii="Times New Roman" w:hAnsi="Times New Roman" w:cs="Times New Roman"/>
        </w:rPr>
        <w:t>in the face of sustained critique</w:t>
      </w:r>
      <w:r w:rsidRPr="00621883">
        <w:rPr>
          <w:rFonts w:ascii="Times New Roman" w:hAnsi="Times New Roman" w:cs="Times New Roman"/>
        </w:rPr>
        <w:t xml:space="preserve"> from feminist commentators</w:t>
      </w:r>
      <w:r w:rsidR="00352BFD" w:rsidRPr="00621883">
        <w:rPr>
          <w:rFonts w:ascii="Times New Roman" w:hAnsi="Times New Roman" w:cs="Times New Roman"/>
        </w:rPr>
        <w:t xml:space="preserve">, and despite </w:t>
      </w:r>
      <w:r w:rsidR="009E0D73" w:rsidRPr="00621883">
        <w:rPr>
          <w:rFonts w:ascii="Times New Roman" w:hAnsi="Times New Roman" w:cs="Times New Roman"/>
        </w:rPr>
        <w:t xml:space="preserve">the circulation of what </w:t>
      </w:r>
      <w:r w:rsidR="00DB50F1">
        <w:rPr>
          <w:rFonts w:ascii="Times New Roman" w:hAnsi="Times New Roman" w:cs="Times New Roman"/>
        </w:rPr>
        <w:t>appears</w:t>
      </w:r>
      <w:r w:rsidR="00352BFD" w:rsidRPr="00621883">
        <w:rPr>
          <w:rFonts w:ascii="Times New Roman" w:hAnsi="Times New Roman" w:cs="Times New Roman"/>
        </w:rPr>
        <w:t xml:space="preserve"> to be a more </w:t>
      </w:r>
      <w:r w:rsidR="00DB50F1">
        <w:rPr>
          <w:rFonts w:ascii="Times New Roman" w:hAnsi="Times New Roman" w:cs="Times New Roman"/>
        </w:rPr>
        <w:t>forgiving</w:t>
      </w:r>
      <w:r w:rsidR="00352BFD" w:rsidRPr="00621883">
        <w:rPr>
          <w:rFonts w:ascii="Times New Roman" w:hAnsi="Times New Roman" w:cs="Times New Roman"/>
        </w:rPr>
        <w:t xml:space="preserve"> social </w:t>
      </w:r>
      <w:r w:rsidRPr="00621883">
        <w:rPr>
          <w:rFonts w:ascii="Times New Roman" w:hAnsi="Times New Roman" w:cs="Times New Roman"/>
        </w:rPr>
        <w:t xml:space="preserve">and popular </w:t>
      </w:r>
      <w:r w:rsidR="00352BFD" w:rsidRPr="00621883">
        <w:rPr>
          <w:rFonts w:ascii="Times New Roman" w:hAnsi="Times New Roman" w:cs="Times New Roman"/>
        </w:rPr>
        <w:t>discourse</w:t>
      </w:r>
      <w:r w:rsidRPr="00621883">
        <w:rPr>
          <w:rFonts w:ascii="Times New Roman" w:hAnsi="Times New Roman" w:cs="Times New Roman"/>
        </w:rPr>
        <w:t xml:space="preserve"> about the challenges of parenting</w:t>
      </w:r>
      <w:r w:rsidR="00935115" w:rsidRPr="00621883">
        <w:rPr>
          <w:rFonts w:ascii="Times New Roman" w:hAnsi="Times New Roman" w:cs="Times New Roman"/>
        </w:rPr>
        <w:t xml:space="preserve"> (mothering)</w:t>
      </w:r>
      <w:r w:rsidR="009E0D73" w:rsidRPr="00621883">
        <w:rPr>
          <w:rFonts w:ascii="Times New Roman" w:hAnsi="Times New Roman" w:cs="Times New Roman"/>
        </w:rPr>
        <w:t xml:space="preserve"> in contemporary times</w:t>
      </w:r>
      <w:r w:rsidR="00352BFD" w:rsidRPr="00621883">
        <w:rPr>
          <w:rFonts w:ascii="Times New Roman" w:hAnsi="Times New Roman" w:cs="Times New Roman"/>
        </w:rPr>
        <w:t>.</w:t>
      </w:r>
      <w:r w:rsidR="00483DE2">
        <w:rPr>
          <w:rFonts w:ascii="Times New Roman" w:hAnsi="Times New Roman" w:cs="Times New Roman"/>
        </w:rPr>
        <w:t xml:space="preserve"> </w:t>
      </w:r>
    </w:p>
    <w:p w:rsidR="005F6351" w:rsidRDefault="005F6351" w:rsidP="00AB4819">
      <w:pPr>
        <w:spacing w:line="276" w:lineRule="auto"/>
        <w:jc w:val="both"/>
        <w:rPr>
          <w:rFonts w:ascii="Times New Roman" w:hAnsi="Times New Roman" w:cs="Times New Roman"/>
        </w:rPr>
      </w:pPr>
    </w:p>
    <w:p w:rsidR="005F6351" w:rsidRDefault="00483DE2" w:rsidP="00AB4819">
      <w:pPr>
        <w:spacing w:line="276" w:lineRule="auto"/>
        <w:jc w:val="both"/>
        <w:rPr>
          <w:rFonts w:ascii="Times New Roman" w:hAnsi="Times New Roman" w:cs="Times New Roman"/>
        </w:rPr>
      </w:pPr>
      <w:r>
        <w:rPr>
          <w:rFonts w:ascii="Times New Roman" w:hAnsi="Times New Roman" w:cs="Times New Roman"/>
        </w:rPr>
        <w:t>First, a</w:t>
      </w:r>
      <w:r w:rsidR="00940B48" w:rsidRPr="00621883">
        <w:rPr>
          <w:rFonts w:ascii="Times New Roman" w:hAnsi="Times New Roman" w:cs="Times New Roman"/>
        </w:rPr>
        <w:t xml:space="preserve">s one strand of </w:t>
      </w:r>
      <w:r w:rsidR="007C1F95" w:rsidRPr="00621883">
        <w:rPr>
          <w:rFonts w:ascii="Times New Roman" w:hAnsi="Times New Roman" w:cs="Times New Roman"/>
        </w:rPr>
        <w:t>his</w:t>
      </w:r>
      <w:r w:rsidR="00940B48" w:rsidRPr="00621883">
        <w:rPr>
          <w:rFonts w:ascii="Times New Roman" w:hAnsi="Times New Roman" w:cs="Times New Roman"/>
        </w:rPr>
        <w:t xml:space="preserve"> case, Tedeschi constructs </w:t>
      </w:r>
      <w:r w:rsidR="005D0AE8" w:rsidRPr="00621883">
        <w:rPr>
          <w:rFonts w:ascii="Times New Roman" w:hAnsi="Times New Roman" w:cs="Times New Roman"/>
        </w:rPr>
        <w:t>a</w:t>
      </w:r>
      <w:r w:rsidR="00940B48" w:rsidRPr="00621883">
        <w:rPr>
          <w:rFonts w:ascii="Times New Roman" w:hAnsi="Times New Roman" w:cs="Times New Roman"/>
        </w:rPr>
        <w:t xml:space="preserve"> </w:t>
      </w:r>
      <w:r w:rsidR="00351063" w:rsidRPr="00621883">
        <w:rPr>
          <w:rFonts w:ascii="Times New Roman" w:hAnsi="Times New Roman" w:cs="Times New Roman"/>
        </w:rPr>
        <w:t xml:space="preserve">narrative </w:t>
      </w:r>
      <w:r w:rsidR="00940B48" w:rsidRPr="00621883">
        <w:rPr>
          <w:rFonts w:ascii="Times New Roman" w:hAnsi="Times New Roman" w:cs="Times New Roman"/>
        </w:rPr>
        <w:t>of resentment</w:t>
      </w:r>
      <w:r w:rsidR="004509EC" w:rsidRPr="00621883">
        <w:rPr>
          <w:rFonts w:ascii="Times New Roman" w:hAnsi="Times New Roman" w:cs="Times New Roman"/>
        </w:rPr>
        <w:t xml:space="preserve"> and thwarted ambition</w:t>
      </w:r>
      <w:r w:rsidR="00821655">
        <w:rPr>
          <w:rFonts w:ascii="Times New Roman" w:hAnsi="Times New Roman" w:cs="Times New Roman"/>
        </w:rPr>
        <w:t>:</w:t>
      </w:r>
      <w:r w:rsidR="00940B48" w:rsidRPr="00621883">
        <w:rPr>
          <w:rFonts w:ascii="Times New Roman" w:hAnsi="Times New Roman" w:cs="Times New Roman"/>
        </w:rPr>
        <w:t xml:space="preserve"> </w:t>
      </w:r>
      <w:r w:rsidR="00821655">
        <w:rPr>
          <w:rFonts w:ascii="Times New Roman" w:hAnsi="Times New Roman" w:cs="Times New Roman"/>
        </w:rPr>
        <w:t>t</w:t>
      </w:r>
      <w:r w:rsidR="00940B48" w:rsidRPr="00621883">
        <w:rPr>
          <w:rFonts w:ascii="Times New Roman" w:hAnsi="Times New Roman" w:cs="Times New Roman"/>
        </w:rPr>
        <w:t>hat</w:t>
      </w:r>
      <w:r w:rsidR="00425E2E" w:rsidRPr="00621883">
        <w:rPr>
          <w:rFonts w:ascii="Times New Roman" w:hAnsi="Times New Roman" w:cs="Times New Roman"/>
        </w:rPr>
        <w:t xml:space="preserve">, </w:t>
      </w:r>
      <w:r w:rsidR="00940B48" w:rsidRPr="00621883">
        <w:rPr>
          <w:rFonts w:ascii="Times New Roman" w:hAnsi="Times New Roman" w:cs="Times New Roman"/>
        </w:rPr>
        <w:t xml:space="preserve">not withstanding her apparent willingness to care for her children, in reality </w:t>
      </w:r>
      <w:r w:rsidR="001D53D7" w:rsidRPr="00621883">
        <w:rPr>
          <w:rFonts w:ascii="Times New Roman" w:hAnsi="Times New Roman" w:cs="Times New Roman"/>
        </w:rPr>
        <w:t>Folbigg</w:t>
      </w:r>
      <w:r w:rsidR="00940B48" w:rsidRPr="00621883">
        <w:rPr>
          <w:rFonts w:ascii="Times New Roman" w:hAnsi="Times New Roman" w:cs="Times New Roman"/>
        </w:rPr>
        <w:t xml:space="preserve"> </w:t>
      </w:r>
      <w:r w:rsidR="00351063" w:rsidRPr="00621883">
        <w:rPr>
          <w:rFonts w:ascii="Times New Roman" w:hAnsi="Times New Roman" w:cs="Times New Roman"/>
        </w:rPr>
        <w:t>resented being made to conform, and th</w:t>
      </w:r>
      <w:r w:rsidR="00940B48" w:rsidRPr="00621883">
        <w:rPr>
          <w:rFonts w:ascii="Times New Roman" w:hAnsi="Times New Roman" w:cs="Times New Roman"/>
        </w:rPr>
        <w:t>at she wished to return to her ‘</w:t>
      </w:r>
      <w:r w:rsidR="00351063" w:rsidRPr="00621883">
        <w:rPr>
          <w:rFonts w:ascii="Times New Roman" w:hAnsi="Times New Roman" w:cs="Times New Roman"/>
        </w:rPr>
        <w:t>f</w:t>
      </w:r>
      <w:r w:rsidR="00940B48" w:rsidRPr="00621883">
        <w:rPr>
          <w:rFonts w:ascii="Times New Roman" w:hAnsi="Times New Roman" w:cs="Times New Roman"/>
        </w:rPr>
        <w:t>orme</w:t>
      </w:r>
      <w:r w:rsidR="00D810EE" w:rsidRPr="00621883">
        <w:rPr>
          <w:rFonts w:ascii="Times New Roman" w:hAnsi="Times New Roman" w:cs="Times New Roman"/>
        </w:rPr>
        <w:t xml:space="preserve">r’, self absorbed life. As the Crown case </w:t>
      </w:r>
      <w:r w:rsidR="00940B48" w:rsidRPr="00621883">
        <w:rPr>
          <w:rFonts w:ascii="Times New Roman" w:hAnsi="Times New Roman" w:cs="Times New Roman"/>
        </w:rPr>
        <w:t>unfolds, it becomes clear that</w:t>
      </w:r>
      <w:r w:rsidR="00D810EE" w:rsidRPr="00621883">
        <w:rPr>
          <w:rFonts w:ascii="Times New Roman" w:hAnsi="Times New Roman" w:cs="Times New Roman"/>
        </w:rPr>
        <w:t>, notwithstanding t</w:t>
      </w:r>
      <w:r>
        <w:rPr>
          <w:rFonts w:ascii="Times New Roman" w:hAnsi="Times New Roman" w:cs="Times New Roman"/>
        </w:rPr>
        <w:t>he presence of</w:t>
      </w:r>
      <w:r w:rsidR="00D810EE" w:rsidRPr="00621883">
        <w:rPr>
          <w:rFonts w:ascii="Times New Roman" w:hAnsi="Times New Roman" w:cs="Times New Roman"/>
        </w:rPr>
        <w:t xml:space="preserve"> </w:t>
      </w:r>
      <w:r w:rsidR="002878DC" w:rsidRPr="00621883">
        <w:rPr>
          <w:rFonts w:ascii="Times New Roman" w:hAnsi="Times New Roman" w:cs="Times New Roman"/>
        </w:rPr>
        <w:t xml:space="preserve">contemporary </w:t>
      </w:r>
      <w:r w:rsidR="00D810EE" w:rsidRPr="00621883">
        <w:rPr>
          <w:rFonts w:ascii="Times New Roman" w:hAnsi="Times New Roman" w:cs="Times New Roman"/>
        </w:rPr>
        <w:t>counter-narrative</w:t>
      </w:r>
      <w:r>
        <w:rPr>
          <w:rFonts w:ascii="Times New Roman" w:hAnsi="Times New Roman" w:cs="Times New Roman"/>
        </w:rPr>
        <w:t>s</w:t>
      </w:r>
      <w:r w:rsidR="00D810EE" w:rsidRPr="00621883">
        <w:rPr>
          <w:rFonts w:ascii="Times New Roman" w:hAnsi="Times New Roman" w:cs="Times New Roman"/>
        </w:rPr>
        <w:t xml:space="preserve"> that </w:t>
      </w:r>
      <w:r>
        <w:rPr>
          <w:rFonts w:ascii="Times New Roman" w:hAnsi="Times New Roman" w:cs="Times New Roman"/>
        </w:rPr>
        <w:t>purport</w:t>
      </w:r>
      <w:r w:rsidR="002878DC" w:rsidRPr="00621883">
        <w:rPr>
          <w:rFonts w:ascii="Times New Roman" w:hAnsi="Times New Roman" w:cs="Times New Roman"/>
        </w:rPr>
        <w:t xml:space="preserve"> to be </w:t>
      </w:r>
      <w:r w:rsidR="00760BF6">
        <w:rPr>
          <w:rFonts w:ascii="Times New Roman" w:hAnsi="Times New Roman" w:cs="Times New Roman"/>
        </w:rPr>
        <w:t xml:space="preserve">more </w:t>
      </w:r>
      <w:r w:rsidR="002878DC" w:rsidRPr="00621883">
        <w:rPr>
          <w:rFonts w:ascii="Times New Roman" w:hAnsi="Times New Roman" w:cs="Times New Roman"/>
        </w:rPr>
        <w:t>understanding of the</w:t>
      </w:r>
      <w:r w:rsidR="00D810EE" w:rsidRPr="00621883">
        <w:rPr>
          <w:rFonts w:ascii="Times New Roman" w:hAnsi="Times New Roman" w:cs="Times New Roman"/>
        </w:rPr>
        <w:t xml:space="preserve"> </w:t>
      </w:r>
      <w:r w:rsidR="002878DC" w:rsidRPr="00621883">
        <w:rPr>
          <w:rFonts w:ascii="Times New Roman" w:hAnsi="Times New Roman" w:cs="Times New Roman"/>
        </w:rPr>
        <w:t>difficulties</w:t>
      </w:r>
      <w:r w:rsidR="00D810EE" w:rsidRPr="00621883">
        <w:rPr>
          <w:rFonts w:ascii="Times New Roman" w:hAnsi="Times New Roman" w:cs="Times New Roman"/>
        </w:rPr>
        <w:t xml:space="preserve"> of fulfilling ideali</w:t>
      </w:r>
      <w:r w:rsidR="004509EC" w:rsidRPr="00621883">
        <w:rPr>
          <w:rFonts w:ascii="Times New Roman" w:hAnsi="Times New Roman" w:cs="Times New Roman"/>
        </w:rPr>
        <w:t xml:space="preserve">sed conceptions of motherhood, </w:t>
      </w:r>
      <w:r w:rsidR="00940B48" w:rsidRPr="00621883">
        <w:rPr>
          <w:rFonts w:ascii="Times New Roman" w:hAnsi="Times New Roman" w:cs="Times New Roman"/>
        </w:rPr>
        <w:t xml:space="preserve">Folbigg can </w:t>
      </w:r>
      <w:r w:rsidR="00821655">
        <w:rPr>
          <w:rFonts w:ascii="Times New Roman" w:hAnsi="Times New Roman" w:cs="Times New Roman"/>
        </w:rPr>
        <w:t>none</w:t>
      </w:r>
      <w:r w:rsidR="00D810EE" w:rsidRPr="00621883">
        <w:rPr>
          <w:rFonts w:ascii="Times New Roman" w:hAnsi="Times New Roman" w:cs="Times New Roman"/>
        </w:rPr>
        <w:t xml:space="preserve">theless </w:t>
      </w:r>
      <w:r w:rsidR="00940B48" w:rsidRPr="00621883">
        <w:rPr>
          <w:rFonts w:ascii="Times New Roman" w:hAnsi="Times New Roman" w:cs="Times New Roman"/>
        </w:rPr>
        <w:t>be judged</w:t>
      </w:r>
      <w:r w:rsidR="00D810EE" w:rsidRPr="00621883">
        <w:rPr>
          <w:rFonts w:ascii="Times New Roman" w:hAnsi="Times New Roman" w:cs="Times New Roman"/>
        </w:rPr>
        <w:t xml:space="preserve"> as an unfit mother</w:t>
      </w:r>
      <w:r w:rsidR="00940B48" w:rsidRPr="00621883">
        <w:rPr>
          <w:rFonts w:ascii="Times New Roman" w:hAnsi="Times New Roman" w:cs="Times New Roman"/>
        </w:rPr>
        <w:t xml:space="preserve">, for her </w:t>
      </w:r>
      <w:r w:rsidR="00D810EE" w:rsidRPr="00621883">
        <w:rPr>
          <w:rFonts w:ascii="Times New Roman" w:hAnsi="Times New Roman" w:cs="Times New Roman"/>
        </w:rPr>
        <w:t xml:space="preserve">unwillingness, her immaturity, and her </w:t>
      </w:r>
      <w:r w:rsidR="00940B48" w:rsidRPr="00621883">
        <w:rPr>
          <w:rFonts w:ascii="Times New Roman" w:hAnsi="Times New Roman" w:cs="Times New Roman"/>
        </w:rPr>
        <w:t>emotional inability</w:t>
      </w:r>
      <w:r w:rsidR="00351063" w:rsidRPr="00621883">
        <w:rPr>
          <w:rFonts w:ascii="Times New Roman" w:hAnsi="Times New Roman" w:cs="Times New Roman"/>
        </w:rPr>
        <w:t xml:space="preserve"> to perform </w:t>
      </w:r>
      <w:r w:rsidR="00D810EE" w:rsidRPr="00621883">
        <w:rPr>
          <w:rFonts w:ascii="Times New Roman" w:hAnsi="Times New Roman" w:cs="Times New Roman"/>
        </w:rPr>
        <w:t>the</w:t>
      </w:r>
      <w:r w:rsidR="00351063" w:rsidRPr="00621883">
        <w:rPr>
          <w:rFonts w:ascii="Times New Roman" w:hAnsi="Times New Roman" w:cs="Times New Roman"/>
        </w:rPr>
        <w:t xml:space="preserve"> proper role</w:t>
      </w:r>
      <w:r w:rsidR="00D810EE" w:rsidRPr="00621883">
        <w:rPr>
          <w:rFonts w:ascii="Times New Roman" w:hAnsi="Times New Roman" w:cs="Times New Roman"/>
        </w:rPr>
        <w:t xml:space="preserve"> she has </w:t>
      </w:r>
      <w:r w:rsidR="00D810EE" w:rsidRPr="00483DE2">
        <w:rPr>
          <w:rFonts w:ascii="Times New Roman" w:hAnsi="Times New Roman" w:cs="Times New Roman"/>
          <w:i/>
        </w:rPr>
        <w:t>chosen</w:t>
      </w:r>
      <w:r w:rsidR="00940B48" w:rsidRPr="00621883">
        <w:rPr>
          <w:rFonts w:ascii="Times New Roman" w:hAnsi="Times New Roman" w:cs="Times New Roman"/>
        </w:rPr>
        <w:t xml:space="preserve">. </w:t>
      </w:r>
      <w:r w:rsidR="00D810EE" w:rsidRPr="00621883">
        <w:rPr>
          <w:rFonts w:ascii="Times New Roman" w:hAnsi="Times New Roman" w:cs="Times New Roman"/>
        </w:rPr>
        <w:t xml:space="preserve">The </w:t>
      </w:r>
      <w:r>
        <w:rPr>
          <w:rFonts w:ascii="Times New Roman" w:hAnsi="Times New Roman" w:cs="Times New Roman"/>
        </w:rPr>
        <w:t xml:space="preserve">Crown emphasises that Kathleen and her husband had made ‘a deal’, and this </w:t>
      </w:r>
      <w:r w:rsidR="00D810EE" w:rsidRPr="00621883">
        <w:rPr>
          <w:rFonts w:ascii="Times New Roman" w:hAnsi="Times New Roman" w:cs="Times New Roman"/>
        </w:rPr>
        <w:t xml:space="preserve">construction of the division of labour within the Folbiggs’ home as a </w:t>
      </w:r>
      <w:r w:rsidR="005F6351">
        <w:rPr>
          <w:rFonts w:ascii="Times New Roman" w:hAnsi="Times New Roman" w:cs="Times New Roman"/>
        </w:rPr>
        <w:t>choice is an important strategy; it short-</w:t>
      </w:r>
      <w:r w:rsidR="00D810EE" w:rsidRPr="00621883">
        <w:rPr>
          <w:rFonts w:ascii="Times New Roman" w:hAnsi="Times New Roman" w:cs="Times New Roman"/>
        </w:rPr>
        <w:t>circuits the possibility of sympathy, and operates ideologically, rendering the historical realities and pressures of the gendered division of labour invisible.</w:t>
      </w:r>
      <w:bookmarkStart w:id="11" w:name="_Ref351824264"/>
      <w:r w:rsidR="00D810EE" w:rsidRPr="00C63F2F">
        <w:rPr>
          <w:rFonts w:ascii="Times New Roman" w:hAnsi="Times New Roman" w:cs="Times New Roman"/>
          <w:vertAlign w:val="superscript"/>
        </w:rPr>
        <w:footnoteReference w:id="37"/>
      </w:r>
      <w:bookmarkEnd w:id="11"/>
      <w:r w:rsidR="00D810EE" w:rsidRPr="00C63F2F">
        <w:rPr>
          <w:rFonts w:ascii="Times New Roman" w:hAnsi="Times New Roman" w:cs="Times New Roman"/>
          <w:vertAlign w:val="superscript"/>
        </w:rPr>
        <w:t xml:space="preserve"> </w:t>
      </w:r>
      <w:r w:rsidR="00940B48" w:rsidRPr="00621883">
        <w:rPr>
          <w:rFonts w:ascii="Times New Roman" w:hAnsi="Times New Roman" w:cs="Times New Roman"/>
        </w:rPr>
        <w:t>Thus she improperly</w:t>
      </w:r>
      <w:r w:rsidR="00840C67" w:rsidRPr="00621883">
        <w:rPr>
          <w:rFonts w:ascii="Times New Roman" w:hAnsi="Times New Roman" w:cs="Times New Roman"/>
        </w:rPr>
        <w:t>, and contrary to the strictures of the Folbigg family,</w:t>
      </w:r>
      <w:r w:rsidR="00940B48" w:rsidRPr="00621883">
        <w:rPr>
          <w:rFonts w:ascii="Times New Roman" w:hAnsi="Times New Roman" w:cs="Times New Roman"/>
        </w:rPr>
        <w:t xml:space="preserve"> </w:t>
      </w:r>
      <w:r w:rsidR="00351063" w:rsidRPr="00621883">
        <w:rPr>
          <w:rFonts w:ascii="Times New Roman" w:hAnsi="Times New Roman" w:cs="Times New Roman"/>
        </w:rPr>
        <w:t>sought op</w:t>
      </w:r>
      <w:r w:rsidR="007C1F95" w:rsidRPr="00621883">
        <w:rPr>
          <w:rFonts w:ascii="Times New Roman" w:hAnsi="Times New Roman" w:cs="Times New Roman"/>
        </w:rPr>
        <w:t>portunities to work, to socialis</w:t>
      </w:r>
      <w:r w:rsidR="00351063" w:rsidRPr="00621883">
        <w:rPr>
          <w:rFonts w:ascii="Times New Roman" w:hAnsi="Times New Roman" w:cs="Times New Roman"/>
        </w:rPr>
        <w:t>e, to go to the gym, she was obsessed with her weight and appearance</w:t>
      </w:r>
      <w:r w:rsidR="003B1EF6" w:rsidRPr="00621883">
        <w:rPr>
          <w:rFonts w:ascii="Times New Roman" w:hAnsi="Times New Roman" w:cs="Times New Roman"/>
        </w:rPr>
        <w:t xml:space="preserve">, she </w:t>
      </w:r>
      <w:r>
        <w:rPr>
          <w:rFonts w:ascii="Times New Roman" w:hAnsi="Times New Roman" w:cs="Times New Roman"/>
        </w:rPr>
        <w:t xml:space="preserve">unfairly </w:t>
      </w:r>
      <w:r w:rsidR="003B1EF6" w:rsidRPr="00621883">
        <w:rPr>
          <w:rFonts w:ascii="Times New Roman" w:hAnsi="Times New Roman" w:cs="Times New Roman"/>
        </w:rPr>
        <w:t>resented the lack of assista</w:t>
      </w:r>
      <w:r w:rsidR="00760BF6">
        <w:rPr>
          <w:rFonts w:ascii="Times New Roman" w:hAnsi="Times New Roman" w:cs="Times New Roman"/>
        </w:rPr>
        <w:t>nce provided by Craig, notwith</w:t>
      </w:r>
      <w:r w:rsidR="003B1EF6" w:rsidRPr="00621883">
        <w:rPr>
          <w:rFonts w:ascii="Times New Roman" w:hAnsi="Times New Roman" w:cs="Times New Roman"/>
        </w:rPr>
        <w:t>standing that she had ‘accepted’ the binary</w:t>
      </w:r>
      <w:r w:rsidR="00940B48" w:rsidRPr="00621883">
        <w:rPr>
          <w:rFonts w:ascii="Times New Roman" w:hAnsi="Times New Roman" w:cs="Times New Roman"/>
        </w:rPr>
        <w:t xml:space="preserve"> deal of breadwinner/caregiver. S</w:t>
      </w:r>
      <w:r w:rsidR="003B1EF6" w:rsidRPr="00621883">
        <w:rPr>
          <w:rFonts w:ascii="Times New Roman" w:hAnsi="Times New Roman" w:cs="Times New Roman"/>
        </w:rPr>
        <w:t xml:space="preserve">he wanted to </w:t>
      </w:r>
      <w:r w:rsidR="00940B48" w:rsidRPr="00621883">
        <w:rPr>
          <w:rFonts w:ascii="Times New Roman" w:hAnsi="Times New Roman" w:cs="Times New Roman"/>
        </w:rPr>
        <w:t>go out</w:t>
      </w:r>
      <w:r w:rsidR="003B1EF6" w:rsidRPr="00621883">
        <w:rPr>
          <w:rFonts w:ascii="Times New Roman" w:hAnsi="Times New Roman" w:cs="Times New Roman"/>
        </w:rPr>
        <w:t xml:space="preserve"> dancing</w:t>
      </w:r>
      <w:r w:rsidR="00940B48" w:rsidRPr="00621883">
        <w:rPr>
          <w:rFonts w:ascii="Times New Roman" w:hAnsi="Times New Roman" w:cs="Times New Roman"/>
        </w:rPr>
        <w:t xml:space="preserve">. </w:t>
      </w:r>
    </w:p>
    <w:p w:rsidR="005F6351" w:rsidRDefault="005F6351" w:rsidP="00AB4819">
      <w:pPr>
        <w:spacing w:line="276" w:lineRule="auto"/>
        <w:jc w:val="both"/>
        <w:rPr>
          <w:rFonts w:ascii="Times New Roman" w:hAnsi="Times New Roman" w:cs="Times New Roman"/>
        </w:rPr>
      </w:pPr>
    </w:p>
    <w:p w:rsidR="00351063" w:rsidRPr="00621883" w:rsidRDefault="00940B48" w:rsidP="00AB4819">
      <w:pPr>
        <w:spacing w:line="276" w:lineRule="auto"/>
        <w:jc w:val="both"/>
        <w:rPr>
          <w:rFonts w:ascii="Times New Roman" w:hAnsi="Times New Roman" w:cs="Times New Roman"/>
        </w:rPr>
      </w:pPr>
      <w:r w:rsidRPr="00621883">
        <w:rPr>
          <w:rFonts w:ascii="Times New Roman" w:hAnsi="Times New Roman" w:cs="Times New Roman"/>
        </w:rPr>
        <w:t xml:space="preserve">And in terms of </w:t>
      </w:r>
      <w:r w:rsidR="007C1F95" w:rsidRPr="00621883">
        <w:rPr>
          <w:rFonts w:ascii="Times New Roman" w:hAnsi="Times New Roman" w:cs="Times New Roman"/>
        </w:rPr>
        <w:t>how this narrative persists</w:t>
      </w:r>
      <w:r w:rsidRPr="00621883">
        <w:rPr>
          <w:rFonts w:ascii="Times New Roman" w:hAnsi="Times New Roman" w:cs="Times New Roman"/>
        </w:rPr>
        <w:t xml:space="preserve">, it is worth noting that in </w:t>
      </w:r>
      <w:r w:rsidR="00840C67" w:rsidRPr="00621883">
        <w:rPr>
          <w:rFonts w:ascii="Times New Roman" w:hAnsi="Times New Roman" w:cs="Times New Roman"/>
        </w:rPr>
        <w:t xml:space="preserve">Keli </w:t>
      </w:r>
      <w:r w:rsidRPr="00621883">
        <w:rPr>
          <w:rFonts w:ascii="Times New Roman" w:hAnsi="Times New Roman" w:cs="Times New Roman"/>
        </w:rPr>
        <w:t xml:space="preserve">Lane’s case much is made of the fact that on leaving the hospital after the birth of her daughter </w:t>
      </w:r>
      <w:r w:rsidR="003B1EF6" w:rsidRPr="00621883">
        <w:rPr>
          <w:rFonts w:ascii="Times New Roman" w:hAnsi="Times New Roman" w:cs="Times New Roman"/>
        </w:rPr>
        <w:t xml:space="preserve">she </w:t>
      </w:r>
      <w:r w:rsidRPr="00621883">
        <w:rPr>
          <w:rFonts w:ascii="Times New Roman" w:hAnsi="Times New Roman" w:cs="Times New Roman"/>
        </w:rPr>
        <w:t>too goes da</w:t>
      </w:r>
      <w:r w:rsidR="005F6351">
        <w:rPr>
          <w:rFonts w:ascii="Times New Roman" w:hAnsi="Times New Roman" w:cs="Times New Roman"/>
        </w:rPr>
        <w:t>ncing. The implication is clear,</w:t>
      </w:r>
      <w:r w:rsidRPr="00621883">
        <w:rPr>
          <w:rFonts w:ascii="Times New Roman" w:hAnsi="Times New Roman" w:cs="Times New Roman"/>
        </w:rPr>
        <w:t xml:space="preserve"> even if one believes her explanation that she has handed her child over to its father, </w:t>
      </w:r>
      <w:r w:rsidR="002A5CCE" w:rsidRPr="00621883">
        <w:rPr>
          <w:rFonts w:ascii="Times New Roman" w:hAnsi="Times New Roman" w:cs="Times New Roman"/>
        </w:rPr>
        <w:t xml:space="preserve">that this is not the behaviour of a </w:t>
      </w:r>
      <w:r w:rsidR="00840C67" w:rsidRPr="00621883">
        <w:rPr>
          <w:rFonts w:ascii="Times New Roman" w:hAnsi="Times New Roman" w:cs="Times New Roman"/>
        </w:rPr>
        <w:t xml:space="preserve">woman who wants to be a </w:t>
      </w:r>
      <w:r w:rsidR="002A5CCE" w:rsidRPr="00621883">
        <w:rPr>
          <w:rFonts w:ascii="Times New Roman" w:hAnsi="Times New Roman" w:cs="Times New Roman"/>
        </w:rPr>
        <w:t>mother</w:t>
      </w:r>
      <w:r w:rsidR="00840C67" w:rsidRPr="00621883">
        <w:rPr>
          <w:rFonts w:ascii="Times New Roman" w:hAnsi="Times New Roman" w:cs="Times New Roman"/>
        </w:rPr>
        <w:t>,</w:t>
      </w:r>
      <w:r w:rsidR="002A5CCE" w:rsidRPr="00621883">
        <w:rPr>
          <w:rFonts w:ascii="Times New Roman" w:hAnsi="Times New Roman" w:cs="Times New Roman"/>
        </w:rPr>
        <w:t xml:space="preserve"> who </w:t>
      </w:r>
      <w:r w:rsidR="00840C67" w:rsidRPr="00621883">
        <w:rPr>
          <w:rFonts w:ascii="Times New Roman" w:hAnsi="Times New Roman" w:cs="Times New Roman"/>
        </w:rPr>
        <w:t xml:space="preserve">genuinely </w:t>
      </w:r>
      <w:r w:rsidR="007C1F95" w:rsidRPr="00621883">
        <w:rPr>
          <w:rFonts w:ascii="Times New Roman" w:hAnsi="Times New Roman" w:cs="Times New Roman"/>
        </w:rPr>
        <w:t>cares for her child. In the C</w:t>
      </w:r>
      <w:r w:rsidR="002A5CCE" w:rsidRPr="00621883">
        <w:rPr>
          <w:rFonts w:ascii="Times New Roman" w:hAnsi="Times New Roman" w:cs="Times New Roman"/>
        </w:rPr>
        <w:t xml:space="preserve">rown case against Lane, </w:t>
      </w:r>
      <w:r w:rsidR="003B1EF6" w:rsidRPr="00621883">
        <w:rPr>
          <w:rFonts w:ascii="Times New Roman" w:hAnsi="Times New Roman" w:cs="Times New Roman"/>
        </w:rPr>
        <w:t>she too is obsessed with her weight and appear</w:t>
      </w:r>
      <w:r w:rsidR="009B2660" w:rsidRPr="00621883">
        <w:rPr>
          <w:rFonts w:ascii="Times New Roman" w:hAnsi="Times New Roman" w:cs="Times New Roman"/>
        </w:rPr>
        <w:t>ance</w:t>
      </w:r>
      <w:r w:rsidR="00B921C2" w:rsidRPr="00621883">
        <w:rPr>
          <w:rFonts w:ascii="Times New Roman" w:hAnsi="Times New Roman" w:cs="Times New Roman"/>
        </w:rPr>
        <w:t xml:space="preserve"> and </w:t>
      </w:r>
      <w:r w:rsidR="00750950">
        <w:rPr>
          <w:rFonts w:ascii="Times New Roman" w:hAnsi="Times New Roman" w:cs="Times New Roman"/>
        </w:rPr>
        <w:t xml:space="preserve">in her case this </w:t>
      </w:r>
      <w:r w:rsidR="00821655">
        <w:rPr>
          <w:rFonts w:ascii="Times New Roman" w:hAnsi="Times New Roman" w:cs="Times New Roman"/>
        </w:rPr>
        <w:t xml:space="preserve">is more explicitly </w:t>
      </w:r>
      <w:r w:rsidR="00B921C2" w:rsidRPr="00621883">
        <w:rPr>
          <w:rFonts w:ascii="Times New Roman" w:hAnsi="Times New Roman" w:cs="Times New Roman"/>
        </w:rPr>
        <w:t>coupled to the norms of a reserved feminine sexuality</w:t>
      </w:r>
      <w:r w:rsidR="00703E86" w:rsidRPr="00621883">
        <w:rPr>
          <w:rFonts w:ascii="Times New Roman" w:hAnsi="Times New Roman" w:cs="Times New Roman"/>
        </w:rPr>
        <w:t xml:space="preserve">. </w:t>
      </w:r>
      <w:r w:rsidR="00B921C2" w:rsidRPr="00621883">
        <w:rPr>
          <w:rFonts w:ascii="Times New Roman" w:hAnsi="Times New Roman" w:cs="Times New Roman"/>
        </w:rPr>
        <w:t>Tedeschi</w:t>
      </w:r>
      <w:r w:rsidR="00703E86" w:rsidRPr="00621883">
        <w:rPr>
          <w:rFonts w:ascii="Times New Roman" w:hAnsi="Times New Roman" w:cs="Times New Roman"/>
        </w:rPr>
        <w:t>’s submissions to the jury included pointing out she had</w:t>
      </w:r>
      <w:r w:rsidR="00126CC1">
        <w:rPr>
          <w:rFonts w:ascii="Times New Roman" w:hAnsi="Times New Roman" w:cs="Times New Roman"/>
        </w:rPr>
        <w:t>, “</w:t>
      </w:r>
      <w:r w:rsidR="00B921C2" w:rsidRPr="00621883">
        <w:rPr>
          <w:rFonts w:ascii="Times New Roman" w:hAnsi="Times New Roman" w:cs="Times New Roman"/>
        </w:rPr>
        <w:t>a very active social and sex life. A child was just not part of that picture</w:t>
      </w:r>
      <w:r w:rsidR="00126CC1">
        <w:rPr>
          <w:rFonts w:ascii="Times New Roman" w:hAnsi="Times New Roman" w:cs="Times New Roman"/>
        </w:rPr>
        <w:t>” and that, “</w:t>
      </w:r>
      <w:r w:rsidR="001F5DC1">
        <w:rPr>
          <w:rFonts w:ascii="Times New Roman" w:hAnsi="Times New Roman" w:cs="Times New Roman"/>
        </w:rPr>
        <w:t xml:space="preserve">[a] </w:t>
      </w:r>
      <w:r w:rsidR="00B921C2" w:rsidRPr="00621883">
        <w:rPr>
          <w:rFonts w:ascii="Times New Roman" w:hAnsi="Times New Roman" w:cs="Times New Roman"/>
        </w:rPr>
        <w:t>child would put a serious dent in these activities . . . as it would have undoubtedly put a dent in her</w:t>
      </w:r>
      <w:r w:rsidR="00703E86" w:rsidRPr="00621883">
        <w:rPr>
          <w:rFonts w:ascii="Times New Roman" w:hAnsi="Times New Roman" w:cs="Times New Roman"/>
        </w:rPr>
        <w:t xml:space="preserve"> overriding sporting ambitions [</w:t>
      </w:r>
      <w:r w:rsidR="00B921C2" w:rsidRPr="00621883">
        <w:rPr>
          <w:rFonts w:ascii="Times New Roman" w:hAnsi="Times New Roman" w:cs="Times New Roman"/>
        </w:rPr>
        <w:t>to</w:t>
      </w:r>
      <w:r w:rsidR="00703E86" w:rsidRPr="00621883">
        <w:rPr>
          <w:rFonts w:ascii="Times New Roman" w:hAnsi="Times New Roman" w:cs="Times New Roman"/>
        </w:rPr>
        <w:t xml:space="preserve"> play waterpolo for Australia].</w:t>
      </w:r>
      <w:r w:rsidR="00126CC1">
        <w:rPr>
          <w:rFonts w:ascii="Times New Roman" w:hAnsi="Times New Roman" w:cs="Times New Roman"/>
        </w:rPr>
        <w:t>”</w:t>
      </w:r>
      <w:r w:rsidR="004509EC" w:rsidRPr="009D21EA">
        <w:rPr>
          <w:rFonts w:ascii="Times New Roman" w:hAnsi="Times New Roman" w:cs="Times New Roman"/>
          <w:vertAlign w:val="superscript"/>
        </w:rPr>
        <w:footnoteReference w:id="38"/>
      </w:r>
      <w:r w:rsidR="005A223D" w:rsidRPr="00621883">
        <w:rPr>
          <w:rFonts w:ascii="Times New Roman" w:hAnsi="Times New Roman" w:cs="Times New Roman"/>
        </w:rPr>
        <w:t xml:space="preserve"> Coupled with </w:t>
      </w:r>
      <w:r w:rsidR="00614CA7">
        <w:rPr>
          <w:rFonts w:ascii="Times New Roman" w:hAnsi="Times New Roman" w:cs="Times New Roman"/>
        </w:rPr>
        <w:t xml:space="preserve">her promiscuity, </w:t>
      </w:r>
      <w:r w:rsidR="005A223D" w:rsidRPr="00621883">
        <w:rPr>
          <w:rFonts w:ascii="Times New Roman" w:hAnsi="Times New Roman" w:cs="Times New Roman"/>
        </w:rPr>
        <w:t>and her</w:t>
      </w:r>
      <w:r w:rsidR="00B921C2" w:rsidRPr="00621883">
        <w:rPr>
          <w:rFonts w:ascii="Times New Roman" w:hAnsi="Times New Roman" w:cs="Times New Roman"/>
        </w:rPr>
        <w:t xml:space="preserve"> unacceptable</w:t>
      </w:r>
      <w:r w:rsidR="005F6351">
        <w:rPr>
          <w:rFonts w:ascii="Times New Roman" w:hAnsi="Times New Roman" w:cs="Times New Roman"/>
        </w:rPr>
        <w:t>,</w:t>
      </w:r>
      <w:r w:rsidR="00B921C2" w:rsidRPr="00621883">
        <w:rPr>
          <w:rFonts w:ascii="Times New Roman" w:hAnsi="Times New Roman" w:cs="Times New Roman"/>
        </w:rPr>
        <w:t xml:space="preserve"> </w:t>
      </w:r>
      <w:r w:rsidR="00821655">
        <w:rPr>
          <w:rFonts w:ascii="Times New Roman" w:hAnsi="Times New Roman" w:cs="Times New Roman"/>
        </w:rPr>
        <w:t>self-cent</w:t>
      </w:r>
      <w:r w:rsidR="009B2660" w:rsidRPr="00621883">
        <w:rPr>
          <w:rFonts w:ascii="Times New Roman" w:hAnsi="Times New Roman" w:cs="Times New Roman"/>
        </w:rPr>
        <w:t>red</w:t>
      </w:r>
      <w:r w:rsidR="005A223D" w:rsidRPr="00621883">
        <w:rPr>
          <w:rFonts w:ascii="Times New Roman" w:hAnsi="Times New Roman" w:cs="Times New Roman"/>
        </w:rPr>
        <w:t xml:space="preserve"> immaturity </w:t>
      </w:r>
      <w:r w:rsidR="00614CA7">
        <w:rPr>
          <w:rFonts w:ascii="Times New Roman" w:hAnsi="Times New Roman" w:cs="Times New Roman"/>
        </w:rPr>
        <w:t xml:space="preserve">and ambition, </w:t>
      </w:r>
      <w:r w:rsidR="005A223D" w:rsidRPr="00621883">
        <w:rPr>
          <w:rFonts w:ascii="Times New Roman" w:hAnsi="Times New Roman" w:cs="Times New Roman"/>
        </w:rPr>
        <w:t xml:space="preserve">is the </w:t>
      </w:r>
      <w:r w:rsidR="00B921C2" w:rsidRPr="00621883">
        <w:rPr>
          <w:rFonts w:ascii="Times New Roman" w:hAnsi="Times New Roman" w:cs="Times New Roman"/>
        </w:rPr>
        <w:t xml:space="preserve">expressed disbelief that an intelligent, educated woman, from a good family, could have (so many) accidental pregnancies.  </w:t>
      </w:r>
      <w:r w:rsidR="002A5CCE" w:rsidRPr="00621883">
        <w:rPr>
          <w:rFonts w:ascii="Times New Roman" w:hAnsi="Times New Roman" w:cs="Times New Roman"/>
        </w:rPr>
        <w:t xml:space="preserve">Even more extraordinarily, Tedeschi argues before the jury </w:t>
      </w:r>
      <w:r w:rsidR="003B1EF6" w:rsidRPr="00621883">
        <w:rPr>
          <w:rFonts w:ascii="Times New Roman" w:hAnsi="Times New Roman" w:cs="Times New Roman"/>
        </w:rPr>
        <w:t xml:space="preserve">that the fact that </w:t>
      </w:r>
      <w:r w:rsidR="002A5CCE" w:rsidRPr="00621883">
        <w:rPr>
          <w:rFonts w:ascii="Times New Roman" w:hAnsi="Times New Roman" w:cs="Times New Roman"/>
        </w:rPr>
        <w:t>Lane</w:t>
      </w:r>
      <w:r w:rsidR="003B1EF6" w:rsidRPr="00621883">
        <w:rPr>
          <w:rFonts w:ascii="Times New Roman" w:hAnsi="Times New Roman" w:cs="Times New Roman"/>
        </w:rPr>
        <w:t xml:space="preserve"> accepts a job while pregnant</w:t>
      </w:r>
      <w:r w:rsidR="002A5CCE" w:rsidRPr="00621883">
        <w:rPr>
          <w:rFonts w:ascii="Times New Roman" w:hAnsi="Times New Roman" w:cs="Times New Roman"/>
        </w:rPr>
        <w:t xml:space="preserve">, knowing that it is due </w:t>
      </w:r>
      <w:r w:rsidR="003B1EF6" w:rsidRPr="00621883">
        <w:rPr>
          <w:rFonts w:ascii="Times New Roman" w:hAnsi="Times New Roman" w:cs="Times New Roman"/>
        </w:rPr>
        <w:t>to commence shortly after the birth of the child</w:t>
      </w:r>
      <w:r w:rsidR="00126CC1">
        <w:rPr>
          <w:rFonts w:ascii="Times New Roman" w:hAnsi="Times New Roman" w:cs="Times New Roman"/>
        </w:rPr>
        <w:t>, “</w:t>
      </w:r>
      <w:r w:rsidR="00B129CB" w:rsidRPr="00621883">
        <w:rPr>
          <w:rFonts w:ascii="Times New Roman" w:hAnsi="Times New Roman" w:cs="Times New Roman"/>
        </w:rPr>
        <w:t>show[ed] only too vividly that she had no intention of ever taking Tegan home</w:t>
      </w:r>
      <w:r w:rsidR="004509EC" w:rsidRPr="00621883">
        <w:rPr>
          <w:rFonts w:ascii="Times New Roman" w:hAnsi="Times New Roman" w:cs="Times New Roman"/>
        </w:rPr>
        <w:t>.</w:t>
      </w:r>
      <w:r w:rsidR="00126CC1">
        <w:rPr>
          <w:rFonts w:ascii="Times New Roman" w:hAnsi="Times New Roman" w:cs="Times New Roman"/>
        </w:rPr>
        <w:t>”</w:t>
      </w:r>
      <w:r w:rsidR="004509EC" w:rsidRPr="009D21EA">
        <w:rPr>
          <w:rFonts w:ascii="Times New Roman" w:hAnsi="Times New Roman" w:cs="Times New Roman"/>
          <w:vertAlign w:val="superscript"/>
        </w:rPr>
        <w:footnoteReference w:id="39"/>
      </w:r>
      <w:r w:rsidR="00E9360C" w:rsidRPr="00621883">
        <w:rPr>
          <w:rFonts w:ascii="Times New Roman" w:hAnsi="Times New Roman" w:cs="Times New Roman"/>
        </w:rPr>
        <w:t xml:space="preserve"> In Tedeschi’s narrative, all of her actions </w:t>
      </w:r>
      <w:r w:rsidR="00E9360C" w:rsidRPr="00621883">
        <w:rPr>
          <w:rFonts w:ascii="Times New Roman" w:hAnsi="Times New Roman" w:cs="Times New Roman"/>
        </w:rPr>
        <w:lastRenderedPageBreak/>
        <w:t>in response to her pregnancies, the adoption</w:t>
      </w:r>
      <w:r w:rsidR="00DC20C8">
        <w:rPr>
          <w:rFonts w:ascii="Times New Roman" w:hAnsi="Times New Roman" w:cs="Times New Roman"/>
        </w:rPr>
        <w:t>s</w:t>
      </w:r>
      <w:r w:rsidR="00E9360C" w:rsidRPr="00621883">
        <w:rPr>
          <w:rFonts w:ascii="Times New Roman" w:hAnsi="Times New Roman" w:cs="Times New Roman"/>
        </w:rPr>
        <w:t>, the termination</w:t>
      </w:r>
      <w:r w:rsidR="00DC20C8">
        <w:rPr>
          <w:rFonts w:ascii="Times New Roman" w:hAnsi="Times New Roman" w:cs="Times New Roman"/>
        </w:rPr>
        <w:t>s</w:t>
      </w:r>
      <w:r w:rsidR="00E9360C" w:rsidRPr="00621883">
        <w:rPr>
          <w:rFonts w:ascii="Times New Roman" w:hAnsi="Times New Roman" w:cs="Times New Roman"/>
        </w:rPr>
        <w:t xml:space="preserve">, the </w:t>
      </w:r>
      <w:r w:rsidR="00DC20C8">
        <w:rPr>
          <w:rFonts w:ascii="Times New Roman" w:hAnsi="Times New Roman" w:cs="Times New Roman"/>
        </w:rPr>
        <w:t xml:space="preserve">(alleged) </w:t>
      </w:r>
      <w:r w:rsidR="00E9360C" w:rsidRPr="00621883">
        <w:rPr>
          <w:rFonts w:ascii="Times New Roman" w:hAnsi="Times New Roman" w:cs="Times New Roman"/>
        </w:rPr>
        <w:t xml:space="preserve">murder, become morally equivalent and equally suspect, and all are evidence of her </w:t>
      </w:r>
      <w:r w:rsidR="00126CC1">
        <w:rPr>
          <w:rFonts w:ascii="Times New Roman" w:hAnsi="Times New Roman" w:cs="Times New Roman"/>
        </w:rPr>
        <w:t>“</w:t>
      </w:r>
      <w:r w:rsidR="00E9360C" w:rsidRPr="00621883">
        <w:rPr>
          <w:rFonts w:ascii="Times New Roman" w:hAnsi="Times New Roman" w:cs="Times New Roman"/>
        </w:rPr>
        <w:t>tend</w:t>
      </w:r>
      <w:r w:rsidR="00126CC1">
        <w:rPr>
          <w:rFonts w:ascii="Times New Roman" w:hAnsi="Times New Roman" w:cs="Times New Roman"/>
        </w:rPr>
        <w:t>ency to dispose of her children.”</w:t>
      </w:r>
      <w:r w:rsidR="00E9360C" w:rsidRPr="009D21EA">
        <w:rPr>
          <w:rFonts w:ascii="Times New Roman" w:hAnsi="Times New Roman" w:cs="Times New Roman"/>
          <w:vertAlign w:val="superscript"/>
        </w:rPr>
        <w:footnoteReference w:id="40"/>
      </w:r>
      <w:r w:rsidR="00B921C2" w:rsidRPr="009D21EA">
        <w:rPr>
          <w:rFonts w:ascii="Times New Roman" w:hAnsi="Times New Roman" w:cs="Times New Roman"/>
          <w:vertAlign w:val="superscript"/>
        </w:rPr>
        <w:t xml:space="preserve"> </w:t>
      </w:r>
      <w:r w:rsidR="002A5CCE" w:rsidRPr="00621883">
        <w:rPr>
          <w:rFonts w:ascii="Times New Roman" w:hAnsi="Times New Roman" w:cs="Times New Roman"/>
        </w:rPr>
        <w:t xml:space="preserve">It is perhaps too easy to note, </w:t>
      </w:r>
      <w:r w:rsidR="007D2C4F" w:rsidRPr="00621883">
        <w:rPr>
          <w:rFonts w:ascii="Times New Roman" w:hAnsi="Times New Roman" w:cs="Times New Roman"/>
        </w:rPr>
        <w:t>also</w:t>
      </w:r>
      <w:r w:rsidR="002A5CCE" w:rsidRPr="00621883">
        <w:rPr>
          <w:rFonts w:ascii="Times New Roman" w:hAnsi="Times New Roman" w:cs="Times New Roman"/>
        </w:rPr>
        <w:t xml:space="preserve">, that </w:t>
      </w:r>
      <w:r w:rsidR="00FA7C67" w:rsidRPr="00621883">
        <w:rPr>
          <w:rFonts w:ascii="Times New Roman" w:hAnsi="Times New Roman" w:cs="Times New Roman"/>
        </w:rPr>
        <w:t xml:space="preserve">according to </w:t>
      </w:r>
      <w:r w:rsidR="00DC20C8">
        <w:rPr>
          <w:rFonts w:ascii="Times New Roman" w:hAnsi="Times New Roman" w:cs="Times New Roman"/>
          <w:i/>
        </w:rPr>
        <w:t>Woma</w:t>
      </w:r>
      <w:r w:rsidR="00FA7C67" w:rsidRPr="009D21EA">
        <w:rPr>
          <w:rFonts w:ascii="Times New Roman" w:hAnsi="Times New Roman" w:cs="Times New Roman"/>
          <w:i/>
        </w:rPr>
        <w:t>n’</w:t>
      </w:r>
      <w:r w:rsidR="007D2C4F" w:rsidRPr="009D21EA">
        <w:rPr>
          <w:rFonts w:ascii="Times New Roman" w:hAnsi="Times New Roman" w:cs="Times New Roman"/>
          <w:i/>
        </w:rPr>
        <w:t>s Day</w:t>
      </w:r>
      <w:r w:rsidR="007D2C4F" w:rsidRPr="00621883">
        <w:rPr>
          <w:rFonts w:ascii="Times New Roman" w:hAnsi="Times New Roman" w:cs="Times New Roman"/>
        </w:rPr>
        <w:t xml:space="preserve">, Lane </w:t>
      </w:r>
      <w:r w:rsidR="002A5CCE" w:rsidRPr="00621883">
        <w:rPr>
          <w:rFonts w:ascii="Times New Roman" w:hAnsi="Times New Roman" w:cs="Times New Roman"/>
        </w:rPr>
        <w:t>remains</w:t>
      </w:r>
      <w:r w:rsidR="007D2C4F" w:rsidRPr="00621883">
        <w:rPr>
          <w:rFonts w:ascii="Times New Roman" w:hAnsi="Times New Roman" w:cs="Times New Roman"/>
        </w:rPr>
        <w:t xml:space="preserve"> preoccupied with her weight (though she has lost a lot) and the mother of Ebony is </w:t>
      </w:r>
      <w:r w:rsidR="002A5CCE" w:rsidRPr="00621883">
        <w:rPr>
          <w:rFonts w:ascii="Times New Roman" w:hAnsi="Times New Roman" w:cs="Times New Roman"/>
        </w:rPr>
        <w:t xml:space="preserve">likewise </w:t>
      </w:r>
      <w:r w:rsidR="007D2C4F" w:rsidRPr="00621883">
        <w:rPr>
          <w:rFonts w:ascii="Times New Roman" w:hAnsi="Times New Roman" w:cs="Times New Roman"/>
        </w:rPr>
        <w:t>obsessed with her hair and make-up</w:t>
      </w:r>
      <w:r w:rsidR="002A5CCE" w:rsidRPr="00621883">
        <w:rPr>
          <w:rFonts w:ascii="Times New Roman" w:hAnsi="Times New Roman" w:cs="Times New Roman"/>
        </w:rPr>
        <w:t>.</w:t>
      </w:r>
      <w:r w:rsidR="00126CC1">
        <w:rPr>
          <w:rFonts w:ascii="Times New Roman" w:hAnsi="Times New Roman" w:cs="Times New Roman"/>
        </w:rPr>
        <w:t xml:space="preserve"> By contrast, Folbigg is “fit and well”</w:t>
      </w:r>
      <w:r w:rsidR="005F6351">
        <w:rPr>
          <w:rFonts w:ascii="Times New Roman" w:hAnsi="Times New Roman" w:cs="Times New Roman"/>
        </w:rPr>
        <w:t>,</w:t>
      </w:r>
      <w:r w:rsidR="00126CC1">
        <w:rPr>
          <w:rFonts w:ascii="Times New Roman" w:hAnsi="Times New Roman" w:cs="Times New Roman"/>
        </w:rPr>
        <w:t xml:space="preserve"> she is </w:t>
      </w:r>
      <w:r w:rsidR="00820D8D" w:rsidRPr="00621883">
        <w:rPr>
          <w:rFonts w:ascii="Times New Roman" w:hAnsi="Times New Roman" w:cs="Times New Roman"/>
        </w:rPr>
        <w:t>adjusted to her new life</w:t>
      </w:r>
      <w:r w:rsidR="00126CC1">
        <w:rPr>
          <w:rFonts w:ascii="Times New Roman" w:hAnsi="Times New Roman" w:cs="Times New Roman"/>
        </w:rPr>
        <w:t>, “prison routine agrees with her.”</w:t>
      </w:r>
      <w:r w:rsidR="001B377F" w:rsidRPr="00621883">
        <w:rPr>
          <w:rFonts w:ascii="Times New Roman" w:hAnsi="Times New Roman" w:cs="Times New Roman"/>
        </w:rPr>
        <w:t xml:space="preserve"> She smiles.</w:t>
      </w:r>
    </w:p>
    <w:p w:rsidR="00131A19" w:rsidRPr="00621883" w:rsidRDefault="00131A19" w:rsidP="00AB4819">
      <w:pPr>
        <w:spacing w:line="276" w:lineRule="auto"/>
        <w:jc w:val="both"/>
        <w:rPr>
          <w:rFonts w:ascii="Times New Roman" w:hAnsi="Times New Roman" w:cs="Times New Roman"/>
        </w:rPr>
      </w:pPr>
    </w:p>
    <w:p w:rsidR="00821655" w:rsidRDefault="00FA7C67" w:rsidP="00AB4819">
      <w:pPr>
        <w:spacing w:line="276" w:lineRule="auto"/>
        <w:jc w:val="both"/>
        <w:rPr>
          <w:rFonts w:ascii="Times New Roman" w:hAnsi="Times New Roman" w:cs="Times New Roman"/>
        </w:rPr>
      </w:pPr>
      <w:r w:rsidRPr="00621883">
        <w:rPr>
          <w:rFonts w:ascii="Times New Roman" w:hAnsi="Times New Roman" w:cs="Times New Roman"/>
        </w:rPr>
        <w:t xml:space="preserve">But </w:t>
      </w:r>
      <w:r w:rsidR="008E6A14" w:rsidRPr="00621883">
        <w:rPr>
          <w:rFonts w:ascii="Times New Roman" w:hAnsi="Times New Roman" w:cs="Times New Roman"/>
        </w:rPr>
        <w:t>at the same time</w:t>
      </w:r>
      <w:r w:rsidRPr="00621883">
        <w:rPr>
          <w:rFonts w:ascii="Times New Roman" w:hAnsi="Times New Roman" w:cs="Times New Roman"/>
        </w:rPr>
        <w:t>, as a further means of undermining Folbigg’s care of her family, Tedeschi</w:t>
      </w:r>
      <w:r w:rsidR="008E6A14" w:rsidRPr="00621883">
        <w:rPr>
          <w:rFonts w:ascii="Times New Roman" w:hAnsi="Times New Roman" w:cs="Times New Roman"/>
        </w:rPr>
        <w:t xml:space="preserve"> constructs a narrative of the overbearing</w:t>
      </w:r>
      <w:r w:rsidR="005F6351">
        <w:rPr>
          <w:rFonts w:ascii="Times New Roman" w:hAnsi="Times New Roman" w:cs="Times New Roman"/>
        </w:rPr>
        <w:t>, controlling, dominant mother—</w:t>
      </w:r>
      <w:r w:rsidR="008E6A14" w:rsidRPr="00621883">
        <w:rPr>
          <w:rFonts w:ascii="Times New Roman" w:hAnsi="Times New Roman" w:cs="Times New Roman"/>
        </w:rPr>
        <w:t>obsessed with routines</w:t>
      </w:r>
      <w:r w:rsidR="00794B45" w:rsidRPr="00621883">
        <w:rPr>
          <w:rFonts w:ascii="Times New Roman" w:hAnsi="Times New Roman" w:cs="Times New Roman"/>
        </w:rPr>
        <w:t>, unwilling to allow the father to contribute</w:t>
      </w:r>
      <w:r w:rsidR="005F6351">
        <w:rPr>
          <w:rFonts w:ascii="Times New Roman" w:hAnsi="Times New Roman" w:cs="Times New Roman"/>
        </w:rPr>
        <w:t>—</w:t>
      </w:r>
      <w:r w:rsidR="007D2C4F" w:rsidRPr="00621883">
        <w:rPr>
          <w:rFonts w:ascii="Times New Roman" w:hAnsi="Times New Roman" w:cs="Times New Roman"/>
        </w:rPr>
        <w:t>who is headed, inevitably, towards a battle of wills in which her children will lose</w:t>
      </w:r>
      <w:r w:rsidR="006C16EE" w:rsidRPr="00621883">
        <w:rPr>
          <w:rFonts w:ascii="Times New Roman" w:hAnsi="Times New Roman" w:cs="Times New Roman"/>
        </w:rPr>
        <w:t xml:space="preserve">. </w:t>
      </w:r>
      <w:r w:rsidR="003D6065">
        <w:rPr>
          <w:rFonts w:ascii="Times New Roman" w:hAnsi="Times New Roman" w:cs="Times New Roman"/>
        </w:rPr>
        <w:t xml:space="preserve">Just as Tedeschi has pointed us to </w:t>
      </w:r>
      <w:r w:rsidR="00130C6D">
        <w:rPr>
          <w:rFonts w:ascii="Times New Roman" w:hAnsi="Times New Roman" w:cs="Times New Roman"/>
        </w:rPr>
        <w:t>Folbigg’s</w:t>
      </w:r>
      <w:r w:rsidR="003D6065">
        <w:rPr>
          <w:rFonts w:ascii="Times New Roman" w:hAnsi="Times New Roman" w:cs="Times New Roman"/>
        </w:rPr>
        <w:t xml:space="preserve"> obsession with her own appearance, he warns us not </w:t>
      </w:r>
      <w:r w:rsidR="00A65EC8">
        <w:rPr>
          <w:rFonts w:ascii="Times New Roman" w:hAnsi="Times New Roman" w:cs="Times New Roman"/>
        </w:rPr>
        <w:t>to be fooled by appearances. It is perhaps worth noting here how this maps onto conventional understandings of that figure of maternal deception, the MSbP mother whose apparent care for her children is in fact a manifestation of a pathological desire for attention.</w:t>
      </w:r>
      <w:bookmarkStart w:id="12" w:name="_Ref223496408"/>
      <w:r w:rsidR="00B071FE" w:rsidRPr="00621883">
        <w:rPr>
          <w:rStyle w:val="FootnoteReference"/>
          <w:rFonts w:ascii="Times New Roman" w:hAnsi="Times New Roman" w:cs="Times New Roman"/>
        </w:rPr>
        <w:footnoteReference w:id="41"/>
      </w:r>
      <w:bookmarkEnd w:id="12"/>
      <w:r w:rsidR="006C16EE" w:rsidRPr="00621883">
        <w:rPr>
          <w:rFonts w:ascii="Times New Roman" w:hAnsi="Times New Roman" w:cs="Times New Roman"/>
        </w:rPr>
        <w:t>And by</w:t>
      </w:r>
      <w:r w:rsidR="001D53D7" w:rsidRPr="00621883">
        <w:rPr>
          <w:rFonts w:ascii="Times New Roman" w:hAnsi="Times New Roman" w:cs="Times New Roman"/>
        </w:rPr>
        <w:t xml:space="preserve"> revealing </w:t>
      </w:r>
      <w:r w:rsidR="00A97484">
        <w:rPr>
          <w:rFonts w:ascii="Times New Roman" w:hAnsi="Times New Roman" w:cs="Times New Roman"/>
        </w:rPr>
        <w:t>Kathleen Folbigg’s</w:t>
      </w:r>
      <w:r w:rsidR="003D6065">
        <w:rPr>
          <w:rFonts w:ascii="Times New Roman" w:hAnsi="Times New Roman" w:cs="Times New Roman"/>
        </w:rPr>
        <w:t xml:space="preserve"> apparently caring</w:t>
      </w:r>
      <w:r w:rsidR="00A97484">
        <w:rPr>
          <w:rFonts w:ascii="Times New Roman" w:hAnsi="Times New Roman" w:cs="Times New Roman"/>
        </w:rPr>
        <w:t>, good,</w:t>
      </w:r>
      <w:r w:rsidR="003D6065">
        <w:rPr>
          <w:rFonts w:ascii="Times New Roman" w:hAnsi="Times New Roman" w:cs="Times New Roman"/>
        </w:rPr>
        <w:t xml:space="preserve"> </w:t>
      </w:r>
      <w:r w:rsidR="001D53D7" w:rsidRPr="00621883">
        <w:rPr>
          <w:rFonts w:ascii="Times New Roman" w:hAnsi="Times New Roman" w:cs="Times New Roman"/>
        </w:rPr>
        <w:t>mothering as overbearing</w:t>
      </w:r>
      <w:r w:rsidR="00A97484" w:rsidRPr="00A97484">
        <w:rPr>
          <w:rFonts w:ascii="Times New Roman" w:hAnsi="Times New Roman" w:cs="Times New Roman"/>
        </w:rPr>
        <w:t xml:space="preserve"> </w:t>
      </w:r>
      <w:r w:rsidR="00A97484">
        <w:rPr>
          <w:rFonts w:ascii="Times New Roman" w:hAnsi="Times New Roman" w:cs="Times New Roman"/>
        </w:rPr>
        <w:t>and potentially monstrous</w:t>
      </w:r>
      <w:r w:rsidR="001D53D7" w:rsidRPr="00621883">
        <w:rPr>
          <w:rFonts w:ascii="Times New Roman" w:hAnsi="Times New Roman" w:cs="Times New Roman"/>
        </w:rPr>
        <w:t xml:space="preserve">, Tedeschi </w:t>
      </w:r>
      <w:r w:rsidR="0084632D" w:rsidRPr="00621883">
        <w:rPr>
          <w:rFonts w:ascii="Times New Roman" w:hAnsi="Times New Roman" w:cs="Times New Roman"/>
        </w:rPr>
        <w:t xml:space="preserve">is able to make far more of the </w:t>
      </w:r>
      <w:r w:rsidR="00672ECC" w:rsidRPr="00621883">
        <w:rPr>
          <w:rFonts w:ascii="Times New Roman" w:hAnsi="Times New Roman" w:cs="Times New Roman"/>
        </w:rPr>
        <w:t>cracks</w:t>
      </w:r>
      <w:r w:rsidR="0084632D" w:rsidRPr="00621883">
        <w:rPr>
          <w:rFonts w:ascii="Times New Roman" w:hAnsi="Times New Roman" w:cs="Times New Roman"/>
        </w:rPr>
        <w:t xml:space="preserve"> in appearances</w:t>
      </w:r>
      <w:r w:rsidR="00672ECC" w:rsidRPr="00621883">
        <w:rPr>
          <w:rFonts w:ascii="Times New Roman" w:hAnsi="Times New Roman" w:cs="Times New Roman"/>
        </w:rPr>
        <w:t xml:space="preserve">, via the evidence of Craig Folbigg, </w:t>
      </w:r>
      <w:r w:rsidR="0084632D" w:rsidRPr="00621883">
        <w:rPr>
          <w:rFonts w:ascii="Times New Roman" w:hAnsi="Times New Roman" w:cs="Times New Roman"/>
        </w:rPr>
        <w:t>the evidence of expressions of</w:t>
      </w:r>
      <w:r w:rsidR="00672ECC" w:rsidRPr="00621883">
        <w:rPr>
          <w:rFonts w:ascii="Times New Roman" w:hAnsi="Times New Roman" w:cs="Times New Roman"/>
        </w:rPr>
        <w:t xml:space="preserve"> temper and lack of control</w:t>
      </w:r>
      <w:r w:rsidR="006C16EE" w:rsidRPr="00621883">
        <w:rPr>
          <w:rFonts w:ascii="Times New Roman" w:hAnsi="Times New Roman" w:cs="Times New Roman"/>
        </w:rPr>
        <w:t xml:space="preserve">, that </w:t>
      </w:r>
      <w:r w:rsidR="00256BD6" w:rsidRPr="00621883">
        <w:rPr>
          <w:rFonts w:ascii="Times New Roman" w:hAnsi="Times New Roman" w:cs="Times New Roman"/>
        </w:rPr>
        <w:t xml:space="preserve">seem to </w:t>
      </w:r>
      <w:r w:rsidR="006C16EE" w:rsidRPr="00621883">
        <w:rPr>
          <w:rFonts w:ascii="Times New Roman" w:hAnsi="Times New Roman" w:cs="Times New Roman"/>
        </w:rPr>
        <w:t>take the defence by surprise and places them in an invidious position</w:t>
      </w:r>
      <w:r w:rsidR="001D53D7" w:rsidRPr="00621883">
        <w:rPr>
          <w:rFonts w:ascii="Times New Roman" w:hAnsi="Times New Roman" w:cs="Times New Roman"/>
        </w:rPr>
        <w:t>.</w:t>
      </w:r>
      <w:r w:rsidR="006C16EE" w:rsidRPr="00621883">
        <w:rPr>
          <w:rStyle w:val="FootnoteReference"/>
          <w:rFonts w:ascii="Times New Roman" w:hAnsi="Times New Roman" w:cs="Times New Roman"/>
        </w:rPr>
        <w:footnoteReference w:id="42"/>
      </w:r>
      <w:r w:rsidR="00B07F57" w:rsidRPr="00621883">
        <w:rPr>
          <w:rFonts w:ascii="Times New Roman" w:hAnsi="Times New Roman" w:cs="Times New Roman"/>
        </w:rPr>
        <w:t xml:space="preserve"> </w:t>
      </w:r>
    </w:p>
    <w:p w:rsidR="00821655" w:rsidRDefault="00821655" w:rsidP="00AB4819">
      <w:pPr>
        <w:spacing w:line="276" w:lineRule="auto"/>
        <w:jc w:val="both"/>
        <w:rPr>
          <w:rFonts w:ascii="Times New Roman" w:hAnsi="Times New Roman" w:cs="Times New Roman"/>
        </w:rPr>
      </w:pPr>
    </w:p>
    <w:p w:rsidR="001C5A50" w:rsidRDefault="001D53D7" w:rsidP="00AB4819">
      <w:pPr>
        <w:spacing w:line="276" w:lineRule="auto"/>
        <w:jc w:val="both"/>
        <w:rPr>
          <w:rFonts w:ascii="Times New Roman" w:hAnsi="Times New Roman" w:cs="Times New Roman"/>
        </w:rPr>
      </w:pPr>
      <w:r w:rsidRPr="00621883">
        <w:rPr>
          <w:rFonts w:ascii="Times New Roman" w:hAnsi="Times New Roman" w:cs="Times New Roman"/>
        </w:rPr>
        <w:lastRenderedPageBreak/>
        <w:t>Finally</w:t>
      </w:r>
      <w:r w:rsidR="002B6284" w:rsidRPr="00621883">
        <w:rPr>
          <w:rFonts w:ascii="Times New Roman" w:hAnsi="Times New Roman" w:cs="Times New Roman"/>
        </w:rPr>
        <w:t xml:space="preserve">, building on the </w:t>
      </w:r>
      <w:r w:rsidR="003133A0" w:rsidRPr="00621883">
        <w:rPr>
          <w:rFonts w:ascii="Times New Roman" w:hAnsi="Times New Roman" w:cs="Times New Roman"/>
        </w:rPr>
        <w:t>revelation</w:t>
      </w:r>
      <w:r w:rsidR="002B6284" w:rsidRPr="00621883">
        <w:rPr>
          <w:rFonts w:ascii="Times New Roman" w:hAnsi="Times New Roman" w:cs="Times New Roman"/>
        </w:rPr>
        <w:t xml:space="preserve"> that Folbigg’s </w:t>
      </w:r>
      <w:r w:rsidR="003133A0" w:rsidRPr="00621883">
        <w:rPr>
          <w:rFonts w:ascii="Times New Roman" w:hAnsi="Times New Roman" w:cs="Times New Roman"/>
        </w:rPr>
        <w:t>mothering</w:t>
      </w:r>
      <w:r w:rsidR="002B6284" w:rsidRPr="00621883">
        <w:rPr>
          <w:rFonts w:ascii="Times New Roman" w:hAnsi="Times New Roman" w:cs="Times New Roman"/>
        </w:rPr>
        <w:t xml:space="preserve"> was in fact not a demonstration of care, but rather a manifestation o</w:t>
      </w:r>
      <w:r w:rsidR="003133A0" w:rsidRPr="00621883">
        <w:rPr>
          <w:rFonts w:ascii="Times New Roman" w:hAnsi="Times New Roman" w:cs="Times New Roman"/>
        </w:rPr>
        <w:t xml:space="preserve">f her (improper) </w:t>
      </w:r>
      <w:r w:rsidR="002B6284" w:rsidRPr="00621883">
        <w:rPr>
          <w:rFonts w:ascii="Times New Roman" w:hAnsi="Times New Roman" w:cs="Times New Roman"/>
        </w:rPr>
        <w:t>desire for control,</w:t>
      </w:r>
      <w:r w:rsidRPr="00621883">
        <w:rPr>
          <w:rFonts w:ascii="Times New Roman" w:hAnsi="Times New Roman" w:cs="Times New Roman"/>
        </w:rPr>
        <w:t xml:space="preserve"> </w:t>
      </w:r>
      <w:r w:rsidR="002B6284" w:rsidRPr="00621883">
        <w:rPr>
          <w:rFonts w:ascii="Times New Roman" w:hAnsi="Times New Roman" w:cs="Times New Roman"/>
        </w:rPr>
        <w:t>Tedeschi uses her</w:t>
      </w:r>
      <w:r w:rsidR="00672ECC" w:rsidRPr="00621883">
        <w:rPr>
          <w:rFonts w:ascii="Times New Roman" w:hAnsi="Times New Roman" w:cs="Times New Roman"/>
        </w:rPr>
        <w:t xml:space="preserve"> diaries</w:t>
      </w:r>
      <w:r w:rsidR="00794B45" w:rsidRPr="00621883">
        <w:rPr>
          <w:rFonts w:ascii="Times New Roman" w:hAnsi="Times New Roman" w:cs="Times New Roman"/>
        </w:rPr>
        <w:t xml:space="preserve"> as confessionals, </w:t>
      </w:r>
      <w:r w:rsidR="0025655E" w:rsidRPr="00621883">
        <w:rPr>
          <w:rFonts w:ascii="Times New Roman" w:hAnsi="Times New Roman" w:cs="Times New Roman"/>
        </w:rPr>
        <w:t xml:space="preserve">as Emma points out, </w:t>
      </w:r>
      <w:r w:rsidR="00794B45" w:rsidRPr="00621883">
        <w:rPr>
          <w:rFonts w:ascii="Times New Roman" w:hAnsi="Times New Roman" w:cs="Times New Roman"/>
        </w:rPr>
        <w:t xml:space="preserve">to reveal the ‘true’ </w:t>
      </w:r>
      <w:r w:rsidR="006C16EE" w:rsidRPr="00621883">
        <w:rPr>
          <w:rFonts w:ascii="Times New Roman" w:hAnsi="Times New Roman" w:cs="Times New Roman"/>
        </w:rPr>
        <w:t>nature</w:t>
      </w:r>
      <w:r w:rsidR="00794B45" w:rsidRPr="00621883">
        <w:rPr>
          <w:rFonts w:ascii="Times New Roman" w:hAnsi="Times New Roman" w:cs="Times New Roman"/>
        </w:rPr>
        <w:t xml:space="preserve"> of </w:t>
      </w:r>
      <w:r w:rsidR="005F389D" w:rsidRPr="00621883">
        <w:rPr>
          <w:rFonts w:ascii="Times New Roman" w:hAnsi="Times New Roman" w:cs="Times New Roman"/>
        </w:rPr>
        <w:t>Folbigg’s mothering by way of the ‘machine’ for reading her true state of mind.</w:t>
      </w:r>
      <w:r w:rsidR="005F389D" w:rsidRPr="00621883">
        <w:rPr>
          <w:rStyle w:val="FootnoteReference"/>
          <w:rFonts w:ascii="Times New Roman" w:hAnsi="Times New Roman" w:cs="Times New Roman"/>
        </w:rPr>
        <w:t xml:space="preserve"> </w:t>
      </w:r>
      <w:r w:rsidR="005F389D" w:rsidRPr="00621883">
        <w:rPr>
          <w:rStyle w:val="FootnoteReference"/>
          <w:rFonts w:ascii="Times New Roman" w:hAnsi="Times New Roman" w:cs="Times New Roman"/>
        </w:rPr>
        <w:footnoteReference w:id="43"/>
      </w:r>
      <w:r w:rsidR="005F389D" w:rsidRPr="00621883">
        <w:rPr>
          <w:rFonts w:ascii="Times New Roman" w:hAnsi="Times New Roman" w:cs="Times New Roman"/>
        </w:rPr>
        <w:t xml:space="preserve"> </w:t>
      </w:r>
      <w:r w:rsidR="0084632D" w:rsidRPr="00621883">
        <w:rPr>
          <w:rFonts w:ascii="Times New Roman" w:hAnsi="Times New Roman" w:cs="Times New Roman"/>
        </w:rPr>
        <w:t xml:space="preserve">Thus the emphasis on the way that the diaries record this battle of wills, as well as Folbigg’s day to day preoccupations, which include comments on her sense of </w:t>
      </w:r>
      <w:r w:rsidR="00AB535B" w:rsidRPr="00621883">
        <w:rPr>
          <w:rFonts w:ascii="Times New Roman" w:hAnsi="Times New Roman" w:cs="Times New Roman"/>
        </w:rPr>
        <w:t xml:space="preserve">her own </w:t>
      </w:r>
      <w:r w:rsidR="0084632D" w:rsidRPr="00621883">
        <w:rPr>
          <w:rFonts w:ascii="Times New Roman" w:hAnsi="Times New Roman" w:cs="Times New Roman"/>
        </w:rPr>
        <w:t xml:space="preserve">well being. </w:t>
      </w:r>
      <w:r w:rsidR="005F389D" w:rsidRPr="00621883">
        <w:rPr>
          <w:rFonts w:ascii="Times New Roman" w:hAnsi="Times New Roman" w:cs="Times New Roman"/>
        </w:rPr>
        <w:t xml:space="preserve">This point reverberates in the list of </w:t>
      </w:r>
      <w:r w:rsidR="00AB535B" w:rsidRPr="00621883">
        <w:rPr>
          <w:rFonts w:ascii="Times New Roman" w:hAnsi="Times New Roman" w:cs="Times New Roman"/>
        </w:rPr>
        <w:t xml:space="preserve">‘striking </w:t>
      </w:r>
      <w:r w:rsidR="005F389D" w:rsidRPr="00621883">
        <w:rPr>
          <w:rFonts w:ascii="Times New Roman" w:hAnsi="Times New Roman" w:cs="Times New Roman"/>
        </w:rPr>
        <w:t>similarities</w:t>
      </w:r>
      <w:r w:rsidR="00AB535B" w:rsidRPr="00621883">
        <w:rPr>
          <w:rFonts w:ascii="Times New Roman" w:hAnsi="Times New Roman" w:cs="Times New Roman"/>
        </w:rPr>
        <w:t>’</w:t>
      </w:r>
      <w:r w:rsidR="005F389D" w:rsidRPr="00621883">
        <w:rPr>
          <w:rFonts w:ascii="Times New Roman" w:hAnsi="Times New Roman" w:cs="Times New Roman"/>
        </w:rPr>
        <w:t xml:space="preserve"> </w:t>
      </w:r>
      <w:r w:rsidR="00AB535B" w:rsidRPr="00621883">
        <w:rPr>
          <w:rFonts w:ascii="Times New Roman" w:hAnsi="Times New Roman" w:cs="Times New Roman"/>
        </w:rPr>
        <w:t>described above</w:t>
      </w:r>
      <w:r w:rsidR="005F389D" w:rsidRPr="00621883">
        <w:rPr>
          <w:rFonts w:ascii="Times New Roman" w:hAnsi="Times New Roman" w:cs="Times New Roman"/>
        </w:rPr>
        <w:t xml:space="preserve"> as well, as they </w:t>
      </w:r>
      <w:r w:rsidR="00C477E6" w:rsidRPr="00621883">
        <w:rPr>
          <w:rFonts w:ascii="Times New Roman" w:hAnsi="Times New Roman" w:cs="Times New Roman"/>
        </w:rPr>
        <w:t>simultaneously rely</w:t>
      </w:r>
      <w:r w:rsidR="005F389D" w:rsidRPr="00621883">
        <w:rPr>
          <w:rFonts w:ascii="Times New Roman" w:hAnsi="Times New Roman" w:cs="Times New Roman"/>
        </w:rPr>
        <w:t xml:space="preserve"> on and occlude the</w:t>
      </w:r>
      <w:r w:rsidR="00C477E6" w:rsidRPr="00621883">
        <w:rPr>
          <w:rFonts w:ascii="Times New Roman" w:hAnsi="Times New Roman" w:cs="Times New Roman"/>
        </w:rPr>
        <w:t xml:space="preserve"> normative ideals of motherhood. Most obviously t</w:t>
      </w:r>
      <w:r w:rsidR="005F389D" w:rsidRPr="00621883">
        <w:rPr>
          <w:rFonts w:ascii="Times New Roman" w:hAnsi="Times New Roman" w:cs="Times New Roman"/>
        </w:rPr>
        <w:t xml:space="preserve">he expectation that an innocent mother, who is truly focused on her children’s needs, would have attempted to resuscitate, </w:t>
      </w:r>
      <w:r w:rsidR="005F389D" w:rsidRPr="00621883">
        <w:rPr>
          <w:rFonts w:ascii="Times New Roman" w:hAnsi="Times New Roman" w:cs="Times New Roman"/>
          <w:i/>
        </w:rPr>
        <w:t>to cradle</w:t>
      </w:r>
      <w:r w:rsidR="005F389D" w:rsidRPr="00621883">
        <w:rPr>
          <w:rFonts w:ascii="Times New Roman" w:hAnsi="Times New Roman" w:cs="Times New Roman"/>
        </w:rPr>
        <w:t>, her child is implicit in point (x)</w:t>
      </w:r>
      <w:r w:rsidR="00C477E6" w:rsidRPr="00621883">
        <w:rPr>
          <w:rFonts w:ascii="Times New Roman" w:hAnsi="Times New Roman" w:cs="Times New Roman"/>
        </w:rPr>
        <w:t xml:space="preserve"> above</w:t>
      </w:r>
      <w:r w:rsidR="005F389D" w:rsidRPr="00621883">
        <w:rPr>
          <w:rFonts w:ascii="Times New Roman" w:hAnsi="Times New Roman" w:cs="Times New Roman"/>
        </w:rPr>
        <w:t xml:space="preserve">. Thus </w:t>
      </w:r>
      <w:r w:rsidR="0084632D" w:rsidRPr="00621883">
        <w:rPr>
          <w:rFonts w:ascii="Times New Roman" w:hAnsi="Times New Roman" w:cs="Times New Roman"/>
        </w:rPr>
        <w:t xml:space="preserve">the Crown case is able to present the most striking sections of the diary as </w:t>
      </w:r>
      <w:r w:rsidR="001B377F" w:rsidRPr="00621883">
        <w:rPr>
          <w:rFonts w:ascii="Times New Roman" w:hAnsi="Times New Roman" w:cs="Times New Roman"/>
        </w:rPr>
        <w:t xml:space="preserve">unequivocal </w:t>
      </w:r>
      <w:r w:rsidR="0084632D" w:rsidRPr="00621883">
        <w:rPr>
          <w:rFonts w:ascii="Times New Roman" w:hAnsi="Times New Roman" w:cs="Times New Roman"/>
        </w:rPr>
        <w:t xml:space="preserve">admissions, </w:t>
      </w:r>
      <w:r w:rsidR="00256BD6" w:rsidRPr="00621883">
        <w:rPr>
          <w:rFonts w:ascii="Times New Roman" w:hAnsi="Times New Roman" w:cs="Times New Roman"/>
        </w:rPr>
        <w:t xml:space="preserve">isolating </w:t>
      </w:r>
      <w:r w:rsidR="00B07F57" w:rsidRPr="00621883">
        <w:rPr>
          <w:rFonts w:ascii="Times New Roman" w:hAnsi="Times New Roman" w:cs="Times New Roman"/>
        </w:rPr>
        <w:t xml:space="preserve">the most </w:t>
      </w:r>
      <w:r w:rsidR="00B06871" w:rsidRPr="00621883">
        <w:rPr>
          <w:rFonts w:ascii="Times New Roman" w:hAnsi="Times New Roman" w:cs="Times New Roman"/>
        </w:rPr>
        <w:t>striking</w:t>
      </w:r>
      <w:r w:rsidR="00B07F57" w:rsidRPr="00621883">
        <w:rPr>
          <w:rFonts w:ascii="Times New Roman" w:hAnsi="Times New Roman" w:cs="Times New Roman"/>
        </w:rPr>
        <w:t xml:space="preserve"> </w:t>
      </w:r>
      <w:r w:rsidR="0084632D" w:rsidRPr="00621883">
        <w:rPr>
          <w:rFonts w:ascii="Times New Roman" w:hAnsi="Times New Roman" w:cs="Times New Roman"/>
        </w:rPr>
        <w:t xml:space="preserve">phrases </w:t>
      </w:r>
      <w:r w:rsidR="001C5A50">
        <w:rPr>
          <w:rFonts w:ascii="Times New Roman" w:hAnsi="Times New Roman" w:cs="Times New Roman"/>
        </w:rPr>
        <w:t>out of their full context:</w:t>
      </w:r>
      <w:r w:rsidR="00B07F57" w:rsidRPr="00621883">
        <w:rPr>
          <w:rFonts w:ascii="Times New Roman" w:hAnsi="Times New Roman" w:cs="Times New Roman"/>
        </w:rPr>
        <w:t xml:space="preserve"> “[Craig] has a morbid fear about</w:t>
      </w:r>
      <w:r w:rsidR="001C5A50">
        <w:rPr>
          <w:rFonts w:ascii="Times New Roman" w:hAnsi="Times New Roman" w:cs="Times New Roman"/>
        </w:rPr>
        <w:t xml:space="preserve"> Laura—</w:t>
      </w:r>
      <w:r w:rsidR="00B07F57" w:rsidRPr="00621883">
        <w:rPr>
          <w:rFonts w:ascii="Times New Roman" w:hAnsi="Times New Roman" w:cs="Times New Roman"/>
        </w:rPr>
        <w:t>he well I know theres nothing wrong with her. …</w:t>
      </w:r>
      <w:r w:rsidR="00B07F57" w:rsidRPr="00621883">
        <w:rPr>
          <w:rFonts w:ascii="Times New Roman" w:hAnsi="Times New Roman" w:cs="Times New Roman"/>
          <w:i/>
        </w:rPr>
        <w:t xml:space="preserve"> Because it</w:t>
      </w:r>
      <w:r w:rsidR="00794B45" w:rsidRPr="00621883">
        <w:rPr>
          <w:rFonts w:ascii="Times New Roman" w:hAnsi="Times New Roman" w:cs="Times New Roman"/>
          <w:i/>
        </w:rPr>
        <w:t xml:space="preserve"> was </w:t>
      </w:r>
      <w:r w:rsidR="00B07F57" w:rsidRPr="00621883">
        <w:rPr>
          <w:rFonts w:ascii="Times New Roman" w:hAnsi="Times New Roman" w:cs="Times New Roman"/>
          <w:i/>
        </w:rPr>
        <w:t>me not them</w:t>
      </w:r>
      <w:r w:rsidR="00B07F57" w:rsidRPr="00621883">
        <w:rPr>
          <w:rFonts w:ascii="Times New Roman" w:hAnsi="Times New Roman" w:cs="Times New Roman"/>
        </w:rPr>
        <w:t>” and “Scared that she’ll leave me now. Like Sarah did. I know I was short tempered &amp; cruel sometime to her &amp; she left</w:t>
      </w:r>
      <w:r w:rsidR="00AB535B" w:rsidRPr="00621883">
        <w:rPr>
          <w:rFonts w:ascii="Times New Roman" w:hAnsi="Times New Roman" w:cs="Times New Roman"/>
        </w:rPr>
        <w:t xml:space="preserve">. </w:t>
      </w:r>
      <w:r w:rsidR="00AB535B" w:rsidRPr="00621883">
        <w:rPr>
          <w:rFonts w:ascii="Times New Roman" w:hAnsi="Times New Roman" w:cs="Times New Roman"/>
          <w:i/>
        </w:rPr>
        <w:t>W</w:t>
      </w:r>
      <w:r w:rsidR="0084632D" w:rsidRPr="00621883">
        <w:rPr>
          <w:rFonts w:ascii="Times New Roman" w:hAnsi="Times New Roman" w:cs="Times New Roman"/>
          <w:i/>
        </w:rPr>
        <w:t>ith a little help</w:t>
      </w:r>
      <w:r w:rsidR="00AB535B" w:rsidRPr="00621883">
        <w:rPr>
          <w:rFonts w:ascii="Times New Roman" w:hAnsi="Times New Roman" w:cs="Times New Roman"/>
        </w:rPr>
        <w:t>”</w:t>
      </w:r>
      <w:r w:rsidR="00256BD6" w:rsidRPr="00621883">
        <w:rPr>
          <w:rFonts w:ascii="Times New Roman" w:hAnsi="Times New Roman" w:cs="Times New Roman"/>
        </w:rPr>
        <w:t>, and also is able to point to sections that appear to predict the death of her children.</w:t>
      </w:r>
      <w:bookmarkStart w:id="13" w:name="_Ref225999258"/>
      <w:r w:rsidR="0084632D" w:rsidRPr="00621883">
        <w:rPr>
          <w:rStyle w:val="FootnoteReference"/>
          <w:rFonts w:ascii="Times New Roman" w:hAnsi="Times New Roman" w:cs="Times New Roman"/>
        </w:rPr>
        <w:footnoteReference w:id="44"/>
      </w:r>
      <w:bookmarkEnd w:id="13"/>
      <w:r w:rsidR="00AB535B" w:rsidRPr="00621883">
        <w:rPr>
          <w:rFonts w:ascii="Times New Roman" w:hAnsi="Times New Roman" w:cs="Times New Roman"/>
        </w:rPr>
        <w:t xml:space="preserve"> </w:t>
      </w:r>
    </w:p>
    <w:p w:rsidR="001C5A50" w:rsidRDefault="001C5A50" w:rsidP="00AB4819">
      <w:pPr>
        <w:spacing w:line="276" w:lineRule="auto"/>
        <w:jc w:val="both"/>
        <w:rPr>
          <w:rFonts w:ascii="Times New Roman" w:hAnsi="Times New Roman" w:cs="Times New Roman"/>
        </w:rPr>
      </w:pPr>
    </w:p>
    <w:p w:rsidR="00794B45" w:rsidRPr="00621883" w:rsidRDefault="00AB535B" w:rsidP="00AB4819">
      <w:pPr>
        <w:spacing w:line="276" w:lineRule="auto"/>
        <w:jc w:val="both"/>
        <w:rPr>
          <w:rFonts w:ascii="Times New Roman" w:hAnsi="Times New Roman" w:cs="Times New Roman"/>
        </w:rPr>
      </w:pPr>
      <w:r w:rsidRPr="00621883">
        <w:rPr>
          <w:rFonts w:ascii="Times New Roman" w:hAnsi="Times New Roman" w:cs="Times New Roman"/>
        </w:rPr>
        <w:t xml:space="preserve">And </w:t>
      </w:r>
      <w:r w:rsidR="00B06871" w:rsidRPr="00621883">
        <w:rPr>
          <w:rFonts w:ascii="Times New Roman" w:hAnsi="Times New Roman" w:cs="Times New Roman"/>
        </w:rPr>
        <w:t>the diaries</w:t>
      </w:r>
      <w:r w:rsidRPr="00621883">
        <w:rPr>
          <w:rFonts w:ascii="Times New Roman" w:hAnsi="Times New Roman" w:cs="Times New Roman"/>
        </w:rPr>
        <w:t xml:space="preserve"> are accepted as </w:t>
      </w:r>
      <w:r w:rsidR="00B8415B" w:rsidRPr="00621883">
        <w:rPr>
          <w:rFonts w:ascii="Times New Roman" w:hAnsi="Times New Roman" w:cs="Times New Roman"/>
        </w:rPr>
        <w:t xml:space="preserve">revealing Folbigg’s awareness of her own </w:t>
      </w:r>
      <w:r w:rsidR="00B8415B" w:rsidRPr="00621883">
        <w:rPr>
          <w:rFonts w:ascii="Times New Roman" w:hAnsi="Times New Roman" w:cs="Times New Roman"/>
          <w:i/>
        </w:rPr>
        <w:t>culpability</w:t>
      </w:r>
      <w:r w:rsidR="00B8415B" w:rsidRPr="00621883">
        <w:rPr>
          <w:rFonts w:ascii="Times New Roman" w:hAnsi="Times New Roman" w:cs="Times New Roman"/>
        </w:rPr>
        <w:t xml:space="preserve"> </w:t>
      </w:r>
      <w:r w:rsidRPr="00621883">
        <w:rPr>
          <w:rFonts w:ascii="Times New Roman" w:hAnsi="Times New Roman" w:cs="Times New Roman"/>
        </w:rPr>
        <w:t xml:space="preserve">by the courts, at each appellate level, as they seek to reassure themselves that Folbigg will not become another Sally Clarke or Angela Canning. Emma’s account </w:t>
      </w:r>
      <w:r w:rsidR="00821655">
        <w:rPr>
          <w:rFonts w:ascii="Times New Roman" w:hAnsi="Times New Roman" w:cs="Times New Roman"/>
        </w:rPr>
        <w:t xml:space="preserve">demonstrates </w:t>
      </w:r>
      <w:r w:rsidRPr="00621883">
        <w:rPr>
          <w:rFonts w:ascii="Times New Roman" w:hAnsi="Times New Roman" w:cs="Times New Roman"/>
        </w:rPr>
        <w:t xml:space="preserve">the way that the Crown case successfully </w:t>
      </w:r>
      <w:r w:rsidR="00794B45" w:rsidRPr="00621883">
        <w:rPr>
          <w:rFonts w:ascii="Times New Roman" w:hAnsi="Times New Roman" w:cs="Times New Roman"/>
        </w:rPr>
        <w:t>flattens out ambiguity</w:t>
      </w:r>
      <w:r w:rsidR="00821655">
        <w:rPr>
          <w:rFonts w:ascii="Times New Roman" w:hAnsi="Times New Roman" w:cs="Times New Roman"/>
        </w:rPr>
        <w:t>,</w:t>
      </w:r>
      <w:r w:rsidR="00794B45" w:rsidRPr="00621883">
        <w:rPr>
          <w:rFonts w:ascii="Times New Roman" w:hAnsi="Times New Roman" w:cs="Times New Roman"/>
        </w:rPr>
        <w:t xml:space="preserve"> </w:t>
      </w:r>
      <w:r w:rsidR="00821655">
        <w:rPr>
          <w:rFonts w:ascii="Times New Roman" w:hAnsi="Times New Roman" w:cs="Times New Roman"/>
        </w:rPr>
        <w:t>extending</w:t>
      </w:r>
      <w:r w:rsidRPr="00621883">
        <w:rPr>
          <w:rFonts w:ascii="Times New Roman" w:hAnsi="Times New Roman" w:cs="Times New Roman"/>
        </w:rPr>
        <w:t xml:space="preserve"> beyond reading what could conceivably be Folbigg’s </w:t>
      </w:r>
      <w:r w:rsidR="001B377F" w:rsidRPr="00621883">
        <w:rPr>
          <w:rFonts w:ascii="Times New Roman" w:hAnsi="Times New Roman" w:cs="Times New Roman"/>
        </w:rPr>
        <w:t>expressions of her</w:t>
      </w:r>
      <w:r w:rsidRPr="00621883">
        <w:rPr>
          <w:rFonts w:ascii="Times New Roman" w:hAnsi="Times New Roman" w:cs="Times New Roman"/>
        </w:rPr>
        <w:t xml:space="preserve"> </w:t>
      </w:r>
      <w:r w:rsidRPr="00621883">
        <w:rPr>
          <w:rFonts w:ascii="Times New Roman" w:hAnsi="Times New Roman" w:cs="Times New Roman"/>
          <w:i/>
        </w:rPr>
        <w:t>sense</w:t>
      </w:r>
      <w:r w:rsidRPr="00621883">
        <w:rPr>
          <w:rFonts w:ascii="Times New Roman" w:hAnsi="Times New Roman" w:cs="Times New Roman"/>
        </w:rPr>
        <w:t xml:space="preserve"> of guilt and responsibility into admissions </w:t>
      </w:r>
      <w:r w:rsidR="00821655">
        <w:rPr>
          <w:rFonts w:ascii="Times New Roman" w:hAnsi="Times New Roman" w:cs="Times New Roman"/>
        </w:rPr>
        <w:t>and seeping</w:t>
      </w:r>
      <w:r w:rsidRPr="00621883">
        <w:rPr>
          <w:rFonts w:ascii="Times New Roman" w:hAnsi="Times New Roman" w:cs="Times New Roman"/>
        </w:rPr>
        <w:t xml:space="preserve"> into the readin</w:t>
      </w:r>
      <w:r w:rsidR="00821655">
        <w:rPr>
          <w:rFonts w:ascii="Times New Roman" w:hAnsi="Times New Roman" w:cs="Times New Roman"/>
        </w:rPr>
        <w:t>g of all aspects of the diaries,</w:t>
      </w:r>
      <w:r w:rsidRPr="00621883">
        <w:rPr>
          <w:rFonts w:ascii="Times New Roman" w:hAnsi="Times New Roman" w:cs="Times New Roman"/>
        </w:rPr>
        <w:t xml:space="preserve"> </w:t>
      </w:r>
      <w:r w:rsidR="00821655">
        <w:rPr>
          <w:rFonts w:ascii="Times New Roman" w:hAnsi="Times New Roman" w:cs="Times New Roman"/>
        </w:rPr>
        <w:t>s</w:t>
      </w:r>
      <w:r w:rsidRPr="00621883">
        <w:rPr>
          <w:rFonts w:ascii="Times New Roman" w:hAnsi="Times New Roman" w:cs="Times New Roman"/>
        </w:rPr>
        <w:t>o that expressions of ambivalence towards her experien</w:t>
      </w:r>
      <w:r w:rsidR="00B06871" w:rsidRPr="00621883">
        <w:rPr>
          <w:rFonts w:ascii="Times New Roman" w:hAnsi="Times New Roman" w:cs="Times New Roman"/>
        </w:rPr>
        <w:t>ces are likewise flattened out—</w:t>
      </w:r>
      <w:r w:rsidR="00192ECE" w:rsidRPr="00621883">
        <w:rPr>
          <w:rFonts w:ascii="Times New Roman" w:hAnsi="Times New Roman" w:cs="Times New Roman"/>
        </w:rPr>
        <w:t>functioning as premonition or</w:t>
      </w:r>
      <w:r w:rsidR="00B06871" w:rsidRPr="00621883">
        <w:rPr>
          <w:rFonts w:ascii="Times New Roman" w:hAnsi="Times New Roman" w:cs="Times New Roman"/>
        </w:rPr>
        <w:t xml:space="preserve"> </w:t>
      </w:r>
      <w:r w:rsidR="00192ECE" w:rsidRPr="00621883">
        <w:rPr>
          <w:rFonts w:ascii="Times New Roman" w:hAnsi="Times New Roman" w:cs="Times New Roman"/>
        </w:rPr>
        <w:t xml:space="preserve">as </w:t>
      </w:r>
      <w:r w:rsidR="00B06871" w:rsidRPr="00621883">
        <w:rPr>
          <w:rFonts w:ascii="Times New Roman" w:hAnsi="Times New Roman" w:cs="Times New Roman"/>
        </w:rPr>
        <w:t>evidence of premeditation—</w:t>
      </w:r>
      <w:r w:rsidRPr="00621883">
        <w:rPr>
          <w:rFonts w:ascii="Times New Roman" w:hAnsi="Times New Roman" w:cs="Times New Roman"/>
        </w:rPr>
        <w:t>so that</w:t>
      </w:r>
      <w:r w:rsidR="00B06871" w:rsidRPr="00621883">
        <w:rPr>
          <w:rFonts w:ascii="Times New Roman" w:hAnsi="Times New Roman" w:cs="Times New Roman"/>
        </w:rPr>
        <w:t xml:space="preserve"> they too can be subjected to an interpretation that reads only one thing between the lines.</w:t>
      </w:r>
      <w:r w:rsidR="00192ECE" w:rsidRPr="00621883">
        <w:rPr>
          <w:rStyle w:val="FootnoteReference"/>
          <w:rFonts w:ascii="Times New Roman" w:hAnsi="Times New Roman" w:cs="Times New Roman"/>
        </w:rPr>
        <w:footnoteReference w:id="45"/>
      </w:r>
      <w:r w:rsidR="00192ECE" w:rsidRPr="00621883">
        <w:rPr>
          <w:rFonts w:ascii="Times New Roman" w:hAnsi="Times New Roman" w:cs="Times New Roman"/>
        </w:rPr>
        <w:softHyphen/>
      </w:r>
      <w:r w:rsidR="00192ECE" w:rsidRPr="00621883">
        <w:rPr>
          <w:rFonts w:ascii="Times New Roman" w:hAnsi="Times New Roman" w:cs="Times New Roman"/>
        </w:rPr>
        <w:softHyphen/>
      </w:r>
      <w:r w:rsidR="00B06871" w:rsidRPr="00621883">
        <w:rPr>
          <w:rFonts w:ascii="Times New Roman" w:hAnsi="Times New Roman" w:cs="Times New Roman"/>
        </w:rPr>
        <w:t xml:space="preserve"> </w:t>
      </w:r>
      <w:r w:rsidRPr="00621883">
        <w:rPr>
          <w:rFonts w:ascii="Times New Roman" w:hAnsi="Times New Roman" w:cs="Times New Roman"/>
        </w:rPr>
        <w:t>There is,</w:t>
      </w:r>
      <w:r w:rsidR="00BB1F77" w:rsidRPr="00621883">
        <w:rPr>
          <w:rFonts w:ascii="Times New Roman" w:hAnsi="Times New Roman" w:cs="Times New Roman"/>
        </w:rPr>
        <w:t xml:space="preserve"> I suspect, a significant c</w:t>
      </w:r>
      <w:r w:rsidRPr="00621883">
        <w:rPr>
          <w:rFonts w:ascii="Times New Roman" w:hAnsi="Times New Roman" w:cs="Times New Roman"/>
        </w:rPr>
        <w:t xml:space="preserve">lass element at work here. </w:t>
      </w:r>
      <w:r w:rsidR="00E61FE9" w:rsidRPr="00621883">
        <w:rPr>
          <w:rFonts w:ascii="Times New Roman" w:hAnsi="Times New Roman" w:cs="Times New Roman"/>
        </w:rPr>
        <w:t>Rather than a reading that might allow for a</w:t>
      </w:r>
      <w:r w:rsidRPr="00621883">
        <w:rPr>
          <w:rFonts w:ascii="Times New Roman" w:hAnsi="Times New Roman" w:cs="Times New Roman"/>
        </w:rPr>
        <w:t xml:space="preserve"> recognition that (women’s) diaries might offer insight</w:t>
      </w:r>
      <w:r w:rsidR="00E61FE9" w:rsidRPr="00621883">
        <w:rPr>
          <w:rFonts w:ascii="Times New Roman" w:hAnsi="Times New Roman" w:cs="Times New Roman"/>
        </w:rPr>
        <w:t xml:space="preserve">s into the sensibilities and (hidden) </w:t>
      </w:r>
      <w:r w:rsidR="00E61FE9" w:rsidRPr="00621883">
        <w:rPr>
          <w:rFonts w:ascii="Times New Roman" w:hAnsi="Times New Roman" w:cs="Times New Roman"/>
          <w:i/>
        </w:rPr>
        <w:t>capabilities</w:t>
      </w:r>
      <w:r w:rsidR="00E61FE9" w:rsidRPr="00621883">
        <w:rPr>
          <w:rFonts w:ascii="Times New Roman" w:hAnsi="Times New Roman" w:cs="Times New Roman"/>
        </w:rPr>
        <w:t xml:space="preserve"> of their author (while also acknowledging that they are not a </w:t>
      </w:r>
      <w:r w:rsidR="00E61FE9" w:rsidRPr="00621883">
        <w:rPr>
          <w:rFonts w:ascii="Times New Roman" w:hAnsi="Times New Roman" w:cs="Times New Roman"/>
          <w:i/>
        </w:rPr>
        <w:t>transparent</w:t>
      </w:r>
      <w:r w:rsidR="00E61FE9" w:rsidRPr="00621883">
        <w:rPr>
          <w:rFonts w:ascii="Times New Roman" w:hAnsi="Times New Roman" w:cs="Times New Roman"/>
        </w:rPr>
        <w:t xml:space="preserve"> record),</w:t>
      </w:r>
      <w:r w:rsidRPr="00621883">
        <w:rPr>
          <w:rFonts w:ascii="Times New Roman" w:hAnsi="Times New Roman" w:cs="Times New Roman"/>
        </w:rPr>
        <w:t xml:space="preserve"> in this case </w:t>
      </w:r>
      <w:r w:rsidR="00E61FE9" w:rsidRPr="00621883">
        <w:rPr>
          <w:rFonts w:ascii="Times New Roman" w:hAnsi="Times New Roman" w:cs="Times New Roman"/>
        </w:rPr>
        <w:t xml:space="preserve">the framing of the diaries by the Crown—with their mistakes, mundane details and lack of literary </w:t>
      </w:r>
      <w:r w:rsidR="00E61FE9" w:rsidRPr="00621883">
        <w:rPr>
          <w:rFonts w:ascii="Times New Roman" w:hAnsi="Times New Roman" w:cs="Times New Roman"/>
        </w:rPr>
        <w:lastRenderedPageBreak/>
        <w:t xml:space="preserve">quality—precludes the possibility of a more complex </w:t>
      </w:r>
      <w:r w:rsidR="00794B45" w:rsidRPr="00621883">
        <w:rPr>
          <w:rFonts w:ascii="Times New Roman" w:hAnsi="Times New Roman" w:cs="Times New Roman"/>
        </w:rPr>
        <w:t>inner life for Folbigg.</w:t>
      </w:r>
      <w:r w:rsidR="00E61FE9" w:rsidRPr="00621883">
        <w:rPr>
          <w:rStyle w:val="FootnoteReference"/>
          <w:rFonts w:ascii="Times New Roman" w:hAnsi="Times New Roman" w:cs="Times New Roman"/>
        </w:rPr>
        <w:footnoteReference w:id="46"/>
      </w:r>
      <w:r w:rsidR="00794B45" w:rsidRPr="00621883">
        <w:rPr>
          <w:rFonts w:ascii="Times New Roman" w:hAnsi="Times New Roman" w:cs="Times New Roman"/>
        </w:rPr>
        <w:t xml:space="preserve"> </w:t>
      </w:r>
      <w:r w:rsidR="005A3833" w:rsidRPr="00621883">
        <w:rPr>
          <w:rFonts w:ascii="Times New Roman" w:hAnsi="Times New Roman" w:cs="Times New Roman"/>
        </w:rPr>
        <w:t xml:space="preserve"> </w:t>
      </w:r>
      <w:r w:rsidR="002D1328" w:rsidRPr="00621883">
        <w:rPr>
          <w:rFonts w:ascii="Times New Roman" w:hAnsi="Times New Roman" w:cs="Times New Roman"/>
        </w:rPr>
        <w:t xml:space="preserve">And it is worth noting here that, </w:t>
      </w:r>
      <w:r w:rsidR="005A3833" w:rsidRPr="00621883">
        <w:rPr>
          <w:rFonts w:ascii="Times New Roman" w:hAnsi="Times New Roman" w:cs="Times New Roman"/>
        </w:rPr>
        <w:t>as so meticulously documented by Emma, this flattening of ambiguity is a strategy that is used in relation t</w:t>
      </w:r>
      <w:r w:rsidR="00821655">
        <w:rPr>
          <w:rFonts w:ascii="Times New Roman" w:hAnsi="Times New Roman" w:cs="Times New Roman"/>
        </w:rPr>
        <w:t>o the expert evidence as well—t</w:t>
      </w:r>
      <w:r w:rsidR="005A3833" w:rsidRPr="00621883">
        <w:rPr>
          <w:rFonts w:ascii="Times New Roman" w:hAnsi="Times New Roman" w:cs="Times New Roman"/>
        </w:rPr>
        <w:t xml:space="preserve">he removal of qualification and the eliciting of a hardening of incriminating opinion that is done so skillfully, but also seems to happen almost inevitably, that </w:t>
      </w:r>
      <w:r w:rsidR="00425E2E" w:rsidRPr="00621883">
        <w:rPr>
          <w:rFonts w:ascii="Times New Roman" w:hAnsi="Times New Roman" w:cs="Times New Roman"/>
        </w:rPr>
        <w:t>perhaps</w:t>
      </w:r>
      <w:r w:rsidR="00581429" w:rsidRPr="00621883">
        <w:rPr>
          <w:rFonts w:ascii="Times New Roman" w:hAnsi="Times New Roman" w:cs="Times New Roman"/>
        </w:rPr>
        <w:t xml:space="preserve"> even</w:t>
      </w:r>
      <w:r w:rsidR="005A3833" w:rsidRPr="00621883">
        <w:rPr>
          <w:rFonts w:ascii="Times New Roman" w:hAnsi="Times New Roman" w:cs="Times New Roman"/>
        </w:rPr>
        <w:t xml:space="preserve"> Tedeschi might be s</w:t>
      </w:r>
      <w:r w:rsidR="00425E2E" w:rsidRPr="00621883">
        <w:rPr>
          <w:rFonts w:ascii="Times New Roman" w:hAnsi="Times New Roman" w:cs="Times New Roman"/>
        </w:rPr>
        <w:t>urprised by what he has wrought.</w:t>
      </w:r>
    </w:p>
    <w:p w:rsidR="006640AD" w:rsidRPr="00621883" w:rsidRDefault="006640AD" w:rsidP="00AB4819">
      <w:pPr>
        <w:spacing w:line="276" w:lineRule="auto"/>
        <w:jc w:val="both"/>
        <w:rPr>
          <w:rFonts w:ascii="Times New Roman" w:hAnsi="Times New Roman" w:cs="Times New Roman"/>
        </w:rPr>
      </w:pPr>
    </w:p>
    <w:p w:rsidR="001C5A50" w:rsidRDefault="007D2C4F" w:rsidP="00AB4819">
      <w:pPr>
        <w:spacing w:line="276" w:lineRule="auto"/>
        <w:jc w:val="both"/>
        <w:rPr>
          <w:rFonts w:ascii="Times New Roman" w:hAnsi="Times New Roman" w:cs="Times New Roman"/>
        </w:rPr>
      </w:pPr>
      <w:r w:rsidRPr="00621883">
        <w:rPr>
          <w:rFonts w:ascii="Times New Roman" w:hAnsi="Times New Roman" w:cs="Times New Roman"/>
        </w:rPr>
        <w:t xml:space="preserve">The Crown </w:t>
      </w:r>
      <w:r w:rsidR="000B36D1" w:rsidRPr="00621883">
        <w:rPr>
          <w:rFonts w:ascii="Times New Roman" w:hAnsi="Times New Roman" w:cs="Times New Roman"/>
        </w:rPr>
        <w:t xml:space="preserve">narrative </w:t>
      </w:r>
      <w:r w:rsidR="0070088E" w:rsidRPr="00621883">
        <w:rPr>
          <w:rFonts w:ascii="Times New Roman" w:hAnsi="Times New Roman" w:cs="Times New Roman"/>
        </w:rPr>
        <w:t xml:space="preserve">of the overbearing </w:t>
      </w:r>
      <w:r w:rsidR="008F5D4F">
        <w:rPr>
          <w:rFonts w:ascii="Times New Roman" w:hAnsi="Times New Roman" w:cs="Times New Roman"/>
        </w:rPr>
        <w:t xml:space="preserve">monstrous </w:t>
      </w:r>
      <w:r w:rsidR="0070088E" w:rsidRPr="00621883">
        <w:rPr>
          <w:rFonts w:ascii="Times New Roman" w:hAnsi="Times New Roman" w:cs="Times New Roman"/>
        </w:rPr>
        <w:t xml:space="preserve">mother, </w:t>
      </w:r>
      <w:r w:rsidR="000B36D1" w:rsidRPr="00621883">
        <w:rPr>
          <w:rFonts w:ascii="Times New Roman" w:hAnsi="Times New Roman" w:cs="Times New Roman"/>
        </w:rPr>
        <w:t xml:space="preserve">and use of </w:t>
      </w:r>
      <w:r w:rsidR="008F5D4F">
        <w:rPr>
          <w:rFonts w:ascii="Times New Roman" w:hAnsi="Times New Roman" w:cs="Times New Roman"/>
        </w:rPr>
        <w:t>her</w:t>
      </w:r>
      <w:r w:rsidR="000B36D1" w:rsidRPr="00621883">
        <w:rPr>
          <w:rFonts w:ascii="Times New Roman" w:hAnsi="Times New Roman" w:cs="Times New Roman"/>
        </w:rPr>
        <w:t xml:space="preserve"> diaries</w:t>
      </w:r>
      <w:r w:rsidR="0025655E" w:rsidRPr="00621883">
        <w:rPr>
          <w:rFonts w:ascii="Times New Roman" w:hAnsi="Times New Roman" w:cs="Times New Roman"/>
        </w:rPr>
        <w:t xml:space="preserve"> </w:t>
      </w:r>
      <w:r w:rsidR="008F5D4F">
        <w:rPr>
          <w:rFonts w:ascii="Times New Roman" w:hAnsi="Times New Roman" w:cs="Times New Roman"/>
        </w:rPr>
        <w:t>to reveal her true nature</w:t>
      </w:r>
      <w:r w:rsidR="00847F0B" w:rsidRPr="00621883">
        <w:rPr>
          <w:rFonts w:ascii="Times New Roman" w:hAnsi="Times New Roman" w:cs="Times New Roman"/>
        </w:rPr>
        <w:t xml:space="preserve"> also, </w:t>
      </w:r>
      <w:r w:rsidR="0025655E" w:rsidRPr="00621883">
        <w:rPr>
          <w:rFonts w:ascii="Times New Roman" w:hAnsi="Times New Roman" w:cs="Times New Roman"/>
        </w:rPr>
        <w:t>and Emma I think alludes to this</w:t>
      </w:r>
      <w:r w:rsidR="000B36D1" w:rsidRPr="00621883">
        <w:rPr>
          <w:rFonts w:ascii="Times New Roman" w:hAnsi="Times New Roman" w:cs="Times New Roman"/>
        </w:rPr>
        <w:t xml:space="preserve">, </w:t>
      </w:r>
      <w:r w:rsidRPr="00621883">
        <w:rPr>
          <w:rFonts w:ascii="Times New Roman" w:hAnsi="Times New Roman" w:cs="Times New Roman"/>
        </w:rPr>
        <w:t xml:space="preserve">taps into the idea that </w:t>
      </w:r>
      <w:r w:rsidR="003F2484" w:rsidRPr="00621883">
        <w:rPr>
          <w:rFonts w:ascii="Times New Roman" w:hAnsi="Times New Roman" w:cs="Times New Roman"/>
        </w:rPr>
        <w:t>Folbigg</w:t>
      </w:r>
      <w:r w:rsidR="0025655E" w:rsidRPr="00621883">
        <w:rPr>
          <w:rFonts w:ascii="Times New Roman" w:hAnsi="Times New Roman" w:cs="Times New Roman"/>
        </w:rPr>
        <w:t xml:space="preserve"> epitomises </w:t>
      </w:r>
      <w:r w:rsidRPr="00621883">
        <w:rPr>
          <w:rFonts w:ascii="Times New Roman" w:hAnsi="Times New Roman" w:cs="Times New Roman"/>
        </w:rPr>
        <w:t xml:space="preserve">the </w:t>
      </w:r>
      <w:r w:rsidR="0025655E" w:rsidRPr="00621883">
        <w:rPr>
          <w:rFonts w:ascii="Times New Roman" w:hAnsi="Times New Roman" w:cs="Times New Roman"/>
        </w:rPr>
        <w:t xml:space="preserve">deceptive, </w:t>
      </w:r>
      <w:r w:rsidRPr="00621883">
        <w:rPr>
          <w:rFonts w:ascii="Times New Roman" w:hAnsi="Times New Roman" w:cs="Times New Roman"/>
        </w:rPr>
        <w:t>violent, murdero</w:t>
      </w:r>
      <w:r w:rsidR="0025655E" w:rsidRPr="00621883">
        <w:rPr>
          <w:rFonts w:ascii="Times New Roman" w:hAnsi="Times New Roman" w:cs="Times New Roman"/>
        </w:rPr>
        <w:t xml:space="preserve">us </w:t>
      </w:r>
      <w:r w:rsidR="0025655E" w:rsidRPr="001B4846">
        <w:rPr>
          <w:rFonts w:ascii="Times New Roman" w:hAnsi="Times New Roman" w:cs="Times New Roman"/>
          <w:i/>
        </w:rPr>
        <w:t>woman</w:t>
      </w:r>
      <w:r w:rsidR="0025655E" w:rsidRPr="00621883">
        <w:rPr>
          <w:rFonts w:ascii="Times New Roman" w:hAnsi="Times New Roman" w:cs="Times New Roman"/>
        </w:rPr>
        <w:t xml:space="preserve"> </w:t>
      </w:r>
      <w:r w:rsidR="001C5A50">
        <w:rPr>
          <w:rFonts w:ascii="Times New Roman" w:hAnsi="Times New Roman" w:cs="Times New Roman"/>
        </w:rPr>
        <w:t>who</w:t>
      </w:r>
      <w:r w:rsidR="0025655E" w:rsidRPr="00621883">
        <w:rPr>
          <w:rFonts w:ascii="Times New Roman" w:hAnsi="Times New Roman" w:cs="Times New Roman"/>
        </w:rPr>
        <w:t xml:space="preserve"> has had us all fooled. </w:t>
      </w:r>
      <w:r w:rsidR="006640AD" w:rsidRPr="00621883">
        <w:rPr>
          <w:rFonts w:ascii="Times New Roman" w:hAnsi="Times New Roman" w:cs="Times New Roman"/>
        </w:rPr>
        <w:t>In Lane’s case, the</w:t>
      </w:r>
      <w:r w:rsidR="003F2484" w:rsidRPr="00621883">
        <w:rPr>
          <w:rFonts w:ascii="Times New Roman" w:hAnsi="Times New Roman" w:cs="Times New Roman"/>
        </w:rPr>
        <w:t xml:space="preserve"> Crown narrative also emphasised</w:t>
      </w:r>
      <w:r w:rsidR="0070088E" w:rsidRPr="00621883">
        <w:rPr>
          <w:rFonts w:ascii="Times New Roman" w:hAnsi="Times New Roman" w:cs="Times New Roman"/>
        </w:rPr>
        <w:t xml:space="preserve"> the ‘</w:t>
      </w:r>
      <w:r w:rsidR="006640AD" w:rsidRPr="00621883">
        <w:rPr>
          <w:rFonts w:ascii="Times New Roman" w:hAnsi="Times New Roman" w:cs="Times New Roman"/>
        </w:rPr>
        <w:t>gold</w:t>
      </w:r>
      <w:r w:rsidR="0070088E" w:rsidRPr="00621883">
        <w:rPr>
          <w:rFonts w:ascii="Times New Roman" w:hAnsi="Times New Roman" w:cs="Times New Roman"/>
        </w:rPr>
        <w:t>e</w:t>
      </w:r>
      <w:r w:rsidR="00680B89" w:rsidRPr="00621883">
        <w:rPr>
          <w:rFonts w:ascii="Times New Roman" w:hAnsi="Times New Roman" w:cs="Times New Roman"/>
        </w:rPr>
        <w:t xml:space="preserve">n girl’ with the </w:t>
      </w:r>
      <w:r w:rsidR="00FC4FBD" w:rsidRPr="00621883">
        <w:rPr>
          <w:rFonts w:ascii="Times New Roman" w:hAnsi="Times New Roman" w:cs="Times New Roman"/>
        </w:rPr>
        <w:t>secret life</w:t>
      </w:r>
      <w:r w:rsidR="00680B89" w:rsidRPr="00621883">
        <w:rPr>
          <w:rFonts w:ascii="Times New Roman" w:hAnsi="Times New Roman" w:cs="Times New Roman"/>
        </w:rPr>
        <w:t xml:space="preserve"> and </w:t>
      </w:r>
      <w:r w:rsidR="00FC4FBD" w:rsidRPr="00621883">
        <w:rPr>
          <w:rFonts w:ascii="Times New Roman" w:hAnsi="Times New Roman" w:cs="Times New Roman"/>
        </w:rPr>
        <w:t xml:space="preserve">hidden </w:t>
      </w:r>
      <w:r w:rsidR="00081433" w:rsidRPr="00621883">
        <w:rPr>
          <w:rFonts w:ascii="Times New Roman" w:hAnsi="Times New Roman" w:cs="Times New Roman"/>
        </w:rPr>
        <w:t>tendenc</w:t>
      </w:r>
      <w:r w:rsidR="00FC4FBD" w:rsidRPr="00621883">
        <w:rPr>
          <w:rFonts w:ascii="Times New Roman" w:hAnsi="Times New Roman" w:cs="Times New Roman"/>
        </w:rPr>
        <w:t>ies</w:t>
      </w:r>
      <w:r w:rsidR="00081433" w:rsidRPr="00621883">
        <w:rPr>
          <w:rFonts w:ascii="Times New Roman" w:hAnsi="Times New Roman" w:cs="Times New Roman"/>
        </w:rPr>
        <w:t>—</w:t>
      </w:r>
      <w:r w:rsidR="006640AD" w:rsidRPr="00621883">
        <w:rPr>
          <w:rFonts w:ascii="Times New Roman" w:hAnsi="Times New Roman" w:cs="Times New Roman"/>
        </w:rPr>
        <w:t xml:space="preserve">the ongoing and deep deception that </w:t>
      </w:r>
      <w:r w:rsidR="003F2484" w:rsidRPr="00621883">
        <w:rPr>
          <w:rFonts w:ascii="Times New Roman" w:hAnsi="Times New Roman" w:cs="Times New Roman"/>
        </w:rPr>
        <w:t>was</w:t>
      </w:r>
      <w:r w:rsidR="006640AD" w:rsidRPr="00621883">
        <w:rPr>
          <w:rFonts w:ascii="Times New Roman" w:hAnsi="Times New Roman" w:cs="Times New Roman"/>
        </w:rPr>
        <w:t xml:space="preserve"> both evidenced</w:t>
      </w:r>
      <w:r w:rsidR="009744BB" w:rsidRPr="00621883">
        <w:rPr>
          <w:rFonts w:ascii="Times New Roman" w:hAnsi="Times New Roman" w:cs="Times New Roman"/>
        </w:rPr>
        <w:t>,</w:t>
      </w:r>
      <w:r w:rsidR="006640AD" w:rsidRPr="00621883">
        <w:rPr>
          <w:rFonts w:ascii="Times New Roman" w:hAnsi="Times New Roman" w:cs="Times New Roman"/>
        </w:rPr>
        <w:t xml:space="preserve"> and revealed</w:t>
      </w:r>
      <w:r w:rsidR="009744BB" w:rsidRPr="00621883">
        <w:rPr>
          <w:rFonts w:ascii="Times New Roman" w:hAnsi="Times New Roman" w:cs="Times New Roman"/>
        </w:rPr>
        <w:t>,</w:t>
      </w:r>
      <w:r w:rsidR="006640AD" w:rsidRPr="00621883">
        <w:rPr>
          <w:rFonts w:ascii="Times New Roman" w:hAnsi="Times New Roman" w:cs="Times New Roman"/>
        </w:rPr>
        <w:t xml:space="preserve"> by the multiple (concealed) pregnancies</w:t>
      </w:r>
      <w:r w:rsidR="00081433" w:rsidRPr="00621883">
        <w:rPr>
          <w:rFonts w:ascii="Times New Roman" w:hAnsi="Times New Roman" w:cs="Times New Roman"/>
        </w:rPr>
        <w:t xml:space="preserve">. </w:t>
      </w:r>
      <w:r w:rsidR="0025655E" w:rsidRPr="00621883">
        <w:rPr>
          <w:rFonts w:ascii="Times New Roman" w:hAnsi="Times New Roman" w:cs="Times New Roman"/>
        </w:rPr>
        <w:t xml:space="preserve">The point here is complicated, </w:t>
      </w:r>
      <w:r w:rsidR="00216D27">
        <w:rPr>
          <w:rFonts w:ascii="Times New Roman" w:hAnsi="Times New Roman" w:cs="Times New Roman"/>
        </w:rPr>
        <w:t>not so much a</w:t>
      </w:r>
      <w:r w:rsidR="0025655E" w:rsidRPr="00621883">
        <w:rPr>
          <w:rFonts w:ascii="Times New Roman" w:hAnsi="Times New Roman" w:cs="Times New Roman"/>
        </w:rPr>
        <w:t xml:space="preserve"> counter narrative</w:t>
      </w:r>
      <w:r w:rsidR="00581429" w:rsidRPr="00621883">
        <w:rPr>
          <w:rFonts w:ascii="Times New Roman" w:hAnsi="Times New Roman" w:cs="Times New Roman"/>
        </w:rPr>
        <w:t xml:space="preserve"> </w:t>
      </w:r>
      <w:r w:rsidR="00216D27">
        <w:rPr>
          <w:rFonts w:ascii="Times New Roman" w:hAnsi="Times New Roman" w:cs="Times New Roman"/>
        </w:rPr>
        <w:t>as</w:t>
      </w:r>
      <w:r w:rsidR="00581429" w:rsidRPr="00621883">
        <w:rPr>
          <w:rFonts w:ascii="Times New Roman" w:hAnsi="Times New Roman" w:cs="Times New Roman"/>
        </w:rPr>
        <w:t xml:space="preserve"> the supplem</w:t>
      </w:r>
      <w:r w:rsidR="00821655">
        <w:rPr>
          <w:rFonts w:ascii="Times New Roman" w:hAnsi="Times New Roman" w:cs="Times New Roman"/>
        </w:rPr>
        <w:t>ent</w:t>
      </w:r>
      <w:r w:rsidR="0025655E" w:rsidRPr="00621883">
        <w:rPr>
          <w:rFonts w:ascii="Times New Roman" w:hAnsi="Times New Roman" w:cs="Times New Roman"/>
        </w:rPr>
        <w:t xml:space="preserve"> to the </w:t>
      </w:r>
      <w:r w:rsidR="00216D27">
        <w:rPr>
          <w:rFonts w:ascii="Times New Roman" w:hAnsi="Times New Roman" w:cs="Times New Roman"/>
        </w:rPr>
        <w:t>narrative</w:t>
      </w:r>
      <w:r w:rsidR="0025655E" w:rsidRPr="00621883">
        <w:rPr>
          <w:rFonts w:ascii="Times New Roman" w:hAnsi="Times New Roman" w:cs="Times New Roman"/>
        </w:rPr>
        <w:t xml:space="preserve"> that sees, or purports to see, murder by a mother of </w:t>
      </w:r>
      <w:r w:rsidR="00567F3B">
        <w:rPr>
          <w:rFonts w:ascii="Times New Roman" w:hAnsi="Times New Roman" w:cs="Times New Roman"/>
        </w:rPr>
        <w:t>her child a</w:t>
      </w:r>
      <w:r w:rsidR="00581429" w:rsidRPr="00621883">
        <w:rPr>
          <w:rFonts w:ascii="Times New Roman" w:hAnsi="Times New Roman" w:cs="Times New Roman"/>
        </w:rPr>
        <w:t>s inexplicable</w:t>
      </w:r>
      <w:r w:rsidR="00D42F7C">
        <w:rPr>
          <w:rFonts w:ascii="Times New Roman" w:hAnsi="Times New Roman" w:cs="Times New Roman"/>
        </w:rPr>
        <w:t xml:space="preserve">, and </w:t>
      </w:r>
      <w:r w:rsidR="00567F3B">
        <w:rPr>
          <w:rFonts w:ascii="Times New Roman" w:hAnsi="Times New Roman" w:cs="Times New Roman"/>
        </w:rPr>
        <w:t xml:space="preserve">thus </w:t>
      </w:r>
      <w:r w:rsidR="00D42F7C">
        <w:rPr>
          <w:rFonts w:ascii="Times New Roman" w:hAnsi="Times New Roman" w:cs="Times New Roman"/>
        </w:rPr>
        <w:t>must be in some way pathological</w:t>
      </w:r>
      <w:r w:rsidR="00581429" w:rsidRPr="00621883">
        <w:rPr>
          <w:rFonts w:ascii="Times New Roman" w:hAnsi="Times New Roman" w:cs="Times New Roman"/>
        </w:rPr>
        <w:t>.</w:t>
      </w:r>
      <w:r w:rsidR="00B86741" w:rsidRPr="00621883">
        <w:rPr>
          <w:rStyle w:val="FootnoteReference"/>
          <w:rFonts w:ascii="Times New Roman" w:hAnsi="Times New Roman" w:cs="Times New Roman"/>
        </w:rPr>
        <w:footnoteReference w:id="47"/>
      </w:r>
      <w:r w:rsidR="00581429" w:rsidRPr="00621883">
        <w:rPr>
          <w:rFonts w:ascii="Times New Roman" w:hAnsi="Times New Roman" w:cs="Times New Roman"/>
        </w:rPr>
        <w:t xml:space="preserve"> R</w:t>
      </w:r>
      <w:r w:rsidR="0025655E" w:rsidRPr="00621883">
        <w:rPr>
          <w:rFonts w:ascii="Times New Roman" w:hAnsi="Times New Roman" w:cs="Times New Roman"/>
        </w:rPr>
        <w:t xml:space="preserve">ather it is a </w:t>
      </w:r>
      <w:r w:rsidR="00216D27">
        <w:rPr>
          <w:rFonts w:ascii="Times New Roman" w:hAnsi="Times New Roman" w:cs="Times New Roman"/>
        </w:rPr>
        <w:t>construction</w:t>
      </w:r>
      <w:r w:rsidR="0025655E" w:rsidRPr="00621883">
        <w:rPr>
          <w:rFonts w:ascii="Times New Roman" w:hAnsi="Times New Roman" w:cs="Times New Roman"/>
        </w:rPr>
        <w:t xml:space="preserve"> in which </w:t>
      </w:r>
      <w:r w:rsidR="00216D27">
        <w:rPr>
          <w:rFonts w:ascii="Times New Roman" w:hAnsi="Times New Roman" w:cs="Times New Roman"/>
        </w:rPr>
        <w:t xml:space="preserve">deception is inevitably constituted in </w:t>
      </w:r>
      <w:r w:rsidR="0025655E" w:rsidRPr="00621883">
        <w:rPr>
          <w:rFonts w:ascii="Times New Roman" w:hAnsi="Times New Roman" w:cs="Times New Roman"/>
        </w:rPr>
        <w:t xml:space="preserve">the </w:t>
      </w:r>
      <w:r w:rsidR="00216D27">
        <w:rPr>
          <w:rFonts w:ascii="Times New Roman" w:hAnsi="Times New Roman" w:cs="Times New Roman"/>
        </w:rPr>
        <w:t xml:space="preserve">(violent, immature, </w:t>
      </w:r>
      <w:r w:rsidR="00216D27" w:rsidRPr="00216D27">
        <w:rPr>
          <w:rFonts w:ascii="Times New Roman" w:hAnsi="Times New Roman" w:cs="Times New Roman"/>
          <w:i/>
        </w:rPr>
        <w:t>natural</w:t>
      </w:r>
      <w:r w:rsidR="00216D27">
        <w:rPr>
          <w:rFonts w:ascii="Times New Roman" w:hAnsi="Times New Roman" w:cs="Times New Roman"/>
        </w:rPr>
        <w:t xml:space="preserve">) female </w:t>
      </w:r>
      <w:r w:rsidR="0025655E" w:rsidRPr="00621883">
        <w:rPr>
          <w:rFonts w:ascii="Times New Roman" w:hAnsi="Times New Roman" w:cs="Times New Roman"/>
        </w:rPr>
        <w:t>offender</w:t>
      </w:r>
      <w:r w:rsidR="00581429" w:rsidRPr="00621883">
        <w:rPr>
          <w:rFonts w:ascii="Times New Roman" w:hAnsi="Times New Roman" w:cs="Times New Roman"/>
        </w:rPr>
        <w:t xml:space="preserve"> and</w:t>
      </w:r>
      <w:r w:rsidR="00D42F7C">
        <w:rPr>
          <w:rFonts w:ascii="Times New Roman" w:hAnsi="Times New Roman" w:cs="Times New Roman"/>
        </w:rPr>
        <w:t>, because of the discursive construction</w:t>
      </w:r>
      <w:r w:rsidR="003673C6">
        <w:rPr>
          <w:rFonts w:ascii="Times New Roman" w:hAnsi="Times New Roman" w:cs="Times New Roman"/>
        </w:rPr>
        <w:t>s</w:t>
      </w:r>
      <w:r w:rsidR="00D42F7C">
        <w:rPr>
          <w:rFonts w:ascii="Times New Roman" w:hAnsi="Times New Roman" w:cs="Times New Roman"/>
        </w:rPr>
        <w:t xml:space="preserve"> of gendered difference</w:t>
      </w:r>
      <w:r w:rsidR="003673C6">
        <w:rPr>
          <w:rFonts w:ascii="Times New Roman" w:hAnsi="Times New Roman" w:cs="Times New Roman"/>
        </w:rPr>
        <w:t xml:space="preserve"> that are</w:t>
      </w:r>
      <w:r w:rsidR="00D42F7C">
        <w:rPr>
          <w:rFonts w:ascii="Times New Roman" w:hAnsi="Times New Roman" w:cs="Times New Roman"/>
        </w:rPr>
        <w:t xml:space="preserve"> at wo</w:t>
      </w:r>
      <w:r w:rsidR="003673C6">
        <w:rPr>
          <w:rFonts w:ascii="Times New Roman" w:hAnsi="Times New Roman" w:cs="Times New Roman"/>
        </w:rPr>
        <w:t>r</w:t>
      </w:r>
      <w:r w:rsidR="00D42F7C">
        <w:rPr>
          <w:rFonts w:ascii="Times New Roman" w:hAnsi="Times New Roman" w:cs="Times New Roman"/>
        </w:rPr>
        <w:t>k here,</w:t>
      </w:r>
      <w:r w:rsidR="00581429" w:rsidRPr="00621883">
        <w:rPr>
          <w:rFonts w:ascii="Times New Roman" w:hAnsi="Times New Roman" w:cs="Times New Roman"/>
        </w:rPr>
        <w:t xml:space="preserve"> </w:t>
      </w:r>
      <w:r w:rsidR="009744BB" w:rsidRPr="00621883">
        <w:rPr>
          <w:rFonts w:ascii="Times New Roman" w:hAnsi="Times New Roman" w:cs="Times New Roman"/>
        </w:rPr>
        <w:t xml:space="preserve">more fundamentally of </w:t>
      </w:r>
      <w:r w:rsidR="00581429" w:rsidRPr="00621883">
        <w:rPr>
          <w:rFonts w:ascii="Times New Roman" w:hAnsi="Times New Roman" w:cs="Times New Roman"/>
        </w:rPr>
        <w:t>Women</w:t>
      </w:r>
      <w:r w:rsidR="009744BB" w:rsidRPr="00621883">
        <w:rPr>
          <w:rFonts w:ascii="Times New Roman" w:hAnsi="Times New Roman" w:cs="Times New Roman"/>
        </w:rPr>
        <w:t>.</w:t>
      </w:r>
      <w:bookmarkStart w:id="14" w:name="_Ref226260784"/>
      <w:r w:rsidR="009744BB" w:rsidRPr="00621883">
        <w:rPr>
          <w:rStyle w:val="FootnoteReference"/>
          <w:rFonts w:ascii="Times New Roman" w:hAnsi="Times New Roman" w:cs="Times New Roman"/>
        </w:rPr>
        <w:footnoteReference w:id="48"/>
      </w:r>
      <w:bookmarkEnd w:id="14"/>
      <w:r w:rsidR="00821655">
        <w:rPr>
          <w:rFonts w:ascii="Times New Roman" w:hAnsi="Times New Roman" w:cs="Times New Roman"/>
        </w:rPr>
        <w:t xml:space="preserve"> </w:t>
      </w:r>
    </w:p>
    <w:p w:rsidR="001C5A50" w:rsidRDefault="001C5A50" w:rsidP="00AB4819">
      <w:pPr>
        <w:spacing w:line="276" w:lineRule="auto"/>
        <w:jc w:val="both"/>
        <w:rPr>
          <w:rFonts w:ascii="Times New Roman" w:hAnsi="Times New Roman" w:cs="Times New Roman"/>
        </w:rPr>
      </w:pPr>
    </w:p>
    <w:p w:rsidR="007D2C4F" w:rsidRPr="00621883" w:rsidRDefault="00821655" w:rsidP="00AB4819">
      <w:pPr>
        <w:spacing w:line="276" w:lineRule="auto"/>
        <w:jc w:val="both"/>
        <w:rPr>
          <w:rFonts w:ascii="Times New Roman" w:hAnsi="Times New Roman" w:cs="Times New Roman"/>
        </w:rPr>
      </w:pPr>
      <w:r>
        <w:rPr>
          <w:rFonts w:ascii="Times New Roman" w:hAnsi="Times New Roman" w:cs="Times New Roman"/>
        </w:rPr>
        <w:t>Thi</w:t>
      </w:r>
      <w:r w:rsidR="00C02199">
        <w:rPr>
          <w:rFonts w:ascii="Times New Roman" w:hAnsi="Times New Roman" w:cs="Times New Roman"/>
        </w:rPr>
        <w:t>s</w:t>
      </w:r>
      <w:r w:rsidR="009744BB" w:rsidRPr="00621883">
        <w:rPr>
          <w:rFonts w:ascii="Times New Roman" w:hAnsi="Times New Roman" w:cs="Times New Roman"/>
        </w:rPr>
        <w:t xml:space="preserve"> construction of </w:t>
      </w:r>
      <w:r w:rsidR="00D76CD2">
        <w:rPr>
          <w:rFonts w:ascii="Times New Roman" w:hAnsi="Times New Roman" w:cs="Times New Roman"/>
        </w:rPr>
        <w:t xml:space="preserve">feminised deviance, and </w:t>
      </w:r>
      <w:r w:rsidR="009744BB" w:rsidRPr="00621883">
        <w:rPr>
          <w:rFonts w:ascii="Times New Roman" w:hAnsi="Times New Roman" w:cs="Times New Roman"/>
        </w:rPr>
        <w:t>female criminalit</w:t>
      </w:r>
      <w:r>
        <w:rPr>
          <w:rFonts w:ascii="Times New Roman" w:hAnsi="Times New Roman" w:cs="Times New Roman"/>
        </w:rPr>
        <w:t xml:space="preserve">y, and perhaps in particular </w:t>
      </w:r>
      <w:r w:rsidR="009744BB" w:rsidRPr="00621883">
        <w:rPr>
          <w:rFonts w:ascii="Times New Roman" w:hAnsi="Times New Roman" w:cs="Times New Roman"/>
        </w:rPr>
        <w:t>the construction of the woman who has murdered her child, is never a simple story of departure or abe</w:t>
      </w:r>
      <w:r>
        <w:rPr>
          <w:rFonts w:ascii="Times New Roman" w:hAnsi="Times New Roman" w:cs="Times New Roman"/>
        </w:rPr>
        <w:t>rration from the norm(ative).  I</w:t>
      </w:r>
      <w:r w:rsidR="005A3833" w:rsidRPr="00621883">
        <w:rPr>
          <w:rFonts w:ascii="Times New Roman" w:hAnsi="Times New Roman" w:cs="Times New Roman"/>
        </w:rPr>
        <w:t xml:space="preserve">n fact, as Smart has noted, there </w:t>
      </w:r>
      <w:r w:rsidR="00C33AB7" w:rsidRPr="00621883">
        <w:rPr>
          <w:rFonts w:ascii="Times New Roman" w:hAnsi="Times New Roman" w:cs="Times New Roman"/>
        </w:rPr>
        <w:t>is, in the construction of the female</w:t>
      </w:r>
      <w:r w:rsidR="005A3833" w:rsidRPr="00621883">
        <w:rPr>
          <w:rFonts w:ascii="Times New Roman" w:hAnsi="Times New Roman" w:cs="Times New Roman"/>
        </w:rPr>
        <w:t xml:space="preserve"> criminal</w:t>
      </w:r>
      <w:r>
        <w:rPr>
          <w:rFonts w:ascii="Times New Roman" w:hAnsi="Times New Roman" w:cs="Times New Roman"/>
        </w:rPr>
        <w:t>,</w:t>
      </w:r>
      <w:r w:rsidR="005A3833" w:rsidRPr="00621883">
        <w:rPr>
          <w:rFonts w:ascii="Times New Roman" w:hAnsi="Times New Roman" w:cs="Times New Roman"/>
        </w:rPr>
        <w:t xml:space="preserve"> a double strategy</w:t>
      </w:r>
      <w:r w:rsidR="009744BB" w:rsidRPr="00621883">
        <w:rPr>
          <w:rFonts w:ascii="Times New Roman" w:hAnsi="Times New Roman" w:cs="Times New Roman"/>
        </w:rPr>
        <w:t xml:space="preserve"> at work, one</w:t>
      </w:r>
      <w:r w:rsidR="005A3833" w:rsidRPr="00621883">
        <w:rPr>
          <w:rFonts w:ascii="Times New Roman" w:hAnsi="Times New Roman" w:cs="Times New Roman"/>
        </w:rPr>
        <w:t xml:space="preserve"> that</w:t>
      </w:r>
      <w:r w:rsidR="00581429" w:rsidRPr="00621883">
        <w:rPr>
          <w:rFonts w:ascii="Times New Roman" w:hAnsi="Times New Roman" w:cs="Times New Roman"/>
        </w:rPr>
        <w:t xml:space="preserve"> is premised on the capacity </w:t>
      </w:r>
      <w:r w:rsidR="005A3833" w:rsidRPr="00621883">
        <w:rPr>
          <w:rFonts w:ascii="Times New Roman" w:hAnsi="Times New Roman" w:cs="Times New Roman"/>
        </w:rPr>
        <w:t xml:space="preserve">to characterise </w:t>
      </w:r>
      <w:r w:rsidR="00030E73">
        <w:rPr>
          <w:rFonts w:ascii="Times New Roman" w:hAnsi="Times New Roman" w:cs="Times New Roman"/>
        </w:rPr>
        <w:t xml:space="preserve">Woman, and thus </w:t>
      </w:r>
      <w:r w:rsidR="00216D27">
        <w:rPr>
          <w:rFonts w:ascii="Times New Roman" w:hAnsi="Times New Roman" w:cs="Times New Roman"/>
        </w:rPr>
        <w:t xml:space="preserve">the female offender, </w:t>
      </w:r>
      <w:r w:rsidR="005A3833" w:rsidRPr="00621883">
        <w:rPr>
          <w:rFonts w:ascii="Times New Roman" w:hAnsi="Times New Roman" w:cs="Times New Roman"/>
        </w:rPr>
        <w:t xml:space="preserve">as </w:t>
      </w:r>
      <w:r w:rsidR="00847F0B" w:rsidRPr="00621883">
        <w:rPr>
          <w:rFonts w:ascii="Times New Roman" w:hAnsi="Times New Roman" w:cs="Times New Roman"/>
        </w:rPr>
        <w:t>“</w:t>
      </w:r>
      <w:r w:rsidR="005A3833" w:rsidRPr="00621883">
        <w:rPr>
          <w:rFonts w:ascii="Times New Roman" w:hAnsi="Times New Roman" w:cs="Times New Roman"/>
          <w:i/>
        </w:rPr>
        <w:t>both</w:t>
      </w:r>
      <w:r w:rsidR="005A3833" w:rsidRPr="00621883">
        <w:rPr>
          <w:rFonts w:ascii="Times New Roman" w:hAnsi="Times New Roman" w:cs="Times New Roman"/>
        </w:rPr>
        <w:t xml:space="preserve"> kind and killing, active and aggressive, virtuous and evil</w:t>
      </w:r>
      <w:r w:rsidR="009744BB" w:rsidRPr="00621883">
        <w:rPr>
          <w:rFonts w:ascii="Times New Roman" w:hAnsi="Times New Roman" w:cs="Times New Roman"/>
        </w:rPr>
        <w:t>, charitable and abominab</w:t>
      </w:r>
      <w:r w:rsidR="00847F0B" w:rsidRPr="00621883">
        <w:rPr>
          <w:rFonts w:ascii="Times New Roman" w:hAnsi="Times New Roman" w:cs="Times New Roman"/>
        </w:rPr>
        <w:t>le</w:t>
      </w:r>
      <w:r w:rsidR="00D42F7C">
        <w:rPr>
          <w:rFonts w:ascii="Times New Roman" w:hAnsi="Times New Roman" w:cs="Times New Roman"/>
        </w:rPr>
        <w:t xml:space="preserve">, not </w:t>
      </w:r>
      <w:r w:rsidR="00D42F7C" w:rsidRPr="00D42F7C">
        <w:rPr>
          <w:rFonts w:ascii="Times New Roman" w:hAnsi="Times New Roman" w:cs="Times New Roman"/>
          <w:i/>
        </w:rPr>
        <w:t>either</w:t>
      </w:r>
      <w:r w:rsidR="00D42F7C">
        <w:rPr>
          <w:rFonts w:ascii="Times New Roman" w:hAnsi="Times New Roman" w:cs="Times New Roman"/>
        </w:rPr>
        <w:t xml:space="preserve"> virtuous </w:t>
      </w:r>
      <w:r w:rsidR="00D42F7C" w:rsidRPr="00D42F7C">
        <w:rPr>
          <w:rFonts w:ascii="Times New Roman" w:hAnsi="Times New Roman" w:cs="Times New Roman"/>
          <w:i/>
        </w:rPr>
        <w:t>or</w:t>
      </w:r>
      <w:r w:rsidR="00D42F7C">
        <w:rPr>
          <w:rFonts w:ascii="Times New Roman" w:hAnsi="Times New Roman" w:cs="Times New Roman"/>
        </w:rPr>
        <w:t xml:space="preserve"> evil</w:t>
      </w:r>
      <w:r w:rsidR="00847F0B" w:rsidRPr="00621883">
        <w:rPr>
          <w:rFonts w:ascii="Times New Roman" w:hAnsi="Times New Roman" w:cs="Times New Roman"/>
        </w:rPr>
        <w:t>.”</w:t>
      </w:r>
      <w:bookmarkStart w:id="15" w:name="_Ref226260223"/>
      <w:r w:rsidR="00847F0B" w:rsidRPr="00621883">
        <w:rPr>
          <w:rStyle w:val="FootnoteReference"/>
          <w:rFonts w:ascii="Times New Roman" w:hAnsi="Times New Roman" w:cs="Times New Roman"/>
        </w:rPr>
        <w:footnoteReference w:id="49"/>
      </w:r>
      <w:bookmarkEnd w:id="15"/>
      <w:r w:rsidR="009744BB" w:rsidRPr="00621883">
        <w:rPr>
          <w:rFonts w:ascii="Times New Roman" w:hAnsi="Times New Roman" w:cs="Times New Roman"/>
        </w:rPr>
        <w:t xml:space="preserve"> And in this respect it is perhaps worth noting</w:t>
      </w:r>
      <w:r w:rsidR="006F00D2" w:rsidRPr="00621883">
        <w:rPr>
          <w:rFonts w:ascii="Times New Roman" w:hAnsi="Times New Roman" w:cs="Times New Roman"/>
        </w:rPr>
        <w:t xml:space="preserve"> a further layer, </w:t>
      </w:r>
      <w:r w:rsidR="00BF1BD8" w:rsidRPr="00621883">
        <w:rPr>
          <w:rFonts w:ascii="Times New Roman" w:hAnsi="Times New Roman" w:cs="Times New Roman"/>
        </w:rPr>
        <w:t xml:space="preserve">another echo chamber, </w:t>
      </w:r>
      <w:r w:rsidR="006F00D2" w:rsidRPr="00621883">
        <w:rPr>
          <w:rFonts w:ascii="Times New Roman" w:hAnsi="Times New Roman" w:cs="Times New Roman"/>
        </w:rPr>
        <w:t xml:space="preserve">one that is hinted at in Emma’s account, </w:t>
      </w:r>
      <w:r w:rsidR="00323610" w:rsidRPr="00621883">
        <w:rPr>
          <w:rFonts w:ascii="Times New Roman" w:hAnsi="Times New Roman" w:cs="Times New Roman"/>
        </w:rPr>
        <w:t xml:space="preserve">generated by the cross currents within feminist analysis concerned with agency, </w:t>
      </w:r>
      <w:r w:rsidR="00323610" w:rsidRPr="00621883">
        <w:rPr>
          <w:rFonts w:ascii="Times New Roman" w:hAnsi="Times New Roman" w:cs="Times New Roman"/>
        </w:rPr>
        <w:lastRenderedPageBreak/>
        <w:t>women and violence, but circulating in the public sphere in a form that, inevitably, flattens out historical complexity.  For we should also consider how these narratives and (re)constructions of normative motherhood and of concealed criminality play out in a ‘post-feminist’ era and how t</w:t>
      </w:r>
      <w:r w:rsidR="001C5A50">
        <w:rPr>
          <w:rFonts w:ascii="Times New Roman" w:hAnsi="Times New Roman" w:cs="Times New Roman"/>
        </w:rPr>
        <w:t>he figure of the self-absorbed “baby killer mum”</w:t>
      </w:r>
      <w:r w:rsidR="00323610" w:rsidRPr="00621883">
        <w:rPr>
          <w:rFonts w:ascii="Times New Roman" w:hAnsi="Times New Roman" w:cs="Times New Roman"/>
        </w:rPr>
        <w:t xml:space="preserve"> can both reveal and replicate </w:t>
      </w:r>
      <w:r w:rsidR="00CB4A68" w:rsidRPr="00621883">
        <w:rPr>
          <w:rFonts w:ascii="Times New Roman" w:hAnsi="Times New Roman" w:cs="Times New Roman"/>
        </w:rPr>
        <w:t>a narrative that was a distinctive strand in what we used to call the</w:t>
      </w:r>
      <w:r w:rsidR="00323610" w:rsidRPr="00621883">
        <w:rPr>
          <w:rFonts w:ascii="Times New Roman" w:hAnsi="Times New Roman" w:cs="Times New Roman"/>
        </w:rPr>
        <w:t xml:space="preserve"> </w:t>
      </w:r>
      <w:r w:rsidR="00CB4A68" w:rsidRPr="00621883">
        <w:rPr>
          <w:rFonts w:ascii="Times New Roman" w:hAnsi="Times New Roman" w:cs="Times New Roman"/>
        </w:rPr>
        <w:t>‘backlash’—and  remains a persistent and pervasive element of contemporary gender</w:t>
      </w:r>
      <w:r w:rsidR="00986D04" w:rsidRPr="00621883">
        <w:rPr>
          <w:rFonts w:ascii="Times New Roman" w:hAnsi="Times New Roman" w:cs="Times New Roman"/>
        </w:rPr>
        <w:t>ed</w:t>
      </w:r>
      <w:r w:rsidR="00CB4A68" w:rsidRPr="00621883">
        <w:rPr>
          <w:rFonts w:ascii="Times New Roman" w:hAnsi="Times New Roman" w:cs="Times New Roman"/>
        </w:rPr>
        <w:t xml:space="preserve"> discourse—the </w:t>
      </w:r>
      <w:r w:rsidR="00763885" w:rsidRPr="00621883">
        <w:rPr>
          <w:rFonts w:ascii="Times New Roman" w:hAnsi="Times New Roman" w:cs="Times New Roman"/>
        </w:rPr>
        <w:t>‘popular theory’</w:t>
      </w:r>
      <w:r w:rsidR="00323610" w:rsidRPr="00621883">
        <w:rPr>
          <w:rFonts w:ascii="Times New Roman" w:hAnsi="Times New Roman" w:cs="Times New Roman"/>
        </w:rPr>
        <w:t xml:space="preserve"> of the </w:t>
      </w:r>
      <w:r w:rsidR="00680A1D" w:rsidRPr="00621883">
        <w:rPr>
          <w:rFonts w:ascii="Times New Roman" w:hAnsi="Times New Roman" w:cs="Times New Roman"/>
        </w:rPr>
        <w:t>expressive</w:t>
      </w:r>
      <w:r w:rsidR="001C5A50">
        <w:rPr>
          <w:rFonts w:ascii="Times New Roman" w:hAnsi="Times New Roman" w:cs="Times New Roman"/>
        </w:rPr>
        <w:t>,</w:t>
      </w:r>
      <w:r w:rsidR="00680A1D" w:rsidRPr="00621883">
        <w:rPr>
          <w:rFonts w:ascii="Times New Roman" w:hAnsi="Times New Roman" w:cs="Times New Roman"/>
        </w:rPr>
        <w:t xml:space="preserve"> </w:t>
      </w:r>
      <w:r w:rsidR="00323610" w:rsidRPr="00621883">
        <w:rPr>
          <w:rFonts w:ascii="Times New Roman" w:hAnsi="Times New Roman" w:cs="Times New Roman"/>
        </w:rPr>
        <w:t>violent girl</w:t>
      </w:r>
      <w:r w:rsidR="001E6F28">
        <w:rPr>
          <w:rFonts w:ascii="Times New Roman" w:hAnsi="Times New Roman" w:cs="Times New Roman"/>
        </w:rPr>
        <w:t>/woman</w:t>
      </w:r>
      <w:r w:rsidR="00323610" w:rsidRPr="00621883">
        <w:rPr>
          <w:rFonts w:ascii="Times New Roman" w:hAnsi="Times New Roman" w:cs="Times New Roman"/>
        </w:rPr>
        <w:t xml:space="preserve"> as the inevitable supplement </w:t>
      </w:r>
      <w:r w:rsidR="00680A1D" w:rsidRPr="00621883">
        <w:rPr>
          <w:rFonts w:ascii="Times New Roman" w:hAnsi="Times New Roman" w:cs="Times New Roman"/>
        </w:rPr>
        <w:t>to</w:t>
      </w:r>
      <w:r w:rsidR="00323610" w:rsidRPr="00621883">
        <w:rPr>
          <w:rFonts w:ascii="Times New Roman" w:hAnsi="Times New Roman" w:cs="Times New Roman"/>
        </w:rPr>
        <w:t xml:space="preserve"> feminism and equality</w:t>
      </w:r>
      <w:r w:rsidR="006F00D2" w:rsidRPr="00621883">
        <w:rPr>
          <w:rFonts w:ascii="Times New Roman" w:hAnsi="Times New Roman" w:cs="Times New Roman"/>
        </w:rPr>
        <w:t>.</w:t>
      </w:r>
      <w:r w:rsidR="001C416E" w:rsidRPr="00621883">
        <w:rPr>
          <w:rStyle w:val="FootnoteReference"/>
          <w:rFonts w:ascii="Times New Roman" w:hAnsi="Times New Roman" w:cs="Times New Roman"/>
        </w:rPr>
        <w:footnoteReference w:id="50"/>
      </w:r>
      <w:r w:rsidR="006F00D2" w:rsidRPr="00621883">
        <w:rPr>
          <w:rFonts w:ascii="Times New Roman" w:hAnsi="Times New Roman" w:cs="Times New Roman"/>
        </w:rPr>
        <w:t xml:space="preserve"> </w:t>
      </w:r>
    </w:p>
    <w:p w:rsidR="0005504F" w:rsidRPr="00621883" w:rsidRDefault="0005504F" w:rsidP="00AB4819">
      <w:pPr>
        <w:spacing w:line="276" w:lineRule="auto"/>
        <w:jc w:val="both"/>
        <w:rPr>
          <w:rFonts w:ascii="Times New Roman" w:hAnsi="Times New Roman" w:cs="Times New Roman"/>
        </w:rPr>
      </w:pPr>
    </w:p>
    <w:p w:rsidR="007D2C4F" w:rsidRPr="00621883" w:rsidRDefault="005A3833" w:rsidP="00AB4819">
      <w:pPr>
        <w:spacing w:line="276" w:lineRule="auto"/>
        <w:jc w:val="both"/>
        <w:rPr>
          <w:rFonts w:ascii="Times New Roman" w:hAnsi="Times New Roman" w:cs="Times New Roman"/>
        </w:rPr>
      </w:pPr>
      <w:r w:rsidRPr="00621883">
        <w:rPr>
          <w:rFonts w:ascii="Times New Roman" w:hAnsi="Times New Roman" w:cs="Times New Roman"/>
        </w:rPr>
        <w:t xml:space="preserve">So as Emma points out </w:t>
      </w:r>
      <w:r w:rsidR="001C192E" w:rsidRPr="00621883">
        <w:rPr>
          <w:rFonts w:ascii="Times New Roman" w:hAnsi="Times New Roman" w:cs="Times New Roman"/>
        </w:rPr>
        <w:t xml:space="preserve">through her </w:t>
      </w:r>
      <w:r w:rsidRPr="00621883">
        <w:rPr>
          <w:rFonts w:ascii="Times New Roman" w:hAnsi="Times New Roman" w:cs="Times New Roman"/>
        </w:rPr>
        <w:t>ope</w:t>
      </w:r>
      <w:r w:rsidR="006640AD" w:rsidRPr="00621883">
        <w:rPr>
          <w:rFonts w:ascii="Times New Roman" w:hAnsi="Times New Roman" w:cs="Times New Roman"/>
        </w:rPr>
        <w:t>ning epigraph</w:t>
      </w:r>
      <w:r w:rsidR="001C5A50">
        <w:rPr>
          <w:rFonts w:ascii="Times New Roman" w:hAnsi="Times New Roman" w:cs="Times New Roman"/>
        </w:rPr>
        <w:t>,</w:t>
      </w:r>
      <w:r w:rsidR="006640AD" w:rsidRPr="00621883">
        <w:rPr>
          <w:rFonts w:ascii="Times New Roman" w:hAnsi="Times New Roman" w:cs="Times New Roman"/>
        </w:rPr>
        <w:t xml:space="preserve"> it </w:t>
      </w:r>
      <w:r w:rsidR="006640AD" w:rsidRPr="00621883">
        <w:rPr>
          <w:rFonts w:ascii="Times New Roman" w:hAnsi="Times New Roman" w:cs="Times New Roman"/>
          <w:i/>
        </w:rPr>
        <w:t>is</w:t>
      </w:r>
      <w:r w:rsidR="006640AD" w:rsidRPr="00621883">
        <w:rPr>
          <w:rFonts w:ascii="Times New Roman" w:hAnsi="Times New Roman" w:cs="Times New Roman"/>
        </w:rPr>
        <w:t xml:space="preserve"> </w:t>
      </w:r>
      <w:r w:rsidRPr="00621883">
        <w:rPr>
          <w:rFonts w:ascii="Times New Roman" w:hAnsi="Times New Roman" w:cs="Times New Roman"/>
        </w:rPr>
        <w:t>compl</w:t>
      </w:r>
      <w:r w:rsidR="001C192E" w:rsidRPr="00621883">
        <w:rPr>
          <w:rFonts w:ascii="Times New Roman" w:hAnsi="Times New Roman" w:cs="Times New Roman"/>
        </w:rPr>
        <w:t xml:space="preserve">icated, though Emma’s account makes it at </w:t>
      </w:r>
      <w:r w:rsidR="008617A3" w:rsidRPr="00621883">
        <w:rPr>
          <w:rFonts w:ascii="Times New Roman" w:hAnsi="Times New Roman" w:cs="Times New Roman"/>
        </w:rPr>
        <w:t>least easier to understand the ways in which the medical, legal and popular discourses converged, with such devastating effect, in Folbigg’s case</w:t>
      </w:r>
      <w:r w:rsidR="009D6B0E" w:rsidRPr="00621883">
        <w:rPr>
          <w:rFonts w:ascii="Times New Roman" w:hAnsi="Times New Roman" w:cs="Times New Roman"/>
        </w:rPr>
        <w:t>. And to understand why the</w:t>
      </w:r>
      <w:r w:rsidR="00C90DF0" w:rsidRPr="00621883">
        <w:rPr>
          <w:rFonts w:ascii="Times New Roman" w:hAnsi="Times New Roman" w:cs="Times New Roman"/>
        </w:rPr>
        <w:t xml:space="preserve"> narrative can</w:t>
      </w:r>
      <w:r w:rsidR="009D6B0E" w:rsidRPr="00621883">
        <w:rPr>
          <w:rFonts w:ascii="Times New Roman" w:hAnsi="Times New Roman" w:cs="Times New Roman"/>
        </w:rPr>
        <w:t xml:space="preserve">not </w:t>
      </w:r>
      <w:r w:rsidR="00C90DF0" w:rsidRPr="00621883">
        <w:rPr>
          <w:rFonts w:ascii="Times New Roman" w:hAnsi="Times New Roman" w:cs="Times New Roman"/>
        </w:rPr>
        <w:t xml:space="preserve">be </w:t>
      </w:r>
      <w:r w:rsidR="001C5A50">
        <w:rPr>
          <w:rFonts w:ascii="Times New Roman" w:hAnsi="Times New Roman" w:cs="Times New Roman"/>
        </w:rPr>
        <w:t>that of the rogue P</w:t>
      </w:r>
      <w:r w:rsidR="009D6B0E" w:rsidRPr="00621883">
        <w:rPr>
          <w:rFonts w:ascii="Times New Roman" w:hAnsi="Times New Roman" w:cs="Times New Roman"/>
        </w:rPr>
        <w:t xml:space="preserve">rosecutor, nor is it one of deliberate inattention, or malice, on the part of the court, the experts (though I suspect that Emma is willing to go harder here) or defence counsel. </w:t>
      </w:r>
      <w:r w:rsidR="003949AC" w:rsidRPr="00621883">
        <w:rPr>
          <w:rFonts w:ascii="Times New Roman" w:hAnsi="Times New Roman" w:cs="Times New Roman"/>
        </w:rPr>
        <w:t xml:space="preserve">While it is important, as </w:t>
      </w:r>
      <w:r w:rsidR="003949AC" w:rsidRPr="00621883">
        <w:rPr>
          <w:rFonts w:ascii="Times New Roman" w:hAnsi="Times New Roman" w:cs="Times New Roman"/>
          <w:i/>
        </w:rPr>
        <w:t>Murder, Medicine and Motherhood</w:t>
      </w:r>
      <w:r w:rsidR="003949AC" w:rsidRPr="00621883">
        <w:rPr>
          <w:rFonts w:ascii="Times New Roman" w:hAnsi="Times New Roman" w:cs="Times New Roman"/>
        </w:rPr>
        <w:t xml:space="preserve"> does, to focus </w:t>
      </w:r>
      <w:r w:rsidRPr="00621883">
        <w:rPr>
          <w:rFonts w:ascii="Times New Roman" w:hAnsi="Times New Roman" w:cs="Times New Roman"/>
        </w:rPr>
        <w:t xml:space="preserve">attention on the conduct of the prosecution, </w:t>
      </w:r>
      <w:r w:rsidR="003949AC" w:rsidRPr="00621883">
        <w:rPr>
          <w:rFonts w:ascii="Times New Roman" w:hAnsi="Times New Roman" w:cs="Times New Roman"/>
        </w:rPr>
        <w:t>and while it is perhaps easy to do as I have done, and make</w:t>
      </w:r>
      <w:r w:rsidRPr="00621883">
        <w:rPr>
          <w:rFonts w:ascii="Times New Roman" w:hAnsi="Times New Roman" w:cs="Times New Roman"/>
        </w:rPr>
        <w:t xml:space="preserve"> connections with t</w:t>
      </w:r>
      <w:r w:rsidR="00821655">
        <w:rPr>
          <w:rFonts w:ascii="Times New Roman" w:hAnsi="Times New Roman" w:cs="Times New Roman"/>
        </w:rPr>
        <w:t>he other cases run by Tedeschi,</w:t>
      </w:r>
      <w:r w:rsidR="009C4C1E" w:rsidRPr="00621883">
        <w:rPr>
          <w:rFonts w:ascii="Times New Roman" w:hAnsi="Times New Roman" w:cs="Times New Roman"/>
        </w:rPr>
        <w:t xml:space="preserve"> </w:t>
      </w:r>
      <w:r w:rsidR="00821655">
        <w:rPr>
          <w:rFonts w:ascii="Times New Roman" w:hAnsi="Times New Roman" w:cs="Times New Roman"/>
        </w:rPr>
        <w:t>i</w:t>
      </w:r>
      <w:r w:rsidR="00386AFF">
        <w:rPr>
          <w:rFonts w:ascii="Times New Roman" w:hAnsi="Times New Roman" w:cs="Times New Roman"/>
        </w:rPr>
        <w:t>t</w:t>
      </w:r>
      <w:r w:rsidR="009C4C1E" w:rsidRPr="00621883">
        <w:rPr>
          <w:rFonts w:ascii="Times New Roman" w:hAnsi="Times New Roman" w:cs="Times New Roman"/>
        </w:rPr>
        <w:t xml:space="preserve"> is </w:t>
      </w:r>
      <w:r w:rsidR="00386AFF">
        <w:rPr>
          <w:rFonts w:ascii="Times New Roman" w:hAnsi="Times New Roman" w:cs="Times New Roman"/>
        </w:rPr>
        <w:t xml:space="preserve">also </w:t>
      </w:r>
      <w:r w:rsidR="009C4C1E" w:rsidRPr="00621883">
        <w:rPr>
          <w:rFonts w:ascii="Times New Roman" w:hAnsi="Times New Roman" w:cs="Times New Roman"/>
        </w:rPr>
        <w:t>important to</w:t>
      </w:r>
      <w:r w:rsidR="00542A92" w:rsidRPr="00621883">
        <w:rPr>
          <w:rFonts w:ascii="Times New Roman" w:hAnsi="Times New Roman" w:cs="Times New Roman"/>
        </w:rPr>
        <w:t xml:space="preserve"> remind ourselv</w:t>
      </w:r>
      <w:r w:rsidR="001C5A50">
        <w:rPr>
          <w:rFonts w:ascii="Times New Roman" w:hAnsi="Times New Roman" w:cs="Times New Roman"/>
        </w:rPr>
        <w:t>es that the obligations of the P</w:t>
      </w:r>
      <w:r w:rsidR="00542A92" w:rsidRPr="00621883">
        <w:rPr>
          <w:rFonts w:ascii="Times New Roman" w:hAnsi="Times New Roman" w:cs="Times New Roman"/>
        </w:rPr>
        <w:t>rosecutor are but one o</w:t>
      </w:r>
      <w:r w:rsidR="0012023B" w:rsidRPr="00621883">
        <w:rPr>
          <w:rFonts w:ascii="Times New Roman" w:hAnsi="Times New Roman" w:cs="Times New Roman"/>
        </w:rPr>
        <w:t>f the failed trial safeguards—</w:t>
      </w:r>
      <w:r w:rsidR="00386AFF">
        <w:rPr>
          <w:rFonts w:ascii="Times New Roman" w:hAnsi="Times New Roman" w:cs="Times New Roman"/>
        </w:rPr>
        <w:t xml:space="preserve">and </w:t>
      </w:r>
      <w:r w:rsidR="00542A92" w:rsidRPr="00621883">
        <w:rPr>
          <w:rFonts w:ascii="Times New Roman" w:hAnsi="Times New Roman" w:cs="Times New Roman"/>
        </w:rPr>
        <w:t xml:space="preserve">that </w:t>
      </w:r>
      <w:r w:rsidR="00B86741" w:rsidRPr="00621883">
        <w:rPr>
          <w:rFonts w:ascii="Times New Roman" w:hAnsi="Times New Roman" w:cs="Times New Roman"/>
        </w:rPr>
        <w:t>(all of</w:t>
      </w:r>
      <w:r w:rsidR="003949AC" w:rsidRPr="00621883">
        <w:rPr>
          <w:rFonts w:ascii="Times New Roman" w:hAnsi="Times New Roman" w:cs="Times New Roman"/>
        </w:rPr>
        <w:t xml:space="preserve">) </w:t>
      </w:r>
      <w:r w:rsidR="00AF37FB" w:rsidRPr="00621883">
        <w:rPr>
          <w:rFonts w:ascii="Times New Roman" w:hAnsi="Times New Roman" w:cs="Times New Roman"/>
        </w:rPr>
        <w:t>these cases are, indeed telling, diagnostic of systemic failure</w:t>
      </w:r>
      <w:r w:rsidR="001B10D7" w:rsidRPr="00621883">
        <w:rPr>
          <w:rFonts w:ascii="Times New Roman" w:hAnsi="Times New Roman" w:cs="Times New Roman"/>
        </w:rPr>
        <w:t xml:space="preserve"> in the operation of the conventional adversarial trial, and that accusatorial principles require a rethink of the way that courts have conventionally approached the admission and evaluation of expert opinion</w:t>
      </w:r>
      <w:r w:rsidR="0012023B" w:rsidRPr="00621883">
        <w:rPr>
          <w:rFonts w:ascii="Times New Roman" w:hAnsi="Times New Roman" w:cs="Times New Roman"/>
        </w:rPr>
        <w:t>.</w:t>
      </w:r>
      <w:r w:rsidR="0012023B" w:rsidRPr="00621883">
        <w:rPr>
          <w:rStyle w:val="FootnoteReference"/>
          <w:rFonts w:ascii="Times New Roman" w:hAnsi="Times New Roman" w:cs="Times New Roman"/>
        </w:rPr>
        <w:footnoteReference w:id="51"/>
      </w:r>
      <w:r w:rsidR="0012023B" w:rsidRPr="00621883">
        <w:rPr>
          <w:rFonts w:ascii="Times New Roman" w:hAnsi="Times New Roman" w:cs="Times New Roman"/>
        </w:rPr>
        <w:t xml:space="preserve"> But in the broader sense, that </w:t>
      </w:r>
      <w:r w:rsidR="001B10D7" w:rsidRPr="00621883">
        <w:rPr>
          <w:rFonts w:ascii="Times New Roman" w:hAnsi="Times New Roman" w:cs="Times New Roman"/>
        </w:rPr>
        <w:t>these cases</w:t>
      </w:r>
      <w:r w:rsidR="00821655">
        <w:rPr>
          <w:rFonts w:ascii="Times New Roman" w:hAnsi="Times New Roman" w:cs="Times New Roman"/>
        </w:rPr>
        <w:t xml:space="preserve"> are</w:t>
      </w:r>
      <w:r w:rsidR="0012023B" w:rsidRPr="00621883">
        <w:rPr>
          <w:rFonts w:ascii="Times New Roman" w:hAnsi="Times New Roman" w:cs="Times New Roman"/>
        </w:rPr>
        <w:t xml:space="preserve"> ‘telling’ instance</w:t>
      </w:r>
      <w:r w:rsidR="001B10D7" w:rsidRPr="00621883">
        <w:rPr>
          <w:rFonts w:ascii="Times New Roman" w:hAnsi="Times New Roman" w:cs="Times New Roman"/>
        </w:rPr>
        <w:t xml:space="preserve">s, </w:t>
      </w:r>
      <w:r w:rsidR="0012023B" w:rsidRPr="00621883">
        <w:rPr>
          <w:rFonts w:ascii="Times New Roman" w:hAnsi="Times New Roman" w:cs="Times New Roman"/>
        </w:rPr>
        <w:t>popular trial</w:t>
      </w:r>
      <w:r w:rsidR="001B10D7" w:rsidRPr="00621883">
        <w:rPr>
          <w:rFonts w:ascii="Times New Roman" w:hAnsi="Times New Roman" w:cs="Times New Roman"/>
        </w:rPr>
        <w:t>s</w:t>
      </w:r>
      <w:r w:rsidR="00821655">
        <w:rPr>
          <w:rFonts w:ascii="Times New Roman" w:hAnsi="Times New Roman" w:cs="Times New Roman"/>
        </w:rPr>
        <w:t xml:space="preserve">, or </w:t>
      </w:r>
      <w:r w:rsidR="0012023B" w:rsidRPr="00621883">
        <w:rPr>
          <w:rFonts w:ascii="Times New Roman" w:hAnsi="Times New Roman" w:cs="Times New Roman"/>
        </w:rPr>
        <w:t>moment</w:t>
      </w:r>
      <w:r w:rsidR="001B10D7" w:rsidRPr="00621883">
        <w:rPr>
          <w:rFonts w:ascii="Times New Roman" w:hAnsi="Times New Roman" w:cs="Times New Roman"/>
        </w:rPr>
        <w:t>s</w:t>
      </w:r>
      <w:r w:rsidR="0012023B" w:rsidRPr="00621883">
        <w:rPr>
          <w:rFonts w:ascii="Times New Roman" w:hAnsi="Times New Roman" w:cs="Times New Roman"/>
        </w:rPr>
        <w:t xml:space="preserve"> of hyperpublicity, cases like </w:t>
      </w:r>
      <w:r w:rsidR="0012023B" w:rsidRPr="00621883">
        <w:rPr>
          <w:rFonts w:ascii="Times New Roman" w:hAnsi="Times New Roman" w:cs="Times New Roman"/>
          <w:i/>
        </w:rPr>
        <w:t>Folbigg</w:t>
      </w:r>
      <w:r w:rsidR="0012023B" w:rsidRPr="00621883">
        <w:rPr>
          <w:rFonts w:ascii="Times New Roman" w:hAnsi="Times New Roman" w:cs="Times New Roman"/>
        </w:rPr>
        <w:t xml:space="preserve"> and </w:t>
      </w:r>
      <w:r w:rsidR="0012023B" w:rsidRPr="00621883">
        <w:rPr>
          <w:rFonts w:ascii="Times New Roman" w:hAnsi="Times New Roman" w:cs="Times New Roman"/>
          <w:i/>
        </w:rPr>
        <w:t>Lane</w:t>
      </w:r>
      <w:r w:rsidR="00821655">
        <w:rPr>
          <w:rFonts w:ascii="Times New Roman" w:hAnsi="Times New Roman" w:cs="Times New Roman"/>
        </w:rPr>
        <w:t>, and, not</w:t>
      </w:r>
      <w:r w:rsidR="0012023B" w:rsidRPr="00621883">
        <w:rPr>
          <w:rFonts w:ascii="Times New Roman" w:hAnsi="Times New Roman" w:cs="Times New Roman"/>
        </w:rPr>
        <w:t xml:space="preserve">withstanding the distinction that I drew earlier, also </w:t>
      </w:r>
      <w:r w:rsidR="0012023B" w:rsidRPr="00621883">
        <w:rPr>
          <w:rFonts w:ascii="Times New Roman" w:hAnsi="Times New Roman" w:cs="Times New Roman"/>
          <w:i/>
        </w:rPr>
        <w:t>Wood</w:t>
      </w:r>
      <w:r w:rsidR="0012023B" w:rsidRPr="00621883">
        <w:rPr>
          <w:rFonts w:ascii="Times New Roman" w:hAnsi="Times New Roman" w:cs="Times New Roman"/>
        </w:rPr>
        <w:t xml:space="preserve"> and </w:t>
      </w:r>
      <w:r w:rsidR="0012023B" w:rsidRPr="00621883">
        <w:rPr>
          <w:rFonts w:ascii="Times New Roman" w:hAnsi="Times New Roman" w:cs="Times New Roman"/>
          <w:i/>
        </w:rPr>
        <w:t>Gilham</w:t>
      </w:r>
      <w:r w:rsidR="0012023B" w:rsidRPr="00621883">
        <w:rPr>
          <w:rFonts w:ascii="Times New Roman" w:hAnsi="Times New Roman" w:cs="Times New Roman"/>
        </w:rPr>
        <w:t xml:space="preserve">, are, by Fitzpatrick’s definition, a </w:t>
      </w:r>
      <w:r w:rsidR="0012023B" w:rsidRPr="00621883">
        <w:rPr>
          <w:rFonts w:ascii="Times New Roman" w:hAnsi="Times New Roman" w:cs="Times New Roman"/>
          <w:i/>
        </w:rPr>
        <w:t>symptom</w:t>
      </w:r>
      <w:r w:rsidR="0012023B" w:rsidRPr="00621883">
        <w:rPr>
          <w:rFonts w:ascii="Times New Roman" w:hAnsi="Times New Roman" w:cs="Times New Roman"/>
        </w:rPr>
        <w:t xml:space="preserve"> of an obsession, that a trial process</w:t>
      </w:r>
      <w:r w:rsidR="001B10D7" w:rsidRPr="00621883">
        <w:rPr>
          <w:rFonts w:ascii="Times New Roman" w:hAnsi="Times New Roman" w:cs="Times New Roman"/>
        </w:rPr>
        <w:t>, conventional or otherwise,</w:t>
      </w:r>
      <w:r w:rsidR="0012023B" w:rsidRPr="00621883">
        <w:rPr>
          <w:rFonts w:ascii="Times New Roman" w:hAnsi="Times New Roman" w:cs="Times New Roman"/>
        </w:rPr>
        <w:t xml:space="preserve"> is going to be unable to resolve, at the very point when the situation demands, of the process, resolution. So in this environment, how to </w:t>
      </w:r>
      <w:r w:rsidR="001B10D7" w:rsidRPr="00621883">
        <w:rPr>
          <w:rFonts w:ascii="Times New Roman" w:hAnsi="Times New Roman" w:cs="Times New Roman"/>
        </w:rPr>
        <w:t xml:space="preserve">offer a way forward, while at the same time </w:t>
      </w:r>
      <w:r w:rsidR="0012023B" w:rsidRPr="00621883">
        <w:rPr>
          <w:rFonts w:ascii="Times New Roman" w:hAnsi="Times New Roman" w:cs="Times New Roman"/>
        </w:rPr>
        <w:t>insist</w:t>
      </w:r>
      <w:r w:rsidR="001B10D7" w:rsidRPr="00621883">
        <w:rPr>
          <w:rFonts w:ascii="Times New Roman" w:hAnsi="Times New Roman" w:cs="Times New Roman"/>
        </w:rPr>
        <w:t>ing</w:t>
      </w:r>
      <w:r w:rsidR="0012023B" w:rsidRPr="00621883">
        <w:rPr>
          <w:rFonts w:ascii="Times New Roman" w:hAnsi="Times New Roman" w:cs="Times New Roman"/>
        </w:rPr>
        <w:t xml:space="preserve">, as Emma does, on </w:t>
      </w:r>
      <w:r w:rsidR="001B10D7" w:rsidRPr="00621883">
        <w:rPr>
          <w:rFonts w:ascii="Times New Roman" w:hAnsi="Times New Roman" w:cs="Times New Roman"/>
        </w:rPr>
        <w:t xml:space="preserve">the analytical importance of </w:t>
      </w:r>
      <w:r w:rsidR="0012023B" w:rsidRPr="00621883">
        <w:rPr>
          <w:rFonts w:ascii="Times New Roman" w:hAnsi="Times New Roman" w:cs="Times New Roman"/>
        </w:rPr>
        <w:t>uncertainty?</w:t>
      </w:r>
    </w:p>
    <w:p w:rsidR="00D60735" w:rsidRPr="00621883" w:rsidRDefault="00D60735" w:rsidP="00AB4819">
      <w:pPr>
        <w:spacing w:line="276" w:lineRule="auto"/>
        <w:jc w:val="both"/>
        <w:rPr>
          <w:rFonts w:ascii="Times New Roman" w:hAnsi="Times New Roman" w:cs="Times New Roman"/>
        </w:rPr>
      </w:pPr>
    </w:p>
    <w:p w:rsidR="00FA1DF0" w:rsidRDefault="008B794D" w:rsidP="00AB4819">
      <w:pPr>
        <w:spacing w:line="276" w:lineRule="auto"/>
        <w:jc w:val="both"/>
        <w:rPr>
          <w:rFonts w:ascii="Times New Roman" w:hAnsi="Times New Roman" w:cs="Times New Roman"/>
        </w:rPr>
      </w:pPr>
      <w:r w:rsidRPr="00621883">
        <w:rPr>
          <w:rFonts w:ascii="Times New Roman" w:hAnsi="Times New Roman" w:cs="Times New Roman"/>
        </w:rPr>
        <w:t xml:space="preserve">Recent coverage of the </w:t>
      </w:r>
      <w:r w:rsidR="00821655">
        <w:rPr>
          <w:rFonts w:ascii="Times New Roman" w:hAnsi="Times New Roman" w:cs="Times New Roman"/>
          <w:i/>
        </w:rPr>
        <w:t xml:space="preserve">Folbigg </w:t>
      </w:r>
      <w:r w:rsidRPr="00621883">
        <w:rPr>
          <w:rFonts w:ascii="Times New Roman" w:hAnsi="Times New Roman" w:cs="Times New Roman"/>
        </w:rPr>
        <w:t>case in Australia has focused on the flaws in the expert evidence that was presented at Folbigg’s trial, drawing attention to contemporary understandings of mul</w:t>
      </w:r>
      <w:r w:rsidR="00821655">
        <w:rPr>
          <w:rFonts w:ascii="Times New Roman" w:hAnsi="Times New Roman" w:cs="Times New Roman"/>
        </w:rPr>
        <w:t>tiple infant death, and including</w:t>
      </w:r>
      <w:r w:rsidRPr="00621883">
        <w:rPr>
          <w:rFonts w:ascii="Times New Roman" w:hAnsi="Times New Roman" w:cs="Times New Roman"/>
        </w:rPr>
        <w:t xml:space="preserve"> speculation that </w:t>
      </w:r>
      <w:r w:rsidRPr="00621883">
        <w:rPr>
          <w:rFonts w:ascii="Times New Roman" w:hAnsi="Times New Roman" w:cs="Times New Roman"/>
        </w:rPr>
        <w:lastRenderedPageBreak/>
        <w:t>were Folbigg to be tried today, the medical evidence could not support a conviction.</w:t>
      </w:r>
      <w:r w:rsidRPr="00621883">
        <w:rPr>
          <w:rStyle w:val="FootnoteReference"/>
          <w:rFonts w:ascii="Times New Roman" w:hAnsi="Times New Roman" w:cs="Times New Roman"/>
        </w:rPr>
        <w:footnoteReference w:id="52"/>
      </w:r>
      <w:r w:rsidR="00914D23" w:rsidRPr="00621883">
        <w:rPr>
          <w:rFonts w:ascii="Times New Roman" w:hAnsi="Times New Roman" w:cs="Times New Roman"/>
        </w:rPr>
        <w:t xml:space="preserve"> One of the strengths of </w:t>
      </w:r>
      <w:r w:rsidR="009D0EB5" w:rsidRPr="00621883">
        <w:rPr>
          <w:rFonts w:ascii="Times New Roman" w:hAnsi="Times New Roman" w:cs="Times New Roman"/>
          <w:i/>
        </w:rPr>
        <w:t>Murder, Medicine and Motherhood</w:t>
      </w:r>
      <w:r w:rsidR="00914D23" w:rsidRPr="00621883">
        <w:rPr>
          <w:rFonts w:ascii="Times New Roman" w:hAnsi="Times New Roman" w:cs="Times New Roman"/>
          <w:i/>
        </w:rPr>
        <w:t xml:space="preserve"> </w:t>
      </w:r>
      <w:r w:rsidR="00914D23" w:rsidRPr="00621883">
        <w:rPr>
          <w:rFonts w:ascii="Times New Roman" w:hAnsi="Times New Roman" w:cs="Times New Roman"/>
        </w:rPr>
        <w:t xml:space="preserve">is the </w:t>
      </w:r>
      <w:r w:rsidR="009D0EB5" w:rsidRPr="00621883">
        <w:rPr>
          <w:rFonts w:ascii="Times New Roman" w:hAnsi="Times New Roman" w:cs="Times New Roman"/>
        </w:rPr>
        <w:t xml:space="preserve">careful account of the </w:t>
      </w:r>
      <w:r w:rsidR="00914D23" w:rsidRPr="00621883">
        <w:rPr>
          <w:rFonts w:ascii="Times New Roman" w:hAnsi="Times New Roman" w:cs="Times New Roman"/>
        </w:rPr>
        <w:t>development and</w:t>
      </w:r>
      <w:r w:rsidR="009D0EB5" w:rsidRPr="00621883">
        <w:rPr>
          <w:rFonts w:ascii="Times New Roman" w:hAnsi="Times New Roman" w:cs="Times New Roman"/>
        </w:rPr>
        <w:t xml:space="preserve"> state of the medical literature underpin</w:t>
      </w:r>
      <w:r w:rsidR="00914D23" w:rsidRPr="00621883">
        <w:rPr>
          <w:rFonts w:ascii="Times New Roman" w:hAnsi="Times New Roman" w:cs="Times New Roman"/>
        </w:rPr>
        <w:t xml:space="preserve">ning the prosecution of Folbigg. The analysis </w:t>
      </w:r>
      <w:r w:rsidR="009D0EB5" w:rsidRPr="00621883">
        <w:rPr>
          <w:rFonts w:ascii="Times New Roman" w:hAnsi="Times New Roman" w:cs="Times New Roman"/>
        </w:rPr>
        <w:t>is revealing</w:t>
      </w:r>
      <w:r w:rsidR="00914D23" w:rsidRPr="00621883">
        <w:rPr>
          <w:rFonts w:ascii="Times New Roman" w:hAnsi="Times New Roman" w:cs="Times New Roman"/>
        </w:rPr>
        <w:t xml:space="preserve"> in a number of ways</w:t>
      </w:r>
      <w:r w:rsidR="009D0EB5" w:rsidRPr="00621883">
        <w:rPr>
          <w:rFonts w:ascii="Times New Roman" w:hAnsi="Times New Roman" w:cs="Times New Roman"/>
        </w:rPr>
        <w:t xml:space="preserve">, demonstrating both the deficiencies of the evidence itself, </w:t>
      </w:r>
      <w:r w:rsidR="00914D23" w:rsidRPr="00621883">
        <w:rPr>
          <w:rFonts w:ascii="Times New Roman" w:hAnsi="Times New Roman" w:cs="Times New Roman"/>
        </w:rPr>
        <w:t>but perhaps more significantly</w:t>
      </w:r>
      <w:r w:rsidR="009D0EB5" w:rsidRPr="00621883">
        <w:rPr>
          <w:rFonts w:ascii="Times New Roman" w:hAnsi="Times New Roman" w:cs="Times New Roman"/>
        </w:rPr>
        <w:t xml:space="preserve"> documenting the way in which the trial process itself contributed to the production of what was argu</w:t>
      </w:r>
      <w:r w:rsidR="00914D23" w:rsidRPr="00621883">
        <w:rPr>
          <w:rFonts w:ascii="Times New Roman" w:hAnsi="Times New Roman" w:cs="Times New Roman"/>
        </w:rPr>
        <w:t xml:space="preserve">ably a distorted picture of agreement within the field, overstated the </w:t>
      </w:r>
      <w:r w:rsidR="009D0EB5" w:rsidRPr="00621883">
        <w:rPr>
          <w:rFonts w:ascii="Times New Roman" w:hAnsi="Times New Roman" w:cs="Times New Roman"/>
        </w:rPr>
        <w:t xml:space="preserve">strength of the evidence, </w:t>
      </w:r>
      <w:r w:rsidR="00914D23" w:rsidRPr="00621883">
        <w:rPr>
          <w:rFonts w:ascii="Times New Roman" w:hAnsi="Times New Roman" w:cs="Times New Roman"/>
        </w:rPr>
        <w:t xml:space="preserve">and further </w:t>
      </w:r>
      <w:r w:rsidR="009D0EB5" w:rsidRPr="00621883">
        <w:rPr>
          <w:rFonts w:ascii="Times New Roman" w:hAnsi="Times New Roman" w:cs="Times New Roman"/>
        </w:rPr>
        <w:t xml:space="preserve">encouraged the </w:t>
      </w:r>
      <w:r w:rsidR="00914D23" w:rsidRPr="00621883">
        <w:rPr>
          <w:rFonts w:ascii="Times New Roman" w:hAnsi="Times New Roman" w:cs="Times New Roman"/>
        </w:rPr>
        <w:t xml:space="preserve">prosecution </w:t>
      </w:r>
      <w:r w:rsidR="009D0EB5" w:rsidRPr="00621883">
        <w:rPr>
          <w:rFonts w:ascii="Times New Roman" w:hAnsi="Times New Roman" w:cs="Times New Roman"/>
        </w:rPr>
        <w:t xml:space="preserve">experts to ‘harden’ their opinion. </w:t>
      </w:r>
      <w:r w:rsidRPr="00621883">
        <w:rPr>
          <w:rFonts w:ascii="Times New Roman" w:hAnsi="Times New Roman" w:cs="Times New Roman"/>
        </w:rPr>
        <w:t>The ar</w:t>
      </w:r>
      <w:r w:rsidR="00821655">
        <w:rPr>
          <w:rFonts w:ascii="Times New Roman" w:hAnsi="Times New Roman" w:cs="Times New Roman"/>
        </w:rPr>
        <w:t xml:space="preserve">gument is that not only was </w:t>
      </w:r>
      <w:r w:rsidRPr="00621883">
        <w:rPr>
          <w:rFonts w:ascii="Times New Roman" w:hAnsi="Times New Roman" w:cs="Times New Roman"/>
        </w:rPr>
        <w:t>Folbigg prosecuted at a moment where the accepted scientific account was itself shifting, but also that her</w:t>
      </w:r>
      <w:r w:rsidR="009D0EB5" w:rsidRPr="00621883">
        <w:rPr>
          <w:rFonts w:ascii="Times New Roman" w:hAnsi="Times New Roman" w:cs="Times New Roman"/>
        </w:rPr>
        <w:t xml:space="preserve"> </w:t>
      </w:r>
      <w:r w:rsidR="00914D23" w:rsidRPr="00621883">
        <w:rPr>
          <w:rFonts w:ascii="Times New Roman" w:hAnsi="Times New Roman" w:cs="Times New Roman"/>
        </w:rPr>
        <w:t>trial</w:t>
      </w:r>
      <w:r w:rsidR="009D0EB5" w:rsidRPr="00621883">
        <w:rPr>
          <w:rFonts w:ascii="Times New Roman" w:hAnsi="Times New Roman" w:cs="Times New Roman"/>
        </w:rPr>
        <w:t xml:space="preserve"> occurred at a </w:t>
      </w:r>
      <w:r w:rsidRPr="00621883">
        <w:rPr>
          <w:rFonts w:ascii="Times New Roman" w:hAnsi="Times New Roman" w:cs="Times New Roman"/>
        </w:rPr>
        <w:t xml:space="preserve">moment </w:t>
      </w:r>
      <w:r w:rsidR="009D0EB5" w:rsidRPr="00621883">
        <w:rPr>
          <w:rFonts w:ascii="Times New Roman" w:hAnsi="Times New Roman" w:cs="Times New Roman"/>
        </w:rPr>
        <w:t>when the punitive narratives of n</w:t>
      </w:r>
      <w:r w:rsidRPr="00621883">
        <w:rPr>
          <w:rFonts w:ascii="Times New Roman" w:hAnsi="Times New Roman" w:cs="Times New Roman"/>
        </w:rPr>
        <w:t xml:space="preserve">ormative motherhood attached to the account of multiple infant death were operating at their full strength. But </w:t>
      </w:r>
      <w:r w:rsidR="007258A3" w:rsidRPr="00621883">
        <w:rPr>
          <w:rFonts w:ascii="Times New Roman" w:hAnsi="Times New Roman" w:cs="Times New Roman"/>
        </w:rPr>
        <w:t xml:space="preserve">while it may be true to say that </w:t>
      </w:r>
      <w:r w:rsidR="00914D23" w:rsidRPr="00621883">
        <w:rPr>
          <w:rFonts w:ascii="Times New Roman" w:hAnsi="Times New Roman" w:cs="Times New Roman"/>
        </w:rPr>
        <w:t xml:space="preserve">a more tempered view of the expert evidence might mean that </w:t>
      </w:r>
      <w:r w:rsidR="007258A3" w:rsidRPr="00621883">
        <w:rPr>
          <w:rFonts w:ascii="Times New Roman" w:hAnsi="Times New Roman" w:cs="Times New Roman"/>
        </w:rPr>
        <w:t xml:space="preserve">a prosecution today, against Folbigg, might not succeed, </w:t>
      </w:r>
      <w:r w:rsidRPr="00621883">
        <w:rPr>
          <w:rFonts w:ascii="Times New Roman" w:hAnsi="Times New Roman" w:cs="Times New Roman"/>
        </w:rPr>
        <w:t>as I think Lane’s case shows, the normative values that underpinned Tedeschi’s narrative have proved to be extraordinarily</w:t>
      </w:r>
      <w:r w:rsidR="007258A3" w:rsidRPr="00621883">
        <w:rPr>
          <w:rFonts w:ascii="Times New Roman" w:hAnsi="Times New Roman" w:cs="Times New Roman"/>
        </w:rPr>
        <w:t xml:space="preserve"> persistent—</w:t>
      </w:r>
      <w:r w:rsidR="00927C07">
        <w:rPr>
          <w:rFonts w:ascii="Times New Roman" w:hAnsi="Times New Roman" w:cs="Times New Roman"/>
        </w:rPr>
        <w:t>we are not all ‘post</w:t>
      </w:r>
      <w:r w:rsidR="00951419" w:rsidRPr="00621883">
        <w:rPr>
          <w:rFonts w:ascii="Times New Roman" w:hAnsi="Times New Roman" w:cs="Times New Roman"/>
        </w:rPr>
        <w:t xml:space="preserve">feminists’ now, and </w:t>
      </w:r>
      <w:r w:rsidRPr="00621883">
        <w:rPr>
          <w:rFonts w:ascii="Times New Roman" w:hAnsi="Times New Roman" w:cs="Times New Roman"/>
        </w:rPr>
        <w:t>it is important not to be</w:t>
      </w:r>
      <w:r w:rsidR="007258A3" w:rsidRPr="00621883">
        <w:rPr>
          <w:rFonts w:ascii="Times New Roman" w:hAnsi="Times New Roman" w:cs="Times New Roman"/>
        </w:rPr>
        <w:t>come</w:t>
      </w:r>
      <w:r w:rsidRPr="00621883">
        <w:rPr>
          <w:rFonts w:ascii="Times New Roman" w:hAnsi="Times New Roman" w:cs="Times New Roman"/>
        </w:rPr>
        <w:t xml:space="preserve"> complacent about changing times. </w:t>
      </w:r>
    </w:p>
    <w:p w:rsidR="00FA1DF0" w:rsidRDefault="00FA1DF0" w:rsidP="00AB4819">
      <w:pPr>
        <w:spacing w:line="276" w:lineRule="auto"/>
        <w:jc w:val="both"/>
        <w:rPr>
          <w:rFonts w:ascii="Times New Roman" w:hAnsi="Times New Roman" w:cs="Times New Roman"/>
        </w:rPr>
      </w:pPr>
    </w:p>
    <w:p w:rsidR="00FA1DF0" w:rsidRDefault="007258A3" w:rsidP="00AB4819">
      <w:pPr>
        <w:spacing w:line="276" w:lineRule="auto"/>
        <w:jc w:val="both"/>
        <w:rPr>
          <w:rFonts w:ascii="Times New Roman" w:hAnsi="Times New Roman" w:cs="Times New Roman"/>
        </w:rPr>
      </w:pPr>
      <w:r w:rsidRPr="00621883">
        <w:rPr>
          <w:rFonts w:ascii="Times New Roman" w:hAnsi="Times New Roman" w:cs="Times New Roman"/>
        </w:rPr>
        <w:t xml:space="preserve">But as I have said before, Emma’s </w:t>
      </w:r>
      <w:r w:rsidR="009D0EB5" w:rsidRPr="00621883">
        <w:rPr>
          <w:rFonts w:ascii="Times New Roman" w:hAnsi="Times New Roman" w:cs="Times New Roman"/>
        </w:rPr>
        <w:t xml:space="preserve">book is special </w:t>
      </w:r>
      <w:r w:rsidRPr="00621883">
        <w:rPr>
          <w:rFonts w:ascii="Times New Roman" w:hAnsi="Times New Roman" w:cs="Times New Roman"/>
        </w:rPr>
        <w:t xml:space="preserve">because </w:t>
      </w:r>
      <w:r w:rsidR="009D0EB5" w:rsidRPr="00621883">
        <w:rPr>
          <w:rFonts w:ascii="Times New Roman" w:hAnsi="Times New Roman" w:cs="Times New Roman"/>
        </w:rPr>
        <w:t xml:space="preserve">in </w:t>
      </w:r>
      <w:r w:rsidR="009D0EB5" w:rsidRPr="00621883">
        <w:rPr>
          <w:rFonts w:ascii="Times New Roman" w:hAnsi="Times New Roman" w:cs="Times New Roman"/>
          <w:i/>
        </w:rPr>
        <w:t>Murder, Medicine and Motherhood</w:t>
      </w:r>
      <w:r w:rsidR="009D0EB5" w:rsidRPr="00621883">
        <w:rPr>
          <w:rFonts w:ascii="Times New Roman" w:hAnsi="Times New Roman" w:cs="Times New Roman"/>
        </w:rPr>
        <w:t xml:space="preserve"> she combines</w:t>
      </w:r>
      <w:r w:rsidRPr="00621883">
        <w:rPr>
          <w:rFonts w:ascii="Times New Roman" w:hAnsi="Times New Roman" w:cs="Times New Roman"/>
        </w:rPr>
        <w:t xml:space="preserve"> her clear eyed </w:t>
      </w:r>
      <w:r w:rsidR="009D0EB5" w:rsidRPr="00621883">
        <w:rPr>
          <w:rFonts w:ascii="Times New Roman" w:hAnsi="Times New Roman" w:cs="Times New Roman"/>
        </w:rPr>
        <w:t xml:space="preserve">gendered analysis with an account of how the case is significant in terms of the operation of the adversarial system </w:t>
      </w:r>
      <w:r w:rsidR="009D0EB5" w:rsidRPr="00621883">
        <w:rPr>
          <w:rFonts w:ascii="Times New Roman" w:hAnsi="Times New Roman" w:cs="Times New Roman"/>
          <w:i/>
        </w:rPr>
        <w:t>and</w:t>
      </w:r>
      <w:r w:rsidR="009D0EB5" w:rsidRPr="00621883">
        <w:rPr>
          <w:rFonts w:ascii="Times New Roman" w:hAnsi="Times New Roman" w:cs="Times New Roman"/>
        </w:rPr>
        <w:t xml:space="preserve"> she manages to provide concrete (even simple, though not simplistic) principles that can be used both to manage conflicting expert evidence but also to elicit </w:t>
      </w:r>
      <w:r w:rsidR="005B5A1B" w:rsidRPr="00621883">
        <w:rPr>
          <w:rFonts w:ascii="Times New Roman" w:hAnsi="Times New Roman" w:cs="Times New Roman"/>
        </w:rPr>
        <w:t>better</w:t>
      </w:r>
      <w:r w:rsidR="009D0EB5" w:rsidRPr="00621883">
        <w:rPr>
          <w:rFonts w:ascii="Times New Roman" w:hAnsi="Times New Roman" w:cs="Times New Roman"/>
        </w:rPr>
        <w:t xml:space="preserve"> information </w:t>
      </w:r>
      <w:r w:rsidR="005B5A1B" w:rsidRPr="00621883">
        <w:rPr>
          <w:rFonts w:ascii="Times New Roman" w:hAnsi="Times New Roman" w:cs="Times New Roman"/>
        </w:rPr>
        <w:t>so as to enable a</w:t>
      </w:r>
      <w:r w:rsidR="009D0EB5" w:rsidRPr="00621883">
        <w:rPr>
          <w:rFonts w:ascii="Times New Roman" w:hAnsi="Times New Roman" w:cs="Times New Roman"/>
        </w:rPr>
        <w:t xml:space="preserve"> trial court </w:t>
      </w:r>
      <w:r w:rsidR="005B5A1B" w:rsidRPr="00621883">
        <w:rPr>
          <w:rFonts w:ascii="Times New Roman" w:hAnsi="Times New Roman" w:cs="Times New Roman"/>
        </w:rPr>
        <w:t>to better</w:t>
      </w:r>
      <w:r w:rsidR="009D0EB5" w:rsidRPr="00621883">
        <w:rPr>
          <w:rFonts w:ascii="Times New Roman" w:hAnsi="Times New Roman" w:cs="Times New Roman"/>
        </w:rPr>
        <w:t xml:space="preserve"> assess </w:t>
      </w:r>
      <w:r w:rsidR="005B5A1B" w:rsidRPr="00621883">
        <w:rPr>
          <w:rFonts w:ascii="Times New Roman" w:hAnsi="Times New Roman" w:cs="Times New Roman"/>
        </w:rPr>
        <w:t xml:space="preserve">both the strengths and risks attendant on </w:t>
      </w:r>
      <w:r w:rsidRPr="00621883">
        <w:rPr>
          <w:rFonts w:ascii="Times New Roman" w:hAnsi="Times New Roman" w:cs="Times New Roman"/>
        </w:rPr>
        <w:t>such</w:t>
      </w:r>
      <w:r w:rsidR="009D0EB5" w:rsidRPr="00621883">
        <w:rPr>
          <w:rFonts w:ascii="Times New Roman" w:hAnsi="Times New Roman" w:cs="Times New Roman"/>
        </w:rPr>
        <w:t xml:space="preserve"> evidence.</w:t>
      </w:r>
      <w:r w:rsidRPr="00621883">
        <w:rPr>
          <w:rFonts w:ascii="Times New Roman" w:hAnsi="Times New Roman" w:cs="Times New Roman"/>
        </w:rPr>
        <w:t xml:space="preserve"> </w:t>
      </w:r>
      <w:r w:rsidR="00ED6E2B" w:rsidRPr="00621883">
        <w:rPr>
          <w:rFonts w:ascii="Times New Roman" w:hAnsi="Times New Roman" w:cs="Times New Roman"/>
        </w:rPr>
        <w:t xml:space="preserve">Emma argues that </w:t>
      </w:r>
      <w:r w:rsidR="0068283D" w:rsidRPr="00621883">
        <w:rPr>
          <w:rFonts w:ascii="Times New Roman" w:hAnsi="Times New Roman" w:cs="Times New Roman"/>
        </w:rPr>
        <w:t xml:space="preserve">when dealing with infant deaths, single or multiple, we need to be attentive, at first instance to our starting point; that is to say that interpretations of behaviour, demeanour, and indeed written records such as diaries, must proceed from, and </w:t>
      </w:r>
      <w:r w:rsidR="0007297B" w:rsidRPr="00621883">
        <w:rPr>
          <w:rFonts w:ascii="Times New Roman" w:hAnsi="Times New Roman" w:cs="Times New Roman"/>
        </w:rPr>
        <w:t xml:space="preserve">thus </w:t>
      </w:r>
      <w:r w:rsidR="0068283D" w:rsidRPr="00621883">
        <w:rPr>
          <w:rFonts w:ascii="Times New Roman" w:hAnsi="Times New Roman" w:cs="Times New Roman"/>
        </w:rPr>
        <w:t xml:space="preserve">be moderated by, the presumption of innocence. </w:t>
      </w:r>
      <w:r w:rsidR="004848F6">
        <w:rPr>
          <w:rFonts w:ascii="Times New Roman" w:hAnsi="Times New Roman" w:cs="Times New Roman"/>
        </w:rPr>
        <w:t xml:space="preserve">As was made clear in </w:t>
      </w:r>
      <w:r w:rsidR="004848F6" w:rsidRPr="004848F6">
        <w:rPr>
          <w:rFonts w:ascii="Times New Roman" w:hAnsi="Times New Roman" w:cs="Times New Roman"/>
          <w:i/>
        </w:rPr>
        <w:t>Canning</w:t>
      </w:r>
      <w:r w:rsidR="004848F6">
        <w:rPr>
          <w:rFonts w:ascii="Times New Roman" w:hAnsi="Times New Roman" w:cs="Times New Roman"/>
        </w:rPr>
        <w:t>, much will depend on your starting point.</w:t>
      </w:r>
      <w:r w:rsidR="009D21EA">
        <w:rPr>
          <w:rStyle w:val="FootnoteReference"/>
          <w:rFonts w:ascii="Times New Roman" w:hAnsi="Times New Roman" w:cs="Times New Roman"/>
        </w:rPr>
        <w:footnoteReference w:id="53"/>
      </w:r>
      <w:r w:rsidR="004848F6">
        <w:rPr>
          <w:rFonts w:ascii="Times New Roman" w:hAnsi="Times New Roman" w:cs="Times New Roman"/>
        </w:rPr>
        <w:t xml:space="preserve"> </w:t>
      </w:r>
    </w:p>
    <w:p w:rsidR="00FA1DF0" w:rsidRDefault="00FA1DF0" w:rsidP="00AB4819">
      <w:pPr>
        <w:spacing w:line="276" w:lineRule="auto"/>
        <w:jc w:val="both"/>
        <w:rPr>
          <w:rFonts w:ascii="Times New Roman" w:hAnsi="Times New Roman" w:cs="Times New Roman"/>
        </w:rPr>
      </w:pPr>
    </w:p>
    <w:p w:rsidR="00FA1DF0" w:rsidRDefault="0068283D" w:rsidP="00AB4819">
      <w:pPr>
        <w:spacing w:line="276" w:lineRule="auto"/>
        <w:jc w:val="both"/>
        <w:rPr>
          <w:rFonts w:ascii="Times New Roman" w:hAnsi="Times New Roman" w:cs="Times New Roman"/>
        </w:rPr>
      </w:pPr>
      <w:r w:rsidRPr="00621883">
        <w:rPr>
          <w:rFonts w:ascii="Times New Roman" w:hAnsi="Times New Roman" w:cs="Times New Roman"/>
        </w:rPr>
        <w:t xml:space="preserve">Next, confirming the point made in </w:t>
      </w:r>
      <w:r w:rsidRPr="00621883">
        <w:rPr>
          <w:rFonts w:ascii="Times New Roman" w:hAnsi="Times New Roman" w:cs="Times New Roman"/>
          <w:i/>
        </w:rPr>
        <w:t>Canning</w:t>
      </w:r>
      <w:r w:rsidRPr="00621883">
        <w:rPr>
          <w:rFonts w:ascii="Times New Roman" w:hAnsi="Times New Roman" w:cs="Times New Roman"/>
        </w:rPr>
        <w:t xml:space="preserve">, and applied in </w:t>
      </w:r>
      <w:r w:rsidRPr="00621883">
        <w:rPr>
          <w:rFonts w:ascii="Times New Roman" w:hAnsi="Times New Roman" w:cs="Times New Roman"/>
          <w:i/>
        </w:rPr>
        <w:t>Matthey</w:t>
      </w:r>
      <w:r w:rsidRPr="00621883">
        <w:rPr>
          <w:rFonts w:ascii="Times New Roman" w:hAnsi="Times New Roman" w:cs="Times New Roman"/>
        </w:rPr>
        <w:t xml:space="preserve">, </w:t>
      </w:r>
      <w:r w:rsidR="003A45AC" w:rsidRPr="00621883">
        <w:rPr>
          <w:rFonts w:ascii="Times New Roman" w:hAnsi="Times New Roman" w:cs="Times New Roman"/>
        </w:rPr>
        <w:t xml:space="preserve">when considering expert (medical) opinion as to cause of death, </w:t>
      </w:r>
      <w:r w:rsidRPr="00621883">
        <w:rPr>
          <w:rFonts w:ascii="Times New Roman" w:hAnsi="Times New Roman" w:cs="Times New Roman"/>
        </w:rPr>
        <w:t>it is critical</w:t>
      </w:r>
      <w:r w:rsidR="003A45AC" w:rsidRPr="00621883">
        <w:rPr>
          <w:rFonts w:ascii="Times New Roman" w:hAnsi="Times New Roman" w:cs="Times New Roman"/>
        </w:rPr>
        <w:t xml:space="preserve"> to guard against double counting.</w:t>
      </w:r>
      <w:r w:rsidR="004A5B9F" w:rsidRPr="00621883">
        <w:rPr>
          <w:rStyle w:val="FootnoteReference"/>
          <w:rFonts w:ascii="Times New Roman" w:hAnsi="Times New Roman" w:cs="Times New Roman"/>
        </w:rPr>
        <w:footnoteReference w:id="54"/>
      </w:r>
      <w:r w:rsidR="00513956" w:rsidRPr="00621883">
        <w:rPr>
          <w:rFonts w:ascii="Times New Roman" w:hAnsi="Times New Roman" w:cs="Times New Roman"/>
        </w:rPr>
        <w:t xml:space="preserve"> </w:t>
      </w:r>
      <w:r w:rsidR="004A5B9F" w:rsidRPr="00621883">
        <w:rPr>
          <w:rFonts w:ascii="Times New Roman" w:hAnsi="Times New Roman" w:cs="Times New Roman"/>
        </w:rPr>
        <w:t xml:space="preserve">Most obviously expert opinion cannot rely on the </w:t>
      </w:r>
      <w:r w:rsidR="004848F6">
        <w:rPr>
          <w:rFonts w:ascii="Times New Roman" w:hAnsi="Times New Roman" w:cs="Times New Roman"/>
        </w:rPr>
        <w:t xml:space="preserve">now </w:t>
      </w:r>
      <w:r w:rsidR="004A5B9F" w:rsidRPr="00621883">
        <w:rPr>
          <w:rFonts w:ascii="Times New Roman" w:hAnsi="Times New Roman" w:cs="Times New Roman"/>
        </w:rPr>
        <w:t xml:space="preserve">discredited assumptions that the rarity of the multiple deaths is itself indicative of cause. But </w:t>
      </w:r>
      <w:r w:rsidR="004A5B9F" w:rsidRPr="00621883">
        <w:rPr>
          <w:rFonts w:ascii="Times New Roman" w:hAnsi="Times New Roman" w:cs="Times New Roman"/>
        </w:rPr>
        <w:lastRenderedPageBreak/>
        <w:t>equally, if expert opinion in this area will be shaped, almost inevitably, by interpretations of psycho-social factors</w:t>
      </w:r>
      <w:r w:rsidR="00821655">
        <w:rPr>
          <w:rFonts w:ascii="Times New Roman" w:hAnsi="Times New Roman" w:cs="Times New Roman"/>
        </w:rPr>
        <w:t>,</w:t>
      </w:r>
      <w:r w:rsidR="004A5B9F" w:rsidRPr="00621883">
        <w:rPr>
          <w:rFonts w:ascii="Times New Roman" w:hAnsi="Times New Roman" w:cs="Times New Roman"/>
        </w:rPr>
        <w:t xml:space="preserve"> then this needs to be clearly articulated and understood within the trial context. </w:t>
      </w:r>
      <w:r w:rsidR="00E51A88" w:rsidRPr="00621883">
        <w:rPr>
          <w:rFonts w:ascii="Times New Roman" w:hAnsi="Times New Roman" w:cs="Times New Roman"/>
        </w:rPr>
        <w:t xml:space="preserve">Consequent on this is thus an obligation on courts, on judges, when considering the admissibility of incriminating expert evidence, to sharpen up their </w:t>
      </w:r>
      <w:r w:rsidR="00751C1C" w:rsidRPr="00621883">
        <w:rPr>
          <w:rFonts w:ascii="Times New Roman" w:hAnsi="Times New Roman" w:cs="Times New Roman"/>
        </w:rPr>
        <w:t>analysis, and to be far more attentive, in a substantive way, to the basis of the expert opinion</w:t>
      </w:r>
      <w:r w:rsidR="00AB5456">
        <w:rPr>
          <w:rFonts w:ascii="Times New Roman" w:hAnsi="Times New Roman" w:cs="Times New Roman"/>
        </w:rPr>
        <w:t>.</w:t>
      </w:r>
      <w:r w:rsidR="00AB5456">
        <w:rPr>
          <w:rStyle w:val="FootnoteReference"/>
          <w:rFonts w:ascii="Times New Roman" w:hAnsi="Times New Roman" w:cs="Times New Roman"/>
        </w:rPr>
        <w:footnoteReference w:id="55"/>
      </w:r>
      <w:r w:rsidR="00AB5456">
        <w:rPr>
          <w:rFonts w:ascii="Times New Roman" w:hAnsi="Times New Roman" w:cs="Times New Roman"/>
        </w:rPr>
        <w:t xml:space="preserve"> In this context this is particularly important where the reasoning process may have involved the expert being exposed to (arguably) domain irrelevant information</w:t>
      </w:r>
      <w:r w:rsidR="00821655">
        <w:rPr>
          <w:rFonts w:ascii="Times New Roman" w:hAnsi="Times New Roman" w:cs="Times New Roman"/>
        </w:rPr>
        <w:t xml:space="preserve"> or </w:t>
      </w:r>
      <w:r w:rsidR="00DA0804">
        <w:rPr>
          <w:rFonts w:ascii="Times New Roman" w:hAnsi="Times New Roman" w:cs="Times New Roman"/>
        </w:rPr>
        <w:t>double counting.</w:t>
      </w:r>
      <w:r w:rsidR="00DA0804">
        <w:rPr>
          <w:rStyle w:val="FootnoteReference"/>
          <w:rFonts w:ascii="Times New Roman" w:hAnsi="Times New Roman" w:cs="Times New Roman"/>
        </w:rPr>
        <w:footnoteReference w:id="56"/>
      </w:r>
      <w:r w:rsidR="00875954">
        <w:rPr>
          <w:rFonts w:ascii="Times New Roman" w:hAnsi="Times New Roman" w:cs="Times New Roman"/>
        </w:rPr>
        <w:t xml:space="preserve"> </w:t>
      </w:r>
    </w:p>
    <w:p w:rsidR="00FA1DF0" w:rsidRDefault="00FA1DF0" w:rsidP="00AB4819">
      <w:pPr>
        <w:spacing w:line="276" w:lineRule="auto"/>
        <w:jc w:val="both"/>
        <w:rPr>
          <w:rFonts w:ascii="Times New Roman" w:hAnsi="Times New Roman" w:cs="Times New Roman"/>
        </w:rPr>
      </w:pPr>
    </w:p>
    <w:p w:rsidR="0013035E" w:rsidRPr="00621883" w:rsidRDefault="004A5B9F" w:rsidP="00AB4819">
      <w:pPr>
        <w:spacing w:line="276" w:lineRule="auto"/>
        <w:jc w:val="both"/>
        <w:rPr>
          <w:rFonts w:ascii="Times New Roman" w:hAnsi="Times New Roman" w:cs="Times New Roman"/>
        </w:rPr>
      </w:pPr>
      <w:r w:rsidRPr="00621883">
        <w:rPr>
          <w:rFonts w:ascii="Times New Roman" w:hAnsi="Times New Roman" w:cs="Times New Roman"/>
        </w:rPr>
        <w:t>Equally, expert obligations in terms of disclosure of reasoning need to be addressed, by the expert, in substantive rather than formulistic terms</w:t>
      </w:r>
      <w:r w:rsidR="009F0D23">
        <w:rPr>
          <w:rFonts w:ascii="Times New Roman" w:hAnsi="Times New Roman" w:cs="Times New Roman"/>
        </w:rPr>
        <w:t xml:space="preserve"> and Emma’s principles would require </w:t>
      </w:r>
      <w:r w:rsidR="004848F6">
        <w:rPr>
          <w:rFonts w:ascii="Times New Roman" w:hAnsi="Times New Roman" w:cs="Times New Roman"/>
        </w:rPr>
        <w:t xml:space="preserve">the expert </w:t>
      </w:r>
      <w:r w:rsidR="009F0D23">
        <w:rPr>
          <w:rFonts w:ascii="Times New Roman" w:hAnsi="Times New Roman" w:cs="Times New Roman"/>
        </w:rPr>
        <w:t xml:space="preserve">to </w:t>
      </w:r>
      <w:r w:rsidR="00821655">
        <w:rPr>
          <w:rFonts w:ascii="Times New Roman" w:hAnsi="Times New Roman" w:cs="Times New Roman"/>
        </w:rPr>
        <w:t>not only describe</w:t>
      </w:r>
      <w:r w:rsidR="004848F6">
        <w:rPr>
          <w:rFonts w:ascii="Times New Roman" w:hAnsi="Times New Roman" w:cs="Times New Roman"/>
        </w:rPr>
        <w:t xml:space="preserve"> the investigations that were undertaken, and the reasoning process involved, but also </w:t>
      </w:r>
      <w:r w:rsidR="00821655">
        <w:rPr>
          <w:rFonts w:ascii="Times New Roman" w:hAnsi="Times New Roman" w:cs="Times New Roman"/>
        </w:rPr>
        <w:t>to situate</w:t>
      </w:r>
      <w:r w:rsidR="004848F6">
        <w:rPr>
          <w:rFonts w:ascii="Times New Roman" w:hAnsi="Times New Roman" w:cs="Times New Roman"/>
        </w:rPr>
        <w:t xml:space="preserve"> the </w:t>
      </w:r>
      <w:r w:rsidR="00F43132">
        <w:rPr>
          <w:rFonts w:ascii="Times New Roman" w:hAnsi="Times New Roman" w:cs="Times New Roman"/>
        </w:rPr>
        <w:t>analysis within the existing literature</w:t>
      </w:r>
      <w:r w:rsidR="009F0D23">
        <w:rPr>
          <w:rFonts w:ascii="Times New Roman" w:hAnsi="Times New Roman" w:cs="Times New Roman"/>
        </w:rPr>
        <w:t>,</w:t>
      </w:r>
      <w:r w:rsidR="00F43132">
        <w:rPr>
          <w:rFonts w:ascii="Times New Roman" w:hAnsi="Times New Roman" w:cs="Times New Roman"/>
        </w:rPr>
        <w:t xml:space="preserve"> and </w:t>
      </w:r>
      <w:r w:rsidR="00821655">
        <w:rPr>
          <w:rFonts w:ascii="Times New Roman" w:hAnsi="Times New Roman" w:cs="Times New Roman"/>
        </w:rPr>
        <w:t>to be</w:t>
      </w:r>
      <w:r w:rsidR="00F43132">
        <w:rPr>
          <w:rFonts w:ascii="Times New Roman" w:hAnsi="Times New Roman" w:cs="Times New Roman"/>
        </w:rPr>
        <w:t xml:space="preserve"> explicit about </w:t>
      </w:r>
      <w:r w:rsidR="009F0D23">
        <w:rPr>
          <w:rFonts w:ascii="Times New Roman" w:hAnsi="Times New Roman" w:cs="Times New Roman"/>
        </w:rPr>
        <w:t xml:space="preserve">the conditions of </w:t>
      </w:r>
      <w:r w:rsidR="00F43132">
        <w:rPr>
          <w:rFonts w:ascii="Times New Roman" w:hAnsi="Times New Roman" w:cs="Times New Roman"/>
        </w:rPr>
        <w:t xml:space="preserve">uncertainty and doubt affecting the field. </w:t>
      </w:r>
      <w:r w:rsidR="009F0D23">
        <w:rPr>
          <w:rFonts w:ascii="Times New Roman" w:hAnsi="Times New Roman" w:cs="Times New Roman"/>
        </w:rPr>
        <w:t xml:space="preserve">Significantly, and in line with cases such as </w:t>
      </w:r>
      <w:r w:rsidR="009F0D23" w:rsidRPr="009F0D23">
        <w:rPr>
          <w:rFonts w:ascii="Times New Roman" w:hAnsi="Times New Roman" w:cs="Times New Roman"/>
          <w:i/>
        </w:rPr>
        <w:t>Canning</w:t>
      </w:r>
      <w:r w:rsidR="009F0D23">
        <w:rPr>
          <w:rFonts w:ascii="Times New Roman" w:hAnsi="Times New Roman" w:cs="Times New Roman"/>
        </w:rPr>
        <w:t xml:space="preserve"> (and </w:t>
      </w:r>
      <w:r w:rsidR="009F0D23" w:rsidRPr="009F0D23">
        <w:rPr>
          <w:rFonts w:ascii="Times New Roman" w:hAnsi="Times New Roman" w:cs="Times New Roman"/>
          <w:i/>
        </w:rPr>
        <w:t>Matthey</w:t>
      </w:r>
      <w:r w:rsidR="009F0D23">
        <w:rPr>
          <w:rFonts w:ascii="Times New Roman" w:hAnsi="Times New Roman" w:cs="Times New Roman"/>
        </w:rPr>
        <w:t>), Emma points out that some conditions of uncertainty will mandate an acquittal.</w:t>
      </w:r>
      <w:r w:rsidR="009F0D23">
        <w:rPr>
          <w:rStyle w:val="FootnoteReference"/>
          <w:rFonts w:ascii="Times New Roman" w:hAnsi="Times New Roman" w:cs="Times New Roman"/>
        </w:rPr>
        <w:footnoteReference w:id="57"/>
      </w:r>
      <w:r w:rsidR="009F0D23">
        <w:rPr>
          <w:rFonts w:ascii="Times New Roman" w:hAnsi="Times New Roman" w:cs="Times New Roman"/>
        </w:rPr>
        <w:t xml:space="preserve"> And thus r</w:t>
      </w:r>
      <w:r w:rsidR="00751C1C" w:rsidRPr="00621883">
        <w:rPr>
          <w:rFonts w:ascii="Times New Roman" w:hAnsi="Times New Roman" w:cs="Times New Roman"/>
        </w:rPr>
        <w:t>unning parallel to this is an obligation on judges, lawyers, and in particular prosecutors, to be far more attentive to the significance of uncertainty within a discipline</w:t>
      </w:r>
      <w:r w:rsidR="009F0D23">
        <w:rPr>
          <w:rFonts w:ascii="Times New Roman" w:hAnsi="Times New Roman" w:cs="Times New Roman"/>
        </w:rPr>
        <w:t xml:space="preserve">; conventional adversarial safeguards or reforms of procedure, with their focus on form over substance, are not a sufficient proxy. So not only must </w:t>
      </w:r>
      <w:r w:rsidR="009F0D23" w:rsidRPr="00621883">
        <w:rPr>
          <w:rFonts w:ascii="Times New Roman" w:hAnsi="Times New Roman" w:cs="Times New Roman"/>
        </w:rPr>
        <w:t>we be sceptical of the manner in which the asserted compliance with Expert Codes is taken at face value by (trial) courts</w:t>
      </w:r>
      <w:r w:rsidR="009F0D23">
        <w:rPr>
          <w:rFonts w:ascii="Times New Roman" w:hAnsi="Times New Roman" w:cs="Times New Roman"/>
        </w:rPr>
        <w:t xml:space="preserve">, but </w:t>
      </w:r>
      <w:r w:rsidR="00821655">
        <w:rPr>
          <w:rFonts w:ascii="Times New Roman" w:hAnsi="Times New Roman" w:cs="Times New Roman"/>
        </w:rPr>
        <w:t xml:space="preserve">we must </w:t>
      </w:r>
      <w:r w:rsidR="009F0D23">
        <w:rPr>
          <w:rFonts w:ascii="Times New Roman" w:hAnsi="Times New Roman" w:cs="Times New Roman"/>
        </w:rPr>
        <w:t xml:space="preserve">also </w:t>
      </w:r>
      <w:r w:rsidR="00821655">
        <w:rPr>
          <w:rFonts w:ascii="Times New Roman" w:hAnsi="Times New Roman" w:cs="Times New Roman"/>
        </w:rPr>
        <w:t xml:space="preserve">ensure </w:t>
      </w:r>
      <w:r w:rsidR="005A2401" w:rsidRPr="00621883">
        <w:rPr>
          <w:rFonts w:ascii="Times New Roman" w:hAnsi="Times New Roman" w:cs="Times New Roman"/>
        </w:rPr>
        <w:t xml:space="preserve">that the prosecutorial obligation </w:t>
      </w:r>
      <w:r w:rsidR="00751C1C" w:rsidRPr="00621883">
        <w:rPr>
          <w:rFonts w:ascii="Times New Roman" w:hAnsi="Times New Roman" w:cs="Times New Roman"/>
        </w:rPr>
        <w:t xml:space="preserve">to disclose </w:t>
      </w:r>
      <w:r w:rsidR="005A2401" w:rsidRPr="00621883">
        <w:rPr>
          <w:rFonts w:ascii="Times New Roman" w:hAnsi="Times New Roman" w:cs="Times New Roman"/>
        </w:rPr>
        <w:t>uncertainty</w:t>
      </w:r>
      <w:r w:rsidR="00751C1C" w:rsidRPr="00621883">
        <w:rPr>
          <w:rFonts w:ascii="Times New Roman" w:hAnsi="Times New Roman" w:cs="Times New Roman"/>
        </w:rPr>
        <w:t xml:space="preserve"> to the defence</w:t>
      </w:r>
      <w:r w:rsidR="005A2401" w:rsidRPr="00621883">
        <w:rPr>
          <w:rFonts w:ascii="Times New Roman" w:hAnsi="Times New Roman" w:cs="Times New Roman"/>
        </w:rPr>
        <w:t xml:space="preserve"> is a real one</w:t>
      </w:r>
      <w:r w:rsidR="00751C1C" w:rsidRPr="00621883">
        <w:rPr>
          <w:rFonts w:ascii="Times New Roman" w:hAnsi="Times New Roman" w:cs="Times New Roman"/>
        </w:rPr>
        <w:t>.</w:t>
      </w:r>
      <w:r w:rsidR="00751C1C" w:rsidRPr="00621883">
        <w:rPr>
          <w:rStyle w:val="FootnoteReference"/>
          <w:rFonts w:ascii="Times New Roman" w:hAnsi="Times New Roman" w:cs="Times New Roman"/>
        </w:rPr>
        <w:footnoteReference w:id="58"/>
      </w:r>
      <w:r w:rsidR="00751C1C" w:rsidRPr="00621883">
        <w:rPr>
          <w:rFonts w:ascii="Times New Roman" w:hAnsi="Times New Roman" w:cs="Times New Roman"/>
        </w:rPr>
        <w:t xml:space="preserve"> </w:t>
      </w:r>
      <w:r w:rsidR="00AB5456">
        <w:rPr>
          <w:rFonts w:ascii="Times New Roman" w:hAnsi="Times New Roman" w:cs="Times New Roman"/>
        </w:rPr>
        <w:t xml:space="preserve">Finally, courts need to be attentive to </w:t>
      </w:r>
      <w:r w:rsidR="00AB5456" w:rsidRPr="00AB5456">
        <w:rPr>
          <w:rFonts w:ascii="Times New Roman" w:hAnsi="Times New Roman" w:cs="Times New Roman"/>
          <w:i/>
        </w:rPr>
        <w:t>shifts</w:t>
      </w:r>
      <w:r w:rsidR="00AB5456">
        <w:rPr>
          <w:rFonts w:ascii="Times New Roman" w:hAnsi="Times New Roman" w:cs="Times New Roman"/>
        </w:rPr>
        <w:t xml:space="preserve"> in opinion, and to be particularly cautious where it becomes </w:t>
      </w:r>
      <w:r w:rsidR="00AB5456">
        <w:rPr>
          <w:rFonts w:ascii="Times New Roman" w:hAnsi="Times New Roman" w:cs="Times New Roman"/>
        </w:rPr>
        <w:lastRenderedPageBreak/>
        <w:t xml:space="preserve">apparent that an expert has hardened their opinion as the investigation and trial unfolds.  </w:t>
      </w:r>
      <w:r w:rsidR="00513956" w:rsidRPr="00621883">
        <w:rPr>
          <w:rFonts w:ascii="Times New Roman" w:hAnsi="Times New Roman" w:cs="Times New Roman"/>
        </w:rPr>
        <w:t xml:space="preserve">More specifically in relation to infant deaths, Emma proposes a </w:t>
      </w:r>
      <w:r w:rsidR="00234AA1" w:rsidRPr="00621883">
        <w:rPr>
          <w:rFonts w:ascii="Times New Roman" w:hAnsi="Times New Roman" w:cs="Times New Roman"/>
        </w:rPr>
        <w:t xml:space="preserve">set of </w:t>
      </w:r>
      <w:r w:rsidR="00513956" w:rsidRPr="00621883">
        <w:rPr>
          <w:rFonts w:ascii="Times New Roman" w:hAnsi="Times New Roman" w:cs="Times New Roman"/>
        </w:rPr>
        <w:t>categories that will help prosecutors, experts and courts to manage</w:t>
      </w:r>
      <w:r w:rsidR="00234AA1" w:rsidRPr="00621883">
        <w:rPr>
          <w:rFonts w:ascii="Times New Roman" w:hAnsi="Times New Roman" w:cs="Times New Roman"/>
        </w:rPr>
        <w:t xml:space="preserve"> the complexity, </w:t>
      </w:r>
      <w:r w:rsidR="00821655">
        <w:rPr>
          <w:rFonts w:ascii="Times New Roman" w:hAnsi="Times New Roman" w:cs="Times New Roman"/>
        </w:rPr>
        <w:t xml:space="preserve">and </w:t>
      </w:r>
      <w:r w:rsidR="00234AA1" w:rsidRPr="00621883">
        <w:rPr>
          <w:rFonts w:ascii="Times New Roman" w:hAnsi="Times New Roman" w:cs="Times New Roman"/>
        </w:rPr>
        <w:t>help them to identify which cases are most likely to be vulnerable to mistranslation, to double counting, to miscarriage.</w:t>
      </w:r>
      <w:r w:rsidR="00234AA1" w:rsidRPr="00621883">
        <w:rPr>
          <w:rStyle w:val="FootnoteReference"/>
          <w:rFonts w:ascii="Times New Roman" w:hAnsi="Times New Roman" w:cs="Times New Roman"/>
        </w:rPr>
        <w:footnoteReference w:id="59"/>
      </w:r>
      <w:r w:rsidR="009F0D23">
        <w:rPr>
          <w:rFonts w:ascii="Times New Roman" w:hAnsi="Times New Roman" w:cs="Times New Roman"/>
        </w:rPr>
        <w:t xml:space="preserve"> </w:t>
      </w:r>
    </w:p>
    <w:p w:rsidR="0013035E" w:rsidRPr="00621883" w:rsidRDefault="0013035E" w:rsidP="00AB4819">
      <w:pPr>
        <w:spacing w:line="276" w:lineRule="auto"/>
        <w:jc w:val="both"/>
        <w:rPr>
          <w:rFonts w:ascii="Times New Roman" w:hAnsi="Times New Roman" w:cs="Times New Roman"/>
        </w:rPr>
      </w:pPr>
    </w:p>
    <w:p w:rsidR="002A40DF" w:rsidRDefault="00B8642E" w:rsidP="00AB4819">
      <w:pPr>
        <w:spacing w:line="276" w:lineRule="auto"/>
        <w:jc w:val="both"/>
        <w:rPr>
          <w:rFonts w:ascii="Times New Roman" w:hAnsi="Times New Roman" w:cs="Times New Roman"/>
        </w:rPr>
      </w:pPr>
      <w:r w:rsidRPr="00621883">
        <w:rPr>
          <w:rFonts w:ascii="Times New Roman" w:hAnsi="Times New Roman" w:cs="Times New Roman"/>
        </w:rPr>
        <w:t>Emma’s proposed</w:t>
      </w:r>
      <w:r w:rsidR="007258A3" w:rsidRPr="00621883">
        <w:rPr>
          <w:rFonts w:ascii="Times New Roman" w:hAnsi="Times New Roman" w:cs="Times New Roman"/>
        </w:rPr>
        <w:t xml:space="preserve"> principles are ones that have been developed in response </w:t>
      </w:r>
      <w:r w:rsidR="00821655">
        <w:rPr>
          <w:rFonts w:ascii="Times New Roman" w:hAnsi="Times New Roman" w:cs="Times New Roman"/>
        </w:rPr>
        <w:t xml:space="preserve">to </w:t>
      </w:r>
      <w:r w:rsidR="007258A3" w:rsidRPr="00621883">
        <w:rPr>
          <w:rFonts w:ascii="Times New Roman" w:hAnsi="Times New Roman" w:cs="Times New Roman"/>
        </w:rPr>
        <w:t>the particular risks revealed in the Folbigg prosecution, and in this respect h</w:t>
      </w:r>
      <w:r w:rsidR="009D0EB5" w:rsidRPr="00621883">
        <w:rPr>
          <w:rFonts w:ascii="Times New Roman" w:hAnsi="Times New Roman" w:cs="Times New Roman"/>
        </w:rPr>
        <w:t>er book is located firmly as part of</w:t>
      </w:r>
      <w:r w:rsidR="001A67B0" w:rsidRPr="00621883">
        <w:rPr>
          <w:rFonts w:ascii="Times New Roman" w:hAnsi="Times New Roman" w:cs="Times New Roman"/>
        </w:rPr>
        <w:t xml:space="preserve"> a feminist reform project. This location is particularly clear when we cons</w:t>
      </w:r>
      <w:r w:rsidR="00FA1DF0">
        <w:rPr>
          <w:rFonts w:ascii="Times New Roman" w:hAnsi="Times New Roman" w:cs="Times New Roman"/>
        </w:rPr>
        <w:t>ider the principles she offers a</w:t>
      </w:r>
      <w:r w:rsidR="001A67B0" w:rsidRPr="00621883">
        <w:rPr>
          <w:rFonts w:ascii="Times New Roman" w:hAnsi="Times New Roman" w:cs="Times New Roman"/>
        </w:rPr>
        <w:t>s ways to think about Fobigg’s diaries that are attentive to the complexities of relying on such documents.</w:t>
      </w:r>
      <w:r w:rsidR="001A67B0" w:rsidRPr="00621883">
        <w:rPr>
          <w:rStyle w:val="FootnoteReference"/>
          <w:rFonts w:ascii="Times New Roman" w:hAnsi="Times New Roman" w:cs="Times New Roman"/>
        </w:rPr>
        <w:footnoteReference w:id="60"/>
      </w:r>
      <w:r w:rsidR="001A67B0" w:rsidRPr="00621883">
        <w:rPr>
          <w:rFonts w:ascii="Times New Roman" w:hAnsi="Times New Roman" w:cs="Times New Roman"/>
        </w:rPr>
        <w:t xml:space="preserve"> </w:t>
      </w:r>
      <w:r w:rsidR="007258A3" w:rsidRPr="00621883">
        <w:rPr>
          <w:rFonts w:ascii="Times New Roman" w:hAnsi="Times New Roman" w:cs="Times New Roman"/>
        </w:rPr>
        <w:t xml:space="preserve">But further, </w:t>
      </w:r>
      <w:r w:rsidR="009D0EB5" w:rsidRPr="00621883">
        <w:rPr>
          <w:rFonts w:ascii="Times New Roman" w:hAnsi="Times New Roman" w:cs="Times New Roman"/>
        </w:rPr>
        <w:t>it is this careful attention to the narrative patterns that reflect</w:t>
      </w:r>
      <w:r w:rsidRPr="00621883">
        <w:rPr>
          <w:rFonts w:ascii="Times New Roman" w:hAnsi="Times New Roman" w:cs="Times New Roman"/>
        </w:rPr>
        <w:t>ed</w:t>
      </w:r>
      <w:r w:rsidR="009D0EB5" w:rsidRPr="00621883">
        <w:rPr>
          <w:rFonts w:ascii="Times New Roman" w:hAnsi="Times New Roman" w:cs="Times New Roman"/>
        </w:rPr>
        <w:t xml:space="preserve"> and instantiate</w:t>
      </w:r>
      <w:r w:rsidRPr="00621883">
        <w:rPr>
          <w:rFonts w:ascii="Times New Roman" w:hAnsi="Times New Roman" w:cs="Times New Roman"/>
        </w:rPr>
        <w:t xml:space="preserve">d </w:t>
      </w:r>
      <w:r w:rsidR="009D0EB5" w:rsidRPr="00621883">
        <w:rPr>
          <w:rFonts w:ascii="Times New Roman" w:hAnsi="Times New Roman" w:cs="Times New Roman"/>
        </w:rPr>
        <w:t xml:space="preserve">normative ideologies of motherhood </w:t>
      </w:r>
      <w:r w:rsidRPr="00621883">
        <w:rPr>
          <w:rFonts w:ascii="Times New Roman" w:hAnsi="Times New Roman" w:cs="Times New Roman"/>
        </w:rPr>
        <w:t xml:space="preserve">in this ‘telling’ case </w:t>
      </w:r>
      <w:r w:rsidR="009D0EB5" w:rsidRPr="00621883">
        <w:rPr>
          <w:rFonts w:ascii="Times New Roman" w:hAnsi="Times New Roman" w:cs="Times New Roman"/>
        </w:rPr>
        <w:t xml:space="preserve">that </w:t>
      </w:r>
      <w:r w:rsidR="009D0EB5" w:rsidRPr="00621883">
        <w:rPr>
          <w:rFonts w:ascii="Times New Roman" w:hAnsi="Times New Roman" w:cs="Times New Roman"/>
          <w:i/>
        </w:rPr>
        <w:t>enable</w:t>
      </w:r>
      <w:r w:rsidR="009D0EB5" w:rsidRPr="00621883">
        <w:rPr>
          <w:rFonts w:ascii="Times New Roman" w:hAnsi="Times New Roman" w:cs="Times New Roman"/>
        </w:rPr>
        <w:t xml:space="preserve"> </w:t>
      </w:r>
      <w:r w:rsidR="007258A3" w:rsidRPr="00621883">
        <w:rPr>
          <w:rFonts w:ascii="Times New Roman" w:hAnsi="Times New Roman" w:cs="Times New Roman"/>
        </w:rPr>
        <w:t xml:space="preserve">what might be otherwise seem as </w:t>
      </w:r>
      <w:r w:rsidR="008D4FB9" w:rsidRPr="00621883">
        <w:rPr>
          <w:rFonts w:ascii="Times New Roman" w:hAnsi="Times New Roman" w:cs="Times New Roman"/>
        </w:rPr>
        <w:t xml:space="preserve">a distinct </w:t>
      </w:r>
      <w:r w:rsidR="002136C3" w:rsidRPr="00621883">
        <w:rPr>
          <w:rFonts w:ascii="Times New Roman" w:hAnsi="Times New Roman" w:cs="Times New Roman"/>
        </w:rPr>
        <w:t xml:space="preserve">(ungendered) </w:t>
      </w:r>
      <w:r w:rsidR="007258A3" w:rsidRPr="00621883">
        <w:rPr>
          <w:rFonts w:ascii="Times New Roman" w:hAnsi="Times New Roman" w:cs="Times New Roman"/>
        </w:rPr>
        <w:t>reform</w:t>
      </w:r>
      <w:r w:rsidR="008D4FB9" w:rsidRPr="00621883">
        <w:rPr>
          <w:rFonts w:ascii="Times New Roman" w:hAnsi="Times New Roman" w:cs="Times New Roman"/>
        </w:rPr>
        <w:t xml:space="preserve"> project</w:t>
      </w:r>
      <w:r w:rsidR="001A67B0" w:rsidRPr="00621883">
        <w:rPr>
          <w:rFonts w:ascii="Times New Roman" w:hAnsi="Times New Roman" w:cs="Times New Roman"/>
        </w:rPr>
        <w:t xml:space="preserve"> with respect to the management and evaluation of expert evidence more broadly.</w:t>
      </w:r>
      <w:r w:rsidR="001A67B0" w:rsidRPr="00621883">
        <w:rPr>
          <w:rStyle w:val="FootnoteReference"/>
          <w:rFonts w:ascii="Times New Roman" w:hAnsi="Times New Roman" w:cs="Times New Roman"/>
        </w:rPr>
        <w:t xml:space="preserve"> </w:t>
      </w:r>
      <w:r w:rsidR="001A67B0" w:rsidRPr="00621883">
        <w:rPr>
          <w:rStyle w:val="FootnoteReference"/>
          <w:rFonts w:ascii="Times New Roman" w:hAnsi="Times New Roman" w:cs="Times New Roman"/>
        </w:rPr>
        <w:footnoteReference w:id="61"/>
      </w:r>
      <w:r w:rsidR="001A67B0" w:rsidRPr="00621883">
        <w:rPr>
          <w:rFonts w:ascii="Times New Roman" w:hAnsi="Times New Roman" w:cs="Times New Roman"/>
        </w:rPr>
        <w:t xml:space="preserve"> </w:t>
      </w:r>
      <w:r w:rsidRPr="00621883">
        <w:rPr>
          <w:rFonts w:ascii="Times New Roman" w:hAnsi="Times New Roman" w:cs="Times New Roman"/>
        </w:rPr>
        <w:t xml:space="preserve">Her proscriptions and prescriptions are informed by her </w:t>
      </w:r>
      <w:r w:rsidR="008D4FB9" w:rsidRPr="00621883">
        <w:rPr>
          <w:rFonts w:ascii="Times New Roman" w:hAnsi="Times New Roman" w:cs="Times New Roman"/>
        </w:rPr>
        <w:t>attentiveness to and acceptance of the inevitable role of interpretation, mediation and (re)construction when dealing with expertise in the courtroom</w:t>
      </w:r>
      <w:r w:rsidRPr="00621883">
        <w:rPr>
          <w:rFonts w:ascii="Times New Roman" w:hAnsi="Times New Roman" w:cs="Times New Roman"/>
        </w:rPr>
        <w:t xml:space="preserve">—and that this process might be able to support the production of </w:t>
      </w:r>
      <w:r w:rsidRPr="009534BD">
        <w:rPr>
          <w:rFonts w:ascii="Times New Roman" w:hAnsi="Times New Roman" w:cs="Times New Roman"/>
        </w:rPr>
        <w:t>more</w:t>
      </w:r>
      <w:r w:rsidRPr="00621883">
        <w:rPr>
          <w:rFonts w:ascii="Times New Roman" w:hAnsi="Times New Roman" w:cs="Times New Roman"/>
        </w:rPr>
        <w:t>, rather than less, reliable evidence.</w:t>
      </w:r>
      <w:bookmarkStart w:id="16" w:name="_Ref226429242"/>
      <w:r w:rsidRPr="00621883">
        <w:rPr>
          <w:rStyle w:val="FootnoteReference"/>
          <w:rFonts w:ascii="Times New Roman" w:hAnsi="Times New Roman" w:cs="Times New Roman"/>
        </w:rPr>
        <w:footnoteReference w:id="62"/>
      </w:r>
      <w:bookmarkEnd w:id="16"/>
      <w:r w:rsidR="008D4FB9" w:rsidRPr="00621883">
        <w:rPr>
          <w:rFonts w:ascii="Times New Roman" w:hAnsi="Times New Roman" w:cs="Times New Roman"/>
        </w:rPr>
        <w:t xml:space="preserve"> </w:t>
      </w:r>
    </w:p>
    <w:p w:rsidR="002A40DF" w:rsidRDefault="002A40DF" w:rsidP="00AB4819">
      <w:pPr>
        <w:spacing w:line="276" w:lineRule="auto"/>
        <w:jc w:val="both"/>
        <w:rPr>
          <w:rFonts w:ascii="Times New Roman" w:hAnsi="Times New Roman" w:cs="Times New Roman"/>
        </w:rPr>
      </w:pPr>
    </w:p>
    <w:p w:rsidR="002A40DF" w:rsidRDefault="008D4FB9" w:rsidP="00AB4819">
      <w:pPr>
        <w:spacing w:line="276" w:lineRule="auto"/>
        <w:jc w:val="both"/>
        <w:rPr>
          <w:rFonts w:ascii="Times New Roman" w:hAnsi="Times New Roman" w:cs="Times New Roman"/>
        </w:rPr>
      </w:pPr>
      <w:r w:rsidRPr="00621883">
        <w:rPr>
          <w:rFonts w:ascii="Times New Roman" w:hAnsi="Times New Roman" w:cs="Times New Roman"/>
        </w:rPr>
        <w:t xml:space="preserve">And </w:t>
      </w:r>
      <w:r w:rsidR="009468A1" w:rsidRPr="00621883">
        <w:rPr>
          <w:rFonts w:ascii="Times New Roman" w:hAnsi="Times New Roman" w:cs="Times New Roman"/>
        </w:rPr>
        <w:t>t</w:t>
      </w:r>
      <w:r w:rsidR="00707F4F" w:rsidRPr="00621883">
        <w:rPr>
          <w:rFonts w:ascii="Times New Roman" w:hAnsi="Times New Roman" w:cs="Times New Roman"/>
        </w:rPr>
        <w:t>he</w:t>
      </w:r>
      <w:r w:rsidR="007258A3" w:rsidRPr="00621883">
        <w:rPr>
          <w:rFonts w:ascii="Times New Roman" w:hAnsi="Times New Roman" w:cs="Times New Roman"/>
        </w:rPr>
        <w:t>se</w:t>
      </w:r>
      <w:r w:rsidR="00707F4F" w:rsidRPr="00621883">
        <w:rPr>
          <w:rFonts w:ascii="Times New Roman" w:hAnsi="Times New Roman" w:cs="Times New Roman"/>
        </w:rPr>
        <w:t xml:space="preserve"> principles </w:t>
      </w:r>
      <w:r w:rsidR="002136C3" w:rsidRPr="00621883">
        <w:rPr>
          <w:rFonts w:ascii="Times New Roman" w:hAnsi="Times New Roman" w:cs="Times New Roman"/>
        </w:rPr>
        <w:t xml:space="preserve">that </w:t>
      </w:r>
      <w:r w:rsidR="009468A1" w:rsidRPr="00621883">
        <w:rPr>
          <w:rFonts w:ascii="Times New Roman" w:hAnsi="Times New Roman" w:cs="Times New Roman"/>
        </w:rPr>
        <w:t>Emma</w:t>
      </w:r>
      <w:r w:rsidR="00707F4F" w:rsidRPr="00621883">
        <w:rPr>
          <w:rFonts w:ascii="Times New Roman" w:hAnsi="Times New Roman" w:cs="Times New Roman"/>
        </w:rPr>
        <w:t xml:space="preserve"> </w:t>
      </w:r>
      <w:r w:rsidR="003B72D1" w:rsidRPr="00621883">
        <w:rPr>
          <w:rFonts w:ascii="Times New Roman" w:hAnsi="Times New Roman" w:cs="Times New Roman"/>
        </w:rPr>
        <w:t>foreshadows</w:t>
      </w:r>
      <w:r w:rsidR="00707F4F" w:rsidRPr="00621883">
        <w:rPr>
          <w:rFonts w:ascii="Times New Roman" w:hAnsi="Times New Roman" w:cs="Times New Roman"/>
        </w:rPr>
        <w:t xml:space="preserve"> in the final chapter of </w:t>
      </w:r>
      <w:r w:rsidR="00707F4F" w:rsidRPr="00621883">
        <w:rPr>
          <w:rFonts w:ascii="Times New Roman" w:hAnsi="Times New Roman" w:cs="Times New Roman"/>
          <w:i/>
        </w:rPr>
        <w:t>Murder, Medicine and Motherhood</w:t>
      </w:r>
      <w:r w:rsidR="00707F4F" w:rsidRPr="00621883">
        <w:rPr>
          <w:rFonts w:ascii="Times New Roman" w:hAnsi="Times New Roman" w:cs="Times New Roman"/>
        </w:rPr>
        <w:t>, and develops further elsewhere</w:t>
      </w:r>
      <w:r w:rsidR="003B72D1" w:rsidRPr="00621883">
        <w:rPr>
          <w:rFonts w:ascii="Times New Roman" w:hAnsi="Times New Roman" w:cs="Times New Roman"/>
        </w:rPr>
        <w:t>,</w:t>
      </w:r>
      <w:r w:rsidR="00707F4F" w:rsidRPr="00621883">
        <w:rPr>
          <w:rFonts w:ascii="Times New Roman" w:hAnsi="Times New Roman" w:cs="Times New Roman"/>
        </w:rPr>
        <w:t xml:space="preserve"> are</w:t>
      </w:r>
      <w:r w:rsidR="008637A4" w:rsidRPr="00621883">
        <w:rPr>
          <w:rFonts w:ascii="Times New Roman" w:hAnsi="Times New Roman" w:cs="Times New Roman"/>
        </w:rPr>
        <w:t xml:space="preserve"> principles </w:t>
      </w:r>
      <w:r w:rsidR="003B72D1" w:rsidRPr="00621883">
        <w:rPr>
          <w:rFonts w:ascii="Times New Roman" w:hAnsi="Times New Roman" w:cs="Times New Roman"/>
        </w:rPr>
        <w:t xml:space="preserve">that </w:t>
      </w:r>
      <w:r w:rsidR="008637A4" w:rsidRPr="00621883">
        <w:rPr>
          <w:rFonts w:ascii="Times New Roman" w:hAnsi="Times New Roman" w:cs="Times New Roman"/>
        </w:rPr>
        <w:t>can be applied by courts</w:t>
      </w:r>
      <w:r w:rsidR="00367A14" w:rsidRPr="00621883">
        <w:rPr>
          <w:rFonts w:ascii="Times New Roman" w:hAnsi="Times New Roman" w:cs="Times New Roman"/>
        </w:rPr>
        <w:t xml:space="preserve"> now</w:t>
      </w:r>
      <w:r w:rsidR="008637A4" w:rsidRPr="00621883">
        <w:rPr>
          <w:rFonts w:ascii="Times New Roman" w:hAnsi="Times New Roman" w:cs="Times New Roman"/>
        </w:rPr>
        <w:t>.</w:t>
      </w:r>
      <w:bookmarkStart w:id="17" w:name="_Ref226263603"/>
      <w:r w:rsidR="008637A4" w:rsidRPr="00621883">
        <w:rPr>
          <w:rStyle w:val="FootnoteReference"/>
          <w:rFonts w:ascii="Times New Roman" w:hAnsi="Times New Roman" w:cs="Times New Roman"/>
        </w:rPr>
        <w:footnoteReference w:id="63"/>
      </w:r>
      <w:bookmarkEnd w:id="17"/>
      <w:r w:rsidR="00367A14" w:rsidRPr="00621883">
        <w:rPr>
          <w:rFonts w:ascii="Times New Roman" w:hAnsi="Times New Roman" w:cs="Times New Roman"/>
        </w:rPr>
        <w:t xml:space="preserve"> </w:t>
      </w:r>
      <w:r w:rsidR="00707F4F" w:rsidRPr="00621883">
        <w:rPr>
          <w:rFonts w:ascii="Times New Roman" w:hAnsi="Times New Roman" w:cs="Times New Roman"/>
        </w:rPr>
        <w:t xml:space="preserve">They </w:t>
      </w:r>
      <w:r w:rsidR="00367A14" w:rsidRPr="00621883">
        <w:rPr>
          <w:rFonts w:ascii="Times New Roman" w:hAnsi="Times New Roman" w:cs="Times New Roman"/>
        </w:rPr>
        <w:t>are consistent with fundamental pr</w:t>
      </w:r>
      <w:r w:rsidR="00707F4F" w:rsidRPr="00621883">
        <w:rPr>
          <w:rFonts w:ascii="Times New Roman" w:hAnsi="Times New Roman" w:cs="Times New Roman"/>
        </w:rPr>
        <w:t>inciples of the criminal trial</w:t>
      </w:r>
      <w:r w:rsidR="004A0FF7" w:rsidRPr="00621883">
        <w:rPr>
          <w:rFonts w:ascii="Times New Roman" w:hAnsi="Times New Roman" w:cs="Times New Roman"/>
        </w:rPr>
        <w:t xml:space="preserve">—ensuring </w:t>
      </w:r>
      <w:r w:rsidR="00367A14" w:rsidRPr="00621883">
        <w:rPr>
          <w:rFonts w:ascii="Times New Roman" w:hAnsi="Times New Roman" w:cs="Times New Roman"/>
        </w:rPr>
        <w:t>fairness</w:t>
      </w:r>
      <w:r w:rsidR="004A0FF7" w:rsidRPr="00621883">
        <w:rPr>
          <w:rFonts w:ascii="Times New Roman" w:hAnsi="Times New Roman" w:cs="Times New Roman"/>
        </w:rPr>
        <w:t xml:space="preserve"> for the defendant</w:t>
      </w:r>
      <w:r w:rsidR="00367A14" w:rsidRPr="00621883">
        <w:rPr>
          <w:rFonts w:ascii="Times New Roman" w:hAnsi="Times New Roman" w:cs="Times New Roman"/>
        </w:rPr>
        <w:t xml:space="preserve">, </w:t>
      </w:r>
      <w:r w:rsidR="004A0FF7" w:rsidRPr="00621883">
        <w:rPr>
          <w:rFonts w:ascii="Times New Roman" w:hAnsi="Times New Roman" w:cs="Times New Roman"/>
        </w:rPr>
        <w:t xml:space="preserve">the </w:t>
      </w:r>
      <w:r w:rsidR="00367A14" w:rsidRPr="00621883">
        <w:rPr>
          <w:rFonts w:ascii="Times New Roman" w:hAnsi="Times New Roman" w:cs="Times New Roman"/>
        </w:rPr>
        <w:t>presumption of innocence</w:t>
      </w:r>
      <w:r w:rsidR="004A0FF7" w:rsidRPr="00621883">
        <w:rPr>
          <w:rFonts w:ascii="Times New Roman" w:hAnsi="Times New Roman" w:cs="Times New Roman"/>
        </w:rPr>
        <w:t>, proof beyond reasonable doubt, factual rectitude—</w:t>
      </w:r>
      <w:r w:rsidR="00367A14" w:rsidRPr="00621883">
        <w:rPr>
          <w:rFonts w:ascii="Times New Roman" w:hAnsi="Times New Roman" w:cs="Times New Roman"/>
        </w:rPr>
        <w:t>and with current evidentiary rules and frameworks</w:t>
      </w:r>
      <w:r w:rsidR="00821655">
        <w:rPr>
          <w:rFonts w:ascii="Times New Roman" w:hAnsi="Times New Roman" w:cs="Times New Roman"/>
        </w:rPr>
        <w:t>,</w:t>
      </w:r>
      <w:r w:rsidR="004A0FF7" w:rsidRPr="00621883">
        <w:rPr>
          <w:rStyle w:val="FootnoteReference"/>
          <w:rFonts w:ascii="Times New Roman" w:hAnsi="Times New Roman" w:cs="Times New Roman"/>
        </w:rPr>
        <w:footnoteReference w:id="64"/>
      </w:r>
      <w:r w:rsidR="00821655">
        <w:rPr>
          <w:rFonts w:ascii="Times New Roman" w:hAnsi="Times New Roman" w:cs="Times New Roman"/>
        </w:rPr>
        <w:t xml:space="preserve"> i</w:t>
      </w:r>
      <w:r w:rsidR="003B72D1" w:rsidRPr="00621883">
        <w:rPr>
          <w:rFonts w:ascii="Times New Roman" w:hAnsi="Times New Roman" w:cs="Times New Roman"/>
        </w:rPr>
        <w:t>ntroducing</w:t>
      </w:r>
      <w:r w:rsidR="008637A4" w:rsidRPr="00621883">
        <w:rPr>
          <w:rFonts w:ascii="Times New Roman" w:hAnsi="Times New Roman" w:cs="Times New Roman"/>
        </w:rPr>
        <w:t xml:space="preserve"> </w:t>
      </w:r>
      <w:r w:rsidR="00753C90" w:rsidRPr="00621883">
        <w:rPr>
          <w:rFonts w:ascii="Times New Roman" w:hAnsi="Times New Roman" w:cs="Times New Roman"/>
        </w:rPr>
        <w:t>new</w:t>
      </w:r>
      <w:r w:rsidR="00821655">
        <w:rPr>
          <w:rFonts w:ascii="Times New Roman" w:hAnsi="Times New Roman" w:cs="Times New Roman"/>
        </w:rPr>
        <w:t xml:space="preserve"> safeguards into the trial</w:t>
      </w:r>
      <w:r w:rsidR="008637A4" w:rsidRPr="00621883">
        <w:rPr>
          <w:rFonts w:ascii="Times New Roman" w:hAnsi="Times New Roman" w:cs="Times New Roman"/>
        </w:rPr>
        <w:t xml:space="preserve"> </w:t>
      </w:r>
      <w:r w:rsidR="00584EAC" w:rsidRPr="00621883">
        <w:rPr>
          <w:rFonts w:ascii="Times New Roman" w:hAnsi="Times New Roman" w:cs="Times New Roman"/>
        </w:rPr>
        <w:t xml:space="preserve">directed towards managing a </w:t>
      </w:r>
      <w:r w:rsidR="00584EAC" w:rsidRPr="00621883">
        <w:rPr>
          <w:rFonts w:ascii="Times New Roman" w:hAnsi="Times New Roman" w:cs="Times New Roman"/>
        </w:rPr>
        <w:lastRenderedPageBreak/>
        <w:t>potentially</w:t>
      </w:r>
      <w:r w:rsidR="008637A4" w:rsidRPr="00621883">
        <w:rPr>
          <w:rFonts w:ascii="Times New Roman" w:hAnsi="Times New Roman" w:cs="Times New Roman"/>
        </w:rPr>
        <w:t xml:space="preserve"> pathological coproduction.</w:t>
      </w:r>
      <w:r w:rsidR="008637A4" w:rsidRPr="00621883">
        <w:rPr>
          <w:rStyle w:val="FootnoteReference"/>
          <w:rFonts w:ascii="Times New Roman" w:hAnsi="Times New Roman" w:cs="Times New Roman"/>
        </w:rPr>
        <w:footnoteReference w:id="65"/>
      </w:r>
      <w:r w:rsidR="00753C90" w:rsidRPr="00621883">
        <w:rPr>
          <w:rFonts w:ascii="Times New Roman" w:hAnsi="Times New Roman" w:cs="Times New Roman"/>
        </w:rPr>
        <w:t xml:space="preserve"> </w:t>
      </w:r>
      <w:r w:rsidR="0013035E" w:rsidRPr="00621883">
        <w:rPr>
          <w:rFonts w:ascii="Times New Roman" w:hAnsi="Times New Roman" w:cs="Times New Roman"/>
        </w:rPr>
        <w:t xml:space="preserve">Her principles are very much in line with reforms that might be developed in response to </w:t>
      </w:r>
      <w:r w:rsidR="00367A14" w:rsidRPr="00621883">
        <w:rPr>
          <w:rFonts w:ascii="Times New Roman" w:hAnsi="Times New Roman" w:cs="Times New Roman"/>
        </w:rPr>
        <w:t>critiques of forensic sciences informed by the critique</w:t>
      </w:r>
      <w:r w:rsidR="00821655">
        <w:rPr>
          <w:rFonts w:ascii="Times New Roman" w:hAnsi="Times New Roman" w:cs="Times New Roman"/>
        </w:rPr>
        <w:t>,</w:t>
      </w:r>
      <w:r w:rsidR="00367A14" w:rsidRPr="00621883">
        <w:rPr>
          <w:rFonts w:ascii="Times New Roman" w:hAnsi="Times New Roman" w:cs="Times New Roman"/>
        </w:rPr>
        <w:t xml:space="preserve"> for example, of the N</w:t>
      </w:r>
      <w:r w:rsidR="00F33077">
        <w:rPr>
          <w:rFonts w:ascii="Times New Roman" w:hAnsi="Times New Roman" w:cs="Times New Roman"/>
        </w:rPr>
        <w:t xml:space="preserve">ational </w:t>
      </w:r>
      <w:r w:rsidR="00367A14" w:rsidRPr="00621883">
        <w:rPr>
          <w:rFonts w:ascii="Times New Roman" w:hAnsi="Times New Roman" w:cs="Times New Roman"/>
        </w:rPr>
        <w:t>A</w:t>
      </w:r>
      <w:r w:rsidR="00F33077">
        <w:rPr>
          <w:rFonts w:ascii="Times New Roman" w:hAnsi="Times New Roman" w:cs="Times New Roman"/>
        </w:rPr>
        <w:t xml:space="preserve">cademy of </w:t>
      </w:r>
      <w:r w:rsidR="00367A14" w:rsidRPr="00621883">
        <w:rPr>
          <w:rFonts w:ascii="Times New Roman" w:hAnsi="Times New Roman" w:cs="Times New Roman"/>
        </w:rPr>
        <w:t>S</w:t>
      </w:r>
      <w:r w:rsidR="00F33077">
        <w:rPr>
          <w:rFonts w:ascii="Times New Roman" w:hAnsi="Times New Roman" w:cs="Times New Roman"/>
        </w:rPr>
        <w:t>ciences</w:t>
      </w:r>
      <w:r w:rsidR="00367A14" w:rsidRPr="00621883">
        <w:rPr>
          <w:rFonts w:ascii="Times New Roman" w:hAnsi="Times New Roman" w:cs="Times New Roman"/>
        </w:rPr>
        <w:t>,</w:t>
      </w:r>
      <w:r w:rsidR="00F33077">
        <w:rPr>
          <w:rStyle w:val="FootnoteReference"/>
          <w:rFonts w:ascii="Times New Roman" w:hAnsi="Times New Roman" w:cs="Times New Roman"/>
        </w:rPr>
        <w:footnoteReference w:id="66"/>
      </w:r>
      <w:r w:rsidR="00367A14" w:rsidRPr="00621883">
        <w:rPr>
          <w:rFonts w:ascii="Times New Roman" w:hAnsi="Times New Roman" w:cs="Times New Roman"/>
        </w:rPr>
        <w:t xml:space="preserve"> but </w:t>
      </w:r>
      <w:r w:rsidR="00C02199">
        <w:rPr>
          <w:rFonts w:ascii="Times New Roman" w:hAnsi="Times New Roman" w:cs="Times New Roman"/>
        </w:rPr>
        <w:t>they offer</w:t>
      </w:r>
      <w:r w:rsidR="00367A14" w:rsidRPr="00621883">
        <w:rPr>
          <w:rFonts w:ascii="Times New Roman" w:hAnsi="Times New Roman" w:cs="Times New Roman"/>
        </w:rPr>
        <w:t xml:space="preserve"> something that can be done without a need to wait for </w:t>
      </w:r>
      <w:r w:rsidR="0088297B" w:rsidRPr="00621883">
        <w:rPr>
          <w:rFonts w:ascii="Times New Roman" w:hAnsi="Times New Roman" w:cs="Times New Roman"/>
        </w:rPr>
        <w:t xml:space="preserve">a </w:t>
      </w:r>
      <w:r w:rsidR="00367A14" w:rsidRPr="00621883">
        <w:rPr>
          <w:rFonts w:ascii="Times New Roman" w:hAnsi="Times New Roman" w:cs="Times New Roman"/>
        </w:rPr>
        <w:t xml:space="preserve">broad, </w:t>
      </w:r>
      <w:r w:rsidR="0013035E" w:rsidRPr="00621883">
        <w:rPr>
          <w:rFonts w:ascii="Times New Roman" w:hAnsi="Times New Roman" w:cs="Times New Roman"/>
        </w:rPr>
        <w:t xml:space="preserve">externally generated reform </w:t>
      </w:r>
      <w:r w:rsidR="0088297B" w:rsidRPr="00621883">
        <w:rPr>
          <w:rFonts w:ascii="Times New Roman" w:hAnsi="Times New Roman" w:cs="Times New Roman"/>
        </w:rPr>
        <w:t xml:space="preserve">project, or a wholesale revision of the trial process, or the manner and form in which expert evidence is presented to such a forum. </w:t>
      </w:r>
    </w:p>
    <w:p w:rsidR="002A40DF" w:rsidRDefault="002A40DF" w:rsidP="00AB4819">
      <w:pPr>
        <w:spacing w:line="276" w:lineRule="auto"/>
        <w:jc w:val="both"/>
        <w:rPr>
          <w:rFonts w:ascii="Times New Roman" w:hAnsi="Times New Roman" w:cs="Times New Roman"/>
        </w:rPr>
      </w:pPr>
    </w:p>
    <w:p w:rsidR="00367A14" w:rsidRPr="00621883" w:rsidRDefault="0013035E" w:rsidP="00AB4819">
      <w:pPr>
        <w:spacing w:line="276" w:lineRule="auto"/>
        <w:jc w:val="both"/>
        <w:rPr>
          <w:rFonts w:ascii="Times New Roman" w:hAnsi="Times New Roman" w:cs="Times New Roman"/>
        </w:rPr>
      </w:pPr>
      <w:r w:rsidRPr="00621883">
        <w:rPr>
          <w:rFonts w:ascii="Times New Roman" w:hAnsi="Times New Roman" w:cs="Times New Roman"/>
        </w:rPr>
        <w:t xml:space="preserve">In </w:t>
      </w:r>
      <w:r w:rsidRPr="00621883">
        <w:rPr>
          <w:rFonts w:ascii="Times New Roman" w:hAnsi="Times New Roman" w:cs="Times New Roman"/>
          <w:i/>
        </w:rPr>
        <w:t>Murder, Medicine and Motherhood</w:t>
      </w:r>
      <w:r w:rsidRPr="00621883">
        <w:rPr>
          <w:rFonts w:ascii="Times New Roman" w:hAnsi="Times New Roman" w:cs="Times New Roman"/>
        </w:rPr>
        <w:t xml:space="preserve"> (and elsewhere) Emma </w:t>
      </w:r>
      <w:r w:rsidR="00367A14" w:rsidRPr="00621883">
        <w:rPr>
          <w:rFonts w:ascii="Times New Roman" w:hAnsi="Times New Roman" w:cs="Times New Roman"/>
        </w:rPr>
        <w:t>actively resists and</w:t>
      </w:r>
      <w:r w:rsidRPr="00621883">
        <w:rPr>
          <w:rFonts w:ascii="Times New Roman" w:hAnsi="Times New Roman" w:cs="Times New Roman"/>
        </w:rPr>
        <w:t xml:space="preserve"> reconstructs the conventional law/s</w:t>
      </w:r>
      <w:r w:rsidR="00584EAC" w:rsidRPr="00621883">
        <w:rPr>
          <w:rFonts w:ascii="Times New Roman" w:hAnsi="Times New Roman" w:cs="Times New Roman"/>
        </w:rPr>
        <w:t>cience binaries</w:t>
      </w:r>
      <w:r w:rsidR="00367A14" w:rsidRPr="00621883">
        <w:rPr>
          <w:rFonts w:ascii="Times New Roman" w:hAnsi="Times New Roman" w:cs="Times New Roman"/>
        </w:rPr>
        <w:t xml:space="preserve">, and </w:t>
      </w:r>
      <w:r w:rsidRPr="00621883">
        <w:rPr>
          <w:rFonts w:ascii="Times New Roman" w:hAnsi="Times New Roman" w:cs="Times New Roman"/>
        </w:rPr>
        <w:t xml:space="preserve">consequently </w:t>
      </w:r>
      <w:r w:rsidR="00367A14" w:rsidRPr="00621883">
        <w:rPr>
          <w:rFonts w:ascii="Times New Roman" w:hAnsi="Times New Roman" w:cs="Times New Roman"/>
        </w:rPr>
        <w:t xml:space="preserve">she offers something both more </w:t>
      </w:r>
      <w:r w:rsidR="0088297B" w:rsidRPr="00621883">
        <w:rPr>
          <w:rFonts w:ascii="Times New Roman" w:hAnsi="Times New Roman" w:cs="Times New Roman"/>
        </w:rPr>
        <w:t>realisable</w:t>
      </w:r>
      <w:r w:rsidR="00367A14" w:rsidRPr="00621883">
        <w:rPr>
          <w:rFonts w:ascii="Times New Roman" w:hAnsi="Times New Roman" w:cs="Times New Roman"/>
        </w:rPr>
        <w:t xml:space="preserve"> </w:t>
      </w:r>
      <w:r w:rsidR="00367A14" w:rsidRPr="00621883">
        <w:rPr>
          <w:rFonts w:ascii="Times New Roman" w:hAnsi="Times New Roman" w:cs="Times New Roman"/>
          <w:i/>
        </w:rPr>
        <w:t>and</w:t>
      </w:r>
      <w:r w:rsidR="00367A14" w:rsidRPr="00621883">
        <w:rPr>
          <w:rFonts w:ascii="Times New Roman" w:hAnsi="Times New Roman" w:cs="Times New Roman"/>
        </w:rPr>
        <w:t xml:space="preserve"> more nuanced than the </w:t>
      </w:r>
      <w:r w:rsidRPr="00621883">
        <w:rPr>
          <w:rFonts w:ascii="Times New Roman" w:hAnsi="Times New Roman" w:cs="Times New Roman"/>
        </w:rPr>
        <w:t xml:space="preserve">conventional </w:t>
      </w:r>
      <w:r w:rsidR="00367A14" w:rsidRPr="00621883">
        <w:rPr>
          <w:rFonts w:ascii="Times New Roman" w:hAnsi="Times New Roman" w:cs="Times New Roman"/>
        </w:rPr>
        <w:t>‘reform’ agendas of concurrent evidence, expert codes</w:t>
      </w:r>
      <w:r w:rsidR="0088297B" w:rsidRPr="00621883">
        <w:rPr>
          <w:rFonts w:ascii="Times New Roman" w:hAnsi="Times New Roman" w:cs="Times New Roman"/>
        </w:rPr>
        <w:t xml:space="preserve">, </w:t>
      </w:r>
      <w:r w:rsidR="00AA1DEE" w:rsidRPr="00621883">
        <w:rPr>
          <w:rFonts w:ascii="Times New Roman" w:hAnsi="Times New Roman" w:cs="Times New Roman"/>
        </w:rPr>
        <w:t xml:space="preserve">specialised courts, judge only trials, </w:t>
      </w:r>
      <w:r w:rsidR="0088297B" w:rsidRPr="00621883">
        <w:rPr>
          <w:rFonts w:ascii="Times New Roman" w:hAnsi="Times New Roman" w:cs="Times New Roman"/>
        </w:rPr>
        <w:t xml:space="preserve">and other standard </w:t>
      </w:r>
      <w:r w:rsidR="00AA1DEE" w:rsidRPr="00621883">
        <w:rPr>
          <w:rFonts w:ascii="Times New Roman" w:hAnsi="Times New Roman" w:cs="Times New Roman"/>
        </w:rPr>
        <w:t>responses t</w:t>
      </w:r>
      <w:r w:rsidR="00367A14" w:rsidRPr="00621883">
        <w:rPr>
          <w:rFonts w:ascii="Times New Roman" w:hAnsi="Times New Roman" w:cs="Times New Roman"/>
        </w:rPr>
        <w:t>o the expert evidence ‘crisis’ as it is conventionally configured.</w:t>
      </w:r>
      <w:r w:rsidR="00013202" w:rsidRPr="00621883">
        <w:rPr>
          <w:rFonts w:ascii="Times New Roman" w:hAnsi="Times New Roman" w:cs="Times New Roman"/>
        </w:rPr>
        <w:t xml:space="preserve"> Such responses, may offer </w:t>
      </w:r>
      <w:r w:rsidR="00AA1DEE" w:rsidRPr="00621883">
        <w:rPr>
          <w:rFonts w:ascii="Times New Roman" w:hAnsi="Times New Roman" w:cs="Times New Roman"/>
        </w:rPr>
        <w:t>some benefits, and—putting aside the perennial calls for the abolition of the jury—they are not necessarily inconsistent with Emma’s principles. Bu</w:t>
      </w:r>
      <w:r w:rsidR="004C0457" w:rsidRPr="00621883">
        <w:rPr>
          <w:rFonts w:ascii="Times New Roman" w:hAnsi="Times New Roman" w:cs="Times New Roman"/>
        </w:rPr>
        <w:t>t</w:t>
      </w:r>
      <w:r w:rsidR="00AA1DEE" w:rsidRPr="00621883">
        <w:rPr>
          <w:rFonts w:ascii="Times New Roman" w:hAnsi="Times New Roman" w:cs="Times New Roman"/>
        </w:rPr>
        <w:t>, as conventionally configured, such responses</w:t>
      </w:r>
      <w:r w:rsidR="00013202" w:rsidRPr="00621883">
        <w:rPr>
          <w:rFonts w:ascii="Times New Roman" w:hAnsi="Times New Roman" w:cs="Times New Roman"/>
        </w:rPr>
        <w:t xml:space="preserve"> generally </w:t>
      </w:r>
      <w:r w:rsidR="00AA1DEE" w:rsidRPr="00621883">
        <w:rPr>
          <w:rFonts w:ascii="Times New Roman" w:hAnsi="Times New Roman" w:cs="Times New Roman"/>
        </w:rPr>
        <w:t>over</w:t>
      </w:r>
      <w:r w:rsidR="00821655">
        <w:rPr>
          <w:rFonts w:ascii="Times New Roman" w:hAnsi="Times New Roman" w:cs="Times New Roman"/>
        </w:rPr>
        <w:t>-</w:t>
      </w:r>
      <w:r w:rsidR="00AA1DEE" w:rsidRPr="00621883">
        <w:rPr>
          <w:rFonts w:ascii="Times New Roman" w:hAnsi="Times New Roman" w:cs="Times New Roman"/>
        </w:rPr>
        <w:t xml:space="preserve">estimate the efficacy of procedural reform and they </w:t>
      </w:r>
      <w:r w:rsidR="00013202" w:rsidRPr="00621883">
        <w:rPr>
          <w:rFonts w:ascii="Times New Roman" w:hAnsi="Times New Roman" w:cs="Times New Roman"/>
        </w:rPr>
        <w:t>lack reflexivity</w:t>
      </w:r>
      <w:r w:rsidR="00AA1DEE" w:rsidRPr="00621883">
        <w:rPr>
          <w:rFonts w:ascii="Times New Roman" w:hAnsi="Times New Roman" w:cs="Times New Roman"/>
        </w:rPr>
        <w:t xml:space="preserve">; they fail </w:t>
      </w:r>
      <w:r w:rsidR="00E30CA3" w:rsidRPr="00621883">
        <w:rPr>
          <w:rFonts w:ascii="Times New Roman" w:hAnsi="Times New Roman" w:cs="Times New Roman"/>
        </w:rPr>
        <w:t xml:space="preserve">to account for the complexity of the </w:t>
      </w:r>
      <w:r w:rsidR="00013202" w:rsidRPr="00621883">
        <w:rPr>
          <w:rFonts w:ascii="Times New Roman" w:hAnsi="Times New Roman" w:cs="Times New Roman"/>
        </w:rPr>
        <w:t xml:space="preserve">dynamics that </w:t>
      </w:r>
      <w:r w:rsidR="00013202" w:rsidRPr="00621883">
        <w:rPr>
          <w:rFonts w:ascii="Times New Roman" w:hAnsi="Times New Roman" w:cs="Times New Roman"/>
          <w:i/>
        </w:rPr>
        <w:t>Murder, Medicine and Motherhood</w:t>
      </w:r>
      <w:r w:rsidR="00013202" w:rsidRPr="00621883">
        <w:rPr>
          <w:rFonts w:ascii="Times New Roman" w:hAnsi="Times New Roman" w:cs="Times New Roman"/>
        </w:rPr>
        <w:t xml:space="preserve"> uncovers.</w:t>
      </w:r>
      <w:r w:rsidR="00BE41BC" w:rsidRPr="00621883">
        <w:rPr>
          <w:rFonts w:ascii="Times New Roman" w:hAnsi="Times New Roman" w:cs="Times New Roman"/>
        </w:rPr>
        <w:t xml:space="preserve"> </w:t>
      </w:r>
      <w:r w:rsidR="00367A14" w:rsidRPr="00621883">
        <w:rPr>
          <w:rFonts w:ascii="Times New Roman" w:hAnsi="Times New Roman" w:cs="Times New Roman"/>
        </w:rPr>
        <w:t>T</w:t>
      </w:r>
      <w:r w:rsidR="00013202" w:rsidRPr="00621883">
        <w:rPr>
          <w:rFonts w:ascii="Times New Roman" w:hAnsi="Times New Roman" w:cs="Times New Roman"/>
        </w:rPr>
        <w:t>hus t</w:t>
      </w:r>
      <w:r w:rsidR="00367A14" w:rsidRPr="00621883">
        <w:rPr>
          <w:rFonts w:ascii="Times New Roman" w:hAnsi="Times New Roman" w:cs="Times New Roman"/>
        </w:rPr>
        <w:t xml:space="preserve">o insist on uncertainty, as </w:t>
      </w:r>
      <w:r w:rsidR="00821655">
        <w:rPr>
          <w:rFonts w:ascii="Times New Roman" w:hAnsi="Times New Roman" w:cs="Times New Roman"/>
        </w:rPr>
        <w:t>Emma</w:t>
      </w:r>
      <w:r w:rsidR="00013202" w:rsidRPr="00621883">
        <w:rPr>
          <w:rFonts w:ascii="Times New Roman" w:hAnsi="Times New Roman" w:cs="Times New Roman"/>
        </w:rPr>
        <w:t xml:space="preserve"> does in her conclusion</w:t>
      </w:r>
      <w:r w:rsidR="00821655">
        <w:rPr>
          <w:rFonts w:ascii="Times New Roman" w:hAnsi="Times New Roman" w:cs="Times New Roman"/>
        </w:rPr>
        <w:t>,</w:t>
      </w:r>
      <w:r w:rsidR="00013202" w:rsidRPr="00621883">
        <w:rPr>
          <w:rFonts w:ascii="Times New Roman" w:hAnsi="Times New Roman" w:cs="Times New Roman"/>
        </w:rPr>
        <w:t xml:space="preserve"> is </w:t>
      </w:r>
      <w:r w:rsidR="00367A14" w:rsidRPr="00621883">
        <w:rPr>
          <w:rFonts w:ascii="Times New Roman" w:hAnsi="Times New Roman" w:cs="Times New Roman"/>
        </w:rPr>
        <w:t xml:space="preserve">a principled </w:t>
      </w:r>
      <w:r w:rsidR="00013202" w:rsidRPr="00621883">
        <w:rPr>
          <w:rFonts w:ascii="Times New Roman" w:hAnsi="Times New Roman" w:cs="Times New Roman"/>
        </w:rPr>
        <w:t xml:space="preserve">response, </w:t>
      </w:r>
      <w:r w:rsidR="008D4FB9" w:rsidRPr="00621883">
        <w:rPr>
          <w:rFonts w:ascii="Times New Roman" w:hAnsi="Times New Roman" w:cs="Times New Roman"/>
        </w:rPr>
        <w:t>but more than this</w:t>
      </w:r>
      <w:r w:rsidR="00C02199">
        <w:rPr>
          <w:rFonts w:ascii="Times New Roman" w:hAnsi="Times New Roman" w:cs="Times New Roman"/>
        </w:rPr>
        <w:t>,</w:t>
      </w:r>
      <w:r w:rsidR="008D4FB9" w:rsidRPr="00621883">
        <w:rPr>
          <w:rFonts w:ascii="Times New Roman" w:hAnsi="Times New Roman" w:cs="Times New Roman"/>
        </w:rPr>
        <w:t xml:space="preserve"> it is also a</w:t>
      </w:r>
      <w:r w:rsidR="00367A14" w:rsidRPr="00621883">
        <w:rPr>
          <w:rFonts w:ascii="Times New Roman" w:hAnsi="Times New Roman" w:cs="Times New Roman"/>
        </w:rPr>
        <w:t xml:space="preserve"> </w:t>
      </w:r>
      <w:r w:rsidR="00367A14" w:rsidRPr="00621883">
        <w:rPr>
          <w:rFonts w:ascii="Times New Roman" w:hAnsi="Times New Roman" w:cs="Times New Roman"/>
          <w:i/>
        </w:rPr>
        <w:t>pragmatic</w:t>
      </w:r>
      <w:r w:rsidR="00367A14" w:rsidRPr="00621883">
        <w:rPr>
          <w:rFonts w:ascii="Times New Roman" w:hAnsi="Times New Roman" w:cs="Times New Roman"/>
        </w:rPr>
        <w:t xml:space="preserve"> </w:t>
      </w:r>
      <w:r w:rsidR="00013202" w:rsidRPr="00621883">
        <w:rPr>
          <w:rFonts w:ascii="Times New Roman" w:hAnsi="Times New Roman" w:cs="Times New Roman"/>
        </w:rPr>
        <w:t>one</w:t>
      </w:r>
      <w:r w:rsidR="00367A14" w:rsidRPr="00621883">
        <w:rPr>
          <w:rFonts w:ascii="Times New Roman" w:hAnsi="Times New Roman" w:cs="Times New Roman"/>
        </w:rPr>
        <w:t>.</w:t>
      </w:r>
      <w:r w:rsidR="009151B1" w:rsidRPr="00621883">
        <w:rPr>
          <w:rFonts w:ascii="Times New Roman" w:hAnsi="Times New Roman" w:cs="Times New Roman"/>
        </w:rPr>
        <w:t xml:space="preserve"> </w:t>
      </w:r>
    </w:p>
    <w:p w:rsidR="00367A14" w:rsidRPr="00621883" w:rsidRDefault="00367A14" w:rsidP="00AB4819">
      <w:pPr>
        <w:spacing w:line="276" w:lineRule="auto"/>
        <w:jc w:val="both"/>
        <w:rPr>
          <w:rFonts w:ascii="Times New Roman" w:hAnsi="Times New Roman" w:cs="Times New Roman"/>
        </w:rPr>
      </w:pPr>
    </w:p>
    <w:p w:rsidR="000B36D1" w:rsidRPr="00621883" w:rsidRDefault="000B36D1" w:rsidP="00AB4819">
      <w:pPr>
        <w:spacing w:line="276" w:lineRule="auto"/>
        <w:jc w:val="both"/>
        <w:rPr>
          <w:rFonts w:ascii="Times New Roman" w:hAnsi="Times New Roman" w:cs="Times New Roman"/>
        </w:rPr>
      </w:pPr>
    </w:p>
    <w:p w:rsidR="00EC4D1B" w:rsidRPr="00621883" w:rsidRDefault="00EC4D1B" w:rsidP="00AB4819">
      <w:pPr>
        <w:spacing w:line="276" w:lineRule="auto"/>
        <w:jc w:val="both"/>
        <w:rPr>
          <w:rFonts w:ascii="Times New Roman" w:hAnsi="Times New Roman" w:cs="Times New Roman"/>
        </w:rPr>
      </w:pPr>
    </w:p>
    <w:sectPr w:rsidR="00EC4D1B" w:rsidRPr="00621883" w:rsidSect="00340CFF">
      <w:headerReference w:type="even" r:id="rId9"/>
      <w:headerReference w:type="default" r:id="rId10"/>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58E" w:rsidRDefault="0086558E" w:rsidP="00B76431">
      <w:r>
        <w:separator/>
      </w:r>
    </w:p>
  </w:endnote>
  <w:endnote w:type="continuationSeparator" w:id="0">
    <w:p w:rsidR="0086558E" w:rsidRDefault="0086558E" w:rsidP="00B7643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Swis721 Cn BT">
    <w:altName w:val="Swis721 Cn BT"/>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41618"/>
      <w:docPartObj>
        <w:docPartGallery w:val="Page Numbers (Bottom of Page)"/>
        <w:docPartUnique/>
      </w:docPartObj>
    </w:sdtPr>
    <w:sdtContent>
      <w:p w:rsidR="00340CFF" w:rsidRDefault="00340CFF">
        <w:pPr>
          <w:pStyle w:val="Footer"/>
          <w:jc w:val="center"/>
        </w:pPr>
        <w:r>
          <w:t>_____________________________________________________________________________________________</w:t>
        </w:r>
      </w:p>
      <w:p w:rsidR="00340CFF" w:rsidRDefault="00340CFF">
        <w:pPr>
          <w:pStyle w:val="Footer"/>
          <w:jc w:val="center"/>
        </w:pPr>
      </w:p>
      <w:p w:rsidR="00340CFF" w:rsidRDefault="00340CFF">
        <w:pPr>
          <w:pStyle w:val="Footer"/>
          <w:jc w:val="center"/>
        </w:pPr>
        <w:r w:rsidRPr="00340CFF">
          <w:rPr>
            <w:rFonts w:ascii="Times New Roman" w:hAnsi="Times New Roman" w:cs="Times New Roman"/>
            <w:sz w:val="22"/>
            <w:szCs w:val="22"/>
          </w:rPr>
          <w:fldChar w:fldCharType="begin"/>
        </w:r>
        <w:r w:rsidRPr="00340CFF">
          <w:rPr>
            <w:rFonts w:ascii="Times New Roman" w:hAnsi="Times New Roman" w:cs="Times New Roman"/>
            <w:sz w:val="22"/>
            <w:szCs w:val="22"/>
          </w:rPr>
          <w:instrText xml:space="preserve"> PAGE   \* MERGEFORMAT </w:instrText>
        </w:r>
        <w:r w:rsidRPr="00340CFF">
          <w:rPr>
            <w:rFonts w:ascii="Times New Roman" w:hAnsi="Times New Roman" w:cs="Times New Roman"/>
            <w:sz w:val="22"/>
            <w:szCs w:val="22"/>
          </w:rPr>
          <w:fldChar w:fldCharType="separate"/>
        </w:r>
        <w:r w:rsidR="00E43399">
          <w:rPr>
            <w:rFonts w:ascii="Times New Roman" w:hAnsi="Times New Roman" w:cs="Times New Roman"/>
            <w:noProof/>
            <w:sz w:val="22"/>
            <w:szCs w:val="22"/>
          </w:rPr>
          <w:t>4</w:t>
        </w:r>
        <w:r w:rsidRPr="00340CFF">
          <w:rPr>
            <w:rFonts w:ascii="Times New Roman" w:hAnsi="Times New Roman" w:cs="Times New Roman"/>
            <w:sz w:val="22"/>
            <w:szCs w:val="22"/>
          </w:rPr>
          <w:fldChar w:fldCharType="end"/>
        </w:r>
      </w:p>
    </w:sdtContent>
  </w:sdt>
  <w:p w:rsidR="0086558E" w:rsidRDefault="0086558E" w:rsidP="00B764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41558"/>
      <w:docPartObj>
        <w:docPartGallery w:val="Page Numbers (Bottom of Page)"/>
        <w:docPartUnique/>
      </w:docPartObj>
    </w:sdtPr>
    <w:sdtContent>
      <w:p w:rsidR="00340CFF" w:rsidRDefault="00340CFF">
        <w:pPr>
          <w:pStyle w:val="Footer"/>
          <w:jc w:val="center"/>
        </w:pPr>
        <w:r>
          <w:t>_____________________________________________________________________________________________</w:t>
        </w:r>
      </w:p>
      <w:p w:rsidR="00340CFF" w:rsidRDefault="00340CFF">
        <w:pPr>
          <w:pStyle w:val="Footer"/>
          <w:jc w:val="center"/>
        </w:pPr>
      </w:p>
      <w:p w:rsidR="00340CFF" w:rsidRDefault="00340CFF">
        <w:pPr>
          <w:pStyle w:val="Footer"/>
          <w:jc w:val="center"/>
        </w:pPr>
        <w:r w:rsidRPr="00340CFF">
          <w:rPr>
            <w:rFonts w:ascii="Times New Roman" w:hAnsi="Times New Roman" w:cs="Times New Roman"/>
            <w:sz w:val="22"/>
            <w:szCs w:val="22"/>
          </w:rPr>
          <w:fldChar w:fldCharType="begin"/>
        </w:r>
        <w:r w:rsidRPr="00340CFF">
          <w:rPr>
            <w:rFonts w:ascii="Times New Roman" w:hAnsi="Times New Roman" w:cs="Times New Roman"/>
            <w:sz w:val="22"/>
            <w:szCs w:val="22"/>
          </w:rPr>
          <w:instrText xml:space="preserve"> PAGE   \* MERGEFORMAT </w:instrText>
        </w:r>
        <w:r w:rsidRPr="00340CFF">
          <w:rPr>
            <w:rFonts w:ascii="Times New Roman" w:hAnsi="Times New Roman" w:cs="Times New Roman"/>
            <w:sz w:val="22"/>
            <w:szCs w:val="22"/>
          </w:rPr>
          <w:fldChar w:fldCharType="separate"/>
        </w:r>
        <w:r w:rsidR="00E43399">
          <w:rPr>
            <w:rFonts w:ascii="Times New Roman" w:hAnsi="Times New Roman" w:cs="Times New Roman"/>
            <w:noProof/>
            <w:sz w:val="22"/>
            <w:szCs w:val="22"/>
          </w:rPr>
          <w:t>1</w:t>
        </w:r>
        <w:r w:rsidRPr="00340CFF">
          <w:rPr>
            <w:rFonts w:ascii="Times New Roman" w:hAnsi="Times New Roman" w:cs="Times New Roman"/>
            <w:sz w:val="22"/>
            <w:szCs w:val="22"/>
          </w:rPr>
          <w:fldChar w:fldCharType="end"/>
        </w:r>
      </w:p>
    </w:sdtContent>
  </w:sdt>
  <w:p w:rsidR="0086558E" w:rsidRDefault="0086558E" w:rsidP="00B7643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58E" w:rsidRDefault="0086558E" w:rsidP="00B76431">
      <w:r>
        <w:separator/>
      </w:r>
    </w:p>
  </w:footnote>
  <w:footnote w:type="continuationSeparator" w:id="0">
    <w:p w:rsidR="0086558E" w:rsidRDefault="0086558E" w:rsidP="00B76431">
      <w:r>
        <w:continuationSeparator/>
      </w:r>
    </w:p>
  </w:footnote>
  <w:footnote w:id="1">
    <w:p w:rsidR="0086558E" w:rsidRPr="00F6463B" w:rsidRDefault="0086558E">
      <w:pPr>
        <w:pStyle w:val="FootnoteText"/>
        <w:rPr>
          <w:lang w:val="en-GB"/>
        </w:rPr>
      </w:pPr>
      <w:r>
        <w:rPr>
          <w:rStyle w:val="FootnoteReference"/>
        </w:rPr>
        <w:t>*</w:t>
      </w:r>
      <w:r>
        <w:t xml:space="preserve"> </w:t>
      </w:r>
      <w:r w:rsidRPr="0075003C">
        <w:rPr>
          <w:rFonts w:ascii="Times New Roman" w:hAnsi="Times New Roman" w:cs="Times New Roman"/>
          <w:sz w:val="20"/>
          <w:szCs w:val="20"/>
        </w:rPr>
        <w:t>Senior Lecturer, School of Law, University of New South Wales</w:t>
      </w:r>
      <w:r>
        <w:rPr>
          <w:rFonts w:ascii="Times New Roman" w:hAnsi="Times New Roman" w:cs="Times New Roman"/>
          <w:sz w:val="20"/>
          <w:szCs w:val="20"/>
        </w:rPr>
        <w:t>, Australia</w:t>
      </w:r>
      <w:r w:rsidRPr="0075003C">
        <w:rPr>
          <w:rFonts w:ascii="Times New Roman" w:hAnsi="Times New Roman" w:cs="Times New Roman"/>
          <w:sz w:val="20"/>
          <w:szCs w:val="20"/>
        </w:rPr>
        <w:t xml:space="preserve">. </w:t>
      </w:r>
      <w:hyperlink r:id="rId1" w:history="1">
        <w:r w:rsidR="00E43399" w:rsidRPr="005B1A87">
          <w:rPr>
            <w:rStyle w:val="Hyperlink"/>
            <w:rFonts w:ascii="Times New Roman" w:hAnsi="Times New Roman" w:cs="Times New Roman"/>
            <w:sz w:val="20"/>
            <w:szCs w:val="20"/>
          </w:rPr>
          <w:t>m.sanroque@unsw.edu.au</w:t>
        </w:r>
      </w:hyperlink>
      <w:r w:rsidR="00E43399">
        <w:rPr>
          <w:rFonts w:ascii="Times New Roman" w:hAnsi="Times New Roman" w:cs="Times New Roman"/>
          <w:sz w:val="20"/>
          <w:szCs w:val="20"/>
        </w:rPr>
        <w:t xml:space="preserve">. </w:t>
      </w:r>
      <w:r>
        <w:rPr>
          <w:rFonts w:ascii="Times New Roman" w:hAnsi="Times New Roman" w:cs="Times New Roman"/>
          <w:sz w:val="20"/>
          <w:szCs w:val="20"/>
        </w:rPr>
        <w:t xml:space="preserve">With thanks to </w:t>
      </w:r>
      <w:r w:rsidRPr="0075003C">
        <w:rPr>
          <w:rFonts w:ascii="Times New Roman" w:hAnsi="Times New Roman" w:cs="Times New Roman"/>
          <w:sz w:val="20"/>
          <w:szCs w:val="20"/>
        </w:rPr>
        <w:t>the other participants on the panel, Eve Darian-Smith, Gary Edmond</w:t>
      </w:r>
      <w:r>
        <w:rPr>
          <w:rFonts w:ascii="Times New Roman" w:hAnsi="Times New Roman" w:cs="Times New Roman"/>
          <w:sz w:val="20"/>
          <w:szCs w:val="20"/>
        </w:rPr>
        <w:t>,</w:t>
      </w:r>
      <w:r w:rsidRPr="0075003C">
        <w:rPr>
          <w:rFonts w:ascii="Times New Roman" w:hAnsi="Times New Roman" w:cs="Times New Roman"/>
          <w:sz w:val="20"/>
          <w:szCs w:val="20"/>
        </w:rPr>
        <w:t xml:space="preserve"> Bill Haltom and Karen Porter, and most especially Emma Cunliffe, for discussion, ideas and comments. </w:t>
      </w:r>
      <w:r>
        <w:rPr>
          <w:rFonts w:ascii="Times New Roman" w:hAnsi="Times New Roman" w:cs="Times New Roman"/>
          <w:sz w:val="20"/>
          <w:szCs w:val="20"/>
        </w:rPr>
        <w:t xml:space="preserve">Thanks also </w:t>
      </w:r>
      <w:r w:rsidRPr="0075003C">
        <w:rPr>
          <w:rFonts w:ascii="Times New Roman" w:hAnsi="Times New Roman" w:cs="Times New Roman"/>
          <w:sz w:val="20"/>
          <w:szCs w:val="20"/>
        </w:rPr>
        <w:t>to</w:t>
      </w:r>
      <w:r>
        <w:rPr>
          <w:rFonts w:ascii="Times New Roman" w:hAnsi="Times New Roman" w:cs="Times New Roman"/>
          <w:sz w:val="20"/>
          <w:szCs w:val="20"/>
        </w:rPr>
        <w:t xml:space="preserve"> </w:t>
      </w:r>
      <w:r w:rsidRPr="0075003C">
        <w:rPr>
          <w:rFonts w:ascii="Times New Roman" w:hAnsi="Times New Roman" w:cs="Times New Roman"/>
          <w:sz w:val="20"/>
          <w:szCs w:val="20"/>
        </w:rPr>
        <w:t>Ros</w:t>
      </w:r>
      <w:r>
        <w:rPr>
          <w:rFonts w:ascii="Times New Roman" w:hAnsi="Times New Roman" w:cs="Times New Roman"/>
          <w:sz w:val="20"/>
          <w:szCs w:val="20"/>
        </w:rPr>
        <w:t xml:space="preserve">emary Hunter and Pooja Parmar. </w:t>
      </w:r>
      <w:r w:rsidRPr="0075003C">
        <w:rPr>
          <w:rFonts w:ascii="Times New Roman" w:hAnsi="Times New Roman" w:cs="Times New Roman"/>
          <w:sz w:val="20"/>
          <w:szCs w:val="20"/>
        </w:rPr>
        <w:t>All errors</w:t>
      </w:r>
      <w:r>
        <w:rPr>
          <w:rFonts w:ascii="Times New Roman" w:hAnsi="Times New Roman" w:cs="Times New Roman"/>
          <w:sz w:val="20"/>
          <w:szCs w:val="20"/>
        </w:rPr>
        <w:t>, speculations and long bows,</w:t>
      </w:r>
      <w:r w:rsidRPr="0075003C">
        <w:rPr>
          <w:rFonts w:ascii="Times New Roman" w:hAnsi="Times New Roman" w:cs="Times New Roman"/>
          <w:sz w:val="20"/>
          <w:szCs w:val="20"/>
        </w:rPr>
        <w:t xml:space="preserve"> remain, of course, my own.</w:t>
      </w:r>
      <w:r w:rsidR="0082775D" w:rsidRPr="0082775D">
        <w:rPr>
          <w:rFonts w:ascii="Times New Roman" w:hAnsi="Times New Roman" w:cs="Times New Roman"/>
          <w:sz w:val="20"/>
          <w:szCs w:val="20"/>
          <w:lang w:val="en-AU"/>
        </w:rPr>
        <w:t xml:space="preserve"> </w:t>
      </w:r>
    </w:p>
  </w:footnote>
  <w:footnote w:id="2">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Emma Cunliffe, </w:t>
      </w:r>
      <w:r w:rsidRPr="0075003C">
        <w:rPr>
          <w:rFonts w:ascii="Times New Roman" w:hAnsi="Times New Roman" w:cs="Times New Roman"/>
          <w:i/>
          <w:sz w:val="20"/>
          <w:szCs w:val="20"/>
        </w:rPr>
        <w:t xml:space="preserve">Murder, Medicine and Motherhood </w:t>
      </w:r>
      <w:r w:rsidRPr="0075003C">
        <w:rPr>
          <w:rFonts w:ascii="Times New Roman" w:hAnsi="Times New Roman" w:cs="Times New Roman"/>
          <w:sz w:val="20"/>
          <w:szCs w:val="20"/>
        </w:rPr>
        <w:t xml:space="preserve">(Hart Publishing, 2011) 1. </w:t>
      </w:r>
    </w:p>
  </w:footnote>
  <w:footnote w:id="3">
    <w:p w:rsidR="0086558E" w:rsidRPr="0075003C" w:rsidRDefault="0086558E" w:rsidP="00AB4819">
      <w:pPr>
        <w:pStyle w:val="FootnoteText"/>
        <w:jc w:val="both"/>
        <w:rPr>
          <w:rFonts w:ascii="Times New Roman" w:hAnsi="Times New Roman" w:cs="Times New Roman"/>
          <w:sz w:val="20"/>
          <w:szCs w:val="20"/>
          <w:lang w:val="en-AU"/>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Citing Patricia J Williams, “The Brass Ring and the Deep Blue Sea” in </w:t>
      </w:r>
      <w:r w:rsidRPr="0075003C">
        <w:rPr>
          <w:rFonts w:ascii="Times New Roman" w:hAnsi="Times New Roman" w:cs="Times New Roman"/>
          <w:i/>
          <w:sz w:val="20"/>
          <w:szCs w:val="20"/>
        </w:rPr>
        <w:t>The</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Alchemy of Race and Rights</w:t>
      </w:r>
      <w:r w:rsidRPr="0075003C">
        <w:rPr>
          <w:rFonts w:ascii="Times New Roman" w:hAnsi="Times New Roman" w:cs="Times New Roman"/>
          <w:sz w:val="20"/>
          <w:szCs w:val="20"/>
        </w:rPr>
        <w:t xml:space="preserve"> (Harvard University Press, 1991). See also Carol Smart, </w:t>
      </w:r>
      <w:r w:rsidRPr="0075003C">
        <w:rPr>
          <w:rFonts w:ascii="Times New Roman" w:hAnsi="Times New Roman" w:cs="Times New Roman"/>
          <w:i/>
          <w:sz w:val="20"/>
          <w:szCs w:val="20"/>
        </w:rPr>
        <w:t>Feminism and the Power of Law</w:t>
      </w:r>
      <w:r w:rsidRPr="0075003C">
        <w:rPr>
          <w:rFonts w:ascii="Times New Roman" w:hAnsi="Times New Roman" w:cs="Times New Roman"/>
          <w:sz w:val="20"/>
          <w:szCs w:val="20"/>
        </w:rPr>
        <w:t xml:space="preserve"> (Routledge, 1989).</w:t>
      </w:r>
    </w:p>
  </w:footnote>
  <w:footnote w:id="4">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In New South Wales, the admission of this evidence was governed by the notionally exclusionary ‘tendency’ and ‘coi</w:t>
      </w:r>
      <w:r>
        <w:rPr>
          <w:rFonts w:ascii="Times New Roman" w:hAnsi="Times New Roman" w:cs="Times New Roman"/>
          <w:sz w:val="20"/>
          <w:szCs w:val="20"/>
        </w:rPr>
        <w:t>ncidence’ rules found in s</w:t>
      </w:r>
      <w:r w:rsidRPr="0075003C">
        <w:rPr>
          <w:rFonts w:ascii="Times New Roman" w:hAnsi="Times New Roman" w:cs="Times New Roman"/>
          <w:sz w:val="20"/>
          <w:szCs w:val="20"/>
        </w:rPr>
        <w:t xml:space="preserve">s 97, 98 and 101 of the </w:t>
      </w:r>
      <w:r w:rsidRPr="0075003C">
        <w:rPr>
          <w:rFonts w:ascii="Times New Roman" w:hAnsi="Times New Roman" w:cs="Times New Roman"/>
          <w:i/>
          <w:sz w:val="20"/>
          <w:szCs w:val="20"/>
        </w:rPr>
        <w:t>Evidence Act 1995</w:t>
      </w:r>
      <w:r w:rsidRPr="0075003C">
        <w:rPr>
          <w:rFonts w:ascii="Times New Roman" w:hAnsi="Times New Roman" w:cs="Times New Roman"/>
          <w:sz w:val="20"/>
          <w:szCs w:val="20"/>
        </w:rPr>
        <w:t xml:space="preserve"> (NSW). The </w:t>
      </w:r>
      <w:r w:rsidRPr="0075003C">
        <w:rPr>
          <w:rFonts w:ascii="Times New Roman" w:hAnsi="Times New Roman" w:cs="Times New Roman"/>
          <w:i/>
          <w:sz w:val="20"/>
          <w:szCs w:val="20"/>
        </w:rPr>
        <w:t>Evidence Act 1995</w:t>
      </w:r>
      <w:r w:rsidRPr="0075003C">
        <w:rPr>
          <w:rFonts w:ascii="Times New Roman" w:hAnsi="Times New Roman" w:cs="Times New Roman"/>
          <w:sz w:val="20"/>
          <w:szCs w:val="20"/>
        </w:rPr>
        <w:t xml:space="preserve"> (NSW) forms part of Australia’s Uniform Evidence Law; Uniform Evidence Law jurisdictions in Australia comprise New South Wales, the Commonwealth and ACT, Victoria, NT and Norfolk Island. Sections of the </w:t>
      </w:r>
      <w:r w:rsidRPr="0075003C">
        <w:rPr>
          <w:rFonts w:ascii="Times New Roman" w:hAnsi="Times New Roman" w:cs="Times New Roman"/>
          <w:i/>
          <w:sz w:val="20"/>
          <w:szCs w:val="20"/>
        </w:rPr>
        <w:t>Evidence Act 1995</w:t>
      </w:r>
      <w:r w:rsidRPr="0075003C">
        <w:rPr>
          <w:rFonts w:ascii="Times New Roman" w:hAnsi="Times New Roman" w:cs="Times New Roman"/>
          <w:sz w:val="20"/>
          <w:szCs w:val="20"/>
        </w:rPr>
        <w:t xml:space="preserve"> (NSW), including s 98 were amended in 2009 by the </w:t>
      </w:r>
      <w:r w:rsidRPr="0075003C">
        <w:rPr>
          <w:rFonts w:ascii="Times New Roman" w:hAnsi="Times New Roman" w:cs="Times New Roman"/>
          <w:i/>
          <w:iCs/>
          <w:sz w:val="20"/>
          <w:szCs w:val="20"/>
        </w:rPr>
        <w:t>Evidence Amendment Act 2007</w:t>
      </w:r>
      <w:r w:rsidRPr="0075003C">
        <w:rPr>
          <w:rFonts w:ascii="Times New Roman" w:hAnsi="Times New Roman" w:cs="Times New Roman"/>
          <w:sz w:val="20"/>
          <w:szCs w:val="20"/>
        </w:rPr>
        <w:t xml:space="preserve"> (NSW). At the time of Folbigg’s trial, s 98 r</w:t>
      </w:r>
      <w:r>
        <w:rPr>
          <w:rFonts w:ascii="Times New Roman" w:hAnsi="Times New Roman" w:cs="Times New Roman"/>
          <w:sz w:val="20"/>
          <w:szCs w:val="20"/>
        </w:rPr>
        <w:t>equired that the evidence have “significant probative value”</w:t>
      </w:r>
      <w:r w:rsidRPr="0075003C">
        <w:rPr>
          <w:rFonts w:ascii="Times New Roman" w:hAnsi="Times New Roman" w:cs="Times New Roman"/>
          <w:sz w:val="20"/>
          <w:szCs w:val="20"/>
        </w:rPr>
        <w:t xml:space="preserve"> before a</w:t>
      </w:r>
      <w:r>
        <w:rPr>
          <w:rFonts w:ascii="Times New Roman" w:hAnsi="Times New Roman" w:cs="Times New Roman"/>
          <w:sz w:val="20"/>
          <w:szCs w:val="20"/>
        </w:rPr>
        <w:t xml:space="preserve"> fact finder could reason that “</w:t>
      </w:r>
      <w:r w:rsidRPr="0075003C">
        <w:rPr>
          <w:rFonts w:ascii="Times New Roman" w:hAnsi="Times New Roman" w:cs="Times New Roman"/>
          <w:sz w:val="20"/>
          <w:szCs w:val="20"/>
        </w:rPr>
        <w:t xml:space="preserve">because of the improbability of the events occurring coincidentally, a person did a particular act or </w:t>
      </w:r>
      <w:r>
        <w:rPr>
          <w:rFonts w:ascii="Times New Roman" w:hAnsi="Times New Roman" w:cs="Times New Roman"/>
          <w:sz w:val="20"/>
          <w:szCs w:val="20"/>
        </w:rPr>
        <w:t>had a particular state of mind.”</w:t>
      </w:r>
      <w:r w:rsidRPr="0075003C">
        <w:rPr>
          <w:rFonts w:ascii="Times New Roman" w:hAnsi="Times New Roman" w:cs="Times New Roman"/>
          <w:sz w:val="20"/>
          <w:szCs w:val="20"/>
        </w:rPr>
        <w:t xml:space="preserve"> In addition, s 101 prohibits the prosecution from relying on either te</w:t>
      </w:r>
      <w:r>
        <w:rPr>
          <w:rFonts w:ascii="Times New Roman" w:hAnsi="Times New Roman" w:cs="Times New Roman"/>
          <w:sz w:val="20"/>
          <w:szCs w:val="20"/>
        </w:rPr>
        <w:t>ndency or coincidence evidence “</w:t>
      </w:r>
      <w:r w:rsidRPr="0075003C">
        <w:rPr>
          <w:rFonts w:ascii="Times New Roman" w:hAnsi="Times New Roman" w:cs="Times New Roman"/>
          <w:sz w:val="20"/>
          <w:szCs w:val="20"/>
        </w:rPr>
        <w:t>unless the probative value of the evidence substantially outweighs any prejudicial effec</w:t>
      </w:r>
      <w:r>
        <w:rPr>
          <w:rFonts w:ascii="Times New Roman" w:hAnsi="Times New Roman" w:cs="Times New Roman"/>
          <w:sz w:val="20"/>
          <w:szCs w:val="20"/>
        </w:rPr>
        <w:t>t it may have on the defendant.”</w:t>
      </w:r>
      <w:r w:rsidRPr="0075003C">
        <w:rPr>
          <w:rFonts w:ascii="Times New Roman" w:hAnsi="Times New Roman" w:cs="Times New Roman"/>
          <w:sz w:val="20"/>
          <w:szCs w:val="20"/>
        </w:rPr>
        <w:t xml:space="preserve"> At the time of Folbigg’s trial</w:t>
      </w:r>
      <w:r>
        <w:rPr>
          <w:rFonts w:ascii="Times New Roman" w:hAnsi="Times New Roman" w:cs="Times New Roman"/>
          <w:sz w:val="20"/>
          <w:szCs w:val="20"/>
        </w:rPr>
        <w:t>,</w:t>
      </w:r>
      <w:r w:rsidRPr="0075003C">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75003C">
        <w:rPr>
          <w:rFonts w:ascii="Times New Roman" w:hAnsi="Times New Roman" w:cs="Times New Roman"/>
          <w:sz w:val="20"/>
          <w:szCs w:val="20"/>
        </w:rPr>
        <w:t>101 was interpreted, in line with pre</w:t>
      </w:r>
      <w:r>
        <w:rPr>
          <w:rFonts w:ascii="Times New Roman" w:hAnsi="Times New Roman" w:cs="Times New Roman"/>
          <w:sz w:val="20"/>
          <w:szCs w:val="20"/>
        </w:rPr>
        <w:t xml:space="preserve">-existing common law authority, </w:t>
      </w:r>
      <w:r w:rsidRPr="0075003C">
        <w:rPr>
          <w:rFonts w:ascii="Times New Roman" w:hAnsi="Times New Roman" w:cs="Times New Roman"/>
          <w:sz w:val="20"/>
          <w:szCs w:val="20"/>
        </w:rPr>
        <w:t>to require a determination by the trial judge that there be no rational explanation of the evidence consistent with innocence before the evidence could be admitted for the purpose of grounding either coincidence or tendency reasoning</w:t>
      </w:r>
      <w:r>
        <w:rPr>
          <w:rFonts w:ascii="Times New Roman" w:hAnsi="Times New Roman" w:cs="Times New Roman"/>
          <w:sz w:val="20"/>
          <w:szCs w:val="20"/>
        </w:rPr>
        <w:t xml:space="preserve"> (</w:t>
      </w:r>
      <w:r w:rsidRPr="0075003C">
        <w:rPr>
          <w:rFonts w:ascii="Times New Roman" w:hAnsi="Times New Roman" w:cs="Times New Roman"/>
          <w:sz w:val="20"/>
          <w:szCs w:val="20"/>
        </w:rPr>
        <w:t xml:space="preserve">the so called </w:t>
      </w:r>
      <w:r w:rsidRPr="0075003C">
        <w:rPr>
          <w:rFonts w:ascii="Times New Roman" w:hAnsi="Times New Roman" w:cs="Times New Roman"/>
          <w:i/>
          <w:sz w:val="20"/>
          <w:szCs w:val="20"/>
        </w:rPr>
        <w:t>Pfennig</w:t>
      </w:r>
      <w:r>
        <w:rPr>
          <w:rFonts w:ascii="Times New Roman" w:hAnsi="Times New Roman" w:cs="Times New Roman"/>
          <w:sz w:val="20"/>
          <w:szCs w:val="20"/>
        </w:rPr>
        <w:t xml:space="preserve"> test)</w:t>
      </w:r>
      <w:r w:rsidRPr="0075003C">
        <w:rPr>
          <w:rFonts w:ascii="Times New Roman" w:hAnsi="Times New Roman" w:cs="Times New Roman"/>
          <w:sz w:val="20"/>
          <w:szCs w:val="20"/>
        </w:rPr>
        <w:t xml:space="preserve">. In </w:t>
      </w:r>
      <w:r w:rsidRPr="0075003C">
        <w:rPr>
          <w:rFonts w:ascii="Times New Roman" w:hAnsi="Times New Roman" w:cs="Times New Roman"/>
          <w:i/>
          <w:sz w:val="20"/>
          <w:szCs w:val="20"/>
        </w:rPr>
        <w:t>Folbigg</w:t>
      </w:r>
      <w:r w:rsidRPr="0075003C">
        <w:rPr>
          <w:rFonts w:ascii="Times New Roman" w:hAnsi="Times New Roman" w:cs="Times New Roman"/>
          <w:sz w:val="20"/>
          <w:szCs w:val="20"/>
        </w:rPr>
        <w:t xml:space="preserve">, this was held to mean that the court should first assume that the other evidence left the jury with a reasonable doubt, and then consider whether the ‘coincidence’ evidence would eliminate that doubt, and that it would only be in such circumstances that it could be admitted for that purpose. Arguably, Hodgson J’s somewhat idiosyncratic articulation of the operation of the </w:t>
      </w:r>
      <w:r w:rsidRPr="0075003C">
        <w:rPr>
          <w:rFonts w:ascii="Times New Roman" w:hAnsi="Times New Roman" w:cs="Times New Roman"/>
          <w:i/>
          <w:sz w:val="20"/>
          <w:szCs w:val="20"/>
        </w:rPr>
        <w:t>Pfennig</w:t>
      </w:r>
      <w:r w:rsidRPr="0075003C">
        <w:rPr>
          <w:rFonts w:ascii="Times New Roman" w:hAnsi="Times New Roman" w:cs="Times New Roman"/>
          <w:sz w:val="20"/>
          <w:szCs w:val="20"/>
        </w:rPr>
        <w:t xml:space="preserve"> test, in the string of related cases, </w:t>
      </w:r>
      <w:r w:rsidRPr="0075003C">
        <w:rPr>
          <w:rFonts w:ascii="Times New Roman" w:hAnsi="Times New Roman" w:cs="Times New Roman"/>
          <w:i/>
          <w:sz w:val="20"/>
          <w:szCs w:val="20"/>
        </w:rPr>
        <w:t>WRC</w:t>
      </w:r>
      <w:r w:rsidRPr="0075003C">
        <w:rPr>
          <w:rFonts w:ascii="Times New Roman" w:hAnsi="Times New Roman" w:cs="Times New Roman"/>
          <w:sz w:val="20"/>
          <w:szCs w:val="20"/>
        </w:rPr>
        <w:t xml:space="preserve"> [2002] NSWCCA 210, </w:t>
      </w:r>
      <w:r w:rsidRPr="0075003C">
        <w:rPr>
          <w:rFonts w:ascii="Times New Roman" w:hAnsi="Times New Roman" w:cs="Times New Roman"/>
          <w:i/>
          <w:sz w:val="20"/>
          <w:szCs w:val="20"/>
        </w:rPr>
        <w:t>Joiner</w:t>
      </w:r>
      <w:r w:rsidRPr="0075003C">
        <w:rPr>
          <w:rFonts w:ascii="Times New Roman" w:hAnsi="Times New Roman" w:cs="Times New Roman"/>
          <w:sz w:val="20"/>
          <w:szCs w:val="20"/>
        </w:rPr>
        <w:t xml:space="preserve"> [2002] NSWCCA 354 and </w:t>
      </w:r>
      <w:r w:rsidRPr="0075003C">
        <w:rPr>
          <w:rFonts w:ascii="Times New Roman" w:hAnsi="Times New Roman" w:cs="Times New Roman"/>
          <w:i/>
          <w:sz w:val="20"/>
          <w:szCs w:val="20"/>
        </w:rPr>
        <w:t>Folbigg</w:t>
      </w:r>
      <w:r w:rsidRPr="0075003C">
        <w:rPr>
          <w:rFonts w:ascii="Times New Roman" w:hAnsi="Times New Roman" w:cs="Times New Roman"/>
          <w:sz w:val="20"/>
          <w:szCs w:val="20"/>
        </w:rPr>
        <w:t xml:space="preserve">, for its circularity alone, does not represent a high point in terms of threshold management. Nonetheless, at least in theory, the evidence in </w:t>
      </w:r>
      <w:r w:rsidRPr="0075003C">
        <w:rPr>
          <w:rFonts w:ascii="Times New Roman" w:hAnsi="Times New Roman" w:cs="Times New Roman"/>
          <w:i/>
          <w:sz w:val="20"/>
          <w:szCs w:val="20"/>
        </w:rPr>
        <w:t>Folbigg</w:t>
      </w:r>
      <w:r w:rsidRPr="0075003C">
        <w:rPr>
          <w:rFonts w:ascii="Times New Roman" w:hAnsi="Times New Roman" w:cs="Times New Roman"/>
          <w:sz w:val="20"/>
          <w:szCs w:val="20"/>
        </w:rPr>
        <w:t xml:space="preserve"> was subjected to one of the most stringent tests of admissibility both at the stage of deciding whether all of the cases could be heard together and in the trial itself. The 2009 reforms, in combination with more recent jurisprudence have, arguably, lowered the thresholds embodied in ss</w:t>
      </w:r>
      <w:r>
        <w:rPr>
          <w:rFonts w:ascii="Times New Roman" w:hAnsi="Times New Roman" w:cs="Times New Roman"/>
          <w:sz w:val="20"/>
          <w:szCs w:val="20"/>
        </w:rPr>
        <w:t xml:space="preserve"> </w:t>
      </w:r>
      <w:r w:rsidRPr="0075003C">
        <w:rPr>
          <w:rFonts w:ascii="Times New Roman" w:hAnsi="Times New Roman" w:cs="Times New Roman"/>
          <w:sz w:val="20"/>
          <w:szCs w:val="20"/>
        </w:rPr>
        <w:t>98 and 101, but not made the test(s) any easier to understand or apply</w:t>
      </w:r>
      <w:r w:rsidRPr="0075003C">
        <w:rPr>
          <w:rFonts w:ascii="Times New Roman" w:hAnsi="Times New Roman" w:cs="Times New Roman"/>
          <w:sz w:val="20"/>
          <w:szCs w:val="20"/>
        </w:rPr>
        <w:softHyphen/>
        <w:t xml:space="preserve">; the case law in this area remains highly unstable. Historically, tendency and coincidence evidence has been referred to as propensity and/or similar fact evidence. The first significant New South Wales case in this area was </w:t>
      </w:r>
      <w:r w:rsidRPr="0075003C">
        <w:rPr>
          <w:rFonts w:ascii="Times New Roman" w:hAnsi="Times New Roman" w:cs="Times New Roman"/>
          <w:bCs/>
          <w:i/>
          <w:sz w:val="20"/>
          <w:szCs w:val="20"/>
        </w:rPr>
        <w:t>Makin v Attorney General of New South Wales</w:t>
      </w:r>
      <w:r w:rsidRPr="0075003C">
        <w:rPr>
          <w:rFonts w:ascii="Times New Roman" w:hAnsi="Times New Roman" w:cs="Times New Roman"/>
          <w:bCs/>
          <w:sz w:val="20"/>
          <w:szCs w:val="20"/>
        </w:rPr>
        <w:t xml:space="preserve"> </w:t>
      </w:r>
      <w:r w:rsidRPr="0075003C">
        <w:rPr>
          <w:rFonts w:ascii="Times New Roman" w:hAnsi="Times New Roman" w:cs="Times New Roman"/>
          <w:sz w:val="20"/>
          <w:szCs w:val="20"/>
        </w:rPr>
        <w:t xml:space="preserve">[1894] AC 57, a ‘baby farming’ case. The Makins were convicted of the murder of an infant that had been committed to their care. At issue was the admissibility and significance of the evidence that multiple bodies of infants had been found buried in the backyards of a number of houses that had been occupied by the Makins. See Anne Cossins, </w:t>
      </w:r>
      <w:r w:rsidRPr="0075003C">
        <w:rPr>
          <w:rFonts w:ascii="Times New Roman" w:hAnsi="Times New Roman" w:cs="Times New Roman"/>
          <w:i/>
          <w:iCs/>
          <w:sz w:val="20"/>
          <w:szCs w:val="20"/>
        </w:rPr>
        <w:t>The Baby-Farmers</w:t>
      </w:r>
      <w:r w:rsidRPr="0075003C">
        <w:rPr>
          <w:rFonts w:ascii="Times New Roman" w:hAnsi="Times New Roman" w:cs="Times New Roman"/>
          <w:sz w:val="20"/>
          <w:szCs w:val="20"/>
        </w:rPr>
        <w:t xml:space="preserve"> (Allen &amp; Unwin, 2013). </w:t>
      </w:r>
    </w:p>
  </w:footnote>
  <w:footnote w:id="5">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Recent reports of the National Academy of Sciences in the US, as well the UK, have drawn attention to significant methodological and epistemological deficiencies inherent in the majority of comparative forensic ‘sciences’ that are routinely relied on in courts. These include, but are not limited to, little or no independent information about the validity or reliability of the majority </w:t>
      </w:r>
      <w:r>
        <w:rPr>
          <w:rFonts w:ascii="Times New Roman" w:hAnsi="Times New Roman" w:cs="Times New Roman"/>
          <w:sz w:val="20"/>
          <w:szCs w:val="20"/>
        </w:rPr>
        <w:t xml:space="preserve">of </w:t>
      </w:r>
      <w:r w:rsidRPr="0075003C">
        <w:rPr>
          <w:rFonts w:ascii="Times New Roman" w:hAnsi="Times New Roman" w:cs="Times New Roman"/>
          <w:sz w:val="20"/>
          <w:szCs w:val="20"/>
        </w:rPr>
        <w:t>techniques and no testing of the accuracy of conclusions and opinions proffered by forensic ‘experts’</w:t>
      </w:r>
      <w:r>
        <w:rPr>
          <w:rFonts w:ascii="Times New Roman" w:hAnsi="Times New Roman" w:cs="Times New Roman"/>
          <w:sz w:val="20"/>
          <w:szCs w:val="20"/>
        </w:rPr>
        <w:t>,</w:t>
      </w:r>
      <w:r w:rsidRPr="0075003C">
        <w:rPr>
          <w:rFonts w:ascii="Times New Roman" w:hAnsi="Times New Roman" w:cs="Times New Roman"/>
          <w:sz w:val="20"/>
          <w:szCs w:val="20"/>
        </w:rPr>
        <w:t xml:space="preserve"> particularly in the comparison fields. See </w:t>
      </w:r>
      <w:r w:rsidRPr="0075003C">
        <w:rPr>
          <w:rFonts w:ascii="Times New Roman" w:hAnsi="Times New Roman" w:cs="Times New Roman"/>
          <w:i/>
          <w:sz w:val="20"/>
          <w:szCs w:val="20"/>
        </w:rPr>
        <w:t>Strengthening Forensic Science in the United States: A Path Forward</w:t>
      </w:r>
      <w:r w:rsidRPr="0075003C">
        <w:rPr>
          <w:rFonts w:ascii="Times New Roman" w:hAnsi="Times New Roman" w:cs="Times New Roman"/>
          <w:sz w:val="20"/>
          <w:szCs w:val="20"/>
        </w:rPr>
        <w:t xml:space="preserve"> (National Research Council, National Academy of Sciences, 2009); </w:t>
      </w:r>
      <w:r w:rsidRPr="0075003C">
        <w:rPr>
          <w:rFonts w:ascii="Times New Roman" w:hAnsi="Times New Roman" w:cs="Times New Roman"/>
          <w:i/>
          <w:sz w:val="20"/>
          <w:szCs w:val="20"/>
        </w:rPr>
        <w:t>Report of the Expert Working Group on Human Factors in Latent Print Analysis: Latent Print Examination and Human Factors: Improving the Practice through a Systems Approach</w:t>
      </w:r>
      <w:r w:rsidRPr="0075003C">
        <w:rPr>
          <w:rFonts w:ascii="Times New Roman" w:hAnsi="Times New Roman" w:cs="Times New Roman"/>
          <w:sz w:val="20"/>
          <w:szCs w:val="20"/>
        </w:rPr>
        <w:t xml:space="preserve"> (National Institute of Standards and Technology, National Institute of Justice (USA), February 2012); </w:t>
      </w:r>
      <w:r w:rsidRPr="0075003C">
        <w:rPr>
          <w:rFonts w:ascii="Times New Roman" w:hAnsi="Times New Roman" w:cs="Times New Roman"/>
          <w:i/>
          <w:sz w:val="20"/>
          <w:szCs w:val="20"/>
        </w:rPr>
        <w:t>The Fingerprint Inquiry Report</w:t>
      </w:r>
      <w:r w:rsidRPr="0075003C">
        <w:rPr>
          <w:rFonts w:ascii="Times New Roman" w:hAnsi="Times New Roman" w:cs="Times New Roman"/>
          <w:sz w:val="20"/>
          <w:szCs w:val="20"/>
        </w:rPr>
        <w:t xml:space="preserve"> ‘Lord Campbell’s Report’ (The Fingerprint Inquiry (Scotland), 14 December 2011, </w:t>
      </w:r>
      <w:hyperlink r:id="rId2" w:history="1">
        <w:r w:rsidRPr="0075003C">
          <w:rPr>
            <w:rFonts w:ascii="Times New Roman" w:hAnsi="Times New Roman" w:cs="Times New Roman"/>
            <w:sz w:val="20"/>
            <w:szCs w:val="20"/>
          </w:rPr>
          <w:t>http://www.thefingerprintinquiryscotland.org.uk/inquiry/3127-2.html</w:t>
        </w:r>
      </w:hyperlink>
      <w:r w:rsidRPr="0075003C">
        <w:rPr>
          <w:rFonts w:ascii="Times New Roman" w:hAnsi="Times New Roman" w:cs="Times New Roman"/>
          <w:sz w:val="20"/>
          <w:szCs w:val="20"/>
        </w:rPr>
        <w:t xml:space="preserve">, accessed 13 March 2013) and the report of the Goudge Inquiry: </w:t>
      </w:r>
      <w:r w:rsidRPr="0075003C">
        <w:rPr>
          <w:rFonts w:ascii="Times New Roman" w:hAnsi="Times New Roman" w:cs="Times New Roman"/>
          <w:i/>
          <w:sz w:val="20"/>
          <w:szCs w:val="20"/>
        </w:rPr>
        <w:t>Report of the Inquiry into Pediatric Forensic Pathology in Ontario</w:t>
      </w:r>
    </w:p>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Fonts w:ascii="Times New Roman" w:hAnsi="Times New Roman" w:cs="Times New Roman"/>
          <w:sz w:val="20"/>
          <w:szCs w:val="20"/>
        </w:rPr>
        <w:t xml:space="preserve">(Queens Printer, 2008). For discussion, see, for example: Paul C. Giannelli, “The 2009 NAS Forensic Science Report: A Literature Review” (2012) 48 </w:t>
      </w:r>
      <w:r w:rsidRPr="0075003C">
        <w:rPr>
          <w:rFonts w:ascii="Times New Roman" w:hAnsi="Times New Roman" w:cs="Times New Roman"/>
          <w:i/>
          <w:sz w:val="20"/>
          <w:szCs w:val="20"/>
        </w:rPr>
        <w:t>Criminal Law Bulletin</w:t>
      </w:r>
      <w:r>
        <w:rPr>
          <w:rFonts w:ascii="Times New Roman" w:hAnsi="Times New Roman" w:cs="Times New Roman"/>
          <w:sz w:val="20"/>
          <w:szCs w:val="20"/>
        </w:rPr>
        <w:t xml:space="preserve"> 378; Gary Edmond, “Is Reliability S</w:t>
      </w:r>
      <w:r w:rsidRPr="0075003C">
        <w:rPr>
          <w:rFonts w:ascii="Times New Roman" w:hAnsi="Times New Roman" w:cs="Times New Roman"/>
          <w:sz w:val="20"/>
          <w:szCs w:val="20"/>
        </w:rPr>
        <w:t>ufficient? Th</w:t>
      </w:r>
      <w:r>
        <w:rPr>
          <w:rFonts w:ascii="Times New Roman" w:hAnsi="Times New Roman" w:cs="Times New Roman"/>
          <w:sz w:val="20"/>
          <w:szCs w:val="20"/>
        </w:rPr>
        <w:t>e Law Commission and Expert Evidence in International and Interdisciplinary P</w:t>
      </w:r>
      <w:r w:rsidRPr="0075003C">
        <w:rPr>
          <w:rFonts w:ascii="Times New Roman" w:hAnsi="Times New Roman" w:cs="Times New Roman"/>
          <w:sz w:val="20"/>
          <w:szCs w:val="20"/>
        </w:rPr>
        <w:t xml:space="preserve">erspective” (2012) 16 </w:t>
      </w:r>
      <w:r w:rsidRPr="0075003C">
        <w:rPr>
          <w:rFonts w:ascii="Times New Roman" w:hAnsi="Times New Roman" w:cs="Times New Roman"/>
          <w:i/>
          <w:sz w:val="20"/>
          <w:szCs w:val="20"/>
        </w:rPr>
        <w:t>International Journal of Evidence &amp; Proof</w:t>
      </w:r>
      <w:r w:rsidRPr="0075003C">
        <w:rPr>
          <w:rFonts w:ascii="Times New Roman" w:hAnsi="Times New Roman" w:cs="Times New Roman"/>
          <w:sz w:val="20"/>
          <w:szCs w:val="20"/>
        </w:rPr>
        <w:t xml:space="preserve"> 30; Gary Edmond and Kent Roach, “A Contextual Approach to the Admissibility of the State's Forensic Science and Medical Evidence” (2011) 61 </w:t>
      </w:r>
      <w:r w:rsidRPr="0075003C">
        <w:rPr>
          <w:rFonts w:ascii="Times New Roman" w:hAnsi="Times New Roman" w:cs="Times New Roman"/>
          <w:i/>
          <w:sz w:val="20"/>
          <w:szCs w:val="20"/>
        </w:rPr>
        <w:t>University of Toronto Law Journal</w:t>
      </w:r>
      <w:r>
        <w:rPr>
          <w:rFonts w:ascii="Times New Roman" w:hAnsi="Times New Roman" w:cs="Times New Roman"/>
          <w:sz w:val="20"/>
          <w:szCs w:val="20"/>
        </w:rPr>
        <w:t xml:space="preserve"> 343; and Simon Cole, “Who S</w:t>
      </w:r>
      <w:r w:rsidRPr="0075003C">
        <w:rPr>
          <w:rFonts w:ascii="Times New Roman" w:hAnsi="Times New Roman" w:cs="Times New Roman"/>
          <w:sz w:val="20"/>
          <w:szCs w:val="20"/>
        </w:rPr>
        <w:t xml:space="preserve">peaks for </w:t>
      </w:r>
      <w:r>
        <w:rPr>
          <w:rFonts w:ascii="Times New Roman" w:hAnsi="Times New Roman" w:cs="Times New Roman"/>
          <w:sz w:val="20"/>
          <w:szCs w:val="20"/>
        </w:rPr>
        <w:t>Science? A R</w:t>
      </w:r>
      <w:r w:rsidRPr="0075003C">
        <w:rPr>
          <w:rFonts w:ascii="Times New Roman" w:hAnsi="Times New Roman" w:cs="Times New Roman"/>
          <w:sz w:val="20"/>
          <w:szCs w:val="20"/>
        </w:rPr>
        <w:t xml:space="preserve">esponse to the National </w:t>
      </w:r>
      <w:r>
        <w:rPr>
          <w:rFonts w:ascii="Times New Roman" w:hAnsi="Times New Roman" w:cs="Times New Roman"/>
          <w:sz w:val="20"/>
          <w:szCs w:val="20"/>
        </w:rPr>
        <w:t>Academy of Sciences’ Report on Forensic S</w:t>
      </w:r>
      <w:r w:rsidRPr="0075003C">
        <w:rPr>
          <w:rFonts w:ascii="Times New Roman" w:hAnsi="Times New Roman" w:cs="Times New Roman"/>
          <w:sz w:val="20"/>
          <w:szCs w:val="20"/>
        </w:rPr>
        <w:t xml:space="preserve">cience” (2010) 9(1) </w:t>
      </w:r>
      <w:r w:rsidRPr="0075003C">
        <w:rPr>
          <w:rFonts w:ascii="Times New Roman" w:hAnsi="Times New Roman" w:cs="Times New Roman"/>
          <w:i/>
          <w:sz w:val="20"/>
          <w:szCs w:val="20"/>
        </w:rPr>
        <w:t>Law, Probability and Risk</w:t>
      </w:r>
      <w:r w:rsidRPr="0075003C">
        <w:rPr>
          <w:rFonts w:ascii="Times New Roman" w:hAnsi="Times New Roman" w:cs="Times New Roman"/>
          <w:sz w:val="20"/>
          <w:szCs w:val="20"/>
        </w:rPr>
        <w:t xml:space="preserve"> 25. A striking feature of recent Australian cases, even those that have rejected the admissibility of the comparison evidence proffered by the Crown such </w:t>
      </w:r>
      <w:r w:rsidRPr="0075003C">
        <w:rPr>
          <w:rFonts w:ascii="Times New Roman" w:hAnsi="Times New Roman" w:cs="Times New Roman"/>
          <w:i/>
          <w:sz w:val="20"/>
          <w:szCs w:val="20"/>
        </w:rPr>
        <w:t>Morgan v The Queen</w:t>
      </w:r>
      <w:r w:rsidRPr="0075003C">
        <w:rPr>
          <w:rFonts w:ascii="Times New Roman" w:hAnsi="Times New Roman" w:cs="Times New Roman"/>
          <w:sz w:val="20"/>
          <w:szCs w:val="20"/>
        </w:rPr>
        <w:t xml:space="preserve"> [2011] NSWCCA 257, or the cases discussed below that have overturned convictions based on flawed expert testimony, is the </w:t>
      </w:r>
      <w:r w:rsidRPr="0075003C">
        <w:rPr>
          <w:rFonts w:ascii="Times New Roman" w:hAnsi="Times New Roman" w:cs="Times New Roman"/>
          <w:i/>
          <w:sz w:val="20"/>
          <w:szCs w:val="20"/>
        </w:rPr>
        <w:t>lack</w:t>
      </w:r>
      <w:r w:rsidRPr="0075003C">
        <w:rPr>
          <w:rFonts w:ascii="Times New Roman" w:hAnsi="Times New Roman" w:cs="Times New Roman"/>
          <w:sz w:val="20"/>
          <w:szCs w:val="20"/>
        </w:rPr>
        <w:t xml:space="preserve"> of reference to contemporary research and reports. Compare the US experience where the report was </w:t>
      </w:r>
      <w:r w:rsidR="00B96819">
        <w:rPr>
          <w:rFonts w:ascii="Times New Roman" w:hAnsi="Times New Roman" w:cs="Times New Roman"/>
          <w:sz w:val="20"/>
          <w:szCs w:val="20"/>
        </w:rPr>
        <w:t xml:space="preserve">at least </w:t>
      </w:r>
      <w:r w:rsidRPr="0075003C">
        <w:rPr>
          <w:rFonts w:ascii="Times New Roman" w:hAnsi="Times New Roman" w:cs="Times New Roman"/>
          <w:sz w:val="20"/>
          <w:szCs w:val="20"/>
        </w:rPr>
        <w:t xml:space="preserve">cited within three months of its publication: see Giannelli, above. See also Stuart Washington, “Tainted evidence in the dock”, </w:t>
      </w:r>
      <w:r w:rsidRPr="0075003C">
        <w:rPr>
          <w:rFonts w:ascii="Times New Roman" w:hAnsi="Times New Roman" w:cs="Times New Roman"/>
          <w:i/>
          <w:sz w:val="20"/>
          <w:szCs w:val="20"/>
        </w:rPr>
        <w:t>The Sydney Morning Herald News Review</w:t>
      </w:r>
      <w:r>
        <w:rPr>
          <w:rFonts w:ascii="Times New Roman" w:hAnsi="Times New Roman" w:cs="Times New Roman"/>
          <w:sz w:val="20"/>
          <w:szCs w:val="20"/>
        </w:rPr>
        <w:t xml:space="preserve"> (online), 17 December</w:t>
      </w:r>
      <w:r w:rsidRPr="0075003C">
        <w:rPr>
          <w:rFonts w:ascii="Times New Roman" w:hAnsi="Times New Roman" w:cs="Times New Roman"/>
          <w:sz w:val="20"/>
          <w:szCs w:val="20"/>
        </w:rPr>
        <w:t xml:space="preserve"> 2011 (</w:t>
      </w:r>
      <w:hyperlink r:id="rId3" w:history="1">
        <w:r w:rsidRPr="00B4372A">
          <w:rPr>
            <w:rStyle w:val="Hyperlink"/>
            <w:rFonts w:ascii="Times New Roman" w:hAnsi="Times New Roman" w:cs="Times New Roman"/>
            <w:sz w:val="20"/>
            <w:szCs w:val="20"/>
          </w:rPr>
          <w:t>http://www.smh.com.au/nsw/tainted-evidence-science-in-the-dock-20111216-1oyn7.html</w:t>
        </w:r>
      </w:hyperlink>
      <w:r w:rsidRPr="0075003C">
        <w:rPr>
          <w:rFonts w:ascii="Times New Roman" w:hAnsi="Times New Roman" w:cs="Times New Roman"/>
          <w:sz w:val="20"/>
          <w:szCs w:val="20"/>
        </w:rPr>
        <w:t>, accessed 23 March 2013) and Stuart Washington, “Appeals spark concern over use of scientific evidence”</w:t>
      </w:r>
      <w:r>
        <w:rPr>
          <w:rFonts w:ascii="Times New Roman" w:hAnsi="Times New Roman" w:cs="Times New Roman"/>
          <w:sz w:val="20"/>
          <w:szCs w:val="20"/>
        </w:rPr>
        <w:t>,</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The Sydney Morning Herald</w:t>
      </w:r>
      <w:r>
        <w:rPr>
          <w:rFonts w:ascii="Times New Roman" w:hAnsi="Times New Roman" w:cs="Times New Roman"/>
          <w:sz w:val="20"/>
          <w:szCs w:val="20"/>
        </w:rPr>
        <w:t xml:space="preserve"> (online), 17 December</w:t>
      </w:r>
      <w:r w:rsidRPr="0075003C">
        <w:rPr>
          <w:rFonts w:ascii="Times New Roman" w:hAnsi="Times New Roman" w:cs="Times New Roman"/>
          <w:sz w:val="20"/>
          <w:szCs w:val="20"/>
        </w:rPr>
        <w:t xml:space="preserve"> 2011</w:t>
      </w:r>
    </w:p>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Fonts w:ascii="Times New Roman" w:hAnsi="Times New Roman" w:cs="Times New Roman"/>
          <w:sz w:val="20"/>
          <w:szCs w:val="20"/>
        </w:rPr>
        <w:t>(</w:t>
      </w:r>
      <w:hyperlink r:id="rId4" w:history="1">
        <w:r w:rsidRPr="00B4372A">
          <w:rPr>
            <w:rStyle w:val="Hyperlink"/>
            <w:rFonts w:ascii="Times New Roman" w:hAnsi="Times New Roman" w:cs="Times New Roman"/>
            <w:sz w:val="20"/>
            <w:szCs w:val="20"/>
          </w:rPr>
          <w:t>http://www.smh.com.au/technology/sci-tech/appeals-spark-concern-over-use-of-scientific-evidence-20111216-1oyjb.html</w:t>
        </w:r>
      </w:hyperlink>
      <w:r w:rsidRPr="0075003C">
        <w:rPr>
          <w:rFonts w:ascii="Times New Roman" w:hAnsi="Times New Roman" w:cs="Times New Roman"/>
          <w:sz w:val="20"/>
          <w:szCs w:val="20"/>
        </w:rPr>
        <w:t>, accessed 23 March 2013).</w:t>
      </w:r>
    </w:p>
  </w:footnote>
  <w:footnote w:id="6">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While these recent cases, particularly in New South Wales, have thrown into sharp relief problems with the forensic sciences more broadly, the most high profile Australian miscarriage of justice that sits ever present in the background is the </w:t>
      </w:r>
      <w:r w:rsidRPr="0075003C">
        <w:rPr>
          <w:rFonts w:ascii="Times New Roman" w:hAnsi="Times New Roman" w:cs="Times New Roman"/>
          <w:i/>
          <w:sz w:val="20"/>
          <w:szCs w:val="20"/>
        </w:rPr>
        <w:t>Chamberlain</w:t>
      </w:r>
      <w:r>
        <w:rPr>
          <w:rFonts w:ascii="Times New Roman" w:hAnsi="Times New Roman" w:cs="Times New Roman"/>
          <w:sz w:val="20"/>
          <w:szCs w:val="20"/>
        </w:rPr>
        <w:t xml:space="preserve"> case,</w:t>
      </w:r>
      <w:r w:rsidRPr="0075003C">
        <w:rPr>
          <w:rFonts w:ascii="Times New Roman" w:hAnsi="Times New Roman" w:cs="Times New Roman"/>
          <w:sz w:val="20"/>
          <w:szCs w:val="20"/>
        </w:rPr>
        <w:t xml:space="preserve"> a conviction based on, among other things, suspect and flawed expert evidence and accompanied by media/popular narratives that judged Chamberlain’s behaviour to be inconsistent with innocence. Notable in this case was the failure of subsequent appellate review, with the High Court confirming Chamberlain’s conviction, </w:t>
      </w:r>
      <w:r w:rsidRPr="0075003C">
        <w:rPr>
          <w:rFonts w:ascii="Times New Roman" w:hAnsi="Times New Roman" w:cs="Times New Roman"/>
          <w:i/>
          <w:sz w:val="20"/>
          <w:szCs w:val="20"/>
        </w:rPr>
        <w:t>despite</w:t>
      </w:r>
      <w:r w:rsidRPr="0075003C">
        <w:rPr>
          <w:rFonts w:ascii="Times New Roman" w:hAnsi="Times New Roman" w:cs="Times New Roman"/>
          <w:sz w:val="20"/>
          <w:szCs w:val="20"/>
        </w:rPr>
        <w:t xml:space="preserve"> being aware of the shortcomings in the expert evidence. On </w:t>
      </w:r>
      <w:r w:rsidRPr="0075003C">
        <w:rPr>
          <w:rFonts w:ascii="Times New Roman" w:hAnsi="Times New Roman" w:cs="Times New Roman"/>
          <w:i/>
          <w:sz w:val="20"/>
          <w:szCs w:val="20"/>
        </w:rPr>
        <w:t>Chamberlain</w:t>
      </w:r>
      <w:r w:rsidRPr="0075003C">
        <w:rPr>
          <w:rFonts w:ascii="Times New Roman" w:hAnsi="Times New Roman" w:cs="Times New Roman"/>
          <w:sz w:val="20"/>
          <w:szCs w:val="20"/>
        </w:rPr>
        <w:t>, see, Deborah Staines, Michelle Arrow and Katherine Biber</w:t>
      </w:r>
      <w:r w:rsidRPr="0075003C">
        <w:rPr>
          <w:rFonts w:ascii="Times New Roman" w:hAnsi="Times New Roman" w:cs="Times New Roman"/>
          <w:i/>
          <w:sz w:val="20"/>
          <w:szCs w:val="20"/>
        </w:rPr>
        <w:t xml:space="preserve"> </w:t>
      </w:r>
      <w:r w:rsidRPr="0075003C">
        <w:rPr>
          <w:rFonts w:ascii="Times New Roman" w:hAnsi="Times New Roman" w:cs="Times New Roman"/>
          <w:sz w:val="20"/>
          <w:szCs w:val="20"/>
        </w:rPr>
        <w:t>(eds),</w:t>
      </w:r>
      <w:r w:rsidRPr="0075003C">
        <w:rPr>
          <w:rFonts w:ascii="Times New Roman" w:hAnsi="Times New Roman" w:cs="Times New Roman"/>
          <w:i/>
          <w:sz w:val="20"/>
          <w:szCs w:val="20"/>
        </w:rPr>
        <w:t xml:space="preserve"> The Chamberlain Case: Nation, Law, Memory </w:t>
      </w:r>
      <w:r w:rsidRPr="0075003C">
        <w:rPr>
          <w:rFonts w:ascii="Times New Roman" w:hAnsi="Times New Roman" w:cs="Times New Roman"/>
          <w:sz w:val="20"/>
          <w:szCs w:val="20"/>
        </w:rPr>
        <w:t>(Australian Scholarly Publishing, 2009).</w:t>
      </w:r>
    </w:p>
  </w:footnote>
  <w:footnote w:id="7">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Pr>
          <w:rFonts w:ascii="Times New Roman" w:hAnsi="Times New Roman" w:cs="Times New Roman"/>
          <w:sz w:val="20"/>
          <w:szCs w:val="20"/>
        </w:rPr>
        <w:t xml:space="preserve">This is taking into account </w:t>
      </w:r>
      <w:r w:rsidRPr="0075003C">
        <w:rPr>
          <w:rFonts w:ascii="Times New Roman" w:hAnsi="Times New Roman" w:cs="Times New Roman"/>
          <w:sz w:val="20"/>
          <w:szCs w:val="20"/>
        </w:rPr>
        <w:t xml:space="preserve">that the most </w:t>
      </w:r>
      <w:r w:rsidRPr="0075003C">
        <w:rPr>
          <w:rFonts w:ascii="Times New Roman" w:hAnsi="Times New Roman" w:cs="Times New Roman"/>
          <w:i/>
          <w:sz w:val="20"/>
          <w:szCs w:val="20"/>
        </w:rPr>
        <w:t>obvious</w:t>
      </w:r>
      <w:r w:rsidRPr="0075003C">
        <w:rPr>
          <w:rFonts w:ascii="Times New Roman" w:hAnsi="Times New Roman" w:cs="Times New Roman"/>
          <w:sz w:val="20"/>
          <w:szCs w:val="20"/>
        </w:rPr>
        <w:t xml:space="preserve"> element of the case against Folbigg, relied on both to ground her conviction</w:t>
      </w:r>
      <w:r w:rsidR="008E29FA">
        <w:rPr>
          <w:rFonts w:ascii="Times New Roman" w:hAnsi="Times New Roman" w:cs="Times New Roman"/>
          <w:sz w:val="20"/>
          <w:szCs w:val="20"/>
        </w:rPr>
        <w:t>,</w:t>
      </w:r>
      <w:r w:rsidRPr="0075003C">
        <w:rPr>
          <w:rFonts w:ascii="Times New Roman" w:hAnsi="Times New Roman" w:cs="Times New Roman"/>
          <w:sz w:val="20"/>
          <w:szCs w:val="20"/>
        </w:rPr>
        <w:t xml:space="preserve"> and to distinguish her conviction from other comparable cases, was the </w:t>
      </w:r>
      <w:r w:rsidR="008E29FA">
        <w:rPr>
          <w:rFonts w:ascii="Times New Roman" w:hAnsi="Times New Roman" w:cs="Times New Roman"/>
          <w:sz w:val="20"/>
          <w:szCs w:val="20"/>
        </w:rPr>
        <w:t>dependence</w:t>
      </w:r>
      <w:r w:rsidR="008E29FA" w:rsidRPr="0075003C">
        <w:rPr>
          <w:rFonts w:ascii="Times New Roman" w:hAnsi="Times New Roman" w:cs="Times New Roman"/>
          <w:sz w:val="20"/>
          <w:szCs w:val="20"/>
        </w:rPr>
        <w:t xml:space="preserve"> </w:t>
      </w:r>
      <w:r w:rsidRPr="0075003C">
        <w:rPr>
          <w:rFonts w:ascii="Times New Roman" w:hAnsi="Times New Roman" w:cs="Times New Roman"/>
          <w:sz w:val="20"/>
          <w:szCs w:val="20"/>
        </w:rPr>
        <w:t>on her diaries, containing passages that were interpreted as incri</w:t>
      </w:r>
      <w:r>
        <w:rPr>
          <w:rFonts w:ascii="Times New Roman" w:hAnsi="Times New Roman" w:cs="Times New Roman"/>
          <w:sz w:val="20"/>
          <w:szCs w:val="20"/>
        </w:rPr>
        <w:t>minating admissions. This allowed the courts to side-</w:t>
      </w:r>
      <w:r w:rsidRPr="0075003C">
        <w:rPr>
          <w:rFonts w:ascii="Times New Roman" w:hAnsi="Times New Roman" w:cs="Times New Roman"/>
          <w:sz w:val="20"/>
          <w:szCs w:val="20"/>
        </w:rPr>
        <w:t xml:space="preserve">step questions about the medical evidence as well as the full implications of the decisions in other jurisdictions quashing the convictions of mothers who had been initially convicted of the murder of their children, the most significant being </w:t>
      </w:r>
      <w:r w:rsidRPr="0075003C">
        <w:rPr>
          <w:rFonts w:ascii="Times New Roman" w:hAnsi="Times New Roman" w:cs="Times New Roman"/>
          <w:i/>
          <w:sz w:val="20"/>
          <w:szCs w:val="20"/>
        </w:rPr>
        <w:t>R v Cannings</w:t>
      </w:r>
      <w:r>
        <w:rPr>
          <w:rFonts w:ascii="Times New Roman" w:hAnsi="Times New Roman" w:cs="Times New Roman"/>
          <w:sz w:val="20"/>
          <w:szCs w:val="20"/>
        </w:rPr>
        <w:t xml:space="preserve"> [2004] EWCA</w:t>
      </w:r>
      <w:r w:rsidRPr="0075003C">
        <w:rPr>
          <w:rFonts w:ascii="Times New Roman" w:hAnsi="Times New Roman" w:cs="Times New Roman"/>
          <w:sz w:val="20"/>
          <w:szCs w:val="20"/>
        </w:rPr>
        <w:t xml:space="preserve"> Crim 1 and </w:t>
      </w:r>
      <w:r w:rsidRPr="0075003C">
        <w:rPr>
          <w:rFonts w:ascii="Times New Roman" w:hAnsi="Times New Roman" w:cs="Times New Roman"/>
          <w:i/>
          <w:sz w:val="20"/>
          <w:szCs w:val="20"/>
        </w:rPr>
        <w:t>R v Clarke</w:t>
      </w:r>
      <w:r>
        <w:rPr>
          <w:rFonts w:ascii="Times New Roman" w:hAnsi="Times New Roman" w:cs="Times New Roman"/>
          <w:sz w:val="20"/>
          <w:szCs w:val="20"/>
        </w:rPr>
        <w:t xml:space="preserve"> [</w:t>
      </w:r>
      <w:r w:rsidRPr="0075003C">
        <w:rPr>
          <w:rFonts w:ascii="Times New Roman" w:hAnsi="Times New Roman" w:cs="Times New Roman"/>
          <w:sz w:val="20"/>
          <w:szCs w:val="20"/>
        </w:rPr>
        <w:t xml:space="preserve">2003] EWCA Crim1020. This is clear in all of the decisions relating to her case, including the 2005 appellate decision that upheld her conviction, and in the hearing in </w:t>
      </w:r>
      <w:r>
        <w:rPr>
          <w:rFonts w:ascii="Times New Roman" w:hAnsi="Times New Roman" w:cs="Times New Roman"/>
          <w:sz w:val="20"/>
          <w:szCs w:val="20"/>
        </w:rPr>
        <w:t xml:space="preserve">the </w:t>
      </w:r>
      <w:r w:rsidRPr="0075003C">
        <w:rPr>
          <w:rFonts w:ascii="Times New Roman" w:hAnsi="Times New Roman" w:cs="Times New Roman"/>
          <w:sz w:val="20"/>
          <w:szCs w:val="20"/>
        </w:rPr>
        <w:t>High Court when her application for Special Leave was refused. Briefing advice in 2004 (from the Criminal Law Review Division, presumably for the NSW Attorney General) also emphasised the significance of the diaries when offering a reassurance that the emerging scandal concerning the wrongful convictions of Sally Clarke and Angela Cannings would not affect the case against Folbigg. While superficially the diaries appeared as independent evidence of guilt, as Emma’s account makes clear, this incriminating reading of the diar</w:t>
      </w:r>
      <w:r>
        <w:rPr>
          <w:rFonts w:ascii="Times New Roman" w:hAnsi="Times New Roman" w:cs="Times New Roman"/>
          <w:sz w:val="20"/>
          <w:szCs w:val="20"/>
        </w:rPr>
        <w:t>ies does not sit in isolation from</w:t>
      </w:r>
      <w:r w:rsidRPr="0075003C">
        <w:rPr>
          <w:rFonts w:ascii="Times New Roman" w:hAnsi="Times New Roman" w:cs="Times New Roman"/>
          <w:sz w:val="20"/>
          <w:szCs w:val="20"/>
        </w:rPr>
        <w:t xml:space="preserve"> the gendered narratives and norms brought to bear on Folbigg, and in many respects is dependent on them. Further, it is not clear when the content of the diaries may also have been available to the experts who ultimately concluded that the Folbigg children could not have died of natural causes, though clearly by the time the case came to trial they would have been aware of the more adverse </w:t>
      </w:r>
      <w:r>
        <w:rPr>
          <w:rFonts w:ascii="Times New Roman" w:hAnsi="Times New Roman" w:cs="Times New Roman"/>
          <w:sz w:val="20"/>
          <w:szCs w:val="20"/>
        </w:rPr>
        <w:t xml:space="preserve">and damaging </w:t>
      </w:r>
      <w:r w:rsidRPr="0075003C">
        <w:rPr>
          <w:rFonts w:ascii="Times New Roman" w:hAnsi="Times New Roman" w:cs="Times New Roman"/>
          <w:sz w:val="20"/>
          <w:szCs w:val="20"/>
        </w:rPr>
        <w:t>passages.</w:t>
      </w:r>
    </w:p>
  </w:footnote>
  <w:footnote w:id="8">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bCs/>
          <w:i/>
          <w:sz w:val="20"/>
          <w:szCs w:val="20"/>
        </w:rPr>
        <w:t>R v Keli Lane</w:t>
      </w:r>
      <w:r w:rsidRPr="0075003C">
        <w:rPr>
          <w:rFonts w:ascii="Times New Roman" w:hAnsi="Times New Roman" w:cs="Times New Roman"/>
          <w:bCs/>
          <w:sz w:val="20"/>
          <w:szCs w:val="20"/>
        </w:rPr>
        <w:t xml:space="preserve"> [2011] NSWSC 289. </w:t>
      </w:r>
      <w:r w:rsidRPr="0075003C">
        <w:rPr>
          <w:rFonts w:ascii="Times New Roman" w:hAnsi="Times New Roman" w:cs="Times New Roman"/>
          <w:sz w:val="20"/>
          <w:szCs w:val="20"/>
        </w:rPr>
        <w:t>Lane lodged her appeal in April 2011.</w:t>
      </w:r>
      <w:r w:rsidR="008E29FA">
        <w:rPr>
          <w:rFonts w:ascii="Times New Roman" w:hAnsi="Times New Roman" w:cs="Times New Roman"/>
          <w:sz w:val="20"/>
          <w:szCs w:val="20"/>
        </w:rPr>
        <w:t xml:space="preserve"> </w:t>
      </w:r>
      <w:r w:rsidR="005227AE">
        <w:rPr>
          <w:rFonts w:ascii="Times New Roman" w:hAnsi="Times New Roman" w:cs="Times New Roman"/>
          <w:sz w:val="20"/>
          <w:szCs w:val="20"/>
        </w:rPr>
        <w:t>It</w:t>
      </w:r>
      <w:r w:rsidR="008E29FA">
        <w:rPr>
          <w:rFonts w:ascii="Times New Roman" w:hAnsi="Times New Roman" w:cs="Times New Roman"/>
          <w:sz w:val="20"/>
          <w:szCs w:val="20"/>
        </w:rPr>
        <w:t xml:space="preserve"> was heard by the New South Wales Court of Criminal Appeal on 23 July 2013.</w:t>
      </w:r>
      <w:r w:rsidRPr="0075003C">
        <w:rPr>
          <w:rFonts w:ascii="Times New Roman" w:hAnsi="Times New Roman" w:cs="Times New Roman"/>
          <w:sz w:val="20"/>
          <w:szCs w:val="20"/>
        </w:rPr>
        <w:t xml:space="preserve"> </w:t>
      </w:r>
      <w:r w:rsidR="008E29FA">
        <w:rPr>
          <w:rFonts w:ascii="Times New Roman" w:hAnsi="Times New Roman" w:cs="Times New Roman"/>
          <w:sz w:val="20"/>
          <w:szCs w:val="20"/>
        </w:rPr>
        <w:t xml:space="preserve">Lane’s </w:t>
      </w:r>
      <w:r w:rsidR="008E29FA" w:rsidRPr="0075003C">
        <w:rPr>
          <w:rFonts w:ascii="Times New Roman" w:hAnsi="Times New Roman" w:cs="Times New Roman"/>
          <w:sz w:val="20"/>
          <w:szCs w:val="20"/>
        </w:rPr>
        <w:t xml:space="preserve">application for bail was refused by Justice Hoeben on 28 February 2013: </w:t>
      </w:r>
      <w:r w:rsidR="008E29FA" w:rsidRPr="0075003C">
        <w:rPr>
          <w:rFonts w:ascii="Times New Roman" w:hAnsi="Times New Roman" w:cs="Times New Roman"/>
          <w:i/>
          <w:sz w:val="20"/>
          <w:szCs w:val="20"/>
        </w:rPr>
        <w:t xml:space="preserve">Keli Lane </w:t>
      </w:r>
      <w:r w:rsidR="008E29FA">
        <w:rPr>
          <w:rFonts w:ascii="Times New Roman" w:hAnsi="Times New Roman" w:cs="Times New Roman"/>
          <w:bCs/>
          <w:i/>
          <w:sz w:val="20"/>
          <w:szCs w:val="20"/>
        </w:rPr>
        <w:t>v R</w:t>
      </w:r>
      <w:r w:rsidR="008E29FA" w:rsidRPr="0075003C">
        <w:rPr>
          <w:rFonts w:ascii="Times New Roman" w:hAnsi="Times New Roman" w:cs="Times New Roman"/>
          <w:bCs/>
          <w:sz w:val="20"/>
          <w:szCs w:val="20"/>
        </w:rPr>
        <w:t xml:space="preserve"> [2013] NSWSC 146</w:t>
      </w:r>
      <w:r w:rsidR="008E29FA">
        <w:rPr>
          <w:rFonts w:ascii="Times New Roman" w:hAnsi="Times New Roman" w:cs="Times New Roman"/>
          <w:bCs/>
          <w:sz w:val="20"/>
          <w:szCs w:val="20"/>
        </w:rPr>
        <w:t xml:space="preserve">. </w:t>
      </w:r>
      <w:r w:rsidRPr="0075003C">
        <w:rPr>
          <w:rFonts w:ascii="Times New Roman" w:hAnsi="Times New Roman" w:cs="Times New Roman"/>
          <w:bCs/>
          <w:sz w:val="20"/>
          <w:szCs w:val="20"/>
        </w:rPr>
        <w:t>.</w:t>
      </w:r>
    </w:p>
  </w:footnote>
  <w:footnote w:id="9">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Wood v R</w:t>
      </w:r>
      <w:r w:rsidRPr="0075003C">
        <w:rPr>
          <w:rFonts w:ascii="Times New Roman" w:hAnsi="Times New Roman" w:cs="Times New Roman"/>
          <w:sz w:val="20"/>
          <w:szCs w:val="20"/>
        </w:rPr>
        <w:t xml:space="preserve"> [2012] NSWCCA 21. Byrne’s death was initially assumed to be suicide</w:t>
      </w:r>
      <w:r w:rsidRPr="0075003C">
        <w:rPr>
          <w:rFonts w:ascii="Times New Roman" w:hAnsi="Times New Roman" w:cs="Times New Roman"/>
          <w:sz w:val="20"/>
          <w:szCs w:val="20"/>
        </w:rPr>
        <w:softHyphen/>
      </w:r>
      <w:r w:rsidRPr="0075003C">
        <w:rPr>
          <w:rFonts w:ascii="Times New Roman" w:hAnsi="Times New Roman" w:cs="Times New Roman"/>
          <w:sz w:val="20"/>
          <w:szCs w:val="20"/>
        </w:rPr>
        <w:softHyphen/>
        <w:t>—her body was found at the base of cliffs at The Gap, a coastal area in Sydney that is an infamous suicide spot. See</w:t>
      </w:r>
      <w:r>
        <w:rPr>
          <w:rFonts w:ascii="Times New Roman" w:hAnsi="Times New Roman" w:cs="Times New Roman"/>
          <w:sz w:val="20"/>
          <w:szCs w:val="20"/>
        </w:rPr>
        <w:t>,</w:t>
      </w:r>
      <w:r w:rsidRPr="0075003C">
        <w:rPr>
          <w:rFonts w:ascii="Times New Roman" w:hAnsi="Times New Roman" w:cs="Times New Roman"/>
          <w:sz w:val="20"/>
          <w:szCs w:val="20"/>
        </w:rPr>
        <w:t xml:space="preserve"> for example, Katrina Clifford and Glenn Mitchell, “‘The Killer Point’: Contem</w:t>
      </w:r>
      <w:r>
        <w:rPr>
          <w:rFonts w:ascii="Times New Roman" w:hAnsi="Times New Roman" w:cs="Times New Roman"/>
          <w:sz w:val="20"/>
          <w:szCs w:val="20"/>
        </w:rPr>
        <w:t>porary Reconfigurations of The G</w:t>
      </w:r>
      <w:r w:rsidRPr="0075003C">
        <w:rPr>
          <w:rFonts w:ascii="Times New Roman" w:hAnsi="Times New Roman" w:cs="Times New Roman"/>
          <w:sz w:val="20"/>
          <w:szCs w:val="20"/>
        </w:rPr>
        <w:t xml:space="preserve">ap as Crime Scene” (2009) 13 </w:t>
      </w:r>
      <w:r w:rsidRPr="0075003C">
        <w:rPr>
          <w:rFonts w:ascii="Times New Roman" w:hAnsi="Times New Roman" w:cs="Times New Roman"/>
          <w:i/>
          <w:sz w:val="20"/>
          <w:szCs w:val="20"/>
        </w:rPr>
        <w:t>Law Text Culture</w:t>
      </w:r>
      <w:r w:rsidRPr="0075003C">
        <w:rPr>
          <w:rFonts w:ascii="Times New Roman" w:hAnsi="Times New Roman" w:cs="Times New Roman"/>
          <w:sz w:val="20"/>
          <w:szCs w:val="20"/>
        </w:rPr>
        <w:t xml:space="preserve"> 80. Sustained pressure from Byrne’s family, combined with the emergence of apparently independent expert evidence that indicated that the location of her body precluded a suicide jump, and instead indicated that she had been thrown from the cliff, led to Wood being extradited from the United Kingdom to face trial. Wood’s first trial was aborted after it was discovered that members of the jury had independently visited The Gap. </w:t>
      </w:r>
    </w:p>
  </w:footnote>
  <w:footnote w:id="10">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Gilham v R</w:t>
      </w:r>
      <w:r w:rsidRPr="0075003C">
        <w:rPr>
          <w:rFonts w:ascii="Times New Roman" w:hAnsi="Times New Roman" w:cs="Times New Roman"/>
          <w:sz w:val="20"/>
          <w:szCs w:val="20"/>
        </w:rPr>
        <w:t xml:space="preserve"> [2012] NSWCCA 131. The facts in Gilham are equally extraordinary. Jeffrey Gilham’s account was that his parents had been stabbed by his older brother, Christopher, and that he, Jeffrey, had come upon Christopher in the act of attempting to light a fire over the body of his mother. Jeffrey’s acc</w:t>
      </w:r>
      <w:r>
        <w:rPr>
          <w:rFonts w:ascii="Times New Roman" w:hAnsi="Times New Roman" w:cs="Times New Roman"/>
          <w:sz w:val="20"/>
          <w:szCs w:val="20"/>
        </w:rPr>
        <w:t xml:space="preserve">ount was that he had picked up </w:t>
      </w:r>
      <w:r w:rsidRPr="0075003C">
        <w:rPr>
          <w:rFonts w:ascii="Times New Roman" w:hAnsi="Times New Roman" w:cs="Times New Roman"/>
          <w:sz w:val="20"/>
          <w:szCs w:val="20"/>
        </w:rPr>
        <w:t xml:space="preserve">the </w:t>
      </w:r>
      <w:r>
        <w:rPr>
          <w:rFonts w:ascii="Times New Roman" w:hAnsi="Times New Roman" w:cs="Times New Roman"/>
          <w:sz w:val="20"/>
          <w:szCs w:val="20"/>
        </w:rPr>
        <w:t>same</w:t>
      </w:r>
      <w:r w:rsidRPr="0075003C">
        <w:rPr>
          <w:rFonts w:ascii="Times New Roman" w:hAnsi="Times New Roman" w:cs="Times New Roman"/>
          <w:sz w:val="20"/>
          <w:szCs w:val="20"/>
        </w:rPr>
        <w:t xml:space="preserve"> knife and pursued and killed his brother, before raising the alarm. Gilham pleaded guilty to the manslaughter of his brother, arguing provocation, and this plea was accepted. Much later, following a sustained campaign by Gilham’s uncle, Jeffrey Gilham was charged with the murder of his parents—the Crown case being that he had in fact killed all three members of his family. The necessary corollary of this case theory was that Gilham had deliberately set fire to the family home in order to conceal the murders, and further that he had concocted evidence that Christopher was unstable, and resentful of both his parents and his brother, as part of an elaborate, premeditated cover up. For an overview of the legal issues in these two cases see </w:t>
      </w:r>
      <w:r>
        <w:rPr>
          <w:rFonts w:ascii="Times New Roman" w:hAnsi="Times New Roman" w:cs="Times New Roman"/>
          <w:sz w:val="20"/>
          <w:szCs w:val="20"/>
        </w:rPr>
        <w:t xml:space="preserve">Gary </w:t>
      </w:r>
      <w:r>
        <w:rPr>
          <w:rFonts w:ascii="Times New Roman" w:hAnsi="Times New Roman" w:cs="Times New Roman"/>
          <w:color w:val="262626"/>
          <w:sz w:val="20"/>
          <w:szCs w:val="20"/>
        </w:rPr>
        <w:t xml:space="preserve">Edmond, David Hamer, </w:t>
      </w:r>
      <w:r w:rsidRPr="0075003C">
        <w:rPr>
          <w:rFonts w:ascii="Times New Roman" w:hAnsi="Times New Roman" w:cs="Times New Roman"/>
          <w:color w:val="262626"/>
          <w:sz w:val="20"/>
          <w:szCs w:val="20"/>
        </w:rPr>
        <w:t xml:space="preserve">and </w:t>
      </w:r>
      <w:r>
        <w:rPr>
          <w:rFonts w:ascii="Times New Roman" w:hAnsi="Times New Roman" w:cs="Times New Roman"/>
          <w:color w:val="262626"/>
          <w:sz w:val="20"/>
          <w:szCs w:val="20"/>
        </w:rPr>
        <w:t>Andrew Ligertwood, “Expert E</w:t>
      </w:r>
      <w:r w:rsidRPr="0075003C">
        <w:rPr>
          <w:rFonts w:ascii="Times New Roman" w:hAnsi="Times New Roman" w:cs="Times New Roman"/>
          <w:color w:val="262626"/>
          <w:sz w:val="20"/>
          <w:szCs w:val="20"/>
        </w:rPr>
        <w:t xml:space="preserve">vidence after </w:t>
      </w:r>
      <w:r w:rsidRPr="0075003C">
        <w:rPr>
          <w:rFonts w:ascii="Times New Roman" w:hAnsi="Times New Roman" w:cs="Times New Roman"/>
          <w:i/>
          <w:color w:val="262626"/>
          <w:sz w:val="20"/>
          <w:szCs w:val="20"/>
        </w:rPr>
        <w:t>Morgan</w:t>
      </w:r>
      <w:r w:rsidRPr="0075003C">
        <w:rPr>
          <w:rFonts w:ascii="Times New Roman" w:hAnsi="Times New Roman" w:cs="Times New Roman"/>
          <w:color w:val="262626"/>
          <w:sz w:val="20"/>
          <w:szCs w:val="20"/>
        </w:rPr>
        <w:t xml:space="preserve">, </w:t>
      </w:r>
      <w:r w:rsidRPr="0075003C">
        <w:rPr>
          <w:rFonts w:ascii="Times New Roman" w:hAnsi="Times New Roman" w:cs="Times New Roman"/>
          <w:i/>
          <w:color w:val="262626"/>
          <w:sz w:val="20"/>
          <w:szCs w:val="20"/>
        </w:rPr>
        <w:t>Wood</w:t>
      </w:r>
      <w:r w:rsidRPr="0075003C">
        <w:rPr>
          <w:rFonts w:ascii="Times New Roman" w:hAnsi="Times New Roman" w:cs="Times New Roman"/>
          <w:color w:val="262626"/>
          <w:sz w:val="20"/>
          <w:szCs w:val="20"/>
        </w:rPr>
        <w:t xml:space="preserve"> and </w:t>
      </w:r>
      <w:r>
        <w:rPr>
          <w:rFonts w:ascii="Times New Roman" w:hAnsi="Times New Roman" w:cs="Times New Roman"/>
          <w:i/>
          <w:color w:val="262626"/>
          <w:sz w:val="20"/>
          <w:szCs w:val="20"/>
        </w:rPr>
        <w:t>Gilham</w:t>
      </w:r>
      <w:r>
        <w:rPr>
          <w:rFonts w:ascii="Times New Roman" w:hAnsi="Times New Roman" w:cs="Times New Roman"/>
          <w:color w:val="262626"/>
          <w:sz w:val="20"/>
          <w:szCs w:val="20"/>
        </w:rPr>
        <w:t>”</w:t>
      </w:r>
      <w:r w:rsidRPr="0075003C">
        <w:rPr>
          <w:rFonts w:ascii="Times New Roman" w:hAnsi="Times New Roman" w:cs="Times New Roman"/>
          <w:color w:val="262626"/>
          <w:sz w:val="20"/>
          <w:szCs w:val="20"/>
        </w:rPr>
        <w:t xml:space="preserve"> (2012) 112 </w:t>
      </w:r>
      <w:r w:rsidRPr="0075003C">
        <w:rPr>
          <w:rFonts w:ascii="Times New Roman" w:hAnsi="Times New Roman" w:cs="Times New Roman"/>
          <w:i/>
          <w:iCs/>
          <w:color w:val="262626"/>
          <w:sz w:val="20"/>
          <w:szCs w:val="20"/>
        </w:rPr>
        <w:t>Precedent</w:t>
      </w:r>
      <w:r w:rsidRPr="0075003C">
        <w:rPr>
          <w:rFonts w:ascii="Times New Roman" w:hAnsi="Times New Roman" w:cs="Times New Roman"/>
          <w:color w:val="262626"/>
          <w:sz w:val="20"/>
          <w:szCs w:val="20"/>
        </w:rPr>
        <w:t xml:space="preserve"> 28.</w:t>
      </w:r>
    </w:p>
  </w:footnote>
  <w:footnote w:id="11">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See</w:t>
      </w:r>
      <w:r>
        <w:rPr>
          <w:rFonts w:ascii="Times New Roman" w:hAnsi="Times New Roman" w:cs="Times New Roman"/>
          <w:sz w:val="20"/>
          <w:szCs w:val="20"/>
        </w:rPr>
        <w:t>,</w:t>
      </w:r>
      <w:r w:rsidRPr="0075003C">
        <w:rPr>
          <w:rFonts w:ascii="Times New Roman" w:hAnsi="Times New Roman" w:cs="Times New Roman"/>
          <w:sz w:val="20"/>
          <w:szCs w:val="20"/>
        </w:rPr>
        <w:t xml:space="preserve"> for example, Gar</w:t>
      </w:r>
      <w:r>
        <w:rPr>
          <w:rFonts w:ascii="Times New Roman" w:hAnsi="Times New Roman" w:cs="Times New Roman"/>
          <w:sz w:val="20"/>
          <w:szCs w:val="20"/>
        </w:rPr>
        <w:t>y Edmond and Mehera San Roque, “</w:t>
      </w:r>
      <w:r w:rsidRPr="0075003C">
        <w:rPr>
          <w:rFonts w:ascii="Times New Roman" w:hAnsi="Times New Roman" w:cs="Times New Roman"/>
          <w:sz w:val="20"/>
          <w:szCs w:val="20"/>
        </w:rPr>
        <w:t>The Cool Crucible: Forensic Science and th</w:t>
      </w:r>
      <w:r>
        <w:rPr>
          <w:rFonts w:ascii="Times New Roman" w:hAnsi="Times New Roman" w:cs="Times New Roman"/>
          <w:sz w:val="20"/>
          <w:szCs w:val="20"/>
        </w:rPr>
        <w:t>e Frailty of the Criminal Trial”</w:t>
      </w:r>
      <w:r w:rsidRPr="0075003C">
        <w:rPr>
          <w:rFonts w:ascii="Times New Roman" w:hAnsi="Times New Roman" w:cs="Times New Roman"/>
          <w:sz w:val="20"/>
          <w:szCs w:val="20"/>
        </w:rPr>
        <w:t xml:space="preserve"> (2012) 24(1) </w:t>
      </w:r>
      <w:r w:rsidRPr="0075003C">
        <w:rPr>
          <w:rFonts w:ascii="Times New Roman" w:hAnsi="Times New Roman" w:cs="Times New Roman"/>
          <w:i/>
          <w:sz w:val="20"/>
          <w:szCs w:val="20"/>
        </w:rPr>
        <w:t>Current Issues in Criminal Justice</w:t>
      </w:r>
      <w:r w:rsidRPr="0075003C">
        <w:rPr>
          <w:rFonts w:ascii="Times New Roman" w:hAnsi="Times New Roman" w:cs="Times New Roman"/>
          <w:sz w:val="20"/>
          <w:szCs w:val="20"/>
        </w:rPr>
        <w:t xml:space="preserve"> 51. The recent AHRC inquiry into the use of discredited techniques for age determination is also worth noting here: </w:t>
      </w:r>
      <w:r>
        <w:rPr>
          <w:rFonts w:ascii="Times New Roman" w:hAnsi="Times New Roman" w:cs="Times New Roman"/>
          <w:i/>
          <w:sz w:val="20"/>
          <w:szCs w:val="20"/>
        </w:rPr>
        <w:t>An Age of Uncertainty: Inquiry into the Treatment of Individuals Suspected of People Smuggling Offences Who Say they are C</w:t>
      </w:r>
      <w:r w:rsidRPr="0075003C">
        <w:rPr>
          <w:rFonts w:ascii="Times New Roman" w:hAnsi="Times New Roman" w:cs="Times New Roman"/>
          <w:i/>
          <w:sz w:val="20"/>
          <w:szCs w:val="20"/>
        </w:rPr>
        <w:t>hildren</w:t>
      </w:r>
      <w:r w:rsidRPr="0075003C">
        <w:rPr>
          <w:rFonts w:ascii="Times New Roman" w:hAnsi="Times New Roman" w:cs="Times New Roman"/>
          <w:sz w:val="20"/>
          <w:szCs w:val="20"/>
        </w:rPr>
        <w:t xml:space="preserve"> (Australian Human Rights Commission, 2012). See also the reopening of the case against David Eastman, convicted in 1995 of the murder of a senior police officer, in part because of fresh concerns relating to the expert evidence proffered at the trial. See Louis Andrews, “Eastman gets his new day in court”</w:t>
      </w:r>
      <w:r>
        <w:rPr>
          <w:rFonts w:ascii="Times New Roman" w:hAnsi="Times New Roman" w:cs="Times New Roman"/>
          <w:sz w:val="20"/>
          <w:szCs w:val="20"/>
        </w:rPr>
        <w:t>,</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The</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Canberra Times</w:t>
      </w:r>
      <w:r w:rsidRPr="0075003C">
        <w:rPr>
          <w:rFonts w:ascii="Times New Roman" w:hAnsi="Times New Roman" w:cs="Times New Roman"/>
          <w:sz w:val="20"/>
          <w:szCs w:val="20"/>
        </w:rPr>
        <w:t xml:space="preserve">, </w:t>
      </w:r>
      <w:r>
        <w:rPr>
          <w:rFonts w:ascii="Times New Roman" w:hAnsi="Times New Roman" w:cs="Times New Roman"/>
          <w:sz w:val="20"/>
          <w:szCs w:val="20"/>
        </w:rPr>
        <w:t xml:space="preserve">11 August </w:t>
      </w:r>
      <w:r w:rsidRPr="0075003C">
        <w:rPr>
          <w:rFonts w:ascii="Times New Roman" w:hAnsi="Times New Roman" w:cs="Times New Roman"/>
          <w:sz w:val="20"/>
          <w:szCs w:val="20"/>
        </w:rPr>
        <w:t>2012, 1, 4 and B1.</w:t>
      </w:r>
    </w:p>
  </w:footnote>
  <w:footnote w:id="12">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The appellate court was highly critical of the expert evidence presented by Associate Professor Rod Cross that underpinned the Crown case that Byrne had been thrown from the cliff. In particular, what emerged on appeal was not only the weaknesses in the evidence itself, but also the fact that Cross had inserted himself into the investigation, and prosecution, of the case in a way that overstepped the boundaries of expert impartiality and </w:t>
      </w:r>
      <w:r>
        <w:rPr>
          <w:rFonts w:ascii="Times New Roman" w:hAnsi="Times New Roman" w:cs="Times New Roman"/>
          <w:sz w:val="20"/>
          <w:szCs w:val="20"/>
        </w:rPr>
        <w:t>by implication</w:t>
      </w:r>
      <w:r w:rsidRPr="0075003C">
        <w:rPr>
          <w:rFonts w:ascii="Times New Roman" w:hAnsi="Times New Roman" w:cs="Times New Roman"/>
          <w:sz w:val="20"/>
          <w:szCs w:val="20"/>
        </w:rPr>
        <w:t xml:space="preserve"> breac</w:t>
      </w:r>
      <w:r>
        <w:rPr>
          <w:rFonts w:ascii="Times New Roman" w:hAnsi="Times New Roman" w:cs="Times New Roman"/>
          <w:sz w:val="20"/>
          <w:szCs w:val="20"/>
        </w:rPr>
        <w:t xml:space="preserve">hed the Expert Code of Conduct: see </w:t>
      </w:r>
      <w:r w:rsidRPr="0075003C">
        <w:rPr>
          <w:rFonts w:ascii="Times New Roman" w:hAnsi="Times New Roman" w:cs="Times New Roman"/>
          <w:i/>
          <w:sz w:val="20"/>
          <w:szCs w:val="20"/>
        </w:rPr>
        <w:t>Wood</w:t>
      </w:r>
      <w:r>
        <w:rPr>
          <w:rFonts w:ascii="Times New Roman" w:hAnsi="Times New Roman" w:cs="Times New Roman"/>
          <w:sz w:val="20"/>
          <w:szCs w:val="20"/>
        </w:rPr>
        <w:t>,</w:t>
      </w:r>
      <w:r w:rsidRPr="0075003C">
        <w:rPr>
          <w:rFonts w:ascii="Times New Roman" w:hAnsi="Times New Roman" w:cs="Times New Roman"/>
          <w:sz w:val="20"/>
          <w:szCs w:val="20"/>
        </w:rPr>
        <w:t xml:space="preserve"> above n </w:t>
      </w:r>
      <w:r>
        <w:rPr>
          <w:rFonts w:ascii="Times New Roman" w:hAnsi="Times New Roman" w:cs="Times New Roman"/>
          <w:sz w:val="20"/>
          <w:szCs w:val="20"/>
        </w:rPr>
        <w:t>8, [715] ff.</w:t>
      </w:r>
      <w:r w:rsidRPr="0075003C">
        <w:rPr>
          <w:rFonts w:ascii="Times New Roman" w:hAnsi="Times New Roman" w:cs="Times New Roman"/>
          <w:sz w:val="20"/>
          <w:szCs w:val="20"/>
        </w:rPr>
        <w:t xml:space="preserve"> Despite </w:t>
      </w:r>
      <w:r>
        <w:rPr>
          <w:rFonts w:ascii="Times New Roman" w:hAnsi="Times New Roman" w:cs="Times New Roman"/>
          <w:sz w:val="20"/>
          <w:szCs w:val="20"/>
        </w:rPr>
        <w:t>this, the appeal court appears to have accepted that neither the breach nor the apparent weaknesses rendered his evidence inadmissible. A video that includes an interview with Cross and footage of one of the experiments—male police officers throwing (compliant) female officers into a swimming pool</w:t>
      </w:r>
      <w:r>
        <w:rPr>
          <w:rFonts w:ascii="Times New Roman" w:hAnsi="Times New Roman" w:cs="Times New Roman"/>
          <w:sz w:val="20"/>
          <w:szCs w:val="20"/>
        </w:rPr>
        <w:softHyphen/>
        <w:t xml:space="preserve">—can be viewed at </w:t>
      </w:r>
      <w:hyperlink r:id="rId5" w:history="1">
        <w:r w:rsidRPr="00AB65EE">
          <w:rPr>
            <w:rStyle w:val="Hyperlink"/>
            <w:rFonts w:ascii="Times New Roman" w:hAnsi="Times New Roman" w:cs="Times New Roman"/>
            <w:sz w:val="20"/>
            <w:szCs w:val="20"/>
          </w:rPr>
          <w:t>http://www.smh.com.au/nsw/trial-expert-stands-firm-as-judge-questions-impartiality-20120225-1tv48.html</w:t>
        </w:r>
      </w:hyperlink>
      <w:r>
        <w:rPr>
          <w:rFonts w:ascii="Times New Roman" w:hAnsi="Times New Roman" w:cs="Times New Roman"/>
          <w:sz w:val="20"/>
          <w:szCs w:val="20"/>
        </w:rPr>
        <w:t xml:space="preserve"> (accessed 29 March 2013).  </w:t>
      </w:r>
      <w:r w:rsidRPr="0075003C">
        <w:rPr>
          <w:rFonts w:ascii="Times New Roman" w:hAnsi="Times New Roman" w:cs="Times New Roman"/>
          <w:sz w:val="20"/>
          <w:szCs w:val="20"/>
        </w:rPr>
        <w:t xml:space="preserve">In </w:t>
      </w:r>
      <w:r w:rsidRPr="0075003C">
        <w:rPr>
          <w:rFonts w:ascii="Times New Roman" w:hAnsi="Times New Roman" w:cs="Times New Roman"/>
          <w:i/>
          <w:sz w:val="20"/>
          <w:szCs w:val="20"/>
        </w:rPr>
        <w:t>Gilham</w:t>
      </w:r>
      <w:r w:rsidRPr="0075003C">
        <w:rPr>
          <w:rFonts w:ascii="Times New Roman" w:hAnsi="Times New Roman" w:cs="Times New Roman"/>
          <w:sz w:val="20"/>
          <w:szCs w:val="20"/>
        </w:rPr>
        <w:t>, the Crown likewise relied on speculative experiments conducted by a fire examiner, presented to the jury by way of a DVD of a ‘reconstruction’ that bore little resemblance to the actual conditions of the fire that had been lit on the night of the Gilhams’ deaths. In this instance the appellate court held that the expert’s evidence and the DVD of the ‘reconstruction’ ought to have been excluded (under s</w:t>
      </w:r>
      <w:r>
        <w:rPr>
          <w:rFonts w:ascii="Times New Roman" w:hAnsi="Times New Roman" w:cs="Times New Roman"/>
          <w:sz w:val="20"/>
          <w:szCs w:val="20"/>
        </w:rPr>
        <w:t xml:space="preserve"> </w:t>
      </w:r>
      <w:r w:rsidRPr="0075003C">
        <w:rPr>
          <w:rFonts w:ascii="Times New Roman" w:hAnsi="Times New Roman" w:cs="Times New Roman"/>
          <w:sz w:val="20"/>
          <w:szCs w:val="20"/>
        </w:rPr>
        <w:t>137 of the U</w:t>
      </w:r>
      <w:r>
        <w:rPr>
          <w:rFonts w:ascii="Times New Roman" w:hAnsi="Times New Roman" w:cs="Times New Roman"/>
          <w:sz w:val="20"/>
          <w:szCs w:val="20"/>
        </w:rPr>
        <w:t xml:space="preserve">niform </w:t>
      </w:r>
      <w:r w:rsidRPr="0075003C">
        <w:rPr>
          <w:rFonts w:ascii="Times New Roman" w:hAnsi="Times New Roman" w:cs="Times New Roman"/>
          <w:sz w:val="20"/>
          <w:szCs w:val="20"/>
        </w:rPr>
        <w:t>E</w:t>
      </w:r>
      <w:r>
        <w:rPr>
          <w:rFonts w:ascii="Times New Roman" w:hAnsi="Times New Roman" w:cs="Times New Roman"/>
          <w:sz w:val="20"/>
          <w:szCs w:val="20"/>
        </w:rPr>
        <w:t xml:space="preserve">vidence </w:t>
      </w:r>
      <w:r w:rsidRPr="0075003C">
        <w:rPr>
          <w:rFonts w:ascii="Times New Roman" w:hAnsi="Times New Roman" w:cs="Times New Roman"/>
          <w:sz w:val="20"/>
          <w:szCs w:val="20"/>
        </w:rPr>
        <w:t>L</w:t>
      </w:r>
      <w:r>
        <w:rPr>
          <w:rFonts w:ascii="Times New Roman" w:hAnsi="Times New Roman" w:cs="Times New Roman"/>
          <w:sz w:val="20"/>
          <w:szCs w:val="20"/>
        </w:rPr>
        <w:t>aw</w:t>
      </w:r>
      <w:r w:rsidRPr="0075003C">
        <w:rPr>
          <w:rFonts w:ascii="Times New Roman" w:hAnsi="Times New Roman" w:cs="Times New Roman"/>
          <w:sz w:val="20"/>
          <w:szCs w:val="20"/>
        </w:rPr>
        <w:t xml:space="preserve">)—the probative value of the experiments </w:t>
      </w:r>
      <w:r>
        <w:rPr>
          <w:rFonts w:ascii="Times New Roman" w:hAnsi="Times New Roman" w:cs="Times New Roman"/>
          <w:sz w:val="20"/>
          <w:szCs w:val="20"/>
        </w:rPr>
        <w:t>being</w:t>
      </w:r>
      <w:r w:rsidRPr="0075003C">
        <w:rPr>
          <w:rFonts w:ascii="Times New Roman" w:hAnsi="Times New Roman" w:cs="Times New Roman"/>
          <w:sz w:val="20"/>
          <w:szCs w:val="20"/>
        </w:rPr>
        <w:t xml:space="preserve"> so slight as to be misleading and thus unfairly prejudicial to the accused</w:t>
      </w:r>
      <w:r>
        <w:rPr>
          <w:rFonts w:ascii="Times New Roman" w:hAnsi="Times New Roman" w:cs="Times New Roman"/>
          <w:sz w:val="20"/>
          <w:szCs w:val="20"/>
        </w:rPr>
        <w:t>:</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Gilham</w:t>
      </w:r>
      <w:r>
        <w:rPr>
          <w:rFonts w:ascii="Times New Roman" w:hAnsi="Times New Roman" w:cs="Times New Roman"/>
          <w:sz w:val="20"/>
          <w:szCs w:val="20"/>
        </w:rPr>
        <w:t>,</w:t>
      </w:r>
      <w:r w:rsidRPr="0075003C">
        <w:rPr>
          <w:rFonts w:ascii="Times New Roman" w:hAnsi="Times New Roman" w:cs="Times New Roman"/>
          <w:sz w:val="20"/>
          <w:szCs w:val="20"/>
        </w:rPr>
        <w:t xml:space="preserve"> above n </w:t>
      </w:r>
      <w:r>
        <w:rPr>
          <w:rFonts w:ascii="Times New Roman" w:hAnsi="Times New Roman" w:cs="Times New Roman"/>
          <w:sz w:val="20"/>
          <w:szCs w:val="20"/>
        </w:rPr>
        <w:t>9</w:t>
      </w:r>
      <w:r w:rsidRPr="0075003C">
        <w:rPr>
          <w:rFonts w:ascii="Times New Roman" w:hAnsi="Times New Roman" w:cs="Times New Roman"/>
          <w:sz w:val="20"/>
          <w:szCs w:val="20"/>
        </w:rPr>
        <w:t>, [179].</w:t>
      </w:r>
    </w:p>
  </w:footnote>
  <w:footnote w:id="13">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Wood</w:t>
      </w:r>
      <w:r>
        <w:rPr>
          <w:rFonts w:ascii="Times New Roman" w:hAnsi="Times New Roman" w:cs="Times New Roman"/>
          <w:sz w:val="20"/>
          <w:szCs w:val="20"/>
        </w:rPr>
        <w:t>,</w:t>
      </w:r>
      <w:r w:rsidRPr="0075003C">
        <w:rPr>
          <w:rFonts w:ascii="Times New Roman" w:hAnsi="Times New Roman" w:cs="Times New Roman"/>
          <w:sz w:val="20"/>
          <w:szCs w:val="20"/>
        </w:rPr>
        <w:t xml:space="preserve"> above n </w:t>
      </w:r>
      <w:r>
        <w:rPr>
          <w:rFonts w:ascii="Times New Roman" w:hAnsi="Times New Roman" w:cs="Times New Roman"/>
          <w:sz w:val="20"/>
          <w:szCs w:val="20"/>
        </w:rPr>
        <w:t>8</w:t>
      </w:r>
      <w:r w:rsidRPr="0075003C">
        <w:rPr>
          <w:rFonts w:ascii="Times New Roman" w:hAnsi="Times New Roman" w:cs="Times New Roman"/>
          <w:sz w:val="20"/>
          <w:szCs w:val="20"/>
        </w:rPr>
        <w:t>, [604].</w:t>
      </w:r>
    </w:p>
  </w:footnote>
  <w:footnote w:id="14">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See </w:t>
      </w:r>
      <w:r w:rsidRPr="0075003C">
        <w:rPr>
          <w:rFonts w:ascii="Times New Roman" w:hAnsi="Times New Roman" w:cs="Times New Roman"/>
          <w:i/>
          <w:sz w:val="20"/>
          <w:szCs w:val="20"/>
        </w:rPr>
        <w:t>Gilham</w:t>
      </w:r>
      <w:r>
        <w:rPr>
          <w:rFonts w:ascii="Times New Roman" w:hAnsi="Times New Roman" w:cs="Times New Roman"/>
          <w:sz w:val="20"/>
          <w:szCs w:val="20"/>
        </w:rPr>
        <w:t>,</w:t>
      </w:r>
      <w:r w:rsidRPr="0075003C">
        <w:rPr>
          <w:rFonts w:ascii="Times New Roman" w:hAnsi="Times New Roman" w:cs="Times New Roman"/>
          <w:sz w:val="20"/>
          <w:szCs w:val="20"/>
        </w:rPr>
        <w:t xml:space="preserve"> above n </w:t>
      </w:r>
      <w:r>
        <w:rPr>
          <w:rFonts w:ascii="Times New Roman" w:hAnsi="Times New Roman" w:cs="Times New Roman"/>
          <w:sz w:val="20"/>
          <w:szCs w:val="20"/>
        </w:rPr>
        <w:t>9</w:t>
      </w:r>
      <w:r w:rsidRPr="0075003C">
        <w:rPr>
          <w:rFonts w:ascii="Times New Roman" w:hAnsi="Times New Roman" w:cs="Times New Roman"/>
          <w:sz w:val="20"/>
          <w:szCs w:val="20"/>
        </w:rPr>
        <w:t xml:space="preserve">, [107] and Paul Bibby, “Scientific evidence flaws highlighted”, </w:t>
      </w:r>
      <w:r w:rsidRPr="0075003C">
        <w:rPr>
          <w:rFonts w:ascii="Times New Roman" w:hAnsi="Times New Roman" w:cs="Times New Roman"/>
          <w:i/>
          <w:sz w:val="20"/>
          <w:szCs w:val="20"/>
        </w:rPr>
        <w:t>The Sydney Morning Herald</w:t>
      </w:r>
      <w:r w:rsidRPr="0075003C">
        <w:rPr>
          <w:rFonts w:ascii="Times New Roman" w:hAnsi="Times New Roman" w:cs="Times New Roman"/>
          <w:sz w:val="20"/>
          <w:szCs w:val="20"/>
        </w:rPr>
        <w:t xml:space="preserve"> (online), </w:t>
      </w:r>
      <w:r>
        <w:rPr>
          <w:rFonts w:ascii="Times New Roman" w:hAnsi="Times New Roman" w:cs="Times New Roman"/>
          <w:sz w:val="20"/>
          <w:szCs w:val="20"/>
        </w:rPr>
        <w:t>27 June</w:t>
      </w:r>
      <w:r w:rsidRPr="0075003C">
        <w:rPr>
          <w:rFonts w:ascii="Times New Roman" w:hAnsi="Times New Roman" w:cs="Times New Roman"/>
          <w:sz w:val="20"/>
          <w:szCs w:val="20"/>
        </w:rPr>
        <w:t xml:space="preserve"> 2012 (</w:t>
      </w:r>
      <w:hyperlink r:id="rId6" w:history="1">
        <w:r w:rsidRPr="00B4372A">
          <w:rPr>
            <w:rStyle w:val="Hyperlink"/>
            <w:rFonts w:ascii="Times New Roman" w:hAnsi="Times New Roman" w:cs="Times New Roman"/>
            <w:sz w:val="20"/>
            <w:szCs w:val="20"/>
          </w:rPr>
          <w:t>www.smh.com.au/nsw/scientific-evidence-flaws-highlighted-20120626-210my.html</w:t>
        </w:r>
      </w:hyperlink>
      <w:r w:rsidRPr="0075003C">
        <w:rPr>
          <w:rFonts w:ascii="Times New Roman" w:hAnsi="Times New Roman" w:cs="Times New Roman"/>
          <w:sz w:val="20"/>
          <w:szCs w:val="20"/>
        </w:rPr>
        <w:t>, accessed 11 March 2013)</w:t>
      </w:r>
      <w:r>
        <w:rPr>
          <w:rFonts w:ascii="Times New Roman" w:hAnsi="Times New Roman" w:cs="Times New Roman"/>
          <w:sz w:val="20"/>
          <w:szCs w:val="20"/>
        </w:rPr>
        <w:t>.</w:t>
      </w:r>
    </w:p>
  </w:footnote>
  <w:footnote w:id="15">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Gilham</w:t>
      </w:r>
      <w:r>
        <w:rPr>
          <w:rFonts w:ascii="Times New Roman" w:hAnsi="Times New Roman" w:cs="Times New Roman"/>
          <w:sz w:val="20"/>
          <w:szCs w:val="20"/>
        </w:rPr>
        <w:t>,</w:t>
      </w:r>
      <w:r w:rsidRPr="0075003C">
        <w:rPr>
          <w:rFonts w:ascii="Times New Roman" w:hAnsi="Times New Roman" w:cs="Times New Roman"/>
          <w:sz w:val="20"/>
          <w:szCs w:val="20"/>
        </w:rPr>
        <w:t xml:space="preserve"> above n</w:t>
      </w:r>
      <w:r>
        <w:rPr>
          <w:rFonts w:ascii="Times New Roman" w:hAnsi="Times New Roman" w:cs="Times New Roman"/>
          <w:sz w:val="20"/>
          <w:szCs w:val="20"/>
        </w:rPr>
        <w:t xml:space="preserve"> 9</w:t>
      </w:r>
      <w:r w:rsidRPr="0075003C">
        <w:rPr>
          <w:rFonts w:ascii="Times New Roman" w:hAnsi="Times New Roman" w:cs="Times New Roman"/>
          <w:sz w:val="20"/>
          <w:szCs w:val="20"/>
        </w:rPr>
        <w:t>, [348].</w:t>
      </w:r>
    </w:p>
  </w:footnote>
  <w:footnote w:id="16">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The appeal court characterised the Crown’s conduct, in this respect, as an egregious departure from the limits set by the trial judge and in fact that the evidence was inadmissible for that purpose. A notable aspect of the trial was that at no point did the court engage with the coincidence (or tendency) rules that, given the conclusions that the jury was being invited to draw, </w:t>
      </w:r>
      <w:r w:rsidRPr="0075003C">
        <w:rPr>
          <w:rFonts w:ascii="Times New Roman" w:hAnsi="Times New Roman" w:cs="Times New Roman"/>
          <w:i/>
          <w:sz w:val="20"/>
          <w:szCs w:val="20"/>
        </w:rPr>
        <w:t>ought</w:t>
      </w:r>
      <w:r w:rsidRPr="0075003C">
        <w:rPr>
          <w:rFonts w:ascii="Times New Roman" w:hAnsi="Times New Roman" w:cs="Times New Roman"/>
          <w:sz w:val="20"/>
          <w:szCs w:val="20"/>
        </w:rPr>
        <w:t xml:space="preserve"> to have operated to manage the admissibility of the evidence: </w:t>
      </w:r>
      <w:r w:rsidRPr="0075003C">
        <w:rPr>
          <w:rFonts w:ascii="Times New Roman" w:hAnsi="Times New Roman" w:cs="Times New Roman"/>
          <w:i/>
          <w:sz w:val="20"/>
          <w:szCs w:val="20"/>
        </w:rPr>
        <w:t>Gilham</w:t>
      </w:r>
      <w:r>
        <w:rPr>
          <w:rFonts w:ascii="Times New Roman" w:hAnsi="Times New Roman" w:cs="Times New Roman"/>
          <w:sz w:val="20"/>
          <w:szCs w:val="20"/>
        </w:rPr>
        <w:t>,</w:t>
      </w:r>
      <w:r w:rsidRPr="0075003C">
        <w:rPr>
          <w:rFonts w:ascii="Times New Roman" w:hAnsi="Times New Roman" w:cs="Times New Roman"/>
          <w:sz w:val="20"/>
          <w:szCs w:val="20"/>
        </w:rPr>
        <w:t xml:space="preserve"> above n</w:t>
      </w:r>
      <w:r>
        <w:rPr>
          <w:rFonts w:ascii="Times New Roman" w:hAnsi="Times New Roman" w:cs="Times New Roman"/>
          <w:sz w:val="20"/>
          <w:szCs w:val="20"/>
        </w:rPr>
        <w:t xml:space="preserve"> 9, </w:t>
      </w:r>
      <w:r w:rsidRPr="0075003C">
        <w:rPr>
          <w:rFonts w:ascii="Times New Roman" w:hAnsi="Times New Roman" w:cs="Times New Roman"/>
          <w:sz w:val="20"/>
          <w:szCs w:val="20"/>
        </w:rPr>
        <w:t xml:space="preserve"> [288], [327]</w:t>
      </w:r>
      <w:r>
        <w:rPr>
          <w:rFonts w:ascii="Times New Roman" w:hAnsi="Times New Roman" w:cs="Times New Roman"/>
          <w:sz w:val="20"/>
          <w:szCs w:val="20"/>
        </w:rPr>
        <w:t xml:space="preserve"> ff, [348]</w:t>
      </w:r>
      <w:r w:rsidRPr="0075003C">
        <w:rPr>
          <w:rFonts w:ascii="Times New Roman" w:hAnsi="Times New Roman" w:cs="Times New Roman"/>
          <w:sz w:val="20"/>
          <w:szCs w:val="20"/>
        </w:rPr>
        <w:t>-[3</w:t>
      </w:r>
      <w:r>
        <w:rPr>
          <w:rFonts w:ascii="Times New Roman" w:hAnsi="Times New Roman" w:cs="Times New Roman"/>
          <w:sz w:val="20"/>
          <w:szCs w:val="20"/>
        </w:rPr>
        <w:t>50]. The appeal court also noted</w:t>
      </w:r>
      <w:r w:rsidRPr="0075003C">
        <w:rPr>
          <w:rFonts w:ascii="Times New Roman" w:hAnsi="Times New Roman" w:cs="Times New Roman"/>
          <w:sz w:val="20"/>
          <w:szCs w:val="20"/>
        </w:rPr>
        <w:t xml:space="preserve"> that </w:t>
      </w:r>
      <w:r>
        <w:rPr>
          <w:rFonts w:ascii="Times New Roman" w:hAnsi="Times New Roman" w:cs="Times New Roman"/>
          <w:sz w:val="20"/>
          <w:szCs w:val="20"/>
        </w:rPr>
        <w:t xml:space="preserve">the </w:t>
      </w:r>
      <w:r w:rsidRPr="0075003C">
        <w:rPr>
          <w:rFonts w:ascii="Times New Roman" w:hAnsi="Times New Roman" w:cs="Times New Roman"/>
          <w:sz w:val="20"/>
          <w:szCs w:val="20"/>
        </w:rPr>
        <w:t>defence failed to object (or identify) that the Crown’s case relied on coincidence reasoning</w:t>
      </w:r>
      <w:r>
        <w:rPr>
          <w:rFonts w:ascii="Times New Roman" w:hAnsi="Times New Roman" w:cs="Times New Roman"/>
          <w:sz w:val="20"/>
          <w:szCs w:val="20"/>
        </w:rPr>
        <w:t>:</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Gilham</w:t>
      </w:r>
      <w:r>
        <w:rPr>
          <w:rFonts w:ascii="Times New Roman" w:hAnsi="Times New Roman" w:cs="Times New Roman"/>
          <w:sz w:val="20"/>
          <w:szCs w:val="20"/>
        </w:rPr>
        <w:t>,</w:t>
      </w:r>
      <w:r w:rsidRPr="0075003C">
        <w:rPr>
          <w:rFonts w:ascii="Times New Roman" w:hAnsi="Times New Roman" w:cs="Times New Roman"/>
          <w:sz w:val="20"/>
          <w:szCs w:val="20"/>
        </w:rPr>
        <w:t xml:space="preserve"> above n</w:t>
      </w:r>
      <w:r>
        <w:rPr>
          <w:rFonts w:ascii="Times New Roman" w:hAnsi="Times New Roman" w:cs="Times New Roman"/>
          <w:sz w:val="20"/>
          <w:szCs w:val="20"/>
        </w:rPr>
        <w:t xml:space="preserve"> 9</w:t>
      </w:r>
      <w:r w:rsidRPr="0075003C">
        <w:rPr>
          <w:rFonts w:ascii="Times New Roman" w:hAnsi="Times New Roman" w:cs="Times New Roman"/>
          <w:sz w:val="20"/>
          <w:szCs w:val="20"/>
        </w:rPr>
        <w:t>, [325].</w:t>
      </w:r>
    </w:p>
  </w:footnote>
  <w:footnote w:id="17">
    <w:p w:rsidR="0086558E" w:rsidRPr="0075003C" w:rsidRDefault="0086558E" w:rsidP="00AB4819">
      <w:pPr>
        <w:pStyle w:val="Heading2"/>
        <w:spacing w:before="0" w:beforeAutospacing="0" w:after="0" w:afterAutospacing="0"/>
        <w:jc w:val="both"/>
        <w:rPr>
          <w:sz w:val="20"/>
          <w:szCs w:val="20"/>
        </w:rPr>
      </w:pPr>
      <w:r w:rsidRPr="0075003C">
        <w:rPr>
          <w:rStyle w:val="FootnoteReference"/>
          <w:sz w:val="20"/>
          <w:szCs w:val="20"/>
        </w:rPr>
        <w:footnoteRef/>
      </w:r>
      <w:r w:rsidRPr="0075003C">
        <w:rPr>
          <w:sz w:val="20"/>
          <w:szCs w:val="20"/>
        </w:rPr>
        <w:t xml:space="preserve"> </w:t>
      </w:r>
      <w:r w:rsidRPr="0075003C">
        <w:rPr>
          <w:b w:val="0"/>
          <w:i/>
          <w:sz w:val="20"/>
          <w:szCs w:val="20"/>
        </w:rPr>
        <w:t>Gilham</w:t>
      </w:r>
      <w:r>
        <w:rPr>
          <w:b w:val="0"/>
          <w:sz w:val="20"/>
          <w:szCs w:val="20"/>
        </w:rPr>
        <w:t>,</w:t>
      </w:r>
      <w:r w:rsidRPr="0075003C">
        <w:rPr>
          <w:b w:val="0"/>
          <w:sz w:val="20"/>
          <w:szCs w:val="20"/>
        </w:rPr>
        <w:t xml:space="preserve"> above n</w:t>
      </w:r>
      <w:r>
        <w:rPr>
          <w:b w:val="0"/>
          <w:sz w:val="20"/>
          <w:szCs w:val="20"/>
        </w:rPr>
        <w:t xml:space="preserve"> 9, </w:t>
      </w:r>
      <w:r w:rsidRPr="0075003C">
        <w:rPr>
          <w:b w:val="0"/>
          <w:sz w:val="20"/>
          <w:szCs w:val="20"/>
        </w:rPr>
        <w:t xml:space="preserve"> [383]</w:t>
      </w:r>
      <w:r>
        <w:rPr>
          <w:b w:val="0"/>
          <w:sz w:val="20"/>
          <w:szCs w:val="20"/>
        </w:rPr>
        <w:t xml:space="preserve"> </w:t>
      </w:r>
      <w:r w:rsidRPr="0075003C">
        <w:rPr>
          <w:b w:val="0"/>
          <w:sz w:val="20"/>
          <w:szCs w:val="20"/>
        </w:rPr>
        <w:t xml:space="preserve">ff. This had the curious effect of limiting the manner in which the defence could respond; the limits placed on the prosecution experts produced the </w:t>
      </w:r>
      <w:r w:rsidRPr="0075003C">
        <w:rPr>
          <w:b w:val="0"/>
          <w:i/>
          <w:sz w:val="20"/>
          <w:szCs w:val="20"/>
        </w:rPr>
        <w:t>appearance</w:t>
      </w:r>
      <w:r w:rsidRPr="0075003C">
        <w:rPr>
          <w:b w:val="0"/>
          <w:sz w:val="20"/>
          <w:szCs w:val="20"/>
        </w:rPr>
        <w:t xml:space="preserve"> of a conservative or cautious approach, but in operation hampered the defence attempts to proffer rebuttal evidence disputing the (apparent) significance of the injuries found on all three members of the Gilham family. On a </w:t>
      </w:r>
      <w:r>
        <w:rPr>
          <w:b w:val="0"/>
          <w:sz w:val="20"/>
          <w:szCs w:val="20"/>
        </w:rPr>
        <w:t>related point, see Simon Cole, “</w:t>
      </w:r>
      <w:r w:rsidRPr="0075003C">
        <w:rPr>
          <w:b w:val="0"/>
          <w:sz w:val="20"/>
          <w:szCs w:val="20"/>
        </w:rPr>
        <w:t>Splitting Hairs? Evaluating 'Split Testimony' as an Approach to the Problem of Forensi</w:t>
      </w:r>
      <w:r>
        <w:rPr>
          <w:b w:val="0"/>
          <w:sz w:val="20"/>
          <w:szCs w:val="20"/>
        </w:rPr>
        <w:t>c Expert Evidence”</w:t>
      </w:r>
      <w:r w:rsidRPr="0075003C">
        <w:rPr>
          <w:b w:val="0"/>
          <w:sz w:val="20"/>
          <w:szCs w:val="20"/>
        </w:rPr>
        <w:t xml:space="preserve"> (2011) 33(3) </w:t>
      </w:r>
      <w:r w:rsidRPr="0075003C">
        <w:rPr>
          <w:b w:val="0"/>
          <w:i/>
          <w:sz w:val="20"/>
          <w:szCs w:val="20"/>
        </w:rPr>
        <w:t>Sydney Law Review</w:t>
      </w:r>
      <w:r w:rsidRPr="0075003C">
        <w:rPr>
          <w:b w:val="0"/>
          <w:sz w:val="20"/>
          <w:szCs w:val="20"/>
        </w:rPr>
        <w:t xml:space="preserve"> 459 and </w:t>
      </w:r>
      <w:r>
        <w:rPr>
          <w:b w:val="0"/>
          <w:sz w:val="20"/>
          <w:szCs w:val="20"/>
        </w:rPr>
        <w:t xml:space="preserve">Gary </w:t>
      </w:r>
      <w:r w:rsidRPr="0075003C">
        <w:rPr>
          <w:b w:val="0"/>
          <w:sz w:val="20"/>
          <w:szCs w:val="20"/>
        </w:rPr>
        <w:t>Edmond et al., “</w:t>
      </w:r>
      <w:r w:rsidRPr="0075003C">
        <w:rPr>
          <w:b w:val="0"/>
          <w:bCs w:val="0"/>
          <w:i/>
          <w:sz w:val="20"/>
          <w:szCs w:val="20"/>
        </w:rPr>
        <w:t>Atkins</w:t>
      </w:r>
      <w:r w:rsidRPr="0075003C">
        <w:rPr>
          <w:b w:val="0"/>
          <w:bCs w:val="0"/>
          <w:sz w:val="20"/>
          <w:szCs w:val="20"/>
        </w:rPr>
        <w:t xml:space="preserve"> v The Emperor: The ‘Cautious’ Use of Unreliable ‘Expert’ Opinion”</w:t>
      </w:r>
      <w:r w:rsidRPr="0075003C">
        <w:rPr>
          <w:b w:val="0"/>
          <w:sz w:val="20"/>
          <w:szCs w:val="20"/>
        </w:rPr>
        <w:t xml:space="preserve"> (2010) 14(2) </w:t>
      </w:r>
      <w:hyperlink r:id="rId7" w:history="1">
        <w:r w:rsidRPr="0075003C">
          <w:rPr>
            <w:rStyle w:val="Hyperlink"/>
            <w:b w:val="0"/>
            <w:i/>
            <w:iCs/>
            <w:color w:val="auto"/>
            <w:sz w:val="20"/>
            <w:szCs w:val="20"/>
            <w:u w:val="none"/>
          </w:rPr>
          <w:t>International Journal of Evidence and Proof</w:t>
        </w:r>
      </w:hyperlink>
      <w:r w:rsidRPr="0075003C">
        <w:rPr>
          <w:b w:val="0"/>
          <w:sz w:val="20"/>
          <w:szCs w:val="20"/>
        </w:rPr>
        <w:t xml:space="preserve"> 146.</w:t>
      </w:r>
    </w:p>
  </w:footnote>
  <w:footnote w:id="18">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Gilham</w:t>
      </w:r>
      <w:r>
        <w:rPr>
          <w:rFonts w:ascii="Times New Roman" w:hAnsi="Times New Roman" w:cs="Times New Roman"/>
          <w:sz w:val="20"/>
          <w:szCs w:val="20"/>
        </w:rPr>
        <w:t>,</w:t>
      </w:r>
      <w:r w:rsidRPr="0075003C">
        <w:rPr>
          <w:rFonts w:ascii="Times New Roman" w:hAnsi="Times New Roman" w:cs="Times New Roman"/>
          <w:sz w:val="20"/>
          <w:szCs w:val="20"/>
        </w:rPr>
        <w:t xml:space="preserve"> above n</w:t>
      </w:r>
      <w:r>
        <w:rPr>
          <w:rFonts w:ascii="Times New Roman" w:hAnsi="Times New Roman" w:cs="Times New Roman"/>
          <w:sz w:val="20"/>
          <w:szCs w:val="20"/>
        </w:rPr>
        <w:t xml:space="preserve"> 9,</w:t>
      </w:r>
      <w:r w:rsidRPr="0075003C">
        <w:rPr>
          <w:rFonts w:ascii="Times New Roman" w:hAnsi="Times New Roman" w:cs="Times New Roman"/>
          <w:sz w:val="20"/>
          <w:szCs w:val="20"/>
        </w:rPr>
        <w:t xml:space="preserve"> [621]. The emergence of this concession during the appeal hearing, apparently unanticipated by both the prosecution and the defence, marked a turning point in the appeal. Gilham, unlike Wood, was present at the hearing, and was released on bail immediately, at the conclusion of the appeal hearing, with the court indicating </w:t>
      </w:r>
      <w:r>
        <w:rPr>
          <w:rFonts w:ascii="Times New Roman" w:hAnsi="Times New Roman" w:cs="Times New Roman"/>
          <w:sz w:val="20"/>
          <w:szCs w:val="20"/>
        </w:rPr>
        <w:t>th</w:t>
      </w:r>
      <w:r w:rsidRPr="0075003C">
        <w:rPr>
          <w:rFonts w:ascii="Times New Roman" w:hAnsi="Times New Roman" w:cs="Times New Roman"/>
          <w:sz w:val="20"/>
          <w:szCs w:val="20"/>
        </w:rPr>
        <w:t xml:space="preserve">at he was entitled, at the </w:t>
      </w:r>
      <w:r>
        <w:rPr>
          <w:rFonts w:ascii="Times New Roman" w:hAnsi="Times New Roman" w:cs="Times New Roman"/>
          <w:sz w:val="20"/>
          <w:szCs w:val="20"/>
        </w:rPr>
        <w:t>very least, to a retrial: see, for example,</w:t>
      </w:r>
      <w:r w:rsidRPr="0075003C">
        <w:rPr>
          <w:rFonts w:ascii="Times New Roman" w:hAnsi="Times New Roman" w:cs="Times New Roman"/>
          <w:sz w:val="20"/>
          <w:szCs w:val="20"/>
        </w:rPr>
        <w:t xml:space="preserve"> Paul Bibby, “G</w:t>
      </w:r>
      <w:r>
        <w:rPr>
          <w:rFonts w:ascii="Times New Roman" w:hAnsi="Times New Roman" w:cs="Times New Roman"/>
          <w:sz w:val="20"/>
          <w:szCs w:val="20"/>
        </w:rPr>
        <w:t>ilham's champagne moment: F</w:t>
      </w:r>
      <w:r w:rsidRPr="0075003C">
        <w:rPr>
          <w:rFonts w:ascii="Times New Roman" w:hAnsi="Times New Roman" w:cs="Times New Roman"/>
          <w:sz w:val="20"/>
          <w:szCs w:val="20"/>
        </w:rPr>
        <w:t>ree to celebrate after murder conviction quashed”</w:t>
      </w:r>
      <w:r>
        <w:rPr>
          <w:rFonts w:ascii="Times New Roman" w:hAnsi="Times New Roman" w:cs="Times New Roman"/>
          <w:sz w:val="20"/>
          <w:szCs w:val="20"/>
        </w:rPr>
        <w:t>,</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The</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Sydney Morning Herald</w:t>
      </w:r>
      <w:r w:rsidRPr="0075003C">
        <w:rPr>
          <w:rFonts w:ascii="Times New Roman" w:hAnsi="Times New Roman" w:cs="Times New Roman"/>
          <w:sz w:val="20"/>
          <w:szCs w:val="20"/>
        </w:rPr>
        <w:t xml:space="preserve"> (online), 2 December 2011 (</w:t>
      </w:r>
      <w:hyperlink r:id="rId8" w:history="1">
        <w:r w:rsidRPr="00B4372A">
          <w:rPr>
            <w:rStyle w:val="Hyperlink"/>
            <w:rFonts w:ascii="Times New Roman" w:hAnsi="Times New Roman" w:cs="Times New Roman"/>
            <w:sz w:val="20"/>
            <w:szCs w:val="20"/>
          </w:rPr>
          <w:t>http://www.smh.com.au/nsw/gilhams-champagne-moment-free-to-celebrate-after-murder-conviction-quashed-20111202-1o9wb.html</w:t>
        </w:r>
      </w:hyperlink>
      <w:r w:rsidRPr="0075003C">
        <w:rPr>
          <w:rFonts w:ascii="Times New Roman" w:hAnsi="Times New Roman" w:cs="Times New Roman"/>
          <w:sz w:val="20"/>
          <w:szCs w:val="20"/>
        </w:rPr>
        <w:t>, accessed 11 March 2013).</w:t>
      </w:r>
    </w:p>
  </w:footnote>
  <w:footnote w:id="19">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In appearing to accept that there was no empirical basis that would allow an expert to </w:t>
      </w:r>
      <w:r>
        <w:rPr>
          <w:rFonts w:ascii="Times New Roman" w:hAnsi="Times New Roman" w:cs="Times New Roman"/>
          <w:sz w:val="20"/>
          <w:szCs w:val="20"/>
        </w:rPr>
        <w:t xml:space="preserve">conclude </w:t>
      </w:r>
      <w:r w:rsidRPr="0075003C">
        <w:rPr>
          <w:rFonts w:ascii="Times New Roman" w:hAnsi="Times New Roman" w:cs="Times New Roman"/>
          <w:sz w:val="20"/>
          <w:szCs w:val="20"/>
        </w:rPr>
        <w:t xml:space="preserve">that the wounds were inflicted by the same person, and thus preventing the experts from testifying as to whether, or not, the patterns and number of wounds could be seen as significant in this way, the trial judge none the less emphasised that it was open to the jury to determine whether the apparent similarity was significant: </w:t>
      </w:r>
      <w:r w:rsidRPr="0075003C">
        <w:rPr>
          <w:rFonts w:ascii="Times New Roman" w:hAnsi="Times New Roman" w:cs="Times New Roman"/>
          <w:i/>
          <w:sz w:val="20"/>
          <w:szCs w:val="20"/>
        </w:rPr>
        <w:t>Gilham</w:t>
      </w:r>
      <w:r>
        <w:rPr>
          <w:rFonts w:ascii="Times New Roman" w:hAnsi="Times New Roman" w:cs="Times New Roman"/>
          <w:sz w:val="20"/>
          <w:szCs w:val="20"/>
        </w:rPr>
        <w:t>,</w:t>
      </w:r>
      <w:r w:rsidRPr="0075003C">
        <w:rPr>
          <w:rFonts w:ascii="Times New Roman" w:hAnsi="Times New Roman" w:cs="Times New Roman"/>
          <w:sz w:val="20"/>
          <w:szCs w:val="20"/>
        </w:rPr>
        <w:t xml:space="preserve"> above n </w:t>
      </w:r>
      <w:r>
        <w:rPr>
          <w:rFonts w:ascii="Times New Roman" w:hAnsi="Times New Roman" w:cs="Times New Roman"/>
          <w:sz w:val="20"/>
          <w:szCs w:val="20"/>
        </w:rPr>
        <w:t xml:space="preserve">9, </w:t>
      </w:r>
      <w:r w:rsidRPr="0075003C">
        <w:rPr>
          <w:rFonts w:ascii="Times New Roman" w:hAnsi="Times New Roman" w:cs="Times New Roman"/>
          <w:sz w:val="20"/>
          <w:szCs w:val="20"/>
        </w:rPr>
        <w:t xml:space="preserve">[298]. The conceptual confusion is perhaps a striking example of the lack of clarity as to the role, relevance </w:t>
      </w:r>
      <w:r>
        <w:rPr>
          <w:rFonts w:ascii="Times New Roman" w:hAnsi="Times New Roman" w:cs="Times New Roman"/>
          <w:sz w:val="20"/>
          <w:szCs w:val="20"/>
        </w:rPr>
        <w:t xml:space="preserve">and function of expert opinion. It </w:t>
      </w:r>
      <w:r w:rsidRPr="0075003C">
        <w:rPr>
          <w:rFonts w:ascii="Times New Roman" w:hAnsi="Times New Roman" w:cs="Times New Roman"/>
          <w:sz w:val="20"/>
          <w:szCs w:val="20"/>
        </w:rPr>
        <w:t>also bears a family resemblance to the conceptual confusion attending the admission of the expert opinions in case</w:t>
      </w:r>
      <w:r>
        <w:rPr>
          <w:rFonts w:ascii="Times New Roman" w:hAnsi="Times New Roman" w:cs="Times New Roman"/>
          <w:sz w:val="20"/>
          <w:szCs w:val="20"/>
        </w:rPr>
        <w:t>s</w:t>
      </w:r>
      <w:r w:rsidRPr="0075003C">
        <w:rPr>
          <w:rFonts w:ascii="Times New Roman" w:hAnsi="Times New Roman" w:cs="Times New Roman"/>
          <w:sz w:val="20"/>
          <w:szCs w:val="20"/>
        </w:rPr>
        <w:t xml:space="preserve"> such as </w:t>
      </w:r>
      <w:r w:rsidRPr="0075003C">
        <w:rPr>
          <w:rFonts w:ascii="Times New Roman" w:hAnsi="Times New Roman" w:cs="Times New Roman"/>
          <w:i/>
          <w:sz w:val="20"/>
          <w:szCs w:val="20"/>
        </w:rPr>
        <w:t>Folbigg</w:t>
      </w:r>
      <w:r>
        <w:rPr>
          <w:rFonts w:ascii="Times New Roman" w:hAnsi="Times New Roman" w:cs="Times New Roman"/>
          <w:sz w:val="20"/>
          <w:szCs w:val="20"/>
        </w:rPr>
        <w:t xml:space="preserve">, and the trials of Clarke and </w:t>
      </w:r>
      <w:r w:rsidRPr="0075003C">
        <w:rPr>
          <w:rFonts w:ascii="Times New Roman" w:hAnsi="Times New Roman" w:cs="Times New Roman"/>
          <w:sz w:val="20"/>
          <w:szCs w:val="20"/>
        </w:rPr>
        <w:t>Canning, where the opinions of the experts were founded on a form of concealed or occluded coincidence re</w:t>
      </w:r>
      <w:r>
        <w:rPr>
          <w:rFonts w:ascii="Times New Roman" w:hAnsi="Times New Roman" w:cs="Times New Roman"/>
          <w:sz w:val="20"/>
          <w:szCs w:val="20"/>
        </w:rPr>
        <w:t>asoning (see discussion below n 32</w:t>
      </w:r>
      <w:r w:rsidRPr="0075003C">
        <w:rPr>
          <w:rFonts w:ascii="Times New Roman" w:hAnsi="Times New Roman" w:cs="Times New Roman"/>
          <w:sz w:val="20"/>
          <w:szCs w:val="20"/>
        </w:rPr>
        <w:t>).</w:t>
      </w:r>
    </w:p>
  </w:footnote>
  <w:footnote w:id="20">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Pr>
          <w:rFonts w:ascii="Times New Roman" w:hAnsi="Times New Roman" w:cs="Times New Roman"/>
          <w:sz w:val="20"/>
          <w:szCs w:val="20"/>
        </w:rPr>
        <w:t xml:space="preserve">This article by Matthew Benns, “This prison houses our worst Baby Killer Mums”, appeared in the </w:t>
      </w:r>
      <w:r w:rsidRPr="0075003C">
        <w:rPr>
          <w:rFonts w:ascii="Times New Roman" w:hAnsi="Times New Roman" w:cs="Times New Roman"/>
          <w:i/>
          <w:sz w:val="20"/>
          <w:szCs w:val="20"/>
        </w:rPr>
        <w:t>Woman’s Day</w:t>
      </w:r>
      <w:r>
        <w:rPr>
          <w:rFonts w:ascii="Times New Roman" w:hAnsi="Times New Roman" w:cs="Times New Roman"/>
          <w:sz w:val="20"/>
          <w:szCs w:val="20"/>
        </w:rPr>
        <w:t xml:space="preserve"> in the first half of 2012 (image provided 5 June 2012).</w:t>
      </w:r>
    </w:p>
  </w:footnote>
  <w:footnote w:id="21">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The Crown case is summarised in </w:t>
      </w:r>
      <w:r w:rsidRPr="0075003C">
        <w:rPr>
          <w:rFonts w:ascii="Times New Roman" w:hAnsi="Times New Roman" w:cs="Times New Roman"/>
          <w:i/>
          <w:sz w:val="20"/>
          <w:szCs w:val="20"/>
        </w:rPr>
        <w:t>R v Lane</w:t>
      </w:r>
      <w:r w:rsidRPr="0075003C">
        <w:rPr>
          <w:rFonts w:ascii="Times New Roman" w:hAnsi="Times New Roman" w:cs="Times New Roman"/>
          <w:sz w:val="20"/>
          <w:szCs w:val="20"/>
        </w:rPr>
        <w:t xml:space="preserve"> [2011] NSWCCA 157, [43].</w:t>
      </w:r>
    </w:p>
  </w:footnote>
  <w:footnote w:id="22">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Tedeschi</w:t>
      </w:r>
      <w:r w:rsidRPr="0075003C">
        <w:rPr>
          <w:rFonts w:ascii="Times New Roman" w:hAnsi="Times New Roman" w:cs="Times New Roman"/>
          <w:sz w:val="20"/>
          <w:szCs w:val="20"/>
        </w:rPr>
        <w:t xml:space="preserve"> argue</w:t>
      </w:r>
      <w:r>
        <w:rPr>
          <w:rFonts w:ascii="Times New Roman" w:hAnsi="Times New Roman" w:cs="Times New Roman"/>
          <w:sz w:val="20"/>
          <w:szCs w:val="20"/>
        </w:rPr>
        <w:t>d</w:t>
      </w:r>
      <w:r w:rsidRPr="0075003C">
        <w:rPr>
          <w:rFonts w:ascii="Times New Roman" w:hAnsi="Times New Roman" w:cs="Times New Roman"/>
          <w:sz w:val="20"/>
          <w:szCs w:val="20"/>
        </w:rPr>
        <w:t xml:space="preserve"> that Lane murdered Tegan because she was unwilling to go through either the distress (or inconvenience) of an adoption, or the trauma of a termination: see </w:t>
      </w:r>
      <w:r w:rsidRPr="0075003C">
        <w:rPr>
          <w:rFonts w:ascii="Times New Roman" w:hAnsi="Times New Roman" w:cs="Times New Roman"/>
          <w:bCs/>
          <w:i/>
          <w:sz w:val="20"/>
          <w:szCs w:val="20"/>
        </w:rPr>
        <w:t>R v Keli Lane</w:t>
      </w:r>
      <w:r>
        <w:rPr>
          <w:rFonts w:ascii="Times New Roman" w:hAnsi="Times New Roman" w:cs="Times New Roman"/>
          <w:bCs/>
          <w:sz w:val="20"/>
          <w:szCs w:val="20"/>
        </w:rPr>
        <w:t>,</w:t>
      </w:r>
      <w:r w:rsidRPr="0075003C">
        <w:rPr>
          <w:rFonts w:ascii="Times New Roman" w:hAnsi="Times New Roman" w:cs="Times New Roman"/>
          <w:bCs/>
          <w:sz w:val="20"/>
          <w:szCs w:val="20"/>
        </w:rPr>
        <w:t xml:space="preserve"> </w:t>
      </w:r>
      <w:r>
        <w:rPr>
          <w:rFonts w:ascii="Times New Roman" w:hAnsi="Times New Roman" w:cs="Times New Roman"/>
          <w:bCs/>
          <w:sz w:val="20"/>
          <w:szCs w:val="20"/>
        </w:rPr>
        <w:t>above n 7</w:t>
      </w:r>
      <w:r w:rsidRPr="0075003C">
        <w:rPr>
          <w:rFonts w:ascii="Times New Roman" w:hAnsi="Times New Roman" w:cs="Times New Roman"/>
          <w:bCs/>
          <w:sz w:val="20"/>
          <w:szCs w:val="20"/>
        </w:rPr>
        <w:t>, [81].</w:t>
      </w:r>
    </w:p>
  </w:footnote>
  <w:footnote w:id="23">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Perhaps most extraordinarily, Lane had played in a competitive water polo match the day before giving birth to her first daughter, Tahlia Rose, on 19 March 1995: </w:t>
      </w:r>
      <w:r w:rsidRPr="0075003C">
        <w:rPr>
          <w:rFonts w:ascii="Times New Roman" w:hAnsi="Times New Roman" w:cs="Times New Roman"/>
          <w:bCs/>
          <w:i/>
          <w:sz w:val="20"/>
          <w:szCs w:val="20"/>
        </w:rPr>
        <w:t>R v Keli Lane</w:t>
      </w:r>
      <w:r>
        <w:rPr>
          <w:rFonts w:ascii="Times New Roman" w:hAnsi="Times New Roman" w:cs="Times New Roman"/>
          <w:bCs/>
          <w:sz w:val="20"/>
          <w:szCs w:val="20"/>
        </w:rPr>
        <w:t>, above n 7</w:t>
      </w:r>
      <w:r w:rsidRPr="0075003C">
        <w:rPr>
          <w:rFonts w:ascii="Times New Roman" w:hAnsi="Times New Roman" w:cs="Times New Roman"/>
          <w:bCs/>
          <w:sz w:val="20"/>
          <w:szCs w:val="20"/>
        </w:rPr>
        <w:t>, [5].</w:t>
      </w:r>
    </w:p>
  </w:footnote>
  <w:footnote w:id="24">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In particular t</w:t>
      </w:r>
      <w:r>
        <w:rPr>
          <w:rFonts w:ascii="Times New Roman" w:hAnsi="Times New Roman" w:cs="Times New Roman"/>
          <w:sz w:val="20"/>
          <w:szCs w:val="20"/>
        </w:rPr>
        <w:t>he jury was allowed to draw the</w:t>
      </w:r>
      <w:r w:rsidRPr="0075003C">
        <w:rPr>
          <w:rFonts w:ascii="Times New Roman" w:hAnsi="Times New Roman" w:cs="Times New Roman"/>
          <w:sz w:val="20"/>
          <w:szCs w:val="20"/>
        </w:rPr>
        <w:t xml:space="preserve"> inference that the lies were told because of a ‘consciousness of guilt’ and were thus directly probative </w:t>
      </w:r>
      <w:r w:rsidRPr="0075003C">
        <w:rPr>
          <w:rFonts w:ascii="Times New Roman" w:hAnsi="Times New Roman" w:cs="Times New Roman"/>
          <w:i/>
          <w:sz w:val="20"/>
          <w:szCs w:val="20"/>
        </w:rPr>
        <w:t>of</w:t>
      </w:r>
      <w:r>
        <w:rPr>
          <w:rFonts w:ascii="Times New Roman" w:hAnsi="Times New Roman" w:cs="Times New Roman"/>
          <w:sz w:val="20"/>
          <w:szCs w:val="20"/>
        </w:rPr>
        <w:t xml:space="preserve"> guilt,</w:t>
      </w:r>
      <w:r w:rsidRPr="0075003C">
        <w:rPr>
          <w:rFonts w:ascii="Times New Roman" w:hAnsi="Times New Roman" w:cs="Times New Roman"/>
          <w:sz w:val="20"/>
          <w:szCs w:val="20"/>
        </w:rPr>
        <w:t xml:space="preserve"> </w:t>
      </w:r>
      <w:r>
        <w:rPr>
          <w:rFonts w:ascii="Times New Roman" w:hAnsi="Times New Roman" w:cs="Times New Roman"/>
          <w:sz w:val="20"/>
          <w:szCs w:val="20"/>
        </w:rPr>
        <w:t>overruling</w:t>
      </w:r>
      <w:r w:rsidRPr="0075003C">
        <w:rPr>
          <w:rFonts w:ascii="Times New Roman" w:hAnsi="Times New Roman" w:cs="Times New Roman"/>
          <w:sz w:val="20"/>
          <w:szCs w:val="20"/>
        </w:rPr>
        <w:t xml:space="preserve"> the</w:t>
      </w:r>
      <w:r>
        <w:rPr>
          <w:rFonts w:ascii="Times New Roman" w:hAnsi="Times New Roman" w:cs="Times New Roman"/>
          <w:sz w:val="20"/>
          <w:szCs w:val="20"/>
        </w:rPr>
        <w:t xml:space="preserve"> trial judge on this point. T</w:t>
      </w:r>
      <w:r w:rsidRPr="0075003C">
        <w:rPr>
          <w:rFonts w:ascii="Times New Roman" w:hAnsi="Times New Roman" w:cs="Times New Roman"/>
          <w:sz w:val="20"/>
          <w:szCs w:val="20"/>
        </w:rPr>
        <w:t xml:space="preserve">he NSWCCA pointed to fact that the defence case did not name the father and that the evidence that the jury could use to ground its conclusion that Lane’s account of handing the baby to a man called Andrew Norris/Morris (the putative natural father), was not ‘entirely co-extensive with the circumstantial case relied on to prove the murder’. See </w:t>
      </w:r>
      <w:r w:rsidRPr="0075003C">
        <w:rPr>
          <w:rFonts w:ascii="Times New Roman" w:hAnsi="Times New Roman" w:cs="Times New Roman"/>
          <w:i/>
          <w:sz w:val="20"/>
          <w:szCs w:val="20"/>
        </w:rPr>
        <w:t>R v Lane</w:t>
      </w:r>
      <w:r w:rsidRPr="0075003C">
        <w:rPr>
          <w:rFonts w:ascii="Times New Roman" w:hAnsi="Times New Roman" w:cs="Times New Roman"/>
          <w:sz w:val="20"/>
          <w:szCs w:val="20"/>
        </w:rPr>
        <w:t xml:space="preserve">, </w:t>
      </w:r>
      <w:r>
        <w:rPr>
          <w:rFonts w:ascii="Times New Roman" w:hAnsi="Times New Roman" w:cs="Times New Roman"/>
          <w:sz w:val="20"/>
          <w:szCs w:val="20"/>
        </w:rPr>
        <w:t xml:space="preserve">above n 20, </w:t>
      </w:r>
      <w:r w:rsidRPr="0075003C">
        <w:rPr>
          <w:rFonts w:ascii="Times New Roman" w:hAnsi="Times New Roman" w:cs="Times New Roman"/>
          <w:sz w:val="20"/>
          <w:szCs w:val="20"/>
        </w:rPr>
        <w:t>per Simpson J, [62]. It seems as if, like the fact of the rarity of multiple infant death</w:t>
      </w:r>
      <w:r>
        <w:rPr>
          <w:rFonts w:ascii="Times New Roman" w:hAnsi="Times New Roman" w:cs="Times New Roman"/>
          <w:sz w:val="20"/>
          <w:szCs w:val="20"/>
        </w:rPr>
        <w:t>s</w:t>
      </w:r>
      <w:r w:rsidRPr="0075003C">
        <w:rPr>
          <w:rFonts w:ascii="Times New Roman" w:hAnsi="Times New Roman" w:cs="Times New Roman"/>
          <w:sz w:val="20"/>
          <w:szCs w:val="20"/>
        </w:rPr>
        <w:t>, this negative evidence that was the failure to find Morris/Norris (and therefore Tegan), becomes ‘doubl</w:t>
      </w:r>
      <w:r>
        <w:rPr>
          <w:rFonts w:ascii="Times New Roman" w:hAnsi="Times New Roman" w:cs="Times New Roman"/>
          <w:sz w:val="20"/>
          <w:szCs w:val="20"/>
        </w:rPr>
        <w:t>e counted’. See discussion in n 32</w:t>
      </w:r>
      <w:r w:rsidRPr="0075003C">
        <w:rPr>
          <w:rFonts w:ascii="Times New Roman" w:hAnsi="Times New Roman" w:cs="Times New Roman"/>
          <w:sz w:val="20"/>
          <w:szCs w:val="20"/>
        </w:rPr>
        <w:t xml:space="preserve"> below.</w:t>
      </w:r>
    </w:p>
  </w:footnote>
  <w:footnote w:id="25">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These remarks were reportedly made at the sentencing hearing: Kim Arlington, “Tearful Lane faces sentencing hearing”, </w:t>
      </w:r>
      <w:r w:rsidRPr="0075003C">
        <w:rPr>
          <w:rFonts w:ascii="Times New Roman" w:hAnsi="Times New Roman" w:cs="Times New Roman"/>
          <w:i/>
          <w:sz w:val="20"/>
          <w:szCs w:val="20"/>
        </w:rPr>
        <w:t>The Sydney Morning Herald</w:t>
      </w:r>
      <w:r w:rsidRPr="0075003C">
        <w:rPr>
          <w:rFonts w:ascii="Times New Roman" w:hAnsi="Times New Roman" w:cs="Times New Roman"/>
          <w:sz w:val="20"/>
          <w:szCs w:val="20"/>
        </w:rPr>
        <w:t xml:space="preserve"> (online) 11 March 2011 (</w:t>
      </w:r>
      <w:hyperlink r:id="rId9" w:history="1">
        <w:r w:rsidRPr="00B4372A">
          <w:rPr>
            <w:rStyle w:val="Hyperlink"/>
            <w:rFonts w:ascii="Times New Roman" w:hAnsi="Times New Roman" w:cs="Times New Roman"/>
            <w:sz w:val="20"/>
            <w:szCs w:val="20"/>
          </w:rPr>
          <w:t>http://www.smh.com.au/nsw/tearful-keli-lane-faces--sentencing-hearing-20110311-1bql7.html</w:t>
        </w:r>
      </w:hyperlink>
      <w:r w:rsidRPr="0075003C">
        <w:rPr>
          <w:rFonts w:ascii="Times New Roman" w:hAnsi="Times New Roman" w:cs="Times New Roman"/>
          <w:sz w:val="20"/>
          <w:szCs w:val="20"/>
        </w:rPr>
        <w:t xml:space="preserve">, accessed 24 March 2013). In his written sentencing reasons (above n </w:t>
      </w:r>
      <w:r>
        <w:rPr>
          <w:rFonts w:ascii="Times New Roman" w:hAnsi="Times New Roman" w:cs="Times New Roman"/>
          <w:sz w:val="20"/>
          <w:szCs w:val="20"/>
        </w:rPr>
        <w:t>7</w:t>
      </w:r>
      <w:r w:rsidRPr="0075003C">
        <w:rPr>
          <w:rFonts w:ascii="Times New Roman" w:hAnsi="Times New Roman" w:cs="Times New Roman"/>
          <w:sz w:val="20"/>
          <w:szCs w:val="20"/>
        </w:rPr>
        <w:t xml:space="preserve">) Justice Whealy is perhaps more circumspect, but reading </w:t>
      </w:r>
      <w:r>
        <w:rPr>
          <w:rFonts w:ascii="Times New Roman" w:hAnsi="Times New Roman" w:cs="Times New Roman"/>
          <w:sz w:val="20"/>
          <w:szCs w:val="20"/>
        </w:rPr>
        <w:t>between the lines it is evident</w:t>
      </w:r>
      <w:r w:rsidRPr="0075003C">
        <w:rPr>
          <w:rFonts w:ascii="Times New Roman" w:hAnsi="Times New Roman" w:cs="Times New Roman"/>
          <w:sz w:val="20"/>
          <w:szCs w:val="20"/>
        </w:rPr>
        <w:t xml:space="preserve"> that he is uneasy about elements of the Crown case.</w:t>
      </w:r>
    </w:p>
  </w:footnote>
  <w:footnote w:id="26">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Deborah Snow, “Judge reveals his doubts over Keli Lane conviction”, </w:t>
      </w:r>
      <w:r w:rsidRPr="0075003C">
        <w:rPr>
          <w:rFonts w:ascii="Times New Roman" w:hAnsi="Times New Roman" w:cs="Times New Roman"/>
          <w:i/>
          <w:sz w:val="20"/>
          <w:szCs w:val="20"/>
        </w:rPr>
        <w:t>The Sydney Morning Herald</w:t>
      </w:r>
      <w:r w:rsidRPr="0075003C">
        <w:rPr>
          <w:rFonts w:ascii="Times New Roman" w:hAnsi="Times New Roman" w:cs="Times New Roman"/>
          <w:sz w:val="20"/>
          <w:szCs w:val="20"/>
        </w:rPr>
        <w:t xml:space="preserve"> (online), </w:t>
      </w:r>
      <w:r>
        <w:rPr>
          <w:rFonts w:ascii="Times New Roman" w:hAnsi="Times New Roman" w:cs="Times New Roman"/>
          <w:sz w:val="20"/>
          <w:szCs w:val="20"/>
        </w:rPr>
        <w:t>24 November</w:t>
      </w:r>
      <w:r w:rsidRPr="0075003C">
        <w:rPr>
          <w:rFonts w:ascii="Times New Roman" w:hAnsi="Times New Roman" w:cs="Times New Roman"/>
          <w:sz w:val="20"/>
          <w:szCs w:val="20"/>
        </w:rPr>
        <w:t xml:space="preserve"> 2012 (</w:t>
      </w:r>
      <w:hyperlink r:id="rId10" w:history="1">
        <w:r w:rsidRPr="00B4372A">
          <w:rPr>
            <w:rStyle w:val="Hyperlink"/>
            <w:rFonts w:ascii="Times New Roman" w:hAnsi="Times New Roman" w:cs="Times New Roman"/>
            <w:sz w:val="20"/>
            <w:szCs w:val="20"/>
          </w:rPr>
          <w:t>http://www.smh.com.au/national/judge-reveals-his-doubts-over-keli-lane-conviction-20121123-29yut.html</w:t>
        </w:r>
      </w:hyperlink>
      <w:r w:rsidRPr="0075003C">
        <w:rPr>
          <w:rFonts w:ascii="Times New Roman" w:hAnsi="Times New Roman" w:cs="Times New Roman"/>
          <w:sz w:val="20"/>
          <w:szCs w:val="20"/>
        </w:rPr>
        <w:t>, accessed 24 March 2013).</w:t>
      </w:r>
      <w:r w:rsidR="000433F5">
        <w:rPr>
          <w:rFonts w:ascii="Times New Roman" w:hAnsi="Times New Roman" w:cs="Times New Roman"/>
          <w:sz w:val="20"/>
          <w:szCs w:val="20"/>
        </w:rPr>
        <w:t xml:space="preserve"> </w:t>
      </w:r>
    </w:p>
  </w:footnote>
  <w:footnote w:id="27">
    <w:p w:rsidR="0086558E" w:rsidRPr="0075003C" w:rsidRDefault="0086558E" w:rsidP="00AB4819">
      <w:pPr>
        <w:widowControl w:val="0"/>
        <w:autoSpaceDE w:val="0"/>
        <w:autoSpaceDN w:val="0"/>
        <w:adjustRightInd w:val="0"/>
        <w:jc w:val="both"/>
        <w:rPr>
          <w:rFonts w:ascii="Times New Roman" w:hAnsi="Times New Roman" w:cs="Times New Roman"/>
          <w:i/>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Seven year old Ebony died as a result of long term deprivation and neglect. Ebony’s parents were both tried, with her mother convicted of murder and her father of manslaughter: </w:t>
      </w:r>
      <w:r w:rsidRPr="0075003C">
        <w:rPr>
          <w:rFonts w:ascii="Times New Roman" w:hAnsi="Times New Roman" w:cs="Times New Roman"/>
          <w:bCs/>
          <w:i/>
          <w:sz w:val="20"/>
          <w:szCs w:val="20"/>
        </w:rPr>
        <w:t>R v BW &amp; SW (No 3)</w:t>
      </w:r>
      <w:r w:rsidRPr="0075003C">
        <w:rPr>
          <w:rFonts w:ascii="Times New Roman" w:hAnsi="Times New Roman" w:cs="Times New Roman"/>
          <w:bCs/>
          <w:sz w:val="20"/>
          <w:szCs w:val="20"/>
        </w:rPr>
        <w:t xml:space="preserve"> [2009] NSWSC 1043 (2 October 2009).</w:t>
      </w:r>
      <w:r w:rsidRPr="0075003C">
        <w:rPr>
          <w:rFonts w:ascii="Times New Roman" w:hAnsi="Times New Roman" w:cs="Times New Roman"/>
          <w:b/>
          <w:bCs/>
          <w:sz w:val="20"/>
          <w:szCs w:val="20"/>
        </w:rPr>
        <w:t xml:space="preserve"> </w:t>
      </w:r>
      <w:r w:rsidRPr="0075003C">
        <w:rPr>
          <w:rFonts w:ascii="Times New Roman" w:hAnsi="Times New Roman" w:cs="Times New Roman"/>
          <w:sz w:val="20"/>
          <w:szCs w:val="20"/>
        </w:rPr>
        <w:t>Rachel Pfitz</w:t>
      </w:r>
      <w:r>
        <w:rPr>
          <w:rFonts w:ascii="Times New Roman" w:hAnsi="Times New Roman" w:cs="Times New Roman"/>
          <w:sz w:val="20"/>
          <w:szCs w:val="20"/>
        </w:rPr>
        <w:t>n</w:t>
      </w:r>
      <w:r w:rsidRPr="0075003C">
        <w:rPr>
          <w:rFonts w:ascii="Times New Roman" w:hAnsi="Times New Roman" w:cs="Times New Roman"/>
          <w:sz w:val="20"/>
          <w:szCs w:val="20"/>
        </w:rPr>
        <w:t xml:space="preserve">er pleaded guilty to the murder of her two year old son, Dean Shillingsworth: </w:t>
      </w:r>
      <w:r w:rsidRPr="0075003C">
        <w:rPr>
          <w:rFonts w:ascii="Times New Roman" w:hAnsi="Times New Roman" w:cs="Times New Roman"/>
          <w:bCs/>
          <w:i/>
          <w:sz w:val="20"/>
          <w:szCs w:val="20"/>
        </w:rPr>
        <w:t>R v Pfitzner</w:t>
      </w:r>
      <w:r w:rsidRPr="0075003C">
        <w:rPr>
          <w:rFonts w:ascii="Times New Roman" w:hAnsi="Times New Roman" w:cs="Times New Roman"/>
          <w:bCs/>
          <w:sz w:val="20"/>
          <w:szCs w:val="20"/>
        </w:rPr>
        <w:t xml:space="preserve"> [2009] NSWSC 1267.</w:t>
      </w:r>
      <w:r w:rsidRPr="0075003C">
        <w:rPr>
          <w:rFonts w:ascii="Times New Roman" w:hAnsi="Times New Roman" w:cs="Times New Roman"/>
          <w:b/>
          <w:bCs/>
          <w:sz w:val="20"/>
          <w:szCs w:val="20"/>
        </w:rPr>
        <w:t xml:space="preserve"> </w:t>
      </w:r>
      <w:r w:rsidRPr="0075003C">
        <w:rPr>
          <w:rFonts w:ascii="Times New Roman" w:hAnsi="Times New Roman" w:cs="Times New Roman"/>
          <w:sz w:val="20"/>
          <w:szCs w:val="20"/>
        </w:rPr>
        <w:t>In both cases it was conceded that the Department of Community Services had failed to adequately respond</w:t>
      </w:r>
      <w:r>
        <w:rPr>
          <w:rFonts w:ascii="Times New Roman" w:hAnsi="Times New Roman" w:cs="Times New Roman"/>
          <w:sz w:val="20"/>
          <w:szCs w:val="20"/>
        </w:rPr>
        <w:t xml:space="preserve"> to reports about risks facing </w:t>
      </w:r>
      <w:r w:rsidRPr="0075003C">
        <w:rPr>
          <w:rFonts w:ascii="Times New Roman" w:hAnsi="Times New Roman" w:cs="Times New Roman"/>
          <w:sz w:val="20"/>
          <w:szCs w:val="20"/>
        </w:rPr>
        <w:t xml:space="preserve">the children (and the families) involved. See </w:t>
      </w:r>
      <w:r>
        <w:rPr>
          <w:rFonts w:ascii="Times New Roman" w:hAnsi="Times New Roman" w:cs="Times New Roman"/>
          <w:i/>
          <w:sz w:val="20"/>
          <w:szCs w:val="20"/>
        </w:rPr>
        <w:t>The Death of Ebony: The Need for an Effective Interagency Response to C</w:t>
      </w:r>
      <w:r w:rsidRPr="0075003C">
        <w:rPr>
          <w:rFonts w:ascii="Times New Roman" w:hAnsi="Times New Roman" w:cs="Times New Roman"/>
          <w:i/>
          <w:sz w:val="20"/>
          <w:szCs w:val="20"/>
        </w:rPr>
        <w:t>hil</w:t>
      </w:r>
      <w:r>
        <w:rPr>
          <w:rFonts w:ascii="Times New Roman" w:hAnsi="Times New Roman" w:cs="Times New Roman"/>
          <w:i/>
          <w:sz w:val="20"/>
          <w:szCs w:val="20"/>
        </w:rPr>
        <w:t>dren at R</w:t>
      </w:r>
      <w:r w:rsidRPr="0075003C">
        <w:rPr>
          <w:rFonts w:ascii="Times New Roman" w:hAnsi="Times New Roman" w:cs="Times New Roman"/>
          <w:i/>
          <w:sz w:val="20"/>
          <w:szCs w:val="20"/>
        </w:rPr>
        <w:t>isk</w:t>
      </w:r>
      <w:r w:rsidRPr="0075003C">
        <w:rPr>
          <w:rFonts w:ascii="Times New Roman" w:hAnsi="Times New Roman" w:cs="Times New Roman"/>
          <w:sz w:val="20"/>
          <w:szCs w:val="20"/>
        </w:rPr>
        <w:t xml:space="preserve"> (</w:t>
      </w:r>
      <w:r w:rsidRPr="0075003C">
        <w:rPr>
          <w:rStyle w:val="A01"/>
          <w:rFonts w:ascii="Times New Roman" w:hAnsi="Times New Roman" w:cs="Times New Roman"/>
          <w:sz w:val="20"/>
          <w:szCs w:val="20"/>
        </w:rPr>
        <w:t xml:space="preserve">New South Wales Ombudsman, </w:t>
      </w:r>
      <w:r>
        <w:rPr>
          <w:rStyle w:val="A11"/>
          <w:rFonts w:ascii="Times New Roman" w:hAnsi="Times New Roman" w:cs="Times New Roman"/>
          <w:sz w:val="20"/>
          <w:szCs w:val="20"/>
        </w:rPr>
        <w:t>Special R</w:t>
      </w:r>
      <w:r w:rsidRPr="0075003C">
        <w:rPr>
          <w:rStyle w:val="A11"/>
          <w:rFonts w:ascii="Times New Roman" w:hAnsi="Times New Roman" w:cs="Times New Roman"/>
          <w:sz w:val="20"/>
          <w:szCs w:val="20"/>
        </w:rPr>
        <w:t xml:space="preserve">eport to Parliament under section 31 of the </w:t>
      </w:r>
      <w:r w:rsidRPr="0075003C">
        <w:rPr>
          <w:rStyle w:val="A11"/>
          <w:rFonts w:ascii="Times New Roman" w:hAnsi="Times New Roman" w:cs="Times New Roman"/>
          <w:i/>
          <w:iCs/>
          <w:sz w:val="20"/>
          <w:szCs w:val="20"/>
        </w:rPr>
        <w:t>Ombudsman Act 1974</w:t>
      </w:r>
      <w:r w:rsidRPr="0075003C">
        <w:rPr>
          <w:rStyle w:val="A11"/>
          <w:rFonts w:ascii="Times New Roman" w:hAnsi="Times New Roman" w:cs="Times New Roman"/>
          <w:sz w:val="20"/>
          <w:szCs w:val="20"/>
        </w:rPr>
        <w:t xml:space="preserve">, October 2009) and </w:t>
      </w:r>
      <w:r>
        <w:rPr>
          <w:rStyle w:val="A01"/>
          <w:rFonts w:ascii="Times New Roman" w:hAnsi="Times New Roman" w:cs="Times New Roman"/>
          <w:i/>
          <w:sz w:val="20"/>
          <w:szCs w:val="20"/>
        </w:rPr>
        <w:t>The D</w:t>
      </w:r>
      <w:r w:rsidRPr="0075003C">
        <w:rPr>
          <w:rStyle w:val="A01"/>
          <w:rFonts w:ascii="Times New Roman" w:hAnsi="Times New Roman" w:cs="Times New Roman"/>
          <w:i/>
          <w:sz w:val="20"/>
          <w:szCs w:val="20"/>
        </w:rPr>
        <w:t>eath of</w:t>
      </w:r>
      <w:r>
        <w:rPr>
          <w:rStyle w:val="A01"/>
          <w:rFonts w:ascii="Times New Roman" w:hAnsi="Times New Roman" w:cs="Times New Roman"/>
          <w:i/>
          <w:sz w:val="20"/>
          <w:szCs w:val="20"/>
        </w:rPr>
        <w:t xml:space="preserve"> Dean Shillingsworth: Critical Challenges in the Context of Reforms to the Child Protection S</w:t>
      </w:r>
      <w:r w:rsidRPr="0075003C">
        <w:rPr>
          <w:rStyle w:val="A01"/>
          <w:rFonts w:ascii="Times New Roman" w:hAnsi="Times New Roman" w:cs="Times New Roman"/>
          <w:i/>
          <w:sz w:val="20"/>
          <w:szCs w:val="20"/>
        </w:rPr>
        <w:t xml:space="preserve">ystem </w:t>
      </w:r>
      <w:r w:rsidRPr="0075003C">
        <w:rPr>
          <w:rStyle w:val="A01"/>
          <w:rFonts w:ascii="Times New Roman" w:hAnsi="Times New Roman" w:cs="Times New Roman"/>
          <w:sz w:val="20"/>
          <w:szCs w:val="20"/>
        </w:rPr>
        <w:t xml:space="preserve">(New South Wales Ombudsman, </w:t>
      </w:r>
      <w:r>
        <w:rPr>
          <w:rStyle w:val="A11"/>
          <w:rFonts w:ascii="Times New Roman" w:hAnsi="Times New Roman" w:cs="Times New Roman"/>
          <w:sz w:val="20"/>
          <w:szCs w:val="20"/>
        </w:rPr>
        <w:t>Special R</w:t>
      </w:r>
      <w:r w:rsidRPr="0075003C">
        <w:rPr>
          <w:rStyle w:val="A11"/>
          <w:rFonts w:ascii="Times New Roman" w:hAnsi="Times New Roman" w:cs="Times New Roman"/>
          <w:sz w:val="20"/>
          <w:szCs w:val="20"/>
        </w:rPr>
        <w:t xml:space="preserve">eport to Parliament under section 31 of the </w:t>
      </w:r>
      <w:r w:rsidRPr="0075003C">
        <w:rPr>
          <w:rStyle w:val="A11"/>
          <w:rFonts w:ascii="Times New Roman" w:hAnsi="Times New Roman" w:cs="Times New Roman"/>
          <w:i/>
          <w:iCs/>
          <w:sz w:val="20"/>
          <w:szCs w:val="20"/>
        </w:rPr>
        <w:t>Ombudsman Act 1974</w:t>
      </w:r>
      <w:r w:rsidRPr="0075003C">
        <w:rPr>
          <w:rStyle w:val="A11"/>
          <w:rFonts w:ascii="Times New Roman" w:hAnsi="Times New Roman" w:cs="Times New Roman"/>
          <w:sz w:val="20"/>
          <w:szCs w:val="20"/>
        </w:rPr>
        <w:t>, December 2009). Both cases were catalyst</w:t>
      </w:r>
      <w:r>
        <w:rPr>
          <w:rStyle w:val="A11"/>
          <w:rFonts w:ascii="Times New Roman" w:hAnsi="Times New Roman" w:cs="Times New Roman"/>
          <w:sz w:val="20"/>
          <w:szCs w:val="20"/>
        </w:rPr>
        <w:t>s</w:t>
      </w:r>
      <w:r w:rsidRPr="0075003C">
        <w:rPr>
          <w:rStyle w:val="A11"/>
          <w:rFonts w:ascii="Times New Roman" w:hAnsi="Times New Roman" w:cs="Times New Roman"/>
          <w:sz w:val="20"/>
          <w:szCs w:val="20"/>
        </w:rPr>
        <w:t xml:space="preserve"> for the establishment of a </w:t>
      </w:r>
      <w:r w:rsidRPr="0075003C">
        <w:rPr>
          <w:rFonts w:ascii="Times New Roman" w:hAnsi="Times New Roman" w:cs="Times New Roman"/>
          <w:sz w:val="20"/>
          <w:szCs w:val="20"/>
        </w:rPr>
        <w:t>Special Commission of Inquiry into Child Protection Services in NSW, headed by Justice James Wood AO QC.</w:t>
      </w:r>
    </w:p>
  </w:footnote>
  <w:footnote w:id="28">
    <w:p w:rsidR="0086558E" w:rsidRPr="0075003C" w:rsidRDefault="0086558E" w:rsidP="00160696">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It was the death of Folbigg’s fourth child, Laura, which prompted a revisiting of the conclusions with respect to the prior children, whose deaths had initially been attributed to SIDS.</w:t>
      </w:r>
    </w:p>
  </w:footnote>
  <w:footnote w:id="29">
    <w:p w:rsidR="0086558E" w:rsidRPr="00065D50" w:rsidRDefault="0086558E" w:rsidP="00160696">
      <w:pPr>
        <w:widowControl w:val="0"/>
        <w:autoSpaceDE w:val="0"/>
        <w:autoSpaceDN w:val="0"/>
        <w:adjustRightInd w:val="0"/>
        <w:jc w:val="both"/>
        <w:rPr>
          <w:rFonts w:ascii="Arial" w:hAnsi="Arial" w:cs="Arial"/>
          <w:color w:val="262626"/>
          <w:sz w:val="30"/>
          <w:szCs w:val="3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An investigation into child abuse within Indigenous communities culminated in the </w:t>
      </w:r>
      <w:r w:rsidRPr="0075003C">
        <w:rPr>
          <w:rFonts w:ascii="Times New Roman" w:hAnsi="Times New Roman" w:cs="Times New Roman"/>
          <w:i/>
          <w:sz w:val="20"/>
          <w:szCs w:val="20"/>
        </w:rPr>
        <w:t>Little Children are Sacred</w:t>
      </w:r>
      <w:r>
        <w:rPr>
          <w:rFonts w:ascii="Times New Roman" w:hAnsi="Times New Roman" w:cs="Times New Roman"/>
          <w:sz w:val="20"/>
          <w:szCs w:val="20"/>
        </w:rPr>
        <w:t xml:space="preserve"> r</w:t>
      </w:r>
      <w:r w:rsidRPr="0075003C">
        <w:rPr>
          <w:rFonts w:ascii="Times New Roman" w:hAnsi="Times New Roman" w:cs="Times New Roman"/>
          <w:sz w:val="20"/>
          <w:szCs w:val="20"/>
        </w:rPr>
        <w:t xml:space="preserve">eport that identified endemic and entrenched problems within Indigenous communities and made a number of recommendations. </w:t>
      </w:r>
      <w:r>
        <w:rPr>
          <w:rFonts w:ascii="Times New Roman" w:hAnsi="Times New Roman" w:cs="Times New Roman"/>
          <w:sz w:val="20"/>
          <w:szCs w:val="20"/>
        </w:rPr>
        <w:t>The extent to which the recommendations have been implemented is contested, but the r</w:t>
      </w:r>
      <w:r w:rsidRPr="0075003C">
        <w:rPr>
          <w:rFonts w:ascii="Times New Roman" w:hAnsi="Times New Roman" w:cs="Times New Roman"/>
          <w:sz w:val="20"/>
          <w:szCs w:val="20"/>
        </w:rPr>
        <w:t xml:space="preserve">eport was used as the trigger, by the then conservative government, for rapid deployment of inconsistent and punitive health, welfare and legal regimes across communities in the Northern Territory Emergency Response. </w:t>
      </w:r>
      <w:r>
        <w:rPr>
          <w:rFonts w:ascii="Times New Roman" w:hAnsi="Times New Roman" w:cs="Times New Roman"/>
          <w:sz w:val="20"/>
          <w:szCs w:val="20"/>
        </w:rPr>
        <w:t xml:space="preserve"> See, more generally, </w:t>
      </w:r>
      <w:r w:rsidRPr="00065D50">
        <w:rPr>
          <w:rFonts w:ascii="Times New Roman" w:hAnsi="Times New Roman" w:cs="Times New Roman"/>
          <w:sz w:val="20"/>
          <w:szCs w:val="20"/>
        </w:rPr>
        <w:t>John Chesterman a</w:t>
      </w:r>
      <w:r>
        <w:rPr>
          <w:rFonts w:ascii="Times New Roman" w:hAnsi="Times New Roman" w:cs="Times New Roman"/>
          <w:sz w:val="20"/>
          <w:szCs w:val="20"/>
        </w:rPr>
        <w:t>nd Heather Douglas, “</w:t>
      </w:r>
      <w:r w:rsidRPr="00065D50">
        <w:rPr>
          <w:rFonts w:ascii="Times New Roman" w:hAnsi="Times New Roman" w:cs="Times New Roman"/>
          <w:sz w:val="20"/>
          <w:szCs w:val="20"/>
        </w:rPr>
        <w:t>Law on Australia’s Northern Frontier: The Fall and Rise of Race</w:t>
      </w:r>
      <w:r>
        <w:rPr>
          <w:rFonts w:ascii="Times New Roman" w:hAnsi="Times New Roman" w:cs="Times New Roman"/>
          <w:sz w:val="20"/>
          <w:szCs w:val="20"/>
        </w:rPr>
        <w:t>”</w:t>
      </w:r>
      <w:r w:rsidRPr="00065D50">
        <w:rPr>
          <w:rFonts w:ascii="Times New Roman" w:hAnsi="Times New Roman" w:cs="Times New Roman"/>
          <w:sz w:val="20"/>
          <w:szCs w:val="20"/>
        </w:rPr>
        <w:t xml:space="preserve"> (2009) 24(1) </w:t>
      </w:r>
      <w:r w:rsidRPr="00065D50">
        <w:rPr>
          <w:rFonts w:ascii="Times New Roman" w:hAnsi="Times New Roman" w:cs="Times New Roman"/>
          <w:i/>
          <w:sz w:val="20"/>
          <w:szCs w:val="20"/>
        </w:rPr>
        <w:t>Canadian Journal of Law and Society</w:t>
      </w:r>
      <w:r w:rsidRPr="00065D50">
        <w:rPr>
          <w:rFonts w:ascii="Times New Roman" w:hAnsi="Times New Roman" w:cs="Times New Roman"/>
          <w:sz w:val="20"/>
          <w:szCs w:val="20"/>
        </w:rPr>
        <w:t xml:space="preserve"> 69.</w:t>
      </w:r>
    </w:p>
  </w:footnote>
  <w:footnote w:id="30">
    <w:p w:rsidR="0086558E" w:rsidRPr="0075003C" w:rsidRDefault="0086558E" w:rsidP="00160696">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Robert Hariman, “Performing the Laws: Popular Trials and Social Knowledge” in Robert Hariman (ed), </w:t>
      </w:r>
      <w:r w:rsidRPr="0075003C">
        <w:rPr>
          <w:rFonts w:ascii="Times New Roman" w:hAnsi="Times New Roman" w:cs="Times New Roman"/>
          <w:i/>
          <w:sz w:val="20"/>
          <w:szCs w:val="20"/>
        </w:rPr>
        <w:t>Popular Trials: Rhetoric, Mass Media, and the Law</w:t>
      </w:r>
      <w:r w:rsidRPr="0075003C">
        <w:rPr>
          <w:rFonts w:ascii="Times New Roman" w:hAnsi="Times New Roman" w:cs="Times New Roman"/>
          <w:sz w:val="20"/>
          <w:szCs w:val="20"/>
        </w:rPr>
        <w:t xml:space="preserve"> (University of Alabama Press, 1990). See also Barry Brummet, “Mediating the Laws: Popular Trials and the Mass Media” in the same volume. </w:t>
      </w:r>
    </w:p>
  </w:footnote>
  <w:footnote w:id="31">
    <w:p w:rsidR="0086558E" w:rsidRPr="0075003C" w:rsidRDefault="0086558E" w:rsidP="00160696">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Nancy Fraser, </w:t>
      </w:r>
      <w:r w:rsidRPr="0075003C">
        <w:rPr>
          <w:rFonts w:ascii="Times New Roman" w:hAnsi="Times New Roman" w:cs="Times New Roman"/>
          <w:i/>
          <w:sz w:val="20"/>
          <w:szCs w:val="20"/>
        </w:rPr>
        <w:t>Justice Interruptus</w:t>
      </w:r>
      <w:r w:rsidRPr="0075003C">
        <w:rPr>
          <w:rFonts w:ascii="Times New Roman" w:hAnsi="Times New Roman" w:cs="Times New Roman"/>
          <w:sz w:val="20"/>
          <w:szCs w:val="20"/>
        </w:rPr>
        <w:t xml:space="preserve">: </w:t>
      </w:r>
      <w:r>
        <w:rPr>
          <w:rFonts w:ascii="Times New Roman" w:hAnsi="Times New Roman" w:cs="Times New Roman"/>
          <w:i/>
          <w:sz w:val="20"/>
          <w:szCs w:val="20"/>
        </w:rPr>
        <w:t>Critical R</w:t>
      </w:r>
      <w:r w:rsidRPr="0075003C">
        <w:rPr>
          <w:rFonts w:ascii="Times New Roman" w:hAnsi="Times New Roman" w:cs="Times New Roman"/>
          <w:i/>
          <w:sz w:val="20"/>
          <w:szCs w:val="20"/>
        </w:rPr>
        <w:t xml:space="preserve">eflections on the ‘Postsocialist’ Condition </w:t>
      </w:r>
      <w:r w:rsidRPr="0075003C">
        <w:rPr>
          <w:rFonts w:ascii="Times New Roman" w:hAnsi="Times New Roman" w:cs="Times New Roman"/>
          <w:sz w:val="20"/>
          <w:szCs w:val="20"/>
        </w:rPr>
        <w:t xml:space="preserve">(Routledge, 1997) 99. </w:t>
      </w:r>
    </w:p>
  </w:footnote>
  <w:footnote w:id="32">
    <w:p w:rsidR="0086558E" w:rsidRPr="0075003C" w:rsidRDefault="0086558E" w:rsidP="00AB4819">
      <w:pPr>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Murder, Medicine and Motherhood</w:t>
      </w:r>
      <w:r w:rsidRPr="0075003C">
        <w:rPr>
          <w:rFonts w:ascii="Times New Roman" w:hAnsi="Times New Roman" w:cs="Times New Roman"/>
          <w:sz w:val="20"/>
          <w:szCs w:val="20"/>
        </w:rPr>
        <w:t xml:space="preserve"> dr</w:t>
      </w:r>
      <w:r>
        <w:rPr>
          <w:rFonts w:ascii="Times New Roman" w:hAnsi="Times New Roman" w:cs="Times New Roman"/>
          <w:sz w:val="20"/>
          <w:szCs w:val="20"/>
        </w:rPr>
        <w:t xml:space="preserve">aws on work by Sheila Jasanoff </w:t>
      </w:r>
      <w:r w:rsidRPr="0075003C">
        <w:rPr>
          <w:rFonts w:ascii="Times New Roman" w:hAnsi="Times New Roman" w:cs="Times New Roman"/>
          <w:sz w:val="20"/>
          <w:szCs w:val="20"/>
        </w:rPr>
        <w:t>in characterising the relationships between the courts and science/expertise as one of copro</w:t>
      </w:r>
      <w:r>
        <w:rPr>
          <w:rFonts w:ascii="Times New Roman" w:hAnsi="Times New Roman" w:cs="Times New Roman"/>
          <w:sz w:val="20"/>
          <w:szCs w:val="20"/>
        </w:rPr>
        <w:t>duction: s</w:t>
      </w:r>
      <w:r w:rsidRPr="0075003C">
        <w:rPr>
          <w:rFonts w:ascii="Times New Roman" w:hAnsi="Times New Roman" w:cs="Times New Roman"/>
          <w:sz w:val="20"/>
          <w:szCs w:val="20"/>
        </w:rPr>
        <w:t xml:space="preserve">ee </w:t>
      </w:r>
      <w:r w:rsidRPr="0075003C">
        <w:rPr>
          <w:rFonts w:ascii="Times New Roman" w:hAnsi="Times New Roman" w:cs="Times New Roman"/>
          <w:i/>
          <w:sz w:val="20"/>
          <w:szCs w:val="20"/>
        </w:rPr>
        <w:t>Science at the Bar: Law, Science and Technology in America</w:t>
      </w:r>
      <w:r w:rsidRPr="0075003C">
        <w:rPr>
          <w:rFonts w:ascii="Times New Roman" w:hAnsi="Times New Roman" w:cs="Times New Roman"/>
          <w:sz w:val="20"/>
          <w:szCs w:val="20"/>
        </w:rPr>
        <w:t xml:space="preserve"> (Harv</w:t>
      </w:r>
      <w:r>
        <w:rPr>
          <w:rFonts w:ascii="Times New Roman" w:hAnsi="Times New Roman" w:cs="Times New Roman"/>
          <w:sz w:val="20"/>
          <w:szCs w:val="20"/>
        </w:rPr>
        <w:t xml:space="preserve">ard University Press, 1995). See </w:t>
      </w:r>
      <w:r w:rsidRPr="0075003C">
        <w:rPr>
          <w:rFonts w:ascii="Times New Roman" w:hAnsi="Times New Roman" w:cs="Times New Roman"/>
          <w:sz w:val="20"/>
          <w:szCs w:val="20"/>
        </w:rPr>
        <w:t xml:space="preserve">also Bruno Latour, </w:t>
      </w:r>
      <w:r>
        <w:rPr>
          <w:rFonts w:ascii="Times New Roman" w:hAnsi="Times New Roman" w:cs="Times New Roman"/>
          <w:i/>
          <w:sz w:val="20"/>
          <w:szCs w:val="20"/>
        </w:rPr>
        <w:t>Science in A</w:t>
      </w:r>
      <w:r w:rsidRPr="0075003C">
        <w:rPr>
          <w:rFonts w:ascii="Times New Roman" w:hAnsi="Times New Roman" w:cs="Times New Roman"/>
          <w:i/>
          <w:sz w:val="20"/>
          <w:szCs w:val="20"/>
        </w:rPr>
        <w:t>ction</w:t>
      </w:r>
      <w:r w:rsidRPr="0075003C">
        <w:rPr>
          <w:rFonts w:ascii="Times New Roman" w:hAnsi="Times New Roman" w:cs="Times New Roman"/>
          <w:sz w:val="20"/>
          <w:szCs w:val="20"/>
        </w:rPr>
        <w:t xml:space="preserve"> (Harvard University Press, 1987). Coproduction provides a useful framework for understanding that when it comes to the generation of expert knowledge within and for a legal dispute, a reciprocal relationship of influence, like the dimension of interpretation, is likely to be inevitable, and is not </w:t>
      </w:r>
      <w:r w:rsidRPr="0075003C">
        <w:rPr>
          <w:rFonts w:ascii="Times New Roman" w:hAnsi="Times New Roman" w:cs="Times New Roman"/>
          <w:i/>
          <w:sz w:val="20"/>
          <w:szCs w:val="20"/>
        </w:rPr>
        <w:t>necessarily</w:t>
      </w:r>
      <w:r w:rsidRPr="0075003C">
        <w:rPr>
          <w:rFonts w:ascii="Times New Roman" w:hAnsi="Times New Roman" w:cs="Times New Roman"/>
          <w:sz w:val="20"/>
          <w:szCs w:val="20"/>
        </w:rPr>
        <w:t xml:space="preserve"> suspect. However, in a case such as </w:t>
      </w:r>
      <w:r w:rsidRPr="0075003C">
        <w:rPr>
          <w:rFonts w:ascii="Times New Roman" w:hAnsi="Times New Roman" w:cs="Times New Roman"/>
          <w:i/>
          <w:sz w:val="20"/>
          <w:szCs w:val="20"/>
        </w:rPr>
        <w:t>Folbigg</w:t>
      </w:r>
      <w:r w:rsidRPr="0075003C">
        <w:rPr>
          <w:rFonts w:ascii="Times New Roman" w:hAnsi="Times New Roman" w:cs="Times New Roman"/>
          <w:sz w:val="20"/>
          <w:szCs w:val="20"/>
        </w:rPr>
        <w:t>, dealing as it does with a di</w:t>
      </w:r>
      <w:r>
        <w:rPr>
          <w:rFonts w:ascii="Times New Roman" w:hAnsi="Times New Roman" w:cs="Times New Roman"/>
          <w:sz w:val="20"/>
          <w:szCs w:val="20"/>
        </w:rPr>
        <w:t>agnosis, and medical literature,</w:t>
      </w:r>
      <w:r w:rsidRPr="0075003C">
        <w:rPr>
          <w:rFonts w:ascii="Times New Roman" w:hAnsi="Times New Roman" w:cs="Times New Roman"/>
          <w:sz w:val="20"/>
          <w:szCs w:val="20"/>
        </w:rPr>
        <w:t xml:space="preserve"> that is complex, contested and inflected by normative ideologies, these dynamics operate in ways that are not only hegemonic, but also particularly difficult for the defence to expose adequately.  Even in a case such as </w:t>
      </w:r>
      <w:r w:rsidRPr="0075003C">
        <w:rPr>
          <w:rFonts w:ascii="Times New Roman" w:hAnsi="Times New Roman" w:cs="Times New Roman"/>
          <w:i/>
          <w:sz w:val="20"/>
          <w:szCs w:val="20"/>
        </w:rPr>
        <w:t>Wood</w:t>
      </w:r>
      <w:r w:rsidRPr="0075003C">
        <w:rPr>
          <w:rFonts w:ascii="Times New Roman" w:hAnsi="Times New Roman" w:cs="Times New Roman"/>
          <w:sz w:val="20"/>
          <w:szCs w:val="20"/>
        </w:rPr>
        <w:t xml:space="preserve"> where the ‘coproduction’, and indeed the deficiencies of the expert evidence, appear in retrospect to be so transparent as to be almost (blackly) comic, none the less a well resourced and experienced defence was unable to counter effectivel</w:t>
      </w:r>
      <w:r>
        <w:rPr>
          <w:rFonts w:ascii="Times New Roman" w:hAnsi="Times New Roman" w:cs="Times New Roman"/>
          <w:sz w:val="20"/>
          <w:szCs w:val="20"/>
        </w:rPr>
        <w:t>y the inherent weaknesses in Cross’s</w:t>
      </w:r>
      <w:r w:rsidRPr="0075003C">
        <w:rPr>
          <w:rFonts w:ascii="Times New Roman" w:hAnsi="Times New Roman" w:cs="Times New Roman"/>
          <w:sz w:val="20"/>
          <w:szCs w:val="20"/>
        </w:rPr>
        <w:t xml:space="preserve"> evidence, nor to adequately reveal </w:t>
      </w:r>
      <w:r>
        <w:rPr>
          <w:rFonts w:ascii="Times New Roman" w:hAnsi="Times New Roman" w:cs="Times New Roman"/>
          <w:sz w:val="20"/>
          <w:szCs w:val="20"/>
        </w:rPr>
        <w:t>his</w:t>
      </w:r>
      <w:r w:rsidRPr="0075003C">
        <w:rPr>
          <w:rFonts w:ascii="Times New Roman" w:hAnsi="Times New Roman" w:cs="Times New Roman"/>
          <w:sz w:val="20"/>
          <w:szCs w:val="20"/>
        </w:rPr>
        <w:t xml:space="preserve"> involvement in the investigation. As discussed further below (see n</w:t>
      </w:r>
      <w:r>
        <w:rPr>
          <w:rFonts w:ascii="Times New Roman" w:hAnsi="Times New Roman" w:cs="Times New Roman"/>
          <w:sz w:val="20"/>
          <w:szCs w:val="20"/>
        </w:rPr>
        <w:t xml:space="preserve"> 61</w:t>
      </w:r>
      <w:r w:rsidRPr="0075003C">
        <w:rPr>
          <w:rFonts w:ascii="Times New Roman" w:hAnsi="Times New Roman" w:cs="Times New Roman"/>
          <w:sz w:val="20"/>
          <w:szCs w:val="20"/>
        </w:rPr>
        <w:t xml:space="preserve"> and surrounding discussion), developing what Emma terms a </w:t>
      </w:r>
      <w:r w:rsidRPr="0075003C">
        <w:rPr>
          <w:rFonts w:ascii="Times New Roman" w:hAnsi="Times New Roman" w:cs="Times New Roman"/>
          <w:i/>
          <w:sz w:val="20"/>
          <w:szCs w:val="20"/>
        </w:rPr>
        <w:t>robust</w:t>
      </w:r>
      <w:r w:rsidRPr="0075003C">
        <w:rPr>
          <w:rFonts w:ascii="Times New Roman" w:hAnsi="Times New Roman" w:cs="Times New Roman"/>
          <w:sz w:val="20"/>
          <w:szCs w:val="20"/>
        </w:rPr>
        <w:t xml:space="preserve"> account </w:t>
      </w:r>
      <w:r>
        <w:rPr>
          <w:rFonts w:ascii="Times New Roman" w:hAnsi="Times New Roman" w:cs="Times New Roman"/>
          <w:sz w:val="20"/>
          <w:szCs w:val="20"/>
        </w:rPr>
        <w:t xml:space="preserve">of </w:t>
      </w:r>
      <w:r w:rsidRPr="0075003C">
        <w:rPr>
          <w:rFonts w:ascii="Times New Roman" w:hAnsi="Times New Roman" w:cs="Times New Roman"/>
          <w:sz w:val="20"/>
          <w:szCs w:val="20"/>
        </w:rPr>
        <w:t>the reciprocal relationships between science and law is a necessary part of developing an adequate response to the management of expertise and expert knowledge within the trial. See also</w:t>
      </w:r>
      <w:r>
        <w:rPr>
          <w:rFonts w:ascii="Times New Roman" w:hAnsi="Times New Roman" w:cs="Times New Roman"/>
          <w:sz w:val="20"/>
          <w:szCs w:val="20"/>
        </w:rPr>
        <w:t xml:space="preserve">, in a related vein, Gary Edmond, “Supersizing </w:t>
      </w:r>
      <w:r w:rsidRPr="00281377">
        <w:rPr>
          <w:rFonts w:ascii="Times New Roman" w:hAnsi="Times New Roman" w:cs="Times New Roman"/>
          <w:i/>
          <w:sz w:val="20"/>
          <w:szCs w:val="20"/>
        </w:rPr>
        <w:t>Daubert Science for Litigation</w:t>
      </w:r>
      <w:r w:rsidRPr="0075003C">
        <w:rPr>
          <w:rFonts w:ascii="Times New Roman" w:hAnsi="Times New Roman" w:cs="Times New Roman"/>
          <w:sz w:val="20"/>
          <w:szCs w:val="20"/>
        </w:rPr>
        <w:t xml:space="preserve"> </w:t>
      </w:r>
      <w:r>
        <w:rPr>
          <w:rFonts w:ascii="Times New Roman" w:hAnsi="Times New Roman" w:cs="Times New Roman"/>
          <w:sz w:val="20"/>
          <w:szCs w:val="20"/>
        </w:rPr>
        <w:t xml:space="preserve">and its Implications for Legal Practice and Scientific Research” (2007) 52 </w:t>
      </w:r>
      <w:r w:rsidRPr="00281377">
        <w:rPr>
          <w:rFonts w:ascii="Times New Roman" w:hAnsi="Times New Roman" w:cs="Times New Roman"/>
          <w:i/>
          <w:sz w:val="20"/>
          <w:szCs w:val="20"/>
        </w:rPr>
        <w:t>Villanova Law Review</w:t>
      </w:r>
      <w:r>
        <w:rPr>
          <w:rFonts w:ascii="Times New Roman" w:hAnsi="Times New Roman" w:cs="Times New Roman"/>
          <w:sz w:val="20"/>
          <w:szCs w:val="20"/>
        </w:rPr>
        <w:t xml:space="preserve"> 857.</w:t>
      </w:r>
    </w:p>
  </w:footnote>
  <w:footnote w:id="33">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Mo</w:t>
      </w:r>
      <w:r>
        <w:rPr>
          <w:rFonts w:ascii="Times New Roman" w:hAnsi="Times New Roman" w:cs="Times New Roman"/>
          <w:sz w:val="20"/>
          <w:szCs w:val="20"/>
        </w:rPr>
        <w:t>st prominent here was the realis</w:t>
      </w:r>
      <w:r w:rsidRPr="0075003C">
        <w:rPr>
          <w:rFonts w:ascii="Times New Roman" w:hAnsi="Times New Roman" w:cs="Times New Roman"/>
          <w:sz w:val="20"/>
          <w:szCs w:val="20"/>
        </w:rPr>
        <w:t>ation that the ‘statistical’ evidence—that the chances of three natural infant deaths in one family was 1 in 73 million—presented by Sir Roy Meadows in the prosecutions of Angela Cannings and Sally Clark was simp</w:t>
      </w:r>
      <w:r>
        <w:rPr>
          <w:rFonts w:ascii="Times New Roman" w:hAnsi="Times New Roman" w:cs="Times New Roman"/>
          <w:sz w:val="20"/>
          <w:szCs w:val="20"/>
        </w:rPr>
        <w:t>ly wrong. The so called ‘Meadow</w:t>
      </w:r>
      <w:r w:rsidRPr="0075003C">
        <w:rPr>
          <w:rFonts w:ascii="Times New Roman" w:hAnsi="Times New Roman" w:cs="Times New Roman"/>
          <w:sz w:val="20"/>
          <w:szCs w:val="20"/>
        </w:rPr>
        <w:t>s</w:t>
      </w:r>
      <w:r>
        <w:rPr>
          <w:rFonts w:ascii="Times New Roman" w:hAnsi="Times New Roman" w:cs="Times New Roman"/>
          <w:sz w:val="20"/>
          <w:szCs w:val="20"/>
        </w:rPr>
        <w:t>’</w:t>
      </w:r>
      <w:r w:rsidRPr="0075003C">
        <w:rPr>
          <w:rFonts w:ascii="Times New Roman" w:hAnsi="Times New Roman" w:cs="Times New Roman"/>
          <w:sz w:val="20"/>
          <w:szCs w:val="20"/>
        </w:rPr>
        <w:t xml:space="preserve"> Law’—variously expressed, but most commonly rendered along the lines of ‘one is tragedy, two is suspicious, three is murder’—was equally spurious: see discussion of </w:t>
      </w:r>
      <w:r w:rsidRPr="0075003C">
        <w:rPr>
          <w:rFonts w:ascii="Times New Roman" w:hAnsi="Times New Roman" w:cs="Times New Roman"/>
          <w:i/>
          <w:sz w:val="20"/>
          <w:szCs w:val="20"/>
        </w:rPr>
        <w:t>Cannings</w:t>
      </w:r>
      <w:r w:rsidRPr="0075003C">
        <w:rPr>
          <w:rFonts w:ascii="Times New Roman" w:hAnsi="Times New Roman" w:cs="Times New Roman"/>
          <w:sz w:val="20"/>
          <w:szCs w:val="20"/>
        </w:rPr>
        <w:t xml:space="preserve"> and </w:t>
      </w:r>
      <w:r w:rsidRPr="0075003C">
        <w:rPr>
          <w:rFonts w:ascii="Times New Roman" w:hAnsi="Times New Roman" w:cs="Times New Roman"/>
          <w:i/>
          <w:sz w:val="20"/>
          <w:szCs w:val="20"/>
        </w:rPr>
        <w:t>Clark</w:t>
      </w:r>
      <w:r w:rsidRPr="0075003C">
        <w:rPr>
          <w:rFonts w:ascii="Times New Roman" w:hAnsi="Times New Roman" w:cs="Times New Roman"/>
          <w:sz w:val="20"/>
          <w:szCs w:val="20"/>
        </w:rPr>
        <w:t xml:space="preserve"> in </w:t>
      </w:r>
      <w:r>
        <w:rPr>
          <w:rFonts w:ascii="Times New Roman" w:hAnsi="Times New Roman" w:cs="Times New Roman"/>
          <w:i/>
          <w:sz w:val="20"/>
          <w:szCs w:val="20"/>
        </w:rPr>
        <w:t>Murder, Medicine and Motherhood</w:t>
      </w:r>
      <w:r>
        <w:rPr>
          <w:rFonts w:ascii="Times New Roman" w:hAnsi="Times New Roman" w:cs="Times New Roman"/>
          <w:sz w:val="20"/>
          <w:szCs w:val="20"/>
        </w:rPr>
        <w:t>, 8-</w:t>
      </w:r>
      <w:r w:rsidRPr="0075003C">
        <w:rPr>
          <w:rFonts w:ascii="Times New Roman" w:hAnsi="Times New Roman" w:cs="Times New Roman"/>
          <w:sz w:val="20"/>
          <w:szCs w:val="20"/>
        </w:rPr>
        <w:t>11 and in Chapters 4 and 5. Folbigg’s committal hearing occurred prior to these cases, and similar spurious statistics were proffered at that hearing: Lee Glendinning, “Four dead by their mother’s hand”</w:t>
      </w:r>
      <w:r>
        <w:rPr>
          <w:rFonts w:ascii="Times New Roman" w:hAnsi="Times New Roman" w:cs="Times New Roman"/>
          <w:sz w:val="20"/>
          <w:szCs w:val="20"/>
        </w:rPr>
        <w:t>,</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The Sydney Morning Herald</w:t>
      </w:r>
      <w:r w:rsidRPr="0075003C">
        <w:rPr>
          <w:rFonts w:ascii="Times New Roman" w:hAnsi="Times New Roman" w:cs="Times New Roman"/>
          <w:sz w:val="20"/>
          <w:szCs w:val="20"/>
        </w:rPr>
        <w:t xml:space="preserve"> (online), </w:t>
      </w:r>
      <w:r>
        <w:rPr>
          <w:rFonts w:ascii="Times New Roman" w:hAnsi="Times New Roman" w:cs="Times New Roman"/>
          <w:sz w:val="20"/>
          <w:szCs w:val="20"/>
        </w:rPr>
        <w:t xml:space="preserve">22 </w:t>
      </w:r>
      <w:r w:rsidRPr="0075003C">
        <w:rPr>
          <w:rFonts w:ascii="Times New Roman" w:hAnsi="Times New Roman" w:cs="Times New Roman"/>
          <w:sz w:val="20"/>
          <w:szCs w:val="20"/>
        </w:rPr>
        <w:t>May</w:t>
      </w:r>
      <w:r>
        <w:rPr>
          <w:rFonts w:ascii="Times New Roman" w:hAnsi="Times New Roman" w:cs="Times New Roman"/>
          <w:sz w:val="20"/>
          <w:szCs w:val="20"/>
        </w:rPr>
        <w:t xml:space="preserve"> 2003</w:t>
      </w:r>
      <w:r w:rsidRPr="0075003C">
        <w:rPr>
          <w:rFonts w:ascii="Times New Roman" w:hAnsi="Times New Roman" w:cs="Times New Roman"/>
          <w:sz w:val="20"/>
          <w:szCs w:val="20"/>
        </w:rPr>
        <w:t xml:space="preserve"> </w:t>
      </w:r>
      <w:r>
        <w:rPr>
          <w:rFonts w:ascii="Times New Roman" w:hAnsi="Times New Roman" w:cs="Times New Roman"/>
          <w:sz w:val="20"/>
          <w:szCs w:val="20"/>
        </w:rPr>
        <w:t>(</w:t>
      </w:r>
      <w:hyperlink r:id="rId11" w:history="1">
        <w:r w:rsidRPr="00B4372A">
          <w:rPr>
            <w:rStyle w:val="Hyperlink"/>
            <w:rFonts w:ascii="Times New Roman" w:hAnsi="Times New Roman" w:cs="Times New Roman"/>
            <w:sz w:val="20"/>
            <w:szCs w:val="20"/>
          </w:rPr>
          <w:t>http://www.smh.com.au/articles/2003/05/21/1053196642652.html</w:t>
        </w:r>
      </w:hyperlink>
      <w:r w:rsidRPr="0075003C">
        <w:rPr>
          <w:rFonts w:ascii="Times New Roman" w:hAnsi="Times New Roman" w:cs="Times New Roman"/>
          <w:sz w:val="20"/>
          <w:szCs w:val="20"/>
        </w:rPr>
        <w:t>, accessed 23 March 2013). However, by the time it came to trial, the discrediting of Meadows meant that the evidenc</w:t>
      </w:r>
      <w:r>
        <w:rPr>
          <w:rFonts w:ascii="Times New Roman" w:hAnsi="Times New Roman" w:cs="Times New Roman"/>
          <w:sz w:val="20"/>
          <w:szCs w:val="20"/>
        </w:rPr>
        <w:t>e was confined to more generalis</w:t>
      </w:r>
      <w:r w:rsidRPr="0075003C">
        <w:rPr>
          <w:rFonts w:ascii="Times New Roman" w:hAnsi="Times New Roman" w:cs="Times New Roman"/>
          <w:sz w:val="20"/>
          <w:szCs w:val="20"/>
        </w:rPr>
        <w:t xml:space="preserve">ed statements as to the ‘rarity’ of such multiple deaths. However, just as problematically, their </w:t>
      </w:r>
      <w:r w:rsidRPr="0075003C">
        <w:rPr>
          <w:rFonts w:ascii="Times New Roman" w:hAnsi="Times New Roman" w:cs="Times New Roman"/>
          <w:i/>
          <w:sz w:val="20"/>
          <w:szCs w:val="20"/>
        </w:rPr>
        <w:t>experience</w:t>
      </w:r>
      <w:r w:rsidRPr="0075003C">
        <w:rPr>
          <w:rFonts w:ascii="Times New Roman" w:hAnsi="Times New Roman" w:cs="Times New Roman"/>
          <w:sz w:val="20"/>
          <w:szCs w:val="20"/>
        </w:rPr>
        <w:t xml:space="preserve"> as to rarity of four natural (or unexplained) deaths in one family was still canvassed in the questioning of the expert witnesses, at the same time that the fact of the rarity was being characterised by the trial judge as a matter of common sense and within the province and knowledge of the jury (see discussion, above n</w:t>
      </w:r>
      <w:r>
        <w:rPr>
          <w:rFonts w:ascii="Times New Roman" w:hAnsi="Times New Roman" w:cs="Times New Roman"/>
          <w:sz w:val="20"/>
          <w:szCs w:val="20"/>
        </w:rPr>
        <w:t xml:space="preserve"> 18</w:t>
      </w:r>
      <w:r w:rsidRPr="0075003C">
        <w:rPr>
          <w:rFonts w:ascii="Times New Roman" w:hAnsi="Times New Roman" w:cs="Times New Roman"/>
          <w:sz w:val="20"/>
          <w:szCs w:val="20"/>
        </w:rPr>
        <w:t xml:space="preserve">).  The conceptual confusion made it much harder to decouple the fact of rarity from the uncertainty as to the cause of death. By contrast, in </w:t>
      </w:r>
      <w:r w:rsidRPr="0075003C">
        <w:rPr>
          <w:rFonts w:ascii="Times New Roman" w:hAnsi="Times New Roman" w:cs="Times New Roman"/>
          <w:i/>
          <w:sz w:val="20"/>
          <w:szCs w:val="20"/>
        </w:rPr>
        <w:t>Matthey</w:t>
      </w:r>
      <w:r w:rsidRPr="0075003C">
        <w:rPr>
          <w:rFonts w:ascii="Times New Roman" w:hAnsi="Times New Roman" w:cs="Times New Roman"/>
          <w:sz w:val="20"/>
          <w:szCs w:val="20"/>
        </w:rPr>
        <w:t>, the trial judge was far clearer as to the need to separate out, conceptually, the question of the rarity of multiple deaths from the expert opinion as to cause of death. And thus the lack of agreement in the medical evidence was able to come to the fore, and in many respects this compelled the conclusion that Matthey’s case cou</w:t>
      </w:r>
      <w:r>
        <w:rPr>
          <w:rFonts w:ascii="Times New Roman" w:hAnsi="Times New Roman" w:cs="Times New Roman"/>
          <w:sz w:val="20"/>
          <w:szCs w:val="20"/>
        </w:rPr>
        <w:t>ld not be safely sent to a jury:</w:t>
      </w:r>
      <w:r w:rsidRPr="0075003C">
        <w:rPr>
          <w:rFonts w:ascii="Times New Roman" w:hAnsi="Times New Roman" w:cs="Times New Roman"/>
          <w:sz w:val="20"/>
          <w:szCs w:val="20"/>
        </w:rPr>
        <w:t xml:space="preserve"> </w:t>
      </w:r>
      <w:r>
        <w:rPr>
          <w:rFonts w:ascii="Times New Roman" w:hAnsi="Times New Roman" w:cs="Times New Roman"/>
          <w:sz w:val="20"/>
          <w:szCs w:val="20"/>
        </w:rPr>
        <w:t>s</w:t>
      </w:r>
      <w:r w:rsidRPr="0075003C">
        <w:rPr>
          <w:rFonts w:ascii="Times New Roman" w:hAnsi="Times New Roman" w:cs="Times New Roman"/>
          <w:sz w:val="20"/>
          <w:szCs w:val="20"/>
        </w:rPr>
        <w:t xml:space="preserve">ee </w:t>
      </w:r>
      <w:r w:rsidRPr="0075003C">
        <w:rPr>
          <w:rFonts w:ascii="Times New Roman" w:hAnsi="Times New Roman" w:cs="Times New Roman"/>
          <w:i/>
          <w:sz w:val="20"/>
          <w:szCs w:val="20"/>
        </w:rPr>
        <w:t xml:space="preserve">Matthey </w:t>
      </w:r>
      <w:r w:rsidRPr="0075003C">
        <w:rPr>
          <w:rFonts w:ascii="Times New Roman" w:hAnsi="Times New Roman" w:cs="Times New Roman"/>
          <w:sz w:val="20"/>
          <w:szCs w:val="20"/>
        </w:rPr>
        <w:t>[2007]</w:t>
      </w:r>
      <w:r>
        <w:rPr>
          <w:rFonts w:ascii="Times New Roman" w:hAnsi="Times New Roman" w:cs="Times New Roman"/>
          <w:sz w:val="20"/>
          <w:szCs w:val="20"/>
        </w:rPr>
        <w:t xml:space="preserve"> VSC 398, per Coldrey J, [188]-</w:t>
      </w:r>
      <w:r w:rsidRPr="0075003C">
        <w:rPr>
          <w:rFonts w:ascii="Times New Roman" w:hAnsi="Times New Roman" w:cs="Times New Roman"/>
          <w:sz w:val="20"/>
          <w:szCs w:val="20"/>
        </w:rPr>
        <w:t xml:space="preserve">[192], [199]. A similar point is made in </w:t>
      </w:r>
      <w:r w:rsidRPr="0075003C">
        <w:rPr>
          <w:rFonts w:ascii="Times New Roman" w:hAnsi="Times New Roman" w:cs="Times New Roman"/>
          <w:i/>
          <w:sz w:val="20"/>
          <w:szCs w:val="20"/>
        </w:rPr>
        <w:t>R v Phillips</w:t>
      </w:r>
      <w:r>
        <w:rPr>
          <w:rFonts w:ascii="Times New Roman" w:hAnsi="Times New Roman" w:cs="Times New Roman"/>
          <w:sz w:val="20"/>
          <w:szCs w:val="20"/>
        </w:rPr>
        <w:t xml:space="preserve"> [1999] NSWSC 1175:</w:t>
      </w:r>
      <w:r w:rsidRPr="0075003C">
        <w:rPr>
          <w:rFonts w:ascii="Times New Roman" w:hAnsi="Times New Roman" w:cs="Times New Roman"/>
          <w:sz w:val="20"/>
          <w:szCs w:val="20"/>
        </w:rPr>
        <w:t xml:space="preserve"> see </w:t>
      </w:r>
      <w:r>
        <w:rPr>
          <w:rFonts w:ascii="Times New Roman" w:hAnsi="Times New Roman" w:cs="Times New Roman"/>
          <w:i/>
          <w:sz w:val="20"/>
          <w:szCs w:val="20"/>
        </w:rPr>
        <w:t>Murder, Medicine and Motherhood</w:t>
      </w:r>
      <w:r>
        <w:rPr>
          <w:rFonts w:ascii="Times New Roman" w:hAnsi="Times New Roman" w:cs="Times New Roman"/>
          <w:sz w:val="20"/>
          <w:szCs w:val="20"/>
        </w:rPr>
        <w:t>, 6,</w:t>
      </w:r>
      <w:r w:rsidRPr="0075003C">
        <w:rPr>
          <w:rFonts w:ascii="Times New Roman" w:hAnsi="Times New Roman" w:cs="Times New Roman"/>
          <w:sz w:val="20"/>
          <w:szCs w:val="20"/>
        </w:rPr>
        <w:t xml:space="preserve"> 195. See also Gaudron</w:t>
      </w:r>
      <w:r>
        <w:rPr>
          <w:rFonts w:ascii="Times New Roman" w:hAnsi="Times New Roman" w:cs="Times New Roman"/>
          <w:sz w:val="20"/>
          <w:szCs w:val="20"/>
        </w:rPr>
        <w:t xml:space="preserve"> J</w:t>
      </w:r>
      <w:r w:rsidRPr="0075003C">
        <w:rPr>
          <w:rFonts w:ascii="Times New Roman" w:hAnsi="Times New Roman" w:cs="Times New Roman"/>
          <w:sz w:val="20"/>
          <w:szCs w:val="20"/>
        </w:rPr>
        <w:t xml:space="preserve">’s dissent in </w:t>
      </w:r>
      <w:r>
        <w:rPr>
          <w:rFonts w:ascii="Times New Roman" w:hAnsi="Times New Roman" w:cs="Times New Roman"/>
          <w:bCs/>
          <w:i/>
          <w:sz w:val="20"/>
          <w:szCs w:val="20"/>
        </w:rPr>
        <w:t>Ve</w:t>
      </w:r>
      <w:r w:rsidRPr="0075003C">
        <w:rPr>
          <w:rFonts w:ascii="Times New Roman" w:hAnsi="Times New Roman" w:cs="Times New Roman"/>
          <w:bCs/>
          <w:i/>
          <w:sz w:val="20"/>
          <w:szCs w:val="20"/>
        </w:rPr>
        <w:t>l</w:t>
      </w:r>
      <w:r>
        <w:rPr>
          <w:rFonts w:ascii="Times New Roman" w:hAnsi="Times New Roman" w:cs="Times New Roman"/>
          <w:bCs/>
          <w:i/>
          <w:sz w:val="20"/>
          <w:szCs w:val="20"/>
        </w:rPr>
        <w:t>e</w:t>
      </w:r>
      <w:r w:rsidRPr="0075003C">
        <w:rPr>
          <w:rFonts w:ascii="Times New Roman" w:hAnsi="Times New Roman" w:cs="Times New Roman"/>
          <w:bCs/>
          <w:i/>
          <w:sz w:val="20"/>
          <w:szCs w:val="20"/>
        </w:rPr>
        <w:t>vski</w:t>
      </w:r>
      <w:r w:rsidRPr="0075003C">
        <w:rPr>
          <w:rFonts w:ascii="Times New Roman" w:hAnsi="Times New Roman" w:cs="Times New Roman"/>
          <w:bCs/>
          <w:sz w:val="20"/>
          <w:szCs w:val="20"/>
        </w:rPr>
        <w:t xml:space="preserve"> </w:t>
      </w:r>
      <w:r w:rsidRPr="0075003C">
        <w:rPr>
          <w:rFonts w:ascii="Times New Roman" w:hAnsi="Times New Roman" w:cs="Times New Roman"/>
          <w:sz w:val="20"/>
          <w:szCs w:val="20"/>
        </w:rPr>
        <w:t>which supports the view that a jury faced with a fundamental conflict in the expert evidence on a critical point—and in the absence of sufficiently compelling alternative evidence upon which to base a verdic</w:t>
      </w:r>
      <w:r>
        <w:rPr>
          <w:rFonts w:ascii="Times New Roman" w:hAnsi="Times New Roman" w:cs="Times New Roman"/>
          <w:sz w:val="20"/>
          <w:szCs w:val="20"/>
        </w:rPr>
        <w:t>t— must have a reasonable doubt:</w:t>
      </w:r>
      <w:r w:rsidRPr="0075003C">
        <w:rPr>
          <w:rFonts w:ascii="Times New Roman" w:hAnsi="Times New Roman" w:cs="Times New Roman"/>
          <w:sz w:val="20"/>
          <w:szCs w:val="20"/>
        </w:rPr>
        <w:t xml:space="preserve"> </w:t>
      </w:r>
      <w:r w:rsidRPr="0075003C">
        <w:rPr>
          <w:rFonts w:ascii="Times New Roman" w:hAnsi="Times New Roman" w:cs="Times New Roman"/>
          <w:i/>
          <w:iCs/>
          <w:sz w:val="20"/>
          <w:szCs w:val="20"/>
        </w:rPr>
        <w:t xml:space="preserve">Velevski v The Queen </w:t>
      </w:r>
      <w:r>
        <w:rPr>
          <w:rFonts w:ascii="Times New Roman" w:hAnsi="Times New Roman" w:cs="Times New Roman"/>
          <w:sz w:val="20"/>
          <w:szCs w:val="20"/>
        </w:rPr>
        <w:t>[2002] HCA 4, [86],</w:t>
      </w:r>
      <w:r w:rsidRPr="0075003C">
        <w:rPr>
          <w:rFonts w:ascii="Times New Roman" w:hAnsi="Times New Roman" w:cs="Times New Roman"/>
          <w:sz w:val="20"/>
          <w:szCs w:val="20"/>
        </w:rPr>
        <w:t xml:space="preserve"> [112]. Further</w:t>
      </w:r>
      <w:r>
        <w:rPr>
          <w:rFonts w:ascii="Times New Roman" w:hAnsi="Times New Roman" w:cs="Times New Roman"/>
          <w:sz w:val="20"/>
          <w:szCs w:val="20"/>
        </w:rPr>
        <w:t>,</w:t>
      </w:r>
      <w:r w:rsidRPr="0075003C">
        <w:rPr>
          <w:rFonts w:ascii="Times New Roman" w:hAnsi="Times New Roman" w:cs="Times New Roman"/>
          <w:sz w:val="20"/>
          <w:szCs w:val="20"/>
        </w:rPr>
        <w:t xml:space="preserve"> given that it was acknowledged that the jury had accessed additional information about Folbigg, there is at least a strong possibility that they also came across the media reports of the committal hearing, including the reporting o</w:t>
      </w:r>
      <w:r>
        <w:rPr>
          <w:rFonts w:ascii="Times New Roman" w:hAnsi="Times New Roman" w:cs="Times New Roman"/>
          <w:sz w:val="20"/>
          <w:szCs w:val="20"/>
        </w:rPr>
        <w:t>f the (spurious) numbers: see n 43</w:t>
      </w:r>
      <w:r w:rsidRPr="0075003C">
        <w:rPr>
          <w:rFonts w:ascii="Times New Roman" w:hAnsi="Times New Roman" w:cs="Times New Roman"/>
          <w:sz w:val="20"/>
          <w:szCs w:val="20"/>
        </w:rPr>
        <w:t xml:space="preserve"> below.</w:t>
      </w:r>
    </w:p>
  </w:footnote>
  <w:footnote w:id="34">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R v Folbigg</w:t>
      </w:r>
      <w:r w:rsidRPr="0075003C">
        <w:rPr>
          <w:rFonts w:ascii="Times New Roman" w:hAnsi="Times New Roman" w:cs="Times New Roman"/>
          <w:sz w:val="20"/>
          <w:szCs w:val="20"/>
        </w:rPr>
        <w:t xml:space="preserve"> [2003] NSWCCA 12, [11]. See the discussion in </w:t>
      </w:r>
      <w:r>
        <w:rPr>
          <w:rFonts w:ascii="Times New Roman" w:hAnsi="Times New Roman" w:cs="Times New Roman"/>
          <w:i/>
          <w:sz w:val="20"/>
          <w:szCs w:val="20"/>
        </w:rPr>
        <w:t>Murder, Medicine and Motherhood</w:t>
      </w:r>
      <w:r>
        <w:rPr>
          <w:rFonts w:ascii="Times New Roman" w:hAnsi="Times New Roman" w:cs="Times New Roman"/>
          <w:sz w:val="20"/>
          <w:szCs w:val="20"/>
        </w:rPr>
        <w:t xml:space="preserve">, Chapter 6, especially </w:t>
      </w:r>
      <w:r w:rsidRPr="0075003C">
        <w:rPr>
          <w:rFonts w:ascii="Times New Roman" w:hAnsi="Times New Roman" w:cs="Times New Roman"/>
          <w:sz w:val="20"/>
          <w:szCs w:val="20"/>
        </w:rPr>
        <w:t>107</w:t>
      </w:r>
      <w:r>
        <w:rPr>
          <w:rFonts w:ascii="Times New Roman" w:hAnsi="Times New Roman" w:cs="Times New Roman"/>
          <w:sz w:val="20"/>
          <w:szCs w:val="20"/>
        </w:rPr>
        <w:t xml:space="preserve"> </w:t>
      </w:r>
      <w:r w:rsidRPr="0075003C">
        <w:rPr>
          <w:rFonts w:ascii="Times New Roman" w:hAnsi="Times New Roman" w:cs="Times New Roman"/>
          <w:sz w:val="20"/>
          <w:szCs w:val="20"/>
        </w:rPr>
        <w:t>ff. The Crown closing address rendered these similarities slightly differently and as Emma points out, the list of similar</w:t>
      </w:r>
      <w:r>
        <w:rPr>
          <w:rFonts w:ascii="Times New Roman" w:hAnsi="Times New Roman" w:cs="Times New Roman"/>
          <w:sz w:val="20"/>
          <w:szCs w:val="20"/>
        </w:rPr>
        <w:t>ities itself mutated</w:t>
      </w:r>
      <w:r w:rsidRPr="0075003C">
        <w:rPr>
          <w:rFonts w:ascii="Times New Roman" w:hAnsi="Times New Roman" w:cs="Times New Roman"/>
          <w:sz w:val="20"/>
          <w:szCs w:val="20"/>
        </w:rPr>
        <w:t xml:space="preserve"> as the case work</w:t>
      </w:r>
      <w:r>
        <w:rPr>
          <w:rFonts w:ascii="Times New Roman" w:hAnsi="Times New Roman" w:cs="Times New Roman"/>
          <w:sz w:val="20"/>
          <w:szCs w:val="20"/>
        </w:rPr>
        <w:t>ed its way through the system—</w:t>
      </w:r>
      <w:r w:rsidRPr="0075003C">
        <w:rPr>
          <w:rFonts w:ascii="Times New Roman" w:hAnsi="Times New Roman" w:cs="Times New Roman"/>
          <w:sz w:val="20"/>
          <w:szCs w:val="20"/>
        </w:rPr>
        <w:t>what was initially presented when the Crown was arguing that the cases could, and should, be tried together was reframed at trial. And as</w:t>
      </w:r>
      <w:r>
        <w:rPr>
          <w:rFonts w:ascii="Times New Roman" w:hAnsi="Times New Roman" w:cs="Times New Roman"/>
          <w:sz w:val="20"/>
          <w:szCs w:val="20"/>
        </w:rPr>
        <w:t xml:space="preserve"> the list of similarities shifted, and the Crown wa</w:t>
      </w:r>
      <w:r w:rsidRPr="0075003C">
        <w:rPr>
          <w:rFonts w:ascii="Times New Roman" w:hAnsi="Times New Roman" w:cs="Times New Roman"/>
          <w:sz w:val="20"/>
          <w:szCs w:val="20"/>
        </w:rPr>
        <w:t xml:space="preserve">s precluded from relying on reasoning of the type offered in the trials of Clarke and Canning, </w:t>
      </w:r>
      <w:r>
        <w:rPr>
          <w:rFonts w:ascii="Times New Roman" w:hAnsi="Times New Roman" w:cs="Times New Roman"/>
          <w:sz w:val="20"/>
          <w:szCs w:val="20"/>
        </w:rPr>
        <w:t>the presence of the diaries became</w:t>
      </w:r>
      <w:r w:rsidRPr="0075003C">
        <w:rPr>
          <w:rFonts w:ascii="Times New Roman" w:hAnsi="Times New Roman" w:cs="Times New Roman"/>
          <w:sz w:val="20"/>
          <w:szCs w:val="20"/>
        </w:rPr>
        <w:t xml:space="preserve"> more and more critical to shoring up the appropriateness of the conviction. Note also that in the 2005 appeal, </w:t>
      </w:r>
      <w:r>
        <w:rPr>
          <w:rFonts w:ascii="Times New Roman" w:hAnsi="Times New Roman" w:cs="Times New Roman"/>
          <w:sz w:val="20"/>
          <w:szCs w:val="20"/>
        </w:rPr>
        <w:t>Justice Sully</w:t>
      </w:r>
      <w:r w:rsidRPr="0075003C">
        <w:rPr>
          <w:rFonts w:ascii="Times New Roman" w:hAnsi="Times New Roman" w:cs="Times New Roman"/>
          <w:sz w:val="20"/>
          <w:szCs w:val="20"/>
        </w:rPr>
        <w:t xml:space="preserve"> p</w:t>
      </w:r>
      <w:r>
        <w:rPr>
          <w:rFonts w:ascii="Times New Roman" w:hAnsi="Times New Roman" w:cs="Times New Roman"/>
          <w:sz w:val="20"/>
          <w:szCs w:val="20"/>
        </w:rPr>
        <w:t>erformed</w:t>
      </w:r>
      <w:r w:rsidRPr="0075003C">
        <w:rPr>
          <w:rFonts w:ascii="Times New Roman" w:hAnsi="Times New Roman" w:cs="Times New Roman"/>
          <w:sz w:val="20"/>
          <w:szCs w:val="20"/>
        </w:rPr>
        <w:t xml:space="preserve"> what seems to be a rather e</w:t>
      </w:r>
      <w:r>
        <w:rPr>
          <w:rFonts w:ascii="Times New Roman" w:hAnsi="Times New Roman" w:cs="Times New Roman"/>
          <w:sz w:val="20"/>
          <w:szCs w:val="20"/>
        </w:rPr>
        <w:t>xtraordinary move when he relied</w:t>
      </w:r>
      <w:r w:rsidRPr="0075003C">
        <w:rPr>
          <w:rFonts w:ascii="Times New Roman" w:hAnsi="Times New Roman" w:cs="Times New Roman"/>
          <w:sz w:val="20"/>
          <w:szCs w:val="20"/>
        </w:rPr>
        <w:t xml:space="preserve"> on the interlocutory judgment in </w:t>
      </w:r>
      <w:r w:rsidRPr="0075003C">
        <w:rPr>
          <w:rFonts w:ascii="Times New Roman" w:hAnsi="Times New Roman" w:cs="Times New Roman"/>
          <w:i/>
          <w:sz w:val="20"/>
          <w:szCs w:val="20"/>
        </w:rPr>
        <w:t xml:space="preserve">Canning </w:t>
      </w:r>
      <w:r w:rsidRPr="0075003C">
        <w:rPr>
          <w:rFonts w:ascii="Times New Roman" w:hAnsi="Times New Roman" w:cs="Times New Roman"/>
          <w:sz w:val="20"/>
          <w:szCs w:val="20"/>
        </w:rPr>
        <w:t xml:space="preserve">to support the conclusion that </w:t>
      </w:r>
      <w:r>
        <w:rPr>
          <w:rFonts w:ascii="Times New Roman" w:hAnsi="Times New Roman" w:cs="Times New Roman"/>
          <w:sz w:val="20"/>
          <w:szCs w:val="20"/>
        </w:rPr>
        <w:t>the probative value of the evidence was not outweighed by the danger of (unfair) prejudice and thus neither s 101, nor s 137 should</w:t>
      </w:r>
      <w:r w:rsidRPr="0075003C">
        <w:rPr>
          <w:rFonts w:ascii="Times New Roman" w:hAnsi="Times New Roman" w:cs="Times New Roman"/>
          <w:sz w:val="20"/>
          <w:szCs w:val="20"/>
        </w:rPr>
        <w:t xml:space="preserve"> operate in </w:t>
      </w:r>
      <w:r w:rsidRPr="00281377">
        <w:rPr>
          <w:rFonts w:ascii="Times New Roman" w:hAnsi="Times New Roman" w:cs="Times New Roman"/>
          <w:i/>
          <w:sz w:val="20"/>
          <w:szCs w:val="20"/>
        </w:rPr>
        <w:t>Folbigg</w:t>
      </w:r>
      <w:r w:rsidRPr="0075003C">
        <w:rPr>
          <w:rFonts w:ascii="Times New Roman" w:hAnsi="Times New Roman" w:cs="Times New Roman"/>
          <w:sz w:val="20"/>
          <w:szCs w:val="20"/>
        </w:rPr>
        <w:t xml:space="preserve"> to exclude the evidence. And this is notwithstanding that </w:t>
      </w:r>
      <w:r>
        <w:rPr>
          <w:rFonts w:ascii="Times New Roman" w:hAnsi="Times New Roman" w:cs="Times New Roman"/>
          <w:sz w:val="20"/>
          <w:szCs w:val="20"/>
        </w:rPr>
        <w:t>his Honour had, in the same judgment,</w:t>
      </w:r>
      <w:r w:rsidRPr="0075003C">
        <w:rPr>
          <w:rFonts w:ascii="Times New Roman" w:hAnsi="Times New Roman" w:cs="Times New Roman"/>
          <w:sz w:val="20"/>
          <w:szCs w:val="20"/>
        </w:rPr>
        <w:t xml:space="preserve"> previously cited the Court of Appeal’s warning, in </w:t>
      </w:r>
      <w:r w:rsidRPr="0075003C">
        <w:rPr>
          <w:rFonts w:ascii="Times New Roman" w:hAnsi="Times New Roman" w:cs="Times New Roman"/>
          <w:i/>
          <w:sz w:val="20"/>
          <w:szCs w:val="20"/>
        </w:rPr>
        <w:t>overturning</w:t>
      </w:r>
      <w:r w:rsidRPr="0075003C">
        <w:rPr>
          <w:rFonts w:ascii="Times New Roman" w:hAnsi="Times New Roman" w:cs="Times New Roman"/>
          <w:sz w:val="20"/>
          <w:szCs w:val="20"/>
        </w:rPr>
        <w:t xml:space="preserve"> Canning’s convictions</w:t>
      </w:r>
      <w:r>
        <w:rPr>
          <w:rFonts w:ascii="Times New Roman" w:hAnsi="Times New Roman" w:cs="Times New Roman"/>
          <w:sz w:val="20"/>
          <w:szCs w:val="20"/>
        </w:rPr>
        <w:t>,</w:t>
      </w:r>
      <w:r w:rsidRPr="0075003C">
        <w:rPr>
          <w:rFonts w:ascii="Times New Roman" w:hAnsi="Times New Roman" w:cs="Times New Roman"/>
          <w:sz w:val="20"/>
          <w:szCs w:val="20"/>
        </w:rPr>
        <w:t xml:space="preserve"> to be cautious about falling into the trap of “taking the wrong starting point” when dealing with the inferences that can be drawn from rarity. See </w:t>
      </w:r>
      <w:r w:rsidRPr="0075003C">
        <w:rPr>
          <w:rFonts w:ascii="Times New Roman" w:hAnsi="Times New Roman" w:cs="Times New Roman"/>
          <w:i/>
          <w:sz w:val="20"/>
          <w:szCs w:val="20"/>
        </w:rPr>
        <w:t>R v Folbigg</w:t>
      </w:r>
      <w:r w:rsidRPr="0075003C">
        <w:rPr>
          <w:rFonts w:ascii="Times New Roman" w:hAnsi="Times New Roman" w:cs="Times New Roman"/>
          <w:sz w:val="20"/>
          <w:szCs w:val="20"/>
        </w:rPr>
        <w:t xml:space="preserve"> [2005] NSWCCA 23</w:t>
      </w:r>
      <w:r>
        <w:rPr>
          <w:rFonts w:ascii="Times New Roman" w:hAnsi="Times New Roman" w:cs="Times New Roman"/>
          <w:sz w:val="20"/>
          <w:szCs w:val="20"/>
        </w:rPr>
        <w:t>, per Sully J, [156],</w:t>
      </w:r>
      <w:r w:rsidRPr="0075003C">
        <w:rPr>
          <w:rFonts w:ascii="Times New Roman" w:hAnsi="Times New Roman" w:cs="Times New Roman"/>
          <w:sz w:val="20"/>
          <w:szCs w:val="20"/>
        </w:rPr>
        <w:t xml:space="preserve"> [12].</w:t>
      </w:r>
    </w:p>
  </w:footnote>
  <w:footnote w:id="35">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And noting, also, that admission of this evidence was thought at the</w:t>
      </w:r>
      <w:r>
        <w:rPr>
          <w:rFonts w:ascii="Times New Roman" w:hAnsi="Times New Roman" w:cs="Times New Roman"/>
          <w:sz w:val="20"/>
          <w:szCs w:val="20"/>
        </w:rPr>
        <w:t xml:space="preserve"> time to require that there be “</w:t>
      </w:r>
      <w:r w:rsidRPr="0075003C">
        <w:rPr>
          <w:rFonts w:ascii="Times New Roman" w:hAnsi="Times New Roman" w:cs="Times New Roman"/>
          <w:sz w:val="20"/>
          <w:szCs w:val="20"/>
        </w:rPr>
        <w:t>no rational explan</w:t>
      </w:r>
      <w:r>
        <w:rPr>
          <w:rFonts w:ascii="Times New Roman" w:hAnsi="Times New Roman" w:cs="Times New Roman"/>
          <w:sz w:val="20"/>
          <w:szCs w:val="20"/>
        </w:rPr>
        <w:t>ation consistent with innocence”. See above n 3</w:t>
      </w:r>
      <w:r w:rsidRPr="0075003C">
        <w:rPr>
          <w:rFonts w:ascii="Times New Roman" w:hAnsi="Times New Roman" w:cs="Times New Roman"/>
          <w:sz w:val="20"/>
          <w:szCs w:val="20"/>
        </w:rPr>
        <w:t>. Which ought to have given the court pause when considering a list of ‘similarities’ that not only relied on Folbigg’s role as primary care</w:t>
      </w:r>
      <w:r>
        <w:rPr>
          <w:rFonts w:ascii="Times New Roman" w:hAnsi="Times New Roman" w:cs="Times New Roman"/>
          <w:sz w:val="20"/>
          <w:szCs w:val="20"/>
        </w:rPr>
        <w:t>-</w:t>
      </w:r>
      <w:r w:rsidRPr="0075003C">
        <w:rPr>
          <w:rFonts w:ascii="Times New Roman" w:hAnsi="Times New Roman" w:cs="Times New Roman"/>
          <w:sz w:val="20"/>
          <w:szCs w:val="20"/>
        </w:rPr>
        <w:t xml:space="preserve">giver, but also sought to draw significance from the fact that, in common with most small children, the Folbigg children spent time at home in their cots, asleep. In contrast, Justice Coldrey in </w:t>
      </w:r>
      <w:r w:rsidRPr="0075003C">
        <w:rPr>
          <w:rFonts w:ascii="Times New Roman" w:hAnsi="Times New Roman" w:cs="Times New Roman"/>
          <w:i/>
          <w:sz w:val="20"/>
          <w:szCs w:val="20"/>
        </w:rPr>
        <w:t>Matthey</w:t>
      </w:r>
      <w:r w:rsidRPr="0075003C">
        <w:rPr>
          <w:rFonts w:ascii="Times New Roman" w:hAnsi="Times New Roman" w:cs="Times New Roman"/>
          <w:sz w:val="20"/>
          <w:szCs w:val="20"/>
        </w:rPr>
        <w:t xml:space="preserve"> points out that the fact that the children died alone while in the company of their primary </w:t>
      </w:r>
      <w:r>
        <w:rPr>
          <w:rFonts w:ascii="Times New Roman" w:hAnsi="Times New Roman" w:cs="Times New Roman"/>
          <w:sz w:val="20"/>
          <w:szCs w:val="20"/>
        </w:rPr>
        <w:t xml:space="preserve">carer </w:t>
      </w:r>
      <w:r w:rsidRPr="0075003C">
        <w:rPr>
          <w:rFonts w:ascii="Times New Roman" w:hAnsi="Times New Roman" w:cs="Times New Roman"/>
          <w:sz w:val="20"/>
          <w:szCs w:val="20"/>
        </w:rPr>
        <w:t xml:space="preserve">has minimal, if any, probative value: </w:t>
      </w:r>
      <w:r w:rsidRPr="0075003C">
        <w:rPr>
          <w:rFonts w:ascii="Times New Roman" w:hAnsi="Times New Roman" w:cs="Times New Roman"/>
          <w:i/>
          <w:sz w:val="20"/>
          <w:szCs w:val="20"/>
        </w:rPr>
        <w:t>R v Matthey</w:t>
      </w:r>
      <w:r>
        <w:rPr>
          <w:rFonts w:ascii="Times New Roman" w:hAnsi="Times New Roman" w:cs="Times New Roman"/>
          <w:sz w:val="20"/>
          <w:szCs w:val="20"/>
        </w:rPr>
        <w:t xml:space="preserve"> [2007] VSC 398,</w:t>
      </w:r>
      <w:r w:rsidRPr="0075003C">
        <w:rPr>
          <w:rFonts w:ascii="Times New Roman" w:hAnsi="Times New Roman" w:cs="Times New Roman"/>
          <w:sz w:val="20"/>
          <w:szCs w:val="20"/>
        </w:rPr>
        <w:t xml:space="preserve"> [193]. While it is important to acknowledge that by the time the appeal in re</w:t>
      </w:r>
      <w:r>
        <w:rPr>
          <w:rFonts w:ascii="Times New Roman" w:hAnsi="Times New Roman" w:cs="Times New Roman"/>
          <w:sz w:val="20"/>
          <w:szCs w:val="20"/>
        </w:rPr>
        <w:t>lation to Folbigg’s conviction wa</w:t>
      </w:r>
      <w:r w:rsidRPr="0075003C">
        <w:rPr>
          <w:rFonts w:ascii="Times New Roman" w:hAnsi="Times New Roman" w:cs="Times New Roman"/>
          <w:sz w:val="20"/>
          <w:szCs w:val="20"/>
        </w:rPr>
        <w:t>s hea</w:t>
      </w:r>
      <w:r>
        <w:rPr>
          <w:rFonts w:ascii="Times New Roman" w:hAnsi="Times New Roman" w:cs="Times New Roman"/>
          <w:sz w:val="20"/>
          <w:szCs w:val="20"/>
        </w:rPr>
        <w:t>rd the admissibility terrain had</w:t>
      </w:r>
      <w:r w:rsidRPr="0075003C">
        <w:rPr>
          <w:rFonts w:ascii="Times New Roman" w:hAnsi="Times New Roman" w:cs="Times New Roman"/>
          <w:sz w:val="20"/>
          <w:szCs w:val="20"/>
        </w:rPr>
        <w:t xml:space="preserve"> shifted somewhat, the courts also seem to envisage that even more problematically</w:t>
      </w:r>
      <w:r>
        <w:rPr>
          <w:rFonts w:ascii="Times New Roman" w:hAnsi="Times New Roman" w:cs="Times New Roman"/>
          <w:sz w:val="20"/>
          <w:szCs w:val="20"/>
        </w:rPr>
        <w:t>,</w:t>
      </w:r>
      <w:r w:rsidRPr="0075003C">
        <w:rPr>
          <w:rFonts w:ascii="Times New Roman" w:hAnsi="Times New Roman" w:cs="Times New Roman"/>
          <w:sz w:val="20"/>
          <w:szCs w:val="20"/>
        </w:rPr>
        <w:t xml:space="preserve"> the evidence describing the circumstances surrounding the deaths can be used to ground a conclusion as to a probative tendency of the accused (to lose her temper with her children?) as a step in the reasoning process towards guilt</w:t>
      </w:r>
      <w:r>
        <w:rPr>
          <w:rFonts w:ascii="Times New Roman" w:hAnsi="Times New Roman" w:cs="Times New Roman"/>
          <w:sz w:val="20"/>
          <w:szCs w:val="20"/>
        </w:rPr>
        <w:t>,</w:t>
      </w:r>
      <w:r w:rsidRPr="0075003C">
        <w:rPr>
          <w:rFonts w:ascii="Times New Roman" w:hAnsi="Times New Roman" w:cs="Times New Roman"/>
          <w:sz w:val="20"/>
          <w:szCs w:val="20"/>
        </w:rPr>
        <w:t xml:space="preserve"> which tends to occlude the risks and slippages involved in relying on evidence of tendency. This approach is consistent with trends in more recent cases in New South Wales involving the use of tendency evidence as an intermediary step</w:t>
      </w:r>
      <w:r>
        <w:rPr>
          <w:rFonts w:ascii="Times New Roman" w:hAnsi="Times New Roman" w:cs="Times New Roman"/>
          <w:sz w:val="20"/>
          <w:szCs w:val="20"/>
        </w:rPr>
        <w:t>,</w:t>
      </w:r>
      <w:r w:rsidRPr="0075003C">
        <w:rPr>
          <w:rFonts w:ascii="Times New Roman" w:hAnsi="Times New Roman" w:cs="Times New Roman"/>
          <w:sz w:val="20"/>
          <w:szCs w:val="20"/>
        </w:rPr>
        <w:t xml:space="preserve"> represent</w:t>
      </w:r>
      <w:r>
        <w:rPr>
          <w:rFonts w:ascii="Times New Roman" w:hAnsi="Times New Roman" w:cs="Times New Roman"/>
          <w:sz w:val="20"/>
          <w:szCs w:val="20"/>
        </w:rPr>
        <w:t>ing</w:t>
      </w:r>
      <w:r w:rsidRPr="0075003C">
        <w:rPr>
          <w:rFonts w:ascii="Times New Roman" w:hAnsi="Times New Roman" w:cs="Times New Roman"/>
          <w:sz w:val="20"/>
          <w:szCs w:val="20"/>
        </w:rPr>
        <w:t xml:space="preserve"> what is arguably a problematic lowering of the admissibility threshold: see for example </w:t>
      </w:r>
      <w:r w:rsidRPr="0075003C">
        <w:rPr>
          <w:rFonts w:ascii="Times New Roman" w:hAnsi="Times New Roman" w:cs="Times New Roman"/>
          <w:bCs/>
          <w:i/>
          <w:sz w:val="20"/>
          <w:szCs w:val="20"/>
        </w:rPr>
        <w:t>Regina v PWD </w:t>
      </w:r>
      <w:r w:rsidRPr="0075003C">
        <w:rPr>
          <w:rFonts w:ascii="Times New Roman" w:hAnsi="Times New Roman" w:cs="Times New Roman"/>
          <w:bCs/>
          <w:sz w:val="20"/>
          <w:szCs w:val="20"/>
        </w:rPr>
        <w:t>[2010] NSWCCA 209.</w:t>
      </w:r>
    </w:p>
  </w:footnote>
  <w:footnote w:id="36">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The attention drawn to the appearance of the Folbigg children, by witnesses called by the defence</w:t>
      </w:r>
      <w:r>
        <w:rPr>
          <w:rFonts w:ascii="Times New Roman" w:hAnsi="Times New Roman" w:cs="Times New Roman"/>
          <w:sz w:val="20"/>
          <w:szCs w:val="20"/>
        </w:rPr>
        <w:t>,</w:t>
      </w:r>
      <w:r w:rsidRPr="0075003C">
        <w:rPr>
          <w:rFonts w:ascii="Times New Roman" w:hAnsi="Times New Roman" w:cs="Times New Roman"/>
          <w:sz w:val="20"/>
          <w:szCs w:val="20"/>
        </w:rPr>
        <w:t xml:space="preserve"> is itself striking. Tedeschi’s strategy of discounting the evidence of the</w:t>
      </w:r>
      <w:r>
        <w:rPr>
          <w:rFonts w:ascii="Times New Roman" w:hAnsi="Times New Roman" w:cs="Times New Roman"/>
          <w:sz w:val="20"/>
          <w:szCs w:val="20"/>
        </w:rPr>
        <w:t>se supporting witnesses as the</w:t>
      </w:r>
      <w:r w:rsidRPr="0075003C">
        <w:rPr>
          <w:rFonts w:ascii="Times New Roman" w:hAnsi="Times New Roman" w:cs="Times New Roman"/>
          <w:sz w:val="20"/>
          <w:szCs w:val="20"/>
        </w:rPr>
        <w:t xml:space="preserve"> ‘gym girls’ plays, successfully perhaps, into this focus on appearances, emphasising that these observers are missing the true picture. </w:t>
      </w:r>
      <w:r>
        <w:rPr>
          <w:rFonts w:ascii="Times New Roman" w:hAnsi="Times New Roman" w:cs="Times New Roman"/>
          <w:sz w:val="20"/>
          <w:szCs w:val="20"/>
        </w:rPr>
        <w:t xml:space="preserve">See </w:t>
      </w:r>
      <w:r>
        <w:rPr>
          <w:rFonts w:ascii="Times New Roman" w:hAnsi="Times New Roman" w:cs="Times New Roman"/>
          <w:i/>
          <w:sz w:val="20"/>
          <w:szCs w:val="20"/>
        </w:rPr>
        <w:t>Murder, Medicine and Motherhood</w:t>
      </w:r>
      <w:r>
        <w:rPr>
          <w:rFonts w:ascii="Times New Roman" w:hAnsi="Times New Roman" w:cs="Times New Roman"/>
          <w:sz w:val="20"/>
          <w:szCs w:val="20"/>
        </w:rPr>
        <w:t>, 121.</w:t>
      </w:r>
    </w:p>
  </w:footnote>
  <w:footnote w:id="37">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The strategic deployment of ‘choice’ being a common incident of both ‘postfeminist’ and ‘postsocialist’ discourse: see Fraser, above n 30 and also </w:t>
      </w:r>
      <w:r w:rsidRPr="0075003C">
        <w:rPr>
          <w:rFonts w:ascii="Times New Roman" w:hAnsi="Times New Roman" w:cs="Times New Roman"/>
          <w:sz w:val="20"/>
          <w:szCs w:val="20"/>
        </w:rPr>
        <w:t xml:space="preserve">Rosemary Hennessy, </w:t>
      </w:r>
      <w:r w:rsidRPr="0075003C">
        <w:rPr>
          <w:rFonts w:ascii="Times New Roman" w:hAnsi="Times New Roman" w:cs="Times New Roman"/>
          <w:i/>
          <w:sz w:val="20"/>
          <w:szCs w:val="20"/>
        </w:rPr>
        <w:t>Materialist Feminism and the Politics of Discourse</w:t>
      </w:r>
      <w:r w:rsidRPr="0075003C">
        <w:rPr>
          <w:rFonts w:ascii="Times New Roman" w:hAnsi="Times New Roman" w:cs="Times New Roman"/>
          <w:sz w:val="20"/>
          <w:szCs w:val="20"/>
        </w:rPr>
        <w:t xml:space="preserve"> (Routledge, 1993)</w:t>
      </w:r>
      <w:r w:rsidR="00446FA0">
        <w:rPr>
          <w:rFonts w:ascii="Times New Roman" w:hAnsi="Times New Roman" w:cs="Times New Roman"/>
          <w:sz w:val="20"/>
          <w:szCs w:val="20"/>
        </w:rPr>
        <w:t>, especially Chapter 4.</w:t>
      </w:r>
      <w:r w:rsidRPr="0075003C">
        <w:rPr>
          <w:rFonts w:ascii="Times New Roman" w:hAnsi="Times New Roman" w:cs="Times New Roman"/>
          <w:sz w:val="20"/>
          <w:szCs w:val="20"/>
        </w:rPr>
        <w:t xml:space="preserve">  </w:t>
      </w:r>
    </w:p>
  </w:footnote>
  <w:footnote w:id="38">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Variations of these comments were widely reported throughout the trial. See</w:t>
      </w:r>
      <w:r>
        <w:rPr>
          <w:rFonts w:ascii="Times New Roman" w:hAnsi="Times New Roman" w:cs="Times New Roman"/>
          <w:sz w:val="20"/>
          <w:szCs w:val="20"/>
        </w:rPr>
        <w:t>,</w:t>
      </w:r>
      <w:r w:rsidRPr="0075003C">
        <w:rPr>
          <w:rFonts w:ascii="Times New Roman" w:hAnsi="Times New Roman" w:cs="Times New Roman"/>
          <w:sz w:val="20"/>
          <w:szCs w:val="20"/>
        </w:rPr>
        <w:t xml:space="preserve"> fo</w:t>
      </w:r>
      <w:r>
        <w:rPr>
          <w:rFonts w:ascii="Times New Roman" w:hAnsi="Times New Roman" w:cs="Times New Roman"/>
          <w:sz w:val="20"/>
          <w:szCs w:val="20"/>
        </w:rPr>
        <w:t>r example, Lisa Davies, “Games dream led to m</w:t>
      </w:r>
      <w:r w:rsidRPr="0075003C">
        <w:rPr>
          <w:rFonts w:ascii="Times New Roman" w:hAnsi="Times New Roman" w:cs="Times New Roman"/>
          <w:sz w:val="20"/>
          <w:szCs w:val="20"/>
        </w:rPr>
        <w:t xml:space="preserve">urder: Court told of Keli Lane's bizarre Olympic motive” </w:t>
      </w:r>
      <w:r w:rsidRPr="0075003C">
        <w:rPr>
          <w:rFonts w:ascii="Times New Roman" w:hAnsi="Times New Roman" w:cs="Times New Roman"/>
          <w:i/>
          <w:sz w:val="20"/>
          <w:szCs w:val="20"/>
        </w:rPr>
        <w:t>The Daily Telegraph</w:t>
      </w:r>
      <w:r w:rsidRPr="0075003C">
        <w:rPr>
          <w:rFonts w:ascii="Times New Roman" w:hAnsi="Times New Roman" w:cs="Times New Roman"/>
          <w:sz w:val="20"/>
          <w:szCs w:val="20"/>
        </w:rPr>
        <w:t xml:space="preserve"> (Sydney), </w:t>
      </w:r>
      <w:r>
        <w:rPr>
          <w:rFonts w:ascii="Times New Roman" w:hAnsi="Times New Roman" w:cs="Times New Roman"/>
          <w:sz w:val="20"/>
          <w:szCs w:val="20"/>
        </w:rPr>
        <w:t xml:space="preserve">10 August </w:t>
      </w:r>
      <w:r w:rsidRPr="0075003C">
        <w:rPr>
          <w:rFonts w:ascii="Times New Roman" w:hAnsi="Times New Roman" w:cs="Times New Roman"/>
          <w:sz w:val="20"/>
          <w:szCs w:val="20"/>
        </w:rPr>
        <w:t>2010, 1.</w:t>
      </w:r>
    </w:p>
  </w:footnote>
  <w:footnote w:id="39">
    <w:p w:rsidR="0086558E" w:rsidRPr="0075003C" w:rsidRDefault="0086558E" w:rsidP="00AB4819">
      <w:pPr>
        <w:widowControl w:val="0"/>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Kim Arlington, “No time for five babies: Keli Lane accused”, </w:t>
      </w:r>
      <w:r w:rsidRPr="0075003C">
        <w:rPr>
          <w:rFonts w:ascii="Times New Roman" w:hAnsi="Times New Roman" w:cs="Times New Roman"/>
          <w:i/>
          <w:sz w:val="20"/>
          <w:szCs w:val="20"/>
        </w:rPr>
        <w:t>The Sydney Morning Herald</w:t>
      </w:r>
      <w:r w:rsidRPr="0075003C">
        <w:rPr>
          <w:rFonts w:ascii="Times New Roman" w:hAnsi="Times New Roman" w:cs="Times New Roman"/>
          <w:sz w:val="20"/>
          <w:szCs w:val="20"/>
        </w:rPr>
        <w:t xml:space="preserve">, </w:t>
      </w:r>
      <w:r>
        <w:rPr>
          <w:rFonts w:ascii="Times New Roman" w:hAnsi="Times New Roman" w:cs="Times New Roman"/>
          <w:sz w:val="20"/>
          <w:szCs w:val="20"/>
        </w:rPr>
        <w:t xml:space="preserve">10 August </w:t>
      </w:r>
      <w:r w:rsidRPr="0075003C">
        <w:rPr>
          <w:rFonts w:ascii="Times New Roman" w:hAnsi="Times New Roman" w:cs="Times New Roman"/>
          <w:sz w:val="20"/>
          <w:szCs w:val="20"/>
        </w:rPr>
        <w:t>2010, 1.</w:t>
      </w:r>
      <w:r w:rsidR="007D7BB4">
        <w:rPr>
          <w:rFonts w:ascii="Times New Roman" w:hAnsi="Times New Roman" w:cs="Times New Roman"/>
          <w:sz w:val="20"/>
          <w:szCs w:val="20"/>
        </w:rPr>
        <w:t xml:space="preserve"> T</w:t>
      </w:r>
      <w:r w:rsidR="00B1265B">
        <w:rPr>
          <w:rFonts w:ascii="Times New Roman" w:hAnsi="Times New Roman" w:cs="Times New Roman"/>
          <w:sz w:val="20"/>
          <w:szCs w:val="20"/>
        </w:rPr>
        <w:t xml:space="preserve">he primary argument in </w:t>
      </w:r>
      <w:r w:rsidR="005227AE">
        <w:rPr>
          <w:rFonts w:ascii="Times New Roman" w:hAnsi="Times New Roman" w:cs="Times New Roman"/>
          <w:sz w:val="20"/>
          <w:szCs w:val="20"/>
        </w:rPr>
        <w:t xml:space="preserve">the </w:t>
      </w:r>
      <w:r w:rsidR="00B1265B">
        <w:rPr>
          <w:rFonts w:ascii="Times New Roman" w:hAnsi="Times New Roman" w:cs="Times New Roman"/>
          <w:sz w:val="20"/>
          <w:szCs w:val="20"/>
        </w:rPr>
        <w:t xml:space="preserve">NSWCCA related to whether an alternative charge of manslaughter should have been left </w:t>
      </w:r>
      <w:r w:rsidR="00653BC3">
        <w:rPr>
          <w:rFonts w:ascii="Times New Roman" w:hAnsi="Times New Roman" w:cs="Times New Roman"/>
          <w:sz w:val="20"/>
          <w:szCs w:val="20"/>
        </w:rPr>
        <w:t>to</w:t>
      </w:r>
      <w:r w:rsidR="00B1265B">
        <w:rPr>
          <w:rFonts w:ascii="Times New Roman" w:hAnsi="Times New Roman" w:cs="Times New Roman"/>
          <w:sz w:val="20"/>
          <w:szCs w:val="20"/>
        </w:rPr>
        <w:t xml:space="preserve"> the jury. Defending the decision to </w:t>
      </w:r>
      <w:r w:rsidR="002B6947">
        <w:rPr>
          <w:rFonts w:ascii="Times New Roman" w:hAnsi="Times New Roman" w:cs="Times New Roman"/>
          <w:sz w:val="20"/>
          <w:szCs w:val="20"/>
        </w:rPr>
        <w:t xml:space="preserve">confine the case to one of </w:t>
      </w:r>
      <w:r w:rsidR="00B1265B">
        <w:rPr>
          <w:rFonts w:ascii="Times New Roman" w:hAnsi="Times New Roman" w:cs="Times New Roman"/>
          <w:sz w:val="20"/>
          <w:szCs w:val="20"/>
        </w:rPr>
        <w:t xml:space="preserve"> murder only, the Crown argued that </w:t>
      </w:r>
      <w:r w:rsidR="002B6947">
        <w:rPr>
          <w:rFonts w:ascii="Times New Roman" w:hAnsi="Times New Roman" w:cs="Times New Roman"/>
          <w:sz w:val="20"/>
          <w:szCs w:val="20"/>
        </w:rPr>
        <w:t xml:space="preserve">manslaughter (or accidental death) </w:t>
      </w:r>
      <w:r w:rsidR="00B1265B">
        <w:rPr>
          <w:rFonts w:ascii="Times New Roman" w:hAnsi="Times New Roman" w:cs="Times New Roman"/>
          <w:sz w:val="20"/>
          <w:szCs w:val="20"/>
        </w:rPr>
        <w:t xml:space="preserve"> was in</w:t>
      </w:r>
      <w:r w:rsidR="00653BC3">
        <w:rPr>
          <w:rFonts w:ascii="Times New Roman" w:hAnsi="Times New Roman" w:cs="Times New Roman"/>
          <w:sz w:val="20"/>
          <w:szCs w:val="20"/>
        </w:rPr>
        <w:t xml:space="preserve">consistent with her past conduct in concealing her past pregnancies and the evidence that she had </w:t>
      </w:r>
      <w:r w:rsidR="002B6947">
        <w:rPr>
          <w:rFonts w:ascii="Times New Roman" w:hAnsi="Times New Roman" w:cs="Times New Roman"/>
          <w:sz w:val="20"/>
          <w:szCs w:val="20"/>
        </w:rPr>
        <w:t>repeatedly</w:t>
      </w:r>
      <w:r w:rsidR="00653BC3">
        <w:rPr>
          <w:rFonts w:ascii="Times New Roman" w:hAnsi="Times New Roman" w:cs="Times New Roman"/>
          <w:sz w:val="20"/>
          <w:szCs w:val="20"/>
        </w:rPr>
        <w:t xml:space="preserve"> shown that she “did not accept the responsibility of caring for the [a?] child.” </w:t>
      </w:r>
      <w:r w:rsidR="00B1265B">
        <w:rPr>
          <w:rFonts w:ascii="Times New Roman" w:hAnsi="Times New Roman" w:cs="Times New Roman"/>
          <w:sz w:val="20"/>
          <w:szCs w:val="20"/>
        </w:rPr>
        <w:t>There was little or no critical discussion in the appeal of the language used by Tedeschi, or of the narratives deployed in her trial</w:t>
      </w:r>
      <w:r w:rsidR="00653BC3">
        <w:rPr>
          <w:rFonts w:ascii="Times New Roman" w:hAnsi="Times New Roman" w:cs="Times New Roman"/>
          <w:sz w:val="20"/>
          <w:szCs w:val="20"/>
        </w:rPr>
        <w:t xml:space="preserve">, </w:t>
      </w:r>
      <w:r w:rsidR="00B1265B">
        <w:rPr>
          <w:rFonts w:ascii="Times New Roman" w:hAnsi="Times New Roman" w:cs="Times New Roman"/>
          <w:sz w:val="20"/>
          <w:szCs w:val="20"/>
        </w:rPr>
        <w:t xml:space="preserve">though the second ground related to the prosecutorial approach and conduct during the trial, in particular </w:t>
      </w:r>
      <w:r w:rsidR="00A563E7">
        <w:rPr>
          <w:rFonts w:ascii="Times New Roman" w:hAnsi="Times New Roman" w:cs="Times New Roman"/>
          <w:sz w:val="20"/>
          <w:szCs w:val="20"/>
        </w:rPr>
        <w:t xml:space="preserve">the </w:t>
      </w:r>
      <w:r w:rsidR="00B1265B">
        <w:rPr>
          <w:rFonts w:ascii="Times New Roman" w:hAnsi="Times New Roman" w:cs="Times New Roman"/>
          <w:sz w:val="20"/>
          <w:szCs w:val="20"/>
        </w:rPr>
        <w:t>posing of questions to the jury</w:t>
      </w:r>
      <w:r w:rsidR="00A563E7">
        <w:rPr>
          <w:rFonts w:ascii="Times New Roman" w:hAnsi="Times New Roman" w:cs="Times New Roman"/>
          <w:sz w:val="20"/>
          <w:szCs w:val="20"/>
        </w:rPr>
        <w:t xml:space="preserve"> in a manner that might displace the Crown’s onus of proof,</w:t>
      </w:r>
      <w:r w:rsidR="00B1265B">
        <w:rPr>
          <w:rFonts w:ascii="Times New Roman" w:hAnsi="Times New Roman" w:cs="Times New Roman"/>
          <w:sz w:val="20"/>
          <w:szCs w:val="20"/>
        </w:rPr>
        <w:t xml:space="preserve"> with comparisons drawn between Lane’s trial and the trial of Gordon Wood</w:t>
      </w:r>
      <w:r w:rsidR="00A563E7">
        <w:rPr>
          <w:rFonts w:ascii="Times New Roman" w:hAnsi="Times New Roman" w:cs="Times New Roman"/>
          <w:sz w:val="20"/>
          <w:szCs w:val="20"/>
        </w:rPr>
        <w:t xml:space="preserve">. </w:t>
      </w:r>
    </w:p>
  </w:footnote>
  <w:footnote w:id="40">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R v Lane</w:t>
      </w:r>
      <w:r>
        <w:rPr>
          <w:rFonts w:ascii="Times New Roman" w:hAnsi="Times New Roman" w:cs="Times New Roman"/>
          <w:sz w:val="20"/>
          <w:szCs w:val="20"/>
        </w:rPr>
        <w:t>, above n 20,</w:t>
      </w:r>
      <w:r w:rsidRPr="0075003C">
        <w:rPr>
          <w:rFonts w:ascii="Times New Roman" w:hAnsi="Times New Roman" w:cs="Times New Roman"/>
          <w:sz w:val="20"/>
          <w:szCs w:val="20"/>
        </w:rPr>
        <w:t xml:space="preserve"> per McClellan J. In its submissions on sentencing, the Crown argued that her previous pregnancies could be considered as pointing to the seriousness of her offence: “Mr Chapple SC [acting for Lane] submitted that the offence fell at the lowest end of the spectrum in terms of its objective seriousness. The Crown did not accept this submission. It referred to aggravating features involved, the selfish motives underlying the murder, and the fact that this was not the first time the accused had been involved in giving birth to a baby, indeed, a baby she did not intend to keep.” </w:t>
      </w:r>
      <w:r w:rsidRPr="0075003C">
        <w:rPr>
          <w:rFonts w:ascii="Times New Roman" w:hAnsi="Times New Roman" w:cs="Times New Roman"/>
          <w:i/>
          <w:sz w:val="20"/>
          <w:szCs w:val="20"/>
        </w:rPr>
        <w:t>R v Keli Lane</w:t>
      </w:r>
      <w:r w:rsidRPr="0075003C">
        <w:rPr>
          <w:rFonts w:ascii="Times New Roman" w:hAnsi="Times New Roman" w:cs="Times New Roman"/>
          <w:sz w:val="20"/>
          <w:szCs w:val="20"/>
        </w:rPr>
        <w:t xml:space="preserve">, </w:t>
      </w:r>
      <w:r>
        <w:rPr>
          <w:rFonts w:ascii="Times New Roman" w:hAnsi="Times New Roman" w:cs="Times New Roman"/>
          <w:sz w:val="20"/>
          <w:szCs w:val="20"/>
        </w:rPr>
        <w:t xml:space="preserve">above n 7, </w:t>
      </w:r>
      <w:r w:rsidRPr="0075003C">
        <w:rPr>
          <w:rFonts w:ascii="Times New Roman" w:hAnsi="Times New Roman" w:cs="Times New Roman"/>
          <w:sz w:val="20"/>
          <w:szCs w:val="20"/>
        </w:rPr>
        <w:t>[36].</w:t>
      </w:r>
    </w:p>
  </w:footnote>
  <w:footnote w:id="41">
    <w:p w:rsidR="0086558E" w:rsidRPr="0075003C" w:rsidRDefault="0086558E" w:rsidP="00B071FE">
      <w:pPr>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A65EC8">
        <w:rPr>
          <w:rFonts w:ascii="Times New Roman" w:hAnsi="Times New Roman" w:cs="Times New Roman"/>
          <w:sz w:val="20"/>
          <w:szCs w:val="20"/>
        </w:rPr>
        <w:t>On the construction of (the contentious and arguably now discredited) Munchausen’s Syndrome by Proxy</w:t>
      </w:r>
      <w:r>
        <w:rPr>
          <w:rFonts w:ascii="Times New Roman" w:hAnsi="Times New Roman" w:cs="Times New Roman"/>
          <w:sz w:val="20"/>
          <w:szCs w:val="20"/>
        </w:rPr>
        <w:t>,</w:t>
      </w:r>
      <w:r w:rsidRPr="0075003C">
        <w:rPr>
          <w:rFonts w:ascii="Times New Roman" w:hAnsi="Times New Roman" w:cs="Times New Roman"/>
          <w:sz w:val="20"/>
          <w:szCs w:val="20"/>
        </w:rPr>
        <w:t xml:space="preserve"> s</w:t>
      </w:r>
      <w:r>
        <w:rPr>
          <w:rFonts w:ascii="Times New Roman" w:hAnsi="Times New Roman" w:cs="Times New Roman"/>
          <w:sz w:val="20"/>
          <w:szCs w:val="20"/>
        </w:rPr>
        <w:t>ee discussion in Fiona E Raitt and</w:t>
      </w:r>
      <w:r w:rsidRPr="0075003C">
        <w:rPr>
          <w:rFonts w:ascii="Times New Roman" w:hAnsi="Times New Roman" w:cs="Times New Roman"/>
          <w:sz w:val="20"/>
          <w:szCs w:val="20"/>
        </w:rPr>
        <w:t xml:space="preserve"> M Suzanne Zeedyk</w:t>
      </w:r>
      <w:r>
        <w:rPr>
          <w:rFonts w:ascii="Times New Roman" w:hAnsi="Times New Roman" w:cs="Times New Roman"/>
          <w:sz w:val="20"/>
          <w:szCs w:val="20"/>
        </w:rPr>
        <w:t>,</w:t>
      </w:r>
      <w:r w:rsidRPr="0075003C">
        <w:rPr>
          <w:rFonts w:ascii="Times New Roman" w:hAnsi="Times New Roman" w:cs="Times New Roman"/>
          <w:sz w:val="20"/>
          <w:szCs w:val="20"/>
        </w:rPr>
        <w:t xml:space="preserve"> “Mothers on Trial: Discourse of Cot Death and Munchausen’s Syndrome by Proxy” (2004) 12 </w:t>
      </w:r>
      <w:r w:rsidRPr="0075003C">
        <w:rPr>
          <w:rFonts w:ascii="Times New Roman" w:hAnsi="Times New Roman" w:cs="Times New Roman"/>
          <w:i/>
          <w:sz w:val="20"/>
          <w:szCs w:val="20"/>
        </w:rPr>
        <w:t>Feminist Legal Studies</w:t>
      </w:r>
      <w:r w:rsidRPr="0075003C">
        <w:rPr>
          <w:rFonts w:ascii="Times New Roman" w:hAnsi="Times New Roman" w:cs="Times New Roman"/>
          <w:sz w:val="20"/>
          <w:szCs w:val="20"/>
        </w:rPr>
        <w:t xml:space="preserve"> 257.</w:t>
      </w:r>
    </w:p>
  </w:footnote>
  <w:footnote w:id="42">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The fact that the accused has experienced expressed irritation becomes one of the ‘striking similarities’ in the circumstances leading up to the deaths, not withstanding that the evidence in relation to events preceding </w:t>
      </w:r>
      <w:r w:rsidRPr="0075003C">
        <w:rPr>
          <w:rFonts w:ascii="Times New Roman" w:hAnsi="Times New Roman" w:cs="Times New Roman"/>
          <w:i/>
          <w:sz w:val="20"/>
          <w:szCs w:val="20"/>
        </w:rPr>
        <w:t>all</w:t>
      </w:r>
      <w:r w:rsidRPr="0075003C">
        <w:rPr>
          <w:rFonts w:ascii="Times New Roman" w:hAnsi="Times New Roman" w:cs="Times New Roman"/>
          <w:sz w:val="20"/>
          <w:szCs w:val="20"/>
        </w:rPr>
        <w:t xml:space="preserve"> four children is equivocal or incomplete. Rather the diaries are used as evidence </w:t>
      </w:r>
      <w:r>
        <w:rPr>
          <w:rFonts w:ascii="Times New Roman" w:hAnsi="Times New Roman" w:cs="Times New Roman"/>
          <w:sz w:val="20"/>
          <w:szCs w:val="20"/>
        </w:rPr>
        <w:t>that the accused is acknowledging</w:t>
      </w:r>
      <w:r w:rsidRPr="0075003C">
        <w:rPr>
          <w:rFonts w:ascii="Times New Roman" w:hAnsi="Times New Roman" w:cs="Times New Roman"/>
          <w:sz w:val="20"/>
          <w:szCs w:val="20"/>
        </w:rPr>
        <w:t xml:space="preserve"> that she had become stressed while caring for the children, particularly the third child, Sarah. It perhaps goes without saying that incidents described are hardly unusual in the day to day life of many parents and children, but in an environment where the defence strategy relied on characterising Kathleen Folbigg as conforming to an ideal type, it perhaps sh</w:t>
      </w:r>
      <w:r>
        <w:rPr>
          <w:rFonts w:ascii="Times New Roman" w:hAnsi="Times New Roman" w:cs="Times New Roman"/>
          <w:sz w:val="20"/>
          <w:szCs w:val="20"/>
        </w:rPr>
        <w:t xml:space="preserve">ied away from acknowledging </w:t>
      </w:r>
      <w:r w:rsidRPr="0075003C">
        <w:rPr>
          <w:rFonts w:ascii="Times New Roman" w:hAnsi="Times New Roman" w:cs="Times New Roman"/>
          <w:sz w:val="20"/>
          <w:szCs w:val="20"/>
        </w:rPr>
        <w:t xml:space="preserve">Fobigg’s experience as representative of the imperfect, day to day frustrations and conflict that can be generated in the home. </w:t>
      </w:r>
    </w:p>
  </w:footnote>
  <w:footnote w:id="43">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See Chapter 7 in </w:t>
      </w:r>
      <w:r>
        <w:rPr>
          <w:rFonts w:ascii="Times New Roman" w:hAnsi="Times New Roman" w:cs="Times New Roman"/>
          <w:i/>
          <w:sz w:val="20"/>
          <w:szCs w:val="20"/>
        </w:rPr>
        <w:t>Murder, Medicine and Motherhood</w:t>
      </w:r>
      <w:r w:rsidRPr="0075003C">
        <w:rPr>
          <w:rFonts w:ascii="Times New Roman" w:hAnsi="Times New Roman" w:cs="Times New Roman"/>
          <w:sz w:val="20"/>
          <w:szCs w:val="20"/>
        </w:rPr>
        <w:t>.</w:t>
      </w:r>
    </w:p>
  </w:footnote>
  <w:footnote w:id="44">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Not mentioned in the judgments as a relevant d</w:t>
      </w:r>
      <w:r>
        <w:rPr>
          <w:rFonts w:ascii="Times New Roman" w:hAnsi="Times New Roman" w:cs="Times New Roman"/>
          <w:sz w:val="20"/>
          <w:szCs w:val="20"/>
        </w:rPr>
        <w:t>ia</w:t>
      </w:r>
      <w:r w:rsidRPr="0075003C">
        <w:rPr>
          <w:rFonts w:ascii="Times New Roman" w:hAnsi="Times New Roman" w:cs="Times New Roman"/>
          <w:sz w:val="20"/>
          <w:szCs w:val="20"/>
        </w:rPr>
        <w:t>ry entry, but present in the media accounts</w:t>
      </w:r>
      <w:r>
        <w:rPr>
          <w:rFonts w:ascii="Times New Roman" w:hAnsi="Times New Roman" w:cs="Times New Roman"/>
          <w:sz w:val="20"/>
          <w:szCs w:val="20"/>
        </w:rPr>
        <w:t>,</w:t>
      </w:r>
      <w:r w:rsidRPr="0075003C">
        <w:rPr>
          <w:rFonts w:ascii="Times New Roman" w:hAnsi="Times New Roman" w:cs="Times New Roman"/>
          <w:sz w:val="20"/>
          <w:szCs w:val="20"/>
        </w:rPr>
        <w:t xml:space="preserve"> was Folbigg</w:t>
      </w:r>
      <w:r>
        <w:rPr>
          <w:rFonts w:ascii="Times New Roman" w:hAnsi="Times New Roman" w:cs="Times New Roman"/>
          <w:sz w:val="20"/>
          <w:szCs w:val="20"/>
        </w:rPr>
        <w:t>’s use of the striking phrase, “</w:t>
      </w:r>
      <w:r w:rsidRPr="0075003C">
        <w:rPr>
          <w:rFonts w:ascii="Times New Roman" w:hAnsi="Times New Roman" w:cs="Times New Roman"/>
          <w:sz w:val="20"/>
          <w:szCs w:val="20"/>
        </w:rPr>
        <w:t>Obvio</w:t>
      </w:r>
      <w:r>
        <w:rPr>
          <w:rFonts w:ascii="Times New Roman" w:hAnsi="Times New Roman" w:cs="Times New Roman"/>
          <w:sz w:val="20"/>
          <w:szCs w:val="20"/>
        </w:rPr>
        <w:t>usly, I am my father’s daughter”</w:t>
      </w:r>
      <w:r w:rsidRPr="0075003C">
        <w:rPr>
          <w:rFonts w:ascii="Times New Roman" w:hAnsi="Times New Roman" w:cs="Times New Roman"/>
          <w:sz w:val="20"/>
          <w:szCs w:val="20"/>
        </w:rPr>
        <w:t>. Folbigg’s mother had been murdered by her father, Thomas Britton, because, acco</w:t>
      </w:r>
      <w:r>
        <w:rPr>
          <w:rFonts w:ascii="Times New Roman" w:hAnsi="Times New Roman" w:cs="Times New Roman"/>
          <w:sz w:val="20"/>
          <w:szCs w:val="20"/>
        </w:rPr>
        <w:t>rding to one newspaper report, “</w:t>
      </w:r>
      <w:r w:rsidRPr="0075003C">
        <w:rPr>
          <w:rFonts w:ascii="Times New Roman" w:hAnsi="Times New Roman" w:cs="Times New Roman"/>
          <w:sz w:val="20"/>
          <w:szCs w:val="20"/>
        </w:rPr>
        <w:t>Britton was furious over his partner’s severe neglect of Kathleen”, who was then eighteen months old. See Stephen Cauchi, “Killing them softly”</w:t>
      </w:r>
      <w:r>
        <w:rPr>
          <w:rFonts w:ascii="Times New Roman" w:hAnsi="Times New Roman" w:cs="Times New Roman"/>
          <w:sz w:val="20"/>
          <w:szCs w:val="20"/>
        </w:rPr>
        <w:t>,</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The Age</w:t>
      </w:r>
      <w:r w:rsidRPr="0075003C">
        <w:rPr>
          <w:rFonts w:ascii="Times New Roman" w:hAnsi="Times New Roman" w:cs="Times New Roman"/>
          <w:sz w:val="20"/>
          <w:szCs w:val="20"/>
        </w:rPr>
        <w:t xml:space="preserve"> (Melbourne), </w:t>
      </w:r>
      <w:r>
        <w:rPr>
          <w:rFonts w:ascii="Times New Roman" w:hAnsi="Times New Roman" w:cs="Times New Roman"/>
          <w:sz w:val="20"/>
          <w:szCs w:val="20"/>
        </w:rPr>
        <w:t>30 August</w:t>
      </w:r>
      <w:r w:rsidRPr="0075003C">
        <w:rPr>
          <w:rFonts w:ascii="Times New Roman" w:hAnsi="Times New Roman" w:cs="Times New Roman"/>
          <w:sz w:val="20"/>
          <w:szCs w:val="20"/>
        </w:rPr>
        <w:t xml:space="preserve"> 2003. It became apparent after the trial that the jury had conducted their own research about the case, and had acquired knowledge of Folbigg’s family history: </w:t>
      </w:r>
      <w:r w:rsidRPr="0075003C">
        <w:rPr>
          <w:rFonts w:ascii="Times New Roman" w:hAnsi="Times New Roman" w:cs="Times New Roman"/>
          <w:i/>
          <w:sz w:val="20"/>
          <w:szCs w:val="20"/>
        </w:rPr>
        <w:t xml:space="preserve">Folbigg v R </w:t>
      </w:r>
      <w:r w:rsidRPr="0075003C">
        <w:rPr>
          <w:rFonts w:ascii="Times New Roman" w:hAnsi="Times New Roman" w:cs="Times New Roman"/>
          <w:sz w:val="20"/>
          <w:szCs w:val="20"/>
        </w:rPr>
        <w:t xml:space="preserve">[2007] NSWCCA 37. </w:t>
      </w:r>
    </w:p>
  </w:footnote>
  <w:footnote w:id="45">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See</w:t>
      </w:r>
      <w:r>
        <w:rPr>
          <w:rFonts w:ascii="Times New Roman" w:hAnsi="Times New Roman" w:cs="Times New Roman"/>
          <w:sz w:val="20"/>
          <w:szCs w:val="20"/>
        </w:rPr>
        <w:t>,</w:t>
      </w:r>
      <w:r w:rsidRPr="0075003C">
        <w:rPr>
          <w:rFonts w:ascii="Times New Roman" w:hAnsi="Times New Roman" w:cs="Times New Roman"/>
          <w:sz w:val="20"/>
          <w:szCs w:val="20"/>
        </w:rPr>
        <w:t xml:space="preserve"> for example</w:t>
      </w:r>
      <w:r>
        <w:rPr>
          <w:rFonts w:ascii="Times New Roman" w:hAnsi="Times New Roman" w:cs="Times New Roman"/>
          <w:sz w:val="20"/>
          <w:szCs w:val="20"/>
        </w:rPr>
        <w:t>,</w:t>
      </w:r>
      <w:r w:rsidRPr="0075003C">
        <w:rPr>
          <w:rFonts w:ascii="Times New Roman" w:hAnsi="Times New Roman" w:cs="Times New Roman"/>
          <w:sz w:val="20"/>
          <w:szCs w:val="20"/>
        </w:rPr>
        <w:t xml:space="preserve"> in the 2005 appeal, the comment that Folbigg’s</w:t>
      </w:r>
      <w:r>
        <w:rPr>
          <w:rFonts w:ascii="Times New Roman" w:hAnsi="Times New Roman" w:cs="Times New Roman"/>
          <w:sz w:val="20"/>
          <w:szCs w:val="20"/>
        </w:rPr>
        <w:t xml:space="preserve"> ‘admissions’, including that she is</w:t>
      </w:r>
      <w:r w:rsidRPr="0075003C">
        <w:rPr>
          <w:rFonts w:ascii="Times New Roman" w:hAnsi="Times New Roman" w:cs="Times New Roman"/>
          <w:sz w:val="20"/>
          <w:szCs w:val="20"/>
        </w:rPr>
        <w:t xml:space="preserve"> trying to control her responses to frustration, or th</w:t>
      </w:r>
      <w:r>
        <w:rPr>
          <w:rFonts w:ascii="Times New Roman" w:hAnsi="Times New Roman" w:cs="Times New Roman"/>
          <w:sz w:val="20"/>
          <w:szCs w:val="20"/>
        </w:rPr>
        <w:t>at she has lost her temper, “</w:t>
      </w:r>
      <w:r w:rsidRPr="0075003C">
        <w:rPr>
          <w:rFonts w:ascii="Times New Roman" w:hAnsi="Times New Roman" w:cs="Times New Roman"/>
          <w:sz w:val="20"/>
          <w:szCs w:val="20"/>
        </w:rPr>
        <w:t xml:space="preserve">make chilling reading in the light of the known history of Caleb, Patrick, Sarah and Laura”: </w:t>
      </w:r>
      <w:r w:rsidRPr="0075003C">
        <w:rPr>
          <w:rFonts w:ascii="Times New Roman" w:hAnsi="Times New Roman" w:cs="Times New Roman"/>
          <w:i/>
          <w:sz w:val="20"/>
          <w:szCs w:val="20"/>
        </w:rPr>
        <w:t>R v Folbigg</w:t>
      </w:r>
      <w:r w:rsidRPr="0075003C">
        <w:rPr>
          <w:rFonts w:ascii="Times New Roman" w:hAnsi="Times New Roman" w:cs="Times New Roman"/>
          <w:sz w:val="20"/>
          <w:szCs w:val="20"/>
        </w:rPr>
        <w:t xml:space="preserve"> [2005] NSWCCA 23</w:t>
      </w:r>
      <w:r>
        <w:rPr>
          <w:rFonts w:ascii="Times New Roman" w:hAnsi="Times New Roman" w:cs="Times New Roman"/>
          <w:sz w:val="20"/>
          <w:szCs w:val="20"/>
        </w:rPr>
        <w:t>,</w:t>
      </w:r>
      <w:r w:rsidRPr="0075003C">
        <w:rPr>
          <w:rFonts w:ascii="Times New Roman" w:hAnsi="Times New Roman" w:cs="Times New Roman"/>
          <w:sz w:val="20"/>
          <w:szCs w:val="20"/>
        </w:rPr>
        <w:t xml:space="preserve"> per Sully J, [132].</w:t>
      </w:r>
    </w:p>
  </w:footnote>
  <w:footnote w:id="46">
    <w:p w:rsidR="0086558E" w:rsidRPr="0075003C" w:rsidRDefault="0086558E" w:rsidP="00AB4819">
      <w:pPr>
        <w:widowControl w:val="0"/>
        <w:autoSpaceDE w:val="0"/>
        <w:autoSpaceDN w:val="0"/>
        <w:adjustRightInd w:val="0"/>
        <w:jc w:val="both"/>
        <w:rPr>
          <w:rFonts w:ascii="Times New Roman" w:hAnsi="Times New Roman" w:cs="Times New Roman"/>
          <w:bCs/>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It is worth noting here also the presentation of Folbigg as a woman of limited intelligence and stunted emotional development, which particularly came to the fore in her sentencing. Emma’s account of the ways in which the diaries could be read draws on a far more nuanced account of women’s writing. And in this regard it might be worth considering by way of comparison (and contrast) the conventional image of the female novelist, writing in secret, revealing her hidden depth of understanding only her novels. In other work, Emma usefully extends this analytical approach to the reading of other forms of court documents: “</w:t>
      </w:r>
      <w:r w:rsidRPr="0075003C">
        <w:rPr>
          <w:rFonts w:ascii="Times New Roman" w:hAnsi="Times New Roman" w:cs="Times New Roman"/>
          <w:bCs/>
          <w:sz w:val="20"/>
          <w:szCs w:val="20"/>
        </w:rPr>
        <w:t xml:space="preserve">(This Is Not a) Story: Using Court Records to Explore Judicial Narratives in </w:t>
      </w:r>
      <w:r w:rsidRPr="0075003C">
        <w:rPr>
          <w:rFonts w:ascii="Times New Roman" w:hAnsi="Times New Roman" w:cs="Times New Roman"/>
          <w:bCs/>
          <w:i/>
          <w:sz w:val="20"/>
          <w:szCs w:val="20"/>
        </w:rPr>
        <w:t>R v Kathleen Folbigg</w:t>
      </w:r>
      <w:r w:rsidRPr="0075003C">
        <w:rPr>
          <w:rFonts w:ascii="Times New Roman" w:hAnsi="Times New Roman" w:cs="Times New Roman"/>
          <w:bCs/>
          <w:sz w:val="20"/>
          <w:szCs w:val="20"/>
        </w:rPr>
        <w:t xml:space="preserve">” (2007) 27 </w:t>
      </w:r>
      <w:r w:rsidRPr="0075003C">
        <w:rPr>
          <w:rFonts w:ascii="Times New Roman" w:hAnsi="Times New Roman" w:cs="Times New Roman"/>
          <w:bCs/>
          <w:i/>
          <w:sz w:val="20"/>
          <w:szCs w:val="20"/>
        </w:rPr>
        <w:t>Australian Feminist Law Journal</w:t>
      </w:r>
      <w:r>
        <w:rPr>
          <w:rFonts w:ascii="Times New Roman" w:hAnsi="Times New Roman" w:cs="Times New Roman"/>
          <w:bCs/>
          <w:sz w:val="20"/>
          <w:szCs w:val="20"/>
        </w:rPr>
        <w:t xml:space="preserve"> 71.</w:t>
      </w:r>
    </w:p>
  </w:footnote>
  <w:footnote w:id="47">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See, for example</w:t>
      </w:r>
      <w:r>
        <w:rPr>
          <w:rFonts w:ascii="Times New Roman" w:hAnsi="Times New Roman" w:cs="Times New Roman"/>
          <w:sz w:val="20"/>
          <w:szCs w:val="20"/>
        </w:rPr>
        <w:t>,</w:t>
      </w:r>
      <w:r w:rsidRPr="0075003C">
        <w:rPr>
          <w:rFonts w:ascii="Times New Roman" w:hAnsi="Times New Roman" w:cs="Times New Roman"/>
          <w:sz w:val="20"/>
          <w:szCs w:val="20"/>
        </w:rPr>
        <w:t xml:space="preserve"> discuss</w:t>
      </w:r>
      <w:r>
        <w:rPr>
          <w:rFonts w:ascii="Times New Roman" w:hAnsi="Times New Roman" w:cs="Times New Roman"/>
          <w:sz w:val="20"/>
          <w:szCs w:val="20"/>
        </w:rPr>
        <w:t>ion in Raitt and Zeedyk, above n 40</w:t>
      </w:r>
      <w:r w:rsidRPr="0075003C">
        <w:rPr>
          <w:rFonts w:ascii="Times New Roman" w:hAnsi="Times New Roman" w:cs="Times New Roman"/>
          <w:sz w:val="20"/>
          <w:szCs w:val="20"/>
        </w:rPr>
        <w:t>.</w:t>
      </w:r>
      <w:r w:rsidR="0082775D">
        <w:rPr>
          <w:rFonts w:ascii="Times New Roman" w:hAnsi="Times New Roman" w:cs="Times New Roman"/>
          <w:sz w:val="20"/>
          <w:szCs w:val="20"/>
        </w:rPr>
        <w:t xml:space="preserve"> Raitt and Zeedyk open their article with </w:t>
      </w:r>
      <w:r w:rsidR="0082775D">
        <w:rPr>
          <w:rFonts w:ascii="Times New Roman" w:hAnsi="Times New Roman" w:cs="Times New Roman"/>
          <w:sz w:val="20"/>
          <w:szCs w:val="20"/>
          <w:lang w:val="en-AU"/>
        </w:rPr>
        <w:t>the co</w:t>
      </w:r>
      <w:r w:rsidR="0082775D" w:rsidRPr="00537FB2">
        <w:rPr>
          <w:rFonts w:ascii="Times New Roman" w:hAnsi="Times New Roman" w:cs="Times New Roman"/>
          <w:sz w:val="20"/>
          <w:szCs w:val="20"/>
          <w:lang w:val="en-AU"/>
        </w:rPr>
        <w:t xml:space="preserve">mment of Justice Hallet, trial judge in </w:t>
      </w:r>
      <w:r w:rsidR="0082775D" w:rsidRPr="00537FB2">
        <w:rPr>
          <w:rFonts w:ascii="Times New Roman" w:hAnsi="Times New Roman" w:cs="Times New Roman"/>
          <w:i/>
          <w:sz w:val="20"/>
          <w:szCs w:val="20"/>
          <w:lang w:val="en-AU"/>
        </w:rPr>
        <w:t>R v Cannings</w:t>
      </w:r>
      <w:r w:rsidR="0082775D" w:rsidRPr="00537FB2">
        <w:rPr>
          <w:rFonts w:ascii="Times New Roman" w:hAnsi="Times New Roman" w:cs="Times New Roman"/>
          <w:sz w:val="20"/>
          <w:szCs w:val="20"/>
          <w:lang w:val="en-AU"/>
        </w:rPr>
        <w:t xml:space="preserve"> [2004] 1 EWCA Crim 1</w:t>
      </w:r>
      <w:r w:rsidR="005227AE">
        <w:rPr>
          <w:rFonts w:ascii="Times New Roman" w:hAnsi="Times New Roman" w:cs="Times New Roman"/>
          <w:sz w:val="20"/>
          <w:szCs w:val="20"/>
          <w:lang w:val="en-AU"/>
        </w:rPr>
        <w:t>:</w:t>
      </w:r>
      <w:r w:rsidR="0082775D" w:rsidRPr="00537FB2">
        <w:rPr>
          <w:rFonts w:ascii="Times New Roman" w:hAnsi="Times New Roman" w:cs="Times New Roman"/>
          <w:sz w:val="20"/>
          <w:szCs w:val="20"/>
          <w:lang w:val="en-AU"/>
        </w:rPr>
        <w:t xml:space="preserve"> “I have no doubt that for </w:t>
      </w:r>
      <w:r w:rsidR="00700C4E" w:rsidRPr="00700C4E">
        <w:rPr>
          <w:rFonts w:ascii="Times New Roman" w:hAnsi="Times New Roman" w:cs="Times New Roman"/>
          <w:i/>
          <w:sz w:val="20"/>
          <w:szCs w:val="20"/>
          <w:lang w:val="en-AU"/>
        </w:rPr>
        <w:t>a woman like you</w:t>
      </w:r>
      <w:r w:rsidR="0082775D" w:rsidRPr="00537FB2">
        <w:rPr>
          <w:rFonts w:ascii="Times New Roman" w:hAnsi="Times New Roman" w:cs="Times New Roman"/>
          <w:sz w:val="20"/>
          <w:szCs w:val="20"/>
          <w:lang w:val="en-AU"/>
        </w:rPr>
        <w:t xml:space="preserve"> to have</w:t>
      </w:r>
      <w:r w:rsidR="0082775D" w:rsidRPr="0082775D">
        <w:rPr>
          <w:rFonts w:ascii="Times New Roman" w:hAnsi="Times New Roman" w:cs="Times New Roman"/>
          <w:sz w:val="20"/>
          <w:szCs w:val="20"/>
          <w:lang w:val="en-AU"/>
        </w:rPr>
        <w:t xml:space="preserve"> committed the terrible acts of</w:t>
      </w:r>
      <w:r w:rsidR="0082775D">
        <w:rPr>
          <w:rFonts w:ascii="Times New Roman" w:hAnsi="Times New Roman" w:cs="Times New Roman"/>
          <w:sz w:val="20"/>
          <w:szCs w:val="20"/>
          <w:lang w:val="en-AU"/>
        </w:rPr>
        <w:t xml:space="preserve"> </w:t>
      </w:r>
      <w:r w:rsidR="0082775D" w:rsidRPr="00537FB2">
        <w:rPr>
          <w:rFonts w:ascii="Times New Roman" w:hAnsi="Times New Roman" w:cs="Times New Roman"/>
          <w:sz w:val="20"/>
          <w:szCs w:val="20"/>
          <w:lang w:val="en-AU"/>
        </w:rPr>
        <w:t xml:space="preserve">suffocating </w:t>
      </w:r>
      <w:r w:rsidR="005227AE">
        <w:rPr>
          <w:rFonts w:ascii="Times New Roman" w:hAnsi="Times New Roman" w:cs="Times New Roman"/>
          <w:sz w:val="20"/>
          <w:szCs w:val="20"/>
          <w:lang w:val="en-AU"/>
        </w:rPr>
        <w:t xml:space="preserve">on </w:t>
      </w:r>
      <w:r w:rsidR="0082775D" w:rsidRPr="00537FB2">
        <w:rPr>
          <w:rFonts w:ascii="Times New Roman" w:hAnsi="Times New Roman" w:cs="Times New Roman"/>
          <w:sz w:val="20"/>
          <w:szCs w:val="20"/>
          <w:lang w:val="en-AU"/>
        </w:rPr>
        <w:t>your own babies there must have been</w:t>
      </w:r>
      <w:r w:rsidR="0082775D" w:rsidRPr="0082775D">
        <w:rPr>
          <w:rFonts w:ascii="Times New Roman" w:hAnsi="Times New Roman" w:cs="Times New Roman"/>
          <w:sz w:val="20"/>
          <w:szCs w:val="20"/>
          <w:lang w:val="en-AU"/>
        </w:rPr>
        <w:t xml:space="preserve"> something seriously wrong with</w:t>
      </w:r>
      <w:r w:rsidR="0082775D">
        <w:rPr>
          <w:rFonts w:ascii="Times New Roman" w:hAnsi="Times New Roman" w:cs="Times New Roman"/>
          <w:sz w:val="20"/>
          <w:szCs w:val="20"/>
          <w:lang w:val="en-AU"/>
        </w:rPr>
        <w:t xml:space="preserve"> </w:t>
      </w:r>
      <w:r w:rsidR="0082775D" w:rsidRPr="00537FB2">
        <w:rPr>
          <w:rFonts w:ascii="Times New Roman" w:hAnsi="Times New Roman" w:cs="Times New Roman"/>
          <w:sz w:val="20"/>
          <w:szCs w:val="20"/>
          <w:lang w:val="en-AU"/>
        </w:rPr>
        <w:t xml:space="preserve">you. </w:t>
      </w:r>
      <w:r w:rsidR="0082775D">
        <w:rPr>
          <w:rFonts w:ascii="Times New Roman" w:hAnsi="Times New Roman" w:cs="Times New Roman"/>
          <w:sz w:val="20"/>
          <w:szCs w:val="20"/>
          <w:lang w:val="en-AU"/>
        </w:rPr>
        <w:t>…</w:t>
      </w:r>
      <w:r w:rsidR="0082775D" w:rsidRPr="00537FB2">
        <w:rPr>
          <w:rFonts w:ascii="Times New Roman" w:hAnsi="Times New Roman" w:cs="Times New Roman"/>
          <w:sz w:val="20"/>
          <w:szCs w:val="20"/>
          <w:lang w:val="en-AU"/>
        </w:rPr>
        <w:t>”</w:t>
      </w:r>
      <w:r w:rsidR="0082775D">
        <w:rPr>
          <w:rFonts w:ascii="Times New Roman" w:hAnsi="Times New Roman" w:cs="Times New Roman"/>
          <w:sz w:val="20"/>
          <w:szCs w:val="20"/>
          <w:lang w:val="en-AU"/>
        </w:rPr>
        <w:t xml:space="preserve"> (</w:t>
      </w:r>
      <w:r w:rsidR="00700C4E" w:rsidRPr="005227AE">
        <w:rPr>
          <w:rFonts w:ascii="Times New Roman" w:hAnsi="Times New Roman" w:cs="Times New Roman"/>
          <w:sz w:val="20"/>
          <w:szCs w:val="20"/>
          <w:lang w:val="en-AU"/>
        </w:rPr>
        <w:t>emphasis</w:t>
      </w:r>
      <w:r w:rsidR="0082775D">
        <w:rPr>
          <w:rFonts w:ascii="Times New Roman" w:hAnsi="Times New Roman" w:cs="Times New Roman"/>
          <w:sz w:val="20"/>
          <w:szCs w:val="20"/>
          <w:lang w:val="en-AU"/>
        </w:rPr>
        <w:t xml:space="preserve"> added)</w:t>
      </w:r>
      <w:r w:rsidR="005227AE">
        <w:rPr>
          <w:rFonts w:ascii="Times New Roman" w:hAnsi="Times New Roman" w:cs="Times New Roman"/>
          <w:sz w:val="20"/>
          <w:szCs w:val="20"/>
          <w:lang w:val="en-AU"/>
        </w:rPr>
        <w:t>.</w:t>
      </w:r>
    </w:p>
  </w:footnote>
  <w:footnote w:id="48">
    <w:p w:rsidR="0086558E" w:rsidRPr="0075003C" w:rsidRDefault="0086558E" w:rsidP="00AB4819">
      <w:pPr>
        <w:pStyle w:val="FootnoteText"/>
        <w:jc w:val="both"/>
        <w:rPr>
          <w:rFonts w:ascii="Times New Roman" w:hAnsi="Times New Roman" w:cs="Times New Roman"/>
          <w:sz w:val="20"/>
          <w:szCs w:val="20"/>
          <w:highlight w:val="yellow"/>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See Carol Smart, “The Woman of Legal Discourse” in </w:t>
      </w:r>
      <w:r w:rsidRPr="0075003C">
        <w:rPr>
          <w:rFonts w:ascii="Times New Roman" w:hAnsi="Times New Roman" w:cs="Times New Roman"/>
          <w:i/>
          <w:sz w:val="20"/>
          <w:szCs w:val="20"/>
        </w:rPr>
        <w:t>Law Crime and Sexuality</w:t>
      </w:r>
      <w:r w:rsidRPr="0075003C">
        <w:rPr>
          <w:rFonts w:ascii="Times New Roman" w:hAnsi="Times New Roman" w:cs="Times New Roman"/>
          <w:sz w:val="20"/>
          <w:szCs w:val="20"/>
        </w:rPr>
        <w:t xml:space="preserve"> (Sage Publications</w:t>
      </w:r>
      <w:r>
        <w:rPr>
          <w:rFonts w:ascii="Times New Roman" w:hAnsi="Times New Roman" w:cs="Times New Roman"/>
          <w:sz w:val="20"/>
          <w:szCs w:val="20"/>
        </w:rPr>
        <w:t>,</w:t>
      </w:r>
      <w:r w:rsidRPr="0075003C">
        <w:rPr>
          <w:rFonts w:ascii="Times New Roman" w:hAnsi="Times New Roman" w:cs="Times New Roman"/>
          <w:sz w:val="20"/>
          <w:szCs w:val="20"/>
        </w:rPr>
        <w:t xml:space="preserve"> 1995).</w:t>
      </w:r>
      <w:r>
        <w:rPr>
          <w:rFonts w:ascii="Times New Roman" w:hAnsi="Times New Roman" w:cs="Times New Roman"/>
          <w:sz w:val="20"/>
          <w:szCs w:val="20"/>
        </w:rPr>
        <w:t xml:space="preserve"> </w:t>
      </w:r>
    </w:p>
  </w:footnote>
  <w:footnote w:id="49">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Smart, above n 47</w:t>
      </w:r>
      <w:r w:rsidRPr="0075003C">
        <w:rPr>
          <w:rFonts w:ascii="Times New Roman" w:hAnsi="Times New Roman" w:cs="Times New Roman"/>
          <w:sz w:val="20"/>
          <w:szCs w:val="20"/>
        </w:rPr>
        <w:t>, 194. Smart’s point is that these seemingly contradictory co</w:t>
      </w:r>
      <w:r>
        <w:rPr>
          <w:rFonts w:ascii="Times New Roman" w:hAnsi="Times New Roman" w:cs="Times New Roman"/>
          <w:sz w:val="20"/>
          <w:szCs w:val="20"/>
        </w:rPr>
        <w:t>nstructions become explicable once</w:t>
      </w:r>
      <w:r w:rsidRPr="0075003C">
        <w:rPr>
          <w:rFonts w:ascii="Times New Roman" w:hAnsi="Times New Roman" w:cs="Times New Roman"/>
          <w:sz w:val="20"/>
          <w:szCs w:val="20"/>
        </w:rPr>
        <w:t xml:space="preserve"> we realise that they are implicated in the construction of gendered difference more broadly.</w:t>
      </w:r>
    </w:p>
  </w:footnote>
  <w:footnote w:id="50">
    <w:p w:rsidR="0086558E" w:rsidRPr="0075003C" w:rsidRDefault="0086558E" w:rsidP="00AB4819">
      <w:pPr>
        <w:widowControl w:val="0"/>
        <w:tabs>
          <w:tab w:val="left" w:pos="220"/>
          <w:tab w:val="left" w:pos="720"/>
        </w:tabs>
        <w:autoSpaceDE w:val="0"/>
        <w:autoSpaceDN w:val="0"/>
        <w:adjustRightInd w:val="0"/>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Meaghan Morris uses the term ‘popular theory’ to describe the, often hegemonic, ideas that circulate in and as popular culture</w:t>
      </w:r>
      <w:r>
        <w:rPr>
          <w:rFonts w:ascii="Times New Roman" w:hAnsi="Times New Roman" w:cs="Times New Roman"/>
          <w:sz w:val="20"/>
          <w:szCs w:val="20"/>
        </w:rPr>
        <w:t>: see Mehera San Roque, “Popular Trials/ Criminal Fictions/ Celebrity F</w:t>
      </w:r>
      <w:r w:rsidRPr="0075003C">
        <w:rPr>
          <w:rFonts w:ascii="Times New Roman" w:hAnsi="Times New Roman" w:cs="Times New Roman"/>
          <w:sz w:val="20"/>
          <w:szCs w:val="20"/>
        </w:rPr>
        <w:t>em</w:t>
      </w:r>
      <w:r>
        <w:rPr>
          <w:rFonts w:ascii="Times New Roman" w:hAnsi="Times New Roman" w:cs="Times New Roman"/>
          <w:sz w:val="20"/>
          <w:szCs w:val="20"/>
        </w:rPr>
        <w:t>inism and the Bernardo/Homolka C</w:t>
      </w:r>
      <w:r w:rsidRPr="0075003C">
        <w:rPr>
          <w:rFonts w:ascii="Times New Roman" w:hAnsi="Times New Roman" w:cs="Times New Roman"/>
          <w:sz w:val="20"/>
          <w:szCs w:val="20"/>
        </w:rPr>
        <w:t xml:space="preserve">ase” (1999) 13 </w:t>
      </w:r>
      <w:r w:rsidRPr="0075003C">
        <w:rPr>
          <w:rFonts w:ascii="Times New Roman" w:hAnsi="Times New Roman" w:cs="Times New Roman"/>
          <w:i/>
          <w:sz w:val="20"/>
          <w:szCs w:val="20"/>
        </w:rPr>
        <w:t>Australian Feminist Law Journal</w:t>
      </w:r>
      <w:r>
        <w:rPr>
          <w:rFonts w:ascii="Times New Roman" w:hAnsi="Times New Roman" w:cs="Times New Roman"/>
          <w:sz w:val="20"/>
          <w:szCs w:val="20"/>
        </w:rPr>
        <w:t xml:space="preserve"> 38</w:t>
      </w:r>
      <w:r w:rsidRPr="0075003C">
        <w:rPr>
          <w:rFonts w:ascii="Times New Roman" w:hAnsi="Times New Roman" w:cs="Times New Roman"/>
          <w:sz w:val="20"/>
          <w:szCs w:val="20"/>
        </w:rPr>
        <w:t xml:space="preserve">. See also Carol Smart, “Feminist Approaches to Criminology, or Postmodern Woman meets Atavistic Man” in </w:t>
      </w:r>
      <w:r w:rsidRPr="0075003C">
        <w:rPr>
          <w:rFonts w:ascii="Times New Roman" w:hAnsi="Times New Roman" w:cs="Times New Roman"/>
          <w:i/>
          <w:sz w:val="20"/>
          <w:szCs w:val="20"/>
        </w:rPr>
        <w:t>Law, Crime and Sexuality</w:t>
      </w:r>
      <w:r>
        <w:rPr>
          <w:rFonts w:ascii="Times New Roman" w:hAnsi="Times New Roman" w:cs="Times New Roman"/>
          <w:sz w:val="20"/>
          <w:szCs w:val="20"/>
        </w:rPr>
        <w:t xml:space="preserve">, above n 47; </w:t>
      </w:r>
      <w:r w:rsidRPr="0075003C">
        <w:rPr>
          <w:rFonts w:ascii="Times New Roman" w:hAnsi="Times New Roman" w:cs="Times New Roman"/>
          <w:sz w:val="20"/>
          <w:szCs w:val="20"/>
        </w:rPr>
        <w:t xml:space="preserve">Alison Young, “Criminology and the Question of Feminism” in </w:t>
      </w:r>
      <w:r w:rsidRPr="004A4248">
        <w:rPr>
          <w:rFonts w:ascii="Times New Roman" w:hAnsi="Times New Roman" w:cs="Times New Roman"/>
          <w:i/>
          <w:sz w:val="20"/>
          <w:szCs w:val="20"/>
        </w:rPr>
        <w:t>Imagining Crime</w:t>
      </w:r>
      <w:r>
        <w:rPr>
          <w:rFonts w:ascii="Times New Roman" w:hAnsi="Times New Roman" w:cs="Times New Roman"/>
          <w:sz w:val="20"/>
          <w:szCs w:val="20"/>
        </w:rPr>
        <w:t xml:space="preserve"> (Sage Publications, 1996); and </w:t>
      </w:r>
      <w:r w:rsidRPr="0075003C">
        <w:rPr>
          <w:rFonts w:ascii="Times New Roman" w:hAnsi="Times New Roman" w:cs="Times New Roman"/>
          <w:sz w:val="20"/>
          <w:szCs w:val="20"/>
        </w:rPr>
        <w:t xml:space="preserve">discussion in </w:t>
      </w:r>
      <w:r>
        <w:rPr>
          <w:rFonts w:ascii="Times New Roman" w:hAnsi="Times New Roman" w:cs="Times New Roman"/>
          <w:i/>
          <w:sz w:val="20"/>
          <w:szCs w:val="20"/>
        </w:rPr>
        <w:t>Murder, Medicine and Motherhood</w:t>
      </w:r>
      <w:r w:rsidRPr="00B071FE">
        <w:rPr>
          <w:rFonts w:ascii="Times New Roman" w:hAnsi="Times New Roman" w:cs="Times New Roman"/>
          <w:sz w:val="20"/>
          <w:szCs w:val="20"/>
        </w:rPr>
        <w:t>,</w:t>
      </w:r>
      <w:r>
        <w:rPr>
          <w:rFonts w:ascii="Times New Roman" w:hAnsi="Times New Roman" w:cs="Times New Roman"/>
          <w:sz w:val="20"/>
          <w:szCs w:val="20"/>
        </w:rPr>
        <w:t xml:space="preserve"> 101-</w:t>
      </w:r>
      <w:r w:rsidRPr="0075003C">
        <w:rPr>
          <w:rFonts w:ascii="Times New Roman" w:hAnsi="Times New Roman" w:cs="Times New Roman"/>
          <w:sz w:val="20"/>
          <w:szCs w:val="20"/>
        </w:rPr>
        <w:t>103</w:t>
      </w:r>
      <w:r>
        <w:rPr>
          <w:rFonts w:ascii="Times New Roman" w:hAnsi="Times New Roman" w:cs="Times New Roman"/>
          <w:sz w:val="20"/>
          <w:szCs w:val="20"/>
        </w:rPr>
        <w:t>.</w:t>
      </w:r>
    </w:p>
  </w:footnote>
  <w:footnote w:id="51">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In this respect it is disappointing that in </w:t>
      </w:r>
      <w:r w:rsidRPr="0075003C">
        <w:rPr>
          <w:rFonts w:ascii="Times New Roman" w:hAnsi="Times New Roman" w:cs="Times New Roman"/>
          <w:i/>
          <w:sz w:val="20"/>
          <w:szCs w:val="20"/>
        </w:rPr>
        <w:t>Wood</w:t>
      </w:r>
      <w:r w:rsidRPr="0075003C">
        <w:rPr>
          <w:rFonts w:ascii="Times New Roman" w:hAnsi="Times New Roman" w:cs="Times New Roman"/>
          <w:sz w:val="20"/>
          <w:szCs w:val="20"/>
        </w:rPr>
        <w:t>, the C</w:t>
      </w:r>
      <w:r>
        <w:rPr>
          <w:rFonts w:ascii="Times New Roman" w:hAnsi="Times New Roman" w:cs="Times New Roman"/>
          <w:sz w:val="20"/>
          <w:szCs w:val="20"/>
        </w:rPr>
        <w:t xml:space="preserve">ourt of </w:t>
      </w:r>
      <w:r w:rsidRPr="0075003C">
        <w:rPr>
          <w:rFonts w:ascii="Times New Roman" w:hAnsi="Times New Roman" w:cs="Times New Roman"/>
          <w:sz w:val="20"/>
          <w:szCs w:val="20"/>
        </w:rPr>
        <w:t>C</w:t>
      </w:r>
      <w:r>
        <w:rPr>
          <w:rFonts w:ascii="Times New Roman" w:hAnsi="Times New Roman" w:cs="Times New Roman"/>
          <w:sz w:val="20"/>
          <w:szCs w:val="20"/>
        </w:rPr>
        <w:t xml:space="preserve">riminal </w:t>
      </w:r>
      <w:r w:rsidRPr="0075003C">
        <w:rPr>
          <w:rFonts w:ascii="Times New Roman" w:hAnsi="Times New Roman" w:cs="Times New Roman"/>
          <w:sz w:val="20"/>
          <w:szCs w:val="20"/>
        </w:rPr>
        <w:t>A</w:t>
      </w:r>
      <w:r>
        <w:rPr>
          <w:rFonts w:ascii="Times New Roman" w:hAnsi="Times New Roman" w:cs="Times New Roman"/>
          <w:sz w:val="20"/>
          <w:szCs w:val="20"/>
        </w:rPr>
        <w:t>ppeal</w:t>
      </w:r>
      <w:r w:rsidRPr="0075003C">
        <w:rPr>
          <w:rFonts w:ascii="Times New Roman" w:hAnsi="Times New Roman" w:cs="Times New Roman"/>
          <w:sz w:val="20"/>
          <w:szCs w:val="20"/>
        </w:rPr>
        <w:t xml:space="preserve"> draws attention to the obligations of prosecutions, but does not really get beyond the rogue prosecutor explanation.</w:t>
      </w:r>
    </w:p>
  </w:footnote>
  <w:footnote w:id="52">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See</w:t>
      </w:r>
      <w:r>
        <w:rPr>
          <w:rFonts w:ascii="Times New Roman" w:hAnsi="Times New Roman" w:cs="Times New Roman"/>
          <w:sz w:val="20"/>
          <w:szCs w:val="20"/>
        </w:rPr>
        <w:t>, for example,</w:t>
      </w:r>
      <w:r w:rsidR="00AB4A6C">
        <w:rPr>
          <w:rFonts w:ascii="Times New Roman" w:hAnsi="Times New Roman" w:cs="Times New Roman"/>
          <w:sz w:val="20"/>
          <w:szCs w:val="20"/>
        </w:rPr>
        <w:t xml:space="preserve"> </w:t>
      </w:r>
      <w:r w:rsidRPr="0075003C">
        <w:rPr>
          <w:rFonts w:ascii="Times New Roman" w:hAnsi="Times New Roman" w:cs="Times New Roman"/>
          <w:sz w:val="20"/>
          <w:szCs w:val="20"/>
        </w:rPr>
        <w:t>Eamonn Duff, “New Science would let Folbigg go free”</w:t>
      </w:r>
      <w:r>
        <w:rPr>
          <w:rFonts w:ascii="Times New Roman" w:hAnsi="Times New Roman" w:cs="Times New Roman"/>
          <w:sz w:val="20"/>
          <w:szCs w:val="20"/>
        </w:rPr>
        <w:t>,</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The Sun-Herald</w:t>
      </w:r>
      <w:r w:rsidRPr="0075003C">
        <w:rPr>
          <w:rFonts w:ascii="Times New Roman" w:hAnsi="Times New Roman" w:cs="Times New Roman"/>
          <w:sz w:val="20"/>
          <w:szCs w:val="20"/>
        </w:rPr>
        <w:t xml:space="preserve"> (S</w:t>
      </w:r>
      <w:r>
        <w:rPr>
          <w:rFonts w:ascii="Times New Roman" w:hAnsi="Times New Roman" w:cs="Times New Roman"/>
          <w:sz w:val="20"/>
          <w:szCs w:val="20"/>
        </w:rPr>
        <w:t>ydney) 3</w:t>
      </w:r>
      <w:r w:rsidRPr="0075003C">
        <w:rPr>
          <w:rFonts w:ascii="Times New Roman" w:hAnsi="Times New Roman" w:cs="Times New Roman"/>
          <w:sz w:val="20"/>
          <w:szCs w:val="20"/>
        </w:rPr>
        <w:t xml:space="preserve"> February</w:t>
      </w:r>
      <w:r>
        <w:rPr>
          <w:rFonts w:ascii="Times New Roman" w:hAnsi="Times New Roman" w:cs="Times New Roman"/>
          <w:sz w:val="20"/>
          <w:szCs w:val="20"/>
        </w:rPr>
        <w:t xml:space="preserve"> 2013, 4; Mark Whittaker, “Did she d</w:t>
      </w:r>
      <w:r w:rsidRPr="0075003C">
        <w:rPr>
          <w:rFonts w:ascii="Times New Roman" w:hAnsi="Times New Roman" w:cs="Times New Roman"/>
          <w:sz w:val="20"/>
          <w:szCs w:val="20"/>
        </w:rPr>
        <w:t>o it?”</w:t>
      </w:r>
      <w:r>
        <w:rPr>
          <w:rFonts w:ascii="Times New Roman" w:hAnsi="Times New Roman" w:cs="Times New Roman"/>
          <w:sz w:val="20"/>
          <w:szCs w:val="20"/>
        </w:rPr>
        <w:t>,</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Good Weekend</w:t>
      </w:r>
      <w:r w:rsidRPr="0075003C">
        <w:rPr>
          <w:rFonts w:ascii="Times New Roman" w:hAnsi="Times New Roman" w:cs="Times New Roman"/>
          <w:sz w:val="20"/>
          <w:szCs w:val="20"/>
        </w:rPr>
        <w:t xml:space="preserve"> (Sydney), </w:t>
      </w:r>
      <w:r>
        <w:rPr>
          <w:rFonts w:ascii="Times New Roman" w:hAnsi="Times New Roman" w:cs="Times New Roman"/>
          <w:sz w:val="20"/>
          <w:szCs w:val="20"/>
        </w:rPr>
        <w:t xml:space="preserve">2 </w:t>
      </w:r>
      <w:r w:rsidRPr="0075003C">
        <w:rPr>
          <w:rFonts w:ascii="Times New Roman" w:hAnsi="Times New Roman" w:cs="Times New Roman"/>
          <w:sz w:val="20"/>
          <w:szCs w:val="20"/>
        </w:rPr>
        <w:t xml:space="preserve">February </w:t>
      </w:r>
      <w:r>
        <w:rPr>
          <w:rFonts w:ascii="Times New Roman" w:hAnsi="Times New Roman" w:cs="Times New Roman"/>
          <w:sz w:val="20"/>
          <w:szCs w:val="20"/>
        </w:rPr>
        <w:t>2013, 18-</w:t>
      </w:r>
      <w:r w:rsidRPr="0075003C">
        <w:rPr>
          <w:rFonts w:ascii="Times New Roman" w:hAnsi="Times New Roman" w:cs="Times New Roman"/>
          <w:sz w:val="20"/>
          <w:szCs w:val="20"/>
        </w:rPr>
        <w:t>20.</w:t>
      </w:r>
    </w:p>
  </w:footnote>
  <w:footnote w:id="53">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See discussion in </w:t>
      </w:r>
      <w:r>
        <w:rPr>
          <w:rFonts w:ascii="Times New Roman" w:hAnsi="Times New Roman" w:cs="Times New Roman"/>
          <w:i/>
          <w:sz w:val="20"/>
          <w:szCs w:val="20"/>
        </w:rPr>
        <w:t>Murder, Medicine and Motherhood</w:t>
      </w:r>
      <w:r w:rsidRPr="0075003C">
        <w:rPr>
          <w:rFonts w:ascii="Times New Roman" w:hAnsi="Times New Roman" w:cs="Times New Roman"/>
          <w:sz w:val="20"/>
          <w:szCs w:val="20"/>
        </w:rPr>
        <w:t xml:space="preserve">, 205. Note, again by way of contrast to </w:t>
      </w:r>
      <w:r w:rsidRPr="004A4248">
        <w:rPr>
          <w:rFonts w:ascii="Times New Roman" w:hAnsi="Times New Roman" w:cs="Times New Roman"/>
          <w:i/>
          <w:sz w:val="20"/>
          <w:szCs w:val="20"/>
        </w:rPr>
        <w:t>Folbigg</w:t>
      </w:r>
      <w:r w:rsidRPr="0075003C">
        <w:rPr>
          <w:rFonts w:ascii="Times New Roman" w:hAnsi="Times New Roman" w:cs="Times New Roman"/>
          <w:sz w:val="20"/>
          <w:szCs w:val="20"/>
        </w:rPr>
        <w:t xml:space="preserve">, that in </w:t>
      </w:r>
      <w:r w:rsidRPr="0075003C">
        <w:rPr>
          <w:rFonts w:ascii="Times New Roman" w:hAnsi="Times New Roman" w:cs="Times New Roman"/>
          <w:i/>
          <w:sz w:val="20"/>
          <w:szCs w:val="20"/>
        </w:rPr>
        <w:t>Matthey</w:t>
      </w:r>
      <w:r w:rsidRPr="0075003C">
        <w:rPr>
          <w:rFonts w:ascii="Times New Roman" w:hAnsi="Times New Roman" w:cs="Times New Roman"/>
          <w:sz w:val="20"/>
          <w:szCs w:val="20"/>
        </w:rPr>
        <w:t>, Justice Coldrey takes a far more nuanced approach to the interpretation of cues such as demeanour, including (lack of) expressions of grief, as well as noting that evidence of observations as to the accused’s relationship with her children are likewise of minima</w:t>
      </w:r>
      <w:r>
        <w:rPr>
          <w:rFonts w:ascii="Times New Roman" w:hAnsi="Times New Roman" w:cs="Times New Roman"/>
          <w:sz w:val="20"/>
          <w:szCs w:val="20"/>
        </w:rPr>
        <w:t>l probative value as evidence of</w:t>
      </w:r>
      <w:r w:rsidRPr="0075003C">
        <w:rPr>
          <w:rFonts w:ascii="Times New Roman" w:hAnsi="Times New Roman" w:cs="Times New Roman"/>
          <w:sz w:val="20"/>
          <w:szCs w:val="20"/>
        </w:rPr>
        <w:t xml:space="preserve"> the accused’s ‘true’ state of mind: see </w:t>
      </w:r>
      <w:r w:rsidRPr="0075003C">
        <w:rPr>
          <w:rFonts w:ascii="Times New Roman" w:hAnsi="Times New Roman" w:cs="Times New Roman"/>
          <w:i/>
          <w:sz w:val="20"/>
          <w:szCs w:val="20"/>
        </w:rPr>
        <w:t>R v Matthey</w:t>
      </w:r>
      <w:r w:rsidRPr="0075003C">
        <w:rPr>
          <w:rFonts w:ascii="Times New Roman" w:hAnsi="Times New Roman" w:cs="Times New Roman"/>
          <w:sz w:val="20"/>
          <w:szCs w:val="20"/>
        </w:rPr>
        <w:t xml:space="preserve"> [2007]</w:t>
      </w:r>
      <w:r>
        <w:rPr>
          <w:rFonts w:ascii="Times New Roman" w:hAnsi="Times New Roman" w:cs="Times New Roman"/>
          <w:sz w:val="20"/>
          <w:szCs w:val="20"/>
        </w:rPr>
        <w:t xml:space="preserve"> VSC 389, [283], [290], [292]-</w:t>
      </w:r>
      <w:r w:rsidRPr="0075003C">
        <w:rPr>
          <w:rFonts w:ascii="Times New Roman" w:hAnsi="Times New Roman" w:cs="Times New Roman"/>
          <w:sz w:val="20"/>
          <w:szCs w:val="20"/>
        </w:rPr>
        <w:t>[299].</w:t>
      </w:r>
    </w:p>
  </w:footnote>
  <w:footnote w:id="54">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Pr>
          <w:rFonts w:ascii="Times New Roman" w:hAnsi="Times New Roman" w:cs="Times New Roman"/>
          <w:i/>
          <w:sz w:val="20"/>
          <w:szCs w:val="20"/>
        </w:rPr>
        <w:t>Murder, Medicine and Motherhood</w:t>
      </w:r>
      <w:r>
        <w:rPr>
          <w:rFonts w:ascii="Times New Roman" w:hAnsi="Times New Roman" w:cs="Times New Roman"/>
          <w:sz w:val="20"/>
          <w:szCs w:val="20"/>
        </w:rPr>
        <w:t>,</w:t>
      </w:r>
      <w:r w:rsidRPr="0075003C">
        <w:rPr>
          <w:rFonts w:ascii="Times New Roman" w:hAnsi="Times New Roman" w:cs="Times New Roman"/>
          <w:sz w:val="20"/>
          <w:szCs w:val="20"/>
        </w:rPr>
        <w:t xml:space="preserve"> 71.</w:t>
      </w:r>
    </w:p>
  </w:footnote>
  <w:footnote w:id="55">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In the civil sphere, but consistent with emerging </w:t>
      </w:r>
      <w:r>
        <w:rPr>
          <w:rFonts w:ascii="Times New Roman" w:hAnsi="Times New Roman" w:cs="Times New Roman"/>
          <w:sz w:val="20"/>
          <w:szCs w:val="20"/>
        </w:rPr>
        <w:t xml:space="preserve">trends in criminal cases, in cases </w:t>
      </w:r>
      <w:r w:rsidRPr="0075003C">
        <w:rPr>
          <w:rFonts w:ascii="Times New Roman" w:hAnsi="Times New Roman" w:cs="Times New Roman"/>
          <w:sz w:val="20"/>
          <w:szCs w:val="20"/>
        </w:rPr>
        <w:t xml:space="preserve">such as </w:t>
      </w:r>
      <w:r w:rsidRPr="0075003C">
        <w:rPr>
          <w:rFonts w:ascii="Times New Roman" w:hAnsi="Times New Roman" w:cs="Times New Roman"/>
          <w:i/>
          <w:sz w:val="20"/>
          <w:szCs w:val="20"/>
        </w:rPr>
        <w:t>Dasreef Pty Ltd v Hawchar</w:t>
      </w:r>
      <w:r w:rsidRPr="0075003C">
        <w:rPr>
          <w:rFonts w:ascii="Times New Roman" w:hAnsi="Times New Roman" w:cs="Times New Roman"/>
          <w:sz w:val="20"/>
          <w:szCs w:val="20"/>
        </w:rPr>
        <w:t xml:space="preserve"> [2011] HCA 21, courts in Australia have recently (re)directed attention to the importance of determining the ‘basis’ of the expert opinion (see also</w:t>
      </w:r>
      <w:r w:rsidRPr="0075003C">
        <w:rPr>
          <w:rFonts w:ascii="Times New Roman" w:hAnsi="Times New Roman" w:cs="Times New Roman"/>
          <w:i/>
          <w:sz w:val="20"/>
          <w:szCs w:val="20"/>
        </w:rPr>
        <w:t xml:space="preserve"> HG v The Queen</w:t>
      </w:r>
      <w:r w:rsidRPr="0075003C">
        <w:rPr>
          <w:rFonts w:ascii="Times New Roman" w:hAnsi="Times New Roman" w:cs="Times New Roman"/>
          <w:sz w:val="20"/>
          <w:szCs w:val="20"/>
        </w:rPr>
        <w:t xml:space="preserve"> [1999] HCA 2), but have stopped short of imposing a condition of substantive or demonstrative reliability on incriminating evidence proffered by the state. See</w:t>
      </w:r>
      <w:r>
        <w:rPr>
          <w:rFonts w:ascii="Times New Roman" w:hAnsi="Times New Roman" w:cs="Times New Roman"/>
          <w:sz w:val="20"/>
          <w:szCs w:val="20"/>
        </w:rPr>
        <w:t>,</w:t>
      </w:r>
      <w:r w:rsidRPr="0075003C">
        <w:rPr>
          <w:rFonts w:ascii="Times New Roman" w:hAnsi="Times New Roman" w:cs="Times New Roman"/>
          <w:sz w:val="20"/>
          <w:szCs w:val="20"/>
        </w:rPr>
        <w:t xml:space="preserve"> </w:t>
      </w:r>
      <w:r>
        <w:rPr>
          <w:rFonts w:ascii="Times New Roman" w:hAnsi="Times New Roman" w:cs="Times New Roman"/>
          <w:sz w:val="20"/>
          <w:szCs w:val="20"/>
        </w:rPr>
        <w:t>for</w:t>
      </w:r>
      <w:r w:rsidRPr="0075003C">
        <w:rPr>
          <w:rFonts w:ascii="Times New Roman" w:hAnsi="Times New Roman" w:cs="Times New Roman"/>
          <w:sz w:val="20"/>
          <w:szCs w:val="20"/>
        </w:rPr>
        <w:t xml:space="preserve"> example, discussion in Edmond and San Roque, above n</w:t>
      </w:r>
      <w:r>
        <w:rPr>
          <w:rFonts w:ascii="Times New Roman" w:hAnsi="Times New Roman" w:cs="Times New Roman"/>
          <w:sz w:val="20"/>
          <w:szCs w:val="20"/>
        </w:rPr>
        <w:t xml:space="preserve"> 10; Gary Edmond, “Impartiality, Efficiency or Reliability? A Critical Response to Expert Evidence Law and P</w:t>
      </w:r>
      <w:r w:rsidRPr="0075003C">
        <w:rPr>
          <w:rFonts w:ascii="Times New Roman" w:hAnsi="Times New Roman" w:cs="Times New Roman"/>
          <w:sz w:val="20"/>
          <w:szCs w:val="20"/>
        </w:rPr>
        <w:t xml:space="preserve">rocedure in Australia” (2010) 42 </w:t>
      </w:r>
      <w:r w:rsidRPr="0075003C">
        <w:rPr>
          <w:rFonts w:ascii="Times New Roman" w:hAnsi="Times New Roman" w:cs="Times New Roman"/>
          <w:i/>
          <w:iCs/>
          <w:sz w:val="20"/>
          <w:szCs w:val="20"/>
        </w:rPr>
        <w:t>Australian Journal of Forensic Sciences</w:t>
      </w:r>
      <w:r w:rsidRPr="0075003C">
        <w:rPr>
          <w:rFonts w:ascii="Times New Roman" w:hAnsi="Times New Roman" w:cs="Times New Roman"/>
          <w:sz w:val="20"/>
          <w:szCs w:val="20"/>
        </w:rPr>
        <w:t xml:space="preserve"> 83-99</w:t>
      </w:r>
      <w:r>
        <w:rPr>
          <w:rFonts w:ascii="Times New Roman" w:hAnsi="Times New Roman" w:cs="Times New Roman"/>
          <w:sz w:val="20"/>
          <w:szCs w:val="20"/>
        </w:rPr>
        <w:t>;</w:t>
      </w:r>
      <w:r w:rsidRPr="0075003C">
        <w:rPr>
          <w:rFonts w:ascii="Times New Roman" w:hAnsi="Times New Roman" w:cs="Times New Roman"/>
          <w:sz w:val="20"/>
          <w:szCs w:val="20"/>
        </w:rPr>
        <w:t xml:space="preserve"> and Gary Edmond and Mehera San Roque, “Just(,) Quick and Cheap: Do We Need More Reliable Expert Evidence in Civil Proceedings?” in Michael Legg (ed), </w:t>
      </w:r>
      <w:r w:rsidRPr="0075003C">
        <w:rPr>
          <w:rFonts w:ascii="Times New Roman" w:hAnsi="Times New Roman" w:cs="Times New Roman"/>
          <w:i/>
          <w:sz w:val="20"/>
          <w:szCs w:val="20"/>
        </w:rPr>
        <w:t>The Future of Dispute Resolution</w:t>
      </w:r>
      <w:r w:rsidRPr="0075003C">
        <w:rPr>
          <w:rFonts w:ascii="Times New Roman" w:hAnsi="Times New Roman" w:cs="Times New Roman"/>
          <w:sz w:val="20"/>
          <w:szCs w:val="20"/>
        </w:rPr>
        <w:t xml:space="preserve"> (LexisNexis</w:t>
      </w:r>
      <w:r>
        <w:rPr>
          <w:rFonts w:ascii="Times New Roman" w:hAnsi="Times New Roman" w:cs="Times New Roman"/>
          <w:sz w:val="20"/>
          <w:szCs w:val="20"/>
        </w:rPr>
        <w:t>,</w:t>
      </w:r>
      <w:r w:rsidRPr="0075003C">
        <w:rPr>
          <w:rFonts w:ascii="Times New Roman" w:hAnsi="Times New Roman" w:cs="Times New Roman"/>
          <w:sz w:val="20"/>
          <w:szCs w:val="20"/>
        </w:rPr>
        <w:t xml:space="preserve"> 2013). The recent decision in </w:t>
      </w:r>
      <w:r w:rsidRPr="0075003C">
        <w:rPr>
          <w:rFonts w:ascii="Times New Roman" w:hAnsi="Times New Roman" w:cs="Times New Roman"/>
          <w:i/>
          <w:sz w:val="20"/>
          <w:szCs w:val="20"/>
        </w:rPr>
        <w:t>Dupas v R</w:t>
      </w:r>
      <w:r w:rsidRPr="0075003C">
        <w:rPr>
          <w:rFonts w:ascii="Times New Roman" w:hAnsi="Times New Roman" w:cs="Times New Roman"/>
          <w:sz w:val="20"/>
          <w:szCs w:val="20"/>
        </w:rPr>
        <w:t xml:space="preserve"> [2012] VSCA </w:t>
      </w:r>
      <w:r w:rsidR="00723BC8">
        <w:rPr>
          <w:rFonts w:ascii="Times New Roman" w:hAnsi="Times New Roman" w:cs="Times New Roman"/>
          <w:sz w:val="20"/>
          <w:szCs w:val="20"/>
        </w:rPr>
        <w:t xml:space="preserve">328 </w:t>
      </w:r>
      <w:r w:rsidRPr="0075003C">
        <w:rPr>
          <w:rFonts w:ascii="Times New Roman" w:hAnsi="Times New Roman" w:cs="Times New Roman"/>
          <w:sz w:val="20"/>
          <w:szCs w:val="20"/>
        </w:rPr>
        <w:t>does, however, offer</w:t>
      </w:r>
      <w:r w:rsidR="00723BC8">
        <w:rPr>
          <w:rFonts w:ascii="Times New Roman" w:hAnsi="Times New Roman" w:cs="Times New Roman"/>
          <w:sz w:val="20"/>
          <w:szCs w:val="20"/>
        </w:rPr>
        <w:t xml:space="preserve"> the possibility of a Victorian-</w:t>
      </w:r>
      <w:r w:rsidRPr="0075003C">
        <w:rPr>
          <w:rFonts w:ascii="Times New Roman" w:hAnsi="Times New Roman" w:cs="Times New Roman"/>
          <w:sz w:val="20"/>
          <w:szCs w:val="20"/>
        </w:rPr>
        <w:t>led shift in the jurisprudence in this area.</w:t>
      </w:r>
      <w:r w:rsidR="00AB4A6C">
        <w:rPr>
          <w:rFonts w:ascii="Times New Roman" w:hAnsi="Times New Roman" w:cs="Times New Roman"/>
          <w:sz w:val="20"/>
          <w:szCs w:val="20"/>
        </w:rPr>
        <w:t xml:space="preserve"> </w:t>
      </w:r>
      <w:r w:rsidRPr="0075003C">
        <w:rPr>
          <w:rFonts w:ascii="Times New Roman" w:hAnsi="Times New Roman" w:cs="Times New Roman"/>
          <w:sz w:val="20"/>
          <w:szCs w:val="20"/>
        </w:rPr>
        <w:t>Emma discusses trends in this area</w:t>
      </w:r>
      <w:r>
        <w:rPr>
          <w:rFonts w:ascii="Times New Roman" w:hAnsi="Times New Roman" w:cs="Times New Roman"/>
          <w:sz w:val="20"/>
          <w:szCs w:val="20"/>
        </w:rPr>
        <w:t xml:space="preserve"> more broadly in “</w:t>
      </w:r>
      <w:r w:rsidRPr="005227AE">
        <w:rPr>
          <w:rFonts w:ascii="Times New Roman" w:hAnsi="Times New Roman" w:cs="Times New Roman"/>
          <w:sz w:val="20"/>
          <w:szCs w:val="20"/>
        </w:rPr>
        <w:t>Independence</w:t>
      </w:r>
      <w:r w:rsidR="005227AE" w:rsidRPr="005227AE">
        <w:rPr>
          <w:rFonts w:ascii="Times New Roman" w:hAnsi="Times New Roman" w:cs="Times New Roman"/>
          <w:sz w:val="20"/>
          <w:szCs w:val="20"/>
        </w:rPr>
        <w:t xml:space="preserve">, </w:t>
      </w:r>
      <w:r w:rsidR="005227AE" w:rsidRPr="005227AE">
        <w:rPr>
          <w:rFonts w:ascii="Times New Roman" w:hAnsi="Times New Roman" w:cs="Times New Roman"/>
          <w:sz w:val="20"/>
          <w:szCs w:val="20"/>
        </w:rPr>
        <w:t>Reliability</w:t>
      </w:r>
      <w:r w:rsidRPr="005227AE">
        <w:rPr>
          <w:rFonts w:ascii="Times New Roman" w:hAnsi="Times New Roman" w:cs="Times New Roman"/>
          <w:sz w:val="20"/>
          <w:szCs w:val="20"/>
        </w:rPr>
        <w:t xml:space="preserve"> and Expert Testimony in Criminal </w:t>
      </w:r>
      <w:r w:rsidR="00723BC8" w:rsidRPr="005227AE">
        <w:rPr>
          <w:rFonts w:ascii="Times New Roman" w:hAnsi="Times New Roman" w:cs="Times New Roman"/>
          <w:sz w:val="20"/>
          <w:szCs w:val="20"/>
        </w:rPr>
        <w:t>T</w:t>
      </w:r>
      <w:r w:rsidRPr="005227AE">
        <w:rPr>
          <w:rFonts w:ascii="Times New Roman" w:hAnsi="Times New Roman" w:cs="Times New Roman"/>
          <w:sz w:val="20"/>
          <w:szCs w:val="20"/>
        </w:rPr>
        <w:t xml:space="preserve">rials” (2013) </w:t>
      </w:r>
      <w:r w:rsidR="00AB4A6C" w:rsidRPr="005227AE">
        <w:rPr>
          <w:rFonts w:ascii="Times New Roman" w:hAnsi="Times New Roman" w:cs="Times New Roman"/>
          <w:sz w:val="20"/>
          <w:szCs w:val="20"/>
        </w:rPr>
        <w:t xml:space="preserve">45 </w:t>
      </w:r>
      <w:r w:rsidRPr="005227AE">
        <w:rPr>
          <w:rFonts w:ascii="Times New Roman" w:hAnsi="Times New Roman" w:cs="Times New Roman"/>
          <w:i/>
          <w:sz w:val="20"/>
          <w:szCs w:val="20"/>
        </w:rPr>
        <w:t>Australian Journal of Forensic Sciences</w:t>
      </w:r>
      <w:r w:rsidRPr="005227AE">
        <w:rPr>
          <w:rFonts w:ascii="Times New Roman" w:hAnsi="Times New Roman" w:cs="Times New Roman"/>
          <w:sz w:val="20"/>
          <w:szCs w:val="20"/>
        </w:rPr>
        <w:t xml:space="preserve"> </w:t>
      </w:r>
      <w:r w:rsidR="00AB4A6C" w:rsidRPr="005227AE">
        <w:rPr>
          <w:rFonts w:ascii="Times New Roman" w:hAnsi="Times New Roman" w:cs="Times New Roman"/>
          <w:sz w:val="20"/>
          <w:szCs w:val="20"/>
        </w:rPr>
        <w:t>284.</w:t>
      </w:r>
    </w:p>
  </w:footnote>
  <w:footnote w:id="56">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A far sharper, contextually sensitive, analysis of the ways in which the tendency and coincidence rules function in this area is also indicated.</w:t>
      </w:r>
    </w:p>
  </w:footnote>
  <w:footnote w:id="57">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00723BC8">
        <w:rPr>
          <w:rFonts w:ascii="Times New Roman" w:hAnsi="Times New Roman" w:cs="Times New Roman"/>
          <w:i/>
          <w:sz w:val="20"/>
          <w:szCs w:val="20"/>
        </w:rPr>
        <w:t>Murder, Medicine and Motherhood</w:t>
      </w:r>
      <w:r w:rsidRPr="0075003C">
        <w:rPr>
          <w:rFonts w:ascii="Times New Roman" w:hAnsi="Times New Roman" w:cs="Times New Roman"/>
          <w:sz w:val="20"/>
          <w:szCs w:val="20"/>
        </w:rPr>
        <w:t>, 201.</w:t>
      </w:r>
    </w:p>
  </w:footnote>
  <w:footnote w:id="58">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Gilham</w:t>
      </w:r>
      <w:r w:rsidRPr="0075003C">
        <w:rPr>
          <w:rFonts w:ascii="Times New Roman" w:hAnsi="Times New Roman" w:cs="Times New Roman"/>
          <w:sz w:val="20"/>
          <w:szCs w:val="20"/>
        </w:rPr>
        <w:t xml:space="preserve"> and </w:t>
      </w:r>
      <w:r w:rsidRPr="0075003C">
        <w:rPr>
          <w:rFonts w:ascii="Times New Roman" w:hAnsi="Times New Roman" w:cs="Times New Roman"/>
          <w:i/>
          <w:sz w:val="20"/>
          <w:szCs w:val="20"/>
        </w:rPr>
        <w:t>Wood</w:t>
      </w:r>
      <w:r w:rsidRPr="0075003C">
        <w:rPr>
          <w:rFonts w:ascii="Times New Roman" w:hAnsi="Times New Roman" w:cs="Times New Roman"/>
          <w:sz w:val="20"/>
          <w:szCs w:val="20"/>
        </w:rPr>
        <w:t xml:space="preserve"> offer salutary lessons here. In a different, but equally fraught field, see for example the discussion and strong criticism of the conduct of the Commonwealth DPP for its reliance on discredited techniques and inadequately qualified experts in its prosecution of minors for </w:t>
      </w:r>
      <w:r w:rsidR="00723BC8">
        <w:rPr>
          <w:rFonts w:ascii="Times New Roman" w:hAnsi="Times New Roman" w:cs="Times New Roman"/>
          <w:sz w:val="20"/>
          <w:szCs w:val="20"/>
        </w:rPr>
        <w:t>people smuggling offences. The r</w:t>
      </w:r>
      <w:r w:rsidRPr="0075003C">
        <w:rPr>
          <w:rFonts w:ascii="Times New Roman" w:hAnsi="Times New Roman" w:cs="Times New Roman"/>
          <w:sz w:val="20"/>
          <w:szCs w:val="20"/>
        </w:rPr>
        <w:t xml:space="preserve">eport of the inquiry </w:t>
      </w:r>
      <w:r>
        <w:rPr>
          <w:rFonts w:ascii="Times New Roman" w:hAnsi="Times New Roman" w:cs="Times New Roman"/>
          <w:sz w:val="20"/>
          <w:szCs w:val="20"/>
        </w:rPr>
        <w:t xml:space="preserve">into these cases </w:t>
      </w:r>
      <w:r w:rsidRPr="0075003C">
        <w:rPr>
          <w:rFonts w:ascii="Times New Roman" w:hAnsi="Times New Roman" w:cs="Times New Roman"/>
          <w:sz w:val="20"/>
          <w:szCs w:val="20"/>
        </w:rPr>
        <w:t xml:space="preserve">drew attention to the fact that the Commonwealth DPP continued to rely on a discredited technique for many years after it was on notice that the evidence they were relying on did not have a proper foundation, and further that there was a failure to disclose the known limitations to the defence: </w:t>
      </w:r>
      <w:r w:rsidR="00723BC8">
        <w:rPr>
          <w:rFonts w:ascii="Times New Roman" w:hAnsi="Times New Roman" w:cs="Times New Roman"/>
          <w:i/>
          <w:sz w:val="20"/>
          <w:szCs w:val="20"/>
        </w:rPr>
        <w:t>An Age of U</w:t>
      </w:r>
      <w:r w:rsidRPr="0075003C">
        <w:rPr>
          <w:rFonts w:ascii="Times New Roman" w:hAnsi="Times New Roman" w:cs="Times New Roman"/>
          <w:i/>
          <w:sz w:val="20"/>
          <w:szCs w:val="20"/>
        </w:rPr>
        <w:t>ncertainty</w:t>
      </w:r>
      <w:r w:rsidR="00723BC8">
        <w:rPr>
          <w:rFonts w:ascii="Times New Roman" w:hAnsi="Times New Roman" w:cs="Times New Roman"/>
          <w:sz w:val="20"/>
          <w:szCs w:val="20"/>
        </w:rPr>
        <w:t xml:space="preserve">, above n </w:t>
      </w:r>
      <w:r w:rsidR="00422156">
        <w:rPr>
          <w:rFonts w:ascii="Times New Roman" w:hAnsi="Times New Roman" w:cs="Times New Roman"/>
          <w:sz w:val="20"/>
          <w:szCs w:val="20"/>
        </w:rPr>
        <w:t>10</w:t>
      </w:r>
      <w:r w:rsidR="00723BC8">
        <w:rPr>
          <w:rFonts w:ascii="Times New Roman" w:hAnsi="Times New Roman" w:cs="Times New Roman"/>
          <w:sz w:val="20"/>
          <w:szCs w:val="20"/>
        </w:rPr>
        <w:t>,</w:t>
      </w:r>
      <w:r w:rsidR="00723BC8">
        <w:rPr>
          <w:rFonts w:ascii="Times New Roman" w:hAnsi="Times New Roman" w:cs="Times New Roman"/>
          <w:i/>
          <w:sz w:val="20"/>
          <w:szCs w:val="20"/>
        </w:rPr>
        <w:t xml:space="preserve"> </w:t>
      </w:r>
      <w:r w:rsidRPr="0075003C">
        <w:rPr>
          <w:rFonts w:ascii="Times New Roman" w:hAnsi="Times New Roman" w:cs="Times New Roman"/>
          <w:sz w:val="20"/>
          <w:szCs w:val="20"/>
        </w:rPr>
        <w:t>Chapter 3, especially 138</w:t>
      </w:r>
      <w:r w:rsidR="00723BC8">
        <w:rPr>
          <w:rFonts w:ascii="Times New Roman" w:hAnsi="Times New Roman" w:cs="Times New Roman"/>
          <w:sz w:val="20"/>
          <w:szCs w:val="20"/>
        </w:rPr>
        <w:t xml:space="preserve"> </w:t>
      </w:r>
      <w:r w:rsidRPr="0075003C">
        <w:rPr>
          <w:rFonts w:ascii="Times New Roman" w:hAnsi="Times New Roman" w:cs="Times New Roman"/>
          <w:sz w:val="20"/>
          <w:szCs w:val="20"/>
        </w:rPr>
        <w:t xml:space="preserve">ff. </w:t>
      </w:r>
    </w:p>
  </w:footnote>
  <w:footnote w:id="59">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w:t>
      </w:r>
      <w:r w:rsidR="00422156">
        <w:rPr>
          <w:rFonts w:ascii="Times New Roman" w:hAnsi="Times New Roman" w:cs="Times New Roman"/>
          <w:i/>
          <w:sz w:val="20"/>
          <w:szCs w:val="20"/>
        </w:rPr>
        <w:t>Murder, Medicine and Motherhood</w:t>
      </w:r>
      <w:r>
        <w:rPr>
          <w:rFonts w:ascii="Times New Roman" w:hAnsi="Times New Roman" w:cs="Times New Roman"/>
          <w:sz w:val="20"/>
          <w:szCs w:val="20"/>
        </w:rPr>
        <w:t>, C</w:t>
      </w:r>
      <w:r w:rsidRPr="0075003C">
        <w:rPr>
          <w:rFonts w:ascii="Times New Roman" w:hAnsi="Times New Roman" w:cs="Times New Roman"/>
          <w:sz w:val="20"/>
          <w:szCs w:val="20"/>
        </w:rPr>
        <w:t>hapter 4 and 200.</w:t>
      </w:r>
    </w:p>
  </w:footnote>
  <w:footnote w:id="60">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Again, while these ideas might be most easily related to cases with comparable fact patterns, they are by no means limited to such cases.</w:t>
      </w:r>
    </w:p>
  </w:footnote>
  <w:footnote w:id="61">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Comparison with work such as Dorothy E Smith’s </w:t>
      </w:r>
      <w:r w:rsidRPr="0075003C">
        <w:rPr>
          <w:rFonts w:ascii="Times New Roman" w:hAnsi="Times New Roman" w:cs="Times New Roman"/>
          <w:i/>
          <w:sz w:val="20"/>
          <w:szCs w:val="20"/>
        </w:rPr>
        <w:t>The Conceptual Practices of Power: A Feminist Sociology of Knowledge</w:t>
      </w:r>
      <w:r w:rsidRPr="0075003C">
        <w:rPr>
          <w:rFonts w:ascii="Times New Roman" w:hAnsi="Times New Roman" w:cs="Times New Roman"/>
          <w:sz w:val="20"/>
          <w:szCs w:val="20"/>
        </w:rPr>
        <w:t xml:space="preserve"> (University of Toronto Press, </w:t>
      </w:r>
      <w:r w:rsidR="00422156">
        <w:rPr>
          <w:rFonts w:ascii="Times New Roman" w:hAnsi="Times New Roman" w:cs="Times New Roman"/>
          <w:sz w:val="20"/>
          <w:szCs w:val="20"/>
        </w:rPr>
        <w:t>1990)</w:t>
      </w:r>
      <w:r w:rsidR="00446FA0">
        <w:rPr>
          <w:rFonts w:ascii="Times New Roman" w:hAnsi="Times New Roman" w:cs="Times New Roman"/>
          <w:sz w:val="20"/>
          <w:szCs w:val="20"/>
        </w:rPr>
        <w:t>,</w:t>
      </w:r>
      <w:r w:rsidR="00422156">
        <w:rPr>
          <w:rFonts w:ascii="Times New Roman" w:hAnsi="Times New Roman" w:cs="Times New Roman"/>
          <w:sz w:val="20"/>
          <w:szCs w:val="20"/>
        </w:rPr>
        <w:t xml:space="preserve"> or Rosemary Hennessy’s (above n 36</w:t>
      </w:r>
      <w:r w:rsidRPr="0075003C">
        <w:rPr>
          <w:rFonts w:ascii="Times New Roman" w:hAnsi="Times New Roman" w:cs="Times New Roman"/>
          <w:sz w:val="20"/>
          <w:szCs w:val="20"/>
        </w:rPr>
        <w:t>)</w:t>
      </w:r>
      <w:r w:rsidR="00446FA0">
        <w:rPr>
          <w:rFonts w:ascii="Times New Roman" w:hAnsi="Times New Roman" w:cs="Times New Roman"/>
          <w:sz w:val="20"/>
          <w:szCs w:val="20"/>
        </w:rPr>
        <w:t>,</w:t>
      </w:r>
      <w:r w:rsidRPr="0075003C">
        <w:rPr>
          <w:rFonts w:ascii="Times New Roman" w:hAnsi="Times New Roman" w:cs="Times New Roman"/>
          <w:sz w:val="20"/>
          <w:szCs w:val="20"/>
        </w:rPr>
        <w:t xml:space="preserve"> comes to mind here. </w:t>
      </w:r>
    </w:p>
  </w:footnote>
  <w:footnote w:id="62">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In this regard</w:t>
      </w:r>
      <w:r w:rsidR="00422156">
        <w:rPr>
          <w:rFonts w:ascii="Times New Roman" w:hAnsi="Times New Roman" w:cs="Times New Roman"/>
          <w:sz w:val="20"/>
          <w:szCs w:val="20"/>
        </w:rPr>
        <w:t>,</w:t>
      </w:r>
      <w:r w:rsidRPr="0075003C">
        <w:rPr>
          <w:rFonts w:ascii="Times New Roman" w:hAnsi="Times New Roman" w:cs="Times New Roman"/>
          <w:sz w:val="20"/>
          <w:szCs w:val="20"/>
        </w:rPr>
        <w:t xml:space="preserve"> Latour insists on what is perhaps a reconfigured im</w:t>
      </w:r>
      <w:r w:rsidR="00422156">
        <w:rPr>
          <w:rFonts w:ascii="Times New Roman" w:hAnsi="Times New Roman" w:cs="Times New Roman"/>
          <w:sz w:val="20"/>
          <w:szCs w:val="20"/>
        </w:rPr>
        <w:t>age of certainty when he argues</w:t>
      </w:r>
      <w:r w:rsidRPr="0075003C">
        <w:rPr>
          <w:rFonts w:ascii="Times New Roman" w:hAnsi="Times New Roman" w:cs="Times New Roman"/>
          <w:sz w:val="20"/>
          <w:szCs w:val="20"/>
        </w:rPr>
        <w:t xml:space="preserve"> that reliability and accuracy should be seen as the </w:t>
      </w:r>
      <w:r w:rsidRPr="0075003C">
        <w:rPr>
          <w:rFonts w:ascii="Times New Roman" w:hAnsi="Times New Roman" w:cs="Times New Roman"/>
          <w:i/>
          <w:sz w:val="20"/>
          <w:szCs w:val="20"/>
        </w:rPr>
        <w:t>products</w:t>
      </w:r>
      <w:r w:rsidRPr="0075003C">
        <w:rPr>
          <w:rFonts w:ascii="Times New Roman" w:hAnsi="Times New Roman" w:cs="Times New Roman"/>
          <w:sz w:val="20"/>
          <w:szCs w:val="20"/>
        </w:rPr>
        <w:t xml:space="preserve"> o</w:t>
      </w:r>
      <w:r>
        <w:rPr>
          <w:rFonts w:ascii="Times New Roman" w:hAnsi="Times New Roman" w:cs="Times New Roman"/>
          <w:sz w:val="20"/>
          <w:szCs w:val="20"/>
        </w:rPr>
        <w:t xml:space="preserve">f mediation and interpretation: </w:t>
      </w:r>
      <w:r w:rsidRPr="00A12307">
        <w:rPr>
          <w:rFonts w:ascii="Times New Roman" w:hAnsi="Times New Roman" w:cs="Times New Roman"/>
          <w:sz w:val="20"/>
          <w:szCs w:val="20"/>
        </w:rPr>
        <w:t xml:space="preserve">see Bruno Latour, </w:t>
      </w:r>
      <w:r w:rsidRPr="00A12307">
        <w:rPr>
          <w:rFonts w:ascii="Times New Roman" w:hAnsi="Times New Roman" w:cs="Times New Roman"/>
          <w:i/>
          <w:sz w:val="20"/>
          <w:szCs w:val="20"/>
        </w:rPr>
        <w:t>On the Modern Cult of the Factish Gods</w:t>
      </w:r>
      <w:r w:rsidRPr="00A12307">
        <w:rPr>
          <w:rFonts w:ascii="Times New Roman" w:hAnsi="Times New Roman" w:cs="Times New Roman"/>
          <w:sz w:val="20"/>
          <w:szCs w:val="20"/>
        </w:rPr>
        <w:t xml:space="preserve"> (Duke University Press, 2010).</w:t>
      </w:r>
    </w:p>
  </w:footnote>
  <w:footnote w:id="63">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See als</w:t>
      </w:r>
      <w:r>
        <w:rPr>
          <w:rFonts w:ascii="Times New Roman" w:hAnsi="Times New Roman" w:cs="Times New Roman"/>
          <w:sz w:val="20"/>
          <w:szCs w:val="20"/>
        </w:rPr>
        <w:t>o Emma Cunliffe, “</w:t>
      </w:r>
      <w:r w:rsidR="00422156">
        <w:rPr>
          <w:rFonts w:ascii="Times New Roman" w:hAnsi="Times New Roman" w:cs="Times New Roman"/>
          <w:sz w:val="20"/>
          <w:szCs w:val="20"/>
        </w:rPr>
        <w:t>Independence</w:t>
      </w:r>
      <w:r w:rsidR="005227AE">
        <w:rPr>
          <w:rFonts w:ascii="Times New Roman" w:hAnsi="Times New Roman" w:cs="Times New Roman"/>
          <w:sz w:val="20"/>
          <w:szCs w:val="20"/>
        </w:rPr>
        <w:t xml:space="preserve">, </w:t>
      </w:r>
      <w:r w:rsidR="005227AE">
        <w:rPr>
          <w:rFonts w:ascii="Times New Roman" w:hAnsi="Times New Roman" w:cs="Times New Roman"/>
          <w:sz w:val="20"/>
          <w:szCs w:val="20"/>
        </w:rPr>
        <w:t>Reliability</w:t>
      </w:r>
      <w:r w:rsidR="00422156">
        <w:rPr>
          <w:rFonts w:ascii="Times New Roman" w:hAnsi="Times New Roman" w:cs="Times New Roman"/>
          <w:sz w:val="20"/>
          <w:szCs w:val="20"/>
        </w:rPr>
        <w:t xml:space="preserve"> and Expert T</w:t>
      </w:r>
      <w:r>
        <w:rPr>
          <w:rFonts w:ascii="Times New Roman" w:hAnsi="Times New Roman" w:cs="Times New Roman"/>
          <w:sz w:val="20"/>
          <w:szCs w:val="20"/>
        </w:rPr>
        <w:t>estimony in Criminal T</w:t>
      </w:r>
      <w:r w:rsidRPr="0075003C">
        <w:rPr>
          <w:rFonts w:ascii="Times New Roman" w:hAnsi="Times New Roman" w:cs="Times New Roman"/>
          <w:sz w:val="20"/>
          <w:szCs w:val="20"/>
        </w:rPr>
        <w:t>rials”</w:t>
      </w:r>
      <w:r w:rsidR="00422156">
        <w:rPr>
          <w:rFonts w:ascii="Times New Roman" w:hAnsi="Times New Roman" w:cs="Times New Roman"/>
          <w:sz w:val="20"/>
          <w:szCs w:val="20"/>
        </w:rPr>
        <w:t>, above n 54</w:t>
      </w:r>
      <w:r w:rsidRPr="0075003C">
        <w:rPr>
          <w:rFonts w:ascii="Times New Roman" w:hAnsi="Times New Roman" w:cs="Times New Roman"/>
          <w:sz w:val="20"/>
          <w:szCs w:val="20"/>
        </w:rPr>
        <w:t>.</w:t>
      </w:r>
    </w:p>
  </w:footnote>
  <w:footnote w:id="64">
    <w:p w:rsidR="0086558E" w:rsidRPr="0075003C" w:rsidRDefault="0086558E" w:rsidP="00AB4819">
      <w:pPr>
        <w:pStyle w:val="FootnoteText"/>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Pr="0075003C">
        <w:rPr>
          <w:rFonts w:ascii="Times New Roman" w:hAnsi="Times New Roman" w:cs="Times New Roman"/>
          <w:sz w:val="20"/>
          <w:szCs w:val="20"/>
        </w:rPr>
        <w:t xml:space="preserve"> This is notwithstanding the fact that the development of a jurisprudence around the admissibility of expert evidence in U</w:t>
      </w:r>
      <w:r w:rsidR="00422156">
        <w:rPr>
          <w:rFonts w:ascii="Times New Roman" w:hAnsi="Times New Roman" w:cs="Times New Roman"/>
          <w:sz w:val="20"/>
          <w:szCs w:val="20"/>
        </w:rPr>
        <w:t xml:space="preserve">niform </w:t>
      </w:r>
      <w:r w:rsidRPr="0075003C">
        <w:rPr>
          <w:rFonts w:ascii="Times New Roman" w:hAnsi="Times New Roman" w:cs="Times New Roman"/>
          <w:sz w:val="20"/>
          <w:szCs w:val="20"/>
        </w:rPr>
        <w:t>E</w:t>
      </w:r>
      <w:r w:rsidR="00422156">
        <w:rPr>
          <w:rFonts w:ascii="Times New Roman" w:hAnsi="Times New Roman" w:cs="Times New Roman"/>
          <w:sz w:val="20"/>
          <w:szCs w:val="20"/>
        </w:rPr>
        <w:t xml:space="preserve">vidence </w:t>
      </w:r>
      <w:r w:rsidRPr="0075003C">
        <w:rPr>
          <w:rFonts w:ascii="Times New Roman" w:hAnsi="Times New Roman" w:cs="Times New Roman"/>
          <w:sz w:val="20"/>
          <w:szCs w:val="20"/>
        </w:rPr>
        <w:t>L</w:t>
      </w:r>
      <w:r w:rsidR="00422156">
        <w:rPr>
          <w:rFonts w:ascii="Times New Roman" w:hAnsi="Times New Roman" w:cs="Times New Roman"/>
          <w:sz w:val="20"/>
          <w:szCs w:val="20"/>
        </w:rPr>
        <w:t>aw</w:t>
      </w:r>
      <w:r w:rsidRPr="0075003C">
        <w:rPr>
          <w:rFonts w:ascii="Times New Roman" w:hAnsi="Times New Roman" w:cs="Times New Roman"/>
          <w:sz w:val="20"/>
          <w:szCs w:val="20"/>
        </w:rPr>
        <w:t xml:space="preserve"> jurisdictions, particularly with respect to incriminating expert evidence, has been slow and uneven, and that courts, particularly in New South Wales</w:t>
      </w:r>
      <w:r w:rsidR="00422156">
        <w:rPr>
          <w:rFonts w:ascii="Times New Roman" w:hAnsi="Times New Roman" w:cs="Times New Roman"/>
          <w:sz w:val="20"/>
          <w:szCs w:val="20"/>
        </w:rPr>
        <w:t>,</w:t>
      </w:r>
      <w:r w:rsidRPr="0075003C">
        <w:rPr>
          <w:rFonts w:ascii="Times New Roman" w:hAnsi="Times New Roman" w:cs="Times New Roman"/>
          <w:sz w:val="20"/>
          <w:szCs w:val="20"/>
        </w:rPr>
        <w:t xml:space="preserve"> have resisted importing a condition of reliability as a threshold requirement. Even in U</w:t>
      </w:r>
      <w:r w:rsidR="00422156">
        <w:rPr>
          <w:rFonts w:ascii="Times New Roman" w:hAnsi="Times New Roman" w:cs="Times New Roman"/>
          <w:sz w:val="20"/>
          <w:szCs w:val="20"/>
        </w:rPr>
        <w:t xml:space="preserve">niform </w:t>
      </w:r>
      <w:r w:rsidRPr="0075003C">
        <w:rPr>
          <w:rFonts w:ascii="Times New Roman" w:hAnsi="Times New Roman" w:cs="Times New Roman"/>
          <w:sz w:val="20"/>
          <w:szCs w:val="20"/>
        </w:rPr>
        <w:t>E</w:t>
      </w:r>
      <w:r w:rsidR="00422156">
        <w:rPr>
          <w:rFonts w:ascii="Times New Roman" w:hAnsi="Times New Roman" w:cs="Times New Roman"/>
          <w:sz w:val="20"/>
          <w:szCs w:val="20"/>
        </w:rPr>
        <w:t xml:space="preserve">vidence </w:t>
      </w:r>
      <w:r w:rsidRPr="0075003C">
        <w:rPr>
          <w:rFonts w:ascii="Times New Roman" w:hAnsi="Times New Roman" w:cs="Times New Roman"/>
          <w:sz w:val="20"/>
          <w:szCs w:val="20"/>
        </w:rPr>
        <w:t>L</w:t>
      </w:r>
      <w:r w:rsidR="00422156">
        <w:rPr>
          <w:rFonts w:ascii="Times New Roman" w:hAnsi="Times New Roman" w:cs="Times New Roman"/>
          <w:sz w:val="20"/>
          <w:szCs w:val="20"/>
        </w:rPr>
        <w:t>aw</w:t>
      </w:r>
      <w:r w:rsidRPr="0075003C">
        <w:rPr>
          <w:rFonts w:ascii="Times New Roman" w:hAnsi="Times New Roman" w:cs="Times New Roman"/>
          <w:sz w:val="20"/>
          <w:szCs w:val="20"/>
        </w:rPr>
        <w:t xml:space="preserve"> jurisdictions there are signs of a (limited) shift in approach in relation to expert evidence, and a recent authoritative decision of the Victorian Court of Appeal has confirmed that the trial judge does have a role in evaluating the reliability of evidence when considering whether to exclude evidence that might be prejudicial, confusing or misleading, to the extent that the risks outweigh the probative value of the evidence (s</w:t>
      </w:r>
      <w:r w:rsidR="00422156">
        <w:rPr>
          <w:rFonts w:ascii="Times New Roman" w:hAnsi="Times New Roman" w:cs="Times New Roman"/>
          <w:sz w:val="20"/>
          <w:szCs w:val="20"/>
        </w:rPr>
        <w:t xml:space="preserve"> </w:t>
      </w:r>
      <w:r w:rsidRPr="0075003C">
        <w:rPr>
          <w:rFonts w:ascii="Times New Roman" w:hAnsi="Times New Roman" w:cs="Times New Roman"/>
          <w:sz w:val="20"/>
          <w:szCs w:val="20"/>
        </w:rPr>
        <w:t>137 U</w:t>
      </w:r>
      <w:r w:rsidR="00422156">
        <w:rPr>
          <w:rFonts w:ascii="Times New Roman" w:hAnsi="Times New Roman" w:cs="Times New Roman"/>
          <w:sz w:val="20"/>
          <w:szCs w:val="20"/>
        </w:rPr>
        <w:t xml:space="preserve">niform </w:t>
      </w:r>
      <w:r w:rsidRPr="0075003C">
        <w:rPr>
          <w:rFonts w:ascii="Times New Roman" w:hAnsi="Times New Roman" w:cs="Times New Roman"/>
          <w:sz w:val="20"/>
          <w:szCs w:val="20"/>
        </w:rPr>
        <w:t>E</w:t>
      </w:r>
      <w:r w:rsidR="00422156">
        <w:rPr>
          <w:rFonts w:ascii="Times New Roman" w:hAnsi="Times New Roman" w:cs="Times New Roman"/>
          <w:sz w:val="20"/>
          <w:szCs w:val="20"/>
        </w:rPr>
        <w:t xml:space="preserve">vidence </w:t>
      </w:r>
      <w:r w:rsidRPr="0075003C">
        <w:rPr>
          <w:rFonts w:ascii="Times New Roman" w:hAnsi="Times New Roman" w:cs="Times New Roman"/>
          <w:sz w:val="20"/>
          <w:szCs w:val="20"/>
        </w:rPr>
        <w:t>L</w:t>
      </w:r>
      <w:r w:rsidR="00422156">
        <w:rPr>
          <w:rFonts w:ascii="Times New Roman" w:hAnsi="Times New Roman" w:cs="Times New Roman"/>
          <w:sz w:val="20"/>
          <w:szCs w:val="20"/>
        </w:rPr>
        <w:t>aw):</w:t>
      </w:r>
      <w:r w:rsidRPr="0075003C">
        <w:rPr>
          <w:rFonts w:ascii="Times New Roman" w:hAnsi="Times New Roman" w:cs="Times New Roman"/>
          <w:sz w:val="20"/>
          <w:szCs w:val="20"/>
        </w:rPr>
        <w:t xml:space="preserve"> </w:t>
      </w:r>
      <w:r w:rsidRPr="0075003C">
        <w:rPr>
          <w:rFonts w:ascii="Times New Roman" w:hAnsi="Times New Roman" w:cs="Times New Roman"/>
          <w:i/>
          <w:sz w:val="20"/>
          <w:szCs w:val="20"/>
        </w:rPr>
        <w:t>Dupas v R</w:t>
      </w:r>
      <w:r w:rsidR="00422156">
        <w:rPr>
          <w:rFonts w:ascii="Times New Roman" w:hAnsi="Times New Roman" w:cs="Times New Roman"/>
          <w:sz w:val="20"/>
          <w:szCs w:val="20"/>
        </w:rPr>
        <w:t>, above n 54</w:t>
      </w:r>
      <w:r w:rsidRPr="0075003C">
        <w:rPr>
          <w:rFonts w:ascii="Times New Roman" w:hAnsi="Times New Roman" w:cs="Times New Roman"/>
          <w:sz w:val="20"/>
          <w:szCs w:val="20"/>
        </w:rPr>
        <w:t xml:space="preserve">. </w:t>
      </w:r>
      <w:r w:rsidR="00A94EE3">
        <w:rPr>
          <w:rFonts w:ascii="Times New Roman" w:hAnsi="Times New Roman" w:cs="Times New Roman"/>
          <w:sz w:val="20"/>
          <w:szCs w:val="20"/>
        </w:rPr>
        <w:t xml:space="preserve">Note, however, the NSWCCA’s responsive counterpoint to </w:t>
      </w:r>
      <w:r w:rsidR="00700C4E" w:rsidRPr="00700C4E">
        <w:rPr>
          <w:rFonts w:ascii="Times New Roman" w:hAnsi="Times New Roman" w:cs="Times New Roman"/>
          <w:i/>
          <w:sz w:val="20"/>
          <w:szCs w:val="20"/>
        </w:rPr>
        <w:t>Dupas</w:t>
      </w:r>
      <w:r w:rsidR="00A94EE3">
        <w:rPr>
          <w:rFonts w:ascii="Times New Roman" w:hAnsi="Times New Roman" w:cs="Times New Roman"/>
          <w:sz w:val="20"/>
          <w:szCs w:val="20"/>
        </w:rPr>
        <w:t>, on the interpretation of s</w:t>
      </w:r>
      <w:r w:rsidR="005227AE">
        <w:rPr>
          <w:rFonts w:ascii="Times New Roman" w:hAnsi="Times New Roman" w:cs="Times New Roman"/>
          <w:sz w:val="20"/>
          <w:szCs w:val="20"/>
        </w:rPr>
        <w:t xml:space="preserve"> </w:t>
      </w:r>
      <w:r w:rsidR="00A94EE3">
        <w:rPr>
          <w:rFonts w:ascii="Times New Roman" w:hAnsi="Times New Roman" w:cs="Times New Roman"/>
          <w:sz w:val="20"/>
          <w:szCs w:val="20"/>
        </w:rPr>
        <w:t xml:space="preserve">137, in </w:t>
      </w:r>
      <w:r w:rsidR="00700C4E" w:rsidRPr="00700C4E">
        <w:rPr>
          <w:rFonts w:ascii="Times New Roman" w:hAnsi="Times New Roman" w:cs="Times New Roman"/>
          <w:i/>
          <w:sz w:val="20"/>
          <w:szCs w:val="20"/>
        </w:rPr>
        <w:t>R v XY</w:t>
      </w:r>
      <w:r w:rsidR="00A94EE3">
        <w:rPr>
          <w:rFonts w:ascii="Times New Roman" w:hAnsi="Times New Roman" w:cs="Times New Roman"/>
          <w:sz w:val="20"/>
          <w:szCs w:val="20"/>
        </w:rPr>
        <w:t xml:space="preserve"> [2013] NSWCCA 121, handed down in May 2013.</w:t>
      </w:r>
      <w:r w:rsidR="00A94EE3" w:rsidRPr="0075003C">
        <w:rPr>
          <w:rFonts w:ascii="Times New Roman" w:hAnsi="Times New Roman" w:cs="Times New Roman"/>
          <w:sz w:val="20"/>
          <w:szCs w:val="20"/>
        </w:rPr>
        <w:t xml:space="preserve"> </w:t>
      </w:r>
      <w:r w:rsidRPr="0075003C">
        <w:rPr>
          <w:rFonts w:ascii="Times New Roman" w:hAnsi="Times New Roman" w:cs="Times New Roman"/>
          <w:sz w:val="20"/>
          <w:szCs w:val="20"/>
        </w:rPr>
        <w:t xml:space="preserve">In relation to relationships between fundamental fair trial principles and admissibility rules for expert evidence, see, for example, </w:t>
      </w:r>
      <w:r>
        <w:rPr>
          <w:rFonts w:ascii="Times New Roman" w:hAnsi="Times New Roman" w:cs="Times New Roman"/>
          <w:sz w:val="20"/>
          <w:szCs w:val="20"/>
        </w:rPr>
        <w:t xml:space="preserve">Gary </w:t>
      </w:r>
      <w:r w:rsidRPr="006A5DA4">
        <w:rPr>
          <w:rFonts w:ascii="Times New Roman" w:hAnsi="Times New Roman" w:cs="Times New Roman"/>
          <w:sz w:val="20"/>
          <w:szCs w:val="20"/>
        </w:rPr>
        <w:t xml:space="preserve">Edmond and Andrew Roberts, “Procedural Fairness, the Criminal Trial and Forensic Science and Medicine” (2011) 33 </w:t>
      </w:r>
      <w:r w:rsidRPr="006A5DA4">
        <w:rPr>
          <w:rFonts w:ascii="Times New Roman" w:hAnsi="Times New Roman" w:cs="Times New Roman"/>
          <w:i/>
          <w:sz w:val="20"/>
          <w:szCs w:val="20"/>
        </w:rPr>
        <w:t>Sydney Law Review</w:t>
      </w:r>
      <w:r w:rsidRPr="006A5DA4">
        <w:rPr>
          <w:rFonts w:ascii="Times New Roman" w:hAnsi="Times New Roman" w:cs="Times New Roman"/>
          <w:sz w:val="20"/>
          <w:szCs w:val="20"/>
        </w:rPr>
        <w:t xml:space="preserve"> 359.</w:t>
      </w:r>
    </w:p>
  </w:footnote>
  <w:footnote w:id="65">
    <w:p w:rsidR="0086558E" w:rsidRPr="00F33077" w:rsidRDefault="0086558E" w:rsidP="00F33077">
      <w:pPr>
        <w:jc w:val="both"/>
        <w:rPr>
          <w:rFonts w:ascii="Times New Roman" w:hAnsi="Times New Roman" w:cs="Times New Roman"/>
          <w:sz w:val="20"/>
          <w:szCs w:val="20"/>
        </w:rPr>
      </w:pPr>
      <w:r w:rsidRPr="0075003C">
        <w:rPr>
          <w:rStyle w:val="FootnoteReference"/>
          <w:rFonts w:ascii="Times New Roman" w:hAnsi="Times New Roman" w:cs="Times New Roman"/>
          <w:sz w:val="20"/>
          <w:szCs w:val="20"/>
        </w:rPr>
        <w:footnoteRef/>
      </w:r>
      <w:r w:rsidR="00422156">
        <w:rPr>
          <w:rFonts w:ascii="Times New Roman" w:hAnsi="Times New Roman" w:cs="Times New Roman"/>
          <w:sz w:val="20"/>
          <w:szCs w:val="20"/>
        </w:rPr>
        <w:t xml:space="preserve"> The characterisation of co</w:t>
      </w:r>
      <w:r w:rsidRPr="0075003C">
        <w:rPr>
          <w:rFonts w:ascii="Times New Roman" w:hAnsi="Times New Roman" w:cs="Times New Roman"/>
          <w:sz w:val="20"/>
          <w:szCs w:val="20"/>
        </w:rPr>
        <w:t xml:space="preserve">production as potentially </w:t>
      </w:r>
      <w:r w:rsidRPr="0075003C">
        <w:rPr>
          <w:rFonts w:ascii="Times New Roman" w:hAnsi="Times New Roman" w:cs="Times New Roman"/>
          <w:i/>
          <w:sz w:val="20"/>
          <w:szCs w:val="20"/>
        </w:rPr>
        <w:t>pathological</w:t>
      </w:r>
      <w:r w:rsidRPr="0075003C">
        <w:rPr>
          <w:rFonts w:ascii="Times New Roman" w:hAnsi="Times New Roman" w:cs="Times New Roman"/>
          <w:sz w:val="20"/>
          <w:szCs w:val="20"/>
        </w:rPr>
        <w:t xml:space="preserve"> is borrowed from Gary Edmon</w:t>
      </w:r>
      <w:r w:rsidR="00422156">
        <w:rPr>
          <w:rFonts w:ascii="Times New Roman" w:hAnsi="Times New Roman" w:cs="Times New Roman"/>
          <w:sz w:val="20"/>
          <w:szCs w:val="20"/>
        </w:rPr>
        <w:t>d and discussed in Gary Edmond and</w:t>
      </w:r>
      <w:r w:rsidRPr="0075003C">
        <w:rPr>
          <w:rFonts w:ascii="Times New Roman" w:hAnsi="Times New Roman" w:cs="Times New Roman"/>
          <w:sz w:val="20"/>
          <w:szCs w:val="20"/>
        </w:rPr>
        <w:t xml:space="preserve"> Mehera San Roque (with others), “</w:t>
      </w:r>
      <w:r w:rsidRPr="0075003C">
        <w:rPr>
          <w:rFonts w:ascii="Times New Roman" w:hAnsi="Times New Roman" w:cs="Times New Roman"/>
          <w:iCs/>
          <w:sz w:val="20"/>
          <w:szCs w:val="20"/>
        </w:rPr>
        <w:t xml:space="preserve">Justicia’s Gaze: Surveillance, </w:t>
      </w:r>
      <w:r w:rsidRPr="00F33077">
        <w:rPr>
          <w:rFonts w:ascii="Times New Roman" w:hAnsi="Times New Roman" w:cs="Times New Roman"/>
          <w:iCs/>
          <w:sz w:val="20"/>
          <w:szCs w:val="20"/>
        </w:rPr>
        <w:t>Evidence and the Criminal Trial” (on file).</w:t>
      </w:r>
    </w:p>
  </w:footnote>
  <w:footnote w:id="66">
    <w:p w:rsidR="0086558E" w:rsidRPr="00F33077" w:rsidRDefault="0086558E">
      <w:pPr>
        <w:pStyle w:val="FootnoteText"/>
        <w:rPr>
          <w:rFonts w:ascii="Times New Roman" w:hAnsi="Times New Roman" w:cs="Times New Roman"/>
          <w:sz w:val="20"/>
          <w:szCs w:val="20"/>
        </w:rPr>
      </w:pPr>
      <w:r w:rsidRPr="00F33077">
        <w:rPr>
          <w:rStyle w:val="FootnoteReference"/>
          <w:rFonts w:ascii="Times New Roman" w:hAnsi="Times New Roman" w:cs="Times New Roman"/>
          <w:sz w:val="20"/>
          <w:szCs w:val="20"/>
        </w:rPr>
        <w:footnoteRef/>
      </w:r>
      <w:r w:rsidRPr="00F33077">
        <w:rPr>
          <w:rFonts w:ascii="Times New Roman" w:hAnsi="Times New Roman" w:cs="Times New Roman"/>
          <w:sz w:val="20"/>
          <w:szCs w:val="20"/>
        </w:rPr>
        <w:t xml:space="preserve"> See above n </w:t>
      </w:r>
      <w:r w:rsidR="00422156">
        <w:rPr>
          <w:rFonts w:ascii="Times New Roman" w:hAnsi="Times New Roman" w:cs="Times New Roman"/>
          <w:sz w:val="20"/>
          <w:szCs w:val="20"/>
        </w:rPr>
        <w:t>4</w:t>
      </w:r>
      <w:r w:rsidRPr="00F33077">
        <w:rPr>
          <w:rFonts w:ascii="Times New Roman" w:hAnsi="Times New Roman" w:cs="Times New Roman"/>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FF" w:rsidRDefault="00340CFF" w:rsidP="00340CFF">
    <w:pPr>
      <w:pStyle w:val="Header"/>
      <w:tabs>
        <w:tab w:val="clear" w:pos="4513"/>
        <w:tab w:val="clear" w:pos="9026"/>
        <w:tab w:val="right" w:pos="8222"/>
      </w:tabs>
      <w:rPr>
        <w:rFonts w:ascii="Times New Roman" w:hAnsi="Times New Roman" w:cs="Times New Roman"/>
        <w:sz w:val="22"/>
        <w:szCs w:val="22"/>
      </w:rPr>
    </w:pPr>
    <w:r>
      <w:rPr>
        <w:rFonts w:ascii="Times New Roman" w:hAnsi="Times New Roman" w:cs="Times New Roman"/>
        <w:sz w:val="22"/>
        <w:szCs w:val="22"/>
      </w:rPr>
      <w:t>San Roque</w:t>
    </w:r>
    <w:r>
      <w:rPr>
        <w:rFonts w:ascii="Times New Roman" w:hAnsi="Times New Roman" w:cs="Times New Roman"/>
        <w:sz w:val="22"/>
        <w:szCs w:val="22"/>
      </w:rPr>
      <w:tab/>
      <w:t xml:space="preserve">Book Discussion: </w:t>
    </w:r>
    <w:r>
      <w:rPr>
        <w:rFonts w:ascii="Times New Roman" w:hAnsi="Times New Roman" w:cs="Times New Roman"/>
        <w:i/>
        <w:sz w:val="22"/>
        <w:szCs w:val="22"/>
      </w:rPr>
      <w:t>Murder, Medicine and Motherhood</w:t>
    </w:r>
  </w:p>
  <w:p w:rsidR="00340CFF" w:rsidRPr="00340CFF" w:rsidRDefault="00340CFF" w:rsidP="00340CFF">
    <w:pPr>
      <w:pStyle w:val="Header"/>
      <w:tabs>
        <w:tab w:val="clear" w:pos="4513"/>
        <w:tab w:val="clear" w:pos="9026"/>
        <w:tab w:val="right" w:pos="8222"/>
      </w:tabs>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FF" w:rsidRDefault="00340CFF" w:rsidP="00340CFF">
    <w:pPr>
      <w:pStyle w:val="Header"/>
      <w:tabs>
        <w:tab w:val="clear" w:pos="4513"/>
        <w:tab w:val="clear" w:pos="9026"/>
        <w:tab w:val="right" w:pos="8222"/>
      </w:tabs>
      <w:rPr>
        <w:rFonts w:ascii="Times New Roman" w:hAnsi="Times New Roman" w:cs="Times New Roman"/>
        <w:sz w:val="22"/>
        <w:szCs w:val="22"/>
      </w:rPr>
    </w:pPr>
    <w:r>
      <w:rPr>
        <w:rFonts w:ascii="Times New Roman" w:hAnsi="Times New Roman" w:cs="Times New Roman"/>
        <w:i/>
        <w:sz w:val="22"/>
        <w:szCs w:val="22"/>
      </w:rPr>
      <w:t>feminists@law</w:t>
    </w:r>
    <w:r>
      <w:rPr>
        <w:rFonts w:ascii="Times New Roman" w:hAnsi="Times New Roman" w:cs="Times New Roman"/>
        <w:sz w:val="22"/>
        <w:szCs w:val="22"/>
      </w:rPr>
      <w:tab/>
      <w:t>Vol 3, No 2 (2013)</w:t>
    </w:r>
  </w:p>
  <w:p w:rsidR="00340CFF" w:rsidRPr="00340CFF" w:rsidRDefault="00340CFF" w:rsidP="00340CFF">
    <w:pPr>
      <w:pStyle w:val="Header"/>
      <w:tabs>
        <w:tab w:val="clear" w:pos="4513"/>
        <w:tab w:val="clear" w:pos="9026"/>
        <w:tab w:val="right" w:pos="8222"/>
      </w:tabs>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687107"/>
    <w:multiLevelType w:val="hybridMultilevel"/>
    <w:tmpl w:val="4DD8C444"/>
    <w:lvl w:ilvl="0" w:tplc="B5DE9BF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D46740"/>
    <w:rsid w:val="00004AE2"/>
    <w:rsid w:val="00005B84"/>
    <w:rsid w:val="000110FF"/>
    <w:rsid w:val="00013202"/>
    <w:rsid w:val="00017F59"/>
    <w:rsid w:val="00020B3E"/>
    <w:rsid w:val="00023FFF"/>
    <w:rsid w:val="00025C23"/>
    <w:rsid w:val="00030E73"/>
    <w:rsid w:val="0003103C"/>
    <w:rsid w:val="000340E6"/>
    <w:rsid w:val="0003694A"/>
    <w:rsid w:val="00037078"/>
    <w:rsid w:val="000433F5"/>
    <w:rsid w:val="00050B88"/>
    <w:rsid w:val="00052EA0"/>
    <w:rsid w:val="0005478D"/>
    <w:rsid w:val="0005504F"/>
    <w:rsid w:val="00055E3F"/>
    <w:rsid w:val="00065D50"/>
    <w:rsid w:val="0006663A"/>
    <w:rsid w:val="0006781C"/>
    <w:rsid w:val="00067CE8"/>
    <w:rsid w:val="000728AB"/>
    <w:rsid w:val="0007297B"/>
    <w:rsid w:val="00081057"/>
    <w:rsid w:val="00081433"/>
    <w:rsid w:val="000A62D0"/>
    <w:rsid w:val="000B2DFF"/>
    <w:rsid w:val="000B36D1"/>
    <w:rsid w:val="000C0A7E"/>
    <w:rsid w:val="000C5242"/>
    <w:rsid w:val="000D24F9"/>
    <w:rsid w:val="000D2E28"/>
    <w:rsid w:val="000D7C4F"/>
    <w:rsid w:val="000E3A71"/>
    <w:rsid w:val="000E566C"/>
    <w:rsid w:val="000E5C42"/>
    <w:rsid w:val="000F103B"/>
    <w:rsid w:val="000F7241"/>
    <w:rsid w:val="00101EB7"/>
    <w:rsid w:val="001075D2"/>
    <w:rsid w:val="00111BD2"/>
    <w:rsid w:val="0012023B"/>
    <w:rsid w:val="00122699"/>
    <w:rsid w:val="00122C8A"/>
    <w:rsid w:val="001241D9"/>
    <w:rsid w:val="00124ACE"/>
    <w:rsid w:val="001261A9"/>
    <w:rsid w:val="00126A93"/>
    <w:rsid w:val="00126CC1"/>
    <w:rsid w:val="0013035E"/>
    <w:rsid w:val="00130C6D"/>
    <w:rsid w:val="00131A19"/>
    <w:rsid w:val="00136DC0"/>
    <w:rsid w:val="001420CD"/>
    <w:rsid w:val="00143DDA"/>
    <w:rsid w:val="00150A52"/>
    <w:rsid w:val="00157634"/>
    <w:rsid w:val="00160696"/>
    <w:rsid w:val="001664A7"/>
    <w:rsid w:val="001741CD"/>
    <w:rsid w:val="00176429"/>
    <w:rsid w:val="00192ECE"/>
    <w:rsid w:val="00195DCA"/>
    <w:rsid w:val="001A304F"/>
    <w:rsid w:val="001A5879"/>
    <w:rsid w:val="001A67B0"/>
    <w:rsid w:val="001A7120"/>
    <w:rsid w:val="001B10D7"/>
    <w:rsid w:val="001B2433"/>
    <w:rsid w:val="001B377F"/>
    <w:rsid w:val="001B4846"/>
    <w:rsid w:val="001B5678"/>
    <w:rsid w:val="001C192E"/>
    <w:rsid w:val="001C416E"/>
    <w:rsid w:val="001C5A50"/>
    <w:rsid w:val="001C69C6"/>
    <w:rsid w:val="001C7A15"/>
    <w:rsid w:val="001D1B84"/>
    <w:rsid w:val="001D53D7"/>
    <w:rsid w:val="001D6C95"/>
    <w:rsid w:val="001E304C"/>
    <w:rsid w:val="001E6F28"/>
    <w:rsid w:val="001F163F"/>
    <w:rsid w:val="001F1C04"/>
    <w:rsid w:val="001F331E"/>
    <w:rsid w:val="001F3A36"/>
    <w:rsid w:val="001F4A51"/>
    <w:rsid w:val="001F5DC1"/>
    <w:rsid w:val="00202FE7"/>
    <w:rsid w:val="002048C4"/>
    <w:rsid w:val="00207768"/>
    <w:rsid w:val="00212F2E"/>
    <w:rsid w:val="002136C3"/>
    <w:rsid w:val="00215C88"/>
    <w:rsid w:val="00216D27"/>
    <w:rsid w:val="00217882"/>
    <w:rsid w:val="00222875"/>
    <w:rsid w:val="00223BA5"/>
    <w:rsid w:val="0022484C"/>
    <w:rsid w:val="00225E0E"/>
    <w:rsid w:val="002321B1"/>
    <w:rsid w:val="00234AA1"/>
    <w:rsid w:val="00237710"/>
    <w:rsid w:val="00240E17"/>
    <w:rsid w:val="0024199C"/>
    <w:rsid w:val="00247E12"/>
    <w:rsid w:val="00250C06"/>
    <w:rsid w:val="00252332"/>
    <w:rsid w:val="0025655E"/>
    <w:rsid w:val="00256BD6"/>
    <w:rsid w:val="002751CA"/>
    <w:rsid w:val="00281377"/>
    <w:rsid w:val="00283E15"/>
    <w:rsid w:val="002878DC"/>
    <w:rsid w:val="00295AA9"/>
    <w:rsid w:val="00296BC1"/>
    <w:rsid w:val="002A40DF"/>
    <w:rsid w:val="002A5CCE"/>
    <w:rsid w:val="002B0C0F"/>
    <w:rsid w:val="002B1785"/>
    <w:rsid w:val="002B32B1"/>
    <w:rsid w:val="002B39F6"/>
    <w:rsid w:val="002B6284"/>
    <w:rsid w:val="002B6947"/>
    <w:rsid w:val="002B7917"/>
    <w:rsid w:val="002C05BA"/>
    <w:rsid w:val="002C0A0A"/>
    <w:rsid w:val="002C46BB"/>
    <w:rsid w:val="002C5A4E"/>
    <w:rsid w:val="002C75E5"/>
    <w:rsid w:val="002C779C"/>
    <w:rsid w:val="002D1328"/>
    <w:rsid w:val="002D391C"/>
    <w:rsid w:val="002E054A"/>
    <w:rsid w:val="002E3B5C"/>
    <w:rsid w:val="002E4105"/>
    <w:rsid w:val="002E6CB9"/>
    <w:rsid w:val="002E6D7A"/>
    <w:rsid w:val="002F1851"/>
    <w:rsid w:val="003042AE"/>
    <w:rsid w:val="00310D76"/>
    <w:rsid w:val="003133A0"/>
    <w:rsid w:val="00315787"/>
    <w:rsid w:val="00323610"/>
    <w:rsid w:val="00325682"/>
    <w:rsid w:val="00334DE2"/>
    <w:rsid w:val="00336CF6"/>
    <w:rsid w:val="00340CFF"/>
    <w:rsid w:val="003417B9"/>
    <w:rsid w:val="00341B44"/>
    <w:rsid w:val="00351063"/>
    <w:rsid w:val="00352BFD"/>
    <w:rsid w:val="00353F6C"/>
    <w:rsid w:val="003646B7"/>
    <w:rsid w:val="00366CE3"/>
    <w:rsid w:val="00366D0B"/>
    <w:rsid w:val="003673C6"/>
    <w:rsid w:val="003673F0"/>
    <w:rsid w:val="00367A14"/>
    <w:rsid w:val="003732CF"/>
    <w:rsid w:val="00374087"/>
    <w:rsid w:val="00374240"/>
    <w:rsid w:val="00376CF3"/>
    <w:rsid w:val="003838AD"/>
    <w:rsid w:val="00385771"/>
    <w:rsid w:val="00386AFF"/>
    <w:rsid w:val="003949AC"/>
    <w:rsid w:val="00394A4C"/>
    <w:rsid w:val="003A45AC"/>
    <w:rsid w:val="003B0D82"/>
    <w:rsid w:val="003B1EF6"/>
    <w:rsid w:val="003B268A"/>
    <w:rsid w:val="003B6A97"/>
    <w:rsid w:val="003B72D1"/>
    <w:rsid w:val="003D2E87"/>
    <w:rsid w:val="003D6065"/>
    <w:rsid w:val="003F207C"/>
    <w:rsid w:val="003F2484"/>
    <w:rsid w:val="003F580E"/>
    <w:rsid w:val="003F7CDA"/>
    <w:rsid w:val="00403C96"/>
    <w:rsid w:val="0040494E"/>
    <w:rsid w:val="00414484"/>
    <w:rsid w:val="00416764"/>
    <w:rsid w:val="00422156"/>
    <w:rsid w:val="00425E2E"/>
    <w:rsid w:val="004262D4"/>
    <w:rsid w:val="004303B2"/>
    <w:rsid w:val="004309DF"/>
    <w:rsid w:val="004327BF"/>
    <w:rsid w:val="004330BC"/>
    <w:rsid w:val="00443EA7"/>
    <w:rsid w:val="00446FA0"/>
    <w:rsid w:val="004509EC"/>
    <w:rsid w:val="00452F5E"/>
    <w:rsid w:val="00460FE1"/>
    <w:rsid w:val="00464195"/>
    <w:rsid w:val="0046623B"/>
    <w:rsid w:val="004704C1"/>
    <w:rsid w:val="00472EC7"/>
    <w:rsid w:val="004734A0"/>
    <w:rsid w:val="0048286F"/>
    <w:rsid w:val="00483DE2"/>
    <w:rsid w:val="004848F6"/>
    <w:rsid w:val="00496929"/>
    <w:rsid w:val="00497556"/>
    <w:rsid w:val="004A0625"/>
    <w:rsid w:val="004A0ADE"/>
    <w:rsid w:val="004A0FF7"/>
    <w:rsid w:val="004A4248"/>
    <w:rsid w:val="004A5B9F"/>
    <w:rsid w:val="004A6C84"/>
    <w:rsid w:val="004B7BB0"/>
    <w:rsid w:val="004C0457"/>
    <w:rsid w:val="004C0B77"/>
    <w:rsid w:val="004C16FD"/>
    <w:rsid w:val="004C4428"/>
    <w:rsid w:val="004E38DE"/>
    <w:rsid w:val="004E6AA5"/>
    <w:rsid w:val="004F1E1A"/>
    <w:rsid w:val="004F2A0C"/>
    <w:rsid w:val="00501539"/>
    <w:rsid w:val="0050523B"/>
    <w:rsid w:val="0050531E"/>
    <w:rsid w:val="00506F20"/>
    <w:rsid w:val="00513956"/>
    <w:rsid w:val="00514402"/>
    <w:rsid w:val="00520304"/>
    <w:rsid w:val="00520AF0"/>
    <w:rsid w:val="00521ACC"/>
    <w:rsid w:val="005227AE"/>
    <w:rsid w:val="0053242C"/>
    <w:rsid w:val="00533D8B"/>
    <w:rsid w:val="00542A92"/>
    <w:rsid w:val="0054715D"/>
    <w:rsid w:val="0055235C"/>
    <w:rsid w:val="00553DE5"/>
    <w:rsid w:val="005631EB"/>
    <w:rsid w:val="005666F2"/>
    <w:rsid w:val="00567859"/>
    <w:rsid w:val="00567F23"/>
    <w:rsid w:val="00567F3B"/>
    <w:rsid w:val="005754C9"/>
    <w:rsid w:val="00581118"/>
    <w:rsid w:val="00581429"/>
    <w:rsid w:val="00583F64"/>
    <w:rsid w:val="00584EAC"/>
    <w:rsid w:val="00590251"/>
    <w:rsid w:val="005A1197"/>
    <w:rsid w:val="005A223D"/>
    <w:rsid w:val="005A2401"/>
    <w:rsid w:val="005A3833"/>
    <w:rsid w:val="005A712D"/>
    <w:rsid w:val="005B04AF"/>
    <w:rsid w:val="005B2E95"/>
    <w:rsid w:val="005B5A1B"/>
    <w:rsid w:val="005C4FEE"/>
    <w:rsid w:val="005C7231"/>
    <w:rsid w:val="005D0AE8"/>
    <w:rsid w:val="005D594B"/>
    <w:rsid w:val="005E3D36"/>
    <w:rsid w:val="005E7AF5"/>
    <w:rsid w:val="005F389D"/>
    <w:rsid w:val="005F6351"/>
    <w:rsid w:val="005F6EFF"/>
    <w:rsid w:val="006003D9"/>
    <w:rsid w:val="00602927"/>
    <w:rsid w:val="00614CA7"/>
    <w:rsid w:val="006155F9"/>
    <w:rsid w:val="00620EFC"/>
    <w:rsid w:val="00621883"/>
    <w:rsid w:val="006221D1"/>
    <w:rsid w:val="0062283D"/>
    <w:rsid w:val="00632B65"/>
    <w:rsid w:val="00633BD7"/>
    <w:rsid w:val="00635833"/>
    <w:rsid w:val="006402FA"/>
    <w:rsid w:val="00644012"/>
    <w:rsid w:val="0064579B"/>
    <w:rsid w:val="00645FFA"/>
    <w:rsid w:val="00647BBA"/>
    <w:rsid w:val="00650A6E"/>
    <w:rsid w:val="00653BC3"/>
    <w:rsid w:val="00656359"/>
    <w:rsid w:val="006640AD"/>
    <w:rsid w:val="00667EBE"/>
    <w:rsid w:val="006726A4"/>
    <w:rsid w:val="00672BB5"/>
    <w:rsid w:val="00672ECC"/>
    <w:rsid w:val="00680A1D"/>
    <w:rsid w:val="00680B89"/>
    <w:rsid w:val="00681AFD"/>
    <w:rsid w:val="0068283D"/>
    <w:rsid w:val="006843AB"/>
    <w:rsid w:val="006848EC"/>
    <w:rsid w:val="00690CE7"/>
    <w:rsid w:val="006917E1"/>
    <w:rsid w:val="0069449B"/>
    <w:rsid w:val="006955CD"/>
    <w:rsid w:val="006960A6"/>
    <w:rsid w:val="0069682A"/>
    <w:rsid w:val="00697B1E"/>
    <w:rsid w:val="006A3EEF"/>
    <w:rsid w:val="006A5DA4"/>
    <w:rsid w:val="006B4F56"/>
    <w:rsid w:val="006B60FD"/>
    <w:rsid w:val="006C1143"/>
    <w:rsid w:val="006C16EE"/>
    <w:rsid w:val="006C2314"/>
    <w:rsid w:val="006C3E58"/>
    <w:rsid w:val="006C4C9A"/>
    <w:rsid w:val="006C6A0A"/>
    <w:rsid w:val="006C6DA5"/>
    <w:rsid w:val="006D1643"/>
    <w:rsid w:val="006E5E03"/>
    <w:rsid w:val="006F00D2"/>
    <w:rsid w:val="006F1A0A"/>
    <w:rsid w:val="006F4386"/>
    <w:rsid w:val="0070088E"/>
    <w:rsid w:val="00700C4E"/>
    <w:rsid w:val="00701307"/>
    <w:rsid w:val="00701903"/>
    <w:rsid w:val="00703E86"/>
    <w:rsid w:val="007061A3"/>
    <w:rsid w:val="00707F4F"/>
    <w:rsid w:val="00710D87"/>
    <w:rsid w:val="0071508C"/>
    <w:rsid w:val="00721E61"/>
    <w:rsid w:val="00723998"/>
    <w:rsid w:val="00723BC8"/>
    <w:rsid w:val="007256EB"/>
    <w:rsid w:val="007258A3"/>
    <w:rsid w:val="007276D1"/>
    <w:rsid w:val="00735713"/>
    <w:rsid w:val="00736FED"/>
    <w:rsid w:val="00740321"/>
    <w:rsid w:val="0074151F"/>
    <w:rsid w:val="00741A82"/>
    <w:rsid w:val="0074302F"/>
    <w:rsid w:val="00745A20"/>
    <w:rsid w:val="0075003C"/>
    <w:rsid w:val="00750950"/>
    <w:rsid w:val="00751C1C"/>
    <w:rsid w:val="00753299"/>
    <w:rsid w:val="00753C90"/>
    <w:rsid w:val="007541ED"/>
    <w:rsid w:val="00760BF6"/>
    <w:rsid w:val="00761752"/>
    <w:rsid w:val="00763885"/>
    <w:rsid w:val="00765AF1"/>
    <w:rsid w:val="00777173"/>
    <w:rsid w:val="00777955"/>
    <w:rsid w:val="00794B45"/>
    <w:rsid w:val="00796575"/>
    <w:rsid w:val="007A13B1"/>
    <w:rsid w:val="007A56FD"/>
    <w:rsid w:val="007A5BF0"/>
    <w:rsid w:val="007B7B3D"/>
    <w:rsid w:val="007B7C3A"/>
    <w:rsid w:val="007C1F95"/>
    <w:rsid w:val="007C3AC3"/>
    <w:rsid w:val="007C5363"/>
    <w:rsid w:val="007C57F8"/>
    <w:rsid w:val="007D2C4F"/>
    <w:rsid w:val="007D610B"/>
    <w:rsid w:val="007D7BB4"/>
    <w:rsid w:val="007E27EB"/>
    <w:rsid w:val="007E59D6"/>
    <w:rsid w:val="007F1465"/>
    <w:rsid w:val="007F34C2"/>
    <w:rsid w:val="007F6DD0"/>
    <w:rsid w:val="00802D05"/>
    <w:rsid w:val="008048FE"/>
    <w:rsid w:val="0081514B"/>
    <w:rsid w:val="00820D8D"/>
    <w:rsid w:val="00821655"/>
    <w:rsid w:val="00822AD8"/>
    <w:rsid w:val="00825058"/>
    <w:rsid w:val="008257F2"/>
    <w:rsid w:val="0082775D"/>
    <w:rsid w:val="008379C2"/>
    <w:rsid w:val="00840C67"/>
    <w:rsid w:val="0084632D"/>
    <w:rsid w:val="00847F0B"/>
    <w:rsid w:val="008516C2"/>
    <w:rsid w:val="00854204"/>
    <w:rsid w:val="00855549"/>
    <w:rsid w:val="008617A3"/>
    <w:rsid w:val="008630D4"/>
    <w:rsid w:val="008637A4"/>
    <w:rsid w:val="00863D9A"/>
    <w:rsid w:val="0086558E"/>
    <w:rsid w:val="00866428"/>
    <w:rsid w:val="00866A23"/>
    <w:rsid w:val="008675AE"/>
    <w:rsid w:val="00875954"/>
    <w:rsid w:val="00881467"/>
    <w:rsid w:val="0088297B"/>
    <w:rsid w:val="008844BC"/>
    <w:rsid w:val="008A1070"/>
    <w:rsid w:val="008A2773"/>
    <w:rsid w:val="008A5920"/>
    <w:rsid w:val="008B39BB"/>
    <w:rsid w:val="008B794D"/>
    <w:rsid w:val="008C382C"/>
    <w:rsid w:val="008C48B2"/>
    <w:rsid w:val="008C6C62"/>
    <w:rsid w:val="008D06BD"/>
    <w:rsid w:val="008D4FB9"/>
    <w:rsid w:val="008D5FA8"/>
    <w:rsid w:val="008E29FA"/>
    <w:rsid w:val="008E3244"/>
    <w:rsid w:val="008E3365"/>
    <w:rsid w:val="008E6A14"/>
    <w:rsid w:val="008F0758"/>
    <w:rsid w:val="008F2C5B"/>
    <w:rsid w:val="008F5D4F"/>
    <w:rsid w:val="00900300"/>
    <w:rsid w:val="00902E7B"/>
    <w:rsid w:val="00905460"/>
    <w:rsid w:val="00912103"/>
    <w:rsid w:val="00914D23"/>
    <w:rsid w:val="009151B1"/>
    <w:rsid w:val="0091688A"/>
    <w:rsid w:val="00921AD0"/>
    <w:rsid w:val="00922786"/>
    <w:rsid w:val="0092485B"/>
    <w:rsid w:val="00927079"/>
    <w:rsid w:val="00927C07"/>
    <w:rsid w:val="009316AC"/>
    <w:rsid w:val="009328AC"/>
    <w:rsid w:val="009328BF"/>
    <w:rsid w:val="00935115"/>
    <w:rsid w:val="0093690E"/>
    <w:rsid w:val="00937D39"/>
    <w:rsid w:val="00940B48"/>
    <w:rsid w:val="009468A1"/>
    <w:rsid w:val="00951419"/>
    <w:rsid w:val="009534BD"/>
    <w:rsid w:val="00962E26"/>
    <w:rsid w:val="0096318A"/>
    <w:rsid w:val="009744BB"/>
    <w:rsid w:val="00980086"/>
    <w:rsid w:val="0098029D"/>
    <w:rsid w:val="009812D0"/>
    <w:rsid w:val="00986D04"/>
    <w:rsid w:val="00992A5A"/>
    <w:rsid w:val="0099669B"/>
    <w:rsid w:val="00997270"/>
    <w:rsid w:val="009A4858"/>
    <w:rsid w:val="009B2660"/>
    <w:rsid w:val="009B3549"/>
    <w:rsid w:val="009B490F"/>
    <w:rsid w:val="009B4D29"/>
    <w:rsid w:val="009B7C80"/>
    <w:rsid w:val="009C31FE"/>
    <w:rsid w:val="009C40AA"/>
    <w:rsid w:val="009C4C1E"/>
    <w:rsid w:val="009D0EB5"/>
    <w:rsid w:val="009D21EA"/>
    <w:rsid w:val="009D6B0E"/>
    <w:rsid w:val="009E0D73"/>
    <w:rsid w:val="009E3E7B"/>
    <w:rsid w:val="009E4D8C"/>
    <w:rsid w:val="009E66C3"/>
    <w:rsid w:val="009F0D23"/>
    <w:rsid w:val="009F435B"/>
    <w:rsid w:val="009F5766"/>
    <w:rsid w:val="009F743A"/>
    <w:rsid w:val="00A03548"/>
    <w:rsid w:val="00A06A9B"/>
    <w:rsid w:val="00A07073"/>
    <w:rsid w:val="00A12307"/>
    <w:rsid w:val="00A135FD"/>
    <w:rsid w:val="00A13A94"/>
    <w:rsid w:val="00A14CC9"/>
    <w:rsid w:val="00A2042E"/>
    <w:rsid w:val="00A20764"/>
    <w:rsid w:val="00A21AB9"/>
    <w:rsid w:val="00A22E7A"/>
    <w:rsid w:val="00A3103A"/>
    <w:rsid w:val="00A3172A"/>
    <w:rsid w:val="00A41758"/>
    <w:rsid w:val="00A45D09"/>
    <w:rsid w:val="00A506EE"/>
    <w:rsid w:val="00A51517"/>
    <w:rsid w:val="00A52B52"/>
    <w:rsid w:val="00A563E7"/>
    <w:rsid w:val="00A63A81"/>
    <w:rsid w:val="00A65EC8"/>
    <w:rsid w:val="00A66D46"/>
    <w:rsid w:val="00A677BE"/>
    <w:rsid w:val="00A749EF"/>
    <w:rsid w:val="00A83877"/>
    <w:rsid w:val="00A94EE3"/>
    <w:rsid w:val="00A951EE"/>
    <w:rsid w:val="00A96163"/>
    <w:rsid w:val="00A96B6B"/>
    <w:rsid w:val="00A97484"/>
    <w:rsid w:val="00AA1DEE"/>
    <w:rsid w:val="00AB1DA8"/>
    <w:rsid w:val="00AB3067"/>
    <w:rsid w:val="00AB4819"/>
    <w:rsid w:val="00AB4A6C"/>
    <w:rsid w:val="00AB535B"/>
    <w:rsid w:val="00AB5456"/>
    <w:rsid w:val="00AB7A77"/>
    <w:rsid w:val="00AB7D86"/>
    <w:rsid w:val="00AC2276"/>
    <w:rsid w:val="00AC3082"/>
    <w:rsid w:val="00AC308F"/>
    <w:rsid w:val="00AC33FA"/>
    <w:rsid w:val="00AC5BBC"/>
    <w:rsid w:val="00AC5C0F"/>
    <w:rsid w:val="00AE021F"/>
    <w:rsid w:val="00AE79B1"/>
    <w:rsid w:val="00AF07BB"/>
    <w:rsid w:val="00AF1784"/>
    <w:rsid w:val="00AF37FB"/>
    <w:rsid w:val="00AF6CE2"/>
    <w:rsid w:val="00B014B5"/>
    <w:rsid w:val="00B0158A"/>
    <w:rsid w:val="00B066D5"/>
    <w:rsid w:val="00B06871"/>
    <w:rsid w:val="00B071FE"/>
    <w:rsid w:val="00B07F57"/>
    <w:rsid w:val="00B1265B"/>
    <w:rsid w:val="00B129CB"/>
    <w:rsid w:val="00B12A80"/>
    <w:rsid w:val="00B134A6"/>
    <w:rsid w:val="00B16CD7"/>
    <w:rsid w:val="00B16F2E"/>
    <w:rsid w:val="00B201BC"/>
    <w:rsid w:val="00B2588E"/>
    <w:rsid w:val="00B328D3"/>
    <w:rsid w:val="00B37F90"/>
    <w:rsid w:val="00B42191"/>
    <w:rsid w:val="00B533FE"/>
    <w:rsid w:val="00B5529D"/>
    <w:rsid w:val="00B6046B"/>
    <w:rsid w:val="00B62F45"/>
    <w:rsid w:val="00B7133E"/>
    <w:rsid w:val="00B72F30"/>
    <w:rsid w:val="00B76431"/>
    <w:rsid w:val="00B76A0A"/>
    <w:rsid w:val="00B76D99"/>
    <w:rsid w:val="00B8415B"/>
    <w:rsid w:val="00B8642E"/>
    <w:rsid w:val="00B86741"/>
    <w:rsid w:val="00B86BCC"/>
    <w:rsid w:val="00B921C2"/>
    <w:rsid w:val="00B92317"/>
    <w:rsid w:val="00B94A7D"/>
    <w:rsid w:val="00B96819"/>
    <w:rsid w:val="00BA12F1"/>
    <w:rsid w:val="00BA490A"/>
    <w:rsid w:val="00BB1F77"/>
    <w:rsid w:val="00BB44C8"/>
    <w:rsid w:val="00BC4EE5"/>
    <w:rsid w:val="00BD3093"/>
    <w:rsid w:val="00BE2F26"/>
    <w:rsid w:val="00BE4150"/>
    <w:rsid w:val="00BE41BC"/>
    <w:rsid w:val="00BE537D"/>
    <w:rsid w:val="00BF1BD8"/>
    <w:rsid w:val="00BF3A77"/>
    <w:rsid w:val="00BF4D48"/>
    <w:rsid w:val="00C02199"/>
    <w:rsid w:val="00C0462F"/>
    <w:rsid w:val="00C11AFC"/>
    <w:rsid w:val="00C15700"/>
    <w:rsid w:val="00C20A68"/>
    <w:rsid w:val="00C20C58"/>
    <w:rsid w:val="00C25E6C"/>
    <w:rsid w:val="00C33794"/>
    <w:rsid w:val="00C33AB7"/>
    <w:rsid w:val="00C4702F"/>
    <w:rsid w:val="00C477E6"/>
    <w:rsid w:val="00C53B56"/>
    <w:rsid w:val="00C54520"/>
    <w:rsid w:val="00C610FF"/>
    <w:rsid w:val="00C63F2F"/>
    <w:rsid w:val="00C73317"/>
    <w:rsid w:val="00C7680E"/>
    <w:rsid w:val="00C771F5"/>
    <w:rsid w:val="00C77B2E"/>
    <w:rsid w:val="00C80FA9"/>
    <w:rsid w:val="00C8226E"/>
    <w:rsid w:val="00C83344"/>
    <w:rsid w:val="00C840B3"/>
    <w:rsid w:val="00C90DF0"/>
    <w:rsid w:val="00C95278"/>
    <w:rsid w:val="00CA40A6"/>
    <w:rsid w:val="00CA47D1"/>
    <w:rsid w:val="00CA7D65"/>
    <w:rsid w:val="00CB144B"/>
    <w:rsid w:val="00CB2563"/>
    <w:rsid w:val="00CB4A68"/>
    <w:rsid w:val="00CB6868"/>
    <w:rsid w:val="00CC2FA7"/>
    <w:rsid w:val="00CC4D3E"/>
    <w:rsid w:val="00CC4E61"/>
    <w:rsid w:val="00CF129D"/>
    <w:rsid w:val="00CF3693"/>
    <w:rsid w:val="00CF6A59"/>
    <w:rsid w:val="00CF6A72"/>
    <w:rsid w:val="00CF7619"/>
    <w:rsid w:val="00CF7ED7"/>
    <w:rsid w:val="00D014DF"/>
    <w:rsid w:val="00D024AB"/>
    <w:rsid w:val="00D15AA7"/>
    <w:rsid w:val="00D24584"/>
    <w:rsid w:val="00D35E77"/>
    <w:rsid w:val="00D42F7C"/>
    <w:rsid w:val="00D43826"/>
    <w:rsid w:val="00D44D08"/>
    <w:rsid w:val="00D46740"/>
    <w:rsid w:val="00D567B3"/>
    <w:rsid w:val="00D5769D"/>
    <w:rsid w:val="00D60639"/>
    <w:rsid w:val="00D60735"/>
    <w:rsid w:val="00D60C7A"/>
    <w:rsid w:val="00D60F9B"/>
    <w:rsid w:val="00D73232"/>
    <w:rsid w:val="00D76CD2"/>
    <w:rsid w:val="00D80D46"/>
    <w:rsid w:val="00D810EE"/>
    <w:rsid w:val="00D85C6B"/>
    <w:rsid w:val="00D879AB"/>
    <w:rsid w:val="00D90BFD"/>
    <w:rsid w:val="00D91BEC"/>
    <w:rsid w:val="00D936D0"/>
    <w:rsid w:val="00D9432B"/>
    <w:rsid w:val="00D97E2B"/>
    <w:rsid w:val="00DA0804"/>
    <w:rsid w:val="00DA2AEF"/>
    <w:rsid w:val="00DA2B25"/>
    <w:rsid w:val="00DA54DC"/>
    <w:rsid w:val="00DA5EFC"/>
    <w:rsid w:val="00DB01EB"/>
    <w:rsid w:val="00DB50F1"/>
    <w:rsid w:val="00DB5166"/>
    <w:rsid w:val="00DC0339"/>
    <w:rsid w:val="00DC20C8"/>
    <w:rsid w:val="00DC2DD6"/>
    <w:rsid w:val="00DC5854"/>
    <w:rsid w:val="00DD2F23"/>
    <w:rsid w:val="00DD5D92"/>
    <w:rsid w:val="00DD6F56"/>
    <w:rsid w:val="00DD6FCD"/>
    <w:rsid w:val="00DD7F2E"/>
    <w:rsid w:val="00DE4A13"/>
    <w:rsid w:val="00DF22E8"/>
    <w:rsid w:val="00DF53E3"/>
    <w:rsid w:val="00DF5663"/>
    <w:rsid w:val="00E0040F"/>
    <w:rsid w:val="00E0177D"/>
    <w:rsid w:val="00E03B96"/>
    <w:rsid w:val="00E10CE6"/>
    <w:rsid w:val="00E11B6C"/>
    <w:rsid w:val="00E12E85"/>
    <w:rsid w:val="00E153CF"/>
    <w:rsid w:val="00E15A94"/>
    <w:rsid w:val="00E20E85"/>
    <w:rsid w:val="00E241B6"/>
    <w:rsid w:val="00E2722B"/>
    <w:rsid w:val="00E30CA3"/>
    <w:rsid w:val="00E30D4D"/>
    <w:rsid w:val="00E31B84"/>
    <w:rsid w:val="00E43399"/>
    <w:rsid w:val="00E43AD4"/>
    <w:rsid w:val="00E51A88"/>
    <w:rsid w:val="00E61FE9"/>
    <w:rsid w:val="00E62BBD"/>
    <w:rsid w:val="00E62DD9"/>
    <w:rsid w:val="00E66428"/>
    <w:rsid w:val="00E71098"/>
    <w:rsid w:val="00E77CFF"/>
    <w:rsid w:val="00E839CE"/>
    <w:rsid w:val="00E87D69"/>
    <w:rsid w:val="00E91169"/>
    <w:rsid w:val="00E9255D"/>
    <w:rsid w:val="00E9360C"/>
    <w:rsid w:val="00E97417"/>
    <w:rsid w:val="00EA2DC9"/>
    <w:rsid w:val="00EA2EF5"/>
    <w:rsid w:val="00EA51E2"/>
    <w:rsid w:val="00EB6C57"/>
    <w:rsid w:val="00EC490D"/>
    <w:rsid w:val="00EC4D1B"/>
    <w:rsid w:val="00ED0D6F"/>
    <w:rsid w:val="00ED14CC"/>
    <w:rsid w:val="00ED6C83"/>
    <w:rsid w:val="00ED6E2B"/>
    <w:rsid w:val="00EE0116"/>
    <w:rsid w:val="00EE16CC"/>
    <w:rsid w:val="00EF0C84"/>
    <w:rsid w:val="00EF4D03"/>
    <w:rsid w:val="00F139F3"/>
    <w:rsid w:val="00F171C4"/>
    <w:rsid w:val="00F214B9"/>
    <w:rsid w:val="00F2183A"/>
    <w:rsid w:val="00F24D9B"/>
    <w:rsid w:val="00F26011"/>
    <w:rsid w:val="00F33077"/>
    <w:rsid w:val="00F33A07"/>
    <w:rsid w:val="00F43132"/>
    <w:rsid w:val="00F548C4"/>
    <w:rsid w:val="00F5494E"/>
    <w:rsid w:val="00F54AD9"/>
    <w:rsid w:val="00F54D9B"/>
    <w:rsid w:val="00F551C1"/>
    <w:rsid w:val="00F64519"/>
    <w:rsid w:val="00F6463B"/>
    <w:rsid w:val="00F6550C"/>
    <w:rsid w:val="00F66FBF"/>
    <w:rsid w:val="00F67B39"/>
    <w:rsid w:val="00F7029F"/>
    <w:rsid w:val="00F7190A"/>
    <w:rsid w:val="00F71EB7"/>
    <w:rsid w:val="00F72C92"/>
    <w:rsid w:val="00F739B9"/>
    <w:rsid w:val="00F7491B"/>
    <w:rsid w:val="00F84A4F"/>
    <w:rsid w:val="00F9064B"/>
    <w:rsid w:val="00F92DBD"/>
    <w:rsid w:val="00F97F82"/>
    <w:rsid w:val="00FA046A"/>
    <w:rsid w:val="00FA1DF0"/>
    <w:rsid w:val="00FA3C6E"/>
    <w:rsid w:val="00FA3DA6"/>
    <w:rsid w:val="00FA7C67"/>
    <w:rsid w:val="00FB4D9D"/>
    <w:rsid w:val="00FB6C3A"/>
    <w:rsid w:val="00FB735A"/>
    <w:rsid w:val="00FC2734"/>
    <w:rsid w:val="00FC4FBD"/>
    <w:rsid w:val="00FD1338"/>
    <w:rsid w:val="00FD22F6"/>
    <w:rsid w:val="00FD36E8"/>
    <w:rsid w:val="00FF06E6"/>
    <w:rsid w:val="00FF664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59"/>
  </w:style>
  <w:style w:type="paragraph" w:styleId="Heading2">
    <w:name w:val="heading 2"/>
    <w:basedOn w:val="Normal"/>
    <w:link w:val="Heading2Char"/>
    <w:uiPriority w:val="9"/>
    <w:qFormat/>
    <w:rsid w:val="00B2588E"/>
    <w:pPr>
      <w:spacing w:before="100" w:beforeAutospacing="1" w:after="100" w:afterAutospacing="1"/>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063"/>
    <w:pPr>
      <w:ind w:left="720"/>
      <w:contextualSpacing/>
    </w:pPr>
  </w:style>
  <w:style w:type="paragraph" w:styleId="Footer">
    <w:name w:val="footer"/>
    <w:basedOn w:val="Normal"/>
    <w:link w:val="FooterChar"/>
    <w:uiPriority w:val="99"/>
    <w:unhideWhenUsed/>
    <w:rsid w:val="00B76431"/>
    <w:pPr>
      <w:tabs>
        <w:tab w:val="center" w:pos="4320"/>
        <w:tab w:val="right" w:pos="8640"/>
      </w:tabs>
    </w:pPr>
  </w:style>
  <w:style w:type="character" w:customStyle="1" w:styleId="FooterChar">
    <w:name w:val="Footer Char"/>
    <w:basedOn w:val="DefaultParagraphFont"/>
    <w:link w:val="Footer"/>
    <w:uiPriority w:val="99"/>
    <w:rsid w:val="00B76431"/>
  </w:style>
  <w:style w:type="character" w:styleId="PageNumber">
    <w:name w:val="page number"/>
    <w:basedOn w:val="DefaultParagraphFont"/>
    <w:uiPriority w:val="99"/>
    <w:semiHidden/>
    <w:unhideWhenUsed/>
    <w:rsid w:val="00B76431"/>
  </w:style>
  <w:style w:type="paragraph" w:styleId="FootnoteText">
    <w:name w:val="footnote text"/>
    <w:basedOn w:val="Normal"/>
    <w:link w:val="FootnoteTextChar"/>
    <w:uiPriority w:val="99"/>
    <w:unhideWhenUsed/>
    <w:rsid w:val="005B2E95"/>
  </w:style>
  <w:style w:type="character" w:customStyle="1" w:styleId="FootnoteTextChar">
    <w:name w:val="Footnote Text Char"/>
    <w:basedOn w:val="DefaultParagraphFont"/>
    <w:link w:val="FootnoteText"/>
    <w:uiPriority w:val="99"/>
    <w:rsid w:val="005B2E95"/>
  </w:style>
  <w:style w:type="character" w:styleId="FootnoteReference">
    <w:name w:val="footnote reference"/>
    <w:basedOn w:val="DefaultParagraphFont"/>
    <w:uiPriority w:val="99"/>
    <w:unhideWhenUsed/>
    <w:rsid w:val="005B2E95"/>
    <w:rPr>
      <w:vertAlign w:val="superscript"/>
    </w:rPr>
  </w:style>
  <w:style w:type="paragraph" w:styleId="BalloonText">
    <w:name w:val="Balloon Text"/>
    <w:basedOn w:val="Normal"/>
    <w:link w:val="BalloonTextChar"/>
    <w:uiPriority w:val="99"/>
    <w:semiHidden/>
    <w:unhideWhenUsed/>
    <w:rsid w:val="008637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37A4"/>
    <w:rPr>
      <w:rFonts w:ascii="Lucida Grande" w:hAnsi="Lucida Grande" w:cs="Lucida Grande"/>
      <w:sz w:val="18"/>
      <w:szCs w:val="18"/>
    </w:rPr>
  </w:style>
  <w:style w:type="character" w:customStyle="1" w:styleId="A01">
    <w:name w:val="A0++1"/>
    <w:uiPriority w:val="99"/>
    <w:rsid w:val="00217882"/>
    <w:rPr>
      <w:rFonts w:cs="Swis721 Cn BT"/>
      <w:color w:val="000000"/>
      <w:sz w:val="50"/>
      <w:szCs w:val="50"/>
    </w:rPr>
  </w:style>
  <w:style w:type="character" w:customStyle="1" w:styleId="A11">
    <w:name w:val="A1+1"/>
    <w:uiPriority w:val="99"/>
    <w:rsid w:val="00217882"/>
    <w:rPr>
      <w:rFonts w:cs="Swis721 Cn BT"/>
      <w:color w:val="000000"/>
      <w:sz w:val="28"/>
      <w:szCs w:val="28"/>
    </w:rPr>
  </w:style>
  <w:style w:type="character" w:styleId="Hyperlink">
    <w:name w:val="Hyperlink"/>
    <w:basedOn w:val="DefaultParagraphFont"/>
    <w:uiPriority w:val="99"/>
    <w:unhideWhenUsed/>
    <w:rsid w:val="00F64519"/>
    <w:rPr>
      <w:color w:val="0000FF" w:themeColor="hyperlink"/>
      <w:u w:val="single"/>
    </w:rPr>
  </w:style>
  <w:style w:type="character" w:customStyle="1" w:styleId="Heading2Char">
    <w:name w:val="Heading 2 Char"/>
    <w:basedOn w:val="DefaultParagraphFont"/>
    <w:link w:val="Heading2"/>
    <w:uiPriority w:val="9"/>
    <w:rsid w:val="00B2588E"/>
    <w:rPr>
      <w:rFonts w:ascii="Times New Roman" w:eastAsia="Times New Roman" w:hAnsi="Times New Roman" w:cs="Times New Roman"/>
      <w:b/>
      <w:bCs/>
      <w:sz w:val="36"/>
      <w:szCs w:val="36"/>
      <w:lang w:val="en-AU" w:eastAsia="en-AU"/>
    </w:rPr>
  </w:style>
  <w:style w:type="character" w:styleId="CommentReference">
    <w:name w:val="annotation reference"/>
    <w:basedOn w:val="DefaultParagraphFont"/>
    <w:uiPriority w:val="99"/>
    <w:semiHidden/>
    <w:unhideWhenUsed/>
    <w:rsid w:val="003417B9"/>
    <w:rPr>
      <w:sz w:val="16"/>
      <w:szCs w:val="16"/>
    </w:rPr>
  </w:style>
  <w:style w:type="paragraph" w:styleId="CommentText">
    <w:name w:val="annotation text"/>
    <w:basedOn w:val="Normal"/>
    <w:link w:val="CommentTextChar"/>
    <w:uiPriority w:val="99"/>
    <w:semiHidden/>
    <w:unhideWhenUsed/>
    <w:rsid w:val="003417B9"/>
    <w:rPr>
      <w:sz w:val="20"/>
      <w:szCs w:val="20"/>
    </w:rPr>
  </w:style>
  <w:style w:type="character" w:customStyle="1" w:styleId="CommentTextChar">
    <w:name w:val="Comment Text Char"/>
    <w:basedOn w:val="DefaultParagraphFont"/>
    <w:link w:val="CommentText"/>
    <w:uiPriority w:val="99"/>
    <w:semiHidden/>
    <w:rsid w:val="003417B9"/>
    <w:rPr>
      <w:sz w:val="20"/>
      <w:szCs w:val="20"/>
    </w:rPr>
  </w:style>
  <w:style w:type="paragraph" w:styleId="CommentSubject">
    <w:name w:val="annotation subject"/>
    <w:basedOn w:val="CommentText"/>
    <w:next w:val="CommentText"/>
    <w:link w:val="CommentSubjectChar"/>
    <w:uiPriority w:val="99"/>
    <w:semiHidden/>
    <w:unhideWhenUsed/>
    <w:rsid w:val="003417B9"/>
    <w:rPr>
      <w:b/>
      <w:bCs/>
    </w:rPr>
  </w:style>
  <w:style w:type="character" w:customStyle="1" w:styleId="CommentSubjectChar">
    <w:name w:val="Comment Subject Char"/>
    <w:basedOn w:val="CommentTextChar"/>
    <w:link w:val="CommentSubject"/>
    <w:uiPriority w:val="99"/>
    <w:semiHidden/>
    <w:rsid w:val="003417B9"/>
    <w:rPr>
      <w:b/>
      <w:bCs/>
      <w:sz w:val="20"/>
      <w:szCs w:val="20"/>
    </w:rPr>
  </w:style>
  <w:style w:type="paragraph" w:styleId="Header">
    <w:name w:val="header"/>
    <w:basedOn w:val="Normal"/>
    <w:link w:val="HeaderChar"/>
    <w:uiPriority w:val="99"/>
    <w:semiHidden/>
    <w:unhideWhenUsed/>
    <w:rsid w:val="00340CFF"/>
    <w:pPr>
      <w:tabs>
        <w:tab w:val="center" w:pos="4513"/>
        <w:tab w:val="right" w:pos="9026"/>
      </w:tabs>
    </w:pPr>
  </w:style>
  <w:style w:type="character" w:customStyle="1" w:styleId="HeaderChar">
    <w:name w:val="Header Char"/>
    <w:basedOn w:val="DefaultParagraphFont"/>
    <w:link w:val="Header"/>
    <w:uiPriority w:val="99"/>
    <w:semiHidden/>
    <w:rsid w:val="00340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588E"/>
    <w:pPr>
      <w:spacing w:before="100" w:beforeAutospacing="1" w:after="100" w:afterAutospacing="1"/>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063"/>
    <w:pPr>
      <w:ind w:left="720"/>
      <w:contextualSpacing/>
    </w:pPr>
  </w:style>
  <w:style w:type="paragraph" w:styleId="Footer">
    <w:name w:val="footer"/>
    <w:basedOn w:val="Normal"/>
    <w:link w:val="FooterChar"/>
    <w:uiPriority w:val="99"/>
    <w:unhideWhenUsed/>
    <w:rsid w:val="00B76431"/>
    <w:pPr>
      <w:tabs>
        <w:tab w:val="center" w:pos="4320"/>
        <w:tab w:val="right" w:pos="8640"/>
      </w:tabs>
    </w:pPr>
  </w:style>
  <w:style w:type="character" w:customStyle="1" w:styleId="FooterChar">
    <w:name w:val="Footer Char"/>
    <w:basedOn w:val="DefaultParagraphFont"/>
    <w:link w:val="Footer"/>
    <w:uiPriority w:val="99"/>
    <w:rsid w:val="00B76431"/>
  </w:style>
  <w:style w:type="character" w:styleId="PageNumber">
    <w:name w:val="page number"/>
    <w:basedOn w:val="DefaultParagraphFont"/>
    <w:uiPriority w:val="99"/>
    <w:semiHidden/>
    <w:unhideWhenUsed/>
    <w:rsid w:val="00B76431"/>
  </w:style>
  <w:style w:type="paragraph" w:styleId="FootnoteText">
    <w:name w:val="footnote text"/>
    <w:basedOn w:val="Normal"/>
    <w:link w:val="FootnoteTextChar"/>
    <w:uiPriority w:val="99"/>
    <w:unhideWhenUsed/>
    <w:rsid w:val="005B2E95"/>
  </w:style>
  <w:style w:type="character" w:customStyle="1" w:styleId="FootnoteTextChar">
    <w:name w:val="Footnote Text Char"/>
    <w:basedOn w:val="DefaultParagraphFont"/>
    <w:link w:val="FootnoteText"/>
    <w:uiPriority w:val="99"/>
    <w:rsid w:val="005B2E95"/>
  </w:style>
  <w:style w:type="character" w:styleId="FootnoteReference">
    <w:name w:val="footnote reference"/>
    <w:basedOn w:val="DefaultParagraphFont"/>
    <w:uiPriority w:val="99"/>
    <w:unhideWhenUsed/>
    <w:rsid w:val="005B2E95"/>
    <w:rPr>
      <w:vertAlign w:val="superscript"/>
    </w:rPr>
  </w:style>
  <w:style w:type="paragraph" w:styleId="BalloonText">
    <w:name w:val="Balloon Text"/>
    <w:basedOn w:val="Normal"/>
    <w:link w:val="BalloonTextChar"/>
    <w:uiPriority w:val="99"/>
    <w:semiHidden/>
    <w:unhideWhenUsed/>
    <w:rsid w:val="008637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37A4"/>
    <w:rPr>
      <w:rFonts w:ascii="Lucida Grande" w:hAnsi="Lucida Grande" w:cs="Lucida Grande"/>
      <w:sz w:val="18"/>
      <w:szCs w:val="18"/>
    </w:rPr>
  </w:style>
  <w:style w:type="character" w:customStyle="1" w:styleId="A01">
    <w:name w:val="A0++1"/>
    <w:uiPriority w:val="99"/>
    <w:rsid w:val="00217882"/>
    <w:rPr>
      <w:rFonts w:cs="Swis721 Cn BT"/>
      <w:color w:val="000000"/>
      <w:sz w:val="50"/>
      <w:szCs w:val="50"/>
    </w:rPr>
  </w:style>
  <w:style w:type="character" w:customStyle="1" w:styleId="A11">
    <w:name w:val="A1+1"/>
    <w:uiPriority w:val="99"/>
    <w:rsid w:val="00217882"/>
    <w:rPr>
      <w:rFonts w:cs="Swis721 Cn BT"/>
      <w:color w:val="000000"/>
      <w:sz w:val="28"/>
      <w:szCs w:val="28"/>
    </w:rPr>
  </w:style>
  <w:style w:type="character" w:styleId="Hyperlink">
    <w:name w:val="Hyperlink"/>
    <w:basedOn w:val="DefaultParagraphFont"/>
    <w:uiPriority w:val="99"/>
    <w:unhideWhenUsed/>
    <w:rsid w:val="00F64519"/>
    <w:rPr>
      <w:color w:val="0000FF" w:themeColor="hyperlink"/>
      <w:u w:val="single"/>
    </w:rPr>
  </w:style>
  <w:style w:type="character" w:customStyle="1" w:styleId="Heading2Char">
    <w:name w:val="Heading 2 Char"/>
    <w:basedOn w:val="DefaultParagraphFont"/>
    <w:link w:val="Heading2"/>
    <w:uiPriority w:val="9"/>
    <w:rsid w:val="00B2588E"/>
    <w:rPr>
      <w:rFonts w:ascii="Times New Roman" w:eastAsia="Times New Roman" w:hAnsi="Times New Roman" w:cs="Times New Roman"/>
      <w:b/>
      <w:bCs/>
      <w:sz w:val="36"/>
      <w:szCs w:val="36"/>
      <w:lang w:val="en-AU" w:eastAsia="en-AU"/>
    </w:rPr>
  </w:style>
</w:styles>
</file>

<file path=word/webSettings.xml><?xml version="1.0" encoding="utf-8"?>
<w:webSettings xmlns:r="http://schemas.openxmlformats.org/officeDocument/2006/relationships" xmlns:w="http://schemas.openxmlformats.org/wordprocessingml/2006/main">
  <w:divs>
    <w:div w:id="29230077">
      <w:bodyDiv w:val="1"/>
      <w:marLeft w:val="0"/>
      <w:marRight w:val="0"/>
      <w:marTop w:val="0"/>
      <w:marBottom w:val="0"/>
      <w:divBdr>
        <w:top w:val="none" w:sz="0" w:space="0" w:color="auto"/>
        <w:left w:val="none" w:sz="0" w:space="0" w:color="auto"/>
        <w:bottom w:val="none" w:sz="0" w:space="0" w:color="auto"/>
        <w:right w:val="none" w:sz="0" w:space="0" w:color="auto"/>
      </w:divBdr>
    </w:div>
    <w:div w:id="1317956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mh.com.au/nsw/gilhams-champagne-moment-free-to-celebrate-after-murder-conviction-quashed-20111202-1o9wb.html" TargetMode="External"/><Relationship Id="rId3" Type="http://schemas.openxmlformats.org/officeDocument/2006/relationships/hyperlink" Target="http://www.smh.com.au/nsw/tainted-evidence-science-in-the-dock-20111216-1oyn7.html" TargetMode="External"/><Relationship Id="rId7" Type="http://schemas.openxmlformats.org/officeDocument/2006/relationships/hyperlink" Target="http://www.atypon-link.com/VAT/loi/ijep" TargetMode="External"/><Relationship Id="rId2" Type="http://schemas.openxmlformats.org/officeDocument/2006/relationships/hyperlink" Target="http://www.thefingerprintinquiryscotland.org.uk/inquiry/3127-2.html" TargetMode="External"/><Relationship Id="rId1" Type="http://schemas.openxmlformats.org/officeDocument/2006/relationships/hyperlink" Target="mailto:m.sanroque@unsw.edu.au" TargetMode="External"/><Relationship Id="rId6" Type="http://schemas.openxmlformats.org/officeDocument/2006/relationships/hyperlink" Target="http://www.smh.com.au/nsw/scientific-evidence-flaws-highlighted-20120626-210my.html" TargetMode="External"/><Relationship Id="rId11" Type="http://schemas.openxmlformats.org/officeDocument/2006/relationships/hyperlink" Target="http://www.smh.com.au/articles/2003/05/21/1053196642652.html" TargetMode="External"/><Relationship Id="rId5" Type="http://schemas.openxmlformats.org/officeDocument/2006/relationships/hyperlink" Target="http://www.smh.com.au/nsw/trial-expert-stands-firm-as-judge-questions-impartiality-20120225-1tv48.html" TargetMode="External"/><Relationship Id="rId10" Type="http://schemas.openxmlformats.org/officeDocument/2006/relationships/hyperlink" Target="http://www.smh.com.au/national/judge-reveals-his-doubts-over-keli-lane-conviction-20121123-29yut.html" TargetMode="External"/><Relationship Id="rId4" Type="http://schemas.openxmlformats.org/officeDocument/2006/relationships/hyperlink" Target="http://www.smh.com.au/technology/sci-tech/appeals-spark-concern-over-use-of-scientific-evidence-20111216-1oyjb.html" TargetMode="External"/><Relationship Id="rId9" Type="http://schemas.openxmlformats.org/officeDocument/2006/relationships/hyperlink" Target="http://www.smh.com.au/nsw/tearful-keli-lane-faces--sentencing-hearing-20110311-1bql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AA327-F2DA-4E66-98B0-53597663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6178</Words>
  <Characters>35218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41314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Mehera San Roque</dc:creator>
  <cp:lastModifiedBy>KLS Staff</cp:lastModifiedBy>
  <cp:revision>6</cp:revision>
  <cp:lastPrinted>2013-03-09T22:38:00Z</cp:lastPrinted>
  <dcterms:created xsi:type="dcterms:W3CDTF">2013-11-14T20:08:00Z</dcterms:created>
  <dcterms:modified xsi:type="dcterms:W3CDTF">2013-11-14T22:01:00Z</dcterms:modified>
</cp:coreProperties>
</file>