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BDF" w:rsidRPr="007D141C" w:rsidRDefault="0040328B" w:rsidP="007D141C">
      <w:pPr>
        <w:spacing w:line="276" w:lineRule="auto"/>
        <w:rPr>
          <w:b/>
          <w:color w:val="000000" w:themeColor="text1"/>
          <w:sz w:val="28"/>
          <w:szCs w:val="28"/>
        </w:rPr>
      </w:pPr>
      <w:r w:rsidRPr="007D141C">
        <w:rPr>
          <w:b/>
          <w:color w:val="000000" w:themeColor="text1"/>
          <w:sz w:val="28"/>
          <w:szCs w:val="28"/>
        </w:rPr>
        <w:t xml:space="preserve">‘Don’t read the comments!’ </w:t>
      </w:r>
    </w:p>
    <w:p w:rsidR="0040328B" w:rsidRPr="007D141C" w:rsidRDefault="0040328B" w:rsidP="007D141C">
      <w:pPr>
        <w:spacing w:line="276" w:lineRule="auto"/>
        <w:rPr>
          <w:b/>
          <w:color w:val="000000" w:themeColor="text1"/>
          <w:sz w:val="28"/>
          <w:szCs w:val="28"/>
        </w:rPr>
      </w:pPr>
      <w:r w:rsidRPr="007D141C">
        <w:rPr>
          <w:b/>
          <w:color w:val="000000" w:themeColor="text1"/>
          <w:sz w:val="28"/>
          <w:szCs w:val="28"/>
        </w:rPr>
        <w:t xml:space="preserve">Reflections on writing and publishing feminist </w:t>
      </w:r>
      <w:r w:rsidR="007D141C">
        <w:rPr>
          <w:b/>
          <w:color w:val="000000" w:themeColor="text1"/>
          <w:sz w:val="28"/>
          <w:szCs w:val="28"/>
        </w:rPr>
        <w:t>socio-legal research as</w:t>
      </w:r>
      <w:r w:rsidR="00367638">
        <w:rPr>
          <w:b/>
          <w:color w:val="000000" w:themeColor="text1"/>
          <w:sz w:val="28"/>
          <w:szCs w:val="28"/>
        </w:rPr>
        <w:t xml:space="preserve"> a</w:t>
      </w:r>
      <w:r w:rsidR="007D141C">
        <w:rPr>
          <w:b/>
          <w:color w:val="000000" w:themeColor="text1"/>
          <w:sz w:val="28"/>
          <w:szCs w:val="28"/>
        </w:rPr>
        <w:t xml:space="preserve"> </w:t>
      </w:r>
      <w:r w:rsidR="00EF1BDF" w:rsidRPr="007D141C">
        <w:rPr>
          <w:b/>
          <w:color w:val="000000" w:themeColor="text1"/>
          <w:sz w:val="28"/>
          <w:szCs w:val="28"/>
        </w:rPr>
        <w:t>young scholar</w:t>
      </w:r>
    </w:p>
    <w:p w:rsidR="0040328B" w:rsidRDefault="0040328B" w:rsidP="00A75843">
      <w:pPr>
        <w:spacing w:line="276" w:lineRule="auto"/>
      </w:pPr>
    </w:p>
    <w:p w:rsidR="007D141C" w:rsidRPr="007D141C" w:rsidRDefault="007D141C" w:rsidP="00A75843">
      <w:pPr>
        <w:spacing w:line="276" w:lineRule="auto"/>
      </w:pPr>
      <w:r>
        <w:rPr>
          <w:b/>
        </w:rPr>
        <w:t>Emma Cunliffe</w:t>
      </w:r>
      <w:r>
        <w:rPr>
          <w:rStyle w:val="FootnoteReference"/>
          <w:b/>
        </w:rPr>
        <w:footnoteReference w:customMarkFollows="1" w:id="1"/>
        <w:t>*</w:t>
      </w:r>
    </w:p>
    <w:p w:rsidR="007D141C" w:rsidRDefault="007D141C" w:rsidP="00A75843">
      <w:pPr>
        <w:spacing w:line="276" w:lineRule="auto"/>
      </w:pPr>
    </w:p>
    <w:p w:rsidR="00E320FF" w:rsidRPr="00E65B0E" w:rsidRDefault="00A75843" w:rsidP="00A75843">
      <w:pPr>
        <w:spacing w:line="276" w:lineRule="auto"/>
      </w:pPr>
      <w:r>
        <w:t xml:space="preserve">I have found it difficult to know where to begin a response to two reviews that succeed in being both enormously generous and fully engaged with the work that forms the basis of </w:t>
      </w:r>
      <w:r>
        <w:rPr>
          <w:i/>
        </w:rPr>
        <w:t>Murder, Medicine and Motherhood</w:t>
      </w:r>
      <w:r>
        <w:t xml:space="preserve">.  It is a </w:t>
      </w:r>
      <w:r w:rsidR="005A0A1C">
        <w:t>standard</w:t>
      </w:r>
      <w:r>
        <w:t xml:space="preserve"> academic joke that we should count our blessings if our </w:t>
      </w:r>
      <w:r w:rsidR="000C3606">
        <w:t>research</w:t>
      </w:r>
      <w:r>
        <w:t xml:space="preserve"> is read by long-suffering family members and one or two of those in our field.</w:t>
      </w:r>
      <w:r w:rsidR="00162381">
        <w:t xml:space="preserve"> </w:t>
      </w:r>
      <w:r w:rsidR="004D592E">
        <w:t xml:space="preserve"> With Eve Darian-</w:t>
      </w:r>
      <w:r>
        <w:t>Smith and Mehera San Roque as my allotted readers, I am blessed indeed.</w:t>
      </w:r>
      <w:r>
        <w:rPr>
          <w:rStyle w:val="FootnoteReference"/>
        </w:rPr>
        <w:footnoteReference w:id="2"/>
      </w:r>
      <w:r>
        <w:t xml:space="preserve">  </w:t>
      </w:r>
      <w:r w:rsidR="005A0A1C">
        <w:t>T</w:t>
      </w:r>
      <w:r w:rsidR="0040328B">
        <w:t>he</w:t>
      </w:r>
      <w:r w:rsidR="00C7222B">
        <w:t xml:space="preserve"> two reviews</w:t>
      </w:r>
      <w:r w:rsidR="005E56A7">
        <w:t xml:space="preserve"> published in </w:t>
      </w:r>
      <w:proofErr w:type="spellStart"/>
      <w:r w:rsidR="005E56A7">
        <w:rPr>
          <w:i/>
        </w:rPr>
        <w:t>feminists@law</w:t>
      </w:r>
      <w:proofErr w:type="spellEnd"/>
      <w:r w:rsidR="00C7222B">
        <w:t xml:space="preserve"> are particularly </w:t>
      </w:r>
      <w:r w:rsidR="005E56A7">
        <w:t>exciting for me</w:t>
      </w:r>
      <w:r w:rsidR="00C7222B">
        <w:t xml:space="preserve"> as they are written by women whose research </w:t>
      </w:r>
      <w:r w:rsidR="005E56A7">
        <w:t>accomplishments</w:t>
      </w:r>
      <w:r w:rsidR="00C7222B">
        <w:t xml:space="preserve"> </w:t>
      </w:r>
      <w:r w:rsidR="00EF1BDF">
        <w:t>offer</w:t>
      </w:r>
      <w:r w:rsidR="00C7222B">
        <w:t xml:space="preserve"> aspirational models for my own </w:t>
      </w:r>
      <w:r w:rsidR="00D67A35">
        <w:t>work</w:t>
      </w:r>
      <w:r w:rsidR="00C7222B">
        <w:t>.  In a world in which the work of writing reviews tends to be under-valued, it is a particularly feminist act not just to review</w:t>
      </w:r>
      <w:r w:rsidR="005A0A1C">
        <w:t xml:space="preserve"> a book</w:t>
      </w:r>
      <w:r w:rsidR="00C7222B">
        <w:t xml:space="preserve">, but to write </w:t>
      </w:r>
      <w:r w:rsidR="005A0A1C">
        <w:t>the review</w:t>
      </w:r>
      <w:r w:rsidR="00C7222B">
        <w:t xml:space="preserve"> as richly and carefully as these two pieces have been written.  I will try to do justice to </w:t>
      </w:r>
      <w:r w:rsidR="00790460">
        <w:t>Darian-</w:t>
      </w:r>
      <w:r w:rsidR="0040328B">
        <w:t xml:space="preserve">Smith and San </w:t>
      </w:r>
      <w:proofErr w:type="spellStart"/>
      <w:r w:rsidR="0040328B">
        <w:t>Roque’s</w:t>
      </w:r>
      <w:proofErr w:type="spellEnd"/>
      <w:r w:rsidR="00C7222B">
        <w:t xml:space="preserve"> engagement in </w:t>
      </w:r>
      <w:r w:rsidR="0040328B">
        <w:t>my</w:t>
      </w:r>
      <w:r w:rsidR="00C7222B">
        <w:t xml:space="preserve"> response.</w:t>
      </w:r>
      <w:r w:rsidR="00E320FF">
        <w:t xml:space="preserve">  </w:t>
      </w:r>
      <w:r w:rsidR="00E65B0E">
        <w:t xml:space="preserve">As well as responding to Darian-Smith and San </w:t>
      </w:r>
      <w:proofErr w:type="spellStart"/>
      <w:r w:rsidR="00E65B0E">
        <w:t>Roque’s</w:t>
      </w:r>
      <w:proofErr w:type="spellEnd"/>
      <w:r w:rsidR="00E65B0E">
        <w:t xml:space="preserve"> insights, I have also taken this invitation as an opportunity to reflect a little on the experience of writing </w:t>
      </w:r>
      <w:r w:rsidR="00E65B0E">
        <w:rPr>
          <w:i/>
        </w:rPr>
        <w:t>Murder, Medicine and Motherhood</w:t>
      </w:r>
      <w:r w:rsidR="00E65B0E">
        <w:t>, and on its reception.</w:t>
      </w:r>
    </w:p>
    <w:p w:rsidR="00553F3F" w:rsidRPr="00A21D2E" w:rsidRDefault="00E320FF" w:rsidP="00A75843">
      <w:pPr>
        <w:spacing w:line="276" w:lineRule="auto"/>
      </w:pPr>
      <w:r>
        <w:t xml:space="preserve">In the next section, I </w:t>
      </w:r>
      <w:r w:rsidR="00E65B0E">
        <w:t>trace</w:t>
      </w:r>
      <w:r>
        <w:t xml:space="preserve"> the choices and </w:t>
      </w:r>
      <w:r w:rsidR="00E65B0E">
        <w:t>unanticipated challenges</w:t>
      </w:r>
      <w:r>
        <w:t xml:space="preserve"> that structured </w:t>
      </w:r>
      <w:r w:rsidR="00E65B0E">
        <w:t>my research for</w:t>
      </w:r>
      <w:r>
        <w:t xml:space="preserve"> </w:t>
      </w:r>
      <w:r>
        <w:rPr>
          <w:i/>
        </w:rPr>
        <w:t>Murder, Medicine and Motherhood</w:t>
      </w:r>
      <w:r>
        <w:t>.  Both Darian-Smith and San Roque have com</w:t>
      </w:r>
      <w:r w:rsidR="005A0A1C">
        <w:t>mented on this methodology, and I have noticed that after publication,</w:t>
      </w:r>
      <w:r w:rsidR="00E65B0E">
        <w:t xml:space="preserve"> the scope and content of the finished product of a research project can seem inevitable.  In this section I try to unpack that appearance, because </w:t>
      </w:r>
      <w:r>
        <w:t>I think that there can be value in trying to remember why certain choices were made at certain times</w:t>
      </w:r>
      <w:r w:rsidR="00E65B0E">
        <w:t>, and in pondering the accidents that prompt turns within one’s work</w:t>
      </w:r>
      <w:r>
        <w:t>.</w:t>
      </w:r>
      <w:r w:rsidR="00E65B0E">
        <w:rPr>
          <w:rStyle w:val="FootnoteReference"/>
        </w:rPr>
        <w:footnoteReference w:id="3"/>
      </w:r>
      <w:r>
        <w:t xml:space="preserve"> The following section considers the transition that takes place when a published work enters the field and </w:t>
      </w:r>
      <w:r w:rsidR="00A21D2E">
        <w:t xml:space="preserve">in fact changes the </w:t>
      </w:r>
      <w:r w:rsidR="00E65B0E">
        <w:t>topic</w:t>
      </w:r>
      <w:r w:rsidR="00A21D2E">
        <w:t xml:space="preserve"> of research in certain ways.  Given the media attention that my conclusions have attracted </w:t>
      </w:r>
      <w:r w:rsidR="00A21D2E">
        <w:lastRenderedPageBreak/>
        <w:t xml:space="preserve">and the possibility that Kathleen </w:t>
      </w:r>
      <w:proofErr w:type="spellStart"/>
      <w:r w:rsidR="00A21D2E">
        <w:t>Folbigg’s</w:t>
      </w:r>
      <w:proofErr w:type="spellEnd"/>
      <w:r w:rsidR="00A21D2E">
        <w:t xml:space="preserve"> case may now be reviewed, </w:t>
      </w:r>
      <w:r w:rsidR="00A21D2E">
        <w:rPr>
          <w:i/>
        </w:rPr>
        <w:t xml:space="preserve">Murder, Medicine and Motherhood </w:t>
      </w:r>
      <w:proofErr w:type="gramStart"/>
      <w:r w:rsidR="00A21D2E">
        <w:t>has</w:t>
      </w:r>
      <w:proofErr w:type="gramEnd"/>
      <w:r w:rsidR="00A21D2E">
        <w:t xml:space="preserve"> to some extent had this effect.  In the course of my work becoming a more public product, my conclusions and my sense of myself as an academic have also been challenged at times.  The rewards and perils of media engagement </w:t>
      </w:r>
      <w:r w:rsidR="00E65B0E">
        <w:t>form</w:t>
      </w:r>
      <w:r w:rsidR="00A21D2E">
        <w:t xml:space="preserve"> a topic that is occasionally discussed in the literature,</w:t>
      </w:r>
      <w:r w:rsidR="00A21D2E">
        <w:rPr>
          <w:rStyle w:val="FootnoteReference"/>
        </w:rPr>
        <w:footnoteReference w:id="4"/>
      </w:r>
      <w:r w:rsidR="00A21D2E">
        <w:t xml:space="preserve"> but rarely with regard to explicitly feminist work.  Given that academics are increasingly exhorted by </w:t>
      </w:r>
      <w:r w:rsidR="00790460">
        <w:t>our</w:t>
      </w:r>
      <w:r w:rsidR="00A21D2E">
        <w:t xml:space="preserve"> employers</w:t>
      </w:r>
      <w:r w:rsidR="005A0A1C">
        <w:t xml:space="preserve"> and research funding agencies</w:t>
      </w:r>
      <w:r w:rsidR="00A21D2E">
        <w:t xml:space="preserve"> to demonstrate the public relevance of our work, and to engage with mass media, it seems important to consider the possibilities and the pitfalls of such engagement from a feminist perspective.</w:t>
      </w:r>
    </w:p>
    <w:p w:rsidR="004D592E" w:rsidRDefault="004D592E" w:rsidP="00A75843">
      <w:pPr>
        <w:spacing w:line="276" w:lineRule="auto"/>
        <w:rPr>
          <w:b/>
        </w:rPr>
      </w:pPr>
    </w:p>
    <w:p w:rsidR="004D592E" w:rsidRPr="004D592E" w:rsidRDefault="004D592E" w:rsidP="00A75843">
      <w:pPr>
        <w:spacing w:line="276" w:lineRule="auto"/>
        <w:rPr>
          <w:b/>
        </w:rPr>
      </w:pPr>
      <w:r>
        <w:rPr>
          <w:b/>
        </w:rPr>
        <w:t>Methodology: A mixture of choice and chance</w:t>
      </w:r>
    </w:p>
    <w:p w:rsidR="00D2199F" w:rsidRDefault="00162381" w:rsidP="00A75843">
      <w:pPr>
        <w:spacing w:line="276" w:lineRule="auto"/>
      </w:pPr>
      <w:r>
        <w:t xml:space="preserve">I am </w:t>
      </w:r>
      <w:r w:rsidR="005A0A1C">
        <w:t>occasionally</w:t>
      </w:r>
      <w:r>
        <w:t xml:space="preserve"> asked how I chose to focus on the </w:t>
      </w:r>
      <w:proofErr w:type="spellStart"/>
      <w:r w:rsidRPr="00162381">
        <w:rPr>
          <w:i/>
        </w:rPr>
        <w:t>Folbigg</w:t>
      </w:r>
      <w:proofErr w:type="spellEnd"/>
      <w:r w:rsidR="00E65B0E">
        <w:t xml:space="preserve"> </w:t>
      </w:r>
      <w:r w:rsidR="008244DE">
        <w:t>trial</w:t>
      </w:r>
      <w:r w:rsidR="00E65B0E">
        <w:t>.  T</w:t>
      </w:r>
      <w:r w:rsidR="00124664" w:rsidRPr="00162381">
        <w:t>he</w:t>
      </w:r>
      <w:r w:rsidR="00124664">
        <w:t xml:space="preserve"> project that became </w:t>
      </w:r>
      <w:r w:rsidR="00124664">
        <w:rPr>
          <w:i/>
        </w:rPr>
        <w:t>Murder, Medicine and Motherhood</w:t>
      </w:r>
      <w:r w:rsidR="00124664">
        <w:t xml:space="preserve"> did not begin as a study of a single case.  In 2004, as I proposed th</w:t>
      </w:r>
      <w:r w:rsidR="00145367">
        <w:t xml:space="preserve">e doctoral research on which </w:t>
      </w:r>
      <w:r w:rsidR="0040328B">
        <w:t>the</w:t>
      </w:r>
      <w:r w:rsidR="00124664">
        <w:t xml:space="preserve"> book was ultimately based, the English courts, Home Office, Royal College of </w:t>
      </w:r>
      <w:proofErr w:type="spellStart"/>
      <w:r w:rsidR="00124664">
        <w:t>Paediatrics</w:t>
      </w:r>
      <w:proofErr w:type="spellEnd"/>
      <w:r w:rsidR="00124664">
        <w:t xml:space="preserve"> and Child Health</w:t>
      </w:r>
      <w:r w:rsidR="003569DA">
        <w:t>,</w:t>
      </w:r>
      <w:r w:rsidR="00037B3B">
        <w:t xml:space="preserve"> and</w:t>
      </w:r>
      <w:r w:rsidR="00124664">
        <w:t xml:space="preserve"> Royal College of Pathologists were </w:t>
      </w:r>
      <w:r w:rsidR="00330270">
        <w:t>responding to the realization</w:t>
      </w:r>
      <w:r w:rsidR="00124664">
        <w:t xml:space="preserve"> that justice had failed Sally Clark and Angela </w:t>
      </w:r>
      <w:proofErr w:type="spellStart"/>
      <w:r w:rsidR="00124664">
        <w:t>Cannings</w:t>
      </w:r>
      <w:proofErr w:type="spellEnd"/>
      <w:r w:rsidR="00124664">
        <w:t xml:space="preserve">.  </w:t>
      </w:r>
      <w:proofErr w:type="spellStart"/>
      <w:r w:rsidR="00D053FA">
        <w:t>Trupti</w:t>
      </w:r>
      <w:proofErr w:type="spellEnd"/>
      <w:r w:rsidR="00D053FA">
        <w:t xml:space="preserve"> Patel had been acquitted.  </w:t>
      </w:r>
      <w:r w:rsidR="00124664">
        <w:t xml:space="preserve">Donna Anthony’s </w:t>
      </w:r>
      <w:r w:rsidR="00145367">
        <w:t>exoneration</w:t>
      </w:r>
      <w:r w:rsidR="00124664">
        <w:t xml:space="preserve"> </w:t>
      </w:r>
      <w:r w:rsidR="00E65B0E">
        <w:t xml:space="preserve">soon </w:t>
      </w:r>
      <w:r w:rsidR="00124664">
        <w:t xml:space="preserve">followed, as did </w:t>
      </w:r>
      <w:r w:rsidR="00145367">
        <w:t xml:space="preserve">a number of reports that sought to understand the variety of errors that had contributed to these wrongful </w:t>
      </w:r>
      <w:r w:rsidR="0072131F">
        <w:t>convictions</w:t>
      </w:r>
      <w:r w:rsidR="00145367">
        <w:t xml:space="preserve"> and to prevent their recurrence.</w:t>
      </w:r>
      <w:r w:rsidR="00145367">
        <w:rPr>
          <w:rStyle w:val="FootnoteReference"/>
        </w:rPr>
        <w:footnoteReference w:id="5"/>
      </w:r>
      <w:r w:rsidR="00145367">
        <w:t xml:space="preserve">  </w:t>
      </w:r>
      <w:r w:rsidR="0040328B">
        <w:t xml:space="preserve">However, with the notable exception of Fiona Raitt and Suzanne </w:t>
      </w:r>
      <w:proofErr w:type="spellStart"/>
      <w:r w:rsidR="0040328B">
        <w:t>Zeedy</w:t>
      </w:r>
      <w:r w:rsidR="00D2199F">
        <w:t>c</w:t>
      </w:r>
      <w:r w:rsidR="0040328B">
        <w:t>k</w:t>
      </w:r>
      <w:r w:rsidR="00D2199F">
        <w:t>’s</w:t>
      </w:r>
      <w:proofErr w:type="spellEnd"/>
      <w:r w:rsidR="00D2199F">
        <w:t xml:space="preserve"> </w:t>
      </w:r>
      <w:r w:rsidR="00E65B0E">
        <w:t>insightful</w:t>
      </w:r>
      <w:r w:rsidR="00D2199F">
        <w:t xml:space="preserve"> article on Munchausen Syndrome by Proxy</w:t>
      </w:r>
      <w:r w:rsidR="0040328B">
        <w:t>,</w:t>
      </w:r>
      <w:r w:rsidR="00D2199F">
        <w:t xml:space="preserve"> very little of the commentary on these cases </w:t>
      </w:r>
      <w:r w:rsidR="0072131F">
        <w:t>explored</w:t>
      </w:r>
      <w:r w:rsidR="00D2199F">
        <w:t xml:space="preserve"> why </w:t>
      </w:r>
      <w:r w:rsidR="00D2199F">
        <w:rPr>
          <w:i/>
        </w:rPr>
        <w:t>mothers</w:t>
      </w:r>
      <w:r w:rsidR="00D2199F">
        <w:t xml:space="preserve"> had been the subject of these errors.</w:t>
      </w:r>
      <w:r w:rsidR="00D2199F">
        <w:rPr>
          <w:rStyle w:val="FootnoteReference"/>
        </w:rPr>
        <w:footnoteReference w:id="6"/>
      </w:r>
      <w:r w:rsidR="00D2199F">
        <w:t xml:space="preserve"> </w:t>
      </w:r>
      <w:r w:rsidR="0040328B">
        <w:t xml:space="preserve"> </w:t>
      </w:r>
    </w:p>
    <w:p w:rsidR="00A8538F" w:rsidRDefault="00145367" w:rsidP="00A75843">
      <w:pPr>
        <w:spacing w:line="276" w:lineRule="auto"/>
      </w:pPr>
      <w:r>
        <w:t xml:space="preserve">Meanwhile in Canada, one had to look </w:t>
      </w:r>
      <w:r w:rsidR="005E56A7">
        <w:t xml:space="preserve">more </w:t>
      </w:r>
      <w:r>
        <w:t xml:space="preserve">closely, but there were glimpses that all </w:t>
      </w:r>
      <w:r w:rsidR="003A2BEC">
        <w:t>was not</w:t>
      </w:r>
      <w:r>
        <w:t xml:space="preserve"> well with child homicide prosecutions in Ontario. </w:t>
      </w:r>
      <w:r w:rsidR="003A2BEC">
        <w:t xml:space="preserve"> Judgments had been issued either acquitting parents and caregivers charged with killing children (and criticizing expert</w:t>
      </w:r>
      <w:r w:rsidR="00EF1BDF">
        <w:t xml:space="preserve"> witnesse</w:t>
      </w:r>
      <w:r w:rsidR="003A2BEC">
        <w:t>s along the way),</w:t>
      </w:r>
      <w:r w:rsidR="003A2BEC">
        <w:rPr>
          <w:rStyle w:val="FootnoteReference"/>
        </w:rPr>
        <w:footnoteReference w:id="7"/>
      </w:r>
      <w:r w:rsidR="003A2BEC">
        <w:t xml:space="preserve"> or staying prosecutions.</w:t>
      </w:r>
      <w:r w:rsidR="00891A52">
        <w:rPr>
          <w:rStyle w:val="FootnoteReference"/>
        </w:rPr>
        <w:footnoteReference w:id="8"/>
      </w:r>
      <w:r w:rsidR="00891A52">
        <w:t xml:space="preserve">  In other cases, prosecutions had </w:t>
      </w:r>
      <w:r w:rsidR="00891A52">
        <w:lastRenderedPageBreak/>
        <w:t>been withdrawn by the Crown</w:t>
      </w:r>
      <w:r w:rsidR="00C7222B">
        <w:t>, in some instances after trials had begun</w:t>
      </w:r>
      <w:r w:rsidR="00891A52">
        <w:t>.</w:t>
      </w:r>
      <w:bookmarkStart w:id="0" w:name="_Ref236212744"/>
      <w:r w:rsidR="00891A52">
        <w:rPr>
          <w:rStyle w:val="FootnoteReference"/>
        </w:rPr>
        <w:footnoteReference w:id="9"/>
      </w:r>
      <w:bookmarkEnd w:id="0"/>
      <w:r w:rsidR="00891A52">
        <w:t xml:space="preserve">  In Australia, coincidence evidence against </w:t>
      </w:r>
      <w:r w:rsidR="00925FEA">
        <w:t>Tracey</w:t>
      </w:r>
      <w:r w:rsidR="00891A52">
        <w:t xml:space="preserve"> Phillips had been excluded by a NSW Supreme Court Judge, resulting in a withdrawal of charges,</w:t>
      </w:r>
      <w:r w:rsidR="000B19A4">
        <w:rPr>
          <w:rStyle w:val="FootnoteReference"/>
        </w:rPr>
        <w:footnoteReference w:id="10"/>
      </w:r>
      <w:r w:rsidR="000B19A4">
        <w:t xml:space="preserve"> and charges had been laid against Carol Matthey for killing four children.</w:t>
      </w:r>
      <w:r w:rsidR="000B19A4">
        <w:rPr>
          <w:rStyle w:val="FootnoteReference"/>
        </w:rPr>
        <w:footnoteReference w:id="11"/>
      </w:r>
      <w:r w:rsidR="000B19A4">
        <w:t xml:space="preserve">  Kathleen </w:t>
      </w:r>
      <w:proofErr w:type="spellStart"/>
      <w:r w:rsidR="000B19A4">
        <w:t>Folbigg</w:t>
      </w:r>
      <w:proofErr w:type="spellEnd"/>
      <w:r w:rsidR="000B19A4">
        <w:t xml:space="preserve"> had, of course, been convicted and sentenced for killing her four children.  </w:t>
      </w:r>
    </w:p>
    <w:p w:rsidR="00E320FF" w:rsidRDefault="000B19A4" w:rsidP="00A75843">
      <w:pPr>
        <w:spacing w:line="276" w:lineRule="auto"/>
      </w:pPr>
      <w:r>
        <w:t xml:space="preserve">It was </w:t>
      </w:r>
      <w:r w:rsidR="00D2199F">
        <w:t>apparent</w:t>
      </w:r>
      <w:r>
        <w:t xml:space="preserve"> that serious battles were taking place in courtrooms around infant death, </w:t>
      </w:r>
      <w:r w:rsidR="00D2199F">
        <w:t xml:space="preserve">and mothers seemed the most vulnerable participants in these </w:t>
      </w:r>
      <w:r w:rsidR="00EF1BDF">
        <w:t>cases</w:t>
      </w:r>
      <w:r w:rsidR="00D2199F">
        <w:t xml:space="preserve"> (though fathers and </w:t>
      </w:r>
      <w:r w:rsidR="005A0A1C">
        <w:t xml:space="preserve">other </w:t>
      </w:r>
      <w:r w:rsidR="00D2199F">
        <w:t>caregivers were also affected, especially in Canada).  It was</w:t>
      </w:r>
      <w:r>
        <w:t xml:space="preserve"> less clear why these cases were emerging in several jurisdictions at about the same time.  </w:t>
      </w:r>
      <w:r w:rsidR="00CD69C5">
        <w:t xml:space="preserve">The initial </w:t>
      </w:r>
      <w:r w:rsidR="00C7222B">
        <w:t>goal</w:t>
      </w:r>
      <w:r w:rsidR="00CD69C5">
        <w:t xml:space="preserve"> of this project</w:t>
      </w:r>
      <w:r w:rsidR="00C7222B">
        <w:t xml:space="preserve"> was to understand where this particular trend had come from, to explore how it might be linked to changing expectations of both motherhood and </w:t>
      </w:r>
      <w:r w:rsidR="00D2199F">
        <w:t xml:space="preserve">medical </w:t>
      </w:r>
      <w:r w:rsidR="00C7222B">
        <w:t>science, and to think about the connections between these cases and the broader literature on criminalization.</w:t>
      </w:r>
      <w:r w:rsidR="00C1536B">
        <w:rPr>
          <w:rStyle w:val="FootnoteReference"/>
        </w:rPr>
        <w:footnoteReference w:id="12"/>
      </w:r>
      <w:r w:rsidR="00A8538F">
        <w:t xml:space="preserve">  </w:t>
      </w:r>
    </w:p>
    <w:p w:rsidR="00D2199F" w:rsidRPr="00223B42" w:rsidRDefault="00223B42" w:rsidP="00A75843">
      <w:pPr>
        <w:spacing w:line="276" w:lineRule="auto"/>
      </w:pPr>
      <w:r>
        <w:t>The motherhood aspec</w:t>
      </w:r>
      <w:r w:rsidR="00E65B0E">
        <w:t>t of the cases seemed crucial t</w:t>
      </w:r>
      <w:r>
        <w:t xml:space="preserve">o me, from at least two points of view.  First, taking seriously Carol Smart’s suggestion that legal discourse helps to </w:t>
      </w:r>
      <w:r>
        <w:rPr>
          <w:i/>
        </w:rPr>
        <w:t>produce</w:t>
      </w:r>
      <w:r>
        <w:t xml:space="preserve"> </w:t>
      </w:r>
      <w:r w:rsidR="00BB4995">
        <w:t xml:space="preserve">gendered </w:t>
      </w:r>
      <w:r>
        <w:t>subje</w:t>
      </w:r>
      <w:r w:rsidR="00E320FF">
        <w:t>ct identities, I worried about the effects of a</w:t>
      </w:r>
      <w:r>
        <w:t xml:space="preserve"> turn towards the punitive in criminal law’s approach to motherhood – and I saw troubling connections between criminal law and other fields such as family law and welfare law in this regard.</w:t>
      </w:r>
      <w:r>
        <w:rPr>
          <w:rStyle w:val="FootnoteReference"/>
        </w:rPr>
        <w:footnoteReference w:id="13"/>
      </w:r>
      <w:r>
        <w:t xml:space="preserve">  </w:t>
      </w:r>
      <w:r w:rsidR="00330270">
        <w:t xml:space="preserve">What disciplining effects might these cases have on other mothers?  </w:t>
      </w:r>
      <w:r>
        <w:t xml:space="preserve">Secondly, I was also struck by Shelley </w:t>
      </w:r>
      <w:proofErr w:type="spellStart"/>
      <w:r>
        <w:t>Gavigan’s</w:t>
      </w:r>
      <w:proofErr w:type="spellEnd"/>
      <w:r>
        <w:t xml:space="preserve"> rejoinder to Smart – her suggestion that seeing women within law as purely a discursive construction overlooked the importance of lived </w:t>
      </w:r>
      <w:r w:rsidR="00330270">
        <w:t>experience, leaving women with ‘neither agency nor experience’</w:t>
      </w:r>
      <w:r>
        <w:t xml:space="preserve"> </w:t>
      </w:r>
      <w:r w:rsidR="00E320FF">
        <w:t>beyond</w:t>
      </w:r>
      <w:r>
        <w:t xml:space="preserve"> the discursive construction of their lives.</w:t>
      </w:r>
      <w:r>
        <w:rPr>
          <w:rStyle w:val="FootnoteReference"/>
        </w:rPr>
        <w:footnoteReference w:id="14"/>
      </w:r>
      <w:r>
        <w:t xml:space="preserve">  I was interested in both how law produces </w:t>
      </w:r>
      <w:r w:rsidR="00BB4995">
        <w:t xml:space="preserve">authoritative </w:t>
      </w:r>
      <w:r>
        <w:lastRenderedPageBreak/>
        <w:t>subject identities for women and in how these authorized identities might depart markedly from the lives of the</w:t>
      </w:r>
      <w:r w:rsidR="005D1122">
        <w:t xml:space="preserve"> women they purport to categoriz</w:t>
      </w:r>
      <w:r>
        <w:t>e</w:t>
      </w:r>
      <w:r w:rsidR="00E65B0E">
        <w:t xml:space="preserve"> and thereby render susceptible to judgment</w:t>
      </w:r>
      <w:r>
        <w:t>.</w:t>
      </w:r>
      <w:r>
        <w:rPr>
          <w:rStyle w:val="FootnoteReference"/>
        </w:rPr>
        <w:footnoteReference w:id="15"/>
      </w:r>
    </w:p>
    <w:p w:rsidR="00BB4995" w:rsidRDefault="00A8538F" w:rsidP="00A75843">
      <w:pPr>
        <w:spacing w:line="276" w:lineRule="auto"/>
      </w:pPr>
      <w:r>
        <w:t xml:space="preserve">I knew I wanted to look at trial transcripts and court records, because I had a sense that they offered the material from which one might be able to challenge the </w:t>
      </w:r>
      <w:r w:rsidR="00386FD5">
        <w:t>fluency</w:t>
      </w:r>
      <w:r>
        <w:t xml:space="preserve"> of law’s authorized narratives regarding facts and</w:t>
      </w:r>
      <w:r w:rsidR="00162381">
        <w:t xml:space="preserve"> culpability, and I suspected I woul</w:t>
      </w:r>
      <w:r>
        <w:t xml:space="preserve">d need to mount that challenge at times. </w:t>
      </w:r>
      <w:r w:rsidR="00162381">
        <w:t xml:space="preserve"> T</w:t>
      </w:r>
      <w:r>
        <w:t>he legal archive seemed an obvious starting point</w:t>
      </w:r>
      <w:r w:rsidR="00D2199F">
        <w:t xml:space="preserve"> for understanding more about cases than one can learn by reading judgments</w:t>
      </w:r>
      <w:r>
        <w:t xml:space="preserve">.  However, </w:t>
      </w:r>
      <w:r w:rsidR="00017DCF">
        <w:t>very little was written about how one should approach the task of analyzing transcripts and court records</w:t>
      </w:r>
      <w:r w:rsidR="00D2199F">
        <w:t xml:space="preserve">. </w:t>
      </w:r>
      <w:r w:rsidR="00017DCF">
        <w:t xml:space="preserve"> </w:t>
      </w:r>
      <w:r w:rsidR="00D2199F">
        <w:t>A</w:t>
      </w:r>
      <w:r w:rsidR="00017DCF">
        <w:t>ccordingly much of my first eighteen months was spent developing a workable process by analogy with qualitative research methods borrowed mostly from sociology</w:t>
      </w:r>
      <w:r w:rsidR="004B67E2">
        <w:t xml:space="preserve"> </w:t>
      </w:r>
      <w:r w:rsidR="0072131F">
        <w:t xml:space="preserve">and history </w:t>
      </w:r>
      <w:r w:rsidR="004B67E2">
        <w:t>– and influenced especially by the feminist institutional ethnographies of Dorothy E</w:t>
      </w:r>
      <w:r w:rsidR="005D1122">
        <w:t>.</w:t>
      </w:r>
      <w:r w:rsidR="004B67E2">
        <w:t xml:space="preserve"> Smith</w:t>
      </w:r>
      <w:r w:rsidR="00017DCF">
        <w:t>.</w:t>
      </w:r>
      <w:bookmarkStart w:id="1" w:name="_Ref236466573"/>
      <w:r w:rsidR="004B67E2">
        <w:rPr>
          <w:rStyle w:val="FootnoteReference"/>
        </w:rPr>
        <w:footnoteReference w:id="16"/>
      </w:r>
      <w:bookmarkEnd w:id="1"/>
      <w:r w:rsidR="00017DCF">
        <w:t xml:space="preserve">  </w:t>
      </w:r>
    </w:p>
    <w:p w:rsidR="00A8538F" w:rsidRDefault="006507C3" w:rsidP="00A75843">
      <w:pPr>
        <w:spacing w:line="276" w:lineRule="auto"/>
      </w:pPr>
      <w:r>
        <w:t>A further challenge was presented by</w:t>
      </w:r>
      <w:r w:rsidR="00017DCF">
        <w:t xml:space="preserve"> </w:t>
      </w:r>
      <w:r w:rsidR="0072131F">
        <w:t>difficulties</w:t>
      </w:r>
      <w:r>
        <w:t xml:space="preserve"> of access.  </w:t>
      </w:r>
      <w:r w:rsidR="00386FD5">
        <w:t>Access</w:t>
      </w:r>
      <w:r>
        <w:t xml:space="preserve"> problems, which seem anecdotally to be widespread, but </w:t>
      </w:r>
      <w:r w:rsidR="00A8538F">
        <w:t>are too rar</w:t>
      </w:r>
      <w:r>
        <w:t>ely described in published work,</w:t>
      </w:r>
      <w:r w:rsidR="00A8538F">
        <w:t xml:space="preserve"> </w:t>
      </w:r>
      <w:r w:rsidR="00B45DF4">
        <w:t xml:space="preserve">excluded the English cases from close analysis, and plagued my attempts to investigate </w:t>
      </w:r>
      <w:r w:rsidR="00B45DF4">
        <w:rPr>
          <w:i/>
        </w:rPr>
        <w:t>Matthey</w:t>
      </w:r>
      <w:r w:rsidR="00B45DF4">
        <w:t>.</w:t>
      </w:r>
      <w:r w:rsidR="00017DCF">
        <w:rPr>
          <w:rStyle w:val="FootnoteReference"/>
        </w:rPr>
        <w:footnoteReference w:id="17"/>
      </w:r>
      <w:r w:rsidR="00B45DF4">
        <w:t xml:space="preserve">  The NSW Court Registry was, by contrast, willing to allow me access to its records </w:t>
      </w:r>
      <w:r w:rsidR="00854D64">
        <w:t xml:space="preserve">in </w:t>
      </w:r>
      <w:proofErr w:type="spellStart"/>
      <w:r w:rsidR="00854D64">
        <w:rPr>
          <w:i/>
        </w:rPr>
        <w:t>Folbigg</w:t>
      </w:r>
      <w:proofErr w:type="spellEnd"/>
      <w:r w:rsidR="00854D64">
        <w:rPr>
          <w:i/>
        </w:rPr>
        <w:t xml:space="preserve"> </w:t>
      </w:r>
      <w:r w:rsidR="00854D64">
        <w:t xml:space="preserve">and </w:t>
      </w:r>
      <w:r w:rsidR="00854D64">
        <w:rPr>
          <w:i/>
        </w:rPr>
        <w:t xml:space="preserve">Phillips </w:t>
      </w:r>
      <w:r w:rsidR="00B45DF4">
        <w:t xml:space="preserve">and able </w:t>
      </w:r>
      <w:r w:rsidR="00017DCF">
        <w:t xml:space="preserve">(for a fee) </w:t>
      </w:r>
      <w:r w:rsidR="00B45DF4">
        <w:t xml:space="preserve">to make copies of those </w:t>
      </w:r>
      <w:r w:rsidR="00017DCF">
        <w:t xml:space="preserve">documents </w:t>
      </w:r>
      <w:r w:rsidR="00B45DF4">
        <w:t>I wished to retain.</w:t>
      </w:r>
    </w:p>
    <w:p w:rsidR="007929C3" w:rsidRDefault="00854D64" w:rsidP="00A75843">
      <w:pPr>
        <w:spacing w:line="276" w:lineRule="auto"/>
      </w:pPr>
      <w:r>
        <w:t>I</w:t>
      </w:r>
      <w:r w:rsidR="00B45DF4">
        <w:t xml:space="preserve">n Ontario, </w:t>
      </w:r>
      <w:r w:rsidR="00386FD5">
        <w:t xml:space="preserve">strong principles of open justice offered a more stable route to accessing court records.  However, </w:t>
      </w:r>
      <w:r>
        <w:t>concerns about child homicide cases progressed</w:t>
      </w:r>
      <w:r w:rsidR="009A234C">
        <w:t xml:space="preserve"> </w:t>
      </w:r>
      <w:r w:rsidR="00017DCF">
        <w:t>during</w:t>
      </w:r>
      <w:r w:rsidR="009A234C">
        <w:t xml:space="preserve"> 2005</w:t>
      </w:r>
      <w:r>
        <w:t xml:space="preserve"> to the point where the Office of the Chief Coroner for Ontario announced that he would </w:t>
      </w:r>
      <w:r>
        <w:lastRenderedPageBreak/>
        <w:t>commission a review of all criminally suspicious cases in which pathologist Charles Smith had been involved.</w:t>
      </w:r>
      <w:r>
        <w:rPr>
          <w:rStyle w:val="FootnoteReference"/>
        </w:rPr>
        <w:footnoteReference w:id="18"/>
      </w:r>
      <w:r>
        <w:t xml:space="preserve">  This review concluded that there were serious errors in 20 of 45 cases, and the </w:t>
      </w:r>
      <w:proofErr w:type="spellStart"/>
      <w:r>
        <w:t>Goudge</w:t>
      </w:r>
      <w:proofErr w:type="spellEnd"/>
      <w:r>
        <w:t xml:space="preserve"> Inquiry was announced</w:t>
      </w:r>
      <w:r w:rsidR="00017DCF">
        <w:t xml:space="preserve"> while </w:t>
      </w:r>
      <w:r w:rsidR="006507C3">
        <w:t xml:space="preserve">the Ontario Court of Appeal and Supreme Court of Canada </w:t>
      </w:r>
      <w:r w:rsidR="00386FD5">
        <w:t>began to review</w:t>
      </w:r>
      <w:r w:rsidR="006507C3">
        <w:t xml:space="preserve"> </w:t>
      </w:r>
      <w:r w:rsidR="00017DCF">
        <w:t xml:space="preserve">individual </w:t>
      </w:r>
      <w:r w:rsidR="006507C3">
        <w:t>appeals</w:t>
      </w:r>
      <w:r>
        <w:t xml:space="preserve">.  This was </w:t>
      </w:r>
      <w:r w:rsidR="00E65B0E">
        <w:t>welcome</w:t>
      </w:r>
      <w:r>
        <w:t xml:space="preserve"> news for the parents and caregivers who believed that they had been wrongly convicted or unfairly accused of killing children</w:t>
      </w:r>
      <w:r w:rsidR="00E65B0E">
        <w:t>, and those who supported their cause</w:t>
      </w:r>
      <w:r>
        <w:t xml:space="preserve">.  It also made researching these cases much more of a moving target.  </w:t>
      </w:r>
    </w:p>
    <w:p w:rsidR="005E56A7" w:rsidRDefault="00854D64" w:rsidP="00A75843">
      <w:pPr>
        <w:spacing w:line="276" w:lineRule="auto"/>
      </w:pPr>
      <w:r>
        <w:t xml:space="preserve">In the end, after much worry, and many consultations with my PhD committee, we decided that I would focus on </w:t>
      </w:r>
      <w:r w:rsidR="00386FD5">
        <w:t xml:space="preserve">a close analysis of </w:t>
      </w:r>
      <w:r>
        <w:t>the Australian cases</w:t>
      </w:r>
      <w:r w:rsidR="00386FD5">
        <w:t xml:space="preserve"> and draw the English and Canadian cases in for context</w:t>
      </w:r>
      <w:r w:rsidR="0072131F">
        <w:t xml:space="preserve"> rather than direct study</w:t>
      </w:r>
      <w:r>
        <w:t xml:space="preserve">.  I obtained copies of large portions of the </w:t>
      </w:r>
      <w:proofErr w:type="spellStart"/>
      <w:r>
        <w:rPr>
          <w:i/>
        </w:rPr>
        <w:t>Folbigg</w:t>
      </w:r>
      <w:proofErr w:type="spellEnd"/>
      <w:r>
        <w:t xml:space="preserve"> and </w:t>
      </w:r>
      <w:r>
        <w:rPr>
          <w:i/>
        </w:rPr>
        <w:t>Phillips</w:t>
      </w:r>
      <w:r>
        <w:t xml:space="preserve"> files, and set to work persuading the Victorian courts to give me, at least, the transcripts in </w:t>
      </w:r>
      <w:r>
        <w:rPr>
          <w:i/>
        </w:rPr>
        <w:t>Matthey.</w:t>
      </w:r>
      <w:r>
        <w:t xml:space="preserve">  By </w:t>
      </w:r>
      <w:r w:rsidR="006507C3">
        <w:t>mid-</w:t>
      </w:r>
      <w:r>
        <w:t xml:space="preserve">2007, I had all of these materials.  I </w:t>
      </w:r>
      <w:r w:rsidR="00386FD5">
        <w:t xml:space="preserve">also </w:t>
      </w:r>
      <w:r>
        <w:t>had the sense from time</w:t>
      </w:r>
      <w:r w:rsidR="00E65B0E">
        <w:t xml:space="preserve"> spent </w:t>
      </w:r>
      <w:r w:rsidR="00330270">
        <w:t>with the</w:t>
      </w:r>
      <w:r w:rsidR="00E65B0E">
        <w:t xml:space="preserve"> documents</w:t>
      </w:r>
      <w:r>
        <w:t xml:space="preserve"> in the court </w:t>
      </w:r>
      <w:r w:rsidR="00E65B0E">
        <w:t>registry</w:t>
      </w:r>
      <w:r>
        <w:t xml:space="preserve"> that </w:t>
      </w:r>
      <w:proofErr w:type="spellStart"/>
      <w:r>
        <w:rPr>
          <w:i/>
        </w:rPr>
        <w:t>Folbigg</w:t>
      </w:r>
      <w:proofErr w:type="spellEnd"/>
      <w:r>
        <w:t xml:space="preserve"> was different from the other cases – </w:t>
      </w:r>
      <w:r w:rsidR="007929C3">
        <w:t xml:space="preserve">the Crown evidence was </w:t>
      </w:r>
      <w:r>
        <w:t xml:space="preserve">more troubling, more complicated, </w:t>
      </w:r>
      <w:r w:rsidR="007929C3">
        <w:t xml:space="preserve">perhaps more evenly weighted.  I decided to write a chapter for the imagined dissertation explaining the </w:t>
      </w:r>
      <w:proofErr w:type="spellStart"/>
      <w:r w:rsidR="007929C3">
        <w:rPr>
          <w:i/>
        </w:rPr>
        <w:t>Folbigg</w:t>
      </w:r>
      <w:proofErr w:type="spellEnd"/>
      <w:r w:rsidR="007929C3">
        <w:rPr>
          <w:i/>
        </w:rPr>
        <w:t xml:space="preserve"> </w:t>
      </w:r>
      <w:r w:rsidR="007929C3">
        <w:t>case.</w:t>
      </w:r>
      <w:r w:rsidR="009A234C">
        <w:t xml:space="preserve">  After it had been drafted, I met again with my committee and much to my relief my supervisor suggested </w:t>
      </w:r>
      <w:r w:rsidR="006507C3">
        <w:t xml:space="preserve">that </w:t>
      </w:r>
      <w:r w:rsidR="009A234C">
        <w:t xml:space="preserve">I focus </w:t>
      </w:r>
      <w:r w:rsidR="00162381">
        <w:t xml:space="preserve">solely </w:t>
      </w:r>
      <w:r w:rsidR="009A234C">
        <w:t xml:space="preserve">on </w:t>
      </w:r>
      <w:proofErr w:type="spellStart"/>
      <w:r w:rsidR="009A234C">
        <w:rPr>
          <w:i/>
        </w:rPr>
        <w:t>Folbigg</w:t>
      </w:r>
      <w:proofErr w:type="spellEnd"/>
      <w:r w:rsidR="009A234C">
        <w:t xml:space="preserve"> going forward.  Six years later, the ‘progression’ of my PhD dissertation from nine cases in three jurisdictions, to three cases in one jurisdiction, to focusing on a single </w:t>
      </w:r>
      <w:r w:rsidR="008244DE">
        <w:t>trial</w:t>
      </w:r>
      <w:r w:rsidR="009A234C">
        <w:t xml:space="preserve"> is a subject of amusement </w:t>
      </w:r>
      <w:r w:rsidR="006507C3">
        <w:t>among</w:t>
      </w:r>
      <w:r w:rsidR="009A234C">
        <w:t xml:space="preserve"> my committee – but at the time, it felt like an enormous gamble to write about ‘only one case’.  </w:t>
      </w:r>
    </w:p>
    <w:p w:rsidR="00162381" w:rsidRDefault="00017DCF" w:rsidP="00A75843">
      <w:pPr>
        <w:spacing w:line="276" w:lineRule="auto"/>
      </w:pPr>
      <w:r>
        <w:t xml:space="preserve">Another thing </w:t>
      </w:r>
      <w:r w:rsidR="00A8538F">
        <w:t xml:space="preserve">I hadn’t </w:t>
      </w:r>
      <w:r w:rsidR="00A36592">
        <w:t>anticipated</w:t>
      </w:r>
      <w:r w:rsidR="00A8538F">
        <w:t xml:space="preserve"> </w:t>
      </w:r>
      <w:r>
        <w:t xml:space="preserve">when I began the project was </w:t>
      </w:r>
      <w:r w:rsidR="00A8538F">
        <w:t xml:space="preserve">that it might take me deep into the published </w:t>
      </w:r>
      <w:r w:rsidR="006507C3">
        <w:t xml:space="preserve">medical literature. </w:t>
      </w:r>
      <w:r w:rsidR="00386FD5">
        <w:t xml:space="preserve"> However it became apparent from early revie</w:t>
      </w:r>
      <w:r w:rsidR="00C62365">
        <w:t xml:space="preserve">ws of the </w:t>
      </w:r>
      <w:r w:rsidR="0072131F">
        <w:t>expert</w:t>
      </w:r>
      <w:r w:rsidR="00C62365">
        <w:t xml:space="preserve"> testimony that it</w:t>
      </w:r>
      <w:r w:rsidR="00386FD5">
        <w:t xml:space="preserve"> would </w:t>
      </w:r>
      <w:r w:rsidR="00C62365">
        <w:t>be helpful</w:t>
      </w:r>
      <w:r w:rsidR="00386FD5">
        <w:t xml:space="preserve"> to read the cited material.  This led me to wonder how that material fit</w:t>
      </w:r>
      <w:r w:rsidR="00162381">
        <w:t>ted</w:t>
      </w:r>
      <w:r w:rsidR="00386FD5">
        <w:t xml:space="preserve"> with a broader field</w:t>
      </w:r>
      <w:r w:rsidR="00817D69">
        <w:t xml:space="preserve"> of medical research and</w:t>
      </w:r>
      <w:r w:rsidR="00386FD5">
        <w:t xml:space="preserve"> ultimately </w:t>
      </w:r>
      <w:r w:rsidR="00C62365">
        <w:t>I read everything I could find</w:t>
      </w:r>
      <w:r w:rsidR="008244DE">
        <w:t xml:space="preserve"> about the relationship between SIDS and homicide</w:t>
      </w:r>
      <w:r w:rsidR="00C62365">
        <w:t xml:space="preserve">.  </w:t>
      </w:r>
      <w:r w:rsidR="006507C3">
        <w:t>R</w:t>
      </w:r>
      <w:r w:rsidR="00A8538F">
        <w:t>eviewing this literature, seeking to understand individual conclusions</w:t>
      </w:r>
      <w:r>
        <w:t>, the limits of those conclusions</w:t>
      </w:r>
      <w:r w:rsidR="00A8538F">
        <w:t xml:space="preserve"> and the intellectual genealogy </w:t>
      </w:r>
      <w:r>
        <w:t>of</w:t>
      </w:r>
      <w:r w:rsidR="00A8538F">
        <w:t xml:space="preserve"> a body of work as a whole, took </w:t>
      </w:r>
      <w:r>
        <w:t xml:space="preserve">months and required me to develop a somewhat different set of skills from those I </w:t>
      </w:r>
      <w:r w:rsidR="004B67E2">
        <w:t xml:space="preserve">had so far </w:t>
      </w:r>
      <w:r>
        <w:t>used to a</w:t>
      </w:r>
      <w:r w:rsidR="005D1122">
        <w:t>nalyz</w:t>
      </w:r>
      <w:r>
        <w:t>e the court record</w:t>
      </w:r>
      <w:r w:rsidR="00A8538F">
        <w:t xml:space="preserve">.  </w:t>
      </w:r>
      <w:r>
        <w:t xml:space="preserve">I was fortunate to find Sheila </w:t>
      </w:r>
      <w:proofErr w:type="spellStart"/>
      <w:r>
        <w:t>Jasanoff’s</w:t>
      </w:r>
      <w:proofErr w:type="spellEnd"/>
      <w:r>
        <w:t xml:space="preserve"> work</w:t>
      </w:r>
      <w:r w:rsidR="001E0B08">
        <w:rPr>
          <w:rStyle w:val="FootnoteReference"/>
        </w:rPr>
        <w:footnoteReference w:id="19"/>
      </w:r>
      <w:r>
        <w:t xml:space="preserve"> and that of Gary Edmond</w:t>
      </w:r>
      <w:r w:rsidR="001E0B08">
        <w:rPr>
          <w:rStyle w:val="FootnoteReference"/>
        </w:rPr>
        <w:footnoteReference w:id="20"/>
      </w:r>
      <w:r>
        <w:t xml:space="preserve"> early in my research, as their (</w:t>
      </w:r>
      <w:r w:rsidR="005D1122">
        <w:t>slightly different) conceptualiz</w:t>
      </w:r>
      <w:r>
        <w:t xml:space="preserve">ations </w:t>
      </w:r>
      <w:r w:rsidR="008244DE">
        <w:t>of the relationships between legal</w:t>
      </w:r>
      <w:r>
        <w:t xml:space="preserve"> and expert </w:t>
      </w:r>
      <w:proofErr w:type="spellStart"/>
      <w:r>
        <w:t>knowledges</w:t>
      </w:r>
      <w:proofErr w:type="spellEnd"/>
      <w:r>
        <w:t xml:space="preserve"> became the theoretica</w:t>
      </w:r>
      <w:r w:rsidR="004B67E2">
        <w:t xml:space="preserve">l scaffolding that </w:t>
      </w:r>
      <w:r w:rsidR="00AE3DD4">
        <w:t>structured</w:t>
      </w:r>
      <w:r w:rsidR="004B67E2">
        <w:t xml:space="preserve"> my approach to both the medical literature and the </w:t>
      </w:r>
      <w:r w:rsidR="006365CD">
        <w:lastRenderedPageBreak/>
        <w:t xml:space="preserve">expert witnesses’ work in </w:t>
      </w:r>
      <w:proofErr w:type="spellStart"/>
      <w:r w:rsidR="006365CD">
        <w:rPr>
          <w:i/>
        </w:rPr>
        <w:t>Folbigg</w:t>
      </w:r>
      <w:proofErr w:type="spellEnd"/>
      <w:r w:rsidR="006365CD">
        <w:t>.</w:t>
      </w:r>
      <w:r w:rsidR="001E0B08">
        <w:t xml:space="preserve">  Edmond’s early work on expert testimony offered a model for careful analysis of the claims and discursive contests within expert</w:t>
      </w:r>
      <w:r w:rsidR="00C62365">
        <w:t>s’</w:t>
      </w:r>
      <w:r w:rsidR="001E0B08">
        <w:t xml:space="preserve"> work</w:t>
      </w:r>
      <w:r w:rsidR="00C62365">
        <w:t xml:space="preserve"> in court</w:t>
      </w:r>
      <w:r w:rsidR="001E0B08">
        <w:t>.</w:t>
      </w:r>
      <w:bookmarkStart w:id="2" w:name="_Ref236216397"/>
      <w:r w:rsidR="001E0B08">
        <w:rPr>
          <w:rStyle w:val="FootnoteReference"/>
        </w:rPr>
        <w:footnoteReference w:id="21"/>
      </w:r>
      <w:bookmarkEnd w:id="2"/>
      <w:r w:rsidR="001E0B08">
        <w:t xml:space="preserve">  </w:t>
      </w:r>
      <w:r w:rsidR="006365CD">
        <w:t>Linking that literature to Smith’s idea that institutional knowledge circulates through texts and is activated by the work of people</w:t>
      </w:r>
      <w:r w:rsidR="0072131F">
        <w:rPr>
          <w:rStyle w:val="FootnoteReference"/>
        </w:rPr>
        <w:footnoteReference w:id="22"/>
      </w:r>
      <w:r w:rsidR="006365CD">
        <w:t xml:space="preserve"> gave me a sense that it might prove </w:t>
      </w:r>
      <w:r w:rsidR="00C62365">
        <w:t>fruitful</w:t>
      </w:r>
      <w:r w:rsidR="006365CD">
        <w:t xml:space="preserve"> to </w:t>
      </w:r>
      <w:r w:rsidR="00C62365">
        <w:t>trace</w:t>
      </w:r>
      <w:r w:rsidR="006365CD">
        <w:t xml:space="preserve"> the connections and interruptions between </w:t>
      </w:r>
      <w:r w:rsidR="005A0A1C">
        <w:t xml:space="preserve">published </w:t>
      </w:r>
      <w:r w:rsidR="006365CD">
        <w:t>medical research, ex</w:t>
      </w:r>
      <w:r w:rsidR="001E0B08">
        <w:t xml:space="preserve">pert reports and testimony.  </w:t>
      </w:r>
    </w:p>
    <w:p w:rsidR="00124664" w:rsidRPr="006365CD" w:rsidRDefault="001E0B08" w:rsidP="00A75843">
      <w:pPr>
        <w:spacing w:line="276" w:lineRule="auto"/>
      </w:pPr>
      <w:r>
        <w:t>This</w:t>
      </w:r>
      <w:r w:rsidR="00AE3DD4">
        <w:t xml:space="preserve"> combination of methodological choice and theoretical approach</w:t>
      </w:r>
      <w:r w:rsidR="006365CD">
        <w:t xml:space="preserve"> </w:t>
      </w:r>
      <w:r w:rsidR="00C62365">
        <w:t>informed</w:t>
      </w:r>
      <w:r w:rsidR="006365CD">
        <w:t xml:space="preserve"> my conclusions in </w:t>
      </w:r>
      <w:r w:rsidR="006365CD">
        <w:rPr>
          <w:i/>
        </w:rPr>
        <w:t>Murder, Medicine and Motherhood</w:t>
      </w:r>
      <w:r w:rsidR="006365CD">
        <w:t xml:space="preserve"> and </w:t>
      </w:r>
      <w:r w:rsidR="00C62365">
        <w:t xml:space="preserve">ultimately led </w:t>
      </w:r>
      <w:r w:rsidR="006365CD">
        <w:t xml:space="preserve">particularly </w:t>
      </w:r>
      <w:r w:rsidR="00C62365">
        <w:t xml:space="preserve">to </w:t>
      </w:r>
      <w:r w:rsidR="006365CD">
        <w:t xml:space="preserve">the recommendations I have made for managing expert evidence.  I am </w:t>
      </w:r>
      <w:r w:rsidR="00BC03CC">
        <w:t>heartened</w:t>
      </w:r>
      <w:r w:rsidR="006365CD">
        <w:t xml:space="preserve"> that San Roque finds these suggestions pragmatic and </w:t>
      </w:r>
      <w:r>
        <w:t>capable of ready implementation</w:t>
      </w:r>
      <w:r w:rsidR="006365CD">
        <w:t xml:space="preserve"> </w:t>
      </w:r>
      <w:r>
        <w:t>even as I am conscious that, req</w:t>
      </w:r>
      <w:r w:rsidR="00991D6D">
        <w:t>uiring courts to re-conceptualiz</w:t>
      </w:r>
      <w:r>
        <w:t>e expert knowledge, they are unlikely to be fully embraced</w:t>
      </w:r>
      <w:r w:rsidR="00E65B0E">
        <w:t xml:space="preserve"> in the near future</w:t>
      </w:r>
      <w:r>
        <w:t xml:space="preserve">.  </w:t>
      </w:r>
      <w:r w:rsidR="00162381">
        <w:t xml:space="preserve">Nonetheless, I think the concept of double counting – the idea that courts should be attentive to the possibility that expert opinions are informed by the </w:t>
      </w:r>
      <w:r w:rsidR="00330270">
        <w:t>very</w:t>
      </w:r>
      <w:r w:rsidR="00162381">
        <w:t xml:space="preserve"> adverse </w:t>
      </w:r>
      <w:proofErr w:type="spellStart"/>
      <w:r w:rsidR="00162381">
        <w:t>behavioural</w:t>
      </w:r>
      <w:proofErr w:type="spellEnd"/>
      <w:r w:rsidR="00162381">
        <w:t xml:space="preserve"> evidence</w:t>
      </w:r>
      <w:r w:rsidR="00330270">
        <w:t xml:space="preserve"> and implicit prejudice</w:t>
      </w:r>
      <w:r w:rsidR="00162381">
        <w:t xml:space="preserve"> </w:t>
      </w:r>
      <w:r w:rsidR="00330270">
        <w:t>that</w:t>
      </w:r>
      <w:r w:rsidR="00162381">
        <w:t xml:space="preserve"> is often relied upon by triers of fact to ‘validate’ those opinions – is an important one, and I </w:t>
      </w:r>
      <w:r w:rsidR="005A0A1C">
        <w:t>will</w:t>
      </w:r>
      <w:r w:rsidR="00162381">
        <w:t xml:space="preserve"> explore it further in future work.</w:t>
      </w:r>
    </w:p>
    <w:p w:rsidR="006365CD" w:rsidRDefault="006365CD" w:rsidP="006365CD">
      <w:pPr>
        <w:spacing w:line="276" w:lineRule="auto"/>
      </w:pPr>
      <w:r>
        <w:t xml:space="preserve">I make a point of relating </w:t>
      </w:r>
      <w:r w:rsidR="006507C3">
        <w:t>the</w:t>
      </w:r>
      <w:r>
        <w:t xml:space="preserve"> </w:t>
      </w:r>
      <w:r w:rsidR="006507C3">
        <w:t>‘backstory’ to my doctoral work</w:t>
      </w:r>
      <w:r>
        <w:t xml:space="preserve"> each year to the graduate students I teach in my methodologies class, because </w:t>
      </w:r>
      <w:r w:rsidR="00E65B0E">
        <w:t>I think i</w:t>
      </w:r>
      <w:r w:rsidR="00C62365">
        <w:t>t</w:t>
      </w:r>
      <w:r w:rsidR="00E65B0E">
        <w:t xml:space="preserve"> illustrates</w:t>
      </w:r>
      <w:r>
        <w:t xml:space="preserve"> the ways in which research projects are shaped by accidents and opportunities.  I make a point of tellin</w:t>
      </w:r>
      <w:r w:rsidR="00AE3DD4">
        <w:t>g the story here because Darian-</w:t>
      </w:r>
      <w:r>
        <w:t xml:space="preserve">Smith has praised my methodological approach for its range and for the way in which it is integrated with my theoretical lens.  The methodological challenges presented by this project seemed immense at times, and if I have succeeded in meeting those challenges, it is at least partly because I had a supervisory committee – Susan B. Boyd, Wesley Pue, Christine Boyle and Dorothy </w:t>
      </w:r>
      <w:proofErr w:type="spellStart"/>
      <w:r>
        <w:t>Chunn</w:t>
      </w:r>
      <w:proofErr w:type="spellEnd"/>
      <w:r>
        <w:t xml:space="preserve"> – who encouraged me to be flexible and creative in my approach</w:t>
      </w:r>
      <w:r w:rsidR="006507C3">
        <w:t xml:space="preserve">, and to persevere </w:t>
      </w:r>
      <w:r w:rsidR="00C62365">
        <w:t xml:space="preserve">with empirical work </w:t>
      </w:r>
      <w:r w:rsidR="006507C3">
        <w:t>in the face of unexpected difficulties</w:t>
      </w:r>
      <w:r>
        <w:t>.  I am very grateful to them for the trust they placed in me as I found a way through it all.</w:t>
      </w:r>
    </w:p>
    <w:p w:rsidR="004D592E" w:rsidRDefault="004D592E" w:rsidP="006365CD">
      <w:pPr>
        <w:spacing w:line="276" w:lineRule="auto"/>
        <w:rPr>
          <w:b/>
        </w:rPr>
      </w:pPr>
    </w:p>
    <w:p w:rsidR="004D592E" w:rsidRPr="004D592E" w:rsidRDefault="004D592E" w:rsidP="006365CD">
      <w:pPr>
        <w:spacing w:line="276" w:lineRule="auto"/>
        <w:rPr>
          <w:b/>
        </w:rPr>
      </w:pPr>
      <w:r>
        <w:rPr>
          <w:b/>
        </w:rPr>
        <w:t xml:space="preserve">Transitions:  </w:t>
      </w:r>
      <w:r w:rsidR="00FE752A">
        <w:rPr>
          <w:b/>
        </w:rPr>
        <w:t>From academic work to media engagement</w:t>
      </w:r>
    </w:p>
    <w:p w:rsidR="006365CD" w:rsidRDefault="004D592E" w:rsidP="00A75843">
      <w:pPr>
        <w:spacing w:line="276" w:lineRule="auto"/>
      </w:pPr>
      <w:r>
        <w:t xml:space="preserve">As I was preparing the book for </w:t>
      </w:r>
      <w:r w:rsidR="00E7472E">
        <w:t xml:space="preserve">final </w:t>
      </w:r>
      <w:r w:rsidR="00716B3F">
        <w:t>publication, I faced two</w:t>
      </w:r>
      <w:r>
        <w:t xml:space="preserve"> decision</w:t>
      </w:r>
      <w:r w:rsidR="00716B3F">
        <w:t>s</w:t>
      </w:r>
      <w:r w:rsidR="00E7472E">
        <w:t xml:space="preserve"> that I found difficult</w:t>
      </w:r>
      <w:r w:rsidR="00716B3F">
        <w:t>.  First, h</w:t>
      </w:r>
      <w:r>
        <w:t xml:space="preserve">ow bluntly would I state my conclusion that Kathleen </w:t>
      </w:r>
      <w:proofErr w:type="spellStart"/>
      <w:r>
        <w:t>Folbigg</w:t>
      </w:r>
      <w:proofErr w:type="spellEnd"/>
      <w:r>
        <w:t xml:space="preserve"> had been wrongly convicted?  </w:t>
      </w:r>
      <w:r w:rsidR="00716B3F">
        <w:t>Secondly, what steps could</w:t>
      </w:r>
      <w:r w:rsidR="00A355A4">
        <w:t xml:space="preserve"> and should</w:t>
      </w:r>
      <w:r w:rsidR="00716B3F">
        <w:t xml:space="preserve"> I take to </w:t>
      </w:r>
      <w:r w:rsidR="00A355A4">
        <w:t xml:space="preserve">draw attention to my </w:t>
      </w:r>
      <w:r w:rsidR="00A355A4">
        <w:lastRenderedPageBreak/>
        <w:t>conclusions</w:t>
      </w:r>
      <w:r w:rsidR="00716B3F">
        <w:t xml:space="preserve">?  </w:t>
      </w:r>
      <w:r>
        <w:t xml:space="preserve">As I have </w:t>
      </w:r>
      <w:r w:rsidR="00E65B0E">
        <w:t xml:space="preserve">already </w:t>
      </w:r>
      <w:r>
        <w:t xml:space="preserve">identified, </w:t>
      </w:r>
      <w:proofErr w:type="spellStart"/>
      <w:r>
        <w:t>Folbigg’s</w:t>
      </w:r>
      <w:proofErr w:type="spellEnd"/>
      <w:r>
        <w:t xml:space="preserve"> trial </w:t>
      </w:r>
      <w:r w:rsidR="00330270">
        <w:t>seemed</w:t>
      </w:r>
      <w:r>
        <w:t xml:space="preserve"> in certain respects better managed than many of the trials that were approximately contemporaneous with it.  The trial judge did not permit expert medical witnesses to testify </w:t>
      </w:r>
      <w:r w:rsidR="00FE752A">
        <w:t xml:space="preserve">directly </w:t>
      </w:r>
      <w:r w:rsidR="00B86746">
        <w:t xml:space="preserve">to the dogma </w:t>
      </w:r>
      <w:r>
        <w:t xml:space="preserve">that the presence of multiple deaths in a given family </w:t>
      </w:r>
      <w:r w:rsidR="00FE752A">
        <w:t>suggested</w:t>
      </w:r>
      <w:r>
        <w:t xml:space="preserve"> murder, reasoning that this opinion was based on common sense rather than expertise.</w:t>
      </w:r>
      <w:r>
        <w:rPr>
          <w:rStyle w:val="FootnoteReference"/>
        </w:rPr>
        <w:footnoteReference w:id="23"/>
      </w:r>
      <w:r>
        <w:t xml:space="preserve">  </w:t>
      </w:r>
      <w:r w:rsidR="00FD4454">
        <w:t>Nonetheless</w:t>
      </w:r>
      <w:r w:rsidR="00FE752A">
        <w:t>, I found that this</w:t>
      </w:r>
      <w:r>
        <w:t xml:space="preserve"> </w:t>
      </w:r>
      <w:r w:rsidR="00FE752A">
        <w:t>logic</w:t>
      </w:r>
      <w:r>
        <w:t xml:space="preserve"> entered the trial in invidious ways, some of which made </w:t>
      </w:r>
      <w:r w:rsidR="00E65B0E">
        <w:t>this reasoning</w:t>
      </w:r>
      <w:r>
        <w:t xml:space="preserve"> more difficult for the </w:t>
      </w:r>
      <w:proofErr w:type="spellStart"/>
      <w:r>
        <w:t>defence</w:t>
      </w:r>
      <w:proofErr w:type="spellEnd"/>
      <w:r>
        <w:t xml:space="preserve"> to contest than might have been the case if the opinion had simply been directly attested to.</w:t>
      </w:r>
      <w:r>
        <w:rPr>
          <w:rStyle w:val="FootnoteReference"/>
        </w:rPr>
        <w:footnoteReference w:id="24"/>
      </w:r>
      <w:r>
        <w:t xml:space="preserve">  </w:t>
      </w:r>
      <w:r w:rsidR="00FD4454">
        <w:t>T</w:t>
      </w:r>
      <w:r>
        <w:t>here were</w:t>
      </w:r>
      <w:r w:rsidR="00FE752A">
        <w:t>, additionally,</w:t>
      </w:r>
      <w:r>
        <w:t xml:space="preserve"> strong hints that some of the experts were influenced by Kathleen </w:t>
      </w:r>
      <w:proofErr w:type="spellStart"/>
      <w:r>
        <w:t>Folbigg’s</w:t>
      </w:r>
      <w:proofErr w:type="spellEnd"/>
      <w:r>
        <w:t xml:space="preserve"> diaries and perhaps by other </w:t>
      </w:r>
      <w:proofErr w:type="spellStart"/>
      <w:r>
        <w:t>inculpatory</w:t>
      </w:r>
      <w:proofErr w:type="spellEnd"/>
      <w:r>
        <w:t xml:space="preserve"> evidence when they testified about cause of death in individual children.  </w:t>
      </w:r>
      <w:r w:rsidR="00FD4454">
        <w:t xml:space="preserve">Craig </w:t>
      </w:r>
      <w:proofErr w:type="spellStart"/>
      <w:r w:rsidR="00FD4454">
        <w:t>Folbigg</w:t>
      </w:r>
      <w:proofErr w:type="spellEnd"/>
      <w:r w:rsidR="00FD4454">
        <w:t>, Kathleen’s estranged husband, likewise changed his testimony in a way that was considerably more damning than his previous statement</w:t>
      </w:r>
      <w:r w:rsidR="00B2027E">
        <w:t>s</w:t>
      </w:r>
      <w:r w:rsidR="00FD4454">
        <w:t xml:space="preserve"> to police and Crown.  The diaries were used by the Crown prosecutor in a manner that could well have left the jury uncertain about what Kathleen </w:t>
      </w:r>
      <w:proofErr w:type="spellStart"/>
      <w:r w:rsidR="00FD4454">
        <w:t>Folbigg</w:t>
      </w:r>
      <w:proofErr w:type="spellEnd"/>
      <w:r w:rsidR="00FD4454">
        <w:t xml:space="preserve"> wrote, and how </w:t>
      </w:r>
      <w:proofErr w:type="spellStart"/>
      <w:r w:rsidR="00FD4454">
        <w:t>Tedeschi</w:t>
      </w:r>
      <w:proofErr w:type="spellEnd"/>
      <w:r w:rsidR="00FD4454">
        <w:t xml:space="preserve"> </w:t>
      </w:r>
      <w:r w:rsidR="00991D6D">
        <w:t xml:space="preserve">(the prosecutor) </w:t>
      </w:r>
      <w:r w:rsidR="00FD4454">
        <w:t xml:space="preserve">interpreted those entries.  All of these </w:t>
      </w:r>
      <w:r w:rsidR="00E65B0E">
        <w:t>strategies</w:t>
      </w:r>
      <w:r w:rsidR="00FD4454">
        <w:t xml:space="preserve"> were troubling, and each proved difficult for the </w:t>
      </w:r>
      <w:proofErr w:type="spellStart"/>
      <w:r w:rsidR="00FD4454">
        <w:t>defence</w:t>
      </w:r>
      <w:proofErr w:type="spellEnd"/>
      <w:r w:rsidR="00FD4454">
        <w:t xml:space="preserve"> to counter at trial.  </w:t>
      </w:r>
    </w:p>
    <w:p w:rsidR="00E7472E" w:rsidRDefault="00FD4454" w:rsidP="00A75843">
      <w:pPr>
        <w:spacing w:line="276" w:lineRule="auto"/>
      </w:pPr>
      <w:r>
        <w:t xml:space="preserve">While recognizing that this was a difficult case to defend, I was also somewhat critical of some of the choices that had been made by </w:t>
      </w:r>
      <w:proofErr w:type="spellStart"/>
      <w:r>
        <w:t>Folbigg’s</w:t>
      </w:r>
      <w:proofErr w:type="spellEnd"/>
      <w:r>
        <w:t xml:space="preserve"> </w:t>
      </w:r>
      <w:proofErr w:type="spellStart"/>
      <w:r>
        <w:t>defence</w:t>
      </w:r>
      <w:proofErr w:type="spellEnd"/>
      <w:r w:rsidR="00E65B0E">
        <w:t xml:space="preserve"> team</w:t>
      </w:r>
      <w:r>
        <w:t xml:space="preserve"> at trial.  Most particularly, when the Crown suggested that the jury could use </w:t>
      </w:r>
      <w:proofErr w:type="spellStart"/>
      <w:r>
        <w:t>Folbigg’s</w:t>
      </w:r>
      <w:proofErr w:type="spellEnd"/>
      <w:r>
        <w:t xml:space="preserve"> interest in physical fitness, or </w:t>
      </w:r>
      <w:r w:rsidR="00E65B0E">
        <w:t>her evenings out with friends</w:t>
      </w:r>
      <w:r>
        <w:t xml:space="preserve">, or her occasional desire to work outside the home, </w:t>
      </w:r>
      <w:r w:rsidR="00E7472E">
        <w:t xml:space="preserve">or her frustration at Craig’s refusal to help with household chores </w:t>
      </w:r>
      <w:r>
        <w:t xml:space="preserve">to discern a possible motive for her to kill her children, the </w:t>
      </w:r>
      <w:proofErr w:type="spellStart"/>
      <w:r>
        <w:t>defence</w:t>
      </w:r>
      <w:proofErr w:type="spellEnd"/>
      <w:r>
        <w:t xml:space="preserve"> </w:t>
      </w:r>
      <w:r w:rsidR="00FB5531">
        <w:t>responded by suggesting</w:t>
      </w:r>
      <w:r>
        <w:t xml:space="preserve"> that these hadn’t been </w:t>
      </w:r>
      <w:proofErr w:type="spellStart"/>
      <w:r>
        <w:t>Folbigg’s</w:t>
      </w:r>
      <w:proofErr w:type="spellEnd"/>
      <w:r>
        <w:t xml:space="preserve"> true desires at all</w:t>
      </w:r>
      <w:r w:rsidR="00FB5531">
        <w:t>.  As a feminist (frankly, as a</w:t>
      </w:r>
      <w:r w:rsidR="00E7472E">
        <w:t>n</w:t>
      </w:r>
      <w:r w:rsidR="00FB5531">
        <w:t xml:space="preserve"> adult</w:t>
      </w:r>
      <w:r w:rsidR="00E7472E">
        <w:t xml:space="preserve"> </w:t>
      </w:r>
      <w:r w:rsidR="00AF2F20">
        <w:t>woman</w:t>
      </w:r>
      <w:r w:rsidR="00FB5531">
        <w:t xml:space="preserve"> living in </w:t>
      </w:r>
      <w:r w:rsidR="00330270">
        <w:t>an OECD country</w:t>
      </w:r>
      <w:r w:rsidR="00FB5531">
        <w:t>)</w:t>
      </w:r>
      <w:r w:rsidR="00ED22D0">
        <w:t>,</w:t>
      </w:r>
      <w:r w:rsidR="00FB5531">
        <w:t xml:space="preserve"> it seemed astonishing</w:t>
      </w:r>
      <w:r w:rsidR="00ED22D0">
        <w:t xml:space="preserve"> to me</w:t>
      </w:r>
      <w:r w:rsidR="00FB5531">
        <w:t xml:space="preserve"> that the </w:t>
      </w:r>
      <w:proofErr w:type="spellStart"/>
      <w:r w:rsidR="00FB5531">
        <w:t>defence</w:t>
      </w:r>
      <w:proofErr w:type="spellEnd"/>
      <w:r w:rsidR="00FB5531">
        <w:t xml:space="preserve"> had not </w:t>
      </w:r>
      <w:r w:rsidR="00FE752A">
        <w:t xml:space="preserve">also </w:t>
      </w:r>
      <w:r w:rsidR="00FB5531">
        <w:t xml:space="preserve">challenged the Crown’s </w:t>
      </w:r>
      <w:r w:rsidR="00FE752A">
        <w:t>reasoning</w:t>
      </w:r>
      <w:r w:rsidR="00FB5531">
        <w:t xml:space="preserve">.  </w:t>
      </w:r>
    </w:p>
    <w:p w:rsidR="003C2675" w:rsidRDefault="00FB5531" w:rsidP="00A75843">
      <w:pPr>
        <w:spacing w:line="276" w:lineRule="auto"/>
      </w:pPr>
      <w:r>
        <w:t xml:space="preserve">The notion that a </w:t>
      </w:r>
      <w:r w:rsidR="00FE752A">
        <w:t xml:space="preserve">reason to murder </w:t>
      </w:r>
      <w:r w:rsidR="007F5D5C">
        <w:t xml:space="preserve">one’s children </w:t>
      </w:r>
      <w:r w:rsidR="00FE752A">
        <w:t xml:space="preserve">can be discerned from a </w:t>
      </w:r>
      <w:r>
        <w:t xml:space="preserve">desire to be fit, a concern about whether her husband </w:t>
      </w:r>
      <w:r w:rsidR="00ED22D0">
        <w:t xml:space="preserve">would </w:t>
      </w:r>
      <w:r w:rsidR="00FE752A">
        <w:t>find her attractive</w:t>
      </w:r>
      <w:r w:rsidR="00ED22D0">
        <w:t xml:space="preserve"> when</w:t>
      </w:r>
      <w:r>
        <w:t xml:space="preserve"> she </w:t>
      </w:r>
      <w:r w:rsidR="00ED22D0">
        <w:t>felt</w:t>
      </w:r>
      <w:r>
        <w:t xml:space="preserve"> </w:t>
      </w:r>
      <w:r w:rsidR="00FE752A">
        <w:t>overweight</w:t>
      </w:r>
      <w:r>
        <w:t xml:space="preserve">, </w:t>
      </w:r>
      <w:r w:rsidR="00E7472E">
        <w:t xml:space="preserve">a wish to share household work more equally </w:t>
      </w:r>
      <w:r>
        <w:t>or a desire to have her own money and to help secure the financial stability of her family seems absurd when decontextualized from its application to a woman who was already suspect by virtue of having lost four children and being charged with their murder.</w:t>
      </w:r>
      <w:r w:rsidR="00E7472E">
        <w:t xml:space="preserve"> </w:t>
      </w:r>
      <w:r>
        <w:t xml:space="preserve"> </w:t>
      </w:r>
      <w:r w:rsidR="00E7472E">
        <w:t xml:space="preserve">The apparent salience of these (contested) facts demonstrates the importance of framing – they mattered </w:t>
      </w:r>
      <w:r w:rsidR="00E7472E">
        <w:rPr>
          <w:i/>
        </w:rPr>
        <w:t>because</w:t>
      </w:r>
      <w:r w:rsidR="00E7472E">
        <w:t xml:space="preserve"> </w:t>
      </w:r>
      <w:proofErr w:type="spellStart"/>
      <w:r w:rsidR="00E7472E">
        <w:t>Folbigg</w:t>
      </w:r>
      <w:proofErr w:type="spellEnd"/>
      <w:r w:rsidR="00E7472E">
        <w:t xml:space="preserve"> had lost her children and </w:t>
      </w:r>
      <w:r w:rsidR="00E7472E">
        <w:rPr>
          <w:i/>
        </w:rPr>
        <w:t>because</w:t>
      </w:r>
      <w:r w:rsidR="00E7472E">
        <w:t xml:space="preserve"> she was charged with murder.  The possibility that this </w:t>
      </w:r>
      <w:r w:rsidR="003C2675">
        <w:t xml:space="preserve">reasoning </w:t>
      </w:r>
      <w:r w:rsidR="00E7472E">
        <w:t xml:space="preserve">might put the cart before the horse was </w:t>
      </w:r>
      <w:r w:rsidR="007F5D5C">
        <w:t>never</w:t>
      </w:r>
      <w:r w:rsidR="00E7472E">
        <w:t xml:space="preserve"> adequately addressed</w:t>
      </w:r>
      <w:r w:rsidR="00E65B0E">
        <w:t xml:space="preserve"> at trial</w:t>
      </w:r>
      <w:r w:rsidR="00E7472E">
        <w:t>.  Rather, i</w:t>
      </w:r>
      <w:r>
        <w:t>n the context of th</w:t>
      </w:r>
      <w:r w:rsidR="007F5D5C">
        <w:t>e trial, the bizarreness of the Crown’s</w:t>
      </w:r>
      <w:r>
        <w:t xml:space="preserve"> logic went largely unchallenged</w:t>
      </w:r>
      <w:r w:rsidR="007F5D5C">
        <w:t xml:space="preserve"> and </w:t>
      </w:r>
      <w:r w:rsidR="007F5D5C">
        <w:lastRenderedPageBreak/>
        <w:t>the logic was at times actively su</w:t>
      </w:r>
      <w:r w:rsidR="00E65B0E">
        <w:t xml:space="preserve">pported by the </w:t>
      </w:r>
      <w:proofErr w:type="spellStart"/>
      <w:r w:rsidR="00E65B0E">
        <w:t>defence</w:t>
      </w:r>
      <w:proofErr w:type="spellEnd"/>
      <w:r w:rsidR="00E65B0E">
        <w:t xml:space="preserve"> strategy of accepting the category, but denying that </w:t>
      </w:r>
      <w:proofErr w:type="spellStart"/>
      <w:r w:rsidR="00E65B0E">
        <w:t>Folbigg</w:t>
      </w:r>
      <w:proofErr w:type="spellEnd"/>
      <w:r w:rsidR="00E65B0E">
        <w:t xml:space="preserve"> fit</w:t>
      </w:r>
      <w:r w:rsidR="000E2874">
        <w:t>ted</w:t>
      </w:r>
      <w:r w:rsidR="00E65B0E">
        <w:t xml:space="preserve"> within it</w:t>
      </w:r>
      <w:r>
        <w:t xml:space="preserve">.  </w:t>
      </w:r>
    </w:p>
    <w:p w:rsidR="00FD4454" w:rsidRPr="00E7472E" w:rsidRDefault="00700034" w:rsidP="00A75843">
      <w:pPr>
        <w:spacing w:line="276" w:lineRule="auto"/>
      </w:pPr>
      <w:r>
        <w:t>T</w:t>
      </w:r>
      <w:r w:rsidR="00FB5531">
        <w:t xml:space="preserve">he </w:t>
      </w:r>
      <w:proofErr w:type="spellStart"/>
      <w:r w:rsidR="00FB5531">
        <w:t>defence</w:t>
      </w:r>
      <w:proofErr w:type="spellEnd"/>
      <w:r w:rsidR="00FB5531">
        <w:t xml:space="preserve"> was </w:t>
      </w:r>
      <w:r>
        <w:t xml:space="preserve">undoubtedly </w:t>
      </w:r>
      <w:r w:rsidR="00FB5531">
        <w:t xml:space="preserve">surprised by Craig </w:t>
      </w:r>
      <w:proofErr w:type="spellStart"/>
      <w:r w:rsidR="00FB5531">
        <w:t>Folbigg</w:t>
      </w:r>
      <w:proofErr w:type="spellEnd"/>
      <w:r w:rsidR="00FB5531">
        <w:t xml:space="preserve"> and Lea </w:t>
      </w:r>
      <w:proofErr w:type="spellStart"/>
      <w:r w:rsidR="00FB5531">
        <w:t>Bown’s</w:t>
      </w:r>
      <w:proofErr w:type="spellEnd"/>
      <w:r w:rsidR="00A355A4">
        <w:rPr>
          <w:rStyle w:val="FootnoteReference"/>
        </w:rPr>
        <w:footnoteReference w:id="25"/>
      </w:r>
      <w:r w:rsidR="00FB5531">
        <w:t xml:space="preserve"> testimony that Kathleen had occasionally been rough with Laura.  This testimony was at odds with prior statements, and was cross-examined on that basis.  </w:t>
      </w:r>
      <w:r w:rsidR="00E7472E">
        <w:t>Again</w:t>
      </w:r>
      <w:r w:rsidR="00FB5531">
        <w:t xml:space="preserve">, </w:t>
      </w:r>
      <w:r>
        <w:t xml:space="preserve">however, </w:t>
      </w:r>
      <w:r w:rsidR="00FB5531">
        <w:t xml:space="preserve">the </w:t>
      </w:r>
      <w:proofErr w:type="spellStart"/>
      <w:r w:rsidR="00FB5531">
        <w:t>defence</w:t>
      </w:r>
      <w:proofErr w:type="spellEnd"/>
      <w:r w:rsidR="00FB5531">
        <w:t xml:space="preserve"> didn’t squarely challenge the proposition that murderous tendencies can be discerned from, for example, holding down a child’s hands </w:t>
      </w:r>
      <w:r w:rsidR="00E7472E">
        <w:t xml:space="preserve">in frustration </w:t>
      </w:r>
      <w:r w:rsidR="00FB5531">
        <w:t>when she resists eating her breakfast</w:t>
      </w:r>
      <w:r>
        <w:t xml:space="preserve"> – </w:t>
      </w:r>
      <w:r w:rsidR="00163AF5">
        <w:t>preferring</w:t>
      </w:r>
      <w:r>
        <w:t xml:space="preserve"> </w:t>
      </w:r>
      <w:r w:rsidR="00163AF5">
        <w:t>instead to deny that such incidents had occurred</w:t>
      </w:r>
      <w:r w:rsidR="00FB5531">
        <w:t xml:space="preserve">. </w:t>
      </w:r>
      <w:r w:rsidR="00ED22D0">
        <w:t xml:space="preserve"> L</w:t>
      </w:r>
      <w:r w:rsidR="00FB5531">
        <w:t xml:space="preserve">ike San Roque, I am </w:t>
      </w:r>
      <w:r w:rsidR="00B2027E">
        <w:t>perturbed by the apparent ease with which the NSW Department of Public Prosecutions has leveraged a particularly punitive – at times misogynistic – vision of contemporary womanhood in the service of convicting women for crimes that may never have occurred</w:t>
      </w:r>
      <w:r>
        <w:t xml:space="preserve">, and by the implications that these strategies may have for </w:t>
      </w:r>
      <w:r w:rsidR="00AF2F20">
        <w:t>every woma</w:t>
      </w:r>
      <w:r>
        <w:t>n who struggle</w:t>
      </w:r>
      <w:r w:rsidR="00AF2F20">
        <w:t>s</w:t>
      </w:r>
      <w:r>
        <w:t xml:space="preserve"> at times with the frustrations and loneliness of mothering</w:t>
      </w:r>
      <w:r w:rsidR="00B2027E">
        <w:t>.</w:t>
      </w:r>
      <w:r w:rsidR="00ED22D0">
        <w:t xml:space="preserve">  It also troubles me that </w:t>
      </w:r>
      <w:r w:rsidR="00E7472E">
        <w:t>these</w:t>
      </w:r>
      <w:r w:rsidR="00ED22D0">
        <w:t xml:space="preserve"> move</w:t>
      </w:r>
      <w:r w:rsidR="00E7472E">
        <w:t>s were</w:t>
      </w:r>
      <w:r w:rsidR="00ED22D0">
        <w:t xml:space="preserve"> not </w:t>
      </w:r>
      <w:r w:rsidR="00E7472E">
        <w:t>targeted</w:t>
      </w:r>
      <w:r w:rsidR="00ED22D0">
        <w:t xml:space="preserve">, and countered, </w:t>
      </w:r>
      <w:r w:rsidR="00163AF5">
        <w:t xml:space="preserve">by the </w:t>
      </w:r>
      <w:proofErr w:type="spellStart"/>
      <w:r w:rsidR="00163AF5">
        <w:t>defence</w:t>
      </w:r>
      <w:proofErr w:type="spellEnd"/>
      <w:r w:rsidR="00163AF5">
        <w:t xml:space="preserve"> </w:t>
      </w:r>
      <w:r w:rsidR="00ED22D0">
        <w:t>at trial.</w:t>
      </w:r>
      <w:r w:rsidR="00E7472E">
        <w:t xml:space="preserve">  Yet these moves are not unique to </w:t>
      </w:r>
      <w:proofErr w:type="spellStart"/>
      <w:r w:rsidR="00E7472E" w:rsidRPr="003C2675">
        <w:rPr>
          <w:i/>
        </w:rPr>
        <w:t>Folbigg</w:t>
      </w:r>
      <w:proofErr w:type="spellEnd"/>
      <w:r w:rsidR="00E7472E">
        <w:t xml:space="preserve">, nor even – as </w:t>
      </w:r>
      <w:r w:rsidR="00E7472E">
        <w:rPr>
          <w:i/>
        </w:rPr>
        <w:t xml:space="preserve">Clark </w:t>
      </w:r>
      <w:r w:rsidR="00E7472E">
        <w:t xml:space="preserve">and </w:t>
      </w:r>
      <w:proofErr w:type="spellStart"/>
      <w:r w:rsidR="00E7472E">
        <w:rPr>
          <w:i/>
        </w:rPr>
        <w:t>Cannings</w:t>
      </w:r>
      <w:proofErr w:type="spellEnd"/>
      <w:r w:rsidR="00E7472E">
        <w:t xml:space="preserve"> demonstrate – to NSW.</w:t>
      </w:r>
      <w:r w:rsidR="003C2675">
        <w:t xml:space="preserve">  I suspect that they are rarely countered </w:t>
      </w:r>
      <w:r>
        <w:t xml:space="preserve">in criminal courts </w:t>
      </w:r>
      <w:r w:rsidR="003C2675">
        <w:t>as strongly as they should be.</w:t>
      </w:r>
    </w:p>
    <w:p w:rsidR="00FB5531" w:rsidRDefault="00FB5531" w:rsidP="00A75843">
      <w:pPr>
        <w:spacing w:line="276" w:lineRule="auto"/>
      </w:pPr>
      <w:r>
        <w:t xml:space="preserve">There were </w:t>
      </w:r>
      <w:r w:rsidR="00B2027E">
        <w:t xml:space="preserve">also some positive indicia of factual innocence in Kathleen </w:t>
      </w:r>
      <w:proofErr w:type="spellStart"/>
      <w:r w:rsidR="00B2027E">
        <w:t>Folbigg’s</w:t>
      </w:r>
      <w:proofErr w:type="spellEnd"/>
      <w:r w:rsidR="00B2027E">
        <w:t xml:space="preserve"> case.  </w:t>
      </w:r>
      <w:r w:rsidR="00ED22D0">
        <w:t xml:space="preserve">In </w:t>
      </w:r>
      <w:proofErr w:type="spellStart"/>
      <w:r w:rsidR="00ED22D0">
        <w:rPr>
          <w:i/>
        </w:rPr>
        <w:t>Cannings</w:t>
      </w:r>
      <w:proofErr w:type="spellEnd"/>
      <w:r w:rsidR="00ED22D0">
        <w:t xml:space="preserve">, the English Court of Appeal made much of the fact that none of </w:t>
      </w:r>
      <w:proofErr w:type="spellStart"/>
      <w:r w:rsidR="00ED22D0">
        <w:t>Cannings</w:t>
      </w:r>
      <w:proofErr w:type="spellEnd"/>
      <w:r w:rsidR="00ED22D0">
        <w:t>’ children had any s</w:t>
      </w:r>
      <w:r w:rsidR="00403221">
        <w:t>igns of smothering on autopsy:</w:t>
      </w:r>
    </w:p>
    <w:p w:rsidR="00403221" w:rsidRPr="00403221" w:rsidRDefault="00403221" w:rsidP="00403221">
      <w:pPr>
        <w:spacing w:line="276" w:lineRule="auto"/>
        <w:ind w:left="567"/>
        <w:rPr>
          <w:sz w:val="22"/>
          <w:szCs w:val="22"/>
        </w:rPr>
      </w:pPr>
      <w:r w:rsidRPr="00403221">
        <w:rPr>
          <w:sz w:val="22"/>
          <w:szCs w:val="22"/>
        </w:rPr>
        <w:t xml:space="preserve">It is of course possible to smother a baby without leaving any physical signs discernible on medical examination or at post mortem. Nevertheless, given that all four children were said by the Crown to have been subjected to violence sufficient to cause death, the absence of any physical signs of injury was somewhat surprising. There was no fresh copious bleeding in the lungs of the dead children, and no </w:t>
      </w:r>
      <w:proofErr w:type="spellStart"/>
      <w:r w:rsidRPr="00403221">
        <w:rPr>
          <w:sz w:val="22"/>
          <w:szCs w:val="22"/>
        </w:rPr>
        <w:t>petechial</w:t>
      </w:r>
      <w:proofErr w:type="spellEnd"/>
      <w:r w:rsidRPr="00403221">
        <w:rPr>
          <w:sz w:val="22"/>
          <w:szCs w:val="22"/>
        </w:rPr>
        <w:t xml:space="preserve"> </w:t>
      </w:r>
      <w:proofErr w:type="spellStart"/>
      <w:r w:rsidRPr="00403221">
        <w:rPr>
          <w:sz w:val="22"/>
          <w:szCs w:val="22"/>
        </w:rPr>
        <w:t>haemorrhage</w:t>
      </w:r>
      <w:proofErr w:type="spellEnd"/>
      <w:r w:rsidRPr="00403221">
        <w:rPr>
          <w:sz w:val="22"/>
          <w:szCs w:val="22"/>
        </w:rPr>
        <w:t xml:space="preserve">. There were no pressure marks to show as reddening in the area of the mouth and nose, nor blood or bloodstained fluid in the nose. No bruises were discovered on the outer skin surface, or indeed subcutaneously. The </w:t>
      </w:r>
      <w:proofErr w:type="spellStart"/>
      <w:r w:rsidRPr="00403221">
        <w:rPr>
          <w:sz w:val="22"/>
          <w:szCs w:val="22"/>
        </w:rPr>
        <w:t>fraenulum</w:t>
      </w:r>
      <w:proofErr w:type="spellEnd"/>
      <w:r w:rsidRPr="00403221">
        <w:rPr>
          <w:sz w:val="22"/>
          <w:szCs w:val="22"/>
        </w:rPr>
        <w:t>, in each case, was undamaged.</w:t>
      </w:r>
      <w:r>
        <w:rPr>
          <w:rStyle w:val="FootnoteReference"/>
          <w:sz w:val="22"/>
          <w:szCs w:val="22"/>
        </w:rPr>
        <w:footnoteReference w:id="26"/>
      </w:r>
    </w:p>
    <w:p w:rsidR="00403221" w:rsidRDefault="00403221" w:rsidP="00A75843">
      <w:pPr>
        <w:spacing w:line="276" w:lineRule="auto"/>
      </w:pPr>
      <w:r>
        <w:t xml:space="preserve">The four </w:t>
      </w:r>
      <w:proofErr w:type="spellStart"/>
      <w:r>
        <w:t>Folbigg</w:t>
      </w:r>
      <w:proofErr w:type="spellEnd"/>
      <w:r>
        <w:t xml:space="preserve"> children were likewise free from all signs of foul play.  This was important in aggregate, </w:t>
      </w:r>
      <w:r w:rsidR="003C2675">
        <w:t>and</w:t>
      </w:r>
      <w:r>
        <w:t xml:space="preserve"> perhaps most striking in relation to Laura, who was well above the age at which it is normally considered possible to smother an infant without detection, and whose autopsy was conducted by a pathologist who strongly suspected homicide based on the family history.  Each of the children was autopsied, and in two cases (Patrick and Laura) investigating doctors identified a plausible natural cause of death at the time of autopsy.  In relation to both of these children, doctors testified at trial </w:t>
      </w:r>
      <w:r>
        <w:lastRenderedPageBreak/>
        <w:t xml:space="preserve">in a manner that was inconsistent with earlier conclusions, but without explaining </w:t>
      </w:r>
      <w:r w:rsidR="00D5683F">
        <w:t xml:space="preserve">the reasons for </w:t>
      </w:r>
      <w:r w:rsidR="00700034">
        <w:t>their change of</w:t>
      </w:r>
      <w:r>
        <w:t xml:space="preserve"> opinion.</w:t>
      </w:r>
      <w:r w:rsidR="00700034">
        <w:t xml:space="preserve">  In fact, the jury would have had to work hard to realize that the medical opinions had changed at all.</w:t>
      </w:r>
    </w:p>
    <w:p w:rsidR="003C2675" w:rsidRDefault="00403221" w:rsidP="00A75843">
      <w:pPr>
        <w:spacing w:line="276" w:lineRule="auto"/>
      </w:pPr>
      <w:r>
        <w:t xml:space="preserve">Likewise, </w:t>
      </w:r>
      <w:proofErr w:type="spellStart"/>
      <w:r>
        <w:t>Folbigg</w:t>
      </w:r>
      <w:proofErr w:type="spellEnd"/>
      <w:r>
        <w:t xml:space="preserve"> had none of the risk factors identified in the literature as predisposing a mother to smothering her children.  This remains true even when one includes studies that have been criticized as being unduly suspicious of women.</w:t>
      </w:r>
      <w:r w:rsidR="00D5683F">
        <w:rPr>
          <w:rStyle w:val="FootnoteReference"/>
        </w:rPr>
        <w:footnoteReference w:id="27"/>
      </w:r>
      <w:r>
        <w:t xml:space="preserve">  Craig </w:t>
      </w:r>
      <w:proofErr w:type="spellStart"/>
      <w:r>
        <w:t>Folbigg</w:t>
      </w:r>
      <w:proofErr w:type="spellEnd"/>
      <w:r>
        <w:t xml:space="preserve"> did not suspect Kathleen of having killed their childr</w:t>
      </w:r>
      <w:r w:rsidR="00674350">
        <w:t>en until he spoke to police and</w:t>
      </w:r>
      <w:r>
        <w:t xml:space="preserve"> </w:t>
      </w:r>
      <w:r w:rsidR="00674350">
        <w:t>subsequently read</w:t>
      </w:r>
      <w:r>
        <w:t xml:space="preserve"> </w:t>
      </w:r>
      <w:r w:rsidR="00674350">
        <w:t>Kathleen’s</w:t>
      </w:r>
      <w:r>
        <w:t xml:space="preserve"> diaries after she had left him</w:t>
      </w:r>
      <w:r w:rsidR="00674350">
        <w:t>, and them, in the marital home</w:t>
      </w:r>
      <w:r>
        <w:t>.  When Craig told Kathleen that he had suggested to police that Kathleen may have killed their children, Kathleen told Craig to go back to the police station and ‘tell them the truth’.</w:t>
      </w:r>
      <w:r w:rsidR="00674350">
        <w:rPr>
          <w:rStyle w:val="FootnoteReference"/>
        </w:rPr>
        <w:footnoteReference w:id="28"/>
      </w:r>
      <w:r>
        <w:t xml:space="preserve"> </w:t>
      </w:r>
    </w:p>
    <w:p w:rsidR="00480959" w:rsidRDefault="003C2675" w:rsidP="00A75843">
      <w:pPr>
        <w:spacing w:line="276" w:lineRule="auto"/>
      </w:pPr>
      <w:r>
        <w:t xml:space="preserve">The Crown case at trial was that </w:t>
      </w:r>
      <w:proofErr w:type="spellStart"/>
      <w:r>
        <w:t>Folbigg</w:t>
      </w:r>
      <w:proofErr w:type="spellEnd"/>
      <w:r>
        <w:t xml:space="preserve"> killed her children and then imm</w:t>
      </w:r>
      <w:r w:rsidR="00480959">
        <w:t>ediately raised the alarm.  The Crown</w:t>
      </w:r>
      <w:r>
        <w:t xml:space="preserve"> made much of some evidence that the two children who died at night were found by </w:t>
      </w:r>
      <w:proofErr w:type="spellStart"/>
      <w:r>
        <w:t>Folbigg</w:t>
      </w:r>
      <w:proofErr w:type="spellEnd"/>
      <w:r>
        <w:t xml:space="preserve"> as she went to the toilet – San Roque has quoted </w:t>
      </w:r>
      <w:proofErr w:type="spellStart"/>
      <w:r>
        <w:t>Tedeschi’s</w:t>
      </w:r>
      <w:proofErr w:type="spellEnd"/>
      <w:r>
        <w:t xml:space="preserve"> sarcastic comment about </w:t>
      </w:r>
      <w:proofErr w:type="spellStart"/>
      <w:r>
        <w:t>Folbigg’s</w:t>
      </w:r>
      <w:proofErr w:type="spellEnd"/>
      <w:r>
        <w:t xml:space="preserve"> bodily functions. </w:t>
      </w:r>
      <w:r w:rsidR="00674350">
        <w:t xml:space="preserve"> T</w:t>
      </w:r>
      <w:r>
        <w:t xml:space="preserve">here was conflicting evidence about whether the children’s bodies were cool </w:t>
      </w:r>
      <w:r w:rsidR="00674350">
        <w:t xml:space="preserve">to the touch </w:t>
      </w:r>
      <w:r>
        <w:t xml:space="preserve">when they were found – but this was not drawn to the court’s attention.  </w:t>
      </w:r>
      <w:r w:rsidR="00674350">
        <w:t>It is clear</w:t>
      </w:r>
      <w:r>
        <w:t xml:space="preserve"> </w:t>
      </w:r>
      <w:r w:rsidR="00700034">
        <w:t xml:space="preserve">from the 2007 appeal </w:t>
      </w:r>
      <w:r>
        <w:t>that this fact</w:t>
      </w:r>
      <w:r w:rsidR="00480959">
        <w:t>or</w:t>
      </w:r>
      <w:r>
        <w:t xml:space="preserve"> mattered to some jurors (and to the NSW Court of Criminal Appeal</w:t>
      </w:r>
      <w:r w:rsidR="00700034">
        <w:t>)</w:t>
      </w:r>
      <w:r>
        <w:t>.</w:t>
      </w:r>
      <w:r>
        <w:rPr>
          <w:rStyle w:val="FootnoteReference"/>
        </w:rPr>
        <w:footnoteReference w:id="29"/>
      </w:r>
      <w:r w:rsidR="00480959">
        <w:t xml:space="preserve">  </w:t>
      </w:r>
    </w:p>
    <w:p w:rsidR="00403221" w:rsidRDefault="00674350" w:rsidP="00A75843">
      <w:pPr>
        <w:spacing w:line="276" w:lineRule="auto"/>
      </w:pPr>
      <w:r>
        <w:t>Collectively,</w:t>
      </w:r>
      <w:r w:rsidR="003C2675">
        <w:t xml:space="preserve"> the lack</w:t>
      </w:r>
      <w:r w:rsidR="00480959">
        <w:t xml:space="preserve"> of physical signs of foul play</w:t>
      </w:r>
      <w:r w:rsidR="00700034">
        <w:t xml:space="preserve"> after careful assessment</w:t>
      </w:r>
      <w:r w:rsidR="00480959">
        <w:t>;</w:t>
      </w:r>
      <w:r w:rsidR="003C2675">
        <w:t xml:space="preserve"> the presence of positive indicia of natural caus</w:t>
      </w:r>
      <w:r w:rsidR="00480959">
        <w:t>es; the lack of risk factors;</w:t>
      </w:r>
      <w:r w:rsidR="003C2675">
        <w:t xml:space="preserve"> </w:t>
      </w:r>
      <w:r w:rsidR="00480959">
        <w:t xml:space="preserve">the possibility that the bodies of the children who were found at night were cool to the touch when attended by ambulance personnel; </w:t>
      </w:r>
      <w:r w:rsidR="003C2675">
        <w:t xml:space="preserve">the lack of suspicion of </w:t>
      </w:r>
      <w:proofErr w:type="spellStart"/>
      <w:r w:rsidR="003C2675">
        <w:t>Folbigg</w:t>
      </w:r>
      <w:proofErr w:type="spellEnd"/>
      <w:r w:rsidR="003C2675">
        <w:t xml:space="preserve"> by</w:t>
      </w:r>
      <w:r w:rsidR="00480959">
        <w:t xml:space="preserve"> her closest family and friends;</w:t>
      </w:r>
      <w:r w:rsidR="003C2675">
        <w:t xml:space="preserve"> and her </w:t>
      </w:r>
      <w:r>
        <w:t>immediate</w:t>
      </w:r>
      <w:r w:rsidR="003C2675">
        <w:t xml:space="preserve"> response to the revelation that she was now suspect</w:t>
      </w:r>
      <w:r w:rsidR="00480959">
        <w:t>,</w:t>
      </w:r>
      <w:r w:rsidR="003C2675">
        <w:t xml:space="preserve"> suggest that there may be good reasons to believe that </w:t>
      </w:r>
      <w:proofErr w:type="spellStart"/>
      <w:r w:rsidR="003C2675">
        <w:t>Folbigg</w:t>
      </w:r>
      <w:proofErr w:type="spellEnd"/>
      <w:r w:rsidR="003C2675">
        <w:t xml:space="preserve"> </w:t>
      </w:r>
      <w:r w:rsidR="000A2E77">
        <w:t>did not kill her children</w:t>
      </w:r>
      <w:r w:rsidR="003C2675">
        <w:t xml:space="preserve">.  </w:t>
      </w:r>
    </w:p>
    <w:p w:rsidR="00E7472E" w:rsidRDefault="000A2E77" w:rsidP="00A75843">
      <w:pPr>
        <w:spacing w:line="276" w:lineRule="auto"/>
      </w:pPr>
      <w:r>
        <w:t>W</w:t>
      </w:r>
      <w:r w:rsidR="00E7472E">
        <w:t xml:space="preserve">hen I was writing the manuscript that became </w:t>
      </w:r>
      <w:r w:rsidR="00E7472E">
        <w:rPr>
          <w:i/>
        </w:rPr>
        <w:t>Murder, Medicine and Motherhood</w:t>
      </w:r>
      <w:r w:rsidR="00E7472E">
        <w:t xml:space="preserve">, I was not particularly looking for evidence of factual innocence, or even for </w:t>
      </w:r>
      <w:r w:rsidR="00480959">
        <w:t xml:space="preserve">evidence of an error that could found a claim of wrongful conviction.  I was, as I have already noted, interested in what prompted the trend towards charging mothers who suffered multiple infant death, keen to understand the implication of changing concepts of motherhood and medical science in this trend, and I hoped to investigate the links between these matters and the criminalization literature. I am grateful to Darian-Smith and San Roque for </w:t>
      </w:r>
      <w:r w:rsidR="00480959">
        <w:lastRenderedPageBreak/>
        <w:t>focusing on these dimensions of the book in their comments.  They remain, for me, the core of the academic project and the factors that will continue to animate my work.</w:t>
      </w:r>
      <w:r>
        <w:t xml:space="preserve">  However, in light of the evidence that militated against </w:t>
      </w:r>
      <w:proofErr w:type="spellStart"/>
      <w:r>
        <w:t>Folbigg’s</w:t>
      </w:r>
      <w:proofErr w:type="spellEnd"/>
      <w:r>
        <w:t xml:space="preserve"> guilt, I decided to state clearly that I believed </w:t>
      </w:r>
      <w:proofErr w:type="spellStart"/>
      <w:r>
        <w:t>Folbigg</w:t>
      </w:r>
      <w:proofErr w:type="spellEnd"/>
      <w:r>
        <w:t xml:space="preserve"> had been wrongly convicted.</w:t>
      </w:r>
      <w:r w:rsidR="00A355A4">
        <w:t xml:space="preserve"> </w:t>
      </w:r>
      <w:r w:rsidR="00716B3F">
        <w:t xml:space="preserve"> NSW does not have any corresponding institution to the Criminal Cases Review Commission, and so the question of what might happen next was far from clear.  </w:t>
      </w:r>
    </w:p>
    <w:p w:rsidR="003A5CC5" w:rsidRDefault="00480959" w:rsidP="00A75843">
      <w:pPr>
        <w:spacing w:line="276" w:lineRule="auto"/>
      </w:pPr>
      <w:r>
        <w:t xml:space="preserve">I did not correspond with </w:t>
      </w:r>
      <w:proofErr w:type="spellStart"/>
      <w:r>
        <w:t>Folbigg</w:t>
      </w:r>
      <w:proofErr w:type="spellEnd"/>
      <w:r w:rsidR="000A2E77">
        <w:t xml:space="preserve"> </w:t>
      </w:r>
      <w:r>
        <w:t xml:space="preserve">until </w:t>
      </w:r>
      <w:r w:rsidR="000A2E77">
        <w:t xml:space="preserve">the proofs were </w:t>
      </w:r>
      <w:proofErr w:type="spellStart"/>
      <w:r w:rsidR="000A2E77">
        <w:t>finalised</w:t>
      </w:r>
      <w:proofErr w:type="spellEnd"/>
      <w:r>
        <w:t xml:space="preserve">.  When the contract </w:t>
      </w:r>
      <w:r w:rsidR="000E5106">
        <w:t xml:space="preserve">with Hart </w:t>
      </w:r>
      <w:r>
        <w:t xml:space="preserve">was signed, however, I reached the conclusion that it was important to alert </w:t>
      </w:r>
      <w:proofErr w:type="spellStart"/>
      <w:r>
        <w:t>Folbigg</w:t>
      </w:r>
      <w:proofErr w:type="spellEnd"/>
      <w:r>
        <w:t xml:space="preserve"> to my conclusions and offer to send a copy of the book to her.</w:t>
      </w:r>
      <w:r>
        <w:rPr>
          <w:rStyle w:val="FootnoteReference"/>
        </w:rPr>
        <w:footnoteReference w:id="30"/>
      </w:r>
      <w:r>
        <w:t xml:space="preserve"> The letter I received in response </w:t>
      </w:r>
      <w:r w:rsidR="0072131F">
        <w:t xml:space="preserve">put the essential conundrum I now faced into devastating clarity.  Rather than protesting her ill treatment within the justice system, </w:t>
      </w:r>
      <w:proofErr w:type="spellStart"/>
      <w:r w:rsidR="0072131F">
        <w:t>Folbigg</w:t>
      </w:r>
      <w:proofErr w:type="spellEnd"/>
      <w:r w:rsidR="0072131F">
        <w:t xml:space="preserve"> </w:t>
      </w:r>
      <w:r w:rsidR="000A2E77">
        <w:t>wrote: ‘If this is purely for publication … then I would appreciate being informed of this.  As hope can destroy as much as enliven ones soul.’</w:t>
      </w:r>
      <w:r w:rsidR="0072131F">
        <w:t xml:space="preserve">  </w:t>
      </w:r>
      <w:r w:rsidR="000A2E77">
        <w:t xml:space="preserve">Receiving this letter, I was aware of both my relative lack of capacity to offer practical help – as an academic lawyer working in another country, with no </w:t>
      </w:r>
      <w:proofErr w:type="spellStart"/>
      <w:r w:rsidR="000A2E77">
        <w:t>practi</w:t>
      </w:r>
      <w:r w:rsidR="00991D6D">
        <w:t>s</w:t>
      </w:r>
      <w:r w:rsidR="000A2E77">
        <w:t>ing</w:t>
      </w:r>
      <w:proofErr w:type="spellEnd"/>
      <w:r w:rsidR="000A2E77">
        <w:t xml:space="preserve"> certificate – and of the enormous privilege I enjoy by virtue of my education and institutional position.  I </w:t>
      </w:r>
      <w:r w:rsidR="003A5CC5">
        <w:t>resolved to</w:t>
      </w:r>
      <w:r w:rsidR="000A2E77">
        <w:t xml:space="preserve"> do what I could to find </w:t>
      </w:r>
      <w:proofErr w:type="spellStart"/>
      <w:r w:rsidR="000A2E77">
        <w:t>Folbigg</w:t>
      </w:r>
      <w:proofErr w:type="spellEnd"/>
      <w:r w:rsidR="000A2E77">
        <w:t xml:space="preserve"> a lawyer who could act on her behalf, and that I would also try to draw the media’s attention to my conclusions.</w:t>
      </w:r>
      <w:r w:rsidR="003A5CC5">
        <w:t xml:space="preserve">  </w:t>
      </w:r>
    </w:p>
    <w:p w:rsidR="00480959" w:rsidRDefault="003A5CC5" w:rsidP="00A75843">
      <w:pPr>
        <w:spacing w:line="276" w:lineRule="auto"/>
      </w:pPr>
      <w:r>
        <w:rPr>
          <w:i/>
        </w:rPr>
        <w:t xml:space="preserve">Murder, Medicine and Motherhood </w:t>
      </w:r>
      <w:r>
        <w:t xml:space="preserve">is deeply critical of the press coverage of </w:t>
      </w:r>
      <w:proofErr w:type="spellStart"/>
      <w:r>
        <w:t>Folbigg’s</w:t>
      </w:r>
      <w:proofErr w:type="spellEnd"/>
      <w:r>
        <w:t xml:space="preserve"> trial.  Based on my quantitative and qualitative analysis of that coverage, I concluded that the press systematically ignored the challenges made by various witnesses to the Crown narrative of the c</w:t>
      </w:r>
      <w:r w:rsidR="00716B3F">
        <w:t>ase, and thereby presented an im</w:t>
      </w:r>
      <w:r>
        <w:t xml:space="preserve">balanced account of the evidence </w:t>
      </w:r>
      <w:r w:rsidR="00E3417C">
        <w:t>in</w:t>
      </w:r>
      <w:r>
        <w:t xml:space="preserve"> </w:t>
      </w:r>
      <w:proofErr w:type="spellStart"/>
      <w:r>
        <w:t>Folbigg</w:t>
      </w:r>
      <w:r w:rsidR="00E3417C">
        <w:t>’s</w:t>
      </w:r>
      <w:proofErr w:type="spellEnd"/>
      <w:r w:rsidR="00E3417C">
        <w:t xml:space="preserve"> trial</w:t>
      </w:r>
      <w:r>
        <w:t xml:space="preserve">.  </w:t>
      </w:r>
      <w:r w:rsidR="00872BD3">
        <w:t xml:space="preserve">My decision to try to enlist the media’s help to reverse the conviction felt ironic, at best.  Dorothy </w:t>
      </w:r>
      <w:proofErr w:type="spellStart"/>
      <w:r w:rsidR="00872BD3">
        <w:t>Chunn</w:t>
      </w:r>
      <w:proofErr w:type="spellEnd"/>
      <w:r w:rsidR="00872BD3">
        <w:t xml:space="preserve">, who has taught me so much about media and media analysis, assured me however that the press would care less about consistency in its own reporting than it would about the newsworthiness of a credible claim that </w:t>
      </w:r>
      <w:proofErr w:type="spellStart"/>
      <w:r w:rsidR="00872BD3">
        <w:t>Folbigg</w:t>
      </w:r>
      <w:proofErr w:type="spellEnd"/>
      <w:r w:rsidR="00872BD3">
        <w:t xml:space="preserve"> may have been wrongly convicted.  Her prediction proved right, and my efforts resulted in several </w:t>
      </w:r>
      <w:proofErr w:type="spellStart"/>
      <w:r w:rsidR="00872BD3">
        <w:t>favourable</w:t>
      </w:r>
      <w:proofErr w:type="spellEnd"/>
      <w:r w:rsidR="00872BD3">
        <w:t xml:space="preserve"> stories, particularly in the </w:t>
      </w:r>
      <w:r w:rsidR="00872BD3">
        <w:rPr>
          <w:i/>
        </w:rPr>
        <w:t>Sydney Morning Herald</w:t>
      </w:r>
      <w:r w:rsidR="00872BD3">
        <w:t xml:space="preserve">.  The </w:t>
      </w:r>
      <w:r w:rsidR="00872BD3">
        <w:rPr>
          <w:i/>
        </w:rPr>
        <w:t>60 Minutes</w:t>
      </w:r>
      <w:r w:rsidR="00872BD3">
        <w:t xml:space="preserve"> and </w:t>
      </w:r>
      <w:r w:rsidR="00F87A03">
        <w:rPr>
          <w:i/>
        </w:rPr>
        <w:t>Al</w:t>
      </w:r>
      <w:r w:rsidR="00872BD3">
        <w:rPr>
          <w:i/>
        </w:rPr>
        <w:t>an Jones Show</w:t>
      </w:r>
      <w:r w:rsidR="00872BD3">
        <w:t xml:space="preserve"> followed in mid-2013.  I hope, though I don’t yet know, that these stories will help </w:t>
      </w:r>
      <w:proofErr w:type="spellStart"/>
      <w:r w:rsidR="00872BD3">
        <w:t>Folbigg</w:t>
      </w:r>
      <w:proofErr w:type="spellEnd"/>
      <w:r w:rsidR="00872BD3">
        <w:t xml:space="preserve"> to persuade the court of public opinion that there may be more to her case than was first reported.</w:t>
      </w:r>
    </w:p>
    <w:p w:rsidR="00A355A4" w:rsidRDefault="00872BD3" w:rsidP="00A75843">
      <w:pPr>
        <w:spacing w:line="276" w:lineRule="auto"/>
      </w:pPr>
      <w:r>
        <w:t xml:space="preserve">As feminist </w:t>
      </w:r>
      <w:r w:rsidR="00D518D1">
        <w:t>scholars</w:t>
      </w:r>
      <w:r>
        <w:t xml:space="preserve"> </w:t>
      </w:r>
      <w:r w:rsidR="00331C00">
        <w:t>might</w:t>
      </w:r>
      <w:r>
        <w:t xml:space="preserve"> </w:t>
      </w:r>
      <w:r w:rsidR="00672A50">
        <w:t>anticipate</w:t>
      </w:r>
      <w:r>
        <w:t xml:space="preserve">, the journalists I have spoken to have been much more interested in the failures of institutional processes that formed part of </w:t>
      </w:r>
      <w:r w:rsidR="009725A0">
        <w:t>the investigation and</w:t>
      </w:r>
      <w:r>
        <w:t xml:space="preserve"> trial than they have been in my analysis of the ways in which </w:t>
      </w:r>
      <w:proofErr w:type="spellStart"/>
      <w:r>
        <w:t>Folbigg’s</w:t>
      </w:r>
      <w:proofErr w:type="spellEnd"/>
      <w:r>
        <w:t xml:space="preserve"> </w:t>
      </w:r>
      <w:r>
        <w:lastRenderedPageBreak/>
        <w:t xml:space="preserve">mothering was </w:t>
      </w:r>
      <w:r w:rsidR="00A355A4">
        <w:t>punitively</w:t>
      </w:r>
      <w:r w:rsidR="00672A50">
        <w:t xml:space="preserve"> </w:t>
      </w:r>
      <w:r>
        <w:t xml:space="preserve">enlisted against her.  This focus is consistent with the coverage afforded to Sally Clark, Angela </w:t>
      </w:r>
      <w:proofErr w:type="spellStart"/>
      <w:r>
        <w:t>Cannings</w:t>
      </w:r>
      <w:proofErr w:type="spellEnd"/>
      <w:r>
        <w:t xml:space="preserve">, and the Canadian </w:t>
      </w:r>
      <w:proofErr w:type="spellStart"/>
      <w:r>
        <w:t>exonerees</w:t>
      </w:r>
      <w:proofErr w:type="spellEnd"/>
      <w:r>
        <w:t xml:space="preserve">. </w:t>
      </w:r>
      <w:r w:rsidR="00672A50">
        <w:t xml:space="preserve"> </w:t>
      </w:r>
      <w:r w:rsidR="00E3417C">
        <w:t xml:space="preserve">To the extent that a story of miscarriage of justice has gained traction in the media, it has largely excluded the concerns about the targeting and disciplining of women that San Roque articulates in her piece in this issue, and that I sought to raise in </w:t>
      </w:r>
      <w:r w:rsidR="00991D6D">
        <w:rPr>
          <w:i/>
        </w:rPr>
        <w:t>Murder, Medicine and</w:t>
      </w:r>
      <w:r w:rsidR="00E3417C">
        <w:rPr>
          <w:i/>
        </w:rPr>
        <w:t xml:space="preserve"> Motherhood</w:t>
      </w:r>
      <w:r w:rsidR="00E3417C">
        <w:t xml:space="preserve">.  A feminist narrative has thereby been stripped out of a more conventional liberal account of the rational expectations of criminal justice and medical institutions.  </w:t>
      </w:r>
    </w:p>
    <w:p w:rsidR="00E3417C" w:rsidRDefault="00624B5E" w:rsidP="00A75843">
      <w:pPr>
        <w:spacing w:line="276" w:lineRule="auto"/>
      </w:pPr>
      <w:r>
        <w:t>My</w:t>
      </w:r>
      <w:r w:rsidR="00E3417C">
        <w:t xml:space="preserve"> experience</w:t>
      </w:r>
      <w:r w:rsidR="00A355A4">
        <w:t xml:space="preserve"> of engaging with the media in </w:t>
      </w:r>
      <w:proofErr w:type="spellStart"/>
      <w:r w:rsidR="00A355A4">
        <w:t>Folbigg’s</w:t>
      </w:r>
      <w:proofErr w:type="spellEnd"/>
      <w:r w:rsidR="00A355A4">
        <w:t xml:space="preserve"> case</w:t>
      </w:r>
      <w:r w:rsidR="00E3417C">
        <w:t xml:space="preserve"> </w:t>
      </w:r>
      <w:r w:rsidR="00331C00">
        <w:t>resonates</w:t>
      </w:r>
      <w:r w:rsidR="00E3417C">
        <w:t xml:space="preserve"> with the conclusions drawn by Dorothy </w:t>
      </w:r>
      <w:proofErr w:type="spellStart"/>
      <w:r w:rsidR="00E3417C">
        <w:t>Chunn</w:t>
      </w:r>
      <w:proofErr w:type="spellEnd"/>
      <w:r w:rsidR="00E3417C">
        <w:t xml:space="preserve">, Susan Boyd and Hester </w:t>
      </w:r>
      <w:proofErr w:type="spellStart"/>
      <w:r w:rsidR="00E3417C">
        <w:t>Lessard</w:t>
      </w:r>
      <w:proofErr w:type="spellEnd"/>
      <w:r w:rsidR="00E3417C">
        <w:t xml:space="preserve"> in their study of feminism, law and social change.  Speaking about law reform, these authors observe that: </w:t>
      </w:r>
    </w:p>
    <w:p w:rsidR="008D165C" w:rsidRPr="00E3417C" w:rsidRDefault="00E3417C" w:rsidP="00E3417C">
      <w:pPr>
        <w:spacing w:line="276" w:lineRule="auto"/>
        <w:ind w:left="567"/>
        <w:rPr>
          <w:sz w:val="22"/>
          <w:szCs w:val="22"/>
        </w:rPr>
      </w:pPr>
      <w:r w:rsidRPr="00E3417C">
        <w:rPr>
          <w:sz w:val="22"/>
          <w:szCs w:val="22"/>
        </w:rPr>
        <w:t>While they never controlled the agenda-setting process, feminists have been active and influential to varying degrees in proposing and shaping socio-legal reform … However, the broader social and economic forces represented by neo-conservatism and neo-liberalism have an important mediating influence on the impact that feminism can achieve.</w:t>
      </w:r>
      <w:r>
        <w:rPr>
          <w:rStyle w:val="FootnoteReference"/>
          <w:sz w:val="22"/>
          <w:szCs w:val="22"/>
        </w:rPr>
        <w:footnoteReference w:id="31"/>
      </w:r>
    </w:p>
    <w:p w:rsidR="009725A0" w:rsidRDefault="00991D6D" w:rsidP="00A75843">
      <w:pPr>
        <w:spacing w:line="276" w:lineRule="auto"/>
      </w:pPr>
      <w:proofErr w:type="spellStart"/>
      <w:r>
        <w:t>Chunn</w:t>
      </w:r>
      <w:proofErr w:type="spellEnd"/>
      <w:r>
        <w:t>, Boyd and</w:t>
      </w:r>
      <w:r w:rsidR="009725A0">
        <w:t xml:space="preserve"> </w:t>
      </w:r>
      <w:proofErr w:type="spellStart"/>
      <w:r w:rsidR="009725A0">
        <w:t>Lessard</w:t>
      </w:r>
      <w:proofErr w:type="spellEnd"/>
      <w:r w:rsidR="009725A0">
        <w:t xml:space="preserve"> conclude that feminist successes have been strongest when feminists have found common cause, or strategic alliance,</w:t>
      </w:r>
      <w:r>
        <w:t xml:space="preserve"> with strands of neo-conservat</w:t>
      </w:r>
      <w:r w:rsidR="009725A0">
        <w:t xml:space="preserve">ism or neo-liberalism.  This conclusion has important ramifications for feminist academics, who are increasingly finding their performance judged against criteria such as ‘impact’ </w:t>
      </w:r>
      <w:r>
        <w:t>–</w:t>
      </w:r>
      <w:r w:rsidR="009725A0">
        <w:t xml:space="preserve"> </w:t>
      </w:r>
      <w:r w:rsidR="00331C00">
        <w:t xml:space="preserve">including </w:t>
      </w:r>
      <w:r w:rsidR="009725A0">
        <w:t xml:space="preserve">the extent to which one’s work is embraced within political, judicial or public discourse.  The assumption that merit is the only criterion by which academic work will be judged within these spheres is unsettled </w:t>
      </w:r>
      <w:r>
        <w:t xml:space="preserve">by studies such as </w:t>
      </w:r>
      <w:proofErr w:type="spellStart"/>
      <w:r>
        <w:t>Chunn</w:t>
      </w:r>
      <w:proofErr w:type="spellEnd"/>
      <w:r>
        <w:t>, Boyd and</w:t>
      </w:r>
      <w:r w:rsidR="009725A0">
        <w:t xml:space="preserve"> </w:t>
      </w:r>
      <w:proofErr w:type="spellStart"/>
      <w:r w:rsidR="009725A0">
        <w:t>Lessard’s</w:t>
      </w:r>
      <w:proofErr w:type="spellEnd"/>
      <w:r w:rsidR="009725A0">
        <w:t xml:space="preserve">.  </w:t>
      </w:r>
    </w:p>
    <w:p w:rsidR="00872BD3" w:rsidRDefault="00F87A03" w:rsidP="00A75843">
      <w:pPr>
        <w:spacing w:line="276" w:lineRule="auto"/>
      </w:pPr>
      <w:r>
        <w:t>In keeping with the media interest in ‘how it feels’ to experience reported events,</w:t>
      </w:r>
      <w:r w:rsidR="00377F2E">
        <w:rPr>
          <w:rStyle w:val="FootnoteReference"/>
        </w:rPr>
        <w:footnoteReference w:id="32"/>
      </w:r>
      <w:r>
        <w:t xml:space="preserve"> </w:t>
      </w:r>
      <w:r>
        <w:rPr>
          <w:i/>
        </w:rPr>
        <w:t>60 Minutes</w:t>
      </w:r>
      <w:r>
        <w:t xml:space="preserve"> and the </w:t>
      </w:r>
      <w:r>
        <w:rPr>
          <w:i/>
        </w:rPr>
        <w:t>Sydney Morning Herald</w:t>
      </w:r>
      <w:r>
        <w:t xml:space="preserve"> have also featured interviews with Kathleen </w:t>
      </w:r>
      <w:proofErr w:type="spellStart"/>
      <w:r>
        <w:t>Folbigg’s</w:t>
      </w:r>
      <w:proofErr w:type="spellEnd"/>
      <w:r>
        <w:t xml:space="preserve"> friends and foster sister.  While </w:t>
      </w:r>
      <w:proofErr w:type="spellStart"/>
      <w:r>
        <w:t>Folbigg’s</w:t>
      </w:r>
      <w:proofErr w:type="spellEnd"/>
      <w:r>
        <w:t xml:space="preserve"> foster sister remains convinced that </w:t>
      </w:r>
      <w:proofErr w:type="spellStart"/>
      <w:r>
        <w:t>Folbigg</w:t>
      </w:r>
      <w:proofErr w:type="spellEnd"/>
      <w:r>
        <w:t xml:space="preserve"> killed her children, </w:t>
      </w:r>
      <w:r w:rsidR="00331C00">
        <w:t>her</w:t>
      </w:r>
      <w:r>
        <w:t xml:space="preserve"> friends quietly supported her throughout her trial and imprisonment.  In this most recent phase, the media attention has been reconfigured and </w:t>
      </w:r>
      <w:proofErr w:type="spellStart"/>
      <w:r>
        <w:t>Folbigg’s</w:t>
      </w:r>
      <w:proofErr w:type="spellEnd"/>
      <w:r>
        <w:t xml:space="preserve"> friends have assumed </w:t>
      </w:r>
      <w:r w:rsidR="00716B3F">
        <w:t xml:space="preserve">a </w:t>
      </w:r>
      <w:r>
        <w:t>prominence</w:t>
      </w:r>
      <w:r w:rsidR="00716B3F">
        <w:t xml:space="preserve"> that they did not have during the trial and appeals.  The implicit message being promoted appears to be that </w:t>
      </w:r>
      <w:proofErr w:type="spellStart"/>
      <w:r w:rsidR="00716B3F">
        <w:t>Folbigg’s</w:t>
      </w:r>
      <w:proofErr w:type="spellEnd"/>
      <w:r w:rsidR="00716B3F">
        <w:t xml:space="preserve"> friends are ordinary, loving women who are also mothers – and who cannot conceive that their friend committed the crimes of which she was convicted.  This aspect of the reportage </w:t>
      </w:r>
      <w:r w:rsidR="00716B3F">
        <w:lastRenderedPageBreak/>
        <w:t xml:space="preserve">has exhumed </w:t>
      </w:r>
      <w:proofErr w:type="spellStart"/>
      <w:r w:rsidR="00716B3F">
        <w:t>Folbigg’s</w:t>
      </w:r>
      <w:proofErr w:type="spellEnd"/>
      <w:r w:rsidR="00716B3F">
        <w:t xml:space="preserve"> humanity in place of the ‘monster’ who was previously depicted in the media.</w:t>
      </w:r>
      <w:r w:rsidR="00716B3F">
        <w:rPr>
          <w:rStyle w:val="FootnoteReference"/>
        </w:rPr>
        <w:footnoteReference w:id="33"/>
      </w:r>
      <w:r w:rsidR="00716B3F">
        <w:t xml:space="preserve"> </w:t>
      </w:r>
      <w:r w:rsidR="009725A0">
        <w:t xml:space="preserve"> </w:t>
      </w:r>
      <w:r w:rsidR="00624B5E">
        <w:t>It appeals</w:t>
      </w:r>
      <w:r w:rsidR="009725A0">
        <w:t xml:space="preserve"> to the emotional dimensions of the case </w:t>
      </w:r>
      <w:r w:rsidR="00991D6D">
        <w:t>–</w:t>
      </w:r>
      <w:r w:rsidR="009725A0">
        <w:t xml:space="preserve"> </w:t>
      </w:r>
      <w:r w:rsidR="00823E92">
        <w:t xml:space="preserve">inviting readers to consider for the first time </w:t>
      </w:r>
      <w:r w:rsidR="009725A0">
        <w:t xml:space="preserve">the awful possibility that </w:t>
      </w:r>
      <w:proofErr w:type="spellStart"/>
      <w:r w:rsidR="00823E92">
        <w:t>Folbigg</w:t>
      </w:r>
      <w:proofErr w:type="spellEnd"/>
      <w:r w:rsidR="009725A0">
        <w:t xml:space="preserve"> may first </w:t>
      </w:r>
      <w:r w:rsidR="00130001">
        <w:t>have lost four children, and then been wro</w:t>
      </w:r>
      <w:r w:rsidR="00624B5E">
        <w:t xml:space="preserve">ngly convicted of killing them. </w:t>
      </w:r>
      <w:r w:rsidR="00130001">
        <w:t xml:space="preserve"> </w:t>
      </w:r>
      <w:r w:rsidR="00624B5E">
        <w:t xml:space="preserve">However, </w:t>
      </w:r>
      <w:r w:rsidR="00130001">
        <w:t xml:space="preserve">this reportage </w:t>
      </w:r>
      <w:r w:rsidR="00624B5E">
        <w:t xml:space="preserve">also sidesteps the question of how and why </w:t>
      </w:r>
      <w:proofErr w:type="spellStart"/>
      <w:r w:rsidR="00624B5E">
        <w:t>Folbigg</w:t>
      </w:r>
      <w:proofErr w:type="spellEnd"/>
      <w:r w:rsidR="00624B5E">
        <w:t xml:space="preserve"> was portrayed so differently </w:t>
      </w:r>
      <w:r w:rsidR="00A355A4">
        <w:t xml:space="preserve">by the prosecution and in the media </w:t>
      </w:r>
      <w:r w:rsidR="00624B5E">
        <w:t xml:space="preserve">in the initial phases of the case.  </w:t>
      </w:r>
      <w:r w:rsidR="007F7C5B">
        <w:t xml:space="preserve">In particular, while the diaries have occasionally been reproduced and discussed in this media coverage, </w:t>
      </w:r>
      <w:r w:rsidR="004D6D6A">
        <w:t xml:space="preserve">there has been relatively little sustained consideration of the role they might have played in </w:t>
      </w:r>
      <w:proofErr w:type="spellStart"/>
      <w:r w:rsidR="004D6D6A">
        <w:t>Folbigg’s</w:t>
      </w:r>
      <w:proofErr w:type="spellEnd"/>
      <w:r w:rsidR="004D6D6A">
        <w:t xml:space="preserve"> mothering and her grief about her children’s deaths.  </w:t>
      </w:r>
      <w:r w:rsidR="004D6D6A" w:rsidRPr="006A1DAC">
        <w:t xml:space="preserve">The observations that I made </w:t>
      </w:r>
      <w:r w:rsidR="00575A4C">
        <w:t xml:space="preserve">in </w:t>
      </w:r>
      <w:r w:rsidR="00575A4C">
        <w:rPr>
          <w:i/>
        </w:rPr>
        <w:t>Murder, Medicine and Motherhood</w:t>
      </w:r>
      <w:r w:rsidR="00575A4C">
        <w:t xml:space="preserve"> </w:t>
      </w:r>
      <w:r w:rsidR="004D6D6A" w:rsidRPr="006A1DAC">
        <w:t xml:space="preserve">about the implications of the privatization and gendering of responsibility for early childhood, and the ways in which this responsibility has been harnessed by Crown prosecutors </w:t>
      </w:r>
      <w:r w:rsidR="000E5106" w:rsidRPr="006A1DAC">
        <w:t xml:space="preserve">to </w:t>
      </w:r>
      <w:r w:rsidR="004D6D6A" w:rsidRPr="006A1DAC">
        <w:t>the task of rendering some mothers suspect</w:t>
      </w:r>
      <w:r w:rsidR="004D6D6A">
        <w:t>,</w:t>
      </w:r>
      <w:r w:rsidR="00575A4C">
        <w:rPr>
          <w:rStyle w:val="FootnoteReference"/>
        </w:rPr>
        <w:footnoteReference w:id="34"/>
      </w:r>
      <w:r w:rsidR="004D6D6A">
        <w:t xml:space="preserve"> have (predictably) been wholly ignored within the media coverage.</w:t>
      </w:r>
      <w:r w:rsidR="00575A4C">
        <w:t xml:space="preserve">  San </w:t>
      </w:r>
      <w:proofErr w:type="spellStart"/>
      <w:r w:rsidR="00575A4C">
        <w:t>Roque’s</w:t>
      </w:r>
      <w:proofErr w:type="spellEnd"/>
      <w:r w:rsidR="00575A4C">
        <w:t xml:space="preserve"> piece in this issue demonstrates the extent to which such prosecution strategies are, in fact, reinforced by the media coverage of cases in which women are prosecuted for homicide.</w:t>
      </w:r>
      <w:bookmarkStart w:id="3" w:name="_GoBack"/>
      <w:bookmarkEnd w:id="3"/>
    </w:p>
    <w:p w:rsidR="004D6D6A" w:rsidRDefault="004D6D6A" w:rsidP="00A75843">
      <w:pPr>
        <w:spacing w:line="276" w:lineRule="auto"/>
      </w:pPr>
    </w:p>
    <w:p w:rsidR="004D6D6A" w:rsidRPr="004D6D6A" w:rsidRDefault="004D6D6A" w:rsidP="00A75843">
      <w:pPr>
        <w:spacing w:line="276" w:lineRule="auto"/>
        <w:rPr>
          <w:b/>
        </w:rPr>
      </w:pPr>
      <w:r>
        <w:rPr>
          <w:b/>
        </w:rPr>
        <w:t>Works in progress</w:t>
      </w:r>
    </w:p>
    <w:p w:rsidR="004D6D6A" w:rsidRDefault="00624B5E" w:rsidP="00A75843">
      <w:pPr>
        <w:spacing w:line="276" w:lineRule="auto"/>
      </w:pPr>
      <w:r>
        <w:t xml:space="preserve">As I </w:t>
      </w:r>
      <w:r w:rsidR="004D6D6A">
        <w:t>prepare</w:t>
      </w:r>
      <w:r>
        <w:t xml:space="preserve"> this response, the </w:t>
      </w:r>
      <w:r w:rsidR="00A355A4">
        <w:t xml:space="preserve">final chapter of </w:t>
      </w:r>
      <w:proofErr w:type="spellStart"/>
      <w:r w:rsidR="00A355A4">
        <w:t>Folbigg’s</w:t>
      </w:r>
      <w:proofErr w:type="spellEnd"/>
      <w:r w:rsidR="00A355A4">
        <w:t xml:space="preserve"> case remains </w:t>
      </w:r>
      <w:r w:rsidR="004D6D6A">
        <w:t>incomplete</w:t>
      </w:r>
      <w:r w:rsidR="00A355A4">
        <w:t xml:space="preserve">.  The moderate success of </w:t>
      </w:r>
      <w:r w:rsidR="00741293">
        <w:t xml:space="preserve">efforts made by several people to draw attention to concerns about the evidence given at </w:t>
      </w:r>
      <w:proofErr w:type="spellStart"/>
      <w:r w:rsidR="00741293">
        <w:t>Folbigg’s</w:t>
      </w:r>
      <w:proofErr w:type="spellEnd"/>
      <w:r w:rsidR="00741293">
        <w:t xml:space="preserve"> trial provide</w:t>
      </w:r>
      <w:r w:rsidR="00991D6D">
        <w:t>s some reason</w:t>
      </w:r>
      <w:r w:rsidR="00741293">
        <w:t xml:space="preserve"> to hope that the convictions may be reviewed.  However, the mechanism by which this may happen remains unclear.  </w:t>
      </w:r>
      <w:r w:rsidR="00823E92">
        <w:t xml:space="preserve">Having exhausted normal avenues of appeal, </w:t>
      </w:r>
      <w:proofErr w:type="spellStart"/>
      <w:r w:rsidR="00823E92">
        <w:t>Folbigg’s</w:t>
      </w:r>
      <w:proofErr w:type="spellEnd"/>
      <w:r w:rsidR="00823E92">
        <w:t xml:space="preserve"> quandary illuminates the inadequacy of NSW’s mechanisms for criminal review.</w:t>
      </w:r>
      <w:r w:rsidR="004D6D6A">
        <w:t xml:space="preserve"> </w:t>
      </w:r>
      <w:r w:rsidR="00823E92">
        <w:t xml:space="preserve">As San Roque and Gary Edmond have </w:t>
      </w:r>
      <w:r w:rsidR="00A07AF3">
        <w:t>argued</w:t>
      </w:r>
      <w:r w:rsidR="00823E92">
        <w:t xml:space="preserve">, </w:t>
      </w:r>
      <w:proofErr w:type="spellStart"/>
      <w:r w:rsidR="00823E92">
        <w:t>Folbigg’s</w:t>
      </w:r>
      <w:proofErr w:type="spellEnd"/>
      <w:r w:rsidR="00823E92">
        <w:t xml:space="preserve"> case</w:t>
      </w:r>
      <w:r w:rsidR="00A07AF3">
        <w:t xml:space="preserve"> and others also demonstrate</w:t>
      </w:r>
      <w:r w:rsidR="00823E92">
        <w:t xml:space="preserve"> that the ethical obligations imposed on prosecutors </w:t>
      </w:r>
      <w:r w:rsidR="00A07AF3">
        <w:t xml:space="preserve">and experts </w:t>
      </w:r>
      <w:r w:rsidR="00823E92">
        <w:t>do not substitute for vigilant judicial oversight of the evidence introduced against criminal defendants.</w:t>
      </w:r>
      <w:r w:rsidR="00823E92">
        <w:rPr>
          <w:rStyle w:val="FootnoteReference"/>
        </w:rPr>
        <w:footnoteReference w:id="35"/>
      </w:r>
      <w:r w:rsidR="00331C00">
        <w:t xml:space="preserve">  I will continue to do what I can to draw my conclusions to the attention of those who may be in a position to review </w:t>
      </w:r>
      <w:proofErr w:type="spellStart"/>
      <w:r w:rsidR="00331C00">
        <w:t>Folbigg’s</w:t>
      </w:r>
      <w:proofErr w:type="spellEnd"/>
      <w:r w:rsidR="00331C00">
        <w:t xml:space="preserve"> convictions.  </w:t>
      </w:r>
      <w:r w:rsidR="0026074F">
        <w:t xml:space="preserve">Despite the positive reception my work has enjoyed, </w:t>
      </w:r>
      <w:proofErr w:type="spellStart"/>
      <w:r w:rsidR="0026074F">
        <w:t>Folbigg</w:t>
      </w:r>
      <w:proofErr w:type="spellEnd"/>
      <w:r w:rsidR="0026074F">
        <w:t xml:space="preserve"> remains in prison, locked in a protective ward in a maximum security women’s facility that is housed inside a men’s prison on the outskirts of Sydney.  </w:t>
      </w:r>
    </w:p>
    <w:p w:rsidR="00403221" w:rsidRDefault="0026074F" w:rsidP="00A75843">
      <w:pPr>
        <w:spacing w:line="276" w:lineRule="auto"/>
      </w:pPr>
      <w:r>
        <w:t xml:space="preserve">While I work to correct the injustice that has been done in </w:t>
      </w:r>
      <w:proofErr w:type="spellStart"/>
      <w:r>
        <w:t>Folbigg’s</w:t>
      </w:r>
      <w:proofErr w:type="spellEnd"/>
      <w:r>
        <w:t xml:space="preserve"> case</w:t>
      </w:r>
      <w:r w:rsidR="00331C00">
        <w:t>, however, I am grateful to Darian Smith and San Roque for focusing on the system</w:t>
      </w:r>
      <w:r>
        <w:t xml:space="preserve">ic implications of my </w:t>
      </w:r>
      <w:r>
        <w:lastRenderedPageBreak/>
        <w:t xml:space="preserve">research. </w:t>
      </w:r>
      <w:r w:rsidR="00331C00">
        <w:t xml:space="preserve"> </w:t>
      </w:r>
      <w:r>
        <w:t xml:space="preserve">These implications </w:t>
      </w:r>
      <w:r w:rsidR="000E5106">
        <w:t>extend to</w:t>
      </w:r>
      <w:r>
        <w:t xml:space="preserve"> </w:t>
      </w:r>
      <w:r w:rsidR="00331C00">
        <w:t>the relationships between punitive visions of motherhoo</w:t>
      </w:r>
      <w:r w:rsidR="00A07AF3">
        <w:t xml:space="preserve">d, medical opinions </w:t>
      </w:r>
      <w:r>
        <w:t>that</w:t>
      </w:r>
      <w:r w:rsidR="00A07AF3">
        <w:t xml:space="preserve"> are deeply imbricated with social stereotypes, and legal processes in which existing checks and balances have </w:t>
      </w:r>
      <w:r w:rsidR="00A54433">
        <w:t xml:space="preserve">failed to </w:t>
      </w:r>
      <w:r w:rsidR="004D6D6A">
        <w:t xml:space="preserve">prevent errors from occurring.  </w:t>
      </w:r>
      <w:r>
        <w:t xml:space="preserve">Taking a broader view of the failures that led to wrongful convictions in England, Canada and Australia permits the </w:t>
      </w:r>
      <w:proofErr w:type="spellStart"/>
      <w:r>
        <w:t>Folbigg</w:t>
      </w:r>
      <w:proofErr w:type="spellEnd"/>
      <w:r>
        <w:t xml:space="preserve"> case to be seen not as an aberration, but as a telling instance of the failures of contemporary conceptions of the relationships between gender, crime and truth-seeking.  </w:t>
      </w:r>
      <w:r w:rsidR="004D6D6A">
        <w:t xml:space="preserve">While such discussions may find their greatest resonance within academic </w:t>
      </w:r>
      <w:r w:rsidR="00A96B55">
        <w:t>circles</w:t>
      </w:r>
      <w:r w:rsidR="004D6D6A">
        <w:t>, I remain convinced that they offer the most fruitful path towards a more egalitarian model of fact determination in difficult criminal trials.</w:t>
      </w:r>
      <w:r>
        <w:t xml:space="preserve"> </w:t>
      </w:r>
    </w:p>
    <w:p w:rsidR="004D592E" w:rsidRDefault="004D592E" w:rsidP="00A75843">
      <w:pPr>
        <w:spacing w:line="276" w:lineRule="auto"/>
      </w:pPr>
    </w:p>
    <w:p w:rsidR="00925FEA" w:rsidRPr="00124664" w:rsidRDefault="00925FEA" w:rsidP="00A75843">
      <w:pPr>
        <w:spacing w:line="276" w:lineRule="auto"/>
      </w:pPr>
    </w:p>
    <w:sectPr w:rsidR="00925FEA" w:rsidRPr="00124664" w:rsidSect="007D141C">
      <w:headerReference w:type="even" r:id="rId7"/>
      <w:headerReference w:type="default" r:id="rId8"/>
      <w:footerReference w:type="even" r:id="rId9"/>
      <w:footerReference w:type="default" r:id="rId10"/>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874" w:rsidRDefault="000E2874" w:rsidP="00A75843">
      <w:pPr>
        <w:spacing w:after="0"/>
      </w:pPr>
      <w:r>
        <w:separator/>
      </w:r>
    </w:p>
  </w:endnote>
  <w:endnote w:type="continuationSeparator" w:id="0">
    <w:p w:rsidR="000E2874" w:rsidRDefault="000E2874" w:rsidP="00A7584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16729"/>
      <w:docPartObj>
        <w:docPartGallery w:val="Page Numbers (Bottom of Page)"/>
        <w:docPartUnique/>
      </w:docPartObj>
    </w:sdtPr>
    <w:sdtContent>
      <w:p w:rsidR="007D141C" w:rsidRDefault="007D141C">
        <w:pPr>
          <w:pStyle w:val="Footer"/>
          <w:jc w:val="center"/>
        </w:pPr>
        <w:r>
          <w:t>________________________________________________________________________</w:t>
        </w:r>
      </w:p>
      <w:p w:rsidR="007D141C" w:rsidRDefault="007D141C">
        <w:pPr>
          <w:pStyle w:val="Footer"/>
          <w:jc w:val="center"/>
        </w:pPr>
      </w:p>
      <w:p w:rsidR="007D141C" w:rsidRDefault="00E70420">
        <w:pPr>
          <w:pStyle w:val="Footer"/>
          <w:jc w:val="center"/>
        </w:pPr>
        <w:r w:rsidRPr="007D141C">
          <w:rPr>
            <w:sz w:val="22"/>
            <w:szCs w:val="22"/>
          </w:rPr>
          <w:fldChar w:fldCharType="begin"/>
        </w:r>
        <w:r w:rsidR="007D141C" w:rsidRPr="007D141C">
          <w:rPr>
            <w:sz w:val="22"/>
            <w:szCs w:val="22"/>
          </w:rPr>
          <w:instrText xml:space="preserve"> PAGE   \* MERGEFORMAT </w:instrText>
        </w:r>
        <w:r w:rsidRPr="007D141C">
          <w:rPr>
            <w:sz w:val="22"/>
            <w:szCs w:val="22"/>
          </w:rPr>
          <w:fldChar w:fldCharType="separate"/>
        </w:r>
        <w:r w:rsidR="00F77853">
          <w:rPr>
            <w:noProof/>
            <w:sz w:val="22"/>
            <w:szCs w:val="22"/>
          </w:rPr>
          <w:t>12</w:t>
        </w:r>
        <w:r w:rsidRPr="007D141C">
          <w:rPr>
            <w:sz w:val="22"/>
            <w:szCs w:val="22"/>
          </w:rPr>
          <w:fldChar w:fldCharType="end"/>
        </w:r>
      </w:p>
    </w:sdtContent>
  </w:sdt>
  <w:p w:rsidR="007D141C" w:rsidRDefault="007D14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16708"/>
      <w:docPartObj>
        <w:docPartGallery w:val="Page Numbers (Bottom of Page)"/>
        <w:docPartUnique/>
      </w:docPartObj>
    </w:sdtPr>
    <w:sdtContent>
      <w:p w:rsidR="007D141C" w:rsidRDefault="007D141C">
        <w:pPr>
          <w:pStyle w:val="Footer"/>
          <w:jc w:val="center"/>
        </w:pPr>
        <w:r>
          <w:t>________________________________________________________________________</w:t>
        </w:r>
      </w:p>
      <w:p w:rsidR="007D141C" w:rsidRDefault="007D141C">
        <w:pPr>
          <w:pStyle w:val="Footer"/>
          <w:jc w:val="center"/>
        </w:pPr>
      </w:p>
      <w:p w:rsidR="007D141C" w:rsidRDefault="00E70420">
        <w:pPr>
          <w:pStyle w:val="Footer"/>
          <w:jc w:val="center"/>
        </w:pPr>
        <w:r w:rsidRPr="007D141C">
          <w:rPr>
            <w:sz w:val="22"/>
            <w:szCs w:val="22"/>
          </w:rPr>
          <w:fldChar w:fldCharType="begin"/>
        </w:r>
        <w:r w:rsidR="007D141C" w:rsidRPr="007D141C">
          <w:rPr>
            <w:sz w:val="22"/>
            <w:szCs w:val="22"/>
          </w:rPr>
          <w:instrText xml:space="preserve"> PAGE   \* MERGEFORMAT </w:instrText>
        </w:r>
        <w:r w:rsidRPr="007D141C">
          <w:rPr>
            <w:sz w:val="22"/>
            <w:szCs w:val="22"/>
          </w:rPr>
          <w:fldChar w:fldCharType="separate"/>
        </w:r>
        <w:r w:rsidR="00F77853">
          <w:rPr>
            <w:noProof/>
            <w:sz w:val="22"/>
            <w:szCs w:val="22"/>
          </w:rPr>
          <w:t>11</w:t>
        </w:r>
        <w:r w:rsidRPr="007D141C">
          <w:rPr>
            <w:sz w:val="22"/>
            <w:szCs w:val="22"/>
          </w:rPr>
          <w:fldChar w:fldCharType="end"/>
        </w:r>
      </w:p>
    </w:sdtContent>
  </w:sdt>
  <w:p w:rsidR="007D141C" w:rsidRDefault="007D14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874" w:rsidRDefault="000E2874" w:rsidP="00A75843">
      <w:pPr>
        <w:spacing w:after="0"/>
      </w:pPr>
      <w:r>
        <w:separator/>
      </w:r>
    </w:p>
  </w:footnote>
  <w:footnote w:type="continuationSeparator" w:id="0">
    <w:p w:rsidR="000E2874" w:rsidRDefault="000E2874" w:rsidP="00A75843">
      <w:pPr>
        <w:spacing w:after="0"/>
      </w:pPr>
      <w:r>
        <w:continuationSeparator/>
      </w:r>
    </w:p>
  </w:footnote>
  <w:footnote w:id="1">
    <w:p w:rsidR="007D141C" w:rsidRPr="007D141C" w:rsidRDefault="007D141C">
      <w:pPr>
        <w:pStyle w:val="FootnoteText"/>
        <w:rPr>
          <w:sz w:val="20"/>
          <w:szCs w:val="20"/>
          <w:lang w:val="en-GB"/>
        </w:rPr>
      </w:pPr>
      <w:r>
        <w:rPr>
          <w:rStyle w:val="FootnoteReference"/>
        </w:rPr>
        <w:t>*</w:t>
      </w:r>
      <w:r>
        <w:t xml:space="preserve"> </w:t>
      </w:r>
      <w:r>
        <w:rPr>
          <w:sz w:val="20"/>
          <w:szCs w:val="20"/>
        </w:rPr>
        <w:t xml:space="preserve">Associate Professor, Faculty of Law, University of British Columbia, Canada. </w:t>
      </w:r>
      <w:hyperlink r:id="rId1" w:history="1">
        <w:r w:rsidRPr="00EC0D2B">
          <w:rPr>
            <w:rStyle w:val="Hyperlink"/>
            <w:sz w:val="20"/>
            <w:szCs w:val="20"/>
          </w:rPr>
          <w:t>cunliffe@law.ubc.ca</w:t>
        </w:r>
      </w:hyperlink>
      <w:r>
        <w:rPr>
          <w:sz w:val="20"/>
          <w:szCs w:val="20"/>
        </w:rPr>
        <w:t xml:space="preserve"> </w:t>
      </w:r>
    </w:p>
  </w:footnote>
  <w:footnote w:id="2">
    <w:p w:rsidR="000E2874" w:rsidRPr="00A75843" w:rsidRDefault="000E2874" w:rsidP="001E0B08">
      <w:pPr>
        <w:pStyle w:val="FootnoteText"/>
        <w:spacing w:before="120" w:after="120"/>
        <w:rPr>
          <w:i/>
        </w:rPr>
      </w:pPr>
      <w:r>
        <w:rPr>
          <w:rStyle w:val="FootnoteReference"/>
        </w:rPr>
        <w:footnoteRef/>
      </w:r>
      <w:r>
        <w:t xml:space="preserve"> </w:t>
      </w:r>
      <w:r w:rsidRPr="00A75843">
        <w:rPr>
          <w:sz w:val="20"/>
          <w:szCs w:val="20"/>
        </w:rPr>
        <w:t xml:space="preserve">These reviews arose from an author-meets-reader session </w:t>
      </w:r>
      <w:r>
        <w:rPr>
          <w:sz w:val="20"/>
          <w:szCs w:val="20"/>
        </w:rPr>
        <w:t xml:space="preserve">at the 2012 Law &amp; Society Association conference.  The session was </w:t>
      </w:r>
      <w:r w:rsidRPr="00A75843">
        <w:rPr>
          <w:sz w:val="20"/>
          <w:szCs w:val="20"/>
        </w:rPr>
        <w:t xml:space="preserve">organized by my dear friend </w:t>
      </w:r>
      <w:proofErr w:type="spellStart"/>
      <w:r w:rsidRPr="00A75843">
        <w:rPr>
          <w:sz w:val="20"/>
          <w:szCs w:val="20"/>
        </w:rPr>
        <w:t>Pooja</w:t>
      </w:r>
      <w:proofErr w:type="spellEnd"/>
      <w:r w:rsidRPr="00A75843">
        <w:rPr>
          <w:sz w:val="20"/>
          <w:szCs w:val="20"/>
        </w:rPr>
        <w:t xml:space="preserve"> </w:t>
      </w:r>
      <w:proofErr w:type="spellStart"/>
      <w:r w:rsidRPr="00A75843">
        <w:rPr>
          <w:sz w:val="20"/>
          <w:szCs w:val="20"/>
        </w:rPr>
        <w:t>Parmar</w:t>
      </w:r>
      <w:proofErr w:type="spellEnd"/>
      <w:r w:rsidRPr="00A75843">
        <w:rPr>
          <w:sz w:val="20"/>
          <w:szCs w:val="20"/>
        </w:rPr>
        <w:t xml:space="preserve">.  I am also tremendously grateful to </w:t>
      </w:r>
      <w:proofErr w:type="spellStart"/>
      <w:r w:rsidRPr="00A75843">
        <w:rPr>
          <w:sz w:val="20"/>
          <w:szCs w:val="20"/>
        </w:rPr>
        <w:t>Pooja</w:t>
      </w:r>
      <w:proofErr w:type="spellEnd"/>
      <w:r w:rsidRPr="00A75843">
        <w:rPr>
          <w:sz w:val="20"/>
          <w:szCs w:val="20"/>
        </w:rPr>
        <w:t xml:space="preserve"> for organizing the </w:t>
      </w:r>
      <w:r>
        <w:rPr>
          <w:sz w:val="20"/>
          <w:szCs w:val="20"/>
        </w:rPr>
        <w:t>panel</w:t>
      </w:r>
      <w:r w:rsidRPr="00A75843">
        <w:rPr>
          <w:sz w:val="20"/>
          <w:szCs w:val="20"/>
        </w:rPr>
        <w:t xml:space="preserve"> and to Rosemary Hunter for suggesting that we turn the session into a</w:t>
      </w:r>
      <w:r>
        <w:rPr>
          <w:sz w:val="20"/>
          <w:szCs w:val="20"/>
        </w:rPr>
        <w:t xml:space="preserve"> set of articles for </w:t>
      </w:r>
      <w:proofErr w:type="spellStart"/>
      <w:r>
        <w:rPr>
          <w:i/>
          <w:sz w:val="20"/>
          <w:szCs w:val="20"/>
        </w:rPr>
        <w:t>feminists@law</w:t>
      </w:r>
      <w:proofErr w:type="spellEnd"/>
      <w:r>
        <w:rPr>
          <w:i/>
          <w:sz w:val="20"/>
          <w:szCs w:val="20"/>
        </w:rPr>
        <w:t>.</w:t>
      </w:r>
    </w:p>
  </w:footnote>
  <w:footnote w:id="3">
    <w:p w:rsidR="000E2874" w:rsidRPr="00E65B0E" w:rsidRDefault="000E2874" w:rsidP="00E65B0E">
      <w:pPr>
        <w:pStyle w:val="FootnoteText"/>
        <w:spacing w:before="120"/>
        <w:rPr>
          <w:sz w:val="20"/>
          <w:szCs w:val="20"/>
        </w:rPr>
      </w:pPr>
      <w:r>
        <w:rPr>
          <w:rStyle w:val="FootnoteReference"/>
        </w:rPr>
        <w:footnoteRef/>
      </w:r>
      <w:r>
        <w:t xml:space="preserve"> </w:t>
      </w:r>
      <w:r>
        <w:rPr>
          <w:sz w:val="20"/>
          <w:szCs w:val="20"/>
        </w:rPr>
        <w:t xml:space="preserve">Simon </w:t>
      </w:r>
      <w:proofErr w:type="spellStart"/>
      <w:r>
        <w:rPr>
          <w:sz w:val="20"/>
          <w:szCs w:val="20"/>
        </w:rPr>
        <w:t>Halliday</w:t>
      </w:r>
      <w:proofErr w:type="spellEnd"/>
      <w:r>
        <w:rPr>
          <w:sz w:val="20"/>
          <w:szCs w:val="20"/>
        </w:rPr>
        <w:t xml:space="preserve"> and Patrick Schmidt’s excellent work </w:t>
      </w:r>
      <w:r w:rsidRPr="00E65B0E">
        <w:rPr>
          <w:i/>
          <w:sz w:val="20"/>
          <w:szCs w:val="20"/>
        </w:rPr>
        <w:t>Conducting Law and Society Research: Reflections on Methods and Practices</w:t>
      </w:r>
      <w:r w:rsidRPr="00E65B0E">
        <w:rPr>
          <w:sz w:val="20"/>
          <w:szCs w:val="20"/>
        </w:rPr>
        <w:t xml:space="preserve"> (Cambridge: Cambridge University Press, 2009)</w:t>
      </w:r>
      <w:r>
        <w:rPr>
          <w:sz w:val="20"/>
          <w:szCs w:val="20"/>
        </w:rPr>
        <w:t xml:space="preserve"> provides a model for such reflection.</w:t>
      </w:r>
    </w:p>
  </w:footnote>
  <w:footnote w:id="4">
    <w:p w:rsidR="000E2874" w:rsidRPr="00A21D2E" w:rsidRDefault="000E2874" w:rsidP="00A21D2E">
      <w:pPr>
        <w:pStyle w:val="FootnoteText"/>
        <w:spacing w:before="120"/>
        <w:rPr>
          <w:i/>
          <w:sz w:val="20"/>
          <w:szCs w:val="20"/>
        </w:rPr>
      </w:pPr>
      <w:r>
        <w:rPr>
          <w:rStyle w:val="FootnoteReference"/>
        </w:rPr>
        <w:footnoteRef/>
      </w:r>
      <w:r>
        <w:t xml:space="preserve"> </w:t>
      </w:r>
      <w:r>
        <w:rPr>
          <w:sz w:val="20"/>
          <w:szCs w:val="20"/>
        </w:rPr>
        <w:t>Two of the best examples are Michael McCann and William Haltom</w:t>
      </w:r>
      <w:r w:rsidR="005D1122">
        <w:rPr>
          <w:sz w:val="20"/>
          <w:szCs w:val="20"/>
        </w:rPr>
        <w:t>,</w:t>
      </w:r>
      <w:r>
        <w:rPr>
          <w:sz w:val="20"/>
          <w:szCs w:val="20"/>
        </w:rPr>
        <w:t xml:space="preserve"> </w:t>
      </w:r>
      <w:r>
        <w:rPr>
          <w:i/>
          <w:sz w:val="20"/>
          <w:szCs w:val="20"/>
        </w:rPr>
        <w:t xml:space="preserve">Distorting the Law: </w:t>
      </w:r>
      <w:r w:rsidRPr="00A21D2E">
        <w:rPr>
          <w:i/>
          <w:sz w:val="20"/>
          <w:szCs w:val="20"/>
        </w:rPr>
        <w:t xml:space="preserve">Politics, Media and the Litigation Crisis </w:t>
      </w:r>
      <w:r w:rsidRPr="00A21D2E">
        <w:rPr>
          <w:sz w:val="20"/>
          <w:szCs w:val="20"/>
        </w:rPr>
        <w:t>(Chicago: University of Chicago Press, 2004)</w:t>
      </w:r>
      <w:r>
        <w:rPr>
          <w:sz w:val="20"/>
          <w:szCs w:val="20"/>
        </w:rPr>
        <w:t xml:space="preserve"> and </w:t>
      </w:r>
      <w:r w:rsidRPr="00A21D2E">
        <w:rPr>
          <w:sz w:val="20"/>
          <w:szCs w:val="20"/>
        </w:rPr>
        <w:t xml:space="preserve">Austin </w:t>
      </w:r>
      <w:proofErr w:type="spellStart"/>
      <w:r w:rsidRPr="00A21D2E">
        <w:rPr>
          <w:sz w:val="20"/>
          <w:szCs w:val="20"/>
        </w:rPr>
        <w:t>Sarat</w:t>
      </w:r>
      <w:proofErr w:type="spellEnd"/>
      <w:r w:rsidRPr="00A21D2E">
        <w:rPr>
          <w:sz w:val="20"/>
          <w:szCs w:val="20"/>
        </w:rPr>
        <w:t xml:space="preserve"> and Susan </w:t>
      </w:r>
      <w:proofErr w:type="spellStart"/>
      <w:r w:rsidRPr="00A21D2E">
        <w:rPr>
          <w:sz w:val="20"/>
          <w:szCs w:val="20"/>
        </w:rPr>
        <w:t>Silbey</w:t>
      </w:r>
      <w:proofErr w:type="spellEnd"/>
      <w:r w:rsidRPr="00A21D2E">
        <w:rPr>
          <w:sz w:val="20"/>
          <w:szCs w:val="20"/>
        </w:rPr>
        <w:t>, “The Pull of the Policy Audience” (1988) 10 Law &amp; Policy 97</w:t>
      </w:r>
      <w:r>
        <w:rPr>
          <w:sz w:val="20"/>
          <w:szCs w:val="20"/>
        </w:rPr>
        <w:t>.</w:t>
      </w:r>
    </w:p>
  </w:footnote>
  <w:footnote w:id="5">
    <w:p w:rsidR="000E2874" w:rsidRPr="003A2BEC" w:rsidRDefault="000E2874" w:rsidP="001E0B08">
      <w:pPr>
        <w:pStyle w:val="FootnoteText"/>
        <w:spacing w:before="120" w:after="120"/>
        <w:rPr>
          <w:sz w:val="20"/>
          <w:szCs w:val="20"/>
        </w:rPr>
      </w:pPr>
      <w:r>
        <w:rPr>
          <w:rStyle w:val="FootnoteReference"/>
        </w:rPr>
        <w:footnoteRef/>
      </w:r>
      <w:r>
        <w:t xml:space="preserve"> </w:t>
      </w:r>
      <w:r>
        <w:rPr>
          <w:sz w:val="20"/>
          <w:szCs w:val="20"/>
        </w:rPr>
        <w:t>See for example Helene Kennedy</w:t>
      </w:r>
      <w:r w:rsidRPr="00D053FA">
        <w:rPr>
          <w:i/>
          <w:sz w:val="20"/>
          <w:szCs w:val="20"/>
        </w:rPr>
        <w:t>, Sudden Unexpected Death in Infancy: A Multi-Agency Protocol for Care and Investigation</w:t>
      </w:r>
      <w:r w:rsidR="005D1122">
        <w:rPr>
          <w:sz w:val="20"/>
          <w:szCs w:val="20"/>
        </w:rPr>
        <w:t xml:space="preserve"> (London:</w:t>
      </w:r>
      <w:r w:rsidRPr="00145367">
        <w:rPr>
          <w:sz w:val="20"/>
          <w:szCs w:val="20"/>
        </w:rPr>
        <w:t xml:space="preserve"> Royal College of Pathologists and Royal College of </w:t>
      </w:r>
      <w:proofErr w:type="spellStart"/>
      <w:r w:rsidRPr="00145367">
        <w:rPr>
          <w:sz w:val="20"/>
          <w:szCs w:val="20"/>
        </w:rPr>
        <w:t>Paediatrics</w:t>
      </w:r>
      <w:proofErr w:type="spellEnd"/>
      <w:r>
        <w:rPr>
          <w:sz w:val="20"/>
          <w:szCs w:val="20"/>
        </w:rPr>
        <w:t xml:space="preserve"> </w:t>
      </w:r>
      <w:r w:rsidRPr="00145367">
        <w:rPr>
          <w:sz w:val="20"/>
          <w:szCs w:val="20"/>
        </w:rPr>
        <w:t>and Child Health, 2004)</w:t>
      </w:r>
      <w:r>
        <w:rPr>
          <w:sz w:val="20"/>
          <w:szCs w:val="20"/>
        </w:rPr>
        <w:t xml:space="preserve">; Royal Statistical Society, Peter Green, </w:t>
      </w:r>
      <w:r>
        <w:rPr>
          <w:i/>
          <w:sz w:val="20"/>
          <w:szCs w:val="20"/>
        </w:rPr>
        <w:t xml:space="preserve">Letter from the President to the Lord Chancellor regarding the use of statistical evidence in criminal cases </w:t>
      </w:r>
      <w:r>
        <w:rPr>
          <w:sz w:val="20"/>
          <w:szCs w:val="20"/>
        </w:rPr>
        <w:t xml:space="preserve">(Royal Statistical </w:t>
      </w:r>
      <w:r w:rsidR="005D1122">
        <w:rPr>
          <w:sz w:val="20"/>
          <w:szCs w:val="20"/>
        </w:rPr>
        <w:t xml:space="preserve">Society 2002) available online at </w:t>
      </w:r>
      <w:hyperlink r:id="rId2" w:history="1">
        <w:r w:rsidR="005D1122" w:rsidRPr="003943B6">
          <w:rPr>
            <w:rStyle w:val="Hyperlink"/>
            <w:sz w:val="20"/>
            <w:szCs w:val="20"/>
          </w:rPr>
          <w:t>http://www.rss.org.uk/uploadedfiles/userfiles/files/Letter-RSS-President-Lord-Chancellor-Sally-Clark-case.pdf</w:t>
        </w:r>
      </w:hyperlink>
      <w:r>
        <w:rPr>
          <w:sz w:val="20"/>
          <w:szCs w:val="20"/>
        </w:rPr>
        <w:t>.</w:t>
      </w:r>
      <w:r w:rsidR="005D1122">
        <w:rPr>
          <w:sz w:val="20"/>
          <w:szCs w:val="20"/>
        </w:rPr>
        <w:t xml:space="preserve"> </w:t>
      </w:r>
    </w:p>
  </w:footnote>
  <w:footnote w:id="6">
    <w:p w:rsidR="000E2874" w:rsidRPr="00D2199F" w:rsidRDefault="000E2874" w:rsidP="00D2199F">
      <w:pPr>
        <w:pStyle w:val="FootnoteText"/>
        <w:spacing w:before="120"/>
        <w:rPr>
          <w:sz w:val="20"/>
          <w:szCs w:val="20"/>
        </w:rPr>
      </w:pPr>
      <w:r>
        <w:rPr>
          <w:rStyle w:val="FootnoteReference"/>
        </w:rPr>
        <w:footnoteRef/>
      </w:r>
      <w:r>
        <w:t xml:space="preserve"> </w:t>
      </w:r>
      <w:r>
        <w:rPr>
          <w:sz w:val="20"/>
          <w:szCs w:val="20"/>
        </w:rPr>
        <w:t>Fi</w:t>
      </w:r>
      <w:r w:rsidR="005D1122">
        <w:rPr>
          <w:sz w:val="20"/>
          <w:szCs w:val="20"/>
        </w:rPr>
        <w:t xml:space="preserve">ona Raitt and Suzanne </w:t>
      </w:r>
      <w:proofErr w:type="spellStart"/>
      <w:r w:rsidR="005D1122">
        <w:rPr>
          <w:sz w:val="20"/>
          <w:szCs w:val="20"/>
        </w:rPr>
        <w:t>Zeedyck</w:t>
      </w:r>
      <w:proofErr w:type="spellEnd"/>
      <w:r w:rsidR="005D1122">
        <w:rPr>
          <w:sz w:val="20"/>
          <w:szCs w:val="20"/>
        </w:rPr>
        <w:t>, “</w:t>
      </w:r>
      <w:r w:rsidRPr="00D2199F">
        <w:rPr>
          <w:sz w:val="20"/>
          <w:szCs w:val="20"/>
        </w:rPr>
        <w:t>Mothers on Trial: Discourses of Cot Death and</w:t>
      </w:r>
      <w:r>
        <w:rPr>
          <w:sz w:val="20"/>
          <w:szCs w:val="20"/>
        </w:rPr>
        <w:t xml:space="preserve"> Munchausen’s Syndrome by Proxy”</w:t>
      </w:r>
      <w:r w:rsidRPr="00D2199F">
        <w:rPr>
          <w:sz w:val="20"/>
          <w:szCs w:val="20"/>
        </w:rPr>
        <w:t xml:space="preserve"> (2004) 12 Feminist Legal Studies 257.</w:t>
      </w:r>
    </w:p>
  </w:footnote>
  <w:footnote w:id="7">
    <w:p w:rsidR="000E2874" w:rsidRPr="003A2BEC" w:rsidRDefault="000E2874" w:rsidP="001E0B08">
      <w:pPr>
        <w:pStyle w:val="FootnoteText"/>
        <w:spacing w:before="120" w:after="120"/>
        <w:rPr>
          <w:sz w:val="20"/>
          <w:szCs w:val="20"/>
        </w:rPr>
      </w:pPr>
      <w:r>
        <w:rPr>
          <w:rStyle w:val="FootnoteReference"/>
        </w:rPr>
        <w:footnoteRef/>
      </w:r>
      <w:r>
        <w:t xml:space="preserve"> </w:t>
      </w:r>
      <w:proofErr w:type="gramStart"/>
      <w:r>
        <w:rPr>
          <w:i/>
          <w:sz w:val="20"/>
          <w:szCs w:val="20"/>
        </w:rPr>
        <w:t xml:space="preserve">R v SM </w:t>
      </w:r>
      <w:r>
        <w:rPr>
          <w:sz w:val="20"/>
          <w:szCs w:val="20"/>
        </w:rPr>
        <w:t xml:space="preserve">1991 </w:t>
      </w:r>
      <w:proofErr w:type="spellStart"/>
      <w:r>
        <w:rPr>
          <w:sz w:val="20"/>
          <w:szCs w:val="20"/>
        </w:rPr>
        <w:t>CarswellOnt</w:t>
      </w:r>
      <w:proofErr w:type="spellEnd"/>
      <w:r>
        <w:rPr>
          <w:sz w:val="20"/>
          <w:szCs w:val="20"/>
        </w:rPr>
        <w:t xml:space="preserve"> 3660.</w:t>
      </w:r>
      <w:proofErr w:type="gramEnd"/>
    </w:p>
  </w:footnote>
  <w:footnote w:id="8">
    <w:p w:rsidR="000E2874" w:rsidRPr="00891A52" w:rsidRDefault="000E2874" w:rsidP="001E0B08">
      <w:pPr>
        <w:pStyle w:val="FootnoteText"/>
        <w:spacing w:before="120" w:after="120"/>
        <w:rPr>
          <w:sz w:val="20"/>
          <w:szCs w:val="20"/>
        </w:rPr>
      </w:pPr>
      <w:r>
        <w:rPr>
          <w:rStyle w:val="FootnoteReference"/>
        </w:rPr>
        <w:footnoteRef/>
      </w:r>
      <w:r>
        <w:t xml:space="preserve"> </w:t>
      </w:r>
      <w:r>
        <w:rPr>
          <w:i/>
          <w:sz w:val="20"/>
          <w:szCs w:val="20"/>
        </w:rPr>
        <w:t xml:space="preserve">R v </w:t>
      </w:r>
      <w:proofErr w:type="spellStart"/>
      <w:r>
        <w:rPr>
          <w:i/>
          <w:sz w:val="20"/>
          <w:szCs w:val="20"/>
        </w:rPr>
        <w:t>Kporwodu</w:t>
      </w:r>
      <w:proofErr w:type="spellEnd"/>
      <w:r>
        <w:rPr>
          <w:i/>
          <w:sz w:val="20"/>
          <w:szCs w:val="20"/>
        </w:rPr>
        <w:t xml:space="preserve"> &amp; </w:t>
      </w:r>
      <w:proofErr w:type="spellStart"/>
      <w:r>
        <w:rPr>
          <w:i/>
          <w:sz w:val="20"/>
          <w:szCs w:val="20"/>
        </w:rPr>
        <w:t>Veno</w:t>
      </w:r>
      <w:proofErr w:type="spellEnd"/>
      <w:r>
        <w:rPr>
          <w:i/>
          <w:sz w:val="20"/>
          <w:szCs w:val="20"/>
        </w:rPr>
        <w:t xml:space="preserve"> </w:t>
      </w:r>
      <w:r w:rsidRPr="00891A52">
        <w:rPr>
          <w:sz w:val="20"/>
          <w:szCs w:val="20"/>
        </w:rPr>
        <w:t xml:space="preserve">(2003), 176 C.C.C. (3d) 97 (Ont. S.C.J.), </w:t>
      </w:r>
      <w:proofErr w:type="spellStart"/>
      <w:r w:rsidRPr="00891A52">
        <w:rPr>
          <w:sz w:val="20"/>
          <w:szCs w:val="20"/>
        </w:rPr>
        <w:t>aff'd</w:t>
      </w:r>
      <w:proofErr w:type="spellEnd"/>
      <w:r w:rsidRPr="00891A52">
        <w:rPr>
          <w:sz w:val="20"/>
          <w:szCs w:val="20"/>
        </w:rPr>
        <w:t xml:space="preserve"> (2005), 195 C.C.C.</w:t>
      </w:r>
      <w:r>
        <w:rPr>
          <w:sz w:val="20"/>
          <w:szCs w:val="20"/>
        </w:rPr>
        <w:t xml:space="preserve"> </w:t>
      </w:r>
      <w:r w:rsidRPr="00891A52">
        <w:rPr>
          <w:sz w:val="20"/>
          <w:szCs w:val="20"/>
        </w:rPr>
        <w:t>(3d) 501 (Ont. C.A.)</w:t>
      </w:r>
      <w:r>
        <w:rPr>
          <w:sz w:val="20"/>
          <w:szCs w:val="20"/>
        </w:rPr>
        <w:t>.</w:t>
      </w:r>
    </w:p>
  </w:footnote>
  <w:footnote w:id="9">
    <w:p w:rsidR="000E2874" w:rsidRPr="00891A52" w:rsidRDefault="000E2874" w:rsidP="001E0B08">
      <w:pPr>
        <w:pStyle w:val="FootnoteText"/>
        <w:spacing w:before="120" w:after="120"/>
        <w:rPr>
          <w:sz w:val="20"/>
          <w:szCs w:val="20"/>
        </w:rPr>
      </w:pPr>
      <w:r>
        <w:rPr>
          <w:rStyle w:val="FootnoteReference"/>
        </w:rPr>
        <w:footnoteRef/>
      </w:r>
      <w:r>
        <w:t xml:space="preserve"> </w:t>
      </w:r>
      <w:r>
        <w:rPr>
          <w:sz w:val="20"/>
          <w:szCs w:val="20"/>
        </w:rPr>
        <w:t xml:space="preserve">These cases had been reported in Canadian media by 2004, but are conveniently described together in Stephen T </w:t>
      </w:r>
      <w:proofErr w:type="spellStart"/>
      <w:r>
        <w:rPr>
          <w:sz w:val="20"/>
          <w:szCs w:val="20"/>
        </w:rPr>
        <w:t>Goudge</w:t>
      </w:r>
      <w:proofErr w:type="spellEnd"/>
      <w:r w:rsidR="005D1122">
        <w:rPr>
          <w:sz w:val="20"/>
          <w:szCs w:val="20"/>
        </w:rPr>
        <w:t>,</w:t>
      </w:r>
      <w:r>
        <w:rPr>
          <w:sz w:val="20"/>
          <w:szCs w:val="20"/>
        </w:rPr>
        <w:t xml:space="preserve"> </w:t>
      </w:r>
      <w:r>
        <w:rPr>
          <w:i/>
          <w:sz w:val="20"/>
          <w:szCs w:val="20"/>
        </w:rPr>
        <w:t>Report of the Inquiry into Pediatric Forensic Pathology Services in Ontario</w:t>
      </w:r>
      <w:r>
        <w:rPr>
          <w:sz w:val="20"/>
          <w:szCs w:val="20"/>
        </w:rPr>
        <w:t xml:space="preserve"> (Toronto: Queen’s Printer, 2008) volume 2, chapter 2.</w:t>
      </w:r>
    </w:p>
  </w:footnote>
  <w:footnote w:id="10">
    <w:p w:rsidR="000E2874" w:rsidRPr="000B19A4" w:rsidRDefault="000E2874" w:rsidP="001E0B08">
      <w:pPr>
        <w:pStyle w:val="FootnoteText"/>
        <w:spacing w:before="120" w:after="120"/>
        <w:rPr>
          <w:sz w:val="20"/>
          <w:szCs w:val="20"/>
        </w:rPr>
      </w:pPr>
      <w:r>
        <w:rPr>
          <w:rStyle w:val="FootnoteReference"/>
        </w:rPr>
        <w:footnoteRef/>
      </w:r>
      <w:r>
        <w:t xml:space="preserve"> </w:t>
      </w:r>
      <w:proofErr w:type="gramStart"/>
      <w:r w:rsidRPr="000B19A4">
        <w:rPr>
          <w:i/>
          <w:sz w:val="20"/>
          <w:szCs w:val="20"/>
        </w:rPr>
        <w:t>R v Phillips</w:t>
      </w:r>
      <w:r w:rsidRPr="000B19A4">
        <w:rPr>
          <w:sz w:val="20"/>
          <w:szCs w:val="20"/>
        </w:rPr>
        <w:t xml:space="preserve"> [1999] NSWSC 1175 (17 December 1999) Bell J.</w:t>
      </w:r>
      <w:proofErr w:type="gramEnd"/>
    </w:p>
  </w:footnote>
  <w:footnote w:id="11">
    <w:p w:rsidR="000E2874" w:rsidRPr="000B19A4" w:rsidRDefault="000E2874" w:rsidP="001E0B08">
      <w:pPr>
        <w:pStyle w:val="FootnoteText"/>
        <w:spacing w:before="120" w:after="120"/>
        <w:rPr>
          <w:sz w:val="20"/>
          <w:szCs w:val="20"/>
        </w:rPr>
      </w:pPr>
      <w:r>
        <w:rPr>
          <w:rStyle w:val="FootnoteReference"/>
        </w:rPr>
        <w:footnoteRef/>
      </w:r>
      <w:r>
        <w:t xml:space="preserve"> </w:t>
      </w:r>
      <w:r w:rsidR="005D1122">
        <w:rPr>
          <w:sz w:val="20"/>
          <w:szCs w:val="20"/>
        </w:rPr>
        <w:t>“</w:t>
      </w:r>
      <w:r w:rsidRPr="000B19A4">
        <w:rPr>
          <w:sz w:val="20"/>
          <w:szCs w:val="20"/>
        </w:rPr>
        <w:t>Author</w:t>
      </w:r>
      <w:r w:rsidR="005D1122">
        <w:rPr>
          <w:sz w:val="20"/>
          <w:szCs w:val="20"/>
        </w:rPr>
        <w:t>ities were Told of Child Deaths”</w:t>
      </w:r>
      <w:r w:rsidRPr="000B19A4">
        <w:rPr>
          <w:sz w:val="20"/>
          <w:szCs w:val="20"/>
        </w:rPr>
        <w:t xml:space="preserve"> The Age (29 August 2003) 1.</w:t>
      </w:r>
    </w:p>
  </w:footnote>
  <w:footnote w:id="12">
    <w:p w:rsidR="000E2874" w:rsidRPr="00C1536B" w:rsidRDefault="000E2874" w:rsidP="001E0B08">
      <w:pPr>
        <w:pStyle w:val="FootnoteText"/>
        <w:spacing w:before="120"/>
        <w:rPr>
          <w:sz w:val="20"/>
          <w:szCs w:val="20"/>
        </w:rPr>
      </w:pPr>
      <w:r>
        <w:rPr>
          <w:rStyle w:val="FootnoteReference"/>
        </w:rPr>
        <w:footnoteRef/>
      </w:r>
      <w:r>
        <w:t xml:space="preserve"> </w:t>
      </w:r>
      <w:r w:rsidRPr="00EF1BDF">
        <w:rPr>
          <w:sz w:val="20"/>
          <w:szCs w:val="20"/>
        </w:rPr>
        <w:t>For example,</w:t>
      </w:r>
      <w:r>
        <w:t xml:space="preserve"> </w:t>
      </w:r>
      <w:r>
        <w:rPr>
          <w:sz w:val="20"/>
          <w:szCs w:val="20"/>
        </w:rPr>
        <w:t xml:space="preserve">David Garland, </w:t>
      </w:r>
      <w:r>
        <w:rPr>
          <w:i/>
          <w:sz w:val="20"/>
          <w:szCs w:val="20"/>
        </w:rPr>
        <w:t xml:space="preserve">The Culture of Control: Crime and Social Order </w:t>
      </w:r>
      <w:r>
        <w:rPr>
          <w:sz w:val="20"/>
          <w:szCs w:val="20"/>
        </w:rPr>
        <w:t xml:space="preserve">(Oxford: Oxford University Press, 2001); Jonathon Simon, </w:t>
      </w:r>
      <w:r>
        <w:rPr>
          <w:i/>
          <w:sz w:val="20"/>
          <w:szCs w:val="20"/>
        </w:rPr>
        <w:t>Governing through Crime Metaphors</w:t>
      </w:r>
      <w:r>
        <w:rPr>
          <w:sz w:val="20"/>
          <w:szCs w:val="20"/>
        </w:rPr>
        <w:t xml:space="preserve"> (2002) 67 Brooklyn Law Review 1035.  I was also cognizant of the criticisms that had been made by feminists of the inattention to gender within the criminalization literature.  For example Lorraine </w:t>
      </w:r>
      <w:proofErr w:type="spellStart"/>
      <w:r>
        <w:rPr>
          <w:sz w:val="20"/>
          <w:szCs w:val="20"/>
        </w:rPr>
        <w:t>Gelsthorpe</w:t>
      </w:r>
      <w:proofErr w:type="spellEnd"/>
      <w:r w:rsidR="005D1122">
        <w:rPr>
          <w:sz w:val="20"/>
          <w:szCs w:val="20"/>
        </w:rPr>
        <w:t>,</w:t>
      </w:r>
      <w:r>
        <w:rPr>
          <w:sz w:val="20"/>
          <w:szCs w:val="20"/>
        </w:rPr>
        <w:t xml:space="preserve"> </w:t>
      </w:r>
      <w:r w:rsidR="005D1122">
        <w:rPr>
          <w:sz w:val="20"/>
          <w:szCs w:val="20"/>
        </w:rPr>
        <w:t>“</w:t>
      </w:r>
      <w:r w:rsidRPr="00C1536B">
        <w:rPr>
          <w:sz w:val="20"/>
          <w:szCs w:val="20"/>
        </w:rPr>
        <w:t>Female Of</w:t>
      </w:r>
      <w:r w:rsidR="005D1122">
        <w:rPr>
          <w:sz w:val="20"/>
          <w:szCs w:val="20"/>
        </w:rPr>
        <w:t>fending: A Theoretical Overview” in G. McIvor (ed.)</w:t>
      </w:r>
      <w:r w:rsidRPr="00C1536B">
        <w:rPr>
          <w:sz w:val="20"/>
          <w:szCs w:val="20"/>
        </w:rPr>
        <w:t xml:space="preserve"> </w:t>
      </w:r>
      <w:r w:rsidRPr="00C1536B">
        <w:rPr>
          <w:i/>
          <w:sz w:val="20"/>
          <w:szCs w:val="20"/>
        </w:rPr>
        <w:t>Women Who Offend</w:t>
      </w:r>
      <w:r w:rsidRPr="00C1536B">
        <w:rPr>
          <w:sz w:val="20"/>
          <w:szCs w:val="20"/>
        </w:rPr>
        <w:t xml:space="preserve"> </w:t>
      </w:r>
      <w:r>
        <w:rPr>
          <w:sz w:val="20"/>
          <w:szCs w:val="20"/>
        </w:rPr>
        <w:t>(</w:t>
      </w:r>
      <w:r w:rsidRPr="00C1536B">
        <w:rPr>
          <w:sz w:val="20"/>
          <w:szCs w:val="20"/>
        </w:rPr>
        <w:t>London: Jessica Kingsley</w:t>
      </w:r>
      <w:r>
        <w:rPr>
          <w:sz w:val="20"/>
          <w:szCs w:val="20"/>
        </w:rPr>
        <w:t>, 2004) at 76.</w:t>
      </w:r>
    </w:p>
  </w:footnote>
  <w:footnote w:id="13">
    <w:p w:rsidR="000E2874" w:rsidRPr="00223B42" w:rsidRDefault="000E2874" w:rsidP="00223B42">
      <w:pPr>
        <w:pStyle w:val="FootnoteText"/>
        <w:spacing w:before="120"/>
        <w:rPr>
          <w:sz w:val="20"/>
          <w:szCs w:val="20"/>
        </w:rPr>
      </w:pPr>
      <w:r>
        <w:rPr>
          <w:rStyle w:val="FootnoteReference"/>
        </w:rPr>
        <w:footnoteRef/>
      </w:r>
      <w:r>
        <w:t xml:space="preserve"> </w:t>
      </w:r>
      <w:r>
        <w:rPr>
          <w:sz w:val="20"/>
          <w:szCs w:val="20"/>
        </w:rPr>
        <w:t>Carol Smart, “The Woman of Legal Discourse” (1992) 1 Social &amp; Legal Studies 1 at 29.</w:t>
      </w:r>
    </w:p>
  </w:footnote>
  <w:footnote w:id="14">
    <w:p w:rsidR="000E2874" w:rsidRPr="00223B42" w:rsidRDefault="000E2874" w:rsidP="00BB4995">
      <w:pPr>
        <w:pStyle w:val="FootnoteText"/>
        <w:spacing w:before="120"/>
        <w:rPr>
          <w:sz w:val="20"/>
          <w:szCs w:val="20"/>
        </w:rPr>
      </w:pPr>
      <w:r>
        <w:rPr>
          <w:rStyle w:val="FootnoteReference"/>
        </w:rPr>
        <w:footnoteRef/>
      </w:r>
      <w:r>
        <w:t xml:space="preserve"> </w:t>
      </w:r>
      <w:r>
        <w:rPr>
          <w:sz w:val="20"/>
          <w:szCs w:val="20"/>
        </w:rPr>
        <w:t xml:space="preserve">Shelley </w:t>
      </w:r>
      <w:proofErr w:type="spellStart"/>
      <w:r>
        <w:rPr>
          <w:sz w:val="20"/>
          <w:szCs w:val="20"/>
        </w:rPr>
        <w:t>Gavigan</w:t>
      </w:r>
      <w:proofErr w:type="spellEnd"/>
      <w:r>
        <w:rPr>
          <w:sz w:val="20"/>
          <w:szCs w:val="20"/>
        </w:rPr>
        <w:t xml:space="preserve">, “Mothers, Other Mothers and Others: The Legal Contradictions and Challenges of Lesbian Parenting” in Dorothy </w:t>
      </w:r>
      <w:proofErr w:type="spellStart"/>
      <w:r>
        <w:rPr>
          <w:sz w:val="20"/>
          <w:szCs w:val="20"/>
        </w:rPr>
        <w:t>Chunn</w:t>
      </w:r>
      <w:proofErr w:type="spellEnd"/>
      <w:r>
        <w:rPr>
          <w:sz w:val="20"/>
          <w:szCs w:val="20"/>
        </w:rPr>
        <w:t xml:space="preserve"> and </w:t>
      </w:r>
      <w:proofErr w:type="spellStart"/>
      <w:r>
        <w:rPr>
          <w:sz w:val="20"/>
          <w:szCs w:val="20"/>
        </w:rPr>
        <w:t>Dany</w:t>
      </w:r>
      <w:proofErr w:type="spellEnd"/>
      <w:r>
        <w:rPr>
          <w:sz w:val="20"/>
          <w:szCs w:val="20"/>
        </w:rPr>
        <w:t xml:space="preserve"> Lacombe (</w:t>
      </w:r>
      <w:proofErr w:type="spellStart"/>
      <w:r>
        <w:rPr>
          <w:sz w:val="20"/>
          <w:szCs w:val="20"/>
        </w:rPr>
        <w:t>eds</w:t>
      </w:r>
      <w:proofErr w:type="spellEnd"/>
      <w:r>
        <w:rPr>
          <w:sz w:val="20"/>
          <w:szCs w:val="20"/>
        </w:rPr>
        <w:t xml:space="preserve">) </w:t>
      </w:r>
      <w:r>
        <w:rPr>
          <w:i/>
          <w:sz w:val="20"/>
          <w:szCs w:val="20"/>
        </w:rPr>
        <w:t xml:space="preserve">Law as a Gendering Practice </w:t>
      </w:r>
      <w:r>
        <w:rPr>
          <w:sz w:val="20"/>
          <w:szCs w:val="20"/>
        </w:rPr>
        <w:t>(Oxford: Oxford University Press, 2000) 100 at 105.</w:t>
      </w:r>
    </w:p>
  </w:footnote>
  <w:footnote w:id="15">
    <w:p w:rsidR="000E2874" w:rsidRPr="00223B42" w:rsidRDefault="000E2874" w:rsidP="00223B42">
      <w:pPr>
        <w:pStyle w:val="FootnoteText"/>
        <w:spacing w:before="120"/>
        <w:rPr>
          <w:sz w:val="20"/>
          <w:szCs w:val="20"/>
        </w:rPr>
      </w:pPr>
      <w:r>
        <w:rPr>
          <w:rStyle w:val="FootnoteReference"/>
        </w:rPr>
        <w:footnoteRef/>
      </w:r>
      <w:r>
        <w:t xml:space="preserve"> </w:t>
      </w:r>
      <w:r>
        <w:rPr>
          <w:sz w:val="20"/>
          <w:szCs w:val="20"/>
        </w:rPr>
        <w:t xml:space="preserve">I have written more about these concerns in Emma Cunliffe, “(This is not a) Story: </w:t>
      </w:r>
      <w:r w:rsidRPr="00E320FF">
        <w:rPr>
          <w:sz w:val="20"/>
          <w:szCs w:val="20"/>
        </w:rPr>
        <w:t>Using Court Records to Explore Judicial Narratives in </w:t>
      </w:r>
      <w:r w:rsidRPr="00E320FF">
        <w:rPr>
          <w:i/>
          <w:iCs/>
          <w:sz w:val="20"/>
          <w:szCs w:val="20"/>
        </w:rPr>
        <w:t xml:space="preserve">R. v. Kathleen </w:t>
      </w:r>
      <w:proofErr w:type="spellStart"/>
      <w:r w:rsidRPr="00E320FF">
        <w:rPr>
          <w:i/>
          <w:iCs/>
          <w:sz w:val="20"/>
          <w:szCs w:val="20"/>
        </w:rPr>
        <w:t>Folbigg</w:t>
      </w:r>
      <w:proofErr w:type="spellEnd"/>
      <w:r w:rsidRPr="00E320FF">
        <w:rPr>
          <w:sz w:val="20"/>
          <w:szCs w:val="20"/>
        </w:rPr>
        <w:t>”</w:t>
      </w:r>
      <w:r>
        <w:rPr>
          <w:sz w:val="20"/>
          <w:szCs w:val="20"/>
        </w:rPr>
        <w:t xml:space="preserve"> (2007) 27 Australian Feminist Law Journal 71 and with Angela Cameron in “</w:t>
      </w:r>
      <w:r w:rsidRPr="00E320FF">
        <w:rPr>
          <w:sz w:val="20"/>
          <w:szCs w:val="20"/>
        </w:rPr>
        <w:t>Writing the Circle: Judicially Convened Sentencing Circles and the Textual Organization of Criminal Justice</w:t>
      </w:r>
      <w:r>
        <w:rPr>
          <w:sz w:val="20"/>
          <w:szCs w:val="20"/>
        </w:rPr>
        <w:t>” (2007) 19 Canadian Journal of Women and the Law 1.</w:t>
      </w:r>
    </w:p>
  </w:footnote>
  <w:footnote w:id="16">
    <w:p w:rsidR="000E2874" w:rsidRPr="004B67E2" w:rsidRDefault="000E2874" w:rsidP="00D2199F">
      <w:pPr>
        <w:pStyle w:val="FootnoteText"/>
        <w:spacing w:before="120"/>
        <w:rPr>
          <w:sz w:val="20"/>
          <w:szCs w:val="20"/>
        </w:rPr>
      </w:pPr>
      <w:r>
        <w:rPr>
          <w:rStyle w:val="FootnoteReference"/>
        </w:rPr>
        <w:footnoteRef/>
      </w:r>
      <w:r>
        <w:t xml:space="preserve"> </w:t>
      </w:r>
      <w:r>
        <w:rPr>
          <w:sz w:val="20"/>
          <w:szCs w:val="20"/>
        </w:rPr>
        <w:t>Dorothy Smith</w:t>
      </w:r>
      <w:r w:rsidR="005D1122">
        <w:rPr>
          <w:sz w:val="20"/>
          <w:szCs w:val="20"/>
        </w:rPr>
        <w:t>,</w:t>
      </w:r>
      <w:r>
        <w:rPr>
          <w:sz w:val="20"/>
          <w:szCs w:val="20"/>
        </w:rPr>
        <w:t xml:space="preserve"> </w:t>
      </w:r>
      <w:r>
        <w:rPr>
          <w:i/>
          <w:sz w:val="20"/>
          <w:szCs w:val="20"/>
        </w:rPr>
        <w:t>Institutional Ethnography: A Sociology for People</w:t>
      </w:r>
      <w:r>
        <w:rPr>
          <w:sz w:val="20"/>
          <w:szCs w:val="20"/>
        </w:rPr>
        <w:t xml:space="preserve"> (Lanham MD: </w:t>
      </w:r>
      <w:proofErr w:type="spellStart"/>
      <w:r>
        <w:rPr>
          <w:sz w:val="20"/>
          <w:szCs w:val="20"/>
        </w:rPr>
        <w:t>AltaMira</w:t>
      </w:r>
      <w:proofErr w:type="spellEnd"/>
      <w:r>
        <w:rPr>
          <w:sz w:val="20"/>
          <w:szCs w:val="20"/>
        </w:rPr>
        <w:t xml:space="preserve"> Press, 2005); Dorothy Smith (ed.) </w:t>
      </w:r>
      <w:r>
        <w:rPr>
          <w:i/>
          <w:sz w:val="20"/>
          <w:szCs w:val="20"/>
        </w:rPr>
        <w:t xml:space="preserve">Institutional Ethnography as Practice </w:t>
      </w:r>
      <w:r>
        <w:rPr>
          <w:sz w:val="20"/>
          <w:szCs w:val="20"/>
        </w:rPr>
        <w:t>(Lanham</w:t>
      </w:r>
      <w:r w:rsidR="005D1122">
        <w:rPr>
          <w:sz w:val="20"/>
          <w:szCs w:val="20"/>
        </w:rPr>
        <w:t xml:space="preserve"> MD:</w:t>
      </w:r>
      <w:r>
        <w:rPr>
          <w:sz w:val="20"/>
          <w:szCs w:val="20"/>
        </w:rPr>
        <w:t xml:space="preserve"> </w:t>
      </w:r>
      <w:proofErr w:type="spellStart"/>
      <w:r>
        <w:rPr>
          <w:sz w:val="20"/>
          <w:szCs w:val="20"/>
        </w:rPr>
        <w:t>Rowman</w:t>
      </w:r>
      <w:proofErr w:type="spellEnd"/>
      <w:r>
        <w:rPr>
          <w:sz w:val="20"/>
          <w:szCs w:val="20"/>
        </w:rPr>
        <w:t xml:space="preserve"> and Littlefield, 2006).  An article by Stephen Robertson also proved invaluable.  Stephen Robertson, “</w:t>
      </w:r>
      <w:r w:rsidRPr="00D2199F">
        <w:rPr>
          <w:sz w:val="20"/>
          <w:szCs w:val="20"/>
        </w:rPr>
        <w:t xml:space="preserve">What’s Law Got to Do with It? </w:t>
      </w:r>
      <w:proofErr w:type="gramStart"/>
      <w:r w:rsidRPr="00D2199F">
        <w:rPr>
          <w:sz w:val="20"/>
          <w:szCs w:val="20"/>
        </w:rPr>
        <w:t>Le</w:t>
      </w:r>
      <w:r>
        <w:rPr>
          <w:sz w:val="20"/>
          <w:szCs w:val="20"/>
        </w:rPr>
        <w:t>gal Records and Sexual Histories”</w:t>
      </w:r>
      <w:r w:rsidRPr="00D2199F">
        <w:rPr>
          <w:sz w:val="20"/>
          <w:szCs w:val="20"/>
        </w:rPr>
        <w:t xml:space="preserve"> (1995) 14</w:t>
      </w:r>
      <w:r>
        <w:rPr>
          <w:sz w:val="20"/>
          <w:szCs w:val="20"/>
        </w:rPr>
        <w:t xml:space="preserve"> </w:t>
      </w:r>
      <w:r w:rsidRPr="00D2199F">
        <w:rPr>
          <w:sz w:val="20"/>
          <w:szCs w:val="20"/>
        </w:rPr>
        <w:t>Journal of the History of Sexuality 161.</w:t>
      </w:r>
      <w:proofErr w:type="gramEnd"/>
    </w:p>
  </w:footnote>
  <w:footnote w:id="17">
    <w:p w:rsidR="000E2874" w:rsidRPr="00B45DF4" w:rsidRDefault="000E2874" w:rsidP="001E0B08">
      <w:pPr>
        <w:pStyle w:val="FootnoteText"/>
        <w:spacing w:before="120"/>
        <w:rPr>
          <w:sz w:val="20"/>
          <w:szCs w:val="20"/>
        </w:rPr>
      </w:pPr>
      <w:r>
        <w:rPr>
          <w:rStyle w:val="FootnoteReference"/>
        </w:rPr>
        <w:footnoteRef/>
      </w:r>
      <w:r>
        <w:t xml:space="preserve"> </w:t>
      </w:r>
      <w:r>
        <w:rPr>
          <w:sz w:val="20"/>
          <w:szCs w:val="20"/>
        </w:rPr>
        <w:t xml:space="preserve">The English Court of Appeal denied my request for access to the </w:t>
      </w:r>
      <w:r w:rsidRPr="00A8538F">
        <w:rPr>
          <w:i/>
          <w:sz w:val="20"/>
          <w:szCs w:val="20"/>
        </w:rPr>
        <w:t>Clark</w:t>
      </w:r>
      <w:r>
        <w:rPr>
          <w:sz w:val="20"/>
          <w:szCs w:val="20"/>
        </w:rPr>
        <w:t xml:space="preserve"> and </w:t>
      </w:r>
      <w:proofErr w:type="spellStart"/>
      <w:r w:rsidRPr="00A8538F">
        <w:rPr>
          <w:i/>
          <w:sz w:val="20"/>
          <w:szCs w:val="20"/>
        </w:rPr>
        <w:t>Cannings</w:t>
      </w:r>
      <w:proofErr w:type="spellEnd"/>
      <w:r>
        <w:rPr>
          <w:sz w:val="20"/>
          <w:szCs w:val="20"/>
        </w:rPr>
        <w:t xml:space="preserve"> files on the basis that it considered a PhD to be a personal project, and presumably therefore exempt from the principles of open justice.  Challenging this decision was beyond my resources.  Later in the study, the Victorian Supreme Court returned all exhibits used in </w:t>
      </w:r>
      <w:r>
        <w:rPr>
          <w:i/>
          <w:sz w:val="20"/>
          <w:szCs w:val="20"/>
        </w:rPr>
        <w:t xml:space="preserve">R v Matthey </w:t>
      </w:r>
      <w:r>
        <w:rPr>
          <w:sz w:val="20"/>
          <w:szCs w:val="20"/>
        </w:rPr>
        <w:t xml:space="preserve">to the parties immediately after </w:t>
      </w:r>
      <w:proofErr w:type="spellStart"/>
      <w:r>
        <w:rPr>
          <w:sz w:val="20"/>
          <w:szCs w:val="20"/>
        </w:rPr>
        <w:t>Coldrey</w:t>
      </w:r>
      <w:proofErr w:type="spellEnd"/>
      <w:r>
        <w:rPr>
          <w:sz w:val="20"/>
          <w:szCs w:val="20"/>
        </w:rPr>
        <w:t xml:space="preserve"> J issued his judgment criticizing the prosecution evidence and the expert testimony offered in </w:t>
      </w:r>
      <w:r>
        <w:rPr>
          <w:i/>
          <w:sz w:val="20"/>
          <w:szCs w:val="20"/>
        </w:rPr>
        <w:t>R v Matthey</w:t>
      </w:r>
      <w:r>
        <w:rPr>
          <w:sz w:val="20"/>
          <w:szCs w:val="20"/>
        </w:rPr>
        <w:t xml:space="preserve"> (see [2007] VSC 398).  These exhibits had been used in open court and would otherwise have been available for inspection as part of the court record.  I had access to the transcripts of argument in the Supreme Court, and the transcripts of the committal hearing.  However, without the exhibits, it would be difficult to perform a complete analysis of the case.  These experiences eventually prompted me to write an article about the concept and importance of open justice: Emma Cunliffe, “</w:t>
      </w:r>
      <w:r w:rsidRPr="0072131F">
        <w:rPr>
          <w:sz w:val="20"/>
          <w:szCs w:val="20"/>
        </w:rPr>
        <w:t>Open Justice: Concepts and Judicial Approaches” (2012) 40(3) Federal Law Review</w:t>
      </w:r>
      <w:r>
        <w:rPr>
          <w:sz w:val="20"/>
          <w:szCs w:val="20"/>
        </w:rPr>
        <w:t xml:space="preserve"> 385.</w:t>
      </w:r>
    </w:p>
  </w:footnote>
  <w:footnote w:id="18">
    <w:p w:rsidR="000E2874" w:rsidRPr="00854D64" w:rsidRDefault="000E2874" w:rsidP="001E0B08">
      <w:pPr>
        <w:pStyle w:val="FootnoteText"/>
        <w:spacing w:before="120"/>
        <w:rPr>
          <w:sz w:val="20"/>
          <w:szCs w:val="20"/>
        </w:rPr>
      </w:pPr>
      <w:r>
        <w:rPr>
          <w:rStyle w:val="FootnoteReference"/>
        </w:rPr>
        <w:footnoteRef/>
      </w:r>
      <w:r>
        <w:t xml:space="preserve"> </w:t>
      </w:r>
      <w:proofErr w:type="spellStart"/>
      <w:proofErr w:type="gramStart"/>
      <w:r>
        <w:rPr>
          <w:sz w:val="20"/>
          <w:szCs w:val="20"/>
        </w:rPr>
        <w:t>Goudge</w:t>
      </w:r>
      <w:proofErr w:type="spellEnd"/>
      <w:r>
        <w:rPr>
          <w:sz w:val="20"/>
          <w:szCs w:val="20"/>
        </w:rPr>
        <w:t xml:space="preserve">, above note </w:t>
      </w:r>
      <w:r w:rsidR="005D1122">
        <w:rPr>
          <w:sz w:val="20"/>
          <w:szCs w:val="20"/>
        </w:rPr>
        <w:t>8</w:t>
      </w:r>
      <w:r>
        <w:rPr>
          <w:sz w:val="20"/>
          <w:szCs w:val="20"/>
        </w:rPr>
        <w:t>, volume 2 at 30-1.</w:t>
      </w:r>
      <w:proofErr w:type="gramEnd"/>
    </w:p>
  </w:footnote>
  <w:footnote w:id="19">
    <w:p w:rsidR="000E2874" w:rsidRPr="001E0B08" w:rsidRDefault="000E2874" w:rsidP="001E0B08">
      <w:pPr>
        <w:pStyle w:val="FootnoteText"/>
        <w:spacing w:before="120"/>
        <w:rPr>
          <w:sz w:val="20"/>
          <w:szCs w:val="20"/>
        </w:rPr>
      </w:pPr>
      <w:r>
        <w:rPr>
          <w:rStyle w:val="FootnoteReference"/>
        </w:rPr>
        <w:footnoteRef/>
      </w:r>
      <w:r>
        <w:t xml:space="preserve"> </w:t>
      </w:r>
      <w:r>
        <w:rPr>
          <w:sz w:val="20"/>
          <w:szCs w:val="20"/>
        </w:rPr>
        <w:t xml:space="preserve">Particularly Sheila </w:t>
      </w:r>
      <w:proofErr w:type="spellStart"/>
      <w:r>
        <w:rPr>
          <w:sz w:val="20"/>
          <w:szCs w:val="20"/>
        </w:rPr>
        <w:t>Jasanoff</w:t>
      </w:r>
      <w:proofErr w:type="spellEnd"/>
      <w:r>
        <w:rPr>
          <w:sz w:val="20"/>
          <w:szCs w:val="20"/>
        </w:rPr>
        <w:t xml:space="preserve">, </w:t>
      </w:r>
      <w:r w:rsidRPr="001E0B08">
        <w:rPr>
          <w:i/>
          <w:sz w:val="20"/>
          <w:szCs w:val="20"/>
        </w:rPr>
        <w:t>Science at the Bar: Law, Science and Technology in America</w:t>
      </w:r>
      <w:r w:rsidR="005D1122">
        <w:rPr>
          <w:sz w:val="20"/>
          <w:szCs w:val="20"/>
        </w:rPr>
        <w:t xml:space="preserve"> (Cambridge MA:</w:t>
      </w:r>
      <w:r w:rsidRPr="001E0B08">
        <w:rPr>
          <w:sz w:val="20"/>
          <w:szCs w:val="20"/>
        </w:rPr>
        <w:t xml:space="preserve"> Harvard University Press, 1995).</w:t>
      </w:r>
    </w:p>
  </w:footnote>
  <w:footnote w:id="20">
    <w:p w:rsidR="000E2874" w:rsidRPr="001E0B08" w:rsidRDefault="000E2874" w:rsidP="001E0B08">
      <w:pPr>
        <w:pStyle w:val="FootnoteText"/>
        <w:spacing w:before="120"/>
        <w:rPr>
          <w:sz w:val="20"/>
          <w:szCs w:val="20"/>
        </w:rPr>
      </w:pPr>
      <w:r>
        <w:rPr>
          <w:rStyle w:val="FootnoteReference"/>
        </w:rPr>
        <w:footnoteRef/>
      </w:r>
      <w:r>
        <w:t xml:space="preserve"> </w:t>
      </w:r>
      <w:r>
        <w:rPr>
          <w:sz w:val="20"/>
          <w:szCs w:val="20"/>
        </w:rPr>
        <w:t>See the works cited below, note</w:t>
      </w:r>
      <w:r w:rsidR="005D1122">
        <w:rPr>
          <w:sz w:val="20"/>
          <w:szCs w:val="20"/>
        </w:rPr>
        <w:t xml:space="preserve"> 20</w:t>
      </w:r>
      <w:r>
        <w:rPr>
          <w:sz w:val="20"/>
          <w:szCs w:val="20"/>
        </w:rPr>
        <w:t>.</w:t>
      </w:r>
    </w:p>
  </w:footnote>
  <w:footnote w:id="21">
    <w:p w:rsidR="000E2874" w:rsidRPr="001E0B08" w:rsidRDefault="000E2874" w:rsidP="001E0B08">
      <w:pPr>
        <w:pStyle w:val="FootnoteText"/>
        <w:spacing w:before="120"/>
        <w:rPr>
          <w:sz w:val="20"/>
          <w:szCs w:val="20"/>
        </w:rPr>
      </w:pPr>
      <w:r>
        <w:rPr>
          <w:rStyle w:val="FootnoteReference"/>
        </w:rPr>
        <w:footnoteRef/>
      </w:r>
      <w:r>
        <w:t xml:space="preserve"> </w:t>
      </w:r>
      <w:r>
        <w:rPr>
          <w:sz w:val="20"/>
          <w:szCs w:val="20"/>
        </w:rPr>
        <w:t>Gary Edmond, “</w:t>
      </w:r>
      <w:proofErr w:type="spellStart"/>
      <w:r w:rsidRPr="001E0B08">
        <w:rPr>
          <w:sz w:val="20"/>
          <w:szCs w:val="20"/>
        </w:rPr>
        <w:t>Azaria’s</w:t>
      </w:r>
      <w:proofErr w:type="spellEnd"/>
      <w:r w:rsidRPr="001E0B08">
        <w:rPr>
          <w:sz w:val="20"/>
          <w:szCs w:val="20"/>
        </w:rPr>
        <w:t xml:space="preserve"> Accessories: The Social (Legal-Scientific) Construction of the</w:t>
      </w:r>
      <w:r>
        <w:rPr>
          <w:sz w:val="20"/>
          <w:szCs w:val="20"/>
        </w:rPr>
        <w:t xml:space="preserve"> </w:t>
      </w:r>
      <w:r w:rsidRPr="001E0B08">
        <w:rPr>
          <w:sz w:val="20"/>
          <w:szCs w:val="20"/>
        </w:rPr>
        <w:t>Ch</w:t>
      </w:r>
      <w:r>
        <w:rPr>
          <w:sz w:val="20"/>
          <w:szCs w:val="20"/>
        </w:rPr>
        <w:t>amberlains’ Guilt and Innocence”</w:t>
      </w:r>
      <w:r w:rsidRPr="001E0B08">
        <w:rPr>
          <w:sz w:val="20"/>
          <w:szCs w:val="20"/>
        </w:rPr>
        <w:t xml:space="preserve"> (1998) 22 Melb</w:t>
      </w:r>
      <w:r>
        <w:rPr>
          <w:sz w:val="20"/>
          <w:szCs w:val="20"/>
        </w:rPr>
        <w:t>ourne University Law Review 396; Gary Edmond, “</w:t>
      </w:r>
      <w:r w:rsidRPr="001E0B08">
        <w:rPr>
          <w:sz w:val="20"/>
          <w:szCs w:val="20"/>
        </w:rPr>
        <w:t>Constructing Miscarriages of Justice: Misunderstanding Scientific Evidence in</w:t>
      </w:r>
      <w:r>
        <w:rPr>
          <w:sz w:val="20"/>
          <w:szCs w:val="20"/>
        </w:rPr>
        <w:t xml:space="preserve"> High-Profile Criminal Appeals”</w:t>
      </w:r>
      <w:r w:rsidRPr="001E0B08">
        <w:rPr>
          <w:sz w:val="20"/>
          <w:szCs w:val="20"/>
        </w:rPr>
        <w:t xml:space="preserve"> (2002) 22 Oxford Journal of Legal Studies 53</w:t>
      </w:r>
      <w:r>
        <w:rPr>
          <w:sz w:val="20"/>
          <w:szCs w:val="20"/>
        </w:rPr>
        <w:t>.</w:t>
      </w:r>
    </w:p>
  </w:footnote>
  <w:footnote w:id="22">
    <w:p w:rsidR="000E2874" w:rsidRPr="0072131F" w:rsidRDefault="000E2874" w:rsidP="0072131F">
      <w:pPr>
        <w:pStyle w:val="FootnoteText"/>
        <w:spacing w:before="120"/>
        <w:rPr>
          <w:sz w:val="20"/>
          <w:szCs w:val="20"/>
        </w:rPr>
      </w:pPr>
      <w:r>
        <w:rPr>
          <w:rStyle w:val="FootnoteReference"/>
        </w:rPr>
        <w:footnoteRef/>
      </w:r>
      <w:r>
        <w:t xml:space="preserve"> </w:t>
      </w:r>
      <w:r>
        <w:rPr>
          <w:sz w:val="20"/>
          <w:szCs w:val="20"/>
        </w:rPr>
        <w:t xml:space="preserve">Smith, </w:t>
      </w:r>
      <w:r>
        <w:rPr>
          <w:i/>
          <w:sz w:val="20"/>
          <w:szCs w:val="20"/>
        </w:rPr>
        <w:t>A Sociology for People</w:t>
      </w:r>
      <w:r>
        <w:rPr>
          <w:sz w:val="20"/>
          <w:szCs w:val="20"/>
        </w:rPr>
        <w:t xml:space="preserve">, above note </w:t>
      </w:r>
      <w:r w:rsidR="00991D6D">
        <w:rPr>
          <w:sz w:val="20"/>
          <w:szCs w:val="20"/>
        </w:rPr>
        <w:t>15</w:t>
      </w:r>
      <w:r>
        <w:rPr>
          <w:sz w:val="20"/>
          <w:szCs w:val="20"/>
        </w:rPr>
        <w:t>, chapter 8.</w:t>
      </w:r>
    </w:p>
  </w:footnote>
  <w:footnote w:id="23">
    <w:p w:rsidR="00991D6D" w:rsidRDefault="000E2874">
      <w:pPr>
        <w:pStyle w:val="FootnoteText"/>
        <w:rPr>
          <w:sz w:val="20"/>
          <w:szCs w:val="20"/>
        </w:rPr>
      </w:pPr>
      <w:r>
        <w:rPr>
          <w:rStyle w:val="FootnoteReference"/>
        </w:rPr>
        <w:footnoteRef/>
      </w:r>
      <w:r>
        <w:t xml:space="preserve"> </w:t>
      </w:r>
      <w:r w:rsidRPr="003A5CC5">
        <w:rPr>
          <w:i/>
          <w:sz w:val="20"/>
          <w:szCs w:val="20"/>
        </w:rPr>
        <w:t xml:space="preserve">R v Kathleen </w:t>
      </w:r>
      <w:proofErr w:type="spellStart"/>
      <w:r w:rsidRPr="003A5CC5">
        <w:rPr>
          <w:i/>
          <w:sz w:val="20"/>
          <w:szCs w:val="20"/>
        </w:rPr>
        <w:t>Folbigg</w:t>
      </w:r>
      <w:proofErr w:type="spellEnd"/>
      <w:r w:rsidR="00991D6D">
        <w:rPr>
          <w:sz w:val="20"/>
          <w:szCs w:val="20"/>
        </w:rPr>
        <w:t>,</w:t>
      </w:r>
      <w:r w:rsidRPr="003A5CC5">
        <w:rPr>
          <w:sz w:val="20"/>
          <w:szCs w:val="20"/>
        </w:rPr>
        <w:t xml:space="preserve"> </w:t>
      </w:r>
      <w:r>
        <w:rPr>
          <w:sz w:val="20"/>
          <w:szCs w:val="20"/>
        </w:rPr>
        <w:t>unpublished decision of Barr J, 7 May 2003.</w:t>
      </w:r>
    </w:p>
    <w:p w:rsidR="000E2874" w:rsidRPr="003A5CC5" w:rsidRDefault="000E2874">
      <w:pPr>
        <w:pStyle w:val="FootnoteText"/>
        <w:rPr>
          <w:sz w:val="20"/>
          <w:szCs w:val="20"/>
        </w:rPr>
      </w:pPr>
      <w:r>
        <w:t xml:space="preserve"> </w:t>
      </w:r>
    </w:p>
  </w:footnote>
  <w:footnote w:id="24">
    <w:p w:rsidR="000E2874" w:rsidRPr="004D592E" w:rsidRDefault="000E2874">
      <w:pPr>
        <w:pStyle w:val="FootnoteText"/>
        <w:rPr>
          <w:sz w:val="20"/>
          <w:szCs w:val="20"/>
        </w:rPr>
      </w:pPr>
      <w:r>
        <w:rPr>
          <w:rStyle w:val="FootnoteReference"/>
        </w:rPr>
        <w:footnoteRef/>
      </w:r>
      <w:r>
        <w:t xml:space="preserve"> </w:t>
      </w:r>
      <w:r>
        <w:rPr>
          <w:sz w:val="20"/>
          <w:szCs w:val="20"/>
        </w:rPr>
        <w:t xml:space="preserve">The discursive and strategic moves that permitted this re-emergence are traced in </w:t>
      </w:r>
      <w:r>
        <w:rPr>
          <w:i/>
          <w:sz w:val="20"/>
          <w:szCs w:val="20"/>
        </w:rPr>
        <w:t xml:space="preserve">Murder, Medicine and Motherhood </w:t>
      </w:r>
      <w:r>
        <w:rPr>
          <w:sz w:val="20"/>
          <w:szCs w:val="20"/>
        </w:rPr>
        <w:t>at 73</w:t>
      </w:r>
      <w:r w:rsidR="000160CF">
        <w:rPr>
          <w:sz w:val="20"/>
          <w:szCs w:val="20"/>
        </w:rPr>
        <w:t>-</w:t>
      </w:r>
      <w:r>
        <w:rPr>
          <w:sz w:val="20"/>
          <w:szCs w:val="20"/>
        </w:rPr>
        <w:t>79.</w:t>
      </w:r>
    </w:p>
  </w:footnote>
  <w:footnote w:id="25">
    <w:p w:rsidR="000E2874" w:rsidRDefault="000E2874">
      <w:pPr>
        <w:pStyle w:val="FootnoteText"/>
        <w:rPr>
          <w:sz w:val="20"/>
          <w:szCs w:val="20"/>
        </w:rPr>
      </w:pPr>
      <w:r>
        <w:rPr>
          <w:rStyle w:val="FootnoteReference"/>
        </w:rPr>
        <w:footnoteRef/>
      </w:r>
      <w:r>
        <w:t xml:space="preserve"> </w:t>
      </w:r>
      <w:r>
        <w:rPr>
          <w:sz w:val="20"/>
          <w:szCs w:val="20"/>
        </w:rPr>
        <w:t xml:space="preserve">Lea </w:t>
      </w:r>
      <w:proofErr w:type="spellStart"/>
      <w:r>
        <w:rPr>
          <w:sz w:val="20"/>
          <w:szCs w:val="20"/>
        </w:rPr>
        <w:t>Bown</w:t>
      </w:r>
      <w:proofErr w:type="spellEnd"/>
      <w:r>
        <w:rPr>
          <w:sz w:val="20"/>
          <w:szCs w:val="20"/>
        </w:rPr>
        <w:t xml:space="preserve"> is Kathleen </w:t>
      </w:r>
      <w:proofErr w:type="spellStart"/>
      <w:r>
        <w:rPr>
          <w:sz w:val="20"/>
          <w:szCs w:val="20"/>
        </w:rPr>
        <w:t>Folbigg’s</w:t>
      </w:r>
      <w:proofErr w:type="spellEnd"/>
      <w:r>
        <w:rPr>
          <w:sz w:val="20"/>
          <w:szCs w:val="20"/>
        </w:rPr>
        <w:t xml:space="preserve"> foster sister.</w:t>
      </w:r>
    </w:p>
    <w:p w:rsidR="00991D6D" w:rsidRPr="00A355A4" w:rsidRDefault="00991D6D">
      <w:pPr>
        <w:pStyle w:val="FootnoteText"/>
        <w:rPr>
          <w:sz w:val="20"/>
          <w:szCs w:val="20"/>
        </w:rPr>
      </w:pPr>
    </w:p>
  </w:footnote>
  <w:footnote w:id="26">
    <w:p w:rsidR="000E2874" w:rsidRPr="00403221" w:rsidRDefault="000E2874">
      <w:pPr>
        <w:pStyle w:val="FootnoteText"/>
        <w:rPr>
          <w:sz w:val="20"/>
          <w:szCs w:val="20"/>
        </w:rPr>
      </w:pPr>
      <w:r>
        <w:rPr>
          <w:rStyle w:val="FootnoteReference"/>
        </w:rPr>
        <w:footnoteRef/>
      </w:r>
      <w:r>
        <w:t xml:space="preserve"> </w:t>
      </w:r>
      <w:r>
        <w:rPr>
          <w:i/>
          <w:sz w:val="20"/>
          <w:szCs w:val="20"/>
        </w:rPr>
        <w:t xml:space="preserve">R v </w:t>
      </w:r>
      <w:proofErr w:type="spellStart"/>
      <w:r>
        <w:rPr>
          <w:i/>
          <w:sz w:val="20"/>
          <w:szCs w:val="20"/>
        </w:rPr>
        <w:t>Cannings</w:t>
      </w:r>
      <w:proofErr w:type="spellEnd"/>
      <w:r>
        <w:rPr>
          <w:sz w:val="20"/>
          <w:szCs w:val="20"/>
        </w:rPr>
        <w:t xml:space="preserve"> [2004] EWCA 1 at </w:t>
      </w:r>
      <w:proofErr w:type="spellStart"/>
      <w:r>
        <w:rPr>
          <w:sz w:val="20"/>
          <w:szCs w:val="20"/>
        </w:rPr>
        <w:t>para</w:t>
      </w:r>
      <w:proofErr w:type="spellEnd"/>
      <w:r>
        <w:rPr>
          <w:sz w:val="20"/>
          <w:szCs w:val="20"/>
        </w:rPr>
        <w:t xml:space="preserve"> 160.</w:t>
      </w:r>
    </w:p>
  </w:footnote>
  <w:footnote w:id="27">
    <w:p w:rsidR="000E2874" w:rsidRPr="003A5CC5" w:rsidRDefault="000E2874" w:rsidP="00D5683F">
      <w:pPr>
        <w:pStyle w:val="FootnoteText"/>
        <w:spacing w:before="120"/>
        <w:rPr>
          <w:sz w:val="20"/>
          <w:szCs w:val="20"/>
        </w:rPr>
      </w:pPr>
      <w:r>
        <w:rPr>
          <w:rStyle w:val="FootnoteReference"/>
        </w:rPr>
        <w:footnoteRef/>
      </w:r>
      <w:r>
        <w:t xml:space="preserve"> </w:t>
      </w:r>
      <w:r>
        <w:rPr>
          <w:sz w:val="20"/>
          <w:szCs w:val="20"/>
        </w:rPr>
        <w:t xml:space="preserve">This research is discussed at length in chapter five of </w:t>
      </w:r>
      <w:r>
        <w:rPr>
          <w:i/>
          <w:sz w:val="20"/>
          <w:szCs w:val="20"/>
        </w:rPr>
        <w:t>Murder, Medicine and Motherhood</w:t>
      </w:r>
      <w:r>
        <w:rPr>
          <w:sz w:val="20"/>
          <w:szCs w:val="20"/>
        </w:rPr>
        <w:t xml:space="preserve">.  </w:t>
      </w:r>
      <w:r w:rsidRPr="00194C76">
        <w:rPr>
          <w:sz w:val="20"/>
          <w:szCs w:val="20"/>
        </w:rPr>
        <w:t xml:space="preserve">Perhaps, Kathleen </w:t>
      </w:r>
      <w:proofErr w:type="spellStart"/>
      <w:r w:rsidRPr="00194C76">
        <w:rPr>
          <w:sz w:val="20"/>
          <w:szCs w:val="20"/>
        </w:rPr>
        <w:t>Folbigg’s</w:t>
      </w:r>
      <w:proofErr w:type="spellEnd"/>
      <w:r w:rsidRPr="00194C76">
        <w:rPr>
          <w:sz w:val="20"/>
          <w:szCs w:val="20"/>
        </w:rPr>
        <w:t xml:space="preserve"> early childhood could be interpreted as constituting a difficult upbringing.  Barr J construed her history in this way when sentencing </w:t>
      </w:r>
      <w:proofErr w:type="spellStart"/>
      <w:r w:rsidRPr="00194C76">
        <w:rPr>
          <w:sz w:val="20"/>
          <w:szCs w:val="20"/>
        </w:rPr>
        <w:t>Folbigg</w:t>
      </w:r>
      <w:proofErr w:type="spellEnd"/>
      <w:r>
        <w:rPr>
          <w:sz w:val="20"/>
          <w:szCs w:val="20"/>
        </w:rPr>
        <w:t xml:space="preserve"> (</w:t>
      </w:r>
      <w:r>
        <w:rPr>
          <w:i/>
          <w:sz w:val="20"/>
          <w:szCs w:val="20"/>
        </w:rPr>
        <w:t xml:space="preserve">R v </w:t>
      </w:r>
      <w:proofErr w:type="spellStart"/>
      <w:r>
        <w:rPr>
          <w:i/>
          <w:sz w:val="20"/>
          <w:szCs w:val="20"/>
        </w:rPr>
        <w:t>Folbigg</w:t>
      </w:r>
      <w:proofErr w:type="spellEnd"/>
      <w:r>
        <w:rPr>
          <w:i/>
          <w:sz w:val="20"/>
          <w:szCs w:val="20"/>
        </w:rPr>
        <w:t xml:space="preserve"> </w:t>
      </w:r>
      <w:r>
        <w:rPr>
          <w:sz w:val="20"/>
          <w:szCs w:val="20"/>
        </w:rPr>
        <w:t>[2003] NSWSC 895</w:t>
      </w:r>
      <w:r w:rsidR="00991D6D">
        <w:rPr>
          <w:sz w:val="20"/>
          <w:szCs w:val="20"/>
        </w:rPr>
        <w:t>)</w:t>
      </w:r>
      <w:r w:rsidRPr="00194C76">
        <w:rPr>
          <w:sz w:val="20"/>
          <w:szCs w:val="20"/>
        </w:rPr>
        <w:t>.  However, by most accounts she was a relatively settled child and teenager and one sh</w:t>
      </w:r>
      <w:r w:rsidR="00991D6D">
        <w:rPr>
          <w:sz w:val="20"/>
          <w:szCs w:val="20"/>
        </w:rPr>
        <w:t>ould be careful before generaliz</w:t>
      </w:r>
      <w:r w:rsidRPr="00194C76">
        <w:rPr>
          <w:sz w:val="20"/>
          <w:szCs w:val="20"/>
        </w:rPr>
        <w:t xml:space="preserve">ing from an infant history to adult findings of criminal guilt when there is an intervening period of unexceptionable </w:t>
      </w:r>
      <w:proofErr w:type="spellStart"/>
      <w:r w:rsidRPr="00194C76">
        <w:rPr>
          <w:sz w:val="20"/>
          <w:szCs w:val="20"/>
        </w:rPr>
        <w:t>behaviour</w:t>
      </w:r>
      <w:proofErr w:type="spellEnd"/>
      <w:r w:rsidRPr="00194C76">
        <w:rPr>
          <w:sz w:val="20"/>
          <w:szCs w:val="20"/>
        </w:rPr>
        <w:t xml:space="preserve"> and a capacity to form personal relationships.</w:t>
      </w:r>
    </w:p>
  </w:footnote>
  <w:footnote w:id="28">
    <w:p w:rsidR="000E2874" w:rsidRDefault="000E2874" w:rsidP="00674350">
      <w:pPr>
        <w:pStyle w:val="FootnoteText"/>
        <w:spacing w:before="120"/>
      </w:pPr>
      <w:r>
        <w:rPr>
          <w:rStyle w:val="FootnoteReference"/>
        </w:rPr>
        <w:footnoteRef/>
      </w:r>
      <w:r>
        <w:t xml:space="preserve"> </w:t>
      </w:r>
      <w:r w:rsidRPr="00674350">
        <w:rPr>
          <w:sz w:val="20"/>
          <w:szCs w:val="20"/>
        </w:rPr>
        <w:t>Craig testified at trial that he interpreted this direction as a coded injunction to lie to police.</w:t>
      </w:r>
      <w:r>
        <w:t xml:space="preserve">  </w:t>
      </w:r>
    </w:p>
  </w:footnote>
  <w:footnote w:id="29">
    <w:p w:rsidR="000E2874" w:rsidRPr="003C2675" w:rsidRDefault="000E2874" w:rsidP="00674350">
      <w:pPr>
        <w:pStyle w:val="FootnoteText"/>
        <w:spacing w:before="120"/>
        <w:rPr>
          <w:sz w:val="20"/>
          <w:szCs w:val="20"/>
        </w:rPr>
      </w:pPr>
      <w:r>
        <w:rPr>
          <w:rStyle w:val="FootnoteReference"/>
        </w:rPr>
        <w:footnoteRef/>
      </w:r>
      <w:r>
        <w:t xml:space="preserve"> </w:t>
      </w:r>
      <w:proofErr w:type="gramStart"/>
      <w:r>
        <w:rPr>
          <w:i/>
          <w:sz w:val="20"/>
          <w:szCs w:val="20"/>
        </w:rPr>
        <w:t xml:space="preserve">R v </w:t>
      </w:r>
      <w:proofErr w:type="spellStart"/>
      <w:r>
        <w:rPr>
          <w:i/>
          <w:sz w:val="20"/>
          <w:szCs w:val="20"/>
        </w:rPr>
        <w:t>Folbigg</w:t>
      </w:r>
      <w:proofErr w:type="spellEnd"/>
      <w:r>
        <w:rPr>
          <w:sz w:val="20"/>
          <w:szCs w:val="20"/>
        </w:rPr>
        <w:t xml:space="preserve"> [2007] NSWCCA 371 at </w:t>
      </w:r>
      <w:proofErr w:type="spellStart"/>
      <w:r>
        <w:rPr>
          <w:sz w:val="20"/>
          <w:szCs w:val="20"/>
        </w:rPr>
        <w:t>para</w:t>
      </w:r>
      <w:proofErr w:type="spellEnd"/>
      <w:r>
        <w:rPr>
          <w:sz w:val="20"/>
          <w:szCs w:val="20"/>
        </w:rPr>
        <w:t xml:space="preserve"> 8 and 56</w:t>
      </w:r>
      <w:r w:rsidR="000160CF">
        <w:rPr>
          <w:sz w:val="20"/>
          <w:szCs w:val="20"/>
        </w:rPr>
        <w:t>-</w:t>
      </w:r>
      <w:r>
        <w:rPr>
          <w:sz w:val="20"/>
          <w:szCs w:val="20"/>
        </w:rPr>
        <w:t>9.</w:t>
      </w:r>
      <w:proofErr w:type="gramEnd"/>
    </w:p>
  </w:footnote>
  <w:footnote w:id="30">
    <w:p w:rsidR="000E2874" w:rsidRPr="00480959" w:rsidRDefault="000E2874">
      <w:pPr>
        <w:pStyle w:val="FootnoteText"/>
        <w:rPr>
          <w:sz w:val="20"/>
          <w:szCs w:val="20"/>
        </w:rPr>
      </w:pPr>
      <w:r>
        <w:rPr>
          <w:rStyle w:val="FootnoteReference"/>
        </w:rPr>
        <w:footnoteRef/>
      </w:r>
      <w:r>
        <w:t xml:space="preserve"> </w:t>
      </w:r>
      <w:r>
        <w:rPr>
          <w:sz w:val="20"/>
          <w:szCs w:val="20"/>
        </w:rPr>
        <w:t xml:space="preserve">Debra Parkes and I had a number of conversations about whether to approach </w:t>
      </w:r>
      <w:proofErr w:type="spellStart"/>
      <w:r>
        <w:rPr>
          <w:sz w:val="20"/>
          <w:szCs w:val="20"/>
        </w:rPr>
        <w:t>Folbigg</w:t>
      </w:r>
      <w:proofErr w:type="spellEnd"/>
      <w:r>
        <w:rPr>
          <w:sz w:val="20"/>
          <w:szCs w:val="20"/>
        </w:rPr>
        <w:t xml:space="preserve">, and if so by what means.  Her wisdom and her greater experience with women in prison were instrumental to the strategy we formulated, and I appreciate Debra’s generosity in helping me to find a suitable way to alert </w:t>
      </w:r>
      <w:proofErr w:type="spellStart"/>
      <w:r>
        <w:rPr>
          <w:sz w:val="20"/>
          <w:szCs w:val="20"/>
        </w:rPr>
        <w:t>Folbigg</w:t>
      </w:r>
      <w:proofErr w:type="spellEnd"/>
      <w:r>
        <w:rPr>
          <w:sz w:val="20"/>
          <w:szCs w:val="20"/>
        </w:rPr>
        <w:t xml:space="preserve"> of the book’s existence while ensuring that she had adequate support and that her privacy was respected.</w:t>
      </w:r>
    </w:p>
  </w:footnote>
  <w:footnote w:id="31">
    <w:p w:rsidR="000E2874" w:rsidRDefault="000E2874">
      <w:pPr>
        <w:pStyle w:val="FootnoteText"/>
        <w:rPr>
          <w:sz w:val="20"/>
          <w:szCs w:val="20"/>
        </w:rPr>
      </w:pPr>
      <w:r>
        <w:rPr>
          <w:rStyle w:val="FootnoteReference"/>
        </w:rPr>
        <w:footnoteRef/>
      </w:r>
      <w:r>
        <w:t xml:space="preserve"> </w:t>
      </w:r>
      <w:r>
        <w:rPr>
          <w:sz w:val="20"/>
          <w:szCs w:val="20"/>
        </w:rPr>
        <w:t>Dorothy E</w:t>
      </w:r>
      <w:r w:rsidR="00991D6D">
        <w:rPr>
          <w:sz w:val="20"/>
          <w:szCs w:val="20"/>
        </w:rPr>
        <w:t>.</w:t>
      </w:r>
      <w:r>
        <w:rPr>
          <w:sz w:val="20"/>
          <w:szCs w:val="20"/>
        </w:rPr>
        <w:t xml:space="preserve"> </w:t>
      </w:r>
      <w:proofErr w:type="spellStart"/>
      <w:r>
        <w:rPr>
          <w:sz w:val="20"/>
          <w:szCs w:val="20"/>
        </w:rPr>
        <w:t>Chunn</w:t>
      </w:r>
      <w:proofErr w:type="spellEnd"/>
      <w:r>
        <w:rPr>
          <w:sz w:val="20"/>
          <w:szCs w:val="20"/>
        </w:rPr>
        <w:t>, Susan B</w:t>
      </w:r>
      <w:r w:rsidR="00991D6D">
        <w:rPr>
          <w:sz w:val="20"/>
          <w:szCs w:val="20"/>
        </w:rPr>
        <w:t>. Boyd and</w:t>
      </w:r>
      <w:r>
        <w:rPr>
          <w:sz w:val="20"/>
          <w:szCs w:val="20"/>
        </w:rPr>
        <w:t xml:space="preserve"> Hester </w:t>
      </w:r>
      <w:proofErr w:type="spellStart"/>
      <w:r>
        <w:rPr>
          <w:sz w:val="20"/>
          <w:szCs w:val="20"/>
        </w:rPr>
        <w:t>Lessard</w:t>
      </w:r>
      <w:proofErr w:type="spellEnd"/>
      <w:r>
        <w:rPr>
          <w:sz w:val="20"/>
          <w:szCs w:val="20"/>
        </w:rPr>
        <w:t>, “Feminism, Law &amp; Social Change: An Overview” in Dorothy E</w:t>
      </w:r>
      <w:r w:rsidR="00991D6D">
        <w:rPr>
          <w:sz w:val="20"/>
          <w:szCs w:val="20"/>
        </w:rPr>
        <w:t>.</w:t>
      </w:r>
      <w:r>
        <w:rPr>
          <w:sz w:val="20"/>
          <w:szCs w:val="20"/>
        </w:rPr>
        <w:t xml:space="preserve"> </w:t>
      </w:r>
      <w:proofErr w:type="spellStart"/>
      <w:r>
        <w:rPr>
          <w:sz w:val="20"/>
          <w:szCs w:val="20"/>
        </w:rPr>
        <w:t>Chunn</w:t>
      </w:r>
      <w:proofErr w:type="spellEnd"/>
      <w:r>
        <w:rPr>
          <w:sz w:val="20"/>
          <w:szCs w:val="20"/>
        </w:rPr>
        <w:t>, Susan B</w:t>
      </w:r>
      <w:r w:rsidR="00991D6D">
        <w:rPr>
          <w:sz w:val="20"/>
          <w:szCs w:val="20"/>
        </w:rPr>
        <w:t xml:space="preserve">. Boyd and Hester </w:t>
      </w:r>
      <w:proofErr w:type="spellStart"/>
      <w:r w:rsidR="00991D6D">
        <w:rPr>
          <w:sz w:val="20"/>
          <w:szCs w:val="20"/>
        </w:rPr>
        <w:t>Lessard</w:t>
      </w:r>
      <w:proofErr w:type="spellEnd"/>
      <w:r w:rsidR="00991D6D">
        <w:rPr>
          <w:sz w:val="20"/>
          <w:szCs w:val="20"/>
        </w:rPr>
        <w:t xml:space="preserve"> (</w:t>
      </w:r>
      <w:proofErr w:type="spellStart"/>
      <w:r w:rsidR="00991D6D">
        <w:rPr>
          <w:sz w:val="20"/>
          <w:szCs w:val="20"/>
        </w:rPr>
        <w:t>eds</w:t>
      </w:r>
      <w:proofErr w:type="spellEnd"/>
      <w:r w:rsidR="00991D6D">
        <w:rPr>
          <w:sz w:val="20"/>
          <w:szCs w:val="20"/>
        </w:rPr>
        <w:t>),</w:t>
      </w:r>
      <w:r>
        <w:rPr>
          <w:sz w:val="20"/>
          <w:szCs w:val="20"/>
        </w:rPr>
        <w:t xml:space="preserve"> </w:t>
      </w:r>
      <w:r>
        <w:rPr>
          <w:i/>
          <w:sz w:val="20"/>
          <w:szCs w:val="20"/>
        </w:rPr>
        <w:t>Reaction</w:t>
      </w:r>
      <w:r w:rsidR="00991D6D">
        <w:rPr>
          <w:i/>
          <w:sz w:val="20"/>
          <w:szCs w:val="20"/>
        </w:rPr>
        <w:t xml:space="preserve"> and Resistance: Feminism, Law and</w:t>
      </w:r>
      <w:r>
        <w:rPr>
          <w:i/>
          <w:sz w:val="20"/>
          <w:szCs w:val="20"/>
        </w:rPr>
        <w:t xml:space="preserve"> Social Change</w:t>
      </w:r>
      <w:r>
        <w:rPr>
          <w:sz w:val="20"/>
          <w:szCs w:val="20"/>
        </w:rPr>
        <w:t xml:space="preserve"> (Vancouver: UBC Press, 2007) at 4.</w:t>
      </w:r>
    </w:p>
    <w:p w:rsidR="00991D6D" w:rsidRPr="00E3417C" w:rsidRDefault="00991D6D">
      <w:pPr>
        <w:pStyle w:val="FootnoteText"/>
        <w:rPr>
          <w:sz w:val="20"/>
          <w:szCs w:val="20"/>
        </w:rPr>
      </w:pPr>
    </w:p>
  </w:footnote>
  <w:footnote w:id="32">
    <w:p w:rsidR="000E2874" w:rsidRDefault="000E2874">
      <w:pPr>
        <w:pStyle w:val="FootnoteText"/>
        <w:rPr>
          <w:sz w:val="20"/>
          <w:szCs w:val="20"/>
        </w:rPr>
      </w:pPr>
      <w:r>
        <w:rPr>
          <w:rStyle w:val="FootnoteReference"/>
        </w:rPr>
        <w:footnoteRef/>
      </w:r>
      <w:r>
        <w:t xml:space="preserve"> </w:t>
      </w:r>
      <w:proofErr w:type="gramStart"/>
      <w:r>
        <w:rPr>
          <w:sz w:val="20"/>
          <w:szCs w:val="20"/>
        </w:rPr>
        <w:t xml:space="preserve">See </w:t>
      </w:r>
      <w:r w:rsidR="00991D6D">
        <w:rPr>
          <w:i/>
          <w:sz w:val="20"/>
          <w:szCs w:val="20"/>
        </w:rPr>
        <w:t>Murder, Medicine and</w:t>
      </w:r>
      <w:r>
        <w:rPr>
          <w:i/>
          <w:sz w:val="20"/>
          <w:szCs w:val="20"/>
        </w:rPr>
        <w:t xml:space="preserve"> Motherhood </w:t>
      </w:r>
      <w:r w:rsidR="00F77853">
        <w:rPr>
          <w:sz w:val="20"/>
          <w:szCs w:val="20"/>
        </w:rPr>
        <w:t>at 168-</w:t>
      </w:r>
      <w:r>
        <w:rPr>
          <w:sz w:val="20"/>
          <w:szCs w:val="20"/>
        </w:rPr>
        <w:t>70; Richar</w:t>
      </w:r>
      <w:r w:rsidR="00991D6D">
        <w:rPr>
          <w:sz w:val="20"/>
          <w:szCs w:val="20"/>
        </w:rPr>
        <w:t xml:space="preserve">d Ericson, Patricia </w:t>
      </w:r>
      <w:proofErr w:type="spellStart"/>
      <w:r w:rsidR="00991D6D">
        <w:rPr>
          <w:sz w:val="20"/>
          <w:szCs w:val="20"/>
        </w:rPr>
        <w:t>Baranek</w:t>
      </w:r>
      <w:proofErr w:type="spellEnd"/>
      <w:r w:rsidR="00991D6D">
        <w:rPr>
          <w:sz w:val="20"/>
          <w:szCs w:val="20"/>
        </w:rPr>
        <w:t xml:space="preserve"> and</w:t>
      </w:r>
      <w:r>
        <w:rPr>
          <w:sz w:val="20"/>
          <w:szCs w:val="20"/>
        </w:rPr>
        <w:t xml:space="preserve"> Janet Chan</w:t>
      </w:r>
      <w:r w:rsidR="00991D6D">
        <w:rPr>
          <w:sz w:val="20"/>
          <w:szCs w:val="20"/>
        </w:rPr>
        <w:t>,</w:t>
      </w:r>
      <w:r>
        <w:rPr>
          <w:sz w:val="20"/>
          <w:szCs w:val="20"/>
        </w:rPr>
        <w:t xml:space="preserve"> </w:t>
      </w:r>
      <w:r w:rsidR="00991D6D">
        <w:rPr>
          <w:i/>
          <w:sz w:val="20"/>
          <w:szCs w:val="20"/>
        </w:rPr>
        <w:t>Representing Order: Crime, Law and</w:t>
      </w:r>
      <w:r>
        <w:rPr>
          <w:i/>
          <w:sz w:val="20"/>
          <w:szCs w:val="20"/>
        </w:rPr>
        <w:t xml:space="preserve"> Justice in the News Media </w:t>
      </w:r>
      <w:r>
        <w:rPr>
          <w:sz w:val="20"/>
          <w:szCs w:val="20"/>
        </w:rPr>
        <w:t>(Toronto: University of Toronto Press, 1991) at 35.</w:t>
      </w:r>
      <w:proofErr w:type="gramEnd"/>
    </w:p>
    <w:p w:rsidR="00991D6D" w:rsidRPr="00716B3F" w:rsidRDefault="00991D6D">
      <w:pPr>
        <w:pStyle w:val="FootnoteText"/>
        <w:rPr>
          <w:sz w:val="20"/>
          <w:szCs w:val="20"/>
        </w:rPr>
      </w:pPr>
    </w:p>
  </w:footnote>
  <w:footnote w:id="33">
    <w:p w:rsidR="000E2874" w:rsidRPr="00716B3F" w:rsidRDefault="000E2874">
      <w:pPr>
        <w:pStyle w:val="FootnoteText"/>
        <w:rPr>
          <w:sz w:val="20"/>
          <w:szCs w:val="20"/>
        </w:rPr>
      </w:pPr>
      <w:r>
        <w:rPr>
          <w:rStyle w:val="FootnoteReference"/>
        </w:rPr>
        <w:footnoteRef/>
      </w:r>
      <w:r>
        <w:t xml:space="preserve"> </w:t>
      </w:r>
      <w:proofErr w:type="gramStart"/>
      <w:r>
        <w:rPr>
          <w:i/>
          <w:sz w:val="20"/>
          <w:szCs w:val="20"/>
        </w:rPr>
        <w:t xml:space="preserve">Murder, Medicine and Motherhood, </w:t>
      </w:r>
      <w:r>
        <w:rPr>
          <w:sz w:val="20"/>
          <w:szCs w:val="20"/>
        </w:rPr>
        <w:t>chapter eight.</w:t>
      </w:r>
      <w:proofErr w:type="gramEnd"/>
      <w:r>
        <w:rPr>
          <w:sz w:val="20"/>
          <w:szCs w:val="20"/>
        </w:rPr>
        <w:t xml:space="preserve">  </w:t>
      </w:r>
    </w:p>
  </w:footnote>
  <w:footnote w:id="34">
    <w:p w:rsidR="00575A4C" w:rsidRDefault="00575A4C" w:rsidP="00575A4C">
      <w:pPr>
        <w:pStyle w:val="FootnoteText"/>
        <w:rPr>
          <w:sz w:val="20"/>
          <w:szCs w:val="20"/>
        </w:rPr>
      </w:pPr>
      <w:r>
        <w:rPr>
          <w:rStyle w:val="FootnoteReference"/>
        </w:rPr>
        <w:footnoteRef/>
      </w:r>
      <w:r>
        <w:t xml:space="preserve"> </w:t>
      </w:r>
      <w:proofErr w:type="gramStart"/>
      <w:r>
        <w:rPr>
          <w:i/>
          <w:sz w:val="20"/>
          <w:szCs w:val="20"/>
        </w:rPr>
        <w:t xml:space="preserve">Murder, Medicine and Motherhood, </w:t>
      </w:r>
      <w:r>
        <w:rPr>
          <w:sz w:val="20"/>
          <w:szCs w:val="20"/>
        </w:rPr>
        <w:t>chapter six</w:t>
      </w:r>
      <w:r w:rsidR="000160CF">
        <w:rPr>
          <w:sz w:val="20"/>
          <w:szCs w:val="20"/>
        </w:rPr>
        <w:t>,</w:t>
      </w:r>
      <w:r>
        <w:rPr>
          <w:sz w:val="20"/>
          <w:szCs w:val="20"/>
        </w:rPr>
        <w:t xml:space="preserve"> particularly 104</w:t>
      </w:r>
      <w:r w:rsidR="000160CF">
        <w:rPr>
          <w:sz w:val="20"/>
          <w:szCs w:val="20"/>
        </w:rPr>
        <w:t>-</w:t>
      </w:r>
      <w:r>
        <w:rPr>
          <w:sz w:val="20"/>
          <w:szCs w:val="20"/>
        </w:rPr>
        <w:t>16.</w:t>
      </w:r>
      <w:proofErr w:type="gramEnd"/>
    </w:p>
    <w:p w:rsidR="000160CF" w:rsidRPr="0062516F" w:rsidRDefault="000160CF" w:rsidP="00575A4C">
      <w:pPr>
        <w:pStyle w:val="FootnoteText"/>
        <w:rPr>
          <w:sz w:val="20"/>
          <w:szCs w:val="20"/>
        </w:rPr>
      </w:pPr>
    </w:p>
  </w:footnote>
  <w:footnote w:id="35">
    <w:p w:rsidR="000E2874" w:rsidRPr="00823E92" w:rsidRDefault="000E2874">
      <w:pPr>
        <w:pStyle w:val="FootnoteText"/>
        <w:rPr>
          <w:sz w:val="20"/>
          <w:szCs w:val="20"/>
        </w:rPr>
      </w:pPr>
      <w:r>
        <w:rPr>
          <w:rStyle w:val="FootnoteReference"/>
        </w:rPr>
        <w:footnoteRef/>
      </w:r>
      <w:r>
        <w:t xml:space="preserve"> </w:t>
      </w:r>
      <w:r>
        <w:rPr>
          <w:sz w:val="20"/>
          <w:szCs w:val="20"/>
        </w:rPr>
        <w:t>San Roque, thi</w:t>
      </w:r>
      <w:r w:rsidR="00991D6D">
        <w:rPr>
          <w:sz w:val="20"/>
          <w:szCs w:val="20"/>
        </w:rPr>
        <w:t>s issue.  See also Gary Edmond and</w:t>
      </w:r>
      <w:r>
        <w:rPr>
          <w:sz w:val="20"/>
          <w:szCs w:val="20"/>
        </w:rPr>
        <w:t xml:space="preserve"> Mehera San Roque, “The Cool Crucible: Forensic Science and the Frailty of the Criminal Trial” (2012) 24 Current Issues in Criminal Justice 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41C" w:rsidRDefault="007D141C" w:rsidP="007D141C">
    <w:pPr>
      <w:pStyle w:val="Header"/>
      <w:tabs>
        <w:tab w:val="clear" w:pos="4513"/>
        <w:tab w:val="clear" w:pos="9026"/>
        <w:tab w:val="right" w:pos="8647"/>
      </w:tabs>
      <w:rPr>
        <w:sz w:val="22"/>
        <w:szCs w:val="22"/>
      </w:rPr>
    </w:pPr>
    <w:r w:rsidRPr="007D141C">
      <w:rPr>
        <w:sz w:val="22"/>
        <w:szCs w:val="22"/>
      </w:rPr>
      <w:t>Cunliffe</w:t>
    </w:r>
    <w:r w:rsidRPr="007D141C">
      <w:rPr>
        <w:sz w:val="22"/>
        <w:szCs w:val="22"/>
      </w:rPr>
      <w:tab/>
    </w:r>
    <w:r>
      <w:rPr>
        <w:sz w:val="22"/>
        <w:szCs w:val="22"/>
      </w:rPr>
      <w:t xml:space="preserve">Book discussion: </w:t>
    </w:r>
    <w:r>
      <w:rPr>
        <w:i/>
        <w:sz w:val="22"/>
        <w:szCs w:val="22"/>
      </w:rPr>
      <w:t>Murder, Medicine and Motherhood</w:t>
    </w:r>
  </w:p>
  <w:p w:rsidR="007D141C" w:rsidRPr="007D141C" w:rsidRDefault="007D141C" w:rsidP="007D141C">
    <w:pPr>
      <w:pStyle w:val="Header"/>
      <w:tabs>
        <w:tab w:val="clear" w:pos="4513"/>
        <w:tab w:val="clear" w:pos="9026"/>
        <w:tab w:val="right" w:pos="8647"/>
      </w:tabs>
      <w:rPr>
        <w:sz w:val="22"/>
        <w:szCs w:val="22"/>
      </w:rPr>
    </w:pPr>
    <w:r>
      <w:rPr>
        <w:sz w:val="22"/>
        <w:szCs w:val="22"/>
      </w:rPr>
      <w:t>______________________________________________________________________________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41C" w:rsidRDefault="007D141C" w:rsidP="007D141C">
    <w:pPr>
      <w:pStyle w:val="Header"/>
      <w:tabs>
        <w:tab w:val="clear" w:pos="9026"/>
        <w:tab w:val="right" w:pos="8640"/>
      </w:tabs>
      <w:rPr>
        <w:sz w:val="22"/>
        <w:szCs w:val="22"/>
      </w:rPr>
    </w:pPr>
    <w:proofErr w:type="spellStart"/>
    <w:r>
      <w:rPr>
        <w:i/>
        <w:sz w:val="22"/>
        <w:szCs w:val="22"/>
      </w:rPr>
      <w:t>feminists@law</w:t>
    </w:r>
    <w:proofErr w:type="spellEnd"/>
    <w:r>
      <w:rPr>
        <w:sz w:val="22"/>
        <w:szCs w:val="22"/>
      </w:rPr>
      <w:t xml:space="preserve"> </w:t>
    </w:r>
    <w:r>
      <w:rPr>
        <w:sz w:val="22"/>
        <w:szCs w:val="22"/>
      </w:rPr>
      <w:tab/>
    </w:r>
    <w:r>
      <w:rPr>
        <w:sz w:val="22"/>
        <w:szCs w:val="22"/>
      </w:rPr>
      <w:tab/>
    </w:r>
    <w:proofErr w:type="spellStart"/>
    <w:r>
      <w:rPr>
        <w:sz w:val="22"/>
        <w:szCs w:val="22"/>
      </w:rPr>
      <w:t>Vol</w:t>
    </w:r>
    <w:proofErr w:type="spellEnd"/>
    <w:r>
      <w:rPr>
        <w:sz w:val="22"/>
        <w:szCs w:val="22"/>
      </w:rPr>
      <w:t xml:space="preserve"> 3, No 2 (2013)</w:t>
    </w:r>
  </w:p>
  <w:p w:rsidR="007D141C" w:rsidRPr="007D141C" w:rsidRDefault="007D141C" w:rsidP="007D141C">
    <w:pPr>
      <w:pStyle w:val="Header"/>
      <w:tabs>
        <w:tab w:val="clear" w:pos="9026"/>
        <w:tab w:val="right" w:pos="8640"/>
      </w:tabs>
      <w:rPr>
        <w:sz w:val="22"/>
        <w:szCs w:val="22"/>
      </w:rPr>
    </w:pPr>
    <w:r>
      <w:rPr>
        <w:sz w:val="22"/>
        <w:szCs w:val="22"/>
      </w:rPr>
      <w:t>______________________________________________________________________________</w:t>
    </w:r>
    <w:r>
      <w:rPr>
        <w:sz w:val="22"/>
        <w:szCs w:val="22"/>
      </w:rPr>
      <w:tab/>
    </w:r>
    <w:r>
      <w:rPr>
        <w:sz w:val="22"/>
        <w:szCs w:val="22"/>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FELayout/>
  </w:compat>
  <w:rsids>
    <w:rsidRoot w:val="00A75843"/>
    <w:rsid w:val="000160CF"/>
    <w:rsid w:val="00017DCF"/>
    <w:rsid w:val="00020AFF"/>
    <w:rsid w:val="0002609D"/>
    <w:rsid w:val="00032260"/>
    <w:rsid w:val="00037B3B"/>
    <w:rsid w:val="000A2E77"/>
    <w:rsid w:val="000B19A4"/>
    <w:rsid w:val="000C3606"/>
    <w:rsid w:val="000E2874"/>
    <w:rsid w:val="000E5106"/>
    <w:rsid w:val="00114D5F"/>
    <w:rsid w:val="00124664"/>
    <w:rsid w:val="00130001"/>
    <w:rsid w:val="00145367"/>
    <w:rsid w:val="00162381"/>
    <w:rsid w:val="00163AF5"/>
    <w:rsid w:val="00194C76"/>
    <w:rsid w:val="001E0B08"/>
    <w:rsid w:val="00223B42"/>
    <w:rsid w:val="0026074F"/>
    <w:rsid w:val="00330270"/>
    <w:rsid w:val="00331C00"/>
    <w:rsid w:val="003569DA"/>
    <w:rsid w:val="003612D1"/>
    <w:rsid w:val="00367638"/>
    <w:rsid w:val="00377F2E"/>
    <w:rsid w:val="00386FD5"/>
    <w:rsid w:val="00397AAB"/>
    <w:rsid w:val="003A2BEC"/>
    <w:rsid w:val="003A5CC5"/>
    <w:rsid w:val="003C2675"/>
    <w:rsid w:val="003E64DA"/>
    <w:rsid w:val="00403221"/>
    <w:rsid w:val="0040328B"/>
    <w:rsid w:val="00480959"/>
    <w:rsid w:val="004A5197"/>
    <w:rsid w:val="004B01DB"/>
    <w:rsid w:val="004B67E2"/>
    <w:rsid w:val="004D592E"/>
    <w:rsid w:val="004D6D6A"/>
    <w:rsid w:val="00553F3F"/>
    <w:rsid w:val="00575A4C"/>
    <w:rsid w:val="005A0A1C"/>
    <w:rsid w:val="005D1122"/>
    <w:rsid w:val="005E56A7"/>
    <w:rsid w:val="00624B5E"/>
    <w:rsid w:val="006365CD"/>
    <w:rsid w:val="006507C3"/>
    <w:rsid w:val="00672A50"/>
    <w:rsid w:val="00674350"/>
    <w:rsid w:val="006A1DAC"/>
    <w:rsid w:val="00700034"/>
    <w:rsid w:val="00716B3F"/>
    <w:rsid w:val="0072131F"/>
    <w:rsid w:val="00741293"/>
    <w:rsid w:val="00790460"/>
    <w:rsid w:val="007929C3"/>
    <w:rsid w:val="007D141C"/>
    <w:rsid w:val="007F5D5C"/>
    <w:rsid w:val="007F7C5B"/>
    <w:rsid w:val="00817D69"/>
    <w:rsid w:val="00823E92"/>
    <w:rsid w:val="008244DE"/>
    <w:rsid w:val="00854D64"/>
    <w:rsid w:val="008729CD"/>
    <w:rsid w:val="00872BD3"/>
    <w:rsid w:val="00891A52"/>
    <w:rsid w:val="008D165C"/>
    <w:rsid w:val="00925FEA"/>
    <w:rsid w:val="00971C86"/>
    <w:rsid w:val="009725A0"/>
    <w:rsid w:val="009739DE"/>
    <w:rsid w:val="00991D6D"/>
    <w:rsid w:val="009A234C"/>
    <w:rsid w:val="00A07AF3"/>
    <w:rsid w:val="00A21D2E"/>
    <w:rsid w:val="00A355A4"/>
    <w:rsid w:val="00A36592"/>
    <w:rsid w:val="00A36A73"/>
    <w:rsid w:val="00A534AB"/>
    <w:rsid w:val="00A54433"/>
    <w:rsid w:val="00A75843"/>
    <w:rsid w:val="00A8538F"/>
    <w:rsid w:val="00A96B55"/>
    <w:rsid w:val="00AE3DD4"/>
    <w:rsid w:val="00AF2F20"/>
    <w:rsid w:val="00B2027E"/>
    <w:rsid w:val="00B45DF4"/>
    <w:rsid w:val="00B86746"/>
    <w:rsid w:val="00BB4995"/>
    <w:rsid w:val="00BB724B"/>
    <w:rsid w:val="00BC03CC"/>
    <w:rsid w:val="00C1536B"/>
    <w:rsid w:val="00C450A7"/>
    <w:rsid w:val="00C56F6A"/>
    <w:rsid w:val="00C62365"/>
    <w:rsid w:val="00C7222B"/>
    <w:rsid w:val="00CD69C5"/>
    <w:rsid w:val="00D053FA"/>
    <w:rsid w:val="00D2199F"/>
    <w:rsid w:val="00D518D1"/>
    <w:rsid w:val="00D5683F"/>
    <w:rsid w:val="00D67A35"/>
    <w:rsid w:val="00E320FF"/>
    <w:rsid w:val="00E3417C"/>
    <w:rsid w:val="00E65B0E"/>
    <w:rsid w:val="00E70420"/>
    <w:rsid w:val="00E7472E"/>
    <w:rsid w:val="00E90219"/>
    <w:rsid w:val="00ED22D0"/>
    <w:rsid w:val="00EF1BDF"/>
    <w:rsid w:val="00F77853"/>
    <w:rsid w:val="00F87A03"/>
    <w:rsid w:val="00FB5531"/>
    <w:rsid w:val="00FD4454"/>
    <w:rsid w:val="00FE752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24B"/>
    <w:pPr>
      <w:spacing w:after="12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75843"/>
    <w:pPr>
      <w:spacing w:after="0"/>
    </w:pPr>
  </w:style>
  <w:style w:type="character" w:customStyle="1" w:styleId="FootnoteTextChar">
    <w:name w:val="Footnote Text Char"/>
    <w:basedOn w:val="DefaultParagraphFont"/>
    <w:link w:val="FootnoteText"/>
    <w:uiPriority w:val="99"/>
    <w:rsid w:val="00A75843"/>
    <w:rPr>
      <w:rFonts w:ascii="Times New Roman" w:hAnsi="Times New Roman"/>
    </w:rPr>
  </w:style>
  <w:style w:type="character" w:styleId="FootnoteReference">
    <w:name w:val="footnote reference"/>
    <w:basedOn w:val="DefaultParagraphFont"/>
    <w:uiPriority w:val="99"/>
    <w:unhideWhenUsed/>
    <w:rsid w:val="00A75843"/>
    <w:rPr>
      <w:vertAlign w:val="superscript"/>
    </w:rPr>
  </w:style>
  <w:style w:type="paragraph" w:styleId="BalloonText">
    <w:name w:val="Balloon Text"/>
    <w:basedOn w:val="Normal"/>
    <w:link w:val="BalloonTextChar"/>
    <w:uiPriority w:val="99"/>
    <w:semiHidden/>
    <w:unhideWhenUsed/>
    <w:rsid w:val="00971C86"/>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71C86"/>
    <w:rPr>
      <w:rFonts w:ascii="Lucida Grande" w:hAnsi="Lucida Grande"/>
      <w:sz w:val="18"/>
      <w:szCs w:val="18"/>
    </w:rPr>
  </w:style>
  <w:style w:type="character" w:styleId="Hyperlink">
    <w:name w:val="Hyperlink"/>
    <w:basedOn w:val="DefaultParagraphFont"/>
    <w:uiPriority w:val="99"/>
    <w:unhideWhenUsed/>
    <w:rsid w:val="005D1122"/>
    <w:rPr>
      <w:color w:val="0000FF" w:themeColor="hyperlink"/>
      <w:u w:val="single"/>
    </w:rPr>
  </w:style>
  <w:style w:type="character" w:styleId="CommentReference">
    <w:name w:val="annotation reference"/>
    <w:basedOn w:val="DefaultParagraphFont"/>
    <w:uiPriority w:val="99"/>
    <w:semiHidden/>
    <w:unhideWhenUsed/>
    <w:rsid w:val="006A1DAC"/>
    <w:rPr>
      <w:sz w:val="16"/>
      <w:szCs w:val="16"/>
    </w:rPr>
  </w:style>
  <w:style w:type="paragraph" w:styleId="CommentText">
    <w:name w:val="annotation text"/>
    <w:basedOn w:val="Normal"/>
    <w:link w:val="CommentTextChar"/>
    <w:uiPriority w:val="99"/>
    <w:semiHidden/>
    <w:unhideWhenUsed/>
    <w:rsid w:val="006A1DAC"/>
    <w:rPr>
      <w:sz w:val="20"/>
      <w:szCs w:val="20"/>
    </w:rPr>
  </w:style>
  <w:style w:type="character" w:customStyle="1" w:styleId="CommentTextChar">
    <w:name w:val="Comment Text Char"/>
    <w:basedOn w:val="DefaultParagraphFont"/>
    <w:link w:val="CommentText"/>
    <w:uiPriority w:val="99"/>
    <w:semiHidden/>
    <w:rsid w:val="006A1D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A1DAC"/>
    <w:rPr>
      <w:b/>
      <w:bCs/>
    </w:rPr>
  </w:style>
  <w:style w:type="character" w:customStyle="1" w:styleId="CommentSubjectChar">
    <w:name w:val="Comment Subject Char"/>
    <w:basedOn w:val="CommentTextChar"/>
    <w:link w:val="CommentSubject"/>
    <w:uiPriority w:val="99"/>
    <w:semiHidden/>
    <w:rsid w:val="006A1DAC"/>
    <w:rPr>
      <w:rFonts w:ascii="Times New Roman" w:hAnsi="Times New Roman"/>
      <w:b/>
      <w:bCs/>
      <w:sz w:val="20"/>
      <w:szCs w:val="20"/>
    </w:rPr>
  </w:style>
  <w:style w:type="paragraph" w:styleId="Header">
    <w:name w:val="header"/>
    <w:basedOn w:val="Normal"/>
    <w:link w:val="HeaderChar"/>
    <w:uiPriority w:val="99"/>
    <w:semiHidden/>
    <w:unhideWhenUsed/>
    <w:rsid w:val="007D141C"/>
    <w:pPr>
      <w:tabs>
        <w:tab w:val="center" w:pos="4513"/>
        <w:tab w:val="right" w:pos="9026"/>
      </w:tabs>
      <w:spacing w:after="0"/>
    </w:pPr>
  </w:style>
  <w:style w:type="character" w:customStyle="1" w:styleId="HeaderChar">
    <w:name w:val="Header Char"/>
    <w:basedOn w:val="DefaultParagraphFont"/>
    <w:link w:val="Header"/>
    <w:uiPriority w:val="99"/>
    <w:semiHidden/>
    <w:rsid w:val="007D141C"/>
    <w:rPr>
      <w:rFonts w:ascii="Times New Roman" w:hAnsi="Times New Roman"/>
    </w:rPr>
  </w:style>
  <w:style w:type="paragraph" w:styleId="Footer">
    <w:name w:val="footer"/>
    <w:basedOn w:val="Normal"/>
    <w:link w:val="FooterChar"/>
    <w:uiPriority w:val="99"/>
    <w:unhideWhenUsed/>
    <w:rsid w:val="007D141C"/>
    <w:pPr>
      <w:tabs>
        <w:tab w:val="center" w:pos="4513"/>
        <w:tab w:val="right" w:pos="9026"/>
      </w:tabs>
      <w:spacing w:after="0"/>
    </w:pPr>
  </w:style>
  <w:style w:type="character" w:customStyle="1" w:styleId="FooterChar">
    <w:name w:val="Footer Char"/>
    <w:basedOn w:val="DefaultParagraphFont"/>
    <w:link w:val="Footer"/>
    <w:uiPriority w:val="99"/>
    <w:rsid w:val="007D141C"/>
    <w:rPr>
      <w:rFonts w:ascii="Times New Roman"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24B"/>
    <w:pPr>
      <w:spacing w:after="12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75843"/>
    <w:pPr>
      <w:spacing w:after="0"/>
    </w:pPr>
  </w:style>
  <w:style w:type="character" w:customStyle="1" w:styleId="FootnoteTextChar">
    <w:name w:val="Footnote Text Char"/>
    <w:basedOn w:val="DefaultParagraphFont"/>
    <w:link w:val="FootnoteText"/>
    <w:uiPriority w:val="99"/>
    <w:rsid w:val="00A75843"/>
    <w:rPr>
      <w:rFonts w:ascii="Times New Roman" w:hAnsi="Times New Roman"/>
    </w:rPr>
  </w:style>
  <w:style w:type="character" w:styleId="FootnoteReference">
    <w:name w:val="footnote reference"/>
    <w:basedOn w:val="DefaultParagraphFont"/>
    <w:uiPriority w:val="99"/>
    <w:unhideWhenUsed/>
    <w:rsid w:val="00A75843"/>
    <w:rPr>
      <w:vertAlign w:val="superscript"/>
    </w:rPr>
  </w:style>
  <w:style w:type="paragraph" w:styleId="BalloonText">
    <w:name w:val="Balloon Text"/>
    <w:basedOn w:val="Normal"/>
    <w:link w:val="BalloonTextChar"/>
    <w:uiPriority w:val="99"/>
    <w:semiHidden/>
    <w:unhideWhenUsed/>
    <w:rsid w:val="00971C86"/>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71C86"/>
    <w:rPr>
      <w:rFonts w:ascii="Lucida Grande" w:hAnsi="Lucida Grande"/>
      <w:sz w:val="18"/>
      <w:szCs w:val="18"/>
    </w:rPr>
  </w:style>
  <w:style w:type="character" w:styleId="Hyperlink">
    <w:name w:val="Hyperlink"/>
    <w:basedOn w:val="DefaultParagraphFont"/>
    <w:uiPriority w:val="99"/>
    <w:unhideWhenUsed/>
    <w:rsid w:val="005D1122"/>
    <w:rPr>
      <w:color w:val="0000FF" w:themeColor="hyperlink"/>
      <w:u w:val="single"/>
    </w:rPr>
  </w:style>
  <w:style w:type="character" w:styleId="CommentReference">
    <w:name w:val="annotation reference"/>
    <w:basedOn w:val="DefaultParagraphFont"/>
    <w:uiPriority w:val="99"/>
    <w:semiHidden/>
    <w:unhideWhenUsed/>
    <w:rsid w:val="006A1DAC"/>
    <w:rPr>
      <w:sz w:val="16"/>
      <w:szCs w:val="16"/>
    </w:rPr>
  </w:style>
  <w:style w:type="paragraph" w:styleId="CommentText">
    <w:name w:val="annotation text"/>
    <w:basedOn w:val="Normal"/>
    <w:link w:val="CommentTextChar"/>
    <w:uiPriority w:val="99"/>
    <w:semiHidden/>
    <w:unhideWhenUsed/>
    <w:rsid w:val="006A1DAC"/>
    <w:rPr>
      <w:sz w:val="20"/>
      <w:szCs w:val="20"/>
    </w:rPr>
  </w:style>
  <w:style w:type="character" w:customStyle="1" w:styleId="CommentTextChar">
    <w:name w:val="Comment Text Char"/>
    <w:basedOn w:val="DefaultParagraphFont"/>
    <w:link w:val="CommentText"/>
    <w:uiPriority w:val="99"/>
    <w:semiHidden/>
    <w:rsid w:val="006A1D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A1DAC"/>
    <w:rPr>
      <w:b/>
      <w:bCs/>
    </w:rPr>
  </w:style>
  <w:style w:type="character" w:customStyle="1" w:styleId="CommentSubjectChar">
    <w:name w:val="Comment Subject Char"/>
    <w:basedOn w:val="CommentTextChar"/>
    <w:link w:val="CommentSubject"/>
    <w:uiPriority w:val="99"/>
    <w:semiHidden/>
    <w:rsid w:val="006A1DAC"/>
    <w:rPr>
      <w:rFonts w:ascii="Times New Roman" w:hAnsi="Times New Roman"/>
      <w:b/>
      <w:bCs/>
      <w:sz w:val="20"/>
      <w:szCs w:val="20"/>
    </w:rPr>
  </w:style>
</w:styles>
</file>

<file path=word/webSettings.xml><?xml version="1.0" encoding="utf-8"?>
<w:webSettings xmlns:r="http://schemas.openxmlformats.org/officeDocument/2006/relationships" xmlns:w="http://schemas.openxmlformats.org/wordprocessingml/2006/main">
  <w:divs>
    <w:div w:id="569731867">
      <w:bodyDiv w:val="1"/>
      <w:marLeft w:val="0"/>
      <w:marRight w:val="0"/>
      <w:marTop w:val="0"/>
      <w:marBottom w:val="0"/>
      <w:divBdr>
        <w:top w:val="none" w:sz="0" w:space="0" w:color="auto"/>
        <w:left w:val="none" w:sz="0" w:space="0" w:color="auto"/>
        <w:bottom w:val="none" w:sz="0" w:space="0" w:color="auto"/>
        <w:right w:val="none" w:sz="0" w:space="0" w:color="auto"/>
      </w:divBdr>
    </w:div>
    <w:div w:id="14999251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rss.org.uk/uploadedfiles/userfiles/files/Letter-RSS-President-Lord-Chancellor-Sally-Clark-case.pdf" TargetMode="External"/><Relationship Id="rId1" Type="http://schemas.openxmlformats.org/officeDocument/2006/relationships/hyperlink" Target="mailto:cunliffe@law.u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9A6E2E-5DA7-40DD-A345-39B6BA557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4528</Words>
  <Characters>25816</Characters>
  <Application>Microsoft Office Word</Application>
  <DocSecurity>0</DocSecurity>
  <Lines>215</Lines>
  <Paragraphs>60</Paragraphs>
  <ScaleCrop>false</ScaleCrop>
  <Company>University of British Columbia</Company>
  <LinksUpToDate>false</LinksUpToDate>
  <CharactersWithSpaces>30284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Cunliffe</dc:creator>
  <cp:lastModifiedBy>KLS Staff</cp:lastModifiedBy>
  <cp:revision>6</cp:revision>
  <dcterms:created xsi:type="dcterms:W3CDTF">2013-11-09T18:25:00Z</dcterms:created>
  <dcterms:modified xsi:type="dcterms:W3CDTF">2013-11-09T22:35:00Z</dcterms:modified>
</cp:coreProperties>
</file>