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23083" w14:textId="77777777" w:rsidR="0013327B" w:rsidRDefault="000D3345">
      <w:pPr>
        <w:rPr>
          <w:b/>
          <w:sz w:val="28"/>
          <w:szCs w:val="28"/>
          <w:lang w:val="en-GB"/>
        </w:rPr>
      </w:pPr>
      <w:r w:rsidRPr="0013327B">
        <w:rPr>
          <w:b/>
          <w:sz w:val="28"/>
          <w:szCs w:val="28"/>
          <w:lang w:val="en-GB"/>
        </w:rPr>
        <w:t xml:space="preserve">Susan Atkins and Brenda </w:t>
      </w:r>
      <w:proofErr w:type="spellStart"/>
      <w:r w:rsidRPr="0013327B">
        <w:rPr>
          <w:b/>
          <w:sz w:val="28"/>
          <w:szCs w:val="28"/>
          <w:lang w:val="en-GB"/>
        </w:rPr>
        <w:t>Hoggett</w:t>
      </w:r>
      <w:proofErr w:type="spellEnd"/>
      <w:r w:rsidRPr="0013327B">
        <w:rPr>
          <w:b/>
          <w:sz w:val="28"/>
          <w:szCs w:val="28"/>
          <w:lang w:val="en-GB"/>
        </w:rPr>
        <w:t xml:space="preserve">, </w:t>
      </w:r>
      <w:r w:rsidRPr="0013327B">
        <w:rPr>
          <w:b/>
          <w:i/>
          <w:sz w:val="28"/>
          <w:szCs w:val="28"/>
          <w:lang w:val="en-GB"/>
        </w:rPr>
        <w:t>Women and the Law</w:t>
      </w:r>
      <w:r w:rsidR="0013327B" w:rsidRPr="0013327B">
        <w:rPr>
          <w:b/>
          <w:sz w:val="28"/>
          <w:szCs w:val="28"/>
          <w:lang w:val="en-GB"/>
        </w:rPr>
        <w:t xml:space="preserve">, </w:t>
      </w:r>
      <w:r w:rsidRPr="0013327B">
        <w:rPr>
          <w:b/>
          <w:sz w:val="28"/>
          <w:szCs w:val="28"/>
          <w:lang w:val="en-GB"/>
        </w:rPr>
        <w:t>Institute of Advanced Legal Studies, Un</w:t>
      </w:r>
      <w:r w:rsidR="0013327B" w:rsidRPr="0013327B">
        <w:rPr>
          <w:b/>
          <w:sz w:val="28"/>
          <w:szCs w:val="28"/>
          <w:lang w:val="en-GB"/>
        </w:rPr>
        <w:t>iversity of London, 2</w:t>
      </w:r>
      <w:r w:rsidR="0013327B">
        <w:rPr>
          <w:b/>
          <w:sz w:val="28"/>
          <w:szCs w:val="28"/>
          <w:lang w:val="en-GB"/>
        </w:rPr>
        <w:t>018</w:t>
      </w:r>
      <w:r w:rsidR="0013327B" w:rsidRPr="0013327B">
        <w:rPr>
          <w:b/>
          <w:sz w:val="28"/>
          <w:szCs w:val="28"/>
          <w:lang w:val="en-GB"/>
        </w:rPr>
        <w:t xml:space="preserve"> (</w:t>
      </w:r>
      <w:r w:rsidR="00204361" w:rsidRPr="0013327B">
        <w:rPr>
          <w:b/>
          <w:sz w:val="28"/>
          <w:szCs w:val="28"/>
          <w:lang w:val="en-GB"/>
        </w:rPr>
        <w:t>originally</w:t>
      </w:r>
      <w:r w:rsidRPr="0013327B">
        <w:rPr>
          <w:b/>
          <w:sz w:val="28"/>
          <w:szCs w:val="28"/>
          <w:lang w:val="en-GB"/>
        </w:rPr>
        <w:t xml:space="preserve"> published by Basil Blackwell, 1984</w:t>
      </w:r>
      <w:r w:rsidR="0013327B" w:rsidRPr="0013327B">
        <w:rPr>
          <w:b/>
          <w:sz w:val="28"/>
          <w:szCs w:val="28"/>
          <w:lang w:val="en-GB"/>
        </w:rPr>
        <w:t xml:space="preserve">) </w:t>
      </w:r>
    </w:p>
    <w:p w14:paraId="1B7E9EC7" w14:textId="0677D8BB" w:rsidR="000D3345" w:rsidRPr="0013327B" w:rsidRDefault="0013327B">
      <w:pPr>
        <w:rPr>
          <w:b/>
          <w:sz w:val="28"/>
          <w:szCs w:val="28"/>
          <w:lang w:val="en-GB"/>
        </w:rPr>
      </w:pPr>
      <w:hyperlink r:id="rId7" w:history="1">
        <w:r>
          <w:rPr>
            <w:rStyle w:val="Hyperlink"/>
          </w:rPr>
          <w:t>https://humanities-digital-library.org/index.php/hdl/catalog/book/atkins_hoggett</w:t>
        </w:r>
      </w:hyperlink>
    </w:p>
    <w:p w14:paraId="6F1108D9" w14:textId="7B8D7247" w:rsidR="0013327B" w:rsidRDefault="0013327B">
      <w:pPr>
        <w:rPr>
          <w:b/>
          <w:lang w:val="en-GB"/>
        </w:rPr>
      </w:pPr>
    </w:p>
    <w:p w14:paraId="7C65FAF6" w14:textId="73A960F0" w:rsidR="0013327B" w:rsidRPr="000D3345" w:rsidRDefault="0013327B">
      <w:pPr>
        <w:rPr>
          <w:b/>
          <w:lang w:val="en-GB"/>
        </w:rPr>
      </w:pPr>
      <w:r>
        <w:rPr>
          <w:b/>
          <w:lang w:val="en-GB"/>
        </w:rPr>
        <w:t xml:space="preserve">Rosemary </w:t>
      </w:r>
      <w:proofErr w:type="spellStart"/>
      <w:r>
        <w:rPr>
          <w:b/>
          <w:lang w:val="en-GB"/>
        </w:rPr>
        <w:t>Auchmuty</w:t>
      </w:r>
      <w:proofErr w:type="spellEnd"/>
      <w:r>
        <w:rPr>
          <w:rStyle w:val="FootnoteReference"/>
          <w:b/>
          <w:lang w:val="en-GB"/>
        </w:rPr>
        <w:footnoteReference w:customMarkFollows="1" w:id="1"/>
        <w:t>*</w:t>
      </w:r>
    </w:p>
    <w:p w14:paraId="639E0218" w14:textId="77777777" w:rsidR="000D3345" w:rsidRDefault="000D3345">
      <w:pPr>
        <w:rPr>
          <w:lang w:val="en-GB"/>
        </w:rPr>
      </w:pPr>
    </w:p>
    <w:p w14:paraId="3FC34FB3" w14:textId="6A4312CE" w:rsidR="00D24B67" w:rsidRDefault="000D3345">
      <w:pPr>
        <w:rPr>
          <w:lang w:val="en-GB"/>
        </w:rPr>
      </w:pPr>
      <w:r>
        <w:rPr>
          <w:i/>
          <w:lang w:val="en-GB"/>
        </w:rPr>
        <w:t>Women and the Law</w:t>
      </w:r>
      <w:r>
        <w:rPr>
          <w:lang w:val="en-GB"/>
        </w:rPr>
        <w:t xml:space="preserve"> was the first book ‘comprehensively to examine the gendered nature of the law’ in the UK, as the authors recall in their entry in </w:t>
      </w:r>
      <w:r>
        <w:rPr>
          <w:i/>
          <w:lang w:val="en-GB"/>
        </w:rPr>
        <w:t>Women’s Legal Landmarks</w:t>
      </w:r>
      <w:r>
        <w:rPr>
          <w:lang w:val="en-GB"/>
        </w:rPr>
        <w:t xml:space="preserve"> (ed. Erika </w:t>
      </w:r>
      <w:proofErr w:type="spellStart"/>
      <w:r>
        <w:rPr>
          <w:lang w:val="en-GB"/>
        </w:rPr>
        <w:t>Rackley</w:t>
      </w:r>
      <w:proofErr w:type="spellEnd"/>
      <w:r>
        <w:rPr>
          <w:lang w:val="en-GB"/>
        </w:rPr>
        <w:t xml:space="preserve"> and Rosemary </w:t>
      </w:r>
      <w:proofErr w:type="spellStart"/>
      <w:r>
        <w:rPr>
          <w:lang w:val="en-GB"/>
        </w:rPr>
        <w:t>Auchmuty</w:t>
      </w:r>
      <w:proofErr w:type="spellEnd"/>
      <w:r>
        <w:rPr>
          <w:lang w:val="en-GB"/>
        </w:rPr>
        <w:t>, Hart Publishing, 2019</w:t>
      </w:r>
      <w:r w:rsidR="003B2E22">
        <w:rPr>
          <w:lang w:val="en-GB"/>
        </w:rPr>
        <w:t xml:space="preserve">, </w:t>
      </w:r>
      <w:r>
        <w:rPr>
          <w:lang w:val="en-GB"/>
        </w:rPr>
        <w:t xml:space="preserve">374).  It has now been reprinted in the Institute of Advanced Legal </w:t>
      </w:r>
      <w:proofErr w:type="spellStart"/>
      <w:r>
        <w:rPr>
          <w:lang w:val="en-GB"/>
        </w:rPr>
        <w:t>Studies’s</w:t>
      </w:r>
      <w:proofErr w:type="spellEnd"/>
      <w:r>
        <w:rPr>
          <w:lang w:val="en-GB"/>
        </w:rPr>
        <w:t xml:space="preserve"> open access series, with a foreword by Susan Atkins reflecting on changes in the law in the intervening </w:t>
      </w:r>
      <w:r w:rsidR="00D24B67">
        <w:rPr>
          <w:lang w:val="en-GB"/>
        </w:rPr>
        <w:t>35 years.  Though there have been other admirable examinations of the gende</w:t>
      </w:r>
      <w:r w:rsidR="003B2E22">
        <w:rPr>
          <w:lang w:val="en-GB"/>
        </w:rPr>
        <w:t>red nature of the law since this book appeared</w:t>
      </w:r>
      <w:r w:rsidR="00D24B67">
        <w:rPr>
          <w:lang w:val="en-GB"/>
        </w:rPr>
        <w:t xml:space="preserve">, notably Joanne </w:t>
      </w:r>
      <w:proofErr w:type="spellStart"/>
      <w:r w:rsidR="00D24B67">
        <w:rPr>
          <w:lang w:val="en-GB"/>
        </w:rPr>
        <w:t>Conaghan’s</w:t>
      </w:r>
      <w:proofErr w:type="spellEnd"/>
      <w:r w:rsidR="00D24B67">
        <w:rPr>
          <w:lang w:val="en-GB"/>
        </w:rPr>
        <w:t xml:space="preserve"> </w:t>
      </w:r>
      <w:r w:rsidR="00D24B67">
        <w:rPr>
          <w:i/>
          <w:lang w:val="en-GB"/>
        </w:rPr>
        <w:t xml:space="preserve">Law and Gender </w:t>
      </w:r>
      <w:r w:rsidR="00D24B67">
        <w:rPr>
          <w:lang w:val="en-GB"/>
        </w:rPr>
        <w:t xml:space="preserve">(OUP, 2013), </w:t>
      </w:r>
      <w:r w:rsidR="00D24B67">
        <w:rPr>
          <w:i/>
          <w:lang w:val="en-GB"/>
        </w:rPr>
        <w:t xml:space="preserve">Women and the Law </w:t>
      </w:r>
      <w:r w:rsidR="00D24B67">
        <w:rPr>
          <w:lang w:val="en-GB"/>
        </w:rPr>
        <w:t xml:space="preserve">remains indispensable for its </w:t>
      </w:r>
      <w:r w:rsidR="003B2E22">
        <w:rPr>
          <w:lang w:val="en-GB"/>
        </w:rPr>
        <w:t>clear and historically grounded a</w:t>
      </w:r>
      <w:r w:rsidR="00D24B67">
        <w:rPr>
          <w:lang w:val="en-GB"/>
        </w:rPr>
        <w:t xml:space="preserve">ccount </w:t>
      </w:r>
      <w:r w:rsidR="003B2E22">
        <w:rPr>
          <w:lang w:val="en-GB"/>
        </w:rPr>
        <w:t xml:space="preserve">of </w:t>
      </w:r>
      <w:r w:rsidR="00D24B67">
        <w:rPr>
          <w:lang w:val="en-GB"/>
        </w:rPr>
        <w:t xml:space="preserve">the </w:t>
      </w:r>
      <w:r w:rsidR="00935BAD">
        <w:rPr>
          <w:lang w:val="en-GB"/>
        </w:rPr>
        <w:t xml:space="preserve">impact of </w:t>
      </w:r>
      <w:r w:rsidR="00195D25">
        <w:rPr>
          <w:lang w:val="en-GB"/>
        </w:rPr>
        <w:t>our</w:t>
      </w:r>
      <w:r w:rsidR="00935BAD">
        <w:rPr>
          <w:lang w:val="en-GB"/>
        </w:rPr>
        <w:t xml:space="preserve"> </w:t>
      </w:r>
      <w:r w:rsidR="00D24B67">
        <w:rPr>
          <w:lang w:val="en-GB"/>
        </w:rPr>
        <w:t>law on women and its analysis of how change come</w:t>
      </w:r>
      <w:r w:rsidR="003B2E22">
        <w:rPr>
          <w:lang w:val="en-GB"/>
        </w:rPr>
        <w:t>s</w:t>
      </w:r>
      <w:r w:rsidR="00D24B67">
        <w:rPr>
          <w:lang w:val="en-GB"/>
        </w:rPr>
        <w:t xml:space="preserve"> about and how and why </w:t>
      </w:r>
      <w:r w:rsidR="003B2E22">
        <w:rPr>
          <w:lang w:val="en-GB"/>
        </w:rPr>
        <w:t>it is</w:t>
      </w:r>
      <w:r w:rsidR="00D24B67">
        <w:rPr>
          <w:lang w:val="en-GB"/>
        </w:rPr>
        <w:t xml:space="preserve"> </w:t>
      </w:r>
      <w:r w:rsidR="003B2E22">
        <w:rPr>
          <w:lang w:val="en-GB"/>
        </w:rPr>
        <w:t>all too often hindered and resisted</w:t>
      </w:r>
      <w:r w:rsidR="00D24B67">
        <w:rPr>
          <w:lang w:val="en-GB"/>
        </w:rPr>
        <w:t>.</w:t>
      </w:r>
    </w:p>
    <w:p w14:paraId="42D55EF8" w14:textId="77777777" w:rsidR="00D24B67" w:rsidRDefault="00D24B67">
      <w:pPr>
        <w:rPr>
          <w:lang w:val="en-GB"/>
        </w:rPr>
      </w:pPr>
    </w:p>
    <w:p w14:paraId="0EA91AE0" w14:textId="6187CB56" w:rsidR="000D3345" w:rsidRDefault="00D24B67">
      <w:pPr>
        <w:rPr>
          <w:lang w:val="en-GB"/>
        </w:rPr>
      </w:pPr>
      <w:r>
        <w:rPr>
          <w:lang w:val="en-GB"/>
        </w:rPr>
        <w:t xml:space="preserve">The authors, academics at the time of writing, went on to play </w:t>
      </w:r>
      <w:r w:rsidR="003B2E22">
        <w:rPr>
          <w:lang w:val="en-GB"/>
        </w:rPr>
        <w:t>significant roles</w:t>
      </w:r>
      <w:r>
        <w:rPr>
          <w:lang w:val="en-GB"/>
        </w:rPr>
        <w:t xml:space="preserve"> in challenging and changing the ‘gendered nature of the law’.  Susan Atkins became Director of the Women and Equality Unit in the Cabinet Office.  Brenda </w:t>
      </w:r>
      <w:proofErr w:type="spellStart"/>
      <w:r>
        <w:rPr>
          <w:lang w:val="en-GB"/>
        </w:rPr>
        <w:t>Hoggett</w:t>
      </w:r>
      <w:proofErr w:type="spellEnd"/>
      <w:r>
        <w:rPr>
          <w:lang w:val="en-GB"/>
        </w:rPr>
        <w:t xml:space="preserve"> became the </w:t>
      </w:r>
      <w:proofErr w:type="spellStart"/>
      <w:r>
        <w:rPr>
          <w:lang w:val="en-GB"/>
        </w:rPr>
        <w:t>Rt</w:t>
      </w:r>
      <w:proofErr w:type="spellEnd"/>
      <w:r>
        <w:rPr>
          <w:lang w:val="en-GB"/>
        </w:rPr>
        <w:t xml:space="preserve"> Hon Baroness Hale of Richmond, President of the UK Supreme Court.  They are living exemplars of </w:t>
      </w:r>
      <w:r w:rsidR="003B2E22">
        <w:rPr>
          <w:lang w:val="en-GB"/>
        </w:rPr>
        <w:t>their key message</w:t>
      </w:r>
      <w:r w:rsidR="002B4B59">
        <w:rPr>
          <w:lang w:val="en-GB"/>
        </w:rPr>
        <w:t>s</w:t>
      </w:r>
      <w:r w:rsidR="003B2E22">
        <w:rPr>
          <w:lang w:val="en-GB"/>
        </w:rPr>
        <w:t>,</w:t>
      </w:r>
      <w:r>
        <w:rPr>
          <w:lang w:val="en-GB"/>
        </w:rPr>
        <w:t xml:space="preserve"> that the law will not work well for women unless we first uncover and draw attention </w:t>
      </w:r>
      <w:r w:rsidR="001C3970">
        <w:rPr>
          <w:lang w:val="en-GB"/>
        </w:rPr>
        <w:t xml:space="preserve">to its differential </w:t>
      </w:r>
      <w:r w:rsidR="00D12B4F">
        <w:rPr>
          <w:lang w:val="en-GB"/>
        </w:rPr>
        <w:t>effects</w:t>
      </w:r>
      <w:r w:rsidR="001C3970">
        <w:rPr>
          <w:lang w:val="en-GB"/>
        </w:rPr>
        <w:t xml:space="preserve">, </w:t>
      </w:r>
      <w:r>
        <w:rPr>
          <w:lang w:val="en-GB"/>
        </w:rPr>
        <w:t xml:space="preserve">that reform will not happen unless we work for it – and that it works best when we are in there helping to make the laws.  </w:t>
      </w:r>
      <w:r w:rsidR="003B2E22">
        <w:rPr>
          <w:lang w:val="en-GB"/>
        </w:rPr>
        <w:t xml:space="preserve">‘Only when women are aware of the extent of the discrimination against them, of how it operates and of how to use the law and to influence law reform to their own ends will further progress be made,’ they conclude (5).  </w:t>
      </w:r>
    </w:p>
    <w:p w14:paraId="0878C17F" w14:textId="77777777" w:rsidR="00D24B67" w:rsidRDefault="00D24B67">
      <w:pPr>
        <w:rPr>
          <w:lang w:val="en-GB"/>
        </w:rPr>
      </w:pPr>
    </w:p>
    <w:p w14:paraId="1BA3C881" w14:textId="6C82460A" w:rsidR="00D24B67" w:rsidRDefault="00D24B67">
      <w:pPr>
        <w:rPr>
          <w:lang w:val="en-GB"/>
        </w:rPr>
      </w:pPr>
      <w:r>
        <w:rPr>
          <w:lang w:val="en-GB"/>
        </w:rPr>
        <w:t xml:space="preserve">‘This is not a legal textbook,’ the authors declare </w:t>
      </w:r>
      <w:r w:rsidR="003B2E22">
        <w:rPr>
          <w:lang w:val="en-GB"/>
        </w:rPr>
        <w:t>at the outset (</w:t>
      </w:r>
      <w:r>
        <w:rPr>
          <w:lang w:val="en-GB"/>
        </w:rPr>
        <w:t xml:space="preserve">1).  Legal textbooks at the time (and often still) </w:t>
      </w:r>
      <w:r w:rsidR="00E54F14">
        <w:rPr>
          <w:lang w:val="en-GB"/>
        </w:rPr>
        <w:t xml:space="preserve">were dry ‘accounts of the legal rules’ (ibid), devoid of context or critique, and organised into conventional </w:t>
      </w:r>
      <w:r w:rsidR="003B2E22">
        <w:rPr>
          <w:lang w:val="en-GB"/>
        </w:rPr>
        <w:t xml:space="preserve">legal </w:t>
      </w:r>
      <w:r w:rsidR="00E54F14">
        <w:rPr>
          <w:lang w:val="en-GB"/>
        </w:rPr>
        <w:t xml:space="preserve">subject categories like tort, property law and crime.  But it is surely an overstatement to say, as they do, that there are </w:t>
      </w:r>
      <w:r w:rsidR="002B63AD">
        <w:rPr>
          <w:lang w:val="en-GB"/>
        </w:rPr>
        <w:t xml:space="preserve">already </w:t>
      </w:r>
      <w:r w:rsidR="003B2E22">
        <w:rPr>
          <w:lang w:val="en-GB"/>
        </w:rPr>
        <w:t>‘</w:t>
      </w:r>
      <w:r w:rsidR="00E54F14">
        <w:rPr>
          <w:lang w:val="en-GB"/>
        </w:rPr>
        <w:t>many admirable accounts of the legal rules</w:t>
      </w:r>
      <w:r w:rsidR="003B2E22">
        <w:rPr>
          <w:lang w:val="en-GB"/>
        </w:rPr>
        <w:t>’ (ibid)</w:t>
      </w:r>
      <w:r w:rsidR="00E54F14">
        <w:rPr>
          <w:lang w:val="en-GB"/>
        </w:rPr>
        <w:t xml:space="preserve">, given that </w:t>
      </w:r>
      <w:r w:rsidR="00451A39">
        <w:rPr>
          <w:lang w:val="en-GB"/>
        </w:rPr>
        <w:t>most</w:t>
      </w:r>
      <w:r w:rsidR="00E54F14">
        <w:rPr>
          <w:lang w:val="en-GB"/>
        </w:rPr>
        <w:t xml:space="preserve"> textbooks </w:t>
      </w:r>
      <w:r w:rsidR="00451A39">
        <w:rPr>
          <w:lang w:val="en-GB"/>
        </w:rPr>
        <w:t xml:space="preserve">have </w:t>
      </w:r>
      <w:r w:rsidR="00E54F14">
        <w:rPr>
          <w:lang w:val="en-GB"/>
        </w:rPr>
        <w:t>ignore</w:t>
      </w:r>
      <w:r w:rsidR="00451A39">
        <w:rPr>
          <w:lang w:val="en-GB"/>
        </w:rPr>
        <w:t>d</w:t>
      </w:r>
      <w:r w:rsidR="00E54F14">
        <w:rPr>
          <w:lang w:val="en-GB"/>
        </w:rPr>
        <w:t xml:space="preserve"> or skate</w:t>
      </w:r>
      <w:r w:rsidR="00451A39">
        <w:rPr>
          <w:lang w:val="en-GB"/>
        </w:rPr>
        <w:t>d</w:t>
      </w:r>
      <w:r w:rsidR="00E54F14">
        <w:rPr>
          <w:lang w:val="en-GB"/>
        </w:rPr>
        <w:t xml:space="preserve"> over laws that apply particularly or differently to women.   ‘Our purpose,’ they go on, ‘is not to give a biased account of the law’ (</w:t>
      </w:r>
      <w:r w:rsidR="00451A39">
        <w:rPr>
          <w:lang w:val="en-GB"/>
        </w:rPr>
        <w:t>we all k</w:t>
      </w:r>
      <w:r w:rsidR="00E54F14">
        <w:rPr>
          <w:lang w:val="en-GB"/>
        </w:rPr>
        <w:t>no</w:t>
      </w:r>
      <w:r w:rsidR="00451A39">
        <w:rPr>
          <w:lang w:val="en-GB"/>
        </w:rPr>
        <w:t>w that</w:t>
      </w:r>
      <w:r w:rsidR="00E54F14">
        <w:rPr>
          <w:lang w:val="en-GB"/>
        </w:rPr>
        <w:t xml:space="preserve"> </w:t>
      </w:r>
      <w:r w:rsidR="003B2E22">
        <w:rPr>
          <w:lang w:val="en-GB"/>
        </w:rPr>
        <w:t>any</w:t>
      </w:r>
      <w:r w:rsidR="00E54F14">
        <w:rPr>
          <w:lang w:val="en-GB"/>
        </w:rPr>
        <w:t xml:space="preserve">thing feminist </w:t>
      </w:r>
      <w:r w:rsidR="003B2E22">
        <w:rPr>
          <w:lang w:val="en-GB"/>
        </w:rPr>
        <w:t xml:space="preserve">is </w:t>
      </w:r>
      <w:r w:rsidR="00451A39">
        <w:rPr>
          <w:lang w:val="en-GB"/>
        </w:rPr>
        <w:t>inherent</w:t>
      </w:r>
      <w:r w:rsidR="003B2E22">
        <w:rPr>
          <w:lang w:val="en-GB"/>
        </w:rPr>
        <w:t>ly</w:t>
      </w:r>
      <w:r w:rsidR="00E54F14">
        <w:rPr>
          <w:lang w:val="en-GB"/>
        </w:rPr>
        <w:t xml:space="preserve"> biased), but to reveal how ‘</w:t>
      </w:r>
      <w:r w:rsidR="00E54F14" w:rsidRPr="003B2E22">
        <w:rPr>
          <w:i/>
          <w:lang w:val="en-GB"/>
        </w:rPr>
        <w:t>the law itself is biased</w:t>
      </w:r>
      <w:r w:rsidR="00E54F14">
        <w:rPr>
          <w:lang w:val="en-GB"/>
        </w:rPr>
        <w:t>’ (ibid</w:t>
      </w:r>
      <w:r w:rsidR="003B2E22">
        <w:rPr>
          <w:lang w:val="en-GB"/>
        </w:rPr>
        <w:t>, my emphasis</w:t>
      </w:r>
      <w:r w:rsidR="00E54F14">
        <w:rPr>
          <w:lang w:val="en-GB"/>
        </w:rPr>
        <w:t xml:space="preserve">).  </w:t>
      </w:r>
      <w:r w:rsidR="003B2E22">
        <w:rPr>
          <w:lang w:val="en-GB"/>
        </w:rPr>
        <w:t>This is a</w:t>
      </w:r>
      <w:r w:rsidR="00E54F14">
        <w:rPr>
          <w:lang w:val="en-GB"/>
        </w:rPr>
        <w:t xml:space="preserve"> bold and brilliant claim, </w:t>
      </w:r>
      <w:r w:rsidR="003B2E22">
        <w:rPr>
          <w:lang w:val="en-GB"/>
        </w:rPr>
        <w:t xml:space="preserve">amply borne out by </w:t>
      </w:r>
      <w:r w:rsidR="00E54F14">
        <w:rPr>
          <w:lang w:val="en-GB"/>
        </w:rPr>
        <w:t xml:space="preserve">the pages that follow.  </w:t>
      </w:r>
    </w:p>
    <w:p w14:paraId="754FCC82" w14:textId="77777777" w:rsidR="00E54F14" w:rsidRDefault="00E54F14">
      <w:pPr>
        <w:rPr>
          <w:lang w:val="en-GB"/>
        </w:rPr>
      </w:pPr>
    </w:p>
    <w:p w14:paraId="11659AA7" w14:textId="33F7EA39" w:rsidR="00E54F14" w:rsidRDefault="00E54F14">
      <w:pPr>
        <w:rPr>
          <w:lang w:val="en-GB"/>
        </w:rPr>
      </w:pPr>
      <w:r>
        <w:rPr>
          <w:lang w:val="en-GB"/>
        </w:rPr>
        <w:t xml:space="preserve">Atkins and </w:t>
      </w:r>
      <w:proofErr w:type="spellStart"/>
      <w:r>
        <w:rPr>
          <w:lang w:val="en-GB"/>
        </w:rPr>
        <w:t>Hoggett</w:t>
      </w:r>
      <w:proofErr w:type="spellEnd"/>
      <w:r>
        <w:rPr>
          <w:lang w:val="en-GB"/>
        </w:rPr>
        <w:t xml:space="preserve"> hasten to deny any ‘unconscious male conspiracy’ (ibid) in devising a legal system that works in the interests of men. Otherwise, they say, women’s position would never get better, as it clearly has over the past 150 years.  But the impetus for that change goes unmentioned, in sentences where agency is so conspicuously lacking as to </w:t>
      </w:r>
      <w:r>
        <w:rPr>
          <w:lang w:val="en-GB"/>
        </w:rPr>
        <w:lastRenderedPageBreak/>
        <w:t xml:space="preserve">suggest very cautious crafting – let’s not put off our male readers on the first page!  ‘Once a source of inferiority has been identified and analysed, there has been considerable pressure to change,’ is how the authors put it.  ‘Often that pressure has been resisted for long periods’ (ibid).  Note that neither the pressure group, </w:t>
      </w:r>
      <w:r w:rsidR="009A6D4F">
        <w:rPr>
          <w:lang w:val="en-GB"/>
        </w:rPr>
        <w:t>nor the resisters, are named.  And s</w:t>
      </w:r>
      <w:r>
        <w:rPr>
          <w:lang w:val="en-GB"/>
        </w:rPr>
        <w:t>ometimes, they point out, improvements in women’s legal position come about as side-effects of other pressures for change.  (Foremost among these</w:t>
      </w:r>
      <w:r w:rsidR="009A6D4F">
        <w:rPr>
          <w:lang w:val="en-GB"/>
        </w:rPr>
        <w:t>, of course,</w:t>
      </w:r>
      <w:r w:rsidR="003B2E22">
        <w:rPr>
          <w:lang w:val="en-GB"/>
        </w:rPr>
        <w:t xml:space="preserve"> are</w:t>
      </w:r>
      <w:r>
        <w:rPr>
          <w:lang w:val="en-GB"/>
        </w:rPr>
        <w:t xml:space="preserve"> situations where the current law inconveniences </w:t>
      </w:r>
      <w:r>
        <w:rPr>
          <w:i/>
          <w:lang w:val="en-GB"/>
        </w:rPr>
        <w:t>men</w:t>
      </w:r>
      <w:r w:rsidR="00CA0467">
        <w:rPr>
          <w:i/>
          <w:lang w:val="en-GB"/>
        </w:rPr>
        <w:t>.</w:t>
      </w:r>
      <w:r w:rsidR="003B2E22">
        <w:rPr>
          <w:lang w:val="en-GB"/>
        </w:rPr>
        <w:t>)</w:t>
      </w:r>
      <w:r w:rsidR="00CA0467">
        <w:rPr>
          <w:lang w:val="en-GB"/>
        </w:rPr>
        <w:t xml:space="preserve">  ‘Retrog</w:t>
      </w:r>
      <w:r w:rsidR="00171467">
        <w:rPr>
          <w:lang w:val="en-GB"/>
        </w:rPr>
        <w:t>rade steps,’ they conclude, ‘</w:t>
      </w:r>
      <w:r w:rsidR="00CA0467">
        <w:rPr>
          <w:lang w:val="en-GB"/>
        </w:rPr>
        <w:t>have tended … to be associated with the disappearance of women’s issues from the agenda’ (ibid).  Let’s say this plainly: legal progress for women tends to occur in periods of feminist activism and retrograde steps in periods of feminist retrenchment and backlash</w:t>
      </w:r>
      <w:r w:rsidR="00171467">
        <w:rPr>
          <w:lang w:val="en-GB"/>
        </w:rPr>
        <w:t xml:space="preserve"> against feminism</w:t>
      </w:r>
      <w:r w:rsidR="00CA0467">
        <w:rPr>
          <w:lang w:val="en-GB"/>
        </w:rPr>
        <w:t xml:space="preserve">. </w:t>
      </w:r>
    </w:p>
    <w:p w14:paraId="01EAC33A" w14:textId="77777777" w:rsidR="00CA0467" w:rsidRDefault="00CA0467">
      <w:pPr>
        <w:rPr>
          <w:lang w:val="en-GB"/>
        </w:rPr>
      </w:pPr>
    </w:p>
    <w:p w14:paraId="0EE00B23" w14:textId="34BD1ADA" w:rsidR="0006245F" w:rsidRDefault="003B2E22">
      <w:pPr>
        <w:rPr>
          <w:lang w:val="en-GB"/>
        </w:rPr>
      </w:pPr>
      <w:r>
        <w:rPr>
          <w:lang w:val="en-GB"/>
        </w:rPr>
        <w:t xml:space="preserve">That reluctance to name feminists </w:t>
      </w:r>
      <w:r w:rsidR="00D87FD4">
        <w:rPr>
          <w:lang w:val="en-GB"/>
        </w:rPr>
        <w:t xml:space="preserve">as agents of change and men as self-interested agents of reaction </w:t>
      </w:r>
      <w:r>
        <w:rPr>
          <w:lang w:val="en-GB"/>
        </w:rPr>
        <w:t>disappears</w:t>
      </w:r>
      <w:r w:rsidR="00F86C26">
        <w:rPr>
          <w:lang w:val="en-GB"/>
        </w:rPr>
        <w:t>, I am pleased to say,</w:t>
      </w:r>
      <w:r>
        <w:rPr>
          <w:lang w:val="en-GB"/>
        </w:rPr>
        <w:t xml:space="preserve"> in the </w:t>
      </w:r>
      <w:r w:rsidR="00D87FD4">
        <w:rPr>
          <w:lang w:val="en-GB"/>
        </w:rPr>
        <w:t xml:space="preserve">substantive body of the text, which </w:t>
      </w:r>
      <w:r w:rsidR="00E02A0A">
        <w:rPr>
          <w:lang w:val="en-GB"/>
        </w:rPr>
        <w:t xml:space="preserve">is arranged in three sections: ‘Women in society’, </w:t>
      </w:r>
      <w:r w:rsidR="00D87FD4">
        <w:rPr>
          <w:lang w:val="en-GB"/>
        </w:rPr>
        <w:t>dealing</w:t>
      </w:r>
      <w:r w:rsidR="00E02A0A">
        <w:rPr>
          <w:lang w:val="en-GB"/>
        </w:rPr>
        <w:t xml:space="preserve"> with education and the workplace; ‘The private domain’, </w:t>
      </w:r>
      <w:r w:rsidR="00D87FD4">
        <w:rPr>
          <w:lang w:val="en-GB"/>
        </w:rPr>
        <w:t>covering</w:t>
      </w:r>
      <w:r w:rsidR="00E02A0A">
        <w:rPr>
          <w:lang w:val="en-GB"/>
        </w:rPr>
        <w:t xml:space="preserve"> sexuality, motherhood, the home, domestic violence and (rather remarkably, at such an early date) ‘The case against marriage?’ (sic); and ‘The state and women’s rights’</w:t>
      </w:r>
      <w:r w:rsidR="00D87FD4">
        <w:rPr>
          <w:lang w:val="en-GB"/>
        </w:rPr>
        <w:t xml:space="preserve">, which looks at the welfare </w:t>
      </w:r>
      <w:r w:rsidR="00E02A0A">
        <w:rPr>
          <w:lang w:val="en-GB"/>
        </w:rPr>
        <w:t>state and citizenship.  These divisions deliberately reflect categories of women’</w:t>
      </w:r>
      <w:r w:rsidR="00D87FD4">
        <w:rPr>
          <w:lang w:val="en-GB"/>
        </w:rPr>
        <w:t xml:space="preserve">s experience rather than traditional </w:t>
      </w:r>
      <w:r w:rsidR="00E02A0A">
        <w:rPr>
          <w:lang w:val="en-GB"/>
        </w:rPr>
        <w:t xml:space="preserve">law </w:t>
      </w:r>
      <w:r w:rsidR="00D87FD4">
        <w:rPr>
          <w:lang w:val="en-GB"/>
        </w:rPr>
        <w:t xml:space="preserve">subjects </w:t>
      </w:r>
      <w:r w:rsidR="00E02A0A">
        <w:rPr>
          <w:lang w:val="en-GB"/>
        </w:rPr>
        <w:t xml:space="preserve">and, even though some chapters could </w:t>
      </w:r>
      <w:r w:rsidR="00D87FD4">
        <w:rPr>
          <w:lang w:val="en-GB"/>
        </w:rPr>
        <w:t>easily</w:t>
      </w:r>
      <w:r w:rsidR="00E02A0A">
        <w:rPr>
          <w:lang w:val="en-GB"/>
        </w:rPr>
        <w:t xml:space="preserve"> </w:t>
      </w:r>
      <w:r w:rsidR="00F86C26">
        <w:rPr>
          <w:lang w:val="en-GB"/>
        </w:rPr>
        <w:t>be mapped on to property law, family law, employment l</w:t>
      </w:r>
      <w:r w:rsidR="00E02A0A">
        <w:rPr>
          <w:lang w:val="en-GB"/>
        </w:rPr>
        <w:t xml:space="preserve">aw and so on, </w:t>
      </w:r>
      <w:r w:rsidR="00171467">
        <w:rPr>
          <w:lang w:val="en-GB"/>
        </w:rPr>
        <w:t xml:space="preserve">the book’s organisation </w:t>
      </w:r>
      <w:r w:rsidR="00F86C26">
        <w:rPr>
          <w:lang w:val="en-GB"/>
        </w:rPr>
        <w:t>go</w:t>
      </w:r>
      <w:r w:rsidR="00171467">
        <w:rPr>
          <w:lang w:val="en-GB"/>
        </w:rPr>
        <w:t>es</w:t>
      </w:r>
      <w:r w:rsidR="00D87FD4">
        <w:rPr>
          <w:lang w:val="en-GB"/>
        </w:rPr>
        <w:t xml:space="preserve"> some way towards explaining</w:t>
      </w:r>
      <w:r w:rsidR="00171467">
        <w:rPr>
          <w:lang w:val="en-GB"/>
        </w:rPr>
        <w:t xml:space="preserve"> why so little of its</w:t>
      </w:r>
      <w:r w:rsidR="00E02A0A">
        <w:rPr>
          <w:lang w:val="en-GB"/>
        </w:rPr>
        <w:t xml:space="preserve"> research made its way into the legal textbooks </w:t>
      </w:r>
      <w:r w:rsidR="00D87FD4">
        <w:rPr>
          <w:lang w:val="en-GB"/>
        </w:rPr>
        <w:t xml:space="preserve">of the </w:t>
      </w:r>
      <w:r w:rsidR="00F86C26">
        <w:rPr>
          <w:lang w:val="en-GB"/>
        </w:rPr>
        <w:t>ensuing</w:t>
      </w:r>
      <w:r w:rsidR="00D87FD4">
        <w:rPr>
          <w:lang w:val="en-GB"/>
        </w:rPr>
        <w:t xml:space="preserve"> 35 years </w:t>
      </w:r>
      <w:r w:rsidR="00E02A0A">
        <w:rPr>
          <w:lang w:val="en-GB"/>
        </w:rPr>
        <w:t xml:space="preserve">(not that textbook writers need any excuse for leaving out material on women). </w:t>
      </w:r>
      <w:r w:rsidR="00F86C26">
        <w:rPr>
          <w:lang w:val="en-GB"/>
        </w:rPr>
        <w:t xml:space="preserve"> The material, as well as being biased and irrelevant</w:t>
      </w:r>
      <w:r w:rsidR="003E5AB7">
        <w:rPr>
          <w:lang w:val="en-GB"/>
        </w:rPr>
        <w:t xml:space="preserve"> to the </w:t>
      </w:r>
      <w:r w:rsidR="003E5AB7">
        <w:rPr>
          <w:i/>
          <w:lang w:val="en-GB"/>
        </w:rPr>
        <w:t>real</w:t>
      </w:r>
      <w:r w:rsidR="003E5AB7">
        <w:rPr>
          <w:lang w:val="en-GB"/>
        </w:rPr>
        <w:t xml:space="preserve"> legal issues</w:t>
      </w:r>
      <w:r w:rsidR="00F86C26">
        <w:rPr>
          <w:lang w:val="en-GB"/>
        </w:rPr>
        <w:t>, was just not arranged in the conveni</w:t>
      </w:r>
      <w:r w:rsidR="003E5AB7">
        <w:rPr>
          <w:lang w:val="en-GB"/>
        </w:rPr>
        <w:t xml:space="preserve">ent categories they recognised! </w:t>
      </w:r>
      <w:r w:rsidR="00F86C26">
        <w:rPr>
          <w:lang w:val="en-GB"/>
        </w:rPr>
        <w:t xml:space="preserve"> But t</w:t>
      </w:r>
      <w:r w:rsidR="00E02A0A">
        <w:rPr>
          <w:lang w:val="en-GB"/>
        </w:rPr>
        <w:t xml:space="preserve">he authors’ purpose was </w:t>
      </w:r>
      <w:r w:rsidR="00F86C26">
        <w:rPr>
          <w:lang w:val="en-GB"/>
        </w:rPr>
        <w:t>to show how</w:t>
      </w:r>
      <w:r w:rsidR="00E02A0A">
        <w:rPr>
          <w:lang w:val="en-GB"/>
        </w:rPr>
        <w:t xml:space="preserve"> the same </w:t>
      </w:r>
      <w:r w:rsidR="00F86C26">
        <w:rPr>
          <w:lang w:val="en-GB"/>
        </w:rPr>
        <w:t xml:space="preserve">discriminatory </w:t>
      </w:r>
      <w:r w:rsidR="00E02A0A">
        <w:rPr>
          <w:lang w:val="en-GB"/>
        </w:rPr>
        <w:t>ideologies and technique</w:t>
      </w:r>
      <w:r w:rsidR="00D87FD4">
        <w:rPr>
          <w:lang w:val="en-GB"/>
        </w:rPr>
        <w:t>s</w:t>
      </w:r>
      <w:r w:rsidR="00E02A0A">
        <w:rPr>
          <w:lang w:val="en-GB"/>
        </w:rPr>
        <w:t xml:space="preserve"> of control underpin all the legal fields, so that (for example) </w:t>
      </w:r>
      <w:r w:rsidR="00F86C26">
        <w:rPr>
          <w:lang w:val="en-GB"/>
        </w:rPr>
        <w:t xml:space="preserve">the assumed roles of </w:t>
      </w:r>
      <w:r w:rsidR="00E02A0A">
        <w:rPr>
          <w:lang w:val="en-GB"/>
        </w:rPr>
        <w:t>women as homemaker and men a</w:t>
      </w:r>
      <w:r w:rsidR="00D87FD4">
        <w:rPr>
          <w:lang w:val="en-GB"/>
        </w:rPr>
        <w:t>s bread</w:t>
      </w:r>
      <w:r w:rsidR="00F86C26">
        <w:rPr>
          <w:lang w:val="en-GB"/>
        </w:rPr>
        <w:t>winner account</w:t>
      </w:r>
      <w:r w:rsidR="00E02A0A">
        <w:rPr>
          <w:lang w:val="en-GB"/>
        </w:rPr>
        <w:t xml:space="preserve"> for their </w:t>
      </w:r>
      <w:r w:rsidR="00D87FD4">
        <w:rPr>
          <w:lang w:val="en-GB"/>
        </w:rPr>
        <w:t xml:space="preserve">unequal </w:t>
      </w:r>
      <w:r w:rsidR="00E02A0A">
        <w:rPr>
          <w:lang w:val="en-GB"/>
        </w:rPr>
        <w:t xml:space="preserve">treatment in paid work, on divorce, in property disputes, </w:t>
      </w:r>
      <w:r w:rsidR="00D87FD4">
        <w:rPr>
          <w:lang w:val="en-GB"/>
        </w:rPr>
        <w:t xml:space="preserve">and under </w:t>
      </w:r>
      <w:r w:rsidR="00E02A0A">
        <w:rPr>
          <w:lang w:val="en-GB"/>
        </w:rPr>
        <w:t xml:space="preserve">social security and tax law.  </w:t>
      </w:r>
    </w:p>
    <w:p w14:paraId="140F7DC1" w14:textId="77777777" w:rsidR="00E02A0A" w:rsidRDefault="00E02A0A">
      <w:pPr>
        <w:rPr>
          <w:lang w:val="en-GB"/>
        </w:rPr>
      </w:pPr>
    </w:p>
    <w:p w14:paraId="58C99048" w14:textId="729900ED" w:rsidR="00D87FD4" w:rsidRDefault="00F86C26">
      <w:pPr>
        <w:rPr>
          <w:lang w:val="en-GB"/>
        </w:rPr>
      </w:pPr>
      <w:r>
        <w:rPr>
          <w:lang w:val="en-GB"/>
        </w:rPr>
        <w:t>In</w:t>
      </w:r>
      <w:r w:rsidR="00204D18">
        <w:rPr>
          <w:lang w:val="en-GB"/>
        </w:rPr>
        <w:t xml:space="preserve"> </w:t>
      </w:r>
      <w:r w:rsidR="00E02A0A">
        <w:rPr>
          <w:lang w:val="en-GB"/>
        </w:rPr>
        <w:t>an era well before the current fixation on equality</w:t>
      </w:r>
      <w:r>
        <w:rPr>
          <w:lang w:val="en-GB"/>
        </w:rPr>
        <w:t xml:space="preserve"> and rights</w:t>
      </w:r>
      <w:r w:rsidR="00E02A0A">
        <w:rPr>
          <w:lang w:val="en-GB"/>
        </w:rPr>
        <w:t xml:space="preserve">, Atkins and </w:t>
      </w:r>
      <w:proofErr w:type="spellStart"/>
      <w:r w:rsidR="00E02A0A">
        <w:rPr>
          <w:lang w:val="en-GB"/>
        </w:rPr>
        <w:t>Hoggett</w:t>
      </w:r>
      <w:proofErr w:type="spellEnd"/>
      <w:r w:rsidR="00E02A0A">
        <w:rPr>
          <w:lang w:val="en-GB"/>
        </w:rPr>
        <w:t xml:space="preserve"> </w:t>
      </w:r>
      <w:r w:rsidR="00D87FD4">
        <w:rPr>
          <w:lang w:val="en-GB"/>
        </w:rPr>
        <w:t>demonstrate clear awareness</w:t>
      </w:r>
      <w:r w:rsidR="00E02A0A">
        <w:rPr>
          <w:lang w:val="en-GB"/>
        </w:rPr>
        <w:t xml:space="preserve"> of the limits of formal equality</w:t>
      </w:r>
      <w:r w:rsidR="00D87FD4">
        <w:rPr>
          <w:lang w:val="en-GB"/>
        </w:rPr>
        <w:t>,</w:t>
      </w:r>
      <w:r w:rsidR="00E02A0A">
        <w:rPr>
          <w:lang w:val="en-GB"/>
        </w:rPr>
        <w:t xml:space="preserve"> and </w:t>
      </w:r>
      <w:r>
        <w:rPr>
          <w:lang w:val="en-GB"/>
        </w:rPr>
        <w:t xml:space="preserve">of </w:t>
      </w:r>
      <w:r w:rsidR="00E02A0A">
        <w:rPr>
          <w:lang w:val="en-GB"/>
        </w:rPr>
        <w:t xml:space="preserve">the constant push to return to the </w:t>
      </w:r>
      <w:r w:rsidR="00D87FD4">
        <w:rPr>
          <w:lang w:val="en-GB"/>
        </w:rPr>
        <w:t>status quo.  In</w:t>
      </w:r>
      <w:r w:rsidR="00E02A0A">
        <w:rPr>
          <w:lang w:val="en-GB"/>
        </w:rPr>
        <w:t xml:space="preserve"> their chapter on ‘Equality at work’, they note that</w:t>
      </w:r>
      <w:r w:rsidR="00D87FD4">
        <w:rPr>
          <w:lang w:val="en-GB"/>
        </w:rPr>
        <w:t xml:space="preserve"> </w:t>
      </w:r>
    </w:p>
    <w:p w14:paraId="6A33B636" w14:textId="77777777" w:rsidR="005223E1" w:rsidRDefault="005223E1">
      <w:pPr>
        <w:rPr>
          <w:lang w:val="en-GB"/>
        </w:rPr>
      </w:pPr>
    </w:p>
    <w:p w14:paraId="3556B688" w14:textId="43C4664A" w:rsidR="005223E1" w:rsidRPr="005223E1" w:rsidRDefault="00E02A0A">
      <w:pPr>
        <w:rPr>
          <w:sz w:val="22"/>
          <w:szCs w:val="22"/>
          <w:lang w:val="en-GB"/>
        </w:rPr>
      </w:pPr>
      <w:r w:rsidRPr="005223E1">
        <w:rPr>
          <w:sz w:val="22"/>
          <w:szCs w:val="22"/>
          <w:lang w:val="en-GB"/>
        </w:rPr>
        <w:t xml:space="preserve">There is no evidence to suggest that there has been a dramatic improvement in women’s working lives in the [nine] years since the Equal Pay Act and the Sex </w:t>
      </w:r>
      <w:r w:rsidR="00171467">
        <w:rPr>
          <w:sz w:val="22"/>
          <w:szCs w:val="22"/>
          <w:lang w:val="en-GB"/>
        </w:rPr>
        <w:t>Discrimination</w:t>
      </w:r>
      <w:r w:rsidRPr="005223E1">
        <w:rPr>
          <w:sz w:val="22"/>
          <w:szCs w:val="22"/>
          <w:lang w:val="en-GB"/>
        </w:rPr>
        <w:t xml:space="preserve"> Act became law.  The gap between</w:t>
      </w:r>
      <w:r w:rsidR="00204D18" w:rsidRPr="005223E1">
        <w:rPr>
          <w:sz w:val="22"/>
          <w:szCs w:val="22"/>
          <w:lang w:val="en-GB"/>
        </w:rPr>
        <w:t xml:space="preserve"> </w:t>
      </w:r>
      <w:r w:rsidRPr="005223E1">
        <w:rPr>
          <w:sz w:val="22"/>
          <w:szCs w:val="22"/>
          <w:lang w:val="en-GB"/>
        </w:rPr>
        <w:t xml:space="preserve">women’s and men’s earnings is roughly the same as then.  </w:t>
      </w:r>
      <w:r w:rsidR="00204D18" w:rsidRPr="005223E1">
        <w:rPr>
          <w:sz w:val="22"/>
          <w:szCs w:val="22"/>
          <w:lang w:val="en-GB"/>
        </w:rPr>
        <w:t>Indeed, in recent year</w:t>
      </w:r>
      <w:r w:rsidRPr="005223E1">
        <w:rPr>
          <w:sz w:val="22"/>
          <w:szCs w:val="22"/>
          <w:lang w:val="en-GB"/>
        </w:rPr>
        <w:t>s the slight trend towards closing the gap appears to have been reversed</w:t>
      </w:r>
      <w:r w:rsidR="00171467">
        <w:rPr>
          <w:sz w:val="22"/>
          <w:szCs w:val="22"/>
          <w:lang w:val="en-GB"/>
        </w:rPr>
        <w:t>.</w:t>
      </w:r>
      <w:r w:rsidR="00D87FD4" w:rsidRPr="005223E1">
        <w:rPr>
          <w:sz w:val="22"/>
          <w:szCs w:val="22"/>
          <w:lang w:val="en-GB"/>
        </w:rPr>
        <w:t xml:space="preserve"> (</w:t>
      </w:r>
      <w:r w:rsidR="00204D18" w:rsidRPr="005223E1">
        <w:rPr>
          <w:sz w:val="22"/>
          <w:szCs w:val="22"/>
          <w:lang w:val="en-GB"/>
        </w:rPr>
        <w:t>51)</w:t>
      </w:r>
      <w:r w:rsidR="00D87FD4" w:rsidRPr="005223E1">
        <w:rPr>
          <w:sz w:val="22"/>
          <w:szCs w:val="22"/>
          <w:lang w:val="en-GB"/>
        </w:rPr>
        <w:t xml:space="preserve">  </w:t>
      </w:r>
    </w:p>
    <w:p w14:paraId="1010A918" w14:textId="77777777" w:rsidR="005223E1" w:rsidRDefault="005223E1">
      <w:pPr>
        <w:rPr>
          <w:lang w:val="en-GB"/>
        </w:rPr>
      </w:pPr>
    </w:p>
    <w:p w14:paraId="69D01414" w14:textId="5AA53C8C" w:rsidR="00204D18" w:rsidRDefault="00204D18">
      <w:pPr>
        <w:rPr>
          <w:lang w:val="en-GB"/>
        </w:rPr>
      </w:pPr>
      <w:r>
        <w:rPr>
          <w:lang w:val="en-GB"/>
        </w:rPr>
        <w:t>This is still true, 35 years on.</w:t>
      </w:r>
    </w:p>
    <w:p w14:paraId="6E9F372D" w14:textId="77777777" w:rsidR="00204D18" w:rsidRDefault="00204D18">
      <w:pPr>
        <w:rPr>
          <w:lang w:val="en-GB"/>
        </w:rPr>
      </w:pPr>
    </w:p>
    <w:p w14:paraId="1EC61BF2" w14:textId="4E9275AA" w:rsidR="00F86C26" w:rsidRPr="00F86C26" w:rsidRDefault="00204D18">
      <w:pPr>
        <w:rPr>
          <w:sz w:val="22"/>
          <w:szCs w:val="22"/>
          <w:lang w:val="en-GB"/>
        </w:rPr>
      </w:pPr>
      <w:r w:rsidRPr="00F86C26">
        <w:rPr>
          <w:sz w:val="22"/>
          <w:szCs w:val="22"/>
          <w:lang w:val="en-GB"/>
        </w:rPr>
        <w:t>Most women are only too well aware that the presumption of childbirth and a presumed discontinuation of paid employment is the cornerstone of all the discrimination they face at work</w:t>
      </w:r>
      <w:r w:rsidR="00171467">
        <w:rPr>
          <w:sz w:val="22"/>
          <w:szCs w:val="22"/>
          <w:lang w:val="en-GB"/>
        </w:rPr>
        <w:t>.</w:t>
      </w:r>
      <w:r w:rsidR="00F86C26">
        <w:rPr>
          <w:sz w:val="22"/>
          <w:szCs w:val="22"/>
          <w:lang w:val="en-GB"/>
        </w:rPr>
        <w:t xml:space="preserve"> </w:t>
      </w:r>
      <w:r w:rsidR="00D87FD4" w:rsidRPr="00F86C26">
        <w:rPr>
          <w:sz w:val="22"/>
          <w:szCs w:val="22"/>
          <w:lang w:val="en-GB"/>
        </w:rPr>
        <w:t xml:space="preserve">(53)  </w:t>
      </w:r>
    </w:p>
    <w:p w14:paraId="5193B5CB" w14:textId="77777777" w:rsidR="00F86C26" w:rsidRDefault="00F86C26">
      <w:pPr>
        <w:rPr>
          <w:lang w:val="en-GB"/>
        </w:rPr>
      </w:pPr>
    </w:p>
    <w:p w14:paraId="11E705C9" w14:textId="0BBEF14E" w:rsidR="00204D18" w:rsidRDefault="00204D18">
      <w:pPr>
        <w:rPr>
          <w:lang w:val="en-GB"/>
        </w:rPr>
      </w:pPr>
      <w:r>
        <w:rPr>
          <w:lang w:val="en-GB"/>
        </w:rPr>
        <w:lastRenderedPageBreak/>
        <w:t xml:space="preserve">This </w:t>
      </w:r>
      <w:r w:rsidR="00F86C26">
        <w:rPr>
          <w:lang w:val="en-GB"/>
        </w:rPr>
        <w:t xml:space="preserve">too </w:t>
      </w:r>
      <w:r>
        <w:rPr>
          <w:lang w:val="en-GB"/>
        </w:rPr>
        <w:t>is still true, 35 years on.</w:t>
      </w:r>
      <w:r w:rsidR="00D87FD4">
        <w:rPr>
          <w:lang w:val="en-GB"/>
        </w:rPr>
        <w:t xml:space="preserve">  </w:t>
      </w:r>
      <w:r>
        <w:rPr>
          <w:lang w:val="en-GB"/>
        </w:rPr>
        <w:t>A chapter entitled ‘Beyond equal</w:t>
      </w:r>
      <w:r w:rsidR="00D87FD4">
        <w:rPr>
          <w:lang w:val="en-GB"/>
        </w:rPr>
        <w:t>i</w:t>
      </w:r>
      <w:r>
        <w:rPr>
          <w:lang w:val="en-GB"/>
        </w:rPr>
        <w:t>ty of opportunity</w:t>
      </w:r>
      <w:r w:rsidR="005E6EDC">
        <w:rPr>
          <w:lang w:val="en-GB"/>
        </w:rPr>
        <w:t>’ looks at equal pay for work of</w:t>
      </w:r>
      <w:r>
        <w:rPr>
          <w:lang w:val="en-GB"/>
        </w:rPr>
        <w:t xml:space="preserve"> equal value (not then the law) and positive action, still live issues today.</w:t>
      </w:r>
    </w:p>
    <w:p w14:paraId="120B5D2B" w14:textId="77777777" w:rsidR="00204D18" w:rsidRDefault="00204D18">
      <w:pPr>
        <w:rPr>
          <w:lang w:val="en-GB"/>
        </w:rPr>
      </w:pPr>
    </w:p>
    <w:p w14:paraId="388878BB" w14:textId="404014AD" w:rsidR="00204D18" w:rsidRDefault="00D87FD4">
      <w:pPr>
        <w:rPr>
          <w:lang w:val="en-GB"/>
        </w:rPr>
      </w:pPr>
      <w:r>
        <w:rPr>
          <w:lang w:val="en-GB"/>
        </w:rPr>
        <w:t>T</w:t>
      </w:r>
      <w:r w:rsidR="00204D18">
        <w:rPr>
          <w:lang w:val="en-GB"/>
        </w:rPr>
        <w:t>he second section,</w:t>
      </w:r>
      <w:r>
        <w:rPr>
          <w:lang w:val="en-GB"/>
        </w:rPr>
        <w:t xml:space="preserve"> </w:t>
      </w:r>
      <w:r w:rsidR="00204D18">
        <w:rPr>
          <w:lang w:val="en-GB"/>
        </w:rPr>
        <w:t>‘The private domain’,</w:t>
      </w:r>
      <w:r>
        <w:rPr>
          <w:lang w:val="en-GB"/>
        </w:rPr>
        <w:t xml:space="preserve"> </w:t>
      </w:r>
      <w:r w:rsidR="00204D18">
        <w:rPr>
          <w:lang w:val="en-GB"/>
        </w:rPr>
        <w:t xml:space="preserve">is the hardest hitting.  On sexuality, </w:t>
      </w:r>
      <w:r>
        <w:rPr>
          <w:lang w:val="en-GB"/>
        </w:rPr>
        <w:t xml:space="preserve">for example, </w:t>
      </w:r>
      <w:r w:rsidR="00204D18">
        <w:rPr>
          <w:lang w:val="en-GB"/>
        </w:rPr>
        <w:t xml:space="preserve">Atkins and </w:t>
      </w:r>
      <w:proofErr w:type="spellStart"/>
      <w:r w:rsidR="00204D18">
        <w:rPr>
          <w:lang w:val="en-GB"/>
        </w:rPr>
        <w:t>Hoggett</w:t>
      </w:r>
      <w:proofErr w:type="spellEnd"/>
      <w:r w:rsidR="00204D18">
        <w:rPr>
          <w:lang w:val="en-GB"/>
        </w:rPr>
        <w:t xml:space="preserve"> point out that, however reluctant the law might be to interfere in sexual matters, it is much more concerned to protect men than women:</w:t>
      </w:r>
    </w:p>
    <w:p w14:paraId="435F2EF6" w14:textId="77777777" w:rsidR="00204D18" w:rsidRDefault="00204D18">
      <w:pPr>
        <w:rPr>
          <w:lang w:val="en-GB"/>
        </w:rPr>
      </w:pPr>
    </w:p>
    <w:p w14:paraId="1AF582CC" w14:textId="448A25B6" w:rsidR="00204D18" w:rsidRPr="00D87FD4" w:rsidRDefault="00204D18">
      <w:pPr>
        <w:rPr>
          <w:sz w:val="22"/>
          <w:szCs w:val="22"/>
          <w:lang w:val="en-GB"/>
        </w:rPr>
      </w:pPr>
      <w:r w:rsidRPr="00D87FD4">
        <w:rPr>
          <w:sz w:val="22"/>
          <w:szCs w:val="22"/>
          <w:lang w:val="en-GB"/>
        </w:rPr>
        <w:t>Men are protected against attacks and approaches by other men and even women, even though they do not suffer the risks of pregnancy and childbirth. … Women are protected against vaginal intercourse, which does carry the risk of pregnancy and childbirth.  Their interest in being so protected in certainly great, but the male interest in protecting them against it is also great [to ensure their exclusive sexual rights and legitimate children]</w:t>
      </w:r>
      <w:r w:rsidR="00171467">
        <w:rPr>
          <w:sz w:val="22"/>
          <w:szCs w:val="22"/>
          <w:lang w:val="en-GB"/>
        </w:rPr>
        <w:t>.</w:t>
      </w:r>
      <w:r w:rsidRPr="00D87FD4">
        <w:rPr>
          <w:sz w:val="22"/>
          <w:szCs w:val="22"/>
          <w:lang w:val="en-GB"/>
        </w:rPr>
        <w:t xml:space="preserve"> (80)  </w:t>
      </w:r>
    </w:p>
    <w:p w14:paraId="3EC68439" w14:textId="77777777" w:rsidR="00204D18" w:rsidRPr="00D87FD4" w:rsidRDefault="00204D18">
      <w:pPr>
        <w:rPr>
          <w:sz w:val="22"/>
          <w:szCs w:val="22"/>
          <w:lang w:val="en-GB"/>
        </w:rPr>
      </w:pPr>
    </w:p>
    <w:p w14:paraId="60CB4596" w14:textId="41D8DAF0" w:rsidR="00204D18" w:rsidRDefault="00204D18">
      <w:pPr>
        <w:rPr>
          <w:lang w:val="en-GB"/>
        </w:rPr>
      </w:pPr>
      <w:r>
        <w:rPr>
          <w:lang w:val="en-GB"/>
        </w:rPr>
        <w:t>Ev</w:t>
      </w:r>
      <w:r w:rsidR="00D87FD4">
        <w:rPr>
          <w:lang w:val="en-GB"/>
        </w:rPr>
        <w:t>en then, the law i</w:t>
      </w:r>
      <w:r>
        <w:rPr>
          <w:lang w:val="en-GB"/>
        </w:rPr>
        <w:t xml:space="preserve">s really only concerned to protect ‘respectable’ women; prostitutes and sexually active women alleging rape </w:t>
      </w:r>
      <w:r w:rsidR="00D87FD4">
        <w:rPr>
          <w:lang w:val="en-GB"/>
        </w:rPr>
        <w:t>are</w:t>
      </w:r>
      <w:r>
        <w:rPr>
          <w:lang w:val="en-GB"/>
        </w:rPr>
        <w:t xml:space="preserve"> not so entitled.  As for lesbianism, there were never any controlling laws (they suggest) because there was no male interest in its punishment (81) </w:t>
      </w:r>
      <w:r w:rsidR="00A637F4">
        <w:rPr>
          <w:lang w:val="en-GB"/>
        </w:rPr>
        <w:t xml:space="preserve">except when it came to </w:t>
      </w:r>
      <w:r w:rsidR="00255363">
        <w:rPr>
          <w:lang w:val="en-GB"/>
        </w:rPr>
        <w:t xml:space="preserve">matters of </w:t>
      </w:r>
      <w:r w:rsidR="00A637F4">
        <w:rPr>
          <w:lang w:val="en-GB"/>
        </w:rPr>
        <w:t>divorce or cust</w:t>
      </w:r>
      <w:r w:rsidR="00255363">
        <w:rPr>
          <w:lang w:val="en-GB"/>
        </w:rPr>
        <w:t>ody of children</w:t>
      </w:r>
      <w:r w:rsidR="00A637F4">
        <w:rPr>
          <w:lang w:val="en-GB"/>
        </w:rPr>
        <w:t xml:space="preserve"> (116).  (This is not quite true, I think, as men have not hesitated to punish lesbians simply for not being under a man’s control.)  Indecent assault on a woman (by a man or a woman) carried a maximum sentence of two years’ imprisonment at the time; </w:t>
      </w:r>
      <w:r w:rsidR="00D87FD4">
        <w:rPr>
          <w:lang w:val="en-GB"/>
        </w:rPr>
        <w:t xml:space="preserve">but </w:t>
      </w:r>
      <w:r w:rsidR="00A637F4">
        <w:rPr>
          <w:lang w:val="en-GB"/>
        </w:rPr>
        <w:t>indecent assault on a man (by a man or a woman) carried a maximum of ten</w:t>
      </w:r>
      <w:r w:rsidR="00255363">
        <w:rPr>
          <w:lang w:val="en-GB"/>
        </w:rPr>
        <w:t xml:space="preserve"> years</w:t>
      </w:r>
      <w:r w:rsidR="00D87FD4">
        <w:rPr>
          <w:lang w:val="en-GB"/>
        </w:rPr>
        <w:t xml:space="preserve">, </w:t>
      </w:r>
      <w:r w:rsidR="00D87FD4" w:rsidRPr="00D87FD4">
        <w:rPr>
          <w:i/>
          <w:lang w:val="en-GB"/>
        </w:rPr>
        <w:t>five times as long</w:t>
      </w:r>
      <w:r w:rsidR="00A637F4">
        <w:rPr>
          <w:lang w:val="en-GB"/>
        </w:rPr>
        <w:t xml:space="preserve"> (81-2).  </w:t>
      </w:r>
      <w:r w:rsidR="00D87FD4">
        <w:rPr>
          <w:lang w:val="en-GB"/>
        </w:rPr>
        <w:t>Was it really five times as serious?  Finally comes a</w:t>
      </w:r>
      <w:r w:rsidR="00A637F4">
        <w:rPr>
          <w:lang w:val="en-GB"/>
        </w:rPr>
        <w:t xml:space="preserve"> discussion of rape, remembering that at the time marital rape was not a crime (87).  Some wonderful quotations from the Criminal Law Revision Committee’s report on </w:t>
      </w:r>
      <w:r w:rsidR="00A637F4">
        <w:rPr>
          <w:i/>
          <w:lang w:val="en-GB"/>
        </w:rPr>
        <w:t>Sexual Offences</w:t>
      </w:r>
      <w:r w:rsidR="00A637F4">
        <w:rPr>
          <w:lang w:val="en-GB"/>
        </w:rPr>
        <w:t xml:space="preserve"> (1980) </w:t>
      </w:r>
      <w:r w:rsidR="00D87FD4">
        <w:rPr>
          <w:lang w:val="en-GB"/>
        </w:rPr>
        <w:t>reveal</w:t>
      </w:r>
      <w:r w:rsidR="00A637F4">
        <w:rPr>
          <w:lang w:val="en-GB"/>
        </w:rPr>
        <w:t xml:space="preserve"> the </w:t>
      </w:r>
      <w:r w:rsidR="00D87FD4">
        <w:rPr>
          <w:lang w:val="en-GB"/>
        </w:rPr>
        <w:t xml:space="preserve">existence of a </w:t>
      </w:r>
      <w:r w:rsidR="00A637F4">
        <w:rPr>
          <w:lang w:val="en-GB"/>
        </w:rPr>
        <w:t xml:space="preserve">continuing sexual double standard (a century after feminists first drew attention to it) and men’s reluctance to let go of the idea that women were put on earth for their sexual gratification.  </w:t>
      </w:r>
    </w:p>
    <w:p w14:paraId="2CB4567D" w14:textId="77777777" w:rsidR="00A637F4" w:rsidRDefault="00A637F4">
      <w:pPr>
        <w:rPr>
          <w:lang w:val="en-GB"/>
        </w:rPr>
      </w:pPr>
    </w:p>
    <w:p w14:paraId="1D66BCC6" w14:textId="38EA59C0" w:rsidR="00A637F4" w:rsidRPr="00A637F4" w:rsidRDefault="00A637F4">
      <w:pPr>
        <w:rPr>
          <w:lang w:val="en-GB"/>
        </w:rPr>
      </w:pPr>
      <w:r>
        <w:rPr>
          <w:lang w:val="en-GB"/>
        </w:rPr>
        <w:t xml:space="preserve">Why do we need this book?  Is it not simply a historical document that scholars can consult in libraries?  We need it because, first, it offers a snapshot of women’s legal position in 1984, at what must have seemed a high point of feminist activism and legal change.  Second, </w:t>
      </w:r>
      <w:r w:rsidR="00171467">
        <w:rPr>
          <w:lang w:val="en-GB"/>
        </w:rPr>
        <w:t xml:space="preserve">because </w:t>
      </w:r>
      <w:r>
        <w:rPr>
          <w:lang w:val="en-GB"/>
        </w:rPr>
        <w:t xml:space="preserve">in spite of the thousands of monographs and articles on aspects of women’s legal position </w:t>
      </w:r>
      <w:r w:rsidR="005223E1">
        <w:rPr>
          <w:lang w:val="en-GB"/>
        </w:rPr>
        <w:t xml:space="preserve">that have appeared </w:t>
      </w:r>
      <w:r>
        <w:rPr>
          <w:lang w:val="en-GB"/>
        </w:rPr>
        <w:t xml:space="preserve">since then, there has not been any book of comparable coverage, nor one demonstrating such erudition both in the research and in the analysis.  And third, </w:t>
      </w:r>
      <w:r>
        <w:rPr>
          <w:i/>
          <w:lang w:val="en-GB"/>
        </w:rPr>
        <w:t xml:space="preserve">because no one knows about this stuff </w:t>
      </w:r>
      <w:proofErr w:type="spellStart"/>
      <w:r>
        <w:rPr>
          <w:i/>
          <w:lang w:val="en-GB"/>
        </w:rPr>
        <w:t>any more</w:t>
      </w:r>
      <w:proofErr w:type="spellEnd"/>
      <w:r>
        <w:rPr>
          <w:lang w:val="en-GB"/>
        </w:rPr>
        <w:t>.  Women’s history, and especially our legal history</w:t>
      </w:r>
      <w:r w:rsidR="005223E1">
        <w:rPr>
          <w:lang w:val="en-GB"/>
        </w:rPr>
        <w:t>,</w:t>
      </w:r>
      <w:r>
        <w:rPr>
          <w:lang w:val="en-GB"/>
        </w:rPr>
        <w:t xml:space="preserve"> is routinely erased from </w:t>
      </w:r>
      <w:r w:rsidR="005223E1">
        <w:rPr>
          <w:lang w:val="en-GB"/>
        </w:rPr>
        <w:t>inter-</w:t>
      </w:r>
      <w:r>
        <w:rPr>
          <w:lang w:val="en-GB"/>
        </w:rPr>
        <w:t xml:space="preserve">generational knowledge; it forms no part of our legal curricula, and feminism’s concerns and goals have been replaced </w:t>
      </w:r>
      <w:r w:rsidR="005223E1">
        <w:rPr>
          <w:lang w:val="en-GB"/>
        </w:rPr>
        <w:t xml:space="preserve">in our students’ eyes </w:t>
      </w:r>
      <w:r>
        <w:rPr>
          <w:lang w:val="en-GB"/>
        </w:rPr>
        <w:t>by the illusory goals of gender equality</w:t>
      </w:r>
      <w:r w:rsidR="005223E1">
        <w:rPr>
          <w:lang w:val="en-GB"/>
        </w:rPr>
        <w:t>, human rights,</w:t>
      </w:r>
      <w:r>
        <w:rPr>
          <w:lang w:val="en-GB"/>
        </w:rPr>
        <w:t xml:space="preserve"> and meritocracy based on individual effort.  What </w:t>
      </w:r>
      <w:r>
        <w:rPr>
          <w:i/>
          <w:lang w:val="en-GB"/>
        </w:rPr>
        <w:t>Women and the Law</w:t>
      </w:r>
      <w:r>
        <w:rPr>
          <w:lang w:val="en-GB"/>
        </w:rPr>
        <w:t xml:space="preserve"> does is reveal the </w:t>
      </w:r>
      <w:r w:rsidR="00CB0389">
        <w:rPr>
          <w:lang w:val="en-GB"/>
        </w:rPr>
        <w:t xml:space="preserve">ways that the </w:t>
      </w:r>
      <w:r>
        <w:rPr>
          <w:lang w:val="en-GB"/>
        </w:rPr>
        <w:t xml:space="preserve">structural inequalities </w:t>
      </w:r>
      <w:r w:rsidR="00CB0389">
        <w:rPr>
          <w:lang w:val="en-GB"/>
        </w:rPr>
        <w:t xml:space="preserve">based on sex and the continuing injustices suffered by women </w:t>
      </w:r>
      <w:r w:rsidR="005223E1">
        <w:rPr>
          <w:lang w:val="en-GB"/>
        </w:rPr>
        <w:t>continue to be</w:t>
      </w:r>
      <w:r w:rsidR="00CB0389">
        <w:rPr>
          <w:lang w:val="en-GB"/>
        </w:rPr>
        <w:t xml:space="preserve"> maintained in spite of the legal ‘progress’ in every area of our lives. </w:t>
      </w:r>
    </w:p>
    <w:p w14:paraId="4A44F770" w14:textId="77777777" w:rsidR="00204D18" w:rsidRDefault="00204D18">
      <w:pPr>
        <w:rPr>
          <w:lang w:val="en-GB"/>
        </w:rPr>
      </w:pPr>
    </w:p>
    <w:p w14:paraId="2EA2A9FA" w14:textId="6F901A71" w:rsidR="00020DAB" w:rsidRDefault="00FD28AB">
      <w:pPr>
        <w:rPr>
          <w:lang w:val="en-GB"/>
        </w:rPr>
      </w:pPr>
      <w:r>
        <w:rPr>
          <w:lang w:val="en-GB"/>
        </w:rPr>
        <w:t xml:space="preserve">A note on this new edition. </w:t>
      </w:r>
      <w:r w:rsidR="00020DAB">
        <w:rPr>
          <w:lang w:val="en-GB"/>
        </w:rPr>
        <w:t xml:space="preserve">The book is reproduced </w:t>
      </w:r>
      <w:r>
        <w:rPr>
          <w:lang w:val="en-GB"/>
        </w:rPr>
        <w:t>more or less</w:t>
      </w:r>
      <w:r w:rsidR="00020DAB">
        <w:rPr>
          <w:lang w:val="en-GB"/>
        </w:rPr>
        <w:t xml:space="preserve"> as it</w:t>
      </w:r>
      <w:r>
        <w:rPr>
          <w:lang w:val="en-GB"/>
        </w:rPr>
        <w:t xml:space="preserve"> was</w:t>
      </w:r>
      <w:r w:rsidR="00171467">
        <w:rPr>
          <w:lang w:val="en-GB"/>
        </w:rPr>
        <w:t xml:space="preserve"> published</w:t>
      </w:r>
      <w:r>
        <w:rPr>
          <w:lang w:val="en-GB"/>
        </w:rPr>
        <w:t xml:space="preserve"> by Basil Blackwell in 1984 when referencing practice was more casual.  There is an index, but no bibliography.  Footnotes have been substituted for the original endnotes – a nice idea – but some are incomplete, lacking page numbers, and others are in short form because the </w:t>
      </w:r>
      <w:r>
        <w:rPr>
          <w:lang w:val="en-GB"/>
        </w:rPr>
        <w:lastRenderedPageBreak/>
        <w:t>source (with full details) has been mentioned earlier in the chapter.  But the reader is not told exactly where, so, instead of flicking your eyes down a list at the back, you are forced to leaf through the earlier pages in the chapter to find the rele</w:t>
      </w:r>
      <w:r w:rsidR="00FB7C31">
        <w:rPr>
          <w:lang w:val="en-GB"/>
        </w:rPr>
        <w:t>vant full reference you seek.  Finally, t</w:t>
      </w:r>
      <w:r>
        <w:rPr>
          <w:lang w:val="en-GB"/>
        </w:rPr>
        <w:t xml:space="preserve">he authors are still named as Atkins and </w:t>
      </w:r>
      <w:proofErr w:type="spellStart"/>
      <w:r>
        <w:rPr>
          <w:lang w:val="en-GB"/>
        </w:rPr>
        <w:t>Hoggett</w:t>
      </w:r>
      <w:proofErr w:type="spellEnd"/>
      <w:r>
        <w:rPr>
          <w:lang w:val="en-GB"/>
        </w:rPr>
        <w:t xml:space="preserve"> – doubtless their decision – but I think that renaming </w:t>
      </w:r>
      <w:proofErr w:type="spellStart"/>
      <w:r>
        <w:rPr>
          <w:lang w:val="en-GB"/>
        </w:rPr>
        <w:t>Hoggett</w:t>
      </w:r>
      <w:proofErr w:type="spellEnd"/>
      <w:r>
        <w:rPr>
          <w:lang w:val="en-GB"/>
        </w:rPr>
        <w:t xml:space="preserve"> as Hale might have </w:t>
      </w:r>
      <w:r w:rsidR="00B6372B">
        <w:rPr>
          <w:lang w:val="en-GB"/>
        </w:rPr>
        <w:t xml:space="preserve">encouraged more of our </w:t>
      </w:r>
      <w:r>
        <w:rPr>
          <w:lang w:val="en-GB"/>
        </w:rPr>
        <w:t>star-struck students</w:t>
      </w:r>
      <w:r w:rsidR="00B6372B">
        <w:rPr>
          <w:lang w:val="en-GB"/>
        </w:rPr>
        <w:t xml:space="preserve"> to read it</w:t>
      </w:r>
      <w:r>
        <w:rPr>
          <w:lang w:val="en-GB"/>
        </w:rPr>
        <w:t xml:space="preserve">!  That said, the Institute must be congratulated on making available, </w:t>
      </w:r>
      <w:r w:rsidRPr="00FD28AB">
        <w:rPr>
          <w:i/>
          <w:lang w:val="en-GB"/>
        </w:rPr>
        <w:t>open access</w:t>
      </w:r>
      <w:r w:rsidR="00FB7C31">
        <w:rPr>
          <w:lang w:val="en-GB"/>
        </w:rPr>
        <w:t>, such a landmark text; it is still sorely needed.</w:t>
      </w:r>
    </w:p>
    <w:p w14:paraId="5FC15B2E" w14:textId="77777777" w:rsidR="00020DAB" w:rsidRDefault="00020DAB">
      <w:pPr>
        <w:rPr>
          <w:lang w:val="en-GB"/>
        </w:rPr>
      </w:pPr>
      <w:bookmarkStart w:id="0" w:name="_GoBack"/>
      <w:bookmarkEnd w:id="0"/>
    </w:p>
    <w:p w14:paraId="26503148" w14:textId="734C39AB" w:rsidR="00CA0467" w:rsidRDefault="00CA0467">
      <w:pPr>
        <w:rPr>
          <w:lang w:val="en-GB"/>
        </w:rPr>
      </w:pPr>
      <w:r>
        <w:rPr>
          <w:lang w:val="en-GB"/>
        </w:rPr>
        <w:t xml:space="preserve">In 1984, when this book was published, a backlash </w:t>
      </w:r>
      <w:r w:rsidR="005223E1">
        <w:rPr>
          <w:lang w:val="en-GB"/>
        </w:rPr>
        <w:t xml:space="preserve">against second-wave feminism </w:t>
      </w:r>
      <w:r>
        <w:rPr>
          <w:lang w:val="en-GB"/>
        </w:rPr>
        <w:t>was already setting in</w:t>
      </w:r>
      <w:r w:rsidR="00A9172E">
        <w:rPr>
          <w:lang w:val="en-GB"/>
        </w:rPr>
        <w:t xml:space="preserve">.  The authors were clearly aware of this, as is evident from their treatment </w:t>
      </w:r>
      <w:r w:rsidR="005223E1">
        <w:rPr>
          <w:lang w:val="en-GB"/>
        </w:rPr>
        <w:t xml:space="preserve">in chapter 6 </w:t>
      </w:r>
      <w:r w:rsidR="00A9172E">
        <w:rPr>
          <w:lang w:val="en-GB"/>
        </w:rPr>
        <w:t xml:space="preserve">of the newly-enacted </w:t>
      </w:r>
      <w:r>
        <w:rPr>
          <w:lang w:val="en-GB"/>
        </w:rPr>
        <w:t>Matrimonial and Family Proceedings Act 1984</w:t>
      </w:r>
      <w:r w:rsidR="005223E1">
        <w:rPr>
          <w:lang w:val="en-GB"/>
        </w:rPr>
        <w:t xml:space="preserve">, with its cheerful disregard of the homemaker wife </w:t>
      </w:r>
      <w:r w:rsidR="00321C11">
        <w:rPr>
          <w:lang w:val="en-GB"/>
        </w:rPr>
        <w:t xml:space="preserve">discarded </w:t>
      </w:r>
      <w:r w:rsidR="005223E1">
        <w:rPr>
          <w:lang w:val="en-GB"/>
        </w:rPr>
        <w:t xml:space="preserve">without skills or experience </w:t>
      </w:r>
      <w:r w:rsidR="00321C11">
        <w:rPr>
          <w:lang w:val="en-GB"/>
        </w:rPr>
        <w:t xml:space="preserve">to enable her </w:t>
      </w:r>
      <w:r w:rsidR="005223E1">
        <w:rPr>
          <w:lang w:val="en-GB"/>
        </w:rPr>
        <w:t>to be self-sufficient after the ‘clean break’ that freed her ex-husband to maintain a second wife and family</w:t>
      </w:r>
      <w:r w:rsidR="00A9172E">
        <w:rPr>
          <w:lang w:val="en-GB"/>
        </w:rPr>
        <w:t xml:space="preserve">.  Yet they also expressed confidence that the mainstreaming of feminist ideas through the influence of EU law and women’s increased participation in political and policy processes and lobby groups would embed women’s issues into legal and political consciousness.  This has indeed happened, but only up to a point.  Backlash is alive and well today and the same legal system that now acknowledges sexual </w:t>
      </w:r>
      <w:r w:rsidR="005223E1">
        <w:rPr>
          <w:lang w:val="en-GB"/>
        </w:rPr>
        <w:t xml:space="preserve">harassment and </w:t>
      </w:r>
      <w:r w:rsidR="00A9172E">
        <w:rPr>
          <w:lang w:val="en-GB"/>
        </w:rPr>
        <w:t>coercive control of women remains reluctant to convict (or even try) rapists or accord divorced women a fair share of marital</w:t>
      </w:r>
      <w:r w:rsidR="00184CF9">
        <w:rPr>
          <w:lang w:val="en-GB"/>
        </w:rPr>
        <w:t xml:space="preserve"> assets.  Atkins concludes her 2018 foreword with the warning that ‘</w:t>
      </w:r>
      <w:r w:rsidR="00184CF9">
        <w:rPr>
          <w:i/>
          <w:lang w:val="en-GB"/>
        </w:rPr>
        <w:t>Women and the Law</w:t>
      </w:r>
      <w:r w:rsidR="00184CF9">
        <w:rPr>
          <w:lang w:val="en-GB"/>
        </w:rPr>
        <w:t xml:space="preserve"> may have marked a moment in transition but it is a good reminder, not only of how far we have come but also of why a feminist focus remains as necessary today, for men as </w:t>
      </w:r>
      <w:r w:rsidR="009B6469">
        <w:rPr>
          <w:lang w:val="en-GB"/>
        </w:rPr>
        <w:t>well as for women,</w:t>
      </w:r>
      <w:r w:rsidR="00E71F96">
        <w:rPr>
          <w:lang w:val="en-GB"/>
        </w:rPr>
        <w:t xml:space="preserve"> as it was thirty years ago’ (</w:t>
      </w:r>
      <w:r w:rsidR="009B6469">
        <w:rPr>
          <w:lang w:val="en-GB"/>
        </w:rPr>
        <w:t>xxiii).</w:t>
      </w:r>
    </w:p>
    <w:p w14:paraId="58BF0740" w14:textId="77777777" w:rsidR="005504FC" w:rsidRDefault="005504FC">
      <w:pPr>
        <w:rPr>
          <w:lang w:val="en-GB"/>
        </w:rPr>
      </w:pPr>
    </w:p>
    <w:p w14:paraId="6D7F6D40" w14:textId="77777777" w:rsidR="000D3345" w:rsidRPr="000D3345" w:rsidRDefault="000D3345">
      <w:pPr>
        <w:rPr>
          <w:lang w:val="en-GB"/>
        </w:rPr>
      </w:pPr>
    </w:p>
    <w:sectPr w:rsidR="000D3345" w:rsidRPr="000D3345" w:rsidSect="004262F7">
      <w:headerReference w:type="even" r:id="rId8"/>
      <w:headerReference w:type="default" r:id="rId9"/>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F7206" w14:textId="77777777" w:rsidR="006A47C7" w:rsidRDefault="006A47C7" w:rsidP="0013327B">
      <w:r>
        <w:separator/>
      </w:r>
    </w:p>
  </w:endnote>
  <w:endnote w:type="continuationSeparator" w:id="0">
    <w:p w14:paraId="6D542360" w14:textId="77777777" w:rsidR="006A47C7" w:rsidRDefault="006A47C7" w:rsidP="0013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804674"/>
      <w:docPartObj>
        <w:docPartGallery w:val="Page Numbers (Bottom of Page)"/>
        <w:docPartUnique/>
      </w:docPartObj>
    </w:sdtPr>
    <w:sdtEndPr>
      <w:rPr>
        <w:noProof/>
      </w:rPr>
    </w:sdtEndPr>
    <w:sdtContent>
      <w:p w14:paraId="33E5E7EA" w14:textId="67FD09BF" w:rsidR="004262F7" w:rsidRDefault="004262F7">
        <w:pPr>
          <w:pStyle w:val="Footer"/>
          <w:jc w:val="center"/>
        </w:pPr>
        <w:r>
          <w:t>___________________________________________________________________________</w:t>
        </w:r>
      </w:p>
      <w:p w14:paraId="716BD06E" w14:textId="2E940DE1" w:rsidR="004262F7" w:rsidRDefault="004262F7">
        <w:pPr>
          <w:pStyle w:val="Footer"/>
          <w:jc w:val="center"/>
        </w:pPr>
      </w:p>
      <w:p w14:paraId="0FD745A1" w14:textId="7D16B7DB" w:rsidR="004262F7" w:rsidRDefault="004262F7">
        <w:pPr>
          <w:pStyle w:val="Footer"/>
          <w:jc w:val="center"/>
        </w:pPr>
        <w:r w:rsidRPr="004262F7">
          <w:rPr>
            <w:sz w:val="22"/>
            <w:szCs w:val="22"/>
          </w:rPr>
          <w:fldChar w:fldCharType="begin"/>
        </w:r>
        <w:r w:rsidRPr="004262F7">
          <w:rPr>
            <w:sz w:val="22"/>
            <w:szCs w:val="22"/>
          </w:rPr>
          <w:instrText xml:space="preserve"> PAGE   \* MERGEFORMAT </w:instrText>
        </w:r>
        <w:r w:rsidRPr="004262F7">
          <w:rPr>
            <w:sz w:val="22"/>
            <w:szCs w:val="22"/>
          </w:rPr>
          <w:fldChar w:fldCharType="separate"/>
        </w:r>
        <w:r>
          <w:rPr>
            <w:noProof/>
            <w:sz w:val="22"/>
            <w:szCs w:val="22"/>
          </w:rPr>
          <w:t>4</w:t>
        </w:r>
        <w:r w:rsidRPr="004262F7">
          <w:rPr>
            <w:noProof/>
            <w:sz w:val="22"/>
            <w:szCs w:val="22"/>
          </w:rPr>
          <w:fldChar w:fldCharType="end"/>
        </w:r>
      </w:p>
    </w:sdtContent>
  </w:sdt>
  <w:p w14:paraId="79B8E181" w14:textId="77777777" w:rsidR="004262F7" w:rsidRDefault="00426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621988"/>
      <w:docPartObj>
        <w:docPartGallery w:val="Page Numbers (Bottom of Page)"/>
        <w:docPartUnique/>
      </w:docPartObj>
    </w:sdtPr>
    <w:sdtEndPr>
      <w:rPr>
        <w:noProof/>
      </w:rPr>
    </w:sdtEndPr>
    <w:sdtContent>
      <w:p w14:paraId="51674798" w14:textId="2273EA98" w:rsidR="004262F7" w:rsidRDefault="004262F7">
        <w:pPr>
          <w:pStyle w:val="Footer"/>
          <w:jc w:val="center"/>
        </w:pPr>
        <w:r>
          <w:t>___________________________________________________________________________</w:t>
        </w:r>
      </w:p>
      <w:p w14:paraId="53FB83BD" w14:textId="7AA4874C" w:rsidR="004262F7" w:rsidRDefault="004262F7">
        <w:pPr>
          <w:pStyle w:val="Footer"/>
          <w:jc w:val="center"/>
        </w:pPr>
      </w:p>
      <w:p w14:paraId="263A99B2" w14:textId="5B7AC913" w:rsidR="004262F7" w:rsidRDefault="004262F7">
        <w:pPr>
          <w:pStyle w:val="Footer"/>
          <w:jc w:val="center"/>
        </w:pPr>
        <w:r w:rsidRPr="004262F7">
          <w:rPr>
            <w:sz w:val="22"/>
            <w:szCs w:val="22"/>
          </w:rPr>
          <w:fldChar w:fldCharType="begin"/>
        </w:r>
        <w:r w:rsidRPr="004262F7">
          <w:rPr>
            <w:sz w:val="22"/>
            <w:szCs w:val="22"/>
          </w:rPr>
          <w:instrText xml:space="preserve"> PAGE   \* MERGEFORMAT </w:instrText>
        </w:r>
        <w:r w:rsidRPr="004262F7">
          <w:rPr>
            <w:sz w:val="22"/>
            <w:szCs w:val="22"/>
          </w:rPr>
          <w:fldChar w:fldCharType="separate"/>
        </w:r>
        <w:r>
          <w:rPr>
            <w:noProof/>
            <w:sz w:val="22"/>
            <w:szCs w:val="22"/>
          </w:rPr>
          <w:t>3</w:t>
        </w:r>
        <w:r w:rsidRPr="004262F7">
          <w:rPr>
            <w:noProof/>
            <w:sz w:val="22"/>
            <w:szCs w:val="22"/>
          </w:rPr>
          <w:fldChar w:fldCharType="end"/>
        </w:r>
      </w:p>
    </w:sdtContent>
  </w:sdt>
  <w:p w14:paraId="30669ED9" w14:textId="77777777" w:rsidR="004262F7" w:rsidRDefault="00426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1A00E" w14:textId="77777777" w:rsidR="006A47C7" w:rsidRDefault="006A47C7" w:rsidP="0013327B">
      <w:r>
        <w:separator/>
      </w:r>
    </w:p>
  </w:footnote>
  <w:footnote w:type="continuationSeparator" w:id="0">
    <w:p w14:paraId="1ACDFFE7" w14:textId="77777777" w:rsidR="006A47C7" w:rsidRDefault="006A47C7" w:rsidP="0013327B">
      <w:r>
        <w:continuationSeparator/>
      </w:r>
    </w:p>
  </w:footnote>
  <w:footnote w:id="1">
    <w:p w14:paraId="43F8C149" w14:textId="7656918B" w:rsidR="0013327B" w:rsidRPr="0013327B" w:rsidRDefault="0013327B">
      <w:pPr>
        <w:pStyle w:val="FootnoteText"/>
        <w:rPr>
          <w:lang w:val="en-GB"/>
        </w:rPr>
      </w:pPr>
      <w:r>
        <w:rPr>
          <w:rStyle w:val="FootnoteReference"/>
        </w:rPr>
        <w:t>*</w:t>
      </w:r>
      <w:r>
        <w:t xml:space="preserve"> </w:t>
      </w:r>
      <w:r>
        <w:rPr>
          <w:lang w:val="en-GB"/>
        </w:rPr>
        <w:t xml:space="preserve">Professor of Law, University of Reading, UK. Email </w:t>
      </w:r>
      <w:hyperlink r:id="rId1" w:history="1">
        <w:r w:rsidRPr="00F44648">
          <w:rPr>
            <w:rStyle w:val="Hyperlink"/>
            <w:lang w:val="en-GB"/>
          </w:rPr>
          <w:t>R.Auchmuty@reading.ac.uk</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EEC67" w14:textId="1ED8582D" w:rsidR="004262F7" w:rsidRDefault="004262F7">
    <w:pPr>
      <w:pStyle w:val="Header"/>
    </w:pPr>
    <w:r>
      <w:t xml:space="preserve">Rosemary </w:t>
    </w:r>
    <w:proofErr w:type="spellStart"/>
    <w:r>
      <w:t>Auchmuty</w:t>
    </w:r>
    <w:proofErr w:type="spellEnd"/>
    <w:r>
      <w:tab/>
    </w:r>
    <w:r>
      <w:tab/>
      <w:t>Book Review</w:t>
    </w:r>
  </w:p>
  <w:p w14:paraId="6CBB7D4D" w14:textId="7557F147" w:rsidR="004262F7" w:rsidRDefault="004262F7">
    <w:pPr>
      <w:pStyle w:val="Header"/>
    </w:pPr>
    <w:r>
      <w:t>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95A5F" w14:textId="398134A2" w:rsidR="004262F7" w:rsidRDefault="004262F7">
    <w:pPr>
      <w:pStyle w:val="Header"/>
      <w:rPr>
        <w:sz w:val="22"/>
        <w:szCs w:val="22"/>
      </w:rPr>
    </w:pPr>
    <w:proofErr w:type="spellStart"/>
    <w:r>
      <w:rPr>
        <w:i/>
        <w:sz w:val="22"/>
        <w:szCs w:val="22"/>
      </w:rPr>
      <w:t>feminists@law</w:t>
    </w:r>
    <w:proofErr w:type="spellEnd"/>
    <w:r>
      <w:rPr>
        <w:sz w:val="22"/>
        <w:szCs w:val="22"/>
      </w:rPr>
      <w:tab/>
    </w:r>
    <w:r>
      <w:rPr>
        <w:sz w:val="22"/>
        <w:szCs w:val="22"/>
      </w:rPr>
      <w:tab/>
      <w:t>Vol 9, No 2 (2019)</w:t>
    </w:r>
  </w:p>
  <w:p w14:paraId="2CCCFE2C" w14:textId="2AFC66BB" w:rsidR="004262F7" w:rsidRPr="004262F7" w:rsidRDefault="004262F7">
    <w:pPr>
      <w:pStyle w:val="Header"/>
      <w:rPr>
        <w:sz w:val="22"/>
        <w:szCs w:val="22"/>
      </w:rPr>
    </w:pPr>
    <w:r>
      <w:rPr>
        <w:sz w:val="22"/>
        <w:szCs w:val="22"/>
      </w:rPr>
      <w:t>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45"/>
    <w:rsid w:val="00020DAB"/>
    <w:rsid w:val="0006245F"/>
    <w:rsid w:val="000D3345"/>
    <w:rsid w:val="0013327B"/>
    <w:rsid w:val="00171467"/>
    <w:rsid w:val="00184CF9"/>
    <w:rsid w:val="00195D25"/>
    <w:rsid w:val="001C3970"/>
    <w:rsid w:val="00204361"/>
    <w:rsid w:val="00204D18"/>
    <w:rsid w:val="00255363"/>
    <w:rsid w:val="002B4B59"/>
    <w:rsid w:val="002B63AD"/>
    <w:rsid w:val="00313C16"/>
    <w:rsid w:val="00321C11"/>
    <w:rsid w:val="003B2E22"/>
    <w:rsid w:val="003E5AB7"/>
    <w:rsid w:val="004012C6"/>
    <w:rsid w:val="004262F7"/>
    <w:rsid w:val="00451A39"/>
    <w:rsid w:val="0047424E"/>
    <w:rsid w:val="005223E1"/>
    <w:rsid w:val="005504FC"/>
    <w:rsid w:val="005E6EDC"/>
    <w:rsid w:val="006A47C7"/>
    <w:rsid w:val="00745BA1"/>
    <w:rsid w:val="00935BAD"/>
    <w:rsid w:val="00976F5D"/>
    <w:rsid w:val="009A6D4F"/>
    <w:rsid w:val="009B6469"/>
    <w:rsid w:val="00A633F0"/>
    <w:rsid w:val="00A637F4"/>
    <w:rsid w:val="00A9172E"/>
    <w:rsid w:val="00B6372B"/>
    <w:rsid w:val="00CA0467"/>
    <w:rsid w:val="00CB0389"/>
    <w:rsid w:val="00D12B4F"/>
    <w:rsid w:val="00D24B67"/>
    <w:rsid w:val="00D87FD4"/>
    <w:rsid w:val="00E02A0A"/>
    <w:rsid w:val="00E54F14"/>
    <w:rsid w:val="00E71F96"/>
    <w:rsid w:val="00F86C26"/>
    <w:rsid w:val="00FB7C31"/>
    <w:rsid w:val="00FD2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BC9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27B"/>
    <w:rPr>
      <w:color w:val="0000FF"/>
      <w:u w:val="single"/>
    </w:rPr>
  </w:style>
  <w:style w:type="paragraph" w:styleId="FootnoteText">
    <w:name w:val="footnote text"/>
    <w:basedOn w:val="Normal"/>
    <w:link w:val="FootnoteTextChar"/>
    <w:uiPriority w:val="99"/>
    <w:semiHidden/>
    <w:unhideWhenUsed/>
    <w:rsid w:val="0013327B"/>
    <w:rPr>
      <w:sz w:val="20"/>
      <w:szCs w:val="20"/>
    </w:rPr>
  </w:style>
  <w:style w:type="character" w:customStyle="1" w:styleId="FootnoteTextChar">
    <w:name w:val="Footnote Text Char"/>
    <w:basedOn w:val="DefaultParagraphFont"/>
    <w:link w:val="FootnoteText"/>
    <w:uiPriority w:val="99"/>
    <w:semiHidden/>
    <w:rsid w:val="0013327B"/>
    <w:rPr>
      <w:sz w:val="20"/>
      <w:szCs w:val="20"/>
    </w:rPr>
  </w:style>
  <w:style w:type="character" w:styleId="FootnoteReference">
    <w:name w:val="footnote reference"/>
    <w:basedOn w:val="DefaultParagraphFont"/>
    <w:uiPriority w:val="99"/>
    <w:semiHidden/>
    <w:unhideWhenUsed/>
    <w:rsid w:val="0013327B"/>
    <w:rPr>
      <w:vertAlign w:val="superscript"/>
    </w:rPr>
  </w:style>
  <w:style w:type="paragraph" w:styleId="Header">
    <w:name w:val="header"/>
    <w:basedOn w:val="Normal"/>
    <w:link w:val="HeaderChar"/>
    <w:uiPriority w:val="99"/>
    <w:unhideWhenUsed/>
    <w:rsid w:val="004262F7"/>
    <w:pPr>
      <w:tabs>
        <w:tab w:val="center" w:pos="4513"/>
        <w:tab w:val="right" w:pos="9026"/>
      </w:tabs>
    </w:pPr>
  </w:style>
  <w:style w:type="character" w:customStyle="1" w:styleId="HeaderChar">
    <w:name w:val="Header Char"/>
    <w:basedOn w:val="DefaultParagraphFont"/>
    <w:link w:val="Header"/>
    <w:uiPriority w:val="99"/>
    <w:rsid w:val="004262F7"/>
  </w:style>
  <w:style w:type="paragraph" w:styleId="Footer">
    <w:name w:val="footer"/>
    <w:basedOn w:val="Normal"/>
    <w:link w:val="FooterChar"/>
    <w:uiPriority w:val="99"/>
    <w:unhideWhenUsed/>
    <w:rsid w:val="004262F7"/>
    <w:pPr>
      <w:tabs>
        <w:tab w:val="center" w:pos="4513"/>
        <w:tab w:val="right" w:pos="9026"/>
      </w:tabs>
    </w:pPr>
  </w:style>
  <w:style w:type="character" w:customStyle="1" w:styleId="FooterChar">
    <w:name w:val="Footer Char"/>
    <w:basedOn w:val="DefaultParagraphFont"/>
    <w:link w:val="Footer"/>
    <w:uiPriority w:val="99"/>
    <w:rsid w:val="00426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umanities-digital-library.org/index.php/hdl/catalog/book/atkins_hogget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R.Auchmuty@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41923-7C2C-409A-B511-2CC78510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Auchmuty</dc:creator>
  <cp:keywords/>
  <dc:description/>
  <cp:lastModifiedBy>Rosemary Hunter</cp:lastModifiedBy>
  <cp:revision>4</cp:revision>
  <cp:lastPrinted>2019-06-12T10:42:00Z</cp:lastPrinted>
  <dcterms:created xsi:type="dcterms:W3CDTF">2019-07-18T20:07:00Z</dcterms:created>
  <dcterms:modified xsi:type="dcterms:W3CDTF">2019-10-11T19:52:00Z</dcterms:modified>
</cp:coreProperties>
</file>