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8C725" w14:textId="3B0FB6E9" w:rsidR="00B72BD4" w:rsidRPr="0006408D" w:rsidRDefault="00FB7275" w:rsidP="0006408D">
      <w:pPr>
        <w:pStyle w:val="BodyText"/>
        <w:ind w:left="0"/>
        <w:rPr>
          <w:b/>
          <w:sz w:val="28"/>
          <w:szCs w:val="28"/>
        </w:rPr>
      </w:pPr>
      <w:r w:rsidRPr="0006408D">
        <w:rPr>
          <w:b/>
          <w:sz w:val="28"/>
          <w:szCs w:val="28"/>
        </w:rPr>
        <w:t xml:space="preserve">Interpreting the Feminine in the Criminal Trial: Can the Insights of Rape Myth Scholarship Help Mothers Accused of Killing Their Children? </w:t>
      </w:r>
    </w:p>
    <w:p w14:paraId="21C8DD2E" w14:textId="57CA3618" w:rsidR="00380B99" w:rsidRDefault="00380B99" w:rsidP="00A17468">
      <w:pPr>
        <w:pStyle w:val="Heading2"/>
      </w:pPr>
    </w:p>
    <w:p w14:paraId="038A1AC1" w14:textId="33573F78" w:rsidR="0006408D" w:rsidRPr="0006408D" w:rsidRDefault="0006408D" w:rsidP="0006408D">
      <w:pPr>
        <w:rPr>
          <w:b/>
        </w:rPr>
      </w:pPr>
      <w:r>
        <w:rPr>
          <w:b/>
        </w:rPr>
        <w:t>Gaye Orr</w:t>
      </w:r>
      <w:r w:rsidR="008361B8">
        <w:rPr>
          <w:rStyle w:val="FootnoteReference"/>
          <w:b/>
        </w:rPr>
        <w:footnoteReference w:customMarkFollows="1" w:id="1"/>
        <w:t>*</w:t>
      </w:r>
    </w:p>
    <w:p w14:paraId="0398BC75" w14:textId="0D95AC64" w:rsidR="0006408D" w:rsidRDefault="0006408D" w:rsidP="00380B99">
      <w:pPr>
        <w:pStyle w:val="Heading2"/>
      </w:pPr>
    </w:p>
    <w:p w14:paraId="4203212A" w14:textId="12FA6DBC" w:rsidR="0006408D" w:rsidRPr="0006408D" w:rsidRDefault="0006408D" w:rsidP="0006408D">
      <w:pPr>
        <w:rPr>
          <w:b/>
        </w:rPr>
      </w:pPr>
      <w:r>
        <w:rPr>
          <w:b/>
        </w:rPr>
        <w:t>Abstract</w:t>
      </w:r>
    </w:p>
    <w:p w14:paraId="1EBA4319" w14:textId="69B5E8A6" w:rsidR="0006408D" w:rsidRDefault="0006408D" w:rsidP="005673FC">
      <w:pPr>
        <w:jc w:val="both"/>
      </w:pPr>
      <w:r>
        <w:t xml:space="preserve">In cases where mothers were wrongfully convicted of killing their children, both forensic and non-forensic evidence was admitted. Although </w:t>
      </w:r>
      <w:r w:rsidR="007420CE">
        <w:t xml:space="preserve">the </w:t>
      </w:r>
      <w:r>
        <w:t xml:space="preserve">expert opinions and evidence were </w:t>
      </w:r>
      <w:r w:rsidR="007420CE">
        <w:t>subsequently robustly scrutinised</w:t>
      </w:r>
      <w:r>
        <w:t xml:space="preserve">, the same is not true for informal evidence of maternal behaviour. The paper proposes that if we consider an analogous area of criminal justice which has seen interpretations of the feminine strongly challenged, such as in rape trials, then we might learn from rape myth scholarship how better to analyse child death cases. The article explores the difficult issues in rape myth scholarship in identifying what a rape myth is, how widely it is held, and how complex layers of functionality and connections constitute belief systems. By focussing on behavioural normativity and the deployment of fixed beliefs the article proposes a device based on the insights of rape myth scholarship with which to interrogate the behaviour evidence admitted in child death cases. Using the concept of modern mothering myths may prevent the possibility of </w:t>
      </w:r>
      <w:r w:rsidRPr="00CF3D1E">
        <w:t xml:space="preserve">background evidence </w:t>
      </w:r>
      <w:r>
        <w:t xml:space="preserve">being used </w:t>
      </w:r>
      <w:r w:rsidRPr="00CF3D1E">
        <w:t xml:space="preserve">as a vehicle for smuggling in </w:t>
      </w:r>
      <w:r>
        <w:t>prejudicial material of little probative value.</w:t>
      </w:r>
    </w:p>
    <w:p w14:paraId="2A099C78" w14:textId="77777777" w:rsidR="0006408D" w:rsidRDefault="0006408D" w:rsidP="00380B99">
      <w:pPr>
        <w:pStyle w:val="Heading2"/>
      </w:pPr>
    </w:p>
    <w:p w14:paraId="1582B56A" w14:textId="744C313B" w:rsidR="00FB7275" w:rsidRPr="0006408D" w:rsidRDefault="00FB7275" w:rsidP="00770982">
      <w:pPr>
        <w:pStyle w:val="BodyText"/>
        <w:spacing w:line="480" w:lineRule="auto"/>
        <w:ind w:left="0"/>
        <w:rPr>
          <w:b/>
        </w:rPr>
      </w:pPr>
      <w:r w:rsidRPr="0006408D">
        <w:rPr>
          <w:b/>
        </w:rPr>
        <w:t>Introduction</w:t>
      </w:r>
    </w:p>
    <w:p w14:paraId="67948B6C" w14:textId="264CCA62" w:rsidR="00BE0C90" w:rsidRDefault="0036106B" w:rsidP="005673FC">
      <w:pPr>
        <w:spacing w:line="480" w:lineRule="auto"/>
        <w:jc w:val="both"/>
        <w:rPr>
          <w:lang w:val="en-US"/>
        </w:rPr>
      </w:pPr>
      <w:r w:rsidRPr="00CF3D1E">
        <w:rPr>
          <w:lang w:val="en-US"/>
        </w:rPr>
        <w:t xml:space="preserve">When mothers stand trial for killing </w:t>
      </w:r>
      <w:r w:rsidR="005F009A" w:rsidRPr="00CF3D1E">
        <w:rPr>
          <w:lang w:val="en-US"/>
        </w:rPr>
        <w:t xml:space="preserve">their </w:t>
      </w:r>
      <w:r w:rsidRPr="00CF3D1E">
        <w:rPr>
          <w:lang w:val="en-US"/>
        </w:rPr>
        <w:t>children, the body of evidence presented</w:t>
      </w:r>
      <w:r w:rsidR="00BE0C90">
        <w:rPr>
          <w:lang w:val="en-US"/>
        </w:rPr>
        <w:t xml:space="preserve"> </w:t>
      </w:r>
      <w:r w:rsidRPr="00CF3D1E">
        <w:rPr>
          <w:lang w:val="en-US"/>
        </w:rPr>
        <w:t>has to be considered as a whole.</w:t>
      </w:r>
      <w:r w:rsidR="00BA3693" w:rsidRPr="00CF3D1E">
        <w:rPr>
          <w:vertAlign w:val="superscript"/>
          <w:lang w:val="en-US"/>
        </w:rPr>
        <w:t xml:space="preserve"> </w:t>
      </w:r>
      <w:r w:rsidR="00BA3693" w:rsidRPr="00CF3D1E">
        <w:rPr>
          <w:lang w:val="en-US"/>
        </w:rPr>
        <w:t xml:space="preserve"> </w:t>
      </w:r>
      <w:r w:rsidRPr="00CF3D1E">
        <w:rPr>
          <w:lang w:val="en-US"/>
        </w:rPr>
        <w:t xml:space="preserve">Given the array of its constituent parts it may be difficult to know why </w:t>
      </w:r>
      <w:r w:rsidR="00BE0C90">
        <w:rPr>
          <w:lang w:val="en-US"/>
        </w:rPr>
        <w:t xml:space="preserve">precisely </w:t>
      </w:r>
      <w:r w:rsidRPr="00CF3D1E">
        <w:rPr>
          <w:lang w:val="en-US"/>
        </w:rPr>
        <w:t xml:space="preserve">a woman </w:t>
      </w:r>
      <w:r w:rsidR="00373930" w:rsidRPr="00CF3D1E">
        <w:rPr>
          <w:lang w:val="en-US"/>
        </w:rPr>
        <w:t xml:space="preserve">has been </w:t>
      </w:r>
      <w:r w:rsidRPr="00CF3D1E">
        <w:rPr>
          <w:lang w:val="en-US"/>
        </w:rPr>
        <w:t>found guilty</w:t>
      </w:r>
      <w:r w:rsidR="005F009A" w:rsidRPr="00CF3D1E">
        <w:rPr>
          <w:lang w:val="en-US"/>
        </w:rPr>
        <w:t>.</w:t>
      </w:r>
      <w:r w:rsidRPr="00CF3D1E">
        <w:rPr>
          <w:lang w:val="en-US"/>
        </w:rPr>
        <w:t xml:space="preserve"> In seeking </w:t>
      </w:r>
      <w:r w:rsidR="0006408D">
        <w:rPr>
          <w:lang w:val="en-US"/>
        </w:rPr>
        <w:t xml:space="preserve">better </w:t>
      </w:r>
      <w:r w:rsidRPr="00CF3D1E">
        <w:rPr>
          <w:lang w:val="en-US"/>
        </w:rPr>
        <w:t xml:space="preserve">to understand how particular miscarriages of justice occurred, </w:t>
      </w:r>
      <w:r w:rsidR="0006408D">
        <w:rPr>
          <w:lang w:val="en-US"/>
        </w:rPr>
        <w:t xml:space="preserve">my research has explored </w:t>
      </w:r>
      <w:r w:rsidRPr="00CF3D1E">
        <w:rPr>
          <w:lang w:val="en-US"/>
        </w:rPr>
        <w:t>a number of cases involving mothers accused of killing their children</w:t>
      </w:r>
      <w:r w:rsidR="0006408D">
        <w:rPr>
          <w:lang w:val="en-US"/>
        </w:rPr>
        <w:t>, including those of Sally Clark, Angela Cannings, Angela Gay and Donna Anthony</w:t>
      </w:r>
      <w:r w:rsidRPr="00CF3D1E">
        <w:rPr>
          <w:lang w:val="en-US"/>
        </w:rPr>
        <w:t>.</w:t>
      </w:r>
      <w:r w:rsidRPr="00CF3D1E">
        <w:rPr>
          <w:vertAlign w:val="superscript"/>
          <w:lang w:val="en-US"/>
        </w:rPr>
        <w:footnoteReference w:id="2"/>
      </w:r>
      <w:r w:rsidRPr="00CF3D1E">
        <w:rPr>
          <w:lang w:val="en-US"/>
        </w:rPr>
        <w:t xml:space="preserve"> These cases were notably </w:t>
      </w:r>
      <w:r w:rsidRPr="00CF3D1E">
        <w:t>characterised</w:t>
      </w:r>
      <w:r w:rsidRPr="00CF3D1E">
        <w:rPr>
          <w:lang w:val="en-US"/>
        </w:rPr>
        <w:t xml:space="preserve"> by expert evidence and expert witnesses later shown to be unsound and </w:t>
      </w:r>
      <w:r w:rsidRPr="00CF3D1E">
        <w:rPr>
          <w:lang w:val="en-US"/>
        </w:rPr>
        <w:lastRenderedPageBreak/>
        <w:t>unreliable</w:t>
      </w:r>
      <w:r w:rsidR="00373930" w:rsidRPr="00CF3D1E">
        <w:rPr>
          <w:lang w:val="en-US"/>
        </w:rPr>
        <w:t xml:space="preserve"> </w:t>
      </w:r>
      <w:r w:rsidR="00380B99">
        <w:rPr>
          <w:lang w:val="en-US"/>
        </w:rPr>
        <w:t xml:space="preserve">respectively, </w:t>
      </w:r>
      <w:r w:rsidR="00373930" w:rsidRPr="00CF3D1E">
        <w:rPr>
          <w:lang w:val="en-US"/>
        </w:rPr>
        <w:t xml:space="preserve">and inevitably the search for reasons to explain </w:t>
      </w:r>
      <w:r w:rsidRPr="00CF3D1E">
        <w:rPr>
          <w:lang w:val="en-US"/>
        </w:rPr>
        <w:t xml:space="preserve">the </w:t>
      </w:r>
      <w:r w:rsidR="00CB2D1B" w:rsidRPr="00CF3D1E">
        <w:rPr>
          <w:lang w:val="en-US"/>
        </w:rPr>
        <w:t>wrongful convictions</w:t>
      </w:r>
      <w:r w:rsidRPr="00CF3D1E">
        <w:rPr>
          <w:lang w:val="en-US"/>
        </w:rPr>
        <w:t xml:space="preserve"> </w:t>
      </w:r>
      <w:r w:rsidR="00FA4A11" w:rsidRPr="00CF3D1E">
        <w:rPr>
          <w:lang w:val="en-US"/>
        </w:rPr>
        <w:t xml:space="preserve">have concentrated </w:t>
      </w:r>
      <w:r w:rsidRPr="00CF3D1E">
        <w:rPr>
          <w:lang w:val="en-US"/>
        </w:rPr>
        <w:t xml:space="preserve">on the expert evidence and its handling by the </w:t>
      </w:r>
      <w:r w:rsidR="00AF42AA">
        <w:rPr>
          <w:lang w:val="en-US"/>
        </w:rPr>
        <w:t>criminal j</w:t>
      </w:r>
      <w:r w:rsidR="00BE0C90">
        <w:rPr>
          <w:lang w:val="en-US"/>
        </w:rPr>
        <w:t>ustice system (</w:t>
      </w:r>
      <w:r w:rsidRPr="00CF3D1E">
        <w:rPr>
          <w:lang w:val="en-US"/>
        </w:rPr>
        <w:t>CJS</w:t>
      </w:r>
      <w:r w:rsidR="00BE0C90">
        <w:rPr>
          <w:lang w:val="en-US"/>
        </w:rPr>
        <w:t>)</w:t>
      </w:r>
      <w:r w:rsidRPr="00CF3D1E">
        <w:rPr>
          <w:lang w:val="en-US"/>
        </w:rPr>
        <w:t>.</w:t>
      </w:r>
      <w:r w:rsidRPr="00CF3D1E">
        <w:rPr>
          <w:vertAlign w:val="superscript"/>
          <w:lang w:val="en-US"/>
        </w:rPr>
        <w:footnoteReference w:id="3"/>
      </w:r>
      <w:r w:rsidRPr="00CF3D1E">
        <w:rPr>
          <w:lang w:val="en-US"/>
        </w:rPr>
        <w:t xml:space="preserve"> </w:t>
      </w:r>
    </w:p>
    <w:p w14:paraId="0991FEC2" w14:textId="34478EE3" w:rsidR="00380B99" w:rsidRDefault="00FA4A11" w:rsidP="005673FC">
      <w:pPr>
        <w:spacing w:line="480" w:lineRule="auto"/>
        <w:jc w:val="both"/>
      </w:pPr>
      <w:r w:rsidRPr="00CF3D1E">
        <w:rPr>
          <w:lang w:val="en-US"/>
        </w:rPr>
        <w:t xml:space="preserve">But, as feminist scholar Celia Wells commented, there </w:t>
      </w:r>
      <w:r w:rsidR="00BE0C90">
        <w:rPr>
          <w:lang w:val="en-US"/>
        </w:rPr>
        <w:t>was</w:t>
      </w:r>
      <w:r w:rsidRPr="00CF3D1E">
        <w:rPr>
          <w:lang w:val="en-US"/>
        </w:rPr>
        <w:t xml:space="preserve"> </w:t>
      </w:r>
      <w:r w:rsidR="0006408D">
        <w:rPr>
          <w:lang w:val="en-US"/>
        </w:rPr>
        <w:t>‘</w:t>
      </w:r>
      <w:r w:rsidRPr="00CF3D1E">
        <w:rPr>
          <w:lang w:val="en-US"/>
        </w:rPr>
        <w:t>no attempt</w:t>
      </w:r>
      <w:r w:rsidR="00AF42AA">
        <w:rPr>
          <w:lang w:val="en-US"/>
        </w:rPr>
        <w:t>…</w:t>
      </w:r>
      <w:r w:rsidRPr="00CF3D1E">
        <w:rPr>
          <w:lang w:val="en-US"/>
        </w:rPr>
        <w:t xml:space="preserve">to ask </w:t>
      </w:r>
      <w:r w:rsidRPr="00CF3D1E">
        <w:rPr>
          <w:i/>
          <w:lang w:val="en-US"/>
        </w:rPr>
        <w:t xml:space="preserve">why </w:t>
      </w:r>
      <w:r w:rsidRPr="00CF3D1E">
        <w:rPr>
          <w:lang w:val="en-US"/>
        </w:rPr>
        <w:t>it was so easy to leap to con</w:t>
      </w:r>
      <w:r w:rsidR="0006408D">
        <w:rPr>
          <w:lang w:val="en-US"/>
        </w:rPr>
        <w:t>clusions that now seem so wrong</w:t>
      </w:r>
      <w:r w:rsidRPr="00CF3D1E">
        <w:rPr>
          <w:lang w:val="en-US"/>
        </w:rPr>
        <w:t>’.</w:t>
      </w:r>
      <w:r w:rsidRPr="00CF3D1E">
        <w:rPr>
          <w:vertAlign w:val="superscript"/>
          <w:lang w:val="en-US"/>
        </w:rPr>
        <w:footnoteReference w:id="4"/>
      </w:r>
      <w:r w:rsidRPr="00CF3D1E">
        <w:rPr>
          <w:vertAlign w:val="superscript"/>
          <w:lang w:val="en-US"/>
        </w:rPr>
        <w:t xml:space="preserve"> </w:t>
      </w:r>
      <w:r w:rsidRPr="00CF3D1E">
        <w:rPr>
          <w:lang w:val="en-US"/>
        </w:rPr>
        <w:t>She submitted that ‘feminist arguments’</w:t>
      </w:r>
      <w:r w:rsidRPr="00CF3D1E">
        <w:rPr>
          <w:vertAlign w:val="superscript"/>
          <w:lang w:val="en-US"/>
        </w:rPr>
        <w:footnoteReference w:id="5"/>
      </w:r>
      <w:r w:rsidRPr="00CF3D1E">
        <w:rPr>
          <w:lang w:val="en-US"/>
        </w:rPr>
        <w:t xml:space="preserve"> could help ‘unravel these questions’.</w:t>
      </w:r>
      <w:r w:rsidRPr="00CF3D1E">
        <w:rPr>
          <w:vertAlign w:val="superscript"/>
          <w:lang w:val="en-US"/>
        </w:rPr>
        <w:footnoteReference w:id="6"/>
      </w:r>
      <w:r w:rsidRPr="00CF3D1E">
        <w:rPr>
          <w:lang w:val="en-US"/>
        </w:rPr>
        <w:t xml:space="preserve"> Fiona Raitt and research psychologist Suzanne Zeedyk further proposed that ‘hidden factors’</w:t>
      </w:r>
      <w:r w:rsidRPr="00CF3D1E">
        <w:rPr>
          <w:vertAlign w:val="superscript"/>
          <w:lang w:val="en-US"/>
        </w:rPr>
        <w:footnoteReference w:id="7"/>
      </w:r>
      <w:r w:rsidRPr="00CF3D1E">
        <w:rPr>
          <w:lang w:val="en-US"/>
        </w:rPr>
        <w:t xml:space="preserve"> such as ‘underlying assumptions’</w:t>
      </w:r>
      <w:r w:rsidRPr="00CF3D1E">
        <w:rPr>
          <w:vertAlign w:val="superscript"/>
          <w:lang w:val="en-US"/>
        </w:rPr>
        <w:footnoteReference w:id="8"/>
      </w:r>
      <w:r w:rsidRPr="00CF3D1E">
        <w:rPr>
          <w:lang w:val="en-US"/>
        </w:rPr>
        <w:t xml:space="preserve"> and ‘discourses of motherhood’</w:t>
      </w:r>
      <w:r w:rsidRPr="00CF3D1E">
        <w:rPr>
          <w:vertAlign w:val="superscript"/>
          <w:lang w:val="en-US"/>
        </w:rPr>
        <w:footnoteReference w:id="9"/>
      </w:r>
      <w:r w:rsidRPr="00CF3D1E">
        <w:rPr>
          <w:lang w:val="en-US"/>
        </w:rPr>
        <w:t xml:space="preserve"> may have ‘played a major role in the initial convictions of Cannings and Clark’.</w:t>
      </w:r>
      <w:r w:rsidRPr="00CF3D1E">
        <w:rPr>
          <w:vertAlign w:val="superscript"/>
          <w:lang w:val="en-US"/>
        </w:rPr>
        <w:footnoteReference w:id="10"/>
      </w:r>
      <w:r w:rsidRPr="00CF3D1E">
        <w:rPr>
          <w:lang w:val="en-US"/>
        </w:rPr>
        <w:t xml:space="preserve"> Emma Cunliffe too suggested that </w:t>
      </w:r>
      <w:r w:rsidRPr="00CF3D1E">
        <w:t xml:space="preserve">the mechanism for achieving a mother’s (wrongful) conviction in </w:t>
      </w:r>
      <w:r w:rsidRPr="00CF3D1E">
        <w:rPr>
          <w:i/>
        </w:rPr>
        <w:t xml:space="preserve">Clark </w:t>
      </w:r>
      <w:r w:rsidRPr="00CF3D1E">
        <w:t xml:space="preserve">and </w:t>
      </w:r>
      <w:r w:rsidRPr="00CF3D1E">
        <w:rPr>
          <w:i/>
        </w:rPr>
        <w:t xml:space="preserve">Cannings, </w:t>
      </w:r>
      <w:r w:rsidRPr="00CF3D1E">
        <w:t>drew on discourses of motherhood within legal discourses.</w:t>
      </w:r>
      <w:r w:rsidRPr="00CF3D1E">
        <w:rPr>
          <w:vertAlign w:val="superscript"/>
        </w:rPr>
        <w:footnoteReference w:id="11"/>
      </w:r>
      <w:r w:rsidRPr="00CF3D1E">
        <w:rPr>
          <w:lang w:val="en-US"/>
        </w:rPr>
        <w:t xml:space="preserve"> </w:t>
      </w:r>
      <w:r w:rsidR="00380B99">
        <w:rPr>
          <w:lang w:val="en-US"/>
        </w:rPr>
        <w:t>Difficulties</w:t>
      </w:r>
      <w:r w:rsidRPr="00CF3D1E">
        <w:rPr>
          <w:bCs/>
        </w:rPr>
        <w:t xml:space="preserve"> ari</w:t>
      </w:r>
      <w:r w:rsidR="00380B99">
        <w:rPr>
          <w:bCs/>
        </w:rPr>
        <w:t>se</w:t>
      </w:r>
      <w:r w:rsidRPr="00CF3D1E">
        <w:rPr>
          <w:bCs/>
        </w:rPr>
        <w:t xml:space="preserve"> from such propositions</w:t>
      </w:r>
      <w:r w:rsidR="00196516" w:rsidRPr="00CF3D1E">
        <w:rPr>
          <w:bCs/>
        </w:rPr>
        <w:t xml:space="preserve"> </w:t>
      </w:r>
      <w:r w:rsidR="00380B99">
        <w:rPr>
          <w:bCs/>
        </w:rPr>
        <w:t xml:space="preserve">however, </w:t>
      </w:r>
      <w:r w:rsidRPr="00CF3D1E">
        <w:t xml:space="preserve">because they </w:t>
      </w:r>
      <w:r w:rsidR="00196516" w:rsidRPr="00CF3D1E">
        <w:t>are sizeable claims</w:t>
      </w:r>
      <w:r w:rsidR="003A014F">
        <w:t>:</w:t>
      </w:r>
      <w:r w:rsidR="00AF42AA">
        <w:t xml:space="preserve"> f</w:t>
      </w:r>
      <w:r w:rsidR="00380B99">
        <w:t>or example</w:t>
      </w:r>
      <w:r w:rsidR="00AF42AA">
        <w:t xml:space="preserve"> that</w:t>
      </w:r>
      <w:r w:rsidR="00380B99">
        <w:t xml:space="preserve">, </w:t>
      </w:r>
      <w:r w:rsidRPr="00CF3D1E">
        <w:t>in the absence of conclusive expert opinion</w:t>
      </w:r>
      <w:r w:rsidR="00AF42AA">
        <w:t>,</w:t>
      </w:r>
      <w:r w:rsidRPr="00CF3D1E">
        <w:t xml:space="preserve"> advocates were forced to explain children’s deaths in </w:t>
      </w:r>
      <w:r w:rsidRPr="00CF3D1E">
        <w:rPr>
          <w:i/>
        </w:rPr>
        <w:t xml:space="preserve">Clark </w:t>
      </w:r>
      <w:r w:rsidRPr="00CF3D1E">
        <w:t xml:space="preserve">and </w:t>
      </w:r>
      <w:r w:rsidRPr="00CF3D1E">
        <w:rPr>
          <w:i/>
        </w:rPr>
        <w:t xml:space="preserve">Cannings </w:t>
      </w:r>
      <w:r w:rsidRPr="00CF3D1E">
        <w:t>by filling the evidential gaps using ‘social expectations</w:t>
      </w:r>
      <w:r w:rsidR="00AF42AA">
        <w:t>’ about ‘proper mothering’;</w:t>
      </w:r>
      <w:r w:rsidRPr="00CF3D1E">
        <w:rPr>
          <w:rStyle w:val="FootnoteReference"/>
        </w:rPr>
        <w:footnoteReference w:id="12"/>
      </w:r>
      <w:r w:rsidR="00AF42AA">
        <w:t xml:space="preserve"> or </w:t>
      </w:r>
      <w:r w:rsidRPr="00CF3D1E">
        <w:t>that where the diagnostic techniques of child mistreatment are uncertain</w:t>
      </w:r>
      <w:r w:rsidR="00BE0C90">
        <w:t>,</w:t>
      </w:r>
      <w:r w:rsidRPr="00CF3D1E">
        <w:t xml:space="preserve"> mothers may be criminalised by deliberately portraying them as failing to conform to the dominant ideology of motherhood.</w:t>
      </w:r>
      <w:r w:rsidRPr="00CF3D1E">
        <w:rPr>
          <w:rStyle w:val="FootnoteReference"/>
        </w:rPr>
        <w:footnoteReference w:id="13"/>
      </w:r>
      <w:r w:rsidR="003A014F">
        <w:t xml:space="preserve"> Such </w:t>
      </w:r>
      <w:r w:rsidR="00196516" w:rsidRPr="00CF3D1E">
        <w:t>claim</w:t>
      </w:r>
      <w:r w:rsidR="003A014F">
        <w:t>s</w:t>
      </w:r>
      <w:r w:rsidRPr="00CF3D1E">
        <w:t xml:space="preserve"> </w:t>
      </w:r>
      <w:r w:rsidR="003A014F">
        <w:t>are,</w:t>
      </w:r>
      <w:r w:rsidRPr="00CF3D1E">
        <w:t xml:space="preserve"> as Laura Hoyano rightly points </w:t>
      </w:r>
      <w:r w:rsidRPr="00CF3D1E">
        <w:lastRenderedPageBreak/>
        <w:t>ou</w:t>
      </w:r>
      <w:r w:rsidR="003A014F">
        <w:t>t, ‘</w:t>
      </w:r>
      <w:r w:rsidRPr="00CF3D1E">
        <w:t>very large and diffuse</w:t>
      </w:r>
      <w:r w:rsidR="003A014F">
        <w:t>’</w:t>
      </w:r>
      <w:r w:rsidR="00380B99">
        <w:t>.</w:t>
      </w:r>
      <w:r w:rsidRPr="00CF3D1E">
        <w:rPr>
          <w:rStyle w:val="FootnoteReference"/>
        </w:rPr>
        <w:footnoteReference w:id="14"/>
      </w:r>
      <w:r w:rsidRPr="00CF3D1E">
        <w:t xml:space="preserve"> </w:t>
      </w:r>
      <w:r w:rsidR="00380B99">
        <w:t>It is possible, that the difficulties arise because</w:t>
      </w:r>
      <w:r w:rsidRPr="00CF3D1E">
        <w:t xml:space="preserve"> ‘hidden factors’</w:t>
      </w:r>
      <w:r w:rsidR="00380B99">
        <w:t>,</w:t>
      </w:r>
      <w:r w:rsidRPr="00CF3D1E">
        <w:rPr>
          <w:rStyle w:val="FootnoteReference"/>
        </w:rPr>
        <w:footnoteReference w:id="15"/>
      </w:r>
      <w:r w:rsidRPr="00CF3D1E">
        <w:t xml:space="preserve"> ‘underlying assumptions’</w:t>
      </w:r>
      <w:r w:rsidRPr="00CF3D1E">
        <w:rPr>
          <w:rStyle w:val="FootnoteReference"/>
        </w:rPr>
        <w:footnoteReference w:id="16"/>
      </w:r>
      <w:r w:rsidRPr="00CF3D1E">
        <w:t xml:space="preserve"> and ‘discourses of mothering’</w:t>
      </w:r>
      <w:r w:rsidRPr="00CF3D1E">
        <w:rPr>
          <w:rStyle w:val="FootnoteReference"/>
        </w:rPr>
        <w:footnoteReference w:id="17"/>
      </w:r>
      <w:r w:rsidRPr="00CF3D1E">
        <w:t xml:space="preserve"> are as yet insufficiently defined</w:t>
      </w:r>
      <w:r w:rsidR="003A014F">
        <w:t xml:space="preserve"> and require further analysis</w:t>
      </w:r>
      <w:r w:rsidRPr="00CF3D1E">
        <w:t xml:space="preserve"> in order to clarify how </w:t>
      </w:r>
      <w:r w:rsidR="003A014F">
        <w:t>they</w:t>
      </w:r>
      <w:r w:rsidRPr="00CF3D1E">
        <w:t xml:space="preserve"> are deployed by agents of the CJS in portraying maternal behaviour. </w:t>
      </w:r>
    </w:p>
    <w:p w14:paraId="6B91DB22" w14:textId="462A3904" w:rsidR="00E24FD8" w:rsidRPr="003409BD" w:rsidRDefault="00380B99" w:rsidP="005673FC">
      <w:pPr>
        <w:spacing w:line="480" w:lineRule="auto"/>
        <w:jc w:val="both"/>
        <w:rPr>
          <w:lang w:val="en-US"/>
        </w:rPr>
      </w:pPr>
      <w:r>
        <w:t>As</w:t>
      </w:r>
      <w:r w:rsidR="00FA4A11" w:rsidRPr="00CF3D1E">
        <w:t xml:space="preserve"> </w:t>
      </w:r>
      <w:r>
        <w:t xml:space="preserve">both </w:t>
      </w:r>
      <w:r w:rsidR="00FA4A11" w:rsidRPr="00CF3D1E">
        <w:rPr>
          <w:lang w:val="en-US"/>
        </w:rPr>
        <w:t>Hunter</w:t>
      </w:r>
      <w:r w:rsidR="00FA4A11" w:rsidRPr="00CF3D1E">
        <w:rPr>
          <w:rStyle w:val="FootnoteReference"/>
          <w:lang w:val="en-US"/>
        </w:rPr>
        <w:footnoteReference w:id="18"/>
      </w:r>
      <w:r w:rsidR="00FA4A11" w:rsidRPr="00CF3D1E">
        <w:rPr>
          <w:lang w:val="en-US"/>
        </w:rPr>
        <w:t xml:space="preserve"> and Redmayne</w:t>
      </w:r>
      <w:r w:rsidR="00FA4A11" w:rsidRPr="00CF3D1E">
        <w:rPr>
          <w:rStyle w:val="FootnoteReference"/>
          <w:lang w:val="en-US"/>
        </w:rPr>
        <w:footnoteReference w:id="19"/>
      </w:r>
      <w:r w:rsidR="00FA4A11" w:rsidRPr="00CF3D1E">
        <w:rPr>
          <w:lang w:val="en-US"/>
        </w:rPr>
        <w:t xml:space="preserve"> suggest a technically complex evidential context may hide the true operation of informal background </w:t>
      </w:r>
      <w:r w:rsidR="004D474E" w:rsidRPr="00CF3D1E">
        <w:rPr>
          <w:lang w:val="en-US"/>
        </w:rPr>
        <w:t xml:space="preserve">or character </w:t>
      </w:r>
      <w:r w:rsidR="00FA4A11" w:rsidRPr="00CF3D1E">
        <w:rPr>
          <w:lang w:val="en-US"/>
        </w:rPr>
        <w:t>evidence in practice</w:t>
      </w:r>
      <w:r w:rsidR="00FA4A11" w:rsidRPr="00CF3D1E">
        <w:rPr>
          <w:rStyle w:val="FootnoteReference"/>
          <w:lang w:val="en-US"/>
        </w:rPr>
        <w:footnoteReference w:id="20"/>
      </w:r>
      <w:r w:rsidR="00655DF7">
        <w:rPr>
          <w:lang w:val="en-US"/>
        </w:rPr>
        <w:t xml:space="preserve"> </w:t>
      </w:r>
      <w:r>
        <w:rPr>
          <w:lang w:val="en-US"/>
        </w:rPr>
        <w:t>and in</w:t>
      </w:r>
      <w:r w:rsidR="0036106B" w:rsidRPr="00CF3D1E">
        <w:rPr>
          <w:lang w:val="en-US"/>
        </w:rPr>
        <w:t xml:space="preserve"> examining </w:t>
      </w:r>
      <w:r w:rsidR="00373930" w:rsidRPr="00CF3D1E">
        <w:rPr>
          <w:lang w:val="en-US"/>
        </w:rPr>
        <w:t>the</w:t>
      </w:r>
      <w:r w:rsidR="0036106B" w:rsidRPr="00CF3D1E">
        <w:rPr>
          <w:lang w:val="en-US"/>
        </w:rPr>
        <w:t xml:space="preserve"> wrongful conviction cases, </w:t>
      </w:r>
      <w:r w:rsidR="00320D7D" w:rsidRPr="00CF3D1E">
        <w:rPr>
          <w:lang w:val="en-US"/>
        </w:rPr>
        <w:t xml:space="preserve">it is evident that </w:t>
      </w:r>
      <w:r w:rsidR="00355413" w:rsidRPr="00CF3D1E">
        <w:rPr>
          <w:lang w:val="en-US"/>
        </w:rPr>
        <w:t xml:space="preserve">informal </w:t>
      </w:r>
      <w:r w:rsidR="0036106B" w:rsidRPr="00CF3D1E">
        <w:rPr>
          <w:lang w:val="en-US"/>
        </w:rPr>
        <w:t>non-medical</w:t>
      </w:r>
      <w:r w:rsidR="0036106B" w:rsidRPr="00CF3D1E">
        <w:rPr>
          <w:vertAlign w:val="superscript"/>
          <w:lang w:val="en-US"/>
        </w:rPr>
        <w:footnoteReference w:id="21"/>
      </w:r>
      <w:r w:rsidR="0036106B" w:rsidRPr="00CF3D1E">
        <w:rPr>
          <w:lang w:val="en-US"/>
        </w:rPr>
        <w:t xml:space="preserve"> and non-forensic material</w:t>
      </w:r>
      <w:r w:rsidR="0036106B" w:rsidRPr="00CF3D1E">
        <w:rPr>
          <w:vertAlign w:val="superscript"/>
          <w:lang w:val="en-US"/>
        </w:rPr>
        <w:footnoteReference w:id="22"/>
      </w:r>
      <w:r w:rsidR="0036106B" w:rsidRPr="00CF3D1E">
        <w:rPr>
          <w:lang w:val="en-US"/>
        </w:rPr>
        <w:t xml:space="preserve"> such as maternal behaviour and childcare</w:t>
      </w:r>
      <w:r w:rsidR="0036106B" w:rsidRPr="00CF3D1E">
        <w:rPr>
          <w:vertAlign w:val="superscript"/>
          <w:lang w:val="en-US"/>
        </w:rPr>
        <w:footnoteReference w:id="23"/>
      </w:r>
      <w:r w:rsidR="0036106B" w:rsidRPr="00CF3D1E">
        <w:rPr>
          <w:lang w:val="en-US"/>
        </w:rPr>
        <w:t xml:space="preserve"> was freely admitted to these trials. </w:t>
      </w:r>
      <w:r w:rsidR="0050480F" w:rsidRPr="00CF3D1E">
        <w:rPr>
          <w:lang w:val="en-US"/>
        </w:rPr>
        <w:t>When f</w:t>
      </w:r>
      <w:r w:rsidR="0036106B" w:rsidRPr="00CF3D1E">
        <w:rPr>
          <w:lang w:val="en-US"/>
        </w:rPr>
        <w:t xml:space="preserve">urther </w:t>
      </w:r>
      <w:r w:rsidR="003A014F">
        <w:rPr>
          <w:lang w:val="en-US"/>
        </w:rPr>
        <w:t xml:space="preserve">child death </w:t>
      </w:r>
      <w:r w:rsidR="0036106B" w:rsidRPr="00CF3D1E">
        <w:rPr>
          <w:lang w:val="en-US"/>
        </w:rPr>
        <w:t>cases were examined</w:t>
      </w:r>
      <w:r w:rsidR="00320D7D" w:rsidRPr="00CF3D1E">
        <w:rPr>
          <w:lang w:val="en-US"/>
        </w:rPr>
        <w:t xml:space="preserve"> </w:t>
      </w:r>
      <w:r w:rsidR="003A014F">
        <w:rPr>
          <w:lang w:val="en-US"/>
        </w:rPr>
        <w:t>where</w:t>
      </w:r>
      <w:r w:rsidR="0036106B" w:rsidRPr="00CF3D1E">
        <w:rPr>
          <w:lang w:val="en-US"/>
        </w:rPr>
        <w:t xml:space="preserve"> female childminder</w:t>
      </w:r>
      <w:r w:rsidR="003A014F">
        <w:rPr>
          <w:lang w:val="en-US"/>
        </w:rPr>
        <w:t>s</w:t>
      </w:r>
      <w:r w:rsidR="0036106B" w:rsidRPr="00CF3D1E">
        <w:rPr>
          <w:lang w:val="en-US"/>
        </w:rPr>
        <w:t xml:space="preserve"> and baby-sitter</w:t>
      </w:r>
      <w:r w:rsidR="00320D7D" w:rsidRPr="00CF3D1E">
        <w:rPr>
          <w:lang w:val="en-US"/>
        </w:rPr>
        <w:t>s</w:t>
      </w:r>
      <w:r w:rsidR="0036106B" w:rsidRPr="00CF3D1E">
        <w:rPr>
          <w:bCs/>
          <w:lang w:val="en-US"/>
        </w:rPr>
        <w:t xml:space="preserve"> were convicted</w:t>
      </w:r>
      <w:r w:rsidR="0050480F" w:rsidRPr="00CF3D1E">
        <w:rPr>
          <w:bCs/>
          <w:lang w:val="en-US"/>
        </w:rPr>
        <w:t>,</w:t>
      </w:r>
      <w:r w:rsidR="0036106B" w:rsidRPr="00CF3D1E">
        <w:rPr>
          <w:bCs/>
          <w:vertAlign w:val="superscript"/>
          <w:lang w:val="en-US"/>
        </w:rPr>
        <w:footnoteReference w:id="24"/>
      </w:r>
      <w:r w:rsidR="0036106B" w:rsidRPr="00CF3D1E">
        <w:rPr>
          <w:bCs/>
          <w:lang w:val="en-US"/>
        </w:rPr>
        <w:t xml:space="preserve"> where mothers remain incarcerated</w:t>
      </w:r>
      <w:r w:rsidR="0050480F" w:rsidRPr="00CF3D1E">
        <w:rPr>
          <w:bCs/>
          <w:lang w:val="en-US"/>
        </w:rPr>
        <w:t>,</w:t>
      </w:r>
      <w:r w:rsidR="0036106B" w:rsidRPr="00CF3D1E">
        <w:rPr>
          <w:bCs/>
          <w:vertAlign w:val="superscript"/>
          <w:lang w:val="en-US"/>
        </w:rPr>
        <w:footnoteReference w:id="25"/>
      </w:r>
      <w:r w:rsidR="0036106B" w:rsidRPr="00CF3D1E">
        <w:rPr>
          <w:bCs/>
          <w:lang w:val="en-US"/>
        </w:rPr>
        <w:t xml:space="preserve"> </w:t>
      </w:r>
      <w:r w:rsidR="003A014F">
        <w:rPr>
          <w:bCs/>
          <w:lang w:val="en-US"/>
        </w:rPr>
        <w:t>and where mothers were acquitted</w:t>
      </w:r>
      <w:r w:rsidR="0036106B" w:rsidRPr="00CF3D1E">
        <w:rPr>
          <w:vertAlign w:val="superscript"/>
          <w:lang w:val="en-US"/>
        </w:rPr>
        <w:footnoteReference w:id="26"/>
      </w:r>
      <w:r w:rsidR="00355413" w:rsidRPr="00CF3D1E">
        <w:rPr>
          <w:lang w:val="en-US"/>
        </w:rPr>
        <w:t xml:space="preserve"> </w:t>
      </w:r>
      <w:r w:rsidR="0036106B" w:rsidRPr="00CF3D1E">
        <w:rPr>
          <w:bCs/>
          <w:lang w:val="en-US"/>
        </w:rPr>
        <w:t xml:space="preserve">or </w:t>
      </w:r>
      <w:r w:rsidR="003A014F">
        <w:rPr>
          <w:bCs/>
          <w:lang w:val="en-US"/>
        </w:rPr>
        <w:t>their</w:t>
      </w:r>
      <w:r w:rsidR="0036106B" w:rsidRPr="00CF3D1E">
        <w:rPr>
          <w:bCs/>
          <w:lang w:val="en-US"/>
        </w:rPr>
        <w:t xml:space="preserve"> conviction </w:t>
      </w:r>
      <w:r w:rsidR="003A014F">
        <w:rPr>
          <w:bCs/>
          <w:lang w:val="en-US"/>
        </w:rPr>
        <w:t xml:space="preserve">was reduced </w:t>
      </w:r>
      <w:r w:rsidR="0036106B" w:rsidRPr="00CF3D1E">
        <w:rPr>
          <w:bCs/>
          <w:lang w:val="en-US"/>
        </w:rPr>
        <w:t xml:space="preserve">from murder to </w:t>
      </w:r>
      <w:r w:rsidR="0036106B" w:rsidRPr="00CF3D1E">
        <w:rPr>
          <w:bCs/>
          <w:lang w:val="en-US"/>
        </w:rPr>
        <w:lastRenderedPageBreak/>
        <w:t>manslaughter</w:t>
      </w:r>
      <w:r w:rsidR="003A014F">
        <w:rPr>
          <w:bCs/>
          <w:lang w:val="en-US"/>
        </w:rPr>
        <w:t>,</w:t>
      </w:r>
      <w:r w:rsidR="0036106B" w:rsidRPr="00CF3D1E">
        <w:rPr>
          <w:bCs/>
          <w:vertAlign w:val="superscript"/>
          <w:lang w:val="en-US"/>
        </w:rPr>
        <w:footnoteReference w:id="27"/>
      </w:r>
      <w:r w:rsidR="0036106B" w:rsidRPr="00CF3D1E">
        <w:rPr>
          <w:bCs/>
          <w:lang w:val="en-US"/>
        </w:rPr>
        <w:t xml:space="preserve"> </w:t>
      </w:r>
      <w:r w:rsidR="0050480F" w:rsidRPr="00CF3D1E">
        <w:rPr>
          <w:bCs/>
          <w:lang w:val="en-US"/>
        </w:rPr>
        <w:t>i</w:t>
      </w:r>
      <w:r w:rsidR="0036106B" w:rsidRPr="00CF3D1E">
        <w:rPr>
          <w:lang w:val="en-US"/>
        </w:rPr>
        <w:t>nformation about maternal behaviour and childcare was admitted in all cases apart from two</w:t>
      </w:r>
      <w:r w:rsidR="00E24FD8" w:rsidRPr="00CF3D1E">
        <w:rPr>
          <w:lang w:val="en-US"/>
        </w:rPr>
        <w:t>.</w:t>
      </w:r>
      <w:r w:rsidR="0036106B" w:rsidRPr="00CF3D1E">
        <w:rPr>
          <w:vertAlign w:val="superscript"/>
          <w:lang w:val="en-US"/>
        </w:rPr>
        <w:footnoteReference w:id="28"/>
      </w:r>
      <w:r w:rsidR="0036106B" w:rsidRPr="00CF3D1E">
        <w:rPr>
          <w:lang w:val="en-US"/>
        </w:rPr>
        <w:t xml:space="preserve"> </w:t>
      </w:r>
      <w:r w:rsidR="00E24FD8" w:rsidRPr="00CF3D1E">
        <w:rPr>
          <w:lang w:val="en-US"/>
        </w:rPr>
        <w:t>Consequently,</w:t>
      </w:r>
      <w:r w:rsidR="003A014F">
        <w:rPr>
          <w:lang w:val="en-US"/>
        </w:rPr>
        <w:t xml:space="preserve"> it appears that</w:t>
      </w:r>
      <w:r w:rsidR="0036106B" w:rsidRPr="00CF3D1E">
        <w:rPr>
          <w:lang w:val="en-US"/>
        </w:rPr>
        <w:t xml:space="preserve"> information about a woman’s behaviour </w:t>
      </w:r>
      <w:r w:rsidR="003A014F">
        <w:rPr>
          <w:lang w:val="en-US"/>
        </w:rPr>
        <w:t>is</w:t>
      </w:r>
      <w:r w:rsidR="0036106B" w:rsidRPr="00CF3D1E">
        <w:rPr>
          <w:lang w:val="en-US"/>
        </w:rPr>
        <w:t xml:space="preserve"> normatively admitted where women are accused of killing their children. The presence of such material as </w:t>
      </w:r>
      <w:r w:rsidR="00320D7D" w:rsidRPr="00CF3D1E">
        <w:rPr>
          <w:lang w:val="en-US"/>
        </w:rPr>
        <w:t xml:space="preserve">part of </w:t>
      </w:r>
      <w:r w:rsidR="00533149">
        <w:rPr>
          <w:lang w:val="en-US"/>
        </w:rPr>
        <w:t>a</w:t>
      </w:r>
      <w:r w:rsidR="00320D7D" w:rsidRPr="00CF3D1E">
        <w:rPr>
          <w:lang w:val="en-US"/>
        </w:rPr>
        <w:t xml:space="preserve"> body of </w:t>
      </w:r>
      <w:r w:rsidR="0036106B" w:rsidRPr="00CF3D1E">
        <w:rPr>
          <w:lang w:val="en-US"/>
        </w:rPr>
        <w:t xml:space="preserve">evidence </w:t>
      </w:r>
      <w:r w:rsidR="00533149">
        <w:rPr>
          <w:lang w:val="en-US"/>
        </w:rPr>
        <w:t xml:space="preserve">that includes highly complex, contested and controversial expert opinion, </w:t>
      </w:r>
      <w:r w:rsidR="0025264A">
        <w:rPr>
          <w:lang w:val="en-US"/>
        </w:rPr>
        <w:t>supports</w:t>
      </w:r>
      <w:r w:rsidR="0036106B" w:rsidRPr="00CF3D1E">
        <w:rPr>
          <w:lang w:val="en-US"/>
        </w:rPr>
        <w:t xml:space="preserve"> the concerns</w:t>
      </w:r>
      <w:r w:rsidR="00320D7D" w:rsidRPr="00CF3D1E">
        <w:rPr>
          <w:lang w:val="en-US"/>
        </w:rPr>
        <w:t xml:space="preserve"> raised by </w:t>
      </w:r>
      <w:r w:rsidR="0036106B" w:rsidRPr="00CF3D1E">
        <w:rPr>
          <w:lang w:val="en-US"/>
        </w:rPr>
        <w:t>feminist commentators that portrayals of maternal behaviour may have influenced trial outcomes.</w:t>
      </w:r>
      <w:r w:rsidR="00E24FD8" w:rsidRPr="00CF3D1E">
        <w:rPr>
          <w:rStyle w:val="FootnoteReference"/>
          <w:lang w:val="en-US"/>
        </w:rPr>
        <w:footnoteReference w:id="29"/>
      </w:r>
      <w:r w:rsidR="0036106B" w:rsidRPr="00CF3D1E">
        <w:rPr>
          <w:lang w:val="en-US"/>
        </w:rPr>
        <w:t xml:space="preserve"> Thus</w:t>
      </w:r>
      <w:r w:rsidR="00320D7D" w:rsidRPr="00CF3D1E">
        <w:rPr>
          <w:lang w:val="en-US"/>
        </w:rPr>
        <w:t>,</w:t>
      </w:r>
      <w:r w:rsidR="0036106B" w:rsidRPr="00CF3D1E">
        <w:rPr>
          <w:lang w:val="en-US"/>
        </w:rPr>
        <w:t xml:space="preserve"> in particular miscarriages of justice</w:t>
      </w:r>
      <w:r w:rsidR="00355413" w:rsidRPr="00CF3D1E">
        <w:rPr>
          <w:lang w:val="en-US"/>
        </w:rPr>
        <w:t>,</w:t>
      </w:r>
      <w:r w:rsidR="0036106B" w:rsidRPr="00CF3D1E">
        <w:rPr>
          <w:lang w:val="en-US"/>
        </w:rPr>
        <w:t xml:space="preserve"> not only may overzealous expert opinions and flawed scientific information bolster the prospect of injustice, but interpretations of the feminine also.</w:t>
      </w:r>
    </w:p>
    <w:p w14:paraId="339A8F7E" w14:textId="0EC5EAEB" w:rsidR="009E0A9B" w:rsidRPr="00CF3D1E" w:rsidRDefault="007703A2" w:rsidP="005673FC">
      <w:pPr>
        <w:spacing w:line="480" w:lineRule="auto"/>
        <w:jc w:val="both"/>
        <w:rPr>
          <w:lang w:val="en-US"/>
        </w:rPr>
      </w:pPr>
      <w:r>
        <w:t>Prima facie, a</w:t>
      </w:r>
      <w:r w:rsidR="00A6208B" w:rsidRPr="00CF3D1E">
        <w:t xml:space="preserve">dmission of non-medical </w:t>
      </w:r>
      <w:r w:rsidR="003144B7" w:rsidRPr="00CF3D1E">
        <w:t xml:space="preserve">and non-forensic behaviour </w:t>
      </w:r>
      <w:r w:rsidR="00A6208B" w:rsidRPr="00CF3D1E">
        <w:t xml:space="preserve">information </w:t>
      </w:r>
      <w:r w:rsidR="00D80500" w:rsidRPr="00CF3D1E">
        <w:t xml:space="preserve">at trial </w:t>
      </w:r>
      <w:r w:rsidR="00A6208B" w:rsidRPr="00CF3D1E">
        <w:t>seems sensible</w:t>
      </w:r>
      <w:r w:rsidR="00D34526" w:rsidRPr="00CF3D1E">
        <w:t xml:space="preserve">. </w:t>
      </w:r>
      <w:r w:rsidR="00D80500" w:rsidRPr="00CF3D1E">
        <w:t>At</w:t>
      </w:r>
      <w:r w:rsidR="00313180" w:rsidRPr="00CF3D1E">
        <w:t xml:space="preserve"> </w:t>
      </w:r>
      <w:r w:rsidR="00A6208B" w:rsidRPr="00CF3D1E">
        <w:t xml:space="preserve">the law-science </w:t>
      </w:r>
      <w:r>
        <w:t>interface</w:t>
      </w:r>
      <w:r w:rsidR="00D80500" w:rsidRPr="00CF3D1E">
        <w:t xml:space="preserve"> however</w:t>
      </w:r>
      <w:r w:rsidR="00627B3F" w:rsidRPr="00CF3D1E">
        <w:t>,</w:t>
      </w:r>
      <w:r w:rsidR="00A6208B" w:rsidRPr="00CF3D1E">
        <w:t xml:space="preserve"> </w:t>
      </w:r>
      <w:r w:rsidR="00627B3F" w:rsidRPr="00CF3D1E">
        <w:t>jurors fac</w:t>
      </w:r>
      <w:r w:rsidR="00ED5112" w:rsidRPr="00CF3D1E">
        <w:t>e</w:t>
      </w:r>
      <w:r w:rsidR="00627B3F" w:rsidRPr="00CF3D1E">
        <w:t xml:space="preserve"> unenviable decision making </w:t>
      </w:r>
      <w:r w:rsidR="00D80500" w:rsidRPr="00CF3D1E">
        <w:t xml:space="preserve">responsibilities </w:t>
      </w:r>
      <w:r w:rsidR="003144B7" w:rsidRPr="00CF3D1E">
        <w:t>based on</w:t>
      </w:r>
      <w:r w:rsidR="00627B3F" w:rsidRPr="00CF3D1E">
        <w:t xml:space="preserve"> contested, controversial or scant expert opinions</w:t>
      </w:r>
      <w:r w:rsidR="00ED5112" w:rsidRPr="00CF3D1E">
        <w:t>. In such situations, behaviour evidence may become more significant as jurors may be tempted to rely on fixed beliefs</w:t>
      </w:r>
      <w:r w:rsidR="00627B3F" w:rsidRPr="00CF3D1E">
        <w:t>.</w:t>
      </w:r>
      <w:r w:rsidR="00ED5112" w:rsidRPr="00CF3D1E">
        <w:rPr>
          <w:rStyle w:val="FootnoteReference"/>
        </w:rPr>
        <w:footnoteReference w:id="30"/>
      </w:r>
      <w:r w:rsidR="00627B3F" w:rsidRPr="00CF3D1E">
        <w:t xml:space="preserve"> If such material is then</w:t>
      </w:r>
      <w:r w:rsidR="0036106B" w:rsidRPr="00CF3D1E">
        <w:t xml:space="preserve"> </w:t>
      </w:r>
      <w:r w:rsidR="00A6208B" w:rsidRPr="00CF3D1E">
        <w:t>stereotypically</w:t>
      </w:r>
      <w:r w:rsidR="00A6208B" w:rsidRPr="00CF3D1E">
        <w:rPr>
          <w:rStyle w:val="FootnoteReference"/>
        </w:rPr>
        <w:footnoteReference w:id="31"/>
      </w:r>
      <w:r w:rsidR="00A6208B" w:rsidRPr="00CF3D1E">
        <w:t xml:space="preserve"> or even prejudiciall</w:t>
      </w:r>
      <w:r w:rsidR="00142E6B" w:rsidRPr="00CF3D1E">
        <w:t>y</w:t>
      </w:r>
      <w:r w:rsidR="00A6208B" w:rsidRPr="00CF3D1E">
        <w:rPr>
          <w:vertAlign w:val="superscript"/>
        </w:rPr>
        <w:footnoteReference w:id="32"/>
      </w:r>
      <w:r w:rsidR="00A6208B" w:rsidRPr="00CF3D1E">
        <w:t xml:space="preserve"> </w:t>
      </w:r>
      <w:r w:rsidR="00627B3F" w:rsidRPr="00CF3D1E">
        <w:t xml:space="preserve">interpreted, </w:t>
      </w:r>
      <w:r w:rsidR="00142E6B" w:rsidRPr="00CF3D1E">
        <w:t>the</w:t>
      </w:r>
      <w:r w:rsidR="00627B3F" w:rsidRPr="00CF3D1E">
        <w:t>n</w:t>
      </w:r>
      <w:r w:rsidR="00A6208B" w:rsidRPr="00CF3D1E">
        <w:t xml:space="preserve"> </w:t>
      </w:r>
      <w:r w:rsidR="00627B3F" w:rsidRPr="00CF3D1E">
        <w:t>constructions</w:t>
      </w:r>
      <w:r w:rsidR="00D80500" w:rsidRPr="00CF3D1E">
        <w:t>,</w:t>
      </w:r>
      <w:r w:rsidR="00627B3F" w:rsidRPr="00CF3D1E">
        <w:t xml:space="preserve"> assumptions and expectations </w:t>
      </w:r>
      <w:r w:rsidR="00A6208B" w:rsidRPr="00CF3D1E">
        <w:t xml:space="preserve">of the feminine </w:t>
      </w:r>
      <w:r w:rsidR="00627B3F" w:rsidRPr="00CF3D1E">
        <w:t xml:space="preserve">may </w:t>
      </w:r>
      <w:r w:rsidR="00A6208B" w:rsidRPr="00CF3D1E">
        <w:t xml:space="preserve">contribute to unsafe convictions. </w:t>
      </w:r>
    </w:p>
    <w:p w14:paraId="253DD585" w14:textId="687E0282" w:rsidR="006753BD" w:rsidRPr="00CF3D1E" w:rsidRDefault="00627B3F" w:rsidP="005673FC">
      <w:pPr>
        <w:spacing w:line="480" w:lineRule="auto"/>
        <w:jc w:val="both"/>
        <w:rPr>
          <w:bCs/>
        </w:rPr>
      </w:pPr>
      <w:r w:rsidRPr="00CF3D1E">
        <w:t>In contrast to the exhaustive investigations into the use of expert opinion and scientific evidence in criminal prosecutions,</w:t>
      </w:r>
      <w:r w:rsidRPr="00CF3D1E">
        <w:rPr>
          <w:vertAlign w:val="superscript"/>
        </w:rPr>
        <w:footnoteReference w:id="33"/>
      </w:r>
      <w:r w:rsidRPr="00CF3D1E">
        <w:t xml:space="preserve"> s</w:t>
      </w:r>
      <w:r w:rsidR="00A6208B" w:rsidRPr="00CF3D1E">
        <w:t>cant attention has been paid in the literature to the impact on criminal proceedings of admitting evidence of maternal behaviour and child care</w:t>
      </w:r>
      <w:r w:rsidR="00D34526" w:rsidRPr="00CF3D1E">
        <w:t xml:space="preserve"> </w:t>
      </w:r>
      <w:r w:rsidR="00313180" w:rsidRPr="00CF3D1E">
        <w:t>in cases where mothers are accused of killing their children</w:t>
      </w:r>
      <w:r w:rsidR="001D6EEC" w:rsidRPr="00CF3D1E">
        <w:t>.</w:t>
      </w:r>
      <w:r w:rsidR="00313180" w:rsidRPr="00CF3D1E">
        <w:t xml:space="preserve"> </w:t>
      </w:r>
      <w:r w:rsidR="00A6208B" w:rsidRPr="00CF3D1E">
        <w:t>N</w:t>
      </w:r>
      <w:r w:rsidR="00FA17CD" w:rsidRPr="00CF3D1E">
        <w:t>or</w:t>
      </w:r>
      <w:r w:rsidR="00A6208B" w:rsidRPr="00CF3D1E">
        <w:t xml:space="preserve"> is there robust research demonstrating </w:t>
      </w:r>
      <w:r w:rsidR="004242FD" w:rsidRPr="00CF3D1E">
        <w:t>that</w:t>
      </w:r>
      <w:r w:rsidR="00A6208B" w:rsidRPr="00CF3D1E">
        <w:t xml:space="preserve"> </w:t>
      </w:r>
      <w:r w:rsidR="00320D7D" w:rsidRPr="00CF3D1E">
        <w:t xml:space="preserve">past </w:t>
      </w:r>
      <w:r w:rsidR="00313180" w:rsidRPr="00CF3D1E">
        <w:t xml:space="preserve">female or </w:t>
      </w:r>
      <w:r w:rsidR="00A6208B" w:rsidRPr="00CF3D1E">
        <w:lastRenderedPageBreak/>
        <w:t xml:space="preserve">maternal </w:t>
      </w:r>
      <w:r w:rsidR="004242FD" w:rsidRPr="00CF3D1E">
        <w:t xml:space="preserve">behaviours </w:t>
      </w:r>
      <w:r w:rsidR="00320D7D" w:rsidRPr="00CF3D1E">
        <w:t xml:space="preserve">and actions </w:t>
      </w:r>
      <w:r w:rsidR="001D6EEC" w:rsidRPr="00CF3D1E">
        <w:t>before and around the time a child dies</w:t>
      </w:r>
      <w:r w:rsidR="00313180" w:rsidRPr="00CF3D1E">
        <w:t xml:space="preserve"> </w:t>
      </w:r>
      <w:r w:rsidR="004242FD" w:rsidRPr="00CF3D1E">
        <w:t>lead to reliable inferences</w:t>
      </w:r>
      <w:r w:rsidR="00FC3E01" w:rsidRPr="00CF3D1E">
        <w:t xml:space="preserve">. </w:t>
      </w:r>
      <w:r w:rsidR="00313180" w:rsidRPr="00CF3D1E">
        <w:t>Consequently, it is possible that e</w:t>
      </w:r>
      <w:r w:rsidR="00A6208B" w:rsidRPr="00CF3D1E">
        <w:t xml:space="preserve">vidence of maternal behaviour </w:t>
      </w:r>
      <w:r w:rsidR="00313180" w:rsidRPr="00CF3D1E">
        <w:t xml:space="preserve">generally </w:t>
      </w:r>
      <w:r w:rsidR="00A6208B" w:rsidRPr="00CF3D1E">
        <w:t xml:space="preserve">discounted as holding merely </w:t>
      </w:r>
      <w:r w:rsidR="00355413" w:rsidRPr="00CF3D1E">
        <w:t xml:space="preserve">informal, </w:t>
      </w:r>
      <w:r w:rsidR="00A6208B" w:rsidRPr="00CF3D1E">
        <w:t xml:space="preserve">peripheral or contextual value may </w:t>
      </w:r>
      <w:r w:rsidR="00A6208B" w:rsidRPr="00CF3D1E">
        <w:rPr>
          <w:bCs/>
        </w:rPr>
        <w:t>be influential when admitted into criminal proceedings</w:t>
      </w:r>
      <w:r w:rsidR="001D6EEC" w:rsidRPr="00CF3D1E">
        <w:rPr>
          <w:bCs/>
        </w:rPr>
        <w:t xml:space="preserve"> and may need to be considered more carefully in relation to its use or even </w:t>
      </w:r>
      <w:r w:rsidR="00FA17CD" w:rsidRPr="00CF3D1E">
        <w:rPr>
          <w:bCs/>
        </w:rPr>
        <w:t xml:space="preserve">its </w:t>
      </w:r>
      <w:r w:rsidR="001D6EEC" w:rsidRPr="00CF3D1E">
        <w:rPr>
          <w:bCs/>
        </w:rPr>
        <w:t xml:space="preserve">admissibility. </w:t>
      </w:r>
      <w:r w:rsidR="00A6208B" w:rsidRPr="00CF3D1E">
        <w:rPr>
          <w:bCs/>
        </w:rPr>
        <w:t xml:space="preserve"> </w:t>
      </w:r>
    </w:p>
    <w:p w14:paraId="43216C75" w14:textId="77777777" w:rsidR="00305C35" w:rsidRDefault="006753BD" w:rsidP="005673FC">
      <w:pPr>
        <w:spacing w:line="480" w:lineRule="auto"/>
        <w:jc w:val="both"/>
      </w:pPr>
      <w:r w:rsidRPr="00CF3D1E">
        <w:t xml:space="preserve">In order to explore </w:t>
      </w:r>
      <w:r w:rsidR="0050475B">
        <w:t>whether and</w:t>
      </w:r>
      <w:r w:rsidR="00646E6A" w:rsidRPr="00CF3D1E">
        <w:t xml:space="preserve"> </w:t>
      </w:r>
      <w:r w:rsidR="003F07A8" w:rsidRPr="00CF3D1E">
        <w:t xml:space="preserve">how </w:t>
      </w:r>
      <w:r w:rsidR="00023530" w:rsidRPr="00CF3D1E">
        <w:t>evidence of</w:t>
      </w:r>
      <w:r w:rsidR="003F07A8" w:rsidRPr="00CF3D1E">
        <w:t xml:space="preserve"> </w:t>
      </w:r>
      <w:r w:rsidR="00FA7A90" w:rsidRPr="00CF3D1E">
        <w:t xml:space="preserve">maternal behaviour might influence trial outcomes, </w:t>
      </w:r>
      <w:r w:rsidRPr="00CF3D1E">
        <w:t xml:space="preserve">a </w:t>
      </w:r>
      <w:r w:rsidR="00FA7A90" w:rsidRPr="00CF3D1E">
        <w:t>comparable situation within the criminal justice system in which information about women’s conduct and personal history is admitted as informal background evidence</w:t>
      </w:r>
      <w:r w:rsidRPr="00CF3D1E">
        <w:t xml:space="preserve"> has been sought</w:t>
      </w:r>
      <w:r w:rsidR="003F07A8" w:rsidRPr="00CF3D1E">
        <w:t>. Two key topic areas were identified:</w:t>
      </w:r>
      <w:r w:rsidR="00FA7A90" w:rsidRPr="00CF3D1E">
        <w:t xml:space="preserve"> the first when abused women have killed their husbands,</w:t>
      </w:r>
      <w:r w:rsidR="00FA7A90" w:rsidRPr="00CF3D1E">
        <w:rPr>
          <w:vertAlign w:val="superscript"/>
        </w:rPr>
        <w:footnoteReference w:id="34"/>
      </w:r>
      <w:r w:rsidR="00FA7A90" w:rsidRPr="00CF3D1E">
        <w:t xml:space="preserve"> and the second when women are claimants in rape cases.</w:t>
      </w:r>
      <w:r w:rsidR="00FA7A90" w:rsidRPr="00CF3D1E">
        <w:rPr>
          <w:vertAlign w:val="superscript"/>
        </w:rPr>
        <w:footnoteReference w:id="35"/>
      </w:r>
      <w:r w:rsidR="00FA7A90" w:rsidRPr="00CF3D1E">
        <w:t xml:space="preserve"> In each area feminist scholarship and judicial commentary </w:t>
      </w:r>
      <w:r w:rsidR="00533149">
        <w:t xml:space="preserve">indicates </w:t>
      </w:r>
      <w:r w:rsidR="00FA7A90" w:rsidRPr="00CF3D1E">
        <w:t xml:space="preserve">that </w:t>
      </w:r>
      <w:r w:rsidR="008165F5" w:rsidRPr="00CF3D1E">
        <w:t xml:space="preserve">adverse </w:t>
      </w:r>
      <w:r w:rsidR="00FA7A90" w:rsidRPr="00CF3D1E">
        <w:t>interpretations of female behaviour may occur at trial</w:t>
      </w:r>
      <w:r w:rsidRPr="00CF3D1E">
        <w:t xml:space="preserve"> and may influence outcomes</w:t>
      </w:r>
      <w:r w:rsidR="00FA7A90" w:rsidRPr="00CF3D1E">
        <w:t>.</w:t>
      </w:r>
      <w:r w:rsidR="0025264A" w:rsidRPr="00CF3D1E">
        <w:rPr>
          <w:vertAlign w:val="superscript"/>
        </w:rPr>
        <w:footnoteReference w:id="36"/>
      </w:r>
      <w:r w:rsidR="005423DD" w:rsidRPr="00CF3D1E">
        <w:t xml:space="preserve"> </w:t>
      </w:r>
      <w:r w:rsidR="00FA7A90" w:rsidRPr="00CF3D1E">
        <w:t xml:space="preserve">Significantly, </w:t>
      </w:r>
      <w:r w:rsidR="0025264A">
        <w:t xml:space="preserve">rape myth scholars </w:t>
      </w:r>
      <w:r w:rsidR="00FA7A90" w:rsidRPr="00CF3D1E">
        <w:t>have argued that</w:t>
      </w:r>
      <w:r w:rsidR="00CF3D1E" w:rsidRPr="00CF3D1E">
        <w:t xml:space="preserve"> </w:t>
      </w:r>
      <w:r w:rsidR="00EA1201" w:rsidRPr="00CF3D1E">
        <w:t>the use of</w:t>
      </w:r>
      <w:r w:rsidR="00CF3D1E" w:rsidRPr="00CF3D1E">
        <w:t xml:space="preserve"> </w:t>
      </w:r>
      <w:r w:rsidR="0050475B">
        <w:t>stereotypical assumptions and/</w:t>
      </w:r>
      <w:r w:rsidR="00FA7A90" w:rsidRPr="00CF3D1E">
        <w:t>or</w:t>
      </w:r>
      <w:r w:rsidR="00E75BB4" w:rsidRPr="00CF3D1E">
        <w:t xml:space="preserve"> the device</w:t>
      </w:r>
      <w:r w:rsidR="0050475B">
        <w:t xml:space="preserve"> of</w:t>
      </w:r>
      <w:r w:rsidR="00FA7A90" w:rsidRPr="00CF3D1E">
        <w:t xml:space="preserve"> </w:t>
      </w:r>
      <w:r w:rsidR="00FA7A90" w:rsidRPr="00CF3D1E">
        <w:rPr>
          <w:i/>
        </w:rPr>
        <w:t>rape myths</w:t>
      </w:r>
      <w:r w:rsidR="00FA7A90" w:rsidRPr="00CF3D1E">
        <w:t xml:space="preserve"> </w:t>
      </w:r>
      <w:r w:rsidR="00EA1201" w:rsidRPr="00CF3D1E">
        <w:t xml:space="preserve">to </w:t>
      </w:r>
      <w:r w:rsidR="00FA7A90" w:rsidRPr="00CF3D1E">
        <w:t xml:space="preserve">interpret </w:t>
      </w:r>
      <w:r w:rsidR="0050475B">
        <w:t xml:space="preserve">evidence of </w:t>
      </w:r>
      <w:r w:rsidR="00FA7A90" w:rsidRPr="00CF3D1E">
        <w:t>female behaviour</w:t>
      </w:r>
      <w:r w:rsidR="00EA1201" w:rsidRPr="00CF3D1E">
        <w:t>,</w:t>
      </w:r>
      <w:r w:rsidR="00FA7A90" w:rsidRPr="00CF3D1E">
        <w:t xml:space="preserve"> resul</w:t>
      </w:r>
      <w:r w:rsidR="00EA1201" w:rsidRPr="00CF3D1E">
        <w:t>ts</w:t>
      </w:r>
      <w:r w:rsidR="00FA7A90" w:rsidRPr="00CF3D1E">
        <w:t xml:space="preserve"> in damaging </w:t>
      </w:r>
      <w:r w:rsidR="0050475B">
        <w:lastRenderedPageBreak/>
        <w:t xml:space="preserve">inferences </w:t>
      </w:r>
      <w:r w:rsidR="00FA7A90" w:rsidRPr="00CF3D1E">
        <w:t xml:space="preserve">and adverse outcomes </w:t>
      </w:r>
      <w:r w:rsidR="00EA1201" w:rsidRPr="00CF3D1E">
        <w:t>in</w:t>
      </w:r>
      <w:r w:rsidR="00FA7A90" w:rsidRPr="00CF3D1E">
        <w:t xml:space="preserve"> criminal proceedings</w:t>
      </w:r>
      <w:r w:rsidR="00023530" w:rsidRPr="00CF3D1E">
        <w:t>.</w:t>
      </w:r>
      <w:r w:rsidR="00023530" w:rsidRPr="00CF3D1E">
        <w:rPr>
          <w:rStyle w:val="FootnoteReference"/>
          <w:bCs/>
        </w:rPr>
        <w:footnoteReference w:id="37"/>
      </w:r>
      <w:r w:rsidR="00CF3D1E" w:rsidRPr="00CF3D1E">
        <w:t xml:space="preserve"> For reasons of space only one area can be considered here</w:t>
      </w:r>
      <w:r w:rsidR="00CF3D1E">
        <w:t>,</w:t>
      </w:r>
      <w:r w:rsidR="00CF3D1E" w:rsidRPr="00CF3D1E">
        <w:t xml:space="preserve"> </w:t>
      </w:r>
      <w:r w:rsidR="00CF3D1E">
        <w:t xml:space="preserve"> although both are considered  at length elsewhere.</w:t>
      </w:r>
      <w:r w:rsidR="00CF3D1E">
        <w:rPr>
          <w:rStyle w:val="FootnoteReference"/>
        </w:rPr>
        <w:footnoteReference w:id="38"/>
      </w:r>
    </w:p>
    <w:p w14:paraId="41B6A8E7" w14:textId="7B749913" w:rsidR="0050475B" w:rsidRPr="00CF3D1E" w:rsidRDefault="00A41169" w:rsidP="005673FC">
      <w:pPr>
        <w:spacing w:line="480" w:lineRule="auto"/>
        <w:jc w:val="both"/>
        <w:rPr>
          <w:bCs/>
          <w:color w:val="000000" w:themeColor="text1"/>
        </w:rPr>
      </w:pPr>
      <w:r w:rsidRPr="00CF3D1E">
        <w:rPr>
          <w:bCs/>
        </w:rPr>
        <w:t>R</w:t>
      </w:r>
      <w:r w:rsidR="00A42C71" w:rsidRPr="00CF3D1E">
        <w:rPr>
          <w:bCs/>
        </w:rPr>
        <w:t>a</w:t>
      </w:r>
      <w:r w:rsidR="00E71872" w:rsidRPr="00CF3D1E">
        <w:rPr>
          <w:bCs/>
        </w:rPr>
        <w:t xml:space="preserve">pe myth scholarship </w:t>
      </w:r>
      <w:r w:rsidR="002271B9" w:rsidRPr="00CF3D1E">
        <w:rPr>
          <w:bCs/>
        </w:rPr>
        <w:t xml:space="preserve">(RMS) </w:t>
      </w:r>
      <w:r w:rsidRPr="00CF3D1E">
        <w:rPr>
          <w:bCs/>
        </w:rPr>
        <w:t>has therefore</w:t>
      </w:r>
      <w:r w:rsidR="009B7082" w:rsidRPr="00CF3D1E">
        <w:rPr>
          <w:bCs/>
        </w:rPr>
        <w:t xml:space="preserve"> been </w:t>
      </w:r>
      <w:r w:rsidR="003F07A8" w:rsidRPr="00CF3D1E">
        <w:rPr>
          <w:bCs/>
        </w:rPr>
        <w:t>explored</w:t>
      </w:r>
      <w:r w:rsidR="00E71872" w:rsidRPr="00CF3D1E">
        <w:rPr>
          <w:bCs/>
        </w:rPr>
        <w:t xml:space="preserve"> </w:t>
      </w:r>
      <w:r w:rsidR="00192B8A" w:rsidRPr="00CF3D1E">
        <w:rPr>
          <w:bCs/>
        </w:rPr>
        <w:t xml:space="preserve">to </w:t>
      </w:r>
      <w:r w:rsidR="0025264A">
        <w:rPr>
          <w:bCs/>
        </w:rPr>
        <w:t>learn</w:t>
      </w:r>
      <w:r w:rsidR="00192B8A" w:rsidRPr="00CF3D1E">
        <w:rPr>
          <w:bCs/>
        </w:rPr>
        <w:t xml:space="preserve"> whether </w:t>
      </w:r>
      <w:r w:rsidRPr="00CF3D1E">
        <w:rPr>
          <w:bCs/>
        </w:rPr>
        <w:t xml:space="preserve">using </w:t>
      </w:r>
      <w:r w:rsidR="00CF3D1E">
        <w:rPr>
          <w:bCs/>
        </w:rPr>
        <w:t xml:space="preserve">the </w:t>
      </w:r>
      <w:r w:rsidRPr="0025264A">
        <w:rPr>
          <w:bCs/>
          <w:i/>
        </w:rPr>
        <w:t xml:space="preserve">rape myth </w:t>
      </w:r>
      <w:r w:rsidR="0025264A">
        <w:rPr>
          <w:bCs/>
        </w:rPr>
        <w:t xml:space="preserve">as an </w:t>
      </w:r>
      <w:r w:rsidR="00CF3D1E">
        <w:rPr>
          <w:bCs/>
        </w:rPr>
        <w:t>analog</w:t>
      </w:r>
      <w:r w:rsidR="0025264A">
        <w:rPr>
          <w:bCs/>
        </w:rPr>
        <w:t>ous device</w:t>
      </w:r>
      <w:r w:rsidR="00CF3D1E">
        <w:rPr>
          <w:bCs/>
        </w:rPr>
        <w:t xml:space="preserve"> to </w:t>
      </w:r>
      <w:r w:rsidR="00EA1201" w:rsidRPr="00CF3D1E">
        <w:rPr>
          <w:bCs/>
        </w:rPr>
        <w:t>analyse cases</w:t>
      </w:r>
      <w:r w:rsidR="0025264A">
        <w:rPr>
          <w:bCs/>
        </w:rPr>
        <w:t>,</w:t>
      </w:r>
      <w:r w:rsidR="00EA1201" w:rsidRPr="00CF3D1E">
        <w:rPr>
          <w:bCs/>
        </w:rPr>
        <w:t xml:space="preserve"> </w:t>
      </w:r>
      <w:r w:rsidRPr="00CF3D1E">
        <w:rPr>
          <w:bCs/>
        </w:rPr>
        <w:t xml:space="preserve">perhaps </w:t>
      </w:r>
      <w:r w:rsidR="0050475B">
        <w:rPr>
          <w:bCs/>
        </w:rPr>
        <w:t>by identifying</w:t>
      </w:r>
      <w:r w:rsidRPr="00CF3D1E">
        <w:rPr>
          <w:bCs/>
        </w:rPr>
        <w:t xml:space="preserve"> </w:t>
      </w:r>
      <w:r w:rsidRPr="0025264A">
        <w:rPr>
          <w:bCs/>
          <w:i/>
        </w:rPr>
        <w:t>mothering myth</w:t>
      </w:r>
      <w:r w:rsidR="0050475B">
        <w:rPr>
          <w:bCs/>
          <w:i/>
        </w:rPr>
        <w:t>s</w:t>
      </w:r>
      <w:r w:rsidRPr="00CF3D1E">
        <w:rPr>
          <w:bCs/>
        </w:rPr>
        <w:t xml:space="preserve">, </w:t>
      </w:r>
      <w:r w:rsidR="0025264A">
        <w:rPr>
          <w:bCs/>
        </w:rPr>
        <w:t xml:space="preserve">may be helpful </w:t>
      </w:r>
      <w:r w:rsidR="00EA1201" w:rsidRPr="00CF3D1E">
        <w:rPr>
          <w:bCs/>
        </w:rPr>
        <w:t>where mothers are accused of killing their children</w:t>
      </w:r>
      <w:r w:rsidRPr="00CF3D1E">
        <w:rPr>
          <w:bCs/>
        </w:rPr>
        <w:t>.</w:t>
      </w:r>
      <w:r w:rsidR="00EA1201" w:rsidRPr="00CF3D1E">
        <w:rPr>
          <w:bCs/>
        </w:rPr>
        <w:t xml:space="preserve"> </w:t>
      </w:r>
      <w:r w:rsidRPr="00CF3D1E">
        <w:rPr>
          <w:bCs/>
        </w:rPr>
        <w:t xml:space="preserve">Although several cases have been analysed, for reasons of space two key cases are used as illustrations, and the </w:t>
      </w:r>
      <w:r w:rsidR="00D979E5" w:rsidRPr="00CF3D1E">
        <w:rPr>
          <w:bCs/>
          <w:color w:val="000000" w:themeColor="text1"/>
        </w:rPr>
        <w:t xml:space="preserve">following </w:t>
      </w:r>
      <w:r w:rsidR="00DD2B7B" w:rsidRPr="00CF3D1E">
        <w:rPr>
          <w:bCs/>
          <w:color w:val="000000" w:themeColor="text1"/>
        </w:rPr>
        <w:t>brief</w:t>
      </w:r>
      <w:r w:rsidR="00D979E5" w:rsidRPr="00CF3D1E">
        <w:rPr>
          <w:bCs/>
          <w:color w:val="000000" w:themeColor="text1"/>
        </w:rPr>
        <w:t xml:space="preserve"> </w:t>
      </w:r>
      <w:r w:rsidR="00DD2B7B" w:rsidRPr="00CF3D1E">
        <w:rPr>
          <w:bCs/>
          <w:color w:val="000000" w:themeColor="text1"/>
        </w:rPr>
        <w:t>overview</w:t>
      </w:r>
      <w:r w:rsidRPr="00CF3D1E">
        <w:rPr>
          <w:bCs/>
          <w:color w:val="000000" w:themeColor="text1"/>
        </w:rPr>
        <w:t xml:space="preserve"> shows </w:t>
      </w:r>
      <w:r w:rsidR="00D51A7B" w:rsidRPr="00CF3D1E">
        <w:rPr>
          <w:bCs/>
          <w:color w:val="000000" w:themeColor="text1"/>
        </w:rPr>
        <w:t xml:space="preserve">how foregrounded </w:t>
      </w:r>
      <w:r w:rsidR="00D979E5" w:rsidRPr="00CF3D1E">
        <w:rPr>
          <w:bCs/>
          <w:color w:val="000000" w:themeColor="text1"/>
        </w:rPr>
        <w:t xml:space="preserve">expert </w:t>
      </w:r>
      <w:r w:rsidR="00D51A7B" w:rsidRPr="00CF3D1E">
        <w:rPr>
          <w:bCs/>
          <w:color w:val="000000" w:themeColor="text1"/>
        </w:rPr>
        <w:t>evidence</w:t>
      </w:r>
      <w:r w:rsidR="00D979E5" w:rsidRPr="00CF3D1E">
        <w:rPr>
          <w:bCs/>
          <w:color w:val="000000" w:themeColor="text1"/>
        </w:rPr>
        <w:t xml:space="preserve"> </w:t>
      </w:r>
      <w:r w:rsidR="00DD2B7B" w:rsidRPr="00CF3D1E">
        <w:rPr>
          <w:bCs/>
          <w:color w:val="000000" w:themeColor="text1"/>
        </w:rPr>
        <w:t>may be interwoven with</w:t>
      </w:r>
      <w:r w:rsidR="00D979E5" w:rsidRPr="00CF3D1E">
        <w:rPr>
          <w:bCs/>
          <w:color w:val="000000" w:themeColor="text1"/>
        </w:rPr>
        <w:t xml:space="preserve"> </w:t>
      </w:r>
      <w:r w:rsidR="00DD2B7B" w:rsidRPr="00CF3D1E">
        <w:rPr>
          <w:bCs/>
          <w:color w:val="000000" w:themeColor="text1"/>
        </w:rPr>
        <w:t xml:space="preserve">informal </w:t>
      </w:r>
      <w:r w:rsidR="00D51A7B" w:rsidRPr="00CF3D1E">
        <w:rPr>
          <w:bCs/>
          <w:color w:val="000000" w:themeColor="text1"/>
        </w:rPr>
        <w:t xml:space="preserve">background </w:t>
      </w:r>
      <w:r w:rsidR="00D979E5" w:rsidRPr="00CF3D1E">
        <w:rPr>
          <w:bCs/>
          <w:color w:val="000000" w:themeColor="text1"/>
        </w:rPr>
        <w:t>behaviour evidence</w:t>
      </w:r>
      <w:r w:rsidR="00D51A7B" w:rsidRPr="00CF3D1E">
        <w:rPr>
          <w:bCs/>
          <w:color w:val="000000" w:themeColor="text1"/>
        </w:rPr>
        <w:t xml:space="preserve">. </w:t>
      </w:r>
      <w:r w:rsidR="00D979E5" w:rsidRPr="00CF3D1E">
        <w:rPr>
          <w:bCs/>
          <w:color w:val="000000" w:themeColor="text1"/>
        </w:rPr>
        <w:t xml:space="preserve"> </w:t>
      </w:r>
    </w:p>
    <w:p w14:paraId="5B7B2C07" w14:textId="35395EFE" w:rsidR="00D979E5" w:rsidRPr="00CF3D1E" w:rsidRDefault="00D51A7B" w:rsidP="005673FC">
      <w:pPr>
        <w:pStyle w:val="Heading2"/>
        <w:spacing w:line="480" w:lineRule="auto"/>
        <w:jc w:val="both"/>
        <w:rPr>
          <w:rStyle w:val="SubtleEmphasis"/>
          <w:rFonts w:ascii="Times New Roman" w:hAnsi="Times New Roman" w:cs="Times New Roman"/>
          <w:sz w:val="24"/>
          <w:szCs w:val="24"/>
        </w:rPr>
      </w:pPr>
      <w:r w:rsidRPr="00CF3D1E">
        <w:rPr>
          <w:rStyle w:val="SubtleEmphasis"/>
          <w:rFonts w:ascii="Times New Roman" w:hAnsi="Times New Roman" w:cs="Times New Roman"/>
          <w:sz w:val="24"/>
          <w:szCs w:val="24"/>
        </w:rPr>
        <w:t xml:space="preserve">Sally </w:t>
      </w:r>
      <w:r w:rsidR="00D979E5" w:rsidRPr="00CF3D1E">
        <w:rPr>
          <w:rStyle w:val="SubtleEmphasis"/>
          <w:rFonts w:ascii="Times New Roman" w:hAnsi="Times New Roman" w:cs="Times New Roman"/>
          <w:sz w:val="24"/>
          <w:szCs w:val="24"/>
        </w:rPr>
        <w:t>Clark</w:t>
      </w:r>
    </w:p>
    <w:p w14:paraId="2A807FE7" w14:textId="3D32AE07" w:rsidR="00D979E5" w:rsidRPr="00CF3D1E" w:rsidRDefault="004075E0" w:rsidP="005673FC">
      <w:pPr>
        <w:spacing w:line="480" w:lineRule="auto"/>
        <w:jc w:val="both"/>
      </w:pPr>
      <w:r w:rsidRPr="00CF3D1E">
        <w:t xml:space="preserve">Following the consecutive deaths of </w:t>
      </w:r>
      <w:r w:rsidR="00D979E5" w:rsidRPr="00CF3D1E">
        <w:t>Sally Clark</w:t>
      </w:r>
      <w:r w:rsidRPr="00CF3D1E">
        <w:t xml:space="preserve">’s </w:t>
      </w:r>
      <w:r w:rsidR="00D979E5" w:rsidRPr="00CF3D1E">
        <w:rPr>
          <w:vertAlign w:val="superscript"/>
        </w:rPr>
        <w:t xml:space="preserve"> </w:t>
      </w:r>
      <w:r w:rsidRPr="00CF3D1E">
        <w:t>first two infants</w:t>
      </w:r>
      <w:r w:rsidR="00164D66">
        <w:t>,</w:t>
      </w:r>
      <w:r w:rsidRPr="00CF3D1E">
        <w:t xml:space="preserve"> </w:t>
      </w:r>
      <w:r w:rsidR="00D979E5" w:rsidRPr="00CF3D1E">
        <w:t>Christopher</w:t>
      </w:r>
      <w:r w:rsidRPr="00CF3D1E">
        <w:t xml:space="preserve"> and</w:t>
      </w:r>
      <w:r w:rsidR="00D979E5" w:rsidRPr="00CF3D1E">
        <w:t xml:space="preserve"> Harry</w:t>
      </w:r>
      <w:r w:rsidR="00164D66">
        <w:t>,</w:t>
      </w:r>
      <w:r w:rsidR="00D979E5" w:rsidRPr="00CF3D1E">
        <w:t xml:space="preserve"> suspicions were raised </w:t>
      </w:r>
      <w:r w:rsidRPr="00CF3D1E">
        <w:t>and</w:t>
      </w:r>
      <w:r w:rsidR="00D979E5" w:rsidRPr="00CF3D1E">
        <w:t xml:space="preserve"> </w:t>
      </w:r>
      <w:r w:rsidR="00BC6AA1" w:rsidRPr="00CF3D1E">
        <w:t>she</w:t>
      </w:r>
      <w:r w:rsidR="00D979E5" w:rsidRPr="00CF3D1E">
        <w:t xml:space="preserve"> was </w:t>
      </w:r>
      <w:r w:rsidRPr="00CF3D1E">
        <w:t xml:space="preserve">later </w:t>
      </w:r>
      <w:r w:rsidR="00D979E5" w:rsidRPr="00CF3D1E">
        <w:t>found guilty of murder</w:t>
      </w:r>
      <w:r w:rsidRPr="00CF3D1E">
        <w:t>ing both</w:t>
      </w:r>
      <w:r w:rsidR="00D979E5" w:rsidRPr="00CF3D1E">
        <w:t>.</w:t>
      </w:r>
      <w:r w:rsidRPr="00CF3D1E">
        <w:rPr>
          <w:vertAlign w:val="superscript"/>
        </w:rPr>
        <w:footnoteReference w:id="39"/>
      </w:r>
      <w:r w:rsidR="00D979E5" w:rsidRPr="00CF3D1E">
        <w:t xml:space="preserve"> Her first appeal</w:t>
      </w:r>
      <w:r w:rsidR="00164D66">
        <w:t>,</w:t>
      </w:r>
      <w:r w:rsidR="00D979E5" w:rsidRPr="00CF3D1E">
        <w:t xml:space="preserve"> dismissed</w:t>
      </w:r>
      <w:r w:rsidRPr="00CF3D1E">
        <w:t xml:space="preserve"> by Henry LJ,</w:t>
      </w:r>
      <w:r w:rsidR="00D979E5" w:rsidRPr="00CF3D1E">
        <w:rPr>
          <w:vertAlign w:val="superscript"/>
        </w:rPr>
        <w:footnoteReference w:id="40"/>
      </w:r>
      <w:r w:rsidR="00D979E5" w:rsidRPr="00CF3D1E">
        <w:t xml:space="preserve"> </w:t>
      </w:r>
      <w:r w:rsidR="00164D66">
        <w:t>was followed by</w:t>
      </w:r>
      <w:r w:rsidR="00D979E5" w:rsidRPr="00CF3D1E">
        <w:t xml:space="preserve"> </w:t>
      </w:r>
      <w:r w:rsidRPr="00CF3D1E">
        <w:t xml:space="preserve">a </w:t>
      </w:r>
      <w:r w:rsidR="00D979E5" w:rsidRPr="00CF3D1E">
        <w:t xml:space="preserve">second </w:t>
      </w:r>
      <w:r w:rsidRPr="00CF3D1E">
        <w:t xml:space="preserve">successful </w:t>
      </w:r>
      <w:r w:rsidR="00D979E5" w:rsidRPr="00CF3D1E">
        <w:t xml:space="preserve">appeal </w:t>
      </w:r>
      <w:r w:rsidRPr="00CF3D1E">
        <w:t>granted by Kay LJ</w:t>
      </w:r>
      <w:r w:rsidR="00D979E5" w:rsidRPr="00CF3D1E">
        <w:t>.</w:t>
      </w:r>
      <w:r w:rsidR="00D979E5" w:rsidRPr="00CF3D1E">
        <w:rPr>
          <w:vertAlign w:val="superscript"/>
        </w:rPr>
        <w:footnoteReference w:id="41"/>
      </w:r>
      <w:r w:rsidR="00D979E5" w:rsidRPr="00CF3D1E">
        <w:t xml:space="preserve"> </w:t>
      </w:r>
      <w:r w:rsidRPr="00CF3D1E">
        <w:t>At trial, t</w:t>
      </w:r>
      <w:r w:rsidR="00D979E5" w:rsidRPr="00CF3D1E">
        <w:t>he prosecution</w:t>
      </w:r>
      <w:r w:rsidR="00164D66">
        <w:t>,</w:t>
      </w:r>
      <w:r w:rsidR="00CC63C5" w:rsidRPr="00CF3D1E">
        <w:t xml:space="preserve"> </w:t>
      </w:r>
      <w:r w:rsidR="00EB12FC" w:rsidRPr="00CF3D1E">
        <w:t>using flawed</w:t>
      </w:r>
      <w:r w:rsidR="00CC63C5" w:rsidRPr="00CF3D1E">
        <w:t xml:space="preserve"> </w:t>
      </w:r>
      <w:r w:rsidR="00EB12FC" w:rsidRPr="00CF3D1E">
        <w:t>statistical</w:t>
      </w:r>
      <w:r w:rsidR="00EB12FC" w:rsidRPr="00CF3D1E">
        <w:rPr>
          <w:vertAlign w:val="superscript"/>
        </w:rPr>
        <w:footnoteReference w:id="42"/>
      </w:r>
      <w:r w:rsidR="00EB12FC" w:rsidRPr="00CF3D1E">
        <w:t xml:space="preserve"> and </w:t>
      </w:r>
      <w:r w:rsidR="00DB2E8E" w:rsidRPr="00CF3D1E">
        <w:t>later</w:t>
      </w:r>
      <w:r w:rsidR="00EB12FC" w:rsidRPr="00CF3D1E">
        <w:t xml:space="preserve"> discredited medical opinion</w:t>
      </w:r>
      <w:r w:rsidR="00164D66">
        <w:t>,</w:t>
      </w:r>
      <w:r w:rsidR="00EB12FC" w:rsidRPr="00CF3D1E">
        <w:rPr>
          <w:vertAlign w:val="superscript"/>
        </w:rPr>
        <w:footnoteReference w:id="43"/>
      </w:r>
      <w:r w:rsidR="00EB12FC" w:rsidRPr="00CF3D1E">
        <w:t xml:space="preserve"> </w:t>
      </w:r>
      <w:r w:rsidR="00D979E5" w:rsidRPr="00CF3D1E">
        <w:t xml:space="preserve">had argued that Clark had smothered her sons to death. </w:t>
      </w:r>
      <w:r w:rsidR="00CC63C5" w:rsidRPr="00CF3D1E">
        <w:t>The</w:t>
      </w:r>
      <w:r w:rsidR="00D979E5" w:rsidRPr="00CF3D1E">
        <w:t xml:space="preserve"> </w:t>
      </w:r>
      <w:r w:rsidR="000B5710" w:rsidRPr="00CF3D1E">
        <w:t>successful</w:t>
      </w:r>
      <w:r w:rsidR="00D979E5" w:rsidRPr="00CF3D1E">
        <w:t xml:space="preserve"> appeal </w:t>
      </w:r>
      <w:r w:rsidR="000B5710" w:rsidRPr="00CF3D1E">
        <w:t>relied on</w:t>
      </w:r>
      <w:r w:rsidR="00D979E5" w:rsidRPr="00CF3D1E">
        <w:t xml:space="preserve"> </w:t>
      </w:r>
      <w:r w:rsidR="00D26D05" w:rsidRPr="00CF3D1E">
        <w:t xml:space="preserve">fresh evidence in the form of </w:t>
      </w:r>
      <w:r w:rsidR="00D979E5" w:rsidRPr="00CF3D1E">
        <w:t xml:space="preserve">microbiology test results </w:t>
      </w:r>
      <w:r w:rsidR="00D979E5" w:rsidRPr="00CF3D1E">
        <w:lastRenderedPageBreak/>
        <w:t>not disclosed at trial indicat</w:t>
      </w:r>
      <w:r w:rsidR="000B5710" w:rsidRPr="00CF3D1E">
        <w:t>ing</w:t>
      </w:r>
      <w:r w:rsidR="00D979E5" w:rsidRPr="00CF3D1E">
        <w:t xml:space="preserve"> that </w:t>
      </w:r>
      <w:r w:rsidR="000B5710" w:rsidRPr="00CF3D1E">
        <w:t xml:space="preserve">a cerebro-spinal fluid infection may have been the cause of Harry’s death. </w:t>
      </w:r>
      <w:r w:rsidR="000B5710" w:rsidRPr="00CF3D1E">
        <w:rPr>
          <w:color w:val="FF0000"/>
        </w:rPr>
        <w:t xml:space="preserve"> </w:t>
      </w:r>
    </w:p>
    <w:p w14:paraId="7A481856" w14:textId="354E2FA6" w:rsidR="00A41169" w:rsidRPr="00CF3D1E" w:rsidRDefault="00D979E5" w:rsidP="005673FC">
      <w:pPr>
        <w:spacing w:line="480" w:lineRule="auto"/>
        <w:jc w:val="both"/>
      </w:pPr>
      <w:r w:rsidRPr="00CF3D1E">
        <w:t>The way Clark</w:t>
      </w:r>
      <w:r w:rsidR="00603410" w:rsidRPr="00CF3D1E">
        <w:t>’s</w:t>
      </w:r>
      <w:r w:rsidRPr="00CF3D1E">
        <w:t xml:space="preserve"> </w:t>
      </w:r>
      <w:r w:rsidR="00603410" w:rsidRPr="00CF3D1E">
        <w:t xml:space="preserve">behaviour </w:t>
      </w:r>
      <w:r w:rsidRPr="00CF3D1E">
        <w:t xml:space="preserve">was portrayed at trial is noteworthy. Despite being </w:t>
      </w:r>
      <w:r w:rsidRPr="00CF3D1E">
        <w:rPr>
          <w:bCs/>
        </w:rPr>
        <w:t>described positively  as a ‘normal, happy, caring mother’</w:t>
      </w:r>
      <w:r w:rsidR="00603410" w:rsidRPr="00CF3D1E">
        <w:rPr>
          <w:bCs/>
        </w:rPr>
        <w:t>,</w:t>
      </w:r>
      <w:r w:rsidRPr="00CF3D1E">
        <w:rPr>
          <w:bCs/>
          <w:vertAlign w:val="superscript"/>
        </w:rPr>
        <w:footnoteReference w:id="44"/>
      </w:r>
      <w:r w:rsidRPr="00CF3D1E">
        <w:rPr>
          <w:bCs/>
        </w:rPr>
        <w:t xml:space="preserve"> she was </w:t>
      </w:r>
      <w:r w:rsidR="00954AF1">
        <w:rPr>
          <w:bCs/>
        </w:rPr>
        <w:t xml:space="preserve">also characterised </w:t>
      </w:r>
      <w:r w:rsidR="00CC63C5" w:rsidRPr="00CF3D1E">
        <w:rPr>
          <w:bCs/>
        </w:rPr>
        <w:t xml:space="preserve">as </w:t>
      </w:r>
      <w:r w:rsidRPr="00CF3D1E">
        <w:rPr>
          <w:bCs/>
        </w:rPr>
        <w:t>a woman who resented being left alone and, who ‘tended to drink more heavily when her husband was away’.</w:t>
      </w:r>
      <w:r w:rsidRPr="00CF3D1E">
        <w:rPr>
          <w:bCs/>
          <w:vertAlign w:val="superscript"/>
        </w:rPr>
        <w:footnoteReference w:id="45"/>
      </w:r>
      <w:r w:rsidRPr="00CF3D1E">
        <w:rPr>
          <w:bCs/>
        </w:rPr>
        <w:t xml:space="preserve"> </w:t>
      </w:r>
      <w:r w:rsidR="00CC63C5" w:rsidRPr="00CF3D1E">
        <w:rPr>
          <w:bCs/>
        </w:rPr>
        <w:t xml:space="preserve">Such representations </w:t>
      </w:r>
      <w:r w:rsidRPr="00CF3D1E">
        <w:rPr>
          <w:bCs/>
        </w:rPr>
        <w:t xml:space="preserve">may have been </w:t>
      </w:r>
      <w:r w:rsidR="000B5710" w:rsidRPr="00CF3D1E">
        <w:rPr>
          <w:bCs/>
        </w:rPr>
        <w:t xml:space="preserve">true, but </w:t>
      </w:r>
      <w:r w:rsidR="00954AF1">
        <w:rPr>
          <w:bCs/>
        </w:rPr>
        <w:t>were</w:t>
      </w:r>
      <w:r w:rsidRPr="00CF3D1E">
        <w:rPr>
          <w:bCs/>
        </w:rPr>
        <w:t xml:space="preserve"> </w:t>
      </w:r>
      <w:r w:rsidR="00EB0DF3">
        <w:rPr>
          <w:bCs/>
        </w:rPr>
        <w:t xml:space="preserve">also </w:t>
      </w:r>
      <w:r w:rsidRPr="00CF3D1E">
        <w:rPr>
          <w:bCs/>
        </w:rPr>
        <w:t>prejudicial to Clark’s credibility because of the way in which mothers dependent on alcohol may be judged.</w:t>
      </w:r>
      <w:r w:rsidR="00603410" w:rsidRPr="00CF3D1E">
        <w:rPr>
          <w:rStyle w:val="FootnoteReference"/>
        </w:rPr>
        <w:footnoteReference w:id="46"/>
      </w:r>
      <w:r w:rsidR="00603410" w:rsidRPr="00CF3D1E">
        <w:t xml:space="preserve"> </w:t>
      </w:r>
      <w:r w:rsidR="00954AF1">
        <w:t xml:space="preserve">At trial and at first appeal </w:t>
      </w:r>
      <w:r w:rsidRPr="00CF3D1E">
        <w:t>Clark’s alcohol dependency</w:t>
      </w:r>
      <w:r w:rsidR="00CC63C5" w:rsidRPr="00CF3D1E">
        <w:t xml:space="preserve"> </w:t>
      </w:r>
      <w:r w:rsidRPr="00CF3D1E">
        <w:t>was given greater evidential weight</w:t>
      </w:r>
      <w:r w:rsidR="00954AF1">
        <w:t xml:space="preserve"> than in the second appeal judg</w:t>
      </w:r>
      <w:r w:rsidRPr="00CF3D1E">
        <w:t xml:space="preserve">ment. </w:t>
      </w:r>
      <w:r w:rsidRPr="00CF3D1E">
        <w:rPr>
          <w:i/>
        </w:rPr>
        <w:t>Clark</w:t>
      </w:r>
      <w:r w:rsidRPr="00CF3D1E">
        <w:t xml:space="preserve"> indicates that it is not only medical opinions that may bear contrary interpretations at different stages within a child death case, but evidence of maternal behaviour </w:t>
      </w:r>
      <w:r w:rsidR="00603410" w:rsidRPr="00CF3D1E">
        <w:t xml:space="preserve">may at first instance </w:t>
      </w:r>
      <w:r w:rsidR="00CC63C5" w:rsidRPr="00CF3D1E">
        <w:t xml:space="preserve">and first appeal </w:t>
      </w:r>
      <w:r w:rsidR="00603410" w:rsidRPr="00CF3D1E">
        <w:t xml:space="preserve">be </w:t>
      </w:r>
      <w:r w:rsidR="00D26D05" w:rsidRPr="00CF3D1E">
        <w:t xml:space="preserve">perceived as highly </w:t>
      </w:r>
      <w:r w:rsidR="00603410" w:rsidRPr="00CF3D1E">
        <w:t>relevant but</w:t>
      </w:r>
      <w:r w:rsidR="00CC63C5" w:rsidRPr="00CF3D1E">
        <w:t>,</w:t>
      </w:r>
      <w:r w:rsidR="00603410" w:rsidRPr="00CF3D1E">
        <w:t xml:space="preserve"> at </w:t>
      </w:r>
      <w:r w:rsidR="00CC63C5" w:rsidRPr="00CF3D1E">
        <w:t xml:space="preserve">a later </w:t>
      </w:r>
      <w:r w:rsidR="00603410" w:rsidRPr="00CF3D1E">
        <w:t xml:space="preserve">appeal, </w:t>
      </w:r>
      <w:r w:rsidR="00510E61">
        <w:t xml:space="preserve">may be considered </w:t>
      </w:r>
      <w:r w:rsidR="00D26D05" w:rsidRPr="00CF3D1E">
        <w:t xml:space="preserve">of no probative value. </w:t>
      </w:r>
    </w:p>
    <w:p w14:paraId="4E2DDBA5" w14:textId="13918C1D" w:rsidR="00D979E5" w:rsidRPr="00CF3D1E" w:rsidRDefault="00ED31CF" w:rsidP="005673FC">
      <w:pPr>
        <w:pStyle w:val="Heading2"/>
        <w:spacing w:line="480" w:lineRule="auto"/>
        <w:jc w:val="both"/>
        <w:rPr>
          <w:rStyle w:val="SubtleEmphasis"/>
          <w:rFonts w:ascii="Times New Roman" w:hAnsi="Times New Roman" w:cs="Times New Roman"/>
          <w:i w:val="0"/>
          <w:iCs w:val="0"/>
          <w:color w:val="auto"/>
          <w:sz w:val="24"/>
          <w:szCs w:val="24"/>
        </w:rPr>
      </w:pPr>
      <w:r w:rsidRPr="00CF3D1E">
        <w:rPr>
          <w:rStyle w:val="SubtleEmphasis"/>
          <w:rFonts w:ascii="Times New Roman" w:hAnsi="Times New Roman" w:cs="Times New Roman"/>
          <w:sz w:val="24"/>
          <w:szCs w:val="24"/>
        </w:rPr>
        <w:t xml:space="preserve">Angela </w:t>
      </w:r>
      <w:r w:rsidR="00D979E5" w:rsidRPr="00CF3D1E">
        <w:rPr>
          <w:rStyle w:val="SubtleEmphasis"/>
          <w:rFonts w:ascii="Times New Roman" w:hAnsi="Times New Roman" w:cs="Times New Roman"/>
          <w:sz w:val="24"/>
          <w:szCs w:val="24"/>
        </w:rPr>
        <w:t>Cannings</w:t>
      </w:r>
    </w:p>
    <w:p w14:paraId="1F845F33" w14:textId="7E88B1FB" w:rsidR="000B5710" w:rsidRPr="00CF3D1E" w:rsidRDefault="00ED31CF" w:rsidP="005673FC">
      <w:pPr>
        <w:spacing w:line="480" w:lineRule="auto"/>
        <w:jc w:val="both"/>
      </w:pPr>
      <w:r w:rsidRPr="00CF3D1E">
        <w:t xml:space="preserve">The way Sally </w:t>
      </w:r>
      <w:r w:rsidR="00D979E5" w:rsidRPr="00CF3D1E">
        <w:t xml:space="preserve">Clark’s </w:t>
      </w:r>
      <w:r w:rsidRPr="00CF3D1E">
        <w:t xml:space="preserve">behaviour was portrayed, and possibly perceived, </w:t>
      </w:r>
      <w:r w:rsidR="00D979E5" w:rsidRPr="00CF3D1E">
        <w:t xml:space="preserve"> </w:t>
      </w:r>
      <w:r w:rsidRPr="00CF3D1E">
        <w:t xml:space="preserve">was </w:t>
      </w:r>
      <w:r w:rsidR="00510E61">
        <w:t>echoed</w:t>
      </w:r>
      <w:r w:rsidR="00D979E5" w:rsidRPr="00CF3D1E">
        <w:t xml:space="preserve"> </w:t>
      </w:r>
      <w:r w:rsidRPr="00CF3D1E">
        <w:t>in</w:t>
      </w:r>
      <w:r w:rsidR="0025264A">
        <w:t xml:space="preserve"> </w:t>
      </w:r>
      <w:r w:rsidR="00D979E5" w:rsidRPr="0025264A">
        <w:rPr>
          <w:i/>
        </w:rPr>
        <w:t>Cannings</w:t>
      </w:r>
      <w:r w:rsidRPr="00CF3D1E">
        <w:t>. Cannings</w:t>
      </w:r>
      <w:r w:rsidR="00D979E5" w:rsidRPr="00CF3D1E">
        <w:t xml:space="preserve"> had four children, three of whom died suddenly in infancy.</w:t>
      </w:r>
      <w:r w:rsidR="00D979E5" w:rsidRPr="00CF3D1E">
        <w:rPr>
          <w:vertAlign w:val="superscript"/>
        </w:rPr>
        <w:footnoteReference w:id="47"/>
      </w:r>
      <w:r w:rsidR="00D979E5" w:rsidRPr="00CF3D1E">
        <w:t xml:space="preserve"> Tried for the murder of two of her children by smothering</w:t>
      </w:r>
      <w:r w:rsidR="00A41169" w:rsidRPr="00CF3D1E">
        <w:t>,</w:t>
      </w:r>
      <w:r w:rsidR="00D979E5" w:rsidRPr="00CF3D1E">
        <w:t xml:space="preserve"> the prosecution used circumstantial evidence and medical opinion to argue that Cannings had murdered two of her three children. She was convicted, but acquitted two years later because medical opinion suggesting that the rarity of three infant deaths in one family was evidence of murder</w:t>
      </w:r>
      <w:r w:rsidR="00CC63C5" w:rsidRPr="00CF3D1E">
        <w:t>,</w:t>
      </w:r>
      <w:r w:rsidR="00D979E5" w:rsidRPr="00CF3D1E">
        <w:rPr>
          <w:vertAlign w:val="superscript"/>
        </w:rPr>
        <w:footnoteReference w:id="48"/>
      </w:r>
      <w:r w:rsidR="00D979E5" w:rsidRPr="00CF3D1E">
        <w:t xml:space="preserve"> was unsafe.</w:t>
      </w:r>
      <w:r w:rsidR="00D979E5" w:rsidRPr="00CF3D1E">
        <w:rPr>
          <w:vertAlign w:val="superscript"/>
        </w:rPr>
        <w:footnoteReference w:id="49"/>
      </w:r>
      <w:r w:rsidR="00D979E5" w:rsidRPr="00CF3D1E">
        <w:t xml:space="preserve"> </w:t>
      </w:r>
      <w:r w:rsidRPr="00CF3D1E">
        <w:t>I</w:t>
      </w:r>
      <w:r w:rsidR="00D979E5" w:rsidRPr="00CF3D1E">
        <w:t>n addition to medical opinion the appeal report records information about maternal behaviour and childcare. For example, ‘There was no suggestion of ill-temper, inappropriate behaviour, ill-treatment, let alone violence, at any time with any one of the four children’.</w:t>
      </w:r>
      <w:r w:rsidR="00D979E5" w:rsidRPr="00CF3D1E">
        <w:rPr>
          <w:vertAlign w:val="superscript"/>
        </w:rPr>
        <w:footnoteReference w:id="50"/>
      </w:r>
      <w:r w:rsidR="00D979E5" w:rsidRPr="00CF3D1E">
        <w:t xml:space="preserve"> Her </w:t>
      </w:r>
      <w:r w:rsidR="00D979E5" w:rsidRPr="00CF3D1E">
        <w:lastRenderedPageBreak/>
        <w:t>behaviour as a mother was apparently exemplary; Cannings was depicted as a ‘woman of good character, described as a loving mother’.</w:t>
      </w:r>
      <w:r w:rsidR="00D979E5" w:rsidRPr="00CF3D1E">
        <w:rPr>
          <w:vertAlign w:val="superscript"/>
        </w:rPr>
        <w:footnoteReference w:id="51"/>
      </w:r>
      <w:r w:rsidR="00D979E5" w:rsidRPr="00CF3D1E">
        <w:t xml:space="preserve"> Health visitors reported that she and her husband had always cared for their children properly,</w:t>
      </w:r>
      <w:r w:rsidR="00D979E5" w:rsidRPr="00CF3D1E">
        <w:rPr>
          <w:vertAlign w:val="superscript"/>
        </w:rPr>
        <w:footnoteReference w:id="52"/>
      </w:r>
      <w:r w:rsidR="00D979E5" w:rsidRPr="00CF3D1E">
        <w:t xml:space="preserve"> and that Cannings had bonded with her daughter Jade, who ‘seemed to be a well-cared for and loved baby’.</w:t>
      </w:r>
      <w:r w:rsidR="00D979E5" w:rsidRPr="00CF3D1E">
        <w:rPr>
          <w:vertAlign w:val="superscript"/>
        </w:rPr>
        <w:footnoteReference w:id="53"/>
      </w:r>
      <w:r w:rsidR="00D979E5" w:rsidRPr="00CF3D1E">
        <w:t xml:space="preserve"> </w:t>
      </w:r>
    </w:p>
    <w:p w14:paraId="257405F6" w14:textId="01FE9C6D" w:rsidR="000B5710" w:rsidRPr="00CF3D1E" w:rsidRDefault="00D979E5" w:rsidP="005673FC">
      <w:pPr>
        <w:spacing w:line="480" w:lineRule="auto"/>
        <w:jc w:val="both"/>
      </w:pPr>
      <w:r w:rsidRPr="00CF3D1E">
        <w:t xml:space="preserve">Her children </w:t>
      </w:r>
      <w:r w:rsidR="000B5710" w:rsidRPr="00CF3D1E">
        <w:t>had</w:t>
      </w:r>
      <w:r w:rsidRPr="00CF3D1E">
        <w:t xml:space="preserve"> unexplained health difficulties</w:t>
      </w:r>
      <w:r w:rsidR="00510E61">
        <w:t>, however,</w:t>
      </w:r>
      <w:r w:rsidRPr="00CF3D1E">
        <w:t xml:space="preserve"> and at trial, prosecution counsel suggested that Cannings had smothered one of her sons ‘in an attempt to evoke sympathy’.</w:t>
      </w:r>
      <w:r w:rsidRPr="00CF3D1E">
        <w:rPr>
          <w:vertAlign w:val="superscript"/>
        </w:rPr>
        <w:footnoteReference w:id="54"/>
      </w:r>
      <w:r w:rsidRPr="00CF3D1E">
        <w:t xml:space="preserve"> By suggesting that Cannings was mentally ill, prosecution counsel may have sought to reduce her credibility by alluding to the syndrome Munchausen Syndrome by Proxy (MSbP)</w:t>
      </w:r>
      <w:r w:rsidRPr="00CF3D1E">
        <w:rPr>
          <w:rStyle w:val="FootnoteReference"/>
        </w:rPr>
        <w:footnoteReference w:id="55"/>
      </w:r>
      <w:r w:rsidRPr="00CF3D1E">
        <w:t xml:space="preserve"> and </w:t>
      </w:r>
      <w:r w:rsidR="00510E61">
        <w:t xml:space="preserve">suggesting </w:t>
      </w:r>
      <w:r w:rsidRPr="00CF3D1E">
        <w:t>that at the very least, Cannings had something wrong with her as an attention-seeking mother. Once fresh medical opinion was accepted that three sudden infant deaths in one family could occur naturally,</w:t>
      </w:r>
      <w:r w:rsidRPr="00CF3D1E">
        <w:rPr>
          <w:vertAlign w:val="superscript"/>
        </w:rPr>
        <w:footnoteReference w:id="56"/>
      </w:r>
      <w:r w:rsidRPr="00CF3D1E">
        <w:t xml:space="preserve"> prosecution arguments included in the judicial summing up</w:t>
      </w:r>
      <w:r w:rsidRPr="00CF3D1E">
        <w:rPr>
          <w:bCs/>
          <w:vertAlign w:val="superscript"/>
        </w:rPr>
        <w:footnoteReference w:id="57"/>
      </w:r>
      <w:r w:rsidRPr="00CF3D1E">
        <w:rPr>
          <w:bCs/>
        </w:rPr>
        <w:t xml:space="preserve"> </w:t>
      </w:r>
      <w:r w:rsidRPr="00CF3D1E">
        <w:t xml:space="preserve">seeking to syndromise or portray Cannings as a mentally ill mother, </w:t>
      </w:r>
      <w:r w:rsidR="00ED31CF" w:rsidRPr="00CF3D1E">
        <w:t xml:space="preserve">were </w:t>
      </w:r>
      <w:r w:rsidRPr="00CF3D1E">
        <w:t xml:space="preserve">no longer </w:t>
      </w:r>
      <w:r w:rsidR="00ED31CF" w:rsidRPr="00CF3D1E">
        <w:t>relevant</w:t>
      </w:r>
      <w:r w:rsidRPr="00CF3D1E">
        <w:t xml:space="preserve">. </w:t>
      </w:r>
    </w:p>
    <w:p w14:paraId="03835E73" w14:textId="5AE6FDE4" w:rsidR="00EB0DF3" w:rsidRDefault="007C147E" w:rsidP="005673FC">
      <w:pPr>
        <w:spacing w:line="480" w:lineRule="auto"/>
        <w:jc w:val="both"/>
      </w:pPr>
      <w:r w:rsidRPr="00CF3D1E">
        <w:t xml:space="preserve">The </w:t>
      </w:r>
      <w:r w:rsidR="000B5710" w:rsidRPr="00CF3D1E">
        <w:t xml:space="preserve">two </w:t>
      </w:r>
      <w:r w:rsidRPr="00CF3D1E">
        <w:t xml:space="preserve">brief </w:t>
      </w:r>
      <w:r w:rsidR="000B5710" w:rsidRPr="00CF3D1E">
        <w:t xml:space="preserve">case </w:t>
      </w:r>
      <w:r w:rsidR="00FD5DE7" w:rsidRPr="00CF3D1E">
        <w:t>summaries</w:t>
      </w:r>
      <w:r w:rsidR="00642C51" w:rsidRPr="00CF3D1E">
        <w:t xml:space="preserve"> </w:t>
      </w:r>
      <w:r w:rsidR="000B5710" w:rsidRPr="00CF3D1E">
        <w:t xml:space="preserve">show </w:t>
      </w:r>
      <w:r w:rsidR="00D30943" w:rsidRPr="00CF3D1E">
        <w:t xml:space="preserve">that </w:t>
      </w:r>
      <w:r w:rsidR="00CC63C5" w:rsidRPr="00CF3D1E">
        <w:t xml:space="preserve">both worthy and questionable </w:t>
      </w:r>
      <w:r w:rsidR="00D30943" w:rsidRPr="00CF3D1E">
        <w:t>maternal behaviour may be admitted</w:t>
      </w:r>
      <w:r w:rsidR="00CC63C5" w:rsidRPr="00CF3D1E">
        <w:t xml:space="preserve"> </w:t>
      </w:r>
      <w:r w:rsidR="006E0BAF">
        <w:t>and such</w:t>
      </w:r>
      <w:r w:rsidR="000B5710" w:rsidRPr="00CF3D1E">
        <w:t xml:space="preserve"> </w:t>
      </w:r>
      <w:r w:rsidR="00740475" w:rsidRPr="00CF3D1E">
        <w:rPr>
          <w:bCs/>
          <w:iCs/>
        </w:rPr>
        <w:t>information is unlikely to be ruled inadmissible unless there is a ‘risk of jury irrationality’</w:t>
      </w:r>
      <w:r w:rsidR="00994C6C" w:rsidRPr="00CF3D1E">
        <w:rPr>
          <w:bCs/>
          <w:iCs/>
        </w:rPr>
        <w:t>.</w:t>
      </w:r>
      <w:r w:rsidR="00740475" w:rsidRPr="00CF3D1E">
        <w:rPr>
          <w:bCs/>
          <w:iCs/>
          <w:vertAlign w:val="superscript"/>
        </w:rPr>
        <w:footnoteReference w:id="58"/>
      </w:r>
      <w:r w:rsidR="00740475" w:rsidRPr="00CF3D1E">
        <w:rPr>
          <w:bCs/>
          <w:iCs/>
        </w:rPr>
        <w:t xml:space="preserve"> </w:t>
      </w:r>
      <w:r w:rsidR="00CC63C5" w:rsidRPr="00CF3D1E">
        <w:rPr>
          <w:bCs/>
          <w:iCs/>
        </w:rPr>
        <w:t>Overall, the courts’ approach is to place as much relevant, or ‘more or less relevant’</w:t>
      </w:r>
      <w:r w:rsidR="00CC63C5" w:rsidRPr="00CF3D1E">
        <w:rPr>
          <w:bCs/>
          <w:iCs/>
          <w:vertAlign w:val="superscript"/>
        </w:rPr>
        <w:footnoteReference w:id="59"/>
      </w:r>
      <w:r w:rsidR="00CC63C5" w:rsidRPr="00CF3D1E">
        <w:rPr>
          <w:bCs/>
          <w:iCs/>
        </w:rPr>
        <w:t xml:space="preserve"> </w:t>
      </w:r>
      <w:r w:rsidR="00CC63C5" w:rsidRPr="00CF3D1E">
        <w:rPr>
          <w:bCs/>
          <w:iCs/>
        </w:rPr>
        <w:lastRenderedPageBreak/>
        <w:t>information before a jury, and to rely on judicial directions,</w:t>
      </w:r>
      <w:r w:rsidR="00CC63C5" w:rsidRPr="00CF3D1E">
        <w:rPr>
          <w:rStyle w:val="FootnoteReference"/>
          <w:bCs/>
          <w:iCs/>
        </w:rPr>
        <w:footnoteReference w:id="60"/>
      </w:r>
      <w:r w:rsidR="00CC63C5" w:rsidRPr="00CF3D1E">
        <w:rPr>
          <w:bCs/>
          <w:iCs/>
        </w:rPr>
        <w:t xml:space="preserve"> together with ‘judicial warnings and common sense to ensure that it is properly evaluated’.</w:t>
      </w:r>
      <w:r w:rsidR="00CC63C5" w:rsidRPr="00CF3D1E">
        <w:rPr>
          <w:bCs/>
          <w:iCs/>
          <w:vertAlign w:val="superscript"/>
        </w:rPr>
        <w:footnoteReference w:id="61"/>
      </w:r>
      <w:r w:rsidR="00CC63C5" w:rsidRPr="00CF3D1E">
        <w:rPr>
          <w:bCs/>
          <w:iCs/>
        </w:rPr>
        <w:t xml:space="preserve"> </w:t>
      </w:r>
      <w:r w:rsidR="000B5710" w:rsidRPr="00CF3D1E">
        <w:t xml:space="preserve">The </w:t>
      </w:r>
      <w:r w:rsidR="00A6208B" w:rsidRPr="00CF3D1E">
        <w:t xml:space="preserve">admission of informal, extraneous </w:t>
      </w:r>
      <w:r w:rsidR="00C43B07" w:rsidRPr="00CF3D1E">
        <w:t xml:space="preserve">female behaviour </w:t>
      </w:r>
      <w:r w:rsidR="00A6208B" w:rsidRPr="00CF3D1E">
        <w:t xml:space="preserve">evidence </w:t>
      </w:r>
      <w:r w:rsidR="00C43B07" w:rsidRPr="00CF3D1E">
        <w:t xml:space="preserve">has long been </w:t>
      </w:r>
      <w:r w:rsidR="00A6208B" w:rsidRPr="00CF3D1E">
        <w:t xml:space="preserve">a feature of </w:t>
      </w:r>
      <w:r w:rsidR="00C43B07" w:rsidRPr="00CF3D1E">
        <w:t>sexual assault and rape prosecutions</w:t>
      </w:r>
      <w:r w:rsidR="00D30943" w:rsidRPr="00CF3D1E">
        <w:t>.</w:t>
      </w:r>
      <w:r w:rsidR="00A6208B" w:rsidRPr="00CF3D1E">
        <w:rPr>
          <w:vertAlign w:val="superscript"/>
        </w:rPr>
        <w:footnoteReference w:id="62"/>
      </w:r>
      <w:r w:rsidR="00A6208B" w:rsidRPr="00CF3D1E">
        <w:t xml:space="preserve"> </w:t>
      </w:r>
      <w:r w:rsidR="000B5710" w:rsidRPr="00CF3D1E">
        <w:t>The</w:t>
      </w:r>
      <w:r w:rsidR="003B7EB2" w:rsidRPr="00CF3D1E">
        <w:t xml:space="preserve"> relevance of </w:t>
      </w:r>
      <w:r w:rsidR="00994C6C" w:rsidRPr="00CF3D1E">
        <w:t>c</w:t>
      </w:r>
      <w:r w:rsidR="00740475" w:rsidRPr="00CF3D1E">
        <w:t xml:space="preserve">ertain behaviours </w:t>
      </w:r>
      <w:r w:rsidR="003B7EB2" w:rsidRPr="00CF3D1E">
        <w:t>such as</w:t>
      </w:r>
      <w:r w:rsidR="00FD5327" w:rsidRPr="00CF3D1E">
        <w:t xml:space="preserve"> previous sexual history</w:t>
      </w:r>
      <w:r w:rsidR="00994C6C" w:rsidRPr="00CF3D1E">
        <w:t xml:space="preserve"> have been </w:t>
      </w:r>
      <w:r w:rsidR="000B5710" w:rsidRPr="00CF3D1E">
        <w:t xml:space="preserve">strongly challenged by rape myth scholars </w:t>
      </w:r>
      <w:r w:rsidR="003B7EB2" w:rsidRPr="00CF3D1E">
        <w:t>to the extent that this material</w:t>
      </w:r>
      <w:r w:rsidR="00740475" w:rsidRPr="00CF3D1E">
        <w:t xml:space="preserve"> </w:t>
      </w:r>
      <w:r w:rsidR="003B7EB2" w:rsidRPr="00CF3D1E">
        <w:t xml:space="preserve">may </w:t>
      </w:r>
      <w:r w:rsidR="00123AF5" w:rsidRPr="00CF3D1E">
        <w:t xml:space="preserve">now </w:t>
      </w:r>
      <w:r w:rsidR="003B7EB2" w:rsidRPr="00CF3D1E">
        <w:t>not be admitted without leave</w:t>
      </w:r>
      <w:r w:rsidR="00123AF5" w:rsidRPr="00CF3D1E">
        <w:t>.</w:t>
      </w:r>
      <w:r w:rsidR="003A2FD9" w:rsidRPr="00CF3D1E">
        <w:rPr>
          <w:rStyle w:val="FootnoteReference"/>
          <w:bCs/>
          <w:iCs/>
        </w:rPr>
        <w:footnoteReference w:id="63"/>
      </w:r>
      <w:r w:rsidR="00FD5327" w:rsidRPr="00CF3D1E">
        <w:t xml:space="preserve"> </w:t>
      </w:r>
      <w:r w:rsidR="000B5710" w:rsidRPr="00CF3D1E">
        <w:t>Nevertheless</w:t>
      </w:r>
      <w:r w:rsidR="00123AF5" w:rsidRPr="00CF3D1E">
        <w:t>, other types of claimant information may be sought by</w:t>
      </w:r>
      <w:r w:rsidR="00F563C0" w:rsidRPr="00CF3D1E">
        <w:t xml:space="preserve"> </w:t>
      </w:r>
      <w:r w:rsidR="00123AF5" w:rsidRPr="00CF3D1E">
        <w:t xml:space="preserve">defence teams such as </w:t>
      </w:r>
      <w:r w:rsidR="00492D82">
        <w:t xml:space="preserve">medical, </w:t>
      </w:r>
      <w:r w:rsidR="00123AF5" w:rsidRPr="00CF3D1E">
        <w:t>mental health and social welfare</w:t>
      </w:r>
      <w:r w:rsidR="00CC63C5" w:rsidRPr="00CF3D1E">
        <w:t xml:space="preserve"> </w:t>
      </w:r>
      <w:r w:rsidR="00123AF5" w:rsidRPr="00CF3D1E">
        <w:t>records,</w:t>
      </w:r>
      <w:r w:rsidR="00123AF5" w:rsidRPr="00CF3D1E">
        <w:rPr>
          <w:rStyle w:val="FootnoteReference"/>
          <w:bCs/>
          <w:iCs/>
        </w:rPr>
        <w:footnoteReference w:id="64"/>
      </w:r>
      <w:r w:rsidR="00123AF5" w:rsidRPr="00CF3D1E">
        <w:t xml:space="preserve"> archived internet searches</w:t>
      </w:r>
      <w:r w:rsidR="00123AF5" w:rsidRPr="00CF3D1E">
        <w:rPr>
          <w:rStyle w:val="FootnoteReference"/>
          <w:bCs/>
          <w:iCs/>
        </w:rPr>
        <w:footnoteReference w:id="65"/>
      </w:r>
      <w:r w:rsidR="00123AF5" w:rsidRPr="00CF3D1E">
        <w:t xml:space="preserve"> and mor</w:t>
      </w:r>
      <w:r w:rsidR="00492D82">
        <w:t>e recently mobile phone content</w:t>
      </w:r>
      <w:r w:rsidR="00123AF5" w:rsidRPr="00CF3D1E">
        <w:rPr>
          <w:rStyle w:val="FootnoteReference"/>
          <w:bCs/>
          <w:iCs/>
        </w:rPr>
        <w:footnoteReference w:id="66"/>
      </w:r>
      <w:r w:rsidR="00123AF5" w:rsidRPr="00CF3D1E">
        <w:t xml:space="preserve"> </w:t>
      </w:r>
      <w:r w:rsidR="00492D82">
        <w:t xml:space="preserve">and </w:t>
      </w:r>
      <w:r w:rsidR="00123AF5" w:rsidRPr="00CF3D1E">
        <w:t>social media</w:t>
      </w:r>
      <w:r w:rsidR="00E06F40" w:rsidRPr="00CF3D1E">
        <w:rPr>
          <w:rFonts w:eastAsia="Calibri"/>
          <w:vertAlign w:val="superscript"/>
        </w:rPr>
        <w:footnoteReference w:id="67"/>
      </w:r>
      <w:r w:rsidR="00E06F40" w:rsidRPr="00CF3D1E">
        <w:rPr>
          <w:rFonts w:eastAsia="Calibri"/>
        </w:rPr>
        <w:t xml:space="preserve"> </w:t>
      </w:r>
      <w:r w:rsidR="00EB0DF3">
        <w:rPr>
          <w:rFonts w:eastAsia="Calibri"/>
        </w:rPr>
        <w:t>with</w:t>
      </w:r>
      <w:r w:rsidR="00123AF5" w:rsidRPr="00CF3D1E">
        <w:t xml:space="preserve"> text and image content.</w:t>
      </w:r>
      <w:r w:rsidR="00123AF5" w:rsidRPr="00CF3D1E">
        <w:rPr>
          <w:rStyle w:val="FootnoteReference"/>
          <w:bCs/>
          <w:iCs/>
        </w:rPr>
        <w:footnoteReference w:id="68"/>
      </w:r>
      <w:r w:rsidR="00123AF5" w:rsidRPr="00CF3D1E">
        <w:t xml:space="preserve"> </w:t>
      </w:r>
    </w:p>
    <w:p w14:paraId="42B4045B" w14:textId="7AEFCE40" w:rsidR="003A2FD9" w:rsidRPr="00CF3D1E" w:rsidRDefault="003A2FD9" w:rsidP="005673FC">
      <w:pPr>
        <w:spacing w:line="480" w:lineRule="auto"/>
        <w:jc w:val="both"/>
      </w:pPr>
      <w:r w:rsidRPr="00CF3D1E">
        <w:rPr>
          <w:bCs/>
          <w:iCs/>
        </w:rPr>
        <w:t xml:space="preserve">For </w:t>
      </w:r>
      <w:r w:rsidR="00F6516C" w:rsidRPr="00CF3D1E">
        <w:rPr>
          <w:bCs/>
          <w:iCs/>
        </w:rPr>
        <w:t xml:space="preserve">women accused of killing </w:t>
      </w:r>
      <w:r w:rsidR="00C37BD5" w:rsidRPr="00CF3D1E">
        <w:rPr>
          <w:bCs/>
          <w:iCs/>
        </w:rPr>
        <w:t xml:space="preserve">the </w:t>
      </w:r>
      <w:r w:rsidR="00F6516C" w:rsidRPr="00CF3D1E">
        <w:rPr>
          <w:bCs/>
          <w:iCs/>
        </w:rPr>
        <w:t>children in their care</w:t>
      </w:r>
      <w:r w:rsidRPr="00CF3D1E">
        <w:rPr>
          <w:bCs/>
          <w:iCs/>
        </w:rPr>
        <w:t xml:space="preserve"> therefore, any </w:t>
      </w:r>
      <w:r w:rsidR="00712C51" w:rsidRPr="00CF3D1E">
        <w:rPr>
          <w:bCs/>
          <w:iCs/>
        </w:rPr>
        <w:t xml:space="preserve">past </w:t>
      </w:r>
      <w:r w:rsidR="00A6208B" w:rsidRPr="00CF3D1E">
        <w:rPr>
          <w:bCs/>
          <w:iCs/>
        </w:rPr>
        <w:t xml:space="preserve">behaviour </w:t>
      </w:r>
      <w:r w:rsidR="00F6516C" w:rsidRPr="00CF3D1E">
        <w:rPr>
          <w:bCs/>
          <w:iCs/>
        </w:rPr>
        <w:t xml:space="preserve">information </w:t>
      </w:r>
      <w:r w:rsidR="007743CA" w:rsidRPr="00CF3D1E">
        <w:rPr>
          <w:bCs/>
          <w:iCs/>
        </w:rPr>
        <w:t>including internet searches, medical an</w:t>
      </w:r>
      <w:r w:rsidR="00492D82">
        <w:rPr>
          <w:bCs/>
          <w:iCs/>
        </w:rPr>
        <w:t xml:space="preserve">d mental health or </w:t>
      </w:r>
      <w:r w:rsidR="007743CA" w:rsidRPr="00CF3D1E">
        <w:rPr>
          <w:bCs/>
          <w:iCs/>
        </w:rPr>
        <w:t xml:space="preserve">social welfare reports </w:t>
      </w:r>
      <w:r w:rsidR="00492D82">
        <w:rPr>
          <w:bCs/>
          <w:iCs/>
        </w:rPr>
        <w:t>and</w:t>
      </w:r>
      <w:r w:rsidR="002852EE">
        <w:rPr>
          <w:bCs/>
          <w:iCs/>
        </w:rPr>
        <w:t xml:space="preserve"> counselling </w:t>
      </w:r>
      <w:r w:rsidR="00492D82">
        <w:rPr>
          <w:bCs/>
          <w:iCs/>
        </w:rPr>
        <w:t>records</w:t>
      </w:r>
      <w:r w:rsidR="002852EE">
        <w:rPr>
          <w:bCs/>
          <w:iCs/>
        </w:rPr>
        <w:t xml:space="preserve"> </w:t>
      </w:r>
      <w:r w:rsidRPr="00CF3D1E">
        <w:rPr>
          <w:bCs/>
          <w:iCs/>
        </w:rPr>
        <w:t>may be</w:t>
      </w:r>
      <w:r w:rsidR="00A6208B" w:rsidRPr="00CF3D1E">
        <w:rPr>
          <w:bCs/>
          <w:iCs/>
        </w:rPr>
        <w:t xml:space="preserve"> </w:t>
      </w:r>
      <w:r w:rsidR="00980F7D" w:rsidRPr="00CF3D1E">
        <w:rPr>
          <w:bCs/>
          <w:iCs/>
        </w:rPr>
        <w:t xml:space="preserve">freely </w:t>
      </w:r>
      <w:r w:rsidR="00F6516C" w:rsidRPr="00CF3D1E">
        <w:rPr>
          <w:bCs/>
          <w:iCs/>
        </w:rPr>
        <w:t>admissible</w:t>
      </w:r>
      <w:r w:rsidR="007743CA" w:rsidRPr="00CF3D1E">
        <w:rPr>
          <w:bCs/>
          <w:iCs/>
        </w:rPr>
        <w:t xml:space="preserve">. </w:t>
      </w:r>
      <w:r w:rsidR="00C41CF0" w:rsidRPr="00CF3D1E">
        <w:rPr>
          <w:bCs/>
          <w:iCs/>
        </w:rPr>
        <w:t xml:space="preserve">Such a position </w:t>
      </w:r>
      <w:r w:rsidR="00980F7D" w:rsidRPr="00CF3D1E">
        <w:rPr>
          <w:bCs/>
          <w:iCs/>
        </w:rPr>
        <w:t>echoes</w:t>
      </w:r>
      <w:r w:rsidR="00C41CF0" w:rsidRPr="00CF3D1E">
        <w:rPr>
          <w:bCs/>
          <w:iCs/>
        </w:rPr>
        <w:t xml:space="preserve"> that of </w:t>
      </w:r>
      <w:r w:rsidRPr="00CF3D1E">
        <w:rPr>
          <w:bCs/>
          <w:iCs/>
        </w:rPr>
        <w:t xml:space="preserve">rape complainants </w:t>
      </w:r>
      <w:r w:rsidR="002852EE">
        <w:rPr>
          <w:bCs/>
          <w:iCs/>
        </w:rPr>
        <w:t>for whom</w:t>
      </w:r>
      <w:r w:rsidR="00C41CF0" w:rsidRPr="00CF3D1E">
        <w:rPr>
          <w:bCs/>
          <w:iCs/>
        </w:rPr>
        <w:t xml:space="preserve"> </w:t>
      </w:r>
      <w:r w:rsidR="007743CA" w:rsidRPr="00CF3D1E">
        <w:rPr>
          <w:bCs/>
          <w:iCs/>
        </w:rPr>
        <w:t>feminist</w:t>
      </w:r>
      <w:r w:rsidRPr="00CF3D1E">
        <w:rPr>
          <w:bCs/>
          <w:iCs/>
        </w:rPr>
        <w:t xml:space="preserve"> </w:t>
      </w:r>
      <w:r w:rsidR="00F2790B" w:rsidRPr="00CF3D1E">
        <w:rPr>
          <w:bCs/>
          <w:iCs/>
        </w:rPr>
        <w:lastRenderedPageBreak/>
        <w:t xml:space="preserve">and </w:t>
      </w:r>
      <w:r w:rsidR="007743CA" w:rsidRPr="00CF3D1E">
        <w:rPr>
          <w:bCs/>
          <w:iCs/>
        </w:rPr>
        <w:t xml:space="preserve">legal </w:t>
      </w:r>
      <w:r w:rsidRPr="00CF3D1E">
        <w:rPr>
          <w:bCs/>
          <w:iCs/>
        </w:rPr>
        <w:t xml:space="preserve">commentary </w:t>
      </w:r>
      <w:r w:rsidR="002852EE">
        <w:rPr>
          <w:bCs/>
          <w:iCs/>
        </w:rPr>
        <w:t xml:space="preserve">have </w:t>
      </w:r>
      <w:r w:rsidRPr="00CF3D1E">
        <w:rPr>
          <w:bCs/>
          <w:iCs/>
        </w:rPr>
        <w:t xml:space="preserve">identified </w:t>
      </w:r>
      <w:r w:rsidR="00F2790B" w:rsidRPr="00CF3D1E">
        <w:rPr>
          <w:bCs/>
          <w:iCs/>
        </w:rPr>
        <w:t xml:space="preserve">the dangers of </w:t>
      </w:r>
      <w:r w:rsidR="00980F7D" w:rsidRPr="00CF3D1E">
        <w:rPr>
          <w:bCs/>
          <w:iCs/>
        </w:rPr>
        <w:t xml:space="preserve">a permissive approach to the admission of </w:t>
      </w:r>
      <w:r w:rsidR="00F2790B" w:rsidRPr="00CF3D1E">
        <w:rPr>
          <w:bCs/>
          <w:iCs/>
        </w:rPr>
        <w:t>behaviour evidence,</w:t>
      </w:r>
      <w:r w:rsidR="00194011">
        <w:rPr>
          <w:bCs/>
          <w:iCs/>
        </w:rPr>
        <w:t xml:space="preserve"> </w:t>
      </w:r>
      <w:r w:rsidR="00F2790B" w:rsidRPr="00CF3D1E">
        <w:rPr>
          <w:bCs/>
          <w:iCs/>
        </w:rPr>
        <w:t>becaus</w:t>
      </w:r>
      <w:r w:rsidR="00452742" w:rsidRPr="00CF3D1E">
        <w:rPr>
          <w:bCs/>
          <w:iCs/>
        </w:rPr>
        <w:t>e</w:t>
      </w:r>
      <w:r w:rsidR="00F2790B" w:rsidRPr="00CF3D1E">
        <w:rPr>
          <w:bCs/>
          <w:iCs/>
        </w:rPr>
        <w:t xml:space="preserve"> </w:t>
      </w:r>
      <w:r w:rsidR="00452742" w:rsidRPr="00CF3D1E">
        <w:rPr>
          <w:bCs/>
          <w:iCs/>
        </w:rPr>
        <w:t xml:space="preserve">some </w:t>
      </w:r>
      <w:r w:rsidRPr="00CF3D1E">
        <w:rPr>
          <w:bCs/>
          <w:iCs/>
        </w:rPr>
        <w:t>female behaviours</w:t>
      </w:r>
      <w:r w:rsidRPr="00CF3D1E">
        <w:rPr>
          <w:rStyle w:val="FootnoteReference"/>
          <w:bCs/>
          <w:iCs/>
        </w:rPr>
        <w:footnoteReference w:id="69"/>
      </w:r>
      <w:r w:rsidRPr="00CF3D1E">
        <w:rPr>
          <w:bCs/>
          <w:iCs/>
        </w:rPr>
        <w:t xml:space="preserve"> may be readily misinterpreted</w:t>
      </w:r>
      <w:r w:rsidR="00F2790B" w:rsidRPr="00CF3D1E">
        <w:rPr>
          <w:bCs/>
          <w:iCs/>
        </w:rPr>
        <w:t xml:space="preserve"> as</w:t>
      </w:r>
      <w:r w:rsidRPr="00CF3D1E">
        <w:rPr>
          <w:bCs/>
          <w:iCs/>
        </w:rPr>
        <w:t xml:space="preserve"> </w:t>
      </w:r>
      <w:r w:rsidR="00F2790B" w:rsidRPr="00CF3D1E">
        <w:rPr>
          <w:bCs/>
          <w:i/>
          <w:iCs/>
        </w:rPr>
        <w:t>rape myths</w:t>
      </w:r>
      <w:r w:rsidR="00F2790B" w:rsidRPr="00CF3D1E">
        <w:rPr>
          <w:bCs/>
          <w:iCs/>
        </w:rPr>
        <w:t xml:space="preserve">. </w:t>
      </w:r>
    </w:p>
    <w:p w14:paraId="395E9958" w14:textId="223DE2B7" w:rsidR="00DB2B00" w:rsidRPr="00CF3D1E" w:rsidRDefault="003A2FD9" w:rsidP="005673FC">
      <w:pPr>
        <w:spacing w:line="480" w:lineRule="auto"/>
        <w:jc w:val="both"/>
        <w:rPr>
          <w:bCs/>
          <w:iCs/>
        </w:rPr>
      </w:pPr>
      <w:r w:rsidRPr="00CF3D1E">
        <w:rPr>
          <w:bCs/>
          <w:iCs/>
        </w:rPr>
        <w:t>The following</w:t>
      </w:r>
      <w:r w:rsidR="00C41CF0" w:rsidRPr="00CF3D1E">
        <w:rPr>
          <w:bCs/>
          <w:iCs/>
        </w:rPr>
        <w:t xml:space="preserve"> section</w:t>
      </w:r>
      <w:r w:rsidR="00F2790B" w:rsidRPr="00CF3D1E">
        <w:rPr>
          <w:bCs/>
          <w:iCs/>
        </w:rPr>
        <w:t xml:space="preserve"> will </w:t>
      </w:r>
      <w:r w:rsidR="00DB2B00" w:rsidRPr="00CF3D1E">
        <w:rPr>
          <w:bCs/>
          <w:iCs/>
        </w:rPr>
        <w:t xml:space="preserve">examine how a rape myth has come to be </w:t>
      </w:r>
      <w:r w:rsidR="00996585">
        <w:rPr>
          <w:bCs/>
          <w:iCs/>
        </w:rPr>
        <w:t>conceptualised</w:t>
      </w:r>
      <w:r w:rsidR="00DB2B00" w:rsidRPr="00CF3D1E">
        <w:rPr>
          <w:bCs/>
          <w:iCs/>
        </w:rPr>
        <w:t xml:space="preserve"> </w:t>
      </w:r>
      <w:r w:rsidR="00930749" w:rsidRPr="00CF3D1E">
        <w:rPr>
          <w:bCs/>
          <w:iCs/>
        </w:rPr>
        <w:t xml:space="preserve">in RMS </w:t>
      </w:r>
      <w:r w:rsidR="00DB2B00" w:rsidRPr="00CF3D1E">
        <w:rPr>
          <w:bCs/>
          <w:iCs/>
        </w:rPr>
        <w:t xml:space="preserve">and how </w:t>
      </w:r>
      <w:r w:rsidR="00930749">
        <w:rPr>
          <w:bCs/>
          <w:iCs/>
        </w:rPr>
        <w:t>this concept</w:t>
      </w:r>
      <w:r w:rsidR="00996585">
        <w:rPr>
          <w:bCs/>
          <w:iCs/>
        </w:rPr>
        <w:t xml:space="preserve"> </w:t>
      </w:r>
      <w:r w:rsidR="00DB2B00" w:rsidRPr="00CF3D1E">
        <w:rPr>
          <w:bCs/>
          <w:iCs/>
        </w:rPr>
        <w:t xml:space="preserve">may be used in understanding what may have been happening in rape trials. RMS has studied the admission of </w:t>
      </w:r>
      <w:r w:rsidR="00930749">
        <w:rPr>
          <w:bCs/>
          <w:iCs/>
        </w:rPr>
        <w:t xml:space="preserve">evidence of </w:t>
      </w:r>
      <w:r w:rsidR="00DB2B00" w:rsidRPr="00CF3D1E">
        <w:rPr>
          <w:bCs/>
          <w:iCs/>
        </w:rPr>
        <w:t xml:space="preserve">female behaviours and sought to show how the </w:t>
      </w:r>
      <w:r w:rsidR="00996585">
        <w:rPr>
          <w:bCs/>
          <w:iCs/>
        </w:rPr>
        <w:t xml:space="preserve">rape myth </w:t>
      </w:r>
      <w:r w:rsidR="00DB2B00" w:rsidRPr="00CF3D1E">
        <w:rPr>
          <w:bCs/>
          <w:iCs/>
        </w:rPr>
        <w:t>device works in calling out prejudicial and stereotypical beliefs.</w:t>
      </w:r>
      <w:r w:rsidR="004E65E3" w:rsidRPr="00CF3D1E">
        <w:rPr>
          <w:bCs/>
          <w:iCs/>
        </w:rPr>
        <w:t xml:space="preserve"> </w:t>
      </w:r>
      <w:r w:rsidR="003E7B68" w:rsidRPr="00CF3D1E">
        <w:rPr>
          <w:bCs/>
          <w:iCs/>
        </w:rPr>
        <w:t>By</w:t>
      </w:r>
      <w:r w:rsidR="00F2790B" w:rsidRPr="00CF3D1E">
        <w:rPr>
          <w:bCs/>
          <w:iCs/>
        </w:rPr>
        <w:t xml:space="preserve"> analog</w:t>
      </w:r>
      <w:r w:rsidR="00930749">
        <w:rPr>
          <w:bCs/>
          <w:iCs/>
        </w:rPr>
        <w:t>y</w:t>
      </w:r>
      <w:r w:rsidR="00C97987" w:rsidRPr="00CF3D1E">
        <w:rPr>
          <w:bCs/>
          <w:iCs/>
        </w:rPr>
        <w:t>,</w:t>
      </w:r>
      <w:r w:rsidR="00F2790B" w:rsidRPr="00CF3D1E">
        <w:rPr>
          <w:bCs/>
          <w:iCs/>
        </w:rPr>
        <w:t xml:space="preserve"> </w:t>
      </w:r>
      <w:r w:rsidR="003E7B68" w:rsidRPr="00CF3D1E">
        <w:rPr>
          <w:bCs/>
          <w:iCs/>
        </w:rPr>
        <w:t>this paper suggest</w:t>
      </w:r>
      <w:r w:rsidR="001D5590" w:rsidRPr="00CF3D1E">
        <w:rPr>
          <w:bCs/>
          <w:iCs/>
        </w:rPr>
        <w:t>s</w:t>
      </w:r>
      <w:r w:rsidR="003E7B68" w:rsidRPr="00CF3D1E">
        <w:rPr>
          <w:bCs/>
          <w:iCs/>
        </w:rPr>
        <w:t xml:space="preserve"> that </w:t>
      </w:r>
      <w:r w:rsidR="00F2790B" w:rsidRPr="00CF3D1E">
        <w:rPr>
          <w:bCs/>
          <w:iCs/>
        </w:rPr>
        <w:t>in cases of women accused of killing their children</w:t>
      </w:r>
      <w:r w:rsidR="00930749">
        <w:rPr>
          <w:bCs/>
          <w:iCs/>
        </w:rPr>
        <w:t>,</w:t>
      </w:r>
      <w:r w:rsidR="003E7B68" w:rsidRPr="00CF3D1E">
        <w:rPr>
          <w:bCs/>
          <w:iCs/>
        </w:rPr>
        <w:t xml:space="preserve"> damaging but unfounded inferences may be </w:t>
      </w:r>
      <w:r w:rsidR="00930749">
        <w:rPr>
          <w:bCs/>
          <w:iCs/>
        </w:rPr>
        <w:t>drawn from</w:t>
      </w:r>
      <w:r w:rsidR="003E7B68" w:rsidRPr="00CF3D1E">
        <w:rPr>
          <w:bCs/>
          <w:iCs/>
        </w:rPr>
        <w:t xml:space="preserve"> maternal behaviour</w:t>
      </w:r>
      <w:r w:rsidR="004E7176" w:rsidRPr="00CF3D1E">
        <w:rPr>
          <w:bCs/>
          <w:iCs/>
        </w:rPr>
        <w:t xml:space="preserve"> </w:t>
      </w:r>
      <w:r w:rsidR="004E65E3" w:rsidRPr="00CF3D1E">
        <w:rPr>
          <w:bCs/>
          <w:iCs/>
        </w:rPr>
        <w:t>admitted</w:t>
      </w:r>
      <w:r w:rsidR="003E7B68" w:rsidRPr="00CF3D1E">
        <w:rPr>
          <w:bCs/>
          <w:iCs/>
        </w:rPr>
        <w:t xml:space="preserve"> </w:t>
      </w:r>
      <w:r w:rsidR="00930749">
        <w:rPr>
          <w:bCs/>
          <w:iCs/>
        </w:rPr>
        <w:t>at</w:t>
      </w:r>
      <w:r w:rsidR="003E7B68" w:rsidRPr="00CF3D1E">
        <w:rPr>
          <w:bCs/>
          <w:iCs/>
        </w:rPr>
        <w:t xml:space="preserve"> </w:t>
      </w:r>
      <w:r w:rsidR="00930749">
        <w:rPr>
          <w:bCs/>
          <w:iCs/>
        </w:rPr>
        <w:t>trial</w:t>
      </w:r>
      <w:r w:rsidR="00996585">
        <w:rPr>
          <w:bCs/>
          <w:iCs/>
        </w:rPr>
        <w:t>,</w:t>
      </w:r>
      <w:r w:rsidR="00DB2B00" w:rsidRPr="00CF3D1E">
        <w:rPr>
          <w:bCs/>
          <w:iCs/>
        </w:rPr>
        <w:t xml:space="preserve"> and proposes that a similar device</w:t>
      </w:r>
      <w:r w:rsidR="00930749">
        <w:rPr>
          <w:bCs/>
          <w:iCs/>
        </w:rPr>
        <w:t>,</w:t>
      </w:r>
      <w:r w:rsidR="00DB2B00" w:rsidRPr="00CF3D1E">
        <w:rPr>
          <w:bCs/>
          <w:iCs/>
        </w:rPr>
        <w:t xml:space="preserve"> </w:t>
      </w:r>
      <w:r w:rsidR="00996585">
        <w:rPr>
          <w:bCs/>
          <w:iCs/>
        </w:rPr>
        <w:t xml:space="preserve">the </w:t>
      </w:r>
      <w:r w:rsidR="00996585" w:rsidRPr="00996585">
        <w:rPr>
          <w:bCs/>
          <w:i/>
          <w:iCs/>
        </w:rPr>
        <w:t>mothering myth</w:t>
      </w:r>
      <w:r w:rsidR="00996585">
        <w:rPr>
          <w:bCs/>
          <w:iCs/>
        </w:rPr>
        <w:t xml:space="preserve">, </w:t>
      </w:r>
      <w:r w:rsidR="00DB2B00" w:rsidRPr="00CF3D1E">
        <w:rPr>
          <w:bCs/>
          <w:iCs/>
        </w:rPr>
        <w:t xml:space="preserve">may help in identifying unfounded and prejudicial beliefs about mothers. </w:t>
      </w:r>
    </w:p>
    <w:p w14:paraId="56469483" w14:textId="5AAD5781" w:rsidR="003E7B68" w:rsidRDefault="00F2790B" w:rsidP="005673FC">
      <w:pPr>
        <w:spacing w:line="480" w:lineRule="auto"/>
        <w:jc w:val="both"/>
        <w:rPr>
          <w:lang w:val="en-US"/>
        </w:rPr>
      </w:pPr>
      <w:r w:rsidRPr="00CF3D1E">
        <w:rPr>
          <w:bCs/>
          <w:iCs/>
        </w:rPr>
        <w:t xml:space="preserve">There </w:t>
      </w:r>
      <w:r w:rsidR="00537161" w:rsidRPr="00CF3D1E">
        <w:rPr>
          <w:bCs/>
          <w:iCs/>
        </w:rPr>
        <w:t xml:space="preserve">are </w:t>
      </w:r>
      <w:r w:rsidR="00DB2B00" w:rsidRPr="00CF3D1E">
        <w:rPr>
          <w:bCs/>
          <w:iCs/>
        </w:rPr>
        <w:t>some</w:t>
      </w:r>
      <w:r w:rsidRPr="00CF3D1E">
        <w:rPr>
          <w:bCs/>
          <w:iCs/>
        </w:rPr>
        <w:t xml:space="preserve"> </w:t>
      </w:r>
      <w:r w:rsidR="003E7B68" w:rsidRPr="00CF3D1E">
        <w:rPr>
          <w:bCs/>
          <w:iCs/>
        </w:rPr>
        <w:t xml:space="preserve">methodological </w:t>
      </w:r>
      <w:r w:rsidRPr="00CF3D1E">
        <w:rPr>
          <w:bCs/>
          <w:iCs/>
        </w:rPr>
        <w:t>difficult</w:t>
      </w:r>
      <w:r w:rsidR="00537161" w:rsidRPr="00CF3D1E">
        <w:rPr>
          <w:bCs/>
          <w:iCs/>
        </w:rPr>
        <w:t>ies</w:t>
      </w:r>
      <w:r w:rsidR="00996585">
        <w:rPr>
          <w:bCs/>
          <w:iCs/>
        </w:rPr>
        <w:t xml:space="preserve"> to consider</w:t>
      </w:r>
      <w:r w:rsidR="00930749">
        <w:rPr>
          <w:bCs/>
          <w:iCs/>
        </w:rPr>
        <w:t>. First, the totality of</w:t>
      </w:r>
      <w:r w:rsidR="004E65E3" w:rsidRPr="00CF3D1E">
        <w:rPr>
          <w:bCs/>
          <w:iCs/>
        </w:rPr>
        <w:t xml:space="preserve"> RMS cannot be </w:t>
      </w:r>
      <w:r w:rsidR="00930749">
        <w:rPr>
          <w:bCs/>
          <w:iCs/>
        </w:rPr>
        <w:t>represented</w:t>
      </w:r>
      <w:r w:rsidR="004E65E3" w:rsidRPr="00CF3D1E">
        <w:rPr>
          <w:bCs/>
          <w:iCs/>
        </w:rPr>
        <w:t xml:space="preserve"> here</w:t>
      </w:r>
      <w:r w:rsidR="00DB2B00" w:rsidRPr="00CF3D1E">
        <w:rPr>
          <w:bCs/>
          <w:iCs/>
        </w:rPr>
        <w:t xml:space="preserve"> and so only key developments in the search for definition are </w:t>
      </w:r>
      <w:r w:rsidR="00996585">
        <w:rPr>
          <w:bCs/>
          <w:iCs/>
        </w:rPr>
        <w:t>examined</w:t>
      </w:r>
      <w:r w:rsidR="00930749">
        <w:rPr>
          <w:bCs/>
          <w:iCs/>
        </w:rPr>
        <w:t>.</w:t>
      </w:r>
      <w:r w:rsidR="004E65E3" w:rsidRPr="00CF3D1E">
        <w:rPr>
          <w:bCs/>
          <w:iCs/>
        </w:rPr>
        <w:t xml:space="preserve"> </w:t>
      </w:r>
      <w:r w:rsidR="00930749">
        <w:rPr>
          <w:bCs/>
          <w:iCs/>
        </w:rPr>
        <w:t>S</w:t>
      </w:r>
      <w:r w:rsidR="004E65E3" w:rsidRPr="00CF3D1E">
        <w:rPr>
          <w:bCs/>
          <w:iCs/>
        </w:rPr>
        <w:t xml:space="preserve">econdly, </w:t>
      </w:r>
      <w:r w:rsidR="00930749">
        <w:rPr>
          <w:bCs/>
          <w:iCs/>
        </w:rPr>
        <w:t>the</w:t>
      </w:r>
      <w:r w:rsidR="004E65E3" w:rsidRPr="00CF3D1E">
        <w:rPr>
          <w:bCs/>
          <w:iCs/>
        </w:rPr>
        <w:t xml:space="preserve"> </w:t>
      </w:r>
      <w:r w:rsidR="00930749">
        <w:rPr>
          <w:bCs/>
          <w:iCs/>
        </w:rPr>
        <w:t>analogy between rape trials and</w:t>
      </w:r>
      <w:r w:rsidR="004E65E3" w:rsidRPr="00CF3D1E">
        <w:rPr>
          <w:bCs/>
          <w:iCs/>
        </w:rPr>
        <w:t xml:space="preserve"> child death cases </w:t>
      </w:r>
      <w:r w:rsidR="00930749">
        <w:rPr>
          <w:bCs/>
          <w:iCs/>
        </w:rPr>
        <w:t>is complicated by the fact that</w:t>
      </w:r>
      <w:r w:rsidR="004E65E3" w:rsidRPr="00CF3D1E">
        <w:rPr>
          <w:bCs/>
          <w:iCs/>
        </w:rPr>
        <w:t xml:space="preserve"> </w:t>
      </w:r>
      <w:r w:rsidR="00537161" w:rsidRPr="00CF3D1E">
        <w:rPr>
          <w:bCs/>
          <w:iCs/>
        </w:rPr>
        <w:t>in</w:t>
      </w:r>
      <w:r w:rsidR="00452742" w:rsidRPr="00CF3D1E">
        <w:rPr>
          <w:bCs/>
          <w:iCs/>
        </w:rPr>
        <w:t xml:space="preserve"> rape trials</w:t>
      </w:r>
      <w:r w:rsidR="00045084" w:rsidRPr="00CF3D1E">
        <w:rPr>
          <w:bCs/>
          <w:iCs/>
        </w:rPr>
        <w:t xml:space="preserve"> </w:t>
      </w:r>
      <w:r w:rsidR="00537161" w:rsidRPr="00CF3D1E">
        <w:rPr>
          <w:bCs/>
          <w:iCs/>
        </w:rPr>
        <w:t xml:space="preserve">the woman is the complainant and in child death cases she is the defendant; in rape trials the woman has alleged that the defendant should be </w:t>
      </w:r>
      <w:r w:rsidR="00930749">
        <w:rPr>
          <w:bCs/>
          <w:iCs/>
        </w:rPr>
        <w:t>convicted while i</w:t>
      </w:r>
      <w:r w:rsidR="00194011">
        <w:rPr>
          <w:bCs/>
          <w:iCs/>
        </w:rPr>
        <w:t>n</w:t>
      </w:r>
      <w:r w:rsidR="00537161" w:rsidRPr="00CF3D1E">
        <w:rPr>
          <w:bCs/>
          <w:iCs/>
        </w:rPr>
        <w:t xml:space="preserve"> child death cases the mother as defendant seeks to be </w:t>
      </w:r>
      <w:r w:rsidR="00FA4A11" w:rsidRPr="00CF3D1E">
        <w:rPr>
          <w:bCs/>
          <w:iCs/>
        </w:rPr>
        <w:t>acquitted</w:t>
      </w:r>
      <w:r w:rsidR="00537161" w:rsidRPr="00CF3D1E">
        <w:rPr>
          <w:bCs/>
          <w:iCs/>
        </w:rPr>
        <w:t>.</w:t>
      </w:r>
      <w:r w:rsidR="00AD0220" w:rsidRPr="00CF3D1E">
        <w:rPr>
          <w:bCs/>
          <w:iCs/>
        </w:rPr>
        <w:t xml:space="preserve"> </w:t>
      </w:r>
      <w:r w:rsidR="00194011">
        <w:rPr>
          <w:bCs/>
          <w:iCs/>
        </w:rPr>
        <w:t>The</w:t>
      </w:r>
      <w:r w:rsidR="00537161" w:rsidRPr="00CF3D1E">
        <w:rPr>
          <w:bCs/>
          <w:iCs/>
        </w:rPr>
        <w:t xml:space="preserve"> divergence</w:t>
      </w:r>
      <w:r w:rsidR="003E7B68" w:rsidRPr="00CF3D1E">
        <w:rPr>
          <w:bCs/>
          <w:iCs/>
        </w:rPr>
        <w:t>s</w:t>
      </w:r>
      <w:r w:rsidR="00537161" w:rsidRPr="00CF3D1E">
        <w:rPr>
          <w:bCs/>
          <w:iCs/>
        </w:rPr>
        <w:t xml:space="preserve"> in adversarial attitude and carceral intent</w:t>
      </w:r>
      <w:r w:rsidR="003E7B68" w:rsidRPr="00CF3D1E">
        <w:rPr>
          <w:bCs/>
          <w:iCs/>
        </w:rPr>
        <w:t xml:space="preserve">ion </w:t>
      </w:r>
      <w:r w:rsidR="00C97987" w:rsidRPr="00CF3D1E">
        <w:rPr>
          <w:bCs/>
          <w:iCs/>
        </w:rPr>
        <w:t>are</w:t>
      </w:r>
      <w:r w:rsidR="00537161" w:rsidRPr="00CF3D1E">
        <w:rPr>
          <w:bCs/>
          <w:iCs/>
        </w:rPr>
        <w:t xml:space="preserve"> put to one side </w:t>
      </w:r>
      <w:r w:rsidR="00194011">
        <w:rPr>
          <w:bCs/>
          <w:iCs/>
        </w:rPr>
        <w:t xml:space="preserve">in this paper, </w:t>
      </w:r>
      <w:r w:rsidR="00704623" w:rsidRPr="00CF3D1E">
        <w:rPr>
          <w:bCs/>
          <w:iCs/>
        </w:rPr>
        <w:t>to focus on</w:t>
      </w:r>
      <w:r w:rsidR="00537161" w:rsidRPr="00CF3D1E">
        <w:rPr>
          <w:lang w:val="en-US"/>
        </w:rPr>
        <w:t xml:space="preserve"> how</w:t>
      </w:r>
      <w:r w:rsidR="00AB180D" w:rsidRPr="00CF3D1E">
        <w:rPr>
          <w:lang w:val="en-US"/>
        </w:rPr>
        <w:t xml:space="preserve"> rape myth scholars have approached </w:t>
      </w:r>
      <w:r w:rsidR="00704623" w:rsidRPr="00CF3D1E">
        <w:rPr>
          <w:lang w:val="en-US"/>
        </w:rPr>
        <w:t xml:space="preserve">the </w:t>
      </w:r>
      <w:r w:rsidR="00930749">
        <w:rPr>
          <w:lang w:val="en-US"/>
        </w:rPr>
        <w:t>issue</w:t>
      </w:r>
      <w:r w:rsidR="00FA4A11" w:rsidRPr="00CF3D1E">
        <w:rPr>
          <w:lang w:val="en-US"/>
        </w:rPr>
        <w:t xml:space="preserve"> of defining a rape myth</w:t>
      </w:r>
      <w:r w:rsidR="00AB180D" w:rsidRPr="00CF3D1E">
        <w:rPr>
          <w:lang w:val="en-US"/>
        </w:rPr>
        <w:t xml:space="preserve">, </w:t>
      </w:r>
      <w:r w:rsidR="00AD0220" w:rsidRPr="00CF3D1E">
        <w:rPr>
          <w:lang w:val="en-US"/>
        </w:rPr>
        <w:t>and</w:t>
      </w:r>
      <w:r w:rsidR="00AB180D" w:rsidRPr="00CF3D1E">
        <w:rPr>
          <w:lang w:val="en-US"/>
        </w:rPr>
        <w:t xml:space="preserve"> how their </w:t>
      </w:r>
      <w:r w:rsidR="00930749">
        <w:rPr>
          <w:lang w:val="en-US"/>
        </w:rPr>
        <w:t>work</w:t>
      </w:r>
      <w:r w:rsidR="00AD0220" w:rsidRPr="00CF3D1E">
        <w:rPr>
          <w:lang w:val="en-US"/>
        </w:rPr>
        <w:t xml:space="preserve"> </w:t>
      </w:r>
      <w:r w:rsidR="00AB180D" w:rsidRPr="00CF3D1E">
        <w:rPr>
          <w:lang w:val="en-US"/>
        </w:rPr>
        <w:t>might</w:t>
      </w:r>
      <w:r w:rsidR="00AD0220" w:rsidRPr="00CF3D1E">
        <w:rPr>
          <w:lang w:val="en-US"/>
        </w:rPr>
        <w:t xml:space="preserve"> </w:t>
      </w:r>
      <w:r w:rsidR="00AB180D" w:rsidRPr="00CF3D1E">
        <w:rPr>
          <w:lang w:val="en-US"/>
        </w:rPr>
        <w:t xml:space="preserve">enable us </w:t>
      </w:r>
      <w:r w:rsidR="00930749" w:rsidRPr="00CF3D1E">
        <w:rPr>
          <w:lang w:val="en-US"/>
        </w:rPr>
        <w:t xml:space="preserve">better </w:t>
      </w:r>
      <w:r w:rsidR="00AB180D" w:rsidRPr="00CF3D1E">
        <w:rPr>
          <w:lang w:val="en-US"/>
        </w:rPr>
        <w:t xml:space="preserve">to </w:t>
      </w:r>
      <w:r w:rsidR="00AD0220" w:rsidRPr="00CF3D1E">
        <w:rPr>
          <w:lang w:val="en-US"/>
        </w:rPr>
        <w:t>analys</w:t>
      </w:r>
      <w:r w:rsidR="00C97987" w:rsidRPr="00CF3D1E">
        <w:rPr>
          <w:lang w:val="en-US"/>
        </w:rPr>
        <w:t>e</w:t>
      </w:r>
      <w:r w:rsidR="00AD0220" w:rsidRPr="00CF3D1E">
        <w:rPr>
          <w:lang w:val="en-US"/>
        </w:rPr>
        <w:t xml:space="preserve"> child death cases.  </w:t>
      </w:r>
    </w:p>
    <w:p w14:paraId="4702E4E7" w14:textId="77777777" w:rsidR="00305C35" w:rsidRPr="00CF3D1E" w:rsidRDefault="00305C35" w:rsidP="005673FC">
      <w:pPr>
        <w:spacing w:line="480" w:lineRule="auto"/>
        <w:jc w:val="both"/>
        <w:rPr>
          <w:bCs/>
          <w:iCs/>
        </w:rPr>
      </w:pPr>
    </w:p>
    <w:p w14:paraId="518C6816" w14:textId="03D41F19" w:rsidR="0004737A" w:rsidRPr="00770982" w:rsidRDefault="004E7176" w:rsidP="005673FC">
      <w:pPr>
        <w:pStyle w:val="BodyText"/>
        <w:spacing w:line="480" w:lineRule="auto"/>
        <w:ind w:left="0"/>
        <w:jc w:val="both"/>
        <w:rPr>
          <w:rFonts w:eastAsia="Calibri"/>
          <w:b/>
        </w:rPr>
      </w:pPr>
      <w:r w:rsidRPr="00770982">
        <w:rPr>
          <w:rFonts w:eastAsia="Calibri"/>
          <w:b/>
        </w:rPr>
        <w:t>R</w:t>
      </w:r>
      <w:r w:rsidR="00FB7275" w:rsidRPr="00770982">
        <w:rPr>
          <w:rFonts w:eastAsia="Calibri"/>
          <w:b/>
        </w:rPr>
        <w:t xml:space="preserve">ape </w:t>
      </w:r>
      <w:r w:rsidRPr="00770982">
        <w:rPr>
          <w:rFonts w:eastAsia="Calibri"/>
          <w:b/>
        </w:rPr>
        <w:t>M</w:t>
      </w:r>
      <w:r w:rsidR="00FB7275" w:rsidRPr="00770982">
        <w:rPr>
          <w:rFonts w:eastAsia="Calibri"/>
          <w:b/>
        </w:rPr>
        <w:t xml:space="preserve">yth </w:t>
      </w:r>
      <w:r w:rsidRPr="00770982">
        <w:rPr>
          <w:rFonts w:eastAsia="Calibri"/>
          <w:b/>
        </w:rPr>
        <w:t>S</w:t>
      </w:r>
      <w:r w:rsidR="00FB7275" w:rsidRPr="00770982">
        <w:rPr>
          <w:rFonts w:eastAsia="Calibri"/>
          <w:b/>
        </w:rPr>
        <w:t>cholarship</w:t>
      </w:r>
    </w:p>
    <w:p w14:paraId="01243AD7" w14:textId="56D23E50" w:rsidR="00DF1B21" w:rsidRPr="00CF3D1E" w:rsidRDefault="008A6370" w:rsidP="005673FC">
      <w:pPr>
        <w:spacing w:line="480" w:lineRule="auto"/>
        <w:jc w:val="both"/>
      </w:pPr>
      <w:r w:rsidRPr="00CF3D1E">
        <w:t xml:space="preserve">The issues </w:t>
      </w:r>
      <w:r w:rsidR="00770982">
        <w:t>raised</w:t>
      </w:r>
      <w:r w:rsidRPr="00CF3D1E">
        <w:t xml:space="preserve"> by </w:t>
      </w:r>
      <w:r w:rsidR="00F563C0" w:rsidRPr="00CF3D1E">
        <w:t xml:space="preserve">unjust </w:t>
      </w:r>
      <w:r w:rsidRPr="00CF3D1E">
        <w:t>interpretations of female rape complainant</w:t>
      </w:r>
      <w:r w:rsidR="00770982">
        <w:t>s’</w:t>
      </w:r>
      <w:r w:rsidRPr="00CF3D1E">
        <w:t xml:space="preserve"> behaviour are considerable and </w:t>
      </w:r>
      <w:r w:rsidR="002271B9" w:rsidRPr="00CF3D1E">
        <w:t>RMS</w:t>
      </w:r>
      <w:r w:rsidR="00BD4C92" w:rsidRPr="00CF3D1E">
        <w:rPr>
          <w:rFonts w:eastAsia="Calibri"/>
        </w:rPr>
        <w:t xml:space="preserve"> </w:t>
      </w:r>
      <w:r w:rsidR="00F563C0" w:rsidRPr="00CF3D1E">
        <w:rPr>
          <w:rFonts w:eastAsia="Calibri"/>
        </w:rPr>
        <w:t xml:space="preserve">has challenged the </w:t>
      </w:r>
      <w:r w:rsidR="00BD4C92" w:rsidRPr="00CF3D1E">
        <w:rPr>
          <w:rFonts w:eastAsia="Calibri"/>
        </w:rPr>
        <w:t xml:space="preserve">relevance of and constructions of </w:t>
      </w:r>
      <w:r w:rsidR="00CE7DC3" w:rsidRPr="00CF3D1E">
        <w:rPr>
          <w:rFonts w:eastAsia="Calibri"/>
        </w:rPr>
        <w:t>behaviour</w:t>
      </w:r>
      <w:r w:rsidR="00BD4C92" w:rsidRPr="00CF3D1E">
        <w:rPr>
          <w:rFonts w:eastAsia="Calibri"/>
        </w:rPr>
        <w:t xml:space="preserve"> evidence in rape and sexual </w:t>
      </w:r>
      <w:r w:rsidR="00BD4C92" w:rsidRPr="00CF3D1E">
        <w:rPr>
          <w:rFonts w:eastAsia="Calibri"/>
        </w:rPr>
        <w:lastRenderedPageBreak/>
        <w:t>as</w:t>
      </w:r>
      <w:r w:rsidR="00770982">
        <w:rPr>
          <w:rFonts w:eastAsia="Calibri"/>
        </w:rPr>
        <w:t xml:space="preserve">sault trials relating to </w:t>
      </w:r>
      <w:r w:rsidR="00BD4C92" w:rsidRPr="00CF3D1E">
        <w:rPr>
          <w:rFonts w:eastAsia="Calibri"/>
        </w:rPr>
        <w:t>sexual history,</w:t>
      </w:r>
      <w:r w:rsidR="00BD4C92" w:rsidRPr="00CF3D1E">
        <w:rPr>
          <w:rFonts w:eastAsia="Calibri"/>
          <w:vertAlign w:val="superscript"/>
        </w:rPr>
        <w:footnoteReference w:id="70"/>
      </w:r>
      <w:r w:rsidR="00BD4C92" w:rsidRPr="00CF3D1E">
        <w:rPr>
          <w:rFonts w:eastAsia="Calibri"/>
        </w:rPr>
        <w:t xml:space="preserve"> dress, alcohol and drug use, time of reporting,</w:t>
      </w:r>
      <w:r w:rsidR="00BD4C92" w:rsidRPr="00CF3D1E">
        <w:rPr>
          <w:rFonts w:eastAsia="Calibri"/>
          <w:vertAlign w:val="superscript"/>
        </w:rPr>
        <w:footnoteReference w:id="71"/>
      </w:r>
      <w:r w:rsidR="00BD4C92" w:rsidRPr="00CF3D1E">
        <w:rPr>
          <w:rFonts w:eastAsia="Calibri"/>
        </w:rPr>
        <w:t xml:space="preserve"> and more recently, personal records.</w:t>
      </w:r>
      <w:r w:rsidR="00BD4C92" w:rsidRPr="00CF3D1E">
        <w:rPr>
          <w:rFonts w:eastAsia="Calibri"/>
          <w:vertAlign w:val="superscript"/>
        </w:rPr>
        <w:footnoteReference w:id="72"/>
      </w:r>
      <w:r w:rsidR="00BD4C92" w:rsidRPr="00CF3D1E">
        <w:rPr>
          <w:rFonts w:eastAsia="Calibri"/>
        </w:rPr>
        <w:t xml:space="preserve"> Complainant behaviours have been subject to interpretation using normative expectations about women’s behaviour and the circumstances of alleged rape, in order to reach conclusions on issues of claimant consent and credibility.</w:t>
      </w:r>
      <w:r w:rsidR="00BD4C92" w:rsidRPr="00CF3D1E">
        <w:rPr>
          <w:rFonts w:eastAsia="Calibri"/>
          <w:vertAlign w:val="superscript"/>
        </w:rPr>
        <w:footnoteReference w:id="73"/>
      </w:r>
      <w:r w:rsidR="00BD4C92" w:rsidRPr="00CF3D1E">
        <w:rPr>
          <w:rFonts w:eastAsia="Calibri"/>
        </w:rPr>
        <w:t xml:space="preserve"> </w:t>
      </w:r>
      <w:r w:rsidR="00CE7DC3" w:rsidRPr="00CF3D1E">
        <w:rPr>
          <w:rFonts w:eastAsia="Calibri"/>
        </w:rPr>
        <w:t>U</w:t>
      </w:r>
      <w:r w:rsidR="00BD4C92" w:rsidRPr="00CF3D1E">
        <w:rPr>
          <w:rFonts w:eastAsia="Calibri"/>
        </w:rPr>
        <w:t>njust acquitt</w:t>
      </w:r>
      <w:r w:rsidR="00770982">
        <w:rPr>
          <w:rFonts w:eastAsia="Calibri"/>
        </w:rPr>
        <w:t>als have been argued to have occurred</w:t>
      </w:r>
      <w:r w:rsidR="00BD4C92" w:rsidRPr="00CF3D1E">
        <w:rPr>
          <w:rFonts w:eastAsia="Calibri"/>
        </w:rPr>
        <w:t xml:space="preserve"> because a complainant’s credibility has been unfairly devalued as a result of the admission of information about </w:t>
      </w:r>
      <w:r w:rsidR="00770982">
        <w:rPr>
          <w:rFonts w:eastAsia="Calibri"/>
        </w:rPr>
        <w:t xml:space="preserve">her </w:t>
      </w:r>
      <w:r w:rsidR="007076C6">
        <w:rPr>
          <w:rFonts w:eastAsia="Calibri"/>
        </w:rPr>
        <w:t>conduct, and it</w:t>
      </w:r>
      <w:r w:rsidR="00BD4C92" w:rsidRPr="00CF3D1E">
        <w:rPr>
          <w:rFonts w:eastAsia="Calibri"/>
        </w:rPr>
        <w:t>s adverse interpretation.</w:t>
      </w:r>
      <w:r w:rsidR="00BD4C92" w:rsidRPr="00CF3D1E">
        <w:rPr>
          <w:rFonts w:eastAsia="Calibri"/>
          <w:vertAlign w:val="superscript"/>
        </w:rPr>
        <w:footnoteReference w:id="74"/>
      </w:r>
      <w:r w:rsidR="00BD4C92" w:rsidRPr="00CF3D1E">
        <w:rPr>
          <w:rFonts w:eastAsia="Calibri"/>
        </w:rPr>
        <w:t xml:space="preserve"> Ellison has suggested that the </w:t>
      </w:r>
      <w:r w:rsidR="00770982">
        <w:rPr>
          <w:rFonts w:eastAsia="Calibri"/>
        </w:rPr>
        <w:t xml:space="preserve">admission </w:t>
      </w:r>
      <w:r w:rsidR="00BD4C92" w:rsidRPr="00CF3D1E">
        <w:rPr>
          <w:rFonts w:eastAsia="Calibri"/>
        </w:rPr>
        <w:t xml:space="preserve">of information </w:t>
      </w:r>
      <w:r w:rsidR="00770982">
        <w:rPr>
          <w:rFonts w:eastAsia="Calibri"/>
        </w:rPr>
        <w:t>about the complainant’s behaviour has</w:t>
      </w:r>
      <w:r w:rsidR="00BD4C92" w:rsidRPr="00CF3D1E">
        <w:rPr>
          <w:rFonts w:eastAsia="Calibri"/>
        </w:rPr>
        <w:t xml:space="preserve"> be</w:t>
      </w:r>
      <w:r w:rsidR="00770982">
        <w:rPr>
          <w:rFonts w:eastAsia="Calibri"/>
        </w:rPr>
        <w:t>en</w:t>
      </w:r>
      <w:r w:rsidR="007076C6">
        <w:rPr>
          <w:rFonts w:eastAsia="Calibri"/>
        </w:rPr>
        <w:t xml:space="preserve"> a function of masculine</w:t>
      </w:r>
      <w:r w:rsidR="00BD4C92" w:rsidRPr="00CF3D1E">
        <w:rPr>
          <w:rFonts w:eastAsia="Calibri"/>
        </w:rPr>
        <w:t xml:space="preserve"> judicial perspectives on questions of relevance,</w:t>
      </w:r>
      <w:r w:rsidR="00BD4C92" w:rsidRPr="00CF3D1E">
        <w:rPr>
          <w:rFonts w:eastAsia="Calibri"/>
          <w:vertAlign w:val="superscript"/>
        </w:rPr>
        <w:footnoteReference w:id="75"/>
      </w:r>
      <w:r w:rsidR="00770982">
        <w:rPr>
          <w:rFonts w:eastAsia="Calibri"/>
        </w:rPr>
        <w:t xml:space="preserve"> which may ‘at best, risk…</w:t>
      </w:r>
      <w:r w:rsidR="00BD4C92" w:rsidRPr="00CF3D1E">
        <w:rPr>
          <w:rFonts w:eastAsia="Calibri"/>
        </w:rPr>
        <w:t>the undervaluing of women’s experience and interests’.</w:t>
      </w:r>
      <w:r w:rsidR="00BD4C92" w:rsidRPr="00CF3D1E">
        <w:rPr>
          <w:rFonts w:eastAsia="Calibri"/>
          <w:vertAlign w:val="superscript"/>
        </w:rPr>
        <w:footnoteReference w:id="76"/>
      </w:r>
      <w:r w:rsidR="00BD4C92" w:rsidRPr="00CF3D1E">
        <w:rPr>
          <w:rFonts w:eastAsia="Calibri"/>
        </w:rPr>
        <w:t xml:space="preserve"> </w:t>
      </w:r>
      <w:r w:rsidR="008F35B4">
        <w:t>The consequence is</w:t>
      </w:r>
      <w:r w:rsidR="00770982">
        <w:t>,</w:t>
      </w:r>
      <w:r w:rsidR="008F35B4">
        <w:t xml:space="preserve"> as</w:t>
      </w:r>
      <w:r w:rsidR="00BD4C92" w:rsidRPr="00CF3D1E">
        <w:t xml:space="preserve"> </w:t>
      </w:r>
      <w:r w:rsidR="009615C2">
        <w:t>Temkin and Krah</w:t>
      </w:r>
      <w:r w:rsidR="00305C35">
        <w:t>é</w:t>
      </w:r>
      <w:r w:rsidR="00DF1B21" w:rsidRPr="00CF3D1E">
        <w:t xml:space="preserve"> have </w:t>
      </w:r>
      <w:r w:rsidR="00BD4C92" w:rsidRPr="00CF3D1E">
        <w:t>argued</w:t>
      </w:r>
      <w:r w:rsidR="00770982">
        <w:t>,</w:t>
      </w:r>
      <w:r w:rsidR="00BD4C92" w:rsidRPr="00CF3D1E">
        <w:t xml:space="preserve"> </w:t>
      </w:r>
      <w:r w:rsidR="00DF1B21" w:rsidRPr="00CF3D1E">
        <w:t xml:space="preserve">that unjust acquittals </w:t>
      </w:r>
      <w:r w:rsidR="00C60D8C" w:rsidRPr="00CF3D1E">
        <w:t>create</w:t>
      </w:r>
      <w:r w:rsidR="00BD4C92" w:rsidRPr="00CF3D1E">
        <w:t xml:space="preserve"> a</w:t>
      </w:r>
      <w:r w:rsidR="00C1116A" w:rsidRPr="00CF3D1E">
        <w:t xml:space="preserve"> justice gap</w:t>
      </w:r>
      <w:r w:rsidR="00C60D8C" w:rsidRPr="00CF3D1E">
        <w:t xml:space="preserve"> </w:t>
      </w:r>
      <w:r w:rsidR="00DF1B21" w:rsidRPr="00CF3D1E">
        <w:t>in the CJS</w:t>
      </w:r>
      <w:r w:rsidR="009615C2">
        <w:t xml:space="preserve"> </w:t>
      </w:r>
      <w:r w:rsidR="00C60D8C" w:rsidRPr="00CF3D1E">
        <w:t xml:space="preserve">generated </w:t>
      </w:r>
      <w:r w:rsidR="00BD4C92" w:rsidRPr="00CF3D1E">
        <w:t>by</w:t>
      </w:r>
      <w:r w:rsidR="00DF1B21" w:rsidRPr="00CF3D1E">
        <w:t xml:space="preserve"> rape myths.</w:t>
      </w:r>
      <w:r w:rsidR="009615C2" w:rsidRPr="00CF3D1E">
        <w:rPr>
          <w:rStyle w:val="FootnoteReference"/>
        </w:rPr>
        <w:footnoteReference w:id="77"/>
      </w:r>
      <w:r w:rsidR="009615C2">
        <w:t xml:space="preserve"> </w:t>
      </w:r>
      <w:r w:rsidR="00886573" w:rsidRPr="00CF3D1E">
        <w:t xml:space="preserve">But, to </w:t>
      </w:r>
      <w:r w:rsidR="00DF1B21" w:rsidRPr="00CF3D1E">
        <w:t xml:space="preserve">prove </w:t>
      </w:r>
      <w:r w:rsidR="00770982">
        <w:t xml:space="preserve">that </w:t>
      </w:r>
      <w:r w:rsidR="00886573" w:rsidRPr="00CF3D1E">
        <w:t>rape complaint attrition and unjust acquittals in rape trials are due to myths</w:t>
      </w:r>
      <w:r w:rsidR="009615C2">
        <w:t xml:space="preserve"> </w:t>
      </w:r>
      <w:r w:rsidR="00770982">
        <w:t xml:space="preserve">– </w:t>
      </w:r>
      <w:r w:rsidR="00886573" w:rsidRPr="00CF3D1E">
        <w:t>‘widely held but false beliefs or ideas’</w:t>
      </w:r>
      <w:r w:rsidR="00886573" w:rsidRPr="00CF3D1E">
        <w:rPr>
          <w:vertAlign w:val="superscript"/>
        </w:rPr>
        <w:footnoteReference w:id="78"/>
      </w:r>
      <w:r w:rsidR="00C1116A" w:rsidRPr="00CF3D1E">
        <w:t xml:space="preserve"> </w:t>
      </w:r>
      <w:r w:rsidR="00770982">
        <w:t xml:space="preserve">– has </w:t>
      </w:r>
      <w:r w:rsidR="00C1116A" w:rsidRPr="00CF3D1E">
        <w:t>been</w:t>
      </w:r>
      <w:r w:rsidR="00DF1B21" w:rsidRPr="00CF3D1E">
        <w:t xml:space="preserve"> problematic</w:t>
      </w:r>
      <w:r w:rsidR="00C1116A" w:rsidRPr="00CF3D1E">
        <w:t>al</w:t>
      </w:r>
      <w:r w:rsidR="009615C2">
        <w:t>.</w:t>
      </w:r>
      <w:r w:rsidR="000F5CB5" w:rsidRPr="00CF3D1E">
        <w:t xml:space="preserve"> </w:t>
      </w:r>
      <w:r w:rsidR="009615C2">
        <w:t>It</w:t>
      </w:r>
      <w:r w:rsidR="000F5CB5" w:rsidRPr="00CF3D1E">
        <w:t xml:space="preserve"> </w:t>
      </w:r>
      <w:r w:rsidR="003304F7" w:rsidRPr="00CF3D1E">
        <w:t>is</w:t>
      </w:r>
      <w:r w:rsidR="000F5CB5" w:rsidRPr="00CF3D1E">
        <w:t xml:space="preserve"> </w:t>
      </w:r>
      <w:r w:rsidR="003304F7" w:rsidRPr="00CF3D1E">
        <w:t>likely that the same may hold true</w:t>
      </w:r>
      <w:r w:rsidR="009615C2">
        <w:t xml:space="preserve"> if without more, </w:t>
      </w:r>
      <w:r w:rsidR="00236BCE">
        <w:t xml:space="preserve">we were </w:t>
      </w:r>
      <w:r w:rsidR="009615C2">
        <w:t>to say that wrongful convictions in child death cases were caused by</w:t>
      </w:r>
      <w:r w:rsidR="00EB1F7E">
        <w:t xml:space="preserve"> hidden factors, underlying assumptions, discourses of motherin</w:t>
      </w:r>
      <w:r w:rsidR="00316867">
        <w:t>g</w:t>
      </w:r>
      <w:r w:rsidR="00EB1F7E">
        <w:t xml:space="preserve"> or even </w:t>
      </w:r>
      <w:r w:rsidR="009615C2" w:rsidRPr="00316867">
        <w:t>mothering myths.</w:t>
      </w:r>
      <w:r w:rsidR="009615C2">
        <w:t xml:space="preserve"> </w:t>
      </w:r>
    </w:p>
    <w:p w14:paraId="262C4022" w14:textId="77777777" w:rsidR="00847F42" w:rsidRDefault="00847F42">
      <w:pPr>
        <w:spacing w:after="0" w:line="240" w:lineRule="auto"/>
        <w:rPr>
          <w:b/>
          <w:i/>
        </w:rPr>
      </w:pPr>
    </w:p>
    <w:p w14:paraId="3B72537B" w14:textId="77777777" w:rsidR="00847F42" w:rsidRDefault="001C52B3" w:rsidP="00847F42">
      <w:pPr>
        <w:pStyle w:val="BodyText"/>
        <w:spacing w:line="480" w:lineRule="auto"/>
        <w:ind w:left="0"/>
        <w:jc w:val="both"/>
        <w:rPr>
          <w:b/>
          <w:i/>
        </w:rPr>
      </w:pPr>
      <w:r w:rsidRPr="001E59F5">
        <w:rPr>
          <w:b/>
          <w:i/>
        </w:rPr>
        <w:t xml:space="preserve">Issues in </w:t>
      </w:r>
      <w:r w:rsidR="00BD69DC">
        <w:rPr>
          <w:b/>
          <w:i/>
        </w:rPr>
        <w:t>definition, linkage and f</w:t>
      </w:r>
      <w:r w:rsidRPr="001E59F5">
        <w:rPr>
          <w:b/>
          <w:i/>
        </w:rPr>
        <w:t>unction</w:t>
      </w:r>
      <w:r w:rsidR="000F5CB5" w:rsidRPr="001E59F5">
        <w:rPr>
          <w:b/>
          <w:i/>
        </w:rPr>
        <w:t>ality</w:t>
      </w:r>
      <w:r w:rsidR="00BD4C92" w:rsidRPr="001E59F5">
        <w:rPr>
          <w:b/>
          <w:i/>
        </w:rPr>
        <w:t xml:space="preserve"> of </w:t>
      </w:r>
      <w:r w:rsidR="00BD69DC">
        <w:rPr>
          <w:b/>
          <w:i/>
        </w:rPr>
        <w:t>id</w:t>
      </w:r>
      <w:r w:rsidR="00BD4C92" w:rsidRPr="001E59F5">
        <w:rPr>
          <w:b/>
          <w:i/>
        </w:rPr>
        <w:t xml:space="preserve">eas about </w:t>
      </w:r>
      <w:r w:rsidR="00BD69DC">
        <w:rPr>
          <w:b/>
          <w:i/>
        </w:rPr>
        <w:t>r</w:t>
      </w:r>
      <w:r w:rsidR="00BD4C92" w:rsidRPr="001E59F5">
        <w:rPr>
          <w:b/>
          <w:i/>
        </w:rPr>
        <w:t>ape.</w:t>
      </w:r>
      <w:r w:rsidRPr="001E59F5">
        <w:rPr>
          <w:b/>
          <w:i/>
        </w:rPr>
        <w:t xml:space="preserve"> </w:t>
      </w:r>
    </w:p>
    <w:p w14:paraId="6437A425" w14:textId="2525EFEE" w:rsidR="00CE2FF5" w:rsidRPr="00847F42" w:rsidRDefault="002271B9" w:rsidP="00847F42">
      <w:pPr>
        <w:pStyle w:val="BodyText"/>
        <w:spacing w:after="200" w:line="480" w:lineRule="auto"/>
        <w:ind w:left="0"/>
        <w:jc w:val="both"/>
        <w:rPr>
          <w:b/>
          <w:i/>
        </w:rPr>
      </w:pPr>
      <w:r w:rsidRPr="00CF3D1E">
        <w:rPr>
          <w:rFonts w:eastAsia="Calibri"/>
        </w:rPr>
        <w:t xml:space="preserve">The </w:t>
      </w:r>
      <w:r w:rsidR="000F5CB5" w:rsidRPr="00CF3D1E">
        <w:rPr>
          <w:rFonts w:eastAsia="Calibri"/>
        </w:rPr>
        <w:t xml:space="preserve">definitional </w:t>
      </w:r>
      <w:r w:rsidRPr="00CF3D1E">
        <w:rPr>
          <w:rFonts w:eastAsia="Calibri"/>
        </w:rPr>
        <w:t>difficulties encountered in RMS</w:t>
      </w:r>
      <w:r w:rsidR="00C60D8C" w:rsidRPr="00CF3D1E">
        <w:rPr>
          <w:rFonts w:eastAsia="Calibri"/>
        </w:rPr>
        <w:t xml:space="preserve"> </w:t>
      </w:r>
      <w:r w:rsidR="00236BCE">
        <w:rPr>
          <w:rFonts w:eastAsia="Calibri"/>
        </w:rPr>
        <w:t xml:space="preserve">have been considerable; they </w:t>
      </w:r>
      <w:r w:rsidRPr="00CF3D1E">
        <w:rPr>
          <w:rFonts w:eastAsia="Calibri"/>
        </w:rPr>
        <w:t xml:space="preserve">include </w:t>
      </w:r>
      <w:r w:rsidR="00C60D8C" w:rsidRPr="00CF3D1E">
        <w:rPr>
          <w:rFonts w:eastAsia="Calibri"/>
        </w:rPr>
        <w:t xml:space="preserve">determining </w:t>
      </w:r>
      <w:r w:rsidR="00E06F40" w:rsidRPr="00CF3D1E">
        <w:rPr>
          <w:rFonts w:eastAsia="Calibri"/>
        </w:rPr>
        <w:lastRenderedPageBreak/>
        <w:t>function</w:t>
      </w:r>
      <w:r w:rsidR="00C60D8C" w:rsidRPr="00CF3D1E">
        <w:rPr>
          <w:rFonts w:eastAsia="Calibri"/>
        </w:rPr>
        <w:t>ality</w:t>
      </w:r>
      <w:r w:rsidR="00E06F40" w:rsidRPr="00CF3D1E">
        <w:rPr>
          <w:rFonts w:eastAsia="Calibri"/>
        </w:rPr>
        <w:t>,</w:t>
      </w:r>
      <w:r w:rsidR="00E06F40" w:rsidRPr="00CF3D1E">
        <w:rPr>
          <w:rFonts w:eastAsia="Calibri"/>
          <w:vertAlign w:val="superscript"/>
        </w:rPr>
        <w:footnoteReference w:id="79"/>
      </w:r>
      <w:r w:rsidR="00E06F40" w:rsidRPr="00CF3D1E">
        <w:rPr>
          <w:rFonts w:eastAsia="Calibri"/>
        </w:rPr>
        <w:t xml:space="preserve"> achieving agreement on who believes rape myths</w:t>
      </w:r>
      <w:r w:rsidR="00C60D8C" w:rsidRPr="00CF3D1E">
        <w:rPr>
          <w:rFonts w:eastAsia="Calibri"/>
          <w:vertAlign w:val="superscript"/>
        </w:rPr>
        <w:footnoteReference w:id="80"/>
      </w:r>
      <w:r w:rsidR="00C60D8C" w:rsidRPr="00CF3D1E">
        <w:rPr>
          <w:rFonts w:eastAsia="Calibri"/>
        </w:rPr>
        <w:t xml:space="preserve"> </w:t>
      </w:r>
      <w:r w:rsidR="00DA4F5C">
        <w:rPr>
          <w:rFonts w:eastAsia="Calibri"/>
        </w:rPr>
        <w:t>and</w:t>
      </w:r>
      <w:r w:rsidRPr="00CF3D1E">
        <w:rPr>
          <w:rFonts w:eastAsia="Calibri"/>
        </w:rPr>
        <w:t xml:space="preserve"> how many people accept them</w:t>
      </w:r>
      <w:r w:rsidR="00DA4F5C">
        <w:rPr>
          <w:rFonts w:eastAsia="Calibri"/>
        </w:rPr>
        <w:t>;</w:t>
      </w:r>
      <w:r w:rsidRPr="00CF3D1E">
        <w:rPr>
          <w:rFonts w:eastAsia="Calibri"/>
        </w:rPr>
        <w:t xml:space="preserve"> </w:t>
      </w:r>
      <w:r w:rsidR="00E06F40" w:rsidRPr="00CF3D1E">
        <w:rPr>
          <w:rFonts w:eastAsia="Calibri"/>
        </w:rPr>
        <w:t xml:space="preserve">whether they function as feared, </w:t>
      </w:r>
      <w:r w:rsidRPr="00CF3D1E">
        <w:rPr>
          <w:rFonts w:eastAsia="Calibri"/>
        </w:rPr>
        <w:t>i.e.</w:t>
      </w:r>
      <w:r w:rsidR="00644B56">
        <w:rPr>
          <w:rFonts w:eastAsia="Calibri"/>
        </w:rPr>
        <w:t xml:space="preserve"> </w:t>
      </w:r>
      <w:r w:rsidRPr="00CF3D1E">
        <w:rPr>
          <w:rFonts w:eastAsia="Calibri"/>
        </w:rPr>
        <w:t>lead</w:t>
      </w:r>
      <w:r w:rsidR="00644B56">
        <w:rPr>
          <w:rFonts w:eastAsia="Calibri"/>
        </w:rPr>
        <w:t>ing</w:t>
      </w:r>
      <w:r w:rsidRPr="00CF3D1E">
        <w:rPr>
          <w:rFonts w:eastAsia="Calibri"/>
        </w:rPr>
        <w:t xml:space="preserve"> to adverse decision making</w:t>
      </w:r>
      <w:r w:rsidR="00644B56">
        <w:rPr>
          <w:rFonts w:eastAsia="Calibri"/>
        </w:rPr>
        <w:t>;</w:t>
      </w:r>
      <w:r w:rsidRPr="00CF3D1E">
        <w:rPr>
          <w:rFonts w:eastAsia="Calibri"/>
        </w:rPr>
        <w:t xml:space="preserve"> and</w:t>
      </w:r>
      <w:r w:rsidR="00E06F40" w:rsidRPr="00CF3D1E">
        <w:rPr>
          <w:rFonts w:eastAsia="Calibri"/>
        </w:rPr>
        <w:t xml:space="preserve"> </w:t>
      </w:r>
      <w:r w:rsidRPr="00CF3D1E">
        <w:rPr>
          <w:rFonts w:eastAsia="Calibri"/>
        </w:rPr>
        <w:t xml:space="preserve">if they </w:t>
      </w:r>
      <w:r w:rsidR="00E06F40" w:rsidRPr="00CF3D1E">
        <w:rPr>
          <w:rFonts w:eastAsia="Calibri"/>
        </w:rPr>
        <w:t>even exist</w:t>
      </w:r>
      <w:r w:rsidR="00C60D8C" w:rsidRPr="00CF3D1E">
        <w:rPr>
          <w:rFonts w:eastAsia="Calibri"/>
        </w:rPr>
        <w:t>.</w:t>
      </w:r>
      <w:r w:rsidR="00C60D8C" w:rsidRPr="00CF3D1E">
        <w:rPr>
          <w:rFonts w:eastAsia="Calibri"/>
          <w:vertAlign w:val="superscript"/>
        </w:rPr>
        <w:footnoteReference w:id="81"/>
      </w:r>
      <w:r w:rsidR="00C60D8C" w:rsidRPr="00CF3D1E">
        <w:rPr>
          <w:rFonts w:eastAsia="Calibri"/>
        </w:rPr>
        <w:t xml:space="preserve">  </w:t>
      </w:r>
      <w:r w:rsidR="00E06F40" w:rsidRPr="00CF3D1E">
        <w:rPr>
          <w:rFonts w:eastAsia="Calibri"/>
        </w:rPr>
        <w:t>Burt</w:t>
      </w:r>
      <w:r w:rsidR="00754776" w:rsidRPr="00CF3D1E">
        <w:rPr>
          <w:rFonts w:eastAsia="Calibri"/>
        </w:rPr>
        <w:t xml:space="preserve"> </w:t>
      </w:r>
      <w:r w:rsidR="00816177" w:rsidRPr="00CF3D1E">
        <w:rPr>
          <w:rFonts w:eastAsia="Calibri"/>
        </w:rPr>
        <w:t xml:space="preserve">first </w:t>
      </w:r>
      <w:r w:rsidR="00754776" w:rsidRPr="00CF3D1E">
        <w:rPr>
          <w:rFonts w:eastAsia="Calibri"/>
        </w:rPr>
        <w:t xml:space="preserve">coined the </w:t>
      </w:r>
      <w:r w:rsidR="00EB1F7E">
        <w:rPr>
          <w:rFonts w:eastAsia="Calibri"/>
        </w:rPr>
        <w:t xml:space="preserve"> term</w:t>
      </w:r>
      <w:r w:rsidR="000F5CB5" w:rsidRPr="00CF3D1E">
        <w:rPr>
          <w:rFonts w:eastAsia="Calibri"/>
        </w:rPr>
        <w:t xml:space="preserve"> </w:t>
      </w:r>
      <w:r w:rsidR="00E06F40" w:rsidRPr="00EB1F7E">
        <w:rPr>
          <w:rFonts w:eastAsia="Calibri"/>
          <w:i/>
        </w:rPr>
        <w:t>rape myths</w:t>
      </w:r>
      <w:r w:rsidR="00644B56">
        <w:rPr>
          <w:rFonts w:eastAsia="Calibri"/>
        </w:rPr>
        <w:t xml:space="preserve"> to describe</w:t>
      </w:r>
      <w:r w:rsidR="00E06F40" w:rsidRPr="00CF3D1E">
        <w:rPr>
          <w:rFonts w:eastAsia="Calibri"/>
        </w:rPr>
        <w:t xml:space="preserve"> ‘prejudicial, stereotyped, or false beliefs about rape, rape victims and rapists’</w:t>
      </w:r>
      <w:r w:rsidR="00644B56">
        <w:rPr>
          <w:rFonts w:eastAsia="Calibri"/>
        </w:rPr>
        <w:t>.</w:t>
      </w:r>
      <w:r w:rsidR="00E06F40" w:rsidRPr="00CF3D1E">
        <w:rPr>
          <w:rFonts w:eastAsia="Calibri"/>
          <w:vertAlign w:val="superscript"/>
        </w:rPr>
        <w:footnoteReference w:id="82"/>
      </w:r>
      <w:r w:rsidR="00E06F40" w:rsidRPr="00CF3D1E">
        <w:rPr>
          <w:rFonts w:eastAsia="Calibri"/>
        </w:rPr>
        <w:t xml:space="preserve"> </w:t>
      </w:r>
      <w:r w:rsidR="00D83B19">
        <w:rPr>
          <w:rFonts w:eastAsia="Calibri"/>
        </w:rPr>
        <w:t xml:space="preserve">These </w:t>
      </w:r>
      <w:r w:rsidR="00D83B19">
        <w:t>beliefs included</w:t>
      </w:r>
      <w:r w:rsidR="008F35B4">
        <w:t>:</w:t>
      </w:r>
      <w:r w:rsidR="00D83B19">
        <w:t xml:space="preserve"> ‘</w:t>
      </w:r>
      <w:r w:rsidR="00886573" w:rsidRPr="00CF3D1E">
        <w:t>“only bad girls get raped”; “any healthy woman can resist a rapist if she really wants t</w:t>
      </w:r>
      <w:r w:rsidR="00D83B19">
        <w:t>o”; “women ask for it”; “women ‘cry rape’</w:t>
      </w:r>
      <w:r w:rsidR="00886573" w:rsidRPr="00CF3D1E">
        <w:t xml:space="preserve"> only when they've been jilted or have something to cover up”; “rapists are sex-starved, insane, or both”’.</w:t>
      </w:r>
      <w:r w:rsidR="00886573" w:rsidRPr="00CF3D1E">
        <w:rPr>
          <w:vertAlign w:val="superscript"/>
        </w:rPr>
        <w:footnoteReference w:id="83"/>
      </w:r>
      <w:r w:rsidR="00886573" w:rsidRPr="00CF3D1E">
        <w:t xml:space="preserve"> </w:t>
      </w:r>
      <w:r w:rsidR="000F5CB5" w:rsidRPr="00CF3D1E">
        <w:t xml:space="preserve">Burt identified </w:t>
      </w:r>
      <w:r w:rsidRPr="00CF3D1E">
        <w:t xml:space="preserve">that </w:t>
      </w:r>
      <w:r w:rsidR="00F563C0" w:rsidRPr="00CF3D1E">
        <w:t>such</w:t>
      </w:r>
      <w:r w:rsidR="00886573" w:rsidRPr="00CF3D1E">
        <w:t xml:space="preserve"> beliefs </w:t>
      </w:r>
      <w:r w:rsidRPr="00CF3D1E">
        <w:t xml:space="preserve">were </w:t>
      </w:r>
      <w:r w:rsidR="00886573" w:rsidRPr="00CF3D1E">
        <w:t>linked to beliefs justifying sexual violence.</w:t>
      </w:r>
      <w:r w:rsidR="00886573" w:rsidRPr="00CF3D1E">
        <w:rPr>
          <w:rStyle w:val="FootnoteReference"/>
        </w:rPr>
        <w:footnoteReference w:id="84"/>
      </w:r>
      <w:r w:rsidR="00886573" w:rsidRPr="00CF3D1E">
        <w:t xml:space="preserve"> In seeking to</w:t>
      </w:r>
      <w:r w:rsidRPr="00CF3D1E">
        <w:t xml:space="preserve"> </w:t>
      </w:r>
      <w:r w:rsidR="00886573" w:rsidRPr="00CF3D1E">
        <w:t>define rape myths</w:t>
      </w:r>
      <w:r w:rsidR="000F5CB5" w:rsidRPr="00CF3D1E">
        <w:t>,</w:t>
      </w:r>
      <w:r w:rsidR="00886573" w:rsidRPr="00CF3D1E">
        <w:t xml:space="preserve"> Burt</w:t>
      </w:r>
      <w:r w:rsidR="007024FA" w:rsidRPr="00CF3D1E">
        <w:t xml:space="preserve"> conducted a</w:t>
      </w:r>
      <w:r w:rsidR="00886573" w:rsidRPr="00CF3D1E">
        <w:t xml:space="preserve"> regression analysis of interview data </w:t>
      </w:r>
      <w:r w:rsidR="007024FA" w:rsidRPr="00CF3D1E">
        <w:t>to question whether</w:t>
      </w:r>
      <w:r w:rsidR="00886573" w:rsidRPr="00CF3D1E">
        <w:t xml:space="preserve"> ‘settled ways of thinking or feeling’ about rape or </w:t>
      </w:r>
      <w:r w:rsidR="00886573" w:rsidRPr="00CF3D1E">
        <w:rPr>
          <w:i/>
        </w:rPr>
        <w:t>rape attitudes</w:t>
      </w:r>
      <w:r w:rsidR="00886573" w:rsidRPr="00CF3D1E">
        <w:t xml:space="preserve">, were ‘strongly connected to other deeply held and pervasive </w:t>
      </w:r>
      <w:r w:rsidR="00754776" w:rsidRPr="00CF3D1E">
        <w:t>viewpoints</w:t>
      </w:r>
      <w:r w:rsidR="00886573" w:rsidRPr="00CF3D1E">
        <w:t xml:space="preserve"> such as sex role stereotyping, distrust of the opposite sex (adversarial sexual beliefs), and acceptance of interpersonal violence’.</w:t>
      </w:r>
      <w:r w:rsidR="00886573" w:rsidRPr="00CF3D1E">
        <w:rPr>
          <w:rStyle w:val="FootnoteReference"/>
        </w:rPr>
        <w:footnoteReference w:id="85"/>
      </w:r>
      <w:r w:rsidR="00886573" w:rsidRPr="00CF3D1E">
        <w:t xml:space="preserve"> Burt’s </w:t>
      </w:r>
      <w:r w:rsidR="007024FA" w:rsidRPr="00CF3D1E">
        <w:t xml:space="preserve">pioneering </w:t>
      </w:r>
      <w:r w:rsidR="00886573" w:rsidRPr="00CF3D1E">
        <w:t xml:space="preserve">work </w:t>
      </w:r>
      <w:r w:rsidR="007024FA" w:rsidRPr="00CF3D1E">
        <w:t xml:space="preserve">in developing </w:t>
      </w:r>
      <w:r w:rsidR="00886573" w:rsidRPr="00CF3D1E">
        <w:t xml:space="preserve">Rape Myth Acceptance (RMA) scales </w:t>
      </w:r>
      <w:r w:rsidR="007024FA" w:rsidRPr="00CF3D1E">
        <w:t>demonstrated</w:t>
      </w:r>
      <w:r w:rsidR="00886573" w:rsidRPr="00CF3D1E">
        <w:t xml:space="preserve"> the </w:t>
      </w:r>
      <w:r w:rsidR="00830B77" w:rsidRPr="00CF3D1E">
        <w:t xml:space="preserve">broad </w:t>
      </w:r>
      <w:r w:rsidR="00886573" w:rsidRPr="00CF3D1E">
        <w:t>extent to which such beliefs were held</w:t>
      </w:r>
      <w:r w:rsidR="000F5CB5" w:rsidRPr="00CF3D1E">
        <w:t xml:space="preserve"> and that they</w:t>
      </w:r>
      <w:r w:rsidR="00886573" w:rsidRPr="00CF3D1E">
        <w:t xml:space="preserve"> fulfilled cultural functions by endorsing other gendered ideas.</w:t>
      </w:r>
      <w:r w:rsidR="007024FA" w:rsidRPr="00CF3D1E">
        <w:t xml:space="preserve"> </w:t>
      </w:r>
    </w:p>
    <w:p w14:paraId="61C17CDD" w14:textId="5D3958F5" w:rsidR="00886573" w:rsidRPr="00CF3D1E" w:rsidRDefault="000F5CB5" w:rsidP="005673FC">
      <w:pPr>
        <w:spacing w:line="480" w:lineRule="auto"/>
        <w:jc w:val="both"/>
      </w:pPr>
      <w:r w:rsidRPr="00CF3D1E">
        <w:t xml:space="preserve">Building on Burt’s foundational work, </w:t>
      </w:r>
      <w:r w:rsidR="00886573" w:rsidRPr="00CF3D1E">
        <w:t>Lonsway and Fitzgerald</w:t>
      </w:r>
      <w:r w:rsidR="00CE2FF5" w:rsidRPr="00CF3D1E">
        <w:t xml:space="preserve"> review</w:t>
      </w:r>
      <w:r w:rsidRPr="00CF3D1E">
        <w:t>ed</w:t>
      </w:r>
      <w:r w:rsidR="00CE2FF5" w:rsidRPr="00CF3D1E">
        <w:t xml:space="preserve"> </w:t>
      </w:r>
      <w:r w:rsidRPr="00CF3D1E">
        <w:t>the</w:t>
      </w:r>
      <w:r w:rsidR="00CE2FF5" w:rsidRPr="00CF3D1E">
        <w:t xml:space="preserve"> literature </w:t>
      </w:r>
      <w:r w:rsidRPr="00CF3D1E">
        <w:t xml:space="preserve">and </w:t>
      </w:r>
      <w:r w:rsidR="00993082" w:rsidRPr="00CF3D1E">
        <w:t>also</w:t>
      </w:r>
      <w:r w:rsidR="00886573" w:rsidRPr="00CF3D1E">
        <w:t xml:space="preserve"> found </w:t>
      </w:r>
      <w:r w:rsidR="00654284" w:rsidRPr="00CF3D1E">
        <w:t xml:space="preserve">difficulty in </w:t>
      </w:r>
      <w:r w:rsidRPr="00CF3D1E">
        <w:t xml:space="preserve">clearly </w:t>
      </w:r>
      <w:r w:rsidR="00654284" w:rsidRPr="00CF3D1E">
        <w:t>defining rape myths</w:t>
      </w:r>
      <w:r w:rsidRPr="00CF3D1E">
        <w:t xml:space="preserve">, because of </w:t>
      </w:r>
      <w:r w:rsidR="00654284" w:rsidRPr="00CF3D1E">
        <w:t>belief interconnect</w:t>
      </w:r>
      <w:r w:rsidRPr="00CF3D1E">
        <w:t>ions</w:t>
      </w:r>
      <w:r w:rsidR="00654284" w:rsidRPr="00CF3D1E">
        <w:t xml:space="preserve"> and </w:t>
      </w:r>
      <w:r w:rsidRPr="00CF3D1E">
        <w:t xml:space="preserve">unexpected </w:t>
      </w:r>
      <w:r w:rsidR="00654284" w:rsidRPr="00CF3D1E">
        <w:lastRenderedPageBreak/>
        <w:t xml:space="preserve">functionality </w:t>
      </w:r>
      <w:r w:rsidRPr="00CF3D1E">
        <w:t>for those making</w:t>
      </w:r>
      <w:r w:rsidR="00654284" w:rsidRPr="00CF3D1E">
        <w:t xml:space="preserve"> decisions in criminal trials.</w:t>
      </w:r>
      <w:r w:rsidR="00886573" w:rsidRPr="00CF3D1E">
        <w:rPr>
          <w:vertAlign w:val="superscript"/>
        </w:rPr>
        <w:footnoteReference w:id="86"/>
      </w:r>
      <w:r w:rsidR="00886573" w:rsidRPr="00CF3D1E">
        <w:t xml:space="preserve"> RMA </w:t>
      </w:r>
      <w:r w:rsidRPr="00CF3D1E">
        <w:t xml:space="preserve">they found, </w:t>
      </w:r>
      <w:r w:rsidR="00886573" w:rsidRPr="00CF3D1E">
        <w:t>ha</w:t>
      </w:r>
      <w:r w:rsidR="00654284" w:rsidRPr="00CF3D1E">
        <w:t>d</w:t>
      </w:r>
      <w:r w:rsidR="00886573" w:rsidRPr="00CF3D1E">
        <w:t xml:space="preserve"> at its core gender, traditional sex role attitudes, negative attitudes towards women, and a likelihood of raping.</w:t>
      </w:r>
      <w:r w:rsidR="00886573" w:rsidRPr="00CF3D1E">
        <w:rPr>
          <w:vertAlign w:val="superscript"/>
        </w:rPr>
        <w:footnoteReference w:id="87"/>
      </w:r>
      <w:r w:rsidR="00886573" w:rsidRPr="00CF3D1E">
        <w:t xml:space="preserve"> </w:t>
      </w:r>
      <w:r w:rsidR="00CE2FF5" w:rsidRPr="00CF3D1E">
        <w:t xml:space="preserve">They concluded, that </w:t>
      </w:r>
      <w:r w:rsidR="00886573" w:rsidRPr="00CF3D1E">
        <w:t>‘Such a configuration conveys a powerful message about how RMA relates to other beliefs about women in our society’.</w:t>
      </w:r>
      <w:r w:rsidR="00886573" w:rsidRPr="00CF3D1E">
        <w:rPr>
          <w:vertAlign w:val="superscript"/>
        </w:rPr>
        <w:footnoteReference w:id="88"/>
      </w:r>
      <w:r w:rsidR="007076C6">
        <w:t xml:space="preserve"> Lonsway and Fitzgerald</w:t>
      </w:r>
      <w:r w:rsidR="00886573" w:rsidRPr="00CF3D1E">
        <w:t xml:space="preserve"> </w:t>
      </w:r>
      <w:r w:rsidR="00CE2FF5" w:rsidRPr="00CF3D1E">
        <w:t xml:space="preserve">proposed </w:t>
      </w:r>
      <w:r w:rsidR="00886573" w:rsidRPr="00CF3D1E">
        <w:t xml:space="preserve">that </w:t>
      </w:r>
      <w:r w:rsidRPr="00CF3D1E">
        <w:t xml:space="preserve">rape myths </w:t>
      </w:r>
      <w:r w:rsidR="00CE2FF5" w:rsidRPr="00CF3D1E">
        <w:t>could be</w:t>
      </w:r>
      <w:r w:rsidR="00886573" w:rsidRPr="00CF3D1E">
        <w:t xml:space="preserve"> characterised as ‘false or apocryphal beliefs that are widely held’; they explain some important cultural phenomenon; and they serve to justify existing cultural arrangements’.</w:t>
      </w:r>
      <w:r w:rsidR="00886573" w:rsidRPr="00CF3D1E">
        <w:rPr>
          <w:vertAlign w:val="superscript"/>
        </w:rPr>
        <w:footnoteReference w:id="89"/>
      </w:r>
      <w:r w:rsidR="00886573" w:rsidRPr="00CF3D1E">
        <w:t xml:space="preserve"> Nevertheless, </w:t>
      </w:r>
      <w:r w:rsidR="00654284" w:rsidRPr="00CF3D1E">
        <w:t>because of</w:t>
      </w:r>
      <w:r w:rsidR="00886573" w:rsidRPr="00CF3D1E">
        <w:t xml:space="preserve"> the identification of the interrelatedness with sexist attitudes, defining a rape myth was </w:t>
      </w:r>
      <w:r w:rsidR="001B2DF1" w:rsidRPr="00CF3D1E">
        <w:t>difficult</w:t>
      </w:r>
      <w:r w:rsidR="00886573" w:rsidRPr="00CF3D1E">
        <w:t xml:space="preserve"> because of the ‘lack of any comprehensive articulation of the domain of rape myths’.</w:t>
      </w:r>
      <w:r w:rsidR="00886573" w:rsidRPr="00CF3D1E">
        <w:rPr>
          <w:vertAlign w:val="superscript"/>
        </w:rPr>
        <w:footnoteReference w:id="90"/>
      </w:r>
      <w:r w:rsidR="00886573" w:rsidRPr="00CF3D1E">
        <w:t xml:space="preserve"> </w:t>
      </w:r>
      <w:r w:rsidR="00830B77" w:rsidRPr="00CF3D1E">
        <w:t>Q</w:t>
      </w:r>
      <w:r w:rsidR="00392D79" w:rsidRPr="00CF3D1E">
        <w:t xml:space="preserve">uestionnaire </w:t>
      </w:r>
      <w:r w:rsidR="00886573" w:rsidRPr="00CF3D1E">
        <w:t>scales seeking to measure RMA were</w:t>
      </w:r>
      <w:r w:rsidR="002937CF">
        <w:t>,</w:t>
      </w:r>
      <w:r w:rsidR="00886573" w:rsidRPr="00CF3D1E">
        <w:t xml:space="preserve"> </w:t>
      </w:r>
      <w:r w:rsidR="00830B77" w:rsidRPr="00CF3D1E">
        <w:t>Lonsway</w:t>
      </w:r>
      <w:r w:rsidR="00886573" w:rsidRPr="00CF3D1E">
        <w:t xml:space="preserve"> </w:t>
      </w:r>
      <w:r w:rsidR="002937CF">
        <w:t xml:space="preserve">and Fitzgerald </w:t>
      </w:r>
      <w:r w:rsidR="00886573" w:rsidRPr="00CF3D1E">
        <w:t>suggested</w:t>
      </w:r>
      <w:r w:rsidR="002937CF">
        <w:t>, unreliable</w:t>
      </w:r>
      <w:r w:rsidR="00886573" w:rsidRPr="00CF3D1E">
        <w:t xml:space="preserve"> because different studies </w:t>
      </w:r>
      <w:r w:rsidR="001B2DF1" w:rsidRPr="00CF3D1E">
        <w:t xml:space="preserve">had </w:t>
      </w:r>
      <w:r w:rsidR="00886573" w:rsidRPr="00CF3D1E">
        <w:t xml:space="preserve">used different scales of questions to identify acceptance (or not) of </w:t>
      </w:r>
      <w:r w:rsidR="001B2DF1" w:rsidRPr="00CF3D1E">
        <w:t>particular beliefs.</w:t>
      </w:r>
      <w:r w:rsidR="00886573" w:rsidRPr="00CF3D1E">
        <w:rPr>
          <w:vertAlign w:val="superscript"/>
        </w:rPr>
        <w:footnoteReference w:id="91"/>
      </w:r>
      <w:r w:rsidR="00886573" w:rsidRPr="00CF3D1E">
        <w:t xml:space="preserve"> Lonsway and Fitzgerald</w:t>
      </w:r>
      <w:r w:rsidR="001B2DF1" w:rsidRPr="00CF3D1E">
        <w:t xml:space="preserve"> sought to take </w:t>
      </w:r>
      <w:r w:rsidR="00886573" w:rsidRPr="00CF3D1E">
        <w:t>into account the arguments for interconnectedness and functionality, proposing that ‘Rape myths are attitudes and beliefs that are generally false but are widely and persistently held, and that serve to deny and justify male sexual aggression against women’.</w:t>
      </w:r>
      <w:r w:rsidR="00886573" w:rsidRPr="00CF3D1E">
        <w:rPr>
          <w:vertAlign w:val="superscript"/>
        </w:rPr>
        <w:footnoteReference w:id="92"/>
      </w:r>
      <w:r w:rsidR="00886573" w:rsidRPr="00CF3D1E">
        <w:t xml:space="preserve"> The</w:t>
      </w:r>
      <w:r w:rsidR="00CE2FF5" w:rsidRPr="00CF3D1E">
        <w:t>ir</w:t>
      </w:r>
      <w:r w:rsidR="00886573" w:rsidRPr="00CF3D1E">
        <w:t xml:space="preserve"> findings echo Burt’s in that rape myths could be expressed as rape supportive beliefs</w:t>
      </w:r>
      <w:r w:rsidR="00CE2FF5" w:rsidRPr="00CF3D1E">
        <w:t>.</w:t>
      </w:r>
      <w:r w:rsidR="00886573" w:rsidRPr="00CF3D1E">
        <w:rPr>
          <w:vertAlign w:val="superscript"/>
        </w:rPr>
        <w:footnoteReference w:id="93"/>
      </w:r>
      <w:r w:rsidR="00886573" w:rsidRPr="00CF3D1E">
        <w:t xml:space="preserve"> </w:t>
      </w:r>
    </w:p>
    <w:p w14:paraId="601534CF" w14:textId="6161F3B0" w:rsidR="00654284" w:rsidRPr="00CF3D1E" w:rsidRDefault="00886573" w:rsidP="005673FC">
      <w:pPr>
        <w:spacing w:line="480" w:lineRule="auto"/>
        <w:jc w:val="both"/>
      </w:pPr>
      <w:r w:rsidRPr="00CF3D1E">
        <w:t>Gerger et al</w:t>
      </w:r>
      <w:r w:rsidR="005A6F90">
        <w:t>.</w:t>
      </w:r>
      <w:r w:rsidRPr="00CF3D1E">
        <w:t xml:space="preserve"> </w:t>
      </w:r>
      <w:r w:rsidR="00F21A45" w:rsidRPr="00CF3D1E">
        <w:t>drew on the insights of</w:t>
      </w:r>
      <w:r w:rsidRPr="00CF3D1E">
        <w:t xml:space="preserve"> previous studies in </w:t>
      </w:r>
      <w:r w:rsidR="00654284" w:rsidRPr="00CF3D1E">
        <w:t>a later</w:t>
      </w:r>
      <w:r w:rsidR="00CE2FF5" w:rsidRPr="00CF3D1E">
        <w:t xml:space="preserve"> r</w:t>
      </w:r>
      <w:r w:rsidRPr="00CF3D1E">
        <w:t xml:space="preserve">eview of RMA literature seeking to </w:t>
      </w:r>
      <w:r w:rsidR="00392D79" w:rsidRPr="00CF3D1E">
        <w:t xml:space="preserve"> define</w:t>
      </w:r>
      <w:r w:rsidRPr="00CF3D1E">
        <w:t xml:space="preserve"> </w:t>
      </w:r>
      <w:r w:rsidR="001B2DF1" w:rsidRPr="00CF3D1E">
        <w:t xml:space="preserve">beliefs as </w:t>
      </w:r>
      <w:r w:rsidRPr="00CF3D1E">
        <w:t xml:space="preserve">rape myths </w:t>
      </w:r>
      <w:r w:rsidR="00392D79" w:rsidRPr="00CF3D1E">
        <w:t xml:space="preserve">and </w:t>
      </w:r>
      <w:r w:rsidR="001B2DF1" w:rsidRPr="00CF3D1E">
        <w:t xml:space="preserve">to </w:t>
      </w:r>
      <w:r w:rsidR="00392D79" w:rsidRPr="00CF3D1E">
        <w:t xml:space="preserve">measure </w:t>
      </w:r>
      <w:r w:rsidR="00F21A45" w:rsidRPr="00CF3D1E">
        <w:t>RMA</w:t>
      </w:r>
      <w:r w:rsidR="00392D79" w:rsidRPr="00CF3D1E">
        <w:t>.</w:t>
      </w:r>
      <w:r w:rsidRPr="00CF3D1E">
        <w:rPr>
          <w:vertAlign w:val="superscript"/>
        </w:rPr>
        <w:footnoteReference w:id="94"/>
      </w:r>
      <w:r w:rsidRPr="00CF3D1E">
        <w:t xml:space="preserve"> Despite agreement with the general usefulness of an RMA </w:t>
      </w:r>
      <w:r w:rsidR="00392D79" w:rsidRPr="00CF3D1E">
        <w:t xml:space="preserve">measurement or </w:t>
      </w:r>
      <w:r w:rsidRPr="00CF3D1E">
        <w:t>construct</w:t>
      </w:r>
      <w:r w:rsidR="008F35B4">
        <w:t>,</w:t>
      </w:r>
      <w:r w:rsidR="00654284" w:rsidRPr="00CF3D1E">
        <w:t xml:space="preserve"> this study</w:t>
      </w:r>
      <w:r w:rsidRPr="00CF3D1E">
        <w:t xml:space="preserve"> </w:t>
      </w:r>
      <w:r w:rsidR="00392D79" w:rsidRPr="00CF3D1E">
        <w:t xml:space="preserve">concurred with Lonsway </w:t>
      </w:r>
      <w:r w:rsidR="005A6F90">
        <w:t>and Fitzgerald</w:t>
      </w:r>
      <w:r w:rsidR="00392D79" w:rsidRPr="00CF3D1E">
        <w:t xml:space="preserve"> that </w:t>
      </w:r>
      <w:r w:rsidRPr="00CF3D1E">
        <w:t>most scales produced skewed results</w:t>
      </w:r>
      <w:r w:rsidR="00392D79" w:rsidRPr="00CF3D1E">
        <w:t xml:space="preserve"> </w:t>
      </w:r>
      <w:r w:rsidRPr="00CF3D1E">
        <w:t>as a result of methodological approaches</w:t>
      </w:r>
      <w:r w:rsidR="00392D79" w:rsidRPr="00CF3D1E">
        <w:t>.</w:t>
      </w:r>
      <w:r w:rsidR="00392D79" w:rsidRPr="00CF3D1E">
        <w:rPr>
          <w:vertAlign w:val="superscript"/>
        </w:rPr>
        <w:footnoteReference w:id="95"/>
      </w:r>
      <w:r w:rsidR="00392D79" w:rsidRPr="00CF3D1E">
        <w:t xml:space="preserve"> </w:t>
      </w:r>
      <w:r w:rsidRPr="00CF3D1E">
        <w:t xml:space="preserve"> </w:t>
      </w:r>
      <w:r w:rsidR="00392D79" w:rsidRPr="00CF3D1E">
        <w:t>Gerger et al</w:t>
      </w:r>
      <w:r w:rsidR="005A6F90">
        <w:t>.</w:t>
      </w:r>
      <w:r w:rsidRPr="00CF3D1E">
        <w:t xml:space="preserve"> develop</w:t>
      </w:r>
      <w:r w:rsidR="00392D79" w:rsidRPr="00CF3D1E">
        <w:t>ed</w:t>
      </w:r>
      <w:r w:rsidRPr="00CF3D1E">
        <w:t xml:space="preserve"> a new </w:t>
      </w:r>
      <w:r w:rsidR="00392D79" w:rsidRPr="00CF3D1E">
        <w:t>questionnaire they denoted the A</w:t>
      </w:r>
      <w:r w:rsidRPr="00CF3D1E">
        <w:t xml:space="preserve">cceptance of </w:t>
      </w:r>
      <w:r w:rsidR="00392D79" w:rsidRPr="00CF3D1E">
        <w:t>M</w:t>
      </w:r>
      <w:r w:rsidRPr="00CF3D1E">
        <w:t xml:space="preserve">odern </w:t>
      </w:r>
      <w:r w:rsidR="00392D79" w:rsidRPr="00CF3D1E">
        <w:t>M</w:t>
      </w:r>
      <w:r w:rsidRPr="00CF3D1E">
        <w:t xml:space="preserve">yths about </w:t>
      </w:r>
      <w:r w:rsidR="00392D79" w:rsidRPr="00CF3D1E">
        <w:t>S</w:t>
      </w:r>
      <w:r w:rsidRPr="00CF3D1E">
        <w:t xml:space="preserve">exual </w:t>
      </w:r>
      <w:r w:rsidR="00392D79" w:rsidRPr="00CF3D1E">
        <w:t>A</w:t>
      </w:r>
      <w:r w:rsidRPr="00CF3D1E">
        <w:t>ggression</w:t>
      </w:r>
      <w:r w:rsidR="005A6F90">
        <w:t xml:space="preserve"> scale</w:t>
      </w:r>
      <w:r w:rsidR="00392D79" w:rsidRPr="00CF3D1E">
        <w:t xml:space="preserve"> </w:t>
      </w:r>
      <w:r w:rsidR="00392D79" w:rsidRPr="00CF3D1E">
        <w:lastRenderedPageBreak/>
        <w:t>(AMMSA).</w:t>
      </w:r>
      <w:r w:rsidRPr="00CF3D1E">
        <w:rPr>
          <w:vertAlign w:val="superscript"/>
        </w:rPr>
        <w:footnoteReference w:id="96"/>
      </w:r>
      <w:r w:rsidRPr="00CF3D1E">
        <w:t xml:space="preserve"> The reasoning behind the creation of AMMSA was to take account of more recent research </w:t>
      </w:r>
      <w:r w:rsidR="00DA0A77" w:rsidRPr="00CF3D1E">
        <w:t>for example by Swim et al</w:t>
      </w:r>
      <w:r w:rsidR="005A6F90">
        <w:t>.</w:t>
      </w:r>
      <w:r w:rsidR="00DA0A77" w:rsidRPr="00CF3D1E">
        <w:t xml:space="preserve"> </w:t>
      </w:r>
      <w:r w:rsidRPr="00CF3D1E">
        <w:t>into modern sexism and racism</w:t>
      </w:r>
      <w:r w:rsidR="00BB2B71" w:rsidRPr="00CF3D1E">
        <w:t>,</w:t>
      </w:r>
      <w:r w:rsidR="00DA0A77" w:rsidRPr="00CF3D1E">
        <w:rPr>
          <w:rStyle w:val="FootnoteReference"/>
        </w:rPr>
        <w:footnoteReference w:id="97"/>
      </w:r>
      <w:r w:rsidRPr="00CF3D1E">
        <w:t xml:space="preserve"> </w:t>
      </w:r>
      <w:r w:rsidR="00BB2B71" w:rsidRPr="00CF3D1E">
        <w:t>which argued for</w:t>
      </w:r>
      <w:r w:rsidRPr="00CF3D1E">
        <w:t xml:space="preserve"> a greater degree of subtlety about scale question content area</w:t>
      </w:r>
      <w:r w:rsidR="00BB2B71" w:rsidRPr="00CF3D1E">
        <w:t>s</w:t>
      </w:r>
      <w:r w:rsidRPr="00CF3D1E">
        <w:t>.</w:t>
      </w:r>
      <w:r w:rsidRPr="00CF3D1E">
        <w:rPr>
          <w:vertAlign w:val="superscript"/>
        </w:rPr>
        <w:footnoteReference w:id="98"/>
      </w:r>
      <w:r w:rsidRPr="00CF3D1E">
        <w:t xml:space="preserve"> </w:t>
      </w:r>
      <w:r w:rsidR="00DA0A77" w:rsidRPr="00CF3D1E">
        <w:t xml:space="preserve">This </w:t>
      </w:r>
      <w:r w:rsidR="00BB2B71" w:rsidRPr="00CF3D1E">
        <w:t xml:space="preserve">they suggested </w:t>
      </w:r>
      <w:r w:rsidR="00DA0A77" w:rsidRPr="00CF3D1E">
        <w:t xml:space="preserve">was because of widespread </w:t>
      </w:r>
      <w:r w:rsidR="00BB2B71" w:rsidRPr="00CF3D1E">
        <w:t xml:space="preserve">and </w:t>
      </w:r>
      <w:r w:rsidR="00DA0A77" w:rsidRPr="00CF3D1E">
        <w:t>institutional denial</w:t>
      </w:r>
      <w:r w:rsidR="00BB2B71" w:rsidRPr="00CF3D1E">
        <w:t>s</w:t>
      </w:r>
      <w:r w:rsidR="00DA0A77" w:rsidRPr="00CF3D1E">
        <w:t xml:space="preserve"> that discrimination against women, their needs and demands still occurred.</w:t>
      </w:r>
      <w:r w:rsidR="00DA0A77" w:rsidRPr="00CF3D1E">
        <w:rPr>
          <w:rStyle w:val="FootnoteReference"/>
        </w:rPr>
        <w:footnoteReference w:id="99"/>
      </w:r>
      <w:r w:rsidR="00DA0A77" w:rsidRPr="00CF3D1E">
        <w:t xml:space="preserve"> Gerger et al</w:t>
      </w:r>
      <w:r w:rsidR="005A6F90">
        <w:t>.</w:t>
      </w:r>
      <w:r w:rsidR="00DA0A77" w:rsidRPr="00CF3D1E">
        <w:t xml:space="preserve"> concluded that t</w:t>
      </w:r>
      <w:r w:rsidRPr="00CF3D1E">
        <w:t>he AMMSA scale incorporating more nuanced versions or modern myths</w:t>
      </w:r>
      <w:r w:rsidR="001B2DF1" w:rsidRPr="00CF3D1E">
        <w:t>,</w:t>
      </w:r>
      <w:r w:rsidRPr="00CF3D1E">
        <w:t xml:space="preserve"> was found to be both reliable and consistent</w:t>
      </w:r>
      <w:r w:rsidR="00DA0A77" w:rsidRPr="00CF3D1E">
        <w:t>.</w:t>
      </w:r>
      <w:r w:rsidRPr="00CF3D1E">
        <w:rPr>
          <w:vertAlign w:val="superscript"/>
        </w:rPr>
        <w:footnoteReference w:id="100"/>
      </w:r>
      <w:r w:rsidRPr="00CF3D1E">
        <w:t xml:space="preserve"> </w:t>
      </w:r>
      <w:r w:rsidR="005A6F90">
        <w:t>But</w:t>
      </w:r>
      <w:r w:rsidR="00DA0A77" w:rsidRPr="00CF3D1E">
        <w:t xml:space="preserve"> </w:t>
      </w:r>
      <w:r w:rsidR="000946C4" w:rsidRPr="00CF3D1E">
        <w:t>they</w:t>
      </w:r>
      <w:r w:rsidRPr="00CF3D1E">
        <w:t xml:space="preserve"> note</w:t>
      </w:r>
      <w:r w:rsidR="00DA0A77" w:rsidRPr="00CF3D1E">
        <w:t>d</w:t>
      </w:r>
      <w:r w:rsidRPr="00CF3D1E">
        <w:t xml:space="preserve"> that the</w:t>
      </w:r>
      <w:r w:rsidR="00BB2B71" w:rsidRPr="00CF3D1E">
        <w:t>ir own</w:t>
      </w:r>
      <w:r w:rsidRPr="00CF3D1E">
        <w:t xml:space="preserve"> studies were </w:t>
      </w:r>
      <w:r w:rsidR="00830B77" w:rsidRPr="00CF3D1E">
        <w:t xml:space="preserve">also </w:t>
      </w:r>
      <w:r w:rsidRPr="00CF3D1E">
        <w:t>limited</w:t>
      </w:r>
      <w:r w:rsidR="00830B77" w:rsidRPr="00CF3D1E">
        <w:t xml:space="preserve"> </w:t>
      </w:r>
      <w:r w:rsidRPr="00CF3D1E">
        <w:t>by sampling methodologies.</w:t>
      </w:r>
      <w:r w:rsidRPr="00CF3D1E">
        <w:rPr>
          <w:vertAlign w:val="superscript"/>
        </w:rPr>
        <w:footnoteReference w:id="101"/>
      </w:r>
      <w:r w:rsidRPr="00CF3D1E">
        <w:t xml:space="preserve"> </w:t>
      </w:r>
    </w:p>
    <w:p w14:paraId="12F639AB" w14:textId="11F3762A" w:rsidR="00886573" w:rsidRPr="00CF3D1E" w:rsidRDefault="001C52B3" w:rsidP="005673FC">
      <w:pPr>
        <w:spacing w:line="480" w:lineRule="auto"/>
        <w:jc w:val="both"/>
      </w:pPr>
      <w:r w:rsidRPr="00CF3D1E">
        <w:t>When</w:t>
      </w:r>
      <w:r w:rsidR="000946C4" w:rsidRPr="00CF3D1E">
        <w:t xml:space="preserve"> </w:t>
      </w:r>
      <w:r w:rsidR="00886573" w:rsidRPr="00CF3D1E">
        <w:t xml:space="preserve">rape myth functionality was explored </w:t>
      </w:r>
      <w:r w:rsidR="00DA0A77" w:rsidRPr="00CF3D1E">
        <w:t>by Gerger et al</w:t>
      </w:r>
      <w:r w:rsidR="005A6F90">
        <w:t>.</w:t>
      </w:r>
      <w:r w:rsidR="00DA0A77" w:rsidRPr="00CF3D1E">
        <w:t xml:space="preserve">, </w:t>
      </w:r>
      <w:r w:rsidR="000946C4" w:rsidRPr="00CF3D1E">
        <w:t xml:space="preserve">they concurred with </w:t>
      </w:r>
      <w:r w:rsidR="00886573" w:rsidRPr="00CF3D1E">
        <w:t>Burt’s work on cultural functionality</w:t>
      </w:r>
      <w:r w:rsidR="00886573" w:rsidRPr="00CF3D1E">
        <w:rPr>
          <w:rStyle w:val="FootnoteReference"/>
        </w:rPr>
        <w:footnoteReference w:id="102"/>
      </w:r>
      <w:r w:rsidR="00886573" w:rsidRPr="00CF3D1E">
        <w:t xml:space="preserve"> </w:t>
      </w:r>
      <w:r w:rsidR="000946C4" w:rsidRPr="00CF3D1E">
        <w:t xml:space="preserve">that </w:t>
      </w:r>
      <w:r w:rsidR="00886573" w:rsidRPr="00CF3D1E">
        <w:t xml:space="preserve">RMA may </w:t>
      </w:r>
      <w:r w:rsidR="00DA0A77" w:rsidRPr="00CF3D1E">
        <w:t>have meaning</w:t>
      </w:r>
      <w:r w:rsidR="00886573" w:rsidRPr="00CF3D1E">
        <w:t xml:space="preserve"> for </w:t>
      </w:r>
      <w:r w:rsidR="00DA0A77" w:rsidRPr="00CF3D1E">
        <w:t xml:space="preserve">both </w:t>
      </w:r>
      <w:r w:rsidR="00886573" w:rsidRPr="00CF3D1E">
        <w:t>women as well as men, whereby RMA ‘allows women to reduce their subjective vulnerability to sexual assault and protect their self-esteem’.</w:t>
      </w:r>
      <w:r w:rsidR="00886573" w:rsidRPr="00CF3D1E">
        <w:rPr>
          <w:vertAlign w:val="superscript"/>
        </w:rPr>
        <w:footnoteReference w:id="103"/>
      </w:r>
      <w:r w:rsidR="00886573" w:rsidRPr="00CF3D1E">
        <w:t xml:space="preserve"> </w:t>
      </w:r>
      <w:r w:rsidR="005440C7" w:rsidRPr="00CF3D1E">
        <w:t>So,</w:t>
      </w:r>
      <w:r w:rsidR="000946C4" w:rsidRPr="00CF3D1E">
        <w:t xml:space="preserve"> some women believe that if they do not dress revealingly in public and do not go out </w:t>
      </w:r>
      <w:r w:rsidR="005A6F90">
        <w:t>alone</w:t>
      </w:r>
      <w:r w:rsidR="00BB2B71" w:rsidRPr="00CF3D1E">
        <w:t xml:space="preserve"> </w:t>
      </w:r>
      <w:r w:rsidR="005A6F90">
        <w:t>late at night they will not</w:t>
      </w:r>
      <w:r w:rsidR="000946C4" w:rsidRPr="00CF3D1E">
        <w:t xml:space="preserve"> be assaulted. </w:t>
      </w:r>
      <w:r w:rsidR="00276BD7" w:rsidRPr="00CF3D1E">
        <w:t xml:space="preserve">That of course is a false belief, but functionally the </w:t>
      </w:r>
      <w:r w:rsidR="001B2DF1" w:rsidRPr="00CF3D1E">
        <w:t>belief</w:t>
      </w:r>
      <w:r w:rsidR="00276BD7" w:rsidRPr="00CF3D1E">
        <w:t xml:space="preserve"> serves a purpose in </w:t>
      </w:r>
      <w:r w:rsidR="00BB2B71" w:rsidRPr="00CF3D1E">
        <w:t xml:space="preserve">(wrongly) </w:t>
      </w:r>
      <w:r w:rsidR="00276BD7" w:rsidRPr="00CF3D1E">
        <w:t>allaying female fear</w:t>
      </w:r>
      <w:r w:rsidR="005440C7" w:rsidRPr="00CF3D1E">
        <w:t>s</w:t>
      </w:r>
      <w:r w:rsidR="00BB2B71" w:rsidRPr="00CF3D1E">
        <w:rPr>
          <w:rStyle w:val="FootnoteReference"/>
        </w:rPr>
        <w:footnoteReference w:id="104"/>
      </w:r>
      <w:r w:rsidR="005440C7" w:rsidRPr="00CF3D1E">
        <w:t xml:space="preserve"> and providing a platform </w:t>
      </w:r>
      <w:r w:rsidR="00E22848" w:rsidRPr="00CF3D1E">
        <w:t>for some</w:t>
      </w:r>
      <w:r w:rsidR="005440C7" w:rsidRPr="00CF3D1E">
        <w:t xml:space="preserve"> to judge others</w:t>
      </w:r>
      <w:r w:rsidR="001B2DF1" w:rsidRPr="00CF3D1E">
        <w:t xml:space="preserve">, and is therefore a rape myth. </w:t>
      </w:r>
      <w:r w:rsidR="005440C7" w:rsidRPr="00CF3D1E">
        <w:t xml:space="preserve"> </w:t>
      </w:r>
    </w:p>
    <w:p w14:paraId="6CBB6A7A" w14:textId="508C6E01" w:rsidR="00531716" w:rsidRPr="00CF3D1E" w:rsidRDefault="007E05E7" w:rsidP="005673FC">
      <w:pPr>
        <w:spacing w:line="480" w:lineRule="auto"/>
        <w:jc w:val="both"/>
      </w:pPr>
      <w:r w:rsidRPr="00CF3D1E">
        <w:lastRenderedPageBreak/>
        <w:t>C</w:t>
      </w:r>
      <w:r w:rsidR="00F12C67" w:rsidRPr="00CF3D1E">
        <w:t>ontroversially</w:t>
      </w:r>
      <w:r w:rsidR="001B2DF1" w:rsidRPr="00CF3D1E">
        <w:t xml:space="preserve"> however</w:t>
      </w:r>
      <w:r w:rsidR="00F12C67" w:rsidRPr="00CF3D1E">
        <w:t xml:space="preserve">, arguments </w:t>
      </w:r>
      <w:r w:rsidR="00A36FB3" w:rsidRPr="00CF3D1E">
        <w:t>for the existence of</w:t>
      </w:r>
      <w:r w:rsidR="00F12C67" w:rsidRPr="00CF3D1E">
        <w:t xml:space="preserve"> rape myths </w:t>
      </w:r>
      <w:r w:rsidR="00531716" w:rsidRPr="00CF3D1E">
        <w:t>have been considered to be overstated</w:t>
      </w:r>
      <w:r w:rsidR="00F12C67" w:rsidRPr="00CF3D1E">
        <w:rPr>
          <w:vertAlign w:val="superscript"/>
        </w:rPr>
        <w:footnoteReference w:id="105"/>
      </w:r>
      <w:r w:rsidR="00F12C67" w:rsidRPr="00CF3D1E">
        <w:t xml:space="preserve"> </w:t>
      </w:r>
      <w:r w:rsidR="005A6F90">
        <w:t>as an explanation for</w:t>
      </w:r>
      <w:r w:rsidR="00F12C67" w:rsidRPr="00CF3D1E">
        <w:t xml:space="preserve"> the ‘justice gap’</w:t>
      </w:r>
      <w:r w:rsidR="005A6F90">
        <w:t xml:space="preserve"> in rape cases</w:t>
      </w:r>
      <w:r w:rsidR="00F12C67" w:rsidRPr="00CF3D1E">
        <w:t>.</w:t>
      </w:r>
      <w:r w:rsidR="00F12C67" w:rsidRPr="00CF3D1E">
        <w:rPr>
          <w:vertAlign w:val="superscript"/>
        </w:rPr>
        <w:footnoteReference w:id="106"/>
      </w:r>
      <w:r w:rsidR="00F12C67" w:rsidRPr="00CF3D1E">
        <w:t xml:space="preserve"> Reece </w:t>
      </w:r>
      <w:r w:rsidR="00A36FB3" w:rsidRPr="00CF3D1E">
        <w:t xml:space="preserve">in particular </w:t>
      </w:r>
      <w:r w:rsidR="00F12C67" w:rsidRPr="00CF3D1E">
        <w:t>criticised Gerger et al</w:t>
      </w:r>
      <w:r w:rsidR="005A6F90">
        <w:t>.</w:t>
      </w:r>
      <w:r w:rsidR="00F12C67" w:rsidRPr="00CF3D1E">
        <w:t>’s work</w:t>
      </w:r>
      <w:r w:rsidR="00A36FB3" w:rsidRPr="00CF3D1E">
        <w:t xml:space="preserve"> </w:t>
      </w:r>
      <w:r w:rsidR="00531716" w:rsidRPr="00CF3D1E">
        <w:t>by arguing</w:t>
      </w:r>
      <w:r w:rsidR="00F12C67" w:rsidRPr="00CF3D1E">
        <w:t xml:space="preserve"> that ‘some attitudes are not myths</w:t>
      </w:r>
      <w:r w:rsidR="00531716" w:rsidRPr="00CF3D1E">
        <w:t>…</w:t>
      </w:r>
      <w:r w:rsidR="00F12C67" w:rsidRPr="00CF3D1E">
        <w:t>not all the myths are about rape and there is little evidence that the rape myths are widespread’</w:t>
      </w:r>
      <w:r w:rsidR="00531716" w:rsidRPr="00CF3D1E">
        <w:t>.</w:t>
      </w:r>
      <w:r w:rsidR="00531716" w:rsidRPr="00CF3D1E">
        <w:rPr>
          <w:vertAlign w:val="superscript"/>
        </w:rPr>
        <w:footnoteReference w:id="107"/>
      </w:r>
      <w:r w:rsidR="00F12C67" w:rsidRPr="00CF3D1E">
        <w:t xml:space="preserve"> </w:t>
      </w:r>
      <w:r w:rsidRPr="00CF3D1E">
        <w:t xml:space="preserve"> </w:t>
      </w:r>
      <w:r w:rsidR="00F12C67" w:rsidRPr="00CF3D1E">
        <w:t xml:space="preserve">Her </w:t>
      </w:r>
      <w:r w:rsidRPr="00CF3D1E">
        <w:t>paper</w:t>
      </w:r>
      <w:r w:rsidR="00F12C67" w:rsidRPr="00CF3D1E">
        <w:t xml:space="preserve"> and later public lecture questioning the existence and nature of rape myths and how they are identified and measured prompted heated debate.</w:t>
      </w:r>
      <w:r w:rsidR="00F12C67" w:rsidRPr="00CF3D1E">
        <w:rPr>
          <w:rStyle w:val="FootnoteReference"/>
        </w:rPr>
        <w:footnoteReference w:id="108"/>
      </w:r>
      <w:r w:rsidR="00F12C67" w:rsidRPr="00CF3D1E">
        <w:t xml:space="preserve"> </w:t>
      </w:r>
      <w:r w:rsidR="00531716" w:rsidRPr="00CF3D1E">
        <w:t xml:space="preserve">I cannot do justice here either to Reece or her critics. My point is that the progress of </w:t>
      </w:r>
      <w:r w:rsidR="00816177" w:rsidRPr="00CF3D1E">
        <w:t>RMS</w:t>
      </w:r>
      <w:r w:rsidR="00531716" w:rsidRPr="00CF3D1E">
        <w:t xml:space="preserve"> in seeking to </w:t>
      </w:r>
      <w:r w:rsidR="00816177" w:rsidRPr="00CF3D1E">
        <w:t>demonstrate that</w:t>
      </w:r>
      <w:r w:rsidR="00531716" w:rsidRPr="00CF3D1E">
        <w:t xml:space="preserve"> </w:t>
      </w:r>
      <w:r w:rsidR="00816177" w:rsidRPr="00CF3D1E">
        <w:t xml:space="preserve">particular </w:t>
      </w:r>
      <w:r w:rsidR="00531716" w:rsidRPr="00CF3D1E">
        <w:t>beliefs a</w:t>
      </w:r>
      <w:r w:rsidR="00816177" w:rsidRPr="00CF3D1E">
        <w:t>re</w:t>
      </w:r>
      <w:r w:rsidR="00531716" w:rsidRPr="00CF3D1E">
        <w:t xml:space="preserve"> myths </w:t>
      </w:r>
      <w:r w:rsidRPr="00CF3D1E">
        <w:t>is</w:t>
      </w:r>
      <w:r w:rsidR="00531716" w:rsidRPr="00CF3D1E">
        <w:t xml:space="preserve"> </w:t>
      </w:r>
      <w:r w:rsidR="001F5D28" w:rsidRPr="00CF3D1E">
        <w:t xml:space="preserve">not </w:t>
      </w:r>
      <w:r w:rsidR="00531716" w:rsidRPr="00CF3D1E">
        <w:t>straightforward. RMA or AMMSA may be demonstrable to some extent but beliefs may change in content, become more nuanced, be connected with other gendered ideas and be functional for some</w:t>
      </w:r>
      <w:r w:rsidRPr="00CF3D1E">
        <w:t>,</w:t>
      </w:r>
      <w:r w:rsidR="00531716" w:rsidRPr="00CF3D1E">
        <w:t xml:space="preserve"> and true for others.</w:t>
      </w:r>
      <w:r w:rsidR="00531716" w:rsidRPr="00CF3D1E">
        <w:rPr>
          <w:vertAlign w:val="superscript"/>
        </w:rPr>
        <w:footnoteReference w:id="109"/>
      </w:r>
    </w:p>
    <w:p w14:paraId="4C0CFA1A" w14:textId="71F8C7BC" w:rsidR="00C6767D" w:rsidRPr="00CF3D1E" w:rsidRDefault="005E46D0" w:rsidP="005673FC">
      <w:pPr>
        <w:spacing w:line="480" w:lineRule="auto"/>
        <w:jc w:val="both"/>
      </w:pPr>
      <w:r w:rsidRPr="00CF3D1E">
        <w:t xml:space="preserve">It is also possible that </w:t>
      </w:r>
      <w:r w:rsidR="00414005" w:rsidRPr="00CF3D1E">
        <w:t xml:space="preserve">the </w:t>
      </w:r>
      <w:r w:rsidR="001F5D28" w:rsidRPr="00CF3D1E">
        <w:t xml:space="preserve">difficulties </w:t>
      </w:r>
      <w:r w:rsidR="001B2DF1" w:rsidRPr="00CF3D1E">
        <w:t xml:space="preserve">encountered </w:t>
      </w:r>
      <w:r w:rsidR="001F5D28" w:rsidRPr="00CF3D1E">
        <w:t>are caused by the</w:t>
      </w:r>
      <w:r w:rsidR="007E05E7" w:rsidRPr="00CF3D1E">
        <w:t xml:space="preserve"> language we use to</w:t>
      </w:r>
      <w:r w:rsidR="00531716" w:rsidRPr="00CF3D1E">
        <w:t xml:space="preserve"> define the beliefs </w:t>
      </w:r>
      <w:r w:rsidR="00BB2B48" w:rsidRPr="00CF3D1E">
        <w:t xml:space="preserve">that </w:t>
      </w:r>
      <w:r w:rsidR="00531716" w:rsidRPr="00CF3D1E">
        <w:t xml:space="preserve">many find so </w:t>
      </w:r>
      <w:r w:rsidR="001B2DF1" w:rsidRPr="00CF3D1E">
        <w:t>wrong</w:t>
      </w:r>
      <w:r w:rsidR="001305E9" w:rsidRPr="00CF3D1E">
        <w:t xml:space="preserve"> and</w:t>
      </w:r>
      <w:r w:rsidR="007E05E7" w:rsidRPr="00CF3D1E">
        <w:t xml:space="preserve"> that</w:t>
      </w:r>
      <w:r w:rsidR="00414005" w:rsidRPr="00CF3D1E">
        <w:t xml:space="preserve"> the word</w:t>
      </w:r>
      <w:r w:rsidR="00531716" w:rsidRPr="00CF3D1E">
        <w:t xml:space="preserve"> </w:t>
      </w:r>
      <w:r w:rsidR="00531716" w:rsidRPr="00CF3D1E">
        <w:rPr>
          <w:i/>
        </w:rPr>
        <w:t>myth</w:t>
      </w:r>
      <w:r w:rsidR="00531716" w:rsidRPr="00CF3D1E">
        <w:t xml:space="preserve"> </w:t>
      </w:r>
      <w:r w:rsidR="00816177" w:rsidRPr="00CF3D1E">
        <w:t xml:space="preserve">itself creates problems. </w:t>
      </w:r>
      <w:r w:rsidR="00531716" w:rsidRPr="00CF3D1E">
        <w:t xml:space="preserve">RMS has more recently adopted the word </w:t>
      </w:r>
      <w:r w:rsidR="00531716" w:rsidRPr="00CF3D1E">
        <w:rPr>
          <w:i/>
        </w:rPr>
        <w:t>attitude</w:t>
      </w:r>
      <w:r w:rsidR="00531716" w:rsidRPr="00CF3D1E">
        <w:t>, ‘a settled way of thinking or feeling about something’</w:t>
      </w:r>
      <w:r w:rsidR="00970324">
        <w:t>,</w:t>
      </w:r>
      <w:r w:rsidR="00531716" w:rsidRPr="00CF3D1E">
        <w:rPr>
          <w:vertAlign w:val="superscript"/>
        </w:rPr>
        <w:footnoteReference w:id="110"/>
      </w:r>
      <w:r w:rsidR="00531716" w:rsidRPr="00CF3D1E">
        <w:t xml:space="preserve"> as </w:t>
      </w:r>
      <w:r w:rsidR="00BB2B48" w:rsidRPr="00CF3D1E">
        <w:t xml:space="preserve">in: </w:t>
      </w:r>
      <w:r w:rsidR="00531716" w:rsidRPr="00CF3D1E">
        <w:t>‘rape supportive attitudes’.</w:t>
      </w:r>
      <w:r w:rsidR="00531716" w:rsidRPr="00CF3D1E">
        <w:rPr>
          <w:vertAlign w:val="superscript"/>
        </w:rPr>
        <w:footnoteReference w:id="111"/>
      </w:r>
      <w:r w:rsidR="00531716" w:rsidRPr="00CF3D1E">
        <w:t xml:space="preserve"> The word </w:t>
      </w:r>
      <w:r w:rsidR="00414005" w:rsidRPr="00CF3D1E">
        <w:t xml:space="preserve">is acquiring greater purchase perhaps because it </w:t>
      </w:r>
      <w:r w:rsidR="00531716" w:rsidRPr="00CF3D1E">
        <w:t xml:space="preserve">is </w:t>
      </w:r>
      <w:r w:rsidR="00414005" w:rsidRPr="00CF3D1E">
        <w:t xml:space="preserve">less </w:t>
      </w:r>
      <w:r w:rsidR="007E05E7" w:rsidRPr="00CF3D1E">
        <w:t xml:space="preserve">hostile </w:t>
      </w:r>
      <w:r w:rsidR="00531716" w:rsidRPr="00CF3D1E">
        <w:t xml:space="preserve">than </w:t>
      </w:r>
      <w:r w:rsidR="00BB2B48" w:rsidRPr="00CF3D1E">
        <w:t>the word</w:t>
      </w:r>
      <w:r w:rsidR="00531716" w:rsidRPr="00CF3D1E">
        <w:t xml:space="preserve"> myth</w:t>
      </w:r>
      <w:r w:rsidR="001B3F84">
        <w:t xml:space="preserve"> can be</w:t>
      </w:r>
      <w:r w:rsidR="00414005" w:rsidRPr="00CF3D1E">
        <w:t xml:space="preserve">. Indeed </w:t>
      </w:r>
      <w:r w:rsidR="00531716" w:rsidRPr="00CF3D1E">
        <w:t>Bu</w:t>
      </w:r>
      <w:r w:rsidR="00970324">
        <w:t>rt</w:t>
      </w:r>
      <w:r w:rsidR="00531716" w:rsidRPr="00CF3D1E">
        <w:t xml:space="preserve"> suggested rape supportive attitudes were connected to other gendered and questionable attitudes,</w:t>
      </w:r>
      <w:r w:rsidR="00531716" w:rsidRPr="00CF3D1E">
        <w:rPr>
          <w:vertAlign w:val="superscript"/>
        </w:rPr>
        <w:footnoteReference w:id="112"/>
      </w:r>
      <w:r w:rsidR="00531716" w:rsidRPr="00CF3D1E">
        <w:t xml:space="preserve"> as did Lonsway and Fitzgerald.</w:t>
      </w:r>
      <w:r w:rsidR="00531716" w:rsidRPr="00CF3D1E">
        <w:rPr>
          <w:rStyle w:val="FootnoteReference"/>
        </w:rPr>
        <w:footnoteReference w:id="113"/>
      </w:r>
      <w:r w:rsidR="00531716" w:rsidRPr="00CF3D1E">
        <w:t xml:space="preserve"> Temkin and Krah</w:t>
      </w:r>
      <w:r w:rsidR="00970324">
        <w:t>é</w:t>
      </w:r>
      <w:r w:rsidR="00531716" w:rsidRPr="00CF3D1E">
        <w:t xml:space="preserve"> suggest the issues of the justice gap relate to a ‘question of attitude’</w:t>
      </w:r>
      <w:r w:rsidR="00414005" w:rsidRPr="00CF3D1E">
        <w:t>,</w:t>
      </w:r>
      <w:r w:rsidR="00531716" w:rsidRPr="00CF3D1E">
        <w:rPr>
          <w:rStyle w:val="FootnoteReference"/>
        </w:rPr>
        <w:footnoteReference w:id="114"/>
      </w:r>
      <w:r w:rsidR="00531716" w:rsidRPr="00CF3D1E">
        <w:t xml:space="preserve"> </w:t>
      </w:r>
      <w:r w:rsidR="00414005" w:rsidRPr="00CF3D1E">
        <w:t xml:space="preserve">and </w:t>
      </w:r>
      <w:r w:rsidR="00531716" w:rsidRPr="00CF3D1E">
        <w:t>Gerger et al</w:t>
      </w:r>
      <w:r w:rsidR="00970324">
        <w:t>.</w:t>
      </w:r>
      <w:r w:rsidR="00531716" w:rsidRPr="00CF3D1E">
        <w:t xml:space="preserve"> also measured attitudes towards rape using the AMMSA scale, and found positive correlations with ‘pervasive cultural attitudes related to gender and violence as well as sexual harassment’.</w:t>
      </w:r>
      <w:r w:rsidR="00531716" w:rsidRPr="00CF3D1E">
        <w:rPr>
          <w:rStyle w:val="FootnoteReference"/>
        </w:rPr>
        <w:footnoteReference w:id="115"/>
      </w:r>
      <w:r w:rsidR="00531716" w:rsidRPr="00CF3D1E">
        <w:t xml:space="preserve"> Reece </w:t>
      </w:r>
      <w:r w:rsidR="00414005" w:rsidRPr="00CF3D1E">
        <w:t xml:space="preserve">too </w:t>
      </w:r>
      <w:r w:rsidR="00531716" w:rsidRPr="00CF3D1E">
        <w:t xml:space="preserve">echoes Burt that </w:t>
      </w:r>
      <w:r w:rsidR="00531716" w:rsidRPr="00CF3D1E">
        <w:lastRenderedPageBreak/>
        <w:t>rape myths are rape supportive attitudes,</w:t>
      </w:r>
      <w:r w:rsidR="00531716" w:rsidRPr="00CF3D1E">
        <w:rPr>
          <w:rStyle w:val="FootnoteReference"/>
        </w:rPr>
        <w:footnoteReference w:id="116"/>
      </w:r>
      <w:r w:rsidR="00531716" w:rsidRPr="00CF3D1E">
        <w:t xml:space="preserve"> but </w:t>
      </w:r>
      <w:r w:rsidR="00414005" w:rsidRPr="00CF3D1E">
        <w:t xml:space="preserve">again she </w:t>
      </w:r>
      <w:r w:rsidR="00531716" w:rsidRPr="00CF3D1E">
        <w:t>questi</w:t>
      </w:r>
      <w:r w:rsidR="00970324">
        <w:t>ons whether ‘public attitudes …  deserve to be described as “rape supportive attitudes”</w:t>
      </w:r>
      <w:r w:rsidR="00531716" w:rsidRPr="00CF3D1E">
        <w:t xml:space="preserve">, or </w:t>
      </w:r>
      <w:r w:rsidR="00414005" w:rsidRPr="00CF3D1E">
        <w:t xml:space="preserve">warrant the label of </w:t>
      </w:r>
      <w:r w:rsidR="00970324">
        <w:t>“rape myths”</w:t>
      </w:r>
      <w:r w:rsidR="00531716" w:rsidRPr="00CF3D1E">
        <w:t>’</w:t>
      </w:r>
      <w:r w:rsidR="001F5D28" w:rsidRPr="00CF3D1E">
        <w:t>.</w:t>
      </w:r>
      <w:r w:rsidR="00531716" w:rsidRPr="00CF3D1E">
        <w:rPr>
          <w:vertAlign w:val="superscript"/>
        </w:rPr>
        <w:footnoteReference w:id="117"/>
      </w:r>
      <w:r w:rsidR="00531716" w:rsidRPr="00CF3D1E">
        <w:t xml:space="preserve"> </w:t>
      </w:r>
      <w:r w:rsidR="00414005" w:rsidRPr="00CF3D1E">
        <w:t>For Reece,</w:t>
      </w:r>
      <w:r w:rsidR="00531716" w:rsidRPr="00CF3D1E">
        <w:t xml:space="preserve"> RM</w:t>
      </w:r>
      <w:r w:rsidR="00BB2B48" w:rsidRPr="00CF3D1E">
        <w:t>S</w:t>
      </w:r>
      <w:r w:rsidR="00970324">
        <w:t xml:space="preserve"> indicates that </w:t>
      </w:r>
      <w:r w:rsidR="00531716" w:rsidRPr="00CF3D1E">
        <w:t xml:space="preserve">rape supportive attitudes may not be widespread, so </w:t>
      </w:r>
      <w:r w:rsidR="00BB2B48" w:rsidRPr="00CF3D1E">
        <w:t xml:space="preserve">therefore </w:t>
      </w:r>
      <w:r w:rsidR="00531716" w:rsidRPr="00CF3D1E">
        <w:t>they ar</w:t>
      </w:r>
      <w:r w:rsidR="00970324">
        <w:t xml:space="preserve">e not myths. In addition, </w:t>
      </w:r>
      <w:r w:rsidR="00531716" w:rsidRPr="00CF3D1E">
        <w:t xml:space="preserve">some attitudes are not proven to be false so </w:t>
      </w:r>
      <w:r w:rsidR="00BB2B48" w:rsidRPr="00CF3D1E">
        <w:t xml:space="preserve">again, </w:t>
      </w:r>
      <w:r w:rsidR="00970324">
        <w:t>they are not myths, and</w:t>
      </w:r>
      <w:r w:rsidR="00531716" w:rsidRPr="00CF3D1E">
        <w:t xml:space="preserve"> some </w:t>
      </w:r>
      <w:r w:rsidR="00970324">
        <w:t>‘</w:t>
      </w:r>
      <w:r w:rsidR="00531716" w:rsidRPr="00CF3D1E">
        <w:t>rape supportive attitudes</w:t>
      </w:r>
      <w:r w:rsidR="00970324">
        <w:t>’</w:t>
      </w:r>
      <w:r w:rsidR="00531716" w:rsidRPr="00CF3D1E">
        <w:t xml:space="preserve"> are not about rape. Reece therefore suggests the possibility that scholars are creating myths about myths,</w:t>
      </w:r>
      <w:r w:rsidR="00531716" w:rsidRPr="00CF3D1E">
        <w:rPr>
          <w:rStyle w:val="FootnoteReference"/>
        </w:rPr>
        <w:footnoteReference w:id="118"/>
      </w:r>
      <w:r w:rsidR="00531716" w:rsidRPr="00CF3D1E">
        <w:t xml:space="preserve"> and further that Gerger et al</w:t>
      </w:r>
      <w:r w:rsidR="00970324">
        <w:t>.</w:t>
      </w:r>
      <w:r w:rsidR="00531716" w:rsidRPr="00CF3D1E">
        <w:t>’s work was about ‘designing a scale to catch people (out)’,</w:t>
      </w:r>
      <w:r w:rsidR="00531716" w:rsidRPr="00CF3D1E">
        <w:rPr>
          <w:rStyle w:val="FootnoteReference"/>
        </w:rPr>
        <w:footnoteReference w:id="119"/>
      </w:r>
      <w:r w:rsidR="00531716" w:rsidRPr="00CF3D1E">
        <w:t xml:space="preserve"> and to show how awful people’s attitudes are.</w:t>
      </w:r>
      <w:r w:rsidR="00531716" w:rsidRPr="00CF3D1E">
        <w:rPr>
          <w:vertAlign w:val="superscript"/>
        </w:rPr>
        <w:footnoteReference w:id="120"/>
      </w:r>
      <w:r w:rsidR="00531716" w:rsidRPr="00CF3D1E">
        <w:t xml:space="preserve"> </w:t>
      </w:r>
    </w:p>
    <w:p w14:paraId="218FB77E" w14:textId="4D82BABF" w:rsidR="00E22848" w:rsidRPr="00CF3D1E" w:rsidRDefault="00531716" w:rsidP="005673FC">
      <w:pPr>
        <w:spacing w:line="480" w:lineRule="auto"/>
        <w:jc w:val="both"/>
      </w:pPr>
      <w:r w:rsidRPr="00CF3D1E">
        <w:t>Conaghan and Russell</w:t>
      </w:r>
      <w:r w:rsidR="00BB2B48" w:rsidRPr="00CF3D1E">
        <w:t xml:space="preserve"> </w:t>
      </w:r>
      <w:r w:rsidR="009C3EB0">
        <w:t xml:space="preserve">have </w:t>
      </w:r>
      <w:r w:rsidR="001305E9" w:rsidRPr="00CF3D1E">
        <w:t xml:space="preserve">strongly </w:t>
      </w:r>
      <w:r w:rsidR="001C6F45" w:rsidRPr="00CF3D1E">
        <w:t xml:space="preserve">defended </w:t>
      </w:r>
      <w:r w:rsidR="001F5D28" w:rsidRPr="00CF3D1E">
        <w:t>the work of Gerger et al</w:t>
      </w:r>
      <w:r w:rsidR="009C3EB0">
        <w:t>.,</w:t>
      </w:r>
      <w:r w:rsidR="001F5D28" w:rsidRPr="00CF3D1E">
        <w:t xml:space="preserve"> critiquing the arguments put forward by Reece</w:t>
      </w:r>
      <w:r w:rsidR="00BB2B48" w:rsidRPr="00CF3D1E">
        <w:t xml:space="preserve"> </w:t>
      </w:r>
      <w:r w:rsidR="001F5D28" w:rsidRPr="00CF3D1E">
        <w:t>and asserting</w:t>
      </w:r>
      <w:r w:rsidR="009C3EB0">
        <w:t xml:space="preserve"> that the AAMSA i</w:t>
      </w:r>
      <w:r w:rsidR="00BB2B48" w:rsidRPr="00CF3D1E">
        <w:t xml:space="preserve">s </w:t>
      </w:r>
      <w:r w:rsidRPr="00CF3D1E">
        <w:t>‘regarded as the most advanced measure of rape myth acceptance to date’</w:t>
      </w:r>
      <w:r w:rsidR="001C6F45" w:rsidRPr="00CF3D1E">
        <w:t>.</w:t>
      </w:r>
      <w:r w:rsidRPr="00CF3D1E">
        <w:rPr>
          <w:rStyle w:val="FootnoteReference"/>
        </w:rPr>
        <w:footnoteReference w:id="121"/>
      </w:r>
      <w:r w:rsidRPr="00CF3D1E">
        <w:t xml:space="preserve"> </w:t>
      </w:r>
      <w:r w:rsidR="001C6F45" w:rsidRPr="00CF3D1E">
        <w:t>Far from seeking</w:t>
      </w:r>
      <w:r w:rsidRPr="00CF3D1E">
        <w:t xml:space="preserve"> to ‘catch people (out)’</w:t>
      </w:r>
      <w:r w:rsidRPr="00CF3D1E">
        <w:rPr>
          <w:vertAlign w:val="superscript"/>
        </w:rPr>
        <w:footnoteReference w:id="122"/>
      </w:r>
      <w:r w:rsidRPr="00CF3D1E">
        <w:t xml:space="preserve"> </w:t>
      </w:r>
      <w:r w:rsidR="001C6F45" w:rsidRPr="00CF3D1E">
        <w:t xml:space="preserve">Gerger </w:t>
      </w:r>
      <w:r w:rsidR="009C3EB0">
        <w:t xml:space="preserve">et al. </w:t>
      </w:r>
      <w:r w:rsidR="001C6F45" w:rsidRPr="00CF3D1E">
        <w:t xml:space="preserve">sought </w:t>
      </w:r>
      <w:r w:rsidRPr="00CF3D1E">
        <w:t xml:space="preserve">to </w:t>
      </w:r>
      <w:r w:rsidR="001F5D28" w:rsidRPr="00CF3D1E">
        <w:t>demonstrate that</w:t>
      </w:r>
      <w:r w:rsidRPr="00CF3D1E">
        <w:t xml:space="preserve"> prejudicial views were </w:t>
      </w:r>
      <w:r w:rsidR="001305E9" w:rsidRPr="00CF3D1E">
        <w:t xml:space="preserve">just </w:t>
      </w:r>
      <w:r w:rsidRPr="00CF3D1E">
        <w:t>more subtly held than previous RMA scales had identified</w:t>
      </w:r>
      <w:r w:rsidR="001C6F45" w:rsidRPr="00CF3D1E">
        <w:t xml:space="preserve">, and that </w:t>
      </w:r>
      <w:r w:rsidRPr="00CF3D1E">
        <w:t xml:space="preserve">some beliefs about rape were </w:t>
      </w:r>
      <w:r w:rsidR="001305E9" w:rsidRPr="00CF3D1E">
        <w:t xml:space="preserve">simply </w:t>
      </w:r>
      <w:r w:rsidRPr="00CF3D1E">
        <w:t>‘immune against empirical</w:t>
      </w:r>
      <w:r w:rsidR="001305E9" w:rsidRPr="00CF3D1E">
        <w:t xml:space="preserve"> </w:t>
      </w:r>
      <w:r w:rsidRPr="00CF3D1E">
        <w:t>falsification’</w:t>
      </w:r>
      <w:r w:rsidR="00BB2B48" w:rsidRPr="00CF3D1E">
        <w:t>.</w:t>
      </w:r>
      <w:r w:rsidRPr="00CF3D1E">
        <w:rPr>
          <w:rStyle w:val="FootnoteReference"/>
        </w:rPr>
        <w:footnoteReference w:id="123"/>
      </w:r>
      <w:r w:rsidRPr="00CF3D1E">
        <w:t xml:space="preserve"> </w:t>
      </w:r>
      <w:r w:rsidR="009C3EB0">
        <w:t>For example, ‘</w:t>
      </w:r>
      <w:r w:rsidR="00D828BF" w:rsidRPr="00CF3D1E">
        <w:t xml:space="preserve">Many women </w:t>
      </w:r>
      <w:r w:rsidR="00D828BF" w:rsidRPr="00CF3D1E">
        <w:rPr>
          <w:i/>
        </w:rPr>
        <w:t>secretly</w:t>
      </w:r>
      <w:r w:rsidR="009C3EB0">
        <w:t xml:space="preserve"> desire to be raped’</w:t>
      </w:r>
      <w:r w:rsidR="00D828BF" w:rsidRPr="00CF3D1E">
        <w:rPr>
          <w:vertAlign w:val="superscript"/>
        </w:rPr>
        <w:footnoteReference w:id="124"/>
      </w:r>
      <w:r w:rsidR="009C3EB0">
        <w:t xml:space="preserve"> cannot be proved or disproved</w:t>
      </w:r>
      <w:r w:rsidR="00D828BF" w:rsidRPr="00CF3D1E">
        <w:t xml:space="preserve"> and therefore showing that such a belief is a myth, is difficult if not impossible.</w:t>
      </w:r>
      <w:r w:rsidR="00D828BF" w:rsidRPr="00CF3D1E">
        <w:rPr>
          <w:vertAlign w:val="superscript"/>
        </w:rPr>
        <w:footnoteReference w:id="125"/>
      </w:r>
      <w:r w:rsidR="00D828BF" w:rsidRPr="00CF3D1E">
        <w:t xml:space="preserve"> Gerger et al</w:t>
      </w:r>
      <w:r w:rsidR="009C3EB0">
        <w:t>.</w:t>
      </w:r>
      <w:r w:rsidR="00D828BF" w:rsidRPr="00CF3D1E">
        <w:t xml:space="preserve"> </w:t>
      </w:r>
      <w:r w:rsidR="00C6767D" w:rsidRPr="00CF3D1E">
        <w:t>had</w:t>
      </w:r>
      <w:r w:rsidR="00D828BF" w:rsidRPr="00CF3D1E">
        <w:t xml:space="preserve"> suggested that rape myths should not be defined in terms of being false, but ‘“wrong” in an ethical sense’,</w:t>
      </w:r>
      <w:r w:rsidR="00D828BF" w:rsidRPr="00CF3D1E">
        <w:rPr>
          <w:vertAlign w:val="superscript"/>
        </w:rPr>
        <w:footnoteReference w:id="126"/>
      </w:r>
      <w:r w:rsidR="00D828BF" w:rsidRPr="00CF3D1E">
        <w:t xml:space="preserve"> acknowledg</w:t>
      </w:r>
      <w:r w:rsidR="001305E9" w:rsidRPr="00CF3D1E">
        <w:t>ing</w:t>
      </w:r>
      <w:r w:rsidR="00D828BF" w:rsidRPr="00CF3D1E">
        <w:t xml:space="preserve"> the possibility that some rape myths may be true for some people. </w:t>
      </w:r>
      <w:r w:rsidR="001C6F45" w:rsidRPr="00CF3D1E">
        <w:t>But</w:t>
      </w:r>
      <w:r w:rsidR="00D828BF" w:rsidRPr="00CF3D1E">
        <w:t>,</w:t>
      </w:r>
      <w:r w:rsidR="001C6F45" w:rsidRPr="00CF3D1E">
        <w:t xml:space="preserve"> even if </w:t>
      </w:r>
      <w:r w:rsidRPr="00CF3D1E">
        <w:t xml:space="preserve"> ‘the factual configurations comprising rape myths may on occasion be true’</w:t>
      </w:r>
      <w:r w:rsidR="001C6F45" w:rsidRPr="00CF3D1E">
        <w:t xml:space="preserve"> as Conaghan</w:t>
      </w:r>
      <w:r w:rsidR="009C3EB0">
        <w:t xml:space="preserve"> and Russell accept</w:t>
      </w:r>
      <w:r w:rsidR="001C6F45" w:rsidRPr="00CF3D1E">
        <w:t>,</w:t>
      </w:r>
      <w:r w:rsidR="001C6F45" w:rsidRPr="00CF3D1E">
        <w:rPr>
          <w:vertAlign w:val="superscript"/>
        </w:rPr>
        <w:footnoteReference w:id="127"/>
      </w:r>
      <w:r w:rsidR="001C6F45" w:rsidRPr="00CF3D1E">
        <w:t xml:space="preserve"> </w:t>
      </w:r>
      <w:r w:rsidR="001305E9" w:rsidRPr="00CF3D1E">
        <w:t>RMS</w:t>
      </w:r>
      <w:r w:rsidRPr="00CF3D1E">
        <w:t xml:space="preserve"> </w:t>
      </w:r>
      <w:r w:rsidR="001C6F45" w:rsidRPr="00CF3D1E">
        <w:t>has become</w:t>
      </w:r>
      <w:r w:rsidR="00D828BF" w:rsidRPr="00CF3D1E">
        <w:t xml:space="preserve"> </w:t>
      </w:r>
      <w:r w:rsidRPr="00CF3D1E">
        <w:lastRenderedPageBreak/>
        <w:t>more concerned with addressing ideas ‘treated as generalizable truths which function normatively to shape perceptions and inform judgment’.</w:t>
      </w:r>
      <w:r w:rsidRPr="00CF3D1E">
        <w:rPr>
          <w:rStyle w:val="FootnoteReference"/>
        </w:rPr>
        <w:footnoteReference w:id="128"/>
      </w:r>
      <w:r w:rsidRPr="00CF3D1E">
        <w:t xml:space="preserve"> </w:t>
      </w:r>
    </w:p>
    <w:p w14:paraId="56CDACF1" w14:textId="16571F72" w:rsidR="00623347" w:rsidRPr="00CF3D1E" w:rsidRDefault="00816177" w:rsidP="005673FC">
      <w:pPr>
        <w:spacing w:line="480" w:lineRule="auto"/>
        <w:jc w:val="both"/>
      </w:pPr>
      <w:r w:rsidRPr="005A1610">
        <w:t>Consequently,</w:t>
      </w:r>
      <w:r w:rsidRPr="00CF3D1E">
        <w:t xml:space="preserve"> what </w:t>
      </w:r>
      <w:r w:rsidR="00DB2B00" w:rsidRPr="00CF3D1E">
        <w:t>RMS</w:t>
      </w:r>
      <w:r w:rsidRPr="00CF3D1E">
        <w:t xml:space="preserve"> shows us is that there are challenges in defining beliefs about female behaviours in </w:t>
      </w:r>
      <w:r w:rsidR="005A1610">
        <w:t>relation to</w:t>
      </w:r>
      <w:r w:rsidRPr="00CF3D1E">
        <w:t xml:space="preserve"> sexual assault and rape as myths. </w:t>
      </w:r>
      <w:r w:rsidR="005A1610">
        <w:t>U</w:t>
      </w:r>
      <w:r w:rsidR="00531716" w:rsidRPr="00CF3D1E">
        <w:t xml:space="preserve">sing </w:t>
      </w:r>
      <w:r w:rsidR="005A1610">
        <w:t xml:space="preserve">either </w:t>
      </w:r>
      <w:r w:rsidR="00531716" w:rsidRPr="00CF3D1E">
        <w:t>RMA</w:t>
      </w:r>
      <w:r w:rsidR="001305E9" w:rsidRPr="00CF3D1E">
        <w:t xml:space="preserve"> or </w:t>
      </w:r>
      <w:r w:rsidR="00531716" w:rsidRPr="00CF3D1E">
        <w:t xml:space="preserve">AMMSA is methodologically </w:t>
      </w:r>
      <w:r w:rsidR="001305E9" w:rsidRPr="00CF3D1E">
        <w:t>problematic</w:t>
      </w:r>
      <w:r w:rsidR="00531716" w:rsidRPr="00CF3D1E">
        <w:t xml:space="preserve">. </w:t>
      </w:r>
      <w:r w:rsidR="001305E9" w:rsidRPr="00CF3D1E">
        <w:t xml:space="preserve">It is difficult to say or reveal exactly which beliefs these </w:t>
      </w:r>
      <w:r w:rsidR="005A1610">
        <w:t>refer to</w:t>
      </w:r>
      <w:r w:rsidR="001305E9" w:rsidRPr="00CF3D1E">
        <w:t>, to prove how widespread they are, to differentiate them from other beliefs, and to unpick them from other beliefs to which they are connected. They are difficult to falsify</w:t>
      </w:r>
      <w:r w:rsidR="005A1610">
        <w:t>,</w:t>
      </w:r>
      <w:r w:rsidR="001305E9" w:rsidRPr="00CF3D1E">
        <w:t xml:space="preserve"> some beliefs </w:t>
      </w:r>
      <w:r w:rsidR="00C6767D" w:rsidRPr="00CF3D1E">
        <w:t xml:space="preserve">that scholars designate as myths </w:t>
      </w:r>
      <w:r w:rsidR="00935D20">
        <w:t>may be</w:t>
      </w:r>
      <w:r w:rsidR="001305E9" w:rsidRPr="00CF3D1E">
        <w:t xml:space="preserve"> true for some people</w:t>
      </w:r>
      <w:r w:rsidR="00935D20" w:rsidRPr="00CF3D1E">
        <w:rPr>
          <w:vertAlign w:val="superscript"/>
        </w:rPr>
        <w:footnoteReference w:id="129"/>
      </w:r>
      <w:r w:rsidR="001305E9" w:rsidRPr="00CF3D1E">
        <w:t xml:space="preserve"> which is </w:t>
      </w:r>
      <w:r w:rsidR="00C6767D" w:rsidRPr="00CF3D1E">
        <w:t xml:space="preserve">both </w:t>
      </w:r>
      <w:r w:rsidR="001305E9" w:rsidRPr="00CF3D1E">
        <w:t>problematic and provocative</w:t>
      </w:r>
      <w:r w:rsidR="005A1610">
        <w:t>, and</w:t>
      </w:r>
      <w:r w:rsidR="00EB1F7E">
        <w:t xml:space="preserve"> some beliefs are held</w:t>
      </w:r>
      <w:r w:rsidR="00531716" w:rsidRPr="00CF3D1E">
        <w:t xml:space="preserve"> covert</w:t>
      </w:r>
      <w:r w:rsidR="00EB1F7E">
        <w:t>ly</w:t>
      </w:r>
      <w:r w:rsidR="00C6767D" w:rsidRPr="00CF3D1E">
        <w:t>.</w:t>
      </w:r>
      <w:r w:rsidR="00531716" w:rsidRPr="00CF3D1E">
        <w:rPr>
          <w:rStyle w:val="FootnoteReference"/>
        </w:rPr>
        <w:footnoteReference w:id="130"/>
      </w:r>
      <w:r w:rsidR="00531716" w:rsidRPr="00CF3D1E">
        <w:t xml:space="preserve"> Considerable difficulties </w:t>
      </w:r>
      <w:r w:rsidR="00EB1F7E">
        <w:t xml:space="preserve">therefore </w:t>
      </w:r>
      <w:r w:rsidR="00531716" w:rsidRPr="00CF3D1E">
        <w:t xml:space="preserve">exist in defining rape myths, and distinguishing between </w:t>
      </w:r>
      <w:r w:rsidR="00C6767D" w:rsidRPr="00CF3D1E">
        <w:t>beliefs</w:t>
      </w:r>
      <w:r w:rsidR="00531716" w:rsidRPr="00CF3D1E">
        <w:t xml:space="preserve">, stereotypes and attitudes. The word </w:t>
      </w:r>
      <w:r w:rsidR="005A1610">
        <w:t>‘</w:t>
      </w:r>
      <w:r w:rsidR="00531716" w:rsidRPr="00CF3D1E">
        <w:t>myth</w:t>
      </w:r>
      <w:r w:rsidR="005A1610">
        <w:t>’</w:t>
      </w:r>
      <w:r w:rsidR="00531716" w:rsidRPr="00CF3D1E">
        <w:t xml:space="preserve"> may function in this context by signalling that particular attitudes are questionable, if not ethically wrong</w:t>
      </w:r>
      <w:r w:rsidR="0064568B" w:rsidRPr="00CF3D1E">
        <w:t>,</w:t>
      </w:r>
      <w:r w:rsidR="00790EAB" w:rsidRPr="00CF3D1E">
        <w:t xml:space="preserve"> but u</w:t>
      </w:r>
      <w:r w:rsidR="00531716" w:rsidRPr="00CF3D1E">
        <w:t xml:space="preserve">sing the term </w:t>
      </w:r>
      <w:r w:rsidR="005A1610">
        <w:t>‘</w:t>
      </w:r>
      <w:r w:rsidR="00531716" w:rsidRPr="00CF3D1E">
        <w:t>myth</w:t>
      </w:r>
      <w:r w:rsidR="005A1610">
        <w:t>’</w:t>
      </w:r>
      <w:r w:rsidR="00531716" w:rsidRPr="00CF3D1E">
        <w:t xml:space="preserve"> </w:t>
      </w:r>
      <w:r w:rsidR="00C6767D" w:rsidRPr="00CF3D1E">
        <w:t xml:space="preserve">may be </w:t>
      </w:r>
      <w:r w:rsidR="00531716" w:rsidRPr="00CF3D1E">
        <w:t xml:space="preserve">counter-productive because of the problems in proving that such attitudes are false. </w:t>
      </w:r>
      <w:r w:rsidR="0064568B" w:rsidRPr="00CF3D1E">
        <w:rPr>
          <w:rFonts w:eastAsia="Calibri"/>
        </w:rPr>
        <w:t>Further, i</w:t>
      </w:r>
      <w:r w:rsidR="007809C2" w:rsidRPr="00CF3D1E">
        <w:rPr>
          <w:rFonts w:eastAsia="Calibri"/>
        </w:rPr>
        <w:t>f a belief</w:t>
      </w:r>
      <w:r w:rsidR="005A1610">
        <w:rPr>
          <w:rFonts w:eastAsia="Calibri"/>
        </w:rPr>
        <w:t xml:space="preserve">’s status as </w:t>
      </w:r>
      <w:r w:rsidR="007809C2" w:rsidRPr="00CF3D1E">
        <w:rPr>
          <w:rFonts w:eastAsia="Calibri"/>
        </w:rPr>
        <w:t xml:space="preserve">myth </w:t>
      </w:r>
      <w:r w:rsidR="005A1610">
        <w:rPr>
          <w:rFonts w:eastAsia="Calibri"/>
        </w:rPr>
        <w:t>depended on</w:t>
      </w:r>
      <w:r w:rsidR="007809C2" w:rsidRPr="00CF3D1E">
        <w:rPr>
          <w:rFonts w:eastAsia="Calibri"/>
        </w:rPr>
        <w:t xml:space="preserve"> the number of people who held it, then if that </w:t>
      </w:r>
      <w:r w:rsidR="005A1610">
        <w:rPr>
          <w:rFonts w:eastAsia="Calibri"/>
        </w:rPr>
        <w:t>number</w:t>
      </w:r>
      <w:r w:rsidR="007809C2" w:rsidRPr="00CF3D1E">
        <w:rPr>
          <w:rFonts w:eastAsia="Calibri"/>
        </w:rPr>
        <w:t xml:space="preserve"> reduced it would no longer be definable as a myth, irrespective of its perceived problematic content.</w:t>
      </w:r>
      <w:r w:rsidR="007809C2" w:rsidRPr="00CF3D1E">
        <w:rPr>
          <w:rFonts w:eastAsia="Calibri"/>
          <w:vertAlign w:val="superscript"/>
        </w:rPr>
        <w:footnoteReference w:id="131"/>
      </w:r>
      <w:r w:rsidR="007809C2" w:rsidRPr="00CF3D1E">
        <w:rPr>
          <w:rFonts w:eastAsia="Calibri"/>
        </w:rPr>
        <w:t xml:space="preserve"> </w:t>
      </w:r>
      <w:r w:rsidR="00623347" w:rsidRPr="00CF3D1E">
        <w:t xml:space="preserve">Including </w:t>
      </w:r>
      <w:r w:rsidR="006D3C5D">
        <w:t>extent of acceptance</w:t>
      </w:r>
      <w:r w:rsidR="00623347" w:rsidRPr="00CF3D1E">
        <w:t xml:space="preserve"> within our understanding therefore, does not add to conceptual clarity and may even not be necessary</w:t>
      </w:r>
      <w:r w:rsidR="006D3C5D">
        <w:t>,</w:t>
      </w:r>
      <w:r w:rsidR="00623347" w:rsidRPr="00CF3D1E">
        <w:t xml:space="preserve"> with scholars suggesting that ‘prevalence and consistency of rape myths…seem to be better treated as empirical problems, rather than matters of definition’.</w:t>
      </w:r>
      <w:r w:rsidR="00623347" w:rsidRPr="00CF3D1E">
        <w:rPr>
          <w:vertAlign w:val="superscript"/>
        </w:rPr>
        <w:footnoteReference w:id="132"/>
      </w:r>
      <w:r w:rsidR="00D828BF" w:rsidRPr="00CF3D1E">
        <w:t xml:space="preserve"> The force of rape myth arguments is therefore bound up with difficulties</w:t>
      </w:r>
      <w:r w:rsidR="006D3C5D">
        <w:t xml:space="preserve"> of language</w:t>
      </w:r>
      <w:r w:rsidR="00D828BF" w:rsidRPr="00CF3D1E">
        <w:t>. What is more, L</w:t>
      </w:r>
      <w:r w:rsidR="006D3C5D">
        <w:t>onsway and Fitzgerald consider that rape myths a</w:t>
      </w:r>
      <w:r w:rsidR="00D828BF" w:rsidRPr="00CF3D1E">
        <w:t>re best conceptualised as stereotypes,</w:t>
      </w:r>
      <w:r w:rsidR="00D828BF" w:rsidRPr="00CF3D1E">
        <w:rPr>
          <w:vertAlign w:val="superscript"/>
        </w:rPr>
        <w:footnoteReference w:id="133"/>
      </w:r>
      <w:r w:rsidR="00D828BF" w:rsidRPr="00CF3D1E">
        <w:t xml:space="preserve"> an</w:t>
      </w:r>
      <w:r w:rsidR="006D3C5D">
        <w:t>d Conaghan and Russell suggest</w:t>
      </w:r>
      <w:r w:rsidR="00D828BF" w:rsidRPr="00CF3D1E">
        <w:t xml:space="preserve"> that the term rape supportive attitudes</w:t>
      </w:r>
      <w:r w:rsidR="006D3C5D">
        <w:t>, is interchangeable with myths.</w:t>
      </w:r>
      <w:r w:rsidR="00D828BF" w:rsidRPr="00CF3D1E">
        <w:rPr>
          <w:vertAlign w:val="superscript"/>
        </w:rPr>
        <w:footnoteReference w:id="134"/>
      </w:r>
      <w:r w:rsidR="00D828BF" w:rsidRPr="00CF3D1E">
        <w:t xml:space="preserve"> </w:t>
      </w:r>
    </w:p>
    <w:p w14:paraId="3A1B2641" w14:textId="77777777" w:rsidR="00623347" w:rsidRPr="006D3C5D" w:rsidRDefault="00623347" w:rsidP="005673FC">
      <w:pPr>
        <w:jc w:val="both"/>
        <w:rPr>
          <w:b/>
          <w:i/>
        </w:rPr>
      </w:pPr>
      <w:r w:rsidRPr="006D3C5D">
        <w:rPr>
          <w:b/>
          <w:i/>
        </w:rPr>
        <w:lastRenderedPageBreak/>
        <w:t xml:space="preserve">Language and normativity </w:t>
      </w:r>
    </w:p>
    <w:p w14:paraId="2E7CC05D" w14:textId="6A9FDE4F" w:rsidR="00167D93" w:rsidRPr="00CF3D1E" w:rsidRDefault="007809C2" w:rsidP="005673FC">
      <w:pPr>
        <w:spacing w:line="480" w:lineRule="auto"/>
        <w:jc w:val="both"/>
        <w:rPr>
          <w:color w:val="000000" w:themeColor="text1"/>
        </w:rPr>
      </w:pPr>
      <w:r w:rsidRPr="00CF3D1E">
        <w:t xml:space="preserve">It is I suggest </w:t>
      </w:r>
      <w:r w:rsidR="00531716" w:rsidRPr="00CF3D1E">
        <w:t>Conaghan</w:t>
      </w:r>
      <w:r w:rsidR="00790EAB" w:rsidRPr="00CF3D1E">
        <w:t xml:space="preserve"> </w:t>
      </w:r>
      <w:r w:rsidR="006D3C5D">
        <w:t>and Russell</w:t>
      </w:r>
      <w:r w:rsidR="00790EAB" w:rsidRPr="00CF3D1E">
        <w:t>’s</w:t>
      </w:r>
      <w:r w:rsidR="00531716" w:rsidRPr="00CF3D1E">
        <w:t xml:space="preserve"> focus on or ‘turn to attitudes’</w:t>
      </w:r>
      <w:r w:rsidR="00531716" w:rsidRPr="00CF3D1E">
        <w:rPr>
          <w:vertAlign w:val="superscript"/>
        </w:rPr>
        <w:footnoteReference w:id="135"/>
      </w:r>
      <w:r w:rsidR="00531716" w:rsidRPr="00CF3D1E">
        <w:t xml:space="preserve"> which </w:t>
      </w:r>
      <w:r w:rsidR="00790EAB" w:rsidRPr="00CF3D1E">
        <w:t>may be most helpful</w:t>
      </w:r>
      <w:r w:rsidR="001305E9" w:rsidRPr="00CF3D1E">
        <w:t>.</w:t>
      </w:r>
      <w:r w:rsidR="00531716" w:rsidRPr="00CF3D1E">
        <w:t xml:space="preserve"> </w:t>
      </w:r>
      <w:r w:rsidR="001305E9" w:rsidRPr="00CF3D1E">
        <w:t>To cut through the difficulties</w:t>
      </w:r>
      <w:r w:rsidR="00C6767D" w:rsidRPr="00CF3D1E">
        <w:t>,</w:t>
      </w:r>
      <w:r w:rsidR="001305E9" w:rsidRPr="00CF3D1E">
        <w:t xml:space="preserve"> </w:t>
      </w:r>
      <w:r w:rsidR="00790EAB" w:rsidRPr="00CF3D1E">
        <w:t>RMS</w:t>
      </w:r>
      <w:r w:rsidR="00531716" w:rsidRPr="00CF3D1E">
        <w:t xml:space="preserve"> language is moving towards</w:t>
      </w:r>
      <w:r w:rsidR="001305E9" w:rsidRPr="00CF3D1E">
        <w:t xml:space="preserve"> words</w:t>
      </w:r>
      <w:r w:rsidR="00531716" w:rsidRPr="00CF3D1E">
        <w:t xml:space="preserve"> such as </w:t>
      </w:r>
      <w:r w:rsidR="006D3C5D">
        <w:t>‘</w:t>
      </w:r>
      <w:r w:rsidR="00531716" w:rsidRPr="006D3C5D">
        <w:t>norms</w:t>
      </w:r>
      <w:r w:rsidR="006D3C5D">
        <w:t>’</w:t>
      </w:r>
      <w:r w:rsidR="00531716" w:rsidRPr="006D3C5D">
        <w:t xml:space="preserve"> </w:t>
      </w:r>
      <w:r w:rsidR="00531716" w:rsidRPr="00CF3D1E">
        <w:t xml:space="preserve">about behaviour </w:t>
      </w:r>
      <w:r w:rsidR="00C24E7B" w:rsidRPr="00CF3D1E">
        <w:t xml:space="preserve">and </w:t>
      </w:r>
      <w:r w:rsidR="006D3C5D">
        <w:t xml:space="preserve">the suggestion </w:t>
      </w:r>
      <w:r w:rsidR="00C24E7B" w:rsidRPr="00CF3D1E">
        <w:t xml:space="preserve">that a key issue in understanding rape myths is not whether </w:t>
      </w:r>
      <w:r w:rsidR="006D3C5D">
        <w:t>they</w:t>
      </w:r>
      <w:r w:rsidR="00C24E7B" w:rsidRPr="00CF3D1E">
        <w:t xml:space="preserve"> are true or false, but whether they are ‘normatively infused’.</w:t>
      </w:r>
      <w:r w:rsidR="00C24E7B" w:rsidRPr="00CF3D1E">
        <w:rPr>
          <w:vertAlign w:val="superscript"/>
        </w:rPr>
        <w:footnoteReference w:id="136"/>
      </w:r>
      <w:r w:rsidR="00C24E7B" w:rsidRPr="00CF3D1E">
        <w:t xml:space="preserve"> </w:t>
      </w:r>
      <w:r w:rsidR="00FF2B28" w:rsidRPr="00CF3D1E">
        <w:t xml:space="preserve">How this necessary but troubling </w:t>
      </w:r>
      <w:r w:rsidR="002C7F93">
        <w:t xml:space="preserve">discussion of the </w:t>
      </w:r>
      <w:r w:rsidR="00FF2B28" w:rsidRPr="00CF3D1E">
        <w:t xml:space="preserve">RMS debate might help us in analysing child death cases is through appreciating that we need to be concerned with </w:t>
      </w:r>
      <w:r w:rsidR="00046D3C" w:rsidRPr="00CF3D1E">
        <w:t xml:space="preserve">our approach to </w:t>
      </w:r>
      <w:r w:rsidR="00623347" w:rsidRPr="00CF3D1E">
        <w:t xml:space="preserve">language and </w:t>
      </w:r>
      <w:r w:rsidR="00FF2B28" w:rsidRPr="00CF3D1E">
        <w:t>normativity</w:t>
      </w:r>
      <w:r w:rsidR="00C6767D" w:rsidRPr="00CF3D1E">
        <w:t xml:space="preserve"> and in order to move forward, </w:t>
      </w:r>
      <w:r w:rsidR="002C7F93">
        <w:t xml:space="preserve">should </w:t>
      </w:r>
      <w:r w:rsidR="00C6767D" w:rsidRPr="00CF3D1E">
        <w:t>consider consolidating the language used.</w:t>
      </w:r>
      <w:r w:rsidR="007F5A35" w:rsidRPr="00CF3D1E">
        <w:t xml:space="preserve"> </w:t>
      </w:r>
      <w:r w:rsidR="00C6767D" w:rsidRPr="00CF3D1E">
        <w:t xml:space="preserve">Significantly, </w:t>
      </w:r>
      <w:r w:rsidR="00BB2B48" w:rsidRPr="00CF3D1E">
        <w:rPr>
          <w:color w:val="000000" w:themeColor="text1"/>
        </w:rPr>
        <w:t xml:space="preserve">Gerger </w:t>
      </w:r>
      <w:r w:rsidR="002C7F93">
        <w:rPr>
          <w:color w:val="000000" w:themeColor="text1"/>
        </w:rPr>
        <w:t xml:space="preserve">et al. </w:t>
      </w:r>
      <w:r w:rsidR="00BB2B48" w:rsidRPr="00CF3D1E">
        <w:rPr>
          <w:color w:val="000000" w:themeColor="text1"/>
        </w:rPr>
        <w:t xml:space="preserve">recognised that beliefs </w:t>
      </w:r>
      <w:r w:rsidR="00046D3C" w:rsidRPr="00CF3D1E">
        <w:rPr>
          <w:color w:val="000000" w:themeColor="text1"/>
        </w:rPr>
        <w:t xml:space="preserve">about women </w:t>
      </w:r>
      <w:r w:rsidR="00BB2B48" w:rsidRPr="00CF3D1E">
        <w:rPr>
          <w:color w:val="000000" w:themeColor="text1"/>
        </w:rPr>
        <w:t>were ‘prescriptive in nature’,</w:t>
      </w:r>
      <w:r w:rsidR="00BB2B48" w:rsidRPr="00CF3D1E">
        <w:rPr>
          <w:rStyle w:val="FootnoteReference"/>
          <w:color w:val="000000" w:themeColor="text1"/>
        </w:rPr>
        <w:footnoteReference w:id="137"/>
      </w:r>
      <w:r w:rsidR="00BB2B48" w:rsidRPr="00CF3D1E">
        <w:rPr>
          <w:color w:val="000000" w:themeColor="text1"/>
        </w:rPr>
        <w:t xml:space="preserve"> and </w:t>
      </w:r>
      <w:r w:rsidR="00623347" w:rsidRPr="00CF3D1E">
        <w:rPr>
          <w:color w:val="000000" w:themeColor="text1"/>
        </w:rPr>
        <w:t xml:space="preserve">it is this </w:t>
      </w:r>
      <w:r w:rsidR="00BB2B48" w:rsidRPr="00CF3D1E">
        <w:rPr>
          <w:color w:val="000000" w:themeColor="text1"/>
        </w:rPr>
        <w:t>aspect</w:t>
      </w:r>
      <w:r w:rsidR="00C24E7B" w:rsidRPr="00CF3D1E">
        <w:rPr>
          <w:color w:val="000000" w:themeColor="text1"/>
        </w:rPr>
        <w:t xml:space="preserve"> </w:t>
      </w:r>
      <w:r w:rsidR="00623347" w:rsidRPr="00CF3D1E">
        <w:rPr>
          <w:color w:val="000000" w:themeColor="text1"/>
        </w:rPr>
        <w:t xml:space="preserve">that is </w:t>
      </w:r>
      <w:r w:rsidR="00BB2B48" w:rsidRPr="00CF3D1E">
        <w:rPr>
          <w:color w:val="000000" w:themeColor="text1"/>
        </w:rPr>
        <w:t xml:space="preserve">central </w:t>
      </w:r>
      <w:r w:rsidR="00046D3C" w:rsidRPr="00CF3D1E">
        <w:rPr>
          <w:color w:val="000000" w:themeColor="text1"/>
        </w:rPr>
        <w:t xml:space="preserve">not only to the </w:t>
      </w:r>
      <w:r w:rsidR="00BB2B48" w:rsidRPr="00CF3D1E">
        <w:rPr>
          <w:color w:val="000000" w:themeColor="text1"/>
        </w:rPr>
        <w:t xml:space="preserve">content of a </w:t>
      </w:r>
      <w:r w:rsidR="001305E9" w:rsidRPr="00CF3D1E">
        <w:rPr>
          <w:color w:val="000000" w:themeColor="text1"/>
        </w:rPr>
        <w:t xml:space="preserve">modern </w:t>
      </w:r>
      <w:r w:rsidR="00BB2B48" w:rsidRPr="00CF3D1E">
        <w:rPr>
          <w:color w:val="000000" w:themeColor="text1"/>
        </w:rPr>
        <w:t>rape myth</w:t>
      </w:r>
      <w:r w:rsidR="007F5A35" w:rsidRPr="00CF3D1E">
        <w:rPr>
          <w:color w:val="000000" w:themeColor="text1"/>
        </w:rPr>
        <w:t xml:space="preserve"> as we </w:t>
      </w:r>
      <w:r w:rsidR="001305E9" w:rsidRPr="00CF3D1E">
        <w:rPr>
          <w:color w:val="000000" w:themeColor="text1"/>
        </w:rPr>
        <w:t xml:space="preserve">now </w:t>
      </w:r>
      <w:r w:rsidR="007F5A35" w:rsidRPr="00CF3D1E">
        <w:rPr>
          <w:color w:val="000000" w:themeColor="text1"/>
        </w:rPr>
        <w:t>perceive it</w:t>
      </w:r>
      <w:r w:rsidR="00BB2B48" w:rsidRPr="00CF3D1E">
        <w:rPr>
          <w:color w:val="000000" w:themeColor="text1"/>
        </w:rPr>
        <w:t xml:space="preserve">, </w:t>
      </w:r>
      <w:r w:rsidR="00046D3C" w:rsidRPr="00CF3D1E">
        <w:rPr>
          <w:color w:val="000000" w:themeColor="text1"/>
        </w:rPr>
        <w:t xml:space="preserve">but </w:t>
      </w:r>
      <w:r w:rsidR="00167D93" w:rsidRPr="00CF3D1E">
        <w:rPr>
          <w:color w:val="000000" w:themeColor="text1"/>
        </w:rPr>
        <w:t xml:space="preserve">to </w:t>
      </w:r>
      <w:r w:rsidR="00046D3C" w:rsidRPr="00CF3D1E">
        <w:rPr>
          <w:color w:val="000000" w:themeColor="text1"/>
        </w:rPr>
        <w:t xml:space="preserve">the way </w:t>
      </w:r>
      <w:r w:rsidR="00167D93" w:rsidRPr="00CF3D1E">
        <w:rPr>
          <w:color w:val="000000" w:themeColor="text1"/>
        </w:rPr>
        <w:t xml:space="preserve">in which </w:t>
      </w:r>
      <w:r w:rsidR="00046D3C" w:rsidRPr="00CF3D1E">
        <w:rPr>
          <w:color w:val="000000" w:themeColor="text1"/>
        </w:rPr>
        <w:t xml:space="preserve">we </w:t>
      </w:r>
      <w:r w:rsidR="00167D93" w:rsidRPr="00CF3D1E">
        <w:rPr>
          <w:color w:val="000000" w:themeColor="text1"/>
        </w:rPr>
        <w:t>can define</w:t>
      </w:r>
      <w:r w:rsidR="00046D3C" w:rsidRPr="00CF3D1E">
        <w:rPr>
          <w:color w:val="000000" w:themeColor="text1"/>
        </w:rPr>
        <w:t xml:space="preserve"> beliefs about mothers</w:t>
      </w:r>
      <w:r w:rsidR="00C6767D" w:rsidRPr="00CF3D1E">
        <w:rPr>
          <w:color w:val="000000" w:themeColor="text1"/>
        </w:rPr>
        <w:t xml:space="preserve"> and the </w:t>
      </w:r>
      <w:r w:rsidR="001E34D4">
        <w:rPr>
          <w:color w:val="000000" w:themeColor="text1"/>
        </w:rPr>
        <w:t>characterisation</w:t>
      </w:r>
      <w:r w:rsidR="00C6767D" w:rsidRPr="00CF3D1E">
        <w:rPr>
          <w:color w:val="000000" w:themeColor="text1"/>
        </w:rPr>
        <w:t xml:space="preserve"> perhaps of a modern mothering myth. </w:t>
      </w:r>
      <w:r w:rsidR="00FF2B28" w:rsidRPr="00CF3D1E">
        <w:rPr>
          <w:color w:val="000000" w:themeColor="text1"/>
        </w:rPr>
        <w:t xml:space="preserve"> </w:t>
      </w:r>
    </w:p>
    <w:p w14:paraId="7197349F" w14:textId="0E99C28B" w:rsidR="00F12C67" w:rsidRPr="00CF3D1E" w:rsidRDefault="00167D93" w:rsidP="005673FC">
      <w:pPr>
        <w:spacing w:line="480" w:lineRule="auto"/>
        <w:jc w:val="both"/>
      </w:pPr>
      <w:r w:rsidRPr="00CF3D1E">
        <w:rPr>
          <w:color w:val="000000" w:themeColor="text1"/>
        </w:rPr>
        <w:t xml:space="preserve">Gerger </w:t>
      </w:r>
      <w:r w:rsidR="002C7F93">
        <w:rPr>
          <w:color w:val="000000" w:themeColor="text1"/>
        </w:rPr>
        <w:t xml:space="preserve">et al. </w:t>
      </w:r>
      <w:r w:rsidR="00C6767D" w:rsidRPr="00CF3D1E">
        <w:rPr>
          <w:color w:val="000000" w:themeColor="text1"/>
        </w:rPr>
        <w:t xml:space="preserve">finally </w:t>
      </w:r>
      <w:r w:rsidR="00D828BF" w:rsidRPr="00CF3D1E">
        <w:t>propos</w:t>
      </w:r>
      <w:r w:rsidR="007F5A35" w:rsidRPr="00CF3D1E">
        <w:t>ed</w:t>
      </w:r>
      <w:r w:rsidR="00D828BF" w:rsidRPr="00CF3D1E">
        <w:t xml:space="preserve"> that </w:t>
      </w:r>
      <w:r w:rsidR="00D828BF" w:rsidRPr="00CF3D1E">
        <w:rPr>
          <w:i/>
        </w:rPr>
        <w:t>‘rape myths are descriptive or prescriptive beliefs about rape (i.e., about its causes, context, consequences, perpetrators, victims, and their interaction) that serve to deny, downplay or justify sexual violence that men commit against women’</w:t>
      </w:r>
      <w:r w:rsidR="00D828BF" w:rsidRPr="00CF3D1E">
        <w:t>.</w:t>
      </w:r>
      <w:r w:rsidR="00D828BF" w:rsidRPr="00CF3D1E">
        <w:rPr>
          <w:vertAlign w:val="superscript"/>
        </w:rPr>
        <w:footnoteReference w:id="138"/>
      </w:r>
      <w:r w:rsidR="00D828BF" w:rsidRPr="00CF3D1E">
        <w:t xml:space="preserve"> </w:t>
      </w:r>
      <w:r w:rsidR="007F5A35" w:rsidRPr="00CF3D1E">
        <w:t xml:space="preserve">By characterising rape myths in this way, </w:t>
      </w:r>
      <w:r w:rsidRPr="00CF3D1E">
        <w:t>the</w:t>
      </w:r>
      <w:r w:rsidR="007F5A35" w:rsidRPr="00CF3D1E">
        <w:t xml:space="preserve"> focus </w:t>
      </w:r>
      <w:r w:rsidRPr="00CF3D1E">
        <w:t xml:space="preserve">is </w:t>
      </w:r>
      <w:r w:rsidR="001E34D4">
        <w:t xml:space="preserve">on </w:t>
      </w:r>
      <w:r w:rsidR="007F5A35" w:rsidRPr="00CF3D1E">
        <w:t xml:space="preserve">the consequences </w:t>
      </w:r>
      <w:r w:rsidRPr="00CF3D1E">
        <w:t>of the belief,</w:t>
      </w:r>
      <w:r w:rsidR="00C6767D" w:rsidRPr="00CF3D1E">
        <w:t xml:space="preserve"> which</w:t>
      </w:r>
      <w:r w:rsidR="007F5A35" w:rsidRPr="00CF3D1E">
        <w:t xml:space="preserve"> takes the heat out of all the problematical difficulties </w:t>
      </w:r>
      <w:r w:rsidR="002C7F93">
        <w:t xml:space="preserve">of whether the beliefs are true or </w:t>
      </w:r>
      <w:r w:rsidR="007F5A35" w:rsidRPr="00CF3D1E">
        <w:t>false or widespread</w:t>
      </w:r>
      <w:r w:rsidR="002C7F93">
        <w:t>,</w:t>
      </w:r>
      <w:r w:rsidR="007F5A35" w:rsidRPr="00CF3D1E">
        <w:t xml:space="preserve"> etc.  What this may </w:t>
      </w:r>
      <w:r w:rsidRPr="00CF3D1E">
        <w:t xml:space="preserve">then </w:t>
      </w:r>
      <w:r w:rsidR="002C7F93">
        <w:t>mean for mothers accused of</w:t>
      </w:r>
      <w:r w:rsidR="007F5A35" w:rsidRPr="00CF3D1E">
        <w:t xml:space="preserve"> killing their children is that the language we use</w:t>
      </w:r>
      <w:r w:rsidRPr="00CF3D1E">
        <w:t xml:space="preserve"> matters</w:t>
      </w:r>
      <w:r w:rsidR="00C6767D" w:rsidRPr="00CF3D1E">
        <w:t>, and the</w:t>
      </w:r>
      <w:r w:rsidR="00F46BA4" w:rsidRPr="00CF3D1E">
        <w:t xml:space="preserve"> difficulties faced by RMS are best avoided. </w:t>
      </w:r>
    </w:p>
    <w:p w14:paraId="177B6625" w14:textId="49CF0598" w:rsidR="006A4F7B" w:rsidRPr="00CF3D1E" w:rsidRDefault="00167D93" w:rsidP="005673FC">
      <w:pPr>
        <w:spacing w:line="480" w:lineRule="auto"/>
        <w:jc w:val="both"/>
      </w:pPr>
      <w:r w:rsidRPr="00CF3D1E">
        <w:t>If we wish</w:t>
      </w:r>
      <w:r w:rsidR="002C7F93">
        <w:t>ed</w:t>
      </w:r>
      <w:r w:rsidRPr="00CF3D1E">
        <w:t xml:space="preserve"> to suggest that perhaps myths, expectations, assumptions, or even ideologies of mothering were implicated in contributing to wrongful convictions, </w:t>
      </w:r>
      <w:r w:rsidR="00F46BA4" w:rsidRPr="00CF3D1E">
        <w:t xml:space="preserve">then first we would need to </w:t>
      </w:r>
      <w:r w:rsidRPr="00CF3D1E">
        <w:t>defin</w:t>
      </w:r>
      <w:r w:rsidR="00F46BA4" w:rsidRPr="00CF3D1E">
        <w:t>e</w:t>
      </w:r>
      <w:r w:rsidR="002C7F93">
        <w:t xml:space="preserve"> all the </w:t>
      </w:r>
      <w:r w:rsidRPr="00CF3D1E">
        <w:t>beliefs</w:t>
      </w:r>
      <w:r w:rsidR="00F46BA4" w:rsidRPr="00CF3D1E">
        <w:t xml:space="preserve"> </w:t>
      </w:r>
      <w:r w:rsidR="002C7F93">
        <w:t>about mothering, determine their prevalence</w:t>
      </w:r>
      <w:r w:rsidR="00EB1F7E">
        <w:t>,</w:t>
      </w:r>
      <w:r w:rsidRPr="00CF3D1E">
        <w:t xml:space="preserve"> </w:t>
      </w:r>
      <w:r w:rsidR="002C7F93">
        <w:t xml:space="preserve">and </w:t>
      </w:r>
      <w:r w:rsidRPr="00CF3D1E">
        <w:t>reveal their functionality</w:t>
      </w:r>
      <w:r w:rsidR="00F46BA4" w:rsidRPr="00CF3D1E">
        <w:t>,</w:t>
      </w:r>
      <w:r w:rsidRPr="00CF3D1E">
        <w:t xml:space="preserve"> </w:t>
      </w:r>
      <w:r w:rsidRPr="00CF3D1E">
        <w:lastRenderedPageBreak/>
        <w:t>interconnectedness</w:t>
      </w:r>
      <w:r w:rsidR="00E63010">
        <w:t xml:space="preserve"> and</w:t>
      </w:r>
      <w:r w:rsidR="00EB1F7E">
        <w:t xml:space="preserve"> </w:t>
      </w:r>
      <w:r w:rsidR="002C7F93">
        <w:t>whether they were held covertly</w:t>
      </w:r>
      <w:r w:rsidR="00E63010">
        <w:t>.</w:t>
      </w:r>
      <w:r w:rsidR="00F46BA4" w:rsidRPr="00CF3D1E">
        <w:t xml:space="preserve"> </w:t>
      </w:r>
      <w:r w:rsidR="00E63010">
        <w:t xml:space="preserve">We would need to </w:t>
      </w:r>
      <w:r w:rsidRPr="00CF3D1E">
        <w:t>establish empirically that some beliefs are simpl</w:t>
      </w:r>
      <w:r w:rsidR="00F46BA4" w:rsidRPr="00CF3D1E">
        <w:t>y</w:t>
      </w:r>
      <w:r w:rsidRPr="00CF3D1E">
        <w:t xml:space="preserve"> false</w:t>
      </w:r>
      <w:r w:rsidR="00E63010">
        <w:t xml:space="preserve"> and</w:t>
      </w:r>
      <w:r w:rsidR="00F46BA4" w:rsidRPr="00CF3D1E">
        <w:t xml:space="preserve"> </w:t>
      </w:r>
      <w:r w:rsidR="00E63010">
        <w:t>although</w:t>
      </w:r>
      <w:r w:rsidR="00F46BA4" w:rsidRPr="00CF3D1E">
        <w:t xml:space="preserve"> that may be possible</w:t>
      </w:r>
      <w:r w:rsidR="00E63010">
        <w:t xml:space="preserve"> </w:t>
      </w:r>
      <w:r w:rsidR="002C7F93">
        <w:t xml:space="preserve">for </w:t>
      </w:r>
      <w:r w:rsidR="00E63010">
        <w:t>particular</w:t>
      </w:r>
      <w:r w:rsidR="00F46BA4" w:rsidRPr="00CF3D1E">
        <w:t xml:space="preserve"> beliefs about maternal behaviour</w:t>
      </w:r>
      <w:r w:rsidR="001E34D4">
        <w:t>,</w:t>
      </w:r>
      <w:r w:rsidR="00E63010">
        <w:t xml:space="preserve"> for example, that mothers should always stay at home and look after their children themselves until school age,</w:t>
      </w:r>
      <w:r w:rsidR="00F46BA4" w:rsidRPr="00CF3D1E">
        <w:t xml:space="preserve"> </w:t>
      </w:r>
      <w:r w:rsidR="00BD69DC">
        <w:t xml:space="preserve">they </w:t>
      </w:r>
      <w:r w:rsidR="00F46BA4" w:rsidRPr="00CF3D1E">
        <w:t xml:space="preserve">may be true for some people. </w:t>
      </w:r>
      <w:r w:rsidR="006A4F7B" w:rsidRPr="00CF3D1E">
        <w:t xml:space="preserve">What I suggest </w:t>
      </w:r>
      <w:r w:rsidR="00F46BA4" w:rsidRPr="00CF3D1E">
        <w:t xml:space="preserve">we can use </w:t>
      </w:r>
      <w:r w:rsidR="00E63010">
        <w:t xml:space="preserve">in the meanwhile </w:t>
      </w:r>
      <w:r w:rsidR="00BD69DC">
        <w:t xml:space="preserve">as a device </w:t>
      </w:r>
      <w:r w:rsidR="00F46BA4" w:rsidRPr="00CF3D1E">
        <w:t xml:space="preserve">to analyse </w:t>
      </w:r>
      <w:r w:rsidR="00BD69DC">
        <w:t>child death cases</w:t>
      </w:r>
      <w:r w:rsidR="006A4F7B" w:rsidRPr="00CF3D1E">
        <w:t xml:space="preserve"> is </w:t>
      </w:r>
      <w:r w:rsidR="00EC6BC9" w:rsidRPr="00CF3D1E">
        <w:t>the</w:t>
      </w:r>
      <w:r w:rsidR="00BD69DC">
        <w:t xml:space="preserve"> definition of a rape myth</w:t>
      </w:r>
      <w:r w:rsidR="00F46BA4" w:rsidRPr="00CF3D1E">
        <w:t xml:space="preserve"> </w:t>
      </w:r>
      <w:r w:rsidR="00EC6BC9" w:rsidRPr="00CF3D1E">
        <w:t>as proposed by Gerger</w:t>
      </w:r>
      <w:r w:rsidR="00BD69DC">
        <w:t xml:space="preserve"> et al.</w:t>
      </w:r>
      <w:r w:rsidR="00EC6BC9" w:rsidRPr="00CF3D1E">
        <w:t xml:space="preserve"> </w:t>
      </w:r>
      <w:r w:rsidR="00F46BA4" w:rsidRPr="00CF3D1E">
        <w:t xml:space="preserve">applied to mothering, </w:t>
      </w:r>
      <w:r w:rsidR="00BD69DC">
        <w:t xml:space="preserve">to produce </w:t>
      </w:r>
      <w:r w:rsidR="00C6767D" w:rsidRPr="00CF3D1E">
        <w:t xml:space="preserve">the </w:t>
      </w:r>
      <w:r w:rsidR="00F46BA4" w:rsidRPr="00E63010">
        <w:rPr>
          <w:i/>
        </w:rPr>
        <w:t>modern mothering myth.</w:t>
      </w:r>
      <w:r w:rsidR="00F46BA4" w:rsidRPr="00CF3D1E">
        <w:t xml:space="preserve"> </w:t>
      </w:r>
      <w:r w:rsidR="006A4F7B" w:rsidRPr="00CF3D1E">
        <w:t xml:space="preserve">A proposed definition of a </w:t>
      </w:r>
      <w:r w:rsidR="00F46BA4" w:rsidRPr="00CF3D1E">
        <w:t xml:space="preserve">modern </w:t>
      </w:r>
      <w:r w:rsidR="006A4F7B" w:rsidRPr="00CF3D1E">
        <w:t>mothering stereotype or myth</w:t>
      </w:r>
      <w:r w:rsidR="00C6767D" w:rsidRPr="00CF3D1E">
        <w:t xml:space="preserve"> </w:t>
      </w:r>
      <w:r w:rsidR="00E63010">
        <w:t xml:space="preserve">(MMM), </w:t>
      </w:r>
      <w:r w:rsidR="00C6767D" w:rsidRPr="00CF3D1E">
        <w:t>is</w:t>
      </w:r>
      <w:r w:rsidR="00E63010">
        <w:t xml:space="preserve"> accordingly</w:t>
      </w:r>
      <w:r w:rsidR="006A4F7B" w:rsidRPr="00CF3D1E">
        <w:t xml:space="preserve">: a </w:t>
      </w:r>
      <w:r w:rsidR="006A4F7B" w:rsidRPr="00CF3D1E">
        <w:rPr>
          <w:i/>
        </w:rPr>
        <w:t>fixed belief about mothering or normative behaviour for mothers, which serves to support or justify adverse decisions about mothers</w:t>
      </w:r>
      <w:r w:rsidR="006A4F7B" w:rsidRPr="00CF3D1E">
        <w:t xml:space="preserve"> </w:t>
      </w:r>
      <w:r w:rsidR="006A4F7B" w:rsidRPr="00CF3D1E">
        <w:rPr>
          <w:i/>
        </w:rPr>
        <w:t>within the criminal justice system.</w:t>
      </w:r>
      <w:r w:rsidR="006A4F7B" w:rsidRPr="00CF3D1E">
        <w:t xml:space="preserve"> </w:t>
      </w:r>
    </w:p>
    <w:p w14:paraId="7A5B2CE1" w14:textId="2E8592A4" w:rsidR="003E52F1" w:rsidRPr="00CF3D1E" w:rsidRDefault="003E52F1" w:rsidP="005673FC">
      <w:pPr>
        <w:spacing w:line="480" w:lineRule="auto"/>
        <w:jc w:val="both"/>
      </w:pPr>
      <w:r w:rsidRPr="00CF3D1E">
        <w:t xml:space="preserve">The </w:t>
      </w:r>
      <w:r w:rsidR="00D7152A" w:rsidRPr="00CF3D1E">
        <w:t xml:space="preserve">following section </w:t>
      </w:r>
      <w:r w:rsidR="00F46BA4" w:rsidRPr="00CF3D1E">
        <w:t xml:space="preserve">considers </w:t>
      </w:r>
      <w:r w:rsidR="00774EE5" w:rsidRPr="00CF3D1E">
        <w:t>maternal behaviours identified in child death cases</w:t>
      </w:r>
      <w:r w:rsidRPr="00CF3D1E">
        <w:t>,</w:t>
      </w:r>
      <w:r w:rsidR="00774EE5" w:rsidRPr="00CF3D1E">
        <w:rPr>
          <w:rStyle w:val="FootnoteReference"/>
        </w:rPr>
        <w:footnoteReference w:id="139"/>
      </w:r>
      <w:r w:rsidR="00774EE5" w:rsidRPr="00CF3D1E">
        <w:t xml:space="preserve"> </w:t>
      </w:r>
      <w:r w:rsidRPr="00CF3D1E">
        <w:t xml:space="preserve">and tests the definition </w:t>
      </w:r>
      <w:r w:rsidR="00E63010">
        <w:t xml:space="preserve">as a device, </w:t>
      </w:r>
      <w:r w:rsidRPr="00CF3D1E">
        <w:t xml:space="preserve">to assess whether it helps us analyse if maternal behaviours admitted as evidence may have been probative, or </w:t>
      </w:r>
      <w:r w:rsidRPr="00E63010">
        <w:rPr>
          <w:i/>
        </w:rPr>
        <w:t>myths</w:t>
      </w:r>
      <w:r w:rsidRPr="00CF3D1E">
        <w:t xml:space="preserve">. </w:t>
      </w:r>
    </w:p>
    <w:p w14:paraId="43C3F669" w14:textId="77777777" w:rsidR="00BD69DC" w:rsidRDefault="00BD69DC" w:rsidP="005673FC">
      <w:pPr>
        <w:jc w:val="both"/>
        <w:rPr>
          <w:b/>
        </w:rPr>
      </w:pPr>
    </w:p>
    <w:p w14:paraId="178F8127" w14:textId="26166240" w:rsidR="00E63010" w:rsidRPr="00BD69DC" w:rsidRDefault="003E52F1" w:rsidP="005673FC">
      <w:pPr>
        <w:jc w:val="both"/>
        <w:rPr>
          <w:b/>
        </w:rPr>
      </w:pPr>
      <w:r w:rsidRPr="00BD69DC">
        <w:rPr>
          <w:b/>
        </w:rPr>
        <w:t xml:space="preserve">Applying the </w:t>
      </w:r>
      <w:r w:rsidR="00E63010" w:rsidRPr="00BD69DC">
        <w:rPr>
          <w:b/>
        </w:rPr>
        <w:t>M</w:t>
      </w:r>
      <w:r w:rsidRPr="00BD69DC">
        <w:rPr>
          <w:b/>
        </w:rPr>
        <w:t xml:space="preserve">odern </w:t>
      </w:r>
      <w:r w:rsidR="00E63010" w:rsidRPr="00BD69DC">
        <w:rPr>
          <w:b/>
        </w:rPr>
        <w:t>M</w:t>
      </w:r>
      <w:r w:rsidRPr="00BD69DC">
        <w:rPr>
          <w:b/>
        </w:rPr>
        <w:t xml:space="preserve">othering </w:t>
      </w:r>
      <w:r w:rsidR="00E63010" w:rsidRPr="00BD69DC">
        <w:rPr>
          <w:b/>
        </w:rPr>
        <w:t>M</w:t>
      </w:r>
      <w:r w:rsidRPr="00BD69DC">
        <w:rPr>
          <w:b/>
        </w:rPr>
        <w:t>yth</w:t>
      </w:r>
    </w:p>
    <w:p w14:paraId="35984969" w14:textId="391D0CB3" w:rsidR="0043089B" w:rsidRPr="00BD69DC" w:rsidRDefault="00BD69DC" w:rsidP="005673FC">
      <w:pPr>
        <w:jc w:val="both"/>
        <w:rPr>
          <w:b/>
          <w:i/>
        </w:rPr>
      </w:pPr>
      <w:r>
        <w:rPr>
          <w:b/>
          <w:i/>
        </w:rPr>
        <w:t>Is alcohol abuse probative or a m</w:t>
      </w:r>
      <w:r w:rsidR="0043089B" w:rsidRPr="00BD69DC">
        <w:rPr>
          <w:b/>
          <w:i/>
        </w:rPr>
        <w:t>othering myth?</w:t>
      </w:r>
    </w:p>
    <w:p w14:paraId="48AC2FEB" w14:textId="47186D46" w:rsidR="00D7152A" w:rsidRPr="00CF3D1E" w:rsidRDefault="003E52F1" w:rsidP="005673FC">
      <w:pPr>
        <w:spacing w:line="480" w:lineRule="auto"/>
        <w:jc w:val="both"/>
      </w:pPr>
      <w:r w:rsidRPr="00CF3D1E">
        <w:t>D</w:t>
      </w:r>
      <w:r w:rsidR="00D7152A" w:rsidRPr="00CF3D1E">
        <w:t xml:space="preserve">rinking alcohol </w:t>
      </w:r>
      <w:r w:rsidRPr="00CF3D1E">
        <w:t>has</w:t>
      </w:r>
      <w:r w:rsidR="00D7152A" w:rsidRPr="00CF3D1E">
        <w:t xml:space="preserve"> long been regarded as harmful especially if carried out during pregnancy.</w:t>
      </w:r>
      <w:r w:rsidR="00D7152A" w:rsidRPr="00CF3D1E">
        <w:rPr>
          <w:vertAlign w:val="superscript"/>
        </w:rPr>
        <w:footnoteReference w:id="140"/>
      </w:r>
      <w:r w:rsidR="00D7152A" w:rsidRPr="00CF3D1E">
        <w:t xml:space="preserve"> Health promotion programmes and research studies by public organisations such as the Royal College of Paediatricians and Child Health (RCPCH),</w:t>
      </w:r>
      <w:r w:rsidR="00D7152A" w:rsidRPr="00CF3D1E">
        <w:rPr>
          <w:vertAlign w:val="superscript"/>
        </w:rPr>
        <w:footnoteReference w:id="141"/>
      </w:r>
      <w:r w:rsidR="00D7152A" w:rsidRPr="00CF3D1E">
        <w:t xml:space="preserve"> have sought to publicise the dangers and disseminate normative understanding that maternal alcohol dependenc</w:t>
      </w:r>
      <w:r w:rsidRPr="00CF3D1E">
        <w:t>y</w:t>
      </w:r>
      <w:r w:rsidR="00D7152A" w:rsidRPr="00CF3D1E">
        <w:t xml:space="preserve"> harm</w:t>
      </w:r>
      <w:r w:rsidRPr="00CF3D1E">
        <w:t>s</w:t>
      </w:r>
      <w:r w:rsidR="00D7152A" w:rsidRPr="00CF3D1E">
        <w:t xml:space="preserve"> children. Drinking excess alcohol in pregnancy may harm the unborn child, ‘resulting in “foetal alcohol syndrome”, (FAS) and “foetal alcohol effects (FAE)”’, characterised by growth retardation and central nervous system </w:t>
      </w:r>
      <w:r w:rsidR="00D7152A" w:rsidRPr="00CF3D1E">
        <w:lastRenderedPageBreak/>
        <w:t>impairment.</w:t>
      </w:r>
      <w:r w:rsidR="00D7152A" w:rsidRPr="00CF3D1E">
        <w:rPr>
          <w:vertAlign w:val="superscript"/>
        </w:rPr>
        <w:footnoteReference w:id="142"/>
      </w:r>
      <w:r w:rsidR="00D7152A" w:rsidRPr="00CF3D1E">
        <w:t xml:space="preserve"> The combination of alcohol and certain cardiac arrhythmias such as Long QT Syndrome (LQTS) may also be fatal in infants and adults because ‘alcohol abuse is associated with an increased incidence of cardiac arrhythmias’.</w:t>
      </w:r>
      <w:r w:rsidR="00D7152A" w:rsidRPr="00CF3D1E">
        <w:rPr>
          <w:vertAlign w:val="superscript"/>
        </w:rPr>
        <w:footnoteReference w:id="143"/>
      </w:r>
      <w:r w:rsidR="00D7152A" w:rsidRPr="00CF3D1E">
        <w:t xml:space="preserve"> Clark</w:t>
      </w:r>
      <w:r w:rsidR="00D7152A" w:rsidRPr="00CF3D1E">
        <w:rPr>
          <w:vertAlign w:val="superscript"/>
        </w:rPr>
        <w:footnoteReference w:id="144"/>
      </w:r>
      <w:r w:rsidR="00D7152A" w:rsidRPr="00CF3D1E">
        <w:t xml:space="preserve"> had an alcohol dependency for which she had received treatment prior to her pregnancies</w:t>
      </w:r>
      <w:r w:rsidR="00CA5B84">
        <w:t>.</w:t>
      </w:r>
      <w:r w:rsidR="00D7152A" w:rsidRPr="00CF3D1E">
        <w:rPr>
          <w:vertAlign w:val="superscript"/>
        </w:rPr>
        <w:footnoteReference w:id="145"/>
      </w:r>
      <w:r w:rsidR="00D7152A" w:rsidRPr="00CF3D1E">
        <w:t xml:space="preserve"> </w:t>
      </w:r>
      <w:r w:rsidR="00CA5B84">
        <w:t>However</w:t>
      </w:r>
      <w:r w:rsidR="00D7152A" w:rsidRPr="00CF3D1E">
        <w:t xml:space="preserve"> the facts of whether she drank in pregnancy or as a mother are not known, but were inferred by the prosecution. But for her </w:t>
      </w:r>
      <w:r w:rsidR="00E63010">
        <w:t>previous</w:t>
      </w:r>
      <w:r w:rsidR="00D7152A" w:rsidRPr="00CF3D1E">
        <w:t xml:space="preserve"> dependency, there is little doubt that her defence could have argued that she was unquestionably a person of good character as evidenced by her health visitor,</w:t>
      </w:r>
      <w:r w:rsidR="00D7152A" w:rsidRPr="00CF3D1E">
        <w:rPr>
          <w:vertAlign w:val="superscript"/>
        </w:rPr>
        <w:footnoteReference w:id="146"/>
      </w:r>
      <w:r w:rsidR="00D7152A" w:rsidRPr="00CF3D1E">
        <w:t xml:space="preserve"> GP</w:t>
      </w:r>
      <w:r w:rsidR="00D7152A" w:rsidRPr="00CF3D1E">
        <w:rPr>
          <w:vertAlign w:val="superscript"/>
        </w:rPr>
        <w:footnoteReference w:id="147"/>
      </w:r>
      <w:r w:rsidR="00D7152A" w:rsidRPr="00CF3D1E">
        <w:t xml:space="preserve"> and nanny.</w:t>
      </w:r>
      <w:r w:rsidR="00D7152A" w:rsidRPr="00CF3D1E">
        <w:rPr>
          <w:vertAlign w:val="superscript"/>
        </w:rPr>
        <w:footnoteReference w:id="148"/>
      </w:r>
      <w:r w:rsidR="00D7152A" w:rsidRPr="00CF3D1E">
        <w:t xml:space="preserve"> </w:t>
      </w:r>
    </w:p>
    <w:p w14:paraId="10B72F3A" w14:textId="329B07AC" w:rsidR="00D7152A" w:rsidRPr="00CF3D1E" w:rsidRDefault="00D7152A" w:rsidP="005673FC">
      <w:pPr>
        <w:spacing w:line="480" w:lineRule="auto"/>
        <w:jc w:val="both"/>
      </w:pPr>
      <w:r w:rsidRPr="00CF3D1E">
        <w:t xml:space="preserve">As reported in the first </w:t>
      </w:r>
      <w:r w:rsidR="00CA5B84">
        <w:t xml:space="preserve">appeal against conviction, </w:t>
      </w:r>
      <w:r w:rsidRPr="00CF3D1E">
        <w:t>Clark’s health visitor had observed a close attachment to and bond between Clark and her first ‘responsive’ baby Christopher.</w:t>
      </w:r>
      <w:r w:rsidRPr="00CF3D1E">
        <w:rPr>
          <w:vertAlign w:val="superscript"/>
        </w:rPr>
        <w:footnoteReference w:id="149"/>
      </w:r>
      <w:r w:rsidRPr="00CF3D1E">
        <w:t xml:space="preserve"> Clark attended a mother and baby group ‘where she appeared as a normal, happy, caring mother’,</w:t>
      </w:r>
      <w:r w:rsidRPr="00CF3D1E">
        <w:rPr>
          <w:vertAlign w:val="superscript"/>
        </w:rPr>
        <w:footnoteReference w:id="150"/>
      </w:r>
      <w:r w:rsidRPr="00CF3D1E">
        <w:rPr>
          <w:rFonts w:eastAsiaTheme="minorEastAsia"/>
          <w:lang w:eastAsia="en-GB"/>
        </w:rPr>
        <w:t xml:space="preserve"> her babies ‘were well cared for, loved by their parents and happy and content’</w:t>
      </w:r>
      <w:r w:rsidRPr="00CF3D1E">
        <w:rPr>
          <w:rFonts w:eastAsiaTheme="minorEastAsia"/>
          <w:vertAlign w:val="superscript"/>
          <w:lang w:eastAsia="en-GB"/>
        </w:rPr>
        <w:footnoteReference w:id="151"/>
      </w:r>
      <w:r w:rsidRPr="00CF3D1E">
        <w:rPr>
          <w:rFonts w:eastAsiaTheme="minorEastAsia"/>
          <w:lang w:eastAsia="en-GB"/>
        </w:rPr>
        <w:t xml:space="preserve"> and </w:t>
      </w:r>
      <w:r w:rsidR="00CA5B84">
        <w:rPr>
          <w:rFonts w:eastAsiaTheme="minorEastAsia"/>
          <w:lang w:eastAsia="en-GB"/>
        </w:rPr>
        <w:t xml:space="preserve">she </w:t>
      </w:r>
      <w:r w:rsidRPr="00CF3D1E">
        <w:t>was reported as a ‘loving, caring mother’.</w:t>
      </w:r>
      <w:r w:rsidRPr="00CF3D1E">
        <w:rPr>
          <w:vertAlign w:val="superscript"/>
        </w:rPr>
        <w:footnoteReference w:id="152"/>
      </w:r>
      <w:r w:rsidRPr="00CF3D1E">
        <w:t xml:space="preserve"> She is reported as welcoming visits from health visitors as part of the CONI programme,</w:t>
      </w:r>
      <w:r w:rsidRPr="00CF3D1E">
        <w:rPr>
          <w:vertAlign w:val="superscript"/>
        </w:rPr>
        <w:footnoteReference w:id="153"/>
      </w:r>
      <w:r w:rsidRPr="00CF3D1E">
        <w:t xml:space="preserve"> indicating she was a responsible mother of a </w:t>
      </w:r>
      <w:r w:rsidRPr="00CF3D1E">
        <w:rPr>
          <w:i/>
        </w:rPr>
        <w:t>next infant.</w:t>
      </w:r>
      <w:r w:rsidRPr="00CF3D1E">
        <w:t xml:space="preserve"> Prior to the deaths of her children, health professionals praised her as exemplifying the ideal of the good mother, by her caring, nurturing and compliant behaviour. </w:t>
      </w:r>
    </w:p>
    <w:p w14:paraId="5E9B8A47" w14:textId="014E808B" w:rsidR="00D7152A" w:rsidRPr="00CF3D1E" w:rsidRDefault="00D7152A" w:rsidP="005673FC">
      <w:pPr>
        <w:spacing w:line="480" w:lineRule="auto"/>
        <w:jc w:val="both"/>
      </w:pPr>
      <w:r w:rsidRPr="00CF3D1E">
        <w:lastRenderedPageBreak/>
        <w:t>In contrast to Clark’s behaviour as a mother that satisfied normative expectations of mothering, counsel for the prosecution told the court that on the day of her second son Harry’s death, she ‘visited the off-licence on two occasions to buy some wine saying (falsely, it would appear) that they were having a dinner party that evening’.</w:t>
      </w:r>
      <w:r w:rsidRPr="00CF3D1E">
        <w:rPr>
          <w:vertAlign w:val="superscript"/>
        </w:rPr>
        <w:footnoteReference w:id="154"/>
      </w:r>
      <w:r w:rsidRPr="00CF3D1E">
        <w:t xml:space="preserve"> The implications of such a fact may have raised concerns in juror</w:t>
      </w:r>
      <w:r w:rsidR="003C3EA6">
        <w:t>s</w:t>
      </w:r>
      <w:r w:rsidRPr="00CF3D1E">
        <w:t xml:space="preserve">’ minds </w:t>
      </w:r>
      <w:r w:rsidR="0083453F">
        <w:t>(a</w:t>
      </w:r>
      <w:r w:rsidRPr="00CF3D1E">
        <w:t>lthough the CPS could not use the fact of Clark’s alcohol dependency in argument due to a pre-trial ruling</w:t>
      </w:r>
      <w:r w:rsidR="0083453F">
        <w:t>)</w:t>
      </w:r>
      <w:r w:rsidRPr="00CF3D1E">
        <w:t xml:space="preserve"> and beliefs in the wrongness of maternal alcohol dependency may have served to support if not justify a guilty verdict. Such views were amply reinforced by media portrayals following the trial when Harrison J reversed his pre-trial ruling. </w:t>
      </w:r>
      <w:r w:rsidR="00CE720A">
        <w:t>The</w:t>
      </w:r>
      <w:r w:rsidRPr="00CF3D1E">
        <w:t xml:space="preserve"> BBC described Clark as a ‘35-year-old lawyer who drank through both her pregnancies… a lonely drunk… a depressed alcoholic’</w:t>
      </w:r>
      <w:r w:rsidRPr="00CF3D1E">
        <w:rPr>
          <w:vertAlign w:val="superscript"/>
        </w:rPr>
        <w:footnoteReference w:id="155"/>
      </w:r>
      <w:r w:rsidRPr="00CF3D1E">
        <w:t xml:space="preserve">  who had received hospital treatment for ‘bouts of severe binge drinking’,</w:t>
      </w:r>
      <w:r w:rsidRPr="00CF3D1E">
        <w:rPr>
          <w:vertAlign w:val="superscript"/>
        </w:rPr>
        <w:footnoteReference w:id="156"/>
      </w:r>
      <w:r w:rsidRPr="00CF3D1E">
        <w:t xml:space="preserve"> and </w:t>
      </w:r>
      <w:r w:rsidR="003C3EA6">
        <w:t xml:space="preserve">she was </w:t>
      </w:r>
      <w:r w:rsidR="00E63010">
        <w:t xml:space="preserve">even </w:t>
      </w:r>
      <w:r w:rsidR="003C3EA6">
        <w:t xml:space="preserve">described </w:t>
      </w:r>
      <w:r w:rsidRPr="00CF3D1E">
        <w:t xml:space="preserve">by </w:t>
      </w:r>
      <w:r w:rsidRPr="003C3EA6">
        <w:rPr>
          <w:i/>
        </w:rPr>
        <w:t>The Lawyer</w:t>
      </w:r>
      <w:r w:rsidRPr="00CF3D1E">
        <w:t>, as ‘driven by drink and despair, the solicitor who killed her babies’.</w:t>
      </w:r>
      <w:r w:rsidRPr="00CF3D1E">
        <w:rPr>
          <w:vertAlign w:val="superscript"/>
        </w:rPr>
        <w:footnoteReference w:id="157"/>
      </w:r>
      <w:r w:rsidRPr="00CF3D1E">
        <w:t xml:space="preserve"> </w:t>
      </w:r>
    </w:p>
    <w:p w14:paraId="1014A734" w14:textId="497BFCB1" w:rsidR="00D7152A" w:rsidRPr="00CF3D1E" w:rsidRDefault="00D7152A" w:rsidP="005673FC">
      <w:pPr>
        <w:spacing w:line="480" w:lineRule="auto"/>
        <w:jc w:val="both"/>
      </w:pPr>
      <w:r w:rsidRPr="00CF3D1E">
        <w:t>Clark’s alcohol dependency was suggested at trial, confirmed after conviction, and affirmed in her first appeal where it was reported that she ‘tended to drink more heavily when her husband was away’.</w:t>
      </w:r>
      <w:r w:rsidRPr="00CF3D1E">
        <w:rPr>
          <w:vertAlign w:val="superscript"/>
        </w:rPr>
        <w:footnoteReference w:id="158"/>
      </w:r>
      <w:r w:rsidRPr="00CF3D1E">
        <w:t xml:space="preserve"> A belief on the part of both jurors and judiciary that a mother may have abu</w:t>
      </w:r>
      <w:r w:rsidR="003C3EA6">
        <w:t>sed her child is understandable</w:t>
      </w:r>
      <w:r w:rsidRPr="00CF3D1E">
        <w:t xml:space="preserve"> if she purchases alcohol covertly on the day her second son dies suddenly and unexpectedly and she has received treatment for alcohol dependency in the past. However, holding such a belief in a fixed way within criminal proceedings to support a finding of guilt is </w:t>
      </w:r>
      <w:r w:rsidR="00E63010">
        <w:t>at least questionable</w:t>
      </w:r>
      <w:r w:rsidRPr="00CF3D1E">
        <w:t xml:space="preserve">. The </w:t>
      </w:r>
      <w:r w:rsidR="003C3EA6">
        <w:t xml:space="preserve">judgment in her </w:t>
      </w:r>
      <w:r w:rsidRPr="00CF3D1E">
        <w:t>second (successful) appeal did not mention alcohol at all in acquitting Clark.</w:t>
      </w:r>
      <w:r w:rsidRPr="00CF3D1E">
        <w:rPr>
          <w:vertAlign w:val="superscript"/>
        </w:rPr>
        <w:footnoteReference w:id="159"/>
      </w:r>
      <w:r w:rsidRPr="00CF3D1E">
        <w:t xml:space="preserve"> Her dependence on alcohol and her possible consumption on the day her second </w:t>
      </w:r>
      <w:r w:rsidRPr="00CF3D1E">
        <w:lastRenderedPageBreak/>
        <w:t xml:space="preserve">child died, therefore did not justify either a belief or a decision that she was guilty of murder, nor her continued imprisonment. </w:t>
      </w:r>
    </w:p>
    <w:p w14:paraId="035F2E77" w14:textId="4C898ABA" w:rsidR="00D7152A" w:rsidRPr="00CF3D1E" w:rsidRDefault="00D7152A" w:rsidP="005673FC">
      <w:pPr>
        <w:spacing w:line="480" w:lineRule="auto"/>
        <w:jc w:val="both"/>
        <w:rPr>
          <w:bCs/>
        </w:rPr>
      </w:pPr>
      <w:r w:rsidRPr="00CF3D1E">
        <w:t>The reasons for using Clark’s alcohol dependency as part of legal argument in criminal proceedings</w:t>
      </w:r>
      <w:r w:rsidR="003C3EA6">
        <w:t>,</w:t>
      </w:r>
      <w:r w:rsidRPr="00CF3D1E">
        <w:t xml:space="preserve"> although understandable, may reasonably be expected to be linked with fixed views about the harm that alcohol may cause to children both in pregnancy and when caring for a small child. As Ann </w:t>
      </w:r>
      <w:r w:rsidRPr="00CF3D1E">
        <w:rPr>
          <w:bCs/>
        </w:rPr>
        <w:t>Oakley reflected</w:t>
      </w:r>
      <w:r w:rsidR="003C3EA6">
        <w:rPr>
          <w:bCs/>
        </w:rPr>
        <w:t>,</w:t>
      </w:r>
      <w:r w:rsidRPr="00CF3D1E">
        <w:rPr>
          <w:bCs/>
        </w:rPr>
        <w:t xml:space="preserve"> ‘of all the things women are supposed to be, mothers come first’.</w:t>
      </w:r>
      <w:r w:rsidRPr="00CF3D1E">
        <w:rPr>
          <w:bCs/>
          <w:vertAlign w:val="superscript"/>
        </w:rPr>
        <w:footnoteReference w:id="160"/>
      </w:r>
      <w:r w:rsidRPr="00CF3D1E">
        <w:rPr>
          <w:bCs/>
        </w:rPr>
        <w:t xml:space="preserve"> Helena Kennedy suggests that society expects women ‘to embody nurturance and protectiveness associated with mothering</w:t>
      </w:r>
      <w:r w:rsidR="003C3EA6">
        <w:rPr>
          <w:bCs/>
        </w:rPr>
        <w:t>’</w:t>
      </w:r>
      <w:r w:rsidRPr="00CF3D1E">
        <w:rPr>
          <w:bCs/>
        </w:rPr>
        <w:t>,</w:t>
      </w:r>
      <w:r w:rsidRPr="00CF3D1E">
        <w:rPr>
          <w:bCs/>
          <w:vertAlign w:val="superscript"/>
        </w:rPr>
        <w:footnoteReference w:id="161"/>
      </w:r>
      <w:r w:rsidRPr="00CF3D1E">
        <w:rPr>
          <w:bCs/>
        </w:rPr>
        <w:t xml:space="preserve"> and consequently when women are accused of harming their child, Kennedy suggests there is a ‘heightened outrage’.</w:t>
      </w:r>
      <w:r w:rsidRPr="00CF3D1E">
        <w:rPr>
          <w:bCs/>
          <w:vertAlign w:val="superscript"/>
        </w:rPr>
        <w:footnoteReference w:id="162"/>
      </w:r>
      <w:r w:rsidRPr="00CF3D1E">
        <w:rPr>
          <w:bCs/>
        </w:rPr>
        <w:t xml:space="preserve"> Not only may such a mother be perceived as selfish, contravening expectations that she should forego </w:t>
      </w:r>
      <w:r w:rsidR="003C3EA6">
        <w:rPr>
          <w:bCs/>
        </w:rPr>
        <w:t>self-centred</w:t>
      </w:r>
      <w:r w:rsidRPr="00CF3D1E">
        <w:rPr>
          <w:bCs/>
        </w:rPr>
        <w:t xml:space="preserve"> behaviour in favour of altruism, such beliefs may induce prejudicial perceptions of the maternal behaviour. </w:t>
      </w:r>
    </w:p>
    <w:p w14:paraId="75864406" w14:textId="20C48F4E" w:rsidR="00D7152A" w:rsidRPr="00CF3D1E" w:rsidRDefault="00D7152A" w:rsidP="005673FC">
      <w:pPr>
        <w:spacing w:line="480" w:lineRule="auto"/>
        <w:jc w:val="both"/>
      </w:pPr>
      <w:r w:rsidRPr="00CF3D1E">
        <w:rPr>
          <w:bCs/>
        </w:rPr>
        <w:t>That alcohol dependency is not problematic for any person including mothers, is not my position. But</w:t>
      </w:r>
      <w:r w:rsidR="00CE720A">
        <w:rPr>
          <w:bCs/>
        </w:rPr>
        <w:t>,</w:t>
      </w:r>
      <w:r w:rsidRPr="00CF3D1E">
        <w:rPr>
          <w:bCs/>
        </w:rPr>
        <w:t xml:space="preserve"> I wish to suggest that raising the fact of Clark’s past alcohol dependency at trial and at first appeal, without evidence of her having drunk excess alcohol </w:t>
      </w:r>
      <w:r w:rsidR="0043089B" w:rsidRPr="00CF3D1E">
        <w:rPr>
          <w:bCs/>
        </w:rPr>
        <w:t xml:space="preserve">immediately </w:t>
      </w:r>
      <w:r w:rsidRPr="00CF3D1E">
        <w:rPr>
          <w:bCs/>
        </w:rPr>
        <w:t xml:space="preserve">prior to the children’s deaths, risked providing the jury with a </w:t>
      </w:r>
      <w:r w:rsidRPr="00BC3F40">
        <w:rPr>
          <w:bCs/>
        </w:rPr>
        <w:t>behavioural cue</w:t>
      </w:r>
      <w:r w:rsidRPr="00CF3D1E">
        <w:rPr>
          <w:bCs/>
        </w:rPr>
        <w:t xml:space="preserve"> and engaging </w:t>
      </w:r>
      <w:r w:rsidR="00E63010">
        <w:rPr>
          <w:bCs/>
        </w:rPr>
        <w:t>a</w:t>
      </w:r>
      <w:r w:rsidR="0043089B" w:rsidRPr="00CF3D1E">
        <w:rPr>
          <w:bCs/>
        </w:rPr>
        <w:t xml:space="preserve"> </w:t>
      </w:r>
      <w:r w:rsidRPr="00CF3D1E">
        <w:t xml:space="preserve">fixed belief </w:t>
      </w:r>
      <w:r w:rsidR="00BC3F40">
        <w:t xml:space="preserve">(a MMM), </w:t>
      </w:r>
      <w:r w:rsidRPr="00CF3D1E">
        <w:t>that justified the view that a mother with a</w:t>
      </w:r>
      <w:r w:rsidR="00BC3F40">
        <w:t xml:space="preserve"> previous</w:t>
      </w:r>
      <w:r w:rsidRPr="00CF3D1E">
        <w:t xml:space="preserve"> alcohol dependency was guilty of murder.  </w:t>
      </w:r>
    </w:p>
    <w:p w14:paraId="09CD3C3B" w14:textId="77777777" w:rsidR="00F0062B" w:rsidRDefault="00F0062B" w:rsidP="00252C15">
      <w:pPr>
        <w:spacing w:after="120"/>
        <w:jc w:val="both"/>
        <w:rPr>
          <w:b/>
          <w:i/>
        </w:rPr>
      </w:pPr>
    </w:p>
    <w:p w14:paraId="75276209" w14:textId="77777777" w:rsidR="00252C15" w:rsidRDefault="00252C15">
      <w:pPr>
        <w:spacing w:after="0" w:line="240" w:lineRule="auto"/>
        <w:rPr>
          <w:b/>
          <w:i/>
        </w:rPr>
      </w:pPr>
      <w:r>
        <w:rPr>
          <w:b/>
          <w:i/>
        </w:rPr>
        <w:br w:type="page"/>
      </w:r>
    </w:p>
    <w:p w14:paraId="3C92EAE1" w14:textId="5B30AB45" w:rsidR="00252C15" w:rsidRDefault="001D0260" w:rsidP="00252C15">
      <w:pPr>
        <w:jc w:val="both"/>
        <w:rPr>
          <w:b/>
          <w:i/>
        </w:rPr>
      </w:pPr>
      <w:r>
        <w:rPr>
          <w:b/>
          <w:i/>
        </w:rPr>
        <w:lastRenderedPageBreak/>
        <w:t>Are emotional over-</w:t>
      </w:r>
      <w:r w:rsidR="00D7152A" w:rsidRPr="00F0062B">
        <w:rPr>
          <w:b/>
          <w:i/>
        </w:rPr>
        <w:t xml:space="preserve">reactions </w:t>
      </w:r>
      <w:r w:rsidR="0043089B" w:rsidRPr="00F0062B">
        <w:rPr>
          <w:b/>
          <w:i/>
        </w:rPr>
        <w:t xml:space="preserve">probative or mothering myths? </w:t>
      </w:r>
    </w:p>
    <w:p w14:paraId="2019C84D" w14:textId="2449C18C" w:rsidR="00D7152A" w:rsidRPr="00252C15" w:rsidRDefault="0043089B" w:rsidP="00252C15">
      <w:pPr>
        <w:spacing w:line="480" w:lineRule="auto"/>
        <w:jc w:val="both"/>
        <w:rPr>
          <w:b/>
          <w:i/>
        </w:rPr>
      </w:pPr>
      <w:r w:rsidRPr="001D0260">
        <w:t>The</w:t>
      </w:r>
      <w:r w:rsidR="00D7152A" w:rsidRPr="001D0260">
        <w:t xml:space="preserve"> consequences</w:t>
      </w:r>
      <w:r w:rsidR="00D7152A" w:rsidRPr="00CF3D1E">
        <w:t xml:space="preserve"> of trauma whether through physical violence</w:t>
      </w:r>
      <w:r w:rsidR="00D7152A" w:rsidRPr="00CF3D1E">
        <w:rPr>
          <w:rStyle w:val="FootnoteReference"/>
        </w:rPr>
        <w:footnoteReference w:id="163"/>
      </w:r>
      <w:r w:rsidR="00D7152A" w:rsidRPr="00CF3D1E">
        <w:t xml:space="preserve"> or sexual assault</w:t>
      </w:r>
      <w:r w:rsidR="00D7152A" w:rsidRPr="00CF3D1E">
        <w:rPr>
          <w:rStyle w:val="FootnoteReference"/>
        </w:rPr>
        <w:footnoteReference w:id="164"/>
      </w:r>
      <w:r w:rsidR="00D7152A" w:rsidRPr="00CF3D1E">
        <w:t xml:space="preserve"> can result in significant ‘emotional disorganisation’</w:t>
      </w:r>
      <w:r w:rsidR="00D7152A" w:rsidRPr="00CF3D1E">
        <w:rPr>
          <w:rStyle w:val="FootnoteReference"/>
        </w:rPr>
        <w:footnoteReference w:id="165"/>
      </w:r>
      <w:r w:rsidR="00D7152A" w:rsidRPr="00CF3D1E">
        <w:t xml:space="preserve"> that may affect the behaviour of otherwise rational women. How such emotions including ‘fear, shock, disbelief, anger, self-blame and embarrassment’</w:t>
      </w:r>
      <w:r w:rsidR="00D7152A" w:rsidRPr="00CF3D1E">
        <w:rPr>
          <w:rStyle w:val="FootnoteReference"/>
        </w:rPr>
        <w:footnoteReference w:id="166"/>
      </w:r>
      <w:r w:rsidR="00D7152A" w:rsidRPr="00CF3D1E">
        <w:t xml:space="preserve"> may be expressed varies according to the individual. But such </w:t>
      </w:r>
      <w:r w:rsidR="001D0260">
        <w:t>expressions</w:t>
      </w:r>
      <w:r w:rsidR="00D7152A" w:rsidRPr="00CF3D1E">
        <w:t xml:space="preserve"> may diverge from expected norms</w:t>
      </w:r>
      <w:r w:rsidRPr="00CF3D1E">
        <w:t>,</w:t>
      </w:r>
      <w:r w:rsidR="00D7152A" w:rsidRPr="00CF3D1E">
        <w:t xml:space="preserve"> and </w:t>
      </w:r>
      <w:r w:rsidR="00BC3F40">
        <w:t xml:space="preserve">be </w:t>
      </w:r>
      <w:r w:rsidR="00D7152A" w:rsidRPr="00CF3D1E">
        <w:t>perceived as bizarre</w:t>
      </w:r>
      <w:r w:rsidR="001D0260">
        <w:t xml:space="preserve"> or</w:t>
      </w:r>
      <w:r w:rsidRPr="00CF3D1E">
        <w:t xml:space="preserve"> </w:t>
      </w:r>
      <w:r w:rsidR="00D7152A" w:rsidRPr="00CF3D1E">
        <w:t>unexpected and interpreted according to prescriptive beliefs such as rape myths</w:t>
      </w:r>
      <w:r w:rsidR="00D7152A" w:rsidRPr="00CF3D1E">
        <w:rPr>
          <w:rStyle w:val="FootnoteReference"/>
        </w:rPr>
        <w:footnoteReference w:id="167"/>
      </w:r>
      <w:r w:rsidR="00D7152A" w:rsidRPr="00CF3D1E">
        <w:t xml:space="preserve"> for example</w:t>
      </w:r>
      <w:r w:rsidR="001D0260">
        <w:t>, that have</w:t>
      </w:r>
      <w:r w:rsidR="00D7152A" w:rsidRPr="00CF3D1E">
        <w:t xml:space="preserve"> not allowed for the impact of trauma on behaviour.</w:t>
      </w:r>
      <w:r w:rsidR="00D7152A" w:rsidRPr="00CF3D1E">
        <w:rPr>
          <w:vertAlign w:val="superscript"/>
        </w:rPr>
        <w:footnoteReference w:id="168"/>
      </w:r>
      <w:r w:rsidR="00D7152A" w:rsidRPr="00CF3D1E">
        <w:t xml:space="preserve"> Similarly in child death cases, the appeal reports provide evidence of mothers’ behaviour on the days their children died, and the following </w:t>
      </w:r>
      <w:r w:rsidR="00CE720A">
        <w:t>di</w:t>
      </w:r>
      <w:r w:rsidR="001D0260">
        <w:t>scussion identifies</w:t>
      </w:r>
      <w:r w:rsidR="00D7152A" w:rsidRPr="00CF3D1E">
        <w:t xml:space="preserve"> that </w:t>
      </w:r>
      <w:r w:rsidR="001D0260">
        <w:t>this</w:t>
      </w:r>
      <w:r w:rsidR="00D7152A" w:rsidRPr="00CF3D1E">
        <w:t xml:space="preserve"> behaviour may have been interpreted according to fixed beliefs about how traumatically bereaved mothers should behave, </w:t>
      </w:r>
      <w:r w:rsidR="00CE720A">
        <w:t>leading</w:t>
      </w:r>
      <w:r w:rsidR="00915331" w:rsidRPr="00CF3D1E">
        <w:t xml:space="preserve"> to adverse</w:t>
      </w:r>
      <w:r w:rsidR="00D7152A" w:rsidRPr="00CF3D1E">
        <w:t xml:space="preserve"> trial outcomes. </w:t>
      </w:r>
    </w:p>
    <w:p w14:paraId="1825FB68" w14:textId="6708FA65" w:rsidR="00D7152A" w:rsidRPr="00CF3D1E" w:rsidRDefault="00D7152A" w:rsidP="005673FC">
      <w:pPr>
        <w:spacing w:line="480" w:lineRule="auto"/>
        <w:jc w:val="both"/>
      </w:pPr>
      <w:r w:rsidRPr="00CF3D1E">
        <w:t>Clark was on her own at home when she noticed that her son Christopher aged nearly three months was ‘a “dusty grey colour”</w:t>
      </w:r>
      <w:r w:rsidRPr="00CF3D1E">
        <w:rPr>
          <w:rStyle w:val="FootnoteReference"/>
        </w:rPr>
        <w:footnoteReference w:id="169"/>
      </w:r>
      <w:r w:rsidRPr="00CF3D1E">
        <w:t xml:space="preserve"> and she knew something was wrong. She picked him up and dialled 999’</w:t>
      </w:r>
      <w:r w:rsidRPr="00CF3D1E">
        <w:rPr>
          <w:vertAlign w:val="superscript"/>
        </w:rPr>
        <w:footnoteReference w:id="170"/>
      </w:r>
      <w:r w:rsidRPr="00CF3D1E">
        <w:t xml:space="preserve"> and asked for an ambulance. There is no mention </w:t>
      </w:r>
      <w:r w:rsidR="001D0260">
        <w:t xml:space="preserve">of </w:t>
      </w:r>
      <w:r w:rsidRPr="00CF3D1E">
        <w:t>whether she tried to resuscitate the baby. When the ambulance arrived only two minutes later according to the appeal report</w:t>
      </w:r>
      <w:r w:rsidRPr="00CF3D1E">
        <w:rPr>
          <w:vertAlign w:val="superscript"/>
        </w:rPr>
        <w:footnoteReference w:id="171"/>
      </w:r>
      <w:r w:rsidRPr="00CF3D1E">
        <w:t xml:space="preserve"> the house was locked on the inside with Clark unable to find the keys. Paramedics entered the house after a ‘neighbour arrived with the spare keys’,</w:t>
      </w:r>
      <w:r w:rsidRPr="00CF3D1E">
        <w:rPr>
          <w:rStyle w:val="FootnoteReference"/>
        </w:rPr>
        <w:footnoteReference w:id="172"/>
      </w:r>
      <w:r w:rsidRPr="00CF3D1E">
        <w:t xml:space="preserve"> to find Clark holding the baby who was already ‘pale, </w:t>
      </w:r>
      <w:r w:rsidRPr="00CF3D1E">
        <w:lastRenderedPageBreak/>
        <w:t>cyanosed, cold and quite rigid’.</w:t>
      </w:r>
      <w:r w:rsidRPr="00CF3D1E">
        <w:rPr>
          <w:vertAlign w:val="superscript"/>
        </w:rPr>
        <w:footnoteReference w:id="173"/>
      </w:r>
      <w:r w:rsidRPr="00CF3D1E">
        <w:t xml:space="preserve"> Clark’s behaviour is described at home, in the ambulance and at hospital; the ambulance driver stated Clark was ‘very distressed, crying and screaming’,</w:t>
      </w:r>
      <w:r w:rsidRPr="00CF3D1E">
        <w:rPr>
          <w:rStyle w:val="FootnoteReference"/>
        </w:rPr>
        <w:footnoteReference w:id="174"/>
      </w:r>
      <w:r w:rsidRPr="00CF3D1E">
        <w:t xml:space="preserve"> she was ‘on the verge of hysteria’</w:t>
      </w:r>
      <w:r w:rsidRPr="00CF3D1E">
        <w:rPr>
          <w:vertAlign w:val="superscript"/>
        </w:rPr>
        <w:footnoteReference w:id="175"/>
      </w:r>
      <w:r w:rsidRPr="00CF3D1E">
        <w:t xml:space="preserve"> and was so distressed</w:t>
      </w:r>
      <w:r w:rsidRPr="00CF3D1E">
        <w:rPr>
          <w:vertAlign w:val="superscript"/>
        </w:rPr>
        <w:t xml:space="preserve"> </w:t>
      </w:r>
      <w:r w:rsidRPr="00CF3D1E">
        <w:t>the paramedic could not put the child on the resuscitator.</w:t>
      </w:r>
      <w:r w:rsidRPr="00CF3D1E">
        <w:rPr>
          <w:vertAlign w:val="superscript"/>
        </w:rPr>
        <w:footnoteReference w:id="176"/>
      </w:r>
      <w:r w:rsidRPr="00CF3D1E">
        <w:t xml:space="preserve"> On being told that Christopher was dead, Clark’s ‘reaction was described by a hospital doctor as very dramatic and hysterical’.</w:t>
      </w:r>
      <w:r w:rsidRPr="00CF3D1E">
        <w:rPr>
          <w:vertAlign w:val="superscript"/>
        </w:rPr>
        <w:footnoteReference w:id="177"/>
      </w:r>
      <w:r w:rsidRPr="00CF3D1E">
        <w:t xml:space="preserve"> Further, the doctor branded the behaviour as ‘atypical and the over-reaction made her feel quite uncomfortable’.</w:t>
      </w:r>
      <w:r w:rsidRPr="00CF3D1E">
        <w:rPr>
          <w:vertAlign w:val="superscript"/>
        </w:rPr>
        <w:footnoteReference w:id="178"/>
      </w:r>
      <w:r w:rsidRPr="00CF3D1E">
        <w:t xml:space="preserve"> In addition, a staff nurse stated that Clark had ‘said that her husband would blame her and would not love her any more’.</w:t>
      </w:r>
      <w:r w:rsidRPr="00CF3D1E">
        <w:rPr>
          <w:vertAlign w:val="superscript"/>
        </w:rPr>
        <w:footnoteReference w:id="179"/>
      </w:r>
      <w:r w:rsidRPr="00CF3D1E">
        <w:t xml:space="preserve"> The evidence provided by professional witnesses suggest</w:t>
      </w:r>
      <w:r w:rsidR="001D0260">
        <w:t>s</w:t>
      </w:r>
      <w:r w:rsidRPr="00CF3D1E">
        <w:t xml:space="preserve"> doubts that Clark’s grief was normal, indicating concern that Clark may have harmed Christopher. </w:t>
      </w:r>
    </w:p>
    <w:p w14:paraId="042A7890" w14:textId="77777777" w:rsidR="00D7152A" w:rsidRPr="00CF3D1E" w:rsidRDefault="00D7152A" w:rsidP="005673FC">
      <w:pPr>
        <w:spacing w:line="480" w:lineRule="auto"/>
        <w:jc w:val="both"/>
      </w:pPr>
      <w:r w:rsidRPr="00CF3D1E">
        <w:t>Misgivings may have further increased because of discrepancies between Clark’s accounts to ambulance personnel and doctors concerning Christopher’s whereabouts when he died.</w:t>
      </w:r>
      <w:r w:rsidRPr="00CF3D1E">
        <w:rPr>
          <w:vertAlign w:val="superscript"/>
        </w:rPr>
        <w:footnoteReference w:id="180"/>
      </w:r>
      <w:r w:rsidRPr="00CF3D1E">
        <w:t xml:space="preserve"> Clark stated that he was in a Moses basket to ambulance crews,</w:t>
      </w:r>
      <w:r w:rsidRPr="00CF3D1E">
        <w:rPr>
          <w:vertAlign w:val="superscript"/>
        </w:rPr>
        <w:footnoteReference w:id="181"/>
      </w:r>
      <w:r w:rsidRPr="00CF3D1E">
        <w:t xml:space="preserve"> but in a bouncy chair to paediatricians.</w:t>
      </w:r>
      <w:r w:rsidRPr="00CF3D1E">
        <w:rPr>
          <w:vertAlign w:val="superscript"/>
        </w:rPr>
        <w:footnoteReference w:id="182"/>
      </w:r>
      <w:r w:rsidRPr="00CF3D1E">
        <w:t xml:space="preserve"> When the police visited the home at 02.00 am on the night of the baby’s death they questioned the parents and removed both pieces of baby equipment,</w:t>
      </w:r>
      <w:r w:rsidRPr="00CF3D1E">
        <w:rPr>
          <w:vertAlign w:val="superscript"/>
        </w:rPr>
        <w:footnoteReference w:id="183"/>
      </w:r>
      <w:r w:rsidRPr="00CF3D1E">
        <w:t xml:space="preserve"> having already noted on the coroner’s form that Christopher had been found in a bouncy chair.</w:t>
      </w:r>
      <w:r w:rsidRPr="00CF3D1E">
        <w:rPr>
          <w:vertAlign w:val="superscript"/>
        </w:rPr>
        <w:footnoteReference w:id="184"/>
      </w:r>
      <w:r w:rsidRPr="00CF3D1E">
        <w:t xml:space="preserve"> Clark failed to later challenge that discrepancy, and the first appeal report states, ‘The fact that the appellant gave inconsistent accounts of where she found </w:t>
      </w:r>
      <w:r w:rsidRPr="00CF3D1E">
        <w:lastRenderedPageBreak/>
        <w:t>Christopher adds to its significance rather than detracting from it’,</w:t>
      </w:r>
      <w:r w:rsidRPr="00CF3D1E">
        <w:rPr>
          <w:vertAlign w:val="superscript"/>
        </w:rPr>
        <w:footnoteReference w:id="185"/>
      </w:r>
      <w:r w:rsidRPr="00CF3D1E">
        <w:t xml:space="preserve"> as she was unable to remember whether the child died in a bouncy chair or the Moses basket.</w:t>
      </w:r>
      <w:r w:rsidRPr="00CF3D1E">
        <w:rPr>
          <w:vertAlign w:val="superscript"/>
        </w:rPr>
        <w:footnoteReference w:id="186"/>
      </w:r>
      <w:r w:rsidRPr="00CF3D1E">
        <w:t xml:space="preserve"> </w:t>
      </w:r>
    </w:p>
    <w:p w14:paraId="6C5FCD21" w14:textId="54A5058F" w:rsidR="00D7152A" w:rsidRPr="00CF3D1E" w:rsidRDefault="00D7152A" w:rsidP="005673FC">
      <w:pPr>
        <w:spacing w:line="480" w:lineRule="auto"/>
        <w:jc w:val="both"/>
      </w:pPr>
      <w:r w:rsidRPr="00CF3D1E">
        <w:t xml:space="preserve">It is difficult to tell whether </w:t>
      </w:r>
      <w:r w:rsidR="00DF5F76">
        <w:t xml:space="preserve">not </w:t>
      </w:r>
      <w:r w:rsidRPr="00CF3D1E">
        <w:t>remembering which place the child was in when discovered lifeless was probative</w:t>
      </w:r>
      <w:r w:rsidR="00667710" w:rsidRPr="00CF3D1E">
        <w:t>,</w:t>
      </w:r>
      <w:r w:rsidRPr="00CF3D1E">
        <w:t xml:space="preserve"> as the prosecution suggested or</w:t>
      </w:r>
      <w:r w:rsidR="00646164">
        <w:t>,</w:t>
      </w:r>
      <w:r w:rsidRPr="00CF3D1E">
        <w:t xml:space="preserve"> whether Clark’s memory may have been impaired by the shock of Christopher’s death.  Ellison suggests that the impact of trauma in sexual assault cases may have a significant effect on memory. ‘Significantly, research suggests that the normal variability of memory can be exacerbated by the impact of trauma, such as that experienced by victims of sexual assault’.</w:t>
      </w:r>
      <w:r w:rsidRPr="00CF3D1E">
        <w:rPr>
          <w:rStyle w:val="FootnoteReference"/>
        </w:rPr>
        <w:footnoteReference w:id="187"/>
      </w:r>
      <w:r w:rsidRPr="00CF3D1E">
        <w:t xml:space="preserve"> It is therefore possible that the risk that Clark may have suffered post-traumatic stress disorder (PTSD) as a result of the death of her child, resulting in impaired memory, may have been overlooked by both the defence and judicial summing up. Such a shocking moment of discovery is unlikely to be forgotten. But the view th</w:t>
      </w:r>
      <w:r w:rsidR="00DF5F76">
        <w:t>at detailed memories are accurate and</w:t>
      </w:r>
      <w:r w:rsidRPr="00CF3D1E">
        <w:t xml:space="preserve"> can be recalled indicates that evidence of Clark’s faulty mem</w:t>
      </w:r>
      <w:r w:rsidR="00DF5F76">
        <w:t>ory may have been interpreted in accordance with</w:t>
      </w:r>
      <w:r w:rsidRPr="00CF3D1E">
        <w:t xml:space="preserve"> a fixed belief that all mothers should remember the factual circumstances of </w:t>
      </w:r>
      <w:r w:rsidR="00646164">
        <w:t xml:space="preserve">a </w:t>
      </w:r>
      <w:r w:rsidRPr="00CF3D1E">
        <w:t>child</w:t>
      </w:r>
      <w:r w:rsidR="00646164">
        <w:t>’s</w:t>
      </w:r>
      <w:r w:rsidRPr="00CF3D1E">
        <w:t xml:space="preserve"> death. </w:t>
      </w:r>
      <w:r w:rsidR="00646164">
        <w:t>Any</w:t>
      </w:r>
      <w:r w:rsidRPr="00CF3D1E">
        <w:t xml:space="preserve"> inconsistencies </w:t>
      </w:r>
      <w:r w:rsidR="00646164">
        <w:t xml:space="preserve">therefore </w:t>
      </w:r>
      <w:r w:rsidRPr="00CF3D1E">
        <w:t>would lead to support for an adverse conclusion.</w:t>
      </w:r>
      <w:r w:rsidRPr="00CF3D1E">
        <w:rPr>
          <w:rStyle w:val="FootnoteReference"/>
        </w:rPr>
        <w:footnoteReference w:id="188"/>
      </w:r>
      <w:r w:rsidRPr="00CF3D1E">
        <w:t xml:space="preserve"> </w:t>
      </w:r>
    </w:p>
    <w:p w14:paraId="324D5A42" w14:textId="617CFA41" w:rsidR="00D7152A" w:rsidRPr="00CF3D1E" w:rsidRDefault="00DF5F76" w:rsidP="005673FC">
      <w:pPr>
        <w:spacing w:line="480" w:lineRule="auto"/>
        <w:jc w:val="both"/>
      </w:pPr>
      <w:r>
        <w:t>Clark’s second child Harry</w:t>
      </w:r>
      <w:r w:rsidR="00D7152A" w:rsidRPr="00CF3D1E">
        <w:t xml:space="preserve"> also suddenly stopped breathing in the evening; she called the ambulance whilst her husband commenced resuscitation.</w:t>
      </w:r>
      <w:r w:rsidR="00D7152A" w:rsidRPr="00CF3D1E">
        <w:rPr>
          <w:rStyle w:val="FootnoteReference"/>
        </w:rPr>
        <w:footnoteReference w:id="189"/>
      </w:r>
      <w:r w:rsidR="00D7152A" w:rsidRPr="00CF3D1E">
        <w:t xml:space="preserve"> Ag</w:t>
      </w:r>
      <w:r>
        <w:t>ain the first appeal court judg</w:t>
      </w:r>
      <w:r w:rsidR="00D7152A" w:rsidRPr="00CF3D1E">
        <w:t>ment records professional witness evidence about Clark’s behaviour. Paramedics said when they arrived, Clark was ‘running up and down the street outside the house, barefoot, in pyjamas and very distressed’;</w:t>
      </w:r>
      <w:r w:rsidR="00D7152A" w:rsidRPr="00CF3D1E">
        <w:rPr>
          <w:vertAlign w:val="superscript"/>
        </w:rPr>
        <w:footnoteReference w:id="190"/>
      </w:r>
      <w:r w:rsidR="00D7152A" w:rsidRPr="00CF3D1E">
        <w:t xml:space="preserve"> </w:t>
      </w:r>
      <w:r>
        <w:t xml:space="preserve">and </w:t>
      </w:r>
      <w:r w:rsidR="00D7152A" w:rsidRPr="00CF3D1E">
        <w:lastRenderedPageBreak/>
        <w:t>that she had behaved in a ‘“very dramatic and almost hysterical”’</w:t>
      </w:r>
      <w:r w:rsidR="00D7152A" w:rsidRPr="00CF3D1E">
        <w:rPr>
          <w:vertAlign w:val="superscript"/>
        </w:rPr>
        <w:footnoteReference w:id="191"/>
      </w:r>
      <w:r w:rsidR="00D7152A" w:rsidRPr="00CF3D1E">
        <w:t xml:space="preserve"> manner, described as ‘“such an over-reaction”’.</w:t>
      </w:r>
      <w:r w:rsidR="00D7152A" w:rsidRPr="00CF3D1E">
        <w:rPr>
          <w:vertAlign w:val="superscript"/>
        </w:rPr>
        <w:footnoteReference w:id="192"/>
      </w:r>
      <w:r w:rsidR="00D7152A" w:rsidRPr="00CF3D1E">
        <w:t xml:space="preserve"> To compound the concerns about Clark at the time of Harry’s death, she could not accurately recall to police in interviews at home</w:t>
      </w:r>
      <w:r w:rsidR="0014212A">
        <w:t xml:space="preserve"> </w:t>
      </w:r>
      <w:r w:rsidR="00D7152A" w:rsidRPr="00CF3D1E">
        <w:t>the time that her husband had returned home on the night the second baby died, as she said she had confused the night the second child died with the night the first had died.</w:t>
      </w:r>
      <w:r w:rsidR="00D7152A" w:rsidRPr="00CF3D1E">
        <w:rPr>
          <w:vertAlign w:val="superscript"/>
        </w:rPr>
        <w:footnoteReference w:id="193"/>
      </w:r>
      <w:r w:rsidR="00D7152A" w:rsidRPr="00CF3D1E">
        <w:t xml:space="preserve"> In addition, a few days later the coroner</w:t>
      </w:r>
      <w:r w:rsidR="00D7152A" w:rsidRPr="00CF3D1E">
        <w:rPr>
          <w:vertAlign w:val="superscript"/>
        </w:rPr>
        <w:footnoteReference w:id="194"/>
      </w:r>
      <w:r w:rsidR="00D7152A" w:rsidRPr="00CF3D1E">
        <w:t xml:space="preserve"> said that Clark had stated ‘she and her husband would try for another baby’.</w:t>
      </w:r>
      <w:r w:rsidR="00D7152A" w:rsidRPr="00CF3D1E">
        <w:rPr>
          <w:vertAlign w:val="superscript"/>
        </w:rPr>
        <w:footnoteReference w:id="195"/>
      </w:r>
      <w:r w:rsidR="00D7152A" w:rsidRPr="00CF3D1E">
        <w:t xml:space="preserve"> Mrs Hurst said she felt that comment ‘most unusual’,</w:t>
      </w:r>
      <w:r w:rsidR="00D7152A" w:rsidRPr="00CF3D1E">
        <w:rPr>
          <w:vertAlign w:val="superscript"/>
        </w:rPr>
        <w:footnoteReference w:id="196"/>
      </w:r>
      <w:r w:rsidR="00D7152A" w:rsidRPr="00CF3D1E">
        <w:t xml:space="preserve"> and realised then that Clark had lost two babies. This observation led her to contact a senior police inspector and request a Home Office pathologist to conduct the post-mortem on the second baby Harry.</w:t>
      </w:r>
      <w:r w:rsidR="00D7152A" w:rsidRPr="00CF3D1E">
        <w:rPr>
          <w:vertAlign w:val="superscript"/>
        </w:rPr>
        <w:footnoteReference w:id="197"/>
      </w:r>
      <w:r w:rsidR="00D7152A" w:rsidRPr="00CF3D1E">
        <w:t xml:space="preserve"> </w:t>
      </w:r>
    </w:p>
    <w:p w14:paraId="5C8C65C6" w14:textId="3AB161B5" w:rsidR="00D7152A" w:rsidRPr="00CF3D1E" w:rsidRDefault="00D7152A" w:rsidP="005673FC">
      <w:pPr>
        <w:spacing w:line="480" w:lineRule="auto"/>
        <w:jc w:val="both"/>
      </w:pPr>
      <w:r w:rsidRPr="00CF3D1E">
        <w:t>Clark’s behaviour and comments were therefore appraised by professionals and an adverse interpretation was made that her behaviour was not normal. Whether Clark’s comments support an adverse interpretation is uncertain. Newly bereaved mothers must surely behave as individuals and not according to preconceived essentialised normative understandings. Nevertheless, a coroner is likely to have witnessed many bereaved parents and possibly sufficient to form a view that Clark’s behaviour was aberrant</w:t>
      </w:r>
      <w:r w:rsidR="005271AD">
        <w:t xml:space="preserve">. </w:t>
      </w:r>
      <w:r w:rsidRPr="00CF3D1E">
        <w:t xml:space="preserve"> </w:t>
      </w:r>
      <w:r w:rsidR="005271AD">
        <w:t>But s</w:t>
      </w:r>
      <w:r w:rsidRPr="00CF3D1E">
        <w:t xml:space="preserve">uch interpretations about behaviour based upon experience are not the same I suggest, as objective large scale research studies on bereavement behaviour, which are </w:t>
      </w:r>
      <w:r w:rsidR="00667710" w:rsidRPr="00CF3D1E">
        <w:t xml:space="preserve">notably </w:t>
      </w:r>
      <w:r w:rsidRPr="00CF3D1E">
        <w:t>lacking in this area.</w:t>
      </w:r>
      <w:r w:rsidRPr="00CF3D1E">
        <w:rPr>
          <w:bCs/>
          <w:iCs/>
          <w:vertAlign w:val="superscript"/>
        </w:rPr>
        <w:footnoteReference w:id="198"/>
      </w:r>
      <w:r w:rsidRPr="00CF3D1E">
        <w:t xml:space="preserve">  </w:t>
      </w:r>
    </w:p>
    <w:p w14:paraId="112947EE" w14:textId="1B3C730D" w:rsidR="00D7152A" w:rsidRPr="00CF3D1E" w:rsidRDefault="00D7152A" w:rsidP="005673FC">
      <w:pPr>
        <w:spacing w:line="480" w:lineRule="auto"/>
        <w:jc w:val="both"/>
      </w:pPr>
      <w:r w:rsidRPr="00CF3D1E">
        <w:t xml:space="preserve">The points identified in this section about Clark’s behaviour are taken from Henry LJ’s judgment dismissing her first appeal. Whereas Clark’s </w:t>
      </w:r>
      <w:r w:rsidRPr="0014212A">
        <w:rPr>
          <w:i/>
        </w:rPr>
        <w:t>hysteria</w:t>
      </w:r>
      <w:r w:rsidRPr="00CF3D1E">
        <w:t xml:space="preserve"> and </w:t>
      </w:r>
      <w:r w:rsidRPr="0014212A">
        <w:rPr>
          <w:i/>
        </w:rPr>
        <w:t>distress</w:t>
      </w:r>
      <w:r w:rsidRPr="00CF3D1E">
        <w:t xml:space="preserve"> is mentioned twenty times by Henry </w:t>
      </w:r>
      <w:r w:rsidRPr="00CF3D1E">
        <w:lastRenderedPageBreak/>
        <w:t>LJ in his legal reasoning</w:t>
      </w:r>
      <w:r w:rsidR="005271AD">
        <w:t>,</w:t>
      </w:r>
      <w:r w:rsidRPr="00CF3D1E">
        <w:t xml:space="preserve"> in Kay LJ’s judgment of the second successful appeal,</w:t>
      </w:r>
      <w:r w:rsidRPr="00CF3D1E">
        <w:rPr>
          <w:rStyle w:val="FootnoteReference"/>
        </w:rPr>
        <w:footnoteReference w:id="199"/>
      </w:r>
      <w:r w:rsidRPr="00CF3D1E">
        <w:t xml:space="preserve"> </w:t>
      </w:r>
      <w:r w:rsidR="00D7481B">
        <w:t xml:space="preserve">each </w:t>
      </w:r>
      <w:r w:rsidR="005271AD">
        <w:t>word</w:t>
      </w:r>
      <w:r w:rsidRPr="00CF3D1E">
        <w:t xml:space="preserve"> </w:t>
      </w:r>
      <w:r w:rsidR="00D7481B">
        <w:t>is</w:t>
      </w:r>
      <w:r w:rsidRPr="00CF3D1E">
        <w:t xml:space="preserve"> mentioned </w:t>
      </w:r>
      <w:r w:rsidR="005271AD">
        <w:t xml:space="preserve">only </w:t>
      </w:r>
      <w:r w:rsidRPr="00CF3D1E">
        <w:t xml:space="preserve">once. It is possible that Henry LJ was persuaded that Clark’s behaviour around the time of her sons’ deaths was so abnormal it supported if not justified </w:t>
      </w:r>
      <w:r w:rsidR="005271AD">
        <w:t>upholding her</w:t>
      </w:r>
      <w:r w:rsidRPr="00CF3D1E">
        <w:t xml:space="preserve"> conviction and dismissing her appeal. However, in the judgement of her second appeal</w:t>
      </w:r>
      <w:r w:rsidR="00D7481B">
        <w:t xml:space="preserve"> </w:t>
      </w:r>
      <w:r w:rsidRPr="00CF3D1E">
        <w:t>such factors were barely mentioned. One cannot know the extent to which any member of the court may have believed that the evidence of Clark’s overwhelming distress, confusion and inappropriate comments justified a guilty verdict. But it</w:t>
      </w:r>
      <w:r w:rsidR="005271AD">
        <w:t xml:space="preserve"> is clear that in Kay LJ’s judg</w:t>
      </w:r>
      <w:r w:rsidRPr="00CF3D1E">
        <w:t xml:space="preserve">ment, such factors were of no relevance or weight. Accordingly, there is a question whether professionals’ fixed beliefs about normal behaviour of mothers confronted with a dying child supported if not justified a guilty verdict, without expert evidence from a psychiatrist to support such perceptions, and </w:t>
      </w:r>
      <w:r w:rsidR="005271AD">
        <w:t xml:space="preserve">there is also a question as to why </w:t>
      </w:r>
      <w:r w:rsidRPr="00CF3D1E">
        <w:t xml:space="preserve">defence counsel failed to adequately challenge what may have been </w:t>
      </w:r>
      <w:r w:rsidRPr="00CF3D1E">
        <w:rPr>
          <w:i/>
        </w:rPr>
        <w:t>mothering myths</w:t>
      </w:r>
      <w:r w:rsidRPr="00CF3D1E">
        <w:t xml:space="preserve">.   </w:t>
      </w:r>
    </w:p>
    <w:p w14:paraId="23DE4D6D" w14:textId="40B95EC6" w:rsidR="00D7481B" w:rsidRDefault="00D7152A" w:rsidP="005673FC">
      <w:pPr>
        <w:spacing w:line="480" w:lineRule="auto"/>
        <w:jc w:val="both"/>
      </w:pPr>
      <w:r w:rsidRPr="00CF3D1E">
        <w:t>How a mother should behave following the death of a child may be impossible to state without over</w:t>
      </w:r>
      <w:r w:rsidR="005271AD">
        <w:t>-</w:t>
      </w:r>
      <w:r w:rsidRPr="00CF3D1E">
        <w:t xml:space="preserve"> simplification. However as Judge LJ suggested in </w:t>
      </w:r>
      <w:r w:rsidRPr="00CF3D1E">
        <w:rPr>
          <w:i/>
        </w:rPr>
        <w:t>Cannings</w:t>
      </w:r>
      <w:r w:rsidRPr="00CF3D1E">
        <w:t>,</w:t>
      </w:r>
      <w:r w:rsidRPr="00CF3D1E">
        <w:rPr>
          <w:vertAlign w:val="superscript"/>
        </w:rPr>
        <w:footnoteReference w:id="200"/>
      </w:r>
      <w:r w:rsidR="005271AD">
        <w:t xml:space="preserve"> if a fixed and over-</w:t>
      </w:r>
      <w:r w:rsidRPr="00CF3D1E">
        <w:t>simplified view is held that ‘lightning does not strike three times in the same place’</w:t>
      </w:r>
      <w:r w:rsidRPr="00CF3D1E">
        <w:rPr>
          <w:rStyle w:val="FootnoteReference"/>
        </w:rPr>
        <w:footnoteReference w:id="201"/>
      </w:r>
      <w:r w:rsidRPr="00CF3D1E">
        <w:t xml:space="preserve"> then however a mother behaved, ‘might be thought to confirm the conclusion that lightning could not indeed have struck three times’.</w:t>
      </w:r>
      <w:r w:rsidRPr="00CF3D1E">
        <w:rPr>
          <w:vertAlign w:val="superscript"/>
        </w:rPr>
        <w:footnoteReference w:id="202"/>
      </w:r>
      <w:r w:rsidRPr="00CF3D1E">
        <w:t xml:space="preserve"> If the children’s deaths were natural then ‘virtually anything done by the mother on discovering such shattering and repeated disasters would be readily understandable as personal manifestations of profound natural shock and grief’.</w:t>
      </w:r>
      <w:r w:rsidRPr="00CF3D1E">
        <w:rPr>
          <w:rStyle w:val="FootnoteReference"/>
        </w:rPr>
        <w:footnoteReference w:id="203"/>
      </w:r>
      <w:r w:rsidRPr="00CF3D1E">
        <w:t xml:space="preserve"> Judge LJ suggests that maternal behaviour in </w:t>
      </w:r>
      <w:r w:rsidRPr="00CF3D1E">
        <w:rPr>
          <w:i/>
        </w:rPr>
        <w:t>Cannings</w:t>
      </w:r>
      <w:r w:rsidRPr="00CF3D1E">
        <w:t xml:space="preserve"> was therefore adversely interpreted within the context of and as a result of flawed expert evidence,</w:t>
      </w:r>
      <w:r w:rsidRPr="00CF3D1E">
        <w:rPr>
          <w:vertAlign w:val="superscript"/>
        </w:rPr>
        <w:footnoteReference w:id="204"/>
      </w:r>
      <w:r w:rsidRPr="00CF3D1E">
        <w:t xml:space="preserve"> and the same could be said of </w:t>
      </w:r>
      <w:r w:rsidRPr="00CF3D1E">
        <w:rPr>
          <w:i/>
        </w:rPr>
        <w:t>Clark.</w:t>
      </w:r>
      <w:r w:rsidRPr="00CF3D1E">
        <w:rPr>
          <w:vertAlign w:val="superscript"/>
        </w:rPr>
        <w:footnoteReference w:id="205"/>
      </w:r>
      <w:r w:rsidRPr="00CF3D1E">
        <w:rPr>
          <w:i/>
        </w:rPr>
        <w:t xml:space="preserve"> </w:t>
      </w:r>
      <w:r w:rsidRPr="00CF3D1E">
        <w:t xml:space="preserve">The judicial comments indicate that prejudicial interpretations of </w:t>
      </w:r>
      <w:r w:rsidRPr="00CF3D1E">
        <w:lastRenderedPageBreak/>
        <w:t>maternal behaviour may be very persuasive, especially where expert evidence on the interpretation of pathology findings such as ‘petechial or pinpoint haemorrhages’,</w:t>
      </w:r>
      <w:r w:rsidRPr="00CF3D1E">
        <w:rPr>
          <w:rStyle w:val="FootnoteReference"/>
        </w:rPr>
        <w:footnoteReference w:id="206"/>
      </w:r>
      <w:r w:rsidR="005271AD">
        <w:t xml:space="preserve"> and ‘i</w:t>
      </w:r>
      <w:r w:rsidRPr="00CF3D1E">
        <w:t>ntra-retinal haemorrhaging’</w:t>
      </w:r>
      <w:r w:rsidRPr="00CF3D1E">
        <w:rPr>
          <w:rStyle w:val="FootnoteReference"/>
        </w:rPr>
        <w:footnoteReference w:id="207"/>
      </w:r>
      <w:r w:rsidRPr="00CF3D1E">
        <w:t xml:space="preserve"> are complex and unfamiliar. </w:t>
      </w:r>
    </w:p>
    <w:p w14:paraId="1797B784" w14:textId="4AD029DE" w:rsidR="00D7152A" w:rsidRPr="00CF3D1E" w:rsidRDefault="00D7481B" w:rsidP="005673FC">
      <w:pPr>
        <w:spacing w:line="480" w:lineRule="auto"/>
        <w:jc w:val="both"/>
      </w:pPr>
      <w:r>
        <w:t>In</w:t>
      </w:r>
      <w:r w:rsidR="00D7152A" w:rsidRPr="00CF3D1E">
        <w:t xml:space="preserve"> </w:t>
      </w:r>
      <w:r w:rsidR="00D7152A" w:rsidRPr="00CF3D1E">
        <w:rPr>
          <w:i/>
        </w:rPr>
        <w:t>Cannings</w:t>
      </w:r>
      <w:r w:rsidR="00D7152A" w:rsidRPr="00CF3D1E">
        <w:t xml:space="preserve"> </w:t>
      </w:r>
      <w:r>
        <w:t xml:space="preserve">also there is little </w:t>
      </w:r>
      <w:r w:rsidR="002573E0">
        <w:t>evidence that</w:t>
      </w:r>
      <w:r w:rsidR="00D7152A" w:rsidRPr="00CF3D1E">
        <w:t xml:space="preserve"> </w:t>
      </w:r>
      <w:r w:rsidR="002573E0">
        <w:t xml:space="preserve">the normative interpretation of </w:t>
      </w:r>
      <w:r w:rsidR="00D7152A" w:rsidRPr="00CF3D1E">
        <w:t>maternal behaviour was robustly challenged by her defence.</w:t>
      </w:r>
      <w:r w:rsidR="00D7152A" w:rsidRPr="00CF3D1E">
        <w:rPr>
          <w:rStyle w:val="FootnoteReference"/>
        </w:rPr>
        <w:footnoteReference w:id="208"/>
      </w:r>
      <w:r w:rsidR="002573E0">
        <w:t xml:space="preserve"> The appeal judg</w:t>
      </w:r>
      <w:r w:rsidR="00D7152A" w:rsidRPr="00CF3D1E">
        <w:t xml:space="preserve">ment records that evidence of Cannings’ behaviour and emotional reactions when her young children experienced apparent or acute </w:t>
      </w:r>
      <w:r w:rsidR="002573E0">
        <w:t xml:space="preserve">life threatening events (ALTE) </w:t>
      </w:r>
      <w:r w:rsidR="00D7152A" w:rsidRPr="00CF3D1E">
        <w:t>was submitted in great detail,</w:t>
      </w:r>
      <w:r w:rsidR="00D7152A" w:rsidRPr="00CF3D1E">
        <w:rPr>
          <w:vertAlign w:val="superscript"/>
        </w:rPr>
        <w:footnoteReference w:id="209"/>
      </w:r>
      <w:r w:rsidR="00D7152A" w:rsidRPr="00CF3D1E">
        <w:t xml:space="preserve"> together with evidence of her use of the apnoea alarm,</w:t>
      </w:r>
      <w:r w:rsidR="00D7152A" w:rsidRPr="00CF3D1E">
        <w:rPr>
          <w:rStyle w:val="FootnoteReference"/>
        </w:rPr>
        <w:footnoteReference w:id="210"/>
      </w:r>
      <w:r w:rsidR="00D7152A" w:rsidRPr="00CF3D1E">
        <w:t xml:space="preserve"> and who she called when she realised a child was in danger.</w:t>
      </w:r>
      <w:r w:rsidR="00D7152A" w:rsidRPr="00CF3D1E">
        <w:rPr>
          <w:rStyle w:val="FootnoteReference"/>
        </w:rPr>
        <w:footnoteReference w:id="211"/>
      </w:r>
    </w:p>
    <w:p w14:paraId="5999EA6E" w14:textId="77777777" w:rsidR="00C372BB" w:rsidRDefault="00C372BB" w:rsidP="005673FC">
      <w:pPr>
        <w:jc w:val="both"/>
        <w:rPr>
          <w:b/>
          <w:i/>
        </w:rPr>
      </w:pPr>
    </w:p>
    <w:p w14:paraId="3267F408" w14:textId="6B98A25E" w:rsidR="00D7152A" w:rsidRPr="002573E0" w:rsidRDefault="005E5B5E" w:rsidP="005673FC">
      <w:pPr>
        <w:jc w:val="both"/>
        <w:rPr>
          <w:b/>
          <w:i/>
        </w:rPr>
      </w:pPr>
      <w:r w:rsidRPr="002573E0">
        <w:rPr>
          <w:b/>
          <w:i/>
        </w:rPr>
        <w:t>F</w:t>
      </w:r>
      <w:r w:rsidR="00D7152A" w:rsidRPr="002573E0">
        <w:rPr>
          <w:b/>
          <w:i/>
        </w:rPr>
        <w:t>ailing to use an apnoea monitor</w:t>
      </w:r>
      <w:r w:rsidRPr="002573E0">
        <w:rPr>
          <w:b/>
          <w:i/>
        </w:rPr>
        <w:t>:</w:t>
      </w:r>
      <w:r w:rsidR="00D7152A" w:rsidRPr="002573E0">
        <w:rPr>
          <w:b/>
          <w:i/>
        </w:rPr>
        <w:t xml:space="preserve"> indicative of guilt</w:t>
      </w:r>
      <w:r w:rsidRPr="002573E0">
        <w:rPr>
          <w:b/>
          <w:i/>
        </w:rPr>
        <w:t xml:space="preserve"> or a mothering myth</w:t>
      </w:r>
      <w:r w:rsidR="00D7152A" w:rsidRPr="002573E0">
        <w:rPr>
          <w:b/>
          <w:i/>
        </w:rPr>
        <w:t>?</w:t>
      </w:r>
    </w:p>
    <w:p w14:paraId="5909AFC5" w14:textId="7C2DE90F" w:rsidR="00D7152A" w:rsidRPr="00CF3D1E" w:rsidRDefault="00D7152A" w:rsidP="005673FC">
      <w:pPr>
        <w:spacing w:line="480" w:lineRule="auto"/>
        <w:jc w:val="both"/>
      </w:pPr>
      <w:r w:rsidRPr="00CF3D1E">
        <w:t>Cannings was regarded by health</w:t>
      </w:r>
      <w:r w:rsidR="002573E0">
        <w:t xml:space="preserve"> professionals as a good mother</w:t>
      </w:r>
      <w:r w:rsidRPr="00CF3D1E">
        <w:t xml:space="preserve"> and care-giver, with the appearance of an affectionate and caring mother.</w:t>
      </w:r>
      <w:r w:rsidRPr="00CF3D1E">
        <w:rPr>
          <w:vertAlign w:val="superscript"/>
        </w:rPr>
        <w:footnoteReference w:id="212"/>
      </w:r>
      <w:r w:rsidRPr="00CF3D1E">
        <w:t xml:space="preserve"> She had four children of </w:t>
      </w:r>
      <w:r w:rsidR="00651384">
        <w:t>whom</w:t>
      </w:r>
      <w:r w:rsidRPr="00CF3D1E">
        <w:t xml:space="preserve"> three died. She was charged with the murder of two. All three suffered from what were referred to as acute or apparent life threatening events (ALTE) where they apparently stopped breathing, and the appeal transcript identified ALTEs as SIDS in which no death had actually resulted.</w:t>
      </w:r>
      <w:r w:rsidRPr="00CF3D1E">
        <w:rPr>
          <w:vertAlign w:val="superscript"/>
        </w:rPr>
        <w:footnoteReference w:id="213"/>
      </w:r>
      <w:r w:rsidRPr="00CF3D1E">
        <w:t xml:space="preserve"> Prosecution</w:t>
      </w:r>
      <w:r w:rsidR="00651384">
        <w:t xml:space="preserve"> counsel argued that the ALTE</w:t>
      </w:r>
      <w:r w:rsidRPr="00CF3D1E">
        <w:t xml:space="preserve">s were the result of Cannings attempting to smother the children by obstructing their upper </w:t>
      </w:r>
      <w:r w:rsidRPr="00CF3D1E">
        <w:lastRenderedPageBreak/>
        <w:t>airways,</w:t>
      </w:r>
      <w:r w:rsidRPr="00CF3D1E">
        <w:rPr>
          <w:vertAlign w:val="superscript"/>
        </w:rPr>
        <w:footnoteReference w:id="214"/>
      </w:r>
      <w:r w:rsidRPr="00CF3D1E">
        <w:t xml:space="preserve"> and the reasoning was supported by evidence that Cannings frequently forgot to use the apnoea </w:t>
      </w:r>
      <w:r w:rsidR="005E5B5E" w:rsidRPr="00CF3D1E">
        <w:t>monitor</w:t>
      </w:r>
      <w:r w:rsidRPr="00CF3D1E">
        <w:t>.</w:t>
      </w:r>
      <w:r w:rsidRPr="00CF3D1E">
        <w:rPr>
          <w:vertAlign w:val="superscript"/>
        </w:rPr>
        <w:footnoteReference w:id="215"/>
      </w:r>
      <w:r w:rsidRPr="00CF3D1E">
        <w:t xml:space="preserve">  </w:t>
      </w:r>
    </w:p>
    <w:p w14:paraId="63A902BD" w14:textId="3EDEE5A8" w:rsidR="00D7152A" w:rsidRPr="00CF3D1E" w:rsidRDefault="00D7152A" w:rsidP="005673FC">
      <w:pPr>
        <w:spacing w:line="480" w:lineRule="auto"/>
        <w:jc w:val="both"/>
      </w:pPr>
      <w:r w:rsidRPr="00CF3D1E">
        <w:t>At the time when the mothers in this</w:t>
      </w:r>
      <w:r w:rsidR="008748FA" w:rsidRPr="00CF3D1E">
        <w:t xml:space="preserve"> study</w:t>
      </w:r>
      <w:r w:rsidRPr="00CF3D1E">
        <w:t xml:space="preserve"> were having their families, those with a new baby where there had been a previous </w:t>
      </w:r>
      <w:r w:rsidR="00BC3F40">
        <w:t>sudden infant death (</w:t>
      </w:r>
      <w:r w:rsidRPr="00CF3D1E">
        <w:t>SID</w:t>
      </w:r>
      <w:r w:rsidR="00BC3F40">
        <w:t>)</w:t>
      </w:r>
      <w:r w:rsidRPr="00CF3D1E">
        <w:t>, were offered support from the Care of the Next Infant (CONI)</w:t>
      </w:r>
      <w:r w:rsidRPr="00CF3D1E">
        <w:rPr>
          <w:vertAlign w:val="superscript"/>
        </w:rPr>
        <w:footnoteReference w:id="216"/>
      </w:r>
      <w:r w:rsidRPr="00CF3D1E">
        <w:t xml:space="preserve"> programme managed by the University of Sheffield’s Child Health Unit.</w:t>
      </w:r>
      <w:r w:rsidRPr="00CF3D1E">
        <w:rPr>
          <w:vertAlign w:val="superscript"/>
        </w:rPr>
        <w:footnoteReference w:id="217"/>
      </w:r>
      <w:r w:rsidRPr="00CF3D1E">
        <w:t xml:space="preserve"> The worry for parents about how to care for a </w:t>
      </w:r>
      <w:r w:rsidRPr="00CF3D1E">
        <w:rPr>
          <w:i/>
        </w:rPr>
        <w:t>next infant</w:t>
      </w:r>
      <w:r w:rsidRPr="00CF3D1E">
        <w:t xml:space="preserve"> was considerable, as Frances Rose, who was monitored as a baby explains: </w:t>
      </w:r>
    </w:p>
    <w:p w14:paraId="65DAF542" w14:textId="77777777" w:rsidR="00D7152A" w:rsidRPr="00CF3D1E" w:rsidRDefault="00D7152A" w:rsidP="005673FC">
      <w:pPr>
        <w:spacing w:line="480" w:lineRule="auto"/>
        <w:ind w:left="720"/>
        <w:jc w:val="both"/>
      </w:pPr>
      <w:r w:rsidRPr="00CF3D1E">
        <w:t>I know my parents went through the CONI scheme with me, ending up with a year or so of sleepless nights due to apnoea monitors (23 years ago these were less than accurate!), which gave them a certain amount of peace of mind, but was coupled with countless false alarms.</w:t>
      </w:r>
      <w:r w:rsidRPr="00CF3D1E">
        <w:rPr>
          <w:vertAlign w:val="superscript"/>
        </w:rPr>
        <w:footnoteReference w:id="218"/>
      </w:r>
      <w:r w:rsidRPr="00CF3D1E">
        <w:t xml:space="preserve"> </w:t>
      </w:r>
    </w:p>
    <w:p w14:paraId="1BFFD4B2" w14:textId="16EE2C3F" w:rsidR="00D7152A" w:rsidRPr="00CF3D1E" w:rsidRDefault="00D7152A" w:rsidP="005673FC">
      <w:pPr>
        <w:spacing w:line="480" w:lineRule="auto"/>
        <w:jc w:val="both"/>
      </w:pPr>
      <w:r w:rsidRPr="00CF3D1E">
        <w:t>Apnoea is the term used when there is no respiratory effort for greater than 20 seconds or for a shorter period if accompanied by cyanosis</w:t>
      </w:r>
      <w:r w:rsidRPr="00CF3D1E">
        <w:rPr>
          <w:vertAlign w:val="superscript"/>
        </w:rPr>
        <w:footnoteReference w:id="219"/>
      </w:r>
      <w:r w:rsidRPr="00CF3D1E">
        <w:t xml:space="preserve"> or bradycardia,</w:t>
      </w:r>
      <w:r w:rsidRPr="00CF3D1E">
        <w:rPr>
          <w:vertAlign w:val="superscript"/>
        </w:rPr>
        <w:footnoteReference w:id="220"/>
      </w:r>
      <w:r w:rsidRPr="00CF3D1E">
        <w:t xml:space="preserve"> as in an acute life threatening event (ALTE).</w:t>
      </w:r>
      <w:r w:rsidRPr="00CF3D1E">
        <w:rPr>
          <w:vertAlign w:val="superscript"/>
        </w:rPr>
        <w:footnoteReference w:id="221"/>
      </w:r>
      <w:r w:rsidRPr="00CF3D1E">
        <w:t xml:space="preserve"> Apnoea monitors are electronic devices activated by sensors attached to a baby’s chest or abdomen that respond to a baby’s respiratory movements and were provided for families to use when the baby was asleep or at night. Waite et al</w:t>
      </w:r>
      <w:r w:rsidR="00EE348C">
        <w:t>.</w:t>
      </w:r>
      <w:r w:rsidRPr="00CF3D1E">
        <w:t xml:space="preserve"> found that most families </w:t>
      </w:r>
      <w:r w:rsidR="00EE348C" w:rsidRPr="00CF3D1E">
        <w:t xml:space="preserve">(86%) </w:t>
      </w:r>
      <w:r w:rsidRPr="00CF3D1E">
        <w:t>used them.</w:t>
      </w:r>
      <w:r w:rsidRPr="00CF3D1E">
        <w:rPr>
          <w:vertAlign w:val="superscript"/>
        </w:rPr>
        <w:footnoteReference w:id="222"/>
      </w:r>
      <w:r w:rsidRPr="00CF3D1E">
        <w:t xml:space="preserve"> The monitor beeped with respirations and sounded a continuous alarm if the chest or abdomen stopped moving, indicating that respirations could not be detected. A variety of monitors were issued under the CONI programme </w:t>
      </w:r>
      <w:r w:rsidRPr="00CF3D1E">
        <w:lastRenderedPageBreak/>
        <w:t>for home use,</w:t>
      </w:r>
      <w:r w:rsidRPr="00CF3D1E">
        <w:rPr>
          <w:vertAlign w:val="superscript"/>
        </w:rPr>
        <w:footnoteReference w:id="223"/>
      </w:r>
      <w:r w:rsidRPr="00CF3D1E">
        <w:t xml:space="preserve"> but they always had ‘serious drawbacks’</w:t>
      </w:r>
      <w:r w:rsidRPr="00CF3D1E">
        <w:rPr>
          <w:vertAlign w:val="superscript"/>
        </w:rPr>
        <w:footnoteReference w:id="224"/>
      </w:r>
      <w:r w:rsidRPr="00CF3D1E">
        <w:t xml:space="preserve"> because they were unable to ‘reliably detect life threatening events, their high rate of false alarms…failing to reliably detect when babies stop breathing’.</w:t>
      </w:r>
      <w:r w:rsidRPr="00CF3D1E">
        <w:rPr>
          <w:vertAlign w:val="superscript"/>
        </w:rPr>
        <w:footnoteReference w:id="225"/>
      </w:r>
      <w:r w:rsidRPr="00CF3D1E">
        <w:t xml:space="preserve"> Hence, as in Frances Rose’s example, apnoea monitors often sounded an alarm for no apparent reason, and confidence in monitors ‘gradually declined’</w:t>
      </w:r>
      <w:r w:rsidRPr="00CF3D1E">
        <w:rPr>
          <w:vertAlign w:val="superscript"/>
        </w:rPr>
        <w:footnoteReference w:id="226"/>
      </w:r>
      <w:r w:rsidRPr="00CF3D1E">
        <w:t xml:space="preserve"> as parents became more aware of the ‘limitations of the apnoea monitors’.</w:t>
      </w:r>
      <w:r w:rsidRPr="00CF3D1E">
        <w:rPr>
          <w:vertAlign w:val="superscript"/>
        </w:rPr>
        <w:footnoteReference w:id="227"/>
      </w:r>
      <w:r w:rsidRPr="00CF3D1E">
        <w:t xml:space="preserve"> As Judge LJ pointed out in </w:t>
      </w:r>
      <w:r w:rsidRPr="00CF3D1E">
        <w:rPr>
          <w:i/>
        </w:rPr>
        <w:t>Cannings</w:t>
      </w:r>
      <w:r w:rsidRPr="00CF3D1E">
        <w:t>, ‘it is not, as some think, a machine which prevents an infant death’.</w:t>
      </w:r>
      <w:r w:rsidRPr="00CF3D1E">
        <w:rPr>
          <w:bCs/>
          <w:iCs/>
          <w:vertAlign w:val="superscript"/>
        </w:rPr>
        <w:footnoteReference w:id="228"/>
      </w:r>
    </w:p>
    <w:p w14:paraId="408F83D6" w14:textId="53BF6D64" w:rsidR="00D7152A" w:rsidRPr="00CF3D1E" w:rsidRDefault="00D7152A" w:rsidP="005673FC">
      <w:pPr>
        <w:spacing w:line="480" w:lineRule="auto"/>
        <w:jc w:val="both"/>
        <w:rPr>
          <w:bCs/>
          <w:iCs/>
        </w:rPr>
      </w:pPr>
      <w:r w:rsidRPr="00CF3D1E">
        <w:t>Cannings was issued with a monitor,</w:t>
      </w:r>
      <w:r w:rsidRPr="00CF3D1E">
        <w:rPr>
          <w:rStyle w:val="FootnoteReference"/>
        </w:rPr>
        <w:footnoteReference w:id="229"/>
      </w:r>
      <w:r w:rsidRPr="00CF3D1E">
        <w:t xml:space="preserve"> but her behaviour was argued by prosecution counsel to be anomalous be</w:t>
      </w:r>
      <w:r w:rsidRPr="00CF3D1E">
        <w:rPr>
          <w:bCs/>
          <w:iCs/>
        </w:rPr>
        <w:t>cause she often forgot to ensure that it was attached and working,</w:t>
      </w:r>
      <w:r w:rsidRPr="00CF3D1E">
        <w:rPr>
          <w:bCs/>
          <w:iCs/>
          <w:vertAlign w:val="superscript"/>
        </w:rPr>
        <w:footnoteReference w:id="230"/>
      </w:r>
      <w:r w:rsidRPr="00CF3D1E">
        <w:rPr>
          <w:bCs/>
          <w:iCs/>
        </w:rPr>
        <w:t xml:space="preserve"> and she reported being unable to remember whether she had heard the sound of the alarm when her babies had stopped breathing.</w:t>
      </w:r>
      <w:r w:rsidRPr="00CF3D1E">
        <w:rPr>
          <w:bCs/>
          <w:iCs/>
          <w:vertAlign w:val="superscript"/>
        </w:rPr>
        <w:footnoteReference w:id="231"/>
      </w:r>
      <w:r w:rsidRPr="00CF3D1E">
        <w:rPr>
          <w:bCs/>
          <w:iCs/>
        </w:rPr>
        <w:t xml:space="preserve"> She stated in evidence that ‘the police believed I had never used them [apnoea alarms] at all’,</w:t>
      </w:r>
      <w:r w:rsidRPr="00CF3D1E">
        <w:rPr>
          <w:bCs/>
          <w:iCs/>
          <w:vertAlign w:val="superscript"/>
        </w:rPr>
        <w:footnoteReference w:id="232"/>
      </w:r>
      <w:r w:rsidRPr="00CF3D1E">
        <w:rPr>
          <w:bCs/>
          <w:iCs/>
        </w:rPr>
        <w:t xml:space="preserve"> and that police had sound engineers test the alarms.</w:t>
      </w:r>
      <w:r w:rsidRPr="00CF3D1E">
        <w:rPr>
          <w:bCs/>
          <w:iCs/>
          <w:vertAlign w:val="superscript"/>
        </w:rPr>
        <w:footnoteReference w:id="233"/>
      </w:r>
      <w:r w:rsidRPr="00CF3D1E">
        <w:rPr>
          <w:bCs/>
          <w:iCs/>
        </w:rPr>
        <w:t xml:space="preserve"> Consequently, prosecution counsel argued that ‘the appellant had not told the full truth about the workings of the apnoea alarm’.</w:t>
      </w:r>
      <w:r w:rsidRPr="00CF3D1E">
        <w:rPr>
          <w:bCs/>
          <w:iCs/>
          <w:vertAlign w:val="superscript"/>
        </w:rPr>
        <w:footnoteReference w:id="234"/>
      </w:r>
      <w:r w:rsidRPr="00CF3D1E">
        <w:rPr>
          <w:bCs/>
          <w:iCs/>
        </w:rPr>
        <w:t xml:space="preserve"> Evidence of her inconsistent memories, and emotional reactions was also presented in terms that suggested her behaviour</w:t>
      </w:r>
      <w:r w:rsidR="00EE348C">
        <w:rPr>
          <w:bCs/>
          <w:iCs/>
        </w:rPr>
        <w:t>, described as</w:t>
      </w:r>
      <w:r w:rsidRPr="00CF3D1E">
        <w:rPr>
          <w:bCs/>
          <w:iCs/>
        </w:rPr>
        <w:t xml:space="preserve"> distressed, very shocked, sobbing, retching and vomiting,</w:t>
      </w:r>
      <w:r w:rsidRPr="00CF3D1E">
        <w:rPr>
          <w:bCs/>
          <w:iCs/>
          <w:vertAlign w:val="superscript"/>
        </w:rPr>
        <w:footnoteReference w:id="235"/>
      </w:r>
      <w:r w:rsidRPr="00CF3D1E">
        <w:rPr>
          <w:bCs/>
          <w:iCs/>
        </w:rPr>
        <w:t xml:space="preserve"> may like Clark’s have been perceived as too much, and therefore indicative of guilt.</w:t>
      </w:r>
      <w:r w:rsidRPr="00CF3D1E">
        <w:rPr>
          <w:rStyle w:val="FootnoteReference"/>
          <w:bCs/>
          <w:iCs/>
        </w:rPr>
        <w:footnoteReference w:id="236"/>
      </w:r>
    </w:p>
    <w:p w14:paraId="5CC1740B" w14:textId="71CC6708" w:rsidR="00D7152A" w:rsidRPr="00CF3D1E" w:rsidRDefault="00D7152A" w:rsidP="005673FC">
      <w:pPr>
        <w:spacing w:line="480" w:lineRule="auto"/>
        <w:jc w:val="both"/>
        <w:rPr>
          <w:bCs/>
          <w:iCs/>
        </w:rPr>
      </w:pPr>
      <w:r w:rsidRPr="00CF3D1E">
        <w:rPr>
          <w:bCs/>
          <w:iCs/>
        </w:rPr>
        <w:lastRenderedPageBreak/>
        <w:t xml:space="preserve">Whether the jury believed that the strength of Cannings’ emotional reactions and </w:t>
      </w:r>
      <w:r w:rsidR="00EE348C">
        <w:rPr>
          <w:bCs/>
          <w:iCs/>
        </w:rPr>
        <w:t xml:space="preserve">the fact that </w:t>
      </w:r>
      <w:r w:rsidRPr="00CF3D1E">
        <w:rPr>
          <w:bCs/>
          <w:iCs/>
        </w:rPr>
        <w:t>she did not attach the monitor and listen for it at all times supported a finding of guilt</w:t>
      </w:r>
      <w:r w:rsidR="00EE348C">
        <w:rPr>
          <w:bCs/>
          <w:iCs/>
        </w:rPr>
        <w:t>, is difficult to know for sure.</w:t>
      </w:r>
      <w:r w:rsidRPr="00CF3D1E">
        <w:rPr>
          <w:bCs/>
          <w:iCs/>
        </w:rPr>
        <w:t xml:space="preserve"> </w:t>
      </w:r>
      <w:r w:rsidR="00EE348C">
        <w:rPr>
          <w:bCs/>
          <w:iCs/>
        </w:rPr>
        <w:t>H</w:t>
      </w:r>
      <w:r w:rsidRPr="00CF3D1E">
        <w:rPr>
          <w:bCs/>
          <w:iCs/>
        </w:rPr>
        <w:t xml:space="preserve">owever, the prominence given to such factors in the </w:t>
      </w:r>
      <w:r w:rsidR="00EE348C">
        <w:rPr>
          <w:bCs/>
          <w:iCs/>
        </w:rPr>
        <w:t>appeal judgment</w:t>
      </w:r>
      <w:r w:rsidRPr="00CF3D1E">
        <w:rPr>
          <w:bCs/>
          <w:iCs/>
        </w:rPr>
        <w:t xml:space="preserve"> suggests that at trial, such considerations were significant. Hallett J directed the jury to ‘look at all the evidence’,</w:t>
      </w:r>
      <w:r w:rsidRPr="00CF3D1E">
        <w:rPr>
          <w:bCs/>
          <w:iCs/>
          <w:vertAlign w:val="superscript"/>
        </w:rPr>
        <w:footnoteReference w:id="237"/>
      </w:r>
      <w:r w:rsidRPr="00CF3D1E">
        <w:rPr>
          <w:bCs/>
          <w:iCs/>
        </w:rPr>
        <w:t xml:space="preserve"> and therefore maternal behaviour would have formed part of that appraisal, especially as there is no mention in the appeal report of a defence challenge to such evidence. In addition, although </w:t>
      </w:r>
      <w:r w:rsidRPr="00CF3D1E">
        <w:rPr>
          <w:bCs/>
          <w:i/>
          <w:iCs/>
        </w:rPr>
        <w:t>Clark</w:t>
      </w:r>
      <w:r w:rsidRPr="00CF3D1E">
        <w:rPr>
          <w:bCs/>
          <w:iCs/>
        </w:rPr>
        <w:t xml:space="preserve"> and </w:t>
      </w:r>
      <w:r w:rsidRPr="00CF3D1E">
        <w:rPr>
          <w:bCs/>
          <w:i/>
          <w:iCs/>
        </w:rPr>
        <w:t>Cannings</w:t>
      </w:r>
      <w:r w:rsidRPr="00CF3D1E">
        <w:rPr>
          <w:bCs/>
          <w:iCs/>
        </w:rPr>
        <w:t xml:space="preserve"> may be distinguished by Cannings having lost three babies and Clark having lost two, both were part of the CONI programme and issued with monitors, however Clark did not use the apnoea alarm at all during the day,</w:t>
      </w:r>
      <w:r w:rsidRPr="00CF3D1E">
        <w:rPr>
          <w:rStyle w:val="FootnoteReference"/>
          <w:bCs/>
          <w:iCs/>
        </w:rPr>
        <w:footnoteReference w:id="238"/>
      </w:r>
      <w:r w:rsidRPr="00CF3D1E">
        <w:rPr>
          <w:bCs/>
          <w:iCs/>
        </w:rPr>
        <w:t xml:space="preserve"> and this fact was not raised in evidence. A belief might be held that in Cannings’ home where the young</w:t>
      </w:r>
      <w:r w:rsidR="00EE348C">
        <w:rPr>
          <w:bCs/>
          <w:iCs/>
        </w:rPr>
        <w:t xml:space="preserve"> infants suffered repeated ALTEs, twenty-</w:t>
      </w:r>
      <w:r w:rsidRPr="00CF3D1E">
        <w:rPr>
          <w:bCs/>
          <w:iCs/>
        </w:rPr>
        <w:t xml:space="preserve">four hour monitoring should have been in place. However, monitors were known to be unreliable, infants were under continuous observation and monitor use as a decisive factor in criminal proceedings was inconsistent. </w:t>
      </w:r>
    </w:p>
    <w:p w14:paraId="048DB8E5" w14:textId="03491A30" w:rsidR="00D7152A" w:rsidRPr="00CF3D1E" w:rsidRDefault="00A2208F" w:rsidP="005673FC">
      <w:pPr>
        <w:spacing w:line="480" w:lineRule="auto"/>
        <w:jc w:val="both"/>
        <w:rPr>
          <w:bCs/>
          <w:iCs/>
        </w:rPr>
      </w:pPr>
      <w:r>
        <w:rPr>
          <w:bCs/>
          <w:iCs/>
        </w:rPr>
        <w:t>In any event,</w:t>
      </w:r>
      <w:r w:rsidR="00D7152A" w:rsidRPr="00CF3D1E">
        <w:rPr>
          <w:bCs/>
          <w:iCs/>
        </w:rPr>
        <w:t xml:space="preserve"> it is possible that heuristics may have played a part in juror decision making.</w:t>
      </w:r>
      <w:r w:rsidR="00D7152A" w:rsidRPr="00CF3D1E">
        <w:rPr>
          <w:bCs/>
          <w:iCs/>
          <w:vertAlign w:val="superscript"/>
        </w:rPr>
        <w:footnoteReference w:id="239"/>
      </w:r>
      <w:r w:rsidR="00D7152A" w:rsidRPr="00CF3D1E">
        <w:rPr>
          <w:bCs/>
          <w:iCs/>
        </w:rPr>
        <w:t xml:space="preserve"> </w:t>
      </w:r>
      <w:r w:rsidR="00D7481B">
        <w:rPr>
          <w:bCs/>
          <w:iCs/>
        </w:rPr>
        <w:t xml:space="preserve">As </w:t>
      </w:r>
      <w:r w:rsidR="00D7152A" w:rsidRPr="00CF3D1E">
        <w:rPr>
          <w:bCs/>
          <w:iCs/>
        </w:rPr>
        <w:t>Temkin and Krah</w:t>
      </w:r>
      <w:r w:rsidR="00C310F1">
        <w:rPr>
          <w:bCs/>
          <w:iCs/>
        </w:rPr>
        <w:t>é</w:t>
      </w:r>
      <w:r w:rsidR="00D7152A" w:rsidRPr="00CF3D1E">
        <w:rPr>
          <w:bCs/>
          <w:iCs/>
        </w:rPr>
        <w:t xml:space="preserve"> suggested in relation to rape trials, counterfactual thinking has been observed to occur when mock jurors are invited to re-imagine a situation such as a rape, and ask themselves what could have been done differently. In such circumstances, mock jurors are more likely to blame the person they have just imagined acting differently. If instead of a rape, the mock jurors were to imagine an ALTE and imagined what could or should have been done differently, then theoretically jurors might blame the mother for not making sure the child was attached to a working apnoea monitor. Of course that may be a very reasonable belief</w:t>
      </w:r>
      <w:r>
        <w:rPr>
          <w:bCs/>
          <w:iCs/>
        </w:rPr>
        <w:t>,</w:t>
      </w:r>
      <w:r w:rsidR="00D7152A" w:rsidRPr="00CF3D1E">
        <w:rPr>
          <w:bCs/>
          <w:iCs/>
        </w:rPr>
        <w:t xml:space="preserve"> but whether the belief supports or justifies a finding of murder given the known difficulties of monitoring instruments</w:t>
      </w:r>
      <w:r w:rsidR="00BC3F40">
        <w:rPr>
          <w:bCs/>
          <w:iCs/>
        </w:rPr>
        <w:t xml:space="preserve"> </w:t>
      </w:r>
      <w:r w:rsidR="00D7152A" w:rsidRPr="00CF3D1E">
        <w:rPr>
          <w:bCs/>
          <w:iCs/>
        </w:rPr>
        <w:t xml:space="preserve">is a different matter. Nevertheless it is </w:t>
      </w:r>
      <w:r w:rsidR="00D7152A" w:rsidRPr="00CF3D1E">
        <w:rPr>
          <w:bCs/>
          <w:iCs/>
        </w:rPr>
        <w:lastRenderedPageBreak/>
        <w:t>possible that failing to use an apnoea monitor may have been used by the jury as a</w:t>
      </w:r>
      <w:r w:rsidR="00D7152A" w:rsidRPr="00BC3F40">
        <w:rPr>
          <w:bCs/>
          <w:iCs/>
        </w:rPr>
        <w:t xml:space="preserve"> key behavioural cue in </w:t>
      </w:r>
      <w:r w:rsidR="00D7152A" w:rsidRPr="00CF3D1E">
        <w:rPr>
          <w:bCs/>
          <w:iCs/>
        </w:rPr>
        <w:t>attributing responsibility to the mother.</w:t>
      </w:r>
    </w:p>
    <w:p w14:paraId="4BFAD613" w14:textId="6FC1EF3A" w:rsidR="00D7152A" w:rsidRPr="00CF3D1E" w:rsidRDefault="00D7152A" w:rsidP="005673FC">
      <w:pPr>
        <w:spacing w:line="480" w:lineRule="auto"/>
        <w:jc w:val="both"/>
      </w:pPr>
      <w:r w:rsidRPr="00CF3D1E">
        <w:rPr>
          <w:bCs/>
          <w:iCs/>
        </w:rPr>
        <w:t>As Judge LJ later suggested, it was possible that given the large number of experts called and the complexity of the evidence given</w:t>
      </w:r>
      <w:r w:rsidR="00A2208F">
        <w:rPr>
          <w:bCs/>
          <w:iCs/>
        </w:rPr>
        <w:t xml:space="preserve">, </w:t>
      </w:r>
      <w:r w:rsidRPr="00CF3D1E">
        <w:rPr>
          <w:bCs/>
          <w:iCs/>
        </w:rPr>
        <w:t xml:space="preserve">the jury </w:t>
      </w:r>
      <w:r w:rsidR="00A2208F">
        <w:rPr>
          <w:bCs/>
          <w:iCs/>
        </w:rPr>
        <w:t xml:space="preserve">may </w:t>
      </w:r>
      <w:r w:rsidRPr="00CF3D1E">
        <w:rPr>
          <w:bCs/>
          <w:iCs/>
        </w:rPr>
        <w:t>‘</w:t>
      </w:r>
      <w:r w:rsidRPr="00CF3D1E">
        <w:t>inadvertently, unconsciously, have thought to itself that if, between them all, none could offer a definitive or specific explanation for these deaths, the Crown's case must be right’.</w:t>
      </w:r>
      <w:r w:rsidRPr="00CF3D1E">
        <w:rPr>
          <w:bCs/>
          <w:iCs/>
          <w:vertAlign w:val="superscript"/>
        </w:rPr>
        <w:footnoteReference w:id="240"/>
      </w:r>
      <w:r w:rsidRPr="00CF3D1E">
        <w:t xml:space="preserve"> Or, if evidence of maternal behaviour was interpreted using fixed beliefs combined with heuristics, a guilty verdict was supported and justified because the expert evidence was so inconclusive, thus presenting the possibility of a mothering myth.   </w:t>
      </w:r>
    </w:p>
    <w:p w14:paraId="70F3692C" w14:textId="7E161C53" w:rsidR="00D7152A" w:rsidRPr="00B8503A" w:rsidRDefault="005E5B5E" w:rsidP="005673FC">
      <w:pPr>
        <w:jc w:val="both"/>
        <w:rPr>
          <w:b/>
          <w:i/>
        </w:rPr>
      </w:pPr>
      <w:r w:rsidRPr="00B8503A">
        <w:rPr>
          <w:b/>
          <w:i/>
        </w:rPr>
        <w:t>Not</w:t>
      </w:r>
      <w:r w:rsidR="00D7152A" w:rsidRPr="00B8503A">
        <w:rPr>
          <w:b/>
          <w:i/>
        </w:rPr>
        <w:t xml:space="preserve"> calling for an ambulance</w:t>
      </w:r>
      <w:r w:rsidRPr="00B8503A">
        <w:rPr>
          <w:b/>
          <w:i/>
        </w:rPr>
        <w:t>: probative of guilt or a mothering myth?</w:t>
      </w:r>
      <w:r w:rsidR="00D7152A" w:rsidRPr="00B8503A">
        <w:rPr>
          <w:b/>
          <w:i/>
        </w:rPr>
        <w:t xml:space="preserve"> </w:t>
      </w:r>
    </w:p>
    <w:p w14:paraId="4516A7C2" w14:textId="44C07BA0" w:rsidR="00D7152A" w:rsidRPr="00CF3D1E" w:rsidRDefault="00D7152A" w:rsidP="005673FC">
      <w:pPr>
        <w:spacing w:line="480" w:lineRule="auto"/>
        <w:jc w:val="both"/>
      </w:pPr>
      <w:r w:rsidRPr="00CF3D1E">
        <w:t>When Cannings found her first baby Gemma ‘lying on her back, looking very, very white. She tried, unsuccessfully, to revive her. She called an ambulance’,</w:t>
      </w:r>
      <w:r w:rsidRPr="00CF3D1E">
        <w:rPr>
          <w:vertAlign w:val="superscript"/>
        </w:rPr>
        <w:footnoteReference w:id="241"/>
      </w:r>
      <w:r w:rsidR="00B8503A">
        <w:t xml:space="preserve"> but the baby </w:t>
      </w:r>
      <w:r w:rsidRPr="00CF3D1E">
        <w:t>could not be revived. The second baby Jason had an ALTE when the health visitor was present who resuscitated the child prior to his admission to hospital.</w:t>
      </w:r>
      <w:r w:rsidRPr="00CF3D1E">
        <w:rPr>
          <w:vertAlign w:val="superscript"/>
        </w:rPr>
        <w:footnoteReference w:id="242"/>
      </w:r>
      <w:r w:rsidRPr="00CF3D1E">
        <w:t xml:space="preserve"> Jason had a further ALTE at home a few days later, whereupon Cannings dialled 999 and the paramedic</w:t>
      </w:r>
      <w:r w:rsidR="00B8503A">
        <w:t>s</w:t>
      </w:r>
      <w:r w:rsidRPr="00CF3D1E">
        <w:t xml:space="preserve"> arrived.</w:t>
      </w:r>
      <w:r w:rsidRPr="00CF3D1E">
        <w:rPr>
          <w:vertAlign w:val="superscript"/>
        </w:rPr>
        <w:footnoteReference w:id="243"/>
      </w:r>
      <w:r w:rsidRPr="00CF3D1E">
        <w:t xml:space="preserve"> The bab</w:t>
      </w:r>
      <w:r w:rsidR="00B8503A">
        <w:t>y died subsequently in hospital</w:t>
      </w:r>
      <w:r w:rsidRPr="00CF3D1E">
        <w:t xml:space="preserve"> and</w:t>
      </w:r>
      <w:r w:rsidR="00B8503A">
        <w:t>,</w:t>
      </w:r>
      <w:r w:rsidRPr="00CF3D1E">
        <w:t xml:space="preserve"> following a review of both deaths by leading paediatricians and neuropathologists, no cause of death was identified.</w:t>
      </w:r>
      <w:r w:rsidRPr="00CF3D1E">
        <w:rPr>
          <w:vertAlign w:val="superscript"/>
        </w:rPr>
        <w:footnoteReference w:id="244"/>
      </w:r>
      <w:r w:rsidRPr="00CF3D1E">
        <w:t xml:space="preserve"> The third baby Jade had an ALTE (whilst not connected to the apnoea alarm); Cannings called her GP who attended, and the child was taken to hospital</w:t>
      </w:r>
      <w:r w:rsidRPr="00CF3D1E">
        <w:rPr>
          <w:vertAlign w:val="superscript"/>
        </w:rPr>
        <w:footnoteReference w:id="245"/>
      </w:r>
      <w:r w:rsidRPr="00CF3D1E">
        <w:t xml:space="preserve"> and survived until adulthood. </w:t>
      </w:r>
    </w:p>
    <w:p w14:paraId="112E912D" w14:textId="70BB10E4" w:rsidR="00D7152A" w:rsidRPr="00CF3D1E" w:rsidRDefault="00D7152A" w:rsidP="005673FC">
      <w:pPr>
        <w:spacing w:line="480" w:lineRule="auto"/>
        <w:jc w:val="both"/>
      </w:pPr>
      <w:r w:rsidRPr="00CF3D1E">
        <w:t>Following the fourth child Mathew’s birth, Cannings was taught ‘advanced resuscitation techniques’.</w:t>
      </w:r>
      <w:r w:rsidRPr="00CF3D1E">
        <w:rPr>
          <w:vertAlign w:val="superscript"/>
        </w:rPr>
        <w:footnoteReference w:id="246"/>
      </w:r>
      <w:r w:rsidRPr="00CF3D1E">
        <w:t xml:space="preserve"> When Mathew too suffered an ALTE in contrast to the three previous occasions, </w:t>
      </w:r>
      <w:r w:rsidRPr="00CF3D1E">
        <w:lastRenderedPageBreak/>
        <w:t>Cannings did not call 999, but called her husband to come home; no ambulance was called until after he rushed home from work.</w:t>
      </w:r>
      <w:r w:rsidRPr="00CF3D1E">
        <w:rPr>
          <w:vertAlign w:val="superscript"/>
        </w:rPr>
        <w:footnoteReference w:id="247"/>
      </w:r>
      <w:r w:rsidRPr="00CF3D1E">
        <w:t xml:space="preserve"> At the hospital when Mathew was confirmed to have died,</w:t>
      </w:r>
      <w:r w:rsidRPr="00CF3D1E">
        <w:rPr>
          <w:vertAlign w:val="superscript"/>
        </w:rPr>
        <w:footnoteReference w:id="248"/>
      </w:r>
      <w:r w:rsidRPr="00CF3D1E">
        <w:t xml:space="preserve"> Cannings’ husband ‘asked her in the presence of the staff nurse why she had called him before she had called an ambulance, as indeed she had. She was quiet for a few minutes, and then told her husband that she had panicked’.</w:t>
      </w:r>
      <w:r w:rsidRPr="00CF3D1E">
        <w:rPr>
          <w:rStyle w:val="FootnoteReference"/>
        </w:rPr>
        <w:footnoteReference w:id="249"/>
      </w:r>
      <w:r w:rsidRPr="00CF3D1E">
        <w:t xml:space="preserve"> When interviewed by police on this question, she said she had wanted her husband to be present, that she wanted his help, ‘so that he could see Matthew and see what he was like’.</w:t>
      </w:r>
      <w:r w:rsidRPr="00CF3D1E">
        <w:rPr>
          <w:vertAlign w:val="superscript"/>
        </w:rPr>
        <w:footnoteReference w:id="250"/>
      </w:r>
      <w:r w:rsidRPr="00CF3D1E">
        <w:t xml:space="preserve"> The prosecution considered Cannings’ behaviour to be irregular, because although she had commenced resuscitation after ringing her husband, she ‘had not herself directly and immediately sought help either from the emergency services or indeed from neighbours, at least one of whom was a nurse who had offered to help’.</w:t>
      </w:r>
      <w:r w:rsidRPr="00CF3D1E">
        <w:rPr>
          <w:vertAlign w:val="superscript"/>
        </w:rPr>
        <w:footnoteReference w:id="251"/>
      </w:r>
      <w:r w:rsidRPr="00CF3D1E">
        <w:t xml:space="preserve"> In response, Cannings said of Mathew that she ‘“couldn't believe the way he was”. She wanted “Terry to be there to support me. I had always been on my own”’.</w:t>
      </w:r>
      <w:r w:rsidRPr="00CF3D1E">
        <w:rPr>
          <w:vertAlign w:val="superscript"/>
        </w:rPr>
        <w:footnoteReference w:id="252"/>
      </w:r>
      <w:r w:rsidRPr="00CF3D1E">
        <w:t xml:space="preserve"> It is difficult to understand how a mother may have felt in Cannings’ situation at the moment of discovering Mathew, faced with the prospect of losing a third child, and suspicion from her husband and family, and investigations by doctors and police. It is understandable that she did not want to be alone. But, it was ‘Mathew’s death that triggered the investigation which culminated in her conviction’</w:t>
      </w:r>
      <w:r w:rsidRPr="00CF3D1E">
        <w:rPr>
          <w:vertAlign w:val="superscript"/>
        </w:rPr>
        <w:footnoteReference w:id="253"/>
      </w:r>
      <w:r w:rsidRPr="00CF3D1E">
        <w:t xml:space="preserve"> for the murder of both Jason and Mathew. The question whether Cannings’ behaviour in not calling the ambulan</w:t>
      </w:r>
      <w:r w:rsidR="00B8503A">
        <w:t>ce immediately in Mathew’s case</w:t>
      </w:r>
      <w:r w:rsidRPr="00CF3D1E">
        <w:t xml:space="preserve"> was so prejudicially interpreted by the court at her trial, cannot be </w:t>
      </w:r>
      <w:r w:rsidR="00B8503A">
        <w:t>answered</w:t>
      </w:r>
      <w:r w:rsidRPr="00CF3D1E">
        <w:t>. However, within the framework of  expert evidence that ‘lightning does not strike three times in the same place’,</w:t>
      </w:r>
      <w:r w:rsidRPr="00CF3D1E">
        <w:rPr>
          <w:vertAlign w:val="superscript"/>
        </w:rPr>
        <w:footnoteReference w:id="254"/>
      </w:r>
      <w:r w:rsidRPr="00CF3D1E">
        <w:t xml:space="preserve"> then a fixed belief that Cannings should have called the ambulance </w:t>
      </w:r>
      <w:r w:rsidRPr="00CF3D1E">
        <w:lastRenderedPageBreak/>
        <w:t xml:space="preserve">immediately before commencing resuscitation and before calling her husband, may have supported and justified a finding of guilt. </w:t>
      </w:r>
    </w:p>
    <w:p w14:paraId="42841AB4" w14:textId="7D1984CD" w:rsidR="00D7152A" w:rsidRPr="00CF3D1E" w:rsidRDefault="00D7152A" w:rsidP="005673FC">
      <w:pPr>
        <w:spacing w:line="480" w:lineRule="auto"/>
        <w:jc w:val="both"/>
      </w:pPr>
      <w:r w:rsidRPr="00CF3D1E">
        <w:t xml:space="preserve">Nonetheless, if each child’s death is considered separately, Cannings behaved correctly throughout her challenging time as a mother, apart from the very last occasion, when she said she panicked and wanted her husband there. It is therefore also possible that the jury took her long tribulations into consideration and neither failure to use the apnoea alarm nor </w:t>
      </w:r>
      <w:r w:rsidR="00B8503A">
        <w:t xml:space="preserve">failure to </w:t>
      </w:r>
      <w:r w:rsidRPr="00CF3D1E">
        <w:t>call the ambulance were signifi</w:t>
      </w:r>
      <w:r w:rsidR="00B8503A">
        <w:t>cant in a finding of guilt. But</w:t>
      </w:r>
      <w:r w:rsidRPr="00CF3D1E">
        <w:t xml:space="preserve"> the jury needed to decide whethe</w:t>
      </w:r>
      <w:r w:rsidR="00B8503A">
        <w:t>r the child deaths were natural</w:t>
      </w:r>
      <w:r w:rsidRPr="00CF3D1E">
        <w:t xml:space="preserve"> or unnatural,</w:t>
      </w:r>
      <w:r w:rsidRPr="00CF3D1E">
        <w:rPr>
          <w:vertAlign w:val="superscript"/>
        </w:rPr>
        <w:footnoteReference w:id="255"/>
      </w:r>
      <w:r w:rsidRPr="00CF3D1E">
        <w:t xml:space="preserve"> and they heard expert evidence that three infant de</w:t>
      </w:r>
      <w:r w:rsidR="00B8503A">
        <w:t>aths in one family is very rare.</w:t>
      </w:r>
      <w:r w:rsidRPr="00CF3D1E">
        <w:rPr>
          <w:vertAlign w:val="superscript"/>
        </w:rPr>
        <w:footnoteReference w:id="256"/>
      </w:r>
      <w:r w:rsidRPr="00CF3D1E">
        <w:t xml:space="preserve"> </w:t>
      </w:r>
      <w:r w:rsidR="00B8503A">
        <w:t>In the absence of</w:t>
      </w:r>
      <w:r w:rsidRPr="00CF3D1E">
        <w:t xml:space="preserve"> direct </w:t>
      </w:r>
      <w:r w:rsidR="00B8503A">
        <w:t xml:space="preserve">or indirect </w:t>
      </w:r>
      <w:r w:rsidRPr="00CF3D1E">
        <w:t>evidence,</w:t>
      </w:r>
      <w:r w:rsidRPr="00CF3D1E">
        <w:rPr>
          <w:vertAlign w:val="superscript"/>
        </w:rPr>
        <w:footnoteReference w:id="257"/>
      </w:r>
      <w:r w:rsidRPr="00CF3D1E">
        <w:t xml:space="preserve"> </w:t>
      </w:r>
      <w:r w:rsidR="00B8503A">
        <w:t>this opinion was key in determining that</w:t>
      </w:r>
      <w:r w:rsidRPr="00CF3D1E">
        <w:t xml:space="preserve"> Cannings had a case to answer.</w:t>
      </w:r>
      <w:r w:rsidRPr="00CF3D1E">
        <w:rPr>
          <w:vertAlign w:val="superscript"/>
        </w:rPr>
        <w:footnoteReference w:id="258"/>
      </w:r>
      <w:r w:rsidRPr="00CF3D1E">
        <w:t xml:space="preserve"> </w:t>
      </w:r>
    </w:p>
    <w:p w14:paraId="715A7291" w14:textId="0711F0CE" w:rsidR="00D7152A" w:rsidRPr="00CF3D1E" w:rsidRDefault="00D7152A" w:rsidP="005673FC">
      <w:pPr>
        <w:spacing w:line="480" w:lineRule="auto"/>
        <w:jc w:val="both"/>
      </w:pPr>
      <w:r w:rsidRPr="00CF3D1E">
        <w:t>Judge LJ held that the ‘expert evidence was absolutely critical to these convictions’</w:t>
      </w:r>
      <w:r w:rsidRPr="00CF3D1E">
        <w:rPr>
          <w:vertAlign w:val="superscript"/>
        </w:rPr>
        <w:footnoteReference w:id="259"/>
      </w:r>
      <w:r w:rsidRPr="00CF3D1E">
        <w:t xml:space="preserve"> and that the fresh evidence regarding Long QT syndrome undermined the original expert evidence.</w:t>
      </w:r>
      <w:r w:rsidRPr="00CF3D1E">
        <w:rPr>
          <w:vertAlign w:val="superscript"/>
        </w:rPr>
        <w:footnoteReference w:id="260"/>
      </w:r>
      <w:r w:rsidRPr="00CF3D1E">
        <w:t xml:space="preserve"> Accordingly, it is possible that the jury came to a guilty verdict on the basis of a belief in the certitude of expert evidence (later considered to be unreliable in </w:t>
      </w:r>
      <w:r w:rsidRPr="00CF3D1E">
        <w:rPr>
          <w:i/>
        </w:rPr>
        <w:t>Patel</w:t>
      </w:r>
      <w:r w:rsidRPr="00CF3D1E">
        <w:t>,</w:t>
      </w:r>
      <w:r w:rsidRPr="00CF3D1E">
        <w:rPr>
          <w:rStyle w:val="FootnoteReference"/>
        </w:rPr>
        <w:footnoteReference w:id="261"/>
      </w:r>
      <w:r w:rsidRPr="00CF3D1E">
        <w:t xml:space="preserve">) rather than because a fixed belief was held about maternal behaviour. If this is so, </w:t>
      </w:r>
      <w:r w:rsidR="00B8503A">
        <w:t>however, it is unclear</w:t>
      </w:r>
      <w:r w:rsidRPr="00CF3D1E">
        <w:t xml:space="preserve"> why defence counsel were unable to convince the court of the reliability of expert evidence of Long QT syndrome presented at trial, unless other factors were more persuasive, such as adverse interpretations of maternal behaviour</w:t>
      </w:r>
      <w:r w:rsidR="00117B61">
        <w:t>.</w:t>
      </w:r>
      <w:r w:rsidRPr="00CF3D1E">
        <w:t xml:space="preserve"> The manner </w:t>
      </w:r>
      <w:r w:rsidRPr="00CF3D1E">
        <w:lastRenderedPageBreak/>
        <w:t>in which carers behave at that critical moment of re</w:t>
      </w:r>
      <w:r w:rsidR="006947EC">
        <w:t>alising that a child needs help</w:t>
      </w:r>
      <w:r w:rsidRPr="00CF3D1E">
        <w:t xml:space="preserve"> </w:t>
      </w:r>
      <w:r w:rsidR="00815542" w:rsidRPr="00CF3D1E">
        <w:t xml:space="preserve">is mentioned in other cases </w:t>
      </w:r>
      <w:r w:rsidRPr="00CF3D1E">
        <w:t>too</w:t>
      </w:r>
      <w:r w:rsidR="00815542" w:rsidRPr="00CF3D1E">
        <w:t>.</w:t>
      </w:r>
      <w:r w:rsidR="00650692" w:rsidRPr="00CF3D1E">
        <w:rPr>
          <w:rStyle w:val="FootnoteReference"/>
        </w:rPr>
        <w:footnoteReference w:id="262"/>
      </w:r>
      <w:r w:rsidRPr="00CF3D1E">
        <w:t xml:space="preserve"> </w:t>
      </w:r>
    </w:p>
    <w:p w14:paraId="29CAA4E7" w14:textId="77777777" w:rsidR="00B7631B" w:rsidRDefault="00B7631B" w:rsidP="005673FC">
      <w:pPr>
        <w:spacing w:line="480" w:lineRule="auto"/>
        <w:jc w:val="both"/>
        <w:rPr>
          <w:rFonts w:eastAsia="Times New Roman"/>
          <w:lang w:eastAsia="en-GB"/>
        </w:rPr>
      </w:pPr>
      <w:r>
        <w:t>The last section</w:t>
      </w:r>
      <w:r w:rsidRPr="00CF3D1E">
        <w:t xml:space="preserve"> to be examined here on evidence of behaviour relates to mental health, and whether evidence of behaviour can rightly indicate poor maternal mental health that then explains a child’s death. </w:t>
      </w:r>
      <w:r w:rsidRPr="00CF3D1E">
        <w:rPr>
          <w:rFonts w:eastAsia="Times New Roman"/>
          <w:lang w:eastAsia="en-GB"/>
        </w:rPr>
        <w:t xml:space="preserve">There are two areas of maternal mental health that are referred to in child death cases such as </w:t>
      </w:r>
      <w:r w:rsidRPr="00CF3D1E">
        <w:rPr>
          <w:rFonts w:eastAsia="Times New Roman"/>
          <w:i/>
          <w:lang w:eastAsia="en-GB"/>
        </w:rPr>
        <w:t>Cannings</w:t>
      </w:r>
      <w:r w:rsidRPr="00CF3D1E">
        <w:rPr>
          <w:rFonts w:eastAsia="Times New Roman"/>
          <w:lang w:eastAsia="en-GB"/>
        </w:rPr>
        <w:t xml:space="preserve"> and </w:t>
      </w:r>
      <w:r w:rsidRPr="00CF3D1E">
        <w:rPr>
          <w:rFonts w:eastAsia="Times New Roman"/>
          <w:i/>
          <w:lang w:eastAsia="en-GB"/>
        </w:rPr>
        <w:t>Anthony</w:t>
      </w:r>
      <w:r w:rsidRPr="00CF3D1E">
        <w:rPr>
          <w:rFonts w:eastAsia="Times New Roman"/>
          <w:lang w:eastAsia="en-GB"/>
        </w:rPr>
        <w:t>.</w:t>
      </w:r>
      <w:r w:rsidRPr="00CF3D1E">
        <w:rPr>
          <w:rFonts w:eastAsia="Times New Roman"/>
          <w:vertAlign w:val="superscript"/>
          <w:lang w:eastAsia="en-GB"/>
        </w:rPr>
        <w:footnoteReference w:id="263"/>
      </w:r>
      <w:r w:rsidRPr="00CF3D1E">
        <w:rPr>
          <w:rFonts w:eastAsia="Times New Roman"/>
          <w:lang w:eastAsia="en-GB"/>
        </w:rPr>
        <w:t xml:space="preserve"> The first relates to the possibility of child killing whilst a mother’s mind was disturbed,</w:t>
      </w:r>
      <w:r w:rsidRPr="00CF3D1E">
        <w:rPr>
          <w:rFonts w:eastAsia="Times New Roman"/>
          <w:vertAlign w:val="superscript"/>
          <w:lang w:eastAsia="en-GB"/>
        </w:rPr>
        <w:footnoteReference w:id="264"/>
      </w:r>
      <w:r w:rsidRPr="00CF3D1E">
        <w:rPr>
          <w:rFonts w:eastAsia="Times New Roman"/>
          <w:lang w:eastAsia="en-GB"/>
        </w:rPr>
        <w:t xml:space="preserve"> and the second relates to child killing as a result of attention seeking behaviour such as MSbP.</w:t>
      </w:r>
      <w:r w:rsidRPr="00CF3D1E">
        <w:rPr>
          <w:rFonts w:eastAsia="Times New Roman"/>
          <w:vertAlign w:val="superscript"/>
          <w:lang w:eastAsia="en-GB"/>
        </w:rPr>
        <w:footnoteReference w:id="265"/>
      </w:r>
    </w:p>
    <w:p w14:paraId="6390082C" w14:textId="77777777" w:rsidR="00C372BB" w:rsidRDefault="00C372BB" w:rsidP="005673FC">
      <w:pPr>
        <w:jc w:val="both"/>
        <w:rPr>
          <w:b/>
          <w:i/>
          <w:lang w:eastAsia="en-GB"/>
        </w:rPr>
      </w:pPr>
    </w:p>
    <w:p w14:paraId="3C3E1D9B" w14:textId="00C36897" w:rsidR="00D7152A" w:rsidRPr="00D7477C" w:rsidRDefault="006219D8" w:rsidP="005673FC">
      <w:pPr>
        <w:jc w:val="both"/>
        <w:rPr>
          <w:b/>
          <w:i/>
          <w:lang w:eastAsia="en-GB"/>
        </w:rPr>
      </w:pPr>
      <w:r w:rsidRPr="00D7477C">
        <w:rPr>
          <w:b/>
          <w:i/>
          <w:lang w:eastAsia="en-GB"/>
        </w:rPr>
        <w:t>M</w:t>
      </w:r>
      <w:r w:rsidR="00D7152A" w:rsidRPr="00D7477C">
        <w:rPr>
          <w:b/>
          <w:i/>
          <w:lang w:eastAsia="en-GB"/>
        </w:rPr>
        <w:t xml:space="preserve">aternal mental </w:t>
      </w:r>
      <w:r w:rsidR="00D7477C">
        <w:rPr>
          <w:b/>
          <w:i/>
          <w:lang w:eastAsia="en-GB"/>
        </w:rPr>
        <w:t>ill-</w:t>
      </w:r>
      <w:r w:rsidR="00D7152A" w:rsidRPr="00D7477C">
        <w:rPr>
          <w:b/>
          <w:i/>
          <w:lang w:eastAsia="en-GB"/>
        </w:rPr>
        <w:t>health</w:t>
      </w:r>
      <w:r w:rsidR="00004753">
        <w:rPr>
          <w:b/>
          <w:i/>
          <w:lang w:eastAsia="en-GB"/>
        </w:rPr>
        <w:t>: probative of guilt</w:t>
      </w:r>
      <w:r w:rsidRPr="00D7477C">
        <w:rPr>
          <w:b/>
          <w:i/>
          <w:lang w:eastAsia="en-GB"/>
        </w:rPr>
        <w:t xml:space="preserve"> or a mothering myth?</w:t>
      </w:r>
      <w:r w:rsidR="00D7152A" w:rsidRPr="00D7477C">
        <w:rPr>
          <w:b/>
          <w:i/>
          <w:lang w:eastAsia="en-GB"/>
        </w:rPr>
        <w:t xml:space="preserve"> </w:t>
      </w:r>
    </w:p>
    <w:p w14:paraId="36028984" w14:textId="43E52FE7" w:rsidR="00D7152A" w:rsidRPr="00CF3D1E" w:rsidRDefault="00D7152A" w:rsidP="005673FC">
      <w:pPr>
        <w:spacing w:line="480" w:lineRule="auto"/>
        <w:jc w:val="both"/>
      </w:pPr>
      <w:r w:rsidRPr="00CF3D1E">
        <w:rPr>
          <w:rFonts w:eastAsia="Times New Roman"/>
          <w:i/>
          <w:lang w:eastAsia="en-GB"/>
        </w:rPr>
        <w:t>Cannings</w:t>
      </w:r>
      <w:r w:rsidRPr="00CF3D1E">
        <w:rPr>
          <w:rFonts w:eastAsia="Times New Roman"/>
          <w:lang w:eastAsia="en-GB"/>
        </w:rPr>
        <w:t>, was described as a ‘woman of good character’,</w:t>
      </w:r>
      <w:r w:rsidRPr="00CF3D1E">
        <w:rPr>
          <w:rFonts w:eastAsia="Times New Roman"/>
          <w:vertAlign w:val="superscript"/>
          <w:lang w:eastAsia="en-GB"/>
        </w:rPr>
        <w:footnoteReference w:id="266"/>
      </w:r>
      <w:r w:rsidRPr="00CF3D1E">
        <w:rPr>
          <w:rFonts w:eastAsia="Times New Roman"/>
          <w:lang w:eastAsia="en-GB"/>
        </w:rPr>
        <w:t xml:space="preserve"> </w:t>
      </w:r>
      <w:r w:rsidR="00E624A0">
        <w:rPr>
          <w:rFonts w:eastAsia="Times New Roman"/>
          <w:lang w:eastAsia="en-GB"/>
        </w:rPr>
        <w:t>who</w:t>
      </w:r>
      <w:r w:rsidRPr="00CF3D1E">
        <w:rPr>
          <w:rFonts w:eastAsia="Times New Roman"/>
          <w:lang w:eastAsia="en-GB"/>
        </w:rPr>
        <w:t xml:space="preserve"> had no previous convictions,</w:t>
      </w:r>
      <w:r w:rsidRPr="00CF3D1E">
        <w:rPr>
          <w:rFonts w:eastAsia="Times New Roman"/>
          <w:vertAlign w:val="superscript"/>
          <w:lang w:eastAsia="en-GB"/>
        </w:rPr>
        <w:footnoteReference w:id="267"/>
      </w:r>
      <w:r w:rsidR="00E624A0">
        <w:rPr>
          <w:rFonts w:eastAsia="Times New Roman"/>
          <w:lang w:eastAsia="en-GB"/>
        </w:rPr>
        <w:t xml:space="preserve"> and </w:t>
      </w:r>
      <w:r w:rsidRPr="00CF3D1E">
        <w:rPr>
          <w:rFonts w:eastAsia="Times New Roman"/>
          <w:lang w:eastAsia="en-GB"/>
        </w:rPr>
        <w:t>was ‘a loving mother, apparently free of personality disorder or psychiatric condition’</w:t>
      </w:r>
      <w:r w:rsidRPr="00CF3D1E">
        <w:rPr>
          <w:rFonts w:eastAsia="Times New Roman"/>
          <w:vertAlign w:val="superscript"/>
          <w:lang w:eastAsia="en-GB"/>
        </w:rPr>
        <w:footnoteReference w:id="268"/>
      </w:r>
      <w:r w:rsidRPr="00CF3D1E">
        <w:rPr>
          <w:rFonts w:eastAsia="Times New Roman"/>
          <w:lang w:eastAsia="en-GB"/>
        </w:rPr>
        <w:t xml:space="preserve"> such as depression or post-partum psychosis, </w:t>
      </w:r>
      <w:r w:rsidR="00E624A0">
        <w:rPr>
          <w:rFonts w:eastAsia="Times New Roman"/>
          <w:lang w:eastAsia="en-GB"/>
        </w:rPr>
        <w:t>and who</w:t>
      </w:r>
      <w:r w:rsidRPr="00CF3D1E">
        <w:rPr>
          <w:rFonts w:eastAsia="Times New Roman"/>
          <w:lang w:eastAsia="en-GB"/>
        </w:rPr>
        <w:t xml:space="preserve"> ‘consistently denied harming any of her children’.</w:t>
      </w:r>
      <w:r w:rsidRPr="00CF3D1E">
        <w:rPr>
          <w:rFonts w:eastAsia="Times New Roman"/>
          <w:vertAlign w:val="superscript"/>
          <w:lang w:eastAsia="en-GB"/>
        </w:rPr>
        <w:footnoteReference w:id="269"/>
      </w:r>
      <w:r w:rsidRPr="00CF3D1E">
        <w:rPr>
          <w:rFonts w:eastAsia="Times New Roman"/>
          <w:lang w:eastAsia="en-GB"/>
        </w:rPr>
        <w:t xml:space="preserve"> Judge LJ explained in the appeal transcript that ‘Without medi</w:t>
      </w:r>
      <w:r w:rsidR="00E624A0">
        <w:rPr>
          <w:rFonts w:eastAsia="Times New Roman"/>
          <w:lang w:eastAsia="en-GB"/>
        </w:rPr>
        <w:t>cal evidence about the appellant’</w:t>
      </w:r>
      <w:r w:rsidRPr="00CF3D1E">
        <w:rPr>
          <w:rFonts w:eastAsia="Times New Roman"/>
          <w:lang w:eastAsia="en-GB"/>
        </w:rPr>
        <w:t>s mental state, a verdict of infanticide was not open to the jury’.</w:t>
      </w:r>
      <w:r w:rsidRPr="00CF3D1E">
        <w:rPr>
          <w:rFonts w:eastAsia="Times New Roman"/>
          <w:vertAlign w:val="superscript"/>
          <w:lang w:eastAsia="en-GB"/>
        </w:rPr>
        <w:footnoteReference w:id="270"/>
      </w:r>
      <w:r w:rsidRPr="00CF3D1E">
        <w:rPr>
          <w:rFonts w:eastAsia="Times New Roman"/>
          <w:lang w:eastAsia="en-GB"/>
        </w:rPr>
        <w:t xml:space="preserve"> </w:t>
      </w:r>
      <w:r w:rsidRPr="00CF3D1E">
        <w:t xml:space="preserve">Judge LJ’s comments indicate that at trial, the court was concerned that if the jury returned a verdict of murder, she should not </w:t>
      </w:r>
      <w:r w:rsidR="00E624A0">
        <w:t xml:space="preserve">receive a </w:t>
      </w:r>
      <w:r w:rsidR="00E624A0">
        <w:lastRenderedPageBreak/>
        <w:t>mandatory life sentence</w:t>
      </w:r>
      <w:r w:rsidRPr="00CF3D1E">
        <w:t xml:space="preserve"> for homicide for each child, but </w:t>
      </w:r>
      <w:r w:rsidR="00E624A0">
        <w:t xml:space="preserve">should be sentenced </w:t>
      </w:r>
      <w:r w:rsidRPr="00CF3D1E">
        <w:t>for the offence of infanticide ‘a specific, lesser offence of homicide’.</w:t>
      </w:r>
      <w:r w:rsidRPr="00CF3D1E">
        <w:rPr>
          <w:vertAlign w:val="superscript"/>
        </w:rPr>
        <w:footnoteReference w:id="271"/>
      </w:r>
      <w:r w:rsidRPr="00CF3D1E">
        <w:t xml:space="preserve"> ‘Conviction for infanticide is usually followed by a noncustodial sentence’</w:t>
      </w:r>
      <w:r w:rsidRPr="00CF3D1E">
        <w:rPr>
          <w:vertAlign w:val="superscript"/>
        </w:rPr>
        <w:footnoteReference w:id="272"/>
      </w:r>
      <w:r w:rsidRPr="00CF3D1E">
        <w:t xml:space="preserve"> albeit often subject to a treatment or hospital order.</w:t>
      </w:r>
      <w:r w:rsidRPr="00CF3D1E">
        <w:rPr>
          <w:vertAlign w:val="superscript"/>
        </w:rPr>
        <w:footnoteReference w:id="273"/>
      </w:r>
      <w:r w:rsidRPr="00CF3D1E">
        <w:t xml:space="preserve"> </w:t>
      </w:r>
    </w:p>
    <w:p w14:paraId="1A626E5D" w14:textId="11C3AE78" w:rsidR="00D7152A" w:rsidRPr="00CF3D1E" w:rsidRDefault="00E624A0" w:rsidP="005673FC">
      <w:pPr>
        <w:spacing w:line="480" w:lineRule="auto"/>
        <w:jc w:val="both"/>
      </w:pPr>
      <w:r>
        <w:t xml:space="preserve">Cannings </w:t>
      </w:r>
      <w:r w:rsidR="00D7152A" w:rsidRPr="00CF3D1E">
        <w:t>was criticised at trial for not calling the ambulance when Mathew was critically ill,</w:t>
      </w:r>
      <w:r w:rsidR="006B243D">
        <w:t xml:space="preserve"> for</w:t>
      </w:r>
      <w:r w:rsidR="00D7152A" w:rsidRPr="00CF3D1E">
        <w:t xml:space="preserve"> not calmly proceeding to resuscitate Jason or Jade herself, and for not using and being alert to the apnoea monitor at all times. The appeal transcript suggests however that Cannings was ‘faced with recurring disasters which made comprehensible any form of response which, on cold forensic analysis, would otherwise appear strange’.</w:t>
      </w:r>
      <w:r w:rsidR="00D7152A" w:rsidRPr="00CF3D1E">
        <w:rPr>
          <w:vertAlign w:val="superscript"/>
        </w:rPr>
        <w:footnoteReference w:id="274"/>
      </w:r>
      <w:r w:rsidR="006B243D">
        <w:t xml:space="preserve"> But</w:t>
      </w:r>
      <w:r w:rsidR="00D7152A" w:rsidRPr="00CF3D1E">
        <w:t xml:space="preserve"> the jury were told by the prosecution that she would not ‘have killed the children (as the jury found that she had) unless she was suffering from some form of personality disorder or psychiatric condition’.</w:t>
      </w:r>
      <w:r w:rsidR="00D7152A" w:rsidRPr="00CF3D1E">
        <w:rPr>
          <w:vertAlign w:val="superscript"/>
        </w:rPr>
        <w:footnoteReference w:id="275"/>
      </w:r>
      <w:r w:rsidR="00D7152A" w:rsidRPr="00CF3D1E">
        <w:t xml:space="preserve"> </w:t>
      </w:r>
    </w:p>
    <w:p w14:paraId="676A7A4A" w14:textId="1EC8BA80" w:rsidR="00D7152A" w:rsidRPr="00CF3D1E" w:rsidRDefault="00D7152A" w:rsidP="005673FC">
      <w:pPr>
        <w:spacing w:line="480" w:lineRule="auto"/>
        <w:jc w:val="both"/>
      </w:pPr>
      <w:r w:rsidRPr="00CF3D1E">
        <w:t xml:space="preserve">It is therefore possible that a settled or fixed belief that Cannings’ behaviour was abnormal, together with a prescriptive belief that only a mental health diagnosis could account for the child deaths, justified a guilty verdict, </w:t>
      </w:r>
      <w:r w:rsidR="00154F2C">
        <w:t>notwithstanding that</w:t>
      </w:r>
      <w:r w:rsidRPr="00CF3D1E">
        <w:t xml:space="preserve"> ‘there was no evidence to sustain any such diagnosis: indeed it was to the contrary’.</w:t>
      </w:r>
      <w:r w:rsidRPr="00CF3D1E">
        <w:rPr>
          <w:vertAlign w:val="superscript"/>
        </w:rPr>
        <w:footnoteReference w:id="276"/>
      </w:r>
      <w:r w:rsidRPr="00CF3D1E">
        <w:t xml:space="preserve"> Hallett J was moved to say after the guilty verdict was returned that, ‘“I have no doubt that for a woman like you to have committed the terrible acts of suffocating your own babies there must have been something seriously wrong with you”’,</w:t>
      </w:r>
      <w:r w:rsidRPr="00CF3D1E">
        <w:rPr>
          <w:vertAlign w:val="superscript"/>
        </w:rPr>
        <w:footnoteReference w:id="277"/>
      </w:r>
      <w:r w:rsidR="00154F2C">
        <w:t xml:space="preserve"> which she considered</w:t>
      </w:r>
      <w:r w:rsidRPr="00CF3D1E">
        <w:t xml:space="preserve"> was the only way to explain why Cannings could have murdered her children.</w:t>
      </w:r>
      <w:r w:rsidRPr="00CF3D1E">
        <w:rPr>
          <w:vertAlign w:val="superscript"/>
        </w:rPr>
        <w:footnoteReference w:id="278"/>
      </w:r>
      <w:r w:rsidRPr="00CF3D1E">
        <w:t xml:space="preserve"> The judge may have been trying to frame the case in order to allow for a compassionate legal response had an application for an infanticide defence been made. If made at trial</w:t>
      </w:r>
      <w:r w:rsidR="00815542" w:rsidRPr="00CF3D1E">
        <w:t xml:space="preserve">, </w:t>
      </w:r>
      <w:r w:rsidRPr="00CF3D1E">
        <w:t xml:space="preserve">then the mandatory imposition of a life sentence that </w:t>
      </w:r>
      <w:r w:rsidRPr="00CF3D1E">
        <w:lastRenderedPageBreak/>
        <w:t>a murder conviction requires, may well have been averted or, had Cannings later admitted to killing her children, she may have been considered for an expedited appeal.</w:t>
      </w:r>
      <w:r w:rsidRPr="00CF3D1E">
        <w:rPr>
          <w:rStyle w:val="FootnoteReference"/>
        </w:rPr>
        <w:footnoteReference w:id="279"/>
      </w:r>
      <w:r w:rsidRPr="00CF3D1E">
        <w:t xml:space="preserve"> A confession is however required for a defence of infanticide and mothers may be unable to admit to a killing at trial;</w:t>
      </w:r>
      <w:r w:rsidRPr="00CF3D1E">
        <w:rPr>
          <w:vertAlign w:val="superscript"/>
        </w:rPr>
        <w:footnoteReference w:id="280"/>
      </w:r>
      <w:r w:rsidRPr="00CF3D1E">
        <w:t xml:space="preserve"> they may be guilty, or have an undiagnosed psychiatric illness as suggested in </w:t>
      </w:r>
      <w:r w:rsidRPr="00CF3D1E">
        <w:rPr>
          <w:i/>
        </w:rPr>
        <w:t>Kai-Whitewind</w:t>
      </w:r>
      <w:r w:rsidRPr="00CF3D1E">
        <w:t>,</w:t>
      </w:r>
      <w:r w:rsidRPr="00CF3D1E">
        <w:rPr>
          <w:vertAlign w:val="superscript"/>
        </w:rPr>
        <w:footnoteReference w:id="281"/>
      </w:r>
      <w:r w:rsidRPr="00CF3D1E">
        <w:t xml:space="preserve"> or </w:t>
      </w:r>
      <w:r w:rsidR="00815542" w:rsidRPr="00CF3D1E">
        <w:t xml:space="preserve">even </w:t>
      </w:r>
      <w:r w:rsidRPr="00CF3D1E">
        <w:t xml:space="preserve">be innocent. </w:t>
      </w:r>
      <w:r w:rsidRPr="00CF3D1E">
        <w:rPr>
          <w:rFonts w:eastAsia="Times New Roman"/>
          <w:lang w:eastAsia="en-GB"/>
        </w:rPr>
        <w:t xml:space="preserve">If a fixed belief exists that mothers such as Cannings should have said and done things differently, together with a belief that mental ill health </w:t>
      </w:r>
      <w:r w:rsidR="00154F2C">
        <w:rPr>
          <w:rFonts w:eastAsia="Times New Roman"/>
          <w:lang w:eastAsia="en-GB"/>
        </w:rPr>
        <w:t xml:space="preserve">may explain the behaviour, the killing and </w:t>
      </w:r>
      <w:r w:rsidRPr="00CF3D1E">
        <w:rPr>
          <w:rFonts w:eastAsia="Times New Roman"/>
          <w:lang w:eastAsia="en-GB"/>
        </w:rPr>
        <w:t xml:space="preserve">a denial of having caused harm, then such beliefs may have supported contested expert opinions, and justified a guilty verdict. </w:t>
      </w:r>
    </w:p>
    <w:p w14:paraId="7AE25BBF" w14:textId="4EAACEE7" w:rsidR="00D7152A" w:rsidRPr="00B7631B" w:rsidRDefault="00040785" w:rsidP="005673FC">
      <w:pPr>
        <w:jc w:val="both"/>
        <w:rPr>
          <w:b/>
          <w:i/>
        </w:rPr>
      </w:pPr>
      <w:r w:rsidRPr="00B7631B">
        <w:rPr>
          <w:b/>
          <w:i/>
        </w:rPr>
        <w:t>A</w:t>
      </w:r>
      <w:r w:rsidR="00D7152A" w:rsidRPr="00B7631B">
        <w:rPr>
          <w:b/>
          <w:i/>
        </w:rPr>
        <w:t>ttention seeking behaviour</w:t>
      </w:r>
      <w:r w:rsidRPr="00B7631B">
        <w:rPr>
          <w:b/>
          <w:i/>
        </w:rPr>
        <w:t xml:space="preserve">: probative or a mothering myth? </w:t>
      </w:r>
      <w:r w:rsidR="00D7152A" w:rsidRPr="00B7631B">
        <w:rPr>
          <w:b/>
          <w:i/>
        </w:rPr>
        <w:t xml:space="preserve"> </w:t>
      </w:r>
    </w:p>
    <w:p w14:paraId="58E699AF" w14:textId="5F6B2EDE" w:rsidR="00D7152A" w:rsidRPr="00CF3D1E" w:rsidRDefault="00040785" w:rsidP="005673FC">
      <w:pPr>
        <w:spacing w:line="480" w:lineRule="auto"/>
        <w:jc w:val="both"/>
      </w:pPr>
      <w:r w:rsidRPr="00CF3D1E">
        <w:rPr>
          <w:rFonts w:eastAsia="Times New Roman"/>
          <w:lang w:eastAsia="en-GB"/>
        </w:rPr>
        <w:t xml:space="preserve">The </w:t>
      </w:r>
      <w:r w:rsidR="00D7152A" w:rsidRPr="00CF3D1E">
        <w:rPr>
          <w:rFonts w:eastAsia="Times New Roman"/>
          <w:lang w:eastAsia="en-GB"/>
        </w:rPr>
        <w:t>prosecution also contended that C</w:t>
      </w:r>
      <w:r w:rsidR="00D7152A" w:rsidRPr="00CF3D1E">
        <w:t>annings had smothered one of her sons ‘in an attempt to evoke sympathy’,</w:t>
      </w:r>
      <w:r w:rsidR="00D7152A" w:rsidRPr="00CF3D1E">
        <w:rPr>
          <w:vertAlign w:val="superscript"/>
        </w:rPr>
        <w:footnoteReference w:id="282"/>
      </w:r>
      <w:r w:rsidR="00D7152A" w:rsidRPr="00CF3D1E">
        <w:t xml:space="preserve"> suggesting the ‘need to draw attention to herself, a manifestation of factitious disorder by proxy, a condition which, in her case, was excluded’.</w:t>
      </w:r>
      <w:r w:rsidR="00D7152A" w:rsidRPr="00CF3D1E">
        <w:rPr>
          <w:vertAlign w:val="superscript"/>
        </w:rPr>
        <w:footnoteReference w:id="283"/>
      </w:r>
      <w:r w:rsidR="00D7152A" w:rsidRPr="00CF3D1E">
        <w:t xml:space="preserve"> The appeal court ‘had difficulty following this suggestion’,</w:t>
      </w:r>
      <w:r w:rsidR="00D7152A" w:rsidRPr="00CF3D1E">
        <w:rPr>
          <w:vertAlign w:val="superscript"/>
        </w:rPr>
        <w:footnoteReference w:id="284"/>
      </w:r>
      <w:r w:rsidR="00D7152A" w:rsidRPr="00CF3D1E">
        <w:t xml:space="preserve"> and it is unclear why it was made, unless to damagingly associate Cannings with a destructive diagnosis of MSbP.</w:t>
      </w:r>
      <w:r w:rsidR="00D7152A" w:rsidRPr="00CF3D1E">
        <w:rPr>
          <w:vertAlign w:val="superscript"/>
        </w:rPr>
        <w:footnoteReference w:id="285"/>
      </w:r>
      <w:r w:rsidR="00D7152A" w:rsidRPr="00CF3D1E">
        <w:t xml:space="preserve"> In </w:t>
      </w:r>
      <w:r w:rsidR="00D7152A" w:rsidRPr="00CF3D1E">
        <w:rPr>
          <w:i/>
        </w:rPr>
        <w:t>Anthony</w:t>
      </w:r>
      <w:r w:rsidR="00D7152A" w:rsidRPr="00CF3D1E">
        <w:rPr>
          <w:vertAlign w:val="superscript"/>
        </w:rPr>
        <w:footnoteReference w:id="286"/>
      </w:r>
      <w:r w:rsidR="00D7152A" w:rsidRPr="00CF3D1E">
        <w:t xml:space="preserve"> however</w:t>
      </w:r>
      <w:r w:rsidR="001A5AEA">
        <w:t>,</w:t>
      </w:r>
      <w:r w:rsidR="00D7152A" w:rsidRPr="00CF3D1E">
        <w:t xml:space="preserve"> evidence of an MSbP diagnosis was put forward for admission, but excluded following defence submissions</w:t>
      </w:r>
      <w:r w:rsidR="001A5AEA">
        <w:t xml:space="preserve"> arguing</w:t>
      </w:r>
      <w:r w:rsidR="00D7152A" w:rsidRPr="00CF3D1E">
        <w:t xml:space="preserve"> that Professor Meadow’s diagnosis ‘amounted to no more than evidence of propensity’.</w:t>
      </w:r>
      <w:r w:rsidR="00D7152A" w:rsidRPr="00CF3D1E">
        <w:rPr>
          <w:vertAlign w:val="superscript"/>
        </w:rPr>
        <w:footnoteReference w:id="287"/>
      </w:r>
      <w:r w:rsidR="00D7152A" w:rsidRPr="00CF3D1E">
        <w:t xml:space="preserve"> Evidence of ‘behavioural tendency or propensity’,</w:t>
      </w:r>
      <w:r w:rsidR="00D7152A" w:rsidRPr="00CF3D1E">
        <w:rPr>
          <w:vertAlign w:val="superscript"/>
        </w:rPr>
        <w:footnoteReference w:id="288"/>
      </w:r>
      <w:r w:rsidR="00D7152A" w:rsidRPr="00CF3D1E">
        <w:t xml:space="preserve"> indicates that a </w:t>
      </w:r>
      <w:r w:rsidR="001A5AEA">
        <w:t>defendant</w:t>
      </w:r>
      <w:r w:rsidR="00D7152A" w:rsidRPr="00CF3D1E">
        <w:t xml:space="preserve"> is more likely to behave in a particular way than another,</w:t>
      </w:r>
      <w:r w:rsidR="00D7152A" w:rsidRPr="00CF3D1E">
        <w:rPr>
          <w:vertAlign w:val="superscript"/>
        </w:rPr>
        <w:footnoteReference w:id="289"/>
      </w:r>
      <w:r w:rsidR="00D7152A" w:rsidRPr="00CF3D1E">
        <w:t xml:space="preserve"> but propensity </w:t>
      </w:r>
      <w:r w:rsidR="001A5AEA">
        <w:t>cannot</w:t>
      </w:r>
      <w:r w:rsidR="00D7152A" w:rsidRPr="00CF3D1E">
        <w:t xml:space="preserve"> describe what really happened,</w:t>
      </w:r>
      <w:r w:rsidR="00D7152A" w:rsidRPr="00CF3D1E">
        <w:rPr>
          <w:vertAlign w:val="superscript"/>
        </w:rPr>
        <w:footnoteReference w:id="290"/>
      </w:r>
      <w:r w:rsidR="00D7152A" w:rsidRPr="00CF3D1E">
        <w:t xml:space="preserve"> only what </w:t>
      </w:r>
      <w:r w:rsidR="001A5AEA">
        <w:t>the defendant</w:t>
      </w:r>
      <w:r w:rsidR="00D7152A" w:rsidRPr="00CF3D1E">
        <w:t xml:space="preserve"> may have done. </w:t>
      </w:r>
    </w:p>
    <w:p w14:paraId="21A2AC9D" w14:textId="77777777" w:rsidR="00D7152A" w:rsidRPr="00CF3D1E" w:rsidRDefault="00D7152A" w:rsidP="005673FC">
      <w:pPr>
        <w:spacing w:line="480" w:lineRule="auto"/>
        <w:jc w:val="both"/>
      </w:pPr>
      <w:r w:rsidRPr="00CF3D1E">
        <w:lastRenderedPageBreak/>
        <w:t>Anthony had two children, Jordan who died aged almost a year, and Dean who died aged just over four months. Anthony denied harming either child and submitted that both deaths were natural.</w:t>
      </w:r>
      <w:r w:rsidRPr="00CF3D1E">
        <w:rPr>
          <w:vertAlign w:val="superscript"/>
        </w:rPr>
        <w:footnoteReference w:id="291"/>
      </w:r>
      <w:r w:rsidRPr="00CF3D1E">
        <w:t xml:space="preserve"> Post-mortem findings on Jordan showed no evidence that the death was unnatural, nor any indication that the death was natural either,</w:t>
      </w:r>
      <w:r w:rsidRPr="00CF3D1E">
        <w:rPr>
          <w:vertAlign w:val="superscript"/>
        </w:rPr>
        <w:footnoteReference w:id="292"/>
      </w:r>
      <w:r w:rsidRPr="00CF3D1E">
        <w:t xml:space="preserve"> and the cause of death was concluded as unascertained or SUDI. In Michael’s case although features of SID were also identified, the pathologist stated that ‘the possibility of one mother having two unexplained deaths, in other words lightening striking twice, was most unlikely and outside his experience’.</w:t>
      </w:r>
      <w:r w:rsidRPr="00CF3D1E">
        <w:rPr>
          <w:vertAlign w:val="superscript"/>
        </w:rPr>
        <w:footnoteReference w:id="293"/>
      </w:r>
      <w:r w:rsidRPr="00CF3D1E">
        <w:t xml:space="preserve"> He therefore concluded that the babies had both been suffocated.</w:t>
      </w:r>
      <w:r w:rsidRPr="00CF3D1E">
        <w:rPr>
          <w:vertAlign w:val="superscript"/>
        </w:rPr>
        <w:footnoteReference w:id="294"/>
      </w:r>
      <w:r w:rsidRPr="00CF3D1E">
        <w:t xml:space="preserve"> </w:t>
      </w:r>
    </w:p>
    <w:p w14:paraId="78C4B4EF" w14:textId="1EE3101C" w:rsidR="00D7152A" w:rsidRPr="00CF3D1E" w:rsidRDefault="00D7152A" w:rsidP="005673FC">
      <w:pPr>
        <w:spacing w:line="480" w:lineRule="auto"/>
        <w:jc w:val="both"/>
      </w:pPr>
      <w:r w:rsidRPr="00CF3D1E">
        <w:t xml:space="preserve">Professor Meadow who had also given (flawed) evidence in both the </w:t>
      </w:r>
      <w:r w:rsidRPr="00CF3D1E">
        <w:rPr>
          <w:i/>
        </w:rPr>
        <w:t>Clark</w:t>
      </w:r>
      <w:r w:rsidRPr="00CF3D1E">
        <w:t xml:space="preserve"> and </w:t>
      </w:r>
      <w:r w:rsidRPr="00CF3D1E">
        <w:rPr>
          <w:i/>
        </w:rPr>
        <w:t>Cannings</w:t>
      </w:r>
      <w:r w:rsidRPr="00CF3D1E">
        <w:rPr>
          <w:vertAlign w:val="superscript"/>
        </w:rPr>
        <w:footnoteReference w:id="295"/>
      </w:r>
      <w:r w:rsidRPr="00CF3D1E">
        <w:t xml:space="preserve"> cases, reviewed the post-mortem findings in </w:t>
      </w:r>
      <w:r w:rsidRPr="00CF3D1E">
        <w:rPr>
          <w:i/>
        </w:rPr>
        <w:t>Anthony</w:t>
      </w:r>
      <w:r w:rsidRPr="00CF3D1E">
        <w:t>, concluding that the deaths were typical of smothering because of the ‘“incredibly long odds” against two children in the same family dying of natural unexplained causes.’</w:t>
      </w:r>
      <w:r w:rsidRPr="00CF3D1E">
        <w:rPr>
          <w:vertAlign w:val="superscript"/>
        </w:rPr>
        <w:footnoteReference w:id="296"/>
      </w:r>
      <w:r w:rsidRPr="00CF3D1E">
        <w:t xml:space="preserve"> Natural cot death he said happened every 1 in 1000 births, therefore he suggested, the ‘“chance of a natural cot death occurring twice in the same family is 1 in 1000 x 1 in 1000 which is 1 in 1</w:t>
      </w:r>
      <w:r w:rsidR="004C3E86">
        <w:t>,</w:t>
      </w:r>
      <w:r w:rsidRPr="00CF3D1E">
        <w:t>000,000. It is extraordinarily unlikely…”’.</w:t>
      </w:r>
      <w:r w:rsidRPr="00CF3D1E">
        <w:rPr>
          <w:vertAlign w:val="superscript"/>
        </w:rPr>
        <w:footnoteReference w:id="297"/>
      </w:r>
      <w:r w:rsidRPr="00CF3D1E">
        <w:t xml:space="preserve"> As a result of this conclusion, Anthony was alleged to have killed the children ‘to bring attention to herself’,</w:t>
      </w:r>
      <w:r w:rsidRPr="00CF3D1E">
        <w:rPr>
          <w:vertAlign w:val="superscript"/>
        </w:rPr>
        <w:footnoteReference w:id="298"/>
      </w:r>
      <w:r w:rsidRPr="00CF3D1E">
        <w:t xml:space="preserve"> in line with MSbP,</w:t>
      </w:r>
      <w:r w:rsidRPr="00CF3D1E">
        <w:rPr>
          <w:vertAlign w:val="superscript"/>
        </w:rPr>
        <w:footnoteReference w:id="299"/>
      </w:r>
      <w:r w:rsidRPr="00CF3D1E">
        <w:t xml:space="preserve"> although no expert opinion</w:t>
      </w:r>
      <w:r w:rsidR="004C3E86">
        <w:t xml:space="preserve"> on MSbP was</w:t>
      </w:r>
      <w:r w:rsidRPr="00CF3D1E">
        <w:t xml:space="preserve"> permitted. Anthony was sentenced to life imprisonment. </w:t>
      </w:r>
    </w:p>
    <w:p w14:paraId="2D5E33FB" w14:textId="43EC5C05" w:rsidR="00D7152A" w:rsidRPr="00CF3D1E" w:rsidRDefault="00D7152A" w:rsidP="005673FC">
      <w:pPr>
        <w:spacing w:line="480" w:lineRule="auto"/>
        <w:jc w:val="both"/>
      </w:pPr>
      <w:r w:rsidRPr="00CF3D1E">
        <w:t xml:space="preserve">Her first appeal in 2000 was refused; at that appeal she sought to exclude expert witness Meadow’s opinions, because he had been of the view (although it was not admitted in court), that she suffered </w:t>
      </w:r>
      <w:r w:rsidRPr="00CF3D1E">
        <w:lastRenderedPageBreak/>
        <w:t>M</w:t>
      </w:r>
      <w:r w:rsidR="004C3E86">
        <w:t xml:space="preserve">SbP, and </w:t>
      </w:r>
      <w:r w:rsidRPr="00CF3D1E">
        <w:t>therefore his opinions submitted in court would have been prejudiced by that view.</w:t>
      </w:r>
      <w:r w:rsidRPr="00CF3D1E">
        <w:rPr>
          <w:vertAlign w:val="superscript"/>
        </w:rPr>
        <w:footnoteReference w:id="300"/>
      </w:r>
      <w:r w:rsidRPr="00CF3D1E">
        <w:t xml:space="preserve"> In addition, Anthony</w:t>
      </w:r>
      <w:r w:rsidRPr="004C3E86">
        <w:t>’s</w:t>
      </w:r>
      <w:r w:rsidRPr="00CF3D1E">
        <w:t xml:space="preserve"> defence sought to argue that she was suffering from a severe personality disorder at the time of the children’s deaths and that she should have </w:t>
      </w:r>
      <w:r w:rsidR="004C3E86">
        <w:t xml:space="preserve">access to </w:t>
      </w:r>
      <w:r w:rsidRPr="00CF3D1E">
        <w:t>the defence of diminished responsibility.</w:t>
      </w:r>
      <w:r w:rsidRPr="00CF3D1E">
        <w:rPr>
          <w:vertAlign w:val="superscript"/>
        </w:rPr>
        <w:footnoteReference w:id="301"/>
      </w:r>
      <w:r w:rsidRPr="00CF3D1E">
        <w:t xml:space="preserve"> Both grounds for appeal were rejected, but five years later, following referral to the CCRC</w:t>
      </w:r>
      <w:r w:rsidRPr="00CF3D1E">
        <w:rPr>
          <w:vertAlign w:val="superscript"/>
        </w:rPr>
        <w:footnoteReference w:id="302"/>
      </w:r>
      <w:r w:rsidRPr="00CF3D1E">
        <w:t xml:space="preserve"> a second appeal accepted that as in </w:t>
      </w:r>
      <w:r w:rsidRPr="00CF3D1E">
        <w:rPr>
          <w:i/>
        </w:rPr>
        <w:t>Cannings</w:t>
      </w:r>
      <w:r w:rsidRPr="00CF3D1E">
        <w:t>,</w:t>
      </w:r>
      <w:r w:rsidRPr="00CF3D1E">
        <w:rPr>
          <w:vertAlign w:val="superscript"/>
        </w:rPr>
        <w:footnoteReference w:id="303"/>
      </w:r>
      <w:r w:rsidRPr="00CF3D1E">
        <w:t xml:space="preserve"> ‘the occurrence of a second unexpected infant death within a family is not a rare event and is usually from natural causes’.</w:t>
      </w:r>
      <w:r w:rsidRPr="00CF3D1E">
        <w:rPr>
          <w:vertAlign w:val="superscript"/>
        </w:rPr>
        <w:footnoteReference w:id="304"/>
      </w:r>
      <w:r w:rsidRPr="00CF3D1E">
        <w:t xml:space="preserve"> Meadow’s evidence on statistical probabilities was acknowledged to have been flawed.</w:t>
      </w:r>
      <w:r w:rsidRPr="00CF3D1E">
        <w:rPr>
          <w:vertAlign w:val="superscript"/>
        </w:rPr>
        <w:footnoteReference w:id="305"/>
      </w:r>
      <w:r w:rsidRPr="00CF3D1E">
        <w:t xml:space="preserve"> The Appeal court drew on fresh evidence</w:t>
      </w:r>
      <w:r w:rsidRPr="00CF3D1E">
        <w:rPr>
          <w:vertAlign w:val="superscript"/>
        </w:rPr>
        <w:footnoteReference w:id="306"/>
      </w:r>
      <w:r w:rsidRPr="00CF3D1E">
        <w:t xml:space="preserve"> in </w:t>
      </w:r>
      <w:r w:rsidRPr="00CF3D1E">
        <w:rPr>
          <w:i/>
        </w:rPr>
        <w:t>Anthony</w:t>
      </w:r>
      <w:r w:rsidRPr="00CF3D1E">
        <w:t xml:space="preserve"> to conclude that if the case were to have proceeded at t</w:t>
      </w:r>
      <w:r w:rsidR="004C3E86">
        <w:t>he time of the second a</w:t>
      </w:r>
      <w:r w:rsidRPr="00CF3D1E">
        <w:t>ppeal then ‘the medical evidence for the Crown would have appeared less compelling than it must have seemed at trial’.</w:t>
      </w:r>
      <w:r w:rsidRPr="00CF3D1E">
        <w:rPr>
          <w:vertAlign w:val="superscript"/>
        </w:rPr>
        <w:footnoteReference w:id="307"/>
      </w:r>
      <w:r w:rsidRPr="00CF3D1E">
        <w:t xml:space="preserve"> </w:t>
      </w:r>
    </w:p>
    <w:p w14:paraId="1B50C3CB" w14:textId="0EC35A12" w:rsidR="00D7152A" w:rsidRPr="00CF3D1E" w:rsidRDefault="00D7152A" w:rsidP="005673FC">
      <w:pPr>
        <w:spacing w:line="480" w:lineRule="auto"/>
        <w:jc w:val="both"/>
      </w:pPr>
      <w:r w:rsidRPr="00CF3D1E">
        <w:t>It is therefore difficult to know the extent to which Anthony’s alleged attention seeking behaviour influenced either the trial or the first appeal outcomes. However, given the presence of the leading proponent of MSbP at trial, even though he could not give evidence of MSbP, considerations of mental health may have been significant in both judicial and juror considerations. Beliefs in the actuality of difficult and unlikeable parents,</w:t>
      </w:r>
      <w:r w:rsidRPr="00CF3D1E">
        <w:rPr>
          <w:vertAlign w:val="superscript"/>
        </w:rPr>
        <w:footnoteReference w:id="308"/>
      </w:r>
      <w:r w:rsidRPr="00CF3D1E">
        <w:t xml:space="preserve"> fictitious illness,</w:t>
      </w:r>
      <w:r w:rsidRPr="00CF3D1E">
        <w:rPr>
          <w:vertAlign w:val="superscript"/>
        </w:rPr>
        <w:footnoteReference w:id="309"/>
      </w:r>
      <w:r w:rsidRPr="00CF3D1E">
        <w:t xml:space="preserve"> and mothers who kill their children,</w:t>
      </w:r>
      <w:r w:rsidRPr="00CF3D1E">
        <w:rPr>
          <w:vertAlign w:val="superscript"/>
        </w:rPr>
        <w:footnoteReference w:id="310"/>
      </w:r>
      <w:r w:rsidRPr="00CF3D1E">
        <w:t xml:space="preserve"> may have been encouraged by Meadow’s discourses at JSB seminars,</w:t>
      </w:r>
      <w:r w:rsidRPr="00CF3D1E">
        <w:rPr>
          <w:vertAlign w:val="superscript"/>
        </w:rPr>
        <w:footnoteReference w:id="311"/>
      </w:r>
      <w:r w:rsidR="003D3CDA">
        <w:t xml:space="preserve">  </w:t>
      </w:r>
      <w:r w:rsidRPr="00CF3D1E">
        <w:t>his publication record,</w:t>
      </w:r>
      <w:r w:rsidRPr="00CF3D1E">
        <w:rPr>
          <w:vertAlign w:val="superscript"/>
        </w:rPr>
        <w:footnoteReference w:id="312"/>
      </w:r>
      <w:r w:rsidRPr="00CF3D1E">
        <w:t xml:space="preserve"> and </w:t>
      </w:r>
      <w:r w:rsidR="004C3E86">
        <w:t xml:space="preserve">his </w:t>
      </w:r>
      <w:r w:rsidRPr="00CF3D1E">
        <w:lastRenderedPageBreak/>
        <w:t xml:space="preserve">argument that if no medical reason could be established for a SID then MSbP should be considered. </w:t>
      </w:r>
      <w:r w:rsidR="00815542" w:rsidRPr="00CF3D1E">
        <w:t>The</w:t>
      </w:r>
      <w:r w:rsidRPr="00CF3D1E">
        <w:t xml:space="preserve"> RCPCH has published guidance on the diagnosis of FIIC</w:t>
      </w:r>
      <w:r w:rsidRPr="00CF3D1E">
        <w:rPr>
          <w:vertAlign w:val="superscript"/>
        </w:rPr>
        <w:footnoteReference w:id="313"/>
      </w:r>
      <w:r w:rsidRPr="00CF3D1E">
        <w:t xml:space="preserve"> or FIIP</w:t>
      </w:r>
      <w:r w:rsidR="00C43159">
        <w:t xml:space="preserve"> (by Proxy</w:t>
      </w:r>
      <w:r w:rsidRPr="00CF3D1E">
        <w:t xml:space="preserve">), as the syndrome has been variously referred to in the UK, </w:t>
      </w:r>
      <w:r w:rsidR="00BC7C9A" w:rsidRPr="00CF3D1E">
        <w:t xml:space="preserve">and </w:t>
      </w:r>
      <w:r w:rsidRPr="00CF3D1E">
        <w:t>it remains controversial in both English</w:t>
      </w:r>
      <w:r w:rsidRPr="00CF3D1E">
        <w:rPr>
          <w:vertAlign w:val="superscript"/>
        </w:rPr>
        <w:footnoteReference w:id="314"/>
      </w:r>
      <w:r w:rsidRPr="00CF3D1E">
        <w:t xml:space="preserve"> and Australian courts.</w:t>
      </w:r>
      <w:r w:rsidRPr="00CF3D1E">
        <w:rPr>
          <w:vertAlign w:val="superscript"/>
        </w:rPr>
        <w:footnoteReference w:id="315"/>
      </w:r>
      <w:r w:rsidRPr="00CF3D1E">
        <w:t xml:space="preserve"> It is not appropriate </w:t>
      </w:r>
      <w:r w:rsidR="00D4026D">
        <w:t xml:space="preserve">either </w:t>
      </w:r>
      <w:r w:rsidRPr="00CF3D1E">
        <w:t>to dismiss the existence of b</w:t>
      </w:r>
      <w:r w:rsidR="00D4026D">
        <w:t xml:space="preserve">ehaviour that amounts to FIIC, </w:t>
      </w:r>
      <w:r w:rsidRPr="00CF3D1E">
        <w:t xml:space="preserve">or to suggest that the Crown were wholly wrong to raise the possibility of MSbP in both </w:t>
      </w:r>
      <w:r w:rsidRPr="00CF3D1E">
        <w:rPr>
          <w:i/>
        </w:rPr>
        <w:t>Cannings</w:t>
      </w:r>
      <w:r w:rsidRPr="00CF3D1E">
        <w:t xml:space="preserve"> and </w:t>
      </w:r>
      <w:r w:rsidRPr="00CF3D1E">
        <w:rPr>
          <w:i/>
        </w:rPr>
        <w:t>Anthony</w:t>
      </w:r>
      <w:r w:rsidRPr="00CF3D1E">
        <w:t xml:space="preserve">.  </w:t>
      </w:r>
      <w:r w:rsidR="00BC7C9A" w:rsidRPr="00CF3D1E">
        <w:t>Th</w:t>
      </w:r>
      <w:r w:rsidRPr="00CF3D1E">
        <w:t>e</w:t>
      </w:r>
      <w:r w:rsidR="00BC7C9A" w:rsidRPr="00CF3D1E">
        <w:t xml:space="preserve"> issue</w:t>
      </w:r>
      <w:r w:rsidRPr="00CF3D1E">
        <w:t xml:space="preserve"> </w:t>
      </w:r>
      <w:r w:rsidR="00BC7C9A" w:rsidRPr="00CF3D1E">
        <w:t xml:space="preserve">that </w:t>
      </w:r>
      <w:r w:rsidRPr="00CF3D1E">
        <w:t>arises</w:t>
      </w:r>
      <w:r w:rsidR="00BC7C9A" w:rsidRPr="00CF3D1E">
        <w:t xml:space="preserve"> however, is</w:t>
      </w:r>
      <w:r w:rsidRPr="00CF3D1E">
        <w:t xml:space="preserve"> </w:t>
      </w:r>
      <w:r w:rsidR="00D4026D">
        <w:t>whether</w:t>
      </w:r>
      <w:r w:rsidRPr="00CF3D1E">
        <w:t xml:space="preserve"> a fixed belief is held by agents of the court that where there is no conclusive pathology, nor irrefutable evidence of mental ill health</w:t>
      </w:r>
      <w:r w:rsidR="00D4026D">
        <w:t>,</w:t>
      </w:r>
      <w:r w:rsidRPr="00CF3D1E">
        <w:t xml:space="preserve"> but there are indications that may be interpreted as attention seeking behaviour, that a mother must be guilty of abuse or murder.  </w:t>
      </w:r>
    </w:p>
    <w:p w14:paraId="5353537D" w14:textId="77777777" w:rsidR="00C372BB" w:rsidRDefault="00C372BB" w:rsidP="005673FC">
      <w:pPr>
        <w:jc w:val="both"/>
        <w:rPr>
          <w:b/>
        </w:rPr>
      </w:pPr>
    </w:p>
    <w:p w14:paraId="28E2B025" w14:textId="27967D58" w:rsidR="00356738" w:rsidRPr="00C372BB" w:rsidRDefault="00117B61" w:rsidP="005673FC">
      <w:pPr>
        <w:jc w:val="both"/>
        <w:rPr>
          <w:b/>
        </w:rPr>
      </w:pPr>
      <w:r w:rsidRPr="00C372BB">
        <w:rPr>
          <w:b/>
        </w:rPr>
        <w:t xml:space="preserve">Conclusion: </w:t>
      </w:r>
      <w:r w:rsidR="00BC7C9A" w:rsidRPr="00C372BB">
        <w:rPr>
          <w:b/>
        </w:rPr>
        <w:t>D</w:t>
      </w:r>
      <w:r w:rsidR="00C97987" w:rsidRPr="00C372BB">
        <w:rPr>
          <w:b/>
        </w:rPr>
        <w:t>oes</w:t>
      </w:r>
      <w:r w:rsidR="00356738" w:rsidRPr="00C372BB">
        <w:rPr>
          <w:b/>
        </w:rPr>
        <w:t xml:space="preserve"> behaviour</w:t>
      </w:r>
      <w:r w:rsidR="00C97987" w:rsidRPr="00C372BB">
        <w:rPr>
          <w:b/>
        </w:rPr>
        <w:t xml:space="preserve"> matter</w:t>
      </w:r>
      <w:r w:rsidR="00A33BBC" w:rsidRPr="00C372BB">
        <w:rPr>
          <w:b/>
        </w:rPr>
        <w:t>?</w:t>
      </w:r>
      <w:r w:rsidR="00356738" w:rsidRPr="00C372BB">
        <w:rPr>
          <w:b/>
        </w:rPr>
        <w:t xml:space="preserve"> </w:t>
      </w:r>
    </w:p>
    <w:p w14:paraId="7C274262" w14:textId="77777777" w:rsidR="003D3CDA" w:rsidRDefault="003409BD" w:rsidP="005673FC">
      <w:pPr>
        <w:spacing w:line="480" w:lineRule="auto"/>
        <w:jc w:val="both"/>
      </w:pPr>
      <w:r>
        <w:t xml:space="preserve">Judging character </w:t>
      </w:r>
      <w:r w:rsidR="00B24871" w:rsidRPr="00CF3D1E">
        <w:t>play</w:t>
      </w:r>
      <w:r>
        <w:t>s</w:t>
      </w:r>
      <w:r w:rsidR="00B24871" w:rsidRPr="00CF3D1E">
        <w:t xml:space="preserve"> a </w:t>
      </w:r>
      <w:r>
        <w:t>‘</w:t>
      </w:r>
      <w:r w:rsidR="00B24871" w:rsidRPr="00CF3D1E">
        <w:t>central role’</w:t>
      </w:r>
      <w:r w:rsidR="00B24871" w:rsidRPr="00CF3D1E">
        <w:rPr>
          <w:rStyle w:val="FootnoteReference"/>
        </w:rPr>
        <w:footnoteReference w:id="316"/>
      </w:r>
      <w:r w:rsidR="00B24871" w:rsidRPr="00CF3D1E">
        <w:t xml:space="preserve"> in our </w:t>
      </w:r>
      <w:r w:rsidR="006673EC" w:rsidRPr="00CF3D1E">
        <w:t xml:space="preserve">ordinary </w:t>
      </w:r>
      <w:r w:rsidR="00B24871" w:rsidRPr="00CF3D1E">
        <w:t>everyday decision making but</w:t>
      </w:r>
      <w:r w:rsidR="00712C51" w:rsidRPr="00CF3D1E">
        <w:t>,</w:t>
      </w:r>
      <w:r w:rsidR="00B24871" w:rsidRPr="00CF3D1E">
        <w:t xml:space="preserve"> within the criminal trial</w:t>
      </w:r>
      <w:r w:rsidR="007653BB" w:rsidRPr="00CF3D1E">
        <w:t xml:space="preserve"> </w:t>
      </w:r>
      <w:r w:rsidR="00B24871" w:rsidRPr="00CF3D1E">
        <w:t>reliance on ‘character becomes more controversial’</w:t>
      </w:r>
      <w:r w:rsidR="00783A4A" w:rsidRPr="00CF3D1E">
        <w:t>,</w:t>
      </w:r>
      <w:r w:rsidR="00B24871" w:rsidRPr="00CF3D1E">
        <w:rPr>
          <w:rStyle w:val="FootnoteReference"/>
        </w:rPr>
        <w:footnoteReference w:id="317"/>
      </w:r>
      <w:r w:rsidR="007653BB" w:rsidRPr="00CF3D1E">
        <w:t xml:space="preserve"> </w:t>
      </w:r>
      <w:r w:rsidR="00783A4A" w:rsidRPr="00CF3D1E">
        <w:t xml:space="preserve">particularly </w:t>
      </w:r>
      <w:r w:rsidR="00356816" w:rsidRPr="00CF3D1E">
        <w:t>a</w:t>
      </w:r>
      <w:r w:rsidR="00783A4A" w:rsidRPr="00CF3D1E">
        <w:t>s c</w:t>
      </w:r>
      <w:r w:rsidR="00BB28E2" w:rsidRPr="00CF3D1E">
        <w:t>haracter</w:t>
      </w:r>
      <w:r w:rsidR="00356816" w:rsidRPr="00CF3D1E">
        <w:t xml:space="preserve"> as indicated by</w:t>
      </w:r>
      <w:r w:rsidR="00783A4A" w:rsidRPr="00CF3D1E">
        <w:t xml:space="preserve"> ‘past behaviour and behavioural tendencies’</w:t>
      </w:r>
      <w:r w:rsidR="00783A4A" w:rsidRPr="00CF3D1E">
        <w:rPr>
          <w:rStyle w:val="FootnoteReference"/>
        </w:rPr>
        <w:footnoteReference w:id="318"/>
      </w:r>
      <w:r w:rsidR="00783A4A" w:rsidRPr="00CF3D1E">
        <w:t xml:space="preserve"> </w:t>
      </w:r>
      <w:r w:rsidR="00356816" w:rsidRPr="00CF3D1E">
        <w:t>may be</w:t>
      </w:r>
      <w:r w:rsidR="00BB28E2" w:rsidRPr="00CF3D1E">
        <w:t xml:space="preserve"> introduced </w:t>
      </w:r>
      <w:r w:rsidR="00783A4A" w:rsidRPr="00CF3D1E">
        <w:t xml:space="preserve">at trial </w:t>
      </w:r>
      <w:r w:rsidR="00BB28E2" w:rsidRPr="00CF3D1E">
        <w:t>as a way of impugning the credibility of a defendant or witness.</w:t>
      </w:r>
      <w:r w:rsidR="00BB28E2" w:rsidRPr="00CF3D1E">
        <w:rPr>
          <w:rStyle w:val="FootnoteReference"/>
        </w:rPr>
        <w:footnoteReference w:id="319"/>
      </w:r>
      <w:r w:rsidR="00BB28E2" w:rsidRPr="00CF3D1E">
        <w:t xml:space="preserve"> </w:t>
      </w:r>
      <w:r w:rsidR="00E91F14" w:rsidRPr="00CF3D1E">
        <w:t>Personal background information</w:t>
      </w:r>
      <w:r>
        <w:t xml:space="preserve"> however, together with</w:t>
      </w:r>
      <w:r w:rsidR="00E91F14" w:rsidRPr="00CF3D1E">
        <w:t xml:space="preserve"> conduct and character evidence has long been admitted in criminal trials</w:t>
      </w:r>
      <w:r w:rsidR="00117B61">
        <w:t>,</w:t>
      </w:r>
      <w:r w:rsidR="00E91F14" w:rsidRPr="00CF3D1E">
        <w:rPr>
          <w:vertAlign w:val="superscript"/>
        </w:rPr>
        <w:footnoteReference w:id="320"/>
      </w:r>
      <w:r w:rsidR="00C372BB">
        <w:t xml:space="preserve"> in order that the courts have</w:t>
      </w:r>
      <w:r w:rsidR="00E91F14" w:rsidRPr="00CF3D1E">
        <w:t xml:space="preserve"> an opportunity of hearing from defence character witnesses about the nature of the accused, </w:t>
      </w:r>
      <w:r w:rsidR="00C372BB">
        <w:t>and whether the allegation was “out of character”</w:t>
      </w:r>
      <w:r w:rsidR="00E91F14" w:rsidRPr="00CF3D1E">
        <w:t>.</w:t>
      </w:r>
      <w:r w:rsidR="00E91F14" w:rsidRPr="00CF3D1E">
        <w:rPr>
          <w:vertAlign w:val="superscript"/>
        </w:rPr>
        <w:footnoteReference w:id="321"/>
      </w:r>
      <w:r w:rsidR="00E91F14" w:rsidRPr="00CF3D1E">
        <w:t xml:space="preserve"> </w:t>
      </w:r>
    </w:p>
    <w:p w14:paraId="4B76CC86" w14:textId="688FB7D0" w:rsidR="006B6CCF" w:rsidRDefault="00E91F14" w:rsidP="00F72198">
      <w:pPr>
        <w:spacing w:line="480" w:lineRule="auto"/>
        <w:jc w:val="both"/>
      </w:pPr>
      <w:r w:rsidRPr="00CF3D1E">
        <w:lastRenderedPageBreak/>
        <w:t xml:space="preserve">The reason </w:t>
      </w:r>
      <w:r w:rsidR="00C372BB">
        <w:t>for the admission of character evidence i</w:t>
      </w:r>
      <w:r w:rsidR="00117B61">
        <w:t>s that</w:t>
      </w:r>
      <w:r w:rsidRPr="00CF3D1E">
        <w:t xml:space="preserve"> </w:t>
      </w:r>
      <w:r w:rsidR="00C372BB">
        <w:t>it</w:t>
      </w:r>
      <w:r w:rsidRPr="00CF3D1E">
        <w:t xml:space="preserve"> indicate</w:t>
      </w:r>
      <w:r w:rsidR="00C372BB">
        <w:t>s</w:t>
      </w:r>
      <w:r w:rsidRPr="00CF3D1E">
        <w:t xml:space="preserve"> disposition</w:t>
      </w:r>
      <w:r w:rsidR="00C372BB">
        <w:t>s</w:t>
      </w:r>
      <w:r w:rsidR="00C17165" w:rsidRPr="00CF3D1E">
        <w:t xml:space="preserve"> </w:t>
      </w:r>
      <w:r w:rsidRPr="00CF3D1E">
        <w:t>which persist over time, and aid</w:t>
      </w:r>
      <w:r w:rsidR="006B6CCF">
        <w:t>s</w:t>
      </w:r>
      <w:r w:rsidRPr="00CF3D1E">
        <w:t xml:space="preserve"> interpret</w:t>
      </w:r>
      <w:r w:rsidR="00117B61">
        <w:t>ations of</w:t>
      </w:r>
      <w:r w:rsidRPr="00CF3D1E">
        <w:t xml:space="preserve"> behaviour around the time of a criminal event based on past behaviours.</w:t>
      </w:r>
      <w:r w:rsidRPr="00CF3D1E">
        <w:rPr>
          <w:vertAlign w:val="superscript"/>
        </w:rPr>
        <w:footnoteReference w:id="322"/>
      </w:r>
      <w:r w:rsidRPr="00CF3D1E">
        <w:t xml:space="preserve"> But</w:t>
      </w:r>
      <w:r w:rsidR="006673EC" w:rsidRPr="00CF3D1E">
        <w:t>,</w:t>
      </w:r>
      <w:r w:rsidRPr="00CF3D1E">
        <w:t xml:space="preserve"> behaviour</w:t>
      </w:r>
      <w:r w:rsidR="006B6CCF">
        <w:t xml:space="preserve"> as character</w:t>
      </w:r>
      <w:r w:rsidR="00E01403">
        <w:t xml:space="preserve"> </w:t>
      </w:r>
      <w:r w:rsidR="00C372BB">
        <w:t>could also be</w:t>
      </w:r>
      <w:r w:rsidRPr="00CF3D1E">
        <w:t xml:space="preserve"> used to denote a person’s ‘bad c</w:t>
      </w:r>
      <w:r w:rsidR="00627DBE">
        <w:t xml:space="preserve">haracter, previous convictions, </w:t>
      </w:r>
      <w:bookmarkStart w:id="0" w:name="_GoBack"/>
      <w:bookmarkEnd w:id="0"/>
      <w:r w:rsidRPr="00CF3D1E">
        <w:t>disposition, or reputation’</w:t>
      </w:r>
      <w:r w:rsidRPr="00CF3D1E">
        <w:rPr>
          <w:vertAlign w:val="superscript"/>
        </w:rPr>
        <w:footnoteReference w:id="323"/>
      </w:r>
      <w:r w:rsidRPr="00CF3D1E">
        <w:t xml:space="preserve"> and such </w:t>
      </w:r>
      <w:r w:rsidR="00F72198">
        <w:t>evidence</w:t>
      </w:r>
      <w:r w:rsidRPr="00CF3D1E">
        <w:t xml:space="preserve"> has been considered </w:t>
      </w:r>
      <w:r w:rsidR="00F72198">
        <w:t xml:space="preserve">inadmissible at common law; bad character evidence was considered prejudicial </w:t>
      </w:r>
      <w:r w:rsidRPr="00CF3D1E">
        <w:t>to a defendant because it ‘encouraged mistaken inferences and faulty fact finding’</w:t>
      </w:r>
      <w:r w:rsidRPr="00CF3D1E">
        <w:rPr>
          <w:vertAlign w:val="superscript"/>
        </w:rPr>
        <w:footnoteReference w:id="324"/>
      </w:r>
      <w:r w:rsidR="00BB1ACA">
        <w:t xml:space="preserve"> </w:t>
      </w:r>
      <w:r w:rsidR="006B6CCF">
        <w:t xml:space="preserve">and demonstrated </w:t>
      </w:r>
      <w:r w:rsidRPr="00CF3D1E">
        <w:t xml:space="preserve"> merely propensity</w:t>
      </w:r>
      <w:r w:rsidR="006B6CCF">
        <w:t>.</w:t>
      </w:r>
      <w:r w:rsidRPr="00CF3D1E">
        <w:rPr>
          <w:vertAlign w:val="superscript"/>
        </w:rPr>
        <w:footnoteReference w:id="325"/>
      </w:r>
      <w:r w:rsidRPr="00CF3D1E">
        <w:t xml:space="preserve"> </w:t>
      </w:r>
    </w:p>
    <w:p w14:paraId="0F9FCBA8" w14:textId="7667FA4A" w:rsidR="00DF4CA6" w:rsidRPr="00CF3D1E" w:rsidRDefault="006B6CCF" w:rsidP="005673FC">
      <w:pPr>
        <w:spacing w:line="480" w:lineRule="auto"/>
        <w:jc w:val="both"/>
      </w:pPr>
      <w:r>
        <w:t xml:space="preserve">The Court of Appeal has voiced its concerns relating to the inclusion </w:t>
      </w:r>
      <w:r w:rsidR="00F72198">
        <w:t xml:space="preserve">at common law </w:t>
      </w:r>
      <w:r>
        <w:t>of material</w:t>
      </w:r>
      <w:r w:rsidR="00BB1ACA">
        <w:t xml:space="preserve"> </w:t>
      </w:r>
      <w:r>
        <w:t xml:space="preserve">that demonstrates propensity or reduces credibility because </w:t>
      </w:r>
      <w:r w:rsidR="00F72198">
        <w:t xml:space="preserve">such </w:t>
      </w:r>
      <w:r w:rsidR="00A67F73" w:rsidRPr="00CF3D1E">
        <w:t xml:space="preserve">background evidence </w:t>
      </w:r>
      <w:r>
        <w:t>may be</w:t>
      </w:r>
      <w:r w:rsidR="00A67F73" w:rsidRPr="00CF3D1E">
        <w:t xml:space="preserve"> used as a vehicle for smuggling in otherwise inadmissible evidence</w:t>
      </w:r>
      <w:r w:rsidR="003409BD">
        <w:t>.</w:t>
      </w:r>
      <w:r w:rsidR="00A67F73" w:rsidRPr="00CF3D1E">
        <w:rPr>
          <w:vertAlign w:val="superscript"/>
        </w:rPr>
        <w:footnoteReference w:id="326"/>
      </w:r>
      <w:r w:rsidR="00A67F73" w:rsidRPr="00CF3D1E">
        <w:t xml:space="preserve"> </w:t>
      </w:r>
      <w:r w:rsidR="005543C1">
        <w:t>This is important</w:t>
      </w:r>
      <w:r w:rsidR="00BA280C">
        <w:t>,</w:t>
      </w:r>
      <w:r w:rsidR="005543C1">
        <w:t xml:space="preserve"> </w:t>
      </w:r>
      <w:r w:rsidR="00954D4F">
        <w:t>because</w:t>
      </w:r>
      <w:r w:rsidR="00776AD3" w:rsidRPr="00CF3D1E">
        <w:t xml:space="preserve"> the difference between how the legal system considers </w:t>
      </w:r>
      <w:r w:rsidR="00943CA7" w:rsidRPr="00CF3D1E">
        <w:t>evidence</w:t>
      </w:r>
      <w:r w:rsidR="00776AD3" w:rsidRPr="00CF3D1E">
        <w:t xml:space="preserve"> should be interpreted</w:t>
      </w:r>
      <w:r w:rsidR="00943CA7" w:rsidRPr="00CF3D1E">
        <w:t>,</w:t>
      </w:r>
      <w:r w:rsidR="00776AD3" w:rsidRPr="00CF3D1E">
        <w:rPr>
          <w:rStyle w:val="FootnoteReference"/>
        </w:rPr>
        <w:footnoteReference w:id="327"/>
      </w:r>
      <w:r w:rsidR="00943CA7" w:rsidRPr="00CF3D1E">
        <w:t xml:space="preserve"> and how eviden</w:t>
      </w:r>
      <w:r w:rsidR="005543C1">
        <w:t>ce is interpreted by the public</w:t>
      </w:r>
      <w:r w:rsidR="00E01403">
        <w:t>,</w:t>
      </w:r>
      <w:r w:rsidR="003409BD" w:rsidRPr="00CF3D1E">
        <w:rPr>
          <w:rStyle w:val="FootnoteReference"/>
        </w:rPr>
        <w:footnoteReference w:id="328"/>
      </w:r>
      <w:r w:rsidR="005543C1">
        <w:t xml:space="preserve"> is </w:t>
      </w:r>
      <w:r w:rsidR="005543C1" w:rsidRPr="00CF3D1E">
        <w:t>an area that ‘we know little about’</w:t>
      </w:r>
      <w:r w:rsidR="005543C1">
        <w:t>.</w:t>
      </w:r>
      <w:r w:rsidR="005543C1" w:rsidRPr="00CF3D1E">
        <w:rPr>
          <w:rStyle w:val="FootnoteReference"/>
        </w:rPr>
        <w:footnoteReference w:id="329"/>
      </w:r>
      <w:r w:rsidR="005543C1" w:rsidRPr="00CF3D1E">
        <w:t xml:space="preserve"> </w:t>
      </w:r>
      <w:r w:rsidR="003409BD" w:rsidRPr="00CF3D1E">
        <w:t xml:space="preserve"> </w:t>
      </w:r>
      <w:r w:rsidR="00943CA7" w:rsidRPr="00CF3D1E">
        <w:t xml:space="preserve"> </w:t>
      </w:r>
      <w:r w:rsidR="007B5C13" w:rsidRPr="00CF3D1E">
        <w:t>I</w:t>
      </w:r>
      <w:r w:rsidR="005A6DC9" w:rsidRPr="00CF3D1E">
        <w:t xml:space="preserve">f </w:t>
      </w:r>
      <w:r w:rsidR="007B5C13" w:rsidRPr="00CF3D1E">
        <w:t xml:space="preserve">the legal profession </w:t>
      </w:r>
      <w:r w:rsidR="00117B61">
        <w:t xml:space="preserve">and the </w:t>
      </w:r>
      <w:r w:rsidR="005543C1">
        <w:t>judiciary</w:t>
      </w:r>
      <w:r w:rsidR="00117B61">
        <w:t xml:space="preserve"> </w:t>
      </w:r>
      <w:r w:rsidR="007B5C13" w:rsidRPr="00CF3D1E">
        <w:t>ha</w:t>
      </w:r>
      <w:r w:rsidR="00117B61">
        <w:t>ve</w:t>
      </w:r>
      <w:r w:rsidR="007B5C13" w:rsidRPr="00CF3D1E">
        <w:t xml:space="preserve"> concerns about the role of background evidence </w:t>
      </w:r>
      <w:r w:rsidR="003409BD">
        <w:t>and its permissive admission,</w:t>
      </w:r>
      <w:r w:rsidR="007B5C13" w:rsidRPr="00CF3D1E">
        <w:t xml:space="preserve"> the use of </w:t>
      </w:r>
      <w:r w:rsidR="005543C1">
        <w:t xml:space="preserve">warning devices such as </w:t>
      </w:r>
      <w:r w:rsidR="007B5C13" w:rsidRPr="00CF3D1E">
        <w:t xml:space="preserve">the </w:t>
      </w:r>
      <w:r w:rsidR="00117B61">
        <w:t xml:space="preserve">modern </w:t>
      </w:r>
      <w:r w:rsidR="007B5C13" w:rsidRPr="00CF3D1E">
        <w:t xml:space="preserve">rape myth and the </w:t>
      </w:r>
      <w:r w:rsidR="00117B61">
        <w:t xml:space="preserve">modern </w:t>
      </w:r>
      <w:r w:rsidR="007B5C13" w:rsidRPr="00CF3D1E">
        <w:t>mothering myth</w:t>
      </w:r>
      <w:r w:rsidR="005543C1">
        <w:t xml:space="preserve"> </w:t>
      </w:r>
      <w:r w:rsidR="007B5C13" w:rsidRPr="00CF3D1E">
        <w:t>become</w:t>
      </w:r>
      <w:r w:rsidR="00B2302E">
        <w:t xml:space="preserve"> indispensable in highlighting and preventing possible </w:t>
      </w:r>
      <w:r w:rsidR="007B5C13" w:rsidRPr="00CF3D1E">
        <w:t>injustice</w:t>
      </w:r>
      <w:r w:rsidR="003409BD">
        <w:t>s</w:t>
      </w:r>
      <w:r w:rsidR="007B5C13" w:rsidRPr="00CF3D1E">
        <w:t xml:space="preserve">. </w:t>
      </w:r>
      <w:r w:rsidR="00EC75C0" w:rsidRPr="00CF3D1E">
        <w:t xml:space="preserve"> </w:t>
      </w:r>
    </w:p>
    <w:p w14:paraId="0D3FCECB" w14:textId="5D07AA81" w:rsidR="00DF4CA6" w:rsidRPr="00CF3D1E" w:rsidRDefault="00DF4CA6" w:rsidP="005673FC">
      <w:pPr>
        <w:spacing w:line="480" w:lineRule="auto"/>
        <w:jc w:val="both"/>
      </w:pPr>
      <w:r w:rsidRPr="00CF3D1E">
        <w:lastRenderedPageBreak/>
        <w:t xml:space="preserve">That background evidence may be used in criminal trials is not novel, but </w:t>
      </w:r>
      <w:r w:rsidR="002E79DB" w:rsidRPr="00CF3D1E">
        <w:t xml:space="preserve">we should be cautious </w:t>
      </w:r>
      <w:r w:rsidR="0024290F" w:rsidRPr="00CF3D1E">
        <w:t xml:space="preserve">about using non-criminal behaviour evidence because </w:t>
      </w:r>
      <w:r w:rsidR="002E45B5" w:rsidRPr="00CF3D1E">
        <w:t xml:space="preserve">as Redmayne signals, </w:t>
      </w:r>
      <w:r w:rsidR="0024290F" w:rsidRPr="00CF3D1E">
        <w:t xml:space="preserve">the trial may </w:t>
      </w:r>
      <w:r w:rsidR="007B5C13" w:rsidRPr="00CF3D1E">
        <w:t xml:space="preserve">then </w:t>
      </w:r>
      <w:r w:rsidR="002E45B5" w:rsidRPr="00CF3D1E">
        <w:t>become</w:t>
      </w:r>
      <w:r w:rsidR="0024290F" w:rsidRPr="00CF3D1E">
        <w:t xml:space="preserve"> an examination of the ‘defendant’s life and attitudes’</w:t>
      </w:r>
      <w:r w:rsidRPr="00CF3D1E">
        <w:rPr>
          <w:rStyle w:val="FootnoteReference"/>
        </w:rPr>
        <w:footnoteReference w:id="330"/>
      </w:r>
      <w:r w:rsidRPr="00CF3D1E">
        <w:t xml:space="preserve"> </w:t>
      </w:r>
      <w:r w:rsidR="0024290F" w:rsidRPr="00CF3D1E">
        <w:t xml:space="preserve">with the possibility that </w:t>
      </w:r>
      <w:r w:rsidR="00B2302E">
        <w:t>for all of us</w:t>
      </w:r>
      <w:r w:rsidR="001409E5">
        <w:t>,</w:t>
      </w:r>
      <w:r w:rsidR="00B2302E">
        <w:t xml:space="preserve"> and especially </w:t>
      </w:r>
      <w:r w:rsidR="007B5C13" w:rsidRPr="00CF3D1E">
        <w:t>mothers accused of killing their children,</w:t>
      </w:r>
      <w:r w:rsidR="0024290F" w:rsidRPr="00CF3D1E">
        <w:t xml:space="preserve"> </w:t>
      </w:r>
      <w:r w:rsidR="00EC75C0" w:rsidRPr="00CF3D1E">
        <w:t>‘the state might dredge up any unpleasant behaviour in our lives and use it to convict us’</w:t>
      </w:r>
      <w:r w:rsidR="00954D4F">
        <w:t>,</w:t>
      </w:r>
      <w:r w:rsidR="00EC75C0" w:rsidRPr="00CF3D1E">
        <w:rPr>
          <w:rStyle w:val="FootnoteReference"/>
        </w:rPr>
        <w:footnoteReference w:id="331"/>
      </w:r>
      <w:r w:rsidR="00EC75C0" w:rsidRPr="00CF3D1E">
        <w:t xml:space="preserve"> </w:t>
      </w:r>
      <w:r w:rsidR="00BC7C9A" w:rsidRPr="00CF3D1E">
        <w:t>or of course in rape trials perhaps</w:t>
      </w:r>
      <w:r w:rsidR="003409BD">
        <w:t>,</w:t>
      </w:r>
      <w:r w:rsidR="001409E5">
        <w:t xml:space="preserve"> </w:t>
      </w:r>
      <w:r w:rsidR="00BC7C9A" w:rsidRPr="00CF3D1E">
        <w:t>to wrongly acquit</w:t>
      </w:r>
      <w:r w:rsidR="001409E5">
        <w:t xml:space="preserve"> the defendant</w:t>
      </w:r>
      <w:r w:rsidR="00BC7C9A" w:rsidRPr="00CF3D1E">
        <w:t xml:space="preserve">. </w:t>
      </w:r>
    </w:p>
    <w:p w14:paraId="6DFEA1E5" w14:textId="2DA96C27" w:rsidR="00B2302E" w:rsidRDefault="0030059A" w:rsidP="005673FC">
      <w:pPr>
        <w:spacing w:line="480" w:lineRule="auto"/>
        <w:jc w:val="both"/>
      </w:pPr>
      <w:r w:rsidRPr="00CF3D1E">
        <w:t xml:space="preserve">RMS tells us </w:t>
      </w:r>
      <w:r w:rsidR="00FB7275">
        <w:t xml:space="preserve">clearly </w:t>
      </w:r>
      <w:r w:rsidRPr="00CF3D1E">
        <w:t xml:space="preserve">that </w:t>
      </w:r>
      <w:r w:rsidR="00B2302E">
        <w:t xml:space="preserve">female </w:t>
      </w:r>
      <w:r w:rsidRPr="00CF3D1E">
        <w:t xml:space="preserve">behaviour </w:t>
      </w:r>
      <w:r w:rsidR="00E3537E">
        <w:t xml:space="preserve">and its interpretations </w:t>
      </w:r>
      <w:r w:rsidR="001409E5">
        <w:t>matter</w:t>
      </w:r>
      <w:r w:rsidRPr="00CF3D1E">
        <w:t xml:space="preserve">. </w:t>
      </w:r>
      <w:r w:rsidR="00FC4C0B">
        <w:t>It also suggests</w:t>
      </w:r>
      <w:r w:rsidR="00FF3E46">
        <w:t xml:space="preserve"> that</w:t>
      </w:r>
      <w:r w:rsidRPr="00CF3D1E">
        <w:t xml:space="preserve"> </w:t>
      </w:r>
      <w:r w:rsidR="00FB7275">
        <w:t xml:space="preserve">further </w:t>
      </w:r>
      <w:r w:rsidRPr="00CF3D1E">
        <w:t xml:space="preserve">research is needed into understanding where there is meaning, relevance or even probative value in particular female behaviours if they are to be used </w:t>
      </w:r>
      <w:r w:rsidR="00FB7275">
        <w:t xml:space="preserve">as </w:t>
      </w:r>
      <w:r w:rsidRPr="00CF3D1E">
        <w:t>evidence</w:t>
      </w:r>
      <w:r w:rsidR="00FB7275">
        <w:t>,</w:t>
      </w:r>
      <w:r w:rsidR="007B5C13" w:rsidRPr="00CF3D1E">
        <w:t xml:space="preserve"> and into the ways in which the public interpret </w:t>
      </w:r>
      <w:r w:rsidR="00643C03">
        <w:t xml:space="preserve">behaviour </w:t>
      </w:r>
      <w:r w:rsidR="007B5C13" w:rsidRPr="00CF3D1E">
        <w:t>evidence.</w:t>
      </w:r>
      <w:r w:rsidRPr="00CF3D1E">
        <w:t xml:space="preserve"> </w:t>
      </w:r>
      <w:r w:rsidR="005325D4" w:rsidRPr="00CF3D1E">
        <w:t>RMS</w:t>
      </w:r>
      <w:r w:rsidRPr="00CF3D1E">
        <w:t xml:space="preserve"> has </w:t>
      </w:r>
      <w:r w:rsidR="00643C03">
        <w:t xml:space="preserve">had success in </w:t>
      </w:r>
      <w:r w:rsidRPr="00CF3D1E">
        <w:t>challeng</w:t>
      </w:r>
      <w:r w:rsidR="00643C03">
        <w:t>ing</w:t>
      </w:r>
      <w:r w:rsidRPr="00CF3D1E">
        <w:t xml:space="preserve"> the permissive admission of evidence of </w:t>
      </w:r>
      <w:r w:rsidR="001409E5">
        <w:t>complainant</w:t>
      </w:r>
      <w:r w:rsidRPr="00CF3D1E">
        <w:t xml:space="preserve"> behaviour </w:t>
      </w:r>
      <w:r w:rsidR="00643C03">
        <w:t xml:space="preserve">in rape trials </w:t>
      </w:r>
      <w:r w:rsidRPr="00CF3D1E">
        <w:t xml:space="preserve">and </w:t>
      </w:r>
      <w:r w:rsidR="007B5C13" w:rsidRPr="00CF3D1E">
        <w:t xml:space="preserve">by using the device of a rape myth has </w:t>
      </w:r>
      <w:r w:rsidRPr="00CF3D1E">
        <w:t>sought to isolate, define</w:t>
      </w:r>
      <w:r w:rsidR="005325D4" w:rsidRPr="00CF3D1E">
        <w:t xml:space="preserve"> and</w:t>
      </w:r>
      <w:r w:rsidRPr="00CF3D1E">
        <w:t xml:space="preserve"> measure </w:t>
      </w:r>
      <w:r w:rsidR="005325D4" w:rsidRPr="00CF3D1E">
        <w:t xml:space="preserve">the </w:t>
      </w:r>
      <w:r w:rsidR="00FC4C0B">
        <w:t>prevale</w:t>
      </w:r>
      <w:r w:rsidR="001409E5">
        <w:t>nce</w:t>
      </w:r>
      <w:r w:rsidR="005325D4" w:rsidRPr="00CF3D1E">
        <w:t xml:space="preserve"> of </w:t>
      </w:r>
      <w:r w:rsidRPr="00CF3D1E">
        <w:t>beliefs which may be used in crimina</w:t>
      </w:r>
      <w:r w:rsidR="001409E5">
        <w:t>l trials to show propensity and/</w:t>
      </w:r>
      <w:r w:rsidR="005325D4" w:rsidRPr="00CF3D1E">
        <w:t xml:space="preserve">or </w:t>
      </w:r>
      <w:r w:rsidRPr="00CF3D1E">
        <w:t xml:space="preserve">bad character. In so doing, </w:t>
      </w:r>
      <w:r w:rsidR="00B2302E">
        <w:t>RMS</w:t>
      </w:r>
      <w:r w:rsidR="005325D4" w:rsidRPr="00CF3D1E">
        <w:t xml:space="preserve"> has</w:t>
      </w:r>
      <w:r w:rsidR="007B5C13" w:rsidRPr="00CF3D1E">
        <w:t xml:space="preserve"> uncovered </w:t>
      </w:r>
      <w:r w:rsidR="00643C03">
        <w:t xml:space="preserve">multiple </w:t>
      </w:r>
      <w:r w:rsidR="007B5C13" w:rsidRPr="00CF3D1E">
        <w:t xml:space="preserve">layers of complexity </w:t>
      </w:r>
      <w:r w:rsidR="00E3537E">
        <w:t>comprising beliefs, attitudes</w:t>
      </w:r>
      <w:r w:rsidR="00643C03">
        <w:t xml:space="preserve"> and</w:t>
      </w:r>
      <w:r w:rsidR="00E3537E">
        <w:t xml:space="preserve"> norms </w:t>
      </w:r>
      <w:r w:rsidR="00FC4C0B">
        <w:t xml:space="preserve">relating to women, </w:t>
      </w:r>
      <w:r w:rsidR="00E3537E">
        <w:t xml:space="preserve">with </w:t>
      </w:r>
      <w:r w:rsidR="00FC4C0B">
        <w:t>varying</w:t>
      </w:r>
      <w:r w:rsidR="00E3537E">
        <w:t xml:space="preserve"> </w:t>
      </w:r>
      <w:r w:rsidR="007B5C13" w:rsidRPr="00CF3D1E">
        <w:t>functionali</w:t>
      </w:r>
      <w:r w:rsidR="00E3537E">
        <w:t>ties</w:t>
      </w:r>
      <w:r w:rsidR="00FC4C0B">
        <w:t xml:space="preserve"> and interconnections</w:t>
      </w:r>
      <w:r w:rsidR="00FB7275">
        <w:t xml:space="preserve">. </w:t>
      </w:r>
    </w:p>
    <w:p w14:paraId="46D661AA" w14:textId="74C535DE" w:rsidR="002C6307" w:rsidRPr="00CF3D1E" w:rsidRDefault="00FB7275" w:rsidP="005673FC">
      <w:pPr>
        <w:spacing w:line="480" w:lineRule="auto"/>
        <w:jc w:val="both"/>
      </w:pPr>
      <w:r>
        <w:t>The same complexi</w:t>
      </w:r>
      <w:r w:rsidR="00B2302E">
        <w:t>ties</w:t>
      </w:r>
      <w:r>
        <w:t xml:space="preserve"> may be true also </w:t>
      </w:r>
      <w:r w:rsidR="00643C03">
        <w:t xml:space="preserve">of beliefs about mothers and their behaviours </w:t>
      </w:r>
      <w:r>
        <w:t xml:space="preserve">when </w:t>
      </w:r>
      <w:r w:rsidR="00643C03">
        <w:t xml:space="preserve">they </w:t>
      </w:r>
      <w:r>
        <w:t xml:space="preserve">are accused of killing their children. </w:t>
      </w:r>
      <w:r w:rsidR="00B2302E">
        <w:t xml:space="preserve">By being more aware of the pitfalls of language, and the firmer ground of </w:t>
      </w:r>
      <w:r w:rsidR="007B5C13" w:rsidRPr="00CF3D1E">
        <w:t xml:space="preserve">normativity </w:t>
      </w:r>
      <w:r w:rsidR="00B2302E">
        <w:t xml:space="preserve">we may be able to identify the operation of prescriptive </w:t>
      </w:r>
      <w:r w:rsidR="007B5C13" w:rsidRPr="00CF3D1E">
        <w:t>beliefs</w:t>
      </w:r>
      <w:r w:rsidR="00B2302E">
        <w:t xml:space="preserve"> in child death cases</w:t>
      </w:r>
      <w:r w:rsidR="007B5C13" w:rsidRPr="00CF3D1E">
        <w:t xml:space="preserve">. </w:t>
      </w:r>
      <w:r w:rsidR="00B2302E">
        <w:t xml:space="preserve">The modern Mothering Myth may </w:t>
      </w:r>
      <w:r w:rsidR="005325D4" w:rsidRPr="00CF3D1E">
        <w:t>provide us with</w:t>
      </w:r>
      <w:r w:rsidR="0030059A" w:rsidRPr="00CF3D1E">
        <w:t xml:space="preserve"> </w:t>
      </w:r>
      <w:r w:rsidR="00B2302E">
        <w:t xml:space="preserve">a device with which </w:t>
      </w:r>
      <w:r w:rsidR="0030059A" w:rsidRPr="00CF3D1E">
        <w:t xml:space="preserve">to challenge </w:t>
      </w:r>
      <w:r w:rsidR="005325D4" w:rsidRPr="00CF3D1E">
        <w:t xml:space="preserve">the </w:t>
      </w:r>
      <w:r w:rsidR="0030059A" w:rsidRPr="00CF3D1E">
        <w:t>admissi</w:t>
      </w:r>
      <w:r w:rsidR="00B2302E">
        <w:t>bility</w:t>
      </w:r>
      <w:r w:rsidR="0030059A" w:rsidRPr="00CF3D1E">
        <w:t xml:space="preserve"> of </w:t>
      </w:r>
      <w:r w:rsidR="00433D02">
        <w:t>evidence of a mother’s conduct</w:t>
      </w:r>
      <w:r w:rsidR="00B2302E">
        <w:t xml:space="preserve"> and </w:t>
      </w:r>
      <w:r w:rsidR="00433D02">
        <w:t>behaviour</w:t>
      </w:r>
      <w:r w:rsidR="0030059A" w:rsidRPr="00CF3D1E">
        <w:t xml:space="preserve"> </w:t>
      </w:r>
      <w:r w:rsidR="00433D02">
        <w:t xml:space="preserve">prior to and </w:t>
      </w:r>
      <w:r w:rsidR="00B2302E">
        <w:t>around the ti</w:t>
      </w:r>
      <w:r w:rsidR="00FF3E46">
        <w:t>m</w:t>
      </w:r>
      <w:r w:rsidR="00B2302E">
        <w:t xml:space="preserve">e that a child dies. </w:t>
      </w:r>
      <w:r w:rsidR="005325D4" w:rsidRPr="00CF3D1E">
        <w:t xml:space="preserve">It is essential </w:t>
      </w:r>
      <w:r w:rsidR="00643C03">
        <w:t xml:space="preserve">for justice that </w:t>
      </w:r>
      <w:r w:rsidR="005325D4" w:rsidRPr="00CF3D1E">
        <w:t xml:space="preserve">we distinguish between </w:t>
      </w:r>
      <w:r w:rsidR="007B5C13" w:rsidRPr="00CF3D1E">
        <w:t xml:space="preserve">beliefs going </w:t>
      </w:r>
      <w:r w:rsidR="00433D02">
        <w:t xml:space="preserve">only </w:t>
      </w:r>
      <w:r w:rsidR="007B5C13" w:rsidRPr="00CF3D1E">
        <w:t>to propensity</w:t>
      </w:r>
      <w:r w:rsidR="00643C03">
        <w:t xml:space="preserve"> </w:t>
      </w:r>
      <w:r w:rsidR="0006416E" w:rsidRPr="00CF3D1E">
        <w:t>and</w:t>
      </w:r>
      <w:r w:rsidR="005325D4" w:rsidRPr="00CF3D1E">
        <w:t xml:space="preserve"> actual conduct </w:t>
      </w:r>
      <w:r w:rsidR="005325D4" w:rsidRPr="00CF3D1E">
        <w:lastRenderedPageBreak/>
        <w:t xml:space="preserve">relating to </w:t>
      </w:r>
      <w:r w:rsidR="0006416E" w:rsidRPr="00CF3D1E">
        <w:t xml:space="preserve">criminal </w:t>
      </w:r>
      <w:r w:rsidR="00433D02">
        <w:t>liability</w:t>
      </w:r>
      <w:r w:rsidR="00E3537E">
        <w:t xml:space="preserve"> when mothers are accused of killing their children</w:t>
      </w:r>
      <w:r w:rsidR="00643C03">
        <w:t>. We can and should</w:t>
      </w:r>
      <w:r>
        <w:t xml:space="preserve"> challenge modern mothering myths. </w:t>
      </w:r>
      <w:r w:rsidR="00E3537E">
        <w:t xml:space="preserve"> </w:t>
      </w:r>
      <w:r w:rsidR="005325D4" w:rsidRPr="00CF3D1E">
        <w:t xml:space="preserve"> </w:t>
      </w:r>
    </w:p>
    <w:p w14:paraId="2331DB92" w14:textId="6AB3B4CB" w:rsidR="00FA17CD" w:rsidRPr="00FB7275" w:rsidRDefault="00FA17CD" w:rsidP="00FB7275">
      <w:pPr>
        <w:pStyle w:val="Heading1"/>
        <w:spacing w:line="480" w:lineRule="auto"/>
        <w:rPr>
          <w:rFonts w:ascii="Times New Roman" w:eastAsia="Calibri" w:hAnsi="Times New Roman" w:cs="Times New Roman"/>
          <w:sz w:val="24"/>
          <w:szCs w:val="24"/>
        </w:rPr>
      </w:pPr>
    </w:p>
    <w:sectPr w:rsidR="00FA17CD" w:rsidRPr="00FB7275" w:rsidSect="005673FC">
      <w:headerReference w:type="even" r:id="rId8"/>
      <w:headerReference w:type="default" r:id="rId9"/>
      <w:footerReference w:type="even" r:id="rId10"/>
      <w:footerReference w:type="default" r:id="rId11"/>
      <w:type w:val="continuous"/>
      <w:pgSz w:w="11901" w:h="16840" w:code="9"/>
      <w:pgMar w:top="1440" w:right="1080" w:bottom="144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74CC5" w14:textId="77777777" w:rsidR="009354AD" w:rsidRDefault="009354AD" w:rsidP="00A6208B">
      <w:pPr>
        <w:spacing w:after="0" w:line="240" w:lineRule="auto"/>
      </w:pPr>
      <w:r>
        <w:separator/>
      </w:r>
    </w:p>
  </w:endnote>
  <w:endnote w:type="continuationSeparator" w:id="0">
    <w:p w14:paraId="68FE959F" w14:textId="77777777" w:rsidR="009354AD" w:rsidRDefault="009354AD" w:rsidP="00A6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050740"/>
      <w:docPartObj>
        <w:docPartGallery w:val="Page Numbers (Bottom of Page)"/>
        <w:docPartUnique/>
      </w:docPartObj>
    </w:sdtPr>
    <w:sdtEndPr>
      <w:rPr>
        <w:noProof/>
      </w:rPr>
    </w:sdtEndPr>
    <w:sdtContent>
      <w:p w14:paraId="686F3EA5" w14:textId="33DAE8B2" w:rsidR="0052684C" w:rsidRDefault="0052684C">
        <w:pPr>
          <w:pStyle w:val="Footer"/>
          <w:jc w:val="center"/>
        </w:pPr>
        <w:r>
          <w:t>_________________________________________________________________________________</w:t>
        </w:r>
      </w:p>
      <w:p w14:paraId="701DBBB2" w14:textId="7493314D" w:rsidR="0052684C" w:rsidRDefault="0052684C">
        <w:pPr>
          <w:pStyle w:val="Footer"/>
          <w:jc w:val="center"/>
        </w:pPr>
      </w:p>
      <w:p w14:paraId="5B579503" w14:textId="45C5850E" w:rsidR="0052684C" w:rsidRDefault="0052684C">
        <w:pPr>
          <w:pStyle w:val="Footer"/>
          <w:jc w:val="center"/>
        </w:pPr>
        <w:r w:rsidRPr="005673FC">
          <w:rPr>
            <w:sz w:val="22"/>
            <w:szCs w:val="22"/>
          </w:rPr>
          <w:fldChar w:fldCharType="begin"/>
        </w:r>
        <w:r w:rsidRPr="005673FC">
          <w:rPr>
            <w:sz w:val="22"/>
            <w:szCs w:val="22"/>
          </w:rPr>
          <w:instrText xml:space="preserve"> PAGE   \* MERGEFORMAT </w:instrText>
        </w:r>
        <w:r w:rsidRPr="005673FC">
          <w:rPr>
            <w:sz w:val="22"/>
            <w:szCs w:val="22"/>
          </w:rPr>
          <w:fldChar w:fldCharType="separate"/>
        </w:r>
        <w:r w:rsidR="00627DBE">
          <w:rPr>
            <w:noProof/>
            <w:sz w:val="22"/>
            <w:szCs w:val="22"/>
          </w:rPr>
          <w:t>20</w:t>
        </w:r>
        <w:r w:rsidRPr="005673FC">
          <w:rPr>
            <w:noProof/>
            <w:sz w:val="22"/>
            <w:szCs w:val="22"/>
          </w:rPr>
          <w:fldChar w:fldCharType="end"/>
        </w:r>
      </w:p>
    </w:sdtContent>
  </w:sdt>
  <w:p w14:paraId="19AEB87A" w14:textId="77777777" w:rsidR="0052684C" w:rsidRDefault="0052684C" w:rsidP="009615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256320"/>
      <w:docPartObj>
        <w:docPartGallery w:val="Page Numbers (Bottom of Page)"/>
        <w:docPartUnique/>
      </w:docPartObj>
    </w:sdtPr>
    <w:sdtEndPr>
      <w:rPr>
        <w:noProof/>
        <w:sz w:val="22"/>
        <w:szCs w:val="22"/>
      </w:rPr>
    </w:sdtEndPr>
    <w:sdtContent>
      <w:p w14:paraId="09DA4392" w14:textId="29B369CB" w:rsidR="0052684C" w:rsidRDefault="0052684C">
        <w:pPr>
          <w:pStyle w:val="Footer"/>
          <w:jc w:val="center"/>
        </w:pPr>
        <w:r>
          <w:t>_________________________________________________________________________________</w:t>
        </w:r>
      </w:p>
      <w:p w14:paraId="62EE6BEF" w14:textId="58704C9F" w:rsidR="0052684C" w:rsidRDefault="0052684C">
        <w:pPr>
          <w:pStyle w:val="Footer"/>
          <w:jc w:val="center"/>
        </w:pPr>
      </w:p>
      <w:p w14:paraId="0CBF8907" w14:textId="7F185E06" w:rsidR="0052684C" w:rsidRPr="005673FC" w:rsidRDefault="0052684C">
        <w:pPr>
          <w:pStyle w:val="Footer"/>
          <w:jc w:val="center"/>
          <w:rPr>
            <w:sz w:val="22"/>
            <w:szCs w:val="22"/>
          </w:rPr>
        </w:pPr>
        <w:r w:rsidRPr="005673FC">
          <w:rPr>
            <w:sz w:val="22"/>
            <w:szCs w:val="22"/>
          </w:rPr>
          <w:fldChar w:fldCharType="begin"/>
        </w:r>
        <w:r w:rsidRPr="005673FC">
          <w:rPr>
            <w:sz w:val="22"/>
            <w:szCs w:val="22"/>
          </w:rPr>
          <w:instrText xml:space="preserve"> PAGE   \* MERGEFORMAT </w:instrText>
        </w:r>
        <w:r w:rsidRPr="005673FC">
          <w:rPr>
            <w:sz w:val="22"/>
            <w:szCs w:val="22"/>
          </w:rPr>
          <w:fldChar w:fldCharType="separate"/>
        </w:r>
        <w:r w:rsidR="00627DBE">
          <w:rPr>
            <w:noProof/>
            <w:sz w:val="22"/>
            <w:szCs w:val="22"/>
          </w:rPr>
          <w:t>1</w:t>
        </w:r>
        <w:r w:rsidRPr="005673FC">
          <w:rPr>
            <w:noProof/>
            <w:sz w:val="22"/>
            <w:szCs w:val="22"/>
          </w:rPr>
          <w:fldChar w:fldCharType="end"/>
        </w:r>
      </w:p>
    </w:sdtContent>
  </w:sdt>
  <w:p w14:paraId="0D102A25" w14:textId="7E5CDA6C" w:rsidR="0052684C" w:rsidRDefault="0052684C" w:rsidP="00E63010">
    <w:pPr>
      <w:pStyle w:val="BodyText"/>
      <w:spacing w:line="14" w:lineRule="auto"/>
      <w:ind w:left="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0C56" w14:textId="77777777" w:rsidR="009354AD" w:rsidRDefault="009354AD" w:rsidP="00A6208B">
      <w:pPr>
        <w:spacing w:after="0" w:line="240" w:lineRule="auto"/>
      </w:pPr>
      <w:r>
        <w:separator/>
      </w:r>
    </w:p>
  </w:footnote>
  <w:footnote w:type="continuationSeparator" w:id="0">
    <w:p w14:paraId="6E1C6DAA" w14:textId="77777777" w:rsidR="009354AD" w:rsidRDefault="009354AD" w:rsidP="00A6208B">
      <w:pPr>
        <w:spacing w:after="0" w:line="240" w:lineRule="auto"/>
      </w:pPr>
      <w:r>
        <w:continuationSeparator/>
      </w:r>
    </w:p>
  </w:footnote>
  <w:footnote w:id="1">
    <w:p w14:paraId="352AC027" w14:textId="608F554C" w:rsidR="0052684C" w:rsidRDefault="0052684C" w:rsidP="005673FC">
      <w:pPr>
        <w:pStyle w:val="FootnoteText"/>
        <w:jc w:val="both"/>
      </w:pPr>
      <w:r>
        <w:rPr>
          <w:rStyle w:val="FootnoteReference"/>
        </w:rPr>
        <w:t>*</w:t>
      </w:r>
      <w:r>
        <w:t xml:space="preserve"> Lecturer in Law, Bournemouth University, UK. Email </w:t>
      </w:r>
      <w:hyperlink r:id="rId1" w:history="1">
        <w:r w:rsidRPr="00480369">
          <w:rPr>
            <w:rStyle w:val="Hyperlink"/>
          </w:rPr>
          <w:t>gorr@bournemouth.ac.uk</w:t>
        </w:r>
      </w:hyperlink>
      <w:r>
        <w:t xml:space="preserve"> </w:t>
      </w:r>
    </w:p>
  </w:footnote>
  <w:footnote w:id="2">
    <w:p w14:paraId="4754A84D" w14:textId="0B8FF9B7" w:rsidR="0052684C" w:rsidRDefault="0052684C" w:rsidP="005673FC">
      <w:pPr>
        <w:pStyle w:val="FootnoteText"/>
        <w:jc w:val="both"/>
      </w:pPr>
      <w:r>
        <w:rPr>
          <w:rStyle w:val="FootnoteReference"/>
        </w:rPr>
        <w:footnoteRef/>
      </w:r>
      <w:r>
        <w:rPr>
          <w:lang w:val="en-US"/>
        </w:rPr>
        <w:t xml:space="preserve"> Referred to here as child death cases</w:t>
      </w:r>
      <w:r>
        <w:t xml:space="preserve">: </w:t>
      </w:r>
      <w:r w:rsidRPr="001227B3">
        <w:rPr>
          <w:i/>
        </w:rPr>
        <w:t>R v Clark (Sally</w:t>
      </w:r>
      <w:r w:rsidRPr="005A5333">
        <w:rPr>
          <w:i/>
        </w:rPr>
        <w:t>)</w:t>
      </w:r>
      <w:r>
        <w:rPr>
          <w:i/>
        </w:rPr>
        <w:t xml:space="preserve">(Appeal against Conviction) </w:t>
      </w:r>
      <w:r w:rsidRPr="005A5333">
        <w:rPr>
          <w:i/>
        </w:rPr>
        <w:t>(No 2)</w:t>
      </w:r>
      <w:r>
        <w:t xml:space="preserve"> </w:t>
      </w:r>
      <w:r w:rsidRPr="001227B3">
        <w:t>[2003] EWCA Crim 1020, [2003] 2 FCR 447</w:t>
      </w:r>
      <w:r>
        <w:rPr>
          <w:i/>
        </w:rPr>
        <w:t xml:space="preserve">; </w:t>
      </w:r>
      <w:r w:rsidRPr="001227B3">
        <w:rPr>
          <w:i/>
        </w:rPr>
        <w:t xml:space="preserve">R v Cannings (Angela) </w:t>
      </w:r>
      <w:r w:rsidRPr="001227B3">
        <w:t>[2004] EWCA Crim 1, [2004] 1 WLR 2607</w:t>
      </w:r>
      <w:r>
        <w:t xml:space="preserve">; </w:t>
      </w:r>
      <w:r w:rsidRPr="000157FC">
        <w:rPr>
          <w:i/>
        </w:rPr>
        <w:t>R v Gay (Angela)</w:t>
      </w:r>
      <w:r>
        <w:rPr>
          <w:i/>
        </w:rPr>
        <w:t>,</w:t>
      </w:r>
      <w:r w:rsidRPr="000157FC">
        <w:rPr>
          <w:i/>
        </w:rPr>
        <w:t xml:space="preserve"> R v Gay (Ian Anthony)</w:t>
      </w:r>
      <w:r w:rsidRPr="000157FC">
        <w:t xml:space="preserve"> [2006] EWCA Crim 820, 2006 WL 1078909</w:t>
      </w:r>
      <w:r>
        <w:t xml:space="preserve">; </w:t>
      </w:r>
      <w:r w:rsidRPr="00F22E17">
        <w:rPr>
          <w:i/>
        </w:rPr>
        <w:t xml:space="preserve">R v Donna </w:t>
      </w:r>
      <w:r>
        <w:rPr>
          <w:i/>
        </w:rPr>
        <w:t xml:space="preserve">Anthony </w:t>
      </w:r>
      <w:r w:rsidRPr="000F52DD">
        <w:rPr>
          <w:i/>
        </w:rPr>
        <w:t>(Appeal against Conviction) (No 2)</w:t>
      </w:r>
      <w:r>
        <w:t xml:space="preserve"> </w:t>
      </w:r>
      <w:r w:rsidRPr="00F22E17">
        <w:t>[2005] EWCA Crim 952, 2005 WL 816001.</w:t>
      </w:r>
    </w:p>
  </w:footnote>
  <w:footnote w:id="3">
    <w:p w14:paraId="15C95B08" w14:textId="2A3F17B3" w:rsidR="0052684C" w:rsidRPr="00196516" w:rsidRDefault="0052684C" w:rsidP="005673FC">
      <w:pPr>
        <w:pStyle w:val="FootnoteText"/>
        <w:jc w:val="both"/>
        <w:rPr>
          <w:bCs/>
        </w:rPr>
      </w:pPr>
      <w:r>
        <w:rPr>
          <w:rStyle w:val="FootnoteReference"/>
        </w:rPr>
        <w:footnoteRef/>
      </w:r>
      <w:r>
        <w:t xml:space="preserve"> </w:t>
      </w:r>
      <w:r w:rsidRPr="00841B34">
        <w:rPr>
          <w:bCs/>
        </w:rPr>
        <w:t xml:space="preserve">Law Commission, </w:t>
      </w:r>
      <w:r w:rsidRPr="00196516">
        <w:rPr>
          <w:bCs/>
          <w:i/>
        </w:rPr>
        <w:t>The Admissibility of Expert Evidence in Criminal Proceedings in England and Wales A New Approach to the Determination of Evidentiary Reliability</w:t>
      </w:r>
      <w:r w:rsidRPr="00984925">
        <w:rPr>
          <w:bCs/>
        </w:rPr>
        <w:t xml:space="preserve"> (Law Com Consultation Paper No 190, 2009)</w:t>
      </w:r>
      <w:r>
        <w:rPr>
          <w:bCs/>
        </w:rPr>
        <w:t>; Law Commission,</w:t>
      </w:r>
      <w:r w:rsidRPr="00984925">
        <w:rPr>
          <w:bCs/>
        </w:rPr>
        <w:t xml:space="preserve"> </w:t>
      </w:r>
      <w:r w:rsidRPr="00841B34">
        <w:rPr>
          <w:bCs/>
          <w:i/>
        </w:rPr>
        <w:t>The</w:t>
      </w:r>
      <w:r>
        <w:rPr>
          <w:bCs/>
        </w:rPr>
        <w:t xml:space="preserve"> </w:t>
      </w:r>
      <w:r w:rsidRPr="00841B34">
        <w:rPr>
          <w:bCs/>
          <w:i/>
        </w:rPr>
        <w:t>Admissibility of Expert Evidence in Criminal Proceedings in England and Wales</w:t>
      </w:r>
      <w:r w:rsidRPr="00841B34">
        <w:rPr>
          <w:bCs/>
        </w:rPr>
        <w:t xml:space="preserve"> (Law Com No 325</w:t>
      </w:r>
      <w:r>
        <w:rPr>
          <w:bCs/>
        </w:rPr>
        <w:t>,</w:t>
      </w:r>
      <w:r w:rsidRPr="00841B34">
        <w:rPr>
          <w:bCs/>
        </w:rPr>
        <w:t xml:space="preserve"> 2011)</w:t>
      </w:r>
      <w:r>
        <w:rPr>
          <w:bCs/>
        </w:rPr>
        <w:t>.</w:t>
      </w:r>
    </w:p>
  </w:footnote>
  <w:footnote w:id="4">
    <w:p w14:paraId="59B47378" w14:textId="77777777" w:rsidR="0052684C" w:rsidRDefault="0052684C" w:rsidP="005673FC">
      <w:pPr>
        <w:pStyle w:val="FootnoteText"/>
        <w:jc w:val="both"/>
      </w:pPr>
      <w:r>
        <w:rPr>
          <w:rStyle w:val="FootnoteReference"/>
        </w:rPr>
        <w:footnoteRef/>
      </w:r>
      <w:r>
        <w:t xml:space="preserve"> </w:t>
      </w:r>
      <w:r w:rsidRPr="00933DDE">
        <w:t>Wells C, ‘The Impact of Feminist Thinking on Criminal Law and Justice: Contradiction, Complexity, Conviction and Connection’ [2004] Crim LR 88, 99.</w:t>
      </w:r>
    </w:p>
  </w:footnote>
  <w:footnote w:id="5">
    <w:p w14:paraId="7ABEABCA" w14:textId="4A8D6C84" w:rsidR="0052684C" w:rsidRDefault="0052684C" w:rsidP="005673FC">
      <w:pPr>
        <w:pStyle w:val="FootnoteText"/>
        <w:jc w:val="both"/>
      </w:pPr>
      <w:r>
        <w:rPr>
          <w:rStyle w:val="FootnoteReference"/>
        </w:rPr>
        <w:footnoteRef/>
      </w:r>
      <w:r>
        <w:t xml:space="preserve"> Ibid.</w:t>
      </w:r>
    </w:p>
  </w:footnote>
  <w:footnote w:id="6">
    <w:p w14:paraId="7FD170F2" w14:textId="51B79D2E" w:rsidR="0052684C" w:rsidRDefault="0052684C" w:rsidP="005673FC">
      <w:pPr>
        <w:pStyle w:val="FootnoteText"/>
        <w:jc w:val="both"/>
      </w:pPr>
      <w:r>
        <w:rPr>
          <w:rStyle w:val="FootnoteReference"/>
        </w:rPr>
        <w:footnoteRef/>
      </w:r>
      <w:r>
        <w:t xml:space="preserve"> Ibid.</w:t>
      </w:r>
    </w:p>
  </w:footnote>
  <w:footnote w:id="7">
    <w:p w14:paraId="20E6EAD4" w14:textId="77777777" w:rsidR="0052684C" w:rsidRDefault="0052684C" w:rsidP="005673FC">
      <w:pPr>
        <w:pStyle w:val="FootnoteText"/>
        <w:jc w:val="both"/>
      </w:pPr>
      <w:r>
        <w:rPr>
          <w:rStyle w:val="FootnoteReference"/>
        </w:rPr>
        <w:footnoteRef/>
      </w:r>
      <w:r>
        <w:t xml:space="preserve"> Raitt F and Zeedyk S, ‘Mothers on Trial: Discourses of Cot Death and Munchausen’s Syndrome by Proxy’ (2004) 12 Fem LS 257, 263.</w:t>
      </w:r>
    </w:p>
  </w:footnote>
  <w:footnote w:id="8">
    <w:p w14:paraId="55CB84AE" w14:textId="39FA04E1" w:rsidR="0052684C" w:rsidRDefault="0052684C" w:rsidP="005673FC">
      <w:pPr>
        <w:pStyle w:val="FootnoteText"/>
        <w:jc w:val="both"/>
      </w:pPr>
      <w:r>
        <w:rPr>
          <w:rStyle w:val="FootnoteReference"/>
        </w:rPr>
        <w:footnoteRef/>
      </w:r>
      <w:r>
        <w:t xml:space="preserve"> Ibid.</w:t>
      </w:r>
    </w:p>
  </w:footnote>
  <w:footnote w:id="9">
    <w:p w14:paraId="7BADF3DB" w14:textId="799E5E67" w:rsidR="0052684C" w:rsidRDefault="0052684C" w:rsidP="005673FC">
      <w:pPr>
        <w:pStyle w:val="FootnoteText"/>
        <w:jc w:val="both"/>
      </w:pPr>
      <w:r>
        <w:rPr>
          <w:rStyle w:val="FootnoteReference"/>
        </w:rPr>
        <w:footnoteRef/>
      </w:r>
      <w:r>
        <w:t xml:space="preserve"> Ibid.</w:t>
      </w:r>
    </w:p>
  </w:footnote>
  <w:footnote w:id="10">
    <w:p w14:paraId="5B7100EF" w14:textId="355521AB" w:rsidR="0052684C" w:rsidRDefault="0052684C" w:rsidP="005673FC">
      <w:pPr>
        <w:pStyle w:val="FootnoteText"/>
        <w:jc w:val="both"/>
      </w:pPr>
      <w:r>
        <w:rPr>
          <w:rStyle w:val="FootnoteReference"/>
        </w:rPr>
        <w:footnoteRef/>
      </w:r>
      <w:r>
        <w:t xml:space="preserve"> Ibid. </w:t>
      </w:r>
    </w:p>
  </w:footnote>
  <w:footnote w:id="11">
    <w:p w14:paraId="193DABB7" w14:textId="069BDED3" w:rsidR="0052684C" w:rsidRPr="00FA7A90" w:rsidRDefault="0052684C" w:rsidP="005673FC">
      <w:pPr>
        <w:pStyle w:val="FootnoteText"/>
        <w:jc w:val="both"/>
        <w:rPr>
          <w:lang w:val="en-US"/>
        </w:rPr>
      </w:pPr>
      <w:r>
        <w:rPr>
          <w:rStyle w:val="FootnoteReference"/>
        </w:rPr>
        <w:footnoteRef/>
      </w:r>
      <w:r>
        <w:t xml:space="preserve"> </w:t>
      </w:r>
      <w:r w:rsidRPr="00E66419">
        <w:rPr>
          <w:lang w:val="en-US"/>
        </w:rPr>
        <w:t xml:space="preserve">Cunliffe E, </w:t>
      </w:r>
      <w:r w:rsidRPr="00E66419">
        <w:rPr>
          <w:i/>
          <w:lang w:val="en-US"/>
        </w:rPr>
        <w:t xml:space="preserve">Murder, Medicine and Motherhood </w:t>
      </w:r>
      <w:r w:rsidRPr="00E66419">
        <w:rPr>
          <w:lang w:val="en-US"/>
        </w:rPr>
        <w:t>(Hart Publishing 2011) 37, 100, 101</w:t>
      </w:r>
      <w:r>
        <w:rPr>
          <w:lang w:val="en-US"/>
        </w:rPr>
        <w:t>, referencing English criminal cases in her examination of the conviction of Australian Kathleen Folbigg, ‘</w:t>
      </w:r>
      <w:r>
        <w:t>convicted of the murder of two of her infant children, the manslaughter of another and of causing grievous bodily harm to, and murdering a fourth’:</w:t>
      </w:r>
      <w:r>
        <w:rPr>
          <w:lang w:val="en-US"/>
        </w:rPr>
        <w:t xml:space="preserve"> </w:t>
      </w:r>
      <w:r w:rsidRPr="00A84173">
        <w:rPr>
          <w:i/>
          <w:lang w:val="en-US"/>
        </w:rPr>
        <w:t xml:space="preserve">R v Folbigg </w:t>
      </w:r>
      <w:r w:rsidRPr="00A84173">
        <w:rPr>
          <w:lang w:val="en-US"/>
        </w:rPr>
        <w:t>[2003] NSWSC 895</w:t>
      </w:r>
      <w:r>
        <w:rPr>
          <w:lang w:val="en-US"/>
        </w:rPr>
        <w:t xml:space="preserve"> </w:t>
      </w:r>
      <w:r>
        <w:t>para 1 per Barr J</w:t>
      </w:r>
      <w:r w:rsidRPr="00A84173">
        <w:rPr>
          <w:lang w:val="en-US"/>
        </w:rPr>
        <w:t xml:space="preserve">; </w:t>
      </w:r>
      <w:r w:rsidRPr="00A84173">
        <w:rPr>
          <w:i/>
          <w:lang w:val="en-US"/>
        </w:rPr>
        <w:t xml:space="preserve">R v Folbigg </w:t>
      </w:r>
      <w:r w:rsidRPr="00A84173">
        <w:rPr>
          <w:lang w:val="en-US"/>
        </w:rPr>
        <w:t>[2005] NSWCCA 23.</w:t>
      </w:r>
    </w:p>
  </w:footnote>
  <w:footnote w:id="12">
    <w:p w14:paraId="38E2E535" w14:textId="4E6B6BE4" w:rsidR="0052684C" w:rsidRDefault="0052684C" w:rsidP="005673FC">
      <w:pPr>
        <w:pStyle w:val="FootnoteText"/>
        <w:jc w:val="both"/>
      </w:pPr>
      <w:r>
        <w:rPr>
          <w:rStyle w:val="FootnoteReference"/>
        </w:rPr>
        <w:footnoteRef/>
      </w:r>
      <w:r>
        <w:t xml:space="preserve"> Raitt and Zeedyk (n 6) 264.</w:t>
      </w:r>
    </w:p>
  </w:footnote>
  <w:footnote w:id="13">
    <w:p w14:paraId="737FFC8A" w14:textId="29076DF2" w:rsidR="0052684C" w:rsidRDefault="0052684C" w:rsidP="005673FC">
      <w:pPr>
        <w:pStyle w:val="FootnoteText"/>
        <w:jc w:val="both"/>
      </w:pPr>
      <w:r>
        <w:rPr>
          <w:rStyle w:val="FootnoteReference"/>
        </w:rPr>
        <w:footnoteRef/>
      </w:r>
      <w:r>
        <w:t xml:space="preserve"> </w:t>
      </w:r>
      <w:r w:rsidRPr="003F07A8">
        <w:t>Cunliffe (n</w:t>
      </w:r>
      <w:r>
        <w:t xml:space="preserve"> 10) 100 citing </w:t>
      </w:r>
      <w:r w:rsidRPr="003F07A8">
        <w:t>Klein</w:t>
      </w:r>
      <w:r>
        <w:t xml:space="preserve"> M,</w:t>
      </w:r>
      <w:r w:rsidRPr="003F07A8">
        <w:t xml:space="preserve"> ‘Complicating the Ideology of Motherhood: Child Welfare Law and First Nation Women’ in MA Fineman and I Karpin (eds) </w:t>
      </w:r>
      <w:r>
        <w:rPr>
          <w:i/>
        </w:rPr>
        <w:t>Mothers in L</w:t>
      </w:r>
      <w:r w:rsidRPr="00B81A4C">
        <w:rPr>
          <w:i/>
        </w:rPr>
        <w:t>aw: Feminist Theory and the Legal Regulation of Motherhood</w:t>
      </w:r>
      <w:r w:rsidRPr="003F07A8">
        <w:t xml:space="preserve"> </w:t>
      </w:r>
      <w:r>
        <w:t xml:space="preserve">(Colombia UP 1995) and </w:t>
      </w:r>
      <w:r w:rsidRPr="003F07A8">
        <w:t>Roberts</w:t>
      </w:r>
      <w:r>
        <w:t xml:space="preserve"> DE</w:t>
      </w:r>
      <w:r w:rsidRPr="003F07A8">
        <w:t>, ‘Motherhood and Crime’ (1993) 79 Iowa</w:t>
      </w:r>
      <w:r>
        <w:t xml:space="preserve"> L Rev</w:t>
      </w:r>
      <w:r w:rsidRPr="003F07A8">
        <w:t>.</w:t>
      </w:r>
    </w:p>
  </w:footnote>
  <w:footnote w:id="14">
    <w:p w14:paraId="1008359E" w14:textId="6CC9B0E3" w:rsidR="0052684C" w:rsidRDefault="0052684C" w:rsidP="005673FC">
      <w:pPr>
        <w:pStyle w:val="FootnoteText"/>
        <w:jc w:val="both"/>
      </w:pPr>
      <w:r>
        <w:rPr>
          <w:rStyle w:val="FootnoteReference"/>
        </w:rPr>
        <w:footnoteRef/>
      </w:r>
      <w:r>
        <w:t xml:space="preserve"> </w:t>
      </w:r>
      <w:r w:rsidRPr="003F07A8">
        <w:t>Hoyano L, ‘Book Review, Murder, Medicine and Motherhood’ (2014) 18(2) E</w:t>
      </w:r>
      <w:r>
        <w:t>vid</w:t>
      </w:r>
      <w:r w:rsidRPr="003F07A8">
        <w:t xml:space="preserve"> &amp; P</w:t>
      </w:r>
      <w:r>
        <w:t>roof</w:t>
      </w:r>
      <w:r w:rsidRPr="003F07A8">
        <w:t xml:space="preserve"> 200, 202.</w:t>
      </w:r>
    </w:p>
  </w:footnote>
  <w:footnote w:id="15">
    <w:p w14:paraId="25FDAF10" w14:textId="194F587E" w:rsidR="0052684C" w:rsidRDefault="0052684C" w:rsidP="005673FC">
      <w:pPr>
        <w:pStyle w:val="FootnoteText"/>
        <w:jc w:val="both"/>
      </w:pPr>
      <w:r>
        <w:rPr>
          <w:rStyle w:val="FootnoteReference"/>
        </w:rPr>
        <w:footnoteRef/>
      </w:r>
      <w:r>
        <w:t xml:space="preserve"> </w:t>
      </w:r>
      <w:r w:rsidRPr="003F07A8">
        <w:t xml:space="preserve">Raitt and Zeedyk (n </w:t>
      </w:r>
      <w:r>
        <w:t>6</w:t>
      </w:r>
      <w:r w:rsidRPr="003F07A8">
        <w:t>) 263.</w:t>
      </w:r>
    </w:p>
  </w:footnote>
  <w:footnote w:id="16">
    <w:p w14:paraId="1031C94A" w14:textId="45C5E3AA" w:rsidR="0052684C" w:rsidRDefault="0052684C" w:rsidP="005673FC">
      <w:pPr>
        <w:pStyle w:val="FootnoteText"/>
        <w:jc w:val="both"/>
      </w:pPr>
      <w:r>
        <w:rPr>
          <w:rStyle w:val="FootnoteReference"/>
        </w:rPr>
        <w:footnoteRef/>
      </w:r>
      <w:r>
        <w:t xml:space="preserve"> Ibid</w:t>
      </w:r>
    </w:p>
  </w:footnote>
  <w:footnote w:id="17">
    <w:p w14:paraId="6103D281" w14:textId="1B4F3239" w:rsidR="0052684C" w:rsidRDefault="0052684C" w:rsidP="005673FC">
      <w:pPr>
        <w:pStyle w:val="FootnoteText"/>
        <w:jc w:val="both"/>
      </w:pPr>
      <w:r>
        <w:rPr>
          <w:rStyle w:val="FootnoteReference"/>
        </w:rPr>
        <w:footnoteRef/>
      </w:r>
      <w:r>
        <w:t xml:space="preserve"> Ibid.</w:t>
      </w:r>
    </w:p>
  </w:footnote>
  <w:footnote w:id="18">
    <w:p w14:paraId="3A9D8FE2" w14:textId="318956B2" w:rsidR="0052684C" w:rsidRDefault="0052684C" w:rsidP="005673FC">
      <w:pPr>
        <w:pStyle w:val="FootnoteText"/>
        <w:jc w:val="both"/>
      </w:pPr>
      <w:r>
        <w:rPr>
          <w:rStyle w:val="FootnoteReference"/>
        </w:rPr>
        <w:footnoteRef/>
      </w:r>
      <w:r>
        <w:t xml:space="preserve"> </w:t>
      </w:r>
      <w:r w:rsidRPr="0050480F">
        <w:t>Hunter J, ‘Publication Review</w:t>
      </w:r>
      <w:r>
        <w:t>:</w:t>
      </w:r>
      <w:r w:rsidRPr="0050480F">
        <w:t xml:space="preserve"> Character Evidence in </w:t>
      </w:r>
      <w:r>
        <w:t>the Criminal Trial’ (2016) Evid &amp;</w:t>
      </w:r>
      <w:r w:rsidRPr="0050480F">
        <w:t xml:space="preserve"> P</w:t>
      </w:r>
      <w:r>
        <w:t>roof</w:t>
      </w:r>
      <w:r w:rsidRPr="0050480F">
        <w:t xml:space="preserve"> 162, 163, in relation to evidence of character as ‘background evidence’.</w:t>
      </w:r>
    </w:p>
  </w:footnote>
  <w:footnote w:id="19">
    <w:p w14:paraId="49A5AA6A" w14:textId="77777777" w:rsidR="0052684C" w:rsidRDefault="0052684C" w:rsidP="005673FC">
      <w:pPr>
        <w:pStyle w:val="FootnoteText"/>
        <w:jc w:val="both"/>
      </w:pPr>
      <w:r>
        <w:rPr>
          <w:rStyle w:val="FootnoteReference"/>
        </w:rPr>
        <w:footnoteRef/>
      </w:r>
      <w:r>
        <w:t xml:space="preserve"> Redmayne M, </w:t>
      </w:r>
      <w:r>
        <w:rPr>
          <w:i/>
        </w:rPr>
        <w:t xml:space="preserve">Character in the Criminal Trial </w:t>
      </w:r>
      <w:r>
        <w:t>(OUP 2015).</w:t>
      </w:r>
    </w:p>
  </w:footnote>
  <w:footnote w:id="20">
    <w:p w14:paraId="73879220" w14:textId="40282750" w:rsidR="0052684C" w:rsidRDefault="0052684C" w:rsidP="005673FC">
      <w:pPr>
        <w:pStyle w:val="FootnoteText"/>
        <w:jc w:val="both"/>
      </w:pPr>
      <w:r>
        <w:rPr>
          <w:rStyle w:val="FootnoteReference"/>
        </w:rPr>
        <w:footnoteRef/>
      </w:r>
      <w:r>
        <w:t xml:space="preserve"> Hunter (n 17) 166. See her suggestion ‘that a complex evidentiary and advocacy landscape often hid from law reports the full operation of character evidence in practice’.</w:t>
      </w:r>
    </w:p>
  </w:footnote>
  <w:footnote w:id="21">
    <w:p w14:paraId="16A17117" w14:textId="68D14728" w:rsidR="0052684C" w:rsidRDefault="0052684C" w:rsidP="005673FC">
      <w:pPr>
        <w:pStyle w:val="FootnoteText"/>
        <w:jc w:val="both"/>
      </w:pPr>
      <w:r>
        <w:rPr>
          <w:rStyle w:val="FootnoteReference"/>
        </w:rPr>
        <w:footnoteRef/>
      </w:r>
      <w:r>
        <w:t xml:space="preserve"> </w:t>
      </w:r>
      <w:r w:rsidRPr="006F1592">
        <w:t xml:space="preserve">Non-medical evidence may be defined in a number of ways, but is used here to refer to information that is not </w:t>
      </w:r>
      <w:r>
        <w:t xml:space="preserve">presented by an expert, nor </w:t>
      </w:r>
      <w:r w:rsidRPr="006F1592">
        <w:t xml:space="preserve">based on research, whether scientific or medical. </w:t>
      </w:r>
      <w:r>
        <w:t xml:space="preserve">In the context of the cases examined in this paper, the information includes maternal behaviour, child care, internet search history, diary entries, and sexual, personal, social and health records and history. The term </w:t>
      </w:r>
      <w:r w:rsidRPr="00E86C3E">
        <w:rPr>
          <w:i/>
        </w:rPr>
        <w:t>non-medical</w:t>
      </w:r>
      <w:r>
        <w:t xml:space="preserve"> is used instead of </w:t>
      </w:r>
      <w:r w:rsidRPr="00E86C3E">
        <w:rPr>
          <w:i/>
        </w:rPr>
        <w:t>non-expert</w:t>
      </w:r>
      <w:r>
        <w:t xml:space="preserve"> in order to avoid confusion, as the latter term is often used to describe evidence purporting to be specialist and its author an expert, but the courts have decided following rigorous scrutiny, that neither the evidence nor the presenter is expert.</w:t>
      </w:r>
      <w:r w:rsidRPr="00772BDB">
        <w:t xml:space="preserve"> </w:t>
      </w:r>
      <w:r>
        <w:t>See Ward T, ‘“</w:t>
      </w:r>
      <w:r w:rsidRPr="00772BDB">
        <w:t xml:space="preserve">A New </w:t>
      </w:r>
      <w:r>
        <w:t>and More Rigorous Approach”</w:t>
      </w:r>
      <w:r w:rsidRPr="00772BDB">
        <w:t xml:space="preserve"> To Expert Evidence In England And Wales</w:t>
      </w:r>
      <w:r>
        <w:t>’ (2015) 19(4) Intl J  Evid &amp; Proof 228;</w:t>
      </w:r>
      <w:r w:rsidRPr="00772BDB">
        <w:t xml:space="preserve"> </w:t>
      </w:r>
      <w:r>
        <w:t>Pattenden R, ‘</w:t>
      </w:r>
      <w:r w:rsidRPr="00772BDB">
        <w:t>Conflicting Appr</w:t>
      </w:r>
      <w:r>
        <w:t>oaches to Psychiatric Evidence i</w:t>
      </w:r>
      <w:r w:rsidRPr="00772BDB">
        <w:t xml:space="preserve">n Criminal Trials: England, Canada </w:t>
      </w:r>
      <w:r>
        <w:t>a</w:t>
      </w:r>
      <w:r w:rsidRPr="00772BDB">
        <w:t xml:space="preserve">nd </w:t>
      </w:r>
      <w:r>
        <w:t xml:space="preserve">Australia’ (1986) </w:t>
      </w:r>
      <w:r w:rsidRPr="00772BDB">
        <w:t xml:space="preserve"> </w:t>
      </w:r>
      <w:r>
        <w:t xml:space="preserve">Crim L Rev 92; </w:t>
      </w:r>
      <w:r w:rsidRPr="00772BDB">
        <w:t xml:space="preserve">Pattenden R, </w:t>
      </w:r>
      <w:r>
        <w:t xml:space="preserve">‘The Proof Rules of Pre-Verdict Judicial Fact-Finding In Criminal Trials By Jury’ </w:t>
      </w:r>
      <w:r w:rsidRPr="00772BDB">
        <w:t xml:space="preserve">(2009) </w:t>
      </w:r>
      <w:r>
        <w:t>125 LQR 79; Redmayne (n 18).</w:t>
      </w:r>
    </w:p>
  </w:footnote>
  <w:footnote w:id="22">
    <w:p w14:paraId="4A7C377A" w14:textId="58238828" w:rsidR="0052684C" w:rsidRDefault="0052684C" w:rsidP="005673FC">
      <w:pPr>
        <w:pStyle w:val="FootnoteText"/>
        <w:jc w:val="both"/>
      </w:pPr>
      <w:r>
        <w:rPr>
          <w:rStyle w:val="FootnoteReference"/>
        </w:rPr>
        <w:footnoteRef/>
      </w:r>
      <w:r>
        <w:t xml:space="preserve"> Mike Redmayne also employs the term ‘non-criminal bad character’ (n 18) 77-86.</w:t>
      </w:r>
    </w:p>
  </w:footnote>
  <w:footnote w:id="23">
    <w:p w14:paraId="1A691F09" w14:textId="7A787D62" w:rsidR="0052684C" w:rsidRDefault="0052684C" w:rsidP="005673FC">
      <w:pPr>
        <w:pStyle w:val="FootnoteText"/>
        <w:jc w:val="both"/>
      </w:pPr>
      <w:r>
        <w:rPr>
          <w:rStyle w:val="FootnoteReference"/>
        </w:rPr>
        <w:footnoteRef/>
      </w:r>
      <w:r>
        <w:t xml:space="preserve"> Both past behaviours and behaviours concurrent with the child’s death are admitted; for example </w:t>
      </w:r>
      <w:r w:rsidRPr="00CD7574">
        <w:t>whether the mother: co</w:t>
      </w:r>
      <w:r>
        <w:t>mmenced immediate resuscitation, called the ambulance,</w:t>
      </w:r>
      <w:r w:rsidRPr="00CD7574">
        <w:t xml:space="preserve"> used an apnoea monitor consistently</w:t>
      </w:r>
      <w:r>
        <w:t xml:space="preserve">, </w:t>
      </w:r>
      <w:r w:rsidRPr="00CD7574">
        <w:t>forgot in which cot a baby died</w:t>
      </w:r>
      <w:r>
        <w:t>,</w:t>
      </w:r>
      <w:r w:rsidRPr="00CD7574">
        <w:t xml:space="preserve"> had an addiction or dependency</w:t>
      </w:r>
      <w:r>
        <w:t>,</w:t>
      </w:r>
      <w:r w:rsidRPr="00CD7574">
        <w:t xml:space="preserve"> </w:t>
      </w:r>
      <w:r>
        <w:t xml:space="preserve">or </w:t>
      </w:r>
      <w:r w:rsidRPr="00CD7574">
        <w:t xml:space="preserve">reacted </w:t>
      </w:r>
      <w:r>
        <w:t xml:space="preserve">to the death </w:t>
      </w:r>
      <w:r w:rsidRPr="00CD7574">
        <w:t xml:space="preserve">hysterically or over emotionally, or in an </w:t>
      </w:r>
      <w:r>
        <w:t>‘</w:t>
      </w:r>
      <w:r w:rsidRPr="00CD7574">
        <w:t>attention seeking</w:t>
      </w:r>
      <w:r>
        <w:t>’</w:t>
      </w:r>
      <w:r w:rsidRPr="00CD7574">
        <w:t xml:space="preserve"> way. Other </w:t>
      </w:r>
      <w:r>
        <w:t>indicators that may be found are</w:t>
      </w:r>
      <w:r w:rsidRPr="00CD7574">
        <w:t xml:space="preserve"> mother</w:t>
      </w:r>
      <w:r>
        <w:t>s</w:t>
      </w:r>
      <w:r w:rsidRPr="00CD7574">
        <w:t xml:space="preserve"> who: </w:t>
      </w:r>
      <w:r>
        <w:t>were inexperienced,</w:t>
      </w:r>
      <w:r w:rsidRPr="00CD7574">
        <w:t xml:space="preserve"> had unrealistic expectations</w:t>
      </w:r>
      <w:r>
        <w:t xml:space="preserve"> of their baby, found it difficult to bond,</w:t>
      </w:r>
      <w:r w:rsidRPr="00CD7574">
        <w:t xml:space="preserve"> gave the child to someone else to care</w:t>
      </w:r>
      <w:r>
        <w:t xml:space="preserve"> for, disliked being home alone,</w:t>
      </w:r>
      <w:r w:rsidRPr="00CD7574">
        <w:t xml:space="preserve"> </w:t>
      </w:r>
      <w:r>
        <w:t xml:space="preserve">went back to work, </w:t>
      </w:r>
      <w:r w:rsidRPr="00CD7574">
        <w:t>felt resentful if their partner was away from home</w:t>
      </w:r>
      <w:r>
        <w:t>, had had a previous cot death,</w:t>
      </w:r>
      <w:r w:rsidRPr="00CD7574">
        <w:t xml:space="preserve"> had a dirty home</w:t>
      </w:r>
      <w:r>
        <w:t>,</w:t>
      </w:r>
      <w:r w:rsidRPr="00CD7574">
        <w:t xml:space="preserve"> was vulnerabl</w:t>
      </w:r>
      <w:r>
        <w:t xml:space="preserve">e, </w:t>
      </w:r>
      <w:r w:rsidRPr="00CD7574">
        <w:t>or had been abus</w:t>
      </w:r>
      <w:r>
        <w:t>ed as a child</w:t>
      </w:r>
      <w:r w:rsidRPr="00CD7574">
        <w:t>.</w:t>
      </w:r>
    </w:p>
  </w:footnote>
  <w:footnote w:id="24">
    <w:p w14:paraId="4DD85C55" w14:textId="0EFF1678" w:rsidR="0052684C" w:rsidRDefault="0052684C" w:rsidP="005673FC">
      <w:pPr>
        <w:pStyle w:val="FootnoteText"/>
        <w:jc w:val="both"/>
      </w:pPr>
      <w:r>
        <w:rPr>
          <w:rStyle w:val="FootnoteReference"/>
        </w:rPr>
        <w:footnoteRef/>
      </w:r>
      <w:r>
        <w:t xml:space="preserve"> </w:t>
      </w:r>
      <w:r w:rsidRPr="005E7571">
        <w:rPr>
          <w:i/>
        </w:rPr>
        <w:t>R v Stacey (Helen Brenda)</w:t>
      </w:r>
      <w:r>
        <w:t xml:space="preserve"> [2001] EWCA Crim 2031, 2001</w:t>
      </w:r>
      <w:r w:rsidRPr="005E7571">
        <w:t xml:space="preserve"> WL 1135255;</w:t>
      </w:r>
      <w:r w:rsidRPr="005E7571">
        <w:rPr>
          <w:i/>
        </w:rPr>
        <w:t xml:space="preserve"> </w:t>
      </w:r>
      <w:r w:rsidRPr="00F840BB">
        <w:rPr>
          <w:i/>
        </w:rPr>
        <w:t>R v Holdsworth (Suzanne)</w:t>
      </w:r>
      <w:r w:rsidRPr="00F840BB">
        <w:t xml:space="preserve"> [2008] EWCA Cr</w:t>
      </w:r>
      <w:r>
        <w:t xml:space="preserve">im 971, 2008 WL 1867253; </w:t>
      </w:r>
      <w:r w:rsidRPr="000A0F9F">
        <w:rPr>
          <w:i/>
        </w:rPr>
        <w:t xml:space="preserve">R v Henderson </w:t>
      </w:r>
      <w:r w:rsidRPr="000A0F9F">
        <w:t xml:space="preserve">[2010] EWCA Crim 1269, </w:t>
      </w:r>
      <w:r>
        <w:t>[</w:t>
      </w:r>
      <w:r w:rsidRPr="000A0F9F">
        <w:t>2010</w:t>
      </w:r>
      <w:r>
        <w:t>]</w:t>
      </w:r>
      <w:r w:rsidRPr="000A0F9F">
        <w:t xml:space="preserve"> 2 Cr App R 24</w:t>
      </w:r>
      <w:r>
        <w:t>.</w:t>
      </w:r>
    </w:p>
  </w:footnote>
  <w:footnote w:id="25">
    <w:p w14:paraId="005B0E56" w14:textId="618A4779" w:rsidR="0052684C" w:rsidRDefault="0052684C" w:rsidP="005673FC">
      <w:pPr>
        <w:pStyle w:val="FootnoteText"/>
        <w:jc w:val="both"/>
      </w:pPr>
      <w:r>
        <w:rPr>
          <w:rStyle w:val="FootnoteReference"/>
        </w:rPr>
        <w:footnoteRef/>
      </w:r>
      <w:r>
        <w:t xml:space="preserve"> </w:t>
      </w:r>
      <w:r w:rsidRPr="00A349BE">
        <w:rPr>
          <w:i/>
        </w:rPr>
        <w:t>R v Kai-Whitewind (Chaha'oh Niyol)</w:t>
      </w:r>
      <w:r w:rsidRPr="00A349BE">
        <w:t xml:space="preserve"> [2005] EWCA Crim 1092, [2005] 2 Cr App R 31; </w:t>
      </w:r>
      <w:r w:rsidRPr="006719AB">
        <w:rPr>
          <w:i/>
        </w:rPr>
        <w:t>R v Folbigg</w:t>
      </w:r>
      <w:r w:rsidRPr="00A349BE">
        <w:t xml:space="preserve"> [2003] NSWSC 895, </w:t>
      </w:r>
      <w:r>
        <w:rPr>
          <w:i/>
        </w:rPr>
        <w:t xml:space="preserve">R v Folbigg </w:t>
      </w:r>
      <w:r w:rsidRPr="00A349BE">
        <w:t>[2005] NSWCCA 23</w:t>
      </w:r>
      <w:r>
        <w:t>.</w:t>
      </w:r>
    </w:p>
  </w:footnote>
  <w:footnote w:id="26">
    <w:p w14:paraId="4041AA78" w14:textId="626C1FE8" w:rsidR="0052684C" w:rsidRPr="00A349BE" w:rsidRDefault="0052684C" w:rsidP="005673FC">
      <w:pPr>
        <w:pStyle w:val="FootnoteText"/>
        <w:jc w:val="both"/>
      </w:pPr>
      <w:r>
        <w:rPr>
          <w:rStyle w:val="FootnoteReference"/>
        </w:rPr>
        <w:footnoteRef/>
      </w:r>
      <w:r>
        <w:t xml:space="preserve"> </w:t>
      </w:r>
      <w:r w:rsidRPr="00A349BE">
        <w:rPr>
          <w:i/>
        </w:rPr>
        <w:t>R v Patel (Trupti)</w:t>
      </w:r>
      <w:r w:rsidRPr="00A349BE">
        <w:t xml:space="preserve"> (Reading Crown Court, </w:t>
      </w:r>
      <w:r>
        <w:t xml:space="preserve">11 June </w:t>
      </w:r>
      <w:r w:rsidRPr="00A349BE">
        <w:t xml:space="preserve">2003); </w:t>
      </w:r>
      <w:r w:rsidRPr="00A349BE">
        <w:rPr>
          <w:i/>
        </w:rPr>
        <w:t>LB of Islington v Al-Alas and Wray</w:t>
      </w:r>
      <w:r w:rsidRPr="00A349BE">
        <w:t xml:space="preserve"> [2012] EWHC 865 (Fam); </w:t>
      </w:r>
      <w:r w:rsidRPr="00A349BE">
        <w:rPr>
          <w:bCs/>
          <w:i/>
        </w:rPr>
        <w:t>R v Khatun (Saleha)</w:t>
      </w:r>
      <w:r w:rsidRPr="00A349BE">
        <w:rPr>
          <w:bCs/>
        </w:rPr>
        <w:t xml:space="preserve"> (Central Criminal Court, </w:t>
      </w:r>
      <w:r w:rsidRPr="00A349BE">
        <w:t xml:space="preserve">22 December 2009); </w:t>
      </w:r>
      <w:r w:rsidRPr="00A349BE">
        <w:rPr>
          <w:i/>
        </w:rPr>
        <w:t xml:space="preserve">R v Haigh (Tara Elizabeth </w:t>
      </w:r>
      <w:r w:rsidRPr="00A349BE">
        <w:t xml:space="preserve">[2010] EWCA Crim </w:t>
      </w:r>
      <w:r>
        <w:t>90, 2010</w:t>
      </w:r>
      <w:r w:rsidRPr="00A349BE">
        <w:t xml:space="preserve"> WL 308548 CACD; </w:t>
      </w:r>
      <w:r w:rsidRPr="00A349BE">
        <w:rPr>
          <w:i/>
        </w:rPr>
        <w:t>Hainey v HM Advocate No 7</w:t>
      </w:r>
      <w:r w:rsidRPr="00A349BE">
        <w:t xml:space="preserve"> [2013] HCJAC 47, </w:t>
      </w:r>
      <w:r>
        <w:t xml:space="preserve">[2013] SLT 525, </w:t>
      </w:r>
      <w:r w:rsidRPr="00A349BE">
        <w:t xml:space="preserve">[2014] JC 33; </w:t>
      </w:r>
      <w:r w:rsidRPr="00A349BE">
        <w:rPr>
          <w:i/>
        </w:rPr>
        <w:t>R v Smith (Margaret)</w:t>
      </w:r>
      <w:r>
        <w:t xml:space="preserve"> (Newcastle Crown Court, 10</w:t>
      </w:r>
      <w:r w:rsidRPr="00A349BE">
        <w:t xml:space="preserve"> November 2004);</w:t>
      </w:r>
      <w:r w:rsidRPr="00A349BE">
        <w:rPr>
          <w:i/>
        </w:rPr>
        <w:t xml:space="preserve"> R v </w:t>
      </w:r>
      <w:r w:rsidRPr="00A349BE">
        <w:rPr>
          <w:bCs/>
          <w:i/>
        </w:rPr>
        <w:t>Underdown (Nicky)</w:t>
      </w:r>
      <w:r w:rsidRPr="00A349BE">
        <w:t xml:space="preserve"> </w:t>
      </w:r>
      <w:r w:rsidRPr="00A349BE">
        <w:rPr>
          <w:bCs/>
        </w:rPr>
        <w:t>[2001] EWCA Cr</w:t>
      </w:r>
      <w:r>
        <w:rPr>
          <w:bCs/>
        </w:rPr>
        <w:t>im 1556, 2001 WL 753325;</w:t>
      </w:r>
      <w:r w:rsidRPr="00B27428">
        <w:rPr>
          <w:i/>
        </w:rPr>
        <w:t xml:space="preserve"> </w:t>
      </w:r>
      <w:r w:rsidRPr="00A349BE">
        <w:rPr>
          <w:i/>
        </w:rPr>
        <w:t xml:space="preserve">Walker (Jennifer) v HM Advocate </w:t>
      </w:r>
      <w:r w:rsidRPr="00A349BE">
        <w:t>[2011]</w:t>
      </w:r>
      <w:r w:rsidRPr="00A349BE">
        <w:rPr>
          <w:i/>
        </w:rPr>
        <w:t xml:space="preserve"> </w:t>
      </w:r>
      <w:r w:rsidRPr="00A349BE">
        <w:t xml:space="preserve">HCJAC 51, </w:t>
      </w:r>
      <w:r>
        <w:t>[</w:t>
      </w:r>
      <w:r w:rsidRPr="00A349BE">
        <w:t>2011</w:t>
      </w:r>
      <w:r>
        <w:t>] S</w:t>
      </w:r>
      <w:r w:rsidRPr="00A349BE">
        <w:t>LT 1114</w:t>
      </w:r>
      <w:r>
        <w:t>.</w:t>
      </w:r>
    </w:p>
  </w:footnote>
  <w:footnote w:id="27">
    <w:p w14:paraId="3235A466" w14:textId="2E832184" w:rsidR="0052684C" w:rsidRDefault="0052684C" w:rsidP="005673FC">
      <w:pPr>
        <w:pStyle w:val="FootnoteText"/>
        <w:jc w:val="both"/>
      </w:pPr>
      <w:r>
        <w:rPr>
          <w:rStyle w:val="FootnoteReference"/>
        </w:rPr>
        <w:footnoteRef/>
      </w:r>
      <w:r>
        <w:t xml:space="preserve"> </w:t>
      </w:r>
      <w:r w:rsidRPr="004D474E">
        <w:rPr>
          <w:i/>
        </w:rPr>
        <w:t>R v</w:t>
      </w:r>
      <w:r>
        <w:t xml:space="preserve"> </w:t>
      </w:r>
      <w:r w:rsidRPr="004D474E">
        <w:rPr>
          <w:i/>
        </w:rPr>
        <w:t>Harris (Lorraine)</w:t>
      </w:r>
      <w:r w:rsidRPr="004D474E">
        <w:t xml:space="preserve"> [2005] EWCA Crim 1980, [2006] 1 Cr App R 5</w:t>
      </w:r>
      <w:r>
        <w:t>.</w:t>
      </w:r>
    </w:p>
  </w:footnote>
  <w:footnote w:id="28">
    <w:p w14:paraId="4EF0A702" w14:textId="08A6D588" w:rsidR="0052684C" w:rsidRDefault="0052684C" w:rsidP="005673FC">
      <w:pPr>
        <w:pStyle w:val="FootnoteText"/>
        <w:jc w:val="both"/>
      </w:pPr>
      <w:r w:rsidRPr="00A349BE">
        <w:rPr>
          <w:rStyle w:val="FootnoteReference"/>
        </w:rPr>
        <w:footnoteRef/>
      </w:r>
      <w:r w:rsidRPr="00A349BE">
        <w:t xml:space="preserve"> </w:t>
      </w:r>
      <w:r w:rsidRPr="00A349BE">
        <w:rPr>
          <w:bCs/>
          <w:i/>
        </w:rPr>
        <w:t>Underdown</w:t>
      </w:r>
      <w:r w:rsidRPr="00DB14FA">
        <w:rPr>
          <w:bCs/>
        </w:rPr>
        <w:t xml:space="preserve"> </w:t>
      </w:r>
      <w:r>
        <w:rPr>
          <w:bCs/>
        </w:rPr>
        <w:t xml:space="preserve">(n 25) </w:t>
      </w:r>
      <w:r w:rsidRPr="00DB14FA">
        <w:rPr>
          <w:bCs/>
        </w:rPr>
        <w:t>and</w:t>
      </w:r>
      <w:r>
        <w:rPr>
          <w:bCs/>
          <w:i/>
        </w:rPr>
        <w:t xml:space="preserve"> </w:t>
      </w:r>
      <w:r w:rsidRPr="00A349BE">
        <w:rPr>
          <w:bCs/>
          <w:i/>
        </w:rPr>
        <w:t>Walke</w:t>
      </w:r>
      <w:r>
        <w:rPr>
          <w:bCs/>
          <w:i/>
        </w:rPr>
        <w:t>r</w:t>
      </w:r>
      <w:r w:rsidRPr="009D3151">
        <w:rPr>
          <w:rFonts w:eastAsiaTheme="minorHAnsi"/>
          <w:sz w:val="24"/>
          <w:szCs w:val="24"/>
        </w:rPr>
        <w:t xml:space="preserve"> </w:t>
      </w:r>
      <w:r w:rsidRPr="00A349BE">
        <w:rPr>
          <w:bCs/>
          <w:i/>
        </w:rPr>
        <w:t>(</w:t>
      </w:r>
      <w:r w:rsidRPr="00DB14FA">
        <w:rPr>
          <w:bCs/>
        </w:rPr>
        <w:t xml:space="preserve">n </w:t>
      </w:r>
      <w:r>
        <w:rPr>
          <w:bCs/>
        </w:rPr>
        <w:t>2</w:t>
      </w:r>
      <w:r w:rsidRPr="00DB14FA">
        <w:rPr>
          <w:bCs/>
        </w:rPr>
        <w:t>5)</w:t>
      </w:r>
      <w:r>
        <w:rPr>
          <w:bCs/>
        </w:rPr>
        <w:t>. I</w:t>
      </w:r>
      <w:r w:rsidRPr="00DB14FA">
        <w:rPr>
          <w:bCs/>
        </w:rPr>
        <w:t>n</w:t>
      </w:r>
      <w:r>
        <w:rPr>
          <w:bCs/>
        </w:rPr>
        <w:t xml:space="preserve"> </w:t>
      </w:r>
      <w:r w:rsidRPr="00DB14FA">
        <w:rPr>
          <w:bCs/>
          <w:i/>
        </w:rPr>
        <w:t xml:space="preserve">Walker </w:t>
      </w:r>
      <w:r>
        <w:rPr>
          <w:bCs/>
        </w:rPr>
        <w:t xml:space="preserve">the wrongful conviction was based upon the lack of proper judicial directions on expert evidence and in </w:t>
      </w:r>
      <w:r w:rsidRPr="00DB14FA">
        <w:rPr>
          <w:bCs/>
          <w:i/>
        </w:rPr>
        <w:t>Underdown</w:t>
      </w:r>
      <w:r>
        <w:rPr>
          <w:bCs/>
        </w:rPr>
        <w:t xml:space="preserve"> the defence offered no argument even though expert opinion for the prosecution was significantly flawed. </w:t>
      </w:r>
    </w:p>
  </w:footnote>
  <w:footnote w:id="29">
    <w:p w14:paraId="5F0E011A" w14:textId="5C58045C" w:rsidR="0052684C" w:rsidRDefault="0052684C" w:rsidP="005673FC">
      <w:pPr>
        <w:pStyle w:val="FootnoteText"/>
        <w:jc w:val="both"/>
      </w:pPr>
      <w:r>
        <w:rPr>
          <w:rStyle w:val="FootnoteReference"/>
        </w:rPr>
        <w:footnoteRef/>
      </w:r>
      <w:r>
        <w:t xml:space="preserve"> Wells</w:t>
      </w:r>
      <w:r w:rsidRPr="00FA7A90">
        <w:t xml:space="preserve"> </w:t>
      </w:r>
      <w:r>
        <w:t xml:space="preserve">(n 3); </w:t>
      </w:r>
      <w:r w:rsidRPr="002A3E63">
        <w:t xml:space="preserve">Raitt </w:t>
      </w:r>
      <w:r>
        <w:t>and Zeedyk</w:t>
      </w:r>
      <w:r w:rsidRPr="002A3E63">
        <w:t xml:space="preserve"> </w:t>
      </w:r>
      <w:r>
        <w:t>(n 6); Cunliffe</w:t>
      </w:r>
      <w:r w:rsidRPr="002A3E63">
        <w:t xml:space="preserve"> </w:t>
      </w:r>
      <w:r>
        <w:t>(n 10).</w:t>
      </w:r>
    </w:p>
  </w:footnote>
  <w:footnote w:id="30">
    <w:p w14:paraId="3D75A48C" w14:textId="3DC15A95" w:rsidR="0052684C" w:rsidRDefault="0052684C" w:rsidP="005673FC">
      <w:pPr>
        <w:pStyle w:val="FootnoteText"/>
        <w:jc w:val="both"/>
      </w:pPr>
      <w:r>
        <w:rPr>
          <w:rStyle w:val="FootnoteReference"/>
        </w:rPr>
        <w:footnoteRef/>
      </w:r>
      <w:r>
        <w:t xml:space="preserve"> Hunter (n 17) 170. </w:t>
      </w:r>
    </w:p>
  </w:footnote>
  <w:footnote w:id="31">
    <w:p w14:paraId="0359F096" w14:textId="0EB7EBCA" w:rsidR="0052684C" w:rsidRDefault="0052684C" w:rsidP="005673FC">
      <w:pPr>
        <w:pStyle w:val="FootnoteText"/>
        <w:jc w:val="both"/>
      </w:pPr>
      <w:r>
        <w:rPr>
          <w:rStyle w:val="FootnoteReference"/>
        </w:rPr>
        <w:footnoteRef/>
      </w:r>
      <w:r>
        <w:t xml:space="preserve"> </w:t>
      </w:r>
      <w:r w:rsidRPr="008247D4">
        <w:t xml:space="preserve">Stereotype </w:t>
      </w:r>
      <w:r>
        <w:t xml:space="preserve">is </w:t>
      </w:r>
      <w:r w:rsidRPr="008247D4">
        <w:t>defined as ‘a widely held but fixed and oversimplified image or idea of a particular type of person or thing e.g. the stereotype of the woman as t</w:t>
      </w:r>
      <w:r>
        <w:t xml:space="preserve">he carer’: Oxford Dictionaries </w:t>
      </w:r>
      <w:hyperlink r:id="rId2" w:history="1">
        <w:r w:rsidRPr="00054B51">
          <w:rPr>
            <w:rStyle w:val="Hyperlink"/>
          </w:rPr>
          <w:t>http://www.oxforddictionaries.com/definition/english/</w:t>
        </w:r>
      </w:hyperlink>
      <w:r>
        <w:t xml:space="preserve"> (</w:t>
      </w:r>
      <w:r w:rsidRPr="008247D4">
        <w:t>accessed 19 May 2016</w:t>
      </w:r>
      <w:r>
        <w:t>)</w:t>
      </w:r>
      <w:r w:rsidRPr="008247D4">
        <w:t>.</w:t>
      </w:r>
    </w:p>
  </w:footnote>
  <w:footnote w:id="32">
    <w:p w14:paraId="2C6F6430" w14:textId="7AD1EC33" w:rsidR="0052684C" w:rsidRDefault="0052684C" w:rsidP="005673FC">
      <w:pPr>
        <w:pStyle w:val="FootnoteText"/>
        <w:jc w:val="both"/>
      </w:pPr>
      <w:r>
        <w:rPr>
          <w:rStyle w:val="FootnoteReference"/>
        </w:rPr>
        <w:footnoteRef/>
      </w:r>
      <w:r>
        <w:t xml:space="preserve"> Prejudicial is defined as ‘h</w:t>
      </w:r>
      <w:r w:rsidRPr="0017642D">
        <w:t xml:space="preserve">armful </w:t>
      </w:r>
      <w:r>
        <w:t>or detrimental to someone or something’: ibid.</w:t>
      </w:r>
    </w:p>
  </w:footnote>
  <w:footnote w:id="33">
    <w:p w14:paraId="04E02999" w14:textId="564893C3" w:rsidR="0052684C" w:rsidRDefault="0052684C" w:rsidP="005673FC">
      <w:pPr>
        <w:pStyle w:val="FootnoteText"/>
        <w:jc w:val="both"/>
      </w:pPr>
      <w:r>
        <w:rPr>
          <w:rStyle w:val="FootnoteReference"/>
        </w:rPr>
        <w:footnoteRef/>
      </w:r>
      <w:r>
        <w:t xml:space="preserve"> </w:t>
      </w:r>
      <w:r w:rsidRPr="00841B34">
        <w:rPr>
          <w:bCs/>
        </w:rPr>
        <w:t>Law Commission</w:t>
      </w:r>
      <w:r>
        <w:rPr>
          <w:bCs/>
        </w:rPr>
        <w:t xml:space="preserve"> No 325 (n 2) </w:t>
      </w:r>
      <w:r w:rsidRPr="0000015D">
        <w:t>para</w:t>
      </w:r>
      <w:r>
        <w:t>s</w:t>
      </w:r>
      <w:r w:rsidRPr="0000015D">
        <w:t>.</w:t>
      </w:r>
      <w:r>
        <w:t xml:space="preserve"> 1.8, 1.17, 1.18, 1.21, 2.16, 3.3, 3.4. </w:t>
      </w:r>
    </w:p>
  </w:footnote>
  <w:footnote w:id="34">
    <w:p w14:paraId="69CF2035" w14:textId="0E81FF8C" w:rsidR="0052684C" w:rsidRPr="002A3E63" w:rsidRDefault="0052684C" w:rsidP="005673FC">
      <w:pPr>
        <w:pStyle w:val="FootnoteText"/>
        <w:jc w:val="both"/>
      </w:pPr>
      <w:r w:rsidRPr="002A3E63">
        <w:rPr>
          <w:rStyle w:val="FootnoteReference"/>
        </w:rPr>
        <w:footnoteRef/>
      </w:r>
      <w:r w:rsidRPr="002A3E63">
        <w:t xml:space="preserve"> Childs M and Ellison L</w:t>
      </w:r>
      <w:r>
        <w:t xml:space="preserve"> (eds)</w:t>
      </w:r>
      <w:r w:rsidRPr="002A3E63">
        <w:t xml:space="preserve"> </w:t>
      </w:r>
      <w:r w:rsidRPr="002A3E63">
        <w:rPr>
          <w:i/>
          <w:iCs/>
        </w:rPr>
        <w:t>Feminist Perspectives on Evidence</w:t>
      </w:r>
      <w:r w:rsidRPr="002A3E63">
        <w:t xml:space="preserve"> (Routledge Cavendish 2000) 16; </w:t>
      </w:r>
      <w:r w:rsidRPr="002A3E63">
        <w:rPr>
          <w:i/>
        </w:rPr>
        <w:t>R. v. Lavallee</w:t>
      </w:r>
      <w:r w:rsidRPr="002A3E63">
        <w:t xml:space="preserve"> [1990]</w:t>
      </w:r>
      <w:r>
        <w:t xml:space="preserve"> 1 SCR 852;</w:t>
      </w:r>
      <w:r w:rsidRPr="005423DD">
        <w:t xml:space="preserve"> </w:t>
      </w:r>
      <w:r w:rsidRPr="002A3E63">
        <w:t>Sanghvi R and Nicholson D, ‘Battered Women and Provocation: The Implications of R v</w:t>
      </w:r>
      <w:r>
        <w:t xml:space="preserve"> Ahluwalia’ (1993) Crim L Rev</w:t>
      </w:r>
      <w:r w:rsidRPr="002A3E63">
        <w:t xml:space="preserve"> 728</w:t>
      </w:r>
      <w:r>
        <w:t>;</w:t>
      </w:r>
      <w:r w:rsidRPr="005423DD">
        <w:t xml:space="preserve"> </w:t>
      </w:r>
      <w:r>
        <w:t xml:space="preserve">Herring J, </w:t>
      </w:r>
      <w:r w:rsidRPr="004B197A">
        <w:rPr>
          <w:i/>
        </w:rPr>
        <w:t>Criminal Law</w:t>
      </w:r>
      <w:r>
        <w:t xml:space="preserve"> (3rd edn, OUP 2008) 302; </w:t>
      </w:r>
      <w:r w:rsidRPr="004B197A">
        <w:rPr>
          <w:i/>
        </w:rPr>
        <w:t>R v Ahluwalia</w:t>
      </w:r>
      <w:r>
        <w:t xml:space="preserve"> [1992] 4 All ER 889; </w:t>
      </w:r>
      <w:r w:rsidRPr="004B197A">
        <w:rPr>
          <w:i/>
        </w:rPr>
        <w:t>R v Thornton (No 1)</w:t>
      </w:r>
      <w:r>
        <w:t xml:space="preserve"> [1992] 1 All ER 306; </w:t>
      </w:r>
      <w:r w:rsidRPr="004B197A">
        <w:rPr>
          <w:i/>
        </w:rPr>
        <w:t>R v Thornton</w:t>
      </w:r>
      <w:r>
        <w:t xml:space="preserve"> </w:t>
      </w:r>
      <w:r w:rsidRPr="004B197A">
        <w:rPr>
          <w:i/>
        </w:rPr>
        <w:t>(No 2)</w:t>
      </w:r>
      <w:r>
        <w:t xml:space="preserve"> [1996] 2 All ER 1023;</w:t>
      </w:r>
      <w:r w:rsidRPr="005423DD">
        <w:rPr>
          <w:i/>
        </w:rPr>
        <w:t xml:space="preserve"> </w:t>
      </w:r>
      <w:r w:rsidRPr="002A3E63">
        <w:rPr>
          <w:i/>
        </w:rPr>
        <w:t xml:space="preserve">R v Dhaliwal </w:t>
      </w:r>
      <w:r w:rsidRPr="002A3E63">
        <w:t>[2006] EWCA Crim 1139, [2006] 2 Cr App R 24.</w:t>
      </w:r>
    </w:p>
  </w:footnote>
  <w:footnote w:id="35">
    <w:p w14:paraId="4A13798E" w14:textId="08C5F4C9" w:rsidR="0052684C" w:rsidRPr="002A3E63" w:rsidRDefault="0052684C" w:rsidP="005673FC">
      <w:pPr>
        <w:pStyle w:val="FootnoteText"/>
        <w:jc w:val="both"/>
      </w:pPr>
      <w:r w:rsidRPr="002A3E63">
        <w:rPr>
          <w:rStyle w:val="FootnoteReference"/>
        </w:rPr>
        <w:footnoteRef/>
      </w:r>
      <w:r>
        <w:t xml:space="preserve"> Childs and Ellison, ibid., </w:t>
      </w:r>
      <w:r w:rsidRPr="002A3E63">
        <w:t>11; Ellison L and McGlyn</w:t>
      </w:r>
      <w:r>
        <w:t>n</w:t>
      </w:r>
      <w:r w:rsidRPr="002A3E63">
        <w:t xml:space="preserve"> C, ‘Commentary on </w:t>
      </w:r>
      <w:r w:rsidRPr="002A3E63">
        <w:rPr>
          <w:i/>
        </w:rPr>
        <w:t>R v A (No 2)</w:t>
      </w:r>
      <w:r w:rsidRPr="002A3E63">
        <w:t xml:space="preserve">’ in </w:t>
      </w:r>
      <w:r>
        <w:t>R Hunter</w:t>
      </w:r>
      <w:r w:rsidRPr="002A3E63">
        <w:t xml:space="preserve">, </w:t>
      </w:r>
      <w:r>
        <w:t xml:space="preserve">C </w:t>
      </w:r>
      <w:r w:rsidRPr="002A3E63">
        <w:t>McGlyn</w:t>
      </w:r>
      <w:r>
        <w:t>n</w:t>
      </w:r>
      <w:r w:rsidRPr="002A3E63">
        <w:t xml:space="preserve"> and </w:t>
      </w:r>
      <w:r>
        <w:t>E Rackley</w:t>
      </w:r>
      <w:r w:rsidRPr="002A3E63">
        <w:t xml:space="preserve"> (eds</w:t>
      </w:r>
      <w:r w:rsidRPr="002A3E63">
        <w:rPr>
          <w:i/>
        </w:rPr>
        <w:t>) Feminist Judgment</w:t>
      </w:r>
      <w:r>
        <w:rPr>
          <w:i/>
        </w:rPr>
        <w:t>s: F</w:t>
      </w:r>
      <w:r w:rsidRPr="002A3E63">
        <w:rPr>
          <w:i/>
        </w:rPr>
        <w:t>rom Theory to Practice</w:t>
      </w:r>
      <w:r>
        <w:t xml:space="preserve"> (Hart Publishing 2010) 205;</w:t>
      </w:r>
      <w:r w:rsidRPr="005423DD">
        <w:t xml:space="preserve"> </w:t>
      </w:r>
      <w:r w:rsidRPr="002A3E63">
        <w:t xml:space="preserve">Easton S, ‘The Use of Sexual History Evidence in Rape Trials’ in </w:t>
      </w:r>
      <w:r>
        <w:t xml:space="preserve">M Childs </w:t>
      </w:r>
      <w:r w:rsidRPr="002A3E63">
        <w:t xml:space="preserve">and </w:t>
      </w:r>
      <w:r>
        <w:t>L Ellison (eds)</w:t>
      </w:r>
      <w:r w:rsidRPr="002A3E63">
        <w:t xml:space="preserve"> </w:t>
      </w:r>
      <w:r w:rsidRPr="002A3E63">
        <w:rPr>
          <w:i/>
          <w:iCs/>
        </w:rPr>
        <w:t>Feminist Perspectives on Evidence</w:t>
      </w:r>
      <w:r w:rsidRPr="002A3E63">
        <w:t xml:space="preserve"> (Routledge Cavendish 2000) 167; </w:t>
      </w:r>
      <w:r w:rsidRPr="002A3E63">
        <w:rPr>
          <w:i/>
        </w:rPr>
        <w:t xml:space="preserve">R v Seaboyer </w:t>
      </w:r>
      <w:r w:rsidRPr="002A3E63">
        <w:t>(1991) 83 DLR (4th) 193</w:t>
      </w:r>
      <w:r>
        <w:t xml:space="preserve">; </w:t>
      </w:r>
      <w:r w:rsidRPr="002A3E63">
        <w:rPr>
          <w:i/>
        </w:rPr>
        <w:t>R v D</w:t>
      </w:r>
      <w:r>
        <w:t xml:space="preserve"> [2008] EWCA Crim 2557, Times 26 November 2008; </w:t>
      </w:r>
      <w:r w:rsidRPr="005423DD">
        <w:rPr>
          <w:i/>
        </w:rPr>
        <w:t>R v</w:t>
      </w:r>
      <w:r>
        <w:t xml:space="preserve"> </w:t>
      </w:r>
      <w:r w:rsidRPr="002A3E63">
        <w:rPr>
          <w:i/>
        </w:rPr>
        <w:t>H</w:t>
      </w:r>
      <w:r w:rsidRPr="002A3E63">
        <w:t xml:space="preserve"> [1997] 1 Cr App R 176, 177-178 per Sedley J</w:t>
      </w:r>
      <w:r>
        <w:t>:</w:t>
      </w:r>
      <w:r w:rsidRPr="002A3E63">
        <w:t xml:space="preserve"> ‘It has become standard pract</w:t>
      </w:r>
      <w:r>
        <w:t>ice for defence lawyers in rape</w:t>
      </w:r>
      <w:r w:rsidRPr="002A3E63">
        <w:t xml:space="preserve">…cases to seek to compel the production of any social services, education, psychiatric, medical or similar records concerning the complainant, in the hope that these will furnish material for cross-examination’. See also concerns raised </w:t>
      </w:r>
      <w:r w:rsidRPr="002A3E63">
        <w:rPr>
          <w:i/>
        </w:rPr>
        <w:t>in M v Director of Legal Aid Casework</w:t>
      </w:r>
      <w:r w:rsidRPr="002A3E63">
        <w:t xml:space="preserve"> [2014] EWHC 1354 (Admin), [2014] ACD 124.</w:t>
      </w:r>
    </w:p>
  </w:footnote>
  <w:footnote w:id="36">
    <w:p w14:paraId="28BCAB77" w14:textId="16CAD44C" w:rsidR="0052684C" w:rsidRPr="002A3E63" w:rsidRDefault="0052684C" w:rsidP="005673FC">
      <w:pPr>
        <w:pStyle w:val="FootnoteText"/>
        <w:jc w:val="both"/>
      </w:pPr>
      <w:r w:rsidRPr="002A3E63">
        <w:rPr>
          <w:rStyle w:val="FootnoteReference"/>
        </w:rPr>
        <w:footnoteRef/>
      </w:r>
      <w:r w:rsidRPr="002A3E63">
        <w:t xml:space="preserve"> For example, Madame Justice L’Heureux-Dubé in </w:t>
      </w:r>
      <w:r w:rsidRPr="002A3E63">
        <w:rPr>
          <w:i/>
        </w:rPr>
        <w:t>R v Seboyer</w:t>
      </w:r>
      <w:r w:rsidRPr="002A3E63">
        <w:t xml:space="preserve"> [1991</w:t>
      </w:r>
      <w:r>
        <w:t>] 2 SCR 577 paras 140-152 and</w:t>
      </w:r>
      <w:r w:rsidRPr="002A3E63">
        <w:t xml:space="preserve"> 207</w:t>
      </w:r>
      <w:r>
        <w:t>:</w:t>
      </w:r>
      <w:r w:rsidRPr="002A3E63">
        <w:t xml:space="preserve"> ‘Whatever the test, be it one of experience, common sense or logic, it is a decision particularly vulnerable to the application of private beliefs. Regardless of the definition used, the content of any relevancy decision will be filled by the particular judge’s experience, common sense and/or logic. For the most part there will be general agreement as to that which is relevant, and the determination will not be problematic. However, there are certain areas of inquiry where experience, common sense and logic are informed by stereotype and myth. As I have made clear, this area of the law has been particularly prone to the utilization of stereotype in determinations of relevance and, again, as was demonstrated earlier, this appears to be the unfortunate concomitant of a society which, to a large measure, holds these beliefs. It would also appear that recognition of the large role that stereotype may play in such determinations has had surprisingly little impact in this area of the law’. And at para 140</w:t>
      </w:r>
      <w:r>
        <w:t>:</w:t>
      </w:r>
      <w:r w:rsidRPr="002A3E63">
        <w:t xml:space="preserve"> ‘Of tantamount importance in answering the constitutional questions in this case is a consideration of the prevalence and impact of discriminatory beliefs on trials of sexual offences. These beliefs affect the processing of complaints, the law applied when and if the case proceeds to trial, the trial itself and the ultimate verdict’.</w:t>
      </w:r>
    </w:p>
  </w:footnote>
  <w:footnote w:id="37">
    <w:p w14:paraId="1C562D2C" w14:textId="119F7BFF" w:rsidR="0052684C" w:rsidRDefault="0052684C" w:rsidP="005673FC">
      <w:pPr>
        <w:pStyle w:val="FootnoteText"/>
        <w:jc w:val="both"/>
      </w:pPr>
      <w:r>
        <w:rPr>
          <w:rStyle w:val="FootnoteReference"/>
        </w:rPr>
        <w:footnoteRef/>
      </w:r>
      <w:r>
        <w:t xml:space="preserve"> Temkin J and Krahé B in </w:t>
      </w:r>
      <w:r>
        <w:rPr>
          <w:i/>
        </w:rPr>
        <w:t xml:space="preserve">Sexual Assault and the Justice Gap: A Question of Attitude </w:t>
      </w:r>
      <w:r>
        <w:t>(Hart Publishing 2008) 31 theorise that the justice gap</w:t>
      </w:r>
      <w:r>
        <w:rPr>
          <w:vertAlign w:val="superscript"/>
        </w:rPr>
        <w:t xml:space="preserve"> </w:t>
      </w:r>
      <w:r>
        <w:t>identified in sexual offending statistics – i.e. the discrepancy between the rapidly rising number of recorded rapes and the relatively static number of convictions – may be explained by such beliefs.</w:t>
      </w:r>
      <w:r w:rsidRPr="000455BE">
        <w:t xml:space="preserve"> </w:t>
      </w:r>
      <w:r>
        <w:t xml:space="preserve">See Crown Prosecution Service, </w:t>
      </w:r>
      <w:r w:rsidRPr="00AC1D99">
        <w:rPr>
          <w:i/>
        </w:rPr>
        <w:t>Narrowing the Justice Gap</w:t>
      </w:r>
      <w:r>
        <w:t xml:space="preserve"> (2014) </w:t>
      </w:r>
      <w:hyperlink r:id="rId3" w:history="1">
        <w:r w:rsidRPr="00054B51">
          <w:rPr>
            <w:rStyle w:val="Hyperlink"/>
          </w:rPr>
          <w:t>http://www.cps.gov.uk/publications/prosecution/justicegap.html</w:t>
        </w:r>
      </w:hyperlink>
      <w:r>
        <w:t xml:space="preserve">  (accessed 2 June 2016).</w:t>
      </w:r>
    </w:p>
  </w:footnote>
  <w:footnote w:id="38">
    <w:p w14:paraId="3DA4A224" w14:textId="23289AC0" w:rsidR="0052684C" w:rsidRDefault="0052684C" w:rsidP="005673FC">
      <w:pPr>
        <w:pStyle w:val="FootnoteText"/>
        <w:jc w:val="both"/>
      </w:pPr>
      <w:r>
        <w:rPr>
          <w:rStyle w:val="FootnoteReference"/>
        </w:rPr>
        <w:footnoteRef/>
      </w:r>
      <w:r>
        <w:t xml:space="preserve"> </w:t>
      </w:r>
      <w:r w:rsidRPr="00CF3D1E">
        <w:t xml:space="preserve">Orr G, </w:t>
      </w:r>
      <w:r w:rsidRPr="00CF3D1E">
        <w:rPr>
          <w:i/>
        </w:rPr>
        <w:t>Mothering Myths, Child Deaths and the Law</w:t>
      </w:r>
      <w:r w:rsidRPr="00CF3D1E">
        <w:t xml:space="preserve"> (Routledge</w:t>
      </w:r>
      <w:r>
        <w:t xml:space="preserve"> forthcoming</w:t>
      </w:r>
      <w:r w:rsidRPr="00CF3D1E">
        <w:t xml:space="preserve"> 2020).</w:t>
      </w:r>
    </w:p>
  </w:footnote>
  <w:footnote w:id="39">
    <w:p w14:paraId="489EF8C1" w14:textId="2919FB57" w:rsidR="0052684C" w:rsidRDefault="0052684C" w:rsidP="005673FC">
      <w:pPr>
        <w:pStyle w:val="FootnoteText"/>
        <w:jc w:val="both"/>
      </w:pPr>
      <w:r>
        <w:rPr>
          <w:rStyle w:val="FootnoteReference"/>
        </w:rPr>
        <w:footnoteRef/>
      </w:r>
      <w:r>
        <w:t xml:space="preserve"> </w:t>
      </w:r>
      <w:r>
        <w:rPr>
          <w:i/>
        </w:rPr>
        <w:t>R v Clark (Sally)</w:t>
      </w:r>
      <w:r w:rsidRPr="0010123B">
        <w:t xml:space="preserve"> </w:t>
      </w:r>
      <w:r>
        <w:t xml:space="preserve">(Chester Crown Court, </w:t>
      </w:r>
      <w:r w:rsidRPr="0010123B">
        <w:t>9</w:t>
      </w:r>
      <w:r>
        <w:t xml:space="preserve"> November 1999).</w:t>
      </w:r>
    </w:p>
  </w:footnote>
  <w:footnote w:id="40">
    <w:p w14:paraId="45212543" w14:textId="561D2E82" w:rsidR="0052684C" w:rsidRDefault="0052684C" w:rsidP="005673FC">
      <w:pPr>
        <w:pStyle w:val="FootnoteText"/>
        <w:jc w:val="both"/>
      </w:pPr>
      <w:r>
        <w:rPr>
          <w:rStyle w:val="FootnoteReference"/>
        </w:rPr>
        <w:footnoteRef/>
      </w:r>
      <w:r>
        <w:t xml:space="preserve"> </w:t>
      </w:r>
      <w:r w:rsidRPr="00A90924">
        <w:rPr>
          <w:i/>
        </w:rPr>
        <w:t>R v Clark (</w:t>
      </w:r>
      <w:r w:rsidRPr="00DD60DC">
        <w:rPr>
          <w:i/>
        </w:rPr>
        <w:t xml:space="preserve">Sally) (Appeal against </w:t>
      </w:r>
      <w:r>
        <w:rPr>
          <w:i/>
        </w:rPr>
        <w:t xml:space="preserve">Conviction) (No </w:t>
      </w:r>
      <w:r w:rsidRPr="00BA1569">
        <w:rPr>
          <w:i/>
        </w:rPr>
        <w:t>1)</w:t>
      </w:r>
      <w:r>
        <w:t xml:space="preserve"> 2000 WL 1421196.</w:t>
      </w:r>
    </w:p>
  </w:footnote>
  <w:footnote w:id="41">
    <w:p w14:paraId="239F4C7D" w14:textId="3B52CEAA" w:rsidR="0052684C" w:rsidRDefault="0052684C" w:rsidP="005673FC">
      <w:pPr>
        <w:pStyle w:val="FootnoteText"/>
        <w:jc w:val="both"/>
      </w:pPr>
      <w:r>
        <w:rPr>
          <w:rStyle w:val="FootnoteReference"/>
        </w:rPr>
        <w:footnoteRef/>
      </w:r>
      <w:r>
        <w:t xml:space="preserve"> </w:t>
      </w:r>
      <w:r w:rsidRPr="008D7FE1">
        <w:rPr>
          <w:i/>
        </w:rPr>
        <w:t>Clark (No 2)</w:t>
      </w:r>
      <w:r>
        <w:t xml:space="preserve"> </w:t>
      </w:r>
      <w:r w:rsidRPr="00060137">
        <w:t xml:space="preserve">(n </w:t>
      </w:r>
      <w:r>
        <w:t>1</w:t>
      </w:r>
      <w:r w:rsidRPr="00060137">
        <w:t>).</w:t>
      </w:r>
    </w:p>
  </w:footnote>
  <w:footnote w:id="42">
    <w:p w14:paraId="082D89F8" w14:textId="0C60E35F" w:rsidR="0052684C" w:rsidRPr="00376C31" w:rsidRDefault="0052684C" w:rsidP="005673FC">
      <w:pPr>
        <w:pStyle w:val="FootnoteText"/>
        <w:jc w:val="both"/>
      </w:pPr>
      <w:r w:rsidRPr="00376C31">
        <w:rPr>
          <w:rStyle w:val="FootnoteReference"/>
        </w:rPr>
        <w:footnoteRef/>
      </w:r>
      <w:r w:rsidRPr="00376C31">
        <w:t xml:space="preserve"> </w:t>
      </w:r>
      <w:r>
        <w:t>Ibid</w:t>
      </w:r>
      <w:r w:rsidRPr="00BE6DD1">
        <w:t xml:space="preserve"> paras</w:t>
      </w:r>
      <w:r w:rsidRPr="008D7FE1">
        <w:t xml:space="preserve"> 96, 99 per Kay LJ.</w:t>
      </w:r>
      <w:r>
        <w:t xml:space="preserve"> </w:t>
      </w:r>
      <w:r w:rsidRPr="008D7FE1">
        <w:t xml:space="preserve">At trial </w:t>
      </w:r>
      <w:r>
        <w:t>expert witness Professor Meadow</w:t>
      </w:r>
      <w:r w:rsidRPr="008D7FE1">
        <w:t xml:space="preserve"> was quoted as saying the odds of two infants dying from natural causes in one family were 1 in 73 million and those odds he suggested, were equivalent to placing a bet on a horse at the Grand National at odds of 80 to 1 for four consecutive years and winning</w:t>
      </w:r>
      <w:r>
        <w:t>. ‘</w:t>
      </w:r>
      <w:r w:rsidRPr="002B5A00">
        <w:t>Yes, you have to multiply 1 in 8,543 times 1 in 8,543 and I think it gives tha</w:t>
      </w:r>
      <w:r>
        <w:t xml:space="preserve">t in the penultimate paragraph’, referring to </w:t>
      </w:r>
      <w:r w:rsidRPr="008D7FE1">
        <w:t>Fleming P</w:t>
      </w:r>
      <w:r>
        <w:t>,</w:t>
      </w:r>
      <w:r w:rsidRPr="008D7FE1">
        <w:t xml:space="preserve"> Blair P</w:t>
      </w:r>
      <w:r>
        <w:t>,</w:t>
      </w:r>
      <w:r w:rsidRPr="008D7FE1">
        <w:t xml:space="preserve"> Bacon C</w:t>
      </w:r>
      <w:r>
        <w:t>,</w:t>
      </w:r>
      <w:r w:rsidRPr="008D7FE1">
        <w:t xml:space="preserve"> et al</w:t>
      </w:r>
      <w:r>
        <w:t xml:space="preserve">., </w:t>
      </w:r>
      <w:r w:rsidRPr="008D7FE1">
        <w:rPr>
          <w:i/>
          <w:iCs/>
        </w:rPr>
        <w:t>Sudden Unexpected Deaths in Infancy</w:t>
      </w:r>
      <w:r>
        <w:rPr>
          <w:i/>
          <w:iCs/>
        </w:rPr>
        <w:t>:</w:t>
      </w:r>
      <w:r w:rsidRPr="008D7FE1">
        <w:rPr>
          <w:i/>
          <w:iCs/>
        </w:rPr>
        <w:t xml:space="preserve"> </w:t>
      </w:r>
      <w:r>
        <w:rPr>
          <w:i/>
          <w:iCs/>
        </w:rPr>
        <w:t>T</w:t>
      </w:r>
      <w:r w:rsidRPr="008D7FE1">
        <w:rPr>
          <w:i/>
          <w:iCs/>
        </w:rPr>
        <w:t>he CESDI SUDI Studies 1993-1996</w:t>
      </w:r>
      <w:r w:rsidRPr="008D7FE1">
        <w:t xml:space="preserve"> (TSO 2000</w:t>
      </w:r>
      <w:r>
        <w:t xml:space="preserve">) 92 Table 3.58, and referred to in </w:t>
      </w:r>
      <w:r w:rsidRPr="008D7FE1">
        <w:t>Clark</w:t>
      </w:r>
      <w:r w:rsidRPr="008D7FE1">
        <w:rPr>
          <w:i/>
        </w:rPr>
        <w:t xml:space="preserve"> </w:t>
      </w:r>
      <w:r>
        <w:rPr>
          <w:i/>
        </w:rPr>
        <w:t xml:space="preserve">(No 1) </w:t>
      </w:r>
      <w:r>
        <w:t>(n 39</w:t>
      </w:r>
      <w:r w:rsidRPr="008D7FE1">
        <w:t>) para 131 per Henry LJ</w:t>
      </w:r>
      <w:r>
        <w:t>.</w:t>
      </w:r>
    </w:p>
  </w:footnote>
  <w:footnote w:id="43">
    <w:p w14:paraId="5612AABC" w14:textId="296F09F8" w:rsidR="0052684C" w:rsidRPr="00376C31" w:rsidRDefault="0052684C" w:rsidP="005673FC">
      <w:pPr>
        <w:pStyle w:val="FootnoteText"/>
        <w:jc w:val="both"/>
      </w:pPr>
      <w:r w:rsidRPr="00376C31">
        <w:rPr>
          <w:rStyle w:val="FootnoteReference"/>
        </w:rPr>
        <w:footnoteRef/>
      </w:r>
      <w:r w:rsidRPr="00376C31">
        <w:t xml:space="preserve"> </w:t>
      </w:r>
      <w:r w:rsidRPr="00A57055">
        <w:t>Meadow</w:t>
      </w:r>
      <w:r>
        <w:t xml:space="preserve"> R</w:t>
      </w:r>
      <w:r w:rsidRPr="00A57055">
        <w:t xml:space="preserve">, </w:t>
      </w:r>
      <w:r w:rsidRPr="00AC1D99">
        <w:rPr>
          <w:i/>
        </w:rPr>
        <w:t>The ABC of Child Abuse</w:t>
      </w:r>
      <w:r>
        <w:t xml:space="preserve"> (3rd edn., BMJ Publishing Group</w:t>
      </w:r>
      <w:r w:rsidRPr="00A57055">
        <w:t xml:space="preserve"> 1997) 29</w:t>
      </w:r>
      <w:r>
        <w:t>:</w:t>
      </w:r>
      <w:r w:rsidRPr="00A57055">
        <w:t xml:space="preserve"> ‘one sudden infant death is a tragedy, two is suspicious and three is murder, unless proven otherwise</w:t>
      </w:r>
      <w:r>
        <w:t>’</w:t>
      </w:r>
      <w:r w:rsidRPr="00A57055">
        <w:t>. This opinion represented as a ‘law’ was based upon the opinion expressed in Di Maio DJ</w:t>
      </w:r>
      <w:r>
        <w:t xml:space="preserve"> and Di Maio VJ</w:t>
      </w:r>
      <w:r w:rsidRPr="00A57055">
        <w:t xml:space="preserve">M, </w:t>
      </w:r>
      <w:r w:rsidRPr="00AC1D99">
        <w:rPr>
          <w:i/>
        </w:rPr>
        <w:t>Forensic Pathology</w:t>
      </w:r>
      <w:r>
        <w:t xml:space="preserve"> (Elsevier 1989) 291: ‘</w:t>
      </w:r>
      <w:r w:rsidRPr="00A57055">
        <w:t>It is the authors’ opinion that while a second SIDS death</w:t>
      </w:r>
      <w:r>
        <w:t>…</w:t>
      </w:r>
      <w:r w:rsidRPr="00A57055">
        <w:t>is improbable, it is possible and she should be given the benefit of the doubt. A third case, in our opinion, is not possible and is a case of homicide’.</w:t>
      </w:r>
    </w:p>
  </w:footnote>
  <w:footnote w:id="44">
    <w:p w14:paraId="612B7DFA" w14:textId="040F263A" w:rsidR="0052684C" w:rsidRDefault="0052684C" w:rsidP="005673FC">
      <w:pPr>
        <w:pStyle w:val="FootnoteText"/>
        <w:jc w:val="both"/>
      </w:pPr>
      <w:r>
        <w:rPr>
          <w:rStyle w:val="FootnoteReference"/>
        </w:rPr>
        <w:footnoteRef/>
      </w:r>
      <w:r>
        <w:t xml:space="preserve"> </w:t>
      </w:r>
      <w:r>
        <w:rPr>
          <w:i/>
        </w:rPr>
        <w:t xml:space="preserve">Clark (No 1) </w:t>
      </w:r>
      <w:r>
        <w:t>(n 39</w:t>
      </w:r>
      <w:r w:rsidRPr="00DB14FA">
        <w:t xml:space="preserve">) </w:t>
      </w:r>
      <w:r>
        <w:t>para 17 per Henry LJ.</w:t>
      </w:r>
    </w:p>
  </w:footnote>
  <w:footnote w:id="45">
    <w:p w14:paraId="5C8CC473" w14:textId="070A71CD" w:rsidR="0052684C" w:rsidRDefault="0052684C" w:rsidP="005673FC">
      <w:pPr>
        <w:pStyle w:val="FootnoteText"/>
        <w:jc w:val="both"/>
      </w:pPr>
      <w:r>
        <w:rPr>
          <w:rStyle w:val="FootnoteReference"/>
        </w:rPr>
        <w:footnoteRef/>
      </w:r>
      <w:r>
        <w:t xml:space="preserve"> Ibid</w:t>
      </w:r>
      <w:r w:rsidRPr="00DB14FA">
        <w:t xml:space="preserve"> </w:t>
      </w:r>
      <w:r>
        <w:t>para 87.</w:t>
      </w:r>
    </w:p>
  </w:footnote>
  <w:footnote w:id="46">
    <w:p w14:paraId="5E60D37B" w14:textId="583F6CBE" w:rsidR="0052684C" w:rsidRDefault="0052684C" w:rsidP="005673FC">
      <w:pPr>
        <w:pStyle w:val="FootnoteText"/>
        <w:jc w:val="both"/>
      </w:pPr>
      <w:r>
        <w:rPr>
          <w:rStyle w:val="FootnoteReference"/>
        </w:rPr>
        <w:footnoteRef/>
      </w:r>
      <w:r>
        <w:t xml:space="preserve"> </w:t>
      </w:r>
      <w:r w:rsidRPr="0008431C">
        <w:t xml:space="preserve">Cave E, </w:t>
      </w:r>
      <w:r w:rsidRPr="00510E61">
        <w:rPr>
          <w:i/>
        </w:rPr>
        <w:t>The Mother of All Crimes</w:t>
      </w:r>
      <w:r>
        <w:rPr>
          <w:i/>
        </w:rPr>
        <w:t>:</w:t>
      </w:r>
      <w:r w:rsidRPr="00510E61">
        <w:rPr>
          <w:i/>
        </w:rPr>
        <w:t xml:space="preserve"> Human Rights, Criminalisation and the Child Born Alive</w:t>
      </w:r>
      <w:r w:rsidRPr="0008431C">
        <w:t xml:space="preserve"> (Ashgate 2004)</w:t>
      </w:r>
      <w:r>
        <w:t>.</w:t>
      </w:r>
    </w:p>
  </w:footnote>
  <w:footnote w:id="47">
    <w:p w14:paraId="1F594772" w14:textId="7CBECB77" w:rsidR="0052684C" w:rsidRDefault="0052684C" w:rsidP="005673FC">
      <w:pPr>
        <w:pStyle w:val="FootnoteText"/>
        <w:jc w:val="both"/>
      </w:pPr>
      <w:r>
        <w:rPr>
          <w:rStyle w:val="FootnoteReference"/>
        </w:rPr>
        <w:footnoteRef/>
      </w:r>
      <w:r>
        <w:t xml:space="preserve"> </w:t>
      </w:r>
      <w:r>
        <w:rPr>
          <w:i/>
        </w:rPr>
        <w:t xml:space="preserve">Cannings </w:t>
      </w:r>
      <w:r w:rsidRPr="00A03638">
        <w:t>(n</w:t>
      </w:r>
      <w:r>
        <w:t xml:space="preserve"> 1</w:t>
      </w:r>
      <w:r w:rsidRPr="00A03638">
        <w:t>);</w:t>
      </w:r>
      <w:r>
        <w:t xml:space="preserve"> and also see</w:t>
      </w:r>
      <w:r w:rsidRPr="002128E7">
        <w:rPr>
          <w:rFonts w:eastAsiaTheme="minorHAnsi" w:cstheme="minorBidi"/>
          <w:sz w:val="24"/>
          <w:szCs w:val="22"/>
          <w:lang w:val="en"/>
        </w:rPr>
        <w:t xml:space="preserve"> </w:t>
      </w:r>
      <w:r w:rsidRPr="002128E7">
        <w:rPr>
          <w:lang w:val="en"/>
        </w:rPr>
        <w:t>Donna Anthony</w:t>
      </w:r>
      <w:r>
        <w:rPr>
          <w:lang w:val="en"/>
        </w:rPr>
        <w:t>,</w:t>
      </w:r>
      <w:r w:rsidRPr="002128E7">
        <w:rPr>
          <w:lang w:val="en"/>
        </w:rPr>
        <w:t xml:space="preserve"> convicted of two counts of murder </w:t>
      </w:r>
      <w:r>
        <w:rPr>
          <w:lang w:val="en"/>
        </w:rPr>
        <w:t xml:space="preserve">in </w:t>
      </w:r>
      <w:r w:rsidRPr="002128E7">
        <w:rPr>
          <w:i/>
        </w:rPr>
        <w:t>R v Anthony (Donna)</w:t>
      </w:r>
      <w:r w:rsidRPr="002128E7">
        <w:t xml:space="preserve"> (Bristol Crown Court, 17 November 1998</w:t>
      </w:r>
      <w:r>
        <w:t xml:space="preserve">) </w:t>
      </w:r>
      <w:r w:rsidRPr="002128E7">
        <w:rPr>
          <w:lang w:val="en"/>
        </w:rPr>
        <w:t xml:space="preserve">by smothering her two babies on </w:t>
      </w:r>
      <w:r>
        <w:rPr>
          <w:lang w:val="en"/>
        </w:rPr>
        <w:t xml:space="preserve">the basis of </w:t>
      </w:r>
      <w:r w:rsidRPr="002128E7">
        <w:rPr>
          <w:lang w:val="en"/>
        </w:rPr>
        <w:t>similar medical opinion</w:t>
      </w:r>
      <w:r>
        <w:rPr>
          <w:lang w:val="en"/>
        </w:rPr>
        <w:t>s to those</w:t>
      </w:r>
      <w:r w:rsidRPr="002128E7">
        <w:rPr>
          <w:lang w:val="en"/>
        </w:rPr>
        <w:t xml:space="preserve"> presented in </w:t>
      </w:r>
      <w:r w:rsidRPr="002128E7">
        <w:rPr>
          <w:i/>
          <w:lang w:val="en"/>
        </w:rPr>
        <w:t>Clark</w:t>
      </w:r>
      <w:r w:rsidRPr="002128E7">
        <w:rPr>
          <w:lang w:val="en"/>
        </w:rPr>
        <w:t xml:space="preserve"> and </w:t>
      </w:r>
      <w:r w:rsidRPr="002128E7">
        <w:rPr>
          <w:i/>
          <w:lang w:val="en"/>
        </w:rPr>
        <w:t>Cannings</w:t>
      </w:r>
      <w:r>
        <w:rPr>
          <w:lang w:val="en"/>
        </w:rPr>
        <w:t>,</w:t>
      </w:r>
      <w:r>
        <w:t xml:space="preserve"> and acquitted at her second appeal on similar grounds: </w:t>
      </w:r>
      <w:r w:rsidRPr="00316867">
        <w:rPr>
          <w:i/>
        </w:rPr>
        <w:t>Anthony (No 2)</w:t>
      </w:r>
      <w:r>
        <w:t xml:space="preserve"> (n 1).</w:t>
      </w:r>
    </w:p>
  </w:footnote>
  <w:footnote w:id="48">
    <w:p w14:paraId="3F16A7D2" w14:textId="496C506A" w:rsidR="0052684C" w:rsidRDefault="0052684C" w:rsidP="005673FC">
      <w:pPr>
        <w:pStyle w:val="FootnoteText"/>
        <w:jc w:val="both"/>
      </w:pPr>
      <w:r>
        <w:rPr>
          <w:rStyle w:val="FootnoteReference"/>
        </w:rPr>
        <w:footnoteRef/>
      </w:r>
      <w:r>
        <w:t xml:space="preserve"> </w:t>
      </w:r>
      <w:r w:rsidRPr="00A03638">
        <w:t>Meadow</w:t>
      </w:r>
      <w:r>
        <w:t xml:space="preserve"> (n 42).</w:t>
      </w:r>
    </w:p>
  </w:footnote>
  <w:footnote w:id="49">
    <w:p w14:paraId="63310119" w14:textId="65EE50FE" w:rsidR="0052684C" w:rsidRPr="0082786C" w:rsidRDefault="0052684C" w:rsidP="005673FC">
      <w:pPr>
        <w:pStyle w:val="FootnoteText"/>
        <w:jc w:val="both"/>
      </w:pPr>
      <w:r w:rsidRPr="0082786C">
        <w:rPr>
          <w:rStyle w:val="FootnoteReference"/>
        </w:rPr>
        <w:footnoteRef/>
      </w:r>
      <w:r>
        <w:t xml:space="preserve"> </w:t>
      </w:r>
      <w:r w:rsidRPr="00A03638">
        <w:rPr>
          <w:i/>
        </w:rPr>
        <w:t xml:space="preserve">Cannings </w:t>
      </w:r>
      <w:r w:rsidRPr="00A03638">
        <w:t xml:space="preserve">(n </w:t>
      </w:r>
      <w:r>
        <w:t>1</w:t>
      </w:r>
      <w:r w:rsidRPr="00A03638">
        <w:t>)</w:t>
      </w:r>
      <w:r>
        <w:t xml:space="preserve"> para 165 per Judge LJ.</w:t>
      </w:r>
    </w:p>
  </w:footnote>
  <w:footnote w:id="50">
    <w:p w14:paraId="6A0405CE" w14:textId="246F8EB8" w:rsidR="0052684C" w:rsidRDefault="0052684C" w:rsidP="005673FC">
      <w:pPr>
        <w:pStyle w:val="FootnoteText"/>
        <w:jc w:val="both"/>
      </w:pPr>
      <w:r>
        <w:rPr>
          <w:rStyle w:val="FootnoteReference"/>
        </w:rPr>
        <w:footnoteRef/>
      </w:r>
      <w:r>
        <w:t xml:space="preserve"> Ibid</w:t>
      </w:r>
      <w:r>
        <w:rPr>
          <w:lang w:val="pt-PT"/>
        </w:rPr>
        <w:t xml:space="preserve"> para 160.</w:t>
      </w:r>
    </w:p>
  </w:footnote>
  <w:footnote w:id="51">
    <w:p w14:paraId="375F94FD" w14:textId="5FE960A9" w:rsidR="0052684C" w:rsidRDefault="0052684C" w:rsidP="005673FC">
      <w:pPr>
        <w:pStyle w:val="FootnoteText"/>
        <w:jc w:val="both"/>
        <w:rPr>
          <w:lang w:val="pt-PT"/>
        </w:rPr>
      </w:pPr>
      <w:r>
        <w:rPr>
          <w:rStyle w:val="FootnoteReference"/>
        </w:rPr>
        <w:footnoteRef/>
      </w:r>
      <w:r>
        <w:rPr>
          <w:lang w:val="pt-PT"/>
        </w:rPr>
        <w:t xml:space="preserve"> I</w:t>
      </w:r>
      <w:r>
        <w:t>bid</w:t>
      </w:r>
      <w:r w:rsidRPr="00861ACE">
        <w:t xml:space="preserve"> </w:t>
      </w:r>
      <w:r w:rsidRPr="00861ACE">
        <w:rPr>
          <w:lang w:val="pt-PT"/>
        </w:rPr>
        <w:t>para</w:t>
      </w:r>
      <w:r>
        <w:rPr>
          <w:lang w:val="pt-PT"/>
        </w:rPr>
        <w:t xml:space="preserve"> 4.</w:t>
      </w:r>
    </w:p>
  </w:footnote>
  <w:footnote w:id="52">
    <w:p w14:paraId="68E38FFD" w14:textId="13CB8E58" w:rsidR="0052684C" w:rsidRDefault="0052684C" w:rsidP="005673FC">
      <w:pPr>
        <w:pStyle w:val="FootnoteText"/>
        <w:jc w:val="both"/>
        <w:rPr>
          <w:lang w:val="pt-PT"/>
        </w:rPr>
      </w:pPr>
      <w:r>
        <w:rPr>
          <w:rStyle w:val="FootnoteReference"/>
        </w:rPr>
        <w:footnoteRef/>
      </w:r>
      <w:r>
        <w:rPr>
          <w:lang w:val="pt-PT"/>
        </w:rPr>
        <w:t xml:space="preserve"> </w:t>
      </w:r>
      <w:r>
        <w:t>Ibid</w:t>
      </w:r>
      <w:r w:rsidRPr="008055A9">
        <w:t xml:space="preserve"> </w:t>
      </w:r>
      <w:r>
        <w:rPr>
          <w:lang w:val="pt-PT"/>
        </w:rPr>
        <w:t>para 66.</w:t>
      </w:r>
    </w:p>
  </w:footnote>
  <w:footnote w:id="53">
    <w:p w14:paraId="7D17D431" w14:textId="2B483311" w:rsidR="0052684C" w:rsidRDefault="0052684C" w:rsidP="005673FC">
      <w:pPr>
        <w:pStyle w:val="FootnoteText"/>
        <w:jc w:val="both"/>
        <w:rPr>
          <w:lang w:val="pt-PT"/>
        </w:rPr>
      </w:pPr>
      <w:r>
        <w:rPr>
          <w:rStyle w:val="FootnoteReference"/>
        </w:rPr>
        <w:footnoteRef/>
      </w:r>
      <w:r>
        <w:rPr>
          <w:lang w:val="pt-PT"/>
        </w:rPr>
        <w:t xml:space="preserve"> </w:t>
      </w:r>
      <w:r>
        <w:t>Ibid</w:t>
      </w:r>
      <w:r w:rsidRPr="008055A9">
        <w:t xml:space="preserve"> </w:t>
      </w:r>
      <w:r>
        <w:rPr>
          <w:lang w:val="pt-PT"/>
        </w:rPr>
        <w:t>para 94.</w:t>
      </w:r>
    </w:p>
  </w:footnote>
  <w:footnote w:id="54">
    <w:p w14:paraId="1634629A" w14:textId="16FEC8C0" w:rsidR="0052684C" w:rsidRDefault="0052684C" w:rsidP="005673FC">
      <w:pPr>
        <w:pStyle w:val="FootnoteText"/>
        <w:jc w:val="both"/>
      </w:pPr>
      <w:r>
        <w:rPr>
          <w:rStyle w:val="FootnoteReference"/>
        </w:rPr>
        <w:footnoteRef/>
      </w:r>
      <w:r>
        <w:t xml:space="preserve"> Ibid</w:t>
      </w:r>
      <w:r w:rsidRPr="008055A9">
        <w:t xml:space="preserve"> </w:t>
      </w:r>
      <w:r>
        <w:rPr>
          <w:lang w:val="pt-PT"/>
        </w:rPr>
        <w:t xml:space="preserve">para 59.  </w:t>
      </w:r>
    </w:p>
  </w:footnote>
  <w:footnote w:id="55">
    <w:p w14:paraId="72B758BA" w14:textId="5E3088FA" w:rsidR="0052684C" w:rsidRPr="00314871" w:rsidRDefault="0052684C" w:rsidP="005673FC">
      <w:pPr>
        <w:pStyle w:val="FootnoteText"/>
        <w:jc w:val="both"/>
      </w:pPr>
      <w:r w:rsidRPr="00314871">
        <w:rPr>
          <w:rStyle w:val="FootnoteReference"/>
        </w:rPr>
        <w:footnoteRef/>
      </w:r>
      <w:r w:rsidRPr="00314871">
        <w:t xml:space="preserve"> </w:t>
      </w:r>
      <w:r w:rsidRPr="00314871">
        <w:rPr>
          <w:rFonts w:cstheme="minorBidi"/>
        </w:rPr>
        <w:t>M</w:t>
      </w:r>
      <w:r>
        <w:rPr>
          <w:rFonts w:cstheme="minorBidi"/>
        </w:rPr>
        <w:t xml:space="preserve">unchausen Syndrome </w:t>
      </w:r>
      <w:r w:rsidRPr="00314871">
        <w:rPr>
          <w:rFonts w:cstheme="minorBidi"/>
        </w:rPr>
        <w:t>‘is a psychological and behavioural condition where someone pretends to be ill or induces symptoms of illness in themselves. It is also sometimes known as factitious disorder. People with the condition intentionally produce or pretend to have physical or psychological symptoms of illness. Their m</w:t>
      </w:r>
      <w:r>
        <w:rPr>
          <w:rFonts w:cstheme="minorBidi"/>
        </w:rPr>
        <w:t>ain intention is to assume the “sick role”</w:t>
      </w:r>
      <w:r w:rsidRPr="00314871">
        <w:rPr>
          <w:rFonts w:cstheme="minorBidi"/>
        </w:rPr>
        <w:t xml:space="preserve"> to have people care for them and be the centre of attention. Any practical benefit for them in pretending to be sick – for example, claiming incapacity benefit – is not the reason for their behaviour. From the available case studies, there appear to be two relatively distinct groups of people affected by</w:t>
      </w:r>
      <w:r>
        <w:rPr>
          <w:rFonts w:cstheme="minorBidi"/>
        </w:rPr>
        <w:t xml:space="preserve"> Munchausen's S</w:t>
      </w:r>
      <w:r w:rsidRPr="00314871">
        <w:rPr>
          <w:rFonts w:cstheme="minorBidi"/>
        </w:rPr>
        <w:t>yndrome: women aged 20 to 40 years old, who often have a background in healthcare, such as working as a nurse or a medical technician’</w:t>
      </w:r>
      <w:r>
        <w:rPr>
          <w:rFonts w:eastAsiaTheme="minorHAnsi"/>
        </w:rPr>
        <w:t xml:space="preserve"> see </w:t>
      </w:r>
      <w:r>
        <w:rPr>
          <w:rFonts w:cstheme="minorBidi"/>
        </w:rPr>
        <w:t xml:space="preserve">UK NHS website </w:t>
      </w:r>
      <w:hyperlink r:id="rId4" w:history="1">
        <w:r w:rsidRPr="00054B51">
          <w:rPr>
            <w:rStyle w:val="Hyperlink"/>
            <w:rFonts w:cstheme="minorBidi"/>
          </w:rPr>
          <w:t>http://www.nhs.uk/conditions/munchausens-syndrome/Pages/Introduction.aspx</w:t>
        </w:r>
      </w:hyperlink>
      <w:r>
        <w:rPr>
          <w:rFonts w:cstheme="minorBidi"/>
        </w:rPr>
        <w:t xml:space="preserve"> (</w:t>
      </w:r>
      <w:r w:rsidRPr="00314871">
        <w:rPr>
          <w:rFonts w:cstheme="minorBidi"/>
        </w:rPr>
        <w:t>accessed 2 August 2015</w:t>
      </w:r>
      <w:r>
        <w:rPr>
          <w:rFonts w:cstheme="minorBidi"/>
        </w:rPr>
        <w:t>)</w:t>
      </w:r>
      <w:r w:rsidRPr="00314871">
        <w:rPr>
          <w:rFonts w:cstheme="minorBidi"/>
        </w:rPr>
        <w:t>.</w:t>
      </w:r>
      <w:r>
        <w:rPr>
          <w:rFonts w:cstheme="minorBidi"/>
        </w:rPr>
        <w:t xml:space="preserve"> M</w:t>
      </w:r>
      <w:r w:rsidRPr="00314871">
        <w:rPr>
          <w:rFonts w:cstheme="minorBidi"/>
        </w:rPr>
        <w:t>SbP</w:t>
      </w:r>
      <w:r>
        <w:rPr>
          <w:rFonts w:cstheme="minorBidi"/>
        </w:rPr>
        <w:t xml:space="preserve"> is a condition where the person pretends that someone else (typically their child) is ill or induces symptoms of illness in the child.</w:t>
      </w:r>
    </w:p>
  </w:footnote>
  <w:footnote w:id="56">
    <w:p w14:paraId="7ED3CCE8" w14:textId="3B4517B3" w:rsidR="0052684C" w:rsidRDefault="0052684C" w:rsidP="005673FC">
      <w:pPr>
        <w:pStyle w:val="FootnoteText"/>
        <w:jc w:val="both"/>
      </w:pPr>
      <w:r>
        <w:rPr>
          <w:rStyle w:val="FootnoteReference"/>
        </w:rPr>
        <w:footnoteRef/>
      </w:r>
      <w:r>
        <w:t xml:space="preserve"> </w:t>
      </w:r>
      <w:r w:rsidRPr="00A03638">
        <w:rPr>
          <w:i/>
        </w:rPr>
        <w:t xml:space="preserve">Cannings </w:t>
      </w:r>
      <w:r w:rsidRPr="00A03638">
        <w:t xml:space="preserve">(n </w:t>
      </w:r>
      <w:r>
        <w:t>1</w:t>
      </w:r>
      <w:r w:rsidRPr="00A03638">
        <w:t>)</w:t>
      </w:r>
      <w:r>
        <w:t xml:space="preserve"> </w:t>
      </w:r>
      <w:r>
        <w:rPr>
          <w:lang w:val="pt-PT"/>
        </w:rPr>
        <w:t>para 148 per Judge LJ.</w:t>
      </w:r>
    </w:p>
  </w:footnote>
  <w:footnote w:id="57">
    <w:p w14:paraId="1E68CB82" w14:textId="4B300F09" w:rsidR="0052684C" w:rsidRDefault="0052684C" w:rsidP="005673FC">
      <w:pPr>
        <w:pStyle w:val="FootnoteText"/>
        <w:jc w:val="both"/>
      </w:pPr>
      <w:r>
        <w:rPr>
          <w:rStyle w:val="FootnoteReference"/>
        </w:rPr>
        <w:footnoteRef/>
      </w:r>
      <w:r>
        <w:t xml:space="preserve"> Ibid</w:t>
      </w:r>
      <w:r w:rsidRPr="008055A9">
        <w:t xml:space="preserve"> </w:t>
      </w:r>
      <w:r>
        <w:t>para 5.</w:t>
      </w:r>
    </w:p>
  </w:footnote>
  <w:footnote w:id="58">
    <w:p w14:paraId="7FA49D4A" w14:textId="157423E6" w:rsidR="0052684C" w:rsidRDefault="0052684C" w:rsidP="005673FC">
      <w:pPr>
        <w:pStyle w:val="FootnoteText"/>
        <w:jc w:val="both"/>
      </w:pPr>
      <w:r>
        <w:rPr>
          <w:rStyle w:val="FootnoteReference"/>
        </w:rPr>
        <w:footnoteRef/>
      </w:r>
      <w:r>
        <w:t xml:space="preserve"> </w:t>
      </w:r>
      <w:r w:rsidRPr="00E357C3">
        <w:rPr>
          <w:bCs/>
        </w:rPr>
        <w:t>Pattenden</w:t>
      </w:r>
      <w:r>
        <w:rPr>
          <w:bCs/>
        </w:rPr>
        <w:t xml:space="preserve"> R</w:t>
      </w:r>
      <w:r w:rsidRPr="00E357C3">
        <w:rPr>
          <w:bCs/>
        </w:rPr>
        <w:t xml:space="preserve">, ‘Authenticating </w:t>
      </w:r>
      <w:r>
        <w:rPr>
          <w:bCs/>
        </w:rPr>
        <w:t>“Things” i</w:t>
      </w:r>
      <w:r w:rsidRPr="00E357C3">
        <w:rPr>
          <w:bCs/>
        </w:rPr>
        <w:t xml:space="preserve">n English Law: Principles </w:t>
      </w:r>
      <w:r>
        <w:rPr>
          <w:bCs/>
        </w:rPr>
        <w:t>For Adducing Tangible Evidence in Common Law Jury Trials’ (2008) 12 Intl J</w:t>
      </w:r>
      <w:r w:rsidRPr="00E357C3">
        <w:rPr>
          <w:bCs/>
        </w:rPr>
        <w:t> Evid &amp; Proof, 273, 279</w:t>
      </w:r>
    </w:p>
  </w:footnote>
  <w:footnote w:id="59">
    <w:p w14:paraId="7CA8432B" w14:textId="6A177FA7" w:rsidR="0052684C" w:rsidRDefault="0052684C" w:rsidP="005673FC">
      <w:pPr>
        <w:pStyle w:val="FootnoteText"/>
        <w:jc w:val="both"/>
      </w:pPr>
      <w:r>
        <w:rPr>
          <w:rStyle w:val="FootnoteReference"/>
        </w:rPr>
        <w:footnoteRef/>
      </w:r>
      <w:r>
        <w:t xml:space="preserve"> Tapper C,</w:t>
      </w:r>
      <w:r w:rsidRPr="00350FC1">
        <w:t xml:space="preserve"> </w:t>
      </w:r>
      <w:r w:rsidRPr="00350FC1">
        <w:rPr>
          <w:i/>
        </w:rPr>
        <w:t xml:space="preserve">Cross and Tapper on Evidence </w:t>
      </w:r>
      <w:r w:rsidRPr="00350FC1">
        <w:t xml:space="preserve">(OUP 2010) </w:t>
      </w:r>
      <w:r>
        <w:t xml:space="preserve">65 and </w:t>
      </w:r>
      <w:r w:rsidRPr="00350FC1">
        <w:t xml:space="preserve">explanatory notes at </w:t>
      </w:r>
      <w:r>
        <w:t>n 686-687.</w:t>
      </w:r>
    </w:p>
  </w:footnote>
  <w:footnote w:id="60">
    <w:p w14:paraId="5E25B6EA" w14:textId="172A1069" w:rsidR="0052684C" w:rsidRDefault="0052684C" w:rsidP="005673FC">
      <w:pPr>
        <w:pStyle w:val="FootnoteText"/>
        <w:jc w:val="both"/>
      </w:pPr>
      <w:r>
        <w:rPr>
          <w:rStyle w:val="FootnoteReference"/>
        </w:rPr>
        <w:footnoteRef/>
      </w:r>
      <w:r>
        <w:t xml:space="preserve"> See e.g. Courts and Tribunals Judiciary, Crown Court Compendium Part I: Jury and Trial Management and Summing Up (Judicial College 2016) </w:t>
      </w:r>
      <w:hyperlink r:id="rId5" w:history="1">
        <w:r w:rsidRPr="00054B51">
          <w:rPr>
            <w:rStyle w:val="Hyperlink"/>
          </w:rPr>
          <w:t>https://www.judiciary.gov.uk/publications/crown-court-bench-book-directing-the- jury-2/</w:t>
        </w:r>
      </w:hyperlink>
      <w:r>
        <w:t xml:space="preserve"> (accessed 1 September 2016).</w:t>
      </w:r>
    </w:p>
  </w:footnote>
  <w:footnote w:id="61">
    <w:p w14:paraId="67E7173B" w14:textId="78E07D81" w:rsidR="0052684C" w:rsidRDefault="0052684C" w:rsidP="005673FC">
      <w:pPr>
        <w:pStyle w:val="FootnoteText"/>
        <w:jc w:val="both"/>
      </w:pPr>
      <w:r>
        <w:rPr>
          <w:rStyle w:val="FootnoteReference"/>
        </w:rPr>
        <w:footnoteRef/>
      </w:r>
      <w:r>
        <w:t xml:space="preserve"> Pattenden R, and </w:t>
      </w:r>
      <w:r w:rsidRPr="009D5F3F">
        <w:t>Ashworth</w:t>
      </w:r>
      <w:r>
        <w:t xml:space="preserve"> A, ‘Reliability, H</w:t>
      </w:r>
      <w:r w:rsidRPr="009D5F3F">
        <w:t xml:space="preserve">earsay </w:t>
      </w:r>
      <w:r>
        <w:t>Evidence and the English C</w:t>
      </w:r>
      <w:r w:rsidRPr="009D5F3F">
        <w:t xml:space="preserve">riminal </w:t>
      </w:r>
      <w:r>
        <w:t>T</w:t>
      </w:r>
      <w:r w:rsidRPr="009D5F3F">
        <w:t>rial</w:t>
      </w:r>
      <w:r>
        <w:t>’ [1986] LQR 292, 296.</w:t>
      </w:r>
    </w:p>
  </w:footnote>
  <w:footnote w:id="62">
    <w:p w14:paraId="67277B5D" w14:textId="08B5BEAA" w:rsidR="0052684C" w:rsidRDefault="0052684C" w:rsidP="005673FC">
      <w:pPr>
        <w:pStyle w:val="FootnoteText"/>
        <w:jc w:val="both"/>
      </w:pPr>
      <w:r>
        <w:rPr>
          <w:rStyle w:val="FootnoteReference"/>
        </w:rPr>
        <w:footnoteRef/>
      </w:r>
      <w:r>
        <w:t xml:space="preserve"> </w:t>
      </w:r>
      <w:r w:rsidRPr="00034992">
        <w:t>Roberts</w:t>
      </w:r>
      <w:r>
        <w:t xml:space="preserve"> P</w:t>
      </w:r>
      <w:r w:rsidRPr="00034992">
        <w:t xml:space="preserve"> </w:t>
      </w:r>
      <w:r>
        <w:t xml:space="preserve">and </w:t>
      </w:r>
      <w:r w:rsidRPr="00034992">
        <w:t>Zuckerman</w:t>
      </w:r>
      <w:r>
        <w:t xml:space="preserve"> A, </w:t>
      </w:r>
      <w:r w:rsidRPr="00F40B16">
        <w:rPr>
          <w:i/>
        </w:rPr>
        <w:t>Criminal Evidence</w:t>
      </w:r>
      <w:r w:rsidRPr="00F40B16">
        <w:t xml:space="preserve"> (2nd edn</w:t>
      </w:r>
      <w:r>
        <w:t>,</w:t>
      </w:r>
      <w:r w:rsidRPr="00F40B16">
        <w:t xml:space="preserve"> OUP 2010)</w:t>
      </w:r>
      <w:r>
        <w:t xml:space="preserve"> 109, </w:t>
      </w:r>
      <w:r w:rsidRPr="00034992">
        <w:t>115-125</w:t>
      </w:r>
      <w:r>
        <w:t>, 581.</w:t>
      </w:r>
    </w:p>
  </w:footnote>
  <w:footnote w:id="63">
    <w:p w14:paraId="6F4EBE2D" w14:textId="39F09645" w:rsidR="0052684C" w:rsidRDefault="0052684C" w:rsidP="005673FC">
      <w:pPr>
        <w:pStyle w:val="FootnoteText"/>
        <w:jc w:val="both"/>
      </w:pPr>
      <w:r>
        <w:rPr>
          <w:rStyle w:val="FootnoteReference"/>
        </w:rPr>
        <w:footnoteRef/>
      </w:r>
      <w:r>
        <w:t xml:space="preserve"> Youth Justice and Criminal Evidence Act 1999, s 4: ‘Restriction on evidence or questions about complainant’s sexual history. (1)  If at a trial a person is charged with a sexual offence, then, except with the leave of the court—(a)  no evidence may be adduced, and (b)  no question may be asked in cross-examination, by or on behalf of any accused at the trial, about any sexual behaviour of the complainant’.</w:t>
      </w:r>
    </w:p>
  </w:footnote>
  <w:footnote w:id="64">
    <w:p w14:paraId="34ECCC22" w14:textId="46CE7F7B" w:rsidR="0052684C" w:rsidRDefault="0052684C" w:rsidP="005673FC">
      <w:pPr>
        <w:pStyle w:val="FootnoteText"/>
        <w:jc w:val="both"/>
      </w:pPr>
      <w:r>
        <w:rPr>
          <w:rStyle w:val="FootnoteReference"/>
        </w:rPr>
        <w:footnoteRef/>
      </w:r>
      <w:r>
        <w:t xml:space="preserve"> But see s 278 of the Canadian Criminal Code (CCC) regulating disclosure of personal records in sexual offence trials. In s 278, a ‘record’ is defined as ‘any form of record that contains personal information for which there is a reasonable expectation of privacy’.</w:t>
      </w:r>
    </w:p>
  </w:footnote>
  <w:footnote w:id="65">
    <w:p w14:paraId="7B5FFE14" w14:textId="7826F62A" w:rsidR="0052684C" w:rsidRDefault="0052684C" w:rsidP="005673FC">
      <w:pPr>
        <w:pStyle w:val="FootnoteText"/>
        <w:jc w:val="both"/>
      </w:pPr>
      <w:r>
        <w:rPr>
          <w:rStyle w:val="FootnoteReference"/>
        </w:rPr>
        <w:footnoteRef/>
      </w:r>
      <w:r>
        <w:t xml:space="preserve"> </w:t>
      </w:r>
      <w:r w:rsidRPr="004B0AB0">
        <w:t xml:space="preserve">Ramage S, ‘Case Comment: R. v Kular (Rosdeep Adekoya)’ (HCJ </w:t>
      </w:r>
      <w:r>
        <w:t>25 August 2014) (2014) Crim Law 2.</w:t>
      </w:r>
      <w:r w:rsidRPr="004B0AB0">
        <w:t xml:space="preserve"> Rosdeep Kular was convicted for the culpable homicide of her young son following the identification of internet searches suggesting motive. She had typed into search engines, ‘Why am I so aggressive to my son?’, and </w:t>
      </w:r>
      <w:r>
        <w:t>‘I find it hard to love my son’. See also</w:t>
      </w:r>
      <w:r w:rsidRPr="004B0AB0">
        <w:t xml:space="preserve"> Brooks L, ‘Rosdeep Adekoya jailed for 11 years for killing her son Mikaeel Kular’</w:t>
      </w:r>
      <w:r>
        <w:t>,</w:t>
      </w:r>
      <w:r w:rsidRPr="004B0AB0">
        <w:t xml:space="preserve"> </w:t>
      </w:r>
      <w:r w:rsidRPr="00770982">
        <w:rPr>
          <w:i/>
        </w:rPr>
        <w:t>The Guardian</w:t>
      </w:r>
      <w:r>
        <w:t xml:space="preserve"> (London, 25 August 2014) </w:t>
      </w:r>
      <w:hyperlink r:id="rId6" w:history="1">
        <w:r w:rsidRPr="00480369">
          <w:rPr>
            <w:rStyle w:val="Hyperlink"/>
          </w:rPr>
          <w:t>http://www.theguardian.com/uk-news/2014/aug/25/rosdeep-adekoya-jailed-11-years-killing-son-mikaeel-kular</w:t>
        </w:r>
      </w:hyperlink>
      <w:r>
        <w:t xml:space="preserve">  (</w:t>
      </w:r>
      <w:r w:rsidRPr="004B0AB0">
        <w:t>accessed 4 November 2014</w:t>
      </w:r>
      <w:r>
        <w:t>)</w:t>
      </w:r>
      <w:r w:rsidRPr="004B0AB0">
        <w:t>.</w:t>
      </w:r>
    </w:p>
  </w:footnote>
  <w:footnote w:id="66">
    <w:p w14:paraId="7881416F" w14:textId="1B44EA2D" w:rsidR="0052684C" w:rsidRDefault="0052684C" w:rsidP="005673FC">
      <w:pPr>
        <w:pStyle w:val="FootnoteText"/>
        <w:jc w:val="both"/>
      </w:pPr>
      <w:r>
        <w:rPr>
          <w:rStyle w:val="FootnoteReference"/>
        </w:rPr>
        <w:footnoteRef/>
      </w:r>
      <w:r>
        <w:t xml:space="preserve"> Owen Bowcott, ‘Victims’ C</w:t>
      </w:r>
      <w:r w:rsidRPr="00123AF5">
        <w:t>ommissioner sparks row over rape case phone searches</w:t>
      </w:r>
      <w:r>
        <w:t xml:space="preserve">’, </w:t>
      </w:r>
      <w:r w:rsidRPr="00770982">
        <w:rPr>
          <w:i/>
        </w:rPr>
        <w:t>The Guardian</w:t>
      </w:r>
      <w:r>
        <w:t xml:space="preserve"> (London, 24 July 2019) </w:t>
      </w:r>
      <w:hyperlink r:id="rId7" w:history="1">
        <w:r w:rsidRPr="006C634E">
          <w:rPr>
            <w:rStyle w:val="Hyperlink"/>
          </w:rPr>
          <w:t>https://www.theguardian.com/society/2019/jul/24/dame-vera-baird-sparks-row-over-case-police-phone-searches?CMP=Share_iOSApp_Other</w:t>
        </w:r>
      </w:hyperlink>
      <w:r>
        <w:t xml:space="preserve"> (accessed 25 July 2019);</w:t>
      </w:r>
      <w:r w:rsidRPr="00EB0DF3">
        <w:t xml:space="preserve"> </w:t>
      </w:r>
      <w:r>
        <w:t xml:space="preserve">Opinion, ‘My sexual assault case was dropped because I wouldn’t hand over my phone’, </w:t>
      </w:r>
      <w:r w:rsidRPr="00770982">
        <w:rPr>
          <w:i/>
        </w:rPr>
        <w:t>The Guardian</w:t>
      </w:r>
      <w:r>
        <w:t xml:space="preserve"> (London, 31 July 2019) </w:t>
      </w:r>
      <w:hyperlink r:id="rId8" w:history="1">
        <w:r w:rsidRPr="006C634E">
          <w:rPr>
            <w:rStyle w:val="Hyperlink"/>
          </w:rPr>
          <w:t>https://www.theguardian.com/commentisfree/2019/jul/31/sexual-assault-case-dropped-phone-traumatic?CMP=Share_iOSApp_Other</w:t>
        </w:r>
      </w:hyperlink>
      <w:r>
        <w:t xml:space="preserve"> (accessed 31 July 2019). </w:t>
      </w:r>
    </w:p>
  </w:footnote>
  <w:footnote w:id="67">
    <w:p w14:paraId="554735CA" w14:textId="5E72D469" w:rsidR="0052684C" w:rsidRPr="002A3E63" w:rsidRDefault="0052684C" w:rsidP="005673FC">
      <w:pPr>
        <w:pStyle w:val="FootnoteText"/>
        <w:jc w:val="both"/>
      </w:pPr>
      <w:r w:rsidRPr="002A3E63">
        <w:rPr>
          <w:rStyle w:val="FootnoteReference"/>
        </w:rPr>
        <w:footnoteRef/>
      </w:r>
      <w:r>
        <w:t xml:space="preserve"> O’</w:t>
      </w:r>
      <w:r w:rsidRPr="002A3E63">
        <w:t>Floinn M and Ormerod D, ‘The Use of Social Networking Sites In Criminal Investigations’ (2011) 10 Crim LR 766</w:t>
      </w:r>
      <w:r>
        <w:t>,</w:t>
      </w:r>
      <w:r w:rsidRPr="002A3E63">
        <w:t xml:space="preserve"> citing (</w:t>
      </w:r>
      <w:r>
        <w:t xml:space="preserve">at </w:t>
      </w:r>
      <w:r w:rsidRPr="002A3E63">
        <w:t>n 10) Warren G, ‘Interactive Online Services, Social Networking Sites and the Protection of Children</w:t>
      </w:r>
      <w:r>
        <w:t>’</w:t>
      </w:r>
      <w:r w:rsidRPr="002A3E63">
        <w:t xml:space="preserve"> (2008) Ent L R</w:t>
      </w:r>
      <w:r>
        <w:t>ev</w:t>
      </w:r>
      <w:r w:rsidRPr="002A3E63">
        <w:t xml:space="preserve"> 165</w:t>
      </w:r>
      <w:r>
        <w:t>, referring to evidence</w:t>
      </w:r>
      <w:r w:rsidRPr="002A3E63">
        <w:t xml:space="preserve"> ‘such as search, email, messaging, chat, blogs, gaming, discussion forums, VoIP [Voi</w:t>
      </w:r>
      <w:r>
        <w:t>ce over Internet Protocol e.g. S</w:t>
      </w:r>
      <w:r w:rsidRPr="002A3E63">
        <w:t>kype], photos, music and videos</w:t>
      </w:r>
      <w:r>
        <w:t>’</w:t>
      </w:r>
      <w:r w:rsidRPr="002A3E63">
        <w:t>.</w:t>
      </w:r>
    </w:p>
  </w:footnote>
  <w:footnote w:id="68">
    <w:p w14:paraId="2CA33B47" w14:textId="2256A0BB" w:rsidR="0052684C" w:rsidRDefault="0052684C" w:rsidP="005673FC">
      <w:pPr>
        <w:pStyle w:val="FootnoteText"/>
        <w:jc w:val="both"/>
      </w:pPr>
      <w:r>
        <w:rPr>
          <w:rStyle w:val="FootnoteReference"/>
        </w:rPr>
        <w:footnoteRef/>
      </w:r>
      <w:r>
        <w:t xml:space="preserve"> Owen Bowcott, ‘</w:t>
      </w:r>
      <w:r w:rsidRPr="00980F7D">
        <w:t>Police demands for access to rape victims</w:t>
      </w:r>
      <w:r>
        <w:t>’ phones “</w:t>
      </w:r>
      <w:r w:rsidRPr="00980F7D">
        <w:t>unlawful</w:t>
      </w:r>
      <w:r>
        <w:t xml:space="preserve">”’, </w:t>
      </w:r>
      <w:r w:rsidRPr="00770982">
        <w:rPr>
          <w:i/>
        </w:rPr>
        <w:t>The Guardian</w:t>
      </w:r>
      <w:r>
        <w:t xml:space="preserve"> (London, 23 July 2019) </w:t>
      </w:r>
      <w:hyperlink r:id="rId9" w:history="1">
        <w:r>
          <w:rPr>
            <w:rStyle w:val="Hyperlink"/>
          </w:rPr>
          <w:t>https://www.theguardian.com/law/2019/jul/23/police-demands-for-access-to-victims-phones-unlawful</w:t>
        </w:r>
      </w:hyperlink>
      <w:r>
        <w:t xml:space="preserve"> (accessed 25 July 2019). </w:t>
      </w:r>
    </w:p>
  </w:footnote>
  <w:footnote w:id="69">
    <w:p w14:paraId="03BC7337" w14:textId="4D0FE597" w:rsidR="0052684C" w:rsidRDefault="0052684C" w:rsidP="005673FC">
      <w:pPr>
        <w:pStyle w:val="FootnoteText"/>
        <w:jc w:val="both"/>
      </w:pPr>
      <w:r>
        <w:rPr>
          <w:rStyle w:val="FootnoteReference"/>
        </w:rPr>
        <w:footnoteRef/>
      </w:r>
      <w:r>
        <w:t xml:space="preserve"> For example: dress, demeanour and failure to immediately report the assault.  </w:t>
      </w:r>
    </w:p>
  </w:footnote>
  <w:footnote w:id="70">
    <w:p w14:paraId="648224E3" w14:textId="75CF30B7" w:rsidR="0052684C" w:rsidRPr="002A3E63" w:rsidRDefault="0052684C" w:rsidP="005673FC">
      <w:pPr>
        <w:pStyle w:val="FootnoteText"/>
        <w:jc w:val="both"/>
      </w:pPr>
      <w:r w:rsidRPr="002A3E63">
        <w:rPr>
          <w:rStyle w:val="FootnoteReference"/>
        </w:rPr>
        <w:footnoteRef/>
      </w:r>
      <w:r w:rsidRPr="002A3E63">
        <w:t xml:space="preserve"> Easton </w:t>
      </w:r>
      <w:r>
        <w:t>(n 34)</w:t>
      </w:r>
      <w:r w:rsidRPr="002A3E63">
        <w:t xml:space="preserve">; </w:t>
      </w:r>
      <w:r w:rsidRPr="002A3E63">
        <w:rPr>
          <w:i/>
        </w:rPr>
        <w:t xml:space="preserve">R v Seaboyer </w:t>
      </w:r>
      <w:r w:rsidRPr="002A3E63">
        <w:t>(1991) 83 DLR (4th) 193.</w:t>
      </w:r>
    </w:p>
  </w:footnote>
  <w:footnote w:id="71">
    <w:p w14:paraId="6FCDFF1D" w14:textId="107C4C6E" w:rsidR="0052684C" w:rsidRPr="002A3E63" w:rsidRDefault="0052684C" w:rsidP="005673FC">
      <w:pPr>
        <w:pStyle w:val="FootnoteText"/>
        <w:jc w:val="both"/>
      </w:pPr>
      <w:r w:rsidRPr="002A3E63">
        <w:rPr>
          <w:rStyle w:val="FootnoteReference"/>
        </w:rPr>
        <w:footnoteRef/>
      </w:r>
      <w:r w:rsidRPr="002A3E63">
        <w:t xml:space="preserve"> </w:t>
      </w:r>
      <w:r w:rsidRPr="002A3E63">
        <w:rPr>
          <w:i/>
        </w:rPr>
        <w:t>R v D</w:t>
      </w:r>
      <w:r w:rsidRPr="002A3E63">
        <w:t xml:space="preserve"> [2008] EWCA Crim 2557, Times, </w:t>
      </w:r>
      <w:r>
        <w:t>26 November 2008</w:t>
      </w:r>
      <w:r w:rsidRPr="002A3E63">
        <w:t>.</w:t>
      </w:r>
    </w:p>
  </w:footnote>
  <w:footnote w:id="72">
    <w:p w14:paraId="4CC0F5E5" w14:textId="00E022BC" w:rsidR="0052684C" w:rsidRPr="002A3E63" w:rsidRDefault="0052684C" w:rsidP="005673FC">
      <w:pPr>
        <w:pStyle w:val="FootnoteText"/>
        <w:jc w:val="both"/>
      </w:pPr>
      <w:r w:rsidRPr="002A3E63">
        <w:rPr>
          <w:rStyle w:val="FootnoteReference"/>
        </w:rPr>
        <w:footnoteRef/>
      </w:r>
      <w:r w:rsidRPr="002A3E63">
        <w:t xml:space="preserve"> </w:t>
      </w:r>
      <w:r w:rsidRPr="002A3E63">
        <w:rPr>
          <w:i/>
        </w:rPr>
        <w:t>H</w:t>
      </w:r>
      <w:r w:rsidRPr="002A3E63">
        <w:t xml:space="preserve"> [1997] 1 Cr App R 176, 177-178 per Sedley J</w:t>
      </w:r>
      <w:r>
        <w:t>:</w:t>
      </w:r>
      <w:r w:rsidRPr="002A3E63">
        <w:t xml:space="preserve"> ‘It has become standard pract</w:t>
      </w:r>
      <w:r>
        <w:t>ice for defence lawyers in rape…</w:t>
      </w:r>
      <w:r w:rsidRPr="002A3E63">
        <w:t xml:space="preserve">cases to seek to compel the production of any social services, education, psychiatric, medical or similar records concerning the complainant, in the hope that these will furnish material for cross-examination’. See also concerns raised </w:t>
      </w:r>
      <w:r w:rsidRPr="002A3E63">
        <w:rPr>
          <w:i/>
        </w:rPr>
        <w:t>in M v Director of Legal Aid Casework</w:t>
      </w:r>
      <w:r w:rsidRPr="002A3E63">
        <w:t xml:space="preserve"> [2014] EWHC 1354 (Admin), [2014] ACD 124. </w:t>
      </w:r>
    </w:p>
  </w:footnote>
  <w:footnote w:id="73">
    <w:p w14:paraId="21A61D7F" w14:textId="3362E551" w:rsidR="0052684C" w:rsidRPr="002A3E63" w:rsidRDefault="0052684C" w:rsidP="005673FC">
      <w:pPr>
        <w:pStyle w:val="FootnoteText"/>
        <w:jc w:val="both"/>
      </w:pPr>
      <w:r w:rsidRPr="002A3E63">
        <w:rPr>
          <w:rStyle w:val="FootnoteReference"/>
        </w:rPr>
        <w:footnoteRef/>
      </w:r>
      <w:r w:rsidRPr="002A3E63">
        <w:t xml:space="preserve"> Childs and Ellison (n </w:t>
      </w:r>
      <w:r>
        <w:t>33</w:t>
      </w:r>
      <w:r w:rsidRPr="002A3E63">
        <w:t>) 211, 213, 219.</w:t>
      </w:r>
    </w:p>
  </w:footnote>
  <w:footnote w:id="74">
    <w:p w14:paraId="7CC659AA" w14:textId="22F604BC" w:rsidR="0052684C" w:rsidRPr="002A3E63" w:rsidRDefault="0052684C" w:rsidP="005673FC">
      <w:pPr>
        <w:pStyle w:val="FootnoteText"/>
        <w:jc w:val="both"/>
      </w:pPr>
      <w:r w:rsidRPr="002A3E63">
        <w:rPr>
          <w:rStyle w:val="FootnoteReference"/>
        </w:rPr>
        <w:footnoteRef/>
      </w:r>
      <w:r w:rsidRPr="002A3E63">
        <w:t xml:space="preserve"> </w:t>
      </w:r>
      <w:r>
        <w:t>Ibid</w:t>
      </w:r>
      <w:r w:rsidRPr="002A3E63">
        <w:t xml:space="preserve"> 11</w:t>
      </w:r>
      <w:r>
        <w:t>,</w:t>
      </w:r>
      <w:r w:rsidRPr="002A3E63">
        <w:t xml:space="preserve"> citing </w:t>
      </w:r>
      <w:r>
        <w:t>(</w:t>
      </w:r>
      <w:r w:rsidRPr="002A3E63">
        <w:t>at n 34</w:t>
      </w:r>
      <w:r>
        <w:t>)</w:t>
      </w:r>
      <w:r w:rsidRPr="002A3E63">
        <w:t xml:space="preserve"> Adler Z, ‘The Relevance</w:t>
      </w:r>
      <w:r>
        <w:t xml:space="preserve"> of Sexual History Evidence in R</w:t>
      </w:r>
      <w:r w:rsidRPr="002A3E63">
        <w:t xml:space="preserve">ape: Problems of Subjective Interpretation’ [1985] Crim LR 769; McColgan A, </w:t>
      </w:r>
      <w:r>
        <w:t>‘</w:t>
      </w:r>
      <w:r w:rsidRPr="002A3E63">
        <w:t>Common Law and the Relevance of Sexual History Evidence’ [1996] OJLS 275.</w:t>
      </w:r>
    </w:p>
  </w:footnote>
  <w:footnote w:id="75">
    <w:p w14:paraId="606AC85D" w14:textId="639B76F0" w:rsidR="0052684C" w:rsidRPr="002A3E63" w:rsidRDefault="0052684C" w:rsidP="005673FC">
      <w:pPr>
        <w:pStyle w:val="FootnoteText"/>
        <w:jc w:val="both"/>
      </w:pPr>
      <w:r w:rsidRPr="002A3E63">
        <w:rPr>
          <w:rStyle w:val="FootnoteReference"/>
        </w:rPr>
        <w:footnoteRef/>
      </w:r>
      <w:r w:rsidRPr="002A3E63">
        <w:t xml:space="preserve"> </w:t>
      </w:r>
      <w:r>
        <w:t xml:space="preserve">Ellison </w:t>
      </w:r>
      <w:r w:rsidRPr="00AD2848">
        <w:t>and McGlyn</w:t>
      </w:r>
      <w:r>
        <w:t>n (n 34)</w:t>
      </w:r>
      <w:r w:rsidRPr="002A3E63">
        <w:t xml:space="preserve"> 205, 206-</w:t>
      </w:r>
      <w:r>
        <w:t>20</w:t>
      </w:r>
      <w:r w:rsidRPr="002A3E63">
        <w:t>7</w:t>
      </w:r>
      <w:r>
        <w:t>,</w:t>
      </w:r>
      <w:r w:rsidRPr="002A3E63">
        <w:t xml:space="preserve"> citing </w:t>
      </w:r>
      <w:r>
        <w:t>(</w:t>
      </w:r>
      <w:r w:rsidRPr="002A3E63">
        <w:t>at n 7</w:t>
      </w:r>
      <w:r>
        <w:t>)</w:t>
      </w:r>
      <w:r w:rsidRPr="002A3E63">
        <w:t xml:space="preserve"> Kinports K, ‘Evidence Engendered’ (1991) 2 </w:t>
      </w:r>
      <w:r>
        <w:t>U Illinois L Rev</w:t>
      </w:r>
      <w:r w:rsidRPr="002A3E63">
        <w:t xml:space="preserve"> 413, 431. </w:t>
      </w:r>
    </w:p>
  </w:footnote>
  <w:footnote w:id="76">
    <w:p w14:paraId="7B95907E" w14:textId="35110ED4" w:rsidR="0052684C" w:rsidRPr="002A3E63" w:rsidRDefault="0052684C" w:rsidP="005673FC">
      <w:pPr>
        <w:pStyle w:val="FootnoteText"/>
        <w:jc w:val="both"/>
      </w:pPr>
      <w:r w:rsidRPr="002A3E63">
        <w:rPr>
          <w:rStyle w:val="FootnoteReference"/>
        </w:rPr>
        <w:footnoteRef/>
      </w:r>
      <w:r w:rsidRPr="002A3E63">
        <w:t xml:space="preserve"> </w:t>
      </w:r>
      <w:r>
        <w:t>Ibid</w:t>
      </w:r>
      <w:r w:rsidRPr="002A3E63">
        <w:t>.</w:t>
      </w:r>
    </w:p>
  </w:footnote>
  <w:footnote w:id="77">
    <w:p w14:paraId="1C529C19" w14:textId="77777777" w:rsidR="0052684C" w:rsidRDefault="0052684C" w:rsidP="005673FC">
      <w:pPr>
        <w:pStyle w:val="FootnoteText"/>
        <w:jc w:val="both"/>
      </w:pPr>
      <w:r>
        <w:rPr>
          <w:rStyle w:val="FootnoteReference"/>
        </w:rPr>
        <w:footnoteRef/>
      </w:r>
      <w:r>
        <w:t xml:space="preserve"> </w:t>
      </w:r>
      <w:r w:rsidRPr="002A3E63">
        <w:t>Temkin and Krahé</w:t>
      </w:r>
      <w:r>
        <w:t xml:space="preserve"> (n 36)</w:t>
      </w:r>
      <w:r w:rsidRPr="002A3E63">
        <w:t xml:space="preserve"> 165</w:t>
      </w:r>
      <w:r>
        <w:t xml:space="preserve">, 172-175. </w:t>
      </w:r>
      <w:r w:rsidRPr="002A3E63">
        <w:t xml:space="preserve"> </w:t>
      </w:r>
    </w:p>
  </w:footnote>
  <w:footnote w:id="78">
    <w:p w14:paraId="7E3137F2" w14:textId="3E925117" w:rsidR="0052684C" w:rsidRDefault="0052684C" w:rsidP="005673FC">
      <w:pPr>
        <w:pStyle w:val="FootnoteText"/>
        <w:jc w:val="both"/>
      </w:pPr>
      <w:r>
        <w:rPr>
          <w:rStyle w:val="FootnoteReference"/>
        </w:rPr>
        <w:footnoteRef/>
      </w:r>
      <w:r>
        <w:t xml:space="preserve"> Oxford Dictionaries, </w:t>
      </w:r>
      <w:hyperlink r:id="rId10" w:history="1">
        <w:r w:rsidRPr="00054B51">
          <w:rPr>
            <w:rStyle w:val="Hyperlink"/>
          </w:rPr>
          <w:t>http://www.oxforddictionaries.com/definition/english/myth</w:t>
        </w:r>
      </w:hyperlink>
      <w:r>
        <w:t xml:space="preserve"> (</w:t>
      </w:r>
      <w:r w:rsidRPr="0017642D">
        <w:t>accessed 19 May 2016</w:t>
      </w:r>
      <w:r>
        <w:t>)</w:t>
      </w:r>
      <w:r w:rsidRPr="0017642D">
        <w:t>.</w:t>
      </w:r>
    </w:p>
  </w:footnote>
  <w:footnote w:id="79">
    <w:p w14:paraId="30484C37" w14:textId="2B5C6F0D" w:rsidR="0052684C" w:rsidRPr="002A3E63" w:rsidRDefault="0052684C" w:rsidP="005673FC">
      <w:pPr>
        <w:pStyle w:val="FootnoteText"/>
        <w:jc w:val="both"/>
      </w:pPr>
      <w:r w:rsidRPr="002A3E63">
        <w:rPr>
          <w:rStyle w:val="FootnoteReference"/>
        </w:rPr>
        <w:footnoteRef/>
      </w:r>
      <w:r w:rsidRPr="002A3E63">
        <w:t xml:space="preserve"> Burt MR, ‘Cultural Myths and Supports of Rape’ (1980) 38 J Pers Soc Psychol 217; Burt MR, ‘Rape Myths and Acquaintance Rape’ in </w:t>
      </w:r>
      <w:r>
        <w:t>A Parrot</w:t>
      </w:r>
      <w:r w:rsidRPr="002A3E63">
        <w:t xml:space="preserve"> and </w:t>
      </w:r>
      <w:r>
        <w:t>L Bechhofer</w:t>
      </w:r>
      <w:r w:rsidRPr="002A3E63">
        <w:t xml:space="preserve"> (eds) </w:t>
      </w:r>
      <w:r w:rsidRPr="001E59F5">
        <w:rPr>
          <w:i/>
        </w:rPr>
        <w:t>Acquaintance Rape: The Hidden Crime</w:t>
      </w:r>
      <w:r w:rsidRPr="002A3E63">
        <w:t xml:space="preserve"> (Wiley 1991); Costin F, ‘Beliefs about Rape and Women’s Social Roles’ (1985) 14 Arch Sex Behav 319; Lonsway KA and Fitzgerald LF</w:t>
      </w:r>
      <w:r>
        <w:t>,</w:t>
      </w:r>
      <w:r w:rsidRPr="002A3E63">
        <w:t xml:space="preserve"> ‘Rape Myths: In Review’ (1994) 18 Psychol Women 133; Gerger H, Kley H, Bohner G and Siebler F, ‘The Acceptance of Modern Myths about Sexual Aggression Scale: Development and Vali</w:t>
      </w:r>
      <w:r>
        <w:t>dations in German and English’ (2007) 33 Aggressive Behav</w:t>
      </w:r>
      <w:r w:rsidRPr="002A3E63">
        <w:t xml:space="preserve"> 422.</w:t>
      </w:r>
    </w:p>
  </w:footnote>
  <w:footnote w:id="80">
    <w:p w14:paraId="273B8B01" w14:textId="4AC9869B" w:rsidR="0052684C" w:rsidRPr="002A3E63" w:rsidRDefault="0052684C" w:rsidP="005673FC">
      <w:pPr>
        <w:pStyle w:val="FootnoteText"/>
        <w:jc w:val="both"/>
      </w:pPr>
      <w:r w:rsidRPr="002A3E63">
        <w:rPr>
          <w:rStyle w:val="FootnoteReference"/>
        </w:rPr>
        <w:footnoteRef/>
      </w:r>
      <w:r w:rsidRPr="002A3E63">
        <w:t xml:space="preserve"> Gerger et al</w:t>
      </w:r>
      <w:r>
        <w:t>., ibid.</w:t>
      </w:r>
    </w:p>
  </w:footnote>
  <w:footnote w:id="81">
    <w:p w14:paraId="5445D3D6" w14:textId="703C47B5" w:rsidR="0052684C" w:rsidRPr="002A3E63" w:rsidRDefault="0052684C" w:rsidP="005673FC">
      <w:pPr>
        <w:pStyle w:val="FootnoteText"/>
        <w:jc w:val="both"/>
      </w:pPr>
      <w:r w:rsidRPr="002A3E63">
        <w:rPr>
          <w:rStyle w:val="FootnoteReference"/>
        </w:rPr>
        <w:footnoteRef/>
      </w:r>
      <w:r w:rsidRPr="002A3E63">
        <w:t xml:space="preserve"> </w:t>
      </w:r>
      <w:r>
        <w:t>Reece H, ‘</w:t>
      </w:r>
      <w:r w:rsidRPr="006242CC">
        <w:t>Rape Myths: Is Elite Opinion Right and Popular Opinion Wrong?</w:t>
      </w:r>
      <w:r>
        <w:t>’ (2013) 33(3)</w:t>
      </w:r>
      <w:r w:rsidRPr="006242CC">
        <w:t xml:space="preserve"> </w:t>
      </w:r>
      <w:r>
        <w:t xml:space="preserve">OJLS </w:t>
      </w:r>
      <w:r w:rsidRPr="006242CC">
        <w:t>445</w:t>
      </w:r>
      <w:r w:rsidRPr="002A3E63">
        <w:t>.</w:t>
      </w:r>
    </w:p>
  </w:footnote>
  <w:footnote w:id="82">
    <w:p w14:paraId="6D5707F0" w14:textId="1ADF36BE" w:rsidR="0052684C" w:rsidRPr="002A3E63" w:rsidRDefault="0052684C" w:rsidP="005673FC">
      <w:pPr>
        <w:pStyle w:val="FootnoteText"/>
        <w:jc w:val="both"/>
      </w:pPr>
      <w:r w:rsidRPr="002A3E63">
        <w:rPr>
          <w:rStyle w:val="FootnoteReference"/>
        </w:rPr>
        <w:footnoteRef/>
      </w:r>
      <w:r w:rsidRPr="002A3E63">
        <w:t xml:space="preserve"> Burt ‘Cultural Myths’ (n </w:t>
      </w:r>
      <w:r>
        <w:t>78</w:t>
      </w:r>
      <w:r w:rsidRPr="002A3E63">
        <w:t>).</w:t>
      </w:r>
    </w:p>
  </w:footnote>
  <w:footnote w:id="83">
    <w:p w14:paraId="02DD22E9" w14:textId="7586FE04" w:rsidR="0052684C" w:rsidRDefault="0052684C" w:rsidP="005673FC">
      <w:pPr>
        <w:pStyle w:val="FootnoteText"/>
        <w:jc w:val="both"/>
      </w:pPr>
      <w:r>
        <w:rPr>
          <w:rStyle w:val="FootnoteReference"/>
        </w:rPr>
        <w:footnoteRef/>
      </w:r>
      <w:r>
        <w:t xml:space="preserve"> Ibid.</w:t>
      </w:r>
    </w:p>
  </w:footnote>
  <w:footnote w:id="84">
    <w:p w14:paraId="7890F2DF" w14:textId="6BEDF615" w:rsidR="0052684C" w:rsidRDefault="0052684C" w:rsidP="005673FC">
      <w:pPr>
        <w:pStyle w:val="FootnoteText"/>
        <w:jc w:val="both"/>
      </w:pPr>
      <w:r>
        <w:rPr>
          <w:rStyle w:val="FootnoteReference"/>
        </w:rPr>
        <w:footnoteRef/>
      </w:r>
      <w:r>
        <w:t xml:space="preserve"> See in particular </w:t>
      </w:r>
      <w:r w:rsidRPr="008036F1">
        <w:t xml:space="preserve">Lonsway </w:t>
      </w:r>
      <w:r>
        <w:t xml:space="preserve">and Fitzgerald (n 78); </w:t>
      </w:r>
      <w:r w:rsidRPr="008036F1">
        <w:t xml:space="preserve">Gerger </w:t>
      </w:r>
      <w:r>
        <w:t>et al. (n 78); for example: ‘</w:t>
      </w:r>
      <w:r w:rsidRPr="007155B9">
        <w:t>Women often make up rape accusations as a way of getting back at men</w:t>
      </w:r>
      <w:r>
        <w:t>’</w:t>
      </w:r>
      <w:r w:rsidRPr="007155B9">
        <w:t xml:space="preserve">; </w:t>
      </w:r>
      <w:r>
        <w:t>‘</w:t>
      </w:r>
      <w:r w:rsidRPr="007155B9">
        <w:t>women cry ra</w:t>
      </w:r>
      <w:r>
        <w:t>pe only when they’</w:t>
      </w:r>
      <w:r w:rsidRPr="007155B9">
        <w:t>ve been jilted or have something to cover up</w:t>
      </w:r>
      <w:r>
        <w:t>’</w:t>
      </w:r>
      <w:r w:rsidRPr="007155B9">
        <w:t xml:space="preserve">; </w:t>
      </w:r>
      <w:r>
        <w:t>‘</w:t>
      </w:r>
      <w:r w:rsidRPr="007155B9">
        <w:t>a woman who initiates a sexual encounter will probably have sex with anybody</w:t>
      </w:r>
      <w:r>
        <w:t>’</w:t>
      </w:r>
      <w:r w:rsidRPr="007155B9">
        <w:t xml:space="preserve">; </w:t>
      </w:r>
      <w:r>
        <w:t>‘</w:t>
      </w:r>
      <w:r w:rsidRPr="007155B9">
        <w:t>a woman shouldn't give in sexually to a man too easily or he'll think she's loose</w:t>
      </w:r>
      <w:r>
        <w:t>’</w:t>
      </w:r>
      <w:r w:rsidRPr="007155B9">
        <w:t xml:space="preserve">; </w:t>
      </w:r>
      <w:r>
        <w:t>‘</w:t>
      </w:r>
      <w:r w:rsidRPr="007155B9">
        <w:t>men have a biologically stronger sex drive than women</w:t>
      </w:r>
      <w:r>
        <w:t>’</w:t>
      </w:r>
      <w:r w:rsidRPr="007155B9">
        <w:t xml:space="preserve">; </w:t>
      </w:r>
      <w:r>
        <w:t>‘</w:t>
      </w:r>
      <w:r w:rsidRPr="007155B9">
        <w:t>a woman who goes to the home or apartment of a man on their first date implies that she is willing to have sex</w:t>
      </w:r>
      <w:r>
        <w:t>’</w:t>
      </w:r>
      <w:r w:rsidRPr="007155B9">
        <w:t xml:space="preserve">; </w:t>
      </w:r>
      <w:r>
        <w:t>‘</w:t>
      </w:r>
      <w:r w:rsidRPr="007155B9">
        <w:t>it isn’t a rape unless he has a weapon</w:t>
      </w:r>
      <w:r>
        <w:t>’</w:t>
      </w:r>
      <w:r w:rsidRPr="007155B9">
        <w:t xml:space="preserve">; </w:t>
      </w:r>
      <w:r>
        <w:t>‘</w:t>
      </w:r>
      <w:r w:rsidRPr="007155B9">
        <w:t>one reason that women falsely report a rape is that they frequently have a need to call attention to themselves</w:t>
      </w:r>
      <w:r>
        <w:t>’</w:t>
      </w:r>
      <w:r w:rsidRPr="007155B9">
        <w:t xml:space="preserve">; </w:t>
      </w:r>
      <w:r>
        <w:t>‘</w:t>
      </w:r>
      <w:r w:rsidRPr="007155B9">
        <w:t>women often provoke rape through their appearance or behaviour</w:t>
      </w:r>
      <w:r>
        <w:t>’</w:t>
      </w:r>
      <w:r w:rsidRPr="007155B9">
        <w:t xml:space="preserve">; </w:t>
      </w:r>
      <w:r>
        <w:t>‘</w:t>
      </w:r>
      <w:r w:rsidRPr="007155B9">
        <w:t>men often can’t control their sexual urges</w:t>
      </w:r>
      <w:r>
        <w:t>’</w:t>
      </w:r>
      <w:r w:rsidRPr="007155B9">
        <w:t>.</w:t>
      </w:r>
    </w:p>
  </w:footnote>
  <w:footnote w:id="85">
    <w:p w14:paraId="19B662F3" w14:textId="6D1B3704" w:rsidR="0052684C" w:rsidRDefault="0052684C" w:rsidP="005673FC">
      <w:pPr>
        <w:pStyle w:val="FootnoteText"/>
        <w:jc w:val="both"/>
      </w:pPr>
      <w:r>
        <w:rPr>
          <w:rStyle w:val="FootnoteReference"/>
        </w:rPr>
        <w:footnoteRef/>
      </w:r>
      <w:r>
        <w:t xml:space="preserve"> Burt, ‘Cultural Myths’ (n 78) 229.</w:t>
      </w:r>
    </w:p>
  </w:footnote>
  <w:footnote w:id="86">
    <w:p w14:paraId="3AA2BB5F" w14:textId="51CAFA1B" w:rsidR="0052684C" w:rsidRDefault="0052684C" w:rsidP="005673FC">
      <w:pPr>
        <w:pStyle w:val="FootnoteText"/>
        <w:jc w:val="both"/>
      </w:pPr>
      <w:r>
        <w:rPr>
          <w:rStyle w:val="FootnoteReference"/>
        </w:rPr>
        <w:footnoteRef/>
      </w:r>
      <w:r>
        <w:t xml:space="preserve"> </w:t>
      </w:r>
      <w:r w:rsidRPr="008036F1">
        <w:t>Lonsway</w:t>
      </w:r>
      <w:r>
        <w:t xml:space="preserve"> and Fitzgerald</w:t>
      </w:r>
      <w:r w:rsidRPr="008036F1">
        <w:t xml:space="preserve"> </w:t>
      </w:r>
      <w:r>
        <w:t>(n 78) 134, 156, 158.</w:t>
      </w:r>
    </w:p>
  </w:footnote>
  <w:footnote w:id="87">
    <w:p w14:paraId="0FFB0A99" w14:textId="6E0F0079" w:rsidR="0052684C" w:rsidRDefault="0052684C" w:rsidP="005673FC">
      <w:pPr>
        <w:pStyle w:val="FootnoteText"/>
        <w:jc w:val="both"/>
      </w:pPr>
      <w:r>
        <w:rPr>
          <w:rStyle w:val="FootnoteReference"/>
        </w:rPr>
        <w:footnoteRef/>
      </w:r>
      <w:r>
        <w:t xml:space="preserve"> Ibid 134, 156, 158.</w:t>
      </w:r>
    </w:p>
  </w:footnote>
  <w:footnote w:id="88">
    <w:p w14:paraId="2CD25651" w14:textId="0A7A04E6" w:rsidR="0052684C" w:rsidRDefault="0052684C" w:rsidP="005673FC">
      <w:pPr>
        <w:pStyle w:val="FootnoteText"/>
        <w:jc w:val="both"/>
      </w:pPr>
      <w:r>
        <w:rPr>
          <w:rStyle w:val="FootnoteReference"/>
        </w:rPr>
        <w:footnoteRef/>
      </w:r>
      <w:r>
        <w:t xml:space="preserve"> Ibid 155.</w:t>
      </w:r>
    </w:p>
  </w:footnote>
  <w:footnote w:id="89">
    <w:p w14:paraId="1C4626E3" w14:textId="0455D3C8" w:rsidR="0052684C" w:rsidRDefault="0052684C" w:rsidP="005673FC">
      <w:pPr>
        <w:pStyle w:val="FootnoteText"/>
        <w:jc w:val="both"/>
      </w:pPr>
      <w:r>
        <w:rPr>
          <w:rStyle w:val="FootnoteReference"/>
        </w:rPr>
        <w:footnoteRef/>
      </w:r>
      <w:r>
        <w:t xml:space="preserve"> Ibid </w:t>
      </w:r>
      <w:r w:rsidRPr="003716DB">
        <w:t>134.</w:t>
      </w:r>
    </w:p>
  </w:footnote>
  <w:footnote w:id="90">
    <w:p w14:paraId="4A4E948D" w14:textId="4B4FE16B" w:rsidR="0052684C" w:rsidRDefault="0052684C" w:rsidP="005673FC">
      <w:pPr>
        <w:pStyle w:val="FootnoteText"/>
        <w:jc w:val="both"/>
      </w:pPr>
      <w:r>
        <w:rPr>
          <w:rStyle w:val="FootnoteReference"/>
        </w:rPr>
        <w:footnoteRef/>
      </w:r>
      <w:r>
        <w:t xml:space="preserve"> Ibid 156.</w:t>
      </w:r>
    </w:p>
  </w:footnote>
  <w:footnote w:id="91">
    <w:p w14:paraId="43A5C701" w14:textId="3A1EF153" w:rsidR="0052684C" w:rsidRDefault="0052684C" w:rsidP="005673FC">
      <w:pPr>
        <w:pStyle w:val="FootnoteText"/>
        <w:jc w:val="both"/>
      </w:pPr>
      <w:r>
        <w:rPr>
          <w:rStyle w:val="FootnoteReference"/>
        </w:rPr>
        <w:footnoteRef/>
      </w:r>
      <w:r>
        <w:t xml:space="preserve"> Ibid 155-158.</w:t>
      </w:r>
    </w:p>
  </w:footnote>
  <w:footnote w:id="92">
    <w:p w14:paraId="49D04CC7" w14:textId="0380AF48" w:rsidR="0052684C" w:rsidRDefault="0052684C" w:rsidP="005673FC">
      <w:pPr>
        <w:pStyle w:val="FootnoteText"/>
        <w:jc w:val="both"/>
      </w:pPr>
      <w:r>
        <w:rPr>
          <w:rStyle w:val="FootnoteReference"/>
        </w:rPr>
        <w:footnoteRef/>
      </w:r>
      <w:r>
        <w:t xml:space="preserve"> Ibid 134.</w:t>
      </w:r>
    </w:p>
  </w:footnote>
  <w:footnote w:id="93">
    <w:p w14:paraId="571E38D8" w14:textId="01296F03" w:rsidR="0052684C" w:rsidRDefault="0052684C" w:rsidP="005673FC">
      <w:pPr>
        <w:pStyle w:val="FootnoteText"/>
        <w:jc w:val="both"/>
      </w:pPr>
      <w:r>
        <w:rPr>
          <w:rStyle w:val="FootnoteReference"/>
        </w:rPr>
        <w:footnoteRef/>
      </w:r>
      <w:r>
        <w:t xml:space="preserve"> Ibid. Lonsway and Fitzgerald </w:t>
      </w:r>
      <w:r>
        <w:rPr>
          <w:rFonts w:cstheme="minorBidi"/>
          <w:szCs w:val="22"/>
        </w:rPr>
        <w:t>also suggested that rape myths were ‘best conceptualised as stereotypes’ and not as myths.</w:t>
      </w:r>
    </w:p>
  </w:footnote>
  <w:footnote w:id="94">
    <w:p w14:paraId="3D77AC68" w14:textId="744580BC" w:rsidR="0052684C" w:rsidRDefault="0052684C" w:rsidP="005673FC">
      <w:pPr>
        <w:pStyle w:val="FootnoteText"/>
        <w:jc w:val="both"/>
      </w:pPr>
      <w:r>
        <w:rPr>
          <w:rStyle w:val="FootnoteReference"/>
        </w:rPr>
        <w:footnoteRef/>
      </w:r>
      <w:r w:rsidRPr="008036F1">
        <w:t xml:space="preserve">Gerger </w:t>
      </w:r>
      <w:r>
        <w:t xml:space="preserve">et al. (n 78) 423. </w:t>
      </w:r>
    </w:p>
  </w:footnote>
  <w:footnote w:id="95">
    <w:p w14:paraId="67207A4A" w14:textId="01FB6FD9" w:rsidR="0052684C" w:rsidRDefault="0052684C" w:rsidP="005673FC">
      <w:pPr>
        <w:pStyle w:val="FootnoteText"/>
        <w:jc w:val="both"/>
      </w:pPr>
      <w:r>
        <w:rPr>
          <w:rStyle w:val="FootnoteReference"/>
        </w:rPr>
        <w:footnoteRef/>
      </w:r>
      <w:r>
        <w:t xml:space="preserve"> Ibid 424.</w:t>
      </w:r>
    </w:p>
  </w:footnote>
  <w:footnote w:id="96">
    <w:p w14:paraId="1D554AE7" w14:textId="130F0D02" w:rsidR="0052684C" w:rsidRDefault="0052684C" w:rsidP="005673FC">
      <w:pPr>
        <w:pStyle w:val="FootnoteText"/>
        <w:jc w:val="both"/>
      </w:pPr>
      <w:r>
        <w:rPr>
          <w:rStyle w:val="FootnoteReference"/>
        </w:rPr>
        <w:footnoteRef/>
      </w:r>
      <w:r>
        <w:t xml:space="preserve"> Ibid.</w:t>
      </w:r>
    </w:p>
  </w:footnote>
  <w:footnote w:id="97">
    <w:p w14:paraId="3E8521F1" w14:textId="0A8615DE" w:rsidR="0052684C" w:rsidRDefault="0052684C" w:rsidP="005673FC">
      <w:pPr>
        <w:pStyle w:val="FootnoteText"/>
        <w:jc w:val="both"/>
      </w:pPr>
      <w:r>
        <w:rPr>
          <w:rStyle w:val="FootnoteReference"/>
        </w:rPr>
        <w:footnoteRef/>
      </w:r>
      <w:r>
        <w:t xml:space="preserve"> Ibid 424-425, citing Swim JK, Aikin KJ, Hall WS and Hunter BA, ‘Sexism And Racism: Oldfashioned and Modern Prejudice’ (1995) 68 J Pers Soc Psychol 199.</w:t>
      </w:r>
    </w:p>
  </w:footnote>
  <w:footnote w:id="98">
    <w:p w14:paraId="6C27412E" w14:textId="3CC4BA46" w:rsidR="0052684C" w:rsidRDefault="0052684C" w:rsidP="005673FC">
      <w:pPr>
        <w:pStyle w:val="FootnoteText"/>
        <w:jc w:val="both"/>
      </w:pPr>
      <w:r>
        <w:rPr>
          <w:rStyle w:val="FootnoteReference"/>
        </w:rPr>
        <w:footnoteRef/>
      </w:r>
      <w:r>
        <w:t xml:space="preserve"> Ibid.</w:t>
      </w:r>
    </w:p>
  </w:footnote>
  <w:footnote w:id="99">
    <w:p w14:paraId="7836EE23" w14:textId="1815206C" w:rsidR="0052684C" w:rsidRDefault="0052684C" w:rsidP="005673FC">
      <w:pPr>
        <w:pStyle w:val="FootnoteText"/>
        <w:jc w:val="both"/>
      </w:pPr>
      <w:r>
        <w:rPr>
          <w:rStyle w:val="FootnoteReference"/>
        </w:rPr>
        <w:footnoteRef/>
      </w:r>
      <w:r>
        <w:t xml:space="preserve"> Ibid. ‘</w:t>
      </w:r>
      <w:r w:rsidRPr="00DA0A77">
        <w:t>Whereas ‘‘old-fashioned’’ sexism was characterized by the endorsement of traditional gender roles, discriminating treatment of women, and stereotypes about lesser female competence, Swim and her colleagues suggested that modern sexism, like modern racism, was characterized by the denial of continued discrimination, antagonism toward women’s demands, and a lack of support for policies designed to help women</w:t>
      </w:r>
      <w:r>
        <w:t xml:space="preserve">’. It is of course also debateable whether in 2020, modern sexism and racism are now not more overt than they were in the 1990s. </w:t>
      </w:r>
    </w:p>
  </w:footnote>
  <w:footnote w:id="100">
    <w:p w14:paraId="45849435" w14:textId="5D7F38B3" w:rsidR="0052684C" w:rsidRDefault="0052684C" w:rsidP="005673FC">
      <w:pPr>
        <w:pStyle w:val="FootnoteText"/>
        <w:jc w:val="both"/>
      </w:pPr>
      <w:r>
        <w:rPr>
          <w:rStyle w:val="FootnoteReference"/>
        </w:rPr>
        <w:footnoteRef/>
      </w:r>
      <w:r>
        <w:t xml:space="preserve"> Gerger et al. (n 78) 434.</w:t>
      </w:r>
    </w:p>
  </w:footnote>
  <w:footnote w:id="101">
    <w:p w14:paraId="0A3689A0" w14:textId="11312454" w:rsidR="0052684C" w:rsidRDefault="0052684C" w:rsidP="005673FC">
      <w:pPr>
        <w:pStyle w:val="FootnoteText"/>
        <w:jc w:val="both"/>
      </w:pPr>
      <w:r>
        <w:rPr>
          <w:rStyle w:val="FootnoteReference"/>
        </w:rPr>
        <w:footnoteRef/>
      </w:r>
      <w:r>
        <w:t xml:space="preserve"> Ibid 436.</w:t>
      </w:r>
    </w:p>
  </w:footnote>
  <w:footnote w:id="102">
    <w:p w14:paraId="694A86D4" w14:textId="112BA598" w:rsidR="0052684C" w:rsidRDefault="0052684C" w:rsidP="005673FC">
      <w:pPr>
        <w:pStyle w:val="FootnoteText"/>
        <w:jc w:val="both"/>
      </w:pPr>
      <w:r>
        <w:rPr>
          <w:rStyle w:val="FootnoteReference"/>
        </w:rPr>
        <w:footnoteRef/>
      </w:r>
      <w:r>
        <w:t xml:space="preserve"> Burt, ‘Cultural Myths’ (n 78) 229.</w:t>
      </w:r>
    </w:p>
  </w:footnote>
  <w:footnote w:id="103">
    <w:p w14:paraId="6B236CB2" w14:textId="3B83B048" w:rsidR="0052684C" w:rsidRDefault="0052684C" w:rsidP="005673FC">
      <w:pPr>
        <w:pStyle w:val="FootnoteText"/>
        <w:jc w:val="both"/>
      </w:pPr>
      <w:r>
        <w:rPr>
          <w:rStyle w:val="FootnoteReference"/>
        </w:rPr>
        <w:footnoteRef/>
      </w:r>
      <w:r>
        <w:t xml:space="preserve"> Gerger et al. (n 78) 423-424.</w:t>
      </w:r>
    </w:p>
  </w:footnote>
  <w:footnote w:id="104">
    <w:p w14:paraId="1927BE9D" w14:textId="49728485" w:rsidR="0052684C" w:rsidRDefault="0052684C" w:rsidP="005673FC">
      <w:pPr>
        <w:pStyle w:val="FootnoteText"/>
        <w:jc w:val="both"/>
      </w:pPr>
      <w:r>
        <w:rPr>
          <w:rStyle w:val="FootnoteReference"/>
        </w:rPr>
        <w:footnoteRef/>
      </w:r>
      <w:r>
        <w:t xml:space="preserve"> See, e.g., ‘</w:t>
      </w:r>
      <w:r w:rsidRPr="00BB2B71">
        <w:t>I was raped as a student - and I’m not the only one</w:t>
      </w:r>
      <w:r>
        <w:t xml:space="preserve">’ (BBC News, 6 March 2018) </w:t>
      </w:r>
      <w:hyperlink r:id="rId11" w:history="1">
        <w:r w:rsidRPr="006C634E">
          <w:rPr>
            <w:rStyle w:val="Hyperlink"/>
          </w:rPr>
          <w:t>https://www.bbc.co.uk/news/stories-43258170</w:t>
        </w:r>
      </w:hyperlink>
      <w:r>
        <w:t xml:space="preserve"> (accessed 25 July 2019). Hannah Price said of her sexual assault experience, that ‘I don't remember being taught about consent at school, other than “No means no”. What I do remember is being told not to walk home on my own, or I’d risk being raped by a stranger in a dark alley. But when I was raped it was not in the street, but in my own student house, and I had taken the precaution of being walked home by someone I knew’.</w:t>
      </w:r>
    </w:p>
  </w:footnote>
  <w:footnote w:id="105">
    <w:p w14:paraId="55012DCC" w14:textId="0BEC6CF2" w:rsidR="0052684C" w:rsidRDefault="0052684C" w:rsidP="005673FC">
      <w:pPr>
        <w:pStyle w:val="FootnoteText"/>
        <w:jc w:val="both"/>
      </w:pPr>
      <w:r>
        <w:rPr>
          <w:rStyle w:val="FootnoteReference"/>
        </w:rPr>
        <w:footnoteRef/>
      </w:r>
      <w:r>
        <w:t xml:space="preserve"> Reece (n 80) 446</w:t>
      </w:r>
      <w:r w:rsidRPr="00D405B2">
        <w:t>.</w:t>
      </w:r>
    </w:p>
  </w:footnote>
  <w:footnote w:id="106">
    <w:p w14:paraId="2946D8E2" w14:textId="5A1D7F45" w:rsidR="0052684C" w:rsidRDefault="0052684C" w:rsidP="005673FC">
      <w:pPr>
        <w:pStyle w:val="FootnoteText"/>
        <w:jc w:val="both"/>
      </w:pPr>
      <w:r>
        <w:rPr>
          <w:rStyle w:val="FootnoteReference"/>
        </w:rPr>
        <w:footnoteRef/>
      </w:r>
      <w:r>
        <w:t xml:space="preserve"> Temkin and Krahé (n 36).</w:t>
      </w:r>
    </w:p>
  </w:footnote>
  <w:footnote w:id="107">
    <w:p w14:paraId="08D56041" w14:textId="10BB4852" w:rsidR="0052684C" w:rsidRDefault="0052684C" w:rsidP="005673FC">
      <w:pPr>
        <w:pStyle w:val="FootnoteText"/>
        <w:jc w:val="both"/>
      </w:pPr>
      <w:r>
        <w:rPr>
          <w:rStyle w:val="FootnoteReference"/>
        </w:rPr>
        <w:footnoteRef/>
      </w:r>
      <w:r>
        <w:t xml:space="preserve"> Reece (n 80) 446.</w:t>
      </w:r>
    </w:p>
  </w:footnote>
  <w:footnote w:id="108">
    <w:p w14:paraId="58552676" w14:textId="73499FBD" w:rsidR="0052684C" w:rsidRDefault="0052684C" w:rsidP="005673FC">
      <w:pPr>
        <w:pStyle w:val="FootnoteText"/>
        <w:jc w:val="both"/>
      </w:pPr>
      <w:r>
        <w:rPr>
          <w:rStyle w:val="FootnoteReference"/>
        </w:rPr>
        <w:footnoteRef/>
      </w:r>
      <w:r>
        <w:t xml:space="preserve"> See, e.g., Editorial, ‘</w:t>
      </w:r>
      <w:r w:rsidRPr="00DA7311">
        <w:t>A Response to the LSE Event “Is Rape Different?”</w:t>
      </w:r>
      <w:r>
        <w:t xml:space="preserve">’ (2013) 3(2) </w:t>
      </w:r>
      <w:r w:rsidRPr="00DA7311">
        <w:t>feminists@law</w:t>
      </w:r>
      <w:r>
        <w:t xml:space="preserve">, responding to </w:t>
      </w:r>
      <w:r w:rsidRPr="00DA7311">
        <w:t xml:space="preserve">LSE </w:t>
      </w:r>
      <w:r>
        <w:t xml:space="preserve">Debating Law </w:t>
      </w:r>
      <w:r w:rsidRPr="00DA7311">
        <w:t>Inaugural Event</w:t>
      </w:r>
      <w:r>
        <w:t>, ‘Is Rape Different?’ (30</w:t>
      </w:r>
      <w:r w:rsidRPr="00DA7311">
        <w:t xml:space="preserve"> </w:t>
      </w:r>
      <w:r>
        <w:t xml:space="preserve">October 2013); Reece H, ‘Debating Rape Myths’ </w:t>
      </w:r>
      <w:r w:rsidRPr="00DA7311">
        <w:t>(2014</w:t>
      </w:r>
      <w:r>
        <w:t xml:space="preserve">) LSE Law, Society and Economy Working Paper Series 21/2014, at </w:t>
      </w:r>
      <w:hyperlink r:id="rId12" w:history="1">
        <w:r w:rsidRPr="001C162B">
          <w:rPr>
            <w:rStyle w:val="Hyperlink"/>
          </w:rPr>
          <w:t>http://eprints.lse.ac.uk/60566/?from_serp=1</w:t>
        </w:r>
      </w:hyperlink>
      <w:r>
        <w:t xml:space="preserve"> (accessed 13 September 2018).</w:t>
      </w:r>
    </w:p>
  </w:footnote>
  <w:footnote w:id="109">
    <w:p w14:paraId="421751B4" w14:textId="0E7B8F92" w:rsidR="0052684C" w:rsidRDefault="0052684C" w:rsidP="005673FC">
      <w:pPr>
        <w:pStyle w:val="FootnoteText"/>
        <w:jc w:val="both"/>
      </w:pPr>
      <w:r>
        <w:rPr>
          <w:rStyle w:val="FootnoteReference"/>
        </w:rPr>
        <w:footnoteRef/>
      </w:r>
      <w:r>
        <w:t xml:space="preserve"> Gerger et al. (n 78) 424.</w:t>
      </w:r>
    </w:p>
  </w:footnote>
  <w:footnote w:id="110">
    <w:p w14:paraId="627B22CB" w14:textId="38A160BC" w:rsidR="0052684C" w:rsidRDefault="0052684C" w:rsidP="005673FC">
      <w:pPr>
        <w:pStyle w:val="FootnoteText"/>
        <w:jc w:val="both"/>
      </w:pPr>
      <w:r>
        <w:rPr>
          <w:rStyle w:val="FootnoteReference"/>
        </w:rPr>
        <w:footnoteRef/>
      </w:r>
      <w:r>
        <w:t xml:space="preserve"> </w:t>
      </w:r>
      <w:r w:rsidRPr="005420F0">
        <w:t xml:space="preserve">Oxford Dictionaries </w:t>
      </w:r>
      <w:hyperlink r:id="rId13" w:history="1">
        <w:r w:rsidRPr="001C162B">
          <w:rPr>
            <w:rStyle w:val="Hyperlink"/>
          </w:rPr>
          <w:t>http://www.oxforddictionaries.com/definition/english/attitude</w:t>
        </w:r>
      </w:hyperlink>
      <w:r>
        <w:t xml:space="preserve"> (</w:t>
      </w:r>
      <w:r w:rsidRPr="005420F0">
        <w:t>accessed 19 May 2016</w:t>
      </w:r>
      <w:r>
        <w:t>)</w:t>
      </w:r>
      <w:r w:rsidRPr="005420F0">
        <w:t>.</w:t>
      </w:r>
    </w:p>
  </w:footnote>
  <w:footnote w:id="111">
    <w:p w14:paraId="28F2BB89" w14:textId="5CDFF026" w:rsidR="0052684C" w:rsidRDefault="0052684C" w:rsidP="005673FC">
      <w:pPr>
        <w:pStyle w:val="FootnoteText"/>
        <w:jc w:val="both"/>
      </w:pPr>
      <w:r>
        <w:rPr>
          <w:rStyle w:val="FootnoteReference"/>
        </w:rPr>
        <w:footnoteRef/>
      </w:r>
      <w:r>
        <w:t xml:space="preserve"> Reece (n 80) </w:t>
      </w:r>
      <w:r w:rsidRPr="005420F0">
        <w:t>446.</w:t>
      </w:r>
    </w:p>
  </w:footnote>
  <w:footnote w:id="112">
    <w:p w14:paraId="03113EEE" w14:textId="150E652C" w:rsidR="0052684C" w:rsidRDefault="0052684C" w:rsidP="005673FC">
      <w:pPr>
        <w:pStyle w:val="FootnoteText"/>
        <w:jc w:val="both"/>
      </w:pPr>
      <w:r>
        <w:rPr>
          <w:rStyle w:val="FootnoteReference"/>
        </w:rPr>
        <w:footnoteRef/>
      </w:r>
      <w:r>
        <w:t xml:space="preserve"> Burt, ‘Cultural Myths’ (n 78) 229.</w:t>
      </w:r>
    </w:p>
  </w:footnote>
  <w:footnote w:id="113">
    <w:p w14:paraId="47A7E0DD" w14:textId="615BC64A" w:rsidR="0052684C" w:rsidRDefault="0052684C" w:rsidP="005673FC">
      <w:pPr>
        <w:pStyle w:val="FootnoteText"/>
        <w:jc w:val="both"/>
      </w:pPr>
      <w:r>
        <w:rPr>
          <w:rStyle w:val="FootnoteReference"/>
        </w:rPr>
        <w:footnoteRef/>
      </w:r>
      <w:r>
        <w:t xml:space="preserve"> Lonsway and Fitzgerald (n 78).</w:t>
      </w:r>
    </w:p>
  </w:footnote>
  <w:footnote w:id="114">
    <w:p w14:paraId="0E6A652B" w14:textId="6B6A4095" w:rsidR="0052684C" w:rsidRDefault="0052684C" w:rsidP="005673FC">
      <w:pPr>
        <w:pStyle w:val="FootnoteText"/>
        <w:jc w:val="both"/>
      </w:pPr>
      <w:r>
        <w:rPr>
          <w:rStyle w:val="FootnoteReference"/>
        </w:rPr>
        <w:footnoteRef/>
      </w:r>
      <w:r>
        <w:t xml:space="preserve"> Temkin and Krahé (n 36).</w:t>
      </w:r>
    </w:p>
  </w:footnote>
  <w:footnote w:id="115">
    <w:p w14:paraId="22B7D5CD" w14:textId="5E1AF8E5" w:rsidR="0052684C" w:rsidRDefault="0052684C" w:rsidP="005673FC">
      <w:pPr>
        <w:pStyle w:val="FootnoteText"/>
        <w:jc w:val="both"/>
      </w:pPr>
      <w:r>
        <w:rPr>
          <w:rStyle w:val="FootnoteReference"/>
        </w:rPr>
        <w:footnoteRef/>
      </w:r>
      <w:r>
        <w:t xml:space="preserve"> Gerger et al. (n 78) 428, 435.</w:t>
      </w:r>
    </w:p>
  </w:footnote>
  <w:footnote w:id="116">
    <w:p w14:paraId="0191CF46" w14:textId="4A3FB19E" w:rsidR="0052684C" w:rsidRDefault="0052684C" w:rsidP="005673FC">
      <w:pPr>
        <w:pStyle w:val="FootnoteText"/>
        <w:jc w:val="both"/>
      </w:pPr>
      <w:r>
        <w:rPr>
          <w:rStyle w:val="FootnoteReference"/>
        </w:rPr>
        <w:footnoteRef/>
      </w:r>
      <w:r>
        <w:t xml:space="preserve"> Reece (n 80)</w:t>
      </w:r>
      <w:r w:rsidRPr="003C3CE4">
        <w:t xml:space="preserve"> </w:t>
      </w:r>
      <w:r>
        <w:t>446.</w:t>
      </w:r>
    </w:p>
  </w:footnote>
  <w:footnote w:id="117">
    <w:p w14:paraId="51C973F0" w14:textId="1F4FC801" w:rsidR="0052684C" w:rsidRDefault="0052684C" w:rsidP="005673FC">
      <w:pPr>
        <w:pStyle w:val="FootnoteText"/>
        <w:jc w:val="both"/>
      </w:pPr>
      <w:r>
        <w:rPr>
          <w:rStyle w:val="FootnoteReference"/>
        </w:rPr>
        <w:footnoteRef/>
      </w:r>
      <w:r>
        <w:t xml:space="preserve"> Ibid </w:t>
      </w:r>
      <w:r w:rsidRPr="003C3CE4">
        <w:t>4</w:t>
      </w:r>
      <w:r>
        <w:t>53.</w:t>
      </w:r>
    </w:p>
  </w:footnote>
  <w:footnote w:id="118">
    <w:p w14:paraId="3871B148" w14:textId="1D8ED325" w:rsidR="0052684C" w:rsidRDefault="0052684C" w:rsidP="005673FC">
      <w:pPr>
        <w:pStyle w:val="FootnoteText"/>
        <w:jc w:val="both"/>
      </w:pPr>
      <w:r>
        <w:rPr>
          <w:rStyle w:val="FootnoteReference"/>
        </w:rPr>
        <w:footnoteRef/>
      </w:r>
      <w:r>
        <w:t xml:space="preserve"> Ibid 446</w:t>
      </w:r>
      <w:r w:rsidRPr="00C07569">
        <w:t>.</w:t>
      </w:r>
    </w:p>
  </w:footnote>
  <w:footnote w:id="119">
    <w:p w14:paraId="7CAAD618" w14:textId="7EF21245" w:rsidR="0052684C" w:rsidRDefault="0052684C" w:rsidP="005673FC">
      <w:pPr>
        <w:pStyle w:val="FootnoteText"/>
        <w:jc w:val="both"/>
      </w:pPr>
      <w:r>
        <w:rPr>
          <w:rStyle w:val="FootnoteReference"/>
        </w:rPr>
        <w:footnoteRef/>
      </w:r>
      <w:r>
        <w:t xml:space="preserve"> Ibid </w:t>
      </w:r>
      <w:r w:rsidRPr="00C643B8">
        <w:t>4</w:t>
      </w:r>
      <w:r>
        <w:t>54-455</w:t>
      </w:r>
      <w:r w:rsidRPr="00C643B8">
        <w:t>.</w:t>
      </w:r>
    </w:p>
  </w:footnote>
  <w:footnote w:id="120">
    <w:p w14:paraId="40E446BD" w14:textId="55A48549" w:rsidR="0052684C" w:rsidRDefault="0052684C" w:rsidP="005673FC">
      <w:pPr>
        <w:pStyle w:val="FootnoteText"/>
        <w:jc w:val="both"/>
      </w:pPr>
      <w:r>
        <w:rPr>
          <w:rStyle w:val="FootnoteReference"/>
        </w:rPr>
        <w:footnoteRef/>
      </w:r>
      <w:r>
        <w:t xml:space="preserve"> Ibid. H</w:t>
      </w:r>
      <w:r w:rsidRPr="005F1F32">
        <w:t xml:space="preserve">owever, this </w:t>
      </w:r>
      <w:r>
        <w:t xml:space="preserve">criticism </w:t>
      </w:r>
      <w:r w:rsidRPr="005F1F32">
        <w:t xml:space="preserve">seems </w:t>
      </w:r>
      <w:r>
        <w:t>un</w:t>
      </w:r>
      <w:r w:rsidRPr="005F1F32">
        <w:t xml:space="preserve">balanced </w:t>
      </w:r>
      <w:r>
        <w:t>in failing</w:t>
      </w:r>
      <w:r w:rsidRPr="005F1F32">
        <w:t xml:space="preserve"> to recognise that the accurate identification of so-called RMA or rape supportive attitudes, has a great deal to do with statistical analysis, study design and sampling methodology. In order to understand what is the nature and prevalence of rape supportive attitudes, it is vital to unpick the results and methodology of studies that demonstrate only politically supportive results.  </w:t>
      </w:r>
    </w:p>
  </w:footnote>
  <w:footnote w:id="121">
    <w:p w14:paraId="107A896B" w14:textId="551133E6" w:rsidR="0052684C" w:rsidRDefault="0052684C" w:rsidP="005673FC">
      <w:pPr>
        <w:pStyle w:val="FootnoteText"/>
        <w:jc w:val="both"/>
      </w:pPr>
      <w:r>
        <w:rPr>
          <w:rStyle w:val="FootnoteReference"/>
        </w:rPr>
        <w:footnoteRef/>
      </w:r>
      <w:r>
        <w:t xml:space="preserve"> Conaghan J and Russell Y, ‘Rape Myths, Law, and Feminist Research: “Myths About Myths”?’ (2014) 22 Fem Leg Studs 24, 35.</w:t>
      </w:r>
    </w:p>
  </w:footnote>
  <w:footnote w:id="122">
    <w:p w14:paraId="47F68FA8" w14:textId="133FF9CA" w:rsidR="0052684C" w:rsidRDefault="0052684C" w:rsidP="005673FC">
      <w:pPr>
        <w:pStyle w:val="FootnoteText"/>
        <w:jc w:val="both"/>
      </w:pPr>
      <w:r>
        <w:rPr>
          <w:rStyle w:val="FootnoteReference"/>
        </w:rPr>
        <w:footnoteRef/>
      </w:r>
      <w:r>
        <w:t xml:space="preserve"> Reece (n 80)</w:t>
      </w:r>
      <w:r w:rsidRPr="00C643B8">
        <w:t xml:space="preserve"> 4</w:t>
      </w:r>
      <w:r>
        <w:t>54-455</w:t>
      </w:r>
      <w:r w:rsidRPr="00C643B8">
        <w:t>.</w:t>
      </w:r>
    </w:p>
  </w:footnote>
  <w:footnote w:id="123">
    <w:p w14:paraId="58F20C4D" w14:textId="19C8DC1C" w:rsidR="0052684C" w:rsidRDefault="0052684C" w:rsidP="005673FC">
      <w:pPr>
        <w:pStyle w:val="FootnoteText"/>
        <w:jc w:val="both"/>
      </w:pPr>
      <w:r>
        <w:rPr>
          <w:rStyle w:val="FootnoteReference"/>
        </w:rPr>
        <w:footnoteRef/>
      </w:r>
      <w:r>
        <w:t xml:space="preserve"> Gerger et al. (n 78) 423.</w:t>
      </w:r>
    </w:p>
  </w:footnote>
  <w:footnote w:id="124">
    <w:p w14:paraId="3A654FAE" w14:textId="143EAAF2" w:rsidR="0052684C" w:rsidRDefault="0052684C" w:rsidP="005673FC">
      <w:pPr>
        <w:pStyle w:val="FootnoteText"/>
        <w:jc w:val="both"/>
      </w:pPr>
      <w:r>
        <w:rPr>
          <w:rStyle w:val="FootnoteReference"/>
        </w:rPr>
        <w:footnoteRef/>
      </w:r>
      <w:r>
        <w:t xml:space="preserve"> Ibid, citing </w:t>
      </w:r>
      <w:r w:rsidRPr="008036F1">
        <w:t>Lonsway</w:t>
      </w:r>
      <w:r>
        <w:t xml:space="preserve"> and Fitzgerald</w:t>
      </w:r>
      <w:r w:rsidRPr="008036F1">
        <w:t xml:space="preserve"> </w:t>
      </w:r>
      <w:r>
        <w:t>(n 78).</w:t>
      </w:r>
    </w:p>
  </w:footnote>
  <w:footnote w:id="125">
    <w:p w14:paraId="1C3AA5E0" w14:textId="2E134842" w:rsidR="0052684C" w:rsidRDefault="0052684C" w:rsidP="005673FC">
      <w:pPr>
        <w:pStyle w:val="FootnoteText"/>
        <w:jc w:val="both"/>
      </w:pPr>
      <w:r>
        <w:rPr>
          <w:rStyle w:val="FootnoteReference"/>
        </w:rPr>
        <w:footnoteRef/>
      </w:r>
      <w:r>
        <w:t xml:space="preserve"> Gerger et al, ibid.</w:t>
      </w:r>
    </w:p>
  </w:footnote>
  <w:footnote w:id="126">
    <w:p w14:paraId="5BAE903D" w14:textId="08706995" w:rsidR="0052684C" w:rsidRDefault="0052684C" w:rsidP="005673FC">
      <w:pPr>
        <w:pStyle w:val="FootnoteText"/>
        <w:jc w:val="both"/>
      </w:pPr>
      <w:r>
        <w:rPr>
          <w:rStyle w:val="FootnoteReference"/>
        </w:rPr>
        <w:footnoteRef/>
      </w:r>
      <w:r>
        <w:t>Ibid.</w:t>
      </w:r>
    </w:p>
  </w:footnote>
  <w:footnote w:id="127">
    <w:p w14:paraId="23D2DC85" w14:textId="0B86E57A" w:rsidR="0052684C" w:rsidRDefault="0052684C" w:rsidP="005673FC">
      <w:pPr>
        <w:pStyle w:val="FootnoteText"/>
        <w:jc w:val="both"/>
      </w:pPr>
      <w:r>
        <w:rPr>
          <w:rStyle w:val="FootnoteReference"/>
        </w:rPr>
        <w:footnoteRef/>
      </w:r>
      <w:r>
        <w:t xml:space="preserve"> Conaghan and Russell (n 120)</w:t>
      </w:r>
      <w:r w:rsidRPr="000132FA">
        <w:t xml:space="preserve"> 26.</w:t>
      </w:r>
    </w:p>
  </w:footnote>
  <w:footnote w:id="128">
    <w:p w14:paraId="6FB65770" w14:textId="1217DC42" w:rsidR="0052684C" w:rsidRDefault="0052684C" w:rsidP="005673FC">
      <w:pPr>
        <w:pStyle w:val="FootnoteText"/>
        <w:jc w:val="both"/>
      </w:pPr>
      <w:r>
        <w:rPr>
          <w:rStyle w:val="FootnoteReference"/>
        </w:rPr>
        <w:footnoteRef/>
      </w:r>
      <w:r>
        <w:t xml:space="preserve"> Ibid 34.</w:t>
      </w:r>
    </w:p>
  </w:footnote>
  <w:footnote w:id="129">
    <w:p w14:paraId="2A2F3747" w14:textId="638DA4A3" w:rsidR="0052684C" w:rsidRDefault="0052684C" w:rsidP="00935D20">
      <w:pPr>
        <w:pStyle w:val="FootnoteText"/>
        <w:jc w:val="both"/>
      </w:pPr>
      <w:r>
        <w:rPr>
          <w:rStyle w:val="FootnoteReference"/>
        </w:rPr>
        <w:footnoteRef/>
      </w:r>
      <w:r>
        <w:t xml:space="preserve"> Gurnham D, (2015) ‘A Critique of Carceral Feminist Arguments on Rape Myths and Sexual</w:t>
      </w:r>
      <w:r w:rsidR="005D3DC1">
        <w:t xml:space="preserve"> Scripts’ (2016) 19 New Crim L Rev</w:t>
      </w:r>
      <w:r>
        <w:t xml:space="preserve"> 141.</w:t>
      </w:r>
    </w:p>
  </w:footnote>
  <w:footnote w:id="130">
    <w:p w14:paraId="51DBC3CE" w14:textId="5079D82A" w:rsidR="0052684C" w:rsidRDefault="0052684C" w:rsidP="005673FC">
      <w:pPr>
        <w:pStyle w:val="FootnoteText"/>
        <w:jc w:val="both"/>
      </w:pPr>
      <w:r>
        <w:rPr>
          <w:rStyle w:val="FootnoteReference"/>
        </w:rPr>
        <w:footnoteRef/>
      </w:r>
      <w:r>
        <w:t xml:space="preserve"> Gerger et al (n 78); Or indeed might they be less so in 2019-20? </w:t>
      </w:r>
    </w:p>
  </w:footnote>
  <w:footnote w:id="131">
    <w:p w14:paraId="2735BF88" w14:textId="610DE009" w:rsidR="0052684C" w:rsidRPr="002A3E63" w:rsidRDefault="0052684C" w:rsidP="005673FC">
      <w:pPr>
        <w:pStyle w:val="FootnoteText"/>
        <w:jc w:val="both"/>
      </w:pPr>
      <w:r w:rsidRPr="002A3E63">
        <w:rPr>
          <w:rStyle w:val="FootnoteReference"/>
        </w:rPr>
        <w:footnoteRef/>
      </w:r>
      <w:r w:rsidRPr="002A3E63">
        <w:t xml:space="preserve"> </w:t>
      </w:r>
      <w:r>
        <w:t>Ibid</w:t>
      </w:r>
      <w:r w:rsidRPr="002A3E63">
        <w:t>.</w:t>
      </w:r>
      <w:r>
        <w:t xml:space="preserve"> The belief might even become so widespread that it may be accepted as a norm.</w:t>
      </w:r>
    </w:p>
  </w:footnote>
  <w:footnote w:id="132">
    <w:p w14:paraId="2B7085D3" w14:textId="6E356BEC" w:rsidR="0052684C" w:rsidRDefault="0052684C" w:rsidP="005673FC">
      <w:pPr>
        <w:pStyle w:val="FootnoteText"/>
        <w:jc w:val="both"/>
      </w:pPr>
      <w:r>
        <w:rPr>
          <w:rStyle w:val="FootnoteReference"/>
        </w:rPr>
        <w:footnoteRef/>
      </w:r>
      <w:r>
        <w:t xml:space="preserve"> Ibid.</w:t>
      </w:r>
    </w:p>
  </w:footnote>
  <w:footnote w:id="133">
    <w:p w14:paraId="61184333" w14:textId="75478D13" w:rsidR="0052684C" w:rsidRDefault="0052684C" w:rsidP="005673FC">
      <w:pPr>
        <w:pStyle w:val="FootnoteText"/>
        <w:jc w:val="both"/>
      </w:pPr>
      <w:r>
        <w:rPr>
          <w:rStyle w:val="FootnoteReference"/>
        </w:rPr>
        <w:footnoteRef/>
      </w:r>
      <w:r>
        <w:t xml:space="preserve"> Lonsway and Fitzgerald (n 78) 134.</w:t>
      </w:r>
    </w:p>
  </w:footnote>
  <w:footnote w:id="134">
    <w:p w14:paraId="7AD6E28D" w14:textId="031964EF" w:rsidR="0052684C" w:rsidRDefault="0052684C" w:rsidP="005673FC">
      <w:pPr>
        <w:pStyle w:val="FootnoteText"/>
        <w:jc w:val="both"/>
      </w:pPr>
      <w:r>
        <w:rPr>
          <w:rStyle w:val="FootnoteReference"/>
        </w:rPr>
        <w:footnoteRef/>
      </w:r>
      <w:r>
        <w:t xml:space="preserve"> Conaghan and Russell (n 120) 43: ‘it is vital to situate a discussion of rape-supportive attitudes, or myths, within the broader historical context’.</w:t>
      </w:r>
    </w:p>
  </w:footnote>
  <w:footnote w:id="135">
    <w:p w14:paraId="35380CDB" w14:textId="2C3D9AA8" w:rsidR="0052684C" w:rsidRDefault="0052684C" w:rsidP="005673FC">
      <w:pPr>
        <w:pStyle w:val="FootnoteText"/>
        <w:jc w:val="both"/>
      </w:pPr>
      <w:r>
        <w:rPr>
          <w:rStyle w:val="FootnoteReference"/>
        </w:rPr>
        <w:footnoteRef/>
      </w:r>
      <w:r>
        <w:t xml:space="preserve"> Ibid 26.</w:t>
      </w:r>
    </w:p>
  </w:footnote>
  <w:footnote w:id="136">
    <w:p w14:paraId="3CF7516D" w14:textId="075B0BE5" w:rsidR="0052684C" w:rsidRDefault="0052684C" w:rsidP="005673FC">
      <w:pPr>
        <w:pStyle w:val="FootnoteText"/>
        <w:jc w:val="both"/>
      </w:pPr>
      <w:r>
        <w:rPr>
          <w:rStyle w:val="FootnoteReference"/>
        </w:rPr>
        <w:footnoteRef/>
      </w:r>
      <w:r>
        <w:t xml:space="preserve"> Ibid 39</w:t>
      </w:r>
      <w:r w:rsidRPr="00471540">
        <w:t>.</w:t>
      </w:r>
    </w:p>
  </w:footnote>
  <w:footnote w:id="137">
    <w:p w14:paraId="17440348" w14:textId="3C214ED8" w:rsidR="0052684C" w:rsidRDefault="0052684C" w:rsidP="005673FC">
      <w:pPr>
        <w:pStyle w:val="FootnoteText"/>
        <w:jc w:val="both"/>
      </w:pPr>
      <w:r>
        <w:rPr>
          <w:rStyle w:val="FootnoteReference"/>
        </w:rPr>
        <w:footnoteRef/>
      </w:r>
      <w:r>
        <w:t xml:space="preserve"> Ibid.</w:t>
      </w:r>
    </w:p>
  </w:footnote>
  <w:footnote w:id="138">
    <w:p w14:paraId="664FE1F8" w14:textId="31E3DF60" w:rsidR="0052684C" w:rsidRDefault="0052684C" w:rsidP="005673FC">
      <w:pPr>
        <w:pStyle w:val="FootnoteText"/>
        <w:jc w:val="both"/>
      </w:pPr>
      <w:r>
        <w:rPr>
          <w:rStyle w:val="FootnoteReference"/>
        </w:rPr>
        <w:footnoteRef/>
      </w:r>
      <w:r>
        <w:t xml:space="preserve"> Ibid.</w:t>
      </w:r>
    </w:p>
  </w:footnote>
  <w:footnote w:id="139">
    <w:p w14:paraId="7B74D81D" w14:textId="1442B09C" w:rsidR="0052684C" w:rsidRDefault="0052684C" w:rsidP="005673FC">
      <w:pPr>
        <w:pStyle w:val="FootnoteText"/>
        <w:jc w:val="both"/>
      </w:pPr>
      <w:r>
        <w:rPr>
          <w:rStyle w:val="FootnoteReference"/>
        </w:rPr>
        <w:footnoteRef/>
      </w:r>
      <w:r>
        <w:t xml:space="preserve"> S</w:t>
      </w:r>
      <w:r w:rsidRPr="00B3528C">
        <w:t xml:space="preserve">uch as alcohol dependency, mental </w:t>
      </w:r>
      <w:r>
        <w:t>ill-</w:t>
      </w:r>
      <w:r w:rsidRPr="00B3528C">
        <w:t xml:space="preserve">health, attention seeking behaviour, emotional responses that appear unusual or excessive, omitting to resuscitate or call for help, or not using an apnoea </w:t>
      </w:r>
      <w:r>
        <w:t>alarm as instructed or expected.</w:t>
      </w:r>
    </w:p>
  </w:footnote>
  <w:footnote w:id="140">
    <w:p w14:paraId="0E1C96C2" w14:textId="266D9E51" w:rsidR="0052684C" w:rsidRDefault="0052684C" w:rsidP="005673FC">
      <w:pPr>
        <w:pStyle w:val="FootnoteText"/>
        <w:jc w:val="both"/>
      </w:pPr>
      <w:r>
        <w:rPr>
          <w:rStyle w:val="FootnoteReference"/>
        </w:rPr>
        <w:footnoteRef/>
      </w:r>
      <w:r>
        <w:t xml:space="preserve"> </w:t>
      </w:r>
      <w:r w:rsidRPr="00E74D8C">
        <w:t>Cave</w:t>
      </w:r>
      <w:r>
        <w:t xml:space="preserve"> (n 45)</w:t>
      </w:r>
      <w:r w:rsidRPr="00E74D8C">
        <w:t xml:space="preserve"> 5, </w:t>
      </w:r>
      <w:r>
        <w:t xml:space="preserve">and </w:t>
      </w:r>
      <w:r w:rsidRPr="00E74D8C">
        <w:t xml:space="preserve">citing at </w:t>
      </w:r>
      <w:r>
        <w:t xml:space="preserve">n 13, Department of Health, </w:t>
      </w:r>
      <w:r w:rsidRPr="00BD69DC">
        <w:rPr>
          <w:i/>
        </w:rPr>
        <w:t>Smoking Kills, A White Paper on Tobacco</w:t>
      </w:r>
      <w:r w:rsidRPr="00E74D8C">
        <w:t xml:space="preserve"> (Cmnd. 4177 Department of Health 1998)</w:t>
      </w:r>
      <w:r>
        <w:t>.</w:t>
      </w:r>
    </w:p>
  </w:footnote>
  <w:footnote w:id="141">
    <w:p w14:paraId="79D05136" w14:textId="7F630036" w:rsidR="0052684C" w:rsidRDefault="0052684C" w:rsidP="005673FC">
      <w:pPr>
        <w:pStyle w:val="FootnoteText"/>
        <w:jc w:val="both"/>
      </w:pPr>
      <w:r>
        <w:rPr>
          <w:rStyle w:val="FootnoteReference"/>
        </w:rPr>
        <w:footnoteRef/>
      </w:r>
      <w:r>
        <w:t xml:space="preserve"> </w:t>
      </w:r>
      <w:r w:rsidRPr="00E93EC5">
        <w:t>Wolfe</w:t>
      </w:r>
      <w:r>
        <w:t xml:space="preserve"> I,</w:t>
      </w:r>
      <w:r w:rsidRPr="00E93EC5">
        <w:t xml:space="preserve"> Macfarlane </w:t>
      </w:r>
      <w:r>
        <w:t xml:space="preserve">A, Donkin A, </w:t>
      </w:r>
      <w:r w:rsidRPr="00E93EC5">
        <w:t>et al</w:t>
      </w:r>
      <w:r>
        <w:t>.</w:t>
      </w:r>
      <w:r w:rsidRPr="00E93EC5">
        <w:t xml:space="preserve">, </w:t>
      </w:r>
      <w:r w:rsidRPr="00E93EC5">
        <w:rPr>
          <w:i/>
        </w:rPr>
        <w:t>Why Children Die: Death in Infants, Children and Young People in the UK Part A</w:t>
      </w:r>
      <w:r w:rsidRPr="00E93EC5">
        <w:t xml:space="preserve"> (A Report for the British Association for Child and Adolescent Public Health, </w:t>
      </w:r>
      <w:r>
        <w:t>RCPCH</w:t>
      </w:r>
      <w:r w:rsidRPr="00E93EC5">
        <w:t xml:space="preserve"> and Na</w:t>
      </w:r>
      <w:r>
        <w:t>tional Children’s Bureau 2014).</w:t>
      </w:r>
    </w:p>
  </w:footnote>
  <w:footnote w:id="142">
    <w:p w14:paraId="47C8826C" w14:textId="545F03B2" w:rsidR="0052684C" w:rsidRDefault="0052684C" w:rsidP="005673FC">
      <w:pPr>
        <w:pStyle w:val="FootnoteText"/>
        <w:jc w:val="both"/>
      </w:pPr>
      <w:r>
        <w:rPr>
          <w:rStyle w:val="FootnoteReference"/>
        </w:rPr>
        <w:footnoteRef/>
      </w:r>
      <w:r>
        <w:t xml:space="preserve"> Cave (n 45)</w:t>
      </w:r>
      <w:r w:rsidRPr="00FA6F8E">
        <w:rPr>
          <w:color w:val="FF0000"/>
        </w:rPr>
        <w:t xml:space="preserve"> </w:t>
      </w:r>
      <w:r>
        <w:t xml:space="preserve">5, citing </w:t>
      </w:r>
      <w:r w:rsidRPr="005D4AD7">
        <w:t>Jones</w:t>
      </w:r>
      <w:r>
        <w:t xml:space="preserve"> KL, </w:t>
      </w:r>
      <w:r w:rsidRPr="005D4AD7">
        <w:t>Smith</w:t>
      </w:r>
      <w:r>
        <w:t xml:space="preserve"> DW,</w:t>
      </w:r>
      <w:r w:rsidRPr="005D4AD7">
        <w:t xml:space="preserve"> et al</w:t>
      </w:r>
      <w:r>
        <w:t>.</w:t>
      </w:r>
      <w:r w:rsidRPr="005D4AD7">
        <w:t xml:space="preserve">, ‘Patterns of Malformation in Offspring of Chronic Alcoholic Mothers’ </w:t>
      </w:r>
      <w:r>
        <w:t xml:space="preserve">(1973) </w:t>
      </w:r>
      <w:r w:rsidRPr="00587403">
        <w:t>1(7815)</w:t>
      </w:r>
      <w:r>
        <w:t xml:space="preserve"> Lancet 1267. </w:t>
      </w:r>
    </w:p>
  </w:footnote>
  <w:footnote w:id="143">
    <w:p w14:paraId="26378321" w14:textId="35096EB0" w:rsidR="0052684C" w:rsidRDefault="0052684C" w:rsidP="005673FC">
      <w:pPr>
        <w:pStyle w:val="FootnoteText"/>
        <w:jc w:val="both"/>
      </w:pPr>
      <w:r>
        <w:rPr>
          <w:rStyle w:val="FootnoteReference"/>
        </w:rPr>
        <w:footnoteRef/>
      </w:r>
      <w:r>
        <w:t xml:space="preserve"> </w:t>
      </w:r>
      <w:r w:rsidRPr="001E37E8">
        <w:t>Colling</w:t>
      </w:r>
      <w:r>
        <w:t xml:space="preserve"> RT</w:t>
      </w:r>
      <w:r w:rsidRPr="001E37E8">
        <w:t xml:space="preserve"> </w:t>
      </w:r>
      <w:r>
        <w:t xml:space="preserve">and </w:t>
      </w:r>
      <w:r w:rsidRPr="001E37E8">
        <w:t>Gallagher</w:t>
      </w:r>
      <w:r>
        <w:t xml:space="preserve"> PJ,</w:t>
      </w:r>
      <w:r w:rsidRPr="001E37E8">
        <w:t xml:space="preserve"> ‘The Pathology of Unexplained Cardiac Deaths’ in  Money-Kyrle</w:t>
      </w:r>
      <w:r>
        <w:t xml:space="preserve"> R</w:t>
      </w:r>
      <w:r w:rsidRPr="001E37E8">
        <w:t xml:space="preserve">, </w:t>
      </w:r>
      <w:r>
        <w:t>Macleod S, and Money-Kyrle</w:t>
      </w:r>
      <w:r w:rsidRPr="001E37E8">
        <w:t xml:space="preserve"> </w:t>
      </w:r>
      <w:r>
        <w:t xml:space="preserve">A, </w:t>
      </w:r>
      <w:r w:rsidRPr="001E37E8">
        <w:t>‘SAD Cases in</w:t>
      </w:r>
      <w:r>
        <w:t xml:space="preserve"> the Coroners’ Courts’ (Report of a Conference a</w:t>
      </w:r>
      <w:r w:rsidRPr="001E37E8">
        <w:t xml:space="preserve">t The </w:t>
      </w:r>
      <w:r>
        <w:t>University o</w:t>
      </w:r>
      <w:r w:rsidRPr="001E37E8">
        <w:t>f Oxford, The Foundation for Law, Justice and Society 10 January 2013</w:t>
      </w:r>
      <w:r>
        <w:t xml:space="preserve">) 9  and see </w:t>
      </w:r>
      <w:r>
        <w:rPr>
          <w:i/>
        </w:rPr>
        <w:t>Clark (No 2)</w:t>
      </w:r>
      <w:r w:rsidRPr="00335993">
        <w:t xml:space="preserve"> </w:t>
      </w:r>
      <w:r>
        <w:t xml:space="preserve">(n 1). Long QT syndrome is a group of inherited cardiac arrhythmias that are diagnosed using an ECG, and are characterised by the abnormal duration and shape of the QT interval. Such defects, place the subject at risk of ventricular tachycardia and heart failure.  </w:t>
      </w:r>
    </w:p>
  </w:footnote>
  <w:footnote w:id="144">
    <w:p w14:paraId="3AAE4741" w14:textId="549AE6D9" w:rsidR="0052684C" w:rsidRDefault="0052684C" w:rsidP="005673FC">
      <w:pPr>
        <w:pStyle w:val="FootnoteText"/>
        <w:jc w:val="both"/>
      </w:pPr>
      <w:r>
        <w:rPr>
          <w:rStyle w:val="FootnoteReference"/>
        </w:rPr>
        <w:footnoteRef/>
      </w:r>
      <w:r>
        <w:t xml:space="preserve"> </w:t>
      </w:r>
      <w:r>
        <w:rPr>
          <w:i/>
        </w:rPr>
        <w:t>Clark (No 1)</w:t>
      </w:r>
      <w:r w:rsidRPr="006E3BB5">
        <w:t xml:space="preserve"> </w:t>
      </w:r>
      <w:r>
        <w:t>(n 39)</w:t>
      </w:r>
      <w:r w:rsidRPr="006E3BB5">
        <w:t xml:space="preserve"> </w:t>
      </w:r>
      <w:r w:rsidRPr="00CD791F">
        <w:t>para</w:t>
      </w:r>
      <w:r>
        <w:t xml:space="preserve"> 87(5) per Henry LJ.</w:t>
      </w:r>
    </w:p>
  </w:footnote>
  <w:footnote w:id="145">
    <w:p w14:paraId="4AF06047" w14:textId="77777777" w:rsidR="0052684C" w:rsidRDefault="0052684C" w:rsidP="005673FC">
      <w:pPr>
        <w:pStyle w:val="FootnoteText"/>
        <w:jc w:val="both"/>
      </w:pPr>
      <w:r>
        <w:rPr>
          <w:rStyle w:val="FootnoteReference"/>
        </w:rPr>
        <w:footnoteRef/>
      </w:r>
      <w:r>
        <w:t xml:space="preserve"> </w:t>
      </w:r>
      <w:r w:rsidRPr="00F765AC">
        <w:t>Batt</w:t>
      </w:r>
      <w:r>
        <w:t xml:space="preserve"> J</w:t>
      </w:r>
      <w:r w:rsidRPr="00F765AC">
        <w:t xml:space="preserve">, </w:t>
      </w:r>
      <w:r w:rsidRPr="00F765AC">
        <w:rPr>
          <w:i/>
        </w:rPr>
        <w:t>Stolen Innocence</w:t>
      </w:r>
      <w:r w:rsidRPr="00F765AC">
        <w:t xml:space="preserve"> (Ebury Press 2005) </w:t>
      </w:r>
      <w:r>
        <w:t>131 written by a member of Clark’s defence team.</w:t>
      </w:r>
    </w:p>
  </w:footnote>
  <w:footnote w:id="146">
    <w:p w14:paraId="02AA7191" w14:textId="4763561B" w:rsidR="0052684C" w:rsidRDefault="0052684C" w:rsidP="005673FC">
      <w:pPr>
        <w:pStyle w:val="FootnoteText"/>
        <w:jc w:val="both"/>
      </w:pPr>
      <w:r>
        <w:rPr>
          <w:rStyle w:val="FootnoteReference"/>
        </w:rPr>
        <w:footnoteRef/>
      </w:r>
      <w:r>
        <w:t xml:space="preserve"> </w:t>
      </w:r>
      <w:r>
        <w:rPr>
          <w:i/>
        </w:rPr>
        <w:t>Clark (No 1)</w:t>
      </w:r>
      <w:r w:rsidRPr="006E3BB5">
        <w:t xml:space="preserve"> </w:t>
      </w:r>
      <w:r>
        <w:t>(n 39)</w:t>
      </w:r>
      <w:r w:rsidRPr="006E3BB5">
        <w:t xml:space="preserve"> </w:t>
      </w:r>
      <w:r>
        <w:t>paras 34, 43, 65, 69 per Henry LJ.</w:t>
      </w:r>
    </w:p>
  </w:footnote>
  <w:footnote w:id="147">
    <w:p w14:paraId="5FD37F1F" w14:textId="0DBD9FF8" w:rsidR="0052684C" w:rsidRDefault="0052684C" w:rsidP="005673FC">
      <w:pPr>
        <w:pStyle w:val="FootnoteText"/>
        <w:jc w:val="both"/>
      </w:pPr>
      <w:r>
        <w:rPr>
          <w:rStyle w:val="FootnoteReference"/>
        </w:rPr>
        <w:footnoteRef/>
      </w:r>
      <w:r>
        <w:t xml:space="preserve"> Ibid paras</w:t>
      </w:r>
      <w:r w:rsidRPr="00F765AC">
        <w:t xml:space="preserve"> </w:t>
      </w:r>
      <w:r>
        <w:t>35, 36</w:t>
      </w:r>
      <w:r w:rsidRPr="00C67CE7">
        <w:t>.</w:t>
      </w:r>
    </w:p>
  </w:footnote>
  <w:footnote w:id="148">
    <w:p w14:paraId="4FC0B1FD" w14:textId="3EAE9C73" w:rsidR="0052684C" w:rsidRDefault="0052684C" w:rsidP="005673FC">
      <w:pPr>
        <w:pStyle w:val="FootnoteText"/>
        <w:jc w:val="both"/>
      </w:pPr>
      <w:r>
        <w:rPr>
          <w:rStyle w:val="FootnoteReference"/>
        </w:rPr>
        <w:footnoteRef/>
      </w:r>
      <w:r>
        <w:t xml:space="preserve"> Ibid paras</w:t>
      </w:r>
      <w:r w:rsidRPr="00F765AC">
        <w:t xml:space="preserve"> </w:t>
      </w:r>
      <w:r>
        <w:t>43, 64, 69</w:t>
      </w:r>
      <w:r w:rsidRPr="00C67CE7">
        <w:t>.</w:t>
      </w:r>
    </w:p>
  </w:footnote>
  <w:footnote w:id="149">
    <w:p w14:paraId="2E790CB4" w14:textId="4BB4B9D3" w:rsidR="0052684C" w:rsidRDefault="0052684C" w:rsidP="005673FC">
      <w:pPr>
        <w:pStyle w:val="FootnoteText"/>
        <w:jc w:val="both"/>
      </w:pPr>
      <w:r>
        <w:rPr>
          <w:rStyle w:val="FootnoteReference"/>
        </w:rPr>
        <w:footnoteRef/>
      </w:r>
      <w:r>
        <w:t xml:space="preserve"> Ibid</w:t>
      </w:r>
      <w:r w:rsidRPr="00381563">
        <w:t xml:space="preserve"> para 34</w:t>
      </w:r>
      <w:r>
        <w:t>.</w:t>
      </w:r>
    </w:p>
  </w:footnote>
  <w:footnote w:id="150">
    <w:p w14:paraId="74E92E67" w14:textId="6F49A985" w:rsidR="0052684C" w:rsidRDefault="0052684C" w:rsidP="005673FC">
      <w:pPr>
        <w:pStyle w:val="FootnoteText"/>
        <w:jc w:val="both"/>
      </w:pPr>
      <w:r>
        <w:rPr>
          <w:rStyle w:val="FootnoteReference"/>
        </w:rPr>
        <w:footnoteRef/>
      </w:r>
      <w:r>
        <w:t xml:space="preserve"> Ibid</w:t>
      </w:r>
      <w:r w:rsidRPr="00C06516">
        <w:t xml:space="preserve"> para</w:t>
      </w:r>
      <w:r>
        <w:t xml:space="preserve"> 17.</w:t>
      </w:r>
    </w:p>
  </w:footnote>
  <w:footnote w:id="151">
    <w:p w14:paraId="30A61D87" w14:textId="437AE136" w:rsidR="0052684C" w:rsidRDefault="0052684C" w:rsidP="005673FC">
      <w:pPr>
        <w:pStyle w:val="FootnoteText"/>
        <w:jc w:val="both"/>
      </w:pPr>
      <w:r>
        <w:rPr>
          <w:rStyle w:val="FootnoteReference"/>
        </w:rPr>
        <w:footnoteRef/>
      </w:r>
      <w:r>
        <w:t xml:space="preserve"> Ibid.</w:t>
      </w:r>
    </w:p>
  </w:footnote>
  <w:footnote w:id="152">
    <w:p w14:paraId="6FC7A479" w14:textId="77F9334C" w:rsidR="0052684C" w:rsidRDefault="0052684C" w:rsidP="005673FC">
      <w:pPr>
        <w:pStyle w:val="FootnoteText"/>
        <w:jc w:val="both"/>
      </w:pPr>
      <w:r>
        <w:rPr>
          <w:rStyle w:val="FootnoteReference"/>
        </w:rPr>
        <w:footnoteRef/>
      </w:r>
      <w:r>
        <w:rPr>
          <w:i/>
        </w:rPr>
        <w:t xml:space="preserve"> </w:t>
      </w:r>
      <w:r>
        <w:t>Ibid</w:t>
      </w:r>
      <w:r w:rsidRPr="00C06516">
        <w:t xml:space="preserve"> para</w:t>
      </w:r>
      <w:r>
        <w:t xml:space="preserve"> 43.</w:t>
      </w:r>
    </w:p>
  </w:footnote>
  <w:footnote w:id="153">
    <w:p w14:paraId="58FDAD64" w14:textId="079CFBE3" w:rsidR="0052684C" w:rsidRDefault="0052684C" w:rsidP="005673FC">
      <w:pPr>
        <w:pStyle w:val="FootnoteText"/>
        <w:jc w:val="both"/>
      </w:pPr>
      <w:r>
        <w:rPr>
          <w:rStyle w:val="FootnoteReference"/>
        </w:rPr>
        <w:footnoteRef/>
      </w:r>
      <w:r>
        <w:rPr>
          <w:i/>
        </w:rPr>
        <w:t xml:space="preserve"> </w:t>
      </w:r>
      <w:r>
        <w:t>Ibid; Cannings</w:t>
      </w:r>
      <w:r w:rsidRPr="00335993">
        <w:t xml:space="preserve"> </w:t>
      </w:r>
      <w:r>
        <w:t xml:space="preserve">(n 1) para 74 per Judge LJ, referring to the work of the Foundation for the Study of Infant Deaths (FSID). </w:t>
      </w:r>
    </w:p>
  </w:footnote>
  <w:footnote w:id="154">
    <w:p w14:paraId="16F1C3DA" w14:textId="7C1C3B9C" w:rsidR="0052684C" w:rsidRDefault="0052684C" w:rsidP="005673FC">
      <w:pPr>
        <w:pStyle w:val="FootnoteText"/>
        <w:jc w:val="both"/>
      </w:pPr>
      <w:r>
        <w:rPr>
          <w:rStyle w:val="FootnoteReference"/>
        </w:rPr>
        <w:footnoteRef/>
      </w:r>
      <w:r>
        <w:t xml:space="preserve"> </w:t>
      </w:r>
      <w:r>
        <w:rPr>
          <w:i/>
        </w:rPr>
        <w:t>Clark (No 1)</w:t>
      </w:r>
      <w:r w:rsidRPr="006E3BB5">
        <w:t xml:space="preserve"> </w:t>
      </w:r>
      <w:r>
        <w:t>(n 39)</w:t>
      </w:r>
      <w:r w:rsidRPr="006E3BB5">
        <w:t xml:space="preserve"> </w:t>
      </w:r>
      <w:r>
        <w:t>para 87</w:t>
      </w:r>
      <w:r w:rsidRPr="009432E1">
        <w:t>(5)</w:t>
      </w:r>
      <w:r>
        <w:t xml:space="preserve"> per Henry LJ</w:t>
      </w:r>
      <w:r w:rsidRPr="00152B6F">
        <w:t>.</w:t>
      </w:r>
    </w:p>
  </w:footnote>
  <w:footnote w:id="155">
    <w:p w14:paraId="53F33299" w14:textId="2CDF3FEC" w:rsidR="0052684C" w:rsidRDefault="0052684C" w:rsidP="005673FC">
      <w:pPr>
        <w:pStyle w:val="FootnoteText"/>
        <w:jc w:val="both"/>
      </w:pPr>
      <w:r>
        <w:rPr>
          <w:rStyle w:val="FootnoteReference"/>
        </w:rPr>
        <w:footnoteRef/>
      </w:r>
      <w:r>
        <w:t xml:space="preserve"> ‘Baby killer was “lonely drunk”’, </w:t>
      </w:r>
      <w:r w:rsidRPr="00252C15">
        <w:t>BBC News</w:t>
      </w:r>
      <w:r>
        <w:t xml:space="preserve"> (London, 9 November 1999) </w:t>
      </w:r>
      <w:hyperlink r:id="rId14" w:history="1">
        <w:r w:rsidRPr="007A2CCB">
          <w:rPr>
            <w:rStyle w:val="Hyperlink"/>
          </w:rPr>
          <w:t>http://news.bbc.co.uk/1/hi/uk/512099.stm</w:t>
        </w:r>
      </w:hyperlink>
      <w:r>
        <w:t xml:space="preserve"> (accessed 9 April 2015).</w:t>
      </w:r>
    </w:p>
  </w:footnote>
  <w:footnote w:id="156">
    <w:p w14:paraId="33E8FE76" w14:textId="231D4313" w:rsidR="0052684C" w:rsidRDefault="0052684C" w:rsidP="005673FC">
      <w:pPr>
        <w:pStyle w:val="FootnoteText"/>
        <w:jc w:val="both"/>
      </w:pPr>
      <w:r>
        <w:rPr>
          <w:rStyle w:val="FootnoteReference"/>
        </w:rPr>
        <w:footnoteRef/>
      </w:r>
      <w:r>
        <w:t xml:space="preserve"> Ibid.</w:t>
      </w:r>
    </w:p>
  </w:footnote>
  <w:footnote w:id="157">
    <w:p w14:paraId="0C76B768" w14:textId="26FEE4A0" w:rsidR="0052684C" w:rsidRDefault="0052684C" w:rsidP="005673FC">
      <w:pPr>
        <w:pStyle w:val="FootnoteText"/>
        <w:jc w:val="both"/>
      </w:pPr>
      <w:r>
        <w:rPr>
          <w:rStyle w:val="FootnoteReference"/>
        </w:rPr>
        <w:footnoteRef/>
      </w:r>
      <w:r>
        <w:t xml:space="preserve"> The Editor, ‘Mother’s Ruin’, </w:t>
      </w:r>
      <w:r w:rsidRPr="00252C15">
        <w:t>The Lawyer</w:t>
      </w:r>
      <w:r>
        <w:t xml:space="preserve"> (2 February 2002) </w:t>
      </w:r>
      <w:hyperlink r:id="rId15" w:history="1">
        <w:r w:rsidRPr="007A2CCB">
          <w:rPr>
            <w:rStyle w:val="Hyperlink"/>
          </w:rPr>
          <w:t>http://www.thelawyer.com/mother039s-ruin/100860.article</w:t>
        </w:r>
      </w:hyperlink>
      <w:r>
        <w:t xml:space="preserve"> (accessed 22 October 2013).</w:t>
      </w:r>
    </w:p>
  </w:footnote>
  <w:footnote w:id="158">
    <w:p w14:paraId="4166CFA5" w14:textId="39DB13F5" w:rsidR="0052684C" w:rsidRDefault="0052684C" w:rsidP="005673FC">
      <w:pPr>
        <w:pStyle w:val="FootnoteText"/>
        <w:jc w:val="both"/>
      </w:pPr>
      <w:r>
        <w:rPr>
          <w:rStyle w:val="FootnoteReference"/>
        </w:rPr>
        <w:footnoteRef/>
      </w:r>
      <w:r>
        <w:t xml:space="preserve"> </w:t>
      </w:r>
      <w:r>
        <w:rPr>
          <w:i/>
        </w:rPr>
        <w:t>Clark (No 1)</w:t>
      </w:r>
      <w:r w:rsidRPr="006E3BB5">
        <w:t xml:space="preserve"> </w:t>
      </w:r>
      <w:r>
        <w:t>(n 39)</w:t>
      </w:r>
      <w:r w:rsidRPr="006E3BB5">
        <w:t xml:space="preserve"> </w:t>
      </w:r>
      <w:r>
        <w:t>p</w:t>
      </w:r>
      <w:r w:rsidRPr="00B36943">
        <w:t xml:space="preserve">ara </w:t>
      </w:r>
      <w:r>
        <w:t>87(5) per Henry LJ</w:t>
      </w:r>
      <w:r w:rsidRPr="00152B6F">
        <w:t>.</w:t>
      </w:r>
    </w:p>
  </w:footnote>
  <w:footnote w:id="159">
    <w:p w14:paraId="2038D5FE" w14:textId="6B0E6123" w:rsidR="0052684C" w:rsidRDefault="0052684C" w:rsidP="005673FC">
      <w:pPr>
        <w:pStyle w:val="FootnoteText"/>
        <w:jc w:val="both"/>
      </w:pPr>
      <w:r>
        <w:rPr>
          <w:rStyle w:val="FootnoteReference"/>
        </w:rPr>
        <w:footnoteRef/>
      </w:r>
      <w:r>
        <w:t xml:space="preserve"> </w:t>
      </w:r>
      <w:r>
        <w:rPr>
          <w:i/>
        </w:rPr>
        <w:t>Clark (No 2)</w:t>
      </w:r>
      <w:r w:rsidRPr="00335993">
        <w:t xml:space="preserve"> </w:t>
      </w:r>
      <w:r>
        <w:t>(n 1).</w:t>
      </w:r>
    </w:p>
  </w:footnote>
  <w:footnote w:id="160">
    <w:p w14:paraId="3F763E13" w14:textId="2C28FD57" w:rsidR="0052684C" w:rsidRDefault="0052684C" w:rsidP="005673FC">
      <w:pPr>
        <w:pStyle w:val="FootnoteText"/>
        <w:jc w:val="both"/>
      </w:pPr>
      <w:r>
        <w:rPr>
          <w:rStyle w:val="FootnoteReference"/>
        </w:rPr>
        <w:footnoteRef/>
      </w:r>
      <w:r>
        <w:t xml:space="preserve"> </w:t>
      </w:r>
      <w:r w:rsidRPr="00850BF1">
        <w:t>Oakley</w:t>
      </w:r>
      <w:r>
        <w:t xml:space="preserve"> A</w:t>
      </w:r>
      <w:r w:rsidRPr="00850BF1">
        <w:t xml:space="preserve">, </w:t>
      </w:r>
      <w:r w:rsidRPr="00445893">
        <w:rPr>
          <w:i/>
        </w:rPr>
        <w:t>Subject Women</w:t>
      </w:r>
      <w:r>
        <w:t xml:space="preserve"> (Fontana</w:t>
      </w:r>
      <w:r w:rsidRPr="00850BF1">
        <w:t xml:space="preserve"> </w:t>
      </w:r>
      <w:r>
        <w:t>1981) 85.</w:t>
      </w:r>
    </w:p>
  </w:footnote>
  <w:footnote w:id="161">
    <w:p w14:paraId="36383FB6" w14:textId="3B8BBCC9" w:rsidR="0052684C" w:rsidRDefault="0052684C" w:rsidP="005673FC">
      <w:pPr>
        <w:pStyle w:val="FootnoteText"/>
        <w:jc w:val="both"/>
      </w:pPr>
      <w:r>
        <w:rPr>
          <w:rStyle w:val="FootnoteReference"/>
        </w:rPr>
        <w:footnoteRef/>
      </w:r>
      <w:r>
        <w:t xml:space="preserve"> </w:t>
      </w:r>
      <w:r w:rsidRPr="00482063">
        <w:t>Kennedy</w:t>
      </w:r>
      <w:r>
        <w:t xml:space="preserve"> H</w:t>
      </w:r>
      <w:r w:rsidRPr="00482063">
        <w:t xml:space="preserve">, </w:t>
      </w:r>
      <w:r w:rsidRPr="00482063">
        <w:rPr>
          <w:i/>
        </w:rPr>
        <w:t>Eve Was Framed</w:t>
      </w:r>
      <w:r>
        <w:rPr>
          <w:i/>
        </w:rPr>
        <w:t>:</w:t>
      </w:r>
      <w:r w:rsidRPr="00482063">
        <w:rPr>
          <w:i/>
        </w:rPr>
        <w:t xml:space="preserve"> Women and British Justice</w:t>
      </w:r>
      <w:r w:rsidRPr="00482063">
        <w:t xml:space="preserve"> (Vintage 1992) </w:t>
      </w:r>
      <w:r>
        <w:t>25.</w:t>
      </w:r>
    </w:p>
  </w:footnote>
  <w:footnote w:id="162">
    <w:p w14:paraId="26F0F6AB" w14:textId="0819C93D" w:rsidR="0052684C" w:rsidRDefault="0052684C" w:rsidP="005673FC">
      <w:pPr>
        <w:pStyle w:val="FootnoteText"/>
        <w:jc w:val="both"/>
      </w:pPr>
      <w:r>
        <w:rPr>
          <w:rStyle w:val="FootnoteReference"/>
        </w:rPr>
        <w:footnoteRef/>
      </w:r>
      <w:r>
        <w:t xml:space="preserve"> Ibid.</w:t>
      </w:r>
    </w:p>
  </w:footnote>
  <w:footnote w:id="163">
    <w:p w14:paraId="0533D7E4" w14:textId="6B0C2A99" w:rsidR="0052684C" w:rsidRDefault="0052684C" w:rsidP="005673FC">
      <w:pPr>
        <w:pStyle w:val="FootnoteText"/>
        <w:jc w:val="both"/>
      </w:pPr>
      <w:r>
        <w:rPr>
          <w:rStyle w:val="FootnoteReference"/>
        </w:rPr>
        <w:footnoteRef/>
      </w:r>
      <w:r>
        <w:t xml:space="preserve"> For example, Battered Women Syndrome (BWS).  Section</w:t>
      </w:r>
      <w:r w:rsidRPr="001369DD">
        <w:t xml:space="preserve"> 52(1) </w:t>
      </w:r>
      <w:r>
        <w:t xml:space="preserve">of the </w:t>
      </w:r>
      <w:r w:rsidRPr="001369DD">
        <w:t>Coroners and Justice Act 2009</w:t>
      </w:r>
      <w:r>
        <w:t xml:space="preserve"> defines the defence of diminished responsibility as available where the defendant was suffering from an</w:t>
      </w:r>
      <w:r w:rsidRPr="001369DD">
        <w:t xml:space="preserve"> ‘abnormality of mental functioning’, which arose from a ‘recognised medical condition’, ‘substantially impaired D’s ability</w:t>
      </w:r>
      <w:r>
        <w:t>’</w:t>
      </w:r>
      <w:r w:rsidRPr="001369DD">
        <w:t xml:space="preserve"> to understand the nature of her conduct, form a rational judgment, or exercise self-control, and ‘provides an explanation’ for D's </w:t>
      </w:r>
      <w:r>
        <w:t>‘</w:t>
      </w:r>
      <w:r w:rsidRPr="001369DD">
        <w:t>doing or being a party to the killing’.</w:t>
      </w:r>
    </w:p>
  </w:footnote>
  <w:footnote w:id="164">
    <w:p w14:paraId="30EDEA2B" w14:textId="57D5BFBC" w:rsidR="0052684C" w:rsidRDefault="0052684C" w:rsidP="005673FC">
      <w:pPr>
        <w:pStyle w:val="FootnoteText"/>
        <w:jc w:val="both"/>
      </w:pPr>
      <w:r>
        <w:rPr>
          <w:rStyle w:val="FootnoteReference"/>
        </w:rPr>
        <w:footnoteRef/>
      </w:r>
      <w:r>
        <w:t xml:space="preserve"> Rape Trauma Syndrome (RTS); see </w:t>
      </w:r>
      <w:r w:rsidRPr="00B006F6">
        <w:t xml:space="preserve">Burgess AW and Holmstrom LL, </w:t>
      </w:r>
      <w:r w:rsidRPr="007A2A21">
        <w:rPr>
          <w:i/>
        </w:rPr>
        <w:t>Rape—Crisis and Recovery</w:t>
      </w:r>
      <w:r w:rsidRPr="00B006F6">
        <w:t xml:space="preserve"> (Brady 1979) 35.</w:t>
      </w:r>
    </w:p>
  </w:footnote>
  <w:footnote w:id="165">
    <w:p w14:paraId="323D5122" w14:textId="358DB178" w:rsidR="0052684C" w:rsidRDefault="0052684C" w:rsidP="005673FC">
      <w:pPr>
        <w:pStyle w:val="FootnoteText"/>
        <w:jc w:val="both"/>
      </w:pPr>
      <w:r>
        <w:rPr>
          <w:rStyle w:val="FootnoteReference"/>
        </w:rPr>
        <w:footnoteRef/>
      </w:r>
      <w:r>
        <w:t xml:space="preserve"> Ellison L, ‘Closing the Credibility Gap: The Prosecutorial Use of Expert Witness Testimony in Sexual Assault Cases’ (2005) 9 Evid &amp; Proof 239, 251.</w:t>
      </w:r>
    </w:p>
  </w:footnote>
  <w:footnote w:id="166">
    <w:p w14:paraId="755E5333" w14:textId="53270B1E" w:rsidR="0052684C" w:rsidRDefault="0052684C" w:rsidP="005673FC">
      <w:pPr>
        <w:pStyle w:val="FootnoteText"/>
        <w:jc w:val="both"/>
      </w:pPr>
      <w:r>
        <w:rPr>
          <w:rStyle w:val="FootnoteReference"/>
        </w:rPr>
        <w:footnoteRef/>
      </w:r>
      <w:r>
        <w:t xml:space="preserve"> Ibid.</w:t>
      </w:r>
    </w:p>
  </w:footnote>
  <w:footnote w:id="167">
    <w:p w14:paraId="3EAAC12A" w14:textId="1F7855D7" w:rsidR="0052684C" w:rsidRDefault="0052684C" w:rsidP="005673FC">
      <w:pPr>
        <w:pStyle w:val="FootnoteText"/>
        <w:jc w:val="both"/>
      </w:pPr>
      <w:r>
        <w:rPr>
          <w:rStyle w:val="FootnoteReference"/>
        </w:rPr>
        <w:footnoteRef/>
      </w:r>
      <w:r>
        <w:t xml:space="preserve"> Rumney PNS, ‘False Allegations of Rape’ [2006] Cambridge L J 128; Ellison L and Munro VE, ‘Reacting to Rape: Exploring Mock Jurors’ Assessments of Complainant Credibility’ (2009) 49(2) Br J Criminol 202.</w:t>
      </w:r>
    </w:p>
  </w:footnote>
  <w:footnote w:id="168">
    <w:p w14:paraId="37C148FE" w14:textId="25451575" w:rsidR="0052684C" w:rsidRDefault="0052684C" w:rsidP="005673FC">
      <w:pPr>
        <w:pStyle w:val="FootnoteText"/>
        <w:jc w:val="both"/>
      </w:pPr>
      <w:r>
        <w:rPr>
          <w:rStyle w:val="FootnoteReference"/>
        </w:rPr>
        <w:footnoteRef/>
      </w:r>
      <w:r>
        <w:t xml:space="preserve"> Rumney, ibid 135-6, 141; Temkin J, ‘Reporting Rape in London: A Qualitative Study’ (1999) 38 How J Crim Just 17, 23, 27; Temkin, J, ‘Plus Ça Change: Reporting Rape in the 1990s’ (1997) 37 Br J Criminol 507, 516.</w:t>
      </w:r>
    </w:p>
  </w:footnote>
  <w:footnote w:id="169">
    <w:p w14:paraId="0D19FEDC" w14:textId="3002CEC6" w:rsidR="0052684C" w:rsidRDefault="0052684C" w:rsidP="005673FC">
      <w:pPr>
        <w:pStyle w:val="FootnoteText"/>
        <w:jc w:val="both"/>
      </w:pPr>
      <w:r>
        <w:rPr>
          <w:rStyle w:val="FootnoteReference"/>
        </w:rPr>
        <w:footnoteRef/>
      </w:r>
      <w:r>
        <w:t xml:space="preserve"> </w:t>
      </w:r>
      <w:r w:rsidRPr="0086413D">
        <w:rPr>
          <w:i/>
        </w:rPr>
        <w:t>Clark</w:t>
      </w:r>
      <w:r>
        <w:t xml:space="preserve"> (No 1) (n 39) </w:t>
      </w:r>
      <w:r w:rsidRPr="00D33ACE">
        <w:t>para 36 per Henry LJ.</w:t>
      </w:r>
    </w:p>
  </w:footnote>
  <w:footnote w:id="170">
    <w:p w14:paraId="3952F572" w14:textId="7254C14F" w:rsidR="0052684C" w:rsidRDefault="0052684C" w:rsidP="005673FC">
      <w:pPr>
        <w:pStyle w:val="FootnoteText"/>
        <w:jc w:val="both"/>
      </w:pPr>
      <w:r>
        <w:rPr>
          <w:rStyle w:val="FootnoteReference"/>
        </w:rPr>
        <w:footnoteRef/>
      </w:r>
      <w:r>
        <w:t xml:space="preserve"> Ibid.</w:t>
      </w:r>
    </w:p>
  </w:footnote>
  <w:footnote w:id="171">
    <w:p w14:paraId="3E9EE0BE" w14:textId="2E31DEAD" w:rsidR="0052684C" w:rsidRDefault="0052684C" w:rsidP="005673FC">
      <w:pPr>
        <w:pStyle w:val="FootnoteText"/>
        <w:jc w:val="both"/>
      </w:pPr>
      <w:r>
        <w:rPr>
          <w:rStyle w:val="FootnoteReference"/>
        </w:rPr>
        <w:footnoteRef/>
      </w:r>
      <w:r>
        <w:t xml:space="preserve"> Ibid</w:t>
      </w:r>
      <w:r w:rsidRPr="00D33ACE">
        <w:t xml:space="preserve"> para </w:t>
      </w:r>
      <w:r>
        <w:t>18</w:t>
      </w:r>
      <w:r w:rsidRPr="00D33ACE">
        <w:t>.</w:t>
      </w:r>
    </w:p>
  </w:footnote>
  <w:footnote w:id="172">
    <w:p w14:paraId="7020BA0E" w14:textId="4A385442" w:rsidR="0052684C" w:rsidRDefault="0052684C" w:rsidP="005673FC">
      <w:pPr>
        <w:pStyle w:val="FootnoteText"/>
        <w:jc w:val="both"/>
      </w:pPr>
      <w:r>
        <w:rPr>
          <w:rStyle w:val="FootnoteReference"/>
        </w:rPr>
        <w:footnoteRef/>
      </w:r>
      <w:r>
        <w:t xml:space="preserve"> Ibid</w:t>
      </w:r>
      <w:r w:rsidRPr="00D33ACE">
        <w:t xml:space="preserve"> para </w:t>
      </w:r>
      <w:r>
        <w:t>37</w:t>
      </w:r>
      <w:r w:rsidRPr="00D33ACE">
        <w:t>.</w:t>
      </w:r>
    </w:p>
  </w:footnote>
  <w:footnote w:id="173">
    <w:p w14:paraId="328E8D8B" w14:textId="1613F481" w:rsidR="0052684C" w:rsidRDefault="0052684C" w:rsidP="005673FC">
      <w:pPr>
        <w:pStyle w:val="FootnoteText"/>
        <w:jc w:val="both"/>
      </w:pPr>
      <w:r>
        <w:rPr>
          <w:rStyle w:val="FootnoteReference"/>
        </w:rPr>
        <w:footnoteRef/>
      </w:r>
      <w:r>
        <w:t xml:space="preserve"> Ibid</w:t>
      </w:r>
      <w:r w:rsidRPr="00D33ACE">
        <w:t xml:space="preserve"> para </w:t>
      </w:r>
      <w:r>
        <w:t>18</w:t>
      </w:r>
      <w:r w:rsidRPr="00D33ACE">
        <w:t>.</w:t>
      </w:r>
    </w:p>
  </w:footnote>
  <w:footnote w:id="174">
    <w:p w14:paraId="21D8DB0D" w14:textId="4F3C4EE2" w:rsidR="0052684C" w:rsidRDefault="0052684C" w:rsidP="005673FC">
      <w:pPr>
        <w:pStyle w:val="FootnoteText"/>
        <w:jc w:val="both"/>
      </w:pPr>
      <w:r>
        <w:rPr>
          <w:rStyle w:val="FootnoteReference"/>
        </w:rPr>
        <w:footnoteRef/>
      </w:r>
      <w:r>
        <w:t xml:space="preserve"> Ibid.</w:t>
      </w:r>
    </w:p>
  </w:footnote>
  <w:footnote w:id="175">
    <w:p w14:paraId="17583520" w14:textId="3B4B2892" w:rsidR="0052684C" w:rsidRDefault="0052684C" w:rsidP="005673FC">
      <w:pPr>
        <w:pStyle w:val="FootnoteText"/>
        <w:jc w:val="both"/>
      </w:pPr>
      <w:r>
        <w:rPr>
          <w:rStyle w:val="FootnoteReference"/>
        </w:rPr>
        <w:footnoteRef/>
      </w:r>
      <w:r>
        <w:t xml:space="preserve"> Ibid.</w:t>
      </w:r>
    </w:p>
  </w:footnote>
  <w:footnote w:id="176">
    <w:p w14:paraId="2DFAD754" w14:textId="787BF5D4" w:rsidR="0052684C" w:rsidRDefault="0052684C" w:rsidP="005673FC">
      <w:pPr>
        <w:pStyle w:val="FootnoteText"/>
        <w:jc w:val="both"/>
      </w:pPr>
      <w:r>
        <w:rPr>
          <w:rStyle w:val="FootnoteReference"/>
        </w:rPr>
        <w:footnoteRef/>
      </w:r>
      <w:r>
        <w:t xml:space="preserve"> Ibid</w:t>
      </w:r>
      <w:r>
        <w:rPr>
          <w:i/>
        </w:rPr>
        <w:t>.</w:t>
      </w:r>
    </w:p>
  </w:footnote>
  <w:footnote w:id="177">
    <w:p w14:paraId="0B238F08" w14:textId="6C93C3E9" w:rsidR="0052684C" w:rsidRDefault="0052684C" w:rsidP="005673FC">
      <w:pPr>
        <w:pStyle w:val="FootnoteText"/>
        <w:jc w:val="both"/>
      </w:pPr>
      <w:r>
        <w:rPr>
          <w:rStyle w:val="FootnoteReference"/>
        </w:rPr>
        <w:footnoteRef/>
      </w:r>
      <w:r>
        <w:t xml:space="preserve"> Ibid para 19.</w:t>
      </w:r>
    </w:p>
  </w:footnote>
  <w:footnote w:id="178">
    <w:p w14:paraId="6E32CD64" w14:textId="095EB952" w:rsidR="0052684C" w:rsidRDefault="0052684C" w:rsidP="005673FC">
      <w:pPr>
        <w:pStyle w:val="FootnoteText"/>
        <w:jc w:val="both"/>
      </w:pPr>
      <w:r>
        <w:rPr>
          <w:rStyle w:val="FootnoteReference"/>
        </w:rPr>
        <w:footnoteRef/>
      </w:r>
      <w:r>
        <w:t xml:space="preserve"> Ibid</w:t>
      </w:r>
      <w:r>
        <w:rPr>
          <w:i/>
        </w:rPr>
        <w:t>.</w:t>
      </w:r>
    </w:p>
  </w:footnote>
  <w:footnote w:id="179">
    <w:p w14:paraId="2DFE6AF8" w14:textId="69F8D7AF" w:rsidR="0052684C" w:rsidRDefault="0052684C" w:rsidP="005673FC">
      <w:pPr>
        <w:pStyle w:val="FootnoteText"/>
        <w:jc w:val="both"/>
      </w:pPr>
      <w:r>
        <w:rPr>
          <w:rStyle w:val="FootnoteReference"/>
        </w:rPr>
        <w:footnoteRef/>
      </w:r>
      <w:r>
        <w:t xml:space="preserve"> Ibid</w:t>
      </w:r>
      <w:r>
        <w:rPr>
          <w:i/>
        </w:rPr>
        <w:t>.</w:t>
      </w:r>
    </w:p>
  </w:footnote>
  <w:footnote w:id="180">
    <w:p w14:paraId="145A6677" w14:textId="0613082E" w:rsidR="0052684C" w:rsidRDefault="0052684C" w:rsidP="005673FC">
      <w:pPr>
        <w:pStyle w:val="FootnoteText"/>
        <w:jc w:val="both"/>
      </w:pPr>
      <w:r>
        <w:rPr>
          <w:rStyle w:val="FootnoteReference"/>
        </w:rPr>
        <w:footnoteRef/>
      </w:r>
      <w:r>
        <w:t xml:space="preserve"> Ibid.</w:t>
      </w:r>
    </w:p>
  </w:footnote>
  <w:footnote w:id="181">
    <w:p w14:paraId="6B19A9D0" w14:textId="7FE9DDB2" w:rsidR="0052684C" w:rsidRDefault="0052684C" w:rsidP="005673FC">
      <w:pPr>
        <w:pStyle w:val="FootnoteText"/>
        <w:jc w:val="both"/>
      </w:pPr>
      <w:r>
        <w:rPr>
          <w:rStyle w:val="FootnoteReference"/>
        </w:rPr>
        <w:footnoteRef/>
      </w:r>
      <w:r>
        <w:t xml:space="preserve"> Ibid.</w:t>
      </w:r>
    </w:p>
  </w:footnote>
  <w:footnote w:id="182">
    <w:p w14:paraId="52946E72" w14:textId="5415781B" w:rsidR="0052684C" w:rsidRDefault="0052684C" w:rsidP="005673FC">
      <w:pPr>
        <w:pStyle w:val="FootnoteText"/>
        <w:jc w:val="both"/>
      </w:pPr>
      <w:r>
        <w:rPr>
          <w:rStyle w:val="FootnoteReference"/>
        </w:rPr>
        <w:footnoteRef/>
      </w:r>
      <w:r>
        <w:t xml:space="preserve"> Ibid para</w:t>
      </w:r>
      <w:r w:rsidRPr="00C00DF1">
        <w:t xml:space="preserve"> </w:t>
      </w:r>
      <w:r>
        <w:t>20</w:t>
      </w:r>
      <w:r w:rsidRPr="003A1046">
        <w:t>.</w:t>
      </w:r>
    </w:p>
  </w:footnote>
  <w:footnote w:id="183">
    <w:p w14:paraId="235DFC2F" w14:textId="00D10D6C" w:rsidR="0052684C" w:rsidRDefault="0052684C" w:rsidP="005673FC">
      <w:pPr>
        <w:pStyle w:val="FootnoteText"/>
        <w:jc w:val="both"/>
      </w:pPr>
      <w:r>
        <w:rPr>
          <w:rStyle w:val="FootnoteReference"/>
        </w:rPr>
        <w:footnoteRef/>
      </w:r>
      <w:r>
        <w:t xml:space="preserve"> </w:t>
      </w:r>
      <w:r w:rsidRPr="00307584">
        <w:t xml:space="preserve">Batt </w:t>
      </w:r>
      <w:r>
        <w:t>(n 144</w:t>
      </w:r>
      <w:r w:rsidRPr="00307584">
        <w:t xml:space="preserve">) </w:t>
      </w:r>
      <w:r>
        <w:t>32.</w:t>
      </w:r>
    </w:p>
  </w:footnote>
  <w:footnote w:id="184">
    <w:p w14:paraId="67A058B6" w14:textId="205233D3" w:rsidR="0052684C" w:rsidRDefault="0052684C" w:rsidP="005673FC">
      <w:pPr>
        <w:pStyle w:val="FootnoteText"/>
        <w:jc w:val="both"/>
      </w:pPr>
      <w:r>
        <w:rPr>
          <w:rStyle w:val="FootnoteReference"/>
        </w:rPr>
        <w:footnoteRef/>
      </w:r>
      <w:r>
        <w:t xml:space="preserve"> </w:t>
      </w:r>
      <w:r>
        <w:rPr>
          <w:i/>
        </w:rPr>
        <w:t>Clark (No 1)</w:t>
      </w:r>
      <w:r w:rsidRPr="006E3BB5">
        <w:t xml:space="preserve"> </w:t>
      </w:r>
      <w:r>
        <w:t>(n 39)</w:t>
      </w:r>
      <w:r w:rsidRPr="006E3BB5">
        <w:t xml:space="preserve"> </w:t>
      </w:r>
      <w:r>
        <w:t>para 20</w:t>
      </w:r>
      <w:r w:rsidRPr="003A1046">
        <w:rPr>
          <w:rFonts w:cstheme="minorBidi"/>
          <w:sz w:val="24"/>
          <w:szCs w:val="22"/>
        </w:rPr>
        <w:t xml:space="preserve"> </w:t>
      </w:r>
      <w:r w:rsidRPr="003A1046">
        <w:t>per Henry LJ.</w:t>
      </w:r>
    </w:p>
  </w:footnote>
  <w:footnote w:id="185">
    <w:p w14:paraId="0D781C75" w14:textId="4719DA0E" w:rsidR="0052684C" w:rsidRDefault="0052684C" w:rsidP="005673FC">
      <w:pPr>
        <w:pStyle w:val="FootnoteText"/>
        <w:jc w:val="both"/>
      </w:pPr>
      <w:r>
        <w:rPr>
          <w:rStyle w:val="FootnoteReference"/>
        </w:rPr>
        <w:footnoteRef/>
      </w:r>
      <w:r>
        <w:t xml:space="preserve"> Ibid paras</w:t>
      </w:r>
      <w:r w:rsidRPr="002A2F1A">
        <w:t xml:space="preserve"> </w:t>
      </w:r>
      <w:r>
        <w:t>89(1), 257</w:t>
      </w:r>
      <w:r w:rsidRPr="003A1046">
        <w:t>.</w:t>
      </w:r>
    </w:p>
  </w:footnote>
  <w:footnote w:id="186">
    <w:p w14:paraId="53E85BEA" w14:textId="4C2AC245" w:rsidR="0052684C" w:rsidRDefault="0052684C" w:rsidP="005673FC">
      <w:pPr>
        <w:pStyle w:val="FootnoteText"/>
        <w:jc w:val="both"/>
      </w:pPr>
      <w:r>
        <w:rPr>
          <w:rStyle w:val="FootnoteReference"/>
        </w:rPr>
        <w:footnoteRef/>
      </w:r>
      <w:r>
        <w:t xml:space="preserve"> Ibid para 240</w:t>
      </w:r>
      <w:r w:rsidRPr="003A1046">
        <w:t>.</w:t>
      </w:r>
    </w:p>
  </w:footnote>
  <w:footnote w:id="187">
    <w:p w14:paraId="141B0EAE" w14:textId="1F276091" w:rsidR="0052684C" w:rsidRPr="00730DB2" w:rsidRDefault="0052684C" w:rsidP="005673FC">
      <w:pPr>
        <w:pStyle w:val="FootnoteText"/>
        <w:jc w:val="both"/>
      </w:pPr>
      <w:r w:rsidRPr="00730DB2">
        <w:rPr>
          <w:rStyle w:val="FootnoteReference"/>
        </w:rPr>
        <w:footnoteRef/>
      </w:r>
      <w:r w:rsidRPr="00730DB2">
        <w:t xml:space="preserve"> </w:t>
      </w:r>
      <w:r>
        <w:t>Ellison ‘</w:t>
      </w:r>
      <w:r w:rsidRPr="002D4CDC">
        <w:t>Closing the Credibility Gap</w:t>
      </w:r>
      <w:r>
        <w:t xml:space="preserve">’ (n 164) </w:t>
      </w:r>
      <w:r w:rsidRPr="00730DB2">
        <w:t xml:space="preserve">243 citing at n 28 Petrak J and Hedge B, </w:t>
      </w:r>
      <w:r w:rsidRPr="00730DB2">
        <w:rPr>
          <w:i/>
        </w:rPr>
        <w:t>The Trauma of Sexual Assault: Treatment, Prevention and Practice</w:t>
      </w:r>
      <w:r>
        <w:t xml:space="preserve"> (Wiley </w:t>
      </w:r>
      <w:r w:rsidRPr="00730DB2">
        <w:t>2002).</w:t>
      </w:r>
    </w:p>
  </w:footnote>
  <w:footnote w:id="188">
    <w:p w14:paraId="6D0EE78D" w14:textId="5F52A8F4" w:rsidR="0052684C" w:rsidRPr="00730DB2" w:rsidRDefault="0052684C" w:rsidP="005673FC">
      <w:pPr>
        <w:pStyle w:val="FootnoteText"/>
        <w:jc w:val="both"/>
      </w:pPr>
      <w:r w:rsidRPr="00730DB2">
        <w:rPr>
          <w:rStyle w:val="FootnoteReference"/>
        </w:rPr>
        <w:footnoteRef/>
      </w:r>
      <w:r w:rsidRPr="00730DB2">
        <w:t xml:space="preserve"> </w:t>
      </w:r>
      <w:r>
        <w:t xml:space="preserve">Ellison, ibid </w:t>
      </w:r>
      <w:r w:rsidRPr="00730DB2">
        <w:t>citing at n 19 Brewer N, Potter R, Fisher R</w:t>
      </w:r>
      <w:r>
        <w:t>,</w:t>
      </w:r>
      <w:r w:rsidRPr="00730DB2">
        <w:t xml:space="preserve"> et al</w:t>
      </w:r>
      <w:r>
        <w:t>.</w:t>
      </w:r>
      <w:r w:rsidRPr="00730DB2">
        <w:t>, ‘Beliefs and Data on the Relationship Between Consistency and Accuracy of Eyewitness Testimony’ (1999) 13</w:t>
      </w:r>
      <w:r>
        <w:t xml:space="preserve"> Appl Cognitive Psych 297, 310: </w:t>
      </w:r>
      <w:r w:rsidRPr="00730DB2">
        <w:t>‘</w:t>
      </w:r>
      <w:r w:rsidRPr="00730DB2">
        <w:rPr>
          <w:color w:val="000000"/>
        </w:rPr>
        <w:t>The influence of testimonial inconsistencies on juror judgments has, however, been specifically examined in several mock-juror studies. This research indicates that highlighting or eliciting inconsistencies in a witnes</w:t>
      </w:r>
      <w:r>
        <w:rPr>
          <w:color w:val="000000"/>
        </w:rPr>
        <w:t xml:space="preserve">s's statements is likely to be </w:t>
      </w:r>
      <w:r w:rsidRPr="00730DB2">
        <w:rPr>
          <w:color w:val="000000"/>
        </w:rPr>
        <w:t>an extremely effective means of discrediting the witness’.</w:t>
      </w:r>
    </w:p>
  </w:footnote>
  <w:footnote w:id="189">
    <w:p w14:paraId="6FD5EADB" w14:textId="55D182FE" w:rsidR="0052684C" w:rsidRDefault="0052684C" w:rsidP="005673FC">
      <w:pPr>
        <w:pStyle w:val="FootnoteText"/>
        <w:jc w:val="both"/>
      </w:pPr>
      <w:r>
        <w:rPr>
          <w:rStyle w:val="FootnoteReference"/>
        </w:rPr>
        <w:footnoteRef/>
      </w:r>
      <w:r>
        <w:t xml:space="preserve"> </w:t>
      </w:r>
      <w:r>
        <w:rPr>
          <w:i/>
        </w:rPr>
        <w:t>Clark (No 1)</w:t>
      </w:r>
      <w:r w:rsidRPr="006E3BB5">
        <w:t xml:space="preserve"> </w:t>
      </w:r>
      <w:r>
        <w:t>(n 39)</w:t>
      </w:r>
      <w:r w:rsidRPr="006E3BB5">
        <w:t xml:space="preserve"> </w:t>
      </w:r>
      <w:r w:rsidRPr="00945464">
        <w:t xml:space="preserve">para </w:t>
      </w:r>
      <w:r>
        <w:t>3</w:t>
      </w:r>
      <w:r w:rsidRPr="00945464">
        <w:t xml:space="preserve"> per Henry LJ.</w:t>
      </w:r>
    </w:p>
  </w:footnote>
  <w:footnote w:id="190">
    <w:p w14:paraId="7C9FBD47" w14:textId="537D6BA6" w:rsidR="0052684C" w:rsidRDefault="0052684C" w:rsidP="005673FC">
      <w:pPr>
        <w:pStyle w:val="FootnoteText"/>
        <w:jc w:val="both"/>
      </w:pPr>
      <w:r>
        <w:rPr>
          <w:rStyle w:val="FootnoteReference"/>
        </w:rPr>
        <w:footnoteRef/>
      </w:r>
      <w:r>
        <w:t xml:space="preserve"> Ibid para 44</w:t>
      </w:r>
      <w:r w:rsidRPr="003A1046">
        <w:t>.</w:t>
      </w:r>
    </w:p>
  </w:footnote>
  <w:footnote w:id="191">
    <w:p w14:paraId="172D5863" w14:textId="3F064C54" w:rsidR="0052684C" w:rsidRDefault="0052684C" w:rsidP="005673FC">
      <w:pPr>
        <w:pStyle w:val="FootnoteText"/>
        <w:jc w:val="both"/>
      </w:pPr>
      <w:r>
        <w:rPr>
          <w:rStyle w:val="FootnoteReference"/>
        </w:rPr>
        <w:footnoteRef/>
      </w:r>
      <w:r>
        <w:t xml:space="preserve"> Ibid para </w:t>
      </w:r>
      <w:r w:rsidRPr="006D7AD5">
        <w:t>258</w:t>
      </w:r>
      <w:r w:rsidRPr="003A1046">
        <w:t>.</w:t>
      </w:r>
    </w:p>
  </w:footnote>
  <w:footnote w:id="192">
    <w:p w14:paraId="41A490BA" w14:textId="20DE79E2" w:rsidR="0052684C" w:rsidRDefault="0052684C" w:rsidP="005673FC">
      <w:pPr>
        <w:pStyle w:val="FootnoteText"/>
        <w:jc w:val="both"/>
      </w:pPr>
      <w:r>
        <w:rPr>
          <w:rStyle w:val="FootnoteReference"/>
        </w:rPr>
        <w:footnoteRef/>
      </w:r>
      <w:r>
        <w:t xml:space="preserve"> Ibid.</w:t>
      </w:r>
    </w:p>
  </w:footnote>
  <w:footnote w:id="193">
    <w:p w14:paraId="61510357" w14:textId="56409C2C" w:rsidR="0052684C" w:rsidRDefault="0052684C" w:rsidP="005673FC">
      <w:pPr>
        <w:pStyle w:val="FootnoteText"/>
        <w:jc w:val="both"/>
      </w:pPr>
      <w:r>
        <w:rPr>
          <w:rStyle w:val="FootnoteReference"/>
        </w:rPr>
        <w:footnoteRef/>
      </w:r>
      <w:r>
        <w:t xml:space="preserve"> Ibid </w:t>
      </w:r>
      <w:r w:rsidRPr="00072379">
        <w:t>pa</w:t>
      </w:r>
      <w:r>
        <w:t>ras 65, 66</w:t>
      </w:r>
      <w:r w:rsidRPr="003A1046">
        <w:t>.</w:t>
      </w:r>
    </w:p>
  </w:footnote>
  <w:footnote w:id="194">
    <w:p w14:paraId="7BF9FD4A" w14:textId="0D01BDD9" w:rsidR="0052684C" w:rsidRDefault="0052684C" w:rsidP="005673FC">
      <w:pPr>
        <w:pStyle w:val="FootnoteText"/>
        <w:jc w:val="both"/>
      </w:pPr>
      <w:r>
        <w:rPr>
          <w:rStyle w:val="FootnoteReference"/>
        </w:rPr>
        <w:footnoteRef/>
      </w:r>
      <w:r>
        <w:rPr>
          <w:i/>
        </w:rPr>
        <w:t xml:space="preserve"> </w:t>
      </w:r>
      <w:r>
        <w:t xml:space="preserve">Ibid </w:t>
      </w:r>
      <w:r w:rsidRPr="00333298">
        <w:t>p</w:t>
      </w:r>
      <w:r>
        <w:t>aras</w:t>
      </w:r>
      <w:r w:rsidRPr="00333298">
        <w:t xml:space="preserve"> </w:t>
      </w:r>
      <w:r>
        <w:t>46, 67, 270</w:t>
      </w:r>
      <w:r w:rsidRPr="003A1046">
        <w:t>.</w:t>
      </w:r>
    </w:p>
  </w:footnote>
  <w:footnote w:id="195">
    <w:p w14:paraId="4076F42C" w14:textId="1775B692" w:rsidR="0052684C" w:rsidRDefault="0052684C" w:rsidP="005673FC">
      <w:pPr>
        <w:pStyle w:val="FootnoteText"/>
        <w:jc w:val="both"/>
      </w:pPr>
      <w:r>
        <w:rPr>
          <w:rStyle w:val="FootnoteReference"/>
        </w:rPr>
        <w:footnoteRef/>
      </w:r>
      <w:r>
        <w:t xml:space="preserve"> Ibid para</w:t>
      </w:r>
      <w:r w:rsidRPr="002D421A">
        <w:t xml:space="preserve"> 270</w:t>
      </w:r>
      <w:r w:rsidRPr="003A1046">
        <w:t>.</w:t>
      </w:r>
    </w:p>
  </w:footnote>
  <w:footnote w:id="196">
    <w:p w14:paraId="2E82123A" w14:textId="26A7E6FE" w:rsidR="0052684C" w:rsidRDefault="0052684C" w:rsidP="005673FC">
      <w:pPr>
        <w:pStyle w:val="FootnoteText"/>
        <w:jc w:val="both"/>
      </w:pPr>
      <w:r>
        <w:rPr>
          <w:rStyle w:val="FootnoteReference"/>
        </w:rPr>
        <w:footnoteRef/>
      </w:r>
      <w:r>
        <w:t xml:space="preserve"> Ibid.</w:t>
      </w:r>
    </w:p>
  </w:footnote>
  <w:footnote w:id="197">
    <w:p w14:paraId="4F021788" w14:textId="48C74D12" w:rsidR="0052684C" w:rsidRDefault="0052684C" w:rsidP="005673FC">
      <w:pPr>
        <w:pStyle w:val="FootnoteText"/>
        <w:jc w:val="both"/>
      </w:pPr>
      <w:r>
        <w:rPr>
          <w:rStyle w:val="FootnoteReference"/>
        </w:rPr>
        <w:footnoteRef/>
      </w:r>
      <w:r>
        <w:t xml:space="preserve"> Ibid para</w:t>
      </w:r>
      <w:r w:rsidRPr="006567B8">
        <w:t xml:space="preserve"> </w:t>
      </w:r>
      <w:r>
        <w:t>46</w:t>
      </w:r>
      <w:r w:rsidRPr="00F00B03">
        <w:t>.</w:t>
      </w:r>
    </w:p>
  </w:footnote>
  <w:footnote w:id="198">
    <w:p w14:paraId="1E4D9BCB" w14:textId="296FBA89" w:rsidR="0052684C" w:rsidRDefault="0052684C" w:rsidP="005673FC">
      <w:pPr>
        <w:pStyle w:val="FootnoteText"/>
        <w:jc w:val="both"/>
      </w:pPr>
      <w:r>
        <w:rPr>
          <w:rStyle w:val="FootnoteReference"/>
        </w:rPr>
        <w:footnoteRef/>
      </w:r>
      <w:r>
        <w:t xml:space="preserve"> </w:t>
      </w:r>
      <w:r w:rsidRPr="0024536A">
        <w:t>Brabin</w:t>
      </w:r>
      <w:r>
        <w:t xml:space="preserve"> P, ‘Editorial: Understanding and Managing Grief after Perinatal Loss’ (2014) (4) Grief Matters 31; Wilson T, ‘</w:t>
      </w:r>
      <w:r w:rsidRPr="0024536A">
        <w:t>Perinatal Loss: Application of Loss and Grief Theories</w:t>
      </w:r>
      <w:r>
        <w:t xml:space="preserve">’ (2014) (4) </w:t>
      </w:r>
      <w:r w:rsidRPr="0024536A">
        <w:t xml:space="preserve">Grief Matters </w:t>
      </w:r>
      <w:r>
        <w:t>32;</w:t>
      </w:r>
      <w:r w:rsidRPr="0024536A">
        <w:t xml:space="preserve"> </w:t>
      </w:r>
      <w:r>
        <w:t>den Hartog ON, ‘Supporting Parents Following Perinatal Death’ (2104) (4) Grief Matters 58; Clark A</w:t>
      </w:r>
      <w:r w:rsidRPr="001F2175">
        <w:t>, ‘Working with Grieving Adults’ (</w:t>
      </w:r>
      <w:r>
        <w:t>2004) 10 Advances in Psych Treatment</w:t>
      </w:r>
      <w:r w:rsidRPr="001F2175">
        <w:t xml:space="preserve"> 164</w:t>
      </w:r>
      <w:r>
        <w:t>.</w:t>
      </w:r>
    </w:p>
  </w:footnote>
  <w:footnote w:id="199">
    <w:p w14:paraId="225E76FE" w14:textId="652595DA" w:rsidR="0052684C" w:rsidRDefault="0052684C" w:rsidP="005673FC">
      <w:pPr>
        <w:pStyle w:val="FootnoteText"/>
        <w:jc w:val="both"/>
      </w:pPr>
      <w:r>
        <w:rPr>
          <w:rStyle w:val="FootnoteReference"/>
        </w:rPr>
        <w:footnoteRef/>
      </w:r>
      <w:r>
        <w:t xml:space="preserve"> </w:t>
      </w:r>
      <w:r>
        <w:rPr>
          <w:i/>
        </w:rPr>
        <w:t>Clark (No 2)</w:t>
      </w:r>
      <w:r w:rsidRPr="00335993">
        <w:t xml:space="preserve"> </w:t>
      </w:r>
      <w:r>
        <w:t xml:space="preserve">(n 1) </w:t>
      </w:r>
      <w:r w:rsidRPr="00816ED5">
        <w:t>para 103 per Kay LJ.</w:t>
      </w:r>
    </w:p>
  </w:footnote>
  <w:footnote w:id="200">
    <w:p w14:paraId="1D07A340" w14:textId="7815D6A4" w:rsidR="0052684C" w:rsidRDefault="0052684C" w:rsidP="005673FC">
      <w:pPr>
        <w:pStyle w:val="FootnoteText"/>
        <w:jc w:val="both"/>
      </w:pPr>
      <w:r>
        <w:rPr>
          <w:rStyle w:val="FootnoteReference"/>
        </w:rPr>
        <w:footnoteRef/>
      </w:r>
      <w:r>
        <w:t xml:space="preserve"> </w:t>
      </w:r>
      <w:r>
        <w:rPr>
          <w:i/>
        </w:rPr>
        <w:t>Cannings</w:t>
      </w:r>
      <w:r w:rsidRPr="00335993">
        <w:t xml:space="preserve"> </w:t>
      </w:r>
      <w:r>
        <w:t xml:space="preserve">(n 1). </w:t>
      </w:r>
    </w:p>
  </w:footnote>
  <w:footnote w:id="201">
    <w:p w14:paraId="490E91D6" w14:textId="364195C2" w:rsidR="0052684C" w:rsidRDefault="0052684C" w:rsidP="005673FC">
      <w:pPr>
        <w:pStyle w:val="FootnoteText"/>
        <w:jc w:val="both"/>
      </w:pPr>
      <w:r>
        <w:rPr>
          <w:rStyle w:val="FootnoteReference"/>
        </w:rPr>
        <w:footnoteRef/>
      </w:r>
      <w:r>
        <w:t xml:space="preserve"> Ibid </w:t>
      </w:r>
      <w:r w:rsidRPr="008473BE">
        <w:t>para 11 per Judge LJ.</w:t>
      </w:r>
    </w:p>
  </w:footnote>
  <w:footnote w:id="202">
    <w:p w14:paraId="4EFD9270" w14:textId="38D0131D" w:rsidR="0052684C" w:rsidRDefault="0052684C" w:rsidP="005673FC">
      <w:pPr>
        <w:pStyle w:val="FootnoteText"/>
        <w:jc w:val="both"/>
      </w:pPr>
      <w:r>
        <w:rPr>
          <w:rStyle w:val="FootnoteReference"/>
        </w:rPr>
        <w:footnoteRef/>
      </w:r>
      <w:r>
        <w:t xml:space="preserve"> Ibid.</w:t>
      </w:r>
    </w:p>
  </w:footnote>
  <w:footnote w:id="203">
    <w:p w14:paraId="70E7A867" w14:textId="56CF9368" w:rsidR="0052684C" w:rsidRDefault="0052684C" w:rsidP="005673FC">
      <w:pPr>
        <w:pStyle w:val="FootnoteText"/>
        <w:jc w:val="both"/>
      </w:pPr>
      <w:r>
        <w:rPr>
          <w:rStyle w:val="FootnoteReference"/>
        </w:rPr>
        <w:footnoteRef/>
      </w:r>
      <w:r>
        <w:t xml:space="preserve"> Ibid.</w:t>
      </w:r>
    </w:p>
  </w:footnote>
  <w:footnote w:id="204">
    <w:p w14:paraId="02346FD5" w14:textId="78C80903" w:rsidR="0052684C" w:rsidRDefault="0052684C" w:rsidP="005673FC">
      <w:pPr>
        <w:pStyle w:val="FootnoteText"/>
        <w:jc w:val="both"/>
      </w:pPr>
      <w:r>
        <w:rPr>
          <w:rStyle w:val="FootnoteReference"/>
        </w:rPr>
        <w:footnoteRef/>
      </w:r>
      <w:r>
        <w:t xml:space="preserve"> </w:t>
      </w:r>
      <w:r w:rsidRPr="00975CB2">
        <w:t>Meadow</w:t>
      </w:r>
      <w:r>
        <w:t xml:space="preserve"> (n 42).</w:t>
      </w:r>
    </w:p>
  </w:footnote>
  <w:footnote w:id="205">
    <w:p w14:paraId="30B2EDF6" w14:textId="17D4C5B2" w:rsidR="0052684C" w:rsidRDefault="0052684C" w:rsidP="005673FC">
      <w:pPr>
        <w:pStyle w:val="FootnoteText"/>
        <w:jc w:val="both"/>
      </w:pPr>
      <w:r>
        <w:rPr>
          <w:rStyle w:val="FootnoteReference"/>
        </w:rPr>
        <w:footnoteRef/>
      </w:r>
      <w:r>
        <w:t xml:space="preserve"> </w:t>
      </w:r>
      <w:r>
        <w:rPr>
          <w:i/>
        </w:rPr>
        <w:t>Clark (No 1)</w:t>
      </w:r>
      <w:r w:rsidRPr="006E3BB5">
        <w:t xml:space="preserve"> </w:t>
      </w:r>
      <w:r>
        <w:t>(n 39)</w:t>
      </w:r>
      <w:r w:rsidRPr="006E3BB5">
        <w:t xml:space="preserve"> </w:t>
      </w:r>
      <w:r w:rsidRPr="00154D07">
        <w:t xml:space="preserve">para </w:t>
      </w:r>
      <w:r>
        <w:t>171</w:t>
      </w:r>
      <w:r w:rsidRPr="00154D07">
        <w:t xml:space="preserve"> </w:t>
      </w:r>
      <w:r>
        <w:t>per Henry LJ citing Professor Meadow saying ‘</w:t>
      </w:r>
      <w:r w:rsidRPr="00154D07">
        <w:t>You have to say two unlikely things have happened, and together i</w:t>
      </w:r>
      <w:r>
        <w:t>t is very, very, very unlikely’.</w:t>
      </w:r>
    </w:p>
  </w:footnote>
  <w:footnote w:id="206">
    <w:p w14:paraId="5B5FB6F5" w14:textId="2F1A2D6D" w:rsidR="0052684C" w:rsidRDefault="0052684C" w:rsidP="005673FC">
      <w:pPr>
        <w:pStyle w:val="FootnoteText"/>
        <w:jc w:val="both"/>
      </w:pPr>
      <w:r>
        <w:rPr>
          <w:rStyle w:val="FootnoteReference"/>
        </w:rPr>
        <w:footnoteRef/>
      </w:r>
      <w:r>
        <w:t xml:space="preserve"> </w:t>
      </w:r>
      <w:r>
        <w:rPr>
          <w:i/>
        </w:rPr>
        <w:t>Clark (No 2)</w:t>
      </w:r>
      <w:r w:rsidRPr="00335993">
        <w:t xml:space="preserve"> </w:t>
      </w:r>
      <w:r>
        <w:t>(n 1) para 69</w:t>
      </w:r>
      <w:r w:rsidRPr="00816ED5">
        <w:t xml:space="preserve"> per Kay LJ.</w:t>
      </w:r>
    </w:p>
  </w:footnote>
  <w:footnote w:id="207">
    <w:p w14:paraId="01FAB584" w14:textId="17F3E4FF" w:rsidR="0052684C" w:rsidRDefault="0052684C" w:rsidP="005673FC">
      <w:pPr>
        <w:pStyle w:val="FootnoteText"/>
        <w:jc w:val="both"/>
      </w:pPr>
      <w:r>
        <w:rPr>
          <w:rStyle w:val="FootnoteReference"/>
        </w:rPr>
        <w:footnoteRef/>
      </w:r>
      <w:r>
        <w:rPr>
          <w:i/>
        </w:rPr>
        <w:t xml:space="preserve"> </w:t>
      </w:r>
      <w:r>
        <w:t xml:space="preserve">Ibid. </w:t>
      </w:r>
    </w:p>
  </w:footnote>
  <w:footnote w:id="208">
    <w:p w14:paraId="0A123AA2" w14:textId="3B807D44" w:rsidR="0052684C" w:rsidRDefault="0052684C" w:rsidP="005673FC">
      <w:pPr>
        <w:pStyle w:val="FootnoteText"/>
        <w:jc w:val="both"/>
      </w:pPr>
      <w:r>
        <w:rPr>
          <w:rStyle w:val="FootnoteReference"/>
        </w:rPr>
        <w:footnoteRef/>
      </w:r>
      <w:r>
        <w:rPr>
          <w:i/>
        </w:rPr>
        <w:t>Cannings</w:t>
      </w:r>
      <w:r w:rsidRPr="00335993">
        <w:t xml:space="preserve"> </w:t>
      </w:r>
      <w:r>
        <w:t>(n 1) para 14 per Judge LJ: ‘Mrs Cannings’s defence was simple: she had done nothing to harm any of her children. Although she was contending that the deaths were natural, notwithstanding specialist evidence called on her behalf at trial, she could not explain them, and she was not seeking to offer an explanation of her own. And, unusually, she was doing so in the very special context that medical specialists, both domestically and internationally, continue to acknowledge that the death of an infant or infants at home can simultaneously be natural and unexplained, even by them’.</w:t>
      </w:r>
    </w:p>
  </w:footnote>
  <w:footnote w:id="209">
    <w:p w14:paraId="78601CBC" w14:textId="048F2600" w:rsidR="0052684C" w:rsidRDefault="0052684C" w:rsidP="005673FC">
      <w:pPr>
        <w:pStyle w:val="FootnoteText"/>
        <w:jc w:val="both"/>
      </w:pPr>
      <w:r>
        <w:rPr>
          <w:rStyle w:val="FootnoteReference"/>
        </w:rPr>
        <w:footnoteRef/>
      </w:r>
      <w:r>
        <w:t xml:space="preserve"> Ibid paras 51, 58, 65, 76, 102, 108, 112.</w:t>
      </w:r>
    </w:p>
  </w:footnote>
  <w:footnote w:id="210">
    <w:p w14:paraId="1A3B5EDD" w14:textId="6D5BB96A" w:rsidR="0052684C" w:rsidRDefault="0052684C" w:rsidP="005673FC">
      <w:pPr>
        <w:pStyle w:val="FootnoteText"/>
        <w:jc w:val="both"/>
      </w:pPr>
      <w:r>
        <w:rPr>
          <w:rStyle w:val="FootnoteReference"/>
        </w:rPr>
        <w:footnoteRef/>
      </w:r>
      <w:r>
        <w:t xml:space="preserve"> Ibid paras </w:t>
      </w:r>
      <w:r w:rsidRPr="004F71A4">
        <w:t>47,</w:t>
      </w:r>
      <w:r>
        <w:t xml:space="preserve"> 52, 57, </w:t>
      </w:r>
      <w:r w:rsidRPr="004F71A4">
        <w:t>58</w:t>
      </w:r>
      <w:r>
        <w:t>,</w:t>
      </w:r>
      <w:r w:rsidRPr="004F71A4">
        <w:t xml:space="preserve"> 61</w:t>
      </w:r>
      <w:r>
        <w:t>,</w:t>
      </w:r>
      <w:r w:rsidRPr="004F71A4">
        <w:t xml:space="preserve"> 63, 64, 76</w:t>
      </w:r>
      <w:r>
        <w:t>,</w:t>
      </w:r>
      <w:r w:rsidRPr="004F71A4">
        <w:t xml:space="preserve"> 77</w:t>
      </w:r>
      <w:r>
        <w:t>,</w:t>
      </w:r>
      <w:r w:rsidRPr="004F71A4">
        <w:t xml:space="preserve"> 78</w:t>
      </w:r>
      <w:r>
        <w:t>,</w:t>
      </w:r>
      <w:r w:rsidRPr="004F71A4">
        <w:t xml:space="preserve"> 97</w:t>
      </w:r>
      <w:r>
        <w:t>,</w:t>
      </w:r>
      <w:r w:rsidRPr="004F71A4">
        <w:t xml:space="preserve"> 99</w:t>
      </w:r>
      <w:r>
        <w:t>,</w:t>
      </w:r>
      <w:r w:rsidRPr="004F71A4">
        <w:t xml:space="preserve"> 100</w:t>
      </w:r>
      <w:r>
        <w:t>,</w:t>
      </w:r>
      <w:r w:rsidRPr="004F71A4">
        <w:t xml:space="preserve"> 101</w:t>
      </w:r>
      <w:r>
        <w:t>,</w:t>
      </w:r>
      <w:r w:rsidRPr="004F71A4">
        <w:t xml:space="preserve"> 103</w:t>
      </w:r>
      <w:r>
        <w:t>,</w:t>
      </w:r>
      <w:r w:rsidRPr="004F71A4">
        <w:t xml:space="preserve"> 104</w:t>
      </w:r>
      <w:r>
        <w:t>,</w:t>
      </w:r>
      <w:r w:rsidRPr="004F71A4">
        <w:t>108, 109</w:t>
      </w:r>
      <w:r>
        <w:t>,</w:t>
      </w:r>
      <w:r w:rsidRPr="004F71A4">
        <w:t xml:space="preserve"> 111</w:t>
      </w:r>
      <w:r>
        <w:t>, 112, 157</w:t>
      </w:r>
      <w:r w:rsidRPr="004F71A4">
        <w:rPr>
          <w:lang w:val="pt-PT"/>
        </w:rPr>
        <w:t>.</w:t>
      </w:r>
    </w:p>
  </w:footnote>
  <w:footnote w:id="211">
    <w:p w14:paraId="72B2F150" w14:textId="41AB8319" w:rsidR="0052684C" w:rsidRDefault="0052684C" w:rsidP="005673FC">
      <w:pPr>
        <w:pStyle w:val="FootnoteText"/>
        <w:jc w:val="both"/>
      </w:pPr>
      <w:r>
        <w:rPr>
          <w:rStyle w:val="FootnoteReference"/>
        </w:rPr>
        <w:footnoteRef/>
      </w:r>
      <w:r>
        <w:t xml:space="preserve"> Ibid</w:t>
      </w:r>
      <w:r w:rsidRPr="008E4A25">
        <w:t xml:space="preserve"> paras</w:t>
      </w:r>
      <w:r>
        <w:t xml:space="preserve"> 40, </w:t>
      </w:r>
      <w:r w:rsidRPr="008E4A25">
        <w:t>76-82, 93</w:t>
      </w:r>
      <w:r>
        <w:t>, 108-110.</w:t>
      </w:r>
    </w:p>
  </w:footnote>
  <w:footnote w:id="212">
    <w:p w14:paraId="55E090A2" w14:textId="4176D0DA" w:rsidR="0052684C" w:rsidRDefault="0052684C" w:rsidP="005673FC">
      <w:pPr>
        <w:pStyle w:val="FootnoteText"/>
        <w:jc w:val="both"/>
      </w:pPr>
      <w:r>
        <w:rPr>
          <w:rStyle w:val="FootnoteReference"/>
        </w:rPr>
        <w:footnoteRef/>
      </w:r>
      <w:r>
        <w:rPr>
          <w:lang w:val="pt-PT"/>
        </w:rPr>
        <w:t xml:space="preserve"> </w:t>
      </w:r>
      <w:r>
        <w:t>Ibid</w:t>
      </w:r>
      <w:r>
        <w:rPr>
          <w:lang w:val="pt-PT"/>
        </w:rPr>
        <w:t xml:space="preserve"> para 25.</w:t>
      </w:r>
    </w:p>
  </w:footnote>
  <w:footnote w:id="213">
    <w:p w14:paraId="23197962" w14:textId="63ED1FC3" w:rsidR="0052684C" w:rsidRDefault="0052684C" w:rsidP="005673FC">
      <w:pPr>
        <w:pStyle w:val="FootnoteText"/>
        <w:jc w:val="both"/>
      </w:pPr>
      <w:r>
        <w:rPr>
          <w:rStyle w:val="FootnoteReference"/>
        </w:rPr>
        <w:footnoteRef/>
      </w:r>
      <w:r>
        <w:t xml:space="preserve"> Ibid</w:t>
      </w:r>
      <w:r w:rsidRPr="001D3F6E">
        <w:rPr>
          <w:lang w:val="pt-PT"/>
        </w:rPr>
        <w:t xml:space="preserve"> para 9</w:t>
      </w:r>
      <w:r w:rsidRPr="00DB51AB">
        <w:rPr>
          <w:lang w:val="pt-PT"/>
        </w:rPr>
        <w:t>.</w:t>
      </w:r>
    </w:p>
  </w:footnote>
  <w:footnote w:id="214">
    <w:p w14:paraId="235278F9" w14:textId="39DAB937" w:rsidR="0052684C" w:rsidRDefault="0052684C" w:rsidP="005673FC">
      <w:pPr>
        <w:pStyle w:val="FootnoteText"/>
        <w:jc w:val="both"/>
      </w:pPr>
      <w:r>
        <w:rPr>
          <w:rStyle w:val="FootnoteReference"/>
        </w:rPr>
        <w:footnoteRef/>
      </w:r>
      <w:r>
        <w:rPr>
          <w:lang w:val="pt-PT"/>
        </w:rPr>
        <w:t xml:space="preserve"> </w:t>
      </w:r>
      <w:r>
        <w:t>Ibid</w:t>
      </w:r>
      <w:r>
        <w:rPr>
          <w:lang w:val="pt-PT"/>
        </w:rPr>
        <w:t xml:space="preserve"> para 4.</w:t>
      </w:r>
    </w:p>
  </w:footnote>
  <w:footnote w:id="215">
    <w:p w14:paraId="2DF7B02A" w14:textId="38CDF439" w:rsidR="0052684C" w:rsidRDefault="0052684C" w:rsidP="005673FC">
      <w:pPr>
        <w:pStyle w:val="FootnoteText"/>
        <w:jc w:val="both"/>
      </w:pPr>
      <w:r>
        <w:rPr>
          <w:rStyle w:val="FootnoteReference"/>
        </w:rPr>
        <w:footnoteRef/>
      </w:r>
      <w:r>
        <w:t xml:space="preserve"> Ibid</w:t>
      </w:r>
      <w:r w:rsidRPr="00CD02DE">
        <w:rPr>
          <w:lang w:val="pt-PT"/>
        </w:rPr>
        <w:t xml:space="preserve"> para</w:t>
      </w:r>
      <w:r>
        <w:rPr>
          <w:lang w:val="pt-PT"/>
        </w:rPr>
        <w:t>s</w:t>
      </w:r>
      <w:r w:rsidRPr="00CD02DE">
        <w:rPr>
          <w:lang w:val="pt-PT"/>
        </w:rPr>
        <w:t xml:space="preserve"> </w:t>
      </w:r>
      <w:r>
        <w:rPr>
          <w:lang w:val="pt-PT"/>
        </w:rPr>
        <w:t>77, 78, 157.</w:t>
      </w:r>
    </w:p>
  </w:footnote>
  <w:footnote w:id="216">
    <w:p w14:paraId="122E0E95" w14:textId="1A07D00A" w:rsidR="0052684C" w:rsidRPr="00086C92" w:rsidRDefault="0052684C" w:rsidP="005673FC">
      <w:pPr>
        <w:pStyle w:val="FootnoteText"/>
        <w:jc w:val="both"/>
        <w:rPr>
          <w:color w:val="FF0000"/>
        </w:rPr>
      </w:pPr>
      <w:r>
        <w:rPr>
          <w:rStyle w:val="FootnoteReference"/>
        </w:rPr>
        <w:footnoteRef/>
      </w:r>
      <w:r>
        <w:t xml:space="preserve"> </w:t>
      </w:r>
      <w:r w:rsidRPr="00012A37">
        <w:t>Waite A, McKenzie A, Carpenter RG</w:t>
      </w:r>
      <w:r>
        <w:t>,</w:t>
      </w:r>
      <w:r w:rsidRPr="00012A37">
        <w:t xml:space="preserve"> et al</w:t>
      </w:r>
      <w:r>
        <w:t>.</w:t>
      </w:r>
      <w:r w:rsidRPr="00012A37">
        <w:t xml:space="preserve">, </w:t>
      </w:r>
      <w:r>
        <w:rPr>
          <w:i/>
        </w:rPr>
        <w:t>Report on 5000 Babies U</w:t>
      </w:r>
      <w:r w:rsidRPr="00EE348C">
        <w:rPr>
          <w:i/>
        </w:rPr>
        <w:t>sing the CONI (Care of Next Infant) Programme</w:t>
      </w:r>
      <w:r w:rsidRPr="00012A37">
        <w:t xml:space="preserve"> (Foundation for the Study of Infant Deaths 1998)</w:t>
      </w:r>
      <w:r>
        <w:t xml:space="preserve">. The </w:t>
      </w:r>
      <w:r w:rsidRPr="00086C92">
        <w:t xml:space="preserve">CONI programme supported families in which there had been a previous SID, and followed up all subsequent siblings of a deceased infant. </w:t>
      </w:r>
    </w:p>
  </w:footnote>
  <w:footnote w:id="217">
    <w:p w14:paraId="0BF21D02" w14:textId="77777777" w:rsidR="0052684C" w:rsidRDefault="0052684C" w:rsidP="005673FC">
      <w:pPr>
        <w:pStyle w:val="FootnoteText"/>
        <w:jc w:val="both"/>
      </w:pPr>
      <w:r>
        <w:rPr>
          <w:rStyle w:val="FootnoteReference"/>
        </w:rPr>
        <w:footnoteRef/>
      </w:r>
      <w:r>
        <w:t xml:space="preserve"> T</w:t>
      </w:r>
      <w:r w:rsidRPr="00296CAB">
        <w:t>he Child Health</w:t>
      </w:r>
      <w:r>
        <w:t xml:space="preserve"> Unit</w:t>
      </w:r>
      <w:r w:rsidRPr="00296CAB">
        <w:t xml:space="preserve"> </w:t>
      </w:r>
      <w:r>
        <w:t xml:space="preserve">collated data from </w:t>
      </w:r>
      <w:r w:rsidRPr="00A06C5B">
        <w:t xml:space="preserve">professionals and parents </w:t>
      </w:r>
      <w:r>
        <w:t xml:space="preserve">for publication in the CONI reports. </w:t>
      </w:r>
    </w:p>
  </w:footnote>
  <w:footnote w:id="218">
    <w:p w14:paraId="624F9603" w14:textId="757DE47C" w:rsidR="0052684C" w:rsidRPr="00A10FD3" w:rsidRDefault="0052684C" w:rsidP="005673FC">
      <w:pPr>
        <w:pStyle w:val="FootnoteText"/>
        <w:jc w:val="both"/>
      </w:pPr>
      <w:r w:rsidRPr="00A10FD3">
        <w:rPr>
          <w:rStyle w:val="FootnoteReference"/>
        </w:rPr>
        <w:footnoteRef/>
      </w:r>
      <w:r w:rsidRPr="00A10FD3">
        <w:t xml:space="preserve"> Lullaby Trust, ‘I Never Though</w:t>
      </w:r>
      <w:r>
        <w:t xml:space="preserve">t I was A “Replacement” Child’ </w:t>
      </w:r>
      <w:hyperlink r:id="rId16" w:history="1">
        <w:r w:rsidRPr="00EB318A">
          <w:rPr>
            <w:rStyle w:val="Hyperlink"/>
          </w:rPr>
          <w:t>http://www.lullabytrust.org.uk/page.aspx?pid=1390</w:t>
        </w:r>
      </w:hyperlink>
      <w:r>
        <w:t xml:space="preserve"> </w:t>
      </w:r>
      <w:r w:rsidRPr="00A10FD3">
        <w:t xml:space="preserve"> </w:t>
      </w:r>
      <w:r>
        <w:t>(</w:t>
      </w:r>
      <w:r w:rsidRPr="00A10FD3">
        <w:t>accessed 17 April 2014</w:t>
      </w:r>
      <w:r>
        <w:t>)</w:t>
      </w:r>
      <w:r w:rsidRPr="00A10FD3">
        <w:t>.</w:t>
      </w:r>
    </w:p>
  </w:footnote>
  <w:footnote w:id="219">
    <w:p w14:paraId="223AEB73" w14:textId="77777777" w:rsidR="0052684C" w:rsidRPr="00A10FD3" w:rsidRDefault="0052684C" w:rsidP="005673FC">
      <w:pPr>
        <w:pStyle w:val="FootnoteText"/>
        <w:jc w:val="both"/>
      </w:pPr>
      <w:r w:rsidRPr="00A10FD3">
        <w:rPr>
          <w:rStyle w:val="FootnoteReference"/>
        </w:rPr>
        <w:footnoteRef/>
      </w:r>
      <w:r w:rsidRPr="00A10FD3">
        <w:t xml:space="preserve"> A term given to a bluish colour of the skin and the mucous membranes of the lips and mouth, usually due to lack oxygen and an increase of unoxygenated haemoglobin or deoxyhaemoglobin in the blood stream. </w:t>
      </w:r>
    </w:p>
  </w:footnote>
  <w:footnote w:id="220">
    <w:p w14:paraId="49676601" w14:textId="77777777" w:rsidR="0052684C" w:rsidRPr="00A10FD3" w:rsidRDefault="0052684C" w:rsidP="005673FC">
      <w:pPr>
        <w:pStyle w:val="FootnoteText"/>
        <w:jc w:val="both"/>
      </w:pPr>
      <w:r w:rsidRPr="00A10FD3">
        <w:rPr>
          <w:rStyle w:val="FootnoteReference"/>
        </w:rPr>
        <w:footnoteRef/>
      </w:r>
      <w:r w:rsidRPr="00A10FD3">
        <w:t xml:space="preserve"> A term given to an abnormal slowing of the heartbeat.</w:t>
      </w:r>
    </w:p>
  </w:footnote>
  <w:footnote w:id="221">
    <w:p w14:paraId="1EC11C4B" w14:textId="538B2D15" w:rsidR="0052684C" w:rsidRPr="00A10FD3" w:rsidRDefault="0052684C" w:rsidP="005673FC">
      <w:pPr>
        <w:pStyle w:val="FootnoteText"/>
        <w:jc w:val="both"/>
      </w:pPr>
      <w:r w:rsidRPr="00A10FD3">
        <w:rPr>
          <w:rStyle w:val="FootnoteReference"/>
        </w:rPr>
        <w:footnoteRef/>
      </w:r>
      <w:r w:rsidRPr="00A10FD3">
        <w:t xml:space="preserve"> Acute Life Threatening Event (ALTE): when a baby stops breathing or its heart slows</w:t>
      </w:r>
      <w:r>
        <w:t>.</w:t>
      </w:r>
    </w:p>
  </w:footnote>
  <w:footnote w:id="222">
    <w:p w14:paraId="71671A3F" w14:textId="22ABFA00" w:rsidR="0052684C" w:rsidRPr="00A10FD3" w:rsidRDefault="0052684C" w:rsidP="005673FC">
      <w:pPr>
        <w:pStyle w:val="FootnoteText"/>
        <w:jc w:val="both"/>
      </w:pPr>
      <w:r w:rsidRPr="00A10FD3">
        <w:rPr>
          <w:rStyle w:val="FootnoteReference"/>
        </w:rPr>
        <w:footnoteRef/>
      </w:r>
      <w:r w:rsidRPr="00A10FD3">
        <w:t xml:space="preserve"> </w:t>
      </w:r>
      <w:r w:rsidRPr="009564D6">
        <w:t>W</w:t>
      </w:r>
      <w:r>
        <w:t xml:space="preserve">aite et al. (n 215) </w:t>
      </w:r>
      <w:r w:rsidRPr="00A10FD3">
        <w:t xml:space="preserve">11. </w:t>
      </w:r>
    </w:p>
  </w:footnote>
  <w:footnote w:id="223">
    <w:p w14:paraId="1B66DB26" w14:textId="14392F0E" w:rsidR="0052684C" w:rsidRDefault="0052684C" w:rsidP="005673FC">
      <w:pPr>
        <w:pStyle w:val="FootnoteText"/>
        <w:jc w:val="both"/>
      </w:pPr>
      <w:r w:rsidRPr="00A10FD3">
        <w:rPr>
          <w:rStyle w:val="FootnoteReference"/>
        </w:rPr>
        <w:footnoteRef/>
      </w:r>
      <w:r w:rsidRPr="00A10FD3">
        <w:t xml:space="preserve"> </w:t>
      </w:r>
      <w:r>
        <w:t>Ibid.</w:t>
      </w:r>
    </w:p>
  </w:footnote>
  <w:footnote w:id="224">
    <w:p w14:paraId="53F208CF" w14:textId="5AC7E452" w:rsidR="0052684C" w:rsidRDefault="0052684C" w:rsidP="005673FC">
      <w:pPr>
        <w:pStyle w:val="FootnoteText"/>
        <w:jc w:val="both"/>
      </w:pPr>
      <w:r>
        <w:rPr>
          <w:rStyle w:val="FootnoteReference"/>
        </w:rPr>
        <w:footnoteRef/>
      </w:r>
      <w:r>
        <w:t xml:space="preserve"> </w:t>
      </w:r>
      <w:r w:rsidRPr="00265590">
        <w:t xml:space="preserve">Burke </w:t>
      </w:r>
      <w:r>
        <w:t xml:space="preserve">MJ </w:t>
      </w:r>
      <w:r w:rsidRPr="00265590">
        <w:t>and Downes</w:t>
      </w:r>
      <w:r>
        <w:t xml:space="preserve"> J</w:t>
      </w:r>
      <w:r w:rsidRPr="00265590">
        <w:t>, ‘A Fuzzy Logic Based Apnoea Monitor for SIDS Risk Infants’ (2006) 30</w:t>
      </w:r>
      <w:r>
        <w:t>(6) J Med Eng &amp; Tech</w:t>
      </w:r>
      <w:r w:rsidRPr="00265590">
        <w:t xml:space="preserve"> 397</w:t>
      </w:r>
      <w:r>
        <w:t>.</w:t>
      </w:r>
    </w:p>
  </w:footnote>
  <w:footnote w:id="225">
    <w:p w14:paraId="0748DC66" w14:textId="2CD08B0A" w:rsidR="0052684C" w:rsidRPr="00A10FD3" w:rsidRDefault="0052684C" w:rsidP="005673FC">
      <w:pPr>
        <w:pStyle w:val="FootnoteText"/>
        <w:jc w:val="both"/>
      </w:pPr>
      <w:r w:rsidRPr="00A10FD3">
        <w:rPr>
          <w:rStyle w:val="FootnoteReference"/>
        </w:rPr>
        <w:footnoteRef/>
      </w:r>
      <w:r w:rsidRPr="00A10FD3">
        <w:t xml:space="preserve"> </w:t>
      </w:r>
      <w:r>
        <w:t>Ibid.</w:t>
      </w:r>
    </w:p>
  </w:footnote>
  <w:footnote w:id="226">
    <w:p w14:paraId="113BD773" w14:textId="64C11E4E" w:rsidR="0052684C" w:rsidRPr="00A10FD3" w:rsidRDefault="0052684C" w:rsidP="005673FC">
      <w:pPr>
        <w:pStyle w:val="FootnoteText"/>
        <w:jc w:val="both"/>
      </w:pPr>
      <w:r w:rsidRPr="00A10FD3">
        <w:rPr>
          <w:rStyle w:val="FootnoteReference"/>
        </w:rPr>
        <w:footnoteRef/>
      </w:r>
      <w:r w:rsidRPr="00A10FD3">
        <w:t xml:space="preserve"> </w:t>
      </w:r>
      <w:r w:rsidRPr="009564D6">
        <w:t>W</w:t>
      </w:r>
      <w:r>
        <w:t xml:space="preserve">aite et al. (n 215) </w:t>
      </w:r>
      <w:r w:rsidRPr="00A10FD3">
        <w:t>11</w:t>
      </w:r>
      <w:r>
        <w:t>:</w:t>
      </w:r>
      <w:r w:rsidRPr="00A10FD3">
        <w:t xml:space="preserve"> ‘from 84% confidence to 75%</w:t>
      </w:r>
      <w:r>
        <w:t>’</w:t>
      </w:r>
      <w:r w:rsidRPr="00A10FD3">
        <w:t>.</w:t>
      </w:r>
    </w:p>
  </w:footnote>
  <w:footnote w:id="227">
    <w:p w14:paraId="3FC51891" w14:textId="7A4D5FFB" w:rsidR="0052684C" w:rsidRDefault="0052684C" w:rsidP="005673FC">
      <w:pPr>
        <w:pStyle w:val="FootnoteText"/>
        <w:jc w:val="both"/>
      </w:pPr>
      <w:r w:rsidRPr="00A10FD3">
        <w:rPr>
          <w:rStyle w:val="FootnoteReference"/>
        </w:rPr>
        <w:footnoteRef/>
      </w:r>
      <w:r w:rsidRPr="00A10FD3">
        <w:t xml:space="preserve"> </w:t>
      </w:r>
      <w:r>
        <w:t>Ibid 19.</w:t>
      </w:r>
    </w:p>
  </w:footnote>
  <w:footnote w:id="228">
    <w:p w14:paraId="074C3896" w14:textId="6B523BBA" w:rsidR="0052684C" w:rsidRDefault="0052684C" w:rsidP="005673FC">
      <w:pPr>
        <w:pStyle w:val="FootnoteText"/>
        <w:jc w:val="both"/>
      </w:pPr>
      <w:r>
        <w:rPr>
          <w:rStyle w:val="FootnoteReference"/>
        </w:rPr>
        <w:footnoteRef/>
      </w:r>
      <w:r>
        <w:t xml:space="preserve"> </w:t>
      </w:r>
      <w:r>
        <w:rPr>
          <w:i/>
        </w:rPr>
        <w:t>Cannings</w:t>
      </w:r>
      <w:r w:rsidRPr="00335993">
        <w:t xml:space="preserve"> </w:t>
      </w:r>
      <w:r>
        <w:t>(n 1) para 47 per Judge LJ.</w:t>
      </w:r>
      <w:r w:rsidRPr="00E14CA1">
        <w:t xml:space="preserve"> </w:t>
      </w:r>
    </w:p>
  </w:footnote>
  <w:footnote w:id="229">
    <w:p w14:paraId="12239807" w14:textId="0C7C0FF4" w:rsidR="0052684C" w:rsidRDefault="0052684C" w:rsidP="005673FC">
      <w:pPr>
        <w:pStyle w:val="FootnoteText"/>
        <w:jc w:val="both"/>
      </w:pPr>
      <w:r>
        <w:rPr>
          <w:rStyle w:val="FootnoteReference"/>
        </w:rPr>
        <w:footnoteRef/>
      </w:r>
      <w:r>
        <w:t xml:space="preserve"> Ibid paras </w:t>
      </w:r>
      <w:r>
        <w:rPr>
          <w:lang w:val="pt-PT"/>
        </w:rPr>
        <w:t>47, 57, 63, 76.</w:t>
      </w:r>
    </w:p>
  </w:footnote>
  <w:footnote w:id="230">
    <w:p w14:paraId="7A8C0D98" w14:textId="3A090D11" w:rsidR="0052684C" w:rsidRDefault="0052684C" w:rsidP="005673FC">
      <w:pPr>
        <w:pStyle w:val="FootnoteText"/>
        <w:jc w:val="both"/>
      </w:pPr>
      <w:r>
        <w:rPr>
          <w:rStyle w:val="FootnoteReference"/>
        </w:rPr>
        <w:footnoteRef/>
      </w:r>
      <w:r>
        <w:t xml:space="preserve"> Ibid</w:t>
      </w:r>
      <w:r w:rsidRPr="00E14CA1">
        <w:t xml:space="preserve"> para</w:t>
      </w:r>
      <w:r>
        <w:t xml:space="preserve">s 47, 57, 63, 76, 77, 78, 157. </w:t>
      </w:r>
      <w:r w:rsidRPr="00E14CA1">
        <w:t xml:space="preserve">Cannings </w:t>
      </w:r>
      <w:r>
        <w:t>frequently</w:t>
      </w:r>
      <w:r w:rsidRPr="00E14CA1">
        <w:t xml:space="preserve"> forgot to put the apnoea alarm on</w:t>
      </w:r>
      <w:r>
        <w:t>.</w:t>
      </w:r>
      <w:r w:rsidRPr="00E14CA1">
        <w:t xml:space="preserve"> </w:t>
      </w:r>
    </w:p>
  </w:footnote>
  <w:footnote w:id="231">
    <w:p w14:paraId="69F2843D" w14:textId="77777777" w:rsidR="0052684C" w:rsidRDefault="0052684C" w:rsidP="005673FC">
      <w:pPr>
        <w:pStyle w:val="FootnoteText"/>
        <w:jc w:val="both"/>
      </w:pPr>
      <w:r>
        <w:rPr>
          <w:rStyle w:val="FootnoteReference"/>
        </w:rPr>
        <w:footnoteRef/>
      </w:r>
      <w:r>
        <w:t xml:space="preserve"> </w:t>
      </w:r>
      <w:r w:rsidRPr="00B21FEF">
        <w:t xml:space="preserve">Cannings </w:t>
      </w:r>
      <w:r>
        <w:t xml:space="preserve">A </w:t>
      </w:r>
      <w:r w:rsidRPr="00B21FEF">
        <w:t>with Lloyd Davis</w:t>
      </w:r>
      <w:r>
        <w:t xml:space="preserve"> M</w:t>
      </w:r>
      <w:r w:rsidRPr="00B21FEF">
        <w:t xml:space="preserve">, </w:t>
      </w:r>
      <w:r w:rsidRPr="00B21FEF">
        <w:rPr>
          <w:i/>
        </w:rPr>
        <w:t>Cherished: A Mother’s Fight to Prove her Innocence</w:t>
      </w:r>
      <w:r w:rsidRPr="00B21FEF">
        <w:t xml:space="preserve"> (Sphere 2007) 101</w:t>
      </w:r>
      <w:r>
        <w:t>.</w:t>
      </w:r>
    </w:p>
  </w:footnote>
  <w:footnote w:id="232">
    <w:p w14:paraId="17C81A77" w14:textId="7A63D418" w:rsidR="0052684C" w:rsidRDefault="0052684C" w:rsidP="005673FC">
      <w:pPr>
        <w:pStyle w:val="FootnoteText"/>
        <w:jc w:val="both"/>
      </w:pPr>
      <w:r>
        <w:rPr>
          <w:rStyle w:val="FootnoteReference"/>
        </w:rPr>
        <w:footnoteRef/>
      </w:r>
      <w:r>
        <w:t xml:space="preserve"> Ibid.</w:t>
      </w:r>
    </w:p>
  </w:footnote>
  <w:footnote w:id="233">
    <w:p w14:paraId="72ABF5D5" w14:textId="0A097A56" w:rsidR="0052684C" w:rsidRDefault="0052684C" w:rsidP="005673FC">
      <w:pPr>
        <w:pStyle w:val="FootnoteText"/>
        <w:jc w:val="both"/>
      </w:pPr>
      <w:r>
        <w:rPr>
          <w:rStyle w:val="FootnoteReference"/>
        </w:rPr>
        <w:footnoteRef/>
      </w:r>
      <w:r>
        <w:t xml:space="preserve">  </w:t>
      </w:r>
      <w:r>
        <w:rPr>
          <w:i/>
        </w:rPr>
        <w:t>Cannings</w:t>
      </w:r>
      <w:r w:rsidRPr="00335993">
        <w:t xml:space="preserve"> </w:t>
      </w:r>
      <w:r>
        <w:t xml:space="preserve">(n 1) paras 111, </w:t>
      </w:r>
      <w:r w:rsidRPr="006578E9">
        <w:t>157</w:t>
      </w:r>
      <w:r>
        <w:t xml:space="preserve"> </w:t>
      </w:r>
      <w:r w:rsidRPr="004637FB">
        <w:t>per Judge LJ.</w:t>
      </w:r>
    </w:p>
  </w:footnote>
  <w:footnote w:id="234">
    <w:p w14:paraId="4A02EBD5" w14:textId="47CDB662" w:rsidR="0052684C" w:rsidRDefault="0052684C" w:rsidP="005673FC">
      <w:pPr>
        <w:pStyle w:val="FootnoteText"/>
        <w:jc w:val="both"/>
      </w:pPr>
      <w:r>
        <w:rPr>
          <w:rStyle w:val="FootnoteReference"/>
        </w:rPr>
        <w:footnoteRef/>
      </w:r>
      <w:r>
        <w:t xml:space="preserve">  Ibid para</w:t>
      </w:r>
      <w:r w:rsidRPr="00440FE9">
        <w:t xml:space="preserve"> </w:t>
      </w:r>
      <w:r w:rsidRPr="006578E9">
        <w:t>157</w:t>
      </w:r>
      <w:r>
        <w:t xml:space="preserve">, and alarms are also mentioned at paras 9, </w:t>
      </w:r>
      <w:r w:rsidRPr="00440FE9">
        <w:t>47</w:t>
      </w:r>
      <w:r>
        <w:t>, 52, 57, 76, 77, 78, 97, 99, 100, 103, 104, 105, 109, 111, 154.</w:t>
      </w:r>
    </w:p>
  </w:footnote>
  <w:footnote w:id="235">
    <w:p w14:paraId="6D1E232B" w14:textId="09D23B64" w:rsidR="0052684C" w:rsidRDefault="0052684C" w:rsidP="005673FC">
      <w:pPr>
        <w:pStyle w:val="FootnoteText"/>
        <w:jc w:val="both"/>
      </w:pPr>
      <w:r>
        <w:rPr>
          <w:rStyle w:val="FootnoteReference"/>
        </w:rPr>
        <w:footnoteRef/>
      </w:r>
      <w:r>
        <w:t xml:space="preserve">  Ibid paras 51, 58</w:t>
      </w:r>
      <w:r>
        <w:rPr>
          <w:lang w:val="pt-PT"/>
        </w:rPr>
        <w:t>.</w:t>
      </w:r>
    </w:p>
  </w:footnote>
  <w:footnote w:id="236">
    <w:p w14:paraId="38380BD4" w14:textId="699C69B7" w:rsidR="0052684C" w:rsidRDefault="0052684C" w:rsidP="005673FC">
      <w:pPr>
        <w:pStyle w:val="FootnoteText"/>
        <w:jc w:val="both"/>
      </w:pPr>
      <w:r>
        <w:rPr>
          <w:rStyle w:val="FootnoteReference"/>
        </w:rPr>
        <w:footnoteRef/>
      </w:r>
      <w:r>
        <w:t xml:space="preserve"> There is an issue therefore in relation to interpretations of the feminine, that in some cases traumatic events lead to women behaving with </w:t>
      </w:r>
      <w:r w:rsidRPr="009E45B8">
        <w:rPr>
          <w:i/>
        </w:rPr>
        <w:t>too little</w:t>
      </w:r>
      <w:r>
        <w:t xml:space="preserve"> emotion as in sexual assault cases, and in other cases with </w:t>
      </w:r>
      <w:r w:rsidRPr="009E45B8">
        <w:rPr>
          <w:i/>
        </w:rPr>
        <w:t>too much</w:t>
      </w:r>
      <w:r>
        <w:t xml:space="preserve"> emotion as in these child death cases. There is a question whether there is any evidence as to the appropriate level of emotion to be shown in any given situation, if such behaviour is to be relied upon as evidence in criminal trials. </w:t>
      </w:r>
    </w:p>
  </w:footnote>
  <w:footnote w:id="237">
    <w:p w14:paraId="592A8A5F" w14:textId="0609C8A0" w:rsidR="0052684C" w:rsidRDefault="0052684C" w:rsidP="005673FC">
      <w:pPr>
        <w:pStyle w:val="FootnoteText"/>
        <w:jc w:val="both"/>
      </w:pPr>
      <w:r>
        <w:rPr>
          <w:rStyle w:val="FootnoteReference"/>
        </w:rPr>
        <w:footnoteRef/>
      </w:r>
      <w:r>
        <w:t xml:space="preserve"> </w:t>
      </w:r>
      <w:r>
        <w:rPr>
          <w:i/>
        </w:rPr>
        <w:t>Cannings</w:t>
      </w:r>
      <w:r w:rsidRPr="00335993">
        <w:t xml:space="preserve"> </w:t>
      </w:r>
      <w:r>
        <w:t>(n 1) para 167</w:t>
      </w:r>
      <w:r w:rsidRPr="00260274">
        <w:rPr>
          <w:rFonts w:cstheme="minorBidi"/>
          <w:sz w:val="24"/>
          <w:szCs w:val="22"/>
          <w:lang w:val="pt-PT"/>
        </w:rPr>
        <w:t xml:space="preserve"> </w:t>
      </w:r>
      <w:r w:rsidRPr="00260274">
        <w:rPr>
          <w:lang w:val="pt-PT"/>
        </w:rPr>
        <w:t>per Judge LJ</w:t>
      </w:r>
      <w:r>
        <w:rPr>
          <w:lang w:val="pt-PT"/>
        </w:rPr>
        <w:t>.</w:t>
      </w:r>
    </w:p>
  </w:footnote>
  <w:footnote w:id="238">
    <w:p w14:paraId="500B4DDB" w14:textId="17D9019B" w:rsidR="0052684C" w:rsidRDefault="0052684C" w:rsidP="005673FC">
      <w:pPr>
        <w:pStyle w:val="FootnoteText"/>
        <w:jc w:val="both"/>
      </w:pPr>
      <w:r>
        <w:rPr>
          <w:rStyle w:val="FootnoteReference"/>
        </w:rPr>
        <w:footnoteRef/>
      </w:r>
      <w:r>
        <w:t xml:space="preserve"> </w:t>
      </w:r>
      <w:r>
        <w:rPr>
          <w:i/>
        </w:rPr>
        <w:t>Clark (No 1)</w:t>
      </w:r>
      <w:r w:rsidRPr="006E3BB5">
        <w:t xml:space="preserve"> </w:t>
      </w:r>
      <w:r>
        <w:t>(n 39)</w:t>
      </w:r>
      <w:r w:rsidRPr="006E3BB5">
        <w:t xml:space="preserve"> </w:t>
      </w:r>
      <w:r w:rsidRPr="007B207C">
        <w:t>para</w:t>
      </w:r>
      <w:r>
        <w:t>s</w:t>
      </w:r>
      <w:r w:rsidRPr="007B207C">
        <w:t xml:space="preserve"> </w:t>
      </w:r>
      <w:r>
        <w:t xml:space="preserve">69, 47 </w:t>
      </w:r>
      <w:r w:rsidRPr="007B207C">
        <w:t xml:space="preserve">per Henry </w:t>
      </w:r>
      <w:r>
        <w:t>LJ: because they had had ‘</w:t>
      </w:r>
      <w:r w:rsidRPr="007B207C">
        <w:t>trouble with the CONI monitor giving false alarm</w:t>
      </w:r>
      <w:r>
        <w:t>’, ‘</w:t>
      </w:r>
      <w:r w:rsidRPr="007B207C">
        <w:t>They only used the monitor at night</w:t>
      </w:r>
      <w:r>
        <w:t>’</w:t>
      </w:r>
      <w:r w:rsidRPr="007B207C">
        <w:t>.</w:t>
      </w:r>
    </w:p>
  </w:footnote>
  <w:footnote w:id="239">
    <w:p w14:paraId="5CB6A140" w14:textId="7AD82EF0" w:rsidR="0052684C" w:rsidRDefault="0052684C" w:rsidP="005673FC">
      <w:pPr>
        <w:pStyle w:val="FootnoteText"/>
        <w:jc w:val="both"/>
      </w:pPr>
      <w:r>
        <w:rPr>
          <w:rStyle w:val="FootnoteReference"/>
        </w:rPr>
        <w:footnoteRef/>
      </w:r>
      <w:r>
        <w:t xml:space="preserve"> </w:t>
      </w:r>
      <w:r w:rsidRPr="00805696">
        <w:t>Temkin and Krah</w:t>
      </w:r>
      <w:r>
        <w:t>é</w:t>
      </w:r>
      <w:r w:rsidRPr="00805696">
        <w:t xml:space="preserve"> </w:t>
      </w:r>
      <w:r>
        <w:t>(n 36)</w:t>
      </w:r>
      <w:r w:rsidRPr="00805696">
        <w:t xml:space="preserve"> </w:t>
      </w:r>
      <w:r>
        <w:t xml:space="preserve">49. </w:t>
      </w:r>
      <w:r w:rsidRPr="00805696">
        <w:t xml:space="preserve"> </w:t>
      </w:r>
    </w:p>
  </w:footnote>
  <w:footnote w:id="240">
    <w:p w14:paraId="6554F428" w14:textId="486A0193" w:rsidR="0052684C" w:rsidRDefault="0052684C" w:rsidP="005673FC">
      <w:pPr>
        <w:pStyle w:val="FootnoteText"/>
        <w:jc w:val="both"/>
      </w:pPr>
      <w:r>
        <w:rPr>
          <w:rStyle w:val="FootnoteReference"/>
        </w:rPr>
        <w:footnoteRef/>
      </w:r>
      <w:r>
        <w:t xml:space="preserve"> </w:t>
      </w:r>
      <w:r>
        <w:rPr>
          <w:i/>
        </w:rPr>
        <w:t>Cannings</w:t>
      </w:r>
      <w:r w:rsidRPr="00335993">
        <w:t xml:space="preserve"> </w:t>
      </w:r>
      <w:r>
        <w:t>(n 1) para 170</w:t>
      </w:r>
      <w:r w:rsidRPr="00260274">
        <w:rPr>
          <w:rFonts w:cstheme="minorBidi"/>
          <w:sz w:val="24"/>
          <w:szCs w:val="22"/>
          <w:lang w:val="pt-PT"/>
        </w:rPr>
        <w:t xml:space="preserve"> </w:t>
      </w:r>
      <w:r w:rsidRPr="00260274">
        <w:rPr>
          <w:lang w:val="pt-PT"/>
        </w:rPr>
        <w:t>per Judge LJ</w:t>
      </w:r>
      <w:r>
        <w:rPr>
          <w:lang w:val="pt-PT"/>
        </w:rPr>
        <w:t>.</w:t>
      </w:r>
    </w:p>
  </w:footnote>
  <w:footnote w:id="241">
    <w:p w14:paraId="07278F8E" w14:textId="63C8B71F" w:rsidR="0052684C" w:rsidRDefault="0052684C" w:rsidP="005673FC">
      <w:pPr>
        <w:pStyle w:val="FootnoteText"/>
        <w:jc w:val="both"/>
      </w:pPr>
      <w:r>
        <w:rPr>
          <w:rStyle w:val="FootnoteReference"/>
        </w:rPr>
        <w:footnoteRef/>
      </w:r>
      <w:r>
        <w:t xml:space="preserve"> Ibid</w:t>
      </w:r>
      <w:r w:rsidRPr="00565830">
        <w:t xml:space="preserve"> para </w:t>
      </w:r>
      <w:r>
        <w:t>40.</w:t>
      </w:r>
    </w:p>
  </w:footnote>
  <w:footnote w:id="242">
    <w:p w14:paraId="13BAF914" w14:textId="5E9DB0A7" w:rsidR="0052684C" w:rsidRDefault="0052684C" w:rsidP="005673FC">
      <w:pPr>
        <w:pStyle w:val="FootnoteText"/>
        <w:jc w:val="both"/>
      </w:pPr>
      <w:r>
        <w:rPr>
          <w:rStyle w:val="FootnoteReference"/>
        </w:rPr>
        <w:footnoteRef/>
      </w:r>
      <w:r>
        <w:t xml:space="preserve"> Ibid</w:t>
      </w:r>
      <w:r w:rsidRPr="00565830">
        <w:t xml:space="preserve"> para </w:t>
      </w:r>
      <w:r>
        <w:t>50-59.</w:t>
      </w:r>
    </w:p>
  </w:footnote>
  <w:footnote w:id="243">
    <w:p w14:paraId="06F23A7A" w14:textId="69FE002A" w:rsidR="0052684C" w:rsidRDefault="0052684C" w:rsidP="005673FC">
      <w:pPr>
        <w:pStyle w:val="FootnoteText"/>
        <w:jc w:val="both"/>
      </w:pPr>
      <w:r>
        <w:rPr>
          <w:rStyle w:val="FootnoteReference"/>
        </w:rPr>
        <w:footnoteRef/>
      </w:r>
      <w:r>
        <w:t xml:space="preserve"> Ibid</w:t>
      </w:r>
      <w:r w:rsidRPr="00565830">
        <w:t xml:space="preserve"> para </w:t>
      </w:r>
      <w:r>
        <w:t>62.</w:t>
      </w:r>
    </w:p>
  </w:footnote>
  <w:footnote w:id="244">
    <w:p w14:paraId="15BA155E" w14:textId="039C274E" w:rsidR="0052684C" w:rsidRDefault="0052684C" w:rsidP="005673FC">
      <w:pPr>
        <w:pStyle w:val="FootnoteText"/>
        <w:jc w:val="both"/>
      </w:pPr>
      <w:r>
        <w:rPr>
          <w:rStyle w:val="FootnoteReference"/>
        </w:rPr>
        <w:footnoteRef/>
      </w:r>
      <w:r>
        <w:t xml:space="preserve"> Ibid</w:t>
      </w:r>
      <w:r w:rsidRPr="00565830">
        <w:t xml:space="preserve"> para </w:t>
      </w:r>
      <w:r>
        <w:t>66-73.</w:t>
      </w:r>
    </w:p>
  </w:footnote>
  <w:footnote w:id="245">
    <w:p w14:paraId="1ED26FB9" w14:textId="519C2950" w:rsidR="0052684C" w:rsidRDefault="0052684C" w:rsidP="005673FC">
      <w:pPr>
        <w:pStyle w:val="FootnoteText"/>
        <w:jc w:val="both"/>
      </w:pPr>
      <w:r>
        <w:rPr>
          <w:rStyle w:val="FootnoteReference"/>
        </w:rPr>
        <w:footnoteRef/>
      </w:r>
      <w:r>
        <w:t xml:space="preserve"> Ibid</w:t>
      </w:r>
      <w:r w:rsidRPr="00565830">
        <w:t xml:space="preserve"> para </w:t>
      </w:r>
      <w:r>
        <w:t>76-82, 93.</w:t>
      </w:r>
    </w:p>
  </w:footnote>
  <w:footnote w:id="246">
    <w:p w14:paraId="0A14C502" w14:textId="2DF43D16" w:rsidR="0052684C" w:rsidRDefault="0052684C" w:rsidP="005673FC">
      <w:pPr>
        <w:pStyle w:val="FootnoteText"/>
        <w:jc w:val="both"/>
      </w:pPr>
      <w:r>
        <w:rPr>
          <w:rStyle w:val="FootnoteReference"/>
        </w:rPr>
        <w:footnoteRef/>
      </w:r>
      <w:r>
        <w:t xml:space="preserve"> Ibid</w:t>
      </w:r>
      <w:r w:rsidRPr="00565830">
        <w:t xml:space="preserve"> para </w:t>
      </w:r>
      <w:r>
        <w:t>96.</w:t>
      </w:r>
    </w:p>
  </w:footnote>
  <w:footnote w:id="247">
    <w:p w14:paraId="59D68510" w14:textId="17FC1F20" w:rsidR="0052684C" w:rsidRDefault="0052684C" w:rsidP="005673FC">
      <w:pPr>
        <w:pStyle w:val="FootnoteText"/>
        <w:jc w:val="both"/>
      </w:pPr>
      <w:r>
        <w:rPr>
          <w:rStyle w:val="FootnoteReference"/>
        </w:rPr>
        <w:footnoteRef/>
      </w:r>
      <w:r>
        <w:t xml:space="preserve"> Ibid para 108-110.</w:t>
      </w:r>
    </w:p>
  </w:footnote>
  <w:footnote w:id="248">
    <w:p w14:paraId="15BB9E84" w14:textId="62042785" w:rsidR="0052684C" w:rsidRDefault="0052684C" w:rsidP="005673FC">
      <w:pPr>
        <w:pStyle w:val="FootnoteText"/>
        <w:jc w:val="both"/>
      </w:pPr>
      <w:r>
        <w:rPr>
          <w:rStyle w:val="FootnoteReference"/>
        </w:rPr>
        <w:footnoteRef/>
      </w:r>
      <w:r>
        <w:t xml:space="preserve"> Ibid</w:t>
      </w:r>
      <w:r w:rsidRPr="00D0039E">
        <w:t xml:space="preserve"> para </w:t>
      </w:r>
      <w:r>
        <w:t>108</w:t>
      </w:r>
      <w:r w:rsidRPr="00D0039E">
        <w:t>.</w:t>
      </w:r>
    </w:p>
  </w:footnote>
  <w:footnote w:id="249">
    <w:p w14:paraId="59BCF06A" w14:textId="5701FA71" w:rsidR="0052684C" w:rsidRDefault="0052684C" w:rsidP="005673FC">
      <w:pPr>
        <w:pStyle w:val="FootnoteText"/>
        <w:jc w:val="both"/>
      </w:pPr>
      <w:r>
        <w:rPr>
          <w:rStyle w:val="FootnoteReference"/>
        </w:rPr>
        <w:footnoteRef/>
      </w:r>
      <w:r>
        <w:t xml:space="preserve"> Ibid. </w:t>
      </w:r>
    </w:p>
  </w:footnote>
  <w:footnote w:id="250">
    <w:p w14:paraId="405FF0C5" w14:textId="077AEC0F" w:rsidR="0052684C" w:rsidRDefault="0052684C" w:rsidP="005673FC">
      <w:pPr>
        <w:pStyle w:val="FootnoteText"/>
        <w:jc w:val="both"/>
      </w:pPr>
      <w:r>
        <w:rPr>
          <w:rStyle w:val="FootnoteReference"/>
        </w:rPr>
        <w:footnoteRef/>
      </w:r>
      <w:r>
        <w:t xml:space="preserve"> Ibid</w:t>
      </w:r>
      <w:r w:rsidRPr="00603597">
        <w:t xml:space="preserve"> para </w:t>
      </w:r>
      <w:r>
        <w:t>108, 110.</w:t>
      </w:r>
    </w:p>
  </w:footnote>
  <w:footnote w:id="251">
    <w:p w14:paraId="3BA47C60" w14:textId="0E20A0D0" w:rsidR="0052684C" w:rsidRDefault="0052684C" w:rsidP="005673FC">
      <w:pPr>
        <w:pStyle w:val="FootnoteText"/>
        <w:jc w:val="both"/>
      </w:pPr>
      <w:r>
        <w:rPr>
          <w:rStyle w:val="FootnoteReference"/>
        </w:rPr>
        <w:footnoteRef/>
      </w:r>
      <w:r>
        <w:t xml:space="preserve"> Ibid</w:t>
      </w:r>
      <w:r w:rsidRPr="00565830">
        <w:t xml:space="preserve"> para </w:t>
      </w:r>
      <w:r>
        <w:t>110.</w:t>
      </w:r>
    </w:p>
  </w:footnote>
  <w:footnote w:id="252">
    <w:p w14:paraId="30443B4E" w14:textId="64585B12" w:rsidR="0052684C" w:rsidRDefault="0052684C" w:rsidP="005673FC">
      <w:pPr>
        <w:pStyle w:val="FootnoteText"/>
        <w:jc w:val="both"/>
      </w:pPr>
      <w:r>
        <w:rPr>
          <w:rStyle w:val="FootnoteReference"/>
        </w:rPr>
        <w:footnoteRef/>
      </w:r>
      <w:r>
        <w:t xml:space="preserve"> Ibid</w:t>
      </w:r>
      <w:r w:rsidRPr="00565830">
        <w:t xml:space="preserve"> para </w:t>
      </w:r>
      <w:r>
        <w:t>112.</w:t>
      </w:r>
    </w:p>
  </w:footnote>
  <w:footnote w:id="253">
    <w:p w14:paraId="44A3DD4D" w14:textId="1901BB8A" w:rsidR="0052684C" w:rsidRDefault="0052684C" w:rsidP="005673FC">
      <w:pPr>
        <w:pStyle w:val="FootnoteText"/>
        <w:jc w:val="both"/>
      </w:pPr>
      <w:r>
        <w:rPr>
          <w:rStyle w:val="FootnoteReference"/>
        </w:rPr>
        <w:footnoteRef/>
      </w:r>
      <w:r>
        <w:t xml:space="preserve"> Ibid para 128. </w:t>
      </w:r>
    </w:p>
  </w:footnote>
  <w:footnote w:id="254">
    <w:p w14:paraId="5D6DB521" w14:textId="699C5143" w:rsidR="0052684C" w:rsidRDefault="0052684C" w:rsidP="005673FC">
      <w:pPr>
        <w:pStyle w:val="FootnoteText"/>
        <w:jc w:val="both"/>
      </w:pPr>
      <w:r>
        <w:rPr>
          <w:rStyle w:val="FootnoteReference"/>
        </w:rPr>
        <w:footnoteRef/>
      </w:r>
      <w:r>
        <w:t xml:space="preserve"> Ibid</w:t>
      </w:r>
      <w:r w:rsidRPr="008473BE">
        <w:t xml:space="preserve"> para 11.</w:t>
      </w:r>
    </w:p>
  </w:footnote>
  <w:footnote w:id="255">
    <w:p w14:paraId="54CA8AE1" w14:textId="0DAD1064" w:rsidR="0052684C" w:rsidRDefault="0052684C" w:rsidP="005673FC">
      <w:pPr>
        <w:pStyle w:val="FootnoteText"/>
        <w:jc w:val="both"/>
      </w:pPr>
      <w:r>
        <w:rPr>
          <w:rStyle w:val="FootnoteReference"/>
        </w:rPr>
        <w:footnoteRef/>
      </w:r>
      <w:r>
        <w:t xml:space="preserve"> Ibid</w:t>
      </w:r>
      <w:r w:rsidRPr="0084469E">
        <w:t xml:space="preserve"> para</w:t>
      </w:r>
      <w:r>
        <w:t>s</w:t>
      </w:r>
      <w:r w:rsidRPr="0084469E">
        <w:t xml:space="preserve"> 7, 157-9.</w:t>
      </w:r>
    </w:p>
  </w:footnote>
  <w:footnote w:id="256">
    <w:p w14:paraId="793EB60C" w14:textId="500B1626" w:rsidR="0052684C" w:rsidRPr="0084469E" w:rsidRDefault="0052684C" w:rsidP="005673FC">
      <w:pPr>
        <w:pStyle w:val="FootnoteText"/>
        <w:jc w:val="both"/>
      </w:pPr>
      <w:r>
        <w:rPr>
          <w:rStyle w:val="FootnoteReference"/>
        </w:rPr>
        <w:footnoteRef/>
      </w:r>
      <w:r>
        <w:t xml:space="preserve"> Ibid</w:t>
      </w:r>
      <w:r w:rsidRPr="0084469E">
        <w:t xml:space="preserve"> para</w:t>
      </w:r>
      <w:r>
        <w:t>s</w:t>
      </w:r>
      <w:r w:rsidRPr="0084469E">
        <w:t xml:space="preserve"> 12</w:t>
      </w:r>
      <w:r>
        <w:t>, 44, 113, 114, 129, 137, 138, 142, 144, 145, 146, 147, 148, 149, 156, 159</w:t>
      </w:r>
      <w:r w:rsidRPr="0084469E">
        <w:t>.</w:t>
      </w:r>
    </w:p>
  </w:footnote>
  <w:footnote w:id="257">
    <w:p w14:paraId="75DAE22B" w14:textId="398BAF28" w:rsidR="0052684C" w:rsidRDefault="0052684C" w:rsidP="005673FC">
      <w:pPr>
        <w:pStyle w:val="FootnoteText"/>
        <w:jc w:val="both"/>
      </w:pPr>
      <w:r>
        <w:rPr>
          <w:rStyle w:val="FootnoteReference"/>
        </w:rPr>
        <w:footnoteRef/>
      </w:r>
      <w:r>
        <w:t xml:space="preserve"> Ibid para 14</w:t>
      </w:r>
      <w:r w:rsidRPr="0084469E">
        <w:t>.</w:t>
      </w:r>
    </w:p>
  </w:footnote>
  <w:footnote w:id="258">
    <w:p w14:paraId="6923768B" w14:textId="1BDB7A09" w:rsidR="0052684C" w:rsidRDefault="0052684C" w:rsidP="005673FC">
      <w:pPr>
        <w:pStyle w:val="FootnoteText"/>
        <w:jc w:val="both"/>
      </w:pPr>
      <w:r>
        <w:rPr>
          <w:rStyle w:val="FootnoteReference"/>
        </w:rPr>
        <w:footnoteRef/>
      </w:r>
      <w:r>
        <w:t xml:space="preserve"> Ibid para 163</w:t>
      </w:r>
      <w:r w:rsidRPr="0084469E">
        <w:t>.</w:t>
      </w:r>
    </w:p>
  </w:footnote>
  <w:footnote w:id="259">
    <w:p w14:paraId="10879422" w14:textId="6D6408C1" w:rsidR="0052684C" w:rsidRDefault="0052684C" w:rsidP="005673FC">
      <w:pPr>
        <w:pStyle w:val="FootnoteText"/>
        <w:jc w:val="both"/>
      </w:pPr>
      <w:r>
        <w:rPr>
          <w:rStyle w:val="FootnoteReference"/>
        </w:rPr>
        <w:footnoteRef/>
      </w:r>
      <w:r>
        <w:t xml:space="preserve"> Ibid</w:t>
      </w:r>
      <w:r w:rsidRPr="00A7181A">
        <w:t xml:space="preserve"> para</w:t>
      </w:r>
      <w:r>
        <w:t>s</w:t>
      </w:r>
      <w:r w:rsidRPr="00A7181A">
        <w:t xml:space="preserve"> </w:t>
      </w:r>
      <w:r>
        <w:t>96, 116- 120, 175</w:t>
      </w:r>
      <w:r w:rsidRPr="0084469E">
        <w:rPr>
          <w:rFonts w:cstheme="minorBidi"/>
          <w:sz w:val="24"/>
          <w:szCs w:val="22"/>
        </w:rPr>
        <w:t xml:space="preserve"> </w:t>
      </w:r>
      <w:r>
        <w:t xml:space="preserve">regarding the likelihood of Long QT syndrome in the genetic makeup of the Cannings family, thus causing sudden deaths in her infants. </w:t>
      </w:r>
    </w:p>
  </w:footnote>
  <w:footnote w:id="260">
    <w:p w14:paraId="3C4A8377" w14:textId="078D31C9" w:rsidR="0052684C" w:rsidRDefault="0052684C" w:rsidP="005673FC">
      <w:pPr>
        <w:pStyle w:val="FootnoteText"/>
        <w:jc w:val="both"/>
      </w:pPr>
      <w:r>
        <w:rPr>
          <w:rStyle w:val="FootnoteReference"/>
        </w:rPr>
        <w:footnoteRef/>
      </w:r>
      <w:r>
        <w:t xml:space="preserve"> Ibid</w:t>
      </w:r>
      <w:r w:rsidRPr="00A7181A">
        <w:t xml:space="preserve"> para </w:t>
      </w:r>
      <w:r>
        <w:t>175</w:t>
      </w:r>
      <w:r w:rsidRPr="0084469E">
        <w:t>.</w:t>
      </w:r>
    </w:p>
  </w:footnote>
  <w:footnote w:id="261">
    <w:p w14:paraId="11A23F08" w14:textId="319F3ED5" w:rsidR="0052684C" w:rsidRPr="007130ED" w:rsidRDefault="0052684C" w:rsidP="005673FC">
      <w:pPr>
        <w:pStyle w:val="FootnoteText"/>
        <w:jc w:val="both"/>
      </w:pPr>
      <w:r>
        <w:rPr>
          <w:rStyle w:val="FootnoteReference"/>
        </w:rPr>
        <w:footnoteRef/>
      </w:r>
      <w:r>
        <w:t xml:space="preserve"> </w:t>
      </w:r>
      <w:r w:rsidRPr="00063FB7">
        <w:rPr>
          <w:i/>
        </w:rPr>
        <w:t xml:space="preserve">Patel </w:t>
      </w:r>
      <w:r w:rsidRPr="004D7021">
        <w:t>(n 2</w:t>
      </w:r>
      <w:r>
        <w:t>5</w:t>
      </w:r>
      <w:r w:rsidRPr="004D7021">
        <w:t>)</w:t>
      </w:r>
      <w:r>
        <w:t>;</w:t>
      </w:r>
      <w:r>
        <w:rPr>
          <w:i/>
        </w:rPr>
        <w:t xml:space="preserve"> </w:t>
      </w:r>
      <w:r>
        <w:t xml:space="preserve">and see </w:t>
      </w:r>
      <w:r w:rsidRPr="000C2F2D">
        <w:rPr>
          <w:i/>
        </w:rPr>
        <w:t>Cannings</w:t>
      </w:r>
      <w:r w:rsidRPr="00335993">
        <w:t xml:space="preserve"> </w:t>
      </w:r>
      <w:r>
        <w:t xml:space="preserve">(n 1) </w:t>
      </w:r>
      <w:r w:rsidRPr="007130ED">
        <w:t>para</w:t>
      </w:r>
      <w:r>
        <w:t>s</w:t>
      </w:r>
      <w:r w:rsidRPr="007130ED">
        <w:t xml:space="preserve"> </w:t>
      </w:r>
      <w:r>
        <w:t xml:space="preserve">15, 22, 164, 165, 171, with reference to Jack J’s acquittal of </w:t>
      </w:r>
      <w:r w:rsidRPr="007130ED">
        <w:t>Patel.</w:t>
      </w:r>
      <w:r w:rsidRPr="007130ED">
        <w:rPr>
          <w:rFonts w:ascii="Arial" w:hAnsi="Arial" w:cs="Arial"/>
        </w:rPr>
        <w:t xml:space="preserve"> </w:t>
      </w:r>
      <w:r>
        <w:t>Judge LJ</w:t>
      </w:r>
      <w:r w:rsidRPr="007130ED">
        <w:t xml:space="preserve"> identified that </w:t>
      </w:r>
      <w:r>
        <w:t xml:space="preserve">the causes of the three children’s deaths in Patel were similarly to Cannings’ case very rare, but he considered Jack J’s reasoning with regard to the causes of death to be flawed. </w:t>
      </w:r>
    </w:p>
  </w:footnote>
  <w:footnote w:id="262">
    <w:p w14:paraId="43DF96EE" w14:textId="4D9FA88B" w:rsidR="0052684C" w:rsidRDefault="0052684C" w:rsidP="005673FC">
      <w:pPr>
        <w:pStyle w:val="FootnoteText"/>
        <w:jc w:val="both"/>
      </w:pPr>
      <w:r>
        <w:rPr>
          <w:rStyle w:val="FootnoteReference"/>
        </w:rPr>
        <w:footnoteRef/>
      </w:r>
      <w:r>
        <w:t xml:space="preserve"> </w:t>
      </w:r>
      <w:r w:rsidRPr="00886627">
        <w:rPr>
          <w:bCs/>
          <w:i/>
        </w:rPr>
        <w:t xml:space="preserve">Stacey </w:t>
      </w:r>
      <w:r w:rsidRPr="00886627">
        <w:rPr>
          <w:bCs/>
        </w:rPr>
        <w:t>(</w:t>
      </w:r>
      <w:r>
        <w:rPr>
          <w:bCs/>
        </w:rPr>
        <w:t xml:space="preserve">n 23); </w:t>
      </w:r>
      <w:r>
        <w:rPr>
          <w:bCs/>
          <w:i/>
        </w:rPr>
        <w:t>Gay and</w:t>
      </w:r>
      <w:r w:rsidRPr="0059150B">
        <w:rPr>
          <w:bCs/>
          <w:i/>
        </w:rPr>
        <w:t xml:space="preserve"> Gay</w:t>
      </w:r>
      <w:r>
        <w:rPr>
          <w:bCs/>
        </w:rPr>
        <w:t xml:space="preserve"> (n 1); </w:t>
      </w:r>
      <w:r w:rsidRPr="0059150B">
        <w:rPr>
          <w:bCs/>
          <w:i/>
        </w:rPr>
        <w:t>Al-Alas and Wray</w:t>
      </w:r>
      <w:r>
        <w:rPr>
          <w:bCs/>
        </w:rPr>
        <w:t xml:space="preserve"> (n 25). </w:t>
      </w:r>
      <w:r>
        <w:t>These cases and the behavioural facts are examined in Orr (n 37</w:t>
      </w:r>
      <w:r>
        <w:rPr>
          <w:iCs/>
        </w:rPr>
        <w:t>).</w:t>
      </w:r>
    </w:p>
  </w:footnote>
  <w:footnote w:id="263">
    <w:p w14:paraId="1BCDD585" w14:textId="77777777" w:rsidR="0052684C" w:rsidRDefault="0052684C" w:rsidP="005673FC">
      <w:pPr>
        <w:pStyle w:val="FootnoteText"/>
        <w:jc w:val="both"/>
      </w:pPr>
      <w:r>
        <w:rPr>
          <w:rStyle w:val="FootnoteReference"/>
        </w:rPr>
        <w:footnoteRef/>
      </w:r>
      <w:r>
        <w:t xml:space="preserve"> </w:t>
      </w:r>
      <w:r>
        <w:rPr>
          <w:i/>
        </w:rPr>
        <w:t>Cannings</w:t>
      </w:r>
      <w:r w:rsidRPr="00335993">
        <w:t xml:space="preserve"> </w:t>
      </w:r>
      <w:r>
        <w:t>(n 1)</w:t>
      </w:r>
      <w:r w:rsidRPr="00367C2A">
        <w:t xml:space="preserve">; </w:t>
      </w:r>
      <w:r w:rsidRPr="006B243D">
        <w:rPr>
          <w:i/>
        </w:rPr>
        <w:t>Anthony</w:t>
      </w:r>
      <w:r w:rsidRPr="0014117B">
        <w:rPr>
          <w:bCs/>
          <w:i/>
          <w:lang w:val="pt-PT"/>
        </w:rPr>
        <w:t xml:space="preserve"> (No 2)</w:t>
      </w:r>
      <w:r>
        <w:rPr>
          <w:bCs/>
          <w:lang w:val="pt-PT"/>
        </w:rPr>
        <w:t xml:space="preserve"> (n 1).</w:t>
      </w:r>
    </w:p>
  </w:footnote>
  <w:footnote w:id="264">
    <w:p w14:paraId="42852196" w14:textId="77777777" w:rsidR="0052684C" w:rsidRDefault="0052684C" w:rsidP="005673FC">
      <w:pPr>
        <w:pStyle w:val="FootnoteText"/>
        <w:jc w:val="both"/>
      </w:pPr>
      <w:r>
        <w:rPr>
          <w:rStyle w:val="FootnoteReference"/>
        </w:rPr>
        <w:footnoteRef/>
      </w:r>
      <w:r>
        <w:t xml:space="preserve"> Infanticide Act 1938  s </w:t>
      </w:r>
      <w:r w:rsidRPr="0029308D">
        <w:t>(1)</w:t>
      </w:r>
      <w:r>
        <w:t>:</w:t>
      </w:r>
      <w:r w:rsidRPr="0029308D">
        <w:t xml:space="preserve"> “</w:t>
      </w:r>
      <w:r w:rsidRPr="0029308D">
        <w:rPr>
          <w:lang w:val="en"/>
        </w:rPr>
        <w:t>Where a woman by any wilful act or omission causes the death of her child being a child under the age of twelve months, but at the time of the act or omission the balance of her mind was disturbed by reason of her not having fully recovered from the effect of giving birth to the child or by reason of the effect of lactation consequent upon the birth of the child, then, … she shall be guilty of … infanticide, and punished … (for) … manslaughter of the child</w:t>
      </w:r>
      <w:r>
        <w:rPr>
          <w:lang w:val="en"/>
        </w:rPr>
        <w:t xml:space="preserve">’. </w:t>
      </w:r>
    </w:p>
  </w:footnote>
  <w:footnote w:id="265">
    <w:p w14:paraId="08666245" w14:textId="2B2A5186" w:rsidR="0052684C" w:rsidRDefault="0052684C" w:rsidP="005673FC">
      <w:pPr>
        <w:pStyle w:val="FootnoteText"/>
        <w:jc w:val="both"/>
      </w:pPr>
      <w:r>
        <w:rPr>
          <w:rStyle w:val="FootnoteReference"/>
        </w:rPr>
        <w:footnoteRef/>
      </w:r>
      <w:r>
        <w:t xml:space="preserve"> See n 54; and see also:</w:t>
      </w:r>
      <w:r w:rsidRPr="00154F2C">
        <w:t xml:space="preserve"> Meadow R, </w:t>
      </w:r>
      <w:r w:rsidRPr="00154F2C">
        <w:rPr>
          <w:i/>
        </w:rPr>
        <w:t>ABC of Child Abuse</w:t>
      </w:r>
      <w:r w:rsidRPr="00154F2C">
        <w:t xml:space="preserve"> (BMJ Books, 1</w:t>
      </w:r>
      <w:r w:rsidRPr="00154F2C">
        <w:rPr>
          <w:vertAlign w:val="superscript"/>
        </w:rPr>
        <w:t>st</w:t>
      </w:r>
      <w:r w:rsidRPr="00154F2C">
        <w:t xml:space="preserve"> ed, 1989); Meadow R, ‘Suffocation, Recurrent Apnoea and Sudden Infant Death’ (1990) 117(3) J Pediatrics 351; Meadow R, ‘Neurological and Developmental Variants of Munchhausen Syndrome by Proxy’ </w:t>
      </w:r>
      <w:r>
        <w:t>(1991) Dev Med &amp; Child Neurol</w:t>
      </w:r>
      <w:r w:rsidRPr="00154F2C">
        <w:t xml:space="preserve"> 270; Meadow R, ‘Unnatural Sudden Infant Death’ (1999) 80 Arch</w:t>
      </w:r>
      <w:r>
        <w:t xml:space="preserve"> </w:t>
      </w:r>
      <w:r w:rsidRPr="00154F2C">
        <w:t xml:space="preserve">Dis </w:t>
      </w:r>
      <w:r>
        <w:t>Child</w:t>
      </w:r>
      <w:r w:rsidRPr="00154F2C">
        <w:t xml:space="preserve"> 7.</w:t>
      </w:r>
    </w:p>
  </w:footnote>
  <w:footnote w:id="266">
    <w:p w14:paraId="6F8B5CF4" w14:textId="4D90BCA3" w:rsidR="0052684C" w:rsidRDefault="0052684C" w:rsidP="005673FC">
      <w:pPr>
        <w:pStyle w:val="FootnoteText"/>
        <w:jc w:val="both"/>
      </w:pPr>
      <w:r>
        <w:rPr>
          <w:rStyle w:val="FootnoteReference"/>
        </w:rPr>
        <w:footnoteRef/>
      </w:r>
      <w:r>
        <w:t xml:space="preserve"> </w:t>
      </w:r>
      <w:r>
        <w:rPr>
          <w:i/>
        </w:rPr>
        <w:t>Cannings</w:t>
      </w:r>
      <w:r w:rsidRPr="00335993">
        <w:t xml:space="preserve"> </w:t>
      </w:r>
      <w:r>
        <w:t>(n 1) para 4 per Judge LJ.</w:t>
      </w:r>
    </w:p>
  </w:footnote>
  <w:footnote w:id="267">
    <w:p w14:paraId="5079E278" w14:textId="62005F5A" w:rsidR="0052684C" w:rsidRDefault="0052684C" w:rsidP="005673FC">
      <w:pPr>
        <w:pStyle w:val="FootnoteText"/>
        <w:jc w:val="both"/>
      </w:pPr>
      <w:r>
        <w:rPr>
          <w:rStyle w:val="FootnoteReference"/>
        </w:rPr>
        <w:footnoteRef/>
      </w:r>
      <w:r>
        <w:t xml:space="preserve"> </w:t>
      </w:r>
      <w:r w:rsidRPr="00AB3931">
        <w:t xml:space="preserve">Redmayne </w:t>
      </w:r>
      <w:r>
        <w:t>(n 18)</w:t>
      </w:r>
      <w:r w:rsidRPr="00AB3931">
        <w:t xml:space="preserve"> </w:t>
      </w:r>
      <w:r>
        <w:t>9.</w:t>
      </w:r>
    </w:p>
  </w:footnote>
  <w:footnote w:id="268">
    <w:p w14:paraId="6EF1E9BC" w14:textId="38D139E1" w:rsidR="0052684C" w:rsidRDefault="0052684C" w:rsidP="005673FC">
      <w:pPr>
        <w:pStyle w:val="FootnoteText"/>
        <w:jc w:val="both"/>
      </w:pPr>
      <w:r>
        <w:rPr>
          <w:rStyle w:val="FootnoteReference"/>
        </w:rPr>
        <w:footnoteRef/>
      </w:r>
      <w:r>
        <w:t xml:space="preserve"> </w:t>
      </w:r>
      <w:r w:rsidRPr="00F11E15">
        <w:rPr>
          <w:i/>
        </w:rPr>
        <w:t xml:space="preserve">Cannings </w:t>
      </w:r>
      <w:r w:rsidRPr="00E04177">
        <w:t xml:space="preserve">(n </w:t>
      </w:r>
      <w:r>
        <w:t>1</w:t>
      </w:r>
      <w:r w:rsidRPr="00E04177">
        <w:t>)</w:t>
      </w:r>
      <w:r w:rsidRPr="00F11E15">
        <w:rPr>
          <w:i/>
        </w:rPr>
        <w:t xml:space="preserve"> </w:t>
      </w:r>
      <w:r>
        <w:t>para 4 per Judge LJ.</w:t>
      </w:r>
    </w:p>
  </w:footnote>
  <w:footnote w:id="269">
    <w:p w14:paraId="51A0D0D3" w14:textId="495B500B" w:rsidR="0052684C" w:rsidRDefault="0052684C" w:rsidP="005673FC">
      <w:pPr>
        <w:pStyle w:val="FootnoteText"/>
        <w:jc w:val="both"/>
      </w:pPr>
      <w:r>
        <w:rPr>
          <w:rStyle w:val="FootnoteReference"/>
        </w:rPr>
        <w:footnoteRef/>
      </w:r>
      <w:r>
        <w:t xml:space="preserve"> Ibid.</w:t>
      </w:r>
    </w:p>
  </w:footnote>
  <w:footnote w:id="270">
    <w:p w14:paraId="21780E7D" w14:textId="0BF2F03D" w:rsidR="0052684C" w:rsidRDefault="0052684C" w:rsidP="005673FC">
      <w:pPr>
        <w:pStyle w:val="FootnoteText"/>
        <w:jc w:val="both"/>
      </w:pPr>
      <w:r>
        <w:rPr>
          <w:rStyle w:val="FootnoteReference"/>
        </w:rPr>
        <w:footnoteRef/>
      </w:r>
      <w:r>
        <w:t xml:space="preserve"> Ibid para 5.</w:t>
      </w:r>
    </w:p>
  </w:footnote>
  <w:footnote w:id="271">
    <w:p w14:paraId="15D0911A" w14:textId="01F7173A" w:rsidR="0052684C" w:rsidRDefault="0052684C" w:rsidP="005673FC">
      <w:pPr>
        <w:pStyle w:val="FootnoteText"/>
        <w:jc w:val="both"/>
      </w:pPr>
      <w:r>
        <w:rPr>
          <w:rStyle w:val="FootnoteReference"/>
        </w:rPr>
        <w:footnoteRef/>
      </w:r>
      <w:r>
        <w:t xml:space="preserve"> </w:t>
      </w:r>
      <w:r w:rsidRPr="009F1F8B">
        <w:t xml:space="preserve">Law Commission, </w:t>
      </w:r>
      <w:r w:rsidRPr="009F1F8B">
        <w:rPr>
          <w:i/>
        </w:rPr>
        <w:t>A New Homicide Act for England and Wales? A Consultation Paper’</w:t>
      </w:r>
      <w:r w:rsidRPr="009F1F8B">
        <w:t xml:space="preserve"> (</w:t>
      </w:r>
      <w:r>
        <w:t xml:space="preserve">Law Com No 177, </w:t>
      </w:r>
      <w:r w:rsidRPr="009F1F8B">
        <w:t xml:space="preserve">Law Commission 2005) para </w:t>
      </w:r>
      <w:r>
        <w:t>2.69.</w:t>
      </w:r>
    </w:p>
  </w:footnote>
  <w:footnote w:id="272">
    <w:p w14:paraId="7D5B550E" w14:textId="7B51FAF5" w:rsidR="0052684C" w:rsidRDefault="0052684C" w:rsidP="005673FC">
      <w:pPr>
        <w:pStyle w:val="FootnoteText"/>
        <w:jc w:val="both"/>
      </w:pPr>
      <w:r>
        <w:rPr>
          <w:rStyle w:val="FootnoteReference"/>
        </w:rPr>
        <w:footnoteRef/>
      </w:r>
      <w:r>
        <w:t xml:space="preserve"> Ibid.</w:t>
      </w:r>
    </w:p>
  </w:footnote>
  <w:footnote w:id="273">
    <w:p w14:paraId="33DAE649" w14:textId="28CA370B" w:rsidR="0052684C" w:rsidRDefault="0052684C" w:rsidP="005673FC">
      <w:pPr>
        <w:pStyle w:val="FootnoteText"/>
        <w:jc w:val="both"/>
      </w:pPr>
      <w:r>
        <w:rPr>
          <w:rStyle w:val="FootnoteReference"/>
        </w:rPr>
        <w:footnoteRef/>
      </w:r>
      <w:r>
        <w:t xml:space="preserve"> Infanticide Act 1938; Law Commission, ibid para 1.115 and Chapter Nine;</w:t>
      </w:r>
      <w:r w:rsidRPr="00830056">
        <w:t xml:space="preserve"> </w:t>
      </w:r>
      <w:r>
        <w:t>Law Commission,</w:t>
      </w:r>
      <w:r w:rsidRPr="00830056">
        <w:rPr>
          <w:sz w:val="24"/>
          <w:szCs w:val="24"/>
        </w:rPr>
        <w:t xml:space="preserve"> </w:t>
      </w:r>
      <w:r w:rsidRPr="00297306">
        <w:rPr>
          <w:i/>
        </w:rPr>
        <w:t>Murder, Manslaughter and Infanticide</w:t>
      </w:r>
      <w:r w:rsidRPr="00830056">
        <w:t xml:space="preserve"> </w:t>
      </w:r>
      <w:r>
        <w:t>(Law Com No 304, Law Commission 2006).</w:t>
      </w:r>
    </w:p>
  </w:footnote>
  <w:footnote w:id="274">
    <w:p w14:paraId="6FC13D15" w14:textId="327E0300" w:rsidR="0052684C" w:rsidRDefault="0052684C" w:rsidP="005673FC">
      <w:pPr>
        <w:pStyle w:val="FootnoteText"/>
        <w:jc w:val="both"/>
      </w:pPr>
      <w:r>
        <w:rPr>
          <w:rStyle w:val="FootnoteReference"/>
        </w:rPr>
        <w:footnoteRef/>
      </w:r>
      <w:r>
        <w:t xml:space="preserve"> </w:t>
      </w:r>
      <w:r>
        <w:rPr>
          <w:i/>
        </w:rPr>
        <w:t>Cannings</w:t>
      </w:r>
      <w:r w:rsidRPr="00335993">
        <w:t xml:space="preserve"> </w:t>
      </w:r>
      <w:r>
        <w:t>(n 1) para 161 per Judge LJ.</w:t>
      </w:r>
    </w:p>
  </w:footnote>
  <w:footnote w:id="275">
    <w:p w14:paraId="6351422B" w14:textId="52694313" w:rsidR="0052684C" w:rsidRDefault="0052684C" w:rsidP="005673FC">
      <w:pPr>
        <w:pStyle w:val="FootnoteText"/>
        <w:jc w:val="both"/>
      </w:pPr>
      <w:r>
        <w:rPr>
          <w:rStyle w:val="FootnoteReference"/>
        </w:rPr>
        <w:footnoteRef/>
      </w:r>
      <w:r>
        <w:t xml:space="preserve"> Ibid.</w:t>
      </w:r>
    </w:p>
  </w:footnote>
  <w:footnote w:id="276">
    <w:p w14:paraId="3F64490F" w14:textId="3799FC8A" w:rsidR="0052684C" w:rsidRDefault="0052684C" w:rsidP="005673FC">
      <w:pPr>
        <w:pStyle w:val="FootnoteText"/>
        <w:jc w:val="both"/>
      </w:pPr>
      <w:r>
        <w:rPr>
          <w:rStyle w:val="FootnoteReference"/>
        </w:rPr>
        <w:footnoteRef/>
      </w:r>
      <w:r>
        <w:t xml:space="preserve"> Ibid.</w:t>
      </w:r>
    </w:p>
  </w:footnote>
  <w:footnote w:id="277">
    <w:p w14:paraId="05538B56" w14:textId="103384C1" w:rsidR="0052684C" w:rsidRDefault="0052684C" w:rsidP="005673FC">
      <w:pPr>
        <w:pStyle w:val="FootnoteText"/>
        <w:jc w:val="both"/>
      </w:pPr>
      <w:r>
        <w:rPr>
          <w:rStyle w:val="FootnoteReference"/>
        </w:rPr>
        <w:footnoteRef/>
      </w:r>
      <w:r>
        <w:t xml:space="preserve"> Ibid para 5.</w:t>
      </w:r>
    </w:p>
  </w:footnote>
  <w:footnote w:id="278">
    <w:p w14:paraId="71150F45" w14:textId="7A184561" w:rsidR="0052684C" w:rsidRDefault="0052684C" w:rsidP="005673FC">
      <w:pPr>
        <w:pStyle w:val="FootnoteText"/>
        <w:jc w:val="both"/>
      </w:pPr>
      <w:r>
        <w:rPr>
          <w:rStyle w:val="FootnoteReference"/>
        </w:rPr>
        <w:footnoteRef/>
      </w:r>
      <w:r>
        <w:t xml:space="preserve"> Ibid. </w:t>
      </w:r>
    </w:p>
  </w:footnote>
  <w:footnote w:id="279">
    <w:p w14:paraId="4FF7D0A3" w14:textId="73577D35" w:rsidR="0052684C" w:rsidRDefault="0052684C" w:rsidP="005673FC">
      <w:pPr>
        <w:pStyle w:val="FootnoteText"/>
        <w:jc w:val="both"/>
      </w:pPr>
      <w:r>
        <w:rPr>
          <w:rStyle w:val="FootnoteReference"/>
        </w:rPr>
        <w:footnoteRef/>
      </w:r>
      <w:r>
        <w:t xml:space="preserve"> Law Commission No 304 (n 272) para 8.4.</w:t>
      </w:r>
    </w:p>
  </w:footnote>
  <w:footnote w:id="280">
    <w:p w14:paraId="710BDFBE" w14:textId="45A233C9" w:rsidR="0052684C" w:rsidRDefault="0052684C" w:rsidP="005673FC">
      <w:pPr>
        <w:pStyle w:val="FootnoteText"/>
        <w:jc w:val="both"/>
      </w:pPr>
      <w:r>
        <w:rPr>
          <w:rStyle w:val="FootnoteReference"/>
        </w:rPr>
        <w:footnoteRef/>
      </w:r>
      <w:r>
        <w:t xml:space="preserve"> Ibid.</w:t>
      </w:r>
    </w:p>
  </w:footnote>
  <w:footnote w:id="281">
    <w:p w14:paraId="6F9376C1" w14:textId="4FD17102" w:rsidR="0052684C" w:rsidRDefault="0052684C" w:rsidP="005673FC">
      <w:pPr>
        <w:pStyle w:val="FootnoteText"/>
        <w:jc w:val="both"/>
      </w:pPr>
      <w:r>
        <w:rPr>
          <w:rStyle w:val="FootnoteReference"/>
        </w:rPr>
        <w:footnoteRef/>
      </w:r>
      <w:r>
        <w:t xml:space="preserve"> </w:t>
      </w:r>
      <w:r>
        <w:rPr>
          <w:i/>
        </w:rPr>
        <w:t xml:space="preserve">Kai-Whitewind </w:t>
      </w:r>
      <w:r w:rsidRPr="0014117B">
        <w:t xml:space="preserve">(n </w:t>
      </w:r>
      <w:r>
        <w:t>24</w:t>
      </w:r>
      <w:r w:rsidRPr="0014117B">
        <w:t>).</w:t>
      </w:r>
      <w:r>
        <w:t xml:space="preserve"> </w:t>
      </w:r>
    </w:p>
  </w:footnote>
  <w:footnote w:id="282">
    <w:p w14:paraId="2C522007" w14:textId="18457654" w:rsidR="0052684C" w:rsidRDefault="0052684C" w:rsidP="005673FC">
      <w:pPr>
        <w:pStyle w:val="FootnoteText"/>
        <w:jc w:val="both"/>
      </w:pPr>
      <w:r>
        <w:rPr>
          <w:rStyle w:val="FootnoteReference"/>
        </w:rPr>
        <w:footnoteRef/>
      </w:r>
      <w:r>
        <w:t xml:space="preserve"> </w:t>
      </w:r>
      <w:r w:rsidRPr="00F11E15">
        <w:rPr>
          <w:i/>
          <w:lang w:val="pt-PT"/>
        </w:rPr>
        <w:t xml:space="preserve">Cannings </w:t>
      </w:r>
      <w:r w:rsidRPr="00F11E15">
        <w:rPr>
          <w:lang w:val="pt-PT"/>
        </w:rPr>
        <w:t xml:space="preserve">(n </w:t>
      </w:r>
      <w:r>
        <w:rPr>
          <w:lang w:val="pt-PT"/>
        </w:rPr>
        <w:t>1</w:t>
      </w:r>
      <w:r w:rsidRPr="00F11E15">
        <w:rPr>
          <w:lang w:val="pt-PT"/>
        </w:rPr>
        <w:t>)</w:t>
      </w:r>
      <w:r w:rsidRPr="00780F26">
        <w:rPr>
          <w:lang w:val="pt-PT"/>
        </w:rPr>
        <w:t xml:space="preserve"> para</w:t>
      </w:r>
      <w:r>
        <w:rPr>
          <w:lang w:val="pt-PT"/>
        </w:rPr>
        <w:t xml:space="preserve"> 59 </w:t>
      </w:r>
      <w:r w:rsidRPr="00DB51AB">
        <w:rPr>
          <w:lang w:val="pt-PT"/>
        </w:rPr>
        <w:t>per Judge LJ.</w:t>
      </w:r>
    </w:p>
  </w:footnote>
  <w:footnote w:id="283">
    <w:p w14:paraId="65A36BB5" w14:textId="52B81536" w:rsidR="0052684C" w:rsidRDefault="0052684C" w:rsidP="005673FC">
      <w:pPr>
        <w:pStyle w:val="FootnoteText"/>
        <w:jc w:val="both"/>
      </w:pPr>
      <w:r>
        <w:rPr>
          <w:rStyle w:val="FootnoteReference"/>
        </w:rPr>
        <w:footnoteRef/>
      </w:r>
      <w:r>
        <w:t xml:space="preserve"> Ibid.</w:t>
      </w:r>
    </w:p>
  </w:footnote>
  <w:footnote w:id="284">
    <w:p w14:paraId="4967DD50" w14:textId="58F7DA4E" w:rsidR="0052684C" w:rsidRDefault="0052684C" w:rsidP="005673FC">
      <w:pPr>
        <w:pStyle w:val="FootnoteText"/>
        <w:jc w:val="both"/>
      </w:pPr>
      <w:r>
        <w:rPr>
          <w:rStyle w:val="FootnoteReference"/>
        </w:rPr>
        <w:footnoteRef/>
      </w:r>
      <w:r>
        <w:t xml:space="preserve"> Ibid.</w:t>
      </w:r>
    </w:p>
  </w:footnote>
  <w:footnote w:id="285">
    <w:p w14:paraId="30A228BF" w14:textId="35C79346" w:rsidR="0052684C" w:rsidRPr="00734C36" w:rsidRDefault="0052684C" w:rsidP="005673FC">
      <w:pPr>
        <w:pStyle w:val="FootnoteText"/>
        <w:jc w:val="both"/>
      </w:pPr>
      <w:r>
        <w:rPr>
          <w:rStyle w:val="FootnoteReference"/>
        </w:rPr>
        <w:footnoteRef/>
      </w:r>
      <w:r>
        <w:t xml:space="preserve"> O</w:t>
      </w:r>
      <w:r w:rsidRPr="00F54AAC">
        <w:t xml:space="preserve">therwise known as Fabricated (or Factitious) </w:t>
      </w:r>
      <w:r>
        <w:t xml:space="preserve">Induced Illness by Carers (FIIC) See RCPCH, </w:t>
      </w:r>
      <w:r w:rsidRPr="00A636F6">
        <w:rPr>
          <w:i/>
        </w:rPr>
        <w:t>Fabrica</w:t>
      </w:r>
      <w:r>
        <w:rPr>
          <w:i/>
        </w:rPr>
        <w:t>ted o</w:t>
      </w:r>
      <w:r w:rsidRPr="00A636F6">
        <w:rPr>
          <w:i/>
        </w:rPr>
        <w:t xml:space="preserve">r </w:t>
      </w:r>
      <w:r w:rsidRPr="00734C36">
        <w:rPr>
          <w:i/>
        </w:rPr>
        <w:t>Induced Illness by Carers, Report of the Working Party</w:t>
      </w:r>
      <w:r w:rsidRPr="00734C36">
        <w:t xml:space="preserve"> (RCPCH 2009).</w:t>
      </w:r>
    </w:p>
  </w:footnote>
  <w:footnote w:id="286">
    <w:p w14:paraId="5801E354" w14:textId="04B708C5" w:rsidR="0052684C" w:rsidRPr="00734C36" w:rsidRDefault="0052684C" w:rsidP="005673FC">
      <w:pPr>
        <w:pStyle w:val="FootnoteText"/>
        <w:jc w:val="both"/>
      </w:pPr>
      <w:r w:rsidRPr="00734C36">
        <w:rPr>
          <w:rStyle w:val="FootnoteReference"/>
        </w:rPr>
        <w:footnoteRef/>
      </w:r>
      <w:r w:rsidRPr="00734C36">
        <w:t xml:space="preserve"> </w:t>
      </w:r>
      <w:r w:rsidRPr="0014117B">
        <w:rPr>
          <w:bCs/>
          <w:i/>
          <w:lang w:val="pt-PT"/>
        </w:rPr>
        <w:t>Anthony (No 2)</w:t>
      </w:r>
      <w:r>
        <w:rPr>
          <w:bCs/>
          <w:lang w:val="pt-PT"/>
        </w:rPr>
        <w:t xml:space="preserve"> (n 1) </w:t>
      </w:r>
      <w:r>
        <w:rPr>
          <w:bCs/>
        </w:rPr>
        <w:t xml:space="preserve">para 2, </w:t>
      </w:r>
      <w:r>
        <w:rPr>
          <w:bCs/>
          <w:lang w:val="pt-PT"/>
        </w:rPr>
        <w:t>pp</w:t>
      </w:r>
      <w:r w:rsidRPr="00734C36">
        <w:rPr>
          <w:bCs/>
          <w:lang w:val="pt-PT"/>
        </w:rPr>
        <w:t xml:space="preserve"> 2,</w:t>
      </w:r>
      <w:r>
        <w:rPr>
          <w:bCs/>
          <w:lang w:val="pt-PT"/>
        </w:rPr>
        <w:t xml:space="preserve"> </w:t>
      </w:r>
      <w:r w:rsidRPr="00734C36">
        <w:rPr>
          <w:bCs/>
          <w:lang w:val="pt-PT"/>
        </w:rPr>
        <w:t>3,</w:t>
      </w:r>
      <w:r>
        <w:rPr>
          <w:bCs/>
          <w:lang w:val="pt-PT"/>
        </w:rPr>
        <w:t xml:space="preserve"> </w:t>
      </w:r>
      <w:r w:rsidRPr="00734C36">
        <w:rPr>
          <w:bCs/>
          <w:lang w:val="pt-PT"/>
        </w:rPr>
        <w:t>8 per J</w:t>
      </w:r>
      <w:r w:rsidRPr="00734C36">
        <w:rPr>
          <w:bCs/>
        </w:rPr>
        <w:t>udge LJ</w:t>
      </w:r>
      <w:r w:rsidRPr="00734C36">
        <w:t>.</w:t>
      </w:r>
    </w:p>
  </w:footnote>
  <w:footnote w:id="287">
    <w:p w14:paraId="16D64B0B" w14:textId="3D5BE0A1" w:rsidR="0052684C" w:rsidRDefault="0052684C" w:rsidP="005673FC">
      <w:pPr>
        <w:pStyle w:val="FootnoteText"/>
        <w:jc w:val="both"/>
      </w:pPr>
      <w:r>
        <w:rPr>
          <w:rStyle w:val="FootnoteReference"/>
        </w:rPr>
        <w:footnoteRef/>
      </w:r>
      <w:r>
        <w:t xml:space="preserve"> </w:t>
      </w:r>
      <w:r w:rsidRPr="000C28EE">
        <w:rPr>
          <w:i/>
        </w:rPr>
        <w:t>R v Donna Anthony (Appeal against Conviction) (No 1)</w:t>
      </w:r>
      <w:r w:rsidRPr="0077277D">
        <w:t xml:space="preserve"> [2000] WL 989311</w:t>
      </w:r>
      <w:r>
        <w:t xml:space="preserve"> p 2 per Tuckey J.</w:t>
      </w:r>
    </w:p>
  </w:footnote>
  <w:footnote w:id="288">
    <w:p w14:paraId="360990D5" w14:textId="206E5E00" w:rsidR="0052684C" w:rsidRDefault="0052684C" w:rsidP="005673FC">
      <w:pPr>
        <w:pStyle w:val="FootnoteText"/>
        <w:jc w:val="both"/>
      </w:pPr>
      <w:r>
        <w:rPr>
          <w:rStyle w:val="FootnoteReference"/>
        </w:rPr>
        <w:footnoteRef/>
      </w:r>
      <w:r>
        <w:t xml:space="preserve"> </w:t>
      </w:r>
      <w:r w:rsidRPr="00982617">
        <w:t xml:space="preserve">Redmayne </w:t>
      </w:r>
      <w:r>
        <w:t xml:space="preserve"> (n 18) 6.</w:t>
      </w:r>
    </w:p>
  </w:footnote>
  <w:footnote w:id="289">
    <w:p w14:paraId="2805F8D2" w14:textId="19390257" w:rsidR="0052684C" w:rsidRDefault="0052684C" w:rsidP="005673FC">
      <w:pPr>
        <w:pStyle w:val="FootnoteText"/>
        <w:jc w:val="both"/>
      </w:pPr>
      <w:r>
        <w:rPr>
          <w:rStyle w:val="FootnoteReference"/>
        </w:rPr>
        <w:footnoteRef/>
      </w:r>
      <w:r>
        <w:t xml:space="preserve"> Ibid.</w:t>
      </w:r>
    </w:p>
  </w:footnote>
  <w:footnote w:id="290">
    <w:p w14:paraId="08276809" w14:textId="329F648C" w:rsidR="0052684C" w:rsidRDefault="0052684C" w:rsidP="005673FC">
      <w:pPr>
        <w:pStyle w:val="FootnoteText"/>
        <w:jc w:val="both"/>
      </w:pPr>
      <w:r>
        <w:rPr>
          <w:rStyle w:val="FootnoteReference"/>
        </w:rPr>
        <w:footnoteRef/>
      </w:r>
      <w:r>
        <w:t xml:space="preserve"> Ibid.</w:t>
      </w:r>
    </w:p>
  </w:footnote>
  <w:footnote w:id="291">
    <w:p w14:paraId="6ACEC947" w14:textId="0AB6B84D" w:rsidR="0052684C" w:rsidRDefault="0052684C" w:rsidP="005673FC">
      <w:pPr>
        <w:pStyle w:val="FootnoteText"/>
        <w:jc w:val="both"/>
      </w:pPr>
      <w:r>
        <w:rPr>
          <w:rStyle w:val="FootnoteReference"/>
        </w:rPr>
        <w:footnoteRef/>
      </w:r>
      <w:r>
        <w:t xml:space="preserve"> </w:t>
      </w:r>
      <w:r w:rsidRPr="0014117B">
        <w:rPr>
          <w:bCs/>
          <w:i/>
          <w:lang w:val="pt-PT"/>
        </w:rPr>
        <w:t>Anthony (No 2)</w:t>
      </w:r>
      <w:r>
        <w:rPr>
          <w:bCs/>
          <w:lang w:val="pt-PT"/>
        </w:rPr>
        <w:t xml:space="preserve"> (n 1) </w:t>
      </w:r>
      <w:r>
        <w:rPr>
          <w:bCs/>
        </w:rPr>
        <w:t>para 2 per Judge LJ.</w:t>
      </w:r>
    </w:p>
  </w:footnote>
  <w:footnote w:id="292">
    <w:p w14:paraId="1A0CA8D9" w14:textId="09F23022" w:rsidR="0052684C" w:rsidRDefault="0052684C" w:rsidP="005673FC">
      <w:pPr>
        <w:pStyle w:val="FootnoteText"/>
        <w:jc w:val="both"/>
      </w:pPr>
      <w:r>
        <w:rPr>
          <w:rStyle w:val="FootnoteReference"/>
        </w:rPr>
        <w:footnoteRef/>
      </w:r>
      <w:r>
        <w:t xml:space="preserve"> Ibid</w:t>
      </w:r>
      <w:r w:rsidRPr="00DE338E">
        <w:rPr>
          <w:bCs/>
        </w:rPr>
        <w:t xml:space="preserve"> para </w:t>
      </w:r>
      <w:r>
        <w:rPr>
          <w:bCs/>
        </w:rPr>
        <w:t>55.</w:t>
      </w:r>
    </w:p>
  </w:footnote>
  <w:footnote w:id="293">
    <w:p w14:paraId="72B650A4" w14:textId="4DF953E7" w:rsidR="0052684C" w:rsidRDefault="0052684C" w:rsidP="005673FC">
      <w:pPr>
        <w:pStyle w:val="FootnoteText"/>
        <w:jc w:val="both"/>
      </w:pPr>
      <w:r>
        <w:rPr>
          <w:rStyle w:val="FootnoteReference"/>
        </w:rPr>
        <w:footnoteRef/>
      </w:r>
      <w:r>
        <w:t xml:space="preserve"> Ibid</w:t>
      </w:r>
      <w:r w:rsidRPr="00DE338E">
        <w:rPr>
          <w:bCs/>
        </w:rPr>
        <w:t xml:space="preserve"> para </w:t>
      </w:r>
      <w:r>
        <w:rPr>
          <w:bCs/>
        </w:rPr>
        <w:t>59.</w:t>
      </w:r>
    </w:p>
  </w:footnote>
  <w:footnote w:id="294">
    <w:p w14:paraId="57408C2D" w14:textId="79BC62D6" w:rsidR="0052684C" w:rsidRDefault="0052684C" w:rsidP="005673FC">
      <w:pPr>
        <w:pStyle w:val="FootnoteText"/>
        <w:jc w:val="both"/>
      </w:pPr>
      <w:r>
        <w:rPr>
          <w:rStyle w:val="FootnoteReference"/>
        </w:rPr>
        <w:footnoteRef/>
      </w:r>
      <w:r>
        <w:t xml:space="preserve"> Ibid.</w:t>
      </w:r>
    </w:p>
  </w:footnote>
  <w:footnote w:id="295">
    <w:p w14:paraId="624E8A10" w14:textId="74DB6726" w:rsidR="0052684C" w:rsidRDefault="0052684C" w:rsidP="005673FC">
      <w:pPr>
        <w:pStyle w:val="FootnoteText"/>
        <w:jc w:val="both"/>
      </w:pPr>
      <w:r>
        <w:rPr>
          <w:rStyle w:val="FootnoteReference"/>
        </w:rPr>
        <w:footnoteRef/>
      </w:r>
      <w:r>
        <w:t xml:space="preserve"> </w:t>
      </w:r>
      <w:r>
        <w:rPr>
          <w:i/>
        </w:rPr>
        <w:t>Clark (No 2)</w:t>
      </w:r>
      <w:r w:rsidRPr="00335993">
        <w:t xml:space="preserve"> </w:t>
      </w:r>
      <w:r>
        <w:t>(n 1)</w:t>
      </w:r>
      <w:r w:rsidRPr="007D0435">
        <w:t xml:space="preserve">; </w:t>
      </w:r>
      <w:r>
        <w:t>Cannings</w:t>
      </w:r>
      <w:r w:rsidRPr="00335993">
        <w:t xml:space="preserve"> </w:t>
      </w:r>
      <w:r>
        <w:t>(n 1).</w:t>
      </w:r>
    </w:p>
  </w:footnote>
  <w:footnote w:id="296">
    <w:p w14:paraId="7A138158" w14:textId="2A929B77" w:rsidR="0052684C" w:rsidRDefault="0052684C" w:rsidP="005673FC">
      <w:pPr>
        <w:pStyle w:val="FootnoteText"/>
        <w:jc w:val="both"/>
      </w:pPr>
      <w:r>
        <w:rPr>
          <w:rStyle w:val="FootnoteReference"/>
        </w:rPr>
        <w:footnoteRef/>
      </w:r>
      <w:r>
        <w:t xml:space="preserve"> </w:t>
      </w:r>
      <w:r w:rsidRPr="0014117B">
        <w:rPr>
          <w:bCs/>
          <w:i/>
          <w:lang w:val="pt-PT"/>
        </w:rPr>
        <w:t>Anthony (No 2)</w:t>
      </w:r>
      <w:r>
        <w:rPr>
          <w:bCs/>
          <w:lang w:val="pt-PT"/>
        </w:rPr>
        <w:t xml:space="preserve"> (n 1) </w:t>
      </w:r>
      <w:r w:rsidRPr="00DE338E">
        <w:rPr>
          <w:bCs/>
        </w:rPr>
        <w:t xml:space="preserve">para </w:t>
      </w:r>
      <w:r>
        <w:rPr>
          <w:bCs/>
        </w:rPr>
        <w:t>69</w:t>
      </w:r>
      <w:r w:rsidRPr="00DE338E">
        <w:rPr>
          <w:bCs/>
        </w:rPr>
        <w:t xml:space="preserve"> per Judge LJ</w:t>
      </w:r>
      <w:r>
        <w:rPr>
          <w:bCs/>
        </w:rPr>
        <w:t>.</w:t>
      </w:r>
    </w:p>
  </w:footnote>
  <w:footnote w:id="297">
    <w:p w14:paraId="5955FEA2" w14:textId="7A4DDCF8" w:rsidR="0052684C" w:rsidRDefault="0052684C" w:rsidP="005673FC">
      <w:pPr>
        <w:pStyle w:val="FootnoteText"/>
        <w:jc w:val="both"/>
      </w:pPr>
      <w:r w:rsidRPr="00FB2AC6">
        <w:rPr>
          <w:vertAlign w:val="superscript"/>
        </w:rPr>
        <w:footnoteRef/>
      </w:r>
      <w:r>
        <w:t xml:space="preserve"> Ibid</w:t>
      </w:r>
      <w:r>
        <w:rPr>
          <w:bCs/>
        </w:rPr>
        <w:t>.</w:t>
      </w:r>
    </w:p>
  </w:footnote>
  <w:footnote w:id="298">
    <w:p w14:paraId="53167BD2" w14:textId="66C5E459" w:rsidR="0052684C" w:rsidRDefault="0052684C" w:rsidP="005673FC">
      <w:pPr>
        <w:pStyle w:val="FootnoteText"/>
        <w:jc w:val="both"/>
      </w:pPr>
      <w:r>
        <w:rPr>
          <w:rStyle w:val="FootnoteReference"/>
        </w:rPr>
        <w:footnoteRef/>
      </w:r>
      <w:r w:rsidRPr="0098073C">
        <w:rPr>
          <w:lang w:val="pt-PT"/>
        </w:rPr>
        <w:t xml:space="preserve"> </w:t>
      </w:r>
      <w:r>
        <w:t>Ibid</w:t>
      </w:r>
      <w:r>
        <w:rPr>
          <w:bCs/>
          <w:lang w:val="pt-PT"/>
        </w:rPr>
        <w:t xml:space="preserve"> para 4. </w:t>
      </w:r>
    </w:p>
  </w:footnote>
  <w:footnote w:id="299">
    <w:p w14:paraId="20990181" w14:textId="61AA970B" w:rsidR="0052684C" w:rsidRDefault="0052684C" w:rsidP="005673FC">
      <w:pPr>
        <w:pStyle w:val="FootnoteText"/>
        <w:jc w:val="both"/>
      </w:pPr>
      <w:r>
        <w:rPr>
          <w:rStyle w:val="FootnoteReference"/>
        </w:rPr>
        <w:footnoteRef/>
      </w:r>
      <w:r>
        <w:t xml:space="preserve"> Meadow R, ‘</w:t>
      </w:r>
      <w:r w:rsidRPr="00C674B4">
        <w:t>False Allegations of Abuse and Munchausen Syndrome by Proxy</w:t>
      </w:r>
      <w:r>
        <w:t>’ (</w:t>
      </w:r>
      <w:r w:rsidRPr="00EB5D6C">
        <w:t>1985</w:t>
      </w:r>
      <w:r>
        <w:t>)</w:t>
      </w:r>
      <w:r w:rsidRPr="00EB5D6C">
        <w:t xml:space="preserve"> 60(4)</w:t>
      </w:r>
      <w:r>
        <w:t xml:space="preserve"> </w:t>
      </w:r>
      <w:r w:rsidRPr="000D4933">
        <w:t>Arch Dis</w:t>
      </w:r>
      <w:r>
        <w:t xml:space="preserve"> Child 385; Meadow R, ‘</w:t>
      </w:r>
      <w:r w:rsidRPr="000D4933">
        <w:t>Management of Muncha</w:t>
      </w:r>
      <w:r>
        <w:t>usen Syndrome by Proxy’ (</w:t>
      </w:r>
      <w:r w:rsidRPr="00EB5D6C">
        <w:t>1984</w:t>
      </w:r>
      <w:r>
        <w:t>)</w:t>
      </w:r>
      <w:r w:rsidRPr="00EB5D6C">
        <w:t xml:space="preserve"> </w:t>
      </w:r>
      <w:r>
        <w:t xml:space="preserve">26(5) Dev Med &amp; Child Neurol 672. </w:t>
      </w:r>
    </w:p>
  </w:footnote>
  <w:footnote w:id="300">
    <w:p w14:paraId="28DB8004" w14:textId="4ECE6BD6" w:rsidR="0052684C" w:rsidRDefault="0052684C" w:rsidP="005673FC">
      <w:pPr>
        <w:pStyle w:val="FootnoteText"/>
        <w:jc w:val="both"/>
      </w:pPr>
      <w:r>
        <w:rPr>
          <w:rStyle w:val="FootnoteReference"/>
        </w:rPr>
        <w:footnoteRef/>
      </w:r>
      <w:r>
        <w:t xml:space="preserve"> </w:t>
      </w:r>
      <w:r w:rsidRPr="0014117B">
        <w:rPr>
          <w:bCs/>
          <w:i/>
          <w:lang w:val="pt-PT"/>
        </w:rPr>
        <w:t>Anthony (No 2)</w:t>
      </w:r>
      <w:r>
        <w:rPr>
          <w:bCs/>
          <w:lang w:val="pt-PT"/>
        </w:rPr>
        <w:t xml:space="preserve"> (n 1) </w:t>
      </w:r>
      <w:r>
        <w:rPr>
          <w:bCs/>
        </w:rPr>
        <w:t>para 4</w:t>
      </w:r>
      <w:r w:rsidRPr="00A670D3">
        <w:rPr>
          <w:bCs/>
        </w:rPr>
        <w:t xml:space="preserve"> per Judge LJ</w:t>
      </w:r>
      <w:r>
        <w:rPr>
          <w:bCs/>
        </w:rPr>
        <w:t>.</w:t>
      </w:r>
    </w:p>
  </w:footnote>
  <w:footnote w:id="301">
    <w:p w14:paraId="07CADE3E" w14:textId="68FA3DC3" w:rsidR="0052684C" w:rsidRDefault="0052684C" w:rsidP="005673FC">
      <w:pPr>
        <w:pStyle w:val="FootnoteText"/>
        <w:jc w:val="both"/>
      </w:pPr>
      <w:r>
        <w:rPr>
          <w:rStyle w:val="FootnoteReference"/>
        </w:rPr>
        <w:footnoteRef/>
      </w:r>
      <w:r>
        <w:t xml:space="preserve"> Ibid</w:t>
      </w:r>
      <w:r w:rsidRPr="00A670D3">
        <w:rPr>
          <w:bCs/>
        </w:rPr>
        <w:t xml:space="preserve"> </w:t>
      </w:r>
    </w:p>
  </w:footnote>
  <w:footnote w:id="302">
    <w:p w14:paraId="0CBC9A43" w14:textId="64717FBF" w:rsidR="0052684C" w:rsidRDefault="0052684C" w:rsidP="005673FC">
      <w:pPr>
        <w:pStyle w:val="FootnoteText"/>
        <w:jc w:val="both"/>
      </w:pPr>
      <w:r>
        <w:rPr>
          <w:rStyle w:val="FootnoteReference"/>
        </w:rPr>
        <w:footnoteRef/>
      </w:r>
      <w:r>
        <w:t xml:space="preserve"> CCRC Referral No 715/03 available at </w:t>
      </w:r>
      <w:hyperlink r:id="rId17" w:history="1">
        <w:r w:rsidRPr="005C0867">
          <w:rPr>
            <w:rStyle w:val="Hyperlink"/>
          </w:rPr>
          <w:t>http://www.justice.gov.uk/about/criminal-cases-review-commission/case-library/2</w:t>
        </w:r>
      </w:hyperlink>
      <w:r>
        <w:t xml:space="preserve"> (accessed 18 December 2013). </w:t>
      </w:r>
    </w:p>
  </w:footnote>
  <w:footnote w:id="303">
    <w:p w14:paraId="3A76B67C" w14:textId="24DDAE5A" w:rsidR="0052684C" w:rsidRDefault="0052684C" w:rsidP="005673FC">
      <w:pPr>
        <w:pStyle w:val="FootnoteText"/>
        <w:jc w:val="both"/>
      </w:pPr>
      <w:r>
        <w:rPr>
          <w:rStyle w:val="FootnoteReference"/>
        </w:rPr>
        <w:footnoteRef/>
      </w:r>
      <w:r>
        <w:t xml:space="preserve"> </w:t>
      </w:r>
      <w:r>
        <w:rPr>
          <w:i/>
        </w:rPr>
        <w:t>Cannings</w:t>
      </w:r>
      <w:r w:rsidRPr="00335993">
        <w:t xml:space="preserve"> </w:t>
      </w:r>
      <w:r>
        <w:t>(n 1).</w:t>
      </w:r>
    </w:p>
  </w:footnote>
  <w:footnote w:id="304">
    <w:p w14:paraId="77438B16" w14:textId="5AC0380E" w:rsidR="0052684C" w:rsidRDefault="0052684C" w:rsidP="005673FC">
      <w:pPr>
        <w:pStyle w:val="FootnoteText"/>
        <w:jc w:val="both"/>
      </w:pPr>
      <w:r>
        <w:rPr>
          <w:rStyle w:val="FootnoteReference"/>
        </w:rPr>
        <w:footnoteRef/>
      </w:r>
      <w:r>
        <w:t xml:space="preserve"> Ibid</w:t>
      </w:r>
      <w:r w:rsidRPr="00A670D3">
        <w:rPr>
          <w:bCs/>
        </w:rPr>
        <w:t xml:space="preserve"> para </w:t>
      </w:r>
      <w:r>
        <w:rPr>
          <w:bCs/>
        </w:rPr>
        <w:t>141</w:t>
      </w:r>
      <w:r w:rsidRPr="00A670D3">
        <w:rPr>
          <w:bCs/>
        </w:rPr>
        <w:t xml:space="preserve"> per Judge LJ</w:t>
      </w:r>
      <w:r>
        <w:rPr>
          <w:bCs/>
        </w:rPr>
        <w:t>,</w:t>
      </w:r>
      <w:r w:rsidRPr="00A670D3">
        <w:t xml:space="preserve"> </w:t>
      </w:r>
      <w:r>
        <w:t>cited in Anthony</w:t>
      </w:r>
      <w:r w:rsidRPr="0014117B">
        <w:rPr>
          <w:bCs/>
          <w:i/>
          <w:lang w:val="pt-PT"/>
        </w:rPr>
        <w:t xml:space="preserve"> (No 2)</w:t>
      </w:r>
      <w:r>
        <w:rPr>
          <w:bCs/>
          <w:lang w:val="pt-PT"/>
        </w:rPr>
        <w:t xml:space="preserve"> (n 1) </w:t>
      </w:r>
      <w:r>
        <w:rPr>
          <w:bCs/>
        </w:rPr>
        <w:t>para 78</w:t>
      </w:r>
      <w:r w:rsidRPr="00A670D3">
        <w:rPr>
          <w:rFonts w:cstheme="minorBidi"/>
          <w:bCs/>
          <w:sz w:val="24"/>
          <w:szCs w:val="22"/>
        </w:rPr>
        <w:t xml:space="preserve"> </w:t>
      </w:r>
      <w:r w:rsidRPr="00A670D3">
        <w:rPr>
          <w:bCs/>
        </w:rPr>
        <w:t>per Judge LJ</w:t>
      </w:r>
      <w:r>
        <w:rPr>
          <w:bCs/>
        </w:rPr>
        <w:t>.</w:t>
      </w:r>
    </w:p>
  </w:footnote>
  <w:footnote w:id="305">
    <w:p w14:paraId="753BB53D" w14:textId="075B3027" w:rsidR="0052684C" w:rsidRDefault="0052684C" w:rsidP="005673FC">
      <w:pPr>
        <w:pStyle w:val="FootnoteText"/>
        <w:jc w:val="both"/>
      </w:pPr>
      <w:r>
        <w:rPr>
          <w:rStyle w:val="FootnoteReference"/>
        </w:rPr>
        <w:footnoteRef/>
      </w:r>
      <w:r>
        <w:t xml:space="preserve"> </w:t>
      </w:r>
      <w:r w:rsidRPr="0014117B">
        <w:rPr>
          <w:bCs/>
          <w:i/>
          <w:lang w:val="pt-PT"/>
        </w:rPr>
        <w:t>Anthony (No 2)</w:t>
      </w:r>
      <w:r>
        <w:rPr>
          <w:bCs/>
          <w:lang w:val="pt-PT"/>
        </w:rPr>
        <w:t xml:space="preserve"> (n 1) </w:t>
      </w:r>
      <w:r>
        <w:rPr>
          <w:bCs/>
        </w:rPr>
        <w:t>para 92</w:t>
      </w:r>
      <w:r w:rsidRPr="00A670D3">
        <w:rPr>
          <w:rFonts w:cstheme="minorBidi"/>
          <w:bCs/>
          <w:sz w:val="24"/>
          <w:szCs w:val="22"/>
        </w:rPr>
        <w:t xml:space="preserve"> </w:t>
      </w:r>
      <w:r w:rsidRPr="00A670D3">
        <w:rPr>
          <w:bCs/>
        </w:rPr>
        <w:t>per Judge LJ</w:t>
      </w:r>
      <w:r>
        <w:rPr>
          <w:bCs/>
        </w:rPr>
        <w:t>.</w:t>
      </w:r>
    </w:p>
  </w:footnote>
  <w:footnote w:id="306">
    <w:p w14:paraId="0EA4D4E2" w14:textId="7452C126" w:rsidR="0052684C" w:rsidRDefault="0052684C" w:rsidP="005673FC">
      <w:pPr>
        <w:pStyle w:val="FootnoteText"/>
        <w:jc w:val="both"/>
      </w:pPr>
      <w:r>
        <w:rPr>
          <w:rStyle w:val="FootnoteReference"/>
        </w:rPr>
        <w:footnoteRef/>
      </w:r>
      <w:r>
        <w:t xml:space="preserve"> Carpenter RG, et al., ‘Repeat Sudden Unexpected and Unexplained Infant Deaths: Natural or Unnatural?’(2005) 365 Lancet 29;</w:t>
      </w:r>
      <w:r w:rsidRPr="001B5DD8">
        <w:rPr>
          <w:sz w:val="24"/>
          <w:szCs w:val="24"/>
        </w:rPr>
        <w:t xml:space="preserve"> </w:t>
      </w:r>
      <w:r>
        <w:t xml:space="preserve">Waite et al., (n 215); </w:t>
      </w:r>
      <w:r w:rsidRPr="00734C36">
        <w:t>Weindling</w:t>
      </w:r>
      <w:r>
        <w:t xml:space="preserve"> AM</w:t>
      </w:r>
      <w:r w:rsidRPr="00734C36">
        <w:t>, ‘The Confidential Enquiry into Maternal and Child Health (CEMACH)’ (2008) 88 Arch Dis Child 1034</w:t>
      </w:r>
      <w:r>
        <w:t>;</w:t>
      </w:r>
      <w:r w:rsidRPr="00734C36">
        <w:rPr>
          <w:sz w:val="24"/>
          <w:szCs w:val="24"/>
        </w:rPr>
        <w:t xml:space="preserve"> </w:t>
      </w:r>
      <w:r>
        <w:rPr>
          <w:lang w:val="pt-PT"/>
        </w:rPr>
        <w:t>Fleming et al. (n 41).</w:t>
      </w:r>
    </w:p>
  </w:footnote>
  <w:footnote w:id="307">
    <w:p w14:paraId="64878EFB" w14:textId="6072DBBB" w:rsidR="0052684C" w:rsidRDefault="0052684C" w:rsidP="005673FC">
      <w:pPr>
        <w:pStyle w:val="FootnoteText"/>
        <w:jc w:val="both"/>
      </w:pPr>
      <w:r>
        <w:rPr>
          <w:rStyle w:val="FootnoteReference"/>
        </w:rPr>
        <w:footnoteRef/>
      </w:r>
      <w:r>
        <w:t xml:space="preserve"> </w:t>
      </w:r>
      <w:r w:rsidRPr="0014117B">
        <w:rPr>
          <w:bCs/>
          <w:i/>
          <w:lang w:val="pt-PT"/>
        </w:rPr>
        <w:t>Anthony (No 2)</w:t>
      </w:r>
      <w:r>
        <w:rPr>
          <w:bCs/>
          <w:lang w:val="pt-PT"/>
        </w:rPr>
        <w:t xml:space="preserve"> (n 1) </w:t>
      </w:r>
      <w:r>
        <w:rPr>
          <w:bCs/>
        </w:rPr>
        <w:t xml:space="preserve">para 96 per Judge LJ. </w:t>
      </w:r>
    </w:p>
  </w:footnote>
  <w:footnote w:id="308">
    <w:p w14:paraId="3F852BD2" w14:textId="3FDA4FF6" w:rsidR="0052684C" w:rsidRDefault="0052684C" w:rsidP="005673FC">
      <w:pPr>
        <w:pStyle w:val="FootnoteText"/>
        <w:jc w:val="both"/>
      </w:pPr>
      <w:r>
        <w:rPr>
          <w:rStyle w:val="FootnoteReference"/>
        </w:rPr>
        <w:footnoteRef/>
      </w:r>
      <w:r>
        <w:t xml:space="preserve"> </w:t>
      </w:r>
      <w:r w:rsidRPr="00C674B4">
        <w:t>Meadow</w:t>
      </w:r>
      <w:r>
        <w:t xml:space="preserve"> R, ‘</w:t>
      </w:r>
      <w:r w:rsidRPr="000E3209">
        <w:rPr>
          <w:iCs/>
        </w:rPr>
        <w:t xml:space="preserve">Difficult </w:t>
      </w:r>
      <w:r>
        <w:rPr>
          <w:iCs/>
        </w:rPr>
        <w:t>a</w:t>
      </w:r>
      <w:r w:rsidRPr="000E3209">
        <w:rPr>
          <w:iCs/>
        </w:rPr>
        <w:t>nd Unlikeable Parents</w:t>
      </w:r>
      <w:r>
        <w:rPr>
          <w:iCs/>
        </w:rPr>
        <w:t>’ (</w:t>
      </w:r>
      <w:r w:rsidRPr="000E3209">
        <w:rPr>
          <w:iCs/>
        </w:rPr>
        <w:t>1992</w:t>
      </w:r>
      <w:r>
        <w:rPr>
          <w:iCs/>
        </w:rPr>
        <w:t>)</w:t>
      </w:r>
      <w:r w:rsidRPr="000E3209">
        <w:rPr>
          <w:iCs/>
        </w:rPr>
        <w:t xml:space="preserve"> 67(6)</w:t>
      </w:r>
      <w:r>
        <w:rPr>
          <w:iCs/>
        </w:rPr>
        <w:t xml:space="preserve"> </w:t>
      </w:r>
      <w:r>
        <w:t>Arch Dis Child 69</w:t>
      </w:r>
      <w:r w:rsidRPr="000E3209">
        <w:t>7</w:t>
      </w:r>
      <w:r>
        <w:t>.</w:t>
      </w:r>
      <w:r w:rsidRPr="000E3209">
        <w:t xml:space="preserve"> </w:t>
      </w:r>
    </w:p>
  </w:footnote>
  <w:footnote w:id="309">
    <w:p w14:paraId="72EEDBB2" w14:textId="57B1A805" w:rsidR="0052684C" w:rsidRDefault="0052684C" w:rsidP="005673FC">
      <w:pPr>
        <w:pStyle w:val="FootnoteText"/>
        <w:jc w:val="both"/>
      </w:pPr>
      <w:r>
        <w:rPr>
          <w:rStyle w:val="FootnoteReference"/>
        </w:rPr>
        <w:footnoteRef/>
      </w:r>
      <w:r>
        <w:t xml:space="preserve"> Meadow R, ‘Fictitious E</w:t>
      </w:r>
      <w:r w:rsidRPr="00933B08">
        <w:t>pilepsy</w:t>
      </w:r>
      <w:r>
        <w:t>’</w:t>
      </w:r>
      <w:r w:rsidRPr="00933B08">
        <w:t xml:space="preserve"> </w:t>
      </w:r>
      <w:r>
        <w:t>(</w:t>
      </w:r>
      <w:r w:rsidRPr="00933B08">
        <w:t>1984</w:t>
      </w:r>
      <w:r>
        <w:t>) 2(8393) Lancet</w:t>
      </w:r>
      <w:r w:rsidRPr="008B037E">
        <w:t xml:space="preserve"> </w:t>
      </w:r>
      <w:r>
        <w:t>25.</w:t>
      </w:r>
    </w:p>
  </w:footnote>
  <w:footnote w:id="310">
    <w:p w14:paraId="506F35A6" w14:textId="365ADC0A" w:rsidR="0052684C" w:rsidRDefault="0052684C" w:rsidP="005673FC">
      <w:pPr>
        <w:pStyle w:val="FootnoteText"/>
        <w:jc w:val="both"/>
      </w:pPr>
      <w:r>
        <w:rPr>
          <w:rStyle w:val="FootnoteReference"/>
        </w:rPr>
        <w:footnoteRef/>
      </w:r>
      <w:r>
        <w:t xml:space="preserve"> </w:t>
      </w:r>
      <w:r w:rsidRPr="00933B08">
        <w:t>Meadow R</w:t>
      </w:r>
      <w:r>
        <w:t>,</w:t>
      </w:r>
      <w:r w:rsidRPr="00933B08">
        <w:t xml:space="preserve"> </w:t>
      </w:r>
      <w:r>
        <w:t>‘Mothering to D</w:t>
      </w:r>
      <w:r w:rsidRPr="00933B08">
        <w:t>eath</w:t>
      </w:r>
      <w:r>
        <w:t>’</w:t>
      </w:r>
      <w:r w:rsidRPr="00933B08">
        <w:t xml:space="preserve"> </w:t>
      </w:r>
      <w:r>
        <w:t>(</w:t>
      </w:r>
      <w:r w:rsidRPr="00933B08">
        <w:t>1999</w:t>
      </w:r>
      <w:r>
        <w:t>)</w:t>
      </w:r>
      <w:r w:rsidRPr="00933B08">
        <w:t xml:space="preserve"> 80(4)</w:t>
      </w:r>
      <w:r>
        <w:t xml:space="preserve"> Arch Dis Child</w:t>
      </w:r>
      <w:r w:rsidRPr="008B037E">
        <w:t xml:space="preserve"> </w:t>
      </w:r>
      <w:r>
        <w:t>359.</w:t>
      </w:r>
    </w:p>
  </w:footnote>
  <w:footnote w:id="311">
    <w:p w14:paraId="5569F00E" w14:textId="049EE559" w:rsidR="0052684C" w:rsidRDefault="0052684C" w:rsidP="005673FC">
      <w:pPr>
        <w:pStyle w:val="FootnoteText"/>
        <w:jc w:val="both"/>
      </w:pPr>
      <w:r>
        <w:rPr>
          <w:rStyle w:val="FootnoteReference"/>
        </w:rPr>
        <w:footnoteRef/>
      </w:r>
      <w:r>
        <w:t xml:space="preserve"> </w:t>
      </w:r>
      <w:r w:rsidRPr="008A6D93">
        <w:t>Baird V, HC Deb 24 Feb 2004, vol 418, Col 39 WH.</w:t>
      </w:r>
    </w:p>
  </w:footnote>
  <w:footnote w:id="312">
    <w:p w14:paraId="5C2B1F41" w14:textId="38201900" w:rsidR="0052684C" w:rsidRDefault="0052684C" w:rsidP="005673FC">
      <w:pPr>
        <w:pStyle w:val="FootnoteText"/>
        <w:jc w:val="both"/>
      </w:pPr>
      <w:r>
        <w:rPr>
          <w:rStyle w:val="FootnoteReference"/>
        </w:rPr>
        <w:footnoteRef/>
      </w:r>
      <w:r>
        <w:t xml:space="preserve"> </w:t>
      </w:r>
      <w:r w:rsidRPr="00194A4A">
        <w:t xml:space="preserve">Meadow R, ‘Munchausen Syndrome by Proxy’ (1980) 55 </w:t>
      </w:r>
      <w:r>
        <w:rPr>
          <w:iCs/>
        </w:rPr>
        <w:t>Arch</w:t>
      </w:r>
      <w:r w:rsidRPr="00194A4A">
        <w:rPr>
          <w:iCs/>
        </w:rPr>
        <w:t xml:space="preserve"> </w:t>
      </w:r>
      <w:r>
        <w:rPr>
          <w:iCs/>
        </w:rPr>
        <w:t>Dis</w:t>
      </w:r>
      <w:r w:rsidRPr="00194A4A">
        <w:rPr>
          <w:iCs/>
        </w:rPr>
        <w:t xml:space="preserve"> </w:t>
      </w:r>
      <w:r>
        <w:rPr>
          <w:iCs/>
        </w:rPr>
        <w:t>Child</w:t>
      </w:r>
      <w:r w:rsidRPr="00194A4A">
        <w:rPr>
          <w:i/>
          <w:iCs/>
        </w:rPr>
        <w:t xml:space="preserve"> </w:t>
      </w:r>
      <w:r w:rsidRPr="00194A4A">
        <w:t>731</w:t>
      </w:r>
      <w:r>
        <w:t xml:space="preserve">; Meadow </w:t>
      </w:r>
      <w:r>
        <w:rPr>
          <w:i/>
        </w:rPr>
        <w:t>ABC of Child Abuse</w:t>
      </w:r>
      <w:r>
        <w:t xml:space="preserve"> (n 264)</w:t>
      </w:r>
      <w:r w:rsidRPr="0029308D">
        <w:t>;</w:t>
      </w:r>
      <w:r>
        <w:t xml:space="preserve"> Meadow ‘Suffocating’ (n 264)</w:t>
      </w:r>
      <w:r w:rsidRPr="0029308D">
        <w:t xml:space="preserve">; </w:t>
      </w:r>
      <w:r>
        <w:t xml:space="preserve">Meadow ‘Neurological and Developmental Variants’ (n 264); Meadow ‘Unnatural Sudden Infant Death’ (n 264) </w:t>
      </w:r>
    </w:p>
  </w:footnote>
  <w:footnote w:id="313">
    <w:p w14:paraId="127F5D6E" w14:textId="12AC7894" w:rsidR="0052684C" w:rsidRDefault="0052684C" w:rsidP="005673FC">
      <w:pPr>
        <w:pStyle w:val="FootnoteText"/>
        <w:jc w:val="both"/>
      </w:pPr>
      <w:r>
        <w:rPr>
          <w:rStyle w:val="FootnoteReference"/>
        </w:rPr>
        <w:footnoteRef/>
      </w:r>
      <w:r>
        <w:t xml:space="preserve"> RCPCH (n 284).</w:t>
      </w:r>
    </w:p>
  </w:footnote>
  <w:footnote w:id="314">
    <w:p w14:paraId="3D06D395" w14:textId="35147AF5" w:rsidR="0052684C" w:rsidRDefault="0052684C" w:rsidP="005673FC">
      <w:pPr>
        <w:pStyle w:val="FootnoteText"/>
        <w:jc w:val="both"/>
      </w:pPr>
      <w:r>
        <w:rPr>
          <w:rStyle w:val="FootnoteReference"/>
        </w:rPr>
        <w:footnoteRef/>
      </w:r>
      <w:r>
        <w:t xml:space="preserve"> </w:t>
      </w:r>
      <w:r w:rsidRPr="00B53043">
        <w:rPr>
          <w:i/>
        </w:rPr>
        <w:t xml:space="preserve">A County Council v A Mother and A Father and X, Y, Z </w:t>
      </w:r>
      <w:r>
        <w:rPr>
          <w:i/>
        </w:rPr>
        <w:t>(C</w:t>
      </w:r>
      <w:r w:rsidRPr="00B53043">
        <w:rPr>
          <w:i/>
        </w:rPr>
        <w:t>hildren</w:t>
      </w:r>
      <w:r>
        <w:rPr>
          <w:i/>
        </w:rPr>
        <w:t>)</w:t>
      </w:r>
      <w:r w:rsidRPr="00113318">
        <w:t xml:space="preserve"> </w:t>
      </w:r>
      <w:r>
        <w:rPr>
          <w:i/>
        </w:rPr>
        <w:t>(</w:t>
      </w:r>
      <w:r w:rsidRPr="008C3256">
        <w:rPr>
          <w:i/>
        </w:rPr>
        <w:t xml:space="preserve">CC v XYZ) </w:t>
      </w:r>
      <w:r w:rsidRPr="00113318">
        <w:t>[2005] EWHC 31 (Fam)</w:t>
      </w:r>
      <w:r>
        <w:t>, [</w:t>
      </w:r>
      <w:r w:rsidRPr="00B53043">
        <w:t>2005</w:t>
      </w:r>
      <w:r>
        <w:t>]</w:t>
      </w:r>
      <w:r w:rsidRPr="00B53043">
        <w:t xml:space="preserve"> WL 353381</w:t>
      </w:r>
      <w:r>
        <w:t>;</w:t>
      </w:r>
      <w:r w:rsidRPr="00CA7A65">
        <w:rPr>
          <w:i/>
          <w:sz w:val="24"/>
          <w:szCs w:val="24"/>
        </w:rPr>
        <w:t xml:space="preserve"> </w:t>
      </w:r>
      <w:r w:rsidRPr="00CA7A65">
        <w:rPr>
          <w:i/>
        </w:rPr>
        <w:t>X County Borou</w:t>
      </w:r>
      <w:r>
        <w:rPr>
          <w:i/>
        </w:rPr>
        <w:t>gh Council v ZS, DJW, KJW (the Child) b</w:t>
      </w:r>
      <w:r w:rsidRPr="00CA7A65">
        <w:rPr>
          <w:i/>
        </w:rPr>
        <w:t xml:space="preserve">y </w:t>
      </w:r>
      <w:r>
        <w:rPr>
          <w:i/>
        </w:rPr>
        <w:t>h</w:t>
      </w:r>
      <w:r w:rsidRPr="00CA7A65">
        <w:rPr>
          <w:i/>
        </w:rPr>
        <w:t>is Guardian v GEM, CM</w:t>
      </w:r>
      <w:r w:rsidRPr="00CA7A65">
        <w:t xml:space="preserve"> </w:t>
      </w:r>
      <w:r w:rsidRPr="00081403">
        <w:rPr>
          <w:i/>
        </w:rPr>
        <w:t>(GEM and others)</w:t>
      </w:r>
      <w:r>
        <w:t xml:space="preserve"> </w:t>
      </w:r>
      <w:r w:rsidRPr="00CA7A65">
        <w:t>[2015] WL 10382713</w:t>
      </w:r>
      <w:r>
        <w:t>.</w:t>
      </w:r>
    </w:p>
  </w:footnote>
  <w:footnote w:id="315">
    <w:p w14:paraId="49EFBECA" w14:textId="77777777" w:rsidR="0052684C" w:rsidRDefault="0052684C" w:rsidP="005673FC">
      <w:pPr>
        <w:pStyle w:val="FootnoteText"/>
        <w:jc w:val="both"/>
      </w:pPr>
      <w:r>
        <w:rPr>
          <w:rStyle w:val="FootnoteReference"/>
        </w:rPr>
        <w:footnoteRef/>
      </w:r>
      <w:r>
        <w:rPr>
          <w:lang w:val="pt-PT"/>
        </w:rPr>
        <w:t xml:space="preserve"> </w:t>
      </w:r>
      <w:r w:rsidRPr="00884FEE">
        <w:rPr>
          <w:i/>
          <w:lang w:val="pt-PT"/>
        </w:rPr>
        <w:t>R v LM</w:t>
      </w:r>
      <w:r>
        <w:rPr>
          <w:lang w:val="pt-PT"/>
        </w:rPr>
        <w:t xml:space="preserve">  [2004] QCA 192. </w:t>
      </w:r>
    </w:p>
  </w:footnote>
  <w:footnote w:id="316">
    <w:p w14:paraId="056F5976" w14:textId="755A51A3" w:rsidR="0052684C" w:rsidRDefault="0052684C" w:rsidP="005673FC">
      <w:pPr>
        <w:pStyle w:val="FootnoteText"/>
        <w:jc w:val="both"/>
      </w:pPr>
      <w:r>
        <w:rPr>
          <w:rStyle w:val="FootnoteReference"/>
        </w:rPr>
        <w:footnoteRef/>
      </w:r>
      <w:r>
        <w:t xml:space="preserve"> Redmayne (n 18) 1.</w:t>
      </w:r>
    </w:p>
  </w:footnote>
  <w:footnote w:id="317">
    <w:p w14:paraId="2B414A36" w14:textId="63D947F7" w:rsidR="0052684C" w:rsidRDefault="0052684C" w:rsidP="005673FC">
      <w:pPr>
        <w:pStyle w:val="FootnoteText"/>
        <w:jc w:val="both"/>
      </w:pPr>
      <w:r>
        <w:rPr>
          <w:rStyle w:val="FootnoteReference"/>
        </w:rPr>
        <w:footnoteRef/>
      </w:r>
      <w:r>
        <w:t xml:space="preserve"> Ibid.</w:t>
      </w:r>
    </w:p>
  </w:footnote>
  <w:footnote w:id="318">
    <w:p w14:paraId="74DA7F5A" w14:textId="7A147886" w:rsidR="0052684C" w:rsidRDefault="0052684C" w:rsidP="005673FC">
      <w:pPr>
        <w:pStyle w:val="FootnoteText"/>
        <w:jc w:val="both"/>
      </w:pPr>
      <w:r>
        <w:rPr>
          <w:rStyle w:val="FootnoteReference"/>
        </w:rPr>
        <w:footnoteRef/>
      </w:r>
      <w:r>
        <w:t xml:space="preserve"> Ibid 6.</w:t>
      </w:r>
    </w:p>
  </w:footnote>
  <w:footnote w:id="319">
    <w:p w14:paraId="55E64137" w14:textId="5122FB63" w:rsidR="0052684C" w:rsidRDefault="0052684C" w:rsidP="005673FC">
      <w:pPr>
        <w:pStyle w:val="FootnoteText"/>
        <w:jc w:val="both"/>
      </w:pPr>
      <w:r>
        <w:rPr>
          <w:rStyle w:val="FootnoteReference"/>
        </w:rPr>
        <w:footnoteRef/>
      </w:r>
      <w:r>
        <w:t xml:space="preserve"> Ibid 5.</w:t>
      </w:r>
    </w:p>
  </w:footnote>
  <w:footnote w:id="320">
    <w:p w14:paraId="72A5FBCB" w14:textId="0501C952" w:rsidR="0052684C" w:rsidRDefault="0052684C" w:rsidP="005673FC">
      <w:pPr>
        <w:pStyle w:val="FootnoteText"/>
        <w:jc w:val="both"/>
      </w:pPr>
      <w:r>
        <w:rPr>
          <w:rStyle w:val="FootnoteReference"/>
        </w:rPr>
        <w:footnoteRef/>
      </w:r>
      <w:r>
        <w:t xml:space="preserve"> Hunter (n 17) 163.</w:t>
      </w:r>
    </w:p>
  </w:footnote>
  <w:footnote w:id="321">
    <w:p w14:paraId="64B980B9" w14:textId="153BE3B9" w:rsidR="0052684C" w:rsidRDefault="0052684C" w:rsidP="005673FC">
      <w:pPr>
        <w:pStyle w:val="FootnoteText"/>
        <w:jc w:val="both"/>
      </w:pPr>
      <w:r>
        <w:rPr>
          <w:rStyle w:val="FootnoteReference"/>
        </w:rPr>
        <w:footnoteRef/>
      </w:r>
      <w:r>
        <w:t xml:space="preserve"> Ibid 164 citing Lord Phillips LCJ.</w:t>
      </w:r>
    </w:p>
  </w:footnote>
  <w:footnote w:id="322">
    <w:p w14:paraId="3B8C1B4A" w14:textId="18FF5724" w:rsidR="0052684C" w:rsidRDefault="0052684C" w:rsidP="005673FC">
      <w:pPr>
        <w:pStyle w:val="FootnoteText"/>
        <w:jc w:val="both"/>
      </w:pPr>
      <w:r>
        <w:rPr>
          <w:rStyle w:val="FootnoteReference"/>
        </w:rPr>
        <w:footnoteRef/>
      </w:r>
      <w:r>
        <w:t xml:space="preserve"> Redmayne (n 18) 3.</w:t>
      </w:r>
    </w:p>
  </w:footnote>
  <w:footnote w:id="323">
    <w:p w14:paraId="08FFB6CF" w14:textId="6DC60378" w:rsidR="0052684C" w:rsidRDefault="0052684C" w:rsidP="005673FC">
      <w:pPr>
        <w:pStyle w:val="FootnoteText"/>
        <w:jc w:val="both"/>
      </w:pPr>
      <w:r>
        <w:rPr>
          <w:rStyle w:val="FootnoteReference"/>
        </w:rPr>
        <w:footnoteRef/>
      </w:r>
      <w:r>
        <w:t xml:space="preserve"> </w:t>
      </w:r>
      <w:r w:rsidRPr="00C040CB">
        <w:t xml:space="preserve">Roberts and Zuckerman </w:t>
      </w:r>
      <w:r>
        <w:t>(n</w:t>
      </w:r>
      <w:r w:rsidRPr="00C040CB">
        <w:t xml:space="preserve"> </w:t>
      </w:r>
      <w:r>
        <w:t>61</w:t>
      </w:r>
      <w:r w:rsidRPr="00C37775">
        <w:t>) 582</w:t>
      </w:r>
      <w:r>
        <w:t>.</w:t>
      </w:r>
    </w:p>
  </w:footnote>
  <w:footnote w:id="324">
    <w:p w14:paraId="5514DD45" w14:textId="49CA3F58" w:rsidR="0052684C" w:rsidRDefault="0052684C" w:rsidP="005673FC">
      <w:pPr>
        <w:pStyle w:val="FootnoteText"/>
        <w:jc w:val="both"/>
      </w:pPr>
      <w:r>
        <w:rPr>
          <w:rStyle w:val="FootnoteReference"/>
        </w:rPr>
        <w:footnoteRef/>
      </w:r>
      <w:r>
        <w:t xml:space="preserve"> Ibid</w:t>
      </w:r>
      <w:r w:rsidRPr="00C040CB">
        <w:t xml:space="preserve"> </w:t>
      </w:r>
      <w:r>
        <w:t>587.</w:t>
      </w:r>
    </w:p>
  </w:footnote>
  <w:footnote w:id="325">
    <w:p w14:paraId="1C797124" w14:textId="40C9707E" w:rsidR="0052684C" w:rsidRDefault="0052684C" w:rsidP="005673FC">
      <w:pPr>
        <w:pStyle w:val="FootnoteText"/>
        <w:jc w:val="both"/>
      </w:pPr>
      <w:r>
        <w:rPr>
          <w:rStyle w:val="FootnoteReference"/>
        </w:rPr>
        <w:footnoteRef/>
      </w:r>
      <w:r>
        <w:t xml:space="preserve"> Lacey N, ‘</w:t>
      </w:r>
      <w:r w:rsidRPr="0038288A">
        <w:t>The Resurgence of Character: Responsibility in the Context of Criminalization</w:t>
      </w:r>
      <w:r>
        <w:t>’ in Duff</w:t>
      </w:r>
      <w:r w:rsidRPr="0038288A">
        <w:t xml:space="preserve"> A and Green S (eds) </w:t>
      </w:r>
      <w:r w:rsidRPr="00677DF6">
        <w:rPr>
          <w:i/>
        </w:rPr>
        <w:t>Philosophical Foundations of Criminal Law</w:t>
      </w:r>
      <w:r w:rsidRPr="0038288A">
        <w:t xml:space="preserve"> </w:t>
      </w:r>
      <w:r>
        <w:t>(OUP 2011) 166.</w:t>
      </w:r>
    </w:p>
  </w:footnote>
  <w:footnote w:id="326">
    <w:p w14:paraId="0C7D9E03" w14:textId="6B230B7C" w:rsidR="0052684C" w:rsidRDefault="0052684C" w:rsidP="005673FC">
      <w:pPr>
        <w:pStyle w:val="FootnoteText"/>
        <w:jc w:val="both"/>
      </w:pPr>
      <w:r>
        <w:rPr>
          <w:rStyle w:val="FootnoteReference"/>
        </w:rPr>
        <w:footnoteRef/>
      </w:r>
      <w:r>
        <w:t xml:space="preserve"> For example, </w:t>
      </w:r>
      <w:r w:rsidRPr="00323FA8">
        <w:rPr>
          <w:i/>
        </w:rPr>
        <w:t>R v Campbell</w:t>
      </w:r>
      <w:r>
        <w:t xml:space="preserve"> [2007] EWCA Crim 1472, [2007] 1 WLR 2798 in which previous convictions for ABH were adduced as evidence that the defendant had a propensity to commit ABH. Lord Phillips LCJ criticised the admission of this evidence,</w:t>
      </w:r>
      <w:r w:rsidRPr="00892164">
        <w:t xml:space="preserve"> </w:t>
      </w:r>
      <w:r>
        <w:t xml:space="preserve">suggesting that </w:t>
      </w:r>
      <w:r w:rsidRPr="00892164">
        <w:t>bad character evidence used to demonstrate propensity was of lesser probative value than evidence of actual conduct</w:t>
      </w:r>
      <w:r>
        <w:t xml:space="preserve">. See also </w:t>
      </w:r>
      <w:r w:rsidRPr="00787FEF">
        <w:rPr>
          <w:i/>
        </w:rPr>
        <w:t>R v Dolan</w:t>
      </w:r>
      <w:r>
        <w:t xml:space="preserve"> [2003] EWCA Crim 1859</w:t>
      </w:r>
      <w:r w:rsidRPr="006776A2">
        <w:t xml:space="preserve"> </w:t>
      </w:r>
      <w:r>
        <w:t xml:space="preserve">paras 21, 27 per Tuckey LJ citing Professor Birch: </w:t>
      </w:r>
      <w:r w:rsidRPr="00A67F73">
        <w:t>the ‘evidence was obviously more prejudicial than probative’</w:t>
      </w:r>
      <w:r>
        <w:rPr>
          <w:vertAlign w:val="superscript"/>
        </w:rPr>
        <w:t xml:space="preserve"> </w:t>
      </w:r>
      <w:r w:rsidRPr="00A67F73">
        <w:t>and not relevant. Further, ‘it went to propensity’.</w:t>
      </w:r>
    </w:p>
  </w:footnote>
  <w:footnote w:id="327">
    <w:p w14:paraId="5B5C5222" w14:textId="3A48F5B9" w:rsidR="0052684C" w:rsidRDefault="0052684C" w:rsidP="005673FC">
      <w:pPr>
        <w:pStyle w:val="FootnoteText"/>
        <w:jc w:val="both"/>
      </w:pPr>
      <w:r>
        <w:rPr>
          <w:rStyle w:val="FootnoteReference"/>
        </w:rPr>
        <w:footnoteRef/>
      </w:r>
      <w:r>
        <w:t xml:space="preserve"> Redmayne (n 18) 87.</w:t>
      </w:r>
    </w:p>
  </w:footnote>
  <w:footnote w:id="328">
    <w:p w14:paraId="3DE4EFAA" w14:textId="17990B86" w:rsidR="0052684C" w:rsidRDefault="0052684C" w:rsidP="005673FC">
      <w:pPr>
        <w:pStyle w:val="FootnoteText"/>
        <w:jc w:val="both"/>
      </w:pPr>
      <w:r>
        <w:rPr>
          <w:rStyle w:val="FootnoteReference"/>
        </w:rPr>
        <w:footnoteRef/>
      </w:r>
      <w:r>
        <w:t xml:space="preserve"> See the way in which the public within mock juror trials interpret behaviour evidence and the way in which women may judge other women using their own behavioural norms in Ellison and Munro (n 166); Ellison L, ‘Turning Mirrors into Windows? Assessing the Impact of (Mock) Juror Education in Rape’ (2009) 49(3) Br J Criminol 363; Ellison L, ‘A Stranger in the Bushes, or an Elephant in the Room? Critical Reflections upon Received Rape Myth Wisdom in the Context of a Mock Jury Study’ (2010) 13(4) New Crim L Rev 781; Ellison L, ‘Better the Devil you Know? “Real Rape” Stereotypes and the Relevance of a Previous Relationship’ (2013) 17(4) Intl J Evid &amp; Proof 299; Ellison L, ‘Telling Tales: Exploring Narratives of Life and Law within the (Mock) Jury Room’ (2015) 35(2) Leg Studs 201.</w:t>
      </w:r>
    </w:p>
  </w:footnote>
  <w:footnote w:id="329">
    <w:p w14:paraId="0E4541B9" w14:textId="39CBDDC5" w:rsidR="0052684C" w:rsidRDefault="0052684C" w:rsidP="005673FC">
      <w:pPr>
        <w:pStyle w:val="FootnoteText"/>
        <w:jc w:val="both"/>
      </w:pPr>
      <w:r>
        <w:rPr>
          <w:rStyle w:val="FootnoteReference"/>
        </w:rPr>
        <w:footnoteRef/>
      </w:r>
      <w:r>
        <w:t xml:space="preserve"> Redmayne (n 18) 87.</w:t>
      </w:r>
    </w:p>
  </w:footnote>
  <w:footnote w:id="330">
    <w:p w14:paraId="5E5423DF" w14:textId="1A6BA3EC" w:rsidR="0052684C" w:rsidRDefault="0052684C" w:rsidP="005673FC">
      <w:pPr>
        <w:pStyle w:val="FootnoteText"/>
        <w:jc w:val="both"/>
      </w:pPr>
      <w:r>
        <w:rPr>
          <w:rStyle w:val="FootnoteReference"/>
        </w:rPr>
        <w:footnoteRef/>
      </w:r>
      <w:r>
        <w:t xml:space="preserve"> Ibid 86.</w:t>
      </w:r>
    </w:p>
  </w:footnote>
  <w:footnote w:id="331">
    <w:p w14:paraId="61256C46" w14:textId="6DFECFC7" w:rsidR="0052684C" w:rsidRDefault="0052684C" w:rsidP="005673FC">
      <w:pPr>
        <w:pStyle w:val="FootnoteText"/>
        <w:jc w:val="both"/>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E92E" w14:textId="2C48C9D7" w:rsidR="0052684C" w:rsidRDefault="0052684C" w:rsidP="005673FC">
    <w:pPr>
      <w:pStyle w:val="Header"/>
      <w:tabs>
        <w:tab w:val="clear" w:pos="9026"/>
        <w:tab w:val="right" w:pos="9639"/>
      </w:tabs>
      <w:rPr>
        <w:sz w:val="22"/>
        <w:szCs w:val="22"/>
      </w:rPr>
    </w:pPr>
    <w:r w:rsidRPr="005673FC">
      <w:rPr>
        <w:sz w:val="22"/>
        <w:szCs w:val="22"/>
      </w:rPr>
      <w:t>Gaye Orr</w:t>
    </w:r>
    <w:r>
      <w:tab/>
    </w:r>
    <w:r>
      <w:tab/>
    </w:r>
    <w:r w:rsidRPr="005673FC">
      <w:rPr>
        <w:sz w:val="22"/>
        <w:szCs w:val="22"/>
      </w:rPr>
      <w:t>Interpreting t</w:t>
    </w:r>
    <w:r>
      <w:rPr>
        <w:sz w:val="22"/>
        <w:szCs w:val="22"/>
      </w:rPr>
      <w:t>he Feminine in the Criminal Trial</w:t>
    </w:r>
  </w:p>
  <w:p w14:paraId="7F740C87" w14:textId="71581571" w:rsidR="0052684C" w:rsidRDefault="0052684C" w:rsidP="005673FC">
    <w:pPr>
      <w:pStyle w:val="Header"/>
      <w:tabs>
        <w:tab w:val="clear" w:pos="9026"/>
        <w:tab w:val="right" w:pos="9639"/>
      </w:tabs>
    </w:pPr>
    <w:r>
      <w:rPr>
        <w:sz w:val="22"/>
        <w:szCs w:val="22"/>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F891" w14:textId="27570F78" w:rsidR="0052684C" w:rsidRDefault="0052684C" w:rsidP="005673FC">
    <w:pPr>
      <w:pStyle w:val="Header"/>
      <w:tabs>
        <w:tab w:val="clear" w:pos="9026"/>
        <w:tab w:val="right" w:pos="9639"/>
      </w:tabs>
      <w:rPr>
        <w:sz w:val="22"/>
        <w:szCs w:val="22"/>
      </w:rPr>
    </w:pPr>
    <w:r>
      <w:rPr>
        <w:i/>
        <w:sz w:val="22"/>
        <w:szCs w:val="22"/>
      </w:rPr>
      <w:t>feminists@law</w:t>
    </w:r>
    <w:r>
      <w:rPr>
        <w:sz w:val="22"/>
        <w:szCs w:val="22"/>
      </w:rPr>
      <w:tab/>
    </w:r>
    <w:r>
      <w:rPr>
        <w:sz w:val="22"/>
        <w:szCs w:val="22"/>
      </w:rPr>
      <w:tab/>
      <w:t>Vol 9, No 2 (2019)</w:t>
    </w:r>
  </w:p>
  <w:p w14:paraId="51F94343" w14:textId="5B20E08B" w:rsidR="0052684C" w:rsidRPr="005673FC" w:rsidRDefault="0052684C" w:rsidP="005673FC">
    <w:pPr>
      <w:pStyle w:val="Header"/>
      <w:tabs>
        <w:tab w:val="clear" w:pos="9026"/>
        <w:tab w:val="right" w:pos="9639"/>
      </w:tabs>
      <w:rPr>
        <w:sz w:val="22"/>
        <w:szCs w:val="22"/>
      </w:rPr>
    </w:pPr>
    <w:r>
      <w:rPr>
        <w:sz w:val="22"/>
        <w:szCs w:val="22"/>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159"/>
    <w:multiLevelType w:val="hybridMultilevel"/>
    <w:tmpl w:val="5F163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323BC"/>
    <w:multiLevelType w:val="hybridMultilevel"/>
    <w:tmpl w:val="8E607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05D45"/>
    <w:multiLevelType w:val="hybridMultilevel"/>
    <w:tmpl w:val="8E607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4096" w:nlCheck="1" w:checkStyle="0"/>
  <w:activeWritingStyle w:appName="MSWord" w:lang="en-GB" w:vendorID="64" w:dllVersion="4096" w:nlCheck="1" w:checkStyle="0"/>
  <w:activeWritingStyle w:appName="MSWord" w:lang="pt-PT" w:vendorID="64" w:dllVersion="4096" w:nlCheck="1" w:checkStyle="0"/>
  <w:proofState w:spelling="clean"/>
  <w:defaultTabStop w:val="720"/>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92"/>
    <w:rsid w:val="000010B0"/>
    <w:rsid w:val="00002D09"/>
    <w:rsid w:val="00004753"/>
    <w:rsid w:val="00010372"/>
    <w:rsid w:val="00012A37"/>
    <w:rsid w:val="00015AB9"/>
    <w:rsid w:val="000200C2"/>
    <w:rsid w:val="00022FEF"/>
    <w:rsid w:val="00023530"/>
    <w:rsid w:val="000247B3"/>
    <w:rsid w:val="00040785"/>
    <w:rsid w:val="00041128"/>
    <w:rsid w:val="00045084"/>
    <w:rsid w:val="000455BE"/>
    <w:rsid w:val="00045DF7"/>
    <w:rsid w:val="00046D3C"/>
    <w:rsid w:val="0004737A"/>
    <w:rsid w:val="00051415"/>
    <w:rsid w:val="000549B2"/>
    <w:rsid w:val="000613DF"/>
    <w:rsid w:val="0006328F"/>
    <w:rsid w:val="0006408D"/>
    <w:rsid w:val="0006416E"/>
    <w:rsid w:val="0008431C"/>
    <w:rsid w:val="00086854"/>
    <w:rsid w:val="00090538"/>
    <w:rsid w:val="000946C4"/>
    <w:rsid w:val="000B5710"/>
    <w:rsid w:val="000C2F2D"/>
    <w:rsid w:val="000D2276"/>
    <w:rsid w:val="000D672A"/>
    <w:rsid w:val="000E6836"/>
    <w:rsid w:val="000F0692"/>
    <w:rsid w:val="000F0A1E"/>
    <w:rsid w:val="000F5CB5"/>
    <w:rsid w:val="00117B61"/>
    <w:rsid w:val="00123AF5"/>
    <w:rsid w:val="001305E9"/>
    <w:rsid w:val="00133CC5"/>
    <w:rsid w:val="001409E5"/>
    <w:rsid w:val="00141673"/>
    <w:rsid w:val="0014212A"/>
    <w:rsid w:val="00142E6B"/>
    <w:rsid w:val="00154F2C"/>
    <w:rsid w:val="00164D66"/>
    <w:rsid w:val="00165AB3"/>
    <w:rsid w:val="00167D93"/>
    <w:rsid w:val="00172CAB"/>
    <w:rsid w:val="00192B8A"/>
    <w:rsid w:val="001939F9"/>
    <w:rsid w:val="00194011"/>
    <w:rsid w:val="00196516"/>
    <w:rsid w:val="001973E7"/>
    <w:rsid w:val="001A5AEA"/>
    <w:rsid w:val="001A5FE1"/>
    <w:rsid w:val="001B0CE0"/>
    <w:rsid w:val="001B1B61"/>
    <w:rsid w:val="001B2DF1"/>
    <w:rsid w:val="001B3F84"/>
    <w:rsid w:val="001C00B4"/>
    <w:rsid w:val="001C3A43"/>
    <w:rsid w:val="001C52B3"/>
    <w:rsid w:val="001C5713"/>
    <w:rsid w:val="001C6F45"/>
    <w:rsid w:val="001D0260"/>
    <w:rsid w:val="001D5590"/>
    <w:rsid w:val="001D6EEC"/>
    <w:rsid w:val="001E34D4"/>
    <w:rsid w:val="001E59F5"/>
    <w:rsid w:val="001F5D28"/>
    <w:rsid w:val="00200B48"/>
    <w:rsid w:val="002077ED"/>
    <w:rsid w:val="0021782C"/>
    <w:rsid w:val="00222436"/>
    <w:rsid w:val="002271B9"/>
    <w:rsid w:val="00234193"/>
    <w:rsid w:val="00236BCE"/>
    <w:rsid w:val="0024290F"/>
    <w:rsid w:val="0025264A"/>
    <w:rsid w:val="00252C15"/>
    <w:rsid w:val="002573E0"/>
    <w:rsid w:val="00276BD7"/>
    <w:rsid w:val="00281713"/>
    <w:rsid w:val="002852EE"/>
    <w:rsid w:val="002937CF"/>
    <w:rsid w:val="00297306"/>
    <w:rsid w:val="002A4333"/>
    <w:rsid w:val="002C2BAB"/>
    <w:rsid w:val="002C4376"/>
    <w:rsid w:val="002C6307"/>
    <w:rsid w:val="002C7F93"/>
    <w:rsid w:val="002E45B5"/>
    <w:rsid w:val="002E65AC"/>
    <w:rsid w:val="002E79DB"/>
    <w:rsid w:val="002F13C8"/>
    <w:rsid w:val="0030059A"/>
    <w:rsid w:val="0030388C"/>
    <w:rsid w:val="00305C35"/>
    <w:rsid w:val="00307584"/>
    <w:rsid w:val="00313180"/>
    <w:rsid w:val="003144B7"/>
    <w:rsid w:val="00316867"/>
    <w:rsid w:val="00320B7E"/>
    <w:rsid w:val="00320D7D"/>
    <w:rsid w:val="003304F7"/>
    <w:rsid w:val="003409BD"/>
    <w:rsid w:val="003436A1"/>
    <w:rsid w:val="00355413"/>
    <w:rsid w:val="00356738"/>
    <w:rsid w:val="00356816"/>
    <w:rsid w:val="0036106B"/>
    <w:rsid w:val="003701C5"/>
    <w:rsid w:val="00373930"/>
    <w:rsid w:val="00380B99"/>
    <w:rsid w:val="00392D79"/>
    <w:rsid w:val="003977C4"/>
    <w:rsid w:val="003A014F"/>
    <w:rsid w:val="003A2FD9"/>
    <w:rsid w:val="003A3CEE"/>
    <w:rsid w:val="003B3B54"/>
    <w:rsid w:val="003B56D1"/>
    <w:rsid w:val="003B7D19"/>
    <w:rsid w:val="003B7EB2"/>
    <w:rsid w:val="003C3EA6"/>
    <w:rsid w:val="003D23EC"/>
    <w:rsid w:val="003D3CDA"/>
    <w:rsid w:val="003E52F1"/>
    <w:rsid w:val="003E7B68"/>
    <w:rsid w:val="003F05DC"/>
    <w:rsid w:val="003F07A8"/>
    <w:rsid w:val="003F5F53"/>
    <w:rsid w:val="00400437"/>
    <w:rsid w:val="004075E0"/>
    <w:rsid w:val="00414005"/>
    <w:rsid w:val="004242FD"/>
    <w:rsid w:val="0043089B"/>
    <w:rsid w:val="00433D02"/>
    <w:rsid w:val="00452742"/>
    <w:rsid w:val="00454281"/>
    <w:rsid w:val="004558BD"/>
    <w:rsid w:val="00460FC3"/>
    <w:rsid w:val="00472CC6"/>
    <w:rsid w:val="00491840"/>
    <w:rsid w:val="00492D82"/>
    <w:rsid w:val="00493642"/>
    <w:rsid w:val="004A1AA7"/>
    <w:rsid w:val="004B0AB0"/>
    <w:rsid w:val="004B197A"/>
    <w:rsid w:val="004C3E86"/>
    <w:rsid w:val="004D474E"/>
    <w:rsid w:val="004E12A1"/>
    <w:rsid w:val="004E65E3"/>
    <w:rsid w:val="004E7176"/>
    <w:rsid w:val="004F0A59"/>
    <w:rsid w:val="0050475B"/>
    <w:rsid w:val="0050480F"/>
    <w:rsid w:val="0050694A"/>
    <w:rsid w:val="00510E61"/>
    <w:rsid w:val="005166FA"/>
    <w:rsid w:val="00521CA0"/>
    <w:rsid w:val="0052684C"/>
    <w:rsid w:val="005271AD"/>
    <w:rsid w:val="0052728A"/>
    <w:rsid w:val="00531716"/>
    <w:rsid w:val="00531BF9"/>
    <w:rsid w:val="005325D4"/>
    <w:rsid w:val="00533149"/>
    <w:rsid w:val="005363D3"/>
    <w:rsid w:val="00537161"/>
    <w:rsid w:val="005423DD"/>
    <w:rsid w:val="005440C7"/>
    <w:rsid w:val="005543C1"/>
    <w:rsid w:val="005561CB"/>
    <w:rsid w:val="005673FC"/>
    <w:rsid w:val="00580D54"/>
    <w:rsid w:val="005905AD"/>
    <w:rsid w:val="0059150B"/>
    <w:rsid w:val="005A1610"/>
    <w:rsid w:val="005A6DC9"/>
    <w:rsid w:val="005A6F90"/>
    <w:rsid w:val="005C7809"/>
    <w:rsid w:val="005D3DC1"/>
    <w:rsid w:val="005E46D0"/>
    <w:rsid w:val="005E5B5E"/>
    <w:rsid w:val="005F009A"/>
    <w:rsid w:val="005F6FA0"/>
    <w:rsid w:val="00603410"/>
    <w:rsid w:val="006219D8"/>
    <w:rsid w:val="00623347"/>
    <w:rsid w:val="00627B3F"/>
    <w:rsid w:val="00627DBE"/>
    <w:rsid w:val="006301C1"/>
    <w:rsid w:val="00637979"/>
    <w:rsid w:val="00637D7A"/>
    <w:rsid w:val="00642C51"/>
    <w:rsid w:val="00643C03"/>
    <w:rsid w:val="00644B56"/>
    <w:rsid w:val="0064568B"/>
    <w:rsid w:val="00646164"/>
    <w:rsid w:val="00646E6A"/>
    <w:rsid w:val="00650692"/>
    <w:rsid w:val="00651384"/>
    <w:rsid w:val="00654284"/>
    <w:rsid w:val="00655DF7"/>
    <w:rsid w:val="006673EC"/>
    <w:rsid w:val="00667710"/>
    <w:rsid w:val="006753BD"/>
    <w:rsid w:val="006776A2"/>
    <w:rsid w:val="00683839"/>
    <w:rsid w:val="00693A39"/>
    <w:rsid w:val="00693EB0"/>
    <w:rsid w:val="006947EC"/>
    <w:rsid w:val="00694DF1"/>
    <w:rsid w:val="00694E26"/>
    <w:rsid w:val="00697839"/>
    <w:rsid w:val="006A4E09"/>
    <w:rsid w:val="006A4F7B"/>
    <w:rsid w:val="006B243D"/>
    <w:rsid w:val="006B6CCF"/>
    <w:rsid w:val="006D2A13"/>
    <w:rsid w:val="006D3C5D"/>
    <w:rsid w:val="006D4291"/>
    <w:rsid w:val="006E0BAF"/>
    <w:rsid w:val="006E149F"/>
    <w:rsid w:val="006F6343"/>
    <w:rsid w:val="00700190"/>
    <w:rsid w:val="0070099F"/>
    <w:rsid w:val="007024FA"/>
    <w:rsid w:val="00703514"/>
    <w:rsid w:val="00704623"/>
    <w:rsid w:val="007076C6"/>
    <w:rsid w:val="00712C51"/>
    <w:rsid w:val="007155F6"/>
    <w:rsid w:val="0072004C"/>
    <w:rsid w:val="0073149F"/>
    <w:rsid w:val="00732D4B"/>
    <w:rsid w:val="00740475"/>
    <w:rsid w:val="007420CE"/>
    <w:rsid w:val="00754776"/>
    <w:rsid w:val="0076130E"/>
    <w:rsid w:val="007622E9"/>
    <w:rsid w:val="007653BB"/>
    <w:rsid w:val="00767127"/>
    <w:rsid w:val="007703A2"/>
    <w:rsid w:val="00770982"/>
    <w:rsid w:val="0077210E"/>
    <w:rsid w:val="00773E57"/>
    <w:rsid w:val="007743CA"/>
    <w:rsid w:val="00774EE5"/>
    <w:rsid w:val="00776AD3"/>
    <w:rsid w:val="00777771"/>
    <w:rsid w:val="007809C2"/>
    <w:rsid w:val="00783A4A"/>
    <w:rsid w:val="0078448F"/>
    <w:rsid w:val="00787FEF"/>
    <w:rsid w:val="00790EAB"/>
    <w:rsid w:val="00793506"/>
    <w:rsid w:val="007A2A21"/>
    <w:rsid w:val="007B5C13"/>
    <w:rsid w:val="007C147E"/>
    <w:rsid w:val="007C5659"/>
    <w:rsid w:val="007D717D"/>
    <w:rsid w:val="007E05E7"/>
    <w:rsid w:val="007E3C82"/>
    <w:rsid w:val="007E5768"/>
    <w:rsid w:val="007F0237"/>
    <w:rsid w:val="007F518B"/>
    <w:rsid w:val="007F5A35"/>
    <w:rsid w:val="0080081B"/>
    <w:rsid w:val="00815542"/>
    <w:rsid w:val="00815D23"/>
    <w:rsid w:val="00816177"/>
    <w:rsid w:val="008165F5"/>
    <w:rsid w:val="00822FC5"/>
    <w:rsid w:val="00823941"/>
    <w:rsid w:val="00825464"/>
    <w:rsid w:val="00830B77"/>
    <w:rsid w:val="00833E33"/>
    <w:rsid w:val="0083453F"/>
    <w:rsid w:val="008361B8"/>
    <w:rsid w:val="00847F42"/>
    <w:rsid w:val="00851BDB"/>
    <w:rsid w:val="00862F6F"/>
    <w:rsid w:val="008703BE"/>
    <w:rsid w:val="008748FA"/>
    <w:rsid w:val="00877DEB"/>
    <w:rsid w:val="00886573"/>
    <w:rsid w:val="00892164"/>
    <w:rsid w:val="008A3FC3"/>
    <w:rsid w:val="008A6370"/>
    <w:rsid w:val="008A6D93"/>
    <w:rsid w:val="008E2854"/>
    <w:rsid w:val="008F35B4"/>
    <w:rsid w:val="00901BC2"/>
    <w:rsid w:val="009100FF"/>
    <w:rsid w:val="00915331"/>
    <w:rsid w:val="00926D55"/>
    <w:rsid w:val="00930749"/>
    <w:rsid w:val="00933DDE"/>
    <w:rsid w:val="009354AD"/>
    <w:rsid w:val="00935D20"/>
    <w:rsid w:val="00943CA7"/>
    <w:rsid w:val="00954AF1"/>
    <w:rsid w:val="00954D4F"/>
    <w:rsid w:val="009615C2"/>
    <w:rsid w:val="00967457"/>
    <w:rsid w:val="00970324"/>
    <w:rsid w:val="00973C1A"/>
    <w:rsid w:val="009749A4"/>
    <w:rsid w:val="00980F7D"/>
    <w:rsid w:val="00984925"/>
    <w:rsid w:val="00984D64"/>
    <w:rsid w:val="00992B35"/>
    <w:rsid w:val="00993082"/>
    <w:rsid w:val="00994C6C"/>
    <w:rsid w:val="00996585"/>
    <w:rsid w:val="009A7D15"/>
    <w:rsid w:val="009B0991"/>
    <w:rsid w:val="009B2F2E"/>
    <w:rsid w:val="009B7082"/>
    <w:rsid w:val="009C3EB0"/>
    <w:rsid w:val="009D6096"/>
    <w:rsid w:val="009E0A9B"/>
    <w:rsid w:val="009F3200"/>
    <w:rsid w:val="009F7288"/>
    <w:rsid w:val="00A17468"/>
    <w:rsid w:val="00A2208F"/>
    <w:rsid w:val="00A26E98"/>
    <w:rsid w:val="00A326EC"/>
    <w:rsid w:val="00A33BBC"/>
    <w:rsid w:val="00A36FB3"/>
    <w:rsid w:val="00A3733B"/>
    <w:rsid w:val="00A41169"/>
    <w:rsid w:val="00A42C71"/>
    <w:rsid w:val="00A46449"/>
    <w:rsid w:val="00A6208B"/>
    <w:rsid w:val="00A67C8C"/>
    <w:rsid w:val="00A67F73"/>
    <w:rsid w:val="00A80E07"/>
    <w:rsid w:val="00A84173"/>
    <w:rsid w:val="00A9062B"/>
    <w:rsid w:val="00A911AD"/>
    <w:rsid w:val="00A9485D"/>
    <w:rsid w:val="00AA584F"/>
    <w:rsid w:val="00AB180D"/>
    <w:rsid w:val="00AC1D99"/>
    <w:rsid w:val="00AC2ECE"/>
    <w:rsid w:val="00AD0220"/>
    <w:rsid w:val="00AD2848"/>
    <w:rsid w:val="00AD71FC"/>
    <w:rsid w:val="00AE1936"/>
    <w:rsid w:val="00AF39C2"/>
    <w:rsid w:val="00AF42AA"/>
    <w:rsid w:val="00AF44AB"/>
    <w:rsid w:val="00AF5E2D"/>
    <w:rsid w:val="00AF62DF"/>
    <w:rsid w:val="00B0795C"/>
    <w:rsid w:val="00B15C96"/>
    <w:rsid w:val="00B2302E"/>
    <w:rsid w:val="00B24871"/>
    <w:rsid w:val="00B35003"/>
    <w:rsid w:val="00B372A4"/>
    <w:rsid w:val="00B4372E"/>
    <w:rsid w:val="00B54B74"/>
    <w:rsid w:val="00B71075"/>
    <w:rsid w:val="00B72BD4"/>
    <w:rsid w:val="00B7631B"/>
    <w:rsid w:val="00B81A4C"/>
    <w:rsid w:val="00B8503A"/>
    <w:rsid w:val="00B95F6F"/>
    <w:rsid w:val="00BA16C6"/>
    <w:rsid w:val="00BA280C"/>
    <w:rsid w:val="00BA3693"/>
    <w:rsid w:val="00BB1ACA"/>
    <w:rsid w:val="00BB28E2"/>
    <w:rsid w:val="00BB2B48"/>
    <w:rsid w:val="00BB2B71"/>
    <w:rsid w:val="00BC3F40"/>
    <w:rsid w:val="00BC6AA1"/>
    <w:rsid w:val="00BC6CE1"/>
    <w:rsid w:val="00BC7C9A"/>
    <w:rsid w:val="00BD4C92"/>
    <w:rsid w:val="00BD69DC"/>
    <w:rsid w:val="00BE0C90"/>
    <w:rsid w:val="00BE2DA4"/>
    <w:rsid w:val="00C1116A"/>
    <w:rsid w:val="00C11390"/>
    <w:rsid w:val="00C17165"/>
    <w:rsid w:val="00C200CF"/>
    <w:rsid w:val="00C24E7B"/>
    <w:rsid w:val="00C310F1"/>
    <w:rsid w:val="00C33623"/>
    <w:rsid w:val="00C372BB"/>
    <w:rsid w:val="00C37BD5"/>
    <w:rsid w:val="00C41CF0"/>
    <w:rsid w:val="00C42759"/>
    <w:rsid w:val="00C43159"/>
    <w:rsid w:val="00C43B07"/>
    <w:rsid w:val="00C43FD7"/>
    <w:rsid w:val="00C4716B"/>
    <w:rsid w:val="00C60D8C"/>
    <w:rsid w:val="00C6429D"/>
    <w:rsid w:val="00C6767D"/>
    <w:rsid w:val="00C97033"/>
    <w:rsid w:val="00C97987"/>
    <w:rsid w:val="00CA049A"/>
    <w:rsid w:val="00CA5B84"/>
    <w:rsid w:val="00CB2D1B"/>
    <w:rsid w:val="00CC63C5"/>
    <w:rsid w:val="00CD2A58"/>
    <w:rsid w:val="00CD372C"/>
    <w:rsid w:val="00CE2FF5"/>
    <w:rsid w:val="00CE720A"/>
    <w:rsid w:val="00CE7DC3"/>
    <w:rsid w:val="00CF3D1E"/>
    <w:rsid w:val="00CF5E9A"/>
    <w:rsid w:val="00D07A91"/>
    <w:rsid w:val="00D26D05"/>
    <w:rsid w:val="00D27B23"/>
    <w:rsid w:val="00D30943"/>
    <w:rsid w:val="00D30BDF"/>
    <w:rsid w:val="00D34526"/>
    <w:rsid w:val="00D4026D"/>
    <w:rsid w:val="00D469CC"/>
    <w:rsid w:val="00D51A7B"/>
    <w:rsid w:val="00D61AFD"/>
    <w:rsid w:val="00D70085"/>
    <w:rsid w:val="00D7152A"/>
    <w:rsid w:val="00D7477C"/>
    <w:rsid w:val="00D7481B"/>
    <w:rsid w:val="00D80500"/>
    <w:rsid w:val="00D828BF"/>
    <w:rsid w:val="00D82EE5"/>
    <w:rsid w:val="00D83B19"/>
    <w:rsid w:val="00D979E5"/>
    <w:rsid w:val="00DA0A77"/>
    <w:rsid w:val="00DA4F5C"/>
    <w:rsid w:val="00DB2B00"/>
    <w:rsid w:val="00DB2E8E"/>
    <w:rsid w:val="00DC040F"/>
    <w:rsid w:val="00DD1F74"/>
    <w:rsid w:val="00DD2B7B"/>
    <w:rsid w:val="00DD658C"/>
    <w:rsid w:val="00DF1B21"/>
    <w:rsid w:val="00DF339A"/>
    <w:rsid w:val="00DF3BCB"/>
    <w:rsid w:val="00DF4CA6"/>
    <w:rsid w:val="00DF5D8A"/>
    <w:rsid w:val="00DF5F76"/>
    <w:rsid w:val="00E01403"/>
    <w:rsid w:val="00E01E5A"/>
    <w:rsid w:val="00E06F40"/>
    <w:rsid w:val="00E07475"/>
    <w:rsid w:val="00E219BE"/>
    <w:rsid w:val="00E22848"/>
    <w:rsid w:val="00E2287C"/>
    <w:rsid w:val="00E24FD8"/>
    <w:rsid w:val="00E25CCF"/>
    <w:rsid w:val="00E25EC9"/>
    <w:rsid w:val="00E33D33"/>
    <w:rsid w:val="00E3537E"/>
    <w:rsid w:val="00E46BC8"/>
    <w:rsid w:val="00E5787A"/>
    <w:rsid w:val="00E57FAC"/>
    <w:rsid w:val="00E624A0"/>
    <w:rsid w:val="00E6267F"/>
    <w:rsid w:val="00E63010"/>
    <w:rsid w:val="00E66419"/>
    <w:rsid w:val="00E71872"/>
    <w:rsid w:val="00E75BB4"/>
    <w:rsid w:val="00E9104E"/>
    <w:rsid w:val="00E91ADE"/>
    <w:rsid w:val="00E91F14"/>
    <w:rsid w:val="00EA1201"/>
    <w:rsid w:val="00EB0DF3"/>
    <w:rsid w:val="00EB12FC"/>
    <w:rsid w:val="00EB1F7E"/>
    <w:rsid w:val="00EC6BC9"/>
    <w:rsid w:val="00EC75C0"/>
    <w:rsid w:val="00ED0A89"/>
    <w:rsid w:val="00ED31CF"/>
    <w:rsid w:val="00ED450C"/>
    <w:rsid w:val="00ED5106"/>
    <w:rsid w:val="00ED5112"/>
    <w:rsid w:val="00EE09E3"/>
    <w:rsid w:val="00EE29EB"/>
    <w:rsid w:val="00EE348C"/>
    <w:rsid w:val="00EE7C15"/>
    <w:rsid w:val="00EF2A62"/>
    <w:rsid w:val="00EF40CD"/>
    <w:rsid w:val="00EF779B"/>
    <w:rsid w:val="00F0062B"/>
    <w:rsid w:val="00F0603D"/>
    <w:rsid w:val="00F12C67"/>
    <w:rsid w:val="00F1643A"/>
    <w:rsid w:val="00F21A45"/>
    <w:rsid w:val="00F2790B"/>
    <w:rsid w:val="00F40B16"/>
    <w:rsid w:val="00F46BA4"/>
    <w:rsid w:val="00F53CAC"/>
    <w:rsid w:val="00F563C0"/>
    <w:rsid w:val="00F6516C"/>
    <w:rsid w:val="00F72198"/>
    <w:rsid w:val="00F745C3"/>
    <w:rsid w:val="00F845BF"/>
    <w:rsid w:val="00F9448D"/>
    <w:rsid w:val="00FA17CD"/>
    <w:rsid w:val="00FA4A11"/>
    <w:rsid w:val="00FA6B37"/>
    <w:rsid w:val="00FA7A90"/>
    <w:rsid w:val="00FB7275"/>
    <w:rsid w:val="00FC3E01"/>
    <w:rsid w:val="00FC4C0B"/>
    <w:rsid w:val="00FD0FE9"/>
    <w:rsid w:val="00FD1D76"/>
    <w:rsid w:val="00FD3DFF"/>
    <w:rsid w:val="00FD5327"/>
    <w:rsid w:val="00FD5DE7"/>
    <w:rsid w:val="00FE46F3"/>
    <w:rsid w:val="00FF2B28"/>
    <w:rsid w:val="00FF3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37807"/>
  <w15:chartTrackingRefBased/>
  <w15:docId w15:val="{16FC11E2-9D53-AA4F-9E2F-146EE34D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692"/>
    <w:pPr>
      <w:spacing w:after="200" w:line="276" w:lineRule="auto"/>
    </w:pPr>
    <w:rPr>
      <w:rFonts w:ascii="Times New Roman" w:hAnsi="Times New Roman" w:cs="Times New Roman"/>
    </w:rPr>
  </w:style>
  <w:style w:type="paragraph" w:styleId="Heading1">
    <w:name w:val="heading 1"/>
    <w:basedOn w:val="Normal"/>
    <w:next w:val="Normal"/>
    <w:link w:val="Heading1Char"/>
    <w:uiPriority w:val="9"/>
    <w:qFormat/>
    <w:rsid w:val="007E57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F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2F2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979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5F5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692"/>
    <w:pPr>
      <w:spacing w:line="360" w:lineRule="auto"/>
      <w:ind w:left="720"/>
      <w:contextualSpacing/>
    </w:pPr>
    <w:rPr>
      <w:rFonts w:cstheme="minorBidi"/>
      <w:szCs w:val="22"/>
    </w:rPr>
  </w:style>
  <w:style w:type="paragraph" w:styleId="FootnoteText">
    <w:name w:val="footnote text"/>
    <w:basedOn w:val="Normal"/>
    <w:link w:val="FootnoteTextChar"/>
    <w:uiPriority w:val="99"/>
    <w:unhideWhenUsed/>
    <w:rsid w:val="00A6208B"/>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A6208B"/>
    <w:rPr>
      <w:rFonts w:ascii="Times New Roman" w:eastAsia="Calibri" w:hAnsi="Times New Roman" w:cs="Times New Roman"/>
      <w:sz w:val="20"/>
      <w:szCs w:val="20"/>
    </w:rPr>
  </w:style>
  <w:style w:type="character" w:styleId="FootnoteReference">
    <w:name w:val="footnote reference"/>
    <w:basedOn w:val="DefaultParagraphFont"/>
    <w:unhideWhenUsed/>
    <w:rsid w:val="00A6208B"/>
    <w:rPr>
      <w:vertAlign w:val="superscript"/>
    </w:rPr>
  </w:style>
  <w:style w:type="character" w:customStyle="1" w:styleId="Heading1Char">
    <w:name w:val="Heading 1 Char"/>
    <w:basedOn w:val="DefaultParagraphFont"/>
    <w:link w:val="Heading1"/>
    <w:uiPriority w:val="9"/>
    <w:rsid w:val="007E576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D979E5"/>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979E5"/>
    <w:rPr>
      <w:color w:val="0563C1" w:themeColor="hyperlink"/>
      <w:u w:val="single"/>
    </w:rPr>
  </w:style>
  <w:style w:type="character" w:styleId="SubtleEmphasis">
    <w:name w:val="Subtle Emphasis"/>
    <w:basedOn w:val="DefaultParagraphFont"/>
    <w:uiPriority w:val="19"/>
    <w:qFormat/>
    <w:rsid w:val="00D979E5"/>
    <w:rPr>
      <w:i/>
      <w:iCs/>
      <w:color w:val="404040" w:themeColor="text1" w:themeTint="BF"/>
    </w:rPr>
  </w:style>
  <w:style w:type="character" w:customStyle="1" w:styleId="Heading5Char">
    <w:name w:val="Heading 5 Char"/>
    <w:basedOn w:val="DefaultParagraphFont"/>
    <w:link w:val="Heading5"/>
    <w:uiPriority w:val="9"/>
    <w:semiHidden/>
    <w:rsid w:val="003F5F53"/>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3F5F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B2F2E"/>
    <w:rPr>
      <w:rFonts w:asciiTheme="majorHAnsi" w:eastAsiaTheme="majorEastAsia" w:hAnsiTheme="majorHAnsi" w:cstheme="majorBidi"/>
      <w:color w:val="1F3763" w:themeColor="accent1" w:themeShade="7F"/>
    </w:rPr>
  </w:style>
  <w:style w:type="paragraph" w:styleId="Revision">
    <w:name w:val="Revision"/>
    <w:hidden/>
    <w:uiPriority w:val="99"/>
    <w:semiHidden/>
    <w:rsid w:val="006673EC"/>
    <w:rPr>
      <w:rFonts w:ascii="Times New Roman" w:hAnsi="Times New Roman" w:cs="Times New Roman"/>
    </w:rPr>
  </w:style>
  <w:style w:type="paragraph" w:styleId="BodyText">
    <w:name w:val="Body Text"/>
    <w:basedOn w:val="Normal"/>
    <w:link w:val="BodyTextChar"/>
    <w:uiPriority w:val="1"/>
    <w:qFormat/>
    <w:rsid w:val="00933DDE"/>
    <w:pPr>
      <w:widowControl w:val="0"/>
      <w:autoSpaceDE w:val="0"/>
      <w:autoSpaceDN w:val="0"/>
      <w:spacing w:after="0" w:line="240" w:lineRule="auto"/>
      <w:ind w:left="520"/>
    </w:pPr>
    <w:rPr>
      <w:rFonts w:eastAsia="Times New Roman"/>
      <w:lang w:val="en-US"/>
    </w:rPr>
  </w:style>
  <w:style w:type="character" w:customStyle="1" w:styleId="BodyTextChar">
    <w:name w:val="Body Text Char"/>
    <w:basedOn w:val="DefaultParagraphFont"/>
    <w:link w:val="BodyText"/>
    <w:uiPriority w:val="1"/>
    <w:rsid w:val="00933DDE"/>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886573"/>
    <w:rPr>
      <w:color w:val="954F72" w:themeColor="followedHyperlink"/>
      <w:u w:val="single"/>
    </w:rPr>
  </w:style>
  <w:style w:type="paragraph" w:styleId="Header">
    <w:name w:val="header"/>
    <w:basedOn w:val="Normal"/>
    <w:link w:val="HeaderChar"/>
    <w:uiPriority w:val="99"/>
    <w:unhideWhenUsed/>
    <w:rsid w:val="00886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573"/>
    <w:rPr>
      <w:rFonts w:ascii="Times New Roman" w:hAnsi="Times New Roman" w:cs="Times New Roman"/>
    </w:rPr>
  </w:style>
  <w:style w:type="paragraph" w:styleId="Footer">
    <w:name w:val="footer"/>
    <w:basedOn w:val="Normal"/>
    <w:link w:val="FooterChar"/>
    <w:uiPriority w:val="99"/>
    <w:unhideWhenUsed/>
    <w:rsid w:val="00886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573"/>
    <w:rPr>
      <w:rFonts w:ascii="Times New Roman" w:hAnsi="Times New Roman" w:cs="Times New Roman"/>
    </w:rPr>
  </w:style>
  <w:style w:type="character" w:styleId="Emphasis">
    <w:name w:val="Emphasis"/>
    <w:basedOn w:val="DefaultParagraphFont"/>
    <w:uiPriority w:val="20"/>
    <w:qFormat/>
    <w:rsid w:val="00886573"/>
    <w:rPr>
      <w:i/>
      <w:iCs/>
    </w:rPr>
  </w:style>
  <w:style w:type="character" w:customStyle="1" w:styleId="apple-converted-space">
    <w:name w:val="apple-converted-space"/>
    <w:basedOn w:val="DefaultParagraphFont"/>
    <w:rsid w:val="00886573"/>
  </w:style>
  <w:style w:type="character" w:styleId="CommentReference">
    <w:name w:val="annotation reference"/>
    <w:basedOn w:val="DefaultParagraphFont"/>
    <w:uiPriority w:val="99"/>
    <w:semiHidden/>
    <w:unhideWhenUsed/>
    <w:rsid w:val="00886573"/>
    <w:rPr>
      <w:sz w:val="18"/>
      <w:szCs w:val="18"/>
    </w:rPr>
  </w:style>
  <w:style w:type="paragraph" w:styleId="CommentText">
    <w:name w:val="annotation text"/>
    <w:basedOn w:val="Normal"/>
    <w:link w:val="CommentTextChar"/>
    <w:uiPriority w:val="99"/>
    <w:unhideWhenUsed/>
    <w:rsid w:val="00886573"/>
    <w:pPr>
      <w:spacing w:line="240" w:lineRule="auto"/>
    </w:pPr>
  </w:style>
  <w:style w:type="character" w:customStyle="1" w:styleId="CommentTextChar">
    <w:name w:val="Comment Text Char"/>
    <w:basedOn w:val="DefaultParagraphFont"/>
    <w:link w:val="CommentText"/>
    <w:uiPriority w:val="99"/>
    <w:rsid w:val="0088657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86573"/>
    <w:rPr>
      <w:b/>
      <w:bCs/>
      <w:sz w:val="20"/>
      <w:szCs w:val="20"/>
    </w:rPr>
  </w:style>
  <w:style w:type="character" w:customStyle="1" w:styleId="CommentSubjectChar">
    <w:name w:val="Comment Subject Char"/>
    <w:basedOn w:val="CommentTextChar"/>
    <w:link w:val="CommentSubject"/>
    <w:uiPriority w:val="99"/>
    <w:semiHidden/>
    <w:rsid w:val="0088657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86573"/>
    <w:pPr>
      <w:spacing w:after="0" w:line="240" w:lineRule="auto"/>
    </w:pPr>
    <w:rPr>
      <w:sz w:val="18"/>
      <w:szCs w:val="18"/>
    </w:rPr>
  </w:style>
  <w:style w:type="character" w:customStyle="1" w:styleId="BalloonTextChar">
    <w:name w:val="Balloon Text Char"/>
    <w:basedOn w:val="DefaultParagraphFont"/>
    <w:link w:val="BalloonText"/>
    <w:uiPriority w:val="99"/>
    <w:semiHidden/>
    <w:rsid w:val="00886573"/>
    <w:rPr>
      <w:rFonts w:ascii="Times New Roman" w:hAnsi="Times New Roman" w:cs="Times New Roman"/>
      <w:sz w:val="18"/>
      <w:szCs w:val="18"/>
    </w:rPr>
  </w:style>
  <w:style w:type="character" w:styleId="Strong">
    <w:name w:val="Strong"/>
    <w:basedOn w:val="DefaultParagraphFont"/>
    <w:uiPriority w:val="22"/>
    <w:qFormat/>
    <w:rsid w:val="00886573"/>
    <w:rPr>
      <w:b/>
      <w:bCs/>
    </w:rPr>
  </w:style>
  <w:style w:type="character" w:customStyle="1" w:styleId="UnresolvedMention1">
    <w:name w:val="Unresolved Mention1"/>
    <w:basedOn w:val="DefaultParagraphFont"/>
    <w:uiPriority w:val="99"/>
    <w:semiHidden/>
    <w:unhideWhenUsed/>
    <w:rsid w:val="00123AF5"/>
    <w:rPr>
      <w:color w:val="605E5C"/>
      <w:shd w:val="clear" w:color="auto" w:fill="E1DFDD"/>
    </w:rPr>
  </w:style>
  <w:style w:type="character" w:styleId="PageNumber">
    <w:name w:val="page number"/>
    <w:basedOn w:val="DefaultParagraphFont"/>
    <w:uiPriority w:val="99"/>
    <w:semiHidden/>
    <w:unhideWhenUsed/>
    <w:rsid w:val="0096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055118">
      <w:bodyDiv w:val="1"/>
      <w:marLeft w:val="0"/>
      <w:marRight w:val="0"/>
      <w:marTop w:val="0"/>
      <w:marBottom w:val="0"/>
      <w:divBdr>
        <w:top w:val="none" w:sz="0" w:space="0" w:color="auto"/>
        <w:left w:val="none" w:sz="0" w:space="0" w:color="auto"/>
        <w:bottom w:val="none" w:sz="0" w:space="0" w:color="auto"/>
        <w:right w:val="none" w:sz="0" w:space="0" w:color="auto"/>
      </w:divBdr>
    </w:div>
    <w:div w:id="273248823">
      <w:bodyDiv w:val="1"/>
      <w:marLeft w:val="0"/>
      <w:marRight w:val="0"/>
      <w:marTop w:val="0"/>
      <w:marBottom w:val="0"/>
      <w:divBdr>
        <w:top w:val="none" w:sz="0" w:space="0" w:color="auto"/>
        <w:left w:val="none" w:sz="0" w:space="0" w:color="auto"/>
        <w:bottom w:val="none" w:sz="0" w:space="0" w:color="auto"/>
        <w:right w:val="none" w:sz="0" w:space="0" w:color="auto"/>
      </w:divBdr>
    </w:div>
    <w:div w:id="471942238">
      <w:bodyDiv w:val="1"/>
      <w:marLeft w:val="0"/>
      <w:marRight w:val="0"/>
      <w:marTop w:val="0"/>
      <w:marBottom w:val="0"/>
      <w:divBdr>
        <w:top w:val="none" w:sz="0" w:space="0" w:color="auto"/>
        <w:left w:val="none" w:sz="0" w:space="0" w:color="auto"/>
        <w:bottom w:val="none" w:sz="0" w:space="0" w:color="auto"/>
        <w:right w:val="none" w:sz="0" w:space="0" w:color="auto"/>
      </w:divBdr>
    </w:div>
    <w:div w:id="547958724">
      <w:bodyDiv w:val="1"/>
      <w:marLeft w:val="0"/>
      <w:marRight w:val="0"/>
      <w:marTop w:val="0"/>
      <w:marBottom w:val="0"/>
      <w:divBdr>
        <w:top w:val="none" w:sz="0" w:space="0" w:color="auto"/>
        <w:left w:val="none" w:sz="0" w:space="0" w:color="auto"/>
        <w:bottom w:val="none" w:sz="0" w:space="0" w:color="auto"/>
        <w:right w:val="none" w:sz="0" w:space="0" w:color="auto"/>
      </w:divBdr>
    </w:div>
    <w:div w:id="699934207">
      <w:bodyDiv w:val="1"/>
      <w:marLeft w:val="0"/>
      <w:marRight w:val="0"/>
      <w:marTop w:val="0"/>
      <w:marBottom w:val="0"/>
      <w:divBdr>
        <w:top w:val="none" w:sz="0" w:space="0" w:color="auto"/>
        <w:left w:val="none" w:sz="0" w:space="0" w:color="auto"/>
        <w:bottom w:val="none" w:sz="0" w:space="0" w:color="auto"/>
        <w:right w:val="none" w:sz="0" w:space="0" w:color="auto"/>
      </w:divBdr>
    </w:div>
    <w:div w:id="721442509">
      <w:bodyDiv w:val="1"/>
      <w:marLeft w:val="0"/>
      <w:marRight w:val="0"/>
      <w:marTop w:val="0"/>
      <w:marBottom w:val="0"/>
      <w:divBdr>
        <w:top w:val="none" w:sz="0" w:space="0" w:color="auto"/>
        <w:left w:val="none" w:sz="0" w:space="0" w:color="auto"/>
        <w:bottom w:val="none" w:sz="0" w:space="0" w:color="auto"/>
        <w:right w:val="none" w:sz="0" w:space="0" w:color="auto"/>
      </w:divBdr>
    </w:div>
    <w:div w:id="820122537">
      <w:bodyDiv w:val="1"/>
      <w:marLeft w:val="0"/>
      <w:marRight w:val="0"/>
      <w:marTop w:val="0"/>
      <w:marBottom w:val="0"/>
      <w:divBdr>
        <w:top w:val="none" w:sz="0" w:space="0" w:color="auto"/>
        <w:left w:val="none" w:sz="0" w:space="0" w:color="auto"/>
        <w:bottom w:val="none" w:sz="0" w:space="0" w:color="auto"/>
        <w:right w:val="none" w:sz="0" w:space="0" w:color="auto"/>
      </w:divBdr>
    </w:div>
    <w:div w:id="857622252">
      <w:bodyDiv w:val="1"/>
      <w:marLeft w:val="0"/>
      <w:marRight w:val="0"/>
      <w:marTop w:val="0"/>
      <w:marBottom w:val="0"/>
      <w:divBdr>
        <w:top w:val="none" w:sz="0" w:space="0" w:color="auto"/>
        <w:left w:val="none" w:sz="0" w:space="0" w:color="auto"/>
        <w:bottom w:val="none" w:sz="0" w:space="0" w:color="auto"/>
        <w:right w:val="none" w:sz="0" w:space="0" w:color="auto"/>
      </w:divBdr>
    </w:div>
    <w:div w:id="1122649159">
      <w:bodyDiv w:val="1"/>
      <w:marLeft w:val="0"/>
      <w:marRight w:val="0"/>
      <w:marTop w:val="0"/>
      <w:marBottom w:val="0"/>
      <w:divBdr>
        <w:top w:val="none" w:sz="0" w:space="0" w:color="auto"/>
        <w:left w:val="none" w:sz="0" w:space="0" w:color="auto"/>
        <w:bottom w:val="none" w:sz="0" w:space="0" w:color="auto"/>
        <w:right w:val="none" w:sz="0" w:space="0" w:color="auto"/>
      </w:divBdr>
    </w:div>
    <w:div w:id="1201698531">
      <w:bodyDiv w:val="1"/>
      <w:marLeft w:val="0"/>
      <w:marRight w:val="0"/>
      <w:marTop w:val="0"/>
      <w:marBottom w:val="0"/>
      <w:divBdr>
        <w:top w:val="none" w:sz="0" w:space="0" w:color="auto"/>
        <w:left w:val="none" w:sz="0" w:space="0" w:color="auto"/>
        <w:bottom w:val="none" w:sz="0" w:space="0" w:color="auto"/>
        <w:right w:val="none" w:sz="0" w:space="0" w:color="auto"/>
      </w:divBdr>
      <w:divsChild>
        <w:div w:id="383605354">
          <w:marLeft w:val="0"/>
          <w:marRight w:val="0"/>
          <w:marTop w:val="0"/>
          <w:marBottom w:val="0"/>
          <w:divBdr>
            <w:top w:val="none" w:sz="0" w:space="0" w:color="auto"/>
            <w:left w:val="none" w:sz="0" w:space="0" w:color="auto"/>
            <w:bottom w:val="none" w:sz="0" w:space="0" w:color="auto"/>
            <w:right w:val="none" w:sz="0" w:space="0" w:color="auto"/>
          </w:divBdr>
        </w:div>
      </w:divsChild>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
    <w:div w:id="1268808865">
      <w:bodyDiv w:val="1"/>
      <w:marLeft w:val="0"/>
      <w:marRight w:val="0"/>
      <w:marTop w:val="0"/>
      <w:marBottom w:val="0"/>
      <w:divBdr>
        <w:top w:val="none" w:sz="0" w:space="0" w:color="auto"/>
        <w:left w:val="none" w:sz="0" w:space="0" w:color="auto"/>
        <w:bottom w:val="none" w:sz="0" w:space="0" w:color="auto"/>
        <w:right w:val="none" w:sz="0" w:space="0" w:color="auto"/>
      </w:divBdr>
    </w:div>
    <w:div w:id="1271813901">
      <w:bodyDiv w:val="1"/>
      <w:marLeft w:val="0"/>
      <w:marRight w:val="0"/>
      <w:marTop w:val="0"/>
      <w:marBottom w:val="0"/>
      <w:divBdr>
        <w:top w:val="none" w:sz="0" w:space="0" w:color="auto"/>
        <w:left w:val="none" w:sz="0" w:space="0" w:color="auto"/>
        <w:bottom w:val="none" w:sz="0" w:space="0" w:color="auto"/>
        <w:right w:val="none" w:sz="0" w:space="0" w:color="auto"/>
      </w:divBdr>
    </w:div>
    <w:div w:id="1291016967">
      <w:bodyDiv w:val="1"/>
      <w:marLeft w:val="0"/>
      <w:marRight w:val="0"/>
      <w:marTop w:val="0"/>
      <w:marBottom w:val="0"/>
      <w:divBdr>
        <w:top w:val="none" w:sz="0" w:space="0" w:color="auto"/>
        <w:left w:val="none" w:sz="0" w:space="0" w:color="auto"/>
        <w:bottom w:val="none" w:sz="0" w:space="0" w:color="auto"/>
        <w:right w:val="none" w:sz="0" w:space="0" w:color="auto"/>
      </w:divBdr>
    </w:div>
    <w:div w:id="1434321990">
      <w:bodyDiv w:val="1"/>
      <w:marLeft w:val="0"/>
      <w:marRight w:val="0"/>
      <w:marTop w:val="0"/>
      <w:marBottom w:val="0"/>
      <w:divBdr>
        <w:top w:val="none" w:sz="0" w:space="0" w:color="auto"/>
        <w:left w:val="none" w:sz="0" w:space="0" w:color="auto"/>
        <w:bottom w:val="none" w:sz="0" w:space="0" w:color="auto"/>
        <w:right w:val="none" w:sz="0" w:space="0" w:color="auto"/>
      </w:divBdr>
      <w:divsChild>
        <w:div w:id="1091393359">
          <w:marLeft w:val="0"/>
          <w:marRight w:val="0"/>
          <w:marTop w:val="0"/>
          <w:marBottom w:val="0"/>
          <w:divBdr>
            <w:top w:val="none" w:sz="0" w:space="0" w:color="auto"/>
            <w:left w:val="none" w:sz="0" w:space="0" w:color="auto"/>
            <w:bottom w:val="none" w:sz="0" w:space="0" w:color="auto"/>
            <w:right w:val="none" w:sz="0" w:space="0" w:color="auto"/>
          </w:divBdr>
        </w:div>
        <w:div w:id="199976853">
          <w:marLeft w:val="0"/>
          <w:marRight w:val="0"/>
          <w:marTop w:val="0"/>
          <w:marBottom w:val="0"/>
          <w:divBdr>
            <w:top w:val="none" w:sz="0" w:space="0" w:color="auto"/>
            <w:left w:val="none" w:sz="0" w:space="0" w:color="auto"/>
            <w:bottom w:val="none" w:sz="0" w:space="0" w:color="auto"/>
            <w:right w:val="none" w:sz="0" w:space="0" w:color="auto"/>
          </w:divBdr>
        </w:div>
      </w:divsChild>
    </w:div>
    <w:div w:id="1912304856">
      <w:bodyDiv w:val="1"/>
      <w:marLeft w:val="0"/>
      <w:marRight w:val="0"/>
      <w:marTop w:val="0"/>
      <w:marBottom w:val="0"/>
      <w:divBdr>
        <w:top w:val="none" w:sz="0" w:space="0" w:color="auto"/>
        <w:left w:val="none" w:sz="0" w:space="0" w:color="auto"/>
        <w:bottom w:val="none" w:sz="0" w:space="0" w:color="auto"/>
        <w:right w:val="none" w:sz="0" w:space="0" w:color="auto"/>
      </w:divBdr>
    </w:div>
    <w:div w:id="2095010707">
      <w:bodyDiv w:val="1"/>
      <w:marLeft w:val="0"/>
      <w:marRight w:val="0"/>
      <w:marTop w:val="0"/>
      <w:marBottom w:val="0"/>
      <w:divBdr>
        <w:top w:val="none" w:sz="0" w:space="0" w:color="auto"/>
        <w:left w:val="none" w:sz="0" w:space="0" w:color="auto"/>
        <w:bottom w:val="none" w:sz="0" w:space="0" w:color="auto"/>
        <w:right w:val="none" w:sz="0" w:space="0" w:color="auto"/>
      </w:divBdr>
      <w:divsChild>
        <w:div w:id="1229656749">
          <w:marLeft w:val="0"/>
          <w:marRight w:val="0"/>
          <w:marTop w:val="240"/>
          <w:marBottom w:val="240"/>
          <w:divBdr>
            <w:top w:val="none" w:sz="0" w:space="0" w:color="auto"/>
            <w:left w:val="none" w:sz="0" w:space="0" w:color="auto"/>
            <w:bottom w:val="none" w:sz="0" w:space="0" w:color="auto"/>
            <w:right w:val="none" w:sz="0" w:space="0" w:color="auto"/>
          </w:divBdr>
          <w:divsChild>
            <w:div w:id="1800537838">
              <w:marLeft w:val="0"/>
              <w:marRight w:val="0"/>
              <w:marTop w:val="240"/>
              <w:marBottom w:val="240"/>
              <w:divBdr>
                <w:top w:val="none" w:sz="0" w:space="0" w:color="auto"/>
                <w:left w:val="none" w:sz="0" w:space="0" w:color="auto"/>
                <w:bottom w:val="none" w:sz="0" w:space="0" w:color="auto"/>
                <w:right w:val="none" w:sz="0" w:space="0" w:color="auto"/>
              </w:divBdr>
            </w:div>
            <w:div w:id="1655834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commentisfree/2019/jul/31/sexual-assault-case-dropped-phone-traumatic?CMP=Share_iOSApp_Other" TargetMode="External"/><Relationship Id="rId13" Type="http://schemas.openxmlformats.org/officeDocument/2006/relationships/hyperlink" Target="http://www.oxforddictionaries.com/definition/english/attitude" TargetMode="External"/><Relationship Id="rId3" Type="http://schemas.openxmlformats.org/officeDocument/2006/relationships/hyperlink" Target="http://www.cps.gov.uk/publications/prosecution/justicegap.html" TargetMode="External"/><Relationship Id="rId7" Type="http://schemas.openxmlformats.org/officeDocument/2006/relationships/hyperlink" Target="https://www.theguardian.com/society/2019/jul/24/dame-vera-baird-sparks-row-over-case-police-phone-searches?CMP=Share_iOSApp_Other" TargetMode="External"/><Relationship Id="rId12" Type="http://schemas.openxmlformats.org/officeDocument/2006/relationships/hyperlink" Target="http://eprints.lse.ac.uk/60566/?from_serp=1" TargetMode="External"/><Relationship Id="rId17" Type="http://schemas.openxmlformats.org/officeDocument/2006/relationships/hyperlink" Target="http://www.justice.gov.uk/about/criminal-cases-review-commission/case-library/2" TargetMode="External"/><Relationship Id="rId2" Type="http://schemas.openxmlformats.org/officeDocument/2006/relationships/hyperlink" Target="http://www.oxforddictionaries.com/definition/english/" TargetMode="External"/><Relationship Id="rId16" Type="http://schemas.openxmlformats.org/officeDocument/2006/relationships/hyperlink" Target="http://www.lullabytrust.org.uk/page.aspx?pid=1390" TargetMode="External"/><Relationship Id="rId1" Type="http://schemas.openxmlformats.org/officeDocument/2006/relationships/hyperlink" Target="mailto:gorr@bournemouth.ac.uk" TargetMode="External"/><Relationship Id="rId6" Type="http://schemas.openxmlformats.org/officeDocument/2006/relationships/hyperlink" Target="http://www.theguardian.com/uk-news/2014/aug/25/rosdeep-adekoya-jailed-11-years-killing-son-mikaeel-kular" TargetMode="External"/><Relationship Id="rId11" Type="http://schemas.openxmlformats.org/officeDocument/2006/relationships/hyperlink" Target="https://www.bbc.co.uk/news/stories-43258170" TargetMode="External"/><Relationship Id="rId5" Type="http://schemas.openxmlformats.org/officeDocument/2006/relationships/hyperlink" Target="https://www.judiciary.gov.uk/publications/crown-court-bench-book-directing-the-%20jury-2/" TargetMode="External"/><Relationship Id="rId15" Type="http://schemas.openxmlformats.org/officeDocument/2006/relationships/hyperlink" Target="http://www.thelawyer.com/mother039s-ruin/100860.article" TargetMode="External"/><Relationship Id="rId10" Type="http://schemas.openxmlformats.org/officeDocument/2006/relationships/hyperlink" Target="http://www.oxforddictionaries.com/definition/english/myth" TargetMode="External"/><Relationship Id="rId4" Type="http://schemas.openxmlformats.org/officeDocument/2006/relationships/hyperlink" Target="http://www.nhs.uk/conditions/munchausens-syndrome/Pages/Introduction.aspx" TargetMode="External"/><Relationship Id="rId9" Type="http://schemas.openxmlformats.org/officeDocument/2006/relationships/hyperlink" Target="https://www.theguardian.com/law/2019/jul/23/police-demands-for-access-to-victims-phones-unlawful" TargetMode="External"/><Relationship Id="rId14" Type="http://schemas.openxmlformats.org/officeDocument/2006/relationships/hyperlink" Target="http://news.bbc.co.uk/1/hi/uk/512099.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EF775-2C33-4B89-805F-BC08455D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10008</Words>
  <Characters>57046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Rosemary Hunter</cp:lastModifiedBy>
  <cp:revision>3</cp:revision>
  <dcterms:created xsi:type="dcterms:W3CDTF">2019-11-29T09:25:00Z</dcterms:created>
  <dcterms:modified xsi:type="dcterms:W3CDTF">2019-11-29T09:35:00Z</dcterms:modified>
</cp:coreProperties>
</file>