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C8" w:rsidRPr="00233B55" w:rsidRDefault="00311CC8" w:rsidP="00311CC8">
      <w:pPr>
        <w:rPr>
          <w:rFonts w:ascii="Garamond" w:hAnsi="Garamond"/>
          <w:b/>
          <w:sz w:val="28"/>
          <w:szCs w:val="28"/>
        </w:rPr>
      </w:pPr>
      <w:r w:rsidRPr="00233B55">
        <w:rPr>
          <w:rFonts w:ascii="Garamond" w:hAnsi="Garamond"/>
          <w:b/>
          <w:sz w:val="28"/>
          <w:szCs w:val="28"/>
        </w:rPr>
        <w:t>Feminist Jurisprudence and the Question of Home: Some Closing Remarks</w:t>
      </w:r>
    </w:p>
    <w:p w:rsidR="00311CC8" w:rsidRPr="00233B55" w:rsidRDefault="00311CC8" w:rsidP="00311CC8">
      <w:pPr>
        <w:rPr>
          <w:rFonts w:ascii="Garamond" w:hAnsi="Garamond"/>
          <w:b/>
          <w:sz w:val="24"/>
          <w:szCs w:val="24"/>
        </w:rPr>
      </w:pPr>
      <w:r w:rsidRPr="00233B55">
        <w:rPr>
          <w:rFonts w:ascii="Garamond" w:hAnsi="Garamond"/>
          <w:b/>
          <w:sz w:val="24"/>
          <w:szCs w:val="24"/>
        </w:rPr>
        <w:t>Ann Genovese</w:t>
      </w:r>
      <w:r w:rsidR="00233B55">
        <w:rPr>
          <w:rStyle w:val="FootnoteReference"/>
          <w:rFonts w:ascii="Garamond" w:hAnsi="Garamond"/>
          <w:b/>
          <w:sz w:val="24"/>
          <w:szCs w:val="24"/>
        </w:rPr>
        <w:footnoteReference w:customMarkFollows="1" w:id="1"/>
        <w:t>*</w:t>
      </w:r>
    </w:p>
    <w:p w:rsidR="00311CC8" w:rsidRPr="00311CC8" w:rsidRDefault="00311CC8" w:rsidP="00311CC8">
      <w:pPr>
        <w:rPr>
          <w:rFonts w:ascii="Garamond" w:hAnsi="Garamond"/>
          <w:sz w:val="24"/>
          <w:szCs w:val="24"/>
        </w:rPr>
      </w:pPr>
    </w:p>
    <w:p w:rsidR="00311CC8" w:rsidRPr="00311CC8" w:rsidRDefault="00311CC8" w:rsidP="00311CC8">
      <w:pPr>
        <w:rPr>
          <w:rFonts w:ascii="Garamond" w:hAnsi="Garamond"/>
          <w:sz w:val="24"/>
          <w:szCs w:val="24"/>
        </w:rPr>
      </w:pPr>
      <w:r w:rsidRPr="00311CC8">
        <w:rPr>
          <w:rFonts w:ascii="Garamond" w:hAnsi="Garamond"/>
          <w:sz w:val="24"/>
          <w:szCs w:val="24"/>
        </w:rPr>
        <w:t>I do not want to take up too much time</w:t>
      </w:r>
      <w:r w:rsidR="00545483">
        <w:rPr>
          <w:rFonts w:ascii="Garamond" w:hAnsi="Garamond"/>
          <w:sz w:val="24"/>
          <w:szCs w:val="24"/>
        </w:rPr>
        <w:t>, as I want</w:t>
      </w:r>
      <w:r w:rsidR="00226729">
        <w:rPr>
          <w:rFonts w:ascii="Garamond" w:hAnsi="Garamond"/>
          <w:sz w:val="24"/>
          <w:szCs w:val="24"/>
        </w:rPr>
        <w:t xml:space="preserve"> </w:t>
      </w:r>
      <w:r w:rsidR="00545483">
        <w:rPr>
          <w:rFonts w:ascii="Garamond" w:hAnsi="Garamond"/>
          <w:sz w:val="24"/>
          <w:szCs w:val="24"/>
        </w:rPr>
        <w:t>to</w:t>
      </w:r>
      <w:r w:rsidR="00226729">
        <w:rPr>
          <w:rFonts w:ascii="Garamond" w:hAnsi="Garamond"/>
          <w:sz w:val="24"/>
          <w:szCs w:val="24"/>
        </w:rPr>
        <w:t xml:space="preserve"> </w:t>
      </w:r>
      <w:r w:rsidRPr="00311CC8">
        <w:rPr>
          <w:rFonts w:ascii="Garamond" w:hAnsi="Garamond"/>
          <w:sz w:val="24"/>
          <w:szCs w:val="24"/>
        </w:rPr>
        <w:t>open the floor to the audience</w:t>
      </w:r>
      <w:r w:rsidR="00545483">
        <w:rPr>
          <w:rFonts w:ascii="Garamond" w:hAnsi="Garamond"/>
          <w:sz w:val="24"/>
          <w:szCs w:val="24"/>
        </w:rPr>
        <w:t>. I</w:t>
      </w:r>
      <w:r>
        <w:rPr>
          <w:rFonts w:ascii="Garamond" w:hAnsi="Garamond"/>
          <w:sz w:val="24"/>
          <w:szCs w:val="24"/>
        </w:rPr>
        <w:t xml:space="preserve"> </w:t>
      </w:r>
      <w:r w:rsidR="00226729">
        <w:rPr>
          <w:rFonts w:ascii="Garamond" w:hAnsi="Garamond"/>
          <w:sz w:val="24"/>
          <w:szCs w:val="24"/>
        </w:rPr>
        <w:t xml:space="preserve">will leave then the questions raised by the </w:t>
      </w:r>
      <w:r w:rsidRPr="00311CC8">
        <w:rPr>
          <w:rFonts w:ascii="Garamond" w:hAnsi="Garamond"/>
          <w:sz w:val="24"/>
          <w:szCs w:val="24"/>
        </w:rPr>
        <w:t xml:space="preserve">contents of the </w:t>
      </w:r>
      <w:r w:rsidR="00545483">
        <w:rPr>
          <w:rFonts w:ascii="Garamond" w:hAnsi="Garamond"/>
          <w:sz w:val="24"/>
          <w:szCs w:val="24"/>
        </w:rPr>
        <w:t xml:space="preserve">papers: the </w:t>
      </w:r>
      <w:r w:rsidRPr="00311CC8">
        <w:rPr>
          <w:rFonts w:ascii="Garamond" w:hAnsi="Garamond"/>
          <w:sz w:val="24"/>
          <w:szCs w:val="24"/>
        </w:rPr>
        <w:t>property and admin</w:t>
      </w:r>
      <w:r w:rsidR="00226729">
        <w:rPr>
          <w:rFonts w:ascii="Garamond" w:hAnsi="Garamond"/>
          <w:sz w:val="24"/>
          <w:szCs w:val="24"/>
        </w:rPr>
        <w:t xml:space="preserve">istrative </w:t>
      </w:r>
      <w:r w:rsidR="00545483">
        <w:rPr>
          <w:rFonts w:ascii="Garamond" w:hAnsi="Garamond"/>
          <w:sz w:val="24"/>
          <w:szCs w:val="24"/>
        </w:rPr>
        <w:t xml:space="preserve">law </w:t>
      </w:r>
      <w:r w:rsidR="00226729">
        <w:rPr>
          <w:rFonts w:ascii="Garamond" w:hAnsi="Garamond"/>
          <w:sz w:val="24"/>
          <w:szCs w:val="24"/>
        </w:rPr>
        <w:t>questions;</w:t>
      </w:r>
      <w:r w:rsidRPr="00311CC8">
        <w:rPr>
          <w:rFonts w:ascii="Garamond" w:hAnsi="Garamond"/>
          <w:sz w:val="24"/>
          <w:szCs w:val="24"/>
        </w:rPr>
        <w:t xml:space="preserve"> </w:t>
      </w:r>
      <w:r w:rsidR="00226729">
        <w:rPr>
          <w:rFonts w:ascii="Garamond" w:hAnsi="Garamond"/>
          <w:sz w:val="24"/>
          <w:szCs w:val="24"/>
        </w:rPr>
        <w:t xml:space="preserve">the problems of </w:t>
      </w:r>
      <w:r w:rsidRPr="00311CC8">
        <w:rPr>
          <w:rFonts w:ascii="Garamond" w:hAnsi="Garamond"/>
          <w:sz w:val="24"/>
          <w:szCs w:val="24"/>
        </w:rPr>
        <w:t xml:space="preserve">law </w:t>
      </w:r>
      <w:r w:rsidR="00545483">
        <w:rPr>
          <w:rFonts w:ascii="Garamond" w:hAnsi="Garamond"/>
          <w:sz w:val="24"/>
          <w:szCs w:val="24"/>
        </w:rPr>
        <w:t>reform</w:t>
      </w:r>
      <w:r w:rsidR="008B360B">
        <w:rPr>
          <w:rFonts w:ascii="Garamond" w:hAnsi="Garamond"/>
          <w:sz w:val="24"/>
          <w:szCs w:val="24"/>
        </w:rPr>
        <w:t xml:space="preserve">, and </w:t>
      </w:r>
      <w:r w:rsidRPr="00311CC8">
        <w:rPr>
          <w:rFonts w:ascii="Garamond" w:hAnsi="Garamond"/>
          <w:sz w:val="24"/>
          <w:szCs w:val="24"/>
        </w:rPr>
        <w:t xml:space="preserve">public </w:t>
      </w:r>
      <w:r w:rsidR="00545483">
        <w:rPr>
          <w:rFonts w:ascii="Garamond" w:hAnsi="Garamond"/>
          <w:sz w:val="24"/>
          <w:szCs w:val="24"/>
        </w:rPr>
        <w:t>housing</w:t>
      </w:r>
      <w:r w:rsidR="00226729">
        <w:rPr>
          <w:rFonts w:ascii="Garamond" w:hAnsi="Garamond"/>
          <w:sz w:val="24"/>
          <w:szCs w:val="24"/>
        </w:rPr>
        <w:t xml:space="preserve">; </w:t>
      </w:r>
      <w:r w:rsidRPr="00311CC8">
        <w:rPr>
          <w:rFonts w:ascii="Garamond" w:hAnsi="Garamond"/>
          <w:sz w:val="24"/>
          <w:szCs w:val="24"/>
        </w:rPr>
        <w:t>the very idea of the social</w:t>
      </w:r>
      <w:r w:rsidR="008B360B">
        <w:rPr>
          <w:rFonts w:ascii="Garamond" w:hAnsi="Garamond"/>
          <w:sz w:val="24"/>
          <w:szCs w:val="24"/>
        </w:rPr>
        <w:t xml:space="preserve"> </w:t>
      </w:r>
      <w:r w:rsidRPr="00311CC8">
        <w:rPr>
          <w:rFonts w:ascii="Garamond" w:hAnsi="Garamond"/>
          <w:sz w:val="24"/>
          <w:szCs w:val="24"/>
        </w:rPr>
        <w:t>- the idea of where Home sits as responsibility of</w:t>
      </w:r>
      <w:r w:rsidR="00226729">
        <w:rPr>
          <w:rFonts w:ascii="Garamond" w:hAnsi="Garamond"/>
          <w:sz w:val="24"/>
          <w:szCs w:val="24"/>
        </w:rPr>
        <w:t xml:space="preserve"> and space for and by the polis, in Arendt’s terms; </w:t>
      </w:r>
      <w:r w:rsidRPr="00311CC8">
        <w:rPr>
          <w:rFonts w:ascii="Garamond" w:hAnsi="Garamond"/>
          <w:sz w:val="24"/>
          <w:szCs w:val="24"/>
        </w:rPr>
        <w:t>not to mention how we tell and account for home</w:t>
      </w:r>
      <w:r w:rsidR="008B360B">
        <w:rPr>
          <w:rFonts w:ascii="Garamond" w:hAnsi="Garamond"/>
          <w:sz w:val="24"/>
          <w:szCs w:val="24"/>
        </w:rPr>
        <w:t>,</w:t>
      </w:r>
      <w:r w:rsidR="00226729">
        <w:rPr>
          <w:rFonts w:ascii="Garamond" w:hAnsi="Garamond"/>
          <w:sz w:val="24"/>
          <w:szCs w:val="24"/>
        </w:rPr>
        <w:t xml:space="preserve"> and its pasts.</w:t>
      </w:r>
    </w:p>
    <w:p w:rsidR="00311CC8" w:rsidRPr="00311CC8" w:rsidRDefault="00226729" w:rsidP="00311CC8">
      <w:pPr>
        <w:rPr>
          <w:rFonts w:ascii="Garamond" w:hAnsi="Garamond"/>
          <w:sz w:val="24"/>
          <w:szCs w:val="24"/>
        </w:rPr>
      </w:pPr>
      <w:r>
        <w:rPr>
          <w:rFonts w:ascii="Garamond" w:hAnsi="Garamond"/>
          <w:sz w:val="24"/>
          <w:szCs w:val="24"/>
        </w:rPr>
        <w:t xml:space="preserve">Instead, I just </w:t>
      </w:r>
      <w:r w:rsidR="00311CC8" w:rsidRPr="00311CC8">
        <w:rPr>
          <w:rFonts w:ascii="Garamond" w:hAnsi="Garamond"/>
          <w:sz w:val="24"/>
          <w:szCs w:val="24"/>
        </w:rPr>
        <w:t>wanted to draw two interrelated things out of how these papers speak together, and what they offer to feminist jurisprudence</w:t>
      </w:r>
      <w:r>
        <w:rPr>
          <w:rFonts w:ascii="Garamond" w:hAnsi="Garamond"/>
          <w:sz w:val="24"/>
          <w:szCs w:val="24"/>
        </w:rPr>
        <w:t>.</w:t>
      </w:r>
    </w:p>
    <w:p w:rsidR="00311CC8" w:rsidRPr="00311CC8" w:rsidRDefault="008B360B" w:rsidP="00311CC8">
      <w:pPr>
        <w:rPr>
          <w:rFonts w:ascii="Garamond" w:hAnsi="Garamond"/>
          <w:sz w:val="24"/>
          <w:szCs w:val="24"/>
        </w:rPr>
      </w:pPr>
      <w:r>
        <w:rPr>
          <w:rFonts w:ascii="Garamond" w:hAnsi="Garamond"/>
          <w:sz w:val="24"/>
          <w:szCs w:val="24"/>
        </w:rPr>
        <w:t>The first is they show us</w:t>
      </w:r>
      <w:r w:rsidR="00311CC8" w:rsidRPr="00311CC8">
        <w:rPr>
          <w:rFonts w:ascii="Garamond" w:hAnsi="Garamond"/>
          <w:sz w:val="24"/>
          <w:szCs w:val="24"/>
        </w:rPr>
        <w:t xml:space="preserve"> what work feminists in</w:t>
      </w:r>
      <w:r w:rsidR="00226729">
        <w:rPr>
          <w:rFonts w:ascii="Garamond" w:hAnsi="Garamond"/>
          <w:sz w:val="24"/>
          <w:szCs w:val="24"/>
        </w:rPr>
        <w:t xml:space="preserve"> and at law have done, and do, </w:t>
      </w:r>
      <w:r w:rsidR="00311CC8" w:rsidRPr="00311CC8">
        <w:rPr>
          <w:rFonts w:ascii="Garamond" w:hAnsi="Garamond"/>
          <w:sz w:val="24"/>
          <w:szCs w:val="24"/>
        </w:rPr>
        <w:t>to complicate and think with, the effect and affect of</w:t>
      </w:r>
      <w:r>
        <w:rPr>
          <w:rFonts w:ascii="Garamond" w:hAnsi="Garamond"/>
          <w:sz w:val="24"/>
          <w:szCs w:val="24"/>
        </w:rPr>
        <w:t xml:space="preserve"> binaries:  home/homelessness, </w:t>
      </w:r>
      <w:r w:rsidR="00311CC8" w:rsidRPr="00311CC8">
        <w:rPr>
          <w:rFonts w:ascii="Garamond" w:hAnsi="Garamond"/>
          <w:sz w:val="24"/>
          <w:szCs w:val="24"/>
        </w:rPr>
        <w:t>th</w:t>
      </w:r>
      <w:r>
        <w:rPr>
          <w:rFonts w:ascii="Garamond" w:hAnsi="Garamond"/>
          <w:sz w:val="24"/>
          <w:szCs w:val="24"/>
        </w:rPr>
        <w:t>e house/housing, public/private</w:t>
      </w:r>
      <w:r w:rsidR="00311CC8" w:rsidRPr="00311CC8">
        <w:rPr>
          <w:rFonts w:ascii="Garamond" w:hAnsi="Garamond"/>
          <w:sz w:val="24"/>
          <w:szCs w:val="24"/>
        </w:rPr>
        <w:t>, sa</w:t>
      </w:r>
      <w:r w:rsidR="00226729">
        <w:rPr>
          <w:rFonts w:ascii="Garamond" w:hAnsi="Garamond"/>
          <w:sz w:val="24"/>
          <w:szCs w:val="24"/>
        </w:rPr>
        <w:t xml:space="preserve">fety/violence, </w:t>
      </w:r>
      <w:proofErr w:type="gramStart"/>
      <w:r w:rsidR="00226729">
        <w:rPr>
          <w:rFonts w:ascii="Garamond" w:hAnsi="Garamond"/>
          <w:sz w:val="24"/>
          <w:szCs w:val="24"/>
        </w:rPr>
        <w:t>state</w:t>
      </w:r>
      <w:proofErr w:type="gramEnd"/>
      <w:r w:rsidR="00226729">
        <w:rPr>
          <w:rFonts w:ascii="Garamond" w:hAnsi="Garamond"/>
          <w:sz w:val="24"/>
          <w:szCs w:val="24"/>
        </w:rPr>
        <w:t>/land. All three</w:t>
      </w:r>
      <w:r>
        <w:rPr>
          <w:rFonts w:ascii="Garamond" w:hAnsi="Garamond"/>
          <w:sz w:val="24"/>
          <w:szCs w:val="24"/>
        </w:rPr>
        <w:t xml:space="preserve"> papers remind</w:t>
      </w:r>
      <w:r w:rsidR="00311CC8" w:rsidRPr="00311CC8">
        <w:rPr>
          <w:rFonts w:ascii="Garamond" w:hAnsi="Garamond"/>
          <w:sz w:val="24"/>
          <w:szCs w:val="24"/>
        </w:rPr>
        <w:t xml:space="preserve"> us that an important aspect of feminist attention to these binari</w:t>
      </w:r>
      <w:r w:rsidR="00226729">
        <w:rPr>
          <w:rFonts w:ascii="Garamond" w:hAnsi="Garamond"/>
          <w:sz w:val="24"/>
          <w:szCs w:val="24"/>
        </w:rPr>
        <w:t xml:space="preserve">es is </w:t>
      </w:r>
      <w:r w:rsidR="00233B55">
        <w:rPr>
          <w:rFonts w:ascii="Garamond" w:hAnsi="Garamond"/>
          <w:sz w:val="24"/>
          <w:szCs w:val="24"/>
        </w:rPr>
        <w:t xml:space="preserve">to </w:t>
      </w:r>
      <w:r w:rsidR="00226729">
        <w:rPr>
          <w:rFonts w:ascii="Garamond" w:hAnsi="Garamond"/>
          <w:sz w:val="24"/>
          <w:szCs w:val="24"/>
        </w:rPr>
        <w:t xml:space="preserve">show how law </w:t>
      </w:r>
      <w:proofErr w:type="spellStart"/>
      <w:r w:rsidR="00226729">
        <w:rPr>
          <w:rFonts w:ascii="Garamond" w:hAnsi="Garamond"/>
          <w:sz w:val="24"/>
          <w:szCs w:val="24"/>
        </w:rPr>
        <w:t>operation</w:t>
      </w:r>
      <w:r>
        <w:rPr>
          <w:rFonts w:ascii="Garamond" w:hAnsi="Garamond"/>
          <w:sz w:val="24"/>
          <w:szCs w:val="24"/>
        </w:rPr>
        <w:t>alizes</w:t>
      </w:r>
      <w:proofErr w:type="spellEnd"/>
      <w:r>
        <w:rPr>
          <w:rFonts w:ascii="Garamond" w:hAnsi="Garamond"/>
          <w:sz w:val="24"/>
          <w:szCs w:val="24"/>
        </w:rPr>
        <w:t>, authorize</w:t>
      </w:r>
      <w:r w:rsidR="00233B55">
        <w:rPr>
          <w:rFonts w:ascii="Garamond" w:hAnsi="Garamond"/>
          <w:sz w:val="24"/>
          <w:szCs w:val="24"/>
        </w:rPr>
        <w:t>s and sanctions the medi</w:t>
      </w:r>
      <w:r w:rsidR="00311CC8" w:rsidRPr="00311CC8">
        <w:rPr>
          <w:rFonts w:ascii="Garamond" w:hAnsi="Garamond"/>
          <w:sz w:val="24"/>
          <w:szCs w:val="24"/>
        </w:rPr>
        <w:t>ation between institution and exper</w:t>
      </w:r>
      <w:r w:rsidR="00226729">
        <w:rPr>
          <w:rFonts w:ascii="Garamond" w:hAnsi="Garamond"/>
          <w:sz w:val="24"/>
          <w:szCs w:val="24"/>
        </w:rPr>
        <w:t xml:space="preserve">iences of living with law. All three show us </w:t>
      </w:r>
      <w:r w:rsidR="00311CC8" w:rsidRPr="00311CC8">
        <w:rPr>
          <w:rFonts w:ascii="Garamond" w:hAnsi="Garamond"/>
          <w:sz w:val="24"/>
          <w:szCs w:val="24"/>
        </w:rPr>
        <w:t>this has profound effects for woman, that require historical, as well as ontological and epistemological consideration in our own time and places: vario</w:t>
      </w:r>
      <w:r>
        <w:rPr>
          <w:rFonts w:ascii="Garamond" w:hAnsi="Garamond"/>
          <w:sz w:val="24"/>
          <w:szCs w:val="24"/>
        </w:rPr>
        <w:t>usly oriented to describing or re-authoriz</w:t>
      </w:r>
      <w:r w:rsidR="00311CC8" w:rsidRPr="00311CC8">
        <w:rPr>
          <w:rFonts w:ascii="Garamond" w:hAnsi="Garamond"/>
          <w:sz w:val="24"/>
          <w:szCs w:val="24"/>
        </w:rPr>
        <w:t xml:space="preserve">ing an imagined space </w:t>
      </w:r>
      <w:r>
        <w:rPr>
          <w:rFonts w:ascii="Garamond" w:hAnsi="Garamond"/>
          <w:sz w:val="24"/>
          <w:szCs w:val="24"/>
        </w:rPr>
        <w:t>to live at the Spa Green estate</w:t>
      </w:r>
      <w:r w:rsidR="00311CC8" w:rsidRPr="00311CC8">
        <w:rPr>
          <w:rFonts w:ascii="Garamond" w:hAnsi="Garamond"/>
          <w:sz w:val="24"/>
          <w:szCs w:val="24"/>
        </w:rPr>
        <w:t>, or the con</w:t>
      </w:r>
      <w:r>
        <w:rPr>
          <w:rFonts w:ascii="Garamond" w:hAnsi="Garamond"/>
          <w:sz w:val="24"/>
          <w:szCs w:val="24"/>
        </w:rPr>
        <w:t>stitutional</w:t>
      </w:r>
      <w:r w:rsidR="00311CC8" w:rsidRPr="00311CC8">
        <w:rPr>
          <w:rFonts w:ascii="Garamond" w:hAnsi="Garamond"/>
          <w:sz w:val="24"/>
          <w:szCs w:val="24"/>
        </w:rPr>
        <w:t xml:space="preserve"> referenda in Australia (or </w:t>
      </w:r>
      <w:proofErr w:type="spellStart"/>
      <w:r w:rsidR="00233B55">
        <w:rPr>
          <w:rFonts w:ascii="Garamond" w:hAnsi="Garamond"/>
          <w:i/>
          <w:sz w:val="24"/>
          <w:szCs w:val="24"/>
        </w:rPr>
        <w:t>folkhe</w:t>
      </w:r>
      <w:r w:rsidR="00311CC8" w:rsidRPr="00226729">
        <w:rPr>
          <w:rFonts w:ascii="Garamond" w:hAnsi="Garamond"/>
          <w:i/>
          <w:sz w:val="24"/>
          <w:szCs w:val="24"/>
        </w:rPr>
        <w:t>m</w:t>
      </w:r>
      <w:proofErr w:type="spellEnd"/>
      <w:r w:rsidR="00311CC8" w:rsidRPr="00311CC8">
        <w:rPr>
          <w:rFonts w:ascii="Garamond" w:hAnsi="Garamond"/>
          <w:sz w:val="24"/>
          <w:szCs w:val="24"/>
        </w:rPr>
        <w:t>), or through the legislative and admin</w:t>
      </w:r>
      <w:r>
        <w:rPr>
          <w:rFonts w:ascii="Garamond" w:hAnsi="Garamond"/>
          <w:sz w:val="24"/>
          <w:szCs w:val="24"/>
        </w:rPr>
        <w:t>istrative</w:t>
      </w:r>
      <w:r w:rsidR="00311CC8" w:rsidRPr="00311CC8">
        <w:rPr>
          <w:rFonts w:ascii="Garamond" w:hAnsi="Garamond"/>
          <w:sz w:val="24"/>
          <w:szCs w:val="24"/>
        </w:rPr>
        <w:t xml:space="preserve"> </w:t>
      </w:r>
      <w:r>
        <w:rPr>
          <w:rFonts w:ascii="Garamond" w:hAnsi="Garamond"/>
          <w:sz w:val="24"/>
          <w:szCs w:val="24"/>
        </w:rPr>
        <w:t>practices of the Local A</w:t>
      </w:r>
      <w:r w:rsidR="00311CC8" w:rsidRPr="00311CC8">
        <w:rPr>
          <w:rFonts w:ascii="Garamond" w:hAnsi="Garamond"/>
          <w:sz w:val="24"/>
          <w:szCs w:val="24"/>
        </w:rPr>
        <w:t>uthorities attending to women’s homelessness in contemporary London.</w:t>
      </w:r>
    </w:p>
    <w:p w:rsidR="00311CC8" w:rsidRPr="00311CC8" w:rsidRDefault="00311CC8" w:rsidP="00311CC8">
      <w:pPr>
        <w:rPr>
          <w:rFonts w:ascii="Garamond" w:hAnsi="Garamond"/>
          <w:sz w:val="24"/>
          <w:szCs w:val="24"/>
        </w:rPr>
      </w:pPr>
      <w:r w:rsidRPr="00311CC8">
        <w:rPr>
          <w:rFonts w:ascii="Garamond" w:hAnsi="Garamond"/>
          <w:sz w:val="24"/>
          <w:szCs w:val="24"/>
        </w:rPr>
        <w:t>Importantly</w:t>
      </w:r>
      <w:r w:rsidR="008B360B">
        <w:rPr>
          <w:rFonts w:ascii="Garamond" w:hAnsi="Garamond"/>
          <w:sz w:val="24"/>
          <w:szCs w:val="24"/>
        </w:rPr>
        <w:t>,</w:t>
      </w:r>
      <w:r w:rsidRPr="00311CC8">
        <w:rPr>
          <w:rFonts w:ascii="Garamond" w:hAnsi="Garamond"/>
          <w:sz w:val="24"/>
          <w:szCs w:val="24"/>
        </w:rPr>
        <w:t xml:space="preserve"> in offering us doctrinal and jurisprudential and historical ins</w:t>
      </w:r>
      <w:r w:rsidR="00226729">
        <w:rPr>
          <w:rFonts w:ascii="Garamond" w:hAnsi="Garamond"/>
          <w:sz w:val="24"/>
          <w:szCs w:val="24"/>
        </w:rPr>
        <w:t>ights into how home works, all three</w:t>
      </w:r>
      <w:r w:rsidRPr="00311CC8">
        <w:rPr>
          <w:rFonts w:ascii="Garamond" w:hAnsi="Garamond"/>
          <w:sz w:val="24"/>
          <w:szCs w:val="24"/>
        </w:rPr>
        <w:t xml:space="preserve"> papers also describe, and let us observe</w:t>
      </w:r>
      <w:r w:rsidR="008B360B">
        <w:rPr>
          <w:rFonts w:ascii="Garamond" w:hAnsi="Garamond"/>
          <w:sz w:val="24"/>
          <w:szCs w:val="24"/>
        </w:rPr>
        <w:t>,</w:t>
      </w:r>
      <w:r w:rsidRPr="00311CC8">
        <w:rPr>
          <w:rFonts w:ascii="Garamond" w:hAnsi="Garamond"/>
          <w:sz w:val="24"/>
          <w:szCs w:val="24"/>
        </w:rPr>
        <w:t xml:space="preserve"> that part of that project for feminism</w:t>
      </w:r>
      <w:r w:rsidR="008B360B">
        <w:rPr>
          <w:rFonts w:ascii="Garamond" w:hAnsi="Garamond"/>
          <w:sz w:val="24"/>
          <w:szCs w:val="24"/>
        </w:rPr>
        <w:t xml:space="preserve"> - politically</w:t>
      </w:r>
      <w:r w:rsidRPr="00311CC8">
        <w:rPr>
          <w:rFonts w:ascii="Garamond" w:hAnsi="Garamond"/>
          <w:sz w:val="24"/>
          <w:szCs w:val="24"/>
        </w:rPr>
        <w:t xml:space="preserve"> and intellectually</w:t>
      </w:r>
      <w:r w:rsidR="008B360B">
        <w:rPr>
          <w:rFonts w:ascii="Garamond" w:hAnsi="Garamond"/>
          <w:sz w:val="24"/>
          <w:szCs w:val="24"/>
        </w:rPr>
        <w:t xml:space="preserve"> </w:t>
      </w:r>
      <w:r w:rsidRPr="00311CC8">
        <w:rPr>
          <w:rFonts w:ascii="Garamond" w:hAnsi="Garamond"/>
          <w:sz w:val="24"/>
          <w:szCs w:val="24"/>
        </w:rPr>
        <w:t>- is to show there is, and always has been, ambivalence and disagreement, tens</w:t>
      </w:r>
      <w:r w:rsidR="008B360B">
        <w:rPr>
          <w:rFonts w:ascii="Garamond" w:hAnsi="Garamond"/>
          <w:sz w:val="24"/>
          <w:szCs w:val="24"/>
        </w:rPr>
        <w:t>ions and ambiguity, in how home</w:t>
      </w:r>
      <w:r w:rsidRPr="00311CC8">
        <w:rPr>
          <w:rFonts w:ascii="Garamond" w:hAnsi="Garamond"/>
          <w:sz w:val="24"/>
          <w:szCs w:val="24"/>
        </w:rPr>
        <w:t xml:space="preserve"> (or its corollaries, the private sphere, work, care, domestic status, and condition) operate for women. This is also a constant theme, practice and intent of the history of feminism itself. It is important then to see that in each paper, how the speakers </w:t>
      </w:r>
      <w:r w:rsidR="008B360B">
        <w:rPr>
          <w:rFonts w:ascii="Garamond" w:hAnsi="Garamond"/>
          <w:sz w:val="24"/>
          <w:szCs w:val="24"/>
        </w:rPr>
        <w:t>interpret and think about their</w:t>
      </w:r>
      <w:r w:rsidRPr="00311CC8">
        <w:rPr>
          <w:rFonts w:ascii="Garamond" w:hAnsi="Garamond"/>
          <w:sz w:val="24"/>
          <w:szCs w:val="24"/>
        </w:rPr>
        <w:t xml:space="preserve"> archive, and to listen to the conver</w:t>
      </w:r>
      <w:r w:rsidR="008B360B">
        <w:rPr>
          <w:rFonts w:ascii="Garamond" w:hAnsi="Garamond"/>
          <w:sz w:val="24"/>
          <w:szCs w:val="24"/>
        </w:rPr>
        <w:t xml:space="preserve">sation between these archives, </w:t>
      </w:r>
      <w:r w:rsidRPr="00311CC8">
        <w:rPr>
          <w:rFonts w:ascii="Garamond" w:hAnsi="Garamond"/>
          <w:sz w:val="24"/>
          <w:szCs w:val="24"/>
        </w:rPr>
        <w:t>opens up different considerations of what home might carry in our present desire to make sense of the presence of the state and law in our immediate lives and our institutional recognitions. For example: the consideration by M</w:t>
      </w:r>
      <w:r w:rsidR="008B360B">
        <w:rPr>
          <w:rFonts w:ascii="Garamond" w:hAnsi="Garamond"/>
          <w:sz w:val="24"/>
          <w:szCs w:val="24"/>
        </w:rPr>
        <w:t xml:space="preserve">argaret </w:t>
      </w:r>
      <w:r w:rsidRPr="00311CC8">
        <w:rPr>
          <w:rFonts w:ascii="Garamond" w:hAnsi="Garamond"/>
          <w:sz w:val="24"/>
          <w:szCs w:val="24"/>
        </w:rPr>
        <w:t>D</w:t>
      </w:r>
      <w:r w:rsidR="008B360B">
        <w:rPr>
          <w:rFonts w:ascii="Garamond" w:hAnsi="Garamond"/>
          <w:sz w:val="24"/>
          <w:szCs w:val="24"/>
        </w:rPr>
        <w:t>avies</w:t>
      </w:r>
      <w:r w:rsidRPr="00311CC8">
        <w:rPr>
          <w:rFonts w:ascii="Garamond" w:hAnsi="Garamond"/>
          <w:sz w:val="24"/>
          <w:szCs w:val="24"/>
        </w:rPr>
        <w:t xml:space="preserve"> of the problematic of identity politics and theory</w:t>
      </w:r>
      <w:r w:rsidR="008B360B">
        <w:rPr>
          <w:rFonts w:ascii="Garamond" w:hAnsi="Garamond"/>
          <w:sz w:val="24"/>
          <w:szCs w:val="24"/>
        </w:rPr>
        <w:t xml:space="preserve"> </w:t>
      </w:r>
      <w:r w:rsidRPr="00311CC8">
        <w:rPr>
          <w:rFonts w:ascii="Garamond" w:hAnsi="Garamond"/>
          <w:sz w:val="24"/>
          <w:szCs w:val="24"/>
        </w:rPr>
        <w:t>- the desire for dislocation, identifi</w:t>
      </w:r>
      <w:r w:rsidR="008B360B">
        <w:rPr>
          <w:rFonts w:ascii="Garamond" w:hAnsi="Garamond"/>
          <w:sz w:val="24"/>
          <w:szCs w:val="24"/>
        </w:rPr>
        <w:t xml:space="preserve">ed by De </w:t>
      </w:r>
      <w:proofErr w:type="spellStart"/>
      <w:r w:rsidR="008B360B">
        <w:rPr>
          <w:rFonts w:ascii="Garamond" w:hAnsi="Garamond"/>
          <w:sz w:val="24"/>
          <w:szCs w:val="24"/>
        </w:rPr>
        <w:t>Lauretis</w:t>
      </w:r>
      <w:proofErr w:type="spellEnd"/>
      <w:r w:rsidR="008B360B">
        <w:rPr>
          <w:rFonts w:ascii="Garamond" w:hAnsi="Garamond"/>
          <w:sz w:val="24"/>
          <w:szCs w:val="24"/>
        </w:rPr>
        <w:t xml:space="preserve"> and </w:t>
      </w:r>
      <w:proofErr w:type="spellStart"/>
      <w:r w:rsidR="008B360B">
        <w:rPr>
          <w:rFonts w:ascii="Garamond" w:hAnsi="Garamond"/>
          <w:sz w:val="24"/>
          <w:szCs w:val="24"/>
        </w:rPr>
        <w:t>Braidotti</w:t>
      </w:r>
      <w:proofErr w:type="spellEnd"/>
      <w:r w:rsidRPr="00311CC8">
        <w:rPr>
          <w:rFonts w:ascii="Garamond" w:hAnsi="Garamond"/>
          <w:sz w:val="24"/>
          <w:szCs w:val="24"/>
        </w:rPr>
        <w:t xml:space="preserve">, that women need to epistemologically leave home to realize ourselves, is placed into relation with observations about the changing </w:t>
      </w:r>
      <w:proofErr w:type="spellStart"/>
      <w:r w:rsidRPr="00311CC8">
        <w:rPr>
          <w:rFonts w:ascii="Garamond" w:hAnsi="Garamond"/>
          <w:sz w:val="24"/>
          <w:szCs w:val="24"/>
        </w:rPr>
        <w:t>materialities</w:t>
      </w:r>
      <w:proofErr w:type="spellEnd"/>
      <w:r w:rsidRPr="00311CC8">
        <w:rPr>
          <w:rFonts w:ascii="Garamond" w:hAnsi="Garamond"/>
          <w:sz w:val="24"/>
          <w:szCs w:val="24"/>
        </w:rPr>
        <w:t xml:space="preserve"> of subjects</w:t>
      </w:r>
      <w:r w:rsidR="008B360B">
        <w:rPr>
          <w:rFonts w:ascii="Garamond" w:hAnsi="Garamond"/>
          <w:sz w:val="24"/>
          <w:szCs w:val="24"/>
        </w:rPr>
        <w:t xml:space="preserve">, and the counter pull of </w:t>
      </w:r>
      <w:proofErr w:type="spellStart"/>
      <w:r w:rsidR="008B360B">
        <w:rPr>
          <w:rFonts w:ascii="Garamond" w:hAnsi="Garamond"/>
          <w:sz w:val="24"/>
          <w:szCs w:val="24"/>
        </w:rPr>
        <w:t>ground</w:t>
      </w:r>
      <w:r w:rsidRPr="00311CC8">
        <w:rPr>
          <w:rFonts w:ascii="Garamond" w:hAnsi="Garamond"/>
          <w:sz w:val="24"/>
          <w:szCs w:val="24"/>
        </w:rPr>
        <w:t>edn</w:t>
      </w:r>
      <w:r w:rsidR="008B360B">
        <w:rPr>
          <w:rFonts w:ascii="Garamond" w:hAnsi="Garamond"/>
          <w:sz w:val="24"/>
          <w:szCs w:val="24"/>
        </w:rPr>
        <w:t>ess</w:t>
      </w:r>
      <w:proofErr w:type="spellEnd"/>
      <w:r w:rsidRPr="00311CC8">
        <w:rPr>
          <w:rFonts w:ascii="Garamond" w:hAnsi="Garamond"/>
          <w:sz w:val="24"/>
          <w:szCs w:val="24"/>
        </w:rPr>
        <w:t>. As M</w:t>
      </w:r>
      <w:r w:rsidR="008B360B">
        <w:rPr>
          <w:rFonts w:ascii="Garamond" w:hAnsi="Garamond"/>
          <w:sz w:val="24"/>
          <w:szCs w:val="24"/>
        </w:rPr>
        <w:t xml:space="preserve">argaret </w:t>
      </w:r>
      <w:r w:rsidRPr="00311CC8">
        <w:rPr>
          <w:rFonts w:ascii="Garamond" w:hAnsi="Garamond"/>
          <w:sz w:val="24"/>
          <w:szCs w:val="24"/>
        </w:rPr>
        <w:t>D</w:t>
      </w:r>
      <w:r w:rsidR="008B360B">
        <w:rPr>
          <w:rFonts w:ascii="Garamond" w:hAnsi="Garamond"/>
          <w:sz w:val="24"/>
          <w:szCs w:val="24"/>
        </w:rPr>
        <w:t>avies</w:t>
      </w:r>
      <w:r w:rsidRPr="00311CC8">
        <w:rPr>
          <w:rFonts w:ascii="Garamond" w:hAnsi="Garamond"/>
          <w:sz w:val="24"/>
          <w:szCs w:val="24"/>
        </w:rPr>
        <w:t xml:space="preserve"> writes,</w:t>
      </w:r>
      <w:r w:rsidR="008B360B">
        <w:rPr>
          <w:rFonts w:ascii="Garamond" w:hAnsi="Garamond"/>
          <w:sz w:val="24"/>
          <w:szCs w:val="24"/>
        </w:rPr>
        <w:t xml:space="preserve"> since the late 1980s theory has strongly </w:t>
      </w:r>
      <w:proofErr w:type="spellStart"/>
      <w:r w:rsidR="008B360B">
        <w:rPr>
          <w:rFonts w:ascii="Garamond" w:hAnsi="Garamond"/>
          <w:sz w:val="24"/>
          <w:szCs w:val="24"/>
        </w:rPr>
        <w:t>valorized</w:t>
      </w:r>
      <w:proofErr w:type="spellEnd"/>
      <w:r w:rsidR="008B360B">
        <w:rPr>
          <w:rFonts w:ascii="Garamond" w:hAnsi="Garamond"/>
          <w:sz w:val="24"/>
          <w:szCs w:val="24"/>
        </w:rPr>
        <w:t xml:space="preserve"> and even romanticiz</w:t>
      </w:r>
      <w:r w:rsidRPr="00311CC8">
        <w:rPr>
          <w:rFonts w:ascii="Garamond" w:hAnsi="Garamond"/>
          <w:sz w:val="24"/>
          <w:szCs w:val="24"/>
        </w:rPr>
        <w:t xml:space="preserve">ed fluidity, flux, dynamism, </w:t>
      </w:r>
      <w:proofErr w:type="spellStart"/>
      <w:r w:rsidRPr="00311CC8">
        <w:rPr>
          <w:rFonts w:ascii="Garamond" w:hAnsi="Garamond"/>
          <w:sz w:val="24"/>
          <w:szCs w:val="24"/>
        </w:rPr>
        <w:t>diaspora</w:t>
      </w:r>
      <w:proofErr w:type="spellEnd"/>
      <w:r w:rsidRPr="00311CC8">
        <w:rPr>
          <w:rFonts w:ascii="Garamond" w:hAnsi="Garamond"/>
          <w:sz w:val="24"/>
          <w:szCs w:val="24"/>
        </w:rPr>
        <w:t xml:space="preserve"> and change: but often forgets, as </w:t>
      </w:r>
      <w:r w:rsidR="008B360B">
        <w:rPr>
          <w:rFonts w:ascii="Garamond" w:hAnsi="Garamond"/>
          <w:sz w:val="24"/>
          <w:szCs w:val="24"/>
        </w:rPr>
        <w:t>she</w:t>
      </w:r>
      <w:r w:rsidRPr="00311CC8">
        <w:rPr>
          <w:rFonts w:ascii="Garamond" w:hAnsi="Garamond"/>
          <w:sz w:val="24"/>
          <w:szCs w:val="24"/>
        </w:rPr>
        <w:t xml:space="preserve"> notes (and ref</w:t>
      </w:r>
      <w:r w:rsidR="008B360B">
        <w:rPr>
          <w:rFonts w:ascii="Garamond" w:hAnsi="Garamond"/>
          <w:sz w:val="24"/>
          <w:szCs w:val="24"/>
        </w:rPr>
        <w:t>er</w:t>
      </w:r>
      <w:r w:rsidRPr="00311CC8">
        <w:rPr>
          <w:rFonts w:ascii="Garamond" w:hAnsi="Garamond"/>
          <w:sz w:val="24"/>
          <w:szCs w:val="24"/>
        </w:rPr>
        <w:t>s to Sara Ahmed et al</w:t>
      </w:r>
      <w:r w:rsidR="008B360B">
        <w:rPr>
          <w:rFonts w:ascii="Garamond" w:hAnsi="Garamond"/>
          <w:sz w:val="24"/>
          <w:szCs w:val="24"/>
        </w:rPr>
        <w:t>.</w:t>
      </w:r>
      <w:r w:rsidRPr="00311CC8">
        <w:rPr>
          <w:rFonts w:ascii="Garamond" w:hAnsi="Garamond"/>
          <w:sz w:val="24"/>
          <w:szCs w:val="24"/>
        </w:rPr>
        <w:t>), ‘being grounded is not necessar</w:t>
      </w:r>
      <w:r w:rsidR="008B360B">
        <w:rPr>
          <w:rFonts w:ascii="Garamond" w:hAnsi="Garamond"/>
          <w:sz w:val="24"/>
          <w:szCs w:val="24"/>
        </w:rPr>
        <w:t>il</w:t>
      </w:r>
      <w:r w:rsidRPr="00311CC8">
        <w:rPr>
          <w:rFonts w:ascii="Garamond" w:hAnsi="Garamond"/>
          <w:sz w:val="24"/>
          <w:szCs w:val="24"/>
        </w:rPr>
        <w:t>y about being fixed: being mobile is not necessarily about being detached</w:t>
      </w:r>
      <w:r w:rsidR="008B360B">
        <w:rPr>
          <w:rFonts w:ascii="Garamond" w:hAnsi="Garamond"/>
          <w:sz w:val="24"/>
          <w:szCs w:val="24"/>
        </w:rPr>
        <w:t>’</w:t>
      </w:r>
      <w:r w:rsidRPr="00311CC8">
        <w:rPr>
          <w:rFonts w:ascii="Garamond" w:hAnsi="Garamond"/>
          <w:sz w:val="24"/>
          <w:szCs w:val="24"/>
        </w:rPr>
        <w:t xml:space="preserve">. </w:t>
      </w:r>
    </w:p>
    <w:p w:rsidR="00311CC8" w:rsidRPr="00311CC8" w:rsidRDefault="00311CC8" w:rsidP="00311CC8">
      <w:pPr>
        <w:rPr>
          <w:rFonts w:ascii="Garamond" w:hAnsi="Garamond"/>
          <w:sz w:val="24"/>
          <w:szCs w:val="24"/>
        </w:rPr>
      </w:pPr>
      <w:r w:rsidRPr="00311CC8">
        <w:rPr>
          <w:rFonts w:ascii="Garamond" w:hAnsi="Garamond"/>
          <w:sz w:val="24"/>
          <w:szCs w:val="24"/>
        </w:rPr>
        <w:lastRenderedPageBreak/>
        <w:t xml:space="preserve">This carries weight and meaning for Helen </w:t>
      </w:r>
      <w:r w:rsidR="008B360B">
        <w:rPr>
          <w:rFonts w:ascii="Garamond" w:hAnsi="Garamond"/>
          <w:sz w:val="24"/>
          <w:szCs w:val="24"/>
        </w:rPr>
        <w:t xml:space="preserve">Carr’s </w:t>
      </w:r>
      <w:r w:rsidRPr="00311CC8">
        <w:rPr>
          <w:rFonts w:ascii="Garamond" w:hAnsi="Garamond"/>
          <w:sz w:val="24"/>
          <w:szCs w:val="24"/>
        </w:rPr>
        <w:t>and Caroline</w:t>
      </w:r>
      <w:r w:rsidR="008B360B">
        <w:rPr>
          <w:rFonts w:ascii="Garamond" w:hAnsi="Garamond"/>
          <w:sz w:val="24"/>
          <w:szCs w:val="24"/>
        </w:rPr>
        <w:t xml:space="preserve"> Hunter</w:t>
      </w:r>
      <w:r w:rsidRPr="00311CC8">
        <w:rPr>
          <w:rFonts w:ascii="Garamond" w:hAnsi="Garamond"/>
          <w:sz w:val="24"/>
          <w:szCs w:val="24"/>
        </w:rPr>
        <w:t xml:space="preserve">’s papers in a different way: they offer salient </w:t>
      </w:r>
      <w:proofErr w:type="spellStart"/>
      <w:r w:rsidRPr="00311CC8">
        <w:rPr>
          <w:rFonts w:ascii="Garamond" w:hAnsi="Garamond"/>
          <w:sz w:val="24"/>
          <w:szCs w:val="24"/>
        </w:rPr>
        <w:t>redescriptions</w:t>
      </w:r>
      <w:proofErr w:type="spellEnd"/>
      <w:r w:rsidRPr="00311CC8">
        <w:rPr>
          <w:rFonts w:ascii="Garamond" w:hAnsi="Garamond"/>
          <w:sz w:val="24"/>
          <w:szCs w:val="24"/>
        </w:rPr>
        <w:t xml:space="preserve"> through the histories they tell of law’s present actions that the  project of feminism itself</w:t>
      </w:r>
      <w:r w:rsidR="008B360B">
        <w:rPr>
          <w:rFonts w:ascii="Garamond" w:hAnsi="Garamond"/>
          <w:sz w:val="24"/>
          <w:szCs w:val="24"/>
        </w:rPr>
        <w:t xml:space="preserve"> </w:t>
      </w:r>
      <w:r w:rsidRPr="00311CC8">
        <w:rPr>
          <w:rFonts w:ascii="Garamond" w:hAnsi="Garamond"/>
          <w:sz w:val="24"/>
          <w:szCs w:val="24"/>
        </w:rPr>
        <w:t>- its speaking of how women’s freedom and liberation, as well as protection and care</w:t>
      </w:r>
      <w:r w:rsidR="008B360B">
        <w:rPr>
          <w:rFonts w:ascii="Garamond" w:hAnsi="Garamond"/>
          <w:sz w:val="24"/>
          <w:szCs w:val="24"/>
        </w:rPr>
        <w:t xml:space="preserve">, </w:t>
      </w:r>
      <w:r w:rsidRPr="00311CC8">
        <w:rPr>
          <w:rFonts w:ascii="Garamond" w:hAnsi="Garamond"/>
          <w:sz w:val="24"/>
          <w:szCs w:val="24"/>
        </w:rPr>
        <w:t xml:space="preserve">happen inside and outside, because of and in spite of, the idealized </w:t>
      </w:r>
      <w:r w:rsidR="008B360B">
        <w:rPr>
          <w:rFonts w:ascii="Garamond" w:hAnsi="Garamond"/>
          <w:sz w:val="24"/>
          <w:szCs w:val="24"/>
        </w:rPr>
        <w:t xml:space="preserve">and actual place of ‘the home’ - is integral to the </w:t>
      </w:r>
      <w:r w:rsidRPr="00311CC8">
        <w:rPr>
          <w:rFonts w:ascii="Garamond" w:hAnsi="Garamond"/>
          <w:sz w:val="24"/>
          <w:szCs w:val="24"/>
        </w:rPr>
        <w:t>reordering by state and law of social housing and d</w:t>
      </w:r>
      <w:r w:rsidR="008B360B">
        <w:rPr>
          <w:rFonts w:ascii="Garamond" w:hAnsi="Garamond"/>
          <w:sz w:val="24"/>
          <w:szCs w:val="24"/>
        </w:rPr>
        <w:t xml:space="preserve">uties to the home-less, in our </w:t>
      </w:r>
      <w:r w:rsidRPr="00311CC8">
        <w:rPr>
          <w:rFonts w:ascii="Garamond" w:hAnsi="Garamond"/>
          <w:sz w:val="24"/>
          <w:szCs w:val="24"/>
        </w:rPr>
        <w:t>o</w:t>
      </w:r>
      <w:r w:rsidR="008B360B">
        <w:rPr>
          <w:rFonts w:ascii="Garamond" w:hAnsi="Garamond"/>
          <w:sz w:val="24"/>
          <w:szCs w:val="24"/>
        </w:rPr>
        <w:t>w</w:t>
      </w:r>
      <w:r w:rsidRPr="00311CC8">
        <w:rPr>
          <w:rFonts w:ascii="Garamond" w:hAnsi="Garamond"/>
          <w:sz w:val="24"/>
          <w:szCs w:val="24"/>
        </w:rPr>
        <w:t xml:space="preserve">n time. </w:t>
      </w:r>
    </w:p>
    <w:p w:rsidR="00311CC8" w:rsidRPr="00311CC8" w:rsidRDefault="00311CC8" w:rsidP="00311CC8">
      <w:pPr>
        <w:rPr>
          <w:rFonts w:ascii="Garamond" w:hAnsi="Garamond"/>
          <w:sz w:val="24"/>
          <w:szCs w:val="24"/>
        </w:rPr>
      </w:pPr>
      <w:r w:rsidRPr="00311CC8">
        <w:rPr>
          <w:rFonts w:ascii="Garamond" w:hAnsi="Garamond"/>
          <w:sz w:val="24"/>
          <w:szCs w:val="24"/>
        </w:rPr>
        <w:t>The second thing I want to draw out is how my friends and colle</w:t>
      </w:r>
      <w:r w:rsidR="008B360B">
        <w:rPr>
          <w:rFonts w:ascii="Garamond" w:hAnsi="Garamond"/>
          <w:sz w:val="24"/>
          <w:szCs w:val="24"/>
        </w:rPr>
        <w:t>ague do this. They not only ask</w:t>
      </w:r>
      <w:r w:rsidRPr="00311CC8">
        <w:rPr>
          <w:rFonts w:ascii="Garamond" w:hAnsi="Garamond"/>
          <w:sz w:val="24"/>
          <w:szCs w:val="24"/>
        </w:rPr>
        <w:t xml:space="preserve"> us to think about home conceptually and doctrinally as a lived experience of law, but in doing so, as Helen </w:t>
      </w:r>
      <w:r w:rsidR="003C04F7">
        <w:rPr>
          <w:rFonts w:ascii="Garamond" w:hAnsi="Garamond"/>
          <w:sz w:val="24"/>
          <w:szCs w:val="24"/>
        </w:rPr>
        <w:t xml:space="preserve">Carr </w:t>
      </w:r>
      <w:r w:rsidRPr="00311CC8">
        <w:rPr>
          <w:rFonts w:ascii="Garamond" w:hAnsi="Garamond"/>
          <w:sz w:val="24"/>
          <w:szCs w:val="24"/>
        </w:rPr>
        <w:t>says, they show a site and a way of acting with law that connects with the tradition of feminist praxis concerned with reimaging how we might live.</w:t>
      </w:r>
    </w:p>
    <w:p w:rsidR="00311CC8" w:rsidRPr="00311CC8" w:rsidRDefault="00311CC8" w:rsidP="00311CC8">
      <w:pPr>
        <w:rPr>
          <w:rFonts w:ascii="Garamond" w:hAnsi="Garamond"/>
          <w:sz w:val="24"/>
          <w:szCs w:val="24"/>
        </w:rPr>
      </w:pPr>
      <w:r w:rsidRPr="00311CC8">
        <w:rPr>
          <w:rFonts w:ascii="Garamond" w:hAnsi="Garamond"/>
          <w:sz w:val="24"/>
          <w:szCs w:val="24"/>
        </w:rPr>
        <w:t>In staging these papers as a conversation, then, what is so important to me, and what I am really pleased has been opened up, and hope we can discuss further, is the question of  how we might attend to home as a way of conducting p</w:t>
      </w:r>
      <w:r w:rsidR="003C04F7">
        <w:rPr>
          <w:rFonts w:ascii="Garamond" w:hAnsi="Garamond"/>
          <w:sz w:val="24"/>
          <w:szCs w:val="24"/>
        </w:rPr>
        <w:t>ractices of jurisprudence. All three</w:t>
      </w:r>
      <w:r w:rsidRPr="00311CC8">
        <w:rPr>
          <w:rFonts w:ascii="Garamond" w:hAnsi="Garamond"/>
          <w:sz w:val="24"/>
          <w:szCs w:val="24"/>
        </w:rPr>
        <w:t>, in different wa</w:t>
      </w:r>
      <w:r w:rsidR="003C04F7">
        <w:rPr>
          <w:rFonts w:ascii="Garamond" w:hAnsi="Garamond"/>
          <w:sz w:val="24"/>
          <w:szCs w:val="24"/>
        </w:rPr>
        <w:t>y</w:t>
      </w:r>
      <w:r w:rsidRPr="00311CC8">
        <w:rPr>
          <w:rFonts w:ascii="Garamond" w:hAnsi="Garamond"/>
          <w:sz w:val="24"/>
          <w:szCs w:val="24"/>
        </w:rPr>
        <w:t xml:space="preserve">s, show </w:t>
      </w:r>
      <w:r w:rsidR="003C04F7">
        <w:rPr>
          <w:rFonts w:ascii="Garamond" w:hAnsi="Garamond"/>
          <w:sz w:val="24"/>
          <w:szCs w:val="24"/>
        </w:rPr>
        <w:t>how we can potentially frame feminist legal theory</w:t>
      </w:r>
      <w:r w:rsidR="00233B55">
        <w:rPr>
          <w:rFonts w:ascii="Garamond" w:hAnsi="Garamond"/>
          <w:sz w:val="24"/>
          <w:szCs w:val="24"/>
        </w:rPr>
        <w:t xml:space="preserve">’s own home architecture </w:t>
      </w:r>
      <w:r w:rsidRPr="00311CC8">
        <w:rPr>
          <w:rFonts w:ascii="Garamond" w:hAnsi="Garamond"/>
          <w:sz w:val="24"/>
          <w:szCs w:val="24"/>
        </w:rPr>
        <w:t xml:space="preserve">to work through a set of problems that in the current episteme appear at an impasse, or at least in constant ambiguity </w:t>
      </w:r>
      <w:r w:rsidR="003C04F7">
        <w:rPr>
          <w:rFonts w:ascii="Garamond" w:hAnsi="Garamond"/>
          <w:sz w:val="24"/>
          <w:szCs w:val="24"/>
        </w:rPr>
        <w:t xml:space="preserve">or tension. These problems are - </w:t>
      </w:r>
      <w:r w:rsidR="00233B55">
        <w:rPr>
          <w:rFonts w:ascii="Garamond" w:hAnsi="Garamond"/>
          <w:sz w:val="24"/>
          <w:szCs w:val="24"/>
        </w:rPr>
        <w:t xml:space="preserve">as so eloquently </w:t>
      </w:r>
      <w:r w:rsidRPr="00311CC8">
        <w:rPr>
          <w:rFonts w:ascii="Garamond" w:hAnsi="Garamond"/>
          <w:sz w:val="24"/>
          <w:szCs w:val="24"/>
        </w:rPr>
        <w:t>argued</w:t>
      </w:r>
      <w:r w:rsidR="003C04F7">
        <w:rPr>
          <w:rFonts w:ascii="Garamond" w:hAnsi="Garamond"/>
          <w:sz w:val="24"/>
          <w:szCs w:val="24"/>
        </w:rPr>
        <w:t xml:space="preserve"> </w:t>
      </w:r>
      <w:r w:rsidRPr="00311CC8">
        <w:rPr>
          <w:rFonts w:ascii="Garamond" w:hAnsi="Garamond"/>
          <w:sz w:val="24"/>
          <w:szCs w:val="24"/>
        </w:rPr>
        <w:t xml:space="preserve">- to do with what the state continues to mean, and how we are </w:t>
      </w:r>
      <w:proofErr w:type="gramStart"/>
      <w:r w:rsidRPr="00311CC8">
        <w:rPr>
          <w:rFonts w:ascii="Garamond" w:hAnsi="Garamond"/>
          <w:sz w:val="24"/>
          <w:szCs w:val="24"/>
        </w:rPr>
        <w:t>to</w:t>
      </w:r>
      <w:proofErr w:type="gramEnd"/>
      <w:r w:rsidRPr="00311CC8">
        <w:rPr>
          <w:rFonts w:ascii="Garamond" w:hAnsi="Garamond"/>
          <w:sz w:val="24"/>
          <w:szCs w:val="24"/>
        </w:rPr>
        <w:t xml:space="preserve"> able to conduct ourselves r</w:t>
      </w:r>
      <w:r>
        <w:rPr>
          <w:rFonts w:ascii="Garamond" w:hAnsi="Garamond"/>
          <w:sz w:val="24"/>
          <w:szCs w:val="24"/>
        </w:rPr>
        <w:t>esponsibly as legal thinkers</w:t>
      </w:r>
      <w:r w:rsidR="003C04F7">
        <w:rPr>
          <w:rFonts w:ascii="Garamond" w:hAnsi="Garamond"/>
          <w:sz w:val="24"/>
          <w:szCs w:val="24"/>
        </w:rPr>
        <w:t xml:space="preserve"> </w:t>
      </w:r>
      <w:r>
        <w:rPr>
          <w:rFonts w:ascii="Garamond" w:hAnsi="Garamond"/>
          <w:sz w:val="24"/>
          <w:szCs w:val="24"/>
        </w:rPr>
        <w:t>- in and for and o</w:t>
      </w:r>
      <w:r w:rsidRPr="00311CC8">
        <w:rPr>
          <w:rFonts w:ascii="Garamond" w:hAnsi="Garamond"/>
          <w:sz w:val="24"/>
          <w:szCs w:val="24"/>
        </w:rPr>
        <w:t>f a place</w:t>
      </w:r>
      <w:r w:rsidR="003C04F7">
        <w:rPr>
          <w:rFonts w:ascii="Garamond" w:hAnsi="Garamond"/>
          <w:sz w:val="24"/>
          <w:szCs w:val="24"/>
        </w:rPr>
        <w:t xml:space="preserve"> - in relation to its limits. I</w:t>
      </w:r>
      <w:r w:rsidRPr="00311CC8">
        <w:rPr>
          <w:rFonts w:ascii="Garamond" w:hAnsi="Garamond"/>
          <w:sz w:val="24"/>
          <w:szCs w:val="24"/>
        </w:rPr>
        <w:t>t is the mode of address for this argument, its named and specific feminism, which it is important to emphasise: and to remember how it has assisted many s</w:t>
      </w:r>
      <w:r w:rsidR="00233B55">
        <w:rPr>
          <w:rFonts w:ascii="Garamond" w:hAnsi="Garamond"/>
          <w:sz w:val="24"/>
          <w:szCs w:val="24"/>
        </w:rPr>
        <w:t xml:space="preserve">cholars concerned in different </w:t>
      </w:r>
      <w:r w:rsidRPr="00311CC8">
        <w:rPr>
          <w:rFonts w:ascii="Garamond" w:hAnsi="Garamond"/>
          <w:sz w:val="24"/>
          <w:szCs w:val="24"/>
        </w:rPr>
        <w:t>ways with the politics and experience of subjects historically and legally excluded from the shape and theory of law and state of place. (In particular, as M</w:t>
      </w:r>
      <w:r w:rsidR="00226729">
        <w:rPr>
          <w:rFonts w:ascii="Garamond" w:hAnsi="Garamond"/>
          <w:sz w:val="24"/>
          <w:szCs w:val="24"/>
        </w:rPr>
        <w:t>argaret</w:t>
      </w:r>
      <w:bookmarkStart w:id="0" w:name="_GoBack"/>
      <w:bookmarkEnd w:id="0"/>
      <w:r w:rsidRPr="00311CC8">
        <w:rPr>
          <w:rFonts w:ascii="Garamond" w:hAnsi="Garamond"/>
          <w:sz w:val="24"/>
          <w:szCs w:val="24"/>
        </w:rPr>
        <w:t xml:space="preserve"> </w:t>
      </w:r>
      <w:r w:rsidR="003C04F7">
        <w:rPr>
          <w:rFonts w:ascii="Garamond" w:hAnsi="Garamond"/>
          <w:sz w:val="24"/>
          <w:szCs w:val="24"/>
        </w:rPr>
        <w:t xml:space="preserve">Davies </w:t>
      </w:r>
      <w:r w:rsidRPr="00311CC8">
        <w:rPr>
          <w:rFonts w:ascii="Garamond" w:hAnsi="Garamond"/>
          <w:sz w:val="24"/>
          <w:szCs w:val="24"/>
        </w:rPr>
        <w:t xml:space="preserve">notes in the second half of the </w:t>
      </w:r>
      <w:r>
        <w:rPr>
          <w:rFonts w:ascii="Garamond" w:hAnsi="Garamond"/>
          <w:sz w:val="24"/>
          <w:szCs w:val="24"/>
        </w:rPr>
        <w:t xml:space="preserve">written </w:t>
      </w:r>
      <w:r w:rsidRPr="00311CC8">
        <w:rPr>
          <w:rFonts w:ascii="Garamond" w:hAnsi="Garamond"/>
          <w:sz w:val="24"/>
          <w:szCs w:val="24"/>
        </w:rPr>
        <w:t xml:space="preserve">paper, in relation to Australia, Aboriginal people.) </w:t>
      </w:r>
    </w:p>
    <w:p w:rsidR="00311CC8" w:rsidRPr="00311CC8" w:rsidRDefault="00311CC8" w:rsidP="00311CC8">
      <w:pPr>
        <w:rPr>
          <w:rFonts w:ascii="Garamond" w:hAnsi="Garamond"/>
          <w:sz w:val="24"/>
          <w:szCs w:val="24"/>
        </w:rPr>
      </w:pPr>
      <w:r w:rsidRPr="00311CC8">
        <w:rPr>
          <w:rFonts w:ascii="Garamond" w:hAnsi="Garamond"/>
          <w:sz w:val="24"/>
          <w:szCs w:val="24"/>
        </w:rPr>
        <w:t>Through carefu</w:t>
      </w:r>
      <w:r w:rsidR="003C04F7">
        <w:rPr>
          <w:rFonts w:ascii="Garamond" w:hAnsi="Garamond"/>
          <w:sz w:val="24"/>
          <w:szCs w:val="24"/>
        </w:rPr>
        <w:t xml:space="preserve">l description, and observation, </w:t>
      </w:r>
      <w:r w:rsidRPr="00311CC8">
        <w:rPr>
          <w:rFonts w:ascii="Garamond" w:hAnsi="Garamond"/>
          <w:sz w:val="24"/>
          <w:szCs w:val="24"/>
        </w:rPr>
        <w:t xml:space="preserve">what the papers produce </w:t>
      </w:r>
      <w:r w:rsidR="00C92812">
        <w:rPr>
          <w:rFonts w:ascii="Garamond" w:hAnsi="Garamond"/>
          <w:sz w:val="24"/>
          <w:szCs w:val="24"/>
        </w:rPr>
        <w:t xml:space="preserve">then is a gentle reminder that </w:t>
      </w:r>
      <w:r w:rsidRPr="00311CC8">
        <w:rPr>
          <w:rFonts w:ascii="Garamond" w:hAnsi="Garamond"/>
          <w:sz w:val="24"/>
          <w:szCs w:val="24"/>
        </w:rPr>
        <w:t>the usual repertoire of theoretical or critical</w:t>
      </w:r>
      <w:r w:rsidR="00233B55">
        <w:rPr>
          <w:rFonts w:ascii="Garamond" w:hAnsi="Garamond"/>
          <w:sz w:val="24"/>
          <w:szCs w:val="24"/>
        </w:rPr>
        <w:t xml:space="preserve"> approaches to law, </w:t>
      </w:r>
      <w:r w:rsidRPr="00311CC8">
        <w:rPr>
          <w:rFonts w:ascii="Garamond" w:hAnsi="Garamond"/>
          <w:sz w:val="24"/>
          <w:szCs w:val="24"/>
        </w:rPr>
        <w:t xml:space="preserve">which are sometimes practiced or described in a disconnected or even agonistic way, are unable to address the problems of how we live and </w:t>
      </w:r>
      <w:proofErr w:type="spellStart"/>
      <w:r w:rsidRPr="00311CC8">
        <w:rPr>
          <w:rFonts w:ascii="Garamond" w:hAnsi="Garamond"/>
          <w:sz w:val="24"/>
          <w:szCs w:val="24"/>
        </w:rPr>
        <w:t>reimagine</w:t>
      </w:r>
      <w:proofErr w:type="spellEnd"/>
      <w:r w:rsidRPr="00311CC8">
        <w:rPr>
          <w:rFonts w:ascii="Garamond" w:hAnsi="Garamond"/>
          <w:sz w:val="24"/>
          <w:szCs w:val="24"/>
        </w:rPr>
        <w:t xml:space="preserve"> law in a multi-dimensioned</w:t>
      </w:r>
      <w:r w:rsidR="00C92812">
        <w:rPr>
          <w:rFonts w:ascii="Garamond" w:hAnsi="Garamond"/>
          <w:sz w:val="24"/>
          <w:szCs w:val="24"/>
        </w:rPr>
        <w:t xml:space="preserve"> way, that </w:t>
      </w:r>
      <w:r w:rsidRPr="00311CC8">
        <w:rPr>
          <w:rFonts w:ascii="Garamond" w:hAnsi="Garamond"/>
          <w:sz w:val="24"/>
          <w:szCs w:val="24"/>
        </w:rPr>
        <w:t>our own times insist upon</w:t>
      </w:r>
      <w:r w:rsidR="00C92812">
        <w:rPr>
          <w:rFonts w:ascii="Garamond" w:hAnsi="Garamond"/>
          <w:sz w:val="24"/>
          <w:szCs w:val="24"/>
        </w:rPr>
        <w:t>.</w:t>
      </w:r>
      <w:r w:rsidRPr="00311CC8">
        <w:rPr>
          <w:rFonts w:ascii="Garamond" w:hAnsi="Garamond"/>
          <w:sz w:val="24"/>
          <w:szCs w:val="24"/>
        </w:rPr>
        <w:t xml:space="preserve"> </w:t>
      </w:r>
    </w:p>
    <w:p w:rsidR="00311CC8" w:rsidRPr="00311CC8" w:rsidRDefault="00311CC8" w:rsidP="00311CC8">
      <w:pPr>
        <w:rPr>
          <w:rFonts w:ascii="Garamond" w:hAnsi="Garamond"/>
          <w:sz w:val="24"/>
          <w:szCs w:val="24"/>
        </w:rPr>
      </w:pPr>
      <w:r w:rsidRPr="00311CC8">
        <w:rPr>
          <w:rFonts w:ascii="Garamond" w:hAnsi="Garamond"/>
          <w:sz w:val="24"/>
          <w:szCs w:val="24"/>
        </w:rPr>
        <w:t xml:space="preserve">So these papers, in showing how feminist jurisprudence has </w:t>
      </w:r>
      <w:r>
        <w:rPr>
          <w:rFonts w:ascii="Garamond" w:hAnsi="Garamond"/>
          <w:sz w:val="24"/>
          <w:szCs w:val="24"/>
        </w:rPr>
        <w:t xml:space="preserve">encountered home, </w:t>
      </w:r>
      <w:r w:rsidRPr="00311CC8">
        <w:rPr>
          <w:rFonts w:ascii="Garamond" w:hAnsi="Garamond"/>
          <w:sz w:val="24"/>
          <w:szCs w:val="24"/>
        </w:rPr>
        <w:t xml:space="preserve">remind us to take stock, to pause, to note our own canon and its inferences and intents, its </w:t>
      </w:r>
      <w:r w:rsidR="003C04F7">
        <w:rPr>
          <w:rFonts w:ascii="Garamond" w:hAnsi="Garamond"/>
          <w:sz w:val="24"/>
          <w:szCs w:val="24"/>
        </w:rPr>
        <w:t>internal conversation and inter-</w:t>
      </w:r>
      <w:r w:rsidRPr="00311CC8">
        <w:rPr>
          <w:rFonts w:ascii="Garamond" w:hAnsi="Garamond"/>
          <w:sz w:val="24"/>
          <w:szCs w:val="24"/>
        </w:rPr>
        <w:t xml:space="preserve">relationships.  In so doing, there is an invitation here to reframe </w:t>
      </w:r>
      <w:r w:rsidR="003C04F7">
        <w:rPr>
          <w:rFonts w:ascii="Garamond" w:hAnsi="Garamond"/>
          <w:sz w:val="24"/>
          <w:szCs w:val="24"/>
        </w:rPr>
        <w:t>the constancy of public/private</w:t>
      </w:r>
      <w:r w:rsidRPr="00311CC8">
        <w:rPr>
          <w:rFonts w:ascii="Garamond" w:hAnsi="Garamond"/>
          <w:sz w:val="24"/>
          <w:szCs w:val="24"/>
        </w:rPr>
        <w:t>, experience/institution that exists in the po</w:t>
      </w:r>
      <w:r w:rsidR="00233B55">
        <w:rPr>
          <w:rFonts w:ascii="Garamond" w:hAnsi="Garamond"/>
          <w:sz w:val="24"/>
          <w:szCs w:val="24"/>
        </w:rPr>
        <w:t xml:space="preserve">litical and legal architecture </w:t>
      </w:r>
      <w:r w:rsidRPr="00311CC8">
        <w:rPr>
          <w:rFonts w:ascii="Garamond" w:hAnsi="Garamond"/>
          <w:sz w:val="24"/>
          <w:szCs w:val="24"/>
        </w:rPr>
        <w:t>of home for feminist and broader critical legal thinking,</w:t>
      </w:r>
      <w:r w:rsidR="003C04F7">
        <w:rPr>
          <w:rFonts w:ascii="Garamond" w:hAnsi="Garamond"/>
          <w:sz w:val="24"/>
          <w:szCs w:val="24"/>
        </w:rPr>
        <w:t xml:space="preserve"> </w:t>
      </w:r>
      <w:r w:rsidRPr="00311CC8">
        <w:rPr>
          <w:rFonts w:ascii="Garamond" w:hAnsi="Garamond"/>
          <w:sz w:val="24"/>
          <w:szCs w:val="24"/>
        </w:rPr>
        <w:t xml:space="preserve">and to observe its operation as a relational experience that brings these </w:t>
      </w:r>
      <w:proofErr w:type="gramStart"/>
      <w:r w:rsidRPr="00311CC8">
        <w:rPr>
          <w:rFonts w:ascii="Garamond" w:hAnsi="Garamond"/>
          <w:sz w:val="24"/>
          <w:szCs w:val="24"/>
        </w:rPr>
        <w:t>together  into</w:t>
      </w:r>
      <w:proofErr w:type="gramEnd"/>
      <w:r w:rsidRPr="00311CC8">
        <w:rPr>
          <w:rFonts w:ascii="Garamond" w:hAnsi="Garamond"/>
          <w:sz w:val="24"/>
          <w:szCs w:val="24"/>
        </w:rPr>
        <w:t xml:space="preserve"> a single, complex, consideration.</w:t>
      </w:r>
    </w:p>
    <w:p w:rsidR="00311CC8" w:rsidRPr="00311CC8" w:rsidRDefault="00311CC8" w:rsidP="00311CC8">
      <w:pPr>
        <w:rPr>
          <w:rFonts w:ascii="Garamond" w:hAnsi="Garamond"/>
          <w:sz w:val="24"/>
          <w:szCs w:val="24"/>
        </w:rPr>
      </w:pPr>
    </w:p>
    <w:p w:rsidR="008D17E4" w:rsidRPr="00311CC8" w:rsidRDefault="008D17E4">
      <w:pPr>
        <w:rPr>
          <w:sz w:val="24"/>
          <w:szCs w:val="24"/>
        </w:rPr>
      </w:pPr>
    </w:p>
    <w:sectPr w:rsidR="008D17E4" w:rsidRPr="00311CC8" w:rsidSect="00233B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F7" w:rsidRDefault="008A67F7" w:rsidP="008A67F7">
      <w:pPr>
        <w:spacing w:after="0" w:line="240" w:lineRule="auto"/>
      </w:pPr>
      <w:r>
        <w:separator/>
      </w:r>
    </w:p>
  </w:endnote>
  <w:endnote w:type="continuationSeparator" w:id="0">
    <w:p w:rsidR="008A67F7" w:rsidRDefault="008A67F7" w:rsidP="008A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B55" w:rsidRDefault="00233B55">
    <w:pPr>
      <w:pStyle w:val="Footer"/>
      <w:jc w:val="center"/>
    </w:pPr>
    <w:r>
      <w:t>______________________________________________________________________________________________________________</w:t>
    </w:r>
  </w:p>
  <w:p w:rsidR="00233B55" w:rsidRDefault="00233B55">
    <w:pPr>
      <w:pStyle w:val="Footer"/>
      <w:jc w:val="center"/>
    </w:pPr>
  </w:p>
  <w:p w:rsidR="00233B55" w:rsidRDefault="00233B55">
    <w:pPr>
      <w:pStyle w:val="Footer"/>
      <w:jc w:val="center"/>
    </w:pPr>
    <w:sdt>
      <w:sdtPr>
        <w:id w:val="10248802"/>
        <w:docPartObj>
          <w:docPartGallery w:val="Page Numbers (Bottom of Page)"/>
          <w:docPartUnique/>
        </w:docPartObj>
      </w:sdtPr>
      <w:sdtContent>
        <w:fldSimple w:instr=" PAGE   \* MERGEFORMAT ">
          <w:r>
            <w:rPr>
              <w:noProof/>
            </w:rPr>
            <w:t>2</w:t>
          </w:r>
        </w:fldSimple>
      </w:sdtContent>
    </w:sdt>
  </w:p>
  <w:p w:rsidR="00545483" w:rsidRDefault="00545483" w:rsidP="005454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B55" w:rsidRDefault="00233B55">
    <w:pPr>
      <w:pStyle w:val="Footer"/>
      <w:jc w:val="center"/>
    </w:pPr>
    <w:r>
      <w:t>______________________________________________________________________________________________________________</w:t>
    </w:r>
  </w:p>
  <w:p w:rsidR="00233B55" w:rsidRDefault="00233B55">
    <w:pPr>
      <w:pStyle w:val="Footer"/>
      <w:jc w:val="center"/>
    </w:pPr>
  </w:p>
  <w:p w:rsidR="00233B55" w:rsidRDefault="00233B55">
    <w:pPr>
      <w:pStyle w:val="Footer"/>
      <w:jc w:val="center"/>
    </w:pPr>
    <w:sdt>
      <w:sdtPr>
        <w:id w:val="10248682"/>
        <w:docPartObj>
          <w:docPartGallery w:val="Page Numbers (Bottom of Page)"/>
          <w:docPartUnique/>
        </w:docPartObj>
      </w:sdtPr>
      <w:sdtContent>
        <w:fldSimple w:instr=" PAGE   \* MERGEFORMAT ">
          <w:r>
            <w:rPr>
              <w:noProof/>
            </w:rPr>
            <w:t>1</w:t>
          </w:r>
        </w:fldSimple>
      </w:sdtContent>
    </w:sdt>
  </w:p>
  <w:p w:rsidR="00545483" w:rsidRDefault="00545483" w:rsidP="0054548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B55" w:rsidRDefault="00233B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F7" w:rsidRDefault="008A67F7" w:rsidP="008A67F7">
      <w:pPr>
        <w:spacing w:after="0" w:line="240" w:lineRule="auto"/>
      </w:pPr>
      <w:r>
        <w:separator/>
      </w:r>
    </w:p>
  </w:footnote>
  <w:footnote w:type="continuationSeparator" w:id="0">
    <w:p w:rsidR="008A67F7" w:rsidRDefault="008A67F7" w:rsidP="008A67F7">
      <w:pPr>
        <w:spacing w:after="0" w:line="240" w:lineRule="auto"/>
      </w:pPr>
      <w:r>
        <w:continuationSeparator/>
      </w:r>
    </w:p>
  </w:footnote>
  <w:footnote w:id="1">
    <w:p w:rsidR="00233B55" w:rsidRPr="00233B55" w:rsidRDefault="00233B55">
      <w:pPr>
        <w:pStyle w:val="FootnoteText"/>
        <w:rPr>
          <w:lang w:val="en-GB"/>
        </w:rPr>
      </w:pPr>
      <w:r>
        <w:rPr>
          <w:rStyle w:val="FootnoteReference"/>
        </w:rPr>
        <w:t>*</w:t>
      </w:r>
      <w:r>
        <w:t xml:space="preserve"> </w:t>
      </w:r>
      <w:proofErr w:type="gramStart"/>
      <w:r>
        <w:rPr>
          <w:lang w:val="en-GB"/>
        </w:rPr>
        <w:t>Senior Lecturer, Melbourne Law School, University of Melbourne, Australia.</w:t>
      </w:r>
      <w:proofErr w:type="gramEnd"/>
      <w:r>
        <w:rPr>
          <w:lang w:val="en-GB"/>
        </w:rPr>
        <w:t xml:space="preserve"> </w:t>
      </w:r>
      <w:hyperlink r:id="rId1" w:history="1">
        <w:r w:rsidRPr="00E603BB">
          <w:rPr>
            <w:rStyle w:val="Hyperlink"/>
            <w:lang w:val="en-GB"/>
          </w:rPr>
          <w:t>genovese@unimelb.edu.au</w:t>
        </w:r>
      </w:hyperlink>
      <w:r>
        <w:rPr>
          <w:lang w:val="en-G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B55" w:rsidRDefault="00233B55">
    <w:pPr>
      <w:pStyle w:val="Header"/>
    </w:pPr>
    <w:r>
      <w:t>Genovese</w:t>
    </w:r>
    <w:r>
      <w:tab/>
    </w:r>
    <w:r>
      <w:tab/>
      <w:t>Closing Remarks</w:t>
    </w:r>
  </w:p>
  <w:p w:rsidR="00233B55" w:rsidRDefault="00233B55">
    <w:pPr>
      <w:pStyle w:val="Header"/>
    </w:pPr>
    <w:r>
      <w:t>______________________________________________________________________________________________________________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B55" w:rsidRDefault="00233B55">
    <w:pPr>
      <w:pStyle w:val="Header"/>
    </w:pPr>
    <w:proofErr w:type="spellStart"/>
    <w:r>
      <w:rPr>
        <w:i/>
      </w:rPr>
      <w:t>feminists@law</w:t>
    </w:r>
    <w:proofErr w:type="spellEnd"/>
    <w:r>
      <w:tab/>
    </w:r>
    <w:r>
      <w:tab/>
      <w:t>Vol 3, No 2 (2013)</w:t>
    </w:r>
  </w:p>
  <w:p w:rsidR="00233B55" w:rsidRPr="00233B55" w:rsidRDefault="00233B55">
    <w:pPr>
      <w:pStyle w:val="Header"/>
    </w:pPr>
    <w:r>
      <w:t>______________________________________________________________________________________________________________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B55" w:rsidRDefault="00233B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701A3"/>
    <w:multiLevelType w:val="hybridMultilevel"/>
    <w:tmpl w:val="ED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11CC8"/>
    <w:rsid w:val="00226729"/>
    <w:rsid w:val="00233B55"/>
    <w:rsid w:val="00311CC8"/>
    <w:rsid w:val="003C04F7"/>
    <w:rsid w:val="00545483"/>
    <w:rsid w:val="00824AD6"/>
    <w:rsid w:val="008A67F7"/>
    <w:rsid w:val="008B360B"/>
    <w:rsid w:val="008D17E4"/>
    <w:rsid w:val="00C92812"/>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C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C8"/>
    <w:pPr>
      <w:spacing w:after="0" w:line="240" w:lineRule="auto"/>
      <w:ind w:left="720"/>
      <w:contextualSpacing/>
    </w:pPr>
    <w:rPr>
      <w:rFonts w:ascii="Times New Roman" w:eastAsiaTheme="minorEastAsia" w:hAnsi="Times New Roman" w:cs="Times New Roman"/>
      <w:sz w:val="24"/>
      <w:szCs w:val="24"/>
      <w:lang w:val="en-US"/>
    </w:rPr>
  </w:style>
  <w:style w:type="paragraph" w:styleId="Footer">
    <w:name w:val="footer"/>
    <w:basedOn w:val="Normal"/>
    <w:link w:val="FooterChar"/>
    <w:uiPriority w:val="99"/>
    <w:unhideWhenUsed/>
    <w:rsid w:val="00311C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1CC8"/>
    <w:rPr>
      <w:rFonts w:eastAsiaTheme="minorHAnsi"/>
      <w:sz w:val="22"/>
      <w:szCs w:val="22"/>
    </w:rPr>
  </w:style>
  <w:style w:type="character" w:styleId="PageNumber">
    <w:name w:val="page number"/>
    <w:basedOn w:val="DefaultParagraphFont"/>
    <w:uiPriority w:val="99"/>
    <w:semiHidden/>
    <w:unhideWhenUsed/>
    <w:rsid w:val="00311CC8"/>
  </w:style>
  <w:style w:type="paragraph" w:styleId="FootnoteText">
    <w:name w:val="footnote text"/>
    <w:basedOn w:val="Normal"/>
    <w:link w:val="FootnoteTextChar"/>
    <w:uiPriority w:val="99"/>
    <w:semiHidden/>
    <w:unhideWhenUsed/>
    <w:rsid w:val="00233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B55"/>
    <w:rPr>
      <w:rFonts w:eastAsiaTheme="minorHAnsi"/>
      <w:sz w:val="20"/>
      <w:szCs w:val="20"/>
    </w:rPr>
  </w:style>
  <w:style w:type="character" w:styleId="FootnoteReference">
    <w:name w:val="footnote reference"/>
    <w:basedOn w:val="DefaultParagraphFont"/>
    <w:uiPriority w:val="99"/>
    <w:semiHidden/>
    <w:unhideWhenUsed/>
    <w:rsid w:val="00233B55"/>
    <w:rPr>
      <w:vertAlign w:val="superscript"/>
    </w:rPr>
  </w:style>
  <w:style w:type="character" w:styleId="Hyperlink">
    <w:name w:val="Hyperlink"/>
    <w:basedOn w:val="DefaultParagraphFont"/>
    <w:uiPriority w:val="99"/>
    <w:unhideWhenUsed/>
    <w:rsid w:val="00233B55"/>
    <w:rPr>
      <w:color w:val="0000FF" w:themeColor="hyperlink"/>
      <w:u w:val="single"/>
    </w:rPr>
  </w:style>
  <w:style w:type="paragraph" w:styleId="Header">
    <w:name w:val="header"/>
    <w:basedOn w:val="Normal"/>
    <w:link w:val="HeaderChar"/>
    <w:uiPriority w:val="99"/>
    <w:semiHidden/>
    <w:unhideWhenUsed/>
    <w:rsid w:val="00233B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3B55"/>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C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C8"/>
    <w:pPr>
      <w:spacing w:after="0" w:line="240" w:lineRule="auto"/>
      <w:ind w:left="720"/>
      <w:contextualSpacing/>
    </w:pPr>
    <w:rPr>
      <w:rFonts w:ascii="Times New Roman" w:eastAsiaTheme="minorEastAsia" w:hAnsi="Times New Roman" w:cs="Times New Roman"/>
      <w:sz w:val="24"/>
      <w:szCs w:val="24"/>
      <w:lang w:val="en-US"/>
    </w:rPr>
  </w:style>
  <w:style w:type="paragraph" w:styleId="Footer">
    <w:name w:val="footer"/>
    <w:basedOn w:val="Normal"/>
    <w:link w:val="FooterChar"/>
    <w:uiPriority w:val="99"/>
    <w:unhideWhenUsed/>
    <w:rsid w:val="00311C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1CC8"/>
    <w:rPr>
      <w:rFonts w:eastAsiaTheme="minorHAnsi"/>
      <w:sz w:val="22"/>
      <w:szCs w:val="22"/>
    </w:rPr>
  </w:style>
  <w:style w:type="character" w:styleId="PageNumber">
    <w:name w:val="page number"/>
    <w:basedOn w:val="DefaultParagraphFont"/>
    <w:uiPriority w:val="99"/>
    <w:semiHidden/>
    <w:unhideWhenUsed/>
    <w:rsid w:val="00311CC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genovese@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F7945-2B67-4EF9-8CE6-FB85FF96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Genovese</dc:creator>
  <cp:lastModifiedBy>KLS Staff</cp:lastModifiedBy>
  <cp:revision>5</cp:revision>
  <dcterms:created xsi:type="dcterms:W3CDTF">2013-11-04T09:16:00Z</dcterms:created>
  <dcterms:modified xsi:type="dcterms:W3CDTF">2013-11-24T22:27:00Z</dcterms:modified>
</cp:coreProperties>
</file>