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92BC8" w14:textId="0B754E6B" w:rsidR="00AB2FA3" w:rsidRPr="00056662" w:rsidRDefault="00234704" w:rsidP="00056662">
      <w:pPr>
        <w:pStyle w:val="Heading1"/>
      </w:pPr>
      <w:bookmarkStart w:id="0" w:name="_Hlk49949486"/>
      <w:r w:rsidRPr="00056662">
        <w:t>P</w:t>
      </w:r>
      <w:r w:rsidR="005B6E5B" w:rsidRPr="00056662">
        <w:t xml:space="preserve">ulling the thread of decertification:  </w:t>
      </w:r>
      <w:r w:rsidR="00AF24D3" w:rsidRPr="00056662">
        <w:t>W</w:t>
      </w:r>
      <w:r w:rsidR="005B6E5B" w:rsidRPr="00056662">
        <w:t xml:space="preserve">hat </w:t>
      </w:r>
      <w:r w:rsidR="00C17C47" w:rsidRPr="00056662">
        <w:t>challenge</w:t>
      </w:r>
      <w:r w:rsidR="005B6E5B" w:rsidRPr="00056662">
        <w:t>s are raised</w:t>
      </w:r>
      <w:r w:rsidR="00C17C47" w:rsidRPr="00056662">
        <w:t xml:space="preserve"> </w:t>
      </w:r>
      <w:r w:rsidR="005B73D9" w:rsidRPr="00056662">
        <w:t xml:space="preserve">by </w:t>
      </w:r>
      <w:r w:rsidR="00035A80" w:rsidRPr="00056662">
        <w:t xml:space="preserve">the proposal to reform </w:t>
      </w:r>
      <w:r w:rsidR="00C17C47" w:rsidRPr="00056662">
        <w:t>legal gender status</w:t>
      </w:r>
      <w:bookmarkEnd w:id="0"/>
      <w:r w:rsidR="005B6E5B" w:rsidRPr="00056662">
        <w:t>?</w:t>
      </w:r>
    </w:p>
    <w:p w14:paraId="575D7287" w14:textId="0F5C320E" w:rsidR="00A20CD2" w:rsidRPr="007C61D2" w:rsidRDefault="00881C7E" w:rsidP="00AE1FFF">
      <w:pPr>
        <w:shd w:val="clear" w:color="auto" w:fill="FFFFFF"/>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b/>
          <w:sz w:val="24"/>
          <w:szCs w:val="24"/>
        </w:rPr>
        <w:t>Davina Cooper and Robyn Emerton</w:t>
      </w:r>
      <w:r w:rsidR="00056662">
        <w:rPr>
          <w:rStyle w:val="FootnoteReference"/>
          <w:rFonts w:ascii="Garamond" w:eastAsia="Times New Roman" w:hAnsi="Garamond" w:cs="Times New Roman"/>
          <w:b/>
          <w:sz w:val="24"/>
          <w:szCs w:val="24"/>
        </w:rPr>
        <w:footnoteReference w:customMarkFollows="1" w:id="1"/>
        <w:t>*</w:t>
      </w:r>
      <w:r w:rsidRPr="007C61D2">
        <w:rPr>
          <w:rFonts w:ascii="Garamond" w:eastAsia="Times New Roman" w:hAnsi="Garamond" w:cs="Times New Roman"/>
          <w:i/>
          <w:sz w:val="24"/>
          <w:szCs w:val="24"/>
        </w:rPr>
        <w:t xml:space="preserve"> </w:t>
      </w:r>
    </w:p>
    <w:p w14:paraId="3664B3CC" w14:textId="77777777" w:rsidR="00056662" w:rsidRDefault="00056662" w:rsidP="00B966F1">
      <w:pPr>
        <w:shd w:val="clear" w:color="auto" w:fill="FFFFFF"/>
        <w:spacing w:before="240" w:after="120" w:line="360" w:lineRule="auto"/>
        <w:rPr>
          <w:rFonts w:ascii="Garamond" w:eastAsia="Times New Roman" w:hAnsi="Garamond" w:cs="Times New Roman"/>
          <w:bCs/>
          <w:i/>
          <w:sz w:val="24"/>
          <w:szCs w:val="24"/>
        </w:rPr>
      </w:pPr>
    </w:p>
    <w:p w14:paraId="36FF901E" w14:textId="372C37C8" w:rsidR="00A20CD2" w:rsidRPr="00056662" w:rsidRDefault="00C81795" w:rsidP="00056662">
      <w:pPr>
        <w:pStyle w:val="Heading2"/>
      </w:pPr>
      <w:r w:rsidRPr="00056662">
        <w:t>Abstract</w:t>
      </w:r>
    </w:p>
    <w:p w14:paraId="7A90C39D" w14:textId="767FC154" w:rsidR="00C81795" w:rsidRPr="007C61D2" w:rsidRDefault="00C81795" w:rsidP="00B966F1">
      <w:pPr>
        <w:shd w:val="clear" w:color="auto" w:fill="FFFFFF"/>
        <w:spacing w:before="240" w:after="120" w:line="360" w:lineRule="auto"/>
        <w:rPr>
          <w:rFonts w:ascii="Garamond" w:eastAsia="Times New Roman" w:hAnsi="Garamond" w:cs="Times New Roman"/>
          <w:sz w:val="24"/>
          <w:szCs w:val="24"/>
        </w:rPr>
      </w:pPr>
      <w:bookmarkStart w:id="1" w:name="_Hlk49949516"/>
      <w:r w:rsidRPr="007C61D2">
        <w:rPr>
          <w:rFonts w:ascii="Garamond" w:eastAsia="Times New Roman" w:hAnsi="Garamond" w:cs="Times New Roman"/>
          <w:sz w:val="24"/>
          <w:szCs w:val="24"/>
        </w:rPr>
        <w:t>In decertification, the state withdraws from registering, assigning</w:t>
      </w:r>
      <w:r w:rsidR="00CE35B9">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or guaranteeing a person’s sex and gender</w:t>
      </w:r>
      <w:r w:rsidR="00F42C06" w:rsidRPr="007C61D2">
        <w:rPr>
          <w:rFonts w:ascii="Garamond" w:eastAsia="Times New Roman" w:hAnsi="Garamond" w:cs="Times New Roman"/>
          <w:sz w:val="24"/>
          <w:szCs w:val="24"/>
        </w:rPr>
        <w:t xml:space="preserve">, giving one </w:t>
      </w:r>
      <w:r w:rsidRPr="007C61D2">
        <w:rPr>
          <w:rFonts w:ascii="Garamond" w:eastAsia="Times New Roman" w:hAnsi="Garamond" w:cs="Times New Roman"/>
          <w:sz w:val="24"/>
          <w:szCs w:val="24"/>
        </w:rPr>
        <w:t xml:space="preserve">shape to the growing momentum towards their informalisation. This article explores decertification as a speculative reform, now emerging onto </w:t>
      </w:r>
      <w:r w:rsidR="007B7B0D">
        <w:rPr>
          <w:rFonts w:ascii="Garamond" w:eastAsia="Times New Roman" w:hAnsi="Garamond" w:cs="Times New Roman"/>
          <w:sz w:val="24"/>
          <w:szCs w:val="24"/>
        </w:rPr>
        <w:t xml:space="preserve">the </w:t>
      </w:r>
      <w:r w:rsidRPr="007C61D2">
        <w:rPr>
          <w:rFonts w:ascii="Garamond" w:eastAsia="Times New Roman" w:hAnsi="Garamond" w:cs="Times New Roman"/>
          <w:sz w:val="24"/>
          <w:szCs w:val="24"/>
        </w:rPr>
        <w:t>political and legal agenda, in two primary ways. First, it asks what contribution, if any, might decertification make to a feminist politics intent on undoing gender-based hierarchies. Second, as a methodological thread, what concerns, issues</w:t>
      </w:r>
      <w:r w:rsidR="00F42C06"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and hopes does decertification bring with it? In addressing these questions, the article considers different versions of decertification </w:t>
      </w:r>
      <w:r w:rsidR="00B2367D" w:rsidRPr="007C61D2">
        <w:rPr>
          <w:rFonts w:ascii="Garamond" w:eastAsia="Times New Roman" w:hAnsi="Garamond" w:cs="Times New Roman"/>
          <w:sz w:val="24"/>
          <w:szCs w:val="24"/>
        </w:rPr>
        <w:t xml:space="preserve">alongside </w:t>
      </w:r>
      <w:r w:rsidRPr="007C61D2">
        <w:rPr>
          <w:rFonts w:ascii="Garamond" w:eastAsia="Times New Roman" w:hAnsi="Garamond" w:cs="Times New Roman"/>
          <w:sz w:val="24"/>
          <w:szCs w:val="24"/>
        </w:rPr>
        <w:t xml:space="preserve">an alternative reform strategy of legally recognising multiple gender identities. It explores the feminist benefits of decertification; the concerns and criticisms expressed; and strategies for responding to feminist worries. Here, the article turns to possible and already in-place governmental strategies to </w:t>
      </w:r>
      <w:r w:rsidR="00F42C06" w:rsidRPr="007C61D2">
        <w:rPr>
          <w:rFonts w:ascii="Garamond" w:eastAsia="Times New Roman" w:hAnsi="Garamond" w:cs="Times New Roman"/>
          <w:sz w:val="24"/>
          <w:szCs w:val="24"/>
        </w:rPr>
        <w:t xml:space="preserve">manage </w:t>
      </w:r>
      <w:r w:rsidRPr="007C61D2">
        <w:rPr>
          <w:rFonts w:ascii="Garamond" w:eastAsia="Times New Roman" w:hAnsi="Garamond" w:cs="Times New Roman"/>
          <w:sz w:val="24"/>
          <w:szCs w:val="24"/>
        </w:rPr>
        <w:t xml:space="preserve">the informalisation of sex/ gender, alongside criticisms that can and have been made of these strategies. It then considers decertification’s </w:t>
      </w:r>
      <w:r w:rsidR="00B2367D" w:rsidRPr="007C61D2">
        <w:rPr>
          <w:rFonts w:ascii="Garamond" w:eastAsia="Times New Roman" w:hAnsi="Garamond" w:cs="Times New Roman"/>
          <w:sz w:val="24"/>
          <w:szCs w:val="24"/>
        </w:rPr>
        <w:t xml:space="preserve">relationship </w:t>
      </w:r>
      <w:r w:rsidRPr="007C61D2">
        <w:rPr>
          <w:rFonts w:ascii="Garamond" w:eastAsia="Times New Roman" w:hAnsi="Garamond" w:cs="Times New Roman"/>
          <w:sz w:val="24"/>
          <w:szCs w:val="24"/>
        </w:rPr>
        <w:t xml:space="preserve">to </w:t>
      </w:r>
      <w:r w:rsidR="00F42C06" w:rsidRPr="007C61D2">
        <w:rPr>
          <w:rFonts w:ascii="Garamond" w:eastAsia="Times New Roman" w:hAnsi="Garamond" w:cs="Times New Roman"/>
          <w:sz w:val="24"/>
          <w:szCs w:val="24"/>
        </w:rPr>
        <w:t xml:space="preserve">other </w:t>
      </w:r>
      <w:r w:rsidRPr="007C61D2">
        <w:rPr>
          <w:rFonts w:ascii="Garamond" w:eastAsia="Times New Roman" w:hAnsi="Garamond" w:cs="Times New Roman"/>
          <w:sz w:val="24"/>
          <w:szCs w:val="24"/>
        </w:rPr>
        <w:t xml:space="preserve">strategies that foreground purpose, specificity, </w:t>
      </w:r>
      <w:r w:rsidR="00F42C06" w:rsidRPr="007C61D2">
        <w:rPr>
          <w:rFonts w:ascii="Garamond" w:eastAsia="Times New Roman" w:hAnsi="Garamond" w:cs="Times New Roman"/>
          <w:sz w:val="24"/>
          <w:szCs w:val="24"/>
        </w:rPr>
        <w:t xml:space="preserve">connection, </w:t>
      </w:r>
      <w:r w:rsidRPr="007C61D2">
        <w:rPr>
          <w:rFonts w:ascii="Garamond" w:eastAsia="Times New Roman" w:hAnsi="Garamond" w:cs="Times New Roman"/>
          <w:sz w:val="24"/>
          <w:szCs w:val="24"/>
        </w:rPr>
        <w:t xml:space="preserve">and context, </w:t>
      </w:r>
      <w:r w:rsidR="00B2367D" w:rsidRPr="007C61D2">
        <w:rPr>
          <w:rFonts w:ascii="Garamond" w:eastAsia="Times New Roman" w:hAnsi="Garamond" w:cs="Times New Roman"/>
          <w:sz w:val="24"/>
          <w:szCs w:val="24"/>
        </w:rPr>
        <w:t xml:space="preserve">within a politics intent on </w:t>
      </w:r>
      <w:r w:rsidRPr="007C61D2">
        <w:rPr>
          <w:rFonts w:ascii="Garamond" w:eastAsia="Times New Roman" w:hAnsi="Garamond" w:cs="Times New Roman"/>
          <w:sz w:val="24"/>
          <w:szCs w:val="24"/>
        </w:rPr>
        <w:t>question</w:t>
      </w:r>
      <w:r w:rsidR="00B2367D" w:rsidRPr="007C61D2">
        <w:rPr>
          <w:rFonts w:ascii="Garamond" w:eastAsia="Times New Roman" w:hAnsi="Garamond" w:cs="Times New Roman"/>
          <w:sz w:val="24"/>
          <w:szCs w:val="24"/>
        </w:rPr>
        <w:t>ing</w:t>
      </w:r>
      <w:r w:rsidRPr="007C61D2">
        <w:rPr>
          <w:rFonts w:ascii="Garamond" w:eastAsia="Times New Roman" w:hAnsi="Garamond" w:cs="Times New Roman"/>
          <w:sz w:val="24"/>
          <w:szCs w:val="24"/>
        </w:rPr>
        <w:t xml:space="preserve"> and unsettl</w:t>
      </w:r>
      <w:r w:rsidR="00B2367D" w:rsidRPr="007C61D2">
        <w:rPr>
          <w:rFonts w:ascii="Garamond" w:eastAsia="Times New Roman" w:hAnsi="Garamond" w:cs="Times New Roman"/>
          <w:sz w:val="24"/>
          <w:szCs w:val="24"/>
        </w:rPr>
        <w:t>ing</w:t>
      </w:r>
      <w:r w:rsidRPr="007C61D2">
        <w:rPr>
          <w:rFonts w:ascii="Garamond" w:eastAsia="Times New Roman" w:hAnsi="Garamond" w:cs="Times New Roman"/>
          <w:sz w:val="24"/>
          <w:szCs w:val="24"/>
        </w:rPr>
        <w:t xml:space="preserve"> existing orderings. Finally, the article considers the risks of androcentrism and gender-neutral law</w:t>
      </w:r>
      <w:r w:rsidR="0082351F"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883523">
        <w:rPr>
          <w:rFonts w:ascii="Garamond" w:eastAsia="Times New Roman" w:hAnsi="Garamond" w:cs="Times New Roman"/>
          <w:sz w:val="24"/>
          <w:szCs w:val="24"/>
        </w:rPr>
        <w:t xml:space="preserve">and </w:t>
      </w:r>
      <w:r w:rsidRPr="007C61D2">
        <w:rPr>
          <w:rFonts w:ascii="Garamond" w:eastAsia="Times New Roman" w:hAnsi="Garamond" w:cs="Times New Roman"/>
          <w:sz w:val="24"/>
          <w:szCs w:val="24"/>
        </w:rPr>
        <w:t>argues for the need to embed decertification within a wider multiplex progressive agenda.</w:t>
      </w:r>
    </w:p>
    <w:bookmarkEnd w:id="1"/>
    <w:p w14:paraId="6FE767A4" w14:textId="5DDA07C5" w:rsidR="00A20CD2" w:rsidRPr="007C61D2" w:rsidRDefault="00A20CD2" w:rsidP="00B03793">
      <w:pPr>
        <w:spacing w:line="360" w:lineRule="auto"/>
        <w:rPr>
          <w:rFonts w:ascii="Garamond" w:eastAsia="Times New Roman" w:hAnsi="Garamond" w:cs="Times New Roman"/>
          <w:b/>
          <w:sz w:val="24"/>
          <w:szCs w:val="24"/>
        </w:rPr>
      </w:pPr>
    </w:p>
    <w:p w14:paraId="22612C5C" w14:textId="77777777" w:rsidR="00443968" w:rsidRDefault="00443968">
      <w:pPr>
        <w:rPr>
          <w:rFonts w:ascii="Garamond" w:eastAsia="Times New Roman" w:hAnsi="Garamond" w:cs="Times New Roman"/>
          <w:b/>
          <w:bCs/>
          <w:sz w:val="24"/>
          <w:szCs w:val="24"/>
        </w:rPr>
      </w:pPr>
      <w:r>
        <w:br w:type="page"/>
      </w:r>
    </w:p>
    <w:p w14:paraId="40091301" w14:textId="7AB58FF9" w:rsidR="0055613C" w:rsidRPr="00056662" w:rsidRDefault="0055613C" w:rsidP="00056662">
      <w:pPr>
        <w:pStyle w:val="Heading2"/>
      </w:pPr>
      <w:r w:rsidRPr="007C61D2">
        <w:lastRenderedPageBreak/>
        <w:t>Introduction</w:t>
      </w:r>
    </w:p>
    <w:p w14:paraId="484F8906" w14:textId="04D936DE" w:rsidR="00572155" w:rsidRPr="007C61D2" w:rsidRDefault="00405A60" w:rsidP="00056662">
      <w:pPr>
        <w:shd w:val="clear" w:color="auto" w:fill="FFFFFF"/>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The Future of Legal Gender (FLaG)</w:t>
      </w:r>
      <w:r w:rsidR="00495C6D" w:rsidRPr="007C61D2">
        <w:rPr>
          <w:rFonts w:ascii="Garamond" w:eastAsia="Times New Roman" w:hAnsi="Garamond" w:cs="Times New Roman"/>
          <w:sz w:val="24"/>
          <w:szCs w:val="24"/>
        </w:rPr>
        <w:t xml:space="preserve"> is a </w:t>
      </w:r>
      <w:r w:rsidR="00572155" w:rsidRPr="007C61D2">
        <w:rPr>
          <w:rFonts w:ascii="Garamond" w:eastAsia="Times New Roman" w:hAnsi="Garamond" w:cs="Times New Roman"/>
          <w:sz w:val="24"/>
          <w:szCs w:val="24"/>
        </w:rPr>
        <w:t>critical</w:t>
      </w:r>
      <w:r w:rsidR="00E754EB" w:rsidRPr="007C61D2">
        <w:rPr>
          <w:rFonts w:ascii="Garamond" w:eastAsia="Times New Roman" w:hAnsi="Garamond" w:cs="Times New Roman"/>
          <w:sz w:val="24"/>
          <w:szCs w:val="24"/>
        </w:rPr>
        <w:t>,</w:t>
      </w:r>
      <w:r w:rsidR="00572155" w:rsidRPr="007C61D2">
        <w:rPr>
          <w:rFonts w:ascii="Garamond" w:eastAsia="Times New Roman" w:hAnsi="Garamond" w:cs="Times New Roman"/>
          <w:sz w:val="24"/>
          <w:szCs w:val="24"/>
        </w:rPr>
        <w:t xml:space="preserve"> </w:t>
      </w:r>
      <w:r w:rsidR="00495C6D" w:rsidRPr="007C61D2">
        <w:rPr>
          <w:rFonts w:ascii="Garamond" w:eastAsia="Times New Roman" w:hAnsi="Garamond" w:cs="Times New Roman"/>
          <w:sz w:val="24"/>
          <w:szCs w:val="24"/>
        </w:rPr>
        <w:t>feminist research project</w:t>
      </w:r>
      <w:r w:rsidR="00572155" w:rsidRPr="007C61D2">
        <w:rPr>
          <w:rFonts w:ascii="Garamond" w:eastAsia="Times New Roman" w:hAnsi="Garamond" w:cs="Times New Roman"/>
          <w:sz w:val="24"/>
          <w:szCs w:val="24"/>
        </w:rPr>
        <w:t xml:space="preserve"> </w:t>
      </w:r>
      <w:r w:rsidR="00E754EB" w:rsidRPr="007C61D2">
        <w:rPr>
          <w:rFonts w:ascii="Garamond" w:eastAsia="Times New Roman" w:hAnsi="Garamond" w:cs="Times New Roman"/>
          <w:sz w:val="24"/>
          <w:szCs w:val="24"/>
        </w:rPr>
        <w:t>concerned with gender’s relationship to law, inequality, subjectivity, soci</w:t>
      </w:r>
      <w:r w:rsidR="00E80E31">
        <w:rPr>
          <w:rFonts w:ascii="Garamond" w:eastAsia="Times New Roman" w:hAnsi="Garamond" w:cs="Times New Roman"/>
          <w:sz w:val="24"/>
          <w:szCs w:val="24"/>
        </w:rPr>
        <w:t>ety</w:t>
      </w:r>
      <w:r w:rsidR="00E754EB" w:rsidRPr="007C61D2">
        <w:rPr>
          <w:rFonts w:ascii="Garamond" w:eastAsia="Times New Roman" w:hAnsi="Garamond" w:cs="Times New Roman"/>
          <w:sz w:val="24"/>
          <w:szCs w:val="24"/>
        </w:rPr>
        <w:t xml:space="preserve">, and </w:t>
      </w:r>
      <w:r w:rsidR="00E80E31">
        <w:rPr>
          <w:rFonts w:ascii="Garamond" w:eastAsia="Times New Roman" w:hAnsi="Garamond" w:cs="Times New Roman"/>
          <w:sz w:val="24"/>
          <w:szCs w:val="24"/>
        </w:rPr>
        <w:t xml:space="preserve">imagined </w:t>
      </w:r>
      <w:r w:rsidR="00E754EB" w:rsidRPr="007C61D2">
        <w:rPr>
          <w:rFonts w:ascii="Garamond" w:eastAsia="Times New Roman" w:hAnsi="Garamond" w:cs="Times New Roman"/>
          <w:sz w:val="24"/>
          <w:szCs w:val="24"/>
        </w:rPr>
        <w:t>future</w:t>
      </w:r>
      <w:r w:rsidR="00E80E31">
        <w:rPr>
          <w:rFonts w:ascii="Garamond" w:eastAsia="Times New Roman" w:hAnsi="Garamond" w:cs="Times New Roman"/>
          <w:sz w:val="24"/>
          <w:szCs w:val="24"/>
        </w:rPr>
        <w:t>s</w:t>
      </w:r>
      <w:r w:rsidR="00E754EB" w:rsidRPr="007C61D2">
        <w:rPr>
          <w:rFonts w:ascii="Garamond" w:eastAsia="Times New Roman" w:hAnsi="Garamond" w:cs="Times New Roman"/>
          <w:sz w:val="24"/>
          <w:szCs w:val="24"/>
        </w:rPr>
        <w:t xml:space="preserve">. FLaG approaches these relations </w:t>
      </w:r>
      <w:r w:rsidR="004B4C7C" w:rsidRPr="007C61D2">
        <w:rPr>
          <w:rFonts w:ascii="Garamond" w:eastAsia="Times New Roman" w:hAnsi="Garamond" w:cs="Times New Roman"/>
          <w:sz w:val="24"/>
          <w:szCs w:val="24"/>
        </w:rPr>
        <w:t xml:space="preserve">through the prism of </w:t>
      </w:r>
      <w:r w:rsidR="00E754EB" w:rsidRPr="007C61D2">
        <w:rPr>
          <w:rFonts w:ascii="Garamond" w:eastAsia="Times New Roman" w:hAnsi="Garamond" w:cs="Times New Roman"/>
          <w:sz w:val="24"/>
          <w:szCs w:val="24"/>
        </w:rPr>
        <w:t xml:space="preserve">reform. </w:t>
      </w:r>
      <w:r w:rsidR="004713C6" w:rsidRPr="007C61D2">
        <w:rPr>
          <w:rFonts w:ascii="Garamond" w:eastAsia="Times New Roman" w:hAnsi="Garamond" w:cs="Times New Roman"/>
          <w:sz w:val="24"/>
          <w:szCs w:val="24"/>
        </w:rPr>
        <w:t>It</w:t>
      </w:r>
      <w:r w:rsidR="00E754EB" w:rsidRPr="007C61D2">
        <w:rPr>
          <w:rFonts w:ascii="Garamond" w:eastAsia="Times New Roman" w:hAnsi="Garamond" w:cs="Times New Roman"/>
          <w:sz w:val="24"/>
          <w:szCs w:val="24"/>
        </w:rPr>
        <w:t>s</w:t>
      </w:r>
      <w:r w:rsidR="004713C6" w:rsidRPr="007C61D2">
        <w:rPr>
          <w:rFonts w:ascii="Garamond" w:eastAsia="Times New Roman" w:hAnsi="Garamond" w:cs="Times New Roman"/>
          <w:sz w:val="24"/>
          <w:szCs w:val="24"/>
        </w:rPr>
        <w:t xml:space="preserve"> focus</w:t>
      </w:r>
      <w:r w:rsidR="00E754EB" w:rsidRPr="007C61D2">
        <w:rPr>
          <w:rFonts w:ascii="Garamond" w:eastAsia="Times New Roman" w:hAnsi="Garamond" w:cs="Times New Roman"/>
          <w:sz w:val="24"/>
          <w:szCs w:val="24"/>
        </w:rPr>
        <w:t xml:space="preserve"> is</w:t>
      </w:r>
      <w:r w:rsidR="001764DE" w:rsidRPr="007C61D2">
        <w:rPr>
          <w:rFonts w:ascii="Garamond" w:eastAsia="Times New Roman" w:hAnsi="Garamond" w:cs="Times New Roman"/>
          <w:sz w:val="24"/>
          <w:szCs w:val="24"/>
        </w:rPr>
        <w:t xml:space="preserve"> </w:t>
      </w:r>
      <w:r w:rsidR="004713C6" w:rsidRPr="007C61D2">
        <w:rPr>
          <w:rFonts w:ascii="Garamond" w:eastAsia="Times New Roman" w:hAnsi="Garamond" w:cs="Times New Roman"/>
          <w:sz w:val="24"/>
          <w:szCs w:val="24"/>
        </w:rPr>
        <w:t xml:space="preserve">one specific </w:t>
      </w:r>
      <w:r w:rsidR="004B4C7C" w:rsidRPr="007C61D2">
        <w:rPr>
          <w:rFonts w:ascii="Garamond" w:eastAsia="Times New Roman" w:hAnsi="Garamond" w:cs="Times New Roman"/>
          <w:sz w:val="24"/>
          <w:szCs w:val="24"/>
        </w:rPr>
        <w:t xml:space="preserve">legal </w:t>
      </w:r>
      <w:r w:rsidR="00495C6D" w:rsidRPr="007C61D2">
        <w:rPr>
          <w:rFonts w:ascii="Garamond" w:eastAsia="Times New Roman" w:hAnsi="Garamond" w:cs="Times New Roman"/>
          <w:sz w:val="24"/>
          <w:szCs w:val="24"/>
        </w:rPr>
        <w:t>proposal</w:t>
      </w:r>
      <w:r w:rsidR="00572155" w:rsidRPr="007C61D2">
        <w:rPr>
          <w:rFonts w:ascii="Garamond" w:eastAsia="Times New Roman" w:hAnsi="Garamond" w:cs="Times New Roman"/>
          <w:sz w:val="24"/>
          <w:szCs w:val="24"/>
        </w:rPr>
        <w:t>:</w:t>
      </w:r>
      <w:r w:rsidR="00495C6D" w:rsidRPr="007C61D2">
        <w:rPr>
          <w:rFonts w:ascii="Garamond" w:eastAsia="Times New Roman" w:hAnsi="Garamond" w:cs="Times New Roman"/>
          <w:sz w:val="24"/>
          <w:szCs w:val="24"/>
        </w:rPr>
        <w:t xml:space="preserve"> the decertification of sex/ gender</w:t>
      </w:r>
      <w:r w:rsidR="004713C6" w:rsidRPr="007C61D2">
        <w:rPr>
          <w:rFonts w:ascii="Garamond" w:eastAsia="Times New Roman" w:hAnsi="Garamond" w:cs="Times New Roman"/>
          <w:sz w:val="24"/>
          <w:szCs w:val="24"/>
        </w:rPr>
        <w:t>.</w:t>
      </w:r>
      <w:r w:rsidR="00495C6D" w:rsidRPr="007C61D2">
        <w:rPr>
          <w:rStyle w:val="FootnoteReference"/>
          <w:rFonts w:ascii="Garamond" w:eastAsia="Times New Roman" w:hAnsi="Garamond" w:cs="Times New Roman"/>
          <w:sz w:val="24"/>
          <w:szCs w:val="24"/>
        </w:rPr>
        <w:footnoteReference w:id="2"/>
      </w:r>
      <w:r w:rsidR="004713C6" w:rsidRPr="007C61D2">
        <w:rPr>
          <w:rFonts w:ascii="Garamond" w:eastAsia="Times New Roman" w:hAnsi="Garamond" w:cs="Times New Roman"/>
          <w:sz w:val="24"/>
          <w:szCs w:val="24"/>
        </w:rPr>
        <w:t xml:space="preserve"> </w:t>
      </w:r>
      <w:r w:rsidR="00572155" w:rsidRPr="007C61D2">
        <w:rPr>
          <w:rFonts w:ascii="Garamond" w:eastAsia="Times New Roman" w:hAnsi="Garamond" w:cs="Times New Roman"/>
          <w:sz w:val="24"/>
          <w:szCs w:val="24"/>
        </w:rPr>
        <w:t xml:space="preserve">We use the term decertification </w:t>
      </w:r>
      <w:r w:rsidR="00E032DD" w:rsidRPr="007C61D2">
        <w:rPr>
          <w:rFonts w:ascii="Garamond" w:eastAsia="Times New Roman" w:hAnsi="Garamond" w:cs="Times New Roman"/>
          <w:sz w:val="24"/>
          <w:szCs w:val="24"/>
        </w:rPr>
        <w:t xml:space="preserve">to describe </w:t>
      </w:r>
      <w:r w:rsidR="00572155" w:rsidRPr="007C61D2">
        <w:rPr>
          <w:rFonts w:ascii="Garamond" w:eastAsia="Times New Roman" w:hAnsi="Garamond" w:cs="Times New Roman"/>
          <w:sz w:val="24"/>
          <w:szCs w:val="24"/>
        </w:rPr>
        <w:t>a regulatory move in which the state</w:t>
      </w:r>
      <w:r w:rsidR="00572155" w:rsidRPr="007C61D2">
        <w:rPr>
          <w:rStyle w:val="FootnoteReference"/>
          <w:rFonts w:ascii="Garamond" w:eastAsia="Times New Roman" w:hAnsi="Garamond" w:cs="Times New Roman"/>
          <w:sz w:val="24"/>
          <w:szCs w:val="24"/>
        </w:rPr>
        <w:footnoteReference w:id="3"/>
      </w:r>
      <w:r w:rsidR="00572155" w:rsidRPr="007C61D2">
        <w:rPr>
          <w:rFonts w:ascii="Garamond" w:eastAsia="Times New Roman" w:hAnsi="Garamond" w:cs="Times New Roman"/>
          <w:sz w:val="24"/>
          <w:szCs w:val="24"/>
        </w:rPr>
        <w:t xml:space="preserve"> steps back from registering (or assigning) sex at birth and so</w:t>
      </w:r>
      <w:r w:rsidR="007126F3" w:rsidRPr="007C61D2">
        <w:rPr>
          <w:rFonts w:ascii="Garamond" w:eastAsia="Times New Roman" w:hAnsi="Garamond" w:cs="Times New Roman"/>
          <w:sz w:val="24"/>
          <w:szCs w:val="24"/>
        </w:rPr>
        <w:t xml:space="preserve">, also, </w:t>
      </w:r>
      <w:r w:rsidR="00572155" w:rsidRPr="007C61D2">
        <w:rPr>
          <w:rFonts w:ascii="Garamond" w:eastAsia="Times New Roman" w:hAnsi="Garamond" w:cs="Times New Roman"/>
          <w:sz w:val="24"/>
          <w:szCs w:val="24"/>
        </w:rPr>
        <w:t>from subsequent procedures of sex/ gender</w:t>
      </w:r>
      <w:r w:rsidR="001764DE" w:rsidRPr="007C61D2">
        <w:rPr>
          <w:rFonts w:ascii="Garamond" w:eastAsia="Times New Roman" w:hAnsi="Garamond" w:cs="Times New Roman"/>
          <w:sz w:val="24"/>
          <w:szCs w:val="24"/>
        </w:rPr>
        <w:t xml:space="preserve"> recertification</w:t>
      </w:r>
      <w:r w:rsidR="00572155" w:rsidRPr="007C61D2">
        <w:rPr>
          <w:rFonts w:ascii="Garamond" w:eastAsia="Times New Roman" w:hAnsi="Garamond" w:cs="Times New Roman"/>
          <w:sz w:val="24"/>
          <w:szCs w:val="24"/>
        </w:rPr>
        <w:t>. Decertification mean</w:t>
      </w:r>
      <w:r w:rsidR="005A4E89" w:rsidRPr="007C61D2">
        <w:rPr>
          <w:rFonts w:ascii="Garamond" w:eastAsia="Times New Roman" w:hAnsi="Garamond" w:cs="Times New Roman"/>
          <w:sz w:val="24"/>
          <w:szCs w:val="24"/>
        </w:rPr>
        <w:t>s</w:t>
      </w:r>
      <w:r w:rsidR="00572155" w:rsidRPr="007C61D2">
        <w:rPr>
          <w:rFonts w:ascii="Garamond" w:eastAsia="Times New Roman" w:hAnsi="Garamond" w:cs="Times New Roman"/>
          <w:sz w:val="24"/>
          <w:szCs w:val="24"/>
        </w:rPr>
        <w:t xml:space="preserve"> people </w:t>
      </w:r>
      <w:r w:rsidR="00E032DD" w:rsidRPr="007C61D2">
        <w:rPr>
          <w:rFonts w:ascii="Garamond" w:eastAsia="Times New Roman" w:hAnsi="Garamond" w:cs="Times New Roman"/>
          <w:sz w:val="24"/>
          <w:szCs w:val="24"/>
        </w:rPr>
        <w:t xml:space="preserve">would </w:t>
      </w:r>
      <w:r w:rsidR="00572155" w:rsidRPr="007C61D2">
        <w:rPr>
          <w:rFonts w:ascii="Garamond" w:eastAsia="Times New Roman" w:hAnsi="Garamond" w:cs="Times New Roman"/>
          <w:sz w:val="24"/>
          <w:szCs w:val="24"/>
        </w:rPr>
        <w:t xml:space="preserve">no longer </w:t>
      </w:r>
      <w:r w:rsidR="006E68BA" w:rsidRPr="007C61D2">
        <w:rPr>
          <w:rFonts w:ascii="Garamond" w:eastAsia="Times New Roman" w:hAnsi="Garamond" w:cs="Times New Roman"/>
          <w:sz w:val="24"/>
          <w:szCs w:val="24"/>
        </w:rPr>
        <w:t>ha</w:t>
      </w:r>
      <w:r w:rsidR="005A4E89" w:rsidRPr="007C61D2">
        <w:rPr>
          <w:rFonts w:ascii="Garamond" w:eastAsia="Times New Roman" w:hAnsi="Garamond" w:cs="Times New Roman"/>
          <w:sz w:val="24"/>
          <w:szCs w:val="24"/>
        </w:rPr>
        <w:t>ve</w:t>
      </w:r>
      <w:r w:rsidR="006E68BA" w:rsidRPr="007C61D2">
        <w:rPr>
          <w:rFonts w:ascii="Garamond" w:eastAsia="Times New Roman" w:hAnsi="Garamond" w:cs="Times New Roman"/>
          <w:sz w:val="24"/>
          <w:szCs w:val="24"/>
        </w:rPr>
        <w:t xml:space="preserve"> </w:t>
      </w:r>
      <w:r w:rsidR="00572155" w:rsidRPr="007C61D2">
        <w:rPr>
          <w:rFonts w:ascii="Garamond" w:eastAsia="Times New Roman" w:hAnsi="Garamond" w:cs="Times New Roman"/>
          <w:sz w:val="24"/>
          <w:szCs w:val="24"/>
        </w:rPr>
        <w:t>a legal sex/ gender status</w:t>
      </w:r>
      <w:r w:rsidR="00F42C06" w:rsidRPr="007C61D2">
        <w:rPr>
          <w:rFonts w:ascii="Garamond" w:eastAsia="Times New Roman" w:hAnsi="Garamond" w:cs="Times New Roman"/>
          <w:sz w:val="24"/>
          <w:szCs w:val="24"/>
        </w:rPr>
        <w:t xml:space="preserve">. This </w:t>
      </w:r>
      <w:r w:rsidR="00572155" w:rsidRPr="007C61D2">
        <w:rPr>
          <w:rFonts w:ascii="Garamond" w:eastAsia="Times New Roman" w:hAnsi="Garamond" w:cs="Times New Roman"/>
          <w:sz w:val="24"/>
          <w:szCs w:val="24"/>
        </w:rPr>
        <w:t>put</w:t>
      </w:r>
      <w:r w:rsidR="00F42C06" w:rsidRPr="007C61D2">
        <w:rPr>
          <w:rFonts w:ascii="Garamond" w:eastAsia="Times New Roman" w:hAnsi="Garamond" w:cs="Times New Roman"/>
          <w:sz w:val="24"/>
          <w:szCs w:val="24"/>
        </w:rPr>
        <w:t xml:space="preserve">s </w:t>
      </w:r>
      <w:r w:rsidR="00572155" w:rsidRPr="007C61D2">
        <w:rPr>
          <w:rFonts w:ascii="Garamond" w:eastAsia="Times New Roman" w:hAnsi="Garamond" w:cs="Times New Roman"/>
          <w:sz w:val="24"/>
          <w:szCs w:val="24"/>
        </w:rPr>
        <w:t xml:space="preserve">sex/ gender on a par with other social characteristics such as ethnicity and sexuality, which are not legally formalised even though they </w:t>
      </w:r>
      <w:r w:rsidR="005A4E89" w:rsidRPr="007C61D2">
        <w:rPr>
          <w:rFonts w:ascii="Garamond" w:eastAsia="Times New Roman" w:hAnsi="Garamond" w:cs="Times New Roman"/>
          <w:sz w:val="24"/>
          <w:szCs w:val="24"/>
        </w:rPr>
        <w:t xml:space="preserve">remain </w:t>
      </w:r>
      <w:r w:rsidR="00572155" w:rsidRPr="007C61D2">
        <w:rPr>
          <w:rFonts w:ascii="Garamond" w:eastAsia="Times New Roman" w:hAnsi="Garamond" w:cs="Times New Roman"/>
          <w:sz w:val="24"/>
          <w:szCs w:val="24"/>
        </w:rPr>
        <w:t xml:space="preserve">sites of </w:t>
      </w:r>
      <w:r w:rsidR="001764DE" w:rsidRPr="007C61D2">
        <w:rPr>
          <w:rFonts w:ascii="Garamond" w:eastAsia="Times New Roman" w:hAnsi="Garamond" w:cs="Times New Roman"/>
          <w:sz w:val="24"/>
          <w:szCs w:val="24"/>
        </w:rPr>
        <w:t xml:space="preserve">inequality and of statutory </w:t>
      </w:r>
      <w:r w:rsidR="00572155" w:rsidRPr="007C61D2">
        <w:rPr>
          <w:rFonts w:ascii="Garamond" w:eastAsia="Times New Roman" w:hAnsi="Garamond" w:cs="Times New Roman"/>
          <w:sz w:val="24"/>
          <w:szCs w:val="24"/>
        </w:rPr>
        <w:t>equality</w:t>
      </w:r>
      <w:r w:rsidR="001764DE" w:rsidRPr="007C61D2">
        <w:rPr>
          <w:rFonts w:ascii="Garamond" w:eastAsia="Times New Roman" w:hAnsi="Garamond" w:cs="Times New Roman"/>
          <w:sz w:val="24"/>
          <w:szCs w:val="24"/>
        </w:rPr>
        <w:t xml:space="preserve"> remedies</w:t>
      </w:r>
      <w:r w:rsidR="00572155" w:rsidRPr="007C61D2">
        <w:rPr>
          <w:rFonts w:ascii="Garamond" w:eastAsia="Times New Roman" w:hAnsi="Garamond" w:cs="Times New Roman"/>
          <w:sz w:val="24"/>
          <w:szCs w:val="24"/>
        </w:rPr>
        <w:t xml:space="preserve">. Thus, it is important to recognise, from the start, that decertification does not </w:t>
      </w:r>
      <w:r w:rsidR="004B4C7C" w:rsidRPr="007C61D2">
        <w:rPr>
          <w:rFonts w:ascii="Garamond" w:eastAsia="Times New Roman" w:hAnsi="Garamond" w:cs="Times New Roman"/>
          <w:sz w:val="24"/>
          <w:szCs w:val="24"/>
        </w:rPr>
        <w:t xml:space="preserve">mean the </w:t>
      </w:r>
      <w:r w:rsidR="00E032DD" w:rsidRPr="007C61D2">
        <w:rPr>
          <w:rFonts w:ascii="Garamond" w:eastAsia="Times New Roman" w:hAnsi="Garamond" w:cs="Times New Roman"/>
          <w:sz w:val="24"/>
          <w:szCs w:val="24"/>
        </w:rPr>
        <w:t>withdraw</w:t>
      </w:r>
      <w:r w:rsidR="004B4C7C" w:rsidRPr="007C61D2">
        <w:rPr>
          <w:rFonts w:ascii="Garamond" w:eastAsia="Times New Roman" w:hAnsi="Garamond" w:cs="Times New Roman"/>
          <w:sz w:val="24"/>
          <w:szCs w:val="24"/>
        </w:rPr>
        <w:t>al of</w:t>
      </w:r>
      <w:r w:rsidR="00E032DD" w:rsidRPr="007C61D2">
        <w:rPr>
          <w:rFonts w:ascii="Garamond" w:eastAsia="Times New Roman" w:hAnsi="Garamond" w:cs="Times New Roman"/>
          <w:sz w:val="24"/>
          <w:szCs w:val="24"/>
        </w:rPr>
        <w:t xml:space="preserve"> </w:t>
      </w:r>
      <w:r w:rsidR="00572155" w:rsidRPr="007C61D2">
        <w:rPr>
          <w:rFonts w:ascii="Garamond" w:eastAsia="Times New Roman" w:hAnsi="Garamond" w:cs="Times New Roman"/>
          <w:sz w:val="24"/>
          <w:szCs w:val="24"/>
        </w:rPr>
        <w:t xml:space="preserve">access to equality </w:t>
      </w:r>
      <w:r w:rsidR="001764DE" w:rsidRPr="007C61D2">
        <w:rPr>
          <w:rFonts w:ascii="Garamond" w:eastAsia="Times New Roman" w:hAnsi="Garamond" w:cs="Times New Roman"/>
          <w:sz w:val="24"/>
          <w:szCs w:val="24"/>
        </w:rPr>
        <w:t xml:space="preserve">protections </w:t>
      </w:r>
      <w:r w:rsidR="00572155" w:rsidRPr="007C61D2">
        <w:rPr>
          <w:rFonts w:ascii="Garamond" w:eastAsia="Times New Roman" w:hAnsi="Garamond" w:cs="Times New Roman"/>
          <w:sz w:val="24"/>
          <w:szCs w:val="24"/>
        </w:rPr>
        <w:t>on sex/ gender grounds (however unsatisfactory the</w:t>
      </w:r>
      <w:r w:rsidR="00E032DD" w:rsidRPr="007C61D2">
        <w:rPr>
          <w:rFonts w:ascii="Garamond" w:eastAsia="Times New Roman" w:hAnsi="Garamond" w:cs="Times New Roman"/>
          <w:sz w:val="24"/>
          <w:szCs w:val="24"/>
        </w:rPr>
        <w:t>se</w:t>
      </w:r>
      <w:r w:rsidR="00572155" w:rsidRPr="007C61D2">
        <w:rPr>
          <w:rFonts w:ascii="Garamond" w:eastAsia="Times New Roman" w:hAnsi="Garamond" w:cs="Times New Roman"/>
          <w:sz w:val="24"/>
          <w:szCs w:val="24"/>
        </w:rPr>
        <w:t xml:space="preserve"> practically prove to be). </w:t>
      </w:r>
    </w:p>
    <w:p w14:paraId="786B1B5B" w14:textId="72C96C09" w:rsidR="002D72C9" w:rsidRPr="007C61D2" w:rsidRDefault="00572155" w:rsidP="00056662">
      <w:pPr>
        <w:shd w:val="clear" w:color="auto" w:fill="FFFFFF"/>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Opening a project with a proposal may seem counterintuitive. </w:t>
      </w:r>
      <w:r w:rsidR="004713C6" w:rsidRPr="007C61D2">
        <w:rPr>
          <w:rFonts w:ascii="Garamond" w:eastAsia="Times New Roman" w:hAnsi="Garamond" w:cs="Times New Roman"/>
          <w:sz w:val="24"/>
          <w:szCs w:val="24"/>
        </w:rPr>
        <w:t>Typically</w:t>
      </w:r>
      <w:r w:rsidRPr="007C61D2">
        <w:rPr>
          <w:rFonts w:ascii="Garamond" w:eastAsia="Times New Roman" w:hAnsi="Garamond" w:cs="Times New Roman"/>
          <w:sz w:val="24"/>
          <w:szCs w:val="24"/>
        </w:rPr>
        <w:t>,</w:t>
      </w:r>
      <w:r w:rsidR="004713C6" w:rsidRPr="007C61D2">
        <w:rPr>
          <w:rFonts w:ascii="Garamond" w:eastAsia="Times New Roman" w:hAnsi="Garamond" w:cs="Times New Roman"/>
          <w:sz w:val="24"/>
          <w:szCs w:val="24"/>
        </w:rPr>
        <w:t xml:space="preserve"> sociolegal projects </w:t>
      </w:r>
      <w:r w:rsidRPr="007C61D2">
        <w:rPr>
          <w:rFonts w:ascii="Garamond" w:eastAsia="Times New Roman" w:hAnsi="Garamond" w:cs="Times New Roman"/>
          <w:sz w:val="24"/>
          <w:szCs w:val="24"/>
        </w:rPr>
        <w:t xml:space="preserve">arrive at </w:t>
      </w:r>
      <w:r w:rsidR="004713C6" w:rsidRPr="007C61D2">
        <w:rPr>
          <w:rFonts w:ascii="Garamond" w:eastAsia="Times New Roman" w:hAnsi="Garamond" w:cs="Times New Roman"/>
          <w:sz w:val="24"/>
          <w:szCs w:val="24"/>
        </w:rPr>
        <w:t xml:space="preserve">law reform proposals </w:t>
      </w:r>
      <w:r w:rsidRPr="007C61D2">
        <w:rPr>
          <w:rFonts w:ascii="Garamond" w:eastAsia="Times New Roman" w:hAnsi="Garamond" w:cs="Times New Roman"/>
          <w:sz w:val="24"/>
          <w:szCs w:val="24"/>
        </w:rPr>
        <w:t xml:space="preserve">towards </w:t>
      </w:r>
      <w:r w:rsidR="004713C6" w:rsidRPr="007C61D2">
        <w:rPr>
          <w:rFonts w:ascii="Garamond" w:eastAsia="Times New Roman" w:hAnsi="Garamond" w:cs="Times New Roman"/>
          <w:sz w:val="24"/>
          <w:szCs w:val="24"/>
        </w:rPr>
        <w:t xml:space="preserve">the end of the study as different ways of responding to or resolving identified harms are assessed. </w:t>
      </w:r>
      <w:r w:rsidRPr="007C61D2">
        <w:rPr>
          <w:rFonts w:ascii="Garamond" w:eastAsia="Times New Roman" w:hAnsi="Garamond" w:cs="Times New Roman"/>
          <w:sz w:val="24"/>
          <w:szCs w:val="24"/>
        </w:rPr>
        <w:t xml:space="preserve">FLaG </w:t>
      </w:r>
      <w:r w:rsidR="004713C6" w:rsidRPr="007C61D2">
        <w:rPr>
          <w:rFonts w:ascii="Garamond" w:eastAsia="Times New Roman" w:hAnsi="Garamond" w:cs="Times New Roman"/>
          <w:sz w:val="24"/>
          <w:szCs w:val="24"/>
        </w:rPr>
        <w:t>reverse</w:t>
      </w:r>
      <w:r w:rsidRPr="007C61D2">
        <w:rPr>
          <w:rFonts w:ascii="Garamond" w:eastAsia="Times New Roman" w:hAnsi="Garamond" w:cs="Times New Roman"/>
          <w:sz w:val="24"/>
          <w:szCs w:val="24"/>
        </w:rPr>
        <w:t>s this</w:t>
      </w:r>
      <w:r w:rsidR="004713C6" w:rsidRPr="007C61D2">
        <w:rPr>
          <w:rFonts w:ascii="Garamond" w:eastAsia="Times New Roman" w:hAnsi="Garamond" w:cs="Times New Roman"/>
          <w:sz w:val="24"/>
          <w:szCs w:val="24"/>
        </w:rPr>
        <w:t xml:space="preserve"> methodology. It starts with a law reform proposal to </w:t>
      </w:r>
      <w:r w:rsidRPr="007C61D2">
        <w:rPr>
          <w:rFonts w:ascii="Garamond" w:eastAsia="Times New Roman" w:hAnsi="Garamond" w:cs="Times New Roman"/>
          <w:sz w:val="24"/>
          <w:szCs w:val="24"/>
        </w:rPr>
        <w:t xml:space="preserve">draw out </w:t>
      </w:r>
      <w:r w:rsidR="004713C6" w:rsidRPr="007C61D2">
        <w:rPr>
          <w:rFonts w:ascii="Garamond" w:eastAsia="Times New Roman" w:hAnsi="Garamond" w:cs="Times New Roman"/>
          <w:sz w:val="24"/>
          <w:szCs w:val="24"/>
        </w:rPr>
        <w:t xml:space="preserve">the hopes, anxieties, possibilities, fears, practices, and narratives that </w:t>
      </w:r>
      <w:r w:rsidRPr="007C61D2">
        <w:rPr>
          <w:rFonts w:ascii="Garamond" w:eastAsia="Times New Roman" w:hAnsi="Garamond" w:cs="Times New Roman"/>
          <w:sz w:val="24"/>
          <w:szCs w:val="24"/>
        </w:rPr>
        <w:t xml:space="preserve">articulating </w:t>
      </w:r>
      <w:r w:rsidR="00E032DD" w:rsidRPr="007C61D2">
        <w:rPr>
          <w:rFonts w:ascii="Garamond" w:eastAsia="Times New Roman" w:hAnsi="Garamond" w:cs="Times New Roman"/>
          <w:sz w:val="24"/>
          <w:szCs w:val="24"/>
        </w:rPr>
        <w:t xml:space="preserve">such a proposal </w:t>
      </w:r>
      <w:r w:rsidR="004713C6" w:rsidRPr="007C61D2">
        <w:rPr>
          <w:rFonts w:ascii="Garamond" w:eastAsia="Times New Roman" w:hAnsi="Garamond" w:cs="Times New Roman"/>
          <w:sz w:val="24"/>
          <w:szCs w:val="24"/>
        </w:rPr>
        <w:t xml:space="preserve">generates. </w:t>
      </w:r>
      <w:r w:rsidRPr="007C61D2">
        <w:rPr>
          <w:rFonts w:ascii="Garamond" w:eastAsia="Times New Roman" w:hAnsi="Garamond" w:cs="Times New Roman"/>
          <w:sz w:val="24"/>
          <w:szCs w:val="24"/>
        </w:rPr>
        <w:t>P</w:t>
      </w:r>
      <w:r w:rsidR="004713C6" w:rsidRPr="007C61D2">
        <w:rPr>
          <w:rFonts w:ascii="Garamond" w:eastAsia="Times New Roman" w:hAnsi="Garamond" w:cs="Times New Roman"/>
          <w:sz w:val="24"/>
          <w:szCs w:val="24"/>
        </w:rPr>
        <w:t>roposing change</w:t>
      </w:r>
      <w:r w:rsidRPr="007C61D2">
        <w:rPr>
          <w:rFonts w:ascii="Garamond" w:eastAsia="Times New Roman" w:hAnsi="Garamond" w:cs="Times New Roman"/>
          <w:sz w:val="24"/>
          <w:szCs w:val="24"/>
        </w:rPr>
        <w:t xml:space="preserve"> brings </w:t>
      </w:r>
      <w:r w:rsidR="004713C6" w:rsidRPr="007C61D2">
        <w:rPr>
          <w:rFonts w:ascii="Garamond" w:eastAsia="Times New Roman" w:hAnsi="Garamond" w:cs="Times New Roman"/>
          <w:sz w:val="24"/>
          <w:szCs w:val="24"/>
        </w:rPr>
        <w:t xml:space="preserve">ideas and feelings towards </w:t>
      </w:r>
      <w:r w:rsidRPr="007C61D2">
        <w:rPr>
          <w:rFonts w:ascii="Garamond" w:eastAsia="Times New Roman" w:hAnsi="Garamond" w:cs="Times New Roman"/>
          <w:sz w:val="24"/>
          <w:szCs w:val="24"/>
        </w:rPr>
        <w:t>what is and what could be</w:t>
      </w:r>
      <w:r w:rsidR="007126F3" w:rsidRPr="007C61D2">
        <w:rPr>
          <w:rFonts w:ascii="Garamond" w:eastAsia="Times New Roman" w:hAnsi="Garamond" w:cs="Times New Roman"/>
          <w:sz w:val="24"/>
          <w:szCs w:val="24"/>
        </w:rPr>
        <w:t xml:space="preserve"> to the fore</w:t>
      </w:r>
      <w:r w:rsidRPr="007C61D2">
        <w:rPr>
          <w:rFonts w:ascii="Garamond" w:eastAsia="Times New Roman" w:hAnsi="Garamond" w:cs="Times New Roman"/>
          <w:sz w:val="24"/>
          <w:szCs w:val="24"/>
        </w:rPr>
        <w:t xml:space="preserve">. </w:t>
      </w:r>
      <w:r w:rsidR="004713C6" w:rsidRPr="007C61D2">
        <w:rPr>
          <w:rFonts w:ascii="Garamond" w:eastAsia="Times New Roman" w:hAnsi="Garamond" w:cs="Times New Roman"/>
          <w:sz w:val="24"/>
          <w:szCs w:val="24"/>
        </w:rPr>
        <w:t>These can be very uncomfortable (even hostile) feelings, as Elizabeth Peel and Han</w:t>
      </w:r>
      <w:r w:rsidR="00CE35B9">
        <w:rPr>
          <w:rFonts w:ascii="Garamond" w:eastAsia="Times New Roman" w:hAnsi="Garamond" w:cs="Times New Roman"/>
          <w:sz w:val="24"/>
          <w:szCs w:val="24"/>
        </w:rPr>
        <w:t>nah</w:t>
      </w:r>
      <w:r w:rsidR="004713C6" w:rsidRPr="007C61D2">
        <w:rPr>
          <w:rFonts w:ascii="Garamond" w:eastAsia="Times New Roman" w:hAnsi="Garamond" w:cs="Times New Roman"/>
          <w:sz w:val="24"/>
          <w:szCs w:val="24"/>
        </w:rPr>
        <w:t xml:space="preserve"> Newman </w:t>
      </w:r>
      <w:r w:rsidR="00F42C06" w:rsidRPr="007C61D2">
        <w:rPr>
          <w:rFonts w:ascii="Garamond" w:eastAsia="Times New Roman" w:hAnsi="Garamond" w:cs="Times New Roman"/>
          <w:sz w:val="24"/>
          <w:szCs w:val="24"/>
        </w:rPr>
        <w:t xml:space="preserve">also explore in </w:t>
      </w:r>
      <w:r w:rsidR="004713C6" w:rsidRPr="007C61D2">
        <w:rPr>
          <w:rFonts w:ascii="Garamond" w:eastAsia="Times New Roman" w:hAnsi="Garamond" w:cs="Times New Roman"/>
          <w:sz w:val="24"/>
          <w:szCs w:val="24"/>
        </w:rPr>
        <w:t xml:space="preserve">this </w:t>
      </w:r>
      <w:r w:rsidR="00F42C06" w:rsidRPr="007C61D2">
        <w:rPr>
          <w:rFonts w:ascii="Garamond" w:eastAsia="Times New Roman" w:hAnsi="Garamond" w:cs="Times New Roman"/>
          <w:sz w:val="24"/>
          <w:szCs w:val="24"/>
        </w:rPr>
        <w:t xml:space="preserve">special </w:t>
      </w:r>
      <w:r w:rsidR="004713C6" w:rsidRPr="007C61D2">
        <w:rPr>
          <w:rFonts w:ascii="Garamond" w:eastAsia="Times New Roman" w:hAnsi="Garamond" w:cs="Times New Roman"/>
          <w:sz w:val="24"/>
          <w:szCs w:val="24"/>
        </w:rPr>
        <w:t xml:space="preserve">issue. However, </w:t>
      </w:r>
      <w:r w:rsidR="00E032DD" w:rsidRPr="007C61D2">
        <w:rPr>
          <w:rFonts w:ascii="Garamond" w:eastAsia="Times New Roman" w:hAnsi="Garamond" w:cs="Times New Roman"/>
          <w:sz w:val="24"/>
          <w:szCs w:val="24"/>
        </w:rPr>
        <w:t xml:space="preserve">despite – and perhaps because of the criticism </w:t>
      </w:r>
      <w:bookmarkStart w:id="2" w:name="_Hlk48668868"/>
      <w:r w:rsidR="004B4C7C" w:rsidRPr="007C61D2">
        <w:rPr>
          <w:rFonts w:ascii="Garamond" w:eastAsia="Times New Roman" w:hAnsi="Garamond" w:cs="Times New Roman"/>
          <w:sz w:val="24"/>
          <w:szCs w:val="24"/>
        </w:rPr>
        <w:t xml:space="preserve">that </w:t>
      </w:r>
      <w:r w:rsidR="007126F3" w:rsidRPr="007C61D2">
        <w:rPr>
          <w:rFonts w:ascii="Garamond" w:eastAsia="Times New Roman" w:hAnsi="Garamond" w:cs="Times New Roman"/>
          <w:sz w:val="24"/>
          <w:szCs w:val="24"/>
        </w:rPr>
        <w:t>it faces</w:t>
      </w:r>
      <w:r w:rsidR="004829E9" w:rsidRPr="007C61D2">
        <w:rPr>
          <w:rFonts w:ascii="Garamond" w:eastAsia="Times New Roman" w:hAnsi="Garamond" w:cs="Times New Roman"/>
          <w:sz w:val="24"/>
          <w:szCs w:val="24"/>
        </w:rPr>
        <w:t xml:space="preserve"> – </w:t>
      </w:r>
      <w:r w:rsidR="004713C6" w:rsidRPr="007C61D2">
        <w:rPr>
          <w:rFonts w:ascii="Garamond" w:eastAsia="Times New Roman" w:hAnsi="Garamond" w:cs="Times New Roman"/>
          <w:sz w:val="24"/>
          <w:szCs w:val="24"/>
        </w:rPr>
        <w:t xml:space="preserve">decertification is </w:t>
      </w:r>
      <w:r w:rsidRPr="007C61D2">
        <w:rPr>
          <w:rFonts w:ascii="Garamond" w:eastAsia="Times New Roman" w:hAnsi="Garamond" w:cs="Times New Roman"/>
          <w:sz w:val="24"/>
          <w:szCs w:val="24"/>
        </w:rPr>
        <w:t xml:space="preserve">worth </w:t>
      </w:r>
      <w:r w:rsidR="007126F3" w:rsidRPr="007C61D2">
        <w:rPr>
          <w:rFonts w:ascii="Garamond" w:eastAsia="Times New Roman" w:hAnsi="Garamond" w:cs="Times New Roman"/>
          <w:sz w:val="24"/>
          <w:szCs w:val="24"/>
        </w:rPr>
        <w:t>exploring</w:t>
      </w:r>
      <w:r w:rsidR="00E032DD" w:rsidRPr="007C61D2">
        <w:rPr>
          <w:rFonts w:ascii="Garamond" w:eastAsia="Times New Roman" w:hAnsi="Garamond" w:cs="Times New Roman"/>
          <w:sz w:val="24"/>
          <w:szCs w:val="24"/>
        </w:rPr>
        <w:t xml:space="preserve">. It offers a framework through which to </w:t>
      </w:r>
      <w:r w:rsidR="001764DE" w:rsidRPr="007C61D2">
        <w:rPr>
          <w:rFonts w:ascii="Garamond" w:eastAsia="Times New Roman" w:hAnsi="Garamond" w:cs="Times New Roman"/>
          <w:sz w:val="24"/>
          <w:szCs w:val="24"/>
        </w:rPr>
        <w:t xml:space="preserve">examine </w:t>
      </w:r>
      <w:r w:rsidR="00E032DD" w:rsidRPr="007C61D2">
        <w:rPr>
          <w:rFonts w:ascii="Garamond" w:eastAsia="Times New Roman" w:hAnsi="Garamond" w:cs="Times New Roman"/>
          <w:sz w:val="24"/>
          <w:szCs w:val="24"/>
        </w:rPr>
        <w:t xml:space="preserve">contemporary conceptions of gender; the challenges and conflicts surrounding </w:t>
      </w:r>
      <w:r w:rsidR="00E80E31">
        <w:rPr>
          <w:rFonts w:ascii="Garamond" w:eastAsia="Times New Roman" w:hAnsi="Garamond" w:cs="Times New Roman"/>
          <w:sz w:val="24"/>
          <w:szCs w:val="24"/>
        </w:rPr>
        <w:t xml:space="preserve">gender’s </w:t>
      </w:r>
      <w:r w:rsidR="00E032DD" w:rsidRPr="007C61D2">
        <w:rPr>
          <w:rFonts w:ascii="Garamond" w:eastAsia="Times New Roman" w:hAnsi="Garamond" w:cs="Times New Roman"/>
          <w:sz w:val="24"/>
          <w:szCs w:val="24"/>
        </w:rPr>
        <w:t xml:space="preserve">regulation and reform; and the stakes and effects of gender’s reimagining. </w:t>
      </w:r>
      <w:r w:rsidR="004B4C7C" w:rsidRPr="007C61D2">
        <w:rPr>
          <w:rFonts w:ascii="Garamond" w:eastAsia="Times New Roman" w:hAnsi="Garamond" w:cs="Times New Roman"/>
          <w:sz w:val="24"/>
          <w:szCs w:val="24"/>
        </w:rPr>
        <w:t xml:space="preserve">But </w:t>
      </w:r>
      <w:r w:rsidR="004B4C7C" w:rsidRPr="007C61D2">
        <w:rPr>
          <w:rFonts w:ascii="Garamond" w:eastAsia="Times New Roman" w:hAnsi="Garamond" w:cs="Times New Roman"/>
          <w:sz w:val="24"/>
          <w:szCs w:val="24"/>
        </w:rPr>
        <w:lastRenderedPageBreak/>
        <w:t>d</w:t>
      </w:r>
      <w:r w:rsidR="00E032DD" w:rsidRPr="007C61D2">
        <w:rPr>
          <w:rFonts w:ascii="Garamond" w:eastAsia="Times New Roman" w:hAnsi="Garamond" w:cs="Times New Roman"/>
          <w:sz w:val="24"/>
          <w:szCs w:val="24"/>
        </w:rPr>
        <w:t xml:space="preserve">ecertification is </w:t>
      </w:r>
      <w:r w:rsidR="00E80E31">
        <w:rPr>
          <w:rFonts w:ascii="Garamond" w:eastAsia="Times New Roman" w:hAnsi="Garamond" w:cs="Times New Roman"/>
          <w:sz w:val="24"/>
          <w:szCs w:val="24"/>
        </w:rPr>
        <w:t xml:space="preserve">also </w:t>
      </w:r>
      <w:r w:rsidR="00E032DD" w:rsidRPr="007C61D2">
        <w:rPr>
          <w:rFonts w:ascii="Garamond" w:eastAsia="Times New Roman" w:hAnsi="Garamond" w:cs="Times New Roman"/>
          <w:sz w:val="24"/>
          <w:szCs w:val="24"/>
        </w:rPr>
        <w:t>more than an analytical method</w:t>
      </w:r>
      <w:r w:rsidR="00E80E31">
        <w:rPr>
          <w:rFonts w:ascii="Garamond" w:eastAsia="Times New Roman" w:hAnsi="Garamond" w:cs="Times New Roman"/>
          <w:sz w:val="24"/>
          <w:szCs w:val="24"/>
        </w:rPr>
        <w:t>,</w:t>
      </w:r>
      <w:r w:rsidR="001764DE" w:rsidRPr="007C61D2">
        <w:rPr>
          <w:rFonts w:ascii="Garamond" w:eastAsia="Times New Roman" w:hAnsi="Garamond" w:cs="Times New Roman"/>
          <w:sz w:val="24"/>
          <w:szCs w:val="24"/>
        </w:rPr>
        <w:t xml:space="preserve"> or kind of “tickling</w:t>
      </w:r>
      <w:r w:rsidR="00F42C06" w:rsidRPr="007C61D2">
        <w:rPr>
          <w:rFonts w:ascii="Garamond" w:eastAsia="Times New Roman" w:hAnsi="Garamond" w:cs="Times New Roman"/>
          <w:sz w:val="24"/>
          <w:szCs w:val="24"/>
        </w:rPr>
        <w:t>”</w:t>
      </w:r>
      <w:r w:rsidR="00E80E31">
        <w:rPr>
          <w:rFonts w:ascii="Garamond" w:eastAsia="Times New Roman" w:hAnsi="Garamond" w:cs="Times New Roman"/>
          <w:sz w:val="24"/>
          <w:szCs w:val="24"/>
        </w:rPr>
        <w:t>, even as it</w:t>
      </w:r>
      <w:r w:rsidR="00F42C06" w:rsidRPr="007C61D2">
        <w:rPr>
          <w:rFonts w:ascii="Garamond" w:eastAsia="Times New Roman" w:hAnsi="Garamond" w:cs="Times New Roman"/>
          <w:sz w:val="24"/>
          <w:szCs w:val="24"/>
        </w:rPr>
        <w:t xml:space="preserve"> </w:t>
      </w:r>
      <w:r w:rsidR="001764DE" w:rsidRPr="007C61D2">
        <w:rPr>
          <w:rFonts w:ascii="Garamond" w:eastAsia="Times New Roman" w:hAnsi="Garamond" w:cs="Times New Roman"/>
          <w:sz w:val="24"/>
          <w:szCs w:val="24"/>
        </w:rPr>
        <w:t>“engage</w:t>
      </w:r>
      <w:r w:rsidR="00F42C06" w:rsidRPr="007C61D2">
        <w:rPr>
          <w:rFonts w:ascii="Garamond" w:eastAsia="Times New Roman" w:hAnsi="Garamond" w:cs="Times New Roman"/>
          <w:sz w:val="24"/>
          <w:szCs w:val="24"/>
        </w:rPr>
        <w:t>[s]</w:t>
      </w:r>
      <w:r w:rsidR="001764DE" w:rsidRPr="007C61D2">
        <w:rPr>
          <w:rFonts w:ascii="Garamond" w:eastAsia="Times New Roman" w:hAnsi="Garamond" w:cs="Times New Roman"/>
          <w:sz w:val="24"/>
          <w:szCs w:val="24"/>
        </w:rPr>
        <w:t xml:space="preserve"> in play and provocation around law and its limits”</w:t>
      </w:r>
      <w:r w:rsidR="00F42C06" w:rsidRPr="007C61D2">
        <w:rPr>
          <w:rFonts w:ascii="Garamond" w:eastAsia="Times New Roman" w:hAnsi="Garamond" w:cs="Times New Roman"/>
          <w:sz w:val="24"/>
          <w:szCs w:val="24"/>
        </w:rPr>
        <w:t xml:space="preserve"> (Enright et al., 2020: 1</w:t>
      </w:r>
      <w:r w:rsidR="004A5B8F">
        <w:rPr>
          <w:rFonts w:ascii="Garamond" w:eastAsia="Times New Roman" w:hAnsi="Garamond" w:cs="Times New Roman"/>
          <w:sz w:val="24"/>
          <w:szCs w:val="24"/>
        </w:rPr>
        <w:t>8</w:t>
      </w:r>
      <w:r w:rsidR="00F42C06" w:rsidRPr="007C61D2">
        <w:rPr>
          <w:rFonts w:ascii="Garamond" w:eastAsia="Times New Roman" w:hAnsi="Garamond" w:cs="Times New Roman"/>
          <w:sz w:val="24"/>
          <w:szCs w:val="24"/>
        </w:rPr>
        <w:t>)</w:t>
      </w:r>
      <w:r w:rsidR="00E032DD" w:rsidRPr="007C61D2">
        <w:rPr>
          <w:rFonts w:ascii="Garamond" w:eastAsia="Times New Roman" w:hAnsi="Garamond" w:cs="Times New Roman"/>
          <w:sz w:val="24"/>
          <w:szCs w:val="24"/>
        </w:rPr>
        <w:t>. I</w:t>
      </w:r>
      <w:r w:rsidR="00B112DC" w:rsidRPr="007C61D2">
        <w:rPr>
          <w:rFonts w:ascii="Garamond" w:eastAsia="Times New Roman" w:hAnsi="Garamond" w:cs="Times New Roman"/>
          <w:sz w:val="24"/>
          <w:szCs w:val="24"/>
        </w:rPr>
        <w:t xml:space="preserve">n </w:t>
      </w:r>
      <w:r w:rsidR="00E032DD" w:rsidRPr="007C61D2">
        <w:rPr>
          <w:rFonts w:ascii="Garamond" w:eastAsia="Times New Roman" w:hAnsi="Garamond" w:cs="Times New Roman"/>
          <w:sz w:val="24"/>
          <w:szCs w:val="24"/>
        </w:rPr>
        <w:t xml:space="preserve">the </w:t>
      </w:r>
      <w:r w:rsidR="005A4E89" w:rsidRPr="007C61D2">
        <w:rPr>
          <w:rFonts w:ascii="Garamond" w:eastAsia="Times New Roman" w:hAnsi="Garamond" w:cs="Times New Roman"/>
          <w:sz w:val="24"/>
          <w:szCs w:val="24"/>
        </w:rPr>
        <w:t xml:space="preserve">socio-political context </w:t>
      </w:r>
      <w:r w:rsidR="00B112DC" w:rsidRPr="007C61D2">
        <w:rPr>
          <w:rFonts w:ascii="Garamond" w:eastAsia="Times New Roman" w:hAnsi="Garamond" w:cs="Times New Roman"/>
          <w:sz w:val="24"/>
          <w:szCs w:val="24"/>
        </w:rPr>
        <w:t xml:space="preserve">of England &amp; Wales </w:t>
      </w:r>
      <w:r w:rsidR="00E032DD" w:rsidRPr="007C61D2">
        <w:rPr>
          <w:rFonts w:ascii="Garamond" w:eastAsia="Times New Roman" w:hAnsi="Garamond" w:cs="Times New Roman"/>
          <w:sz w:val="24"/>
          <w:szCs w:val="24"/>
        </w:rPr>
        <w:t>(the case-study jurisdiction for this project),</w:t>
      </w:r>
      <w:r w:rsidR="00E80E31" w:rsidRPr="007C61D2">
        <w:rPr>
          <w:rStyle w:val="FootnoteReference"/>
          <w:rFonts w:ascii="Garamond" w:eastAsia="Times New Roman" w:hAnsi="Garamond" w:cs="Times New Roman"/>
          <w:sz w:val="24"/>
          <w:szCs w:val="24"/>
        </w:rPr>
        <w:footnoteReference w:id="4"/>
      </w:r>
      <w:r w:rsidR="00E80E31" w:rsidRPr="007C61D2">
        <w:rPr>
          <w:rFonts w:ascii="Garamond" w:eastAsia="Times New Roman" w:hAnsi="Garamond" w:cs="Times New Roman"/>
          <w:sz w:val="24"/>
          <w:szCs w:val="24"/>
        </w:rPr>
        <w:t xml:space="preserve"> </w:t>
      </w:r>
      <w:r w:rsidR="004B4C7C" w:rsidRPr="007C61D2">
        <w:rPr>
          <w:rFonts w:ascii="Garamond" w:eastAsia="Times New Roman" w:hAnsi="Garamond" w:cs="Times New Roman"/>
          <w:sz w:val="24"/>
          <w:szCs w:val="24"/>
        </w:rPr>
        <w:t xml:space="preserve">decertification </w:t>
      </w:r>
      <w:r w:rsidR="00E032DD" w:rsidRPr="007C61D2">
        <w:rPr>
          <w:rFonts w:ascii="Garamond" w:eastAsia="Times New Roman" w:hAnsi="Garamond" w:cs="Times New Roman"/>
          <w:sz w:val="24"/>
          <w:szCs w:val="24"/>
        </w:rPr>
        <w:t xml:space="preserve">forms a plausible </w:t>
      </w:r>
      <w:bookmarkStart w:id="3" w:name="_Hlk48668835"/>
      <w:r w:rsidR="00E032DD" w:rsidRPr="007C61D2">
        <w:rPr>
          <w:rFonts w:ascii="Garamond" w:eastAsia="Times New Roman" w:hAnsi="Garamond" w:cs="Times New Roman"/>
          <w:sz w:val="24"/>
          <w:szCs w:val="24"/>
        </w:rPr>
        <w:t>option</w:t>
      </w:r>
      <w:r w:rsidR="004829E9" w:rsidRPr="007C61D2">
        <w:rPr>
          <w:rFonts w:ascii="Garamond" w:eastAsia="Times New Roman" w:hAnsi="Garamond" w:cs="Times New Roman"/>
          <w:sz w:val="24"/>
          <w:szCs w:val="24"/>
        </w:rPr>
        <w:t xml:space="preserve"> – </w:t>
      </w:r>
      <w:r w:rsidR="00E032DD" w:rsidRPr="007C61D2">
        <w:rPr>
          <w:rFonts w:ascii="Garamond" w:eastAsia="Times New Roman" w:hAnsi="Garamond" w:cs="Times New Roman"/>
          <w:sz w:val="24"/>
          <w:szCs w:val="24"/>
        </w:rPr>
        <w:t>at least for</w:t>
      </w:r>
      <w:r w:rsidR="007126F3" w:rsidRPr="007C61D2">
        <w:rPr>
          <w:rFonts w:ascii="Garamond" w:eastAsia="Times New Roman" w:hAnsi="Garamond" w:cs="Times New Roman"/>
          <w:sz w:val="24"/>
          <w:szCs w:val="24"/>
        </w:rPr>
        <w:t xml:space="preserve"> </w:t>
      </w:r>
      <w:bookmarkEnd w:id="2"/>
      <w:r w:rsidR="007126F3" w:rsidRPr="007C61D2">
        <w:rPr>
          <w:rFonts w:ascii="Garamond" w:eastAsia="Times New Roman" w:hAnsi="Garamond" w:cs="Times New Roman"/>
          <w:sz w:val="24"/>
          <w:szCs w:val="24"/>
        </w:rPr>
        <w:t>discussion</w:t>
      </w:r>
      <w:bookmarkEnd w:id="3"/>
      <w:r w:rsidR="00E032DD" w:rsidRPr="007C61D2">
        <w:rPr>
          <w:rFonts w:ascii="Garamond" w:eastAsia="Times New Roman" w:hAnsi="Garamond" w:cs="Times New Roman"/>
          <w:sz w:val="24"/>
          <w:szCs w:val="24"/>
        </w:rPr>
        <w:t xml:space="preserve">. This region </w:t>
      </w:r>
      <w:r w:rsidR="00B112DC" w:rsidRPr="007C61D2">
        <w:rPr>
          <w:rFonts w:ascii="Garamond" w:eastAsia="Times New Roman" w:hAnsi="Garamond" w:cs="Times New Roman"/>
          <w:sz w:val="24"/>
          <w:szCs w:val="24"/>
        </w:rPr>
        <w:t xml:space="preserve">has several features that make decertification </w:t>
      </w:r>
      <w:r w:rsidR="007126F3" w:rsidRPr="007C61D2">
        <w:rPr>
          <w:rFonts w:ascii="Garamond" w:eastAsia="Times New Roman" w:hAnsi="Garamond" w:cs="Times New Roman"/>
          <w:sz w:val="24"/>
          <w:szCs w:val="24"/>
        </w:rPr>
        <w:t>reasonable</w:t>
      </w:r>
      <w:r w:rsidR="00B112DC" w:rsidRPr="007C61D2">
        <w:rPr>
          <w:rFonts w:ascii="Garamond" w:eastAsia="Times New Roman" w:hAnsi="Garamond" w:cs="Times New Roman"/>
          <w:sz w:val="24"/>
          <w:szCs w:val="24"/>
        </w:rPr>
        <w:t>. These</w:t>
      </w:r>
      <w:r w:rsidR="008E15E5" w:rsidRPr="007C61D2">
        <w:rPr>
          <w:rFonts w:ascii="Garamond" w:eastAsia="Times New Roman" w:hAnsi="Garamond" w:cs="Times New Roman"/>
          <w:sz w:val="24"/>
          <w:szCs w:val="24"/>
        </w:rPr>
        <w:t xml:space="preserve"> </w:t>
      </w:r>
      <w:r w:rsidR="00B112DC" w:rsidRPr="007C61D2">
        <w:rPr>
          <w:rFonts w:ascii="Garamond" w:eastAsia="Times New Roman" w:hAnsi="Garamond" w:cs="Times New Roman"/>
          <w:sz w:val="24"/>
          <w:szCs w:val="24"/>
        </w:rPr>
        <w:t>include</w:t>
      </w:r>
      <w:r w:rsidR="009A7A0D" w:rsidRPr="007C61D2">
        <w:rPr>
          <w:rFonts w:ascii="Garamond" w:eastAsia="Times New Roman" w:hAnsi="Garamond" w:cs="Times New Roman"/>
          <w:sz w:val="24"/>
          <w:szCs w:val="24"/>
        </w:rPr>
        <w:t>:</w:t>
      </w:r>
      <w:r w:rsidR="00B112DC" w:rsidRPr="007C61D2">
        <w:rPr>
          <w:rFonts w:ascii="Garamond" w:eastAsia="Times New Roman" w:hAnsi="Garamond" w:cs="Times New Roman"/>
          <w:sz w:val="24"/>
          <w:szCs w:val="24"/>
        </w:rPr>
        <w:t xml:space="preserve"> the </w:t>
      </w:r>
      <w:r w:rsidR="005A4E89" w:rsidRPr="007C61D2">
        <w:rPr>
          <w:rFonts w:ascii="Garamond" w:eastAsia="Times New Roman" w:hAnsi="Garamond" w:cs="Times New Roman"/>
          <w:sz w:val="24"/>
          <w:szCs w:val="24"/>
        </w:rPr>
        <w:t xml:space="preserve">growth in </w:t>
      </w:r>
      <w:r w:rsidR="00B112DC" w:rsidRPr="007C61D2">
        <w:rPr>
          <w:rFonts w:ascii="Garamond" w:eastAsia="Times New Roman" w:hAnsi="Garamond" w:cs="Times New Roman"/>
          <w:sz w:val="24"/>
          <w:szCs w:val="24"/>
        </w:rPr>
        <w:t xml:space="preserve">gender-neutral legislation and legal drafting </w:t>
      </w:r>
      <w:r w:rsidR="00E032DD" w:rsidRPr="007C61D2">
        <w:rPr>
          <w:rFonts w:ascii="Garamond" w:eastAsia="Times New Roman" w:hAnsi="Garamond" w:cs="Times New Roman"/>
          <w:sz w:val="24"/>
          <w:szCs w:val="24"/>
        </w:rPr>
        <w:t xml:space="preserve">causing </w:t>
      </w:r>
      <w:r w:rsidR="00B112DC" w:rsidRPr="007C61D2">
        <w:rPr>
          <w:rFonts w:ascii="Garamond" w:eastAsia="Times New Roman" w:hAnsi="Garamond" w:cs="Times New Roman"/>
          <w:sz w:val="24"/>
          <w:szCs w:val="24"/>
        </w:rPr>
        <w:t xml:space="preserve">sex/ gender </w:t>
      </w:r>
      <w:r w:rsidR="00E032DD" w:rsidRPr="007C61D2">
        <w:rPr>
          <w:rFonts w:ascii="Garamond" w:eastAsia="Times New Roman" w:hAnsi="Garamond" w:cs="Times New Roman"/>
          <w:sz w:val="24"/>
          <w:szCs w:val="24"/>
        </w:rPr>
        <w:t xml:space="preserve">to </w:t>
      </w:r>
      <w:r w:rsidR="005A4E89" w:rsidRPr="007C61D2">
        <w:rPr>
          <w:rFonts w:ascii="Garamond" w:eastAsia="Times New Roman" w:hAnsi="Garamond" w:cs="Times New Roman"/>
          <w:sz w:val="24"/>
          <w:szCs w:val="24"/>
        </w:rPr>
        <w:t>becom</w:t>
      </w:r>
      <w:r w:rsidR="00E032DD" w:rsidRPr="007C61D2">
        <w:rPr>
          <w:rFonts w:ascii="Garamond" w:eastAsia="Times New Roman" w:hAnsi="Garamond" w:cs="Times New Roman"/>
          <w:sz w:val="24"/>
          <w:szCs w:val="24"/>
        </w:rPr>
        <w:t xml:space="preserve">e </w:t>
      </w:r>
      <w:r w:rsidR="00B112DC" w:rsidRPr="007C61D2">
        <w:rPr>
          <w:rFonts w:ascii="Garamond" w:eastAsia="Times New Roman" w:hAnsi="Garamond" w:cs="Times New Roman"/>
          <w:sz w:val="24"/>
          <w:szCs w:val="24"/>
        </w:rPr>
        <w:t xml:space="preserve">increasingly </w:t>
      </w:r>
      <w:r w:rsidR="00CE35B9">
        <w:rPr>
          <w:rFonts w:ascii="Garamond" w:eastAsia="Times New Roman" w:hAnsi="Garamond" w:cs="Times New Roman"/>
          <w:sz w:val="24"/>
          <w:szCs w:val="24"/>
        </w:rPr>
        <w:t xml:space="preserve">undifferentiated </w:t>
      </w:r>
      <w:r w:rsidR="006E68BA" w:rsidRPr="007C61D2">
        <w:rPr>
          <w:rFonts w:ascii="Garamond" w:eastAsia="Times New Roman" w:hAnsi="Garamond" w:cs="Times New Roman"/>
          <w:sz w:val="24"/>
          <w:szCs w:val="24"/>
        </w:rPr>
        <w:t xml:space="preserve">at the level of </w:t>
      </w:r>
      <w:r w:rsidR="004B4C7C" w:rsidRPr="007C61D2">
        <w:rPr>
          <w:rFonts w:ascii="Garamond" w:eastAsia="Times New Roman" w:hAnsi="Garamond" w:cs="Times New Roman"/>
          <w:sz w:val="24"/>
          <w:szCs w:val="24"/>
        </w:rPr>
        <w:t xml:space="preserve">statutory </w:t>
      </w:r>
      <w:r w:rsidR="006E68BA" w:rsidRPr="007C61D2">
        <w:rPr>
          <w:rFonts w:ascii="Garamond" w:eastAsia="Times New Roman" w:hAnsi="Garamond" w:cs="Times New Roman"/>
          <w:sz w:val="24"/>
          <w:szCs w:val="24"/>
        </w:rPr>
        <w:t>legal form</w:t>
      </w:r>
      <w:r w:rsidR="007126F3" w:rsidRPr="007C61D2">
        <w:rPr>
          <w:rFonts w:ascii="Garamond" w:eastAsia="Times New Roman" w:hAnsi="Garamond" w:cs="Times New Roman"/>
          <w:sz w:val="24"/>
          <w:szCs w:val="24"/>
        </w:rPr>
        <w:t xml:space="preserve"> (also Grabham, this issue)</w:t>
      </w:r>
      <w:r w:rsidR="009A7A0D" w:rsidRPr="007C61D2">
        <w:rPr>
          <w:rFonts w:ascii="Garamond" w:eastAsia="Times New Roman" w:hAnsi="Garamond" w:cs="Times New Roman"/>
          <w:sz w:val="24"/>
          <w:szCs w:val="24"/>
        </w:rPr>
        <w:t>;</w:t>
      </w:r>
      <w:r w:rsidR="006E68BA" w:rsidRPr="007C61D2">
        <w:rPr>
          <w:rFonts w:ascii="Garamond" w:eastAsia="Times New Roman" w:hAnsi="Garamond" w:cs="Times New Roman"/>
          <w:sz w:val="24"/>
          <w:szCs w:val="24"/>
        </w:rPr>
        <w:t xml:space="preserve"> </w:t>
      </w:r>
      <w:r w:rsidR="00E032DD" w:rsidRPr="007C61D2">
        <w:rPr>
          <w:rFonts w:ascii="Garamond" w:eastAsia="Times New Roman" w:hAnsi="Garamond" w:cs="Times New Roman"/>
          <w:sz w:val="24"/>
          <w:szCs w:val="24"/>
        </w:rPr>
        <w:t xml:space="preserve">legal recognition of </w:t>
      </w:r>
      <w:r w:rsidR="006E68BA" w:rsidRPr="007C61D2">
        <w:rPr>
          <w:rFonts w:ascii="Garamond" w:eastAsia="Times New Roman" w:hAnsi="Garamond" w:cs="Times New Roman"/>
          <w:sz w:val="24"/>
          <w:szCs w:val="24"/>
        </w:rPr>
        <w:t>gender transitioning</w:t>
      </w:r>
      <w:r w:rsidR="00DB0328" w:rsidRPr="007C61D2">
        <w:rPr>
          <w:rFonts w:ascii="Garamond" w:eastAsia="Times New Roman" w:hAnsi="Garamond" w:cs="Times New Roman"/>
          <w:sz w:val="24"/>
          <w:szCs w:val="24"/>
        </w:rPr>
        <w:t xml:space="preserve"> </w:t>
      </w:r>
      <w:r w:rsidR="00E032DD" w:rsidRPr="007C61D2">
        <w:rPr>
          <w:rFonts w:ascii="Garamond" w:eastAsia="Times New Roman" w:hAnsi="Garamond" w:cs="Times New Roman"/>
          <w:sz w:val="24"/>
          <w:szCs w:val="24"/>
        </w:rPr>
        <w:t>(</w:t>
      </w:r>
      <w:r w:rsidR="009A7A0D" w:rsidRPr="007C61D2">
        <w:rPr>
          <w:rFonts w:ascii="Garamond" w:eastAsia="Times New Roman" w:hAnsi="Garamond" w:cs="Times New Roman"/>
          <w:sz w:val="24"/>
          <w:szCs w:val="24"/>
        </w:rPr>
        <w:t xml:space="preserve">through </w:t>
      </w:r>
      <w:r w:rsidR="00DB0328" w:rsidRPr="007C61D2">
        <w:rPr>
          <w:rFonts w:ascii="Garamond" w:eastAsia="Times New Roman" w:hAnsi="Garamond" w:cs="Times New Roman"/>
          <w:sz w:val="24"/>
          <w:szCs w:val="24"/>
        </w:rPr>
        <w:t>the Gender Recognition Act 2004</w:t>
      </w:r>
      <w:r w:rsidR="00E032DD" w:rsidRPr="007C61D2">
        <w:rPr>
          <w:rFonts w:ascii="Garamond" w:eastAsia="Times New Roman" w:hAnsi="Garamond" w:cs="Times New Roman"/>
          <w:sz w:val="24"/>
          <w:szCs w:val="24"/>
        </w:rPr>
        <w:t>)</w:t>
      </w:r>
      <w:r w:rsidR="007126F3" w:rsidRPr="007C61D2">
        <w:rPr>
          <w:rFonts w:ascii="Garamond" w:eastAsia="Times New Roman" w:hAnsi="Garamond" w:cs="Times New Roman"/>
          <w:sz w:val="24"/>
          <w:szCs w:val="24"/>
        </w:rPr>
        <w:t xml:space="preserve">; </w:t>
      </w:r>
      <w:r w:rsidR="00B112DC" w:rsidRPr="007C61D2">
        <w:rPr>
          <w:rFonts w:ascii="Garamond" w:eastAsia="Times New Roman" w:hAnsi="Garamond" w:cs="Times New Roman"/>
          <w:sz w:val="24"/>
          <w:szCs w:val="24"/>
        </w:rPr>
        <w:t>and</w:t>
      </w:r>
      <w:r w:rsidR="00DB0328" w:rsidRPr="007C61D2">
        <w:rPr>
          <w:rFonts w:ascii="Garamond" w:eastAsia="Times New Roman" w:hAnsi="Garamond" w:cs="Times New Roman"/>
          <w:sz w:val="24"/>
          <w:szCs w:val="24"/>
        </w:rPr>
        <w:t xml:space="preserve"> </w:t>
      </w:r>
      <w:r w:rsidR="00B112DC" w:rsidRPr="007C61D2">
        <w:rPr>
          <w:rFonts w:ascii="Garamond" w:eastAsia="Times New Roman" w:hAnsi="Garamond" w:cs="Times New Roman"/>
          <w:sz w:val="24"/>
          <w:szCs w:val="24"/>
        </w:rPr>
        <w:t xml:space="preserve">the social flourishing of gender diversity. At the same time, England &amp; Wales remains a </w:t>
      </w:r>
      <w:r w:rsidR="005A4E89" w:rsidRPr="007C61D2">
        <w:rPr>
          <w:rFonts w:ascii="Garamond" w:eastAsia="Times New Roman" w:hAnsi="Garamond" w:cs="Times New Roman"/>
          <w:sz w:val="24"/>
          <w:szCs w:val="24"/>
        </w:rPr>
        <w:t xml:space="preserve">jurisdiction </w:t>
      </w:r>
      <w:r w:rsidR="00B112DC" w:rsidRPr="007C61D2">
        <w:rPr>
          <w:rFonts w:ascii="Garamond" w:eastAsia="Times New Roman" w:hAnsi="Garamond" w:cs="Times New Roman"/>
          <w:sz w:val="24"/>
          <w:szCs w:val="24"/>
        </w:rPr>
        <w:t>in which gender endur</w:t>
      </w:r>
      <w:r w:rsidR="00E032DD" w:rsidRPr="007C61D2">
        <w:rPr>
          <w:rFonts w:ascii="Garamond" w:eastAsia="Times New Roman" w:hAnsi="Garamond" w:cs="Times New Roman"/>
          <w:sz w:val="24"/>
          <w:szCs w:val="24"/>
        </w:rPr>
        <w:t xml:space="preserve">es as a </w:t>
      </w:r>
      <w:r w:rsidR="00B112DC" w:rsidRPr="007C61D2">
        <w:rPr>
          <w:rFonts w:ascii="Garamond" w:eastAsia="Times New Roman" w:hAnsi="Garamond" w:cs="Times New Roman"/>
          <w:sz w:val="24"/>
          <w:szCs w:val="24"/>
        </w:rPr>
        <w:t>source of inequality,</w:t>
      </w:r>
      <w:r w:rsidR="00DB0328" w:rsidRPr="007C61D2">
        <w:rPr>
          <w:rStyle w:val="FootnoteReference"/>
          <w:rFonts w:ascii="Garamond" w:eastAsia="Times New Roman" w:hAnsi="Garamond" w:cs="Times New Roman"/>
          <w:sz w:val="24"/>
          <w:szCs w:val="24"/>
        </w:rPr>
        <w:footnoteReference w:id="5"/>
      </w:r>
      <w:r w:rsidR="00B112DC" w:rsidRPr="007C61D2">
        <w:rPr>
          <w:rFonts w:ascii="Garamond" w:eastAsia="Times New Roman" w:hAnsi="Garamond" w:cs="Times New Roman"/>
          <w:sz w:val="24"/>
          <w:szCs w:val="24"/>
        </w:rPr>
        <w:t xml:space="preserve"> and</w:t>
      </w:r>
      <w:r w:rsidR="00DB0328" w:rsidRPr="007C61D2">
        <w:rPr>
          <w:rFonts w:ascii="Garamond" w:eastAsia="Times New Roman" w:hAnsi="Garamond" w:cs="Times New Roman"/>
          <w:sz w:val="24"/>
          <w:szCs w:val="24"/>
        </w:rPr>
        <w:t xml:space="preserve"> </w:t>
      </w:r>
      <w:r w:rsidR="00E032DD" w:rsidRPr="007C61D2">
        <w:rPr>
          <w:rFonts w:ascii="Garamond" w:eastAsia="Times New Roman" w:hAnsi="Garamond" w:cs="Times New Roman"/>
          <w:sz w:val="24"/>
          <w:szCs w:val="24"/>
        </w:rPr>
        <w:t xml:space="preserve">as </w:t>
      </w:r>
      <w:r w:rsidR="00DB0328" w:rsidRPr="007C61D2">
        <w:rPr>
          <w:rFonts w:ascii="Garamond" w:eastAsia="Times New Roman" w:hAnsi="Garamond" w:cs="Times New Roman"/>
          <w:sz w:val="24"/>
          <w:szCs w:val="24"/>
        </w:rPr>
        <w:t>an abiding</w:t>
      </w:r>
      <w:r w:rsidR="00B112DC" w:rsidRPr="007C61D2">
        <w:rPr>
          <w:rFonts w:ascii="Garamond" w:eastAsia="Times New Roman" w:hAnsi="Garamond" w:cs="Times New Roman"/>
          <w:sz w:val="24"/>
          <w:szCs w:val="24"/>
        </w:rPr>
        <w:t xml:space="preserve"> structuring feature of societal organisation. This has important implications for how we think about law reform. </w:t>
      </w:r>
    </w:p>
    <w:p w14:paraId="53B435E8" w14:textId="00DF2A34" w:rsidR="005A4E89" w:rsidRPr="007C61D2" w:rsidRDefault="002D72C9" w:rsidP="00056662">
      <w:pPr>
        <w:shd w:val="clear" w:color="auto" w:fill="FFFFFF"/>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ab/>
      </w:r>
      <w:r w:rsidR="00E57F78" w:rsidRPr="007C61D2">
        <w:rPr>
          <w:rFonts w:ascii="Garamond" w:eastAsia="Times New Roman" w:hAnsi="Garamond" w:cs="Times New Roman"/>
          <w:sz w:val="24"/>
          <w:szCs w:val="24"/>
        </w:rPr>
        <w:t>O</w:t>
      </w:r>
      <w:r w:rsidR="005A4E89" w:rsidRPr="007C61D2">
        <w:rPr>
          <w:rFonts w:ascii="Garamond" w:eastAsia="Times New Roman" w:hAnsi="Garamond" w:cs="Times New Roman"/>
          <w:sz w:val="24"/>
          <w:szCs w:val="24"/>
        </w:rPr>
        <w:t xml:space="preserve">ur </w:t>
      </w:r>
      <w:r w:rsidRPr="007C61D2">
        <w:rPr>
          <w:rFonts w:ascii="Garamond" w:eastAsia="Times New Roman" w:hAnsi="Garamond" w:cs="Times New Roman"/>
          <w:sz w:val="24"/>
          <w:szCs w:val="24"/>
        </w:rPr>
        <w:t xml:space="preserve">analysis </w:t>
      </w:r>
      <w:r w:rsidR="00E57F78" w:rsidRPr="007C61D2">
        <w:rPr>
          <w:rFonts w:ascii="Garamond" w:eastAsia="Times New Roman" w:hAnsi="Garamond" w:cs="Times New Roman"/>
          <w:sz w:val="24"/>
          <w:szCs w:val="24"/>
        </w:rPr>
        <w:t>of decertification</w:t>
      </w:r>
      <w:r w:rsidR="00E80E31">
        <w:rPr>
          <w:rFonts w:ascii="Garamond" w:eastAsia="Times New Roman" w:hAnsi="Garamond" w:cs="Times New Roman"/>
          <w:sz w:val="24"/>
          <w:szCs w:val="24"/>
        </w:rPr>
        <w:t>, in this article,</w:t>
      </w:r>
      <w:r w:rsidR="00E57F78" w:rsidRPr="007C61D2">
        <w:rPr>
          <w:rFonts w:ascii="Garamond" w:eastAsia="Times New Roman" w:hAnsi="Garamond" w:cs="Times New Roman"/>
          <w:sz w:val="24"/>
          <w:szCs w:val="24"/>
        </w:rPr>
        <w:t xml:space="preserve"> </w:t>
      </w:r>
      <w:r w:rsidR="00C43B6D" w:rsidRPr="007C61D2">
        <w:rPr>
          <w:rFonts w:ascii="Garamond" w:eastAsia="Times New Roman" w:hAnsi="Garamond" w:cs="Times New Roman"/>
          <w:sz w:val="24"/>
          <w:szCs w:val="24"/>
        </w:rPr>
        <w:t xml:space="preserve">develops through the following </w:t>
      </w:r>
      <w:r w:rsidR="005A2B88" w:rsidRPr="007C61D2">
        <w:rPr>
          <w:rFonts w:ascii="Garamond" w:eastAsia="Times New Roman" w:hAnsi="Garamond" w:cs="Times New Roman"/>
          <w:sz w:val="24"/>
          <w:szCs w:val="24"/>
        </w:rPr>
        <w:t>five</w:t>
      </w:r>
      <w:r w:rsidRPr="007C61D2">
        <w:rPr>
          <w:rFonts w:ascii="Garamond" w:eastAsia="Times New Roman" w:hAnsi="Garamond" w:cs="Times New Roman"/>
          <w:sz w:val="24"/>
          <w:szCs w:val="24"/>
        </w:rPr>
        <w:t xml:space="preserve"> steps.</w:t>
      </w:r>
      <w:r w:rsidR="008E15E5" w:rsidRPr="007C61D2">
        <w:rPr>
          <w:rFonts w:ascii="Garamond" w:eastAsia="Times New Roman" w:hAnsi="Garamond" w:cs="Times New Roman"/>
          <w:sz w:val="24"/>
          <w:szCs w:val="24"/>
        </w:rPr>
        <w:t xml:space="preserve"> </w:t>
      </w:r>
      <w:r w:rsidR="005A4E89" w:rsidRPr="007C61D2">
        <w:rPr>
          <w:rFonts w:ascii="Garamond" w:eastAsia="Times New Roman" w:hAnsi="Garamond" w:cs="Times New Roman"/>
          <w:sz w:val="24"/>
          <w:szCs w:val="24"/>
        </w:rPr>
        <w:t>1</w:t>
      </w:r>
      <w:r w:rsidR="00C43B6D" w:rsidRPr="007C61D2">
        <w:rPr>
          <w:rFonts w:ascii="Garamond" w:eastAsia="Times New Roman" w:hAnsi="Garamond" w:cs="Times New Roman"/>
          <w:sz w:val="24"/>
          <w:szCs w:val="24"/>
        </w:rPr>
        <w:t xml:space="preserve">. </w:t>
      </w:r>
      <w:r w:rsidR="00E57F78" w:rsidRPr="007C61D2">
        <w:rPr>
          <w:rFonts w:ascii="Garamond" w:eastAsia="Times New Roman" w:hAnsi="Garamond" w:cs="Times New Roman"/>
          <w:sz w:val="24"/>
          <w:szCs w:val="24"/>
        </w:rPr>
        <w:t>W</w:t>
      </w:r>
      <w:r w:rsidRPr="007C61D2">
        <w:rPr>
          <w:rFonts w:ascii="Garamond" w:eastAsia="Times New Roman" w:hAnsi="Garamond" w:cs="Times New Roman"/>
          <w:sz w:val="24"/>
          <w:szCs w:val="24"/>
        </w:rPr>
        <w:t xml:space="preserve">e </w:t>
      </w:r>
      <w:r w:rsidR="00E57F78" w:rsidRPr="007C61D2">
        <w:rPr>
          <w:rFonts w:ascii="Garamond" w:eastAsia="Times New Roman" w:hAnsi="Garamond" w:cs="Times New Roman"/>
          <w:sz w:val="24"/>
          <w:szCs w:val="24"/>
        </w:rPr>
        <w:t xml:space="preserve">start by </w:t>
      </w:r>
      <w:r w:rsidRPr="007C61D2">
        <w:rPr>
          <w:rFonts w:ascii="Garamond" w:eastAsia="Times New Roman" w:hAnsi="Garamond" w:cs="Times New Roman"/>
          <w:sz w:val="24"/>
          <w:szCs w:val="24"/>
        </w:rPr>
        <w:t>consider</w:t>
      </w:r>
      <w:r w:rsidR="00E57F78" w:rsidRPr="007C61D2">
        <w:rPr>
          <w:rFonts w:ascii="Garamond" w:eastAsia="Times New Roman" w:hAnsi="Garamond" w:cs="Times New Roman"/>
          <w:sz w:val="24"/>
          <w:szCs w:val="24"/>
        </w:rPr>
        <w:t>ing</w:t>
      </w:r>
      <w:r w:rsidRPr="007C61D2">
        <w:rPr>
          <w:rFonts w:ascii="Garamond" w:eastAsia="Times New Roman" w:hAnsi="Garamond" w:cs="Times New Roman"/>
          <w:sz w:val="24"/>
          <w:szCs w:val="24"/>
        </w:rPr>
        <w:t xml:space="preserve"> </w:t>
      </w:r>
      <w:r w:rsidR="00885C06" w:rsidRPr="007C61D2">
        <w:rPr>
          <w:rFonts w:ascii="Garamond" w:eastAsia="Times New Roman" w:hAnsi="Garamond" w:cs="Times New Roman"/>
          <w:sz w:val="24"/>
          <w:szCs w:val="24"/>
        </w:rPr>
        <w:t>a</w:t>
      </w:r>
      <w:r w:rsidR="00C43B6D" w:rsidRPr="007C61D2">
        <w:rPr>
          <w:rFonts w:ascii="Garamond" w:eastAsia="Times New Roman" w:hAnsi="Garamond" w:cs="Times New Roman"/>
          <w:sz w:val="24"/>
          <w:szCs w:val="24"/>
        </w:rPr>
        <w:t>n</w:t>
      </w:r>
      <w:r w:rsidR="00885C06"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alternative option</w:t>
      </w:r>
      <w:r w:rsidR="00E90A76">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E80E31">
        <w:rPr>
          <w:rFonts w:ascii="Garamond" w:eastAsia="Times New Roman" w:hAnsi="Garamond" w:cs="Times New Roman"/>
          <w:sz w:val="24"/>
          <w:szCs w:val="24"/>
        </w:rPr>
        <w:t xml:space="preserve">which </w:t>
      </w:r>
      <w:r w:rsidR="00E90A76">
        <w:rPr>
          <w:rFonts w:ascii="Garamond" w:eastAsia="Times New Roman" w:hAnsi="Garamond" w:cs="Times New Roman"/>
          <w:sz w:val="24"/>
          <w:szCs w:val="24"/>
        </w:rPr>
        <w:t xml:space="preserve">some have </w:t>
      </w:r>
      <w:r w:rsidRPr="007C61D2">
        <w:rPr>
          <w:rFonts w:ascii="Garamond" w:eastAsia="Times New Roman" w:hAnsi="Garamond" w:cs="Times New Roman"/>
          <w:sz w:val="24"/>
          <w:szCs w:val="24"/>
        </w:rPr>
        <w:t>proposed</w:t>
      </w:r>
      <w:r w:rsidR="00E80E31">
        <w:rPr>
          <w:rFonts w:ascii="Garamond" w:eastAsia="Times New Roman" w:hAnsi="Garamond" w:cs="Times New Roman"/>
          <w:sz w:val="24"/>
          <w:szCs w:val="24"/>
        </w:rPr>
        <w:t>,</w:t>
      </w:r>
      <w:r w:rsidR="00E90A76">
        <w:rPr>
          <w:rFonts w:ascii="Garamond" w:eastAsia="Times New Roman" w:hAnsi="Garamond" w:cs="Times New Roman"/>
          <w:sz w:val="24"/>
          <w:szCs w:val="24"/>
        </w:rPr>
        <w:t xml:space="preserve"> that </w:t>
      </w:r>
      <w:r w:rsidR="00E57F78" w:rsidRPr="007C61D2">
        <w:rPr>
          <w:rFonts w:ascii="Garamond" w:eastAsia="Times New Roman" w:hAnsi="Garamond" w:cs="Times New Roman"/>
          <w:sz w:val="24"/>
          <w:szCs w:val="24"/>
        </w:rPr>
        <w:t xml:space="preserve">would </w:t>
      </w:r>
      <w:r w:rsidRPr="007C61D2">
        <w:rPr>
          <w:rFonts w:ascii="Garamond" w:eastAsia="Times New Roman" w:hAnsi="Garamond" w:cs="Times New Roman"/>
          <w:sz w:val="24"/>
          <w:szCs w:val="24"/>
        </w:rPr>
        <w:t xml:space="preserve">diversify the gendered identifications </w:t>
      </w:r>
      <w:r w:rsidR="00E90A76">
        <w:rPr>
          <w:rFonts w:ascii="Garamond" w:eastAsia="Times New Roman" w:hAnsi="Garamond" w:cs="Times New Roman"/>
          <w:sz w:val="24"/>
          <w:szCs w:val="24"/>
        </w:rPr>
        <w:t xml:space="preserve">or categories </w:t>
      </w:r>
      <w:r w:rsidRPr="007C61D2">
        <w:rPr>
          <w:rFonts w:ascii="Garamond" w:eastAsia="Times New Roman" w:hAnsi="Garamond" w:cs="Times New Roman"/>
          <w:sz w:val="24"/>
          <w:szCs w:val="24"/>
        </w:rPr>
        <w:t>that state law recognises</w:t>
      </w:r>
      <w:r w:rsidR="004B4C7C"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and </w:t>
      </w:r>
      <w:r w:rsidR="00885C06" w:rsidRPr="007C61D2">
        <w:rPr>
          <w:rFonts w:ascii="Garamond" w:eastAsia="Times New Roman" w:hAnsi="Garamond" w:cs="Times New Roman"/>
          <w:sz w:val="24"/>
          <w:szCs w:val="24"/>
        </w:rPr>
        <w:t xml:space="preserve">we </w:t>
      </w:r>
      <w:r w:rsidRPr="007C61D2">
        <w:rPr>
          <w:rFonts w:ascii="Garamond" w:eastAsia="Times New Roman" w:hAnsi="Garamond" w:cs="Times New Roman"/>
          <w:sz w:val="24"/>
          <w:szCs w:val="24"/>
        </w:rPr>
        <w:t xml:space="preserve">explain why </w:t>
      </w:r>
      <w:r w:rsidR="00C43B6D" w:rsidRPr="007C61D2">
        <w:rPr>
          <w:rFonts w:ascii="Garamond" w:eastAsia="Times New Roman" w:hAnsi="Garamond" w:cs="Times New Roman"/>
          <w:sz w:val="24"/>
          <w:szCs w:val="24"/>
        </w:rPr>
        <w:t xml:space="preserve">this option </w:t>
      </w:r>
      <w:r w:rsidR="00EC5EDF" w:rsidRPr="007C61D2">
        <w:rPr>
          <w:rFonts w:ascii="Garamond" w:eastAsia="Times New Roman" w:hAnsi="Garamond" w:cs="Times New Roman"/>
          <w:sz w:val="24"/>
          <w:szCs w:val="24"/>
        </w:rPr>
        <w:t>is less critically appealing</w:t>
      </w:r>
      <w:r w:rsidR="008E15E5" w:rsidRPr="007C61D2">
        <w:rPr>
          <w:rFonts w:ascii="Garamond" w:eastAsia="Times New Roman" w:hAnsi="Garamond" w:cs="Times New Roman"/>
          <w:sz w:val="24"/>
          <w:szCs w:val="24"/>
        </w:rPr>
        <w:t xml:space="preserve"> than decertification</w:t>
      </w:r>
      <w:r w:rsidR="004B4C7C" w:rsidRPr="007C61D2">
        <w:rPr>
          <w:rFonts w:ascii="Garamond" w:eastAsia="Times New Roman" w:hAnsi="Garamond" w:cs="Times New Roman"/>
          <w:sz w:val="24"/>
          <w:szCs w:val="24"/>
        </w:rPr>
        <w:t>.</w:t>
      </w:r>
      <w:r w:rsidR="00C43B6D" w:rsidRPr="007C61D2">
        <w:rPr>
          <w:rFonts w:ascii="Garamond" w:eastAsia="Times New Roman" w:hAnsi="Garamond" w:cs="Times New Roman"/>
          <w:sz w:val="24"/>
          <w:szCs w:val="24"/>
        </w:rPr>
        <w:t xml:space="preserve"> </w:t>
      </w:r>
      <w:r w:rsidR="005A4E89" w:rsidRPr="007C61D2">
        <w:rPr>
          <w:rFonts w:ascii="Garamond" w:eastAsia="Times New Roman" w:hAnsi="Garamond" w:cs="Times New Roman"/>
          <w:sz w:val="24"/>
          <w:szCs w:val="24"/>
        </w:rPr>
        <w:t>2</w:t>
      </w:r>
      <w:r w:rsidRPr="007C61D2">
        <w:rPr>
          <w:rFonts w:ascii="Garamond" w:eastAsia="Times New Roman" w:hAnsi="Garamond" w:cs="Times New Roman"/>
          <w:sz w:val="24"/>
          <w:szCs w:val="24"/>
        </w:rPr>
        <w:t xml:space="preserve">. </w:t>
      </w:r>
      <w:r w:rsidR="00E57F78" w:rsidRPr="007C61D2">
        <w:rPr>
          <w:rFonts w:ascii="Garamond" w:eastAsia="Times New Roman" w:hAnsi="Garamond" w:cs="Times New Roman"/>
          <w:sz w:val="24"/>
          <w:szCs w:val="24"/>
        </w:rPr>
        <w:t>W</w:t>
      </w:r>
      <w:r w:rsidRPr="007C61D2">
        <w:rPr>
          <w:rFonts w:ascii="Garamond" w:eastAsia="Times New Roman" w:hAnsi="Garamond" w:cs="Times New Roman"/>
          <w:sz w:val="24"/>
          <w:szCs w:val="24"/>
        </w:rPr>
        <w:t xml:space="preserve">e </w:t>
      </w:r>
      <w:r w:rsidR="00885C06" w:rsidRPr="007C61D2">
        <w:rPr>
          <w:rFonts w:ascii="Garamond" w:eastAsia="Times New Roman" w:hAnsi="Garamond" w:cs="Times New Roman"/>
          <w:sz w:val="24"/>
          <w:szCs w:val="24"/>
        </w:rPr>
        <w:t xml:space="preserve">then </w:t>
      </w:r>
      <w:r w:rsidR="005A2B88" w:rsidRPr="007C61D2">
        <w:rPr>
          <w:rFonts w:ascii="Garamond" w:eastAsia="Times New Roman" w:hAnsi="Garamond" w:cs="Times New Roman"/>
          <w:sz w:val="24"/>
          <w:szCs w:val="24"/>
        </w:rPr>
        <w:t xml:space="preserve">explain decertification and its </w:t>
      </w:r>
      <w:r w:rsidRPr="007C61D2">
        <w:rPr>
          <w:rFonts w:ascii="Garamond" w:eastAsia="Times New Roman" w:hAnsi="Garamond" w:cs="Times New Roman"/>
          <w:sz w:val="24"/>
          <w:szCs w:val="24"/>
        </w:rPr>
        <w:t xml:space="preserve">benefits </w:t>
      </w:r>
      <w:r w:rsidR="00EC5EDF" w:rsidRPr="007C61D2">
        <w:rPr>
          <w:rFonts w:ascii="Garamond" w:eastAsia="Times New Roman" w:hAnsi="Garamond" w:cs="Times New Roman"/>
          <w:sz w:val="24"/>
          <w:szCs w:val="24"/>
        </w:rPr>
        <w:t>for a feminist politics</w:t>
      </w:r>
      <w:r w:rsidR="00DB0328" w:rsidRPr="007C61D2">
        <w:rPr>
          <w:rFonts w:ascii="Garamond" w:eastAsia="Times New Roman" w:hAnsi="Garamond" w:cs="Times New Roman"/>
          <w:sz w:val="24"/>
          <w:szCs w:val="24"/>
        </w:rPr>
        <w:t xml:space="preserve"> oriented to transformative change</w:t>
      </w:r>
      <w:r w:rsidR="00E02889" w:rsidRPr="007C61D2">
        <w:rPr>
          <w:rFonts w:ascii="Garamond" w:eastAsia="Times New Roman" w:hAnsi="Garamond" w:cs="Times New Roman"/>
          <w:sz w:val="24"/>
          <w:szCs w:val="24"/>
        </w:rPr>
        <w:t>.</w:t>
      </w:r>
      <w:r w:rsidR="00C43B6D" w:rsidRPr="007C61D2">
        <w:rPr>
          <w:rFonts w:ascii="Garamond" w:eastAsia="Times New Roman" w:hAnsi="Garamond" w:cs="Times New Roman"/>
          <w:sz w:val="24"/>
          <w:szCs w:val="24"/>
        </w:rPr>
        <w:t xml:space="preserve"> </w:t>
      </w:r>
      <w:r w:rsidR="005A4E89" w:rsidRPr="007C61D2">
        <w:rPr>
          <w:rFonts w:ascii="Garamond" w:eastAsia="Times New Roman" w:hAnsi="Garamond" w:cs="Times New Roman"/>
          <w:sz w:val="24"/>
          <w:szCs w:val="24"/>
        </w:rPr>
        <w:t>3</w:t>
      </w:r>
      <w:r w:rsidR="00C43B6D" w:rsidRPr="007C61D2">
        <w:rPr>
          <w:rFonts w:ascii="Garamond" w:eastAsia="Times New Roman" w:hAnsi="Garamond" w:cs="Times New Roman"/>
          <w:sz w:val="24"/>
          <w:szCs w:val="24"/>
        </w:rPr>
        <w:t xml:space="preserve">. </w:t>
      </w:r>
      <w:r w:rsidR="00E57F78" w:rsidRPr="007C61D2">
        <w:rPr>
          <w:rFonts w:ascii="Garamond" w:eastAsia="Times New Roman" w:hAnsi="Garamond" w:cs="Times New Roman"/>
          <w:sz w:val="24"/>
          <w:szCs w:val="24"/>
        </w:rPr>
        <w:t>W</w:t>
      </w:r>
      <w:r w:rsidR="00885C06" w:rsidRPr="007C61D2">
        <w:rPr>
          <w:rFonts w:ascii="Garamond" w:eastAsia="Times New Roman" w:hAnsi="Garamond" w:cs="Times New Roman"/>
          <w:sz w:val="24"/>
          <w:szCs w:val="24"/>
        </w:rPr>
        <w:t xml:space="preserve">e explore </w:t>
      </w:r>
      <w:r w:rsidR="00E80E31">
        <w:rPr>
          <w:rFonts w:ascii="Garamond" w:eastAsia="Times New Roman" w:hAnsi="Garamond" w:cs="Times New Roman"/>
          <w:sz w:val="24"/>
          <w:szCs w:val="24"/>
        </w:rPr>
        <w:t xml:space="preserve">some </w:t>
      </w:r>
      <w:r w:rsidR="00885C06" w:rsidRPr="007C61D2">
        <w:rPr>
          <w:rFonts w:ascii="Garamond" w:eastAsia="Times New Roman" w:hAnsi="Garamond" w:cs="Times New Roman"/>
          <w:sz w:val="24"/>
          <w:szCs w:val="24"/>
        </w:rPr>
        <w:t>feminist criticisms of decertification</w:t>
      </w:r>
      <w:r w:rsidR="00E02889" w:rsidRPr="007C61D2">
        <w:rPr>
          <w:rFonts w:ascii="Garamond" w:eastAsia="Times New Roman" w:hAnsi="Garamond" w:cs="Times New Roman"/>
          <w:sz w:val="24"/>
          <w:szCs w:val="24"/>
        </w:rPr>
        <w:t xml:space="preserve">. And </w:t>
      </w:r>
      <w:r w:rsidR="005A4E89" w:rsidRPr="007C61D2">
        <w:rPr>
          <w:rFonts w:ascii="Garamond" w:eastAsia="Times New Roman" w:hAnsi="Garamond" w:cs="Times New Roman"/>
          <w:sz w:val="24"/>
          <w:szCs w:val="24"/>
        </w:rPr>
        <w:t>4</w:t>
      </w:r>
      <w:r w:rsidR="00C43B6D" w:rsidRPr="007C61D2">
        <w:rPr>
          <w:rFonts w:ascii="Garamond" w:eastAsia="Times New Roman" w:hAnsi="Garamond" w:cs="Times New Roman"/>
          <w:sz w:val="24"/>
          <w:szCs w:val="24"/>
        </w:rPr>
        <w:t>.</w:t>
      </w:r>
      <w:r w:rsidR="00885C06" w:rsidRPr="007C61D2">
        <w:rPr>
          <w:rFonts w:ascii="Garamond" w:eastAsia="Times New Roman" w:hAnsi="Garamond" w:cs="Times New Roman"/>
          <w:sz w:val="24"/>
          <w:szCs w:val="24"/>
        </w:rPr>
        <w:t xml:space="preserve"> </w:t>
      </w:r>
      <w:r w:rsidR="00E02889" w:rsidRPr="007C61D2">
        <w:rPr>
          <w:rFonts w:ascii="Garamond" w:eastAsia="Times New Roman" w:hAnsi="Garamond" w:cs="Times New Roman"/>
          <w:sz w:val="24"/>
          <w:szCs w:val="24"/>
        </w:rPr>
        <w:t>w</w:t>
      </w:r>
      <w:r w:rsidR="00885C06" w:rsidRPr="007C61D2">
        <w:rPr>
          <w:rFonts w:ascii="Garamond" w:eastAsia="Times New Roman" w:hAnsi="Garamond" w:cs="Times New Roman"/>
          <w:sz w:val="24"/>
          <w:szCs w:val="24"/>
        </w:rPr>
        <w:t xml:space="preserve">e </w:t>
      </w:r>
      <w:r w:rsidR="00E02889" w:rsidRPr="007C61D2">
        <w:rPr>
          <w:rFonts w:ascii="Garamond" w:eastAsia="Times New Roman" w:hAnsi="Garamond" w:cs="Times New Roman"/>
          <w:sz w:val="24"/>
          <w:szCs w:val="24"/>
        </w:rPr>
        <w:t xml:space="preserve">trace </w:t>
      </w:r>
      <w:r w:rsidR="00885C06" w:rsidRPr="007C61D2">
        <w:rPr>
          <w:rFonts w:ascii="Garamond" w:eastAsia="Times New Roman" w:hAnsi="Garamond" w:cs="Times New Roman"/>
          <w:sz w:val="24"/>
          <w:szCs w:val="24"/>
        </w:rPr>
        <w:t>responses to these concerns</w:t>
      </w:r>
      <w:r w:rsidR="00E02889" w:rsidRPr="007C61D2">
        <w:rPr>
          <w:rFonts w:ascii="Garamond" w:eastAsia="Times New Roman" w:hAnsi="Garamond" w:cs="Times New Roman"/>
          <w:sz w:val="24"/>
          <w:szCs w:val="24"/>
        </w:rPr>
        <w:t>, focusing</w:t>
      </w:r>
      <w:r w:rsidR="00885C06" w:rsidRPr="007C61D2">
        <w:rPr>
          <w:rFonts w:ascii="Garamond" w:eastAsia="Times New Roman" w:hAnsi="Garamond" w:cs="Times New Roman"/>
          <w:sz w:val="24"/>
          <w:szCs w:val="24"/>
        </w:rPr>
        <w:t xml:space="preserve"> </w:t>
      </w:r>
      <w:r w:rsidR="00E02889" w:rsidRPr="007C61D2">
        <w:rPr>
          <w:rFonts w:ascii="Garamond" w:eastAsia="Times New Roman" w:hAnsi="Garamond" w:cs="Times New Roman"/>
          <w:sz w:val="24"/>
          <w:szCs w:val="24"/>
        </w:rPr>
        <w:t xml:space="preserve">on </w:t>
      </w:r>
      <w:r w:rsidR="006648D4" w:rsidRPr="007C61D2">
        <w:rPr>
          <w:rFonts w:ascii="Garamond" w:eastAsia="Times New Roman" w:hAnsi="Garamond" w:cs="Times New Roman"/>
          <w:sz w:val="24"/>
          <w:szCs w:val="24"/>
        </w:rPr>
        <w:t xml:space="preserve">governing strategies that </w:t>
      </w:r>
      <w:r w:rsidR="00C43B6D" w:rsidRPr="007C61D2">
        <w:rPr>
          <w:rFonts w:ascii="Garamond" w:eastAsia="Times New Roman" w:hAnsi="Garamond" w:cs="Times New Roman"/>
          <w:sz w:val="24"/>
          <w:szCs w:val="24"/>
        </w:rPr>
        <w:t xml:space="preserve">seek to pre-empt </w:t>
      </w:r>
      <w:r w:rsidR="00885C06" w:rsidRPr="007C61D2">
        <w:rPr>
          <w:rFonts w:ascii="Garamond" w:eastAsia="Times New Roman" w:hAnsi="Garamond" w:cs="Times New Roman"/>
          <w:sz w:val="24"/>
          <w:szCs w:val="24"/>
        </w:rPr>
        <w:t xml:space="preserve">the harms </w:t>
      </w:r>
      <w:r w:rsidR="00C43B6D" w:rsidRPr="007C61D2">
        <w:rPr>
          <w:rFonts w:ascii="Garamond" w:eastAsia="Times New Roman" w:hAnsi="Garamond" w:cs="Times New Roman"/>
          <w:sz w:val="24"/>
          <w:szCs w:val="24"/>
        </w:rPr>
        <w:t>and risks</w:t>
      </w:r>
      <w:r w:rsidR="007126F3" w:rsidRPr="007C61D2">
        <w:rPr>
          <w:rFonts w:ascii="Garamond" w:eastAsia="Times New Roman" w:hAnsi="Garamond" w:cs="Times New Roman"/>
          <w:sz w:val="24"/>
          <w:szCs w:val="24"/>
        </w:rPr>
        <w:t xml:space="preserve"> </w:t>
      </w:r>
      <w:r w:rsidR="00E80E31">
        <w:rPr>
          <w:rFonts w:ascii="Garamond" w:eastAsia="Times New Roman" w:hAnsi="Garamond" w:cs="Times New Roman"/>
          <w:sz w:val="24"/>
          <w:szCs w:val="24"/>
        </w:rPr>
        <w:t xml:space="preserve">that </w:t>
      </w:r>
      <w:r w:rsidR="00E02889" w:rsidRPr="007C61D2">
        <w:rPr>
          <w:rFonts w:ascii="Garamond" w:eastAsia="Times New Roman" w:hAnsi="Garamond" w:cs="Times New Roman"/>
          <w:sz w:val="24"/>
          <w:szCs w:val="24"/>
        </w:rPr>
        <w:t xml:space="preserve">critics </w:t>
      </w:r>
      <w:r w:rsidR="007126F3" w:rsidRPr="007C61D2">
        <w:rPr>
          <w:rFonts w:ascii="Garamond" w:eastAsia="Times New Roman" w:hAnsi="Garamond" w:cs="Times New Roman"/>
          <w:sz w:val="24"/>
          <w:szCs w:val="24"/>
        </w:rPr>
        <w:t>identif</w:t>
      </w:r>
      <w:r w:rsidR="00E02889" w:rsidRPr="007C61D2">
        <w:rPr>
          <w:rFonts w:ascii="Garamond" w:eastAsia="Times New Roman" w:hAnsi="Garamond" w:cs="Times New Roman"/>
          <w:sz w:val="24"/>
          <w:szCs w:val="24"/>
        </w:rPr>
        <w:t xml:space="preserve">y as well as </w:t>
      </w:r>
      <w:r w:rsidR="006648D4" w:rsidRPr="007C61D2">
        <w:rPr>
          <w:rFonts w:ascii="Garamond" w:eastAsia="Times New Roman" w:hAnsi="Garamond" w:cs="Times New Roman"/>
          <w:sz w:val="24"/>
          <w:szCs w:val="24"/>
        </w:rPr>
        <w:t xml:space="preserve">political responses </w:t>
      </w:r>
      <w:r w:rsidR="00C43B6D" w:rsidRPr="007C61D2">
        <w:rPr>
          <w:rFonts w:ascii="Garamond" w:eastAsia="Times New Roman" w:hAnsi="Garamond" w:cs="Times New Roman"/>
          <w:sz w:val="24"/>
          <w:szCs w:val="24"/>
        </w:rPr>
        <w:t>that fold decertification</w:t>
      </w:r>
      <w:r w:rsidR="00E57F78" w:rsidRPr="007C61D2">
        <w:rPr>
          <w:rFonts w:ascii="Garamond" w:eastAsia="Times New Roman" w:hAnsi="Garamond" w:cs="Times New Roman"/>
          <w:sz w:val="24"/>
          <w:szCs w:val="24"/>
        </w:rPr>
        <w:t>, more explicitly,</w:t>
      </w:r>
      <w:r w:rsidR="00C43B6D" w:rsidRPr="007C61D2">
        <w:rPr>
          <w:rFonts w:ascii="Garamond" w:eastAsia="Times New Roman" w:hAnsi="Garamond" w:cs="Times New Roman"/>
          <w:sz w:val="24"/>
          <w:szCs w:val="24"/>
        </w:rPr>
        <w:t xml:space="preserve"> into </w:t>
      </w:r>
      <w:r w:rsidR="00E57F78" w:rsidRPr="007C61D2">
        <w:rPr>
          <w:rFonts w:ascii="Garamond" w:eastAsia="Times New Roman" w:hAnsi="Garamond" w:cs="Times New Roman"/>
          <w:sz w:val="24"/>
          <w:szCs w:val="24"/>
        </w:rPr>
        <w:t>project</w:t>
      </w:r>
      <w:r w:rsidR="00E02889" w:rsidRPr="007C61D2">
        <w:rPr>
          <w:rFonts w:ascii="Garamond" w:eastAsia="Times New Roman" w:hAnsi="Garamond" w:cs="Times New Roman"/>
          <w:sz w:val="24"/>
          <w:szCs w:val="24"/>
        </w:rPr>
        <w:t xml:space="preserve">s for </w:t>
      </w:r>
      <w:r w:rsidR="00E57F78" w:rsidRPr="007C61D2">
        <w:rPr>
          <w:rFonts w:ascii="Garamond" w:eastAsia="Times New Roman" w:hAnsi="Garamond" w:cs="Times New Roman"/>
          <w:sz w:val="24"/>
          <w:szCs w:val="24"/>
        </w:rPr>
        <w:t>change. F</w:t>
      </w:r>
      <w:r w:rsidR="00885C06" w:rsidRPr="007C61D2">
        <w:rPr>
          <w:rFonts w:ascii="Garamond" w:eastAsia="Times New Roman" w:hAnsi="Garamond" w:cs="Times New Roman"/>
          <w:sz w:val="24"/>
          <w:szCs w:val="24"/>
        </w:rPr>
        <w:t xml:space="preserve">inally, </w:t>
      </w:r>
      <w:r w:rsidR="005A4E89" w:rsidRPr="007C61D2">
        <w:rPr>
          <w:rFonts w:ascii="Garamond" w:eastAsia="Times New Roman" w:hAnsi="Garamond" w:cs="Times New Roman"/>
          <w:sz w:val="24"/>
          <w:szCs w:val="24"/>
        </w:rPr>
        <w:t xml:space="preserve">5. </w:t>
      </w:r>
      <w:r w:rsidR="00885C06" w:rsidRPr="007C61D2">
        <w:rPr>
          <w:rFonts w:ascii="Garamond" w:eastAsia="Times New Roman" w:hAnsi="Garamond" w:cs="Times New Roman"/>
          <w:sz w:val="24"/>
          <w:szCs w:val="24"/>
        </w:rPr>
        <w:t xml:space="preserve">we </w:t>
      </w:r>
      <w:r w:rsidR="005A4E89" w:rsidRPr="007C61D2">
        <w:rPr>
          <w:rFonts w:ascii="Garamond" w:eastAsia="Times New Roman" w:hAnsi="Garamond" w:cs="Times New Roman"/>
          <w:sz w:val="24"/>
          <w:szCs w:val="24"/>
        </w:rPr>
        <w:t xml:space="preserve">critically </w:t>
      </w:r>
      <w:r w:rsidR="00C43B6D" w:rsidRPr="007C61D2">
        <w:rPr>
          <w:rFonts w:ascii="Garamond" w:eastAsia="Times New Roman" w:hAnsi="Garamond" w:cs="Times New Roman"/>
          <w:sz w:val="24"/>
          <w:szCs w:val="24"/>
        </w:rPr>
        <w:t xml:space="preserve">consider </w:t>
      </w:r>
      <w:r w:rsidR="00885C06" w:rsidRPr="007C61D2">
        <w:rPr>
          <w:rFonts w:ascii="Garamond" w:eastAsia="Times New Roman" w:hAnsi="Garamond" w:cs="Times New Roman"/>
          <w:sz w:val="24"/>
          <w:szCs w:val="24"/>
        </w:rPr>
        <w:t xml:space="preserve">the relationship between decertification and </w:t>
      </w:r>
      <w:r w:rsidR="00C43B6D" w:rsidRPr="007C61D2">
        <w:rPr>
          <w:rFonts w:ascii="Garamond" w:eastAsia="Times New Roman" w:hAnsi="Garamond" w:cs="Times New Roman"/>
          <w:sz w:val="24"/>
          <w:szCs w:val="24"/>
        </w:rPr>
        <w:t>androcentric</w:t>
      </w:r>
      <w:r w:rsidR="00885C06" w:rsidRPr="007C61D2">
        <w:rPr>
          <w:rFonts w:ascii="Garamond" w:eastAsia="Times New Roman" w:hAnsi="Garamond" w:cs="Times New Roman"/>
          <w:sz w:val="24"/>
          <w:szCs w:val="24"/>
        </w:rPr>
        <w:t xml:space="preserve"> law.</w:t>
      </w:r>
      <w:r w:rsidR="00C43B6D" w:rsidRPr="007C61D2">
        <w:rPr>
          <w:rFonts w:ascii="Garamond" w:eastAsia="Times New Roman" w:hAnsi="Garamond" w:cs="Times New Roman"/>
          <w:sz w:val="24"/>
          <w:szCs w:val="24"/>
        </w:rPr>
        <w:t xml:space="preserve"> </w:t>
      </w:r>
      <w:r w:rsidR="005A4E89" w:rsidRPr="007C61D2">
        <w:rPr>
          <w:rFonts w:ascii="Garamond" w:eastAsia="Times New Roman" w:hAnsi="Garamond" w:cs="Times New Roman"/>
          <w:sz w:val="24"/>
          <w:szCs w:val="24"/>
        </w:rPr>
        <w:t>O</w:t>
      </w:r>
      <w:r w:rsidR="00C43B6D" w:rsidRPr="007C61D2">
        <w:rPr>
          <w:rFonts w:ascii="Garamond" w:eastAsia="Times New Roman" w:hAnsi="Garamond" w:cs="Times New Roman"/>
          <w:sz w:val="24"/>
          <w:szCs w:val="24"/>
        </w:rPr>
        <w:t xml:space="preserve">ur </w:t>
      </w:r>
      <w:r w:rsidR="00852835" w:rsidRPr="007C61D2">
        <w:rPr>
          <w:rFonts w:ascii="Garamond" w:eastAsia="Times New Roman" w:hAnsi="Garamond" w:cs="Times New Roman"/>
          <w:sz w:val="24"/>
          <w:szCs w:val="24"/>
        </w:rPr>
        <w:t>analysis</w:t>
      </w:r>
      <w:r w:rsidR="005A4E89" w:rsidRPr="007C61D2">
        <w:rPr>
          <w:rFonts w:ascii="Garamond" w:eastAsia="Times New Roman" w:hAnsi="Garamond" w:cs="Times New Roman"/>
          <w:sz w:val="24"/>
          <w:szCs w:val="24"/>
        </w:rPr>
        <w:t xml:space="preserve"> </w:t>
      </w:r>
      <w:r w:rsidR="00852835" w:rsidRPr="007C61D2">
        <w:rPr>
          <w:rFonts w:ascii="Garamond" w:eastAsia="Times New Roman" w:hAnsi="Garamond" w:cs="Times New Roman"/>
          <w:sz w:val="24"/>
          <w:szCs w:val="24"/>
        </w:rPr>
        <w:t>draw</w:t>
      </w:r>
      <w:r w:rsidR="005A4E89" w:rsidRPr="007C61D2">
        <w:rPr>
          <w:rFonts w:ascii="Garamond" w:eastAsia="Times New Roman" w:hAnsi="Garamond" w:cs="Times New Roman"/>
          <w:sz w:val="24"/>
          <w:szCs w:val="24"/>
        </w:rPr>
        <w:t>s</w:t>
      </w:r>
      <w:r w:rsidR="00852835" w:rsidRPr="007C61D2">
        <w:rPr>
          <w:rFonts w:ascii="Garamond" w:eastAsia="Times New Roman" w:hAnsi="Garamond" w:cs="Times New Roman"/>
          <w:sz w:val="24"/>
          <w:szCs w:val="24"/>
        </w:rPr>
        <w:t xml:space="preserve"> on qualitative</w:t>
      </w:r>
      <w:r w:rsidR="00DB0328" w:rsidRPr="007C61D2">
        <w:rPr>
          <w:rFonts w:ascii="Garamond" w:eastAsia="Times New Roman" w:hAnsi="Garamond" w:cs="Times New Roman"/>
          <w:sz w:val="24"/>
          <w:szCs w:val="24"/>
        </w:rPr>
        <w:t xml:space="preserve"> data from</w:t>
      </w:r>
      <w:r w:rsidR="00852835" w:rsidRPr="007C61D2">
        <w:rPr>
          <w:rFonts w:ascii="Garamond" w:eastAsia="Times New Roman" w:hAnsi="Garamond" w:cs="Times New Roman"/>
          <w:sz w:val="24"/>
          <w:szCs w:val="24"/>
        </w:rPr>
        <w:t xml:space="preserve"> </w:t>
      </w:r>
      <w:r w:rsidR="001764DE" w:rsidRPr="007C61D2">
        <w:rPr>
          <w:rFonts w:ascii="Garamond" w:eastAsia="Times New Roman" w:hAnsi="Garamond" w:cs="Times New Roman"/>
          <w:sz w:val="24"/>
          <w:szCs w:val="24"/>
        </w:rPr>
        <w:t xml:space="preserve">anonymised </w:t>
      </w:r>
      <w:r w:rsidR="00852835" w:rsidRPr="007C61D2">
        <w:rPr>
          <w:rFonts w:ascii="Garamond" w:eastAsia="Times New Roman" w:hAnsi="Garamond" w:cs="Times New Roman"/>
          <w:sz w:val="24"/>
          <w:szCs w:val="24"/>
        </w:rPr>
        <w:t xml:space="preserve">semi-structured interviews with approximately </w:t>
      </w:r>
      <w:r w:rsidR="004357CA" w:rsidRPr="007C61D2">
        <w:rPr>
          <w:rFonts w:ascii="Garamond" w:eastAsia="Times New Roman" w:hAnsi="Garamond" w:cs="Times New Roman"/>
          <w:sz w:val="24"/>
          <w:szCs w:val="24"/>
        </w:rPr>
        <w:t xml:space="preserve">eighty </w:t>
      </w:r>
      <w:r w:rsidR="00852835" w:rsidRPr="007C61D2">
        <w:rPr>
          <w:rFonts w:ascii="Garamond" w:eastAsia="Times New Roman" w:hAnsi="Garamond" w:cs="Times New Roman"/>
          <w:sz w:val="24"/>
          <w:szCs w:val="24"/>
        </w:rPr>
        <w:t>policymakers, union officials, and NGO workers and activists</w:t>
      </w:r>
      <w:r w:rsidR="00254E32" w:rsidRPr="007C61D2">
        <w:rPr>
          <w:rFonts w:ascii="Garamond" w:eastAsia="Times New Roman" w:hAnsi="Garamond" w:cs="Times New Roman"/>
          <w:sz w:val="24"/>
          <w:szCs w:val="24"/>
        </w:rPr>
        <w:t>,</w:t>
      </w:r>
      <w:r w:rsidR="00852835" w:rsidRPr="007C61D2">
        <w:rPr>
          <w:rStyle w:val="FootnoteReference"/>
          <w:rFonts w:ascii="Garamond" w:eastAsia="Times New Roman" w:hAnsi="Garamond" w:cs="Times New Roman"/>
          <w:sz w:val="24"/>
          <w:szCs w:val="24"/>
        </w:rPr>
        <w:footnoteReference w:id="6"/>
      </w:r>
      <w:r w:rsidR="00254E32" w:rsidRPr="007C61D2">
        <w:rPr>
          <w:rFonts w:ascii="Garamond" w:eastAsia="Times New Roman" w:hAnsi="Garamond" w:cs="Times New Roman"/>
          <w:sz w:val="24"/>
          <w:szCs w:val="24"/>
        </w:rPr>
        <w:t xml:space="preserve"> along with publicly available government reports and other documentary and text-based materials. </w:t>
      </w:r>
      <w:r w:rsidR="00C43B6D" w:rsidRPr="007C61D2">
        <w:rPr>
          <w:rFonts w:ascii="Garamond" w:eastAsia="Times New Roman" w:hAnsi="Garamond" w:cs="Times New Roman"/>
          <w:sz w:val="24"/>
          <w:szCs w:val="24"/>
        </w:rPr>
        <w:t xml:space="preserve">We </w:t>
      </w:r>
      <w:r w:rsidR="002A2022" w:rsidRPr="007C61D2">
        <w:rPr>
          <w:rFonts w:ascii="Garamond" w:eastAsia="Times New Roman" w:hAnsi="Garamond" w:cs="Times New Roman"/>
          <w:sz w:val="24"/>
          <w:szCs w:val="24"/>
        </w:rPr>
        <w:t>also draw on</w:t>
      </w:r>
      <w:r w:rsidR="00C43B6D" w:rsidRPr="007C61D2">
        <w:rPr>
          <w:rFonts w:ascii="Garamond" w:eastAsia="Times New Roman" w:hAnsi="Garamond" w:cs="Times New Roman"/>
          <w:sz w:val="24"/>
          <w:szCs w:val="24"/>
        </w:rPr>
        <w:t xml:space="preserve"> </w:t>
      </w:r>
      <w:r w:rsidR="002A2022" w:rsidRPr="007C61D2">
        <w:rPr>
          <w:rFonts w:ascii="Garamond" w:eastAsia="Times New Roman" w:hAnsi="Garamond" w:cs="Times New Roman"/>
          <w:sz w:val="24"/>
          <w:szCs w:val="24"/>
        </w:rPr>
        <w:t xml:space="preserve">feminist </w:t>
      </w:r>
      <w:r w:rsidR="00E80E31">
        <w:rPr>
          <w:rFonts w:ascii="Garamond" w:eastAsia="Times New Roman" w:hAnsi="Garamond" w:cs="Times New Roman"/>
          <w:sz w:val="24"/>
          <w:szCs w:val="24"/>
        </w:rPr>
        <w:t>scholarship</w:t>
      </w:r>
      <w:r w:rsidR="002A2022" w:rsidRPr="007C61D2">
        <w:rPr>
          <w:rFonts w:ascii="Garamond" w:eastAsia="Times New Roman" w:hAnsi="Garamond" w:cs="Times New Roman"/>
          <w:sz w:val="24"/>
          <w:szCs w:val="24"/>
        </w:rPr>
        <w:t>. Materialist, poststructuralist, institutionalist, performative, and sociolegal feminist writing provide</w:t>
      </w:r>
      <w:r w:rsidR="006F5EEC">
        <w:rPr>
          <w:rFonts w:ascii="Garamond" w:eastAsia="Times New Roman" w:hAnsi="Garamond" w:cs="Times New Roman"/>
          <w:sz w:val="24"/>
          <w:szCs w:val="24"/>
        </w:rPr>
        <w:t>s</w:t>
      </w:r>
      <w:r w:rsidR="002A2022" w:rsidRPr="007C61D2">
        <w:rPr>
          <w:rFonts w:ascii="Garamond" w:eastAsia="Times New Roman" w:hAnsi="Garamond" w:cs="Times New Roman"/>
          <w:sz w:val="24"/>
          <w:szCs w:val="24"/>
        </w:rPr>
        <w:t xml:space="preserve"> </w:t>
      </w:r>
      <w:r w:rsidR="00DB0328" w:rsidRPr="007C61D2">
        <w:rPr>
          <w:rFonts w:ascii="Garamond" w:eastAsia="Times New Roman" w:hAnsi="Garamond" w:cs="Times New Roman"/>
          <w:sz w:val="24"/>
          <w:szCs w:val="24"/>
        </w:rPr>
        <w:t xml:space="preserve">intellectual </w:t>
      </w:r>
      <w:r w:rsidR="00C16F06" w:rsidRPr="007C61D2">
        <w:rPr>
          <w:rFonts w:ascii="Garamond" w:eastAsia="Times New Roman" w:hAnsi="Garamond" w:cs="Times New Roman"/>
          <w:sz w:val="24"/>
          <w:szCs w:val="24"/>
        </w:rPr>
        <w:t>re</w:t>
      </w:r>
      <w:r w:rsidR="002A2022" w:rsidRPr="007C61D2">
        <w:rPr>
          <w:rFonts w:ascii="Garamond" w:eastAsia="Times New Roman" w:hAnsi="Garamond" w:cs="Times New Roman"/>
          <w:sz w:val="24"/>
          <w:szCs w:val="24"/>
        </w:rPr>
        <w:t xml:space="preserve">sources for </w:t>
      </w:r>
      <w:r w:rsidR="00DB0328" w:rsidRPr="007C61D2">
        <w:rPr>
          <w:rFonts w:ascii="Garamond" w:eastAsia="Times New Roman" w:hAnsi="Garamond" w:cs="Times New Roman"/>
          <w:sz w:val="24"/>
          <w:szCs w:val="24"/>
        </w:rPr>
        <w:t xml:space="preserve">the discussion and analysis that </w:t>
      </w:r>
      <w:r w:rsidR="002A2022" w:rsidRPr="007C61D2">
        <w:rPr>
          <w:rFonts w:ascii="Garamond" w:eastAsia="Times New Roman" w:hAnsi="Garamond" w:cs="Times New Roman"/>
          <w:sz w:val="24"/>
          <w:szCs w:val="24"/>
        </w:rPr>
        <w:t xml:space="preserve">follows. </w:t>
      </w:r>
      <w:r w:rsidR="00CE35B9">
        <w:rPr>
          <w:rFonts w:ascii="Garamond" w:eastAsia="Times New Roman" w:hAnsi="Garamond" w:cs="Times New Roman"/>
          <w:sz w:val="24"/>
          <w:szCs w:val="24"/>
        </w:rPr>
        <w:t>C</w:t>
      </w:r>
      <w:r w:rsidR="00C16F06" w:rsidRPr="007C61D2">
        <w:rPr>
          <w:rFonts w:ascii="Garamond" w:eastAsia="Times New Roman" w:hAnsi="Garamond" w:cs="Times New Roman"/>
          <w:sz w:val="24"/>
          <w:szCs w:val="24"/>
        </w:rPr>
        <w:t xml:space="preserve">entral to our discussion is a concern with power and </w:t>
      </w:r>
      <w:r w:rsidR="00FA332B" w:rsidRPr="007C61D2">
        <w:rPr>
          <w:rFonts w:ascii="Garamond" w:eastAsia="Times New Roman" w:hAnsi="Garamond" w:cs="Times New Roman"/>
          <w:sz w:val="24"/>
          <w:szCs w:val="24"/>
        </w:rPr>
        <w:t xml:space="preserve">harm, </w:t>
      </w:r>
      <w:r w:rsidR="006648D4" w:rsidRPr="007C61D2">
        <w:rPr>
          <w:rFonts w:ascii="Garamond" w:eastAsia="Times New Roman" w:hAnsi="Garamond" w:cs="Times New Roman"/>
          <w:sz w:val="24"/>
          <w:szCs w:val="24"/>
        </w:rPr>
        <w:t xml:space="preserve">articulated together in the gendered dimensions of oppression </w:t>
      </w:r>
      <w:r w:rsidR="00E80E31">
        <w:rPr>
          <w:rFonts w:ascii="Garamond" w:eastAsia="Times New Roman" w:hAnsi="Garamond" w:cs="Times New Roman"/>
          <w:sz w:val="24"/>
          <w:szCs w:val="24"/>
        </w:rPr>
        <w:t xml:space="preserve">– of </w:t>
      </w:r>
      <w:r w:rsidR="0089680D">
        <w:rPr>
          <w:rFonts w:ascii="Garamond" w:eastAsia="Times New Roman" w:hAnsi="Garamond" w:cs="Times New Roman"/>
          <w:sz w:val="24"/>
          <w:szCs w:val="24"/>
        </w:rPr>
        <w:t>“</w:t>
      </w:r>
      <w:r w:rsidR="00E80E31" w:rsidRPr="00E80E31">
        <w:rPr>
          <w:rFonts w:ascii="Garamond" w:eastAsia="Times New Roman" w:hAnsi="Garamond" w:cs="Times New Roman"/>
          <w:sz w:val="24"/>
          <w:szCs w:val="24"/>
        </w:rPr>
        <w:t>exploitation, marginalization, powerlessness, cultural imperialism, and violence</w:t>
      </w:r>
      <w:r w:rsidR="0089680D">
        <w:rPr>
          <w:rFonts w:ascii="Garamond" w:eastAsia="Times New Roman" w:hAnsi="Garamond" w:cs="Times New Roman"/>
          <w:sz w:val="24"/>
          <w:szCs w:val="24"/>
        </w:rPr>
        <w:t>”</w:t>
      </w:r>
      <w:r w:rsidR="00E80E31">
        <w:rPr>
          <w:rFonts w:ascii="Garamond" w:eastAsia="Times New Roman" w:hAnsi="Garamond" w:cs="Times New Roman"/>
          <w:sz w:val="24"/>
          <w:szCs w:val="24"/>
        </w:rPr>
        <w:t xml:space="preserve"> </w:t>
      </w:r>
      <w:r w:rsidR="00AE4ACB">
        <w:rPr>
          <w:rFonts w:ascii="Garamond" w:eastAsia="Times New Roman" w:hAnsi="Garamond" w:cs="Times New Roman"/>
          <w:sz w:val="24"/>
          <w:szCs w:val="24"/>
        </w:rPr>
        <w:t xml:space="preserve">– </w:t>
      </w:r>
      <w:r w:rsidR="006648D4" w:rsidRPr="007C61D2">
        <w:rPr>
          <w:rFonts w:ascii="Garamond" w:eastAsia="Times New Roman" w:hAnsi="Garamond" w:cs="Times New Roman"/>
          <w:sz w:val="24"/>
          <w:szCs w:val="24"/>
        </w:rPr>
        <w:t>that Iris Marion Young (1990)</w:t>
      </w:r>
      <w:r w:rsidR="00E80E31">
        <w:rPr>
          <w:rFonts w:ascii="Garamond" w:eastAsia="Times New Roman" w:hAnsi="Garamond" w:cs="Times New Roman"/>
          <w:sz w:val="24"/>
          <w:szCs w:val="24"/>
        </w:rPr>
        <w:t xml:space="preserve"> </w:t>
      </w:r>
      <w:r w:rsidR="00E80E31">
        <w:rPr>
          <w:rFonts w:ascii="Garamond" w:eastAsia="Times New Roman" w:hAnsi="Garamond" w:cs="Times New Roman"/>
          <w:sz w:val="24"/>
          <w:szCs w:val="24"/>
        </w:rPr>
        <w:lastRenderedPageBreak/>
        <w:t>powerfully examines</w:t>
      </w:r>
      <w:r w:rsidR="0036702B">
        <w:rPr>
          <w:rFonts w:ascii="Garamond" w:eastAsia="Times New Roman" w:hAnsi="Garamond" w:cs="Times New Roman"/>
          <w:sz w:val="24"/>
          <w:szCs w:val="24"/>
        </w:rPr>
        <w:t xml:space="preserve"> (see, also, </w:t>
      </w:r>
      <w:r w:rsidR="0036702B">
        <w:rPr>
          <w:rFonts w:ascii="Garamond" w:hAnsi="Garamond" w:cs="Times New Roman"/>
          <w:sz w:val="24"/>
          <w:szCs w:val="24"/>
        </w:rPr>
        <w:t xml:space="preserve">Conaghan 1996; Coy 2016; Dustin and Phillips 2008; Gill and </w:t>
      </w:r>
      <w:r w:rsidR="007549C2">
        <w:rPr>
          <w:rFonts w:ascii="Garamond" w:hAnsi="Garamond" w:cs="Times New Roman"/>
          <w:sz w:val="24"/>
          <w:szCs w:val="24"/>
        </w:rPr>
        <w:t>Anitha</w:t>
      </w:r>
      <w:r w:rsidR="0036702B">
        <w:rPr>
          <w:rFonts w:ascii="Garamond" w:hAnsi="Garamond" w:cs="Times New Roman"/>
          <w:sz w:val="24"/>
          <w:szCs w:val="24"/>
        </w:rPr>
        <w:t xml:space="preserve"> </w:t>
      </w:r>
      <w:r w:rsidR="0036702B" w:rsidRPr="0036702B">
        <w:rPr>
          <w:rFonts w:ascii="Garamond" w:hAnsi="Garamond" w:cs="Times New Roman"/>
          <w:sz w:val="24"/>
          <w:szCs w:val="24"/>
        </w:rPr>
        <w:t>2009)</w:t>
      </w:r>
      <w:r w:rsidR="0036702B">
        <w:rPr>
          <w:rFonts w:ascii="Garamond" w:eastAsia="Times New Roman" w:hAnsi="Garamond" w:cs="Times New Roman"/>
          <w:sz w:val="24"/>
          <w:szCs w:val="24"/>
        </w:rPr>
        <w:t>.</w:t>
      </w:r>
      <w:r w:rsidR="00FA332B" w:rsidRPr="007C61D2">
        <w:rPr>
          <w:rFonts w:ascii="Garamond" w:eastAsia="Times New Roman" w:hAnsi="Garamond" w:cs="Times New Roman"/>
          <w:sz w:val="24"/>
          <w:szCs w:val="24"/>
        </w:rPr>
        <w:t xml:space="preserve"> </w:t>
      </w:r>
    </w:p>
    <w:p w14:paraId="4D2C0D9A" w14:textId="14767861" w:rsidR="004042B5" w:rsidRPr="007C61D2" w:rsidRDefault="00E57F78" w:rsidP="00056662">
      <w:pPr>
        <w:shd w:val="clear" w:color="auto" w:fill="FFFFFF"/>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It is worth stressing at the start that, while our </w:t>
      </w:r>
      <w:r w:rsidR="00FA332B" w:rsidRPr="007C61D2">
        <w:rPr>
          <w:rFonts w:ascii="Garamond" w:eastAsia="Times New Roman" w:hAnsi="Garamond" w:cs="Times New Roman"/>
          <w:sz w:val="24"/>
          <w:szCs w:val="24"/>
        </w:rPr>
        <w:t xml:space="preserve">article focuses on </w:t>
      </w:r>
      <w:r w:rsidR="00E80E31">
        <w:rPr>
          <w:rFonts w:ascii="Garamond" w:eastAsia="Times New Roman" w:hAnsi="Garamond" w:cs="Times New Roman"/>
          <w:sz w:val="24"/>
          <w:szCs w:val="24"/>
        </w:rPr>
        <w:t xml:space="preserve">a </w:t>
      </w:r>
      <w:r w:rsidR="00F93EBB" w:rsidRPr="007C61D2">
        <w:rPr>
          <w:rFonts w:ascii="Garamond" w:eastAsia="Times New Roman" w:hAnsi="Garamond" w:cs="Times New Roman"/>
          <w:sz w:val="24"/>
          <w:szCs w:val="24"/>
        </w:rPr>
        <w:t xml:space="preserve">specific </w:t>
      </w:r>
      <w:r w:rsidR="00FA332B" w:rsidRPr="007C61D2">
        <w:rPr>
          <w:rFonts w:ascii="Garamond" w:eastAsia="Times New Roman" w:hAnsi="Garamond" w:cs="Times New Roman"/>
          <w:sz w:val="24"/>
          <w:szCs w:val="24"/>
        </w:rPr>
        <w:t>legal measure</w:t>
      </w:r>
      <w:r w:rsidRPr="007C61D2">
        <w:rPr>
          <w:rFonts w:ascii="Garamond" w:eastAsia="Times New Roman" w:hAnsi="Garamond" w:cs="Times New Roman"/>
          <w:sz w:val="24"/>
          <w:szCs w:val="24"/>
        </w:rPr>
        <w:t>, w</w:t>
      </w:r>
      <w:r w:rsidR="00A62CDD" w:rsidRPr="007C61D2">
        <w:rPr>
          <w:rFonts w:ascii="Garamond" w:eastAsia="Times New Roman" w:hAnsi="Garamond" w:cs="Times New Roman"/>
          <w:sz w:val="24"/>
          <w:szCs w:val="24"/>
        </w:rPr>
        <w:t xml:space="preserve">e do not assume </w:t>
      </w:r>
      <w:r w:rsidR="00C43B6D" w:rsidRPr="007C61D2">
        <w:rPr>
          <w:rFonts w:ascii="Garamond" w:eastAsia="Times New Roman" w:hAnsi="Garamond" w:cs="Times New Roman"/>
          <w:sz w:val="24"/>
          <w:szCs w:val="24"/>
        </w:rPr>
        <w:t>that</w:t>
      </w:r>
      <w:r w:rsidR="00FA332B" w:rsidRPr="007C61D2">
        <w:rPr>
          <w:rFonts w:ascii="Garamond" w:eastAsia="Times New Roman" w:hAnsi="Garamond" w:cs="Times New Roman"/>
          <w:sz w:val="24"/>
          <w:szCs w:val="24"/>
        </w:rPr>
        <w:t xml:space="preserve"> legal reform, and particularly legal reform to </w:t>
      </w:r>
      <w:r w:rsidR="00E5642D" w:rsidRPr="007C61D2">
        <w:rPr>
          <w:rFonts w:ascii="Garamond" w:eastAsia="Times New Roman" w:hAnsi="Garamond" w:cs="Times New Roman"/>
          <w:sz w:val="24"/>
          <w:szCs w:val="24"/>
        </w:rPr>
        <w:t>“</w:t>
      </w:r>
      <w:r w:rsidR="00FA332B" w:rsidRPr="007C61D2">
        <w:rPr>
          <w:rFonts w:ascii="Garamond" w:eastAsia="Times New Roman" w:hAnsi="Garamond" w:cs="Times New Roman"/>
          <w:sz w:val="24"/>
          <w:szCs w:val="24"/>
        </w:rPr>
        <w:t>informalise</w:t>
      </w:r>
      <w:r w:rsidR="00E5642D" w:rsidRPr="007C61D2">
        <w:rPr>
          <w:rFonts w:ascii="Garamond" w:eastAsia="Times New Roman" w:hAnsi="Garamond" w:cs="Times New Roman"/>
          <w:sz w:val="24"/>
          <w:szCs w:val="24"/>
        </w:rPr>
        <w:t>”</w:t>
      </w:r>
      <w:r w:rsidR="00FA332B" w:rsidRPr="007C61D2">
        <w:rPr>
          <w:rFonts w:ascii="Garamond" w:eastAsia="Times New Roman" w:hAnsi="Garamond" w:cs="Times New Roman"/>
          <w:sz w:val="24"/>
          <w:szCs w:val="24"/>
        </w:rPr>
        <w:t xml:space="preserve"> </w:t>
      </w:r>
      <w:r w:rsidR="005A4E89" w:rsidRPr="007C61D2">
        <w:rPr>
          <w:rFonts w:ascii="Garamond" w:eastAsia="Times New Roman" w:hAnsi="Garamond" w:cs="Times New Roman"/>
          <w:sz w:val="24"/>
          <w:szCs w:val="24"/>
        </w:rPr>
        <w:t>sex/ gender status</w:t>
      </w:r>
      <w:r w:rsidR="00FA332B" w:rsidRPr="007C61D2">
        <w:rPr>
          <w:rFonts w:ascii="Garamond" w:eastAsia="Times New Roman" w:hAnsi="Garamond" w:cs="Times New Roman"/>
          <w:sz w:val="24"/>
          <w:szCs w:val="24"/>
        </w:rPr>
        <w:t>,</w:t>
      </w:r>
      <w:r w:rsidR="00E754EB" w:rsidRPr="007C61D2">
        <w:rPr>
          <w:rStyle w:val="FootnoteReference"/>
          <w:rFonts w:ascii="Garamond" w:eastAsia="Times New Roman" w:hAnsi="Garamond" w:cs="Times New Roman"/>
          <w:sz w:val="24"/>
          <w:szCs w:val="24"/>
        </w:rPr>
        <w:footnoteReference w:id="7"/>
      </w:r>
      <w:r w:rsidR="00FA332B" w:rsidRPr="007C61D2">
        <w:rPr>
          <w:rFonts w:ascii="Garamond" w:eastAsia="Times New Roman" w:hAnsi="Garamond" w:cs="Times New Roman"/>
          <w:sz w:val="24"/>
          <w:szCs w:val="24"/>
        </w:rPr>
        <w:t xml:space="preserve"> will </w:t>
      </w:r>
      <w:r w:rsidR="00CE35B9">
        <w:rPr>
          <w:rFonts w:ascii="Garamond" w:eastAsia="Times New Roman" w:hAnsi="Garamond" w:cs="Times New Roman"/>
          <w:sz w:val="24"/>
          <w:szCs w:val="24"/>
        </w:rPr>
        <w:t xml:space="preserve">radically </w:t>
      </w:r>
      <w:r w:rsidR="00FA332B" w:rsidRPr="007C61D2">
        <w:rPr>
          <w:rFonts w:ascii="Garamond" w:eastAsia="Times New Roman" w:hAnsi="Garamond" w:cs="Times New Roman"/>
          <w:sz w:val="24"/>
          <w:szCs w:val="24"/>
        </w:rPr>
        <w:t>undo gender-based inequalit</w:t>
      </w:r>
      <w:r w:rsidRPr="007C61D2">
        <w:rPr>
          <w:rFonts w:ascii="Garamond" w:eastAsia="Times New Roman" w:hAnsi="Garamond" w:cs="Times New Roman"/>
          <w:sz w:val="24"/>
          <w:szCs w:val="24"/>
        </w:rPr>
        <w:t>ies</w:t>
      </w:r>
      <w:r w:rsidR="00FA332B" w:rsidRPr="007C61D2">
        <w:rPr>
          <w:rFonts w:ascii="Garamond" w:eastAsia="Times New Roman" w:hAnsi="Garamond" w:cs="Times New Roman"/>
          <w:sz w:val="24"/>
          <w:szCs w:val="24"/>
        </w:rPr>
        <w:t xml:space="preserve"> or the </w:t>
      </w:r>
      <w:r w:rsidR="00E80E31">
        <w:rPr>
          <w:rFonts w:ascii="Garamond" w:eastAsia="Times New Roman" w:hAnsi="Garamond" w:cs="Times New Roman"/>
          <w:sz w:val="24"/>
          <w:szCs w:val="24"/>
        </w:rPr>
        <w:t xml:space="preserve">reproduction </w:t>
      </w:r>
      <w:r w:rsidR="00FA332B" w:rsidRPr="007C61D2">
        <w:rPr>
          <w:rFonts w:ascii="Garamond" w:eastAsia="Times New Roman" w:hAnsi="Garamond" w:cs="Times New Roman"/>
          <w:sz w:val="24"/>
          <w:szCs w:val="24"/>
        </w:rPr>
        <w:t>of gendered categories</w:t>
      </w:r>
      <w:r w:rsidR="00A62CDD" w:rsidRPr="007C61D2">
        <w:rPr>
          <w:rFonts w:ascii="Garamond" w:eastAsia="Times New Roman" w:hAnsi="Garamond" w:cs="Times New Roman"/>
          <w:sz w:val="24"/>
          <w:szCs w:val="24"/>
        </w:rPr>
        <w:t xml:space="preserve"> more generally</w:t>
      </w:r>
      <w:r w:rsidR="007126F3" w:rsidRPr="007C61D2">
        <w:rPr>
          <w:rFonts w:ascii="Garamond" w:eastAsia="Times New Roman" w:hAnsi="Garamond" w:cs="Times New Roman"/>
          <w:sz w:val="24"/>
          <w:szCs w:val="24"/>
        </w:rPr>
        <w:t xml:space="preserve"> </w:t>
      </w:r>
      <w:r w:rsidR="007126F3" w:rsidRPr="0036702B">
        <w:rPr>
          <w:rFonts w:ascii="Garamond" w:eastAsia="Times New Roman" w:hAnsi="Garamond" w:cs="Times New Roman"/>
          <w:sz w:val="24"/>
          <w:szCs w:val="24"/>
        </w:rPr>
        <w:t>(</w:t>
      </w:r>
      <w:r w:rsidR="0036702B" w:rsidRPr="0036702B">
        <w:rPr>
          <w:rFonts w:ascii="Garamond" w:hAnsi="Garamond" w:cs="Times New Roman"/>
          <w:sz w:val="24"/>
          <w:szCs w:val="24"/>
        </w:rPr>
        <w:t>see, especially, Smart 1989; see also, e.g., Bottomley and Conaghan 1993; Munro 2001; Sandland 1995;</w:t>
      </w:r>
      <w:r w:rsidR="0036702B">
        <w:rPr>
          <w:rFonts w:ascii="Garamond" w:hAnsi="Garamond" w:cs="Times New Roman"/>
        </w:rPr>
        <w:t xml:space="preserve"> </w:t>
      </w:r>
      <w:r w:rsidR="00A34181" w:rsidRPr="007C61D2">
        <w:rPr>
          <w:rFonts w:ascii="Garamond" w:eastAsia="Times New Roman" w:hAnsi="Garamond" w:cs="Times New Roman"/>
          <w:sz w:val="24"/>
          <w:szCs w:val="24"/>
        </w:rPr>
        <w:t xml:space="preserve">Fletcher, </w:t>
      </w:r>
      <w:r w:rsidR="007126F3" w:rsidRPr="007C61D2">
        <w:rPr>
          <w:rFonts w:ascii="Garamond" w:eastAsia="Times New Roman" w:hAnsi="Garamond" w:cs="Times New Roman"/>
          <w:sz w:val="24"/>
          <w:szCs w:val="24"/>
        </w:rPr>
        <w:t>Manji, this issue)</w:t>
      </w:r>
      <w:r w:rsidR="00FA332B" w:rsidRPr="007C61D2">
        <w:rPr>
          <w:rFonts w:ascii="Garamond" w:eastAsia="Times New Roman" w:hAnsi="Garamond" w:cs="Times New Roman"/>
          <w:sz w:val="24"/>
          <w:szCs w:val="24"/>
        </w:rPr>
        <w:t>.</w:t>
      </w:r>
      <w:r w:rsidR="00D84482" w:rsidRPr="007C61D2">
        <w:rPr>
          <w:rFonts w:ascii="Garamond" w:eastAsia="Times New Roman" w:hAnsi="Garamond" w:cs="Times New Roman"/>
          <w:sz w:val="24"/>
          <w:szCs w:val="24"/>
        </w:rPr>
        <w:t xml:space="preserve"> </w:t>
      </w:r>
      <w:r w:rsidR="00FA332B" w:rsidRPr="007C61D2">
        <w:rPr>
          <w:rFonts w:ascii="Garamond" w:eastAsia="Times New Roman" w:hAnsi="Garamond" w:cs="Times New Roman"/>
          <w:sz w:val="24"/>
          <w:szCs w:val="24"/>
        </w:rPr>
        <w:t>State law and legal reform</w:t>
      </w:r>
      <w:r w:rsidR="00E5642D" w:rsidRPr="007C61D2">
        <w:rPr>
          <w:rFonts w:ascii="Garamond" w:eastAsia="Times New Roman" w:hAnsi="Garamond" w:cs="Times New Roman"/>
          <w:sz w:val="24"/>
          <w:szCs w:val="24"/>
        </w:rPr>
        <w:t>, in this context,</w:t>
      </w:r>
      <w:r w:rsidR="00FA332B" w:rsidRPr="007C61D2">
        <w:rPr>
          <w:rFonts w:ascii="Garamond" w:eastAsia="Times New Roman" w:hAnsi="Garamond" w:cs="Times New Roman"/>
          <w:sz w:val="24"/>
          <w:szCs w:val="24"/>
        </w:rPr>
        <w:t xml:space="preserve"> are not that powerful. </w:t>
      </w:r>
      <w:r w:rsidR="00F93EBB" w:rsidRPr="007C61D2">
        <w:rPr>
          <w:rFonts w:ascii="Garamond" w:eastAsia="Times New Roman" w:hAnsi="Garamond" w:cs="Times New Roman"/>
          <w:sz w:val="24"/>
          <w:szCs w:val="24"/>
        </w:rPr>
        <w:t>It should also be said that d</w:t>
      </w:r>
      <w:r w:rsidR="00FA332B" w:rsidRPr="007C61D2">
        <w:rPr>
          <w:rFonts w:ascii="Garamond" w:eastAsia="Times New Roman" w:hAnsi="Garamond" w:cs="Times New Roman"/>
          <w:sz w:val="24"/>
          <w:szCs w:val="24"/>
        </w:rPr>
        <w:t xml:space="preserve">ecertification has not been </w:t>
      </w:r>
      <w:r w:rsidR="00E5642D" w:rsidRPr="007C61D2">
        <w:rPr>
          <w:rFonts w:ascii="Garamond" w:eastAsia="Times New Roman" w:hAnsi="Garamond" w:cs="Times New Roman"/>
          <w:sz w:val="24"/>
          <w:szCs w:val="24"/>
        </w:rPr>
        <w:t xml:space="preserve">fully </w:t>
      </w:r>
      <w:r w:rsidR="00FA332B" w:rsidRPr="007C61D2">
        <w:rPr>
          <w:rFonts w:ascii="Garamond" w:eastAsia="Times New Roman" w:hAnsi="Garamond" w:cs="Times New Roman"/>
          <w:sz w:val="24"/>
          <w:szCs w:val="24"/>
        </w:rPr>
        <w:t>introduced</w:t>
      </w:r>
      <w:r w:rsidR="00CD1686" w:rsidRPr="007C61D2">
        <w:rPr>
          <w:rFonts w:ascii="Garamond" w:eastAsia="Times New Roman" w:hAnsi="Garamond" w:cs="Times New Roman"/>
          <w:sz w:val="24"/>
          <w:szCs w:val="24"/>
        </w:rPr>
        <w:t xml:space="preserve"> </w:t>
      </w:r>
      <w:r w:rsidR="00E5642D" w:rsidRPr="007C61D2">
        <w:rPr>
          <w:rFonts w:ascii="Garamond" w:eastAsia="Times New Roman" w:hAnsi="Garamond" w:cs="Times New Roman"/>
          <w:sz w:val="24"/>
          <w:szCs w:val="24"/>
        </w:rPr>
        <w:t xml:space="preserve">formally </w:t>
      </w:r>
      <w:r w:rsidR="00CD1686" w:rsidRPr="007C61D2">
        <w:rPr>
          <w:rFonts w:ascii="Garamond" w:eastAsia="Times New Roman" w:hAnsi="Garamond" w:cs="Times New Roman"/>
          <w:sz w:val="24"/>
          <w:szCs w:val="24"/>
        </w:rPr>
        <w:t>in any jurisdiction</w:t>
      </w:r>
      <w:r w:rsidR="00A62CDD" w:rsidRPr="007C61D2">
        <w:rPr>
          <w:rFonts w:ascii="Garamond" w:eastAsia="Times New Roman" w:hAnsi="Garamond" w:cs="Times New Roman"/>
          <w:sz w:val="24"/>
          <w:szCs w:val="24"/>
        </w:rPr>
        <w:t xml:space="preserve"> (</w:t>
      </w:r>
      <w:r w:rsidR="00E5642D" w:rsidRPr="007C61D2">
        <w:rPr>
          <w:rFonts w:ascii="Garamond" w:eastAsia="Times New Roman" w:hAnsi="Garamond" w:cs="Times New Roman"/>
          <w:sz w:val="24"/>
          <w:szCs w:val="24"/>
        </w:rPr>
        <w:t xml:space="preserve">although “light” versions are emerging, as </w:t>
      </w:r>
      <w:r w:rsidR="00A62CDD" w:rsidRPr="007C61D2">
        <w:rPr>
          <w:rFonts w:ascii="Garamond" w:eastAsia="Times New Roman" w:hAnsi="Garamond" w:cs="Times New Roman"/>
          <w:sz w:val="24"/>
          <w:szCs w:val="24"/>
        </w:rPr>
        <w:t xml:space="preserve">in Tasmania, discussed below). We therefore </w:t>
      </w:r>
      <w:r w:rsidR="00FA332B" w:rsidRPr="007C61D2">
        <w:rPr>
          <w:rFonts w:ascii="Garamond" w:eastAsia="Times New Roman" w:hAnsi="Garamond" w:cs="Times New Roman"/>
          <w:sz w:val="24"/>
          <w:szCs w:val="24"/>
        </w:rPr>
        <w:t xml:space="preserve">cannot </w:t>
      </w:r>
      <w:r w:rsidR="00A62CDD" w:rsidRPr="007C61D2">
        <w:rPr>
          <w:rFonts w:ascii="Garamond" w:eastAsia="Times New Roman" w:hAnsi="Garamond" w:cs="Times New Roman"/>
          <w:sz w:val="24"/>
          <w:szCs w:val="24"/>
        </w:rPr>
        <w:t xml:space="preserve">empirically </w:t>
      </w:r>
      <w:r w:rsidR="00FA332B" w:rsidRPr="007C61D2">
        <w:rPr>
          <w:rFonts w:ascii="Garamond" w:eastAsia="Times New Roman" w:hAnsi="Garamond" w:cs="Times New Roman"/>
          <w:sz w:val="24"/>
          <w:szCs w:val="24"/>
        </w:rPr>
        <w:t xml:space="preserve">assess its </w:t>
      </w:r>
      <w:r w:rsidR="00E5642D" w:rsidRPr="007C61D2">
        <w:rPr>
          <w:rFonts w:ascii="Garamond" w:eastAsia="Times New Roman" w:hAnsi="Garamond" w:cs="Times New Roman"/>
          <w:sz w:val="24"/>
          <w:szCs w:val="24"/>
        </w:rPr>
        <w:t xml:space="preserve">statutory </w:t>
      </w:r>
      <w:r w:rsidR="00FA332B" w:rsidRPr="007C61D2">
        <w:rPr>
          <w:rFonts w:ascii="Garamond" w:eastAsia="Times New Roman" w:hAnsi="Garamond" w:cs="Times New Roman"/>
          <w:sz w:val="24"/>
          <w:szCs w:val="24"/>
        </w:rPr>
        <w:t xml:space="preserve">effects. </w:t>
      </w:r>
      <w:r w:rsidRPr="007C61D2">
        <w:rPr>
          <w:rFonts w:ascii="Garamond" w:eastAsia="Times New Roman" w:hAnsi="Garamond" w:cs="Times New Roman"/>
          <w:sz w:val="24"/>
          <w:szCs w:val="24"/>
        </w:rPr>
        <w:t>Consequently, o</w:t>
      </w:r>
      <w:r w:rsidR="00FA332B" w:rsidRPr="007C61D2">
        <w:rPr>
          <w:rFonts w:ascii="Garamond" w:eastAsia="Times New Roman" w:hAnsi="Garamond" w:cs="Times New Roman"/>
          <w:sz w:val="24"/>
          <w:szCs w:val="24"/>
        </w:rPr>
        <w:t xml:space="preserve">ur </w:t>
      </w:r>
      <w:r w:rsidR="00A62CDD" w:rsidRPr="007C61D2">
        <w:rPr>
          <w:rFonts w:ascii="Garamond" w:eastAsia="Times New Roman" w:hAnsi="Garamond" w:cs="Times New Roman"/>
          <w:sz w:val="24"/>
          <w:szCs w:val="24"/>
        </w:rPr>
        <w:t>focus</w:t>
      </w:r>
      <w:r w:rsidRPr="007C61D2">
        <w:rPr>
          <w:rFonts w:ascii="Garamond" w:eastAsia="Times New Roman" w:hAnsi="Garamond" w:cs="Times New Roman"/>
          <w:sz w:val="24"/>
          <w:szCs w:val="24"/>
        </w:rPr>
        <w:t xml:space="preserve"> </w:t>
      </w:r>
      <w:r w:rsidR="00FA332B" w:rsidRPr="007C61D2">
        <w:rPr>
          <w:rFonts w:ascii="Garamond" w:eastAsia="Times New Roman" w:hAnsi="Garamond" w:cs="Times New Roman"/>
          <w:sz w:val="24"/>
          <w:szCs w:val="24"/>
        </w:rPr>
        <w:t xml:space="preserve">is </w:t>
      </w:r>
      <w:r w:rsidR="007126F3" w:rsidRPr="007C61D2">
        <w:rPr>
          <w:rFonts w:ascii="Garamond" w:eastAsia="Times New Roman" w:hAnsi="Garamond" w:cs="Times New Roman"/>
          <w:sz w:val="24"/>
          <w:szCs w:val="24"/>
        </w:rPr>
        <w:t xml:space="preserve">on </w:t>
      </w:r>
      <w:r w:rsidR="00FA332B" w:rsidRPr="007C61D2">
        <w:rPr>
          <w:rFonts w:ascii="Garamond" w:eastAsia="Times New Roman" w:hAnsi="Garamond" w:cs="Times New Roman"/>
          <w:sz w:val="24"/>
          <w:szCs w:val="24"/>
        </w:rPr>
        <w:t xml:space="preserve">the narratives and imagined consequences – optimistic </w:t>
      </w:r>
      <w:r w:rsidR="00A62CDD" w:rsidRPr="007C61D2">
        <w:rPr>
          <w:rFonts w:ascii="Garamond" w:eastAsia="Times New Roman" w:hAnsi="Garamond" w:cs="Times New Roman"/>
          <w:sz w:val="24"/>
          <w:szCs w:val="24"/>
        </w:rPr>
        <w:t xml:space="preserve">and </w:t>
      </w:r>
      <w:r w:rsidR="00FA332B" w:rsidRPr="007C61D2">
        <w:rPr>
          <w:rFonts w:ascii="Garamond" w:eastAsia="Times New Roman" w:hAnsi="Garamond" w:cs="Times New Roman"/>
          <w:sz w:val="24"/>
          <w:szCs w:val="24"/>
        </w:rPr>
        <w:t xml:space="preserve">feared. </w:t>
      </w:r>
      <w:r w:rsidR="007126F3" w:rsidRPr="007C61D2">
        <w:rPr>
          <w:rFonts w:ascii="Garamond" w:eastAsia="Times New Roman" w:hAnsi="Garamond" w:cs="Times New Roman"/>
          <w:sz w:val="24"/>
          <w:szCs w:val="24"/>
        </w:rPr>
        <w:t xml:space="preserve">We take these up to ask: </w:t>
      </w:r>
      <w:r w:rsidR="001764DE" w:rsidRPr="007C61D2">
        <w:rPr>
          <w:rFonts w:ascii="Garamond" w:eastAsia="Times New Roman" w:hAnsi="Garamond" w:cs="Times New Roman"/>
          <w:sz w:val="24"/>
          <w:szCs w:val="24"/>
        </w:rPr>
        <w:t xml:space="preserve">does </w:t>
      </w:r>
      <w:r w:rsidR="004042B5" w:rsidRPr="007C61D2">
        <w:rPr>
          <w:rFonts w:ascii="Garamond" w:eastAsia="Times New Roman" w:hAnsi="Garamond" w:cs="Times New Roman"/>
          <w:sz w:val="24"/>
          <w:szCs w:val="24"/>
        </w:rPr>
        <w:t>decertification contribute</w:t>
      </w:r>
      <w:r w:rsidR="00D84482" w:rsidRPr="007C61D2">
        <w:rPr>
          <w:rFonts w:ascii="Garamond" w:eastAsia="Times New Roman" w:hAnsi="Garamond" w:cs="Times New Roman"/>
          <w:sz w:val="24"/>
          <w:szCs w:val="24"/>
        </w:rPr>
        <w:t xml:space="preserve"> to</w:t>
      </w:r>
      <w:r w:rsidR="00C81124" w:rsidRPr="007C61D2">
        <w:rPr>
          <w:rFonts w:ascii="Garamond" w:eastAsia="Times New Roman" w:hAnsi="Garamond" w:cs="Times New Roman"/>
          <w:sz w:val="24"/>
          <w:szCs w:val="24"/>
        </w:rPr>
        <w:t xml:space="preserve"> </w:t>
      </w:r>
      <w:r w:rsidR="001764DE" w:rsidRPr="007C61D2">
        <w:rPr>
          <w:rFonts w:ascii="Garamond" w:eastAsia="Times New Roman" w:hAnsi="Garamond" w:cs="Times New Roman"/>
          <w:sz w:val="24"/>
          <w:szCs w:val="24"/>
        </w:rPr>
        <w:t>account</w:t>
      </w:r>
      <w:r w:rsidR="00E5642D" w:rsidRPr="007C61D2">
        <w:rPr>
          <w:rFonts w:ascii="Garamond" w:eastAsia="Times New Roman" w:hAnsi="Garamond" w:cs="Times New Roman"/>
          <w:sz w:val="24"/>
          <w:szCs w:val="24"/>
        </w:rPr>
        <w:t>s</w:t>
      </w:r>
      <w:r w:rsidR="001764DE" w:rsidRPr="007C61D2">
        <w:rPr>
          <w:rFonts w:ascii="Garamond" w:eastAsia="Times New Roman" w:hAnsi="Garamond" w:cs="Times New Roman"/>
          <w:sz w:val="24"/>
          <w:szCs w:val="24"/>
        </w:rPr>
        <w:t xml:space="preserve"> of </w:t>
      </w:r>
      <w:r w:rsidR="00E5642D" w:rsidRPr="007C61D2">
        <w:rPr>
          <w:rFonts w:ascii="Garamond" w:eastAsia="Times New Roman" w:hAnsi="Garamond" w:cs="Times New Roman"/>
          <w:sz w:val="24"/>
          <w:szCs w:val="24"/>
        </w:rPr>
        <w:t xml:space="preserve">how </w:t>
      </w:r>
      <w:r w:rsidR="004042B5" w:rsidRPr="007C61D2">
        <w:rPr>
          <w:rFonts w:ascii="Garamond" w:eastAsia="Times New Roman" w:hAnsi="Garamond" w:cs="Times New Roman"/>
          <w:sz w:val="24"/>
          <w:szCs w:val="24"/>
        </w:rPr>
        <w:t xml:space="preserve">gender-based </w:t>
      </w:r>
      <w:r w:rsidR="00D84482" w:rsidRPr="007C61D2">
        <w:rPr>
          <w:rFonts w:ascii="Garamond" w:eastAsia="Times New Roman" w:hAnsi="Garamond" w:cs="Times New Roman"/>
          <w:sz w:val="24"/>
          <w:szCs w:val="24"/>
        </w:rPr>
        <w:t>injustice</w:t>
      </w:r>
      <w:r w:rsidR="007126F3" w:rsidRPr="007C61D2">
        <w:rPr>
          <w:rFonts w:ascii="Garamond" w:eastAsia="Times New Roman" w:hAnsi="Garamond" w:cs="Times New Roman"/>
          <w:sz w:val="24"/>
          <w:szCs w:val="24"/>
        </w:rPr>
        <w:t>s</w:t>
      </w:r>
      <w:r w:rsidR="00E5642D" w:rsidRPr="007C61D2">
        <w:rPr>
          <w:rFonts w:ascii="Garamond" w:eastAsia="Times New Roman" w:hAnsi="Garamond" w:cs="Times New Roman"/>
          <w:sz w:val="24"/>
          <w:szCs w:val="24"/>
        </w:rPr>
        <w:t xml:space="preserve"> might be undone </w:t>
      </w:r>
      <w:r w:rsidR="00C81124" w:rsidRPr="007C61D2">
        <w:rPr>
          <w:rFonts w:ascii="Garamond" w:eastAsia="Times New Roman" w:hAnsi="Garamond" w:cs="Times New Roman"/>
          <w:sz w:val="24"/>
          <w:szCs w:val="24"/>
        </w:rPr>
        <w:t>(</w:t>
      </w:r>
      <w:r w:rsidR="00E5642D" w:rsidRPr="007C61D2">
        <w:rPr>
          <w:rFonts w:ascii="Garamond" w:eastAsia="Times New Roman" w:hAnsi="Garamond" w:cs="Times New Roman"/>
          <w:sz w:val="24"/>
          <w:szCs w:val="24"/>
        </w:rPr>
        <w:t xml:space="preserve">in ways that </w:t>
      </w:r>
      <w:r w:rsidR="001764DE" w:rsidRPr="007C61D2">
        <w:rPr>
          <w:rFonts w:ascii="Garamond" w:eastAsia="Times New Roman" w:hAnsi="Garamond" w:cs="Times New Roman"/>
          <w:sz w:val="24"/>
          <w:szCs w:val="24"/>
        </w:rPr>
        <w:t xml:space="preserve">could </w:t>
      </w:r>
      <w:r w:rsidR="00D84482" w:rsidRPr="007C61D2">
        <w:rPr>
          <w:rFonts w:ascii="Garamond" w:eastAsia="Times New Roman" w:hAnsi="Garamond" w:cs="Times New Roman"/>
          <w:sz w:val="24"/>
          <w:szCs w:val="24"/>
        </w:rPr>
        <w:t xml:space="preserve">include </w:t>
      </w:r>
      <w:r w:rsidR="00A62CDD" w:rsidRPr="007C61D2">
        <w:rPr>
          <w:rFonts w:ascii="Garamond" w:eastAsia="Times New Roman" w:hAnsi="Garamond" w:cs="Times New Roman"/>
          <w:sz w:val="24"/>
          <w:szCs w:val="24"/>
        </w:rPr>
        <w:t xml:space="preserve">gender’s </w:t>
      </w:r>
      <w:r w:rsidR="00D84482" w:rsidRPr="007C61D2">
        <w:rPr>
          <w:rFonts w:ascii="Garamond" w:eastAsia="Times New Roman" w:hAnsi="Garamond" w:cs="Times New Roman"/>
          <w:sz w:val="24"/>
          <w:szCs w:val="24"/>
        </w:rPr>
        <w:t xml:space="preserve">undoing as well) or </w:t>
      </w:r>
      <w:r w:rsidR="001764DE" w:rsidRPr="007C61D2">
        <w:rPr>
          <w:rFonts w:ascii="Garamond" w:eastAsia="Times New Roman" w:hAnsi="Garamond" w:cs="Times New Roman"/>
          <w:sz w:val="24"/>
          <w:szCs w:val="24"/>
        </w:rPr>
        <w:t xml:space="preserve">does </w:t>
      </w:r>
      <w:r w:rsidR="004042B5" w:rsidRPr="007C61D2">
        <w:rPr>
          <w:rFonts w:ascii="Garamond" w:eastAsia="Times New Roman" w:hAnsi="Garamond" w:cs="Times New Roman"/>
          <w:sz w:val="24"/>
          <w:szCs w:val="24"/>
        </w:rPr>
        <w:t xml:space="preserve">it </w:t>
      </w:r>
      <w:r w:rsidR="00D84482" w:rsidRPr="007C61D2">
        <w:rPr>
          <w:rFonts w:ascii="Garamond" w:eastAsia="Times New Roman" w:hAnsi="Garamond" w:cs="Times New Roman"/>
          <w:sz w:val="24"/>
          <w:szCs w:val="24"/>
        </w:rPr>
        <w:t xml:space="preserve">merely signify </w:t>
      </w:r>
      <w:r w:rsidR="00A62CDD" w:rsidRPr="007C61D2">
        <w:rPr>
          <w:rFonts w:ascii="Garamond" w:eastAsia="Times New Roman" w:hAnsi="Garamond" w:cs="Times New Roman"/>
          <w:sz w:val="24"/>
          <w:szCs w:val="24"/>
        </w:rPr>
        <w:t>state</w:t>
      </w:r>
      <w:r w:rsidR="00A908DC" w:rsidRPr="007C61D2">
        <w:rPr>
          <w:rFonts w:ascii="Garamond" w:eastAsia="Times New Roman" w:hAnsi="Garamond" w:cs="Times New Roman"/>
          <w:sz w:val="24"/>
          <w:szCs w:val="24"/>
        </w:rPr>
        <w:t xml:space="preserve"> </w:t>
      </w:r>
      <w:r w:rsidR="00D84482" w:rsidRPr="007C61D2">
        <w:rPr>
          <w:rFonts w:ascii="Garamond" w:eastAsia="Times New Roman" w:hAnsi="Garamond" w:cs="Times New Roman"/>
          <w:sz w:val="24"/>
          <w:szCs w:val="24"/>
        </w:rPr>
        <w:t xml:space="preserve">withdrawal in </w:t>
      </w:r>
      <w:r w:rsidR="00E80E31">
        <w:rPr>
          <w:rFonts w:ascii="Garamond" w:eastAsia="Times New Roman" w:hAnsi="Garamond" w:cs="Times New Roman"/>
          <w:sz w:val="24"/>
          <w:szCs w:val="24"/>
        </w:rPr>
        <w:t xml:space="preserve">conditions of continuing </w:t>
      </w:r>
      <w:r w:rsidR="00E5642D" w:rsidRPr="007C61D2">
        <w:rPr>
          <w:rFonts w:ascii="Garamond" w:eastAsia="Times New Roman" w:hAnsi="Garamond" w:cs="Times New Roman"/>
          <w:sz w:val="24"/>
          <w:szCs w:val="24"/>
        </w:rPr>
        <w:t xml:space="preserve">gender </w:t>
      </w:r>
      <w:r w:rsidR="00D84482" w:rsidRPr="007C61D2">
        <w:rPr>
          <w:rFonts w:ascii="Garamond" w:eastAsia="Times New Roman" w:hAnsi="Garamond" w:cs="Times New Roman"/>
          <w:sz w:val="24"/>
          <w:szCs w:val="24"/>
        </w:rPr>
        <w:t>inequalit</w:t>
      </w:r>
      <w:r w:rsidR="00CE35B9">
        <w:rPr>
          <w:rFonts w:ascii="Garamond" w:eastAsia="Times New Roman" w:hAnsi="Garamond" w:cs="Times New Roman"/>
          <w:sz w:val="24"/>
          <w:szCs w:val="24"/>
        </w:rPr>
        <w:t>y</w:t>
      </w:r>
      <w:r w:rsidR="00D84482" w:rsidRPr="007C61D2">
        <w:rPr>
          <w:rFonts w:ascii="Garamond" w:eastAsia="Times New Roman" w:hAnsi="Garamond" w:cs="Times New Roman"/>
          <w:sz w:val="24"/>
          <w:szCs w:val="24"/>
        </w:rPr>
        <w:t>, exploitation</w:t>
      </w:r>
      <w:r w:rsidR="00E80E31">
        <w:rPr>
          <w:rFonts w:ascii="Garamond" w:eastAsia="Times New Roman" w:hAnsi="Garamond" w:cs="Times New Roman"/>
          <w:sz w:val="24"/>
          <w:szCs w:val="24"/>
        </w:rPr>
        <w:t>,</w:t>
      </w:r>
      <w:r w:rsidR="00D84482" w:rsidRPr="007C61D2">
        <w:rPr>
          <w:rFonts w:ascii="Garamond" w:eastAsia="Times New Roman" w:hAnsi="Garamond" w:cs="Times New Roman"/>
          <w:sz w:val="24"/>
          <w:szCs w:val="24"/>
        </w:rPr>
        <w:t xml:space="preserve"> and violence</w:t>
      </w:r>
      <w:r w:rsidR="004042B5" w:rsidRPr="007C61D2">
        <w:rPr>
          <w:rFonts w:ascii="Garamond" w:eastAsia="Times New Roman" w:hAnsi="Garamond" w:cs="Times New Roman"/>
          <w:sz w:val="24"/>
          <w:szCs w:val="24"/>
        </w:rPr>
        <w:t xml:space="preserve">? </w:t>
      </w:r>
    </w:p>
    <w:p w14:paraId="441A06A2" w14:textId="712A1E4D" w:rsidR="00BE0A5F" w:rsidRPr="00056662" w:rsidRDefault="009D67B1" w:rsidP="00654B6E">
      <w:pPr>
        <w:pStyle w:val="Heading2"/>
        <w:spacing w:before="240"/>
      </w:pPr>
      <w:r>
        <w:t xml:space="preserve">1. </w:t>
      </w:r>
      <w:r w:rsidR="005A2B88" w:rsidRPr="00056662">
        <w:t>Diversifying gender options in law</w:t>
      </w:r>
    </w:p>
    <w:p w14:paraId="16E919F1" w14:textId="1FF4CE6C" w:rsidR="00BE0A5F" w:rsidRPr="007C61D2" w:rsidRDefault="002E0AB8"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We </w:t>
      </w:r>
      <w:r w:rsidR="00BE0A5F" w:rsidRPr="007C61D2">
        <w:rPr>
          <w:rFonts w:ascii="Garamond" w:eastAsia="Times New Roman" w:hAnsi="Garamond" w:cs="Times New Roman"/>
          <w:sz w:val="24"/>
          <w:szCs w:val="24"/>
        </w:rPr>
        <w:t>start</w:t>
      </w:r>
      <w:r w:rsidR="00CF63BF" w:rsidRPr="007C61D2">
        <w:rPr>
          <w:rFonts w:ascii="Garamond" w:eastAsia="Times New Roman" w:hAnsi="Garamond" w:cs="Times New Roman"/>
          <w:sz w:val="24"/>
          <w:szCs w:val="24"/>
        </w:rPr>
        <w:t>, however,</w:t>
      </w:r>
      <w:r w:rsidR="00425438" w:rsidRPr="007C61D2">
        <w:rPr>
          <w:rFonts w:ascii="Garamond" w:eastAsia="Times New Roman" w:hAnsi="Garamond" w:cs="Times New Roman"/>
          <w:sz w:val="24"/>
          <w:szCs w:val="24"/>
        </w:rPr>
        <w:t xml:space="preserve"> </w:t>
      </w:r>
      <w:r w:rsidR="00BE0A5F" w:rsidRPr="007C61D2">
        <w:rPr>
          <w:rFonts w:ascii="Garamond" w:eastAsia="Times New Roman" w:hAnsi="Garamond" w:cs="Times New Roman"/>
          <w:sz w:val="24"/>
          <w:szCs w:val="24"/>
        </w:rPr>
        <w:t>with a different legal strategy</w:t>
      </w:r>
      <w:r w:rsidR="00F42C06" w:rsidRPr="007C61D2">
        <w:rPr>
          <w:rFonts w:ascii="Garamond" w:eastAsia="Times New Roman" w:hAnsi="Garamond" w:cs="Times New Roman"/>
          <w:sz w:val="24"/>
          <w:szCs w:val="24"/>
        </w:rPr>
        <w:t xml:space="preserve"> – one</w:t>
      </w:r>
      <w:r w:rsidR="00E80E31">
        <w:rPr>
          <w:rFonts w:ascii="Garamond" w:eastAsia="Times New Roman" w:hAnsi="Garamond" w:cs="Times New Roman"/>
          <w:sz w:val="24"/>
          <w:szCs w:val="24"/>
        </w:rPr>
        <w:t xml:space="preserve"> that</w:t>
      </w:r>
      <w:r w:rsidR="00F42C06" w:rsidRPr="007C61D2">
        <w:rPr>
          <w:rFonts w:ascii="Garamond" w:eastAsia="Times New Roman" w:hAnsi="Garamond" w:cs="Times New Roman"/>
          <w:sz w:val="24"/>
          <w:szCs w:val="24"/>
        </w:rPr>
        <w:t xml:space="preserve">, </w:t>
      </w:r>
      <w:r w:rsidR="00CF63BF" w:rsidRPr="007C61D2">
        <w:rPr>
          <w:rFonts w:ascii="Garamond" w:eastAsia="Times New Roman" w:hAnsi="Garamond" w:cs="Times New Roman"/>
          <w:sz w:val="24"/>
          <w:szCs w:val="24"/>
        </w:rPr>
        <w:t xml:space="preserve">some </w:t>
      </w:r>
      <w:r w:rsidR="004042B5" w:rsidRPr="007C61D2">
        <w:rPr>
          <w:rFonts w:ascii="Garamond" w:eastAsia="Times New Roman" w:hAnsi="Garamond" w:cs="Times New Roman"/>
          <w:sz w:val="24"/>
          <w:szCs w:val="24"/>
        </w:rPr>
        <w:t xml:space="preserve">have </w:t>
      </w:r>
      <w:r w:rsidR="00246DF2" w:rsidRPr="007C61D2">
        <w:rPr>
          <w:rFonts w:ascii="Garamond" w:eastAsia="Times New Roman" w:hAnsi="Garamond" w:cs="Times New Roman"/>
          <w:sz w:val="24"/>
          <w:szCs w:val="24"/>
        </w:rPr>
        <w:t>suggest</w:t>
      </w:r>
      <w:r w:rsidR="004042B5" w:rsidRPr="007C61D2">
        <w:rPr>
          <w:rFonts w:ascii="Garamond" w:eastAsia="Times New Roman" w:hAnsi="Garamond" w:cs="Times New Roman"/>
          <w:sz w:val="24"/>
          <w:szCs w:val="24"/>
        </w:rPr>
        <w:t>ed</w:t>
      </w:r>
      <w:r w:rsidR="00F42C06" w:rsidRPr="007C61D2">
        <w:rPr>
          <w:rFonts w:ascii="Garamond" w:eastAsia="Times New Roman" w:hAnsi="Garamond" w:cs="Times New Roman"/>
          <w:sz w:val="24"/>
          <w:szCs w:val="24"/>
        </w:rPr>
        <w:t xml:space="preserve">, </w:t>
      </w:r>
      <w:r w:rsidR="00246DF2" w:rsidRPr="007C61D2">
        <w:rPr>
          <w:rFonts w:ascii="Garamond" w:eastAsia="Times New Roman" w:hAnsi="Garamond" w:cs="Times New Roman"/>
          <w:sz w:val="24"/>
          <w:szCs w:val="24"/>
        </w:rPr>
        <w:t xml:space="preserve">may </w:t>
      </w:r>
      <w:r w:rsidR="00E80E31">
        <w:rPr>
          <w:rFonts w:ascii="Garamond" w:eastAsia="Times New Roman" w:hAnsi="Garamond" w:cs="Times New Roman"/>
          <w:sz w:val="24"/>
          <w:szCs w:val="24"/>
        </w:rPr>
        <w:t xml:space="preserve">prove </w:t>
      </w:r>
      <w:r w:rsidR="00246DF2" w:rsidRPr="007C61D2">
        <w:rPr>
          <w:rFonts w:ascii="Garamond" w:eastAsia="Times New Roman" w:hAnsi="Garamond" w:cs="Times New Roman"/>
          <w:sz w:val="24"/>
          <w:szCs w:val="24"/>
        </w:rPr>
        <w:t xml:space="preserve">more </w:t>
      </w:r>
      <w:r w:rsidR="00CF63BF" w:rsidRPr="007C61D2">
        <w:rPr>
          <w:rFonts w:ascii="Garamond" w:eastAsia="Times New Roman" w:hAnsi="Garamond" w:cs="Times New Roman"/>
          <w:sz w:val="24"/>
          <w:szCs w:val="24"/>
        </w:rPr>
        <w:t xml:space="preserve">practical </w:t>
      </w:r>
      <w:r w:rsidR="004042B5" w:rsidRPr="007C61D2">
        <w:rPr>
          <w:rFonts w:ascii="Garamond" w:eastAsia="Times New Roman" w:hAnsi="Garamond" w:cs="Times New Roman"/>
          <w:sz w:val="24"/>
          <w:szCs w:val="24"/>
        </w:rPr>
        <w:t xml:space="preserve">and </w:t>
      </w:r>
      <w:r w:rsidR="00CF63BF" w:rsidRPr="007C61D2">
        <w:rPr>
          <w:rFonts w:ascii="Garamond" w:eastAsia="Times New Roman" w:hAnsi="Garamond" w:cs="Times New Roman"/>
          <w:sz w:val="24"/>
          <w:szCs w:val="24"/>
        </w:rPr>
        <w:t xml:space="preserve">effective than decertification </w:t>
      </w:r>
      <w:r w:rsidR="00C81124" w:rsidRPr="007C61D2">
        <w:rPr>
          <w:rFonts w:ascii="Garamond" w:eastAsia="Times New Roman" w:hAnsi="Garamond" w:cs="Times New Roman"/>
          <w:sz w:val="24"/>
          <w:szCs w:val="24"/>
        </w:rPr>
        <w:t xml:space="preserve">at the current time </w:t>
      </w:r>
      <w:r w:rsidR="00AD0A89" w:rsidRPr="007C61D2">
        <w:rPr>
          <w:rFonts w:ascii="Garamond" w:eastAsia="Times New Roman" w:hAnsi="Garamond" w:cs="Times New Roman"/>
          <w:sz w:val="24"/>
          <w:szCs w:val="24"/>
        </w:rPr>
        <w:t xml:space="preserve">(see </w:t>
      </w:r>
      <w:r w:rsidR="00F42C06" w:rsidRPr="007C61D2">
        <w:rPr>
          <w:rFonts w:ascii="Garamond" w:eastAsia="Times New Roman" w:hAnsi="Garamond" w:cs="Times New Roman"/>
          <w:sz w:val="24"/>
          <w:szCs w:val="24"/>
        </w:rPr>
        <w:t xml:space="preserve">discussion in </w:t>
      </w:r>
      <w:r w:rsidR="00AD0A89" w:rsidRPr="007C61D2">
        <w:rPr>
          <w:rFonts w:ascii="Garamond" w:eastAsia="Times New Roman" w:hAnsi="Garamond" w:cs="Times New Roman"/>
          <w:sz w:val="24"/>
          <w:szCs w:val="24"/>
        </w:rPr>
        <w:t xml:space="preserve">Clarke </w:t>
      </w:r>
      <w:r w:rsidR="00E23E50" w:rsidRPr="007C61D2">
        <w:rPr>
          <w:rFonts w:ascii="Garamond" w:eastAsia="Times New Roman" w:hAnsi="Garamond" w:cs="Times New Roman"/>
          <w:sz w:val="24"/>
          <w:szCs w:val="24"/>
        </w:rPr>
        <w:t>2018</w:t>
      </w:r>
      <w:r w:rsidR="00AD0A89" w:rsidRPr="007C61D2">
        <w:rPr>
          <w:rFonts w:ascii="Garamond" w:eastAsia="Times New Roman" w:hAnsi="Garamond" w:cs="Times New Roman"/>
          <w:sz w:val="24"/>
          <w:szCs w:val="24"/>
        </w:rPr>
        <w:t>)</w:t>
      </w:r>
      <w:r w:rsidR="004D1633" w:rsidRPr="007C61D2">
        <w:rPr>
          <w:rFonts w:ascii="Garamond" w:eastAsia="Times New Roman" w:hAnsi="Garamond" w:cs="Times New Roman"/>
          <w:sz w:val="24"/>
          <w:szCs w:val="24"/>
        </w:rPr>
        <w:t xml:space="preserve">. </w:t>
      </w:r>
      <w:r w:rsidR="00C81124" w:rsidRPr="007C61D2">
        <w:rPr>
          <w:rFonts w:ascii="Garamond" w:eastAsia="Times New Roman" w:hAnsi="Garamond" w:cs="Times New Roman"/>
          <w:sz w:val="24"/>
          <w:szCs w:val="24"/>
        </w:rPr>
        <w:t xml:space="preserve"> Rather than abolishing legal gender status, </w:t>
      </w:r>
      <w:r w:rsidR="00E5642D" w:rsidRPr="007C61D2">
        <w:rPr>
          <w:rFonts w:ascii="Garamond" w:eastAsia="Times New Roman" w:hAnsi="Garamond" w:cs="Times New Roman"/>
          <w:sz w:val="24"/>
          <w:szCs w:val="24"/>
        </w:rPr>
        <w:t xml:space="preserve">it </w:t>
      </w:r>
      <w:r w:rsidR="00C81124" w:rsidRPr="007C61D2">
        <w:rPr>
          <w:rFonts w:ascii="Garamond" w:eastAsia="Times New Roman" w:hAnsi="Garamond" w:cs="Times New Roman"/>
          <w:sz w:val="24"/>
          <w:szCs w:val="24"/>
        </w:rPr>
        <w:t>involve</w:t>
      </w:r>
      <w:r w:rsidR="00A908DC" w:rsidRPr="007C61D2">
        <w:rPr>
          <w:rFonts w:ascii="Garamond" w:eastAsia="Times New Roman" w:hAnsi="Garamond" w:cs="Times New Roman"/>
          <w:sz w:val="24"/>
          <w:szCs w:val="24"/>
        </w:rPr>
        <w:t>s</w:t>
      </w:r>
      <w:r w:rsidR="00C81124" w:rsidRPr="007C61D2">
        <w:rPr>
          <w:rFonts w:ascii="Garamond" w:eastAsia="Times New Roman" w:hAnsi="Garamond" w:cs="Times New Roman"/>
          <w:sz w:val="24"/>
          <w:szCs w:val="24"/>
        </w:rPr>
        <w:t xml:space="preserve"> diversifying gender categories </w:t>
      </w:r>
      <w:r w:rsidR="00E5642D" w:rsidRPr="007C61D2">
        <w:rPr>
          <w:rFonts w:ascii="Garamond" w:eastAsia="Times New Roman" w:hAnsi="Garamond" w:cs="Times New Roman"/>
          <w:sz w:val="24"/>
          <w:szCs w:val="24"/>
        </w:rPr>
        <w:t xml:space="preserve">to reflect (in more, or less, open ways) people’s own </w:t>
      </w:r>
      <w:r w:rsidR="00C81124" w:rsidRPr="007C61D2">
        <w:rPr>
          <w:rFonts w:ascii="Garamond" w:eastAsia="Times New Roman" w:hAnsi="Garamond" w:cs="Times New Roman"/>
          <w:sz w:val="24"/>
          <w:szCs w:val="24"/>
        </w:rPr>
        <w:t>self-</w:t>
      </w:r>
      <w:r w:rsidR="00E5642D" w:rsidRPr="007C61D2">
        <w:rPr>
          <w:rFonts w:ascii="Garamond" w:eastAsia="Times New Roman" w:hAnsi="Garamond" w:cs="Times New Roman"/>
          <w:sz w:val="24"/>
          <w:szCs w:val="24"/>
        </w:rPr>
        <w:t>identifications</w:t>
      </w:r>
      <w:r w:rsidR="00C81124" w:rsidRPr="007C61D2">
        <w:rPr>
          <w:rFonts w:ascii="Garamond" w:eastAsia="Times New Roman" w:hAnsi="Garamond" w:cs="Times New Roman"/>
          <w:sz w:val="24"/>
          <w:szCs w:val="24"/>
        </w:rPr>
        <w:t xml:space="preserve">. </w:t>
      </w:r>
      <w:r w:rsidR="00F42C06" w:rsidRPr="007C61D2">
        <w:rPr>
          <w:rFonts w:ascii="Garamond" w:eastAsia="Times New Roman" w:hAnsi="Garamond" w:cs="Times New Roman"/>
          <w:sz w:val="24"/>
          <w:szCs w:val="24"/>
        </w:rPr>
        <w:t xml:space="preserve">Expanding formal gender categories has occurred in several jurisdictions, most commonly through a third category of “non-binary” or “other” for gender registration or documentary purposes (see </w:t>
      </w:r>
      <w:r w:rsidR="00F42C06" w:rsidRPr="007C61D2">
        <w:rPr>
          <w:rFonts w:ascii="Garamond" w:hAnsi="Garamond" w:cs="Times New Roman"/>
          <w:sz w:val="24"/>
          <w:szCs w:val="24"/>
        </w:rPr>
        <w:t xml:space="preserve">Cannoot and Decoster 2020; </w:t>
      </w:r>
      <w:r w:rsidR="00F42C06" w:rsidRPr="007C61D2">
        <w:rPr>
          <w:rFonts w:ascii="Garamond" w:eastAsia="Times New Roman" w:hAnsi="Garamond" w:cs="Times New Roman"/>
          <w:sz w:val="24"/>
          <w:szCs w:val="24"/>
        </w:rPr>
        <w:t>Clarke 2018; Holzer 2018).</w:t>
      </w:r>
      <w:r w:rsidR="00F42C06" w:rsidRPr="007C61D2">
        <w:rPr>
          <w:rStyle w:val="FootnoteReference"/>
          <w:rFonts w:ascii="Garamond" w:eastAsia="Times New Roman" w:hAnsi="Garamond" w:cs="Times New Roman"/>
          <w:sz w:val="24"/>
          <w:szCs w:val="24"/>
        </w:rPr>
        <w:footnoteReference w:id="8"/>
      </w:r>
      <w:r w:rsidR="00F42C06" w:rsidRPr="007C61D2">
        <w:rPr>
          <w:rFonts w:ascii="Garamond" w:eastAsia="Times New Roman" w:hAnsi="Garamond" w:cs="Times New Roman"/>
          <w:sz w:val="24"/>
          <w:szCs w:val="24"/>
        </w:rPr>
        <w:t xml:space="preserve"> </w:t>
      </w:r>
      <w:r w:rsidR="00C81124" w:rsidRPr="007C61D2">
        <w:rPr>
          <w:rFonts w:ascii="Garamond" w:eastAsia="Times New Roman" w:hAnsi="Garamond" w:cs="Times New Roman"/>
          <w:sz w:val="24"/>
          <w:szCs w:val="24"/>
        </w:rPr>
        <w:t xml:space="preserve"> </w:t>
      </w:r>
      <w:r w:rsidR="00F42C06" w:rsidRPr="007C61D2">
        <w:rPr>
          <w:rFonts w:ascii="Garamond" w:eastAsia="Times New Roman" w:hAnsi="Garamond" w:cs="Times New Roman"/>
          <w:sz w:val="24"/>
          <w:szCs w:val="24"/>
        </w:rPr>
        <w:t xml:space="preserve">Here, </w:t>
      </w:r>
      <w:r w:rsidR="004042B5" w:rsidRPr="007C61D2">
        <w:rPr>
          <w:rFonts w:ascii="Garamond" w:eastAsia="Times New Roman" w:hAnsi="Garamond" w:cs="Times New Roman"/>
          <w:sz w:val="24"/>
          <w:szCs w:val="24"/>
        </w:rPr>
        <w:t>formal g</w:t>
      </w:r>
      <w:r w:rsidR="00C81124" w:rsidRPr="007C61D2">
        <w:rPr>
          <w:rFonts w:ascii="Garamond" w:eastAsia="Times New Roman" w:hAnsi="Garamond" w:cs="Times New Roman"/>
          <w:sz w:val="24"/>
          <w:szCs w:val="24"/>
        </w:rPr>
        <w:t xml:space="preserve">ender </w:t>
      </w:r>
      <w:r w:rsidR="004042B5" w:rsidRPr="007C61D2">
        <w:rPr>
          <w:rFonts w:ascii="Garamond" w:eastAsia="Times New Roman" w:hAnsi="Garamond" w:cs="Times New Roman"/>
          <w:sz w:val="24"/>
          <w:szCs w:val="24"/>
        </w:rPr>
        <w:t>identifications</w:t>
      </w:r>
      <w:r w:rsidR="00F42C06" w:rsidRPr="007C61D2">
        <w:rPr>
          <w:rFonts w:ascii="Garamond" w:eastAsia="Times New Roman" w:hAnsi="Garamond" w:cs="Times New Roman"/>
          <w:sz w:val="24"/>
          <w:szCs w:val="24"/>
        </w:rPr>
        <w:t xml:space="preserve"> are retained in </w:t>
      </w:r>
      <w:r w:rsidR="00E5642D" w:rsidRPr="007C61D2">
        <w:rPr>
          <w:rFonts w:ascii="Garamond" w:eastAsia="Times New Roman" w:hAnsi="Garamond" w:cs="Times New Roman"/>
          <w:sz w:val="24"/>
          <w:szCs w:val="24"/>
        </w:rPr>
        <w:t xml:space="preserve">an </w:t>
      </w:r>
      <w:r w:rsidR="00C81124" w:rsidRPr="007C61D2">
        <w:rPr>
          <w:rFonts w:ascii="Garamond" w:eastAsia="Times New Roman" w:hAnsi="Garamond" w:cs="Times New Roman"/>
          <w:sz w:val="24"/>
          <w:szCs w:val="24"/>
        </w:rPr>
        <w:t>officially expansive</w:t>
      </w:r>
      <w:r w:rsidR="00E5642D" w:rsidRPr="007C61D2">
        <w:rPr>
          <w:rFonts w:ascii="Garamond" w:eastAsia="Times New Roman" w:hAnsi="Garamond" w:cs="Times New Roman"/>
          <w:sz w:val="24"/>
          <w:szCs w:val="24"/>
        </w:rPr>
        <w:t xml:space="preserve"> </w:t>
      </w:r>
      <w:r w:rsidR="00C81124" w:rsidRPr="007C61D2">
        <w:rPr>
          <w:rFonts w:ascii="Garamond" w:eastAsia="Times New Roman" w:hAnsi="Garamond" w:cs="Times New Roman"/>
          <w:sz w:val="24"/>
          <w:szCs w:val="24"/>
        </w:rPr>
        <w:t>form</w:t>
      </w:r>
      <w:r w:rsidR="00E5642D" w:rsidRPr="007C61D2">
        <w:rPr>
          <w:rFonts w:ascii="Garamond" w:eastAsia="Times New Roman" w:hAnsi="Garamond" w:cs="Times New Roman"/>
          <w:sz w:val="24"/>
          <w:szCs w:val="24"/>
        </w:rPr>
        <w:t>,</w:t>
      </w:r>
      <w:r w:rsidR="001764DE" w:rsidRPr="007C61D2">
        <w:rPr>
          <w:rFonts w:ascii="Garamond" w:eastAsia="Times New Roman" w:hAnsi="Garamond" w:cs="Times New Roman"/>
          <w:sz w:val="24"/>
          <w:szCs w:val="24"/>
        </w:rPr>
        <w:t xml:space="preserve"> </w:t>
      </w:r>
      <w:r w:rsidR="00F42C06" w:rsidRPr="007C61D2">
        <w:rPr>
          <w:rFonts w:ascii="Garamond" w:eastAsia="Times New Roman" w:hAnsi="Garamond" w:cs="Times New Roman"/>
          <w:sz w:val="24"/>
          <w:szCs w:val="24"/>
        </w:rPr>
        <w:t xml:space="preserve">while </w:t>
      </w:r>
      <w:r w:rsidR="00C81124" w:rsidRPr="007C61D2">
        <w:rPr>
          <w:rFonts w:ascii="Garamond" w:eastAsia="Times New Roman" w:hAnsi="Garamond" w:cs="Times New Roman"/>
          <w:sz w:val="24"/>
          <w:szCs w:val="24"/>
        </w:rPr>
        <w:t xml:space="preserve">the formalities required for people to move between </w:t>
      </w:r>
      <w:r w:rsidR="00A908DC" w:rsidRPr="007C61D2">
        <w:rPr>
          <w:rFonts w:ascii="Garamond" w:eastAsia="Times New Roman" w:hAnsi="Garamond" w:cs="Times New Roman"/>
          <w:sz w:val="24"/>
          <w:szCs w:val="24"/>
        </w:rPr>
        <w:t>sub-</w:t>
      </w:r>
      <w:r w:rsidR="00C81124" w:rsidRPr="007C61D2">
        <w:rPr>
          <w:rFonts w:ascii="Garamond" w:eastAsia="Times New Roman" w:hAnsi="Garamond" w:cs="Times New Roman"/>
          <w:sz w:val="24"/>
          <w:szCs w:val="24"/>
        </w:rPr>
        <w:t>categor</w:t>
      </w:r>
      <w:r w:rsidR="00A908DC" w:rsidRPr="007C61D2">
        <w:rPr>
          <w:rFonts w:ascii="Garamond" w:eastAsia="Times New Roman" w:hAnsi="Garamond" w:cs="Times New Roman"/>
          <w:sz w:val="24"/>
          <w:szCs w:val="24"/>
        </w:rPr>
        <w:t>y headings</w:t>
      </w:r>
      <w:r w:rsidR="00F42C06" w:rsidRPr="007C61D2">
        <w:rPr>
          <w:rFonts w:ascii="Garamond" w:eastAsia="Times New Roman" w:hAnsi="Garamond" w:cs="Times New Roman"/>
          <w:sz w:val="24"/>
          <w:szCs w:val="24"/>
        </w:rPr>
        <w:t xml:space="preserve"> are typically </w:t>
      </w:r>
      <w:r w:rsidR="00F42C06" w:rsidRPr="007C61D2">
        <w:rPr>
          <w:rFonts w:ascii="Garamond" w:eastAsia="Times New Roman" w:hAnsi="Garamond" w:cs="Times New Roman"/>
          <w:sz w:val="24"/>
          <w:szCs w:val="24"/>
        </w:rPr>
        <w:lastRenderedPageBreak/>
        <w:t>minimised</w:t>
      </w:r>
      <w:r w:rsidR="00635A37" w:rsidRPr="007C61D2">
        <w:rPr>
          <w:rFonts w:ascii="Garamond" w:eastAsia="Times New Roman" w:hAnsi="Garamond" w:cs="Times New Roman"/>
          <w:sz w:val="24"/>
          <w:szCs w:val="24"/>
        </w:rPr>
        <w:t>.</w:t>
      </w:r>
      <w:r w:rsidR="00A04644" w:rsidRPr="007C61D2">
        <w:rPr>
          <w:rStyle w:val="FootnoteReference"/>
          <w:rFonts w:ascii="Garamond" w:eastAsia="Times New Roman" w:hAnsi="Garamond" w:cs="Times New Roman"/>
          <w:sz w:val="24"/>
          <w:szCs w:val="24"/>
        </w:rPr>
        <w:footnoteReference w:id="9"/>
      </w:r>
      <w:r w:rsidR="005E0E48" w:rsidRPr="007C61D2">
        <w:rPr>
          <w:rFonts w:ascii="Garamond" w:eastAsia="Times New Roman" w:hAnsi="Garamond" w:cs="Times New Roman"/>
          <w:sz w:val="24"/>
          <w:szCs w:val="24"/>
        </w:rPr>
        <w:t xml:space="preserve"> </w:t>
      </w:r>
      <w:r w:rsidR="00A04644" w:rsidRPr="007C61D2">
        <w:rPr>
          <w:rFonts w:ascii="Garamond" w:eastAsia="Times New Roman" w:hAnsi="Garamond" w:cs="Times New Roman"/>
          <w:sz w:val="24"/>
          <w:szCs w:val="24"/>
        </w:rPr>
        <w:t xml:space="preserve">The move towards treating gender as a </w:t>
      </w:r>
      <w:r w:rsidR="00692424" w:rsidRPr="007C61D2">
        <w:rPr>
          <w:rFonts w:ascii="Garamond" w:eastAsia="Times New Roman" w:hAnsi="Garamond" w:cs="Times New Roman"/>
          <w:sz w:val="24"/>
          <w:szCs w:val="24"/>
        </w:rPr>
        <w:t>less</w:t>
      </w:r>
      <w:r w:rsidR="00635A37" w:rsidRPr="007C61D2">
        <w:rPr>
          <w:rFonts w:ascii="Garamond" w:eastAsia="Times New Roman" w:hAnsi="Garamond" w:cs="Times New Roman"/>
          <w:sz w:val="24"/>
          <w:szCs w:val="24"/>
        </w:rPr>
        <w:t xml:space="preserve"> dualistic</w:t>
      </w:r>
      <w:r w:rsidRPr="007C61D2">
        <w:rPr>
          <w:rFonts w:ascii="Garamond" w:eastAsia="Times New Roman" w:hAnsi="Garamond" w:cs="Times New Roman"/>
          <w:sz w:val="24"/>
          <w:szCs w:val="24"/>
        </w:rPr>
        <w:t>,</w:t>
      </w:r>
      <w:r w:rsidR="00692424" w:rsidRPr="007C61D2">
        <w:rPr>
          <w:rFonts w:ascii="Garamond" w:eastAsia="Times New Roman" w:hAnsi="Garamond" w:cs="Times New Roman"/>
          <w:sz w:val="24"/>
          <w:szCs w:val="24"/>
        </w:rPr>
        <w:t xml:space="preserve"> </w:t>
      </w:r>
      <w:r w:rsidR="00A04644" w:rsidRPr="007C61D2">
        <w:rPr>
          <w:rFonts w:ascii="Garamond" w:eastAsia="Times New Roman" w:hAnsi="Garamond" w:cs="Times New Roman"/>
          <w:sz w:val="24"/>
          <w:szCs w:val="24"/>
        </w:rPr>
        <w:t>more flexible</w:t>
      </w:r>
      <w:r w:rsidR="00A908DC" w:rsidRPr="007C61D2">
        <w:rPr>
          <w:rFonts w:ascii="Garamond" w:eastAsia="Times New Roman" w:hAnsi="Garamond" w:cs="Times New Roman"/>
          <w:sz w:val="24"/>
          <w:szCs w:val="24"/>
        </w:rPr>
        <w:t xml:space="preserve"> framework </w:t>
      </w:r>
      <w:r w:rsidR="00A04644" w:rsidRPr="007C61D2">
        <w:rPr>
          <w:rFonts w:ascii="Garamond" w:eastAsia="Times New Roman" w:hAnsi="Garamond" w:cs="Times New Roman"/>
          <w:sz w:val="24"/>
          <w:szCs w:val="24"/>
        </w:rPr>
        <w:t xml:space="preserve">aligns with a </w:t>
      </w:r>
      <w:r w:rsidR="00692424" w:rsidRPr="007C61D2">
        <w:rPr>
          <w:rFonts w:ascii="Garamond" w:eastAsia="Times New Roman" w:hAnsi="Garamond" w:cs="Times New Roman"/>
          <w:sz w:val="24"/>
          <w:szCs w:val="24"/>
        </w:rPr>
        <w:t xml:space="preserve">growing </w:t>
      </w:r>
      <w:r w:rsidR="00A04644" w:rsidRPr="007C61D2">
        <w:rPr>
          <w:rFonts w:ascii="Garamond" w:eastAsia="Times New Roman" w:hAnsi="Garamond" w:cs="Times New Roman"/>
          <w:sz w:val="24"/>
          <w:szCs w:val="24"/>
        </w:rPr>
        <w:t xml:space="preserve">liberal common-sense </w:t>
      </w:r>
      <w:r w:rsidR="00A908DC" w:rsidRPr="007C61D2">
        <w:rPr>
          <w:rFonts w:ascii="Garamond" w:eastAsia="Times New Roman" w:hAnsi="Garamond" w:cs="Times New Roman"/>
          <w:sz w:val="24"/>
          <w:szCs w:val="24"/>
        </w:rPr>
        <w:t xml:space="preserve">that </w:t>
      </w:r>
      <w:r w:rsidR="00E5642D" w:rsidRPr="007C61D2">
        <w:rPr>
          <w:rFonts w:ascii="Garamond" w:eastAsia="Times New Roman" w:hAnsi="Garamond" w:cs="Times New Roman"/>
          <w:sz w:val="24"/>
          <w:szCs w:val="24"/>
        </w:rPr>
        <w:t xml:space="preserve">identifies </w:t>
      </w:r>
      <w:r w:rsidR="00A04644" w:rsidRPr="007C61D2">
        <w:rPr>
          <w:rFonts w:ascii="Garamond" w:eastAsia="Times New Roman" w:hAnsi="Garamond" w:cs="Times New Roman"/>
          <w:sz w:val="24"/>
          <w:szCs w:val="24"/>
        </w:rPr>
        <w:t xml:space="preserve">gender </w:t>
      </w:r>
      <w:r w:rsidR="00A908DC" w:rsidRPr="007C61D2">
        <w:rPr>
          <w:rFonts w:ascii="Garamond" w:eastAsia="Times New Roman" w:hAnsi="Garamond" w:cs="Times New Roman"/>
          <w:sz w:val="24"/>
          <w:szCs w:val="24"/>
        </w:rPr>
        <w:t xml:space="preserve">as </w:t>
      </w:r>
      <w:r w:rsidR="00A04644" w:rsidRPr="007C61D2">
        <w:rPr>
          <w:rFonts w:ascii="Garamond" w:eastAsia="Times New Roman" w:hAnsi="Garamond" w:cs="Times New Roman"/>
          <w:sz w:val="24"/>
          <w:szCs w:val="24"/>
        </w:rPr>
        <w:t xml:space="preserve">personal, elective, varied, and </w:t>
      </w:r>
      <w:r w:rsidR="00E5642D" w:rsidRPr="007C61D2">
        <w:rPr>
          <w:rFonts w:ascii="Garamond" w:eastAsia="Times New Roman" w:hAnsi="Garamond" w:cs="Times New Roman"/>
          <w:sz w:val="24"/>
          <w:szCs w:val="24"/>
        </w:rPr>
        <w:t xml:space="preserve">generally </w:t>
      </w:r>
      <w:r w:rsidR="00A04644" w:rsidRPr="007C61D2">
        <w:rPr>
          <w:rFonts w:ascii="Garamond" w:eastAsia="Times New Roman" w:hAnsi="Garamond" w:cs="Times New Roman"/>
          <w:sz w:val="24"/>
          <w:szCs w:val="24"/>
        </w:rPr>
        <w:t>deserving of recognition</w:t>
      </w:r>
      <w:r w:rsidR="00635A37" w:rsidRPr="007C61D2">
        <w:rPr>
          <w:rFonts w:ascii="Garamond" w:eastAsia="Times New Roman" w:hAnsi="Garamond" w:cs="Times New Roman"/>
          <w:sz w:val="24"/>
          <w:szCs w:val="24"/>
        </w:rPr>
        <w:t xml:space="preserve"> (</w:t>
      </w:r>
      <w:r w:rsidR="00E80E31">
        <w:rPr>
          <w:rFonts w:ascii="Garamond" w:eastAsia="Times New Roman" w:hAnsi="Garamond" w:cs="Times New Roman"/>
          <w:sz w:val="24"/>
          <w:szCs w:val="24"/>
        </w:rPr>
        <w:t xml:space="preserve">discussed further by </w:t>
      </w:r>
      <w:r w:rsidR="00635A37" w:rsidRPr="007C61D2">
        <w:rPr>
          <w:rFonts w:ascii="Garamond" w:eastAsia="Times New Roman" w:hAnsi="Garamond" w:cs="Times New Roman"/>
          <w:sz w:val="24"/>
          <w:szCs w:val="24"/>
        </w:rPr>
        <w:t>Cooper, this issue)</w:t>
      </w:r>
      <w:r w:rsidR="00A04644" w:rsidRPr="007C61D2">
        <w:rPr>
          <w:rFonts w:ascii="Garamond" w:eastAsia="Times New Roman" w:hAnsi="Garamond" w:cs="Times New Roman"/>
          <w:sz w:val="24"/>
          <w:szCs w:val="24"/>
        </w:rPr>
        <w:t xml:space="preserve">. It also aligns with a more practical set of concerns; namely, that state certification </w:t>
      </w:r>
      <w:r w:rsidR="00E5642D" w:rsidRPr="007C61D2">
        <w:rPr>
          <w:rFonts w:ascii="Garamond" w:eastAsia="Times New Roman" w:hAnsi="Garamond" w:cs="Times New Roman"/>
          <w:sz w:val="24"/>
          <w:szCs w:val="24"/>
        </w:rPr>
        <w:t xml:space="preserve">can be beneficial for those </w:t>
      </w:r>
      <w:r w:rsidR="00A04644" w:rsidRPr="007C61D2">
        <w:rPr>
          <w:rFonts w:ascii="Garamond" w:eastAsia="Times New Roman" w:hAnsi="Garamond" w:cs="Times New Roman"/>
          <w:sz w:val="24"/>
          <w:szCs w:val="24"/>
        </w:rPr>
        <w:t xml:space="preserve">whose gender identity is </w:t>
      </w:r>
      <w:r w:rsidR="00635A37" w:rsidRPr="007C61D2">
        <w:rPr>
          <w:rFonts w:ascii="Garamond" w:eastAsia="Times New Roman" w:hAnsi="Garamond" w:cs="Times New Roman"/>
          <w:sz w:val="24"/>
          <w:szCs w:val="24"/>
        </w:rPr>
        <w:t xml:space="preserve">experienced or treated as </w:t>
      </w:r>
      <w:r w:rsidR="00A04644" w:rsidRPr="007C61D2">
        <w:rPr>
          <w:rFonts w:ascii="Garamond" w:eastAsia="Times New Roman" w:hAnsi="Garamond" w:cs="Times New Roman"/>
          <w:sz w:val="24"/>
          <w:szCs w:val="24"/>
        </w:rPr>
        <w:t>precarious or contest</w:t>
      </w:r>
      <w:r w:rsidR="00635A37" w:rsidRPr="007C61D2">
        <w:rPr>
          <w:rFonts w:ascii="Garamond" w:eastAsia="Times New Roman" w:hAnsi="Garamond" w:cs="Times New Roman"/>
          <w:sz w:val="24"/>
          <w:szCs w:val="24"/>
        </w:rPr>
        <w:t>ed</w:t>
      </w:r>
      <w:r w:rsidR="00E5642D" w:rsidRPr="007C61D2">
        <w:rPr>
          <w:rFonts w:ascii="Garamond" w:eastAsia="Times New Roman" w:hAnsi="Garamond" w:cs="Times New Roman"/>
          <w:sz w:val="24"/>
          <w:szCs w:val="24"/>
        </w:rPr>
        <w:t>;</w:t>
      </w:r>
      <w:r w:rsidR="00A04644" w:rsidRPr="007C61D2">
        <w:rPr>
          <w:rStyle w:val="FootnoteReference"/>
          <w:rFonts w:ascii="Garamond" w:eastAsia="Times New Roman" w:hAnsi="Garamond" w:cs="Times New Roman"/>
          <w:sz w:val="24"/>
          <w:szCs w:val="24"/>
        </w:rPr>
        <w:footnoteReference w:id="10"/>
      </w:r>
      <w:r w:rsidR="00A04644" w:rsidRPr="007C61D2">
        <w:rPr>
          <w:rFonts w:ascii="Garamond" w:eastAsia="Times New Roman" w:hAnsi="Garamond" w:cs="Times New Roman"/>
          <w:sz w:val="24"/>
          <w:szCs w:val="24"/>
        </w:rPr>
        <w:t xml:space="preserve"> </w:t>
      </w:r>
      <w:r w:rsidR="00E5642D" w:rsidRPr="007C61D2">
        <w:rPr>
          <w:rFonts w:ascii="Garamond" w:eastAsia="Times New Roman" w:hAnsi="Garamond" w:cs="Times New Roman"/>
          <w:sz w:val="24"/>
          <w:szCs w:val="24"/>
        </w:rPr>
        <w:t xml:space="preserve">and </w:t>
      </w:r>
      <w:r w:rsidR="004042B5" w:rsidRPr="007C61D2">
        <w:rPr>
          <w:rFonts w:ascii="Garamond" w:eastAsia="Times New Roman" w:hAnsi="Garamond" w:cs="Times New Roman"/>
          <w:sz w:val="24"/>
          <w:szCs w:val="24"/>
        </w:rPr>
        <w:t xml:space="preserve">it responds to </w:t>
      </w:r>
      <w:r w:rsidR="00E5642D" w:rsidRPr="007C61D2">
        <w:rPr>
          <w:rFonts w:ascii="Garamond" w:eastAsia="Times New Roman" w:hAnsi="Garamond" w:cs="Times New Roman"/>
          <w:sz w:val="24"/>
          <w:szCs w:val="24"/>
        </w:rPr>
        <w:t xml:space="preserve">some people’s </w:t>
      </w:r>
      <w:r w:rsidR="004042B5" w:rsidRPr="007C61D2">
        <w:rPr>
          <w:rFonts w:ascii="Garamond" w:eastAsia="Times New Roman" w:hAnsi="Garamond" w:cs="Times New Roman"/>
          <w:sz w:val="24"/>
          <w:szCs w:val="24"/>
        </w:rPr>
        <w:t xml:space="preserve">desire </w:t>
      </w:r>
      <w:r w:rsidR="00E5642D" w:rsidRPr="007C61D2">
        <w:rPr>
          <w:rFonts w:ascii="Garamond" w:eastAsia="Times New Roman" w:hAnsi="Garamond" w:cs="Times New Roman"/>
          <w:sz w:val="24"/>
          <w:szCs w:val="24"/>
        </w:rPr>
        <w:t xml:space="preserve">or need to be formally recognised outside of the categories of male or female. </w:t>
      </w:r>
    </w:p>
    <w:p w14:paraId="6A4CA972" w14:textId="026FEB84" w:rsidR="006F636F" w:rsidRPr="007C61D2" w:rsidRDefault="00192E3F" w:rsidP="00AB322D">
      <w:pPr>
        <w:spacing w:before="240" w:after="120" w:line="360" w:lineRule="auto"/>
        <w:ind w:firstLine="709"/>
        <w:rPr>
          <w:rFonts w:ascii="Garamond" w:eastAsia="Times New Roman" w:hAnsi="Garamond" w:cs="Times New Roman"/>
          <w:sz w:val="24"/>
          <w:szCs w:val="24"/>
        </w:rPr>
      </w:pPr>
      <w:r w:rsidRPr="007C61D2">
        <w:rPr>
          <w:rFonts w:ascii="Garamond" w:eastAsia="Times New Roman" w:hAnsi="Garamond" w:cs="Times New Roman"/>
          <w:sz w:val="24"/>
          <w:szCs w:val="24"/>
        </w:rPr>
        <w:tab/>
      </w:r>
      <w:r w:rsidR="007277EF" w:rsidRPr="007C61D2">
        <w:rPr>
          <w:rFonts w:ascii="Garamond" w:eastAsia="Times New Roman" w:hAnsi="Garamond" w:cs="Times New Roman"/>
          <w:sz w:val="24"/>
          <w:szCs w:val="24"/>
        </w:rPr>
        <w:t xml:space="preserve">Legal </w:t>
      </w:r>
      <w:r w:rsidR="00A04644" w:rsidRPr="007C61D2">
        <w:rPr>
          <w:rFonts w:ascii="Garamond" w:eastAsia="Times New Roman" w:hAnsi="Garamond" w:cs="Times New Roman"/>
          <w:sz w:val="24"/>
          <w:szCs w:val="24"/>
        </w:rPr>
        <w:t xml:space="preserve">recognition of </w:t>
      </w:r>
      <w:r w:rsidR="002F4875" w:rsidRPr="007C61D2">
        <w:rPr>
          <w:rFonts w:ascii="Garamond" w:eastAsia="Times New Roman" w:hAnsi="Garamond" w:cs="Times New Roman"/>
          <w:sz w:val="24"/>
          <w:szCs w:val="24"/>
        </w:rPr>
        <w:t>gender plurality</w:t>
      </w:r>
      <w:r w:rsidR="00932339" w:rsidRPr="007C61D2">
        <w:rPr>
          <w:rFonts w:ascii="Garamond" w:eastAsia="Times New Roman" w:hAnsi="Garamond" w:cs="Times New Roman"/>
          <w:sz w:val="24"/>
          <w:szCs w:val="24"/>
        </w:rPr>
        <w:t xml:space="preserve"> </w:t>
      </w:r>
      <w:r w:rsidR="002E0AB8" w:rsidRPr="007C61D2">
        <w:rPr>
          <w:rFonts w:ascii="Garamond" w:eastAsia="Times New Roman" w:hAnsi="Garamond" w:cs="Times New Roman"/>
          <w:sz w:val="24"/>
          <w:szCs w:val="24"/>
        </w:rPr>
        <w:t xml:space="preserve">seems to hold out </w:t>
      </w:r>
      <w:r w:rsidR="002C387E" w:rsidRPr="007C61D2">
        <w:rPr>
          <w:rFonts w:ascii="Garamond" w:eastAsia="Times New Roman" w:hAnsi="Garamond" w:cs="Times New Roman"/>
          <w:sz w:val="24"/>
          <w:szCs w:val="24"/>
        </w:rPr>
        <w:t>promise</w:t>
      </w:r>
      <w:r w:rsidR="001764DE" w:rsidRPr="007C61D2">
        <w:rPr>
          <w:rFonts w:ascii="Garamond" w:eastAsia="Times New Roman" w:hAnsi="Garamond" w:cs="Times New Roman"/>
          <w:sz w:val="24"/>
          <w:szCs w:val="24"/>
        </w:rPr>
        <w:t>,</w:t>
      </w:r>
      <w:r w:rsidR="002C387E" w:rsidRPr="007C61D2">
        <w:rPr>
          <w:rFonts w:ascii="Garamond" w:eastAsia="Times New Roman" w:hAnsi="Garamond" w:cs="Times New Roman"/>
          <w:sz w:val="24"/>
          <w:szCs w:val="24"/>
        </w:rPr>
        <w:t xml:space="preserve"> </w:t>
      </w:r>
      <w:r w:rsidR="00E5642D" w:rsidRPr="007C61D2">
        <w:rPr>
          <w:rFonts w:ascii="Garamond" w:eastAsia="Times New Roman" w:hAnsi="Garamond" w:cs="Times New Roman"/>
          <w:sz w:val="24"/>
          <w:szCs w:val="24"/>
        </w:rPr>
        <w:t xml:space="preserve">both </w:t>
      </w:r>
      <w:r w:rsidR="0035629A" w:rsidRPr="007C61D2">
        <w:rPr>
          <w:rFonts w:ascii="Garamond" w:eastAsia="Times New Roman" w:hAnsi="Garamond" w:cs="Times New Roman"/>
          <w:sz w:val="24"/>
          <w:szCs w:val="24"/>
        </w:rPr>
        <w:t>symbolically and materially</w:t>
      </w:r>
      <w:r w:rsidR="001764DE" w:rsidRPr="007C61D2">
        <w:rPr>
          <w:rFonts w:ascii="Garamond" w:eastAsia="Times New Roman" w:hAnsi="Garamond" w:cs="Times New Roman"/>
          <w:sz w:val="24"/>
          <w:szCs w:val="24"/>
        </w:rPr>
        <w:t>, of disrupting</w:t>
      </w:r>
      <w:r w:rsidR="0035629A"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the hegemonic status of </w:t>
      </w:r>
      <w:r w:rsidR="002F4875" w:rsidRPr="007C61D2">
        <w:rPr>
          <w:rFonts w:ascii="Garamond" w:eastAsia="Times New Roman" w:hAnsi="Garamond" w:cs="Times New Roman"/>
          <w:sz w:val="24"/>
          <w:szCs w:val="24"/>
        </w:rPr>
        <w:t xml:space="preserve">the </w:t>
      </w:r>
      <w:r w:rsidR="00635A37" w:rsidRPr="007C61D2">
        <w:rPr>
          <w:rFonts w:ascii="Garamond" w:eastAsia="Times New Roman" w:hAnsi="Garamond" w:cs="Times New Roman"/>
          <w:sz w:val="24"/>
          <w:szCs w:val="24"/>
        </w:rPr>
        <w:t xml:space="preserve">dualistic </w:t>
      </w:r>
      <w:r w:rsidR="002C387E" w:rsidRPr="007C61D2">
        <w:rPr>
          <w:rFonts w:ascii="Garamond" w:eastAsia="Times New Roman" w:hAnsi="Garamond" w:cs="Times New Roman"/>
          <w:sz w:val="24"/>
          <w:szCs w:val="24"/>
        </w:rPr>
        <w:t xml:space="preserve">gender </w:t>
      </w:r>
      <w:r w:rsidR="002F4875" w:rsidRPr="007C61D2">
        <w:rPr>
          <w:rFonts w:ascii="Garamond" w:eastAsia="Times New Roman" w:hAnsi="Garamond" w:cs="Times New Roman"/>
          <w:sz w:val="24"/>
          <w:szCs w:val="24"/>
        </w:rPr>
        <w:t xml:space="preserve">categories currently </w:t>
      </w:r>
      <w:r w:rsidR="00CD1686" w:rsidRPr="007C61D2">
        <w:rPr>
          <w:rFonts w:ascii="Garamond" w:eastAsia="Times New Roman" w:hAnsi="Garamond" w:cs="Times New Roman"/>
          <w:sz w:val="24"/>
          <w:szCs w:val="24"/>
        </w:rPr>
        <w:t xml:space="preserve">operating </w:t>
      </w:r>
      <w:r w:rsidR="00246DF2" w:rsidRPr="007C61D2">
        <w:rPr>
          <w:rFonts w:ascii="Garamond" w:eastAsia="Times New Roman" w:hAnsi="Garamond" w:cs="Times New Roman"/>
          <w:sz w:val="24"/>
          <w:szCs w:val="24"/>
        </w:rPr>
        <w:t>in</w:t>
      </w:r>
      <w:r w:rsidR="00B27FDE" w:rsidRPr="007C61D2">
        <w:rPr>
          <w:rFonts w:ascii="Garamond" w:eastAsia="Times New Roman" w:hAnsi="Garamond" w:cs="Times New Roman"/>
          <w:sz w:val="24"/>
          <w:szCs w:val="24"/>
        </w:rPr>
        <w:t xml:space="preserve"> Britain</w:t>
      </w:r>
      <w:r w:rsidR="007277EF" w:rsidRPr="007C61D2">
        <w:rPr>
          <w:rFonts w:ascii="Garamond" w:eastAsia="Times New Roman" w:hAnsi="Garamond" w:cs="Times New Roman"/>
          <w:sz w:val="24"/>
          <w:szCs w:val="24"/>
        </w:rPr>
        <w:t>. However</w:t>
      </w:r>
      <w:r w:rsidR="002F4875" w:rsidRPr="007C61D2">
        <w:rPr>
          <w:rFonts w:ascii="Garamond" w:eastAsia="Times New Roman" w:hAnsi="Garamond" w:cs="Times New Roman"/>
          <w:sz w:val="24"/>
          <w:szCs w:val="24"/>
        </w:rPr>
        <w:t xml:space="preserve">, </w:t>
      </w:r>
      <w:r w:rsidR="00A04644" w:rsidRPr="007C61D2">
        <w:rPr>
          <w:rFonts w:ascii="Garamond" w:eastAsia="Times New Roman" w:hAnsi="Garamond" w:cs="Times New Roman"/>
          <w:sz w:val="24"/>
          <w:szCs w:val="24"/>
        </w:rPr>
        <w:t xml:space="preserve">in our view, </w:t>
      </w:r>
      <w:r w:rsidR="002F4875" w:rsidRPr="007C61D2">
        <w:rPr>
          <w:rFonts w:ascii="Garamond" w:eastAsia="Times New Roman" w:hAnsi="Garamond" w:cs="Times New Roman"/>
          <w:sz w:val="24"/>
          <w:szCs w:val="24"/>
        </w:rPr>
        <w:t xml:space="preserve">introducing </w:t>
      </w:r>
      <w:r w:rsidR="00A04644" w:rsidRPr="007C61D2">
        <w:rPr>
          <w:rFonts w:ascii="Garamond" w:eastAsia="Times New Roman" w:hAnsi="Garamond" w:cs="Times New Roman"/>
          <w:sz w:val="24"/>
          <w:szCs w:val="24"/>
        </w:rPr>
        <w:t>multiple</w:t>
      </w:r>
      <w:r w:rsidR="002F4875" w:rsidRPr="007C61D2">
        <w:rPr>
          <w:rFonts w:ascii="Garamond" w:eastAsia="Times New Roman" w:hAnsi="Garamond" w:cs="Times New Roman"/>
          <w:sz w:val="24"/>
          <w:szCs w:val="24"/>
        </w:rPr>
        <w:t xml:space="preserve"> gender categories is no</w:t>
      </w:r>
      <w:r w:rsidR="0010120E" w:rsidRPr="007C61D2">
        <w:rPr>
          <w:rFonts w:ascii="Garamond" w:eastAsia="Times New Roman" w:hAnsi="Garamond" w:cs="Times New Roman"/>
          <w:sz w:val="24"/>
          <w:szCs w:val="24"/>
        </w:rPr>
        <w:t>t a</w:t>
      </w:r>
      <w:r w:rsidR="002F4875" w:rsidRPr="007C61D2">
        <w:rPr>
          <w:rFonts w:ascii="Garamond" w:eastAsia="Times New Roman" w:hAnsi="Garamond" w:cs="Times New Roman"/>
          <w:sz w:val="24"/>
          <w:szCs w:val="24"/>
        </w:rPr>
        <w:t xml:space="preserve"> straight-forward solution</w:t>
      </w:r>
      <w:r w:rsidR="00932339" w:rsidRPr="007C61D2">
        <w:rPr>
          <w:rFonts w:ascii="Garamond" w:eastAsia="Times New Roman" w:hAnsi="Garamond" w:cs="Times New Roman"/>
          <w:sz w:val="24"/>
          <w:szCs w:val="24"/>
        </w:rPr>
        <w:t xml:space="preserve"> to the problem of gender inequality and oppression</w:t>
      </w:r>
      <w:r w:rsidRPr="007C61D2">
        <w:rPr>
          <w:rFonts w:ascii="Garamond" w:eastAsia="Times New Roman" w:hAnsi="Garamond" w:cs="Times New Roman"/>
          <w:sz w:val="24"/>
          <w:szCs w:val="24"/>
        </w:rPr>
        <w:t xml:space="preserve">. </w:t>
      </w:r>
      <w:r w:rsidR="00A548D1" w:rsidRPr="007C61D2">
        <w:rPr>
          <w:rFonts w:ascii="Garamond" w:eastAsia="Times New Roman" w:hAnsi="Garamond" w:cs="Times New Roman"/>
          <w:sz w:val="24"/>
          <w:szCs w:val="24"/>
        </w:rPr>
        <w:t xml:space="preserve">Some commentators </w:t>
      </w:r>
      <w:r w:rsidRPr="007C61D2">
        <w:rPr>
          <w:rFonts w:ascii="Garamond" w:eastAsia="Times New Roman" w:hAnsi="Garamond" w:cs="Times New Roman"/>
          <w:sz w:val="24"/>
          <w:szCs w:val="24"/>
        </w:rPr>
        <w:t xml:space="preserve">focus on the practical difficulties </w:t>
      </w:r>
      <w:r w:rsidR="00246DF2" w:rsidRPr="007C61D2">
        <w:rPr>
          <w:rFonts w:ascii="Garamond" w:eastAsia="Times New Roman" w:hAnsi="Garamond" w:cs="Times New Roman"/>
          <w:sz w:val="24"/>
          <w:szCs w:val="24"/>
        </w:rPr>
        <w:t xml:space="preserve">of </w:t>
      </w:r>
      <w:r w:rsidR="007277EF" w:rsidRPr="007C61D2">
        <w:rPr>
          <w:rFonts w:ascii="Garamond" w:eastAsia="Times New Roman" w:hAnsi="Garamond" w:cs="Times New Roman"/>
          <w:sz w:val="24"/>
          <w:szCs w:val="24"/>
        </w:rPr>
        <w:t xml:space="preserve">extending </w:t>
      </w:r>
      <w:r w:rsidR="00246DF2" w:rsidRPr="007C61D2">
        <w:rPr>
          <w:rFonts w:ascii="Garamond" w:eastAsia="Times New Roman" w:hAnsi="Garamond" w:cs="Times New Roman"/>
          <w:sz w:val="24"/>
          <w:szCs w:val="24"/>
        </w:rPr>
        <w:t xml:space="preserve">legal recognition to third and </w:t>
      </w:r>
      <w:r w:rsidRPr="007C61D2">
        <w:rPr>
          <w:rFonts w:ascii="Garamond" w:eastAsia="Times New Roman" w:hAnsi="Garamond" w:cs="Times New Roman"/>
          <w:sz w:val="24"/>
          <w:szCs w:val="24"/>
        </w:rPr>
        <w:t xml:space="preserve">other genders. </w:t>
      </w:r>
      <w:r w:rsidR="002F4875" w:rsidRPr="007C61D2">
        <w:rPr>
          <w:rFonts w:ascii="Garamond" w:eastAsia="Times New Roman" w:hAnsi="Garamond" w:cs="Times New Roman"/>
          <w:sz w:val="24"/>
          <w:szCs w:val="24"/>
        </w:rPr>
        <w:t>A</w:t>
      </w:r>
      <w:r w:rsidRPr="007C61D2">
        <w:rPr>
          <w:rFonts w:ascii="Garamond" w:eastAsia="Times New Roman" w:hAnsi="Garamond" w:cs="Times New Roman"/>
          <w:sz w:val="24"/>
          <w:szCs w:val="24"/>
        </w:rPr>
        <w:t xml:space="preserve">dding categories to forms </w:t>
      </w:r>
      <w:r w:rsidR="00842804" w:rsidRPr="007C61D2">
        <w:rPr>
          <w:rFonts w:ascii="Garamond" w:eastAsia="Times New Roman" w:hAnsi="Garamond" w:cs="Times New Roman"/>
          <w:sz w:val="24"/>
          <w:szCs w:val="24"/>
        </w:rPr>
        <w:t xml:space="preserve">(e.g. for data collection purposes) </w:t>
      </w:r>
      <w:r w:rsidRPr="007C61D2">
        <w:rPr>
          <w:rFonts w:ascii="Garamond" w:eastAsia="Times New Roman" w:hAnsi="Garamond" w:cs="Times New Roman"/>
          <w:sz w:val="24"/>
          <w:szCs w:val="24"/>
        </w:rPr>
        <w:t>is relatively straight-forward</w:t>
      </w:r>
      <w:r w:rsidR="002F4875" w:rsidRPr="007C61D2">
        <w:rPr>
          <w:rFonts w:ascii="Garamond" w:eastAsia="Times New Roman" w:hAnsi="Garamond" w:cs="Times New Roman"/>
          <w:sz w:val="24"/>
          <w:szCs w:val="24"/>
        </w:rPr>
        <w:t xml:space="preserve">; </w:t>
      </w:r>
      <w:r w:rsidR="007277EF" w:rsidRPr="007C61D2">
        <w:rPr>
          <w:rFonts w:ascii="Garamond" w:eastAsia="Times New Roman" w:hAnsi="Garamond" w:cs="Times New Roman"/>
          <w:sz w:val="24"/>
          <w:szCs w:val="24"/>
        </w:rPr>
        <w:t>dealing with spaces and services which are currently organi</w:t>
      </w:r>
      <w:r w:rsidR="00AE4ACB">
        <w:rPr>
          <w:rFonts w:ascii="Garamond" w:eastAsia="Times New Roman" w:hAnsi="Garamond" w:cs="Times New Roman"/>
          <w:sz w:val="24"/>
          <w:szCs w:val="24"/>
        </w:rPr>
        <w:t>s</w:t>
      </w:r>
      <w:r w:rsidR="007277EF" w:rsidRPr="007C61D2">
        <w:rPr>
          <w:rFonts w:ascii="Garamond" w:eastAsia="Times New Roman" w:hAnsi="Garamond" w:cs="Times New Roman"/>
          <w:sz w:val="24"/>
          <w:szCs w:val="24"/>
        </w:rPr>
        <w:t xml:space="preserve">ed </w:t>
      </w:r>
      <w:r w:rsidR="00932339" w:rsidRPr="007C61D2">
        <w:rPr>
          <w:rFonts w:ascii="Garamond" w:eastAsia="Times New Roman" w:hAnsi="Garamond" w:cs="Times New Roman"/>
          <w:sz w:val="24"/>
          <w:szCs w:val="24"/>
        </w:rPr>
        <w:t xml:space="preserve">in a dualist fashion </w:t>
      </w:r>
      <w:r w:rsidR="007277EF" w:rsidRPr="007C61D2">
        <w:rPr>
          <w:rFonts w:ascii="Garamond" w:eastAsia="Times New Roman" w:hAnsi="Garamond" w:cs="Times New Roman"/>
          <w:sz w:val="24"/>
          <w:szCs w:val="24"/>
        </w:rPr>
        <w:t>is more complex.</w:t>
      </w:r>
      <w:r w:rsidR="007277EF" w:rsidRPr="007C61D2">
        <w:rPr>
          <w:rStyle w:val="FootnoteReference"/>
          <w:rFonts w:ascii="Garamond" w:eastAsia="Times New Roman" w:hAnsi="Garamond" w:cs="Times New Roman"/>
          <w:sz w:val="24"/>
          <w:szCs w:val="24"/>
        </w:rPr>
        <w:footnoteReference w:id="11"/>
      </w:r>
      <w:r w:rsidR="007277EF" w:rsidRPr="007C61D2">
        <w:rPr>
          <w:rFonts w:ascii="Garamond" w:eastAsia="Times New Roman" w:hAnsi="Garamond" w:cs="Times New Roman"/>
          <w:sz w:val="24"/>
          <w:szCs w:val="24"/>
        </w:rPr>
        <w:t xml:space="preserve"> </w:t>
      </w:r>
      <w:r w:rsidR="001764DE" w:rsidRPr="007C61D2">
        <w:rPr>
          <w:rFonts w:ascii="Garamond" w:eastAsia="Times New Roman" w:hAnsi="Garamond" w:cs="Times New Roman"/>
          <w:sz w:val="24"/>
          <w:szCs w:val="24"/>
        </w:rPr>
        <w:t>Developing p</w:t>
      </w:r>
      <w:r w:rsidR="00F37E7B" w:rsidRPr="007C61D2">
        <w:rPr>
          <w:rFonts w:ascii="Garamond" w:eastAsia="Times New Roman" w:hAnsi="Garamond" w:cs="Times New Roman"/>
          <w:sz w:val="24"/>
          <w:szCs w:val="24"/>
        </w:rPr>
        <w:t>rovision</w:t>
      </w:r>
      <w:r w:rsidR="002C387E" w:rsidRPr="007C61D2">
        <w:rPr>
          <w:rFonts w:ascii="Garamond" w:eastAsia="Times New Roman" w:hAnsi="Garamond" w:cs="Times New Roman"/>
          <w:sz w:val="24"/>
          <w:szCs w:val="24"/>
        </w:rPr>
        <w:t xml:space="preserve"> </w:t>
      </w:r>
      <w:r w:rsidR="001764DE" w:rsidRPr="007C61D2">
        <w:rPr>
          <w:rFonts w:ascii="Garamond" w:eastAsia="Times New Roman" w:hAnsi="Garamond" w:cs="Times New Roman"/>
          <w:sz w:val="24"/>
          <w:szCs w:val="24"/>
        </w:rPr>
        <w:t xml:space="preserve">for other gender identifications </w:t>
      </w:r>
      <w:r w:rsidRPr="007C61D2">
        <w:rPr>
          <w:rFonts w:ascii="Garamond" w:eastAsia="Times New Roman" w:hAnsi="Garamond" w:cs="Times New Roman"/>
          <w:sz w:val="24"/>
          <w:szCs w:val="24"/>
        </w:rPr>
        <w:t>is often posed sceptically</w:t>
      </w:r>
      <w:r w:rsidR="0035629A" w:rsidRPr="007C61D2">
        <w:rPr>
          <w:rFonts w:ascii="Garamond" w:eastAsia="Times New Roman" w:hAnsi="Garamond" w:cs="Times New Roman"/>
          <w:sz w:val="24"/>
          <w:szCs w:val="24"/>
        </w:rPr>
        <w:t xml:space="preserve"> to </w:t>
      </w:r>
      <w:r w:rsidR="00E5642D" w:rsidRPr="007C61D2">
        <w:rPr>
          <w:rFonts w:ascii="Garamond" w:eastAsia="Times New Roman" w:hAnsi="Garamond" w:cs="Times New Roman"/>
          <w:sz w:val="24"/>
          <w:szCs w:val="24"/>
        </w:rPr>
        <w:t xml:space="preserve">emphasise the </w:t>
      </w:r>
      <w:r w:rsidR="00F37E7B" w:rsidRPr="007C61D2">
        <w:rPr>
          <w:rFonts w:ascii="Garamond" w:eastAsia="Times New Roman" w:hAnsi="Garamond" w:cs="Times New Roman"/>
          <w:sz w:val="24"/>
          <w:szCs w:val="24"/>
        </w:rPr>
        <w:t>host of practical, resource-based, and logistical difficulties</w:t>
      </w:r>
      <w:r w:rsidR="0035629A" w:rsidRPr="007C61D2">
        <w:rPr>
          <w:rFonts w:ascii="Garamond" w:eastAsia="Times New Roman" w:hAnsi="Garamond" w:cs="Times New Roman"/>
          <w:sz w:val="24"/>
          <w:szCs w:val="24"/>
        </w:rPr>
        <w:t xml:space="preserve">. However, </w:t>
      </w:r>
      <w:r w:rsidR="00F37E7B" w:rsidRPr="007C61D2">
        <w:rPr>
          <w:rFonts w:ascii="Garamond" w:eastAsia="Times New Roman" w:hAnsi="Garamond" w:cs="Times New Roman"/>
          <w:sz w:val="24"/>
          <w:szCs w:val="24"/>
        </w:rPr>
        <w:t xml:space="preserve">it also begs more fundamental questions about sex </w:t>
      </w:r>
      <w:r w:rsidR="0035629A" w:rsidRPr="007C61D2">
        <w:rPr>
          <w:rFonts w:ascii="Garamond" w:eastAsia="Times New Roman" w:hAnsi="Garamond" w:cs="Times New Roman"/>
          <w:sz w:val="24"/>
          <w:szCs w:val="24"/>
        </w:rPr>
        <w:t xml:space="preserve">and </w:t>
      </w:r>
      <w:r w:rsidR="00F37E7B" w:rsidRPr="007C61D2">
        <w:rPr>
          <w:rFonts w:ascii="Garamond" w:eastAsia="Times New Roman" w:hAnsi="Garamond" w:cs="Times New Roman"/>
          <w:sz w:val="24"/>
          <w:szCs w:val="24"/>
        </w:rPr>
        <w:t xml:space="preserve">gender-based differentiation. </w:t>
      </w:r>
      <w:r w:rsidR="00A548D1" w:rsidRPr="007C61D2">
        <w:rPr>
          <w:rFonts w:ascii="Garamond" w:eastAsia="Times New Roman" w:hAnsi="Garamond" w:cs="Times New Roman"/>
          <w:sz w:val="24"/>
          <w:szCs w:val="24"/>
        </w:rPr>
        <w:t xml:space="preserve">For feminists who argue for the eradication of gender, legislating gender diversity </w:t>
      </w:r>
      <w:r w:rsidR="000D5C26" w:rsidRPr="007C61D2">
        <w:rPr>
          <w:rFonts w:ascii="Garamond" w:eastAsia="Times New Roman" w:hAnsi="Garamond" w:cs="Times New Roman"/>
          <w:sz w:val="24"/>
          <w:szCs w:val="24"/>
        </w:rPr>
        <w:t xml:space="preserve">appears simply to add </w:t>
      </w:r>
      <w:r w:rsidR="00A548D1" w:rsidRPr="007C61D2">
        <w:rPr>
          <w:rFonts w:ascii="Garamond" w:eastAsia="Times New Roman" w:hAnsi="Garamond" w:cs="Times New Roman"/>
          <w:sz w:val="24"/>
          <w:szCs w:val="24"/>
        </w:rPr>
        <w:t>more</w:t>
      </w:r>
      <w:r w:rsidR="00E5642D" w:rsidRPr="007C61D2">
        <w:rPr>
          <w:rFonts w:ascii="Garamond" w:eastAsia="Times New Roman" w:hAnsi="Garamond" w:cs="Times New Roman"/>
          <w:sz w:val="24"/>
          <w:szCs w:val="24"/>
        </w:rPr>
        <w:t>,</w:t>
      </w:r>
      <w:r w:rsidR="00A548D1" w:rsidRPr="007C61D2">
        <w:rPr>
          <w:rFonts w:ascii="Garamond" w:eastAsia="Times New Roman" w:hAnsi="Garamond" w:cs="Times New Roman"/>
          <w:sz w:val="24"/>
          <w:szCs w:val="24"/>
        </w:rPr>
        <w:t xml:space="preserve"> </w:t>
      </w:r>
      <w:r w:rsidR="00B27FDE" w:rsidRPr="007C61D2">
        <w:rPr>
          <w:rFonts w:ascii="Garamond" w:eastAsia="Times New Roman" w:hAnsi="Garamond" w:cs="Times New Roman"/>
          <w:sz w:val="24"/>
          <w:szCs w:val="24"/>
        </w:rPr>
        <w:t xml:space="preserve">constricting </w:t>
      </w:r>
      <w:r w:rsidR="004F06A5" w:rsidRPr="007C61D2">
        <w:rPr>
          <w:rFonts w:ascii="Garamond" w:eastAsia="Times New Roman" w:hAnsi="Garamond" w:cs="Times New Roman"/>
          <w:sz w:val="24"/>
          <w:szCs w:val="24"/>
        </w:rPr>
        <w:t>and defining</w:t>
      </w:r>
      <w:r w:rsidR="00E5642D" w:rsidRPr="007C61D2">
        <w:rPr>
          <w:rFonts w:ascii="Garamond" w:eastAsia="Times New Roman" w:hAnsi="Garamond" w:cs="Times New Roman"/>
          <w:sz w:val="24"/>
          <w:szCs w:val="24"/>
        </w:rPr>
        <w:t xml:space="preserve">, </w:t>
      </w:r>
      <w:r w:rsidR="00A548D1" w:rsidRPr="007C61D2">
        <w:rPr>
          <w:rFonts w:ascii="Garamond" w:eastAsia="Times New Roman" w:hAnsi="Garamond" w:cs="Times New Roman"/>
          <w:sz w:val="24"/>
          <w:szCs w:val="24"/>
        </w:rPr>
        <w:t>“boxes”</w:t>
      </w:r>
      <w:r w:rsidR="00A04644" w:rsidRPr="007C61D2">
        <w:rPr>
          <w:rFonts w:ascii="Garamond" w:eastAsia="Times New Roman" w:hAnsi="Garamond" w:cs="Times New Roman"/>
          <w:sz w:val="24"/>
          <w:szCs w:val="24"/>
        </w:rPr>
        <w:t xml:space="preserve">. </w:t>
      </w:r>
      <w:r w:rsidR="0027484E" w:rsidRPr="007C61D2">
        <w:rPr>
          <w:rFonts w:ascii="Garamond" w:eastAsia="Times New Roman" w:hAnsi="Garamond" w:cs="Times New Roman"/>
          <w:sz w:val="24"/>
          <w:szCs w:val="24"/>
        </w:rPr>
        <w:t>Jessica Clarke (2015</w:t>
      </w:r>
      <w:r w:rsidR="007C5AF5" w:rsidRPr="007C61D2">
        <w:rPr>
          <w:rFonts w:ascii="Garamond" w:eastAsia="Times New Roman" w:hAnsi="Garamond" w:cs="Times New Roman"/>
          <w:sz w:val="24"/>
          <w:szCs w:val="24"/>
        </w:rPr>
        <w:t>:</w:t>
      </w:r>
      <w:r w:rsidR="0070735F" w:rsidRPr="007C61D2">
        <w:rPr>
          <w:rFonts w:ascii="Garamond" w:eastAsia="Times New Roman" w:hAnsi="Garamond" w:cs="Times New Roman"/>
          <w:sz w:val="24"/>
          <w:szCs w:val="24"/>
        </w:rPr>
        <w:t xml:space="preserve"> 753</w:t>
      </w:r>
      <w:r w:rsidR="0027484E" w:rsidRPr="007C61D2">
        <w:rPr>
          <w:rFonts w:ascii="Garamond" w:eastAsia="Times New Roman" w:hAnsi="Garamond" w:cs="Times New Roman"/>
          <w:sz w:val="24"/>
          <w:szCs w:val="24"/>
        </w:rPr>
        <w:t xml:space="preserve">) </w:t>
      </w:r>
      <w:r w:rsidR="00CE35B9">
        <w:rPr>
          <w:rFonts w:ascii="Garamond" w:eastAsia="Times New Roman" w:hAnsi="Garamond" w:cs="Times New Roman"/>
          <w:sz w:val="24"/>
          <w:szCs w:val="24"/>
        </w:rPr>
        <w:t xml:space="preserve">writes </w:t>
      </w:r>
      <w:r w:rsidR="0027484E" w:rsidRPr="007C61D2">
        <w:rPr>
          <w:rFonts w:ascii="Garamond" w:eastAsia="Times New Roman" w:hAnsi="Garamond" w:cs="Times New Roman"/>
          <w:sz w:val="24"/>
          <w:szCs w:val="24"/>
        </w:rPr>
        <w:t xml:space="preserve">that </w:t>
      </w:r>
      <w:r w:rsidR="00CE35B9">
        <w:rPr>
          <w:rFonts w:ascii="Garamond" w:eastAsia="Times New Roman" w:hAnsi="Garamond" w:cs="Times New Roman"/>
          <w:sz w:val="24"/>
          <w:szCs w:val="24"/>
        </w:rPr>
        <w:t xml:space="preserve">more </w:t>
      </w:r>
      <w:r w:rsidR="001764DE" w:rsidRPr="007C61D2">
        <w:rPr>
          <w:rFonts w:ascii="Garamond" w:eastAsia="Times New Roman" w:hAnsi="Garamond" w:cs="Times New Roman"/>
          <w:sz w:val="24"/>
          <w:szCs w:val="24"/>
        </w:rPr>
        <w:t xml:space="preserve">categories </w:t>
      </w:r>
      <w:r w:rsidR="0027484E" w:rsidRPr="007C61D2">
        <w:rPr>
          <w:rFonts w:ascii="Garamond" w:eastAsia="Times New Roman" w:hAnsi="Garamond" w:cs="Times New Roman"/>
          <w:sz w:val="24"/>
          <w:szCs w:val="24"/>
        </w:rPr>
        <w:t xml:space="preserve">“may pigeonhole liminal, marginal, disruptive, diverse, and dynamic identities into a set of ill-fitting options, or penalize them with nonrecognition.” </w:t>
      </w:r>
      <w:r w:rsidR="001764DE" w:rsidRPr="007C61D2">
        <w:rPr>
          <w:rFonts w:ascii="Garamond" w:eastAsia="Times New Roman" w:hAnsi="Garamond" w:cs="Times New Roman"/>
          <w:sz w:val="24"/>
          <w:szCs w:val="24"/>
        </w:rPr>
        <w:t xml:space="preserve">Four other </w:t>
      </w:r>
      <w:r w:rsidR="00404C74">
        <w:rPr>
          <w:rFonts w:ascii="Garamond" w:eastAsia="Times New Roman" w:hAnsi="Garamond" w:cs="Times New Roman"/>
          <w:sz w:val="24"/>
          <w:szCs w:val="24"/>
        </w:rPr>
        <w:t xml:space="preserve">potential </w:t>
      </w:r>
      <w:r w:rsidR="001764DE" w:rsidRPr="007C61D2">
        <w:rPr>
          <w:rFonts w:ascii="Garamond" w:eastAsia="Times New Roman" w:hAnsi="Garamond" w:cs="Times New Roman"/>
          <w:sz w:val="24"/>
          <w:szCs w:val="24"/>
        </w:rPr>
        <w:t xml:space="preserve">shortcomings </w:t>
      </w:r>
      <w:r w:rsidR="00E80E31">
        <w:rPr>
          <w:rFonts w:ascii="Garamond" w:eastAsia="Times New Roman" w:hAnsi="Garamond" w:cs="Times New Roman"/>
          <w:sz w:val="24"/>
          <w:szCs w:val="24"/>
        </w:rPr>
        <w:t xml:space="preserve">also </w:t>
      </w:r>
      <w:r w:rsidR="001764DE" w:rsidRPr="007C61D2">
        <w:rPr>
          <w:rFonts w:ascii="Garamond" w:eastAsia="Times New Roman" w:hAnsi="Garamond" w:cs="Times New Roman"/>
          <w:sz w:val="24"/>
          <w:szCs w:val="24"/>
        </w:rPr>
        <w:t xml:space="preserve">emerge from our research (see also Braunschweig 2020; Venditti 2020). </w:t>
      </w:r>
      <w:r w:rsidR="0027484E" w:rsidRPr="007C61D2">
        <w:rPr>
          <w:rFonts w:ascii="Garamond" w:eastAsia="Times New Roman" w:hAnsi="Garamond" w:cs="Times New Roman"/>
          <w:sz w:val="24"/>
          <w:szCs w:val="24"/>
        </w:rPr>
        <w:t xml:space="preserve">First, </w:t>
      </w:r>
      <w:r w:rsidR="00E80E31">
        <w:rPr>
          <w:rFonts w:ascii="Garamond" w:eastAsia="Times New Roman" w:hAnsi="Garamond" w:cs="Times New Roman"/>
          <w:sz w:val="24"/>
          <w:szCs w:val="24"/>
        </w:rPr>
        <w:t xml:space="preserve">the move to legally recognise diverse gender categories </w:t>
      </w:r>
      <w:r w:rsidR="00404C74">
        <w:rPr>
          <w:rFonts w:ascii="Garamond" w:eastAsia="Times New Roman" w:hAnsi="Garamond" w:cs="Times New Roman"/>
          <w:sz w:val="24"/>
          <w:szCs w:val="24"/>
        </w:rPr>
        <w:t>foregrounds</w:t>
      </w:r>
      <w:r w:rsidR="00E80E31">
        <w:rPr>
          <w:rFonts w:ascii="Garamond" w:eastAsia="Times New Roman" w:hAnsi="Garamond" w:cs="Times New Roman"/>
          <w:sz w:val="24"/>
          <w:szCs w:val="24"/>
        </w:rPr>
        <w:t xml:space="preserve"> </w:t>
      </w:r>
      <w:r w:rsidR="004F06A5" w:rsidRPr="007C61D2">
        <w:rPr>
          <w:rFonts w:ascii="Garamond" w:eastAsia="Times New Roman" w:hAnsi="Garamond" w:cs="Times New Roman"/>
          <w:sz w:val="24"/>
          <w:szCs w:val="24"/>
        </w:rPr>
        <w:t xml:space="preserve">gender as a </w:t>
      </w:r>
      <w:r w:rsidR="004F06A5" w:rsidRPr="00D41005">
        <w:rPr>
          <w:rFonts w:ascii="Garamond" w:eastAsia="Times New Roman" w:hAnsi="Garamond" w:cs="Times New Roman"/>
          <w:i/>
          <w:iCs/>
          <w:sz w:val="24"/>
          <w:szCs w:val="24"/>
        </w:rPr>
        <w:t>human</w:t>
      </w:r>
      <w:r w:rsidR="004F06A5" w:rsidRPr="007C61D2">
        <w:rPr>
          <w:rFonts w:ascii="Garamond" w:eastAsia="Times New Roman" w:hAnsi="Garamond" w:cs="Times New Roman"/>
          <w:sz w:val="24"/>
          <w:szCs w:val="24"/>
        </w:rPr>
        <w:t xml:space="preserve"> characteristic</w:t>
      </w:r>
      <w:r w:rsidR="0027484E" w:rsidRPr="007C61D2">
        <w:rPr>
          <w:rFonts w:ascii="Garamond" w:eastAsia="Times New Roman" w:hAnsi="Garamond" w:cs="Times New Roman"/>
          <w:sz w:val="24"/>
          <w:szCs w:val="24"/>
        </w:rPr>
        <w:t xml:space="preserve"> </w:t>
      </w:r>
      <w:r w:rsidR="00BB75E0" w:rsidRPr="007C61D2">
        <w:rPr>
          <w:rFonts w:ascii="Garamond" w:eastAsia="Times New Roman" w:hAnsi="Garamond" w:cs="Times New Roman"/>
          <w:sz w:val="24"/>
          <w:szCs w:val="24"/>
        </w:rPr>
        <w:t>–</w:t>
      </w:r>
      <w:r w:rsidR="0027484E" w:rsidRPr="007C61D2">
        <w:rPr>
          <w:rFonts w:ascii="Garamond" w:eastAsia="Times New Roman" w:hAnsi="Garamond" w:cs="Times New Roman"/>
          <w:sz w:val="24"/>
          <w:szCs w:val="24"/>
        </w:rPr>
        <w:t xml:space="preserve"> </w:t>
      </w:r>
      <w:r w:rsidR="00A45246" w:rsidRPr="007C61D2">
        <w:rPr>
          <w:rFonts w:ascii="Garamond" w:eastAsia="Times New Roman" w:hAnsi="Garamond" w:cs="Times New Roman"/>
          <w:sz w:val="24"/>
          <w:szCs w:val="24"/>
        </w:rPr>
        <w:t xml:space="preserve">an expression of the subject that deserves recognition. In so doing, the </w:t>
      </w:r>
      <w:r w:rsidR="00A45246" w:rsidRPr="00D41005">
        <w:rPr>
          <w:rFonts w:ascii="Garamond" w:eastAsia="Times New Roman" w:hAnsi="Garamond" w:cs="Times New Roman"/>
          <w:i/>
          <w:iCs/>
          <w:sz w:val="24"/>
          <w:szCs w:val="24"/>
        </w:rPr>
        <w:t>societal</w:t>
      </w:r>
      <w:r w:rsidR="00A45246" w:rsidRPr="007C61D2">
        <w:rPr>
          <w:rFonts w:ascii="Garamond" w:eastAsia="Times New Roman" w:hAnsi="Garamond" w:cs="Times New Roman"/>
          <w:sz w:val="24"/>
          <w:szCs w:val="24"/>
        </w:rPr>
        <w:t xml:space="preserve"> </w:t>
      </w:r>
      <w:r w:rsidR="00A45246" w:rsidRPr="007C61D2">
        <w:rPr>
          <w:rFonts w:ascii="Garamond" w:eastAsia="Times New Roman" w:hAnsi="Garamond" w:cs="Times New Roman"/>
          <w:sz w:val="24"/>
          <w:szCs w:val="24"/>
        </w:rPr>
        <w:lastRenderedPageBreak/>
        <w:t xml:space="preserve">interactions and relations that </w:t>
      </w:r>
      <w:r w:rsidR="00B1611E">
        <w:rPr>
          <w:rFonts w:ascii="Garamond" w:eastAsia="Times New Roman" w:hAnsi="Garamond" w:cs="Times New Roman"/>
          <w:sz w:val="24"/>
          <w:szCs w:val="24"/>
        </w:rPr>
        <w:t xml:space="preserve">generate </w:t>
      </w:r>
      <w:r w:rsidR="00A45246" w:rsidRPr="007C61D2">
        <w:rPr>
          <w:rFonts w:ascii="Garamond" w:eastAsia="Times New Roman" w:hAnsi="Garamond" w:cs="Times New Roman"/>
          <w:sz w:val="24"/>
          <w:szCs w:val="24"/>
        </w:rPr>
        <w:t>gender</w:t>
      </w:r>
      <w:r w:rsidR="00B1611E">
        <w:rPr>
          <w:rFonts w:ascii="Garamond" w:eastAsia="Times New Roman" w:hAnsi="Garamond" w:cs="Times New Roman"/>
          <w:sz w:val="24"/>
          <w:szCs w:val="24"/>
        </w:rPr>
        <w:t>ed</w:t>
      </w:r>
      <w:r w:rsidR="00A45246" w:rsidRPr="007C61D2">
        <w:rPr>
          <w:rFonts w:ascii="Garamond" w:eastAsia="Times New Roman" w:hAnsi="Garamond" w:cs="Times New Roman"/>
          <w:sz w:val="24"/>
          <w:szCs w:val="24"/>
        </w:rPr>
        <w:t xml:space="preserve"> practices, categories, and interpellations, and that give them force and meaning, risk </w:t>
      </w:r>
      <w:r w:rsidR="007F382C" w:rsidRPr="007C61D2">
        <w:rPr>
          <w:rFonts w:ascii="Garamond" w:eastAsia="Times New Roman" w:hAnsi="Garamond" w:cs="Times New Roman"/>
          <w:sz w:val="24"/>
          <w:szCs w:val="24"/>
        </w:rPr>
        <w:t xml:space="preserve">being further </w:t>
      </w:r>
      <w:r w:rsidR="00A45246" w:rsidRPr="007C61D2">
        <w:rPr>
          <w:rFonts w:ascii="Garamond" w:eastAsia="Times New Roman" w:hAnsi="Garamond" w:cs="Times New Roman"/>
          <w:sz w:val="24"/>
          <w:szCs w:val="24"/>
        </w:rPr>
        <w:t xml:space="preserve">obscured. </w:t>
      </w:r>
      <w:r w:rsidR="0027484E" w:rsidRPr="007C61D2">
        <w:rPr>
          <w:rFonts w:ascii="Garamond" w:eastAsia="Times New Roman" w:hAnsi="Garamond" w:cs="Times New Roman"/>
          <w:sz w:val="24"/>
          <w:szCs w:val="24"/>
        </w:rPr>
        <w:t>Second, i</w:t>
      </w:r>
      <w:r w:rsidR="00A45246" w:rsidRPr="007C61D2">
        <w:rPr>
          <w:rFonts w:ascii="Garamond" w:eastAsia="Times New Roman" w:hAnsi="Garamond" w:cs="Times New Roman"/>
          <w:sz w:val="24"/>
          <w:szCs w:val="24"/>
        </w:rPr>
        <w:t xml:space="preserve">t treats gender as </w:t>
      </w:r>
      <w:r w:rsidR="004F06A5" w:rsidRPr="007C61D2">
        <w:rPr>
          <w:rFonts w:ascii="Garamond" w:eastAsia="Times New Roman" w:hAnsi="Garamond" w:cs="Times New Roman"/>
          <w:sz w:val="24"/>
          <w:szCs w:val="24"/>
        </w:rPr>
        <w:t>intrinsically</w:t>
      </w:r>
      <w:r w:rsidR="00A45246" w:rsidRPr="007C61D2">
        <w:rPr>
          <w:rFonts w:ascii="Garamond" w:eastAsia="Times New Roman" w:hAnsi="Garamond" w:cs="Times New Roman"/>
          <w:sz w:val="24"/>
          <w:szCs w:val="24"/>
        </w:rPr>
        <w:t>, potentially</w:t>
      </w:r>
      <w:r w:rsidR="0027484E" w:rsidRPr="007C61D2">
        <w:rPr>
          <w:rFonts w:ascii="Garamond" w:eastAsia="Times New Roman" w:hAnsi="Garamond" w:cs="Times New Roman"/>
          <w:sz w:val="24"/>
          <w:szCs w:val="24"/>
        </w:rPr>
        <w:t>,</w:t>
      </w:r>
      <w:r w:rsidR="004F06A5" w:rsidRPr="007C61D2">
        <w:rPr>
          <w:rFonts w:ascii="Garamond" w:eastAsia="Times New Roman" w:hAnsi="Garamond" w:cs="Times New Roman"/>
          <w:sz w:val="24"/>
          <w:szCs w:val="24"/>
        </w:rPr>
        <w:t xml:space="preserve"> </w:t>
      </w:r>
      <w:r w:rsidR="00A45246" w:rsidRPr="007C61D2">
        <w:rPr>
          <w:rFonts w:ascii="Garamond" w:eastAsia="Times New Roman" w:hAnsi="Garamond" w:cs="Times New Roman"/>
          <w:sz w:val="24"/>
          <w:szCs w:val="24"/>
        </w:rPr>
        <w:t xml:space="preserve">or hopefully </w:t>
      </w:r>
      <w:r w:rsidR="004F06A5" w:rsidRPr="007C61D2">
        <w:rPr>
          <w:rFonts w:ascii="Garamond" w:eastAsia="Times New Roman" w:hAnsi="Garamond" w:cs="Times New Roman"/>
          <w:sz w:val="24"/>
          <w:szCs w:val="24"/>
        </w:rPr>
        <w:t>equal</w:t>
      </w:r>
      <w:r w:rsidR="0027484E" w:rsidRPr="007C61D2">
        <w:rPr>
          <w:rStyle w:val="FootnoteReference"/>
          <w:rFonts w:ascii="Garamond" w:eastAsia="Times New Roman" w:hAnsi="Garamond" w:cs="Times New Roman"/>
          <w:sz w:val="24"/>
          <w:szCs w:val="24"/>
        </w:rPr>
        <w:footnoteReference w:id="12"/>
      </w:r>
      <w:r w:rsidR="0027484E" w:rsidRPr="007C61D2">
        <w:rPr>
          <w:rFonts w:ascii="Garamond" w:eastAsia="Times New Roman" w:hAnsi="Garamond" w:cs="Times New Roman"/>
          <w:sz w:val="24"/>
          <w:szCs w:val="24"/>
        </w:rPr>
        <w:t xml:space="preserve"> (see also Paechter 2006) </w:t>
      </w:r>
      <w:r w:rsidR="00CE35B9">
        <w:rPr>
          <w:rFonts w:ascii="Garamond" w:eastAsia="Times New Roman" w:hAnsi="Garamond" w:cs="Times New Roman"/>
          <w:sz w:val="24"/>
          <w:szCs w:val="24"/>
        </w:rPr>
        <w:t xml:space="preserve">(even as it begs </w:t>
      </w:r>
      <w:r w:rsidR="00A45246" w:rsidRPr="007C61D2">
        <w:rPr>
          <w:rFonts w:ascii="Garamond" w:eastAsia="Times New Roman" w:hAnsi="Garamond" w:cs="Times New Roman"/>
          <w:sz w:val="24"/>
          <w:szCs w:val="24"/>
        </w:rPr>
        <w:t xml:space="preserve">questions about what </w:t>
      </w:r>
      <w:r w:rsidR="001764DE" w:rsidRPr="007C61D2">
        <w:rPr>
          <w:rFonts w:ascii="Garamond" w:eastAsia="Times New Roman" w:hAnsi="Garamond" w:cs="Times New Roman"/>
          <w:sz w:val="24"/>
          <w:szCs w:val="24"/>
        </w:rPr>
        <w:t xml:space="preserve">this </w:t>
      </w:r>
      <w:r w:rsidR="00A45246" w:rsidRPr="007C61D2">
        <w:rPr>
          <w:rFonts w:ascii="Garamond" w:eastAsia="Times New Roman" w:hAnsi="Garamond" w:cs="Times New Roman"/>
          <w:sz w:val="24"/>
          <w:szCs w:val="24"/>
        </w:rPr>
        <w:t>gender might mean and be</w:t>
      </w:r>
      <w:r w:rsidR="00CE35B9">
        <w:rPr>
          <w:rFonts w:ascii="Garamond" w:eastAsia="Times New Roman" w:hAnsi="Garamond" w:cs="Times New Roman"/>
          <w:sz w:val="24"/>
          <w:szCs w:val="24"/>
        </w:rPr>
        <w:t>)</w:t>
      </w:r>
      <w:r w:rsidR="00A45246" w:rsidRPr="007C61D2">
        <w:rPr>
          <w:rFonts w:ascii="Garamond" w:eastAsia="Times New Roman" w:hAnsi="Garamond" w:cs="Times New Roman"/>
          <w:sz w:val="24"/>
          <w:szCs w:val="24"/>
        </w:rPr>
        <w:t xml:space="preserve">. </w:t>
      </w:r>
      <w:r w:rsidR="0027484E" w:rsidRPr="007C61D2">
        <w:rPr>
          <w:rFonts w:ascii="Garamond" w:eastAsia="Times New Roman" w:hAnsi="Garamond" w:cs="Times New Roman"/>
          <w:sz w:val="24"/>
          <w:szCs w:val="24"/>
        </w:rPr>
        <w:t>Third, it re-inscribes gender as normal and valuable – something that exists and is sufficiently significant to formalise. Fourth, it g</w:t>
      </w:r>
      <w:r w:rsidR="00B61E1A" w:rsidRPr="007C61D2">
        <w:rPr>
          <w:rFonts w:ascii="Garamond" w:eastAsia="Times New Roman" w:hAnsi="Garamond" w:cs="Times New Roman"/>
          <w:sz w:val="24"/>
          <w:szCs w:val="24"/>
        </w:rPr>
        <w:t>ives state authorities the power to determine which gender categories count and what they count for</w:t>
      </w:r>
      <w:r w:rsidR="00C9053A" w:rsidRPr="007C61D2">
        <w:rPr>
          <w:rFonts w:ascii="Garamond" w:eastAsia="Times New Roman" w:hAnsi="Garamond" w:cs="Times New Roman"/>
          <w:sz w:val="24"/>
          <w:szCs w:val="24"/>
        </w:rPr>
        <w:t xml:space="preserve"> (see also Fletcher, this issue)</w:t>
      </w:r>
      <w:r w:rsidR="00B61E1A" w:rsidRPr="007C61D2">
        <w:rPr>
          <w:rFonts w:ascii="Garamond" w:eastAsia="Times New Roman" w:hAnsi="Garamond" w:cs="Times New Roman"/>
          <w:sz w:val="24"/>
          <w:szCs w:val="24"/>
        </w:rPr>
        <w:t xml:space="preserve">. </w:t>
      </w:r>
      <w:r w:rsidR="00A908DC" w:rsidRPr="007C61D2">
        <w:rPr>
          <w:rFonts w:ascii="Garamond" w:eastAsia="Times New Roman" w:hAnsi="Garamond" w:cs="Times New Roman"/>
          <w:sz w:val="24"/>
          <w:szCs w:val="24"/>
        </w:rPr>
        <w:t xml:space="preserve">Sonia </w:t>
      </w:r>
      <w:r w:rsidR="00542C6C" w:rsidRPr="007C61D2">
        <w:rPr>
          <w:rFonts w:ascii="Garamond" w:eastAsia="Times New Roman" w:hAnsi="Garamond" w:cs="Times New Roman"/>
          <w:sz w:val="24"/>
          <w:szCs w:val="24"/>
        </w:rPr>
        <w:t>Katyal (</w:t>
      </w:r>
      <w:r w:rsidR="00EF566B" w:rsidRPr="007C61D2">
        <w:rPr>
          <w:rFonts w:ascii="Garamond" w:eastAsia="Times New Roman" w:hAnsi="Garamond" w:cs="Times New Roman"/>
          <w:sz w:val="24"/>
          <w:szCs w:val="24"/>
        </w:rPr>
        <w:t>2017</w:t>
      </w:r>
      <w:r w:rsidR="007C5AF5" w:rsidRPr="007C61D2">
        <w:rPr>
          <w:rFonts w:ascii="Garamond" w:eastAsia="Times New Roman" w:hAnsi="Garamond" w:cs="Times New Roman"/>
          <w:sz w:val="24"/>
          <w:szCs w:val="24"/>
        </w:rPr>
        <w:t>:</w:t>
      </w:r>
      <w:r w:rsidR="0070735F" w:rsidRPr="007C61D2">
        <w:rPr>
          <w:rFonts w:ascii="Garamond" w:eastAsia="Times New Roman" w:hAnsi="Garamond" w:cs="Times New Roman"/>
          <w:sz w:val="24"/>
          <w:szCs w:val="24"/>
        </w:rPr>
        <w:t xml:space="preserve"> 411</w:t>
      </w:r>
      <w:r w:rsidR="00542C6C" w:rsidRPr="007C61D2">
        <w:rPr>
          <w:rFonts w:ascii="Garamond" w:eastAsia="Times New Roman" w:hAnsi="Garamond" w:cs="Times New Roman"/>
          <w:sz w:val="24"/>
          <w:szCs w:val="24"/>
        </w:rPr>
        <w:t>) writes: “the legal regulation of sex… establishes the …power of the state</w:t>
      </w:r>
      <w:r w:rsidR="00AE4ACB">
        <w:rPr>
          <w:rFonts w:ascii="Garamond" w:eastAsia="Times New Roman" w:hAnsi="Garamond" w:cs="Times New Roman"/>
          <w:sz w:val="24"/>
          <w:szCs w:val="24"/>
        </w:rPr>
        <w:t xml:space="preserve"> – </w:t>
      </w:r>
      <w:r w:rsidR="00542C6C" w:rsidRPr="007C61D2">
        <w:rPr>
          <w:rFonts w:ascii="Garamond" w:eastAsia="Times New Roman" w:hAnsi="Garamond" w:cs="Times New Roman"/>
          <w:sz w:val="24"/>
          <w:szCs w:val="24"/>
        </w:rPr>
        <w:t>and its codes</w:t>
      </w:r>
      <w:r w:rsidR="00AE4ACB" w:rsidRPr="007C61D2">
        <w:rPr>
          <w:rFonts w:ascii="Garamond" w:eastAsia="Times New Roman" w:hAnsi="Garamond" w:cs="Times New Roman"/>
          <w:sz w:val="24"/>
          <w:szCs w:val="24"/>
        </w:rPr>
        <w:t xml:space="preserve"> </w:t>
      </w:r>
      <w:r w:rsidR="00AE4ACB">
        <w:rPr>
          <w:rFonts w:ascii="Garamond" w:eastAsia="Times New Roman" w:hAnsi="Garamond" w:cs="Times New Roman"/>
          <w:sz w:val="24"/>
          <w:szCs w:val="24"/>
        </w:rPr>
        <w:t xml:space="preserve">– </w:t>
      </w:r>
      <w:r w:rsidR="00542C6C" w:rsidRPr="007C61D2">
        <w:rPr>
          <w:rFonts w:ascii="Garamond" w:eastAsia="Times New Roman" w:hAnsi="Garamond" w:cs="Times New Roman"/>
          <w:sz w:val="24"/>
          <w:szCs w:val="24"/>
        </w:rPr>
        <w:t xml:space="preserve">in determining, recognizing, and ultimately administering identity.” As such, she argues, “the state gains a monopoly power in assigning …sex, obviating the power of alternative interpretations.” </w:t>
      </w:r>
    </w:p>
    <w:p w14:paraId="0DEFAD71" w14:textId="02D9AC85" w:rsidR="005A2B88" w:rsidRPr="007C61D2" w:rsidRDefault="009D67B1" w:rsidP="00654B6E">
      <w:pPr>
        <w:pStyle w:val="Heading2"/>
        <w:spacing w:before="240"/>
      </w:pPr>
      <w:r>
        <w:t xml:space="preserve">2. </w:t>
      </w:r>
      <w:r w:rsidR="005A2B88" w:rsidRPr="007C61D2">
        <w:t>Why might decertification be a good idea?</w:t>
      </w:r>
    </w:p>
    <w:p w14:paraId="218BCED8" w14:textId="312E8C69" w:rsidR="006376A4" w:rsidRPr="007C61D2" w:rsidRDefault="00672226">
      <w:pPr>
        <w:spacing w:before="12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Diversifying gender as a </w:t>
      </w:r>
      <w:r w:rsidR="005F193B" w:rsidRPr="007C61D2">
        <w:rPr>
          <w:rFonts w:ascii="Garamond" w:eastAsia="Times New Roman" w:hAnsi="Garamond" w:cs="Times New Roman"/>
          <w:sz w:val="24"/>
          <w:szCs w:val="24"/>
        </w:rPr>
        <w:t xml:space="preserve">set of </w:t>
      </w:r>
      <w:r w:rsidRPr="007C61D2">
        <w:rPr>
          <w:rFonts w:ascii="Garamond" w:eastAsia="Times New Roman" w:hAnsi="Garamond" w:cs="Times New Roman"/>
          <w:sz w:val="24"/>
          <w:szCs w:val="24"/>
        </w:rPr>
        <w:t xml:space="preserve">legal </w:t>
      </w:r>
      <w:r w:rsidR="00B91B8F" w:rsidRPr="007C61D2">
        <w:rPr>
          <w:rFonts w:ascii="Garamond" w:eastAsia="Times New Roman" w:hAnsi="Garamond" w:cs="Times New Roman"/>
          <w:sz w:val="24"/>
          <w:szCs w:val="24"/>
        </w:rPr>
        <w:t xml:space="preserve">identity </w:t>
      </w:r>
      <w:r w:rsidRPr="007C61D2">
        <w:rPr>
          <w:rFonts w:ascii="Garamond" w:eastAsia="Times New Roman" w:hAnsi="Garamond" w:cs="Times New Roman"/>
          <w:sz w:val="24"/>
          <w:szCs w:val="24"/>
        </w:rPr>
        <w:t>categor</w:t>
      </w:r>
      <w:r w:rsidR="005F193B" w:rsidRPr="007C61D2">
        <w:rPr>
          <w:rFonts w:ascii="Garamond" w:eastAsia="Times New Roman" w:hAnsi="Garamond" w:cs="Times New Roman"/>
          <w:sz w:val="24"/>
          <w:szCs w:val="24"/>
        </w:rPr>
        <w:t xml:space="preserve">ies </w:t>
      </w:r>
      <w:r w:rsidR="00EA4596" w:rsidRPr="007C61D2">
        <w:rPr>
          <w:rFonts w:ascii="Garamond" w:eastAsia="Times New Roman" w:hAnsi="Garamond" w:cs="Times New Roman"/>
          <w:sz w:val="24"/>
          <w:szCs w:val="24"/>
        </w:rPr>
        <w:t xml:space="preserve">may </w:t>
      </w:r>
      <w:r w:rsidR="005F193B" w:rsidRPr="007C61D2">
        <w:rPr>
          <w:rFonts w:ascii="Garamond" w:eastAsia="Times New Roman" w:hAnsi="Garamond" w:cs="Times New Roman"/>
          <w:sz w:val="24"/>
          <w:szCs w:val="24"/>
        </w:rPr>
        <w:t xml:space="preserve">improve </w:t>
      </w:r>
      <w:r w:rsidRPr="007C61D2">
        <w:rPr>
          <w:rFonts w:ascii="Garamond" w:eastAsia="Times New Roman" w:hAnsi="Garamond" w:cs="Times New Roman"/>
          <w:sz w:val="24"/>
          <w:szCs w:val="24"/>
        </w:rPr>
        <w:t>on the current two-gender system</w:t>
      </w:r>
      <w:r w:rsidR="00AE48F9" w:rsidRPr="007C61D2">
        <w:rPr>
          <w:rFonts w:ascii="Garamond" w:eastAsia="Times New Roman" w:hAnsi="Garamond" w:cs="Times New Roman"/>
          <w:sz w:val="24"/>
          <w:szCs w:val="24"/>
        </w:rPr>
        <w:t>. H</w:t>
      </w:r>
      <w:r w:rsidRPr="007C61D2">
        <w:rPr>
          <w:rFonts w:ascii="Garamond" w:eastAsia="Times New Roman" w:hAnsi="Garamond" w:cs="Times New Roman"/>
          <w:sz w:val="24"/>
          <w:szCs w:val="24"/>
        </w:rPr>
        <w:t>owever, its tendency to reify gender as a</w:t>
      </w:r>
      <w:r w:rsidR="006F636F" w:rsidRPr="007C61D2">
        <w:rPr>
          <w:rFonts w:ascii="Garamond" w:eastAsia="Times New Roman" w:hAnsi="Garamond" w:cs="Times New Roman"/>
          <w:sz w:val="24"/>
          <w:szCs w:val="24"/>
        </w:rPr>
        <w:t xml:space="preserve"> natural or benign </w:t>
      </w:r>
      <w:r w:rsidRPr="007C61D2">
        <w:rPr>
          <w:rFonts w:ascii="Garamond" w:eastAsia="Times New Roman" w:hAnsi="Garamond" w:cs="Times New Roman"/>
          <w:sz w:val="24"/>
          <w:szCs w:val="24"/>
        </w:rPr>
        <w:t>aspect of personhood</w:t>
      </w:r>
      <w:r w:rsidR="00D844F2" w:rsidRPr="007C61D2">
        <w:rPr>
          <w:rFonts w:ascii="Garamond" w:eastAsia="Times New Roman" w:hAnsi="Garamond" w:cs="Times New Roman"/>
          <w:sz w:val="24"/>
          <w:szCs w:val="24"/>
        </w:rPr>
        <w:t xml:space="preserve"> and, </w:t>
      </w:r>
      <w:r w:rsidR="00702F09" w:rsidRPr="007C61D2">
        <w:rPr>
          <w:rFonts w:ascii="Garamond" w:eastAsia="Times New Roman" w:hAnsi="Garamond" w:cs="Times New Roman"/>
          <w:sz w:val="24"/>
          <w:szCs w:val="24"/>
        </w:rPr>
        <w:t>so</w:t>
      </w:r>
      <w:r w:rsidR="00D844F2" w:rsidRPr="007C61D2">
        <w:rPr>
          <w:rFonts w:ascii="Garamond" w:eastAsia="Times New Roman" w:hAnsi="Garamond" w:cs="Times New Roman"/>
          <w:sz w:val="24"/>
          <w:szCs w:val="24"/>
        </w:rPr>
        <w:t xml:space="preserve">, </w:t>
      </w:r>
      <w:r w:rsidR="00702F09" w:rsidRPr="007C61D2">
        <w:rPr>
          <w:rFonts w:ascii="Garamond" w:eastAsia="Times New Roman" w:hAnsi="Garamond" w:cs="Times New Roman"/>
          <w:sz w:val="24"/>
          <w:szCs w:val="24"/>
        </w:rPr>
        <w:t xml:space="preserve">to </w:t>
      </w:r>
      <w:r w:rsidRPr="007C61D2">
        <w:rPr>
          <w:rFonts w:ascii="Garamond" w:eastAsia="Times New Roman" w:hAnsi="Garamond" w:cs="Times New Roman"/>
          <w:sz w:val="24"/>
          <w:szCs w:val="24"/>
        </w:rPr>
        <w:t xml:space="preserve">downplay </w:t>
      </w:r>
      <w:r w:rsidR="005F193B" w:rsidRPr="007C61D2">
        <w:rPr>
          <w:rFonts w:ascii="Garamond" w:eastAsia="Times New Roman" w:hAnsi="Garamond" w:cs="Times New Roman"/>
          <w:sz w:val="24"/>
          <w:szCs w:val="24"/>
        </w:rPr>
        <w:t xml:space="preserve">gender </w:t>
      </w:r>
      <w:r w:rsidR="00D844F2" w:rsidRPr="007C61D2">
        <w:rPr>
          <w:rFonts w:ascii="Garamond" w:eastAsia="Times New Roman" w:hAnsi="Garamond" w:cs="Times New Roman"/>
          <w:sz w:val="24"/>
          <w:szCs w:val="24"/>
        </w:rPr>
        <w:t>as a societal process</w:t>
      </w:r>
      <w:r w:rsidR="00A03FB2"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lead</w:t>
      </w:r>
      <w:r w:rsidR="00AE48F9" w:rsidRPr="007C61D2">
        <w:rPr>
          <w:rFonts w:ascii="Garamond" w:eastAsia="Times New Roman" w:hAnsi="Garamond" w:cs="Times New Roman"/>
          <w:sz w:val="24"/>
          <w:szCs w:val="24"/>
        </w:rPr>
        <w:t>s</w:t>
      </w:r>
      <w:r w:rsidRPr="007C61D2">
        <w:rPr>
          <w:rFonts w:ascii="Garamond" w:eastAsia="Times New Roman" w:hAnsi="Garamond" w:cs="Times New Roman"/>
          <w:sz w:val="24"/>
          <w:szCs w:val="24"/>
        </w:rPr>
        <w:t xml:space="preserve"> us to </w:t>
      </w:r>
      <w:r w:rsidR="004F74F2" w:rsidRPr="007C61D2">
        <w:rPr>
          <w:rFonts w:ascii="Garamond" w:eastAsia="Times New Roman" w:hAnsi="Garamond" w:cs="Times New Roman"/>
          <w:sz w:val="24"/>
          <w:szCs w:val="24"/>
        </w:rPr>
        <w:t xml:space="preserve">decertification </w:t>
      </w:r>
      <w:r w:rsidRPr="007C61D2">
        <w:rPr>
          <w:rFonts w:ascii="Garamond" w:eastAsia="Times New Roman" w:hAnsi="Garamond" w:cs="Times New Roman"/>
          <w:sz w:val="24"/>
          <w:szCs w:val="24"/>
        </w:rPr>
        <w:t>instead</w:t>
      </w:r>
      <w:r w:rsidR="00186BB0" w:rsidRPr="007C61D2">
        <w:rPr>
          <w:rFonts w:ascii="Garamond" w:eastAsia="Times New Roman" w:hAnsi="Garamond" w:cs="Times New Roman"/>
          <w:sz w:val="24"/>
          <w:szCs w:val="24"/>
        </w:rPr>
        <w:t>. D</w:t>
      </w:r>
      <w:r w:rsidR="004F74F2" w:rsidRPr="007C61D2">
        <w:rPr>
          <w:rFonts w:ascii="Garamond" w:eastAsia="Times New Roman" w:hAnsi="Garamond" w:cs="Times New Roman"/>
          <w:sz w:val="24"/>
          <w:szCs w:val="24"/>
        </w:rPr>
        <w:t xml:space="preserve">ecertification </w:t>
      </w:r>
      <w:r w:rsidR="00186BB0" w:rsidRPr="007C61D2">
        <w:rPr>
          <w:rFonts w:ascii="Garamond" w:eastAsia="Times New Roman" w:hAnsi="Garamond" w:cs="Times New Roman"/>
          <w:sz w:val="24"/>
          <w:szCs w:val="24"/>
        </w:rPr>
        <w:t xml:space="preserve">involves state law’s </w:t>
      </w:r>
      <w:r w:rsidR="004F74F2" w:rsidRPr="007C61D2">
        <w:rPr>
          <w:rFonts w:ascii="Garamond" w:eastAsia="Times New Roman" w:hAnsi="Garamond" w:cs="Times New Roman"/>
          <w:sz w:val="24"/>
          <w:szCs w:val="24"/>
        </w:rPr>
        <w:t xml:space="preserve">withdrawal from </w:t>
      </w:r>
      <w:r w:rsidR="006E1AB7" w:rsidRPr="007C61D2">
        <w:rPr>
          <w:rFonts w:ascii="Garamond" w:eastAsia="Times New Roman" w:hAnsi="Garamond" w:cs="Times New Roman"/>
          <w:sz w:val="24"/>
          <w:szCs w:val="24"/>
        </w:rPr>
        <w:t xml:space="preserve">determining, </w:t>
      </w:r>
      <w:r w:rsidR="004F74F2" w:rsidRPr="007C61D2">
        <w:rPr>
          <w:rFonts w:ascii="Garamond" w:eastAsia="Times New Roman" w:hAnsi="Garamond" w:cs="Times New Roman"/>
          <w:sz w:val="24"/>
          <w:szCs w:val="24"/>
        </w:rPr>
        <w:t xml:space="preserve">registering, </w:t>
      </w:r>
      <w:r w:rsidR="00186BB0" w:rsidRPr="007C61D2">
        <w:rPr>
          <w:rFonts w:ascii="Garamond" w:eastAsia="Times New Roman" w:hAnsi="Garamond" w:cs="Times New Roman"/>
          <w:sz w:val="24"/>
          <w:szCs w:val="24"/>
        </w:rPr>
        <w:t xml:space="preserve">or </w:t>
      </w:r>
      <w:r w:rsidR="004F74F2" w:rsidRPr="007C61D2">
        <w:rPr>
          <w:rFonts w:ascii="Garamond" w:eastAsia="Times New Roman" w:hAnsi="Garamond" w:cs="Times New Roman"/>
          <w:sz w:val="24"/>
          <w:szCs w:val="24"/>
        </w:rPr>
        <w:t>guaranteeing gender</w:t>
      </w:r>
      <w:r w:rsidR="00186BB0" w:rsidRPr="007C61D2">
        <w:rPr>
          <w:rFonts w:ascii="Garamond" w:eastAsia="Times New Roman" w:hAnsi="Garamond" w:cs="Times New Roman"/>
          <w:sz w:val="24"/>
          <w:szCs w:val="24"/>
        </w:rPr>
        <w:t xml:space="preserve"> and</w:t>
      </w:r>
      <w:r w:rsidR="00843C0B"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can take different forms. </w:t>
      </w:r>
      <w:r w:rsidR="00843C0B" w:rsidRPr="007C61D2">
        <w:rPr>
          <w:rFonts w:ascii="Garamond" w:eastAsia="Times New Roman" w:hAnsi="Garamond" w:cs="Times New Roman"/>
          <w:sz w:val="24"/>
          <w:szCs w:val="24"/>
        </w:rPr>
        <w:t>I</w:t>
      </w:r>
      <w:r w:rsidR="004F74F2" w:rsidRPr="007C61D2">
        <w:rPr>
          <w:rFonts w:ascii="Garamond" w:eastAsia="Times New Roman" w:hAnsi="Garamond" w:cs="Times New Roman"/>
          <w:sz w:val="24"/>
          <w:szCs w:val="24"/>
        </w:rPr>
        <w:t>ts</w:t>
      </w:r>
      <w:r w:rsidR="00DD0BAF" w:rsidRPr="007C61D2">
        <w:rPr>
          <w:rFonts w:ascii="Garamond" w:eastAsia="Times New Roman" w:hAnsi="Garamond" w:cs="Times New Roman"/>
          <w:sz w:val="24"/>
          <w:szCs w:val="24"/>
        </w:rPr>
        <w:t xml:space="preserve"> </w:t>
      </w:r>
      <w:r w:rsidR="00E90A76">
        <w:rPr>
          <w:rFonts w:ascii="Garamond" w:eastAsia="Times New Roman" w:hAnsi="Garamond" w:cs="Times New Roman"/>
          <w:sz w:val="24"/>
          <w:szCs w:val="24"/>
        </w:rPr>
        <w:t>“</w:t>
      </w:r>
      <w:r w:rsidR="00DD0BAF" w:rsidRPr="007C61D2">
        <w:rPr>
          <w:rFonts w:ascii="Garamond" w:eastAsia="Times New Roman" w:hAnsi="Garamond" w:cs="Times New Roman"/>
          <w:sz w:val="24"/>
          <w:szCs w:val="24"/>
        </w:rPr>
        <w:t>lightest</w:t>
      </w:r>
      <w:r w:rsidR="00E90A76">
        <w:rPr>
          <w:rFonts w:ascii="Garamond" w:eastAsia="Times New Roman" w:hAnsi="Garamond" w:cs="Times New Roman"/>
          <w:sz w:val="24"/>
          <w:szCs w:val="24"/>
        </w:rPr>
        <w:t>”</w:t>
      </w:r>
      <w:r w:rsidR="00DD0BAF" w:rsidRPr="007C61D2">
        <w:rPr>
          <w:rFonts w:ascii="Garamond" w:eastAsia="Times New Roman" w:hAnsi="Garamond" w:cs="Times New Roman"/>
          <w:sz w:val="24"/>
          <w:szCs w:val="24"/>
        </w:rPr>
        <w:t xml:space="preserve"> formulation</w:t>
      </w:r>
      <w:r w:rsidR="00843C0B" w:rsidRPr="007C61D2">
        <w:rPr>
          <w:rFonts w:ascii="Garamond" w:eastAsia="Times New Roman" w:hAnsi="Garamond" w:cs="Times New Roman"/>
          <w:sz w:val="24"/>
          <w:szCs w:val="24"/>
        </w:rPr>
        <w:t xml:space="preserve"> </w:t>
      </w:r>
      <w:r w:rsidR="00F70791" w:rsidRPr="007C61D2">
        <w:rPr>
          <w:rFonts w:ascii="Garamond" w:eastAsia="Times New Roman" w:hAnsi="Garamond" w:cs="Times New Roman"/>
          <w:sz w:val="24"/>
          <w:szCs w:val="24"/>
        </w:rPr>
        <w:t xml:space="preserve">might mean a state </w:t>
      </w:r>
      <w:r w:rsidR="00657FCF" w:rsidRPr="007C61D2">
        <w:rPr>
          <w:rFonts w:ascii="Garamond" w:eastAsia="Times New Roman" w:hAnsi="Garamond" w:cs="Times New Roman"/>
          <w:sz w:val="24"/>
          <w:szCs w:val="24"/>
        </w:rPr>
        <w:t>treat</w:t>
      </w:r>
      <w:r w:rsidR="00404C74">
        <w:rPr>
          <w:rFonts w:ascii="Garamond" w:eastAsia="Times New Roman" w:hAnsi="Garamond" w:cs="Times New Roman"/>
          <w:sz w:val="24"/>
          <w:szCs w:val="24"/>
        </w:rPr>
        <w:t>s</w:t>
      </w:r>
      <w:r w:rsidR="00657FCF" w:rsidRPr="007C61D2">
        <w:rPr>
          <w:rFonts w:ascii="Garamond" w:eastAsia="Times New Roman" w:hAnsi="Garamond" w:cs="Times New Roman"/>
          <w:sz w:val="24"/>
          <w:szCs w:val="24"/>
        </w:rPr>
        <w:t xml:space="preserve"> </w:t>
      </w:r>
      <w:r w:rsidR="00F70791" w:rsidRPr="007C61D2">
        <w:rPr>
          <w:rFonts w:ascii="Garamond" w:eastAsia="Times New Roman" w:hAnsi="Garamond" w:cs="Times New Roman"/>
          <w:sz w:val="24"/>
          <w:szCs w:val="24"/>
        </w:rPr>
        <w:t xml:space="preserve">sex </w:t>
      </w:r>
      <w:r w:rsidR="00657FCF" w:rsidRPr="007C61D2">
        <w:rPr>
          <w:rFonts w:ascii="Garamond" w:eastAsia="Times New Roman" w:hAnsi="Garamond" w:cs="Times New Roman"/>
          <w:sz w:val="24"/>
          <w:szCs w:val="24"/>
        </w:rPr>
        <w:t xml:space="preserve">as an </w:t>
      </w:r>
      <w:r w:rsidR="00F70791" w:rsidRPr="007C61D2">
        <w:rPr>
          <w:rFonts w:ascii="Garamond" w:eastAsia="Times New Roman" w:hAnsi="Garamond" w:cs="Times New Roman"/>
          <w:sz w:val="24"/>
          <w:szCs w:val="24"/>
        </w:rPr>
        <w:t xml:space="preserve">optional </w:t>
      </w:r>
      <w:r w:rsidR="00657FCF" w:rsidRPr="007C61D2">
        <w:rPr>
          <w:rFonts w:ascii="Garamond" w:eastAsia="Times New Roman" w:hAnsi="Garamond" w:cs="Times New Roman"/>
          <w:sz w:val="24"/>
          <w:szCs w:val="24"/>
        </w:rPr>
        <w:t xml:space="preserve">descriptor </w:t>
      </w:r>
      <w:r w:rsidR="00C032B6" w:rsidRPr="007C61D2">
        <w:rPr>
          <w:rFonts w:ascii="Garamond" w:eastAsia="Times New Roman" w:hAnsi="Garamond" w:cs="Times New Roman"/>
          <w:sz w:val="24"/>
          <w:szCs w:val="24"/>
        </w:rPr>
        <w:t xml:space="preserve">on birth certificates </w:t>
      </w:r>
      <w:r w:rsidR="00F70791" w:rsidRPr="007C61D2">
        <w:rPr>
          <w:rFonts w:ascii="Garamond" w:eastAsia="Times New Roman" w:hAnsi="Garamond" w:cs="Times New Roman"/>
          <w:sz w:val="24"/>
          <w:szCs w:val="24"/>
        </w:rPr>
        <w:t xml:space="preserve">even as people continue to have a </w:t>
      </w:r>
      <w:r w:rsidR="006E1AB7" w:rsidRPr="007C61D2">
        <w:rPr>
          <w:rFonts w:ascii="Garamond" w:eastAsia="Times New Roman" w:hAnsi="Garamond" w:cs="Times New Roman"/>
          <w:sz w:val="24"/>
          <w:szCs w:val="24"/>
        </w:rPr>
        <w:t xml:space="preserve">presumptive </w:t>
      </w:r>
      <w:r w:rsidR="00F70791" w:rsidRPr="007C61D2">
        <w:rPr>
          <w:rFonts w:ascii="Garamond" w:eastAsia="Times New Roman" w:hAnsi="Garamond" w:cs="Times New Roman"/>
          <w:sz w:val="24"/>
          <w:szCs w:val="24"/>
        </w:rPr>
        <w:t>legal sex/ gender (e.g., see Wipfler 2016).</w:t>
      </w:r>
      <w:r w:rsidR="00E90A76">
        <w:rPr>
          <w:rStyle w:val="FootnoteReference"/>
          <w:rFonts w:ascii="Garamond" w:eastAsia="Times New Roman" w:hAnsi="Garamond" w:cs="Times New Roman"/>
          <w:sz w:val="24"/>
          <w:szCs w:val="24"/>
        </w:rPr>
        <w:footnoteReference w:id="13"/>
      </w:r>
      <w:r w:rsidR="00F70791" w:rsidRPr="007C61D2">
        <w:rPr>
          <w:rFonts w:ascii="Garamond" w:eastAsia="Times New Roman" w:hAnsi="Garamond" w:cs="Times New Roman"/>
          <w:sz w:val="24"/>
          <w:szCs w:val="24"/>
        </w:rPr>
        <w:t xml:space="preserve"> In April 2019, for instance, the Australian state</w:t>
      </w:r>
      <w:r w:rsidR="00AE48F9" w:rsidRPr="007C61D2">
        <w:rPr>
          <w:rFonts w:ascii="Garamond" w:eastAsia="Times New Roman" w:hAnsi="Garamond" w:cs="Times New Roman"/>
          <w:sz w:val="24"/>
          <w:szCs w:val="24"/>
        </w:rPr>
        <w:t xml:space="preserve"> of</w:t>
      </w:r>
      <w:r w:rsidR="00657FCF" w:rsidRPr="007C61D2">
        <w:rPr>
          <w:rFonts w:ascii="Garamond" w:eastAsia="Times New Roman" w:hAnsi="Garamond" w:cs="Times New Roman"/>
          <w:sz w:val="24"/>
          <w:szCs w:val="24"/>
        </w:rPr>
        <w:t xml:space="preserve"> </w:t>
      </w:r>
      <w:r w:rsidR="00F70791" w:rsidRPr="007C61D2">
        <w:rPr>
          <w:rFonts w:ascii="Garamond" w:eastAsia="Times New Roman" w:hAnsi="Garamond" w:cs="Times New Roman"/>
          <w:sz w:val="24"/>
          <w:szCs w:val="24"/>
        </w:rPr>
        <w:t>Tasmania</w:t>
      </w:r>
      <w:r w:rsidR="007A5EFC" w:rsidRPr="007C61D2">
        <w:rPr>
          <w:rFonts w:ascii="Garamond" w:eastAsia="Times New Roman" w:hAnsi="Garamond" w:cs="Times New Roman"/>
          <w:sz w:val="24"/>
          <w:szCs w:val="24"/>
        </w:rPr>
        <w:t xml:space="preserve"> </w:t>
      </w:r>
      <w:r w:rsidR="000B293E">
        <w:rPr>
          <w:rFonts w:ascii="Garamond" w:eastAsia="Times New Roman" w:hAnsi="Garamond" w:cs="Times New Roman"/>
          <w:sz w:val="24"/>
          <w:szCs w:val="24"/>
        </w:rPr>
        <w:t xml:space="preserve">introduced legal reform, which specified </w:t>
      </w:r>
      <w:r w:rsidR="00C032B6" w:rsidRPr="007C61D2">
        <w:rPr>
          <w:rFonts w:ascii="Garamond" w:eastAsia="Times New Roman" w:hAnsi="Garamond" w:cs="Times New Roman"/>
          <w:sz w:val="24"/>
          <w:szCs w:val="24"/>
        </w:rPr>
        <w:t xml:space="preserve">that </w:t>
      </w:r>
      <w:r w:rsidR="000B293E">
        <w:rPr>
          <w:rFonts w:ascii="Garamond" w:eastAsia="Times New Roman" w:hAnsi="Garamond" w:cs="Times New Roman"/>
          <w:sz w:val="24"/>
          <w:szCs w:val="24"/>
        </w:rPr>
        <w:t xml:space="preserve">sex, while still registered, would only be recorded on a </w:t>
      </w:r>
      <w:r w:rsidR="00F70791" w:rsidRPr="007C61D2">
        <w:rPr>
          <w:rFonts w:ascii="Garamond" w:eastAsia="Times New Roman" w:hAnsi="Garamond" w:cs="Times New Roman"/>
          <w:sz w:val="24"/>
          <w:szCs w:val="24"/>
        </w:rPr>
        <w:t>birth certificate</w:t>
      </w:r>
      <w:r w:rsidR="000B293E">
        <w:rPr>
          <w:rFonts w:ascii="Garamond" w:eastAsia="Times New Roman" w:hAnsi="Garamond" w:cs="Times New Roman"/>
          <w:sz w:val="24"/>
          <w:szCs w:val="24"/>
        </w:rPr>
        <w:t xml:space="preserve"> if</w:t>
      </w:r>
      <w:r w:rsidR="00F70791" w:rsidRPr="007C61D2">
        <w:rPr>
          <w:rFonts w:ascii="Garamond" w:eastAsia="Times New Roman" w:hAnsi="Garamond" w:cs="Times New Roman"/>
          <w:sz w:val="24"/>
          <w:szCs w:val="24"/>
        </w:rPr>
        <w:t xml:space="preserve"> </w:t>
      </w:r>
      <w:r w:rsidR="000B293E">
        <w:rPr>
          <w:rFonts w:ascii="Garamond" w:eastAsia="Times New Roman" w:hAnsi="Garamond" w:cs="Times New Roman"/>
          <w:sz w:val="24"/>
          <w:szCs w:val="24"/>
        </w:rPr>
        <w:t>the applicant requested it</w:t>
      </w:r>
      <w:r w:rsidR="00F70791" w:rsidRPr="007C61D2">
        <w:rPr>
          <w:rFonts w:ascii="Garamond" w:eastAsia="Times New Roman" w:hAnsi="Garamond" w:cs="Times New Roman"/>
          <w:sz w:val="24"/>
          <w:szCs w:val="24"/>
        </w:rPr>
        <w:t>.</w:t>
      </w:r>
      <w:r w:rsidR="00F70791" w:rsidRPr="007C61D2">
        <w:rPr>
          <w:rStyle w:val="FootnoteReference"/>
          <w:rFonts w:ascii="Garamond" w:eastAsia="Times New Roman" w:hAnsi="Garamond" w:cs="Times New Roman"/>
          <w:sz w:val="24"/>
          <w:szCs w:val="24"/>
        </w:rPr>
        <w:footnoteReference w:id="14"/>
      </w:r>
      <w:r w:rsidR="00F70791"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At its strongest, </w:t>
      </w:r>
      <w:r w:rsidR="00F70791" w:rsidRPr="007C61D2">
        <w:rPr>
          <w:rFonts w:ascii="Garamond" w:eastAsia="Times New Roman" w:hAnsi="Garamond" w:cs="Times New Roman"/>
          <w:sz w:val="24"/>
          <w:szCs w:val="24"/>
        </w:rPr>
        <w:t xml:space="preserve">decertification might mean </w:t>
      </w:r>
      <w:r w:rsidR="004F74F2" w:rsidRPr="007C61D2">
        <w:rPr>
          <w:rFonts w:ascii="Garamond" w:eastAsia="Times New Roman" w:hAnsi="Garamond" w:cs="Times New Roman"/>
          <w:sz w:val="24"/>
          <w:szCs w:val="24"/>
        </w:rPr>
        <w:t xml:space="preserve">the state </w:t>
      </w:r>
      <w:r w:rsidR="00186BB0" w:rsidRPr="007C61D2">
        <w:rPr>
          <w:rFonts w:ascii="Garamond" w:eastAsia="Times New Roman" w:hAnsi="Garamond" w:cs="Times New Roman"/>
          <w:sz w:val="24"/>
          <w:szCs w:val="24"/>
        </w:rPr>
        <w:t xml:space="preserve">formally </w:t>
      </w:r>
      <w:r w:rsidR="004F74F2" w:rsidRPr="007C61D2">
        <w:rPr>
          <w:rFonts w:ascii="Garamond" w:eastAsia="Times New Roman" w:hAnsi="Garamond" w:cs="Times New Roman"/>
          <w:sz w:val="24"/>
          <w:szCs w:val="24"/>
        </w:rPr>
        <w:t>refus</w:t>
      </w:r>
      <w:r w:rsidR="006376A4" w:rsidRPr="007C61D2">
        <w:rPr>
          <w:rFonts w:ascii="Garamond" w:eastAsia="Times New Roman" w:hAnsi="Garamond" w:cs="Times New Roman"/>
          <w:sz w:val="24"/>
          <w:szCs w:val="24"/>
        </w:rPr>
        <w:t>ing</w:t>
      </w:r>
      <w:r w:rsidR="004F74F2" w:rsidRPr="007C61D2">
        <w:rPr>
          <w:rFonts w:ascii="Garamond" w:eastAsia="Times New Roman" w:hAnsi="Garamond" w:cs="Times New Roman"/>
          <w:sz w:val="24"/>
          <w:szCs w:val="24"/>
        </w:rPr>
        <w:t xml:space="preserve"> to recognise gender as </w:t>
      </w:r>
      <w:r w:rsidR="00186BB0" w:rsidRPr="007C61D2">
        <w:rPr>
          <w:rFonts w:ascii="Garamond" w:eastAsia="Times New Roman" w:hAnsi="Garamond" w:cs="Times New Roman"/>
          <w:sz w:val="24"/>
          <w:szCs w:val="24"/>
        </w:rPr>
        <w:t xml:space="preserve">a dimension </w:t>
      </w:r>
      <w:r w:rsidR="004F74F2" w:rsidRPr="007C61D2">
        <w:rPr>
          <w:rFonts w:ascii="Garamond" w:eastAsia="Times New Roman" w:hAnsi="Garamond" w:cs="Times New Roman"/>
          <w:sz w:val="24"/>
          <w:szCs w:val="24"/>
        </w:rPr>
        <w:t>of personhood altogether</w:t>
      </w:r>
      <w:r w:rsidR="001D0F5F" w:rsidRPr="007C61D2">
        <w:rPr>
          <w:rFonts w:ascii="Garamond" w:eastAsia="Times New Roman" w:hAnsi="Garamond" w:cs="Times New Roman"/>
          <w:sz w:val="24"/>
          <w:szCs w:val="24"/>
        </w:rPr>
        <w:t xml:space="preserve">. This </w:t>
      </w:r>
      <w:r w:rsidR="00186BB0" w:rsidRPr="007C61D2">
        <w:rPr>
          <w:rFonts w:ascii="Garamond" w:eastAsia="Times New Roman" w:hAnsi="Garamond" w:cs="Times New Roman"/>
          <w:sz w:val="24"/>
          <w:szCs w:val="24"/>
        </w:rPr>
        <w:t xml:space="preserve">could </w:t>
      </w:r>
      <w:r w:rsidR="004F74F2" w:rsidRPr="007C61D2">
        <w:rPr>
          <w:rFonts w:ascii="Garamond" w:eastAsia="Times New Roman" w:hAnsi="Garamond" w:cs="Times New Roman"/>
          <w:sz w:val="24"/>
          <w:szCs w:val="24"/>
        </w:rPr>
        <w:t xml:space="preserve">render gender status illegal or, at least, </w:t>
      </w:r>
      <w:r w:rsidR="00843C0B" w:rsidRPr="007C61D2">
        <w:rPr>
          <w:rFonts w:ascii="Garamond" w:eastAsia="Times New Roman" w:hAnsi="Garamond" w:cs="Times New Roman"/>
          <w:sz w:val="24"/>
          <w:szCs w:val="24"/>
        </w:rPr>
        <w:lastRenderedPageBreak/>
        <w:t xml:space="preserve">beyond </w:t>
      </w:r>
      <w:r w:rsidR="001D0F5F" w:rsidRPr="007C61D2">
        <w:rPr>
          <w:rFonts w:ascii="Garamond" w:eastAsia="Times New Roman" w:hAnsi="Garamond" w:cs="Times New Roman"/>
          <w:sz w:val="24"/>
          <w:szCs w:val="24"/>
        </w:rPr>
        <w:t xml:space="preserve">state </w:t>
      </w:r>
      <w:r w:rsidR="004F74F2" w:rsidRPr="007C61D2">
        <w:rPr>
          <w:rFonts w:ascii="Garamond" w:eastAsia="Times New Roman" w:hAnsi="Garamond" w:cs="Times New Roman"/>
          <w:sz w:val="24"/>
          <w:szCs w:val="24"/>
        </w:rPr>
        <w:t>law</w:t>
      </w:r>
      <w:r w:rsidR="001D0F5F" w:rsidRPr="007C61D2">
        <w:rPr>
          <w:rFonts w:ascii="Garamond" w:eastAsia="Times New Roman" w:hAnsi="Garamond" w:cs="Times New Roman"/>
          <w:sz w:val="24"/>
          <w:szCs w:val="24"/>
        </w:rPr>
        <w:t xml:space="preserve">’s regulatory structure, </w:t>
      </w:r>
      <w:r w:rsidR="00F42C06" w:rsidRPr="007C61D2">
        <w:rPr>
          <w:rFonts w:ascii="Garamond" w:eastAsia="Times New Roman" w:hAnsi="Garamond" w:cs="Times New Roman"/>
          <w:sz w:val="24"/>
          <w:szCs w:val="24"/>
        </w:rPr>
        <w:t xml:space="preserve">its </w:t>
      </w:r>
      <w:r w:rsidR="001D0F5F" w:rsidRPr="007C61D2">
        <w:rPr>
          <w:rFonts w:ascii="Garamond" w:eastAsia="Times New Roman" w:hAnsi="Garamond" w:cs="Times New Roman"/>
          <w:sz w:val="24"/>
          <w:szCs w:val="24"/>
        </w:rPr>
        <w:t>terms of recognition or gaze</w:t>
      </w:r>
      <w:r w:rsidR="004F74F2" w:rsidRPr="007C61D2">
        <w:rPr>
          <w:rFonts w:ascii="Garamond" w:eastAsia="Times New Roman" w:hAnsi="Garamond" w:cs="Times New Roman"/>
          <w:sz w:val="24"/>
          <w:szCs w:val="24"/>
        </w:rPr>
        <w:t>.</w:t>
      </w:r>
      <w:r w:rsidR="00AE48F9" w:rsidRPr="007C61D2">
        <w:rPr>
          <w:rStyle w:val="FootnoteReference"/>
          <w:rFonts w:ascii="Garamond" w:eastAsia="Times New Roman" w:hAnsi="Garamond" w:cs="Times New Roman"/>
          <w:sz w:val="24"/>
          <w:szCs w:val="24"/>
        </w:rPr>
        <w:footnoteReference w:id="15"/>
      </w:r>
      <w:r w:rsidR="004F74F2" w:rsidRPr="007C61D2">
        <w:rPr>
          <w:rFonts w:ascii="Garamond" w:eastAsia="Times New Roman" w:hAnsi="Garamond" w:cs="Times New Roman"/>
          <w:sz w:val="24"/>
          <w:szCs w:val="24"/>
        </w:rPr>
        <w:t xml:space="preserve"> </w:t>
      </w:r>
      <w:r w:rsidR="00666C63" w:rsidRPr="007C61D2">
        <w:rPr>
          <w:rFonts w:ascii="Garamond" w:eastAsia="Times New Roman" w:hAnsi="Garamond" w:cs="Times New Roman"/>
          <w:sz w:val="24"/>
          <w:szCs w:val="24"/>
        </w:rPr>
        <w:t xml:space="preserve">A strong </w:t>
      </w:r>
      <w:r w:rsidR="001D0F5F" w:rsidRPr="007C61D2">
        <w:rPr>
          <w:rFonts w:ascii="Garamond" w:eastAsia="Times New Roman" w:hAnsi="Garamond" w:cs="Times New Roman"/>
          <w:sz w:val="24"/>
          <w:szCs w:val="24"/>
        </w:rPr>
        <w:t>version of decertification</w:t>
      </w:r>
      <w:r w:rsidR="00186BB0" w:rsidRPr="007C61D2">
        <w:rPr>
          <w:rFonts w:ascii="Garamond" w:eastAsia="Times New Roman" w:hAnsi="Garamond" w:cs="Times New Roman"/>
          <w:sz w:val="24"/>
          <w:szCs w:val="24"/>
        </w:rPr>
        <w:t>, in the case of sex/ gender,</w:t>
      </w:r>
      <w:r w:rsidR="001D0F5F" w:rsidRPr="007C61D2">
        <w:rPr>
          <w:rFonts w:ascii="Garamond" w:eastAsia="Times New Roman" w:hAnsi="Garamond" w:cs="Times New Roman"/>
          <w:sz w:val="24"/>
          <w:szCs w:val="24"/>
        </w:rPr>
        <w:t xml:space="preserve"> </w:t>
      </w:r>
      <w:r w:rsidR="00186BB0" w:rsidRPr="007C61D2">
        <w:rPr>
          <w:rFonts w:ascii="Garamond" w:eastAsia="Times New Roman" w:hAnsi="Garamond" w:cs="Times New Roman"/>
          <w:sz w:val="24"/>
          <w:szCs w:val="24"/>
        </w:rPr>
        <w:t xml:space="preserve">could </w:t>
      </w:r>
      <w:r w:rsidR="00843C0B" w:rsidRPr="007C61D2">
        <w:rPr>
          <w:rFonts w:ascii="Garamond" w:eastAsia="Times New Roman" w:hAnsi="Garamond" w:cs="Times New Roman"/>
          <w:sz w:val="24"/>
          <w:szCs w:val="24"/>
        </w:rPr>
        <w:t xml:space="preserve">lead </w:t>
      </w:r>
      <w:r w:rsidR="00C032B6" w:rsidRPr="007C61D2">
        <w:rPr>
          <w:rFonts w:ascii="Garamond" w:eastAsia="Times New Roman" w:hAnsi="Garamond" w:cs="Times New Roman"/>
          <w:sz w:val="24"/>
          <w:szCs w:val="24"/>
        </w:rPr>
        <w:t xml:space="preserve">state law </w:t>
      </w:r>
      <w:r w:rsidR="00843C0B" w:rsidRPr="007C61D2">
        <w:rPr>
          <w:rFonts w:ascii="Garamond" w:eastAsia="Times New Roman" w:hAnsi="Garamond" w:cs="Times New Roman"/>
          <w:sz w:val="24"/>
          <w:szCs w:val="24"/>
        </w:rPr>
        <w:t xml:space="preserve">to </w:t>
      </w:r>
      <w:r w:rsidR="00186BB0" w:rsidRPr="007C61D2">
        <w:rPr>
          <w:rFonts w:ascii="Garamond" w:eastAsia="Times New Roman" w:hAnsi="Garamond" w:cs="Times New Roman"/>
          <w:sz w:val="24"/>
          <w:szCs w:val="24"/>
        </w:rPr>
        <w:t xml:space="preserve">withdraw </w:t>
      </w:r>
      <w:r w:rsidR="00AF220D" w:rsidRPr="007C61D2">
        <w:rPr>
          <w:rFonts w:ascii="Garamond" w:eastAsia="Times New Roman" w:hAnsi="Garamond" w:cs="Times New Roman"/>
          <w:sz w:val="24"/>
          <w:szCs w:val="24"/>
        </w:rPr>
        <w:t xml:space="preserve">from </w:t>
      </w:r>
      <w:r w:rsidR="00AE48F9" w:rsidRPr="007C61D2">
        <w:rPr>
          <w:rFonts w:ascii="Garamond" w:eastAsia="Times New Roman" w:hAnsi="Garamond" w:cs="Times New Roman"/>
          <w:sz w:val="24"/>
          <w:szCs w:val="24"/>
        </w:rPr>
        <w:t>providing remedies for discrimination</w:t>
      </w:r>
      <w:r w:rsidR="005F193B" w:rsidRPr="007C61D2">
        <w:rPr>
          <w:rFonts w:ascii="Garamond" w:eastAsia="Times New Roman" w:hAnsi="Garamond" w:cs="Times New Roman"/>
          <w:sz w:val="24"/>
          <w:szCs w:val="24"/>
        </w:rPr>
        <w:t>,</w:t>
      </w:r>
      <w:r w:rsidR="00AE48F9" w:rsidRPr="007C61D2">
        <w:rPr>
          <w:rFonts w:ascii="Garamond" w:eastAsia="Times New Roman" w:hAnsi="Garamond" w:cs="Times New Roman"/>
          <w:sz w:val="24"/>
          <w:szCs w:val="24"/>
        </w:rPr>
        <w:t xml:space="preserve"> </w:t>
      </w:r>
      <w:r w:rsidR="001D0F5F" w:rsidRPr="007C61D2">
        <w:rPr>
          <w:rFonts w:ascii="Garamond" w:eastAsia="Times New Roman" w:hAnsi="Garamond" w:cs="Times New Roman"/>
          <w:sz w:val="24"/>
          <w:szCs w:val="24"/>
        </w:rPr>
        <w:t xml:space="preserve">from </w:t>
      </w:r>
      <w:r w:rsidR="00AE48F9" w:rsidRPr="007C61D2">
        <w:rPr>
          <w:rFonts w:ascii="Garamond" w:eastAsia="Times New Roman" w:hAnsi="Garamond" w:cs="Times New Roman"/>
          <w:sz w:val="24"/>
          <w:szCs w:val="24"/>
        </w:rPr>
        <w:t>collect</w:t>
      </w:r>
      <w:r w:rsidR="005F193B" w:rsidRPr="007C61D2">
        <w:rPr>
          <w:rFonts w:ascii="Garamond" w:eastAsia="Times New Roman" w:hAnsi="Garamond" w:cs="Times New Roman"/>
          <w:sz w:val="24"/>
          <w:szCs w:val="24"/>
        </w:rPr>
        <w:t>ing</w:t>
      </w:r>
      <w:r w:rsidR="00AE48F9" w:rsidRPr="007C61D2">
        <w:rPr>
          <w:rFonts w:ascii="Garamond" w:eastAsia="Times New Roman" w:hAnsi="Garamond" w:cs="Times New Roman"/>
          <w:sz w:val="24"/>
          <w:szCs w:val="24"/>
        </w:rPr>
        <w:t xml:space="preserve"> data </w:t>
      </w:r>
      <w:r w:rsidR="001D0F5F" w:rsidRPr="007C61D2">
        <w:rPr>
          <w:rFonts w:ascii="Garamond" w:eastAsia="Times New Roman" w:hAnsi="Garamond" w:cs="Times New Roman"/>
          <w:sz w:val="24"/>
          <w:szCs w:val="24"/>
        </w:rPr>
        <w:t xml:space="preserve">on </w:t>
      </w:r>
      <w:r w:rsidR="00AE48F9" w:rsidRPr="007C61D2">
        <w:rPr>
          <w:rFonts w:ascii="Garamond" w:eastAsia="Times New Roman" w:hAnsi="Garamond" w:cs="Times New Roman"/>
          <w:sz w:val="24"/>
          <w:szCs w:val="24"/>
        </w:rPr>
        <w:t>gender-based inequalit</w:t>
      </w:r>
      <w:r w:rsidR="001D0F5F" w:rsidRPr="007C61D2">
        <w:rPr>
          <w:rFonts w:ascii="Garamond" w:eastAsia="Times New Roman" w:hAnsi="Garamond" w:cs="Times New Roman"/>
          <w:sz w:val="24"/>
          <w:szCs w:val="24"/>
        </w:rPr>
        <w:t>ies</w:t>
      </w:r>
      <w:r w:rsidR="005F193B" w:rsidRPr="007C61D2">
        <w:rPr>
          <w:rFonts w:ascii="Garamond" w:eastAsia="Times New Roman" w:hAnsi="Garamond" w:cs="Times New Roman"/>
          <w:sz w:val="24"/>
          <w:szCs w:val="24"/>
        </w:rPr>
        <w:t>,</w:t>
      </w:r>
      <w:r w:rsidR="00AE48F9" w:rsidRPr="007C61D2">
        <w:rPr>
          <w:rFonts w:ascii="Garamond" w:eastAsia="Times New Roman" w:hAnsi="Garamond" w:cs="Times New Roman"/>
          <w:sz w:val="24"/>
          <w:szCs w:val="24"/>
        </w:rPr>
        <w:t xml:space="preserve"> </w:t>
      </w:r>
      <w:r w:rsidR="00B91B8F" w:rsidRPr="007C61D2">
        <w:rPr>
          <w:rFonts w:ascii="Garamond" w:eastAsia="Times New Roman" w:hAnsi="Garamond" w:cs="Times New Roman"/>
          <w:sz w:val="24"/>
          <w:szCs w:val="24"/>
        </w:rPr>
        <w:t xml:space="preserve">and </w:t>
      </w:r>
      <w:r w:rsidR="001D0F5F" w:rsidRPr="007C61D2">
        <w:rPr>
          <w:rFonts w:ascii="Garamond" w:eastAsia="Times New Roman" w:hAnsi="Garamond" w:cs="Times New Roman"/>
          <w:sz w:val="24"/>
          <w:szCs w:val="24"/>
        </w:rPr>
        <w:t xml:space="preserve">from </w:t>
      </w:r>
      <w:r w:rsidR="00B91B8F" w:rsidRPr="007C61D2">
        <w:rPr>
          <w:rFonts w:ascii="Garamond" w:eastAsia="Times New Roman" w:hAnsi="Garamond" w:cs="Times New Roman"/>
          <w:sz w:val="24"/>
          <w:szCs w:val="24"/>
        </w:rPr>
        <w:t xml:space="preserve">allowing </w:t>
      </w:r>
      <w:r w:rsidR="00C032B6" w:rsidRPr="007C61D2">
        <w:rPr>
          <w:rFonts w:ascii="Garamond" w:eastAsia="Times New Roman" w:hAnsi="Garamond" w:cs="Times New Roman"/>
          <w:sz w:val="24"/>
          <w:szCs w:val="24"/>
        </w:rPr>
        <w:t>gender</w:t>
      </w:r>
      <w:r w:rsidR="00AE48F9" w:rsidRPr="007C61D2">
        <w:rPr>
          <w:rFonts w:ascii="Garamond" w:eastAsia="Times New Roman" w:hAnsi="Garamond" w:cs="Times New Roman"/>
          <w:sz w:val="24"/>
          <w:szCs w:val="24"/>
        </w:rPr>
        <w:t xml:space="preserve"> terms </w:t>
      </w:r>
      <w:r w:rsidR="00B91B8F" w:rsidRPr="007C61D2">
        <w:rPr>
          <w:rFonts w:ascii="Garamond" w:eastAsia="Times New Roman" w:hAnsi="Garamond" w:cs="Times New Roman"/>
          <w:sz w:val="24"/>
          <w:szCs w:val="24"/>
        </w:rPr>
        <w:t xml:space="preserve">to </w:t>
      </w:r>
      <w:r w:rsidR="00186BB0" w:rsidRPr="007C61D2">
        <w:rPr>
          <w:rFonts w:ascii="Garamond" w:eastAsia="Times New Roman" w:hAnsi="Garamond" w:cs="Times New Roman"/>
          <w:sz w:val="24"/>
          <w:szCs w:val="24"/>
        </w:rPr>
        <w:t xml:space="preserve">publicly animate </w:t>
      </w:r>
      <w:r w:rsidR="00C032B6" w:rsidRPr="007C61D2">
        <w:rPr>
          <w:rFonts w:ascii="Garamond" w:eastAsia="Times New Roman" w:hAnsi="Garamond" w:cs="Times New Roman"/>
          <w:sz w:val="24"/>
          <w:szCs w:val="24"/>
        </w:rPr>
        <w:t>services, organisations</w:t>
      </w:r>
      <w:r w:rsidR="00186BB0" w:rsidRPr="007C61D2">
        <w:rPr>
          <w:rFonts w:ascii="Garamond" w:eastAsia="Times New Roman" w:hAnsi="Garamond" w:cs="Times New Roman"/>
          <w:sz w:val="24"/>
          <w:szCs w:val="24"/>
        </w:rPr>
        <w:t>, policy decisions</w:t>
      </w:r>
      <w:r w:rsidR="00843C0B" w:rsidRPr="007C61D2">
        <w:rPr>
          <w:rFonts w:ascii="Garamond" w:eastAsia="Times New Roman" w:hAnsi="Garamond" w:cs="Times New Roman"/>
          <w:sz w:val="24"/>
          <w:szCs w:val="24"/>
        </w:rPr>
        <w:t>,</w:t>
      </w:r>
      <w:r w:rsidR="00C032B6" w:rsidRPr="007C61D2">
        <w:rPr>
          <w:rFonts w:ascii="Garamond" w:eastAsia="Times New Roman" w:hAnsi="Garamond" w:cs="Times New Roman"/>
          <w:sz w:val="24"/>
          <w:szCs w:val="24"/>
        </w:rPr>
        <w:t xml:space="preserve"> and so on.</w:t>
      </w:r>
      <w:r w:rsidR="00AE48F9" w:rsidRPr="007C61D2">
        <w:rPr>
          <w:rStyle w:val="FootnoteReference"/>
          <w:rFonts w:ascii="Garamond" w:eastAsia="Times New Roman" w:hAnsi="Garamond" w:cs="Times New Roman"/>
          <w:sz w:val="24"/>
          <w:szCs w:val="24"/>
        </w:rPr>
        <w:footnoteReference w:id="16"/>
      </w:r>
      <w:r w:rsidR="00C032B6" w:rsidRPr="007C61D2">
        <w:rPr>
          <w:rFonts w:ascii="Garamond" w:eastAsia="Times New Roman" w:hAnsi="Garamond" w:cs="Times New Roman"/>
          <w:sz w:val="24"/>
          <w:szCs w:val="24"/>
        </w:rPr>
        <w:t xml:space="preserve"> </w:t>
      </w:r>
    </w:p>
    <w:p w14:paraId="3529734B" w14:textId="61CD6A1D" w:rsidR="004F74F2" w:rsidRPr="007C61D2" w:rsidRDefault="006376A4"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Neither the </w:t>
      </w:r>
      <w:r w:rsidR="00DD0BAF" w:rsidRPr="007C61D2">
        <w:rPr>
          <w:rFonts w:ascii="Garamond" w:eastAsia="Times New Roman" w:hAnsi="Garamond" w:cs="Times New Roman"/>
          <w:sz w:val="24"/>
          <w:szCs w:val="24"/>
        </w:rPr>
        <w:t>light</w:t>
      </w:r>
      <w:r w:rsidRPr="007C61D2">
        <w:rPr>
          <w:rFonts w:ascii="Garamond" w:eastAsia="Times New Roman" w:hAnsi="Garamond" w:cs="Times New Roman"/>
          <w:sz w:val="24"/>
          <w:szCs w:val="24"/>
        </w:rPr>
        <w:t xml:space="preserve"> no</w:t>
      </w:r>
      <w:r w:rsidR="00AE48F9" w:rsidRPr="007C61D2">
        <w:rPr>
          <w:rFonts w:ascii="Garamond" w:eastAsia="Times New Roman" w:hAnsi="Garamond" w:cs="Times New Roman"/>
          <w:sz w:val="24"/>
          <w:szCs w:val="24"/>
        </w:rPr>
        <w:t xml:space="preserve">r </w:t>
      </w:r>
      <w:r w:rsidRPr="007C61D2">
        <w:rPr>
          <w:rFonts w:ascii="Garamond" w:eastAsia="Times New Roman" w:hAnsi="Garamond" w:cs="Times New Roman"/>
          <w:sz w:val="24"/>
          <w:szCs w:val="24"/>
        </w:rPr>
        <w:t xml:space="preserve">strong </w:t>
      </w:r>
      <w:r w:rsidR="00186BB0" w:rsidRPr="007C61D2">
        <w:rPr>
          <w:rFonts w:ascii="Garamond" w:eastAsia="Times New Roman" w:hAnsi="Garamond" w:cs="Times New Roman"/>
          <w:sz w:val="24"/>
          <w:szCs w:val="24"/>
        </w:rPr>
        <w:t xml:space="preserve">versions </w:t>
      </w:r>
      <w:r w:rsidRPr="007C61D2">
        <w:rPr>
          <w:rFonts w:ascii="Garamond" w:eastAsia="Times New Roman" w:hAnsi="Garamond" w:cs="Times New Roman"/>
          <w:sz w:val="24"/>
          <w:szCs w:val="24"/>
        </w:rPr>
        <w:t>of decertification</w:t>
      </w:r>
      <w:r w:rsidR="00B91B8F" w:rsidRPr="007C61D2">
        <w:rPr>
          <w:rFonts w:ascii="Garamond" w:eastAsia="Times New Roman" w:hAnsi="Garamond" w:cs="Times New Roman"/>
          <w:sz w:val="24"/>
          <w:szCs w:val="24"/>
        </w:rPr>
        <w:t>, however,</w:t>
      </w:r>
      <w:r w:rsidRPr="007C61D2">
        <w:rPr>
          <w:rFonts w:ascii="Garamond" w:eastAsia="Times New Roman" w:hAnsi="Garamond" w:cs="Times New Roman"/>
          <w:sz w:val="24"/>
          <w:szCs w:val="24"/>
        </w:rPr>
        <w:t xml:space="preserve"> </w:t>
      </w:r>
      <w:r w:rsidR="00186BB0" w:rsidRPr="007C61D2">
        <w:rPr>
          <w:rFonts w:ascii="Garamond" w:eastAsia="Times New Roman" w:hAnsi="Garamond" w:cs="Times New Roman"/>
          <w:sz w:val="24"/>
          <w:szCs w:val="24"/>
        </w:rPr>
        <w:t>form the centre-ground of</w:t>
      </w:r>
      <w:r w:rsidR="00843C0B" w:rsidRPr="007C61D2">
        <w:rPr>
          <w:rFonts w:ascii="Garamond" w:eastAsia="Times New Roman" w:hAnsi="Garamond" w:cs="Times New Roman"/>
          <w:sz w:val="24"/>
          <w:szCs w:val="24"/>
        </w:rPr>
        <w:t xml:space="preserve"> our research</w:t>
      </w:r>
      <w:r w:rsidRPr="007C61D2">
        <w:rPr>
          <w:rFonts w:ascii="Garamond" w:eastAsia="Times New Roman" w:hAnsi="Garamond" w:cs="Times New Roman"/>
          <w:sz w:val="24"/>
          <w:szCs w:val="24"/>
        </w:rPr>
        <w:t xml:space="preserve">. </w:t>
      </w:r>
      <w:r w:rsidR="00F00360" w:rsidRPr="007C61D2">
        <w:rPr>
          <w:rFonts w:ascii="Garamond" w:eastAsia="Times New Roman" w:hAnsi="Garamond" w:cs="Times New Roman"/>
          <w:sz w:val="24"/>
          <w:szCs w:val="24"/>
        </w:rPr>
        <w:t xml:space="preserve">FLaG </w:t>
      </w:r>
      <w:r w:rsidR="004F74F2" w:rsidRPr="007C61D2">
        <w:rPr>
          <w:rFonts w:ascii="Garamond" w:eastAsia="Times New Roman" w:hAnsi="Garamond" w:cs="Times New Roman"/>
          <w:sz w:val="24"/>
          <w:szCs w:val="24"/>
        </w:rPr>
        <w:t xml:space="preserve">focuses on a version </w:t>
      </w:r>
      <w:r w:rsidR="00F70791" w:rsidRPr="007C61D2">
        <w:rPr>
          <w:rFonts w:ascii="Garamond" w:eastAsia="Times New Roman" w:hAnsi="Garamond" w:cs="Times New Roman"/>
          <w:sz w:val="24"/>
          <w:szCs w:val="24"/>
        </w:rPr>
        <w:t>of decertification between the</w:t>
      </w:r>
      <w:r w:rsidR="00AE48F9" w:rsidRPr="007C61D2">
        <w:rPr>
          <w:rFonts w:ascii="Garamond" w:eastAsia="Times New Roman" w:hAnsi="Garamond" w:cs="Times New Roman"/>
          <w:sz w:val="24"/>
          <w:szCs w:val="24"/>
        </w:rPr>
        <w:t>se</w:t>
      </w:r>
      <w:r w:rsidR="00F70791" w:rsidRPr="007C61D2">
        <w:rPr>
          <w:rFonts w:ascii="Garamond" w:eastAsia="Times New Roman" w:hAnsi="Garamond" w:cs="Times New Roman"/>
          <w:sz w:val="24"/>
          <w:szCs w:val="24"/>
        </w:rPr>
        <w:t xml:space="preserve"> two poles</w:t>
      </w:r>
      <w:r w:rsidR="00AE48F9" w:rsidRPr="007C61D2">
        <w:rPr>
          <w:rFonts w:ascii="Garamond" w:eastAsia="Times New Roman" w:hAnsi="Garamond" w:cs="Times New Roman"/>
          <w:sz w:val="24"/>
          <w:szCs w:val="24"/>
        </w:rPr>
        <w:t xml:space="preserve">. In other words, the </w:t>
      </w:r>
      <w:r w:rsidR="00843C0B" w:rsidRPr="007C61D2">
        <w:rPr>
          <w:rFonts w:ascii="Garamond" w:eastAsia="Times New Roman" w:hAnsi="Garamond" w:cs="Times New Roman"/>
          <w:sz w:val="24"/>
          <w:szCs w:val="24"/>
        </w:rPr>
        <w:t xml:space="preserve">decertification </w:t>
      </w:r>
      <w:r w:rsidR="00404C74">
        <w:rPr>
          <w:rFonts w:ascii="Garamond" w:eastAsia="Times New Roman" w:hAnsi="Garamond" w:cs="Times New Roman"/>
          <w:sz w:val="24"/>
          <w:szCs w:val="24"/>
        </w:rPr>
        <w:t>framework</w:t>
      </w:r>
      <w:r w:rsidR="00404C74" w:rsidRPr="007C61D2">
        <w:rPr>
          <w:rFonts w:ascii="Garamond" w:eastAsia="Times New Roman" w:hAnsi="Garamond" w:cs="Times New Roman"/>
          <w:sz w:val="24"/>
          <w:szCs w:val="24"/>
        </w:rPr>
        <w:t xml:space="preserve"> </w:t>
      </w:r>
      <w:r w:rsidR="00F42C06" w:rsidRPr="007C61D2">
        <w:rPr>
          <w:rFonts w:ascii="Garamond" w:eastAsia="Times New Roman" w:hAnsi="Garamond" w:cs="Times New Roman"/>
          <w:sz w:val="24"/>
          <w:szCs w:val="24"/>
        </w:rPr>
        <w:t xml:space="preserve">that we discuss </w:t>
      </w:r>
      <w:r w:rsidR="00AE48F9" w:rsidRPr="007C61D2">
        <w:rPr>
          <w:rFonts w:ascii="Garamond" w:eastAsia="Times New Roman" w:hAnsi="Garamond" w:cs="Times New Roman"/>
          <w:sz w:val="24"/>
          <w:szCs w:val="24"/>
        </w:rPr>
        <w:t xml:space="preserve">does not entail </w:t>
      </w:r>
      <w:r w:rsidR="00AF220D" w:rsidRPr="007C61D2">
        <w:rPr>
          <w:rFonts w:ascii="Garamond" w:eastAsia="Times New Roman" w:hAnsi="Garamond" w:cs="Times New Roman"/>
          <w:sz w:val="24"/>
          <w:szCs w:val="24"/>
        </w:rPr>
        <w:t>state withdrawal</w:t>
      </w:r>
      <w:r w:rsidRPr="007C61D2">
        <w:rPr>
          <w:rFonts w:ascii="Garamond" w:eastAsia="Times New Roman" w:hAnsi="Garamond" w:cs="Times New Roman"/>
          <w:sz w:val="24"/>
          <w:szCs w:val="24"/>
        </w:rPr>
        <w:t>, neutrality</w:t>
      </w:r>
      <w:r w:rsidR="00186BB0"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or disregard when it comes to</w:t>
      </w:r>
      <w:r w:rsidR="00AF220D" w:rsidRPr="007C61D2">
        <w:rPr>
          <w:rFonts w:ascii="Garamond" w:eastAsia="Times New Roman" w:hAnsi="Garamond" w:cs="Times New Roman"/>
          <w:sz w:val="24"/>
          <w:szCs w:val="24"/>
        </w:rPr>
        <w:t xml:space="preserve"> gender </w:t>
      </w:r>
      <w:r w:rsidRPr="007C61D2">
        <w:rPr>
          <w:rFonts w:ascii="Garamond" w:eastAsia="Times New Roman" w:hAnsi="Garamond" w:cs="Times New Roman"/>
          <w:sz w:val="24"/>
          <w:szCs w:val="24"/>
        </w:rPr>
        <w:t xml:space="preserve">oppression; </w:t>
      </w:r>
      <w:r w:rsidR="00AE48F9" w:rsidRPr="007C61D2">
        <w:rPr>
          <w:rFonts w:ascii="Garamond" w:eastAsia="Times New Roman" w:hAnsi="Garamond" w:cs="Times New Roman"/>
          <w:sz w:val="24"/>
          <w:szCs w:val="24"/>
        </w:rPr>
        <w:t>nor</w:t>
      </w:r>
      <w:r w:rsidR="00843C0B" w:rsidRPr="007C61D2">
        <w:rPr>
          <w:rFonts w:ascii="Garamond" w:eastAsia="Times New Roman" w:hAnsi="Garamond" w:cs="Times New Roman"/>
          <w:sz w:val="24"/>
          <w:szCs w:val="24"/>
        </w:rPr>
        <w:t xml:space="preserve"> </w:t>
      </w:r>
      <w:r w:rsidR="00AE48F9" w:rsidRPr="007C61D2">
        <w:rPr>
          <w:rFonts w:ascii="Garamond" w:eastAsia="Times New Roman" w:hAnsi="Garamond" w:cs="Times New Roman"/>
          <w:sz w:val="24"/>
          <w:szCs w:val="24"/>
        </w:rPr>
        <w:t xml:space="preserve">does it simply involve </w:t>
      </w:r>
      <w:r w:rsidR="001764DE" w:rsidRPr="007C61D2">
        <w:rPr>
          <w:rFonts w:ascii="Garamond" w:eastAsia="Times New Roman" w:hAnsi="Garamond" w:cs="Times New Roman"/>
          <w:sz w:val="24"/>
          <w:szCs w:val="24"/>
        </w:rPr>
        <w:t xml:space="preserve">converting </w:t>
      </w:r>
      <w:r w:rsidR="00186BB0" w:rsidRPr="007C61D2">
        <w:rPr>
          <w:rFonts w:ascii="Garamond" w:eastAsia="Times New Roman" w:hAnsi="Garamond" w:cs="Times New Roman"/>
          <w:sz w:val="24"/>
          <w:szCs w:val="24"/>
        </w:rPr>
        <w:t xml:space="preserve">sex/ </w:t>
      </w:r>
      <w:r w:rsidR="00AF220D" w:rsidRPr="007C61D2">
        <w:rPr>
          <w:rFonts w:ascii="Garamond" w:eastAsia="Times New Roman" w:hAnsi="Garamond" w:cs="Times New Roman"/>
          <w:sz w:val="24"/>
          <w:szCs w:val="24"/>
        </w:rPr>
        <w:t>gender</w:t>
      </w:r>
      <w:r w:rsidR="00186BB0" w:rsidRPr="007C61D2">
        <w:rPr>
          <w:rFonts w:ascii="Garamond" w:eastAsia="Times New Roman" w:hAnsi="Garamond" w:cs="Times New Roman"/>
          <w:sz w:val="24"/>
          <w:szCs w:val="24"/>
        </w:rPr>
        <w:t xml:space="preserve"> </w:t>
      </w:r>
      <w:r w:rsidR="00A908DC" w:rsidRPr="007C61D2">
        <w:rPr>
          <w:rFonts w:ascii="Garamond" w:eastAsia="Times New Roman" w:hAnsi="Garamond" w:cs="Times New Roman"/>
          <w:sz w:val="24"/>
          <w:szCs w:val="24"/>
        </w:rPr>
        <w:t xml:space="preserve">into </w:t>
      </w:r>
      <w:r w:rsidR="00186BB0" w:rsidRPr="007C61D2">
        <w:rPr>
          <w:rFonts w:ascii="Garamond" w:eastAsia="Times New Roman" w:hAnsi="Garamond" w:cs="Times New Roman"/>
          <w:sz w:val="24"/>
          <w:szCs w:val="24"/>
        </w:rPr>
        <w:t xml:space="preserve">an </w:t>
      </w:r>
      <w:r w:rsidR="00AF220D" w:rsidRPr="007C61D2">
        <w:rPr>
          <w:rFonts w:ascii="Garamond" w:eastAsia="Times New Roman" w:hAnsi="Garamond" w:cs="Times New Roman"/>
          <w:sz w:val="24"/>
          <w:szCs w:val="24"/>
        </w:rPr>
        <w:t xml:space="preserve">optional </w:t>
      </w:r>
      <w:r w:rsidR="00D87C15" w:rsidRPr="007C61D2">
        <w:rPr>
          <w:rFonts w:ascii="Garamond" w:eastAsia="Times New Roman" w:hAnsi="Garamond" w:cs="Times New Roman"/>
          <w:sz w:val="24"/>
          <w:szCs w:val="24"/>
        </w:rPr>
        <w:t xml:space="preserve">entry </w:t>
      </w:r>
      <w:r w:rsidR="00EA4596" w:rsidRPr="007C61D2">
        <w:rPr>
          <w:rFonts w:ascii="Garamond" w:eastAsia="Times New Roman" w:hAnsi="Garamond" w:cs="Times New Roman"/>
          <w:sz w:val="24"/>
          <w:szCs w:val="24"/>
        </w:rPr>
        <w:t xml:space="preserve">on a form </w:t>
      </w:r>
      <w:r w:rsidR="00A908DC" w:rsidRPr="007C61D2">
        <w:rPr>
          <w:rFonts w:ascii="Garamond" w:eastAsia="Times New Roman" w:hAnsi="Garamond" w:cs="Times New Roman"/>
          <w:sz w:val="24"/>
          <w:szCs w:val="24"/>
        </w:rPr>
        <w:t xml:space="preserve">when </w:t>
      </w:r>
      <w:r w:rsidR="00186BB0" w:rsidRPr="007C61D2">
        <w:rPr>
          <w:rFonts w:ascii="Garamond" w:eastAsia="Times New Roman" w:hAnsi="Garamond" w:cs="Times New Roman"/>
          <w:sz w:val="24"/>
          <w:szCs w:val="24"/>
        </w:rPr>
        <w:t xml:space="preserve">registering </w:t>
      </w:r>
      <w:r w:rsidR="00AF220D" w:rsidRPr="007C61D2">
        <w:rPr>
          <w:rFonts w:ascii="Garamond" w:eastAsia="Times New Roman" w:hAnsi="Garamond" w:cs="Times New Roman"/>
          <w:sz w:val="24"/>
          <w:szCs w:val="24"/>
        </w:rPr>
        <w:t>birth</w:t>
      </w:r>
      <w:r w:rsidR="00186BB0" w:rsidRPr="007C61D2">
        <w:rPr>
          <w:rFonts w:ascii="Garamond" w:eastAsia="Times New Roman" w:hAnsi="Garamond" w:cs="Times New Roman"/>
          <w:sz w:val="24"/>
          <w:szCs w:val="24"/>
        </w:rPr>
        <w:t>s</w:t>
      </w:r>
      <w:r w:rsidR="00AF220D" w:rsidRPr="007C61D2">
        <w:rPr>
          <w:rFonts w:ascii="Garamond" w:eastAsia="Times New Roman" w:hAnsi="Garamond" w:cs="Times New Roman"/>
          <w:sz w:val="24"/>
          <w:szCs w:val="24"/>
        </w:rPr>
        <w:t xml:space="preserve">. </w:t>
      </w:r>
      <w:r w:rsidR="00EA4596" w:rsidRPr="007C61D2">
        <w:rPr>
          <w:rFonts w:ascii="Garamond" w:eastAsia="Times New Roman" w:hAnsi="Garamond" w:cs="Times New Roman"/>
          <w:sz w:val="24"/>
          <w:szCs w:val="24"/>
        </w:rPr>
        <w:t xml:space="preserve">Rather, </w:t>
      </w:r>
      <w:r w:rsidR="00F42C06" w:rsidRPr="007C61D2">
        <w:rPr>
          <w:rFonts w:ascii="Garamond" w:eastAsia="Times New Roman" w:hAnsi="Garamond" w:cs="Times New Roman"/>
          <w:sz w:val="24"/>
          <w:szCs w:val="24"/>
        </w:rPr>
        <w:t xml:space="preserve">we are interested in a </w:t>
      </w:r>
      <w:r w:rsidR="00AF220D" w:rsidRPr="007C61D2">
        <w:rPr>
          <w:rFonts w:ascii="Garamond" w:eastAsia="Times New Roman" w:hAnsi="Garamond" w:cs="Times New Roman"/>
          <w:sz w:val="24"/>
          <w:szCs w:val="24"/>
        </w:rPr>
        <w:t xml:space="preserve">version </w:t>
      </w:r>
      <w:r w:rsidR="00186BB0" w:rsidRPr="007C61D2">
        <w:rPr>
          <w:rFonts w:ascii="Garamond" w:eastAsia="Times New Roman" w:hAnsi="Garamond" w:cs="Times New Roman"/>
          <w:sz w:val="24"/>
          <w:szCs w:val="24"/>
        </w:rPr>
        <w:t xml:space="preserve">of decertification </w:t>
      </w:r>
      <w:r w:rsidR="00F42C06" w:rsidRPr="007C61D2">
        <w:rPr>
          <w:rFonts w:ascii="Garamond" w:eastAsia="Times New Roman" w:hAnsi="Garamond" w:cs="Times New Roman"/>
          <w:sz w:val="24"/>
          <w:szCs w:val="24"/>
        </w:rPr>
        <w:t xml:space="preserve">that </w:t>
      </w:r>
      <w:r w:rsidR="00186BB0" w:rsidRPr="007C61D2">
        <w:rPr>
          <w:rFonts w:ascii="Garamond" w:eastAsia="Times New Roman" w:hAnsi="Garamond" w:cs="Times New Roman"/>
          <w:sz w:val="24"/>
          <w:szCs w:val="24"/>
        </w:rPr>
        <w:t>remove</w:t>
      </w:r>
      <w:r w:rsidR="00DD0BAF" w:rsidRPr="007C61D2">
        <w:rPr>
          <w:rFonts w:ascii="Garamond" w:eastAsia="Times New Roman" w:hAnsi="Garamond" w:cs="Times New Roman"/>
          <w:sz w:val="24"/>
          <w:szCs w:val="24"/>
        </w:rPr>
        <w:t>s</w:t>
      </w:r>
      <w:r w:rsidR="00186BB0"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the state </w:t>
      </w:r>
      <w:r w:rsidR="00186BB0" w:rsidRPr="007C61D2">
        <w:rPr>
          <w:rFonts w:ascii="Garamond" w:eastAsia="Times New Roman" w:hAnsi="Garamond" w:cs="Times New Roman"/>
          <w:sz w:val="24"/>
          <w:szCs w:val="24"/>
        </w:rPr>
        <w:t xml:space="preserve">from </w:t>
      </w:r>
      <w:r w:rsidR="004F74F2" w:rsidRPr="007C61D2">
        <w:rPr>
          <w:rFonts w:ascii="Garamond" w:eastAsia="Times New Roman" w:hAnsi="Garamond" w:cs="Times New Roman"/>
          <w:sz w:val="24"/>
          <w:szCs w:val="24"/>
        </w:rPr>
        <w:t>register</w:t>
      </w:r>
      <w:r w:rsidR="00186BB0" w:rsidRPr="007C61D2">
        <w:rPr>
          <w:rFonts w:ascii="Garamond" w:eastAsia="Times New Roman" w:hAnsi="Garamond" w:cs="Times New Roman"/>
          <w:sz w:val="24"/>
          <w:szCs w:val="24"/>
        </w:rPr>
        <w:t>ing</w:t>
      </w:r>
      <w:r w:rsidR="004F74F2" w:rsidRPr="007C61D2">
        <w:rPr>
          <w:rFonts w:ascii="Garamond" w:eastAsia="Times New Roman" w:hAnsi="Garamond" w:cs="Times New Roman"/>
          <w:sz w:val="24"/>
          <w:szCs w:val="24"/>
        </w:rPr>
        <w:t xml:space="preserve"> sex at birth, and so </w:t>
      </w:r>
      <w:r w:rsidR="00186BB0" w:rsidRPr="007C61D2">
        <w:rPr>
          <w:rFonts w:ascii="Garamond" w:eastAsia="Times New Roman" w:hAnsi="Garamond" w:cs="Times New Roman"/>
          <w:sz w:val="24"/>
          <w:szCs w:val="24"/>
        </w:rPr>
        <w:t xml:space="preserve">from </w:t>
      </w:r>
      <w:r w:rsidR="004F74F2" w:rsidRPr="007C61D2">
        <w:rPr>
          <w:rFonts w:ascii="Garamond" w:eastAsia="Times New Roman" w:hAnsi="Garamond" w:cs="Times New Roman"/>
          <w:sz w:val="24"/>
          <w:szCs w:val="24"/>
        </w:rPr>
        <w:t>pull</w:t>
      </w:r>
      <w:r w:rsidR="00186BB0" w:rsidRPr="007C61D2">
        <w:rPr>
          <w:rFonts w:ascii="Garamond" w:eastAsia="Times New Roman" w:hAnsi="Garamond" w:cs="Times New Roman"/>
          <w:sz w:val="24"/>
          <w:szCs w:val="24"/>
        </w:rPr>
        <w:t>ing</w:t>
      </w:r>
      <w:r w:rsidR="004F74F2" w:rsidRPr="007C61D2">
        <w:rPr>
          <w:rFonts w:ascii="Garamond" w:eastAsia="Times New Roman" w:hAnsi="Garamond" w:cs="Times New Roman"/>
          <w:sz w:val="24"/>
          <w:szCs w:val="24"/>
        </w:rPr>
        <w:t xml:space="preserve"> people into a </w:t>
      </w:r>
      <w:r w:rsidR="00A908DC" w:rsidRPr="007C61D2">
        <w:rPr>
          <w:rFonts w:ascii="Garamond" w:eastAsia="Times New Roman" w:hAnsi="Garamond" w:cs="Times New Roman"/>
          <w:sz w:val="24"/>
          <w:szCs w:val="24"/>
        </w:rPr>
        <w:t>formal</w:t>
      </w:r>
      <w:r w:rsidR="001764DE" w:rsidRPr="007C61D2">
        <w:rPr>
          <w:rFonts w:ascii="Garamond" w:eastAsia="Times New Roman" w:hAnsi="Garamond" w:cs="Times New Roman"/>
          <w:sz w:val="24"/>
          <w:szCs w:val="24"/>
        </w:rPr>
        <w:t>,</w:t>
      </w:r>
      <w:r w:rsidR="00A908DC"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legally gendered edifice stretching across the life-course</w:t>
      </w:r>
      <w:r w:rsidR="00AF220D" w:rsidRPr="007C61D2">
        <w:rPr>
          <w:rFonts w:ascii="Garamond" w:eastAsia="Times New Roman" w:hAnsi="Garamond" w:cs="Times New Roman"/>
          <w:sz w:val="24"/>
          <w:szCs w:val="24"/>
        </w:rPr>
        <w:t>. At the same time</w:t>
      </w:r>
      <w:r w:rsidR="004F74F2" w:rsidRPr="007C61D2">
        <w:rPr>
          <w:rFonts w:ascii="Garamond" w:eastAsia="Times New Roman" w:hAnsi="Garamond" w:cs="Times New Roman"/>
          <w:sz w:val="24"/>
          <w:szCs w:val="24"/>
        </w:rPr>
        <w:t>, gender (</w:t>
      </w:r>
      <w:r w:rsidR="00186BB0" w:rsidRPr="007C61D2">
        <w:rPr>
          <w:rFonts w:ascii="Garamond" w:eastAsia="Times New Roman" w:hAnsi="Garamond" w:cs="Times New Roman"/>
          <w:sz w:val="24"/>
          <w:szCs w:val="24"/>
        </w:rPr>
        <w:t xml:space="preserve">and </w:t>
      </w:r>
      <w:r w:rsidR="00DD0BAF" w:rsidRPr="007C61D2">
        <w:rPr>
          <w:rFonts w:ascii="Garamond" w:eastAsia="Times New Roman" w:hAnsi="Garamond" w:cs="Times New Roman"/>
          <w:sz w:val="24"/>
          <w:szCs w:val="24"/>
        </w:rPr>
        <w:t xml:space="preserve">embodied </w:t>
      </w:r>
      <w:r w:rsidR="004F74F2" w:rsidRPr="007C61D2">
        <w:rPr>
          <w:rFonts w:ascii="Garamond" w:eastAsia="Times New Roman" w:hAnsi="Garamond" w:cs="Times New Roman"/>
          <w:sz w:val="24"/>
          <w:szCs w:val="24"/>
        </w:rPr>
        <w:t xml:space="preserve">sex) </w:t>
      </w:r>
      <w:r w:rsidR="00F42C06" w:rsidRPr="007C61D2">
        <w:rPr>
          <w:rFonts w:ascii="Garamond" w:eastAsia="Times New Roman" w:hAnsi="Garamond" w:cs="Times New Roman"/>
          <w:sz w:val="24"/>
          <w:szCs w:val="24"/>
        </w:rPr>
        <w:t>remain</w:t>
      </w:r>
      <w:r w:rsidR="00444433"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as </w:t>
      </w:r>
      <w:r w:rsidR="001764DE" w:rsidRPr="007C61D2">
        <w:rPr>
          <w:rFonts w:ascii="Garamond" w:eastAsia="Times New Roman" w:hAnsi="Garamond" w:cs="Times New Roman"/>
          <w:sz w:val="24"/>
          <w:szCs w:val="24"/>
        </w:rPr>
        <w:t xml:space="preserve">sites </w:t>
      </w:r>
      <w:r w:rsidR="00DD0BAF" w:rsidRPr="007C61D2">
        <w:rPr>
          <w:rFonts w:ascii="Garamond" w:eastAsia="Times New Roman" w:hAnsi="Garamond" w:cs="Times New Roman"/>
          <w:sz w:val="24"/>
          <w:szCs w:val="24"/>
        </w:rPr>
        <w:t xml:space="preserve">of </w:t>
      </w:r>
      <w:r w:rsidR="004F74F2" w:rsidRPr="007C61D2">
        <w:rPr>
          <w:rFonts w:ascii="Garamond" w:eastAsia="Times New Roman" w:hAnsi="Garamond" w:cs="Times New Roman"/>
          <w:sz w:val="24"/>
          <w:szCs w:val="24"/>
        </w:rPr>
        <w:t xml:space="preserve">critical and remedial </w:t>
      </w:r>
      <w:r w:rsidR="00AE48F9" w:rsidRPr="007C61D2">
        <w:rPr>
          <w:rFonts w:ascii="Garamond" w:eastAsia="Times New Roman" w:hAnsi="Garamond" w:cs="Times New Roman"/>
          <w:sz w:val="24"/>
          <w:szCs w:val="24"/>
        </w:rPr>
        <w:t>concern</w:t>
      </w:r>
      <w:r w:rsidR="004F74F2" w:rsidRPr="007C61D2">
        <w:rPr>
          <w:rFonts w:ascii="Garamond" w:eastAsia="Times New Roman" w:hAnsi="Garamond" w:cs="Times New Roman"/>
          <w:sz w:val="24"/>
          <w:szCs w:val="24"/>
        </w:rPr>
        <w:t xml:space="preserve">, </w:t>
      </w:r>
      <w:r w:rsidR="00843C0B" w:rsidRPr="007C61D2">
        <w:rPr>
          <w:rFonts w:ascii="Garamond" w:eastAsia="Times New Roman" w:hAnsi="Garamond" w:cs="Times New Roman"/>
          <w:sz w:val="24"/>
          <w:szCs w:val="24"/>
        </w:rPr>
        <w:t xml:space="preserve">including </w:t>
      </w:r>
      <w:r w:rsidR="00DD0BAF" w:rsidRPr="007C61D2">
        <w:rPr>
          <w:rFonts w:ascii="Garamond" w:eastAsia="Times New Roman" w:hAnsi="Garamond" w:cs="Times New Roman"/>
          <w:sz w:val="24"/>
          <w:szCs w:val="24"/>
        </w:rPr>
        <w:t>through</w:t>
      </w:r>
      <w:r w:rsidR="004F74F2" w:rsidRPr="007C61D2">
        <w:rPr>
          <w:rFonts w:ascii="Garamond" w:eastAsia="Times New Roman" w:hAnsi="Garamond" w:cs="Times New Roman"/>
          <w:sz w:val="24"/>
          <w:szCs w:val="24"/>
        </w:rPr>
        <w:t xml:space="preserve"> equality law and affirmative action.</w:t>
      </w:r>
      <w:r w:rsidR="00AE48F9" w:rsidRPr="007C61D2">
        <w:rPr>
          <w:rStyle w:val="FootnoteReference"/>
          <w:rFonts w:ascii="Garamond" w:eastAsia="Times New Roman" w:hAnsi="Garamond" w:cs="Times New Roman"/>
          <w:sz w:val="24"/>
          <w:szCs w:val="24"/>
        </w:rPr>
        <w:footnoteReference w:id="17"/>
      </w:r>
      <w:r w:rsidR="004F74F2" w:rsidRPr="007C61D2">
        <w:rPr>
          <w:rFonts w:ascii="Garamond" w:eastAsia="Times New Roman" w:hAnsi="Garamond" w:cs="Times New Roman"/>
          <w:sz w:val="24"/>
          <w:szCs w:val="24"/>
        </w:rPr>
        <w:t xml:space="preserve"> </w:t>
      </w:r>
      <w:r w:rsidR="00843C0B" w:rsidRPr="007C61D2">
        <w:rPr>
          <w:rFonts w:ascii="Garamond" w:eastAsia="Times New Roman" w:hAnsi="Garamond" w:cs="Times New Roman"/>
          <w:sz w:val="24"/>
          <w:szCs w:val="24"/>
        </w:rPr>
        <w:t xml:space="preserve">This puts </w:t>
      </w:r>
      <w:r w:rsidR="004F74F2" w:rsidRPr="007C61D2">
        <w:rPr>
          <w:rFonts w:ascii="Garamond" w:eastAsia="Times New Roman" w:hAnsi="Garamond" w:cs="Times New Roman"/>
          <w:sz w:val="24"/>
          <w:szCs w:val="24"/>
        </w:rPr>
        <w:t>gender</w:t>
      </w:r>
      <w:r w:rsidR="000F76BE"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on </w:t>
      </w:r>
      <w:r w:rsidR="00666C63" w:rsidRPr="007C61D2">
        <w:rPr>
          <w:rFonts w:ascii="Garamond" w:eastAsia="Times New Roman" w:hAnsi="Garamond" w:cs="Times New Roman"/>
          <w:sz w:val="24"/>
          <w:szCs w:val="24"/>
        </w:rPr>
        <w:t xml:space="preserve">a </w:t>
      </w:r>
      <w:r w:rsidR="004F74F2" w:rsidRPr="007C61D2">
        <w:rPr>
          <w:rFonts w:ascii="Garamond" w:eastAsia="Times New Roman" w:hAnsi="Garamond" w:cs="Times New Roman"/>
          <w:sz w:val="24"/>
          <w:szCs w:val="24"/>
        </w:rPr>
        <w:t xml:space="preserve">legal par with sexuality and </w:t>
      </w:r>
      <w:r w:rsidR="00186BB0" w:rsidRPr="007C61D2">
        <w:rPr>
          <w:rFonts w:ascii="Garamond" w:eastAsia="Times New Roman" w:hAnsi="Garamond" w:cs="Times New Roman"/>
          <w:sz w:val="24"/>
          <w:szCs w:val="24"/>
        </w:rPr>
        <w:t>ethnicity</w:t>
      </w:r>
      <w:r w:rsidR="004F74F2" w:rsidRPr="007C61D2">
        <w:rPr>
          <w:rFonts w:ascii="Garamond" w:eastAsia="Times New Roman" w:hAnsi="Garamond" w:cs="Times New Roman"/>
          <w:sz w:val="24"/>
          <w:szCs w:val="24"/>
        </w:rPr>
        <w:t xml:space="preserve"> </w:t>
      </w:r>
      <w:r w:rsidR="00AE48F9" w:rsidRPr="007C61D2">
        <w:rPr>
          <w:rFonts w:ascii="Garamond" w:eastAsia="Times New Roman" w:hAnsi="Garamond" w:cs="Times New Roman"/>
          <w:sz w:val="24"/>
          <w:szCs w:val="24"/>
        </w:rPr>
        <w:t>–</w:t>
      </w:r>
      <w:r w:rsidR="004F74F2" w:rsidRPr="007C61D2">
        <w:rPr>
          <w:rFonts w:ascii="Garamond" w:eastAsia="Times New Roman" w:hAnsi="Garamond" w:cs="Times New Roman"/>
          <w:sz w:val="24"/>
          <w:szCs w:val="24"/>
        </w:rPr>
        <w:t xml:space="preserve"> </w:t>
      </w:r>
      <w:r w:rsidR="00AE48F9" w:rsidRPr="007C61D2">
        <w:rPr>
          <w:rFonts w:ascii="Garamond" w:eastAsia="Times New Roman" w:hAnsi="Garamond" w:cs="Times New Roman"/>
          <w:sz w:val="24"/>
          <w:szCs w:val="24"/>
        </w:rPr>
        <w:t xml:space="preserve">areas of inequality </w:t>
      </w:r>
      <w:r w:rsidR="004F74F2" w:rsidRPr="007C61D2">
        <w:rPr>
          <w:rFonts w:ascii="Garamond" w:eastAsia="Times New Roman" w:hAnsi="Garamond" w:cs="Times New Roman"/>
          <w:sz w:val="24"/>
          <w:szCs w:val="24"/>
        </w:rPr>
        <w:t xml:space="preserve">that, in Britain, </w:t>
      </w:r>
      <w:r w:rsidR="00F00360" w:rsidRPr="007C61D2">
        <w:rPr>
          <w:rFonts w:ascii="Garamond" w:eastAsia="Times New Roman" w:hAnsi="Garamond" w:cs="Times New Roman"/>
          <w:sz w:val="24"/>
          <w:szCs w:val="24"/>
        </w:rPr>
        <w:t xml:space="preserve">are not tied to </w:t>
      </w:r>
      <w:r w:rsidR="004F74F2" w:rsidRPr="007C61D2">
        <w:rPr>
          <w:rFonts w:ascii="Garamond" w:eastAsia="Times New Roman" w:hAnsi="Garamond" w:cs="Times New Roman"/>
          <w:sz w:val="24"/>
          <w:szCs w:val="24"/>
        </w:rPr>
        <w:t xml:space="preserve">the state’s assignment </w:t>
      </w:r>
      <w:r w:rsidR="00702F09" w:rsidRPr="007C61D2">
        <w:rPr>
          <w:rFonts w:ascii="Garamond" w:eastAsia="Times New Roman" w:hAnsi="Garamond" w:cs="Times New Roman"/>
          <w:sz w:val="24"/>
          <w:szCs w:val="24"/>
        </w:rPr>
        <w:t xml:space="preserve">or formalisation </w:t>
      </w:r>
      <w:r w:rsidR="004F74F2" w:rsidRPr="007C61D2">
        <w:rPr>
          <w:rFonts w:ascii="Garamond" w:eastAsia="Times New Roman" w:hAnsi="Garamond" w:cs="Times New Roman"/>
          <w:sz w:val="24"/>
          <w:szCs w:val="24"/>
        </w:rPr>
        <w:t xml:space="preserve">of status. </w:t>
      </w:r>
    </w:p>
    <w:p w14:paraId="601D1A57" w14:textId="77777777" w:rsidR="00473990" w:rsidRPr="007C61D2" w:rsidRDefault="00F70791"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But w</w:t>
      </w:r>
      <w:r w:rsidR="004F74F2" w:rsidRPr="007C61D2">
        <w:rPr>
          <w:rFonts w:ascii="Garamond" w:eastAsia="Times New Roman" w:hAnsi="Garamond" w:cs="Times New Roman"/>
          <w:sz w:val="24"/>
          <w:szCs w:val="24"/>
        </w:rPr>
        <w:t>hy might decertification be a good idea?</w:t>
      </w:r>
      <w:r w:rsidRPr="007C61D2">
        <w:rPr>
          <w:rFonts w:ascii="Garamond" w:eastAsia="Times New Roman" w:hAnsi="Garamond" w:cs="Times New Roman"/>
          <w:sz w:val="24"/>
          <w:szCs w:val="24"/>
        </w:rPr>
        <w:t xml:space="preserve"> </w:t>
      </w:r>
      <w:r w:rsidR="000066AC" w:rsidRPr="007C61D2">
        <w:rPr>
          <w:rFonts w:ascii="Garamond" w:eastAsia="Times New Roman" w:hAnsi="Garamond" w:cs="Times New Roman"/>
          <w:sz w:val="24"/>
          <w:szCs w:val="24"/>
        </w:rPr>
        <w:t>As o</w:t>
      </w:r>
      <w:r w:rsidR="004F74F2" w:rsidRPr="007C61D2">
        <w:rPr>
          <w:rFonts w:ascii="Garamond" w:eastAsia="Times New Roman" w:hAnsi="Garamond" w:cs="Times New Roman"/>
          <w:sz w:val="24"/>
          <w:szCs w:val="24"/>
        </w:rPr>
        <w:t xml:space="preserve">ne interviewee, </w:t>
      </w:r>
      <w:r w:rsidR="00AE48F9" w:rsidRPr="007C61D2">
        <w:rPr>
          <w:rFonts w:ascii="Garamond" w:eastAsia="Times New Roman" w:hAnsi="Garamond" w:cs="Times New Roman"/>
          <w:sz w:val="24"/>
          <w:szCs w:val="24"/>
        </w:rPr>
        <w:t xml:space="preserve">rather </w:t>
      </w:r>
      <w:r w:rsidR="004F74F2" w:rsidRPr="007C61D2">
        <w:rPr>
          <w:rFonts w:ascii="Garamond" w:eastAsia="Times New Roman" w:hAnsi="Garamond" w:cs="Times New Roman"/>
          <w:sz w:val="24"/>
          <w:szCs w:val="24"/>
        </w:rPr>
        <w:t>damningly, remarked</w:t>
      </w:r>
      <w:r w:rsidR="00AF220D" w:rsidRPr="007C61D2">
        <w:rPr>
          <w:rFonts w:ascii="Garamond" w:eastAsia="Times New Roman" w:hAnsi="Garamond" w:cs="Times New Roman"/>
          <w:sz w:val="24"/>
          <w:szCs w:val="24"/>
        </w:rPr>
        <w:t xml:space="preserve"> when asked </w:t>
      </w:r>
      <w:r w:rsidR="00843C0B" w:rsidRPr="007C61D2">
        <w:rPr>
          <w:rFonts w:ascii="Garamond" w:eastAsia="Times New Roman" w:hAnsi="Garamond" w:cs="Times New Roman"/>
          <w:sz w:val="24"/>
          <w:szCs w:val="24"/>
        </w:rPr>
        <w:t xml:space="preserve">about </w:t>
      </w:r>
      <w:r w:rsidR="00AF220D" w:rsidRPr="007C61D2">
        <w:rPr>
          <w:rFonts w:ascii="Garamond" w:eastAsia="Times New Roman" w:hAnsi="Garamond" w:cs="Times New Roman"/>
          <w:sz w:val="24"/>
          <w:szCs w:val="24"/>
        </w:rPr>
        <w:t>the proposal</w:t>
      </w:r>
      <w:r w:rsidR="004F74F2" w:rsidRPr="007C61D2">
        <w:rPr>
          <w:rFonts w:ascii="Garamond" w:eastAsia="Times New Roman" w:hAnsi="Garamond" w:cs="Times New Roman"/>
          <w:sz w:val="24"/>
          <w:szCs w:val="24"/>
        </w:rPr>
        <w:t xml:space="preserve">: </w:t>
      </w:r>
    </w:p>
    <w:p w14:paraId="23E3EC5B" w14:textId="77777777" w:rsidR="00473990" w:rsidRPr="007C61D2" w:rsidRDefault="004F74F2" w:rsidP="00AB322D">
      <w:pPr>
        <w:spacing w:before="120" w:after="120" w:line="360" w:lineRule="auto"/>
        <w:ind w:left="709"/>
        <w:rPr>
          <w:rFonts w:ascii="Garamond" w:eastAsia="Times New Roman" w:hAnsi="Garamond" w:cs="Times New Roman"/>
          <w:sz w:val="24"/>
          <w:szCs w:val="24"/>
        </w:rPr>
      </w:pPr>
      <w:r w:rsidRPr="007C61D2">
        <w:rPr>
          <w:rFonts w:ascii="Garamond" w:eastAsia="Times New Roman" w:hAnsi="Garamond" w:cs="Times New Roman"/>
          <w:sz w:val="24"/>
          <w:szCs w:val="24"/>
        </w:rPr>
        <w:t>“It's like taking a number plate off a car and saying you have changed the car. You haven't changed the car and the car is still a car. That is not going to deal with pollution, is it?”</w:t>
      </w:r>
      <w:r w:rsidR="00F70791" w:rsidRPr="007C61D2">
        <w:rPr>
          <w:rFonts w:ascii="Garamond" w:eastAsia="Times New Roman" w:hAnsi="Garamond" w:cs="Times New Roman"/>
          <w:sz w:val="24"/>
          <w:szCs w:val="24"/>
        </w:rPr>
        <w:t xml:space="preserve"> </w:t>
      </w:r>
    </w:p>
    <w:p w14:paraId="750E7734" w14:textId="02020FB0" w:rsidR="00404C74" w:rsidRDefault="004F74F2" w:rsidP="00404C74">
      <w:pPr>
        <w:spacing w:before="12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The experiences of people who seek to officially</w:t>
      </w:r>
      <w:r w:rsidR="00B912CD">
        <w:rPr>
          <w:rFonts w:ascii="Garamond" w:eastAsia="Times New Roman" w:hAnsi="Garamond" w:cs="Times New Roman"/>
          <w:sz w:val="24"/>
          <w:szCs w:val="24"/>
        </w:rPr>
        <w:t>/legally</w:t>
      </w:r>
      <w:r w:rsidRPr="007C61D2">
        <w:rPr>
          <w:rFonts w:ascii="Garamond" w:eastAsia="Times New Roman" w:hAnsi="Garamond" w:cs="Times New Roman"/>
          <w:sz w:val="24"/>
          <w:szCs w:val="24"/>
        </w:rPr>
        <w:t xml:space="preserve"> transition in countries, like Britain, where this is a cumbersome, expensive, slow, sometimes humiliating and pathologising process</w:t>
      </w:r>
      <w:r w:rsidR="00D87C15"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offer one set of reasons why no longer having a presumptive legal gender based on </w:t>
      </w:r>
      <w:r w:rsidR="000716D8" w:rsidRPr="007C61D2">
        <w:rPr>
          <w:rFonts w:ascii="Garamond" w:eastAsia="Times New Roman" w:hAnsi="Garamond" w:cs="Times New Roman"/>
          <w:sz w:val="24"/>
          <w:szCs w:val="24"/>
        </w:rPr>
        <w:t>birth-</w:t>
      </w:r>
      <w:r w:rsidRPr="007C61D2">
        <w:rPr>
          <w:rFonts w:ascii="Garamond" w:eastAsia="Times New Roman" w:hAnsi="Garamond" w:cs="Times New Roman"/>
          <w:sz w:val="24"/>
          <w:szCs w:val="24"/>
        </w:rPr>
        <w:t xml:space="preserve">registered </w:t>
      </w:r>
      <w:r w:rsidR="000716D8" w:rsidRPr="007C61D2">
        <w:rPr>
          <w:rFonts w:ascii="Garamond" w:eastAsia="Times New Roman" w:hAnsi="Garamond" w:cs="Times New Roman"/>
          <w:sz w:val="24"/>
          <w:szCs w:val="24"/>
        </w:rPr>
        <w:t xml:space="preserve">sex </w:t>
      </w:r>
      <w:r w:rsidRPr="007C61D2">
        <w:rPr>
          <w:rFonts w:ascii="Garamond" w:eastAsia="Times New Roman" w:hAnsi="Garamond" w:cs="Times New Roman"/>
          <w:sz w:val="24"/>
          <w:szCs w:val="24"/>
        </w:rPr>
        <w:t xml:space="preserve">might </w:t>
      </w:r>
      <w:r w:rsidRPr="007C61D2">
        <w:rPr>
          <w:rFonts w:ascii="Garamond" w:eastAsia="Times New Roman" w:hAnsi="Garamond" w:cs="Times New Roman"/>
          <w:sz w:val="24"/>
          <w:szCs w:val="24"/>
        </w:rPr>
        <w:lastRenderedPageBreak/>
        <w:t>be a good idea.</w:t>
      </w:r>
      <w:r w:rsidR="00542C6C" w:rsidRPr="007C61D2">
        <w:rPr>
          <w:rStyle w:val="FootnoteReference"/>
          <w:rFonts w:ascii="Garamond" w:eastAsia="Times New Roman" w:hAnsi="Garamond" w:cs="Times New Roman"/>
          <w:sz w:val="24"/>
          <w:szCs w:val="24"/>
        </w:rPr>
        <w:footnoteReference w:id="18"/>
      </w:r>
      <w:r w:rsidRPr="007C61D2">
        <w:rPr>
          <w:rFonts w:ascii="Garamond" w:eastAsia="Times New Roman" w:hAnsi="Garamond" w:cs="Times New Roman"/>
          <w:sz w:val="24"/>
          <w:szCs w:val="24"/>
        </w:rPr>
        <w:t xml:space="preserve"> Similarly, the experiences of people whose </w:t>
      </w:r>
      <w:r w:rsidR="00DD0BAF" w:rsidRPr="007C61D2">
        <w:rPr>
          <w:rFonts w:ascii="Garamond" w:eastAsia="Times New Roman" w:hAnsi="Garamond" w:cs="Times New Roman"/>
          <w:sz w:val="24"/>
          <w:szCs w:val="24"/>
        </w:rPr>
        <w:t xml:space="preserve">assigned </w:t>
      </w:r>
      <w:r w:rsidRPr="007C61D2">
        <w:rPr>
          <w:rFonts w:ascii="Garamond" w:eastAsia="Times New Roman" w:hAnsi="Garamond" w:cs="Times New Roman"/>
          <w:sz w:val="24"/>
          <w:szCs w:val="24"/>
        </w:rPr>
        <w:t xml:space="preserve">birth sex </w:t>
      </w:r>
      <w:r w:rsidR="00DD0BAF" w:rsidRPr="007C61D2">
        <w:rPr>
          <w:rFonts w:ascii="Garamond" w:eastAsia="Times New Roman" w:hAnsi="Garamond" w:cs="Times New Roman"/>
          <w:sz w:val="24"/>
          <w:szCs w:val="24"/>
        </w:rPr>
        <w:t>comes to seem</w:t>
      </w:r>
      <w:r w:rsidR="007A5EFC" w:rsidRPr="007C61D2">
        <w:rPr>
          <w:rFonts w:ascii="Garamond" w:eastAsia="Times New Roman" w:hAnsi="Garamond" w:cs="Times New Roman"/>
          <w:sz w:val="24"/>
          <w:szCs w:val="24"/>
        </w:rPr>
        <w:t xml:space="preserve"> erroneous</w:t>
      </w:r>
      <w:r w:rsidR="00DD0BAF"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or who</w:t>
      </w:r>
      <w:r w:rsidR="00A908DC" w:rsidRPr="007C61D2">
        <w:rPr>
          <w:rFonts w:ascii="Garamond" w:eastAsia="Times New Roman" w:hAnsi="Garamond" w:cs="Times New Roman"/>
          <w:sz w:val="24"/>
          <w:szCs w:val="24"/>
        </w:rPr>
        <w:t xml:space="preserve"> identify as </w:t>
      </w:r>
      <w:r w:rsidR="00843C0B" w:rsidRPr="007C61D2">
        <w:rPr>
          <w:rFonts w:ascii="Garamond" w:eastAsia="Times New Roman" w:hAnsi="Garamond" w:cs="Times New Roman"/>
          <w:sz w:val="24"/>
          <w:szCs w:val="24"/>
        </w:rPr>
        <w:t xml:space="preserve">neither </w:t>
      </w:r>
      <w:r w:rsidRPr="007C61D2">
        <w:rPr>
          <w:rFonts w:ascii="Garamond" w:eastAsia="Times New Roman" w:hAnsi="Garamond" w:cs="Times New Roman"/>
          <w:sz w:val="24"/>
          <w:szCs w:val="24"/>
        </w:rPr>
        <w:t xml:space="preserve">male </w:t>
      </w:r>
      <w:r w:rsidR="00A908DC" w:rsidRPr="007C61D2">
        <w:rPr>
          <w:rFonts w:ascii="Garamond" w:eastAsia="Times New Roman" w:hAnsi="Garamond" w:cs="Times New Roman"/>
          <w:sz w:val="24"/>
          <w:szCs w:val="24"/>
        </w:rPr>
        <w:t>n</w:t>
      </w:r>
      <w:r w:rsidR="00843C0B" w:rsidRPr="007C61D2">
        <w:rPr>
          <w:rFonts w:ascii="Garamond" w:eastAsia="Times New Roman" w:hAnsi="Garamond" w:cs="Times New Roman"/>
          <w:sz w:val="24"/>
          <w:szCs w:val="24"/>
        </w:rPr>
        <w:t xml:space="preserve">or </w:t>
      </w:r>
      <w:r w:rsidRPr="007C61D2">
        <w:rPr>
          <w:rFonts w:ascii="Garamond" w:eastAsia="Times New Roman" w:hAnsi="Garamond" w:cs="Times New Roman"/>
          <w:sz w:val="24"/>
          <w:szCs w:val="24"/>
        </w:rPr>
        <w:t>female</w:t>
      </w:r>
      <w:r w:rsidR="00D87C15"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also </w:t>
      </w:r>
      <w:r w:rsidR="00B91B8F" w:rsidRPr="007C61D2">
        <w:rPr>
          <w:rFonts w:ascii="Garamond" w:eastAsia="Times New Roman" w:hAnsi="Garamond" w:cs="Times New Roman"/>
          <w:sz w:val="24"/>
          <w:szCs w:val="24"/>
        </w:rPr>
        <w:t xml:space="preserve">provide </w:t>
      </w:r>
      <w:r w:rsidRPr="007C61D2">
        <w:rPr>
          <w:rFonts w:ascii="Garamond" w:eastAsia="Times New Roman" w:hAnsi="Garamond" w:cs="Times New Roman"/>
          <w:sz w:val="24"/>
          <w:szCs w:val="24"/>
        </w:rPr>
        <w:t xml:space="preserve">reasons why getting rid of </w:t>
      </w:r>
      <w:r w:rsidR="00BA0816" w:rsidRPr="007C61D2">
        <w:rPr>
          <w:rFonts w:ascii="Garamond" w:eastAsia="Times New Roman" w:hAnsi="Garamond" w:cs="Times New Roman"/>
          <w:sz w:val="24"/>
          <w:szCs w:val="24"/>
        </w:rPr>
        <w:t xml:space="preserve">such a </w:t>
      </w:r>
      <w:r w:rsidR="00843C0B" w:rsidRPr="007C61D2">
        <w:rPr>
          <w:rFonts w:ascii="Garamond" w:eastAsia="Times New Roman" w:hAnsi="Garamond" w:cs="Times New Roman"/>
          <w:sz w:val="24"/>
          <w:szCs w:val="24"/>
        </w:rPr>
        <w:t xml:space="preserve">registration </w:t>
      </w:r>
      <w:r w:rsidR="00666C63" w:rsidRPr="007C61D2">
        <w:rPr>
          <w:rFonts w:ascii="Garamond" w:eastAsia="Times New Roman" w:hAnsi="Garamond" w:cs="Times New Roman"/>
          <w:sz w:val="24"/>
          <w:szCs w:val="24"/>
        </w:rPr>
        <w:t xml:space="preserve">structure </w:t>
      </w:r>
      <w:r w:rsidRPr="007C61D2">
        <w:rPr>
          <w:rFonts w:ascii="Garamond" w:eastAsia="Times New Roman" w:hAnsi="Garamond" w:cs="Times New Roman"/>
          <w:sz w:val="24"/>
          <w:szCs w:val="24"/>
        </w:rPr>
        <w:t>might be beneficial</w:t>
      </w:r>
      <w:r w:rsidR="006376A4" w:rsidRPr="007C61D2">
        <w:rPr>
          <w:rFonts w:ascii="Garamond" w:eastAsia="Times New Roman" w:hAnsi="Garamond" w:cs="Times New Roman"/>
          <w:sz w:val="24"/>
          <w:szCs w:val="24"/>
        </w:rPr>
        <w:t xml:space="preserve"> (e.g., see</w:t>
      </w:r>
      <w:r w:rsidR="009C3460" w:rsidRPr="007C61D2">
        <w:rPr>
          <w:rFonts w:ascii="Garamond" w:eastAsia="Times New Roman" w:hAnsi="Garamond" w:cs="Times New Roman"/>
          <w:sz w:val="24"/>
          <w:szCs w:val="24"/>
        </w:rPr>
        <w:t xml:space="preserve"> Garland and Travis 2018</w:t>
      </w:r>
      <w:r w:rsidR="000066AC" w:rsidRPr="007C61D2">
        <w:rPr>
          <w:rFonts w:ascii="Garamond" w:eastAsia="Times New Roman" w:hAnsi="Garamond" w:cs="Times New Roman"/>
          <w:sz w:val="24"/>
          <w:szCs w:val="24"/>
        </w:rPr>
        <w:t>;</w:t>
      </w:r>
      <w:r w:rsidR="009C3460" w:rsidRPr="007C61D2">
        <w:rPr>
          <w:rFonts w:ascii="Garamond" w:eastAsia="Times New Roman" w:hAnsi="Garamond" w:cs="Times New Roman"/>
          <w:sz w:val="24"/>
          <w:szCs w:val="24"/>
        </w:rPr>
        <w:t xml:space="preserve"> </w:t>
      </w:r>
      <w:r w:rsidR="006376A4" w:rsidRPr="007C61D2">
        <w:rPr>
          <w:rFonts w:ascii="Garamond" w:eastAsia="Times New Roman" w:hAnsi="Garamond" w:cs="Times New Roman"/>
          <w:sz w:val="24"/>
          <w:szCs w:val="24"/>
        </w:rPr>
        <w:t>Holzer 2018)</w:t>
      </w:r>
      <w:r w:rsidRPr="007C61D2">
        <w:rPr>
          <w:rFonts w:ascii="Garamond" w:eastAsia="Times New Roman" w:hAnsi="Garamond" w:cs="Times New Roman"/>
          <w:sz w:val="24"/>
          <w:szCs w:val="24"/>
        </w:rPr>
        <w:t xml:space="preserve">. </w:t>
      </w:r>
      <w:r w:rsidR="00843C0B" w:rsidRPr="007C61D2">
        <w:rPr>
          <w:rFonts w:ascii="Garamond" w:eastAsia="Times New Roman" w:hAnsi="Garamond" w:cs="Times New Roman"/>
          <w:sz w:val="24"/>
          <w:szCs w:val="24"/>
        </w:rPr>
        <w:t>D</w:t>
      </w:r>
      <w:r w:rsidR="00542C6C" w:rsidRPr="007C61D2">
        <w:rPr>
          <w:rFonts w:ascii="Garamond" w:eastAsia="Times New Roman" w:hAnsi="Garamond" w:cs="Times New Roman"/>
          <w:sz w:val="24"/>
          <w:szCs w:val="24"/>
        </w:rPr>
        <w:t xml:space="preserve">ecertification </w:t>
      </w:r>
      <w:r w:rsidR="00843C0B" w:rsidRPr="007C61D2">
        <w:rPr>
          <w:rFonts w:ascii="Garamond" w:eastAsia="Times New Roman" w:hAnsi="Garamond" w:cs="Times New Roman"/>
          <w:sz w:val="24"/>
          <w:szCs w:val="24"/>
        </w:rPr>
        <w:t xml:space="preserve">also </w:t>
      </w:r>
      <w:r w:rsidR="00542C6C" w:rsidRPr="007C61D2">
        <w:rPr>
          <w:rFonts w:ascii="Garamond" w:eastAsia="Times New Roman" w:hAnsi="Garamond" w:cs="Times New Roman"/>
          <w:sz w:val="24"/>
          <w:szCs w:val="24"/>
        </w:rPr>
        <w:t xml:space="preserve">allows people to live legally as agender – that is as </w:t>
      </w:r>
      <w:r w:rsidR="000716D8" w:rsidRPr="007C61D2">
        <w:rPr>
          <w:rFonts w:ascii="Garamond" w:eastAsia="Times New Roman" w:hAnsi="Garamond" w:cs="Times New Roman"/>
          <w:sz w:val="24"/>
          <w:szCs w:val="24"/>
        </w:rPr>
        <w:t xml:space="preserve">formally </w:t>
      </w:r>
      <w:r w:rsidR="00542C6C" w:rsidRPr="007C61D2">
        <w:rPr>
          <w:rFonts w:ascii="Garamond" w:eastAsia="Times New Roman" w:hAnsi="Garamond" w:cs="Times New Roman"/>
          <w:sz w:val="24"/>
          <w:szCs w:val="24"/>
        </w:rPr>
        <w:t xml:space="preserve">outside of sex/ gender classificatory systems. </w:t>
      </w:r>
      <w:r w:rsidR="00444433" w:rsidRPr="007C61D2">
        <w:rPr>
          <w:rFonts w:ascii="Garamond" w:eastAsia="Times New Roman" w:hAnsi="Garamond" w:cs="Times New Roman"/>
          <w:sz w:val="24"/>
          <w:szCs w:val="24"/>
        </w:rPr>
        <w:t>T</w:t>
      </w:r>
      <w:r w:rsidR="00542C6C" w:rsidRPr="007C61D2">
        <w:rPr>
          <w:rFonts w:ascii="Garamond" w:eastAsia="Times New Roman" w:hAnsi="Garamond" w:cs="Times New Roman"/>
          <w:sz w:val="24"/>
          <w:szCs w:val="24"/>
        </w:rPr>
        <w:t xml:space="preserve">his does not mean that they can escape the gendered society </w:t>
      </w:r>
      <w:r w:rsidR="00843C0B" w:rsidRPr="007C61D2">
        <w:rPr>
          <w:rFonts w:ascii="Garamond" w:eastAsia="Times New Roman" w:hAnsi="Garamond" w:cs="Times New Roman"/>
          <w:sz w:val="24"/>
          <w:szCs w:val="24"/>
        </w:rPr>
        <w:t xml:space="preserve">which </w:t>
      </w:r>
      <w:r w:rsidR="00542C6C" w:rsidRPr="007C61D2">
        <w:rPr>
          <w:rFonts w:ascii="Garamond" w:eastAsia="Times New Roman" w:hAnsi="Garamond" w:cs="Times New Roman"/>
          <w:sz w:val="24"/>
          <w:szCs w:val="24"/>
        </w:rPr>
        <w:t>we</w:t>
      </w:r>
      <w:r w:rsidR="00843C0B" w:rsidRPr="007C61D2">
        <w:rPr>
          <w:rFonts w:ascii="Garamond" w:eastAsia="Times New Roman" w:hAnsi="Garamond" w:cs="Times New Roman"/>
          <w:sz w:val="24"/>
          <w:szCs w:val="24"/>
        </w:rPr>
        <w:t xml:space="preserve"> inhabit</w:t>
      </w:r>
      <w:r w:rsidR="00A908DC" w:rsidRPr="007C61D2">
        <w:rPr>
          <w:rFonts w:ascii="Garamond" w:eastAsia="Times New Roman" w:hAnsi="Garamond" w:cs="Times New Roman"/>
          <w:sz w:val="24"/>
          <w:szCs w:val="24"/>
        </w:rPr>
        <w:t>; identify</w:t>
      </w:r>
      <w:r w:rsidR="00FB4A1B" w:rsidRPr="007C61D2">
        <w:rPr>
          <w:rFonts w:ascii="Garamond" w:eastAsia="Times New Roman" w:hAnsi="Garamond" w:cs="Times New Roman"/>
          <w:sz w:val="24"/>
          <w:szCs w:val="24"/>
        </w:rPr>
        <w:t>ing</w:t>
      </w:r>
      <w:r w:rsidR="00A908DC" w:rsidRPr="007C61D2">
        <w:rPr>
          <w:rFonts w:ascii="Garamond" w:eastAsia="Times New Roman" w:hAnsi="Garamond" w:cs="Times New Roman"/>
          <w:sz w:val="24"/>
          <w:szCs w:val="24"/>
        </w:rPr>
        <w:t xml:space="preserve"> as agender does not ensure people </w:t>
      </w:r>
      <w:r w:rsidR="00843C0B" w:rsidRPr="007C61D2">
        <w:rPr>
          <w:rFonts w:ascii="Garamond" w:eastAsia="Times New Roman" w:hAnsi="Garamond" w:cs="Times New Roman"/>
          <w:sz w:val="24"/>
          <w:szCs w:val="24"/>
        </w:rPr>
        <w:t xml:space="preserve">are </w:t>
      </w:r>
      <w:r w:rsidR="00542C6C" w:rsidRPr="007C61D2">
        <w:rPr>
          <w:rFonts w:ascii="Garamond" w:eastAsia="Times New Roman" w:hAnsi="Garamond" w:cs="Times New Roman"/>
          <w:sz w:val="24"/>
          <w:szCs w:val="24"/>
        </w:rPr>
        <w:t xml:space="preserve">treated in </w:t>
      </w:r>
      <w:r w:rsidR="00843C0B" w:rsidRPr="007C61D2">
        <w:rPr>
          <w:rFonts w:ascii="Garamond" w:eastAsia="Times New Roman" w:hAnsi="Garamond" w:cs="Times New Roman"/>
          <w:sz w:val="24"/>
          <w:szCs w:val="24"/>
        </w:rPr>
        <w:t>non-</w:t>
      </w:r>
      <w:r w:rsidR="00542C6C" w:rsidRPr="007C61D2">
        <w:rPr>
          <w:rFonts w:ascii="Garamond" w:eastAsia="Times New Roman" w:hAnsi="Garamond" w:cs="Times New Roman"/>
          <w:sz w:val="24"/>
          <w:szCs w:val="24"/>
        </w:rPr>
        <w:t xml:space="preserve">gendered ways by others. But decertification </w:t>
      </w:r>
      <w:r w:rsidR="00DD0BAF" w:rsidRPr="007C61D2">
        <w:rPr>
          <w:rFonts w:ascii="Garamond" w:eastAsia="Times New Roman" w:hAnsi="Garamond" w:cs="Times New Roman"/>
          <w:sz w:val="24"/>
          <w:szCs w:val="24"/>
        </w:rPr>
        <w:t xml:space="preserve">would make it harder for </w:t>
      </w:r>
      <w:r w:rsidR="000716D8" w:rsidRPr="007C61D2">
        <w:rPr>
          <w:rFonts w:ascii="Garamond" w:eastAsia="Times New Roman" w:hAnsi="Garamond" w:cs="Times New Roman"/>
          <w:sz w:val="24"/>
          <w:szCs w:val="24"/>
        </w:rPr>
        <w:t xml:space="preserve">organisational </w:t>
      </w:r>
      <w:r w:rsidR="00DD0BAF" w:rsidRPr="007C61D2">
        <w:rPr>
          <w:rFonts w:ascii="Garamond" w:eastAsia="Times New Roman" w:hAnsi="Garamond" w:cs="Times New Roman"/>
          <w:sz w:val="24"/>
          <w:szCs w:val="24"/>
        </w:rPr>
        <w:t xml:space="preserve">bodies to demand that people conform to </w:t>
      </w:r>
      <w:r w:rsidR="00A908DC" w:rsidRPr="007C61D2">
        <w:rPr>
          <w:rFonts w:ascii="Garamond" w:eastAsia="Times New Roman" w:hAnsi="Garamond" w:cs="Times New Roman"/>
          <w:sz w:val="24"/>
          <w:szCs w:val="24"/>
        </w:rPr>
        <w:t>(</w:t>
      </w:r>
      <w:r w:rsidR="005A2B88" w:rsidRPr="007C61D2">
        <w:rPr>
          <w:rFonts w:ascii="Garamond" w:eastAsia="Times New Roman" w:hAnsi="Garamond" w:cs="Times New Roman"/>
          <w:sz w:val="24"/>
          <w:szCs w:val="24"/>
        </w:rPr>
        <w:t>dualist</w:t>
      </w:r>
      <w:r w:rsidR="00A908DC" w:rsidRPr="007C61D2">
        <w:rPr>
          <w:rFonts w:ascii="Garamond" w:eastAsia="Times New Roman" w:hAnsi="Garamond" w:cs="Times New Roman"/>
          <w:sz w:val="24"/>
          <w:szCs w:val="24"/>
        </w:rPr>
        <w:t>)</w:t>
      </w:r>
      <w:r w:rsidR="005A2B88" w:rsidRPr="007C61D2">
        <w:rPr>
          <w:rFonts w:ascii="Garamond" w:eastAsia="Times New Roman" w:hAnsi="Garamond" w:cs="Times New Roman"/>
          <w:sz w:val="24"/>
          <w:szCs w:val="24"/>
        </w:rPr>
        <w:t xml:space="preserve"> </w:t>
      </w:r>
      <w:r w:rsidR="00DD0BAF" w:rsidRPr="007C61D2">
        <w:rPr>
          <w:rFonts w:ascii="Garamond" w:eastAsia="Times New Roman" w:hAnsi="Garamond" w:cs="Times New Roman"/>
          <w:sz w:val="24"/>
          <w:szCs w:val="24"/>
        </w:rPr>
        <w:t>gendered norms</w:t>
      </w:r>
      <w:r w:rsidR="00105986">
        <w:rPr>
          <w:rFonts w:ascii="Garamond" w:eastAsia="Times New Roman" w:hAnsi="Garamond" w:cs="Times New Roman"/>
          <w:sz w:val="24"/>
          <w:szCs w:val="24"/>
        </w:rPr>
        <w:t>, including</w:t>
      </w:r>
      <w:r w:rsidR="005A2B88" w:rsidRPr="007C61D2">
        <w:rPr>
          <w:rFonts w:ascii="Garamond" w:eastAsia="Times New Roman" w:hAnsi="Garamond" w:cs="Times New Roman"/>
          <w:sz w:val="24"/>
          <w:szCs w:val="24"/>
        </w:rPr>
        <w:t xml:space="preserve"> </w:t>
      </w:r>
      <w:r w:rsidR="00B1611E">
        <w:rPr>
          <w:rFonts w:ascii="Garamond" w:eastAsia="Times New Roman" w:hAnsi="Garamond" w:cs="Times New Roman"/>
          <w:sz w:val="24"/>
          <w:szCs w:val="24"/>
        </w:rPr>
        <w:t xml:space="preserve">in </w:t>
      </w:r>
      <w:r w:rsidR="005A2B88" w:rsidRPr="007C61D2">
        <w:rPr>
          <w:rFonts w:ascii="Garamond" w:eastAsia="Times New Roman" w:hAnsi="Garamond" w:cs="Times New Roman"/>
          <w:sz w:val="24"/>
          <w:szCs w:val="24"/>
        </w:rPr>
        <w:t xml:space="preserve">modes of address, dress codes, </w:t>
      </w:r>
      <w:r w:rsidR="00B1611E">
        <w:rPr>
          <w:rFonts w:ascii="Garamond" w:eastAsia="Times New Roman" w:hAnsi="Garamond" w:cs="Times New Roman"/>
          <w:sz w:val="24"/>
          <w:szCs w:val="24"/>
        </w:rPr>
        <w:t xml:space="preserve">and </w:t>
      </w:r>
      <w:r w:rsidR="005A2B88" w:rsidRPr="007C61D2">
        <w:rPr>
          <w:rFonts w:ascii="Garamond" w:eastAsia="Times New Roman" w:hAnsi="Garamond" w:cs="Times New Roman"/>
          <w:sz w:val="24"/>
          <w:szCs w:val="24"/>
        </w:rPr>
        <w:t xml:space="preserve">documentation. </w:t>
      </w:r>
      <w:r w:rsidR="00404C74">
        <w:rPr>
          <w:rFonts w:ascii="Garamond" w:eastAsia="Times New Roman" w:hAnsi="Garamond" w:cs="Times New Roman"/>
          <w:sz w:val="24"/>
          <w:szCs w:val="24"/>
        </w:rPr>
        <w:t>More generally, d</w:t>
      </w:r>
      <w:r w:rsidR="005A2B88" w:rsidRPr="007C61D2">
        <w:rPr>
          <w:rFonts w:ascii="Garamond" w:eastAsia="Times New Roman" w:hAnsi="Garamond" w:cs="Times New Roman"/>
          <w:sz w:val="24"/>
          <w:szCs w:val="24"/>
        </w:rPr>
        <w:t xml:space="preserve">ecertification </w:t>
      </w:r>
      <w:r w:rsidR="00542C6C" w:rsidRPr="00D41005">
        <w:rPr>
          <w:rFonts w:ascii="Garamond" w:eastAsia="Times New Roman" w:hAnsi="Garamond" w:cs="Times New Roman"/>
          <w:i/>
          <w:iCs/>
          <w:sz w:val="24"/>
          <w:szCs w:val="24"/>
        </w:rPr>
        <w:t>symbolise</w:t>
      </w:r>
      <w:r w:rsidR="005A2B88" w:rsidRPr="00D41005">
        <w:rPr>
          <w:rFonts w:ascii="Garamond" w:eastAsia="Times New Roman" w:hAnsi="Garamond" w:cs="Times New Roman"/>
          <w:i/>
          <w:iCs/>
          <w:sz w:val="24"/>
          <w:szCs w:val="24"/>
        </w:rPr>
        <w:t>s</w:t>
      </w:r>
      <w:r w:rsidR="00542C6C" w:rsidRPr="007C61D2">
        <w:rPr>
          <w:rFonts w:ascii="Garamond" w:eastAsia="Times New Roman" w:hAnsi="Garamond" w:cs="Times New Roman"/>
          <w:sz w:val="24"/>
          <w:szCs w:val="24"/>
        </w:rPr>
        <w:t xml:space="preserve"> the possibility of living </w:t>
      </w:r>
      <w:r w:rsidR="00CE35B9">
        <w:rPr>
          <w:rFonts w:ascii="Garamond" w:eastAsia="Times New Roman" w:hAnsi="Garamond" w:cs="Times New Roman"/>
          <w:sz w:val="24"/>
          <w:szCs w:val="24"/>
        </w:rPr>
        <w:t xml:space="preserve">and raising children </w:t>
      </w:r>
      <w:r w:rsidR="00542C6C" w:rsidRPr="007C61D2">
        <w:rPr>
          <w:rFonts w:ascii="Garamond" w:eastAsia="Times New Roman" w:hAnsi="Garamond" w:cs="Times New Roman"/>
          <w:sz w:val="24"/>
          <w:szCs w:val="24"/>
        </w:rPr>
        <w:t>beyond gender</w:t>
      </w:r>
      <w:r w:rsidR="00CE35B9">
        <w:rPr>
          <w:rFonts w:ascii="Garamond" w:eastAsia="Times New Roman" w:hAnsi="Garamond" w:cs="Times New Roman"/>
          <w:sz w:val="24"/>
          <w:szCs w:val="24"/>
        </w:rPr>
        <w:t>, while</w:t>
      </w:r>
      <w:r w:rsidR="00542C6C" w:rsidRPr="007C61D2">
        <w:rPr>
          <w:rFonts w:ascii="Garamond" w:eastAsia="Times New Roman" w:hAnsi="Garamond" w:cs="Times New Roman"/>
          <w:sz w:val="24"/>
          <w:szCs w:val="24"/>
        </w:rPr>
        <w:t xml:space="preserve"> provid</w:t>
      </w:r>
      <w:r w:rsidR="00CE35B9">
        <w:rPr>
          <w:rFonts w:ascii="Garamond" w:eastAsia="Times New Roman" w:hAnsi="Garamond" w:cs="Times New Roman"/>
          <w:sz w:val="24"/>
          <w:szCs w:val="24"/>
        </w:rPr>
        <w:t>ing</w:t>
      </w:r>
      <w:r w:rsidR="00542C6C" w:rsidRPr="007C61D2">
        <w:rPr>
          <w:rFonts w:ascii="Garamond" w:eastAsia="Times New Roman" w:hAnsi="Garamond" w:cs="Times New Roman"/>
          <w:sz w:val="24"/>
          <w:szCs w:val="24"/>
        </w:rPr>
        <w:t xml:space="preserve"> a practical and discursive </w:t>
      </w:r>
      <w:r w:rsidR="00EA4596" w:rsidRPr="007C61D2">
        <w:rPr>
          <w:rFonts w:ascii="Garamond" w:eastAsia="Times New Roman" w:hAnsi="Garamond" w:cs="Times New Roman"/>
          <w:sz w:val="24"/>
          <w:szCs w:val="24"/>
        </w:rPr>
        <w:t xml:space="preserve">support </w:t>
      </w:r>
      <w:r w:rsidR="00542C6C" w:rsidRPr="007C61D2">
        <w:rPr>
          <w:rFonts w:ascii="Garamond" w:eastAsia="Times New Roman" w:hAnsi="Garamond" w:cs="Times New Roman"/>
          <w:sz w:val="24"/>
          <w:szCs w:val="24"/>
        </w:rPr>
        <w:t xml:space="preserve">for those </w:t>
      </w:r>
      <w:r w:rsidR="00EA4596" w:rsidRPr="007C61D2">
        <w:rPr>
          <w:rFonts w:ascii="Garamond" w:eastAsia="Times New Roman" w:hAnsi="Garamond" w:cs="Times New Roman"/>
          <w:sz w:val="24"/>
          <w:szCs w:val="24"/>
        </w:rPr>
        <w:t xml:space="preserve">who </w:t>
      </w:r>
      <w:r w:rsidR="00542C6C" w:rsidRPr="007C61D2">
        <w:rPr>
          <w:rFonts w:ascii="Garamond" w:eastAsia="Times New Roman" w:hAnsi="Garamond" w:cs="Times New Roman"/>
          <w:sz w:val="24"/>
          <w:szCs w:val="24"/>
        </w:rPr>
        <w:t>refus</w:t>
      </w:r>
      <w:r w:rsidR="00EA4596" w:rsidRPr="007C61D2">
        <w:rPr>
          <w:rFonts w:ascii="Garamond" w:eastAsia="Times New Roman" w:hAnsi="Garamond" w:cs="Times New Roman"/>
          <w:sz w:val="24"/>
          <w:szCs w:val="24"/>
        </w:rPr>
        <w:t xml:space="preserve">e </w:t>
      </w:r>
      <w:r w:rsidR="005A2B88" w:rsidRPr="007C61D2">
        <w:rPr>
          <w:rFonts w:ascii="Garamond" w:eastAsia="Times New Roman" w:hAnsi="Garamond" w:cs="Times New Roman"/>
          <w:sz w:val="24"/>
          <w:szCs w:val="24"/>
        </w:rPr>
        <w:t>to accede to</w:t>
      </w:r>
      <w:r w:rsidR="00542C6C" w:rsidRPr="007C61D2">
        <w:rPr>
          <w:rFonts w:ascii="Garamond" w:eastAsia="Times New Roman" w:hAnsi="Garamond" w:cs="Times New Roman"/>
          <w:sz w:val="24"/>
          <w:szCs w:val="24"/>
        </w:rPr>
        <w:t xml:space="preserve"> gender’s terms</w:t>
      </w:r>
      <w:r w:rsidR="000716D8" w:rsidRPr="007C61D2">
        <w:rPr>
          <w:rFonts w:ascii="Garamond" w:eastAsia="Times New Roman" w:hAnsi="Garamond" w:cs="Times New Roman"/>
          <w:sz w:val="24"/>
          <w:szCs w:val="24"/>
        </w:rPr>
        <w:t xml:space="preserve"> (see also Quinan </w:t>
      </w:r>
      <w:r w:rsidR="000716D8" w:rsidRPr="005D428B">
        <w:rPr>
          <w:rFonts w:ascii="Garamond" w:eastAsia="Times New Roman" w:hAnsi="Garamond" w:cs="Times New Roman"/>
          <w:iCs/>
          <w:sz w:val="24"/>
          <w:szCs w:val="24"/>
        </w:rPr>
        <w:t>et al</w:t>
      </w:r>
      <w:r w:rsidR="005D428B">
        <w:rPr>
          <w:rFonts w:ascii="Garamond" w:eastAsia="Times New Roman" w:hAnsi="Garamond" w:cs="Times New Roman"/>
          <w:iCs/>
          <w:sz w:val="24"/>
          <w:szCs w:val="24"/>
        </w:rPr>
        <w:t>.</w:t>
      </w:r>
      <w:r w:rsidR="000716D8" w:rsidRPr="007C61D2">
        <w:rPr>
          <w:rFonts w:ascii="Garamond" w:eastAsia="Times New Roman" w:hAnsi="Garamond" w:cs="Times New Roman"/>
          <w:sz w:val="24"/>
          <w:szCs w:val="24"/>
        </w:rPr>
        <w:t xml:space="preserve"> 2020; Venditti 2020)</w:t>
      </w:r>
      <w:r w:rsidR="00542C6C" w:rsidRPr="007C61D2">
        <w:rPr>
          <w:rFonts w:ascii="Garamond" w:eastAsia="Times New Roman" w:hAnsi="Garamond" w:cs="Times New Roman"/>
          <w:sz w:val="24"/>
          <w:szCs w:val="24"/>
        </w:rPr>
        <w:t xml:space="preserve">. </w:t>
      </w:r>
    </w:p>
    <w:p w14:paraId="2AEF1DA4" w14:textId="6A7355CB" w:rsidR="00AF220D" w:rsidRPr="007C61D2" w:rsidRDefault="00B966F1" w:rsidP="00AB322D">
      <w:pPr>
        <w:spacing w:before="240" w:after="120" w:line="360" w:lineRule="auto"/>
        <w:ind w:firstLine="709"/>
        <w:rPr>
          <w:rFonts w:ascii="Garamond" w:eastAsia="Times New Roman" w:hAnsi="Garamond" w:cs="Times New Roman"/>
          <w:sz w:val="24"/>
          <w:szCs w:val="24"/>
        </w:rPr>
      </w:pPr>
      <w:r w:rsidRPr="007C61D2">
        <w:rPr>
          <w:rFonts w:ascii="Garamond" w:eastAsia="Times New Roman" w:hAnsi="Garamond" w:cs="Times New Roman"/>
          <w:sz w:val="24"/>
          <w:szCs w:val="24"/>
        </w:rPr>
        <w:t>F</w:t>
      </w:r>
      <w:r w:rsidR="00542C6C" w:rsidRPr="007C61D2">
        <w:rPr>
          <w:rFonts w:ascii="Garamond" w:eastAsia="Times New Roman" w:hAnsi="Garamond" w:cs="Times New Roman"/>
          <w:sz w:val="24"/>
          <w:szCs w:val="24"/>
        </w:rPr>
        <w:t xml:space="preserve">rom a critical </w:t>
      </w:r>
      <w:r w:rsidR="000716D8" w:rsidRPr="007C61D2">
        <w:rPr>
          <w:rFonts w:ascii="Garamond" w:eastAsia="Times New Roman" w:hAnsi="Garamond" w:cs="Times New Roman"/>
          <w:sz w:val="24"/>
          <w:szCs w:val="24"/>
        </w:rPr>
        <w:t xml:space="preserve">and </w:t>
      </w:r>
      <w:r w:rsidR="00542C6C" w:rsidRPr="007C61D2">
        <w:rPr>
          <w:rFonts w:ascii="Garamond" w:eastAsia="Times New Roman" w:hAnsi="Garamond" w:cs="Times New Roman"/>
          <w:sz w:val="24"/>
          <w:szCs w:val="24"/>
        </w:rPr>
        <w:t xml:space="preserve">feminist perspective, </w:t>
      </w:r>
      <w:r w:rsidR="00404C74">
        <w:rPr>
          <w:rFonts w:ascii="Garamond" w:eastAsia="Times New Roman" w:hAnsi="Garamond" w:cs="Times New Roman"/>
          <w:sz w:val="24"/>
          <w:szCs w:val="24"/>
        </w:rPr>
        <w:t xml:space="preserve">decertification </w:t>
      </w:r>
      <w:r w:rsidR="00542C6C" w:rsidRPr="007C61D2">
        <w:rPr>
          <w:rFonts w:ascii="Garamond" w:eastAsia="Times New Roman" w:hAnsi="Garamond" w:cs="Times New Roman"/>
          <w:sz w:val="24"/>
          <w:szCs w:val="24"/>
        </w:rPr>
        <w:t>also has</w:t>
      </w:r>
      <w:r w:rsidR="00444433" w:rsidRPr="007C61D2">
        <w:rPr>
          <w:rFonts w:ascii="Garamond" w:eastAsia="Times New Roman" w:hAnsi="Garamond" w:cs="Times New Roman"/>
          <w:sz w:val="24"/>
          <w:szCs w:val="24"/>
        </w:rPr>
        <w:t xml:space="preserve"> other potential advantages</w:t>
      </w:r>
      <w:r w:rsidR="00542C6C"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Despite the momentum towards gender neutral law in countries such as Britain</w:t>
      </w:r>
      <w:r w:rsidR="00657FCF" w:rsidRPr="007C61D2">
        <w:rPr>
          <w:rFonts w:ascii="Garamond" w:eastAsia="Times New Roman" w:hAnsi="Garamond" w:cs="Times New Roman"/>
          <w:sz w:val="24"/>
          <w:szCs w:val="24"/>
        </w:rPr>
        <w:t xml:space="preserve"> </w:t>
      </w:r>
      <w:r w:rsidR="00657FCF" w:rsidRPr="00A678BF">
        <w:rPr>
          <w:rFonts w:ascii="Garamond" w:eastAsia="Times New Roman" w:hAnsi="Garamond" w:cs="Times New Roman"/>
          <w:sz w:val="24"/>
          <w:szCs w:val="24"/>
        </w:rPr>
        <w:t>(</w:t>
      </w:r>
      <w:r w:rsidR="00D844F2" w:rsidRPr="00A678BF">
        <w:rPr>
          <w:rFonts w:ascii="Garamond" w:eastAsia="Times New Roman" w:hAnsi="Garamond" w:cs="Times New Roman"/>
          <w:sz w:val="24"/>
          <w:szCs w:val="24"/>
        </w:rPr>
        <w:t>a move</w:t>
      </w:r>
      <w:r w:rsidR="00A678BF">
        <w:rPr>
          <w:rFonts w:ascii="Garamond" w:eastAsia="Times New Roman" w:hAnsi="Garamond" w:cs="Times New Roman"/>
          <w:sz w:val="24"/>
          <w:szCs w:val="24"/>
        </w:rPr>
        <w:t xml:space="preserve"> </w:t>
      </w:r>
      <w:r w:rsidR="005164AB" w:rsidRPr="00A678BF">
        <w:rPr>
          <w:rFonts w:ascii="Garamond" w:eastAsia="Times New Roman" w:hAnsi="Garamond" w:cs="Times New Roman"/>
          <w:sz w:val="24"/>
          <w:szCs w:val="24"/>
        </w:rPr>
        <w:t xml:space="preserve">feminists do not </w:t>
      </w:r>
      <w:r w:rsidR="00702F09" w:rsidRPr="00A678BF">
        <w:rPr>
          <w:rFonts w:ascii="Garamond" w:eastAsia="Times New Roman" w:hAnsi="Garamond" w:cs="Times New Roman"/>
          <w:sz w:val="24"/>
          <w:szCs w:val="24"/>
        </w:rPr>
        <w:t xml:space="preserve">read as </w:t>
      </w:r>
      <w:r w:rsidR="005F193B" w:rsidRPr="00A678BF">
        <w:rPr>
          <w:rFonts w:ascii="Garamond" w:eastAsia="Times New Roman" w:hAnsi="Garamond" w:cs="Times New Roman"/>
          <w:sz w:val="24"/>
          <w:szCs w:val="24"/>
        </w:rPr>
        <w:t xml:space="preserve">unequivocally </w:t>
      </w:r>
      <w:r w:rsidR="00666C63" w:rsidRPr="00A678BF">
        <w:rPr>
          <w:rFonts w:ascii="Garamond" w:eastAsia="Times New Roman" w:hAnsi="Garamond" w:cs="Times New Roman"/>
          <w:sz w:val="24"/>
          <w:szCs w:val="24"/>
        </w:rPr>
        <w:t>beneficial</w:t>
      </w:r>
      <w:r w:rsidR="00A678BF" w:rsidRPr="00F763C7">
        <w:rPr>
          <w:rFonts w:ascii="Garamond" w:eastAsia="Times New Roman" w:hAnsi="Garamond" w:cs="Times New Roman"/>
          <w:sz w:val="24"/>
          <w:szCs w:val="24"/>
        </w:rPr>
        <w:t>, as discussed below</w:t>
      </w:r>
      <w:r w:rsidR="00657FCF" w:rsidRPr="00A678BF">
        <w:rPr>
          <w:rFonts w:ascii="Garamond" w:eastAsia="Times New Roman" w:hAnsi="Garamond" w:cs="Times New Roman"/>
          <w:sz w:val="24"/>
          <w:szCs w:val="24"/>
        </w:rPr>
        <w:t>)</w:t>
      </w:r>
      <w:r w:rsidR="004F74F2" w:rsidRPr="007C61D2">
        <w:rPr>
          <w:rFonts w:ascii="Garamond" w:eastAsia="Times New Roman" w:hAnsi="Garamond" w:cs="Times New Roman"/>
          <w:sz w:val="24"/>
          <w:szCs w:val="24"/>
        </w:rPr>
        <w:t xml:space="preserve">, registering sex </w:t>
      </w:r>
      <w:r w:rsidR="0027563D" w:rsidRPr="007C61D2">
        <w:rPr>
          <w:rFonts w:ascii="Garamond" w:eastAsia="Times New Roman" w:hAnsi="Garamond" w:cs="Times New Roman"/>
          <w:sz w:val="24"/>
          <w:szCs w:val="24"/>
        </w:rPr>
        <w:t xml:space="preserve">at </w:t>
      </w:r>
      <w:r w:rsidR="00702F09" w:rsidRPr="007C61D2">
        <w:rPr>
          <w:rFonts w:ascii="Garamond" w:eastAsia="Times New Roman" w:hAnsi="Garamond" w:cs="Times New Roman"/>
          <w:sz w:val="24"/>
          <w:szCs w:val="24"/>
        </w:rPr>
        <w:t xml:space="preserve">birth </w:t>
      </w:r>
      <w:r w:rsidR="004F74F2" w:rsidRPr="007C61D2">
        <w:rPr>
          <w:rFonts w:ascii="Garamond" w:eastAsia="Times New Roman" w:hAnsi="Garamond" w:cs="Times New Roman"/>
          <w:sz w:val="24"/>
          <w:szCs w:val="24"/>
        </w:rPr>
        <w:t xml:space="preserve">encodes </w:t>
      </w:r>
      <w:r w:rsidR="005A2B88" w:rsidRPr="007C61D2">
        <w:rPr>
          <w:rFonts w:ascii="Garamond" w:eastAsia="Times New Roman" w:hAnsi="Garamond" w:cs="Times New Roman"/>
          <w:sz w:val="24"/>
          <w:szCs w:val="24"/>
        </w:rPr>
        <w:t xml:space="preserve">sex </w:t>
      </w:r>
      <w:r w:rsidR="004F74F2" w:rsidRPr="007C61D2">
        <w:rPr>
          <w:rFonts w:ascii="Garamond" w:eastAsia="Times New Roman" w:hAnsi="Garamond" w:cs="Times New Roman"/>
          <w:sz w:val="24"/>
          <w:szCs w:val="24"/>
        </w:rPr>
        <w:t>as a significant normative distinction</w:t>
      </w:r>
      <w:r w:rsidR="00EA4596" w:rsidRPr="007C61D2">
        <w:rPr>
          <w:rFonts w:ascii="Garamond" w:eastAsia="Times New Roman" w:hAnsi="Garamond" w:cs="Times New Roman"/>
          <w:sz w:val="24"/>
          <w:szCs w:val="24"/>
        </w:rPr>
        <w:t>;</w:t>
      </w:r>
      <w:r w:rsidR="00890C33" w:rsidRPr="007C61D2">
        <w:rPr>
          <w:rStyle w:val="FootnoteReference"/>
          <w:rFonts w:ascii="Garamond" w:eastAsia="Times New Roman" w:hAnsi="Garamond" w:cs="Times New Roman"/>
          <w:sz w:val="24"/>
          <w:szCs w:val="24"/>
        </w:rPr>
        <w:footnoteReference w:id="19"/>
      </w:r>
      <w:r w:rsidR="00F70791" w:rsidRPr="007C61D2">
        <w:rPr>
          <w:rFonts w:ascii="Garamond" w:eastAsia="Times New Roman" w:hAnsi="Garamond" w:cs="Times New Roman"/>
          <w:sz w:val="24"/>
          <w:szCs w:val="24"/>
        </w:rPr>
        <w:t xml:space="preserve"> </w:t>
      </w:r>
      <w:r w:rsidR="00EA4596" w:rsidRPr="007C61D2">
        <w:rPr>
          <w:rFonts w:ascii="Garamond" w:eastAsia="Times New Roman" w:hAnsi="Garamond" w:cs="Times New Roman"/>
          <w:sz w:val="24"/>
          <w:szCs w:val="24"/>
        </w:rPr>
        <w:t xml:space="preserve">one, as </w:t>
      </w:r>
      <w:r w:rsidR="000716D8" w:rsidRPr="007C61D2">
        <w:rPr>
          <w:rFonts w:ascii="Garamond" w:eastAsia="Times New Roman" w:hAnsi="Garamond" w:cs="Times New Roman"/>
          <w:sz w:val="24"/>
          <w:szCs w:val="24"/>
        </w:rPr>
        <w:t xml:space="preserve">Cannoot and Decoster (2020) also argue, </w:t>
      </w:r>
      <w:r w:rsidR="00444433" w:rsidRPr="007C61D2">
        <w:rPr>
          <w:rFonts w:ascii="Garamond" w:eastAsia="Times New Roman" w:hAnsi="Garamond" w:cs="Times New Roman"/>
          <w:sz w:val="24"/>
          <w:szCs w:val="24"/>
        </w:rPr>
        <w:t xml:space="preserve">that remains </w:t>
      </w:r>
      <w:r w:rsidR="000716D8" w:rsidRPr="007C61D2">
        <w:rPr>
          <w:rFonts w:ascii="Garamond" w:eastAsia="Times New Roman" w:hAnsi="Garamond" w:cs="Times New Roman"/>
          <w:sz w:val="24"/>
          <w:szCs w:val="24"/>
        </w:rPr>
        <w:t xml:space="preserve">central to the maintenance of heteronormative order. </w:t>
      </w:r>
      <w:r w:rsidR="00657FCF" w:rsidRPr="007C61D2">
        <w:rPr>
          <w:rFonts w:ascii="Garamond" w:eastAsia="Times New Roman" w:hAnsi="Garamond" w:cs="Times New Roman"/>
          <w:sz w:val="24"/>
          <w:szCs w:val="24"/>
        </w:rPr>
        <w:t xml:space="preserve">Our starting point </w:t>
      </w:r>
      <w:r w:rsidR="004F74F2" w:rsidRPr="007C61D2">
        <w:rPr>
          <w:rFonts w:ascii="Garamond" w:eastAsia="Times New Roman" w:hAnsi="Garamond" w:cs="Times New Roman"/>
          <w:sz w:val="24"/>
          <w:szCs w:val="24"/>
        </w:rPr>
        <w:t xml:space="preserve">is not that abolishing </w:t>
      </w:r>
      <w:r w:rsidR="00AF220D" w:rsidRPr="007C61D2">
        <w:rPr>
          <w:rFonts w:ascii="Garamond" w:eastAsia="Times New Roman" w:hAnsi="Garamond" w:cs="Times New Roman"/>
          <w:sz w:val="24"/>
          <w:szCs w:val="24"/>
        </w:rPr>
        <w:t xml:space="preserve">the </w:t>
      </w:r>
      <w:r w:rsidR="004F74F2" w:rsidRPr="007C61D2">
        <w:rPr>
          <w:rFonts w:ascii="Garamond" w:eastAsia="Times New Roman" w:hAnsi="Garamond" w:cs="Times New Roman"/>
          <w:sz w:val="24"/>
          <w:szCs w:val="24"/>
        </w:rPr>
        <w:t xml:space="preserve">assignment </w:t>
      </w:r>
      <w:r w:rsidR="00AF220D" w:rsidRPr="007C61D2">
        <w:rPr>
          <w:rFonts w:ascii="Garamond" w:eastAsia="Times New Roman" w:hAnsi="Garamond" w:cs="Times New Roman"/>
          <w:sz w:val="24"/>
          <w:szCs w:val="24"/>
        </w:rPr>
        <w:t>or regist</w:t>
      </w:r>
      <w:r w:rsidR="006376A4" w:rsidRPr="007C61D2">
        <w:rPr>
          <w:rFonts w:ascii="Garamond" w:eastAsia="Times New Roman" w:hAnsi="Garamond" w:cs="Times New Roman"/>
          <w:sz w:val="24"/>
          <w:szCs w:val="24"/>
        </w:rPr>
        <w:t>ration</w:t>
      </w:r>
      <w:r w:rsidR="00AF220D"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of sex at birth will </w:t>
      </w:r>
      <w:r w:rsidR="00890C33" w:rsidRPr="007C61D2">
        <w:rPr>
          <w:rFonts w:ascii="Garamond" w:eastAsia="Times New Roman" w:hAnsi="Garamond" w:cs="Times New Roman"/>
          <w:sz w:val="24"/>
          <w:szCs w:val="24"/>
        </w:rPr>
        <w:t xml:space="preserve">end </w:t>
      </w:r>
      <w:r w:rsidR="004F74F2" w:rsidRPr="007C61D2">
        <w:rPr>
          <w:rFonts w:ascii="Garamond" w:eastAsia="Times New Roman" w:hAnsi="Garamond" w:cs="Times New Roman"/>
          <w:sz w:val="24"/>
          <w:szCs w:val="24"/>
        </w:rPr>
        <w:t xml:space="preserve">gender-based socialisation, sexual violence, </w:t>
      </w:r>
      <w:r w:rsidR="00EA4596" w:rsidRPr="007C61D2">
        <w:rPr>
          <w:rFonts w:ascii="Garamond" w:eastAsia="Times New Roman" w:hAnsi="Garamond" w:cs="Times New Roman"/>
          <w:sz w:val="24"/>
          <w:szCs w:val="24"/>
        </w:rPr>
        <w:t xml:space="preserve">the </w:t>
      </w:r>
      <w:r w:rsidR="004F74F2" w:rsidRPr="007C61D2">
        <w:rPr>
          <w:rFonts w:ascii="Garamond" w:eastAsia="Times New Roman" w:hAnsi="Garamond" w:cs="Times New Roman"/>
          <w:sz w:val="24"/>
          <w:szCs w:val="24"/>
        </w:rPr>
        <w:t>economic exploitation of</w:t>
      </w:r>
      <w:r w:rsidR="0027563D" w:rsidRPr="007C61D2">
        <w:rPr>
          <w:rFonts w:ascii="Garamond" w:eastAsia="Times New Roman" w:hAnsi="Garamond" w:cs="Times New Roman"/>
          <w:sz w:val="24"/>
          <w:szCs w:val="24"/>
        </w:rPr>
        <w:t xml:space="preserve"> feminised workers and carers</w:t>
      </w:r>
      <w:r w:rsidR="004F74F2" w:rsidRPr="007C61D2">
        <w:rPr>
          <w:rFonts w:ascii="Garamond" w:eastAsia="Times New Roman" w:hAnsi="Garamond" w:cs="Times New Roman"/>
          <w:sz w:val="24"/>
          <w:szCs w:val="24"/>
        </w:rPr>
        <w:t>, or institutional arrangements that take affluent white men as the norm – that would be too easy</w:t>
      </w:r>
      <w:r w:rsidR="004D5F59" w:rsidRPr="007C61D2">
        <w:rPr>
          <w:rFonts w:ascii="Garamond" w:eastAsia="Times New Roman" w:hAnsi="Garamond" w:cs="Times New Roman"/>
          <w:sz w:val="24"/>
          <w:szCs w:val="24"/>
        </w:rPr>
        <w:t xml:space="preserve"> (see also Waylen 2014)</w:t>
      </w:r>
      <w:r w:rsidR="004F74F2" w:rsidRPr="007C61D2">
        <w:rPr>
          <w:rFonts w:ascii="Garamond" w:eastAsia="Times New Roman" w:hAnsi="Garamond" w:cs="Times New Roman"/>
          <w:sz w:val="24"/>
          <w:szCs w:val="24"/>
        </w:rPr>
        <w:t>.</w:t>
      </w:r>
      <w:r w:rsidR="00F70791"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However, </w:t>
      </w:r>
      <w:r w:rsidR="00AF220D" w:rsidRPr="007C61D2">
        <w:rPr>
          <w:rFonts w:ascii="Garamond" w:eastAsia="Times New Roman" w:hAnsi="Garamond" w:cs="Times New Roman"/>
          <w:sz w:val="24"/>
          <w:szCs w:val="24"/>
        </w:rPr>
        <w:t>to the extent that state law contributes to the constitution of gendered subjects, including through its hailing function</w:t>
      </w:r>
      <w:r w:rsidR="0027563D" w:rsidRPr="007C61D2">
        <w:rPr>
          <w:rFonts w:ascii="Garamond" w:eastAsia="Times New Roman" w:hAnsi="Garamond" w:cs="Times New Roman"/>
          <w:sz w:val="24"/>
          <w:szCs w:val="24"/>
        </w:rPr>
        <w:t xml:space="preserve"> (see also Grabham, this issue)</w:t>
      </w:r>
      <w:r w:rsidR="00AF220D" w:rsidRPr="007C61D2">
        <w:rPr>
          <w:rFonts w:ascii="Garamond" w:eastAsia="Times New Roman" w:hAnsi="Garamond" w:cs="Times New Roman"/>
          <w:sz w:val="24"/>
          <w:szCs w:val="24"/>
        </w:rPr>
        <w:t xml:space="preserve">, </w:t>
      </w:r>
      <w:r w:rsidR="00666C63" w:rsidRPr="007C61D2">
        <w:rPr>
          <w:rFonts w:ascii="Garamond" w:eastAsia="Times New Roman" w:hAnsi="Garamond" w:cs="Times New Roman"/>
          <w:sz w:val="24"/>
          <w:szCs w:val="24"/>
        </w:rPr>
        <w:t xml:space="preserve">decertification </w:t>
      </w:r>
      <w:r w:rsidR="00444433" w:rsidRPr="007C61D2">
        <w:rPr>
          <w:rFonts w:ascii="Garamond" w:eastAsia="Times New Roman" w:hAnsi="Garamond" w:cs="Times New Roman"/>
          <w:sz w:val="24"/>
          <w:szCs w:val="24"/>
        </w:rPr>
        <w:t xml:space="preserve">may </w:t>
      </w:r>
      <w:r w:rsidR="0027563D" w:rsidRPr="007C61D2">
        <w:rPr>
          <w:rFonts w:ascii="Garamond" w:eastAsia="Times New Roman" w:hAnsi="Garamond" w:cs="Times New Roman"/>
          <w:sz w:val="24"/>
          <w:szCs w:val="24"/>
        </w:rPr>
        <w:t xml:space="preserve">weaken </w:t>
      </w:r>
      <w:r w:rsidR="00AB3365" w:rsidRPr="007C61D2">
        <w:rPr>
          <w:rFonts w:ascii="Garamond" w:eastAsia="Times New Roman" w:hAnsi="Garamond" w:cs="Times New Roman"/>
          <w:sz w:val="24"/>
          <w:szCs w:val="24"/>
        </w:rPr>
        <w:t xml:space="preserve">the naturalisation </w:t>
      </w:r>
      <w:r w:rsidR="0027563D" w:rsidRPr="007C61D2">
        <w:rPr>
          <w:rFonts w:ascii="Garamond" w:eastAsia="Times New Roman" w:hAnsi="Garamond" w:cs="Times New Roman"/>
          <w:sz w:val="24"/>
          <w:szCs w:val="24"/>
        </w:rPr>
        <w:t xml:space="preserve">of </w:t>
      </w:r>
      <w:r w:rsidR="00AF220D" w:rsidRPr="007C61D2">
        <w:rPr>
          <w:rFonts w:ascii="Garamond" w:eastAsia="Times New Roman" w:hAnsi="Garamond" w:cs="Times New Roman"/>
          <w:sz w:val="24"/>
          <w:szCs w:val="24"/>
        </w:rPr>
        <w:t xml:space="preserve">gender-based </w:t>
      </w:r>
      <w:r w:rsidR="005F193B" w:rsidRPr="007C61D2">
        <w:rPr>
          <w:rFonts w:ascii="Garamond" w:eastAsia="Times New Roman" w:hAnsi="Garamond" w:cs="Times New Roman"/>
          <w:sz w:val="24"/>
          <w:szCs w:val="24"/>
        </w:rPr>
        <w:t xml:space="preserve">distinctions and </w:t>
      </w:r>
      <w:r w:rsidR="004F74F2" w:rsidRPr="007C61D2">
        <w:rPr>
          <w:rFonts w:ascii="Garamond" w:eastAsia="Times New Roman" w:hAnsi="Garamond" w:cs="Times New Roman"/>
          <w:sz w:val="24"/>
          <w:szCs w:val="24"/>
        </w:rPr>
        <w:t>inequalities</w:t>
      </w:r>
      <w:r w:rsidRPr="007C61D2">
        <w:rPr>
          <w:rFonts w:ascii="Garamond" w:eastAsia="Times New Roman" w:hAnsi="Garamond" w:cs="Times New Roman"/>
          <w:sz w:val="24"/>
          <w:szCs w:val="24"/>
        </w:rPr>
        <w:t>, which</w:t>
      </w:r>
      <w:r w:rsidR="005F193B" w:rsidRPr="007C61D2">
        <w:rPr>
          <w:rFonts w:ascii="Garamond" w:eastAsia="Times New Roman" w:hAnsi="Garamond" w:cs="Times New Roman"/>
          <w:sz w:val="24"/>
          <w:szCs w:val="24"/>
        </w:rPr>
        <w:t xml:space="preserve"> </w:t>
      </w:r>
      <w:r w:rsidR="0027563D" w:rsidRPr="007C61D2">
        <w:rPr>
          <w:rFonts w:ascii="Garamond" w:eastAsia="Times New Roman" w:hAnsi="Garamond" w:cs="Times New Roman"/>
          <w:sz w:val="24"/>
          <w:szCs w:val="24"/>
        </w:rPr>
        <w:t xml:space="preserve">arise from </w:t>
      </w:r>
      <w:r w:rsidR="00AF220D" w:rsidRPr="007C61D2">
        <w:rPr>
          <w:rFonts w:ascii="Garamond" w:eastAsia="Times New Roman" w:hAnsi="Garamond" w:cs="Times New Roman"/>
          <w:sz w:val="24"/>
          <w:szCs w:val="24"/>
        </w:rPr>
        <w:t xml:space="preserve">treating </w:t>
      </w:r>
      <w:r w:rsidR="00657FCF" w:rsidRPr="007C61D2">
        <w:rPr>
          <w:rFonts w:ascii="Garamond" w:eastAsia="Times New Roman" w:hAnsi="Garamond" w:cs="Times New Roman"/>
          <w:sz w:val="24"/>
          <w:szCs w:val="24"/>
        </w:rPr>
        <w:t>humans</w:t>
      </w:r>
      <w:r w:rsidR="00AF220D" w:rsidRPr="007C61D2">
        <w:rPr>
          <w:rFonts w:ascii="Garamond" w:eastAsia="Times New Roman" w:hAnsi="Garamond" w:cs="Times New Roman"/>
          <w:sz w:val="24"/>
          <w:szCs w:val="24"/>
        </w:rPr>
        <w:t xml:space="preserve">, </w:t>
      </w:r>
      <w:r w:rsidR="00AF220D" w:rsidRPr="007C61D2">
        <w:rPr>
          <w:rFonts w:ascii="Garamond" w:eastAsia="Times New Roman" w:hAnsi="Garamond" w:cs="Times New Roman"/>
          <w:i/>
          <w:iCs/>
          <w:sz w:val="24"/>
          <w:szCs w:val="24"/>
        </w:rPr>
        <w:t>from the start</w:t>
      </w:r>
      <w:r w:rsidR="00AF220D" w:rsidRPr="007C61D2">
        <w:rPr>
          <w:rFonts w:ascii="Garamond" w:eastAsia="Times New Roman" w:hAnsi="Garamond" w:cs="Times New Roman"/>
          <w:sz w:val="24"/>
          <w:szCs w:val="24"/>
        </w:rPr>
        <w:t>,</w:t>
      </w:r>
      <w:r w:rsidR="004F74F2" w:rsidRPr="007C61D2">
        <w:rPr>
          <w:rFonts w:ascii="Garamond" w:eastAsia="Times New Roman" w:hAnsi="Garamond" w:cs="Times New Roman"/>
          <w:sz w:val="24"/>
          <w:szCs w:val="24"/>
        </w:rPr>
        <w:t xml:space="preserve"> as legally sexed and gendered subjects.</w:t>
      </w:r>
      <w:r w:rsidR="00F70791"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 xml:space="preserve">In a sense, we might think of decertification as prefiguring </w:t>
      </w:r>
      <w:r w:rsidR="004F74F2" w:rsidRPr="007C61D2">
        <w:rPr>
          <w:rFonts w:ascii="Garamond" w:eastAsia="Times New Roman" w:hAnsi="Garamond" w:cs="Times New Roman"/>
          <w:i/>
          <w:iCs/>
          <w:sz w:val="24"/>
          <w:szCs w:val="24"/>
        </w:rPr>
        <w:t xml:space="preserve">what gender could </w:t>
      </w:r>
      <w:r w:rsidR="000716D8" w:rsidRPr="007C61D2">
        <w:rPr>
          <w:rFonts w:ascii="Garamond" w:eastAsia="Times New Roman" w:hAnsi="Garamond" w:cs="Times New Roman"/>
          <w:i/>
          <w:iCs/>
          <w:sz w:val="24"/>
          <w:szCs w:val="24"/>
        </w:rPr>
        <w:t xml:space="preserve">more broadly </w:t>
      </w:r>
      <w:r w:rsidR="004F74F2" w:rsidRPr="007C61D2">
        <w:rPr>
          <w:rFonts w:ascii="Garamond" w:eastAsia="Times New Roman" w:hAnsi="Garamond" w:cs="Times New Roman"/>
          <w:i/>
          <w:iCs/>
          <w:sz w:val="24"/>
          <w:szCs w:val="24"/>
        </w:rPr>
        <w:t>become</w:t>
      </w:r>
      <w:r w:rsidR="004F74F2" w:rsidRPr="007C61D2">
        <w:rPr>
          <w:rFonts w:ascii="Garamond" w:eastAsia="Times New Roman" w:hAnsi="Garamond" w:cs="Times New Roman"/>
          <w:sz w:val="24"/>
          <w:szCs w:val="24"/>
        </w:rPr>
        <w:t xml:space="preserve"> </w:t>
      </w:r>
      <w:r w:rsidR="005A2B88" w:rsidRPr="007C61D2">
        <w:rPr>
          <w:rFonts w:ascii="Garamond" w:eastAsia="Times New Roman" w:hAnsi="Garamond" w:cs="Times New Roman"/>
          <w:sz w:val="24"/>
          <w:szCs w:val="24"/>
        </w:rPr>
        <w:t>–</w:t>
      </w:r>
      <w:r w:rsidR="000716D8" w:rsidRPr="007C61D2">
        <w:rPr>
          <w:rFonts w:ascii="Garamond" w:eastAsia="Times New Roman" w:hAnsi="Garamond" w:cs="Times New Roman"/>
          <w:sz w:val="24"/>
          <w:szCs w:val="24"/>
        </w:rPr>
        <w:t xml:space="preserve"> </w:t>
      </w:r>
      <w:r w:rsidR="00890C33" w:rsidRPr="007C61D2">
        <w:rPr>
          <w:rFonts w:ascii="Garamond" w:eastAsia="Times New Roman" w:hAnsi="Garamond" w:cs="Times New Roman"/>
          <w:sz w:val="24"/>
          <w:szCs w:val="24"/>
        </w:rPr>
        <w:t>patterned or idiosyncratic differences</w:t>
      </w:r>
      <w:r w:rsidR="00DC2745" w:rsidRPr="007C61D2">
        <w:rPr>
          <w:rFonts w:ascii="Garamond" w:eastAsia="Times New Roman" w:hAnsi="Garamond" w:cs="Times New Roman"/>
          <w:sz w:val="24"/>
          <w:szCs w:val="24"/>
        </w:rPr>
        <w:t xml:space="preserve"> </w:t>
      </w:r>
      <w:r w:rsidR="00890C33" w:rsidRPr="007C61D2">
        <w:rPr>
          <w:rFonts w:ascii="Garamond" w:eastAsia="Times New Roman" w:hAnsi="Garamond" w:cs="Times New Roman"/>
          <w:sz w:val="24"/>
          <w:szCs w:val="24"/>
        </w:rPr>
        <w:t>devoid of power</w:t>
      </w:r>
      <w:r w:rsidR="00D26CEE"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Yet, like all prefiguring projects, one risk in acting “as if things were otherwise” is losing the critical engagement with how things currently are</w:t>
      </w:r>
      <w:r w:rsidR="000716D8" w:rsidRPr="007C61D2">
        <w:rPr>
          <w:rFonts w:ascii="Garamond" w:eastAsia="Times New Roman" w:hAnsi="Garamond" w:cs="Times New Roman"/>
          <w:sz w:val="24"/>
          <w:szCs w:val="24"/>
        </w:rPr>
        <w:t xml:space="preserve"> (see Cooper 2020)</w:t>
      </w:r>
      <w:r w:rsidR="004F74F2" w:rsidRPr="007C61D2">
        <w:rPr>
          <w:rFonts w:ascii="Garamond" w:eastAsia="Times New Roman" w:hAnsi="Garamond" w:cs="Times New Roman"/>
          <w:sz w:val="24"/>
          <w:szCs w:val="24"/>
        </w:rPr>
        <w:t>.</w:t>
      </w:r>
      <w:r w:rsidR="00F70791" w:rsidRPr="007C61D2">
        <w:rPr>
          <w:rFonts w:ascii="Garamond" w:eastAsia="Times New Roman" w:hAnsi="Garamond" w:cs="Times New Roman"/>
          <w:sz w:val="24"/>
          <w:szCs w:val="24"/>
        </w:rPr>
        <w:t xml:space="preserve"> </w:t>
      </w:r>
      <w:r w:rsidR="004F74F2" w:rsidRPr="007C61D2">
        <w:rPr>
          <w:rFonts w:ascii="Garamond" w:eastAsia="Times New Roman" w:hAnsi="Garamond" w:cs="Times New Roman"/>
          <w:sz w:val="24"/>
          <w:szCs w:val="24"/>
        </w:rPr>
        <w:t>Can decertification contribute something here too?</w:t>
      </w:r>
      <w:r w:rsidR="00F70791" w:rsidRPr="007C61D2">
        <w:rPr>
          <w:rFonts w:ascii="Garamond" w:eastAsia="Times New Roman" w:hAnsi="Garamond" w:cs="Times New Roman"/>
          <w:sz w:val="24"/>
          <w:szCs w:val="24"/>
        </w:rPr>
        <w:t xml:space="preserve"> </w:t>
      </w:r>
    </w:p>
    <w:p w14:paraId="3225D971" w14:textId="482FECCC" w:rsidR="00EA4596" w:rsidRPr="007C61D2" w:rsidRDefault="00105986" w:rsidP="00AB322D">
      <w:pPr>
        <w:spacing w:before="240" w:after="120" w:line="360" w:lineRule="auto"/>
        <w:ind w:firstLine="709"/>
        <w:rPr>
          <w:rFonts w:ascii="Garamond" w:eastAsia="Times New Roman" w:hAnsi="Garamond" w:cs="Times New Roman"/>
          <w:sz w:val="24"/>
          <w:szCs w:val="24"/>
        </w:rPr>
      </w:pPr>
      <w:r>
        <w:rPr>
          <w:rFonts w:ascii="Garamond" w:eastAsia="Times New Roman" w:hAnsi="Garamond" w:cs="Times New Roman"/>
          <w:sz w:val="24"/>
          <w:szCs w:val="24"/>
        </w:rPr>
        <w:lastRenderedPageBreak/>
        <w:t>A</w:t>
      </w:r>
      <w:r w:rsidR="007A5EFC" w:rsidRPr="007C61D2">
        <w:rPr>
          <w:rFonts w:ascii="Garamond" w:eastAsia="Times New Roman" w:hAnsi="Garamond" w:cs="Times New Roman"/>
          <w:sz w:val="24"/>
          <w:szCs w:val="24"/>
        </w:rPr>
        <w:t xml:space="preserve">pproaching gender as legally belonging to the subject, whether as a status or identity, </w:t>
      </w:r>
      <w:r w:rsidR="00404C74">
        <w:rPr>
          <w:rFonts w:ascii="Garamond" w:eastAsia="Times New Roman" w:hAnsi="Garamond" w:cs="Times New Roman"/>
          <w:sz w:val="24"/>
          <w:szCs w:val="24"/>
        </w:rPr>
        <w:t xml:space="preserve">can be </w:t>
      </w:r>
      <w:r w:rsidR="007A5EFC" w:rsidRPr="007C61D2">
        <w:rPr>
          <w:rFonts w:ascii="Garamond" w:eastAsia="Times New Roman" w:hAnsi="Garamond" w:cs="Times New Roman"/>
          <w:sz w:val="24"/>
          <w:szCs w:val="24"/>
        </w:rPr>
        <w:t>problematic</w:t>
      </w:r>
      <w:r>
        <w:rPr>
          <w:rFonts w:ascii="Garamond" w:eastAsia="Times New Roman" w:hAnsi="Garamond" w:cs="Times New Roman"/>
          <w:sz w:val="24"/>
          <w:szCs w:val="24"/>
        </w:rPr>
        <w:t xml:space="preserve"> </w:t>
      </w:r>
      <w:r w:rsidR="00404C74">
        <w:rPr>
          <w:rFonts w:ascii="Garamond" w:eastAsia="Times New Roman" w:hAnsi="Garamond" w:cs="Times New Roman"/>
          <w:sz w:val="24"/>
          <w:szCs w:val="24"/>
        </w:rPr>
        <w:t xml:space="preserve">in </w:t>
      </w:r>
      <w:r w:rsidR="007A5EFC" w:rsidRPr="007C61D2">
        <w:rPr>
          <w:rFonts w:ascii="Garamond" w:eastAsia="Times New Roman" w:hAnsi="Garamond" w:cs="Times New Roman"/>
          <w:sz w:val="24"/>
          <w:szCs w:val="24"/>
        </w:rPr>
        <w:t>reinforc</w:t>
      </w:r>
      <w:r w:rsidR="00404C74">
        <w:rPr>
          <w:rFonts w:ascii="Garamond" w:eastAsia="Times New Roman" w:hAnsi="Garamond" w:cs="Times New Roman"/>
          <w:sz w:val="24"/>
          <w:szCs w:val="24"/>
        </w:rPr>
        <w:t>ing</w:t>
      </w:r>
      <w:r w:rsidR="00444433" w:rsidRPr="007C61D2">
        <w:rPr>
          <w:rFonts w:ascii="Garamond" w:eastAsia="Times New Roman" w:hAnsi="Garamond" w:cs="Times New Roman"/>
          <w:sz w:val="24"/>
          <w:szCs w:val="24"/>
        </w:rPr>
        <w:t xml:space="preserve"> </w:t>
      </w:r>
      <w:r w:rsidR="007A5EFC" w:rsidRPr="007C61D2">
        <w:rPr>
          <w:rFonts w:ascii="Garamond" w:eastAsia="Times New Roman" w:hAnsi="Garamond" w:cs="Times New Roman"/>
          <w:sz w:val="24"/>
          <w:szCs w:val="24"/>
        </w:rPr>
        <w:t xml:space="preserve">the notion that gender </w:t>
      </w:r>
      <w:r w:rsidR="000716D8" w:rsidRPr="007C61D2">
        <w:rPr>
          <w:rFonts w:ascii="Garamond" w:eastAsia="Times New Roman" w:hAnsi="Garamond" w:cs="Times New Roman"/>
          <w:sz w:val="24"/>
          <w:szCs w:val="24"/>
        </w:rPr>
        <w:t xml:space="preserve">naturally </w:t>
      </w:r>
      <w:r w:rsidR="007A5EFC" w:rsidRPr="007C61D2">
        <w:rPr>
          <w:rFonts w:ascii="Garamond" w:eastAsia="Times New Roman" w:hAnsi="Garamond" w:cs="Times New Roman"/>
          <w:sz w:val="24"/>
          <w:szCs w:val="24"/>
        </w:rPr>
        <w:t>takes a human shape</w:t>
      </w:r>
      <w:r w:rsidR="005836DB" w:rsidRPr="007C61D2">
        <w:rPr>
          <w:rFonts w:ascii="Garamond" w:eastAsia="Times New Roman" w:hAnsi="Garamond" w:cs="Times New Roman"/>
          <w:sz w:val="24"/>
          <w:szCs w:val="24"/>
        </w:rPr>
        <w:t>.</w:t>
      </w:r>
      <w:r w:rsidR="007A5EFC" w:rsidRPr="007C61D2">
        <w:rPr>
          <w:rFonts w:ascii="Garamond" w:eastAsia="Times New Roman" w:hAnsi="Garamond" w:cs="Times New Roman"/>
          <w:sz w:val="24"/>
          <w:szCs w:val="24"/>
        </w:rPr>
        <w:t xml:space="preserve"> </w:t>
      </w:r>
      <w:r w:rsidR="00AF220D" w:rsidRPr="007C61D2">
        <w:rPr>
          <w:rFonts w:ascii="Garamond" w:eastAsia="Times New Roman" w:hAnsi="Garamond" w:cs="Times New Roman"/>
          <w:sz w:val="24"/>
          <w:szCs w:val="24"/>
        </w:rPr>
        <w:t>Decertification</w:t>
      </w:r>
      <w:r w:rsidR="009B4EDF" w:rsidRPr="007C61D2">
        <w:rPr>
          <w:rFonts w:ascii="Garamond" w:eastAsia="Times New Roman" w:hAnsi="Garamond" w:cs="Times New Roman"/>
          <w:sz w:val="24"/>
          <w:szCs w:val="24"/>
        </w:rPr>
        <w:t xml:space="preserve"> undoes this</w:t>
      </w:r>
      <w:r w:rsidR="00D26CEE" w:rsidRPr="007C61D2">
        <w:rPr>
          <w:rFonts w:ascii="Garamond" w:eastAsia="Times New Roman" w:hAnsi="Garamond" w:cs="Times New Roman"/>
          <w:sz w:val="24"/>
          <w:szCs w:val="24"/>
        </w:rPr>
        <w:t xml:space="preserve"> reinforcement</w:t>
      </w:r>
      <w:r w:rsidR="009B4EDF" w:rsidRPr="007C61D2">
        <w:rPr>
          <w:rFonts w:ascii="Garamond" w:eastAsia="Times New Roman" w:hAnsi="Garamond" w:cs="Times New Roman"/>
          <w:sz w:val="24"/>
          <w:szCs w:val="24"/>
        </w:rPr>
        <w:t>. It is not that it articulates, by itself, a more soci</w:t>
      </w:r>
      <w:r w:rsidR="00890C33" w:rsidRPr="007C61D2">
        <w:rPr>
          <w:rFonts w:ascii="Garamond" w:eastAsia="Times New Roman" w:hAnsi="Garamond" w:cs="Times New Roman"/>
          <w:sz w:val="24"/>
          <w:szCs w:val="24"/>
        </w:rPr>
        <w:t>eta</w:t>
      </w:r>
      <w:r w:rsidR="009B4EDF" w:rsidRPr="007C61D2">
        <w:rPr>
          <w:rFonts w:ascii="Garamond" w:eastAsia="Times New Roman" w:hAnsi="Garamond" w:cs="Times New Roman"/>
          <w:sz w:val="24"/>
          <w:szCs w:val="24"/>
        </w:rPr>
        <w:t xml:space="preserve">l-shaped account of gender, but it avoids </w:t>
      </w:r>
      <w:r w:rsidR="00D26CEE" w:rsidRPr="007C61D2">
        <w:rPr>
          <w:rFonts w:ascii="Garamond" w:eastAsia="Times New Roman" w:hAnsi="Garamond" w:cs="Times New Roman"/>
          <w:sz w:val="24"/>
          <w:szCs w:val="24"/>
        </w:rPr>
        <w:t xml:space="preserve">contributing to </w:t>
      </w:r>
      <w:r w:rsidR="009B4EDF" w:rsidRPr="007C61D2">
        <w:rPr>
          <w:rFonts w:ascii="Garamond" w:eastAsia="Times New Roman" w:hAnsi="Garamond" w:cs="Times New Roman"/>
          <w:sz w:val="24"/>
          <w:szCs w:val="24"/>
        </w:rPr>
        <w:t>the notion that gender is something that belongs to humans</w:t>
      </w:r>
      <w:r w:rsidR="00890C33" w:rsidRPr="007C61D2">
        <w:rPr>
          <w:rFonts w:ascii="Garamond" w:eastAsia="Times New Roman" w:hAnsi="Garamond" w:cs="Times New Roman"/>
          <w:sz w:val="24"/>
          <w:szCs w:val="24"/>
        </w:rPr>
        <w:t xml:space="preserve">, and </w:t>
      </w:r>
      <w:r w:rsidR="00AB3365" w:rsidRPr="007C61D2">
        <w:rPr>
          <w:rFonts w:ascii="Garamond" w:eastAsia="Times New Roman" w:hAnsi="Garamond" w:cs="Times New Roman"/>
          <w:sz w:val="24"/>
          <w:szCs w:val="24"/>
        </w:rPr>
        <w:t xml:space="preserve">only </w:t>
      </w:r>
      <w:r w:rsidR="00890C33" w:rsidRPr="007C61D2">
        <w:rPr>
          <w:rFonts w:ascii="Garamond" w:eastAsia="Times New Roman" w:hAnsi="Garamond" w:cs="Times New Roman"/>
          <w:sz w:val="24"/>
          <w:szCs w:val="24"/>
        </w:rPr>
        <w:t>to</w:t>
      </w:r>
      <w:r w:rsidR="00AB3365" w:rsidRPr="007C61D2">
        <w:rPr>
          <w:rFonts w:ascii="Garamond" w:eastAsia="Times New Roman" w:hAnsi="Garamond" w:cs="Times New Roman"/>
          <w:sz w:val="24"/>
          <w:szCs w:val="24"/>
        </w:rPr>
        <w:t xml:space="preserve"> humans.</w:t>
      </w:r>
      <w:r w:rsidR="00890C33" w:rsidRPr="007C61D2">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Reducing gender to </w:t>
      </w:r>
      <w:r w:rsidR="00F45F3F" w:rsidRPr="007C61D2">
        <w:rPr>
          <w:rFonts w:ascii="Garamond" w:eastAsia="Times New Roman" w:hAnsi="Garamond" w:cs="Times New Roman"/>
          <w:sz w:val="24"/>
          <w:szCs w:val="24"/>
        </w:rPr>
        <w:t>human-sized pieces</w:t>
      </w:r>
      <w:r>
        <w:rPr>
          <w:rFonts w:ascii="Garamond" w:eastAsia="Times New Roman" w:hAnsi="Garamond" w:cs="Times New Roman"/>
          <w:sz w:val="24"/>
          <w:szCs w:val="24"/>
        </w:rPr>
        <w:t xml:space="preserve"> </w:t>
      </w:r>
      <w:r w:rsidR="00657FCF" w:rsidRPr="007C61D2">
        <w:rPr>
          <w:rFonts w:ascii="Garamond" w:eastAsia="Times New Roman" w:hAnsi="Garamond" w:cs="Times New Roman"/>
          <w:sz w:val="24"/>
          <w:szCs w:val="24"/>
        </w:rPr>
        <w:t>leav</w:t>
      </w:r>
      <w:r>
        <w:rPr>
          <w:rFonts w:ascii="Garamond" w:eastAsia="Times New Roman" w:hAnsi="Garamond" w:cs="Times New Roman"/>
          <w:sz w:val="24"/>
          <w:szCs w:val="24"/>
        </w:rPr>
        <w:t xml:space="preserve">es </w:t>
      </w:r>
      <w:r w:rsidR="00657FCF" w:rsidRPr="007C61D2">
        <w:rPr>
          <w:rFonts w:ascii="Garamond" w:eastAsia="Times New Roman" w:hAnsi="Garamond" w:cs="Times New Roman"/>
          <w:sz w:val="24"/>
          <w:szCs w:val="24"/>
        </w:rPr>
        <w:t>a lot of important processes unaccounted for</w:t>
      </w:r>
      <w:r>
        <w:rPr>
          <w:rFonts w:ascii="Garamond" w:eastAsia="Times New Roman" w:hAnsi="Garamond" w:cs="Times New Roman"/>
          <w:sz w:val="24"/>
          <w:szCs w:val="24"/>
        </w:rPr>
        <w:t>, from the gendering of public space to the gendering of international relations and war. But in recognising these processes as also gendered, and in approaching gender as a</w:t>
      </w:r>
      <w:r w:rsidR="00C211D6">
        <w:rPr>
          <w:rFonts w:ascii="Garamond" w:eastAsia="Times New Roman" w:hAnsi="Garamond" w:cs="Times New Roman"/>
          <w:sz w:val="24"/>
          <w:szCs w:val="24"/>
        </w:rPr>
        <w:t>n ordering</w:t>
      </w:r>
      <w:r>
        <w:rPr>
          <w:rFonts w:ascii="Garamond" w:eastAsia="Times New Roman" w:hAnsi="Garamond" w:cs="Times New Roman"/>
          <w:sz w:val="24"/>
          <w:szCs w:val="24"/>
        </w:rPr>
        <w:t xml:space="preserve"> process</w:t>
      </w:r>
      <w:r w:rsidR="00C211D6">
        <w:rPr>
          <w:rFonts w:ascii="Garamond" w:eastAsia="Times New Roman" w:hAnsi="Garamond" w:cs="Times New Roman"/>
          <w:sz w:val="24"/>
          <w:szCs w:val="24"/>
        </w:rPr>
        <w:t xml:space="preserve"> that gives things shape</w:t>
      </w:r>
      <w:r>
        <w:rPr>
          <w:rFonts w:ascii="Garamond" w:eastAsia="Times New Roman" w:hAnsi="Garamond" w:cs="Times New Roman"/>
          <w:sz w:val="24"/>
          <w:szCs w:val="24"/>
        </w:rPr>
        <w:t xml:space="preserve">, one challenge </w:t>
      </w:r>
      <w:r w:rsidR="00DC2745" w:rsidRPr="007C61D2">
        <w:rPr>
          <w:rFonts w:ascii="Garamond" w:eastAsia="Times New Roman" w:hAnsi="Garamond" w:cs="Times New Roman"/>
          <w:sz w:val="24"/>
          <w:szCs w:val="24"/>
        </w:rPr>
        <w:t xml:space="preserve">is </w:t>
      </w:r>
      <w:r w:rsidR="00F45F3F" w:rsidRPr="007C61D2">
        <w:rPr>
          <w:rFonts w:ascii="Garamond" w:eastAsia="Times New Roman" w:hAnsi="Garamond" w:cs="Times New Roman"/>
          <w:sz w:val="24"/>
          <w:szCs w:val="24"/>
        </w:rPr>
        <w:t xml:space="preserve">how </w:t>
      </w:r>
      <w:r w:rsidR="00C211D6">
        <w:rPr>
          <w:rFonts w:ascii="Garamond" w:eastAsia="Times New Roman" w:hAnsi="Garamond" w:cs="Times New Roman"/>
          <w:sz w:val="24"/>
          <w:szCs w:val="24"/>
        </w:rPr>
        <w:t xml:space="preserve">to navigate the relationship between a </w:t>
      </w:r>
      <w:r w:rsidR="00FE5180" w:rsidRPr="007C61D2">
        <w:rPr>
          <w:rFonts w:ascii="Garamond" w:eastAsia="Times New Roman" w:hAnsi="Garamond" w:cs="Times New Roman"/>
          <w:sz w:val="24"/>
          <w:szCs w:val="24"/>
        </w:rPr>
        <w:t xml:space="preserve">societal account </w:t>
      </w:r>
      <w:r w:rsidR="00C211D6">
        <w:rPr>
          <w:rFonts w:ascii="Garamond" w:eastAsia="Times New Roman" w:hAnsi="Garamond" w:cs="Times New Roman"/>
          <w:sz w:val="24"/>
          <w:szCs w:val="24"/>
        </w:rPr>
        <w:t xml:space="preserve">and </w:t>
      </w:r>
      <w:r w:rsidR="009B4EDF" w:rsidRPr="007C61D2">
        <w:rPr>
          <w:rFonts w:ascii="Garamond" w:eastAsia="Times New Roman" w:hAnsi="Garamond" w:cs="Times New Roman"/>
          <w:sz w:val="24"/>
          <w:szCs w:val="24"/>
        </w:rPr>
        <w:t xml:space="preserve">a </w:t>
      </w:r>
      <w:r w:rsidR="00F45F3F" w:rsidRPr="007C61D2">
        <w:rPr>
          <w:rFonts w:ascii="Garamond" w:eastAsia="Times New Roman" w:hAnsi="Garamond" w:cs="Times New Roman"/>
          <w:sz w:val="24"/>
          <w:szCs w:val="24"/>
        </w:rPr>
        <w:t>human-centred</w:t>
      </w:r>
      <w:r w:rsidR="00F54DB0" w:rsidRPr="007C61D2">
        <w:rPr>
          <w:rStyle w:val="FootnoteReference"/>
          <w:rFonts w:ascii="Garamond" w:eastAsia="Times New Roman" w:hAnsi="Garamond" w:cs="Times New Roman"/>
          <w:sz w:val="24"/>
          <w:szCs w:val="24"/>
        </w:rPr>
        <w:footnoteReference w:id="20"/>
      </w:r>
      <w:r w:rsidR="00F45F3F" w:rsidRPr="007C61D2">
        <w:rPr>
          <w:rFonts w:ascii="Garamond" w:eastAsia="Times New Roman" w:hAnsi="Garamond" w:cs="Times New Roman"/>
          <w:sz w:val="24"/>
          <w:szCs w:val="24"/>
        </w:rPr>
        <w:t xml:space="preserve"> </w:t>
      </w:r>
      <w:r w:rsidR="00404C74">
        <w:rPr>
          <w:rFonts w:ascii="Garamond" w:eastAsia="Times New Roman" w:hAnsi="Garamond" w:cs="Times New Roman"/>
          <w:sz w:val="24"/>
          <w:szCs w:val="24"/>
        </w:rPr>
        <w:t xml:space="preserve">one, concerned with </w:t>
      </w:r>
      <w:r w:rsidR="00F45F3F" w:rsidRPr="007C61D2">
        <w:rPr>
          <w:rFonts w:ascii="Garamond" w:eastAsia="Times New Roman" w:hAnsi="Garamond" w:cs="Times New Roman"/>
          <w:sz w:val="24"/>
          <w:szCs w:val="24"/>
        </w:rPr>
        <w:t>gender</w:t>
      </w:r>
      <w:r w:rsidR="00C211D6">
        <w:rPr>
          <w:rFonts w:ascii="Garamond" w:eastAsia="Times New Roman" w:hAnsi="Garamond" w:cs="Times New Roman"/>
          <w:sz w:val="24"/>
          <w:szCs w:val="24"/>
        </w:rPr>
        <w:t>ed expressions of selfhood, recognition</w:t>
      </w:r>
      <w:r w:rsidR="00EA4596" w:rsidRPr="007C61D2">
        <w:rPr>
          <w:rFonts w:ascii="Garamond" w:eastAsia="Times New Roman" w:hAnsi="Garamond" w:cs="Times New Roman"/>
          <w:sz w:val="24"/>
          <w:szCs w:val="24"/>
        </w:rPr>
        <w:t>, and attachment</w:t>
      </w:r>
      <w:r w:rsidR="00C211D6">
        <w:rPr>
          <w:rFonts w:ascii="Garamond" w:eastAsia="Times New Roman" w:hAnsi="Garamond" w:cs="Times New Roman"/>
          <w:sz w:val="24"/>
          <w:szCs w:val="24"/>
        </w:rPr>
        <w:t xml:space="preserve"> as well as gender-based harms</w:t>
      </w:r>
      <w:r w:rsidR="00B966F1" w:rsidRPr="007C61D2">
        <w:rPr>
          <w:rFonts w:ascii="Garamond" w:eastAsia="Times New Roman" w:hAnsi="Garamond" w:cs="Times New Roman"/>
          <w:sz w:val="24"/>
          <w:szCs w:val="24"/>
        </w:rPr>
        <w:t xml:space="preserve"> (see also Fletcher, this issue)</w:t>
      </w:r>
      <w:r w:rsidR="00FE5180" w:rsidRPr="007C61D2">
        <w:rPr>
          <w:rFonts w:ascii="Garamond" w:eastAsia="Times New Roman" w:hAnsi="Garamond" w:cs="Times New Roman"/>
          <w:sz w:val="24"/>
          <w:szCs w:val="24"/>
        </w:rPr>
        <w:t xml:space="preserve">. </w:t>
      </w:r>
    </w:p>
    <w:p w14:paraId="4A92E261" w14:textId="5F636899" w:rsidR="005A2B88" w:rsidRPr="007C61D2" w:rsidRDefault="009D67B1" w:rsidP="00654B6E">
      <w:pPr>
        <w:pStyle w:val="Heading2"/>
        <w:spacing w:before="240"/>
      </w:pPr>
      <w:r>
        <w:t xml:space="preserve">3. </w:t>
      </w:r>
      <w:r w:rsidR="005A2B88" w:rsidRPr="007C61D2">
        <w:t>Feminist criticisms of decertification</w:t>
      </w:r>
    </w:p>
    <w:p w14:paraId="4CBF6C0B" w14:textId="6B5381EB" w:rsidR="00310F07" w:rsidRPr="007C61D2" w:rsidRDefault="000716D8" w:rsidP="00AB322D">
      <w:pPr>
        <w:spacing w:before="240" w:after="120" w:line="360" w:lineRule="auto"/>
        <w:rPr>
          <w:rFonts w:ascii="Garamond" w:eastAsia="Times New Roman" w:hAnsi="Garamond" w:cs="Times New Roman"/>
          <w:sz w:val="24"/>
          <w:szCs w:val="24"/>
        </w:rPr>
      </w:pPr>
      <w:bookmarkStart w:id="4" w:name="_Hlk48673253"/>
      <w:r w:rsidRPr="007C61D2">
        <w:rPr>
          <w:rFonts w:ascii="Garamond" w:eastAsia="Times New Roman" w:hAnsi="Garamond" w:cs="Times New Roman"/>
          <w:sz w:val="24"/>
          <w:szCs w:val="24"/>
        </w:rPr>
        <w:t xml:space="preserve">While some </w:t>
      </w:r>
      <w:r w:rsidR="0004647D" w:rsidRPr="007C61D2">
        <w:rPr>
          <w:rFonts w:ascii="Garamond" w:eastAsia="Times New Roman" w:hAnsi="Garamond" w:cs="Times New Roman"/>
          <w:sz w:val="24"/>
          <w:szCs w:val="24"/>
        </w:rPr>
        <w:t xml:space="preserve">feminist </w:t>
      </w:r>
      <w:r w:rsidR="000A7FB2" w:rsidRPr="007C61D2">
        <w:rPr>
          <w:rFonts w:ascii="Garamond" w:eastAsia="Times New Roman" w:hAnsi="Garamond" w:cs="Times New Roman"/>
          <w:sz w:val="24"/>
          <w:szCs w:val="24"/>
        </w:rPr>
        <w:t>interviewees and discussants</w:t>
      </w:r>
      <w:r w:rsidR="00C966BA" w:rsidRPr="007C61D2">
        <w:rPr>
          <w:rFonts w:ascii="Garamond" w:eastAsia="Times New Roman" w:hAnsi="Garamond" w:cs="Times New Roman"/>
          <w:sz w:val="24"/>
          <w:szCs w:val="24"/>
        </w:rPr>
        <w:t xml:space="preserve"> </w:t>
      </w:r>
      <w:r w:rsidR="009B4EDF" w:rsidRPr="007C61D2">
        <w:rPr>
          <w:rFonts w:ascii="Garamond" w:eastAsia="Times New Roman" w:hAnsi="Garamond" w:cs="Times New Roman"/>
          <w:sz w:val="24"/>
          <w:szCs w:val="24"/>
        </w:rPr>
        <w:t xml:space="preserve">did </w:t>
      </w:r>
      <w:r w:rsidR="000A7FB2" w:rsidRPr="007C61D2">
        <w:rPr>
          <w:rFonts w:ascii="Garamond" w:eastAsia="Times New Roman" w:hAnsi="Garamond" w:cs="Times New Roman"/>
          <w:sz w:val="24"/>
          <w:szCs w:val="24"/>
        </w:rPr>
        <w:t xml:space="preserve">not view legal formalisation as necessary, or even helpful, for ameliorating </w:t>
      </w:r>
      <w:r w:rsidR="00D26CEE" w:rsidRPr="007C61D2">
        <w:rPr>
          <w:rFonts w:ascii="Garamond" w:eastAsia="Times New Roman" w:hAnsi="Garamond" w:cs="Times New Roman"/>
          <w:sz w:val="24"/>
          <w:szCs w:val="24"/>
        </w:rPr>
        <w:t xml:space="preserve">gender-based </w:t>
      </w:r>
      <w:r w:rsidR="000A7FB2" w:rsidRPr="007C61D2">
        <w:rPr>
          <w:rFonts w:ascii="Garamond" w:eastAsia="Times New Roman" w:hAnsi="Garamond" w:cs="Times New Roman"/>
          <w:sz w:val="24"/>
          <w:szCs w:val="24"/>
        </w:rPr>
        <w:t>injustice</w:t>
      </w:r>
      <w:r w:rsidR="00DC2745" w:rsidRPr="007C61D2">
        <w:rPr>
          <w:rFonts w:ascii="Garamond" w:eastAsia="Times New Roman" w:hAnsi="Garamond" w:cs="Times New Roman"/>
          <w:sz w:val="24"/>
          <w:szCs w:val="24"/>
        </w:rPr>
        <w:t>s</w:t>
      </w:r>
      <w:r w:rsidR="00C966BA" w:rsidRPr="007C61D2">
        <w:rPr>
          <w:rFonts w:ascii="Garamond" w:eastAsia="Times New Roman" w:hAnsi="Garamond" w:cs="Times New Roman"/>
          <w:sz w:val="24"/>
          <w:szCs w:val="24"/>
        </w:rPr>
        <w:t>,</w:t>
      </w:r>
      <w:r w:rsidR="000A7FB2" w:rsidRPr="007C61D2">
        <w:rPr>
          <w:rFonts w:ascii="Garamond" w:eastAsia="Times New Roman" w:hAnsi="Garamond" w:cs="Times New Roman"/>
          <w:sz w:val="24"/>
          <w:szCs w:val="24"/>
        </w:rPr>
        <w:t xml:space="preserve"> others we spoke with</w:t>
      </w:r>
      <w:r w:rsidR="009B4EDF" w:rsidRPr="007C61D2">
        <w:rPr>
          <w:rFonts w:ascii="Garamond" w:eastAsia="Times New Roman" w:hAnsi="Garamond" w:cs="Times New Roman"/>
          <w:sz w:val="24"/>
          <w:szCs w:val="24"/>
        </w:rPr>
        <w:t xml:space="preserve"> did</w:t>
      </w:r>
      <w:r w:rsidR="00F54FCF" w:rsidRPr="007C61D2">
        <w:rPr>
          <w:rFonts w:ascii="Garamond" w:eastAsia="Times New Roman" w:hAnsi="Garamond" w:cs="Times New Roman"/>
          <w:sz w:val="24"/>
          <w:szCs w:val="24"/>
        </w:rPr>
        <w:t xml:space="preserve">. </w:t>
      </w:r>
      <w:bookmarkEnd w:id="4"/>
      <w:r w:rsidR="00C966BA" w:rsidRPr="007C61D2">
        <w:rPr>
          <w:rFonts w:ascii="Garamond" w:eastAsia="Times New Roman" w:hAnsi="Garamond" w:cs="Times New Roman"/>
          <w:sz w:val="24"/>
          <w:szCs w:val="24"/>
        </w:rPr>
        <w:t>They argued that r</w:t>
      </w:r>
      <w:r w:rsidR="00E432D1" w:rsidRPr="007C61D2">
        <w:rPr>
          <w:rFonts w:ascii="Garamond" w:eastAsia="Times New Roman" w:hAnsi="Garamond" w:cs="Times New Roman"/>
          <w:sz w:val="24"/>
          <w:szCs w:val="24"/>
        </w:rPr>
        <w:t xml:space="preserve">etaining a system of legal gender status, </w:t>
      </w:r>
      <w:r w:rsidR="000A7FB2" w:rsidRPr="007C61D2">
        <w:rPr>
          <w:rFonts w:ascii="Garamond" w:eastAsia="Times New Roman" w:hAnsi="Garamond" w:cs="Times New Roman"/>
          <w:sz w:val="24"/>
          <w:szCs w:val="24"/>
        </w:rPr>
        <w:t xml:space="preserve">based on the sex registered </w:t>
      </w:r>
      <w:r w:rsidR="00E432D1" w:rsidRPr="007C61D2">
        <w:rPr>
          <w:rFonts w:ascii="Garamond" w:eastAsia="Times New Roman" w:hAnsi="Garamond" w:cs="Times New Roman"/>
          <w:sz w:val="24"/>
          <w:szCs w:val="24"/>
        </w:rPr>
        <w:t>at</w:t>
      </w:r>
      <w:r w:rsidR="00247081" w:rsidRPr="007C61D2">
        <w:rPr>
          <w:rFonts w:ascii="Garamond" w:eastAsia="Times New Roman" w:hAnsi="Garamond" w:cs="Times New Roman"/>
          <w:sz w:val="24"/>
          <w:szCs w:val="24"/>
        </w:rPr>
        <w:t xml:space="preserve"> </w:t>
      </w:r>
      <w:r w:rsidR="000A7FB2" w:rsidRPr="007C61D2">
        <w:rPr>
          <w:rFonts w:ascii="Garamond" w:eastAsia="Times New Roman" w:hAnsi="Garamond" w:cs="Times New Roman"/>
          <w:sz w:val="24"/>
          <w:szCs w:val="24"/>
        </w:rPr>
        <w:t>birth</w:t>
      </w:r>
      <w:r w:rsidR="009B4EDF" w:rsidRPr="007C61D2">
        <w:rPr>
          <w:rFonts w:ascii="Garamond" w:eastAsia="Times New Roman" w:hAnsi="Garamond" w:cs="Times New Roman"/>
          <w:sz w:val="24"/>
          <w:szCs w:val="24"/>
        </w:rPr>
        <w:t xml:space="preserve"> (with </w:t>
      </w:r>
      <w:r w:rsidR="00E432D1" w:rsidRPr="007C61D2">
        <w:rPr>
          <w:rFonts w:ascii="Garamond" w:eastAsia="Times New Roman" w:hAnsi="Garamond" w:cs="Times New Roman"/>
          <w:sz w:val="24"/>
          <w:szCs w:val="24"/>
        </w:rPr>
        <w:t xml:space="preserve">some </w:t>
      </w:r>
      <w:r w:rsidR="00FE5180" w:rsidRPr="007C61D2">
        <w:rPr>
          <w:rFonts w:ascii="Garamond" w:eastAsia="Times New Roman" w:hAnsi="Garamond" w:cs="Times New Roman"/>
          <w:sz w:val="24"/>
          <w:szCs w:val="24"/>
        </w:rPr>
        <w:t xml:space="preserve">limited </w:t>
      </w:r>
      <w:r w:rsidR="009B4EDF" w:rsidRPr="007C61D2">
        <w:rPr>
          <w:rFonts w:ascii="Garamond" w:eastAsia="Times New Roman" w:hAnsi="Garamond" w:cs="Times New Roman"/>
          <w:sz w:val="24"/>
          <w:szCs w:val="24"/>
        </w:rPr>
        <w:t xml:space="preserve">regulated movement between </w:t>
      </w:r>
      <w:r w:rsidR="00D26CEE" w:rsidRPr="007C61D2">
        <w:rPr>
          <w:rFonts w:ascii="Garamond" w:eastAsia="Times New Roman" w:hAnsi="Garamond" w:cs="Times New Roman"/>
          <w:sz w:val="24"/>
          <w:szCs w:val="24"/>
        </w:rPr>
        <w:t>categories)</w:t>
      </w:r>
      <w:r w:rsidR="00C966BA" w:rsidRPr="007C61D2">
        <w:rPr>
          <w:rFonts w:ascii="Garamond" w:eastAsia="Times New Roman" w:hAnsi="Garamond" w:cs="Times New Roman"/>
          <w:sz w:val="24"/>
          <w:szCs w:val="24"/>
        </w:rPr>
        <w:t xml:space="preserve"> </w:t>
      </w:r>
      <w:r w:rsidR="00AB3365" w:rsidRPr="007C61D2">
        <w:rPr>
          <w:rFonts w:ascii="Garamond" w:eastAsia="Times New Roman" w:hAnsi="Garamond" w:cs="Times New Roman"/>
          <w:sz w:val="24"/>
          <w:szCs w:val="24"/>
        </w:rPr>
        <w:t xml:space="preserve">provided a </w:t>
      </w:r>
      <w:r w:rsidR="00F54FCF" w:rsidRPr="007C61D2">
        <w:rPr>
          <w:rFonts w:ascii="Garamond" w:eastAsia="Times New Roman" w:hAnsi="Garamond" w:cs="Times New Roman"/>
          <w:sz w:val="24"/>
          <w:szCs w:val="24"/>
        </w:rPr>
        <w:t xml:space="preserve">crucial </w:t>
      </w:r>
      <w:r w:rsidR="00AB3365" w:rsidRPr="007C61D2">
        <w:rPr>
          <w:rFonts w:ascii="Garamond" w:eastAsia="Times New Roman" w:hAnsi="Garamond" w:cs="Times New Roman"/>
          <w:sz w:val="24"/>
          <w:szCs w:val="24"/>
        </w:rPr>
        <w:t xml:space="preserve">regulatory </w:t>
      </w:r>
      <w:r w:rsidR="000A7FB2" w:rsidRPr="007C61D2">
        <w:rPr>
          <w:rFonts w:ascii="Garamond" w:eastAsia="Times New Roman" w:hAnsi="Garamond" w:cs="Times New Roman"/>
          <w:sz w:val="24"/>
          <w:szCs w:val="24"/>
        </w:rPr>
        <w:t>framework</w:t>
      </w:r>
      <w:r w:rsidR="00C211D6">
        <w:rPr>
          <w:rFonts w:ascii="Garamond" w:eastAsia="Times New Roman" w:hAnsi="Garamond" w:cs="Times New Roman"/>
          <w:sz w:val="24"/>
          <w:szCs w:val="24"/>
        </w:rPr>
        <w:t xml:space="preserve"> </w:t>
      </w:r>
      <w:r w:rsidR="00C211D6" w:rsidRPr="007C61D2">
        <w:rPr>
          <w:rFonts w:ascii="Garamond" w:eastAsia="Times New Roman" w:hAnsi="Garamond" w:cs="Times New Roman"/>
          <w:sz w:val="24"/>
          <w:szCs w:val="24"/>
        </w:rPr>
        <w:t>for tackling gender-based domination, inequality, and violence</w:t>
      </w:r>
      <w:r w:rsidR="00F54FCF" w:rsidRPr="007C61D2">
        <w:rPr>
          <w:rFonts w:ascii="Garamond" w:eastAsia="Times New Roman" w:hAnsi="Garamond" w:cs="Times New Roman"/>
          <w:sz w:val="24"/>
          <w:szCs w:val="24"/>
        </w:rPr>
        <w:t xml:space="preserve">. </w:t>
      </w:r>
      <w:r w:rsidR="003F4DC7">
        <w:rPr>
          <w:rFonts w:ascii="Garamond" w:eastAsia="Times New Roman" w:hAnsi="Garamond" w:cs="Times New Roman"/>
          <w:sz w:val="24"/>
          <w:szCs w:val="24"/>
        </w:rPr>
        <w:t xml:space="preserve">Participants in the research </w:t>
      </w:r>
      <w:r w:rsidR="009B4EDF" w:rsidRPr="007C61D2">
        <w:rPr>
          <w:rFonts w:ascii="Garamond" w:eastAsia="Times New Roman" w:hAnsi="Garamond" w:cs="Times New Roman"/>
          <w:sz w:val="24"/>
          <w:szCs w:val="24"/>
        </w:rPr>
        <w:t xml:space="preserve">identified </w:t>
      </w:r>
      <w:r w:rsidR="00E432D1" w:rsidRPr="007C61D2">
        <w:rPr>
          <w:rFonts w:ascii="Garamond" w:eastAsia="Times New Roman" w:hAnsi="Garamond" w:cs="Times New Roman"/>
          <w:sz w:val="24"/>
          <w:szCs w:val="24"/>
        </w:rPr>
        <w:t xml:space="preserve">three sites </w:t>
      </w:r>
      <w:r w:rsidR="000A7FB2" w:rsidRPr="007C61D2">
        <w:rPr>
          <w:rFonts w:ascii="Garamond" w:eastAsia="Times New Roman" w:hAnsi="Garamond" w:cs="Times New Roman"/>
          <w:sz w:val="24"/>
          <w:szCs w:val="24"/>
        </w:rPr>
        <w:t xml:space="preserve">as </w:t>
      </w:r>
      <w:r w:rsidR="005E5490" w:rsidRPr="007C61D2">
        <w:rPr>
          <w:rFonts w:ascii="Garamond" w:eastAsia="Times New Roman" w:hAnsi="Garamond" w:cs="Times New Roman"/>
          <w:sz w:val="24"/>
          <w:szCs w:val="24"/>
        </w:rPr>
        <w:t xml:space="preserve">especially </w:t>
      </w:r>
      <w:r w:rsidR="000A7FB2" w:rsidRPr="007C61D2">
        <w:rPr>
          <w:rFonts w:ascii="Garamond" w:eastAsia="Times New Roman" w:hAnsi="Garamond" w:cs="Times New Roman"/>
          <w:sz w:val="24"/>
          <w:szCs w:val="24"/>
        </w:rPr>
        <w:t>vulnerable to decertification</w:t>
      </w:r>
      <w:r w:rsidR="008635A2" w:rsidRPr="007C61D2">
        <w:rPr>
          <w:rFonts w:ascii="Garamond" w:eastAsia="Times New Roman" w:hAnsi="Garamond" w:cs="Times New Roman"/>
          <w:sz w:val="24"/>
          <w:szCs w:val="24"/>
        </w:rPr>
        <w:t>’s detrimental effects</w:t>
      </w:r>
      <w:r w:rsidR="000A7FB2" w:rsidRPr="007C61D2">
        <w:rPr>
          <w:rFonts w:ascii="Garamond" w:eastAsia="Times New Roman" w:hAnsi="Garamond" w:cs="Times New Roman"/>
          <w:sz w:val="24"/>
          <w:szCs w:val="24"/>
        </w:rPr>
        <w:t xml:space="preserve">: women-only spaces and activities, affirmative action, </w:t>
      </w:r>
      <w:r w:rsidR="005E5490" w:rsidRPr="007C61D2">
        <w:rPr>
          <w:rFonts w:ascii="Garamond" w:eastAsia="Times New Roman" w:hAnsi="Garamond" w:cs="Times New Roman"/>
          <w:sz w:val="24"/>
          <w:szCs w:val="24"/>
        </w:rPr>
        <w:t xml:space="preserve">and </w:t>
      </w:r>
      <w:r w:rsidR="000A7FB2" w:rsidRPr="007C61D2">
        <w:rPr>
          <w:rFonts w:ascii="Garamond" w:eastAsia="Times New Roman" w:hAnsi="Garamond" w:cs="Times New Roman"/>
          <w:sz w:val="24"/>
          <w:szCs w:val="24"/>
        </w:rPr>
        <w:t>gender</w:t>
      </w:r>
      <w:r w:rsidR="00E432D1" w:rsidRPr="007C61D2">
        <w:rPr>
          <w:rFonts w:ascii="Garamond" w:eastAsia="Times New Roman" w:hAnsi="Garamond" w:cs="Times New Roman"/>
          <w:sz w:val="24"/>
          <w:szCs w:val="24"/>
        </w:rPr>
        <w:t>-based</w:t>
      </w:r>
      <w:r w:rsidR="000A7FB2" w:rsidRPr="007C61D2">
        <w:rPr>
          <w:rFonts w:ascii="Garamond" w:eastAsia="Times New Roman" w:hAnsi="Garamond" w:cs="Times New Roman"/>
          <w:sz w:val="24"/>
          <w:szCs w:val="24"/>
        </w:rPr>
        <w:t xml:space="preserve"> statistics. </w:t>
      </w:r>
      <w:r w:rsidR="00404C74">
        <w:rPr>
          <w:rFonts w:ascii="Garamond" w:eastAsia="Times New Roman" w:hAnsi="Garamond" w:cs="Times New Roman"/>
          <w:sz w:val="24"/>
          <w:szCs w:val="24"/>
        </w:rPr>
        <w:t xml:space="preserve">After discussing these, we </w:t>
      </w:r>
      <w:r w:rsidR="00C966BA" w:rsidRPr="007C61D2">
        <w:rPr>
          <w:rFonts w:ascii="Garamond" w:eastAsia="Times New Roman" w:hAnsi="Garamond" w:cs="Times New Roman"/>
          <w:sz w:val="24"/>
          <w:szCs w:val="24"/>
        </w:rPr>
        <w:t xml:space="preserve">explore </w:t>
      </w:r>
      <w:r w:rsidR="0025438A" w:rsidRPr="007C61D2">
        <w:rPr>
          <w:rFonts w:ascii="Garamond" w:eastAsia="Times New Roman" w:hAnsi="Garamond" w:cs="Times New Roman"/>
          <w:sz w:val="24"/>
          <w:szCs w:val="24"/>
        </w:rPr>
        <w:t>manage</w:t>
      </w:r>
      <w:r w:rsidR="00C966BA" w:rsidRPr="007C61D2">
        <w:rPr>
          <w:rFonts w:ascii="Garamond" w:eastAsia="Times New Roman" w:hAnsi="Garamond" w:cs="Times New Roman"/>
          <w:sz w:val="24"/>
          <w:szCs w:val="24"/>
        </w:rPr>
        <w:t xml:space="preserve">rial responses </w:t>
      </w:r>
      <w:r w:rsidR="00430B45" w:rsidRPr="007C61D2">
        <w:rPr>
          <w:rFonts w:ascii="Garamond" w:eastAsia="Times New Roman" w:hAnsi="Garamond" w:cs="Times New Roman"/>
          <w:sz w:val="24"/>
          <w:szCs w:val="24"/>
        </w:rPr>
        <w:t xml:space="preserve">to the concerns </w:t>
      </w:r>
      <w:r w:rsidR="0089680D">
        <w:rPr>
          <w:rFonts w:ascii="Garamond" w:eastAsia="Times New Roman" w:hAnsi="Garamond" w:cs="Times New Roman"/>
          <w:sz w:val="24"/>
          <w:szCs w:val="24"/>
        </w:rPr>
        <w:t xml:space="preserve">raised </w:t>
      </w:r>
      <w:r w:rsidR="00430B45" w:rsidRPr="007C61D2">
        <w:rPr>
          <w:rFonts w:ascii="Garamond" w:eastAsia="Times New Roman" w:hAnsi="Garamond" w:cs="Times New Roman"/>
          <w:sz w:val="24"/>
          <w:szCs w:val="24"/>
        </w:rPr>
        <w:t xml:space="preserve">before </w:t>
      </w:r>
      <w:r w:rsidR="00426ED9" w:rsidRPr="007C61D2">
        <w:rPr>
          <w:rFonts w:ascii="Garamond" w:eastAsia="Times New Roman" w:hAnsi="Garamond" w:cs="Times New Roman"/>
          <w:sz w:val="24"/>
          <w:szCs w:val="24"/>
        </w:rPr>
        <w:t>turn</w:t>
      </w:r>
      <w:r w:rsidR="00430B45" w:rsidRPr="007C61D2">
        <w:rPr>
          <w:rFonts w:ascii="Garamond" w:eastAsia="Times New Roman" w:hAnsi="Garamond" w:cs="Times New Roman"/>
          <w:sz w:val="24"/>
          <w:szCs w:val="24"/>
        </w:rPr>
        <w:t>ing</w:t>
      </w:r>
      <w:r w:rsidR="00426ED9" w:rsidRPr="007C61D2">
        <w:rPr>
          <w:rFonts w:ascii="Garamond" w:eastAsia="Times New Roman" w:hAnsi="Garamond" w:cs="Times New Roman"/>
          <w:sz w:val="24"/>
          <w:szCs w:val="24"/>
        </w:rPr>
        <w:t xml:space="preserve"> to</w:t>
      </w:r>
      <w:r w:rsidR="00C966BA" w:rsidRPr="007C61D2">
        <w:rPr>
          <w:rFonts w:ascii="Garamond" w:eastAsia="Times New Roman" w:hAnsi="Garamond" w:cs="Times New Roman"/>
          <w:sz w:val="24"/>
          <w:szCs w:val="24"/>
        </w:rPr>
        <w:t xml:space="preserve"> </w:t>
      </w:r>
      <w:r w:rsidR="00430B45" w:rsidRPr="007C61D2">
        <w:rPr>
          <w:rFonts w:ascii="Garamond" w:eastAsia="Times New Roman" w:hAnsi="Garamond" w:cs="Times New Roman"/>
          <w:sz w:val="24"/>
          <w:szCs w:val="24"/>
        </w:rPr>
        <w:t xml:space="preserve">address </w:t>
      </w:r>
      <w:r w:rsidR="00C966BA" w:rsidRPr="007C61D2">
        <w:rPr>
          <w:rFonts w:ascii="Garamond" w:eastAsia="Times New Roman" w:hAnsi="Garamond" w:cs="Times New Roman"/>
          <w:sz w:val="24"/>
          <w:szCs w:val="24"/>
        </w:rPr>
        <w:t>decertification</w:t>
      </w:r>
      <w:r w:rsidR="00AC324C" w:rsidRPr="007C61D2">
        <w:rPr>
          <w:rFonts w:ascii="Garamond" w:eastAsia="Times New Roman" w:hAnsi="Garamond" w:cs="Times New Roman"/>
          <w:sz w:val="24"/>
          <w:szCs w:val="24"/>
        </w:rPr>
        <w:t>’s potential</w:t>
      </w:r>
      <w:r w:rsidR="00C966BA" w:rsidRPr="007C61D2">
        <w:rPr>
          <w:rFonts w:ascii="Garamond" w:eastAsia="Times New Roman" w:hAnsi="Garamond" w:cs="Times New Roman"/>
          <w:sz w:val="24"/>
          <w:szCs w:val="24"/>
        </w:rPr>
        <w:t xml:space="preserve"> </w:t>
      </w:r>
      <w:r w:rsidR="00426ED9" w:rsidRPr="007C61D2">
        <w:rPr>
          <w:rFonts w:ascii="Garamond" w:eastAsia="Times New Roman" w:hAnsi="Garamond" w:cs="Times New Roman"/>
          <w:sz w:val="24"/>
          <w:szCs w:val="24"/>
        </w:rPr>
        <w:t xml:space="preserve">to be leveraged </w:t>
      </w:r>
      <w:r w:rsidR="00C966BA" w:rsidRPr="007C61D2">
        <w:rPr>
          <w:rFonts w:ascii="Garamond" w:eastAsia="Times New Roman" w:hAnsi="Garamond" w:cs="Times New Roman"/>
          <w:sz w:val="24"/>
          <w:szCs w:val="24"/>
        </w:rPr>
        <w:t>into a wider critical project</w:t>
      </w:r>
      <w:r w:rsidR="000A7FB2" w:rsidRPr="007C61D2">
        <w:rPr>
          <w:rFonts w:ascii="Garamond" w:eastAsia="Times New Roman" w:hAnsi="Garamond" w:cs="Times New Roman"/>
          <w:sz w:val="24"/>
          <w:szCs w:val="24"/>
        </w:rPr>
        <w:t xml:space="preserve">. </w:t>
      </w:r>
    </w:p>
    <w:p w14:paraId="5B7C1642" w14:textId="255A20D6" w:rsidR="002767C1" w:rsidRPr="007C61D2" w:rsidRDefault="002767C1" w:rsidP="00654B6E">
      <w:pPr>
        <w:pStyle w:val="Heading3"/>
        <w:spacing w:after="120"/>
      </w:pPr>
      <w:r w:rsidRPr="007C61D2">
        <w:t>Unsettling single-sex spaces</w:t>
      </w:r>
    </w:p>
    <w:p w14:paraId="1554F06A" w14:textId="64C9908B" w:rsidR="001110E2" w:rsidRPr="007C61D2" w:rsidRDefault="005B73D9"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We start with sex/ gender-defined spaces, provision</w:t>
      </w:r>
      <w:r w:rsidR="002767C1"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and activities</w:t>
      </w:r>
      <w:r w:rsidR="00430B45" w:rsidRPr="007C61D2">
        <w:rPr>
          <w:rFonts w:ascii="Garamond" w:eastAsia="Times New Roman" w:hAnsi="Garamond" w:cs="Times New Roman"/>
          <w:sz w:val="24"/>
          <w:szCs w:val="24"/>
        </w:rPr>
        <w:t xml:space="preserve">. These are diverse, and include </w:t>
      </w:r>
      <w:r w:rsidR="00404C74">
        <w:rPr>
          <w:rFonts w:ascii="Garamond" w:eastAsia="Times New Roman" w:hAnsi="Garamond" w:cs="Times New Roman"/>
          <w:sz w:val="24"/>
          <w:szCs w:val="24"/>
        </w:rPr>
        <w:t xml:space="preserve">sites of </w:t>
      </w:r>
      <w:r w:rsidR="00E30A8E" w:rsidRPr="007C61D2">
        <w:rPr>
          <w:rFonts w:ascii="Garamond" w:eastAsia="Times New Roman" w:hAnsi="Garamond" w:cs="Times New Roman"/>
          <w:sz w:val="24"/>
          <w:szCs w:val="24"/>
        </w:rPr>
        <w:t xml:space="preserve">incarceration and discipline, </w:t>
      </w:r>
      <w:r w:rsidR="00404C74">
        <w:rPr>
          <w:rFonts w:ascii="Garamond" w:eastAsia="Times New Roman" w:hAnsi="Garamond" w:cs="Times New Roman"/>
          <w:sz w:val="24"/>
          <w:szCs w:val="24"/>
        </w:rPr>
        <w:t xml:space="preserve">such as prisons and detention centres, those </w:t>
      </w:r>
      <w:r w:rsidR="00C211D6">
        <w:rPr>
          <w:rFonts w:ascii="Garamond" w:eastAsia="Times New Roman" w:hAnsi="Garamond" w:cs="Times New Roman"/>
          <w:sz w:val="24"/>
          <w:szCs w:val="24"/>
        </w:rPr>
        <w:t xml:space="preserve">of </w:t>
      </w:r>
      <w:r w:rsidR="00E30A8E" w:rsidRPr="007C61D2">
        <w:rPr>
          <w:rFonts w:ascii="Garamond" w:eastAsia="Times New Roman" w:hAnsi="Garamond" w:cs="Times New Roman"/>
          <w:sz w:val="24"/>
          <w:szCs w:val="24"/>
        </w:rPr>
        <w:t xml:space="preserve">vulnerability, </w:t>
      </w:r>
      <w:r w:rsidR="00404C74">
        <w:rPr>
          <w:rFonts w:ascii="Garamond" w:eastAsia="Times New Roman" w:hAnsi="Garamond" w:cs="Times New Roman"/>
          <w:sz w:val="24"/>
          <w:szCs w:val="24"/>
        </w:rPr>
        <w:t xml:space="preserve">such as hospital wards and refuges, and sites of </w:t>
      </w:r>
      <w:r w:rsidR="00E30A8E" w:rsidRPr="007C61D2">
        <w:rPr>
          <w:rFonts w:ascii="Garamond" w:eastAsia="Times New Roman" w:hAnsi="Garamond" w:cs="Times New Roman"/>
          <w:sz w:val="24"/>
          <w:szCs w:val="24"/>
        </w:rPr>
        <w:t>empowerment, pleasure</w:t>
      </w:r>
      <w:r w:rsidR="00430B45" w:rsidRPr="007C61D2">
        <w:rPr>
          <w:rFonts w:ascii="Garamond" w:eastAsia="Times New Roman" w:hAnsi="Garamond" w:cs="Times New Roman"/>
          <w:sz w:val="24"/>
          <w:szCs w:val="24"/>
        </w:rPr>
        <w:t>,</w:t>
      </w:r>
      <w:r w:rsidR="00E30A8E" w:rsidRPr="007C61D2">
        <w:rPr>
          <w:rFonts w:ascii="Garamond" w:eastAsia="Times New Roman" w:hAnsi="Garamond" w:cs="Times New Roman"/>
          <w:sz w:val="24"/>
          <w:szCs w:val="24"/>
        </w:rPr>
        <w:t xml:space="preserve"> and community</w:t>
      </w:r>
      <w:r w:rsidR="00404C74">
        <w:rPr>
          <w:rFonts w:ascii="Garamond" w:eastAsia="Times New Roman" w:hAnsi="Garamond" w:cs="Times New Roman"/>
          <w:sz w:val="24"/>
          <w:szCs w:val="24"/>
        </w:rPr>
        <w:t>, such as women-only events and festivals</w:t>
      </w:r>
      <w:r w:rsidR="00366952">
        <w:rPr>
          <w:rFonts w:ascii="Garamond" w:eastAsia="Times New Roman" w:hAnsi="Garamond" w:cs="Times New Roman"/>
          <w:sz w:val="24"/>
          <w:szCs w:val="24"/>
        </w:rPr>
        <w:t xml:space="preserve"> </w:t>
      </w:r>
      <w:r w:rsidR="00366952" w:rsidRPr="00366952">
        <w:rPr>
          <w:rFonts w:ascii="Garamond" w:eastAsia="Times New Roman" w:hAnsi="Garamond" w:cs="Times New Roman"/>
          <w:sz w:val="24"/>
          <w:szCs w:val="24"/>
        </w:rPr>
        <w:t>(s</w:t>
      </w:r>
      <w:r w:rsidR="00366952" w:rsidRPr="00366952">
        <w:rPr>
          <w:rFonts w:ascii="Garamond" w:hAnsi="Garamond" w:cs="Times New Roman"/>
          <w:sz w:val="24"/>
          <w:szCs w:val="24"/>
        </w:rPr>
        <w:t>ee, e.g. Browne 2009; Cooper 2012; Jackson 2008)</w:t>
      </w:r>
      <w:r w:rsidR="00E30A8E" w:rsidRPr="007C61D2">
        <w:rPr>
          <w:rFonts w:ascii="Garamond" w:eastAsia="Times New Roman" w:hAnsi="Garamond" w:cs="Times New Roman"/>
          <w:sz w:val="24"/>
          <w:szCs w:val="24"/>
        </w:rPr>
        <w:t>.</w:t>
      </w:r>
      <w:r w:rsidR="00C966BA" w:rsidRPr="007C61D2">
        <w:rPr>
          <w:rFonts w:ascii="Garamond" w:eastAsia="Times New Roman" w:hAnsi="Garamond" w:cs="Times New Roman"/>
          <w:sz w:val="24"/>
          <w:szCs w:val="24"/>
        </w:rPr>
        <w:t xml:space="preserve"> </w:t>
      </w:r>
      <w:r w:rsidR="00404C74">
        <w:rPr>
          <w:rFonts w:ascii="Garamond" w:eastAsia="Times New Roman" w:hAnsi="Garamond" w:cs="Times New Roman"/>
          <w:sz w:val="24"/>
          <w:szCs w:val="24"/>
        </w:rPr>
        <w:t xml:space="preserve">Single-sex </w:t>
      </w:r>
      <w:r w:rsidR="00430B45" w:rsidRPr="007C61D2">
        <w:rPr>
          <w:rFonts w:ascii="Garamond" w:eastAsia="Times New Roman" w:hAnsi="Garamond" w:cs="Times New Roman"/>
          <w:sz w:val="24"/>
          <w:szCs w:val="24"/>
        </w:rPr>
        <w:t xml:space="preserve">spaces, provision and activities </w:t>
      </w:r>
      <w:r w:rsidR="00404C74">
        <w:rPr>
          <w:rFonts w:ascii="Garamond" w:eastAsia="Times New Roman" w:hAnsi="Garamond" w:cs="Times New Roman"/>
          <w:sz w:val="24"/>
          <w:szCs w:val="24"/>
        </w:rPr>
        <w:t xml:space="preserve">are </w:t>
      </w:r>
      <w:r w:rsidR="00C966BA" w:rsidRPr="007C61D2">
        <w:rPr>
          <w:rFonts w:ascii="Garamond" w:eastAsia="Times New Roman" w:hAnsi="Garamond" w:cs="Times New Roman"/>
          <w:sz w:val="24"/>
          <w:szCs w:val="24"/>
        </w:rPr>
        <w:t xml:space="preserve">the focus </w:t>
      </w:r>
      <w:r w:rsidR="00AC324C" w:rsidRPr="007C61D2">
        <w:rPr>
          <w:rFonts w:ascii="Garamond" w:eastAsia="Times New Roman" w:hAnsi="Garamond" w:cs="Times New Roman"/>
          <w:sz w:val="24"/>
          <w:szCs w:val="24"/>
        </w:rPr>
        <w:t xml:space="preserve">for </w:t>
      </w:r>
      <w:r w:rsidR="00430B45" w:rsidRPr="007C61D2">
        <w:rPr>
          <w:rFonts w:ascii="Garamond" w:eastAsia="Times New Roman" w:hAnsi="Garamond" w:cs="Times New Roman"/>
          <w:sz w:val="24"/>
          <w:szCs w:val="24"/>
        </w:rPr>
        <w:t xml:space="preserve">much </w:t>
      </w:r>
      <w:r w:rsidR="00AC324C" w:rsidRPr="007C61D2">
        <w:rPr>
          <w:rFonts w:ascii="Garamond" w:eastAsia="Times New Roman" w:hAnsi="Garamond" w:cs="Times New Roman"/>
          <w:sz w:val="24"/>
          <w:szCs w:val="24"/>
        </w:rPr>
        <w:t xml:space="preserve">of the </w:t>
      </w:r>
      <w:r w:rsidR="0010376F" w:rsidRPr="007C61D2">
        <w:rPr>
          <w:rFonts w:ascii="Garamond" w:eastAsia="Times New Roman" w:hAnsi="Garamond" w:cs="Times New Roman"/>
          <w:sz w:val="24"/>
          <w:szCs w:val="24"/>
        </w:rPr>
        <w:t xml:space="preserve">concern </w:t>
      </w:r>
      <w:r w:rsidR="00AC324C" w:rsidRPr="007C61D2">
        <w:rPr>
          <w:rFonts w:ascii="Garamond" w:eastAsia="Times New Roman" w:hAnsi="Garamond" w:cs="Times New Roman"/>
          <w:sz w:val="24"/>
          <w:szCs w:val="24"/>
        </w:rPr>
        <w:t xml:space="preserve">that feminists have expressed </w:t>
      </w:r>
      <w:r w:rsidR="00AC324C" w:rsidRPr="007C61D2">
        <w:rPr>
          <w:rFonts w:ascii="Garamond" w:eastAsia="Times New Roman" w:hAnsi="Garamond" w:cs="Times New Roman"/>
          <w:sz w:val="24"/>
          <w:szCs w:val="24"/>
        </w:rPr>
        <w:lastRenderedPageBreak/>
        <w:t xml:space="preserve">about gender’s informalisation </w:t>
      </w:r>
      <w:r w:rsidR="00E30A8E" w:rsidRPr="007C61D2">
        <w:rPr>
          <w:rFonts w:ascii="Garamond" w:eastAsia="Times New Roman" w:hAnsi="Garamond" w:cs="Times New Roman"/>
          <w:sz w:val="24"/>
          <w:szCs w:val="24"/>
        </w:rPr>
        <w:t>(see also Peel and Newman, this issue; Renz, this issue)</w:t>
      </w:r>
      <w:r w:rsidR="00E30A8E" w:rsidRPr="007C61D2">
        <w:rPr>
          <w:rStyle w:val="FootnoteReference"/>
          <w:rFonts w:ascii="Garamond" w:eastAsia="Times New Roman" w:hAnsi="Garamond" w:cs="Times New Roman"/>
          <w:sz w:val="24"/>
          <w:szCs w:val="24"/>
        </w:rPr>
        <w:footnoteReference w:id="21"/>
      </w:r>
      <w:r w:rsidR="00E30A8E" w:rsidRPr="007C61D2">
        <w:rPr>
          <w:rFonts w:ascii="Garamond" w:eastAsia="Times New Roman" w:hAnsi="Garamond" w:cs="Times New Roman"/>
          <w:sz w:val="24"/>
          <w:szCs w:val="24"/>
        </w:rPr>
        <w:t xml:space="preserve"> </w:t>
      </w:r>
      <w:r w:rsidR="00AE4ACB">
        <w:rPr>
          <w:rFonts w:ascii="Garamond" w:eastAsia="Times New Roman" w:hAnsi="Garamond" w:cs="Times New Roman"/>
          <w:sz w:val="24"/>
          <w:szCs w:val="24"/>
        </w:rPr>
        <w:t xml:space="preserve">– </w:t>
      </w:r>
      <w:r w:rsidR="0010376F" w:rsidRPr="007C61D2">
        <w:rPr>
          <w:rFonts w:ascii="Garamond" w:eastAsia="Times New Roman" w:hAnsi="Garamond" w:cs="Times New Roman"/>
          <w:sz w:val="24"/>
          <w:szCs w:val="24"/>
        </w:rPr>
        <w:t xml:space="preserve"> concerns that </w:t>
      </w:r>
      <w:r w:rsidR="00AC324C" w:rsidRPr="007C61D2">
        <w:rPr>
          <w:rFonts w:ascii="Garamond" w:eastAsia="Times New Roman" w:hAnsi="Garamond" w:cs="Times New Roman"/>
          <w:sz w:val="24"/>
          <w:szCs w:val="24"/>
        </w:rPr>
        <w:t xml:space="preserve">have not received much attention </w:t>
      </w:r>
      <w:r w:rsidR="00C966BA" w:rsidRPr="007C61D2">
        <w:rPr>
          <w:rFonts w:ascii="Garamond" w:eastAsia="Times New Roman" w:hAnsi="Garamond" w:cs="Times New Roman"/>
          <w:sz w:val="24"/>
          <w:szCs w:val="24"/>
        </w:rPr>
        <w:t xml:space="preserve">by those calling for sex/ gender </w:t>
      </w:r>
      <w:r w:rsidR="008635A2" w:rsidRPr="007C61D2">
        <w:rPr>
          <w:rFonts w:ascii="Garamond" w:eastAsia="Times New Roman" w:hAnsi="Garamond" w:cs="Times New Roman"/>
          <w:sz w:val="24"/>
          <w:szCs w:val="24"/>
        </w:rPr>
        <w:t>“</w:t>
      </w:r>
      <w:r w:rsidR="00C966BA" w:rsidRPr="007C61D2">
        <w:rPr>
          <w:rFonts w:ascii="Garamond" w:eastAsia="Times New Roman" w:hAnsi="Garamond" w:cs="Times New Roman"/>
          <w:sz w:val="24"/>
          <w:szCs w:val="24"/>
        </w:rPr>
        <w:t>deregistration</w:t>
      </w:r>
      <w:r w:rsidR="008635A2" w:rsidRPr="007C61D2">
        <w:rPr>
          <w:rFonts w:ascii="Garamond" w:eastAsia="Times New Roman" w:hAnsi="Garamond" w:cs="Times New Roman"/>
          <w:sz w:val="24"/>
          <w:szCs w:val="24"/>
        </w:rPr>
        <w:t>”</w:t>
      </w:r>
      <w:r w:rsidR="00A3138E" w:rsidRPr="007C61D2">
        <w:rPr>
          <w:rFonts w:ascii="Garamond" w:eastAsia="Times New Roman" w:hAnsi="Garamond" w:cs="Times New Roman"/>
          <w:sz w:val="24"/>
          <w:szCs w:val="24"/>
        </w:rPr>
        <w:t>.</w:t>
      </w:r>
      <w:r w:rsidR="008635A2" w:rsidRPr="007C61D2">
        <w:rPr>
          <w:rStyle w:val="FootnoteReference"/>
          <w:rFonts w:ascii="Garamond" w:eastAsia="Times New Roman" w:hAnsi="Garamond" w:cs="Times New Roman"/>
          <w:sz w:val="24"/>
          <w:szCs w:val="24"/>
        </w:rPr>
        <w:footnoteReference w:id="22"/>
      </w:r>
      <w:r w:rsidR="00A3138E" w:rsidRPr="007C61D2">
        <w:rPr>
          <w:rFonts w:ascii="Garamond" w:eastAsia="Times New Roman" w:hAnsi="Garamond" w:cs="Times New Roman"/>
          <w:sz w:val="24"/>
          <w:szCs w:val="24"/>
        </w:rPr>
        <w:t xml:space="preserve"> </w:t>
      </w:r>
      <w:r w:rsidR="0010376F" w:rsidRPr="007C61D2">
        <w:rPr>
          <w:rFonts w:ascii="Garamond" w:eastAsia="Times New Roman" w:hAnsi="Garamond" w:cs="Times New Roman"/>
          <w:sz w:val="24"/>
          <w:szCs w:val="24"/>
        </w:rPr>
        <w:t xml:space="preserve">These concerns align with different feminist politics and agendas; however, in recent years, </w:t>
      </w:r>
      <w:r w:rsidR="00AC324C" w:rsidRPr="007C61D2">
        <w:rPr>
          <w:rFonts w:ascii="Garamond" w:eastAsia="Times New Roman" w:hAnsi="Garamond" w:cs="Times New Roman"/>
          <w:sz w:val="24"/>
          <w:szCs w:val="24"/>
        </w:rPr>
        <w:t xml:space="preserve">their public </w:t>
      </w:r>
      <w:r w:rsidR="0010376F" w:rsidRPr="007C61D2">
        <w:rPr>
          <w:rFonts w:ascii="Garamond" w:eastAsia="Times New Roman" w:hAnsi="Garamond" w:cs="Times New Roman"/>
          <w:sz w:val="24"/>
          <w:szCs w:val="24"/>
        </w:rPr>
        <w:t xml:space="preserve">take-up has been associated with the high-profile emergence of  a feminist politics anchored in women’s (biological) sex-based rights. </w:t>
      </w:r>
      <w:r w:rsidR="00E30A8E" w:rsidRPr="007C61D2">
        <w:rPr>
          <w:rFonts w:ascii="Garamond" w:eastAsia="Times New Roman" w:hAnsi="Garamond" w:cs="Times New Roman"/>
          <w:sz w:val="24"/>
          <w:szCs w:val="24"/>
        </w:rPr>
        <w:t xml:space="preserve">Sex-based </w:t>
      </w:r>
      <w:r w:rsidR="007A4945" w:rsidRPr="007C61D2">
        <w:rPr>
          <w:rFonts w:ascii="Garamond" w:eastAsia="Times New Roman" w:hAnsi="Garamond" w:cs="Times New Roman"/>
          <w:sz w:val="24"/>
          <w:szCs w:val="24"/>
        </w:rPr>
        <w:t>right</w:t>
      </w:r>
      <w:r w:rsidR="00DC2745" w:rsidRPr="007C61D2">
        <w:rPr>
          <w:rFonts w:ascii="Garamond" w:eastAsia="Times New Roman" w:hAnsi="Garamond" w:cs="Times New Roman"/>
          <w:sz w:val="24"/>
          <w:szCs w:val="24"/>
        </w:rPr>
        <w:t>s</w:t>
      </w:r>
      <w:r w:rsidR="007A4945" w:rsidRPr="007C61D2">
        <w:rPr>
          <w:rFonts w:ascii="Garamond" w:eastAsia="Times New Roman" w:hAnsi="Garamond" w:cs="Times New Roman"/>
          <w:sz w:val="24"/>
          <w:szCs w:val="24"/>
        </w:rPr>
        <w:t xml:space="preserve"> </w:t>
      </w:r>
      <w:r w:rsidR="00A3138E" w:rsidRPr="007C61D2">
        <w:rPr>
          <w:rFonts w:ascii="Garamond" w:eastAsia="Times New Roman" w:hAnsi="Garamond" w:cs="Times New Roman"/>
          <w:sz w:val="24"/>
          <w:szCs w:val="24"/>
        </w:rPr>
        <w:t xml:space="preserve">feminists </w:t>
      </w:r>
      <w:r w:rsidR="003607B6" w:rsidRPr="007C61D2">
        <w:rPr>
          <w:rFonts w:ascii="Garamond" w:eastAsia="Times New Roman" w:hAnsi="Garamond" w:cs="Times New Roman"/>
          <w:sz w:val="24"/>
          <w:szCs w:val="24"/>
        </w:rPr>
        <w:t xml:space="preserve">argue </w:t>
      </w:r>
      <w:r w:rsidR="007A4945" w:rsidRPr="007C61D2">
        <w:rPr>
          <w:rFonts w:ascii="Garamond" w:eastAsia="Times New Roman" w:hAnsi="Garamond" w:cs="Times New Roman"/>
          <w:sz w:val="24"/>
          <w:szCs w:val="24"/>
        </w:rPr>
        <w:t xml:space="preserve">that </w:t>
      </w:r>
      <w:r w:rsidR="00E30A8E" w:rsidRPr="007C61D2">
        <w:rPr>
          <w:rFonts w:ascii="Garamond" w:eastAsia="Times New Roman" w:hAnsi="Garamond" w:cs="Times New Roman"/>
          <w:sz w:val="24"/>
          <w:szCs w:val="24"/>
        </w:rPr>
        <w:t>the viability of</w:t>
      </w:r>
      <w:r w:rsidR="0010376F" w:rsidRPr="007C61D2">
        <w:rPr>
          <w:rFonts w:ascii="Garamond" w:eastAsia="Times New Roman" w:hAnsi="Garamond" w:cs="Times New Roman"/>
          <w:sz w:val="24"/>
          <w:szCs w:val="24"/>
        </w:rPr>
        <w:t xml:space="preserve"> separate women’s</w:t>
      </w:r>
      <w:r w:rsidR="002767C1" w:rsidRPr="007C61D2">
        <w:rPr>
          <w:rFonts w:ascii="Garamond" w:eastAsia="Times New Roman" w:hAnsi="Garamond" w:cs="Times New Roman"/>
          <w:sz w:val="24"/>
          <w:szCs w:val="24"/>
        </w:rPr>
        <w:t xml:space="preserve"> activities and spaces depend</w:t>
      </w:r>
      <w:r w:rsidR="00E30A8E" w:rsidRPr="007C61D2">
        <w:rPr>
          <w:rFonts w:ascii="Garamond" w:eastAsia="Times New Roman" w:hAnsi="Garamond" w:cs="Times New Roman"/>
          <w:sz w:val="24"/>
          <w:szCs w:val="24"/>
        </w:rPr>
        <w:t>s</w:t>
      </w:r>
      <w:r w:rsidR="002767C1" w:rsidRPr="007C61D2">
        <w:rPr>
          <w:rFonts w:ascii="Garamond" w:eastAsia="Times New Roman" w:hAnsi="Garamond" w:cs="Times New Roman"/>
          <w:sz w:val="24"/>
          <w:szCs w:val="24"/>
        </w:rPr>
        <w:t xml:space="preserve"> on </w:t>
      </w:r>
      <w:r w:rsidR="00AB3365" w:rsidRPr="007C61D2">
        <w:rPr>
          <w:rFonts w:ascii="Garamond" w:eastAsia="Times New Roman" w:hAnsi="Garamond" w:cs="Times New Roman"/>
          <w:sz w:val="24"/>
          <w:szCs w:val="24"/>
        </w:rPr>
        <w:t xml:space="preserve">state </w:t>
      </w:r>
      <w:r w:rsidR="003607B6" w:rsidRPr="007C61D2">
        <w:rPr>
          <w:rFonts w:ascii="Garamond" w:eastAsia="Times New Roman" w:hAnsi="Garamond" w:cs="Times New Roman"/>
          <w:sz w:val="24"/>
          <w:szCs w:val="24"/>
        </w:rPr>
        <w:t xml:space="preserve">law </w:t>
      </w:r>
      <w:r w:rsidR="005A20BC" w:rsidRPr="007C61D2">
        <w:rPr>
          <w:rFonts w:ascii="Garamond" w:eastAsia="Times New Roman" w:hAnsi="Garamond" w:cs="Times New Roman"/>
          <w:sz w:val="24"/>
          <w:szCs w:val="24"/>
        </w:rPr>
        <w:t>defin</w:t>
      </w:r>
      <w:r w:rsidR="002767C1" w:rsidRPr="007C61D2">
        <w:rPr>
          <w:rFonts w:ascii="Garamond" w:eastAsia="Times New Roman" w:hAnsi="Garamond" w:cs="Times New Roman"/>
          <w:sz w:val="24"/>
          <w:szCs w:val="24"/>
        </w:rPr>
        <w:t>ing</w:t>
      </w:r>
      <w:r w:rsidR="005A20BC" w:rsidRPr="007C61D2">
        <w:rPr>
          <w:rFonts w:ascii="Garamond" w:eastAsia="Times New Roman" w:hAnsi="Garamond" w:cs="Times New Roman"/>
          <w:sz w:val="24"/>
          <w:szCs w:val="24"/>
        </w:rPr>
        <w:t xml:space="preserve"> </w:t>
      </w:r>
      <w:r w:rsidR="003607B6" w:rsidRPr="007C61D2">
        <w:rPr>
          <w:rFonts w:ascii="Garamond" w:eastAsia="Times New Roman" w:hAnsi="Garamond" w:cs="Times New Roman"/>
          <w:sz w:val="24"/>
          <w:szCs w:val="24"/>
        </w:rPr>
        <w:t>and categoris</w:t>
      </w:r>
      <w:r w:rsidR="002767C1" w:rsidRPr="007C61D2">
        <w:rPr>
          <w:rFonts w:ascii="Garamond" w:eastAsia="Times New Roman" w:hAnsi="Garamond" w:cs="Times New Roman"/>
          <w:sz w:val="24"/>
          <w:szCs w:val="24"/>
        </w:rPr>
        <w:t>ing</w:t>
      </w:r>
      <w:r w:rsidR="003607B6" w:rsidRPr="007C61D2">
        <w:rPr>
          <w:rFonts w:ascii="Garamond" w:eastAsia="Times New Roman" w:hAnsi="Garamond" w:cs="Times New Roman"/>
          <w:sz w:val="24"/>
          <w:szCs w:val="24"/>
        </w:rPr>
        <w:t xml:space="preserve"> people by sex</w:t>
      </w:r>
      <w:r w:rsidR="007A4945" w:rsidRPr="007C61D2">
        <w:rPr>
          <w:rFonts w:ascii="Garamond" w:eastAsia="Times New Roman" w:hAnsi="Garamond" w:cs="Times New Roman"/>
          <w:sz w:val="24"/>
          <w:szCs w:val="24"/>
        </w:rPr>
        <w:t xml:space="preserve"> </w:t>
      </w:r>
      <w:r w:rsidR="002767C1" w:rsidRPr="007C61D2">
        <w:rPr>
          <w:rFonts w:ascii="Garamond" w:eastAsia="Times New Roman" w:hAnsi="Garamond" w:cs="Times New Roman"/>
          <w:sz w:val="24"/>
          <w:szCs w:val="24"/>
        </w:rPr>
        <w:t>in consistent, shared, and durable ways</w:t>
      </w:r>
      <w:r w:rsidR="007A4945" w:rsidRPr="007C61D2">
        <w:rPr>
          <w:rFonts w:ascii="Garamond" w:eastAsia="Times New Roman" w:hAnsi="Garamond" w:cs="Times New Roman"/>
          <w:sz w:val="24"/>
          <w:szCs w:val="24"/>
        </w:rPr>
        <w:t>.</w:t>
      </w:r>
      <w:r w:rsidR="0010376F" w:rsidRPr="007C61D2">
        <w:rPr>
          <w:rStyle w:val="FootnoteReference"/>
          <w:rFonts w:ascii="Garamond" w:eastAsia="Times New Roman" w:hAnsi="Garamond" w:cs="Times New Roman"/>
          <w:sz w:val="24"/>
          <w:szCs w:val="24"/>
        </w:rPr>
        <w:footnoteReference w:id="23"/>
      </w:r>
      <w:r w:rsidR="007A4945" w:rsidRPr="007C61D2">
        <w:rPr>
          <w:rFonts w:ascii="Garamond" w:eastAsia="Times New Roman" w:hAnsi="Garamond" w:cs="Times New Roman"/>
          <w:sz w:val="24"/>
          <w:szCs w:val="24"/>
        </w:rPr>
        <w:t xml:space="preserve">  </w:t>
      </w:r>
      <w:r w:rsidR="002767C1" w:rsidRPr="007C61D2">
        <w:rPr>
          <w:rFonts w:ascii="Garamond" w:eastAsia="Times New Roman" w:hAnsi="Garamond" w:cs="Times New Roman"/>
          <w:sz w:val="24"/>
          <w:szCs w:val="24"/>
        </w:rPr>
        <w:t>D</w:t>
      </w:r>
      <w:r w:rsidR="003607B6" w:rsidRPr="007C61D2">
        <w:rPr>
          <w:rFonts w:ascii="Garamond" w:eastAsia="Times New Roman" w:hAnsi="Garamond" w:cs="Times New Roman"/>
          <w:sz w:val="24"/>
          <w:szCs w:val="24"/>
        </w:rPr>
        <w:t>ecertification</w:t>
      </w:r>
      <w:r w:rsidR="002767C1" w:rsidRPr="007C61D2">
        <w:rPr>
          <w:rFonts w:ascii="Garamond" w:eastAsia="Times New Roman" w:hAnsi="Garamond" w:cs="Times New Roman"/>
          <w:sz w:val="24"/>
          <w:szCs w:val="24"/>
        </w:rPr>
        <w:t>’s problem</w:t>
      </w:r>
      <w:r w:rsidR="003607B6" w:rsidRPr="007C61D2">
        <w:rPr>
          <w:rFonts w:ascii="Garamond" w:eastAsia="Times New Roman" w:hAnsi="Garamond" w:cs="Times New Roman"/>
          <w:sz w:val="24"/>
          <w:szCs w:val="24"/>
        </w:rPr>
        <w:t xml:space="preserve"> </w:t>
      </w:r>
      <w:r w:rsidR="00AB3365" w:rsidRPr="007C61D2">
        <w:rPr>
          <w:rFonts w:ascii="Garamond" w:eastAsia="Times New Roman" w:hAnsi="Garamond" w:cs="Times New Roman"/>
          <w:sz w:val="24"/>
          <w:szCs w:val="24"/>
        </w:rPr>
        <w:t xml:space="preserve">is that it </w:t>
      </w:r>
      <w:r w:rsidR="005A20BC" w:rsidRPr="007C61D2">
        <w:rPr>
          <w:rFonts w:ascii="Garamond" w:eastAsia="Times New Roman" w:hAnsi="Garamond" w:cs="Times New Roman"/>
          <w:sz w:val="24"/>
          <w:szCs w:val="24"/>
        </w:rPr>
        <w:t xml:space="preserve">informalises sex/ gender, </w:t>
      </w:r>
      <w:r w:rsidR="00AB3365" w:rsidRPr="007C61D2">
        <w:rPr>
          <w:rFonts w:ascii="Garamond" w:eastAsia="Times New Roman" w:hAnsi="Garamond" w:cs="Times New Roman"/>
          <w:sz w:val="24"/>
          <w:szCs w:val="24"/>
        </w:rPr>
        <w:t>allow</w:t>
      </w:r>
      <w:r w:rsidR="005A20BC" w:rsidRPr="007C61D2">
        <w:rPr>
          <w:rFonts w:ascii="Garamond" w:eastAsia="Times New Roman" w:hAnsi="Garamond" w:cs="Times New Roman"/>
          <w:sz w:val="24"/>
          <w:szCs w:val="24"/>
        </w:rPr>
        <w:t>ing</w:t>
      </w:r>
      <w:r w:rsidR="00AB3365" w:rsidRPr="007C61D2">
        <w:rPr>
          <w:rFonts w:ascii="Garamond" w:eastAsia="Times New Roman" w:hAnsi="Garamond" w:cs="Times New Roman"/>
          <w:sz w:val="24"/>
          <w:szCs w:val="24"/>
        </w:rPr>
        <w:t xml:space="preserve"> </w:t>
      </w:r>
      <w:r w:rsidR="003607B6" w:rsidRPr="007C61D2">
        <w:rPr>
          <w:rFonts w:ascii="Garamond" w:eastAsia="Times New Roman" w:hAnsi="Garamond" w:cs="Times New Roman"/>
          <w:sz w:val="24"/>
          <w:szCs w:val="24"/>
        </w:rPr>
        <w:t xml:space="preserve">people </w:t>
      </w:r>
      <w:r w:rsidR="00AB3365" w:rsidRPr="007C61D2">
        <w:rPr>
          <w:rFonts w:ascii="Garamond" w:eastAsia="Times New Roman" w:hAnsi="Garamond" w:cs="Times New Roman"/>
          <w:sz w:val="24"/>
          <w:szCs w:val="24"/>
        </w:rPr>
        <w:t xml:space="preserve">to </w:t>
      </w:r>
      <w:r w:rsidR="003607B6" w:rsidRPr="007C61D2">
        <w:rPr>
          <w:rFonts w:ascii="Garamond" w:eastAsia="Times New Roman" w:hAnsi="Garamond" w:cs="Times New Roman"/>
          <w:sz w:val="24"/>
          <w:szCs w:val="24"/>
        </w:rPr>
        <w:t>self-identify</w:t>
      </w:r>
      <w:r w:rsidR="002767C1" w:rsidRPr="007C61D2">
        <w:rPr>
          <w:rFonts w:ascii="Garamond" w:eastAsia="Times New Roman" w:hAnsi="Garamond" w:cs="Times New Roman"/>
          <w:sz w:val="24"/>
          <w:szCs w:val="24"/>
        </w:rPr>
        <w:t xml:space="preserve"> according to </w:t>
      </w:r>
      <w:r w:rsidR="00A3138E" w:rsidRPr="007C61D2">
        <w:rPr>
          <w:rFonts w:ascii="Garamond" w:eastAsia="Times New Roman" w:hAnsi="Garamond" w:cs="Times New Roman"/>
          <w:sz w:val="24"/>
          <w:szCs w:val="24"/>
        </w:rPr>
        <w:t>personal</w:t>
      </w:r>
      <w:r w:rsidR="0025438A" w:rsidRPr="007C61D2">
        <w:rPr>
          <w:rFonts w:ascii="Garamond" w:eastAsia="Times New Roman" w:hAnsi="Garamond" w:cs="Times New Roman"/>
          <w:sz w:val="24"/>
          <w:szCs w:val="24"/>
        </w:rPr>
        <w:t>,</w:t>
      </w:r>
      <w:r w:rsidR="002767C1" w:rsidRPr="007C61D2">
        <w:rPr>
          <w:rFonts w:ascii="Garamond" w:eastAsia="Times New Roman" w:hAnsi="Garamond" w:cs="Times New Roman"/>
          <w:sz w:val="24"/>
          <w:szCs w:val="24"/>
        </w:rPr>
        <w:t xml:space="preserve"> potentially idiosyncratic</w:t>
      </w:r>
      <w:r w:rsidR="00A3138E" w:rsidRPr="007C61D2">
        <w:rPr>
          <w:rFonts w:ascii="Garamond" w:eastAsia="Times New Roman" w:hAnsi="Garamond" w:cs="Times New Roman"/>
          <w:sz w:val="24"/>
          <w:szCs w:val="24"/>
        </w:rPr>
        <w:t xml:space="preserve"> </w:t>
      </w:r>
      <w:r w:rsidR="003607B6" w:rsidRPr="007C61D2">
        <w:rPr>
          <w:rFonts w:ascii="Garamond" w:eastAsia="Times New Roman" w:hAnsi="Garamond" w:cs="Times New Roman"/>
          <w:sz w:val="24"/>
          <w:szCs w:val="24"/>
        </w:rPr>
        <w:t xml:space="preserve">criteria </w:t>
      </w:r>
      <w:r w:rsidR="00A3138E" w:rsidRPr="007C61D2">
        <w:rPr>
          <w:rFonts w:ascii="Garamond" w:eastAsia="Times New Roman" w:hAnsi="Garamond" w:cs="Times New Roman"/>
          <w:sz w:val="24"/>
          <w:szCs w:val="24"/>
        </w:rPr>
        <w:t>and understanding</w:t>
      </w:r>
      <w:r w:rsidR="00B75DCB" w:rsidRPr="007C61D2">
        <w:rPr>
          <w:rFonts w:ascii="Garamond" w:eastAsia="Times New Roman" w:hAnsi="Garamond" w:cs="Times New Roman"/>
          <w:sz w:val="24"/>
          <w:szCs w:val="24"/>
        </w:rPr>
        <w:t>s</w:t>
      </w:r>
      <w:r w:rsidR="00A3138E" w:rsidRPr="007C61D2">
        <w:rPr>
          <w:rFonts w:ascii="Garamond" w:eastAsia="Times New Roman" w:hAnsi="Garamond" w:cs="Times New Roman"/>
          <w:sz w:val="24"/>
          <w:szCs w:val="24"/>
        </w:rPr>
        <w:t xml:space="preserve"> </w:t>
      </w:r>
      <w:r w:rsidR="005A20BC" w:rsidRPr="007C61D2">
        <w:rPr>
          <w:rFonts w:ascii="Garamond" w:eastAsia="Times New Roman" w:hAnsi="Garamond" w:cs="Times New Roman"/>
          <w:sz w:val="24"/>
          <w:szCs w:val="24"/>
        </w:rPr>
        <w:t xml:space="preserve">of </w:t>
      </w:r>
      <w:r w:rsidR="00A3138E" w:rsidRPr="007C61D2">
        <w:rPr>
          <w:rFonts w:ascii="Garamond" w:eastAsia="Times New Roman" w:hAnsi="Garamond" w:cs="Times New Roman"/>
          <w:sz w:val="24"/>
          <w:szCs w:val="24"/>
        </w:rPr>
        <w:t xml:space="preserve">what their gender </w:t>
      </w:r>
      <w:r w:rsidR="00E02ED8" w:rsidRPr="007C61D2">
        <w:rPr>
          <w:rFonts w:ascii="Garamond" w:eastAsia="Times New Roman" w:hAnsi="Garamond" w:cs="Times New Roman"/>
          <w:sz w:val="24"/>
          <w:szCs w:val="24"/>
        </w:rPr>
        <w:t xml:space="preserve">(or sex) </w:t>
      </w:r>
      <w:r w:rsidR="00A3138E" w:rsidRPr="007C61D2">
        <w:rPr>
          <w:rFonts w:ascii="Garamond" w:eastAsia="Times New Roman" w:hAnsi="Garamond" w:cs="Times New Roman"/>
          <w:sz w:val="24"/>
          <w:szCs w:val="24"/>
        </w:rPr>
        <w:t>is</w:t>
      </w:r>
      <w:r w:rsidR="003607B6" w:rsidRPr="007C61D2">
        <w:rPr>
          <w:rFonts w:ascii="Garamond" w:eastAsia="Times New Roman" w:hAnsi="Garamond" w:cs="Times New Roman"/>
          <w:sz w:val="24"/>
          <w:szCs w:val="24"/>
        </w:rPr>
        <w:t xml:space="preserve">. </w:t>
      </w:r>
      <w:r w:rsidR="005D7B5E" w:rsidRPr="007C61D2">
        <w:rPr>
          <w:rFonts w:ascii="Garamond" w:eastAsia="Times New Roman" w:hAnsi="Garamond" w:cs="Times New Roman"/>
          <w:sz w:val="24"/>
          <w:szCs w:val="24"/>
        </w:rPr>
        <w:t>Karen Ingala Smith, Chief Executive of the anti-violence organisation, Nia, told a Parliamentary Inquiry</w:t>
      </w:r>
      <w:r w:rsidR="0004647D" w:rsidRPr="007C61D2">
        <w:rPr>
          <w:rFonts w:ascii="Garamond" w:eastAsia="Times New Roman" w:hAnsi="Garamond" w:cs="Times New Roman"/>
          <w:sz w:val="24"/>
          <w:szCs w:val="24"/>
        </w:rPr>
        <w:t xml:space="preserve"> </w:t>
      </w:r>
      <w:r w:rsidR="00426ED9" w:rsidRPr="007C61D2">
        <w:rPr>
          <w:rFonts w:ascii="Garamond" w:eastAsia="Times New Roman" w:hAnsi="Garamond" w:cs="Times New Roman"/>
          <w:sz w:val="24"/>
          <w:szCs w:val="24"/>
        </w:rPr>
        <w:t>on</w:t>
      </w:r>
      <w:r w:rsidR="0004647D" w:rsidRPr="007C61D2">
        <w:rPr>
          <w:rFonts w:ascii="Garamond" w:eastAsia="Times New Roman" w:hAnsi="Garamond" w:cs="Times New Roman"/>
          <w:sz w:val="24"/>
          <w:szCs w:val="24"/>
        </w:rPr>
        <w:t xml:space="preserve"> the Equality Act 2010</w:t>
      </w:r>
      <w:r w:rsidR="00426ED9" w:rsidRPr="007C61D2">
        <w:rPr>
          <w:rFonts w:ascii="Garamond" w:eastAsia="Times New Roman" w:hAnsi="Garamond" w:cs="Times New Roman"/>
          <w:sz w:val="24"/>
          <w:szCs w:val="24"/>
        </w:rPr>
        <w:t xml:space="preserve">, </w:t>
      </w:r>
      <w:r w:rsidR="0089680D">
        <w:rPr>
          <w:rFonts w:ascii="Garamond" w:eastAsia="Times New Roman" w:hAnsi="Garamond" w:cs="Times New Roman"/>
          <w:sz w:val="24"/>
          <w:szCs w:val="24"/>
        </w:rPr>
        <w:t xml:space="preserve">that also </w:t>
      </w:r>
      <w:r w:rsidR="00404C74">
        <w:rPr>
          <w:rFonts w:ascii="Garamond" w:eastAsia="Times New Roman" w:hAnsi="Garamond" w:cs="Times New Roman"/>
          <w:sz w:val="24"/>
          <w:szCs w:val="24"/>
        </w:rPr>
        <w:t>address</w:t>
      </w:r>
      <w:r w:rsidR="0089680D">
        <w:rPr>
          <w:rFonts w:ascii="Garamond" w:eastAsia="Times New Roman" w:hAnsi="Garamond" w:cs="Times New Roman"/>
          <w:sz w:val="24"/>
          <w:szCs w:val="24"/>
        </w:rPr>
        <w:t xml:space="preserve">ed </w:t>
      </w:r>
      <w:r w:rsidR="00426ED9" w:rsidRPr="007C61D2">
        <w:rPr>
          <w:rFonts w:ascii="Garamond" w:eastAsia="Times New Roman" w:hAnsi="Garamond" w:cs="Times New Roman"/>
          <w:sz w:val="24"/>
          <w:szCs w:val="24"/>
        </w:rPr>
        <w:t>the Act’s</w:t>
      </w:r>
      <w:r w:rsidR="0004647D" w:rsidRPr="007C61D2">
        <w:rPr>
          <w:rFonts w:ascii="Garamond" w:eastAsia="Times New Roman" w:hAnsi="Garamond" w:cs="Times New Roman"/>
          <w:sz w:val="24"/>
          <w:szCs w:val="24"/>
        </w:rPr>
        <w:t xml:space="preserve"> </w:t>
      </w:r>
      <w:r w:rsidR="00426ED9" w:rsidRPr="007C61D2">
        <w:rPr>
          <w:rFonts w:ascii="Garamond" w:eastAsia="Times New Roman" w:hAnsi="Garamond" w:cs="Times New Roman"/>
          <w:sz w:val="24"/>
          <w:szCs w:val="24"/>
        </w:rPr>
        <w:t xml:space="preserve">effects </w:t>
      </w:r>
      <w:r w:rsidR="0004647D" w:rsidRPr="007C61D2">
        <w:rPr>
          <w:rFonts w:ascii="Garamond" w:eastAsia="Times New Roman" w:hAnsi="Garamond" w:cs="Times New Roman"/>
          <w:sz w:val="24"/>
          <w:szCs w:val="24"/>
        </w:rPr>
        <w:t xml:space="preserve">on </w:t>
      </w:r>
      <w:r w:rsidR="000258FF" w:rsidRPr="007C61D2">
        <w:rPr>
          <w:rFonts w:ascii="Garamond" w:eastAsia="Times New Roman" w:hAnsi="Garamond" w:cs="Times New Roman"/>
          <w:sz w:val="24"/>
          <w:szCs w:val="24"/>
        </w:rPr>
        <w:t xml:space="preserve">the operation of </w:t>
      </w:r>
      <w:r w:rsidR="0004647D" w:rsidRPr="007C61D2">
        <w:rPr>
          <w:rFonts w:ascii="Garamond" w:eastAsia="Times New Roman" w:hAnsi="Garamond" w:cs="Times New Roman"/>
          <w:sz w:val="24"/>
          <w:szCs w:val="24"/>
        </w:rPr>
        <w:t>women-only spaces</w:t>
      </w:r>
      <w:r w:rsidR="001110E2" w:rsidRPr="007C61D2">
        <w:rPr>
          <w:rFonts w:ascii="Garamond" w:eastAsia="Times New Roman" w:hAnsi="Garamond" w:cs="Times New Roman"/>
          <w:sz w:val="24"/>
          <w:szCs w:val="24"/>
        </w:rPr>
        <w:t>:</w:t>
      </w:r>
    </w:p>
    <w:p w14:paraId="1DB68E61" w14:textId="4787FB10" w:rsidR="00F54DB0" w:rsidRPr="007C61D2" w:rsidRDefault="00CC125D" w:rsidP="00AB322D">
      <w:pPr>
        <w:spacing w:before="120" w:after="120" w:line="360" w:lineRule="auto"/>
        <w:ind w:left="720" w:hanging="11"/>
        <w:rPr>
          <w:rFonts w:ascii="Garamond" w:eastAsia="Times New Roman" w:hAnsi="Garamond" w:cs="Times New Roman"/>
          <w:sz w:val="24"/>
          <w:szCs w:val="24"/>
        </w:rPr>
      </w:pPr>
      <w:r w:rsidRPr="007C61D2">
        <w:rPr>
          <w:rFonts w:ascii="Garamond" w:eastAsia="Times New Roman" w:hAnsi="Garamond" w:cs="Times New Roman"/>
          <w:sz w:val="24"/>
          <w:szCs w:val="24"/>
        </w:rPr>
        <w:t xml:space="preserve">“I have a comment on women-only spaces. That phrase is meaningless if we cannot even agree what a woman is. In our policy, we are very clear </w:t>
      </w:r>
      <w:r w:rsidR="00B75DCB"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there are many ways of being a woman, but there is one thing that women share in common; we are adult human females </w:t>
      </w:r>
      <w:r w:rsidR="00F54DB0"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we are very clear about that.”</w:t>
      </w:r>
      <w:r w:rsidRPr="007C61D2">
        <w:rPr>
          <w:rStyle w:val="FootnoteReference"/>
          <w:rFonts w:ascii="Garamond" w:eastAsia="Times New Roman" w:hAnsi="Garamond" w:cs="Times New Roman"/>
          <w:sz w:val="24"/>
          <w:szCs w:val="24"/>
        </w:rPr>
        <w:footnoteReference w:id="24"/>
      </w:r>
      <w:r w:rsidRPr="007C61D2">
        <w:rPr>
          <w:rFonts w:ascii="Garamond" w:eastAsia="Times New Roman" w:hAnsi="Garamond" w:cs="Times New Roman"/>
          <w:sz w:val="24"/>
          <w:szCs w:val="24"/>
        </w:rPr>
        <w:t xml:space="preserve"> </w:t>
      </w:r>
    </w:p>
    <w:p w14:paraId="16AF3C55" w14:textId="57DFD884" w:rsidR="00FD5462" w:rsidRPr="007C61D2" w:rsidRDefault="00DA0E3E" w:rsidP="00AC324C">
      <w:pPr>
        <w:spacing w:before="12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One criticism of </w:t>
      </w:r>
      <w:r w:rsidR="00F54DB0" w:rsidRPr="007C61D2">
        <w:rPr>
          <w:rFonts w:ascii="Garamond" w:eastAsia="Times New Roman" w:hAnsi="Garamond" w:cs="Times New Roman"/>
          <w:sz w:val="24"/>
          <w:szCs w:val="24"/>
        </w:rPr>
        <w:t>d</w:t>
      </w:r>
      <w:r w:rsidR="003607B6" w:rsidRPr="007C61D2">
        <w:rPr>
          <w:rFonts w:ascii="Garamond" w:eastAsia="Times New Roman" w:hAnsi="Garamond" w:cs="Times New Roman"/>
          <w:sz w:val="24"/>
          <w:szCs w:val="24"/>
        </w:rPr>
        <w:t>ecertification</w:t>
      </w:r>
      <w:r w:rsidRPr="007C61D2">
        <w:rPr>
          <w:rFonts w:ascii="Garamond" w:eastAsia="Times New Roman" w:hAnsi="Garamond" w:cs="Times New Roman"/>
          <w:sz w:val="24"/>
          <w:szCs w:val="24"/>
        </w:rPr>
        <w:t xml:space="preserve">, and </w:t>
      </w:r>
      <w:r w:rsidR="00E30A8E" w:rsidRPr="007C61D2">
        <w:rPr>
          <w:rFonts w:ascii="Garamond" w:eastAsia="Times New Roman" w:hAnsi="Garamond" w:cs="Times New Roman"/>
          <w:sz w:val="24"/>
          <w:szCs w:val="24"/>
        </w:rPr>
        <w:t xml:space="preserve">of </w:t>
      </w:r>
      <w:r w:rsidR="00E02ED8" w:rsidRPr="007C61D2">
        <w:rPr>
          <w:rFonts w:ascii="Garamond" w:eastAsia="Times New Roman" w:hAnsi="Garamond" w:cs="Times New Roman"/>
          <w:sz w:val="24"/>
          <w:szCs w:val="24"/>
        </w:rPr>
        <w:t xml:space="preserve">related </w:t>
      </w:r>
      <w:r w:rsidRPr="007C61D2">
        <w:rPr>
          <w:rFonts w:ascii="Garamond" w:eastAsia="Times New Roman" w:hAnsi="Garamond" w:cs="Times New Roman"/>
          <w:sz w:val="24"/>
          <w:szCs w:val="24"/>
        </w:rPr>
        <w:t>moves to informalise sex/ gender,</w:t>
      </w:r>
      <w:r w:rsidR="00F54DB0"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is that </w:t>
      </w:r>
      <w:r w:rsidR="00E02ED8" w:rsidRPr="007C61D2">
        <w:rPr>
          <w:rFonts w:ascii="Garamond" w:eastAsia="Times New Roman" w:hAnsi="Garamond" w:cs="Times New Roman"/>
          <w:sz w:val="24"/>
          <w:szCs w:val="24"/>
        </w:rPr>
        <w:t xml:space="preserve">it </w:t>
      </w:r>
      <w:r w:rsidRPr="007C61D2">
        <w:rPr>
          <w:rFonts w:ascii="Garamond" w:eastAsia="Times New Roman" w:hAnsi="Garamond" w:cs="Times New Roman"/>
          <w:sz w:val="24"/>
          <w:szCs w:val="24"/>
        </w:rPr>
        <w:t>would make</w:t>
      </w:r>
      <w:r w:rsidR="003607B6" w:rsidRPr="007C61D2">
        <w:rPr>
          <w:rFonts w:ascii="Garamond" w:eastAsia="Times New Roman" w:hAnsi="Garamond" w:cs="Times New Roman"/>
          <w:sz w:val="24"/>
          <w:szCs w:val="24"/>
        </w:rPr>
        <w:t xml:space="preserve"> </w:t>
      </w:r>
      <w:r w:rsidR="002509B5" w:rsidRPr="007C61D2">
        <w:rPr>
          <w:rFonts w:ascii="Garamond" w:eastAsia="Times New Roman" w:hAnsi="Garamond" w:cs="Times New Roman"/>
          <w:sz w:val="24"/>
          <w:szCs w:val="24"/>
        </w:rPr>
        <w:t xml:space="preserve">sex/ gender-based divisions in </w:t>
      </w:r>
      <w:r w:rsidR="005D7B5E" w:rsidRPr="007C61D2">
        <w:rPr>
          <w:rFonts w:ascii="Garamond" w:eastAsia="Times New Roman" w:hAnsi="Garamond" w:cs="Times New Roman"/>
          <w:sz w:val="24"/>
          <w:szCs w:val="24"/>
        </w:rPr>
        <w:t>p</w:t>
      </w:r>
      <w:r w:rsidR="005B73D9" w:rsidRPr="007C61D2">
        <w:rPr>
          <w:rFonts w:ascii="Garamond" w:eastAsia="Times New Roman" w:hAnsi="Garamond" w:cs="Times New Roman"/>
          <w:sz w:val="24"/>
          <w:szCs w:val="24"/>
        </w:rPr>
        <w:t>risons</w:t>
      </w:r>
      <w:r w:rsidR="007A4945" w:rsidRPr="007C61D2">
        <w:rPr>
          <w:rFonts w:ascii="Garamond" w:eastAsia="Times New Roman" w:hAnsi="Garamond" w:cs="Times New Roman"/>
          <w:sz w:val="24"/>
          <w:szCs w:val="24"/>
        </w:rPr>
        <w:t>,</w:t>
      </w:r>
      <w:r w:rsidR="005B73D9" w:rsidRPr="007C61D2">
        <w:rPr>
          <w:rFonts w:ascii="Garamond" w:eastAsia="Times New Roman" w:hAnsi="Garamond" w:cs="Times New Roman"/>
          <w:sz w:val="24"/>
          <w:szCs w:val="24"/>
        </w:rPr>
        <w:t xml:space="preserve"> schools, refuges, hostels, changing rooms, public toilets, </w:t>
      </w:r>
      <w:r w:rsidR="002509B5" w:rsidRPr="007C61D2">
        <w:rPr>
          <w:rFonts w:ascii="Garamond" w:eastAsia="Times New Roman" w:hAnsi="Garamond" w:cs="Times New Roman"/>
          <w:sz w:val="24"/>
          <w:szCs w:val="24"/>
        </w:rPr>
        <w:t xml:space="preserve">and </w:t>
      </w:r>
      <w:r w:rsidR="005B73D9" w:rsidRPr="007C61D2">
        <w:rPr>
          <w:rFonts w:ascii="Garamond" w:eastAsia="Times New Roman" w:hAnsi="Garamond" w:cs="Times New Roman"/>
          <w:sz w:val="24"/>
          <w:szCs w:val="24"/>
        </w:rPr>
        <w:t>sports</w:t>
      </w:r>
      <w:r w:rsidR="002509B5" w:rsidRPr="007C61D2">
        <w:rPr>
          <w:rFonts w:ascii="Garamond" w:eastAsia="Times New Roman" w:hAnsi="Garamond" w:cs="Times New Roman"/>
          <w:sz w:val="24"/>
          <w:szCs w:val="24"/>
        </w:rPr>
        <w:t xml:space="preserve"> </w:t>
      </w:r>
      <w:r w:rsidR="00D912EE" w:rsidRPr="007C61D2">
        <w:rPr>
          <w:rFonts w:ascii="Garamond" w:eastAsia="Times New Roman" w:hAnsi="Garamond" w:cs="Times New Roman"/>
          <w:sz w:val="24"/>
          <w:szCs w:val="24"/>
        </w:rPr>
        <w:t xml:space="preserve">legally </w:t>
      </w:r>
      <w:r w:rsidR="00F54DB0" w:rsidRPr="007C61D2">
        <w:rPr>
          <w:rFonts w:ascii="Garamond" w:eastAsia="Times New Roman" w:hAnsi="Garamond" w:cs="Times New Roman"/>
          <w:sz w:val="24"/>
          <w:szCs w:val="24"/>
        </w:rPr>
        <w:t>impossible</w:t>
      </w:r>
      <w:r w:rsidR="002767C1" w:rsidRPr="007C61D2">
        <w:rPr>
          <w:rFonts w:ascii="Garamond" w:eastAsia="Times New Roman" w:hAnsi="Garamond" w:cs="Times New Roman"/>
          <w:sz w:val="24"/>
          <w:szCs w:val="24"/>
        </w:rPr>
        <w:t xml:space="preserve"> or</w:t>
      </w:r>
      <w:r w:rsidR="006E378A" w:rsidRPr="007C61D2">
        <w:rPr>
          <w:rFonts w:ascii="Garamond" w:eastAsia="Times New Roman" w:hAnsi="Garamond" w:cs="Times New Roman"/>
          <w:sz w:val="24"/>
          <w:szCs w:val="24"/>
        </w:rPr>
        <w:t xml:space="preserve"> </w:t>
      </w:r>
      <w:r w:rsidR="00222947" w:rsidRPr="007C61D2">
        <w:rPr>
          <w:rFonts w:ascii="Garamond" w:eastAsia="Times New Roman" w:hAnsi="Garamond" w:cs="Times New Roman"/>
          <w:sz w:val="24"/>
          <w:szCs w:val="24"/>
        </w:rPr>
        <w:t xml:space="preserve">extremely </w:t>
      </w:r>
      <w:r w:rsidR="00E02ED8" w:rsidRPr="007C61D2">
        <w:rPr>
          <w:rFonts w:ascii="Garamond" w:eastAsia="Times New Roman" w:hAnsi="Garamond" w:cs="Times New Roman"/>
          <w:sz w:val="24"/>
          <w:szCs w:val="24"/>
        </w:rPr>
        <w:t xml:space="preserve">difficult </w:t>
      </w:r>
      <w:r w:rsidR="00C211D6">
        <w:rPr>
          <w:rFonts w:ascii="Garamond" w:eastAsia="Times New Roman" w:hAnsi="Garamond" w:cs="Times New Roman"/>
          <w:sz w:val="24"/>
          <w:szCs w:val="24"/>
        </w:rPr>
        <w:t xml:space="preserve">to accomplish </w:t>
      </w:r>
      <w:r w:rsidR="002767C1" w:rsidRPr="007C61D2">
        <w:rPr>
          <w:rFonts w:ascii="Garamond" w:eastAsia="Times New Roman" w:hAnsi="Garamond" w:cs="Times New Roman"/>
          <w:sz w:val="24"/>
          <w:szCs w:val="24"/>
        </w:rPr>
        <w:t xml:space="preserve">since there </w:t>
      </w:r>
      <w:r w:rsidRPr="007C61D2">
        <w:rPr>
          <w:rFonts w:ascii="Garamond" w:eastAsia="Times New Roman" w:hAnsi="Garamond" w:cs="Times New Roman"/>
          <w:sz w:val="24"/>
          <w:szCs w:val="24"/>
        </w:rPr>
        <w:t xml:space="preserve">would </w:t>
      </w:r>
      <w:r w:rsidR="002767C1" w:rsidRPr="007C61D2">
        <w:rPr>
          <w:rFonts w:ascii="Garamond" w:eastAsia="Times New Roman" w:hAnsi="Garamond" w:cs="Times New Roman"/>
          <w:sz w:val="24"/>
          <w:szCs w:val="24"/>
        </w:rPr>
        <w:t>be no authoritative basis for excluding people or challenging their self-identification</w:t>
      </w:r>
      <w:r w:rsidR="00F54DB0" w:rsidRPr="007C61D2">
        <w:rPr>
          <w:rFonts w:ascii="Garamond" w:eastAsia="Times New Roman" w:hAnsi="Garamond" w:cs="Times New Roman"/>
          <w:sz w:val="24"/>
          <w:szCs w:val="24"/>
        </w:rPr>
        <w:t>.</w:t>
      </w:r>
      <w:r w:rsidR="00C211D6">
        <w:rPr>
          <w:rFonts w:ascii="Garamond" w:eastAsia="Times New Roman" w:hAnsi="Garamond" w:cs="Times New Roman"/>
          <w:sz w:val="24"/>
          <w:szCs w:val="24"/>
        </w:rPr>
        <w:t xml:space="preserve"> Critics </w:t>
      </w:r>
      <w:r w:rsidR="006E378A" w:rsidRPr="007C61D2">
        <w:rPr>
          <w:rFonts w:ascii="Garamond" w:eastAsia="Times New Roman" w:hAnsi="Garamond" w:cs="Times New Roman"/>
          <w:sz w:val="24"/>
          <w:szCs w:val="24"/>
        </w:rPr>
        <w:t xml:space="preserve">argued, </w:t>
      </w:r>
      <w:r w:rsidR="00C211D6">
        <w:rPr>
          <w:rFonts w:ascii="Garamond" w:eastAsia="Times New Roman" w:hAnsi="Garamond" w:cs="Times New Roman"/>
          <w:sz w:val="24"/>
          <w:szCs w:val="24"/>
        </w:rPr>
        <w:t xml:space="preserve">this </w:t>
      </w:r>
      <w:r w:rsidR="006E378A" w:rsidRPr="007C61D2">
        <w:rPr>
          <w:rFonts w:ascii="Garamond" w:eastAsia="Times New Roman" w:hAnsi="Garamond" w:cs="Times New Roman"/>
          <w:sz w:val="24"/>
          <w:szCs w:val="24"/>
        </w:rPr>
        <w:t xml:space="preserve">would damage </w:t>
      </w:r>
      <w:r w:rsidR="00C211D6">
        <w:rPr>
          <w:rFonts w:ascii="Garamond" w:eastAsia="Times New Roman" w:hAnsi="Garamond" w:cs="Times New Roman"/>
          <w:sz w:val="24"/>
          <w:szCs w:val="24"/>
        </w:rPr>
        <w:t xml:space="preserve">(cis) </w:t>
      </w:r>
      <w:r w:rsidR="006E378A" w:rsidRPr="007C61D2">
        <w:rPr>
          <w:rFonts w:ascii="Garamond" w:eastAsia="Times New Roman" w:hAnsi="Garamond" w:cs="Times New Roman"/>
          <w:sz w:val="24"/>
          <w:szCs w:val="24"/>
        </w:rPr>
        <w:t>women’s lives in several ways.</w:t>
      </w:r>
      <w:r w:rsidR="00AE1C8D" w:rsidRPr="007C61D2">
        <w:rPr>
          <w:rFonts w:ascii="Garamond" w:eastAsia="Times New Roman" w:hAnsi="Garamond" w:cs="Times New Roman"/>
          <w:sz w:val="24"/>
          <w:szCs w:val="24"/>
        </w:rPr>
        <w:t xml:space="preserve"> It would </w:t>
      </w:r>
      <w:r w:rsidR="00C211D6">
        <w:rPr>
          <w:rFonts w:ascii="Garamond" w:eastAsia="Times New Roman" w:hAnsi="Garamond" w:cs="Times New Roman"/>
          <w:sz w:val="24"/>
          <w:szCs w:val="24"/>
        </w:rPr>
        <w:t xml:space="preserve">withdraw </w:t>
      </w:r>
      <w:r w:rsidR="00AE1C8D" w:rsidRPr="007C61D2">
        <w:rPr>
          <w:rFonts w:ascii="Garamond" w:eastAsia="Times New Roman" w:hAnsi="Garamond" w:cs="Times New Roman"/>
          <w:sz w:val="24"/>
          <w:szCs w:val="24"/>
        </w:rPr>
        <w:t>resources and opportunities for women’s empowerment; cause women to</w:t>
      </w:r>
      <w:r w:rsidR="00B75DCB" w:rsidRPr="007C61D2">
        <w:rPr>
          <w:rFonts w:ascii="Garamond" w:eastAsia="Times New Roman" w:hAnsi="Garamond" w:cs="Times New Roman"/>
          <w:sz w:val="24"/>
          <w:szCs w:val="24"/>
        </w:rPr>
        <w:t xml:space="preserve"> be outcompeted</w:t>
      </w:r>
      <w:r w:rsidR="00AE1C8D" w:rsidRPr="007C61D2">
        <w:rPr>
          <w:rFonts w:ascii="Garamond" w:eastAsia="Times New Roman" w:hAnsi="Garamond" w:cs="Times New Roman"/>
          <w:sz w:val="24"/>
          <w:szCs w:val="24"/>
        </w:rPr>
        <w:t xml:space="preserve"> in sports; and leave women subject to </w:t>
      </w:r>
      <w:r w:rsidR="0025438A" w:rsidRPr="007C61D2">
        <w:rPr>
          <w:rFonts w:ascii="Garamond" w:eastAsia="Times New Roman" w:hAnsi="Garamond" w:cs="Times New Roman"/>
          <w:sz w:val="24"/>
          <w:szCs w:val="24"/>
        </w:rPr>
        <w:t xml:space="preserve">male </w:t>
      </w:r>
      <w:r w:rsidR="00AE1C8D" w:rsidRPr="007C61D2">
        <w:rPr>
          <w:rFonts w:ascii="Garamond" w:eastAsia="Times New Roman" w:hAnsi="Garamond" w:cs="Times New Roman"/>
          <w:sz w:val="24"/>
          <w:szCs w:val="24"/>
        </w:rPr>
        <w:t>intrusions, unwanted sexual interactions, violence</w:t>
      </w:r>
      <w:r w:rsidR="00404C74">
        <w:rPr>
          <w:rFonts w:ascii="Garamond" w:eastAsia="Times New Roman" w:hAnsi="Garamond" w:cs="Times New Roman"/>
          <w:sz w:val="24"/>
          <w:szCs w:val="24"/>
        </w:rPr>
        <w:t>,</w:t>
      </w:r>
      <w:r w:rsidR="00AE1C8D" w:rsidRPr="007C61D2">
        <w:rPr>
          <w:rFonts w:ascii="Garamond" w:eastAsia="Times New Roman" w:hAnsi="Garamond" w:cs="Times New Roman"/>
          <w:sz w:val="24"/>
          <w:szCs w:val="24"/>
        </w:rPr>
        <w:t xml:space="preserve"> and physical injury.  </w:t>
      </w:r>
      <w:r w:rsidR="005D7B5E" w:rsidRPr="007C61D2">
        <w:rPr>
          <w:rFonts w:ascii="Garamond" w:eastAsia="Times New Roman" w:hAnsi="Garamond" w:cs="Times New Roman"/>
          <w:sz w:val="24"/>
          <w:szCs w:val="24"/>
        </w:rPr>
        <w:t xml:space="preserve">As one interviewee </w:t>
      </w:r>
      <w:r w:rsidR="005D7B5E" w:rsidRPr="007C61D2">
        <w:rPr>
          <w:rFonts w:ascii="Garamond" w:eastAsia="Times New Roman" w:hAnsi="Garamond" w:cs="Times New Roman"/>
          <w:sz w:val="24"/>
          <w:szCs w:val="24"/>
        </w:rPr>
        <w:lastRenderedPageBreak/>
        <w:t xml:space="preserve">remarked, </w:t>
      </w:r>
      <w:r w:rsidR="00CC125D" w:rsidRPr="007C61D2">
        <w:rPr>
          <w:rFonts w:ascii="Garamond" w:eastAsia="Times New Roman" w:hAnsi="Garamond" w:cs="Times New Roman"/>
          <w:sz w:val="24"/>
          <w:szCs w:val="24"/>
        </w:rPr>
        <w:t>“There is a bloody good reason why we separate prisoners by sex. Female prisoners are at risk from male prisoners.”</w:t>
      </w:r>
      <w:r w:rsidR="00FD5462" w:rsidRPr="007C61D2">
        <w:rPr>
          <w:rFonts w:ascii="Garamond" w:eastAsia="Times New Roman" w:hAnsi="Garamond" w:cs="Times New Roman"/>
          <w:sz w:val="24"/>
          <w:szCs w:val="24"/>
        </w:rPr>
        <w:t xml:space="preserve"> </w:t>
      </w:r>
      <w:r w:rsidR="0025438A" w:rsidRPr="007C61D2">
        <w:rPr>
          <w:rFonts w:ascii="Garamond" w:eastAsia="Times New Roman" w:hAnsi="Garamond" w:cs="Times New Roman"/>
          <w:sz w:val="24"/>
          <w:szCs w:val="24"/>
        </w:rPr>
        <w:t xml:space="preserve">Others noted that the </w:t>
      </w:r>
      <w:r w:rsidR="00FD5462" w:rsidRPr="007C61D2">
        <w:rPr>
          <w:rFonts w:ascii="Garamond" w:eastAsia="Times New Roman" w:hAnsi="Garamond" w:cs="Times New Roman"/>
          <w:sz w:val="24"/>
          <w:szCs w:val="24"/>
        </w:rPr>
        <w:t xml:space="preserve">effects of decertification on single-sex/ gender spaces </w:t>
      </w:r>
      <w:r w:rsidR="002509B5" w:rsidRPr="007C61D2">
        <w:rPr>
          <w:rFonts w:ascii="Garamond" w:eastAsia="Times New Roman" w:hAnsi="Garamond" w:cs="Times New Roman"/>
          <w:sz w:val="24"/>
          <w:szCs w:val="24"/>
        </w:rPr>
        <w:t>would not be evenly felt.</w:t>
      </w:r>
      <w:r w:rsidR="00CC125D" w:rsidRPr="007C61D2">
        <w:rPr>
          <w:rFonts w:ascii="Garamond" w:eastAsia="Times New Roman" w:hAnsi="Garamond" w:cs="Times New Roman"/>
          <w:sz w:val="24"/>
          <w:szCs w:val="24"/>
        </w:rPr>
        <w:t xml:space="preserve"> </w:t>
      </w:r>
      <w:r w:rsidR="002509B5" w:rsidRPr="007C61D2">
        <w:rPr>
          <w:rFonts w:ascii="Garamond" w:eastAsia="Times New Roman" w:hAnsi="Garamond" w:cs="Times New Roman"/>
          <w:sz w:val="24"/>
          <w:szCs w:val="24"/>
        </w:rPr>
        <w:t xml:space="preserve">Several interviewees </w:t>
      </w:r>
      <w:r w:rsidR="0025438A" w:rsidRPr="007C61D2">
        <w:rPr>
          <w:rFonts w:ascii="Garamond" w:eastAsia="Times New Roman" w:hAnsi="Garamond" w:cs="Times New Roman"/>
          <w:sz w:val="24"/>
          <w:szCs w:val="24"/>
        </w:rPr>
        <w:t xml:space="preserve">mentioned </w:t>
      </w:r>
      <w:r w:rsidR="00FD5462" w:rsidRPr="007C61D2">
        <w:rPr>
          <w:rFonts w:ascii="Garamond" w:eastAsia="Times New Roman" w:hAnsi="Garamond" w:cs="Times New Roman"/>
          <w:sz w:val="24"/>
          <w:szCs w:val="24"/>
        </w:rPr>
        <w:t xml:space="preserve">challenges for </w:t>
      </w:r>
      <w:r w:rsidR="002509B5" w:rsidRPr="007C61D2">
        <w:rPr>
          <w:rFonts w:ascii="Garamond" w:eastAsia="Times New Roman" w:hAnsi="Garamond" w:cs="Times New Roman"/>
          <w:sz w:val="24"/>
          <w:szCs w:val="24"/>
        </w:rPr>
        <w:t>religious women</w:t>
      </w:r>
      <w:r w:rsidR="00223E8A" w:rsidRPr="007C61D2">
        <w:rPr>
          <w:rFonts w:ascii="Garamond" w:eastAsia="Times New Roman" w:hAnsi="Garamond" w:cs="Times New Roman"/>
          <w:sz w:val="24"/>
          <w:szCs w:val="24"/>
        </w:rPr>
        <w:t xml:space="preserve"> (and, in some cases, </w:t>
      </w:r>
      <w:r w:rsidR="00E02ED8" w:rsidRPr="007C61D2">
        <w:rPr>
          <w:rFonts w:ascii="Garamond" w:eastAsia="Times New Roman" w:hAnsi="Garamond" w:cs="Times New Roman"/>
          <w:sz w:val="24"/>
          <w:szCs w:val="24"/>
        </w:rPr>
        <w:t xml:space="preserve">religious </w:t>
      </w:r>
      <w:r w:rsidR="00223E8A" w:rsidRPr="007C61D2">
        <w:rPr>
          <w:rFonts w:ascii="Garamond" w:eastAsia="Times New Roman" w:hAnsi="Garamond" w:cs="Times New Roman"/>
          <w:sz w:val="24"/>
          <w:szCs w:val="24"/>
        </w:rPr>
        <w:t>men)</w:t>
      </w:r>
      <w:r w:rsidR="002509B5" w:rsidRPr="007C61D2">
        <w:rPr>
          <w:rFonts w:ascii="Garamond" w:eastAsia="Times New Roman" w:hAnsi="Garamond" w:cs="Times New Roman"/>
          <w:sz w:val="24"/>
          <w:szCs w:val="24"/>
        </w:rPr>
        <w:t xml:space="preserve"> in </w:t>
      </w:r>
      <w:r w:rsidR="00FD5462" w:rsidRPr="007C61D2">
        <w:rPr>
          <w:rFonts w:ascii="Garamond" w:eastAsia="Times New Roman" w:hAnsi="Garamond" w:cs="Times New Roman"/>
          <w:sz w:val="24"/>
          <w:szCs w:val="24"/>
        </w:rPr>
        <w:t xml:space="preserve">navigating spaces where sexed bodies </w:t>
      </w:r>
      <w:r w:rsidR="00B75DCB" w:rsidRPr="007C61D2">
        <w:rPr>
          <w:rFonts w:ascii="Garamond" w:eastAsia="Times New Roman" w:hAnsi="Garamond" w:cs="Times New Roman"/>
          <w:sz w:val="24"/>
          <w:szCs w:val="24"/>
        </w:rPr>
        <w:t xml:space="preserve">were </w:t>
      </w:r>
      <w:r w:rsidR="00FD5462" w:rsidRPr="007C61D2">
        <w:rPr>
          <w:rFonts w:ascii="Garamond" w:eastAsia="Times New Roman" w:hAnsi="Garamond" w:cs="Times New Roman"/>
          <w:sz w:val="24"/>
          <w:szCs w:val="24"/>
        </w:rPr>
        <w:t xml:space="preserve">no longer separated, </w:t>
      </w:r>
      <w:r w:rsidR="00C211D6">
        <w:rPr>
          <w:rFonts w:ascii="Garamond" w:eastAsia="Times New Roman" w:hAnsi="Garamond" w:cs="Times New Roman"/>
          <w:sz w:val="24"/>
          <w:szCs w:val="24"/>
        </w:rPr>
        <w:t xml:space="preserve">citing </w:t>
      </w:r>
      <w:r w:rsidR="002509B5" w:rsidRPr="007C61D2">
        <w:rPr>
          <w:rFonts w:ascii="Garamond" w:eastAsia="Times New Roman" w:hAnsi="Garamond" w:cs="Times New Roman"/>
          <w:sz w:val="24"/>
          <w:szCs w:val="24"/>
        </w:rPr>
        <w:t>concern</w:t>
      </w:r>
      <w:r w:rsidR="00444433" w:rsidRPr="007C61D2">
        <w:rPr>
          <w:rFonts w:ascii="Garamond" w:eastAsia="Times New Roman" w:hAnsi="Garamond" w:cs="Times New Roman"/>
          <w:sz w:val="24"/>
          <w:szCs w:val="24"/>
        </w:rPr>
        <w:t xml:space="preserve">s </w:t>
      </w:r>
      <w:r w:rsidR="002509B5" w:rsidRPr="007C61D2">
        <w:rPr>
          <w:rFonts w:ascii="Garamond" w:eastAsia="Times New Roman" w:hAnsi="Garamond" w:cs="Times New Roman"/>
          <w:sz w:val="24"/>
          <w:szCs w:val="24"/>
        </w:rPr>
        <w:t xml:space="preserve">that it would </w:t>
      </w:r>
      <w:r w:rsidR="00E30A8E" w:rsidRPr="007C61D2">
        <w:rPr>
          <w:rFonts w:ascii="Garamond" w:eastAsia="Times New Roman" w:hAnsi="Garamond" w:cs="Times New Roman"/>
          <w:sz w:val="24"/>
          <w:szCs w:val="24"/>
        </w:rPr>
        <w:t xml:space="preserve">impede </w:t>
      </w:r>
      <w:r w:rsidR="002509B5" w:rsidRPr="007C61D2">
        <w:rPr>
          <w:rFonts w:ascii="Garamond" w:eastAsia="Times New Roman" w:hAnsi="Garamond" w:cs="Times New Roman"/>
          <w:sz w:val="24"/>
          <w:szCs w:val="24"/>
        </w:rPr>
        <w:t xml:space="preserve">their </w:t>
      </w:r>
      <w:r w:rsidR="00FD5462" w:rsidRPr="007C61D2">
        <w:rPr>
          <w:rFonts w:ascii="Garamond" w:eastAsia="Times New Roman" w:hAnsi="Garamond" w:cs="Times New Roman"/>
          <w:sz w:val="24"/>
          <w:szCs w:val="24"/>
        </w:rPr>
        <w:t>use</w:t>
      </w:r>
      <w:r w:rsidR="002509B5" w:rsidRPr="007C61D2">
        <w:rPr>
          <w:rFonts w:ascii="Garamond" w:eastAsia="Times New Roman" w:hAnsi="Garamond" w:cs="Times New Roman"/>
          <w:sz w:val="24"/>
          <w:szCs w:val="24"/>
        </w:rPr>
        <w:t xml:space="preserve"> of</w:t>
      </w:r>
      <w:r w:rsidR="00FD5462" w:rsidRPr="007C61D2">
        <w:rPr>
          <w:rFonts w:ascii="Garamond" w:eastAsia="Times New Roman" w:hAnsi="Garamond" w:cs="Times New Roman"/>
          <w:sz w:val="24"/>
          <w:szCs w:val="24"/>
        </w:rPr>
        <w:t xml:space="preserve"> public</w:t>
      </w:r>
      <w:r w:rsidR="002509B5" w:rsidRPr="007C61D2">
        <w:rPr>
          <w:rFonts w:ascii="Garamond" w:eastAsia="Times New Roman" w:hAnsi="Garamond" w:cs="Times New Roman"/>
          <w:sz w:val="24"/>
          <w:szCs w:val="24"/>
        </w:rPr>
        <w:t xml:space="preserve"> provision such as leisure centres and swimming pools, </w:t>
      </w:r>
      <w:r w:rsidR="0025438A" w:rsidRPr="007C61D2">
        <w:rPr>
          <w:rFonts w:ascii="Garamond" w:eastAsia="Times New Roman" w:hAnsi="Garamond" w:cs="Times New Roman"/>
          <w:sz w:val="24"/>
          <w:szCs w:val="24"/>
        </w:rPr>
        <w:t xml:space="preserve">along with other </w:t>
      </w:r>
      <w:r w:rsidR="002509B5" w:rsidRPr="007C61D2">
        <w:rPr>
          <w:rFonts w:ascii="Garamond" w:eastAsia="Times New Roman" w:hAnsi="Garamond" w:cs="Times New Roman"/>
          <w:sz w:val="24"/>
          <w:szCs w:val="24"/>
        </w:rPr>
        <w:t>public spaces</w:t>
      </w:r>
      <w:r w:rsidR="00E02ED8" w:rsidRPr="007C61D2">
        <w:rPr>
          <w:rFonts w:ascii="Garamond" w:eastAsia="Times New Roman" w:hAnsi="Garamond" w:cs="Times New Roman"/>
          <w:sz w:val="24"/>
          <w:szCs w:val="24"/>
        </w:rPr>
        <w:t>,</w:t>
      </w:r>
      <w:r w:rsidR="002509B5" w:rsidRPr="007C61D2">
        <w:rPr>
          <w:rFonts w:ascii="Garamond" w:eastAsia="Times New Roman" w:hAnsi="Garamond" w:cs="Times New Roman"/>
          <w:sz w:val="24"/>
          <w:szCs w:val="24"/>
        </w:rPr>
        <w:t xml:space="preserve"> if toilets </w:t>
      </w:r>
      <w:r w:rsidR="000671C1" w:rsidRPr="007C61D2">
        <w:rPr>
          <w:rFonts w:ascii="Garamond" w:eastAsia="Times New Roman" w:hAnsi="Garamond" w:cs="Times New Roman"/>
          <w:sz w:val="24"/>
          <w:szCs w:val="24"/>
        </w:rPr>
        <w:t xml:space="preserve">and changing rooms </w:t>
      </w:r>
      <w:r w:rsidR="002509B5" w:rsidRPr="007C61D2">
        <w:rPr>
          <w:rFonts w:ascii="Garamond" w:eastAsia="Times New Roman" w:hAnsi="Garamond" w:cs="Times New Roman"/>
          <w:sz w:val="24"/>
          <w:szCs w:val="24"/>
        </w:rPr>
        <w:t>moved to a mixed-sex model</w:t>
      </w:r>
      <w:r w:rsidR="00FD5462" w:rsidRPr="007C61D2">
        <w:rPr>
          <w:rFonts w:ascii="Garamond" w:eastAsia="Times New Roman" w:hAnsi="Garamond" w:cs="Times New Roman"/>
          <w:sz w:val="24"/>
          <w:szCs w:val="24"/>
        </w:rPr>
        <w:t>.</w:t>
      </w:r>
      <w:r w:rsidR="00E30A8E" w:rsidRPr="007C61D2">
        <w:rPr>
          <w:rStyle w:val="FootnoteReference"/>
          <w:rFonts w:ascii="Garamond" w:eastAsia="Times New Roman" w:hAnsi="Garamond" w:cs="Times New Roman"/>
          <w:sz w:val="24"/>
          <w:szCs w:val="24"/>
        </w:rPr>
        <w:footnoteReference w:id="25"/>
      </w:r>
      <w:r w:rsidR="00FD5462" w:rsidRPr="007C61D2">
        <w:rPr>
          <w:rFonts w:ascii="Garamond" w:eastAsia="Times New Roman" w:hAnsi="Garamond" w:cs="Times New Roman"/>
          <w:sz w:val="24"/>
          <w:szCs w:val="24"/>
        </w:rPr>
        <w:t xml:space="preserve"> </w:t>
      </w:r>
    </w:p>
    <w:p w14:paraId="5F8CD05C" w14:textId="002325C2" w:rsidR="002767C1" w:rsidRPr="007C61D2" w:rsidRDefault="00B02D86" w:rsidP="00654B6E">
      <w:pPr>
        <w:pStyle w:val="Heading3"/>
        <w:spacing w:after="120"/>
      </w:pPr>
      <w:r w:rsidRPr="007C61D2">
        <w:t>Confusing gender-based policy work</w:t>
      </w:r>
    </w:p>
    <w:p w14:paraId="2F643806" w14:textId="77777777" w:rsidR="00C211D6" w:rsidRDefault="002509B5"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A</w:t>
      </w:r>
      <w:r w:rsidR="00AE1C8D" w:rsidRPr="007C61D2">
        <w:rPr>
          <w:rFonts w:ascii="Garamond" w:eastAsia="Times New Roman" w:hAnsi="Garamond" w:cs="Times New Roman"/>
          <w:sz w:val="24"/>
          <w:szCs w:val="24"/>
        </w:rPr>
        <w:t xml:space="preserve"> second set of </w:t>
      </w:r>
      <w:r w:rsidR="00444433" w:rsidRPr="007C61D2">
        <w:rPr>
          <w:rFonts w:ascii="Garamond" w:eastAsia="Times New Roman" w:hAnsi="Garamond" w:cs="Times New Roman"/>
          <w:sz w:val="24"/>
          <w:szCs w:val="24"/>
        </w:rPr>
        <w:t xml:space="preserve">concerns </w:t>
      </w:r>
      <w:r w:rsidR="00AE1C8D" w:rsidRPr="007C61D2">
        <w:rPr>
          <w:rFonts w:ascii="Garamond" w:eastAsia="Times New Roman" w:hAnsi="Garamond" w:cs="Times New Roman"/>
          <w:sz w:val="24"/>
          <w:szCs w:val="24"/>
        </w:rPr>
        <w:t xml:space="preserve">invoked by the proposal to decertify sex/ gender </w:t>
      </w:r>
      <w:r w:rsidR="00444433" w:rsidRPr="007C61D2">
        <w:rPr>
          <w:rFonts w:ascii="Garamond" w:eastAsia="Times New Roman" w:hAnsi="Garamond" w:cs="Times New Roman"/>
          <w:sz w:val="24"/>
          <w:szCs w:val="24"/>
        </w:rPr>
        <w:t xml:space="preserve">relate to </w:t>
      </w:r>
      <w:r w:rsidR="00223E8A" w:rsidRPr="007C61D2">
        <w:rPr>
          <w:rFonts w:ascii="Garamond" w:eastAsia="Times New Roman" w:hAnsi="Garamond" w:cs="Times New Roman"/>
          <w:sz w:val="24"/>
          <w:szCs w:val="24"/>
        </w:rPr>
        <w:t xml:space="preserve">statutory </w:t>
      </w:r>
      <w:r w:rsidR="00B02D86" w:rsidRPr="007C61D2">
        <w:rPr>
          <w:rFonts w:ascii="Garamond" w:eastAsia="Times New Roman" w:hAnsi="Garamond" w:cs="Times New Roman"/>
          <w:sz w:val="24"/>
          <w:szCs w:val="24"/>
        </w:rPr>
        <w:t>affirmative action</w:t>
      </w:r>
      <w:r w:rsidR="00E02ED8" w:rsidRPr="007C61D2">
        <w:rPr>
          <w:rFonts w:ascii="Garamond" w:eastAsia="Times New Roman" w:hAnsi="Garamond" w:cs="Times New Roman"/>
          <w:sz w:val="24"/>
          <w:szCs w:val="24"/>
        </w:rPr>
        <w:t xml:space="preserve"> provisions</w:t>
      </w:r>
      <w:r w:rsidR="007A4945" w:rsidRPr="007C61D2">
        <w:rPr>
          <w:rFonts w:ascii="Garamond" w:eastAsia="Times New Roman" w:hAnsi="Garamond" w:cs="Times New Roman"/>
          <w:sz w:val="24"/>
          <w:szCs w:val="24"/>
        </w:rPr>
        <w:t xml:space="preserve">. There are currently limited contexts in </w:t>
      </w:r>
      <w:r w:rsidR="000F76BE" w:rsidRPr="007C61D2">
        <w:rPr>
          <w:rFonts w:ascii="Garamond" w:eastAsia="Times New Roman" w:hAnsi="Garamond" w:cs="Times New Roman"/>
          <w:sz w:val="24"/>
          <w:szCs w:val="24"/>
        </w:rPr>
        <w:t xml:space="preserve">England &amp; Wales </w:t>
      </w:r>
      <w:r w:rsidR="007A4945" w:rsidRPr="007C61D2">
        <w:rPr>
          <w:rFonts w:ascii="Garamond" w:eastAsia="Times New Roman" w:hAnsi="Garamond" w:cs="Times New Roman"/>
          <w:sz w:val="24"/>
          <w:szCs w:val="24"/>
        </w:rPr>
        <w:t xml:space="preserve">where discrimination </w:t>
      </w:r>
      <w:r w:rsidR="007A4945" w:rsidRPr="007C61D2">
        <w:rPr>
          <w:rFonts w:ascii="Garamond" w:eastAsia="Times New Roman" w:hAnsi="Garamond" w:cs="Times New Roman"/>
          <w:i/>
          <w:iCs/>
          <w:sz w:val="24"/>
          <w:szCs w:val="24"/>
        </w:rPr>
        <w:t>in favour of</w:t>
      </w:r>
      <w:r w:rsidR="007A4945" w:rsidRPr="007C61D2">
        <w:rPr>
          <w:rFonts w:ascii="Garamond" w:eastAsia="Times New Roman" w:hAnsi="Garamond" w:cs="Times New Roman"/>
          <w:sz w:val="24"/>
          <w:szCs w:val="24"/>
        </w:rPr>
        <w:t xml:space="preserve"> </w:t>
      </w:r>
      <w:r w:rsidR="005D7B5E" w:rsidRPr="007C61D2">
        <w:rPr>
          <w:rFonts w:ascii="Garamond" w:eastAsia="Times New Roman" w:hAnsi="Garamond" w:cs="Times New Roman"/>
          <w:sz w:val="24"/>
          <w:szCs w:val="24"/>
        </w:rPr>
        <w:t xml:space="preserve">people </w:t>
      </w:r>
      <w:r w:rsidR="00223E8A" w:rsidRPr="007C61D2">
        <w:rPr>
          <w:rFonts w:ascii="Garamond" w:eastAsia="Times New Roman" w:hAnsi="Garamond" w:cs="Times New Roman"/>
          <w:sz w:val="24"/>
          <w:szCs w:val="24"/>
        </w:rPr>
        <w:t xml:space="preserve">on grounds of </w:t>
      </w:r>
      <w:r w:rsidR="007A4945" w:rsidRPr="007C61D2">
        <w:rPr>
          <w:rFonts w:ascii="Garamond" w:eastAsia="Times New Roman" w:hAnsi="Garamond" w:cs="Times New Roman"/>
          <w:sz w:val="24"/>
          <w:szCs w:val="24"/>
        </w:rPr>
        <w:t>disadvantaged or under-represented “protected characteristics” is permitted. Under the Equality Act s.159, where two people are of equal merit, an employer can choose</w:t>
      </w:r>
      <w:r w:rsidR="00483919" w:rsidRPr="007C61D2">
        <w:rPr>
          <w:rFonts w:ascii="Garamond" w:eastAsia="Times New Roman" w:hAnsi="Garamond" w:cs="Times New Roman"/>
          <w:sz w:val="24"/>
          <w:szCs w:val="24"/>
        </w:rPr>
        <w:t xml:space="preserve"> to recruit or promote</w:t>
      </w:r>
      <w:r w:rsidR="007A4945" w:rsidRPr="007C61D2">
        <w:rPr>
          <w:rFonts w:ascii="Garamond" w:eastAsia="Times New Roman" w:hAnsi="Garamond" w:cs="Times New Roman"/>
          <w:sz w:val="24"/>
          <w:szCs w:val="24"/>
        </w:rPr>
        <w:t xml:space="preserve"> the one </w:t>
      </w:r>
      <w:r w:rsidR="00CC125D" w:rsidRPr="007C61D2">
        <w:rPr>
          <w:rFonts w:ascii="Garamond" w:eastAsia="Times New Roman" w:hAnsi="Garamond" w:cs="Times New Roman"/>
          <w:sz w:val="24"/>
          <w:szCs w:val="24"/>
        </w:rPr>
        <w:t xml:space="preserve">from </w:t>
      </w:r>
      <w:r w:rsidR="007A4945" w:rsidRPr="007C61D2">
        <w:rPr>
          <w:rFonts w:ascii="Garamond" w:eastAsia="Times New Roman" w:hAnsi="Garamond" w:cs="Times New Roman"/>
          <w:sz w:val="24"/>
          <w:szCs w:val="24"/>
        </w:rPr>
        <w:t>an under-represented constituency.</w:t>
      </w:r>
      <w:r w:rsidR="00DB3D64" w:rsidRPr="007C61D2">
        <w:rPr>
          <w:rStyle w:val="FootnoteReference"/>
          <w:rFonts w:ascii="Garamond" w:eastAsia="Times New Roman" w:hAnsi="Garamond" w:cs="Times New Roman"/>
          <w:sz w:val="24"/>
          <w:szCs w:val="24"/>
        </w:rPr>
        <w:footnoteReference w:id="26"/>
      </w:r>
      <w:r w:rsidR="007A4945" w:rsidRPr="007C61D2">
        <w:rPr>
          <w:rFonts w:ascii="Garamond" w:eastAsia="Times New Roman" w:hAnsi="Garamond" w:cs="Times New Roman"/>
          <w:sz w:val="24"/>
          <w:szCs w:val="24"/>
        </w:rPr>
        <w:t xml:space="preserve"> </w:t>
      </w:r>
      <w:r w:rsidR="00CC125D" w:rsidRPr="007C61D2">
        <w:rPr>
          <w:rFonts w:ascii="Garamond" w:eastAsia="Times New Roman" w:hAnsi="Garamond" w:cs="Times New Roman"/>
          <w:sz w:val="24"/>
          <w:szCs w:val="24"/>
        </w:rPr>
        <w:t xml:space="preserve">Training and education can also target under-represented groups to tackle occupational segregation (Equality Act </w:t>
      </w:r>
      <w:r w:rsidR="00954CC0" w:rsidRPr="007C61D2">
        <w:rPr>
          <w:rFonts w:ascii="Garamond" w:eastAsia="Times New Roman" w:hAnsi="Garamond" w:cs="Times New Roman"/>
          <w:sz w:val="24"/>
          <w:szCs w:val="24"/>
        </w:rPr>
        <w:t xml:space="preserve"> s. 158</w:t>
      </w:r>
      <w:r w:rsidR="00CC125D" w:rsidRPr="007C61D2">
        <w:rPr>
          <w:rFonts w:ascii="Garamond" w:eastAsia="Times New Roman" w:hAnsi="Garamond" w:cs="Times New Roman"/>
          <w:sz w:val="24"/>
          <w:szCs w:val="24"/>
        </w:rPr>
        <w:t>)</w:t>
      </w:r>
      <w:r w:rsidR="00404C74">
        <w:rPr>
          <w:rFonts w:ascii="Garamond" w:eastAsia="Times New Roman" w:hAnsi="Garamond" w:cs="Times New Roman"/>
          <w:sz w:val="24"/>
          <w:szCs w:val="24"/>
        </w:rPr>
        <w:t>;</w:t>
      </w:r>
      <w:r w:rsidR="00234C2A" w:rsidRPr="007C61D2">
        <w:rPr>
          <w:rStyle w:val="FootnoteReference"/>
          <w:rFonts w:ascii="Garamond" w:eastAsia="Times New Roman" w:hAnsi="Garamond" w:cs="Times New Roman"/>
          <w:sz w:val="24"/>
          <w:szCs w:val="24"/>
        </w:rPr>
        <w:footnoteReference w:id="27"/>
      </w:r>
      <w:r w:rsidR="00CC125D" w:rsidRPr="007C61D2">
        <w:rPr>
          <w:rFonts w:ascii="Garamond" w:eastAsia="Times New Roman" w:hAnsi="Garamond" w:cs="Times New Roman"/>
          <w:sz w:val="24"/>
          <w:szCs w:val="24"/>
        </w:rPr>
        <w:t xml:space="preserve"> </w:t>
      </w:r>
      <w:r w:rsidR="00404C74">
        <w:rPr>
          <w:rFonts w:ascii="Garamond" w:eastAsia="Times New Roman" w:hAnsi="Garamond" w:cs="Times New Roman"/>
          <w:sz w:val="24"/>
          <w:szCs w:val="24"/>
        </w:rPr>
        <w:t>and t</w:t>
      </w:r>
      <w:r w:rsidR="00CC125D" w:rsidRPr="007C61D2">
        <w:rPr>
          <w:rFonts w:ascii="Garamond" w:eastAsia="Times New Roman" w:hAnsi="Garamond" w:cs="Times New Roman"/>
          <w:sz w:val="24"/>
          <w:szCs w:val="24"/>
        </w:rPr>
        <w:t xml:space="preserve">he </w:t>
      </w:r>
      <w:r w:rsidR="007A4945" w:rsidRPr="007C61D2">
        <w:rPr>
          <w:rFonts w:ascii="Garamond" w:eastAsia="Times New Roman" w:hAnsi="Garamond" w:cs="Times New Roman"/>
          <w:sz w:val="24"/>
          <w:szCs w:val="24"/>
        </w:rPr>
        <w:t xml:space="preserve">Equality Act s. 104(7) permits women-only parliamentary shortlists (see also </w:t>
      </w:r>
      <w:r w:rsidR="00E30A8E" w:rsidRPr="007C61D2">
        <w:rPr>
          <w:rFonts w:ascii="Garamond" w:eastAsia="Times New Roman" w:hAnsi="Garamond" w:cs="Times New Roman"/>
          <w:sz w:val="24"/>
          <w:szCs w:val="24"/>
        </w:rPr>
        <w:t xml:space="preserve">Childs and Lovenduski 2013; </w:t>
      </w:r>
      <w:r w:rsidR="007A4945" w:rsidRPr="007C61D2">
        <w:rPr>
          <w:rFonts w:ascii="Garamond" w:eastAsia="Times New Roman" w:hAnsi="Garamond" w:cs="Times New Roman"/>
          <w:sz w:val="24"/>
          <w:szCs w:val="24"/>
        </w:rPr>
        <w:t xml:space="preserve">Kelly and White 2016). </w:t>
      </w:r>
      <w:r w:rsidR="00B02D86" w:rsidRPr="007C61D2">
        <w:rPr>
          <w:rFonts w:ascii="Garamond" w:eastAsia="Times New Roman" w:hAnsi="Garamond" w:cs="Times New Roman"/>
          <w:sz w:val="24"/>
          <w:szCs w:val="24"/>
        </w:rPr>
        <w:t xml:space="preserve">Critics’ </w:t>
      </w:r>
      <w:r w:rsidR="005921CE" w:rsidRPr="007C61D2">
        <w:rPr>
          <w:rFonts w:ascii="Garamond" w:eastAsia="Times New Roman" w:hAnsi="Garamond" w:cs="Times New Roman"/>
          <w:sz w:val="24"/>
          <w:szCs w:val="24"/>
        </w:rPr>
        <w:t xml:space="preserve">worry </w:t>
      </w:r>
      <w:r w:rsidR="00B02D86" w:rsidRPr="007C61D2">
        <w:rPr>
          <w:rFonts w:ascii="Garamond" w:eastAsia="Times New Roman" w:hAnsi="Garamond" w:cs="Times New Roman"/>
          <w:sz w:val="24"/>
          <w:szCs w:val="24"/>
        </w:rPr>
        <w:t>here</w:t>
      </w:r>
      <w:r w:rsidR="00444433" w:rsidRPr="007C61D2">
        <w:rPr>
          <w:rFonts w:ascii="Garamond" w:eastAsia="Times New Roman" w:hAnsi="Garamond" w:cs="Times New Roman"/>
          <w:sz w:val="24"/>
          <w:szCs w:val="24"/>
        </w:rPr>
        <w:t>, then,</w:t>
      </w:r>
      <w:r w:rsidR="00B02D86" w:rsidRPr="007C61D2">
        <w:rPr>
          <w:rFonts w:ascii="Garamond" w:eastAsia="Times New Roman" w:hAnsi="Garamond" w:cs="Times New Roman"/>
          <w:sz w:val="24"/>
          <w:szCs w:val="24"/>
        </w:rPr>
        <w:t xml:space="preserve"> is twofold. First,</w:t>
      </w:r>
      <w:r w:rsidR="004D14DF" w:rsidRPr="007C61D2">
        <w:rPr>
          <w:rFonts w:ascii="Garamond" w:eastAsia="Times New Roman" w:hAnsi="Garamond" w:cs="Times New Roman"/>
          <w:sz w:val="24"/>
          <w:szCs w:val="24"/>
        </w:rPr>
        <w:t xml:space="preserve"> they worry that</w:t>
      </w:r>
      <w:r w:rsidR="00B02D86" w:rsidRPr="007C61D2">
        <w:rPr>
          <w:rFonts w:ascii="Garamond" w:eastAsia="Times New Roman" w:hAnsi="Garamond" w:cs="Times New Roman"/>
          <w:sz w:val="24"/>
          <w:szCs w:val="24"/>
        </w:rPr>
        <w:t xml:space="preserve"> “under-representation” will lose </w:t>
      </w:r>
      <w:r w:rsidR="00E30A8E" w:rsidRPr="007C61D2">
        <w:rPr>
          <w:rFonts w:ascii="Garamond" w:eastAsia="Times New Roman" w:hAnsi="Garamond" w:cs="Times New Roman"/>
          <w:sz w:val="24"/>
          <w:szCs w:val="24"/>
        </w:rPr>
        <w:t xml:space="preserve">its </w:t>
      </w:r>
      <w:r w:rsidR="00B02D86" w:rsidRPr="007C61D2">
        <w:rPr>
          <w:rFonts w:ascii="Garamond" w:eastAsia="Times New Roman" w:hAnsi="Garamond" w:cs="Times New Roman"/>
          <w:sz w:val="24"/>
          <w:szCs w:val="24"/>
        </w:rPr>
        <w:t>meaning</w:t>
      </w:r>
      <w:r w:rsidR="00E02ED8" w:rsidRPr="007C61D2">
        <w:rPr>
          <w:rFonts w:ascii="Garamond" w:eastAsia="Times New Roman" w:hAnsi="Garamond" w:cs="Times New Roman"/>
          <w:sz w:val="24"/>
          <w:szCs w:val="24"/>
        </w:rPr>
        <w:t>,</w:t>
      </w:r>
      <w:r w:rsidR="00B02D86" w:rsidRPr="007C61D2">
        <w:rPr>
          <w:rFonts w:ascii="Garamond" w:eastAsia="Times New Roman" w:hAnsi="Garamond" w:cs="Times New Roman"/>
          <w:sz w:val="24"/>
          <w:szCs w:val="24"/>
        </w:rPr>
        <w:t xml:space="preserve"> force</w:t>
      </w:r>
      <w:r w:rsidR="00E02ED8" w:rsidRPr="007C61D2">
        <w:rPr>
          <w:rFonts w:ascii="Garamond" w:eastAsia="Times New Roman" w:hAnsi="Garamond" w:cs="Times New Roman"/>
          <w:sz w:val="24"/>
          <w:szCs w:val="24"/>
        </w:rPr>
        <w:t>,</w:t>
      </w:r>
      <w:r w:rsidR="00B02D86" w:rsidRPr="007C61D2">
        <w:rPr>
          <w:rFonts w:ascii="Garamond" w:eastAsia="Times New Roman" w:hAnsi="Garamond" w:cs="Times New Roman"/>
          <w:sz w:val="24"/>
          <w:szCs w:val="24"/>
        </w:rPr>
        <w:t xml:space="preserve"> </w:t>
      </w:r>
      <w:r w:rsidR="00E02ED8" w:rsidRPr="007C61D2">
        <w:rPr>
          <w:rFonts w:ascii="Garamond" w:eastAsia="Times New Roman" w:hAnsi="Garamond" w:cs="Times New Roman"/>
          <w:sz w:val="24"/>
          <w:szCs w:val="24"/>
        </w:rPr>
        <w:t xml:space="preserve">and evidentiary base </w:t>
      </w:r>
      <w:r w:rsidR="00E30A8E" w:rsidRPr="007C61D2">
        <w:rPr>
          <w:rFonts w:ascii="Garamond" w:eastAsia="Times New Roman" w:hAnsi="Garamond" w:cs="Times New Roman"/>
          <w:sz w:val="24"/>
          <w:szCs w:val="24"/>
        </w:rPr>
        <w:t>if sex/ gender become</w:t>
      </w:r>
      <w:r w:rsidR="00404C74">
        <w:rPr>
          <w:rFonts w:ascii="Garamond" w:eastAsia="Times New Roman" w:hAnsi="Garamond" w:cs="Times New Roman"/>
          <w:sz w:val="24"/>
          <w:szCs w:val="24"/>
        </w:rPr>
        <w:t>s</w:t>
      </w:r>
      <w:r w:rsidR="00E30A8E" w:rsidRPr="007C61D2">
        <w:rPr>
          <w:rFonts w:ascii="Garamond" w:eastAsia="Times New Roman" w:hAnsi="Garamond" w:cs="Times New Roman"/>
          <w:sz w:val="24"/>
          <w:szCs w:val="24"/>
        </w:rPr>
        <w:t xml:space="preserve"> self-determined</w:t>
      </w:r>
      <w:r w:rsidR="00B02D86" w:rsidRPr="007C61D2">
        <w:rPr>
          <w:rFonts w:ascii="Garamond" w:eastAsia="Times New Roman" w:hAnsi="Garamond" w:cs="Times New Roman"/>
          <w:sz w:val="24"/>
          <w:szCs w:val="24"/>
        </w:rPr>
        <w:t xml:space="preserve">. </w:t>
      </w:r>
      <w:r w:rsidR="008C61EA" w:rsidRPr="007C61D2">
        <w:rPr>
          <w:rFonts w:ascii="Garamond" w:eastAsia="Times New Roman" w:hAnsi="Garamond" w:cs="Times New Roman"/>
          <w:sz w:val="24"/>
          <w:szCs w:val="24"/>
        </w:rPr>
        <w:t xml:space="preserve">In Britain and the EU, in recent decades, gender mainstreaming has entailed a series of measures to </w:t>
      </w:r>
      <w:r w:rsidR="00962B47" w:rsidRPr="007C61D2">
        <w:rPr>
          <w:rFonts w:ascii="Garamond" w:eastAsia="Times New Roman" w:hAnsi="Garamond" w:cs="Times New Roman"/>
          <w:sz w:val="24"/>
          <w:szCs w:val="24"/>
        </w:rPr>
        <w:t xml:space="preserve">assess men and women’s accomplishments and presence in different areas of life; </w:t>
      </w:r>
      <w:r w:rsidR="008C61EA" w:rsidRPr="007C61D2">
        <w:rPr>
          <w:rFonts w:ascii="Garamond" w:eastAsia="Times New Roman" w:hAnsi="Garamond" w:cs="Times New Roman"/>
          <w:sz w:val="24"/>
          <w:szCs w:val="24"/>
        </w:rPr>
        <w:t xml:space="preserve">and </w:t>
      </w:r>
      <w:r w:rsidR="00962B47" w:rsidRPr="007C61D2">
        <w:rPr>
          <w:rFonts w:ascii="Garamond" w:eastAsia="Times New Roman" w:hAnsi="Garamond" w:cs="Times New Roman"/>
          <w:sz w:val="24"/>
          <w:szCs w:val="24"/>
        </w:rPr>
        <w:t xml:space="preserve">to </w:t>
      </w:r>
      <w:r w:rsidR="008C61EA" w:rsidRPr="007C61D2">
        <w:rPr>
          <w:rFonts w:ascii="Garamond" w:eastAsia="Times New Roman" w:hAnsi="Garamond" w:cs="Times New Roman"/>
          <w:sz w:val="24"/>
          <w:szCs w:val="24"/>
        </w:rPr>
        <w:t xml:space="preserve">monitor the effects of </w:t>
      </w:r>
      <w:r w:rsidR="00962B47" w:rsidRPr="007C61D2">
        <w:rPr>
          <w:rFonts w:ascii="Garamond" w:eastAsia="Times New Roman" w:hAnsi="Garamond" w:cs="Times New Roman"/>
          <w:sz w:val="24"/>
          <w:szCs w:val="24"/>
        </w:rPr>
        <w:t xml:space="preserve">existing and remedial </w:t>
      </w:r>
      <w:r w:rsidR="008C61EA" w:rsidRPr="007C61D2">
        <w:rPr>
          <w:rFonts w:ascii="Garamond" w:eastAsia="Times New Roman" w:hAnsi="Garamond" w:cs="Times New Roman"/>
          <w:sz w:val="24"/>
          <w:szCs w:val="24"/>
        </w:rPr>
        <w:t xml:space="preserve">policies on </w:t>
      </w:r>
      <w:r w:rsidR="00AE1C8D" w:rsidRPr="007C61D2">
        <w:rPr>
          <w:rFonts w:ascii="Garamond" w:eastAsia="Times New Roman" w:hAnsi="Garamond" w:cs="Times New Roman"/>
          <w:sz w:val="24"/>
          <w:szCs w:val="24"/>
        </w:rPr>
        <w:t xml:space="preserve">groups defined by their </w:t>
      </w:r>
      <w:r w:rsidR="00B75DCB" w:rsidRPr="007C61D2">
        <w:rPr>
          <w:rFonts w:ascii="Garamond" w:eastAsia="Times New Roman" w:hAnsi="Garamond" w:cs="Times New Roman"/>
          <w:sz w:val="24"/>
          <w:szCs w:val="24"/>
        </w:rPr>
        <w:t xml:space="preserve">sex/ </w:t>
      </w:r>
      <w:r w:rsidR="008C61EA" w:rsidRPr="007C61D2">
        <w:rPr>
          <w:rFonts w:ascii="Garamond" w:eastAsia="Times New Roman" w:hAnsi="Garamond" w:cs="Times New Roman"/>
          <w:sz w:val="24"/>
          <w:szCs w:val="24"/>
        </w:rPr>
        <w:t>gender</w:t>
      </w:r>
      <w:r w:rsidR="00962B47" w:rsidRPr="007C61D2">
        <w:rPr>
          <w:rFonts w:ascii="Garamond" w:eastAsia="Times New Roman" w:hAnsi="Garamond" w:cs="Times New Roman"/>
          <w:sz w:val="24"/>
          <w:szCs w:val="24"/>
        </w:rPr>
        <w:t xml:space="preserve">. If there is no clear and agreed differentiation between </w:t>
      </w:r>
      <w:r w:rsidR="00404C74">
        <w:rPr>
          <w:rFonts w:ascii="Garamond" w:eastAsia="Times New Roman" w:hAnsi="Garamond" w:cs="Times New Roman"/>
          <w:sz w:val="24"/>
          <w:szCs w:val="24"/>
        </w:rPr>
        <w:t xml:space="preserve">sex/ </w:t>
      </w:r>
      <w:r w:rsidR="00962B47" w:rsidRPr="007C61D2">
        <w:rPr>
          <w:rFonts w:ascii="Garamond" w:eastAsia="Times New Roman" w:hAnsi="Garamond" w:cs="Times New Roman"/>
          <w:sz w:val="24"/>
          <w:szCs w:val="24"/>
        </w:rPr>
        <w:t xml:space="preserve">gender categories, can </w:t>
      </w:r>
      <w:r w:rsidR="008C61EA" w:rsidRPr="007C61D2">
        <w:rPr>
          <w:rFonts w:ascii="Garamond" w:eastAsia="Times New Roman" w:hAnsi="Garamond" w:cs="Times New Roman"/>
          <w:sz w:val="24"/>
          <w:szCs w:val="24"/>
        </w:rPr>
        <w:t xml:space="preserve">policies </w:t>
      </w:r>
      <w:r w:rsidR="00C211D6">
        <w:rPr>
          <w:rFonts w:ascii="Garamond" w:eastAsia="Times New Roman" w:hAnsi="Garamond" w:cs="Times New Roman"/>
          <w:sz w:val="24"/>
          <w:szCs w:val="24"/>
        </w:rPr>
        <w:t xml:space="preserve">continue to </w:t>
      </w:r>
      <w:r w:rsidR="008C61EA" w:rsidRPr="007C61D2">
        <w:rPr>
          <w:rFonts w:ascii="Garamond" w:eastAsia="Times New Roman" w:hAnsi="Garamond" w:cs="Times New Roman"/>
          <w:sz w:val="24"/>
          <w:szCs w:val="24"/>
        </w:rPr>
        <w:t xml:space="preserve">be </w:t>
      </w:r>
      <w:r w:rsidR="00962B47" w:rsidRPr="007C61D2">
        <w:rPr>
          <w:rFonts w:ascii="Garamond" w:eastAsia="Times New Roman" w:hAnsi="Garamond" w:cs="Times New Roman"/>
          <w:sz w:val="24"/>
          <w:szCs w:val="24"/>
        </w:rPr>
        <w:t xml:space="preserve">effectively </w:t>
      </w:r>
      <w:r w:rsidR="008C61EA" w:rsidRPr="007C61D2">
        <w:rPr>
          <w:rFonts w:ascii="Garamond" w:eastAsia="Times New Roman" w:hAnsi="Garamond" w:cs="Times New Roman"/>
          <w:sz w:val="24"/>
          <w:szCs w:val="24"/>
        </w:rPr>
        <w:t>assessed</w:t>
      </w:r>
      <w:r w:rsidR="00962B47" w:rsidRPr="007C61D2">
        <w:rPr>
          <w:rFonts w:ascii="Garamond" w:eastAsia="Times New Roman" w:hAnsi="Garamond" w:cs="Times New Roman"/>
          <w:sz w:val="24"/>
          <w:szCs w:val="24"/>
        </w:rPr>
        <w:t>?</w:t>
      </w:r>
      <w:r w:rsidR="00E02ED8" w:rsidRPr="007C61D2">
        <w:rPr>
          <w:rFonts w:ascii="Garamond" w:eastAsia="Times New Roman" w:hAnsi="Garamond" w:cs="Times New Roman"/>
          <w:sz w:val="24"/>
          <w:szCs w:val="24"/>
        </w:rPr>
        <w:t xml:space="preserve"> </w:t>
      </w:r>
    </w:p>
    <w:p w14:paraId="449A797E" w14:textId="73359943" w:rsidR="00365115" w:rsidRPr="007C61D2" w:rsidRDefault="00E02ED8"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lastRenderedPageBreak/>
        <w:t>R</w:t>
      </w:r>
      <w:r w:rsidR="008C61EA" w:rsidRPr="007C61D2">
        <w:rPr>
          <w:rFonts w:ascii="Garamond" w:eastAsia="Times New Roman" w:hAnsi="Garamond" w:cs="Times New Roman"/>
          <w:sz w:val="24"/>
          <w:szCs w:val="24"/>
        </w:rPr>
        <w:t>emedial strategies</w:t>
      </w:r>
      <w:r w:rsidRPr="007C61D2">
        <w:rPr>
          <w:rFonts w:ascii="Garamond" w:eastAsia="Times New Roman" w:hAnsi="Garamond" w:cs="Times New Roman"/>
          <w:sz w:val="24"/>
          <w:szCs w:val="24"/>
        </w:rPr>
        <w:t>’ reliance</w:t>
      </w:r>
      <w:r w:rsidR="008C61EA" w:rsidRPr="007C61D2">
        <w:rPr>
          <w:rFonts w:ascii="Garamond" w:eastAsia="Times New Roman" w:hAnsi="Garamond" w:cs="Times New Roman"/>
          <w:sz w:val="24"/>
          <w:szCs w:val="24"/>
        </w:rPr>
        <w:t xml:space="preserve"> on knowing accurately “what people are” has also generated concern over how sex</w:t>
      </w:r>
      <w:r w:rsidR="00AE1C8D" w:rsidRPr="007C61D2">
        <w:rPr>
          <w:rFonts w:ascii="Garamond" w:eastAsia="Times New Roman" w:hAnsi="Garamond" w:cs="Times New Roman"/>
          <w:sz w:val="24"/>
          <w:szCs w:val="24"/>
        </w:rPr>
        <w:t>/ gender</w:t>
      </w:r>
      <w:r w:rsidR="008C61EA" w:rsidRPr="007C61D2">
        <w:rPr>
          <w:rFonts w:ascii="Garamond" w:eastAsia="Times New Roman" w:hAnsi="Garamond" w:cs="Times New Roman"/>
          <w:sz w:val="24"/>
          <w:szCs w:val="24"/>
        </w:rPr>
        <w:t xml:space="preserve">-based statistics are gathered. </w:t>
      </w:r>
      <w:r w:rsidR="00AE1C8D" w:rsidRPr="007C61D2">
        <w:rPr>
          <w:rFonts w:ascii="Garamond" w:eastAsia="Times New Roman" w:hAnsi="Garamond" w:cs="Times New Roman"/>
          <w:sz w:val="24"/>
          <w:szCs w:val="24"/>
        </w:rPr>
        <w:t xml:space="preserve">Some </w:t>
      </w:r>
      <w:r w:rsidR="008C61EA" w:rsidRPr="007C61D2">
        <w:rPr>
          <w:rFonts w:ascii="Garamond" w:eastAsia="Times New Roman" w:hAnsi="Garamond" w:cs="Times New Roman"/>
          <w:sz w:val="24"/>
          <w:szCs w:val="24"/>
        </w:rPr>
        <w:t xml:space="preserve">women’s rights’ advocates argue that knowing people’s </w:t>
      </w:r>
      <w:r w:rsidR="00AE1C8D" w:rsidRPr="007C61D2">
        <w:rPr>
          <w:rFonts w:ascii="Garamond" w:eastAsia="Times New Roman" w:hAnsi="Garamond" w:cs="Times New Roman"/>
          <w:sz w:val="24"/>
          <w:szCs w:val="24"/>
        </w:rPr>
        <w:t>“</w:t>
      </w:r>
      <w:r w:rsidR="008C61EA" w:rsidRPr="007C61D2">
        <w:rPr>
          <w:rFonts w:ascii="Garamond" w:eastAsia="Times New Roman" w:hAnsi="Garamond" w:cs="Times New Roman"/>
          <w:sz w:val="24"/>
          <w:szCs w:val="24"/>
        </w:rPr>
        <w:t>sex</w:t>
      </w:r>
      <w:r w:rsidR="00AE1C8D" w:rsidRPr="007C61D2">
        <w:rPr>
          <w:rFonts w:ascii="Garamond" w:eastAsia="Times New Roman" w:hAnsi="Garamond" w:cs="Times New Roman"/>
          <w:sz w:val="24"/>
          <w:szCs w:val="24"/>
        </w:rPr>
        <w:t>”</w:t>
      </w:r>
      <w:r w:rsidR="008C61EA" w:rsidRPr="007C61D2">
        <w:rPr>
          <w:rFonts w:ascii="Garamond" w:eastAsia="Times New Roman" w:hAnsi="Garamond" w:cs="Times New Roman"/>
          <w:sz w:val="24"/>
          <w:szCs w:val="24"/>
        </w:rPr>
        <w:t xml:space="preserve"> is </w:t>
      </w:r>
      <w:r w:rsidRPr="007C61D2">
        <w:rPr>
          <w:rFonts w:ascii="Garamond" w:eastAsia="Times New Roman" w:hAnsi="Garamond" w:cs="Times New Roman"/>
          <w:sz w:val="24"/>
          <w:szCs w:val="24"/>
        </w:rPr>
        <w:t xml:space="preserve">essential </w:t>
      </w:r>
      <w:r w:rsidR="008C61EA" w:rsidRPr="007C61D2">
        <w:rPr>
          <w:rFonts w:ascii="Garamond" w:eastAsia="Times New Roman" w:hAnsi="Garamond" w:cs="Times New Roman"/>
          <w:sz w:val="24"/>
          <w:szCs w:val="24"/>
        </w:rPr>
        <w:t>for</w:t>
      </w:r>
      <w:r w:rsidR="004F2CCA" w:rsidRPr="007C61D2">
        <w:rPr>
          <w:rFonts w:ascii="Garamond" w:eastAsia="Times New Roman" w:hAnsi="Garamond" w:cs="Times New Roman"/>
          <w:sz w:val="24"/>
          <w:szCs w:val="24"/>
        </w:rPr>
        <w:t xml:space="preserve"> </w:t>
      </w:r>
      <w:r w:rsidR="008C61EA" w:rsidRPr="007C61D2">
        <w:rPr>
          <w:rFonts w:ascii="Garamond" w:eastAsia="Times New Roman" w:hAnsi="Garamond" w:cs="Times New Roman"/>
          <w:sz w:val="24"/>
          <w:szCs w:val="24"/>
        </w:rPr>
        <w:t>generating evidence of patterned disparities –</w:t>
      </w:r>
      <w:r w:rsidR="00F03418" w:rsidRPr="007C61D2">
        <w:rPr>
          <w:rFonts w:ascii="Garamond" w:eastAsia="Times New Roman" w:hAnsi="Garamond" w:cs="Times New Roman"/>
          <w:sz w:val="24"/>
          <w:szCs w:val="24"/>
        </w:rPr>
        <w:t xml:space="preserve"> from </w:t>
      </w:r>
      <w:r w:rsidR="008C61EA" w:rsidRPr="007C61D2">
        <w:rPr>
          <w:rFonts w:ascii="Garamond" w:eastAsia="Times New Roman" w:hAnsi="Garamond" w:cs="Times New Roman"/>
          <w:sz w:val="24"/>
          <w:szCs w:val="24"/>
        </w:rPr>
        <w:t>economic inequalit</w:t>
      </w:r>
      <w:r w:rsidR="00F03418" w:rsidRPr="007C61D2">
        <w:rPr>
          <w:rFonts w:ascii="Garamond" w:eastAsia="Times New Roman" w:hAnsi="Garamond" w:cs="Times New Roman"/>
          <w:sz w:val="24"/>
          <w:szCs w:val="24"/>
        </w:rPr>
        <w:t>ies</w:t>
      </w:r>
      <w:r w:rsidR="008C61EA" w:rsidRPr="007C61D2">
        <w:rPr>
          <w:rStyle w:val="FootnoteReference"/>
          <w:rFonts w:ascii="Garamond" w:eastAsia="Times New Roman" w:hAnsi="Garamond" w:cs="Times New Roman"/>
          <w:sz w:val="24"/>
          <w:szCs w:val="24"/>
        </w:rPr>
        <w:footnoteReference w:id="28"/>
      </w:r>
      <w:r w:rsidR="008C61EA" w:rsidRPr="007C61D2">
        <w:rPr>
          <w:rFonts w:ascii="Garamond" w:eastAsia="Times New Roman" w:hAnsi="Garamond" w:cs="Times New Roman"/>
          <w:sz w:val="24"/>
          <w:szCs w:val="24"/>
        </w:rPr>
        <w:t xml:space="preserve"> </w:t>
      </w:r>
      <w:r w:rsidR="00F03418" w:rsidRPr="007C61D2">
        <w:rPr>
          <w:rFonts w:ascii="Garamond" w:eastAsia="Times New Roman" w:hAnsi="Garamond" w:cs="Times New Roman"/>
          <w:sz w:val="24"/>
          <w:szCs w:val="24"/>
        </w:rPr>
        <w:t xml:space="preserve">to </w:t>
      </w:r>
      <w:r w:rsidR="008C61EA" w:rsidRPr="007C61D2">
        <w:rPr>
          <w:rFonts w:ascii="Garamond" w:eastAsia="Times New Roman" w:hAnsi="Garamond" w:cs="Times New Roman"/>
          <w:sz w:val="24"/>
          <w:szCs w:val="24"/>
        </w:rPr>
        <w:t>acts of violence.</w:t>
      </w:r>
      <w:r w:rsidR="008C61EA" w:rsidRPr="007C61D2">
        <w:rPr>
          <w:rStyle w:val="FootnoteReference"/>
          <w:rFonts w:ascii="Garamond" w:eastAsia="Times New Roman" w:hAnsi="Garamond" w:cs="Times New Roman"/>
          <w:sz w:val="24"/>
          <w:szCs w:val="24"/>
        </w:rPr>
        <w:footnoteReference w:id="29"/>
      </w:r>
      <w:r w:rsidR="008C61EA"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D</w:t>
      </w:r>
      <w:r w:rsidR="001C14FC" w:rsidRPr="007C61D2">
        <w:rPr>
          <w:rFonts w:ascii="Garamond" w:eastAsia="Times New Roman" w:hAnsi="Garamond" w:cs="Times New Roman"/>
          <w:sz w:val="24"/>
          <w:szCs w:val="24"/>
        </w:rPr>
        <w:t xml:space="preserve">isparities </w:t>
      </w:r>
      <w:r w:rsidRPr="007C61D2">
        <w:rPr>
          <w:rFonts w:ascii="Garamond" w:eastAsia="Times New Roman" w:hAnsi="Garamond" w:cs="Times New Roman"/>
          <w:sz w:val="24"/>
          <w:szCs w:val="24"/>
        </w:rPr>
        <w:t xml:space="preserve">between women and men will </w:t>
      </w:r>
      <w:r w:rsidR="001C14FC" w:rsidRPr="007C61D2">
        <w:rPr>
          <w:rFonts w:ascii="Garamond" w:eastAsia="Times New Roman" w:hAnsi="Garamond" w:cs="Times New Roman"/>
          <w:sz w:val="24"/>
          <w:szCs w:val="24"/>
        </w:rPr>
        <w:t xml:space="preserve">be obscured if people answer questions about sex </w:t>
      </w:r>
      <w:r w:rsidRPr="007C61D2">
        <w:rPr>
          <w:rFonts w:ascii="Garamond" w:eastAsia="Times New Roman" w:hAnsi="Garamond" w:cs="Times New Roman"/>
          <w:sz w:val="24"/>
          <w:szCs w:val="24"/>
        </w:rPr>
        <w:t xml:space="preserve">based on </w:t>
      </w:r>
      <w:r w:rsidR="001C14FC" w:rsidRPr="007C61D2">
        <w:rPr>
          <w:rFonts w:ascii="Garamond" w:eastAsia="Times New Roman" w:hAnsi="Garamond" w:cs="Times New Roman"/>
          <w:sz w:val="24"/>
          <w:szCs w:val="24"/>
        </w:rPr>
        <w:t xml:space="preserve">self-identified gender, while discrepancies </w:t>
      </w:r>
      <w:r w:rsidR="00E30A8E" w:rsidRPr="007C61D2">
        <w:rPr>
          <w:rFonts w:ascii="Garamond" w:eastAsia="Times New Roman" w:hAnsi="Garamond" w:cs="Times New Roman"/>
          <w:sz w:val="24"/>
          <w:szCs w:val="24"/>
        </w:rPr>
        <w:t xml:space="preserve">in </w:t>
      </w:r>
      <w:r w:rsidR="001C14FC" w:rsidRPr="007C61D2">
        <w:rPr>
          <w:rFonts w:ascii="Garamond" w:eastAsia="Times New Roman" w:hAnsi="Garamond" w:cs="Times New Roman"/>
          <w:sz w:val="24"/>
          <w:szCs w:val="24"/>
        </w:rPr>
        <w:t>interpretation</w:t>
      </w:r>
      <w:r w:rsidR="00C211D6">
        <w:rPr>
          <w:rFonts w:ascii="Garamond" w:eastAsia="Times New Roman" w:hAnsi="Garamond" w:cs="Times New Roman"/>
          <w:sz w:val="24"/>
          <w:szCs w:val="24"/>
        </w:rPr>
        <w:t>,</w:t>
      </w:r>
      <w:r w:rsidR="001C14FC" w:rsidRPr="007C61D2">
        <w:rPr>
          <w:rFonts w:ascii="Garamond" w:eastAsia="Times New Roman" w:hAnsi="Garamond" w:cs="Times New Roman"/>
          <w:sz w:val="24"/>
          <w:szCs w:val="24"/>
        </w:rPr>
        <w:t xml:space="preserve"> and discontinuities </w:t>
      </w:r>
      <w:r w:rsidR="00E30A8E" w:rsidRPr="007C61D2">
        <w:rPr>
          <w:rFonts w:ascii="Garamond" w:eastAsia="Times New Roman" w:hAnsi="Garamond" w:cs="Times New Roman"/>
          <w:sz w:val="24"/>
          <w:szCs w:val="24"/>
        </w:rPr>
        <w:t xml:space="preserve">in </w:t>
      </w:r>
      <w:r w:rsidRPr="007C61D2">
        <w:rPr>
          <w:rFonts w:ascii="Garamond" w:eastAsia="Times New Roman" w:hAnsi="Garamond" w:cs="Times New Roman"/>
          <w:sz w:val="24"/>
          <w:szCs w:val="24"/>
        </w:rPr>
        <w:t>how survey questions are asked</w:t>
      </w:r>
      <w:r w:rsidR="00C211D6">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1C14FC" w:rsidRPr="007C61D2">
        <w:rPr>
          <w:rFonts w:ascii="Garamond" w:eastAsia="Times New Roman" w:hAnsi="Garamond" w:cs="Times New Roman"/>
          <w:sz w:val="24"/>
          <w:szCs w:val="24"/>
        </w:rPr>
        <w:t xml:space="preserve">make data less intelligible </w:t>
      </w:r>
      <w:r w:rsidR="0025438A" w:rsidRPr="007C61D2">
        <w:rPr>
          <w:rFonts w:ascii="Garamond" w:eastAsia="Times New Roman" w:hAnsi="Garamond" w:cs="Times New Roman"/>
          <w:sz w:val="24"/>
          <w:szCs w:val="24"/>
        </w:rPr>
        <w:t xml:space="preserve">or </w:t>
      </w:r>
      <w:r w:rsidR="001C14FC" w:rsidRPr="007C61D2">
        <w:rPr>
          <w:rFonts w:ascii="Garamond" w:eastAsia="Times New Roman" w:hAnsi="Garamond" w:cs="Times New Roman"/>
          <w:sz w:val="24"/>
          <w:szCs w:val="24"/>
        </w:rPr>
        <w:t xml:space="preserve">meaningful.  </w:t>
      </w:r>
      <w:r w:rsidR="004D14DF" w:rsidRPr="007C61D2">
        <w:rPr>
          <w:rFonts w:ascii="Garamond" w:eastAsia="Times New Roman" w:hAnsi="Garamond" w:cs="Times New Roman"/>
          <w:sz w:val="24"/>
          <w:szCs w:val="24"/>
        </w:rPr>
        <w:t>O</w:t>
      </w:r>
      <w:r w:rsidR="008C61EA" w:rsidRPr="007C61D2">
        <w:rPr>
          <w:rFonts w:ascii="Garamond" w:eastAsia="Times New Roman" w:hAnsi="Garamond" w:cs="Times New Roman"/>
          <w:sz w:val="24"/>
          <w:szCs w:val="24"/>
        </w:rPr>
        <w:t>ne interviewee told us</w:t>
      </w:r>
      <w:r w:rsidR="00365115" w:rsidRPr="007C61D2">
        <w:rPr>
          <w:rFonts w:ascii="Garamond" w:eastAsia="Times New Roman" w:hAnsi="Garamond" w:cs="Times New Roman"/>
          <w:sz w:val="24"/>
          <w:szCs w:val="24"/>
        </w:rPr>
        <w:t>:</w:t>
      </w:r>
    </w:p>
    <w:p w14:paraId="279C6416" w14:textId="084CF079" w:rsidR="008C61EA" w:rsidRPr="007C61D2" w:rsidRDefault="00365115" w:rsidP="00223E8A">
      <w:pPr>
        <w:spacing w:before="120" w:after="120" w:line="360" w:lineRule="auto"/>
        <w:ind w:left="720" w:hanging="720"/>
        <w:rPr>
          <w:rFonts w:ascii="Garamond" w:eastAsia="Times New Roman" w:hAnsi="Garamond" w:cs="Times New Roman"/>
          <w:sz w:val="24"/>
          <w:szCs w:val="24"/>
        </w:rPr>
      </w:pPr>
      <w:r w:rsidRPr="007C61D2">
        <w:rPr>
          <w:rFonts w:ascii="Garamond" w:eastAsia="Times New Roman" w:hAnsi="Garamond" w:cs="Times New Roman"/>
          <w:sz w:val="24"/>
          <w:szCs w:val="24"/>
        </w:rPr>
        <w:tab/>
      </w:r>
      <w:r w:rsidR="008C61EA" w:rsidRPr="007C61D2">
        <w:rPr>
          <w:rFonts w:ascii="Garamond" w:eastAsia="Times New Roman" w:hAnsi="Garamond" w:cs="Times New Roman"/>
          <w:sz w:val="24"/>
          <w:szCs w:val="24"/>
        </w:rPr>
        <w:t xml:space="preserve">“the data [being] collect[ed] is meaningless, because it's not being held up to the same benchmark. How do you measure something if the measurement keeps changing? It has absolutely no meaning.” </w:t>
      </w:r>
    </w:p>
    <w:p w14:paraId="679B3924" w14:textId="35E667B3" w:rsidR="007A4945" w:rsidRPr="007C61D2" w:rsidRDefault="008C61EA"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ab/>
      </w:r>
      <w:r w:rsidR="0025438A" w:rsidRPr="007C61D2">
        <w:rPr>
          <w:rFonts w:ascii="Garamond" w:eastAsia="Times New Roman" w:hAnsi="Garamond" w:cs="Times New Roman"/>
          <w:sz w:val="24"/>
          <w:szCs w:val="24"/>
        </w:rPr>
        <w:t>Second, c</w:t>
      </w:r>
      <w:r w:rsidR="008508FF" w:rsidRPr="007C61D2">
        <w:rPr>
          <w:rFonts w:ascii="Garamond" w:eastAsia="Times New Roman" w:hAnsi="Garamond" w:cs="Times New Roman"/>
          <w:sz w:val="24"/>
          <w:szCs w:val="24"/>
        </w:rPr>
        <w:t xml:space="preserve">ritics </w:t>
      </w:r>
      <w:r w:rsidR="001C14FC" w:rsidRPr="007C61D2">
        <w:rPr>
          <w:rFonts w:ascii="Garamond" w:eastAsia="Times New Roman" w:hAnsi="Garamond" w:cs="Times New Roman"/>
          <w:sz w:val="24"/>
          <w:szCs w:val="24"/>
        </w:rPr>
        <w:t xml:space="preserve">worried </w:t>
      </w:r>
      <w:r w:rsidR="008508FF" w:rsidRPr="007C61D2">
        <w:rPr>
          <w:rFonts w:ascii="Garamond" w:eastAsia="Times New Roman" w:hAnsi="Garamond" w:cs="Times New Roman"/>
          <w:sz w:val="24"/>
          <w:szCs w:val="24"/>
        </w:rPr>
        <w:t xml:space="preserve">that </w:t>
      </w:r>
      <w:r w:rsidR="00246C46" w:rsidRPr="007C61D2">
        <w:rPr>
          <w:rFonts w:ascii="Garamond" w:eastAsia="Times New Roman" w:hAnsi="Garamond" w:cs="Times New Roman"/>
          <w:sz w:val="24"/>
          <w:szCs w:val="24"/>
        </w:rPr>
        <w:t xml:space="preserve">decertification </w:t>
      </w:r>
      <w:r w:rsidR="001C14FC" w:rsidRPr="007C61D2">
        <w:rPr>
          <w:rFonts w:ascii="Garamond" w:eastAsia="Times New Roman" w:hAnsi="Garamond" w:cs="Times New Roman"/>
          <w:sz w:val="24"/>
          <w:szCs w:val="24"/>
        </w:rPr>
        <w:t xml:space="preserve">would allow </w:t>
      </w:r>
      <w:r w:rsidR="005921CE" w:rsidRPr="007C61D2">
        <w:rPr>
          <w:rFonts w:ascii="Garamond" w:eastAsia="Times New Roman" w:hAnsi="Garamond" w:cs="Times New Roman"/>
          <w:sz w:val="24"/>
          <w:szCs w:val="24"/>
        </w:rPr>
        <w:t xml:space="preserve">people </w:t>
      </w:r>
      <w:r w:rsidR="00246C46" w:rsidRPr="007C61D2">
        <w:rPr>
          <w:rFonts w:ascii="Garamond" w:eastAsia="Times New Roman" w:hAnsi="Garamond" w:cs="Times New Roman"/>
          <w:sz w:val="24"/>
          <w:szCs w:val="24"/>
        </w:rPr>
        <w:t xml:space="preserve">to </w:t>
      </w:r>
      <w:r w:rsidR="005921CE" w:rsidRPr="007C61D2">
        <w:rPr>
          <w:rFonts w:ascii="Garamond" w:eastAsia="Times New Roman" w:hAnsi="Garamond" w:cs="Times New Roman"/>
          <w:sz w:val="24"/>
          <w:szCs w:val="24"/>
        </w:rPr>
        <w:t xml:space="preserve">claim </w:t>
      </w:r>
      <w:r w:rsidR="001C14FC" w:rsidRPr="007C61D2">
        <w:rPr>
          <w:rFonts w:ascii="Garamond" w:eastAsia="Times New Roman" w:hAnsi="Garamond" w:cs="Times New Roman"/>
          <w:sz w:val="24"/>
          <w:szCs w:val="24"/>
        </w:rPr>
        <w:t xml:space="preserve">unchallengeable </w:t>
      </w:r>
      <w:r w:rsidR="005921CE" w:rsidRPr="007C61D2">
        <w:rPr>
          <w:rFonts w:ascii="Garamond" w:eastAsia="Times New Roman" w:hAnsi="Garamond" w:cs="Times New Roman"/>
          <w:sz w:val="24"/>
          <w:szCs w:val="24"/>
        </w:rPr>
        <w:t xml:space="preserve">membership </w:t>
      </w:r>
      <w:r w:rsidR="001C14FC" w:rsidRPr="007C61D2">
        <w:rPr>
          <w:rFonts w:ascii="Garamond" w:eastAsia="Times New Roman" w:hAnsi="Garamond" w:cs="Times New Roman"/>
          <w:sz w:val="24"/>
          <w:szCs w:val="24"/>
        </w:rPr>
        <w:t xml:space="preserve">of </w:t>
      </w:r>
      <w:r w:rsidR="005921CE" w:rsidRPr="007C61D2">
        <w:rPr>
          <w:rFonts w:ascii="Garamond" w:eastAsia="Times New Roman" w:hAnsi="Garamond" w:cs="Times New Roman"/>
          <w:sz w:val="24"/>
          <w:szCs w:val="24"/>
        </w:rPr>
        <w:t>disadvantaged groups.</w:t>
      </w:r>
      <w:r w:rsidR="007A4945" w:rsidRPr="007C61D2">
        <w:rPr>
          <w:rFonts w:ascii="Garamond" w:eastAsia="Times New Roman" w:hAnsi="Garamond" w:cs="Times New Roman"/>
          <w:sz w:val="24"/>
          <w:szCs w:val="24"/>
        </w:rPr>
        <w:t xml:space="preserve"> </w:t>
      </w:r>
      <w:r w:rsidR="005D7B5E" w:rsidRPr="007C61D2">
        <w:rPr>
          <w:rFonts w:ascii="Garamond" w:eastAsia="Times New Roman" w:hAnsi="Garamond" w:cs="Times New Roman"/>
          <w:sz w:val="24"/>
          <w:szCs w:val="24"/>
        </w:rPr>
        <w:t xml:space="preserve">These </w:t>
      </w:r>
      <w:r w:rsidR="00071195" w:rsidRPr="007C61D2">
        <w:rPr>
          <w:rFonts w:ascii="Garamond" w:eastAsia="Times New Roman" w:hAnsi="Garamond" w:cs="Times New Roman"/>
          <w:sz w:val="24"/>
          <w:szCs w:val="24"/>
        </w:rPr>
        <w:t xml:space="preserve">concerns, and potential </w:t>
      </w:r>
      <w:r w:rsidR="005D7B5E" w:rsidRPr="007C61D2">
        <w:rPr>
          <w:rFonts w:ascii="Garamond" w:eastAsia="Times New Roman" w:hAnsi="Garamond" w:cs="Times New Roman"/>
          <w:sz w:val="24"/>
          <w:szCs w:val="24"/>
        </w:rPr>
        <w:t>consequences</w:t>
      </w:r>
      <w:r w:rsidR="00071195" w:rsidRPr="007C61D2">
        <w:rPr>
          <w:rFonts w:ascii="Garamond" w:eastAsia="Times New Roman" w:hAnsi="Garamond" w:cs="Times New Roman"/>
          <w:sz w:val="24"/>
          <w:szCs w:val="24"/>
        </w:rPr>
        <w:t>,</w:t>
      </w:r>
      <w:r w:rsidR="005D7B5E" w:rsidRPr="007C61D2">
        <w:rPr>
          <w:rFonts w:ascii="Garamond" w:eastAsia="Times New Roman" w:hAnsi="Garamond" w:cs="Times New Roman"/>
          <w:sz w:val="24"/>
          <w:szCs w:val="24"/>
        </w:rPr>
        <w:t xml:space="preserve"> </w:t>
      </w:r>
      <w:r w:rsidR="00E30A8E" w:rsidRPr="007C61D2">
        <w:rPr>
          <w:rFonts w:ascii="Garamond" w:eastAsia="Times New Roman" w:hAnsi="Garamond" w:cs="Times New Roman"/>
          <w:sz w:val="24"/>
          <w:szCs w:val="24"/>
        </w:rPr>
        <w:t>we</w:t>
      </w:r>
      <w:r w:rsidR="005D7B5E" w:rsidRPr="007C61D2">
        <w:rPr>
          <w:rFonts w:ascii="Garamond" w:eastAsia="Times New Roman" w:hAnsi="Garamond" w:cs="Times New Roman"/>
          <w:sz w:val="24"/>
          <w:szCs w:val="24"/>
        </w:rPr>
        <w:t xml:space="preserve">re not located </w:t>
      </w:r>
      <w:r w:rsidR="001C14FC" w:rsidRPr="007C61D2">
        <w:rPr>
          <w:rFonts w:ascii="Garamond" w:eastAsia="Times New Roman" w:hAnsi="Garamond" w:cs="Times New Roman"/>
          <w:sz w:val="24"/>
          <w:szCs w:val="24"/>
        </w:rPr>
        <w:t xml:space="preserve">only </w:t>
      </w:r>
      <w:r w:rsidR="005D7B5E" w:rsidRPr="007C61D2">
        <w:rPr>
          <w:rFonts w:ascii="Garamond" w:eastAsia="Times New Roman" w:hAnsi="Garamond" w:cs="Times New Roman"/>
          <w:sz w:val="24"/>
          <w:szCs w:val="24"/>
        </w:rPr>
        <w:t xml:space="preserve">in </w:t>
      </w:r>
      <w:r w:rsidR="001C14FC" w:rsidRPr="007C61D2">
        <w:rPr>
          <w:rFonts w:ascii="Garamond" w:eastAsia="Times New Roman" w:hAnsi="Garamond" w:cs="Times New Roman"/>
          <w:sz w:val="24"/>
          <w:szCs w:val="24"/>
        </w:rPr>
        <w:t xml:space="preserve">the </w:t>
      </w:r>
      <w:r w:rsidR="005D7B5E" w:rsidRPr="007C61D2">
        <w:rPr>
          <w:rFonts w:ascii="Garamond" w:eastAsia="Times New Roman" w:hAnsi="Garamond" w:cs="Times New Roman"/>
          <w:sz w:val="24"/>
          <w:szCs w:val="24"/>
        </w:rPr>
        <w:t xml:space="preserve">future. </w:t>
      </w:r>
      <w:r w:rsidR="002C7942" w:rsidRPr="007C61D2">
        <w:rPr>
          <w:rFonts w:ascii="Garamond" w:eastAsia="Times New Roman" w:hAnsi="Garamond" w:cs="Times New Roman"/>
          <w:sz w:val="24"/>
          <w:szCs w:val="24"/>
        </w:rPr>
        <w:t>In 2018, t</w:t>
      </w:r>
      <w:r w:rsidR="00234C2A" w:rsidRPr="007C61D2">
        <w:rPr>
          <w:rFonts w:ascii="Garamond" w:eastAsia="Times New Roman" w:hAnsi="Garamond" w:cs="Times New Roman"/>
          <w:sz w:val="24"/>
          <w:szCs w:val="24"/>
        </w:rPr>
        <w:t>he L</w:t>
      </w:r>
      <w:r w:rsidR="00C10060" w:rsidRPr="007C61D2">
        <w:rPr>
          <w:rFonts w:ascii="Garamond" w:eastAsia="Times New Roman" w:hAnsi="Garamond" w:cs="Times New Roman"/>
          <w:sz w:val="24"/>
          <w:szCs w:val="24"/>
        </w:rPr>
        <w:t xml:space="preserve">abour </w:t>
      </w:r>
      <w:r w:rsidR="00234C2A" w:rsidRPr="007C61D2">
        <w:rPr>
          <w:rFonts w:ascii="Garamond" w:eastAsia="Times New Roman" w:hAnsi="Garamond" w:cs="Times New Roman"/>
          <w:sz w:val="24"/>
          <w:szCs w:val="24"/>
        </w:rPr>
        <w:t>P</w:t>
      </w:r>
      <w:r w:rsidR="00C10060" w:rsidRPr="007C61D2">
        <w:rPr>
          <w:rFonts w:ascii="Garamond" w:eastAsia="Times New Roman" w:hAnsi="Garamond" w:cs="Times New Roman"/>
          <w:sz w:val="24"/>
          <w:szCs w:val="24"/>
        </w:rPr>
        <w:t>arty</w:t>
      </w:r>
      <w:r w:rsidR="007248D3" w:rsidRPr="007C61D2">
        <w:rPr>
          <w:rFonts w:ascii="Garamond" w:eastAsia="Times New Roman" w:hAnsi="Garamond" w:cs="Times New Roman"/>
          <w:sz w:val="24"/>
          <w:szCs w:val="24"/>
        </w:rPr>
        <w:t xml:space="preserve"> adopted a </w:t>
      </w:r>
      <w:r w:rsidR="00234C2A" w:rsidRPr="007C61D2">
        <w:rPr>
          <w:rFonts w:ascii="Garamond" w:eastAsia="Times New Roman" w:hAnsi="Garamond" w:cs="Times New Roman"/>
          <w:sz w:val="24"/>
          <w:szCs w:val="24"/>
        </w:rPr>
        <w:t>self-identification approach</w:t>
      </w:r>
      <w:r w:rsidR="007248D3" w:rsidRPr="007C61D2">
        <w:rPr>
          <w:rFonts w:ascii="Garamond" w:eastAsia="Times New Roman" w:hAnsi="Garamond" w:cs="Times New Roman"/>
          <w:sz w:val="24"/>
          <w:szCs w:val="24"/>
        </w:rPr>
        <w:t xml:space="preserve"> </w:t>
      </w:r>
      <w:r w:rsidR="00234C2A" w:rsidRPr="007C61D2">
        <w:rPr>
          <w:rFonts w:ascii="Garamond" w:eastAsia="Times New Roman" w:hAnsi="Garamond" w:cs="Times New Roman"/>
          <w:sz w:val="24"/>
          <w:szCs w:val="24"/>
        </w:rPr>
        <w:t>for women-only parliamentary shortlists</w:t>
      </w:r>
      <w:r w:rsidR="007248D3" w:rsidRPr="007C61D2">
        <w:rPr>
          <w:rFonts w:ascii="Garamond" w:eastAsia="Times New Roman" w:hAnsi="Garamond" w:cs="Times New Roman"/>
          <w:sz w:val="24"/>
          <w:szCs w:val="24"/>
        </w:rPr>
        <w:t xml:space="preserve"> </w:t>
      </w:r>
      <w:r w:rsidR="00365115" w:rsidRPr="007C61D2">
        <w:rPr>
          <w:rFonts w:ascii="Garamond" w:eastAsia="Times New Roman" w:hAnsi="Garamond" w:cs="Times New Roman"/>
          <w:sz w:val="24"/>
          <w:szCs w:val="24"/>
        </w:rPr>
        <w:t>–</w:t>
      </w:r>
      <w:r w:rsidR="007248D3" w:rsidRPr="007C61D2">
        <w:rPr>
          <w:rFonts w:ascii="Garamond" w:eastAsia="Times New Roman" w:hAnsi="Garamond" w:cs="Times New Roman"/>
          <w:sz w:val="24"/>
          <w:szCs w:val="24"/>
        </w:rPr>
        <w:t xml:space="preserve"> a move that </w:t>
      </w:r>
      <w:r w:rsidR="00234C2A" w:rsidRPr="007C61D2">
        <w:rPr>
          <w:rFonts w:ascii="Garamond" w:eastAsia="Times New Roman" w:hAnsi="Garamond" w:cs="Times New Roman"/>
          <w:sz w:val="24"/>
          <w:szCs w:val="24"/>
        </w:rPr>
        <w:t>generated considerable heat</w:t>
      </w:r>
      <w:r w:rsidR="007248D3" w:rsidRPr="007C61D2">
        <w:rPr>
          <w:rFonts w:ascii="Garamond" w:eastAsia="Times New Roman" w:hAnsi="Garamond" w:cs="Times New Roman"/>
          <w:sz w:val="24"/>
          <w:szCs w:val="24"/>
        </w:rPr>
        <w:t>,</w:t>
      </w:r>
      <w:r w:rsidR="00C10060" w:rsidRPr="007C61D2">
        <w:rPr>
          <w:rFonts w:ascii="Garamond" w:eastAsia="Times New Roman" w:hAnsi="Garamond" w:cs="Times New Roman"/>
          <w:sz w:val="24"/>
          <w:szCs w:val="24"/>
        </w:rPr>
        <w:t xml:space="preserve"> politically and legally</w:t>
      </w:r>
      <w:r w:rsidR="00234C2A" w:rsidRPr="007C61D2">
        <w:rPr>
          <w:rFonts w:ascii="Garamond" w:eastAsia="Times New Roman" w:hAnsi="Garamond" w:cs="Times New Roman"/>
          <w:sz w:val="24"/>
          <w:szCs w:val="24"/>
        </w:rPr>
        <w:t>.</w:t>
      </w:r>
      <w:r w:rsidR="00234C2A" w:rsidRPr="007C61D2">
        <w:rPr>
          <w:rStyle w:val="FootnoteReference"/>
          <w:rFonts w:ascii="Garamond" w:eastAsia="Times New Roman" w:hAnsi="Garamond" w:cs="Times New Roman"/>
          <w:sz w:val="24"/>
          <w:szCs w:val="24"/>
        </w:rPr>
        <w:footnoteReference w:id="30"/>
      </w:r>
      <w:r w:rsidR="00C01704" w:rsidRPr="007C61D2">
        <w:rPr>
          <w:rFonts w:ascii="Garamond" w:eastAsia="Times New Roman" w:hAnsi="Garamond" w:cs="Times New Roman"/>
          <w:sz w:val="24"/>
          <w:szCs w:val="24"/>
        </w:rPr>
        <w:t xml:space="preserve"> </w:t>
      </w:r>
      <w:r w:rsidR="00941E6A" w:rsidRPr="007C61D2">
        <w:rPr>
          <w:rFonts w:ascii="Garamond" w:eastAsia="Times New Roman" w:hAnsi="Garamond" w:cs="Times New Roman"/>
          <w:sz w:val="24"/>
          <w:szCs w:val="24"/>
        </w:rPr>
        <w:t xml:space="preserve">In </w:t>
      </w:r>
      <w:r w:rsidR="00E30A8E" w:rsidRPr="007C61D2">
        <w:rPr>
          <w:rFonts w:ascii="Garamond" w:eastAsia="Times New Roman" w:hAnsi="Garamond" w:cs="Times New Roman"/>
          <w:sz w:val="24"/>
          <w:szCs w:val="24"/>
        </w:rPr>
        <w:t xml:space="preserve">the neighbouring jurisdiction of </w:t>
      </w:r>
      <w:r w:rsidR="00941E6A" w:rsidRPr="007C61D2">
        <w:rPr>
          <w:rFonts w:ascii="Garamond" w:eastAsia="Times New Roman" w:hAnsi="Garamond" w:cs="Times New Roman"/>
          <w:sz w:val="24"/>
          <w:szCs w:val="24"/>
        </w:rPr>
        <w:t xml:space="preserve">Scotland, </w:t>
      </w:r>
      <w:r w:rsidR="00C01704" w:rsidRPr="007C61D2">
        <w:rPr>
          <w:rFonts w:ascii="Garamond" w:eastAsia="Times New Roman" w:hAnsi="Garamond" w:cs="Times New Roman"/>
          <w:sz w:val="24"/>
          <w:szCs w:val="24"/>
        </w:rPr>
        <w:t xml:space="preserve">the </w:t>
      </w:r>
      <w:r w:rsidR="00DB1710" w:rsidRPr="007C61D2">
        <w:rPr>
          <w:rFonts w:ascii="Garamond" w:eastAsia="Times New Roman" w:hAnsi="Garamond" w:cs="Times New Roman"/>
          <w:sz w:val="24"/>
          <w:szCs w:val="24"/>
        </w:rPr>
        <w:t xml:space="preserve">move to define </w:t>
      </w:r>
      <w:r w:rsidR="00C01704" w:rsidRPr="007C61D2">
        <w:rPr>
          <w:rFonts w:ascii="Garamond" w:hAnsi="Garamond" w:cs="Times New Roman"/>
          <w:sz w:val="24"/>
          <w:szCs w:val="24"/>
        </w:rPr>
        <w:t xml:space="preserve">“woman” </w:t>
      </w:r>
      <w:r w:rsidR="00DB1710" w:rsidRPr="007C61D2">
        <w:rPr>
          <w:rFonts w:ascii="Garamond" w:hAnsi="Garamond" w:cs="Times New Roman"/>
          <w:sz w:val="24"/>
          <w:szCs w:val="24"/>
        </w:rPr>
        <w:t xml:space="preserve">more expansively for </w:t>
      </w:r>
      <w:r w:rsidR="00941E6A" w:rsidRPr="007C61D2">
        <w:rPr>
          <w:rFonts w:ascii="Garamond" w:hAnsi="Garamond" w:cs="Times New Roman"/>
          <w:sz w:val="24"/>
          <w:szCs w:val="24"/>
        </w:rPr>
        <w:t xml:space="preserve">the </w:t>
      </w:r>
      <w:r w:rsidR="00DB1710" w:rsidRPr="007C61D2">
        <w:rPr>
          <w:rFonts w:ascii="Garamond" w:hAnsi="Garamond" w:cs="Times New Roman"/>
          <w:sz w:val="24"/>
          <w:szCs w:val="24"/>
        </w:rPr>
        <w:t xml:space="preserve">purposes of the </w:t>
      </w:r>
      <w:r w:rsidR="00C01704" w:rsidRPr="007C61D2">
        <w:rPr>
          <w:rFonts w:ascii="Garamond" w:hAnsi="Garamond" w:cs="Times New Roman"/>
          <w:sz w:val="24"/>
          <w:szCs w:val="24"/>
        </w:rPr>
        <w:t xml:space="preserve">Gender Representation on Public Boards </w:t>
      </w:r>
      <w:r w:rsidR="003E21A5" w:rsidRPr="007C61D2">
        <w:rPr>
          <w:rFonts w:ascii="Garamond" w:hAnsi="Garamond" w:cs="Times New Roman"/>
          <w:sz w:val="24"/>
          <w:szCs w:val="24"/>
        </w:rPr>
        <w:t xml:space="preserve">(Scotland) </w:t>
      </w:r>
      <w:r w:rsidR="00C01704" w:rsidRPr="007C61D2">
        <w:rPr>
          <w:rFonts w:ascii="Garamond" w:hAnsi="Garamond" w:cs="Times New Roman"/>
          <w:sz w:val="24"/>
          <w:szCs w:val="24"/>
        </w:rPr>
        <w:t>Act 2018</w:t>
      </w:r>
      <w:r w:rsidR="00DB1710" w:rsidRPr="007C61D2">
        <w:rPr>
          <w:rFonts w:ascii="Garamond" w:hAnsi="Garamond" w:cs="Times New Roman"/>
          <w:sz w:val="24"/>
          <w:szCs w:val="24"/>
        </w:rPr>
        <w:t xml:space="preserve"> </w:t>
      </w:r>
      <w:r w:rsidR="001C14FC" w:rsidRPr="007C61D2">
        <w:rPr>
          <w:rFonts w:ascii="Garamond" w:hAnsi="Garamond" w:cs="Times New Roman"/>
          <w:sz w:val="24"/>
          <w:szCs w:val="24"/>
        </w:rPr>
        <w:t>also generated controversy</w:t>
      </w:r>
      <w:r w:rsidR="00C01704" w:rsidRPr="007C61D2">
        <w:rPr>
          <w:rFonts w:ascii="Garamond" w:hAnsi="Garamond" w:cs="Times New Roman"/>
          <w:sz w:val="24"/>
          <w:szCs w:val="24"/>
        </w:rPr>
        <w:t>.</w:t>
      </w:r>
      <w:r w:rsidR="007B7F6D" w:rsidRPr="007C61D2">
        <w:rPr>
          <w:rStyle w:val="FootnoteReference"/>
          <w:rFonts w:ascii="Garamond" w:hAnsi="Garamond" w:cs="Times New Roman"/>
          <w:sz w:val="24"/>
          <w:szCs w:val="24"/>
        </w:rPr>
        <w:footnoteReference w:id="31"/>
      </w:r>
      <w:r w:rsidR="0025438A" w:rsidRPr="007C61D2">
        <w:rPr>
          <w:rFonts w:ascii="Garamond" w:hAnsi="Garamond" w:cs="Times New Roman"/>
          <w:sz w:val="24"/>
          <w:szCs w:val="24"/>
        </w:rPr>
        <w:t xml:space="preserve"> T</w:t>
      </w:r>
      <w:r w:rsidR="005D7B5E" w:rsidRPr="007C61D2">
        <w:rPr>
          <w:rFonts w:ascii="Garamond" w:eastAsia="Times New Roman" w:hAnsi="Garamond" w:cs="Times New Roman"/>
          <w:sz w:val="24"/>
          <w:szCs w:val="24"/>
        </w:rPr>
        <w:t>he</w:t>
      </w:r>
      <w:r w:rsidR="00234C2A" w:rsidRPr="007C61D2">
        <w:rPr>
          <w:rFonts w:ascii="Garamond" w:eastAsia="Times New Roman" w:hAnsi="Garamond" w:cs="Times New Roman"/>
          <w:sz w:val="24"/>
          <w:szCs w:val="24"/>
        </w:rPr>
        <w:t xml:space="preserve">se </w:t>
      </w:r>
      <w:r w:rsidR="00941E6A" w:rsidRPr="007C61D2">
        <w:rPr>
          <w:rFonts w:ascii="Garamond" w:eastAsia="Times New Roman" w:hAnsi="Garamond" w:cs="Times New Roman"/>
          <w:sz w:val="24"/>
          <w:szCs w:val="24"/>
        </w:rPr>
        <w:t xml:space="preserve">kinds of </w:t>
      </w:r>
      <w:r w:rsidR="001C14FC" w:rsidRPr="007C61D2">
        <w:rPr>
          <w:rFonts w:ascii="Garamond" w:eastAsia="Times New Roman" w:hAnsi="Garamond" w:cs="Times New Roman"/>
          <w:sz w:val="24"/>
          <w:szCs w:val="24"/>
        </w:rPr>
        <w:t xml:space="preserve">disputes </w:t>
      </w:r>
      <w:r w:rsidR="005D7B5E" w:rsidRPr="007C61D2">
        <w:rPr>
          <w:rFonts w:ascii="Garamond" w:eastAsia="Times New Roman" w:hAnsi="Garamond" w:cs="Times New Roman"/>
          <w:sz w:val="24"/>
          <w:szCs w:val="24"/>
        </w:rPr>
        <w:t xml:space="preserve">are </w:t>
      </w:r>
      <w:r w:rsidR="001C14FC" w:rsidRPr="007C61D2">
        <w:rPr>
          <w:rFonts w:ascii="Garamond" w:eastAsia="Times New Roman" w:hAnsi="Garamond" w:cs="Times New Roman"/>
          <w:sz w:val="24"/>
          <w:szCs w:val="24"/>
        </w:rPr>
        <w:t xml:space="preserve">not </w:t>
      </w:r>
      <w:r w:rsidR="005D7B5E" w:rsidRPr="007C61D2">
        <w:rPr>
          <w:rFonts w:ascii="Garamond" w:eastAsia="Times New Roman" w:hAnsi="Garamond" w:cs="Times New Roman"/>
          <w:sz w:val="24"/>
          <w:szCs w:val="24"/>
        </w:rPr>
        <w:t>limited to gende</w:t>
      </w:r>
      <w:r w:rsidR="000F76BE" w:rsidRPr="007C61D2">
        <w:rPr>
          <w:rFonts w:ascii="Garamond" w:eastAsia="Times New Roman" w:hAnsi="Garamond" w:cs="Times New Roman"/>
          <w:sz w:val="24"/>
          <w:szCs w:val="24"/>
        </w:rPr>
        <w:t>r</w:t>
      </w:r>
      <w:r w:rsidR="005921CE" w:rsidRPr="007C61D2">
        <w:rPr>
          <w:rFonts w:ascii="Garamond" w:eastAsia="Times New Roman" w:hAnsi="Garamond" w:cs="Times New Roman"/>
          <w:sz w:val="24"/>
          <w:szCs w:val="24"/>
        </w:rPr>
        <w:t xml:space="preserve">. </w:t>
      </w:r>
      <w:r w:rsidR="00951A80" w:rsidRPr="007C61D2">
        <w:rPr>
          <w:rFonts w:ascii="Garamond" w:eastAsia="Times New Roman" w:hAnsi="Garamond" w:cs="Times New Roman"/>
          <w:sz w:val="24"/>
          <w:szCs w:val="24"/>
        </w:rPr>
        <w:t xml:space="preserve">Anxieties about </w:t>
      </w:r>
      <w:r w:rsidR="00951A80" w:rsidRPr="007C61D2">
        <w:rPr>
          <w:rFonts w:ascii="Garamond" w:eastAsia="Times New Roman" w:hAnsi="Garamond" w:cs="Times New Roman"/>
          <w:sz w:val="24"/>
          <w:szCs w:val="24"/>
        </w:rPr>
        <w:lastRenderedPageBreak/>
        <w:t>opportunistic entry,</w:t>
      </w:r>
      <w:r w:rsidR="00D37171" w:rsidRPr="007C61D2">
        <w:rPr>
          <w:rFonts w:ascii="Garamond" w:eastAsia="Times New Roman" w:hAnsi="Garamond" w:cs="Times New Roman"/>
          <w:sz w:val="24"/>
          <w:szCs w:val="24"/>
        </w:rPr>
        <w:t xml:space="preserve"> and the risk</w:t>
      </w:r>
      <w:r w:rsidR="00951A80" w:rsidRPr="007C61D2">
        <w:rPr>
          <w:rFonts w:ascii="Garamond" w:eastAsia="Times New Roman" w:hAnsi="Garamond" w:cs="Times New Roman"/>
          <w:sz w:val="24"/>
          <w:szCs w:val="24"/>
        </w:rPr>
        <w:t xml:space="preserve"> of identity categories</w:t>
      </w:r>
      <w:r w:rsidR="00D37171" w:rsidRPr="007C61D2">
        <w:rPr>
          <w:rFonts w:ascii="Garamond" w:eastAsia="Times New Roman" w:hAnsi="Garamond" w:cs="Times New Roman"/>
          <w:sz w:val="24"/>
          <w:szCs w:val="24"/>
        </w:rPr>
        <w:t xml:space="preserve"> being overly permeable,</w:t>
      </w:r>
      <w:r w:rsidR="00951A80" w:rsidRPr="007C61D2">
        <w:rPr>
          <w:rFonts w:ascii="Garamond" w:eastAsia="Times New Roman" w:hAnsi="Garamond" w:cs="Times New Roman"/>
          <w:sz w:val="24"/>
          <w:szCs w:val="24"/>
        </w:rPr>
        <w:t xml:space="preserve"> mark many </w:t>
      </w:r>
      <w:r w:rsidR="00C10060" w:rsidRPr="007C61D2">
        <w:rPr>
          <w:rFonts w:ascii="Garamond" w:eastAsia="Times New Roman" w:hAnsi="Garamond" w:cs="Times New Roman"/>
          <w:sz w:val="24"/>
          <w:szCs w:val="24"/>
        </w:rPr>
        <w:t xml:space="preserve">discussions about </w:t>
      </w:r>
      <w:r w:rsidR="005921CE" w:rsidRPr="007C61D2">
        <w:rPr>
          <w:rFonts w:ascii="Garamond" w:eastAsia="Times New Roman" w:hAnsi="Garamond" w:cs="Times New Roman"/>
          <w:sz w:val="24"/>
          <w:szCs w:val="24"/>
        </w:rPr>
        <w:t xml:space="preserve">positive </w:t>
      </w:r>
      <w:r w:rsidR="00DB1710" w:rsidRPr="007C61D2">
        <w:rPr>
          <w:rFonts w:ascii="Garamond" w:eastAsia="Times New Roman" w:hAnsi="Garamond" w:cs="Times New Roman"/>
          <w:sz w:val="24"/>
          <w:szCs w:val="24"/>
        </w:rPr>
        <w:t xml:space="preserve">action measures </w:t>
      </w:r>
      <w:r w:rsidR="002D5267" w:rsidRPr="007C61D2">
        <w:rPr>
          <w:rFonts w:ascii="Garamond" w:eastAsia="Times New Roman" w:hAnsi="Garamond" w:cs="Times New Roman"/>
          <w:sz w:val="24"/>
          <w:szCs w:val="24"/>
        </w:rPr>
        <w:t>including in relation to ethnic, racial</w:t>
      </w:r>
      <w:r w:rsidR="001C14FC" w:rsidRPr="007C61D2">
        <w:rPr>
          <w:rFonts w:ascii="Garamond" w:eastAsia="Times New Roman" w:hAnsi="Garamond" w:cs="Times New Roman"/>
          <w:sz w:val="24"/>
          <w:szCs w:val="24"/>
        </w:rPr>
        <w:t>,</w:t>
      </w:r>
      <w:r w:rsidR="002D5267" w:rsidRPr="007C61D2">
        <w:rPr>
          <w:rFonts w:ascii="Garamond" w:eastAsia="Times New Roman" w:hAnsi="Garamond" w:cs="Times New Roman"/>
          <w:sz w:val="24"/>
          <w:szCs w:val="24"/>
        </w:rPr>
        <w:t xml:space="preserve"> and national categories</w:t>
      </w:r>
      <w:r w:rsidR="002E230A" w:rsidRPr="007C61D2">
        <w:rPr>
          <w:rFonts w:ascii="Garamond" w:eastAsia="Times New Roman" w:hAnsi="Garamond" w:cs="Times New Roman"/>
          <w:sz w:val="24"/>
          <w:szCs w:val="24"/>
        </w:rPr>
        <w:t xml:space="preserve"> </w:t>
      </w:r>
      <w:r w:rsidR="000F76BE" w:rsidRPr="007C61D2">
        <w:rPr>
          <w:rFonts w:ascii="Garamond" w:eastAsia="Times New Roman" w:hAnsi="Garamond" w:cs="Times New Roman"/>
          <w:sz w:val="24"/>
          <w:szCs w:val="24"/>
        </w:rPr>
        <w:t xml:space="preserve">(see also Bailey 2008; Bailey and </w:t>
      </w:r>
      <w:r w:rsidR="004A454B" w:rsidRPr="007C61D2">
        <w:rPr>
          <w:rFonts w:ascii="Garamond" w:eastAsia="Times New Roman" w:hAnsi="Garamond" w:cs="Times New Roman"/>
          <w:sz w:val="24"/>
          <w:szCs w:val="24"/>
        </w:rPr>
        <w:t xml:space="preserve">Peria </w:t>
      </w:r>
      <w:r w:rsidR="000F76BE" w:rsidRPr="007C61D2">
        <w:rPr>
          <w:rFonts w:ascii="Garamond" w:eastAsia="Times New Roman" w:hAnsi="Garamond" w:cs="Times New Roman"/>
          <w:sz w:val="24"/>
          <w:szCs w:val="24"/>
        </w:rPr>
        <w:t>2010)</w:t>
      </w:r>
      <w:r w:rsidR="00DB1710" w:rsidRPr="007C61D2">
        <w:rPr>
          <w:rFonts w:ascii="Garamond" w:eastAsia="Times New Roman" w:hAnsi="Garamond" w:cs="Times New Roman"/>
          <w:sz w:val="24"/>
          <w:szCs w:val="24"/>
        </w:rPr>
        <w:t>.</w:t>
      </w:r>
      <w:r w:rsidR="00883EEB" w:rsidRPr="007C61D2">
        <w:rPr>
          <w:rStyle w:val="FootnoteReference"/>
          <w:rFonts w:ascii="Garamond" w:eastAsia="Times New Roman" w:hAnsi="Garamond" w:cs="Times New Roman"/>
          <w:sz w:val="24"/>
          <w:szCs w:val="24"/>
        </w:rPr>
        <w:footnoteReference w:id="32"/>
      </w:r>
      <w:r w:rsidR="00D37171" w:rsidRPr="007C61D2">
        <w:rPr>
          <w:rFonts w:ascii="Garamond" w:eastAsia="Times New Roman" w:hAnsi="Garamond" w:cs="Times New Roman"/>
          <w:sz w:val="24"/>
          <w:szCs w:val="24"/>
        </w:rPr>
        <w:t xml:space="preserve"> </w:t>
      </w:r>
      <w:r w:rsidR="00DB1710" w:rsidRPr="007C61D2">
        <w:rPr>
          <w:rFonts w:ascii="Garamond" w:eastAsia="Times New Roman" w:hAnsi="Garamond" w:cs="Times New Roman"/>
          <w:sz w:val="24"/>
          <w:szCs w:val="24"/>
        </w:rPr>
        <w:t>Yet, a</w:t>
      </w:r>
      <w:r w:rsidR="00D37171" w:rsidRPr="007C61D2">
        <w:rPr>
          <w:rFonts w:ascii="Garamond" w:eastAsia="Times New Roman" w:hAnsi="Garamond" w:cs="Times New Roman"/>
          <w:sz w:val="24"/>
          <w:szCs w:val="24"/>
        </w:rPr>
        <w:t xml:space="preserve">s we discuss below, </w:t>
      </w:r>
      <w:r w:rsidR="00E30A8E" w:rsidRPr="007C61D2">
        <w:rPr>
          <w:rFonts w:ascii="Garamond" w:eastAsia="Times New Roman" w:hAnsi="Garamond" w:cs="Times New Roman"/>
          <w:sz w:val="24"/>
          <w:szCs w:val="24"/>
        </w:rPr>
        <w:t xml:space="preserve">these concerns </w:t>
      </w:r>
      <w:r w:rsidR="00DB1710" w:rsidRPr="007C61D2">
        <w:rPr>
          <w:rFonts w:ascii="Garamond" w:eastAsia="Times New Roman" w:hAnsi="Garamond" w:cs="Times New Roman"/>
          <w:sz w:val="24"/>
          <w:szCs w:val="24"/>
        </w:rPr>
        <w:t xml:space="preserve">also </w:t>
      </w:r>
      <w:r w:rsidR="00D37171" w:rsidRPr="007C61D2">
        <w:rPr>
          <w:rFonts w:ascii="Garamond" w:eastAsia="Times New Roman" w:hAnsi="Garamond" w:cs="Times New Roman"/>
          <w:sz w:val="24"/>
          <w:szCs w:val="24"/>
        </w:rPr>
        <w:t xml:space="preserve">raise wider questions about the value and effectiveness of remedial measures </w:t>
      </w:r>
      <w:r w:rsidR="0025438A" w:rsidRPr="007C61D2">
        <w:rPr>
          <w:rFonts w:ascii="Garamond" w:eastAsia="Times New Roman" w:hAnsi="Garamond" w:cs="Times New Roman"/>
          <w:sz w:val="24"/>
          <w:szCs w:val="24"/>
        </w:rPr>
        <w:t xml:space="preserve">that </w:t>
      </w:r>
      <w:r w:rsidR="00D13B54" w:rsidRPr="007C61D2">
        <w:rPr>
          <w:rFonts w:ascii="Garamond" w:eastAsia="Times New Roman" w:hAnsi="Garamond" w:cs="Times New Roman"/>
          <w:sz w:val="24"/>
          <w:szCs w:val="24"/>
        </w:rPr>
        <w:t xml:space="preserve">rely on </w:t>
      </w:r>
      <w:r w:rsidR="00B4699C" w:rsidRPr="007C61D2">
        <w:rPr>
          <w:rFonts w:ascii="Garamond" w:eastAsia="Times New Roman" w:hAnsi="Garamond" w:cs="Times New Roman"/>
          <w:sz w:val="24"/>
          <w:szCs w:val="24"/>
        </w:rPr>
        <w:t xml:space="preserve">targeted </w:t>
      </w:r>
      <w:r w:rsidR="00D37171" w:rsidRPr="007C61D2">
        <w:rPr>
          <w:rFonts w:ascii="Garamond" w:eastAsia="Times New Roman" w:hAnsi="Garamond" w:cs="Times New Roman"/>
          <w:sz w:val="24"/>
          <w:szCs w:val="24"/>
        </w:rPr>
        <w:t xml:space="preserve">bodies or </w:t>
      </w:r>
      <w:r w:rsidR="00D13B54" w:rsidRPr="007C61D2">
        <w:rPr>
          <w:rFonts w:ascii="Garamond" w:eastAsia="Times New Roman" w:hAnsi="Garamond" w:cs="Times New Roman"/>
          <w:sz w:val="24"/>
          <w:szCs w:val="24"/>
        </w:rPr>
        <w:t xml:space="preserve">group </w:t>
      </w:r>
      <w:r w:rsidR="00D37171" w:rsidRPr="007C61D2">
        <w:rPr>
          <w:rFonts w:ascii="Garamond" w:eastAsia="Times New Roman" w:hAnsi="Garamond" w:cs="Times New Roman"/>
          <w:sz w:val="24"/>
          <w:szCs w:val="24"/>
        </w:rPr>
        <w:t xml:space="preserve">“representatives” as the way </w:t>
      </w:r>
      <w:r w:rsidR="00D13B54" w:rsidRPr="007C61D2">
        <w:rPr>
          <w:rFonts w:ascii="Garamond" w:eastAsia="Times New Roman" w:hAnsi="Garamond" w:cs="Times New Roman"/>
          <w:sz w:val="24"/>
          <w:szCs w:val="24"/>
        </w:rPr>
        <w:t xml:space="preserve">to </w:t>
      </w:r>
      <w:r w:rsidR="00D37171" w:rsidRPr="007C61D2">
        <w:rPr>
          <w:rFonts w:ascii="Garamond" w:eastAsia="Times New Roman" w:hAnsi="Garamond" w:cs="Times New Roman"/>
          <w:sz w:val="24"/>
          <w:szCs w:val="24"/>
        </w:rPr>
        <w:t xml:space="preserve">address wider </w:t>
      </w:r>
      <w:r w:rsidR="00DB1710" w:rsidRPr="007C61D2">
        <w:rPr>
          <w:rFonts w:ascii="Garamond" w:eastAsia="Times New Roman" w:hAnsi="Garamond" w:cs="Times New Roman"/>
          <w:sz w:val="24"/>
          <w:szCs w:val="24"/>
        </w:rPr>
        <w:t xml:space="preserve">systemic </w:t>
      </w:r>
      <w:r w:rsidR="00D37171" w:rsidRPr="007C61D2">
        <w:rPr>
          <w:rFonts w:ascii="Garamond" w:eastAsia="Times New Roman" w:hAnsi="Garamond" w:cs="Times New Roman"/>
          <w:sz w:val="24"/>
          <w:szCs w:val="24"/>
        </w:rPr>
        <w:t>inequalities.</w:t>
      </w:r>
    </w:p>
    <w:p w14:paraId="162F0159" w14:textId="3C5303B2" w:rsidR="00246C46" w:rsidRPr="007C61D2" w:rsidRDefault="009D67B1" w:rsidP="00654B6E">
      <w:pPr>
        <w:pStyle w:val="Heading2"/>
        <w:spacing w:before="240"/>
      </w:pPr>
      <w:r>
        <w:t xml:space="preserve">4. </w:t>
      </w:r>
      <w:r w:rsidR="00246C46" w:rsidRPr="007C61D2">
        <w:t xml:space="preserve">Responding </w:t>
      </w:r>
      <w:r w:rsidR="005A2B88" w:rsidRPr="007C61D2">
        <w:t>to</w:t>
      </w:r>
      <w:r w:rsidR="00246C46" w:rsidRPr="007C61D2">
        <w:t xml:space="preserve"> decertification</w:t>
      </w:r>
      <w:r w:rsidR="005A2B88" w:rsidRPr="007C61D2">
        <w:t>’s risks</w:t>
      </w:r>
    </w:p>
    <w:p w14:paraId="4DA47E35" w14:textId="4BD18328" w:rsidR="00024AD6" w:rsidRPr="007C61D2" w:rsidRDefault="00DB1710"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Across public media, c</w:t>
      </w:r>
      <w:r w:rsidR="00246C46" w:rsidRPr="007C61D2">
        <w:rPr>
          <w:rFonts w:ascii="Garamond" w:eastAsia="Times New Roman" w:hAnsi="Garamond" w:cs="Times New Roman"/>
          <w:sz w:val="24"/>
          <w:szCs w:val="24"/>
        </w:rPr>
        <w:t xml:space="preserve">oncerns about </w:t>
      </w:r>
      <w:r w:rsidR="001A6EBC" w:rsidRPr="007C61D2">
        <w:rPr>
          <w:rFonts w:ascii="Garamond" w:eastAsia="Times New Roman" w:hAnsi="Garamond" w:cs="Times New Roman"/>
          <w:sz w:val="24"/>
          <w:szCs w:val="24"/>
        </w:rPr>
        <w:t xml:space="preserve">the viability of </w:t>
      </w:r>
      <w:r w:rsidR="00246C46" w:rsidRPr="007C61D2">
        <w:rPr>
          <w:rFonts w:ascii="Garamond" w:eastAsia="Times New Roman" w:hAnsi="Garamond" w:cs="Times New Roman"/>
          <w:sz w:val="24"/>
          <w:szCs w:val="24"/>
        </w:rPr>
        <w:t>single-sex provision, opportunistic take-up</w:t>
      </w:r>
      <w:r w:rsidR="001A6EBC" w:rsidRPr="007C61D2">
        <w:rPr>
          <w:rFonts w:ascii="Garamond" w:eastAsia="Times New Roman" w:hAnsi="Garamond" w:cs="Times New Roman"/>
          <w:sz w:val="24"/>
          <w:szCs w:val="24"/>
        </w:rPr>
        <w:t xml:space="preserve"> of targeted places</w:t>
      </w:r>
      <w:r w:rsidR="00BF4094" w:rsidRPr="007C61D2">
        <w:rPr>
          <w:rFonts w:ascii="Garamond" w:eastAsia="Times New Roman" w:hAnsi="Garamond" w:cs="Times New Roman"/>
          <w:sz w:val="24"/>
          <w:szCs w:val="24"/>
        </w:rPr>
        <w:t>,</w:t>
      </w:r>
      <w:r w:rsidR="00246C46" w:rsidRPr="007C61D2">
        <w:rPr>
          <w:rFonts w:ascii="Garamond" w:eastAsia="Times New Roman" w:hAnsi="Garamond" w:cs="Times New Roman"/>
          <w:sz w:val="24"/>
          <w:szCs w:val="24"/>
        </w:rPr>
        <w:t xml:space="preserve"> and unusable statistical data</w:t>
      </w:r>
      <w:r w:rsidR="001A6EBC" w:rsidRPr="007C61D2">
        <w:rPr>
          <w:rFonts w:ascii="Garamond" w:eastAsia="Times New Roman" w:hAnsi="Garamond" w:cs="Times New Roman"/>
          <w:sz w:val="24"/>
          <w:szCs w:val="24"/>
        </w:rPr>
        <w:t>,</w:t>
      </w:r>
      <w:r w:rsidR="00246C46"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arising from the informalisation of sex/ gender</w:t>
      </w:r>
      <w:r w:rsidR="001A6EBC"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1A6EBC" w:rsidRPr="007C61D2">
        <w:rPr>
          <w:rFonts w:ascii="Garamond" w:eastAsia="Times New Roman" w:hAnsi="Garamond" w:cs="Times New Roman"/>
          <w:sz w:val="24"/>
          <w:szCs w:val="24"/>
        </w:rPr>
        <w:t xml:space="preserve">have been </w:t>
      </w:r>
      <w:r w:rsidR="00073535" w:rsidRPr="007C61D2">
        <w:rPr>
          <w:rFonts w:ascii="Garamond" w:eastAsia="Times New Roman" w:hAnsi="Garamond" w:cs="Times New Roman"/>
          <w:sz w:val="24"/>
          <w:szCs w:val="24"/>
        </w:rPr>
        <w:t>repeatedly</w:t>
      </w:r>
      <w:r w:rsidRPr="007C61D2">
        <w:rPr>
          <w:rFonts w:ascii="Garamond" w:eastAsia="Times New Roman" w:hAnsi="Garamond" w:cs="Times New Roman"/>
          <w:sz w:val="24"/>
          <w:szCs w:val="24"/>
        </w:rPr>
        <w:t xml:space="preserve"> raised. </w:t>
      </w:r>
      <w:r w:rsidR="001A6EBC" w:rsidRPr="007C61D2">
        <w:rPr>
          <w:rFonts w:ascii="Garamond" w:eastAsia="Times New Roman" w:hAnsi="Garamond" w:cs="Times New Roman"/>
          <w:sz w:val="24"/>
          <w:szCs w:val="24"/>
        </w:rPr>
        <w:t>Similar concerns were expressed by some feminist i</w:t>
      </w:r>
      <w:r w:rsidRPr="007C61D2">
        <w:rPr>
          <w:rFonts w:ascii="Garamond" w:eastAsia="Times New Roman" w:hAnsi="Garamond" w:cs="Times New Roman"/>
          <w:sz w:val="24"/>
          <w:szCs w:val="24"/>
        </w:rPr>
        <w:t xml:space="preserve">nterviewees </w:t>
      </w:r>
      <w:r w:rsidR="001A6EBC" w:rsidRPr="007C61D2">
        <w:rPr>
          <w:rFonts w:ascii="Garamond" w:eastAsia="Times New Roman" w:hAnsi="Garamond" w:cs="Times New Roman"/>
          <w:sz w:val="24"/>
          <w:szCs w:val="24"/>
        </w:rPr>
        <w:t xml:space="preserve">regarding </w:t>
      </w:r>
      <w:r w:rsidRPr="007C61D2">
        <w:rPr>
          <w:rFonts w:ascii="Garamond" w:eastAsia="Times New Roman" w:hAnsi="Garamond" w:cs="Times New Roman"/>
          <w:sz w:val="24"/>
          <w:szCs w:val="24"/>
        </w:rPr>
        <w:t xml:space="preserve">decertification. </w:t>
      </w:r>
      <w:r w:rsidR="00B62D05" w:rsidRPr="007C61D2">
        <w:rPr>
          <w:rFonts w:ascii="Garamond" w:eastAsia="Times New Roman" w:hAnsi="Garamond" w:cs="Times New Roman"/>
          <w:sz w:val="24"/>
          <w:szCs w:val="24"/>
        </w:rPr>
        <w:t xml:space="preserve">Yet, </w:t>
      </w:r>
      <w:r w:rsidR="00246C46" w:rsidRPr="007C61D2">
        <w:rPr>
          <w:rFonts w:ascii="Garamond" w:eastAsia="Times New Roman" w:hAnsi="Garamond" w:cs="Times New Roman"/>
          <w:sz w:val="24"/>
          <w:szCs w:val="24"/>
        </w:rPr>
        <w:t xml:space="preserve">the </w:t>
      </w:r>
      <w:r w:rsidR="00B25B7D" w:rsidRPr="007C61D2">
        <w:rPr>
          <w:rFonts w:ascii="Garamond" w:eastAsia="Times New Roman" w:hAnsi="Garamond" w:cs="Times New Roman"/>
          <w:sz w:val="24"/>
          <w:szCs w:val="24"/>
        </w:rPr>
        <w:t xml:space="preserve">informalisation </w:t>
      </w:r>
      <w:r w:rsidR="00246C46" w:rsidRPr="007C61D2">
        <w:rPr>
          <w:rFonts w:ascii="Garamond" w:eastAsia="Times New Roman" w:hAnsi="Garamond" w:cs="Times New Roman"/>
          <w:sz w:val="24"/>
          <w:szCs w:val="24"/>
        </w:rPr>
        <w:t xml:space="preserve">that </w:t>
      </w:r>
      <w:r w:rsidR="00331A4B" w:rsidRPr="007C61D2">
        <w:rPr>
          <w:rFonts w:ascii="Garamond" w:eastAsia="Times New Roman" w:hAnsi="Garamond" w:cs="Times New Roman"/>
          <w:sz w:val="24"/>
          <w:szCs w:val="24"/>
        </w:rPr>
        <w:t xml:space="preserve">decertification </w:t>
      </w:r>
      <w:r w:rsidR="001A6EBC" w:rsidRPr="007C61D2">
        <w:rPr>
          <w:rFonts w:ascii="Garamond" w:eastAsia="Times New Roman" w:hAnsi="Garamond" w:cs="Times New Roman"/>
          <w:sz w:val="24"/>
          <w:szCs w:val="24"/>
        </w:rPr>
        <w:t xml:space="preserve">articulates </w:t>
      </w:r>
      <w:r w:rsidR="0077631B" w:rsidRPr="007C61D2">
        <w:rPr>
          <w:rFonts w:ascii="Garamond" w:eastAsia="Times New Roman" w:hAnsi="Garamond" w:cs="Times New Roman"/>
          <w:sz w:val="24"/>
          <w:szCs w:val="24"/>
        </w:rPr>
        <w:t xml:space="preserve">also </w:t>
      </w:r>
      <w:r w:rsidR="00B4699C" w:rsidRPr="007C61D2">
        <w:rPr>
          <w:rFonts w:ascii="Garamond" w:eastAsia="Times New Roman" w:hAnsi="Garamond" w:cs="Times New Roman"/>
          <w:sz w:val="24"/>
          <w:szCs w:val="24"/>
        </w:rPr>
        <w:t xml:space="preserve">aligns </w:t>
      </w:r>
      <w:r w:rsidR="00B62D05" w:rsidRPr="007C61D2">
        <w:rPr>
          <w:rFonts w:ascii="Garamond" w:eastAsia="Times New Roman" w:hAnsi="Garamond" w:cs="Times New Roman"/>
          <w:sz w:val="24"/>
          <w:szCs w:val="24"/>
        </w:rPr>
        <w:t>with a feminist politics</w:t>
      </w:r>
      <w:r w:rsidR="0025438A" w:rsidRPr="007C61D2">
        <w:rPr>
          <w:rFonts w:ascii="Garamond" w:eastAsia="Times New Roman" w:hAnsi="Garamond" w:cs="Times New Roman"/>
          <w:sz w:val="24"/>
          <w:szCs w:val="24"/>
        </w:rPr>
        <w:t>,</w:t>
      </w:r>
      <w:r w:rsidR="00B62D05" w:rsidRPr="007C61D2">
        <w:rPr>
          <w:rFonts w:ascii="Garamond" w:eastAsia="Times New Roman" w:hAnsi="Garamond" w:cs="Times New Roman"/>
          <w:sz w:val="24"/>
          <w:szCs w:val="24"/>
        </w:rPr>
        <w:t xml:space="preserve"> intent on challenging </w:t>
      </w:r>
      <w:r w:rsidRPr="007C61D2">
        <w:rPr>
          <w:rFonts w:ascii="Garamond" w:eastAsia="Times New Roman" w:hAnsi="Garamond" w:cs="Times New Roman"/>
          <w:sz w:val="24"/>
          <w:szCs w:val="24"/>
        </w:rPr>
        <w:t xml:space="preserve">the notion that </w:t>
      </w:r>
      <w:r w:rsidR="00B62D05" w:rsidRPr="007C61D2">
        <w:rPr>
          <w:rFonts w:ascii="Garamond" w:eastAsia="Times New Roman" w:hAnsi="Garamond" w:cs="Times New Roman"/>
          <w:sz w:val="24"/>
          <w:szCs w:val="24"/>
        </w:rPr>
        <w:t>“birth means destiny”</w:t>
      </w:r>
      <w:r w:rsidRPr="007C61D2">
        <w:rPr>
          <w:rFonts w:ascii="Garamond" w:eastAsia="Times New Roman" w:hAnsi="Garamond" w:cs="Times New Roman"/>
          <w:sz w:val="24"/>
          <w:szCs w:val="24"/>
        </w:rPr>
        <w:t>. To recall our earlier discussion</w:t>
      </w:r>
      <w:r w:rsidR="00FD3BB2"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FD3BB2" w:rsidRPr="007C61D2">
        <w:rPr>
          <w:rFonts w:ascii="Garamond" w:eastAsia="Times New Roman" w:hAnsi="Garamond" w:cs="Times New Roman"/>
          <w:sz w:val="24"/>
          <w:szCs w:val="24"/>
        </w:rPr>
        <w:t>i</w:t>
      </w:r>
      <w:r w:rsidR="0025438A" w:rsidRPr="007C61D2">
        <w:rPr>
          <w:rFonts w:ascii="Garamond" w:eastAsia="Times New Roman" w:hAnsi="Garamond" w:cs="Times New Roman"/>
          <w:sz w:val="24"/>
          <w:szCs w:val="24"/>
        </w:rPr>
        <w:t>nformalisation</w:t>
      </w:r>
      <w:r w:rsidR="007E5DF9">
        <w:rPr>
          <w:rFonts w:ascii="Garamond" w:eastAsia="Times New Roman" w:hAnsi="Garamond" w:cs="Times New Roman"/>
          <w:sz w:val="24"/>
          <w:szCs w:val="24"/>
        </w:rPr>
        <w:t xml:space="preserve"> through decertification removes official state processes that standardise, fix, and allocate sex/ gender categories. This </w:t>
      </w:r>
      <w:r w:rsidR="00B62D05" w:rsidRPr="007C61D2">
        <w:rPr>
          <w:rFonts w:ascii="Garamond" w:eastAsia="Times New Roman" w:hAnsi="Garamond" w:cs="Times New Roman"/>
          <w:sz w:val="24"/>
          <w:szCs w:val="24"/>
        </w:rPr>
        <w:t xml:space="preserve">allows people to shape their own </w:t>
      </w:r>
      <w:r w:rsidR="007E5DF9">
        <w:rPr>
          <w:rFonts w:ascii="Garamond" w:eastAsia="Times New Roman" w:hAnsi="Garamond" w:cs="Times New Roman"/>
          <w:sz w:val="24"/>
          <w:szCs w:val="24"/>
        </w:rPr>
        <w:t xml:space="preserve">terms of belonging and identification; </w:t>
      </w:r>
      <w:r w:rsidR="00B62D05" w:rsidRPr="007C61D2">
        <w:rPr>
          <w:rFonts w:ascii="Garamond" w:eastAsia="Times New Roman" w:hAnsi="Garamond" w:cs="Times New Roman"/>
          <w:sz w:val="24"/>
          <w:szCs w:val="24"/>
        </w:rPr>
        <w:t xml:space="preserve">makes it possible to live without a gender label; </w:t>
      </w:r>
      <w:r w:rsidR="00B25B7D" w:rsidRPr="007C61D2">
        <w:rPr>
          <w:rFonts w:ascii="Garamond" w:eastAsia="Times New Roman" w:hAnsi="Garamond" w:cs="Times New Roman"/>
          <w:sz w:val="24"/>
          <w:szCs w:val="24"/>
        </w:rPr>
        <w:t>withdraw</w:t>
      </w:r>
      <w:r w:rsidR="00246C46" w:rsidRPr="007C61D2">
        <w:rPr>
          <w:rFonts w:ascii="Garamond" w:eastAsia="Times New Roman" w:hAnsi="Garamond" w:cs="Times New Roman"/>
          <w:sz w:val="24"/>
          <w:szCs w:val="24"/>
        </w:rPr>
        <w:t>s</w:t>
      </w:r>
      <w:r w:rsidR="00B25B7D" w:rsidRPr="007C61D2">
        <w:rPr>
          <w:rFonts w:ascii="Garamond" w:eastAsia="Times New Roman" w:hAnsi="Garamond" w:cs="Times New Roman"/>
          <w:sz w:val="24"/>
          <w:szCs w:val="24"/>
        </w:rPr>
        <w:t xml:space="preserve"> </w:t>
      </w:r>
      <w:r w:rsidR="00331A4B" w:rsidRPr="007C61D2">
        <w:rPr>
          <w:rFonts w:ascii="Garamond" w:eastAsia="Times New Roman" w:hAnsi="Garamond" w:cs="Times New Roman"/>
          <w:sz w:val="24"/>
          <w:szCs w:val="24"/>
        </w:rPr>
        <w:t xml:space="preserve">the constituting and naming </w:t>
      </w:r>
      <w:r w:rsidR="00246C46" w:rsidRPr="007C61D2">
        <w:rPr>
          <w:rFonts w:ascii="Garamond" w:eastAsia="Times New Roman" w:hAnsi="Garamond" w:cs="Times New Roman"/>
          <w:sz w:val="24"/>
          <w:szCs w:val="24"/>
        </w:rPr>
        <w:t xml:space="preserve">work </w:t>
      </w:r>
      <w:r w:rsidR="00331A4B" w:rsidRPr="007C61D2">
        <w:rPr>
          <w:rFonts w:ascii="Garamond" w:eastAsia="Times New Roman" w:hAnsi="Garamond" w:cs="Times New Roman"/>
          <w:sz w:val="24"/>
          <w:szCs w:val="24"/>
        </w:rPr>
        <w:t xml:space="preserve">of </w:t>
      </w:r>
      <w:r w:rsidR="00B25B7D" w:rsidRPr="007C61D2">
        <w:rPr>
          <w:rFonts w:ascii="Garamond" w:eastAsia="Times New Roman" w:hAnsi="Garamond" w:cs="Times New Roman"/>
          <w:sz w:val="24"/>
          <w:szCs w:val="24"/>
        </w:rPr>
        <w:t>the state</w:t>
      </w:r>
      <w:r w:rsidR="00246C46" w:rsidRPr="007C61D2">
        <w:rPr>
          <w:rFonts w:ascii="Garamond" w:eastAsia="Times New Roman" w:hAnsi="Garamond" w:cs="Times New Roman"/>
          <w:sz w:val="24"/>
          <w:szCs w:val="24"/>
        </w:rPr>
        <w:t xml:space="preserve">; </w:t>
      </w:r>
      <w:r w:rsidR="00B25B7D" w:rsidRPr="007C61D2">
        <w:rPr>
          <w:rFonts w:ascii="Garamond" w:eastAsia="Times New Roman" w:hAnsi="Garamond" w:cs="Times New Roman"/>
          <w:sz w:val="24"/>
          <w:szCs w:val="24"/>
        </w:rPr>
        <w:t xml:space="preserve">and, </w:t>
      </w:r>
      <w:r w:rsidR="00331A4B" w:rsidRPr="007C61D2">
        <w:rPr>
          <w:rFonts w:ascii="Garamond" w:eastAsia="Times New Roman" w:hAnsi="Garamond" w:cs="Times New Roman"/>
          <w:sz w:val="24"/>
          <w:szCs w:val="24"/>
        </w:rPr>
        <w:t>at a societal</w:t>
      </w:r>
      <w:r w:rsidR="00246C46" w:rsidRPr="007C61D2">
        <w:rPr>
          <w:rFonts w:ascii="Garamond" w:eastAsia="Times New Roman" w:hAnsi="Garamond" w:cs="Times New Roman"/>
          <w:sz w:val="24"/>
          <w:szCs w:val="24"/>
        </w:rPr>
        <w:t xml:space="preserve"> </w:t>
      </w:r>
      <w:r w:rsidR="00331A4B" w:rsidRPr="007C61D2">
        <w:rPr>
          <w:rFonts w:ascii="Garamond" w:eastAsia="Times New Roman" w:hAnsi="Garamond" w:cs="Times New Roman"/>
          <w:sz w:val="24"/>
          <w:szCs w:val="24"/>
        </w:rPr>
        <w:t>level, diminish</w:t>
      </w:r>
      <w:r w:rsidR="00B62D05" w:rsidRPr="007C61D2">
        <w:rPr>
          <w:rFonts w:ascii="Garamond" w:eastAsia="Times New Roman" w:hAnsi="Garamond" w:cs="Times New Roman"/>
          <w:sz w:val="24"/>
          <w:szCs w:val="24"/>
        </w:rPr>
        <w:t>es</w:t>
      </w:r>
      <w:r w:rsidR="00331A4B" w:rsidRPr="007C61D2">
        <w:rPr>
          <w:rFonts w:ascii="Garamond" w:eastAsia="Times New Roman" w:hAnsi="Garamond" w:cs="Times New Roman"/>
          <w:sz w:val="24"/>
          <w:szCs w:val="24"/>
        </w:rPr>
        <w:t xml:space="preserve"> gender’s </w:t>
      </w:r>
      <w:r w:rsidR="00B25B7D" w:rsidRPr="007C61D2">
        <w:rPr>
          <w:rFonts w:ascii="Garamond" w:eastAsia="Times New Roman" w:hAnsi="Garamond" w:cs="Times New Roman"/>
          <w:sz w:val="24"/>
          <w:szCs w:val="24"/>
        </w:rPr>
        <w:t>normative significance</w:t>
      </w:r>
      <w:r w:rsidR="0089680D">
        <w:rPr>
          <w:rFonts w:ascii="Garamond" w:eastAsia="Times New Roman" w:hAnsi="Garamond" w:cs="Times New Roman"/>
          <w:sz w:val="24"/>
          <w:szCs w:val="24"/>
        </w:rPr>
        <w:t>. At the same time,</w:t>
      </w:r>
      <w:r w:rsidR="00B62D05" w:rsidRPr="007C61D2">
        <w:rPr>
          <w:rFonts w:ascii="Garamond" w:eastAsia="Times New Roman" w:hAnsi="Garamond" w:cs="Times New Roman"/>
          <w:sz w:val="24"/>
          <w:szCs w:val="24"/>
        </w:rPr>
        <w:t xml:space="preserve"> </w:t>
      </w:r>
      <w:r w:rsidR="00B25B7D" w:rsidRPr="007C61D2">
        <w:rPr>
          <w:rFonts w:ascii="Garamond" w:eastAsia="Times New Roman" w:hAnsi="Garamond" w:cs="Times New Roman"/>
          <w:sz w:val="24"/>
          <w:szCs w:val="24"/>
        </w:rPr>
        <w:t xml:space="preserve">epistemically, </w:t>
      </w:r>
      <w:r w:rsidR="0089680D">
        <w:rPr>
          <w:rFonts w:ascii="Garamond" w:eastAsia="Times New Roman" w:hAnsi="Garamond" w:cs="Times New Roman"/>
          <w:sz w:val="24"/>
          <w:szCs w:val="24"/>
        </w:rPr>
        <w:t xml:space="preserve">decertification would </w:t>
      </w:r>
      <w:r w:rsidR="00B25B7D" w:rsidRPr="007C61D2">
        <w:rPr>
          <w:rFonts w:ascii="Garamond" w:eastAsia="Times New Roman" w:hAnsi="Garamond" w:cs="Times New Roman"/>
          <w:sz w:val="24"/>
          <w:szCs w:val="24"/>
        </w:rPr>
        <w:t>remov</w:t>
      </w:r>
      <w:r w:rsidR="0089680D">
        <w:rPr>
          <w:rFonts w:ascii="Garamond" w:eastAsia="Times New Roman" w:hAnsi="Garamond" w:cs="Times New Roman"/>
          <w:sz w:val="24"/>
          <w:szCs w:val="24"/>
        </w:rPr>
        <w:t>e</w:t>
      </w:r>
      <w:r w:rsidR="00B25B7D" w:rsidRPr="007C61D2">
        <w:rPr>
          <w:rFonts w:ascii="Garamond" w:eastAsia="Times New Roman" w:hAnsi="Garamond" w:cs="Times New Roman"/>
          <w:sz w:val="24"/>
          <w:szCs w:val="24"/>
        </w:rPr>
        <w:t xml:space="preserve"> a</w:t>
      </w:r>
      <w:r w:rsidR="007E5DF9">
        <w:rPr>
          <w:rFonts w:ascii="Garamond" w:eastAsia="Times New Roman" w:hAnsi="Garamond" w:cs="Times New Roman"/>
          <w:sz w:val="24"/>
          <w:szCs w:val="24"/>
        </w:rPr>
        <w:t>n official</w:t>
      </w:r>
      <w:r w:rsidR="00B25B7D" w:rsidRPr="007C61D2">
        <w:rPr>
          <w:rFonts w:ascii="Garamond" w:eastAsia="Times New Roman" w:hAnsi="Garamond" w:cs="Times New Roman"/>
          <w:sz w:val="24"/>
          <w:szCs w:val="24"/>
        </w:rPr>
        <w:t xml:space="preserve"> prop </w:t>
      </w:r>
      <w:r w:rsidR="0089680D">
        <w:rPr>
          <w:rFonts w:ascii="Garamond" w:eastAsia="Times New Roman" w:hAnsi="Garamond" w:cs="Times New Roman"/>
          <w:sz w:val="24"/>
          <w:szCs w:val="24"/>
        </w:rPr>
        <w:t xml:space="preserve">sustaining </w:t>
      </w:r>
      <w:r w:rsidR="00FD3BB2" w:rsidRPr="007C61D2">
        <w:rPr>
          <w:rFonts w:ascii="Garamond" w:eastAsia="Times New Roman" w:hAnsi="Garamond" w:cs="Times New Roman"/>
          <w:sz w:val="24"/>
          <w:szCs w:val="24"/>
        </w:rPr>
        <w:t xml:space="preserve">the belief that </w:t>
      </w:r>
      <w:r w:rsidR="00B25B7D" w:rsidRPr="007C61D2">
        <w:rPr>
          <w:rFonts w:ascii="Garamond" w:eastAsia="Times New Roman" w:hAnsi="Garamond" w:cs="Times New Roman"/>
          <w:sz w:val="24"/>
          <w:szCs w:val="24"/>
        </w:rPr>
        <w:t>gender (and</w:t>
      </w:r>
      <w:r w:rsidR="00404C74">
        <w:rPr>
          <w:rFonts w:ascii="Garamond" w:eastAsia="Times New Roman" w:hAnsi="Garamond" w:cs="Times New Roman"/>
          <w:sz w:val="24"/>
          <w:szCs w:val="24"/>
        </w:rPr>
        <w:t>, some would argue,</w:t>
      </w:r>
      <w:r w:rsidR="00B25B7D" w:rsidRPr="007C61D2">
        <w:rPr>
          <w:rFonts w:ascii="Garamond" w:eastAsia="Times New Roman" w:hAnsi="Garamond" w:cs="Times New Roman"/>
          <w:sz w:val="24"/>
          <w:szCs w:val="24"/>
        </w:rPr>
        <w:t xml:space="preserve"> sex) </w:t>
      </w:r>
      <w:r w:rsidR="00FD3BB2" w:rsidRPr="007C61D2">
        <w:rPr>
          <w:rFonts w:ascii="Garamond" w:eastAsia="Times New Roman" w:hAnsi="Garamond" w:cs="Times New Roman"/>
          <w:sz w:val="24"/>
          <w:szCs w:val="24"/>
        </w:rPr>
        <w:t xml:space="preserve">are intrinsic </w:t>
      </w:r>
      <w:r w:rsidR="00B25B7D" w:rsidRPr="007C61D2">
        <w:rPr>
          <w:rFonts w:ascii="Garamond" w:eastAsia="Times New Roman" w:hAnsi="Garamond" w:cs="Times New Roman"/>
          <w:sz w:val="24"/>
          <w:szCs w:val="24"/>
        </w:rPr>
        <w:t xml:space="preserve">human </w:t>
      </w:r>
      <w:r w:rsidR="00FD3BB2" w:rsidRPr="007C61D2">
        <w:rPr>
          <w:rFonts w:ascii="Garamond" w:eastAsia="Times New Roman" w:hAnsi="Garamond" w:cs="Times New Roman"/>
          <w:sz w:val="24"/>
          <w:szCs w:val="24"/>
        </w:rPr>
        <w:t xml:space="preserve">attributes </w:t>
      </w:r>
      <w:r w:rsidR="00BF4094" w:rsidRPr="007C61D2">
        <w:rPr>
          <w:rFonts w:ascii="Garamond" w:eastAsia="Times New Roman" w:hAnsi="Garamond" w:cs="Times New Roman"/>
          <w:sz w:val="24"/>
          <w:szCs w:val="24"/>
        </w:rPr>
        <w:t xml:space="preserve">rather than organising principles </w:t>
      </w:r>
      <w:r w:rsidR="00FD3BB2" w:rsidRPr="007C61D2">
        <w:rPr>
          <w:rFonts w:ascii="Garamond" w:eastAsia="Times New Roman" w:hAnsi="Garamond" w:cs="Times New Roman"/>
          <w:sz w:val="24"/>
          <w:szCs w:val="24"/>
        </w:rPr>
        <w:t xml:space="preserve">of differentiation and inequality </w:t>
      </w:r>
      <w:r w:rsidR="00BF4094" w:rsidRPr="007C61D2">
        <w:rPr>
          <w:rFonts w:ascii="Garamond" w:eastAsia="Times New Roman" w:hAnsi="Garamond" w:cs="Times New Roman"/>
          <w:sz w:val="24"/>
          <w:szCs w:val="24"/>
        </w:rPr>
        <w:t>that contribute to societalisation (see Cooper 2004; Walby 2020)</w:t>
      </w:r>
      <w:r w:rsidR="00B25B7D" w:rsidRPr="007C61D2">
        <w:rPr>
          <w:rFonts w:ascii="Garamond" w:eastAsia="Times New Roman" w:hAnsi="Garamond" w:cs="Times New Roman"/>
          <w:sz w:val="24"/>
          <w:szCs w:val="24"/>
        </w:rPr>
        <w:t xml:space="preserve">. </w:t>
      </w:r>
      <w:r w:rsidR="00B62D05" w:rsidRPr="007C61D2">
        <w:rPr>
          <w:rFonts w:ascii="Garamond" w:eastAsia="Times New Roman" w:hAnsi="Garamond" w:cs="Times New Roman"/>
          <w:sz w:val="24"/>
          <w:szCs w:val="24"/>
        </w:rPr>
        <w:t xml:space="preserve">If decertification, then, has feminist benefits, what responses can be offered to the feminist concerns identified?  How might the informalisation of sex/ gender </w:t>
      </w:r>
      <w:r w:rsidR="00BF4094" w:rsidRPr="007C61D2">
        <w:rPr>
          <w:rFonts w:ascii="Garamond" w:eastAsia="Times New Roman" w:hAnsi="Garamond" w:cs="Times New Roman"/>
          <w:sz w:val="24"/>
          <w:szCs w:val="24"/>
        </w:rPr>
        <w:t>operate</w:t>
      </w:r>
      <w:r w:rsidR="00B62D05" w:rsidRPr="007C61D2">
        <w:rPr>
          <w:rFonts w:ascii="Garamond" w:eastAsia="Times New Roman" w:hAnsi="Garamond" w:cs="Times New Roman"/>
          <w:sz w:val="24"/>
          <w:szCs w:val="24"/>
        </w:rPr>
        <w:t xml:space="preserve"> without generating violence, unfairness, or ineffectual public policy?</w:t>
      </w:r>
    </w:p>
    <w:p w14:paraId="33099760" w14:textId="733F0539" w:rsidR="00B4699C" w:rsidRPr="007C61D2" w:rsidRDefault="00B25B7D"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In this section we consider </w:t>
      </w:r>
      <w:r w:rsidR="0025438A" w:rsidRPr="007C61D2">
        <w:rPr>
          <w:rFonts w:ascii="Garamond" w:eastAsia="Times New Roman" w:hAnsi="Garamond" w:cs="Times New Roman"/>
          <w:sz w:val="24"/>
          <w:szCs w:val="24"/>
        </w:rPr>
        <w:t xml:space="preserve">some </w:t>
      </w:r>
      <w:r w:rsidR="00674C4C" w:rsidRPr="007C61D2">
        <w:rPr>
          <w:rFonts w:ascii="Garamond" w:eastAsia="Times New Roman" w:hAnsi="Garamond" w:cs="Times New Roman"/>
          <w:sz w:val="24"/>
          <w:szCs w:val="24"/>
        </w:rPr>
        <w:t xml:space="preserve">responses </w:t>
      </w:r>
      <w:r w:rsidR="00FD3BB2" w:rsidRPr="007C61D2">
        <w:rPr>
          <w:rFonts w:ascii="Garamond" w:eastAsia="Times New Roman" w:hAnsi="Garamond" w:cs="Times New Roman"/>
          <w:sz w:val="24"/>
          <w:szCs w:val="24"/>
        </w:rPr>
        <w:t xml:space="preserve">that have been introduced or proposed to tackle </w:t>
      </w:r>
      <w:r w:rsidR="00331A4B" w:rsidRPr="007C61D2">
        <w:rPr>
          <w:rFonts w:ascii="Garamond" w:eastAsia="Times New Roman" w:hAnsi="Garamond" w:cs="Times New Roman"/>
          <w:sz w:val="24"/>
          <w:szCs w:val="24"/>
        </w:rPr>
        <w:t xml:space="preserve">the </w:t>
      </w:r>
      <w:r w:rsidR="006648D4" w:rsidRPr="007C61D2">
        <w:rPr>
          <w:rFonts w:ascii="Garamond" w:eastAsia="Times New Roman" w:hAnsi="Garamond" w:cs="Times New Roman"/>
          <w:sz w:val="24"/>
          <w:szCs w:val="24"/>
        </w:rPr>
        <w:t xml:space="preserve">challenges </w:t>
      </w:r>
      <w:r w:rsidR="00FD3BB2" w:rsidRPr="007C61D2">
        <w:rPr>
          <w:rFonts w:ascii="Garamond" w:eastAsia="Times New Roman" w:hAnsi="Garamond" w:cs="Times New Roman"/>
          <w:sz w:val="24"/>
          <w:szCs w:val="24"/>
        </w:rPr>
        <w:t xml:space="preserve">associated with </w:t>
      </w:r>
      <w:r w:rsidRPr="007C61D2">
        <w:rPr>
          <w:rFonts w:ascii="Garamond" w:eastAsia="Times New Roman" w:hAnsi="Garamond" w:cs="Times New Roman"/>
          <w:sz w:val="24"/>
          <w:szCs w:val="24"/>
        </w:rPr>
        <w:t xml:space="preserve">gender’s informalisation. </w:t>
      </w:r>
      <w:r w:rsidR="00674C4C" w:rsidRPr="007C61D2">
        <w:rPr>
          <w:rFonts w:ascii="Garamond" w:eastAsia="Times New Roman" w:hAnsi="Garamond" w:cs="Times New Roman"/>
          <w:sz w:val="24"/>
          <w:szCs w:val="24"/>
        </w:rPr>
        <w:t xml:space="preserve"> </w:t>
      </w:r>
      <w:r w:rsidR="00B62D05" w:rsidRPr="007C61D2">
        <w:rPr>
          <w:rFonts w:ascii="Garamond" w:eastAsia="Times New Roman" w:hAnsi="Garamond" w:cs="Times New Roman"/>
          <w:sz w:val="24"/>
          <w:szCs w:val="24"/>
        </w:rPr>
        <w:t xml:space="preserve">We do </w:t>
      </w:r>
      <w:r w:rsidR="0025438A" w:rsidRPr="007C61D2">
        <w:rPr>
          <w:rFonts w:ascii="Garamond" w:eastAsia="Times New Roman" w:hAnsi="Garamond" w:cs="Times New Roman"/>
          <w:sz w:val="24"/>
          <w:szCs w:val="24"/>
        </w:rPr>
        <w:t xml:space="preserve">so </w:t>
      </w:r>
      <w:r w:rsidR="00B62D05" w:rsidRPr="007C61D2">
        <w:rPr>
          <w:rFonts w:ascii="Garamond" w:eastAsia="Times New Roman" w:hAnsi="Garamond" w:cs="Times New Roman"/>
          <w:sz w:val="24"/>
          <w:szCs w:val="24"/>
        </w:rPr>
        <w:t xml:space="preserve">in two parts. First, we consider </w:t>
      </w:r>
      <w:r w:rsidR="006648D4" w:rsidRPr="007C61D2">
        <w:rPr>
          <w:rFonts w:ascii="Garamond" w:eastAsia="Times New Roman" w:hAnsi="Garamond" w:cs="Times New Roman"/>
          <w:sz w:val="24"/>
          <w:szCs w:val="24"/>
        </w:rPr>
        <w:t xml:space="preserve">governance </w:t>
      </w:r>
      <w:r w:rsidR="00B62D05" w:rsidRPr="007C61D2">
        <w:rPr>
          <w:rFonts w:ascii="Garamond" w:eastAsia="Times New Roman" w:hAnsi="Garamond" w:cs="Times New Roman"/>
          <w:sz w:val="24"/>
          <w:szCs w:val="24"/>
        </w:rPr>
        <w:t>strategies</w:t>
      </w:r>
      <w:r w:rsidR="006C0DF4" w:rsidRPr="007C61D2">
        <w:rPr>
          <w:rFonts w:ascii="Garamond" w:eastAsia="Times New Roman" w:hAnsi="Garamond" w:cs="Times New Roman"/>
          <w:sz w:val="24"/>
          <w:szCs w:val="24"/>
        </w:rPr>
        <w:t xml:space="preserve"> for dealing with the dangers and risks associated with looser or weaker sex/ gender boundaries. </w:t>
      </w:r>
      <w:r w:rsidR="005F47C8" w:rsidRPr="007C61D2">
        <w:rPr>
          <w:rFonts w:ascii="Garamond" w:eastAsia="Times New Roman" w:hAnsi="Garamond" w:cs="Times New Roman"/>
          <w:sz w:val="24"/>
          <w:szCs w:val="24"/>
        </w:rPr>
        <w:t xml:space="preserve">These strategic responses are </w:t>
      </w:r>
      <w:r w:rsidR="00174D1B" w:rsidRPr="007C61D2">
        <w:rPr>
          <w:rFonts w:ascii="Garamond" w:eastAsia="Times New Roman" w:hAnsi="Garamond" w:cs="Times New Roman"/>
          <w:sz w:val="24"/>
          <w:szCs w:val="24"/>
        </w:rPr>
        <w:t xml:space="preserve">sometimes </w:t>
      </w:r>
      <w:r w:rsidR="005F47C8" w:rsidRPr="007C61D2">
        <w:rPr>
          <w:rFonts w:ascii="Garamond" w:eastAsia="Times New Roman" w:hAnsi="Garamond" w:cs="Times New Roman"/>
          <w:sz w:val="24"/>
          <w:szCs w:val="24"/>
        </w:rPr>
        <w:t>cited</w:t>
      </w:r>
      <w:r w:rsidR="00FD5462" w:rsidRPr="007C61D2">
        <w:rPr>
          <w:rFonts w:ascii="Garamond" w:eastAsia="Times New Roman" w:hAnsi="Garamond" w:cs="Times New Roman"/>
          <w:sz w:val="24"/>
          <w:szCs w:val="24"/>
        </w:rPr>
        <w:t xml:space="preserve"> by advocates of</w:t>
      </w:r>
      <w:r w:rsidR="00174D1B" w:rsidRPr="007C61D2">
        <w:rPr>
          <w:rFonts w:ascii="Garamond" w:eastAsia="Times New Roman" w:hAnsi="Garamond" w:cs="Times New Roman"/>
          <w:sz w:val="24"/>
          <w:szCs w:val="24"/>
        </w:rPr>
        <w:t xml:space="preserve"> self-determination</w:t>
      </w:r>
      <w:r w:rsidR="00FD5462" w:rsidRPr="007C61D2">
        <w:rPr>
          <w:rFonts w:ascii="Garamond" w:eastAsia="Times New Roman" w:hAnsi="Garamond" w:cs="Times New Roman"/>
          <w:sz w:val="24"/>
          <w:szCs w:val="24"/>
        </w:rPr>
        <w:t>; h</w:t>
      </w:r>
      <w:r w:rsidR="005F47C8" w:rsidRPr="007C61D2">
        <w:rPr>
          <w:rFonts w:ascii="Garamond" w:eastAsia="Times New Roman" w:hAnsi="Garamond" w:cs="Times New Roman"/>
          <w:sz w:val="24"/>
          <w:szCs w:val="24"/>
        </w:rPr>
        <w:t xml:space="preserve">owever, they have received little systematic attention </w:t>
      </w:r>
      <w:r w:rsidR="00917A63" w:rsidRPr="007C61D2">
        <w:rPr>
          <w:rFonts w:ascii="Garamond" w:eastAsia="Times New Roman" w:hAnsi="Garamond" w:cs="Times New Roman"/>
          <w:sz w:val="24"/>
          <w:szCs w:val="24"/>
        </w:rPr>
        <w:t>–</w:t>
      </w:r>
      <w:r w:rsidR="008E09F1">
        <w:rPr>
          <w:rFonts w:ascii="Garamond" w:eastAsia="Times New Roman" w:hAnsi="Garamond" w:cs="Times New Roman"/>
          <w:sz w:val="24"/>
          <w:szCs w:val="24"/>
        </w:rPr>
        <w:t xml:space="preserve"> </w:t>
      </w:r>
      <w:r w:rsidR="005F47C8" w:rsidRPr="007C61D2">
        <w:rPr>
          <w:rFonts w:ascii="Garamond" w:eastAsia="Times New Roman" w:hAnsi="Garamond" w:cs="Times New Roman"/>
          <w:sz w:val="24"/>
          <w:szCs w:val="24"/>
        </w:rPr>
        <w:t xml:space="preserve">or critique </w:t>
      </w:r>
      <w:r w:rsidR="00917A63" w:rsidRPr="007C61D2">
        <w:rPr>
          <w:rFonts w:ascii="Garamond" w:eastAsia="Times New Roman" w:hAnsi="Garamond" w:cs="Times New Roman"/>
          <w:sz w:val="24"/>
          <w:szCs w:val="24"/>
        </w:rPr>
        <w:t>–</w:t>
      </w:r>
      <w:r w:rsidR="008E09F1">
        <w:rPr>
          <w:rFonts w:ascii="Garamond" w:eastAsia="Times New Roman" w:hAnsi="Garamond" w:cs="Times New Roman"/>
          <w:sz w:val="24"/>
          <w:szCs w:val="24"/>
        </w:rPr>
        <w:t xml:space="preserve"> </w:t>
      </w:r>
      <w:r w:rsidR="005F47C8" w:rsidRPr="007C61D2">
        <w:rPr>
          <w:rFonts w:ascii="Garamond" w:eastAsia="Times New Roman" w:hAnsi="Garamond" w:cs="Times New Roman"/>
          <w:sz w:val="24"/>
          <w:szCs w:val="24"/>
        </w:rPr>
        <w:t xml:space="preserve">in this context. </w:t>
      </w:r>
      <w:r w:rsidR="00B4699C" w:rsidRPr="007C61D2">
        <w:rPr>
          <w:rFonts w:ascii="Garamond" w:eastAsia="Times New Roman" w:hAnsi="Garamond" w:cs="Times New Roman"/>
          <w:sz w:val="24"/>
          <w:szCs w:val="24"/>
        </w:rPr>
        <w:t xml:space="preserve">We then turn to </w:t>
      </w:r>
      <w:r w:rsidR="006648D4" w:rsidRPr="007C61D2">
        <w:rPr>
          <w:rFonts w:ascii="Garamond" w:eastAsia="Times New Roman" w:hAnsi="Garamond" w:cs="Times New Roman"/>
          <w:sz w:val="24"/>
          <w:szCs w:val="24"/>
        </w:rPr>
        <w:t xml:space="preserve">a set of responses that </w:t>
      </w:r>
      <w:r w:rsidR="00D70EF3" w:rsidRPr="007C61D2">
        <w:rPr>
          <w:rFonts w:ascii="Garamond" w:eastAsia="Times New Roman" w:hAnsi="Garamond" w:cs="Times New Roman"/>
          <w:sz w:val="24"/>
          <w:szCs w:val="24"/>
        </w:rPr>
        <w:t xml:space="preserve">use the challenge of decertification, politically, to question </w:t>
      </w:r>
      <w:r w:rsidR="00D70EF3" w:rsidRPr="007C61D2">
        <w:rPr>
          <w:rFonts w:ascii="Garamond" w:eastAsia="Times New Roman" w:hAnsi="Garamond" w:cs="Times New Roman"/>
          <w:sz w:val="24"/>
          <w:szCs w:val="24"/>
        </w:rPr>
        <w:lastRenderedPageBreak/>
        <w:t xml:space="preserve">and unsettle different kinds of ordering arrangement – from elite sports to political representation. In this discussion, we orient this unsettling </w:t>
      </w:r>
      <w:r w:rsidR="00B4699C" w:rsidRPr="007C61D2">
        <w:rPr>
          <w:rFonts w:ascii="Garamond" w:eastAsia="Times New Roman" w:hAnsi="Garamond" w:cs="Times New Roman"/>
          <w:sz w:val="24"/>
          <w:szCs w:val="24"/>
        </w:rPr>
        <w:t>to</w:t>
      </w:r>
      <w:r w:rsidR="00D70EF3" w:rsidRPr="007C61D2">
        <w:rPr>
          <w:rFonts w:ascii="Garamond" w:eastAsia="Times New Roman" w:hAnsi="Garamond" w:cs="Times New Roman"/>
          <w:sz w:val="24"/>
          <w:szCs w:val="24"/>
        </w:rPr>
        <w:t>wards</w:t>
      </w:r>
      <w:r w:rsidR="00B4699C" w:rsidRPr="007C61D2">
        <w:rPr>
          <w:rFonts w:ascii="Garamond" w:eastAsia="Times New Roman" w:hAnsi="Garamond" w:cs="Times New Roman"/>
          <w:sz w:val="24"/>
          <w:szCs w:val="24"/>
        </w:rPr>
        <w:t xml:space="preserve"> a progressive transformative politics that cannot be </w:t>
      </w:r>
      <w:r w:rsidR="004B5EB5" w:rsidRPr="007C61D2">
        <w:rPr>
          <w:rFonts w:ascii="Garamond" w:eastAsia="Times New Roman" w:hAnsi="Garamond" w:cs="Times New Roman"/>
          <w:sz w:val="24"/>
          <w:szCs w:val="24"/>
        </w:rPr>
        <w:t>split</w:t>
      </w:r>
      <w:r w:rsidR="00B4699C" w:rsidRPr="007C61D2">
        <w:rPr>
          <w:rFonts w:ascii="Garamond" w:eastAsia="Times New Roman" w:hAnsi="Garamond" w:cs="Times New Roman"/>
          <w:sz w:val="24"/>
          <w:szCs w:val="24"/>
        </w:rPr>
        <w:t xml:space="preserve"> into discrete strips – in which gender sits neatly alongside other relations of inequality.</w:t>
      </w:r>
    </w:p>
    <w:p w14:paraId="16333684" w14:textId="0EE3E193" w:rsidR="005F47C8" w:rsidRPr="007C61D2" w:rsidRDefault="0082351F" w:rsidP="00654B6E">
      <w:pPr>
        <w:pStyle w:val="Heading3"/>
        <w:spacing w:after="120"/>
      </w:pPr>
      <w:r w:rsidRPr="007C61D2">
        <w:t xml:space="preserve">Governance strategies for managing weaker sex/ gender boundaries </w:t>
      </w:r>
    </w:p>
    <w:p w14:paraId="369A6622" w14:textId="124854C0" w:rsidR="007E5DF9" w:rsidRPr="007C61D2" w:rsidRDefault="00883052" w:rsidP="00AB322D">
      <w:pPr>
        <w:spacing w:before="240" w:after="120" w:line="360" w:lineRule="auto"/>
        <w:rPr>
          <w:rFonts w:ascii="Garamond" w:eastAsia="Times New Roman" w:hAnsi="Garamond" w:cs="Times New Roman"/>
          <w:sz w:val="24"/>
          <w:szCs w:val="24"/>
        </w:rPr>
      </w:pPr>
      <w:bookmarkStart w:id="7" w:name="_Hlk48675722"/>
      <w:r w:rsidRPr="007C61D2">
        <w:rPr>
          <w:rFonts w:ascii="Garamond" w:eastAsia="Times New Roman" w:hAnsi="Garamond" w:cs="Times New Roman"/>
          <w:sz w:val="24"/>
          <w:szCs w:val="24"/>
        </w:rPr>
        <w:t>We start with p</w:t>
      </w:r>
      <w:r w:rsidR="00300542" w:rsidRPr="007C61D2">
        <w:rPr>
          <w:rFonts w:ascii="Garamond" w:eastAsia="Times New Roman" w:hAnsi="Garamond" w:cs="Times New Roman"/>
          <w:sz w:val="24"/>
          <w:szCs w:val="24"/>
        </w:rPr>
        <w:t xml:space="preserve">rivacy </w:t>
      </w:r>
      <w:r w:rsidR="00917A63"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 rationality </w:t>
      </w:r>
      <w:bookmarkEnd w:id="7"/>
      <w:r w:rsidRPr="007C61D2">
        <w:rPr>
          <w:rFonts w:ascii="Garamond" w:eastAsia="Times New Roman" w:hAnsi="Garamond" w:cs="Times New Roman"/>
          <w:sz w:val="24"/>
          <w:szCs w:val="24"/>
        </w:rPr>
        <w:t xml:space="preserve">and technique </w:t>
      </w:r>
      <w:r w:rsidR="00174D1B" w:rsidRPr="007C61D2">
        <w:rPr>
          <w:rFonts w:ascii="Garamond" w:eastAsia="Times New Roman" w:hAnsi="Garamond" w:cs="Times New Roman"/>
          <w:sz w:val="24"/>
          <w:szCs w:val="24"/>
        </w:rPr>
        <w:t xml:space="preserve">routinely invoked </w:t>
      </w:r>
      <w:r w:rsidRPr="007C61D2">
        <w:rPr>
          <w:rFonts w:ascii="Garamond" w:eastAsia="Times New Roman" w:hAnsi="Garamond" w:cs="Times New Roman"/>
          <w:sz w:val="24"/>
          <w:szCs w:val="24"/>
        </w:rPr>
        <w:t xml:space="preserve">by those who </w:t>
      </w:r>
      <w:r w:rsidR="00674C4C" w:rsidRPr="007C61D2">
        <w:rPr>
          <w:rFonts w:ascii="Garamond" w:eastAsia="Times New Roman" w:hAnsi="Garamond" w:cs="Times New Roman"/>
          <w:sz w:val="24"/>
          <w:szCs w:val="24"/>
        </w:rPr>
        <w:t xml:space="preserve">suggest </w:t>
      </w:r>
      <w:r w:rsidR="00300542" w:rsidRPr="007C61D2">
        <w:rPr>
          <w:rFonts w:ascii="Garamond" w:eastAsia="Times New Roman" w:hAnsi="Garamond" w:cs="Times New Roman"/>
          <w:sz w:val="24"/>
          <w:szCs w:val="24"/>
        </w:rPr>
        <w:t>that physical design can manage the proximity of bodies with different genitalia</w:t>
      </w:r>
      <w:r w:rsidR="0066136E" w:rsidRPr="007C61D2">
        <w:rPr>
          <w:rFonts w:ascii="Garamond" w:eastAsia="Times New Roman" w:hAnsi="Garamond" w:cs="Times New Roman"/>
          <w:sz w:val="24"/>
          <w:szCs w:val="24"/>
        </w:rPr>
        <w:t xml:space="preserve"> </w:t>
      </w:r>
      <w:r w:rsidR="00073535" w:rsidRPr="007C61D2">
        <w:rPr>
          <w:rFonts w:ascii="Garamond" w:eastAsia="Times New Roman" w:hAnsi="Garamond" w:cs="Times New Roman"/>
          <w:sz w:val="24"/>
          <w:szCs w:val="24"/>
        </w:rPr>
        <w:t xml:space="preserve">(regardless of sex/ gender identity) </w:t>
      </w:r>
      <w:r w:rsidR="0066136E" w:rsidRPr="007C61D2">
        <w:rPr>
          <w:rFonts w:ascii="Garamond" w:eastAsia="Times New Roman" w:hAnsi="Garamond" w:cs="Times New Roman"/>
          <w:sz w:val="24"/>
          <w:szCs w:val="24"/>
        </w:rPr>
        <w:t>in t</w:t>
      </w:r>
      <w:r w:rsidR="00300542" w:rsidRPr="007C61D2">
        <w:rPr>
          <w:rFonts w:ascii="Garamond" w:eastAsia="Times New Roman" w:hAnsi="Garamond" w:cs="Times New Roman"/>
          <w:sz w:val="24"/>
          <w:szCs w:val="24"/>
        </w:rPr>
        <w:t>oilet cubicles, changing rooms and</w:t>
      </w:r>
      <w:r w:rsidR="0066136E" w:rsidRPr="007C61D2">
        <w:rPr>
          <w:rFonts w:ascii="Garamond" w:eastAsia="Times New Roman" w:hAnsi="Garamond" w:cs="Times New Roman"/>
          <w:sz w:val="24"/>
          <w:szCs w:val="24"/>
        </w:rPr>
        <w:t>,</w:t>
      </w:r>
      <w:r w:rsidR="00300542" w:rsidRPr="007C61D2">
        <w:rPr>
          <w:rFonts w:ascii="Garamond" w:eastAsia="Times New Roman" w:hAnsi="Garamond" w:cs="Times New Roman"/>
          <w:sz w:val="24"/>
          <w:szCs w:val="24"/>
        </w:rPr>
        <w:t xml:space="preserve"> to a lesser degree</w:t>
      </w:r>
      <w:r w:rsidR="0066136E" w:rsidRPr="007C61D2">
        <w:rPr>
          <w:rFonts w:ascii="Garamond" w:eastAsia="Times New Roman" w:hAnsi="Garamond" w:cs="Times New Roman"/>
          <w:sz w:val="24"/>
          <w:szCs w:val="24"/>
        </w:rPr>
        <w:t>,</w:t>
      </w:r>
      <w:r w:rsidR="00300542" w:rsidRPr="007C61D2">
        <w:rPr>
          <w:rFonts w:ascii="Garamond" w:eastAsia="Times New Roman" w:hAnsi="Garamond" w:cs="Times New Roman"/>
          <w:sz w:val="24"/>
          <w:szCs w:val="24"/>
        </w:rPr>
        <w:t xml:space="preserve"> hostel and hospital wards.</w:t>
      </w:r>
      <w:r w:rsidR="00D4087F" w:rsidRPr="007C61D2">
        <w:rPr>
          <w:rStyle w:val="FootnoteReference"/>
          <w:rFonts w:ascii="Garamond" w:eastAsia="Times New Roman" w:hAnsi="Garamond" w:cs="Times New Roman"/>
          <w:sz w:val="24"/>
          <w:szCs w:val="24"/>
        </w:rPr>
        <w:footnoteReference w:id="33"/>
      </w:r>
      <w:r w:rsidR="00300542" w:rsidRPr="007C61D2">
        <w:rPr>
          <w:rFonts w:ascii="Garamond" w:eastAsia="Times New Roman" w:hAnsi="Garamond" w:cs="Times New Roman"/>
          <w:sz w:val="24"/>
          <w:szCs w:val="24"/>
        </w:rPr>
        <w:t xml:space="preserve"> </w:t>
      </w:r>
      <w:r w:rsidR="00174D1B" w:rsidRPr="007C61D2">
        <w:rPr>
          <w:rFonts w:ascii="Garamond" w:eastAsia="Times New Roman" w:hAnsi="Garamond" w:cs="Times New Roman"/>
          <w:sz w:val="24"/>
          <w:szCs w:val="24"/>
        </w:rPr>
        <w:t>Here,</w:t>
      </w:r>
      <w:r w:rsidR="00300542"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privacy </w:t>
      </w:r>
      <w:r w:rsidR="00174D1B" w:rsidRPr="007C61D2">
        <w:rPr>
          <w:rFonts w:ascii="Garamond" w:eastAsia="Times New Roman" w:hAnsi="Garamond" w:cs="Times New Roman"/>
          <w:sz w:val="24"/>
          <w:szCs w:val="24"/>
        </w:rPr>
        <w:t xml:space="preserve">design </w:t>
      </w:r>
      <w:r w:rsidRPr="007C61D2">
        <w:rPr>
          <w:rFonts w:ascii="Garamond" w:eastAsia="Times New Roman" w:hAnsi="Garamond" w:cs="Times New Roman"/>
          <w:sz w:val="24"/>
          <w:szCs w:val="24"/>
        </w:rPr>
        <w:t xml:space="preserve">becomes a solution to the </w:t>
      </w:r>
      <w:r w:rsidR="00174D1B" w:rsidRPr="007C61D2">
        <w:rPr>
          <w:rFonts w:ascii="Garamond" w:eastAsia="Times New Roman" w:hAnsi="Garamond" w:cs="Times New Roman"/>
          <w:sz w:val="24"/>
          <w:szCs w:val="24"/>
        </w:rPr>
        <w:t xml:space="preserve">threat </w:t>
      </w:r>
      <w:r w:rsidRPr="007C61D2">
        <w:rPr>
          <w:rFonts w:ascii="Garamond" w:eastAsia="Times New Roman" w:hAnsi="Garamond" w:cs="Times New Roman"/>
          <w:sz w:val="24"/>
          <w:szCs w:val="24"/>
        </w:rPr>
        <w:t xml:space="preserve">of </w:t>
      </w:r>
      <w:r w:rsidR="00174D1B" w:rsidRPr="007C61D2">
        <w:rPr>
          <w:rFonts w:ascii="Garamond" w:eastAsia="Times New Roman" w:hAnsi="Garamond" w:cs="Times New Roman"/>
          <w:sz w:val="24"/>
          <w:szCs w:val="24"/>
        </w:rPr>
        <w:t xml:space="preserve">intrusion in contexts where people </w:t>
      </w:r>
      <w:r w:rsidR="0025438A" w:rsidRPr="007C61D2">
        <w:rPr>
          <w:rFonts w:ascii="Garamond" w:eastAsia="Times New Roman" w:hAnsi="Garamond" w:cs="Times New Roman"/>
          <w:sz w:val="24"/>
          <w:szCs w:val="24"/>
        </w:rPr>
        <w:t xml:space="preserve">are </w:t>
      </w:r>
      <w:r w:rsidR="00300542" w:rsidRPr="007C61D2">
        <w:rPr>
          <w:rFonts w:ascii="Garamond" w:eastAsia="Times New Roman" w:hAnsi="Garamond" w:cs="Times New Roman"/>
          <w:sz w:val="24"/>
          <w:szCs w:val="24"/>
        </w:rPr>
        <w:t xml:space="preserve">undressing or </w:t>
      </w:r>
      <w:r w:rsidR="00163B28" w:rsidRPr="007C61D2">
        <w:rPr>
          <w:rFonts w:ascii="Garamond" w:eastAsia="Times New Roman" w:hAnsi="Garamond" w:cs="Times New Roman"/>
          <w:sz w:val="24"/>
          <w:szCs w:val="24"/>
        </w:rPr>
        <w:t xml:space="preserve">undertaking </w:t>
      </w:r>
      <w:r w:rsidR="00300542" w:rsidRPr="007C61D2">
        <w:rPr>
          <w:rFonts w:ascii="Garamond" w:eastAsia="Times New Roman" w:hAnsi="Garamond" w:cs="Times New Roman"/>
          <w:sz w:val="24"/>
          <w:szCs w:val="24"/>
        </w:rPr>
        <w:t>intimate bodily functions.</w:t>
      </w:r>
      <w:r w:rsidR="006A6E88" w:rsidRPr="007C61D2">
        <w:rPr>
          <w:rStyle w:val="FootnoteReference"/>
          <w:rFonts w:ascii="Garamond" w:eastAsia="Times New Roman" w:hAnsi="Garamond" w:cs="Times New Roman"/>
          <w:sz w:val="24"/>
          <w:szCs w:val="24"/>
        </w:rPr>
        <w:footnoteReference w:id="34"/>
      </w:r>
      <w:r w:rsidR="00300542" w:rsidRPr="007C61D2">
        <w:rPr>
          <w:rFonts w:ascii="Garamond" w:eastAsia="Times New Roman" w:hAnsi="Garamond" w:cs="Times New Roman"/>
          <w:sz w:val="24"/>
          <w:szCs w:val="24"/>
        </w:rPr>
        <w:t xml:space="preserve"> </w:t>
      </w:r>
      <w:r w:rsidR="00B4699C" w:rsidRPr="007C61D2">
        <w:rPr>
          <w:rFonts w:ascii="Garamond" w:eastAsia="Times New Roman" w:hAnsi="Garamond" w:cs="Times New Roman"/>
          <w:sz w:val="24"/>
          <w:szCs w:val="24"/>
        </w:rPr>
        <w:t xml:space="preserve">Yet, </w:t>
      </w:r>
      <w:r w:rsidR="007E5DF9">
        <w:rPr>
          <w:rFonts w:ascii="Garamond" w:eastAsia="Times New Roman" w:hAnsi="Garamond" w:cs="Times New Roman"/>
          <w:sz w:val="24"/>
          <w:szCs w:val="24"/>
        </w:rPr>
        <w:t xml:space="preserve">it is a </w:t>
      </w:r>
      <w:r w:rsidR="00B4699C" w:rsidRPr="007C61D2">
        <w:rPr>
          <w:rFonts w:ascii="Garamond" w:eastAsia="Times New Roman" w:hAnsi="Garamond" w:cs="Times New Roman"/>
          <w:sz w:val="24"/>
          <w:szCs w:val="24"/>
        </w:rPr>
        <w:t xml:space="preserve">solution </w:t>
      </w:r>
      <w:r w:rsidR="007E5DF9" w:rsidRPr="007C61D2">
        <w:rPr>
          <w:rFonts w:ascii="Garamond" w:eastAsia="Times New Roman" w:hAnsi="Garamond" w:cs="Times New Roman"/>
          <w:sz w:val="24"/>
          <w:szCs w:val="24"/>
        </w:rPr>
        <w:t xml:space="preserve">that has also generated concerns. One interviewee remarked, </w:t>
      </w:r>
    </w:p>
    <w:p w14:paraId="5C4D03C9" w14:textId="77777777" w:rsidR="007E5DF9" w:rsidRPr="007C61D2" w:rsidRDefault="007E5DF9" w:rsidP="007E5DF9">
      <w:pPr>
        <w:spacing w:before="120" w:after="120" w:line="360" w:lineRule="auto"/>
        <w:ind w:left="567" w:right="567"/>
        <w:rPr>
          <w:rFonts w:ascii="Garamond" w:eastAsia="Times New Roman" w:hAnsi="Garamond" w:cs="Times New Roman"/>
          <w:sz w:val="24"/>
          <w:szCs w:val="24"/>
        </w:rPr>
      </w:pPr>
      <w:r w:rsidRPr="007C61D2">
        <w:rPr>
          <w:rFonts w:ascii="Garamond" w:eastAsia="Times New Roman" w:hAnsi="Garamond" w:cs="Times New Roman"/>
          <w:sz w:val="24"/>
          <w:szCs w:val="24"/>
        </w:rPr>
        <w:t>“My local swimming centre is moving from having separate cubicles to having a changing village. They were having a display about it and I was talking to one of the guys and I said … I am a bit worried, because in [town/city],</w:t>
      </w:r>
      <w:r w:rsidRPr="007C61D2">
        <w:rPr>
          <w:rStyle w:val="FootnoteReference"/>
          <w:rFonts w:ascii="Garamond" w:eastAsia="Times New Roman" w:hAnsi="Garamond" w:cs="Times New Roman"/>
          <w:sz w:val="24"/>
          <w:szCs w:val="24"/>
        </w:rPr>
        <w:footnoteReference w:id="35"/>
      </w:r>
      <w:r w:rsidRPr="007C61D2">
        <w:rPr>
          <w:rFonts w:ascii="Garamond" w:eastAsia="Times New Roman" w:hAnsi="Garamond" w:cs="Times New Roman"/>
          <w:sz w:val="24"/>
          <w:szCs w:val="24"/>
        </w:rPr>
        <w:t xml:space="preserve"> …the teenage boys pull themselves up over the edge and it's really intimidating.  … They said, oh no, and then went through that the walls are floor to ceiling … [and] made of drill-proof material.”  </w:t>
      </w:r>
    </w:p>
    <w:p w14:paraId="3EC229D7" w14:textId="13777D87" w:rsidR="00167821" w:rsidRPr="007C61D2" w:rsidRDefault="007E5DF9">
      <w:pPr>
        <w:spacing w:before="120" w:after="120" w:line="360" w:lineRule="auto"/>
        <w:rPr>
          <w:rFonts w:ascii="Garamond" w:eastAsia="Times New Roman" w:hAnsi="Garamond" w:cs="Times New Roman"/>
          <w:sz w:val="24"/>
          <w:szCs w:val="24"/>
        </w:rPr>
      </w:pPr>
      <w:r>
        <w:rPr>
          <w:rFonts w:ascii="Garamond" w:eastAsia="Times New Roman" w:hAnsi="Garamond" w:cs="Times New Roman"/>
          <w:sz w:val="24"/>
          <w:szCs w:val="24"/>
        </w:rPr>
        <w:t>T</w:t>
      </w:r>
      <w:r w:rsidR="00A427E7" w:rsidRPr="007C61D2">
        <w:rPr>
          <w:rFonts w:ascii="Garamond" w:eastAsia="Times New Roman" w:hAnsi="Garamond" w:cs="Times New Roman"/>
          <w:sz w:val="24"/>
          <w:szCs w:val="24"/>
        </w:rPr>
        <w:t xml:space="preserve">he concerns of </w:t>
      </w:r>
      <w:r>
        <w:rPr>
          <w:rFonts w:ascii="Garamond" w:eastAsia="Times New Roman" w:hAnsi="Garamond" w:cs="Times New Roman"/>
          <w:sz w:val="24"/>
          <w:szCs w:val="24"/>
        </w:rPr>
        <w:t xml:space="preserve">this </w:t>
      </w:r>
      <w:r w:rsidR="00A427E7" w:rsidRPr="007C61D2">
        <w:rPr>
          <w:rFonts w:ascii="Garamond" w:eastAsia="Times New Roman" w:hAnsi="Garamond" w:cs="Times New Roman"/>
          <w:sz w:val="24"/>
          <w:szCs w:val="24"/>
        </w:rPr>
        <w:t>interviewee</w:t>
      </w:r>
      <w:r>
        <w:rPr>
          <w:rFonts w:ascii="Garamond" w:eastAsia="Times New Roman" w:hAnsi="Garamond" w:cs="Times New Roman"/>
          <w:sz w:val="24"/>
          <w:szCs w:val="24"/>
        </w:rPr>
        <w:t xml:space="preserve"> indicate </w:t>
      </w:r>
      <w:r w:rsidR="00A427E7" w:rsidRPr="007C61D2">
        <w:rPr>
          <w:rFonts w:ascii="Garamond" w:eastAsia="Times New Roman" w:hAnsi="Garamond" w:cs="Times New Roman"/>
          <w:sz w:val="24"/>
          <w:szCs w:val="24"/>
        </w:rPr>
        <w:t xml:space="preserve">how moves to </w:t>
      </w:r>
      <w:r w:rsidR="003F7225">
        <w:rPr>
          <w:rFonts w:ascii="Garamond" w:eastAsia="Times New Roman" w:hAnsi="Garamond" w:cs="Times New Roman"/>
          <w:sz w:val="24"/>
          <w:szCs w:val="24"/>
        </w:rPr>
        <w:t xml:space="preserve">achieve </w:t>
      </w:r>
      <w:r w:rsidR="00A427E7" w:rsidRPr="007C61D2">
        <w:rPr>
          <w:rFonts w:ascii="Garamond" w:eastAsia="Times New Roman" w:hAnsi="Garamond" w:cs="Times New Roman"/>
          <w:sz w:val="24"/>
          <w:szCs w:val="24"/>
        </w:rPr>
        <w:t xml:space="preserve">privacy through walls </w:t>
      </w:r>
      <w:r w:rsidR="004565A7">
        <w:rPr>
          <w:rFonts w:ascii="Garamond" w:eastAsia="Times New Roman" w:hAnsi="Garamond" w:cs="Times New Roman"/>
          <w:sz w:val="24"/>
          <w:szCs w:val="24"/>
        </w:rPr>
        <w:t xml:space="preserve">can </w:t>
      </w:r>
      <w:r w:rsidR="00A427E7" w:rsidRPr="007C61D2">
        <w:rPr>
          <w:rFonts w:ascii="Garamond" w:eastAsia="Times New Roman" w:hAnsi="Garamond" w:cs="Times New Roman"/>
          <w:sz w:val="24"/>
          <w:szCs w:val="24"/>
        </w:rPr>
        <w:t xml:space="preserve">create </w:t>
      </w:r>
      <w:r w:rsidR="003F7225">
        <w:rPr>
          <w:rFonts w:ascii="Garamond" w:eastAsia="Times New Roman" w:hAnsi="Garamond" w:cs="Times New Roman"/>
          <w:sz w:val="24"/>
          <w:szCs w:val="24"/>
        </w:rPr>
        <w:t xml:space="preserve">a restless </w:t>
      </w:r>
      <w:r w:rsidR="00A427E7" w:rsidRPr="007C61D2">
        <w:rPr>
          <w:rFonts w:ascii="Garamond" w:eastAsia="Times New Roman" w:hAnsi="Garamond" w:cs="Times New Roman"/>
          <w:sz w:val="24"/>
          <w:szCs w:val="24"/>
        </w:rPr>
        <w:t>need for further and greater walls</w:t>
      </w:r>
      <w:r>
        <w:rPr>
          <w:rFonts w:ascii="Garamond" w:eastAsia="Times New Roman" w:hAnsi="Garamond" w:cs="Times New Roman"/>
          <w:sz w:val="24"/>
          <w:szCs w:val="24"/>
        </w:rPr>
        <w:t xml:space="preserve">. </w:t>
      </w:r>
      <w:r w:rsidR="008F0D3D">
        <w:rPr>
          <w:rFonts w:ascii="Garamond" w:eastAsia="Times New Roman" w:hAnsi="Garamond" w:cs="Times New Roman"/>
          <w:sz w:val="24"/>
          <w:szCs w:val="24"/>
        </w:rPr>
        <w:t>But the problem does not only lie in privacy’s limitless logic. S</w:t>
      </w:r>
      <w:r w:rsidR="00883052" w:rsidRPr="007C61D2">
        <w:rPr>
          <w:rFonts w:ascii="Garamond" w:eastAsia="Times New Roman" w:hAnsi="Garamond" w:cs="Times New Roman"/>
          <w:sz w:val="24"/>
          <w:szCs w:val="24"/>
        </w:rPr>
        <w:t xml:space="preserve">eparation </w:t>
      </w:r>
      <w:r w:rsidR="00B4699C" w:rsidRPr="007C61D2">
        <w:rPr>
          <w:rFonts w:ascii="Garamond" w:eastAsia="Times New Roman" w:hAnsi="Garamond" w:cs="Times New Roman"/>
          <w:sz w:val="24"/>
          <w:szCs w:val="24"/>
        </w:rPr>
        <w:t xml:space="preserve">through </w:t>
      </w:r>
      <w:r w:rsidR="00331A4B" w:rsidRPr="007C61D2">
        <w:rPr>
          <w:rFonts w:ascii="Garamond" w:eastAsia="Times New Roman" w:hAnsi="Garamond" w:cs="Times New Roman"/>
          <w:sz w:val="24"/>
          <w:szCs w:val="24"/>
        </w:rPr>
        <w:t>physical barriers</w:t>
      </w:r>
      <w:r w:rsidR="00A427E7" w:rsidRPr="007C61D2">
        <w:rPr>
          <w:rFonts w:ascii="Garamond" w:eastAsia="Times New Roman" w:hAnsi="Garamond" w:cs="Times New Roman"/>
          <w:sz w:val="24"/>
          <w:szCs w:val="24"/>
        </w:rPr>
        <w:t xml:space="preserve"> reflects, and so normalises, </w:t>
      </w:r>
      <w:r w:rsidR="00883052" w:rsidRPr="007C61D2">
        <w:rPr>
          <w:rFonts w:ascii="Garamond" w:eastAsia="Times New Roman" w:hAnsi="Garamond" w:cs="Times New Roman"/>
          <w:sz w:val="24"/>
          <w:szCs w:val="24"/>
        </w:rPr>
        <w:t xml:space="preserve">social and cultural anxieties about contact </w:t>
      </w:r>
      <w:r w:rsidR="004F2CCA" w:rsidRPr="007C61D2">
        <w:rPr>
          <w:rFonts w:ascii="Garamond" w:eastAsia="Times New Roman" w:hAnsi="Garamond" w:cs="Times New Roman"/>
          <w:sz w:val="24"/>
          <w:szCs w:val="24"/>
        </w:rPr>
        <w:t xml:space="preserve">(haptic, but also optic and </w:t>
      </w:r>
      <w:r w:rsidR="00C211D6">
        <w:rPr>
          <w:rFonts w:ascii="Garamond" w:eastAsia="Times New Roman" w:hAnsi="Garamond" w:cs="Times New Roman"/>
          <w:sz w:val="24"/>
          <w:szCs w:val="24"/>
        </w:rPr>
        <w:t xml:space="preserve">sometimes </w:t>
      </w:r>
      <w:r w:rsidR="004F2CCA" w:rsidRPr="007C61D2">
        <w:rPr>
          <w:rFonts w:ascii="Garamond" w:eastAsia="Times New Roman" w:hAnsi="Garamond" w:cs="Times New Roman"/>
          <w:sz w:val="24"/>
          <w:szCs w:val="24"/>
        </w:rPr>
        <w:t>aural</w:t>
      </w:r>
      <w:r w:rsidR="00B4699C" w:rsidRPr="007C61D2">
        <w:rPr>
          <w:rFonts w:ascii="Garamond" w:eastAsia="Times New Roman" w:hAnsi="Garamond" w:cs="Times New Roman"/>
          <w:sz w:val="24"/>
          <w:szCs w:val="24"/>
        </w:rPr>
        <w:t xml:space="preserve">) that is </w:t>
      </w:r>
      <w:r w:rsidR="00883052" w:rsidRPr="007C61D2">
        <w:rPr>
          <w:rFonts w:ascii="Garamond" w:eastAsia="Times New Roman" w:hAnsi="Garamond" w:cs="Times New Roman"/>
          <w:sz w:val="24"/>
          <w:szCs w:val="24"/>
        </w:rPr>
        <w:t>cross-sex, between strangers</w:t>
      </w:r>
      <w:r w:rsidR="004F2CCA" w:rsidRPr="007C61D2">
        <w:rPr>
          <w:rFonts w:ascii="Garamond" w:eastAsia="Times New Roman" w:hAnsi="Garamond" w:cs="Times New Roman"/>
          <w:sz w:val="24"/>
          <w:szCs w:val="24"/>
        </w:rPr>
        <w:t>,</w:t>
      </w:r>
      <w:r w:rsidR="00883052" w:rsidRPr="007C61D2">
        <w:rPr>
          <w:rFonts w:ascii="Garamond" w:eastAsia="Times New Roman" w:hAnsi="Garamond" w:cs="Times New Roman"/>
          <w:sz w:val="24"/>
          <w:szCs w:val="24"/>
        </w:rPr>
        <w:t xml:space="preserve"> and intergenerational. </w:t>
      </w:r>
      <w:r w:rsidR="002509B5" w:rsidRPr="007C61D2">
        <w:rPr>
          <w:rFonts w:ascii="Garamond" w:eastAsia="Times New Roman" w:hAnsi="Garamond" w:cs="Times New Roman"/>
          <w:sz w:val="24"/>
          <w:szCs w:val="24"/>
        </w:rPr>
        <w:t>C</w:t>
      </w:r>
      <w:r w:rsidR="00565173" w:rsidRPr="007C61D2">
        <w:rPr>
          <w:rFonts w:ascii="Garamond" w:eastAsia="Times New Roman" w:hAnsi="Garamond" w:cs="Times New Roman"/>
          <w:sz w:val="24"/>
          <w:szCs w:val="24"/>
        </w:rPr>
        <w:t xml:space="preserve">reating </w:t>
      </w:r>
      <w:r w:rsidR="003F7225">
        <w:rPr>
          <w:rFonts w:ascii="Garamond" w:eastAsia="Times New Roman" w:hAnsi="Garamond" w:cs="Times New Roman"/>
          <w:sz w:val="24"/>
          <w:szCs w:val="24"/>
        </w:rPr>
        <w:t xml:space="preserve">private spaces </w:t>
      </w:r>
      <w:r w:rsidR="00565173" w:rsidRPr="007C61D2">
        <w:rPr>
          <w:rFonts w:ascii="Garamond" w:eastAsia="Times New Roman" w:hAnsi="Garamond" w:cs="Times New Roman"/>
          <w:sz w:val="24"/>
          <w:szCs w:val="24"/>
        </w:rPr>
        <w:t>may seem to provide protection</w:t>
      </w:r>
      <w:r w:rsidR="002509B5" w:rsidRPr="007C61D2">
        <w:rPr>
          <w:rFonts w:ascii="Garamond" w:eastAsia="Times New Roman" w:hAnsi="Garamond" w:cs="Times New Roman"/>
          <w:sz w:val="24"/>
          <w:szCs w:val="24"/>
        </w:rPr>
        <w:t>. However</w:t>
      </w:r>
      <w:r w:rsidR="00565173" w:rsidRPr="007C61D2">
        <w:rPr>
          <w:rFonts w:ascii="Garamond" w:eastAsia="Times New Roman" w:hAnsi="Garamond" w:cs="Times New Roman"/>
          <w:sz w:val="24"/>
          <w:szCs w:val="24"/>
        </w:rPr>
        <w:t>,</w:t>
      </w:r>
      <w:r w:rsidR="003F7225">
        <w:rPr>
          <w:rFonts w:ascii="Garamond" w:eastAsia="Times New Roman" w:hAnsi="Garamond" w:cs="Times New Roman"/>
          <w:sz w:val="24"/>
          <w:szCs w:val="24"/>
        </w:rPr>
        <w:t xml:space="preserve"> </w:t>
      </w:r>
      <w:r w:rsidR="008F0D3D">
        <w:rPr>
          <w:rFonts w:ascii="Garamond" w:eastAsia="Times New Roman" w:hAnsi="Garamond" w:cs="Times New Roman"/>
          <w:sz w:val="24"/>
          <w:szCs w:val="24"/>
        </w:rPr>
        <w:t xml:space="preserve">this assumption </w:t>
      </w:r>
      <w:r w:rsidR="008424CF">
        <w:rPr>
          <w:rFonts w:ascii="Garamond" w:eastAsia="Times New Roman" w:hAnsi="Garamond" w:cs="Times New Roman"/>
          <w:sz w:val="24"/>
          <w:szCs w:val="24"/>
        </w:rPr>
        <w:t xml:space="preserve">exists in uneasy tension with the policy principle that </w:t>
      </w:r>
      <w:r w:rsidR="008424CF" w:rsidRPr="007C61D2">
        <w:rPr>
          <w:rFonts w:ascii="Garamond" w:eastAsia="Times New Roman" w:hAnsi="Garamond" w:cs="Times New Roman"/>
          <w:sz w:val="24"/>
          <w:szCs w:val="24"/>
        </w:rPr>
        <w:t xml:space="preserve">safety </w:t>
      </w:r>
      <w:r w:rsidR="008424CF">
        <w:rPr>
          <w:rFonts w:ascii="Garamond" w:eastAsia="Times New Roman" w:hAnsi="Garamond" w:cs="Times New Roman"/>
          <w:sz w:val="24"/>
          <w:szCs w:val="24"/>
        </w:rPr>
        <w:t xml:space="preserve">is </w:t>
      </w:r>
      <w:r w:rsidR="008F0D3D">
        <w:rPr>
          <w:rFonts w:ascii="Garamond" w:eastAsia="Times New Roman" w:hAnsi="Garamond" w:cs="Times New Roman"/>
          <w:sz w:val="24"/>
          <w:szCs w:val="24"/>
        </w:rPr>
        <w:t xml:space="preserve">regularly </w:t>
      </w:r>
      <w:r w:rsidR="008424CF">
        <w:rPr>
          <w:rFonts w:ascii="Garamond" w:eastAsia="Times New Roman" w:hAnsi="Garamond" w:cs="Times New Roman"/>
          <w:sz w:val="24"/>
          <w:szCs w:val="24"/>
        </w:rPr>
        <w:t xml:space="preserve">enhanced through the </w:t>
      </w:r>
      <w:r w:rsidR="008424CF" w:rsidRPr="007C61D2">
        <w:rPr>
          <w:rFonts w:ascii="Garamond" w:eastAsia="Times New Roman" w:hAnsi="Garamond" w:cs="Times New Roman"/>
          <w:sz w:val="24"/>
          <w:szCs w:val="24"/>
        </w:rPr>
        <w:t>presence</w:t>
      </w:r>
      <w:r w:rsidR="008424CF">
        <w:rPr>
          <w:rFonts w:ascii="Garamond" w:eastAsia="Times New Roman" w:hAnsi="Garamond" w:cs="Times New Roman"/>
          <w:sz w:val="24"/>
          <w:szCs w:val="24"/>
        </w:rPr>
        <w:t xml:space="preserve"> of others, including those not personally known</w:t>
      </w:r>
      <w:r w:rsidR="008424CF" w:rsidRPr="007C61D2">
        <w:rPr>
          <w:rFonts w:ascii="Garamond" w:eastAsia="Times New Roman" w:hAnsi="Garamond" w:cs="Times New Roman"/>
          <w:sz w:val="24"/>
          <w:szCs w:val="24"/>
        </w:rPr>
        <w:t xml:space="preserve">. </w:t>
      </w:r>
      <w:r w:rsidR="008424CF">
        <w:rPr>
          <w:rFonts w:ascii="Garamond" w:eastAsia="Times New Roman" w:hAnsi="Garamond" w:cs="Times New Roman"/>
          <w:sz w:val="24"/>
          <w:szCs w:val="24"/>
        </w:rPr>
        <w:t>T</w:t>
      </w:r>
      <w:r w:rsidR="003F7225">
        <w:rPr>
          <w:rFonts w:ascii="Garamond" w:eastAsia="Times New Roman" w:hAnsi="Garamond" w:cs="Times New Roman"/>
          <w:sz w:val="24"/>
          <w:szCs w:val="24"/>
        </w:rPr>
        <w:t>he tacit individualism</w:t>
      </w:r>
      <w:r w:rsidR="008F0D3D">
        <w:rPr>
          <w:rFonts w:ascii="Garamond" w:eastAsia="Times New Roman" w:hAnsi="Garamond" w:cs="Times New Roman"/>
          <w:sz w:val="24"/>
          <w:szCs w:val="24"/>
        </w:rPr>
        <w:t>, and</w:t>
      </w:r>
      <w:r w:rsidR="003F7225">
        <w:rPr>
          <w:rFonts w:ascii="Garamond" w:eastAsia="Times New Roman" w:hAnsi="Garamond" w:cs="Times New Roman"/>
          <w:sz w:val="24"/>
          <w:szCs w:val="24"/>
        </w:rPr>
        <w:t xml:space="preserve"> </w:t>
      </w:r>
      <w:r w:rsidR="008F0D3D">
        <w:rPr>
          <w:rFonts w:ascii="Garamond" w:eastAsia="Times New Roman" w:hAnsi="Garamond" w:cs="Times New Roman"/>
          <w:sz w:val="24"/>
          <w:szCs w:val="24"/>
        </w:rPr>
        <w:t xml:space="preserve">normative bodily imaginaries, invoked by the notion of private cubicles, also </w:t>
      </w:r>
      <w:r w:rsidR="008424CF">
        <w:rPr>
          <w:rFonts w:ascii="Garamond" w:eastAsia="Times New Roman" w:hAnsi="Garamond" w:cs="Times New Roman"/>
          <w:sz w:val="24"/>
          <w:szCs w:val="24"/>
        </w:rPr>
        <w:t xml:space="preserve">coexists uneasily with </w:t>
      </w:r>
      <w:r w:rsidR="000A40B6">
        <w:rPr>
          <w:rFonts w:ascii="Garamond" w:eastAsia="Times New Roman" w:hAnsi="Garamond" w:cs="Times New Roman"/>
          <w:sz w:val="24"/>
          <w:szCs w:val="24"/>
        </w:rPr>
        <w:t xml:space="preserve">a </w:t>
      </w:r>
      <w:r w:rsidR="000A40B6">
        <w:rPr>
          <w:rFonts w:ascii="Garamond" w:eastAsia="Times New Roman" w:hAnsi="Garamond" w:cs="Times New Roman"/>
          <w:sz w:val="24"/>
          <w:szCs w:val="24"/>
        </w:rPr>
        <w:lastRenderedPageBreak/>
        <w:t xml:space="preserve">care-based ethics, in which spaces </w:t>
      </w:r>
      <w:r w:rsidR="004565A7">
        <w:rPr>
          <w:rFonts w:ascii="Garamond" w:eastAsia="Times New Roman" w:hAnsi="Garamond" w:cs="Times New Roman"/>
          <w:sz w:val="24"/>
          <w:szCs w:val="24"/>
        </w:rPr>
        <w:t xml:space="preserve">should </w:t>
      </w:r>
      <w:r w:rsidR="003F7225">
        <w:rPr>
          <w:rFonts w:ascii="Garamond" w:eastAsia="Times New Roman" w:hAnsi="Garamond" w:cs="Times New Roman"/>
          <w:sz w:val="24"/>
          <w:szCs w:val="24"/>
        </w:rPr>
        <w:t xml:space="preserve">comfortably incorporate </w:t>
      </w:r>
      <w:r w:rsidR="000A40B6">
        <w:rPr>
          <w:rFonts w:ascii="Garamond" w:eastAsia="Times New Roman" w:hAnsi="Garamond" w:cs="Times New Roman"/>
          <w:sz w:val="24"/>
          <w:szCs w:val="24"/>
        </w:rPr>
        <w:t xml:space="preserve">carers, </w:t>
      </w:r>
      <w:r w:rsidR="003F7225">
        <w:rPr>
          <w:rFonts w:ascii="Garamond" w:eastAsia="Times New Roman" w:hAnsi="Garamond" w:cs="Times New Roman"/>
          <w:sz w:val="24"/>
          <w:szCs w:val="24"/>
        </w:rPr>
        <w:t>mobility aids</w:t>
      </w:r>
      <w:r w:rsidR="008F0D3D">
        <w:rPr>
          <w:rFonts w:ascii="Garamond" w:eastAsia="Times New Roman" w:hAnsi="Garamond" w:cs="Times New Roman"/>
          <w:sz w:val="24"/>
          <w:szCs w:val="24"/>
        </w:rPr>
        <w:t>,</w:t>
      </w:r>
      <w:r w:rsidR="003F7225">
        <w:rPr>
          <w:rFonts w:ascii="Garamond" w:eastAsia="Times New Roman" w:hAnsi="Garamond" w:cs="Times New Roman"/>
          <w:sz w:val="24"/>
          <w:szCs w:val="24"/>
        </w:rPr>
        <w:t xml:space="preserve"> and </w:t>
      </w:r>
      <w:r w:rsidR="000A40B6">
        <w:rPr>
          <w:rFonts w:ascii="Garamond" w:eastAsia="Times New Roman" w:hAnsi="Garamond" w:cs="Times New Roman"/>
          <w:sz w:val="24"/>
          <w:szCs w:val="24"/>
        </w:rPr>
        <w:t xml:space="preserve">other forms of </w:t>
      </w:r>
      <w:r w:rsidR="003F7225">
        <w:rPr>
          <w:rFonts w:ascii="Garamond" w:eastAsia="Times New Roman" w:hAnsi="Garamond" w:cs="Times New Roman"/>
          <w:sz w:val="24"/>
          <w:szCs w:val="24"/>
        </w:rPr>
        <w:t>assistance</w:t>
      </w:r>
      <w:r w:rsidR="008515F6">
        <w:rPr>
          <w:rFonts w:ascii="Garamond" w:eastAsia="Times New Roman" w:hAnsi="Garamond" w:cs="Times New Roman"/>
          <w:sz w:val="24"/>
          <w:szCs w:val="24"/>
        </w:rPr>
        <w:t>. But s</w:t>
      </w:r>
      <w:r w:rsidR="00931A55" w:rsidRPr="007C61D2">
        <w:rPr>
          <w:rFonts w:ascii="Garamond" w:eastAsia="Times New Roman" w:hAnsi="Garamond" w:cs="Times New Roman"/>
          <w:sz w:val="24"/>
          <w:szCs w:val="24"/>
        </w:rPr>
        <w:t xml:space="preserve">afety </w:t>
      </w:r>
      <w:r w:rsidR="000A40B6">
        <w:rPr>
          <w:rFonts w:ascii="Garamond" w:eastAsia="Times New Roman" w:hAnsi="Garamond" w:cs="Times New Roman"/>
          <w:sz w:val="24"/>
          <w:szCs w:val="24"/>
        </w:rPr>
        <w:t xml:space="preserve">and care </w:t>
      </w:r>
      <w:r w:rsidR="00931A55" w:rsidRPr="007C61D2">
        <w:rPr>
          <w:rFonts w:ascii="Garamond" w:eastAsia="Times New Roman" w:hAnsi="Garamond" w:cs="Times New Roman"/>
          <w:sz w:val="24"/>
          <w:szCs w:val="24"/>
        </w:rPr>
        <w:t xml:space="preserve">are not the only issues here. </w:t>
      </w:r>
      <w:r w:rsidR="00A427E7" w:rsidRPr="007C61D2">
        <w:rPr>
          <w:rFonts w:ascii="Garamond" w:eastAsia="Times New Roman" w:hAnsi="Garamond" w:cs="Times New Roman"/>
          <w:sz w:val="24"/>
          <w:szCs w:val="24"/>
        </w:rPr>
        <w:t>P</w:t>
      </w:r>
      <w:r w:rsidR="0077631B" w:rsidRPr="007C61D2">
        <w:rPr>
          <w:rFonts w:ascii="Garamond" w:eastAsia="Times New Roman" w:hAnsi="Garamond" w:cs="Times New Roman"/>
          <w:sz w:val="24"/>
          <w:szCs w:val="24"/>
        </w:rPr>
        <w:t xml:space="preserve">rivacy norms </w:t>
      </w:r>
      <w:r w:rsidR="004565A7">
        <w:rPr>
          <w:rFonts w:ascii="Garamond" w:eastAsia="Times New Roman" w:hAnsi="Garamond" w:cs="Times New Roman"/>
          <w:sz w:val="24"/>
          <w:szCs w:val="24"/>
        </w:rPr>
        <w:t xml:space="preserve">may be </w:t>
      </w:r>
      <w:r w:rsidR="00931A55" w:rsidRPr="007C61D2">
        <w:rPr>
          <w:rFonts w:ascii="Garamond" w:eastAsia="Times New Roman" w:hAnsi="Garamond" w:cs="Times New Roman"/>
          <w:sz w:val="24"/>
          <w:szCs w:val="24"/>
        </w:rPr>
        <w:t>socially unremarkable</w:t>
      </w:r>
      <w:r w:rsidR="00A427E7" w:rsidRPr="007C61D2">
        <w:rPr>
          <w:rFonts w:ascii="Garamond" w:eastAsia="Times New Roman" w:hAnsi="Garamond" w:cs="Times New Roman"/>
          <w:sz w:val="24"/>
          <w:szCs w:val="24"/>
        </w:rPr>
        <w:t xml:space="preserve">. Yet, </w:t>
      </w:r>
      <w:r w:rsidR="0077631B" w:rsidRPr="007C61D2">
        <w:rPr>
          <w:rFonts w:ascii="Garamond" w:eastAsia="Times New Roman" w:hAnsi="Garamond" w:cs="Times New Roman"/>
          <w:sz w:val="24"/>
          <w:szCs w:val="24"/>
        </w:rPr>
        <w:t xml:space="preserve">it is because they are </w:t>
      </w:r>
      <w:r w:rsidR="00931A55" w:rsidRPr="007C61D2">
        <w:rPr>
          <w:rFonts w:ascii="Garamond" w:eastAsia="Times New Roman" w:hAnsi="Garamond" w:cs="Times New Roman"/>
          <w:sz w:val="24"/>
          <w:szCs w:val="24"/>
        </w:rPr>
        <w:t>socially unremarkable</w:t>
      </w:r>
      <w:r w:rsidR="00A427E7" w:rsidRPr="007C61D2">
        <w:rPr>
          <w:rFonts w:ascii="Garamond" w:eastAsia="Times New Roman" w:hAnsi="Garamond" w:cs="Times New Roman"/>
          <w:sz w:val="24"/>
          <w:szCs w:val="24"/>
        </w:rPr>
        <w:t xml:space="preserve"> that</w:t>
      </w:r>
      <w:r w:rsidR="00931A55" w:rsidRPr="007C61D2">
        <w:rPr>
          <w:rFonts w:ascii="Garamond" w:eastAsia="Times New Roman" w:hAnsi="Garamond" w:cs="Times New Roman"/>
          <w:sz w:val="24"/>
          <w:szCs w:val="24"/>
        </w:rPr>
        <w:t xml:space="preserve"> </w:t>
      </w:r>
      <w:r w:rsidR="0077631B" w:rsidRPr="007C61D2">
        <w:rPr>
          <w:rFonts w:ascii="Garamond" w:eastAsia="Times New Roman" w:hAnsi="Garamond" w:cs="Times New Roman"/>
          <w:sz w:val="24"/>
          <w:szCs w:val="24"/>
        </w:rPr>
        <w:t xml:space="preserve">they </w:t>
      </w:r>
      <w:r w:rsidR="008515F6">
        <w:rPr>
          <w:rFonts w:ascii="Garamond" w:eastAsia="Times New Roman" w:hAnsi="Garamond" w:cs="Times New Roman"/>
          <w:sz w:val="24"/>
          <w:szCs w:val="24"/>
        </w:rPr>
        <w:t xml:space="preserve">are powerful in </w:t>
      </w:r>
      <w:r w:rsidR="005108F8" w:rsidRPr="007C61D2">
        <w:rPr>
          <w:rFonts w:ascii="Garamond" w:eastAsia="Times New Roman" w:hAnsi="Garamond" w:cs="Times New Roman"/>
          <w:sz w:val="24"/>
          <w:szCs w:val="24"/>
        </w:rPr>
        <w:t>reinforc</w:t>
      </w:r>
      <w:r w:rsidR="008515F6">
        <w:rPr>
          <w:rFonts w:ascii="Garamond" w:eastAsia="Times New Roman" w:hAnsi="Garamond" w:cs="Times New Roman"/>
          <w:sz w:val="24"/>
          <w:szCs w:val="24"/>
        </w:rPr>
        <w:t>ing</w:t>
      </w:r>
      <w:r w:rsidR="005108F8" w:rsidRPr="007C61D2">
        <w:rPr>
          <w:rFonts w:ascii="Garamond" w:eastAsia="Times New Roman" w:hAnsi="Garamond" w:cs="Times New Roman"/>
          <w:sz w:val="24"/>
          <w:szCs w:val="24"/>
        </w:rPr>
        <w:t xml:space="preserve"> culturally specific notions of </w:t>
      </w:r>
      <w:r w:rsidR="0030095A" w:rsidRPr="007C61D2">
        <w:rPr>
          <w:rFonts w:ascii="Garamond" w:eastAsia="Times New Roman" w:hAnsi="Garamond" w:cs="Times New Roman"/>
          <w:sz w:val="24"/>
          <w:szCs w:val="24"/>
        </w:rPr>
        <w:t xml:space="preserve">bodily </w:t>
      </w:r>
      <w:r w:rsidR="005108F8" w:rsidRPr="007C61D2">
        <w:rPr>
          <w:rFonts w:ascii="Garamond" w:eastAsia="Times New Roman" w:hAnsi="Garamond" w:cs="Times New Roman"/>
          <w:sz w:val="24"/>
          <w:szCs w:val="24"/>
        </w:rPr>
        <w:t>modesty</w:t>
      </w:r>
      <w:r w:rsidR="00A427E7" w:rsidRPr="007C61D2">
        <w:rPr>
          <w:rFonts w:ascii="Garamond" w:eastAsia="Times New Roman" w:hAnsi="Garamond" w:cs="Times New Roman"/>
          <w:sz w:val="24"/>
          <w:szCs w:val="24"/>
        </w:rPr>
        <w:t xml:space="preserve"> </w:t>
      </w:r>
      <w:r w:rsidR="008515F6">
        <w:rPr>
          <w:rFonts w:ascii="Garamond" w:eastAsia="Times New Roman" w:hAnsi="Garamond" w:cs="Times New Roman"/>
          <w:sz w:val="24"/>
          <w:szCs w:val="24"/>
        </w:rPr>
        <w:t xml:space="preserve">and shame </w:t>
      </w:r>
      <w:r w:rsidR="00565173" w:rsidRPr="007C61D2">
        <w:rPr>
          <w:rFonts w:ascii="Garamond" w:eastAsia="Times New Roman" w:hAnsi="Garamond" w:cs="Times New Roman"/>
          <w:sz w:val="24"/>
          <w:szCs w:val="24"/>
        </w:rPr>
        <w:t xml:space="preserve">– something </w:t>
      </w:r>
      <w:r w:rsidR="008515F6" w:rsidRPr="007C61D2">
        <w:rPr>
          <w:rFonts w:ascii="Garamond" w:eastAsia="Times New Roman" w:hAnsi="Garamond" w:cs="Times New Roman"/>
          <w:sz w:val="24"/>
          <w:szCs w:val="24"/>
        </w:rPr>
        <w:t xml:space="preserve">that public breastfeeding activism </w:t>
      </w:r>
      <w:r w:rsidR="008515F6">
        <w:rPr>
          <w:rFonts w:ascii="Garamond" w:eastAsia="Times New Roman" w:hAnsi="Garamond" w:cs="Times New Roman"/>
          <w:sz w:val="24"/>
          <w:szCs w:val="24"/>
        </w:rPr>
        <w:t xml:space="preserve">and </w:t>
      </w:r>
      <w:r w:rsidR="00565173" w:rsidRPr="007C61D2">
        <w:rPr>
          <w:rFonts w:ascii="Garamond" w:eastAsia="Times New Roman" w:hAnsi="Garamond" w:cs="Times New Roman"/>
          <w:sz w:val="24"/>
          <w:szCs w:val="24"/>
        </w:rPr>
        <w:t>nudist politics</w:t>
      </w:r>
      <w:r w:rsidR="008515F6">
        <w:rPr>
          <w:rFonts w:ascii="Garamond" w:eastAsia="Times New Roman" w:hAnsi="Garamond" w:cs="Times New Roman"/>
          <w:sz w:val="24"/>
          <w:szCs w:val="24"/>
        </w:rPr>
        <w:t>, in different ways,</w:t>
      </w:r>
      <w:r w:rsidR="00565173" w:rsidRPr="007C61D2">
        <w:rPr>
          <w:rFonts w:ascii="Garamond" w:eastAsia="Times New Roman" w:hAnsi="Garamond" w:cs="Times New Roman"/>
          <w:sz w:val="24"/>
          <w:szCs w:val="24"/>
        </w:rPr>
        <w:t xml:space="preserve"> </w:t>
      </w:r>
      <w:r w:rsidR="008515F6">
        <w:rPr>
          <w:rFonts w:ascii="Garamond" w:eastAsia="Times New Roman" w:hAnsi="Garamond" w:cs="Times New Roman"/>
          <w:sz w:val="24"/>
          <w:szCs w:val="24"/>
        </w:rPr>
        <w:t xml:space="preserve">have also </w:t>
      </w:r>
      <w:r w:rsidR="00931A55" w:rsidRPr="007C61D2">
        <w:rPr>
          <w:rFonts w:ascii="Garamond" w:eastAsia="Times New Roman" w:hAnsi="Garamond" w:cs="Times New Roman"/>
          <w:sz w:val="24"/>
          <w:szCs w:val="24"/>
        </w:rPr>
        <w:t xml:space="preserve">sought to </w:t>
      </w:r>
      <w:r w:rsidR="00A427E7" w:rsidRPr="007C61D2">
        <w:rPr>
          <w:rFonts w:ascii="Garamond" w:eastAsia="Times New Roman" w:hAnsi="Garamond" w:cs="Times New Roman"/>
          <w:sz w:val="24"/>
          <w:szCs w:val="24"/>
        </w:rPr>
        <w:t xml:space="preserve">address </w:t>
      </w:r>
      <w:r w:rsidR="006A6E88" w:rsidRPr="007C61D2">
        <w:rPr>
          <w:rFonts w:ascii="Garamond" w:eastAsia="Times New Roman" w:hAnsi="Garamond" w:cs="Times New Roman"/>
          <w:sz w:val="24"/>
          <w:szCs w:val="24"/>
        </w:rPr>
        <w:t>(</w:t>
      </w:r>
      <w:r w:rsidR="00A427E7" w:rsidRPr="007C61D2">
        <w:rPr>
          <w:rFonts w:ascii="Garamond" w:eastAsia="Times New Roman" w:hAnsi="Garamond" w:cs="Times New Roman"/>
          <w:sz w:val="24"/>
          <w:szCs w:val="24"/>
        </w:rPr>
        <w:t xml:space="preserve">e.g., see </w:t>
      </w:r>
      <w:r w:rsidR="006A6E88" w:rsidRPr="007C61D2">
        <w:rPr>
          <w:rFonts w:ascii="Garamond" w:eastAsia="Times New Roman" w:hAnsi="Garamond" w:cs="Times New Roman"/>
          <w:sz w:val="24"/>
          <w:szCs w:val="24"/>
        </w:rPr>
        <w:t>Barcan 2004)</w:t>
      </w:r>
      <w:r w:rsidR="00565173" w:rsidRPr="007C61D2">
        <w:rPr>
          <w:rFonts w:ascii="Garamond" w:eastAsia="Times New Roman" w:hAnsi="Garamond" w:cs="Times New Roman"/>
          <w:sz w:val="24"/>
          <w:szCs w:val="24"/>
        </w:rPr>
        <w:t>.</w:t>
      </w:r>
      <w:r w:rsidR="00AE32BB" w:rsidRPr="007C61D2">
        <w:rPr>
          <w:rFonts w:ascii="Garamond" w:eastAsia="Times New Roman" w:hAnsi="Garamond" w:cs="Times New Roman"/>
          <w:sz w:val="24"/>
          <w:szCs w:val="24"/>
        </w:rPr>
        <w:t xml:space="preserve">    </w:t>
      </w:r>
    </w:p>
    <w:p w14:paraId="4D0EF0A8" w14:textId="2709BC3B" w:rsidR="00931A55" w:rsidRPr="007C61D2" w:rsidRDefault="00300542"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A </w:t>
      </w:r>
      <w:r w:rsidR="00931A55" w:rsidRPr="007C61D2">
        <w:rPr>
          <w:rFonts w:ascii="Garamond" w:eastAsia="Times New Roman" w:hAnsi="Garamond" w:cs="Times New Roman"/>
          <w:sz w:val="24"/>
          <w:szCs w:val="24"/>
        </w:rPr>
        <w:t xml:space="preserve">second </w:t>
      </w:r>
      <w:r w:rsidR="004F2CCA" w:rsidRPr="007C61D2">
        <w:rPr>
          <w:rFonts w:ascii="Garamond" w:eastAsia="Times New Roman" w:hAnsi="Garamond" w:cs="Times New Roman"/>
          <w:sz w:val="24"/>
          <w:szCs w:val="24"/>
        </w:rPr>
        <w:t xml:space="preserve">governance technique </w:t>
      </w:r>
      <w:r w:rsidR="0066136E" w:rsidRPr="007C61D2">
        <w:rPr>
          <w:rFonts w:ascii="Garamond" w:eastAsia="Times New Roman" w:hAnsi="Garamond" w:cs="Times New Roman"/>
          <w:sz w:val="24"/>
          <w:szCs w:val="24"/>
        </w:rPr>
        <w:t>for managing gender’s informalisation</w:t>
      </w:r>
      <w:r w:rsidR="00167821" w:rsidRPr="007C61D2">
        <w:rPr>
          <w:rFonts w:ascii="Garamond" w:eastAsia="Times New Roman" w:hAnsi="Garamond" w:cs="Times New Roman"/>
          <w:sz w:val="24"/>
          <w:szCs w:val="24"/>
        </w:rPr>
        <w:t xml:space="preserve">, and the </w:t>
      </w:r>
      <w:r w:rsidR="0077631B" w:rsidRPr="007C61D2">
        <w:rPr>
          <w:rFonts w:ascii="Garamond" w:eastAsia="Times New Roman" w:hAnsi="Garamond" w:cs="Times New Roman"/>
          <w:sz w:val="24"/>
          <w:szCs w:val="24"/>
        </w:rPr>
        <w:t xml:space="preserve">specific </w:t>
      </w:r>
      <w:r w:rsidR="00167821" w:rsidRPr="007C61D2">
        <w:rPr>
          <w:rFonts w:ascii="Garamond" w:eastAsia="Times New Roman" w:hAnsi="Garamond" w:cs="Times New Roman"/>
          <w:sz w:val="24"/>
          <w:szCs w:val="24"/>
        </w:rPr>
        <w:t xml:space="preserve">mix of bodies </w:t>
      </w:r>
      <w:r w:rsidR="004F2CCA" w:rsidRPr="007C61D2">
        <w:rPr>
          <w:rFonts w:ascii="Garamond" w:eastAsia="Times New Roman" w:hAnsi="Garamond" w:cs="Times New Roman"/>
          <w:sz w:val="24"/>
          <w:szCs w:val="24"/>
        </w:rPr>
        <w:t xml:space="preserve">that may </w:t>
      </w:r>
      <w:r w:rsidR="0077631B" w:rsidRPr="007C61D2">
        <w:rPr>
          <w:rFonts w:ascii="Garamond" w:eastAsia="Times New Roman" w:hAnsi="Garamond" w:cs="Times New Roman"/>
          <w:sz w:val="24"/>
          <w:szCs w:val="24"/>
        </w:rPr>
        <w:t>arise</w:t>
      </w:r>
      <w:r w:rsidR="00167821" w:rsidRPr="007C61D2">
        <w:rPr>
          <w:rFonts w:ascii="Garamond" w:eastAsia="Times New Roman" w:hAnsi="Garamond" w:cs="Times New Roman"/>
          <w:sz w:val="24"/>
          <w:szCs w:val="24"/>
        </w:rPr>
        <w:t>,</w:t>
      </w:r>
      <w:r w:rsidR="0066136E" w:rsidRPr="007C61D2">
        <w:rPr>
          <w:rFonts w:ascii="Garamond" w:eastAsia="Times New Roman" w:hAnsi="Garamond" w:cs="Times New Roman"/>
          <w:sz w:val="24"/>
          <w:szCs w:val="24"/>
        </w:rPr>
        <w:t xml:space="preserve"> </w:t>
      </w:r>
      <w:r w:rsidR="004F2CCA" w:rsidRPr="007C61D2">
        <w:rPr>
          <w:rFonts w:ascii="Garamond" w:eastAsia="Times New Roman" w:hAnsi="Garamond" w:cs="Times New Roman"/>
          <w:sz w:val="24"/>
          <w:szCs w:val="24"/>
        </w:rPr>
        <w:t xml:space="preserve">is </w:t>
      </w:r>
      <w:r w:rsidR="006A6E88"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risk assessment</w:t>
      </w:r>
      <w:r w:rsidR="006A6E88"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4F2CCA" w:rsidRPr="007C61D2">
        <w:rPr>
          <w:rFonts w:ascii="Garamond" w:eastAsia="Times New Roman" w:hAnsi="Garamond" w:cs="Times New Roman"/>
          <w:sz w:val="24"/>
          <w:szCs w:val="24"/>
        </w:rPr>
        <w:t>U</w:t>
      </w:r>
      <w:r w:rsidR="00F62777" w:rsidRPr="007C61D2">
        <w:rPr>
          <w:rFonts w:ascii="Garamond" w:eastAsia="Times New Roman" w:hAnsi="Garamond" w:cs="Times New Roman"/>
          <w:sz w:val="24"/>
          <w:szCs w:val="24"/>
        </w:rPr>
        <w:t xml:space="preserve">tilised </w:t>
      </w:r>
      <w:r w:rsidR="00A427E7" w:rsidRPr="007C61D2">
        <w:rPr>
          <w:rFonts w:ascii="Garamond" w:eastAsia="Times New Roman" w:hAnsi="Garamond" w:cs="Times New Roman"/>
          <w:sz w:val="24"/>
          <w:szCs w:val="24"/>
        </w:rPr>
        <w:t xml:space="preserve">in </w:t>
      </w:r>
      <w:r w:rsidR="008635A2" w:rsidRPr="007C61D2">
        <w:rPr>
          <w:rFonts w:ascii="Garamond" w:eastAsia="Times New Roman" w:hAnsi="Garamond" w:cs="Times New Roman"/>
          <w:sz w:val="24"/>
          <w:szCs w:val="24"/>
        </w:rPr>
        <w:t>a wide variety of</w:t>
      </w:r>
      <w:r w:rsidR="00A427E7" w:rsidRPr="007C61D2">
        <w:rPr>
          <w:rFonts w:ascii="Garamond" w:eastAsia="Times New Roman" w:hAnsi="Garamond" w:cs="Times New Roman"/>
          <w:sz w:val="24"/>
          <w:szCs w:val="24"/>
        </w:rPr>
        <w:t xml:space="preserve"> venues</w:t>
      </w:r>
      <w:r w:rsidR="008635A2" w:rsidRPr="007C61D2">
        <w:rPr>
          <w:rFonts w:ascii="Garamond" w:eastAsia="Times New Roman" w:hAnsi="Garamond" w:cs="Times New Roman"/>
          <w:sz w:val="24"/>
          <w:szCs w:val="24"/>
        </w:rPr>
        <w:t xml:space="preserve">, including </w:t>
      </w:r>
      <w:r w:rsidR="00F62777" w:rsidRPr="007C61D2">
        <w:rPr>
          <w:rFonts w:ascii="Garamond" w:eastAsia="Times New Roman" w:hAnsi="Garamond" w:cs="Times New Roman"/>
          <w:sz w:val="24"/>
          <w:szCs w:val="24"/>
        </w:rPr>
        <w:t xml:space="preserve">carceral spaces and </w:t>
      </w:r>
      <w:r w:rsidR="00167821" w:rsidRPr="007C61D2">
        <w:rPr>
          <w:rFonts w:ascii="Garamond" w:eastAsia="Times New Roman" w:hAnsi="Garamond" w:cs="Times New Roman"/>
          <w:sz w:val="24"/>
          <w:szCs w:val="24"/>
        </w:rPr>
        <w:t xml:space="preserve">provision </w:t>
      </w:r>
      <w:r w:rsidR="00F62777" w:rsidRPr="007C61D2">
        <w:rPr>
          <w:rFonts w:ascii="Garamond" w:eastAsia="Times New Roman" w:hAnsi="Garamond" w:cs="Times New Roman"/>
          <w:sz w:val="24"/>
          <w:szCs w:val="24"/>
        </w:rPr>
        <w:t xml:space="preserve">for vulnerable populations, such as hostels and refuges, risk assessment </w:t>
      </w:r>
      <w:r w:rsidR="0077631B" w:rsidRPr="007C61D2">
        <w:rPr>
          <w:rFonts w:ascii="Garamond" w:eastAsia="Times New Roman" w:hAnsi="Garamond" w:cs="Times New Roman"/>
          <w:sz w:val="24"/>
          <w:szCs w:val="24"/>
        </w:rPr>
        <w:t xml:space="preserve">gets folded into </w:t>
      </w:r>
      <w:r w:rsidR="006F6C9A" w:rsidRPr="007C61D2">
        <w:rPr>
          <w:rFonts w:ascii="Garamond" w:eastAsia="Times New Roman" w:hAnsi="Garamond" w:cs="Times New Roman"/>
          <w:sz w:val="24"/>
          <w:szCs w:val="24"/>
        </w:rPr>
        <w:t xml:space="preserve">determinations of </w:t>
      </w:r>
      <w:r w:rsidR="0066136E" w:rsidRPr="007C61D2">
        <w:rPr>
          <w:rFonts w:ascii="Garamond" w:eastAsia="Times New Roman" w:hAnsi="Garamond" w:cs="Times New Roman"/>
          <w:sz w:val="24"/>
          <w:szCs w:val="24"/>
        </w:rPr>
        <w:t>who is included/ excluded</w:t>
      </w:r>
      <w:r w:rsidR="002D5267" w:rsidRPr="007C61D2">
        <w:rPr>
          <w:rFonts w:ascii="Garamond" w:eastAsia="Times New Roman" w:hAnsi="Garamond" w:cs="Times New Roman"/>
          <w:sz w:val="24"/>
          <w:szCs w:val="24"/>
        </w:rPr>
        <w:t>, and</w:t>
      </w:r>
      <w:r w:rsidR="0066136E" w:rsidRPr="007C61D2">
        <w:rPr>
          <w:rFonts w:ascii="Garamond" w:eastAsia="Times New Roman" w:hAnsi="Garamond" w:cs="Times New Roman"/>
          <w:sz w:val="24"/>
          <w:szCs w:val="24"/>
        </w:rPr>
        <w:t xml:space="preserve"> </w:t>
      </w:r>
      <w:r w:rsidR="00F62777" w:rsidRPr="007C61D2">
        <w:rPr>
          <w:rFonts w:ascii="Garamond" w:eastAsia="Times New Roman" w:hAnsi="Garamond" w:cs="Times New Roman"/>
          <w:sz w:val="24"/>
          <w:szCs w:val="24"/>
        </w:rPr>
        <w:t xml:space="preserve">the terms </w:t>
      </w:r>
      <w:r w:rsidR="00674C4C" w:rsidRPr="007C61D2">
        <w:rPr>
          <w:rFonts w:ascii="Garamond" w:eastAsia="Times New Roman" w:hAnsi="Garamond" w:cs="Times New Roman"/>
          <w:sz w:val="24"/>
          <w:szCs w:val="24"/>
        </w:rPr>
        <w:t xml:space="preserve">under which </w:t>
      </w:r>
      <w:r w:rsidR="0066136E" w:rsidRPr="007C61D2">
        <w:rPr>
          <w:rFonts w:ascii="Garamond" w:eastAsia="Times New Roman" w:hAnsi="Garamond" w:cs="Times New Roman"/>
          <w:sz w:val="24"/>
          <w:szCs w:val="24"/>
        </w:rPr>
        <w:t>this</w:t>
      </w:r>
      <w:r w:rsidR="006F6C9A" w:rsidRPr="007C61D2">
        <w:rPr>
          <w:rFonts w:ascii="Garamond" w:eastAsia="Times New Roman" w:hAnsi="Garamond" w:cs="Times New Roman"/>
          <w:sz w:val="24"/>
          <w:szCs w:val="24"/>
        </w:rPr>
        <w:t xml:space="preserve"> occurs</w:t>
      </w:r>
      <w:r w:rsidR="00F62777" w:rsidRPr="007C61D2">
        <w:rPr>
          <w:rFonts w:ascii="Garamond" w:eastAsia="Times New Roman" w:hAnsi="Garamond" w:cs="Times New Roman"/>
          <w:sz w:val="24"/>
          <w:szCs w:val="24"/>
        </w:rPr>
        <w:t xml:space="preserve">. </w:t>
      </w:r>
      <w:r w:rsidR="006F6C9A" w:rsidRPr="007C61D2">
        <w:rPr>
          <w:rFonts w:ascii="Garamond" w:eastAsia="Times New Roman" w:hAnsi="Garamond" w:cs="Times New Roman"/>
          <w:sz w:val="24"/>
          <w:szCs w:val="24"/>
        </w:rPr>
        <w:t xml:space="preserve">While </w:t>
      </w:r>
      <w:r w:rsidR="00337F97">
        <w:rPr>
          <w:rFonts w:ascii="Garamond" w:eastAsia="Times New Roman" w:hAnsi="Garamond" w:cs="Times New Roman"/>
          <w:sz w:val="24"/>
          <w:szCs w:val="24"/>
        </w:rPr>
        <w:t xml:space="preserve">introducing dividers and walls </w:t>
      </w:r>
      <w:r w:rsidR="006F6C9A" w:rsidRPr="007C61D2">
        <w:rPr>
          <w:rFonts w:ascii="Garamond" w:eastAsia="Times New Roman" w:hAnsi="Garamond" w:cs="Times New Roman"/>
          <w:sz w:val="24"/>
          <w:szCs w:val="24"/>
        </w:rPr>
        <w:t>pre-empts embarrassment and risk by keeping bodies apart, risk assessment determines which bodies can gather, and attends to the social and spatial indices of danger</w:t>
      </w:r>
      <w:r w:rsidR="001A6EBC" w:rsidRPr="007C61D2">
        <w:rPr>
          <w:rFonts w:ascii="Garamond" w:eastAsia="Times New Roman" w:hAnsi="Garamond" w:cs="Times New Roman"/>
          <w:sz w:val="24"/>
          <w:szCs w:val="24"/>
        </w:rPr>
        <w:t>,</w:t>
      </w:r>
      <w:r w:rsidR="008A4C23" w:rsidRPr="007C61D2">
        <w:rPr>
          <w:rStyle w:val="FootnoteReference"/>
          <w:rFonts w:ascii="Garamond" w:eastAsia="Times New Roman" w:hAnsi="Garamond" w:cs="Times New Roman"/>
          <w:sz w:val="24"/>
          <w:szCs w:val="24"/>
        </w:rPr>
        <w:footnoteReference w:id="36"/>
      </w:r>
      <w:r w:rsidR="0049572E" w:rsidRPr="007C61D2">
        <w:rPr>
          <w:rFonts w:ascii="Garamond" w:eastAsia="Times New Roman" w:hAnsi="Garamond" w:cs="Times New Roman"/>
          <w:sz w:val="24"/>
          <w:szCs w:val="24"/>
        </w:rPr>
        <w:t xml:space="preserve"> </w:t>
      </w:r>
      <w:r w:rsidR="0077631B" w:rsidRPr="007C61D2">
        <w:rPr>
          <w:rFonts w:ascii="Garamond" w:eastAsia="Times New Roman" w:hAnsi="Garamond" w:cs="Times New Roman"/>
          <w:sz w:val="24"/>
          <w:szCs w:val="24"/>
        </w:rPr>
        <w:t xml:space="preserve">through </w:t>
      </w:r>
      <w:r w:rsidR="00931A55" w:rsidRPr="007C61D2">
        <w:rPr>
          <w:rFonts w:ascii="Garamond" w:eastAsia="Times New Roman" w:hAnsi="Garamond" w:cs="Times New Roman"/>
          <w:sz w:val="24"/>
          <w:szCs w:val="24"/>
        </w:rPr>
        <w:t>actuarial or governance technique</w:t>
      </w:r>
      <w:r w:rsidR="0077631B" w:rsidRPr="007C61D2">
        <w:rPr>
          <w:rFonts w:ascii="Garamond" w:eastAsia="Times New Roman" w:hAnsi="Garamond" w:cs="Times New Roman"/>
          <w:sz w:val="24"/>
          <w:szCs w:val="24"/>
        </w:rPr>
        <w:t>s</w:t>
      </w:r>
      <w:r w:rsidR="00931A55" w:rsidRPr="007C61D2">
        <w:rPr>
          <w:rFonts w:ascii="Garamond" w:eastAsia="Times New Roman" w:hAnsi="Garamond" w:cs="Times New Roman"/>
          <w:sz w:val="24"/>
          <w:szCs w:val="24"/>
        </w:rPr>
        <w:t>. Like the walls that designing for privacy introduces, risk assessment can also be read as an attempt to box social subjects</w:t>
      </w:r>
      <w:r w:rsidR="00337F97">
        <w:rPr>
          <w:rFonts w:ascii="Garamond" w:eastAsia="Times New Roman" w:hAnsi="Garamond" w:cs="Times New Roman"/>
          <w:sz w:val="24"/>
          <w:szCs w:val="24"/>
        </w:rPr>
        <w:t xml:space="preserve"> in</w:t>
      </w:r>
      <w:r w:rsidR="00931A55" w:rsidRPr="007C61D2">
        <w:rPr>
          <w:rFonts w:ascii="Garamond" w:eastAsia="Times New Roman" w:hAnsi="Garamond" w:cs="Times New Roman"/>
          <w:sz w:val="24"/>
          <w:szCs w:val="24"/>
        </w:rPr>
        <w:t>.  E</w:t>
      </w:r>
      <w:r w:rsidR="008966F6" w:rsidRPr="007C61D2">
        <w:rPr>
          <w:rFonts w:ascii="Garamond" w:eastAsia="Times New Roman" w:hAnsi="Garamond" w:cs="Times New Roman"/>
          <w:sz w:val="24"/>
          <w:szCs w:val="24"/>
        </w:rPr>
        <w:t xml:space="preserve">ven when </w:t>
      </w:r>
      <w:r w:rsidR="008515F6">
        <w:rPr>
          <w:rFonts w:ascii="Garamond" w:eastAsia="Times New Roman" w:hAnsi="Garamond" w:cs="Times New Roman"/>
          <w:sz w:val="24"/>
          <w:szCs w:val="24"/>
        </w:rPr>
        <w:t xml:space="preserve">it </w:t>
      </w:r>
      <w:r w:rsidR="00931A55" w:rsidRPr="007C61D2">
        <w:rPr>
          <w:rFonts w:ascii="Garamond" w:eastAsia="Times New Roman" w:hAnsi="Garamond" w:cs="Times New Roman"/>
          <w:sz w:val="24"/>
          <w:szCs w:val="24"/>
        </w:rPr>
        <w:t xml:space="preserve">focuses </w:t>
      </w:r>
      <w:r w:rsidR="008966F6" w:rsidRPr="007C61D2">
        <w:rPr>
          <w:rFonts w:ascii="Garamond" w:eastAsia="Times New Roman" w:hAnsi="Garamond" w:cs="Times New Roman"/>
          <w:sz w:val="24"/>
          <w:szCs w:val="24"/>
        </w:rPr>
        <w:t xml:space="preserve">on behaviours, </w:t>
      </w:r>
      <w:r w:rsidR="00627D3A" w:rsidRPr="007C61D2">
        <w:rPr>
          <w:rFonts w:ascii="Garamond" w:eastAsia="Times New Roman" w:hAnsi="Garamond" w:cs="Times New Roman"/>
          <w:sz w:val="24"/>
          <w:szCs w:val="24"/>
        </w:rPr>
        <w:t xml:space="preserve">rather than </w:t>
      </w:r>
      <w:r w:rsidR="008966F6" w:rsidRPr="007C61D2">
        <w:rPr>
          <w:rFonts w:ascii="Garamond" w:eastAsia="Times New Roman" w:hAnsi="Garamond" w:cs="Times New Roman"/>
          <w:sz w:val="24"/>
          <w:szCs w:val="24"/>
        </w:rPr>
        <w:t>bodies or identities/ subjectivities</w:t>
      </w:r>
      <w:r w:rsidR="00931A55" w:rsidRPr="007C61D2">
        <w:rPr>
          <w:rFonts w:ascii="Garamond" w:eastAsia="Times New Roman" w:hAnsi="Garamond" w:cs="Times New Roman"/>
          <w:sz w:val="24"/>
          <w:szCs w:val="24"/>
        </w:rPr>
        <w:t xml:space="preserve">, </w:t>
      </w:r>
      <w:r w:rsidR="008515F6">
        <w:rPr>
          <w:rFonts w:ascii="Garamond" w:eastAsia="Times New Roman" w:hAnsi="Garamond" w:cs="Times New Roman"/>
          <w:sz w:val="24"/>
          <w:szCs w:val="24"/>
        </w:rPr>
        <w:t xml:space="preserve">risk assessment </w:t>
      </w:r>
      <w:r w:rsidR="00454597" w:rsidRPr="007C61D2">
        <w:rPr>
          <w:rFonts w:ascii="Garamond" w:eastAsia="Times New Roman" w:hAnsi="Garamond" w:cs="Times New Roman"/>
          <w:sz w:val="24"/>
          <w:szCs w:val="24"/>
        </w:rPr>
        <w:t>is often applied unevenly</w:t>
      </w:r>
      <w:r w:rsidR="008515F6">
        <w:rPr>
          <w:rFonts w:ascii="Garamond" w:eastAsia="Times New Roman" w:hAnsi="Garamond" w:cs="Times New Roman"/>
          <w:sz w:val="24"/>
          <w:szCs w:val="24"/>
        </w:rPr>
        <w:t>. C</w:t>
      </w:r>
      <w:r w:rsidR="00454597" w:rsidRPr="007C61D2">
        <w:rPr>
          <w:rFonts w:ascii="Garamond" w:eastAsia="Times New Roman" w:hAnsi="Garamond" w:cs="Times New Roman"/>
          <w:sz w:val="24"/>
          <w:szCs w:val="24"/>
        </w:rPr>
        <w:t xml:space="preserve">ertain subjects, </w:t>
      </w:r>
      <w:r w:rsidR="00A427E7" w:rsidRPr="007C61D2">
        <w:rPr>
          <w:rFonts w:ascii="Garamond" w:eastAsia="Times New Roman" w:hAnsi="Garamond" w:cs="Times New Roman"/>
          <w:sz w:val="24"/>
          <w:szCs w:val="24"/>
        </w:rPr>
        <w:t xml:space="preserve">including </w:t>
      </w:r>
      <w:r w:rsidR="00454597" w:rsidRPr="007C61D2">
        <w:rPr>
          <w:rFonts w:ascii="Garamond" w:eastAsia="Times New Roman" w:hAnsi="Garamond" w:cs="Times New Roman"/>
          <w:sz w:val="24"/>
          <w:szCs w:val="24"/>
        </w:rPr>
        <w:t xml:space="preserve">those who are </w:t>
      </w:r>
      <w:r w:rsidR="005108F8" w:rsidRPr="007C61D2">
        <w:rPr>
          <w:rFonts w:ascii="Garamond" w:eastAsia="Times New Roman" w:hAnsi="Garamond" w:cs="Times New Roman"/>
          <w:sz w:val="24"/>
          <w:szCs w:val="24"/>
        </w:rPr>
        <w:t>economically marginal</w:t>
      </w:r>
      <w:r w:rsidR="00454597" w:rsidRPr="007C61D2">
        <w:rPr>
          <w:rFonts w:ascii="Garamond" w:eastAsia="Times New Roman" w:hAnsi="Garamond" w:cs="Times New Roman"/>
          <w:sz w:val="24"/>
          <w:szCs w:val="24"/>
        </w:rPr>
        <w:t>,</w:t>
      </w:r>
      <w:r w:rsidR="005108F8" w:rsidRPr="007C61D2">
        <w:rPr>
          <w:rFonts w:ascii="Garamond" w:eastAsia="Times New Roman" w:hAnsi="Garamond" w:cs="Times New Roman"/>
          <w:sz w:val="24"/>
          <w:szCs w:val="24"/>
        </w:rPr>
        <w:t xml:space="preserve"> </w:t>
      </w:r>
      <w:r w:rsidR="00A7258F">
        <w:rPr>
          <w:rFonts w:ascii="Garamond" w:eastAsia="Times New Roman" w:hAnsi="Garamond" w:cs="Times New Roman"/>
          <w:sz w:val="24"/>
          <w:szCs w:val="24"/>
        </w:rPr>
        <w:t>racialised (see e.g. Mythen et al. 2009)</w:t>
      </w:r>
      <w:r w:rsidR="00454597" w:rsidRPr="007C61D2">
        <w:rPr>
          <w:rFonts w:ascii="Garamond" w:eastAsia="Times New Roman" w:hAnsi="Garamond" w:cs="Times New Roman"/>
          <w:sz w:val="24"/>
          <w:szCs w:val="24"/>
        </w:rPr>
        <w:t>,</w:t>
      </w:r>
      <w:r w:rsidR="009E155B" w:rsidRPr="007C61D2">
        <w:rPr>
          <w:rFonts w:ascii="Garamond" w:eastAsia="Times New Roman" w:hAnsi="Garamond" w:cs="Times New Roman"/>
          <w:sz w:val="24"/>
          <w:szCs w:val="24"/>
        </w:rPr>
        <w:t xml:space="preserve"> </w:t>
      </w:r>
      <w:r w:rsidR="00623DFC" w:rsidRPr="007C61D2">
        <w:rPr>
          <w:rFonts w:ascii="Garamond" w:eastAsia="Times New Roman" w:hAnsi="Garamond" w:cs="Times New Roman"/>
          <w:sz w:val="24"/>
          <w:szCs w:val="24"/>
        </w:rPr>
        <w:t xml:space="preserve">or </w:t>
      </w:r>
      <w:r w:rsidR="00B431C4" w:rsidRPr="007C61D2">
        <w:rPr>
          <w:rFonts w:ascii="Garamond" w:eastAsia="Times New Roman" w:hAnsi="Garamond" w:cs="Times New Roman"/>
          <w:sz w:val="24"/>
          <w:szCs w:val="24"/>
        </w:rPr>
        <w:t xml:space="preserve">who </w:t>
      </w:r>
      <w:r w:rsidR="00623DFC" w:rsidRPr="007C61D2">
        <w:rPr>
          <w:rFonts w:ascii="Garamond" w:eastAsia="Times New Roman" w:hAnsi="Garamond" w:cs="Times New Roman"/>
          <w:sz w:val="24"/>
          <w:szCs w:val="24"/>
        </w:rPr>
        <w:t>have transitioned,</w:t>
      </w:r>
      <w:r w:rsidR="00623DFC" w:rsidRPr="007C61D2">
        <w:rPr>
          <w:rStyle w:val="FootnoteReference"/>
          <w:rFonts w:ascii="Garamond" w:eastAsia="Times New Roman" w:hAnsi="Garamond" w:cs="Times New Roman"/>
          <w:sz w:val="24"/>
          <w:szCs w:val="24"/>
        </w:rPr>
        <w:footnoteReference w:id="37"/>
      </w:r>
      <w:r w:rsidR="00623DFC" w:rsidRPr="007C61D2">
        <w:rPr>
          <w:rFonts w:ascii="Garamond" w:eastAsia="Times New Roman" w:hAnsi="Garamond" w:cs="Times New Roman"/>
          <w:sz w:val="24"/>
          <w:szCs w:val="24"/>
        </w:rPr>
        <w:t xml:space="preserve"> </w:t>
      </w:r>
      <w:r w:rsidR="008966F6" w:rsidRPr="007C61D2">
        <w:rPr>
          <w:rFonts w:ascii="Garamond" w:eastAsia="Times New Roman" w:hAnsi="Garamond" w:cs="Times New Roman"/>
          <w:sz w:val="24"/>
          <w:szCs w:val="24"/>
        </w:rPr>
        <w:t xml:space="preserve">are </w:t>
      </w:r>
      <w:r w:rsidR="00454597" w:rsidRPr="007C61D2">
        <w:rPr>
          <w:rFonts w:ascii="Garamond" w:eastAsia="Times New Roman" w:hAnsi="Garamond" w:cs="Times New Roman"/>
          <w:sz w:val="24"/>
          <w:szCs w:val="24"/>
        </w:rPr>
        <w:t>more typically identified as subjects of concern</w:t>
      </w:r>
      <w:r w:rsidR="00FC33AA" w:rsidRPr="007C61D2">
        <w:rPr>
          <w:rFonts w:ascii="Garamond" w:eastAsia="Times New Roman" w:hAnsi="Garamond" w:cs="Times New Roman"/>
          <w:sz w:val="24"/>
          <w:szCs w:val="24"/>
        </w:rPr>
        <w:t>.</w:t>
      </w:r>
      <w:r w:rsidR="00454597" w:rsidRPr="007C61D2">
        <w:rPr>
          <w:rFonts w:ascii="Garamond" w:eastAsia="Times New Roman" w:hAnsi="Garamond" w:cs="Times New Roman"/>
          <w:sz w:val="24"/>
          <w:szCs w:val="24"/>
        </w:rPr>
        <w:t xml:space="preserve"> </w:t>
      </w:r>
      <w:r w:rsidR="00FC33AA" w:rsidRPr="007C61D2">
        <w:rPr>
          <w:rFonts w:ascii="Garamond" w:eastAsia="Times New Roman" w:hAnsi="Garamond" w:cs="Times New Roman"/>
          <w:sz w:val="24"/>
          <w:szCs w:val="24"/>
        </w:rPr>
        <w:t>I</w:t>
      </w:r>
      <w:r w:rsidR="005108F8" w:rsidRPr="007C61D2">
        <w:rPr>
          <w:rFonts w:ascii="Garamond" w:eastAsia="Times New Roman" w:hAnsi="Garamond" w:cs="Times New Roman"/>
          <w:sz w:val="24"/>
          <w:szCs w:val="24"/>
        </w:rPr>
        <w:t xml:space="preserve">n the precautionary drive to pre-empt possible and imagined risks </w:t>
      </w:r>
      <w:r w:rsidR="00931A55" w:rsidRPr="007C61D2">
        <w:rPr>
          <w:rFonts w:ascii="Garamond" w:eastAsia="Times New Roman" w:hAnsi="Garamond" w:cs="Times New Roman"/>
          <w:sz w:val="24"/>
          <w:szCs w:val="24"/>
        </w:rPr>
        <w:t xml:space="preserve">by knowing </w:t>
      </w:r>
      <w:r w:rsidR="00FC33AA" w:rsidRPr="007C61D2">
        <w:rPr>
          <w:rFonts w:ascii="Garamond" w:eastAsia="Times New Roman" w:hAnsi="Garamond" w:cs="Times New Roman"/>
          <w:sz w:val="24"/>
          <w:szCs w:val="24"/>
        </w:rPr>
        <w:t xml:space="preserve">their </w:t>
      </w:r>
      <w:r w:rsidR="00931A55" w:rsidRPr="007C61D2">
        <w:rPr>
          <w:rFonts w:ascii="Garamond" w:eastAsia="Times New Roman" w:hAnsi="Garamond" w:cs="Times New Roman"/>
          <w:sz w:val="24"/>
          <w:szCs w:val="24"/>
        </w:rPr>
        <w:t>signs</w:t>
      </w:r>
      <w:r w:rsidR="00FC33AA" w:rsidRPr="007C61D2">
        <w:rPr>
          <w:rFonts w:ascii="Garamond" w:eastAsia="Times New Roman" w:hAnsi="Garamond" w:cs="Times New Roman"/>
          <w:sz w:val="24"/>
          <w:szCs w:val="24"/>
        </w:rPr>
        <w:t xml:space="preserve">, risk assessment </w:t>
      </w:r>
      <w:r w:rsidR="00931A55" w:rsidRPr="007C61D2">
        <w:rPr>
          <w:rFonts w:ascii="Garamond" w:eastAsia="Times New Roman" w:hAnsi="Garamond" w:cs="Times New Roman"/>
          <w:sz w:val="24"/>
          <w:szCs w:val="24"/>
        </w:rPr>
        <w:t xml:space="preserve">restrains and excludes those </w:t>
      </w:r>
      <w:r w:rsidR="00FC33AA" w:rsidRPr="007C61D2">
        <w:rPr>
          <w:rFonts w:ascii="Garamond" w:eastAsia="Times New Roman" w:hAnsi="Garamond" w:cs="Times New Roman"/>
          <w:sz w:val="24"/>
          <w:szCs w:val="24"/>
        </w:rPr>
        <w:t xml:space="preserve">deemed to hold </w:t>
      </w:r>
      <w:r w:rsidR="00931A55" w:rsidRPr="007C61D2">
        <w:rPr>
          <w:rFonts w:ascii="Garamond" w:eastAsia="Times New Roman" w:hAnsi="Garamond" w:cs="Times New Roman"/>
          <w:sz w:val="24"/>
          <w:szCs w:val="24"/>
        </w:rPr>
        <w:t xml:space="preserve">danger before danger occurs </w:t>
      </w:r>
      <w:r w:rsidR="009E1CC1" w:rsidRPr="007C61D2">
        <w:rPr>
          <w:rFonts w:ascii="Garamond" w:eastAsia="Times New Roman" w:hAnsi="Garamond" w:cs="Times New Roman"/>
          <w:sz w:val="24"/>
          <w:szCs w:val="24"/>
        </w:rPr>
        <w:t>(see Rose 2000</w:t>
      </w:r>
      <w:r w:rsidR="00B431C4" w:rsidRPr="007C61D2">
        <w:rPr>
          <w:rFonts w:ascii="Garamond" w:eastAsia="Times New Roman" w:hAnsi="Garamond" w:cs="Times New Roman"/>
          <w:sz w:val="24"/>
          <w:szCs w:val="24"/>
        </w:rPr>
        <w:t>; Werth 2019</w:t>
      </w:r>
      <w:r w:rsidR="009E1CC1" w:rsidRPr="007C61D2">
        <w:rPr>
          <w:rFonts w:ascii="Garamond" w:eastAsia="Times New Roman" w:hAnsi="Garamond" w:cs="Times New Roman"/>
          <w:sz w:val="24"/>
          <w:szCs w:val="24"/>
        </w:rPr>
        <w:t>)</w:t>
      </w:r>
      <w:r w:rsidR="005108F8" w:rsidRPr="007C61D2">
        <w:rPr>
          <w:rFonts w:ascii="Garamond" w:eastAsia="Times New Roman" w:hAnsi="Garamond" w:cs="Times New Roman"/>
          <w:sz w:val="24"/>
          <w:szCs w:val="24"/>
        </w:rPr>
        <w:t>.</w:t>
      </w:r>
      <w:r w:rsidR="00623DFC" w:rsidRPr="007C61D2">
        <w:rPr>
          <w:rFonts w:ascii="Garamond" w:eastAsia="Times New Roman" w:hAnsi="Garamond" w:cs="Times New Roman"/>
          <w:sz w:val="24"/>
          <w:szCs w:val="24"/>
        </w:rPr>
        <w:t xml:space="preserve"> </w:t>
      </w:r>
    </w:p>
    <w:p w14:paraId="2A81695E" w14:textId="3B86F3FB" w:rsidR="00910F3B" w:rsidRPr="007C61D2" w:rsidRDefault="008515F6" w:rsidP="00AB322D">
      <w:pPr>
        <w:spacing w:before="240" w:after="120" w:line="360" w:lineRule="auto"/>
        <w:ind w:firstLine="720"/>
        <w:rPr>
          <w:rFonts w:ascii="Garamond" w:eastAsia="Times New Roman" w:hAnsi="Garamond" w:cs="Times New Roman"/>
          <w:sz w:val="24"/>
          <w:szCs w:val="24"/>
        </w:rPr>
      </w:pPr>
      <w:r>
        <w:rPr>
          <w:rFonts w:ascii="Garamond" w:eastAsia="Times New Roman" w:hAnsi="Garamond" w:cs="Times New Roman"/>
          <w:sz w:val="24"/>
          <w:szCs w:val="24"/>
        </w:rPr>
        <w:t xml:space="preserve">With its focus </w:t>
      </w:r>
      <w:r w:rsidR="00A427E7" w:rsidRPr="007C61D2">
        <w:rPr>
          <w:rFonts w:ascii="Garamond" w:eastAsia="Times New Roman" w:hAnsi="Garamond" w:cs="Times New Roman"/>
          <w:sz w:val="24"/>
          <w:szCs w:val="24"/>
        </w:rPr>
        <w:t>on</w:t>
      </w:r>
      <w:r w:rsidR="0077631B" w:rsidRPr="007C61D2">
        <w:rPr>
          <w:rFonts w:ascii="Garamond" w:eastAsia="Times New Roman" w:hAnsi="Garamond" w:cs="Times New Roman"/>
          <w:sz w:val="24"/>
          <w:szCs w:val="24"/>
        </w:rPr>
        <w:t xml:space="preserve"> </w:t>
      </w:r>
      <w:r w:rsidR="0049572E" w:rsidRPr="007C61D2">
        <w:rPr>
          <w:rFonts w:ascii="Garamond" w:eastAsia="Times New Roman" w:hAnsi="Garamond" w:cs="Times New Roman"/>
          <w:sz w:val="24"/>
          <w:szCs w:val="24"/>
        </w:rPr>
        <w:t xml:space="preserve">harm, </w:t>
      </w:r>
      <w:r w:rsidR="00623DFC" w:rsidRPr="007C61D2">
        <w:rPr>
          <w:rFonts w:ascii="Garamond" w:eastAsia="Times New Roman" w:hAnsi="Garamond" w:cs="Times New Roman"/>
          <w:sz w:val="24"/>
          <w:szCs w:val="24"/>
        </w:rPr>
        <w:t>risk assessment techniques</w:t>
      </w:r>
      <w:r w:rsidR="008635A2" w:rsidRPr="007C61D2">
        <w:rPr>
          <w:rFonts w:ascii="Garamond" w:eastAsia="Times New Roman" w:hAnsi="Garamond" w:cs="Times New Roman"/>
          <w:sz w:val="24"/>
          <w:szCs w:val="24"/>
        </w:rPr>
        <w:t>,</w:t>
      </w:r>
      <w:r w:rsidR="00623DFC" w:rsidRPr="007C61D2">
        <w:rPr>
          <w:rFonts w:ascii="Garamond" w:eastAsia="Times New Roman" w:hAnsi="Garamond" w:cs="Times New Roman"/>
          <w:sz w:val="24"/>
          <w:szCs w:val="24"/>
        </w:rPr>
        <w:t xml:space="preserve"> </w:t>
      </w:r>
      <w:r w:rsidR="0049572E" w:rsidRPr="007C61D2">
        <w:rPr>
          <w:rFonts w:ascii="Garamond" w:eastAsia="Times New Roman" w:hAnsi="Garamond" w:cs="Times New Roman"/>
          <w:sz w:val="24"/>
          <w:szCs w:val="24"/>
        </w:rPr>
        <w:t>like privacy</w:t>
      </w:r>
      <w:r w:rsidR="00623DFC" w:rsidRPr="007C61D2">
        <w:rPr>
          <w:rFonts w:ascii="Garamond" w:eastAsia="Times New Roman" w:hAnsi="Garamond" w:cs="Times New Roman"/>
          <w:sz w:val="24"/>
          <w:szCs w:val="24"/>
        </w:rPr>
        <w:t xml:space="preserve"> measures</w:t>
      </w:r>
      <w:r w:rsidR="008635A2" w:rsidRPr="007C61D2">
        <w:rPr>
          <w:rFonts w:ascii="Garamond" w:eastAsia="Times New Roman" w:hAnsi="Garamond" w:cs="Times New Roman"/>
          <w:sz w:val="24"/>
          <w:szCs w:val="24"/>
        </w:rPr>
        <w:t>,</w:t>
      </w:r>
      <w:r w:rsidR="00623DFC" w:rsidRPr="007C61D2">
        <w:rPr>
          <w:rFonts w:ascii="Garamond" w:eastAsia="Times New Roman" w:hAnsi="Garamond" w:cs="Times New Roman"/>
          <w:sz w:val="24"/>
          <w:szCs w:val="24"/>
        </w:rPr>
        <w:t xml:space="preserve"> </w:t>
      </w:r>
      <w:r w:rsidR="00A427E7" w:rsidRPr="007C61D2">
        <w:rPr>
          <w:rFonts w:ascii="Garamond" w:eastAsia="Times New Roman" w:hAnsi="Garamond" w:cs="Times New Roman"/>
          <w:sz w:val="24"/>
          <w:szCs w:val="24"/>
        </w:rPr>
        <w:t xml:space="preserve">also </w:t>
      </w:r>
      <w:r w:rsidR="00623DFC" w:rsidRPr="007C61D2">
        <w:rPr>
          <w:rFonts w:ascii="Garamond" w:eastAsia="Times New Roman" w:hAnsi="Garamond" w:cs="Times New Roman"/>
          <w:sz w:val="24"/>
          <w:szCs w:val="24"/>
        </w:rPr>
        <w:t xml:space="preserve">insufficiently attend to </w:t>
      </w:r>
      <w:r w:rsidR="001072C0" w:rsidRPr="007C61D2">
        <w:rPr>
          <w:rFonts w:ascii="Garamond" w:eastAsia="Times New Roman" w:hAnsi="Garamond" w:cs="Times New Roman"/>
          <w:sz w:val="24"/>
          <w:szCs w:val="24"/>
        </w:rPr>
        <w:t xml:space="preserve">an important </w:t>
      </w:r>
      <w:r w:rsidR="005108F8" w:rsidRPr="007C61D2">
        <w:rPr>
          <w:rFonts w:ascii="Garamond" w:eastAsia="Times New Roman" w:hAnsi="Garamond" w:cs="Times New Roman"/>
          <w:sz w:val="24"/>
          <w:szCs w:val="24"/>
        </w:rPr>
        <w:t xml:space="preserve">set </w:t>
      </w:r>
      <w:r w:rsidR="0049572E" w:rsidRPr="007C61D2">
        <w:rPr>
          <w:rFonts w:ascii="Garamond" w:eastAsia="Times New Roman" w:hAnsi="Garamond" w:cs="Times New Roman"/>
          <w:sz w:val="24"/>
          <w:szCs w:val="24"/>
        </w:rPr>
        <w:t xml:space="preserve">of reasons why feminists </w:t>
      </w:r>
      <w:r w:rsidR="009E155B" w:rsidRPr="007C61D2">
        <w:rPr>
          <w:rFonts w:ascii="Garamond" w:eastAsia="Times New Roman" w:hAnsi="Garamond" w:cs="Times New Roman"/>
          <w:sz w:val="24"/>
          <w:szCs w:val="24"/>
        </w:rPr>
        <w:t xml:space="preserve">and others </w:t>
      </w:r>
      <w:r w:rsidR="00623DFC" w:rsidRPr="007C61D2">
        <w:rPr>
          <w:rFonts w:ascii="Garamond" w:eastAsia="Times New Roman" w:hAnsi="Garamond" w:cs="Times New Roman"/>
          <w:sz w:val="24"/>
          <w:szCs w:val="24"/>
        </w:rPr>
        <w:t xml:space="preserve">desire </w:t>
      </w:r>
      <w:r w:rsidR="0049572E" w:rsidRPr="007C61D2">
        <w:rPr>
          <w:rFonts w:ascii="Garamond" w:eastAsia="Times New Roman" w:hAnsi="Garamond" w:cs="Times New Roman"/>
          <w:sz w:val="24"/>
          <w:szCs w:val="24"/>
        </w:rPr>
        <w:t>women-only provision</w:t>
      </w:r>
      <w:r w:rsidR="005108F8" w:rsidRPr="007C61D2">
        <w:rPr>
          <w:rFonts w:ascii="Garamond" w:eastAsia="Times New Roman" w:hAnsi="Garamond" w:cs="Times New Roman"/>
          <w:sz w:val="24"/>
          <w:szCs w:val="24"/>
        </w:rPr>
        <w:t xml:space="preserve">. These reasons are not primarily about safety or </w:t>
      </w:r>
      <w:r w:rsidR="00931A55" w:rsidRPr="007C61D2">
        <w:rPr>
          <w:rFonts w:ascii="Garamond" w:eastAsia="Times New Roman" w:hAnsi="Garamond" w:cs="Times New Roman"/>
          <w:sz w:val="24"/>
          <w:szCs w:val="24"/>
        </w:rPr>
        <w:t xml:space="preserve">danger </w:t>
      </w:r>
      <w:r w:rsidR="005108F8" w:rsidRPr="007C61D2">
        <w:rPr>
          <w:rFonts w:ascii="Garamond" w:eastAsia="Times New Roman" w:hAnsi="Garamond" w:cs="Times New Roman"/>
          <w:sz w:val="24"/>
          <w:szCs w:val="24"/>
        </w:rPr>
        <w:t xml:space="preserve">but </w:t>
      </w:r>
      <w:r w:rsidR="008A4C23" w:rsidRPr="007C61D2">
        <w:rPr>
          <w:rFonts w:ascii="Garamond" w:eastAsia="Times New Roman" w:hAnsi="Garamond" w:cs="Times New Roman"/>
          <w:sz w:val="24"/>
          <w:szCs w:val="24"/>
        </w:rPr>
        <w:t xml:space="preserve">about </w:t>
      </w:r>
      <w:r w:rsidR="0049572E" w:rsidRPr="007C61D2">
        <w:rPr>
          <w:rFonts w:ascii="Garamond" w:eastAsia="Times New Roman" w:hAnsi="Garamond" w:cs="Times New Roman"/>
          <w:sz w:val="24"/>
          <w:szCs w:val="24"/>
        </w:rPr>
        <w:t>the pleasures, solidarities</w:t>
      </w:r>
      <w:r w:rsidR="005108F8" w:rsidRPr="007C61D2">
        <w:rPr>
          <w:rFonts w:ascii="Garamond" w:eastAsia="Times New Roman" w:hAnsi="Garamond" w:cs="Times New Roman"/>
          <w:sz w:val="24"/>
          <w:szCs w:val="24"/>
        </w:rPr>
        <w:t>, community-building</w:t>
      </w:r>
      <w:r>
        <w:rPr>
          <w:rFonts w:ascii="Garamond" w:eastAsia="Times New Roman" w:hAnsi="Garamond" w:cs="Times New Roman"/>
          <w:sz w:val="24"/>
          <w:szCs w:val="24"/>
        </w:rPr>
        <w:t>,</w:t>
      </w:r>
      <w:r w:rsidR="0049572E" w:rsidRPr="007C61D2">
        <w:rPr>
          <w:rFonts w:ascii="Garamond" w:eastAsia="Times New Roman" w:hAnsi="Garamond" w:cs="Times New Roman"/>
          <w:sz w:val="24"/>
          <w:szCs w:val="24"/>
        </w:rPr>
        <w:t xml:space="preserve"> and politics that come from activism</w:t>
      </w:r>
      <w:r w:rsidR="001072C0" w:rsidRPr="007C61D2">
        <w:rPr>
          <w:rFonts w:ascii="Garamond" w:eastAsia="Times New Roman" w:hAnsi="Garamond" w:cs="Times New Roman"/>
          <w:sz w:val="24"/>
          <w:szCs w:val="24"/>
        </w:rPr>
        <w:t xml:space="preserve"> and</w:t>
      </w:r>
      <w:r w:rsidR="0049572E" w:rsidRPr="007C61D2">
        <w:rPr>
          <w:rFonts w:ascii="Garamond" w:eastAsia="Times New Roman" w:hAnsi="Garamond" w:cs="Times New Roman"/>
          <w:sz w:val="24"/>
          <w:szCs w:val="24"/>
        </w:rPr>
        <w:t xml:space="preserve"> consciousness raising, </w:t>
      </w:r>
      <w:r w:rsidR="00B431C4" w:rsidRPr="007C61D2">
        <w:rPr>
          <w:rFonts w:ascii="Garamond" w:eastAsia="Times New Roman" w:hAnsi="Garamond" w:cs="Times New Roman"/>
          <w:sz w:val="24"/>
          <w:szCs w:val="24"/>
        </w:rPr>
        <w:t xml:space="preserve">as well as from </w:t>
      </w:r>
      <w:r w:rsidR="005108F8" w:rsidRPr="007C61D2">
        <w:rPr>
          <w:rFonts w:ascii="Garamond" w:eastAsia="Times New Roman" w:hAnsi="Garamond" w:cs="Times New Roman"/>
          <w:sz w:val="24"/>
          <w:szCs w:val="24"/>
        </w:rPr>
        <w:t>cultural, religious</w:t>
      </w:r>
      <w:r w:rsidR="001072C0" w:rsidRPr="007C61D2">
        <w:rPr>
          <w:rFonts w:ascii="Garamond" w:eastAsia="Times New Roman" w:hAnsi="Garamond" w:cs="Times New Roman"/>
          <w:sz w:val="24"/>
          <w:szCs w:val="24"/>
        </w:rPr>
        <w:t>,</w:t>
      </w:r>
      <w:r w:rsidR="0049572E" w:rsidRPr="007C61D2">
        <w:rPr>
          <w:rFonts w:ascii="Garamond" w:eastAsia="Times New Roman" w:hAnsi="Garamond" w:cs="Times New Roman"/>
          <w:sz w:val="24"/>
          <w:szCs w:val="24"/>
        </w:rPr>
        <w:t xml:space="preserve"> arts-based</w:t>
      </w:r>
      <w:r w:rsidR="00A427E7" w:rsidRPr="007C61D2">
        <w:rPr>
          <w:rFonts w:ascii="Garamond" w:eastAsia="Times New Roman" w:hAnsi="Garamond" w:cs="Times New Roman"/>
          <w:sz w:val="24"/>
          <w:szCs w:val="24"/>
        </w:rPr>
        <w:t>, erotic</w:t>
      </w:r>
      <w:r w:rsidR="0049572E" w:rsidRPr="007C61D2">
        <w:rPr>
          <w:rFonts w:ascii="Garamond" w:eastAsia="Times New Roman" w:hAnsi="Garamond" w:cs="Times New Roman"/>
          <w:sz w:val="24"/>
          <w:szCs w:val="24"/>
        </w:rPr>
        <w:t xml:space="preserve"> </w:t>
      </w:r>
      <w:r w:rsidR="001072C0" w:rsidRPr="007C61D2">
        <w:rPr>
          <w:rFonts w:ascii="Garamond" w:eastAsia="Times New Roman" w:hAnsi="Garamond" w:cs="Times New Roman"/>
          <w:sz w:val="24"/>
          <w:szCs w:val="24"/>
        </w:rPr>
        <w:t xml:space="preserve">and recreational </w:t>
      </w:r>
      <w:r w:rsidR="0049572E" w:rsidRPr="007C61D2">
        <w:rPr>
          <w:rFonts w:ascii="Garamond" w:eastAsia="Times New Roman" w:hAnsi="Garamond" w:cs="Times New Roman"/>
          <w:sz w:val="24"/>
          <w:szCs w:val="24"/>
        </w:rPr>
        <w:t>activities</w:t>
      </w:r>
      <w:r w:rsidR="00B431C4" w:rsidRPr="007C61D2">
        <w:rPr>
          <w:rFonts w:ascii="Garamond" w:eastAsia="Times New Roman" w:hAnsi="Garamond" w:cs="Times New Roman"/>
          <w:sz w:val="24"/>
          <w:szCs w:val="24"/>
        </w:rPr>
        <w:t>,</w:t>
      </w:r>
      <w:r w:rsidR="002D5267" w:rsidRPr="007C61D2">
        <w:rPr>
          <w:rFonts w:ascii="Garamond" w:eastAsia="Times New Roman" w:hAnsi="Garamond" w:cs="Times New Roman"/>
          <w:sz w:val="24"/>
          <w:szCs w:val="24"/>
        </w:rPr>
        <w:t xml:space="preserve"> that are women-only</w:t>
      </w:r>
      <w:r w:rsidR="00337F97">
        <w:rPr>
          <w:rFonts w:ascii="Garamond" w:eastAsia="Times New Roman" w:hAnsi="Garamond" w:cs="Times New Roman"/>
          <w:sz w:val="24"/>
          <w:szCs w:val="24"/>
        </w:rPr>
        <w:t xml:space="preserve"> (see Jeffreys 2018)</w:t>
      </w:r>
      <w:r w:rsidR="0049572E" w:rsidRPr="007C61D2">
        <w:rPr>
          <w:rFonts w:ascii="Garamond" w:eastAsia="Times New Roman" w:hAnsi="Garamond" w:cs="Times New Roman"/>
          <w:sz w:val="24"/>
          <w:szCs w:val="24"/>
        </w:rPr>
        <w:t xml:space="preserve">. </w:t>
      </w:r>
      <w:r w:rsidR="00A427E7" w:rsidRPr="007C61D2">
        <w:rPr>
          <w:rFonts w:ascii="Garamond" w:eastAsia="Times New Roman" w:hAnsi="Garamond" w:cs="Times New Roman"/>
          <w:sz w:val="24"/>
          <w:szCs w:val="24"/>
        </w:rPr>
        <w:t>S</w:t>
      </w:r>
      <w:r w:rsidR="0049572E" w:rsidRPr="007C61D2">
        <w:rPr>
          <w:rFonts w:ascii="Garamond" w:eastAsia="Times New Roman" w:hAnsi="Garamond" w:cs="Times New Roman"/>
          <w:sz w:val="24"/>
          <w:szCs w:val="24"/>
        </w:rPr>
        <w:t>tate law</w:t>
      </w:r>
      <w:r w:rsidR="0077631B" w:rsidRPr="007C61D2">
        <w:rPr>
          <w:rFonts w:ascii="Garamond" w:eastAsia="Times New Roman" w:hAnsi="Garamond" w:cs="Times New Roman"/>
          <w:sz w:val="24"/>
          <w:szCs w:val="24"/>
        </w:rPr>
        <w:t>’s withdrawal</w:t>
      </w:r>
      <w:r w:rsidR="0049572E" w:rsidRPr="007C61D2">
        <w:rPr>
          <w:rFonts w:ascii="Garamond" w:eastAsia="Times New Roman" w:hAnsi="Garamond" w:cs="Times New Roman"/>
          <w:sz w:val="24"/>
          <w:szCs w:val="24"/>
        </w:rPr>
        <w:t xml:space="preserve"> from registering and assigning sex/ gender </w:t>
      </w:r>
      <w:r w:rsidR="001A6EBC" w:rsidRPr="007C61D2">
        <w:rPr>
          <w:rFonts w:ascii="Garamond" w:eastAsia="Times New Roman" w:hAnsi="Garamond" w:cs="Times New Roman"/>
          <w:sz w:val="24"/>
          <w:szCs w:val="24"/>
        </w:rPr>
        <w:t xml:space="preserve">does </w:t>
      </w:r>
      <w:r w:rsidR="0049572E" w:rsidRPr="007C61D2">
        <w:rPr>
          <w:rFonts w:ascii="Garamond" w:eastAsia="Times New Roman" w:hAnsi="Garamond" w:cs="Times New Roman"/>
          <w:sz w:val="24"/>
          <w:szCs w:val="24"/>
        </w:rPr>
        <w:t xml:space="preserve">not </w:t>
      </w:r>
      <w:r w:rsidR="001C2B1D" w:rsidRPr="007C61D2">
        <w:rPr>
          <w:rFonts w:ascii="Garamond" w:eastAsia="Times New Roman" w:hAnsi="Garamond" w:cs="Times New Roman"/>
          <w:sz w:val="24"/>
          <w:szCs w:val="24"/>
        </w:rPr>
        <w:t xml:space="preserve">make women-only spaces </w:t>
      </w:r>
      <w:r w:rsidR="001C2B1D" w:rsidRPr="007C61D2">
        <w:rPr>
          <w:rFonts w:ascii="Garamond" w:eastAsia="Times New Roman" w:hAnsi="Garamond" w:cs="Times New Roman"/>
          <w:sz w:val="24"/>
          <w:szCs w:val="24"/>
        </w:rPr>
        <w:lastRenderedPageBreak/>
        <w:t xml:space="preserve">impossible. </w:t>
      </w:r>
      <w:r w:rsidR="00931A55" w:rsidRPr="007C61D2">
        <w:rPr>
          <w:rFonts w:ascii="Garamond" w:eastAsia="Times New Roman" w:hAnsi="Garamond" w:cs="Times New Roman"/>
          <w:sz w:val="24"/>
          <w:szCs w:val="24"/>
        </w:rPr>
        <w:t xml:space="preserve">It depends on </w:t>
      </w:r>
      <w:r w:rsidR="001C2B1D" w:rsidRPr="007C61D2">
        <w:rPr>
          <w:rFonts w:ascii="Garamond" w:eastAsia="Times New Roman" w:hAnsi="Garamond" w:cs="Times New Roman"/>
          <w:sz w:val="24"/>
          <w:szCs w:val="24"/>
        </w:rPr>
        <w:t xml:space="preserve">whether community organisations, as </w:t>
      </w:r>
      <w:r w:rsidR="0049572E" w:rsidRPr="007C61D2">
        <w:rPr>
          <w:rFonts w:ascii="Garamond" w:eastAsia="Times New Roman" w:hAnsi="Garamond" w:cs="Times New Roman"/>
          <w:sz w:val="24"/>
          <w:szCs w:val="24"/>
        </w:rPr>
        <w:t>informal legal orders</w:t>
      </w:r>
      <w:r w:rsidR="001C2B1D" w:rsidRPr="007C61D2">
        <w:rPr>
          <w:rFonts w:ascii="Garamond" w:eastAsia="Times New Roman" w:hAnsi="Garamond" w:cs="Times New Roman"/>
          <w:sz w:val="24"/>
          <w:szCs w:val="24"/>
        </w:rPr>
        <w:t>,</w:t>
      </w:r>
      <w:r w:rsidR="0049572E" w:rsidRPr="007C61D2">
        <w:rPr>
          <w:rFonts w:ascii="Garamond" w:eastAsia="Times New Roman" w:hAnsi="Garamond" w:cs="Times New Roman"/>
          <w:sz w:val="24"/>
          <w:szCs w:val="24"/>
        </w:rPr>
        <w:t xml:space="preserve"> </w:t>
      </w:r>
      <w:r w:rsidR="001C2B1D" w:rsidRPr="007C61D2">
        <w:rPr>
          <w:rFonts w:ascii="Garamond" w:eastAsia="Times New Roman" w:hAnsi="Garamond" w:cs="Times New Roman"/>
          <w:sz w:val="24"/>
          <w:szCs w:val="24"/>
        </w:rPr>
        <w:t xml:space="preserve">can </w:t>
      </w:r>
      <w:r w:rsidR="0049572E" w:rsidRPr="007C61D2">
        <w:rPr>
          <w:rFonts w:ascii="Garamond" w:eastAsia="Times New Roman" w:hAnsi="Garamond" w:cs="Times New Roman"/>
          <w:sz w:val="24"/>
          <w:szCs w:val="24"/>
        </w:rPr>
        <w:t>do</w:t>
      </w:r>
      <w:r w:rsidR="00454597" w:rsidRPr="007C61D2">
        <w:rPr>
          <w:rFonts w:ascii="Garamond" w:eastAsia="Times New Roman" w:hAnsi="Garamond" w:cs="Times New Roman"/>
          <w:sz w:val="24"/>
          <w:szCs w:val="24"/>
        </w:rPr>
        <w:t xml:space="preserve"> this </w:t>
      </w:r>
      <w:r w:rsidR="001C2B1D" w:rsidRPr="007C61D2">
        <w:rPr>
          <w:rFonts w:ascii="Garamond" w:eastAsia="Times New Roman" w:hAnsi="Garamond" w:cs="Times New Roman"/>
          <w:sz w:val="24"/>
          <w:szCs w:val="24"/>
        </w:rPr>
        <w:t xml:space="preserve">selection </w:t>
      </w:r>
      <w:r w:rsidR="00454597" w:rsidRPr="007C61D2">
        <w:rPr>
          <w:rFonts w:ascii="Garamond" w:eastAsia="Times New Roman" w:hAnsi="Garamond" w:cs="Times New Roman"/>
          <w:sz w:val="24"/>
          <w:szCs w:val="24"/>
        </w:rPr>
        <w:t>work</w:t>
      </w:r>
      <w:r w:rsidR="001C2B1D" w:rsidRPr="007C61D2">
        <w:rPr>
          <w:rFonts w:ascii="Garamond" w:eastAsia="Times New Roman" w:hAnsi="Garamond" w:cs="Times New Roman"/>
          <w:sz w:val="24"/>
          <w:szCs w:val="24"/>
        </w:rPr>
        <w:t xml:space="preserve"> instead</w:t>
      </w:r>
      <w:r w:rsidR="0049572E" w:rsidRPr="007C61D2">
        <w:rPr>
          <w:rFonts w:ascii="Garamond" w:eastAsia="Times New Roman" w:hAnsi="Garamond" w:cs="Times New Roman"/>
          <w:sz w:val="24"/>
          <w:szCs w:val="24"/>
        </w:rPr>
        <w:t xml:space="preserve">. </w:t>
      </w:r>
      <w:r w:rsidR="00931A55" w:rsidRPr="007C61D2">
        <w:rPr>
          <w:rFonts w:ascii="Garamond" w:eastAsia="Times New Roman" w:hAnsi="Garamond" w:cs="Times New Roman"/>
          <w:sz w:val="24"/>
          <w:szCs w:val="24"/>
        </w:rPr>
        <w:t>F</w:t>
      </w:r>
      <w:r w:rsidR="009E155B" w:rsidRPr="007C61D2">
        <w:rPr>
          <w:rFonts w:ascii="Garamond" w:eastAsia="Times New Roman" w:hAnsi="Garamond" w:cs="Times New Roman"/>
          <w:sz w:val="24"/>
          <w:szCs w:val="24"/>
        </w:rPr>
        <w:t>or</w:t>
      </w:r>
      <w:r w:rsidR="001C2B1D" w:rsidRPr="007C61D2">
        <w:rPr>
          <w:rFonts w:ascii="Garamond" w:eastAsia="Times New Roman" w:hAnsi="Garamond" w:cs="Times New Roman"/>
          <w:sz w:val="24"/>
          <w:szCs w:val="24"/>
        </w:rPr>
        <w:t xml:space="preserve"> this to happen</w:t>
      </w:r>
      <w:r w:rsidR="00024AD6" w:rsidRPr="007C61D2">
        <w:rPr>
          <w:rFonts w:ascii="Garamond" w:eastAsia="Times New Roman" w:hAnsi="Garamond" w:cs="Times New Roman"/>
          <w:sz w:val="24"/>
          <w:szCs w:val="24"/>
        </w:rPr>
        <w:t>,</w:t>
      </w:r>
      <w:r w:rsidR="003E49CD" w:rsidRPr="007C61D2">
        <w:rPr>
          <w:rFonts w:ascii="Garamond" w:eastAsia="Times New Roman" w:hAnsi="Garamond" w:cs="Times New Roman"/>
          <w:sz w:val="24"/>
          <w:szCs w:val="24"/>
        </w:rPr>
        <w:t xml:space="preserve"> </w:t>
      </w:r>
      <w:r w:rsidR="002D5267" w:rsidRPr="007C61D2">
        <w:rPr>
          <w:rFonts w:ascii="Garamond" w:eastAsia="Times New Roman" w:hAnsi="Garamond" w:cs="Times New Roman"/>
          <w:sz w:val="24"/>
          <w:szCs w:val="24"/>
        </w:rPr>
        <w:t>state law play</w:t>
      </w:r>
      <w:r w:rsidR="0077631B" w:rsidRPr="007C61D2">
        <w:rPr>
          <w:rFonts w:ascii="Garamond" w:eastAsia="Times New Roman" w:hAnsi="Garamond" w:cs="Times New Roman"/>
          <w:sz w:val="24"/>
          <w:szCs w:val="24"/>
        </w:rPr>
        <w:t>s</w:t>
      </w:r>
      <w:r w:rsidR="002D5267" w:rsidRPr="007C61D2">
        <w:rPr>
          <w:rFonts w:ascii="Garamond" w:eastAsia="Times New Roman" w:hAnsi="Garamond" w:cs="Times New Roman"/>
          <w:sz w:val="24"/>
          <w:szCs w:val="24"/>
        </w:rPr>
        <w:t xml:space="preserve"> </w:t>
      </w:r>
      <w:r w:rsidR="001A6EBC" w:rsidRPr="007C61D2">
        <w:rPr>
          <w:rFonts w:ascii="Garamond" w:eastAsia="Times New Roman" w:hAnsi="Garamond" w:cs="Times New Roman"/>
          <w:sz w:val="24"/>
          <w:szCs w:val="24"/>
        </w:rPr>
        <w:t xml:space="preserve">a </w:t>
      </w:r>
      <w:r w:rsidR="002D5267" w:rsidRPr="007C61D2">
        <w:rPr>
          <w:rFonts w:ascii="Garamond" w:eastAsia="Times New Roman" w:hAnsi="Garamond" w:cs="Times New Roman"/>
          <w:sz w:val="24"/>
          <w:szCs w:val="24"/>
        </w:rPr>
        <w:t>part. This is one reason why we have not described decertification as deregulation</w:t>
      </w:r>
      <w:r w:rsidR="003E49CD" w:rsidRPr="007C61D2">
        <w:rPr>
          <w:rFonts w:ascii="Garamond" w:eastAsia="Times New Roman" w:hAnsi="Garamond" w:cs="Times New Roman"/>
          <w:sz w:val="24"/>
          <w:szCs w:val="24"/>
        </w:rPr>
        <w:t xml:space="preserve"> since</w:t>
      </w:r>
      <w:r w:rsidR="002D5267" w:rsidRPr="007C61D2">
        <w:rPr>
          <w:rFonts w:ascii="Garamond" w:eastAsia="Times New Roman" w:hAnsi="Garamond" w:cs="Times New Roman"/>
          <w:sz w:val="24"/>
          <w:szCs w:val="24"/>
        </w:rPr>
        <w:t xml:space="preserve"> </w:t>
      </w:r>
      <w:r w:rsidR="00B31362" w:rsidRPr="007C61D2">
        <w:rPr>
          <w:rFonts w:ascii="Garamond" w:eastAsia="Times New Roman" w:hAnsi="Garamond" w:cs="Times New Roman"/>
          <w:sz w:val="24"/>
          <w:szCs w:val="24"/>
        </w:rPr>
        <w:t xml:space="preserve">state law </w:t>
      </w:r>
      <w:r w:rsidR="00337F97">
        <w:rPr>
          <w:rFonts w:ascii="Garamond" w:eastAsia="Times New Roman" w:hAnsi="Garamond" w:cs="Times New Roman"/>
          <w:sz w:val="24"/>
          <w:szCs w:val="24"/>
        </w:rPr>
        <w:t xml:space="preserve">is </w:t>
      </w:r>
      <w:r w:rsidR="001A6EBC" w:rsidRPr="007C61D2">
        <w:rPr>
          <w:rFonts w:ascii="Garamond" w:eastAsia="Times New Roman" w:hAnsi="Garamond" w:cs="Times New Roman"/>
          <w:sz w:val="24"/>
          <w:szCs w:val="24"/>
        </w:rPr>
        <w:t xml:space="preserve">likely to </w:t>
      </w:r>
      <w:r w:rsidR="005108F8" w:rsidRPr="007C61D2">
        <w:rPr>
          <w:rFonts w:ascii="Garamond" w:eastAsia="Times New Roman" w:hAnsi="Garamond" w:cs="Times New Roman"/>
          <w:sz w:val="24"/>
          <w:szCs w:val="24"/>
        </w:rPr>
        <w:t xml:space="preserve">continue to </w:t>
      </w:r>
      <w:r w:rsidR="002D5267" w:rsidRPr="007C61D2">
        <w:rPr>
          <w:rFonts w:ascii="Garamond" w:eastAsia="Times New Roman" w:hAnsi="Garamond" w:cs="Times New Roman"/>
          <w:sz w:val="24"/>
          <w:szCs w:val="24"/>
        </w:rPr>
        <w:t xml:space="preserve">structure the powers and freedoms of other bodies. In </w:t>
      </w:r>
      <w:r w:rsidR="00CE6333" w:rsidRPr="007C61D2">
        <w:rPr>
          <w:rFonts w:ascii="Garamond" w:eastAsia="Times New Roman" w:hAnsi="Garamond" w:cs="Times New Roman"/>
          <w:sz w:val="24"/>
          <w:szCs w:val="24"/>
        </w:rPr>
        <w:t xml:space="preserve">conditions of </w:t>
      </w:r>
      <w:r w:rsidR="002D5267" w:rsidRPr="007C61D2">
        <w:rPr>
          <w:rFonts w:ascii="Garamond" w:eastAsia="Times New Roman" w:hAnsi="Garamond" w:cs="Times New Roman"/>
          <w:sz w:val="24"/>
          <w:szCs w:val="24"/>
        </w:rPr>
        <w:t xml:space="preserve">decertification, </w:t>
      </w:r>
      <w:r w:rsidR="00784F42" w:rsidRPr="007C61D2">
        <w:rPr>
          <w:rFonts w:ascii="Garamond" w:eastAsia="Times New Roman" w:hAnsi="Garamond" w:cs="Times New Roman"/>
          <w:sz w:val="24"/>
          <w:szCs w:val="24"/>
        </w:rPr>
        <w:t xml:space="preserve">state law </w:t>
      </w:r>
      <w:r w:rsidR="001C2B1D" w:rsidRPr="007C61D2">
        <w:rPr>
          <w:rFonts w:ascii="Garamond" w:eastAsia="Times New Roman" w:hAnsi="Garamond" w:cs="Times New Roman"/>
          <w:sz w:val="24"/>
          <w:szCs w:val="24"/>
        </w:rPr>
        <w:t xml:space="preserve">can </w:t>
      </w:r>
      <w:r w:rsidR="00784F42" w:rsidRPr="007C61D2">
        <w:rPr>
          <w:rFonts w:ascii="Garamond" w:eastAsia="Times New Roman" w:hAnsi="Garamond" w:cs="Times New Roman"/>
          <w:sz w:val="24"/>
          <w:szCs w:val="24"/>
        </w:rPr>
        <w:t xml:space="preserve">structure </w:t>
      </w:r>
      <w:r w:rsidR="008A4C23" w:rsidRPr="007C61D2">
        <w:rPr>
          <w:rFonts w:ascii="Garamond" w:eastAsia="Times New Roman" w:hAnsi="Garamond" w:cs="Times New Roman"/>
          <w:sz w:val="24"/>
          <w:szCs w:val="24"/>
        </w:rPr>
        <w:t xml:space="preserve">rulemaking by </w:t>
      </w:r>
      <w:r w:rsidR="00167821" w:rsidRPr="007C61D2">
        <w:rPr>
          <w:rFonts w:ascii="Garamond" w:eastAsia="Times New Roman" w:hAnsi="Garamond" w:cs="Times New Roman"/>
          <w:sz w:val="24"/>
          <w:szCs w:val="24"/>
        </w:rPr>
        <w:t>c</w:t>
      </w:r>
      <w:r w:rsidR="00B31362" w:rsidRPr="007C61D2">
        <w:rPr>
          <w:rFonts w:ascii="Garamond" w:eastAsia="Times New Roman" w:hAnsi="Garamond" w:cs="Times New Roman"/>
          <w:sz w:val="24"/>
          <w:szCs w:val="24"/>
        </w:rPr>
        <w:t xml:space="preserve">ommunity-based </w:t>
      </w:r>
      <w:r w:rsidR="008A4C23" w:rsidRPr="007C61D2">
        <w:rPr>
          <w:rFonts w:ascii="Garamond" w:eastAsia="Times New Roman" w:hAnsi="Garamond" w:cs="Times New Roman"/>
          <w:sz w:val="24"/>
          <w:szCs w:val="24"/>
        </w:rPr>
        <w:t>organisations</w:t>
      </w:r>
      <w:r w:rsidR="00CE6333" w:rsidRPr="007C61D2">
        <w:rPr>
          <w:rFonts w:ascii="Garamond" w:eastAsia="Times New Roman" w:hAnsi="Garamond" w:cs="Times New Roman"/>
          <w:sz w:val="24"/>
          <w:szCs w:val="24"/>
        </w:rPr>
        <w:t xml:space="preserve">, </w:t>
      </w:r>
      <w:r w:rsidR="001A6EBC" w:rsidRPr="007C61D2">
        <w:rPr>
          <w:rFonts w:ascii="Garamond" w:eastAsia="Times New Roman" w:hAnsi="Garamond" w:cs="Times New Roman"/>
          <w:sz w:val="24"/>
          <w:szCs w:val="24"/>
        </w:rPr>
        <w:t xml:space="preserve">in relation to </w:t>
      </w:r>
      <w:r w:rsidR="00CE6333" w:rsidRPr="007C61D2">
        <w:rPr>
          <w:rFonts w:ascii="Garamond" w:eastAsia="Times New Roman" w:hAnsi="Garamond" w:cs="Times New Roman"/>
          <w:sz w:val="24"/>
          <w:szCs w:val="24"/>
        </w:rPr>
        <w:t>membership and access,</w:t>
      </w:r>
      <w:r w:rsidR="008A4C23" w:rsidRPr="007C61D2">
        <w:rPr>
          <w:rFonts w:ascii="Garamond" w:eastAsia="Times New Roman" w:hAnsi="Garamond" w:cs="Times New Roman"/>
          <w:sz w:val="24"/>
          <w:szCs w:val="24"/>
        </w:rPr>
        <w:t xml:space="preserve"> </w:t>
      </w:r>
      <w:r w:rsidR="00784F42" w:rsidRPr="007C61D2">
        <w:rPr>
          <w:rFonts w:ascii="Garamond" w:eastAsia="Times New Roman" w:hAnsi="Garamond" w:cs="Times New Roman"/>
          <w:sz w:val="24"/>
          <w:szCs w:val="24"/>
        </w:rPr>
        <w:t xml:space="preserve">in several </w:t>
      </w:r>
      <w:r w:rsidR="00F62777" w:rsidRPr="007C61D2">
        <w:rPr>
          <w:rFonts w:ascii="Garamond" w:eastAsia="Times New Roman" w:hAnsi="Garamond" w:cs="Times New Roman"/>
          <w:sz w:val="24"/>
          <w:szCs w:val="24"/>
        </w:rPr>
        <w:t>ways</w:t>
      </w:r>
      <w:r w:rsidR="00A32796" w:rsidRPr="007C61D2">
        <w:rPr>
          <w:rFonts w:ascii="Garamond" w:eastAsia="Times New Roman" w:hAnsi="Garamond" w:cs="Times New Roman"/>
          <w:sz w:val="24"/>
          <w:szCs w:val="24"/>
        </w:rPr>
        <w:t>,</w:t>
      </w:r>
      <w:r w:rsidR="00A32796" w:rsidRPr="007C61D2">
        <w:rPr>
          <w:rStyle w:val="FootnoteReference"/>
          <w:rFonts w:ascii="Garamond" w:eastAsia="Times New Roman" w:hAnsi="Garamond" w:cs="Times New Roman"/>
          <w:sz w:val="24"/>
          <w:szCs w:val="24"/>
        </w:rPr>
        <w:footnoteReference w:id="38"/>
      </w:r>
      <w:r w:rsidR="00F62777" w:rsidRPr="007C61D2">
        <w:rPr>
          <w:rFonts w:ascii="Garamond" w:eastAsia="Times New Roman" w:hAnsi="Garamond" w:cs="Times New Roman"/>
          <w:sz w:val="24"/>
          <w:szCs w:val="24"/>
        </w:rPr>
        <w:t xml:space="preserve"> </w:t>
      </w:r>
      <w:r w:rsidR="00A32796" w:rsidRPr="007C61D2">
        <w:rPr>
          <w:rFonts w:ascii="Garamond" w:eastAsia="Times New Roman" w:hAnsi="Garamond" w:cs="Times New Roman"/>
          <w:sz w:val="24"/>
          <w:szCs w:val="24"/>
        </w:rPr>
        <w:t xml:space="preserve">with varying implications for those </w:t>
      </w:r>
      <w:r w:rsidR="001A6EBC" w:rsidRPr="007C61D2">
        <w:rPr>
          <w:rFonts w:ascii="Garamond" w:eastAsia="Times New Roman" w:hAnsi="Garamond" w:cs="Times New Roman"/>
          <w:sz w:val="24"/>
          <w:szCs w:val="24"/>
        </w:rPr>
        <w:t xml:space="preserve">who are </w:t>
      </w:r>
      <w:r w:rsidR="00A32796" w:rsidRPr="007C61D2">
        <w:rPr>
          <w:rFonts w:ascii="Garamond" w:eastAsia="Times New Roman" w:hAnsi="Garamond" w:cs="Times New Roman"/>
          <w:sz w:val="24"/>
          <w:szCs w:val="24"/>
        </w:rPr>
        <w:t>vulnerable to organisational or community exclusion.</w:t>
      </w:r>
      <w:r w:rsidR="00A32796" w:rsidRPr="007C61D2">
        <w:rPr>
          <w:rStyle w:val="FootnoteReference"/>
          <w:rFonts w:ascii="Garamond" w:eastAsia="Times New Roman" w:hAnsi="Garamond" w:cs="Times New Roman"/>
          <w:sz w:val="24"/>
          <w:szCs w:val="24"/>
        </w:rPr>
        <w:footnoteReference w:id="39"/>
      </w:r>
      <w:r w:rsidR="00A32796" w:rsidRPr="007C61D2">
        <w:rPr>
          <w:rFonts w:ascii="Garamond" w:eastAsia="Times New Roman" w:hAnsi="Garamond" w:cs="Times New Roman"/>
          <w:sz w:val="24"/>
          <w:szCs w:val="24"/>
        </w:rPr>
        <w:t xml:space="preserve"> </w:t>
      </w:r>
      <w:r w:rsidR="001072C0" w:rsidRPr="007C61D2">
        <w:rPr>
          <w:rFonts w:ascii="Garamond" w:eastAsia="Times New Roman" w:hAnsi="Garamond" w:cs="Times New Roman"/>
          <w:sz w:val="24"/>
          <w:szCs w:val="24"/>
        </w:rPr>
        <w:t xml:space="preserve">State law </w:t>
      </w:r>
      <w:r w:rsidR="00931A55" w:rsidRPr="007C61D2">
        <w:rPr>
          <w:rFonts w:ascii="Garamond" w:eastAsia="Times New Roman" w:hAnsi="Garamond" w:cs="Times New Roman"/>
          <w:sz w:val="24"/>
          <w:szCs w:val="24"/>
        </w:rPr>
        <w:t xml:space="preserve">might </w:t>
      </w:r>
      <w:r w:rsidR="00784F42" w:rsidRPr="007C61D2">
        <w:rPr>
          <w:rFonts w:ascii="Garamond" w:eastAsia="Times New Roman" w:hAnsi="Garamond" w:cs="Times New Roman"/>
          <w:sz w:val="24"/>
          <w:szCs w:val="24"/>
        </w:rPr>
        <w:t>permit o</w:t>
      </w:r>
      <w:r w:rsidR="00F62777" w:rsidRPr="007C61D2">
        <w:rPr>
          <w:rFonts w:ascii="Garamond" w:eastAsia="Times New Roman" w:hAnsi="Garamond" w:cs="Times New Roman"/>
          <w:sz w:val="24"/>
          <w:szCs w:val="24"/>
        </w:rPr>
        <w:t xml:space="preserve">rganisations to </w:t>
      </w:r>
      <w:r w:rsidR="00784F42" w:rsidRPr="007C61D2">
        <w:rPr>
          <w:rFonts w:ascii="Garamond" w:eastAsia="Times New Roman" w:hAnsi="Garamond" w:cs="Times New Roman"/>
          <w:sz w:val="24"/>
          <w:szCs w:val="24"/>
        </w:rPr>
        <w:t xml:space="preserve">identify </w:t>
      </w:r>
      <w:r w:rsidR="00F62777" w:rsidRPr="007C61D2">
        <w:rPr>
          <w:rFonts w:ascii="Garamond" w:eastAsia="Times New Roman" w:hAnsi="Garamond" w:cs="Times New Roman"/>
          <w:sz w:val="24"/>
          <w:szCs w:val="24"/>
        </w:rPr>
        <w:t>target categories for membership, services, and activities (for instance</w:t>
      </w:r>
      <w:r w:rsidR="007A19D0" w:rsidRPr="007C61D2">
        <w:rPr>
          <w:rFonts w:ascii="Garamond" w:eastAsia="Times New Roman" w:hAnsi="Garamond" w:cs="Times New Roman"/>
          <w:sz w:val="24"/>
          <w:szCs w:val="24"/>
        </w:rPr>
        <w:t>, as</w:t>
      </w:r>
      <w:r w:rsidR="00F62777" w:rsidRPr="007C61D2">
        <w:rPr>
          <w:rFonts w:ascii="Garamond" w:eastAsia="Times New Roman" w:hAnsi="Garamond" w:cs="Times New Roman"/>
          <w:sz w:val="24"/>
          <w:szCs w:val="24"/>
        </w:rPr>
        <w:t xml:space="preserve"> </w:t>
      </w:r>
      <w:r w:rsidR="00A427E7" w:rsidRPr="007C61D2">
        <w:rPr>
          <w:rFonts w:ascii="Garamond" w:eastAsia="Times New Roman" w:hAnsi="Garamond" w:cs="Times New Roman"/>
          <w:sz w:val="24"/>
          <w:szCs w:val="24"/>
        </w:rPr>
        <w:t xml:space="preserve">agender, </w:t>
      </w:r>
      <w:r w:rsidR="00BB13E3" w:rsidRPr="007C61D2">
        <w:rPr>
          <w:rFonts w:ascii="Garamond" w:eastAsia="Times New Roman" w:hAnsi="Garamond" w:cs="Times New Roman"/>
          <w:sz w:val="24"/>
          <w:szCs w:val="24"/>
        </w:rPr>
        <w:t>women</w:t>
      </w:r>
      <w:r w:rsidR="00A427E7" w:rsidRPr="007C61D2">
        <w:rPr>
          <w:rFonts w:ascii="Garamond" w:eastAsia="Times New Roman" w:hAnsi="Garamond" w:cs="Times New Roman"/>
          <w:sz w:val="24"/>
          <w:szCs w:val="24"/>
        </w:rPr>
        <w:t>,</w:t>
      </w:r>
      <w:r w:rsidR="00163B28" w:rsidRPr="007C61D2">
        <w:rPr>
          <w:rFonts w:ascii="Garamond" w:eastAsia="Times New Roman" w:hAnsi="Garamond" w:cs="Times New Roman"/>
          <w:sz w:val="24"/>
          <w:szCs w:val="24"/>
        </w:rPr>
        <w:t xml:space="preserve"> </w:t>
      </w:r>
      <w:r w:rsidR="00337F97">
        <w:rPr>
          <w:rFonts w:ascii="Garamond" w:eastAsia="Times New Roman" w:hAnsi="Garamond" w:cs="Times New Roman"/>
          <w:sz w:val="24"/>
          <w:szCs w:val="24"/>
        </w:rPr>
        <w:t xml:space="preserve">subordinate genders, </w:t>
      </w:r>
      <w:r w:rsidR="00BB13E3" w:rsidRPr="007C61D2">
        <w:rPr>
          <w:rFonts w:ascii="Garamond" w:eastAsia="Times New Roman" w:hAnsi="Garamond" w:cs="Times New Roman"/>
          <w:sz w:val="24"/>
          <w:szCs w:val="24"/>
        </w:rPr>
        <w:t>or men-only)</w:t>
      </w:r>
      <w:r w:rsidR="00F62777" w:rsidRPr="007C61D2">
        <w:rPr>
          <w:rFonts w:ascii="Garamond" w:eastAsia="Times New Roman" w:hAnsi="Garamond" w:cs="Times New Roman"/>
          <w:sz w:val="24"/>
          <w:szCs w:val="24"/>
        </w:rPr>
        <w:t xml:space="preserve"> </w:t>
      </w:r>
      <w:r w:rsidR="00784F42" w:rsidRPr="007C61D2">
        <w:rPr>
          <w:rFonts w:ascii="Garamond" w:eastAsia="Times New Roman" w:hAnsi="Garamond" w:cs="Times New Roman"/>
          <w:sz w:val="24"/>
          <w:szCs w:val="24"/>
        </w:rPr>
        <w:t>but then require organisations to admit everyone who self-identifies</w:t>
      </w:r>
      <w:r w:rsidR="007A19D0" w:rsidRPr="007C61D2">
        <w:rPr>
          <w:rFonts w:ascii="Garamond" w:eastAsia="Times New Roman" w:hAnsi="Garamond" w:cs="Times New Roman"/>
          <w:sz w:val="24"/>
          <w:szCs w:val="24"/>
        </w:rPr>
        <w:t xml:space="preserve">. </w:t>
      </w:r>
      <w:r w:rsidR="00784F42" w:rsidRPr="007C61D2">
        <w:rPr>
          <w:rFonts w:ascii="Garamond" w:eastAsia="Times New Roman" w:hAnsi="Garamond" w:cs="Times New Roman"/>
          <w:sz w:val="24"/>
          <w:szCs w:val="24"/>
        </w:rPr>
        <w:t xml:space="preserve">It </w:t>
      </w:r>
      <w:r w:rsidR="00282432" w:rsidRPr="007C61D2">
        <w:rPr>
          <w:rFonts w:ascii="Garamond" w:eastAsia="Times New Roman" w:hAnsi="Garamond" w:cs="Times New Roman"/>
          <w:sz w:val="24"/>
          <w:szCs w:val="24"/>
        </w:rPr>
        <w:t xml:space="preserve">might </w:t>
      </w:r>
      <w:r w:rsidR="00B31362" w:rsidRPr="007C61D2">
        <w:rPr>
          <w:rFonts w:ascii="Garamond" w:eastAsia="Times New Roman" w:hAnsi="Garamond" w:cs="Times New Roman"/>
          <w:sz w:val="24"/>
          <w:szCs w:val="24"/>
        </w:rPr>
        <w:t>allow</w:t>
      </w:r>
      <w:r w:rsidR="00784F42" w:rsidRPr="007C61D2">
        <w:rPr>
          <w:rFonts w:ascii="Garamond" w:eastAsia="Times New Roman" w:hAnsi="Garamond" w:cs="Times New Roman"/>
          <w:sz w:val="24"/>
          <w:szCs w:val="24"/>
        </w:rPr>
        <w:t xml:space="preserve"> organisations</w:t>
      </w:r>
      <w:r w:rsidR="00B31362" w:rsidRPr="007C61D2">
        <w:rPr>
          <w:rFonts w:ascii="Garamond" w:eastAsia="Times New Roman" w:hAnsi="Garamond" w:cs="Times New Roman"/>
          <w:sz w:val="24"/>
          <w:szCs w:val="24"/>
        </w:rPr>
        <w:t xml:space="preserve"> </w:t>
      </w:r>
      <w:r w:rsidR="00F62777" w:rsidRPr="007C61D2">
        <w:rPr>
          <w:rFonts w:ascii="Garamond" w:eastAsia="Times New Roman" w:hAnsi="Garamond" w:cs="Times New Roman"/>
          <w:sz w:val="24"/>
          <w:szCs w:val="24"/>
        </w:rPr>
        <w:t xml:space="preserve">to set </w:t>
      </w:r>
      <w:r w:rsidR="00163B28" w:rsidRPr="007C61D2">
        <w:rPr>
          <w:rFonts w:ascii="Garamond" w:eastAsia="Times New Roman" w:hAnsi="Garamond" w:cs="Times New Roman"/>
          <w:sz w:val="24"/>
          <w:szCs w:val="24"/>
        </w:rPr>
        <w:t xml:space="preserve">category </w:t>
      </w:r>
      <w:r w:rsidR="00F62777" w:rsidRPr="007C61D2">
        <w:rPr>
          <w:rFonts w:ascii="Garamond" w:eastAsia="Times New Roman" w:hAnsi="Garamond" w:cs="Times New Roman"/>
          <w:sz w:val="24"/>
          <w:szCs w:val="24"/>
        </w:rPr>
        <w:t>criteria</w:t>
      </w:r>
      <w:r w:rsidR="007A19D0" w:rsidRPr="007C61D2">
        <w:rPr>
          <w:rFonts w:ascii="Garamond" w:eastAsia="Times New Roman" w:hAnsi="Garamond" w:cs="Times New Roman"/>
          <w:sz w:val="24"/>
          <w:szCs w:val="24"/>
        </w:rPr>
        <w:t xml:space="preserve">, </w:t>
      </w:r>
      <w:r w:rsidR="00784F42" w:rsidRPr="007C61D2">
        <w:rPr>
          <w:rFonts w:ascii="Garamond" w:eastAsia="Times New Roman" w:hAnsi="Garamond" w:cs="Times New Roman"/>
          <w:sz w:val="24"/>
          <w:szCs w:val="24"/>
        </w:rPr>
        <w:t>establish</w:t>
      </w:r>
      <w:r w:rsidR="00282432" w:rsidRPr="007C61D2">
        <w:rPr>
          <w:rFonts w:ascii="Garamond" w:eastAsia="Times New Roman" w:hAnsi="Garamond" w:cs="Times New Roman"/>
          <w:sz w:val="24"/>
          <w:szCs w:val="24"/>
        </w:rPr>
        <w:t>ing, for instance,</w:t>
      </w:r>
      <w:r w:rsidR="00784F42" w:rsidRPr="007C61D2">
        <w:rPr>
          <w:rFonts w:ascii="Garamond" w:eastAsia="Times New Roman" w:hAnsi="Garamond" w:cs="Times New Roman"/>
          <w:sz w:val="24"/>
          <w:szCs w:val="24"/>
        </w:rPr>
        <w:t xml:space="preserve"> definitional principles for what it means to be </w:t>
      </w:r>
      <w:r w:rsidR="00BB13E3" w:rsidRPr="007C61D2">
        <w:rPr>
          <w:rFonts w:ascii="Garamond" w:eastAsia="Times New Roman" w:hAnsi="Garamond" w:cs="Times New Roman"/>
          <w:sz w:val="24"/>
          <w:szCs w:val="24"/>
        </w:rPr>
        <w:t>a woman, man, agender</w:t>
      </w:r>
      <w:r w:rsidR="001C2B1D" w:rsidRPr="007C61D2">
        <w:rPr>
          <w:rFonts w:ascii="Garamond" w:eastAsia="Times New Roman" w:hAnsi="Garamond" w:cs="Times New Roman"/>
          <w:sz w:val="24"/>
          <w:szCs w:val="24"/>
        </w:rPr>
        <w:t xml:space="preserve"> etc</w:t>
      </w:r>
      <w:r w:rsidR="00784F42" w:rsidRPr="007C61D2">
        <w:rPr>
          <w:rFonts w:ascii="Garamond" w:eastAsia="Times New Roman" w:hAnsi="Garamond" w:cs="Times New Roman"/>
          <w:sz w:val="24"/>
          <w:szCs w:val="24"/>
        </w:rPr>
        <w:t xml:space="preserve">. </w:t>
      </w:r>
      <w:r w:rsidR="007A19D0" w:rsidRPr="007C61D2">
        <w:rPr>
          <w:rFonts w:ascii="Garamond" w:eastAsia="Times New Roman" w:hAnsi="Garamond" w:cs="Times New Roman"/>
          <w:sz w:val="24"/>
          <w:szCs w:val="24"/>
        </w:rPr>
        <w:t xml:space="preserve"> </w:t>
      </w:r>
      <w:r w:rsidR="00784F42" w:rsidRPr="007C61D2">
        <w:rPr>
          <w:rFonts w:ascii="Garamond" w:eastAsia="Times New Roman" w:hAnsi="Garamond" w:cs="Times New Roman"/>
          <w:sz w:val="24"/>
          <w:szCs w:val="24"/>
        </w:rPr>
        <w:t xml:space="preserve">It </w:t>
      </w:r>
      <w:r w:rsidR="00282432" w:rsidRPr="007C61D2">
        <w:rPr>
          <w:rFonts w:ascii="Garamond" w:eastAsia="Times New Roman" w:hAnsi="Garamond" w:cs="Times New Roman"/>
          <w:sz w:val="24"/>
          <w:szCs w:val="24"/>
        </w:rPr>
        <w:t xml:space="preserve">might </w:t>
      </w:r>
      <w:r w:rsidR="00784F42" w:rsidRPr="007C61D2">
        <w:rPr>
          <w:rFonts w:ascii="Garamond" w:eastAsia="Times New Roman" w:hAnsi="Garamond" w:cs="Times New Roman"/>
          <w:sz w:val="24"/>
          <w:szCs w:val="24"/>
        </w:rPr>
        <w:t xml:space="preserve">allow organisations </w:t>
      </w:r>
      <w:r w:rsidR="00F62777" w:rsidRPr="007C61D2">
        <w:rPr>
          <w:rFonts w:ascii="Garamond" w:eastAsia="Times New Roman" w:hAnsi="Garamond" w:cs="Times New Roman"/>
          <w:sz w:val="24"/>
          <w:szCs w:val="24"/>
        </w:rPr>
        <w:t xml:space="preserve">to </w:t>
      </w:r>
      <w:r w:rsidR="00784F42" w:rsidRPr="007C61D2">
        <w:rPr>
          <w:rFonts w:ascii="Garamond" w:eastAsia="Times New Roman" w:hAnsi="Garamond" w:cs="Times New Roman"/>
          <w:sz w:val="24"/>
          <w:szCs w:val="24"/>
        </w:rPr>
        <w:t xml:space="preserve">determine the </w:t>
      </w:r>
      <w:r w:rsidR="00F62777" w:rsidRPr="007C61D2">
        <w:rPr>
          <w:rFonts w:ascii="Garamond" w:eastAsia="Times New Roman" w:hAnsi="Garamond" w:cs="Times New Roman"/>
          <w:sz w:val="24"/>
          <w:szCs w:val="24"/>
        </w:rPr>
        <w:t xml:space="preserve">evidence </w:t>
      </w:r>
      <w:r w:rsidR="0077631B" w:rsidRPr="007C61D2">
        <w:rPr>
          <w:rFonts w:ascii="Garamond" w:eastAsia="Times New Roman" w:hAnsi="Garamond" w:cs="Times New Roman"/>
          <w:sz w:val="24"/>
          <w:szCs w:val="24"/>
        </w:rPr>
        <w:t xml:space="preserve">that is </w:t>
      </w:r>
      <w:r w:rsidR="007A19D0" w:rsidRPr="007C61D2">
        <w:rPr>
          <w:rFonts w:ascii="Garamond" w:eastAsia="Times New Roman" w:hAnsi="Garamond" w:cs="Times New Roman"/>
          <w:sz w:val="24"/>
          <w:szCs w:val="24"/>
        </w:rPr>
        <w:t xml:space="preserve">required </w:t>
      </w:r>
      <w:r w:rsidR="00F62777" w:rsidRPr="007C61D2">
        <w:rPr>
          <w:rFonts w:ascii="Garamond" w:eastAsia="Times New Roman" w:hAnsi="Garamond" w:cs="Times New Roman"/>
          <w:sz w:val="24"/>
          <w:szCs w:val="24"/>
        </w:rPr>
        <w:t xml:space="preserve">to </w:t>
      </w:r>
      <w:r w:rsidR="00282432" w:rsidRPr="007C61D2">
        <w:rPr>
          <w:rFonts w:ascii="Garamond" w:eastAsia="Times New Roman" w:hAnsi="Garamond" w:cs="Times New Roman"/>
          <w:sz w:val="24"/>
          <w:szCs w:val="24"/>
        </w:rPr>
        <w:t xml:space="preserve">meet the </w:t>
      </w:r>
      <w:r w:rsidR="00F62777" w:rsidRPr="007C61D2">
        <w:rPr>
          <w:rFonts w:ascii="Garamond" w:eastAsia="Times New Roman" w:hAnsi="Garamond" w:cs="Times New Roman"/>
          <w:sz w:val="24"/>
          <w:szCs w:val="24"/>
        </w:rPr>
        <w:t>criteria</w:t>
      </w:r>
      <w:r w:rsidR="00A427E7" w:rsidRPr="007C61D2">
        <w:rPr>
          <w:rFonts w:ascii="Garamond" w:eastAsia="Times New Roman" w:hAnsi="Garamond" w:cs="Times New Roman"/>
          <w:sz w:val="24"/>
          <w:szCs w:val="24"/>
        </w:rPr>
        <w:t>;</w:t>
      </w:r>
      <w:r w:rsidR="007A19D0" w:rsidRPr="007C61D2">
        <w:rPr>
          <w:rFonts w:ascii="Garamond" w:eastAsia="Times New Roman" w:hAnsi="Garamond" w:cs="Times New Roman"/>
          <w:sz w:val="24"/>
          <w:szCs w:val="24"/>
        </w:rPr>
        <w:t xml:space="preserve"> </w:t>
      </w:r>
      <w:r w:rsidR="00A427E7" w:rsidRPr="007C61D2">
        <w:rPr>
          <w:rFonts w:ascii="Garamond" w:eastAsia="Times New Roman" w:hAnsi="Garamond" w:cs="Times New Roman"/>
          <w:sz w:val="24"/>
          <w:szCs w:val="24"/>
        </w:rPr>
        <w:t xml:space="preserve">and </w:t>
      </w:r>
      <w:r w:rsidR="00784F42" w:rsidRPr="007C61D2">
        <w:rPr>
          <w:rFonts w:ascii="Garamond" w:eastAsia="Times New Roman" w:hAnsi="Garamond" w:cs="Times New Roman"/>
          <w:sz w:val="24"/>
          <w:szCs w:val="24"/>
        </w:rPr>
        <w:t xml:space="preserve">it </w:t>
      </w:r>
      <w:r w:rsidR="00B31362" w:rsidRPr="007C61D2">
        <w:rPr>
          <w:rFonts w:ascii="Garamond" w:eastAsia="Times New Roman" w:hAnsi="Garamond" w:cs="Times New Roman"/>
          <w:sz w:val="24"/>
          <w:szCs w:val="24"/>
        </w:rPr>
        <w:t>might permit</w:t>
      </w:r>
      <w:r w:rsidR="00784F42" w:rsidRPr="007C61D2">
        <w:rPr>
          <w:rFonts w:ascii="Garamond" w:eastAsia="Times New Roman" w:hAnsi="Garamond" w:cs="Times New Roman"/>
          <w:sz w:val="24"/>
          <w:szCs w:val="24"/>
        </w:rPr>
        <w:t xml:space="preserve"> organisations </w:t>
      </w:r>
      <w:r w:rsidR="00F62777" w:rsidRPr="007C61D2">
        <w:rPr>
          <w:rFonts w:ascii="Garamond" w:eastAsia="Times New Roman" w:hAnsi="Garamond" w:cs="Times New Roman"/>
          <w:sz w:val="24"/>
          <w:szCs w:val="24"/>
        </w:rPr>
        <w:t xml:space="preserve">to </w:t>
      </w:r>
      <w:r w:rsidR="007A19D0" w:rsidRPr="007C61D2">
        <w:rPr>
          <w:rFonts w:ascii="Garamond" w:eastAsia="Times New Roman" w:hAnsi="Garamond" w:cs="Times New Roman"/>
          <w:sz w:val="24"/>
          <w:szCs w:val="24"/>
        </w:rPr>
        <w:t xml:space="preserve">assess </w:t>
      </w:r>
      <w:r w:rsidR="00F62777" w:rsidRPr="007C61D2">
        <w:rPr>
          <w:rFonts w:ascii="Garamond" w:eastAsia="Times New Roman" w:hAnsi="Garamond" w:cs="Times New Roman"/>
          <w:sz w:val="24"/>
          <w:szCs w:val="24"/>
        </w:rPr>
        <w:t xml:space="preserve">whether individuals </w:t>
      </w:r>
      <w:r w:rsidR="007A19D0" w:rsidRPr="007C61D2">
        <w:rPr>
          <w:rFonts w:ascii="Garamond" w:eastAsia="Times New Roman" w:hAnsi="Garamond" w:cs="Times New Roman"/>
          <w:sz w:val="24"/>
          <w:szCs w:val="24"/>
        </w:rPr>
        <w:t xml:space="preserve">have </w:t>
      </w:r>
      <w:r w:rsidR="002D5267" w:rsidRPr="007C61D2">
        <w:rPr>
          <w:rFonts w:ascii="Garamond" w:eastAsia="Times New Roman" w:hAnsi="Garamond" w:cs="Times New Roman"/>
          <w:sz w:val="24"/>
          <w:szCs w:val="24"/>
        </w:rPr>
        <w:t xml:space="preserve">adequately </w:t>
      </w:r>
      <w:r w:rsidR="001C2B1D" w:rsidRPr="007C61D2">
        <w:rPr>
          <w:rFonts w:ascii="Garamond" w:eastAsia="Times New Roman" w:hAnsi="Garamond" w:cs="Times New Roman"/>
          <w:sz w:val="24"/>
          <w:szCs w:val="24"/>
        </w:rPr>
        <w:t xml:space="preserve">met </w:t>
      </w:r>
      <w:r w:rsidR="007A19D0" w:rsidRPr="007C61D2">
        <w:rPr>
          <w:rFonts w:ascii="Garamond" w:eastAsia="Times New Roman" w:hAnsi="Garamond" w:cs="Times New Roman"/>
          <w:sz w:val="24"/>
          <w:szCs w:val="24"/>
        </w:rPr>
        <w:t>the criteria</w:t>
      </w:r>
      <w:r w:rsidR="001C2B1D" w:rsidRPr="007C61D2">
        <w:rPr>
          <w:rFonts w:ascii="Garamond" w:eastAsia="Times New Roman" w:hAnsi="Garamond" w:cs="Times New Roman"/>
          <w:sz w:val="24"/>
          <w:szCs w:val="24"/>
        </w:rPr>
        <w:t xml:space="preserve">, </w:t>
      </w:r>
      <w:r w:rsidR="00282432" w:rsidRPr="007C61D2">
        <w:rPr>
          <w:rFonts w:ascii="Garamond" w:eastAsia="Times New Roman" w:hAnsi="Garamond" w:cs="Times New Roman"/>
          <w:sz w:val="24"/>
          <w:szCs w:val="24"/>
        </w:rPr>
        <w:t xml:space="preserve">even as certain modes of assessment might be proscribed. The extent of organisational autonomy </w:t>
      </w:r>
      <w:r w:rsidR="001A6EBC" w:rsidRPr="007C61D2">
        <w:rPr>
          <w:rFonts w:ascii="Garamond" w:eastAsia="Times New Roman" w:hAnsi="Garamond" w:cs="Times New Roman"/>
          <w:sz w:val="24"/>
          <w:szCs w:val="24"/>
        </w:rPr>
        <w:t xml:space="preserve">appears </w:t>
      </w:r>
      <w:r w:rsidR="00282432" w:rsidRPr="007C61D2">
        <w:rPr>
          <w:rFonts w:ascii="Garamond" w:eastAsia="Times New Roman" w:hAnsi="Garamond" w:cs="Times New Roman"/>
          <w:sz w:val="24"/>
          <w:szCs w:val="24"/>
        </w:rPr>
        <w:t xml:space="preserve">a key factor in shaping the social landscape post-decertification, </w:t>
      </w:r>
      <w:r w:rsidR="00A427E7" w:rsidRPr="007C61D2">
        <w:rPr>
          <w:rFonts w:ascii="Garamond" w:eastAsia="Times New Roman" w:hAnsi="Garamond" w:cs="Times New Roman"/>
          <w:sz w:val="24"/>
          <w:szCs w:val="24"/>
        </w:rPr>
        <w:t xml:space="preserve">albeit </w:t>
      </w:r>
      <w:r w:rsidR="00282432" w:rsidRPr="007C61D2">
        <w:rPr>
          <w:rFonts w:ascii="Garamond" w:eastAsia="Times New Roman" w:hAnsi="Garamond" w:cs="Times New Roman"/>
          <w:sz w:val="24"/>
          <w:szCs w:val="24"/>
        </w:rPr>
        <w:t>one insufficiently discussed. Asking about decertification</w:t>
      </w:r>
      <w:r w:rsidR="00A427E7" w:rsidRPr="007C61D2">
        <w:rPr>
          <w:rFonts w:ascii="Garamond" w:eastAsia="Times New Roman" w:hAnsi="Garamond" w:cs="Times New Roman"/>
          <w:sz w:val="24"/>
          <w:szCs w:val="24"/>
        </w:rPr>
        <w:t xml:space="preserve"> </w:t>
      </w:r>
      <w:r w:rsidR="00282432" w:rsidRPr="007C61D2">
        <w:rPr>
          <w:rFonts w:ascii="Garamond" w:eastAsia="Times New Roman" w:hAnsi="Garamond" w:cs="Times New Roman"/>
          <w:sz w:val="24"/>
          <w:szCs w:val="24"/>
        </w:rPr>
        <w:t xml:space="preserve">is </w:t>
      </w:r>
      <w:r w:rsidR="00A427E7" w:rsidRPr="007C61D2">
        <w:rPr>
          <w:rFonts w:ascii="Garamond" w:eastAsia="Times New Roman" w:hAnsi="Garamond" w:cs="Times New Roman"/>
          <w:sz w:val="24"/>
          <w:szCs w:val="24"/>
        </w:rPr>
        <w:t xml:space="preserve">to </w:t>
      </w:r>
      <w:r w:rsidR="00282432" w:rsidRPr="007C61D2">
        <w:rPr>
          <w:rFonts w:ascii="Garamond" w:eastAsia="Times New Roman" w:hAnsi="Garamond" w:cs="Times New Roman"/>
          <w:sz w:val="24"/>
          <w:szCs w:val="24"/>
        </w:rPr>
        <w:t>also ask about state relations with other bodies, in terms of the latter</w:t>
      </w:r>
      <w:r w:rsidR="001A6EBC" w:rsidRPr="007C61D2">
        <w:rPr>
          <w:rFonts w:ascii="Garamond" w:eastAsia="Times New Roman" w:hAnsi="Garamond" w:cs="Times New Roman"/>
          <w:sz w:val="24"/>
          <w:szCs w:val="24"/>
        </w:rPr>
        <w:t>’</w:t>
      </w:r>
      <w:r w:rsidR="00282432" w:rsidRPr="007C61D2">
        <w:rPr>
          <w:rFonts w:ascii="Garamond" w:eastAsia="Times New Roman" w:hAnsi="Garamond" w:cs="Times New Roman"/>
          <w:sz w:val="24"/>
          <w:szCs w:val="24"/>
        </w:rPr>
        <w:t xml:space="preserve">s freedom, power, and resources. </w:t>
      </w:r>
      <w:r w:rsidR="001A6EBC" w:rsidRPr="007C61D2">
        <w:rPr>
          <w:rFonts w:ascii="Garamond" w:eastAsia="Times New Roman" w:hAnsi="Garamond" w:cs="Times New Roman"/>
          <w:sz w:val="24"/>
          <w:szCs w:val="24"/>
        </w:rPr>
        <w:t>C</w:t>
      </w:r>
      <w:r w:rsidR="00282432" w:rsidRPr="007C61D2">
        <w:rPr>
          <w:rFonts w:ascii="Garamond" w:eastAsia="Times New Roman" w:hAnsi="Garamond" w:cs="Times New Roman"/>
          <w:sz w:val="24"/>
          <w:szCs w:val="24"/>
        </w:rPr>
        <w:t xml:space="preserve">ommunity bodies </w:t>
      </w:r>
      <w:r w:rsidR="00337F97">
        <w:rPr>
          <w:rFonts w:ascii="Garamond" w:eastAsia="Times New Roman" w:hAnsi="Garamond" w:cs="Times New Roman"/>
          <w:sz w:val="24"/>
          <w:szCs w:val="24"/>
        </w:rPr>
        <w:t xml:space="preserve">also </w:t>
      </w:r>
      <w:r w:rsidR="00282432" w:rsidRPr="007C61D2">
        <w:rPr>
          <w:rFonts w:ascii="Garamond" w:eastAsia="Times New Roman" w:hAnsi="Garamond" w:cs="Times New Roman"/>
          <w:sz w:val="24"/>
          <w:szCs w:val="24"/>
        </w:rPr>
        <w:t>have rules and norms</w:t>
      </w:r>
      <w:r w:rsidR="000E0D53" w:rsidRPr="007C61D2">
        <w:rPr>
          <w:rFonts w:ascii="Garamond" w:eastAsia="Times New Roman" w:hAnsi="Garamond" w:cs="Times New Roman"/>
          <w:sz w:val="24"/>
          <w:szCs w:val="24"/>
        </w:rPr>
        <w:t>; and so</w:t>
      </w:r>
      <w:r w:rsidR="00282432" w:rsidRPr="007C61D2">
        <w:rPr>
          <w:rFonts w:ascii="Garamond" w:eastAsia="Times New Roman" w:hAnsi="Garamond" w:cs="Times New Roman"/>
          <w:sz w:val="24"/>
          <w:szCs w:val="24"/>
        </w:rPr>
        <w:t xml:space="preserve">, the interplay </w:t>
      </w:r>
      <w:r w:rsidR="004565A7">
        <w:rPr>
          <w:rFonts w:ascii="Garamond" w:eastAsia="Times New Roman" w:hAnsi="Garamond" w:cs="Times New Roman"/>
          <w:sz w:val="24"/>
          <w:szCs w:val="24"/>
        </w:rPr>
        <w:t xml:space="preserve">between </w:t>
      </w:r>
      <w:r w:rsidR="00282432" w:rsidRPr="007C61D2">
        <w:rPr>
          <w:rFonts w:ascii="Garamond" w:eastAsia="Times New Roman" w:hAnsi="Garamond" w:cs="Times New Roman"/>
          <w:sz w:val="24"/>
          <w:szCs w:val="24"/>
        </w:rPr>
        <w:t>different legal orders is central to decertification</w:t>
      </w:r>
      <w:r w:rsidR="000E0D53" w:rsidRPr="007C61D2">
        <w:rPr>
          <w:rFonts w:ascii="Garamond" w:eastAsia="Times New Roman" w:hAnsi="Garamond" w:cs="Times New Roman"/>
          <w:sz w:val="24"/>
          <w:szCs w:val="24"/>
        </w:rPr>
        <w:t>;</w:t>
      </w:r>
      <w:r w:rsidR="00282432" w:rsidRPr="007C61D2">
        <w:rPr>
          <w:rFonts w:ascii="Garamond" w:eastAsia="Times New Roman" w:hAnsi="Garamond" w:cs="Times New Roman"/>
          <w:sz w:val="24"/>
          <w:szCs w:val="24"/>
        </w:rPr>
        <w:t xml:space="preserve"> state law is not the only law that counts. </w:t>
      </w:r>
      <w:r w:rsidR="007A19D0" w:rsidRPr="007C61D2">
        <w:rPr>
          <w:rFonts w:ascii="Garamond" w:eastAsia="Times New Roman" w:hAnsi="Garamond" w:cs="Times New Roman"/>
          <w:sz w:val="24"/>
          <w:szCs w:val="24"/>
        </w:rPr>
        <w:t xml:space="preserve"> </w:t>
      </w:r>
    </w:p>
    <w:p w14:paraId="743FEFB1" w14:textId="434AC823" w:rsidR="00A979C7" w:rsidRPr="007C61D2" w:rsidRDefault="00A979C7"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The final approach to </w:t>
      </w:r>
      <w:r w:rsidR="00282432" w:rsidRPr="007C61D2">
        <w:rPr>
          <w:rFonts w:ascii="Garamond" w:eastAsia="Times New Roman" w:hAnsi="Garamond" w:cs="Times New Roman"/>
          <w:sz w:val="24"/>
          <w:szCs w:val="24"/>
        </w:rPr>
        <w:t xml:space="preserve">managing the informalisation of sex/ gender, </w:t>
      </w:r>
      <w:r w:rsidRPr="007C61D2">
        <w:rPr>
          <w:rFonts w:ascii="Garamond" w:eastAsia="Times New Roman" w:hAnsi="Garamond" w:cs="Times New Roman"/>
          <w:sz w:val="24"/>
          <w:szCs w:val="24"/>
        </w:rPr>
        <w:t xml:space="preserve">we want </w:t>
      </w:r>
      <w:r w:rsidR="001C4320" w:rsidRPr="007C61D2">
        <w:rPr>
          <w:rFonts w:ascii="Garamond" w:eastAsia="Times New Roman" w:hAnsi="Garamond" w:cs="Times New Roman"/>
          <w:sz w:val="24"/>
          <w:szCs w:val="24"/>
        </w:rPr>
        <w:t xml:space="preserve">briefly </w:t>
      </w:r>
      <w:r w:rsidRPr="007C61D2">
        <w:rPr>
          <w:rFonts w:ascii="Garamond" w:eastAsia="Times New Roman" w:hAnsi="Garamond" w:cs="Times New Roman"/>
          <w:sz w:val="24"/>
          <w:szCs w:val="24"/>
        </w:rPr>
        <w:t>to</w:t>
      </w:r>
      <w:r w:rsidR="000E0D53" w:rsidRPr="007C61D2">
        <w:rPr>
          <w:rFonts w:ascii="Garamond" w:eastAsia="Times New Roman" w:hAnsi="Garamond" w:cs="Times New Roman"/>
          <w:sz w:val="24"/>
          <w:szCs w:val="24"/>
        </w:rPr>
        <w:t xml:space="preserve"> address</w:t>
      </w:r>
      <w:r w:rsidRPr="007C61D2">
        <w:rPr>
          <w:rFonts w:ascii="Garamond" w:eastAsia="Times New Roman" w:hAnsi="Garamond" w:cs="Times New Roman"/>
          <w:sz w:val="24"/>
          <w:szCs w:val="24"/>
        </w:rPr>
        <w:t xml:space="preserve">, </w:t>
      </w:r>
      <w:r w:rsidR="002D6C78" w:rsidRPr="007C61D2">
        <w:rPr>
          <w:rFonts w:ascii="Garamond" w:eastAsia="Times New Roman" w:hAnsi="Garamond" w:cs="Times New Roman"/>
          <w:sz w:val="24"/>
          <w:szCs w:val="24"/>
        </w:rPr>
        <w:t xml:space="preserve">foregrounds </w:t>
      </w:r>
      <w:r w:rsidRPr="007C61D2">
        <w:rPr>
          <w:rFonts w:ascii="Garamond" w:eastAsia="Times New Roman" w:hAnsi="Garamond" w:cs="Times New Roman"/>
          <w:sz w:val="24"/>
          <w:szCs w:val="24"/>
        </w:rPr>
        <w:t>practice. Decertification may mean that gender is not assigned or registered by state authorities, but state law can still treat gender</w:t>
      </w:r>
      <w:r w:rsidR="003F6B1D"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as a property or characteristic of subjects. </w:t>
      </w:r>
      <w:r w:rsidR="008515F6">
        <w:rPr>
          <w:rFonts w:ascii="Garamond" w:eastAsia="Times New Roman" w:hAnsi="Garamond" w:cs="Times New Roman"/>
          <w:sz w:val="24"/>
          <w:szCs w:val="24"/>
        </w:rPr>
        <w:t>Here</w:t>
      </w:r>
      <w:r w:rsidR="003F6B1D" w:rsidRPr="007C61D2">
        <w:rPr>
          <w:rFonts w:ascii="Garamond" w:eastAsia="Times New Roman" w:hAnsi="Garamond" w:cs="Times New Roman"/>
          <w:sz w:val="24"/>
          <w:szCs w:val="24"/>
        </w:rPr>
        <w:t>, i</w:t>
      </w:r>
      <w:r w:rsidRPr="007C61D2">
        <w:rPr>
          <w:rFonts w:ascii="Garamond" w:eastAsia="Times New Roman" w:hAnsi="Garamond" w:cs="Times New Roman"/>
          <w:sz w:val="24"/>
          <w:szCs w:val="24"/>
        </w:rPr>
        <w:t xml:space="preserve">nstead of state law </w:t>
      </w:r>
      <w:r w:rsidR="0077631B" w:rsidRPr="007C61D2">
        <w:rPr>
          <w:rFonts w:ascii="Garamond" w:eastAsia="Times New Roman" w:hAnsi="Garamond" w:cs="Times New Roman"/>
          <w:sz w:val="24"/>
          <w:szCs w:val="24"/>
        </w:rPr>
        <w:t xml:space="preserve">basing </w:t>
      </w:r>
      <w:r w:rsidRPr="007C61D2">
        <w:rPr>
          <w:rFonts w:ascii="Garamond" w:eastAsia="Times New Roman" w:hAnsi="Garamond" w:cs="Times New Roman"/>
          <w:sz w:val="24"/>
          <w:szCs w:val="24"/>
        </w:rPr>
        <w:t xml:space="preserve">formal recognition </w:t>
      </w:r>
      <w:r w:rsidR="0077631B" w:rsidRPr="007C61D2">
        <w:rPr>
          <w:rFonts w:ascii="Garamond" w:eastAsia="Times New Roman" w:hAnsi="Garamond" w:cs="Times New Roman"/>
          <w:sz w:val="24"/>
          <w:szCs w:val="24"/>
        </w:rPr>
        <w:t xml:space="preserve">on </w:t>
      </w:r>
      <w:r w:rsidRPr="007C61D2">
        <w:rPr>
          <w:rFonts w:ascii="Garamond" w:eastAsia="Times New Roman" w:hAnsi="Garamond" w:cs="Times New Roman"/>
          <w:sz w:val="24"/>
          <w:szCs w:val="24"/>
        </w:rPr>
        <w:t>compliance with specific formalities or biological</w:t>
      </w:r>
      <w:r w:rsidR="0077631B" w:rsidRPr="007C61D2">
        <w:rPr>
          <w:rFonts w:ascii="Garamond" w:eastAsia="Times New Roman" w:hAnsi="Garamond" w:cs="Times New Roman"/>
          <w:sz w:val="24"/>
          <w:szCs w:val="24"/>
        </w:rPr>
        <w:t xml:space="preserve"> attributes</w:t>
      </w:r>
      <w:r w:rsidRPr="007C61D2">
        <w:rPr>
          <w:rFonts w:ascii="Garamond" w:eastAsia="Times New Roman" w:hAnsi="Garamond" w:cs="Times New Roman"/>
          <w:sz w:val="24"/>
          <w:szCs w:val="24"/>
        </w:rPr>
        <w:t>, it recognise</w:t>
      </w:r>
      <w:r w:rsidR="00AE724A">
        <w:rPr>
          <w:rFonts w:ascii="Garamond" w:eastAsia="Times New Roman" w:hAnsi="Garamond" w:cs="Times New Roman"/>
          <w:sz w:val="24"/>
          <w:szCs w:val="24"/>
        </w:rPr>
        <w:t>s</w:t>
      </w:r>
      <w:r w:rsidRPr="007C61D2">
        <w:rPr>
          <w:rFonts w:ascii="Garamond" w:eastAsia="Times New Roman" w:hAnsi="Garamond" w:cs="Times New Roman"/>
          <w:sz w:val="24"/>
          <w:szCs w:val="24"/>
        </w:rPr>
        <w:t xml:space="preserve"> people as </w:t>
      </w:r>
      <w:r w:rsidR="002D6C78" w:rsidRPr="007C61D2">
        <w:rPr>
          <w:rFonts w:ascii="Garamond" w:eastAsia="Times New Roman" w:hAnsi="Garamond" w:cs="Times New Roman"/>
          <w:sz w:val="24"/>
          <w:szCs w:val="24"/>
        </w:rPr>
        <w:t xml:space="preserve">members of </w:t>
      </w:r>
      <w:r w:rsidR="00AE724A">
        <w:rPr>
          <w:rFonts w:ascii="Garamond" w:eastAsia="Times New Roman" w:hAnsi="Garamond" w:cs="Times New Roman"/>
          <w:sz w:val="24"/>
          <w:szCs w:val="24"/>
        </w:rPr>
        <w:t xml:space="preserve">a particular </w:t>
      </w:r>
      <w:r w:rsidR="002D6C78" w:rsidRPr="007C61D2">
        <w:rPr>
          <w:rFonts w:ascii="Garamond" w:eastAsia="Times New Roman" w:hAnsi="Garamond" w:cs="Times New Roman"/>
          <w:sz w:val="24"/>
          <w:szCs w:val="24"/>
        </w:rPr>
        <w:t>gender categor</w:t>
      </w:r>
      <w:r w:rsidR="00AE724A">
        <w:rPr>
          <w:rFonts w:ascii="Garamond" w:eastAsia="Times New Roman" w:hAnsi="Garamond" w:cs="Times New Roman"/>
          <w:sz w:val="24"/>
          <w:szCs w:val="24"/>
        </w:rPr>
        <w:t>y</w:t>
      </w:r>
      <w:r w:rsidR="002D6C78"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because they act, in everyday life, </w:t>
      </w:r>
      <w:r w:rsidRPr="007C61D2">
        <w:rPr>
          <w:rFonts w:ascii="Garamond" w:eastAsia="Times New Roman" w:hAnsi="Garamond" w:cs="Times New Roman"/>
          <w:i/>
          <w:iCs/>
          <w:sz w:val="24"/>
          <w:szCs w:val="24"/>
        </w:rPr>
        <w:t>as if</w:t>
      </w:r>
      <w:r w:rsidRPr="007C61D2">
        <w:rPr>
          <w:rFonts w:ascii="Garamond" w:eastAsia="Times New Roman" w:hAnsi="Garamond" w:cs="Times New Roman"/>
          <w:sz w:val="24"/>
          <w:szCs w:val="24"/>
        </w:rPr>
        <w:t xml:space="preserve"> they</w:t>
      </w:r>
      <w:r w:rsidR="002D6C78" w:rsidRPr="007C61D2">
        <w:rPr>
          <w:rFonts w:ascii="Garamond" w:eastAsia="Times New Roman" w:hAnsi="Garamond" w:cs="Times New Roman"/>
          <w:sz w:val="24"/>
          <w:szCs w:val="24"/>
        </w:rPr>
        <w:t xml:space="preserve"> are</w:t>
      </w:r>
      <w:r w:rsidRPr="007C61D2">
        <w:rPr>
          <w:rFonts w:ascii="Garamond" w:eastAsia="Times New Roman" w:hAnsi="Garamond" w:cs="Times New Roman"/>
          <w:sz w:val="24"/>
          <w:szCs w:val="24"/>
        </w:rPr>
        <w:t>.</w:t>
      </w:r>
      <w:r w:rsidR="001C4320" w:rsidRPr="007C61D2">
        <w:rPr>
          <w:rFonts w:ascii="Garamond" w:eastAsia="Times New Roman" w:hAnsi="Garamond" w:cs="Times New Roman"/>
          <w:sz w:val="24"/>
          <w:szCs w:val="24"/>
        </w:rPr>
        <w:t xml:space="preserve"> Jessica Clarke (2005) explores this practice-based approach in </w:t>
      </w:r>
      <w:r w:rsidR="003F6B1D" w:rsidRPr="007C61D2">
        <w:rPr>
          <w:rFonts w:ascii="Garamond" w:eastAsia="Times New Roman" w:hAnsi="Garamond" w:cs="Times New Roman"/>
          <w:sz w:val="24"/>
          <w:szCs w:val="24"/>
        </w:rPr>
        <w:t xml:space="preserve">an </w:t>
      </w:r>
      <w:r w:rsidR="003F6B1D" w:rsidRPr="007C61D2">
        <w:rPr>
          <w:rFonts w:ascii="Garamond" w:eastAsia="Times New Roman" w:hAnsi="Garamond" w:cs="Times New Roman"/>
          <w:sz w:val="24"/>
          <w:szCs w:val="24"/>
        </w:rPr>
        <w:lastRenderedPageBreak/>
        <w:t xml:space="preserve">interesting and illuminating </w:t>
      </w:r>
      <w:r w:rsidR="001C4320" w:rsidRPr="007C61D2">
        <w:rPr>
          <w:rFonts w:ascii="Garamond" w:eastAsia="Times New Roman" w:hAnsi="Garamond" w:cs="Times New Roman"/>
          <w:sz w:val="24"/>
          <w:szCs w:val="24"/>
        </w:rPr>
        <w:t xml:space="preserve">discussion of </w:t>
      </w:r>
      <w:r w:rsidR="003F6B1D" w:rsidRPr="007C61D2">
        <w:rPr>
          <w:rFonts w:ascii="Garamond" w:eastAsia="Times New Roman" w:hAnsi="Garamond" w:cs="Times New Roman"/>
          <w:sz w:val="24"/>
          <w:szCs w:val="24"/>
        </w:rPr>
        <w:t xml:space="preserve">the commonalities between </w:t>
      </w:r>
      <w:r w:rsidR="001C4320" w:rsidRPr="007C61D2">
        <w:rPr>
          <w:rFonts w:ascii="Garamond" w:eastAsia="Times New Roman" w:hAnsi="Garamond" w:cs="Times New Roman"/>
          <w:sz w:val="24"/>
          <w:szCs w:val="24"/>
        </w:rPr>
        <w:t>adverse possession, functional parenthood, and common-law marriage. While she</w:t>
      </w:r>
      <w:r w:rsidRPr="007C61D2">
        <w:rPr>
          <w:rFonts w:ascii="Garamond" w:eastAsia="Times New Roman" w:hAnsi="Garamond" w:cs="Times New Roman"/>
          <w:sz w:val="24"/>
          <w:szCs w:val="24"/>
        </w:rPr>
        <w:t xml:space="preserve"> suggests</w:t>
      </w:r>
      <w:r w:rsidR="007826A6" w:rsidRPr="007C61D2">
        <w:rPr>
          <w:rFonts w:ascii="Garamond" w:eastAsia="Times New Roman" w:hAnsi="Garamond" w:cs="Times New Roman"/>
          <w:sz w:val="24"/>
          <w:szCs w:val="24"/>
        </w:rPr>
        <w:t xml:space="preserve"> </w:t>
      </w:r>
      <w:r w:rsidR="003F6B1D" w:rsidRPr="007C61D2">
        <w:rPr>
          <w:rFonts w:ascii="Garamond" w:eastAsia="Times New Roman" w:hAnsi="Garamond" w:cs="Times New Roman"/>
          <w:sz w:val="24"/>
          <w:szCs w:val="24"/>
        </w:rPr>
        <w:t xml:space="preserve">a practice-based </w:t>
      </w:r>
      <w:r w:rsidRPr="007C61D2">
        <w:rPr>
          <w:rFonts w:ascii="Garamond" w:eastAsia="Times New Roman" w:hAnsi="Garamond" w:cs="Times New Roman"/>
          <w:sz w:val="24"/>
          <w:szCs w:val="24"/>
        </w:rPr>
        <w:t xml:space="preserve">approach </w:t>
      </w:r>
      <w:r w:rsidR="002D6C78" w:rsidRPr="007C61D2">
        <w:rPr>
          <w:rFonts w:ascii="Garamond" w:eastAsia="Times New Roman" w:hAnsi="Garamond" w:cs="Times New Roman"/>
          <w:sz w:val="24"/>
          <w:szCs w:val="24"/>
        </w:rPr>
        <w:t xml:space="preserve">has </w:t>
      </w:r>
      <w:r w:rsidR="003F6B1D" w:rsidRPr="007C61D2">
        <w:rPr>
          <w:rFonts w:ascii="Garamond" w:eastAsia="Times New Roman" w:hAnsi="Garamond" w:cs="Times New Roman"/>
          <w:sz w:val="24"/>
          <w:szCs w:val="24"/>
        </w:rPr>
        <w:t xml:space="preserve">been less </w:t>
      </w:r>
      <w:r w:rsidRPr="007C61D2">
        <w:rPr>
          <w:rFonts w:ascii="Garamond" w:eastAsia="Times New Roman" w:hAnsi="Garamond" w:cs="Times New Roman"/>
          <w:sz w:val="24"/>
          <w:szCs w:val="24"/>
        </w:rPr>
        <w:t xml:space="preserve">evident </w:t>
      </w:r>
      <w:r w:rsidR="003D595E" w:rsidRPr="007C61D2">
        <w:rPr>
          <w:rFonts w:ascii="Garamond" w:eastAsia="Times New Roman" w:hAnsi="Garamond" w:cs="Times New Roman"/>
          <w:sz w:val="24"/>
          <w:szCs w:val="24"/>
        </w:rPr>
        <w:t xml:space="preserve">for </w:t>
      </w:r>
      <w:r w:rsidRPr="007C61D2">
        <w:rPr>
          <w:rFonts w:ascii="Garamond" w:eastAsia="Times New Roman" w:hAnsi="Garamond" w:cs="Times New Roman"/>
          <w:sz w:val="24"/>
          <w:szCs w:val="24"/>
        </w:rPr>
        <w:t>gender</w:t>
      </w:r>
      <w:r w:rsidR="00076A65" w:rsidRPr="007C61D2">
        <w:rPr>
          <w:rFonts w:ascii="Garamond" w:eastAsia="Times New Roman" w:hAnsi="Garamond" w:cs="Times New Roman"/>
          <w:sz w:val="24"/>
          <w:szCs w:val="24"/>
        </w:rPr>
        <w:t xml:space="preserve">, </w:t>
      </w:r>
      <w:r w:rsidR="00282432" w:rsidRPr="007C61D2">
        <w:rPr>
          <w:rFonts w:ascii="Garamond" w:eastAsia="Times New Roman" w:hAnsi="Garamond" w:cs="Times New Roman"/>
          <w:sz w:val="24"/>
          <w:szCs w:val="24"/>
        </w:rPr>
        <w:t xml:space="preserve">things have </w:t>
      </w:r>
      <w:r w:rsidR="00076A65" w:rsidRPr="007C61D2">
        <w:rPr>
          <w:rFonts w:ascii="Garamond" w:eastAsia="Times New Roman" w:hAnsi="Garamond" w:cs="Times New Roman"/>
          <w:sz w:val="24"/>
          <w:szCs w:val="24"/>
        </w:rPr>
        <w:t>changed</w:t>
      </w:r>
      <w:r w:rsidR="00282432" w:rsidRPr="007C61D2">
        <w:rPr>
          <w:rFonts w:ascii="Garamond" w:eastAsia="Times New Roman" w:hAnsi="Garamond" w:cs="Times New Roman"/>
          <w:sz w:val="24"/>
          <w:szCs w:val="24"/>
        </w:rPr>
        <w:t xml:space="preserve"> since her article’s publication</w:t>
      </w:r>
      <w:r w:rsidR="00076A65"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The “real life test” comprises a formal element </w:t>
      </w:r>
      <w:r w:rsidR="00282432" w:rsidRPr="007C61D2">
        <w:rPr>
          <w:rFonts w:ascii="Garamond" w:eastAsia="Times New Roman" w:hAnsi="Garamond" w:cs="Times New Roman"/>
          <w:sz w:val="24"/>
          <w:szCs w:val="24"/>
        </w:rPr>
        <w:t xml:space="preserve">in several </w:t>
      </w:r>
      <w:r w:rsidRPr="007C61D2">
        <w:rPr>
          <w:rFonts w:ascii="Garamond" w:eastAsia="Times New Roman" w:hAnsi="Garamond" w:cs="Times New Roman"/>
          <w:sz w:val="24"/>
          <w:szCs w:val="24"/>
        </w:rPr>
        <w:t>legally recognised transition</w:t>
      </w:r>
      <w:r w:rsidR="00337F97">
        <w:rPr>
          <w:rFonts w:ascii="Garamond" w:eastAsia="Times New Roman" w:hAnsi="Garamond" w:cs="Times New Roman"/>
          <w:sz w:val="24"/>
          <w:szCs w:val="24"/>
        </w:rPr>
        <w:t>ing</w:t>
      </w:r>
      <w:r w:rsidRPr="007C61D2">
        <w:rPr>
          <w:rFonts w:ascii="Garamond" w:eastAsia="Times New Roman" w:hAnsi="Garamond" w:cs="Times New Roman"/>
          <w:sz w:val="24"/>
          <w:szCs w:val="24"/>
        </w:rPr>
        <w:t xml:space="preserve"> procedures</w:t>
      </w:r>
      <w:r w:rsidR="00282432" w:rsidRPr="007C61D2">
        <w:rPr>
          <w:rFonts w:ascii="Garamond" w:eastAsia="Times New Roman" w:hAnsi="Garamond" w:cs="Times New Roman"/>
          <w:sz w:val="24"/>
          <w:szCs w:val="24"/>
        </w:rPr>
        <w:t>. F</w:t>
      </w:r>
      <w:r w:rsidRPr="007C61D2">
        <w:rPr>
          <w:rFonts w:ascii="Garamond" w:eastAsia="Times New Roman" w:hAnsi="Garamond" w:cs="Times New Roman"/>
          <w:sz w:val="24"/>
          <w:szCs w:val="24"/>
        </w:rPr>
        <w:t xml:space="preserve">or instance, </w:t>
      </w:r>
      <w:r w:rsidRPr="007C61D2">
        <w:rPr>
          <w:rFonts w:ascii="Garamond" w:hAnsi="Garamond" w:cs="Times New Roman"/>
          <w:sz w:val="24"/>
          <w:szCs w:val="24"/>
        </w:rPr>
        <w:t xml:space="preserve">the </w:t>
      </w:r>
      <w:r w:rsidR="00282432" w:rsidRPr="007C61D2">
        <w:rPr>
          <w:rFonts w:ascii="Garamond" w:hAnsi="Garamond" w:cs="Times New Roman"/>
          <w:sz w:val="24"/>
          <w:szCs w:val="24"/>
        </w:rPr>
        <w:t xml:space="preserve">Gender Recognition Act 2004, s.2(1)(b) requires people </w:t>
      </w:r>
      <w:r w:rsidRPr="007C61D2">
        <w:rPr>
          <w:rFonts w:ascii="Garamond" w:hAnsi="Garamond" w:cs="Times New Roman"/>
          <w:sz w:val="24"/>
          <w:szCs w:val="24"/>
        </w:rPr>
        <w:t xml:space="preserve">to live for two years in </w:t>
      </w:r>
      <w:r w:rsidR="00282432" w:rsidRPr="007C61D2">
        <w:rPr>
          <w:rFonts w:ascii="Garamond" w:hAnsi="Garamond" w:cs="Times New Roman"/>
          <w:sz w:val="24"/>
          <w:szCs w:val="24"/>
        </w:rPr>
        <w:t xml:space="preserve">their </w:t>
      </w:r>
      <w:r w:rsidRPr="007C61D2">
        <w:rPr>
          <w:rFonts w:ascii="Garamond" w:hAnsi="Garamond" w:cs="Times New Roman"/>
          <w:sz w:val="24"/>
          <w:szCs w:val="24"/>
        </w:rPr>
        <w:t>“acquired” gender</w:t>
      </w:r>
      <w:r w:rsidR="002D6C78" w:rsidRPr="007C61D2">
        <w:rPr>
          <w:rFonts w:ascii="Garamond" w:hAnsi="Garamond" w:cs="Times New Roman"/>
          <w:sz w:val="24"/>
          <w:szCs w:val="24"/>
        </w:rPr>
        <w:t>.</w:t>
      </w:r>
      <w:r w:rsidR="002D6C78" w:rsidRPr="007C61D2">
        <w:rPr>
          <w:rStyle w:val="FootnoteReference"/>
          <w:rFonts w:ascii="Garamond" w:hAnsi="Garamond" w:cs="Times New Roman"/>
          <w:sz w:val="24"/>
          <w:szCs w:val="24"/>
        </w:rPr>
        <w:footnoteReference w:id="40"/>
      </w:r>
      <w:r w:rsidR="002D6C78" w:rsidRPr="007C61D2">
        <w:rPr>
          <w:rFonts w:ascii="Garamond" w:hAnsi="Garamond" w:cs="Times New Roman"/>
          <w:sz w:val="24"/>
          <w:szCs w:val="24"/>
        </w:rPr>
        <w:t xml:space="preserve"> </w:t>
      </w:r>
      <w:r w:rsidR="003D595E" w:rsidRPr="007C61D2">
        <w:rPr>
          <w:rFonts w:ascii="Garamond" w:hAnsi="Garamond" w:cs="Times New Roman"/>
          <w:sz w:val="24"/>
          <w:szCs w:val="24"/>
        </w:rPr>
        <w:t xml:space="preserve">A British </w:t>
      </w:r>
      <w:r w:rsidR="00282432" w:rsidRPr="007C61D2">
        <w:rPr>
          <w:rFonts w:ascii="Garamond" w:hAnsi="Garamond" w:cs="Times New Roman"/>
          <w:sz w:val="24"/>
          <w:szCs w:val="24"/>
        </w:rPr>
        <w:t xml:space="preserve">practice-based approach </w:t>
      </w:r>
      <w:r w:rsidR="00076A65" w:rsidRPr="007C61D2">
        <w:rPr>
          <w:rFonts w:ascii="Garamond" w:hAnsi="Garamond" w:cs="Times New Roman"/>
          <w:sz w:val="24"/>
          <w:szCs w:val="24"/>
        </w:rPr>
        <w:t xml:space="preserve">is also </w:t>
      </w:r>
      <w:r w:rsidR="00076A65" w:rsidRPr="007C61D2">
        <w:rPr>
          <w:rFonts w:ascii="Garamond" w:eastAsia="Times New Roman" w:hAnsi="Garamond" w:cs="Times New Roman"/>
          <w:sz w:val="24"/>
          <w:szCs w:val="24"/>
        </w:rPr>
        <w:t>evident</w:t>
      </w:r>
      <w:r w:rsidR="003D595E" w:rsidRPr="007C61D2">
        <w:rPr>
          <w:rFonts w:ascii="Garamond" w:eastAsia="Times New Roman" w:hAnsi="Garamond" w:cs="Times New Roman"/>
          <w:sz w:val="24"/>
          <w:szCs w:val="24"/>
        </w:rPr>
        <w:t xml:space="preserve"> </w:t>
      </w:r>
      <w:r w:rsidR="00076A65" w:rsidRPr="007C61D2">
        <w:rPr>
          <w:rFonts w:ascii="Garamond" w:eastAsia="Times New Roman" w:hAnsi="Garamond" w:cs="Times New Roman"/>
          <w:sz w:val="24"/>
          <w:szCs w:val="24"/>
        </w:rPr>
        <w:t xml:space="preserve">in the growing </w:t>
      </w:r>
      <w:r w:rsidR="00076A65" w:rsidRPr="007C61D2">
        <w:rPr>
          <w:rFonts w:ascii="Garamond" w:eastAsia="Times New Roman" w:hAnsi="Garamond" w:cs="Times New Roman"/>
          <w:i/>
          <w:sz w:val="24"/>
          <w:szCs w:val="24"/>
        </w:rPr>
        <w:t xml:space="preserve">de facto </w:t>
      </w:r>
      <w:r w:rsidR="00076A65" w:rsidRPr="007C61D2">
        <w:rPr>
          <w:rFonts w:ascii="Garamond" w:eastAsia="Times New Roman" w:hAnsi="Garamond" w:cs="Times New Roman"/>
          <w:sz w:val="24"/>
          <w:szCs w:val="24"/>
        </w:rPr>
        <w:t xml:space="preserve">recognition, by state and other public authorities, of </w:t>
      </w:r>
      <w:r w:rsidR="00282432" w:rsidRPr="007C61D2">
        <w:rPr>
          <w:rFonts w:ascii="Garamond" w:eastAsia="Times New Roman" w:hAnsi="Garamond" w:cs="Times New Roman"/>
          <w:sz w:val="24"/>
          <w:szCs w:val="24"/>
        </w:rPr>
        <w:t xml:space="preserve">the gender identity in which </w:t>
      </w:r>
      <w:r w:rsidR="00076A65" w:rsidRPr="007C61D2">
        <w:rPr>
          <w:rFonts w:ascii="Garamond" w:eastAsia="Times New Roman" w:hAnsi="Garamond" w:cs="Times New Roman"/>
          <w:sz w:val="24"/>
          <w:szCs w:val="24"/>
        </w:rPr>
        <w:t xml:space="preserve">people (effectively) </w:t>
      </w:r>
      <w:r w:rsidR="00282432" w:rsidRPr="007C61D2">
        <w:rPr>
          <w:rFonts w:ascii="Garamond" w:eastAsia="Times New Roman" w:hAnsi="Garamond" w:cs="Times New Roman"/>
          <w:sz w:val="24"/>
          <w:szCs w:val="24"/>
        </w:rPr>
        <w:t>live</w:t>
      </w:r>
      <w:r w:rsidR="003F6B1D" w:rsidRPr="007C61D2">
        <w:rPr>
          <w:rFonts w:ascii="Garamond" w:eastAsia="Times New Roman" w:hAnsi="Garamond" w:cs="Times New Roman"/>
          <w:sz w:val="24"/>
          <w:szCs w:val="24"/>
        </w:rPr>
        <w:t xml:space="preserve"> (see also Cooper, this issue)</w:t>
      </w:r>
      <w:r w:rsidR="00076A65" w:rsidRPr="007C61D2">
        <w:rPr>
          <w:rFonts w:ascii="Garamond" w:eastAsia="Times New Roman" w:hAnsi="Garamond" w:cs="Times New Roman"/>
          <w:sz w:val="24"/>
          <w:szCs w:val="24"/>
        </w:rPr>
        <w:t>.</w:t>
      </w:r>
      <w:r w:rsidR="002D6C78" w:rsidRPr="007C61D2">
        <w:rPr>
          <w:rStyle w:val="FootnoteReference"/>
          <w:rFonts w:ascii="Garamond" w:eastAsia="Times New Roman" w:hAnsi="Garamond" w:cs="Times New Roman"/>
          <w:sz w:val="24"/>
          <w:szCs w:val="24"/>
        </w:rPr>
        <w:footnoteReference w:id="41"/>
      </w:r>
      <w:r w:rsidR="002D6C78" w:rsidRPr="007C61D2">
        <w:rPr>
          <w:rFonts w:ascii="Garamond" w:eastAsia="Times New Roman" w:hAnsi="Garamond" w:cs="Times New Roman"/>
          <w:sz w:val="24"/>
          <w:szCs w:val="24"/>
        </w:rPr>
        <w:t xml:space="preserve"> </w:t>
      </w:r>
      <w:r w:rsidR="00076A65" w:rsidRPr="007C61D2">
        <w:rPr>
          <w:rFonts w:ascii="Garamond" w:eastAsia="Times New Roman" w:hAnsi="Garamond" w:cs="Times New Roman"/>
          <w:sz w:val="24"/>
          <w:szCs w:val="24"/>
        </w:rPr>
        <w:t xml:space="preserve"> </w:t>
      </w:r>
      <w:r w:rsidR="003E49CD" w:rsidRPr="007C61D2">
        <w:rPr>
          <w:rFonts w:ascii="Garamond" w:hAnsi="Garamond" w:cs="Times New Roman"/>
          <w:sz w:val="24"/>
          <w:szCs w:val="24"/>
        </w:rPr>
        <w:t xml:space="preserve"> </w:t>
      </w:r>
    </w:p>
    <w:p w14:paraId="702F5AF1" w14:textId="61BAEECB" w:rsidR="00A979C7" w:rsidRPr="007C61D2" w:rsidRDefault="00A979C7"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For some, living in a gender</w:t>
      </w:r>
      <w:r w:rsidR="00685C09"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  with its connotations of gender as a place in which people dwell (and so should dwell comfortably) – constitutes the proper basis for determining </w:t>
      </w:r>
      <w:r w:rsidR="003F6B1D" w:rsidRPr="007C61D2">
        <w:rPr>
          <w:rFonts w:ascii="Garamond" w:eastAsia="Times New Roman" w:hAnsi="Garamond" w:cs="Times New Roman"/>
          <w:sz w:val="24"/>
          <w:szCs w:val="24"/>
        </w:rPr>
        <w:t>which</w:t>
      </w:r>
      <w:r w:rsidRPr="007C61D2">
        <w:rPr>
          <w:rFonts w:ascii="Garamond" w:eastAsia="Times New Roman" w:hAnsi="Garamond" w:cs="Times New Roman"/>
          <w:sz w:val="24"/>
          <w:szCs w:val="24"/>
        </w:rPr>
        <w:t xml:space="preserve"> category people </w:t>
      </w:r>
      <w:r w:rsidR="003E49CD" w:rsidRPr="007C61D2">
        <w:rPr>
          <w:rFonts w:ascii="Garamond" w:eastAsia="Times New Roman" w:hAnsi="Garamond" w:cs="Times New Roman"/>
          <w:sz w:val="24"/>
          <w:szCs w:val="24"/>
        </w:rPr>
        <w:t xml:space="preserve">come within for </w:t>
      </w:r>
      <w:r w:rsidRPr="007C61D2">
        <w:rPr>
          <w:rFonts w:ascii="Garamond" w:eastAsia="Times New Roman" w:hAnsi="Garamond" w:cs="Times New Roman"/>
          <w:sz w:val="24"/>
          <w:szCs w:val="24"/>
        </w:rPr>
        <w:t xml:space="preserve">forms, take-up of single-sex provision, admittance to community membership, and affirmative action. </w:t>
      </w:r>
      <w:r w:rsidR="00076A65" w:rsidRPr="007C61D2">
        <w:rPr>
          <w:rFonts w:ascii="Garamond" w:eastAsia="Times New Roman" w:hAnsi="Garamond" w:cs="Times New Roman"/>
          <w:sz w:val="24"/>
          <w:szCs w:val="24"/>
        </w:rPr>
        <w:t xml:space="preserve">A practice-based standard </w:t>
      </w:r>
      <w:r w:rsidR="00145444" w:rsidRPr="007C61D2">
        <w:rPr>
          <w:rFonts w:ascii="Garamond" w:eastAsia="Times New Roman" w:hAnsi="Garamond" w:cs="Times New Roman"/>
          <w:sz w:val="24"/>
          <w:szCs w:val="24"/>
        </w:rPr>
        <w:t xml:space="preserve">also </w:t>
      </w:r>
      <w:r w:rsidRPr="007C61D2">
        <w:rPr>
          <w:rFonts w:ascii="Garamond" w:eastAsia="Times New Roman" w:hAnsi="Garamond" w:cs="Times New Roman"/>
          <w:sz w:val="24"/>
          <w:szCs w:val="24"/>
        </w:rPr>
        <w:t xml:space="preserve">speaks to feminist concerns about people claiming to be </w:t>
      </w:r>
      <w:r w:rsidR="003D595E" w:rsidRPr="007C61D2">
        <w:rPr>
          <w:rFonts w:ascii="Garamond" w:eastAsia="Times New Roman" w:hAnsi="Garamond" w:cs="Times New Roman"/>
          <w:sz w:val="24"/>
          <w:szCs w:val="24"/>
        </w:rPr>
        <w:t xml:space="preserve">female </w:t>
      </w:r>
      <w:r w:rsidRPr="007C61D2">
        <w:rPr>
          <w:rFonts w:ascii="Garamond" w:eastAsia="Times New Roman" w:hAnsi="Garamond" w:cs="Times New Roman"/>
          <w:sz w:val="24"/>
          <w:szCs w:val="24"/>
        </w:rPr>
        <w:t>without experiencing the quotidian subordinations, erasures</w:t>
      </w:r>
      <w:r w:rsidR="00076A65"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and dismissals that come with </w:t>
      </w:r>
      <w:r w:rsidR="00145444" w:rsidRPr="007C61D2">
        <w:rPr>
          <w:rFonts w:ascii="Garamond" w:eastAsia="Times New Roman" w:hAnsi="Garamond" w:cs="Times New Roman"/>
          <w:sz w:val="24"/>
          <w:szCs w:val="24"/>
        </w:rPr>
        <w:t>living and being treated as a woman</w:t>
      </w:r>
      <w:r w:rsidRPr="007C61D2">
        <w:rPr>
          <w:rFonts w:ascii="Garamond" w:eastAsia="Times New Roman" w:hAnsi="Garamond" w:cs="Times New Roman"/>
          <w:sz w:val="24"/>
          <w:szCs w:val="24"/>
        </w:rPr>
        <w:t xml:space="preserve">; and it recognises an important interactive dimension of social identity/ status – that </w:t>
      </w:r>
      <w:r w:rsidR="002D6C78" w:rsidRPr="007C61D2">
        <w:rPr>
          <w:rFonts w:ascii="Garamond" w:eastAsia="Times New Roman" w:hAnsi="Garamond" w:cs="Times New Roman"/>
          <w:sz w:val="24"/>
          <w:szCs w:val="24"/>
        </w:rPr>
        <w:t xml:space="preserve">it </w:t>
      </w:r>
      <w:r w:rsidRPr="007C61D2">
        <w:rPr>
          <w:rFonts w:ascii="Garamond" w:eastAsia="Times New Roman" w:hAnsi="Garamond" w:cs="Times New Roman"/>
          <w:sz w:val="24"/>
          <w:szCs w:val="24"/>
        </w:rPr>
        <w:t>depend</w:t>
      </w:r>
      <w:r w:rsidR="002D6C78" w:rsidRPr="007C61D2">
        <w:rPr>
          <w:rFonts w:ascii="Garamond" w:eastAsia="Times New Roman" w:hAnsi="Garamond" w:cs="Times New Roman"/>
          <w:sz w:val="24"/>
          <w:szCs w:val="24"/>
        </w:rPr>
        <w:t>s</w:t>
      </w:r>
      <w:r w:rsidRPr="007C61D2">
        <w:rPr>
          <w:rFonts w:ascii="Garamond" w:eastAsia="Times New Roman" w:hAnsi="Garamond" w:cs="Times New Roman"/>
          <w:sz w:val="24"/>
          <w:szCs w:val="24"/>
        </w:rPr>
        <w:t xml:space="preserve"> on </w:t>
      </w:r>
      <w:r w:rsidR="003D595E" w:rsidRPr="007C61D2">
        <w:rPr>
          <w:rFonts w:ascii="Garamond" w:eastAsia="Times New Roman" w:hAnsi="Garamond" w:cs="Times New Roman"/>
          <w:sz w:val="24"/>
          <w:szCs w:val="24"/>
        </w:rPr>
        <w:t xml:space="preserve">and </w:t>
      </w:r>
      <w:r w:rsidR="002D6C78" w:rsidRPr="007C61D2">
        <w:rPr>
          <w:rFonts w:ascii="Garamond" w:eastAsia="Times New Roman" w:hAnsi="Garamond" w:cs="Times New Roman"/>
          <w:sz w:val="24"/>
          <w:szCs w:val="24"/>
        </w:rPr>
        <w:t xml:space="preserve">is </w:t>
      </w:r>
      <w:r w:rsidR="003D595E" w:rsidRPr="007C61D2">
        <w:rPr>
          <w:rFonts w:ascii="Garamond" w:eastAsia="Times New Roman" w:hAnsi="Garamond" w:cs="Times New Roman"/>
          <w:sz w:val="24"/>
          <w:szCs w:val="24"/>
        </w:rPr>
        <w:t xml:space="preserve">forged through </w:t>
      </w:r>
      <w:r w:rsidRPr="007C61D2">
        <w:rPr>
          <w:rFonts w:ascii="Garamond" w:eastAsia="Times New Roman" w:hAnsi="Garamond" w:cs="Times New Roman"/>
          <w:sz w:val="24"/>
          <w:szCs w:val="24"/>
        </w:rPr>
        <w:t>relations with others. However, one problem with a</w:t>
      </w:r>
      <w:r w:rsidR="00076A65" w:rsidRPr="007C61D2">
        <w:rPr>
          <w:rFonts w:ascii="Garamond" w:eastAsia="Times New Roman" w:hAnsi="Garamond" w:cs="Times New Roman"/>
          <w:sz w:val="24"/>
          <w:szCs w:val="24"/>
        </w:rPr>
        <w:t xml:space="preserve"> practice-based</w:t>
      </w:r>
      <w:r w:rsidRPr="007C61D2">
        <w:rPr>
          <w:rFonts w:ascii="Garamond" w:eastAsia="Times New Roman" w:hAnsi="Garamond" w:cs="Times New Roman"/>
          <w:sz w:val="24"/>
          <w:szCs w:val="24"/>
        </w:rPr>
        <w:t xml:space="preserve"> approach</w:t>
      </w:r>
      <w:r w:rsidR="00076A65" w:rsidRPr="007C61D2">
        <w:rPr>
          <w:rFonts w:ascii="Garamond" w:eastAsia="Times New Roman" w:hAnsi="Garamond" w:cs="Times New Roman"/>
          <w:sz w:val="24"/>
          <w:szCs w:val="24"/>
        </w:rPr>
        <w:t xml:space="preserve"> to gender</w:t>
      </w:r>
      <w:r w:rsidRPr="007C61D2">
        <w:rPr>
          <w:rFonts w:ascii="Garamond" w:eastAsia="Times New Roman" w:hAnsi="Garamond" w:cs="Times New Roman"/>
          <w:sz w:val="24"/>
          <w:szCs w:val="24"/>
        </w:rPr>
        <w:t xml:space="preserve">, as with other </w:t>
      </w:r>
      <w:r w:rsidRPr="007C61D2">
        <w:rPr>
          <w:rFonts w:ascii="Garamond" w:eastAsia="Times New Roman" w:hAnsi="Garamond" w:cs="Times New Roman"/>
          <w:i/>
          <w:iCs/>
          <w:sz w:val="24"/>
          <w:szCs w:val="24"/>
        </w:rPr>
        <w:t>de facto</w:t>
      </w:r>
      <w:r w:rsidR="00BB13E3" w:rsidRPr="007C61D2">
        <w:rPr>
          <w:rFonts w:ascii="Garamond" w:eastAsia="Times New Roman" w:hAnsi="Garamond" w:cs="Times New Roman"/>
          <w:sz w:val="24"/>
          <w:szCs w:val="24"/>
        </w:rPr>
        <w:t xml:space="preserve"> (or retrospective)</w:t>
      </w:r>
      <w:r w:rsidRPr="007C61D2">
        <w:rPr>
          <w:rFonts w:ascii="Garamond" w:eastAsia="Times New Roman" w:hAnsi="Garamond" w:cs="Times New Roman"/>
          <w:sz w:val="24"/>
          <w:szCs w:val="24"/>
        </w:rPr>
        <w:t xml:space="preserve"> bases for assigning status</w:t>
      </w:r>
      <w:r w:rsidR="002D6C78"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is that it can reinforce established norms – what it means and looks like to act as an owner, parent, spouse, man, or woman. In the case of gender, one fear is that inequalities and stereotypes about how </w:t>
      </w:r>
      <w:r w:rsidR="003F6B1D" w:rsidRPr="007C61D2">
        <w:rPr>
          <w:rFonts w:ascii="Garamond" w:eastAsia="Times New Roman" w:hAnsi="Garamond" w:cs="Times New Roman"/>
          <w:sz w:val="24"/>
          <w:szCs w:val="24"/>
        </w:rPr>
        <w:t xml:space="preserve">women and </w:t>
      </w:r>
      <w:r w:rsidRPr="007C61D2">
        <w:rPr>
          <w:rFonts w:ascii="Garamond" w:eastAsia="Times New Roman" w:hAnsi="Garamond" w:cs="Times New Roman"/>
          <w:sz w:val="24"/>
          <w:szCs w:val="24"/>
        </w:rPr>
        <w:t>men behave</w:t>
      </w:r>
      <w:r w:rsidR="00E02FC8" w:rsidRPr="007C61D2">
        <w:rPr>
          <w:rFonts w:ascii="Garamond" w:eastAsia="Times New Roman" w:hAnsi="Garamond" w:cs="Times New Roman"/>
          <w:sz w:val="24"/>
          <w:szCs w:val="24"/>
        </w:rPr>
        <w:t xml:space="preserve"> get reinforced</w:t>
      </w:r>
      <w:r w:rsidR="0066073C" w:rsidRPr="007C61D2">
        <w:rPr>
          <w:rFonts w:ascii="Garamond" w:eastAsia="Times New Roman" w:hAnsi="Garamond" w:cs="Times New Roman"/>
          <w:sz w:val="24"/>
          <w:szCs w:val="24"/>
        </w:rPr>
        <w:t xml:space="preserve">. This </w:t>
      </w:r>
      <w:r w:rsidRPr="007C61D2">
        <w:rPr>
          <w:rFonts w:ascii="Garamond" w:eastAsia="Times New Roman" w:hAnsi="Garamond" w:cs="Times New Roman"/>
          <w:sz w:val="24"/>
          <w:szCs w:val="24"/>
        </w:rPr>
        <w:t xml:space="preserve">concern </w:t>
      </w:r>
      <w:r w:rsidR="0066073C" w:rsidRPr="007C61D2">
        <w:rPr>
          <w:rFonts w:ascii="Garamond" w:eastAsia="Times New Roman" w:hAnsi="Garamond" w:cs="Times New Roman"/>
          <w:sz w:val="24"/>
          <w:szCs w:val="24"/>
        </w:rPr>
        <w:t xml:space="preserve">is </w:t>
      </w:r>
      <w:r w:rsidRPr="007C61D2">
        <w:rPr>
          <w:rFonts w:ascii="Garamond" w:eastAsia="Times New Roman" w:hAnsi="Garamond" w:cs="Times New Roman"/>
          <w:sz w:val="24"/>
          <w:szCs w:val="24"/>
        </w:rPr>
        <w:t xml:space="preserve">also expressed </w:t>
      </w:r>
      <w:r w:rsidR="0066073C" w:rsidRPr="007C61D2">
        <w:rPr>
          <w:rFonts w:ascii="Garamond" w:eastAsia="Times New Roman" w:hAnsi="Garamond" w:cs="Times New Roman"/>
          <w:sz w:val="24"/>
          <w:szCs w:val="24"/>
        </w:rPr>
        <w:t>b</w:t>
      </w:r>
      <w:r w:rsidRPr="007C61D2">
        <w:rPr>
          <w:rFonts w:ascii="Garamond" w:eastAsia="Times New Roman" w:hAnsi="Garamond" w:cs="Times New Roman"/>
          <w:sz w:val="24"/>
          <w:szCs w:val="24"/>
        </w:rPr>
        <w:t xml:space="preserve">y </w:t>
      </w:r>
      <w:r w:rsidR="0066073C" w:rsidRPr="007C61D2">
        <w:rPr>
          <w:rFonts w:ascii="Garamond" w:eastAsia="Times New Roman" w:hAnsi="Garamond" w:cs="Times New Roman"/>
          <w:sz w:val="24"/>
          <w:szCs w:val="24"/>
        </w:rPr>
        <w:t xml:space="preserve">people </w:t>
      </w:r>
      <w:r w:rsidR="00E02FC8" w:rsidRPr="007C61D2">
        <w:rPr>
          <w:rFonts w:ascii="Garamond" w:eastAsia="Times New Roman" w:hAnsi="Garamond" w:cs="Times New Roman"/>
          <w:sz w:val="24"/>
          <w:szCs w:val="24"/>
        </w:rPr>
        <w:t xml:space="preserve">going through legal </w:t>
      </w:r>
      <w:r w:rsidR="0066073C" w:rsidRPr="007C61D2">
        <w:rPr>
          <w:rFonts w:ascii="Garamond" w:eastAsia="Times New Roman" w:hAnsi="Garamond" w:cs="Times New Roman"/>
          <w:sz w:val="24"/>
          <w:szCs w:val="24"/>
        </w:rPr>
        <w:t xml:space="preserve">transitioning procedures </w:t>
      </w:r>
      <w:r w:rsidR="00E02FC8" w:rsidRPr="007C61D2">
        <w:rPr>
          <w:rFonts w:ascii="Garamond" w:eastAsia="Times New Roman" w:hAnsi="Garamond" w:cs="Times New Roman"/>
          <w:sz w:val="24"/>
          <w:szCs w:val="24"/>
        </w:rPr>
        <w:t xml:space="preserve">who feel compelled </w:t>
      </w:r>
      <w:r w:rsidR="0066073C" w:rsidRPr="007C61D2">
        <w:rPr>
          <w:rFonts w:ascii="Garamond" w:eastAsia="Times New Roman" w:hAnsi="Garamond" w:cs="Times New Roman"/>
          <w:sz w:val="24"/>
          <w:szCs w:val="24"/>
        </w:rPr>
        <w:t xml:space="preserve">into more stereotypical behaviour in order to successfully attain the </w:t>
      </w:r>
      <w:r w:rsidR="00E02FC8" w:rsidRPr="007C61D2">
        <w:rPr>
          <w:rFonts w:ascii="Garamond" w:eastAsia="Times New Roman" w:hAnsi="Garamond" w:cs="Times New Roman"/>
          <w:sz w:val="24"/>
          <w:szCs w:val="24"/>
        </w:rPr>
        <w:t xml:space="preserve">formal </w:t>
      </w:r>
      <w:r w:rsidR="0066073C" w:rsidRPr="007C61D2">
        <w:rPr>
          <w:rFonts w:ascii="Garamond" w:eastAsia="Times New Roman" w:hAnsi="Garamond" w:cs="Times New Roman"/>
          <w:sz w:val="24"/>
          <w:szCs w:val="24"/>
        </w:rPr>
        <w:t>status sought</w:t>
      </w:r>
      <w:r w:rsidR="003E49CD" w:rsidRPr="007C61D2">
        <w:rPr>
          <w:rFonts w:ascii="Garamond" w:eastAsia="Times New Roman" w:hAnsi="Garamond" w:cs="Times New Roman"/>
          <w:sz w:val="24"/>
          <w:szCs w:val="24"/>
        </w:rPr>
        <w:t xml:space="preserve"> </w:t>
      </w:r>
      <w:r w:rsidR="00E02FC8" w:rsidRPr="007C61D2">
        <w:rPr>
          <w:rFonts w:ascii="Garamond" w:eastAsia="Times New Roman" w:hAnsi="Garamond" w:cs="Times New Roman"/>
          <w:sz w:val="24"/>
          <w:szCs w:val="24"/>
        </w:rPr>
        <w:t>(Renz 2017</w:t>
      </w:r>
      <w:r w:rsidR="00A22FC3">
        <w:rPr>
          <w:rFonts w:ascii="Garamond" w:eastAsia="Times New Roman" w:hAnsi="Garamond" w:cs="Times New Roman"/>
          <w:sz w:val="24"/>
          <w:szCs w:val="24"/>
        </w:rPr>
        <w:t>; 2020</w:t>
      </w:r>
      <w:r w:rsidR="00E02FC8" w:rsidRPr="007C61D2">
        <w:rPr>
          <w:rFonts w:ascii="Garamond" w:eastAsia="Times New Roman" w:hAnsi="Garamond" w:cs="Times New Roman"/>
          <w:sz w:val="24"/>
          <w:szCs w:val="24"/>
        </w:rPr>
        <w:t>).</w:t>
      </w:r>
      <w:r w:rsidR="00E02FC8" w:rsidRPr="007C61D2">
        <w:rPr>
          <w:rStyle w:val="FootnoteReference"/>
          <w:rFonts w:ascii="Garamond" w:eastAsia="Times New Roman" w:hAnsi="Garamond" w:cs="Times New Roman"/>
          <w:sz w:val="24"/>
          <w:szCs w:val="24"/>
        </w:rPr>
        <w:footnoteReference w:id="42"/>
      </w:r>
      <w:r w:rsidR="00E02FC8" w:rsidRPr="007C61D2">
        <w:rPr>
          <w:rFonts w:ascii="Garamond" w:eastAsia="Times New Roman" w:hAnsi="Garamond" w:cs="Times New Roman"/>
          <w:sz w:val="24"/>
          <w:szCs w:val="24"/>
        </w:rPr>
        <w:t xml:space="preserve"> </w:t>
      </w:r>
      <w:r w:rsidR="0066073C" w:rsidRPr="007C61D2">
        <w:rPr>
          <w:rFonts w:ascii="Garamond" w:eastAsia="Times New Roman" w:hAnsi="Garamond" w:cs="Times New Roman"/>
          <w:sz w:val="24"/>
          <w:szCs w:val="24"/>
        </w:rPr>
        <w:t>A practice or experience-based approach to gender status might</w:t>
      </w:r>
      <w:r w:rsidR="003E49CD" w:rsidRPr="007C61D2">
        <w:rPr>
          <w:rFonts w:ascii="Garamond" w:eastAsia="Times New Roman" w:hAnsi="Garamond" w:cs="Times New Roman"/>
          <w:sz w:val="24"/>
          <w:szCs w:val="24"/>
        </w:rPr>
        <w:t>, however,</w:t>
      </w:r>
      <w:r w:rsidR="0066073C" w:rsidRPr="007C61D2">
        <w:rPr>
          <w:rFonts w:ascii="Garamond" w:eastAsia="Times New Roman" w:hAnsi="Garamond" w:cs="Times New Roman"/>
          <w:sz w:val="24"/>
          <w:szCs w:val="24"/>
        </w:rPr>
        <w:t xml:space="preserve"> take other forms. </w:t>
      </w:r>
      <w:r w:rsidR="00873B09" w:rsidRPr="007C61D2">
        <w:rPr>
          <w:rFonts w:ascii="Garamond" w:eastAsia="Times New Roman" w:hAnsi="Garamond" w:cs="Times New Roman"/>
          <w:sz w:val="24"/>
          <w:szCs w:val="24"/>
        </w:rPr>
        <w:t xml:space="preserve">Scottish-based guidance on gender representation on public boards makes it clear that to be </w:t>
      </w:r>
      <w:r w:rsidR="00873B09" w:rsidRPr="007C61D2">
        <w:rPr>
          <w:rFonts w:ascii="Garamond" w:eastAsia="Times New Roman" w:hAnsi="Garamond" w:cs="Times New Roman"/>
          <w:sz w:val="24"/>
          <w:szCs w:val="24"/>
        </w:rPr>
        <w:lastRenderedPageBreak/>
        <w:t xml:space="preserve">eligible as a woman </w:t>
      </w:r>
      <w:r w:rsidR="00E02FC8" w:rsidRPr="007C61D2">
        <w:rPr>
          <w:rFonts w:ascii="Garamond" w:eastAsia="Times New Roman" w:hAnsi="Garamond" w:cs="Times New Roman"/>
          <w:sz w:val="24"/>
          <w:szCs w:val="24"/>
        </w:rPr>
        <w:t>does not require someone “</w:t>
      </w:r>
      <w:r w:rsidR="00873B09" w:rsidRPr="007C61D2">
        <w:rPr>
          <w:rFonts w:ascii="Garamond" w:eastAsia="Times New Roman" w:hAnsi="Garamond" w:cs="Times New Roman"/>
          <w:sz w:val="24"/>
          <w:szCs w:val="24"/>
        </w:rPr>
        <w:t>to dress, look or behave in any particular way.”</w:t>
      </w:r>
      <w:r w:rsidR="00873B09" w:rsidRPr="007C61D2">
        <w:rPr>
          <w:rStyle w:val="FootnoteReference"/>
          <w:rFonts w:ascii="Garamond" w:eastAsia="Times New Roman" w:hAnsi="Garamond" w:cs="Times New Roman"/>
          <w:sz w:val="24"/>
          <w:szCs w:val="24"/>
        </w:rPr>
        <w:footnoteReference w:id="43"/>
      </w:r>
      <w:r w:rsidR="00873B09" w:rsidRPr="007C61D2">
        <w:rPr>
          <w:rFonts w:ascii="Garamond" w:eastAsia="Times New Roman" w:hAnsi="Garamond" w:cs="Times New Roman"/>
          <w:sz w:val="24"/>
          <w:szCs w:val="24"/>
        </w:rPr>
        <w:t xml:space="preserve"> </w:t>
      </w:r>
      <w:r w:rsidR="0066073C" w:rsidRPr="007C61D2">
        <w:rPr>
          <w:rFonts w:ascii="Garamond" w:eastAsia="Times New Roman" w:hAnsi="Garamond" w:cs="Times New Roman"/>
          <w:sz w:val="24"/>
          <w:szCs w:val="24"/>
        </w:rPr>
        <w:t xml:space="preserve">But </w:t>
      </w:r>
      <w:r w:rsidR="00873B09" w:rsidRPr="007C61D2">
        <w:rPr>
          <w:rFonts w:ascii="Garamond" w:eastAsia="Times New Roman" w:hAnsi="Garamond" w:cs="Times New Roman"/>
          <w:sz w:val="24"/>
          <w:szCs w:val="24"/>
        </w:rPr>
        <w:t xml:space="preserve">what then is </w:t>
      </w:r>
      <w:r w:rsidR="003D595E" w:rsidRPr="007C61D2">
        <w:rPr>
          <w:rFonts w:ascii="Garamond" w:eastAsia="Times New Roman" w:hAnsi="Garamond" w:cs="Times New Roman"/>
          <w:sz w:val="24"/>
          <w:szCs w:val="24"/>
        </w:rPr>
        <w:t>this phenomenon</w:t>
      </w:r>
      <w:r w:rsidR="002D6C78" w:rsidRPr="007C61D2">
        <w:rPr>
          <w:rFonts w:ascii="Garamond" w:eastAsia="Times New Roman" w:hAnsi="Garamond" w:cs="Times New Roman"/>
          <w:sz w:val="24"/>
          <w:szCs w:val="24"/>
        </w:rPr>
        <w:t>:</w:t>
      </w:r>
      <w:r w:rsidR="003D595E" w:rsidRPr="007C61D2">
        <w:rPr>
          <w:rFonts w:ascii="Garamond" w:eastAsia="Times New Roman" w:hAnsi="Garamond" w:cs="Times New Roman"/>
          <w:sz w:val="24"/>
          <w:szCs w:val="24"/>
        </w:rPr>
        <w:t xml:space="preserve"> </w:t>
      </w:r>
      <w:r w:rsidR="002D6C78" w:rsidRPr="007C61D2">
        <w:rPr>
          <w:rFonts w:ascii="Garamond" w:eastAsia="Times New Roman" w:hAnsi="Garamond" w:cs="Times New Roman"/>
          <w:sz w:val="24"/>
          <w:szCs w:val="24"/>
        </w:rPr>
        <w:t>“</w:t>
      </w:r>
      <w:r w:rsidR="00873B09" w:rsidRPr="007C61D2">
        <w:rPr>
          <w:rFonts w:ascii="Garamond" w:eastAsia="Times New Roman" w:hAnsi="Garamond" w:cs="Times New Roman"/>
          <w:sz w:val="24"/>
          <w:szCs w:val="24"/>
        </w:rPr>
        <w:t>gender</w:t>
      </w:r>
      <w:r w:rsidR="002D6C78" w:rsidRPr="007C61D2">
        <w:rPr>
          <w:rFonts w:ascii="Garamond" w:eastAsia="Times New Roman" w:hAnsi="Garamond" w:cs="Times New Roman"/>
          <w:sz w:val="24"/>
          <w:szCs w:val="24"/>
        </w:rPr>
        <w:t>”</w:t>
      </w:r>
      <w:r w:rsidR="00873B09" w:rsidRPr="007C61D2">
        <w:rPr>
          <w:rFonts w:ascii="Garamond" w:eastAsia="Times New Roman" w:hAnsi="Garamond" w:cs="Times New Roman"/>
          <w:sz w:val="24"/>
          <w:szCs w:val="24"/>
        </w:rPr>
        <w:t xml:space="preserve">? </w:t>
      </w:r>
      <w:r w:rsidR="003E49CD" w:rsidRPr="007C61D2">
        <w:rPr>
          <w:rFonts w:ascii="Garamond" w:eastAsia="Times New Roman" w:hAnsi="Garamond" w:cs="Times New Roman"/>
          <w:sz w:val="24"/>
          <w:szCs w:val="24"/>
        </w:rPr>
        <w:t xml:space="preserve">If </w:t>
      </w:r>
      <w:r w:rsidR="00873B09" w:rsidRPr="007C61D2">
        <w:rPr>
          <w:rFonts w:ascii="Garamond" w:eastAsia="Times New Roman" w:hAnsi="Garamond" w:cs="Times New Roman"/>
          <w:sz w:val="24"/>
          <w:szCs w:val="24"/>
        </w:rPr>
        <w:t xml:space="preserve">it </w:t>
      </w:r>
      <w:r w:rsidR="003D595E" w:rsidRPr="007C61D2">
        <w:rPr>
          <w:rFonts w:ascii="Garamond" w:eastAsia="Times New Roman" w:hAnsi="Garamond" w:cs="Times New Roman"/>
          <w:sz w:val="24"/>
          <w:szCs w:val="24"/>
        </w:rPr>
        <w:t xml:space="preserve">mainly concerns </w:t>
      </w:r>
      <w:r w:rsidR="003E49CD" w:rsidRPr="007C61D2">
        <w:rPr>
          <w:rFonts w:ascii="Garamond" w:eastAsia="Times New Roman" w:hAnsi="Garamond" w:cs="Times New Roman"/>
          <w:sz w:val="24"/>
          <w:szCs w:val="24"/>
        </w:rPr>
        <w:t>pronouns and names</w:t>
      </w:r>
      <w:r w:rsidR="00702415" w:rsidRPr="007C61D2">
        <w:rPr>
          <w:rFonts w:ascii="Garamond" w:eastAsia="Times New Roman" w:hAnsi="Garamond" w:cs="Times New Roman"/>
          <w:sz w:val="24"/>
          <w:szCs w:val="24"/>
        </w:rPr>
        <w:t xml:space="preserve">, </w:t>
      </w:r>
      <w:r w:rsidR="00337F97">
        <w:rPr>
          <w:rFonts w:ascii="Garamond" w:eastAsia="Times New Roman" w:hAnsi="Garamond" w:cs="Times New Roman"/>
          <w:sz w:val="24"/>
          <w:szCs w:val="24"/>
        </w:rPr>
        <w:t xml:space="preserve">on what basis should it remain a regulatory object for states? </w:t>
      </w:r>
      <w:r w:rsidR="00702415" w:rsidRPr="007C61D2">
        <w:rPr>
          <w:rFonts w:ascii="Garamond" w:eastAsia="Times New Roman" w:hAnsi="Garamond" w:cs="Times New Roman"/>
          <w:sz w:val="24"/>
          <w:szCs w:val="24"/>
        </w:rPr>
        <w:t xml:space="preserve">If </w:t>
      </w:r>
      <w:r w:rsidR="002D6C78" w:rsidRPr="007C61D2">
        <w:rPr>
          <w:rFonts w:ascii="Garamond" w:eastAsia="Times New Roman" w:hAnsi="Garamond" w:cs="Times New Roman"/>
          <w:sz w:val="24"/>
          <w:szCs w:val="24"/>
        </w:rPr>
        <w:t xml:space="preserve">it </w:t>
      </w:r>
      <w:r w:rsidR="00873B09" w:rsidRPr="007C61D2">
        <w:rPr>
          <w:rFonts w:ascii="Garamond" w:eastAsia="Times New Roman" w:hAnsi="Garamond" w:cs="Times New Roman"/>
          <w:sz w:val="24"/>
          <w:szCs w:val="24"/>
        </w:rPr>
        <w:t xml:space="preserve">is about domination, </w:t>
      </w:r>
      <w:r w:rsidR="00E02FC8" w:rsidRPr="007C61D2">
        <w:rPr>
          <w:rFonts w:ascii="Garamond" w:eastAsia="Times New Roman" w:hAnsi="Garamond" w:cs="Times New Roman"/>
          <w:sz w:val="24"/>
          <w:szCs w:val="24"/>
        </w:rPr>
        <w:t xml:space="preserve">and </w:t>
      </w:r>
      <w:r w:rsidR="003D595E" w:rsidRPr="007C61D2">
        <w:rPr>
          <w:rFonts w:ascii="Garamond" w:eastAsia="Times New Roman" w:hAnsi="Garamond" w:cs="Times New Roman"/>
          <w:sz w:val="24"/>
          <w:szCs w:val="24"/>
        </w:rPr>
        <w:t xml:space="preserve">is </w:t>
      </w:r>
      <w:r w:rsidR="00E02FC8" w:rsidRPr="007C61D2">
        <w:rPr>
          <w:rFonts w:ascii="Garamond" w:eastAsia="Times New Roman" w:hAnsi="Garamond" w:cs="Times New Roman"/>
          <w:sz w:val="24"/>
          <w:szCs w:val="24"/>
        </w:rPr>
        <w:t xml:space="preserve">defined by experiences of domination, </w:t>
      </w:r>
      <w:r w:rsidR="002D6C78" w:rsidRPr="007C61D2">
        <w:rPr>
          <w:rFonts w:ascii="Garamond" w:eastAsia="Times New Roman" w:hAnsi="Garamond" w:cs="Times New Roman"/>
          <w:sz w:val="24"/>
          <w:szCs w:val="24"/>
        </w:rPr>
        <w:t xml:space="preserve">does </w:t>
      </w:r>
      <w:r w:rsidR="00337F97">
        <w:rPr>
          <w:rFonts w:ascii="Garamond" w:eastAsia="Times New Roman" w:hAnsi="Garamond" w:cs="Times New Roman"/>
          <w:sz w:val="24"/>
          <w:szCs w:val="24"/>
        </w:rPr>
        <w:t xml:space="preserve">it </w:t>
      </w:r>
      <w:r w:rsidR="002D6C78" w:rsidRPr="007C61D2">
        <w:rPr>
          <w:rFonts w:ascii="Garamond" w:eastAsia="Times New Roman" w:hAnsi="Garamond" w:cs="Times New Roman"/>
          <w:sz w:val="24"/>
          <w:szCs w:val="24"/>
        </w:rPr>
        <w:t>reduce</w:t>
      </w:r>
      <w:r w:rsidR="00337F97">
        <w:rPr>
          <w:rFonts w:ascii="Garamond" w:eastAsia="Times New Roman" w:hAnsi="Garamond" w:cs="Times New Roman"/>
          <w:sz w:val="24"/>
          <w:szCs w:val="24"/>
        </w:rPr>
        <w:t xml:space="preserve"> gender</w:t>
      </w:r>
      <w:r w:rsidR="002D6C78" w:rsidRPr="007C61D2">
        <w:rPr>
          <w:rFonts w:ascii="Garamond" w:eastAsia="Times New Roman" w:hAnsi="Garamond" w:cs="Times New Roman"/>
          <w:sz w:val="24"/>
          <w:szCs w:val="24"/>
        </w:rPr>
        <w:t xml:space="preserve"> to oppression; and is this a problem? </w:t>
      </w:r>
      <w:r w:rsidR="00702415" w:rsidRPr="007C61D2">
        <w:rPr>
          <w:rFonts w:ascii="Garamond" w:eastAsia="Times New Roman" w:hAnsi="Garamond" w:cs="Times New Roman"/>
          <w:sz w:val="24"/>
          <w:szCs w:val="24"/>
        </w:rPr>
        <w:t xml:space="preserve">If </w:t>
      </w:r>
      <w:r w:rsidR="002D6C78" w:rsidRPr="007C61D2">
        <w:rPr>
          <w:rFonts w:ascii="Garamond" w:eastAsia="Times New Roman" w:hAnsi="Garamond" w:cs="Times New Roman"/>
          <w:sz w:val="24"/>
          <w:szCs w:val="24"/>
        </w:rPr>
        <w:t xml:space="preserve">it </w:t>
      </w:r>
      <w:r w:rsidR="00873B09" w:rsidRPr="007C61D2">
        <w:rPr>
          <w:rFonts w:ascii="Garamond" w:eastAsia="Times New Roman" w:hAnsi="Garamond" w:cs="Times New Roman"/>
          <w:sz w:val="24"/>
          <w:szCs w:val="24"/>
        </w:rPr>
        <w:t>is about accomplishment or attainment</w:t>
      </w:r>
      <w:r w:rsidR="00702415" w:rsidRPr="007C61D2">
        <w:rPr>
          <w:rFonts w:ascii="Garamond" w:eastAsia="Times New Roman" w:hAnsi="Garamond" w:cs="Times New Roman"/>
          <w:sz w:val="24"/>
          <w:szCs w:val="24"/>
        </w:rPr>
        <w:t xml:space="preserve">, </w:t>
      </w:r>
      <w:r w:rsidR="003D595E" w:rsidRPr="007C61D2">
        <w:rPr>
          <w:rFonts w:ascii="Garamond" w:eastAsia="Times New Roman" w:hAnsi="Garamond" w:cs="Times New Roman"/>
          <w:sz w:val="24"/>
          <w:szCs w:val="24"/>
        </w:rPr>
        <w:t xml:space="preserve">does </w:t>
      </w:r>
      <w:r w:rsidR="002D6C78" w:rsidRPr="007C61D2">
        <w:rPr>
          <w:rFonts w:ascii="Garamond" w:eastAsia="Times New Roman" w:hAnsi="Garamond" w:cs="Times New Roman"/>
          <w:sz w:val="24"/>
          <w:szCs w:val="24"/>
        </w:rPr>
        <w:t xml:space="preserve">gender </w:t>
      </w:r>
      <w:r w:rsidR="003D595E" w:rsidRPr="007C61D2">
        <w:rPr>
          <w:rFonts w:ascii="Garamond" w:eastAsia="Times New Roman" w:hAnsi="Garamond" w:cs="Times New Roman"/>
          <w:sz w:val="24"/>
          <w:szCs w:val="24"/>
        </w:rPr>
        <w:t xml:space="preserve">become encoded as </w:t>
      </w:r>
      <w:r w:rsidR="00702415" w:rsidRPr="007C61D2">
        <w:rPr>
          <w:rFonts w:ascii="Garamond" w:eastAsia="Times New Roman" w:hAnsi="Garamond" w:cs="Times New Roman"/>
          <w:sz w:val="24"/>
          <w:szCs w:val="24"/>
        </w:rPr>
        <w:t xml:space="preserve">a form of property that can be invested in, </w:t>
      </w:r>
      <w:r w:rsidR="0066073C" w:rsidRPr="007C61D2">
        <w:rPr>
          <w:rFonts w:ascii="Garamond" w:eastAsia="Times New Roman" w:hAnsi="Garamond" w:cs="Times New Roman"/>
          <w:sz w:val="24"/>
          <w:szCs w:val="24"/>
        </w:rPr>
        <w:t xml:space="preserve">acquired, and given value (see Cooper and Renz 2016). </w:t>
      </w:r>
      <w:r w:rsidR="00873B09" w:rsidRPr="007C61D2">
        <w:rPr>
          <w:rFonts w:ascii="Garamond" w:eastAsia="Times New Roman" w:hAnsi="Garamond" w:cs="Times New Roman"/>
          <w:sz w:val="24"/>
          <w:szCs w:val="24"/>
        </w:rPr>
        <w:t xml:space="preserve">We return to </w:t>
      </w:r>
      <w:r w:rsidR="009F0EFA" w:rsidRPr="007C61D2">
        <w:rPr>
          <w:rFonts w:ascii="Garamond" w:eastAsia="Times New Roman" w:hAnsi="Garamond" w:cs="Times New Roman"/>
          <w:sz w:val="24"/>
          <w:szCs w:val="24"/>
        </w:rPr>
        <w:t xml:space="preserve">the </w:t>
      </w:r>
      <w:r w:rsidR="00873B09" w:rsidRPr="007C61D2">
        <w:rPr>
          <w:rFonts w:ascii="Garamond" w:eastAsia="Times New Roman" w:hAnsi="Garamond" w:cs="Times New Roman"/>
          <w:sz w:val="24"/>
          <w:szCs w:val="24"/>
        </w:rPr>
        <w:t xml:space="preserve">dilemma </w:t>
      </w:r>
      <w:r w:rsidR="009F0EFA" w:rsidRPr="007C61D2">
        <w:rPr>
          <w:rFonts w:ascii="Garamond" w:eastAsia="Times New Roman" w:hAnsi="Garamond" w:cs="Times New Roman"/>
          <w:sz w:val="24"/>
          <w:szCs w:val="24"/>
        </w:rPr>
        <w:t xml:space="preserve">of how to account for gender </w:t>
      </w:r>
      <w:r w:rsidR="00873B09" w:rsidRPr="007C61D2">
        <w:rPr>
          <w:rFonts w:ascii="Garamond" w:eastAsia="Times New Roman" w:hAnsi="Garamond" w:cs="Times New Roman"/>
          <w:sz w:val="24"/>
          <w:szCs w:val="24"/>
        </w:rPr>
        <w:t>below.</w:t>
      </w:r>
    </w:p>
    <w:p w14:paraId="1ADFE0FC" w14:textId="5C581644" w:rsidR="002F1C45" w:rsidRPr="007C61D2" w:rsidRDefault="0082351F" w:rsidP="00654B6E">
      <w:pPr>
        <w:pStyle w:val="Heading3"/>
        <w:spacing w:after="120"/>
      </w:pPr>
      <w:r w:rsidRPr="007C61D2">
        <w:t xml:space="preserve">Embedding </w:t>
      </w:r>
      <w:r w:rsidR="00702415" w:rsidRPr="007C61D2">
        <w:t xml:space="preserve">decertification </w:t>
      </w:r>
      <w:r w:rsidRPr="007C61D2">
        <w:t xml:space="preserve">within a broader critical </w:t>
      </w:r>
      <w:r w:rsidR="00702415" w:rsidRPr="007C61D2">
        <w:t xml:space="preserve">politics </w:t>
      </w:r>
    </w:p>
    <w:p w14:paraId="1A80CC9D" w14:textId="5BCA5C07" w:rsidR="00A979C7" w:rsidRPr="007C61D2" w:rsidRDefault="00910F3B"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Privacy, risk assessment</w:t>
      </w:r>
      <w:r w:rsidR="00AE1E14"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DF6E44" w:rsidRPr="007C61D2">
        <w:rPr>
          <w:rFonts w:ascii="Garamond" w:eastAsia="Times New Roman" w:hAnsi="Garamond" w:cs="Times New Roman"/>
          <w:sz w:val="24"/>
          <w:szCs w:val="24"/>
        </w:rPr>
        <w:t>devolved authority</w:t>
      </w:r>
      <w:r w:rsidR="008515F6">
        <w:rPr>
          <w:rFonts w:ascii="Garamond" w:eastAsia="Times New Roman" w:hAnsi="Garamond" w:cs="Times New Roman"/>
          <w:sz w:val="24"/>
          <w:szCs w:val="24"/>
        </w:rPr>
        <w:t>,</w:t>
      </w:r>
      <w:r w:rsidR="00DF6E44" w:rsidRPr="007C61D2">
        <w:rPr>
          <w:rFonts w:ascii="Garamond" w:eastAsia="Times New Roman" w:hAnsi="Garamond" w:cs="Times New Roman"/>
          <w:sz w:val="24"/>
          <w:szCs w:val="24"/>
        </w:rPr>
        <w:t xml:space="preserve"> and recognising “lived” gender </w:t>
      </w:r>
      <w:r w:rsidR="00702415" w:rsidRPr="007C61D2">
        <w:rPr>
          <w:rFonts w:ascii="Garamond" w:eastAsia="Times New Roman" w:hAnsi="Garamond" w:cs="Times New Roman"/>
          <w:sz w:val="24"/>
          <w:szCs w:val="24"/>
        </w:rPr>
        <w:t xml:space="preserve">form </w:t>
      </w:r>
      <w:r w:rsidR="00D82D83" w:rsidRPr="007C61D2">
        <w:rPr>
          <w:rFonts w:ascii="Garamond" w:eastAsia="Times New Roman" w:hAnsi="Garamond" w:cs="Times New Roman"/>
          <w:sz w:val="24"/>
          <w:szCs w:val="24"/>
        </w:rPr>
        <w:t xml:space="preserve">part of </w:t>
      </w:r>
      <w:r w:rsidR="003F6B1D" w:rsidRPr="007C61D2">
        <w:rPr>
          <w:rFonts w:ascii="Garamond" w:eastAsia="Times New Roman" w:hAnsi="Garamond" w:cs="Times New Roman"/>
          <w:sz w:val="24"/>
          <w:szCs w:val="24"/>
        </w:rPr>
        <w:t xml:space="preserve">the </w:t>
      </w:r>
      <w:r w:rsidR="00E02FC8" w:rsidRPr="007C61D2">
        <w:rPr>
          <w:rFonts w:ascii="Garamond" w:eastAsia="Times New Roman" w:hAnsi="Garamond" w:cs="Times New Roman"/>
          <w:sz w:val="24"/>
          <w:szCs w:val="24"/>
        </w:rPr>
        <w:t xml:space="preserve">governance </w:t>
      </w:r>
      <w:r w:rsidR="00D82D83" w:rsidRPr="007C61D2">
        <w:rPr>
          <w:rFonts w:ascii="Garamond" w:eastAsia="Times New Roman" w:hAnsi="Garamond" w:cs="Times New Roman"/>
          <w:sz w:val="24"/>
          <w:szCs w:val="24"/>
        </w:rPr>
        <w:t xml:space="preserve">toolbox </w:t>
      </w:r>
      <w:r w:rsidR="008515F6">
        <w:rPr>
          <w:rFonts w:ascii="Garamond" w:eastAsia="Times New Roman" w:hAnsi="Garamond" w:cs="Times New Roman"/>
          <w:sz w:val="24"/>
          <w:szCs w:val="24"/>
        </w:rPr>
        <w:t>used to manage the growing informalisation of gender</w:t>
      </w:r>
      <w:r w:rsidR="00AE724A">
        <w:rPr>
          <w:rFonts w:ascii="Garamond" w:eastAsia="Times New Roman" w:hAnsi="Garamond" w:cs="Times New Roman"/>
          <w:sz w:val="24"/>
          <w:szCs w:val="24"/>
        </w:rPr>
        <w:t xml:space="preserve">. This toolbox, we anticipate, would also be </w:t>
      </w:r>
      <w:r w:rsidR="008515F6">
        <w:rPr>
          <w:rFonts w:ascii="Garamond" w:eastAsia="Times New Roman" w:hAnsi="Garamond" w:cs="Times New Roman"/>
          <w:sz w:val="24"/>
          <w:szCs w:val="24"/>
        </w:rPr>
        <w:t>available</w:t>
      </w:r>
      <w:r w:rsidR="00AE724A">
        <w:rPr>
          <w:rFonts w:ascii="Garamond" w:eastAsia="Times New Roman" w:hAnsi="Garamond" w:cs="Times New Roman"/>
          <w:sz w:val="24"/>
          <w:szCs w:val="24"/>
        </w:rPr>
        <w:t xml:space="preserve"> </w:t>
      </w:r>
      <w:r w:rsidR="00702415" w:rsidRPr="007C61D2">
        <w:rPr>
          <w:rFonts w:ascii="Garamond" w:eastAsia="Times New Roman" w:hAnsi="Garamond" w:cs="Times New Roman"/>
          <w:sz w:val="24"/>
          <w:szCs w:val="24"/>
        </w:rPr>
        <w:t xml:space="preserve">to </w:t>
      </w:r>
      <w:r w:rsidR="00D82D83" w:rsidRPr="007C61D2">
        <w:rPr>
          <w:rFonts w:ascii="Garamond" w:eastAsia="Times New Roman" w:hAnsi="Garamond" w:cs="Times New Roman"/>
          <w:sz w:val="24"/>
          <w:szCs w:val="24"/>
        </w:rPr>
        <w:t>deal</w:t>
      </w:r>
      <w:r w:rsidR="00702415" w:rsidRPr="007C61D2">
        <w:rPr>
          <w:rFonts w:ascii="Garamond" w:eastAsia="Times New Roman" w:hAnsi="Garamond" w:cs="Times New Roman"/>
          <w:sz w:val="24"/>
          <w:szCs w:val="24"/>
        </w:rPr>
        <w:t xml:space="preserve"> </w:t>
      </w:r>
      <w:r w:rsidR="00D82D83" w:rsidRPr="007C61D2">
        <w:rPr>
          <w:rFonts w:ascii="Garamond" w:eastAsia="Times New Roman" w:hAnsi="Garamond" w:cs="Times New Roman"/>
          <w:sz w:val="24"/>
          <w:szCs w:val="24"/>
        </w:rPr>
        <w:t xml:space="preserve">with the dilemmas that decertification </w:t>
      </w:r>
      <w:r w:rsidR="008515F6">
        <w:rPr>
          <w:rFonts w:ascii="Garamond" w:eastAsia="Times New Roman" w:hAnsi="Garamond" w:cs="Times New Roman"/>
          <w:sz w:val="24"/>
          <w:szCs w:val="24"/>
        </w:rPr>
        <w:t xml:space="preserve">might </w:t>
      </w:r>
      <w:r w:rsidR="00D82D83" w:rsidRPr="007C61D2">
        <w:rPr>
          <w:rFonts w:ascii="Garamond" w:eastAsia="Times New Roman" w:hAnsi="Garamond" w:cs="Times New Roman"/>
          <w:sz w:val="24"/>
          <w:szCs w:val="24"/>
        </w:rPr>
        <w:t>pose</w:t>
      </w:r>
      <w:r w:rsidR="00AE1E14" w:rsidRPr="007C61D2">
        <w:rPr>
          <w:rFonts w:ascii="Garamond" w:eastAsia="Times New Roman" w:hAnsi="Garamond" w:cs="Times New Roman"/>
          <w:sz w:val="24"/>
          <w:szCs w:val="24"/>
        </w:rPr>
        <w:t xml:space="preserve">. </w:t>
      </w:r>
      <w:r w:rsidR="008515F6">
        <w:rPr>
          <w:rFonts w:ascii="Garamond" w:eastAsia="Times New Roman" w:hAnsi="Garamond" w:cs="Times New Roman"/>
          <w:sz w:val="24"/>
          <w:szCs w:val="24"/>
        </w:rPr>
        <w:t>T</w:t>
      </w:r>
      <w:r w:rsidR="00E02FC8" w:rsidRPr="007C61D2">
        <w:rPr>
          <w:rFonts w:ascii="Garamond" w:eastAsia="Times New Roman" w:hAnsi="Garamond" w:cs="Times New Roman"/>
          <w:sz w:val="24"/>
          <w:szCs w:val="24"/>
        </w:rPr>
        <w:t xml:space="preserve">he tools </w:t>
      </w:r>
      <w:r w:rsidR="00AE724A">
        <w:rPr>
          <w:rFonts w:ascii="Garamond" w:eastAsia="Times New Roman" w:hAnsi="Garamond" w:cs="Times New Roman"/>
          <w:sz w:val="24"/>
          <w:szCs w:val="24"/>
        </w:rPr>
        <w:t xml:space="preserve">we have discussed </w:t>
      </w:r>
      <w:r w:rsidR="00E02FC8" w:rsidRPr="007C61D2">
        <w:rPr>
          <w:rFonts w:ascii="Garamond" w:eastAsia="Times New Roman" w:hAnsi="Garamond" w:cs="Times New Roman"/>
          <w:sz w:val="24"/>
          <w:szCs w:val="24"/>
        </w:rPr>
        <w:t>can be</w:t>
      </w:r>
      <w:r w:rsidR="00B843DC" w:rsidRPr="007C61D2">
        <w:rPr>
          <w:rFonts w:ascii="Garamond" w:eastAsia="Times New Roman" w:hAnsi="Garamond" w:cs="Times New Roman"/>
          <w:sz w:val="24"/>
          <w:szCs w:val="24"/>
        </w:rPr>
        <w:t xml:space="preserve"> used in aid of </w:t>
      </w:r>
      <w:r w:rsidR="00E02FC8" w:rsidRPr="007C61D2">
        <w:rPr>
          <w:rFonts w:ascii="Garamond" w:eastAsia="Times New Roman" w:hAnsi="Garamond" w:cs="Times New Roman"/>
          <w:sz w:val="24"/>
          <w:szCs w:val="24"/>
        </w:rPr>
        <w:t xml:space="preserve">diverse political projects, </w:t>
      </w:r>
      <w:r w:rsidR="008515F6">
        <w:rPr>
          <w:rFonts w:ascii="Garamond" w:eastAsia="Times New Roman" w:hAnsi="Garamond" w:cs="Times New Roman"/>
          <w:sz w:val="24"/>
          <w:szCs w:val="24"/>
        </w:rPr>
        <w:t xml:space="preserve">but </w:t>
      </w:r>
      <w:r w:rsidR="00E02FC8" w:rsidRPr="007C61D2">
        <w:rPr>
          <w:rFonts w:ascii="Garamond" w:eastAsia="Times New Roman" w:hAnsi="Garamond" w:cs="Times New Roman"/>
          <w:sz w:val="24"/>
          <w:szCs w:val="24"/>
        </w:rPr>
        <w:t xml:space="preserve">we have focused here on their take-up to </w:t>
      </w:r>
      <w:r w:rsidR="009F0EFA" w:rsidRPr="007C61D2">
        <w:rPr>
          <w:rFonts w:ascii="Garamond" w:eastAsia="Times New Roman" w:hAnsi="Garamond" w:cs="Times New Roman"/>
          <w:sz w:val="24"/>
          <w:szCs w:val="24"/>
        </w:rPr>
        <w:t xml:space="preserve">maintain </w:t>
      </w:r>
      <w:r w:rsidR="00E02FC8" w:rsidRPr="007C61D2">
        <w:rPr>
          <w:rFonts w:ascii="Garamond" w:eastAsia="Times New Roman" w:hAnsi="Garamond" w:cs="Times New Roman"/>
          <w:sz w:val="24"/>
          <w:szCs w:val="24"/>
        </w:rPr>
        <w:t xml:space="preserve">and safeguard </w:t>
      </w:r>
      <w:r w:rsidR="009F0EFA" w:rsidRPr="007C61D2">
        <w:rPr>
          <w:rFonts w:ascii="Garamond" w:eastAsia="Times New Roman" w:hAnsi="Garamond" w:cs="Times New Roman"/>
          <w:sz w:val="24"/>
          <w:szCs w:val="24"/>
        </w:rPr>
        <w:t xml:space="preserve">the organisational provision and structures that </w:t>
      </w:r>
      <w:r w:rsidR="00E02FC8" w:rsidRPr="007C61D2">
        <w:rPr>
          <w:rFonts w:ascii="Garamond" w:eastAsia="Times New Roman" w:hAnsi="Garamond" w:cs="Times New Roman"/>
          <w:sz w:val="24"/>
          <w:szCs w:val="24"/>
        </w:rPr>
        <w:t xml:space="preserve">already </w:t>
      </w:r>
      <w:r w:rsidR="009F0EFA" w:rsidRPr="007C61D2">
        <w:rPr>
          <w:rFonts w:ascii="Garamond" w:eastAsia="Times New Roman" w:hAnsi="Garamond" w:cs="Times New Roman"/>
          <w:sz w:val="24"/>
          <w:szCs w:val="24"/>
        </w:rPr>
        <w:t>exist.</w:t>
      </w:r>
      <w:r w:rsidR="00AE724A">
        <w:rPr>
          <w:rFonts w:ascii="Garamond" w:eastAsia="Times New Roman" w:hAnsi="Garamond" w:cs="Times New Roman"/>
          <w:sz w:val="24"/>
          <w:szCs w:val="24"/>
        </w:rPr>
        <w:t xml:space="preserve"> D</w:t>
      </w:r>
      <w:r w:rsidR="00AE1E14" w:rsidRPr="007C61D2">
        <w:rPr>
          <w:rFonts w:ascii="Garamond" w:eastAsia="Times New Roman" w:hAnsi="Garamond" w:cs="Times New Roman"/>
          <w:sz w:val="24"/>
          <w:szCs w:val="24"/>
        </w:rPr>
        <w:t>ecertification</w:t>
      </w:r>
      <w:r w:rsidR="00AE724A">
        <w:rPr>
          <w:rFonts w:ascii="Garamond" w:eastAsia="Times New Roman" w:hAnsi="Garamond" w:cs="Times New Roman"/>
          <w:sz w:val="24"/>
          <w:szCs w:val="24"/>
        </w:rPr>
        <w:t>, however,</w:t>
      </w:r>
      <w:r w:rsidR="00AE1E14" w:rsidRPr="007C61D2">
        <w:rPr>
          <w:rFonts w:ascii="Garamond" w:eastAsia="Times New Roman" w:hAnsi="Garamond" w:cs="Times New Roman"/>
          <w:sz w:val="24"/>
          <w:szCs w:val="24"/>
        </w:rPr>
        <w:t xml:space="preserve"> </w:t>
      </w:r>
      <w:r w:rsidR="00A83E18" w:rsidRPr="007C61D2">
        <w:rPr>
          <w:rFonts w:ascii="Garamond" w:eastAsia="Times New Roman" w:hAnsi="Garamond" w:cs="Times New Roman"/>
          <w:sz w:val="24"/>
          <w:szCs w:val="24"/>
        </w:rPr>
        <w:t xml:space="preserve">can </w:t>
      </w:r>
      <w:r w:rsidR="00E02FC8" w:rsidRPr="007C61D2">
        <w:rPr>
          <w:rFonts w:ascii="Garamond" w:eastAsia="Times New Roman" w:hAnsi="Garamond" w:cs="Times New Roman"/>
          <w:sz w:val="24"/>
          <w:szCs w:val="24"/>
        </w:rPr>
        <w:t xml:space="preserve">also </w:t>
      </w:r>
      <w:r w:rsidR="00A83E18" w:rsidRPr="007C61D2">
        <w:rPr>
          <w:rFonts w:ascii="Garamond" w:eastAsia="Times New Roman" w:hAnsi="Garamond" w:cs="Times New Roman"/>
          <w:sz w:val="24"/>
          <w:szCs w:val="24"/>
        </w:rPr>
        <w:t xml:space="preserve">be </w:t>
      </w:r>
      <w:r w:rsidR="00AE1E14" w:rsidRPr="007C61D2">
        <w:rPr>
          <w:rFonts w:ascii="Garamond" w:eastAsia="Times New Roman" w:hAnsi="Garamond" w:cs="Times New Roman"/>
          <w:sz w:val="24"/>
          <w:szCs w:val="24"/>
        </w:rPr>
        <w:t xml:space="preserve">sutured to </w:t>
      </w:r>
      <w:r w:rsidR="00E02FC8" w:rsidRPr="007C61D2">
        <w:rPr>
          <w:rFonts w:ascii="Garamond" w:eastAsia="Times New Roman" w:hAnsi="Garamond" w:cs="Times New Roman"/>
          <w:sz w:val="24"/>
          <w:szCs w:val="24"/>
        </w:rPr>
        <w:t>a more open-ended politics</w:t>
      </w:r>
      <w:r w:rsidR="00936352" w:rsidRPr="007C61D2">
        <w:rPr>
          <w:rFonts w:ascii="Garamond" w:eastAsia="Times New Roman" w:hAnsi="Garamond" w:cs="Times New Roman"/>
          <w:sz w:val="24"/>
          <w:szCs w:val="24"/>
        </w:rPr>
        <w:t xml:space="preserve"> that questions the premises and purposes underlying anxieties about informalisation</w:t>
      </w:r>
      <w:r w:rsidR="00E02FC8" w:rsidRPr="007C61D2">
        <w:rPr>
          <w:rFonts w:ascii="Garamond" w:eastAsia="Times New Roman" w:hAnsi="Garamond" w:cs="Times New Roman"/>
          <w:sz w:val="24"/>
          <w:szCs w:val="24"/>
        </w:rPr>
        <w:t xml:space="preserve">. </w:t>
      </w:r>
      <w:r w:rsidR="00936352" w:rsidRPr="007C61D2">
        <w:rPr>
          <w:rFonts w:ascii="Garamond" w:eastAsia="Times New Roman" w:hAnsi="Garamond" w:cs="Times New Roman"/>
          <w:sz w:val="24"/>
          <w:szCs w:val="24"/>
        </w:rPr>
        <w:t xml:space="preserve">In the discussion that follows, we </w:t>
      </w:r>
      <w:r w:rsidR="003D595E" w:rsidRPr="007C61D2">
        <w:rPr>
          <w:rFonts w:ascii="Garamond" w:eastAsia="Times New Roman" w:hAnsi="Garamond" w:cs="Times New Roman"/>
          <w:sz w:val="24"/>
          <w:szCs w:val="24"/>
        </w:rPr>
        <w:t xml:space="preserve">consider </w:t>
      </w:r>
      <w:r w:rsidR="00936352" w:rsidRPr="007C61D2">
        <w:rPr>
          <w:rFonts w:ascii="Garamond" w:eastAsia="Times New Roman" w:hAnsi="Garamond" w:cs="Times New Roman"/>
          <w:sz w:val="24"/>
          <w:szCs w:val="24"/>
        </w:rPr>
        <w:t>how a purposive</w:t>
      </w:r>
      <w:r w:rsidR="0082351F" w:rsidRPr="007C61D2">
        <w:rPr>
          <w:rFonts w:ascii="Garamond" w:eastAsia="Times New Roman" w:hAnsi="Garamond" w:cs="Times New Roman"/>
          <w:sz w:val="24"/>
          <w:szCs w:val="24"/>
        </w:rPr>
        <w:t xml:space="preserve"> or</w:t>
      </w:r>
      <w:r w:rsidR="00936352" w:rsidRPr="007C61D2">
        <w:rPr>
          <w:rFonts w:ascii="Garamond" w:eastAsia="Times New Roman" w:hAnsi="Garamond" w:cs="Times New Roman"/>
          <w:sz w:val="24"/>
          <w:szCs w:val="24"/>
        </w:rPr>
        <w:t xml:space="preserve"> granulated </w:t>
      </w:r>
      <w:r w:rsidR="0082351F" w:rsidRPr="007C61D2">
        <w:rPr>
          <w:rFonts w:ascii="Garamond" w:eastAsia="Times New Roman" w:hAnsi="Garamond" w:cs="Times New Roman"/>
          <w:sz w:val="24"/>
          <w:szCs w:val="24"/>
        </w:rPr>
        <w:t xml:space="preserve">approach can </w:t>
      </w:r>
      <w:r w:rsidR="00936352" w:rsidRPr="007C61D2">
        <w:rPr>
          <w:rFonts w:ascii="Garamond" w:eastAsia="Times New Roman" w:hAnsi="Garamond" w:cs="Times New Roman"/>
          <w:sz w:val="24"/>
          <w:szCs w:val="24"/>
        </w:rPr>
        <w:t xml:space="preserve">problematise the taken-for-granted usages of sex/ gender </w:t>
      </w:r>
      <w:r w:rsidR="0082351F" w:rsidRPr="007C61D2">
        <w:rPr>
          <w:rFonts w:ascii="Garamond" w:eastAsia="Times New Roman" w:hAnsi="Garamond" w:cs="Times New Roman"/>
          <w:sz w:val="24"/>
          <w:szCs w:val="24"/>
        </w:rPr>
        <w:t xml:space="preserve">in pursuit of </w:t>
      </w:r>
      <w:r w:rsidR="00936352" w:rsidRPr="007C61D2">
        <w:rPr>
          <w:rFonts w:ascii="Garamond" w:eastAsia="Times New Roman" w:hAnsi="Garamond" w:cs="Times New Roman"/>
          <w:sz w:val="24"/>
          <w:szCs w:val="24"/>
        </w:rPr>
        <w:t xml:space="preserve">a broader critical social justice politics. </w:t>
      </w:r>
      <w:r w:rsidR="003D595E" w:rsidRPr="007C61D2">
        <w:rPr>
          <w:rFonts w:ascii="Garamond" w:eastAsia="Times New Roman" w:hAnsi="Garamond" w:cs="Times New Roman"/>
          <w:sz w:val="24"/>
          <w:szCs w:val="24"/>
        </w:rPr>
        <w:t>T</w:t>
      </w:r>
      <w:r w:rsidR="00936352" w:rsidRPr="007C61D2">
        <w:rPr>
          <w:rFonts w:ascii="Garamond" w:eastAsia="Times New Roman" w:hAnsi="Garamond" w:cs="Times New Roman"/>
          <w:sz w:val="24"/>
          <w:szCs w:val="24"/>
        </w:rPr>
        <w:t xml:space="preserve">his does not make gender’s terms </w:t>
      </w:r>
      <w:r w:rsidR="00DF6E44" w:rsidRPr="007C61D2">
        <w:rPr>
          <w:rFonts w:ascii="Garamond" w:eastAsia="Times New Roman" w:hAnsi="Garamond" w:cs="Times New Roman"/>
          <w:sz w:val="24"/>
          <w:szCs w:val="24"/>
        </w:rPr>
        <w:t xml:space="preserve">always or necessarily </w:t>
      </w:r>
      <w:r w:rsidR="00936352" w:rsidRPr="007C61D2">
        <w:rPr>
          <w:rFonts w:ascii="Garamond" w:eastAsia="Times New Roman" w:hAnsi="Garamond" w:cs="Times New Roman"/>
          <w:sz w:val="24"/>
          <w:szCs w:val="24"/>
        </w:rPr>
        <w:t xml:space="preserve">redundant. </w:t>
      </w:r>
      <w:r w:rsidR="004E0979" w:rsidRPr="007C61D2">
        <w:rPr>
          <w:rFonts w:ascii="Garamond" w:eastAsia="Times New Roman" w:hAnsi="Garamond" w:cs="Times New Roman"/>
          <w:sz w:val="24"/>
          <w:szCs w:val="24"/>
        </w:rPr>
        <w:t>S</w:t>
      </w:r>
      <w:r w:rsidR="009F0EFA" w:rsidRPr="007C61D2">
        <w:rPr>
          <w:rFonts w:ascii="Garamond" w:eastAsia="Times New Roman" w:hAnsi="Garamond" w:cs="Times New Roman"/>
          <w:sz w:val="24"/>
          <w:szCs w:val="24"/>
        </w:rPr>
        <w:t xml:space="preserve">uturing </w:t>
      </w:r>
      <w:r w:rsidR="00936352" w:rsidRPr="007C61D2">
        <w:rPr>
          <w:rFonts w:ascii="Garamond" w:eastAsia="Times New Roman" w:hAnsi="Garamond" w:cs="Times New Roman"/>
          <w:sz w:val="24"/>
          <w:szCs w:val="24"/>
        </w:rPr>
        <w:t xml:space="preserve">the </w:t>
      </w:r>
      <w:r w:rsidR="004E0979" w:rsidRPr="007C61D2">
        <w:rPr>
          <w:rFonts w:ascii="Garamond" w:eastAsia="Times New Roman" w:hAnsi="Garamond" w:cs="Times New Roman"/>
          <w:sz w:val="24"/>
          <w:szCs w:val="24"/>
        </w:rPr>
        <w:t xml:space="preserve">decertification </w:t>
      </w:r>
      <w:r w:rsidR="00936352" w:rsidRPr="007C61D2">
        <w:rPr>
          <w:rFonts w:ascii="Garamond" w:eastAsia="Times New Roman" w:hAnsi="Garamond" w:cs="Times New Roman"/>
          <w:sz w:val="24"/>
          <w:szCs w:val="24"/>
        </w:rPr>
        <w:t xml:space="preserve">of sex/ gender </w:t>
      </w:r>
      <w:r w:rsidR="004E0979" w:rsidRPr="007C61D2">
        <w:rPr>
          <w:rFonts w:ascii="Garamond" w:eastAsia="Times New Roman" w:hAnsi="Garamond" w:cs="Times New Roman"/>
          <w:sz w:val="24"/>
          <w:szCs w:val="24"/>
        </w:rPr>
        <w:t xml:space="preserve">to </w:t>
      </w:r>
      <w:r w:rsidR="00DF6E44" w:rsidRPr="007C61D2">
        <w:rPr>
          <w:rFonts w:ascii="Garamond" w:eastAsia="Times New Roman" w:hAnsi="Garamond" w:cs="Times New Roman"/>
          <w:sz w:val="24"/>
          <w:szCs w:val="24"/>
        </w:rPr>
        <w:t xml:space="preserve">the </w:t>
      </w:r>
      <w:r w:rsidR="00936352" w:rsidRPr="007C61D2">
        <w:rPr>
          <w:rFonts w:ascii="Garamond" w:eastAsia="Times New Roman" w:hAnsi="Garamond" w:cs="Times New Roman"/>
          <w:sz w:val="24"/>
          <w:szCs w:val="24"/>
        </w:rPr>
        <w:t xml:space="preserve">undoing </w:t>
      </w:r>
      <w:r w:rsidR="00DF6E44" w:rsidRPr="007C61D2">
        <w:rPr>
          <w:rFonts w:ascii="Garamond" w:eastAsia="Times New Roman" w:hAnsi="Garamond" w:cs="Times New Roman"/>
          <w:sz w:val="24"/>
          <w:szCs w:val="24"/>
        </w:rPr>
        <w:t xml:space="preserve">of other </w:t>
      </w:r>
      <w:r w:rsidR="00936352" w:rsidRPr="007C61D2">
        <w:rPr>
          <w:rFonts w:ascii="Garamond" w:eastAsia="Times New Roman" w:hAnsi="Garamond" w:cs="Times New Roman"/>
          <w:sz w:val="24"/>
          <w:szCs w:val="24"/>
        </w:rPr>
        <w:t xml:space="preserve">relations of inequality organised around race, socio-economic class, disability, and sexuality </w:t>
      </w:r>
      <w:r w:rsidR="00AE1E14" w:rsidRPr="007C61D2">
        <w:rPr>
          <w:rFonts w:ascii="Garamond" w:eastAsia="Times New Roman" w:hAnsi="Garamond" w:cs="Times New Roman"/>
          <w:sz w:val="24"/>
          <w:szCs w:val="24"/>
        </w:rPr>
        <w:t>involve</w:t>
      </w:r>
      <w:r w:rsidR="009F0EFA" w:rsidRPr="007C61D2">
        <w:rPr>
          <w:rFonts w:ascii="Garamond" w:eastAsia="Times New Roman" w:hAnsi="Garamond" w:cs="Times New Roman"/>
          <w:sz w:val="24"/>
          <w:szCs w:val="24"/>
        </w:rPr>
        <w:t>s</w:t>
      </w:r>
      <w:r w:rsidR="00AE1E14" w:rsidRPr="007C61D2">
        <w:rPr>
          <w:rFonts w:ascii="Garamond" w:eastAsia="Times New Roman" w:hAnsi="Garamond" w:cs="Times New Roman"/>
          <w:sz w:val="24"/>
          <w:szCs w:val="24"/>
        </w:rPr>
        <w:t xml:space="preserve"> a series of </w:t>
      </w:r>
      <w:r w:rsidR="008515F6">
        <w:rPr>
          <w:rFonts w:ascii="Garamond" w:eastAsia="Times New Roman" w:hAnsi="Garamond" w:cs="Times New Roman"/>
          <w:sz w:val="24"/>
          <w:szCs w:val="24"/>
        </w:rPr>
        <w:t xml:space="preserve">different </w:t>
      </w:r>
      <w:r w:rsidR="00AE1E14" w:rsidRPr="007C61D2">
        <w:rPr>
          <w:rFonts w:ascii="Garamond" w:eastAsia="Times New Roman" w:hAnsi="Garamond" w:cs="Times New Roman"/>
          <w:sz w:val="24"/>
          <w:szCs w:val="24"/>
        </w:rPr>
        <w:t>moves</w:t>
      </w:r>
      <w:r w:rsidR="00936352" w:rsidRPr="007C61D2">
        <w:rPr>
          <w:rFonts w:ascii="Garamond" w:eastAsia="Times New Roman" w:hAnsi="Garamond" w:cs="Times New Roman"/>
          <w:sz w:val="24"/>
          <w:szCs w:val="24"/>
        </w:rPr>
        <w:t>. These</w:t>
      </w:r>
      <w:r w:rsidR="004E0979" w:rsidRPr="007C61D2">
        <w:rPr>
          <w:rFonts w:ascii="Garamond" w:eastAsia="Times New Roman" w:hAnsi="Garamond" w:cs="Times New Roman"/>
          <w:sz w:val="24"/>
          <w:szCs w:val="24"/>
        </w:rPr>
        <w:t xml:space="preserve"> highlight the challenges in using</w:t>
      </w:r>
      <w:r w:rsidR="008515F6">
        <w:rPr>
          <w:rFonts w:ascii="Garamond" w:eastAsia="Times New Roman" w:hAnsi="Garamond" w:cs="Times New Roman"/>
          <w:sz w:val="24"/>
          <w:szCs w:val="24"/>
        </w:rPr>
        <w:t xml:space="preserve"> and </w:t>
      </w:r>
      <w:r w:rsidR="004E0979" w:rsidRPr="00A44771">
        <w:rPr>
          <w:rFonts w:ascii="Garamond" w:eastAsia="Times New Roman" w:hAnsi="Garamond" w:cs="Times New Roman"/>
          <w:i/>
          <w:iCs/>
          <w:sz w:val="24"/>
          <w:szCs w:val="24"/>
        </w:rPr>
        <w:t>also in not using</w:t>
      </w:r>
      <w:r w:rsidR="004E0979" w:rsidRPr="00A44771">
        <w:rPr>
          <w:rFonts w:ascii="Garamond" w:eastAsia="Times New Roman" w:hAnsi="Garamond" w:cs="Times New Roman"/>
          <w:sz w:val="24"/>
          <w:szCs w:val="24"/>
        </w:rPr>
        <w:t>,</w:t>
      </w:r>
      <w:r w:rsidR="004E0979" w:rsidRPr="007C61D2">
        <w:rPr>
          <w:rFonts w:ascii="Garamond" w:eastAsia="Times New Roman" w:hAnsi="Garamond" w:cs="Times New Roman"/>
          <w:sz w:val="24"/>
          <w:szCs w:val="24"/>
        </w:rPr>
        <w:t xml:space="preserve"> the </w:t>
      </w:r>
      <w:r w:rsidR="00D82D83" w:rsidRPr="007C61D2">
        <w:rPr>
          <w:rFonts w:ascii="Garamond" w:eastAsia="Times New Roman" w:hAnsi="Garamond" w:cs="Times New Roman"/>
          <w:sz w:val="24"/>
          <w:szCs w:val="24"/>
        </w:rPr>
        <w:t xml:space="preserve">classificatory terms and understandings that liberal governments and law </w:t>
      </w:r>
      <w:r w:rsidR="004E0979" w:rsidRPr="007C61D2">
        <w:rPr>
          <w:rFonts w:ascii="Garamond" w:eastAsia="Times New Roman" w:hAnsi="Garamond" w:cs="Times New Roman"/>
          <w:sz w:val="24"/>
          <w:szCs w:val="24"/>
        </w:rPr>
        <w:t xml:space="preserve">rely upon </w:t>
      </w:r>
      <w:r w:rsidR="003277B7" w:rsidRPr="007C61D2">
        <w:rPr>
          <w:rFonts w:ascii="Garamond" w:eastAsia="Times New Roman" w:hAnsi="Garamond" w:cs="Times New Roman"/>
          <w:sz w:val="24"/>
          <w:szCs w:val="24"/>
        </w:rPr>
        <w:t>(see also Malleson 2018</w:t>
      </w:r>
      <w:r w:rsidR="004E0979" w:rsidRPr="007C61D2">
        <w:rPr>
          <w:rFonts w:ascii="Garamond" w:eastAsia="Times New Roman" w:hAnsi="Garamond" w:cs="Times New Roman"/>
          <w:sz w:val="24"/>
          <w:szCs w:val="24"/>
        </w:rPr>
        <w:t>)</w:t>
      </w:r>
      <w:r w:rsidR="00D82D83" w:rsidRPr="007C61D2">
        <w:rPr>
          <w:rFonts w:ascii="Garamond" w:eastAsia="Times New Roman" w:hAnsi="Garamond" w:cs="Times New Roman"/>
          <w:sz w:val="24"/>
          <w:szCs w:val="24"/>
        </w:rPr>
        <w:t xml:space="preserve">. </w:t>
      </w:r>
    </w:p>
    <w:p w14:paraId="5773BDA7" w14:textId="38F2945E" w:rsidR="00EC2A9A" w:rsidRPr="007C61D2" w:rsidRDefault="004E0979"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We start with the claim that policymakers, planners</w:t>
      </w:r>
      <w:r w:rsidR="00337F97">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and medical professionals need to know </w:t>
      </w:r>
      <w:r w:rsidR="00DF6E44" w:rsidRPr="007C61D2">
        <w:rPr>
          <w:rFonts w:ascii="Garamond" w:eastAsia="Times New Roman" w:hAnsi="Garamond" w:cs="Times New Roman"/>
          <w:sz w:val="24"/>
          <w:szCs w:val="24"/>
        </w:rPr>
        <w:t xml:space="preserve">people’s </w:t>
      </w:r>
      <w:r w:rsidRPr="007C61D2">
        <w:rPr>
          <w:rFonts w:ascii="Garamond" w:eastAsia="Times New Roman" w:hAnsi="Garamond" w:cs="Times New Roman"/>
          <w:sz w:val="24"/>
          <w:szCs w:val="24"/>
        </w:rPr>
        <w:t>sex</w:t>
      </w:r>
      <w:r w:rsidR="00DF6E44" w:rsidRPr="007C61D2">
        <w:rPr>
          <w:rFonts w:ascii="Garamond" w:eastAsia="Times New Roman" w:hAnsi="Garamond" w:cs="Times New Roman"/>
          <w:sz w:val="24"/>
          <w:szCs w:val="24"/>
        </w:rPr>
        <w:t xml:space="preserve">, to </w:t>
      </w:r>
      <w:r w:rsidR="008515F6">
        <w:rPr>
          <w:rFonts w:ascii="Garamond" w:eastAsia="Times New Roman" w:hAnsi="Garamond" w:cs="Times New Roman"/>
          <w:sz w:val="24"/>
          <w:szCs w:val="24"/>
        </w:rPr>
        <w:t xml:space="preserve">consider </w:t>
      </w:r>
      <w:r w:rsidR="00DF6E44" w:rsidRPr="007C61D2">
        <w:rPr>
          <w:rFonts w:ascii="Garamond" w:eastAsia="Times New Roman" w:hAnsi="Garamond" w:cs="Times New Roman"/>
          <w:sz w:val="24"/>
          <w:szCs w:val="24"/>
        </w:rPr>
        <w:t xml:space="preserve">whether </w:t>
      </w:r>
      <w:r w:rsidRPr="007C61D2">
        <w:rPr>
          <w:rFonts w:ascii="Garamond" w:eastAsia="Times New Roman" w:hAnsi="Garamond" w:cs="Times New Roman"/>
          <w:sz w:val="24"/>
          <w:szCs w:val="24"/>
        </w:rPr>
        <w:t xml:space="preserve">categories of </w:t>
      </w:r>
      <w:r w:rsidR="002E6253" w:rsidRPr="007C61D2">
        <w:rPr>
          <w:rFonts w:ascii="Garamond" w:eastAsia="Times New Roman" w:hAnsi="Garamond" w:cs="Times New Roman"/>
          <w:sz w:val="24"/>
          <w:szCs w:val="24"/>
        </w:rPr>
        <w:t>s</w:t>
      </w:r>
      <w:r w:rsidR="00527C20" w:rsidRPr="007C61D2">
        <w:rPr>
          <w:rFonts w:ascii="Garamond" w:eastAsia="Times New Roman" w:hAnsi="Garamond" w:cs="Times New Roman"/>
          <w:sz w:val="24"/>
          <w:szCs w:val="24"/>
        </w:rPr>
        <w:t>ex and gender</w:t>
      </w:r>
      <w:r w:rsidR="002E6253" w:rsidRPr="007C61D2">
        <w:rPr>
          <w:rFonts w:ascii="Garamond" w:eastAsia="Times New Roman" w:hAnsi="Garamond" w:cs="Times New Roman"/>
          <w:sz w:val="24"/>
          <w:szCs w:val="24"/>
        </w:rPr>
        <w:t xml:space="preserve"> </w:t>
      </w:r>
      <w:r w:rsidR="00936352" w:rsidRPr="007C61D2">
        <w:rPr>
          <w:rFonts w:ascii="Garamond" w:eastAsia="Times New Roman" w:hAnsi="Garamond" w:cs="Times New Roman"/>
          <w:sz w:val="24"/>
          <w:szCs w:val="24"/>
        </w:rPr>
        <w:t xml:space="preserve">have become </w:t>
      </w:r>
      <w:r w:rsidR="00527C20" w:rsidRPr="007C61D2">
        <w:rPr>
          <w:rFonts w:ascii="Garamond" w:eastAsia="Times New Roman" w:hAnsi="Garamond" w:cs="Times New Roman"/>
          <w:sz w:val="24"/>
          <w:szCs w:val="24"/>
        </w:rPr>
        <w:t>increasingly unreliable prox</w:t>
      </w:r>
      <w:r w:rsidR="00337F97">
        <w:rPr>
          <w:rFonts w:ascii="Garamond" w:eastAsia="Times New Roman" w:hAnsi="Garamond" w:cs="Times New Roman"/>
          <w:sz w:val="24"/>
          <w:szCs w:val="24"/>
        </w:rPr>
        <w:t>ies</w:t>
      </w:r>
      <w:r w:rsidR="00DF6E44" w:rsidRPr="007C61D2">
        <w:rPr>
          <w:rFonts w:ascii="Garamond" w:eastAsia="Times New Roman" w:hAnsi="Garamond" w:cs="Times New Roman"/>
          <w:sz w:val="24"/>
          <w:szCs w:val="24"/>
        </w:rPr>
        <w:t>. K</w:t>
      </w:r>
      <w:r w:rsidR="00AE1E14" w:rsidRPr="007C61D2">
        <w:rPr>
          <w:rFonts w:ascii="Garamond" w:eastAsia="Times New Roman" w:hAnsi="Garamond" w:cs="Times New Roman"/>
          <w:sz w:val="24"/>
          <w:szCs w:val="24"/>
        </w:rPr>
        <w:t xml:space="preserve">nowing that someone is a </w:t>
      </w:r>
      <w:r w:rsidR="003F6B1D" w:rsidRPr="007C61D2">
        <w:rPr>
          <w:rFonts w:ascii="Garamond" w:eastAsia="Times New Roman" w:hAnsi="Garamond" w:cs="Times New Roman"/>
          <w:sz w:val="24"/>
          <w:szCs w:val="24"/>
        </w:rPr>
        <w:t xml:space="preserve">woman or </w:t>
      </w:r>
      <w:r w:rsidR="00AE1E14" w:rsidRPr="007C61D2">
        <w:rPr>
          <w:rFonts w:ascii="Garamond" w:eastAsia="Times New Roman" w:hAnsi="Garamond" w:cs="Times New Roman"/>
          <w:sz w:val="24"/>
          <w:szCs w:val="24"/>
        </w:rPr>
        <w:t>man, for instance, may give little indication of what their body is like</w:t>
      </w:r>
      <w:r w:rsidRPr="007C61D2">
        <w:rPr>
          <w:rFonts w:ascii="Garamond" w:eastAsia="Times New Roman" w:hAnsi="Garamond" w:cs="Times New Roman"/>
          <w:sz w:val="24"/>
          <w:szCs w:val="24"/>
        </w:rPr>
        <w:t>, or what it can do</w:t>
      </w:r>
      <w:r w:rsidR="00AE1E14" w:rsidRPr="007C61D2">
        <w:rPr>
          <w:rFonts w:ascii="Garamond" w:eastAsia="Times New Roman" w:hAnsi="Garamond" w:cs="Times New Roman"/>
          <w:sz w:val="24"/>
          <w:szCs w:val="24"/>
        </w:rPr>
        <w:t xml:space="preserve">. </w:t>
      </w:r>
      <w:r w:rsidR="00EC2A9A" w:rsidRPr="007C61D2">
        <w:rPr>
          <w:rFonts w:ascii="Garamond" w:eastAsia="Times New Roman" w:hAnsi="Garamond" w:cs="Times New Roman"/>
          <w:sz w:val="24"/>
          <w:szCs w:val="24"/>
        </w:rPr>
        <w:t>One official told us,</w:t>
      </w:r>
    </w:p>
    <w:p w14:paraId="39F20AB7" w14:textId="4E0D36E2" w:rsidR="00EC2A9A" w:rsidRPr="007C61D2" w:rsidRDefault="00EC2A9A" w:rsidP="00AB322D">
      <w:pPr>
        <w:spacing w:before="120" w:after="120" w:line="360" w:lineRule="auto"/>
        <w:ind w:left="709"/>
        <w:rPr>
          <w:rFonts w:ascii="Garamond" w:eastAsia="Times New Roman" w:hAnsi="Garamond" w:cs="Times New Roman"/>
          <w:sz w:val="24"/>
          <w:szCs w:val="24"/>
        </w:rPr>
      </w:pPr>
      <w:r w:rsidRPr="007C61D2">
        <w:rPr>
          <w:rFonts w:ascii="Garamond" w:eastAsia="Times New Roman" w:hAnsi="Garamond" w:cs="Times New Roman"/>
          <w:sz w:val="24"/>
          <w:szCs w:val="24"/>
        </w:rPr>
        <w:lastRenderedPageBreak/>
        <w:t>“</w:t>
      </w:r>
      <w:r w:rsidR="004E0979" w:rsidRPr="007C61D2">
        <w:rPr>
          <w:rFonts w:ascii="Garamond" w:eastAsia="Times New Roman" w:hAnsi="Garamond" w:cs="Times New Roman"/>
          <w:sz w:val="24"/>
          <w:szCs w:val="24"/>
        </w:rPr>
        <w:t>I</w:t>
      </w:r>
      <w:r w:rsidRPr="007C61D2">
        <w:rPr>
          <w:rFonts w:ascii="Garamond" w:eastAsia="Times New Roman" w:hAnsi="Garamond" w:cs="Times New Roman"/>
          <w:sz w:val="24"/>
          <w:szCs w:val="24"/>
        </w:rPr>
        <w:t>t feels like it’s only really medical situations where that would be the case and</w:t>
      </w:r>
      <w:r w:rsidR="00CB7901"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there</w:t>
      </w:r>
      <w:r w:rsidR="004E0979"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I don’t think you would simply be asking a question on what is your sex</w:t>
      </w:r>
      <w:r w:rsidR="004E0979"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You would be asking much more specific questions to do with, I don't know, hormones or anatomy or things like that or what was actually relevant. … The sort of example that people will usually bring up is population projections and essentially working out how many babies might be born. But, equally, if you kind of think further about that, you realise that well, right now, the projections are based on the number of people who say they are female, but plenty of those women can’t have kids for all sorts of reasons. It’s already an estimate.”</w:t>
      </w:r>
    </w:p>
    <w:p w14:paraId="30B1647B" w14:textId="4D32AAD9" w:rsidR="00186E1C" w:rsidRPr="007C61D2" w:rsidRDefault="004E0979">
      <w:pPr>
        <w:spacing w:before="12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A</w:t>
      </w:r>
      <w:r w:rsidR="00EC2A9A" w:rsidRPr="007C61D2">
        <w:rPr>
          <w:rFonts w:ascii="Garamond" w:eastAsia="Times New Roman" w:hAnsi="Garamond" w:cs="Times New Roman"/>
          <w:sz w:val="24"/>
          <w:szCs w:val="24"/>
        </w:rPr>
        <w:t xml:space="preserve">s this interviewee suggests, </w:t>
      </w:r>
      <w:r w:rsidR="003F6B1D" w:rsidRPr="007C61D2">
        <w:rPr>
          <w:rFonts w:ascii="Garamond" w:eastAsia="Times New Roman" w:hAnsi="Garamond" w:cs="Times New Roman"/>
          <w:sz w:val="24"/>
          <w:szCs w:val="24"/>
        </w:rPr>
        <w:t xml:space="preserve">even leaving aside questions of choice or social diversity, </w:t>
      </w:r>
      <w:r w:rsidR="00EC2A9A" w:rsidRPr="007C61D2">
        <w:rPr>
          <w:rFonts w:ascii="Garamond" w:eastAsia="Times New Roman" w:hAnsi="Garamond" w:cs="Times New Roman"/>
          <w:sz w:val="24"/>
          <w:szCs w:val="24"/>
        </w:rPr>
        <w:t>t</w:t>
      </w:r>
      <w:r w:rsidR="00614AB6" w:rsidRPr="007C61D2">
        <w:rPr>
          <w:rFonts w:ascii="Garamond" w:eastAsia="Times New Roman" w:hAnsi="Garamond" w:cs="Times New Roman"/>
          <w:sz w:val="24"/>
          <w:szCs w:val="24"/>
        </w:rPr>
        <w:t xml:space="preserve">he argument that sex provides a stable classificatory structure is </w:t>
      </w:r>
      <w:r w:rsidR="00936352" w:rsidRPr="007C61D2">
        <w:rPr>
          <w:rFonts w:ascii="Garamond" w:eastAsia="Times New Roman" w:hAnsi="Garamond" w:cs="Times New Roman"/>
          <w:sz w:val="24"/>
          <w:szCs w:val="24"/>
        </w:rPr>
        <w:t xml:space="preserve">complicated </w:t>
      </w:r>
      <w:r w:rsidR="00614AB6" w:rsidRPr="007C61D2">
        <w:rPr>
          <w:rFonts w:ascii="Garamond" w:eastAsia="Times New Roman" w:hAnsi="Garamond" w:cs="Times New Roman"/>
          <w:sz w:val="24"/>
          <w:szCs w:val="24"/>
        </w:rPr>
        <w:t>by the bodily changes some people undergo (hormonal and through surgery)</w:t>
      </w:r>
      <w:r w:rsidR="003F6B1D" w:rsidRPr="007C61D2">
        <w:rPr>
          <w:rFonts w:ascii="Garamond" w:eastAsia="Times New Roman" w:hAnsi="Garamond" w:cs="Times New Roman"/>
          <w:sz w:val="24"/>
          <w:szCs w:val="24"/>
        </w:rPr>
        <w:t>;</w:t>
      </w:r>
      <w:r w:rsidR="00614AB6" w:rsidRPr="007C61D2">
        <w:rPr>
          <w:rFonts w:ascii="Garamond" w:eastAsia="Times New Roman" w:hAnsi="Garamond" w:cs="Times New Roman"/>
          <w:sz w:val="24"/>
          <w:szCs w:val="24"/>
        </w:rPr>
        <w:t xml:space="preserve"> by bodies that </w:t>
      </w:r>
      <w:r w:rsidR="00186E1C" w:rsidRPr="007C61D2">
        <w:rPr>
          <w:rFonts w:ascii="Garamond" w:eastAsia="Times New Roman" w:hAnsi="Garamond" w:cs="Times New Roman"/>
          <w:sz w:val="24"/>
          <w:szCs w:val="24"/>
        </w:rPr>
        <w:t>diverge from sexed expectations</w:t>
      </w:r>
      <w:r w:rsidR="004F579D" w:rsidRPr="007C61D2">
        <w:rPr>
          <w:rFonts w:ascii="Garamond" w:eastAsia="Times New Roman" w:hAnsi="Garamond" w:cs="Times New Roman"/>
          <w:sz w:val="24"/>
          <w:szCs w:val="24"/>
        </w:rPr>
        <w:t xml:space="preserve"> (e.g., Hester 2004)</w:t>
      </w:r>
      <w:r w:rsidR="00186E1C" w:rsidRPr="007C61D2">
        <w:rPr>
          <w:rFonts w:ascii="Garamond" w:eastAsia="Times New Roman" w:hAnsi="Garamond" w:cs="Times New Roman"/>
          <w:sz w:val="24"/>
          <w:szCs w:val="24"/>
        </w:rPr>
        <w:t xml:space="preserve">; </w:t>
      </w:r>
      <w:r w:rsidR="00614AB6" w:rsidRPr="007C61D2">
        <w:rPr>
          <w:rFonts w:ascii="Garamond" w:eastAsia="Times New Roman" w:hAnsi="Garamond" w:cs="Times New Roman"/>
          <w:sz w:val="24"/>
          <w:szCs w:val="24"/>
        </w:rPr>
        <w:t>and by science research which challenges the notion of a</w:t>
      </w:r>
      <w:r w:rsidR="00186E1C" w:rsidRPr="007C61D2">
        <w:rPr>
          <w:rFonts w:ascii="Garamond" w:eastAsia="Times New Roman" w:hAnsi="Garamond" w:cs="Times New Roman"/>
          <w:sz w:val="24"/>
          <w:szCs w:val="24"/>
        </w:rPr>
        <w:t xml:space="preserve"> sex-based binary</w:t>
      </w:r>
      <w:r w:rsidR="00614AB6" w:rsidRPr="007C61D2">
        <w:rPr>
          <w:rFonts w:ascii="Garamond" w:eastAsia="Times New Roman" w:hAnsi="Garamond" w:cs="Times New Roman"/>
          <w:sz w:val="24"/>
          <w:szCs w:val="24"/>
        </w:rPr>
        <w:t xml:space="preserve"> division</w:t>
      </w:r>
      <w:r w:rsidR="007826A6" w:rsidRPr="007C61D2">
        <w:rPr>
          <w:rFonts w:ascii="Garamond" w:eastAsia="Times New Roman" w:hAnsi="Garamond" w:cs="Times New Roman"/>
          <w:sz w:val="24"/>
          <w:szCs w:val="24"/>
        </w:rPr>
        <w:t xml:space="preserve"> (e.g, see Fausto-Sterling 2016</w:t>
      </w:r>
      <w:r w:rsidR="004F579D" w:rsidRPr="007C61D2">
        <w:rPr>
          <w:rFonts w:ascii="Garamond" w:eastAsia="Times New Roman" w:hAnsi="Garamond" w:cs="Times New Roman"/>
          <w:sz w:val="24"/>
          <w:szCs w:val="24"/>
        </w:rPr>
        <w:t>; Sanz 2017</w:t>
      </w:r>
      <w:r w:rsidR="007826A6" w:rsidRPr="007C61D2">
        <w:rPr>
          <w:rFonts w:ascii="Garamond" w:eastAsia="Times New Roman" w:hAnsi="Garamond" w:cs="Times New Roman"/>
          <w:sz w:val="24"/>
          <w:szCs w:val="24"/>
        </w:rPr>
        <w:t>)</w:t>
      </w:r>
      <w:r w:rsidR="00614AB6" w:rsidRPr="007C61D2">
        <w:rPr>
          <w:rFonts w:ascii="Garamond" w:eastAsia="Times New Roman" w:hAnsi="Garamond" w:cs="Times New Roman"/>
          <w:sz w:val="24"/>
          <w:szCs w:val="24"/>
        </w:rPr>
        <w:t xml:space="preserve">. </w:t>
      </w:r>
      <w:r w:rsidR="00186E1C" w:rsidRPr="007C61D2">
        <w:rPr>
          <w:rFonts w:ascii="Garamond" w:eastAsia="Times New Roman" w:hAnsi="Garamond" w:cs="Times New Roman"/>
          <w:sz w:val="24"/>
          <w:szCs w:val="24"/>
        </w:rPr>
        <w:t xml:space="preserve">At the same time, </w:t>
      </w:r>
      <w:r w:rsidR="00614AB6" w:rsidRPr="007C61D2">
        <w:rPr>
          <w:rFonts w:ascii="Garamond" w:eastAsia="Times New Roman" w:hAnsi="Garamond" w:cs="Times New Roman"/>
          <w:sz w:val="24"/>
          <w:szCs w:val="24"/>
        </w:rPr>
        <w:t>there remain good reasons to know how people live, shape, and experience the world, including in the terms that social relations give rise to. While</w:t>
      </w:r>
      <w:r w:rsidR="00A83E18" w:rsidRPr="007C61D2">
        <w:rPr>
          <w:rFonts w:ascii="Garamond" w:eastAsia="Times New Roman" w:hAnsi="Garamond" w:cs="Times New Roman"/>
          <w:sz w:val="24"/>
          <w:szCs w:val="24"/>
        </w:rPr>
        <w:t xml:space="preserve"> </w:t>
      </w:r>
      <w:r w:rsidR="00614AB6" w:rsidRPr="007C61D2">
        <w:rPr>
          <w:rFonts w:ascii="Garamond" w:eastAsia="Times New Roman" w:hAnsi="Garamond" w:cs="Times New Roman"/>
          <w:sz w:val="24"/>
          <w:szCs w:val="24"/>
        </w:rPr>
        <w:t xml:space="preserve">using </w:t>
      </w:r>
      <w:r w:rsidR="00A83E18" w:rsidRPr="007C61D2">
        <w:rPr>
          <w:rFonts w:ascii="Garamond" w:eastAsia="Times New Roman" w:hAnsi="Garamond" w:cs="Times New Roman"/>
          <w:sz w:val="24"/>
          <w:szCs w:val="24"/>
        </w:rPr>
        <w:t xml:space="preserve">the language </w:t>
      </w:r>
      <w:r w:rsidR="00614AB6" w:rsidRPr="007C61D2">
        <w:rPr>
          <w:rFonts w:ascii="Garamond" w:eastAsia="Times New Roman" w:hAnsi="Garamond" w:cs="Times New Roman"/>
          <w:sz w:val="24"/>
          <w:szCs w:val="24"/>
        </w:rPr>
        <w:t>of gender, class, race</w:t>
      </w:r>
      <w:r w:rsidR="00AE724A">
        <w:rPr>
          <w:rFonts w:ascii="Garamond" w:eastAsia="Times New Roman" w:hAnsi="Garamond" w:cs="Times New Roman"/>
          <w:sz w:val="24"/>
          <w:szCs w:val="24"/>
        </w:rPr>
        <w:t>,</w:t>
      </w:r>
      <w:r w:rsidR="00614AB6" w:rsidRPr="007C61D2">
        <w:rPr>
          <w:rFonts w:ascii="Garamond" w:eastAsia="Times New Roman" w:hAnsi="Garamond" w:cs="Times New Roman"/>
          <w:sz w:val="24"/>
          <w:szCs w:val="24"/>
        </w:rPr>
        <w:t xml:space="preserve"> </w:t>
      </w:r>
      <w:r w:rsidR="008515F6">
        <w:rPr>
          <w:rFonts w:ascii="Garamond" w:eastAsia="Times New Roman" w:hAnsi="Garamond" w:cs="Times New Roman"/>
          <w:sz w:val="24"/>
          <w:szCs w:val="24"/>
        </w:rPr>
        <w:t xml:space="preserve">and other social relations </w:t>
      </w:r>
      <w:r w:rsidR="00DF6E44" w:rsidRPr="007C61D2">
        <w:rPr>
          <w:rFonts w:ascii="Garamond" w:eastAsia="Times New Roman" w:hAnsi="Garamond" w:cs="Times New Roman"/>
          <w:sz w:val="24"/>
          <w:szCs w:val="24"/>
        </w:rPr>
        <w:t xml:space="preserve">may risk </w:t>
      </w:r>
      <w:r w:rsidR="008515F6">
        <w:rPr>
          <w:rFonts w:ascii="Garamond" w:eastAsia="Times New Roman" w:hAnsi="Garamond" w:cs="Times New Roman"/>
          <w:sz w:val="24"/>
          <w:szCs w:val="24"/>
        </w:rPr>
        <w:t xml:space="preserve">their </w:t>
      </w:r>
      <w:r w:rsidR="00DF6E44" w:rsidRPr="007C61D2">
        <w:rPr>
          <w:rFonts w:ascii="Garamond" w:eastAsia="Times New Roman" w:hAnsi="Garamond" w:cs="Times New Roman"/>
          <w:sz w:val="24"/>
          <w:szCs w:val="24"/>
        </w:rPr>
        <w:t>normalis</w:t>
      </w:r>
      <w:r w:rsidR="008515F6">
        <w:rPr>
          <w:rFonts w:ascii="Garamond" w:eastAsia="Times New Roman" w:hAnsi="Garamond" w:cs="Times New Roman"/>
          <w:sz w:val="24"/>
          <w:szCs w:val="24"/>
        </w:rPr>
        <w:t xml:space="preserve">ation </w:t>
      </w:r>
      <w:r w:rsidR="008419FF" w:rsidRPr="007C61D2">
        <w:rPr>
          <w:rFonts w:ascii="Garamond" w:eastAsia="Times New Roman" w:hAnsi="Garamond" w:cs="Times New Roman"/>
          <w:sz w:val="24"/>
          <w:szCs w:val="24"/>
        </w:rPr>
        <w:t>(e.g., see Maré 2014)</w:t>
      </w:r>
      <w:r w:rsidR="00614AB6" w:rsidRPr="007C61D2">
        <w:rPr>
          <w:rFonts w:ascii="Garamond" w:eastAsia="Times New Roman" w:hAnsi="Garamond" w:cs="Times New Roman"/>
          <w:sz w:val="24"/>
          <w:szCs w:val="24"/>
        </w:rPr>
        <w:t xml:space="preserve">, a critically attentive account </w:t>
      </w:r>
      <w:r w:rsidR="00A83E18" w:rsidRPr="007C61D2">
        <w:rPr>
          <w:rFonts w:ascii="Garamond" w:eastAsia="Times New Roman" w:hAnsi="Garamond" w:cs="Times New Roman"/>
          <w:sz w:val="24"/>
          <w:szCs w:val="24"/>
        </w:rPr>
        <w:t xml:space="preserve">and politics </w:t>
      </w:r>
      <w:r w:rsidR="00614AB6" w:rsidRPr="007C61D2">
        <w:rPr>
          <w:rFonts w:ascii="Garamond" w:eastAsia="Times New Roman" w:hAnsi="Garamond" w:cs="Times New Roman"/>
          <w:sz w:val="24"/>
          <w:szCs w:val="24"/>
        </w:rPr>
        <w:t>requires the</w:t>
      </w:r>
      <w:r w:rsidR="00DF6E44" w:rsidRPr="007C61D2">
        <w:rPr>
          <w:rFonts w:ascii="Garamond" w:eastAsia="Times New Roman" w:hAnsi="Garamond" w:cs="Times New Roman"/>
          <w:sz w:val="24"/>
          <w:szCs w:val="24"/>
        </w:rPr>
        <w:t>m</w:t>
      </w:r>
      <w:r w:rsidR="00614AB6" w:rsidRPr="007C61D2">
        <w:rPr>
          <w:rFonts w:ascii="Garamond" w:eastAsia="Times New Roman" w:hAnsi="Garamond" w:cs="Times New Roman"/>
          <w:sz w:val="24"/>
          <w:szCs w:val="24"/>
        </w:rPr>
        <w:t xml:space="preserve">. But not all contexts </w:t>
      </w:r>
      <w:r w:rsidR="008419FF" w:rsidRPr="007C61D2">
        <w:rPr>
          <w:rFonts w:ascii="Garamond" w:eastAsia="Times New Roman" w:hAnsi="Garamond" w:cs="Times New Roman"/>
          <w:sz w:val="24"/>
          <w:szCs w:val="24"/>
        </w:rPr>
        <w:t xml:space="preserve">are best addressed through these </w:t>
      </w:r>
      <w:r w:rsidR="00A83E18" w:rsidRPr="007C61D2">
        <w:rPr>
          <w:rFonts w:ascii="Garamond" w:eastAsia="Times New Roman" w:hAnsi="Garamond" w:cs="Times New Roman"/>
          <w:sz w:val="24"/>
          <w:szCs w:val="24"/>
        </w:rPr>
        <w:t xml:space="preserve">social relational </w:t>
      </w:r>
      <w:r w:rsidR="008419FF" w:rsidRPr="007C61D2">
        <w:rPr>
          <w:rFonts w:ascii="Garamond" w:eastAsia="Times New Roman" w:hAnsi="Garamond" w:cs="Times New Roman"/>
          <w:sz w:val="24"/>
          <w:szCs w:val="24"/>
        </w:rPr>
        <w:t xml:space="preserve">terms. </w:t>
      </w:r>
    </w:p>
    <w:p w14:paraId="0D0A5E25" w14:textId="0EBA30DC" w:rsidR="00FF10F3" w:rsidRPr="007C61D2" w:rsidRDefault="008419FF"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Competitive sport is one area where other frameworks may </w:t>
      </w:r>
      <w:r w:rsidR="003D595E" w:rsidRPr="007C61D2">
        <w:rPr>
          <w:rFonts w:ascii="Garamond" w:eastAsia="Times New Roman" w:hAnsi="Garamond" w:cs="Times New Roman"/>
          <w:sz w:val="24"/>
          <w:szCs w:val="24"/>
        </w:rPr>
        <w:t xml:space="preserve">be worth attending to. </w:t>
      </w:r>
      <w:r w:rsidRPr="007C61D2">
        <w:rPr>
          <w:rFonts w:ascii="Garamond" w:eastAsia="Times New Roman" w:hAnsi="Garamond" w:cs="Times New Roman"/>
          <w:sz w:val="24"/>
          <w:szCs w:val="24"/>
        </w:rPr>
        <w:t>The problem of sex has long been identified as an issue in women’s sports</w:t>
      </w:r>
      <w:r w:rsidR="00E5656A" w:rsidRPr="007C61D2">
        <w:rPr>
          <w:rFonts w:ascii="Garamond" w:eastAsia="Times New Roman" w:hAnsi="Garamond" w:cs="Times New Roman"/>
          <w:sz w:val="24"/>
          <w:szCs w:val="24"/>
        </w:rPr>
        <w:t xml:space="preserve"> (Erikainen 2019)</w:t>
      </w:r>
      <w:r w:rsidR="00EB65D8">
        <w:rPr>
          <w:rFonts w:ascii="Garamond" w:eastAsia="Times New Roman" w:hAnsi="Garamond" w:cs="Times New Roman"/>
          <w:sz w:val="24"/>
          <w:szCs w:val="24"/>
        </w:rPr>
        <w:t xml:space="preserve">. In the contemporary period, </w:t>
      </w:r>
      <w:r w:rsidR="00186E1C" w:rsidRPr="007C61D2">
        <w:rPr>
          <w:rFonts w:ascii="Garamond" w:eastAsia="Times New Roman" w:hAnsi="Garamond" w:cs="Times New Roman"/>
          <w:sz w:val="24"/>
          <w:szCs w:val="24"/>
        </w:rPr>
        <w:t>t</w:t>
      </w:r>
      <w:r w:rsidRPr="007C61D2">
        <w:rPr>
          <w:rFonts w:ascii="Garamond" w:eastAsia="Times New Roman" w:hAnsi="Garamond" w:cs="Times New Roman"/>
          <w:sz w:val="24"/>
          <w:szCs w:val="24"/>
        </w:rPr>
        <w:t>rans</w:t>
      </w:r>
      <w:r w:rsidR="004F579D"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women’s participation has provided a </w:t>
      </w:r>
      <w:r w:rsidR="00EB65D8">
        <w:rPr>
          <w:rFonts w:ascii="Garamond" w:eastAsia="Times New Roman" w:hAnsi="Garamond" w:cs="Times New Roman"/>
          <w:sz w:val="24"/>
          <w:szCs w:val="24"/>
        </w:rPr>
        <w:t xml:space="preserve">focus for anxieties </w:t>
      </w:r>
      <w:r w:rsidRPr="007C61D2">
        <w:rPr>
          <w:rFonts w:ascii="Garamond" w:eastAsia="Times New Roman" w:hAnsi="Garamond" w:cs="Times New Roman"/>
          <w:sz w:val="24"/>
          <w:szCs w:val="24"/>
        </w:rPr>
        <w:t xml:space="preserve">about the limits </w:t>
      </w:r>
      <w:r w:rsidR="008515F6">
        <w:rPr>
          <w:rFonts w:ascii="Garamond" w:eastAsia="Times New Roman" w:hAnsi="Garamond" w:cs="Times New Roman"/>
          <w:sz w:val="24"/>
          <w:szCs w:val="24"/>
        </w:rPr>
        <w:t xml:space="preserve">or </w:t>
      </w:r>
      <w:r w:rsidR="003D595E" w:rsidRPr="007C61D2">
        <w:rPr>
          <w:rFonts w:ascii="Garamond" w:eastAsia="Times New Roman" w:hAnsi="Garamond" w:cs="Times New Roman"/>
          <w:sz w:val="24"/>
          <w:szCs w:val="24"/>
        </w:rPr>
        <w:t xml:space="preserve">disutility </w:t>
      </w:r>
      <w:r w:rsidRPr="007C61D2">
        <w:rPr>
          <w:rFonts w:ascii="Garamond" w:eastAsia="Times New Roman" w:hAnsi="Garamond" w:cs="Times New Roman"/>
          <w:sz w:val="24"/>
          <w:szCs w:val="24"/>
        </w:rPr>
        <w:t xml:space="preserve">of </w:t>
      </w:r>
      <w:r w:rsidR="00DF6E44" w:rsidRPr="007C61D2">
        <w:rPr>
          <w:rFonts w:ascii="Garamond" w:eastAsia="Times New Roman" w:hAnsi="Garamond" w:cs="Times New Roman"/>
          <w:sz w:val="24"/>
          <w:szCs w:val="24"/>
        </w:rPr>
        <w:t xml:space="preserve">regulating and sorting </w:t>
      </w:r>
      <w:r w:rsidR="003D595E" w:rsidRPr="007C61D2">
        <w:rPr>
          <w:rFonts w:ascii="Garamond" w:eastAsia="Times New Roman" w:hAnsi="Garamond" w:cs="Times New Roman"/>
          <w:sz w:val="24"/>
          <w:szCs w:val="24"/>
        </w:rPr>
        <w:t xml:space="preserve">participation </w:t>
      </w:r>
      <w:r w:rsidR="00337F97">
        <w:rPr>
          <w:rFonts w:ascii="Garamond" w:eastAsia="Times New Roman" w:hAnsi="Garamond" w:cs="Times New Roman"/>
          <w:sz w:val="24"/>
          <w:szCs w:val="24"/>
        </w:rPr>
        <w:t xml:space="preserve">through </w:t>
      </w:r>
      <w:r w:rsidRPr="007C61D2">
        <w:rPr>
          <w:rFonts w:ascii="Garamond" w:eastAsia="Times New Roman" w:hAnsi="Garamond" w:cs="Times New Roman"/>
          <w:sz w:val="24"/>
          <w:szCs w:val="24"/>
        </w:rPr>
        <w:t xml:space="preserve">gender categories – whether lived or legal. </w:t>
      </w:r>
      <w:r w:rsidR="00186E1C" w:rsidRPr="007C61D2">
        <w:rPr>
          <w:rFonts w:ascii="Garamond" w:eastAsia="Times New Roman" w:hAnsi="Garamond" w:cs="Times New Roman"/>
          <w:sz w:val="24"/>
          <w:szCs w:val="24"/>
        </w:rPr>
        <w:t>Testosterone levels are frequently used to determine entry into women’s sports (e.g. see</w:t>
      </w:r>
      <w:r w:rsidR="00DF6E44" w:rsidRPr="007C61D2">
        <w:rPr>
          <w:rFonts w:ascii="Garamond" w:eastAsia="Times New Roman" w:hAnsi="Garamond" w:cs="Times New Roman"/>
          <w:sz w:val="24"/>
          <w:szCs w:val="24"/>
        </w:rPr>
        <w:t xml:space="preserve"> </w:t>
      </w:r>
      <w:r w:rsidR="00186E1C" w:rsidRPr="007C61D2">
        <w:rPr>
          <w:rFonts w:ascii="Garamond" w:eastAsia="Times New Roman" w:hAnsi="Garamond" w:cs="Times New Roman"/>
          <w:sz w:val="24"/>
          <w:szCs w:val="24"/>
        </w:rPr>
        <w:t>Cooky and Dworkin 2013</w:t>
      </w:r>
      <w:r w:rsidR="00DF6E44" w:rsidRPr="007C61D2">
        <w:rPr>
          <w:rFonts w:ascii="Garamond" w:eastAsia="Times New Roman" w:hAnsi="Garamond" w:cs="Times New Roman"/>
          <w:sz w:val="24"/>
          <w:szCs w:val="24"/>
        </w:rPr>
        <w:t>;</w:t>
      </w:r>
      <w:r w:rsidR="00186E1C" w:rsidRPr="007C61D2">
        <w:rPr>
          <w:rFonts w:ascii="Garamond" w:eastAsia="Times New Roman" w:hAnsi="Garamond" w:cs="Times New Roman"/>
          <w:sz w:val="24"/>
          <w:szCs w:val="24"/>
        </w:rPr>
        <w:t xml:space="preserve"> Henne 2014)</w:t>
      </w:r>
      <w:r w:rsidR="00186E1C" w:rsidRPr="007C61D2">
        <w:rPr>
          <w:rStyle w:val="FootnoteReference"/>
          <w:rFonts w:ascii="Garamond" w:eastAsia="Times New Roman" w:hAnsi="Garamond" w:cs="Times New Roman"/>
          <w:sz w:val="24"/>
          <w:szCs w:val="24"/>
        </w:rPr>
        <w:footnoteReference w:id="44"/>
      </w:r>
      <w:r w:rsidR="00186E1C" w:rsidRPr="007C61D2">
        <w:rPr>
          <w:rFonts w:ascii="Garamond" w:eastAsia="Times New Roman" w:hAnsi="Garamond" w:cs="Times New Roman"/>
          <w:sz w:val="24"/>
          <w:szCs w:val="24"/>
        </w:rPr>
        <w:t xml:space="preserve"> </w:t>
      </w:r>
      <w:r w:rsidR="003F6B1D" w:rsidRPr="007C61D2">
        <w:rPr>
          <w:rFonts w:ascii="Garamond" w:eastAsia="Times New Roman" w:hAnsi="Garamond" w:cs="Times New Roman"/>
          <w:sz w:val="24"/>
          <w:szCs w:val="24"/>
        </w:rPr>
        <w:t xml:space="preserve">perpetuating racialised histories of </w:t>
      </w:r>
      <w:r w:rsidR="00186E1C" w:rsidRPr="007C61D2">
        <w:rPr>
          <w:rFonts w:ascii="Garamond" w:eastAsia="Times New Roman" w:hAnsi="Garamond" w:cs="Times New Roman"/>
          <w:sz w:val="24"/>
          <w:szCs w:val="24"/>
        </w:rPr>
        <w:t>scrutiny and judgment as B</w:t>
      </w:r>
      <w:r w:rsidRPr="007C61D2">
        <w:rPr>
          <w:rFonts w:ascii="Garamond" w:eastAsia="Times New Roman" w:hAnsi="Garamond" w:cs="Times New Roman"/>
          <w:sz w:val="24"/>
          <w:szCs w:val="24"/>
        </w:rPr>
        <w:t xml:space="preserve">lack women and those from the global south </w:t>
      </w:r>
      <w:r w:rsidR="00186E1C" w:rsidRPr="007C61D2">
        <w:rPr>
          <w:rFonts w:ascii="Garamond" w:eastAsia="Times New Roman" w:hAnsi="Garamond" w:cs="Times New Roman"/>
          <w:sz w:val="24"/>
          <w:szCs w:val="24"/>
        </w:rPr>
        <w:t xml:space="preserve">become especially </w:t>
      </w:r>
      <w:r w:rsidRPr="007C61D2">
        <w:rPr>
          <w:rFonts w:ascii="Garamond" w:eastAsia="Times New Roman" w:hAnsi="Garamond" w:cs="Times New Roman"/>
          <w:sz w:val="24"/>
          <w:szCs w:val="24"/>
        </w:rPr>
        <w:t>subject to intrusive bodily incursions, judgments, and norms</w:t>
      </w:r>
      <w:r w:rsidR="00E5656A" w:rsidRPr="007C61D2">
        <w:rPr>
          <w:rFonts w:ascii="Garamond" w:eastAsia="Times New Roman" w:hAnsi="Garamond" w:cs="Times New Roman"/>
          <w:sz w:val="24"/>
          <w:szCs w:val="24"/>
        </w:rPr>
        <w:t xml:space="preserve"> (Karkazis and Jordan-Young 2018)</w:t>
      </w:r>
      <w:r w:rsidRPr="007C61D2">
        <w:rPr>
          <w:rFonts w:ascii="Garamond" w:eastAsia="Times New Roman" w:hAnsi="Garamond" w:cs="Times New Roman"/>
          <w:sz w:val="24"/>
          <w:szCs w:val="24"/>
        </w:rPr>
        <w:t>.</w:t>
      </w:r>
      <w:r w:rsidR="00186E1C" w:rsidRPr="007C61D2">
        <w:rPr>
          <w:rFonts w:ascii="Garamond" w:eastAsia="Times New Roman" w:hAnsi="Garamond" w:cs="Times New Roman"/>
          <w:sz w:val="24"/>
          <w:szCs w:val="24"/>
        </w:rPr>
        <w:t xml:space="preserve"> Yet</w:t>
      </w:r>
      <w:r w:rsidR="00B26B73" w:rsidRPr="007C61D2">
        <w:rPr>
          <w:rFonts w:ascii="Garamond" w:eastAsia="Times New Roman" w:hAnsi="Garamond" w:cs="Times New Roman"/>
          <w:sz w:val="24"/>
          <w:szCs w:val="24"/>
        </w:rPr>
        <w:t xml:space="preserve">, </w:t>
      </w:r>
      <w:r w:rsidR="00186E1C" w:rsidRPr="007C61D2">
        <w:rPr>
          <w:rFonts w:ascii="Garamond" w:eastAsia="Times New Roman" w:hAnsi="Garamond" w:cs="Times New Roman"/>
          <w:sz w:val="24"/>
          <w:szCs w:val="24"/>
        </w:rPr>
        <w:t xml:space="preserve">despite the belief, held by some, that </w:t>
      </w:r>
      <w:r w:rsidR="00B42A01" w:rsidRPr="007C61D2">
        <w:rPr>
          <w:rFonts w:ascii="Garamond" w:eastAsia="Times New Roman" w:hAnsi="Garamond" w:cs="Times New Roman"/>
          <w:sz w:val="24"/>
          <w:szCs w:val="24"/>
        </w:rPr>
        <w:t xml:space="preserve">hormonal or </w:t>
      </w:r>
      <w:r w:rsidR="00186E1C" w:rsidRPr="007C61D2">
        <w:rPr>
          <w:rFonts w:ascii="Garamond" w:eastAsia="Times New Roman" w:hAnsi="Garamond" w:cs="Times New Roman"/>
          <w:sz w:val="24"/>
          <w:szCs w:val="24"/>
        </w:rPr>
        <w:t>“real</w:t>
      </w:r>
      <w:r w:rsidR="00B42A01" w:rsidRPr="007C61D2">
        <w:rPr>
          <w:rFonts w:ascii="Garamond" w:eastAsia="Times New Roman" w:hAnsi="Garamond" w:cs="Times New Roman"/>
          <w:sz w:val="24"/>
          <w:szCs w:val="24"/>
        </w:rPr>
        <w:t>”</w:t>
      </w:r>
      <w:r w:rsidR="00186E1C" w:rsidRPr="007C61D2">
        <w:rPr>
          <w:rFonts w:ascii="Garamond" w:eastAsia="Times New Roman" w:hAnsi="Garamond" w:cs="Times New Roman"/>
          <w:sz w:val="24"/>
          <w:szCs w:val="24"/>
        </w:rPr>
        <w:t xml:space="preserve"> sex is the </w:t>
      </w:r>
      <w:r w:rsidR="00B42A01" w:rsidRPr="007C61D2">
        <w:rPr>
          <w:rFonts w:ascii="Garamond" w:eastAsia="Times New Roman" w:hAnsi="Garamond" w:cs="Times New Roman"/>
          <w:sz w:val="24"/>
          <w:szCs w:val="24"/>
        </w:rPr>
        <w:t xml:space="preserve">proper </w:t>
      </w:r>
      <w:r w:rsidR="00186E1C" w:rsidRPr="007C61D2">
        <w:rPr>
          <w:rFonts w:ascii="Garamond" w:eastAsia="Times New Roman" w:hAnsi="Garamond" w:cs="Times New Roman"/>
          <w:sz w:val="24"/>
          <w:szCs w:val="24"/>
        </w:rPr>
        <w:t xml:space="preserve">basis for determining participation in sports, </w:t>
      </w:r>
      <w:r w:rsidR="007E397E" w:rsidRPr="007C61D2">
        <w:rPr>
          <w:rFonts w:ascii="Garamond" w:eastAsia="Times New Roman" w:hAnsi="Garamond" w:cs="Times New Roman"/>
          <w:sz w:val="24"/>
          <w:szCs w:val="24"/>
        </w:rPr>
        <w:lastRenderedPageBreak/>
        <w:t xml:space="preserve">“meaningful competition” </w:t>
      </w:r>
      <w:r w:rsidR="00B26B73" w:rsidRPr="007C61D2">
        <w:rPr>
          <w:rFonts w:ascii="Garamond" w:eastAsia="Times New Roman" w:hAnsi="Garamond" w:cs="Times New Roman"/>
          <w:sz w:val="24"/>
          <w:szCs w:val="24"/>
        </w:rPr>
        <w:t>can be calibrated in other ways</w:t>
      </w:r>
      <w:r w:rsidR="00720B12" w:rsidRPr="007C61D2">
        <w:rPr>
          <w:rFonts w:ascii="Garamond" w:eastAsia="Times New Roman" w:hAnsi="Garamond" w:cs="Times New Roman"/>
          <w:sz w:val="24"/>
          <w:szCs w:val="24"/>
        </w:rPr>
        <w:t xml:space="preserve"> (see, e.g., </w:t>
      </w:r>
      <w:r w:rsidR="00720B12" w:rsidRPr="007C61D2">
        <w:rPr>
          <w:rFonts w:ascii="Garamond" w:hAnsi="Garamond" w:cs="Times New Roman"/>
          <w:color w:val="333333"/>
          <w:sz w:val="24"/>
          <w:szCs w:val="24"/>
          <w:shd w:val="clear" w:color="auto" w:fill="FFFFFF"/>
        </w:rPr>
        <w:t>Kerr and O</w:t>
      </w:r>
      <w:r w:rsidR="002F3B92" w:rsidRPr="007C61D2">
        <w:rPr>
          <w:rFonts w:ascii="Garamond" w:hAnsi="Garamond" w:cs="Times New Roman"/>
          <w:color w:val="333333"/>
          <w:sz w:val="24"/>
          <w:szCs w:val="24"/>
          <w:shd w:val="clear" w:color="auto" w:fill="FFFFFF"/>
        </w:rPr>
        <w:t>bel</w:t>
      </w:r>
      <w:r w:rsidR="00720B12" w:rsidRPr="007C61D2">
        <w:rPr>
          <w:rFonts w:ascii="Garamond" w:hAnsi="Garamond" w:cs="Times New Roman"/>
          <w:color w:val="333333"/>
          <w:sz w:val="24"/>
          <w:szCs w:val="24"/>
          <w:shd w:val="clear" w:color="auto" w:fill="FFFFFF"/>
        </w:rPr>
        <w:t xml:space="preserve"> 2018)</w:t>
      </w:r>
      <w:r w:rsidR="0082123E" w:rsidRPr="007C61D2">
        <w:rPr>
          <w:rFonts w:ascii="Garamond" w:hAnsi="Garamond" w:cs="Times New Roman"/>
          <w:color w:val="333333"/>
          <w:sz w:val="24"/>
          <w:szCs w:val="24"/>
          <w:shd w:val="clear" w:color="auto" w:fill="FFFFFF"/>
        </w:rPr>
        <w:t>.</w:t>
      </w:r>
      <w:r w:rsidR="00FF10F3" w:rsidRPr="007C61D2">
        <w:rPr>
          <w:rFonts w:ascii="Garamond" w:eastAsia="Times New Roman" w:hAnsi="Garamond" w:cs="Times New Roman"/>
          <w:sz w:val="24"/>
          <w:szCs w:val="24"/>
        </w:rPr>
        <w:t xml:space="preserve"> </w:t>
      </w:r>
      <w:r w:rsidR="00B42A01" w:rsidRPr="007C61D2">
        <w:rPr>
          <w:rFonts w:ascii="Garamond" w:eastAsia="Times New Roman" w:hAnsi="Garamond" w:cs="Times New Roman"/>
          <w:sz w:val="24"/>
          <w:szCs w:val="24"/>
        </w:rPr>
        <w:t>S</w:t>
      </w:r>
      <w:r w:rsidR="00BB13E3" w:rsidRPr="007C61D2">
        <w:rPr>
          <w:rFonts w:ascii="Garamond" w:eastAsia="Times New Roman" w:hAnsi="Garamond" w:cs="Times New Roman"/>
          <w:sz w:val="24"/>
          <w:szCs w:val="24"/>
        </w:rPr>
        <w:t>ports, such as boxing</w:t>
      </w:r>
      <w:r w:rsidR="00016B00" w:rsidRPr="007C61D2">
        <w:rPr>
          <w:rFonts w:ascii="Garamond" w:eastAsia="Times New Roman" w:hAnsi="Garamond" w:cs="Times New Roman"/>
          <w:sz w:val="24"/>
          <w:szCs w:val="24"/>
        </w:rPr>
        <w:t>, judo</w:t>
      </w:r>
      <w:r w:rsidR="00186E1C" w:rsidRPr="007C61D2">
        <w:rPr>
          <w:rFonts w:ascii="Garamond" w:eastAsia="Times New Roman" w:hAnsi="Garamond" w:cs="Times New Roman"/>
          <w:sz w:val="24"/>
          <w:szCs w:val="24"/>
        </w:rPr>
        <w:t>,</w:t>
      </w:r>
      <w:r w:rsidR="00BB13E3" w:rsidRPr="007C61D2">
        <w:rPr>
          <w:rFonts w:ascii="Garamond" w:eastAsia="Times New Roman" w:hAnsi="Garamond" w:cs="Times New Roman"/>
          <w:sz w:val="24"/>
          <w:szCs w:val="24"/>
        </w:rPr>
        <w:t xml:space="preserve"> and wrestling, and the Paralympic</w:t>
      </w:r>
      <w:r w:rsidR="00E42A69">
        <w:rPr>
          <w:rFonts w:ascii="Garamond" w:eastAsia="Times New Roman" w:hAnsi="Garamond" w:cs="Times New Roman"/>
          <w:sz w:val="24"/>
          <w:szCs w:val="24"/>
        </w:rPr>
        <w:t xml:space="preserve"> Games</w:t>
      </w:r>
      <w:r w:rsidR="00186E1C" w:rsidRPr="007C61D2">
        <w:rPr>
          <w:rFonts w:ascii="Garamond" w:eastAsia="Times New Roman" w:hAnsi="Garamond" w:cs="Times New Roman"/>
          <w:sz w:val="24"/>
          <w:szCs w:val="24"/>
        </w:rPr>
        <w:t>,</w:t>
      </w:r>
      <w:r w:rsidR="00BB13E3" w:rsidRPr="007C61D2">
        <w:rPr>
          <w:rFonts w:ascii="Garamond" w:eastAsia="Times New Roman" w:hAnsi="Garamond" w:cs="Times New Roman"/>
          <w:sz w:val="24"/>
          <w:szCs w:val="24"/>
        </w:rPr>
        <w:t xml:space="preserve"> use sex/ gender as a</w:t>
      </w:r>
      <w:r w:rsidR="00186E1C" w:rsidRPr="007C61D2">
        <w:rPr>
          <w:rFonts w:ascii="Garamond" w:eastAsia="Times New Roman" w:hAnsi="Garamond" w:cs="Times New Roman"/>
          <w:sz w:val="24"/>
          <w:szCs w:val="24"/>
        </w:rPr>
        <w:t>n allocation device</w:t>
      </w:r>
      <w:r w:rsidR="00B42A01" w:rsidRPr="007C61D2">
        <w:rPr>
          <w:rFonts w:ascii="Garamond" w:eastAsia="Times New Roman" w:hAnsi="Garamond" w:cs="Times New Roman"/>
          <w:sz w:val="24"/>
          <w:szCs w:val="24"/>
        </w:rPr>
        <w:t xml:space="preserve">; but </w:t>
      </w:r>
      <w:r w:rsidR="00BB13E3" w:rsidRPr="007C61D2">
        <w:rPr>
          <w:rFonts w:ascii="Garamond" w:eastAsia="Times New Roman" w:hAnsi="Garamond" w:cs="Times New Roman"/>
          <w:sz w:val="24"/>
          <w:szCs w:val="24"/>
        </w:rPr>
        <w:t xml:space="preserve">they also </w:t>
      </w:r>
      <w:r w:rsidR="00016B00" w:rsidRPr="007C61D2">
        <w:rPr>
          <w:rFonts w:ascii="Garamond" w:eastAsia="Times New Roman" w:hAnsi="Garamond" w:cs="Times New Roman"/>
          <w:sz w:val="24"/>
          <w:szCs w:val="24"/>
        </w:rPr>
        <w:t>use other criteria</w:t>
      </w:r>
      <w:r w:rsidR="00EB65D8">
        <w:rPr>
          <w:rFonts w:ascii="Garamond" w:eastAsia="Times New Roman" w:hAnsi="Garamond" w:cs="Times New Roman"/>
          <w:sz w:val="24"/>
          <w:szCs w:val="24"/>
        </w:rPr>
        <w:t>, such as body weight,</w:t>
      </w:r>
      <w:r w:rsidR="00016B00" w:rsidRPr="007C61D2">
        <w:rPr>
          <w:rFonts w:ascii="Garamond" w:eastAsia="Times New Roman" w:hAnsi="Garamond" w:cs="Times New Roman"/>
          <w:sz w:val="24"/>
          <w:szCs w:val="24"/>
        </w:rPr>
        <w:t xml:space="preserve"> </w:t>
      </w:r>
      <w:r w:rsidR="00EB65D8">
        <w:rPr>
          <w:rFonts w:ascii="Garamond" w:eastAsia="Times New Roman" w:hAnsi="Garamond" w:cs="Times New Roman"/>
          <w:sz w:val="24"/>
          <w:szCs w:val="24"/>
        </w:rPr>
        <w:t xml:space="preserve">to determine </w:t>
      </w:r>
      <w:r w:rsidR="00BB13E3" w:rsidRPr="007C61D2">
        <w:rPr>
          <w:rFonts w:ascii="Garamond" w:eastAsia="Times New Roman" w:hAnsi="Garamond" w:cs="Times New Roman"/>
          <w:sz w:val="24"/>
          <w:szCs w:val="24"/>
        </w:rPr>
        <w:t>“fair” or “meaningful” competition</w:t>
      </w:r>
      <w:r w:rsidR="00016B00" w:rsidRPr="007C61D2">
        <w:rPr>
          <w:rFonts w:ascii="Garamond" w:eastAsia="Times New Roman" w:hAnsi="Garamond" w:cs="Times New Roman"/>
          <w:sz w:val="24"/>
          <w:szCs w:val="24"/>
        </w:rPr>
        <w:t>.</w:t>
      </w:r>
      <w:r w:rsidR="00901D0A">
        <w:rPr>
          <w:rStyle w:val="FootnoteReference"/>
          <w:rFonts w:ascii="Garamond" w:eastAsia="Times New Roman" w:hAnsi="Garamond" w:cs="Times New Roman"/>
          <w:sz w:val="24"/>
          <w:szCs w:val="24"/>
        </w:rPr>
        <w:footnoteReference w:id="45"/>
      </w:r>
      <w:r w:rsidR="00016B00" w:rsidRPr="007C61D2">
        <w:rPr>
          <w:rFonts w:ascii="Garamond" w:eastAsia="Times New Roman" w:hAnsi="Garamond" w:cs="Times New Roman"/>
          <w:sz w:val="24"/>
          <w:szCs w:val="24"/>
        </w:rPr>
        <w:t xml:space="preserve"> </w:t>
      </w:r>
      <w:r w:rsidR="00EB65D8">
        <w:rPr>
          <w:rFonts w:ascii="Garamond" w:eastAsia="Times New Roman" w:hAnsi="Garamond" w:cs="Times New Roman"/>
          <w:sz w:val="24"/>
          <w:szCs w:val="24"/>
        </w:rPr>
        <w:t>Such</w:t>
      </w:r>
      <w:r w:rsidR="00EB65D8" w:rsidRPr="007C61D2">
        <w:rPr>
          <w:rFonts w:ascii="Garamond" w:eastAsia="Times New Roman" w:hAnsi="Garamond" w:cs="Times New Roman"/>
          <w:sz w:val="24"/>
          <w:szCs w:val="24"/>
        </w:rPr>
        <w:t xml:space="preserve"> </w:t>
      </w:r>
      <w:r w:rsidR="003F6B1D" w:rsidRPr="007C61D2">
        <w:rPr>
          <w:rFonts w:ascii="Garamond" w:eastAsia="Times New Roman" w:hAnsi="Garamond" w:cs="Times New Roman"/>
          <w:sz w:val="24"/>
          <w:szCs w:val="24"/>
        </w:rPr>
        <w:t xml:space="preserve">criteria </w:t>
      </w:r>
      <w:r w:rsidR="00B42A01" w:rsidRPr="007C61D2">
        <w:rPr>
          <w:rFonts w:ascii="Garamond" w:eastAsia="Times New Roman" w:hAnsi="Garamond" w:cs="Times New Roman"/>
          <w:sz w:val="24"/>
          <w:szCs w:val="24"/>
        </w:rPr>
        <w:t>are not fixed or uncontentious</w:t>
      </w:r>
      <w:r w:rsidR="00901D0A">
        <w:rPr>
          <w:rFonts w:ascii="Garamond" w:eastAsia="Times New Roman" w:hAnsi="Garamond" w:cs="Times New Roman"/>
          <w:sz w:val="24"/>
          <w:szCs w:val="24"/>
        </w:rPr>
        <w:t xml:space="preserve">; </w:t>
      </w:r>
      <w:r w:rsidR="00016B00" w:rsidRPr="007C61D2">
        <w:rPr>
          <w:rFonts w:ascii="Garamond" w:eastAsia="Times New Roman" w:hAnsi="Garamond" w:cs="Times New Roman"/>
          <w:sz w:val="24"/>
          <w:szCs w:val="24"/>
        </w:rPr>
        <w:t>Paralympic</w:t>
      </w:r>
      <w:r w:rsidR="00E42A69">
        <w:rPr>
          <w:rFonts w:ascii="Garamond" w:eastAsia="Times New Roman" w:hAnsi="Garamond" w:cs="Times New Roman"/>
          <w:sz w:val="24"/>
          <w:szCs w:val="24"/>
        </w:rPr>
        <w:t xml:space="preserve"> sports</w:t>
      </w:r>
      <w:r w:rsidR="00016B00" w:rsidRPr="007C61D2">
        <w:rPr>
          <w:rFonts w:ascii="Garamond" w:eastAsia="Times New Roman" w:hAnsi="Garamond" w:cs="Times New Roman"/>
          <w:sz w:val="24"/>
          <w:szCs w:val="24"/>
        </w:rPr>
        <w:t xml:space="preserve">, particularly, demonstrate some of the contestations and constant adjustments that complex systems </w:t>
      </w:r>
      <w:r w:rsidR="00186E1C" w:rsidRPr="007C61D2">
        <w:rPr>
          <w:rFonts w:ascii="Garamond" w:eastAsia="Times New Roman" w:hAnsi="Garamond" w:cs="Times New Roman"/>
          <w:sz w:val="24"/>
          <w:szCs w:val="24"/>
        </w:rPr>
        <w:t xml:space="preserve">entail </w:t>
      </w:r>
      <w:r w:rsidR="003F6B1D" w:rsidRPr="007C61D2">
        <w:rPr>
          <w:rFonts w:ascii="Garamond" w:eastAsia="Times New Roman" w:hAnsi="Garamond" w:cs="Times New Roman"/>
          <w:sz w:val="24"/>
          <w:szCs w:val="24"/>
        </w:rPr>
        <w:t>as</w:t>
      </w:r>
      <w:r w:rsidR="00186E1C" w:rsidRPr="007C61D2">
        <w:rPr>
          <w:rFonts w:ascii="Garamond" w:eastAsia="Times New Roman" w:hAnsi="Garamond" w:cs="Times New Roman"/>
          <w:sz w:val="24"/>
          <w:szCs w:val="24"/>
        </w:rPr>
        <w:t xml:space="preserve"> they </w:t>
      </w:r>
      <w:r w:rsidR="00016B00" w:rsidRPr="007C61D2">
        <w:rPr>
          <w:rFonts w:ascii="Garamond" w:eastAsia="Times New Roman" w:hAnsi="Garamond" w:cs="Times New Roman"/>
          <w:sz w:val="24"/>
          <w:szCs w:val="24"/>
        </w:rPr>
        <w:t>assess different kinds of strength and capacity.</w:t>
      </w:r>
      <w:r w:rsidR="00901D0A">
        <w:rPr>
          <w:rStyle w:val="FootnoteReference"/>
          <w:rFonts w:ascii="Garamond" w:eastAsia="Times New Roman" w:hAnsi="Garamond" w:cs="Times New Roman"/>
          <w:sz w:val="24"/>
          <w:szCs w:val="24"/>
        </w:rPr>
        <w:footnoteReference w:id="46"/>
      </w:r>
      <w:r w:rsidR="00BB13E3" w:rsidRPr="007C61D2">
        <w:rPr>
          <w:rFonts w:ascii="Garamond" w:eastAsia="Times New Roman" w:hAnsi="Garamond" w:cs="Times New Roman"/>
          <w:sz w:val="24"/>
          <w:szCs w:val="24"/>
        </w:rPr>
        <w:t xml:space="preserve"> </w:t>
      </w:r>
    </w:p>
    <w:p w14:paraId="1C48A1C5" w14:textId="1A9D683C" w:rsidR="00C629BE" w:rsidRPr="007C61D2" w:rsidRDefault="00443B27"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Revisiting the question of a “fairer” match</w:t>
      </w:r>
      <w:r w:rsidR="003C3D68"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rather than assuming it aligns with sex, </w:t>
      </w:r>
      <w:r w:rsidR="00725C19" w:rsidRPr="007C61D2">
        <w:rPr>
          <w:rFonts w:ascii="Garamond" w:eastAsia="Times New Roman" w:hAnsi="Garamond" w:cs="Times New Roman"/>
          <w:sz w:val="24"/>
          <w:szCs w:val="24"/>
        </w:rPr>
        <w:t xml:space="preserve">also </w:t>
      </w:r>
      <w:r w:rsidRPr="007C61D2">
        <w:rPr>
          <w:rFonts w:ascii="Garamond" w:eastAsia="Times New Roman" w:hAnsi="Garamond" w:cs="Times New Roman"/>
          <w:sz w:val="24"/>
          <w:szCs w:val="24"/>
        </w:rPr>
        <w:t>opens larger</w:t>
      </w:r>
      <w:r w:rsidR="00725C19" w:rsidRPr="007C61D2">
        <w:rPr>
          <w:rFonts w:ascii="Garamond" w:eastAsia="Times New Roman" w:hAnsi="Garamond" w:cs="Times New Roman"/>
          <w:sz w:val="24"/>
          <w:szCs w:val="24"/>
        </w:rPr>
        <w:t>, more fundamental</w:t>
      </w:r>
      <w:r w:rsidRPr="007C61D2">
        <w:rPr>
          <w:rFonts w:ascii="Garamond" w:eastAsia="Times New Roman" w:hAnsi="Garamond" w:cs="Times New Roman"/>
          <w:sz w:val="24"/>
          <w:szCs w:val="24"/>
        </w:rPr>
        <w:t xml:space="preserve"> questions about the purpose of elite sports and </w:t>
      </w:r>
      <w:r w:rsidR="00384D49" w:rsidRPr="007C61D2">
        <w:rPr>
          <w:rFonts w:ascii="Garamond" w:eastAsia="Times New Roman" w:hAnsi="Garamond" w:cs="Times New Roman"/>
          <w:sz w:val="24"/>
          <w:szCs w:val="24"/>
        </w:rPr>
        <w:t xml:space="preserve">athletic </w:t>
      </w:r>
      <w:r w:rsidRPr="007C61D2">
        <w:rPr>
          <w:rFonts w:ascii="Garamond" w:eastAsia="Times New Roman" w:hAnsi="Garamond" w:cs="Times New Roman"/>
          <w:sz w:val="24"/>
          <w:szCs w:val="24"/>
        </w:rPr>
        <w:t>competition</w:t>
      </w:r>
      <w:r w:rsidR="00384D49" w:rsidRPr="007C61D2">
        <w:rPr>
          <w:rFonts w:ascii="Garamond" w:eastAsia="Times New Roman" w:hAnsi="Garamond" w:cs="Times New Roman"/>
          <w:sz w:val="24"/>
          <w:szCs w:val="24"/>
        </w:rPr>
        <w:t>, along with the geopolitical and economic inequalities that skew success</w:t>
      </w:r>
      <w:r w:rsidR="003F6B1D" w:rsidRPr="007C61D2">
        <w:rPr>
          <w:rFonts w:ascii="Garamond" w:eastAsia="Times New Roman" w:hAnsi="Garamond" w:cs="Times New Roman"/>
          <w:sz w:val="24"/>
          <w:szCs w:val="24"/>
        </w:rPr>
        <w:t xml:space="preserve"> (by shaping, for instance, access and time with elite training facilities and equipment)</w:t>
      </w:r>
      <w:r w:rsidRPr="007C61D2">
        <w:rPr>
          <w:rFonts w:ascii="Garamond" w:eastAsia="Times New Roman" w:hAnsi="Garamond" w:cs="Times New Roman"/>
          <w:sz w:val="24"/>
          <w:szCs w:val="24"/>
        </w:rPr>
        <w:t xml:space="preserve">. </w:t>
      </w:r>
      <w:r w:rsidR="003F6B1D" w:rsidRPr="007C61D2">
        <w:rPr>
          <w:rFonts w:ascii="Garamond" w:eastAsia="Times New Roman" w:hAnsi="Garamond" w:cs="Times New Roman"/>
          <w:sz w:val="24"/>
          <w:szCs w:val="24"/>
        </w:rPr>
        <w:t>P</w:t>
      </w:r>
      <w:r w:rsidRPr="007C61D2">
        <w:rPr>
          <w:rFonts w:ascii="Garamond" w:eastAsia="Times New Roman" w:hAnsi="Garamond" w:cs="Times New Roman"/>
          <w:sz w:val="24"/>
          <w:szCs w:val="24"/>
        </w:rPr>
        <w:t xml:space="preserve">urpose </w:t>
      </w:r>
      <w:r w:rsidR="00E77673" w:rsidRPr="007C61D2">
        <w:rPr>
          <w:rFonts w:ascii="Garamond" w:eastAsia="Times New Roman" w:hAnsi="Garamond" w:cs="Times New Roman"/>
          <w:sz w:val="24"/>
          <w:szCs w:val="24"/>
        </w:rPr>
        <w:t xml:space="preserve">and the opportunity to think about material practices in other terms </w:t>
      </w:r>
      <w:r w:rsidR="00384D49" w:rsidRPr="007C61D2">
        <w:rPr>
          <w:rFonts w:ascii="Garamond" w:eastAsia="Times New Roman" w:hAnsi="Garamond" w:cs="Times New Roman"/>
          <w:sz w:val="24"/>
          <w:szCs w:val="24"/>
        </w:rPr>
        <w:t xml:space="preserve">also </w:t>
      </w:r>
      <w:r w:rsidR="003C3D68" w:rsidRPr="007C61D2">
        <w:rPr>
          <w:rFonts w:ascii="Garamond" w:eastAsia="Times New Roman" w:hAnsi="Garamond" w:cs="Times New Roman"/>
          <w:sz w:val="24"/>
          <w:szCs w:val="24"/>
        </w:rPr>
        <w:t xml:space="preserve">arise in </w:t>
      </w:r>
      <w:r w:rsidR="003F6B1D" w:rsidRPr="007C61D2">
        <w:rPr>
          <w:rFonts w:ascii="Garamond" w:eastAsia="Times New Roman" w:hAnsi="Garamond" w:cs="Times New Roman"/>
          <w:sz w:val="24"/>
          <w:szCs w:val="24"/>
        </w:rPr>
        <w:t xml:space="preserve">the different context of </w:t>
      </w:r>
      <w:r w:rsidR="00B26B73" w:rsidRPr="007C61D2">
        <w:rPr>
          <w:rFonts w:ascii="Garamond" w:eastAsia="Times New Roman" w:hAnsi="Garamond" w:cs="Times New Roman"/>
          <w:sz w:val="24"/>
          <w:szCs w:val="24"/>
        </w:rPr>
        <w:t xml:space="preserve">surveys </w:t>
      </w:r>
      <w:r w:rsidR="00FF10F3" w:rsidRPr="007C61D2">
        <w:rPr>
          <w:rFonts w:ascii="Garamond" w:eastAsia="Times New Roman" w:hAnsi="Garamond" w:cs="Times New Roman"/>
          <w:sz w:val="24"/>
          <w:szCs w:val="24"/>
        </w:rPr>
        <w:t xml:space="preserve">and </w:t>
      </w:r>
      <w:r w:rsidR="00B26B73" w:rsidRPr="007C61D2">
        <w:rPr>
          <w:rFonts w:ascii="Garamond" w:eastAsia="Times New Roman" w:hAnsi="Garamond" w:cs="Times New Roman"/>
          <w:sz w:val="24"/>
          <w:szCs w:val="24"/>
        </w:rPr>
        <w:t>data-</w:t>
      </w:r>
      <w:r w:rsidR="00E77673" w:rsidRPr="007C61D2">
        <w:rPr>
          <w:rFonts w:ascii="Garamond" w:eastAsia="Times New Roman" w:hAnsi="Garamond" w:cs="Times New Roman"/>
          <w:sz w:val="24"/>
          <w:szCs w:val="24"/>
        </w:rPr>
        <w:t>gathering</w:t>
      </w:r>
      <w:r w:rsidR="00B26B73" w:rsidRPr="007C61D2">
        <w:rPr>
          <w:rFonts w:ascii="Garamond" w:eastAsia="Times New Roman" w:hAnsi="Garamond" w:cs="Times New Roman"/>
          <w:sz w:val="24"/>
          <w:szCs w:val="24"/>
        </w:rPr>
        <w:t xml:space="preserve">. </w:t>
      </w:r>
      <w:r w:rsidR="00924050" w:rsidRPr="007C61D2">
        <w:rPr>
          <w:rFonts w:ascii="Garamond" w:eastAsia="Times New Roman" w:hAnsi="Garamond" w:cs="Times New Roman"/>
          <w:sz w:val="24"/>
          <w:szCs w:val="24"/>
        </w:rPr>
        <w:t>S</w:t>
      </w:r>
      <w:r w:rsidR="00B26B73" w:rsidRPr="007C61D2">
        <w:rPr>
          <w:rFonts w:ascii="Garamond" w:eastAsia="Times New Roman" w:hAnsi="Garamond" w:cs="Times New Roman"/>
          <w:sz w:val="24"/>
          <w:szCs w:val="24"/>
        </w:rPr>
        <w:t>ex</w:t>
      </w:r>
      <w:r w:rsidR="00924050" w:rsidRPr="007C61D2">
        <w:rPr>
          <w:rFonts w:ascii="Garamond" w:eastAsia="Times New Roman" w:hAnsi="Garamond" w:cs="Times New Roman"/>
          <w:sz w:val="24"/>
          <w:szCs w:val="24"/>
        </w:rPr>
        <w:t xml:space="preserve"> and</w:t>
      </w:r>
      <w:r w:rsidR="00B26B73" w:rsidRPr="007C61D2">
        <w:rPr>
          <w:rFonts w:ascii="Garamond" w:eastAsia="Times New Roman" w:hAnsi="Garamond" w:cs="Times New Roman"/>
          <w:sz w:val="24"/>
          <w:szCs w:val="24"/>
        </w:rPr>
        <w:t xml:space="preserve"> gender </w:t>
      </w:r>
      <w:r w:rsidR="00924050" w:rsidRPr="007C61D2">
        <w:rPr>
          <w:rFonts w:ascii="Garamond" w:eastAsia="Times New Roman" w:hAnsi="Garamond" w:cs="Times New Roman"/>
          <w:sz w:val="24"/>
          <w:szCs w:val="24"/>
        </w:rPr>
        <w:t xml:space="preserve">are </w:t>
      </w:r>
      <w:r w:rsidR="00B26B73" w:rsidRPr="007C61D2">
        <w:rPr>
          <w:rFonts w:ascii="Garamond" w:eastAsia="Times New Roman" w:hAnsi="Garamond" w:cs="Times New Roman"/>
          <w:sz w:val="24"/>
          <w:szCs w:val="24"/>
        </w:rPr>
        <w:t>routinely asked</w:t>
      </w:r>
      <w:r w:rsidR="00924050" w:rsidRPr="007C61D2">
        <w:rPr>
          <w:rFonts w:ascii="Garamond" w:eastAsia="Times New Roman" w:hAnsi="Garamond" w:cs="Times New Roman"/>
          <w:sz w:val="24"/>
          <w:szCs w:val="24"/>
        </w:rPr>
        <w:t xml:space="preserve"> for </w:t>
      </w:r>
      <w:r w:rsidR="00E77673" w:rsidRPr="007C61D2">
        <w:rPr>
          <w:rFonts w:ascii="Garamond" w:eastAsia="Times New Roman" w:hAnsi="Garamond" w:cs="Times New Roman"/>
          <w:sz w:val="24"/>
          <w:szCs w:val="24"/>
        </w:rPr>
        <w:t>on forms</w:t>
      </w:r>
      <w:r w:rsidR="00924050" w:rsidRPr="007C61D2">
        <w:rPr>
          <w:rFonts w:ascii="Garamond" w:eastAsia="Times New Roman" w:hAnsi="Garamond" w:cs="Times New Roman"/>
          <w:sz w:val="24"/>
          <w:szCs w:val="24"/>
        </w:rPr>
        <w:t xml:space="preserve"> (with tensions and debate about whether both</w:t>
      </w:r>
      <w:r w:rsidR="00254124">
        <w:rPr>
          <w:rFonts w:ascii="Garamond" w:eastAsia="Times New Roman" w:hAnsi="Garamond" w:cs="Times New Roman"/>
          <w:sz w:val="24"/>
          <w:szCs w:val="24"/>
        </w:rPr>
        <w:t>, neither</w:t>
      </w:r>
      <w:r w:rsidR="008515F6">
        <w:rPr>
          <w:rFonts w:ascii="Garamond" w:eastAsia="Times New Roman" w:hAnsi="Garamond" w:cs="Times New Roman"/>
          <w:sz w:val="24"/>
          <w:szCs w:val="24"/>
        </w:rPr>
        <w:t>,</w:t>
      </w:r>
      <w:r w:rsidR="00924050" w:rsidRPr="007C61D2">
        <w:rPr>
          <w:rFonts w:ascii="Garamond" w:eastAsia="Times New Roman" w:hAnsi="Garamond" w:cs="Times New Roman"/>
          <w:sz w:val="24"/>
          <w:szCs w:val="24"/>
        </w:rPr>
        <w:t xml:space="preserve"> or one term </w:t>
      </w:r>
      <w:r w:rsidR="008515F6">
        <w:rPr>
          <w:rFonts w:ascii="Garamond" w:eastAsia="Times New Roman" w:hAnsi="Garamond" w:cs="Times New Roman"/>
          <w:sz w:val="24"/>
          <w:szCs w:val="24"/>
        </w:rPr>
        <w:t xml:space="preserve">only </w:t>
      </w:r>
      <w:r w:rsidR="00924050" w:rsidRPr="007C61D2">
        <w:rPr>
          <w:rFonts w:ascii="Garamond" w:eastAsia="Times New Roman" w:hAnsi="Garamond" w:cs="Times New Roman"/>
          <w:sz w:val="24"/>
          <w:szCs w:val="24"/>
        </w:rPr>
        <w:t>should be used</w:t>
      </w:r>
      <w:r w:rsidR="00E5656A" w:rsidRPr="007C61D2">
        <w:rPr>
          <w:rFonts w:ascii="Garamond" w:eastAsia="Times New Roman" w:hAnsi="Garamond" w:cs="Times New Roman"/>
          <w:sz w:val="24"/>
          <w:szCs w:val="24"/>
        </w:rPr>
        <w:t>)</w:t>
      </w:r>
      <w:r w:rsidR="00924050" w:rsidRPr="007C61D2">
        <w:rPr>
          <w:rFonts w:ascii="Garamond" w:eastAsia="Times New Roman" w:hAnsi="Garamond" w:cs="Times New Roman"/>
          <w:sz w:val="24"/>
          <w:szCs w:val="24"/>
        </w:rPr>
        <w:t>.</w:t>
      </w:r>
      <w:r w:rsidR="00A7057C" w:rsidRPr="007C61D2">
        <w:rPr>
          <w:rStyle w:val="FootnoteReference"/>
          <w:rFonts w:ascii="Garamond" w:eastAsia="Times New Roman" w:hAnsi="Garamond" w:cs="Times New Roman"/>
          <w:sz w:val="24"/>
          <w:szCs w:val="24"/>
        </w:rPr>
        <w:footnoteReference w:id="47"/>
      </w:r>
      <w:r w:rsidR="00924050" w:rsidRPr="007C61D2">
        <w:rPr>
          <w:rFonts w:ascii="Garamond" w:eastAsia="Times New Roman" w:hAnsi="Garamond" w:cs="Times New Roman"/>
          <w:sz w:val="24"/>
          <w:szCs w:val="24"/>
        </w:rPr>
        <w:t xml:space="preserve"> </w:t>
      </w:r>
      <w:r w:rsidR="00384D49" w:rsidRPr="007C61D2">
        <w:rPr>
          <w:rFonts w:ascii="Garamond" w:eastAsia="Times New Roman" w:hAnsi="Garamond" w:cs="Times New Roman"/>
          <w:sz w:val="24"/>
          <w:szCs w:val="24"/>
        </w:rPr>
        <w:t xml:space="preserve">But what these terms </w:t>
      </w:r>
      <w:r w:rsidR="00AE724A">
        <w:rPr>
          <w:rFonts w:ascii="Garamond" w:eastAsia="Times New Roman" w:hAnsi="Garamond" w:cs="Times New Roman"/>
          <w:sz w:val="24"/>
          <w:szCs w:val="24"/>
        </w:rPr>
        <w:t xml:space="preserve">do in fact </w:t>
      </w:r>
      <w:r w:rsidR="00384D49" w:rsidRPr="007C61D2">
        <w:rPr>
          <w:rFonts w:ascii="Garamond" w:eastAsia="Times New Roman" w:hAnsi="Garamond" w:cs="Times New Roman"/>
          <w:sz w:val="24"/>
          <w:szCs w:val="24"/>
        </w:rPr>
        <w:t xml:space="preserve">reveal remains opaque. </w:t>
      </w:r>
      <w:r w:rsidR="00E77673" w:rsidRPr="007C61D2">
        <w:rPr>
          <w:rFonts w:ascii="Garamond" w:eastAsia="Times New Roman" w:hAnsi="Garamond" w:cs="Times New Roman"/>
          <w:sz w:val="24"/>
          <w:szCs w:val="24"/>
        </w:rPr>
        <w:t xml:space="preserve">A </w:t>
      </w:r>
      <w:r w:rsidR="00725C19" w:rsidRPr="007C61D2">
        <w:rPr>
          <w:rFonts w:ascii="Garamond" w:eastAsia="Times New Roman" w:hAnsi="Garamond" w:cs="Times New Roman"/>
          <w:sz w:val="24"/>
          <w:szCs w:val="24"/>
        </w:rPr>
        <w:t xml:space="preserve">purposive, </w:t>
      </w:r>
      <w:r w:rsidR="00E77673" w:rsidRPr="007C61D2">
        <w:rPr>
          <w:rFonts w:ascii="Garamond" w:eastAsia="Times New Roman" w:hAnsi="Garamond" w:cs="Times New Roman"/>
          <w:sz w:val="24"/>
          <w:szCs w:val="24"/>
        </w:rPr>
        <w:t xml:space="preserve">more </w:t>
      </w:r>
      <w:r w:rsidR="006B3506" w:rsidRPr="007C61D2">
        <w:rPr>
          <w:rFonts w:ascii="Garamond" w:eastAsia="Times New Roman" w:hAnsi="Garamond" w:cs="Times New Roman"/>
          <w:sz w:val="24"/>
          <w:szCs w:val="24"/>
        </w:rPr>
        <w:t>granular</w:t>
      </w:r>
      <w:r w:rsidR="00725C19" w:rsidRPr="007C61D2">
        <w:rPr>
          <w:rFonts w:ascii="Garamond" w:eastAsia="Times New Roman" w:hAnsi="Garamond" w:cs="Times New Roman"/>
          <w:sz w:val="24"/>
          <w:szCs w:val="24"/>
        </w:rPr>
        <w:t>,</w:t>
      </w:r>
      <w:r w:rsidR="00B26B73" w:rsidRPr="007C61D2">
        <w:rPr>
          <w:rFonts w:ascii="Garamond" w:eastAsia="Times New Roman" w:hAnsi="Garamond" w:cs="Times New Roman"/>
          <w:sz w:val="24"/>
          <w:szCs w:val="24"/>
        </w:rPr>
        <w:t xml:space="preserve"> approach</w:t>
      </w:r>
      <w:r w:rsidR="00384D49" w:rsidRPr="007C61D2">
        <w:rPr>
          <w:rFonts w:ascii="Garamond" w:eastAsia="Times New Roman" w:hAnsi="Garamond" w:cs="Times New Roman"/>
          <w:sz w:val="24"/>
          <w:szCs w:val="24"/>
        </w:rPr>
        <w:t>, by contrast,</w:t>
      </w:r>
      <w:r w:rsidR="00E77673" w:rsidRPr="007C61D2">
        <w:rPr>
          <w:rFonts w:ascii="Garamond" w:eastAsia="Times New Roman" w:hAnsi="Garamond" w:cs="Times New Roman"/>
          <w:sz w:val="24"/>
          <w:szCs w:val="24"/>
        </w:rPr>
        <w:t xml:space="preserve"> </w:t>
      </w:r>
      <w:r w:rsidR="00725C19" w:rsidRPr="007C61D2">
        <w:rPr>
          <w:rFonts w:ascii="Garamond" w:eastAsia="Times New Roman" w:hAnsi="Garamond" w:cs="Times New Roman"/>
          <w:sz w:val="24"/>
          <w:szCs w:val="24"/>
        </w:rPr>
        <w:t xml:space="preserve">focuses </w:t>
      </w:r>
      <w:r w:rsidR="00E77673" w:rsidRPr="007C61D2">
        <w:rPr>
          <w:rFonts w:ascii="Garamond" w:eastAsia="Times New Roman" w:hAnsi="Garamond" w:cs="Times New Roman"/>
          <w:sz w:val="24"/>
          <w:szCs w:val="24"/>
        </w:rPr>
        <w:t xml:space="preserve">on </w:t>
      </w:r>
      <w:r w:rsidR="00B26B73" w:rsidRPr="007C61D2">
        <w:rPr>
          <w:rFonts w:ascii="Garamond" w:eastAsia="Times New Roman" w:hAnsi="Garamond" w:cs="Times New Roman"/>
          <w:sz w:val="24"/>
          <w:szCs w:val="24"/>
        </w:rPr>
        <w:t xml:space="preserve">what </w:t>
      </w:r>
      <w:r w:rsidR="00E77673" w:rsidRPr="007C61D2">
        <w:rPr>
          <w:rFonts w:ascii="Garamond" w:eastAsia="Times New Roman" w:hAnsi="Garamond" w:cs="Times New Roman"/>
          <w:sz w:val="24"/>
          <w:szCs w:val="24"/>
        </w:rPr>
        <w:t xml:space="preserve">it is that </w:t>
      </w:r>
      <w:r w:rsidR="00B26B73" w:rsidRPr="007C61D2">
        <w:rPr>
          <w:rFonts w:ascii="Garamond" w:eastAsia="Times New Roman" w:hAnsi="Garamond" w:cs="Times New Roman"/>
          <w:sz w:val="24"/>
          <w:szCs w:val="24"/>
        </w:rPr>
        <w:t>planners</w:t>
      </w:r>
      <w:r w:rsidR="00924050" w:rsidRPr="007C61D2">
        <w:rPr>
          <w:rFonts w:ascii="Garamond" w:eastAsia="Times New Roman" w:hAnsi="Garamond" w:cs="Times New Roman"/>
          <w:sz w:val="24"/>
          <w:szCs w:val="24"/>
        </w:rPr>
        <w:t>,</w:t>
      </w:r>
      <w:r w:rsidR="00B26B73" w:rsidRPr="007C61D2">
        <w:rPr>
          <w:rFonts w:ascii="Garamond" w:eastAsia="Times New Roman" w:hAnsi="Garamond" w:cs="Times New Roman"/>
          <w:sz w:val="24"/>
          <w:szCs w:val="24"/>
        </w:rPr>
        <w:t xml:space="preserve"> researchers</w:t>
      </w:r>
      <w:r w:rsidR="00924050" w:rsidRPr="007C61D2">
        <w:rPr>
          <w:rFonts w:ascii="Garamond" w:eastAsia="Times New Roman" w:hAnsi="Garamond" w:cs="Times New Roman"/>
          <w:sz w:val="24"/>
          <w:szCs w:val="24"/>
        </w:rPr>
        <w:t>, employers</w:t>
      </w:r>
      <w:r w:rsidR="00E5656A" w:rsidRPr="007C61D2">
        <w:rPr>
          <w:rFonts w:ascii="Garamond" w:eastAsia="Times New Roman" w:hAnsi="Garamond" w:cs="Times New Roman"/>
          <w:sz w:val="24"/>
          <w:szCs w:val="24"/>
        </w:rPr>
        <w:t>,</w:t>
      </w:r>
      <w:r w:rsidR="00924050" w:rsidRPr="007C61D2">
        <w:rPr>
          <w:rFonts w:ascii="Garamond" w:eastAsia="Times New Roman" w:hAnsi="Garamond" w:cs="Times New Roman"/>
          <w:sz w:val="24"/>
          <w:szCs w:val="24"/>
        </w:rPr>
        <w:t xml:space="preserve"> or service providers</w:t>
      </w:r>
      <w:r w:rsidR="00B26B73" w:rsidRPr="007C61D2">
        <w:rPr>
          <w:rFonts w:ascii="Garamond" w:eastAsia="Times New Roman" w:hAnsi="Garamond" w:cs="Times New Roman"/>
          <w:sz w:val="24"/>
          <w:szCs w:val="24"/>
        </w:rPr>
        <w:t xml:space="preserve"> are trying to</w:t>
      </w:r>
      <w:r w:rsidR="00FF10F3" w:rsidRPr="007C61D2">
        <w:rPr>
          <w:rFonts w:ascii="Garamond" w:eastAsia="Times New Roman" w:hAnsi="Garamond" w:cs="Times New Roman"/>
          <w:sz w:val="24"/>
          <w:szCs w:val="24"/>
        </w:rPr>
        <w:t xml:space="preserve"> discover</w:t>
      </w:r>
      <w:r w:rsidR="00B26B73" w:rsidRPr="007C61D2">
        <w:rPr>
          <w:rFonts w:ascii="Garamond" w:eastAsia="Times New Roman" w:hAnsi="Garamond" w:cs="Times New Roman"/>
          <w:sz w:val="24"/>
          <w:szCs w:val="24"/>
        </w:rPr>
        <w:t xml:space="preserve">. Is it about reproductive capacity, the relationship between </w:t>
      </w:r>
      <w:r w:rsidR="00FF10F3" w:rsidRPr="007C61D2">
        <w:rPr>
          <w:rFonts w:ascii="Garamond" w:eastAsia="Times New Roman" w:hAnsi="Garamond" w:cs="Times New Roman"/>
          <w:sz w:val="24"/>
          <w:szCs w:val="24"/>
        </w:rPr>
        <w:t xml:space="preserve">lived </w:t>
      </w:r>
      <w:r w:rsidR="00B26B73" w:rsidRPr="007C61D2">
        <w:rPr>
          <w:rFonts w:ascii="Garamond" w:eastAsia="Times New Roman" w:hAnsi="Garamond" w:cs="Times New Roman"/>
          <w:sz w:val="24"/>
          <w:szCs w:val="24"/>
        </w:rPr>
        <w:t>gender (which might include multiple genders)</w:t>
      </w:r>
      <w:r w:rsidR="00C763D5" w:rsidRPr="007C61D2">
        <w:rPr>
          <w:rFonts w:ascii="Garamond" w:eastAsia="Times New Roman" w:hAnsi="Garamond" w:cs="Times New Roman"/>
          <w:sz w:val="24"/>
          <w:szCs w:val="24"/>
        </w:rPr>
        <w:t xml:space="preserve"> and pay</w:t>
      </w:r>
      <w:r w:rsidR="00B26B73" w:rsidRPr="007C61D2">
        <w:rPr>
          <w:rFonts w:ascii="Garamond" w:eastAsia="Times New Roman" w:hAnsi="Garamond" w:cs="Times New Roman"/>
          <w:sz w:val="24"/>
          <w:szCs w:val="24"/>
        </w:rPr>
        <w:t xml:space="preserve">, </w:t>
      </w:r>
      <w:r w:rsidR="00725C19" w:rsidRPr="007C61D2">
        <w:rPr>
          <w:rFonts w:ascii="Garamond" w:eastAsia="Times New Roman" w:hAnsi="Garamond" w:cs="Times New Roman"/>
          <w:sz w:val="24"/>
          <w:szCs w:val="24"/>
        </w:rPr>
        <w:t xml:space="preserve">or </w:t>
      </w:r>
      <w:r w:rsidR="00B26B73" w:rsidRPr="007C61D2">
        <w:rPr>
          <w:rFonts w:ascii="Garamond" w:eastAsia="Times New Roman" w:hAnsi="Garamond" w:cs="Times New Roman"/>
          <w:sz w:val="24"/>
          <w:szCs w:val="24"/>
        </w:rPr>
        <w:t xml:space="preserve">the relationship of sexual </w:t>
      </w:r>
      <w:r w:rsidR="00384D49" w:rsidRPr="007C61D2">
        <w:rPr>
          <w:rFonts w:ascii="Garamond" w:eastAsia="Times New Roman" w:hAnsi="Garamond" w:cs="Times New Roman"/>
          <w:sz w:val="24"/>
          <w:szCs w:val="24"/>
        </w:rPr>
        <w:t xml:space="preserve">and racial </w:t>
      </w:r>
      <w:r w:rsidR="00B26B73" w:rsidRPr="007C61D2">
        <w:rPr>
          <w:rFonts w:ascii="Garamond" w:eastAsia="Times New Roman" w:hAnsi="Garamond" w:cs="Times New Roman"/>
          <w:sz w:val="24"/>
          <w:szCs w:val="24"/>
        </w:rPr>
        <w:t>violence</w:t>
      </w:r>
      <w:r w:rsidR="00384D49" w:rsidRPr="007C61D2">
        <w:rPr>
          <w:rFonts w:ascii="Garamond" w:eastAsia="Times New Roman" w:hAnsi="Garamond" w:cs="Times New Roman"/>
          <w:sz w:val="24"/>
          <w:szCs w:val="24"/>
        </w:rPr>
        <w:t>,</w:t>
      </w:r>
      <w:r w:rsidR="00B26B73" w:rsidRPr="007C61D2">
        <w:rPr>
          <w:rFonts w:ascii="Garamond" w:eastAsia="Times New Roman" w:hAnsi="Garamond" w:cs="Times New Roman"/>
          <w:sz w:val="24"/>
          <w:szCs w:val="24"/>
        </w:rPr>
        <w:t xml:space="preserve"> </w:t>
      </w:r>
      <w:r w:rsidR="0087735E" w:rsidRPr="007C61D2">
        <w:rPr>
          <w:rFonts w:ascii="Garamond" w:eastAsia="Times New Roman" w:hAnsi="Garamond" w:cs="Times New Roman"/>
          <w:sz w:val="24"/>
          <w:szCs w:val="24"/>
        </w:rPr>
        <w:t>care</w:t>
      </w:r>
      <w:r w:rsidR="00384D49" w:rsidRPr="007C61D2">
        <w:rPr>
          <w:rFonts w:ascii="Garamond" w:eastAsia="Times New Roman" w:hAnsi="Garamond" w:cs="Times New Roman"/>
          <w:sz w:val="24"/>
          <w:szCs w:val="24"/>
        </w:rPr>
        <w:t xml:space="preserve"> </w:t>
      </w:r>
      <w:r w:rsidR="0087735E" w:rsidRPr="007C61D2">
        <w:rPr>
          <w:rFonts w:ascii="Garamond" w:eastAsia="Times New Roman" w:hAnsi="Garamond" w:cs="Times New Roman"/>
          <w:sz w:val="24"/>
          <w:szCs w:val="24"/>
        </w:rPr>
        <w:t xml:space="preserve">work </w:t>
      </w:r>
      <w:r w:rsidR="00384D49" w:rsidRPr="007C61D2">
        <w:rPr>
          <w:rFonts w:ascii="Garamond" w:eastAsia="Times New Roman" w:hAnsi="Garamond" w:cs="Times New Roman"/>
          <w:sz w:val="24"/>
          <w:szCs w:val="24"/>
        </w:rPr>
        <w:t>and care work</w:t>
      </w:r>
      <w:r w:rsidR="00792AE6">
        <w:rPr>
          <w:rFonts w:ascii="Garamond" w:eastAsia="Times New Roman" w:hAnsi="Garamond" w:cs="Times New Roman"/>
          <w:sz w:val="24"/>
          <w:szCs w:val="24"/>
        </w:rPr>
        <w:t>’</w:t>
      </w:r>
      <w:r w:rsidR="00384D49" w:rsidRPr="007C61D2">
        <w:rPr>
          <w:rFonts w:ascii="Garamond" w:eastAsia="Times New Roman" w:hAnsi="Garamond" w:cs="Times New Roman"/>
          <w:sz w:val="24"/>
          <w:szCs w:val="24"/>
        </w:rPr>
        <w:t xml:space="preserve">s uptake </w:t>
      </w:r>
      <w:r w:rsidR="00B26B73" w:rsidRPr="007C61D2">
        <w:rPr>
          <w:rFonts w:ascii="Garamond" w:eastAsia="Times New Roman" w:hAnsi="Garamond" w:cs="Times New Roman"/>
          <w:sz w:val="24"/>
          <w:szCs w:val="24"/>
        </w:rPr>
        <w:t xml:space="preserve">to </w:t>
      </w:r>
      <w:r w:rsidR="003312FF" w:rsidRPr="007C61D2">
        <w:rPr>
          <w:rFonts w:ascii="Garamond" w:eastAsia="Times New Roman" w:hAnsi="Garamond" w:cs="Times New Roman"/>
          <w:sz w:val="24"/>
          <w:szCs w:val="24"/>
        </w:rPr>
        <w:t xml:space="preserve">gender roles, experiences, </w:t>
      </w:r>
      <w:r w:rsidR="008A4C23" w:rsidRPr="007C61D2">
        <w:rPr>
          <w:rFonts w:ascii="Garamond" w:eastAsia="Times New Roman" w:hAnsi="Garamond" w:cs="Times New Roman"/>
          <w:sz w:val="24"/>
          <w:szCs w:val="24"/>
        </w:rPr>
        <w:t xml:space="preserve">appearance, </w:t>
      </w:r>
      <w:r w:rsidR="00B26B73" w:rsidRPr="007C61D2">
        <w:rPr>
          <w:rFonts w:ascii="Garamond" w:eastAsia="Times New Roman" w:hAnsi="Garamond" w:cs="Times New Roman"/>
          <w:sz w:val="24"/>
          <w:szCs w:val="24"/>
        </w:rPr>
        <w:t>body form</w:t>
      </w:r>
      <w:r w:rsidR="00C629BE" w:rsidRPr="007C61D2">
        <w:rPr>
          <w:rFonts w:ascii="Garamond" w:eastAsia="Times New Roman" w:hAnsi="Garamond" w:cs="Times New Roman"/>
          <w:sz w:val="24"/>
          <w:szCs w:val="24"/>
        </w:rPr>
        <w:t>,</w:t>
      </w:r>
      <w:r w:rsidR="00B26B73" w:rsidRPr="007C61D2">
        <w:rPr>
          <w:rFonts w:ascii="Garamond" w:eastAsia="Times New Roman" w:hAnsi="Garamond" w:cs="Times New Roman"/>
          <w:sz w:val="24"/>
          <w:szCs w:val="24"/>
        </w:rPr>
        <w:t xml:space="preserve"> or something else</w:t>
      </w:r>
      <w:r w:rsidR="00FF10F3" w:rsidRPr="007C61D2">
        <w:rPr>
          <w:rFonts w:ascii="Garamond" w:eastAsia="Times New Roman" w:hAnsi="Garamond" w:cs="Times New Roman"/>
          <w:sz w:val="24"/>
          <w:szCs w:val="24"/>
        </w:rPr>
        <w:t>?</w:t>
      </w:r>
      <w:r w:rsidR="00B26B73" w:rsidRPr="007C61D2">
        <w:rPr>
          <w:rFonts w:ascii="Garamond" w:eastAsia="Times New Roman" w:hAnsi="Garamond" w:cs="Times New Roman"/>
          <w:sz w:val="24"/>
          <w:szCs w:val="24"/>
        </w:rPr>
        <w:t xml:space="preserve"> </w:t>
      </w:r>
      <w:r w:rsidR="008E3C6B" w:rsidRPr="007C61D2">
        <w:rPr>
          <w:rFonts w:ascii="Garamond" w:eastAsia="Times New Roman" w:hAnsi="Garamond" w:cs="Times New Roman"/>
          <w:sz w:val="24"/>
          <w:szCs w:val="24"/>
        </w:rPr>
        <w:t xml:space="preserve">Emphasising purpose and context </w:t>
      </w:r>
      <w:r w:rsidR="003F6B1D" w:rsidRPr="007C61D2">
        <w:rPr>
          <w:rFonts w:ascii="Garamond" w:eastAsia="Times New Roman" w:hAnsi="Garamond" w:cs="Times New Roman"/>
          <w:sz w:val="24"/>
          <w:szCs w:val="24"/>
        </w:rPr>
        <w:t xml:space="preserve">here </w:t>
      </w:r>
      <w:r w:rsidR="00940FEF" w:rsidRPr="007C61D2">
        <w:rPr>
          <w:rFonts w:ascii="Garamond" w:eastAsia="Times New Roman" w:hAnsi="Garamond" w:cs="Times New Roman"/>
          <w:sz w:val="24"/>
          <w:szCs w:val="24"/>
        </w:rPr>
        <w:t>make</w:t>
      </w:r>
      <w:r w:rsidR="00AE7F76" w:rsidRPr="007C61D2">
        <w:rPr>
          <w:rFonts w:ascii="Garamond" w:eastAsia="Times New Roman" w:hAnsi="Garamond" w:cs="Times New Roman"/>
          <w:sz w:val="24"/>
          <w:szCs w:val="24"/>
        </w:rPr>
        <w:t>s two feature</w:t>
      </w:r>
      <w:r w:rsidR="00725C19" w:rsidRPr="007C61D2">
        <w:rPr>
          <w:rFonts w:ascii="Garamond" w:eastAsia="Times New Roman" w:hAnsi="Garamond" w:cs="Times New Roman"/>
          <w:sz w:val="24"/>
          <w:szCs w:val="24"/>
        </w:rPr>
        <w:t>s</w:t>
      </w:r>
      <w:r w:rsidR="00AE7F76" w:rsidRPr="007C61D2">
        <w:rPr>
          <w:rFonts w:ascii="Garamond" w:eastAsia="Times New Roman" w:hAnsi="Garamond" w:cs="Times New Roman"/>
          <w:sz w:val="24"/>
          <w:szCs w:val="24"/>
        </w:rPr>
        <w:t xml:space="preserve"> that are</w:t>
      </w:r>
      <w:r w:rsidR="00940FEF" w:rsidRPr="007C61D2">
        <w:rPr>
          <w:rFonts w:ascii="Garamond" w:eastAsia="Times New Roman" w:hAnsi="Garamond" w:cs="Times New Roman"/>
          <w:sz w:val="24"/>
          <w:szCs w:val="24"/>
        </w:rPr>
        <w:t xml:space="preserve"> typically tacit</w:t>
      </w:r>
      <w:r w:rsidR="00AE7F76" w:rsidRPr="007C61D2">
        <w:rPr>
          <w:rFonts w:ascii="Garamond" w:eastAsia="Times New Roman" w:hAnsi="Garamond" w:cs="Times New Roman"/>
          <w:sz w:val="24"/>
          <w:szCs w:val="24"/>
        </w:rPr>
        <w:t xml:space="preserve"> explicit. First, </w:t>
      </w:r>
      <w:r w:rsidR="002E6253" w:rsidRPr="007C61D2">
        <w:rPr>
          <w:rFonts w:ascii="Garamond" w:eastAsia="Times New Roman" w:hAnsi="Garamond" w:cs="Times New Roman"/>
          <w:sz w:val="24"/>
          <w:szCs w:val="24"/>
        </w:rPr>
        <w:t xml:space="preserve">data does not simply </w:t>
      </w:r>
      <w:r w:rsidR="002E6253" w:rsidRPr="007C61D2">
        <w:rPr>
          <w:rFonts w:ascii="Garamond" w:eastAsia="Times New Roman" w:hAnsi="Garamond" w:cs="Times New Roman"/>
          <w:i/>
          <w:iCs/>
          <w:sz w:val="24"/>
          <w:szCs w:val="24"/>
        </w:rPr>
        <w:t>reflect</w:t>
      </w:r>
      <w:r w:rsidR="002E6253" w:rsidRPr="007C61D2">
        <w:rPr>
          <w:rFonts w:ascii="Garamond" w:eastAsia="Times New Roman" w:hAnsi="Garamond" w:cs="Times New Roman"/>
          <w:sz w:val="24"/>
          <w:szCs w:val="24"/>
        </w:rPr>
        <w:t xml:space="preserve"> </w:t>
      </w:r>
      <w:r w:rsidR="00AE7F76" w:rsidRPr="007C61D2">
        <w:rPr>
          <w:rFonts w:ascii="Garamond" w:eastAsia="Times New Roman" w:hAnsi="Garamond" w:cs="Times New Roman"/>
          <w:sz w:val="24"/>
          <w:szCs w:val="24"/>
        </w:rPr>
        <w:t xml:space="preserve">and represent </w:t>
      </w:r>
      <w:r w:rsidR="002104C5" w:rsidRPr="007C61D2">
        <w:rPr>
          <w:rFonts w:ascii="Garamond" w:eastAsia="Times New Roman" w:hAnsi="Garamond" w:cs="Times New Roman"/>
          <w:sz w:val="24"/>
          <w:szCs w:val="24"/>
        </w:rPr>
        <w:t xml:space="preserve">specific </w:t>
      </w:r>
      <w:r w:rsidR="002E6253" w:rsidRPr="007C61D2">
        <w:rPr>
          <w:rFonts w:ascii="Garamond" w:eastAsia="Times New Roman" w:hAnsi="Garamond" w:cs="Times New Roman"/>
          <w:sz w:val="24"/>
          <w:szCs w:val="24"/>
        </w:rPr>
        <w:t>concerns</w:t>
      </w:r>
      <w:r w:rsidR="001810FF" w:rsidRPr="007C61D2">
        <w:rPr>
          <w:rFonts w:ascii="Garamond" w:eastAsia="Times New Roman" w:hAnsi="Garamond" w:cs="Times New Roman"/>
          <w:sz w:val="24"/>
          <w:szCs w:val="24"/>
        </w:rPr>
        <w:t>, identities</w:t>
      </w:r>
      <w:r w:rsidR="00AE7F76" w:rsidRPr="007C61D2">
        <w:rPr>
          <w:rFonts w:ascii="Garamond" w:eastAsia="Times New Roman" w:hAnsi="Garamond" w:cs="Times New Roman"/>
          <w:sz w:val="24"/>
          <w:szCs w:val="24"/>
        </w:rPr>
        <w:t>,</w:t>
      </w:r>
      <w:r w:rsidR="002E6253" w:rsidRPr="007C61D2">
        <w:rPr>
          <w:rFonts w:ascii="Garamond" w:eastAsia="Times New Roman" w:hAnsi="Garamond" w:cs="Times New Roman"/>
          <w:sz w:val="24"/>
          <w:szCs w:val="24"/>
        </w:rPr>
        <w:t xml:space="preserve"> and interests</w:t>
      </w:r>
      <w:r w:rsidR="00AE7F76" w:rsidRPr="007C61D2">
        <w:rPr>
          <w:rFonts w:ascii="Garamond" w:eastAsia="Times New Roman" w:hAnsi="Garamond" w:cs="Times New Roman"/>
          <w:sz w:val="24"/>
          <w:szCs w:val="24"/>
        </w:rPr>
        <w:t>; it</w:t>
      </w:r>
      <w:r w:rsidR="002E6253" w:rsidRPr="007C61D2">
        <w:rPr>
          <w:rFonts w:ascii="Garamond" w:eastAsia="Times New Roman" w:hAnsi="Garamond" w:cs="Times New Roman"/>
          <w:sz w:val="24"/>
          <w:szCs w:val="24"/>
        </w:rPr>
        <w:t xml:space="preserve"> also helps to constitute them (see Squires 2008)</w:t>
      </w:r>
      <w:r w:rsidR="00940FEF" w:rsidRPr="007C61D2">
        <w:rPr>
          <w:rFonts w:ascii="Garamond" w:eastAsia="Times New Roman" w:hAnsi="Garamond" w:cs="Times New Roman"/>
          <w:sz w:val="24"/>
          <w:szCs w:val="24"/>
        </w:rPr>
        <w:t xml:space="preserve">. </w:t>
      </w:r>
      <w:r w:rsidR="00AE7F76" w:rsidRPr="007C61D2">
        <w:rPr>
          <w:rFonts w:ascii="Garamond" w:eastAsia="Times New Roman" w:hAnsi="Garamond" w:cs="Times New Roman"/>
          <w:sz w:val="24"/>
          <w:szCs w:val="24"/>
        </w:rPr>
        <w:t>Second, the production and use of data take place within and through a series of wider conversations that, as here, can be intensely politicised (see Murray and Hunter Blackburn 2019)</w:t>
      </w:r>
      <w:r w:rsidR="00B42A01" w:rsidRPr="007C61D2">
        <w:rPr>
          <w:rFonts w:ascii="Garamond" w:eastAsia="Times New Roman" w:hAnsi="Garamond" w:cs="Times New Roman"/>
          <w:sz w:val="24"/>
          <w:szCs w:val="24"/>
        </w:rPr>
        <w:t xml:space="preserve">. </w:t>
      </w:r>
      <w:r w:rsidR="00725C19" w:rsidRPr="007C61D2">
        <w:rPr>
          <w:rFonts w:ascii="Garamond" w:eastAsia="Times New Roman" w:hAnsi="Garamond" w:cs="Times New Roman"/>
          <w:sz w:val="24"/>
          <w:szCs w:val="24"/>
        </w:rPr>
        <w:t xml:space="preserve">When it comes to surveys and other data-gathering documents, </w:t>
      </w:r>
      <w:r w:rsidR="00AE7F76" w:rsidRPr="007C61D2">
        <w:rPr>
          <w:rFonts w:ascii="Garamond" w:eastAsia="Times New Roman" w:hAnsi="Garamond" w:cs="Times New Roman"/>
          <w:sz w:val="24"/>
          <w:szCs w:val="24"/>
        </w:rPr>
        <w:t xml:space="preserve">respondents </w:t>
      </w:r>
      <w:r w:rsidR="00337F97">
        <w:rPr>
          <w:rFonts w:ascii="Garamond" w:eastAsia="Times New Roman" w:hAnsi="Garamond" w:cs="Times New Roman"/>
          <w:sz w:val="24"/>
          <w:szCs w:val="24"/>
        </w:rPr>
        <w:t xml:space="preserve">will consider </w:t>
      </w:r>
      <w:r w:rsidR="00384D49" w:rsidRPr="007C61D2">
        <w:rPr>
          <w:rFonts w:ascii="Garamond" w:eastAsia="Times New Roman" w:hAnsi="Garamond" w:cs="Times New Roman"/>
          <w:sz w:val="24"/>
          <w:szCs w:val="24"/>
        </w:rPr>
        <w:t xml:space="preserve">what </w:t>
      </w:r>
      <w:r w:rsidR="00384D49" w:rsidRPr="007C61D2">
        <w:rPr>
          <w:rFonts w:ascii="Garamond" w:eastAsia="Times New Roman" w:hAnsi="Garamond" w:cs="Times New Roman"/>
          <w:sz w:val="24"/>
          <w:szCs w:val="24"/>
        </w:rPr>
        <w:lastRenderedPageBreak/>
        <w:t xml:space="preserve">categories were intended to mean and should mean, and </w:t>
      </w:r>
      <w:r w:rsidR="00AE7F76" w:rsidRPr="007C61D2">
        <w:rPr>
          <w:rFonts w:ascii="Garamond" w:eastAsia="Times New Roman" w:hAnsi="Garamond" w:cs="Times New Roman"/>
          <w:sz w:val="24"/>
          <w:szCs w:val="24"/>
        </w:rPr>
        <w:t xml:space="preserve">how the data will be used, </w:t>
      </w:r>
      <w:r w:rsidR="00B42A01" w:rsidRPr="007C61D2">
        <w:rPr>
          <w:rFonts w:ascii="Garamond" w:eastAsia="Times New Roman" w:hAnsi="Garamond" w:cs="Times New Roman"/>
          <w:sz w:val="24"/>
          <w:szCs w:val="24"/>
        </w:rPr>
        <w:t xml:space="preserve">as they </w:t>
      </w:r>
      <w:r w:rsidR="00A619C5" w:rsidRPr="007C61D2">
        <w:rPr>
          <w:rFonts w:ascii="Garamond" w:eastAsia="Times New Roman" w:hAnsi="Garamond" w:cs="Times New Roman"/>
          <w:sz w:val="24"/>
          <w:szCs w:val="24"/>
        </w:rPr>
        <w:t xml:space="preserve">deliberate upon </w:t>
      </w:r>
      <w:r w:rsidR="00B42A01" w:rsidRPr="007C61D2">
        <w:rPr>
          <w:rFonts w:ascii="Garamond" w:eastAsia="Times New Roman" w:hAnsi="Garamond" w:cs="Times New Roman"/>
          <w:sz w:val="24"/>
          <w:szCs w:val="24"/>
        </w:rPr>
        <w:t xml:space="preserve">what </w:t>
      </w:r>
      <w:r w:rsidR="00AE7F76" w:rsidRPr="007C61D2">
        <w:rPr>
          <w:rFonts w:ascii="Garamond" w:eastAsia="Times New Roman" w:hAnsi="Garamond" w:cs="Times New Roman"/>
          <w:sz w:val="24"/>
          <w:szCs w:val="24"/>
        </w:rPr>
        <w:t>box to tick</w:t>
      </w:r>
      <w:r w:rsidR="00B42A01" w:rsidRPr="007C61D2">
        <w:rPr>
          <w:rFonts w:ascii="Garamond" w:eastAsia="Times New Roman" w:hAnsi="Garamond" w:cs="Times New Roman"/>
          <w:sz w:val="24"/>
          <w:szCs w:val="24"/>
        </w:rPr>
        <w:t xml:space="preserve">. Subsequently, those undertaking </w:t>
      </w:r>
      <w:r w:rsidR="00AE7F76" w:rsidRPr="007C61D2">
        <w:rPr>
          <w:rFonts w:ascii="Garamond" w:eastAsia="Times New Roman" w:hAnsi="Garamond" w:cs="Times New Roman"/>
          <w:sz w:val="24"/>
          <w:szCs w:val="24"/>
        </w:rPr>
        <w:t xml:space="preserve">data analysis </w:t>
      </w:r>
      <w:r w:rsidR="00384D49" w:rsidRPr="007C61D2">
        <w:rPr>
          <w:rFonts w:ascii="Garamond" w:eastAsia="Times New Roman" w:hAnsi="Garamond" w:cs="Times New Roman"/>
          <w:sz w:val="24"/>
          <w:szCs w:val="24"/>
        </w:rPr>
        <w:t xml:space="preserve">trace back along </w:t>
      </w:r>
      <w:r w:rsidR="00792AE6">
        <w:rPr>
          <w:rFonts w:ascii="Garamond" w:eastAsia="Times New Roman" w:hAnsi="Garamond" w:cs="Times New Roman"/>
          <w:sz w:val="24"/>
          <w:szCs w:val="24"/>
        </w:rPr>
        <w:t xml:space="preserve">these </w:t>
      </w:r>
      <w:r w:rsidR="00AE7F76" w:rsidRPr="007C61D2">
        <w:rPr>
          <w:rFonts w:ascii="Garamond" w:eastAsia="Times New Roman" w:hAnsi="Garamond" w:cs="Times New Roman"/>
          <w:sz w:val="24"/>
          <w:szCs w:val="24"/>
        </w:rPr>
        <w:t>process</w:t>
      </w:r>
      <w:r w:rsidR="00792AE6">
        <w:rPr>
          <w:rFonts w:ascii="Garamond" w:eastAsia="Times New Roman" w:hAnsi="Garamond" w:cs="Times New Roman"/>
          <w:sz w:val="24"/>
          <w:szCs w:val="24"/>
        </w:rPr>
        <w:t>es</w:t>
      </w:r>
      <w:r w:rsidR="00AE7F76" w:rsidRPr="007C61D2">
        <w:rPr>
          <w:rFonts w:ascii="Garamond" w:eastAsia="Times New Roman" w:hAnsi="Garamond" w:cs="Times New Roman"/>
          <w:sz w:val="24"/>
          <w:szCs w:val="24"/>
        </w:rPr>
        <w:t xml:space="preserve"> (see Peel and </w:t>
      </w:r>
      <w:r w:rsidR="00AF4AF2" w:rsidRPr="007C61D2">
        <w:rPr>
          <w:rFonts w:ascii="Garamond" w:eastAsia="Times New Roman" w:hAnsi="Garamond" w:cs="Times New Roman"/>
          <w:sz w:val="24"/>
          <w:szCs w:val="24"/>
        </w:rPr>
        <w:t>Newman</w:t>
      </w:r>
      <w:r w:rsidR="00384D49" w:rsidRPr="007C61D2">
        <w:rPr>
          <w:rFonts w:ascii="Garamond" w:eastAsia="Times New Roman" w:hAnsi="Garamond" w:cs="Times New Roman"/>
          <w:sz w:val="24"/>
          <w:szCs w:val="24"/>
        </w:rPr>
        <w:t>,</w:t>
      </w:r>
      <w:r w:rsidR="00AE7F76" w:rsidRPr="007C61D2">
        <w:rPr>
          <w:rFonts w:ascii="Garamond" w:eastAsia="Times New Roman" w:hAnsi="Garamond" w:cs="Times New Roman"/>
          <w:sz w:val="24"/>
          <w:szCs w:val="24"/>
        </w:rPr>
        <w:t xml:space="preserve"> this issue). </w:t>
      </w:r>
    </w:p>
    <w:p w14:paraId="0D0AA527" w14:textId="2EB26A34" w:rsidR="00384D49" w:rsidRPr="007C61D2" w:rsidRDefault="00A619C5"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Positive discrimination and affirmative action </w:t>
      </w:r>
      <w:r w:rsidR="00451A98">
        <w:rPr>
          <w:rFonts w:ascii="Garamond" w:eastAsia="Times New Roman" w:hAnsi="Garamond" w:cs="Times New Roman"/>
          <w:sz w:val="24"/>
          <w:szCs w:val="24"/>
        </w:rPr>
        <w:t xml:space="preserve">identify </w:t>
      </w:r>
      <w:r w:rsidR="00337F97">
        <w:rPr>
          <w:rFonts w:ascii="Garamond" w:eastAsia="Times New Roman" w:hAnsi="Garamond" w:cs="Times New Roman"/>
          <w:sz w:val="24"/>
          <w:szCs w:val="24"/>
        </w:rPr>
        <w:t>a</w:t>
      </w:r>
      <w:r w:rsidR="00451A98">
        <w:rPr>
          <w:rFonts w:ascii="Garamond" w:eastAsia="Times New Roman" w:hAnsi="Garamond" w:cs="Times New Roman"/>
          <w:sz w:val="24"/>
          <w:szCs w:val="24"/>
        </w:rPr>
        <w:t xml:space="preserve"> further </w:t>
      </w:r>
      <w:r w:rsidR="00337F97">
        <w:rPr>
          <w:rFonts w:ascii="Garamond" w:eastAsia="Times New Roman" w:hAnsi="Garamond" w:cs="Times New Roman"/>
          <w:sz w:val="24"/>
          <w:szCs w:val="24"/>
        </w:rPr>
        <w:t xml:space="preserve">area </w:t>
      </w:r>
      <w:r w:rsidRPr="007C61D2">
        <w:rPr>
          <w:rFonts w:ascii="Garamond" w:eastAsia="Times New Roman" w:hAnsi="Garamond" w:cs="Times New Roman"/>
          <w:sz w:val="24"/>
          <w:szCs w:val="24"/>
        </w:rPr>
        <w:t xml:space="preserve">where a </w:t>
      </w:r>
      <w:r w:rsidR="00AE7F76" w:rsidRPr="007C61D2">
        <w:rPr>
          <w:rFonts w:ascii="Garamond" w:eastAsia="Times New Roman" w:hAnsi="Garamond" w:cs="Times New Roman"/>
          <w:sz w:val="24"/>
          <w:szCs w:val="24"/>
        </w:rPr>
        <w:t xml:space="preserve">purposive </w:t>
      </w:r>
      <w:r w:rsidR="00384D49" w:rsidRPr="007C61D2">
        <w:rPr>
          <w:rFonts w:ascii="Garamond" w:eastAsia="Times New Roman" w:hAnsi="Garamond" w:cs="Times New Roman"/>
          <w:sz w:val="24"/>
          <w:szCs w:val="24"/>
        </w:rPr>
        <w:t xml:space="preserve">and granular </w:t>
      </w:r>
      <w:r w:rsidR="00FF10F3" w:rsidRPr="007C61D2">
        <w:rPr>
          <w:rFonts w:ascii="Garamond" w:eastAsia="Times New Roman" w:hAnsi="Garamond" w:cs="Times New Roman"/>
          <w:sz w:val="24"/>
          <w:szCs w:val="24"/>
        </w:rPr>
        <w:t>approach</w:t>
      </w:r>
      <w:r w:rsidR="001810FF" w:rsidRPr="007C61D2">
        <w:rPr>
          <w:rFonts w:ascii="Garamond" w:eastAsia="Times New Roman" w:hAnsi="Garamond" w:cs="Times New Roman"/>
          <w:sz w:val="24"/>
          <w:szCs w:val="24"/>
        </w:rPr>
        <w:t xml:space="preserve"> </w:t>
      </w:r>
      <w:r w:rsidR="00252896" w:rsidRPr="007C61D2">
        <w:rPr>
          <w:rFonts w:ascii="Garamond" w:eastAsia="Times New Roman" w:hAnsi="Garamond" w:cs="Times New Roman"/>
          <w:sz w:val="24"/>
          <w:szCs w:val="24"/>
        </w:rPr>
        <w:t xml:space="preserve">supports </w:t>
      </w:r>
      <w:r w:rsidR="00AE7F76" w:rsidRPr="007C61D2">
        <w:rPr>
          <w:rFonts w:ascii="Garamond" w:eastAsia="Times New Roman" w:hAnsi="Garamond" w:cs="Times New Roman"/>
          <w:sz w:val="24"/>
          <w:szCs w:val="24"/>
        </w:rPr>
        <w:t>critical reflect</w:t>
      </w:r>
      <w:r w:rsidR="00252896" w:rsidRPr="007C61D2">
        <w:rPr>
          <w:rFonts w:ascii="Garamond" w:eastAsia="Times New Roman" w:hAnsi="Garamond" w:cs="Times New Roman"/>
          <w:sz w:val="24"/>
          <w:szCs w:val="24"/>
        </w:rPr>
        <w:t>ion</w:t>
      </w:r>
      <w:r w:rsidR="00451A98">
        <w:rPr>
          <w:rFonts w:ascii="Garamond" w:eastAsia="Times New Roman" w:hAnsi="Garamond" w:cs="Times New Roman"/>
          <w:sz w:val="24"/>
          <w:szCs w:val="24"/>
        </w:rPr>
        <w:t>,</w:t>
      </w:r>
      <w:r w:rsidR="00AE7F76" w:rsidRPr="007C61D2">
        <w:rPr>
          <w:rFonts w:ascii="Garamond" w:eastAsia="Times New Roman" w:hAnsi="Garamond" w:cs="Times New Roman"/>
          <w:sz w:val="24"/>
          <w:szCs w:val="24"/>
        </w:rPr>
        <w:t xml:space="preserve"> </w:t>
      </w:r>
      <w:r w:rsidR="00451A98">
        <w:rPr>
          <w:rFonts w:ascii="Garamond" w:eastAsia="Times New Roman" w:hAnsi="Garamond" w:cs="Times New Roman"/>
          <w:sz w:val="24"/>
          <w:szCs w:val="24"/>
        </w:rPr>
        <w:t xml:space="preserve">responding </w:t>
      </w:r>
      <w:r w:rsidR="00AE7F76" w:rsidRPr="007C61D2">
        <w:rPr>
          <w:rFonts w:ascii="Garamond" w:eastAsia="Times New Roman" w:hAnsi="Garamond" w:cs="Times New Roman"/>
          <w:sz w:val="24"/>
          <w:szCs w:val="24"/>
        </w:rPr>
        <w:t xml:space="preserve">to </w:t>
      </w:r>
      <w:r w:rsidR="003277B7" w:rsidRPr="007C61D2">
        <w:rPr>
          <w:rFonts w:ascii="Garamond" w:eastAsia="Times New Roman" w:hAnsi="Garamond" w:cs="Times New Roman"/>
          <w:sz w:val="24"/>
          <w:szCs w:val="24"/>
        </w:rPr>
        <w:t>critics</w:t>
      </w:r>
      <w:r w:rsidR="00AE7F76" w:rsidRPr="007C61D2">
        <w:rPr>
          <w:rFonts w:ascii="Garamond" w:eastAsia="Times New Roman" w:hAnsi="Garamond" w:cs="Times New Roman"/>
          <w:sz w:val="24"/>
          <w:szCs w:val="24"/>
        </w:rPr>
        <w:t>’ concerns</w:t>
      </w:r>
      <w:r w:rsidR="003277B7" w:rsidRPr="007C61D2">
        <w:rPr>
          <w:rFonts w:ascii="Garamond" w:eastAsia="Times New Roman" w:hAnsi="Garamond" w:cs="Times New Roman"/>
          <w:sz w:val="24"/>
          <w:szCs w:val="24"/>
        </w:rPr>
        <w:t xml:space="preserve"> that loosely defined or absent </w:t>
      </w:r>
      <w:r w:rsidR="00AE7F76" w:rsidRPr="007C61D2">
        <w:rPr>
          <w:rFonts w:ascii="Garamond" w:eastAsia="Times New Roman" w:hAnsi="Garamond" w:cs="Times New Roman"/>
          <w:sz w:val="24"/>
          <w:szCs w:val="24"/>
        </w:rPr>
        <w:t xml:space="preserve">sex/ gender </w:t>
      </w:r>
      <w:r w:rsidR="003277B7" w:rsidRPr="007C61D2">
        <w:rPr>
          <w:rFonts w:ascii="Garamond" w:eastAsia="Times New Roman" w:hAnsi="Garamond" w:cs="Times New Roman"/>
          <w:sz w:val="24"/>
          <w:szCs w:val="24"/>
        </w:rPr>
        <w:t xml:space="preserve">boundaries will </w:t>
      </w:r>
      <w:r w:rsidR="00AE7F76" w:rsidRPr="007C61D2">
        <w:rPr>
          <w:rFonts w:ascii="Garamond" w:eastAsia="Times New Roman" w:hAnsi="Garamond" w:cs="Times New Roman"/>
          <w:sz w:val="24"/>
          <w:szCs w:val="24"/>
        </w:rPr>
        <w:t xml:space="preserve">generate </w:t>
      </w:r>
      <w:r w:rsidR="003277B7" w:rsidRPr="007C61D2">
        <w:rPr>
          <w:rFonts w:ascii="Garamond" w:eastAsia="Times New Roman" w:hAnsi="Garamond" w:cs="Times New Roman"/>
          <w:sz w:val="24"/>
          <w:szCs w:val="24"/>
        </w:rPr>
        <w:t>opportunistic self-</w:t>
      </w:r>
      <w:r w:rsidR="00792AE6">
        <w:rPr>
          <w:rFonts w:ascii="Garamond" w:eastAsia="Times New Roman" w:hAnsi="Garamond" w:cs="Times New Roman"/>
          <w:sz w:val="24"/>
          <w:szCs w:val="24"/>
        </w:rPr>
        <w:t xml:space="preserve">characterisations. </w:t>
      </w:r>
      <w:r w:rsidR="00AE7F76" w:rsidRPr="007C61D2">
        <w:rPr>
          <w:rFonts w:ascii="Garamond" w:eastAsia="Times New Roman" w:hAnsi="Garamond" w:cs="Times New Roman"/>
          <w:sz w:val="24"/>
          <w:szCs w:val="24"/>
        </w:rPr>
        <w:t>Again</w:t>
      </w:r>
      <w:r w:rsidR="003277B7" w:rsidRPr="007C61D2">
        <w:rPr>
          <w:rFonts w:ascii="Garamond" w:eastAsia="Times New Roman" w:hAnsi="Garamond" w:cs="Times New Roman"/>
          <w:sz w:val="24"/>
          <w:szCs w:val="24"/>
        </w:rPr>
        <w:t xml:space="preserve">, </w:t>
      </w:r>
      <w:r w:rsidR="00252896" w:rsidRPr="007C61D2">
        <w:rPr>
          <w:rFonts w:ascii="Garamond" w:eastAsia="Times New Roman" w:hAnsi="Garamond" w:cs="Times New Roman"/>
          <w:sz w:val="24"/>
          <w:szCs w:val="24"/>
        </w:rPr>
        <w:t xml:space="preserve">such an approach </w:t>
      </w:r>
      <w:r w:rsidR="00C763D5" w:rsidRPr="007C61D2">
        <w:rPr>
          <w:rFonts w:ascii="Garamond" w:eastAsia="Times New Roman" w:hAnsi="Garamond" w:cs="Times New Roman"/>
          <w:sz w:val="24"/>
          <w:szCs w:val="24"/>
        </w:rPr>
        <w:t>asks</w:t>
      </w:r>
      <w:r w:rsidR="004F5DF4" w:rsidRPr="007C61D2">
        <w:rPr>
          <w:rFonts w:ascii="Garamond" w:eastAsia="Times New Roman" w:hAnsi="Garamond" w:cs="Times New Roman"/>
          <w:sz w:val="24"/>
          <w:szCs w:val="24"/>
        </w:rPr>
        <w:t>:</w:t>
      </w:r>
      <w:r w:rsidR="00C763D5" w:rsidRPr="007C61D2">
        <w:rPr>
          <w:rFonts w:ascii="Garamond" w:eastAsia="Times New Roman" w:hAnsi="Garamond" w:cs="Times New Roman"/>
          <w:sz w:val="24"/>
          <w:szCs w:val="24"/>
        </w:rPr>
        <w:t xml:space="preserve"> what </w:t>
      </w:r>
      <w:r w:rsidR="00675148" w:rsidRPr="007C61D2">
        <w:rPr>
          <w:rFonts w:ascii="Garamond" w:eastAsia="Times New Roman" w:hAnsi="Garamond" w:cs="Times New Roman"/>
          <w:sz w:val="24"/>
          <w:szCs w:val="24"/>
        </w:rPr>
        <w:t xml:space="preserve">exactly </w:t>
      </w:r>
      <w:r w:rsidR="00C763D5" w:rsidRPr="007C61D2">
        <w:rPr>
          <w:rFonts w:ascii="Garamond" w:eastAsia="Times New Roman" w:hAnsi="Garamond" w:cs="Times New Roman"/>
          <w:sz w:val="24"/>
          <w:szCs w:val="24"/>
        </w:rPr>
        <w:t>is being sought</w:t>
      </w:r>
      <w:r w:rsidR="00F716EA" w:rsidRPr="007C61D2">
        <w:rPr>
          <w:rFonts w:ascii="Garamond" w:eastAsia="Times New Roman" w:hAnsi="Garamond" w:cs="Times New Roman"/>
          <w:sz w:val="24"/>
          <w:szCs w:val="24"/>
        </w:rPr>
        <w:t>?</w:t>
      </w:r>
      <w:r w:rsidR="00C763D5" w:rsidRPr="007C61D2">
        <w:rPr>
          <w:rFonts w:ascii="Garamond" w:eastAsia="Times New Roman" w:hAnsi="Garamond" w:cs="Times New Roman"/>
          <w:sz w:val="24"/>
          <w:szCs w:val="24"/>
        </w:rPr>
        <w:t xml:space="preserve"> </w:t>
      </w:r>
      <w:r w:rsidR="00AE7F76" w:rsidRPr="007C61D2">
        <w:rPr>
          <w:rFonts w:ascii="Garamond" w:eastAsia="Times New Roman" w:hAnsi="Garamond" w:cs="Times New Roman"/>
          <w:sz w:val="24"/>
          <w:szCs w:val="24"/>
        </w:rPr>
        <w:t xml:space="preserve">In the case </w:t>
      </w:r>
      <w:r w:rsidR="0052319D" w:rsidRPr="007C61D2">
        <w:rPr>
          <w:rFonts w:ascii="Garamond" w:eastAsia="Times New Roman" w:hAnsi="Garamond" w:cs="Times New Roman"/>
          <w:sz w:val="24"/>
          <w:szCs w:val="24"/>
        </w:rPr>
        <w:t xml:space="preserve">of parliamentary representation, </w:t>
      </w:r>
      <w:r w:rsidR="00337F97">
        <w:rPr>
          <w:rFonts w:ascii="Garamond" w:eastAsia="Times New Roman" w:hAnsi="Garamond" w:cs="Times New Roman"/>
          <w:sz w:val="24"/>
          <w:szCs w:val="24"/>
        </w:rPr>
        <w:t xml:space="preserve">where </w:t>
      </w:r>
      <w:r w:rsidRPr="007C61D2">
        <w:rPr>
          <w:rFonts w:ascii="Garamond" w:eastAsia="Times New Roman" w:hAnsi="Garamond" w:cs="Times New Roman"/>
          <w:sz w:val="24"/>
          <w:szCs w:val="24"/>
        </w:rPr>
        <w:t xml:space="preserve">conflict </w:t>
      </w:r>
      <w:r w:rsidR="00337F97">
        <w:rPr>
          <w:rFonts w:ascii="Garamond" w:eastAsia="Times New Roman" w:hAnsi="Garamond" w:cs="Times New Roman"/>
          <w:sz w:val="24"/>
          <w:szCs w:val="24"/>
        </w:rPr>
        <w:t xml:space="preserve">has arisen </w:t>
      </w:r>
      <w:r w:rsidR="00252896" w:rsidRPr="007C61D2">
        <w:rPr>
          <w:rFonts w:ascii="Garamond" w:eastAsia="Times New Roman" w:hAnsi="Garamond" w:cs="Times New Roman"/>
          <w:sz w:val="24"/>
          <w:szCs w:val="24"/>
        </w:rPr>
        <w:t xml:space="preserve">in Britain over the means and rationale for determining “woman” </w:t>
      </w:r>
      <w:r w:rsidR="007B3C9A">
        <w:rPr>
          <w:rFonts w:ascii="Garamond" w:eastAsia="Times New Roman" w:hAnsi="Garamond" w:cs="Times New Roman"/>
          <w:sz w:val="24"/>
          <w:szCs w:val="24"/>
        </w:rPr>
        <w:t xml:space="preserve">in </w:t>
      </w:r>
      <w:r w:rsidR="00252896" w:rsidRPr="007C61D2">
        <w:rPr>
          <w:rFonts w:ascii="Garamond" w:eastAsia="Times New Roman" w:hAnsi="Garamond" w:cs="Times New Roman"/>
          <w:sz w:val="24"/>
          <w:szCs w:val="24"/>
        </w:rPr>
        <w:t>women-only shortlists</w:t>
      </w:r>
      <w:r w:rsidRPr="007C61D2">
        <w:rPr>
          <w:rFonts w:ascii="Garamond" w:eastAsia="Times New Roman" w:hAnsi="Garamond" w:cs="Times New Roman"/>
          <w:sz w:val="24"/>
          <w:szCs w:val="24"/>
        </w:rPr>
        <w:t xml:space="preserve"> (as described earlier)</w:t>
      </w:r>
      <w:r w:rsidR="00252896" w:rsidRPr="007C61D2">
        <w:rPr>
          <w:rFonts w:ascii="Garamond" w:eastAsia="Times New Roman" w:hAnsi="Garamond" w:cs="Times New Roman"/>
          <w:sz w:val="24"/>
          <w:szCs w:val="24"/>
        </w:rPr>
        <w:t xml:space="preserve">, </w:t>
      </w:r>
      <w:r w:rsidR="0052319D" w:rsidRPr="007C61D2">
        <w:rPr>
          <w:rFonts w:ascii="Garamond" w:eastAsia="Times New Roman" w:hAnsi="Garamond" w:cs="Times New Roman"/>
          <w:sz w:val="24"/>
          <w:szCs w:val="24"/>
        </w:rPr>
        <w:t xml:space="preserve">does the </w:t>
      </w:r>
      <w:r w:rsidR="004F5DF4" w:rsidRPr="007C61D2">
        <w:rPr>
          <w:rFonts w:ascii="Garamond" w:eastAsia="Times New Roman" w:hAnsi="Garamond" w:cs="Times New Roman"/>
          <w:sz w:val="24"/>
          <w:szCs w:val="24"/>
        </w:rPr>
        <w:t>gender</w:t>
      </w:r>
      <w:r w:rsidR="00C629BE" w:rsidRPr="007C61D2">
        <w:rPr>
          <w:rFonts w:ascii="Garamond" w:eastAsia="Times New Roman" w:hAnsi="Garamond" w:cs="Times New Roman"/>
          <w:sz w:val="24"/>
          <w:szCs w:val="24"/>
        </w:rPr>
        <w:t>ed</w:t>
      </w:r>
      <w:r w:rsidR="004F5DF4" w:rsidRPr="007C61D2">
        <w:rPr>
          <w:rFonts w:ascii="Garamond" w:eastAsia="Times New Roman" w:hAnsi="Garamond" w:cs="Times New Roman"/>
          <w:sz w:val="24"/>
          <w:szCs w:val="24"/>
        </w:rPr>
        <w:t xml:space="preserve"> </w:t>
      </w:r>
      <w:r w:rsidR="00C629BE" w:rsidRPr="007C61D2">
        <w:rPr>
          <w:rFonts w:ascii="Garamond" w:eastAsia="Times New Roman" w:hAnsi="Garamond" w:cs="Times New Roman"/>
          <w:sz w:val="24"/>
          <w:szCs w:val="24"/>
        </w:rPr>
        <w:t>“</w:t>
      </w:r>
      <w:r w:rsidR="0052319D" w:rsidRPr="007C61D2">
        <w:rPr>
          <w:rFonts w:ascii="Garamond" w:eastAsia="Times New Roman" w:hAnsi="Garamond" w:cs="Times New Roman"/>
          <w:sz w:val="24"/>
          <w:szCs w:val="24"/>
        </w:rPr>
        <w:t>lack</w:t>
      </w:r>
      <w:r w:rsidR="00C629BE" w:rsidRPr="007C61D2">
        <w:rPr>
          <w:rFonts w:ascii="Garamond" w:eastAsia="Times New Roman" w:hAnsi="Garamond" w:cs="Times New Roman"/>
          <w:sz w:val="24"/>
          <w:szCs w:val="24"/>
        </w:rPr>
        <w:t>”</w:t>
      </w:r>
      <w:r w:rsidR="0052319D" w:rsidRPr="007C61D2">
        <w:rPr>
          <w:rFonts w:ascii="Garamond" w:eastAsia="Times New Roman" w:hAnsi="Garamond" w:cs="Times New Roman"/>
          <w:sz w:val="24"/>
          <w:szCs w:val="24"/>
        </w:rPr>
        <w:t xml:space="preserve"> </w:t>
      </w:r>
      <w:r w:rsidR="00252896" w:rsidRPr="007C61D2">
        <w:rPr>
          <w:rFonts w:ascii="Garamond" w:eastAsia="Times New Roman" w:hAnsi="Garamond" w:cs="Times New Roman"/>
          <w:sz w:val="24"/>
          <w:szCs w:val="24"/>
        </w:rPr>
        <w:t xml:space="preserve">to be remedied and compensated for </w:t>
      </w:r>
      <w:r w:rsidR="00675148" w:rsidRPr="007C61D2">
        <w:rPr>
          <w:rFonts w:ascii="Garamond" w:eastAsia="Times New Roman" w:hAnsi="Garamond" w:cs="Times New Roman"/>
          <w:sz w:val="24"/>
          <w:szCs w:val="24"/>
        </w:rPr>
        <w:t xml:space="preserve">concern </w:t>
      </w:r>
      <w:r w:rsidR="0052319D" w:rsidRPr="007C61D2">
        <w:rPr>
          <w:rFonts w:ascii="Garamond" w:eastAsia="Times New Roman" w:hAnsi="Garamond" w:cs="Times New Roman"/>
          <w:sz w:val="24"/>
          <w:szCs w:val="24"/>
        </w:rPr>
        <w:t xml:space="preserve">a particular </w:t>
      </w:r>
      <w:r w:rsidR="00C629BE" w:rsidRPr="007C61D2">
        <w:rPr>
          <w:rFonts w:ascii="Garamond" w:eastAsia="Times New Roman" w:hAnsi="Garamond" w:cs="Times New Roman"/>
          <w:sz w:val="24"/>
          <w:szCs w:val="24"/>
        </w:rPr>
        <w:t xml:space="preserve">social optics, </w:t>
      </w:r>
      <w:r w:rsidR="002D5F85" w:rsidRPr="007C61D2">
        <w:rPr>
          <w:rFonts w:ascii="Garamond" w:eastAsia="Times New Roman" w:hAnsi="Garamond" w:cs="Times New Roman"/>
          <w:sz w:val="24"/>
          <w:szCs w:val="24"/>
        </w:rPr>
        <w:t>genitalia, status, experience</w:t>
      </w:r>
      <w:r w:rsidR="008A7BBC" w:rsidRPr="007C61D2">
        <w:rPr>
          <w:rFonts w:ascii="Garamond" w:eastAsia="Times New Roman" w:hAnsi="Garamond" w:cs="Times New Roman"/>
          <w:sz w:val="24"/>
          <w:szCs w:val="24"/>
        </w:rPr>
        <w:t xml:space="preserve">, </w:t>
      </w:r>
      <w:r w:rsidR="004D57F8" w:rsidRPr="007C61D2">
        <w:rPr>
          <w:rFonts w:ascii="Garamond" w:eastAsia="Times New Roman" w:hAnsi="Garamond" w:cs="Times New Roman"/>
          <w:sz w:val="24"/>
          <w:szCs w:val="24"/>
        </w:rPr>
        <w:t xml:space="preserve">agenda, </w:t>
      </w:r>
      <w:r w:rsidR="00252896" w:rsidRPr="007C61D2">
        <w:rPr>
          <w:rFonts w:ascii="Garamond" w:eastAsia="Times New Roman" w:hAnsi="Garamond" w:cs="Times New Roman"/>
          <w:sz w:val="24"/>
          <w:szCs w:val="24"/>
        </w:rPr>
        <w:t>interest</w:t>
      </w:r>
      <w:r w:rsidR="003277B7" w:rsidRPr="007C61D2">
        <w:rPr>
          <w:rFonts w:ascii="Garamond" w:eastAsia="Times New Roman" w:hAnsi="Garamond" w:cs="Times New Roman"/>
          <w:sz w:val="24"/>
          <w:szCs w:val="24"/>
        </w:rPr>
        <w:t>,</w:t>
      </w:r>
      <w:r w:rsidR="002D5F85" w:rsidRPr="007C61D2">
        <w:rPr>
          <w:rFonts w:ascii="Garamond" w:eastAsia="Times New Roman" w:hAnsi="Garamond" w:cs="Times New Roman"/>
          <w:sz w:val="24"/>
          <w:szCs w:val="24"/>
        </w:rPr>
        <w:t xml:space="preserve"> or something else</w:t>
      </w:r>
      <w:r w:rsidR="00675148" w:rsidRPr="007C61D2">
        <w:rPr>
          <w:rFonts w:ascii="Garamond" w:eastAsia="Times New Roman" w:hAnsi="Garamond" w:cs="Times New Roman"/>
          <w:sz w:val="24"/>
          <w:szCs w:val="24"/>
        </w:rPr>
        <w:t xml:space="preserve"> (also Mackay 2008)</w:t>
      </w:r>
      <w:r w:rsidR="002D5F85" w:rsidRPr="007C61D2">
        <w:rPr>
          <w:rFonts w:ascii="Garamond" w:eastAsia="Times New Roman" w:hAnsi="Garamond" w:cs="Times New Roman"/>
          <w:sz w:val="24"/>
          <w:szCs w:val="24"/>
        </w:rPr>
        <w:t xml:space="preserve">? </w:t>
      </w:r>
      <w:r w:rsidR="004F5DF4" w:rsidRPr="007C61D2">
        <w:rPr>
          <w:rFonts w:ascii="Garamond" w:eastAsia="Times New Roman" w:hAnsi="Garamond" w:cs="Times New Roman"/>
          <w:sz w:val="24"/>
          <w:szCs w:val="24"/>
        </w:rPr>
        <w:t xml:space="preserve">While </w:t>
      </w:r>
      <w:r w:rsidR="003277B7" w:rsidRPr="007C61D2">
        <w:rPr>
          <w:rFonts w:ascii="Garamond" w:eastAsia="Times New Roman" w:hAnsi="Garamond" w:cs="Times New Roman"/>
          <w:sz w:val="24"/>
          <w:szCs w:val="24"/>
        </w:rPr>
        <w:t xml:space="preserve">the </w:t>
      </w:r>
      <w:r w:rsidR="00252896" w:rsidRPr="007C61D2">
        <w:rPr>
          <w:rFonts w:ascii="Garamond" w:eastAsia="Times New Roman" w:hAnsi="Garamond" w:cs="Times New Roman"/>
          <w:sz w:val="24"/>
          <w:szCs w:val="24"/>
        </w:rPr>
        <w:t xml:space="preserve">popular </w:t>
      </w:r>
      <w:r w:rsidR="003277B7" w:rsidRPr="007C61D2">
        <w:rPr>
          <w:rFonts w:ascii="Garamond" w:eastAsia="Times New Roman" w:hAnsi="Garamond" w:cs="Times New Roman"/>
          <w:sz w:val="24"/>
          <w:szCs w:val="24"/>
        </w:rPr>
        <w:t xml:space="preserve">tendency is to </w:t>
      </w:r>
      <w:r w:rsidR="004F5DF4" w:rsidRPr="007C61D2">
        <w:rPr>
          <w:rFonts w:ascii="Garamond" w:eastAsia="Times New Roman" w:hAnsi="Garamond" w:cs="Times New Roman"/>
          <w:sz w:val="24"/>
          <w:szCs w:val="24"/>
        </w:rPr>
        <w:t>assume these features</w:t>
      </w:r>
      <w:r w:rsidR="003277B7" w:rsidRPr="007C61D2">
        <w:rPr>
          <w:rFonts w:ascii="Garamond" w:eastAsia="Times New Roman" w:hAnsi="Garamond" w:cs="Times New Roman"/>
          <w:sz w:val="24"/>
          <w:szCs w:val="24"/>
        </w:rPr>
        <w:t xml:space="preserve"> cohere</w:t>
      </w:r>
      <w:r w:rsidR="004F5DF4" w:rsidRPr="007C61D2">
        <w:rPr>
          <w:rFonts w:ascii="Garamond" w:eastAsia="Times New Roman" w:hAnsi="Garamond" w:cs="Times New Roman"/>
          <w:sz w:val="24"/>
          <w:szCs w:val="24"/>
        </w:rPr>
        <w:t xml:space="preserve">, this </w:t>
      </w:r>
      <w:r w:rsidR="00252896" w:rsidRPr="007C61D2">
        <w:rPr>
          <w:rFonts w:ascii="Garamond" w:eastAsia="Times New Roman" w:hAnsi="Garamond" w:cs="Times New Roman"/>
          <w:sz w:val="24"/>
          <w:szCs w:val="24"/>
        </w:rPr>
        <w:t xml:space="preserve">has been </w:t>
      </w:r>
      <w:r w:rsidR="004F5DF4" w:rsidRPr="007C61D2">
        <w:rPr>
          <w:rFonts w:ascii="Garamond" w:eastAsia="Times New Roman" w:hAnsi="Garamond" w:cs="Times New Roman"/>
          <w:sz w:val="24"/>
          <w:szCs w:val="24"/>
        </w:rPr>
        <w:t>questioned</w:t>
      </w:r>
      <w:r w:rsidR="00252896" w:rsidRPr="007C61D2">
        <w:rPr>
          <w:rFonts w:ascii="Garamond" w:eastAsia="Times New Roman" w:hAnsi="Garamond" w:cs="Times New Roman"/>
          <w:sz w:val="24"/>
          <w:szCs w:val="24"/>
        </w:rPr>
        <w:t xml:space="preserve"> on multiple grounds</w:t>
      </w:r>
      <w:r w:rsidR="004F5DF4" w:rsidRPr="007C61D2">
        <w:rPr>
          <w:rFonts w:ascii="Garamond" w:eastAsia="Times New Roman" w:hAnsi="Garamond" w:cs="Times New Roman"/>
          <w:sz w:val="24"/>
          <w:szCs w:val="24"/>
        </w:rPr>
        <w:t xml:space="preserve">. </w:t>
      </w:r>
      <w:r w:rsidR="00725C19" w:rsidRPr="007C61D2">
        <w:rPr>
          <w:rFonts w:ascii="Garamond" w:eastAsia="Times New Roman" w:hAnsi="Garamond" w:cs="Times New Roman"/>
          <w:sz w:val="24"/>
          <w:szCs w:val="24"/>
        </w:rPr>
        <w:t xml:space="preserve">This </w:t>
      </w:r>
      <w:r w:rsidR="004F5DF4" w:rsidRPr="007C61D2">
        <w:rPr>
          <w:rFonts w:ascii="Garamond" w:eastAsia="Times New Roman" w:hAnsi="Garamond" w:cs="Times New Roman"/>
          <w:sz w:val="24"/>
          <w:szCs w:val="24"/>
        </w:rPr>
        <w:t>does not mean an absence of gender patterning, simply that it takes a looser, more complex</w:t>
      </w:r>
      <w:r w:rsidR="00F716EA" w:rsidRPr="007C61D2">
        <w:rPr>
          <w:rFonts w:ascii="Garamond" w:eastAsia="Times New Roman" w:hAnsi="Garamond" w:cs="Times New Roman"/>
          <w:sz w:val="24"/>
          <w:szCs w:val="24"/>
        </w:rPr>
        <w:t>,</w:t>
      </w:r>
      <w:r w:rsidR="004F5DF4" w:rsidRPr="007C61D2">
        <w:rPr>
          <w:rFonts w:ascii="Garamond" w:eastAsia="Times New Roman" w:hAnsi="Garamond" w:cs="Times New Roman"/>
          <w:sz w:val="24"/>
          <w:szCs w:val="24"/>
        </w:rPr>
        <w:t xml:space="preserve"> and </w:t>
      </w:r>
      <w:r w:rsidR="00C629BE" w:rsidRPr="007C61D2">
        <w:rPr>
          <w:rFonts w:ascii="Garamond" w:eastAsia="Times New Roman" w:hAnsi="Garamond" w:cs="Times New Roman"/>
          <w:sz w:val="24"/>
          <w:szCs w:val="24"/>
        </w:rPr>
        <w:t xml:space="preserve">intersectional </w:t>
      </w:r>
      <w:r w:rsidR="004F5DF4" w:rsidRPr="007C61D2">
        <w:rPr>
          <w:rFonts w:ascii="Garamond" w:eastAsia="Times New Roman" w:hAnsi="Garamond" w:cs="Times New Roman"/>
          <w:sz w:val="24"/>
          <w:szCs w:val="24"/>
        </w:rPr>
        <w:t>form</w:t>
      </w:r>
      <w:r w:rsidR="00DB124F" w:rsidRPr="007C61D2">
        <w:rPr>
          <w:rFonts w:ascii="Garamond" w:eastAsia="Times New Roman" w:hAnsi="Garamond" w:cs="Times New Roman"/>
          <w:sz w:val="24"/>
          <w:szCs w:val="24"/>
        </w:rPr>
        <w:t xml:space="preserve"> (e.g., see </w:t>
      </w:r>
      <w:r w:rsidR="00CC3B9E" w:rsidRPr="007C61D2">
        <w:rPr>
          <w:rFonts w:ascii="Garamond" w:eastAsia="Times New Roman" w:hAnsi="Garamond" w:cs="Times New Roman"/>
          <w:sz w:val="24"/>
          <w:szCs w:val="24"/>
        </w:rPr>
        <w:t xml:space="preserve">Hobson et al., 2007; </w:t>
      </w:r>
      <w:r w:rsidR="00DB124F" w:rsidRPr="007C61D2">
        <w:rPr>
          <w:rFonts w:ascii="Garamond" w:eastAsia="Times New Roman" w:hAnsi="Garamond" w:cs="Times New Roman"/>
          <w:sz w:val="24"/>
          <w:szCs w:val="24"/>
        </w:rPr>
        <w:t>Smooth 2011)</w:t>
      </w:r>
      <w:r w:rsidR="004F5DF4" w:rsidRPr="007C61D2">
        <w:rPr>
          <w:rFonts w:ascii="Garamond" w:eastAsia="Times New Roman" w:hAnsi="Garamond" w:cs="Times New Roman"/>
          <w:sz w:val="24"/>
          <w:szCs w:val="24"/>
        </w:rPr>
        <w:t>.</w:t>
      </w:r>
      <w:r w:rsidR="003277B7" w:rsidRPr="007C61D2">
        <w:rPr>
          <w:rFonts w:ascii="Garamond" w:eastAsia="Times New Roman" w:hAnsi="Garamond" w:cs="Times New Roman"/>
          <w:sz w:val="24"/>
          <w:szCs w:val="24"/>
        </w:rPr>
        <w:t xml:space="preserve"> </w:t>
      </w:r>
      <w:r w:rsidR="006303F7" w:rsidRPr="007C61D2">
        <w:rPr>
          <w:rFonts w:ascii="Garamond" w:eastAsia="Times New Roman" w:hAnsi="Garamond" w:cs="Times New Roman"/>
          <w:sz w:val="24"/>
          <w:szCs w:val="24"/>
        </w:rPr>
        <w:t xml:space="preserve">Approaching positive discrimination in </w:t>
      </w:r>
      <w:r w:rsidR="00AE7F76" w:rsidRPr="007C61D2">
        <w:rPr>
          <w:rFonts w:ascii="Garamond" w:eastAsia="Times New Roman" w:hAnsi="Garamond" w:cs="Times New Roman"/>
          <w:sz w:val="24"/>
          <w:szCs w:val="24"/>
        </w:rPr>
        <w:t xml:space="preserve">broader </w:t>
      </w:r>
      <w:r w:rsidR="006303F7" w:rsidRPr="007C61D2">
        <w:rPr>
          <w:rFonts w:ascii="Garamond" w:eastAsia="Times New Roman" w:hAnsi="Garamond" w:cs="Times New Roman"/>
          <w:sz w:val="24"/>
          <w:szCs w:val="24"/>
        </w:rPr>
        <w:t xml:space="preserve">social justice terms </w:t>
      </w:r>
      <w:r w:rsidR="0052319D" w:rsidRPr="007C61D2">
        <w:rPr>
          <w:rFonts w:ascii="Garamond" w:eastAsia="Times New Roman" w:hAnsi="Garamond" w:cs="Times New Roman"/>
          <w:sz w:val="24"/>
          <w:szCs w:val="24"/>
        </w:rPr>
        <w:t xml:space="preserve">means </w:t>
      </w:r>
      <w:r w:rsidR="00AE7F76" w:rsidRPr="007C61D2">
        <w:rPr>
          <w:rFonts w:ascii="Garamond" w:eastAsia="Times New Roman" w:hAnsi="Garamond" w:cs="Times New Roman"/>
          <w:sz w:val="24"/>
          <w:szCs w:val="24"/>
        </w:rPr>
        <w:t xml:space="preserve">attending to the </w:t>
      </w:r>
      <w:r w:rsidR="008E3C6B" w:rsidRPr="007C61D2">
        <w:rPr>
          <w:rFonts w:ascii="Garamond" w:eastAsia="Times New Roman" w:hAnsi="Garamond" w:cs="Times New Roman"/>
          <w:sz w:val="24"/>
          <w:szCs w:val="24"/>
        </w:rPr>
        <w:t>wider context (also Mackay 2008)</w:t>
      </w:r>
      <w:r w:rsidR="00D7519C" w:rsidRPr="007C61D2">
        <w:rPr>
          <w:rFonts w:ascii="Garamond" w:eastAsia="Times New Roman" w:hAnsi="Garamond" w:cs="Times New Roman"/>
          <w:sz w:val="24"/>
          <w:szCs w:val="24"/>
        </w:rPr>
        <w:t>, to the mix of inequalities at play</w:t>
      </w:r>
      <w:r w:rsidR="00252896" w:rsidRPr="007C61D2">
        <w:rPr>
          <w:rFonts w:ascii="Garamond" w:eastAsia="Times New Roman" w:hAnsi="Garamond" w:cs="Times New Roman"/>
          <w:sz w:val="24"/>
          <w:szCs w:val="24"/>
        </w:rPr>
        <w:t xml:space="preserve"> (Evans 2016; Krook and Nugent 2016)</w:t>
      </w:r>
      <w:r w:rsidR="00D7519C" w:rsidRPr="007C61D2">
        <w:rPr>
          <w:rFonts w:ascii="Garamond" w:eastAsia="Times New Roman" w:hAnsi="Garamond" w:cs="Times New Roman"/>
          <w:sz w:val="24"/>
          <w:szCs w:val="24"/>
        </w:rPr>
        <w:t xml:space="preserve">, and to other ways of </w:t>
      </w:r>
      <w:r w:rsidR="00252896" w:rsidRPr="007C61D2">
        <w:rPr>
          <w:rFonts w:ascii="Garamond" w:eastAsia="Times New Roman" w:hAnsi="Garamond" w:cs="Times New Roman"/>
          <w:sz w:val="24"/>
          <w:szCs w:val="24"/>
        </w:rPr>
        <w:t xml:space="preserve">advancing </w:t>
      </w:r>
      <w:r w:rsidR="00D7519C" w:rsidRPr="007C61D2">
        <w:rPr>
          <w:rFonts w:ascii="Garamond" w:eastAsia="Times New Roman" w:hAnsi="Garamond" w:cs="Times New Roman"/>
          <w:sz w:val="24"/>
          <w:szCs w:val="24"/>
        </w:rPr>
        <w:t xml:space="preserve">gender equality that do not rely on </w:t>
      </w:r>
      <w:r w:rsidRPr="007C61D2">
        <w:rPr>
          <w:rFonts w:ascii="Garamond" w:eastAsia="Times New Roman" w:hAnsi="Garamond" w:cs="Times New Roman"/>
          <w:sz w:val="24"/>
          <w:szCs w:val="24"/>
        </w:rPr>
        <w:t xml:space="preserve">“correcting” </w:t>
      </w:r>
      <w:r w:rsidR="007847CB" w:rsidRPr="007C61D2">
        <w:rPr>
          <w:rFonts w:ascii="Garamond" w:eastAsia="Times New Roman" w:hAnsi="Garamond" w:cs="Times New Roman"/>
          <w:sz w:val="24"/>
          <w:szCs w:val="24"/>
        </w:rPr>
        <w:t>the demographics of bodies in elite spaces.</w:t>
      </w:r>
      <w:r w:rsidR="007847CB" w:rsidRPr="007C61D2">
        <w:rPr>
          <w:rStyle w:val="FootnoteReference"/>
          <w:rFonts w:ascii="Garamond" w:eastAsia="Times New Roman" w:hAnsi="Garamond" w:cs="Times New Roman"/>
          <w:sz w:val="24"/>
          <w:szCs w:val="24"/>
        </w:rPr>
        <w:footnoteReference w:id="48"/>
      </w:r>
      <w:r w:rsidR="008E3C6B" w:rsidRPr="007C61D2">
        <w:rPr>
          <w:rFonts w:ascii="Garamond" w:eastAsia="Times New Roman" w:hAnsi="Garamond" w:cs="Times New Roman"/>
          <w:sz w:val="24"/>
          <w:szCs w:val="24"/>
        </w:rPr>
        <w:t xml:space="preserve"> </w:t>
      </w:r>
    </w:p>
    <w:p w14:paraId="759F3341" w14:textId="630342CE" w:rsidR="008E3C6B" w:rsidRPr="007C61D2" w:rsidRDefault="00D7519C"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In the case of women’s political representation, </w:t>
      </w:r>
      <w:r w:rsidR="00B069C9" w:rsidRPr="007C61D2">
        <w:rPr>
          <w:rFonts w:ascii="Garamond" w:eastAsia="Times New Roman" w:hAnsi="Garamond" w:cs="Times New Roman"/>
          <w:sz w:val="24"/>
          <w:szCs w:val="24"/>
        </w:rPr>
        <w:t xml:space="preserve">parliamentary organisations, </w:t>
      </w:r>
      <w:r w:rsidR="001E4595" w:rsidRPr="007C61D2">
        <w:rPr>
          <w:rFonts w:ascii="Garamond" w:eastAsia="Times New Roman" w:hAnsi="Garamond" w:cs="Times New Roman"/>
          <w:sz w:val="24"/>
          <w:szCs w:val="24"/>
        </w:rPr>
        <w:t xml:space="preserve">policy agencies and social movements </w:t>
      </w:r>
      <w:r w:rsidRPr="007C61D2">
        <w:rPr>
          <w:rFonts w:ascii="Garamond" w:eastAsia="Times New Roman" w:hAnsi="Garamond" w:cs="Times New Roman"/>
          <w:sz w:val="24"/>
          <w:szCs w:val="24"/>
        </w:rPr>
        <w:t xml:space="preserve">may </w:t>
      </w:r>
      <w:r w:rsidR="004D57F8" w:rsidRPr="007C61D2">
        <w:rPr>
          <w:rFonts w:ascii="Garamond" w:eastAsia="Times New Roman" w:hAnsi="Garamond" w:cs="Times New Roman"/>
          <w:sz w:val="24"/>
          <w:szCs w:val="24"/>
        </w:rPr>
        <w:t xml:space="preserve">prove </w:t>
      </w:r>
      <w:r w:rsidR="001E4595" w:rsidRPr="007C61D2">
        <w:rPr>
          <w:rFonts w:ascii="Garamond" w:eastAsia="Times New Roman" w:hAnsi="Garamond" w:cs="Times New Roman"/>
          <w:sz w:val="24"/>
          <w:szCs w:val="24"/>
        </w:rPr>
        <w:t xml:space="preserve">more effective in representing </w:t>
      </w:r>
      <w:r w:rsidR="00384D49" w:rsidRPr="007C61D2">
        <w:rPr>
          <w:rFonts w:ascii="Garamond" w:eastAsia="Times New Roman" w:hAnsi="Garamond" w:cs="Times New Roman"/>
          <w:sz w:val="24"/>
          <w:szCs w:val="24"/>
        </w:rPr>
        <w:t xml:space="preserve">(in their diversity) </w:t>
      </w:r>
      <w:r w:rsidR="00134B46" w:rsidRPr="007C61D2">
        <w:rPr>
          <w:rFonts w:ascii="Garamond" w:eastAsia="Times New Roman" w:hAnsi="Garamond" w:cs="Times New Roman"/>
          <w:sz w:val="24"/>
          <w:szCs w:val="24"/>
        </w:rPr>
        <w:t xml:space="preserve">women or </w:t>
      </w:r>
      <w:r w:rsidR="001E4595" w:rsidRPr="007C61D2">
        <w:rPr>
          <w:rFonts w:ascii="Garamond" w:eastAsia="Times New Roman" w:hAnsi="Garamond" w:cs="Times New Roman"/>
          <w:sz w:val="24"/>
          <w:szCs w:val="24"/>
        </w:rPr>
        <w:t>subordinate gender experiences</w:t>
      </w:r>
      <w:r w:rsidR="00384D49" w:rsidRPr="007C61D2">
        <w:rPr>
          <w:rFonts w:ascii="Garamond" w:eastAsia="Times New Roman" w:hAnsi="Garamond" w:cs="Times New Roman"/>
          <w:sz w:val="24"/>
          <w:szCs w:val="24"/>
        </w:rPr>
        <w:t xml:space="preserve"> </w:t>
      </w:r>
      <w:r w:rsidR="001E4595" w:rsidRPr="007C61D2">
        <w:rPr>
          <w:rFonts w:ascii="Garamond" w:eastAsia="Times New Roman" w:hAnsi="Garamond" w:cs="Times New Roman"/>
          <w:sz w:val="24"/>
          <w:szCs w:val="24"/>
        </w:rPr>
        <w:t>(</w:t>
      </w:r>
      <w:r w:rsidR="00B069C9" w:rsidRPr="007C61D2">
        <w:rPr>
          <w:rFonts w:ascii="Garamond" w:eastAsia="Times New Roman" w:hAnsi="Garamond" w:cs="Times New Roman"/>
          <w:sz w:val="24"/>
          <w:szCs w:val="24"/>
        </w:rPr>
        <w:t xml:space="preserve">Allen and Childs 2019; </w:t>
      </w:r>
      <w:r w:rsidR="00551848" w:rsidRPr="007C61D2">
        <w:rPr>
          <w:rFonts w:ascii="Garamond" w:eastAsia="Times New Roman" w:hAnsi="Garamond" w:cs="Times New Roman"/>
          <w:sz w:val="24"/>
          <w:szCs w:val="24"/>
        </w:rPr>
        <w:t xml:space="preserve">Squires 2008; </w:t>
      </w:r>
      <w:r w:rsidR="001E4595" w:rsidRPr="007C61D2">
        <w:rPr>
          <w:rFonts w:ascii="Garamond" w:eastAsia="Times New Roman" w:hAnsi="Garamond" w:cs="Times New Roman"/>
          <w:sz w:val="24"/>
          <w:szCs w:val="24"/>
        </w:rPr>
        <w:t>Weldon 2002).</w:t>
      </w:r>
      <w:r w:rsidRPr="007C61D2">
        <w:rPr>
          <w:rFonts w:ascii="Garamond" w:eastAsia="Times New Roman" w:hAnsi="Garamond" w:cs="Times New Roman"/>
          <w:sz w:val="24"/>
          <w:szCs w:val="24"/>
        </w:rPr>
        <w:t xml:space="preserve"> T</w:t>
      </w:r>
      <w:r w:rsidR="004879CA" w:rsidRPr="007C61D2">
        <w:rPr>
          <w:rFonts w:ascii="Garamond" w:eastAsia="Times New Roman" w:hAnsi="Garamond" w:cs="Times New Roman"/>
          <w:sz w:val="24"/>
          <w:szCs w:val="24"/>
        </w:rPr>
        <w:t xml:space="preserve">he demographics of parliament </w:t>
      </w:r>
      <w:r w:rsidR="002D3D25" w:rsidRPr="007C61D2">
        <w:rPr>
          <w:rFonts w:ascii="Garamond" w:eastAsia="Times New Roman" w:hAnsi="Garamond" w:cs="Times New Roman"/>
          <w:sz w:val="24"/>
          <w:szCs w:val="24"/>
        </w:rPr>
        <w:t xml:space="preserve">(and government) </w:t>
      </w:r>
      <w:r w:rsidR="004879CA" w:rsidRPr="007C61D2">
        <w:rPr>
          <w:rFonts w:ascii="Garamond" w:eastAsia="Times New Roman" w:hAnsi="Garamond" w:cs="Times New Roman"/>
          <w:sz w:val="24"/>
          <w:szCs w:val="24"/>
        </w:rPr>
        <w:t xml:space="preserve">is also only one aspect of how </w:t>
      </w:r>
      <w:r w:rsidR="002D3D25" w:rsidRPr="007C61D2">
        <w:rPr>
          <w:rFonts w:ascii="Garamond" w:eastAsia="Times New Roman" w:hAnsi="Garamond" w:cs="Times New Roman"/>
          <w:sz w:val="24"/>
          <w:szCs w:val="24"/>
        </w:rPr>
        <w:t xml:space="preserve">state politics is </w:t>
      </w:r>
      <w:r w:rsidR="004879CA" w:rsidRPr="007C61D2">
        <w:rPr>
          <w:rFonts w:ascii="Garamond" w:eastAsia="Times New Roman" w:hAnsi="Garamond" w:cs="Times New Roman"/>
          <w:sz w:val="24"/>
          <w:szCs w:val="24"/>
        </w:rPr>
        <w:t xml:space="preserve">gendered. Other aspects </w:t>
      </w:r>
      <w:r w:rsidR="002D3D25" w:rsidRPr="007C61D2">
        <w:rPr>
          <w:rFonts w:ascii="Garamond" w:eastAsia="Times New Roman" w:hAnsi="Garamond" w:cs="Times New Roman"/>
          <w:sz w:val="24"/>
          <w:szCs w:val="24"/>
        </w:rPr>
        <w:t xml:space="preserve">include </w:t>
      </w:r>
      <w:r w:rsidR="00F07544">
        <w:rPr>
          <w:rFonts w:ascii="Garamond" w:eastAsia="Times New Roman" w:hAnsi="Garamond" w:cs="Times New Roman"/>
          <w:sz w:val="24"/>
          <w:szCs w:val="24"/>
        </w:rPr>
        <w:t xml:space="preserve">the </w:t>
      </w:r>
      <w:r w:rsidR="004879CA" w:rsidRPr="007C61D2">
        <w:rPr>
          <w:rFonts w:ascii="Garamond" w:eastAsia="Times New Roman" w:hAnsi="Garamond" w:cs="Times New Roman"/>
          <w:sz w:val="24"/>
          <w:szCs w:val="24"/>
        </w:rPr>
        <w:t>schedul</w:t>
      </w:r>
      <w:r w:rsidR="002D3D25" w:rsidRPr="007C61D2">
        <w:rPr>
          <w:rFonts w:ascii="Garamond" w:eastAsia="Times New Roman" w:hAnsi="Garamond" w:cs="Times New Roman"/>
          <w:sz w:val="24"/>
          <w:szCs w:val="24"/>
        </w:rPr>
        <w:t>es</w:t>
      </w:r>
      <w:r w:rsidR="004879CA" w:rsidRPr="007C61D2">
        <w:rPr>
          <w:rFonts w:ascii="Garamond" w:eastAsia="Times New Roman" w:hAnsi="Garamond" w:cs="Times New Roman"/>
          <w:sz w:val="24"/>
          <w:szCs w:val="24"/>
        </w:rPr>
        <w:t>, occupational norms, remit</w:t>
      </w:r>
      <w:r w:rsidRPr="007C61D2">
        <w:rPr>
          <w:rFonts w:ascii="Garamond" w:eastAsia="Times New Roman" w:hAnsi="Garamond" w:cs="Times New Roman"/>
          <w:sz w:val="24"/>
          <w:szCs w:val="24"/>
        </w:rPr>
        <w:t>,</w:t>
      </w:r>
      <w:r w:rsidR="004879CA" w:rsidRPr="007C61D2">
        <w:rPr>
          <w:rFonts w:ascii="Garamond" w:eastAsia="Times New Roman" w:hAnsi="Garamond" w:cs="Times New Roman"/>
          <w:sz w:val="24"/>
          <w:szCs w:val="24"/>
        </w:rPr>
        <w:t xml:space="preserve"> purview, rationalities, discursive style, authority, and power</w:t>
      </w:r>
      <w:r w:rsidR="00F07544">
        <w:rPr>
          <w:rFonts w:ascii="Garamond" w:eastAsia="Times New Roman" w:hAnsi="Garamond" w:cs="Times New Roman"/>
          <w:sz w:val="24"/>
          <w:szCs w:val="24"/>
        </w:rPr>
        <w:t xml:space="preserve"> of state apparatus</w:t>
      </w:r>
      <w:r w:rsidR="00451A98">
        <w:rPr>
          <w:rFonts w:ascii="Garamond" w:eastAsia="Times New Roman" w:hAnsi="Garamond" w:cs="Times New Roman"/>
          <w:sz w:val="24"/>
          <w:szCs w:val="24"/>
        </w:rPr>
        <w:t>es</w:t>
      </w:r>
      <w:r w:rsidR="004879CA" w:rsidRPr="007C61D2">
        <w:rPr>
          <w:rFonts w:ascii="Garamond" w:eastAsia="Times New Roman" w:hAnsi="Garamond" w:cs="Times New Roman"/>
          <w:sz w:val="24"/>
          <w:szCs w:val="24"/>
        </w:rPr>
        <w:t xml:space="preserve">. These are gendered </w:t>
      </w:r>
      <w:r w:rsidR="00C464FE">
        <w:rPr>
          <w:rFonts w:ascii="Garamond" w:eastAsia="Times New Roman" w:hAnsi="Garamond" w:cs="Times New Roman"/>
          <w:sz w:val="24"/>
          <w:szCs w:val="24"/>
        </w:rPr>
        <w:t>in</w:t>
      </w:r>
      <w:r w:rsidR="00451A98">
        <w:rPr>
          <w:rFonts w:ascii="Garamond" w:eastAsia="Times New Roman" w:hAnsi="Garamond" w:cs="Times New Roman"/>
          <w:sz w:val="24"/>
          <w:szCs w:val="24"/>
        </w:rPr>
        <w:t xml:space="preserve"> their uneven correspondence</w:t>
      </w:r>
      <w:r w:rsidR="00C464FE">
        <w:rPr>
          <w:rFonts w:ascii="Garamond" w:eastAsia="Times New Roman" w:hAnsi="Garamond" w:cs="Times New Roman"/>
          <w:sz w:val="24"/>
          <w:szCs w:val="24"/>
        </w:rPr>
        <w:t xml:space="preserve"> </w:t>
      </w:r>
      <w:r w:rsidR="00F07544">
        <w:rPr>
          <w:rFonts w:ascii="Garamond" w:eastAsia="Times New Roman" w:hAnsi="Garamond" w:cs="Times New Roman"/>
          <w:sz w:val="24"/>
          <w:szCs w:val="24"/>
        </w:rPr>
        <w:t>with male, female</w:t>
      </w:r>
      <w:r w:rsidR="00451A98">
        <w:rPr>
          <w:rFonts w:ascii="Garamond" w:eastAsia="Times New Roman" w:hAnsi="Garamond" w:cs="Times New Roman"/>
          <w:sz w:val="24"/>
          <w:szCs w:val="24"/>
        </w:rPr>
        <w:t>,</w:t>
      </w:r>
      <w:r w:rsidR="00F07544">
        <w:rPr>
          <w:rFonts w:ascii="Garamond" w:eastAsia="Times New Roman" w:hAnsi="Garamond" w:cs="Times New Roman"/>
          <w:sz w:val="24"/>
          <w:szCs w:val="24"/>
        </w:rPr>
        <w:t xml:space="preserve"> and other actors </w:t>
      </w:r>
      <w:r w:rsidR="004879CA" w:rsidRPr="007C61D2">
        <w:rPr>
          <w:rFonts w:ascii="Garamond" w:eastAsia="Times New Roman" w:hAnsi="Garamond" w:cs="Times New Roman"/>
          <w:sz w:val="24"/>
          <w:szCs w:val="24"/>
        </w:rPr>
        <w:t>(in terms of who establishes, uses</w:t>
      </w:r>
      <w:r w:rsidR="00F07544">
        <w:rPr>
          <w:rFonts w:ascii="Garamond" w:eastAsia="Times New Roman" w:hAnsi="Garamond" w:cs="Times New Roman"/>
          <w:sz w:val="24"/>
          <w:szCs w:val="24"/>
        </w:rPr>
        <w:t>, and</w:t>
      </w:r>
      <w:r w:rsidR="004879CA" w:rsidRPr="007C61D2">
        <w:rPr>
          <w:rFonts w:ascii="Garamond" w:eastAsia="Times New Roman" w:hAnsi="Garamond" w:cs="Times New Roman"/>
          <w:sz w:val="24"/>
          <w:szCs w:val="24"/>
        </w:rPr>
        <w:t xml:space="preserve"> is </w:t>
      </w:r>
      <w:r w:rsidR="0057441C" w:rsidRPr="007C61D2">
        <w:rPr>
          <w:rFonts w:ascii="Garamond" w:eastAsia="Times New Roman" w:hAnsi="Garamond" w:cs="Times New Roman"/>
          <w:sz w:val="24"/>
          <w:szCs w:val="24"/>
        </w:rPr>
        <w:lastRenderedPageBreak/>
        <w:t>a</w:t>
      </w:r>
      <w:r w:rsidR="004879CA" w:rsidRPr="007C61D2">
        <w:rPr>
          <w:rFonts w:ascii="Garamond" w:eastAsia="Times New Roman" w:hAnsi="Garamond" w:cs="Times New Roman"/>
          <w:sz w:val="24"/>
          <w:szCs w:val="24"/>
        </w:rPr>
        <w:t>ffected by them).</w:t>
      </w:r>
      <w:r w:rsidR="004879CA" w:rsidRPr="007C61D2">
        <w:rPr>
          <w:rStyle w:val="FootnoteReference"/>
          <w:rFonts w:ascii="Garamond" w:eastAsia="Times New Roman" w:hAnsi="Garamond" w:cs="Times New Roman"/>
          <w:sz w:val="24"/>
          <w:szCs w:val="24"/>
        </w:rPr>
        <w:footnoteReference w:id="49"/>
      </w:r>
      <w:r w:rsidR="004879CA" w:rsidRPr="007C61D2">
        <w:rPr>
          <w:rFonts w:ascii="Garamond" w:eastAsia="Times New Roman" w:hAnsi="Garamond" w:cs="Times New Roman"/>
          <w:sz w:val="24"/>
          <w:szCs w:val="24"/>
        </w:rPr>
        <w:t xml:space="preserve"> But they are also gendered </w:t>
      </w:r>
      <w:r w:rsidR="007B3C9A">
        <w:rPr>
          <w:rFonts w:ascii="Garamond" w:eastAsia="Times New Roman" w:hAnsi="Garamond" w:cs="Times New Roman"/>
          <w:sz w:val="24"/>
          <w:szCs w:val="24"/>
        </w:rPr>
        <w:t xml:space="preserve">through their </w:t>
      </w:r>
      <w:r w:rsidR="007B3C9A" w:rsidRPr="007C61D2">
        <w:rPr>
          <w:rFonts w:ascii="Garamond" w:eastAsia="Times New Roman" w:hAnsi="Garamond" w:cs="Times New Roman"/>
          <w:sz w:val="24"/>
          <w:szCs w:val="24"/>
        </w:rPr>
        <w:t xml:space="preserve">constitutional, political, economic, and cultural </w:t>
      </w:r>
      <w:r w:rsidR="007B3C9A">
        <w:rPr>
          <w:rFonts w:ascii="Garamond" w:eastAsia="Times New Roman" w:hAnsi="Garamond" w:cs="Times New Roman"/>
          <w:sz w:val="24"/>
          <w:szCs w:val="24"/>
        </w:rPr>
        <w:t xml:space="preserve">histories </w:t>
      </w:r>
      <w:r w:rsidR="00F07544">
        <w:rPr>
          <w:rFonts w:ascii="Garamond" w:eastAsia="Times New Roman" w:hAnsi="Garamond" w:cs="Times New Roman"/>
          <w:sz w:val="24"/>
          <w:szCs w:val="24"/>
        </w:rPr>
        <w:t>which</w:t>
      </w:r>
      <w:r w:rsidR="00C464FE">
        <w:rPr>
          <w:rFonts w:ascii="Garamond" w:eastAsia="Times New Roman" w:hAnsi="Garamond" w:cs="Times New Roman"/>
          <w:sz w:val="24"/>
          <w:szCs w:val="24"/>
        </w:rPr>
        <w:t>,</w:t>
      </w:r>
      <w:r w:rsidR="00F07544">
        <w:rPr>
          <w:rFonts w:ascii="Garamond" w:eastAsia="Times New Roman" w:hAnsi="Garamond" w:cs="Times New Roman"/>
          <w:sz w:val="24"/>
          <w:szCs w:val="24"/>
        </w:rPr>
        <w:t xml:space="preserve"> </w:t>
      </w:r>
      <w:r w:rsidR="00C464FE">
        <w:rPr>
          <w:rFonts w:ascii="Garamond" w:eastAsia="Times New Roman" w:hAnsi="Garamond" w:cs="Times New Roman"/>
          <w:sz w:val="24"/>
          <w:szCs w:val="24"/>
        </w:rPr>
        <w:t xml:space="preserve">rooted in the divisions and norms of patriarchal power, </w:t>
      </w:r>
      <w:r w:rsidR="00F07544">
        <w:rPr>
          <w:rFonts w:ascii="Garamond" w:eastAsia="Times New Roman" w:hAnsi="Garamond" w:cs="Times New Roman"/>
          <w:sz w:val="24"/>
          <w:szCs w:val="24"/>
        </w:rPr>
        <w:t xml:space="preserve">continue to exert effects. </w:t>
      </w:r>
      <w:r w:rsidR="00F716EA" w:rsidRPr="007C61D2">
        <w:rPr>
          <w:rFonts w:ascii="Garamond" w:eastAsia="Times New Roman" w:hAnsi="Garamond" w:cs="Times New Roman"/>
          <w:sz w:val="24"/>
          <w:szCs w:val="24"/>
        </w:rPr>
        <w:t xml:space="preserve">Finally, it is important to note that </w:t>
      </w:r>
      <w:r w:rsidR="002D3D25" w:rsidRPr="007C61D2">
        <w:rPr>
          <w:rFonts w:ascii="Garamond" w:eastAsia="Times New Roman" w:hAnsi="Garamond" w:cs="Times New Roman"/>
          <w:sz w:val="24"/>
          <w:szCs w:val="24"/>
        </w:rPr>
        <w:t>p</w:t>
      </w:r>
      <w:r w:rsidR="00067B7B" w:rsidRPr="007C61D2">
        <w:rPr>
          <w:rFonts w:ascii="Garamond" w:eastAsia="Times New Roman" w:hAnsi="Garamond" w:cs="Times New Roman"/>
          <w:sz w:val="24"/>
          <w:szCs w:val="24"/>
        </w:rPr>
        <w:t xml:space="preserve">arliamentary decision-making is </w:t>
      </w:r>
      <w:r w:rsidR="00134B46" w:rsidRPr="007C61D2">
        <w:rPr>
          <w:rFonts w:ascii="Garamond" w:eastAsia="Times New Roman" w:hAnsi="Garamond" w:cs="Times New Roman"/>
          <w:sz w:val="24"/>
          <w:szCs w:val="24"/>
        </w:rPr>
        <w:t xml:space="preserve">one </w:t>
      </w:r>
      <w:r w:rsidR="00067B7B" w:rsidRPr="007C61D2">
        <w:rPr>
          <w:rFonts w:ascii="Garamond" w:eastAsia="Times New Roman" w:hAnsi="Garamond" w:cs="Times New Roman"/>
          <w:sz w:val="24"/>
          <w:szCs w:val="24"/>
        </w:rPr>
        <w:t xml:space="preserve">tip </w:t>
      </w:r>
      <w:r w:rsidR="00044682" w:rsidRPr="007C61D2">
        <w:rPr>
          <w:rFonts w:ascii="Garamond" w:eastAsia="Times New Roman" w:hAnsi="Garamond" w:cs="Times New Roman"/>
          <w:sz w:val="24"/>
          <w:szCs w:val="24"/>
        </w:rPr>
        <w:t xml:space="preserve">of </w:t>
      </w:r>
      <w:r w:rsidR="00067B7B" w:rsidRPr="007C61D2">
        <w:rPr>
          <w:rFonts w:ascii="Garamond" w:eastAsia="Times New Roman" w:hAnsi="Garamond" w:cs="Times New Roman"/>
          <w:sz w:val="24"/>
          <w:szCs w:val="24"/>
        </w:rPr>
        <w:t>a far larger, more complex iceberg of policy practice</w:t>
      </w:r>
      <w:r w:rsidR="00134B46" w:rsidRPr="007C61D2">
        <w:rPr>
          <w:rFonts w:ascii="Garamond" w:eastAsia="Times New Roman" w:hAnsi="Garamond" w:cs="Times New Roman"/>
          <w:sz w:val="24"/>
          <w:szCs w:val="24"/>
        </w:rPr>
        <w:t xml:space="preserve">, much of which is carried out by non-state bodies as political power and responsibility </w:t>
      </w:r>
      <w:r w:rsidR="00792AE6">
        <w:rPr>
          <w:rFonts w:ascii="Garamond" w:eastAsia="Times New Roman" w:hAnsi="Garamond" w:cs="Times New Roman"/>
          <w:sz w:val="24"/>
          <w:szCs w:val="24"/>
        </w:rPr>
        <w:t xml:space="preserve">has </w:t>
      </w:r>
      <w:r w:rsidR="00134B46" w:rsidRPr="007C61D2">
        <w:rPr>
          <w:rFonts w:ascii="Garamond" w:eastAsia="Times New Roman" w:hAnsi="Garamond" w:cs="Times New Roman"/>
          <w:sz w:val="24"/>
          <w:szCs w:val="24"/>
        </w:rPr>
        <w:t>move</w:t>
      </w:r>
      <w:r w:rsidR="00792AE6">
        <w:rPr>
          <w:rFonts w:ascii="Garamond" w:eastAsia="Times New Roman" w:hAnsi="Garamond" w:cs="Times New Roman"/>
          <w:sz w:val="24"/>
          <w:szCs w:val="24"/>
        </w:rPr>
        <w:t>d</w:t>
      </w:r>
      <w:r w:rsidR="00134B46" w:rsidRPr="007C61D2">
        <w:rPr>
          <w:rFonts w:ascii="Garamond" w:eastAsia="Times New Roman" w:hAnsi="Garamond" w:cs="Times New Roman"/>
          <w:sz w:val="24"/>
          <w:szCs w:val="24"/>
        </w:rPr>
        <w:t xml:space="preserve"> to other geopolitical entities </w:t>
      </w:r>
      <w:r w:rsidR="002D3D25" w:rsidRPr="007C61D2">
        <w:rPr>
          <w:rFonts w:ascii="Garamond" w:eastAsia="Times New Roman" w:hAnsi="Garamond" w:cs="Times New Roman"/>
          <w:sz w:val="24"/>
          <w:szCs w:val="24"/>
        </w:rPr>
        <w:t xml:space="preserve">including </w:t>
      </w:r>
      <w:r w:rsidR="00134B46" w:rsidRPr="007C61D2">
        <w:rPr>
          <w:rFonts w:ascii="Garamond" w:eastAsia="Times New Roman" w:hAnsi="Garamond" w:cs="Times New Roman"/>
          <w:sz w:val="24"/>
          <w:szCs w:val="24"/>
        </w:rPr>
        <w:t>non-state agencies. Johnson (2018</w:t>
      </w:r>
      <w:r w:rsidR="00742B37" w:rsidRPr="007C61D2">
        <w:rPr>
          <w:rFonts w:ascii="Garamond" w:eastAsia="Times New Roman" w:hAnsi="Garamond" w:cs="Times New Roman"/>
          <w:sz w:val="24"/>
          <w:szCs w:val="24"/>
        </w:rPr>
        <w:t>: 69-108</w:t>
      </w:r>
      <w:r w:rsidR="00134B46" w:rsidRPr="007C61D2">
        <w:rPr>
          <w:rFonts w:ascii="Garamond" w:eastAsia="Times New Roman" w:hAnsi="Garamond" w:cs="Times New Roman"/>
          <w:sz w:val="24"/>
          <w:szCs w:val="24"/>
        </w:rPr>
        <w:t>) describes how privileged women in power have been “boxed in” through informal rules that have had “bait and switch” effects – where levers of power appear in reach only for those reaching them to find that political power no longer resides there.</w:t>
      </w:r>
      <w:r w:rsidR="002A77DC" w:rsidRPr="007C61D2">
        <w:rPr>
          <w:rFonts w:ascii="Garamond" w:eastAsia="Times New Roman" w:hAnsi="Garamond" w:cs="Times New Roman"/>
          <w:sz w:val="24"/>
          <w:szCs w:val="24"/>
        </w:rPr>
        <w:t xml:space="preserve"> These lines of analysis, which foreground the complexity of substantive political</w:t>
      </w:r>
      <w:r w:rsidR="00134B46" w:rsidRPr="007C61D2">
        <w:rPr>
          <w:rFonts w:ascii="Garamond" w:eastAsia="Times New Roman" w:hAnsi="Garamond" w:cs="Times New Roman"/>
          <w:sz w:val="24"/>
          <w:szCs w:val="24"/>
        </w:rPr>
        <w:t xml:space="preserve"> </w:t>
      </w:r>
      <w:r w:rsidR="002A77DC" w:rsidRPr="007C61D2">
        <w:rPr>
          <w:rFonts w:ascii="Garamond" w:eastAsia="Times New Roman" w:hAnsi="Garamond" w:cs="Times New Roman"/>
          <w:sz w:val="24"/>
          <w:szCs w:val="24"/>
        </w:rPr>
        <w:t xml:space="preserve">representation and responsiveness do not mean we should dismiss the value of attending to the demographics of </w:t>
      </w:r>
      <w:r w:rsidR="002D3D25" w:rsidRPr="007C61D2">
        <w:rPr>
          <w:rFonts w:ascii="Garamond" w:eastAsia="Times New Roman" w:hAnsi="Garamond" w:cs="Times New Roman"/>
          <w:sz w:val="24"/>
          <w:szCs w:val="24"/>
        </w:rPr>
        <w:t xml:space="preserve">representation </w:t>
      </w:r>
      <w:r w:rsidR="002A77DC" w:rsidRPr="007C61D2">
        <w:rPr>
          <w:rFonts w:ascii="Garamond" w:eastAsia="Times New Roman" w:hAnsi="Garamond" w:cs="Times New Roman"/>
          <w:sz w:val="24"/>
          <w:szCs w:val="24"/>
        </w:rPr>
        <w:t xml:space="preserve">(see also Cooper, this issue). But they do act as a reminder that when representation becomes a site of boundary disputes and social policing, as </w:t>
      </w:r>
      <w:r w:rsidR="00A619C5" w:rsidRPr="007C61D2">
        <w:rPr>
          <w:rFonts w:ascii="Garamond" w:eastAsia="Times New Roman" w:hAnsi="Garamond" w:cs="Times New Roman"/>
          <w:sz w:val="24"/>
          <w:szCs w:val="24"/>
        </w:rPr>
        <w:t xml:space="preserve">proprietary claims get made over </w:t>
      </w:r>
      <w:r w:rsidR="002A77DC" w:rsidRPr="007C61D2">
        <w:rPr>
          <w:rFonts w:ascii="Garamond" w:eastAsia="Times New Roman" w:hAnsi="Garamond" w:cs="Times New Roman"/>
          <w:sz w:val="24"/>
          <w:szCs w:val="24"/>
        </w:rPr>
        <w:t>categories</w:t>
      </w:r>
      <w:r w:rsidR="00A619C5" w:rsidRPr="007C61D2">
        <w:rPr>
          <w:rFonts w:ascii="Garamond" w:eastAsia="Times New Roman" w:hAnsi="Garamond" w:cs="Times New Roman"/>
          <w:sz w:val="24"/>
          <w:szCs w:val="24"/>
        </w:rPr>
        <w:t xml:space="preserve"> </w:t>
      </w:r>
      <w:r w:rsidR="00451A98">
        <w:rPr>
          <w:rFonts w:ascii="Garamond" w:eastAsia="Times New Roman" w:hAnsi="Garamond" w:cs="Times New Roman"/>
          <w:sz w:val="24"/>
          <w:szCs w:val="24"/>
        </w:rPr>
        <w:t xml:space="preserve">now treated as </w:t>
      </w:r>
      <w:r w:rsidR="007B3C9A">
        <w:rPr>
          <w:rFonts w:ascii="Garamond" w:eastAsia="Times New Roman" w:hAnsi="Garamond" w:cs="Times New Roman"/>
          <w:sz w:val="24"/>
          <w:szCs w:val="24"/>
        </w:rPr>
        <w:t>belongings</w:t>
      </w:r>
      <w:r w:rsidR="002A77DC" w:rsidRPr="007C61D2">
        <w:rPr>
          <w:rFonts w:ascii="Garamond" w:eastAsia="Times New Roman" w:hAnsi="Garamond" w:cs="Times New Roman"/>
          <w:sz w:val="24"/>
          <w:szCs w:val="24"/>
        </w:rPr>
        <w:t xml:space="preserve">, </w:t>
      </w:r>
      <w:r w:rsidR="00874DE4" w:rsidRPr="007C61D2">
        <w:rPr>
          <w:rFonts w:ascii="Garamond" w:eastAsia="Times New Roman" w:hAnsi="Garamond" w:cs="Times New Roman"/>
          <w:sz w:val="24"/>
          <w:szCs w:val="24"/>
        </w:rPr>
        <w:t xml:space="preserve">bedrock concerns with the democratisation of political power can get lost. </w:t>
      </w:r>
    </w:p>
    <w:p w14:paraId="51F457BD" w14:textId="5241456B" w:rsidR="00557151" w:rsidRPr="007C61D2" w:rsidRDefault="008C136A"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Policy and regulatory approaches that refuse to rely on sex/ gender as a </w:t>
      </w:r>
      <w:r w:rsidR="002A77DC" w:rsidRPr="007C61D2">
        <w:rPr>
          <w:rFonts w:ascii="Garamond" w:eastAsia="Times New Roman" w:hAnsi="Garamond" w:cs="Times New Roman"/>
          <w:sz w:val="24"/>
          <w:szCs w:val="24"/>
        </w:rPr>
        <w:t xml:space="preserve">basis for </w:t>
      </w:r>
      <w:r w:rsidRPr="007C61D2">
        <w:rPr>
          <w:rFonts w:ascii="Garamond" w:eastAsia="Times New Roman" w:hAnsi="Garamond" w:cs="Times New Roman"/>
          <w:sz w:val="24"/>
          <w:szCs w:val="24"/>
        </w:rPr>
        <w:t>naming subjects</w:t>
      </w:r>
      <w:r w:rsidR="00526CA4" w:rsidRPr="007C61D2">
        <w:rPr>
          <w:rFonts w:ascii="Garamond" w:eastAsia="Times New Roman" w:hAnsi="Garamond" w:cs="Times New Roman"/>
          <w:sz w:val="24"/>
          <w:szCs w:val="24"/>
        </w:rPr>
        <w:t>, or</w:t>
      </w:r>
      <w:r w:rsidR="002A77DC" w:rsidRPr="007C61D2">
        <w:rPr>
          <w:rFonts w:ascii="Garamond" w:eastAsia="Times New Roman" w:hAnsi="Garamond" w:cs="Times New Roman"/>
          <w:sz w:val="24"/>
          <w:szCs w:val="24"/>
        </w:rPr>
        <w:t>, indeed,</w:t>
      </w:r>
      <w:r w:rsidR="00526CA4" w:rsidRPr="007C61D2">
        <w:rPr>
          <w:rFonts w:ascii="Garamond" w:eastAsia="Times New Roman" w:hAnsi="Garamond" w:cs="Times New Roman"/>
          <w:sz w:val="24"/>
          <w:szCs w:val="24"/>
        </w:rPr>
        <w:t xml:space="preserve"> refuse to rely on naming subjects</w:t>
      </w:r>
      <w:r w:rsidRPr="007C61D2">
        <w:rPr>
          <w:rFonts w:ascii="Garamond" w:eastAsia="Times New Roman" w:hAnsi="Garamond" w:cs="Times New Roman"/>
          <w:sz w:val="24"/>
          <w:szCs w:val="24"/>
        </w:rPr>
        <w:t xml:space="preserve"> </w:t>
      </w:r>
      <w:r w:rsidR="002D3D25" w:rsidRPr="007C61D2">
        <w:rPr>
          <w:rFonts w:ascii="Garamond" w:eastAsia="Times New Roman" w:hAnsi="Garamond" w:cs="Times New Roman"/>
          <w:sz w:val="24"/>
          <w:szCs w:val="24"/>
        </w:rPr>
        <w:t xml:space="preserve">altogether </w:t>
      </w:r>
      <w:r w:rsidRPr="007C61D2">
        <w:rPr>
          <w:rFonts w:ascii="Garamond" w:eastAsia="Times New Roman" w:hAnsi="Garamond" w:cs="Times New Roman"/>
          <w:sz w:val="24"/>
          <w:szCs w:val="24"/>
        </w:rPr>
        <w:t xml:space="preserve">may seem </w:t>
      </w:r>
      <w:r w:rsidR="002A77DC" w:rsidRPr="007C61D2">
        <w:rPr>
          <w:rFonts w:ascii="Garamond" w:eastAsia="Times New Roman" w:hAnsi="Garamond" w:cs="Times New Roman"/>
          <w:sz w:val="24"/>
          <w:szCs w:val="24"/>
        </w:rPr>
        <w:t>better able to respond</w:t>
      </w:r>
      <w:r w:rsidRPr="007C61D2">
        <w:rPr>
          <w:rFonts w:ascii="Garamond" w:eastAsia="Times New Roman" w:hAnsi="Garamond" w:cs="Times New Roman"/>
          <w:sz w:val="24"/>
          <w:szCs w:val="24"/>
        </w:rPr>
        <w:t xml:space="preserve"> to the radically diverse, unevenly patterned ways </w:t>
      </w:r>
      <w:r w:rsidR="00134B46" w:rsidRPr="007C61D2">
        <w:rPr>
          <w:rFonts w:ascii="Garamond" w:eastAsia="Times New Roman" w:hAnsi="Garamond" w:cs="Times New Roman"/>
          <w:sz w:val="24"/>
          <w:szCs w:val="24"/>
        </w:rPr>
        <w:t xml:space="preserve">that </w:t>
      </w:r>
      <w:r w:rsidRPr="007C61D2">
        <w:rPr>
          <w:rFonts w:ascii="Garamond" w:eastAsia="Times New Roman" w:hAnsi="Garamond" w:cs="Times New Roman"/>
          <w:sz w:val="24"/>
          <w:szCs w:val="24"/>
        </w:rPr>
        <w:t xml:space="preserve">sex/ gender is lived and organised. But </w:t>
      </w:r>
      <w:r w:rsidR="00526CA4" w:rsidRPr="007C61D2">
        <w:rPr>
          <w:rFonts w:ascii="Garamond" w:eastAsia="Times New Roman" w:hAnsi="Garamond" w:cs="Times New Roman"/>
          <w:sz w:val="24"/>
          <w:szCs w:val="24"/>
        </w:rPr>
        <w:t xml:space="preserve">a </w:t>
      </w:r>
      <w:r w:rsidRPr="007C61D2">
        <w:rPr>
          <w:rFonts w:ascii="Garamond" w:eastAsia="Times New Roman" w:hAnsi="Garamond" w:cs="Times New Roman"/>
          <w:sz w:val="24"/>
          <w:szCs w:val="24"/>
        </w:rPr>
        <w:t>granular</w:t>
      </w:r>
      <w:r w:rsidR="002A77DC"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approach </w:t>
      </w:r>
      <w:r w:rsidR="002A77DC" w:rsidRPr="007C61D2">
        <w:rPr>
          <w:rFonts w:ascii="Garamond" w:eastAsia="Times New Roman" w:hAnsi="Garamond" w:cs="Times New Roman"/>
          <w:sz w:val="24"/>
          <w:szCs w:val="24"/>
        </w:rPr>
        <w:t xml:space="preserve">that disassembles categories </w:t>
      </w:r>
      <w:r w:rsidRPr="007C61D2">
        <w:rPr>
          <w:rFonts w:ascii="Garamond" w:eastAsia="Times New Roman" w:hAnsi="Garamond" w:cs="Times New Roman"/>
          <w:sz w:val="24"/>
          <w:szCs w:val="24"/>
        </w:rPr>
        <w:t xml:space="preserve">can also </w:t>
      </w:r>
      <w:r w:rsidR="002D3D25" w:rsidRPr="007C61D2">
        <w:rPr>
          <w:rFonts w:ascii="Garamond" w:eastAsia="Times New Roman" w:hAnsi="Garamond" w:cs="Times New Roman"/>
          <w:sz w:val="24"/>
          <w:szCs w:val="24"/>
        </w:rPr>
        <w:t xml:space="preserve">appear </w:t>
      </w:r>
      <w:r w:rsidRPr="007C61D2">
        <w:rPr>
          <w:rFonts w:ascii="Garamond" w:eastAsia="Times New Roman" w:hAnsi="Garamond" w:cs="Times New Roman"/>
          <w:sz w:val="24"/>
          <w:szCs w:val="24"/>
        </w:rPr>
        <w:t xml:space="preserve">depoliticising </w:t>
      </w:r>
      <w:r w:rsidR="004879CA" w:rsidRPr="007C61D2">
        <w:rPr>
          <w:rFonts w:ascii="Garamond" w:eastAsia="Times New Roman" w:hAnsi="Garamond" w:cs="Times New Roman"/>
          <w:sz w:val="24"/>
          <w:szCs w:val="24"/>
        </w:rPr>
        <w:t xml:space="preserve">to the extent it denies </w:t>
      </w:r>
      <w:r w:rsidRPr="007C61D2">
        <w:rPr>
          <w:rFonts w:ascii="Garamond" w:eastAsia="Times New Roman" w:hAnsi="Garamond" w:cs="Times New Roman"/>
          <w:sz w:val="24"/>
          <w:szCs w:val="24"/>
        </w:rPr>
        <w:t>(or</w:t>
      </w:r>
      <w:r w:rsidR="002D3D25" w:rsidRPr="007C61D2">
        <w:rPr>
          <w:rFonts w:ascii="Garamond" w:eastAsia="Times New Roman" w:hAnsi="Garamond" w:cs="Times New Roman"/>
          <w:sz w:val="24"/>
          <w:szCs w:val="24"/>
        </w:rPr>
        <w:t xml:space="preserve"> fragments</w:t>
      </w:r>
      <w:r w:rsidRPr="007C61D2">
        <w:rPr>
          <w:rFonts w:ascii="Garamond" w:eastAsia="Times New Roman" w:hAnsi="Garamond" w:cs="Times New Roman"/>
          <w:sz w:val="24"/>
          <w:szCs w:val="24"/>
        </w:rPr>
        <w:t>) gendered forms</w:t>
      </w:r>
      <w:r w:rsidR="00792AE6">
        <w:rPr>
          <w:rFonts w:ascii="Garamond" w:eastAsia="Times New Roman" w:hAnsi="Garamond" w:cs="Times New Roman"/>
          <w:sz w:val="24"/>
          <w:szCs w:val="24"/>
        </w:rPr>
        <w:t xml:space="preserve">, and their </w:t>
      </w:r>
      <w:r w:rsidR="002D3D25" w:rsidRPr="007C61D2">
        <w:rPr>
          <w:rFonts w:ascii="Garamond" w:eastAsia="Times New Roman" w:hAnsi="Garamond" w:cs="Times New Roman"/>
          <w:sz w:val="24"/>
          <w:szCs w:val="24"/>
        </w:rPr>
        <w:t>enduring</w:t>
      </w:r>
      <w:r w:rsidR="00AE724A">
        <w:rPr>
          <w:rFonts w:ascii="Garamond" w:eastAsia="Times New Roman" w:hAnsi="Garamond" w:cs="Times New Roman"/>
          <w:sz w:val="24"/>
          <w:szCs w:val="24"/>
        </w:rPr>
        <w:t>,</w:t>
      </w:r>
      <w:r w:rsidR="002D3D25" w:rsidRPr="007C61D2">
        <w:rPr>
          <w:rFonts w:ascii="Garamond" w:eastAsia="Times New Roman" w:hAnsi="Garamond" w:cs="Times New Roman"/>
          <w:sz w:val="24"/>
          <w:szCs w:val="24"/>
        </w:rPr>
        <w:t xml:space="preserve"> </w:t>
      </w:r>
      <w:r w:rsidR="004879CA" w:rsidRPr="007C61D2">
        <w:rPr>
          <w:rFonts w:ascii="Garamond" w:eastAsia="Times New Roman" w:hAnsi="Garamond" w:cs="Times New Roman"/>
          <w:sz w:val="24"/>
          <w:szCs w:val="24"/>
        </w:rPr>
        <w:t>hierarchically ordered effects</w:t>
      </w:r>
      <w:r w:rsidRPr="007C61D2">
        <w:rPr>
          <w:rFonts w:ascii="Garamond" w:eastAsia="Times New Roman" w:hAnsi="Garamond" w:cs="Times New Roman"/>
          <w:sz w:val="24"/>
          <w:szCs w:val="24"/>
        </w:rPr>
        <w:t xml:space="preserve">. </w:t>
      </w:r>
      <w:r w:rsidR="004879CA" w:rsidRPr="007C61D2">
        <w:rPr>
          <w:rFonts w:ascii="Garamond" w:eastAsia="Times New Roman" w:hAnsi="Garamond" w:cs="Times New Roman"/>
          <w:sz w:val="24"/>
          <w:szCs w:val="24"/>
        </w:rPr>
        <w:t xml:space="preserve">One </w:t>
      </w:r>
      <w:r w:rsidR="00312822">
        <w:rPr>
          <w:rFonts w:ascii="Garamond" w:eastAsia="Times New Roman" w:hAnsi="Garamond" w:cs="Times New Roman"/>
          <w:sz w:val="24"/>
          <w:szCs w:val="24"/>
        </w:rPr>
        <w:t xml:space="preserve">contemporary </w:t>
      </w:r>
      <w:r w:rsidR="004879CA" w:rsidRPr="007C61D2">
        <w:rPr>
          <w:rFonts w:ascii="Garamond" w:eastAsia="Times New Roman" w:hAnsi="Garamond" w:cs="Times New Roman"/>
          <w:sz w:val="24"/>
          <w:szCs w:val="24"/>
        </w:rPr>
        <w:t xml:space="preserve">context </w:t>
      </w:r>
      <w:r w:rsidR="00243EE9" w:rsidRPr="007C61D2">
        <w:rPr>
          <w:rFonts w:ascii="Garamond" w:eastAsia="Times New Roman" w:hAnsi="Garamond" w:cs="Times New Roman"/>
          <w:sz w:val="24"/>
          <w:szCs w:val="24"/>
        </w:rPr>
        <w:t xml:space="preserve">where </w:t>
      </w:r>
      <w:r w:rsidR="00312822">
        <w:rPr>
          <w:rFonts w:ascii="Garamond" w:eastAsia="Times New Roman" w:hAnsi="Garamond" w:cs="Times New Roman"/>
          <w:sz w:val="24"/>
          <w:szCs w:val="24"/>
        </w:rPr>
        <w:t xml:space="preserve">this has arisen </w:t>
      </w:r>
      <w:r w:rsidR="007847CB" w:rsidRPr="007C61D2">
        <w:rPr>
          <w:rFonts w:ascii="Garamond" w:eastAsia="Times New Roman" w:hAnsi="Garamond" w:cs="Times New Roman"/>
          <w:sz w:val="24"/>
          <w:szCs w:val="24"/>
        </w:rPr>
        <w:t xml:space="preserve">is </w:t>
      </w:r>
      <w:r w:rsidR="00792AE6">
        <w:rPr>
          <w:rFonts w:ascii="Garamond" w:eastAsia="Times New Roman" w:hAnsi="Garamond" w:cs="Times New Roman"/>
          <w:sz w:val="24"/>
          <w:szCs w:val="24"/>
        </w:rPr>
        <w:t xml:space="preserve">in how to describe </w:t>
      </w:r>
      <w:r w:rsidR="00312822">
        <w:rPr>
          <w:rFonts w:ascii="Garamond" w:eastAsia="Times New Roman" w:hAnsi="Garamond" w:cs="Times New Roman"/>
          <w:sz w:val="24"/>
          <w:szCs w:val="24"/>
        </w:rPr>
        <w:t xml:space="preserve">what are </w:t>
      </w:r>
      <w:r w:rsidR="00243EE9" w:rsidRPr="007C61D2">
        <w:rPr>
          <w:rFonts w:ascii="Garamond" w:eastAsia="Times New Roman" w:hAnsi="Garamond" w:cs="Times New Roman"/>
          <w:sz w:val="24"/>
          <w:szCs w:val="24"/>
        </w:rPr>
        <w:t xml:space="preserve">conventionally </w:t>
      </w:r>
      <w:r w:rsidR="00312822">
        <w:rPr>
          <w:rFonts w:ascii="Garamond" w:eastAsia="Times New Roman" w:hAnsi="Garamond" w:cs="Times New Roman"/>
          <w:sz w:val="24"/>
          <w:szCs w:val="24"/>
        </w:rPr>
        <w:t xml:space="preserve">known as </w:t>
      </w:r>
      <w:r w:rsidRPr="007C61D2">
        <w:rPr>
          <w:rFonts w:ascii="Garamond" w:eastAsia="Times New Roman" w:hAnsi="Garamond" w:cs="Times New Roman"/>
          <w:sz w:val="24"/>
          <w:szCs w:val="24"/>
        </w:rPr>
        <w:t>sex</w:t>
      </w:r>
      <w:r w:rsidR="00312822">
        <w:rPr>
          <w:rFonts w:ascii="Garamond" w:eastAsia="Times New Roman" w:hAnsi="Garamond" w:cs="Times New Roman"/>
          <w:sz w:val="24"/>
          <w:szCs w:val="24"/>
        </w:rPr>
        <w:t>ed</w:t>
      </w:r>
      <w:r w:rsidRPr="007C61D2">
        <w:rPr>
          <w:rFonts w:ascii="Garamond" w:eastAsia="Times New Roman" w:hAnsi="Garamond" w:cs="Times New Roman"/>
          <w:sz w:val="24"/>
          <w:szCs w:val="24"/>
        </w:rPr>
        <w:t xml:space="preserve"> body parts. Should they be described neutrally </w:t>
      </w:r>
      <w:r w:rsidR="004879CA" w:rsidRPr="007C61D2">
        <w:rPr>
          <w:rFonts w:ascii="Garamond" w:eastAsia="Times New Roman" w:hAnsi="Garamond" w:cs="Times New Roman"/>
          <w:sz w:val="24"/>
          <w:szCs w:val="24"/>
        </w:rPr>
        <w:t xml:space="preserve">to be inclusive </w:t>
      </w:r>
      <w:r w:rsidRPr="007C61D2">
        <w:rPr>
          <w:rFonts w:ascii="Garamond" w:eastAsia="Times New Roman" w:hAnsi="Garamond" w:cs="Times New Roman"/>
          <w:sz w:val="24"/>
          <w:szCs w:val="24"/>
        </w:rPr>
        <w:t xml:space="preserve">or </w:t>
      </w:r>
      <w:r w:rsidR="004879CA" w:rsidRPr="007C61D2">
        <w:rPr>
          <w:rFonts w:ascii="Garamond" w:eastAsia="Times New Roman" w:hAnsi="Garamond" w:cs="Times New Roman"/>
          <w:sz w:val="24"/>
          <w:szCs w:val="24"/>
        </w:rPr>
        <w:t xml:space="preserve">through the language </w:t>
      </w:r>
      <w:r w:rsidRPr="007C61D2">
        <w:rPr>
          <w:rFonts w:ascii="Garamond" w:eastAsia="Times New Roman" w:hAnsi="Garamond" w:cs="Times New Roman"/>
          <w:sz w:val="24"/>
          <w:szCs w:val="24"/>
        </w:rPr>
        <w:t xml:space="preserve">that </w:t>
      </w:r>
      <w:r w:rsidR="00243EE9" w:rsidRPr="007C61D2">
        <w:rPr>
          <w:rFonts w:ascii="Garamond" w:eastAsia="Times New Roman" w:hAnsi="Garamond" w:cs="Times New Roman"/>
          <w:sz w:val="24"/>
          <w:szCs w:val="24"/>
        </w:rPr>
        <w:t xml:space="preserve">has </w:t>
      </w:r>
      <w:r w:rsidRPr="007C61D2">
        <w:rPr>
          <w:rFonts w:ascii="Garamond" w:eastAsia="Times New Roman" w:hAnsi="Garamond" w:cs="Times New Roman"/>
          <w:sz w:val="24"/>
          <w:szCs w:val="24"/>
        </w:rPr>
        <w:t>give</w:t>
      </w:r>
      <w:r w:rsidR="00243EE9" w:rsidRPr="007C61D2">
        <w:rPr>
          <w:rFonts w:ascii="Garamond" w:eastAsia="Times New Roman" w:hAnsi="Garamond" w:cs="Times New Roman"/>
          <w:sz w:val="24"/>
          <w:szCs w:val="24"/>
        </w:rPr>
        <w:t>n</w:t>
      </w:r>
      <w:r w:rsidRPr="007C61D2">
        <w:rPr>
          <w:rFonts w:ascii="Garamond" w:eastAsia="Times New Roman" w:hAnsi="Garamond" w:cs="Times New Roman"/>
          <w:sz w:val="24"/>
          <w:szCs w:val="24"/>
        </w:rPr>
        <w:t xml:space="preserve"> them social and political meaning – “uterus- and vagina-havers” or “women</w:t>
      </w:r>
      <w:r w:rsidR="007847CB" w:rsidRPr="007C61D2">
        <w:rPr>
          <w:rFonts w:ascii="Garamond" w:eastAsia="Times New Roman" w:hAnsi="Garamond" w:cs="Times New Roman"/>
          <w:sz w:val="24"/>
          <w:szCs w:val="24"/>
        </w:rPr>
        <w:t>”</w:t>
      </w:r>
      <w:r w:rsidR="002A77DC"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for instance?</w:t>
      </w:r>
      <w:r w:rsidRPr="007C61D2">
        <w:rPr>
          <w:rStyle w:val="FootnoteReference"/>
          <w:rFonts w:ascii="Garamond" w:hAnsi="Garamond" w:cs="Times New Roman"/>
          <w:sz w:val="24"/>
          <w:szCs w:val="24"/>
        </w:rPr>
        <w:footnoteReference w:id="50"/>
      </w:r>
      <w:r w:rsidR="00BA68B5" w:rsidRPr="007C61D2">
        <w:rPr>
          <w:rFonts w:ascii="Garamond" w:eastAsia="Times New Roman" w:hAnsi="Garamond" w:cs="Times New Roman"/>
          <w:sz w:val="24"/>
          <w:szCs w:val="24"/>
        </w:rPr>
        <w:t xml:space="preserve"> Some feminist </w:t>
      </w:r>
      <w:r w:rsidR="00243EE9" w:rsidRPr="007C61D2">
        <w:rPr>
          <w:rFonts w:ascii="Garamond" w:eastAsia="Times New Roman" w:hAnsi="Garamond" w:cs="Times New Roman"/>
          <w:sz w:val="24"/>
          <w:szCs w:val="24"/>
        </w:rPr>
        <w:t xml:space="preserve">critics of sex-neutral body-language </w:t>
      </w:r>
      <w:r w:rsidR="002D3D25" w:rsidRPr="007C61D2">
        <w:rPr>
          <w:rFonts w:ascii="Garamond" w:eastAsia="Times New Roman" w:hAnsi="Garamond" w:cs="Times New Roman"/>
          <w:sz w:val="24"/>
          <w:szCs w:val="24"/>
        </w:rPr>
        <w:t xml:space="preserve">assert </w:t>
      </w:r>
      <w:r w:rsidR="00BA68B5" w:rsidRPr="007C61D2">
        <w:rPr>
          <w:rFonts w:ascii="Garamond" w:eastAsia="Times New Roman" w:hAnsi="Garamond" w:cs="Times New Roman"/>
          <w:sz w:val="24"/>
          <w:szCs w:val="24"/>
        </w:rPr>
        <w:t xml:space="preserve">the </w:t>
      </w:r>
      <w:r w:rsidR="002D3D25" w:rsidRPr="007C61D2">
        <w:rPr>
          <w:rFonts w:ascii="Garamond" w:eastAsia="Times New Roman" w:hAnsi="Garamond" w:cs="Times New Roman"/>
          <w:sz w:val="24"/>
          <w:szCs w:val="24"/>
        </w:rPr>
        <w:t xml:space="preserve">intrinsically </w:t>
      </w:r>
      <w:r w:rsidR="00BA68B5" w:rsidRPr="007C61D2">
        <w:rPr>
          <w:rFonts w:ascii="Garamond" w:eastAsia="Times New Roman" w:hAnsi="Garamond" w:cs="Times New Roman"/>
          <w:sz w:val="24"/>
          <w:szCs w:val="24"/>
        </w:rPr>
        <w:t>sexed character of physical patterns</w:t>
      </w:r>
      <w:r w:rsidR="00557151" w:rsidRPr="007C61D2">
        <w:rPr>
          <w:rFonts w:ascii="Garamond" w:eastAsia="Times New Roman" w:hAnsi="Garamond" w:cs="Times New Roman"/>
          <w:sz w:val="24"/>
          <w:szCs w:val="24"/>
        </w:rPr>
        <w:t xml:space="preserve"> such as menstrual cycles</w:t>
      </w:r>
      <w:r w:rsidR="00B625B0" w:rsidRPr="007C61D2">
        <w:rPr>
          <w:rFonts w:ascii="Garamond" w:eastAsia="Times New Roman" w:hAnsi="Garamond" w:cs="Times New Roman"/>
          <w:sz w:val="24"/>
          <w:szCs w:val="24"/>
        </w:rPr>
        <w:t xml:space="preserve"> and menopause</w:t>
      </w:r>
      <w:r w:rsidR="00BA68B5" w:rsidRPr="007C61D2">
        <w:rPr>
          <w:rFonts w:ascii="Garamond" w:eastAsia="Times New Roman" w:hAnsi="Garamond" w:cs="Times New Roman"/>
          <w:sz w:val="24"/>
          <w:szCs w:val="24"/>
        </w:rPr>
        <w:t xml:space="preserve">, or </w:t>
      </w:r>
      <w:r w:rsidR="00792AE6">
        <w:rPr>
          <w:rFonts w:ascii="Garamond" w:eastAsia="Times New Roman" w:hAnsi="Garamond" w:cs="Times New Roman"/>
          <w:sz w:val="24"/>
          <w:szCs w:val="24"/>
        </w:rPr>
        <w:t xml:space="preserve">of </w:t>
      </w:r>
      <w:r w:rsidR="00BA68B5" w:rsidRPr="007C61D2">
        <w:rPr>
          <w:rFonts w:ascii="Garamond" w:eastAsia="Times New Roman" w:hAnsi="Garamond" w:cs="Times New Roman"/>
          <w:sz w:val="24"/>
          <w:szCs w:val="24"/>
        </w:rPr>
        <w:t xml:space="preserve">the need to use gendered terms that users </w:t>
      </w:r>
      <w:r w:rsidR="00BA68B5" w:rsidRPr="007C61D2">
        <w:rPr>
          <w:rFonts w:ascii="Garamond" w:eastAsia="Times New Roman" w:hAnsi="Garamond" w:cs="Times New Roman"/>
          <w:sz w:val="24"/>
          <w:szCs w:val="24"/>
        </w:rPr>
        <w:lastRenderedPageBreak/>
        <w:t xml:space="preserve">and other publics will recognise. </w:t>
      </w:r>
      <w:r w:rsidR="00557151" w:rsidRPr="007C61D2">
        <w:rPr>
          <w:rFonts w:ascii="Garamond" w:eastAsia="Times New Roman" w:hAnsi="Garamond" w:cs="Times New Roman"/>
          <w:sz w:val="24"/>
          <w:szCs w:val="24"/>
        </w:rPr>
        <w:t xml:space="preserve">Others emphasise the importance of claiming </w:t>
      </w:r>
      <w:r w:rsidR="00243EE9" w:rsidRPr="007C61D2">
        <w:rPr>
          <w:rFonts w:ascii="Garamond" w:eastAsia="Times New Roman" w:hAnsi="Garamond" w:cs="Times New Roman"/>
          <w:sz w:val="24"/>
          <w:szCs w:val="24"/>
        </w:rPr>
        <w:t xml:space="preserve">back </w:t>
      </w:r>
      <w:r w:rsidR="00557151" w:rsidRPr="007C61D2">
        <w:rPr>
          <w:rFonts w:ascii="Garamond" w:eastAsia="Times New Roman" w:hAnsi="Garamond" w:cs="Times New Roman"/>
          <w:sz w:val="24"/>
          <w:szCs w:val="24"/>
        </w:rPr>
        <w:t xml:space="preserve">a </w:t>
      </w:r>
      <w:r w:rsidR="002A77DC" w:rsidRPr="007C61D2">
        <w:rPr>
          <w:rFonts w:ascii="Garamond" w:eastAsia="Times New Roman" w:hAnsi="Garamond" w:cs="Times New Roman"/>
          <w:sz w:val="24"/>
          <w:szCs w:val="24"/>
        </w:rPr>
        <w:t xml:space="preserve">gendered </w:t>
      </w:r>
      <w:r w:rsidR="00557151" w:rsidRPr="007C61D2">
        <w:rPr>
          <w:rFonts w:ascii="Garamond" w:eastAsia="Times New Roman" w:hAnsi="Garamond" w:cs="Times New Roman"/>
          <w:sz w:val="24"/>
          <w:szCs w:val="24"/>
        </w:rPr>
        <w:t xml:space="preserve">category that has been disavowed. </w:t>
      </w:r>
      <w:r w:rsidR="007847CB" w:rsidRPr="007C61D2">
        <w:rPr>
          <w:rFonts w:ascii="Garamond" w:eastAsia="Times New Roman" w:hAnsi="Garamond" w:cs="Times New Roman"/>
          <w:sz w:val="24"/>
          <w:szCs w:val="24"/>
        </w:rPr>
        <w:t>O</w:t>
      </w:r>
      <w:r w:rsidR="00557151" w:rsidRPr="007C61D2">
        <w:rPr>
          <w:rFonts w:ascii="Garamond" w:eastAsia="Times New Roman" w:hAnsi="Garamond" w:cs="Times New Roman"/>
          <w:sz w:val="24"/>
          <w:szCs w:val="24"/>
        </w:rPr>
        <w:t xml:space="preserve">ne NGO </w:t>
      </w:r>
      <w:r w:rsidR="007847CB" w:rsidRPr="007C61D2">
        <w:rPr>
          <w:rFonts w:ascii="Garamond" w:eastAsia="Times New Roman" w:hAnsi="Garamond" w:cs="Times New Roman"/>
          <w:sz w:val="24"/>
          <w:szCs w:val="24"/>
        </w:rPr>
        <w:t xml:space="preserve">member </w:t>
      </w:r>
      <w:r w:rsidR="00557151" w:rsidRPr="007C61D2">
        <w:rPr>
          <w:rFonts w:ascii="Garamond" w:eastAsia="Times New Roman" w:hAnsi="Garamond" w:cs="Times New Roman"/>
          <w:sz w:val="24"/>
          <w:szCs w:val="24"/>
        </w:rPr>
        <w:t xml:space="preserve">told us, </w:t>
      </w:r>
    </w:p>
    <w:p w14:paraId="6DD6E3D0" w14:textId="4802F70B" w:rsidR="00557151" w:rsidRPr="007C61D2" w:rsidRDefault="00557151" w:rsidP="00AB322D">
      <w:pPr>
        <w:spacing w:before="120" w:after="120" w:line="360" w:lineRule="auto"/>
        <w:ind w:left="709"/>
        <w:rPr>
          <w:rFonts w:ascii="Garamond" w:eastAsia="Times New Roman" w:hAnsi="Garamond" w:cs="Times New Roman"/>
          <w:sz w:val="24"/>
          <w:szCs w:val="24"/>
        </w:rPr>
      </w:pPr>
      <w:r w:rsidRPr="007C61D2">
        <w:rPr>
          <w:rFonts w:ascii="Garamond" w:eastAsia="Times New Roman" w:hAnsi="Garamond" w:cs="Times New Roman"/>
          <w:sz w:val="24"/>
          <w:szCs w:val="24"/>
        </w:rPr>
        <w:t xml:space="preserve">“I mean there are good feminist reasons for </w:t>
      </w:r>
      <w:r w:rsidR="00B625B0"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not bowing to pressure to never again utter the word </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woman</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which is rapidly becoming a dirty word. </w:t>
      </w:r>
      <w:r w:rsidR="00B625B0"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I think there are feminist reasons and reasons … to do with equality. I think there are also very pragmatic reasons for us in terms of the groups that we work with, that actually being understandable and accessible, and talking to women in language that they understand, given that lots of the women who access our services don</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t have English as their first language</w:t>
      </w:r>
      <w:r w:rsidR="00243EE9"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t>
      </w:r>
      <w:r w:rsidR="009A721F" w:rsidRPr="007C61D2">
        <w:rPr>
          <w:rFonts w:ascii="Garamond" w:eastAsia="Times New Roman" w:hAnsi="Garamond" w:cs="Times New Roman"/>
          <w:sz w:val="24"/>
          <w:szCs w:val="24"/>
        </w:rPr>
        <w:t>I’ve seen it elsewhere, p</w:t>
      </w:r>
      <w:r w:rsidRPr="007C61D2">
        <w:rPr>
          <w:rFonts w:ascii="Garamond" w:eastAsia="Times New Roman" w:hAnsi="Garamond" w:cs="Times New Roman"/>
          <w:sz w:val="24"/>
          <w:szCs w:val="24"/>
        </w:rPr>
        <w:t>ressures to talk about people with uteruses or people who can become pregnant and, actually, it</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s just very clumsy language that doesn</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t speak to the vast majority of women who would need those services.”</w:t>
      </w:r>
    </w:p>
    <w:p w14:paraId="22678935" w14:textId="1BDC098F" w:rsidR="00243EE9" w:rsidRPr="007C61D2" w:rsidRDefault="001B6B29">
      <w:pPr>
        <w:spacing w:before="12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I</w:t>
      </w:r>
      <w:r w:rsidR="00BA68B5" w:rsidRPr="007C61D2">
        <w:rPr>
          <w:rFonts w:ascii="Garamond" w:eastAsia="Times New Roman" w:hAnsi="Garamond" w:cs="Times New Roman"/>
          <w:sz w:val="24"/>
          <w:szCs w:val="24"/>
        </w:rPr>
        <w:t xml:space="preserve">dentifying and naming bodily assemblages in gendered terms </w:t>
      </w:r>
      <w:r w:rsidR="002A77DC" w:rsidRPr="007C61D2">
        <w:rPr>
          <w:rFonts w:ascii="Garamond" w:eastAsia="Times New Roman" w:hAnsi="Garamond" w:cs="Times New Roman"/>
          <w:sz w:val="24"/>
          <w:szCs w:val="24"/>
        </w:rPr>
        <w:t xml:space="preserve">can </w:t>
      </w:r>
      <w:r w:rsidR="00243EE9" w:rsidRPr="007C61D2">
        <w:rPr>
          <w:rFonts w:ascii="Garamond" w:eastAsia="Times New Roman" w:hAnsi="Garamond" w:cs="Times New Roman"/>
          <w:sz w:val="24"/>
          <w:szCs w:val="24"/>
        </w:rPr>
        <w:t xml:space="preserve">be </w:t>
      </w:r>
      <w:r w:rsidRPr="007C61D2">
        <w:rPr>
          <w:rFonts w:ascii="Garamond" w:eastAsia="Times New Roman" w:hAnsi="Garamond" w:cs="Times New Roman"/>
          <w:sz w:val="24"/>
          <w:szCs w:val="24"/>
        </w:rPr>
        <w:t xml:space="preserve">important because </w:t>
      </w:r>
      <w:r w:rsidR="00BA68B5" w:rsidRPr="007C61D2">
        <w:rPr>
          <w:rFonts w:ascii="Garamond" w:eastAsia="Times New Roman" w:hAnsi="Garamond" w:cs="Times New Roman"/>
          <w:sz w:val="24"/>
          <w:szCs w:val="24"/>
        </w:rPr>
        <w:t xml:space="preserve">it is in and through these social terms that such assemblages form and work. </w:t>
      </w:r>
      <w:r w:rsidR="00557151" w:rsidRPr="007C61D2">
        <w:rPr>
          <w:rFonts w:ascii="Garamond" w:eastAsia="Times New Roman" w:hAnsi="Garamond" w:cs="Times New Roman"/>
          <w:sz w:val="24"/>
          <w:szCs w:val="24"/>
        </w:rPr>
        <w:t xml:space="preserve">In other words, it is through concepts </w:t>
      </w:r>
      <w:r w:rsidR="00243EE9" w:rsidRPr="007C61D2">
        <w:rPr>
          <w:rFonts w:ascii="Garamond" w:eastAsia="Times New Roman" w:hAnsi="Garamond" w:cs="Times New Roman"/>
          <w:sz w:val="24"/>
          <w:szCs w:val="24"/>
        </w:rPr>
        <w:t xml:space="preserve">such as </w:t>
      </w:r>
      <w:r w:rsidR="00557151" w:rsidRPr="007C61D2">
        <w:rPr>
          <w:rFonts w:ascii="Garamond" w:eastAsia="Times New Roman" w:hAnsi="Garamond" w:cs="Times New Roman"/>
          <w:sz w:val="24"/>
          <w:szCs w:val="24"/>
        </w:rPr>
        <w:t>woman</w:t>
      </w:r>
      <w:r w:rsidR="00243EE9" w:rsidRPr="007C61D2">
        <w:rPr>
          <w:rFonts w:ascii="Garamond" w:eastAsia="Times New Roman" w:hAnsi="Garamond" w:cs="Times New Roman"/>
          <w:sz w:val="24"/>
          <w:szCs w:val="24"/>
        </w:rPr>
        <w:t xml:space="preserve"> and</w:t>
      </w:r>
      <w:r w:rsidR="00557151" w:rsidRPr="007C61D2">
        <w:rPr>
          <w:rFonts w:ascii="Garamond" w:eastAsia="Times New Roman" w:hAnsi="Garamond" w:cs="Times New Roman"/>
          <w:sz w:val="24"/>
          <w:szCs w:val="24"/>
        </w:rPr>
        <w:t xml:space="preserve"> man</w:t>
      </w:r>
      <w:r w:rsidR="00312822">
        <w:rPr>
          <w:rFonts w:ascii="Garamond" w:eastAsia="Times New Roman" w:hAnsi="Garamond" w:cs="Times New Roman"/>
          <w:sz w:val="24"/>
          <w:szCs w:val="24"/>
        </w:rPr>
        <w:t xml:space="preserve"> </w:t>
      </w:r>
      <w:r w:rsidR="00557151" w:rsidRPr="007C61D2">
        <w:rPr>
          <w:rFonts w:ascii="Garamond" w:eastAsia="Times New Roman" w:hAnsi="Garamond" w:cs="Times New Roman"/>
          <w:sz w:val="24"/>
          <w:szCs w:val="24"/>
        </w:rPr>
        <w:t xml:space="preserve">that </w:t>
      </w:r>
      <w:r w:rsidR="00243EE9" w:rsidRPr="007C61D2">
        <w:rPr>
          <w:rFonts w:ascii="Garamond" w:eastAsia="Times New Roman" w:hAnsi="Garamond" w:cs="Times New Roman"/>
          <w:sz w:val="24"/>
          <w:szCs w:val="24"/>
        </w:rPr>
        <w:t xml:space="preserve">gendered </w:t>
      </w:r>
      <w:r w:rsidR="00557151" w:rsidRPr="007C61D2">
        <w:rPr>
          <w:rFonts w:ascii="Garamond" w:eastAsia="Times New Roman" w:hAnsi="Garamond" w:cs="Times New Roman"/>
          <w:sz w:val="24"/>
          <w:szCs w:val="24"/>
        </w:rPr>
        <w:t xml:space="preserve">characteristics are articulated together, given meaning, and have effects. </w:t>
      </w:r>
      <w:r w:rsidR="00BA68B5" w:rsidRPr="007C61D2">
        <w:rPr>
          <w:rFonts w:ascii="Garamond" w:eastAsia="Times New Roman" w:hAnsi="Garamond" w:cs="Times New Roman"/>
          <w:sz w:val="24"/>
          <w:szCs w:val="24"/>
        </w:rPr>
        <w:t xml:space="preserve">A similar argument can be made </w:t>
      </w:r>
      <w:r w:rsidR="00557151" w:rsidRPr="007C61D2">
        <w:rPr>
          <w:rFonts w:ascii="Garamond" w:eastAsia="Times New Roman" w:hAnsi="Garamond" w:cs="Times New Roman"/>
          <w:sz w:val="24"/>
          <w:szCs w:val="24"/>
        </w:rPr>
        <w:t xml:space="preserve">for </w:t>
      </w:r>
      <w:r w:rsidR="00BA68B5" w:rsidRPr="007C61D2">
        <w:rPr>
          <w:rFonts w:ascii="Garamond" w:eastAsia="Times New Roman" w:hAnsi="Garamond" w:cs="Times New Roman"/>
          <w:sz w:val="24"/>
          <w:szCs w:val="24"/>
        </w:rPr>
        <w:t xml:space="preserve">other categories of social injustice. </w:t>
      </w:r>
      <w:r w:rsidR="00826B76" w:rsidRPr="007C61D2">
        <w:rPr>
          <w:rFonts w:ascii="Garamond" w:eastAsia="Times New Roman" w:hAnsi="Garamond" w:cs="Times New Roman"/>
          <w:sz w:val="24"/>
          <w:szCs w:val="24"/>
        </w:rPr>
        <w:t>The challenge</w:t>
      </w:r>
      <w:r w:rsidRPr="007C61D2">
        <w:rPr>
          <w:rFonts w:ascii="Garamond" w:eastAsia="Times New Roman" w:hAnsi="Garamond" w:cs="Times New Roman"/>
          <w:sz w:val="24"/>
          <w:szCs w:val="24"/>
        </w:rPr>
        <w:t>, however,</w:t>
      </w:r>
      <w:r w:rsidR="00826B76" w:rsidRPr="007C61D2">
        <w:rPr>
          <w:rFonts w:ascii="Garamond" w:eastAsia="Times New Roman" w:hAnsi="Garamond" w:cs="Times New Roman"/>
          <w:sz w:val="24"/>
          <w:szCs w:val="24"/>
        </w:rPr>
        <w:t xml:space="preserve"> is how to </w:t>
      </w:r>
      <w:r w:rsidR="00243EE9" w:rsidRPr="007C61D2">
        <w:rPr>
          <w:rFonts w:ascii="Garamond" w:eastAsia="Times New Roman" w:hAnsi="Garamond" w:cs="Times New Roman"/>
          <w:sz w:val="24"/>
          <w:szCs w:val="24"/>
        </w:rPr>
        <w:t xml:space="preserve">recognise the organising work, ideationally and materially, that these terms </w:t>
      </w:r>
      <w:r w:rsidR="00826B76" w:rsidRPr="007C61D2">
        <w:rPr>
          <w:rFonts w:ascii="Garamond" w:eastAsia="Times New Roman" w:hAnsi="Garamond" w:cs="Times New Roman"/>
          <w:sz w:val="24"/>
          <w:szCs w:val="24"/>
        </w:rPr>
        <w:t>do while</w:t>
      </w:r>
      <w:r w:rsidR="00792AE6">
        <w:rPr>
          <w:rFonts w:ascii="Garamond" w:eastAsia="Times New Roman" w:hAnsi="Garamond" w:cs="Times New Roman"/>
          <w:sz w:val="24"/>
          <w:szCs w:val="24"/>
        </w:rPr>
        <w:t xml:space="preserve"> </w:t>
      </w:r>
      <w:r w:rsidR="00826B76" w:rsidRPr="007C61D2">
        <w:rPr>
          <w:rFonts w:ascii="Garamond" w:eastAsia="Times New Roman" w:hAnsi="Garamond" w:cs="Times New Roman"/>
          <w:sz w:val="24"/>
          <w:szCs w:val="24"/>
        </w:rPr>
        <w:t xml:space="preserve">supporting moves to destabilise </w:t>
      </w:r>
      <w:r w:rsidR="00243EE9" w:rsidRPr="007C61D2">
        <w:rPr>
          <w:rFonts w:ascii="Garamond" w:eastAsia="Times New Roman" w:hAnsi="Garamond" w:cs="Times New Roman"/>
          <w:sz w:val="24"/>
          <w:szCs w:val="24"/>
        </w:rPr>
        <w:t>them (given their legacies</w:t>
      </w:r>
      <w:r w:rsidR="002D3D25" w:rsidRPr="007C61D2">
        <w:rPr>
          <w:rFonts w:ascii="Garamond" w:eastAsia="Times New Roman" w:hAnsi="Garamond" w:cs="Times New Roman"/>
          <w:sz w:val="24"/>
          <w:szCs w:val="24"/>
        </w:rPr>
        <w:t>, exclusions</w:t>
      </w:r>
      <w:r w:rsidR="00243EE9" w:rsidRPr="007C61D2">
        <w:rPr>
          <w:rFonts w:ascii="Garamond" w:eastAsia="Times New Roman" w:hAnsi="Garamond" w:cs="Times New Roman"/>
          <w:sz w:val="24"/>
          <w:szCs w:val="24"/>
        </w:rPr>
        <w:t xml:space="preserve"> and power-asymmetries)</w:t>
      </w:r>
      <w:r w:rsidR="00792AE6" w:rsidRPr="007C61D2">
        <w:rPr>
          <w:rFonts w:ascii="Garamond" w:eastAsia="Times New Roman" w:hAnsi="Garamond" w:cs="Times New Roman"/>
          <w:sz w:val="24"/>
          <w:szCs w:val="24"/>
        </w:rPr>
        <w:t xml:space="preserve">, on the one hand, </w:t>
      </w:r>
      <w:r w:rsidR="00A619C5" w:rsidRPr="007C61D2">
        <w:rPr>
          <w:rFonts w:ascii="Garamond" w:eastAsia="Times New Roman" w:hAnsi="Garamond" w:cs="Times New Roman"/>
          <w:sz w:val="24"/>
          <w:szCs w:val="24"/>
        </w:rPr>
        <w:t xml:space="preserve"> and, on the other</w:t>
      </w:r>
      <w:r w:rsidR="00792AE6">
        <w:rPr>
          <w:rFonts w:ascii="Garamond" w:eastAsia="Times New Roman" w:hAnsi="Garamond" w:cs="Times New Roman"/>
          <w:sz w:val="24"/>
          <w:szCs w:val="24"/>
        </w:rPr>
        <w:t>,</w:t>
      </w:r>
      <w:r w:rsidR="00243EE9" w:rsidRPr="007C61D2">
        <w:rPr>
          <w:rFonts w:ascii="Garamond" w:eastAsia="Times New Roman" w:hAnsi="Garamond" w:cs="Times New Roman"/>
          <w:sz w:val="24"/>
          <w:szCs w:val="24"/>
        </w:rPr>
        <w:t xml:space="preserve"> </w:t>
      </w:r>
      <w:r w:rsidR="00792AE6">
        <w:rPr>
          <w:rFonts w:ascii="Garamond" w:eastAsia="Times New Roman" w:hAnsi="Garamond" w:cs="Times New Roman"/>
          <w:sz w:val="24"/>
          <w:szCs w:val="24"/>
        </w:rPr>
        <w:t xml:space="preserve">to </w:t>
      </w:r>
      <w:r w:rsidR="00826B76" w:rsidRPr="007C61D2">
        <w:rPr>
          <w:rFonts w:ascii="Garamond" w:eastAsia="Times New Roman" w:hAnsi="Garamond" w:cs="Times New Roman"/>
          <w:sz w:val="24"/>
          <w:szCs w:val="24"/>
        </w:rPr>
        <w:t>prefigur</w:t>
      </w:r>
      <w:r w:rsidR="00792AE6">
        <w:rPr>
          <w:rFonts w:ascii="Garamond" w:eastAsia="Times New Roman" w:hAnsi="Garamond" w:cs="Times New Roman"/>
          <w:sz w:val="24"/>
          <w:szCs w:val="24"/>
        </w:rPr>
        <w:t xml:space="preserve">e </w:t>
      </w:r>
      <w:r w:rsidR="00826B76" w:rsidRPr="007C61D2">
        <w:rPr>
          <w:rFonts w:ascii="Garamond" w:eastAsia="Times New Roman" w:hAnsi="Garamond" w:cs="Times New Roman"/>
          <w:sz w:val="24"/>
          <w:szCs w:val="24"/>
        </w:rPr>
        <w:t>new more progressive</w:t>
      </w:r>
      <w:r w:rsidR="00792AE6">
        <w:rPr>
          <w:rFonts w:ascii="Garamond" w:eastAsia="Times New Roman" w:hAnsi="Garamond" w:cs="Times New Roman"/>
          <w:sz w:val="24"/>
          <w:szCs w:val="24"/>
        </w:rPr>
        <w:t xml:space="preserve"> representational (and more-than-representational) </w:t>
      </w:r>
      <w:r w:rsidR="00312822">
        <w:rPr>
          <w:rFonts w:ascii="Garamond" w:eastAsia="Times New Roman" w:hAnsi="Garamond" w:cs="Times New Roman"/>
          <w:sz w:val="24"/>
          <w:szCs w:val="24"/>
        </w:rPr>
        <w:t>terms</w:t>
      </w:r>
      <w:r w:rsidR="00826B76" w:rsidRPr="007C61D2">
        <w:rPr>
          <w:rFonts w:ascii="Garamond" w:eastAsia="Times New Roman" w:hAnsi="Garamond" w:cs="Times New Roman"/>
          <w:sz w:val="24"/>
          <w:szCs w:val="24"/>
        </w:rPr>
        <w:t xml:space="preserve">. </w:t>
      </w:r>
    </w:p>
    <w:p w14:paraId="2B9E88D2" w14:textId="78EF13CD" w:rsidR="006B22DB" w:rsidRPr="007C61D2" w:rsidRDefault="009D67B1" w:rsidP="00654B6E">
      <w:pPr>
        <w:pStyle w:val="Heading2"/>
        <w:spacing w:before="240"/>
      </w:pPr>
      <w:r>
        <w:t xml:space="preserve">5. </w:t>
      </w:r>
      <w:r w:rsidR="005A2B88" w:rsidRPr="007C61D2">
        <w:t>D</w:t>
      </w:r>
      <w:r w:rsidR="00826B76" w:rsidRPr="007C61D2">
        <w:t xml:space="preserve">ecertification </w:t>
      </w:r>
      <w:r w:rsidR="005A2B88" w:rsidRPr="007C61D2">
        <w:t xml:space="preserve">and </w:t>
      </w:r>
      <w:r w:rsidR="00826B76" w:rsidRPr="007C61D2">
        <w:t>gender</w:t>
      </w:r>
      <w:r w:rsidR="005A2B88" w:rsidRPr="007C61D2">
        <w:t>-</w:t>
      </w:r>
      <w:r w:rsidR="00826B76" w:rsidRPr="007C61D2">
        <w:t>neutral androcentric law</w:t>
      </w:r>
    </w:p>
    <w:p w14:paraId="30E25499" w14:textId="1329FA3E" w:rsidR="003F6815" w:rsidRPr="007C61D2" w:rsidRDefault="00DE3D68" w:rsidP="00AB322D">
      <w:pPr>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The place of human </w:t>
      </w:r>
      <w:r w:rsidR="006265C3" w:rsidRPr="007C61D2">
        <w:rPr>
          <w:rFonts w:ascii="Garamond" w:eastAsia="Times New Roman" w:hAnsi="Garamond" w:cs="Times New Roman"/>
          <w:sz w:val="24"/>
          <w:szCs w:val="24"/>
        </w:rPr>
        <w:t xml:space="preserve">subjects </w:t>
      </w:r>
      <w:r w:rsidRPr="007C61D2">
        <w:rPr>
          <w:rFonts w:ascii="Garamond" w:eastAsia="Times New Roman" w:hAnsi="Garamond" w:cs="Times New Roman"/>
          <w:sz w:val="24"/>
          <w:szCs w:val="24"/>
        </w:rPr>
        <w:t xml:space="preserve">in </w:t>
      </w:r>
      <w:r w:rsidR="002A77DC" w:rsidRPr="007C61D2">
        <w:rPr>
          <w:rFonts w:ascii="Garamond" w:eastAsia="Times New Roman" w:hAnsi="Garamond" w:cs="Times New Roman"/>
          <w:sz w:val="24"/>
          <w:szCs w:val="24"/>
        </w:rPr>
        <w:t xml:space="preserve">negotiating, </w:t>
      </w:r>
      <w:r w:rsidRPr="007C61D2">
        <w:rPr>
          <w:rFonts w:ascii="Garamond" w:eastAsia="Times New Roman" w:hAnsi="Garamond" w:cs="Times New Roman"/>
          <w:sz w:val="24"/>
          <w:szCs w:val="24"/>
        </w:rPr>
        <w:t>recrafting</w:t>
      </w:r>
      <w:r w:rsidR="002A77DC"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and being subject to the social life of gender is an enduringly complex and complicating aspect of </w:t>
      </w:r>
      <w:r w:rsidR="001307B0" w:rsidRPr="007C61D2">
        <w:rPr>
          <w:rFonts w:ascii="Garamond" w:eastAsia="Times New Roman" w:hAnsi="Garamond" w:cs="Times New Roman"/>
          <w:sz w:val="24"/>
          <w:szCs w:val="24"/>
        </w:rPr>
        <w:t xml:space="preserve">gender-based </w:t>
      </w:r>
      <w:r w:rsidRPr="007C61D2">
        <w:rPr>
          <w:rFonts w:ascii="Garamond" w:eastAsia="Times New Roman" w:hAnsi="Garamond" w:cs="Times New Roman"/>
          <w:sz w:val="24"/>
          <w:szCs w:val="24"/>
        </w:rPr>
        <w:t xml:space="preserve">law reform. </w:t>
      </w:r>
      <w:r w:rsidR="001307B0" w:rsidRPr="007C61D2">
        <w:rPr>
          <w:rFonts w:ascii="Garamond" w:eastAsia="Times New Roman" w:hAnsi="Garamond" w:cs="Times New Roman"/>
          <w:sz w:val="24"/>
          <w:szCs w:val="24"/>
        </w:rPr>
        <w:t xml:space="preserve">While different features of oppression are felt as harms by human subjects, we approach gender </w:t>
      </w:r>
      <w:r w:rsidR="00C64EE7" w:rsidRPr="007C61D2">
        <w:rPr>
          <w:rFonts w:ascii="Garamond" w:eastAsia="Times New Roman" w:hAnsi="Garamond" w:cs="Times New Roman"/>
          <w:sz w:val="24"/>
          <w:szCs w:val="24"/>
        </w:rPr>
        <w:t>in this article and project</w:t>
      </w:r>
      <w:r w:rsidR="002D3D25" w:rsidRPr="007C61D2">
        <w:rPr>
          <w:rFonts w:ascii="Garamond" w:eastAsia="Times New Roman" w:hAnsi="Garamond" w:cs="Times New Roman"/>
          <w:sz w:val="24"/>
          <w:szCs w:val="24"/>
        </w:rPr>
        <w:t>, more generally,</w:t>
      </w:r>
      <w:r w:rsidR="00C64EE7" w:rsidRPr="007C61D2">
        <w:rPr>
          <w:rFonts w:ascii="Garamond" w:eastAsia="Times New Roman" w:hAnsi="Garamond" w:cs="Times New Roman"/>
          <w:sz w:val="24"/>
          <w:szCs w:val="24"/>
        </w:rPr>
        <w:t xml:space="preserve"> </w:t>
      </w:r>
      <w:r w:rsidR="001307B0" w:rsidRPr="007C61D2">
        <w:rPr>
          <w:rFonts w:ascii="Garamond" w:eastAsia="Times New Roman" w:hAnsi="Garamond" w:cs="Times New Roman"/>
          <w:sz w:val="24"/>
          <w:szCs w:val="24"/>
        </w:rPr>
        <w:t xml:space="preserve">as a </w:t>
      </w:r>
      <w:r w:rsidR="0024415E" w:rsidRPr="007C61D2">
        <w:rPr>
          <w:rFonts w:ascii="Garamond" w:eastAsia="Times New Roman" w:hAnsi="Garamond" w:cs="Times New Roman"/>
          <w:sz w:val="24"/>
          <w:szCs w:val="24"/>
        </w:rPr>
        <w:t xml:space="preserve">societal </w:t>
      </w:r>
      <w:r w:rsidR="001307B0" w:rsidRPr="007C61D2">
        <w:rPr>
          <w:rFonts w:ascii="Garamond" w:eastAsia="Times New Roman" w:hAnsi="Garamond" w:cs="Times New Roman"/>
          <w:sz w:val="24"/>
          <w:szCs w:val="24"/>
        </w:rPr>
        <w:t xml:space="preserve">condition. </w:t>
      </w:r>
      <w:r w:rsidR="00826B76" w:rsidRPr="007C61D2">
        <w:rPr>
          <w:rFonts w:ascii="Garamond" w:eastAsia="Times New Roman" w:hAnsi="Garamond" w:cs="Times New Roman"/>
          <w:sz w:val="24"/>
          <w:szCs w:val="24"/>
        </w:rPr>
        <w:t>P</w:t>
      </w:r>
      <w:r w:rsidR="001307B0" w:rsidRPr="007C61D2">
        <w:rPr>
          <w:rFonts w:ascii="Garamond" w:eastAsia="Times New Roman" w:hAnsi="Garamond" w:cs="Times New Roman"/>
          <w:sz w:val="24"/>
          <w:szCs w:val="24"/>
        </w:rPr>
        <w:t xml:space="preserve">eople </w:t>
      </w:r>
      <w:r w:rsidR="001307B0" w:rsidRPr="007C61D2">
        <w:rPr>
          <w:rFonts w:ascii="Garamond" w:eastAsia="Times New Roman" w:hAnsi="Garamond" w:cs="Times New Roman"/>
          <w:i/>
          <w:iCs/>
          <w:sz w:val="24"/>
          <w:szCs w:val="24"/>
        </w:rPr>
        <w:t>experience</w:t>
      </w:r>
      <w:r w:rsidR="001307B0" w:rsidRPr="007C61D2">
        <w:rPr>
          <w:rFonts w:ascii="Garamond" w:eastAsia="Times New Roman" w:hAnsi="Garamond" w:cs="Times New Roman"/>
          <w:sz w:val="24"/>
          <w:szCs w:val="24"/>
        </w:rPr>
        <w:t xml:space="preserve"> gender</w:t>
      </w:r>
      <w:r w:rsidR="00C64EE7" w:rsidRPr="007C61D2">
        <w:rPr>
          <w:rFonts w:ascii="Garamond" w:eastAsia="Times New Roman" w:hAnsi="Garamond" w:cs="Times New Roman"/>
          <w:sz w:val="24"/>
          <w:szCs w:val="24"/>
        </w:rPr>
        <w:t>;</w:t>
      </w:r>
      <w:r w:rsidR="001307B0" w:rsidRPr="007C61D2">
        <w:rPr>
          <w:rFonts w:ascii="Garamond" w:eastAsia="Times New Roman" w:hAnsi="Garamond" w:cs="Times New Roman"/>
          <w:sz w:val="24"/>
          <w:szCs w:val="24"/>
        </w:rPr>
        <w:t xml:space="preserve"> and, personally and collectively, </w:t>
      </w:r>
      <w:r w:rsidR="008C136A" w:rsidRPr="007C61D2">
        <w:rPr>
          <w:rFonts w:ascii="Garamond" w:eastAsia="Times New Roman" w:hAnsi="Garamond" w:cs="Times New Roman"/>
          <w:sz w:val="24"/>
          <w:szCs w:val="24"/>
        </w:rPr>
        <w:t xml:space="preserve">help to </w:t>
      </w:r>
      <w:r w:rsidR="001307B0" w:rsidRPr="007C61D2">
        <w:rPr>
          <w:rFonts w:ascii="Garamond" w:eastAsia="Times New Roman" w:hAnsi="Garamond" w:cs="Times New Roman"/>
          <w:i/>
          <w:iCs/>
          <w:sz w:val="24"/>
          <w:szCs w:val="24"/>
        </w:rPr>
        <w:t>remake</w:t>
      </w:r>
      <w:r w:rsidR="00D7544A" w:rsidRPr="007C61D2">
        <w:rPr>
          <w:rFonts w:ascii="Garamond" w:eastAsia="Times New Roman" w:hAnsi="Garamond" w:cs="Times New Roman"/>
          <w:i/>
          <w:iCs/>
          <w:sz w:val="24"/>
          <w:szCs w:val="24"/>
        </w:rPr>
        <w:t xml:space="preserve"> </w:t>
      </w:r>
      <w:r w:rsidR="00D7544A" w:rsidRPr="007C61D2">
        <w:rPr>
          <w:rFonts w:ascii="Garamond" w:eastAsia="Times New Roman" w:hAnsi="Garamond" w:cs="Times New Roman"/>
          <w:sz w:val="24"/>
          <w:szCs w:val="24"/>
        </w:rPr>
        <w:t>it, b</w:t>
      </w:r>
      <w:r w:rsidR="001307B0" w:rsidRPr="007C61D2">
        <w:rPr>
          <w:rFonts w:ascii="Garamond" w:eastAsia="Times New Roman" w:hAnsi="Garamond" w:cs="Times New Roman"/>
          <w:sz w:val="24"/>
          <w:szCs w:val="24"/>
        </w:rPr>
        <w:t xml:space="preserve">ut </w:t>
      </w:r>
      <w:r w:rsidR="008C136A" w:rsidRPr="007C61D2">
        <w:rPr>
          <w:rFonts w:ascii="Garamond" w:eastAsia="Times New Roman" w:hAnsi="Garamond" w:cs="Times New Roman"/>
          <w:sz w:val="24"/>
          <w:szCs w:val="24"/>
        </w:rPr>
        <w:t xml:space="preserve">conceptualising </w:t>
      </w:r>
      <w:r w:rsidR="001307B0" w:rsidRPr="007C61D2">
        <w:rPr>
          <w:rFonts w:ascii="Garamond" w:eastAsia="Times New Roman" w:hAnsi="Garamond" w:cs="Times New Roman"/>
          <w:sz w:val="24"/>
          <w:szCs w:val="24"/>
        </w:rPr>
        <w:t xml:space="preserve">gender </w:t>
      </w:r>
      <w:r w:rsidR="008C136A" w:rsidRPr="007C61D2">
        <w:rPr>
          <w:rFonts w:ascii="Garamond" w:eastAsia="Times New Roman" w:hAnsi="Garamond" w:cs="Times New Roman"/>
          <w:sz w:val="24"/>
          <w:szCs w:val="24"/>
        </w:rPr>
        <w:t xml:space="preserve">as </w:t>
      </w:r>
      <w:r w:rsidR="001307B0" w:rsidRPr="007C61D2">
        <w:rPr>
          <w:rFonts w:ascii="Garamond" w:eastAsia="Times New Roman" w:hAnsi="Garamond" w:cs="Times New Roman"/>
          <w:sz w:val="24"/>
          <w:szCs w:val="24"/>
        </w:rPr>
        <w:t>a property or dimension of personhood</w:t>
      </w:r>
      <w:r w:rsidR="008C136A" w:rsidRPr="007C61D2">
        <w:rPr>
          <w:rFonts w:ascii="Garamond" w:eastAsia="Times New Roman" w:hAnsi="Garamond" w:cs="Times New Roman"/>
          <w:sz w:val="24"/>
          <w:szCs w:val="24"/>
        </w:rPr>
        <w:t xml:space="preserve"> is too limited</w:t>
      </w:r>
      <w:r w:rsidR="001307B0" w:rsidRPr="007C61D2">
        <w:rPr>
          <w:rFonts w:ascii="Garamond" w:eastAsia="Times New Roman" w:hAnsi="Garamond" w:cs="Times New Roman"/>
          <w:sz w:val="24"/>
          <w:szCs w:val="24"/>
        </w:rPr>
        <w:t xml:space="preserve">. </w:t>
      </w:r>
      <w:r w:rsidR="008C136A" w:rsidRPr="007C61D2">
        <w:rPr>
          <w:rFonts w:ascii="Garamond" w:eastAsia="Times New Roman" w:hAnsi="Garamond" w:cs="Times New Roman"/>
          <w:sz w:val="24"/>
          <w:szCs w:val="24"/>
        </w:rPr>
        <w:t xml:space="preserve">Gender </w:t>
      </w:r>
      <w:r w:rsidR="00746500" w:rsidRPr="007C61D2">
        <w:rPr>
          <w:rFonts w:ascii="Garamond" w:eastAsia="Times New Roman" w:hAnsi="Garamond" w:cs="Times New Roman"/>
          <w:sz w:val="24"/>
          <w:szCs w:val="24"/>
        </w:rPr>
        <w:t xml:space="preserve">is far more </w:t>
      </w:r>
      <w:r w:rsidR="00E10046" w:rsidRPr="007C61D2">
        <w:rPr>
          <w:rFonts w:ascii="Garamond" w:eastAsia="Times New Roman" w:hAnsi="Garamond" w:cs="Times New Roman"/>
          <w:sz w:val="24"/>
          <w:szCs w:val="24"/>
        </w:rPr>
        <w:t>networked</w:t>
      </w:r>
      <w:r w:rsidR="00792AE6">
        <w:rPr>
          <w:rFonts w:ascii="Garamond" w:eastAsia="Times New Roman" w:hAnsi="Garamond" w:cs="Times New Roman"/>
          <w:sz w:val="24"/>
          <w:szCs w:val="24"/>
        </w:rPr>
        <w:t>,</w:t>
      </w:r>
      <w:r w:rsidR="00E10046" w:rsidRPr="007C61D2">
        <w:rPr>
          <w:rStyle w:val="FootnoteReference"/>
          <w:rFonts w:ascii="Garamond" w:eastAsia="Times New Roman" w:hAnsi="Garamond" w:cs="Times New Roman"/>
          <w:sz w:val="24"/>
          <w:szCs w:val="24"/>
        </w:rPr>
        <w:footnoteReference w:id="51"/>
      </w:r>
      <w:r w:rsidR="00E10046" w:rsidRPr="007C61D2">
        <w:rPr>
          <w:rFonts w:ascii="Garamond" w:eastAsia="Times New Roman" w:hAnsi="Garamond" w:cs="Times New Roman"/>
          <w:sz w:val="24"/>
          <w:szCs w:val="24"/>
        </w:rPr>
        <w:t xml:space="preserve"> </w:t>
      </w:r>
      <w:r w:rsidR="00792AE6">
        <w:rPr>
          <w:rFonts w:ascii="Garamond" w:eastAsia="Times New Roman" w:hAnsi="Garamond" w:cs="Times New Roman"/>
          <w:sz w:val="24"/>
          <w:szCs w:val="24"/>
        </w:rPr>
        <w:t xml:space="preserve">far more social, </w:t>
      </w:r>
      <w:r w:rsidR="00E10046" w:rsidRPr="007C61D2">
        <w:rPr>
          <w:rFonts w:ascii="Garamond" w:eastAsia="Times New Roman" w:hAnsi="Garamond" w:cs="Times New Roman"/>
          <w:sz w:val="24"/>
          <w:szCs w:val="24"/>
        </w:rPr>
        <w:t xml:space="preserve">and far more </w:t>
      </w:r>
      <w:r w:rsidR="00312822">
        <w:rPr>
          <w:rFonts w:ascii="Garamond" w:eastAsia="Times New Roman" w:hAnsi="Garamond" w:cs="Times New Roman"/>
          <w:sz w:val="24"/>
          <w:szCs w:val="24"/>
        </w:rPr>
        <w:t xml:space="preserve">heterogeneous in its </w:t>
      </w:r>
      <w:r w:rsidR="00312822">
        <w:rPr>
          <w:rFonts w:ascii="Garamond" w:eastAsia="Times New Roman" w:hAnsi="Garamond" w:cs="Times New Roman"/>
          <w:sz w:val="24"/>
          <w:szCs w:val="24"/>
        </w:rPr>
        <w:lastRenderedPageBreak/>
        <w:t xml:space="preserve">forms. </w:t>
      </w:r>
      <w:r w:rsidR="001307B0" w:rsidRPr="007C61D2">
        <w:rPr>
          <w:rFonts w:ascii="Garamond" w:eastAsia="Times New Roman" w:hAnsi="Garamond" w:cs="Times New Roman"/>
          <w:sz w:val="24"/>
          <w:szCs w:val="24"/>
        </w:rPr>
        <w:t xml:space="preserve">Thus, in thinking about </w:t>
      </w:r>
      <w:r w:rsidR="00243EE9" w:rsidRPr="007C61D2">
        <w:rPr>
          <w:rFonts w:ascii="Garamond" w:eastAsia="Times New Roman" w:hAnsi="Garamond" w:cs="Times New Roman"/>
          <w:sz w:val="24"/>
          <w:szCs w:val="24"/>
        </w:rPr>
        <w:t xml:space="preserve">decertification’s </w:t>
      </w:r>
      <w:r w:rsidR="001307B0" w:rsidRPr="007C61D2">
        <w:rPr>
          <w:rFonts w:ascii="Garamond" w:eastAsia="Times New Roman" w:hAnsi="Garamond" w:cs="Times New Roman"/>
          <w:sz w:val="24"/>
          <w:szCs w:val="24"/>
        </w:rPr>
        <w:t xml:space="preserve">contribution to a </w:t>
      </w:r>
      <w:r w:rsidR="008C136A" w:rsidRPr="007C61D2">
        <w:rPr>
          <w:rFonts w:ascii="Garamond" w:eastAsia="Times New Roman" w:hAnsi="Garamond" w:cs="Times New Roman"/>
          <w:sz w:val="24"/>
          <w:szCs w:val="24"/>
        </w:rPr>
        <w:t xml:space="preserve">feminist </w:t>
      </w:r>
      <w:r w:rsidR="00D7544A" w:rsidRPr="007C61D2">
        <w:rPr>
          <w:rFonts w:ascii="Garamond" w:eastAsia="Times New Roman" w:hAnsi="Garamond" w:cs="Times New Roman"/>
          <w:sz w:val="24"/>
          <w:szCs w:val="24"/>
        </w:rPr>
        <w:t xml:space="preserve">and </w:t>
      </w:r>
      <w:r w:rsidR="002A77DC" w:rsidRPr="007C61D2">
        <w:rPr>
          <w:rFonts w:ascii="Garamond" w:eastAsia="Times New Roman" w:hAnsi="Garamond" w:cs="Times New Roman"/>
          <w:sz w:val="24"/>
          <w:szCs w:val="24"/>
        </w:rPr>
        <w:t xml:space="preserve">critical </w:t>
      </w:r>
      <w:r w:rsidR="001307B0" w:rsidRPr="007C61D2">
        <w:rPr>
          <w:rFonts w:ascii="Garamond" w:eastAsia="Times New Roman" w:hAnsi="Garamond" w:cs="Times New Roman"/>
          <w:sz w:val="24"/>
          <w:szCs w:val="24"/>
        </w:rPr>
        <w:t>politics,</w:t>
      </w:r>
      <w:r w:rsidR="00854ABF" w:rsidRPr="007C61D2">
        <w:rPr>
          <w:rFonts w:ascii="Garamond" w:eastAsia="Times New Roman" w:hAnsi="Garamond" w:cs="Times New Roman"/>
          <w:sz w:val="24"/>
          <w:szCs w:val="24"/>
        </w:rPr>
        <w:t xml:space="preserve"> </w:t>
      </w:r>
      <w:r w:rsidR="00746500" w:rsidRPr="007C61D2">
        <w:rPr>
          <w:rFonts w:ascii="Garamond" w:eastAsia="Times New Roman" w:hAnsi="Garamond" w:cs="Times New Roman"/>
          <w:sz w:val="24"/>
          <w:szCs w:val="24"/>
        </w:rPr>
        <w:t xml:space="preserve">one question </w:t>
      </w:r>
      <w:r w:rsidR="00616DF0" w:rsidRPr="007C61D2">
        <w:rPr>
          <w:rFonts w:ascii="Garamond" w:eastAsia="Times New Roman" w:hAnsi="Garamond" w:cs="Times New Roman"/>
          <w:sz w:val="24"/>
          <w:szCs w:val="24"/>
        </w:rPr>
        <w:t xml:space="preserve">that arises </w:t>
      </w:r>
      <w:r w:rsidR="00746500" w:rsidRPr="007C61D2">
        <w:rPr>
          <w:rFonts w:ascii="Garamond" w:eastAsia="Times New Roman" w:hAnsi="Garamond" w:cs="Times New Roman"/>
          <w:sz w:val="24"/>
          <w:szCs w:val="24"/>
        </w:rPr>
        <w:t xml:space="preserve">is </w:t>
      </w:r>
      <w:r w:rsidR="00312822">
        <w:rPr>
          <w:rFonts w:ascii="Garamond" w:eastAsia="Times New Roman" w:hAnsi="Garamond" w:cs="Times New Roman"/>
          <w:sz w:val="24"/>
          <w:szCs w:val="24"/>
        </w:rPr>
        <w:t xml:space="preserve">what decertification’s </w:t>
      </w:r>
      <w:r w:rsidR="00746500" w:rsidRPr="007C61D2">
        <w:rPr>
          <w:rFonts w:ascii="Garamond" w:eastAsia="Times New Roman" w:hAnsi="Garamond" w:cs="Times New Roman"/>
          <w:sz w:val="24"/>
          <w:szCs w:val="24"/>
        </w:rPr>
        <w:t xml:space="preserve">impact </w:t>
      </w:r>
      <w:r w:rsidR="00312822">
        <w:rPr>
          <w:rFonts w:ascii="Garamond" w:eastAsia="Times New Roman" w:hAnsi="Garamond" w:cs="Times New Roman"/>
          <w:sz w:val="24"/>
          <w:szCs w:val="24"/>
        </w:rPr>
        <w:t xml:space="preserve">might be </w:t>
      </w:r>
      <w:r w:rsidR="00746500" w:rsidRPr="007C61D2">
        <w:rPr>
          <w:rFonts w:ascii="Garamond" w:eastAsia="Times New Roman" w:hAnsi="Garamond" w:cs="Times New Roman"/>
          <w:sz w:val="24"/>
          <w:szCs w:val="24"/>
        </w:rPr>
        <w:t>on the institutional elements (of rules, systems, roles, power relations, things, places, interactions and temporalities) that make up gender, and which gender in turn makes up (</w:t>
      </w:r>
      <w:r w:rsidR="00243EE9" w:rsidRPr="007C61D2">
        <w:rPr>
          <w:rFonts w:ascii="Garamond" w:eastAsia="Times New Roman" w:hAnsi="Garamond" w:cs="Times New Roman"/>
          <w:sz w:val="24"/>
          <w:szCs w:val="24"/>
        </w:rPr>
        <w:t xml:space="preserve">see also </w:t>
      </w:r>
      <w:r w:rsidR="008C0C76" w:rsidRPr="007C61D2">
        <w:rPr>
          <w:rFonts w:ascii="Garamond" w:eastAsia="Times New Roman" w:hAnsi="Garamond" w:cs="Times New Roman"/>
          <w:sz w:val="24"/>
          <w:szCs w:val="24"/>
        </w:rPr>
        <w:t>Martin 2004; Risman 2004</w:t>
      </w:r>
      <w:r w:rsidR="008C136A" w:rsidRPr="007C61D2">
        <w:rPr>
          <w:rFonts w:ascii="Garamond" w:eastAsia="Times New Roman" w:hAnsi="Garamond" w:cs="Times New Roman"/>
          <w:sz w:val="24"/>
          <w:szCs w:val="24"/>
        </w:rPr>
        <w:t>; Cooper, this issue</w:t>
      </w:r>
      <w:r w:rsidR="00746500" w:rsidRPr="007C61D2">
        <w:rPr>
          <w:rFonts w:ascii="Garamond" w:eastAsia="Times New Roman" w:hAnsi="Garamond" w:cs="Times New Roman"/>
          <w:sz w:val="24"/>
          <w:szCs w:val="24"/>
        </w:rPr>
        <w:t>).</w:t>
      </w:r>
      <w:r w:rsidR="001307B0" w:rsidRPr="007C61D2">
        <w:rPr>
          <w:rFonts w:ascii="Garamond" w:eastAsia="Times New Roman" w:hAnsi="Garamond" w:cs="Times New Roman"/>
          <w:sz w:val="24"/>
          <w:szCs w:val="24"/>
        </w:rPr>
        <w:t xml:space="preserve"> </w:t>
      </w:r>
    </w:p>
    <w:p w14:paraId="058796C0" w14:textId="5A4BD1E7" w:rsidR="001307B0" w:rsidRPr="007C61D2" w:rsidRDefault="0024415E"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M</w:t>
      </w:r>
      <w:r w:rsidR="00746500" w:rsidRPr="007C61D2">
        <w:rPr>
          <w:rFonts w:ascii="Garamond" w:eastAsia="Times New Roman" w:hAnsi="Garamond" w:cs="Times New Roman"/>
          <w:sz w:val="24"/>
          <w:szCs w:val="24"/>
        </w:rPr>
        <w:t xml:space="preserve">erely removing the </w:t>
      </w:r>
      <w:r w:rsidR="00616DF0" w:rsidRPr="007C61D2">
        <w:rPr>
          <w:rFonts w:ascii="Garamond" w:eastAsia="Times New Roman" w:hAnsi="Garamond" w:cs="Times New Roman"/>
          <w:sz w:val="24"/>
          <w:szCs w:val="24"/>
        </w:rPr>
        <w:t xml:space="preserve">legal </w:t>
      </w:r>
      <w:r w:rsidR="00746500" w:rsidRPr="007C61D2">
        <w:rPr>
          <w:rFonts w:ascii="Garamond" w:eastAsia="Times New Roman" w:hAnsi="Garamond" w:cs="Times New Roman"/>
          <w:sz w:val="24"/>
          <w:szCs w:val="24"/>
        </w:rPr>
        <w:t xml:space="preserve">hailing </w:t>
      </w:r>
      <w:r w:rsidRPr="007C61D2">
        <w:rPr>
          <w:rFonts w:ascii="Garamond" w:eastAsia="Times New Roman" w:hAnsi="Garamond" w:cs="Times New Roman"/>
          <w:sz w:val="24"/>
          <w:szCs w:val="24"/>
        </w:rPr>
        <w:t xml:space="preserve">so </w:t>
      </w:r>
      <w:r w:rsidR="00243EE9" w:rsidRPr="007C61D2">
        <w:rPr>
          <w:rFonts w:ascii="Garamond" w:eastAsia="Times New Roman" w:hAnsi="Garamond" w:cs="Times New Roman"/>
          <w:sz w:val="24"/>
          <w:szCs w:val="24"/>
        </w:rPr>
        <w:t xml:space="preserve">that </w:t>
      </w:r>
      <w:r w:rsidRPr="007C61D2">
        <w:rPr>
          <w:rFonts w:ascii="Garamond" w:eastAsia="Times New Roman" w:hAnsi="Garamond" w:cs="Times New Roman"/>
          <w:sz w:val="24"/>
          <w:szCs w:val="24"/>
        </w:rPr>
        <w:t xml:space="preserve">gender is </w:t>
      </w:r>
      <w:r w:rsidR="00746500" w:rsidRPr="007C61D2">
        <w:rPr>
          <w:rFonts w:ascii="Garamond" w:eastAsia="Times New Roman" w:hAnsi="Garamond" w:cs="Times New Roman"/>
          <w:sz w:val="24"/>
          <w:szCs w:val="24"/>
        </w:rPr>
        <w:t xml:space="preserve">no longer interpellated </w:t>
      </w:r>
      <w:r w:rsidR="00826B76" w:rsidRPr="007C61D2">
        <w:rPr>
          <w:rFonts w:ascii="Garamond" w:eastAsia="Times New Roman" w:hAnsi="Garamond" w:cs="Times New Roman"/>
          <w:sz w:val="24"/>
          <w:szCs w:val="24"/>
        </w:rPr>
        <w:t>through</w:t>
      </w:r>
      <w:r w:rsidR="00746500" w:rsidRPr="007C61D2">
        <w:rPr>
          <w:rFonts w:ascii="Garamond" w:eastAsia="Times New Roman" w:hAnsi="Garamond" w:cs="Times New Roman"/>
          <w:sz w:val="24"/>
          <w:szCs w:val="24"/>
        </w:rPr>
        <w:t xml:space="preserve"> the state-endorsed cry: “it’s a</w:t>
      </w:r>
      <w:r w:rsidR="00826B76" w:rsidRPr="007C61D2">
        <w:rPr>
          <w:rFonts w:ascii="Garamond" w:eastAsia="Times New Roman" w:hAnsi="Garamond" w:cs="Times New Roman"/>
          <w:sz w:val="24"/>
          <w:szCs w:val="24"/>
        </w:rPr>
        <w:t xml:space="preserve"> girl</w:t>
      </w:r>
      <w:r w:rsidR="00746500" w:rsidRPr="007C61D2">
        <w:rPr>
          <w:rFonts w:ascii="Garamond" w:eastAsia="Times New Roman" w:hAnsi="Garamond" w:cs="Times New Roman"/>
          <w:sz w:val="24"/>
          <w:szCs w:val="24"/>
        </w:rPr>
        <w:t>” or</w:t>
      </w:r>
      <w:r w:rsidR="00826B76" w:rsidRPr="007C61D2">
        <w:rPr>
          <w:rFonts w:ascii="Garamond" w:eastAsia="Times New Roman" w:hAnsi="Garamond" w:cs="Times New Roman"/>
          <w:sz w:val="24"/>
          <w:szCs w:val="24"/>
        </w:rPr>
        <w:t xml:space="preserve"> “boy”</w:t>
      </w:r>
      <w:r w:rsidR="00B85871" w:rsidRPr="007C61D2">
        <w:rPr>
          <w:rFonts w:ascii="Garamond" w:eastAsia="Times New Roman" w:hAnsi="Garamond" w:cs="Times New Roman"/>
          <w:sz w:val="24"/>
          <w:szCs w:val="24"/>
        </w:rPr>
        <w:t xml:space="preserve"> </w:t>
      </w:r>
      <w:r w:rsidR="008635A2" w:rsidRPr="007C61D2">
        <w:rPr>
          <w:rFonts w:ascii="Garamond" w:eastAsia="Times New Roman" w:hAnsi="Garamond" w:cs="Times New Roman"/>
          <w:sz w:val="24"/>
          <w:szCs w:val="24"/>
        </w:rPr>
        <w:t xml:space="preserve">causes </w:t>
      </w:r>
      <w:r w:rsidR="00546F6B" w:rsidRPr="007C61D2">
        <w:rPr>
          <w:rFonts w:ascii="Garamond" w:eastAsia="Times New Roman" w:hAnsi="Garamond" w:cs="Times New Roman"/>
          <w:sz w:val="24"/>
          <w:szCs w:val="24"/>
        </w:rPr>
        <w:t xml:space="preserve">some </w:t>
      </w:r>
      <w:r w:rsidR="008635A2" w:rsidRPr="007C61D2">
        <w:rPr>
          <w:rFonts w:ascii="Garamond" w:eastAsia="Times New Roman" w:hAnsi="Garamond" w:cs="Times New Roman"/>
          <w:sz w:val="24"/>
          <w:szCs w:val="24"/>
        </w:rPr>
        <w:t xml:space="preserve">feminists to </w:t>
      </w:r>
      <w:r w:rsidR="00B85871" w:rsidRPr="007C61D2">
        <w:rPr>
          <w:rFonts w:ascii="Garamond" w:eastAsia="Times New Roman" w:hAnsi="Garamond" w:cs="Times New Roman"/>
          <w:sz w:val="24"/>
          <w:szCs w:val="24"/>
        </w:rPr>
        <w:t xml:space="preserve">fear </w:t>
      </w:r>
      <w:r w:rsidRPr="007C61D2">
        <w:rPr>
          <w:rFonts w:ascii="Garamond" w:eastAsia="Times New Roman" w:hAnsi="Garamond" w:cs="Times New Roman"/>
          <w:sz w:val="24"/>
          <w:szCs w:val="24"/>
        </w:rPr>
        <w:t xml:space="preserve">that </w:t>
      </w:r>
      <w:r w:rsidR="00883EEB" w:rsidRPr="007C61D2">
        <w:rPr>
          <w:rFonts w:ascii="Garamond" w:eastAsia="Times New Roman" w:hAnsi="Garamond" w:cs="Times New Roman"/>
          <w:sz w:val="24"/>
          <w:szCs w:val="24"/>
        </w:rPr>
        <w:t xml:space="preserve">undesirable </w:t>
      </w:r>
      <w:r w:rsidR="00616DF0" w:rsidRPr="007C61D2">
        <w:rPr>
          <w:rFonts w:ascii="Garamond" w:eastAsia="Times New Roman" w:hAnsi="Garamond" w:cs="Times New Roman"/>
          <w:sz w:val="24"/>
          <w:szCs w:val="24"/>
        </w:rPr>
        <w:t xml:space="preserve">gendered </w:t>
      </w:r>
      <w:r w:rsidR="00746500" w:rsidRPr="007C61D2">
        <w:rPr>
          <w:rFonts w:ascii="Garamond" w:eastAsia="Times New Roman" w:hAnsi="Garamond" w:cs="Times New Roman"/>
          <w:sz w:val="24"/>
          <w:szCs w:val="24"/>
        </w:rPr>
        <w:t xml:space="preserve">social processes </w:t>
      </w:r>
      <w:r w:rsidR="00883EEB" w:rsidRPr="007C61D2">
        <w:rPr>
          <w:rFonts w:ascii="Garamond" w:eastAsia="Times New Roman" w:hAnsi="Garamond" w:cs="Times New Roman"/>
          <w:sz w:val="24"/>
          <w:szCs w:val="24"/>
        </w:rPr>
        <w:t xml:space="preserve">would </w:t>
      </w:r>
      <w:r w:rsidR="00746500" w:rsidRPr="007C61D2">
        <w:rPr>
          <w:rFonts w:ascii="Garamond" w:eastAsia="Times New Roman" w:hAnsi="Garamond" w:cs="Times New Roman"/>
          <w:sz w:val="24"/>
          <w:szCs w:val="24"/>
        </w:rPr>
        <w:t xml:space="preserve">flourish. </w:t>
      </w:r>
      <w:r w:rsidR="00C64EE7" w:rsidRPr="007C61D2">
        <w:rPr>
          <w:rFonts w:ascii="Garamond" w:eastAsia="Times New Roman" w:hAnsi="Garamond" w:cs="Times New Roman"/>
          <w:sz w:val="24"/>
          <w:szCs w:val="24"/>
        </w:rPr>
        <w:t xml:space="preserve">Instead of </w:t>
      </w:r>
      <w:r w:rsidR="003A4460" w:rsidRPr="007C61D2">
        <w:rPr>
          <w:rFonts w:ascii="Garamond" w:eastAsia="Times New Roman" w:hAnsi="Garamond" w:cs="Times New Roman"/>
          <w:sz w:val="24"/>
          <w:szCs w:val="24"/>
        </w:rPr>
        <w:t xml:space="preserve">delinking sex/ gender from human subjects </w:t>
      </w:r>
      <w:r w:rsidR="00F40F65" w:rsidRPr="007C61D2">
        <w:rPr>
          <w:rFonts w:ascii="Garamond" w:eastAsia="Times New Roman" w:hAnsi="Garamond" w:cs="Times New Roman"/>
          <w:sz w:val="24"/>
          <w:szCs w:val="24"/>
        </w:rPr>
        <w:t xml:space="preserve">in ways that </w:t>
      </w:r>
      <w:r w:rsidR="00826B76" w:rsidRPr="007C61D2">
        <w:rPr>
          <w:rFonts w:ascii="Garamond" w:eastAsia="Times New Roman" w:hAnsi="Garamond" w:cs="Times New Roman"/>
          <w:sz w:val="24"/>
          <w:szCs w:val="24"/>
        </w:rPr>
        <w:t>stimulate critical awareness</w:t>
      </w:r>
      <w:r w:rsidR="00F40F65" w:rsidRPr="007C61D2">
        <w:rPr>
          <w:rFonts w:ascii="Garamond" w:eastAsia="Times New Roman" w:hAnsi="Garamond" w:cs="Times New Roman"/>
          <w:sz w:val="24"/>
          <w:szCs w:val="24"/>
        </w:rPr>
        <w:t xml:space="preserve">, </w:t>
      </w:r>
      <w:r w:rsidR="00883EEB" w:rsidRPr="007C61D2">
        <w:rPr>
          <w:rFonts w:ascii="Garamond" w:eastAsia="Times New Roman" w:hAnsi="Garamond" w:cs="Times New Roman"/>
          <w:sz w:val="24"/>
          <w:szCs w:val="24"/>
        </w:rPr>
        <w:t xml:space="preserve">moves such as </w:t>
      </w:r>
      <w:r w:rsidR="003A4460" w:rsidRPr="007C61D2">
        <w:rPr>
          <w:rFonts w:ascii="Garamond" w:eastAsia="Times New Roman" w:hAnsi="Garamond" w:cs="Times New Roman"/>
          <w:sz w:val="24"/>
          <w:szCs w:val="24"/>
        </w:rPr>
        <w:t xml:space="preserve">decertification </w:t>
      </w:r>
      <w:r w:rsidR="00826B76" w:rsidRPr="007C61D2">
        <w:rPr>
          <w:rFonts w:ascii="Garamond" w:eastAsia="Times New Roman" w:hAnsi="Garamond" w:cs="Times New Roman"/>
          <w:sz w:val="24"/>
          <w:szCs w:val="24"/>
        </w:rPr>
        <w:t>may</w:t>
      </w:r>
      <w:r w:rsidR="00883EEB" w:rsidRPr="007C61D2">
        <w:rPr>
          <w:rFonts w:ascii="Garamond" w:eastAsia="Times New Roman" w:hAnsi="Garamond" w:cs="Times New Roman"/>
          <w:sz w:val="24"/>
          <w:szCs w:val="24"/>
        </w:rPr>
        <w:t>, undesirably,</w:t>
      </w:r>
      <w:r w:rsidR="00826B76" w:rsidRPr="007C61D2">
        <w:rPr>
          <w:rFonts w:ascii="Garamond" w:eastAsia="Times New Roman" w:hAnsi="Garamond" w:cs="Times New Roman"/>
          <w:sz w:val="24"/>
          <w:szCs w:val="24"/>
        </w:rPr>
        <w:t xml:space="preserve"> </w:t>
      </w:r>
      <w:r w:rsidR="003A4460" w:rsidRPr="007C61D2">
        <w:rPr>
          <w:rFonts w:ascii="Garamond" w:eastAsia="Times New Roman" w:hAnsi="Garamond" w:cs="Times New Roman"/>
          <w:sz w:val="24"/>
          <w:szCs w:val="24"/>
        </w:rPr>
        <w:t xml:space="preserve">reinforce normative and powerful </w:t>
      </w:r>
      <w:r w:rsidR="00883EEB" w:rsidRPr="007C61D2">
        <w:rPr>
          <w:rFonts w:ascii="Garamond" w:eastAsia="Times New Roman" w:hAnsi="Garamond" w:cs="Times New Roman"/>
          <w:sz w:val="24"/>
          <w:szCs w:val="24"/>
        </w:rPr>
        <w:t xml:space="preserve">forms of </w:t>
      </w:r>
      <w:r w:rsidR="003A4460" w:rsidRPr="007C61D2">
        <w:rPr>
          <w:rFonts w:ascii="Garamond" w:eastAsia="Times New Roman" w:hAnsi="Garamond" w:cs="Times New Roman"/>
          <w:sz w:val="24"/>
          <w:szCs w:val="24"/>
        </w:rPr>
        <w:t>masculinity. This argument has two strands. The first reads decertification as a form of gender-neutral law</w:t>
      </w:r>
      <w:r w:rsidR="00D561F0" w:rsidRPr="007C61D2">
        <w:rPr>
          <w:rFonts w:ascii="Garamond" w:eastAsia="Times New Roman" w:hAnsi="Garamond" w:cs="Times New Roman"/>
          <w:sz w:val="24"/>
          <w:szCs w:val="24"/>
        </w:rPr>
        <w:t>.</w:t>
      </w:r>
      <w:r w:rsidR="003A4460" w:rsidRPr="007C61D2">
        <w:rPr>
          <w:rFonts w:ascii="Garamond" w:eastAsia="Times New Roman" w:hAnsi="Garamond" w:cs="Times New Roman"/>
          <w:sz w:val="24"/>
          <w:szCs w:val="24"/>
        </w:rPr>
        <w:t xml:space="preserve"> </w:t>
      </w:r>
      <w:r w:rsidR="00D561F0" w:rsidRPr="007C61D2">
        <w:rPr>
          <w:rFonts w:ascii="Garamond" w:eastAsia="Times New Roman" w:hAnsi="Garamond" w:cs="Times New Roman"/>
          <w:sz w:val="24"/>
          <w:szCs w:val="24"/>
        </w:rPr>
        <w:t xml:space="preserve">Gender-neutral law typically adopts male norms in </w:t>
      </w:r>
      <w:r w:rsidR="00546F6B" w:rsidRPr="007C61D2">
        <w:rPr>
          <w:rFonts w:ascii="Garamond" w:eastAsia="Times New Roman" w:hAnsi="Garamond" w:cs="Times New Roman"/>
          <w:sz w:val="24"/>
          <w:szCs w:val="24"/>
        </w:rPr>
        <w:t xml:space="preserve">its </w:t>
      </w:r>
      <w:r w:rsidR="00D561F0" w:rsidRPr="007C61D2">
        <w:rPr>
          <w:rFonts w:ascii="Garamond" w:eastAsia="Times New Roman" w:hAnsi="Garamond" w:cs="Times New Roman"/>
          <w:sz w:val="24"/>
          <w:szCs w:val="24"/>
        </w:rPr>
        <w:t xml:space="preserve">expectations of how people behave and live, and then applies </w:t>
      </w:r>
      <w:r w:rsidR="00546F6B" w:rsidRPr="007C61D2">
        <w:rPr>
          <w:rFonts w:ascii="Garamond" w:eastAsia="Times New Roman" w:hAnsi="Garamond" w:cs="Times New Roman"/>
          <w:sz w:val="24"/>
          <w:szCs w:val="24"/>
        </w:rPr>
        <w:t>the</w:t>
      </w:r>
      <w:r w:rsidR="00792AE6">
        <w:rPr>
          <w:rFonts w:ascii="Garamond" w:eastAsia="Times New Roman" w:hAnsi="Garamond" w:cs="Times New Roman"/>
          <w:sz w:val="24"/>
          <w:szCs w:val="24"/>
        </w:rPr>
        <w:t>se norms</w:t>
      </w:r>
      <w:r w:rsidR="00546F6B" w:rsidRPr="007C61D2">
        <w:rPr>
          <w:rFonts w:ascii="Garamond" w:eastAsia="Times New Roman" w:hAnsi="Garamond" w:cs="Times New Roman"/>
          <w:sz w:val="24"/>
          <w:szCs w:val="24"/>
        </w:rPr>
        <w:t xml:space="preserve"> </w:t>
      </w:r>
      <w:r w:rsidR="00D561F0" w:rsidRPr="007C61D2">
        <w:rPr>
          <w:rFonts w:ascii="Garamond" w:eastAsia="Times New Roman" w:hAnsi="Garamond" w:cs="Times New Roman"/>
          <w:sz w:val="24"/>
          <w:szCs w:val="24"/>
        </w:rPr>
        <w:t>to all social subjects</w:t>
      </w:r>
      <w:r w:rsidR="00546F6B" w:rsidRPr="007C61D2">
        <w:rPr>
          <w:rFonts w:ascii="Garamond" w:eastAsia="Times New Roman" w:hAnsi="Garamond" w:cs="Times New Roman"/>
          <w:sz w:val="24"/>
          <w:szCs w:val="24"/>
        </w:rPr>
        <w:t>. Feminists have long critiqued gender-neutral law</w:t>
      </w:r>
      <w:r w:rsidR="00D561F0" w:rsidRPr="007C61D2">
        <w:rPr>
          <w:rFonts w:ascii="Garamond" w:eastAsia="Times New Roman" w:hAnsi="Garamond" w:cs="Times New Roman"/>
          <w:sz w:val="24"/>
          <w:szCs w:val="24"/>
        </w:rPr>
        <w:t xml:space="preserve"> </w:t>
      </w:r>
      <w:r w:rsidR="003A4460" w:rsidRPr="007C61D2">
        <w:rPr>
          <w:rFonts w:ascii="Garamond" w:eastAsia="Times New Roman" w:hAnsi="Garamond" w:cs="Times New Roman"/>
          <w:sz w:val="24"/>
          <w:szCs w:val="24"/>
        </w:rPr>
        <w:t xml:space="preserve">(see generally </w:t>
      </w:r>
      <w:r w:rsidR="00D561F0" w:rsidRPr="007C61D2">
        <w:rPr>
          <w:rFonts w:ascii="Garamond" w:eastAsia="Times New Roman" w:hAnsi="Garamond" w:cs="Times New Roman"/>
          <w:sz w:val="24"/>
          <w:szCs w:val="24"/>
        </w:rPr>
        <w:t xml:space="preserve">Conaghan </w:t>
      </w:r>
      <w:r w:rsidR="003506D1" w:rsidRPr="007C61D2">
        <w:rPr>
          <w:rFonts w:ascii="Garamond" w:eastAsia="Times New Roman" w:hAnsi="Garamond" w:cs="Times New Roman"/>
          <w:sz w:val="24"/>
          <w:szCs w:val="24"/>
        </w:rPr>
        <w:t xml:space="preserve">2000 and 2013; </w:t>
      </w:r>
      <w:r w:rsidR="003A4460" w:rsidRPr="007C61D2">
        <w:rPr>
          <w:rFonts w:ascii="Garamond" w:eastAsia="Times New Roman" w:hAnsi="Garamond" w:cs="Times New Roman"/>
          <w:sz w:val="24"/>
          <w:szCs w:val="24"/>
        </w:rPr>
        <w:t>Munro 2007</w:t>
      </w:r>
      <w:r w:rsidR="00D561F0" w:rsidRPr="007C61D2">
        <w:rPr>
          <w:rFonts w:ascii="Garamond" w:eastAsia="Times New Roman" w:hAnsi="Garamond" w:cs="Times New Roman"/>
          <w:sz w:val="24"/>
          <w:szCs w:val="24"/>
        </w:rPr>
        <w:t xml:space="preserve">; Smart </w:t>
      </w:r>
      <w:r w:rsidR="00740405" w:rsidRPr="007C61D2">
        <w:rPr>
          <w:rFonts w:ascii="Garamond" w:eastAsia="Times New Roman" w:hAnsi="Garamond" w:cs="Times New Roman"/>
          <w:sz w:val="24"/>
          <w:szCs w:val="24"/>
        </w:rPr>
        <w:t>1992</w:t>
      </w:r>
      <w:r w:rsidR="003A4460" w:rsidRPr="007C61D2">
        <w:rPr>
          <w:rFonts w:ascii="Garamond" w:eastAsia="Times New Roman" w:hAnsi="Garamond" w:cs="Times New Roman"/>
          <w:sz w:val="24"/>
          <w:szCs w:val="24"/>
        </w:rPr>
        <w:t>)</w:t>
      </w:r>
      <w:r w:rsidR="00546F6B" w:rsidRPr="007C61D2">
        <w:rPr>
          <w:rFonts w:ascii="Garamond" w:eastAsia="Times New Roman" w:hAnsi="Garamond" w:cs="Times New Roman"/>
          <w:sz w:val="24"/>
          <w:szCs w:val="24"/>
        </w:rPr>
        <w:t xml:space="preserve">, and </w:t>
      </w:r>
      <w:r w:rsidR="00542FA8">
        <w:rPr>
          <w:rFonts w:ascii="Garamond" w:eastAsia="Times New Roman" w:hAnsi="Garamond" w:cs="Times New Roman"/>
          <w:sz w:val="24"/>
          <w:szCs w:val="24"/>
        </w:rPr>
        <w:t xml:space="preserve">similar </w:t>
      </w:r>
      <w:r w:rsidR="00546F6B" w:rsidRPr="007C61D2">
        <w:rPr>
          <w:rFonts w:ascii="Garamond" w:eastAsia="Times New Roman" w:hAnsi="Garamond" w:cs="Times New Roman"/>
          <w:sz w:val="24"/>
          <w:szCs w:val="24"/>
        </w:rPr>
        <w:t xml:space="preserve">concerns were </w:t>
      </w:r>
      <w:r w:rsidR="00542FA8">
        <w:rPr>
          <w:rFonts w:ascii="Garamond" w:eastAsia="Times New Roman" w:hAnsi="Garamond" w:cs="Times New Roman"/>
          <w:sz w:val="24"/>
          <w:szCs w:val="24"/>
        </w:rPr>
        <w:t xml:space="preserve">expressed </w:t>
      </w:r>
      <w:r w:rsidR="00546F6B" w:rsidRPr="007C61D2">
        <w:rPr>
          <w:rFonts w:ascii="Garamond" w:eastAsia="Times New Roman" w:hAnsi="Garamond" w:cs="Times New Roman"/>
          <w:sz w:val="24"/>
          <w:szCs w:val="24"/>
        </w:rPr>
        <w:t xml:space="preserve">in criticisms of decertification, </w:t>
      </w:r>
      <w:r w:rsidR="007847CB" w:rsidRPr="007C61D2">
        <w:rPr>
          <w:rFonts w:ascii="Garamond" w:eastAsia="Times New Roman" w:hAnsi="Garamond" w:cs="Times New Roman"/>
          <w:sz w:val="24"/>
          <w:szCs w:val="24"/>
        </w:rPr>
        <w:t xml:space="preserve">specifically, </w:t>
      </w:r>
      <w:r w:rsidR="00546F6B" w:rsidRPr="007C61D2">
        <w:rPr>
          <w:rFonts w:ascii="Garamond" w:eastAsia="Times New Roman" w:hAnsi="Garamond" w:cs="Times New Roman"/>
          <w:sz w:val="24"/>
          <w:szCs w:val="24"/>
        </w:rPr>
        <w:t xml:space="preserve">that  it would not </w:t>
      </w:r>
      <w:r w:rsidR="003A4460" w:rsidRPr="007C61D2">
        <w:rPr>
          <w:rFonts w:ascii="Garamond" w:eastAsia="Times New Roman" w:hAnsi="Garamond" w:cs="Times New Roman"/>
          <w:sz w:val="24"/>
          <w:szCs w:val="24"/>
        </w:rPr>
        <w:t xml:space="preserve">remove gendered inequalities but simply make them harder to identify and to tackle. The second strand </w:t>
      </w:r>
      <w:r w:rsidR="00546F6B" w:rsidRPr="007C61D2">
        <w:rPr>
          <w:rFonts w:ascii="Garamond" w:eastAsia="Times New Roman" w:hAnsi="Garamond" w:cs="Times New Roman"/>
          <w:sz w:val="24"/>
          <w:szCs w:val="24"/>
        </w:rPr>
        <w:t xml:space="preserve">of argument </w:t>
      </w:r>
      <w:r w:rsidR="003A4460" w:rsidRPr="007C61D2">
        <w:rPr>
          <w:rFonts w:ascii="Garamond" w:eastAsia="Times New Roman" w:hAnsi="Garamond" w:cs="Times New Roman"/>
          <w:sz w:val="24"/>
          <w:szCs w:val="24"/>
        </w:rPr>
        <w:t xml:space="preserve">focuses less on the asymmetrical effects of gender-neutral law and more on </w:t>
      </w:r>
      <w:r w:rsidR="00D7544A" w:rsidRPr="007C61D2">
        <w:rPr>
          <w:rFonts w:ascii="Garamond" w:eastAsia="Times New Roman" w:hAnsi="Garamond" w:cs="Times New Roman"/>
          <w:sz w:val="24"/>
          <w:szCs w:val="24"/>
        </w:rPr>
        <w:t xml:space="preserve">its </w:t>
      </w:r>
      <w:r w:rsidR="003A4460" w:rsidRPr="007C61D2">
        <w:rPr>
          <w:rFonts w:ascii="Garamond" w:eastAsia="Times New Roman" w:hAnsi="Garamond" w:cs="Times New Roman"/>
          <w:sz w:val="24"/>
          <w:szCs w:val="24"/>
        </w:rPr>
        <w:t xml:space="preserve">values and ethos. </w:t>
      </w:r>
      <w:r w:rsidR="00546F6B" w:rsidRPr="007C61D2">
        <w:rPr>
          <w:rFonts w:ascii="Garamond" w:eastAsia="Times New Roman" w:hAnsi="Garamond" w:cs="Times New Roman"/>
          <w:sz w:val="24"/>
          <w:szCs w:val="24"/>
        </w:rPr>
        <w:t>O</w:t>
      </w:r>
      <w:r w:rsidR="006265C3" w:rsidRPr="007C61D2">
        <w:rPr>
          <w:rFonts w:ascii="Garamond" w:eastAsia="Times New Roman" w:hAnsi="Garamond" w:cs="Times New Roman"/>
          <w:sz w:val="24"/>
          <w:szCs w:val="24"/>
        </w:rPr>
        <w:t xml:space="preserve">ne </w:t>
      </w:r>
      <w:r w:rsidRPr="007C61D2">
        <w:rPr>
          <w:rFonts w:ascii="Garamond" w:eastAsia="Times New Roman" w:hAnsi="Garamond" w:cs="Times New Roman"/>
          <w:sz w:val="24"/>
          <w:szCs w:val="24"/>
        </w:rPr>
        <w:t xml:space="preserve">dystopic narration </w:t>
      </w:r>
      <w:r w:rsidR="00546F6B" w:rsidRPr="007C61D2">
        <w:rPr>
          <w:rFonts w:ascii="Garamond" w:eastAsia="Times New Roman" w:hAnsi="Garamond" w:cs="Times New Roman"/>
          <w:sz w:val="24"/>
          <w:szCs w:val="24"/>
        </w:rPr>
        <w:t xml:space="preserve">has </w:t>
      </w:r>
      <w:r w:rsidR="007847CB" w:rsidRPr="007C61D2">
        <w:rPr>
          <w:rFonts w:ascii="Garamond" w:eastAsia="Times New Roman" w:hAnsi="Garamond" w:cs="Times New Roman"/>
          <w:sz w:val="24"/>
          <w:szCs w:val="24"/>
        </w:rPr>
        <w:t xml:space="preserve">decertification </w:t>
      </w:r>
      <w:r w:rsidR="00546F6B" w:rsidRPr="007C61D2">
        <w:rPr>
          <w:rFonts w:ascii="Garamond" w:eastAsia="Times New Roman" w:hAnsi="Garamond" w:cs="Times New Roman"/>
          <w:sz w:val="24"/>
          <w:szCs w:val="24"/>
        </w:rPr>
        <w:t xml:space="preserve">escalate </w:t>
      </w:r>
      <w:r w:rsidR="001B6B29" w:rsidRPr="007C61D2">
        <w:rPr>
          <w:rFonts w:ascii="Garamond" w:eastAsia="Times New Roman" w:hAnsi="Garamond" w:cs="Times New Roman"/>
          <w:sz w:val="24"/>
          <w:szCs w:val="24"/>
        </w:rPr>
        <w:t xml:space="preserve">the development of </w:t>
      </w:r>
      <w:r w:rsidR="00C64EE7" w:rsidRPr="007C61D2">
        <w:rPr>
          <w:rFonts w:ascii="Garamond" w:eastAsia="Times New Roman" w:hAnsi="Garamond" w:cs="Times New Roman"/>
          <w:sz w:val="24"/>
          <w:szCs w:val="24"/>
        </w:rPr>
        <w:t>androcentric society</w:t>
      </w:r>
      <w:r w:rsidR="00546F6B" w:rsidRPr="007C61D2">
        <w:rPr>
          <w:rFonts w:ascii="Garamond" w:eastAsia="Times New Roman" w:hAnsi="Garamond" w:cs="Times New Roman"/>
          <w:sz w:val="24"/>
          <w:szCs w:val="24"/>
        </w:rPr>
        <w:t>. Here</w:t>
      </w:r>
      <w:r w:rsidR="001B6B29"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members shar</w:t>
      </w:r>
      <w:r w:rsidR="00D561F0" w:rsidRPr="007C61D2">
        <w:rPr>
          <w:rFonts w:ascii="Garamond" w:eastAsia="Times New Roman" w:hAnsi="Garamond" w:cs="Times New Roman"/>
          <w:sz w:val="24"/>
          <w:szCs w:val="24"/>
        </w:rPr>
        <w:t>e</w:t>
      </w:r>
      <w:r w:rsidRPr="007C61D2">
        <w:rPr>
          <w:rFonts w:ascii="Garamond" w:eastAsia="Times New Roman" w:hAnsi="Garamond" w:cs="Times New Roman"/>
          <w:sz w:val="24"/>
          <w:szCs w:val="24"/>
        </w:rPr>
        <w:t xml:space="preserve"> </w:t>
      </w:r>
      <w:r w:rsidR="00312822">
        <w:rPr>
          <w:rFonts w:ascii="Garamond" w:eastAsia="Times New Roman" w:hAnsi="Garamond" w:cs="Times New Roman"/>
          <w:sz w:val="24"/>
          <w:szCs w:val="24"/>
        </w:rPr>
        <w:t>and are subject to masculine values and norms</w:t>
      </w:r>
      <w:r w:rsidRPr="007C61D2">
        <w:rPr>
          <w:rFonts w:ascii="Garamond" w:eastAsia="Times New Roman" w:hAnsi="Garamond" w:cs="Times New Roman"/>
          <w:sz w:val="24"/>
          <w:szCs w:val="24"/>
        </w:rPr>
        <w:t xml:space="preserve"> in all politically meaningful respects</w:t>
      </w:r>
      <w:r w:rsidR="002A77DC" w:rsidRPr="007C61D2">
        <w:rPr>
          <w:rFonts w:ascii="Garamond" w:eastAsia="Times New Roman" w:hAnsi="Garamond" w:cs="Times New Roman"/>
          <w:sz w:val="24"/>
          <w:szCs w:val="24"/>
        </w:rPr>
        <w:t xml:space="preserve"> </w:t>
      </w:r>
      <w:r w:rsidR="00D7544A" w:rsidRPr="007C61D2">
        <w:rPr>
          <w:rFonts w:ascii="Garamond" w:eastAsia="Times New Roman" w:hAnsi="Garamond" w:cs="Times New Roman"/>
          <w:sz w:val="24"/>
          <w:szCs w:val="24"/>
        </w:rPr>
        <w:t>(</w:t>
      </w:r>
      <w:r w:rsidR="00312822">
        <w:rPr>
          <w:rFonts w:ascii="Garamond" w:eastAsia="Times New Roman" w:hAnsi="Garamond" w:cs="Times New Roman"/>
          <w:sz w:val="24"/>
          <w:szCs w:val="24"/>
        </w:rPr>
        <w:t xml:space="preserve">even as </w:t>
      </w:r>
      <w:r w:rsidR="00A619C5" w:rsidRPr="007C61D2">
        <w:rPr>
          <w:rFonts w:ascii="Garamond" w:eastAsia="Times New Roman" w:hAnsi="Garamond" w:cs="Times New Roman"/>
          <w:sz w:val="24"/>
          <w:szCs w:val="24"/>
        </w:rPr>
        <w:t>presented gender identities</w:t>
      </w:r>
      <w:r w:rsidR="001B6B29" w:rsidRPr="007C61D2">
        <w:rPr>
          <w:rFonts w:ascii="Garamond" w:eastAsia="Times New Roman" w:hAnsi="Garamond" w:cs="Times New Roman"/>
          <w:sz w:val="24"/>
          <w:szCs w:val="24"/>
        </w:rPr>
        <w:t xml:space="preserve"> may </w:t>
      </w:r>
      <w:r w:rsidRPr="007C61D2">
        <w:rPr>
          <w:rFonts w:ascii="Garamond" w:eastAsia="Times New Roman" w:hAnsi="Garamond" w:cs="Times New Roman"/>
          <w:sz w:val="24"/>
          <w:szCs w:val="24"/>
        </w:rPr>
        <w:t>var</w:t>
      </w:r>
      <w:r w:rsidR="001B6B29" w:rsidRPr="007C61D2">
        <w:rPr>
          <w:rFonts w:ascii="Garamond" w:eastAsia="Times New Roman" w:hAnsi="Garamond" w:cs="Times New Roman"/>
          <w:sz w:val="24"/>
          <w:szCs w:val="24"/>
        </w:rPr>
        <w:t>y</w:t>
      </w:r>
      <w:r w:rsidR="00D7544A" w:rsidRPr="007C61D2">
        <w:rPr>
          <w:rFonts w:ascii="Garamond" w:eastAsia="Times New Roman" w:hAnsi="Garamond" w:cs="Times New Roman"/>
          <w:sz w:val="24"/>
          <w:szCs w:val="24"/>
        </w:rPr>
        <w:t>)</w:t>
      </w:r>
      <w:r w:rsidR="00927A90">
        <w:rPr>
          <w:rFonts w:ascii="Garamond" w:eastAsia="Times New Roman" w:hAnsi="Garamond" w:cs="Times New Roman"/>
          <w:sz w:val="24"/>
          <w:szCs w:val="24"/>
        </w:rPr>
        <w:t>; other</w:t>
      </w:r>
      <w:r w:rsidR="00792AE6">
        <w:rPr>
          <w:rFonts w:ascii="Garamond" w:eastAsia="Times New Roman" w:hAnsi="Garamond" w:cs="Times New Roman"/>
          <w:sz w:val="24"/>
          <w:szCs w:val="24"/>
        </w:rPr>
        <w:t xml:space="preserve"> gendered values are located elsewhere</w:t>
      </w:r>
      <w:r w:rsidR="00927A90">
        <w:rPr>
          <w:rFonts w:ascii="Garamond" w:eastAsia="Times New Roman" w:hAnsi="Garamond" w:cs="Times New Roman"/>
          <w:sz w:val="24"/>
          <w:szCs w:val="24"/>
        </w:rPr>
        <w:t>, beyond the borders of the “here and now”.</w:t>
      </w:r>
      <w:r w:rsidR="00B85871" w:rsidRPr="007C61D2">
        <w:rPr>
          <w:rFonts w:ascii="Garamond" w:eastAsia="Times New Roman" w:hAnsi="Garamond" w:cs="Times New Roman"/>
          <w:sz w:val="24"/>
          <w:szCs w:val="24"/>
        </w:rPr>
        <w:t xml:space="preserve"> In other words,</w:t>
      </w:r>
      <w:r w:rsidR="00746500" w:rsidRPr="007C61D2">
        <w:rPr>
          <w:rFonts w:ascii="Garamond" w:eastAsia="Times New Roman" w:hAnsi="Garamond" w:cs="Times New Roman"/>
          <w:sz w:val="24"/>
          <w:szCs w:val="24"/>
        </w:rPr>
        <w:t xml:space="preserve"> </w:t>
      </w:r>
      <w:r w:rsidR="00B85871" w:rsidRPr="007C61D2">
        <w:rPr>
          <w:rFonts w:ascii="Garamond" w:eastAsia="Times New Roman" w:hAnsi="Garamond" w:cs="Times New Roman"/>
          <w:sz w:val="24"/>
          <w:szCs w:val="24"/>
        </w:rPr>
        <w:t xml:space="preserve">internal androcentric norms </w:t>
      </w:r>
      <w:r w:rsidR="00D561F0" w:rsidRPr="007C61D2">
        <w:rPr>
          <w:rFonts w:ascii="Garamond" w:eastAsia="Times New Roman" w:hAnsi="Garamond" w:cs="Times New Roman"/>
          <w:sz w:val="24"/>
          <w:szCs w:val="24"/>
        </w:rPr>
        <w:t xml:space="preserve">are </w:t>
      </w:r>
      <w:r w:rsidR="00B85871" w:rsidRPr="007C61D2">
        <w:rPr>
          <w:rFonts w:ascii="Garamond" w:eastAsia="Times New Roman" w:hAnsi="Garamond" w:cs="Times New Roman"/>
          <w:sz w:val="24"/>
          <w:szCs w:val="24"/>
        </w:rPr>
        <w:t xml:space="preserve">defined by </w:t>
      </w:r>
      <w:r w:rsidR="002A77DC" w:rsidRPr="007C61D2">
        <w:rPr>
          <w:rFonts w:ascii="Garamond" w:eastAsia="Times New Roman" w:hAnsi="Garamond" w:cs="Times New Roman"/>
          <w:sz w:val="24"/>
          <w:szCs w:val="24"/>
        </w:rPr>
        <w:t xml:space="preserve">an </w:t>
      </w:r>
      <w:r w:rsidR="00F96949" w:rsidRPr="007C61D2">
        <w:rPr>
          <w:rFonts w:ascii="Garamond" w:eastAsia="Times New Roman" w:hAnsi="Garamond" w:cs="Times New Roman"/>
          <w:sz w:val="24"/>
          <w:szCs w:val="24"/>
        </w:rPr>
        <w:t xml:space="preserve">exterior </w:t>
      </w:r>
      <w:r w:rsidR="00B85871" w:rsidRPr="007C61D2">
        <w:rPr>
          <w:rFonts w:ascii="Garamond" w:eastAsia="Times New Roman" w:hAnsi="Garamond" w:cs="Times New Roman"/>
          <w:sz w:val="24"/>
          <w:szCs w:val="24"/>
        </w:rPr>
        <w:t xml:space="preserve">societal </w:t>
      </w:r>
      <w:r w:rsidR="00616DF0" w:rsidRPr="007C61D2">
        <w:rPr>
          <w:rFonts w:ascii="Garamond" w:eastAsia="Times New Roman" w:hAnsi="Garamond" w:cs="Times New Roman"/>
          <w:sz w:val="24"/>
          <w:szCs w:val="24"/>
        </w:rPr>
        <w:t>“</w:t>
      </w:r>
      <w:r w:rsidR="00B85871" w:rsidRPr="007C61D2">
        <w:rPr>
          <w:rFonts w:ascii="Garamond" w:eastAsia="Times New Roman" w:hAnsi="Garamond" w:cs="Times New Roman"/>
          <w:sz w:val="24"/>
          <w:szCs w:val="24"/>
        </w:rPr>
        <w:t>other</w:t>
      </w:r>
      <w:r w:rsidR="00616DF0" w:rsidRPr="007C61D2">
        <w:rPr>
          <w:rFonts w:ascii="Garamond" w:eastAsia="Times New Roman" w:hAnsi="Garamond" w:cs="Times New Roman"/>
          <w:sz w:val="24"/>
          <w:szCs w:val="24"/>
        </w:rPr>
        <w:t>”</w:t>
      </w:r>
      <w:r w:rsidR="00546F6B" w:rsidRPr="007C61D2">
        <w:rPr>
          <w:rFonts w:ascii="Garamond" w:eastAsia="Times New Roman" w:hAnsi="Garamond" w:cs="Times New Roman"/>
          <w:sz w:val="24"/>
          <w:szCs w:val="24"/>
        </w:rPr>
        <w:t xml:space="preserve"> – those </w:t>
      </w:r>
      <w:r w:rsidR="00816B16" w:rsidRPr="007C61D2">
        <w:rPr>
          <w:rFonts w:ascii="Garamond" w:eastAsia="Times New Roman" w:hAnsi="Garamond" w:cs="Times New Roman"/>
          <w:sz w:val="24"/>
          <w:szCs w:val="24"/>
        </w:rPr>
        <w:t>contrasting</w:t>
      </w:r>
      <w:r w:rsidR="0088223C" w:rsidRPr="007C61D2">
        <w:rPr>
          <w:rFonts w:ascii="Garamond" w:eastAsia="Times New Roman" w:hAnsi="Garamond" w:cs="Times New Roman"/>
          <w:sz w:val="24"/>
          <w:szCs w:val="24"/>
        </w:rPr>
        <w:t>, seemingly</w:t>
      </w:r>
      <w:r w:rsidR="00816B16" w:rsidRPr="007C61D2">
        <w:rPr>
          <w:rFonts w:ascii="Garamond" w:eastAsia="Times New Roman" w:hAnsi="Garamond" w:cs="Times New Roman"/>
          <w:sz w:val="24"/>
          <w:szCs w:val="24"/>
        </w:rPr>
        <w:t xml:space="preserve"> </w:t>
      </w:r>
      <w:r w:rsidR="00616DF0" w:rsidRPr="007C61D2">
        <w:rPr>
          <w:rFonts w:ascii="Garamond" w:eastAsia="Times New Roman" w:hAnsi="Garamond" w:cs="Times New Roman"/>
          <w:sz w:val="24"/>
          <w:szCs w:val="24"/>
        </w:rPr>
        <w:t xml:space="preserve">feminised </w:t>
      </w:r>
      <w:r w:rsidR="00D561F0" w:rsidRPr="007C61D2">
        <w:rPr>
          <w:rFonts w:ascii="Garamond" w:eastAsia="Times New Roman" w:hAnsi="Garamond" w:cs="Times New Roman"/>
          <w:sz w:val="24"/>
          <w:szCs w:val="24"/>
        </w:rPr>
        <w:t>(</w:t>
      </w:r>
      <w:r w:rsidR="00616DF0" w:rsidRPr="007C61D2">
        <w:rPr>
          <w:rFonts w:ascii="Garamond" w:eastAsia="Times New Roman" w:hAnsi="Garamond" w:cs="Times New Roman"/>
          <w:sz w:val="24"/>
          <w:szCs w:val="24"/>
        </w:rPr>
        <w:t xml:space="preserve">but not only feminised) </w:t>
      </w:r>
      <w:r w:rsidR="00816B16" w:rsidRPr="007C61D2">
        <w:rPr>
          <w:rFonts w:ascii="Garamond" w:eastAsia="Times New Roman" w:hAnsi="Garamond" w:cs="Times New Roman"/>
          <w:sz w:val="24"/>
          <w:szCs w:val="24"/>
        </w:rPr>
        <w:t>norms, meanings, systems</w:t>
      </w:r>
      <w:r w:rsidR="00D7544A" w:rsidRPr="007C61D2">
        <w:rPr>
          <w:rFonts w:ascii="Garamond" w:eastAsia="Times New Roman" w:hAnsi="Garamond" w:cs="Times New Roman"/>
          <w:sz w:val="24"/>
          <w:szCs w:val="24"/>
        </w:rPr>
        <w:t>,</w:t>
      </w:r>
      <w:r w:rsidR="00816B16" w:rsidRPr="007C61D2">
        <w:rPr>
          <w:rFonts w:ascii="Garamond" w:eastAsia="Times New Roman" w:hAnsi="Garamond" w:cs="Times New Roman"/>
          <w:sz w:val="24"/>
          <w:szCs w:val="24"/>
        </w:rPr>
        <w:t xml:space="preserve"> and experiences</w:t>
      </w:r>
      <w:r w:rsidR="00546F6B" w:rsidRPr="007C61D2">
        <w:rPr>
          <w:rFonts w:ascii="Garamond" w:eastAsia="Times New Roman" w:hAnsi="Garamond" w:cs="Times New Roman"/>
          <w:sz w:val="24"/>
          <w:szCs w:val="24"/>
        </w:rPr>
        <w:t xml:space="preserve"> </w:t>
      </w:r>
      <w:r w:rsidR="00D7544A" w:rsidRPr="007C61D2">
        <w:rPr>
          <w:rFonts w:ascii="Garamond" w:eastAsia="Times New Roman" w:hAnsi="Garamond" w:cs="Times New Roman"/>
          <w:sz w:val="24"/>
          <w:szCs w:val="24"/>
        </w:rPr>
        <w:t>relocated to a place beyond</w:t>
      </w:r>
      <w:r w:rsidR="00927A90">
        <w:rPr>
          <w:rFonts w:ascii="Garamond" w:eastAsia="Times New Roman" w:hAnsi="Garamond" w:cs="Times New Roman"/>
          <w:sz w:val="24"/>
          <w:szCs w:val="24"/>
        </w:rPr>
        <w:t xml:space="preserve"> the present</w:t>
      </w:r>
      <w:r w:rsidR="00B85871" w:rsidRPr="007C61D2">
        <w:rPr>
          <w:rFonts w:ascii="Garamond" w:eastAsia="Times New Roman" w:hAnsi="Garamond" w:cs="Times New Roman"/>
          <w:sz w:val="24"/>
          <w:szCs w:val="24"/>
        </w:rPr>
        <w:t xml:space="preserve">. </w:t>
      </w:r>
    </w:p>
    <w:p w14:paraId="0A9B8313" w14:textId="6108F419" w:rsidR="00194D8F" w:rsidRPr="007C61D2" w:rsidRDefault="00D7544A" w:rsidP="00AB322D">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C</w:t>
      </w:r>
      <w:r w:rsidR="006B403B" w:rsidRPr="007C61D2">
        <w:rPr>
          <w:rFonts w:ascii="Garamond" w:eastAsia="Times New Roman" w:hAnsi="Garamond" w:cs="Times New Roman"/>
          <w:sz w:val="24"/>
          <w:szCs w:val="24"/>
        </w:rPr>
        <w:t xml:space="preserve">oncern </w:t>
      </w:r>
      <w:r w:rsidR="00B85871" w:rsidRPr="007C61D2">
        <w:rPr>
          <w:rFonts w:ascii="Garamond" w:eastAsia="Times New Roman" w:hAnsi="Garamond" w:cs="Times New Roman"/>
          <w:sz w:val="24"/>
          <w:szCs w:val="24"/>
        </w:rPr>
        <w:t xml:space="preserve">that decertification, at its most successful, </w:t>
      </w:r>
      <w:r w:rsidRPr="007C61D2">
        <w:rPr>
          <w:rFonts w:ascii="Garamond" w:eastAsia="Times New Roman" w:hAnsi="Garamond" w:cs="Times New Roman"/>
          <w:sz w:val="24"/>
          <w:szCs w:val="24"/>
        </w:rPr>
        <w:t xml:space="preserve">would </w:t>
      </w:r>
      <w:r w:rsidR="00546F6B" w:rsidRPr="007C61D2">
        <w:rPr>
          <w:rFonts w:ascii="Garamond" w:eastAsia="Times New Roman" w:hAnsi="Garamond" w:cs="Times New Roman"/>
          <w:sz w:val="24"/>
          <w:szCs w:val="24"/>
        </w:rPr>
        <w:t>intensif</w:t>
      </w:r>
      <w:r w:rsidRPr="007C61D2">
        <w:rPr>
          <w:rFonts w:ascii="Garamond" w:eastAsia="Times New Roman" w:hAnsi="Garamond" w:cs="Times New Roman"/>
          <w:sz w:val="24"/>
          <w:szCs w:val="24"/>
        </w:rPr>
        <w:t xml:space="preserve">y </w:t>
      </w:r>
      <w:r w:rsidR="00B85871" w:rsidRPr="007C61D2">
        <w:rPr>
          <w:rFonts w:ascii="Garamond" w:eastAsia="Times New Roman" w:hAnsi="Garamond" w:cs="Times New Roman"/>
          <w:sz w:val="24"/>
          <w:szCs w:val="24"/>
        </w:rPr>
        <w:t>androcentric norm</w:t>
      </w:r>
      <w:r w:rsidR="00546F6B" w:rsidRPr="007C61D2">
        <w:rPr>
          <w:rFonts w:ascii="Garamond" w:eastAsia="Times New Roman" w:hAnsi="Garamond" w:cs="Times New Roman"/>
          <w:sz w:val="24"/>
          <w:szCs w:val="24"/>
        </w:rPr>
        <w:t>-building</w:t>
      </w:r>
      <w:r w:rsidR="00B85871" w:rsidRPr="007C61D2">
        <w:rPr>
          <w:rFonts w:ascii="Garamond" w:eastAsia="Times New Roman" w:hAnsi="Garamond" w:cs="Times New Roman"/>
          <w:sz w:val="24"/>
          <w:szCs w:val="24"/>
        </w:rPr>
        <w:t xml:space="preserve"> within social and political life </w:t>
      </w:r>
      <w:r w:rsidR="00F96949" w:rsidRPr="007C61D2">
        <w:rPr>
          <w:rFonts w:ascii="Garamond" w:eastAsia="Times New Roman" w:hAnsi="Garamond" w:cs="Times New Roman"/>
          <w:sz w:val="24"/>
          <w:szCs w:val="24"/>
        </w:rPr>
        <w:t xml:space="preserve">raises questions of strategy and process. It also </w:t>
      </w:r>
      <w:r w:rsidR="00570B8B" w:rsidRPr="007C61D2">
        <w:rPr>
          <w:rFonts w:ascii="Garamond" w:eastAsia="Times New Roman" w:hAnsi="Garamond" w:cs="Times New Roman"/>
          <w:sz w:val="24"/>
          <w:szCs w:val="24"/>
        </w:rPr>
        <w:t xml:space="preserve">poses </w:t>
      </w:r>
      <w:r w:rsidR="00401EB9" w:rsidRPr="007C61D2">
        <w:rPr>
          <w:rFonts w:ascii="Garamond" w:eastAsia="Times New Roman" w:hAnsi="Garamond" w:cs="Times New Roman"/>
          <w:sz w:val="24"/>
          <w:szCs w:val="24"/>
        </w:rPr>
        <w:t xml:space="preserve">questions about the relationship between gender and </w:t>
      </w:r>
      <w:r w:rsidR="007847CB" w:rsidRPr="007C61D2">
        <w:rPr>
          <w:rFonts w:ascii="Garamond" w:eastAsia="Times New Roman" w:hAnsi="Garamond" w:cs="Times New Roman"/>
          <w:sz w:val="24"/>
          <w:szCs w:val="24"/>
        </w:rPr>
        <w:t xml:space="preserve">other </w:t>
      </w:r>
      <w:r w:rsidR="00C64EE7" w:rsidRPr="007C61D2">
        <w:rPr>
          <w:rFonts w:ascii="Garamond" w:eastAsia="Times New Roman" w:hAnsi="Garamond" w:cs="Times New Roman"/>
          <w:sz w:val="24"/>
          <w:szCs w:val="24"/>
        </w:rPr>
        <w:t xml:space="preserve">socio-political </w:t>
      </w:r>
      <w:r w:rsidR="00401EB9" w:rsidRPr="007C61D2">
        <w:rPr>
          <w:rFonts w:ascii="Garamond" w:eastAsia="Times New Roman" w:hAnsi="Garamond" w:cs="Times New Roman"/>
          <w:sz w:val="24"/>
          <w:szCs w:val="24"/>
        </w:rPr>
        <w:t xml:space="preserve">norms and principles. What does it mean to </w:t>
      </w:r>
      <w:r w:rsidR="00616DF0" w:rsidRPr="007C61D2">
        <w:rPr>
          <w:rFonts w:ascii="Garamond" w:eastAsia="Times New Roman" w:hAnsi="Garamond" w:cs="Times New Roman"/>
          <w:sz w:val="24"/>
          <w:szCs w:val="24"/>
        </w:rPr>
        <w:t>align specific norms and principles with specific genders</w:t>
      </w:r>
      <w:r w:rsidRPr="007C61D2">
        <w:rPr>
          <w:rFonts w:ascii="Garamond" w:eastAsia="Times New Roman" w:hAnsi="Garamond" w:cs="Times New Roman"/>
          <w:sz w:val="24"/>
          <w:szCs w:val="24"/>
        </w:rPr>
        <w:t xml:space="preserve"> in declaring that societal processes are androcentric</w:t>
      </w:r>
      <w:r w:rsidR="00616DF0" w:rsidRPr="007C61D2">
        <w:rPr>
          <w:rFonts w:ascii="Garamond" w:eastAsia="Times New Roman" w:hAnsi="Garamond" w:cs="Times New Roman"/>
          <w:sz w:val="24"/>
          <w:szCs w:val="24"/>
        </w:rPr>
        <w:t xml:space="preserve">? </w:t>
      </w:r>
      <w:r w:rsidR="00F05EFE" w:rsidRPr="007C61D2">
        <w:rPr>
          <w:rFonts w:ascii="Garamond" w:eastAsia="Times New Roman" w:hAnsi="Garamond" w:cs="Times New Roman"/>
          <w:sz w:val="24"/>
          <w:szCs w:val="24"/>
        </w:rPr>
        <w:t xml:space="preserve">Feminists have long argued </w:t>
      </w:r>
      <w:r w:rsidR="00401EB9" w:rsidRPr="007C61D2">
        <w:rPr>
          <w:rFonts w:ascii="Garamond" w:eastAsia="Times New Roman" w:hAnsi="Garamond" w:cs="Times New Roman"/>
          <w:sz w:val="24"/>
          <w:szCs w:val="24"/>
        </w:rPr>
        <w:t xml:space="preserve">that militarism, competition, </w:t>
      </w:r>
      <w:r w:rsidR="00F54163" w:rsidRPr="007C61D2">
        <w:rPr>
          <w:rFonts w:ascii="Garamond" w:eastAsia="Times New Roman" w:hAnsi="Garamond" w:cs="Times New Roman"/>
          <w:sz w:val="24"/>
          <w:szCs w:val="24"/>
        </w:rPr>
        <w:t>global corporat</w:t>
      </w:r>
      <w:r w:rsidR="00810DD6" w:rsidRPr="007C61D2">
        <w:rPr>
          <w:rFonts w:ascii="Garamond" w:eastAsia="Times New Roman" w:hAnsi="Garamond" w:cs="Times New Roman"/>
          <w:sz w:val="24"/>
          <w:szCs w:val="24"/>
        </w:rPr>
        <w:t>e markets</w:t>
      </w:r>
      <w:r w:rsidR="00F54163" w:rsidRPr="007C61D2">
        <w:rPr>
          <w:rFonts w:ascii="Garamond" w:eastAsia="Times New Roman" w:hAnsi="Garamond" w:cs="Times New Roman"/>
          <w:sz w:val="24"/>
          <w:szCs w:val="24"/>
        </w:rPr>
        <w:t xml:space="preserve">, </w:t>
      </w:r>
      <w:r w:rsidR="00570B8B" w:rsidRPr="007C61D2">
        <w:rPr>
          <w:rFonts w:ascii="Garamond" w:eastAsia="Times New Roman" w:hAnsi="Garamond" w:cs="Times New Roman"/>
          <w:sz w:val="24"/>
          <w:szCs w:val="24"/>
        </w:rPr>
        <w:t>neo</w:t>
      </w:r>
      <w:r w:rsidR="00F54163" w:rsidRPr="007C61D2">
        <w:rPr>
          <w:rFonts w:ascii="Garamond" w:eastAsia="Times New Roman" w:hAnsi="Garamond" w:cs="Times New Roman"/>
          <w:sz w:val="24"/>
          <w:szCs w:val="24"/>
        </w:rPr>
        <w:t>liberal government</w:t>
      </w:r>
      <w:r w:rsidR="00B82850" w:rsidRPr="007C61D2">
        <w:rPr>
          <w:rFonts w:ascii="Garamond" w:eastAsia="Times New Roman" w:hAnsi="Garamond" w:cs="Times New Roman"/>
          <w:sz w:val="24"/>
          <w:szCs w:val="24"/>
        </w:rPr>
        <w:t>, the devaluing of care</w:t>
      </w:r>
      <w:r w:rsidR="0075512C" w:rsidRPr="007C61D2">
        <w:rPr>
          <w:rFonts w:ascii="Garamond" w:eastAsia="Times New Roman" w:hAnsi="Garamond" w:cs="Times New Roman"/>
          <w:sz w:val="24"/>
          <w:szCs w:val="24"/>
        </w:rPr>
        <w:t>,</w:t>
      </w:r>
      <w:r w:rsidR="00F54163" w:rsidRPr="007C61D2">
        <w:rPr>
          <w:rFonts w:ascii="Garamond" w:eastAsia="Times New Roman" w:hAnsi="Garamond" w:cs="Times New Roman"/>
          <w:sz w:val="24"/>
          <w:szCs w:val="24"/>
        </w:rPr>
        <w:t xml:space="preserve"> </w:t>
      </w:r>
      <w:r w:rsidR="00B82850" w:rsidRPr="007C61D2">
        <w:rPr>
          <w:rFonts w:ascii="Garamond" w:eastAsia="Times New Roman" w:hAnsi="Garamond" w:cs="Times New Roman"/>
          <w:sz w:val="24"/>
          <w:szCs w:val="24"/>
        </w:rPr>
        <w:t>and environmental depredation</w:t>
      </w:r>
      <w:r w:rsidR="00616DF0" w:rsidRPr="007C61D2">
        <w:rPr>
          <w:rFonts w:ascii="Garamond" w:eastAsia="Times New Roman" w:hAnsi="Garamond" w:cs="Times New Roman"/>
          <w:sz w:val="24"/>
          <w:szCs w:val="24"/>
        </w:rPr>
        <w:t xml:space="preserve"> </w:t>
      </w:r>
      <w:r w:rsidR="00F54163" w:rsidRPr="007C61D2">
        <w:rPr>
          <w:rFonts w:ascii="Garamond" w:eastAsia="Times New Roman" w:hAnsi="Garamond" w:cs="Times New Roman"/>
          <w:sz w:val="24"/>
          <w:szCs w:val="24"/>
        </w:rPr>
        <w:t>are in some way male or masculine</w:t>
      </w:r>
      <w:r w:rsidR="00570B8B" w:rsidRPr="007C61D2">
        <w:rPr>
          <w:rFonts w:ascii="Garamond" w:eastAsia="Times New Roman" w:hAnsi="Garamond" w:cs="Times New Roman"/>
          <w:sz w:val="24"/>
          <w:szCs w:val="24"/>
        </w:rPr>
        <w:t xml:space="preserve"> </w:t>
      </w:r>
      <w:r w:rsidR="00546F6B" w:rsidRPr="007C61D2">
        <w:rPr>
          <w:rFonts w:ascii="Garamond" w:eastAsia="Times New Roman" w:hAnsi="Garamond" w:cs="Times New Roman"/>
          <w:sz w:val="24"/>
          <w:szCs w:val="24"/>
        </w:rPr>
        <w:t xml:space="preserve">(see </w:t>
      </w:r>
      <w:r w:rsidR="0088223C" w:rsidRPr="007C61D2">
        <w:rPr>
          <w:rFonts w:ascii="Garamond" w:eastAsia="Times New Roman" w:hAnsi="Garamond" w:cs="Times New Roman"/>
          <w:sz w:val="24"/>
          <w:szCs w:val="24"/>
        </w:rPr>
        <w:t xml:space="preserve">also </w:t>
      </w:r>
      <w:r w:rsidR="00546F6B" w:rsidRPr="007C61D2">
        <w:rPr>
          <w:rFonts w:ascii="Garamond" w:eastAsia="Times New Roman" w:hAnsi="Garamond" w:cs="Times New Roman"/>
          <w:sz w:val="24"/>
          <w:szCs w:val="24"/>
        </w:rPr>
        <w:t>Beckwith 2005)</w:t>
      </w:r>
      <w:r w:rsidR="00616DF0" w:rsidRPr="007C61D2">
        <w:rPr>
          <w:rFonts w:ascii="Garamond" w:eastAsia="Times New Roman" w:hAnsi="Garamond" w:cs="Times New Roman"/>
          <w:sz w:val="24"/>
          <w:szCs w:val="24"/>
        </w:rPr>
        <w:t>.</w:t>
      </w:r>
      <w:r w:rsidR="00F54163" w:rsidRPr="007C61D2">
        <w:rPr>
          <w:rFonts w:ascii="Garamond" w:eastAsia="Times New Roman" w:hAnsi="Garamond" w:cs="Times New Roman"/>
          <w:sz w:val="24"/>
          <w:szCs w:val="24"/>
        </w:rPr>
        <w:t xml:space="preserve"> </w:t>
      </w:r>
      <w:r w:rsidR="00F05EFE" w:rsidRPr="007C61D2">
        <w:rPr>
          <w:rFonts w:ascii="Garamond" w:eastAsia="Times New Roman" w:hAnsi="Garamond" w:cs="Times New Roman"/>
          <w:sz w:val="24"/>
          <w:szCs w:val="24"/>
        </w:rPr>
        <w:t>Yet, e</w:t>
      </w:r>
      <w:r w:rsidR="006265C3" w:rsidRPr="007C61D2">
        <w:rPr>
          <w:rFonts w:ascii="Garamond" w:eastAsia="Times New Roman" w:hAnsi="Garamond" w:cs="Times New Roman"/>
          <w:sz w:val="24"/>
          <w:szCs w:val="24"/>
        </w:rPr>
        <w:t xml:space="preserve">ven if </w:t>
      </w:r>
      <w:r w:rsidR="00546F6B" w:rsidRPr="007C61D2">
        <w:rPr>
          <w:rFonts w:ascii="Garamond" w:eastAsia="Times New Roman" w:hAnsi="Garamond" w:cs="Times New Roman"/>
          <w:sz w:val="24"/>
          <w:szCs w:val="24"/>
        </w:rPr>
        <w:t xml:space="preserve">this </w:t>
      </w:r>
      <w:r w:rsidR="00570B8B" w:rsidRPr="007C61D2">
        <w:rPr>
          <w:rFonts w:ascii="Garamond" w:eastAsia="Times New Roman" w:hAnsi="Garamond" w:cs="Times New Roman"/>
          <w:sz w:val="24"/>
          <w:szCs w:val="24"/>
        </w:rPr>
        <w:t xml:space="preserve">alignment </w:t>
      </w:r>
      <w:r w:rsidR="00546F6B" w:rsidRPr="007C61D2">
        <w:rPr>
          <w:rFonts w:ascii="Garamond" w:eastAsia="Times New Roman" w:hAnsi="Garamond" w:cs="Times New Roman"/>
          <w:sz w:val="24"/>
          <w:szCs w:val="24"/>
        </w:rPr>
        <w:t xml:space="preserve">was </w:t>
      </w:r>
      <w:r w:rsidR="006265C3" w:rsidRPr="007C61D2">
        <w:rPr>
          <w:rFonts w:ascii="Garamond" w:eastAsia="Times New Roman" w:hAnsi="Garamond" w:cs="Times New Roman"/>
          <w:sz w:val="24"/>
          <w:szCs w:val="24"/>
        </w:rPr>
        <w:t xml:space="preserve">once </w:t>
      </w:r>
      <w:r w:rsidR="00570B8B" w:rsidRPr="007C61D2">
        <w:rPr>
          <w:rFonts w:ascii="Garamond" w:eastAsia="Times New Roman" w:hAnsi="Garamond" w:cs="Times New Roman"/>
          <w:sz w:val="24"/>
          <w:szCs w:val="24"/>
        </w:rPr>
        <w:t xml:space="preserve">powerfully pervasive, </w:t>
      </w:r>
      <w:r w:rsidR="006265C3" w:rsidRPr="007C61D2">
        <w:rPr>
          <w:rFonts w:ascii="Garamond" w:eastAsia="Times New Roman" w:hAnsi="Garamond" w:cs="Times New Roman"/>
          <w:sz w:val="24"/>
          <w:szCs w:val="24"/>
        </w:rPr>
        <w:t>w</w:t>
      </w:r>
      <w:r w:rsidR="00F96949" w:rsidRPr="007C61D2">
        <w:rPr>
          <w:rFonts w:ascii="Garamond" w:eastAsia="Times New Roman" w:hAnsi="Garamond" w:cs="Times New Roman"/>
          <w:sz w:val="24"/>
          <w:szCs w:val="24"/>
        </w:rPr>
        <w:t xml:space="preserve">hat evidence </w:t>
      </w:r>
      <w:r w:rsidR="00570B8B" w:rsidRPr="007C61D2">
        <w:rPr>
          <w:rFonts w:ascii="Garamond" w:eastAsia="Times New Roman" w:hAnsi="Garamond" w:cs="Times New Roman"/>
          <w:sz w:val="24"/>
          <w:szCs w:val="24"/>
        </w:rPr>
        <w:t xml:space="preserve">exists – </w:t>
      </w:r>
      <w:r w:rsidR="00570B8B" w:rsidRPr="007C61D2">
        <w:rPr>
          <w:rFonts w:ascii="Garamond" w:eastAsia="Times New Roman" w:hAnsi="Garamond" w:cs="Times New Roman"/>
          <w:i/>
          <w:iCs/>
          <w:sz w:val="24"/>
          <w:szCs w:val="24"/>
        </w:rPr>
        <w:t>and what evidence needs to exist</w:t>
      </w:r>
      <w:r w:rsidR="00570B8B" w:rsidRPr="007C61D2">
        <w:rPr>
          <w:rFonts w:ascii="Garamond" w:eastAsia="Times New Roman" w:hAnsi="Garamond" w:cs="Times New Roman"/>
          <w:sz w:val="24"/>
          <w:szCs w:val="24"/>
        </w:rPr>
        <w:t xml:space="preserve"> - </w:t>
      </w:r>
      <w:r w:rsidR="00F96949" w:rsidRPr="007C61D2">
        <w:rPr>
          <w:rFonts w:ascii="Garamond" w:eastAsia="Times New Roman" w:hAnsi="Garamond" w:cs="Times New Roman"/>
          <w:sz w:val="24"/>
          <w:szCs w:val="24"/>
        </w:rPr>
        <w:t xml:space="preserve">to </w:t>
      </w:r>
      <w:r w:rsidR="00D561F0" w:rsidRPr="007C61D2">
        <w:rPr>
          <w:rFonts w:ascii="Garamond" w:eastAsia="Times New Roman" w:hAnsi="Garamond" w:cs="Times New Roman"/>
          <w:sz w:val="24"/>
          <w:szCs w:val="24"/>
        </w:rPr>
        <w:t xml:space="preserve">know </w:t>
      </w:r>
      <w:r w:rsidR="00546F6B" w:rsidRPr="007C61D2">
        <w:rPr>
          <w:rFonts w:ascii="Garamond" w:eastAsia="Times New Roman" w:hAnsi="Garamond" w:cs="Times New Roman"/>
          <w:sz w:val="24"/>
          <w:szCs w:val="24"/>
        </w:rPr>
        <w:t xml:space="preserve">that it </w:t>
      </w:r>
      <w:r w:rsidR="007357BD" w:rsidRPr="007C61D2">
        <w:rPr>
          <w:rFonts w:ascii="Garamond" w:eastAsia="Times New Roman" w:hAnsi="Garamond" w:cs="Times New Roman"/>
          <w:sz w:val="24"/>
          <w:szCs w:val="24"/>
        </w:rPr>
        <w:t>endure</w:t>
      </w:r>
      <w:r w:rsidR="00546F6B" w:rsidRPr="007C61D2">
        <w:rPr>
          <w:rFonts w:ascii="Garamond" w:eastAsia="Times New Roman" w:hAnsi="Garamond" w:cs="Times New Roman"/>
          <w:sz w:val="24"/>
          <w:szCs w:val="24"/>
        </w:rPr>
        <w:t>s</w:t>
      </w:r>
      <w:r w:rsidR="00DB124F" w:rsidRPr="007C61D2">
        <w:rPr>
          <w:rFonts w:ascii="Garamond" w:eastAsia="Times New Roman" w:hAnsi="Garamond" w:cs="Times New Roman"/>
          <w:sz w:val="24"/>
          <w:szCs w:val="24"/>
        </w:rPr>
        <w:t>?</w:t>
      </w:r>
      <w:r w:rsidR="00F96949" w:rsidRPr="007C61D2">
        <w:rPr>
          <w:rFonts w:ascii="Garamond" w:eastAsia="Times New Roman" w:hAnsi="Garamond" w:cs="Times New Roman"/>
          <w:sz w:val="24"/>
          <w:szCs w:val="24"/>
        </w:rPr>
        <w:t xml:space="preserve"> </w:t>
      </w:r>
      <w:r w:rsidR="00DB124F" w:rsidRPr="007C61D2">
        <w:rPr>
          <w:rFonts w:ascii="Garamond" w:eastAsia="Times New Roman" w:hAnsi="Garamond" w:cs="Times New Roman"/>
          <w:sz w:val="24"/>
          <w:szCs w:val="24"/>
        </w:rPr>
        <w:lastRenderedPageBreak/>
        <w:t>I</w:t>
      </w:r>
      <w:r w:rsidR="00F96949" w:rsidRPr="007C61D2">
        <w:rPr>
          <w:rFonts w:ascii="Garamond" w:eastAsia="Times New Roman" w:hAnsi="Garamond" w:cs="Times New Roman"/>
          <w:sz w:val="24"/>
          <w:szCs w:val="24"/>
        </w:rPr>
        <w:t xml:space="preserve">s </w:t>
      </w:r>
      <w:r w:rsidR="008F4F39" w:rsidRPr="007C61D2">
        <w:rPr>
          <w:rFonts w:ascii="Garamond" w:eastAsia="Times New Roman" w:hAnsi="Garamond" w:cs="Times New Roman"/>
          <w:sz w:val="24"/>
          <w:szCs w:val="24"/>
        </w:rPr>
        <w:t xml:space="preserve">ongoing </w:t>
      </w:r>
      <w:r w:rsidR="00570B8B" w:rsidRPr="007C61D2">
        <w:rPr>
          <w:rFonts w:ascii="Garamond" w:eastAsia="Times New Roman" w:hAnsi="Garamond" w:cs="Times New Roman"/>
          <w:sz w:val="24"/>
          <w:szCs w:val="24"/>
        </w:rPr>
        <w:t xml:space="preserve">alignment or suturing </w:t>
      </w:r>
      <w:r w:rsidR="006265C3" w:rsidRPr="007C61D2">
        <w:rPr>
          <w:rFonts w:ascii="Garamond" w:eastAsia="Times New Roman" w:hAnsi="Garamond" w:cs="Times New Roman"/>
          <w:sz w:val="24"/>
          <w:szCs w:val="24"/>
        </w:rPr>
        <w:t xml:space="preserve">something that can be assumed; </w:t>
      </w:r>
      <w:r w:rsidR="00067B7B" w:rsidRPr="007C61D2">
        <w:rPr>
          <w:rFonts w:ascii="Garamond" w:eastAsia="Times New Roman" w:hAnsi="Garamond" w:cs="Times New Roman"/>
          <w:sz w:val="24"/>
          <w:szCs w:val="24"/>
        </w:rPr>
        <w:t xml:space="preserve">or </w:t>
      </w:r>
      <w:r w:rsidR="00DB124F" w:rsidRPr="007C61D2">
        <w:rPr>
          <w:rFonts w:ascii="Garamond" w:eastAsia="Times New Roman" w:hAnsi="Garamond" w:cs="Times New Roman"/>
          <w:sz w:val="24"/>
          <w:szCs w:val="24"/>
        </w:rPr>
        <w:t>d</w:t>
      </w:r>
      <w:r w:rsidR="007357BD" w:rsidRPr="007C61D2">
        <w:rPr>
          <w:rFonts w:ascii="Garamond" w:eastAsia="Times New Roman" w:hAnsi="Garamond" w:cs="Times New Roman"/>
          <w:sz w:val="24"/>
          <w:szCs w:val="24"/>
        </w:rPr>
        <w:t xml:space="preserve">oes there </w:t>
      </w:r>
      <w:r w:rsidR="00616DF0" w:rsidRPr="007C61D2">
        <w:rPr>
          <w:rFonts w:ascii="Garamond" w:eastAsia="Times New Roman" w:hAnsi="Garamond" w:cs="Times New Roman"/>
          <w:sz w:val="24"/>
          <w:szCs w:val="24"/>
        </w:rPr>
        <w:t xml:space="preserve">arrive </w:t>
      </w:r>
      <w:r w:rsidR="007357BD" w:rsidRPr="007C61D2">
        <w:rPr>
          <w:rFonts w:ascii="Garamond" w:eastAsia="Times New Roman" w:hAnsi="Garamond" w:cs="Times New Roman"/>
          <w:sz w:val="24"/>
          <w:szCs w:val="24"/>
        </w:rPr>
        <w:t xml:space="preserve">a </w:t>
      </w:r>
      <w:r w:rsidR="00661BF3" w:rsidRPr="007C61D2">
        <w:rPr>
          <w:rFonts w:ascii="Garamond" w:eastAsia="Times New Roman" w:hAnsi="Garamond" w:cs="Times New Roman"/>
          <w:sz w:val="24"/>
          <w:szCs w:val="24"/>
        </w:rPr>
        <w:t xml:space="preserve">point </w:t>
      </w:r>
      <w:r w:rsidR="007357BD" w:rsidRPr="007C61D2">
        <w:rPr>
          <w:rFonts w:ascii="Garamond" w:eastAsia="Times New Roman" w:hAnsi="Garamond" w:cs="Times New Roman"/>
          <w:sz w:val="24"/>
          <w:szCs w:val="24"/>
        </w:rPr>
        <w:t xml:space="preserve">when </w:t>
      </w:r>
      <w:r w:rsidR="00616DF0" w:rsidRPr="007C61D2">
        <w:rPr>
          <w:rFonts w:ascii="Garamond" w:eastAsia="Times New Roman" w:hAnsi="Garamond" w:cs="Times New Roman"/>
          <w:sz w:val="24"/>
          <w:szCs w:val="24"/>
        </w:rPr>
        <w:t xml:space="preserve">certain values, </w:t>
      </w:r>
      <w:r w:rsidR="007357BD" w:rsidRPr="007C61D2">
        <w:rPr>
          <w:rFonts w:ascii="Garamond" w:eastAsia="Times New Roman" w:hAnsi="Garamond" w:cs="Times New Roman"/>
          <w:sz w:val="24"/>
          <w:szCs w:val="24"/>
        </w:rPr>
        <w:t>practices</w:t>
      </w:r>
      <w:r w:rsidR="00D561F0" w:rsidRPr="007C61D2">
        <w:rPr>
          <w:rFonts w:ascii="Garamond" w:eastAsia="Times New Roman" w:hAnsi="Garamond" w:cs="Times New Roman"/>
          <w:sz w:val="24"/>
          <w:szCs w:val="24"/>
        </w:rPr>
        <w:t>,</w:t>
      </w:r>
      <w:r w:rsidR="007357BD" w:rsidRPr="007C61D2">
        <w:rPr>
          <w:rFonts w:ascii="Garamond" w:eastAsia="Times New Roman" w:hAnsi="Garamond" w:cs="Times New Roman"/>
          <w:sz w:val="24"/>
          <w:szCs w:val="24"/>
        </w:rPr>
        <w:t xml:space="preserve"> </w:t>
      </w:r>
      <w:r w:rsidR="00BF4B9C" w:rsidRPr="007C61D2">
        <w:rPr>
          <w:rFonts w:ascii="Garamond" w:eastAsia="Times New Roman" w:hAnsi="Garamond" w:cs="Times New Roman"/>
          <w:sz w:val="24"/>
          <w:szCs w:val="24"/>
        </w:rPr>
        <w:t xml:space="preserve">or regimes </w:t>
      </w:r>
      <w:r w:rsidR="00C64EE7" w:rsidRPr="007C61D2">
        <w:rPr>
          <w:rFonts w:ascii="Garamond" w:eastAsia="Times New Roman" w:hAnsi="Garamond" w:cs="Times New Roman"/>
          <w:sz w:val="24"/>
          <w:szCs w:val="24"/>
        </w:rPr>
        <w:t xml:space="preserve">(militarism, competition etc) </w:t>
      </w:r>
      <w:r w:rsidR="007357BD" w:rsidRPr="007C61D2">
        <w:rPr>
          <w:rFonts w:ascii="Garamond" w:eastAsia="Times New Roman" w:hAnsi="Garamond" w:cs="Times New Roman"/>
          <w:sz w:val="24"/>
          <w:szCs w:val="24"/>
        </w:rPr>
        <w:t xml:space="preserve">are no longer cultivated and experienced, </w:t>
      </w:r>
      <w:r w:rsidR="00661BF3" w:rsidRPr="007C61D2">
        <w:rPr>
          <w:rFonts w:ascii="Garamond" w:eastAsia="Times New Roman" w:hAnsi="Garamond" w:cs="Times New Roman"/>
          <w:sz w:val="24"/>
          <w:szCs w:val="24"/>
        </w:rPr>
        <w:t xml:space="preserve">or usefully represented critically, </w:t>
      </w:r>
      <w:r w:rsidR="007357BD" w:rsidRPr="007C61D2">
        <w:rPr>
          <w:rFonts w:ascii="Garamond" w:eastAsia="Times New Roman" w:hAnsi="Garamond" w:cs="Times New Roman"/>
          <w:sz w:val="24"/>
          <w:szCs w:val="24"/>
        </w:rPr>
        <w:t xml:space="preserve">in gendered terms? </w:t>
      </w:r>
      <w:r w:rsidRPr="007C61D2">
        <w:rPr>
          <w:rFonts w:ascii="Garamond" w:eastAsia="Times New Roman" w:hAnsi="Garamond" w:cs="Times New Roman"/>
          <w:sz w:val="24"/>
          <w:szCs w:val="24"/>
        </w:rPr>
        <w:t>O</w:t>
      </w:r>
      <w:r w:rsidR="00546F6B" w:rsidRPr="007C61D2">
        <w:rPr>
          <w:rFonts w:ascii="Garamond" w:eastAsia="Times New Roman" w:hAnsi="Garamond" w:cs="Times New Roman"/>
          <w:sz w:val="24"/>
          <w:szCs w:val="24"/>
        </w:rPr>
        <w:t xml:space="preserve">ne </w:t>
      </w:r>
      <w:r w:rsidR="00570B8B" w:rsidRPr="007C61D2">
        <w:rPr>
          <w:rFonts w:ascii="Garamond" w:eastAsia="Times New Roman" w:hAnsi="Garamond" w:cs="Times New Roman"/>
          <w:sz w:val="24"/>
          <w:szCs w:val="24"/>
        </w:rPr>
        <w:t>feminist NGO activist</w:t>
      </w:r>
      <w:r w:rsidRPr="007C61D2">
        <w:rPr>
          <w:rFonts w:ascii="Garamond" w:eastAsia="Times New Roman" w:hAnsi="Garamond" w:cs="Times New Roman"/>
          <w:sz w:val="24"/>
          <w:szCs w:val="24"/>
        </w:rPr>
        <w:t xml:space="preserve"> captured this uncertainty </w:t>
      </w:r>
      <w:r w:rsidR="007847CB" w:rsidRPr="007C61D2">
        <w:rPr>
          <w:rFonts w:ascii="Garamond" w:eastAsia="Times New Roman" w:hAnsi="Garamond" w:cs="Times New Roman"/>
          <w:sz w:val="24"/>
          <w:szCs w:val="24"/>
        </w:rPr>
        <w:t xml:space="preserve">when </w:t>
      </w:r>
      <w:r w:rsidRPr="007C61D2">
        <w:rPr>
          <w:rFonts w:ascii="Garamond" w:eastAsia="Times New Roman" w:hAnsi="Garamond" w:cs="Times New Roman"/>
          <w:sz w:val="24"/>
          <w:szCs w:val="24"/>
        </w:rPr>
        <w:t>interview</w:t>
      </w:r>
      <w:r w:rsidR="007847CB" w:rsidRPr="007C61D2">
        <w:rPr>
          <w:rFonts w:ascii="Garamond" w:eastAsia="Times New Roman" w:hAnsi="Garamond" w:cs="Times New Roman"/>
          <w:sz w:val="24"/>
          <w:szCs w:val="24"/>
        </w:rPr>
        <w:t>ed</w:t>
      </w:r>
      <w:r w:rsidRPr="007C61D2">
        <w:rPr>
          <w:rFonts w:ascii="Garamond" w:eastAsia="Times New Roman" w:hAnsi="Garamond" w:cs="Times New Roman"/>
          <w:sz w:val="24"/>
          <w:szCs w:val="24"/>
        </w:rPr>
        <w:t xml:space="preserve">. </w:t>
      </w:r>
      <w:r w:rsidR="00F05EFE" w:rsidRPr="007C61D2">
        <w:rPr>
          <w:rFonts w:ascii="Garamond" w:eastAsia="Times New Roman" w:hAnsi="Garamond" w:cs="Times New Roman"/>
          <w:sz w:val="24"/>
          <w:szCs w:val="24"/>
        </w:rPr>
        <w:t xml:space="preserve">Having argued that men receive higher bonuses </w:t>
      </w:r>
      <w:r w:rsidRPr="007C61D2">
        <w:rPr>
          <w:rFonts w:ascii="Garamond" w:eastAsia="Times New Roman" w:hAnsi="Garamond" w:cs="Times New Roman"/>
          <w:sz w:val="24"/>
          <w:szCs w:val="24"/>
        </w:rPr>
        <w:t xml:space="preserve">than women </w:t>
      </w:r>
      <w:r w:rsidR="00F05EFE" w:rsidRPr="007C61D2">
        <w:rPr>
          <w:rFonts w:ascii="Garamond" w:eastAsia="Times New Roman" w:hAnsi="Garamond" w:cs="Times New Roman"/>
          <w:sz w:val="24"/>
          <w:szCs w:val="24"/>
        </w:rPr>
        <w:t>from employers because they express more highly regarded</w:t>
      </w:r>
      <w:r w:rsidR="00570B8B" w:rsidRPr="007C61D2">
        <w:rPr>
          <w:rFonts w:ascii="Garamond" w:eastAsia="Times New Roman" w:hAnsi="Garamond" w:cs="Times New Roman"/>
          <w:sz w:val="24"/>
          <w:szCs w:val="24"/>
        </w:rPr>
        <w:t xml:space="preserve"> values</w:t>
      </w:r>
      <w:r w:rsidR="00F05EFE" w:rsidRPr="007C61D2">
        <w:rPr>
          <w:rFonts w:ascii="Garamond" w:eastAsia="Times New Roman" w:hAnsi="Garamond" w:cs="Times New Roman"/>
          <w:sz w:val="24"/>
          <w:szCs w:val="24"/>
        </w:rPr>
        <w:t xml:space="preserve">, she commented: </w:t>
      </w:r>
    </w:p>
    <w:p w14:paraId="3A2AC67F" w14:textId="7F662C14" w:rsidR="00EF6952" w:rsidRPr="007C61D2" w:rsidRDefault="00F05EFE" w:rsidP="00472A55">
      <w:pPr>
        <w:spacing w:before="120" w:after="120" w:line="360" w:lineRule="auto"/>
        <w:ind w:left="720"/>
        <w:rPr>
          <w:rFonts w:ascii="Garamond" w:eastAsia="Times New Roman" w:hAnsi="Garamond" w:cs="Times New Roman"/>
          <w:sz w:val="24"/>
          <w:szCs w:val="24"/>
        </w:rPr>
      </w:pPr>
      <w:r w:rsidRPr="007C61D2">
        <w:rPr>
          <w:rFonts w:ascii="Garamond" w:eastAsia="Times New Roman" w:hAnsi="Garamond" w:cs="Times New Roman"/>
          <w:sz w:val="24"/>
          <w:szCs w:val="24"/>
        </w:rPr>
        <w:t>“maybe it</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s not gender difference. Maybe it</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s </w:t>
      </w:r>
      <w:r w:rsidR="00EA6E77"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approach difference</w:t>
      </w:r>
      <w:r w:rsidR="00EA6E77"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or </w:t>
      </w:r>
      <w:r w:rsidR="00EA6E77"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priority difference</w:t>
      </w:r>
      <w:r w:rsidR="00EA6E77" w:rsidRPr="007C61D2">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within society</w:t>
      </w:r>
      <w:r w:rsidR="00570B8B" w:rsidRPr="007C61D2">
        <w:rPr>
          <w:rFonts w:ascii="Garamond" w:eastAsia="Times New Roman" w:hAnsi="Garamond" w:cs="Times New Roman"/>
          <w:sz w:val="24"/>
          <w:szCs w:val="24"/>
        </w:rPr>
        <w:t xml:space="preserve"> - t</w:t>
      </w:r>
      <w:r w:rsidR="00924733">
        <w:rPr>
          <w:rFonts w:ascii="Garamond" w:eastAsia="Times New Roman" w:hAnsi="Garamond" w:cs="Times New Roman"/>
          <w:sz w:val="24"/>
          <w:szCs w:val="24"/>
        </w:rPr>
        <w:t>hat we’</w:t>
      </w:r>
      <w:r w:rsidRPr="007C61D2">
        <w:rPr>
          <w:rFonts w:ascii="Garamond" w:eastAsia="Times New Roman" w:hAnsi="Garamond" w:cs="Times New Roman"/>
          <w:sz w:val="24"/>
          <w:szCs w:val="24"/>
        </w:rPr>
        <w:t>ve linked to gender. But maybe it doesn</w:t>
      </w:r>
      <w:r w:rsidR="00AE4ACB">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t need to be linked to gender.” </w:t>
      </w:r>
    </w:p>
    <w:p w14:paraId="275AFE17" w14:textId="7BD3FA32" w:rsidR="00B04FDD" w:rsidRPr="007C61D2" w:rsidRDefault="00546F6B" w:rsidP="00654B6E">
      <w:pPr>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t xml:space="preserve">Severing the linkages </w:t>
      </w:r>
      <w:r w:rsidR="00D7544A" w:rsidRPr="007C61D2">
        <w:rPr>
          <w:rFonts w:ascii="Garamond" w:eastAsia="Times New Roman" w:hAnsi="Garamond" w:cs="Times New Roman"/>
          <w:sz w:val="24"/>
          <w:szCs w:val="24"/>
        </w:rPr>
        <w:t xml:space="preserve">between gender and </w:t>
      </w:r>
      <w:r w:rsidR="0075512C" w:rsidRPr="007C61D2">
        <w:rPr>
          <w:rFonts w:ascii="Garamond" w:eastAsia="Times New Roman" w:hAnsi="Garamond" w:cs="Times New Roman"/>
          <w:sz w:val="24"/>
          <w:szCs w:val="24"/>
        </w:rPr>
        <w:t xml:space="preserve">specific </w:t>
      </w:r>
      <w:r w:rsidR="00D7544A" w:rsidRPr="007C61D2">
        <w:rPr>
          <w:rFonts w:ascii="Garamond" w:eastAsia="Times New Roman" w:hAnsi="Garamond" w:cs="Times New Roman"/>
          <w:sz w:val="24"/>
          <w:szCs w:val="24"/>
        </w:rPr>
        <w:t xml:space="preserve">social values </w:t>
      </w:r>
      <w:r w:rsidRPr="007C61D2">
        <w:rPr>
          <w:rFonts w:ascii="Garamond" w:eastAsia="Times New Roman" w:hAnsi="Garamond" w:cs="Times New Roman"/>
          <w:sz w:val="24"/>
          <w:szCs w:val="24"/>
        </w:rPr>
        <w:t xml:space="preserve">can be read </w:t>
      </w:r>
      <w:r w:rsidR="0088223C" w:rsidRPr="007C61D2">
        <w:rPr>
          <w:rFonts w:ascii="Garamond" w:eastAsia="Times New Roman" w:hAnsi="Garamond" w:cs="Times New Roman"/>
          <w:sz w:val="24"/>
          <w:szCs w:val="24"/>
        </w:rPr>
        <w:t xml:space="preserve">in </w:t>
      </w:r>
      <w:r w:rsidRPr="007C61D2">
        <w:rPr>
          <w:rFonts w:ascii="Garamond" w:eastAsia="Times New Roman" w:hAnsi="Garamond" w:cs="Times New Roman"/>
          <w:sz w:val="24"/>
          <w:szCs w:val="24"/>
        </w:rPr>
        <w:t>critical, prefigurative, reform-oriented</w:t>
      </w:r>
      <w:r w:rsidR="00A82D99">
        <w:rPr>
          <w:rFonts w:ascii="Garamond" w:eastAsia="Times New Roman" w:hAnsi="Garamond" w:cs="Times New Roman"/>
          <w:sz w:val="24"/>
          <w:szCs w:val="24"/>
        </w:rPr>
        <w:t>,</w:t>
      </w:r>
      <w:r w:rsidRPr="007C61D2">
        <w:rPr>
          <w:rFonts w:ascii="Garamond" w:eastAsia="Times New Roman" w:hAnsi="Garamond" w:cs="Times New Roman"/>
          <w:sz w:val="24"/>
          <w:szCs w:val="24"/>
        </w:rPr>
        <w:t xml:space="preserve"> or normative </w:t>
      </w:r>
      <w:r w:rsidR="0088223C" w:rsidRPr="007C61D2">
        <w:rPr>
          <w:rFonts w:ascii="Garamond" w:eastAsia="Times New Roman" w:hAnsi="Garamond" w:cs="Times New Roman"/>
          <w:sz w:val="24"/>
          <w:szCs w:val="24"/>
        </w:rPr>
        <w:t xml:space="preserve">terms </w:t>
      </w:r>
      <w:r w:rsidR="0075512C" w:rsidRPr="007C61D2">
        <w:rPr>
          <w:rFonts w:ascii="Garamond" w:eastAsia="Times New Roman" w:hAnsi="Garamond" w:cs="Times New Roman"/>
          <w:sz w:val="24"/>
          <w:szCs w:val="24"/>
        </w:rPr>
        <w:t>as what is, could</w:t>
      </w:r>
      <w:r w:rsidR="00A82D99">
        <w:rPr>
          <w:rFonts w:ascii="Garamond" w:eastAsia="Times New Roman" w:hAnsi="Garamond" w:cs="Times New Roman"/>
          <w:sz w:val="24"/>
          <w:szCs w:val="24"/>
        </w:rPr>
        <w:t>,</w:t>
      </w:r>
      <w:r w:rsidR="0075512C" w:rsidRPr="007C61D2">
        <w:rPr>
          <w:rFonts w:ascii="Garamond" w:eastAsia="Times New Roman" w:hAnsi="Garamond" w:cs="Times New Roman"/>
          <w:sz w:val="24"/>
          <w:szCs w:val="24"/>
        </w:rPr>
        <w:t xml:space="preserve"> or should be </w:t>
      </w:r>
      <w:r w:rsidRPr="007C61D2">
        <w:rPr>
          <w:rFonts w:ascii="Garamond" w:eastAsia="Times New Roman" w:hAnsi="Garamond" w:cs="Times New Roman"/>
          <w:sz w:val="24"/>
          <w:szCs w:val="24"/>
        </w:rPr>
        <w:t>(see also Mackay 2014).</w:t>
      </w:r>
      <w:r w:rsidR="00960DA9" w:rsidRPr="007C61D2">
        <w:rPr>
          <w:rStyle w:val="FootnoteReference"/>
          <w:rFonts w:ascii="Garamond" w:eastAsia="Times New Roman" w:hAnsi="Garamond" w:cs="Times New Roman"/>
          <w:sz w:val="24"/>
          <w:szCs w:val="24"/>
        </w:rPr>
        <w:footnoteReference w:id="52"/>
      </w:r>
      <w:r w:rsidRPr="007C61D2">
        <w:rPr>
          <w:rFonts w:ascii="Garamond" w:eastAsia="Times New Roman" w:hAnsi="Garamond" w:cs="Times New Roman"/>
          <w:sz w:val="24"/>
          <w:szCs w:val="24"/>
        </w:rPr>
        <w:t xml:space="preserve"> </w:t>
      </w:r>
      <w:r w:rsidR="0075512C" w:rsidRPr="007C61D2">
        <w:rPr>
          <w:rFonts w:ascii="Garamond" w:eastAsia="Times New Roman" w:hAnsi="Garamond" w:cs="Times New Roman"/>
          <w:sz w:val="24"/>
          <w:szCs w:val="24"/>
        </w:rPr>
        <w:t xml:space="preserve">Yet, as </w:t>
      </w:r>
      <w:r w:rsidR="00570B8B" w:rsidRPr="007C61D2">
        <w:rPr>
          <w:rFonts w:ascii="Garamond" w:eastAsia="Times New Roman" w:hAnsi="Garamond" w:cs="Times New Roman"/>
          <w:sz w:val="24"/>
          <w:szCs w:val="24"/>
        </w:rPr>
        <w:t xml:space="preserve">a critical project, </w:t>
      </w:r>
      <w:r w:rsidR="00EF6952" w:rsidRPr="007C61D2">
        <w:rPr>
          <w:rFonts w:ascii="Garamond" w:eastAsia="Times New Roman" w:hAnsi="Garamond" w:cs="Times New Roman"/>
          <w:sz w:val="24"/>
          <w:szCs w:val="24"/>
        </w:rPr>
        <w:t xml:space="preserve">FLaG </w:t>
      </w:r>
      <w:r w:rsidR="00570B8B" w:rsidRPr="007C61D2">
        <w:rPr>
          <w:rFonts w:ascii="Garamond" w:eastAsia="Times New Roman" w:hAnsi="Garamond" w:cs="Times New Roman"/>
          <w:sz w:val="24"/>
          <w:szCs w:val="24"/>
        </w:rPr>
        <w:t xml:space="preserve">situates the proposal to decertify </w:t>
      </w:r>
      <w:r w:rsidR="00FA7F73" w:rsidRPr="007C61D2">
        <w:rPr>
          <w:rFonts w:ascii="Garamond" w:eastAsia="Times New Roman" w:hAnsi="Garamond" w:cs="Times New Roman"/>
          <w:sz w:val="24"/>
          <w:szCs w:val="24"/>
        </w:rPr>
        <w:t xml:space="preserve">sex/ gender </w:t>
      </w:r>
      <w:r w:rsidR="00570B8B" w:rsidRPr="007C61D2">
        <w:rPr>
          <w:rFonts w:ascii="Garamond" w:eastAsia="Times New Roman" w:hAnsi="Garamond" w:cs="Times New Roman"/>
          <w:sz w:val="24"/>
          <w:szCs w:val="24"/>
        </w:rPr>
        <w:t xml:space="preserve">within a </w:t>
      </w:r>
      <w:r w:rsidR="007847CB" w:rsidRPr="007C61D2">
        <w:rPr>
          <w:rFonts w:ascii="Garamond" w:eastAsia="Times New Roman" w:hAnsi="Garamond" w:cs="Times New Roman"/>
          <w:sz w:val="24"/>
          <w:szCs w:val="24"/>
        </w:rPr>
        <w:t xml:space="preserve">broader framework </w:t>
      </w:r>
      <w:r w:rsidR="0088223C" w:rsidRPr="007C61D2">
        <w:rPr>
          <w:rFonts w:ascii="Garamond" w:eastAsia="Times New Roman" w:hAnsi="Garamond" w:cs="Times New Roman"/>
          <w:sz w:val="24"/>
          <w:szCs w:val="24"/>
        </w:rPr>
        <w:t xml:space="preserve">attuned to </w:t>
      </w:r>
      <w:r w:rsidR="0075512C" w:rsidRPr="007C61D2">
        <w:rPr>
          <w:rFonts w:ascii="Garamond" w:eastAsia="Times New Roman" w:hAnsi="Garamond" w:cs="Times New Roman"/>
          <w:sz w:val="24"/>
          <w:szCs w:val="24"/>
        </w:rPr>
        <w:t xml:space="preserve">the injuries and harms of different </w:t>
      </w:r>
      <w:r w:rsidR="00FA7F73" w:rsidRPr="007C61D2">
        <w:rPr>
          <w:rFonts w:ascii="Garamond" w:eastAsia="Times New Roman" w:hAnsi="Garamond" w:cs="Times New Roman"/>
          <w:sz w:val="24"/>
          <w:szCs w:val="24"/>
        </w:rPr>
        <w:t>social injustice</w:t>
      </w:r>
      <w:r w:rsidR="0075512C" w:rsidRPr="007C61D2">
        <w:rPr>
          <w:rFonts w:ascii="Garamond" w:eastAsia="Times New Roman" w:hAnsi="Garamond" w:cs="Times New Roman"/>
          <w:sz w:val="24"/>
          <w:szCs w:val="24"/>
        </w:rPr>
        <w:t>s</w:t>
      </w:r>
      <w:r w:rsidR="00FA7F73" w:rsidRPr="007C61D2">
        <w:rPr>
          <w:rFonts w:ascii="Garamond" w:eastAsia="Times New Roman" w:hAnsi="Garamond" w:cs="Times New Roman"/>
          <w:sz w:val="24"/>
          <w:szCs w:val="24"/>
        </w:rPr>
        <w:t xml:space="preserve"> </w:t>
      </w:r>
      <w:r w:rsidR="00960DA9" w:rsidRPr="007C61D2">
        <w:rPr>
          <w:rFonts w:ascii="Garamond" w:eastAsia="Times New Roman" w:hAnsi="Garamond" w:cs="Times New Roman"/>
          <w:sz w:val="24"/>
          <w:szCs w:val="24"/>
        </w:rPr>
        <w:t xml:space="preserve">as well as </w:t>
      </w:r>
      <w:r w:rsidR="00FA7F73" w:rsidRPr="007C61D2">
        <w:rPr>
          <w:rFonts w:ascii="Garamond" w:eastAsia="Times New Roman" w:hAnsi="Garamond" w:cs="Times New Roman"/>
          <w:sz w:val="24"/>
          <w:szCs w:val="24"/>
        </w:rPr>
        <w:t>more utopian “better society” values</w:t>
      </w:r>
      <w:r w:rsidR="00960DA9" w:rsidRPr="007C61D2">
        <w:rPr>
          <w:rFonts w:ascii="Garamond" w:eastAsia="Times New Roman" w:hAnsi="Garamond" w:cs="Times New Roman"/>
          <w:sz w:val="24"/>
          <w:szCs w:val="24"/>
        </w:rPr>
        <w:t xml:space="preserve">. It may therefore not much matter whether </w:t>
      </w:r>
      <w:r w:rsidR="0088223C" w:rsidRPr="007C61D2">
        <w:rPr>
          <w:rFonts w:ascii="Garamond" w:eastAsia="Times New Roman" w:hAnsi="Garamond" w:cs="Times New Roman"/>
          <w:sz w:val="24"/>
          <w:szCs w:val="24"/>
        </w:rPr>
        <w:t xml:space="preserve">contemporary (or future) </w:t>
      </w:r>
      <w:r w:rsidR="00960DA9" w:rsidRPr="007C61D2">
        <w:rPr>
          <w:rFonts w:ascii="Garamond" w:eastAsia="Times New Roman" w:hAnsi="Garamond" w:cs="Times New Roman"/>
          <w:sz w:val="24"/>
          <w:szCs w:val="24"/>
        </w:rPr>
        <w:t xml:space="preserve">practices </w:t>
      </w:r>
      <w:r w:rsidR="00D7544A" w:rsidRPr="007C61D2">
        <w:rPr>
          <w:rFonts w:ascii="Garamond" w:eastAsia="Times New Roman" w:hAnsi="Garamond" w:cs="Times New Roman"/>
          <w:sz w:val="24"/>
          <w:szCs w:val="24"/>
        </w:rPr>
        <w:t xml:space="preserve">and </w:t>
      </w:r>
      <w:r w:rsidR="00960DA9" w:rsidRPr="007C61D2">
        <w:rPr>
          <w:rFonts w:ascii="Garamond" w:eastAsia="Times New Roman" w:hAnsi="Garamond" w:cs="Times New Roman"/>
          <w:sz w:val="24"/>
          <w:szCs w:val="24"/>
        </w:rPr>
        <w:t xml:space="preserve">values of care-work, peace, environmental sustainability, and horizontal decision-making are defined </w:t>
      </w:r>
      <w:r w:rsidR="0088223C" w:rsidRPr="007C61D2">
        <w:rPr>
          <w:rFonts w:ascii="Garamond" w:eastAsia="Times New Roman" w:hAnsi="Garamond" w:cs="Times New Roman"/>
          <w:sz w:val="24"/>
          <w:szCs w:val="24"/>
        </w:rPr>
        <w:t xml:space="preserve">as feminist, feminine </w:t>
      </w:r>
      <w:r w:rsidR="00960DA9" w:rsidRPr="007C61D2">
        <w:rPr>
          <w:rFonts w:ascii="Garamond" w:eastAsia="Times New Roman" w:hAnsi="Garamond" w:cs="Times New Roman"/>
          <w:sz w:val="24"/>
          <w:szCs w:val="24"/>
        </w:rPr>
        <w:t xml:space="preserve">or </w:t>
      </w:r>
      <w:r w:rsidR="0088223C" w:rsidRPr="007C61D2">
        <w:rPr>
          <w:rFonts w:ascii="Garamond" w:eastAsia="Times New Roman" w:hAnsi="Garamond" w:cs="Times New Roman"/>
          <w:sz w:val="24"/>
          <w:szCs w:val="24"/>
        </w:rPr>
        <w:t xml:space="preserve">in </w:t>
      </w:r>
      <w:r w:rsidR="00A82D99">
        <w:rPr>
          <w:rFonts w:ascii="Garamond" w:eastAsia="Times New Roman" w:hAnsi="Garamond" w:cs="Times New Roman"/>
          <w:sz w:val="24"/>
          <w:szCs w:val="24"/>
        </w:rPr>
        <w:t xml:space="preserve">some </w:t>
      </w:r>
      <w:r w:rsidR="00960DA9" w:rsidRPr="007C61D2">
        <w:rPr>
          <w:rFonts w:ascii="Garamond" w:eastAsia="Times New Roman" w:hAnsi="Garamond" w:cs="Times New Roman"/>
          <w:sz w:val="24"/>
          <w:szCs w:val="24"/>
        </w:rPr>
        <w:t>other</w:t>
      </w:r>
      <w:r w:rsidR="00A82D99">
        <w:rPr>
          <w:rFonts w:ascii="Garamond" w:eastAsia="Times New Roman" w:hAnsi="Garamond" w:cs="Times New Roman"/>
          <w:sz w:val="24"/>
          <w:szCs w:val="24"/>
        </w:rPr>
        <w:t xml:space="preserve"> fashion</w:t>
      </w:r>
      <w:r w:rsidR="00960DA9" w:rsidRPr="007C61D2">
        <w:rPr>
          <w:rFonts w:ascii="Garamond" w:eastAsia="Times New Roman" w:hAnsi="Garamond" w:cs="Times New Roman"/>
          <w:sz w:val="24"/>
          <w:szCs w:val="24"/>
        </w:rPr>
        <w:t xml:space="preserve">. </w:t>
      </w:r>
      <w:r w:rsidR="00542FA8">
        <w:rPr>
          <w:rFonts w:ascii="Garamond" w:eastAsia="Times New Roman" w:hAnsi="Garamond" w:cs="Times New Roman"/>
          <w:sz w:val="24"/>
          <w:szCs w:val="24"/>
        </w:rPr>
        <w:t xml:space="preserve">Abandoning the need to draw tight critical/ normative alignments </w:t>
      </w:r>
      <w:r w:rsidR="00A82D99">
        <w:rPr>
          <w:rFonts w:ascii="Garamond" w:eastAsia="Times New Roman" w:hAnsi="Garamond" w:cs="Times New Roman"/>
          <w:sz w:val="24"/>
          <w:szCs w:val="24"/>
        </w:rPr>
        <w:t xml:space="preserve">between projects and categories </w:t>
      </w:r>
      <w:r w:rsidR="00542FA8">
        <w:rPr>
          <w:rFonts w:ascii="Garamond" w:eastAsia="Times New Roman" w:hAnsi="Garamond" w:cs="Times New Roman"/>
          <w:sz w:val="24"/>
          <w:szCs w:val="24"/>
        </w:rPr>
        <w:t>allows for a more capacious approach</w:t>
      </w:r>
      <w:r w:rsidR="00A82D99">
        <w:rPr>
          <w:rFonts w:ascii="Garamond" w:eastAsia="Times New Roman" w:hAnsi="Garamond" w:cs="Times New Roman"/>
          <w:sz w:val="24"/>
          <w:szCs w:val="24"/>
        </w:rPr>
        <w:t>, including</w:t>
      </w:r>
      <w:r w:rsidR="00542FA8">
        <w:rPr>
          <w:rFonts w:ascii="Garamond" w:eastAsia="Times New Roman" w:hAnsi="Garamond" w:cs="Times New Roman"/>
          <w:sz w:val="24"/>
          <w:szCs w:val="24"/>
        </w:rPr>
        <w:t xml:space="preserve"> in relation to the policy dilemmas that decertification invokes. F</w:t>
      </w:r>
      <w:r w:rsidR="00FA7F73" w:rsidRPr="007C61D2">
        <w:rPr>
          <w:rFonts w:ascii="Garamond" w:eastAsia="Times New Roman" w:hAnsi="Garamond" w:cs="Times New Roman"/>
          <w:sz w:val="24"/>
          <w:szCs w:val="24"/>
        </w:rPr>
        <w:t xml:space="preserve">ollowing the thread of decertification takes us to a series of </w:t>
      </w:r>
      <w:r w:rsidR="0088223C" w:rsidRPr="007C61D2">
        <w:rPr>
          <w:rFonts w:ascii="Garamond" w:eastAsia="Times New Roman" w:hAnsi="Garamond" w:cs="Times New Roman"/>
          <w:sz w:val="24"/>
          <w:szCs w:val="24"/>
        </w:rPr>
        <w:t xml:space="preserve">value-based </w:t>
      </w:r>
      <w:r w:rsidR="00FA7F73" w:rsidRPr="007C61D2">
        <w:rPr>
          <w:rFonts w:ascii="Garamond" w:eastAsia="Times New Roman" w:hAnsi="Garamond" w:cs="Times New Roman"/>
          <w:sz w:val="24"/>
          <w:szCs w:val="24"/>
        </w:rPr>
        <w:t xml:space="preserve">policy </w:t>
      </w:r>
      <w:r w:rsidR="00542FA8">
        <w:rPr>
          <w:rFonts w:ascii="Garamond" w:eastAsia="Times New Roman" w:hAnsi="Garamond" w:cs="Times New Roman"/>
          <w:sz w:val="24"/>
          <w:szCs w:val="24"/>
        </w:rPr>
        <w:t xml:space="preserve">choices </w:t>
      </w:r>
      <w:r w:rsidR="0088223C" w:rsidRPr="007C61D2">
        <w:rPr>
          <w:rFonts w:ascii="Garamond" w:eastAsia="Times New Roman" w:hAnsi="Garamond" w:cs="Times New Roman"/>
          <w:sz w:val="24"/>
          <w:szCs w:val="24"/>
        </w:rPr>
        <w:t xml:space="preserve">that are </w:t>
      </w:r>
      <w:r w:rsidR="00960DA9" w:rsidRPr="007C61D2">
        <w:rPr>
          <w:rFonts w:ascii="Garamond" w:eastAsia="Times New Roman" w:hAnsi="Garamond" w:cs="Times New Roman"/>
          <w:sz w:val="24"/>
          <w:szCs w:val="24"/>
        </w:rPr>
        <w:t xml:space="preserve">not </w:t>
      </w:r>
      <w:r w:rsidR="00974E7E">
        <w:rPr>
          <w:rFonts w:ascii="Garamond" w:eastAsia="Times New Roman" w:hAnsi="Garamond" w:cs="Times New Roman"/>
          <w:sz w:val="24"/>
          <w:szCs w:val="24"/>
        </w:rPr>
        <w:t xml:space="preserve">primarily </w:t>
      </w:r>
      <w:r w:rsidR="00960DA9" w:rsidRPr="007C61D2">
        <w:rPr>
          <w:rFonts w:ascii="Garamond" w:eastAsia="Times New Roman" w:hAnsi="Garamond" w:cs="Times New Roman"/>
          <w:sz w:val="24"/>
          <w:szCs w:val="24"/>
        </w:rPr>
        <w:t xml:space="preserve">about gender but </w:t>
      </w:r>
      <w:r w:rsidR="00974E7E">
        <w:rPr>
          <w:rFonts w:ascii="Garamond" w:eastAsia="Times New Roman" w:hAnsi="Garamond" w:cs="Times New Roman"/>
          <w:sz w:val="24"/>
          <w:szCs w:val="24"/>
        </w:rPr>
        <w:t xml:space="preserve">are nonetheless </w:t>
      </w:r>
      <w:r w:rsidR="0088223C" w:rsidRPr="007C61D2">
        <w:rPr>
          <w:rFonts w:ascii="Garamond" w:eastAsia="Times New Roman" w:hAnsi="Garamond" w:cs="Times New Roman"/>
          <w:sz w:val="24"/>
          <w:szCs w:val="24"/>
        </w:rPr>
        <w:t xml:space="preserve">brought into the spotlight through the question of </w:t>
      </w:r>
      <w:r w:rsidR="00927A90">
        <w:rPr>
          <w:rFonts w:ascii="Garamond" w:eastAsia="Times New Roman" w:hAnsi="Garamond" w:cs="Times New Roman"/>
          <w:sz w:val="24"/>
          <w:szCs w:val="24"/>
        </w:rPr>
        <w:t xml:space="preserve">gender’s legal </w:t>
      </w:r>
      <w:r w:rsidR="0088223C" w:rsidRPr="007C61D2">
        <w:rPr>
          <w:rFonts w:ascii="Garamond" w:eastAsia="Times New Roman" w:hAnsi="Garamond" w:cs="Times New Roman"/>
          <w:sz w:val="24"/>
          <w:szCs w:val="24"/>
        </w:rPr>
        <w:t>reform</w:t>
      </w:r>
      <w:r w:rsidR="00960DA9" w:rsidRPr="007C61D2">
        <w:rPr>
          <w:rFonts w:ascii="Garamond" w:eastAsia="Times New Roman" w:hAnsi="Garamond" w:cs="Times New Roman"/>
          <w:sz w:val="24"/>
          <w:szCs w:val="24"/>
        </w:rPr>
        <w:t xml:space="preserve">. </w:t>
      </w:r>
      <w:r w:rsidR="00FA7F73" w:rsidRPr="007C61D2">
        <w:rPr>
          <w:rFonts w:ascii="Garamond" w:eastAsia="Times New Roman" w:hAnsi="Garamond" w:cs="Times New Roman"/>
          <w:sz w:val="24"/>
          <w:szCs w:val="24"/>
        </w:rPr>
        <w:t xml:space="preserve">If state law in England </w:t>
      </w:r>
      <w:r w:rsidR="00974E7E">
        <w:rPr>
          <w:rFonts w:ascii="Garamond" w:eastAsia="Times New Roman" w:hAnsi="Garamond" w:cs="Times New Roman"/>
          <w:sz w:val="24"/>
          <w:szCs w:val="24"/>
        </w:rPr>
        <w:t xml:space="preserve">&amp; </w:t>
      </w:r>
      <w:r w:rsidR="00FA7F73" w:rsidRPr="007C61D2">
        <w:rPr>
          <w:rFonts w:ascii="Garamond" w:eastAsia="Times New Roman" w:hAnsi="Garamond" w:cs="Times New Roman"/>
          <w:sz w:val="24"/>
          <w:szCs w:val="24"/>
        </w:rPr>
        <w:t xml:space="preserve">Wales was </w:t>
      </w:r>
      <w:r w:rsidR="00927A90">
        <w:rPr>
          <w:rFonts w:ascii="Garamond" w:eastAsia="Times New Roman" w:hAnsi="Garamond" w:cs="Times New Roman"/>
          <w:sz w:val="24"/>
          <w:szCs w:val="24"/>
        </w:rPr>
        <w:t xml:space="preserve">changed </w:t>
      </w:r>
      <w:r w:rsidR="00FA7F73" w:rsidRPr="007C61D2">
        <w:rPr>
          <w:rFonts w:ascii="Garamond" w:eastAsia="Times New Roman" w:hAnsi="Garamond" w:cs="Times New Roman"/>
          <w:sz w:val="24"/>
          <w:szCs w:val="24"/>
        </w:rPr>
        <w:t xml:space="preserve">to </w:t>
      </w:r>
      <w:r w:rsidR="00927A90">
        <w:rPr>
          <w:rFonts w:ascii="Garamond" w:eastAsia="Times New Roman" w:hAnsi="Garamond" w:cs="Times New Roman"/>
          <w:sz w:val="24"/>
          <w:szCs w:val="24"/>
        </w:rPr>
        <w:t xml:space="preserve">eliminate </w:t>
      </w:r>
      <w:r w:rsidR="00FA7F73" w:rsidRPr="007C61D2">
        <w:rPr>
          <w:rFonts w:ascii="Garamond" w:eastAsia="Times New Roman" w:hAnsi="Garamond" w:cs="Times New Roman"/>
          <w:sz w:val="24"/>
          <w:szCs w:val="24"/>
        </w:rPr>
        <w:t xml:space="preserve">legal sex/ gender status, other laws would </w:t>
      </w:r>
      <w:r w:rsidR="00960DA9" w:rsidRPr="007C61D2">
        <w:rPr>
          <w:rFonts w:ascii="Garamond" w:eastAsia="Times New Roman" w:hAnsi="Garamond" w:cs="Times New Roman"/>
          <w:sz w:val="24"/>
          <w:szCs w:val="24"/>
        </w:rPr>
        <w:t xml:space="preserve">also </w:t>
      </w:r>
      <w:r w:rsidR="00FA7F73" w:rsidRPr="007C61D2">
        <w:rPr>
          <w:rFonts w:ascii="Garamond" w:eastAsia="Times New Roman" w:hAnsi="Garamond" w:cs="Times New Roman"/>
          <w:sz w:val="24"/>
          <w:szCs w:val="24"/>
        </w:rPr>
        <w:t xml:space="preserve">require revisions. </w:t>
      </w:r>
      <w:r w:rsidR="00542FA8">
        <w:rPr>
          <w:rFonts w:ascii="Garamond" w:eastAsia="Times New Roman" w:hAnsi="Garamond" w:cs="Times New Roman"/>
          <w:sz w:val="24"/>
          <w:szCs w:val="24"/>
        </w:rPr>
        <w:t>T</w:t>
      </w:r>
      <w:r w:rsidR="00FA7F73" w:rsidRPr="007C61D2">
        <w:rPr>
          <w:rFonts w:ascii="Garamond" w:eastAsia="Times New Roman" w:hAnsi="Garamond" w:cs="Times New Roman"/>
          <w:sz w:val="24"/>
          <w:szCs w:val="24"/>
        </w:rPr>
        <w:t>hese</w:t>
      </w:r>
      <w:r w:rsidR="007847CB" w:rsidRPr="007C61D2">
        <w:rPr>
          <w:rFonts w:ascii="Garamond" w:eastAsia="Times New Roman" w:hAnsi="Garamond" w:cs="Times New Roman"/>
          <w:sz w:val="24"/>
          <w:szCs w:val="24"/>
        </w:rPr>
        <w:t xml:space="preserve"> include laws relating to embryo</w:t>
      </w:r>
      <w:r w:rsidR="00FA7F73" w:rsidRPr="007C61D2">
        <w:rPr>
          <w:rFonts w:ascii="Garamond" w:eastAsia="Times New Roman" w:hAnsi="Garamond" w:cs="Times New Roman"/>
          <w:sz w:val="24"/>
          <w:szCs w:val="24"/>
        </w:rPr>
        <w:t xml:space="preserve"> selection,</w:t>
      </w:r>
      <w:r w:rsidR="00FA7F73" w:rsidRPr="007C61D2">
        <w:rPr>
          <w:rFonts w:ascii="Garamond" w:eastAsia="Times New Roman" w:hAnsi="Garamond" w:cs="Times New Roman"/>
          <w:sz w:val="24"/>
          <w:szCs w:val="24"/>
          <w:vertAlign w:val="superscript"/>
        </w:rPr>
        <w:footnoteReference w:id="53"/>
      </w:r>
      <w:r w:rsidR="00FA7F73" w:rsidRPr="007C61D2">
        <w:rPr>
          <w:rFonts w:ascii="Garamond" w:eastAsia="Times New Roman" w:hAnsi="Garamond" w:cs="Times New Roman"/>
          <w:sz w:val="24"/>
          <w:szCs w:val="24"/>
        </w:rPr>
        <w:t xml:space="preserve"> </w:t>
      </w:r>
      <w:r w:rsidR="00D561F0" w:rsidRPr="007C61D2">
        <w:rPr>
          <w:rFonts w:ascii="Garamond" w:eastAsia="Times New Roman" w:hAnsi="Garamond" w:cs="Times New Roman"/>
          <w:sz w:val="24"/>
          <w:szCs w:val="24"/>
        </w:rPr>
        <w:t>parental leave,</w:t>
      </w:r>
      <w:r w:rsidR="00A5752C" w:rsidRPr="007C61D2">
        <w:rPr>
          <w:rStyle w:val="FootnoteReference"/>
          <w:rFonts w:ascii="Garamond" w:eastAsia="Times New Roman" w:hAnsi="Garamond" w:cs="Times New Roman"/>
          <w:sz w:val="24"/>
          <w:szCs w:val="24"/>
        </w:rPr>
        <w:footnoteReference w:id="54"/>
      </w:r>
      <w:r w:rsidR="00D561F0" w:rsidRPr="007C61D2">
        <w:rPr>
          <w:rFonts w:ascii="Garamond" w:eastAsia="Times New Roman" w:hAnsi="Garamond" w:cs="Times New Roman"/>
          <w:sz w:val="24"/>
          <w:szCs w:val="24"/>
        </w:rPr>
        <w:t xml:space="preserve"> </w:t>
      </w:r>
      <w:r w:rsidR="00974E7E">
        <w:rPr>
          <w:rFonts w:ascii="Garamond" w:eastAsia="Times New Roman" w:hAnsi="Garamond" w:cs="Times New Roman"/>
          <w:sz w:val="24"/>
          <w:szCs w:val="24"/>
        </w:rPr>
        <w:t>schooling</w:t>
      </w:r>
      <w:r w:rsidR="00D561F0" w:rsidRPr="007C61D2">
        <w:rPr>
          <w:rFonts w:ascii="Garamond" w:eastAsia="Times New Roman" w:hAnsi="Garamond" w:cs="Times New Roman"/>
          <w:sz w:val="24"/>
          <w:szCs w:val="24"/>
        </w:rPr>
        <w:t>,</w:t>
      </w:r>
      <w:r w:rsidR="00393D03" w:rsidRPr="007C61D2">
        <w:rPr>
          <w:rStyle w:val="FootnoteReference"/>
          <w:rFonts w:ascii="Garamond" w:eastAsia="Times New Roman" w:hAnsi="Garamond" w:cs="Times New Roman"/>
          <w:sz w:val="24"/>
          <w:szCs w:val="24"/>
        </w:rPr>
        <w:footnoteReference w:id="55"/>
      </w:r>
      <w:r w:rsidR="00D561F0" w:rsidRPr="007C61D2">
        <w:rPr>
          <w:rFonts w:ascii="Garamond" w:eastAsia="Times New Roman" w:hAnsi="Garamond" w:cs="Times New Roman"/>
          <w:sz w:val="24"/>
          <w:szCs w:val="24"/>
        </w:rPr>
        <w:t xml:space="preserve"> </w:t>
      </w:r>
      <w:r w:rsidR="00FA7F73" w:rsidRPr="007C61D2">
        <w:rPr>
          <w:rFonts w:ascii="Garamond" w:eastAsia="Times New Roman" w:hAnsi="Garamond" w:cs="Times New Roman"/>
          <w:sz w:val="24"/>
          <w:szCs w:val="24"/>
        </w:rPr>
        <w:t xml:space="preserve">and </w:t>
      </w:r>
      <w:r w:rsidR="00B92D1D" w:rsidRPr="007C61D2">
        <w:rPr>
          <w:rFonts w:ascii="Garamond" w:eastAsia="Times New Roman" w:hAnsi="Garamond" w:cs="Times New Roman"/>
          <w:sz w:val="24"/>
          <w:szCs w:val="24"/>
        </w:rPr>
        <w:t>housing</w:t>
      </w:r>
      <w:r w:rsidR="00922F40" w:rsidRPr="007C61D2">
        <w:rPr>
          <w:rFonts w:ascii="Garamond" w:eastAsia="Times New Roman" w:hAnsi="Garamond" w:cs="Times New Roman"/>
          <w:sz w:val="24"/>
          <w:szCs w:val="24"/>
        </w:rPr>
        <w:t xml:space="preserve">, </w:t>
      </w:r>
      <w:r w:rsidR="00FA7F73" w:rsidRPr="007C61D2">
        <w:rPr>
          <w:rFonts w:ascii="Garamond" w:eastAsia="Times New Roman" w:hAnsi="Garamond" w:cs="Times New Roman"/>
          <w:sz w:val="24"/>
          <w:szCs w:val="24"/>
        </w:rPr>
        <w:t>among others</w:t>
      </w:r>
      <w:r w:rsidR="00D561F0" w:rsidRPr="007C61D2">
        <w:rPr>
          <w:rFonts w:ascii="Garamond" w:eastAsia="Times New Roman" w:hAnsi="Garamond" w:cs="Times New Roman"/>
          <w:sz w:val="24"/>
          <w:szCs w:val="24"/>
        </w:rPr>
        <w:t>.</w:t>
      </w:r>
      <w:r w:rsidR="00FA7F73" w:rsidRPr="007C61D2">
        <w:rPr>
          <w:rFonts w:ascii="Garamond" w:eastAsia="Times New Roman" w:hAnsi="Garamond" w:cs="Times New Roman"/>
          <w:sz w:val="24"/>
          <w:szCs w:val="24"/>
        </w:rPr>
        <w:t xml:space="preserve"> </w:t>
      </w:r>
      <w:r w:rsidR="00B04FDD" w:rsidRPr="007C61D2">
        <w:rPr>
          <w:rFonts w:ascii="Garamond" w:eastAsia="Times New Roman" w:hAnsi="Garamond" w:cs="Times New Roman"/>
          <w:sz w:val="24"/>
          <w:szCs w:val="24"/>
        </w:rPr>
        <w:t xml:space="preserve">For instance, </w:t>
      </w:r>
      <w:r w:rsidR="00D561F0" w:rsidRPr="007C61D2">
        <w:rPr>
          <w:rFonts w:ascii="Garamond" w:eastAsia="Times New Roman" w:hAnsi="Garamond" w:cs="Times New Roman"/>
          <w:sz w:val="24"/>
          <w:szCs w:val="24"/>
        </w:rPr>
        <w:t xml:space="preserve">to take </w:t>
      </w:r>
      <w:r w:rsidR="004A4715" w:rsidRPr="007C61D2">
        <w:rPr>
          <w:rFonts w:ascii="Garamond" w:eastAsia="Times New Roman" w:hAnsi="Garamond" w:cs="Times New Roman"/>
          <w:sz w:val="24"/>
          <w:szCs w:val="24"/>
        </w:rPr>
        <w:t xml:space="preserve">the last, </w:t>
      </w:r>
      <w:r w:rsidR="00D561F0" w:rsidRPr="007C61D2">
        <w:rPr>
          <w:rFonts w:ascii="Garamond" w:eastAsia="Times New Roman" w:hAnsi="Garamond" w:cs="Times New Roman"/>
          <w:sz w:val="24"/>
          <w:szCs w:val="24"/>
        </w:rPr>
        <w:t>less</w:t>
      </w:r>
      <w:r w:rsidR="007847CB" w:rsidRPr="007C61D2">
        <w:rPr>
          <w:rFonts w:ascii="Garamond" w:eastAsia="Times New Roman" w:hAnsi="Garamond" w:cs="Times New Roman"/>
          <w:sz w:val="24"/>
          <w:szCs w:val="24"/>
        </w:rPr>
        <w:t xml:space="preserve"> familiar</w:t>
      </w:r>
      <w:r w:rsidR="00D561F0" w:rsidRPr="007C61D2">
        <w:rPr>
          <w:rFonts w:ascii="Garamond" w:eastAsia="Times New Roman" w:hAnsi="Garamond" w:cs="Times New Roman"/>
          <w:sz w:val="24"/>
          <w:szCs w:val="24"/>
        </w:rPr>
        <w:t xml:space="preserve"> example</w:t>
      </w:r>
      <w:r w:rsidR="0088223C" w:rsidRPr="007C61D2">
        <w:rPr>
          <w:rFonts w:ascii="Garamond" w:eastAsia="Times New Roman" w:hAnsi="Garamond" w:cs="Times New Roman"/>
          <w:sz w:val="24"/>
          <w:szCs w:val="24"/>
        </w:rPr>
        <w:t>:</w:t>
      </w:r>
      <w:r w:rsidR="00D561F0" w:rsidRPr="007C61D2">
        <w:rPr>
          <w:rFonts w:ascii="Garamond" w:eastAsia="Times New Roman" w:hAnsi="Garamond" w:cs="Times New Roman"/>
          <w:sz w:val="24"/>
          <w:szCs w:val="24"/>
        </w:rPr>
        <w:t xml:space="preserve"> overcrowding</w:t>
      </w:r>
      <w:r w:rsidR="0088223C" w:rsidRPr="007C61D2">
        <w:rPr>
          <w:rFonts w:ascii="Garamond" w:eastAsia="Times New Roman" w:hAnsi="Garamond" w:cs="Times New Roman"/>
          <w:sz w:val="24"/>
          <w:szCs w:val="24"/>
        </w:rPr>
        <w:t xml:space="preserve"> </w:t>
      </w:r>
      <w:r w:rsidR="00927A90">
        <w:rPr>
          <w:rFonts w:ascii="Garamond" w:eastAsia="Times New Roman" w:hAnsi="Garamond" w:cs="Times New Roman"/>
          <w:sz w:val="24"/>
          <w:szCs w:val="24"/>
        </w:rPr>
        <w:t xml:space="preserve">is defined in the Housing Act 1985 as taking place </w:t>
      </w:r>
      <w:r w:rsidR="00067B7B" w:rsidRPr="007C61D2">
        <w:rPr>
          <w:rFonts w:ascii="Garamond" w:eastAsia="Times New Roman" w:hAnsi="Garamond" w:cs="Times New Roman"/>
          <w:sz w:val="24"/>
          <w:szCs w:val="24"/>
        </w:rPr>
        <w:t xml:space="preserve">when </w:t>
      </w:r>
      <w:r w:rsidR="00B04FDD" w:rsidRPr="007C61D2">
        <w:rPr>
          <w:rFonts w:ascii="Garamond" w:eastAsia="Times New Roman" w:hAnsi="Garamond" w:cs="Times New Roman"/>
          <w:sz w:val="24"/>
          <w:szCs w:val="24"/>
        </w:rPr>
        <w:t>“</w:t>
      </w:r>
      <w:r w:rsidR="00B04FDD" w:rsidRPr="007C61D2">
        <w:rPr>
          <w:rFonts w:ascii="Garamond" w:eastAsia="Times New Roman" w:hAnsi="Garamond" w:cs="Times New Roman"/>
          <w:color w:val="000000"/>
          <w:sz w:val="24"/>
          <w:szCs w:val="24"/>
          <w:lang w:eastAsia="en-GB"/>
        </w:rPr>
        <w:t xml:space="preserve">two persons of opposite </w:t>
      </w:r>
      <w:r w:rsidR="00B04FDD" w:rsidRPr="007C61D2">
        <w:rPr>
          <w:rFonts w:ascii="Garamond" w:eastAsia="Times New Roman" w:hAnsi="Garamond" w:cs="Times New Roman"/>
          <w:color w:val="000000"/>
          <w:sz w:val="24"/>
          <w:szCs w:val="24"/>
          <w:lang w:eastAsia="en-GB"/>
        </w:rPr>
        <w:lastRenderedPageBreak/>
        <w:t>sexes who are not living together as</w:t>
      </w:r>
      <w:r w:rsidR="00B92D1D" w:rsidRPr="007C61D2">
        <w:rPr>
          <w:rFonts w:ascii="Garamond" w:eastAsia="Times New Roman" w:hAnsi="Garamond" w:cs="Times New Roman"/>
          <w:color w:val="000000"/>
          <w:sz w:val="24"/>
          <w:szCs w:val="24"/>
          <w:lang w:eastAsia="en-GB"/>
        </w:rPr>
        <w:t xml:space="preserve"> a married couple or civil partners</w:t>
      </w:r>
      <w:r w:rsidR="00B04FDD" w:rsidRPr="007C61D2">
        <w:rPr>
          <w:rFonts w:ascii="Garamond" w:eastAsia="Times New Roman" w:hAnsi="Garamond" w:cs="Times New Roman"/>
          <w:color w:val="000000"/>
          <w:sz w:val="24"/>
          <w:szCs w:val="24"/>
          <w:lang w:eastAsia="en-GB"/>
        </w:rPr>
        <w:t>”</w:t>
      </w:r>
      <w:r w:rsidR="00B92D1D" w:rsidRPr="007C61D2">
        <w:rPr>
          <w:rFonts w:ascii="Garamond" w:eastAsia="Times New Roman" w:hAnsi="Garamond" w:cs="Times New Roman"/>
          <w:color w:val="000000"/>
          <w:sz w:val="24"/>
          <w:szCs w:val="24"/>
          <w:lang w:eastAsia="en-GB"/>
        </w:rPr>
        <w:t xml:space="preserve">, and who are age </w:t>
      </w:r>
      <w:r w:rsidR="00E41589" w:rsidRPr="007C61D2">
        <w:rPr>
          <w:rFonts w:ascii="Garamond" w:eastAsia="Times New Roman" w:hAnsi="Garamond" w:cs="Times New Roman"/>
          <w:color w:val="000000"/>
          <w:sz w:val="24"/>
          <w:szCs w:val="24"/>
          <w:lang w:eastAsia="en-GB"/>
        </w:rPr>
        <w:t>ten</w:t>
      </w:r>
      <w:r w:rsidR="00B92D1D" w:rsidRPr="007C61D2">
        <w:rPr>
          <w:rFonts w:ascii="Garamond" w:eastAsia="Times New Roman" w:hAnsi="Garamond" w:cs="Times New Roman"/>
          <w:color w:val="000000"/>
          <w:sz w:val="24"/>
          <w:szCs w:val="24"/>
          <w:lang w:eastAsia="en-GB"/>
        </w:rPr>
        <w:t xml:space="preserve"> or over,</w:t>
      </w:r>
      <w:r w:rsidR="00B04FDD" w:rsidRPr="007C61D2">
        <w:rPr>
          <w:rFonts w:ascii="Garamond" w:eastAsia="Times New Roman" w:hAnsi="Garamond" w:cs="Times New Roman"/>
          <w:color w:val="000000"/>
          <w:sz w:val="24"/>
          <w:szCs w:val="24"/>
          <w:lang w:eastAsia="en-GB"/>
        </w:rPr>
        <w:t xml:space="preserve"> </w:t>
      </w:r>
      <w:r w:rsidR="004A4715" w:rsidRPr="007C61D2">
        <w:rPr>
          <w:rFonts w:ascii="Garamond" w:eastAsia="Times New Roman" w:hAnsi="Garamond" w:cs="Times New Roman"/>
          <w:color w:val="000000"/>
          <w:sz w:val="24"/>
          <w:szCs w:val="24"/>
          <w:lang w:eastAsia="en-GB"/>
        </w:rPr>
        <w:t xml:space="preserve">are required to </w:t>
      </w:r>
      <w:r w:rsidR="00B04FDD" w:rsidRPr="007C61D2">
        <w:rPr>
          <w:rFonts w:ascii="Garamond" w:eastAsia="Times New Roman" w:hAnsi="Garamond" w:cs="Times New Roman"/>
          <w:color w:val="000000"/>
          <w:sz w:val="24"/>
          <w:szCs w:val="24"/>
          <w:lang w:eastAsia="en-GB"/>
        </w:rPr>
        <w:t xml:space="preserve">share a </w:t>
      </w:r>
      <w:r w:rsidR="00F96949" w:rsidRPr="007C61D2">
        <w:rPr>
          <w:rFonts w:ascii="Garamond" w:eastAsia="Times New Roman" w:hAnsi="Garamond" w:cs="Times New Roman"/>
          <w:color w:val="000000"/>
          <w:sz w:val="24"/>
          <w:szCs w:val="24"/>
          <w:lang w:eastAsia="en-GB"/>
        </w:rPr>
        <w:t>bed</w:t>
      </w:r>
      <w:r w:rsidR="00B04FDD" w:rsidRPr="007C61D2">
        <w:rPr>
          <w:rFonts w:ascii="Garamond" w:eastAsia="Times New Roman" w:hAnsi="Garamond" w:cs="Times New Roman"/>
          <w:color w:val="000000"/>
          <w:sz w:val="24"/>
          <w:szCs w:val="24"/>
          <w:lang w:eastAsia="en-GB"/>
        </w:rPr>
        <w:t>room</w:t>
      </w:r>
      <w:r w:rsidR="008D4F09" w:rsidRPr="007C61D2">
        <w:rPr>
          <w:rFonts w:ascii="Garamond" w:eastAsia="Times New Roman" w:hAnsi="Garamond" w:cs="Times New Roman"/>
          <w:color w:val="000000"/>
          <w:sz w:val="24"/>
          <w:szCs w:val="24"/>
          <w:lang w:eastAsia="en-GB"/>
        </w:rPr>
        <w:t>.</w:t>
      </w:r>
      <w:r w:rsidR="00B92D1D" w:rsidRPr="007C61D2">
        <w:rPr>
          <w:rStyle w:val="FootnoteReference"/>
          <w:rFonts w:ascii="Garamond" w:eastAsia="Times New Roman" w:hAnsi="Garamond" w:cs="Times New Roman"/>
          <w:color w:val="000000"/>
          <w:sz w:val="24"/>
          <w:szCs w:val="24"/>
          <w:lang w:eastAsia="en-GB"/>
        </w:rPr>
        <w:footnoteReference w:id="56"/>
      </w:r>
      <w:r w:rsidR="008D4F09" w:rsidRPr="007C61D2">
        <w:rPr>
          <w:rFonts w:ascii="Garamond" w:eastAsia="Times New Roman" w:hAnsi="Garamond" w:cs="Times New Roman"/>
          <w:color w:val="000000"/>
          <w:sz w:val="24"/>
          <w:szCs w:val="24"/>
          <w:lang w:eastAsia="en-GB"/>
        </w:rPr>
        <w:t xml:space="preserve"> H</w:t>
      </w:r>
      <w:r w:rsidR="00B04FDD" w:rsidRPr="007C61D2">
        <w:rPr>
          <w:rFonts w:ascii="Garamond" w:eastAsia="Times New Roman" w:hAnsi="Garamond" w:cs="Times New Roman"/>
          <w:color w:val="000000"/>
          <w:sz w:val="24"/>
          <w:szCs w:val="24"/>
          <w:lang w:eastAsia="en-GB"/>
        </w:rPr>
        <w:t xml:space="preserve">ow should this be amended if </w:t>
      </w:r>
      <w:r w:rsidR="005904E5" w:rsidRPr="007C61D2">
        <w:rPr>
          <w:rFonts w:ascii="Garamond" w:eastAsia="Times New Roman" w:hAnsi="Garamond" w:cs="Times New Roman"/>
          <w:color w:val="000000"/>
          <w:sz w:val="24"/>
          <w:szCs w:val="24"/>
          <w:lang w:eastAsia="en-GB"/>
        </w:rPr>
        <w:t xml:space="preserve">decertification makes </w:t>
      </w:r>
      <w:r w:rsidR="00B04FDD" w:rsidRPr="007C61D2">
        <w:rPr>
          <w:rFonts w:ascii="Garamond" w:eastAsia="Times New Roman" w:hAnsi="Garamond" w:cs="Times New Roman"/>
          <w:color w:val="000000"/>
          <w:sz w:val="24"/>
          <w:szCs w:val="24"/>
          <w:lang w:eastAsia="en-GB"/>
        </w:rPr>
        <w:t xml:space="preserve">the legal notion of “opposite sex” </w:t>
      </w:r>
      <w:r w:rsidR="005904E5" w:rsidRPr="007C61D2">
        <w:rPr>
          <w:rFonts w:ascii="Garamond" w:eastAsia="Times New Roman" w:hAnsi="Garamond" w:cs="Times New Roman"/>
          <w:color w:val="000000"/>
          <w:sz w:val="24"/>
          <w:szCs w:val="24"/>
          <w:lang w:eastAsia="en-GB"/>
        </w:rPr>
        <w:t>meaningless</w:t>
      </w:r>
      <w:r w:rsidR="00EF6952" w:rsidRPr="007C61D2">
        <w:rPr>
          <w:rFonts w:ascii="Garamond" w:eastAsia="Times New Roman" w:hAnsi="Garamond" w:cs="Times New Roman"/>
          <w:color w:val="000000"/>
          <w:sz w:val="24"/>
          <w:szCs w:val="24"/>
          <w:lang w:eastAsia="en-GB"/>
        </w:rPr>
        <w:t xml:space="preserve">? </w:t>
      </w:r>
      <w:r w:rsidR="00B04FDD" w:rsidRPr="007C61D2">
        <w:rPr>
          <w:rFonts w:ascii="Garamond" w:eastAsia="Times New Roman" w:hAnsi="Garamond" w:cs="Times New Roman"/>
          <w:color w:val="000000"/>
          <w:sz w:val="24"/>
          <w:szCs w:val="24"/>
          <w:lang w:eastAsia="en-GB"/>
        </w:rPr>
        <w:t xml:space="preserve">Progressive welfare principles might suggest all teenagers, and </w:t>
      </w:r>
      <w:r w:rsidR="00960DA9" w:rsidRPr="007C61D2">
        <w:rPr>
          <w:rFonts w:ascii="Garamond" w:eastAsia="Times New Roman" w:hAnsi="Garamond" w:cs="Times New Roman"/>
          <w:color w:val="000000"/>
          <w:sz w:val="24"/>
          <w:szCs w:val="24"/>
          <w:lang w:eastAsia="en-GB"/>
        </w:rPr>
        <w:t>adults</w:t>
      </w:r>
      <w:r w:rsidR="00B04FDD" w:rsidRPr="007C61D2">
        <w:rPr>
          <w:rFonts w:ascii="Garamond" w:eastAsia="Times New Roman" w:hAnsi="Garamond" w:cs="Times New Roman"/>
          <w:color w:val="000000"/>
          <w:sz w:val="24"/>
          <w:szCs w:val="24"/>
          <w:lang w:eastAsia="en-GB"/>
        </w:rPr>
        <w:t>, should have their own bedrooms</w:t>
      </w:r>
      <w:r w:rsidR="00AB5449" w:rsidRPr="007C61D2">
        <w:rPr>
          <w:rFonts w:ascii="Garamond" w:eastAsia="Times New Roman" w:hAnsi="Garamond" w:cs="Times New Roman"/>
          <w:color w:val="000000"/>
          <w:sz w:val="24"/>
          <w:szCs w:val="24"/>
          <w:lang w:eastAsia="en-GB"/>
        </w:rPr>
        <w:t>, with knock-on effects for building and allocating public housing</w:t>
      </w:r>
      <w:r w:rsidR="00960DA9" w:rsidRPr="007C61D2">
        <w:rPr>
          <w:rFonts w:ascii="Garamond" w:eastAsia="Times New Roman" w:hAnsi="Garamond" w:cs="Times New Roman"/>
          <w:color w:val="000000"/>
          <w:sz w:val="24"/>
          <w:szCs w:val="24"/>
          <w:lang w:eastAsia="en-GB"/>
        </w:rPr>
        <w:t xml:space="preserve">. </w:t>
      </w:r>
      <w:r w:rsidR="00AB5449" w:rsidRPr="007C61D2">
        <w:rPr>
          <w:rFonts w:ascii="Garamond" w:eastAsia="Times New Roman" w:hAnsi="Garamond" w:cs="Times New Roman"/>
          <w:color w:val="000000"/>
          <w:sz w:val="24"/>
          <w:szCs w:val="24"/>
          <w:lang w:eastAsia="en-GB"/>
        </w:rPr>
        <w:t xml:space="preserve">Such a move </w:t>
      </w:r>
      <w:r w:rsidR="00B04FDD" w:rsidRPr="007C61D2">
        <w:rPr>
          <w:rFonts w:ascii="Garamond" w:eastAsia="Times New Roman" w:hAnsi="Garamond" w:cs="Times New Roman"/>
          <w:color w:val="000000"/>
          <w:sz w:val="24"/>
          <w:szCs w:val="24"/>
          <w:lang w:eastAsia="en-GB"/>
        </w:rPr>
        <w:t>could be framed in terms of feminism</w:t>
      </w:r>
      <w:r w:rsidR="00F96949" w:rsidRPr="007C61D2">
        <w:rPr>
          <w:rFonts w:ascii="Garamond" w:eastAsia="Times New Roman" w:hAnsi="Garamond" w:cs="Times New Roman"/>
          <w:color w:val="000000"/>
          <w:sz w:val="24"/>
          <w:szCs w:val="24"/>
          <w:lang w:eastAsia="en-GB"/>
        </w:rPr>
        <w:t xml:space="preserve"> </w:t>
      </w:r>
      <w:r w:rsidR="005734F0" w:rsidRPr="007C61D2">
        <w:rPr>
          <w:rFonts w:ascii="Garamond" w:eastAsia="Times New Roman" w:hAnsi="Garamond" w:cs="Times New Roman"/>
          <w:color w:val="000000"/>
          <w:sz w:val="24"/>
          <w:szCs w:val="24"/>
          <w:lang w:eastAsia="en-GB"/>
        </w:rPr>
        <w:t xml:space="preserve">– whether as a liberal project of </w:t>
      </w:r>
      <w:r w:rsidR="00F96949" w:rsidRPr="007C61D2">
        <w:rPr>
          <w:rFonts w:ascii="Garamond" w:eastAsia="Times New Roman" w:hAnsi="Garamond" w:cs="Times New Roman"/>
          <w:color w:val="000000"/>
          <w:sz w:val="24"/>
          <w:szCs w:val="24"/>
          <w:lang w:eastAsia="en-GB"/>
        </w:rPr>
        <w:t>human autonomy</w:t>
      </w:r>
      <w:r w:rsidR="005734F0" w:rsidRPr="007C61D2">
        <w:rPr>
          <w:rFonts w:ascii="Garamond" w:eastAsia="Times New Roman" w:hAnsi="Garamond" w:cs="Times New Roman"/>
          <w:color w:val="000000"/>
          <w:sz w:val="24"/>
          <w:szCs w:val="24"/>
          <w:lang w:eastAsia="en-GB"/>
        </w:rPr>
        <w:t xml:space="preserve"> and privacy or a left project of economic redistribution</w:t>
      </w:r>
      <w:r w:rsidR="00B04FDD" w:rsidRPr="007C61D2">
        <w:rPr>
          <w:rFonts w:ascii="Garamond" w:eastAsia="Times New Roman" w:hAnsi="Garamond" w:cs="Times New Roman"/>
          <w:color w:val="000000"/>
          <w:sz w:val="24"/>
          <w:szCs w:val="24"/>
          <w:lang w:eastAsia="en-GB"/>
        </w:rPr>
        <w:t xml:space="preserve"> </w:t>
      </w:r>
      <w:r w:rsidR="00960DA9" w:rsidRPr="007C61D2">
        <w:rPr>
          <w:rFonts w:ascii="Garamond" w:eastAsia="Times New Roman" w:hAnsi="Garamond" w:cs="Times New Roman"/>
          <w:color w:val="000000"/>
          <w:sz w:val="24"/>
          <w:szCs w:val="24"/>
          <w:lang w:eastAsia="en-GB"/>
        </w:rPr>
        <w:t>through the expansion of public welfare</w:t>
      </w:r>
      <w:r w:rsidR="00AB5449" w:rsidRPr="007C61D2">
        <w:rPr>
          <w:rFonts w:ascii="Garamond" w:eastAsia="Times New Roman" w:hAnsi="Garamond" w:cs="Times New Roman"/>
          <w:color w:val="000000"/>
          <w:sz w:val="24"/>
          <w:szCs w:val="24"/>
          <w:lang w:eastAsia="en-GB"/>
        </w:rPr>
        <w:t xml:space="preserve">. But given FLaG’s broad social justice perspective, nothing rests on labelling this framing as a feminist one or as one anchored in other social justice norms. </w:t>
      </w:r>
    </w:p>
    <w:p w14:paraId="433DDDDA" w14:textId="5D87CC70" w:rsidR="00922F40" w:rsidRPr="007C61D2" w:rsidRDefault="00922F40" w:rsidP="00654B6E">
      <w:pPr>
        <w:pStyle w:val="Heading2"/>
        <w:spacing w:before="240"/>
      </w:pPr>
      <w:r w:rsidRPr="007C61D2">
        <w:t xml:space="preserve">Conclusion </w:t>
      </w:r>
    </w:p>
    <w:p w14:paraId="48A35E62" w14:textId="2656C36F" w:rsidR="001B125C" w:rsidRPr="007C61D2" w:rsidRDefault="008D4F09" w:rsidP="00654B6E">
      <w:pPr>
        <w:shd w:val="clear" w:color="auto" w:fill="FFFFFF"/>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 xml:space="preserve">This article has explored the </w:t>
      </w:r>
      <w:r w:rsidR="00D70EF3" w:rsidRPr="007C61D2">
        <w:rPr>
          <w:rFonts w:ascii="Garamond" w:eastAsia="Times New Roman" w:hAnsi="Garamond" w:cs="Times New Roman"/>
          <w:sz w:val="24"/>
          <w:szCs w:val="24"/>
        </w:rPr>
        <w:t xml:space="preserve">speculative proposal to decertify </w:t>
      </w:r>
      <w:r w:rsidRPr="007C61D2">
        <w:rPr>
          <w:rFonts w:ascii="Garamond" w:eastAsia="Times New Roman" w:hAnsi="Garamond" w:cs="Times New Roman"/>
          <w:sz w:val="24"/>
          <w:szCs w:val="24"/>
        </w:rPr>
        <w:t>sex/ gender</w:t>
      </w:r>
      <w:r w:rsidR="00AF3A77" w:rsidRPr="007C61D2">
        <w:rPr>
          <w:rFonts w:ascii="Garamond" w:eastAsia="Times New Roman" w:hAnsi="Garamond" w:cs="Times New Roman"/>
          <w:sz w:val="24"/>
          <w:szCs w:val="24"/>
        </w:rPr>
        <w:t xml:space="preserve">. Given </w:t>
      </w:r>
      <w:r w:rsidRPr="007C61D2">
        <w:rPr>
          <w:rFonts w:ascii="Garamond" w:eastAsia="Times New Roman" w:hAnsi="Garamond" w:cs="Times New Roman"/>
          <w:sz w:val="24"/>
          <w:szCs w:val="24"/>
        </w:rPr>
        <w:t xml:space="preserve">the alternative legal path of </w:t>
      </w:r>
      <w:r w:rsidR="00960DA9" w:rsidRPr="007C61D2">
        <w:rPr>
          <w:rFonts w:ascii="Garamond" w:eastAsia="Times New Roman" w:hAnsi="Garamond" w:cs="Times New Roman"/>
          <w:sz w:val="24"/>
          <w:szCs w:val="24"/>
        </w:rPr>
        <w:t xml:space="preserve">formally recognising </w:t>
      </w:r>
      <w:r w:rsidRPr="007C61D2">
        <w:rPr>
          <w:rFonts w:ascii="Garamond" w:eastAsia="Times New Roman" w:hAnsi="Garamond" w:cs="Times New Roman"/>
          <w:sz w:val="24"/>
          <w:szCs w:val="24"/>
        </w:rPr>
        <w:t>sex/ gender</w:t>
      </w:r>
      <w:r w:rsidR="00960DA9" w:rsidRPr="007C61D2">
        <w:rPr>
          <w:rFonts w:ascii="Garamond" w:eastAsia="Times New Roman" w:hAnsi="Garamond" w:cs="Times New Roman"/>
          <w:sz w:val="24"/>
          <w:szCs w:val="24"/>
        </w:rPr>
        <w:t xml:space="preserve"> diversity</w:t>
      </w:r>
      <w:r w:rsidRPr="007C61D2">
        <w:rPr>
          <w:rFonts w:ascii="Garamond" w:eastAsia="Times New Roman" w:hAnsi="Garamond" w:cs="Times New Roman"/>
          <w:sz w:val="24"/>
          <w:szCs w:val="24"/>
        </w:rPr>
        <w:t xml:space="preserve">, </w:t>
      </w:r>
      <w:r w:rsidR="00AF3A77" w:rsidRPr="007C61D2">
        <w:rPr>
          <w:rFonts w:ascii="Garamond" w:eastAsia="Times New Roman" w:hAnsi="Garamond" w:cs="Times New Roman"/>
          <w:sz w:val="24"/>
          <w:szCs w:val="24"/>
        </w:rPr>
        <w:t xml:space="preserve">we have traced </w:t>
      </w:r>
      <w:r w:rsidRPr="007C61D2">
        <w:rPr>
          <w:rFonts w:ascii="Garamond" w:eastAsia="Times New Roman" w:hAnsi="Garamond" w:cs="Times New Roman"/>
          <w:sz w:val="24"/>
          <w:szCs w:val="24"/>
        </w:rPr>
        <w:t>arguments in favour of decertification, the counter</w:t>
      </w:r>
      <w:r w:rsidR="00AF3A77" w:rsidRPr="007C61D2">
        <w:rPr>
          <w:rFonts w:ascii="Garamond" w:eastAsia="Times New Roman" w:hAnsi="Garamond" w:cs="Times New Roman"/>
          <w:sz w:val="24"/>
          <w:szCs w:val="24"/>
        </w:rPr>
        <w:t>arguments</w:t>
      </w:r>
      <w:r w:rsidRPr="007C61D2">
        <w:rPr>
          <w:rFonts w:ascii="Garamond" w:eastAsia="Times New Roman" w:hAnsi="Garamond" w:cs="Times New Roman"/>
          <w:sz w:val="24"/>
          <w:szCs w:val="24"/>
        </w:rPr>
        <w:t xml:space="preserve"> of critics, and different </w:t>
      </w:r>
      <w:r w:rsidR="00D70EF3" w:rsidRPr="007C61D2">
        <w:rPr>
          <w:rFonts w:ascii="Garamond" w:eastAsia="Times New Roman" w:hAnsi="Garamond" w:cs="Times New Roman"/>
          <w:sz w:val="24"/>
          <w:szCs w:val="24"/>
        </w:rPr>
        <w:t>ways of responding to the issues that critics pose</w:t>
      </w:r>
      <w:r w:rsidRPr="007C61D2">
        <w:rPr>
          <w:rFonts w:ascii="Garamond" w:eastAsia="Times New Roman" w:hAnsi="Garamond" w:cs="Times New Roman"/>
          <w:sz w:val="24"/>
          <w:szCs w:val="24"/>
        </w:rPr>
        <w:t xml:space="preserve">. </w:t>
      </w:r>
      <w:r w:rsidR="00D70EF3" w:rsidRPr="007C61D2">
        <w:rPr>
          <w:rFonts w:ascii="Garamond" w:eastAsia="Times New Roman" w:hAnsi="Garamond" w:cs="Times New Roman"/>
          <w:sz w:val="24"/>
          <w:szCs w:val="24"/>
        </w:rPr>
        <w:t xml:space="preserve">In doing so, we </w:t>
      </w:r>
      <w:r w:rsidR="00974E7E">
        <w:rPr>
          <w:rFonts w:ascii="Garamond" w:eastAsia="Times New Roman" w:hAnsi="Garamond" w:cs="Times New Roman"/>
          <w:sz w:val="24"/>
          <w:szCs w:val="24"/>
        </w:rPr>
        <w:t xml:space="preserve">have considered </w:t>
      </w:r>
      <w:r w:rsidR="00854F73" w:rsidRPr="007C61D2">
        <w:rPr>
          <w:rFonts w:ascii="Garamond" w:eastAsia="Times New Roman" w:hAnsi="Garamond" w:cs="Times New Roman"/>
          <w:sz w:val="24"/>
          <w:szCs w:val="24"/>
        </w:rPr>
        <w:t xml:space="preserve">two kinds of response. The first involves </w:t>
      </w:r>
      <w:r w:rsidR="00D70EF3" w:rsidRPr="007C61D2">
        <w:rPr>
          <w:rFonts w:ascii="Garamond" w:eastAsia="Times New Roman" w:hAnsi="Garamond" w:cs="Times New Roman"/>
          <w:sz w:val="24"/>
          <w:szCs w:val="24"/>
        </w:rPr>
        <w:t>governance</w:t>
      </w:r>
      <w:r w:rsidR="00854F73" w:rsidRPr="007C61D2">
        <w:rPr>
          <w:rFonts w:ascii="Garamond" w:eastAsia="Times New Roman" w:hAnsi="Garamond" w:cs="Times New Roman"/>
          <w:sz w:val="24"/>
          <w:szCs w:val="24"/>
        </w:rPr>
        <w:t xml:space="preserve"> strategies </w:t>
      </w:r>
      <w:r w:rsidR="004A4715" w:rsidRPr="007C61D2">
        <w:rPr>
          <w:rFonts w:ascii="Garamond" w:eastAsia="Times New Roman" w:hAnsi="Garamond" w:cs="Times New Roman"/>
          <w:sz w:val="24"/>
          <w:szCs w:val="24"/>
        </w:rPr>
        <w:t xml:space="preserve">to </w:t>
      </w:r>
      <w:r w:rsidRPr="007C61D2">
        <w:rPr>
          <w:rFonts w:ascii="Garamond" w:eastAsia="Times New Roman" w:hAnsi="Garamond" w:cs="Times New Roman"/>
          <w:sz w:val="24"/>
          <w:szCs w:val="24"/>
        </w:rPr>
        <w:t xml:space="preserve">minimise </w:t>
      </w:r>
      <w:r w:rsidR="00D70EF3" w:rsidRPr="007C61D2">
        <w:rPr>
          <w:rFonts w:ascii="Garamond" w:eastAsia="Times New Roman" w:hAnsi="Garamond" w:cs="Times New Roman"/>
          <w:sz w:val="24"/>
          <w:szCs w:val="24"/>
        </w:rPr>
        <w:t xml:space="preserve">the </w:t>
      </w:r>
      <w:r w:rsidR="00AB2F05" w:rsidRPr="007C61D2">
        <w:rPr>
          <w:rFonts w:ascii="Garamond" w:eastAsia="Times New Roman" w:hAnsi="Garamond" w:cs="Times New Roman"/>
          <w:sz w:val="24"/>
          <w:szCs w:val="24"/>
        </w:rPr>
        <w:t>confrontations</w:t>
      </w:r>
      <w:r w:rsidR="00854F73" w:rsidRPr="007C61D2">
        <w:rPr>
          <w:rFonts w:ascii="Garamond" w:eastAsia="Times New Roman" w:hAnsi="Garamond" w:cs="Times New Roman"/>
          <w:sz w:val="24"/>
          <w:szCs w:val="24"/>
        </w:rPr>
        <w:t xml:space="preserve">, </w:t>
      </w:r>
      <w:r w:rsidR="004A4715" w:rsidRPr="007C61D2">
        <w:rPr>
          <w:rFonts w:ascii="Garamond" w:eastAsia="Times New Roman" w:hAnsi="Garamond" w:cs="Times New Roman"/>
          <w:sz w:val="24"/>
          <w:szCs w:val="24"/>
        </w:rPr>
        <w:t xml:space="preserve">which </w:t>
      </w:r>
      <w:r w:rsidR="00854F73" w:rsidRPr="007C61D2">
        <w:rPr>
          <w:rFonts w:ascii="Garamond" w:eastAsia="Times New Roman" w:hAnsi="Garamond" w:cs="Times New Roman"/>
          <w:sz w:val="24"/>
          <w:szCs w:val="24"/>
        </w:rPr>
        <w:t xml:space="preserve">it is feared, gender’s </w:t>
      </w:r>
      <w:r w:rsidR="00D70EF3" w:rsidRPr="007C61D2">
        <w:rPr>
          <w:rFonts w:ascii="Garamond" w:eastAsia="Times New Roman" w:hAnsi="Garamond" w:cs="Times New Roman"/>
          <w:sz w:val="24"/>
          <w:szCs w:val="24"/>
        </w:rPr>
        <w:t xml:space="preserve">informalisation </w:t>
      </w:r>
      <w:r w:rsidR="00854F73" w:rsidRPr="007C61D2">
        <w:rPr>
          <w:rFonts w:ascii="Garamond" w:eastAsia="Times New Roman" w:hAnsi="Garamond" w:cs="Times New Roman"/>
          <w:sz w:val="24"/>
          <w:szCs w:val="24"/>
        </w:rPr>
        <w:t>will</w:t>
      </w:r>
      <w:r w:rsidR="004A4715" w:rsidRPr="007C61D2">
        <w:rPr>
          <w:rFonts w:ascii="Garamond" w:eastAsia="Times New Roman" w:hAnsi="Garamond" w:cs="Times New Roman"/>
          <w:sz w:val="24"/>
          <w:szCs w:val="24"/>
        </w:rPr>
        <w:t xml:space="preserve"> lead to</w:t>
      </w:r>
      <w:r w:rsidR="00854F73" w:rsidRPr="007C61D2">
        <w:rPr>
          <w:rFonts w:ascii="Garamond" w:eastAsia="Times New Roman" w:hAnsi="Garamond" w:cs="Times New Roman"/>
          <w:sz w:val="24"/>
          <w:szCs w:val="24"/>
        </w:rPr>
        <w:t>,</w:t>
      </w:r>
      <w:r w:rsidR="004A4715" w:rsidRPr="007C61D2">
        <w:rPr>
          <w:rFonts w:ascii="Garamond" w:eastAsia="Times New Roman" w:hAnsi="Garamond" w:cs="Times New Roman"/>
          <w:sz w:val="24"/>
          <w:szCs w:val="24"/>
        </w:rPr>
        <w:t xml:space="preserve"> so that</w:t>
      </w:r>
      <w:r w:rsidR="00854F73" w:rsidRPr="007C61D2">
        <w:rPr>
          <w:rFonts w:ascii="Garamond" w:eastAsia="Times New Roman" w:hAnsi="Garamond" w:cs="Times New Roman"/>
          <w:sz w:val="24"/>
          <w:szCs w:val="24"/>
        </w:rPr>
        <w:t xml:space="preserve"> </w:t>
      </w:r>
      <w:r w:rsidRPr="007C61D2">
        <w:rPr>
          <w:rFonts w:ascii="Garamond" w:eastAsia="Times New Roman" w:hAnsi="Garamond" w:cs="Times New Roman"/>
          <w:sz w:val="24"/>
          <w:szCs w:val="24"/>
        </w:rPr>
        <w:t xml:space="preserve">present arrangements </w:t>
      </w:r>
      <w:r w:rsidR="004A4715" w:rsidRPr="007C61D2">
        <w:rPr>
          <w:rFonts w:ascii="Garamond" w:eastAsia="Times New Roman" w:hAnsi="Garamond" w:cs="Times New Roman"/>
          <w:sz w:val="24"/>
          <w:szCs w:val="24"/>
        </w:rPr>
        <w:t xml:space="preserve">can </w:t>
      </w:r>
      <w:r w:rsidRPr="007C61D2">
        <w:rPr>
          <w:rFonts w:ascii="Garamond" w:eastAsia="Times New Roman" w:hAnsi="Garamond" w:cs="Times New Roman"/>
          <w:sz w:val="24"/>
          <w:szCs w:val="24"/>
        </w:rPr>
        <w:t>continue</w:t>
      </w:r>
      <w:r w:rsidR="004A4715" w:rsidRPr="007C61D2">
        <w:rPr>
          <w:rFonts w:ascii="Garamond" w:eastAsia="Times New Roman" w:hAnsi="Garamond" w:cs="Times New Roman"/>
          <w:sz w:val="24"/>
          <w:szCs w:val="24"/>
        </w:rPr>
        <w:t xml:space="preserve">. Here, we have considered </w:t>
      </w:r>
      <w:r w:rsidR="00854F73" w:rsidRPr="007C61D2">
        <w:rPr>
          <w:rFonts w:ascii="Garamond" w:eastAsia="Times New Roman" w:hAnsi="Garamond" w:cs="Times New Roman"/>
          <w:sz w:val="24"/>
          <w:szCs w:val="24"/>
        </w:rPr>
        <w:t xml:space="preserve">use of </w:t>
      </w:r>
      <w:r w:rsidRPr="007C61D2">
        <w:rPr>
          <w:rFonts w:ascii="Garamond" w:eastAsia="Times New Roman" w:hAnsi="Garamond" w:cs="Times New Roman"/>
          <w:sz w:val="24"/>
          <w:szCs w:val="24"/>
        </w:rPr>
        <w:t xml:space="preserve">privacy design, risk assessment, </w:t>
      </w:r>
      <w:r w:rsidR="00974E7E" w:rsidRPr="007C61D2">
        <w:rPr>
          <w:rFonts w:ascii="Garamond" w:eastAsia="Times New Roman" w:hAnsi="Garamond" w:cs="Times New Roman"/>
          <w:sz w:val="24"/>
          <w:szCs w:val="24"/>
        </w:rPr>
        <w:t>decentralising classificatory authority</w:t>
      </w:r>
      <w:r w:rsidR="00974E7E">
        <w:rPr>
          <w:rFonts w:ascii="Garamond" w:eastAsia="Times New Roman" w:hAnsi="Garamond" w:cs="Times New Roman"/>
          <w:sz w:val="24"/>
          <w:szCs w:val="24"/>
        </w:rPr>
        <w:t>,</w:t>
      </w:r>
      <w:r w:rsidR="00974E7E" w:rsidRPr="007C61D2">
        <w:rPr>
          <w:rFonts w:ascii="Garamond" w:eastAsia="Times New Roman" w:hAnsi="Garamond" w:cs="Times New Roman"/>
          <w:sz w:val="24"/>
          <w:szCs w:val="24"/>
        </w:rPr>
        <w:t xml:space="preserve"> </w:t>
      </w:r>
      <w:r w:rsidR="00974E7E">
        <w:rPr>
          <w:rFonts w:ascii="Garamond" w:eastAsia="Times New Roman" w:hAnsi="Garamond" w:cs="Times New Roman"/>
          <w:sz w:val="24"/>
          <w:szCs w:val="24"/>
        </w:rPr>
        <w:t xml:space="preserve">and </w:t>
      </w:r>
      <w:r w:rsidR="006B3393" w:rsidRPr="007C61D2">
        <w:rPr>
          <w:rFonts w:ascii="Garamond" w:eastAsia="Times New Roman" w:hAnsi="Garamond" w:cs="Times New Roman"/>
          <w:sz w:val="24"/>
          <w:szCs w:val="24"/>
        </w:rPr>
        <w:t>recognition of “lived” gender</w:t>
      </w:r>
      <w:r w:rsidR="00854F73" w:rsidRPr="007C61D2">
        <w:rPr>
          <w:rFonts w:ascii="Garamond" w:eastAsia="Times New Roman" w:hAnsi="Garamond" w:cs="Times New Roman"/>
          <w:sz w:val="24"/>
          <w:szCs w:val="24"/>
        </w:rPr>
        <w:t>. The second</w:t>
      </w:r>
      <w:r w:rsidR="00874DE4" w:rsidRPr="007C61D2">
        <w:rPr>
          <w:rFonts w:ascii="Garamond" w:eastAsia="Times New Roman" w:hAnsi="Garamond" w:cs="Times New Roman"/>
          <w:sz w:val="24"/>
          <w:szCs w:val="24"/>
        </w:rPr>
        <w:t xml:space="preserve"> </w:t>
      </w:r>
      <w:r w:rsidR="00974E7E">
        <w:rPr>
          <w:rFonts w:ascii="Garamond" w:eastAsia="Times New Roman" w:hAnsi="Garamond" w:cs="Times New Roman"/>
          <w:sz w:val="24"/>
          <w:szCs w:val="24"/>
        </w:rPr>
        <w:t xml:space="preserve">set of </w:t>
      </w:r>
      <w:r w:rsidR="004A4715" w:rsidRPr="007C61D2">
        <w:rPr>
          <w:rFonts w:ascii="Garamond" w:eastAsia="Times New Roman" w:hAnsi="Garamond" w:cs="Times New Roman"/>
          <w:sz w:val="24"/>
          <w:szCs w:val="24"/>
        </w:rPr>
        <w:t>response</w:t>
      </w:r>
      <w:r w:rsidR="00974E7E">
        <w:rPr>
          <w:rFonts w:ascii="Garamond" w:eastAsia="Times New Roman" w:hAnsi="Garamond" w:cs="Times New Roman"/>
          <w:sz w:val="24"/>
          <w:szCs w:val="24"/>
        </w:rPr>
        <w:t>s</w:t>
      </w:r>
      <w:r w:rsidR="004A4715" w:rsidRPr="007C61D2">
        <w:rPr>
          <w:rFonts w:ascii="Garamond" w:eastAsia="Times New Roman" w:hAnsi="Garamond" w:cs="Times New Roman"/>
          <w:sz w:val="24"/>
          <w:szCs w:val="24"/>
        </w:rPr>
        <w:t xml:space="preserve"> </w:t>
      </w:r>
      <w:r w:rsidR="00874DE4" w:rsidRPr="007C61D2">
        <w:rPr>
          <w:rFonts w:ascii="Garamond" w:eastAsia="Times New Roman" w:hAnsi="Garamond" w:cs="Times New Roman"/>
          <w:sz w:val="24"/>
          <w:szCs w:val="24"/>
        </w:rPr>
        <w:t>links sex/ gender’s</w:t>
      </w:r>
      <w:r w:rsidR="00854F73" w:rsidRPr="007C61D2">
        <w:rPr>
          <w:rFonts w:ascii="Garamond" w:eastAsia="Times New Roman" w:hAnsi="Garamond" w:cs="Times New Roman"/>
          <w:sz w:val="24"/>
          <w:szCs w:val="24"/>
        </w:rPr>
        <w:t xml:space="preserve"> informalisation to a politics of unsettling and re-examination, </w:t>
      </w:r>
      <w:r w:rsidR="001B125C" w:rsidRPr="007C61D2">
        <w:rPr>
          <w:rFonts w:ascii="Garamond" w:eastAsia="Times New Roman" w:hAnsi="Garamond" w:cs="Times New Roman"/>
          <w:sz w:val="24"/>
          <w:szCs w:val="24"/>
        </w:rPr>
        <w:t>draw</w:t>
      </w:r>
      <w:r w:rsidR="00854F73" w:rsidRPr="007C61D2">
        <w:rPr>
          <w:rFonts w:ascii="Garamond" w:eastAsia="Times New Roman" w:hAnsi="Garamond" w:cs="Times New Roman"/>
          <w:sz w:val="24"/>
          <w:szCs w:val="24"/>
        </w:rPr>
        <w:t>ing</w:t>
      </w:r>
      <w:r w:rsidR="001B125C" w:rsidRPr="007C61D2">
        <w:rPr>
          <w:rFonts w:ascii="Garamond" w:eastAsia="Times New Roman" w:hAnsi="Garamond" w:cs="Times New Roman"/>
          <w:sz w:val="24"/>
          <w:szCs w:val="24"/>
        </w:rPr>
        <w:t xml:space="preserve"> on techniques of granularity, deconstruction, connection</w:t>
      </w:r>
      <w:r w:rsidR="00854F73" w:rsidRPr="007C61D2">
        <w:rPr>
          <w:rFonts w:ascii="Garamond" w:eastAsia="Times New Roman" w:hAnsi="Garamond" w:cs="Times New Roman"/>
          <w:sz w:val="24"/>
          <w:szCs w:val="24"/>
        </w:rPr>
        <w:t>-forging</w:t>
      </w:r>
      <w:r w:rsidR="001B125C" w:rsidRPr="007C61D2">
        <w:rPr>
          <w:rFonts w:ascii="Garamond" w:eastAsia="Times New Roman" w:hAnsi="Garamond" w:cs="Times New Roman"/>
          <w:sz w:val="24"/>
          <w:szCs w:val="24"/>
        </w:rPr>
        <w:t>, and refocus</w:t>
      </w:r>
      <w:r w:rsidR="004A4715" w:rsidRPr="007C61D2">
        <w:rPr>
          <w:rFonts w:ascii="Garamond" w:eastAsia="Times New Roman" w:hAnsi="Garamond" w:cs="Times New Roman"/>
          <w:sz w:val="24"/>
          <w:szCs w:val="24"/>
        </w:rPr>
        <w:t>,</w:t>
      </w:r>
      <w:r w:rsidR="001B125C" w:rsidRPr="007C61D2">
        <w:rPr>
          <w:rFonts w:ascii="Garamond" w:eastAsia="Times New Roman" w:hAnsi="Garamond" w:cs="Times New Roman"/>
          <w:sz w:val="24"/>
          <w:szCs w:val="24"/>
        </w:rPr>
        <w:t xml:space="preserve"> to pivot decertification towards </w:t>
      </w:r>
      <w:r w:rsidR="00854F73" w:rsidRPr="007C61D2">
        <w:rPr>
          <w:rFonts w:ascii="Garamond" w:eastAsia="Times New Roman" w:hAnsi="Garamond" w:cs="Times New Roman"/>
          <w:sz w:val="24"/>
          <w:szCs w:val="24"/>
        </w:rPr>
        <w:t xml:space="preserve">more fundamental and multiplex </w:t>
      </w:r>
      <w:r w:rsidR="001B125C" w:rsidRPr="007C61D2">
        <w:rPr>
          <w:rFonts w:ascii="Garamond" w:eastAsia="Times New Roman" w:hAnsi="Garamond" w:cs="Times New Roman"/>
          <w:sz w:val="24"/>
          <w:szCs w:val="24"/>
        </w:rPr>
        <w:t>social justice</w:t>
      </w:r>
      <w:r w:rsidR="00854F73" w:rsidRPr="007C61D2">
        <w:rPr>
          <w:rFonts w:ascii="Garamond" w:eastAsia="Times New Roman" w:hAnsi="Garamond" w:cs="Times New Roman"/>
          <w:sz w:val="24"/>
          <w:szCs w:val="24"/>
        </w:rPr>
        <w:t xml:space="preserve"> agendas</w:t>
      </w:r>
      <w:r w:rsidR="001B125C" w:rsidRPr="007C61D2">
        <w:rPr>
          <w:rFonts w:ascii="Garamond" w:eastAsia="Times New Roman" w:hAnsi="Garamond" w:cs="Times New Roman"/>
          <w:sz w:val="24"/>
          <w:szCs w:val="24"/>
        </w:rPr>
        <w:t>.</w:t>
      </w:r>
      <w:r w:rsidR="006B3393" w:rsidRPr="007C61D2">
        <w:rPr>
          <w:rFonts w:ascii="Garamond" w:eastAsia="Times New Roman" w:hAnsi="Garamond" w:cs="Times New Roman"/>
          <w:sz w:val="24"/>
          <w:szCs w:val="24"/>
        </w:rPr>
        <w:t xml:space="preserve"> Here</w:t>
      </w:r>
      <w:r w:rsidR="001B125C" w:rsidRPr="007C61D2">
        <w:rPr>
          <w:rFonts w:ascii="Garamond" w:eastAsia="Times New Roman" w:hAnsi="Garamond" w:cs="Times New Roman"/>
          <w:sz w:val="24"/>
          <w:szCs w:val="24"/>
        </w:rPr>
        <w:t xml:space="preserve">, rather than just asking how we can know </w:t>
      </w:r>
      <w:r w:rsidR="00854F73" w:rsidRPr="007C61D2">
        <w:rPr>
          <w:rFonts w:ascii="Garamond" w:eastAsia="Times New Roman" w:hAnsi="Garamond" w:cs="Times New Roman"/>
          <w:sz w:val="24"/>
          <w:szCs w:val="24"/>
        </w:rPr>
        <w:t xml:space="preserve">and define </w:t>
      </w:r>
      <w:r w:rsidR="001B125C" w:rsidRPr="007C61D2">
        <w:rPr>
          <w:rFonts w:ascii="Garamond" w:eastAsia="Times New Roman" w:hAnsi="Garamond" w:cs="Times New Roman"/>
          <w:sz w:val="24"/>
          <w:szCs w:val="24"/>
        </w:rPr>
        <w:t xml:space="preserve">women for sports competition, it </w:t>
      </w:r>
      <w:r w:rsidR="00874DE4" w:rsidRPr="007C61D2">
        <w:rPr>
          <w:rFonts w:ascii="Garamond" w:eastAsia="Times New Roman" w:hAnsi="Garamond" w:cs="Times New Roman"/>
          <w:sz w:val="24"/>
          <w:szCs w:val="24"/>
        </w:rPr>
        <w:t xml:space="preserve">asks </w:t>
      </w:r>
      <w:r w:rsidR="001B125C" w:rsidRPr="007C61D2">
        <w:rPr>
          <w:rFonts w:ascii="Garamond" w:eastAsia="Times New Roman" w:hAnsi="Garamond" w:cs="Times New Roman"/>
          <w:sz w:val="24"/>
          <w:szCs w:val="24"/>
        </w:rPr>
        <w:t xml:space="preserve">about the purpose of sports-based competition. Rather than ask how we can ensure </w:t>
      </w:r>
      <w:r w:rsidR="00542FA8">
        <w:rPr>
          <w:rFonts w:ascii="Garamond" w:eastAsia="Times New Roman" w:hAnsi="Garamond" w:cs="Times New Roman"/>
          <w:sz w:val="24"/>
          <w:szCs w:val="24"/>
        </w:rPr>
        <w:t xml:space="preserve">(cis) </w:t>
      </w:r>
      <w:r w:rsidR="001B125C" w:rsidRPr="007C61D2">
        <w:rPr>
          <w:rFonts w:ascii="Garamond" w:eastAsia="Times New Roman" w:hAnsi="Garamond" w:cs="Times New Roman"/>
          <w:sz w:val="24"/>
          <w:szCs w:val="24"/>
        </w:rPr>
        <w:t xml:space="preserve">women do not lose opportunities to make up effective women-only parliamentary shortlists, it </w:t>
      </w:r>
      <w:r w:rsidR="00874DE4" w:rsidRPr="007C61D2">
        <w:rPr>
          <w:rFonts w:ascii="Garamond" w:eastAsia="Times New Roman" w:hAnsi="Garamond" w:cs="Times New Roman"/>
          <w:sz w:val="24"/>
          <w:szCs w:val="24"/>
        </w:rPr>
        <w:t xml:space="preserve">asks </w:t>
      </w:r>
      <w:r w:rsidR="001B125C" w:rsidRPr="007C61D2">
        <w:rPr>
          <w:rFonts w:ascii="Garamond" w:eastAsia="Times New Roman" w:hAnsi="Garamond" w:cs="Times New Roman"/>
          <w:sz w:val="24"/>
          <w:szCs w:val="24"/>
        </w:rPr>
        <w:t>about the place of representation in political processes. Asking these questions does not deny the value of more moderate reforms</w:t>
      </w:r>
      <w:r w:rsidR="00854F73" w:rsidRPr="007C61D2">
        <w:rPr>
          <w:rFonts w:ascii="Garamond" w:eastAsia="Times New Roman" w:hAnsi="Garamond" w:cs="Times New Roman"/>
          <w:sz w:val="24"/>
          <w:szCs w:val="24"/>
        </w:rPr>
        <w:t>, and it is not necessarily intended to supplant them as if we inhabited a zero-sum political game</w:t>
      </w:r>
      <w:r w:rsidR="001B125C" w:rsidRPr="007C61D2">
        <w:rPr>
          <w:rFonts w:ascii="Garamond" w:eastAsia="Times New Roman" w:hAnsi="Garamond" w:cs="Times New Roman"/>
          <w:sz w:val="24"/>
          <w:szCs w:val="24"/>
        </w:rPr>
        <w:t xml:space="preserve">. </w:t>
      </w:r>
      <w:r w:rsidR="00825DED" w:rsidRPr="007C61D2">
        <w:rPr>
          <w:rFonts w:ascii="Garamond" w:eastAsia="Times New Roman" w:hAnsi="Garamond" w:cs="Times New Roman"/>
          <w:sz w:val="24"/>
          <w:szCs w:val="24"/>
        </w:rPr>
        <w:t>But when increasing energy is placed in maintenance strategies that seek to minimise and contain the challenge</w:t>
      </w:r>
      <w:r w:rsidR="00874DE4" w:rsidRPr="007C61D2">
        <w:rPr>
          <w:rFonts w:ascii="Garamond" w:eastAsia="Times New Roman" w:hAnsi="Garamond" w:cs="Times New Roman"/>
          <w:sz w:val="24"/>
          <w:szCs w:val="24"/>
        </w:rPr>
        <w:t>s that</w:t>
      </w:r>
      <w:r w:rsidR="00825DED" w:rsidRPr="007C61D2">
        <w:rPr>
          <w:rFonts w:ascii="Garamond" w:eastAsia="Times New Roman" w:hAnsi="Garamond" w:cs="Times New Roman"/>
          <w:sz w:val="24"/>
          <w:szCs w:val="24"/>
        </w:rPr>
        <w:t xml:space="preserve"> gender’s informalisation poses, </w:t>
      </w:r>
      <w:r w:rsidR="00974E7E">
        <w:rPr>
          <w:rFonts w:ascii="Garamond" w:eastAsia="Times New Roman" w:hAnsi="Garamond" w:cs="Times New Roman"/>
          <w:sz w:val="24"/>
          <w:szCs w:val="24"/>
        </w:rPr>
        <w:t xml:space="preserve">including through decertification, </w:t>
      </w:r>
      <w:r w:rsidR="00825DED" w:rsidRPr="007C61D2">
        <w:rPr>
          <w:rFonts w:ascii="Garamond" w:eastAsia="Times New Roman" w:hAnsi="Garamond" w:cs="Times New Roman"/>
          <w:sz w:val="24"/>
          <w:szCs w:val="24"/>
        </w:rPr>
        <w:t xml:space="preserve">it becomes important to ask what this maintenance is for. And to explore how decertification might be </w:t>
      </w:r>
      <w:r w:rsidR="00883EEB" w:rsidRPr="007C61D2">
        <w:rPr>
          <w:rFonts w:ascii="Garamond" w:eastAsia="Times New Roman" w:hAnsi="Garamond" w:cs="Times New Roman"/>
          <w:sz w:val="24"/>
          <w:szCs w:val="24"/>
        </w:rPr>
        <w:t xml:space="preserve">tied </w:t>
      </w:r>
      <w:r w:rsidR="00825DED" w:rsidRPr="007C61D2">
        <w:rPr>
          <w:rFonts w:ascii="Garamond" w:eastAsia="Times New Roman" w:hAnsi="Garamond" w:cs="Times New Roman"/>
          <w:sz w:val="24"/>
          <w:szCs w:val="24"/>
        </w:rPr>
        <w:t xml:space="preserve">to a more challenging set of responses as well. </w:t>
      </w:r>
    </w:p>
    <w:p w14:paraId="0835E3A3" w14:textId="21DCCC7A" w:rsidR="00554973" w:rsidRPr="007C61D2" w:rsidRDefault="001B125C" w:rsidP="00654B6E">
      <w:pPr>
        <w:shd w:val="clear" w:color="auto" w:fill="FFFFFF"/>
        <w:spacing w:before="240" w:after="120" w:line="360" w:lineRule="auto"/>
        <w:ind w:firstLine="720"/>
        <w:rPr>
          <w:rFonts w:ascii="Garamond" w:eastAsia="Times New Roman" w:hAnsi="Garamond" w:cs="Times New Roman"/>
          <w:sz w:val="24"/>
          <w:szCs w:val="24"/>
        </w:rPr>
      </w:pPr>
      <w:r w:rsidRPr="007C61D2">
        <w:rPr>
          <w:rFonts w:ascii="Garamond" w:eastAsia="Times New Roman" w:hAnsi="Garamond" w:cs="Times New Roman"/>
          <w:sz w:val="24"/>
          <w:szCs w:val="24"/>
        </w:rPr>
        <w:lastRenderedPageBreak/>
        <w:t xml:space="preserve">In this article, and project more generally, </w:t>
      </w:r>
      <w:r w:rsidR="00922F40" w:rsidRPr="007C61D2">
        <w:rPr>
          <w:rFonts w:ascii="Garamond" w:eastAsia="Times New Roman" w:hAnsi="Garamond" w:cs="Times New Roman"/>
          <w:sz w:val="24"/>
          <w:szCs w:val="24"/>
        </w:rPr>
        <w:t xml:space="preserve">we </w:t>
      </w:r>
      <w:r w:rsidR="00533FED" w:rsidRPr="007C61D2">
        <w:rPr>
          <w:rFonts w:ascii="Garamond" w:eastAsia="Times New Roman" w:hAnsi="Garamond" w:cs="Times New Roman"/>
          <w:sz w:val="24"/>
          <w:szCs w:val="24"/>
        </w:rPr>
        <w:t xml:space="preserve">approach </w:t>
      </w:r>
      <w:r w:rsidR="00922F40" w:rsidRPr="007C61D2">
        <w:rPr>
          <w:rFonts w:ascii="Garamond" w:eastAsia="Times New Roman" w:hAnsi="Garamond" w:cs="Times New Roman"/>
          <w:sz w:val="24"/>
          <w:szCs w:val="24"/>
        </w:rPr>
        <w:t xml:space="preserve">decertification as a thread – something we </w:t>
      </w:r>
      <w:r w:rsidR="00B04FDD" w:rsidRPr="007C61D2">
        <w:rPr>
          <w:rFonts w:ascii="Garamond" w:eastAsia="Times New Roman" w:hAnsi="Garamond" w:cs="Times New Roman"/>
          <w:sz w:val="24"/>
          <w:szCs w:val="24"/>
        </w:rPr>
        <w:t>“</w:t>
      </w:r>
      <w:r w:rsidR="00922F40" w:rsidRPr="007C61D2">
        <w:rPr>
          <w:rFonts w:ascii="Garamond" w:eastAsia="Times New Roman" w:hAnsi="Garamond" w:cs="Times New Roman"/>
          <w:sz w:val="24"/>
          <w:szCs w:val="24"/>
        </w:rPr>
        <w:t>pull</w:t>
      </w:r>
      <w:r w:rsidR="00B04FDD" w:rsidRPr="007C61D2">
        <w:rPr>
          <w:rFonts w:ascii="Garamond" w:eastAsia="Times New Roman" w:hAnsi="Garamond" w:cs="Times New Roman"/>
          <w:sz w:val="24"/>
          <w:szCs w:val="24"/>
        </w:rPr>
        <w:t xml:space="preserve">” </w:t>
      </w:r>
      <w:r w:rsidR="001D0F5F" w:rsidRPr="007C61D2">
        <w:rPr>
          <w:rFonts w:ascii="Garamond" w:eastAsia="Times New Roman" w:hAnsi="Garamond" w:cs="Times New Roman"/>
          <w:sz w:val="24"/>
          <w:szCs w:val="24"/>
        </w:rPr>
        <w:t xml:space="preserve">(and pull apart) </w:t>
      </w:r>
      <w:r w:rsidR="00922F40" w:rsidRPr="007C61D2">
        <w:rPr>
          <w:rFonts w:ascii="Garamond" w:eastAsia="Times New Roman" w:hAnsi="Garamond" w:cs="Times New Roman"/>
          <w:sz w:val="24"/>
          <w:szCs w:val="24"/>
        </w:rPr>
        <w:t xml:space="preserve">to </w:t>
      </w:r>
      <w:r w:rsidR="00460790" w:rsidRPr="007C61D2">
        <w:rPr>
          <w:rFonts w:ascii="Garamond" w:eastAsia="Times New Roman" w:hAnsi="Garamond" w:cs="Times New Roman"/>
          <w:sz w:val="24"/>
          <w:szCs w:val="24"/>
        </w:rPr>
        <w:t xml:space="preserve">consider the challenges and politics that </w:t>
      </w:r>
      <w:r w:rsidRPr="007C61D2">
        <w:rPr>
          <w:rFonts w:ascii="Garamond" w:eastAsia="Times New Roman" w:hAnsi="Garamond" w:cs="Times New Roman"/>
          <w:sz w:val="24"/>
          <w:szCs w:val="24"/>
        </w:rPr>
        <w:t xml:space="preserve">it </w:t>
      </w:r>
      <w:r w:rsidR="00460790" w:rsidRPr="007C61D2">
        <w:rPr>
          <w:rFonts w:ascii="Garamond" w:eastAsia="Times New Roman" w:hAnsi="Garamond" w:cs="Times New Roman"/>
          <w:sz w:val="24"/>
          <w:szCs w:val="24"/>
        </w:rPr>
        <w:t xml:space="preserve">elicits. </w:t>
      </w:r>
      <w:r w:rsidR="00922F40" w:rsidRPr="007C61D2">
        <w:rPr>
          <w:rFonts w:ascii="Garamond" w:eastAsia="Times New Roman" w:hAnsi="Garamond" w:cs="Times New Roman"/>
          <w:sz w:val="24"/>
          <w:szCs w:val="24"/>
        </w:rPr>
        <w:t xml:space="preserve">This pulling is partly deliberate, but it is also an inevitability in adopting a methodology that does not </w:t>
      </w:r>
      <w:r w:rsidR="00AB2F05" w:rsidRPr="007C61D2">
        <w:rPr>
          <w:rFonts w:ascii="Garamond" w:eastAsia="Times New Roman" w:hAnsi="Garamond" w:cs="Times New Roman"/>
          <w:sz w:val="24"/>
          <w:szCs w:val="24"/>
        </w:rPr>
        <w:t>dismiss</w:t>
      </w:r>
      <w:r w:rsidR="006B3393" w:rsidRPr="007C61D2">
        <w:rPr>
          <w:rFonts w:ascii="Garamond" w:eastAsia="Times New Roman" w:hAnsi="Garamond" w:cs="Times New Roman"/>
          <w:sz w:val="24"/>
          <w:szCs w:val="24"/>
        </w:rPr>
        <w:t>, as tangential,</w:t>
      </w:r>
      <w:r w:rsidR="00AB2F05" w:rsidRPr="007C61D2">
        <w:rPr>
          <w:rFonts w:ascii="Garamond" w:eastAsia="Times New Roman" w:hAnsi="Garamond" w:cs="Times New Roman"/>
          <w:sz w:val="24"/>
          <w:szCs w:val="24"/>
        </w:rPr>
        <w:t xml:space="preserve"> th</w:t>
      </w:r>
      <w:r w:rsidR="00825DED" w:rsidRPr="007C61D2">
        <w:rPr>
          <w:rFonts w:ascii="Garamond" w:eastAsia="Times New Roman" w:hAnsi="Garamond" w:cs="Times New Roman"/>
          <w:sz w:val="24"/>
          <w:szCs w:val="24"/>
        </w:rPr>
        <w:t>e</w:t>
      </w:r>
      <w:r w:rsidR="00460790" w:rsidRPr="007C61D2">
        <w:rPr>
          <w:rFonts w:ascii="Garamond" w:eastAsia="Times New Roman" w:hAnsi="Garamond" w:cs="Times New Roman"/>
          <w:sz w:val="24"/>
          <w:szCs w:val="24"/>
        </w:rPr>
        <w:t xml:space="preserve"> wider</w:t>
      </w:r>
      <w:r w:rsidR="00922F40" w:rsidRPr="007C61D2">
        <w:rPr>
          <w:rFonts w:ascii="Garamond" w:eastAsia="Times New Roman" w:hAnsi="Garamond" w:cs="Times New Roman"/>
          <w:sz w:val="24"/>
          <w:szCs w:val="24"/>
        </w:rPr>
        <w:t xml:space="preserve"> issues and concerns </w:t>
      </w:r>
      <w:r w:rsidR="006B3393" w:rsidRPr="007C61D2">
        <w:rPr>
          <w:rFonts w:ascii="Garamond" w:eastAsia="Times New Roman" w:hAnsi="Garamond" w:cs="Times New Roman"/>
          <w:sz w:val="24"/>
          <w:szCs w:val="24"/>
        </w:rPr>
        <w:t xml:space="preserve">that </w:t>
      </w:r>
      <w:r w:rsidR="00922F40" w:rsidRPr="007C61D2">
        <w:rPr>
          <w:rFonts w:ascii="Garamond" w:eastAsia="Times New Roman" w:hAnsi="Garamond" w:cs="Times New Roman"/>
          <w:sz w:val="24"/>
          <w:szCs w:val="24"/>
        </w:rPr>
        <w:t>decertification</w:t>
      </w:r>
      <w:r w:rsidR="006B3393" w:rsidRPr="007C61D2">
        <w:rPr>
          <w:rFonts w:ascii="Garamond" w:eastAsia="Times New Roman" w:hAnsi="Garamond" w:cs="Times New Roman"/>
          <w:sz w:val="24"/>
          <w:szCs w:val="24"/>
        </w:rPr>
        <w:t xml:space="preserve"> raises</w:t>
      </w:r>
      <w:r w:rsidR="00AB2F05" w:rsidRPr="007C61D2">
        <w:rPr>
          <w:rFonts w:ascii="Garamond" w:eastAsia="Times New Roman" w:hAnsi="Garamond" w:cs="Times New Roman"/>
          <w:sz w:val="24"/>
          <w:szCs w:val="24"/>
        </w:rPr>
        <w:t>.</w:t>
      </w:r>
      <w:r w:rsidR="00974E7E">
        <w:rPr>
          <w:rFonts w:ascii="Garamond" w:eastAsia="Times New Roman" w:hAnsi="Garamond" w:cs="Times New Roman"/>
          <w:sz w:val="24"/>
          <w:szCs w:val="24"/>
        </w:rPr>
        <w:t xml:space="preserve"> L</w:t>
      </w:r>
      <w:r w:rsidR="00DA3457" w:rsidRPr="007C61D2">
        <w:rPr>
          <w:rFonts w:ascii="Garamond" w:eastAsia="Times New Roman" w:hAnsi="Garamond" w:cs="Times New Roman"/>
          <w:sz w:val="24"/>
          <w:szCs w:val="24"/>
        </w:rPr>
        <w:t xml:space="preserve">aw reform </w:t>
      </w:r>
      <w:r w:rsidR="004A4715" w:rsidRPr="007C61D2">
        <w:rPr>
          <w:rFonts w:ascii="Garamond" w:eastAsia="Times New Roman" w:hAnsi="Garamond" w:cs="Times New Roman"/>
          <w:sz w:val="24"/>
          <w:szCs w:val="24"/>
        </w:rPr>
        <w:t xml:space="preserve">here </w:t>
      </w:r>
      <w:r w:rsidR="00DA3457" w:rsidRPr="007C61D2">
        <w:rPr>
          <w:rFonts w:ascii="Garamond" w:eastAsia="Times New Roman" w:hAnsi="Garamond" w:cs="Times New Roman"/>
          <w:sz w:val="24"/>
          <w:szCs w:val="24"/>
        </w:rPr>
        <w:t xml:space="preserve">becomes a </w:t>
      </w:r>
      <w:r w:rsidR="005A461F" w:rsidRPr="007C61D2">
        <w:rPr>
          <w:rFonts w:ascii="Garamond" w:eastAsia="Times New Roman" w:hAnsi="Garamond" w:cs="Times New Roman"/>
          <w:sz w:val="24"/>
          <w:szCs w:val="24"/>
        </w:rPr>
        <w:t xml:space="preserve">critical </w:t>
      </w:r>
      <w:r w:rsidR="00DA3457" w:rsidRPr="007C61D2">
        <w:rPr>
          <w:rFonts w:ascii="Garamond" w:eastAsia="Times New Roman" w:hAnsi="Garamond" w:cs="Times New Roman"/>
          <w:sz w:val="24"/>
          <w:szCs w:val="24"/>
        </w:rPr>
        <w:t>method for studying connection and relationship</w:t>
      </w:r>
      <w:r w:rsidR="0022245B" w:rsidRPr="007C61D2">
        <w:rPr>
          <w:rFonts w:ascii="Garamond" w:eastAsia="Times New Roman" w:hAnsi="Garamond" w:cs="Times New Roman"/>
          <w:sz w:val="24"/>
          <w:szCs w:val="24"/>
        </w:rPr>
        <w:t xml:space="preserve">, </w:t>
      </w:r>
      <w:r w:rsidR="00460790" w:rsidRPr="007C61D2">
        <w:rPr>
          <w:rFonts w:ascii="Garamond" w:eastAsia="Times New Roman" w:hAnsi="Garamond" w:cs="Times New Roman"/>
          <w:sz w:val="24"/>
          <w:szCs w:val="24"/>
        </w:rPr>
        <w:t xml:space="preserve">and for branching out </w:t>
      </w:r>
      <w:r w:rsidR="00825DED" w:rsidRPr="007C61D2">
        <w:rPr>
          <w:rFonts w:ascii="Garamond" w:eastAsia="Times New Roman" w:hAnsi="Garamond" w:cs="Times New Roman"/>
          <w:sz w:val="24"/>
          <w:szCs w:val="24"/>
        </w:rPr>
        <w:t xml:space="preserve">- </w:t>
      </w:r>
      <w:r w:rsidR="00DA3457" w:rsidRPr="007C61D2">
        <w:rPr>
          <w:rFonts w:ascii="Garamond" w:eastAsia="Times New Roman" w:hAnsi="Garamond" w:cs="Times New Roman"/>
          <w:sz w:val="24"/>
          <w:szCs w:val="24"/>
        </w:rPr>
        <w:t xml:space="preserve">against </w:t>
      </w:r>
      <w:r w:rsidR="008D4F09" w:rsidRPr="007C61D2">
        <w:rPr>
          <w:rFonts w:ascii="Garamond" w:eastAsia="Times New Roman" w:hAnsi="Garamond" w:cs="Times New Roman"/>
          <w:sz w:val="24"/>
          <w:szCs w:val="24"/>
        </w:rPr>
        <w:t xml:space="preserve">the </w:t>
      </w:r>
      <w:r w:rsidR="00AB2F05" w:rsidRPr="007C61D2">
        <w:rPr>
          <w:rFonts w:ascii="Garamond" w:eastAsia="Times New Roman" w:hAnsi="Garamond" w:cs="Times New Roman"/>
          <w:sz w:val="24"/>
          <w:szCs w:val="24"/>
        </w:rPr>
        <w:t>counter</w:t>
      </w:r>
      <w:r w:rsidR="00DA3457" w:rsidRPr="007C61D2">
        <w:rPr>
          <w:rFonts w:ascii="Garamond" w:eastAsia="Times New Roman" w:hAnsi="Garamond" w:cs="Times New Roman"/>
          <w:sz w:val="24"/>
          <w:szCs w:val="24"/>
        </w:rPr>
        <w:t xml:space="preserve">tendency </w:t>
      </w:r>
      <w:r w:rsidR="00825DED" w:rsidRPr="007C61D2">
        <w:rPr>
          <w:rFonts w:ascii="Garamond" w:eastAsia="Times New Roman" w:hAnsi="Garamond" w:cs="Times New Roman"/>
          <w:sz w:val="24"/>
          <w:szCs w:val="24"/>
        </w:rPr>
        <w:t xml:space="preserve">to narrow in as the study of problems funnels towards solutions. </w:t>
      </w:r>
      <w:r w:rsidR="0022245B" w:rsidRPr="007C61D2">
        <w:rPr>
          <w:rFonts w:ascii="Garamond" w:eastAsia="Times New Roman" w:hAnsi="Garamond" w:cs="Times New Roman"/>
          <w:sz w:val="24"/>
          <w:szCs w:val="24"/>
        </w:rPr>
        <w:t>Following the thread of decertification</w:t>
      </w:r>
      <w:r w:rsidR="00AB2F05" w:rsidRPr="007C61D2">
        <w:rPr>
          <w:rFonts w:ascii="Garamond" w:eastAsia="Times New Roman" w:hAnsi="Garamond" w:cs="Times New Roman"/>
          <w:sz w:val="24"/>
          <w:szCs w:val="24"/>
        </w:rPr>
        <w:t xml:space="preserve"> </w:t>
      </w:r>
      <w:r w:rsidR="0022245B" w:rsidRPr="007C61D2">
        <w:rPr>
          <w:rFonts w:ascii="Garamond" w:eastAsia="Times New Roman" w:hAnsi="Garamond" w:cs="Times New Roman"/>
          <w:sz w:val="24"/>
          <w:szCs w:val="24"/>
        </w:rPr>
        <w:t xml:space="preserve">takes us to four clusters of issues. </w:t>
      </w:r>
      <w:r w:rsidR="00AB2F05" w:rsidRPr="007C61D2">
        <w:rPr>
          <w:rFonts w:ascii="Garamond" w:eastAsia="Times New Roman" w:hAnsi="Garamond" w:cs="Times New Roman"/>
          <w:sz w:val="24"/>
          <w:szCs w:val="24"/>
        </w:rPr>
        <w:t>O</w:t>
      </w:r>
      <w:r w:rsidR="00922F40" w:rsidRPr="007C61D2">
        <w:rPr>
          <w:rFonts w:ascii="Garamond" w:eastAsia="Times New Roman" w:hAnsi="Garamond" w:cs="Times New Roman"/>
          <w:sz w:val="24"/>
          <w:szCs w:val="24"/>
        </w:rPr>
        <w:t xml:space="preserve">ne </w:t>
      </w:r>
      <w:r w:rsidR="006B3393" w:rsidRPr="007C61D2">
        <w:rPr>
          <w:rFonts w:ascii="Garamond" w:eastAsia="Times New Roman" w:hAnsi="Garamond" w:cs="Times New Roman"/>
          <w:sz w:val="24"/>
          <w:szCs w:val="24"/>
        </w:rPr>
        <w:t xml:space="preserve">is </w:t>
      </w:r>
      <w:r w:rsidR="00922F40" w:rsidRPr="007C61D2">
        <w:rPr>
          <w:rFonts w:ascii="Garamond" w:eastAsia="Times New Roman" w:hAnsi="Garamond" w:cs="Times New Roman"/>
          <w:sz w:val="24"/>
          <w:szCs w:val="24"/>
        </w:rPr>
        <w:t xml:space="preserve">the emotional investments, anxieties, hopes, and </w:t>
      </w:r>
      <w:r w:rsidR="00D34BC9" w:rsidRPr="007C61D2">
        <w:rPr>
          <w:rFonts w:ascii="Garamond" w:eastAsia="Times New Roman" w:hAnsi="Garamond" w:cs="Times New Roman"/>
          <w:sz w:val="24"/>
          <w:szCs w:val="24"/>
        </w:rPr>
        <w:t>(</w:t>
      </w:r>
      <w:r w:rsidR="00DA3457" w:rsidRPr="007C61D2">
        <w:rPr>
          <w:rFonts w:ascii="Garamond" w:eastAsia="Times New Roman" w:hAnsi="Garamond" w:cs="Times New Roman"/>
          <w:sz w:val="24"/>
          <w:szCs w:val="24"/>
        </w:rPr>
        <w:t>occasionally</w:t>
      </w:r>
      <w:r w:rsidR="00D34BC9" w:rsidRPr="007C61D2">
        <w:rPr>
          <w:rFonts w:ascii="Garamond" w:eastAsia="Times New Roman" w:hAnsi="Garamond" w:cs="Times New Roman"/>
          <w:sz w:val="24"/>
          <w:szCs w:val="24"/>
        </w:rPr>
        <w:t>)</w:t>
      </w:r>
      <w:r w:rsidR="00DA3457" w:rsidRPr="007C61D2">
        <w:rPr>
          <w:rFonts w:ascii="Garamond" w:eastAsia="Times New Roman" w:hAnsi="Garamond" w:cs="Times New Roman"/>
          <w:sz w:val="24"/>
          <w:szCs w:val="24"/>
        </w:rPr>
        <w:t xml:space="preserve"> </w:t>
      </w:r>
      <w:r w:rsidR="00922F40" w:rsidRPr="007C61D2">
        <w:rPr>
          <w:rFonts w:ascii="Garamond" w:eastAsia="Times New Roman" w:hAnsi="Garamond" w:cs="Times New Roman"/>
          <w:sz w:val="24"/>
          <w:szCs w:val="24"/>
        </w:rPr>
        <w:t xml:space="preserve">pleasures </w:t>
      </w:r>
      <w:r w:rsidR="007B778A" w:rsidRPr="007C61D2">
        <w:rPr>
          <w:rFonts w:ascii="Garamond" w:eastAsia="Times New Roman" w:hAnsi="Garamond" w:cs="Times New Roman"/>
          <w:sz w:val="24"/>
          <w:szCs w:val="24"/>
        </w:rPr>
        <w:t xml:space="preserve">triggered by </w:t>
      </w:r>
      <w:r w:rsidR="00922F40" w:rsidRPr="007C61D2">
        <w:rPr>
          <w:rFonts w:ascii="Garamond" w:eastAsia="Times New Roman" w:hAnsi="Garamond" w:cs="Times New Roman"/>
          <w:sz w:val="24"/>
          <w:szCs w:val="24"/>
        </w:rPr>
        <w:t>talk of gender-based law reform</w:t>
      </w:r>
      <w:r w:rsidR="00AB2F05" w:rsidRPr="007C61D2">
        <w:rPr>
          <w:rFonts w:ascii="Garamond" w:eastAsia="Times New Roman" w:hAnsi="Garamond" w:cs="Times New Roman"/>
          <w:sz w:val="24"/>
          <w:szCs w:val="24"/>
        </w:rPr>
        <w:t xml:space="preserve"> as Peel and Newman (this issue) </w:t>
      </w:r>
      <w:r w:rsidR="00775760" w:rsidRPr="007C61D2">
        <w:rPr>
          <w:rFonts w:ascii="Garamond" w:eastAsia="Times New Roman" w:hAnsi="Garamond" w:cs="Times New Roman"/>
          <w:sz w:val="24"/>
          <w:szCs w:val="24"/>
        </w:rPr>
        <w:t xml:space="preserve">also </w:t>
      </w:r>
      <w:r w:rsidR="00AB2F05" w:rsidRPr="007C61D2">
        <w:rPr>
          <w:rFonts w:ascii="Garamond" w:eastAsia="Times New Roman" w:hAnsi="Garamond" w:cs="Times New Roman"/>
          <w:sz w:val="24"/>
          <w:szCs w:val="24"/>
        </w:rPr>
        <w:t>explore</w:t>
      </w:r>
      <w:r w:rsidR="00922F40" w:rsidRPr="007C61D2">
        <w:rPr>
          <w:rFonts w:ascii="Garamond" w:eastAsia="Times New Roman" w:hAnsi="Garamond" w:cs="Times New Roman"/>
          <w:sz w:val="24"/>
          <w:szCs w:val="24"/>
        </w:rPr>
        <w:t xml:space="preserve">. Another </w:t>
      </w:r>
      <w:r w:rsidR="00C16BD7" w:rsidRPr="007C61D2">
        <w:rPr>
          <w:rFonts w:ascii="Garamond" w:eastAsia="Times New Roman" w:hAnsi="Garamond" w:cs="Times New Roman"/>
          <w:sz w:val="24"/>
          <w:szCs w:val="24"/>
        </w:rPr>
        <w:t xml:space="preserve">concerns </w:t>
      </w:r>
      <w:r w:rsidR="00922F40" w:rsidRPr="007C61D2">
        <w:rPr>
          <w:rFonts w:ascii="Garamond" w:eastAsia="Times New Roman" w:hAnsi="Garamond" w:cs="Times New Roman"/>
          <w:sz w:val="24"/>
          <w:szCs w:val="24"/>
        </w:rPr>
        <w:t xml:space="preserve">the principles for deciding how </w:t>
      </w:r>
      <w:r w:rsidR="00DA3457" w:rsidRPr="007C61D2">
        <w:rPr>
          <w:rFonts w:ascii="Garamond" w:eastAsia="Times New Roman" w:hAnsi="Garamond" w:cs="Times New Roman"/>
          <w:sz w:val="24"/>
          <w:szCs w:val="24"/>
        </w:rPr>
        <w:t xml:space="preserve">the British government might </w:t>
      </w:r>
      <w:r w:rsidR="00922F40" w:rsidRPr="007C61D2">
        <w:rPr>
          <w:rFonts w:ascii="Garamond" w:eastAsia="Times New Roman" w:hAnsi="Garamond" w:cs="Times New Roman"/>
          <w:sz w:val="24"/>
          <w:szCs w:val="24"/>
        </w:rPr>
        <w:t>act</w:t>
      </w:r>
      <w:r w:rsidR="00EF6952" w:rsidRPr="007C61D2">
        <w:rPr>
          <w:rFonts w:ascii="Garamond" w:eastAsia="Times New Roman" w:hAnsi="Garamond" w:cs="Times New Roman"/>
          <w:sz w:val="24"/>
          <w:szCs w:val="24"/>
        </w:rPr>
        <w:t>. I</w:t>
      </w:r>
      <w:r w:rsidR="00922F40" w:rsidRPr="007C61D2">
        <w:rPr>
          <w:rFonts w:ascii="Garamond" w:eastAsia="Times New Roman" w:hAnsi="Garamond" w:cs="Times New Roman"/>
          <w:sz w:val="24"/>
          <w:szCs w:val="24"/>
        </w:rPr>
        <w:t xml:space="preserve">f every part of state </w:t>
      </w:r>
      <w:r w:rsidR="00507C0F" w:rsidRPr="007C61D2">
        <w:rPr>
          <w:rFonts w:ascii="Garamond" w:eastAsia="Times New Roman" w:hAnsi="Garamond" w:cs="Times New Roman"/>
          <w:sz w:val="24"/>
          <w:szCs w:val="24"/>
        </w:rPr>
        <w:t xml:space="preserve">law that references </w:t>
      </w:r>
      <w:r w:rsidR="00DA3457" w:rsidRPr="007C61D2">
        <w:rPr>
          <w:rFonts w:ascii="Garamond" w:eastAsia="Times New Roman" w:hAnsi="Garamond" w:cs="Times New Roman"/>
          <w:sz w:val="24"/>
          <w:szCs w:val="24"/>
        </w:rPr>
        <w:t>sex</w:t>
      </w:r>
      <w:r w:rsidR="00460790" w:rsidRPr="007C61D2">
        <w:rPr>
          <w:rFonts w:ascii="Garamond" w:eastAsia="Times New Roman" w:hAnsi="Garamond" w:cs="Times New Roman"/>
          <w:sz w:val="24"/>
          <w:szCs w:val="24"/>
        </w:rPr>
        <w:t xml:space="preserve"> or</w:t>
      </w:r>
      <w:r w:rsidR="00DA3457" w:rsidRPr="007C61D2">
        <w:rPr>
          <w:rFonts w:ascii="Garamond" w:eastAsia="Times New Roman" w:hAnsi="Garamond" w:cs="Times New Roman"/>
          <w:sz w:val="24"/>
          <w:szCs w:val="24"/>
        </w:rPr>
        <w:t xml:space="preserve"> gender </w:t>
      </w:r>
      <w:r w:rsidR="00507C0F" w:rsidRPr="007C61D2">
        <w:rPr>
          <w:rFonts w:ascii="Garamond" w:eastAsia="Times New Roman" w:hAnsi="Garamond" w:cs="Times New Roman"/>
          <w:sz w:val="24"/>
          <w:szCs w:val="24"/>
        </w:rPr>
        <w:t xml:space="preserve">status (implicitly or explicitly) requires </w:t>
      </w:r>
      <w:r w:rsidR="008F4F39" w:rsidRPr="007C61D2">
        <w:rPr>
          <w:rFonts w:ascii="Garamond" w:eastAsia="Times New Roman" w:hAnsi="Garamond" w:cs="Times New Roman"/>
          <w:sz w:val="24"/>
          <w:szCs w:val="24"/>
        </w:rPr>
        <w:t xml:space="preserve">revisiting </w:t>
      </w:r>
      <w:r w:rsidR="008D4F09" w:rsidRPr="007C61D2">
        <w:rPr>
          <w:rFonts w:ascii="Garamond" w:eastAsia="Times New Roman" w:hAnsi="Garamond" w:cs="Times New Roman"/>
          <w:sz w:val="24"/>
          <w:szCs w:val="24"/>
        </w:rPr>
        <w:t xml:space="preserve">and probably revision, </w:t>
      </w:r>
      <w:r w:rsidR="00922F40" w:rsidRPr="007C61D2">
        <w:rPr>
          <w:rFonts w:ascii="Garamond" w:eastAsia="Times New Roman" w:hAnsi="Garamond" w:cs="Times New Roman"/>
          <w:sz w:val="24"/>
          <w:szCs w:val="24"/>
        </w:rPr>
        <w:t xml:space="preserve">how should these </w:t>
      </w:r>
      <w:r w:rsidR="008F4F39" w:rsidRPr="007C61D2">
        <w:rPr>
          <w:rFonts w:ascii="Garamond" w:eastAsia="Times New Roman" w:hAnsi="Garamond" w:cs="Times New Roman"/>
          <w:sz w:val="24"/>
          <w:szCs w:val="24"/>
        </w:rPr>
        <w:t xml:space="preserve">revisions </w:t>
      </w:r>
      <w:r w:rsidR="00922F40" w:rsidRPr="007C61D2">
        <w:rPr>
          <w:rFonts w:ascii="Garamond" w:eastAsia="Times New Roman" w:hAnsi="Garamond" w:cs="Times New Roman"/>
          <w:sz w:val="24"/>
          <w:szCs w:val="24"/>
        </w:rPr>
        <w:t xml:space="preserve">be made? </w:t>
      </w:r>
      <w:r w:rsidR="00DA3457" w:rsidRPr="007C61D2">
        <w:rPr>
          <w:rFonts w:ascii="Garamond" w:eastAsia="Times New Roman" w:hAnsi="Garamond" w:cs="Times New Roman"/>
          <w:sz w:val="24"/>
          <w:szCs w:val="24"/>
        </w:rPr>
        <w:t xml:space="preserve">What </w:t>
      </w:r>
      <w:r w:rsidR="00460790" w:rsidRPr="007C61D2">
        <w:rPr>
          <w:rFonts w:ascii="Garamond" w:eastAsia="Times New Roman" w:hAnsi="Garamond" w:cs="Times New Roman"/>
          <w:sz w:val="24"/>
          <w:szCs w:val="24"/>
        </w:rPr>
        <w:t xml:space="preserve">choices should be made </w:t>
      </w:r>
      <w:r w:rsidR="004A4715" w:rsidRPr="007C61D2">
        <w:rPr>
          <w:rFonts w:ascii="Garamond" w:eastAsia="Times New Roman" w:hAnsi="Garamond" w:cs="Times New Roman"/>
          <w:sz w:val="24"/>
          <w:szCs w:val="24"/>
        </w:rPr>
        <w:t xml:space="preserve">so that </w:t>
      </w:r>
      <w:r w:rsidR="00DA3457" w:rsidRPr="007C61D2">
        <w:rPr>
          <w:rFonts w:ascii="Garamond" w:eastAsia="Times New Roman" w:hAnsi="Garamond" w:cs="Times New Roman"/>
          <w:sz w:val="24"/>
          <w:szCs w:val="24"/>
        </w:rPr>
        <w:t xml:space="preserve">a wider progressive politics of welfare, anti-poverty, environmentalism, </w:t>
      </w:r>
      <w:r w:rsidR="00460790" w:rsidRPr="007C61D2">
        <w:rPr>
          <w:rFonts w:ascii="Garamond" w:eastAsia="Times New Roman" w:hAnsi="Garamond" w:cs="Times New Roman"/>
          <w:sz w:val="24"/>
          <w:szCs w:val="24"/>
        </w:rPr>
        <w:t xml:space="preserve">cooperation, care, internationalism, </w:t>
      </w:r>
      <w:r w:rsidR="00DA3457" w:rsidRPr="007C61D2">
        <w:rPr>
          <w:rFonts w:ascii="Garamond" w:eastAsia="Times New Roman" w:hAnsi="Garamond" w:cs="Times New Roman"/>
          <w:sz w:val="24"/>
          <w:szCs w:val="24"/>
        </w:rPr>
        <w:t xml:space="preserve">and anti-racism </w:t>
      </w:r>
      <w:r w:rsidR="004A4715" w:rsidRPr="007C61D2">
        <w:rPr>
          <w:rFonts w:ascii="Garamond" w:eastAsia="Times New Roman" w:hAnsi="Garamond" w:cs="Times New Roman"/>
          <w:sz w:val="24"/>
          <w:szCs w:val="24"/>
        </w:rPr>
        <w:t xml:space="preserve">is embedded </w:t>
      </w:r>
      <w:r w:rsidR="00DA3457" w:rsidRPr="007C61D2">
        <w:rPr>
          <w:rFonts w:ascii="Garamond" w:eastAsia="Times New Roman" w:hAnsi="Garamond" w:cs="Times New Roman"/>
          <w:sz w:val="24"/>
          <w:szCs w:val="24"/>
        </w:rPr>
        <w:t xml:space="preserve">within these reforms? </w:t>
      </w:r>
      <w:r w:rsidR="00747596" w:rsidRPr="007C61D2">
        <w:rPr>
          <w:rFonts w:ascii="Garamond" w:eastAsia="Times New Roman" w:hAnsi="Garamond" w:cs="Times New Roman"/>
          <w:sz w:val="24"/>
          <w:szCs w:val="24"/>
        </w:rPr>
        <w:t xml:space="preserve">This question takes us to </w:t>
      </w:r>
      <w:r w:rsidR="00114602" w:rsidRPr="007C61D2">
        <w:rPr>
          <w:rFonts w:ascii="Garamond" w:eastAsia="Times New Roman" w:hAnsi="Garamond" w:cs="Times New Roman"/>
          <w:sz w:val="24"/>
          <w:szCs w:val="24"/>
        </w:rPr>
        <w:t>much longer and wider debates about what can be accomplished</w:t>
      </w:r>
      <w:r w:rsidR="005A461F" w:rsidRPr="007C61D2">
        <w:rPr>
          <w:rFonts w:ascii="Garamond" w:eastAsia="Times New Roman" w:hAnsi="Garamond" w:cs="Times New Roman"/>
          <w:sz w:val="24"/>
          <w:szCs w:val="24"/>
        </w:rPr>
        <w:t>,</w:t>
      </w:r>
      <w:r w:rsidR="00114602" w:rsidRPr="007C61D2">
        <w:rPr>
          <w:rFonts w:ascii="Garamond" w:eastAsia="Times New Roman" w:hAnsi="Garamond" w:cs="Times New Roman"/>
          <w:sz w:val="24"/>
          <w:szCs w:val="24"/>
        </w:rPr>
        <w:t xml:space="preserve"> politically and legally</w:t>
      </w:r>
      <w:r w:rsidR="005A461F" w:rsidRPr="007C61D2">
        <w:rPr>
          <w:rFonts w:ascii="Garamond" w:eastAsia="Times New Roman" w:hAnsi="Garamond" w:cs="Times New Roman"/>
          <w:sz w:val="24"/>
          <w:szCs w:val="24"/>
        </w:rPr>
        <w:t>,</w:t>
      </w:r>
      <w:r w:rsidR="00114602" w:rsidRPr="007C61D2">
        <w:rPr>
          <w:rFonts w:ascii="Garamond" w:eastAsia="Times New Roman" w:hAnsi="Garamond" w:cs="Times New Roman"/>
          <w:sz w:val="24"/>
          <w:szCs w:val="24"/>
        </w:rPr>
        <w:t xml:space="preserve"> within the evolving frameworks of liberal </w:t>
      </w:r>
      <w:r w:rsidR="00460790" w:rsidRPr="007C61D2">
        <w:rPr>
          <w:rFonts w:ascii="Garamond" w:eastAsia="Times New Roman" w:hAnsi="Garamond" w:cs="Times New Roman"/>
          <w:sz w:val="24"/>
          <w:szCs w:val="24"/>
        </w:rPr>
        <w:t>nation-</w:t>
      </w:r>
      <w:r w:rsidR="00114602" w:rsidRPr="007C61D2">
        <w:rPr>
          <w:rFonts w:ascii="Garamond" w:eastAsia="Times New Roman" w:hAnsi="Garamond" w:cs="Times New Roman"/>
          <w:sz w:val="24"/>
          <w:szCs w:val="24"/>
        </w:rPr>
        <w:t>state capitalism</w:t>
      </w:r>
      <w:r w:rsidR="00775760" w:rsidRPr="007C61D2">
        <w:rPr>
          <w:rFonts w:ascii="Garamond" w:eastAsia="Times New Roman" w:hAnsi="Garamond" w:cs="Times New Roman"/>
          <w:sz w:val="24"/>
          <w:szCs w:val="24"/>
        </w:rPr>
        <w:t xml:space="preserve"> (see also Manji, this issue)</w:t>
      </w:r>
      <w:r w:rsidR="00114602" w:rsidRPr="007C61D2">
        <w:rPr>
          <w:rFonts w:ascii="Garamond" w:eastAsia="Times New Roman" w:hAnsi="Garamond" w:cs="Times New Roman"/>
          <w:sz w:val="24"/>
          <w:szCs w:val="24"/>
        </w:rPr>
        <w:t xml:space="preserve">. </w:t>
      </w:r>
      <w:r w:rsidR="005734F0" w:rsidRPr="007C61D2">
        <w:rPr>
          <w:rFonts w:ascii="Garamond" w:eastAsia="Times New Roman" w:hAnsi="Garamond" w:cs="Times New Roman"/>
          <w:sz w:val="24"/>
          <w:szCs w:val="24"/>
        </w:rPr>
        <w:t xml:space="preserve">A </w:t>
      </w:r>
      <w:r w:rsidR="00922F40" w:rsidRPr="007C61D2">
        <w:rPr>
          <w:rFonts w:ascii="Garamond" w:eastAsia="Times New Roman" w:hAnsi="Garamond" w:cs="Times New Roman"/>
          <w:sz w:val="24"/>
          <w:szCs w:val="24"/>
        </w:rPr>
        <w:t xml:space="preserve">third </w:t>
      </w:r>
      <w:r w:rsidR="00AB5449" w:rsidRPr="007C61D2">
        <w:rPr>
          <w:rFonts w:ascii="Garamond" w:eastAsia="Times New Roman" w:hAnsi="Garamond" w:cs="Times New Roman"/>
          <w:sz w:val="24"/>
          <w:szCs w:val="24"/>
        </w:rPr>
        <w:t>cluster</w:t>
      </w:r>
      <w:r w:rsidR="00922F40" w:rsidRPr="007C61D2">
        <w:rPr>
          <w:rFonts w:ascii="Garamond" w:eastAsia="Times New Roman" w:hAnsi="Garamond" w:cs="Times New Roman"/>
          <w:sz w:val="24"/>
          <w:szCs w:val="24"/>
        </w:rPr>
        <w:t xml:space="preserve"> </w:t>
      </w:r>
      <w:r w:rsidR="004A4715" w:rsidRPr="007C61D2">
        <w:rPr>
          <w:rFonts w:ascii="Garamond" w:eastAsia="Times New Roman" w:hAnsi="Garamond" w:cs="Times New Roman"/>
          <w:sz w:val="24"/>
          <w:szCs w:val="24"/>
        </w:rPr>
        <w:t xml:space="preserve">of issues </w:t>
      </w:r>
      <w:r w:rsidR="00922F40" w:rsidRPr="007C61D2">
        <w:rPr>
          <w:rFonts w:ascii="Garamond" w:eastAsia="Times New Roman" w:hAnsi="Garamond" w:cs="Times New Roman"/>
          <w:sz w:val="24"/>
          <w:szCs w:val="24"/>
        </w:rPr>
        <w:t xml:space="preserve">relates to </w:t>
      </w:r>
      <w:r w:rsidR="00747596" w:rsidRPr="007C61D2">
        <w:rPr>
          <w:rFonts w:ascii="Garamond" w:eastAsia="Times New Roman" w:hAnsi="Garamond" w:cs="Times New Roman"/>
          <w:sz w:val="24"/>
          <w:szCs w:val="24"/>
        </w:rPr>
        <w:t xml:space="preserve">governance techniques, including </w:t>
      </w:r>
      <w:r w:rsidR="0022245B" w:rsidRPr="007C61D2">
        <w:rPr>
          <w:rFonts w:ascii="Garamond" w:eastAsia="Times New Roman" w:hAnsi="Garamond" w:cs="Times New Roman"/>
          <w:sz w:val="24"/>
          <w:szCs w:val="24"/>
        </w:rPr>
        <w:t xml:space="preserve">of statutory law-making (Grabham, this issue), and </w:t>
      </w:r>
      <w:r w:rsidR="00507C0F" w:rsidRPr="007C61D2">
        <w:rPr>
          <w:rFonts w:ascii="Garamond" w:eastAsia="Times New Roman" w:hAnsi="Garamond" w:cs="Times New Roman"/>
          <w:sz w:val="24"/>
          <w:szCs w:val="24"/>
        </w:rPr>
        <w:t xml:space="preserve">to </w:t>
      </w:r>
      <w:r w:rsidR="00460790" w:rsidRPr="007C61D2">
        <w:rPr>
          <w:rFonts w:ascii="Garamond" w:eastAsia="Times New Roman" w:hAnsi="Garamond" w:cs="Times New Roman"/>
          <w:sz w:val="24"/>
          <w:szCs w:val="24"/>
        </w:rPr>
        <w:t xml:space="preserve">how people and agencies make sense of </w:t>
      </w:r>
      <w:r w:rsidR="00493581" w:rsidRPr="007C61D2">
        <w:rPr>
          <w:rFonts w:ascii="Garamond" w:eastAsia="Times New Roman" w:hAnsi="Garamond" w:cs="Times New Roman"/>
          <w:sz w:val="24"/>
          <w:szCs w:val="24"/>
        </w:rPr>
        <w:t xml:space="preserve">law. Asking </w:t>
      </w:r>
      <w:r w:rsidR="004A4715" w:rsidRPr="007C61D2">
        <w:rPr>
          <w:rFonts w:ascii="Garamond" w:eastAsia="Times New Roman" w:hAnsi="Garamond" w:cs="Times New Roman"/>
          <w:sz w:val="24"/>
          <w:szCs w:val="24"/>
        </w:rPr>
        <w:t xml:space="preserve">the members and staff of equality </w:t>
      </w:r>
      <w:r w:rsidR="00460790" w:rsidRPr="007C61D2">
        <w:rPr>
          <w:rFonts w:ascii="Garamond" w:eastAsia="Times New Roman" w:hAnsi="Garamond" w:cs="Times New Roman"/>
          <w:sz w:val="24"/>
          <w:szCs w:val="24"/>
        </w:rPr>
        <w:t xml:space="preserve">agencies, NGOs, </w:t>
      </w:r>
      <w:r w:rsidR="00AB5449" w:rsidRPr="007C61D2">
        <w:rPr>
          <w:rFonts w:ascii="Garamond" w:eastAsia="Times New Roman" w:hAnsi="Garamond" w:cs="Times New Roman"/>
          <w:sz w:val="24"/>
          <w:szCs w:val="24"/>
        </w:rPr>
        <w:t xml:space="preserve">trade </w:t>
      </w:r>
      <w:r w:rsidR="00460790" w:rsidRPr="007C61D2">
        <w:rPr>
          <w:rFonts w:ascii="Garamond" w:eastAsia="Times New Roman" w:hAnsi="Garamond" w:cs="Times New Roman"/>
          <w:sz w:val="24"/>
          <w:szCs w:val="24"/>
        </w:rPr>
        <w:t xml:space="preserve">unions, </w:t>
      </w:r>
      <w:r w:rsidR="004A4715" w:rsidRPr="007C61D2">
        <w:rPr>
          <w:rFonts w:ascii="Garamond" w:eastAsia="Times New Roman" w:hAnsi="Garamond" w:cs="Times New Roman"/>
          <w:sz w:val="24"/>
          <w:szCs w:val="24"/>
        </w:rPr>
        <w:t xml:space="preserve">governmental bodies </w:t>
      </w:r>
      <w:r w:rsidR="00460790" w:rsidRPr="007C61D2">
        <w:rPr>
          <w:rFonts w:ascii="Garamond" w:eastAsia="Times New Roman" w:hAnsi="Garamond" w:cs="Times New Roman"/>
          <w:sz w:val="24"/>
          <w:szCs w:val="24"/>
        </w:rPr>
        <w:t xml:space="preserve">and wider publics </w:t>
      </w:r>
      <w:r w:rsidR="00493581" w:rsidRPr="007C61D2">
        <w:rPr>
          <w:rFonts w:ascii="Garamond" w:eastAsia="Times New Roman" w:hAnsi="Garamond" w:cs="Times New Roman"/>
          <w:sz w:val="24"/>
          <w:szCs w:val="24"/>
        </w:rPr>
        <w:t xml:space="preserve">about decertification brings their views and usages of law </w:t>
      </w:r>
      <w:r w:rsidR="00493581" w:rsidRPr="007C61D2">
        <w:rPr>
          <w:rFonts w:ascii="Garamond" w:eastAsia="Times New Roman" w:hAnsi="Garamond" w:cs="Times New Roman"/>
          <w:i/>
          <w:iCs/>
          <w:sz w:val="24"/>
          <w:szCs w:val="24"/>
        </w:rPr>
        <w:t>as it is</w:t>
      </w:r>
      <w:r w:rsidR="00460790" w:rsidRPr="007C61D2">
        <w:rPr>
          <w:rFonts w:ascii="Garamond" w:eastAsia="Times New Roman" w:hAnsi="Garamond" w:cs="Times New Roman"/>
          <w:i/>
          <w:iCs/>
          <w:sz w:val="24"/>
          <w:szCs w:val="24"/>
        </w:rPr>
        <w:t xml:space="preserve"> </w:t>
      </w:r>
      <w:r w:rsidR="00460790" w:rsidRPr="007C61D2">
        <w:rPr>
          <w:rFonts w:ascii="Garamond" w:eastAsia="Times New Roman" w:hAnsi="Garamond" w:cs="Times New Roman"/>
          <w:sz w:val="24"/>
          <w:szCs w:val="24"/>
        </w:rPr>
        <w:t>to the fore</w:t>
      </w:r>
      <w:r w:rsidR="00493581" w:rsidRPr="007C61D2">
        <w:rPr>
          <w:rFonts w:ascii="Garamond" w:eastAsia="Times New Roman" w:hAnsi="Garamond" w:cs="Times New Roman"/>
          <w:sz w:val="24"/>
          <w:szCs w:val="24"/>
        </w:rPr>
        <w:t xml:space="preserve">. </w:t>
      </w:r>
      <w:r w:rsidR="0022245B" w:rsidRPr="007C61D2">
        <w:rPr>
          <w:rFonts w:ascii="Garamond" w:eastAsia="Times New Roman" w:hAnsi="Garamond" w:cs="Times New Roman"/>
          <w:sz w:val="24"/>
          <w:szCs w:val="24"/>
        </w:rPr>
        <w:t xml:space="preserve">While </w:t>
      </w:r>
      <w:r w:rsidR="00493581" w:rsidRPr="007C61D2">
        <w:rPr>
          <w:rFonts w:ascii="Garamond" w:eastAsia="Times New Roman" w:hAnsi="Garamond" w:cs="Times New Roman"/>
          <w:sz w:val="24"/>
          <w:szCs w:val="24"/>
        </w:rPr>
        <w:t xml:space="preserve">this </w:t>
      </w:r>
      <w:r w:rsidR="00460790" w:rsidRPr="007C61D2">
        <w:rPr>
          <w:rFonts w:ascii="Garamond" w:eastAsia="Times New Roman" w:hAnsi="Garamond" w:cs="Times New Roman"/>
          <w:sz w:val="24"/>
          <w:szCs w:val="24"/>
        </w:rPr>
        <w:t xml:space="preserve">foregrounds the take-up and comprehension of </w:t>
      </w:r>
      <w:r w:rsidR="00493581" w:rsidRPr="00D41005">
        <w:rPr>
          <w:rFonts w:ascii="Garamond" w:eastAsia="Times New Roman" w:hAnsi="Garamond" w:cs="Times New Roman"/>
          <w:i/>
          <w:iCs/>
          <w:sz w:val="24"/>
          <w:szCs w:val="24"/>
        </w:rPr>
        <w:t>state</w:t>
      </w:r>
      <w:r w:rsidR="00493581" w:rsidRPr="007C61D2">
        <w:rPr>
          <w:rFonts w:ascii="Garamond" w:eastAsia="Times New Roman" w:hAnsi="Garamond" w:cs="Times New Roman"/>
          <w:sz w:val="24"/>
          <w:szCs w:val="24"/>
        </w:rPr>
        <w:t xml:space="preserve"> law</w:t>
      </w:r>
      <w:r w:rsidR="00542FA8">
        <w:rPr>
          <w:rFonts w:ascii="Garamond" w:eastAsia="Times New Roman" w:hAnsi="Garamond" w:cs="Times New Roman"/>
          <w:sz w:val="24"/>
          <w:szCs w:val="24"/>
        </w:rPr>
        <w:t>,</w:t>
      </w:r>
      <w:r w:rsidR="00493581" w:rsidRPr="007C61D2">
        <w:rPr>
          <w:rFonts w:ascii="Garamond" w:eastAsia="Times New Roman" w:hAnsi="Garamond" w:cs="Times New Roman"/>
          <w:sz w:val="24"/>
          <w:szCs w:val="24"/>
        </w:rPr>
        <w:t xml:space="preserve"> </w:t>
      </w:r>
      <w:r w:rsidR="00460790" w:rsidRPr="007C61D2">
        <w:rPr>
          <w:rFonts w:ascii="Garamond" w:eastAsia="Times New Roman" w:hAnsi="Garamond" w:cs="Times New Roman"/>
          <w:sz w:val="24"/>
          <w:szCs w:val="24"/>
        </w:rPr>
        <w:t xml:space="preserve">equally important for our research is </w:t>
      </w:r>
      <w:r w:rsidR="00D34BC9" w:rsidRPr="007C61D2">
        <w:rPr>
          <w:rFonts w:ascii="Garamond" w:eastAsia="Times New Roman" w:hAnsi="Garamond" w:cs="Times New Roman"/>
          <w:sz w:val="24"/>
          <w:szCs w:val="24"/>
        </w:rPr>
        <w:t>state law</w:t>
      </w:r>
      <w:r w:rsidR="005A461F" w:rsidRPr="007C61D2">
        <w:rPr>
          <w:rFonts w:ascii="Garamond" w:eastAsia="Times New Roman" w:hAnsi="Garamond" w:cs="Times New Roman"/>
          <w:sz w:val="24"/>
          <w:szCs w:val="24"/>
        </w:rPr>
        <w:t>’s</w:t>
      </w:r>
      <w:r w:rsidR="00D34BC9" w:rsidRPr="007C61D2">
        <w:rPr>
          <w:rFonts w:ascii="Garamond" w:eastAsia="Times New Roman" w:hAnsi="Garamond" w:cs="Times New Roman"/>
          <w:sz w:val="24"/>
          <w:szCs w:val="24"/>
        </w:rPr>
        <w:t xml:space="preserve"> </w:t>
      </w:r>
      <w:r w:rsidR="00542FA8">
        <w:rPr>
          <w:rFonts w:ascii="Garamond" w:eastAsia="Times New Roman" w:hAnsi="Garamond" w:cs="Times New Roman"/>
          <w:sz w:val="24"/>
          <w:szCs w:val="24"/>
        </w:rPr>
        <w:t xml:space="preserve">ongoing and evolving </w:t>
      </w:r>
      <w:r w:rsidR="00AB5449" w:rsidRPr="007C61D2">
        <w:rPr>
          <w:rFonts w:ascii="Garamond" w:eastAsia="Times New Roman" w:hAnsi="Garamond" w:cs="Times New Roman"/>
          <w:sz w:val="24"/>
          <w:szCs w:val="24"/>
        </w:rPr>
        <w:t xml:space="preserve">relationship to </w:t>
      </w:r>
      <w:r w:rsidR="00493581" w:rsidRPr="007C61D2">
        <w:rPr>
          <w:rFonts w:ascii="Garamond" w:eastAsia="Times New Roman" w:hAnsi="Garamond" w:cs="Times New Roman"/>
          <w:sz w:val="24"/>
          <w:szCs w:val="24"/>
        </w:rPr>
        <w:t>organisational and community rules and norms</w:t>
      </w:r>
      <w:r w:rsidR="00D34BC9" w:rsidRPr="007C61D2">
        <w:rPr>
          <w:rFonts w:ascii="Garamond" w:eastAsia="Times New Roman" w:hAnsi="Garamond" w:cs="Times New Roman"/>
          <w:sz w:val="24"/>
          <w:szCs w:val="24"/>
        </w:rPr>
        <w:t xml:space="preserve"> (e.g., Merry 1988)</w:t>
      </w:r>
      <w:r w:rsidR="00493581" w:rsidRPr="007C61D2">
        <w:rPr>
          <w:rFonts w:ascii="Garamond" w:eastAsia="Times New Roman" w:hAnsi="Garamond" w:cs="Times New Roman"/>
          <w:sz w:val="24"/>
          <w:szCs w:val="24"/>
        </w:rPr>
        <w:t xml:space="preserve">. </w:t>
      </w:r>
      <w:r w:rsidR="00DA3457" w:rsidRPr="007C61D2">
        <w:rPr>
          <w:rFonts w:ascii="Garamond" w:eastAsia="Times New Roman" w:hAnsi="Garamond" w:cs="Times New Roman"/>
          <w:sz w:val="24"/>
          <w:szCs w:val="24"/>
        </w:rPr>
        <w:t xml:space="preserve">For instance, many </w:t>
      </w:r>
      <w:r w:rsidR="00493581" w:rsidRPr="007C61D2">
        <w:rPr>
          <w:rFonts w:ascii="Garamond" w:eastAsia="Times New Roman" w:hAnsi="Garamond" w:cs="Times New Roman"/>
          <w:sz w:val="24"/>
          <w:szCs w:val="24"/>
        </w:rPr>
        <w:t xml:space="preserve">employers and service providers </w:t>
      </w:r>
      <w:r w:rsidR="004A4715" w:rsidRPr="007C61D2">
        <w:rPr>
          <w:rFonts w:ascii="Garamond" w:eastAsia="Times New Roman" w:hAnsi="Garamond" w:cs="Times New Roman"/>
          <w:sz w:val="24"/>
          <w:szCs w:val="24"/>
        </w:rPr>
        <w:t xml:space="preserve">now </w:t>
      </w:r>
      <w:r w:rsidR="00493581" w:rsidRPr="007C61D2">
        <w:rPr>
          <w:rFonts w:ascii="Garamond" w:eastAsia="Times New Roman" w:hAnsi="Garamond" w:cs="Times New Roman"/>
          <w:sz w:val="24"/>
          <w:szCs w:val="24"/>
        </w:rPr>
        <w:t xml:space="preserve">seek to implement a </w:t>
      </w:r>
      <w:r w:rsidR="00C50666" w:rsidRPr="007C61D2">
        <w:rPr>
          <w:rFonts w:ascii="Garamond" w:eastAsia="Times New Roman" w:hAnsi="Garamond" w:cs="Times New Roman"/>
          <w:sz w:val="24"/>
          <w:szCs w:val="24"/>
        </w:rPr>
        <w:t>“</w:t>
      </w:r>
      <w:r w:rsidR="00493581" w:rsidRPr="007C61D2">
        <w:rPr>
          <w:rFonts w:ascii="Garamond" w:eastAsia="Times New Roman" w:hAnsi="Garamond" w:cs="Times New Roman"/>
          <w:sz w:val="24"/>
          <w:szCs w:val="24"/>
        </w:rPr>
        <w:t xml:space="preserve">gender </w:t>
      </w:r>
      <w:r w:rsidR="00C50666" w:rsidRPr="007C61D2">
        <w:rPr>
          <w:rFonts w:ascii="Garamond" w:eastAsia="Times New Roman" w:hAnsi="Garamond" w:cs="Times New Roman"/>
          <w:sz w:val="24"/>
          <w:szCs w:val="24"/>
        </w:rPr>
        <w:t xml:space="preserve">as </w:t>
      </w:r>
      <w:r w:rsidR="00493581" w:rsidRPr="007C61D2">
        <w:rPr>
          <w:rFonts w:ascii="Garamond" w:eastAsia="Times New Roman" w:hAnsi="Garamond" w:cs="Times New Roman"/>
          <w:sz w:val="24"/>
          <w:szCs w:val="24"/>
        </w:rPr>
        <w:t>diversity</w:t>
      </w:r>
      <w:r w:rsidR="00C50666" w:rsidRPr="007C61D2">
        <w:rPr>
          <w:rFonts w:ascii="Garamond" w:eastAsia="Times New Roman" w:hAnsi="Garamond" w:cs="Times New Roman"/>
          <w:sz w:val="24"/>
          <w:szCs w:val="24"/>
        </w:rPr>
        <w:t>”</w:t>
      </w:r>
      <w:r w:rsidR="00493581" w:rsidRPr="007C61D2">
        <w:rPr>
          <w:rFonts w:ascii="Garamond" w:eastAsia="Times New Roman" w:hAnsi="Garamond" w:cs="Times New Roman"/>
          <w:sz w:val="24"/>
          <w:szCs w:val="24"/>
        </w:rPr>
        <w:t xml:space="preserve"> approach in the </w:t>
      </w:r>
      <w:r w:rsidR="00DA3457" w:rsidRPr="007C61D2">
        <w:rPr>
          <w:rFonts w:ascii="Garamond" w:eastAsia="Times New Roman" w:hAnsi="Garamond" w:cs="Times New Roman"/>
          <w:sz w:val="24"/>
          <w:szCs w:val="24"/>
        </w:rPr>
        <w:t xml:space="preserve">registration </w:t>
      </w:r>
      <w:r w:rsidR="00493581" w:rsidRPr="007C61D2">
        <w:rPr>
          <w:rFonts w:ascii="Garamond" w:eastAsia="Times New Roman" w:hAnsi="Garamond" w:cs="Times New Roman"/>
          <w:sz w:val="24"/>
          <w:szCs w:val="24"/>
        </w:rPr>
        <w:t xml:space="preserve">forms and pronouns they use. </w:t>
      </w:r>
      <w:r w:rsidR="0022245B" w:rsidRPr="007C61D2">
        <w:rPr>
          <w:rFonts w:ascii="Garamond" w:eastAsia="Times New Roman" w:hAnsi="Garamond" w:cs="Times New Roman"/>
          <w:sz w:val="24"/>
          <w:szCs w:val="24"/>
        </w:rPr>
        <w:t xml:space="preserve">Flora Renz (this issue) explores how some girls’ schools now welcome people </w:t>
      </w:r>
      <w:r w:rsidR="00D34BC9" w:rsidRPr="007C61D2">
        <w:rPr>
          <w:rFonts w:ascii="Garamond" w:eastAsia="Times New Roman" w:hAnsi="Garamond" w:cs="Times New Roman"/>
          <w:sz w:val="24"/>
          <w:szCs w:val="24"/>
        </w:rPr>
        <w:t xml:space="preserve">with other </w:t>
      </w:r>
      <w:r w:rsidR="0022245B" w:rsidRPr="007C61D2">
        <w:rPr>
          <w:rFonts w:ascii="Garamond" w:eastAsia="Times New Roman" w:hAnsi="Garamond" w:cs="Times New Roman"/>
          <w:sz w:val="24"/>
          <w:szCs w:val="24"/>
        </w:rPr>
        <w:t>gender</w:t>
      </w:r>
      <w:r w:rsidR="00507C0F" w:rsidRPr="007C61D2">
        <w:rPr>
          <w:rFonts w:ascii="Garamond" w:eastAsia="Times New Roman" w:hAnsi="Garamond" w:cs="Times New Roman"/>
          <w:sz w:val="24"/>
          <w:szCs w:val="24"/>
        </w:rPr>
        <w:t xml:space="preserve"> identities</w:t>
      </w:r>
      <w:r w:rsidR="0022245B" w:rsidRPr="007C61D2">
        <w:rPr>
          <w:rFonts w:ascii="Garamond" w:eastAsia="Times New Roman" w:hAnsi="Garamond" w:cs="Times New Roman"/>
          <w:sz w:val="24"/>
          <w:szCs w:val="24"/>
        </w:rPr>
        <w:t xml:space="preserve"> </w:t>
      </w:r>
      <w:r w:rsidR="00D34BC9" w:rsidRPr="007C61D2">
        <w:rPr>
          <w:rFonts w:ascii="Garamond" w:eastAsia="Times New Roman" w:hAnsi="Garamond" w:cs="Times New Roman"/>
          <w:sz w:val="24"/>
          <w:szCs w:val="24"/>
        </w:rPr>
        <w:t xml:space="preserve">even as they retain their </w:t>
      </w:r>
      <w:r w:rsidR="0022245B" w:rsidRPr="007C61D2">
        <w:rPr>
          <w:rFonts w:ascii="Garamond" w:eastAsia="Times New Roman" w:hAnsi="Garamond" w:cs="Times New Roman"/>
          <w:sz w:val="24"/>
          <w:szCs w:val="24"/>
        </w:rPr>
        <w:t xml:space="preserve">historic single-sex name. </w:t>
      </w:r>
      <w:r w:rsidR="00493581" w:rsidRPr="007C61D2">
        <w:rPr>
          <w:rFonts w:ascii="Garamond" w:eastAsia="Times New Roman" w:hAnsi="Garamond" w:cs="Times New Roman"/>
          <w:sz w:val="24"/>
          <w:szCs w:val="24"/>
        </w:rPr>
        <w:t xml:space="preserve">This is </w:t>
      </w:r>
      <w:r w:rsidR="006B3393" w:rsidRPr="007C61D2">
        <w:rPr>
          <w:rFonts w:ascii="Garamond" w:eastAsia="Times New Roman" w:hAnsi="Garamond" w:cs="Times New Roman"/>
          <w:sz w:val="24"/>
          <w:szCs w:val="24"/>
        </w:rPr>
        <w:t xml:space="preserve">one </w:t>
      </w:r>
      <w:r w:rsidR="00493581" w:rsidRPr="007C61D2">
        <w:rPr>
          <w:rFonts w:ascii="Garamond" w:eastAsia="Times New Roman" w:hAnsi="Garamond" w:cs="Times New Roman"/>
          <w:sz w:val="24"/>
          <w:szCs w:val="24"/>
        </w:rPr>
        <w:t xml:space="preserve">response to what gender is </w:t>
      </w:r>
      <w:r w:rsidR="00460790" w:rsidRPr="007C61D2">
        <w:rPr>
          <w:rFonts w:ascii="Garamond" w:eastAsia="Times New Roman" w:hAnsi="Garamond" w:cs="Times New Roman"/>
          <w:sz w:val="24"/>
          <w:szCs w:val="24"/>
        </w:rPr>
        <w:t xml:space="preserve">identified </w:t>
      </w:r>
      <w:r w:rsidR="00493581" w:rsidRPr="007C61D2">
        <w:rPr>
          <w:rFonts w:ascii="Garamond" w:eastAsia="Times New Roman" w:hAnsi="Garamond" w:cs="Times New Roman"/>
          <w:sz w:val="24"/>
          <w:szCs w:val="24"/>
        </w:rPr>
        <w:t xml:space="preserve">as </w:t>
      </w:r>
      <w:r w:rsidR="0022245B" w:rsidRPr="007C61D2">
        <w:rPr>
          <w:rFonts w:ascii="Garamond" w:eastAsia="Times New Roman" w:hAnsi="Garamond" w:cs="Times New Roman"/>
          <w:sz w:val="24"/>
          <w:szCs w:val="24"/>
        </w:rPr>
        <w:t>coming to mean</w:t>
      </w:r>
      <w:r w:rsidR="00460790" w:rsidRPr="007C61D2">
        <w:rPr>
          <w:rFonts w:ascii="Garamond" w:eastAsia="Times New Roman" w:hAnsi="Garamond" w:cs="Times New Roman"/>
          <w:sz w:val="24"/>
          <w:szCs w:val="24"/>
        </w:rPr>
        <w:t xml:space="preserve"> and be</w:t>
      </w:r>
      <w:r w:rsidR="00AB5449" w:rsidRPr="007C61D2">
        <w:rPr>
          <w:rFonts w:ascii="Garamond" w:eastAsia="Times New Roman" w:hAnsi="Garamond" w:cs="Times New Roman"/>
          <w:sz w:val="24"/>
          <w:szCs w:val="24"/>
        </w:rPr>
        <w:t>. I</w:t>
      </w:r>
      <w:r w:rsidR="0022245B" w:rsidRPr="007C61D2">
        <w:rPr>
          <w:rFonts w:ascii="Garamond" w:eastAsia="Times New Roman" w:hAnsi="Garamond" w:cs="Times New Roman"/>
          <w:sz w:val="24"/>
          <w:szCs w:val="24"/>
        </w:rPr>
        <w:t xml:space="preserve">t is </w:t>
      </w:r>
      <w:r w:rsidR="00493581" w:rsidRPr="007C61D2">
        <w:rPr>
          <w:rFonts w:ascii="Garamond" w:eastAsia="Times New Roman" w:hAnsi="Garamond" w:cs="Times New Roman"/>
          <w:sz w:val="24"/>
          <w:szCs w:val="24"/>
        </w:rPr>
        <w:t xml:space="preserve">not required by state law, </w:t>
      </w:r>
      <w:r w:rsidR="00AB5449" w:rsidRPr="007C61D2">
        <w:rPr>
          <w:rFonts w:ascii="Garamond" w:eastAsia="Times New Roman" w:hAnsi="Garamond" w:cs="Times New Roman"/>
          <w:sz w:val="24"/>
          <w:szCs w:val="24"/>
        </w:rPr>
        <w:t xml:space="preserve">but </w:t>
      </w:r>
      <w:r w:rsidR="00493581" w:rsidRPr="007C61D2">
        <w:rPr>
          <w:rFonts w:ascii="Garamond" w:eastAsia="Times New Roman" w:hAnsi="Garamond" w:cs="Times New Roman"/>
          <w:sz w:val="24"/>
          <w:szCs w:val="24"/>
        </w:rPr>
        <w:t>it is also not prohibited</w:t>
      </w:r>
      <w:r w:rsidR="00C107E6" w:rsidRPr="007C61D2">
        <w:rPr>
          <w:rFonts w:ascii="Garamond" w:eastAsia="Times New Roman" w:hAnsi="Garamond" w:cs="Times New Roman"/>
          <w:sz w:val="24"/>
          <w:szCs w:val="24"/>
        </w:rPr>
        <w:t xml:space="preserve"> by it</w:t>
      </w:r>
      <w:r w:rsidR="00493581" w:rsidRPr="007C61D2">
        <w:rPr>
          <w:rFonts w:ascii="Garamond" w:eastAsia="Times New Roman" w:hAnsi="Garamond" w:cs="Times New Roman"/>
          <w:sz w:val="24"/>
          <w:szCs w:val="24"/>
        </w:rPr>
        <w:t xml:space="preserve">. </w:t>
      </w:r>
    </w:p>
    <w:p w14:paraId="59230AE3" w14:textId="6CB73D71" w:rsidR="00D36C5E" w:rsidRPr="007C61D2" w:rsidRDefault="00D36C5E" w:rsidP="00654B6E">
      <w:pPr>
        <w:shd w:val="clear" w:color="auto" w:fill="FFFFFF"/>
        <w:spacing w:before="240" w:after="120" w:line="360" w:lineRule="auto"/>
        <w:rPr>
          <w:rFonts w:ascii="Garamond" w:eastAsia="Times New Roman" w:hAnsi="Garamond" w:cs="Times New Roman"/>
          <w:sz w:val="24"/>
          <w:szCs w:val="24"/>
        </w:rPr>
      </w:pPr>
      <w:r w:rsidRPr="007C61D2">
        <w:rPr>
          <w:rFonts w:ascii="Garamond" w:eastAsia="Times New Roman" w:hAnsi="Garamond" w:cs="Times New Roman"/>
          <w:sz w:val="24"/>
          <w:szCs w:val="24"/>
        </w:rPr>
        <w:tab/>
      </w:r>
      <w:r w:rsidR="0022245B" w:rsidRPr="007C61D2">
        <w:rPr>
          <w:rFonts w:ascii="Garamond" w:eastAsia="Times New Roman" w:hAnsi="Garamond" w:cs="Times New Roman"/>
          <w:sz w:val="24"/>
          <w:szCs w:val="24"/>
        </w:rPr>
        <w:t xml:space="preserve">Finally, </w:t>
      </w:r>
      <w:r w:rsidR="00DA3457" w:rsidRPr="007C61D2">
        <w:rPr>
          <w:rFonts w:ascii="Garamond" w:eastAsia="Times New Roman" w:hAnsi="Garamond" w:cs="Times New Roman"/>
          <w:sz w:val="24"/>
          <w:szCs w:val="24"/>
        </w:rPr>
        <w:t>this article</w:t>
      </w:r>
      <w:r w:rsidR="0022245B" w:rsidRPr="007C61D2">
        <w:rPr>
          <w:rFonts w:ascii="Garamond" w:eastAsia="Times New Roman" w:hAnsi="Garamond" w:cs="Times New Roman"/>
          <w:sz w:val="24"/>
          <w:szCs w:val="24"/>
        </w:rPr>
        <w:t xml:space="preserve"> has followed the thread of decertification to questions of</w:t>
      </w:r>
      <w:r w:rsidR="00AF3A77" w:rsidRPr="007C61D2">
        <w:rPr>
          <w:rFonts w:ascii="Garamond" w:eastAsia="Times New Roman" w:hAnsi="Garamond" w:cs="Times New Roman"/>
          <w:sz w:val="24"/>
          <w:szCs w:val="24"/>
        </w:rPr>
        <w:t xml:space="preserve"> conceptualisation </w:t>
      </w:r>
      <w:r w:rsidR="0022245B" w:rsidRPr="007C61D2">
        <w:rPr>
          <w:rFonts w:ascii="Garamond" w:eastAsia="Times New Roman" w:hAnsi="Garamond" w:cs="Times New Roman"/>
          <w:sz w:val="24"/>
          <w:szCs w:val="24"/>
        </w:rPr>
        <w:t xml:space="preserve">– of what gender </w:t>
      </w:r>
      <w:r w:rsidR="000F77F4" w:rsidRPr="007C61D2">
        <w:rPr>
          <w:rFonts w:ascii="Garamond" w:eastAsia="Times New Roman" w:hAnsi="Garamond" w:cs="Times New Roman"/>
          <w:i/>
          <w:iCs/>
          <w:sz w:val="24"/>
          <w:szCs w:val="24"/>
        </w:rPr>
        <w:t>is</w:t>
      </w:r>
      <w:r w:rsidR="000F77F4" w:rsidRPr="007C61D2">
        <w:rPr>
          <w:rFonts w:ascii="Garamond" w:eastAsia="Times New Roman" w:hAnsi="Garamond" w:cs="Times New Roman"/>
          <w:sz w:val="24"/>
          <w:szCs w:val="24"/>
        </w:rPr>
        <w:t xml:space="preserve"> </w:t>
      </w:r>
      <w:r w:rsidR="005734F0" w:rsidRPr="007C61D2">
        <w:rPr>
          <w:rFonts w:ascii="Garamond" w:eastAsia="Times New Roman" w:hAnsi="Garamond" w:cs="Times New Roman"/>
          <w:sz w:val="24"/>
          <w:szCs w:val="24"/>
        </w:rPr>
        <w:t xml:space="preserve">given </w:t>
      </w:r>
      <w:r w:rsidR="00D34BC9" w:rsidRPr="007C61D2">
        <w:rPr>
          <w:rFonts w:ascii="Garamond" w:eastAsia="Times New Roman" w:hAnsi="Garamond" w:cs="Times New Roman"/>
          <w:sz w:val="24"/>
          <w:szCs w:val="24"/>
        </w:rPr>
        <w:t xml:space="preserve">the critical value </w:t>
      </w:r>
      <w:r w:rsidR="00067B7B" w:rsidRPr="007C61D2">
        <w:rPr>
          <w:rFonts w:ascii="Garamond" w:eastAsia="Times New Roman" w:hAnsi="Garamond" w:cs="Times New Roman"/>
          <w:sz w:val="24"/>
          <w:szCs w:val="24"/>
        </w:rPr>
        <w:t xml:space="preserve">of </w:t>
      </w:r>
      <w:r w:rsidR="004A4715" w:rsidRPr="007C61D2">
        <w:rPr>
          <w:rFonts w:ascii="Garamond" w:eastAsia="Times New Roman" w:hAnsi="Garamond" w:cs="Times New Roman"/>
          <w:sz w:val="24"/>
          <w:szCs w:val="24"/>
        </w:rPr>
        <w:t xml:space="preserve">pulling it away from the propertied form that is coming to dominate. </w:t>
      </w:r>
      <w:r w:rsidR="00DB1BAA" w:rsidRPr="007C61D2">
        <w:rPr>
          <w:rFonts w:ascii="Garamond" w:eastAsia="Times New Roman" w:hAnsi="Garamond" w:cs="Times New Roman"/>
          <w:sz w:val="24"/>
          <w:szCs w:val="24"/>
        </w:rPr>
        <w:t xml:space="preserve">We do not want to ignore or dismiss </w:t>
      </w:r>
      <w:r w:rsidR="0022245B" w:rsidRPr="007C61D2">
        <w:rPr>
          <w:rFonts w:ascii="Garamond" w:eastAsia="Times New Roman" w:hAnsi="Garamond" w:cs="Times New Roman"/>
          <w:sz w:val="24"/>
          <w:szCs w:val="24"/>
        </w:rPr>
        <w:t xml:space="preserve">the ways </w:t>
      </w:r>
      <w:r w:rsidR="00B209CD" w:rsidRPr="007C61D2">
        <w:rPr>
          <w:rFonts w:ascii="Garamond" w:eastAsia="Times New Roman" w:hAnsi="Garamond" w:cs="Times New Roman"/>
          <w:sz w:val="24"/>
          <w:szCs w:val="24"/>
        </w:rPr>
        <w:t xml:space="preserve">in which </w:t>
      </w:r>
      <w:r w:rsidR="0022245B" w:rsidRPr="007C61D2">
        <w:rPr>
          <w:rFonts w:ascii="Garamond" w:eastAsia="Times New Roman" w:hAnsi="Garamond" w:cs="Times New Roman"/>
          <w:sz w:val="24"/>
          <w:szCs w:val="24"/>
        </w:rPr>
        <w:t xml:space="preserve">people take up gender </w:t>
      </w:r>
      <w:r w:rsidR="00DB1BAA" w:rsidRPr="007C61D2">
        <w:rPr>
          <w:rFonts w:ascii="Garamond" w:eastAsia="Times New Roman" w:hAnsi="Garamond" w:cs="Times New Roman"/>
          <w:sz w:val="24"/>
          <w:szCs w:val="24"/>
        </w:rPr>
        <w:t>and are injured by gender</w:t>
      </w:r>
      <w:r w:rsidR="005734F0" w:rsidRPr="007C61D2">
        <w:rPr>
          <w:rFonts w:ascii="Garamond" w:eastAsia="Times New Roman" w:hAnsi="Garamond" w:cs="Times New Roman"/>
          <w:sz w:val="24"/>
          <w:szCs w:val="24"/>
        </w:rPr>
        <w:t>;</w:t>
      </w:r>
      <w:r w:rsidR="00DB1BAA" w:rsidRPr="007C61D2">
        <w:rPr>
          <w:rFonts w:ascii="Garamond" w:eastAsia="Times New Roman" w:hAnsi="Garamond" w:cs="Times New Roman"/>
          <w:sz w:val="24"/>
          <w:szCs w:val="24"/>
        </w:rPr>
        <w:t xml:space="preserve"> </w:t>
      </w:r>
      <w:r w:rsidR="00AF3A77" w:rsidRPr="007C61D2">
        <w:rPr>
          <w:rFonts w:ascii="Garamond" w:eastAsia="Times New Roman" w:hAnsi="Garamond" w:cs="Times New Roman"/>
          <w:sz w:val="24"/>
          <w:szCs w:val="24"/>
        </w:rPr>
        <w:t xml:space="preserve">recognising </w:t>
      </w:r>
      <w:r w:rsidR="00460790" w:rsidRPr="007C61D2">
        <w:rPr>
          <w:rFonts w:ascii="Garamond" w:eastAsia="Times New Roman" w:hAnsi="Garamond" w:cs="Times New Roman"/>
          <w:sz w:val="24"/>
          <w:szCs w:val="24"/>
        </w:rPr>
        <w:t xml:space="preserve">too that </w:t>
      </w:r>
      <w:r w:rsidR="00DB1BAA" w:rsidRPr="007C61D2">
        <w:rPr>
          <w:rFonts w:ascii="Garamond" w:eastAsia="Times New Roman" w:hAnsi="Garamond" w:cs="Times New Roman"/>
          <w:sz w:val="24"/>
          <w:szCs w:val="24"/>
        </w:rPr>
        <w:t xml:space="preserve">many </w:t>
      </w:r>
      <w:r w:rsidR="000F77F4" w:rsidRPr="007C61D2">
        <w:rPr>
          <w:rFonts w:ascii="Garamond" w:eastAsia="Times New Roman" w:hAnsi="Garamond" w:cs="Times New Roman"/>
          <w:sz w:val="24"/>
          <w:szCs w:val="24"/>
        </w:rPr>
        <w:t xml:space="preserve">people </w:t>
      </w:r>
      <w:r w:rsidR="00DB1BAA" w:rsidRPr="007C61D2">
        <w:rPr>
          <w:rFonts w:ascii="Garamond" w:eastAsia="Times New Roman" w:hAnsi="Garamond" w:cs="Times New Roman"/>
          <w:sz w:val="24"/>
          <w:szCs w:val="24"/>
        </w:rPr>
        <w:t>today</w:t>
      </w:r>
      <w:r w:rsidR="000F77F4" w:rsidRPr="007C61D2">
        <w:rPr>
          <w:rFonts w:ascii="Garamond" w:eastAsia="Times New Roman" w:hAnsi="Garamond" w:cs="Times New Roman"/>
          <w:sz w:val="24"/>
          <w:szCs w:val="24"/>
        </w:rPr>
        <w:t>,</w:t>
      </w:r>
      <w:r w:rsidR="00DB1BAA" w:rsidRPr="007C61D2">
        <w:rPr>
          <w:rFonts w:ascii="Garamond" w:eastAsia="Times New Roman" w:hAnsi="Garamond" w:cs="Times New Roman"/>
          <w:sz w:val="24"/>
          <w:szCs w:val="24"/>
        </w:rPr>
        <w:t xml:space="preserve"> in Britain</w:t>
      </w:r>
      <w:r w:rsidR="000F77F4" w:rsidRPr="007C61D2">
        <w:rPr>
          <w:rFonts w:ascii="Garamond" w:eastAsia="Times New Roman" w:hAnsi="Garamond" w:cs="Times New Roman"/>
          <w:sz w:val="24"/>
          <w:szCs w:val="24"/>
        </w:rPr>
        <w:t xml:space="preserve"> </w:t>
      </w:r>
      <w:r w:rsidR="005734F0" w:rsidRPr="007C61D2">
        <w:rPr>
          <w:rFonts w:ascii="Garamond" w:eastAsia="Times New Roman" w:hAnsi="Garamond" w:cs="Times New Roman"/>
          <w:sz w:val="24"/>
          <w:szCs w:val="24"/>
        </w:rPr>
        <w:t xml:space="preserve">as </w:t>
      </w:r>
      <w:r w:rsidR="000F77F4" w:rsidRPr="007C61D2">
        <w:rPr>
          <w:rFonts w:ascii="Garamond" w:eastAsia="Times New Roman" w:hAnsi="Garamond" w:cs="Times New Roman"/>
          <w:sz w:val="24"/>
          <w:szCs w:val="24"/>
        </w:rPr>
        <w:lastRenderedPageBreak/>
        <w:t>elsewhere,</w:t>
      </w:r>
      <w:r w:rsidR="00DB1BAA" w:rsidRPr="007C61D2">
        <w:rPr>
          <w:rFonts w:ascii="Garamond" w:eastAsia="Times New Roman" w:hAnsi="Garamond" w:cs="Times New Roman"/>
          <w:sz w:val="24"/>
          <w:szCs w:val="24"/>
        </w:rPr>
        <w:t xml:space="preserve"> </w:t>
      </w:r>
      <w:r w:rsidR="00BB6AD9">
        <w:rPr>
          <w:rFonts w:ascii="Garamond" w:eastAsia="Times New Roman" w:hAnsi="Garamond" w:cs="Times New Roman"/>
          <w:sz w:val="24"/>
          <w:szCs w:val="24"/>
        </w:rPr>
        <w:t xml:space="preserve">treat gender as a positive attachment. </w:t>
      </w:r>
      <w:r w:rsidR="004A4715" w:rsidRPr="007C61D2">
        <w:rPr>
          <w:rFonts w:ascii="Garamond" w:eastAsia="Times New Roman" w:hAnsi="Garamond" w:cs="Times New Roman"/>
          <w:sz w:val="24"/>
          <w:szCs w:val="24"/>
        </w:rPr>
        <w:t xml:space="preserve">For some, a </w:t>
      </w:r>
      <w:r w:rsidR="00DB1BAA" w:rsidRPr="007C61D2">
        <w:rPr>
          <w:rFonts w:ascii="Garamond" w:eastAsia="Times New Roman" w:hAnsi="Garamond" w:cs="Times New Roman"/>
          <w:sz w:val="24"/>
          <w:szCs w:val="24"/>
        </w:rPr>
        <w:t xml:space="preserve">paradigm of multicultural gender diversity, </w:t>
      </w:r>
      <w:r w:rsidR="00AB5449" w:rsidRPr="007C61D2">
        <w:rPr>
          <w:rFonts w:ascii="Garamond" w:eastAsia="Times New Roman" w:hAnsi="Garamond" w:cs="Times New Roman"/>
          <w:sz w:val="24"/>
          <w:szCs w:val="24"/>
        </w:rPr>
        <w:t xml:space="preserve">somehow </w:t>
      </w:r>
      <w:r w:rsidR="00DB1BAA" w:rsidRPr="007C61D2">
        <w:rPr>
          <w:rFonts w:ascii="Garamond" w:eastAsia="Times New Roman" w:hAnsi="Garamond" w:cs="Times New Roman"/>
          <w:sz w:val="24"/>
          <w:szCs w:val="24"/>
        </w:rPr>
        <w:t>divorced from relations of power</w:t>
      </w:r>
      <w:r w:rsidR="006B3393" w:rsidRPr="007C61D2">
        <w:rPr>
          <w:rFonts w:ascii="Garamond" w:eastAsia="Times New Roman" w:hAnsi="Garamond" w:cs="Times New Roman"/>
          <w:sz w:val="24"/>
          <w:szCs w:val="24"/>
        </w:rPr>
        <w:t xml:space="preserve">, </w:t>
      </w:r>
      <w:r w:rsidR="00BB6AD9">
        <w:rPr>
          <w:rFonts w:ascii="Garamond" w:eastAsia="Times New Roman" w:hAnsi="Garamond" w:cs="Times New Roman"/>
          <w:sz w:val="24"/>
          <w:szCs w:val="24"/>
        </w:rPr>
        <w:t xml:space="preserve">provides a major </w:t>
      </w:r>
      <w:r w:rsidR="00067B7B" w:rsidRPr="007C61D2">
        <w:rPr>
          <w:rFonts w:ascii="Garamond" w:eastAsia="Times New Roman" w:hAnsi="Garamond" w:cs="Times New Roman"/>
          <w:sz w:val="24"/>
          <w:szCs w:val="24"/>
        </w:rPr>
        <w:t>political</w:t>
      </w:r>
      <w:r w:rsidR="00460790" w:rsidRPr="007C61D2">
        <w:rPr>
          <w:rFonts w:ascii="Garamond" w:eastAsia="Times New Roman" w:hAnsi="Garamond" w:cs="Times New Roman"/>
          <w:sz w:val="24"/>
          <w:szCs w:val="24"/>
        </w:rPr>
        <w:t xml:space="preserve"> </w:t>
      </w:r>
      <w:r w:rsidR="00DB1BAA" w:rsidRPr="007C61D2">
        <w:rPr>
          <w:rFonts w:ascii="Garamond" w:eastAsia="Times New Roman" w:hAnsi="Garamond" w:cs="Times New Roman"/>
          <w:sz w:val="24"/>
          <w:szCs w:val="24"/>
        </w:rPr>
        <w:t>aspiration</w:t>
      </w:r>
      <w:r w:rsidR="00AB5449" w:rsidRPr="007C61D2">
        <w:rPr>
          <w:rFonts w:ascii="Garamond" w:eastAsia="Times New Roman" w:hAnsi="Garamond" w:cs="Times New Roman"/>
          <w:sz w:val="24"/>
          <w:szCs w:val="24"/>
        </w:rPr>
        <w:t xml:space="preserve">. Yet, </w:t>
      </w:r>
      <w:r w:rsidR="00AB2F05" w:rsidRPr="007C61D2">
        <w:rPr>
          <w:rFonts w:ascii="Garamond" w:eastAsia="Times New Roman" w:hAnsi="Garamond" w:cs="Times New Roman"/>
          <w:sz w:val="24"/>
          <w:szCs w:val="24"/>
        </w:rPr>
        <w:t xml:space="preserve">its posing requires more discussion about what </w:t>
      </w:r>
      <w:r w:rsidR="00451A98">
        <w:rPr>
          <w:rFonts w:ascii="Garamond" w:eastAsia="Times New Roman" w:hAnsi="Garamond" w:cs="Times New Roman"/>
          <w:sz w:val="24"/>
          <w:szCs w:val="24"/>
        </w:rPr>
        <w:t xml:space="preserve">such a </w:t>
      </w:r>
      <w:r w:rsidR="00AB2F05" w:rsidRPr="007C61D2">
        <w:rPr>
          <w:rFonts w:ascii="Garamond" w:eastAsia="Times New Roman" w:hAnsi="Garamond" w:cs="Times New Roman"/>
          <w:sz w:val="24"/>
          <w:szCs w:val="24"/>
        </w:rPr>
        <w:t xml:space="preserve">gender </w:t>
      </w:r>
      <w:r w:rsidR="00451A98">
        <w:rPr>
          <w:rFonts w:ascii="Garamond" w:eastAsia="Times New Roman" w:hAnsi="Garamond" w:cs="Times New Roman"/>
          <w:sz w:val="24"/>
          <w:szCs w:val="24"/>
        </w:rPr>
        <w:t xml:space="preserve">might </w:t>
      </w:r>
      <w:r w:rsidR="00AB2F05" w:rsidRPr="007C61D2">
        <w:rPr>
          <w:rFonts w:ascii="Garamond" w:eastAsia="Times New Roman" w:hAnsi="Garamond" w:cs="Times New Roman"/>
          <w:sz w:val="24"/>
          <w:szCs w:val="24"/>
        </w:rPr>
        <w:t>mean</w:t>
      </w:r>
      <w:r w:rsidR="00B209CD" w:rsidRPr="007C61D2">
        <w:rPr>
          <w:rFonts w:ascii="Garamond" w:eastAsia="Times New Roman" w:hAnsi="Garamond" w:cs="Times New Roman"/>
          <w:sz w:val="24"/>
          <w:szCs w:val="24"/>
        </w:rPr>
        <w:t>.</w:t>
      </w:r>
      <w:r w:rsidR="00DB1BAA" w:rsidRPr="007C61D2">
        <w:rPr>
          <w:rFonts w:ascii="Garamond" w:eastAsia="Times New Roman" w:hAnsi="Garamond" w:cs="Times New Roman"/>
          <w:sz w:val="24"/>
          <w:szCs w:val="24"/>
        </w:rPr>
        <w:t xml:space="preserve"> </w:t>
      </w:r>
      <w:r w:rsidR="00CF47EE" w:rsidRPr="007C61D2">
        <w:rPr>
          <w:rFonts w:ascii="Garamond" w:eastAsia="Times New Roman" w:hAnsi="Garamond" w:cs="Times New Roman"/>
          <w:sz w:val="24"/>
          <w:szCs w:val="24"/>
        </w:rPr>
        <w:t xml:space="preserve">If </w:t>
      </w:r>
      <w:r w:rsidR="00460790" w:rsidRPr="007C61D2">
        <w:rPr>
          <w:rFonts w:ascii="Garamond" w:eastAsia="Times New Roman" w:hAnsi="Garamond" w:cs="Times New Roman"/>
          <w:sz w:val="24"/>
          <w:szCs w:val="24"/>
        </w:rPr>
        <w:t>gender free</w:t>
      </w:r>
      <w:r w:rsidR="004A4715" w:rsidRPr="007C61D2">
        <w:rPr>
          <w:rFonts w:ascii="Garamond" w:eastAsia="Times New Roman" w:hAnsi="Garamond" w:cs="Times New Roman"/>
          <w:sz w:val="24"/>
          <w:szCs w:val="24"/>
        </w:rPr>
        <w:t>s</w:t>
      </w:r>
      <w:r w:rsidR="00460790" w:rsidRPr="007C61D2">
        <w:rPr>
          <w:rFonts w:ascii="Garamond" w:eastAsia="Times New Roman" w:hAnsi="Garamond" w:cs="Times New Roman"/>
          <w:sz w:val="24"/>
          <w:szCs w:val="24"/>
        </w:rPr>
        <w:t xml:space="preserve"> itself from relations of</w:t>
      </w:r>
      <w:r w:rsidR="00CF47EE" w:rsidRPr="007C61D2">
        <w:rPr>
          <w:rFonts w:ascii="Garamond" w:eastAsia="Times New Roman" w:hAnsi="Garamond" w:cs="Times New Roman"/>
          <w:sz w:val="24"/>
          <w:szCs w:val="24"/>
        </w:rPr>
        <w:t xml:space="preserve"> domination, </w:t>
      </w:r>
      <w:r w:rsidR="008F4B39" w:rsidRPr="007C61D2">
        <w:rPr>
          <w:rFonts w:ascii="Garamond" w:eastAsia="Times New Roman" w:hAnsi="Garamond" w:cs="Times New Roman"/>
          <w:sz w:val="24"/>
          <w:szCs w:val="24"/>
        </w:rPr>
        <w:t xml:space="preserve">does it </w:t>
      </w:r>
      <w:r w:rsidR="00BB6AD9">
        <w:rPr>
          <w:rFonts w:ascii="Garamond" w:eastAsia="Times New Roman" w:hAnsi="Garamond" w:cs="Times New Roman"/>
          <w:sz w:val="24"/>
          <w:szCs w:val="24"/>
        </w:rPr>
        <w:t xml:space="preserve">simply </w:t>
      </w:r>
      <w:r w:rsidR="00775760" w:rsidRPr="007C61D2">
        <w:rPr>
          <w:rFonts w:ascii="Garamond" w:eastAsia="Times New Roman" w:hAnsi="Garamond" w:cs="Times New Roman"/>
          <w:sz w:val="24"/>
          <w:szCs w:val="24"/>
        </w:rPr>
        <w:t>become</w:t>
      </w:r>
      <w:r w:rsidR="00460790" w:rsidRPr="007C61D2">
        <w:rPr>
          <w:rFonts w:ascii="Garamond" w:eastAsia="Times New Roman" w:hAnsi="Garamond" w:cs="Times New Roman"/>
          <w:sz w:val="24"/>
          <w:szCs w:val="24"/>
        </w:rPr>
        <w:t xml:space="preserve"> a stylisation or modality of the self</w:t>
      </w:r>
      <w:r w:rsidR="00775760" w:rsidRPr="007C61D2">
        <w:rPr>
          <w:rFonts w:ascii="Garamond" w:eastAsia="Times New Roman" w:hAnsi="Garamond" w:cs="Times New Roman"/>
          <w:sz w:val="24"/>
          <w:szCs w:val="24"/>
        </w:rPr>
        <w:t xml:space="preserve">? </w:t>
      </w:r>
      <w:r w:rsidR="00974E7E">
        <w:rPr>
          <w:rFonts w:ascii="Garamond" w:eastAsia="Times New Roman" w:hAnsi="Garamond" w:cs="Times New Roman"/>
          <w:sz w:val="24"/>
          <w:szCs w:val="24"/>
        </w:rPr>
        <w:t xml:space="preserve">And </w:t>
      </w:r>
      <w:r w:rsidR="00BB6AD9">
        <w:rPr>
          <w:rFonts w:ascii="Garamond" w:eastAsia="Times New Roman" w:hAnsi="Garamond" w:cs="Times New Roman"/>
          <w:sz w:val="24"/>
          <w:szCs w:val="24"/>
        </w:rPr>
        <w:t xml:space="preserve">does </w:t>
      </w:r>
      <w:r w:rsidR="006B3393" w:rsidRPr="007C61D2">
        <w:rPr>
          <w:rFonts w:ascii="Garamond" w:eastAsia="Times New Roman" w:hAnsi="Garamond" w:cs="Times New Roman"/>
          <w:sz w:val="24"/>
          <w:szCs w:val="24"/>
        </w:rPr>
        <w:t xml:space="preserve">such a depiction </w:t>
      </w:r>
      <w:r w:rsidR="00CF47EE" w:rsidRPr="007C61D2">
        <w:rPr>
          <w:rFonts w:ascii="Garamond" w:eastAsia="Times New Roman" w:hAnsi="Garamond" w:cs="Times New Roman"/>
          <w:sz w:val="24"/>
          <w:szCs w:val="24"/>
        </w:rPr>
        <w:t xml:space="preserve">of gender have any political traction or mileage in the present? </w:t>
      </w:r>
      <w:r w:rsidR="006B3393" w:rsidRPr="007C61D2">
        <w:rPr>
          <w:rFonts w:ascii="Garamond" w:eastAsia="Times New Roman" w:hAnsi="Garamond" w:cs="Times New Roman"/>
          <w:sz w:val="24"/>
          <w:szCs w:val="24"/>
        </w:rPr>
        <w:t xml:space="preserve">FLaG </w:t>
      </w:r>
      <w:r w:rsidR="00CF47EE" w:rsidRPr="007C61D2">
        <w:rPr>
          <w:rFonts w:ascii="Garamond" w:eastAsia="Times New Roman" w:hAnsi="Garamond" w:cs="Times New Roman"/>
          <w:sz w:val="24"/>
          <w:szCs w:val="24"/>
        </w:rPr>
        <w:t>grapple</w:t>
      </w:r>
      <w:r w:rsidR="00A678BF">
        <w:rPr>
          <w:rFonts w:ascii="Garamond" w:eastAsia="Times New Roman" w:hAnsi="Garamond" w:cs="Times New Roman"/>
          <w:sz w:val="24"/>
          <w:szCs w:val="24"/>
        </w:rPr>
        <w:t>s</w:t>
      </w:r>
      <w:r w:rsidR="00CF47EE" w:rsidRPr="007C61D2">
        <w:rPr>
          <w:rFonts w:ascii="Garamond" w:eastAsia="Times New Roman" w:hAnsi="Garamond" w:cs="Times New Roman"/>
          <w:sz w:val="24"/>
          <w:szCs w:val="24"/>
        </w:rPr>
        <w:t xml:space="preserve"> with these </w:t>
      </w:r>
      <w:r w:rsidR="00AB5449" w:rsidRPr="007C61D2">
        <w:rPr>
          <w:rFonts w:ascii="Garamond" w:eastAsia="Times New Roman" w:hAnsi="Garamond" w:cs="Times New Roman"/>
          <w:sz w:val="24"/>
          <w:szCs w:val="24"/>
        </w:rPr>
        <w:t>questions</w:t>
      </w:r>
      <w:r w:rsidR="00CF47EE" w:rsidRPr="007C61D2">
        <w:rPr>
          <w:rFonts w:ascii="Garamond" w:eastAsia="Times New Roman" w:hAnsi="Garamond" w:cs="Times New Roman"/>
          <w:sz w:val="24"/>
          <w:szCs w:val="24"/>
        </w:rPr>
        <w:t xml:space="preserve">. </w:t>
      </w:r>
      <w:r w:rsidR="008F4B39" w:rsidRPr="007C61D2">
        <w:rPr>
          <w:rFonts w:ascii="Garamond" w:eastAsia="Times New Roman" w:hAnsi="Garamond" w:cs="Times New Roman"/>
          <w:sz w:val="24"/>
          <w:szCs w:val="24"/>
        </w:rPr>
        <w:t xml:space="preserve">At the same time, while </w:t>
      </w:r>
      <w:r w:rsidR="005770D6" w:rsidRPr="007C61D2">
        <w:rPr>
          <w:rFonts w:ascii="Garamond" w:eastAsia="Times New Roman" w:hAnsi="Garamond" w:cs="Times New Roman"/>
          <w:sz w:val="24"/>
          <w:szCs w:val="24"/>
        </w:rPr>
        <w:t>g</w:t>
      </w:r>
      <w:r w:rsidR="00460790" w:rsidRPr="007C61D2">
        <w:rPr>
          <w:rFonts w:ascii="Garamond" w:eastAsia="Times New Roman" w:hAnsi="Garamond" w:cs="Times New Roman"/>
          <w:sz w:val="24"/>
          <w:szCs w:val="24"/>
        </w:rPr>
        <w:t xml:space="preserve">ender continues to shape and structure society </w:t>
      </w:r>
      <w:r w:rsidR="00AB2F05" w:rsidRPr="007C61D2">
        <w:rPr>
          <w:rFonts w:ascii="Garamond" w:eastAsia="Times New Roman" w:hAnsi="Garamond" w:cs="Times New Roman"/>
          <w:sz w:val="24"/>
          <w:szCs w:val="24"/>
        </w:rPr>
        <w:t xml:space="preserve">and social relations </w:t>
      </w:r>
      <w:r w:rsidR="00460790" w:rsidRPr="007C61D2">
        <w:rPr>
          <w:rFonts w:ascii="Garamond" w:eastAsia="Times New Roman" w:hAnsi="Garamond" w:cs="Times New Roman"/>
          <w:sz w:val="24"/>
          <w:szCs w:val="24"/>
        </w:rPr>
        <w:t>in</w:t>
      </w:r>
      <w:r w:rsidR="00E343F3">
        <w:rPr>
          <w:rFonts w:ascii="Garamond" w:eastAsia="Times New Roman" w:hAnsi="Garamond" w:cs="Times New Roman"/>
          <w:sz w:val="24"/>
          <w:szCs w:val="24"/>
        </w:rPr>
        <w:t xml:space="preserve"> </w:t>
      </w:r>
      <w:r w:rsidR="00460790" w:rsidRPr="007C61D2">
        <w:rPr>
          <w:rFonts w:ascii="Garamond" w:eastAsia="Times New Roman" w:hAnsi="Garamond" w:cs="Times New Roman"/>
          <w:sz w:val="24"/>
          <w:szCs w:val="24"/>
        </w:rPr>
        <w:t>unequal and androcentric ways</w:t>
      </w:r>
      <w:r w:rsidR="005770D6" w:rsidRPr="007C61D2">
        <w:rPr>
          <w:rFonts w:ascii="Garamond" w:eastAsia="Times New Roman" w:hAnsi="Garamond" w:cs="Times New Roman"/>
          <w:sz w:val="24"/>
          <w:szCs w:val="24"/>
        </w:rPr>
        <w:t>, critical move</w:t>
      </w:r>
      <w:r w:rsidR="00CF47EE" w:rsidRPr="007C61D2">
        <w:rPr>
          <w:rFonts w:ascii="Garamond" w:eastAsia="Times New Roman" w:hAnsi="Garamond" w:cs="Times New Roman"/>
          <w:sz w:val="24"/>
          <w:szCs w:val="24"/>
        </w:rPr>
        <w:t>s</w:t>
      </w:r>
      <w:r w:rsidR="005770D6" w:rsidRPr="007C61D2">
        <w:rPr>
          <w:rFonts w:ascii="Garamond" w:eastAsia="Times New Roman" w:hAnsi="Garamond" w:cs="Times New Roman"/>
          <w:sz w:val="24"/>
          <w:szCs w:val="24"/>
        </w:rPr>
        <w:t xml:space="preserve"> </w:t>
      </w:r>
      <w:r w:rsidR="00CE4E41" w:rsidRPr="007C61D2">
        <w:rPr>
          <w:rFonts w:ascii="Garamond" w:eastAsia="Times New Roman" w:hAnsi="Garamond" w:cs="Times New Roman"/>
          <w:sz w:val="24"/>
          <w:szCs w:val="24"/>
        </w:rPr>
        <w:t>remain important</w:t>
      </w:r>
      <w:r w:rsidR="005A461F" w:rsidRPr="007C61D2">
        <w:rPr>
          <w:rFonts w:ascii="Garamond" w:eastAsia="Times New Roman" w:hAnsi="Garamond" w:cs="Times New Roman"/>
          <w:sz w:val="24"/>
          <w:szCs w:val="24"/>
        </w:rPr>
        <w:t xml:space="preserve">, </w:t>
      </w:r>
      <w:r w:rsidR="00CF47EE" w:rsidRPr="007C61D2">
        <w:rPr>
          <w:rFonts w:ascii="Garamond" w:eastAsia="Times New Roman" w:hAnsi="Garamond" w:cs="Times New Roman"/>
          <w:sz w:val="24"/>
          <w:szCs w:val="24"/>
        </w:rPr>
        <w:t xml:space="preserve">including those </w:t>
      </w:r>
      <w:r w:rsidR="005770D6" w:rsidRPr="007C61D2">
        <w:rPr>
          <w:rFonts w:ascii="Garamond" w:eastAsia="Times New Roman" w:hAnsi="Garamond" w:cs="Times New Roman"/>
          <w:sz w:val="24"/>
          <w:szCs w:val="24"/>
        </w:rPr>
        <w:t xml:space="preserve">that </w:t>
      </w:r>
      <w:r w:rsidR="00D34BC9" w:rsidRPr="007C61D2">
        <w:rPr>
          <w:rFonts w:ascii="Garamond" w:eastAsia="Times New Roman" w:hAnsi="Garamond" w:cs="Times New Roman"/>
          <w:sz w:val="24"/>
          <w:szCs w:val="24"/>
        </w:rPr>
        <w:t xml:space="preserve">pull gender </w:t>
      </w:r>
      <w:r w:rsidRPr="007C61D2">
        <w:rPr>
          <w:rFonts w:ascii="Garamond" w:eastAsia="Times New Roman" w:hAnsi="Garamond" w:cs="Times New Roman"/>
          <w:sz w:val="24"/>
          <w:szCs w:val="24"/>
        </w:rPr>
        <w:t xml:space="preserve">away from </w:t>
      </w:r>
      <w:r w:rsidR="00CE4E41" w:rsidRPr="007C61D2">
        <w:rPr>
          <w:rFonts w:ascii="Garamond" w:eastAsia="Times New Roman" w:hAnsi="Garamond" w:cs="Times New Roman"/>
          <w:sz w:val="24"/>
          <w:szCs w:val="24"/>
        </w:rPr>
        <w:t xml:space="preserve">being </w:t>
      </w:r>
      <w:r w:rsidR="00DB1BAA" w:rsidRPr="007C61D2">
        <w:rPr>
          <w:rFonts w:ascii="Garamond" w:eastAsia="Times New Roman" w:hAnsi="Garamond" w:cs="Times New Roman"/>
          <w:sz w:val="24"/>
          <w:szCs w:val="24"/>
        </w:rPr>
        <w:t>defined, determined</w:t>
      </w:r>
      <w:r w:rsidR="00AF3A77" w:rsidRPr="007C61D2">
        <w:rPr>
          <w:rFonts w:ascii="Garamond" w:eastAsia="Times New Roman" w:hAnsi="Garamond" w:cs="Times New Roman"/>
          <w:sz w:val="24"/>
          <w:szCs w:val="24"/>
        </w:rPr>
        <w:t>,</w:t>
      </w:r>
      <w:r w:rsidR="00DB1BAA" w:rsidRPr="007C61D2">
        <w:rPr>
          <w:rFonts w:ascii="Garamond" w:eastAsia="Times New Roman" w:hAnsi="Garamond" w:cs="Times New Roman"/>
          <w:sz w:val="24"/>
          <w:szCs w:val="24"/>
        </w:rPr>
        <w:t xml:space="preserve"> and delimited </w:t>
      </w:r>
      <w:r w:rsidR="00CE4E41" w:rsidRPr="007C61D2">
        <w:rPr>
          <w:rFonts w:ascii="Garamond" w:eastAsia="Times New Roman" w:hAnsi="Garamond" w:cs="Times New Roman"/>
          <w:sz w:val="24"/>
          <w:szCs w:val="24"/>
        </w:rPr>
        <w:t xml:space="preserve">by </w:t>
      </w:r>
      <w:r w:rsidR="00DB1BAA" w:rsidRPr="007C61D2">
        <w:rPr>
          <w:rFonts w:ascii="Garamond" w:eastAsia="Times New Roman" w:hAnsi="Garamond" w:cs="Times New Roman"/>
          <w:sz w:val="24"/>
          <w:szCs w:val="24"/>
        </w:rPr>
        <w:t xml:space="preserve">a </w:t>
      </w:r>
      <w:r w:rsidR="00AF3A77" w:rsidRPr="007C61D2">
        <w:rPr>
          <w:rFonts w:ascii="Garamond" w:eastAsia="Times New Roman" w:hAnsi="Garamond" w:cs="Times New Roman"/>
          <w:sz w:val="24"/>
          <w:szCs w:val="24"/>
        </w:rPr>
        <w:t xml:space="preserve">person-centred </w:t>
      </w:r>
      <w:r w:rsidR="00DB1BAA" w:rsidRPr="007C61D2">
        <w:rPr>
          <w:rFonts w:ascii="Garamond" w:eastAsia="Times New Roman" w:hAnsi="Garamond" w:cs="Times New Roman"/>
          <w:sz w:val="24"/>
          <w:szCs w:val="24"/>
        </w:rPr>
        <w:t xml:space="preserve">shape. </w:t>
      </w:r>
      <w:r w:rsidR="00CF47EE" w:rsidRPr="007C61D2">
        <w:rPr>
          <w:rFonts w:ascii="Garamond" w:eastAsia="Times New Roman" w:hAnsi="Garamond" w:cs="Times New Roman"/>
          <w:sz w:val="24"/>
          <w:szCs w:val="24"/>
        </w:rPr>
        <w:t xml:space="preserve">Departure </w:t>
      </w:r>
      <w:r w:rsidR="000F77F4" w:rsidRPr="007C61D2">
        <w:rPr>
          <w:rFonts w:ascii="Garamond" w:eastAsia="Times New Roman" w:hAnsi="Garamond" w:cs="Times New Roman"/>
          <w:sz w:val="24"/>
          <w:szCs w:val="24"/>
        </w:rPr>
        <w:t xml:space="preserve">from treating gender as something that “belongs” to subjects, </w:t>
      </w:r>
      <w:r w:rsidR="005770D6" w:rsidRPr="007C61D2">
        <w:rPr>
          <w:rFonts w:ascii="Garamond" w:eastAsia="Times New Roman" w:hAnsi="Garamond" w:cs="Times New Roman"/>
          <w:sz w:val="24"/>
          <w:szCs w:val="24"/>
        </w:rPr>
        <w:t xml:space="preserve">particularly in </w:t>
      </w:r>
      <w:r w:rsidR="000F77F4" w:rsidRPr="007C61D2">
        <w:rPr>
          <w:rFonts w:ascii="Garamond" w:eastAsia="Times New Roman" w:hAnsi="Garamond" w:cs="Times New Roman"/>
          <w:sz w:val="24"/>
          <w:szCs w:val="24"/>
        </w:rPr>
        <w:t xml:space="preserve">propertied form, </w:t>
      </w:r>
      <w:r w:rsidR="00CF47EE" w:rsidRPr="007C61D2">
        <w:rPr>
          <w:rFonts w:ascii="Garamond" w:eastAsia="Times New Roman" w:hAnsi="Garamond" w:cs="Times New Roman"/>
          <w:sz w:val="24"/>
          <w:szCs w:val="24"/>
        </w:rPr>
        <w:t xml:space="preserve">foregrounds </w:t>
      </w:r>
      <w:r w:rsidR="00DB1BAA" w:rsidRPr="007C61D2">
        <w:rPr>
          <w:rFonts w:ascii="Garamond" w:eastAsia="Times New Roman" w:hAnsi="Garamond" w:cs="Times New Roman"/>
          <w:sz w:val="24"/>
          <w:szCs w:val="24"/>
        </w:rPr>
        <w:t xml:space="preserve">gender </w:t>
      </w:r>
      <w:r w:rsidR="000F77F4" w:rsidRPr="007C61D2">
        <w:rPr>
          <w:rFonts w:ascii="Garamond" w:eastAsia="Times New Roman" w:hAnsi="Garamond" w:cs="Times New Roman"/>
          <w:sz w:val="24"/>
          <w:szCs w:val="24"/>
        </w:rPr>
        <w:t xml:space="preserve">as </w:t>
      </w:r>
      <w:r w:rsidR="00DB1BAA" w:rsidRPr="007C61D2">
        <w:rPr>
          <w:rFonts w:ascii="Garamond" w:eastAsia="Times New Roman" w:hAnsi="Garamond" w:cs="Times New Roman"/>
          <w:sz w:val="24"/>
          <w:szCs w:val="24"/>
        </w:rPr>
        <w:t xml:space="preserve">part of </w:t>
      </w:r>
      <w:r w:rsidR="005770D6" w:rsidRPr="007C61D2">
        <w:rPr>
          <w:rFonts w:ascii="Garamond" w:eastAsia="Times New Roman" w:hAnsi="Garamond" w:cs="Times New Roman"/>
          <w:sz w:val="24"/>
          <w:szCs w:val="24"/>
        </w:rPr>
        <w:t xml:space="preserve">our shared </w:t>
      </w:r>
      <w:r w:rsidR="00DB1BAA" w:rsidRPr="007C61D2">
        <w:rPr>
          <w:rFonts w:ascii="Garamond" w:eastAsia="Times New Roman" w:hAnsi="Garamond" w:cs="Times New Roman"/>
          <w:sz w:val="24"/>
          <w:szCs w:val="24"/>
        </w:rPr>
        <w:t>social conditions</w:t>
      </w:r>
      <w:r w:rsidR="000F77F4" w:rsidRPr="007C61D2">
        <w:rPr>
          <w:rFonts w:ascii="Garamond" w:eastAsia="Times New Roman" w:hAnsi="Garamond" w:cs="Times New Roman"/>
          <w:sz w:val="24"/>
          <w:szCs w:val="24"/>
        </w:rPr>
        <w:t xml:space="preserve">. </w:t>
      </w:r>
      <w:r w:rsidR="005770D6" w:rsidRPr="007C61D2">
        <w:rPr>
          <w:rFonts w:ascii="Garamond" w:eastAsia="Times New Roman" w:hAnsi="Garamond" w:cs="Times New Roman"/>
          <w:sz w:val="24"/>
          <w:szCs w:val="24"/>
        </w:rPr>
        <w:t>P</w:t>
      </w:r>
      <w:r w:rsidR="000F77F4" w:rsidRPr="007C61D2">
        <w:rPr>
          <w:rFonts w:ascii="Garamond" w:eastAsia="Times New Roman" w:hAnsi="Garamond" w:cs="Times New Roman"/>
          <w:sz w:val="24"/>
          <w:szCs w:val="24"/>
        </w:rPr>
        <w:t>eople are</w:t>
      </w:r>
      <w:r w:rsidR="008F4B39" w:rsidRPr="007C61D2">
        <w:rPr>
          <w:rFonts w:ascii="Garamond" w:eastAsia="Times New Roman" w:hAnsi="Garamond" w:cs="Times New Roman"/>
          <w:sz w:val="24"/>
          <w:szCs w:val="24"/>
        </w:rPr>
        <w:t xml:space="preserve"> </w:t>
      </w:r>
      <w:r w:rsidR="000F77F4" w:rsidRPr="007C61D2">
        <w:rPr>
          <w:rFonts w:ascii="Garamond" w:eastAsia="Times New Roman" w:hAnsi="Garamond" w:cs="Times New Roman"/>
          <w:sz w:val="24"/>
          <w:szCs w:val="24"/>
        </w:rPr>
        <w:t xml:space="preserve">very differently situated </w:t>
      </w:r>
      <w:r w:rsidR="005770D6" w:rsidRPr="007C61D2">
        <w:rPr>
          <w:rFonts w:ascii="Garamond" w:eastAsia="Times New Roman" w:hAnsi="Garamond" w:cs="Times New Roman"/>
          <w:sz w:val="24"/>
          <w:szCs w:val="24"/>
        </w:rPr>
        <w:t xml:space="preserve">in relation to those conditions. But </w:t>
      </w:r>
      <w:r w:rsidR="000F77F4" w:rsidRPr="007C61D2">
        <w:rPr>
          <w:rFonts w:ascii="Garamond" w:eastAsia="Times New Roman" w:hAnsi="Garamond" w:cs="Times New Roman"/>
          <w:sz w:val="24"/>
          <w:szCs w:val="24"/>
        </w:rPr>
        <w:t xml:space="preserve">keeping </w:t>
      </w:r>
      <w:r w:rsidR="005770D6" w:rsidRPr="007C61D2">
        <w:rPr>
          <w:rFonts w:ascii="Garamond" w:eastAsia="Times New Roman" w:hAnsi="Garamond" w:cs="Times New Roman"/>
          <w:sz w:val="24"/>
          <w:szCs w:val="24"/>
        </w:rPr>
        <w:t xml:space="preserve">our attention </w:t>
      </w:r>
      <w:r w:rsidR="006B3393" w:rsidRPr="007C61D2">
        <w:rPr>
          <w:rFonts w:ascii="Garamond" w:eastAsia="Times New Roman" w:hAnsi="Garamond" w:cs="Times New Roman"/>
          <w:sz w:val="24"/>
          <w:szCs w:val="24"/>
        </w:rPr>
        <w:t xml:space="preserve">on </w:t>
      </w:r>
      <w:r w:rsidR="005770D6" w:rsidRPr="007C61D2">
        <w:rPr>
          <w:rFonts w:ascii="Garamond" w:eastAsia="Times New Roman" w:hAnsi="Garamond" w:cs="Times New Roman"/>
          <w:sz w:val="24"/>
          <w:szCs w:val="24"/>
        </w:rPr>
        <w:t xml:space="preserve">the social production of </w:t>
      </w:r>
      <w:r w:rsidR="000F77F4" w:rsidRPr="007C61D2">
        <w:rPr>
          <w:rFonts w:ascii="Garamond" w:eastAsia="Times New Roman" w:hAnsi="Garamond" w:cs="Times New Roman"/>
          <w:sz w:val="24"/>
          <w:szCs w:val="24"/>
        </w:rPr>
        <w:t>gender</w:t>
      </w:r>
      <w:r w:rsidR="00B77541" w:rsidRPr="007C61D2">
        <w:rPr>
          <w:rFonts w:ascii="Garamond" w:eastAsia="Times New Roman" w:hAnsi="Garamond" w:cs="Times New Roman"/>
          <w:sz w:val="24"/>
          <w:szCs w:val="24"/>
        </w:rPr>
        <w:t xml:space="preserve">, we think, </w:t>
      </w:r>
      <w:r w:rsidR="00542FA8">
        <w:rPr>
          <w:rFonts w:ascii="Garamond" w:eastAsia="Times New Roman" w:hAnsi="Garamond" w:cs="Times New Roman"/>
          <w:sz w:val="24"/>
          <w:szCs w:val="24"/>
        </w:rPr>
        <w:t xml:space="preserve">supports </w:t>
      </w:r>
      <w:r w:rsidR="000F77F4" w:rsidRPr="007C61D2">
        <w:rPr>
          <w:rFonts w:ascii="Garamond" w:eastAsia="Times New Roman" w:hAnsi="Garamond" w:cs="Times New Roman"/>
          <w:sz w:val="24"/>
          <w:szCs w:val="24"/>
        </w:rPr>
        <w:t>solidaristic</w:t>
      </w:r>
      <w:r w:rsidR="005734F0" w:rsidRPr="007C61D2">
        <w:rPr>
          <w:rFonts w:ascii="Garamond" w:eastAsia="Times New Roman" w:hAnsi="Garamond" w:cs="Times New Roman"/>
          <w:sz w:val="24"/>
          <w:szCs w:val="24"/>
        </w:rPr>
        <w:t>,</w:t>
      </w:r>
      <w:r w:rsidR="000F77F4" w:rsidRPr="007C61D2">
        <w:rPr>
          <w:rFonts w:ascii="Garamond" w:eastAsia="Times New Roman" w:hAnsi="Garamond" w:cs="Times New Roman"/>
          <w:sz w:val="24"/>
          <w:szCs w:val="24"/>
        </w:rPr>
        <w:t xml:space="preserve"> collective</w:t>
      </w:r>
      <w:r w:rsidR="008F4B39" w:rsidRPr="007C61D2">
        <w:rPr>
          <w:rFonts w:ascii="Garamond" w:eastAsia="Times New Roman" w:hAnsi="Garamond" w:cs="Times New Roman"/>
          <w:sz w:val="24"/>
          <w:szCs w:val="24"/>
        </w:rPr>
        <w:t>,</w:t>
      </w:r>
      <w:r w:rsidR="000F77F4" w:rsidRPr="007C61D2">
        <w:rPr>
          <w:rFonts w:ascii="Garamond" w:eastAsia="Times New Roman" w:hAnsi="Garamond" w:cs="Times New Roman"/>
          <w:sz w:val="24"/>
          <w:szCs w:val="24"/>
        </w:rPr>
        <w:t xml:space="preserve"> </w:t>
      </w:r>
      <w:r w:rsidR="005734F0" w:rsidRPr="007C61D2">
        <w:rPr>
          <w:rFonts w:ascii="Garamond" w:eastAsia="Times New Roman" w:hAnsi="Garamond" w:cs="Times New Roman"/>
          <w:sz w:val="24"/>
          <w:szCs w:val="24"/>
        </w:rPr>
        <w:t xml:space="preserve">and critical </w:t>
      </w:r>
      <w:r w:rsidR="00B77541" w:rsidRPr="007C61D2">
        <w:rPr>
          <w:rFonts w:ascii="Garamond" w:eastAsia="Times New Roman" w:hAnsi="Garamond" w:cs="Times New Roman"/>
          <w:sz w:val="24"/>
          <w:szCs w:val="24"/>
        </w:rPr>
        <w:t xml:space="preserve">responses to </w:t>
      </w:r>
      <w:r w:rsidR="005734F0" w:rsidRPr="007C61D2">
        <w:rPr>
          <w:rFonts w:ascii="Garamond" w:eastAsia="Times New Roman" w:hAnsi="Garamond" w:cs="Times New Roman"/>
          <w:sz w:val="24"/>
          <w:szCs w:val="24"/>
        </w:rPr>
        <w:t>gender</w:t>
      </w:r>
      <w:r w:rsidR="00B77541" w:rsidRPr="007C61D2">
        <w:rPr>
          <w:rFonts w:ascii="Garamond" w:eastAsia="Times New Roman" w:hAnsi="Garamond" w:cs="Times New Roman"/>
          <w:sz w:val="24"/>
          <w:szCs w:val="24"/>
        </w:rPr>
        <w:t xml:space="preserve"> as a powerful and (still) power-allocating differentiation device.</w:t>
      </w:r>
    </w:p>
    <w:p w14:paraId="4C346DE0" w14:textId="77777777" w:rsidR="00654B6E" w:rsidRDefault="00654B6E" w:rsidP="00654B6E">
      <w:pPr>
        <w:spacing w:line="360" w:lineRule="auto"/>
        <w:rPr>
          <w:rFonts w:ascii="Garamond" w:eastAsia="Times New Roman" w:hAnsi="Garamond" w:cs="Times New Roman"/>
          <w:b/>
          <w:sz w:val="24"/>
          <w:szCs w:val="24"/>
        </w:rPr>
      </w:pPr>
    </w:p>
    <w:p w14:paraId="166A8F9A" w14:textId="380FAB89" w:rsidR="00554973" w:rsidRPr="00654B6E" w:rsidRDefault="00554973" w:rsidP="00654B6E">
      <w:pPr>
        <w:pStyle w:val="Heading2"/>
      </w:pPr>
      <w:r w:rsidRPr="00AE1FFF">
        <w:t>References</w:t>
      </w:r>
    </w:p>
    <w:p w14:paraId="02A51AE9" w14:textId="529DBAA5" w:rsidR="00865A89" w:rsidRPr="00AE1FFF" w:rsidRDefault="00865A89" w:rsidP="0054126A">
      <w:pPr>
        <w:pStyle w:val="CommentText"/>
        <w:spacing w:before="120" w:after="120" w:line="360" w:lineRule="auto"/>
        <w:rPr>
          <w:rFonts w:ascii="Garamond" w:eastAsia="Times New Roman" w:hAnsi="Garamond" w:cs="Times New Roman"/>
          <w:color w:val="000000"/>
          <w:sz w:val="24"/>
          <w:szCs w:val="24"/>
          <w:lang w:eastAsia="en-GB"/>
        </w:rPr>
      </w:pPr>
      <w:r w:rsidRPr="00AE1FFF">
        <w:rPr>
          <w:rFonts w:ascii="Garamond" w:hAnsi="Garamond" w:cs="Times New Roman"/>
          <w:color w:val="222222"/>
          <w:sz w:val="24"/>
          <w:szCs w:val="24"/>
          <w:shd w:val="clear" w:color="auto" w:fill="FFFFFF"/>
        </w:rPr>
        <w:t xml:space="preserve">Allen, P. and Childs, S. 2019. “The grit in the oyster? Women’s parliamentary organizations and the substantive representation of women”. </w:t>
      </w:r>
      <w:r w:rsidRPr="00AE1FFF">
        <w:rPr>
          <w:rFonts w:ascii="Garamond" w:hAnsi="Garamond" w:cs="Times New Roman"/>
          <w:i/>
          <w:iCs/>
          <w:color w:val="222222"/>
          <w:sz w:val="24"/>
          <w:szCs w:val="24"/>
          <w:shd w:val="clear" w:color="auto" w:fill="FFFFFF"/>
        </w:rPr>
        <w:t xml:space="preserve">Political </w:t>
      </w:r>
      <w:r w:rsidR="00BB4421" w:rsidRPr="00AE1FFF">
        <w:rPr>
          <w:rFonts w:ascii="Garamond" w:hAnsi="Garamond" w:cs="Times New Roman"/>
          <w:i/>
          <w:iCs/>
          <w:color w:val="222222"/>
          <w:sz w:val="24"/>
          <w:szCs w:val="24"/>
          <w:shd w:val="clear" w:color="auto" w:fill="FFFFFF"/>
        </w:rPr>
        <w:t>S</w:t>
      </w:r>
      <w:r w:rsidRPr="00AE1FFF">
        <w:rPr>
          <w:rFonts w:ascii="Garamond" w:hAnsi="Garamond" w:cs="Times New Roman"/>
          <w:i/>
          <w:iCs/>
          <w:color w:val="222222"/>
          <w:sz w:val="24"/>
          <w:szCs w:val="24"/>
          <w:shd w:val="clear" w:color="auto" w:fill="FFFFFF"/>
        </w:rPr>
        <w:t xml:space="preserve">tudies </w:t>
      </w:r>
      <w:r w:rsidRPr="00AE1FFF">
        <w:rPr>
          <w:rFonts w:ascii="Garamond" w:hAnsi="Garamond" w:cs="Times New Roman"/>
          <w:color w:val="222222"/>
          <w:sz w:val="24"/>
          <w:szCs w:val="24"/>
          <w:shd w:val="clear" w:color="auto" w:fill="FFFFFF"/>
        </w:rPr>
        <w:t>67(3): 618-638.</w:t>
      </w:r>
    </w:p>
    <w:p w14:paraId="005BB330" w14:textId="7AB271B4" w:rsidR="00551848" w:rsidRPr="00AE1FFF" w:rsidRDefault="00551848"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Annesley</w:t>
      </w:r>
      <w:r w:rsidR="00644DD6">
        <w:rPr>
          <w:rFonts w:ascii="Garamond" w:hAnsi="Garamond"/>
          <w:color w:val="000000"/>
        </w:rPr>
        <w:t>, C. and Gains, F. 2010. “</w:t>
      </w:r>
      <w:r w:rsidRPr="00AE1FFF">
        <w:rPr>
          <w:rFonts w:ascii="Garamond" w:hAnsi="Garamond"/>
          <w:color w:val="000000"/>
        </w:rPr>
        <w:t xml:space="preserve">The core executive: </w:t>
      </w:r>
      <w:r w:rsidR="0052088C" w:rsidRPr="00AE1FFF">
        <w:rPr>
          <w:rFonts w:ascii="Garamond" w:hAnsi="Garamond"/>
          <w:color w:val="000000"/>
        </w:rPr>
        <w:t>G</w:t>
      </w:r>
      <w:r w:rsidRPr="00AE1FFF">
        <w:rPr>
          <w:rFonts w:ascii="Garamond" w:hAnsi="Garamond"/>
          <w:color w:val="000000"/>
        </w:rPr>
        <w:t>ender, power and change</w:t>
      </w:r>
      <w:r w:rsidR="00E412A8" w:rsidRPr="00AE1FFF">
        <w:rPr>
          <w:rFonts w:ascii="Garamond" w:hAnsi="Garamond"/>
          <w:color w:val="000000"/>
        </w:rPr>
        <w:t>”</w:t>
      </w:r>
      <w:r w:rsidRPr="00AE1FFF">
        <w:rPr>
          <w:rFonts w:ascii="Garamond" w:hAnsi="Garamond"/>
          <w:color w:val="000000"/>
        </w:rPr>
        <w:t xml:space="preserve">. </w:t>
      </w:r>
      <w:r w:rsidRPr="00AE1FFF">
        <w:rPr>
          <w:rFonts w:ascii="Garamond" w:hAnsi="Garamond"/>
          <w:i/>
          <w:iCs/>
          <w:color w:val="000000"/>
        </w:rPr>
        <w:t>Political Studies</w:t>
      </w:r>
      <w:r w:rsidRPr="00AE1FFF">
        <w:rPr>
          <w:rFonts w:ascii="Garamond" w:hAnsi="Garamond"/>
          <w:color w:val="000000"/>
        </w:rPr>
        <w:t xml:space="preserve"> 58(5): 909-929.</w:t>
      </w:r>
    </w:p>
    <w:p w14:paraId="07A8E129" w14:textId="2A2F319E" w:rsidR="007D450D" w:rsidRPr="00AE1FFF" w:rsidRDefault="007D450D" w:rsidP="00C51CD2">
      <w:pPr>
        <w:pStyle w:val="NormalWeb"/>
        <w:spacing w:before="120" w:beforeAutospacing="0" w:after="120" w:afterAutospacing="0" w:line="360" w:lineRule="auto"/>
        <w:rPr>
          <w:rFonts w:ascii="Garamond" w:hAnsi="Garamond"/>
          <w:color w:val="000000"/>
        </w:rPr>
      </w:pPr>
      <w:r w:rsidRPr="00AE1FFF">
        <w:rPr>
          <w:rFonts w:ascii="Garamond" w:hAnsi="Garamond"/>
        </w:rPr>
        <w:t xml:space="preserve">Anthias, F. 2002. “Beyond feminism and multiculturalism: Locating difference and the politics of location”.  </w:t>
      </w:r>
      <w:r w:rsidRPr="00AE1FFF">
        <w:rPr>
          <w:rFonts w:ascii="Garamond" w:hAnsi="Garamond"/>
          <w:i/>
          <w:iCs/>
        </w:rPr>
        <w:t>Women's Studies International F</w:t>
      </w:r>
      <w:r w:rsidR="00E26FE8" w:rsidRPr="00AE1FFF">
        <w:rPr>
          <w:rFonts w:ascii="Garamond" w:hAnsi="Garamond"/>
          <w:i/>
          <w:iCs/>
        </w:rPr>
        <w:t>orum</w:t>
      </w:r>
      <w:r w:rsidRPr="00AE1FFF">
        <w:rPr>
          <w:rFonts w:ascii="Garamond" w:hAnsi="Garamond"/>
        </w:rPr>
        <w:t xml:space="preserve"> 25(3): 275-286. </w:t>
      </w:r>
      <w:r w:rsidRPr="00AE1FFF">
        <w:rPr>
          <w:rFonts w:ascii="Garamond" w:hAnsi="Garamond"/>
          <w:highlight w:val="green"/>
        </w:rPr>
        <w:t xml:space="preserve">  </w:t>
      </w:r>
    </w:p>
    <w:p w14:paraId="7E5E4120" w14:textId="6E34B069" w:rsidR="0072344F" w:rsidRPr="00AE1FFF" w:rsidRDefault="0072344F" w:rsidP="00C51CD2">
      <w:pPr>
        <w:pStyle w:val="NormalWeb"/>
        <w:spacing w:before="120" w:beforeAutospacing="0" w:after="120" w:afterAutospacing="0" w:line="360" w:lineRule="auto"/>
        <w:rPr>
          <w:rFonts w:ascii="Garamond" w:hAnsi="Garamond"/>
        </w:rPr>
      </w:pPr>
      <w:r w:rsidRPr="00AE1FFF">
        <w:rPr>
          <w:rFonts w:ascii="Garamond" w:hAnsi="Garamond"/>
        </w:rPr>
        <w:t xml:space="preserve">Bailey, S.  2008. “Unmixing for </w:t>
      </w:r>
      <w:r w:rsidR="00E412A8" w:rsidRPr="00AE1FFF">
        <w:rPr>
          <w:rFonts w:ascii="Garamond" w:hAnsi="Garamond"/>
        </w:rPr>
        <w:t>r</w:t>
      </w:r>
      <w:r w:rsidRPr="00AE1FFF">
        <w:rPr>
          <w:rFonts w:ascii="Garamond" w:hAnsi="Garamond"/>
        </w:rPr>
        <w:t xml:space="preserve">ace </w:t>
      </w:r>
      <w:r w:rsidR="00E412A8" w:rsidRPr="00AE1FFF">
        <w:rPr>
          <w:rFonts w:ascii="Garamond" w:hAnsi="Garamond"/>
        </w:rPr>
        <w:t>m</w:t>
      </w:r>
      <w:r w:rsidRPr="00AE1FFF">
        <w:rPr>
          <w:rFonts w:ascii="Garamond" w:hAnsi="Garamond"/>
        </w:rPr>
        <w:t xml:space="preserve">aking in Brazil”.  </w:t>
      </w:r>
      <w:r w:rsidRPr="00AE1FFF">
        <w:rPr>
          <w:rFonts w:ascii="Garamond" w:hAnsi="Garamond"/>
          <w:i/>
        </w:rPr>
        <w:t xml:space="preserve">American Journal of Sociology </w:t>
      </w:r>
      <w:r w:rsidRPr="00AE1FFF">
        <w:rPr>
          <w:rFonts w:ascii="Garamond" w:hAnsi="Garamond"/>
        </w:rPr>
        <w:t>114(3): 577-614.</w:t>
      </w:r>
    </w:p>
    <w:p w14:paraId="0DA593A3" w14:textId="66C403E3" w:rsidR="00C11BA6" w:rsidRPr="00AE1FFF" w:rsidRDefault="00C11BA6" w:rsidP="00C51CD2">
      <w:pPr>
        <w:pStyle w:val="NormalWeb"/>
        <w:spacing w:before="120" w:beforeAutospacing="0" w:after="120" w:afterAutospacing="0" w:line="360" w:lineRule="auto"/>
        <w:rPr>
          <w:rFonts w:ascii="Garamond" w:hAnsi="Garamond"/>
        </w:rPr>
      </w:pPr>
      <w:r w:rsidRPr="00AE1FFF">
        <w:rPr>
          <w:rFonts w:ascii="Garamond" w:hAnsi="Garamond"/>
          <w:color w:val="000000"/>
        </w:rPr>
        <w:t xml:space="preserve">Bailey, S.  and Peria, M. 2010.  “Racial </w:t>
      </w:r>
      <w:r w:rsidR="00E412A8" w:rsidRPr="00AE1FFF">
        <w:rPr>
          <w:rFonts w:ascii="Garamond" w:hAnsi="Garamond"/>
          <w:color w:val="000000"/>
        </w:rPr>
        <w:t>q</w:t>
      </w:r>
      <w:r w:rsidRPr="00AE1FFF">
        <w:rPr>
          <w:rFonts w:ascii="Garamond" w:hAnsi="Garamond"/>
          <w:color w:val="000000"/>
        </w:rPr>
        <w:t xml:space="preserve">uotas and the </w:t>
      </w:r>
      <w:r w:rsidR="00E412A8" w:rsidRPr="00AE1FFF">
        <w:rPr>
          <w:rFonts w:ascii="Garamond" w:hAnsi="Garamond"/>
          <w:color w:val="000000"/>
        </w:rPr>
        <w:t>c</w:t>
      </w:r>
      <w:r w:rsidRPr="00AE1FFF">
        <w:rPr>
          <w:rFonts w:ascii="Garamond" w:hAnsi="Garamond"/>
          <w:color w:val="000000"/>
        </w:rPr>
        <w:t xml:space="preserve">ulture </w:t>
      </w:r>
      <w:r w:rsidR="00E412A8" w:rsidRPr="00AE1FFF">
        <w:rPr>
          <w:rFonts w:ascii="Garamond" w:hAnsi="Garamond"/>
          <w:color w:val="000000"/>
        </w:rPr>
        <w:t>w</w:t>
      </w:r>
      <w:r w:rsidRPr="00AE1FFF">
        <w:rPr>
          <w:rFonts w:ascii="Garamond" w:hAnsi="Garamond"/>
          <w:color w:val="000000"/>
        </w:rPr>
        <w:t xml:space="preserve">ar in Brazilian </w:t>
      </w:r>
      <w:r w:rsidR="00E412A8" w:rsidRPr="00AE1FFF">
        <w:rPr>
          <w:rFonts w:ascii="Garamond" w:hAnsi="Garamond"/>
          <w:color w:val="000000"/>
        </w:rPr>
        <w:t>a</w:t>
      </w:r>
      <w:r w:rsidRPr="00AE1FFF">
        <w:rPr>
          <w:rFonts w:ascii="Garamond" w:hAnsi="Garamond"/>
          <w:color w:val="000000"/>
        </w:rPr>
        <w:t xml:space="preserve">cademia”.  </w:t>
      </w:r>
      <w:r w:rsidRPr="00AE1FFF">
        <w:rPr>
          <w:rFonts w:ascii="Garamond" w:hAnsi="Garamond"/>
          <w:i/>
          <w:iCs/>
        </w:rPr>
        <w:t>Sociology Compass</w:t>
      </w:r>
      <w:r w:rsidRPr="00AE1FFF">
        <w:rPr>
          <w:rFonts w:ascii="Garamond" w:hAnsi="Garamond"/>
        </w:rPr>
        <w:t xml:space="preserve"> 4(8): 592–604.</w:t>
      </w:r>
    </w:p>
    <w:p w14:paraId="5A79FAF3" w14:textId="1E07EB70" w:rsidR="00C53457" w:rsidRPr="00AE1FFF" w:rsidRDefault="00C53457" w:rsidP="00C51CD2">
      <w:pPr>
        <w:pStyle w:val="NormalWeb"/>
        <w:spacing w:before="120" w:beforeAutospacing="0" w:after="120" w:afterAutospacing="0" w:line="360" w:lineRule="auto"/>
        <w:rPr>
          <w:rFonts w:ascii="Garamond" w:hAnsi="Garamond"/>
        </w:rPr>
      </w:pPr>
      <w:r w:rsidRPr="00AE1FFF">
        <w:rPr>
          <w:rFonts w:ascii="Garamond" w:hAnsi="Garamond"/>
        </w:rPr>
        <w:t xml:space="preserve">Barcan, R. 2004. </w:t>
      </w:r>
      <w:r w:rsidRPr="00AE1FFF">
        <w:rPr>
          <w:rFonts w:ascii="Garamond" w:hAnsi="Garamond"/>
          <w:i/>
          <w:iCs/>
        </w:rPr>
        <w:t xml:space="preserve">Nudity: A Cultural Anatomy.  </w:t>
      </w:r>
      <w:r w:rsidRPr="00AE1FFF">
        <w:rPr>
          <w:rFonts w:ascii="Garamond" w:hAnsi="Garamond"/>
        </w:rPr>
        <w:t xml:space="preserve">Oxford: Berg.  </w:t>
      </w:r>
    </w:p>
    <w:p w14:paraId="3087085B" w14:textId="2B1EFD1B" w:rsidR="00551848" w:rsidRPr="00AE1FFF" w:rsidRDefault="00644DD6" w:rsidP="00C51CD2">
      <w:pPr>
        <w:pStyle w:val="NormalWeb"/>
        <w:spacing w:before="120" w:beforeAutospacing="0" w:after="120" w:afterAutospacing="0" w:line="360" w:lineRule="auto"/>
        <w:rPr>
          <w:rFonts w:ascii="Garamond" w:hAnsi="Garamond"/>
        </w:rPr>
      </w:pPr>
      <w:bookmarkStart w:id="11" w:name="_Hlk48678440"/>
      <w:r>
        <w:rPr>
          <w:rFonts w:ascii="Garamond" w:hAnsi="Garamond"/>
        </w:rPr>
        <w:t>Beckwith, K. 2005. “A common language of gender?”</w:t>
      </w:r>
      <w:r w:rsidR="00551848" w:rsidRPr="00AE1FFF">
        <w:rPr>
          <w:rFonts w:ascii="Garamond" w:hAnsi="Garamond"/>
        </w:rPr>
        <w:t xml:space="preserve"> </w:t>
      </w:r>
      <w:r w:rsidR="00551848" w:rsidRPr="00AE1FFF">
        <w:rPr>
          <w:rFonts w:ascii="Garamond" w:hAnsi="Garamond"/>
          <w:i/>
          <w:iCs/>
        </w:rPr>
        <w:t>Politics &amp; Gender</w:t>
      </w:r>
      <w:r w:rsidR="00551848" w:rsidRPr="00AE1FFF">
        <w:rPr>
          <w:rFonts w:ascii="Garamond" w:hAnsi="Garamond"/>
        </w:rPr>
        <w:t xml:space="preserve"> 1</w:t>
      </w:r>
      <w:r w:rsidR="00D82B46" w:rsidRPr="00AE1FFF">
        <w:rPr>
          <w:rFonts w:ascii="Garamond" w:hAnsi="Garamond"/>
        </w:rPr>
        <w:t>(</w:t>
      </w:r>
      <w:r w:rsidR="00551848" w:rsidRPr="00AE1FFF">
        <w:rPr>
          <w:rFonts w:ascii="Garamond" w:hAnsi="Garamond"/>
        </w:rPr>
        <w:t>1): 128-137.</w:t>
      </w:r>
    </w:p>
    <w:p w14:paraId="22EC7D09" w14:textId="07C7F0A6" w:rsidR="00105D86" w:rsidRPr="00AE1FFF" w:rsidRDefault="00105D86"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 xml:space="preserve">Bottomley, A. and Conaghan, J. (eds) 1993.  </w:t>
      </w:r>
      <w:r w:rsidRPr="00AE1FFF">
        <w:rPr>
          <w:rFonts w:ascii="Garamond" w:hAnsi="Garamond" w:cs="Times New Roman"/>
          <w:i/>
          <w:iCs/>
          <w:sz w:val="24"/>
          <w:szCs w:val="24"/>
        </w:rPr>
        <w:t>Feminist Theory and Legal Strategy</w:t>
      </w:r>
      <w:r w:rsidRPr="00AE1FFF">
        <w:rPr>
          <w:rFonts w:ascii="Garamond" w:hAnsi="Garamond" w:cs="Times New Roman"/>
          <w:sz w:val="24"/>
          <w:szCs w:val="24"/>
        </w:rPr>
        <w:t>. Oxford: Blackwell.</w:t>
      </w:r>
    </w:p>
    <w:p w14:paraId="253DBACA" w14:textId="77777777" w:rsidR="00BB4421" w:rsidRPr="00AE1FFF" w:rsidRDefault="00BB4421" w:rsidP="00C51CD2">
      <w:pPr>
        <w:pStyle w:val="CommentText"/>
        <w:spacing w:line="360" w:lineRule="auto"/>
        <w:rPr>
          <w:rFonts w:ascii="Garamond" w:hAnsi="Garamond" w:cs="Times New Roman"/>
          <w:sz w:val="24"/>
          <w:szCs w:val="24"/>
        </w:rPr>
      </w:pPr>
      <w:r w:rsidRPr="00AE1FFF">
        <w:rPr>
          <w:rFonts w:ascii="Garamond" w:hAnsi="Garamond" w:cs="Times New Roman"/>
          <w:sz w:val="24"/>
          <w:szCs w:val="24"/>
        </w:rPr>
        <w:lastRenderedPageBreak/>
        <w:t xml:space="preserve">Braunschweig, L. 2020.  “Abolishing gender registration: A feminist defence”.  </w:t>
      </w:r>
      <w:r w:rsidRPr="00AE1FFF">
        <w:rPr>
          <w:rFonts w:ascii="Garamond" w:hAnsi="Garamond" w:cs="Times New Roman"/>
          <w:i/>
          <w:iCs/>
          <w:sz w:val="24"/>
          <w:szCs w:val="24"/>
        </w:rPr>
        <w:t>International Journal of Gender, Sexuality and Law</w:t>
      </w:r>
      <w:r w:rsidRPr="00AE1FFF">
        <w:rPr>
          <w:rFonts w:ascii="Garamond" w:hAnsi="Garamond" w:cs="Times New Roman"/>
          <w:sz w:val="24"/>
          <w:szCs w:val="24"/>
        </w:rPr>
        <w:t xml:space="preserve"> 1: 76-97.</w:t>
      </w:r>
    </w:p>
    <w:bookmarkEnd w:id="11"/>
    <w:p w14:paraId="7CA526CC" w14:textId="4C7EC52F" w:rsidR="002865C3" w:rsidRPr="00AE1FFF" w:rsidRDefault="00644DD6" w:rsidP="00C51CD2">
      <w:pPr>
        <w:pStyle w:val="NormalWeb"/>
        <w:spacing w:before="120" w:beforeAutospacing="0" w:after="120" w:afterAutospacing="0" w:line="360" w:lineRule="auto"/>
        <w:rPr>
          <w:rFonts w:ascii="Garamond" w:hAnsi="Garamond"/>
          <w:color w:val="000000"/>
        </w:rPr>
      </w:pPr>
      <w:r>
        <w:rPr>
          <w:rFonts w:ascii="Garamond" w:hAnsi="Garamond"/>
          <w:color w:val="000000"/>
        </w:rPr>
        <w:t>Browne, K. 2009. “Womyn’</w:t>
      </w:r>
      <w:r w:rsidR="002865C3" w:rsidRPr="00AE1FFF">
        <w:rPr>
          <w:rFonts w:ascii="Garamond" w:hAnsi="Garamond"/>
          <w:color w:val="000000"/>
        </w:rPr>
        <w:t xml:space="preserve">s </w:t>
      </w:r>
      <w:r w:rsidR="00E412A8" w:rsidRPr="00AE1FFF">
        <w:rPr>
          <w:rFonts w:ascii="Garamond" w:hAnsi="Garamond"/>
          <w:color w:val="000000"/>
        </w:rPr>
        <w:t>s</w:t>
      </w:r>
      <w:r w:rsidR="002865C3" w:rsidRPr="00AE1FFF">
        <w:rPr>
          <w:rFonts w:ascii="Garamond" w:hAnsi="Garamond"/>
          <w:color w:val="000000"/>
        </w:rPr>
        <w:t xml:space="preserve">eparatist </w:t>
      </w:r>
      <w:r w:rsidR="00E412A8" w:rsidRPr="00AE1FFF">
        <w:rPr>
          <w:rFonts w:ascii="Garamond" w:hAnsi="Garamond"/>
          <w:color w:val="000000"/>
        </w:rPr>
        <w:t>s</w:t>
      </w:r>
      <w:r w:rsidR="002865C3" w:rsidRPr="00AE1FFF">
        <w:rPr>
          <w:rFonts w:ascii="Garamond" w:hAnsi="Garamond"/>
          <w:color w:val="000000"/>
        </w:rPr>
        <w:t xml:space="preserve">paces: Rethinking </w:t>
      </w:r>
      <w:r w:rsidR="00E412A8" w:rsidRPr="00AE1FFF">
        <w:rPr>
          <w:rFonts w:ascii="Garamond" w:hAnsi="Garamond"/>
          <w:color w:val="000000"/>
        </w:rPr>
        <w:t>s</w:t>
      </w:r>
      <w:r w:rsidR="002865C3" w:rsidRPr="00AE1FFF">
        <w:rPr>
          <w:rFonts w:ascii="Garamond" w:hAnsi="Garamond"/>
          <w:color w:val="000000"/>
        </w:rPr>
        <w:t xml:space="preserve">paces of </w:t>
      </w:r>
      <w:r w:rsidR="00E412A8" w:rsidRPr="00AE1FFF">
        <w:rPr>
          <w:rFonts w:ascii="Garamond" w:hAnsi="Garamond"/>
          <w:color w:val="000000"/>
        </w:rPr>
        <w:t>d</w:t>
      </w:r>
      <w:r w:rsidR="002865C3" w:rsidRPr="00AE1FFF">
        <w:rPr>
          <w:rFonts w:ascii="Garamond" w:hAnsi="Garamond"/>
          <w:color w:val="000000"/>
        </w:rPr>
        <w:t xml:space="preserve">ifference and </w:t>
      </w:r>
      <w:r w:rsidR="00E412A8" w:rsidRPr="00AE1FFF">
        <w:rPr>
          <w:rFonts w:ascii="Garamond" w:hAnsi="Garamond"/>
          <w:color w:val="000000"/>
        </w:rPr>
        <w:t>e</w:t>
      </w:r>
      <w:r w:rsidR="002865C3" w:rsidRPr="00AE1FFF">
        <w:rPr>
          <w:rFonts w:ascii="Garamond" w:hAnsi="Garamond"/>
          <w:color w:val="000000"/>
        </w:rPr>
        <w:t>xclusion”</w:t>
      </w:r>
      <w:r w:rsidR="00E412A8" w:rsidRPr="00AE1FFF">
        <w:rPr>
          <w:rFonts w:ascii="Garamond" w:hAnsi="Garamond"/>
          <w:color w:val="000000"/>
        </w:rPr>
        <w:t>.</w:t>
      </w:r>
      <w:r w:rsidR="002865C3" w:rsidRPr="00AE1FFF">
        <w:rPr>
          <w:rFonts w:ascii="Garamond" w:hAnsi="Garamond"/>
          <w:color w:val="000000"/>
        </w:rPr>
        <w:t xml:space="preserve"> </w:t>
      </w:r>
      <w:bookmarkStart w:id="12" w:name="_Hlk48678557"/>
      <w:r w:rsidR="002865C3" w:rsidRPr="00AE1FFF">
        <w:rPr>
          <w:rFonts w:ascii="Garamond" w:hAnsi="Garamond"/>
          <w:i/>
          <w:iCs/>
          <w:color w:val="000000"/>
        </w:rPr>
        <w:t>Transactions of the Institute of British Geographers</w:t>
      </w:r>
      <w:r w:rsidR="002865C3" w:rsidRPr="00AE1FFF">
        <w:rPr>
          <w:rFonts w:ascii="Garamond" w:hAnsi="Garamond"/>
          <w:color w:val="000000"/>
        </w:rPr>
        <w:t xml:space="preserve"> </w:t>
      </w:r>
      <w:r w:rsidR="00A74E67" w:rsidRPr="00AE1FFF">
        <w:rPr>
          <w:rFonts w:ascii="Garamond" w:hAnsi="Garamond"/>
          <w:color w:val="000000"/>
        </w:rPr>
        <w:t>34</w:t>
      </w:r>
      <w:r w:rsidR="00525319" w:rsidRPr="00AE1FFF">
        <w:rPr>
          <w:rFonts w:ascii="Garamond" w:hAnsi="Garamond"/>
          <w:color w:val="000000"/>
        </w:rPr>
        <w:t>(</w:t>
      </w:r>
      <w:r w:rsidR="002865C3" w:rsidRPr="00AE1FFF">
        <w:rPr>
          <w:rFonts w:ascii="Garamond" w:hAnsi="Garamond"/>
          <w:color w:val="000000"/>
        </w:rPr>
        <w:t>4</w:t>
      </w:r>
      <w:r w:rsidR="00525319" w:rsidRPr="00AE1FFF">
        <w:rPr>
          <w:rFonts w:ascii="Garamond" w:hAnsi="Garamond"/>
          <w:color w:val="000000"/>
        </w:rPr>
        <w:t>):</w:t>
      </w:r>
      <w:r w:rsidR="002865C3" w:rsidRPr="00AE1FFF">
        <w:rPr>
          <w:rFonts w:ascii="Garamond" w:hAnsi="Garamond"/>
          <w:color w:val="000000"/>
        </w:rPr>
        <w:t xml:space="preserve"> 541-556.</w:t>
      </w:r>
    </w:p>
    <w:p w14:paraId="6C431E68" w14:textId="512EC069" w:rsidR="00525319" w:rsidRPr="00AE1FFF" w:rsidRDefault="005F599A" w:rsidP="00C51CD2">
      <w:pPr>
        <w:spacing w:before="120" w:after="120" w:line="360" w:lineRule="auto"/>
        <w:rPr>
          <w:rFonts w:ascii="Garamond" w:hAnsi="Garamond" w:cs="Times New Roman"/>
          <w:sz w:val="24"/>
          <w:szCs w:val="24"/>
        </w:rPr>
      </w:pPr>
      <w:bookmarkStart w:id="13" w:name="_Hlk48678495"/>
      <w:r w:rsidRPr="00AE1FFF">
        <w:rPr>
          <w:rFonts w:ascii="Garamond" w:hAnsi="Garamond" w:cs="Times New Roman"/>
          <w:sz w:val="24"/>
          <w:szCs w:val="24"/>
          <w:shd w:val="clear" w:color="auto" w:fill="FFFFFF"/>
        </w:rPr>
        <w:t xml:space="preserve">Browne, </w:t>
      </w:r>
      <w:r w:rsidR="00525319" w:rsidRPr="00AE1FFF">
        <w:rPr>
          <w:rFonts w:ascii="Garamond" w:hAnsi="Garamond" w:cs="Times New Roman"/>
          <w:sz w:val="24"/>
          <w:szCs w:val="24"/>
          <w:shd w:val="clear" w:color="auto" w:fill="FFFFFF"/>
        </w:rPr>
        <w:t>K</w:t>
      </w:r>
      <w:r w:rsidRPr="00AE1FFF">
        <w:rPr>
          <w:rFonts w:ascii="Garamond" w:hAnsi="Garamond" w:cs="Times New Roman"/>
          <w:sz w:val="24"/>
          <w:szCs w:val="24"/>
          <w:shd w:val="clear" w:color="auto" w:fill="FFFFFF"/>
        </w:rPr>
        <w:t>. 2004</w:t>
      </w:r>
      <w:r w:rsidR="00E41589" w:rsidRPr="00AE1FFF">
        <w:rPr>
          <w:rFonts w:ascii="Garamond" w:hAnsi="Garamond" w:cs="Times New Roman"/>
          <w:sz w:val="24"/>
          <w:szCs w:val="24"/>
          <w:shd w:val="clear" w:color="auto" w:fill="FFFFFF"/>
        </w:rPr>
        <w:t>.</w:t>
      </w:r>
      <w:r w:rsidRPr="00AE1FFF">
        <w:rPr>
          <w:rFonts w:ascii="Garamond" w:hAnsi="Garamond" w:cs="Times New Roman"/>
          <w:sz w:val="24"/>
          <w:szCs w:val="24"/>
          <w:shd w:val="clear" w:color="auto" w:fill="FFFFFF"/>
        </w:rPr>
        <w:t xml:space="preserve"> “Genderism and the </w:t>
      </w:r>
      <w:r w:rsidR="00E412A8" w:rsidRPr="00AE1FFF">
        <w:rPr>
          <w:rFonts w:ascii="Garamond" w:hAnsi="Garamond" w:cs="Times New Roman"/>
          <w:sz w:val="24"/>
          <w:szCs w:val="24"/>
          <w:shd w:val="clear" w:color="auto" w:fill="FFFFFF"/>
        </w:rPr>
        <w:t>b</w:t>
      </w:r>
      <w:r w:rsidRPr="00AE1FFF">
        <w:rPr>
          <w:rFonts w:ascii="Garamond" w:hAnsi="Garamond" w:cs="Times New Roman"/>
          <w:sz w:val="24"/>
          <w:szCs w:val="24"/>
          <w:shd w:val="clear" w:color="auto" w:fill="FFFFFF"/>
        </w:rPr>
        <w:t xml:space="preserve">athroom </w:t>
      </w:r>
      <w:r w:rsidR="00E412A8" w:rsidRPr="00AE1FFF">
        <w:rPr>
          <w:rFonts w:ascii="Garamond" w:hAnsi="Garamond" w:cs="Times New Roman"/>
          <w:sz w:val="24"/>
          <w:szCs w:val="24"/>
          <w:shd w:val="clear" w:color="auto" w:fill="FFFFFF"/>
        </w:rPr>
        <w:t>p</w:t>
      </w:r>
      <w:r w:rsidRPr="00AE1FFF">
        <w:rPr>
          <w:rFonts w:ascii="Garamond" w:hAnsi="Garamond" w:cs="Times New Roman"/>
          <w:sz w:val="24"/>
          <w:szCs w:val="24"/>
          <w:shd w:val="clear" w:color="auto" w:fill="FFFFFF"/>
        </w:rPr>
        <w:t>roblem: (</w:t>
      </w:r>
      <w:r w:rsidR="00E412A8" w:rsidRPr="00AE1FFF">
        <w:rPr>
          <w:rFonts w:ascii="Garamond" w:hAnsi="Garamond" w:cs="Times New Roman"/>
          <w:sz w:val="24"/>
          <w:szCs w:val="24"/>
          <w:shd w:val="clear" w:color="auto" w:fill="FFFFFF"/>
        </w:rPr>
        <w:t>R</w:t>
      </w:r>
      <w:r w:rsidRPr="00AE1FFF">
        <w:rPr>
          <w:rFonts w:ascii="Garamond" w:hAnsi="Garamond" w:cs="Times New Roman"/>
          <w:sz w:val="24"/>
          <w:szCs w:val="24"/>
          <w:shd w:val="clear" w:color="auto" w:fill="FFFFFF"/>
        </w:rPr>
        <w:t>e)materialising sexed sites, (re)creating sexed bodies”. </w:t>
      </w:r>
      <w:r w:rsidRPr="00AE1FFF">
        <w:rPr>
          <w:rFonts w:ascii="Garamond" w:hAnsi="Garamond" w:cs="Times New Roman"/>
          <w:i/>
          <w:iCs/>
          <w:sz w:val="24"/>
          <w:szCs w:val="24"/>
          <w:shd w:val="clear" w:color="auto" w:fill="FFFFFF"/>
        </w:rPr>
        <w:t>Gender, Place &amp; Culture</w:t>
      </w:r>
      <w:r w:rsidRPr="00AE1FFF">
        <w:rPr>
          <w:rFonts w:ascii="Garamond" w:hAnsi="Garamond" w:cs="Times New Roman"/>
          <w:sz w:val="24"/>
          <w:szCs w:val="24"/>
          <w:shd w:val="clear" w:color="auto" w:fill="FFFFFF"/>
        </w:rPr>
        <w:t> 11</w:t>
      </w:r>
      <w:r w:rsidR="00525319" w:rsidRPr="00AE1FFF">
        <w:rPr>
          <w:rFonts w:ascii="Garamond" w:hAnsi="Garamond" w:cs="Times New Roman"/>
          <w:sz w:val="24"/>
          <w:szCs w:val="24"/>
          <w:shd w:val="clear" w:color="auto" w:fill="FFFFFF"/>
        </w:rPr>
        <w:t>(</w:t>
      </w:r>
      <w:r w:rsidRPr="00AE1FFF">
        <w:rPr>
          <w:rFonts w:ascii="Garamond" w:hAnsi="Garamond" w:cs="Times New Roman"/>
          <w:sz w:val="24"/>
          <w:szCs w:val="24"/>
          <w:shd w:val="clear" w:color="auto" w:fill="FFFFFF"/>
        </w:rPr>
        <w:t>3</w:t>
      </w:r>
      <w:r w:rsidR="00525319" w:rsidRPr="00AE1FFF">
        <w:rPr>
          <w:rFonts w:ascii="Garamond" w:hAnsi="Garamond" w:cs="Times New Roman"/>
          <w:sz w:val="24"/>
          <w:szCs w:val="24"/>
          <w:shd w:val="clear" w:color="auto" w:fill="FFFFFF"/>
        </w:rPr>
        <w:t>):</w:t>
      </w:r>
      <w:r w:rsidRPr="00AE1FFF">
        <w:rPr>
          <w:rFonts w:ascii="Garamond" w:hAnsi="Garamond" w:cs="Times New Roman"/>
          <w:sz w:val="24"/>
          <w:szCs w:val="24"/>
          <w:shd w:val="clear" w:color="auto" w:fill="FFFFFF"/>
        </w:rPr>
        <w:t> 331-346.</w:t>
      </w:r>
      <w:bookmarkStart w:id="14" w:name="_Hlk48678471"/>
      <w:bookmarkEnd w:id="12"/>
    </w:p>
    <w:p w14:paraId="514AA3EF" w14:textId="150FA8B7" w:rsidR="00836780" w:rsidRPr="00AE1FFF" w:rsidRDefault="00836780" w:rsidP="00C51CD2">
      <w:pPr>
        <w:pStyle w:val="CommentText"/>
        <w:spacing w:before="120" w:after="120" w:line="360" w:lineRule="auto"/>
        <w:rPr>
          <w:rFonts w:ascii="Garamond" w:hAnsi="Garamond" w:cs="Times New Roman"/>
          <w:i/>
          <w:iCs/>
          <w:color w:val="222222"/>
          <w:sz w:val="24"/>
          <w:szCs w:val="24"/>
          <w:shd w:val="clear" w:color="auto" w:fill="FFFFFF"/>
        </w:rPr>
      </w:pPr>
      <w:r w:rsidRPr="00AE1FFF">
        <w:rPr>
          <w:rFonts w:ascii="Garamond" w:hAnsi="Garamond" w:cs="Times New Roman"/>
          <w:sz w:val="24"/>
          <w:szCs w:val="24"/>
        </w:rPr>
        <w:t xml:space="preserve">Cannoot, P. and Decoster, M. 2020. “The </w:t>
      </w:r>
      <w:r w:rsidR="00E412A8" w:rsidRPr="00AE1FFF">
        <w:rPr>
          <w:rFonts w:ascii="Garamond" w:hAnsi="Garamond" w:cs="Times New Roman"/>
          <w:sz w:val="24"/>
          <w:szCs w:val="24"/>
        </w:rPr>
        <w:t>a</w:t>
      </w:r>
      <w:r w:rsidRPr="00AE1FFF">
        <w:rPr>
          <w:rFonts w:ascii="Garamond" w:hAnsi="Garamond" w:cs="Times New Roman"/>
          <w:sz w:val="24"/>
          <w:szCs w:val="24"/>
        </w:rPr>
        <w:t xml:space="preserve">bolition of </w:t>
      </w:r>
      <w:r w:rsidR="00E412A8" w:rsidRPr="00AE1FFF">
        <w:rPr>
          <w:rFonts w:ascii="Garamond" w:hAnsi="Garamond" w:cs="Times New Roman"/>
          <w:sz w:val="24"/>
          <w:szCs w:val="24"/>
        </w:rPr>
        <w:t>s</w:t>
      </w:r>
      <w:r w:rsidRPr="00AE1FFF">
        <w:rPr>
          <w:rFonts w:ascii="Garamond" w:hAnsi="Garamond" w:cs="Times New Roman"/>
          <w:sz w:val="24"/>
          <w:szCs w:val="24"/>
        </w:rPr>
        <w:t>ex/</w:t>
      </w:r>
      <w:r w:rsidR="00E412A8" w:rsidRPr="00AE1FFF">
        <w:rPr>
          <w:rFonts w:ascii="Garamond" w:hAnsi="Garamond" w:cs="Times New Roman"/>
          <w:sz w:val="24"/>
          <w:szCs w:val="24"/>
        </w:rPr>
        <w:t>g</w:t>
      </w:r>
      <w:r w:rsidRPr="00AE1FFF">
        <w:rPr>
          <w:rFonts w:ascii="Garamond" w:hAnsi="Garamond" w:cs="Times New Roman"/>
          <w:sz w:val="24"/>
          <w:szCs w:val="24"/>
        </w:rPr>
        <w:t xml:space="preserve">ender </w:t>
      </w:r>
      <w:r w:rsidR="00E412A8" w:rsidRPr="00AE1FFF">
        <w:rPr>
          <w:rFonts w:ascii="Garamond" w:hAnsi="Garamond" w:cs="Times New Roman"/>
          <w:sz w:val="24"/>
          <w:szCs w:val="24"/>
        </w:rPr>
        <w:t>r</w:t>
      </w:r>
      <w:r w:rsidRPr="00AE1FFF">
        <w:rPr>
          <w:rFonts w:ascii="Garamond" w:hAnsi="Garamond" w:cs="Times New Roman"/>
          <w:sz w:val="24"/>
          <w:szCs w:val="24"/>
        </w:rPr>
        <w:t xml:space="preserve">egistration in the </w:t>
      </w:r>
      <w:r w:rsidR="00E412A8" w:rsidRPr="00AE1FFF">
        <w:rPr>
          <w:rFonts w:ascii="Garamond" w:hAnsi="Garamond" w:cs="Times New Roman"/>
          <w:sz w:val="24"/>
          <w:szCs w:val="24"/>
        </w:rPr>
        <w:t>a</w:t>
      </w:r>
      <w:r w:rsidRPr="00AE1FFF">
        <w:rPr>
          <w:rFonts w:ascii="Garamond" w:hAnsi="Garamond" w:cs="Times New Roman"/>
          <w:sz w:val="24"/>
          <w:szCs w:val="24"/>
        </w:rPr>
        <w:t xml:space="preserve">ge of </w:t>
      </w:r>
      <w:r w:rsidR="00E412A8" w:rsidRPr="00AE1FFF">
        <w:rPr>
          <w:rFonts w:ascii="Garamond" w:hAnsi="Garamond" w:cs="Times New Roman"/>
          <w:sz w:val="24"/>
          <w:szCs w:val="24"/>
        </w:rPr>
        <w:t>g</w:t>
      </w:r>
      <w:r w:rsidRPr="00AE1FFF">
        <w:rPr>
          <w:rFonts w:ascii="Garamond" w:hAnsi="Garamond" w:cs="Times New Roman"/>
          <w:sz w:val="24"/>
          <w:szCs w:val="24"/>
        </w:rPr>
        <w:t xml:space="preserve">ender </w:t>
      </w:r>
      <w:r w:rsidR="00E412A8" w:rsidRPr="00AE1FFF">
        <w:rPr>
          <w:rFonts w:ascii="Garamond" w:hAnsi="Garamond" w:cs="Times New Roman"/>
          <w:sz w:val="24"/>
          <w:szCs w:val="24"/>
        </w:rPr>
        <w:t>s</w:t>
      </w:r>
      <w:r w:rsidRPr="00AE1FFF">
        <w:rPr>
          <w:rFonts w:ascii="Garamond" w:hAnsi="Garamond" w:cs="Times New Roman"/>
          <w:sz w:val="24"/>
          <w:szCs w:val="24"/>
        </w:rPr>
        <w:t>elf-</w:t>
      </w:r>
      <w:r w:rsidR="00E412A8" w:rsidRPr="00AE1FFF">
        <w:rPr>
          <w:rFonts w:ascii="Garamond" w:hAnsi="Garamond" w:cs="Times New Roman"/>
          <w:sz w:val="24"/>
          <w:szCs w:val="24"/>
        </w:rPr>
        <w:t>d</w:t>
      </w:r>
      <w:r w:rsidRPr="00AE1FFF">
        <w:rPr>
          <w:rFonts w:ascii="Garamond" w:hAnsi="Garamond" w:cs="Times New Roman"/>
          <w:sz w:val="24"/>
          <w:szCs w:val="24"/>
        </w:rPr>
        <w:t xml:space="preserve">etermination: An </w:t>
      </w:r>
      <w:r w:rsidR="00E412A8" w:rsidRPr="00AE1FFF">
        <w:rPr>
          <w:rFonts w:ascii="Garamond" w:hAnsi="Garamond" w:cs="Times New Roman"/>
          <w:sz w:val="24"/>
          <w:szCs w:val="24"/>
        </w:rPr>
        <w:t>i</w:t>
      </w:r>
      <w:r w:rsidRPr="00AE1FFF">
        <w:rPr>
          <w:rFonts w:ascii="Garamond" w:hAnsi="Garamond" w:cs="Times New Roman"/>
          <w:sz w:val="24"/>
          <w:szCs w:val="24"/>
        </w:rPr>
        <w:t xml:space="preserve">nterdisciplinary, </w:t>
      </w:r>
      <w:r w:rsidR="00E412A8" w:rsidRPr="00AE1FFF">
        <w:rPr>
          <w:rFonts w:ascii="Garamond" w:hAnsi="Garamond" w:cs="Times New Roman"/>
          <w:sz w:val="24"/>
          <w:szCs w:val="24"/>
        </w:rPr>
        <w:t>q</w:t>
      </w:r>
      <w:r w:rsidRPr="00AE1FFF">
        <w:rPr>
          <w:rFonts w:ascii="Garamond" w:hAnsi="Garamond" w:cs="Times New Roman"/>
          <w:sz w:val="24"/>
          <w:szCs w:val="24"/>
        </w:rPr>
        <w:t xml:space="preserve">ueer, </w:t>
      </w:r>
      <w:r w:rsidR="00E412A8" w:rsidRPr="00AE1FFF">
        <w:rPr>
          <w:rFonts w:ascii="Garamond" w:hAnsi="Garamond" w:cs="Times New Roman"/>
          <w:sz w:val="24"/>
          <w:szCs w:val="24"/>
        </w:rPr>
        <w:t>f</w:t>
      </w:r>
      <w:r w:rsidRPr="00AE1FFF">
        <w:rPr>
          <w:rFonts w:ascii="Garamond" w:hAnsi="Garamond" w:cs="Times New Roman"/>
          <w:sz w:val="24"/>
          <w:szCs w:val="24"/>
        </w:rPr>
        <w:t xml:space="preserve">eminist and </w:t>
      </w:r>
      <w:r w:rsidR="00E412A8" w:rsidRPr="00AE1FFF">
        <w:rPr>
          <w:rFonts w:ascii="Garamond" w:hAnsi="Garamond" w:cs="Times New Roman"/>
          <w:sz w:val="24"/>
          <w:szCs w:val="24"/>
        </w:rPr>
        <w:t>h</w:t>
      </w:r>
      <w:r w:rsidRPr="00AE1FFF">
        <w:rPr>
          <w:rFonts w:ascii="Garamond" w:hAnsi="Garamond" w:cs="Times New Roman"/>
          <w:sz w:val="24"/>
          <w:szCs w:val="24"/>
        </w:rPr>
        <w:t xml:space="preserve">uman </w:t>
      </w:r>
      <w:r w:rsidR="00E412A8" w:rsidRPr="00AE1FFF">
        <w:rPr>
          <w:rFonts w:ascii="Garamond" w:hAnsi="Garamond" w:cs="Times New Roman"/>
          <w:sz w:val="24"/>
          <w:szCs w:val="24"/>
        </w:rPr>
        <w:t>r</w:t>
      </w:r>
      <w:r w:rsidRPr="00AE1FFF">
        <w:rPr>
          <w:rFonts w:ascii="Garamond" w:hAnsi="Garamond" w:cs="Times New Roman"/>
          <w:sz w:val="24"/>
          <w:szCs w:val="24"/>
        </w:rPr>
        <w:t xml:space="preserve">ights </w:t>
      </w:r>
      <w:r w:rsidR="00E412A8" w:rsidRPr="00AE1FFF">
        <w:rPr>
          <w:rFonts w:ascii="Garamond" w:hAnsi="Garamond" w:cs="Times New Roman"/>
          <w:sz w:val="24"/>
          <w:szCs w:val="24"/>
        </w:rPr>
        <w:t>a</w:t>
      </w:r>
      <w:r w:rsidRPr="00AE1FFF">
        <w:rPr>
          <w:rFonts w:ascii="Garamond" w:hAnsi="Garamond" w:cs="Times New Roman"/>
          <w:sz w:val="24"/>
          <w:szCs w:val="24"/>
        </w:rPr>
        <w:t>nalysis”</w:t>
      </w:r>
      <w:r w:rsidR="00E412A8" w:rsidRPr="00AE1FFF">
        <w:rPr>
          <w:rFonts w:ascii="Garamond" w:hAnsi="Garamond" w:cs="Times New Roman"/>
          <w:sz w:val="24"/>
          <w:szCs w:val="24"/>
        </w:rPr>
        <w:t>.</w:t>
      </w:r>
      <w:r w:rsidRPr="00AE1FFF">
        <w:rPr>
          <w:rFonts w:ascii="Garamond" w:hAnsi="Garamond" w:cs="Times New Roman"/>
          <w:sz w:val="24"/>
          <w:szCs w:val="24"/>
        </w:rPr>
        <w:t xml:space="preserve">  </w:t>
      </w:r>
      <w:r w:rsidRPr="00AE1FFF">
        <w:rPr>
          <w:rFonts w:ascii="Garamond" w:hAnsi="Garamond" w:cs="Times New Roman"/>
          <w:i/>
          <w:iCs/>
          <w:sz w:val="24"/>
          <w:szCs w:val="24"/>
        </w:rPr>
        <w:t>International Journal of Gender</w:t>
      </w:r>
      <w:bookmarkEnd w:id="13"/>
      <w:r w:rsidRPr="00AE1FFF">
        <w:rPr>
          <w:rFonts w:ascii="Garamond" w:hAnsi="Garamond" w:cs="Times New Roman"/>
          <w:i/>
          <w:iCs/>
          <w:sz w:val="24"/>
          <w:szCs w:val="24"/>
        </w:rPr>
        <w:t xml:space="preserve">, Sexuality and Law </w:t>
      </w:r>
      <w:r w:rsidRPr="00AE1FFF">
        <w:rPr>
          <w:rFonts w:ascii="Garamond" w:hAnsi="Garamond" w:cs="Times New Roman"/>
          <w:sz w:val="24"/>
          <w:szCs w:val="24"/>
        </w:rPr>
        <w:t>1: 26-55</w:t>
      </w:r>
      <w:r w:rsidRPr="00AE1FFF">
        <w:rPr>
          <w:rFonts w:ascii="Garamond" w:hAnsi="Garamond" w:cs="Times New Roman"/>
          <w:i/>
          <w:iCs/>
          <w:sz w:val="24"/>
          <w:szCs w:val="24"/>
        </w:rPr>
        <w:t xml:space="preserve">. </w:t>
      </w:r>
    </w:p>
    <w:bookmarkEnd w:id="14"/>
    <w:p w14:paraId="1ED374EE" w14:textId="4C053FE0" w:rsidR="00845A4F" w:rsidRPr="00AE1FFF" w:rsidRDefault="00845A4F"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 xml:space="preserve">Cavanagh, S. L. 2010. </w:t>
      </w:r>
      <w:r w:rsidRPr="00AE1FFF">
        <w:rPr>
          <w:rFonts w:ascii="Garamond" w:hAnsi="Garamond" w:cs="Times New Roman"/>
          <w:i/>
          <w:iCs/>
          <w:sz w:val="24"/>
          <w:szCs w:val="24"/>
        </w:rPr>
        <w:t xml:space="preserve">Queering Bathrooms: Gender, Sexuality and the Hygienic Imagination.  </w:t>
      </w:r>
      <w:r w:rsidRPr="00AE1FFF">
        <w:rPr>
          <w:rFonts w:ascii="Garamond" w:hAnsi="Garamond" w:cs="Times New Roman"/>
          <w:sz w:val="24"/>
          <w:szCs w:val="24"/>
        </w:rPr>
        <w:t xml:space="preserve">Toronto: University of Toronto Press.  </w:t>
      </w:r>
    </w:p>
    <w:p w14:paraId="6E15D111" w14:textId="2D0981F6" w:rsidR="00E004FD" w:rsidRPr="00AE1FFF" w:rsidRDefault="00E004FD" w:rsidP="00C51CD2">
      <w:pPr>
        <w:rPr>
          <w:rFonts w:ascii="Garamond" w:hAnsi="Garamond" w:cs="Times New Roman"/>
          <w:sz w:val="24"/>
          <w:szCs w:val="24"/>
        </w:rPr>
      </w:pPr>
      <w:r w:rsidRPr="00AE1FFF">
        <w:rPr>
          <w:rFonts w:ascii="Garamond" w:hAnsi="Garamond" w:cs="Times New Roman"/>
          <w:sz w:val="24"/>
          <w:szCs w:val="24"/>
        </w:rPr>
        <w:t>Childs, S. and Lovenduski, J. 2013</w:t>
      </w:r>
      <w:r w:rsidR="00E41589" w:rsidRPr="00AE1FFF">
        <w:rPr>
          <w:rFonts w:ascii="Garamond" w:hAnsi="Garamond" w:cs="Times New Roman"/>
          <w:sz w:val="24"/>
          <w:szCs w:val="24"/>
        </w:rPr>
        <w:t>.</w:t>
      </w:r>
      <w:r w:rsidRPr="00AE1FFF">
        <w:rPr>
          <w:rFonts w:ascii="Garamond" w:hAnsi="Garamond" w:cs="Times New Roman"/>
          <w:sz w:val="24"/>
          <w:szCs w:val="24"/>
        </w:rPr>
        <w:t xml:space="preserve"> “Political </w:t>
      </w:r>
      <w:r w:rsidR="0011319E" w:rsidRPr="00AE1FFF">
        <w:rPr>
          <w:rFonts w:ascii="Garamond" w:hAnsi="Garamond" w:cs="Times New Roman"/>
          <w:sz w:val="24"/>
          <w:szCs w:val="24"/>
        </w:rPr>
        <w:t>r</w:t>
      </w:r>
      <w:r w:rsidRPr="00AE1FFF">
        <w:rPr>
          <w:rFonts w:ascii="Garamond" w:hAnsi="Garamond" w:cs="Times New Roman"/>
          <w:sz w:val="24"/>
          <w:szCs w:val="24"/>
        </w:rPr>
        <w:t>epresentation</w:t>
      </w:r>
      <w:r w:rsidR="0011319E" w:rsidRPr="00AE1FFF">
        <w:rPr>
          <w:rFonts w:ascii="Garamond" w:hAnsi="Garamond" w:cs="Times New Roman"/>
          <w:sz w:val="24"/>
          <w:szCs w:val="24"/>
        </w:rPr>
        <w:t>,</w:t>
      </w:r>
      <w:r w:rsidRPr="00AE1FFF">
        <w:rPr>
          <w:rFonts w:ascii="Garamond" w:hAnsi="Garamond" w:cs="Times New Roman"/>
          <w:sz w:val="24"/>
          <w:szCs w:val="24"/>
        </w:rPr>
        <w:t>” in G. Waylen, K. Celis, J.</w:t>
      </w:r>
      <w:r w:rsidR="00644DD6">
        <w:rPr>
          <w:rFonts w:ascii="Garamond" w:hAnsi="Garamond" w:cs="Times New Roman"/>
          <w:sz w:val="24"/>
          <w:szCs w:val="24"/>
        </w:rPr>
        <w:t xml:space="preserve"> </w:t>
      </w:r>
      <w:r w:rsidRPr="00AE1FFF">
        <w:rPr>
          <w:rFonts w:ascii="Garamond" w:hAnsi="Garamond" w:cs="Times New Roman"/>
          <w:sz w:val="24"/>
          <w:szCs w:val="24"/>
        </w:rPr>
        <w:t xml:space="preserve">Kantola and S. Weldon (eds), </w:t>
      </w:r>
      <w:r w:rsidRPr="00AE1FFF">
        <w:rPr>
          <w:rFonts w:ascii="Garamond" w:hAnsi="Garamond" w:cs="Times New Roman"/>
          <w:i/>
          <w:iCs/>
          <w:sz w:val="24"/>
          <w:szCs w:val="24"/>
        </w:rPr>
        <w:t>The Oxford Handbook of Gender and Politics</w:t>
      </w:r>
      <w:r w:rsidR="00575332" w:rsidRPr="00AE1FFF">
        <w:rPr>
          <w:rFonts w:ascii="Garamond" w:hAnsi="Garamond" w:cs="Times New Roman"/>
          <w:i/>
          <w:iCs/>
          <w:sz w:val="24"/>
          <w:szCs w:val="24"/>
        </w:rPr>
        <w:t>.</w:t>
      </w:r>
      <w:r w:rsidRPr="00AE1FFF">
        <w:rPr>
          <w:rFonts w:ascii="Garamond" w:hAnsi="Garamond" w:cs="Times New Roman"/>
          <w:i/>
          <w:iCs/>
          <w:sz w:val="24"/>
          <w:szCs w:val="24"/>
        </w:rPr>
        <w:t xml:space="preserve"> </w:t>
      </w:r>
      <w:r w:rsidRPr="00AE1FFF">
        <w:rPr>
          <w:rFonts w:ascii="Garamond" w:hAnsi="Garamond" w:cs="Times New Roman"/>
          <w:sz w:val="24"/>
          <w:szCs w:val="24"/>
        </w:rPr>
        <w:t xml:space="preserve">Oxford/ New York: </w:t>
      </w:r>
      <w:r w:rsidR="00575332" w:rsidRPr="00AE1FFF">
        <w:rPr>
          <w:rFonts w:ascii="Garamond" w:hAnsi="Garamond" w:cs="Times New Roman"/>
          <w:sz w:val="24"/>
          <w:szCs w:val="24"/>
        </w:rPr>
        <w:t>OUP</w:t>
      </w:r>
      <w:r w:rsidRPr="00AE1FFF">
        <w:rPr>
          <w:rFonts w:ascii="Garamond" w:hAnsi="Garamond" w:cs="Times New Roman"/>
          <w:sz w:val="24"/>
          <w:szCs w:val="24"/>
        </w:rPr>
        <w:t>: 489-513.</w:t>
      </w:r>
    </w:p>
    <w:p w14:paraId="6FE0F90B" w14:textId="5405B031" w:rsidR="00D82B46" w:rsidRPr="00AE1FFF" w:rsidRDefault="00D82B46" w:rsidP="00C51CD2">
      <w:pPr>
        <w:pStyle w:val="NormalWeb"/>
        <w:spacing w:before="120" w:after="120" w:line="360" w:lineRule="auto"/>
        <w:rPr>
          <w:rFonts w:ascii="Garamond" w:hAnsi="Garamond"/>
          <w:color w:val="000000"/>
        </w:rPr>
      </w:pPr>
      <w:r w:rsidRPr="00AE1FFF">
        <w:rPr>
          <w:rFonts w:ascii="Garamond" w:hAnsi="Garamond"/>
          <w:color w:val="000000"/>
        </w:rPr>
        <w:t xml:space="preserve">Clarke, J.A. 2019. </w:t>
      </w:r>
      <w:r w:rsidR="00644DD6">
        <w:rPr>
          <w:rFonts w:ascii="Garamond" w:hAnsi="Garamond"/>
          <w:color w:val="000000"/>
        </w:rPr>
        <w:t>“</w:t>
      </w:r>
      <w:r w:rsidRPr="00AE1FFF">
        <w:rPr>
          <w:rFonts w:ascii="Garamond" w:hAnsi="Garamond"/>
          <w:color w:val="000000"/>
        </w:rPr>
        <w:t xml:space="preserve">Pregnant </w:t>
      </w:r>
      <w:r w:rsidR="0011319E" w:rsidRPr="00AE1FFF">
        <w:rPr>
          <w:rFonts w:ascii="Garamond" w:hAnsi="Garamond"/>
          <w:color w:val="000000"/>
        </w:rPr>
        <w:t>p</w:t>
      </w:r>
      <w:r w:rsidR="00644DD6">
        <w:rPr>
          <w:rFonts w:ascii="Garamond" w:hAnsi="Garamond"/>
          <w:color w:val="000000"/>
        </w:rPr>
        <w:t>eople?”</w:t>
      </w:r>
      <w:r w:rsidRPr="00AE1FFF">
        <w:rPr>
          <w:rFonts w:ascii="Garamond" w:hAnsi="Garamond"/>
          <w:color w:val="000000"/>
        </w:rPr>
        <w:t xml:space="preserve"> </w:t>
      </w:r>
      <w:r w:rsidRPr="00AE1FFF">
        <w:rPr>
          <w:rFonts w:ascii="Garamond" w:hAnsi="Garamond"/>
          <w:i/>
          <w:iCs/>
          <w:color w:val="000000"/>
        </w:rPr>
        <w:t>Colum</w:t>
      </w:r>
      <w:r w:rsidR="00525319" w:rsidRPr="00AE1FFF">
        <w:rPr>
          <w:rFonts w:ascii="Garamond" w:hAnsi="Garamond"/>
          <w:i/>
          <w:iCs/>
          <w:color w:val="000000"/>
        </w:rPr>
        <w:t>bia</w:t>
      </w:r>
      <w:r w:rsidRPr="00AE1FFF">
        <w:rPr>
          <w:rFonts w:ascii="Garamond" w:hAnsi="Garamond"/>
          <w:i/>
          <w:iCs/>
          <w:color w:val="000000"/>
        </w:rPr>
        <w:t xml:space="preserve"> L</w:t>
      </w:r>
      <w:r w:rsidR="00525319" w:rsidRPr="00AE1FFF">
        <w:rPr>
          <w:rFonts w:ascii="Garamond" w:hAnsi="Garamond"/>
          <w:i/>
          <w:iCs/>
          <w:color w:val="000000"/>
        </w:rPr>
        <w:t>aw</w:t>
      </w:r>
      <w:r w:rsidRPr="00AE1FFF">
        <w:rPr>
          <w:rFonts w:ascii="Garamond" w:hAnsi="Garamond"/>
          <w:i/>
          <w:iCs/>
          <w:color w:val="000000"/>
        </w:rPr>
        <w:t xml:space="preserve"> </w:t>
      </w:r>
      <w:r w:rsidRPr="007C61D2">
        <w:rPr>
          <w:rFonts w:ascii="Garamond" w:hAnsi="Garamond"/>
          <w:color w:val="000000"/>
        </w:rPr>
        <w:t>Rev</w:t>
      </w:r>
      <w:r w:rsidR="00525319" w:rsidRPr="007C61D2">
        <w:rPr>
          <w:rFonts w:ascii="Garamond" w:hAnsi="Garamond"/>
          <w:color w:val="000000"/>
        </w:rPr>
        <w:t>iew</w:t>
      </w:r>
      <w:r w:rsidR="009628DC">
        <w:rPr>
          <w:rFonts w:ascii="Garamond" w:hAnsi="Garamond"/>
          <w:color w:val="000000"/>
        </w:rPr>
        <w:t xml:space="preserve"> </w:t>
      </w:r>
      <w:r w:rsidRPr="009628DC">
        <w:rPr>
          <w:rFonts w:ascii="Garamond" w:hAnsi="Garamond"/>
          <w:color w:val="000000"/>
        </w:rPr>
        <w:t>119</w:t>
      </w:r>
      <w:r w:rsidRPr="00AE1FFF">
        <w:rPr>
          <w:rFonts w:ascii="Garamond" w:hAnsi="Garamond"/>
          <w:color w:val="000000"/>
        </w:rPr>
        <w:t xml:space="preserve">: </w:t>
      </w:r>
      <w:r w:rsidR="00174031" w:rsidRPr="00AE1FFF">
        <w:rPr>
          <w:rFonts w:ascii="Garamond" w:hAnsi="Garamond"/>
          <w:color w:val="000000"/>
        </w:rPr>
        <w:t>173-199</w:t>
      </w:r>
      <w:r w:rsidR="00BB35F9">
        <w:rPr>
          <w:rFonts w:ascii="Garamond" w:hAnsi="Garamond"/>
          <w:color w:val="000000"/>
        </w:rPr>
        <w:t>.</w:t>
      </w:r>
      <w:r w:rsidR="00174031" w:rsidRPr="00AE1FFF">
        <w:rPr>
          <w:rFonts w:ascii="Garamond" w:hAnsi="Garamond"/>
          <w:color w:val="000000"/>
        </w:rPr>
        <w:t xml:space="preserve"> </w:t>
      </w:r>
    </w:p>
    <w:p w14:paraId="4D6C7CD6" w14:textId="0BD36AF2" w:rsidR="00D82B46" w:rsidRPr="00AE1FFF" w:rsidRDefault="00D82B46"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Clarke, J.A. 2018. “They, </w:t>
      </w:r>
      <w:r w:rsidR="0011319E" w:rsidRPr="00AE1FFF">
        <w:rPr>
          <w:rFonts w:ascii="Garamond" w:hAnsi="Garamond"/>
          <w:color w:val="000000"/>
        </w:rPr>
        <w:t>t</w:t>
      </w:r>
      <w:r w:rsidRPr="00AE1FFF">
        <w:rPr>
          <w:rFonts w:ascii="Garamond" w:hAnsi="Garamond"/>
          <w:color w:val="000000"/>
        </w:rPr>
        <w:t xml:space="preserve">hem and </w:t>
      </w:r>
      <w:r w:rsidR="0011319E" w:rsidRPr="00AE1FFF">
        <w:rPr>
          <w:rFonts w:ascii="Garamond" w:hAnsi="Garamond"/>
          <w:color w:val="000000"/>
        </w:rPr>
        <w:t>t</w:t>
      </w:r>
      <w:r w:rsidRPr="00AE1FFF">
        <w:rPr>
          <w:rFonts w:ascii="Garamond" w:hAnsi="Garamond"/>
          <w:color w:val="000000"/>
        </w:rPr>
        <w:t>heirs”</w:t>
      </w:r>
      <w:r w:rsidR="00644DD6">
        <w:rPr>
          <w:rFonts w:ascii="Garamond" w:hAnsi="Garamond"/>
          <w:color w:val="000000"/>
        </w:rPr>
        <w:t>.</w:t>
      </w:r>
      <w:r w:rsidRPr="00AE1FFF">
        <w:rPr>
          <w:rFonts w:ascii="Garamond" w:hAnsi="Garamond"/>
          <w:color w:val="000000"/>
        </w:rPr>
        <w:t xml:space="preserve"> </w:t>
      </w:r>
      <w:r w:rsidRPr="00AE1FFF">
        <w:rPr>
          <w:rFonts w:ascii="Garamond" w:hAnsi="Garamond"/>
          <w:i/>
          <w:color w:val="000000"/>
        </w:rPr>
        <w:t>Harvard Law Review</w:t>
      </w:r>
      <w:r w:rsidRPr="00AE1FFF">
        <w:rPr>
          <w:rFonts w:ascii="Garamond" w:hAnsi="Garamond"/>
          <w:color w:val="000000"/>
        </w:rPr>
        <w:t xml:space="preserve"> 132: 894-991.</w:t>
      </w:r>
    </w:p>
    <w:p w14:paraId="0AC8040A" w14:textId="49D24450" w:rsidR="00D82B46" w:rsidRPr="00AE1FFF" w:rsidRDefault="00D82B46"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Clarke, J.A. 2015. “Identity and </w:t>
      </w:r>
      <w:r w:rsidR="0011319E" w:rsidRPr="00AE1FFF">
        <w:rPr>
          <w:rFonts w:ascii="Garamond" w:hAnsi="Garamond"/>
          <w:color w:val="000000"/>
        </w:rPr>
        <w:t>f</w:t>
      </w:r>
      <w:r w:rsidRPr="00AE1FFF">
        <w:rPr>
          <w:rFonts w:ascii="Garamond" w:hAnsi="Garamond"/>
          <w:color w:val="000000"/>
        </w:rPr>
        <w:t>orm”</w:t>
      </w:r>
      <w:r w:rsidR="00644DD6">
        <w:rPr>
          <w:rFonts w:ascii="Garamond" w:hAnsi="Garamond"/>
          <w:color w:val="000000"/>
        </w:rPr>
        <w:t>.</w:t>
      </w:r>
      <w:r w:rsidRPr="00AE1FFF">
        <w:rPr>
          <w:rFonts w:ascii="Garamond" w:hAnsi="Garamond"/>
          <w:color w:val="000000"/>
        </w:rPr>
        <w:t xml:space="preserve"> </w:t>
      </w:r>
      <w:r w:rsidRPr="00AE1FFF">
        <w:rPr>
          <w:rFonts w:ascii="Garamond" w:hAnsi="Garamond"/>
          <w:i/>
          <w:color w:val="000000"/>
        </w:rPr>
        <w:t>California Law Review</w:t>
      </w:r>
      <w:r w:rsidRPr="00AE1FFF">
        <w:rPr>
          <w:rFonts w:ascii="Garamond" w:hAnsi="Garamond"/>
          <w:color w:val="000000"/>
        </w:rPr>
        <w:t xml:space="preserve"> 103</w:t>
      </w:r>
      <w:r w:rsidR="0052088C" w:rsidRPr="00AE1FFF">
        <w:rPr>
          <w:rFonts w:ascii="Garamond" w:hAnsi="Garamond"/>
          <w:color w:val="000000"/>
        </w:rPr>
        <w:t>(4)</w:t>
      </w:r>
      <w:r w:rsidRPr="00AE1FFF">
        <w:rPr>
          <w:rFonts w:ascii="Garamond" w:hAnsi="Garamond"/>
          <w:color w:val="000000"/>
        </w:rPr>
        <w:t>: 7</w:t>
      </w:r>
      <w:r w:rsidR="0052088C" w:rsidRPr="00AE1FFF">
        <w:rPr>
          <w:rFonts w:ascii="Garamond" w:hAnsi="Garamond"/>
          <w:color w:val="000000"/>
        </w:rPr>
        <w:t xml:space="preserve">47-839. </w:t>
      </w:r>
    </w:p>
    <w:p w14:paraId="3DB3154A" w14:textId="29D73BF8" w:rsidR="004E53A8" w:rsidRPr="00AE1FFF" w:rsidRDefault="004E53A8" w:rsidP="00C51CD2">
      <w:pPr>
        <w:spacing w:line="360" w:lineRule="auto"/>
        <w:rPr>
          <w:rFonts w:ascii="Garamond" w:hAnsi="Garamond" w:cs="Times New Roman"/>
          <w:color w:val="000000"/>
          <w:sz w:val="24"/>
          <w:szCs w:val="24"/>
        </w:rPr>
      </w:pPr>
      <w:r w:rsidRPr="00AE1FFF">
        <w:rPr>
          <w:rFonts w:ascii="Garamond" w:hAnsi="Garamond" w:cs="Times New Roman"/>
          <w:sz w:val="24"/>
          <w:szCs w:val="24"/>
        </w:rPr>
        <w:t xml:space="preserve">Clarke, J.A. 2005. “Adverse </w:t>
      </w:r>
      <w:r w:rsidR="0011319E" w:rsidRPr="00AE1FFF">
        <w:rPr>
          <w:rFonts w:ascii="Garamond" w:hAnsi="Garamond" w:cs="Times New Roman"/>
          <w:sz w:val="24"/>
          <w:szCs w:val="24"/>
        </w:rPr>
        <w:t>p</w:t>
      </w:r>
      <w:r w:rsidRPr="00AE1FFF">
        <w:rPr>
          <w:rFonts w:ascii="Garamond" w:hAnsi="Garamond" w:cs="Times New Roman"/>
          <w:sz w:val="24"/>
          <w:szCs w:val="24"/>
        </w:rPr>
        <w:t xml:space="preserve">ossession of </w:t>
      </w:r>
      <w:r w:rsidR="0011319E" w:rsidRPr="00AE1FFF">
        <w:rPr>
          <w:rFonts w:ascii="Garamond" w:hAnsi="Garamond" w:cs="Times New Roman"/>
          <w:sz w:val="24"/>
          <w:szCs w:val="24"/>
        </w:rPr>
        <w:t>i</w:t>
      </w:r>
      <w:r w:rsidRPr="00AE1FFF">
        <w:rPr>
          <w:rFonts w:ascii="Garamond" w:hAnsi="Garamond" w:cs="Times New Roman"/>
          <w:sz w:val="24"/>
          <w:szCs w:val="24"/>
        </w:rPr>
        <w:t xml:space="preserve">dentity: Radical </w:t>
      </w:r>
      <w:r w:rsidR="0011319E" w:rsidRPr="00AE1FFF">
        <w:rPr>
          <w:rFonts w:ascii="Garamond" w:hAnsi="Garamond" w:cs="Times New Roman"/>
          <w:sz w:val="24"/>
          <w:szCs w:val="24"/>
        </w:rPr>
        <w:t>t</w:t>
      </w:r>
      <w:r w:rsidRPr="00AE1FFF">
        <w:rPr>
          <w:rFonts w:ascii="Garamond" w:hAnsi="Garamond" w:cs="Times New Roman"/>
          <w:sz w:val="24"/>
          <w:szCs w:val="24"/>
        </w:rPr>
        <w:t xml:space="preserve">heory, </w:t>
      </w:r>
      <w:r w:rsidR="0011319E" w:rsidRPr="00AE1FFF">
        <w:rPr>
          <w:rFonts w:ascii="Garamond" w:hAnsi="Garamond" w:cs="Times New Roman"/>
          <w:sz w:val="24"/>
          <w:szCs w:val="24"/>
        </w:rPr>
        <w:t>c</w:t>
      </w:r>
      <w:r w:rsidRPr="00AE1FFF">
        <w:rPr>
          <w:rFonts w:ascii="Garamond" w:hAnsi="Garamond" w:cs="Times New Roman"/>
          <w:sz w:val="24"/>
          <w:szCs w:val="24"/>
        </w:rPr>
        <w:t xml:space="preserve">onventional </w:t>
      </w:r>
      <w:r w:rsidR="0011319E" w:rsidRPr="00AE1FFF">
        <w:rPr>
          <w:rFonts w:ascii="Garamond" w:hAnsi="Garamond" w:cs="Times New Roman"/>
          <w:sz w:val="24"/>
          <w:szCs w:val="24"/>
        </w:rPr>
        <w:t>p</w:t>
      </w:r>
      <w:r w:rsidRPr="00AE1FFF">
        <w:rPr>
          <w:rFonts w:ascii="Garamond" w:hAnsi="Garamond" w:cs="Times New Roman"/>
          <w:sz w:val="24"/>
          <w:szCs w:val="24"/>
        </w:rPr>
        <w:t xml:space="preserve">ractice”. </w:t>
      </w:r>
      <w:r w:rsidR="002104C5" w:rsidRPr="00AE1FFF">
        <w:rPr>
          <w:rFonts w:ascii="Garamond" w:hAnsi="Garamond" w:cs="Times New Roman"/>
          <w:i/>
          <w:iCs/>
          <w:sz w:val="24"/>
          <w:szCs w:val="24"/>
        </w:rPr>
        <w:t xml:space="preserve">Oregon Law Review </w:t>
      </w:r>
      <w:r w:rsidR="002104C5" w:rsidRPr="00AE1FFF">
        <w:rPr>
          <w:rFonts w:ascii="Garamond" w:hAnsi="Garamond" w:cs="Times New Roman"/>
          <w:sz w:val="24"/>
          <w:szCs w:val="24"/>
        </w:rPr>
        <w:t>84</w:t>
      </w:r>
      <w:r w:rsidR="00027FC8" w:rsidRPr="00AE1FFF">
        <w:rPr>
          <w:rFonts w:ascii="Garamond" w:hAnsi="Garamond" w:cs="Times New Roman"/>
          <w:sz w:val="24"/>
          <w:szCs w:val="24"/>
        </w:rPr>
        <w:t>: 563-654</w:t>
      </w:r>
      <w:r w:rsidR="002104C5" w:rsidRPr="00AE1FFF">
        <w:rPr>
          <w:rFonts w:ascii="Garamond" w:hAnsi="Garamond" w:cs="Times New Roman"/>
          <w:sz w:val="24"/>
          <w:szCs w:val="24"/>
        </w:rPr>
        <w:t xml:space="preserve">. </w:t>
      </w:r>
    </w:p>
    <w:p w14:paraId="5882B3A6" w14:textId="058B0EA7" w:rsidR="00FC50D7" w:rsidRPr="00AE1FFF" w:rsidRDefault="00FC50D7"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Collins, H. 2003. “Discrimination, </w:t>
      </w:r>
      <w:r w:rsidR="0011319E" w:rsidRPr="00AE1FFF">
        <w:rPr>
          <w:rFonts w:ascii="Garamond" w:hAnsi="Garamond"/>
          <w:color w:val="000000"/>
        </w:rPr>
        <w:t>e</w:t>
      </w:r>
      <w:r w:rsidRPr="00AE1FFF">
        <w:rPr>
          <w:rFonts w:ascii="Garamond" w:hAnsi="Garamond"/>
          <w:color w:val="000000"/>
        </w:rPr>
        <w:t xml:space="preserve">quality and </w:t>
      </w:r>
      <w:r w:rsidR="0011319E" w:rsidRPr="00AE1FFF">
        <w:rPr>
          <w:rFonts w:ascii="Garamond" w:hAnsi="Garamond"/>
          <w:color w:val="000000"/>
        </w:rPr>
        <w:t>s</w:t>
      </w:r>
      <w:r w:rsidRPr="00AE1FFF">
        <w:rPr>
          <w:rFonts w:ascii="Garamond" w:hAnsi="Garamond"/>
          <w:color w:val="000000"/>
        </w:rPr>
        <w:t xml:space="preserve">ocial </w:t>
      </w:r>
      <w:r w:rsidR="0011319E" w:rsidRPr="00AE1FFF">
        <w:rPr>
          <w:rFonts w:ascii="Garamond" w:hAnsi="Garamond"/>
          <w:color w:val="000000"/>
        </w:rPr>
        <w:t>e</w:t>
      </w:r>
      <w:r w:rsidRPr="00AE1FFF">
        <w:rPr>
          <w:rFonts w:ascii="Garamond" w:hAnsi="Garamond"/>
          <w:color w:val="000000"/>
        </w:rPr>
        <w:t>xclusion”</w:t>
      </w:r>
      <w:r w:rsidR="0011319E" w:rsidRPr="00AE1FFF">
        <w:rPr>
          <w:rFonts w:ascii="Garamond" w:hAnsi="Garamond"/>
          <w:color w:val="000000"/>
        </w:rPr>
        <w:t>.</w:t>
      </w:r>
      <w:r w:rsidRPr="00AE1FFF">
        <w:rPr>
          <w:rFonts w:ascii="Garamond" w:hAnsi="Garamond"/>
          <w:color w:val="000000"/>
        </w:rPr>
        <w:t xml:space="preserve"> </w:t>
      </w:r>
      <w:r w:rsidRPr="00AE1FFF">
        <w:rPr>
          <w:rFonts w:ascii="Garamond" w:hAnsi="Garamond"/>
          <w:i/>
          <w:iCs/>
          <w:color w:val="000000"/>
        </w:rPr>
        <w:t xml:space="preserve">Modern Law Review </w:t>
      </w:r>
      <w:r w:rsidR="00D82B46" w:rsidRPr="00AE1FFF">
        <w:rPr>
          <w:rFonts w:ascii="Garamond" w:hAnsi="Garamond"/>
          <w:color w:val="000000"/>
        </w:rPr>
        <w:t>66</w:t>
      </w:r>
      <w:r w:rsidR="0004745A" w:rsidRPr="00AE1FFF">
        <w:rPr>
          <w:rFonts w:ascii="Garamond" w:hAnsi="Garamond"/>
          <w:color w:val="000000"/>
        </w:rPr>
        <w:t>(1)</w:t>
      </w:r>
      <w:r w:rsidR="00D82B46" w:rsidRPr="00AE1FFF">
        <w:rPr>
          <w:rFonts w:ascii="Garamond" w:hAnsi="Garamond"/>
          <w:color w:val="000000"/>
        </w:rPr>
        <w:t xml:space="preserve">: </w:t>
      </w:r>
      <w:r w:rsidRPr="00AE1FFF">
        <w:rPr>
          <w:rFonts w:ascii="Garamond" w:hAnsi="Garamond"/>
          <w:color w:val="000000"/>
        </w:rPr>
        <w:t>16-</w:t>
      </w:r>
      <w:r w:rsidR="00F42C71" w:rsidRPr="00AE1FFF">
        <w:rPr>
          <w:rFonts w:ascii="Garamond" w:hAnsi="Garamond"/>
          <w:color w:val="000000"/>
        </w:rPr>
        <w:t>43</w:t>
      </w:r>
      <w:r w:rsidRPr="00AE1FFF">
        <w:rPr>
          <w:rFonts w:ascii="Garamond" w:hAnsi="Garamond"/>
        </w:rPr>
        <w:t xml:space="preserve">.  </w:t>
      </w:r>
    </w:p>
    <w:p w14:paraId="29AB3118" w14:textId="500CBB5C" w:rsidR="00D82B46" w:rsidRPr="00AE1FFF" w:rsidRDefault="00D82B46"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Conaghan, J. 2013.  </w:t>
      </w:r>
      <w:r w:rsidRPr="00AE1FFF">
        <w:rPr>
          <w:rFonts w:ascii="Garamond" w:hAnsi="Garamond"/>
          <w:i/>
          <w:iCs/>
          <w:color w:val="000000"/>
        </w:rPr>
        <w:t xml:space="preserve">Law and Gender. </w:t>
      </w:r>
      <w:r w:rsidRPr="00AE1FFF">
        <w:rPr>
          <w:rFonts w:ascii="Garamond" w:hAnsi="Garamond"/>
          <w:color w:val="000000"/>
        </w:rPr>
        <w:t xml:space="preserve">Oxford: </w:t>
      </w:r>
      <w:r w:rsidR="00644DD6">
        <w:rPr>
          <w:rFonts w:ascii="Garamond" w:hAnsi="Garamond"/>
          <w:color w:val="000000"/>
        </w:rPr>
        <w:t>OUP</w:t>
      </w:r>
      <w:r w:rsidRPr="00AE1FFF">
        <w:rPr>
          <w:rFonts w:ascii="Garamond" w:hAnsi="Garamond"/>
          <w:color w:val="000000"/>
        </w:rPr>
        <w:t xml:space="preserve">.  </w:t>
      </w:r>
    </w:p>
    <w:p w14:paraId="58565097" w14:textId="25B12186" w:rsidR="00DB062F" w:rsidRPr="00AE1FFF" w:rsidRDefault="00DB062F" w:rsidP="00C51CD2">
      <w:pPr>
        <w:pStyle w:val="NormalWeb"/>
        <w:spacing w:before="120" w:beforeAutospacing="0" w:after="120" w:afterAutospacing="0" w:line="360" w:lineRule="auto"/>
        <w:rPr>
          <w:rFonts w:ascii="Garamond" w:hAnsi="Garamond"/>
        </w:rPr>
      </w:pPr>
      <w:r w:rsidRPr="00AE1FFF">
        <w:rPr>
          <w:rFonts w:ascii="Garamond" w:hAnsi="Garamond"/>
          <w:color w:val="000000"/>
        </w:rPr>
        <w:t xml:space="preserve">Conaghan, J. 2000. “Reassessing the feminist theoretical project in law”. </w:t>
      </w:r>
      <w:r w:rsidRPr="00AE1FFF">
        <w:rPr>
          <w:rFonts w:ascii="Garamond" w:hAnsi="Garamond"/>
          <w:i/>
        </w:rPr>
        <w:t xml:space="preserve">Journal of Law and Society </w:t>
      </w:r>
      <w:r w:rsidRPr="00AE1FFF">
        <w:rPr>
          <w:rFonts w:ascii="Garamond" w:hAnsi="Garamond"/>
        </w:rPr>
        <w:t>27(1): 351-</w:t>
      </w:r>
      <w:r w:rsidR="00644DD6">
        <w:rPr>
          <w:rFonts w:ascii="Garamond" w:hAnsi="Garamond"/>
        </w:rPr>
        <w:t>3</w:t>
      </w:r>
      <w:r w:rsidRPr="00AE1FFF">
        <w:rPr>
          <w:rFonts w:ascii="Garamond" w:hAnsi="Garamond"/>
        </w:rPr>
        <w:t>85.</w:t>
      </w:r>
    </w:p>
    <w:p w14:paraId="3C264105" w14:textId="42344986" w:rsidR="00DF6E44" w:rsidRPr="00AE1FFF" w:rsidRDefault="003246F4" w:rsidP="00C51CD2">
      <w:pPr>
        <w:pStyle w:val="NormalWeb"/>
        <w:spacing w:before="120" w:beforeAutospacing="0" w:after="120" w:afterAutospacing="0" w:line="360" w:lineRule="auto"/>
        <w:rPr>
          <w:rFonts w:ascii="Garamond" w:hAnsi="Garamond"/>
          <w:iCs/>
          <w:color w:val="333333"/>
        </w:rPr>
      </w:pPr>
      <w:r w:rsidRPr="00AE1FFF">
        <w:rPr>
          <w:rFonts w:ascii="Garamond" w:hAnsi="Garamond"/>
          <w:color w:val="000000"/>
        </w:rPr>
        <w:t xml:space="preserve">Conaghan, J. 1996.   “Gendered </w:t>
      </w:r>
      <w:r w:rsidR="0011319E" w:rsidRPr="00AE1FFF">
        <w:rPr>
          <w:rFonts w:ascii="Garamond" w:hAnsi="Garamond"/>
          <w:color w:val="000000"/>
        </w:rPr>
        <w:t>h</w:t>
      </w:r>
      <w:r w:rsidRPr="00AE1FFF">
        <w:rPr>
          <w:rFonts w:ascii="Garamond" w:hAnsi="Garamond"/>
          <w:color w:val="000000"/>
        </w:rPr>
        <w:t xml:space="preserve">arms and the </w:t>
      </w:r>
      <w:r w:rsidR="0011319E" w:rsidRPr="00AE1FFF">
        <w:rPr>
          <w:rFonts w:ascii="Garamond" w:hAnsi="Garamond"/>
          <w:color w:val="000000"/>
        </w:rPr>
        <w:t>l</w:t>
      </w:r>
      <w:r w:rsidRPr="00AE1FFF">
        <w:rPr>
          <w:rFonts w:ascii="Garamond" w:hAnsi="Garamond"/>
          <w:color w:val="000000"/>
        </w:rPr>
        <w:t xml:space="preserve">aw of </w:t>
      </w:r>
      <w:r w:rsidR="0011319E" w:rsidRPr="00AE1FFF">
        <w:rPr>
          <w:rFonts w:ascii="Garamond" w:hAnsi="Garamond"/>
          <w:color w:val="000000"/>
        </w:rPr>
        <w:t>t</w:t>
      </w:r>
      <w:r w:rsidRPr="00AE1FFF">
        <w:rPr>
          <w:rFonts w:ascii="Garamond" w:hAnsi="Garamond"/>
          <w:color w:val="000000"/>
        </w:rPr>
        <w:t>ort:  Remedying (</w:t>
      </w:r>
      <w:r w:rsidR="0011319E" w:rsidRPr="00AE1FFF">
        <w:rPr>
          <w:rFonts w:ascii="Garamond" w:hAnsi="Garamond"/>
          <w:color w:val="000000"/>
        </w:rPr>
        <w:t>s</w:t>
      </w:r>
      <w:r w:rsidRPr="00AE1FFF">
        <w:rPr>
          <w:rFonts w:ascii="Garamond" w:hAnsi="Garamond"/>
          <w:color w:val="000000"/>
        </w:rPr>
        <w:t xml:space="preserve">exual) </w:t>
      </w:r>
      <w:r w:rsidR="0011319E" w:rsidRPr="00AE1FFF">
        <w:rPr>
          <w:rFonts w:ascii="Garamond" w:hAnsi="Garamond"/>
          <w:color w:val="000000"/>
        </w:rPr>
        <w:t>h</w:t>
      </w:r>
      <w:r w:rsidRPr="00AE1FFF">
        <w:rPr>
          <w:rFonts w:ascii="Garamond" w:hAnsi="Garamond"/>
          <w:color w:val="000000"/>
        </w:rPr>
        <w:t xml:space="preserve">arassment”.  </w:t>
      </w:r>
      <w:r w:rsidR="00644DD6">
        <w:rPr>
          <w:rFonts w:ascii="Garamond" w:hAnsi="Garamond"/>
          <w:i/>
          <w:iCs/>
          <w:color w:val="333333"/>
        </w:rPr>
        <w:t>Oxford Journal of Legal Studies</w:t>
      </w:r>
      <w:r w:rsidRPr="00AE1FFF">
        <w:rPr>
          <w:rFonts w:ascii="Garamond" w:hAnsi="Garamond"/>
          <w:i/>
          <w:iCs/>
          <w:color w:val="333333"/>
        </w:rPr>
        <w:t xml:space="preserve"> </w:t>
      </w:r>
      <w:r w:rsidRPr="00AE1FFF">
        <w:rPr>
          <w:rFonts w:ascii="Garamond" w:hAnsi="Garamond"/>
          <w:iCs/>
          <w:color w:val="333333"/>
        </w:rPr>
        <w:t>16(3): 407-431.</w:t>
      </w:r>
    </w:p>
    <w:p w14:paraId="4E4F1587" w14:textId="7D5D3324" w:rsidR="009E1AC8" w:rsidRPr="00AE1FFF" w:rsidRDefault="009E1AC8" w:rsidP="00C51CD2">
      <w:pPr>
        <w:pStyle w:val="NormalWeb"/>
        <w:spacing w:before="120" w:beforeAutospacing="0" w:after="120" w:afterAutospacing="0" w:line="360" w:lineRule="auto"/>
        <w:rPr>
          <w:rFonts w:ascii="Garamond" w:hAnsi="Garamond"/>
        </w:rPr>
      </w:pPr>
      <w:r w:rsidRPr="00AE1FFF">
        <w:rPr>
          <w:rFonts w:ascii="Garamond" w:hAnsi="Garamond"/>
          <w:color w:val="000000"/>
        </w:rPr>
        <w:t>Cooky, C. and Dworkin, S</w:t>
      </w:r>
      <w:r w:rsidR="00C63897" w:rsidRPr="00AE1FFF">
        <w:rPr>
          <w:rFonts w:ascii="Garamond" w:hAnsi="Garamond"/>
          <w:color w:val="000000"/>
        </w:rPr>
        <w:t>.</w:t>
      </w:r>
      <w:r w:rsidRPr="00AE1FFF">
        <w:rPr>
          <w:rFonts w:ascii="Garamond" w:hAnsi="Garamond"/>
          <w:color w:val="000000"/>
        </w:rPr>
        <w:t>L. 2013.  “Policing the</w:t>
      </w:r>
      <w:r w:rsidR="0011319E" w:rsidRPr="00AE1FFF">
        <w:rPr>
          <w:rFonts w:ascii="Garamond" w:hAnsi="Garamond"/>
          <w:color w:val="000000"/>
        </w:rPr>
        <w:t xml:space="preserve"> b</w:t>
      </w:r>
      <w:r w:rsidRPr="00AE1FFF">
        <w:rPr>
          <w:rFonts w:ascii="Garamond" w:hAnsi="Garamond"/>
          <w:color w:val="000000"/>
        </w:rPr>
        <w:t xml:space="preserve">oundaries of </w:t>
      </w:r>
      <w:r w:rsidR="0011319E" w:rsidRPr="00AE1FFF">
        <w:rPr>
          <w:rFonts w:ascii="Garamond" w:hAnsi="Garamond"/>
          <w:color w:val="000000"/>
        </w:rPr>
        <w:t>s</w:t>
      </w:r>
      <w:r w:rsidRPr="00AE1FFF">
        <w:rPr>
          <w:rFonts w:ascii="Garamond" w:hAnsi="Garamond"/>
          <w:color w:val="000000"/>
        </w:rPr>
        <w:t xml:space="preserve">ex: A </w:t>
      </w:r>
      <w:r w:rsidR="0011319E" w:rsidRPr="00AE1FFF">
        <w:rPr>
          <w:rFonts w:ascii="Garamond" w:hAnsi="Garamond"/>
          <w:color w:val="000000"/>
        </w:rPr>
        <w:t>c</w:t>
      </w:r>
      <w:r w:rsidRPr="00AE1FFF">
        <w:rPr>
          <w:rFonts w:ascii="Garamond" w:hAnsi="Garamond"/>
          <w:color w:val="000000"/>
        </w:rPr>
        <w:t xml:space="preserve">ritical </w:t>
      </w:r>
      <w:r w:rsidR="0011319E" w:rsidRPr="00AE1FFF">
        <w:rPr>
          <w:rFonts w:ascii="Garamond" w:hAnsi="Garamond"/>
          <w:color w:val="000000"/>
        </w:rPr>
        <w:t>e</w:t>
      </w:r>
      <w:r w:rsidRPr="00AE1FFF">
        <w:rPr>
          <w:rFonts w:ascii="Garamond" w:hAnsi="Garamond"/>
          <w:color w:val="000000"/>
        </w:rPr>
        <w:t xml:space="preserve">xamination of </w:t>
      </w:r>
      <w:r w:rsidR="0011319E" w:rsidRPr="00AE1FFF">
        <w:rPr>
          <w:rFonts w:ascii="Garamond" w:hAnsi="Garamond"/>
          <w:color w:val="000000"/>
        </w:rPr>
        <w:t>g</w:t>
      </w:r>
      <w:r w:rsidRPr="00AE1FFF">
        <w:rPr>
          <w:rFonts w:ascii="Garamond" w:hAnsi="Garamond"/>
          <w:color w:val="000000"/>
        </w:rPr>
        <w:t xml:space="preserve">ender </w:t>
      </w:r>
      <w:r w:rsidR="0011319E" w:rsidRPr="00AE1FFF">
        <w:rPr>
          <w:rFonts w:ascii="Garamond" w:hAnsi="Garamond"/>
          <w:color w:val="000000"/>
        </w:rPr>
        <w:t>v</w:t>
      </w:r>
      <w:r w:rsidRPr="00AE1FFF">
        <w:rPr>
          <w:rFonts w:ascii="Garamond" w:hAnsi="Garamond"/>
          <w:color w:val="000000"/>
        </w:rPr>
        <w:t xml:space="preserve">erification and the Caster Semenya </w:t>
      </w:r>
      <w:r w:rsidR="0011319E" w:rsidRPr="00AE1FFF">
        <w:rPr>
          <w:rFonts w:ascii="Garamond" w:hAnsi="Garamond"/>
          <w:color w:val="000000"/>
        </w:rPr>
        <w:t>c</w:t>
      </w:r>
      <w:r w:rsidRPr="00AE1FFF">
        <w:rPr>
          <w:rFonts w:ascii="Garamond" w:hAnsi="Garamond"/>
          <w:color w:val="000000"/>
        </w:rPr>
        <w:t>ontroversy”</w:t>
      </w:r>
      <w:r w:rsidR="00644DD6">
        <w:rPr>
          <w:rFonts w:ascii="Garamond" w:hAnsi="Garamond"/>
          <w:color w:val="000000"/>
        </w:rPr>
        <w:t>.</w:t>
      </w:r>
      <w:r w:rsidRPr="00AE1FFF">
        <w:rPr>
          <w:rFonts w:ascii="Garamond" w:hAnsi="Garamond"/>
          <w:color w:val="000000"/>
        </w:rPr>
        <w:t xml:space="preserve"> </w:t>
      </w:r>
      <w:r w:rsidRPr="00AE1FFF">
        <w:rPr>
          <w:rFonts w:ascii="Garamond" w:hAnsi="Garamond"/>
          <w:i/>
          <w:color w:val="000000"/>
        </w:rPr>
        <w:t xml:space="preserve">Journal of Sex Research </w:t>
      </w:r>
      <w:r w:rsidRPr="00AE1FFF">
        <w:rPr>
          <w:rFonts w:ascii="Garamond" w:hAnsi="Garamond"/>
          <w:color w:val="000000"/>
        </w:rPr>
        <w:t>50(2): 103-11.</w:t>
      </w:r>
    </w:p>
    <w:p w14:paraId="2136EB9F" w14:textId="7A9BFE44" w:rsidR="00961C24" w:rsidRPr="00AE1FFF" w:rsidRDefault="00961C24" w:rsidP="00C51CD2">
      <w:pPr>
        <w:spacing w:before="120" w:after="120" w:line="360" w:lineRule="auto"/>
        <w:rPr>
          <w:rFonts w:ascii="Garamond" w:hAnsi="Garamond" w:cs="Times New Roman"/>
          <w:sz w:val="24"/>
          <w:szCs w:val="24"/>
        </w:rPr>
      </w:pPr>
      <w:r w:rsidRPr="00AE1FFF">
        <w:rPr>
          <w:rFonts w:ascii="Garamond" w:eastAsia="Times New Roman" w:hAnsi="Garamond" w:cs="Times New Roman"/>
          <w:kern w:val="36"/>
          <w:sz w:val="24"/>
          <w:szCs w:val="24"/>
          <w:lang w:eastAsia="en-GB"/>
        </w:rPr>
        <w:lastRenderedPageBreak/>
        <w:t xml:space="preserve">Cooper, D. 2020.  “Towards an adventurous institutional politics: The prefigurative ‘as if’ and the reposing of what’s real”. </w:t>
      </w:r>
      <w:r w:rsidRPr="00AE1FFF">
        <w:rPr>
          <w:rFonts w:ascii="Garamond" w:eastAsia="Times New Roman" w:hAnsi="Garamond" w:cs="Times New Roman"/>
          <w:i/>
          <w:iCs/>
          <w:kern w:val="36"/>
          <w:sz w:val="24"/>
          <w:szCs w:val="24"/>
          <w:lang w:eastAsia="en-GB"/>
        </w:rPr>
        <w:t xml:space="preserve">Sociological Review </w:t>
      </w:r>
      <w:r w:rsidR="003C6746" w:rsidRPr="00AE1FFF">
        <w:rPr>
          <w:rFonts w:ascii="Garamond" w:eastAsia="Times New Roman" w:hAnsi="Garamond" w:cs="Times New Roman"/>
          <w:kern w:val="36"/>
          <w:sz w:val="24"/>
          <w:szCs w:val="24"/>
          <w:lang w:eastAsia="en-GB"/>
        </w:rPr>
        <w:t xml:space="preserve">68(5): 893-916 </w:t>
      </w:r>
    </w:p>
    <w:p w14:paraId="2A173034" w14:textId="231C1C81" w:rsidR="00554973" w:rsidRPr="00AE1FFF" w:rsidRDefault="00430D7F" w:rsidP="00C51CD2">
      <w:pPr>
        <w:pStyle w:val="NormalWeb"/>
        <w:spacing w:before="120" w:beforeAutospacing="0" w:after="120" w:afterAutospacing="0" w:line="360" w:lineRule="auto"/>
        <w:rPr>
          <w:rFonts w:ascii="Garamond" w:hAnsi="Garamond"/>
          <w:color w:val="000000"/>
        </w:rPr>
      </w:pPr>
      <w:bookmarkStart w:id="15" w:name="_Hlk48679625"/>
      <w:r w:rsidRPr="00AE1FFF">
        <w:rPr>
          <w:rFonts w:ascii="Garamond" w:hAnsi="Garamond"/>
          <w:color w:val="000000"/>
        </w:rPr>
        <w:t xml:space="preserve">Cooper, D. </w:t>
      </w:r>
      <w:r w:rsidR="00554973" w:rsidRPr="00AE1FFF">
        <w:rPr>
          <w:rFonts w:ascii="Garamond" w:hAnsi="Garamond"/>
          <w:color w:val="000000"/>
        </w:rPr>
        <w:t>2019</w:t>
      </w:r>
      <w:r w:rsidR="00D82B46" w:rsidRPr="00AE1FFF">
        <w:rPr>
          <w:rFonts w:ascii="Garamond" w:hAnsi="Garamond"/>
          <w:color w:val="000000"/>
        </w:rPr>
        <w:t>a</w:t>
      </w:r>
      <w:r w:rsidRPr="00AE1FFF">
        <w:rPr>
          <w:rFonts w:ascii="Garamond" w:hAnsi="Garamond"/>
          <w:color w:val="000000"/>
        </w:rPr>
        <w:t>.</w:t>
      </w:r>
      <w:r w:rsidR="00554973" w:rsidRPr="00AE1FFF">
        <w:rPr>
          <w:rFonts w:ascii="Garamond" w:hAnsi="Garamond"/>
          <w:color w:val="000000"/>
        </w:rPr>
        <w:t xml:space="preserve"> “A very binary drama: The conceptual struggle for gender’s future”. </w:t>
      </w:r>
      <w:r w:rsidR="00554973" w:rsidRPr="00AE1FFF">
        <w:rPr>
          <w:rFonts w:ascii="Garamond" w:hAnsi="Garamond"/>
          <w:i/>
          <w:color w:val="000000"/>
        </w:rPr>
        <w:t xml:space="preserve">feminists@law </w:t>
      </w:r>
      <w:r w:rsidR="00554973" w:rsidRPr="00AE1FFF">
        <w:rPr>
          <w:rFonts w:ascii="Garamond" w:hAnsi="Garamond"/>
          <w:color w:val="000000"/>
        </w:rPr>
        <w:t>9(1)</w:t>
      </w:r>
      <w:r w:rsidR="00CB6A20" w:rsidRPr="00AE1FFF">
        <w:rPr>
          <w:rFonts w:ascii="Garamond" w:hAnsi="Garamond"/>
          <w:color w:val="000000"/>
        </w:rPr>
        <w:t xml:space="preserve"> </w:t>
      </w:r>
      <w:hyperlink r:id="rId11" w:history="1">
        <w:r w:rsidR="00B9279A" w:rsidRPr="00AE1FFF">
          <w:rPr>
            <w:rStyle w:val="Hyperlink"/>
            <w:rFonts w:ascii="Garamond" w:hAnsi="Garamond"/>
          </w:rPr>
          <w:t>https://journals.kent.ac.uk/index.php/feministsatlaw/article/view/655/1492</w:t>
        </w:r>
      </w:hyperlink>
      <w:r w:rsidR="00C320C5" w:rsidRPr="00AE1FFF">
        <w:rPr>
          <w:rFonts w:ascii="Garamond" w:hAnsi="Garamond"/>
          <w:color w:val="000000"/>
        </w:rPr>
        <w:t xml:space="preserve"> </w:t>
      </w:r>
    </w:p>
    <w:bookmarkEnd w:id="15"/>
    <w:p w14:paraId="03DFA514" w14:textId="41247269" w:rsidR="00D82B46" w:rsidRPr="00AE1FFF" w:rsidRDefault="00D82B46"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Cooper, D. 2019b</w:t>
      </w:r>
      <w:r w:rsidR="00E41589" w:rsidRPr="00AE1FFF">
        <w:rPr>
          <w:rFonts w:ascii="Garamond" w:hAnsi="Garamond"/>
          <w:color w:val="000000"/>
        </w:rPr>
        <w:t>.</w:t>
      </w:r>
      <w:r w:rsidRPr="00AE1FFF">
        <w:rPr>
          <w:rFonts w:ascii="Garamond" w:hAnsi="Garamond"/>
          <w:color w:val="000000"/>
        </w:rPr>
        <w:t xml:space="preserve"> </w:t>
      </w:r>
      <w:r w:rsidRPr="00AE1FFF">
        <w:rPr>
          <w:rFonts w:ascii="Garamond" w:hAnsi="Garamond"/>
          <w:i/>
          <w:iCs/>
          <w:color w:val="000000"/>
        </w:rPr>
        <w:t xml:space="preserve">Feeling </w:t>
      </w:r>
      <w:r w:rsidR="0011319E" w:rsidRPr="00AE1FFF">
        <w:rPr>
          <w:rFonts w:ascii="Garamond" w:hAnsi="Garamond"/>
          <w:i/>
          <w:iCs/>
          <w:color w:val="000000"/>
        </w:rPr>
        <w:t>L</w:t>
      </w:r>
      <w:r w:rsidRPr="00AE1FFF">
        <w:rPr>
          <w:rFonts w:ascii="Garamond" w:hAnsi="Garamond"/>
          <w:i/>
          <w:iCs/>
          <w:color w:val="000000"/>
        </w:rPr>
        <w:t xml:space="preserve">ike a </w:t>
      </w:r>
      <w:r w:rsidR="0011319E" w:rsidRPr="00AE1FFF">
        <w:rPr>
          <w:rFonts w:ascii="Garamond" w:hAnsi="Garamond"/>
          <w:i/>
          <w:iCs/>
          <w:color w:val="000000"/>
        </w:rPr>
        <w:t>S</w:t>
      </w:r>
      <w:r w:rsidRPr="00AE1FFF">
        <w:rPr>
          <w:rFonts w:ascii="Garamond" w:hAnsi="Garamond"/>
          <w:i/>
          <w:iCs/>
          <w:color w:val="000000"/>
        </w:rPr>
        <w:t xml:space="preserve">tate: Desire, </w:t>
      </w:r>
      <w:r w:rsidR="0011319E" w:rsidRPr="00AE1FFF">
        <w:rPr>
          <w:rFonts w:ascii="Garamond" w:hAnsi="Garamond"/>
          <w:i/>
          <w:iCs/>
          <w:color w:val="000000"/>
        </w:rPr>
        <w:t>D</w:t>
      </w:r>
      <w:r w:rsidRPr="00AE1FFF">
        <w:rPr>
          <w:rFonts w:ascii="Garamond" w:hAnsi="Garamond"/>
          <w:i/>
          <w:iCs/>
          <w:color w:val="000000"/>
        </w:rPr>
        <w:t>enial</w:t>
      </w:r>
      <w:r w:rsidR="002517C6" w:rsidRPr="00AE1FFF">
        <w:rPr>
          <w:rFonts w:ascii="Garamond" w:hAnsi="Garamond"/>
          <w:color w:val="000000"/>
        </w:rPr>
        <w:t>,</w:t>
      </w:r>
      <w:r w:rsidRPr="00AE1FFF">
        <w:rPr>
          <w:rFonts w:ascii="Garamond" w:hAnsi="Garamond"/>
          <w:i/>
          <w:iCs/>
          <w:color w:val="000000"/>
        </w:rPr>
        <w:t xml:space="preserve"> and the </w:t>
      </w:r>
      <w:r w:rsidR="0011319E" w:rsidRPr="00AE1FFF">
        <w:rPr>
          <w:rFonts w:ascii="Garamond" w:hAnsi="Garamond"/>
          <w:i/>
          <w:iCs/>
          <w:color w:val="000000"/>
        </w:rPr>
        <w:t>R</w:t>
      </w:r>
      <w:r w:rsidRPr="00AE1FFF">
        <w:rPr>
          <w:rFonts w:ascii="Garamond" w:hAnsi="Garamond"/>
          <w:i/>
          <w:iCs/>
          <w:color w:val="000000"/>
        </w:rPr>
        <w:t xml:space="preserve">ecasting of </w:t>
      </w:r>
      <w:r w:rsidR="0011319E" w:rsidRPr="00AE1FFF">
        <w:rPr>
          <w:rFonts w:ascii="Garamond" w:hAnsi="Garamond"/>
          <w:i/>
          <w:iCs/>
          <w:color w:val="000000"/>
        </w:rPr>
        <w:t>A</w:t>
      </w:r>
      <w:r w:rsidRPr="00AE1FFF">
        <w:rPr>
          <w:rFonts w:ascii="Garamond" w:hAnsi="Garamond"/>
          <w:i/>
          <w:iCs/>
          <w:color w:val="000000"/>
        </w:rPr>
        <w:t>uthority</w:t>
      </w:r>
      <w:r w:rsidR="00B47AD3" w:rsidRPr="00AE1FFF">
        <w:rPr>
          <w:rFonts w:ascii="Garamond" w:hAnsi="Garamond"/>
          <w:i/>
          <w:iCs/>
          <w:color w:val="000000"/>
        </w:rPr>
        <w:t xml:space="preserve">. </w:t>
      </w:r>
      <w:r w:rsidRPr="00AE1FFF">
        <w:rPr>
          <w:rFonts w:ascii="Garamond" w:hAnsi="Garamond"/>
          <w:color w:val="000000"/>
        </w:rPr>
        <w:t>Durham: Duke University Press.</w:t>
      </w:r>
    </w:p>
    <w:p w14:paraId="6266A860" w14:textId="766EF70A" w:rsidR="0070735F" w:rsidRPr="00AE1FFF" w:rsidRDefault="0070735F" w:rsidP="00C51CD2">
      <w:pPr>
        <w:pStyle w:val="CommentText"/>
        <w:spacing w:before="120" w:after="120" w:line="360" w:lineRule="auto"/>
        <w:rPr>
          <w:rFonts w:ascii="Garamond" w:hAnsi="Garamond" w:cs="Times New Roman"/>
          <w:color w:val="222222"/>
          <w:sz w:val="24"/>
          <w:szCs w:val="24"/>
          <w:shd w:val="clear" w:color="auto" w:fill="FFFFFF"/>
        </w:rPr>
      </w:pPr>
      <w:r w:rsidRPr="00AE1FFF">
        <w:rPr>
          <w:rFonts w:ascii="Garamond" w:hAnsi="Garamond" w:cs="Times New Roman"/>
          <w:color w:val="222222"/>
          <w:sz w:val="24"/>
          <w:szCs w:val="24"/>
          <w:shd w:val="clear" w:color="auto" w:fill="FFFFFF"/>
        </w:rPr>
        <w:t xml:space="preserve">Cooper, D. 2016. </w:t>
      </w:r>
      <w:r w:rsidR="00C320C5" w:rsidRPr="00AE1FFF">
        <w:rPr>
          <w:rFonts w:ascii="Garamond" w:hAnsi="Garamond" w:cs="Times New Roman"/>
          <w:color w:val="222222"/>
          <w:sz w:val="24"/>
          <w:szCs w:val="24"/>
          <w:shd w:val="clear" w:color="auto" w:fill="FFFFFF"/>
        </w:rPr>
        <w:t>“</w:t>
      </w:r>
      <w:r w:rsidRPr="00AE1FFF">
        <w:rPr>
          <w:rFonts w:ascii="Garamond" w:hAnsi="Garamond" w:cs="Times New Roman"/>
          <w:color w:val="222222"/>
          <w:sz w:val="24"/>
          <w:szCs w:val="24"/>
          <w:shd w:val="clear" w:color="auto" w:fill="FFFFFF"/>
        </w:rPr>
        <w:t>Transformative state publics</w:t>
      </w:r>
      <w:r w:rsidR="0011319E" w:rsidRPr="00AE1FFF">
        <w:rPr>
          <w:rFonts w:ascii="Garamond" w:hAnsi="Garamond" w:cs="Times New Roman"/>
          <w:color w:val="222222"/>
          <w:sz w:val="24"/>
          <w:szCs w:val="24"/>
          <w:shd w:val="clear" w:color="auto" w:fill="FFFFFF"/>
        </w:rPr>
        <w:t>”</w:t>
      </w:r>
      <w:r w:rsidRPr="00AE1FFF">
        <w:rPr>
          <w:rFonts w:ascii="Garamond" w:hAnsi="Garamond" w:cs="Times New Roman"/>
          <w:color w:val="222222"/>
          <w:sz w:val="24"/>
          <w:szCs w:val="24"/>
          <w:shd w:val="clear" w:color="auto" w:fill="FFFFFF"/>
        </w:rPr>
        <w:t>.</w:t>
      </w:r>
      <w:r w:rsidR="00C320C5" w:rsidRPr="00AE1FFF">
        <w:rPr>
          <w:rFonts w:ascii="Garamond" w:hAnsi="Garamond" w:cs="Times New Roman"/>
          <w:color w:val="222222"/>
          <w:sz w:val="24"/>
          <w:szCs w:val="24"/>
          <w:shd w:val="clear" w:color="auto" w:fill="FFFFFF"/>
        </w:rPr>
        <w:t xml:space="preserve"> </w:t>
      </w:r>
      <w:r w:rsidRPr="00AE1FFF">
        <w:rPr>
          <w:rFonts w:ascii="Garamond" w:hAnsi="Garamond" w:cs="Times New Roman"/>
          <w:i/>
          <w:iCs/>
          <w:color w:val="222222"/>
          <w:sz w:val="24"/>
          <w:szCs w:val="24"/>
          <w:shd w:val="clear" w:color="auto" w:fill="FFFFFF"/>
        </w:rPr>
        <w:t>New Political Science</w:t>
      </w:r>
      <w:r w:rsidR="00C320C5" w:rsidRPr="00AE1FFF">
        <w:rPr>
          <w:rFonts w:ascii="Garamond" w:hAnsi="Garamond" w:cs="Times New Roman"/>
          <w:i/>
          <w:iCs/>
          <w:color w:val="222222"/>
          <w:sz w:val="24"/>
          <w:szCs w:val="24"/>
          <w:shd w:val="clear" w:color="auto" w:fill="FFFFFF"/>
        </w:rPr>
        <w:t xml:space="preserve"> </w:t>
      </w:r>
      <w:r w:rsidRPr="00AE1FFF">
        <w:rPr>
          <w:rFonts w:ascii="Garamond" w:hAnsi="Garamond" w:cs="Times New Roman"/>
          <w:color w:val="222222"/>
          <w:sz w:val="24"/>
          <w:szCs w:val="24"/>
          <w:shd w:val="clear" w:color="auto" w:fill="FFFFFF"/>
        </w:rPr>
        <w:t>38</w:t>
      </w:r>
      <w:r w:rsidR="00C320C5" w:rsidRPr="00AE1FFF">
        <w:rPr>
          <w:rFonts w:ascii="Garamond" w:hAnsi="Garamond" w:cs="Times New Roman"/>
          <w:color w:val="222222"/>
          <w:sz w:val="24"/>
          <w:szCs w:val="24"/>
          <w:shd w:val="clear" w:color="auto" w:fill="FFFFFF"/>
        </w:rPr>
        <w:t>(</w:t>
      </w:r>
      <w:r w:rsidRPr="00AE1FFF">
        <w:rPr>
          <w:rFonts w:ascii="Garamond" w:hAnsi="Garamond" w:cs="Times New Roman"/>
          <w:color w:val="222222"/>
          <w:sz w:val="24"/>
          <w:szCs w:val="24"/>
          <w:shd w:val="clear" w:color="auto" w:fill="FFFFFF"/>
        </w:rPr>
        <w:t>3</w:t>
      </w:r>
      <w:r w:rsidR="00C320C5" w:rsidRPr="00AE1FFF">
        <w:rPr>
          <w:rFonts w:ascii="Garamond" w:hAnsi="Garamond" w:cs="Times New Roman"/>
          <w:color w:val="222222"/>
          <w:sz w:val="24"/>
          <w:szCs w:val="24"/>
          <w:shd w:val="clear" w:color="auto" w:fill="FFFFFF"/>
        </w:rPr>
        <w:t>)</w:t>
      </w:r>
      <w:r w:rsidRPr="00AE1FFF">
        <w:rPr>
          <w:rFonts w:ascii="Garamond" w:hAnsi="Garamond" w:cs="Times New Roman"/>
          <w:color w:val="222222"/>
          <w:sz w:val="24"/>
          <w:szCs w:val="24"/>
          <w:shd w:val="clear" w:color="auto" w:fill="FFFFFF"/>
        </w:rPr>
        <w:t>: 315-334.</w:t>
      </w:r>
    </w:p>
    <w:p w14:paraId="18494C2A" w14:textId="3FD3F5CB" w:rsidR="00C46D8F" w:rsidRPr="00AE1FFF" w:rsidRDefault="00C46D8F"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Cooper, D. 2012. “Erotic </w:t>
      </w:r>
      <w:r w:rsidR="00FC4063" w:rsidRPr="00AE1FFF">
        <w:rPr>
          <w:rFonts w:ascii="Garamond" w:hAnsi="Garamond"/>
          <w:color w:val="000000"/>
        </w:rPr>
        <w:t>c</w:t>
      </w:r>
      <w:r w:rsidRPr="00AE1FFF">
        <w:rPr>
          <w:rFonts w:ascii="Garamond" w:hAnsi="Garamond"/>
          <w:color w:val="000000"/>
        </w:rPr>
        <w:t>are: A queer feminist bathhouse and the power of attentive action”, in S.</w:t>
      </w:r>
      <w:r w:rsidR="00644DD6">
        <w:rPr>
          <w:rFonts w:ascii="Garamond" w:hAnsi="Garamond"/>
          <w:color w:val="000000"/>
        </w:rPr>
        <w:t xml:space="preserve"> </w:t>
      </w:r>
      <w:r w:rsidRPr="00AE1FFF">
        <w:rPr>
          <w:rFonts w:ascii="Garamond" w:hAnsi="Garamond"/>
          <w:color w:val="000000"/>
        </w:rPr>
        <w:t xml:space="preserve">Hines and Y. Taylor (eds), </w:t>
      </w:r>
      <w:r w:rsidRPr="00AE1FFF">
        <w:rPr>
          <w:rFonts w:ascii="Garamond" w:hAnsi="Garamond"/>
          <w:i/>
          <w:iCs/>
          <w:color w:val="000000"/>
        </w:rPr>
        <w:t>Sexualities: Past Reflections, Future Directions</w:t>
      </w:r>
      <w:r w:rsidRPr="00AE1FFF">
        <w:rPr>
          <w:rFonts w:ascii="Garamond" w:hAnsi="Garamond"/>
          <w:color w:val="000000"/>
        </w:rPr>
        <w:t>. Basingstoke: Palgrave Macmillan</w:t>
      </w:r>
      <w:r w:rsidR="002517C6" w:rsidRPr="00AE1FFF">
        <w:rPr>
          <w:rFonts w:ascii="Garamond" w:hAnsi="Garamond"/>
          <w:color w:val="000000"/>
        </w:rPr>
        <w:t>:</w:t>
      </w:r>
      <w:r w:rsidRPr="00AE1FFF">
        <w:rPr>
          <w:rFonts w:ascii="Garamond" w:hAnsi="Garamond"/>
          <w:color w:val="000000"/>
        </w:rPr>
        <w:t xml:space="preserve"> 206-225.</w:t>
      </w:r>
    </w:p>
    <w:p w14:paraId="65C54316" w14:textId="7E8C7001" w:rsidR="00C81124" w:rsidRPr="00AE1FFF" w:rsidRDefault="00C81124"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Cooper, D. 2004</w:t>
      </w:r>
      <w:r w:rsidR="007A5EFC" w:rsidRPr="00AE1FFF">
        <w:rPr>
          <w:rFonts w:ascii="Garamond" w:hAnsi="Garamond"/>
          <w:color w:val="000000"/>
        </w:rPr>
        <w:t xml:space="preserve">. </w:t>
      </w:r>
      <w:r w:rsidR="007A5EFC" w:rsidRPr="00AE1FFF">
        <w:rPr>
          <w:rFonts w:ascii="Garamond" w:hAnsi="Garamond"/>
          <w:i/>
          <w:iCs/>
          <w:color w:val="000000"/>
        </w:rPr>
        <w:t>Challenging Diversity: Rethinking Equality and the Value of Difference</w:t>
      </w:r>
      <w:r w:rsidR="007A5EFC" w:rsidRPr="00AE1FFF">
        <w:rPr>
          <w:rFonts w:ascii="Garamond" w:hAnsi="Garamond"/>
          <w:color w:val="000000"/>
        </w:rPr>
        <w:t>. Cambridge: CUP.</w:t>
      </w:r>
    </w:p>
    <w:p w14:paraId="7F6154E6" w14:textId="24AD83AD" w:rsidR="0070735F" w:rsidRPr="00AE1FFF" w:rsidRDefault="0070735F" w:rsidP="00C51CD2">
      <w:pPr>
        <w:pStyle w:val="CommentText"/>
        <w:spacing w:before="120" w:after="120" w:line="360" w:lineRule="auto"/>
        <w:rPr>
          <w:rFonts w:ascii="Garamond" w:hAnsi="Garamond" w:cs="Times New Roman"/>
          <w:color w:val="222222"/>
          <w:sz w:val="24"/>
          <w:szCs w:val="24"/>
          <w:shd w:val="clear" w:color="auto" w:fill="FFFFFF"/>
        </w:rPr>
      </w:pPr>
      <w:bookmarkStart w:id="16" w:name="_Hlk48679727"/>
      <w:r w:rsidRPr="00AE1FFF">
        <w:rPr>
          <w:rFonts w:ascii="Garamond" w:hAnsi="Garamond" w:cs="Times New Roman"/>
          <w:color w:val="222222"/>
          <w:sz w:val="24"/>
          <w:szCs w:val="24"/>
          <w:shd w:val="clear" w:color="auto" w:fill="FFFFFF"/>
        </w:rPr>
        <w:t xml:space="preserve">Cooper, D. 1995.  </w:t>
      </w:r>
      <w:r w:rsidR="00FC4063" w:rsidRPr="00AE1FFF">
        <w:rPr>
          <w:rFonts w:ascii="Garamond" w:hAnsi="Garamond" w:cs="Times New Roman"/>
          <w:i/>
          <w:iCs/>
          <w:color w:val="222222"/>
          <w:sz w:val="24"/>
          <w:szCs w:val="24"/>
          <w:shd w:val="clear" w:color="auto" w:fill="FFFFFF"/>
        </w:rPr>
        <w:t xml:space="preserve">Power in Struggle: </w:t>
      </w:r>
      <w:r w:rsidRPr="00AE1FFF">
        <w:rPr>
          <w:rFonts w:ascii="Garamond" w:hAnsi="Garamond" w:cs="Times New Roman"/>
          <w:i/>
          <w:iCs/>
          <w:color w:val="222222"/>
          <w:sz w:val="24"/>
          <w:szCs w:val="24"/>
          <w:shd w:val="clear" w:color="auto" w:fill="FFFFFF"/>
        </w:rPr>
        <w:t xml:space="preserve">Feminism, Sexuality and the State.  </w:t>
      </w:r>
      <w:r w:rsidRPr="00AE1FFF">
        <w:rPr>
          <w:rFonts w:ascii="Garamond" w:hAnsi="Garamond" w:cs="Times New Roman"/>
          <w:color w:val="222222"/>
          <w:sz w:val="24"/>
          <w:szCs w:val="24"/>
          <w:shd w:val="clear" w:color="auto" w:fill="FFFFFF"/>
        </w:rPr>
        <w:t xml:space="preserve">New York: </w:t>
      </w:r>
      <w:r w:rsidR="00644DD6">
        <w:rPr>
          <w:rFonts w:ascii="Garamond" w:hAnsi="Garamond" w:cs="Times New Roman"/>
          <w:color w:val="222222"/>
          <w:sz w:val="24"/>
          <w:szCs w:val="24"/>
          <w:shd w:val="clear" w:color="auto" w:fill="FFFFFF"/>
        </w:rPr>
        <w:t>NYU</w:t>
      </w:r>
      <w:r w:rsidRPr="00AE1FFF">
        <w:rPr>
          <w:rFonts w:ascii="Garamond" w:hAnsi="Garamond" w:cs="Times New Roman"/>
          <w:color w:val="222222"/>
          <w:sz w:val="24"/>
          <w:szCs w:val="24"/>
          <w:shd w:val="clear" w:color="auto" w:fill="FFFFFF"/>
        </w:rPr>
        <w:t xml:space="preserve"> Press.  </w:t>
      </w:r>
    </w:p>
    <w:p w14:paraId="4285B6E4" w14:textId="77777777" w:rsidR="003C6746" w:rsidRPr="00AE1FFF" w:rsidRDefault="007C5AF5" w:rsidP="00C51CD2">
      <w:pPr>
        <w:pStyle w:val="NormalWeb"/>
        <w:spacing w:before="120" w:beforeAutospacing="0" w:after="120" w:afterAutospacing="0" w:line="360" w:lineRule="auto"/>
        <w:rPr>
          <w:rFonts w:ascii="Garamond" w:hAnsi="Garamond"/>
          <w:color w:val="222222"/>
          <w:shd w:val="clear" w:color="auto" w:fill="FFFFFF"/>
        </w:rPr>
      </w:pPr>
      <w:r w:rsidRPr="00AE1FFF">
        <w:rPr>
          <w:rFonts w:ascii="Garamond" w:hAnsi="Garamond"/>
          <w:color w:val="222222"/>
          <w:shd w:val="clear" w:color="auto" w:fill="FFFFFF"/>
        </w:rPr>
        <w:t xml:space="preserve">Cooper, D. 1994. </w:t>
      </w:r>
      <w:r w:rsidRPr="00AE1FFF">
        <w:rPr>
          <w:rFonts w:ascii="Garamond" w:hAnsi="Garamond"/>
          <w:i/>
          <w:iCs/>
          <w:color w:val="222222"/>
          <w:shd w:val="clear" w:color="auto" w:fill="FFFFFF"/>
        </w:rPr>
        <w:t>Sexing the City: Lesbian and Gay Politics Within the Activist State</w:t>
      </w:r>
      <w:r w:rsidRPr="00AE1FFF">
        <w:rPr>
          <w:rFonts w:ascii="Garamond" w:hAnsi="Garamond"/>
          <w:color w:val="222222"/>
          <w:shd w:val="clear" w:color="auto" w:fill="FFFFFF"/>
        </w:rPr>
        <w:t xml:space="preserve">.  </w:t>
      </w:r>
      <w:r w:rsidRPr="00AE1FFF">
        <w:rPr>
          <w:rFonts w:ascii="Garamond" w:hAnsi="Garamond"/>
          <w:color w:val="555555"/>
          <w:kern w:val="36"/>
        </w:rPr>
        <w:t> </w:t>
      </w:r>
      <w:r w:rsidRPr="00AE1FFF">
        <w:rPr>
          <w:rFonts w:ascii="Garamond" w:hAnsi="Garamond"/>
          <w:color w:val="222222"/>
          <w:shd w:val="clear" w:color="auto" w:fill="FFFFFF"/>
        </w:rPr>
        <w:t xml:space="preserve">London: Rivers Oram Press. </w:t>
      </w:r>
    </w:p>
    <w:p w14:paraId="7C463FDF" w14:textId="0A4CE1F9" w:rsidR="00554973" w:rsidRPr="00AE1FFF"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Cooper, D. and Renz, F. 2016</w:t>
      </w:r>
      <w:r w:rsidR="00430D7F" w:rsidRPr="00AE1FFF">
        <w:rPr>
          <w:rFonts w:ascii="Garamond" w:hAnsi="Garamond"/>
          <w:color w:val="000000"/>
        </w:rPr>
        <w:t>.</w:t>
      </w:r>
      <w:r w:rsidRPr="00AE1FFF">
        <w:rPr>
          <w:rFonts w:ascii="Garamond" w:hAnsi="Garamond"/>
          <w:color w:val="000000"/>
        </w:rPr>
        <w:t xml:space="preserve"> “If the state decertified gender, what might happen to its meaning and value?” </w:t>
      </w:r>
      <w:r w:rsidRPr="00AE1FFF">
        <w:rPr>
          <w:rFonts w:ascii="Garamond" w:hAnsi="Garamond"/>
          <w:i/>
          <w:color w:val="000000"/>
        </w:rPr>
        <w:t>Journal of Law and Society</w:t>
      </w:r>
      <w:r w:rsidRPr="00AE1FFF">
        <w:rPr>
          <w:rFonts w:ascii="Garamond" w:hAnsi="Garamond"/>
          <w:color w:val="000000"/>
        </w:rPr>
        <w:t xml:space="preserve"> 43(4): 483-505.</w:t>
      </w:r>
    </w:p>
    <w:bookmarkEnd w:id="16"/>
    <w:p w14:paraId="26D6EDF1" w14:textId="29D08F9C" w:rsidR="00441381" w:rsidRPr="00AE1FFF" w:rsidRDefault="00441381" w:rsidP="00C51CD2">
      <w:pPr>
        <w:pStyle w:val="NormalWeb"/>
        <w:spacing w:before="120" w:beforeAutospacing="0" w:after="120" w:afterAutospacing="0" w:line="360" w:lineRule="auto"/>
        <w:rPr>
          <w:rFonts w:ascii="Garamond" w:hAnsi="Garamond"/>
          <w:i/>
          <w:iCs/>
          <w:color w:val="000000"/>
        </w:rPr>
      </w:pPr>
      <w:r w:rsidRPr="00AE1FFF">
        <w:rPr>
          <w:rFonts w:ascii="Garamond" w:hAnsi="Garamond"/>
          <w:color w:val="000000"/>
        </w:rPr>
        <w:t>Coy, M</w:t>
      </w:r>
      <w:r w:rsidR="00644DD6">
        <w:rPr>
          <w:rFonts w:ascii="Garamond" w:hAnsi="Garamond"/>
          <w:color w:val="000000"/>
        </w:rPr>
        <w:t>. (ed)</w:t>
      </w:r>
      <w:r w:rsidRPr="00AE1FFF">
        <w:rPr>
          <w:rFonts w:ascii="Garamond" w:hAnsi="Garamond"/>
          <w:color w:val="000000"/>
        </w:rPr>
        <w:t xml:space="preserve"> 2016. </w:t>
      </w:r>
      <w:r w:rsidRPr="00AE1FFF">
        <w:rPr>
          <w:rFonts w:ascii="Garamond" w:hAnsi="Garamond"/>
          <w:i/>
          <w:iCs/>
          <w:color w:val="000000"/>
        </w:rPr>
        <w:t xml:space="preserve">Prostitution, Harm and Gender Inequality: Theory, Research and Policy. </w:t>
      </w:r>
      <w:r w:rsidR="00644DD6">
        <w:rPr>
          <w:rFonts w:ascii="Garamond" w:hAnsi="Garamond"/>
          <w:color w:val="000000"/>
        </w:rPr>
        <w:t xml:space="preserve">London/ </w:t>
      </w:r>
      <w:r w:rsidRPr="00AE1FFF">
        <w:rPr>
          <w:rFonts w:ascii="Garamond" w:hAnsi="Garamond"/>
          <w:color w:val="000000"/>
        </w:rPr>
        <w:t xml:space="preserve">New York: Routledge. </w:t>
      </w:r>
      <w:r w:rsidRPr="00AE1FFF">
        <w:rPr>
          <w:rFonts w:ascii="Garamond" w:hAnsi="Garamond"/>
          <w:i/>
          <w:iCs/>
          <w:color w:val="000000"/>
        </w:rPr>
        <w:t xml:space="preserve">  </w:t>
      </w:r>
    </w:p>
    <w:p w14:paraId="366F9D36" w14:textId="53DE326D" w:rsidR="005063C6" w:rsidRPr="00AE1FFF" w:rsidRDefault="005063C6" w:rsidP="00C51CD2">
      <w:pPr>
        <w:pStyle w:val="NormalWeb"/>
        <w:spacing w:before="120" w:beforeAutospacing="0" w:after="120" w:afterAutospacing="0" w:line="360" w:lineRule="auto"/>
        <w:rPr>
          <w:rFonts w:ascii="Garamond" w:hAnsi="Garamond"/>
        </w:rPr>
      </w:pPr>
      <w:r w:rsidRPr="00AE1FFF">
        <w:rPr>
          <w:rFonts w:ascii="Garamond" w:hAnsi="Garamond"/>
        </w:rPr>
        <w:t>Cruz, D.B. 200</w:t>
      </w:r>
      <w:r w:rsidR="0027787A" w:rsidRPr="00AE1FFF">
        <w:rPr>
          <w:rFonts w:ascii="Garamond" w:hAnsi="Garamond"/>
        </w:rPr>
        <w:t>2</w:t>
      </w:r>
      <w:r w:rsidR="00644DD6">
        <w:rPr>
          <w:rFonts w:ascii="Garamond" w:hAnsi="Garamond"/>
        </w:rPr>
        <w:t>. “</w:t>
      </w:r>
      <w:r w:rsidRPr="00AE1FFF">
        <w:rPr>
          <w:rFonts w:ascii="Garamond" w:hAnsi="Garamond"/>
        </w:rPr>
        <w:t xml:space="preserve">Disestablishing </w:t>
      </w:r>
      <w:r w:rsidR="00FC4063" w:rsidRPr="00AE1FFF">
        <w:rPr>
          <w:rFonts w:ascii="Garamond" w:hAnsi="Garamond"/>
        </w:rPr>
        <w:t>s</w:t>
      </w:r>
      <w:r w:rsidRPr="00AE1FFF">
        <w:rPr>
          <w:rFonts w:ascii="Garamond" w:hAnsi="Garamond"/>
        </w:rPr>
        <w:t xml:space="preserve">ex and </w:t>
      </w:r>
      <w:r w:rsidR="00FC4063" w:rsidRPr="00AE1FFF">
        <w:rPr>
          <w:rFonts w:ascii="Garamond" w:hAnsi="Garamond"/>
        </w:rPr>
        <w:t>g</w:t>
      </w:r>
      <w:r w:rsidRPr="00AE1FFF">
        <w:rPr>
          <w:rFonts w:ascii="Garamond" w:hAnsi="Garamond"/>
        </w:rPr>
        <w:t>ender</w:t>
      </w:r>
      <w:r w:rsidR="00644DD6">
        <w:rPr>
          <w:rFonts w:ascii="Garamond" w:hAnsi="Garamond"/>
        </w:rPr>
        <w:t>”</w:t>
      </w:r>
      <w:r w:rsidR="008A38B2" w:rsidRPr="00AE1FFF">
        <w:rPr>
          <w:rFonts w:ascii="Garamond" w:hAnsi="Garamond"/>
        </w:rPr>
        <w:t>.</w:t>
      </w:r>
      <w:r w:rsidRPr="00AE1FFF">
        <w:rPr>
          <w:rFonts w:ascii="Garamond" w:hAnsi="Garamond"/>
        </w:rPr>
        <w:t xml:space="preserve"> </w:t>
      </w:r>
      <w:r w:rsidR="0027787A" w:rsidRPr="00AE1FFF">
        <w:rPr>
          <w:rFonts w:ascii="Garamond" w:hAnsi="Garamond"/>
          <w:i/>
          <w:iCs/>
        </w:rPr>
        <w:t>California</w:t>
      </w:r>
      <w:r w:rsidRPr="00AE1FFF">
        <w:rPr>
          <w:rFonts w:ascii="Garamond" w:hAnsi="Garamond"/>
          <w:i/>
          <w:iCs/>
        </w:rPr>
        <w:t xml:space="preserve"> Law Review</w:t>
      </w:r>
      <w:r w:rsidR="00997AE1" w:rsidRPr="00AE1FFF">
        <w:rPr>
          <w:rFonts w:ascii="Garamond" w:hAnsi="Garamond"/>
        </w:rPr>
        <w:t xml:space="preserve"> </w:t>
      </w:r>
      <w:r w:rsidR="0027787A" w:rsidRPr="00AE1FFF">
        <w:rPr>
          <w:rFonts w:ascii="Garamond" w:hAnsi="Garamond"/>
        </w:rPr>
        <w:t>90(4): 999-1086</w:t>
      </w:r>
      <w:r w:rsidR="003C6746" w:rsidRPr="00AE1FFF">
        <w:rPr>
          <w:rFonts w:ascii="Garamond" w:hAnsi="Garamond"/>
        </w:rPr>
        <w:t>.</w:t>
      </w:r>
      <w:r w:rsidRPr="00AE1FFF">
        <w:rPr>
          <w:rFonts w:ascii="Garamond" w:hAnsi="Garamond"/>
        </w:rPr>
        <w:t xml:space="preserve"> </w:t>
      </w:r>
    </w:p>
    <w:p w14:paraId="30ED19D9" w14:textId="40C38D87" w:rsidR="00EF0CEF" w:rsidRPr="00AE1FFF" w:rsidRDefault="00997AE1" w:rsidP="00C51CD2">
      <w:pPr>
        <w:pStyle w:val="NormalWeb"/>
        <w:spacing w:before="120" w:beforeAutospacing="0" w:after="120" w:afterAutospacing="0" w:line="360" w:lineRule="auto"/>
        <w:rPr>
          <w:rFonts w:ascii="Garamond" w:hAnsi="Garamond"/>
        </w:rPr>
      </w:pPr>
      <w:r w:rsidRPr="00AE1FFF">
        <w:rPr>
          <w:rFonts w:ascii="Garamond" w:hAnsi="Garamond"/>
        </w:rPr>
        <w:t>Davy, Z.</w:t>
      </w:r>
      <w:r w:rsidR="00EF0CEF" w:rsidRPr="00AE1FFF">
        <w:rPr>
          <w:rFonts w:ascii="Garamond" w:hAnsi="Garamond"/>
        </w:rPr>
        <w:t xml:space="preserve">  2010.</w:t>
      </w:r>
      <w:r w:rsidR="00644DD6">
        <w:rPr>
          <w:rFonts w:ascii="Garamond" w:hAnsi="Garamond"/>
        </w:rPr>
        <w:t xml:space="preserve"> “Transsexual a</w:t>
      </w:r>
      <w:r w:rsidRPr="00AE1FFF">
        <w:rPr>
          <w:rFonts w:ascii="Garamond" w:hAnsi="Garamond"/>
        </w:rPr>
        <w:t>gent</w:t>
      </w:r>
      <w:r w:rsidR="009D3535" w:rsidRPr="00AE1FFF">
        <w:rPr>
          <w:rFonts w:ascii="Garamond" w:hAnsi="Garamond"/>
        </w:rPr>
        <w:t>s</w:t>
      </w:r>
      <w:r w:rsidRPr="00AE1FFF">
        <w:rPr>
          <w:rFonts w:ascii="Garamond" w:hAnsi="Garamond"/>
        </w:rPr>
        <w:t xml:space="preserve">: Negotiating </w:t>
      </w:r>
      <w:r w:rsidR="000D26A6" w:rsidRPr="00AE1FFF">
        <w:rPr>
          <w:rFonts w:ascii="Garamond" w:hAnsi="Garamond"/>
        </w:rPr>
        <w:t>a</w:t>
      </w:r>
      <w:r w:rsidRPr="00AE1FFF">
        <w:rPr>
          <w:rFonts w:ascii="Garamond" w:hAnsi="Garamond"/>
        </w:rPr>
        <w:t xml:space="preserve">uthenticity and </w:t>
      </w:r>
      <w:r w:rsidR="000D26A6" w:rsidRPr="00AE1FFF">
        <w:rPr>
          <w:rFonts w:ascii="Garamond" w:hAnsi="Garamond"/>
        </w:rPr>
        <w:t>e</w:t>
      </w:r>
      <w:r w:rsidRPr="00AE1FFF">
        <w:rPr>
          <w:rFonts w:ascii="Garamond" w:hAnsi="Garamond"/>
        </w:rPr>
        <w:t xml:space="preserve">mbodiment within the UK’s </w:t>
      </w:r>
      <w:r w:rsidR="000D26A6" w:rsidRPr="00AE1FFF">
        <w:rPr>
          <w:rFonts w:ascii="Garamond" w:hAnsi="Garamond"/>
        </w:rPr>
        <w:t>m</w:t>
      </w:r>
      <w:r w:rsidRPr="00AE1FFF">
        <w:rPr>
          <w:rFonts w:ascii="Garamond" w:hAnsi="Garamond"/>
        </w:rPr>
        <w:t xml:space="preserve">edicolegal </w:t>
      </w:r>
      <w:r w:rsidR="000D26A6" w:rsidRPr="00AE1FFF">
        <w:rPr>
          <w:rFonts w:ascii="Garamond" w:hAnsi="Garamond"/>
        </w:rPr>
        <w:t>s</w:t>
      </w:r>
      <w:r w:rsidRPr="00AE1FFF">
        <w:rPr>
          <w:rFonts w:ascii="Garamond" w:hAnsi="Garamond"/>
        </w:rPr>
        <w:t>ystem”</w:t>
      </w:r>
      <w:r w:rsidR="000D26A6" w:rsidRPr="00AE1FFF">
        <w:rPr>
          <w:rFonts w:ascii="Garamond" w:hAnsi="Garamond"/>
        </w:rPr>
        <w:t>,</w:t>
      </w:r>
      <w:r w:rsidRPr="00AE1FFF">
        <w:rPr>
          <w:rFonts w:ascii="Garamond" w:hAnsi="Garamond"/>
        </w:rPr>
        <w:t xml:space="preserve"> in </w:t>
      </w:r>
      <w:r w:rsidR="00644DD6">
        <w:rPr>
          <w:rFonts w:ascii="Garamond" w:hAnsi="Garamond"/>
          <w:color w:val="000000"/>
        </w:rPr>
        <w:t>S. Hines and T. Sanger (eds),</w:t>
      </w:r>
      <w:r w:rsidR="00EF0CEF" w:rsidRPr="00AE1FFF">
        <w:rPr>
          <w:rFonts w:ascii="Garamond" w:hAnsi="Garamond"/>
          <w:color w:val="000000"/>
        </w:rPr>
        <w:t xml:space="preserve"> </w:t>
      </w:r>
      <w:r w:rsidR="00EF0CEF" w:rsidRPr="00AE1FFF">
        <w:rPr>
          <w:rFonts w:ascii="Garamond" w:hAnsi="Garamond"/>
          <w:i/>
          <w:iCs/>
          <w:color w:val="000000"/>
        </w:rPr>
        <w:t xml:space="preserve">Transgender Identities: Towards a Social Analysis of Gender Diversity. </w:t>
      </w:r>
      <w:r w:rsidR="00EF0CEF" w:rsidRPr="00AE1FFF">
        <w:rPr>
          <w:rFonts w:ascii="Garamond" w:hAnsi="Garamond"/>
          <w:color w:val="000000"/>
        </w:rPr>
        <w:t>New York/Oxford: Routledge</w:t>
      </w:r>
      <w:r w:rsidR="00C320C5" w:rsidRPr="00AE1FFF">
        <w:rPr>
          <w:rFonts w:ascii="Garamond" w:hAnsi="Garamond"/>
          <w:color w:val="000000"/>
        </w:rPr>
        <w:t>:</w:t>
      </w:r>
      <w:r w:rsidR="00644DD6">
        <w:rPr>
          <w:rFonts w:ascii="Garamond" w:hAnsi="Garamond"/>
          <w:color w:val="000000"/>
        </w:rPr>
        <w:t xml:space="preserve"> </w:t>
      </w:r>
      <w:r w:rsidR="00EF0CEF" w:rsidRPr="00AE1FFF">
        <w:rPr>
          <w:rFonts w:ascii="Garamond" w:hAnsi="Garamond"/>
          <w:color w:val="000000"/>
        </w:rPr>
        <w:t>106-126.</w:t>
      </w:r>
    </w:p>
    <w:p w14:paraId="59BC7766" w14:textId="1932F983" w:rsidR="00554973" w:rsidRPr="00AE1FFF"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Dunne, P. 2018</w:t>
      </w:r>
      <w:r w:rsidR="00430D7F" w:rsidRPr="00AE1FFF">
        <w:rPr>
          <w:rFonts w:ascii="Garamond" w:hAnsi="Garamond"/>
          <w:color w:val="000000"/>
        </w:rPr>
        <w:t>.</w:t>
      </w:r>
      <w:r w:rsidRPr="00AE1FFF">
        <w:rPr>
          <w:rFonts w:ascii="Garamond" w:hAnsi="Garamond"/>
          <w:color w:val="000000"/>
        </w:rPr>
        <w:t xml:space="preserve"> “(Trans)forming single-gender services and communal accommodations”. </w:t>
      </w:r>
      <w:r w:rsidRPr="00AE1FFF">
        <w:rPr>
          <w:rFonts w:ascii="Garamond" w:hAnsi="Garamond"/>
          <w:i/>
          <w:color w:val="000000"/>
        </w:rPr>
        <w:t>Social and Legal Studies</w:t>
      </w:r>
      <w:r w:rsidRPr="00AE1FFF">
        <w:rPr>
          <w:rFonts w:ascii="Garamond" w:hAnsi="Garamond"/>
          <w:color w:val="000000"/>
        </w:rPr>
        <w:t xml:space="preserve"> 26(5): 537-561.</w:t>
      </w:r>
    </w:p>
    <w:p w14:paraId="4EE5DA8A" w14:textId="6F287C68" w:rsidR="003B1D61" w:rsidRPr="00AE1FFF" w:rsidRDefault="003B1D61"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Dunne, P. and Mulder, D. 2018.  “Beyond the </w:t>
      </w:r>
      <w:r w:rsidR="000D26A6" w:rsidRPr="00AE1FFF">
        <w:rPr>
          <w:rFonts w:ascii="Garamond" w:hAnsi="Garamond"/>
          <w:color w:val="000000"/>
        </w:rPr>
        <w:t>b</w:t>
      </w:r>
      <w:r w:rsidRPr="00AE1FFF">
        <w:rPr>
          <w:rFonts w:ascii="Garamond" w:hAnsi="Garamond"/>
          <w:color w:val="000000"/>
        </w:rPr>
        <w:t xml:space="preserve">inary: Towards the </w:t>
      </w:r>
      <w:r w:rsidR="000D26A6" w:rsidRPr="00AE1FFF">
        <w:rPr>
          <w:rFonts w:ascii="Garamond" w:hAnsi="Garamond"/>
          <w:color w:val="000000"/>
        </w:rPr>
        <w:t>t</w:t>
      </w:r>
      <w:r w:rsidRPr="00AE1FFF">
        <w:rPr>
          <w:rFonts w:ascii="Garamond" w:hAnsi="Garamond"/>
          <w:color w:val="000000"/>
        </w:rPr>
        <w:t xml:space="preserve">hird </w:t>
      </w:r>
      <w:r w:rsidR="000D26A6" w:rsidRPr="00AE1FFF">
        <w:rPr>
          <w:rFonts w:ascii="Garamond" w:hAnsi="Garamond"/>
          <w:color w:val="000000"/>
        </w:rPr>
        <w:t>s</w:t>
      </w:r>
      <w:r w:rsidRPr="00AE1FFF">
        <w:rPr>
          <w:rFonts w:ascii="Garamond" w:hAnsi="Garamond"/>
          <w:color w:val="000000"/>
        </w:rPr>
        <w:t xml:space="preserve">ex </w:t>
      </w:r>
      <w:r w:rsidR="000D26A6" w:rsidRPr="00AE1FFF">
        <w:rPr>
          <w:rFonts w:ascii="Garamond" w:hAnsi="Garamond"/>
          <w:color w:val="000000"/>
        </w:rPr>
        <w:t>c</w:t>
      </w:r>
      <w:r w:rsidRPr="00AE1FFF">
        <w:rPr>
          <w:rFonts w:ascii="Garamond" w:hAnsi="Garamond"/>
          <w:color w:val="000000"/>
        </w:rPr>
        <w:t xml:space="preserve">ategory in Germany”. </w:t>
      </w:r>
      <w:r w:rsidRPr="00AE1FFF">
        <w:rPr>
          <w:rFonts w:ascii="Garamond" w:hAnsi="Garamond"/>
          <w:i/>
          <w:iCs/>
          <w:color w:val="000000"/>
        </w:rPr>
        <w:t xml:space="preserve">German Law Journal </w:t>
      </w:r>
      <w:r w:rsidRPr="00AE1FFF">
        <w:rPr>
          <w:rFonts w:ascii="Garamond" w:hAnsi="Garamond"/>
          <w:color w:val="000000"/>
        </w:rPr>
        <w:t>19</w:t>
      </w:r>
      <w:r w:rsidR="008A38B2" w:rsidRPr="00AE1FFF">
        <w:rPr>
          <w:rFonts w:ascii="Garamond" w:hAnsi="Garamond"/>
          <w:color w:val="000000"/>
        </w:rPr>
        <w:t>(</w:t>
      </w:r>
      <w:r w:rsidRPr="00AE1FFF">
        <w:rPr>
          <w:rFonts w:ascii="Garamond" w:hAnsi="Garamond"/>
          <w:color w:val="000000"/>
        </w:rPr>
        <w:t>3</w:t>
      </w:r>
      <w:r w:rsidR="008A38B2" w:rsidRPr="00AE1FFF">
        <w:rPr>
          <w:rFonts w:ascii="Garamond" w:hAnsi="Garamond"/>
          <w:color w:val="000000"/>
        </w:rPr>
        <w:t>)</w:t>
      </w:r>
      <w:r w:rsidRPr="00AE1FFF">
        <w:rPr>
          <w:rFonts w:ascii="Garamond" w:hAnsi="Garamond"/>
          <w:color w:val="000000"/>
        </w:rPr>
        <w:t xml:space="preserve">: 627-648.  </w:t>
      </w:r>
    </w:p>
    <w:p w14:paraId="6B2C1CCB" w14:textId="2EE487CA" w:rsidR="005F7172" w:rsidRDefault="005F7172"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lastRenderedPageBreak/>
        <w:t>Dus</w:t>
      </w:r>
      <w:r w:rsidR="00644DD6">
        <w:rPr>
          <w:rFonts w:ascii="Garamond" w:hAnsi="Garamond"/>
          <w:color w:val="000000"/>
        </w:rPr>
        <w:t>tin, M. and Phillips, A. 2008. “Whose agenda is i</w:t>
      </w:r>
      <w:r w:rsidRPr="00AE1FFF">
        <w:rPr>
          <w:rFonts w:ascii="Garamond" w:hAnsi="Garamond"/>
          <w:color w:val="000000"/>
        </w:rPr>
        <w:t>t? Abuses of women and abuses of culture in Britain</w:t>
      </w:r>
      <w:r w:rsidR="00644DD6">
        <w:rPr>
          <w:rFonts w:ascii="Garamond" w:hAnsi="Garamond"/>
          <w:color w:val="000000"/>
        </w:rPr>
        <w:t>”</w:t>
      </w:r>
      <w:r w:rsidRPr="00AE1FFF">
        <w:rPr>
          <w:rFonts w:ascii="Garamond" w:hAnsi="Garamond"/>
          <w:color w:val="000000"/>
        </w:rPr>
        <w:t xml:space="preserve">. </w:t>
      </w:r>
      <w:r w:rsidRPr="00AE1FFF">
        <w:rPr>
          <w:rFonts w:ascii="Garamond" w:hAnsi="Garamond"/>
          <w:i/>
          <w:iCs/>
          <w:color w:val="000000"/>
        </w:rPr>
        <w:t>Ethnicities</w:t>
      </w:r>
      <w:r w:rsidRPr="00AE1FFF">
        <w:rPr>
          <w:rFonts w:ascii="Garamond" w:hAnsi="Garamond"/>
          <w:color w:val="000000"/>
        </w:rPr>
        <w:t xml:space="preserve"> 8(3): 405-424.</w:t>
      </w:r>
    </w:p>
    <w:p w14:paraId="103A1F5C" w14:textId="5F33FBF0" w:rsidR="004A5B8F" w:rsidRPr="00AE1FFF" w:rsidRDefault="00171973" w:rsidP="00C51CD2">
      <w:pPr>
        <w:pStyle w:val="NormalWeb"/>
        <w:spacing w:before="120" w:beforeAutospacing="0" w:after="120" w:afterAutospacing="0" w:line="360" w:lineRule="auto"/>
        <w:rPr>
          <w:rFonts w:ascii="Garamond" w:hAnsi="Garamond"/>
          <w:color w:val="000000"/>
        </w:rPr>
      </w:pPr>
      <w:r>
        <w:rPr>
          <w:rFonts w:ascii="Garamond" w:hAnsi="Garamond"/>
          <w:color w:val="000000"/>
        </w:rPr>
        <w:t>Enright, M., McNeilly, K. and</w:t>
      </w:r>
      <w:r w:rsidR="004A5B8F" w:rsidRPr="004A5B8F">
        <w:rPr>
          <w:rFonts w:ascii="Garamond" w:hAnsi="Garamond"/>
          <w:color w:val="000000"/>
        </w:rPr>
        <w:t xml:space="preserve"> de Londras, F. (2020). </w:t>
      </w:r>
      <w:r>
        <w:rPr>
          <w:rFonts w:ascii="Garamond" w:hAnsi="Garamond"/>
          <w:color w:val="000000"/>
        </w:rPr>
        <w:t>“</w:t>
      </w:r>
      <w:r w:rsidR="004A5B8F" w:rsidRPr="004A5B8F">
        <w:rPr>
          <w:rFonts w:ascii="Garamond" w:hAnsi="Garamond"/>
          <w:color w:val="000000"/>
        </w:rPr>
        <w:t>Abortion activism, legal change, and taking feminist law work seriously</w:t>
      </w:r>
      <w:r>
        <w:rPr>
          <w:rFonts w:ascii="Garamond" w:hAnsi="Garamond"/>
          <w:color w:val="000000"/>
        </w:rPr>
        <w:t>”</w:t>
      </w:r>
      <w:r w:rsidR="004A5B8F" w:rsidRPr="004A5B8F">
        <w:rPr>
          <w:rFonts w:ascii="Garamond" w:hAnsi="Garamond"/>
          <w:color w:val="000000"/>
        </w:rPr>
        <w:t xml:space="preserve">. </w:t>
      </w:r>
      <w:r w:rsidR="004A5B8F" w:rsidRPr="004A5B8F">
        <w:rPr>
          <w:rFonts w:ascii="Garamond" w:hAnsi="Garamond"/>
          <w:i/>
          <w:iCs/>
          <w:color w:val="000000"/>
        </w:rPr>
        <w:t>Northern Ireland Legal Quarterly</w:t>
      </w:r>
      <w:r w:rsidR="004A5B8F" w:rsidRPr="004A5B8F">
        <w:rPr>
          <w:rFonts w:ascii="Garamond" w:hAnsi="Garamond"/>
          <w:color w:val="000000"/>
        </w:rPr>
        <w:t xml:space="preserve"> 71(3)</w:t>
      </w:r>
      <w:r w:rsidR="004A5B8F">
        <w:rPr>
          <w:rFonts w:ascii="Garamond" w:hAnsi="Garamond"/>
          <w:color w:val="000000"/>
        </w:rPr>
        <w:t>: 7-33</w:t>
      </w:r>
      <w:r w:rsidR="004A5B8F" w:rsidRPr="004A5B8F">
        <w:rPr>
          <w:rFonts w:ascii="Garamond" w:hAnsi="Garamond"/>
          <w:color w:val="000000"/>
        </w:rPr>
        <w:t>.</w:t>
      </w:r>
    </w:p>
    <w:p w14:paraId="196937FF" w14:textId="47D5AC11" w:rsidR="00A7258F" w:rsidRPr="00AE1FFF" w:rsidRDefault="0027787A" w:rsidP="00A7258F">
      <w:pPr>
        <w:pStyle w:val="NormalWeb"/>
        <w:spacing w:before="120" w:beforeAutospacing="0" w:after="120" w:afterAutospacing="0" w:line="360" w:lineRule="auto"/>
        <w:rPr>
          <w:rFonts w:ascii="Garamond" w:hAnsi="Garamond"/>
        </w:rPr>
      </w:pPr>
      <w:r w:rsidRPr="00AE1FFF">
        <w:rPr>
          <w:rFonts w:ascii="Garamond" w:hAnsi="Garamond"/>
        </w:rPr>
        <w:t>Equality and Human Rights Commission</w:t>
      </w:r>
      <w:r w:rsidR="00644DD6">
        <w:rPr>
          <w:rFonts w:ascii="Garamond" w:hAnsi="Garamond"/>
        </w:rPr>
        <w:t xml:space="preserve"> (EHRC</w:t>
      </w:r>
      <w:r w:rsidR="00B12F28" w:rsidRPr="00AE1FFF">
        <w:rPr>
          <w:rFonts w:ascii="Garamond" w:hAnsi="Garamond"/>
        </w:rPr>
        <w:t>).</w:t>
      </w:r>
      <w:r w:rsidRPr="00AE1FFF">
        <w:rPr>
          <w:rFonts w:ascii="Garamond" w:hAnsi="Garamond"/>
        </w:rPr>
        <w:t xml:space="preserve"> 2019. </w:t>
      </w:r>
      <w:r w:rsidRPr="00AE1FFF">
        <w:rPr>
          <w:rFonts w:ascii="Garamond" w:hAnsi="Garamond"/>
          <w:i/>
          <w:iCs/>
        </w:rPr>
        <w:t>Research Report 123:</w:t>
      </w:r>
      <w:r w:rsidRPr="00AE1FFF">
        <w:rPr>
          <w:rFonts w:ascii="Garamond" w:hAnsi="Garamond"/>
        </w:rPr>
        <w:t xml:space="preserve"> </w:t>
      </w:r>
      <w:r w:rsidRPr="00AE1FFF">
        <w:rPr>
          <w:rFonts w:ascii="Garamond" w:hAnsi="Garamond"/>
          <w:i/>
          <w:iCs/>
        </w:rPr>
        <w:t>Exploring Positive Action as a Tool to Address Under-representation in Apprenticeships</w:t>
      </w:r>
      <w:r w:rsidR="002517C6" w:rsidRPr="00AE1FFF">
        <w:rPr>
          <w:rFonts w:ascii="Garamond" w:hAnsi="Garamond"/>
        </w:rPr>
        <w:t>,</w:t>
      </w:r>
      <w:r w:rsidRPr="00AE1FFF">
        <w:rPr>
          <w:rFonts w:ascii="Garamond" w:hAnsi="Garamond"/>
        </w:rPr>
        <w:t xml:space="preserve"> </w:t>
      </w:r>
      <w:r w:rsidR="00B12F28" w:rsidRPr="00AE1FFF">
        <w:rPr>
          <w:rFonts w:ascii="Garamond" w:hAnsi="Garamond"/>
        </w:rPr>
        <w:t xml:space="preserve">4 </w:t>
      </w:r>
      <w:r w:rsidRPr="00AE1FFF">
        <w:rPr>
          <w:rFonts w:ascii="Garamond" w:hAnsi="Garamond"/>
        </w:rPr>
        <w:t xml:space="preserve">March 2019.  </w:t>
      </w:r>
      <w:hyperlink r:id="rId12" w:history="1">
        <w:r w:rsidR="00A7258F" w:rsidRPr="007C61D2">
          <w:rPr>
            <w:rStyle w:val="Hyperlink"/>
            <w:rFonts w:ascii="Garamond" w:hAnsi="Garamond"/>
          </w:rPr>
          <w:t>https://www.equalityhumanrights.com/en/publication-download/exploring-positive-action-tool-address-under-representation-apprenticeships</w:t>
        </w:r>
      </w:hyperlink>
      <w:r w:rsidR="00A7258F">
        <w:rPr>
          <w:rFonts w:ascii="Garamond" w:hAnsi="Garamond"/>
        </w:rPr>
        <w:t>.</w:t>
      </w:r>
    </w:p>
    <w:p w14:paraId="5361C257" w14:textId="77777777" w:rsidR="00426972" w:rsidRPr="00AE4ACB" w:rsidRDefault="00426972" w:rsidP="00C51CD2">
      <w:pPr>
        <w:spacing w:after="160" w:line="259" w:lineRule="auto"/>
        <w:rPr>
          <w:rFonts w:ascii="Garamond" w:hAnsi="Garamond" w:cs="Times New Roman"/>
          <w:color w:val="000000" w:themeColor="text1"/>
          <w:sz w:val="24"/>
          <w:szCs w:val="24"/>
        </w:rPr>
      </w:pPr>
      <w:r w:rsidRPr="00AE1FFF">
        <w:rPr>
          <w:rFonts w:ascii="Garamond" w:hAnsi="Garamond" w:cs="Times New Roman"/>
          <w:sz w:val="24"/>
          <w:szCs w:val="24"/>
        </w:rPr>
        <w:t xml:space="preserve">Erikainen, S. 2019.  </w:t>
      </w:r>
      <w:r w:rsidRPr="00AE1FFF">
        <w:rPr>
          <w:rFonts w:ascii="Garamond" w:eastAsia="Times New Roman" w:hAnsi="Garamond" w:cs="Times New Roman"/>
          <w:i/>
          <w:iCs/>
          <w:color w:val="111111"/>
          <w:kern w:val="36"/>
          <w:sz w:val="24"/>
          <w:szCs w:val="24"/>
          <w:lang w:eastAsia="en-GB"/>
        </w:rPr>
        <w:t>Gender Verification and the Making of the Female Body in Sport: A History of the Present</w:t>
      </w:r>
      <w:r w:rsidRPr="00AE1FFF">
        <w:rPr>
          <w:rFonts w:ascii="Garamond" w:eastAsia="Times New Roman" w:hAnsi="Garamond" w:cs="Times New Roman"/>
          <w:color w:val="111111"/>
          <w:kern w:val="36"/>
          <w:sz w:val="24"/>
          <w:szCs w:val="24"/>
          <w:lang w:eastAsia="en-GB"/>
        </w:rPr>
        <w:t xml:space="preserve">. Abingdon: Routledge.  </w:t>
      </w:r>
    </w:p>
    <w:p w14:paraId="381F7E49" w14:textId="77777777" w:rsidR="00AE4ACB" w:rsidRPr="00AE4ACB" w:rsidRDefault="006C61FE" w:rsidP="00AE4ACB">
      <w:pPr>
        <w:pStyle w:val="CommentText"/>
        <w:spacing w:before="120" w:after="120" w:line="360" w:lineRule="auto"/>
        <w:rPr>
          <w:rFonts w:ascii="Garamond" w:hAnsi="Garamond" w:cs="Times New Roman"/>
          <w:color w:val="000000" w:themeColor="text1"/>
          <w:sz w:val="24"/>
          <w:szCs w:val="24"/>
          <w:shd w:val="clear" w:color="auto" w:fill="FFFFFF"/>
        </w:rPr>
      </w:pPr>
      <w:r w:rsidRPr="00AE4ACB">
        <w:rPr>
          <w:rFonts w:ascii="Garamond" w:hAnsi="Garamond" w:cs="Times New Roman"/>
          <w:color w:val="000000" w:themeColor="text1"/>
          <w:sz w:val="24"/>
          <w:szCs w:val="24"/>
          <w:shd w:val="clear" w:color="auto" w:fill="FFFFFF"/>
        </w:rPr>
        <w:t xml:space="preserve">Evans, E. 2016. “Diversity </w:t>
      </w:r>
      <w:r w:rsidR="000D26A6" w:rsidRPr="00AE4ACB">
        <w:rPr>
          <w:rFonts w:ascii="Garamond" w:hAnsi="Garamond" w:cs="Times New Roman"/>
          <w:color w:val="000000" w:themeColor="text1"/>
          <w:sz w:val="24"/>
          <w:szCs w:val="24"/>
          <w:shd w:val="clear" w:color="auto" w:fill="FFFFFF"/>
        </w:rPr>
        <w:t>m</w:t>
      </w:r>
      <w:r w:rsidRPr="00AE4ACB">
        <w:rPr>
          <w:rFonts w:ascii="Garamond" w:hAnsi="Garamond" w:cs="Times New Roman"/>
          <w:color w:val="000000" w:themeColor="text1"/>
          <w:sz w:val="24"/>
          <w:szCs w:val="24"/>
          <w:shd w:val="clear" w:color="auto" w:fill="FFFFFF"/>
        </w:rPr>
        <w:t xml:space="preserve">atters: Intersectionality and </w:t>
      </w:r>
      <w:r w:rsidR="000D26A6" w:rsidRPr="00AE4ACB">
        <w:rPr>
          <w:rFonts w:ascii="Garamond" w:hAnsi="Garamond" w:cs="Times New Roman"/>
          <w:color w:val="000000" w:themeColor="text1"/>
          <w:sz w:val="24"/>
          <w:szCs w:val="24"/>
          <w:shd w:val="clear" w:color="auto" w:fill="FFFFFF"/>
        </w:rPr>
        <w:t>w</w:t>
      </w:r>
      <w:r w:rsidRPr="00AE4ACB">
        <w:rPr>
          <w:rFonts w:ascii="Garamond" w:hAnsi="Garamond" w:cs="Times New Roman"/>
          <w:color w:val="000000" w:themeColor="text1"/>
          <w:sz w:val="24"/>
          <w:szCs w:val="24"/>
          <w:shd w:val="clear" w:color="auto" w:fill="FFFFFF"/>
        </w:rPr>
        <w:t>omen</w:t>
      </w:r>
      <w:r w:rsidR="00AE4ACB" w:rsidRPr="00AE4ACB">
        <w:rPr>
          <w:rFonts w:ascii="Garamond" w:hAnsi="Garamond" w:cs="Times New Roman"/>
          <w:color w:val="000000" w:themeColor="text1"/>
          <w:sz w:val="24"/>
          <w:szCs w:val="24"/>
          <w:shd w:val="clear" w:color="auto" w:fill="FFFFFF"/>
        </w:rPr>
        <w:t>’</w:t>
      </w:r>
      <w:r w:rsidRPr="00AE4ACB">
        <w:rPr>
          <w:rFonts w:ascii="Garamond" w:hAnsi="Garamond" w:cs="Times New Roman"/>
          <w:color w:val="000000" w:themeColor="text1"/>
          <w:sz w:val="24"/>
          <w:szCs w:val="24"/>
          <w:shd w:val="clear" w:color="auto" w:fill="FFFFFF"/>
        </w:rPr>
        <w:t xml:space="preserve">s </w:t>
      </w:r>
      <w:r w:rsidR="000D26A6" w:rsidRPr="00AE4ACB">
        <w:rPr>
          <w:rFonts w:ascii="Garamond" w:hAnsi="Garamond" w:cs="Times New Roman"/>
          <w:color w:val="000000" w:themeColor="text1"/>
          <w:sz w:val="24"/>
          <w:szCs w:val="24"/>
          <w:shd w:val="clear" w:color="auto" w:fill="FFFFFF"/>
        </w:rPr>
        <w:t>r</w:t>
      </w:r>
      <w:r w:rsidRPr="00AE4ACB">
        <w:rPr>
          <w:rFonts w:ascii="Garamond" w:hAnsi="Garamond" w:cs="Times New Roman"/>
          <w:color w:val="000000" w:themeColor="text1"/>
          <w:sz w:val="24"/>
          <w:szCs w:val="24"/>
          <w:shd w:val="clear" w:color="auto" w:fill="FFFFFF"/>
        </w:rPr>
        <w:t>epresentation in the USA and UK”. </w:t>
      </w:r>
      <w:r w:rsidRPr="00AE4ACB">
        <w:rPr>
          <w:rFonts w:ascii="Garamond" w:hAnsi="Garamond" w:cs="Times New Roman"/>
          <w:i/>
          <w:iCs/>
          <w:color w:val="000000" w:themeColor="text1"/>
          <w:sz w:val="24"/>
          <w:szCs w:val="24"/>
          <w:bdr w:val="none" w:sz="0" w:space="0" w:color="auto" w:frame="1"/>
          <w:shd w:val="clear" w:color="auto" w:fill="FFFFFF"/>
        </w:rPr>
        <w:t>Parliamentary Affairs</w:t>
      </w:r>
      <w:r w:rsidRPr="00AE4ACB">
        <w:rPr>
          <w:rFonts w:ascii="Garamond" w:hAnsi="Garamond" w:cs="Times New Roman"/>
          <w:color w:val="000000" w:themeColor="text1"/>
          <w:sz w:val="24"/>
          <w:szCs w:val="24"/>
          <w:shd w:val="clear" w:color="auto" w:fill="FFFFFF"/>
        </w:rPr>
        <w:t xml:space="preserve"> 69(3): 569–585.</w:t>
      </w:r>
    </w:p>
    <w:p w14:paraId="75449D01" w14:textId="131F702F" w:rsidR="007826A6" w:rsidRPr="00AE4ACB" w:rsidRDefault="007826A6" w:rsidP="00AE4ACB">
      <w:pPr>
        <w:pStyle w:val="CommentText"/>
        <w:spacing w:before="120" w:after="120" w:line="360" w:lineRule="auto"/>
        <w:rPr>
          <w:rFonts w:ascii="Garamond" w:eastAsia="Times New Roman" w:hAnsi="Garamond" w:cs="Times New Roman"/>
          <w:color w:val="000000" w:themeColor="text1"/>
          <w:sz w:val="24"/>
          <w:szCs w:val="24"/>
          <w:lang w:eastAsia="en-GB"/>
        </w:rPr>
      </w:pPr>
      <w:r w:rsidRPr="00AE4ACB">
        <w:rPr>
          <w:rFonts w:ascii="Garamond" w:eastAsia="Times New Roman" w:hAnsi="Garamond" w:cs="Times New Roman"/>
          <w:color w:val="000000" w:themeColor="text1"/>
          <w:kern w:val="36"/>
          <w:sz w:val="24"/>
          <w:szCs w:val="24"/>
          <w:lang w:eastAsia="en-GB"/>
        </w:rPr>
        <w:t xml:space="preserve">Fausto-Sterling, A. 2016. “The Five Sexes, </w:t>
      </w:r>
      <w:r w:rsidR="002517C6" w:rsidRPr="00AE4ACB">
        <w:rPr>
          <w:rFonts w:ascii="Garamond" w:eastAsia="Times New Roman" w:hAnsi="Garamond" w:cs="Times New Roman"/>
          <w:color w:val="000000" w:themeColor="text1"/>
          <w:kern w:val="36"/>
          <w:sz w:val="24"/>
          <w:szCs w:val="24"/>
          <w:lang w:eastAsia="en-GB"/>
        </w:rPr>
        <w:t>r</w:t>
      </w:r>
      <w:r w:rsidRPr="00AE4ACB">
        <w:rPr>
          <w:rFonts w:ascii="Garamond" w:eastAsia="Times New Roman" w:hAnsi="Garamond" w:cs="Times New Roman"/>
          <w:color w:val="000000" w:themeColor="text1"/>
          <w:kern w:val="36"/>
          <w:sz w:val="24"/>
          <w:szCs w:val="24"/>
          <w:lang w:eastAsia="en-GB"/>
        </w:rPr>
        <w:t>evisited”</w:t>
      </w:r>
      <w:r w:rsidR="00EA0A48" w:rsidRPr="00AE4ACB">
        <w:rPr>
          <w:rFonts w:ascii="Garamond" w:eastAsia="Times New Roman" w:hAnsi="Garamond" w:cs="Times New Roman"/>
          <w:color w:val="000000" w:themeColor="text1"/>
          <w:kern w:val="36"/>
          <w:sz w:val="24"/>
          <w:szCs w:val="24"/>
          <w:lang w:eastAsia="en-GB"/>
        </w:rPr>
        <w:t>, reproduced</w:t>
      </w:r>
      <w:r w:rsidRPr="00AE4ACB">
        <w:rPr>
          <w:rFonts w:ascii="Garamond" w:eastAsia="Times New Roman" w:hAnsi="Garamond" w:cs="Times New Roman"/>
          <w:color w:val="000000" w:themeColor="text1"/>
          <w:kern w:val="36"/>
          <w:sz w:val="24"/>
          <w:szCs w:val="24"/>
          <w:lang w:eastAsia="en-GB"/>
        </w:rPr>
        <w:t xml:space="preserve"> in A. Zinn et al</w:t>
      </w:r>
      <w:r w:rsidR="00672FF4" w:rsidRPr="00AE4ACB">
        <w:rPr>
          <w:rFonts w:ascii="Garamond" w:eastAsia="Times New Roman" w:hAnsi="Garamond" w:cs="Times New Roman"/>
          <w:color w:val="000000" w:themeColor="text1"/>
          <w:kern w:val="36"/>
          <w:sz w:val="24"/>
          <w:szCs w:val="24"/>
          <w:lang w:eastAsia="en-GB"/>
        </w:rPr>
        <w:t>. (eds)</w:t>
      </w:r>
      <w:r w:rsidRPr="00AE4ACB">
        <w:rPr>
          <w:rFonts w:ascii="Garamond" w:eastAsia="Times New Roman" w:hAnsi="Garamond" w:cs="Times New Roman"/>
          <w:color w:val="000000" w:themeColor="text1"/>
          <w:kern w:val="36"/>
          <w:sz w:val="24"/>
          <w:szCs w:val="24"/>
          <w:lang w:eastAsia="en-GB"/>
        </w:rPr>
        <w:t xml:space="preserve">, </w:t>
      </w:r>
      <w:r w:rsidR="00672FF4" w:rsidRPr="00AE4ACB">
        <w:rPr>
          <w:rFonts w:ascii="Garamond" w:eastAsia="Times New Roman" w:hAnsi="Garamond" w:cs="Times New Roman"/>
          <w:i/>
          <w:iCs/>
          <w:color w:val="000000" w:themeColor="text1"/>
          <w:kern w:val="36"/>
          <w:sz w:val="24"/>
          <w:szCs w:val="24"/>
          <w:lang w:eastAsia="en-GB"/>
        </w:rPr>
        <w:t>Gender T</w:t>
      </w:r>
      <w:r w:rsidRPr="00AE4ACB">
        <w:rPr>
          <w:rFonts w:ascii="Garamond" w:eastAsia="Times New Roman" w:hAnsi="Garamond" w:cs="Times New Roman"/>
          <w:i/>
          <w:iCs/>
          <w:color w:val="000000" w:themeColor="text1"/>
          <w:kern w:val="36"/>
          <w:sz w:val="24"/>
          <w:szCs w:val="24"/>
          <w:lang w:eastAsia="en-GB"/>
        </w:rPr>
        <w:t>hrough the Prism of Difference</w:t>
      </w:r>
      <w:r w:rsidR="00EA0A48" w:rsidRPr="00AE4ACB">
        <w:rPr>
          <w:rFonts w:ascii="Garamond" w:eastAsia="Times New Roman" w:hAnsi="Garamond" w:cs="Times New Roman"/>
          <w:i/>
          <w:iCs/>
          <w:color w:val="000000" w:themeColor="text1"/>
          <w:kern w:val="36"/>
          <w:sz w:val="24"/>
          <w:szCs w:val="24"/>
          <w:lang w:eastAsia="en-GB"/>
        </w:rPr>
        <w:t xml:space="preserve"> </w:t>
      </w:r>
      <w:r w:rsidR="00EA0A48" w:rsidRPr="00AE4ACB">
        <w:rPr>
          <w:rFonts w:ascii="Garamond" w:eastAsia="Times New Roman" w:hAnsi="Garamond" w:cs="Times New Roman"/>
          <w:color w:val="000000" w:themeColor="text1"/>
          <w:kern w:val="36"/>
          <w:sz w:val="24"/>
          <w:szCs w:val="24"/>
          <w:lang w:eastAsia="en-GB"/>
        </w:rPr>
        <w:t>(</w:t>
      </w:r>
      <w:r w:rsidRPr="00AE4ACB">
        <w:rPr>
          <w:rFonts w:ascii="Garamond" w:eastAsia="Times New Roman" w:hAnsi="Garamond" w:cs="Times New Roman"/>
          <w:color w:val="000000" w:themeColor="text1"/>
          <w:kern w:val="36"/>
          <w:sz w:val="24"/>
          <w:szCs w:val="24"/>
          <w:lang w:eastAsia="en-GB"/>
        </w:rPr>
        <w:t>5</w:t>
      </w:r>
      <w:r w:rsidRPr="00AE4ACB">
        <w:rPr>
          <w:rFonts w:ascii="Garamond" w:eastAsia="Times New Roman" w:hAnsi="Garamond" w:cs="Times New Roman"/>
          <w:color w:val="000000" w:themeColor="text1"/>
          <w:kern w:val="36"/>
          <w:sz w:val="24"/>
          <w:szCs w:val="24"/>
          <w:vertAlign w:val="superscript"/>
          <w:lang w:eastAsia="en-GB"/>
        </w:rPr>
        <w:t>th</w:t>
      </w:r>
      <w:r w:rsidRPr="00AE4ACB">
        <w:rPr>
          <w:rFonts w:ascii="Garamond" w:eastAsia="Times New Roman" w:hAnsi="Garamond" w:cs="Times New Roman"/>
          <w:color w:val="000000" w:themeColor="text1"/>
          <w:kern w:val="36"/>
          <w:sz w:val="24"/>
          <w:szCs w:val="24"/>
          <w:lang w:eastAsia="en-GB"/>
        </w:rPr>
        <w:t xml:space="preserve"> edition</w:t>
      </w:r>
      <w:r w:rsidR="00EA0A48" w:rsidRPr="00AE4ACB">
        <w:rPr>
          <w:rFonts w:ascii="Garamond" w:eastAsia="Times New Roman" w:hAnsi="Garamond" w:cs="Times New Roman"/>
          <w:color w:val="000000" w:themeColor="text1"/>
          <w:kern w:val="36"/>
          <w:sz w:val="24"/>
          <w:szCs w:val="24"/>
          <w:lang w:eastAsia="en-GB"/>
        </w:rPr>
        <w:t>)</w:t>
      </w:r>
      <w:r w:rsidR="00672FF4" w:rsidRPr="00AE4ACB">
        <w:rPr>
          <w:rFonts w:ascii="Garamond" w:eastAsia="Times New Roman" w:hAnsi="Garamond" w:cs="Times New Roman"/>
          <w:color w:val="000000" w:themeColor="text1"/>
          <w:kern w:val="36"/>
          <w:sz w:val="24"/>
          <w:szCs w:val="24"/>
          <w:lang w:eastAsia="en-GB"/>
        </w:rPr>
        <w:t>. New York/</w:t>
      </w:r>
      <w:r w:rsidRPr="00AE4ACB">
        <w:rPr>
          <w:rFonts w:ascii="Garamond" w:eastAsia="Times New Roman" w:hAnsi="Garamond" w:cs="Times New Roman"/>
          <w:color w:val="000000" w:themeColor="text1"/>
          <w:kern w:val="36"/>
          <w:sz w:val="24"/>
          <w:szCs w:val="24"/>
          <w:lang w:eastAsia="en-GB"/>
        </w:rPr>
        <w:t xml:space="preserve"> Oxford: </w:t>
      </w:r>
      <w:r w:rsidR="00672FF4" w:rsidRPr="00AE4ACB">
        <w:rPr>
          <w:rFonts w:ascii="Garamond" w:eastAsia="Times New Roman" w:hAnsi="Garamond" w:cs="Times New Roman"/>
          <w:color w:val="000000" w:themeColor="text1"/>
          <w:kern w:val="36"/>
          <w:sz w:val="24"/>
          <w:szCs w:val="24"/>
          <w:lang w:eastAsia="en-GB"/>
        </w:rPr>
        <w:t>OUP</w:t>
      </w:r>
      <w:r w:rsidRPr="00AE4ACB">
        <w:rPr>
          <w:rFonts w:ascii="Garamond" w:eastAsia="Times New Roman" w:hAnsi="Garamond" w:cs="Times New Roman"/>
          <w:color w:val="000000" w:themeColor="text1"/>
          <w:kern w:val="36"/>
          <w:sz w:val="24"/>
          <w:szCs w:val="24"/>
          <w:lang w:eastAsia="en-GB"/>
        </w:rPr>
        <w:t>.</w:t>
      </w:r>
    </w:p>
    <w:p w14:paraId="4BF9A4E1" w14:textId="198449CD" w:rsidR="007D450D" w:rsidRPr="00AE4ACB" w:rsidRDefault="00D42445" w:rsidP="00C51CD2">
      <w:pPr>
        <w:shd w:val="clear" w:color="auto" w:fill="FFFFFF"/>
        <w:spacing w:before="120" w:after="120" w:line="360" w:lineRule="auto"/>
        <w:outlineLvl w:val="0"/>
        <w:rPr>
          <w:rFonts w:ascii="Garamond" w:hAnsi="Garamond" w:cs="Times New Roman"/>
          <w:color w:val="000000" w:themeColor="text1"/>
          <w:sz w:val="24"/>
          <w:szCs w:val="24"/>
        </w:rPr>
      </w:pPr>
      <w:bookmarkStart w:id="17" w:name="_Hlk48678666"/>
      <w:r w:rsidRPr="00AE4ACB">
        <w:rPr>
          <w:rFonts w:ascii="Garamond" w:hAnsi="Garamond" w:cs="Times New Roman"/>
          <w:color w:val="000000" w:themeColor="text1"/>
          <w:sz w:val="24"/>
          <w:szCs w:val="24"/>
          <w:shd w:val="clear" w:color="auto" w:fill="FFFFFF"/>
        </w:rPr>
        <w:t xml:space="preserve">finlay, </w:t>
      </w:r>
      <w:r w:rsidR="000D26A6" w:rsidRPr="00AE4ACB">
        <w:rPr>
          <w:rFonts w:ascii="Garamond" w:hAnsi="Garamond" w:cs="Times New Roman"/>
          <w:color w:val="000000" w:themeColor="text1"/>
          <w:sz w:val="24"/>
          <w:szCs w:val="24"/>
          <w:shd w:val="clear" w:color="auto" w:fill="FFFFFF"/>
        </w:rPr>
        <w:t xml:space="preserve">B. </w:t>
      </w:r>
      <w:r w:rsidRPr="00AE4ACB">
        <w:rPr>
          <w:rFonts w:ascii="Garamond" w:hAnsi="Garamond" w:cs="Times New Roman"/>
          <w:color w:val="000000" w:themeColor="text1"/>
          <w:sz w:val="24"/>
          <w:szCs w:val="24"/>
          <w:shd w:val="clear" w:color="auto" w:fill="FFFFFF"/>
        </w:rPr>
        <w:t>2003. “</w:t>
      </w:r>
      <w:r w:rsidR="00672FF4" w:rsidRPr="00AE4ACB">
        <w:rPr>
          <w:rStyle w:val="citetitle"/>
          <w:rFonts w:ascii="Garamond" w:hAnsi="Garamond" w:cs="Times New Roman"/>
          <w:color w:val="000000" w:themeColor="text1"/>
          <w:sz w:val="24"/>
          <w:szCs w:val="24"/>
          <w:shd w:val="clear" w:color="auto" w:fill="FFFFFF"/>
        </w:rPr>
        <w:t>Real w</w:t>
      </w:r>
      <w:r w:rsidRPr="00AE4ACB">
        <w:rPr>
          <w:rStyle w:val="citetitle"/>
          <w:rFonts w:ascii="Garamond" w:hAnsi="Garamond" w:cs="Times New Roman"/>
          <w:color w:val="000000" w:themeColor="text1"/>
          <w:sz w:val="24"/>
          <w:szCs w:val="24"/>
          <w:shd w:val="clear" w:color="auto" w:fill="FFFFFF"/>
        </w:rPr>
        <w:t xml:space="preserve">omen: </w:t>
      </w:r>
      <w:r w:rsidRPr="00AE4ACB">
        <w:rPr>
          <w:rStyle w:val="citetitle"/>
          <w:rFonts w:ascii="Garamond" w:hAnsi="Garamond" w:cs="Times New Roman"/>
          <w:i/>
          <w:iCs/>
          <w:color w:val="000000" w:themeColor="text1"/>
          <w:sz w:val="24"/>
          <w:szCs w:val="24"/>
          <w:shd w:val="clear" w:color="auto" w:fill="FFFFFF"/>
        </w:rPr>
        <w:t>Kimberly Nixon v. Vancouver Rape Relief</w:t>
      </w:r>
      <w:r w:rsidR="006C61FE" w:rsidRPr="00AE4ACB">
        <w:rPr>
          <w:rStyle w:val="citetitle"/>
          <w:rFonts w:ascii="Garamond" w:hAnsi="Garamond" w:cs="Times New Roman"/>
          <w:color w:val="000000" w:themeColor="text1"/>
          <w:sz w:val="24"/>
          <w:szCs w:val="24"/>
          <w:shd w:val="clear" w:color="auto" w:fill="FFFFFF"/>
        </w:rPr>
        <w:t xml:space="preserve">”. </w:t>
      </w:r>
      <w:r w:rsidR="00672FF4" w:rsidRPr="00AE4ACB">
        <w:rPr>
          <w:rFonts w:ascii="Garamond" w:hAnsi="Garamond" w:cs="Times New Roman"/>
          <w:i/>
          <w:iCs/>
          <w:color w:val="000000" w:themeColor="text1"/>
          <w:sz w:val="24"/>
          <w:szCs w:val="24"/>
          <w:shd w:val="clear" w:color="auto" w:fill="FFFFFF"/>
        </w:rPr>
        <w:t>UBC</w:t>
      </w:r>
      <w:r w:rsidRPr="00AE4ACB">
        <w:rPr>
          <w:rFonts w:ascii="Garamond" w:hAnsi="Garamond" w:cs="Times New Roman"/>
          <w:i/>
          <w:iCs/>
          <w:color w:val="000000" w:themeColor="text1"/>
          <w:sz w:val="24"/>
          <w:szCs w:val="24"/>
          <w:shd w:val="clear" w:color="auto" w:fill="FFFFFF"/>
        </w:rPr>
        <w:t xml:space="preserve"> L</w:t>
      </w:r>
      <w:r w:rsidR="008A38B2" w:rsidRPr="00AE4ACB">
        <w:rPr>
          <w:rFonts w:ascii="Garamond" w:hAnsi="Garamond" w:cs="Times New Roman"/>
          <w:i/>
          <w:iCs/>
          <w:color w:val="000000" w:themeColor="text1"/>
          <w:sz w:val="24"/>
          <w:szCs w:val="24"/>
          <w:shd w:val="clear" w:color="auto" w:fill="FFFFFF"/>
        </w:rPr>
        <w:t>aw</w:t>
      </w:r>
      <w:r w:rsidRPr="00AE4ACB">
        <w:rPr>
          <w:rFonts w:ascii="Garamond" w:hAnsi="Garamond" w:cs="Times New Roman"/>
          <w:i/>
          <w:iCs/>
          <w:color w:val="000000" w:themeColor="text1"/>
          <w:sz w:val="24"/>
          <w:szCs w:val="24"/>
          <w:shd w:val="clear" w:color="auto" w:fill="FFFFFF"/>
        </w:rPr>
        <w:t xml:space="preserve"> Rev</w:t>
      </w:r>
      <w:r w:rsidR="008A38B2" w:rsidRPr="00AE4ACB">
        <w:rPr>
          <w:rFonts w:ascii="Garamond" w:hAnsi="Garamond" w:cs="Times New Roman"/>
          <w:i/>
          <w:iCs/>
          <w:color w:val="000000" w:themeColor="text1"/>
          <w:sz w:val="24"/>
          <w:szCs w:val="24"/>
          <w:shd w:val="clear" w:color="auto" w:fill="FFFFFF"/>
        </w:rPr>
        <w:t>iew</w:t>
      </w:r>
      <w:r w:rsidRPr="00AE4ACB">
        <w:rPr>
          <w:rFonts w:ascii="Garamond" w:hAnsi="Garamond" w:cs="Times New Roman"/>
          <w:color w:val="000000" w:themeColor="text1"/>
          <w:sz w:val="24"/>
          <w:szCs w:val="24"/>
          <w:shd w:val="clear" w:color="auto" w:fill="FFFFFF"/>
        </w:rPr>
        <w:t xml:space="preserve"> 36(1): 57-76.</w:t>
      </w:r>
    </w:p>
    <w:p w14:paraId="18382D7B" w14:textId="25F393DB" w:rsidR="00146D4D" w:rsidRPr="00AE4ACB" w:rsidRDefault="00146D4D" w:rsidP="00C51CD2">
      <w:pPr>
        <w:shd w:val="clear" w:color="auto" w:fill="FFFFFF"/>
        <w:spacing w:before="120" w:after="120" w:line="360" w:lineRule="auto"/>
        <w:outlineLvl w:val="0"/>
        <w:rPr>
          <w:rFonts w:ascii="Garamond" w:eastAsia="Times New Roman" w:hAnsi="Garamond" w:cs="Times New Roman"/>
          <w:color w:val="000000" w:themeColor="text1"/>
          <w:kern w:val="36"/>
          <w:sz w:val="24"/>
          <w:szCs w:val="24"/>
          <w:lang w:eastAsia="en-GB"/>
        </w:rPr>
      </w:pPr>
      <w:r w:rsidRPr="00AE4ACB">
        <w:rPr>
          <w:rFonts w:ascii="Garamond" w:hAnsi="Garamond" w:cs="Times New Roman"/>
          <w:color w:val="000000" w:themeColor="text1"/>
          <w:sz w:val="24"/>
          <w:szCs w:val="24"/>
          <w:shd w:val="clear" w:color="auto" w:fill="FFFFFF"/>
        </w:rPr>
        <w:t xml:space="preserve">Finlayson, L., Jenkins, K. and Worsdale, R. 2018. “‘I’m not transphobic, but . . .’: A feminist case against the feminist case against trans inclusivity”. </w:t>
      </w:r>
      <w:r w:rsidRPr="00AE4ACB">
        <w:rPr>
          <w:rFonts w:ascii="Garamond" w:hAnsi="Garamond" w:cs="Times New Roman"/>
          <w:i/>
          <w:iCs/>
          <w:color w:val="000000" w:themeColor="text1"/>
          <w:sz w:val="24"/>
          <w:szCs w:val="24"/>
          <w:shd w:val="clear" w:color="auto" w:fill="FFFFFF"/>
        </w:rPr>
        <w:t xml:space="preserve">Verso Books </w:t>
      </w:r>
      <w:r w:rsidR="009628DC" w:rsidRPr="00AE4ACB">
        <w:rPr>
          <w:rFonts w:ascii="Garamond" w:hAnsi="Garamond" w:cs="Times New Roman"/>
          <w:i/>
          <w:iCs/>
          <w:color w:val="000000" w:themeColor="text1"/>
          <w:sz w:val="24"/>
          <w:szCs w:val="24"/>
          <w:shd w:val="clear" w:color="auto" w:fill="FFFFFF"/>
        </w:rPr>
        <w:t>B</w:t>
      </w:r>
      <w:r w:rsidRPr="00AE4ACB">
        <w:rPr>
          <w:rFonts w:ascii="Garamond" w:hAnsi="Garamond" w:cs="Times New Roman"/>
          <w:i/>
          <w:iCs/>
          <w:color w:val="000000" w:themeColor="text1"/>
          <w:sz w:val="24"/>
          <w:szCs w:val="24"/>
          <w:shd w:val="clear" w:color="auto" w:fill="FFFFFF"/>
        </w:rPr>
        <w:t>log</w:t>
      </w:r>
      <w:r w:rsidRPr="00AE4ACB">
        <w:rPr>
          <w:rFonts w:ascii="Garamond" w:hAnsi="Garamond" w:cs="Times New Roman"/>
          <w:color w:val="000000" w:themeColor="text1"/>
          <w:sz w:val="24"/>
          <w:szCs w:val="24"/>
          <w:shd w:val="clear" w:color="auto" w:fill="FFFFFF"/>
        </w:rPr>
        <w:t>. </w:t>
      </w:r>
      <w:r w:rsidRPr="00AE4ACB">
        <w:rPr>
          <w:rFonts w:ascii="Garamond" w:eastAsia="Times New Roman" w:hAnsi="Garamond" w:cs="Times New Roman"/>
          <w:color w:val="000000" w:themeColor="text1"/>
          <w:kern w:val="36"/>
          <w:sz w:val="24"/>
          <w:szCs w:val="24"/>
          <w:lang w:eastAsia="en-GB"/>
        </w:rPr>
        <w:t xml:space="preserve"> </w:t>
      </w:r>
      <w:hyperlink r:id="rId13" w:history="1">
        <w:r w:rsidRPr="00AE4ACB">
          <w:rPr>
            <w:rFonts w:ascii="Garamond" w:hAnsi="Garamond" w:cs="Times New Roman"/>
            <w:color w:val="000000" w:themeColor="text1"/>
            <w:sz w:val="24"/>
            <w:szCs w:val="24"/>
            <w:u w:val="single"/>
          </w:rPr>
          <w:t>https://www.versobooks.com/blogs/4090-i-m-not-transphobic-but-a-feminist-case-against-the-feminist-case-against-trans-inclusivity</w:t>
        </w:r>
      </w:hyperlink>
      <w:r w:rsidRPr="00AE4ACB">
        <w:rPr>
          <w:rFonts w:ascii="Garamond" w:hAnsi="Garamond" w:cs="Times New Roman"/>
          <w:color w:val="000000" w:themeColor="text1"/>
          <w:sz w:val="24"/>
          <w:szCs w:val="24"/>
        </w:rPr>
        <w:t xml:space="preserve">.  </w:t>
      </w:r>
    </w:p>
    <w:p w14:paraId="7E10F749" w14:textId="6BBD766D" w:rsidR="00E26FE8" w:rsidRPr="00AE4ACB" w:rsidRDefault="00E26FE8" w:rsidP="00C51CD2">
      <w:pPr>
        <w:spacing w:before="120" w:after="120" w:line="360" w:lineRule="auto"/>
        <w:rPr>
          <w:rFonts w:ascii="Garamond" w:hAnsi="Garamond"/>
          <w:color w:val="000000" w:themeColor="text1"/>
        </w:rPr>
      </w:pPr>
      <w:r w:rsidRPr="00AE4ACB">
        <w:rPr>
          <w:rFonts w:ascii="Garamond" w:eastAsia="Times New Roman" w:hAnsi="Garamond" w:cs="Times New Roman"/>
          <w:color w:val="000000" w:themeColor="text1"/>
          <w:kern w:val="36"/>
          <w:sz w:val="24"/>
          <w:szCs w:val="24"/>
          <w:lang w:eastAsia="en-GB"/>
        </w:rPr>
        <w:t xml:space="preserve">Fortier, A-M. 2008. </w:t>
      </w:r>
      <w:r w:rsidRPr="00AE4ACB">
        <w:rPr>
          <w:rFonts w:ascii="Garamond" w:eastAsia="Times New Roman" w:hAnsi="Garamond" w:cs="Times New Roman"/>
          <w:i/>
          <w:iCs/>
          <w:color w:val="000000" w:themeColor="text1"/>
          <w:kern w:val="36"/>
          <w:sz w:val="24"/>
          <w:szCs w:val="24"/>
          <w:lang w:eastAsia="en-GB"/>
        </w:rPr>
        <w:t>Multicultural Horizons: Diversity and the Limits of the Civil Nation</w:t>
      </w:r>
      <w:r w:rsidR="00672FF4" w:rsidRPr="00AE4ACB">
        <w:rPr>
          <w:rFonts w:ascii="Garamond" w:eastAsia="Times New Roman" w:hAnsi="Garamond" w:cs="Times New Roman"/>
          <w:color w:val="000000" w:themeColor="text1"/>
          <w:kern w:val="36"/>
          <w:sz w:val="24"/>
          <w:szCs w:val="24"/>
          <w:lang w:eastAsia="en-GB"/>
        </w:rPr>
        <w:t>. Abingdon/</w:t>
      </w:r>
      <w:r w:rsidRPr="00AE4ACB">
        <w:rPr>
          <w:rFonts w:ascii="Garamond" w:eastAsia="Times New Roman" w:hAnsi="Garamond" w:cs="Times New Roman"/>
          <w:color w:val="000000" w:themeColor="text1"/>
          <w:kern w:val="36"/>
          <w:sz w:val="24"/>
          <w:szCs w:val="24"/>
          <w:lang w:eastAsia="en-GB"/>
        </w:rPr>
        <w:t xml:space="preserve"> New York: </w:t>
      </w:r>
      <w:r w:rsidRPr="00AE4ACB">
        <w:rPr>
          <w:rFonts w:ascii="Garamond" w:hAnsi="Garamond" w:cs="Times New Roman"/>
          <w:iCs/>
          <w:color w:val="000000" w:themeColor="text1"/>
          <w:sz w:val="24"/>
          <w:szCs w:val="24"/>
        </w:rPr>
        <w:t>Routledge</w:t>
      </w:r>
      <w:r w:rsidRPr="00AE4ACB">
        <w:rPr>
          <w:rFonts w:ascii="Garamond" w:hAnsi="Garamond" w:cs="Times New Roman"/>
          <w:i/>
          <w:iCs/>
          <w:color w:val="000000" w:themeColor="text1"/>
          <w:sz w:val="24"/>
          <w:szCs w:val="24"/>
        </w:rPr>
        <w:t>.</w:t>
      </w:r>
    </w:p>
    <w:bookmarkEnd w:id="17"/>
    <w:p w14:paraId="7EAE2D25" w14:textId="0CB5B8B4" w:rsidR="00F4248F" w:rsidRPr="00AE1FFF" w:rsidRDefault="00AB0D39" w:rsidP="00C51CD2">
      <w:pPr>
        <w:pStyle w:val="FootnoteText"/>
        <w:spacing w:before="120" w:after="120" w:line="360" w:lineRule="auto"/>
        <w:jc w:val="both"/>
        <w:rPr>
          <w:rFonts w:ascii="Garamond" w:hAnsi="Garamond" w:cs="Times New Roman"/>
          <w:color w:val="333333"/>
          <w:sz w:val="24"/>
          <w:szCs w:val="24"/>
          <w:shd w:val="clear" w:color="auto" w:fill="FFFFFF"/>
        </w:rPr>
      </w:pPr>
      <w:r w:rsidRPr="00AE1FFF">
        <w:rPr>
          <w:rFonts w:ascii="Garamond" w:hAnsi="Garamond" w:cs="Times New Roman"/>
          <w:sz w:val="24"/>
          <w:szCs w:val="24"/>
        </w:rPr>
        <w:t>Fugard, A. 2020.</w:t>
      </w:r>
      <w:r w:rsidR="00D07F8F" w:rsidRPr="00AE1FFF">
        <w:rPr>
          <w:rFonts w:ascii="Garamond" w:hAnsi="Garamond" w:cs="Times New Roman"/>
          <w:sz w:val="24"/>
          <w:szCs w:val="24"/>
        </w:rPr>
        <w:t xml:space="preserve"> </w:t>
      </w:r>
      <w:r w:rsidRPr="00AE1FFF">
        <w:rPr>
          <w:rFonts w:ascii="Garamond" w:hAnsi="Garamond" w:cs="Times New Roman"/>
          <w:sz w:val="24"/>
          <w:szCs w:val="24"/>
        </w:rPr>
        <w:t>“Should trans people be postmodernist in the streets but positivist in the spr</w:t>
      </w:r>
      <w:r w:rsidR="00672FF4">
        <w:rPr>
          <w:rFonts w:ascii="Garamond" w:hAnsi="Garamond" w:cs="Times New Roman"/>
          <w:sz w:val="24"/>
          <w:szCs w:val="24"/>
        </w:rPr>
        <w:t>eadsheets? A reply to Sullivan”.</w:t>
      </w:r>
      <w:r w:rsidRPr="00AE1FFF">
        <w:rPr>
          <w:rFonts w:ascii="Garamond" w:hAnsi="Garamond" w:cs="Times New Roman"/>
          <w:sz w:val="24"/>
          <w:szCs w:val="24"/>
        </w:rPr>
        <w:t xml:space="preserve"> </w:t>
      </w:r>
      <w:r w:rsidRPr="00AE1FFF">
        <w:rPr>
          <w:rFonts w:ascii="Garamond" w:hAnsi="Garamond" w:cs="Times New Roman"/>
          <w:i/>
          <w:iCs/>
          <w:sz w:val="24"/>
          <w:szCs w:val="24"/>
        </w:rPr>
        <w:t>International Journal of Social Research Methodology</w:t>
      </w:r>
      <w:r w:rsidR="00AB2AF3" w:rsidRPr="00AE1FFF">
        <w:rPr>
          <w:rFonts w:ascii="Garamond" w:hAnsi="Garamond" w:cs="Times New Roman"/>
          <w:color w:val="333333"/>
          <w:sz w:val="24"/>
          <w:szCs w:val="24"/>
          <w:shd w:val="clear" w:color="auto" w:fill="FFFFFF"/>
        </w:rPr>
        <w:t xml:space="preserve"> </w:t>
      </w:r>
      <w:r w:rsidRPr="00AE1FFF">
        <w:rPr>
          <w:rFonts w:ascii="Garamond" w:hAnsi="Garamond" w:cs="Times New Roman"/>
          <w:color w:val="333333"/>
          <w:sz w:val="24"/>
          <w:szCs w:val="24"/>
          <w:shd w:val="clear" w:color="auto" w:fill="FFFFFF"/>
        </w:rPr>
        <w:t>23(5): 525-531.</w:t>
      </w:r>
    </w:p>
    <w:p w14:paraId="7E569F74" w14:textId="292A108A" w:rsidR="00BE796D" w:rsidRPr="00AE1FFF" w:rsidRDefault="00BE796D" w:rsidP="00C51CD2">
      <w:pPr>
        <w:pStyle w:val="FootnoteText"/>
        <w:spacing w:before="120" w:after="120" w:line="360" w:lineRule="auto"/>
        <w:jc w:val="both"/>
        <w:rPr>
          <w:rFonts w:ascii="Garamond" w:hAnsi="Garamond" w:cs="Times New Roman"/>
          <w:sz w:val="24"/>
          <w:szCs w:val="24"/>
        </w:rPr>
      </w:pPr>
      <w:r w:rsidRPr="00AE1FFF">
        <w:rPr>
          <w:rFonts w:ascii="Garamond" w:hAnsi="Garamond" w:cs="Times New Roman"/>
          <w:sz w:val="24"/>
          <w:szCs w:val="24"/>
        </w:rPr>
        <w:t xml:space="preserve">Garland, F. and </w:t>
      </w:r>
      <w:r w:rsidR="00F4248F" w:rsidRPr="00AE1FFF">
        <w:rPr>
          <w:rFonts w:ascii="Garamond" w:hAnsi="Garamond" w:cs="Times New Roman"/>
          <w:sz w:val="24"/>
          <w:szCs w:val="24"/>
        </w:rPr>
        <w:t>Travis, M</w:t>
      </w:r>
      <w:r w:rsidRPr="00AE1FFF">
        <w:rPr>
          <w:rFonts w:ascii="Garamond" w:hAnsi="Garamond" w:cs="Times New Roman"/>
          <w:sz w:val="24"/>
          <w:szCs w:val="24"/>
        </w:rPr>
        <w:t>. 201</w:t>
      </w:r>
      <w:r w:rsidR="009C3460" w:rsidRPr="00AE1FFF">
        <w:rPr>
          <w:rFonts w:ascii="Garamond" w:hAnsi="Garamond" w:cs="Times New Roman"/>
          <w:sz w:val="24"/>
          <w:szCs w:val="24"/>
        </w:rPr>
        <w:t>8</w:t>
      </w:r>
      <w:r w:rsidRPr="00AE1FFF">
        <w:rPr>
          <w:rFonts w:ascii="Garamond" w:hAnsi="Garamond" w:cs="Times New Roman"/>
          <w:sz w:val="24"/>
          <w:szCs w:val="24"/>
        </w:rPr>
        <w:t xml:space="preserve">. “Legislating intersex equality: </w:t>
      </w:r>
      <w:r w:rsidR="000D26A6" w:rsidRPr="00AE1FFF">
        <w:rPr>
          <w:rFonts w:ascii="Garamond" w:hAnsi="Garamond" w:cs="Times New Roman"/>
          <w:sz w:val="24"/>
          <w:szCs w:val="24"/>
        </w:rPr>
        <w:t>B</w:t>
      </w:r>
      <w:r w:rsidRPr="00AE1FFF">
        <w:rPr>
          <w:rFonts w:ascii="Garamond" w:hAnsi="Garamond" w:cs="Times New Roman"/>
          <w:sz w:val="24"/>
          <w:szCs w:val="24"/>
        </w:rPr>
        <w:t xml:space="preserve">uilding the resilience of intersex people through law”. </w:t>
      </w:r>
      <w:r w:rsidRPr="00AE1FFF">
        <w:rPr>
          <w:rFonts w:ascii="Garamond" w:hAnsi="Garamond" w:cs="Times New Roman"/>
          <w:i/>
          <w:iCs/>
          <w:sz w:val="24"/>
          <w:szCs w:val="24"/>
        </w:rPr>
        <w:t>Legal Studies</w:t>
      </w:r>
      <w:r w:rsidR="009C3460" w:rsidRPr="00AE1FFF">
        <w:rPr>
          <w:rFonts w:ascii="Garamond" w:hAnsi="Garamond" w:cs="Times New Roman"/>
          <w:sz w:val="24"/>
          <w:szCs w:val="24"/>
        </w:rPr>
        <w:t xml:space="preserve"> </w:t>
      </w:r>
      <w:r w:rsidRPr="00AE1FFF">
        <w:rPr>
          <w:rFonts w:ascii="Garamond" w:hAnsi="Garamond" w:cs="Times New Roman"/>
          <w:sz w:val="24"/>
          <w:szCs w:val="24"/>
        </w:rPr>
        <w:t>38</w:t>
      </w:r>
      <w:r w:rsidR="00F4248F" w:rsidRPr="00AE1FFF">
        <w:rPr>
          <w:rFonts w:ascii="Garamond" w:hAnsi="Garamond" w:cs="Times New Roman"/>
          <w:sz w:val="24"/>
          <w:szCs w:val="24"/>
        </w:rPr>
        <w:t>(4)</w:t>
      </w:r>
      <w:r w:rsidR="009C3460" w:rsidRPr="00AE1FFF">
        <w:rPr>
          <w:rFonts w:ascii="Garamond" w:hAnsi="Garamond" w:cs="Times New Roman"/>
          <w:sz w:val="24"/>
          <w:szCs w:val="24"/>
        </w:rPr>
        <w:t>:</w:t>
      </w:r>
      <w:r w:rsidRPr="00AE1FFF">
        <w:rPr>
          <w:rFonts w:ascii="Garamond" w:hAnsi="Garamond" w:cs="Times New Roman"/>
          <w:sz w:val="24"/>
          <w:szCs w:val="24"/>
        </w:rPr>
        <w:t xml:space="preserve"> 587–606</w:t>
      </w:r>
      <w:r w:rsidR="009C3460" w:rsidRPr="00AE1FFF">
        <w:rPr>
          <w:rFonts w:ascii="Garamond" w:hAnsi="Garamond" w:cs="Times New Roman"/>
          <w:sz w:val="24"/>
          <w:szCs w:val="24"/>
        </w:rPr>
        <w:t>.</w:t>
      </w:r>
    </w:p>
    <w:p w14:paraId="42BE38C6" w14:textId="32E2A613" w:rsidR="005F7172" w:rsidRPr="00AE1FFF" w:rsidRDefault="00672FF4" w:rsidP="00C51CD2">
      <w:pPr>
        <w:pStyle w:val="NormalWeb"/>
        <w:spacing w:before="120" w:beforeAutospacing="0" w:after="120" w:afterAutospacing="0" w:line="360" w:lineRule="auto"/>
        <w:rPr>
          <w:rFonts w:ascii="Garamond" w:hAnsi="Garamond"/>
          <w:color w:val="000000"/>
        </w:rPr>
      </w:pPr>
      <w:r>
        <w:rPr>
          <w:rFonts w:ascii="Garamond" w:hAnsi="Garamond"/>
          <w:color w:val="000000"/>
        </w:rPr>
        <w:t xml:space="preserve">Gill, A. and </w:t>
      </w:r>
      <w:r w:rsidR="00A60D34">
        <w:rPr>
          <w:rFonts w:ascii="Garamond" w:hAnsi="Garamond"/>
          <w:color w:val="000000"/>
        </w:rPr>
        <w:t>Anitha, S</w:t>
      </w:r>
      <w:r>
        <w:rPr>
          <w:rFonts w:ascii="Garamond" w:hAnsi="Garamond"/>
          <w:color w:val="000000"/>
        </w:rPr>
        <w:t>. 2009. “</w:t>
      </w:r>
      <w:r w:rsidR="005F7172" w:rsidRPr="00AE1FFF">
        <w:rPr>
          <w:rFonts w:ascii="Garamond" w:hAnsi="Garamond"/>
          <w:color w:val="000000"/>
        </w:rPr>
        <w:t>The illusion of protection? An analysis of forced marriage l</w:t>
      </w:r>
      <w:r w:rsidR="00A60D34">
        <w:rPr>
          <w:rFonts w:ascii="Garamond" w:hAnsi="Garamond"/>
          <w:color w:val="000000"/>
        </w:rPr>
        <w:t>egislation and policy in the UK”</w:t>
      </w:r>
      <w:r w:rsidR="000D26A6" w:rsidRPr="00AE1FFF">
        <w:rPr>
          <w:rFonts w:ascii="Garamond" w:hAnsi="Garamond"/>
          <w:color w:val="000000"/>
        </w:rPr>
        <w:t>.</w:t>
      </w:r>
      <w:r w:rsidR="005F7172" w:rsidRPr="00AE1FFF">
        <w:rPr>
          <w:rFonts w:ascii="Garamond" w:hAnsi="Garamond"/>
          <w:color w:val="000000"/>
        </w:rPr>
        <w:t xml:space="preserve"> </w:t>
      </w:r>
      <w:r w:rsidR="005F7172" w:rsidRPr="00AE1FFF">
        <w:rPr>
          <w:rFonts w:ascii="Garamond" w:hAnsi="Garamond"/>
          <w:i/>
          <w:iCs/>
          <w:color w:val="000000"/>
        </w:rPr>
        <w:t xml:space="preserve">Journal of </w:t>
      </w:r>
      <w:r w:rsidR="00597848" w:rsidRPr="00AE1FFF">
        <w:rPr>
          <w:rFonts w:ascii="Garamond" w:hAnsi="Garamond"/>
          <w:i/>
          <w:iCs/>
          <w:color w:val="000000"/>
        </w:rPr>
        <w:t xml:space="preserve">Social Welfare </w:t>
      </w:r>
      <w:r w:rsidR="005F7172" w:rsidRPr="00AE1FFF">
        <w:rPr>
          <w:rFonts w:ascii="Garamond" w:hAnsi="Garamond"/>
          <w:i/>
          <w:iCs/>
          <w:color w:val="000000"/>
        </w:rPr>
        <w:t xml:space="preserve">&amp; </w:t>
      </w:r>
      <w:r w:rsidR="00597848" w:rsidRPr="00AE1FFF">
        <w:rPr>
          <w:rFonts w:ascii="Garamond" w:hAnsi="Garamond"/>
          <w:i/>
          <w:iCs/>
          <w:color w:val="000000"/>
        </w:rPr>
        <w:t>Family L</w:t>
      </w:r>
      <w:r w:rsidR="005F7172" w:rsidRPr="00AE1FFF">
        <w:rPr>
          <w:rFonts w:ascii="Garamond" w:hAnsi="Garamond"/>
          <w:i/>
          <w:iCs/>
          <w:color w:val="000000"/>
        </w:rPr>
        <w:t>aw</w:t>
      </w:r>
      <w:r w:rsidR="005F7172" w:rsidRPr="00AE1FFF">
        <w:rPr>
          <w:rFonts w:ascii="Garamond" w:hAnsi="Garamond"/>
          <w:color w:val="000000"/>
        </w:rPr>
        <w:t xml:space="preserve"> 31(3): 257-269</w:t>
      </w:r>
      <w:r w:rsidR="00441381" w:rsidRPr="00AE1FFF">
        <w:rPr>
          <w:rFonts w:ascii="Garamond" w:hAnsi="Garamond"/>
          <w:color w:val="000000"/>
        </w:rPr>
        <w:t>.</w:t>
      </w:r>
    </w:p>
    <w:p w14:paraId="7C9A32DB" w14:textId="77777777" w:rsidR="008D1D81" w:rsidRPr="00AE1FFF" w:rsidRDefault="008D1D81" w:rsidP="00C51CD2">
      <w:pPr>
        <w:spacing w:before="120" w:after="120" w:line="360" w:lineRule="auto"/>
        <w:rPr>
          <w:rFonts w:ascii="Garamond" w:hAnsi="Garamond" w:cs="Times New Roman"/>
          <w:sz w:val="24"/>
          <w:szCs w:val="24"/>
        </w:rPr>
      </w:pPr>
      <w:bookmarkStart w:id="18" w:name="_Hlk48678776"/>
      <w:r w:rsidRPr="00AE1FFF">
        <w:rPr>
          <w:rFonts w:ascii="Garamond" w:hAnsi="Garamond" w:cs="Times New Roman"/>
          <w:color w:val="333333"/>
          <w:sz w:val="24"/>
          <w:szCs w:val="24"/>
          <w:shd w:val="clear" w:color="auto" w:fill="FFFFFF"/>
        </w:rPr>
        <w:lastRenderedPageBreak/>
        <w:t xml:space="preserve">Gottschalk, L. 2009. “Transgendering women's space: A feminist analysis of perspectives from Australian women's services”.  </w:t>
      </w:r>
      <w:r w:rsidRPr="00AE1FFF">
        <w:rPr>
          <w:rFonts w:ascii="Garamond" w:hAnsi="Garamond" w:cs="Times New Roman"/>
          <w:i/>
          <w:iCs/>
          <w:color w:val="333333"/>
          <w:sz w:val="24"/>
          <w:szCs w:val="24"/>
          <w:shd w:val="clear" w:color="auto" w:fill="FFFFFF"/>
        </w:rPr>
        <w:t>Women's Studies International Forum</w:t>
      </w:r>
      <w:r w:rsidRPr="00AE1FFF">
        <w:rPr>
          <w:rFonts w:ascii="Garamond" w:hAnsi="Garamond" w:cs="Times New Roman"/>
          <w:color w:val="333333"/>
          <w:sz w:val="24"/>
          <w:szCs w:val="24"/>
          <w:shd w:val="clear" w:color="auto" w:fill="FFFFFF"/>
        </w:rPr>
        <w:t xml:space="preserve"> 32(3): 167-178.</w:t>
      </w:r>
    </w:p>
    <w:p w14:paraId="203F7B45" w14:textId="7C636351" w:rsidR="00720B12" w:rsidRPr="00AE1FFF" w:rsidRDefault="00720B12" w:rsidP="00C51CD2">
      <w:pPr>
        <w:shd w:val="clear" w:color="auto" w:fill="FFFFFF"/>
        <w:spacing w:before="120" w:after="120" w:line="360" w:lineRule="auto"/>
        <w:rPr>
          <w:rFonts w:ascii="Garamond" w:hAnsi="Garamond" w:cs="Times New Roman"/>
          <w:color w:val="000000"/>
          <w:sz w:val="24"/>
          <w:szCs w:val="24"/>
        </w:rPr>
      </w:pPr>
      <w:r w:rsidRPr="00AE1FFF">
        <w:rPr>
          <w:rFonts w:ascii="Garamond" w:hAnsi="Garamond" w:cs="Times New Roman"/>
          <w:color w:val="000000"/>
          <w:sz w:val="24"/>
          <w:szCs w:val="24"/>
        </w:rPr>
        <w:t xml:space="preserve">Henne, K. 2014. “The ‘science’ of fair play in sport: Gender and the politics of testing”.  </w:t>
      </w:r>
      <w:r w:rsidRPr="00AE1FFF">
        <w:rPr>
          <w:rFonts w:ascii="Garamond" w:hAnsi="Garamond" w:cs="Times New Roman"/>
          <w:i/>
          <w:color w:val="000000"/>
          <w:sz w:val="24"/>
          <w:szCs w:val="24"/>
        </w:rPr>
        <w:t xml:space="preserve">Signs: Journal of Women in Culture and Society </w:t>
      </w:r>
      <w:r w:rsidRPr="00AE1FFF">
        <w:rPr>
          <w:rFonts w:ascii="Garamond" w:hAnsi="Garamond" w:cs="Times New Roman"/>
          <w:color w:val="000000"/>
          <w:sz w:val="24"/>
          <w:szCs w:val="24"/>
        </w:rPr>
        <w:t>39(3): 787-812.</w:t>
      </w:r>
    </w:p>
    <w:bookmarkEnd w:id="18"/>
    <w:p w14:paraId="73710A42" w14:textId="19ABD2BC" w:rsidR="00F42C71" w:rsidRPr="00AE1FFF" w:rsidRDefault="00F42C71" w:rsidP="00C51CD2">
      <w:pPr>
        <w:shd w:val="clear" w:color="auto" w:fill="FFFFFF"/>
        <w:spacing w:line="360" w:lineRule="auto"/>
        <w:rPr>
          <w:rFonts w:ascii="Garamond" w:hAnsi="Garamond" w:cs="Times New Roman"/>
          <w:color w:val="000000"/>
          <w:sz w:val="24"/>
          <w:szCs w:val="24"/>
        </w:rPr>
      </w:pPr>
      <w:r w:rsidRPr="00AE1FFF">
        <w:rPr>
          <w:rFonts w:ascii="Garamond" w:hAnsi="Garamond" w:cs="Times New Roman"/>
          <w:color w:val="000000"/>
          <w:sz w:val="24"/>
          <w:szCs w:val="24"/>
        </w:rPr>
        <w:t xml:space="preserve">Hepple, B.  </w:t>
      </w:r>
      <w:r w:rsidR="00BA525D" w:rsidRPr="00AE1FFF">
        <w:rPr>
          <w:rFonts w:ascii="Garamond" w:hAnsi="Garamond" w:cs="Times New Roman"/>
          <w:color w:val="000000"/>
          <w:sz w:val="24"/>
          <w:szCs w:val="24"/>
        </w:rPr>
        <w:t>2011</w:t>
      </w:r>
      <w:r w:rsidRPr="00AE1FFF">
        <w:rPr>
          <w:rFonts w:ascii="Garamond" w:hAnsi="Garamond" w:cs="Times New Roman"/>
          <w:color w:val="000000"/>
          <w:sz w:val="24"/>
          <w:szCs w:val="24"/>
        </w:rPr>
        <w:t xml:space="preserve">. </w:t>
      </w:r>
      <w:r w:rsidRPr="00AE1FFF">
        <w:rPr>
          <w:rFonts w:ascii="Garamond" w:hAnsi="Garamond" w:cs="Times New Roman"/>
          <w:i/>
          <w:iCs/>
          <w:color w:val="000000"/>
          <w:sz w:val="24"/>
          <w:szCs w:val="24"/>
        </w:rPr>
        <w:t>Equality: The</w:t>
      </w:r>
      <w:r w:rsidR="00BA525D" w:rsidRPr="00AE1FFF">
        <w:rPr>
          <w:rFonts w:ascii="Garamond" w:hAnsi="Garamond" w:cs="Times New Roman"/>
          <w:i/>
          <w:iCs/>
          <w:color w:val="000000"/>
          <w:sz w:val="24"/>
          <w:szCs w:val="24"/>
        </w:rPr>
        <w:t xml:space="preserve"> New</w:t>
      </w:r>
      <w:r w:rsidRPr="00AE1FFF">
        <w:rPr>
          <w:rFonts w:ascii="Garamond" w:hAnsi="Garamond" w:cs="Times New Roman"/>
          <w:i/>
          <w:iCs/>
          <w:color w:val="000000"/>
          <w:sz w:val="24"/>
          <w:szCs w:val="24"/>
        </w:rPr>
        <w:t xml:space="preserve"> Legal Framework. </w:t>
      </w:r>
      <w:r w:rsidRPr="00AE1FFF">
        <w:rPr>
          <w:rFonts w:ascii="Garamond" w:hAnsi="Garamond" w:cs="Times New Roman"/>
          <w:color w:val="000000"/>
          <w:sz w:val="24"/>
          <w:szCs w:val="24"/>
        </w:rPr>
        <w:t xml:space="preserve">Oxford: Hart.   </w:t>
      </w:r>
    </w:p>
    <w:p w14:paraId="2F9C063F" w14:textId="20481E4D" w:rsidR="00BA525D" w:rsidRPr="00AE1FFF" w:rsidRDefault="00BA525D" w:rsidP="00C51CD2">
      <w:pPr>
        <w:shd w:val="clear" w:color="auto" w:fill="FFFFFF"/>
        <w:spacing w:line="360" w:lineRule="auto"/>
        <w:rPr>
          <w:rFonts w:ascii="Garamond" w:hAnsi="Garamond" w:cs="Times New Roman"/>
          <w:color w:val="000000"/>
          <w:sz w:val="24"/>
          <w:szCs w:val="24"/>
        </w:rPr>
      </w:pPr>
      <w:r w:rsidRPr="00AE1FFF">
        <w:rPr>
          <w:rFonts w:ascii="Garamond" w:hAnsi="Garamond" w:cs="Times New Roman"/>
          <w:color w:val="000000"/>
          <w:sz w:val="24"/>
          <w:szCs w:val="24"/>
        </w:rPr>
        <w:t xml:space="preserve">Hepple, B. 2010. “The </w:t>
      </w:r>
      <w:r w:rsidR="000D26A6" w:rsidRPr="00AE1FFF">
        <w:rPr>
          <w:rFonts w:ascii="Garamond" w:hAnsi="Garamond" w:cs="Times New Roman"/>
          <w:color w:val="000000"/>
          <w:sz w:val="24"/>
          <w:szCs w:val="24"/>
        </w:rPr>
        <w:t>n</w:t>
      </w:r>
      <w:r w:rsidRPr="00AE1FFF">
        <w:rPr>
          <w:rFonts w:ascii="Garamond" w:hAnsi="Garamond" w:cs="Times New Roman"/>
          <w:color w:val="000000"/>
          <w:sz w:val="24"/>
          <w:szCs w:val="24"/>
        </w:rPr>
        <w:t xml:space="preserve">ew </w:t>
      </w:r>
      <w:r w:rsidR="000D26A6" w:rsidRPr="00AE1FFF">
        <w:rPr>
          <w:rFonts w:ascii="Garamond" w:hAnsi="Garamond" w:cs="Times New Roman"/>
          <w:color w:val="000000"/>
          <w:sz w:val="24"/>
          <w:szCs w:val="24"/>
        </w:rPr>
        <w:t>s</w:t>
      </w:r>
      <w:r w:rsidRPr="00AE1FFF">
        <w:rPr>
          <w:rFonts w:ascii="Garamond" w:hAnsi="Garamond" w:cs="Times New Roman"/>
          <w:color w:val="000000"/>
          <w:sz w:val="24"/>
          <w:szCs w:val="24"/>
        </w:rPr>
        <w:t xml:space="preserve">ingle Equality Act in Britain”. </w:t>
      </w:r>
      <w:r w:rsidRPr="00AE1FFF">
        <w:rPr>
          <w:rFonts w:ascii="Garamond" w:hAnsi="Garamond" w:cs="Times New Roman"/>
          <w:i/>
          <w:iCs/>
          <w:color w:val="000000"/>
          <w:sz w:val="24"/>
          <w:szCs w:val="24"/>
        </w:rPr>
        <w:t>The Equal Rights Review</w:t>
      </w:r>
      <w:r w:rsidRPr="00AE1FFF">
        <w:rPr>
          <w:rFonts w:ascii="Garamond" w:hAnsi="Garamond" w:cs="Times New Roman"/>
          <w:color w:val="000000"/>
          <w:sz w:val="24"/>
          <w:szCs w:val="24"/>
        </w:rPr>
        <w:t xml:space="preserve"> 5: 11-24. </w:t>
      </w:r>
    </w:p>
    <w:p w14:paraId="71F36119" w14:textId="70CD9989" w:rsidR="0027787A" w:rsidRPr="00654B6E" w:rsidRDefault="0027787A" w:rsidP="00C51CD2">
      <w:pPr>
        <w:shd w:val="clear" w:color="auto" w:fill="FFFFFF"/>
        <w:spacing w:line="360" w:lineRule="auto"/>
        <w:jc w:val="both"/>
        <w:rPr>
          <w:rFonts w:ascii="Garamond" w:hAnsi="Garamond" w:cs="Times New Roman"/>
          <w:sz w:val="24"/>
          <w:szCs w:val="24"/>
        </w:rPr>
      </w:pPr>
      <w:r w:rsidRPr="00654B6E">
        <w:rPr>
          <w:rFonts w:ascii="Garamond" w:hAnsi="Garamond" w:cs="Times New Roman"/>
          <w:sz w:val="24"/>
          <w:szCs w:val="24"/>
        </w:rPr>
        <w:t xml:space="preserve">Hepple, B., Coussey, M. and Choudhury, T.  2000.  </w:t>
      </w:r>
      <w:r w:rsidRPr="00654B6E">
        <w:rPr>
          <w:rFonts w:ascii="Garamond" w:hAnsi="Garamond" w:cs="Times New Roman"/>
          <w:i/>
          <w:iCs/>
          <w:sz w:val="24"/>
          <w:szCs w:val="24"/>
          <w:shd w:val="clear" w:color="auto" w:fill="FFFFFF"/>
        </w:rPr>
        <w:t>Equality: A New Framework: Report of The Independent Review of the Enforcement of UK Anti-Discrimination Legislation.</w:t>
      </w:r>
      <w:r w:rsidRPr="00654B6E">
        <w:rPr>
          <w:rFonts w:ascii="Garamond" w:hAnsi="Garamond" w:cs="Times New Roman"/>
          <w:sz w:val="24"/>
          <w:szCs w:val="24"/>
          <w:shd w:val="clear" w:color="auto" w:fill="FFFFFF"/>
        </w:rPr>
        <w:t xml:space="preserve"> Oxford: Hart.</w:t>
      </w:r>
      <w:r w:rsidRPr="00654B6E">
        <w:rPr>
          <w:rFonts w:ascii="Garamond" w:hAnsi="Garamond" w:cs="Times New Roman"/>
          <w:sz w:val="24"/>
          <w:szCs w:val="24"/>
        </w:rPr>
        <w:t xml:space="preserve"> </w:t>
      </w:r>
    </w:p>
    <w:p w14:paraId="70178D72" w14:textId="57199A18" w:rsidR="004F579D" w:rsidRPr="00654B6E" w:rsidRDefault="004F579D" w:rsidP="00C51CD2">
      <w:pPr>
        <w:spacing w:before="100" w:beforeAutospacing="1" w:after="100" w:afterAutospacing="1" w:line="240" w:lineRule="auto"/>
        <w:outlineLvl w:val="0"/>
        <w:rPr>
          <w:rFonts w:ascii="Garamond" w:eastAsia="Times New Roman" w:hAnsi="Garamond" w:cs="Times New Roman"/>
          <w:kern w:val="36"/>
          <w:sz w:val="24"/>
          <w:szCs w:val="24"/>
          <w:lang w:eastAsia="en-GB"/>
        </w:rPr>
      </w:pPr>
      <w:r w:rsidRPr="00654B6E">
        <w:rPr>
          <w:rFonts w:ascii="Garamond" w:eastAsia="Times New Roman" w:hAnsi="Garamond" w:cs="Times New Roman"/>
          <w:kern w:val="36"/>
          <w:sz w:val="24"/>
          <w:szCs w:val="24"/>
          <w:lang w:eastAsia="en-GB"/>
        </w:rPr>
        <w:t>Hester, D. 2004. “Intersexes and the end of gender: Corporeal ethics and postgender bodies”</w:t>
      </w:r>
      <w:r w:rsidR="000D26A6" w:rsidRPr="00654B6E">
        <w:rPr>
          <w:rFonts w:ascii="Garamond" w:eastAsia="Times New Roman" w:hAnsi="Garamond" w:cs="Times New Roman"/>
          <w:kern w:val="36"/>
          <w:sz w:val="24"/>
          <w:szCs w:val="24"/>
          <w:lang w:eastAsia="en-GB"/>
        </w:rPr>
        <w:t>.</w:t>
      </w:r>
      <w:r w:rsidRPr="00654B6E">
        <w:rPr>
          <w:rFonts w:ascii="Garamond" w:eastAsia="Times New Roman" w:hAnsi="Garamond" w:cs="Times New Roman"/>
          <w:kern w:val="36"/>
          <w:sz w:val="24"/>
          <w:szCs w:val="24"/>
          <w:lang w:eastAsia="en-GB"/>
        </w:rPr>
        <w:t xml:space="preserve"> </w:t>
      </w:r>
      <w:r w:rsidRPr="00654B6E">
        <w:rPr>
          <w:rFonts w:ascii="Garamond" w:eastAsia="Times New Roman" w:hAnsi="Garamond" w:cs="Times New Roman"/>
          <w:i/>
          <w:iCs/>
          <w:kern w:val="36"/>
          <w:sz w:val="24"/>
          <w:szCs w:val="24"/>
          <w:lang w:eastAsia="en-GB"/>
        </w:rPr>
        <w:t xml:space="preserve">Journal of Gender Studies </w:t>
      </w:r>
      <w:r w:rsidRPr="00654B6E">
        <w:rPr>
          <w:rFonts w:ascii="Garamond" w:eastAsia="Times New Roman" w:hAnsi="Garamond" w:cs="Times New Roman"/>
          <w:kern w:val="36"/>
          <w:sz w:val="24"/>
          <w:szCs w:val="24"/>
          <w:lang w:eastAsia="en-GB"/>
        </w:rPr>
        <w:t>13</w:t>
      </w:r>
      <w:r w:rsidR="000D26A6" w:rsidRPr="00654B6E">
        <w:rPr>
          <w:rFonts w:ascii="Garamond" w:eastAsia="Times New Roman" w:hAnsi="Garamond" w:cs="Times New Roman"/>
          <w:kern w:val="36"/>
          <w:sz w:val="24"/>
          <w:szCs w:val="24"/>
          <w:lang w:eastAsia="en-GB"/>
        </w:rPr>
        <w:t>(3):</w:t>
      </w:r>
      <w:r w:rsidRPr="00654B6E">
        <w:rPr>
          <w:rFonts w:ascii="Garamond" w:eastAsia="Times New Roman" w:hAnsi="Garamond" w:cs="Times New Roman"/>
          <w:kern w:val="36"/>
          <w:sz w:val="24"/>
          <w:szCs w:val="24"/>
          <w:lang w:eastAsia="en-GB"/>
        </w:rPr>
        <w:t xml:space="preserve"> 215-225. </w:t>
      </w:r>
    </w:p>
    <w:p w14:paraId="0FE772DA" w14:textId="75B7A9ED" w:rsidR="0012488F" w:rsidRPr="00654B6E" w:rsidRDefault="00AB0D39" w:rsidP="00C51CD2">
      <w:pPr>
        <w:pStyle w:val="NormalWeb"/>
        <w:spacing w:before="120" w:beforeAutospacing="0" w:after="120" w:afterAutospacing="0" w:line="360" w:lineRule="auto"/>
        <w:rPr>
          <w:rFonts w:ascii="Garamond" w:hAnsi="Garamond"/>
          <w:shd w:val="clear" w:color="auto" w:fill="FFFFFF"/>
        </w:rPr>
      </w:pPr>
      <w:r w:rsidRPr="00654B6E">
        <w:rPr>
          <w:rFonts w:ascii="Garamond" w:hAnsi="Garamond"/>
        </w:rPr>
        <w:t xml:space="preserve">Hines, S. 2020. “Counting the cost of difference: </w:t>
      </w:r>
      <w:r w:rsidR="000D26A6" w:rsidRPr="00654B6E">
        <w:rPr>
          <w:rFonts w:ascii="Garamond" w:hAnsi="Garamond"/>
        </w:rPr>
        <w:t>A</w:t>
      </w:r>
      <w:r w:rsidRPr="00654B6E">
        <w:rPr>
          <w:rFonts w:ascii="Garamond" w:hAnsi="Garamond"/>
        </w:rPr>
        <w:t xml:space="preserve"> reply to Sullivan”</w:t>
      </w:r>
      <w:r w:rsidR="003A3CCC" w:rsidRPr="00654B6E">
        <w:rPr>
          <w:rFonts w:ascii="Garamond" w:hAnsi="Garamond"/>
          <w:shd w:val="clear" w:color="auto" w:fill="FFFFFF"/>
        </w:rPr>
        <w:t>.</w:t>
      </w:r>
      <w:r w:rsidRPr="00654B6E">
        <w:rPr>
          <w:rFonts w:ascii="Garamond" w:hAnsi="Garamond"/>
          <w:shd w:val="clear" w:color="auto" w:fill="FFFFFF"/>
        </w:rPr>
        <w:t xml:space="preserve"> </w:t>
      </w:r>
      <w:r w:rsidRPr="00654B6E">
        <w:rPr>
          <w:rFonts w:ascii="Garamond" w:hAnsi="Garamond"/>
          <w:i/>
          <w:iCs/>
        </w:rPr>
        <w:t>International Journal of Social Research Methodology</w:t>
      </w:r>
      <w:r w:rsidRPr="00654B6E">
        <w:rPr>
          <w:rFonts w:ascii="Garamond" w:hAnsi="Garamond"/>
          <w:shd w:val="clear" w:color="auto" w:fill="FFFFFF"/>
        </w:rPr>
        <w:t xml:space="preserve"> 23(5): 533-538.</w:t>
      </w:r>
    </w:p>
    <w:p w14:paraId="45CCE72F" w14:textId="6857EB36" w:rsidR="00597848" w:rsidRPr="00AE1FFF" w:rsidRDefault="00597848" w:rsidP="00C51CD2">
      <w:pPr>
        <w:pStyle w:val="NormalWeb"/>
        <w:spacing w:before="120" w:beforeAutospacing="0" w:after="120" w:afterAutospacing="0" w:line="360" w:lineRule="auto"/>
        <w:rPr>
          <w:rFonts w:ascii="Garamond" w:hAnsi="Garamond"/>
          <w:color w:val="000000"/>
        </w:rPr>
      </w:pPr>
      <w:r w:rsidRPr="00654B6E">
        <w:rPr>
          <w:rFonts w:ascii="Garamond" w:hAnsi="Garamond"/>
        </w:rPr>
        <w:t xml:space="preserve">Hines, S. 2013. </w:t>
      </w:r>
      <w:r w:rsidRPr="00654B6E">
        <w:rPr>
          <w:rFonts w:ascii="Garamond" w:hAnsi="Garamond"/>
          <w:i/>
        </w:rPr>
        <w:t xml:space="preserve">Gender Diversity, Recognition and Citizenship: Towards a Politics of Difference. </w:t>
      </w:r>
      <w:r w:rsidRPr="00654B6E">
        <w:rPr>
          <w:rFonts w:ascii="Garamond" w:hAnsi="Garamond"/>
        </w:rPr>
        <w:t xml:space="preserve">Basingstoke: </w:t>
      </w:r>
      <w:r w:rsidRPr="00AE1FFF">
        <w:rPr>
          <w:rFonts w:ascii="Garamond" w:hAnsi="Garamond"/>
          <w:color w:val="000000"/>
        </w:rPr>
        <w:t>Palgrave Macmillan.</w:t>
      </w:r>
    </w:p>
    <w:p w14:paraId="0CF45C6D" w14:textId="70817E47" w:rsidR="00606766" w:rsidRPr="00AE1FFF" w:rsidRDefault="00606766"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Hines, S. 2010.  “Recognising </w:t>
      </w:r>
      <w:r w:rsidR="000D26A6" w:rsidRPr="00AE1FFF">
        <w:rPr>
          <w:rFonts w:ascii="Garamond" w:hAnsi="Garamond"/>
          <w:color w:val="000000"/>
        </w:rPr>
        <w:t>d</w:t>
      </w:r>
      <w:r w:rsidRPr="00AE1FFF">
        <w:rPr>
          <w:rFonts w:ascii="Garamond" w:hAnsi="Garamond"/>
          <w:color w:val="000000"/>
        </w:rPr>
        <w:t xml:space="preserve">iversity? The Gender Recognition Act and </w:t>
      </w:r>
      <w:r w:rsidR="000D26A6" w:rsidRPr="00AE1FFF">
        <w:rPr>
          <w:rFonts w:ascii="Garamond" w:hAnsi="Garamond"/>
          <w:color w:val="000000"/>
        </w:rPr>
        <w:t>t</w:t>
      </w:r>
      <w:r w:rsidRPr="00AE1FFF">
        <w:rPr>
          <w:rFonts w:ascii="Garamond" w:hAnsi="Garamond"/>
          <w:color w:val="000000"/>
        </w:rPr>
        <w:t xml:space="preserve">ransgender </w:t>
      </w:r>
      <w:r w:rsidR="000D26A6" w:rsidRPr="00AE1FFF">
        <w:rPr>
          <w:rFonts w:ascii="Garamond" w:hAnsi="Garamond"/>
          <w:color w:val="000000"/>
        </w:rPr>
        <w:t>c</w:t>
      </w:r>
      <w:r w:rsidRPr="00AE1FFF">
        <w:rPr>
          <w:rFonts w:ascii="Garamond" w:hAnsi="Garamond"/>
          <w:color w:val="000000"/>
        </w:rPr>
        <w:t>itizenship”</w:t>
      </w:r>
      <w:r w:rsidR="000D26A6" w:rsidRPr="00AE1FFF">
        <w:rPr>
          <w:rFonts w:ascii="Garamond" w:hAnsi="Garamond"/>
          <w:color w:val="000000"/>
        </w:rPr>
        <w:t>,</w:t>
      </w:r>
      <w:r w:rsidRPr="00AE1FFF">
        <w:rPr>
          <w:rFonts w:ascii="Garamond" w:hAnsi="Garamond"/>
          <w:color w:val="000000"/>
        </w:rPr>
        <w:t xml:space="preserve"> </w:t>
      </w:r>
      <w:r w:rsidR="003A3CCC">
        <w:rPr>
          <w:rFonts w:ascii="Garamond" w:hAnsi="Garamond"/>
          <w:color w:val="000000"/>
        </w:rPr>
        <w:t>in S. Hines and T. Sanger (eds),</w:t>
      </w:r>
      <w:r w:rsidRPr="00AE1FFF">
        <w:rPr>
          <w:rFonts w:ascii="Garamond" w:hAnsi="Garamond"/>
          <w:color w:val="000000"/>
        </w:rPr>
        <w:t xml:space="preserve"> </w:t>
      </w:r>
      <w:r w:rsidRPr="00AE1FFF">
        <w:rPr>
          <w:rFonts w:ascii="Garamond" w:hAnsi="Garamond"/>
          <w:i/>
          <w:iCs/>
          <w:color w:val="000000"/>
        </w:rPr>
        <w:t xml:space="preserve">Transgender Identities: Towards a Social Analysis of Gender Diversity. </w:t>
      </w:r>
      <w:r w:rsidRPr="00AE1FFF">
        <w:rPr>
          <w:rFonts w:ascii="Garamond" w:hAnsi="Garamond"/>
          <w:color w:val="000000"/>
        </w:rPr>
        <w:t>New York/</w:t>
      </w:r>
      <w:r w:rsidR="003A3CCC">
        <w:rPr>
          <w:rFonts w:ascii="Garamond" w:hAnsi="Garamond"/>
          <w:color w:val="000000"/>
        </w:rPr>
        <w:t xml:space="preserve"> Oxford: Routledge: </w:t>
      </w:r>
      <w:r w:rsidRPr="00AE1FFF">
        <w:rPr>
          <w:rFonts w:ascii="Garamond" w:hAnsi="Garamond"/>
          <w:color w:val="000000"/>
        </w:rPr>
        <w:t>87-105.</w:t>
      </w:r>
    </w:p>
    <w:p w14:paraId="745770B9" w14:textId="56787BBC" w:rsidR="004F579D" w:rsidRPr="00654B6E" w:rsidRDefault="006C61FE" w:rsidP="00C51CD2">
      <w:pPr>
        <w:pStyle w:val="CommentText"/>
        <w:spacing w:line="360" w:lineRule="auto"/>
        <w:rPr>
          <w:rFonts w:ascii="Garamond" w:hAnsi="Garamond" w:cs="Times New Roman"/>
          <w:sz w:val="24"/>
          <w:szCs w:val="24"/>
          <w:bdr w:val="none" w:sz="0" w:space="0" w:color="auto" w:frame="1"/>
          <w:shd w:val="clear" w:color="auto" w:fill="FFFFFF"/>
        </w:rPr>
      </w:pPr>
      <w:r w:rsidRPr="00654B6E">
        <w:rPr>
          <w:rFonts w:ascii="Garamond" w:hAnsi="Garamond" w:cs="Times New Roman"/>
          <w:sz w:val="24"/>
          <w:szCs w:val="24"/>
          <w:shd w:val="clear" w:color="auto" w:fill="FFFFFF"/>
        </w:rPr>
        <w:t xml:space="preserve">Hobson, B., Carson, M. and Lawrence, R. 2007. “Recognition </w:t>
      </w:r>
      <w:r w:rsidR="000D26A6" w:rsidRPr="00654B6E">
        <w:rPr>
          <w:rFonts w:ascii="Garamond" w:hAnsi="Garamond" w:cs="Times New Roman"/>
          <w:sz w:val="24"/>
          <w:szCs w:val="24"/>
          <w:shd w:val="clear" w:color="auto" w:fill="FFFFFF"/>
        </w:rPr>
        <w:t>s</w:t>
      </w:r>
      <w:r w:rsidRPr="00654B6E">
        <w:rPr>
          <w:rFonts w:ascii="Garamond" w:hAnsi="Garamond" w:cs="Times New Roman"/>
          <w:sz w:val="24"/>
          <w:szCs w:val="24"/>
          <w:shd w:val="clear" w:color="auto" w:fill="FFFFFF"/>
        </w:rPr>
        <w:t xml:space="preserve">truggles in </w:t>
      </w:r>
      <w:r w:rsidR="000D26A6" w:rsidRPr="00654B6E">
        <w:rPr>
          <w:rFonts w:ascii="Garamond" w:hAnsi="Garamond" w:cs="Times New Roman"/>
          <w:sz w:val="24"/>
          <w:szCs w:val="24"/>
          <w:shd w:val="clear" w:color="auto" w:fill="FFFFFF"/>
        </w:rPr>
        <w:t>t</w:t>
      </w:r>
      <w:r w:rsidRPr="00654B6E">
        <w:rPr>
          <w:rFonts w:ascii="Garamond" w:hAnsi="Garamond" w:cs="Times New Roman"/>
          <w:sz w:val="24"/>
          <w:szCs w:val="24"/>
          <w:shd w:val="clear" w:color="auto" w:fill="FFFFFF"/>
        </w:rPr>
        <w:t xml:space="preserve">rans-national </w:t>
      </w:r>
      <w:r w:rsidR="000D26A6" w:rsidRPr="00654B6E">
        <w:rPr>
          <w:rFonts w:ascii="Garamond" w:hAnsi="Garamond" w:cs="Times New Roman"/>
          <w:sz w:val="24"/>
          <w:szCs w:val="24"/>
          <w:shd w:val="clear" w:color="auto" w:fill="FFFFFF"/>
        </w:rPr>
        <w:t>a</w:t>
      </w:r>
      <w:r w:rsidRPr="00654B6E">
        <w:rPr>
          <w:rFonts w:ascii="Garamond" w:hAnsi="Garamond" w:cs="Times New Roman"/>
          <w:sz w:val="24"/>
          <w:szCs w:val="24"/>
          <w:shd w:val="clear" w:color="auto" w:fill="FFFFFF"/>
        </w:rPr>
        <w:t xml:space="preserve">renas: Negotiating </w:t>
      </w:r>
      <w:r w:rsidR="000D26A6" w:rsidRPr="00654B6E">
        <w:rPr>
          <w:rFonts w:ascii="Garamond" w:hAnsi="Garamond" w:cs="Times New Roman"/>
          <w:sz w:val="24"/>
          <w:szCs w:val="24"/>
          <w:shd w:val="clear" w:color="auto" w:fill="FFFFFF"/>
        </w:rPr>
        <w:t>i</w:t>
      </w:r>
      <w:r w:rsidRPr="00654B6E">
        <w:rPr>
          <w:rFonts w:ascii="Garamond" w:hAnsi="Garamond" w:cs="Times New Roman"/>
          <w:sz w:val="24"/>
          <w:szCs w:val="24"/>
          <w:shd w:val="clear" w:color="auto" w:fill="FFFFFF"/>
        </w:rPr>
        <w:t xml:space="preserve">dentities and </w:t>
      </w:r>
      <w:r w:rsidR="000D26A6" w:rsidRPr="00654B6E">
        <w:rPr>
          <w:rFonts w:ascii="Garamond" w:hAnsi="Garamond" w:cs="Times New Roman"/>
          <w:sz w:val="24"/>
          <w:szCs w:val="24"/>
          <w:shd w:val="clear" w:color="auto" w:fill="FFFFFF"/>
        </w:rPr>
        <w:t>f</w:t>
      </w:r>
      <w:r w:rsidRPr="00654B6E">
        <w:rPr>
          <w:rFonts w:ascii="Garamond" w:hAnsi="Garamond" w:cs="Times New Roman"/>
          <w:sz w:val="24"/>
          <w:szCs w:val="24"/>
          <w:shd w:val="clear" w:color="auto" w:fill="FFFFFF"/>
        </w:rPr>
        <w:t xml:space="preserve">raming </w:t>
      </w:r>
      <w:r w:rsidR="000D26A6" w:rsidRPr="00654B6E">
        <w:rPr>
          <w:rFonts w:ascii="Garamond" w:hAnsi="Garamond" w:cs="Times New Roman"/>
          <w:sz w:val="24"/>
          <w:szCs w:val="24"/>
          <w:shd w:val="clear" w:color="auto" w:fill="FFFFFF"/>
        </w:rPr>
        <w:t>c</w:t>
      </w:r>
      <w:r w:rsidRPr="00654B6E">
        <w:rPr>
          <w:rFonts w:ascii="Garamond" w:hAnsi="Garamond" w:cs="Times New Roman"/>
          <w:sz w:val="24"/>
          <w:szCs w:val="24"/>
          <w:shd w:val="clear" w:color="auto" w:fill="FFFFFF"/>
        </w:rPr>
        <w:t xml:space="preserve">itizenship”. </w:t>
      </w:r>
      <w:r w:rsidR="004F579D" w:rsidRPr="00654B6E">
        <w:rPr>
          <w:rFonts w:ascii="Garamond" w:hAnsi="Garamond" w:cs="Times New Roman"/>
          <w:i/>
          <w:iCs/>
          <w:sz w:val="24"/>
          <w:szCs w:val="24"/>
          <w:shd w:val="clear" w:color="auto" w:fill="FFFFFF"/>
        </w:rPr>
        <w:t>Critical Review of International Social and Political Philosophy</w:t>
      </w:r>
      <w:r w:rsidR="004F579D" w:rsidRPr="00654B6E">
        <w:rPr>
          <w:rFonts w:ascii="Garamond" w:hAnsi="Garamond" w:cs="Times New Roman"/>
          <w:sz w:val="24"/>
          <w:szCs w:val="24"/>
          <w:bdr w:val="none" w:sz="0" w:space="0" w:color="auto" w:frame="1"/>
          <w:shd w:val="clear" w:color="auto" w:fill="FFFFFF"/>
        </w:rPr>
        <w:t xml:space="preserve"> 10(4): 443–470.</w:t>
      </w:r>
    </w:p>
    <w:p w14:paraId="23388D12" w14:textId="6B0D7EB2" w:rsidR="00F457DF" w:rsidRPr="00AE1FFF" w:rsidRDefault="00F457DF" w:rsidP="00C51CD2">
      <w:pPr>
        <w:pStyle w:val="CommentText"/>
        <w:spacing w:line="360" w:lineRule="auto"/>
        <w:rPr>
          <w:rFonts w:ascii="Garamond" w:hAnsi="Garamond" w:cs="Times New Roman"/>
          <w:color w:val="000000"/>
          <w:sz w:val="24"/>
          <w:szCs w:val="24"/>
        </w:rPr>
      </w:pPr>
      <w:r w:rsidRPr="00654B6E">
        <w:rPr>
          <w:rFonts w:ascii="Garamond" w:hAnsi="Garamond" w:cs="Times New Roman"/>
          <w:sz w:val="24"/>
          <w:szCs w:val="24"/>
        </w:rPr>
        <w:t xml:space="preserve">Holzer, L. 2018. </w:t>
      </w:r>
      <w:r w:rsidRPr="00654B6E">
        <w:rPr>
          <w:rFonts w:ascii="Garamond" w:hAnsi="Garamond" w:cs="Times New Roman"/>
          <w:i/>
          <w:sz w:val="24"/>
          <w:szCs w:val="24"/>
        </w:rPr>
        <w:t xml:space="preserve">Non-binary gender registration models in Europe: Report on third gender marker or no gender </w:t>
      </w:r>
      <w:r w:rsidRPr="00AE1FFF">
        <w:rPr>
          <w:rFonts w:ascii="Garamond" w:hAnsi="Garamond" w:cs="Times New Roman"/>
          <w:i/>
          <w:color w:val="000000"/>
          <w:sz w:val="24"/>
          <w:szCs w:val="24"/>
        </w:rPr>
        <w:t>marker options</w:t>
      </w:r>
      <w:r w:rsidR="003A3CCC">
        <w:rPr>
          <w:rFonts w:ascii="Garamond" w:hAnsi="Garamond" w:cs="Times New Roman"/>
          <w:color w:val="000000"/>
          <w:sz w:val="24"/>
          <w:szCs w:val="24"/>
        </w:rPr>
        <w:t>. ILGA-Europe,</w:t>
      </w:r>
      <w:r w:rsidRPr="00AE1FFF">
        <w:rPr>
          <w:rFonts w:ascii="Garamond" w:hAnsi="Garamond" w:cs="Times New Roman"/>
          <w:color w:val="000000"/>
          <w:sz w:val="24"/>
          <w:szCs w:val="24"/>
        </w:rPr>
        <w:t xml:space="preserve"> Sept</w:t>
      </w:r>
      <w:r w:rsidR="003A3CCC">
        <w:rPr>
          <w:rFonts w:ascii="Garamond" w:hAnsi="Garamond" w:cs="Times New Roman"/>
          <w:color w:val="000000"/>
          <w:sz w:val="24"/>
          <w:szCs w:val="24"/>
        </w:rPr>
        <w:t>ember</w:t>
      </w:r>
      <w:r w:rsidRPr="00AE1FFF">
        <w:rPr>
          <w:rFonts w:ascii="Garamond" w:hAnsi="Garamond" w:cs="Times New Roman"/>
          <w:color w:val="000000"/>
          <w:sz w:val="24"/>
          <w:szCs w:val="24"/>
        </w:rPr>
        <w:t xml:space="preserve"> 2018.  </w:t>
      </w:r>
      <w:hyperlink r:id="rId14" w:history="1">
        <w:r w:rsidRPr="00AE1FFF">
          <w:rPr>
            <w:rFonts w:ascii="Garamond" w:hAnsi="Garamond" w:cs="Times New Roman"/>
            <w:color w:val="0000FF"/>
            <w:sz w:val="24"/>
            <w:szCs w:val="24"/>
            <w:u w:val="single"/>
          </w:rPr>
          <w:t>https://www.ilga-europe.org/sites/default/files/non-binary_gender_registration_models_in_europe_0.pdf</w:t>
        </w:r>
      </w:hyperlink>
      <w:r w:rsidRPr="00AE1FFF">
        <w:rPr>
          <w:rFonts w:ascii="Garamond" w:hAnsi="Garamond" w:cs="Times New Roman"/>
          <w:sz w:val="24"/>
          <w:szCs w:val="24"/>
        </w:rPr>
        <w:t>.</w:t>
      </w:r>
    </w:p>
    <w:p w14:paraId="4E10484B" w14:textId="00AD790D" w:rsidR="00965ECC" w:rsidRPr="00AE1FFF" w:rsidRDefault="00965ECC" w:rsidP="00C51CD2">
      <w:pPr>
        <w:spacing w:before="120" w:after="120" w:line="360" w:lineRule="auto"/>
        <w:rPr>
          <w:rFonts w:ascii="Garamond" w:hAnsi="Garamond" w:cs="Times New Roman"/>
          <w:color w:val="000000"/>
          <w:sz w:val="24"/>
          <w:szCs w:val="24"/>
          <w:shd w:val="clear" w:color="auto" w:fill="FFFFFF"/>
        </w:rPr>
      </w:pPr>
      <w:r w:rsidRPr="00AE1FFF">
        <w:rPr>
          <w:rStyle w:val="personname"/>
          <w:rFonts w:ascii="Garamond" w:hAnsi="Garamond" w:cs="Times New Roman"/>
          <w:color w:val="000000"/>
          <w:sz w:val="24"/>
          <w:szCs w:val="24"/>
          <w:shd w:val="clear" w:color="auto" w:fill="FFFFFF"/>
        </w:rPr>
        <w:t>Jackson, S. 2008. “</w:t>
      </w:r>
      <w:r w:rsidRPr="00AE1FFF">
        <w:rPr>
          <w:rFonts w:ascii="Garamond" w:hAnsi="Garamond" w:cs="Times New Roman"/>
          <w:color w:val="000000"/>
          <w:sz w:val="24"/>
          <w:szCs w:val="24"/>
          <w:shd w:val="clear" w:color="auto" w:fill="FFFFFF"/>
        </w:rPr>
        <w:t xml:space="preserve">Diversity, identity and belonging: </w:t>
      </w:r>
      <w:r w:rsidR="009F588B" w:rsidRPr="00AE1FFF">
        <w:rPr>
          <w:rFonts w:ascii="Garamond" w:hAnsi="Garamond" w:cs="Times New Roman"/>
          <w:color w:val="000000"/>
          <w:sz w:val="24"/>
          <w:szCs w:val="24"/>
          <w:shd w:val="clear" w:color="auto" w:fill="FFFFFF"/>
        </w:rPr>
        <w:t>W</w:t>
      </w:r>
      <w:r w:rsidR="003A3CCC">
        <w:rPr>
          <w:rFonts w:ascii="Garamond" w:hAnsi="Garamond" w:cs="Times New Roman"/>
          <w:color w:val="000000"/>
          <w:sz w:val="24"/>
          <w:szCs w:val="24"/>
          <w:shd w:val="clear" w:color="auto" w:fill="FFFFFF"/>
        </w:rPr>
        <w:t>omen’</w:t>
      </w:r>
      <w:r w:rsidRPr="00AE1FFF">
        <w:rPr>
          <w:rFonts w:ascii="Garamond" w:hAnsi="Garamond" w:cs="Times New Roman"/>
          <w:color w:val="000000"/>
          <w:sz w:val="24"/>
          <w:szCs w:val="24"/>
          <w:shd w:val="clear" w:color="auto" w:fill="FFFFFF"/>
        </w:rPr>
        <w:t>s spaces of sociality”. </w:t>
      </w:r>
      <w:r w:rsidRPr="00AE1FFF">
        <w:rPr>
          <w:rStyle w:val="Emphasis"/>
          <w:rFonts w:ascii="Garamond" w:hAnsi="Garamond" w:cs="Times New Roman"/>
          <w:color w:val="000000"/>
          <w:sz w:val="24"/>
          <w:szCs w:val="24"/>
          <w:shd w:val="clear" w:color="auto" w:fill="FFFFFF"/>
        </w:rPr>
        <w:t>The International Journal of Diversity in Organisations, Communities and Nations</w:t>
      </w:r>
      <w:r w:rsidR="00FA044A" w:rsidRPr="00AE1FFF">
        <w:rPr>
          <w:rFonts w:ascii="Garamond" w:hAnsi="Garamond" w:cs="Times New Roman"/>
          <w:color w:val="000000"/>
          <w:sz w:val="24"/>
          <w:szCs w:val="24"/>
          <w:shd w:val="clear" w:color="auto" w:fill="FFFFFF"/>
        </w:rPr>
        <w:t xml:space="preserve"> </w:t>
      </w:r>
      <w:r w:rsidRPr="00AE1FFF">
        <w:rPr>
          <w:rFonts w:ascii="Garamond" w:hAnsi="Garamond" w:cs="Times New Roman"/>
          <w:color w:val="000000"/>
          <w:sz w:val="24"/>
          <w:szCs w:val="24"/>
          <w:shd w:val="clear" w:color="auto" w:fill="FFFFFF"/>
        </w:rPr>
        <w:t>8(3): 147-154.</w:t>
      </w:r>
    </w:p>
    <w:p w14:paraId="6A7100E0" w14:textId="4D953E00" w:rsidR="00542FA8" w:rsidRPr="007F134D" w:rsidRDefault="00542FA8" w:rsidP="00C51CD2">
      <w:pPr>
        <w:pStyle w:val="NormalWeb"/>
        <w:spacing w:before="120" w:beforeAutospacing="0" w:after="120" w:afterAutospacing="0" w:line="360" w:lineRule="auto"/>
        <w:rPr>
          <w:rFonts w:ascii="Garamond" w:hAnsi="Garamond"/>
          <w:color w:val="000000"/>
        </w:rPr>
      </w:pPr>
      <w:r>
        <w:rPr>
          <w:rFonts w:ascii="Garamond" w:hAnsi="Garamond"/>
          <w:color w:val="000000"/>
        </w:rPr>
        <w:t xml:space="preserve">Jeffreys, S. 2018. </w:t>
      </w:r>
      <w:r>
        <w:rPr>
          <w:rFonts w:ascii="Garamond" w:hAnsi="Garamond"/>
          <w:i/>
          <w:iCs/>
          <w:color w:val="000000"/>
        </w:rPr>
        <w:t xml:space="preserve">The </w:t>
      </w:r>
      <w:r w:rsidR="007F134D">
        <w:rPr>
          <w:rFonts w:ascii="Garamond" w:hAnsi="Garamond"/>
          <w:i/>
          <w:iCs/>
          <w:color w:val="000000"/>
        </w:rPr>
        <w:t>Lesbian Revolution: Lesbian Feminism in the UK 1970-1990</w:t>
      </w:r>
      <w:r w:rsidR="007F134D">
        <w:rPr>
          <w:rFonts w:ascii="Garamond" w:hAnsi="Garamond"/>
          <w:color w:val="000000"/>
        </w:rPr>
        <w:t>. London: Routledge.</w:t>
      </w:r>
    </w:p>
    <w:p w14:paraId="785E17AD" w14:textId="7ADC247E" w:rsidR="00554973" w:rsidRPr="00AE1FFF"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lastRenderedPageBreak/>
        <w:t>Jeffreys, S. 2014</w:t>
      </w:r>
      <w:r w:rsidR="00430D7F" w:rsidRPr="00AE1FFF">
        <w:rPr>
          <w:rFonts w:ascii="Garamond" w:hAnsi="Garamond"/>
          <w:color w:val="000000"/>
        </w:rPr>
        <w:t>.</w:t>
      </w:r>
      <w:r w:rsidRPr="00AE1FFF">
        <w:rPr>
          <w:rFonts w:ascii="Garamond" w:hAnsi="Garamond"/>
          <w:color w:val="000000"/>
        </w:rPr>
        <w:t xml:space="preserve"> “The politics of the toilet: A femini</w:t>
      </w:r>
      <w:r w:rsidR="003A3CCC">
        <w:rPr>
          <w:rFonts w:ascii="Garamond" w:hAnsi="Garamond"/>
          <w:color w:val="000000"/>
        </w:rPr>
        <w:t>st response to the campaign to ‘degender’</w:t>
      </w:r>
      <w:r w:rsidRPr="00AE1FFF">
        <w:rPr>
          <w:rFonts w:ascii="Garamond" w:hAnsi="Garamond"/>
          <w:color w:val="000000"/>
        </w:rPr>
        <w:t xml:space="preserve"> a women's space”. </w:t>
      </w:r>
      <w:r w:rsidRPr="00AE1FFF">
        <w:rPr>
          <w:rFonts w:ascii="Garamond" w:hAnsi="Garamond"/>
          <w:i/>
          <w:iCs/>
          <w:color w:val="000000"/>
        </w:rPr>
        <w:t>Women's Studies International Forum</w:t>
      </w:r>
      <w:r w:rsidRPr="00AE1FFF">
        <w:rPr>
          <w:rFonts w:ascii="Garamond" w:hAnsi="Garamond"/>
          <w:color w:val="000000"/>
        </w:rPr>
        <w:t xml:space="preserve"> 45: 42–51.</w:t>
      </w:r>
    </w:p>
    <w:p w14:paraId="32D4949E" w14:textId="2D1B0A71" w:rsidR="00865A89" w:rsidRPr="00654B6E" w:rsidRDefault="00865A89" w:rsidP="00C51CD2">
      <w:pPr>
        <w:rPr>
          <w:rFonts w:ascii="Garamond" w:hAnsi="Garamond" w:cs="Times New Roman"/>
          <w:sz w:val="24"/>
          <w:szCs w:val="24"/>
        </w:rPr>
      </w:pPr>
      <w:r w:rsidRPr="00654B6E">
        <w:rPr>
          <w:rFonts w:ascii="Garamond" w:hAnsi="Garamond" w:cs="Times New Roman"/>
          <w:spacing w:val="4"/>
          <w:sz w:val="24"/>
          <w:szCs w:val="24"/>
          <w:shd w:val="clear" w:color="auto" w:fill="FCFCFC"/>
        </w:rPr>
        <w:t xml:space="preserve">Johnson J.E. 2018. </w:t>
      </w:r>
      <w:r w:rsidRPr="00654B6E">
        <w:rPr>
          <w:rFonts w:ascii="Garamond" w:hAnsi="Garamond" w:cs="Times New Roman"/>
          <w:i/>
          <w:iCs/>
          <w:spacing w:val="4"/>
          <w:sz w:val="24"/>
          <w:szCs w:val="24"/>
          <w:shd w:val="clear" w:color="auto" w:fill="FCFCFC"/>
        </w:rPr>
        <w:t>The Gender of Informal Politic</w:t>
      </w:r>
      <w:r w:rsidR="002517C6" w:rsidRPr="00654B6E">
        <w:rPr>
          <w:rFonts w:ascii="Garamond" w:hAnsi="Garamond" w:cs="Times New Roman"/>
          <w:i/>
          <w:iCs/>
          <w:spacing w:val="4"/>
          <w:sz w:val="24"/>
          <w:szCs w:val="24"/>
          <w:shd w:val="clear" w:color="auto" w:fill="FCFCFC"/>
        </w:rPr>
        <w:t>s</w:t>
      </w:r>
      <w:r w:rsidRPr="00654B6E">
        <w:rPr>
          <w:rFonts w:ascii="Garamond" w:hAnsi="Garamond" w:cs="Times New Roman"/>
          <w:i/>
          <w:iCs/>
          <w:spacing w:val="4"/>
          <w:sz w:val="24"/>
          <w:szCs w:val="24"/>
          <w:shd w:val="clear" w:color="auto" w:fill="FCFCFC"/>
        </w:rPr>
        <w:t>: Russia, Iceland and Twenty-First Century Male Dominance</w:t>
      </w:r>
      <w:r w:rsidRPr="00654B6E">
        <w:rPr>
          <w:rFonts w:ascii="Garamond" w:hAnsi="Garamond" w:cs="Times New Roman"/>
          <w:spacing w:val="4"/>
          <w:sz w:val="24"/>
          <w:szCs w:val="24"/>
          <w:shd w:val="clear" w:color="auto" w:fill="FCFCFC"/>
        </w:rPr>
        <w:t xml:space="preserve">. </w:t>
      </w:r>
      <w:r w:rsidR="00FB1762" w:rsidRPr="00654B6E">
        <w:rPr>
          <w:rFonts w:ascii="Garamond" w:hAnsi="Garamond" w:cs="Times New Roman"/>
          <w:spacing w:val="4"/>
          <w:sz w:val="24"/>
          <w:szCs w:val="24"/>
          <w:shd w:val="clear" w:color="auto" w:fill="FCFCFC"/>
        </w:rPr>
        <w:t xml:space="preserve"> </w:t>
      </w:r>
      <w:r w:rsidR="003A3CCC" w:rsidRPr="00654B6E">
        <w:rPr>
          <w:rFonts w:ascii="Garamond" w:hAnsi="Garamond" w:cs="Times New Roman"/>
          <w:spacing w:val="4"/>
          <w:sz w:val="24"/>
          <w:szCs w:val="24"/>
          <w:shd w:val="clear" w:color="auto" w:fill="FCFCFC"/>
        </w:rPr>
        <w:t>Basingstoke</w:t>
      </w:r>
      <w:r w:rsidR="00FB1762" w:rsidRPr="00654B6E">
        <w:rPr>
          <w:rFonts w:ascii="Garamond" w:hAnsi="Garamond" w:cs="Times New Roman"/>
          <w:spacing w:val="4"/>
          <w:sz w:val="24"/>
          <w:szCs w:val="24"/>
          <w:shd w:val="clear" w:color="auto" w:fill="FCFCFC"/>
        </w:rPr>
        <w:t>:</w:t>
      </w:r>
      <w:r w:rsidR="000D26A6" w:rsidRPr="00654B6E">
        <w:rPr>
          <w:rFonts w:ascii="Garamond" w:hAnsi="Garamond" w:cs="Times New Roman"/>
          <w:spacing w:val="4"/>
          <w:sz w:val="24"/>
          <w:szCs w:val="24"/>
          <w:shd w:val="clear" w:color="auto" w:fill="FCFCFC"/>
        </w:rPr>
        <w:t xml:space="preserve"> </w:t>
      </w:r>
      <w:r w:rsidRPr="00654B6E">
        <w:rPr>
          <w:rFonts w:ascii="Garamond" w:hAnsi="Garamond" w:cs="Times New Roman"/>
          <w:spacing w:val="4"/>
          <w:sz w:val="24"/>
          <w:szCs w:val="24"/>
          <w:shd w:val="clear" w:color="auto" w:fill="FCFCFC"/>
        </w:rPr>
        <w:t>Palgrave Macmillan.</w:t>
      </w:r>
      <w:r w:rsidRPr="00654B6E">
        <w:rPr>
          <w:rFonts w:ascii="Garamond" w:hAnsi="Garamond" w:cs="Times New Roman"/>
          <w:sz w:val="24"/>
          <w:szCs w:val="24"/>
        </w:rPr>
        <w:t xml:space="preserve"> </w:t>
      </w:r>
    </w:p>
    <w:p w14:paraId="3F456C1E" w14:textId="3BECCAFA" w:rsidR="001503EF" w:rsidRPr="00AE1FFF" w:rsidRDefault="001503EF" w:rsidP="00C51CD2">
      <w:pPr>
        <w:rPr>
          <w:rFonts w:ascii="Garamond" w:hAnsi="Garamond" w:cs="Times New Roman"/>
          <w:sz w:val="24"/>
          <w:szCs w:val="24"/>
        </w:rPr>
      </w:pPr>
      <w:r w:rsidRPr="00AE1FFF">
        <w:rPr>
          <w:rFonts w:ascii="Garamond" w:hAnsi="Garamond" w:cs="Times New Roman"/>
          <w:sz w:val="24"/>
          <w:szCs w:val="24"/>
        </w:rPr>
        <w:t xml:space="preserve">Karkazis, K. and Jordan-Young, R.M. 2018. “The </w:t>
      </w:r>
      <w:r w:rsidR="00ED0DC7" w:rsidRPr="00AE1FFF">
        <w:rPr>
          <w:rFonts w:ascii="Garamond" w:hAnsi="Garamond" w:cs="Times New Roman"/>
          <w:sz w:val="24"/>
          <w:szCs w:val="24"/>
        </w:rPr>
        <w:t>p</w:t>
      </w:r>
      <w:r w:rsidRPr="00AE1FFF">
        <w:rPr>
          <w:rFonts w:ascii="Garamond" w:hAnsi="Garamond" w:cs="Times New Roman"/>
          <w:sz w:val="24"/>
          <w:szCs w:val="24"/>
        </w:rPr>
        <w:t xml:space="preserve">owers of </w:t>
      </w:r>
      <w:r w:rsidR="00ED0DC7" w:rsidRPr="00AE1FFF">
        <w:rPr>
          <w:rFonts w:ascii="Garamond" w:hAnsi="Garamond" w:cs="Times New Roman"/>
          <w:sz w:val="24"/>
          <w:szCs w:val="24"/>
        </w:rPr>
        <w:t>t</w:t>
      </w:r>
      <w:r w:rsidRPr="00AE1FFF">
        <w:rPr>
          <w:rFonts w:ascii="Garamond" w:hAnsi="Garamond" w:cs="Times New Roman"/>
          <w:sz w:val="24"/>
          <w:szCs w:val="24"/>
        </w:rPr>
        <w:t xml:space="preserve">estosterone: Obscuring </w:t>
      </w:r>
      <w:r w:rsidR="00ED0DC7" w:rsidRPr="00AE1FFF">
        <w:rPr>
          <w:rFonts w:ascii="Garamond" w:hAnsi="Garamond" w:cs="Times New Roman"/>
          <w:sz w:val="24"/>
          <w:szCs w:val="24"/>
        </w:rPr>
        <w:t>r</w:t>
      </w:r>
      <w:r w:rsidRPr="00AE1FFF">
        <w:rPr>
          <w:rFonts w:ascii="Garamond" w:hAnsi="Garamond" w:cs="Times New Roman"/>
          <w:sz w:val="24"/>
          <w:szCs w:val="24"/>
        </w:rPr>
        <w:t xml:space="preserve">ace and </w:t>
      </w:r>
      <w:r w:rsidR="00ED0DC7" w:rsidRPr="00AE1FFF">
        <w:rPr>
          <w:rFonts w:ascii="Garamond" w:hAnsi="Garamond" w:cs="Times New Roman"/>
          <w:sz w:val="24"/>
          <w:szCs w:val="24"/>
        </w:rPr>
        <w:t>r</w:t>
      </w:r>
      <w:r w:rsidRPr="00AE1FFF">
        <w:rPr>
          <w:rFonts w:ascii="Garamond" w:hAnsi="Garamond" w:cs="Times New Roman"/>
          <w:sz w:val="24"/>
          <w:szCs w:val="24"/>
        </w:rPr>
        <w:t xml:space="preserve">egional </w:t>
      </w:r>
      <w:r w:rsidR="00ED0DC7" w:rsidRPr="00AE1FFF">
        <w:rPr>
          <w:rFonts w:ascii="Garamond" w:hAnsi="Garamond" w:cs="Times New Roman"/>
          <w:sz w:val="24"/>
          <w:szCs w:val="24"/>
        </w:rPr>
        <w:t>b</w:t>
      </w:r>
      <w:r w:rsidRPr="00AE1FFF">
        <w:rPr>
          <w:rFonts w:ascii="Garamond" w:hAnsi="Garamond" w:cs="Times New Roman"/>
          <w:sz w:val="24"/>
          <w:szCs w:val="24"/>
        </w:rPr>
        <w:t xml:space="preserve">ias in the </w:t>
      </w:r>
      <w:r w:rsidR="00ED0DC7" w:rsidRPr="00AE1FFF">
        <w:rPr>
          <w:rFonts w:ascii="Garamond" w:hAnsi="Garamond" w:cs="Times New Roman"/>
          <w:sz w:val="24"/>
          <w:szCs w:val="24"/>
        </w:rPr>
        <w:t>r</w:t>
      </w:r>
      <w:r w:rsidRPr="00AE1FFF">
        <w:rPr>
          <w:rFonts w:ascii="Garamond" w:hAnsi="Garamond" w:cs="Times New Roman"/>
          <w:sz w:val="24"/>
          <w:szCs w:val="24"/>
        </w:rPr>
        <w:t xml:space="preserve">egulation of </w:t>
      </w:r>
      <w:r w:rsidR="00ED0DC7" w:rsidRPr="00AE1FFF">
        <w:rPr>
          <w:rFonts w:ascii="Garamond" w:hAnsi="Garamond" w:cs="Times New Roman"/>
          <w:sz w:val="24"/>
          <w:szCs w:val="24"/>
        </w:rPr>
        <w:t>w</w:t>
      </w:r>
      <w:r w:rsidRPr="00AE1FFF">
        <w:rPr>
          <w:rFonts w:ascii="Garamond" w:hAnsi="Garamond" w:cs="Times New Roman"/>
          <w:sz w:val="24"/>
          <w:szCs w:val="24"/>
        </w:rPr>
        <w:t xml:space="preserve">omen </w:t>
      </w:r>
      <w:r w:rsidR="00ED0DC7" w:rsidRPr="00AE1FFF">
        <w:rPr>
          <w:rFonts w:ascii="Garamond" w:hAnsi="Garamond" w:cs="Times New Roman"/>
          <w:sz w:val="24"/>
          <w:szCs w:val="24"/>
        </w:rPr>
        <w:t>a</w:t>
      </w:r>
      <w:r w:rsidRPr="00AE1FFF">
        <w:rPr>
          <w:rFonts w:ascii="Garamond" w:hAnsi="Garamond" w:cs="Times New Roman"/>
          <w:sz w:val="24"/>
          <w:szCs w:val="24"/>
        </w:rPr>
        <w:t>thletes”</w:t>
      </w:r>
      <w:r w:rsidR="00ED0DC7" w:rsidRPr="00AE1FFF">
        <w:rPr>
          <w:rFonts w:ascii="Garamond" w:hAnsi="Garamond" w:cs="Times New Roman"/>
          <w:sz w:val="24"/>
          <w:szCs w:val="24"/>
        </w:rPr>
        <w:t>.</w:t>
      </w:r>
      <w:r w:rsidRPr="00AE1FFF">
        <w:rPr>
          <w:rFonts w:ascii="Garamond" w:hAnsi="Garamond" w:cs="Times New Roman"/>
          <w:sz w:val="24"/>
          <w:szCs w:val="24"/>
        </w:rPr>
        <w:t xml:space="preserve"> </w:t>
      </w:r>
      <w:r w:rsidRPr="00AE1FFF">
        <w:rPr>
          <w:rFonts w:ascii="Garamond" w:hAnsi="Garamond" w:cs="Times New Roman"/>
          <w:i/>
          <w:iCs/>
          <w:sz w:val="24"/>
          <w:szCs w:val="24"/>
        </w:rPr>
        <w:t xml:space="preserve">Feminist Formations </w:t>
      </w:r>
      <w:r w:rsidRPr="00AE1FFF">
        <w:rPr>
          <w:rFonts w:ascii="Garamond" w:hAnsi="Garamond" w:cs="Times New Roman"/>
          <w:sz w:val="24"/>
          <w:szCs w:val="24"/>
        </w:rPr>
        <w:t>30(2): 1-39.</w:t>
      </w:r>
    </w:p>
    <w:p w14:paraId="0E547A9C" w14:textId="7171E05E" w:rsidR="00430D7F" w:rsidRPr="00AE1FFF" w:rsidRDefault="00430D7F"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Katyal, S</w:t>
      </w:r>
      <w:r w:rsidR="00B91D63" w:rsidRPr="00AE1FFF">
        <w:rPr>
          <w:rFonts w:ascii="Garamond" w:hAnsi="Garamond" w:cs="Times New Roman"/>
          <w:sz w:val="24"/>
          <w:szCs w:val="24"/>
        </w:rPr>
        <w:t>.</w:t>
      </w:r>
      <w:r w:rsidRPr="00AE1FFF">
        <w:rPr>
          <w:rFonts w:ascii="Garamond" w:hAnsi="Garamond" w:cs="Times New Roman"/>
          <w:sz w:val="24"/>
          <w:szCs w:val="24"/>
        </w:rPr>
        <w:t xml:space="preserve">K. 2017. “The </w:t>
      </w:r>
      <w:r w:rsidRPr="00AE1FFF">
        <w:rPr>
          <w:rFonts w:ascii="Garamond" w:hAnsi="Garamond" w:cs="Times New Roman"/>
          <w:i/>
          <w:sz w:val="24"/>
          <w:szCs w:val="24"/>
        </w:rPr>
        <w:t>numerus clausus</w:t>
      </w:r>
      <w:r w:rsidRPr="00AE1FFF">
        <w:rPr>
          <w:rFonts w:ascii="Garamond" w:hAnsi="Garamond" w:cs="Times New Roman"/>
          <w:sz w:val="24"/>
          <w:szCs w:val="24"/>
        </w:rPr>
        <w:t xml:space="preserve"> of sex”. </w:t>
      </w:r>
      <w:r w:rsidRPr="00AE1FFF">
        <w:rPr>
          <w:rFonts w:ascii="Garamond" w:hAnsi="Garamond" w:cs="Times New Roman"/>
          <w:i/>
          <w:sz w:val="24"/>
          <w:szCs w:val="24"/>
        </w:rPr>
        <w:t>University of Chicago Law Review</w:t>
      </w:r>
      <w:r w:rsidRPr="00AE1FFF">
        <w:rPr>
          <w:rFonts w:ascii="Garamond" w:hAnsi="Garamond" w:cs="Times New Roman"/>
          <w:sz w:val="24"/>
          <w:szCs w:val="24"/>
        </w:rPr>
        <w:t xml:space="preserve"> 84(1): 389-495.</w:t>
      </w:r>
    </w:p>
    <w:p w14:paraId="548E1CFD" w14:textId="564E66FC" w:rsidR="00606766" w:rsidRPr="00AE1FFF" w:rsidRDefault="00B54FB5"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Kelly</w:t>
      </w:r>
      <w:r w:rsidR="003A3CCC">
        <w:rPr>
          <w:rFonts w:ascii="Garamond" w:hAnsi="Garamond" w:cs="Times New Roman"/>
          <w:sz w:val="24"/>
          <w:szCs w:val="24"/>
        </w:rPr>
        <w:t>, R. and White. I.  2016. “All women s</w:t>
      </w:r>
      <w:r w:rsidRPr="00AE1FFF">
        <w:rPr>
          <w:rFonts w:ascii="Garamond" w:hAnsi="Garamond" w:cs="Times New Roman"/>
          <w:sz w:val="24"/>
          <w:szCs w:val="24"/>
        </w:rPr>
        <w:t xml:space="preserve">hortlists”.  </w:t>
      </w:r>
      <w:r w:rsidRPr="00AE1FFF">
        <w:rPr>
          <w:rFonts w:ascii="Garamond" w:hAnsi="Garamond" w:cs="Times New Roman"/>
          <w:i/>
          <w:iCs/>
          <w:sz w:val="24"/>
          <w:szCs w:val="24"/>
        </w:rPr>
        <w:t xml:space="preserve">House of Commons </w:t>
      </w:r>
      <w:r w:rsidR="00E004FD" w:rsidRPr="00AE1FFF">
        <w:rPr>
          <w:rFonts w:ascii="Garamond" w:hAnsi="Garamond" w:cs="Times New Roman"/>
          <w:i/>
          <w:iCs/>
          <w:sz w:val="24"/>
          <w:szCs w:val="24"/>
        </w:rPr>
        <w:t xml:space="preserve">Library </w:t>
      </w:r>
      <w:r w:rsidRPr="00AE1FFF">
        <w:rPr>
          <w:rFonts w:ascii="Garamond" w:hAnsi="Garamond" w:cs="Times New Roman"/>
          <w:i/>
          <w:iCs/>
          <w:sz w:val="24"/>
          <w:szCs w:val="24"/>
        </w:rPr>
        <w:t>Briefing Paper</w:t>
      </w:r>
      <w:r w:rsidRPr="00AE1FFF">
        <w:rPr>
          <w:rFonts w:ascii="Garamond" w:hAnsi="Garamond" w:cs="Times New Roman"/>
          <w:sz w:val="24"/>
          <w:szCs w:val="24"/>
        </w:rPr>
        <w:t>, No. 5057, 7 Mar</w:t>
      </w:r>
      <w:r w:rsidR="003A3CCC">
        <w:rPr>
          <w:rFonts w:ascii="Garamond" w:hAnsi="Garamond" w:cs="Times New Roman"/>
          <w:sz w:val="24"/>
          <w:szCs w:val="24"/>
        </w:rPr>
        <w:t>ch</w:t>
      </w:r>
      <w:r w:rsidRPr="00AE1FFF">
        <w:rPr>
          <w:rFonts w:ascii="Garamond" w:hAnsi="Garamond" w:cs="Times New Roman"/>
          <w:sz w:val="24"/>
          <w:szCs w:val="24"/>
        </w:rPr>
        <w:t xml:space="preserve"> 2016. </w:t>
      </w:r>
      <w:hyperlink r:id="rId15" w:history="1">
        <w:r w:rsidRPr="00AE1FFF">
          <w:rPr>
            <w:rStyle w:val="Hyperlink"/>
            <w:rFonts w:ascii="Garamond" w:hAnsi="Garamond" w:cs="Times New Roman"/>
            <w:sz w:val="24"/>
            <w:szCs w:val="24"/>
          </w:rPr>
          <w:t>https://researchbriefings.parliament.uk/ResearchBriefing/Summary/SN05057</w:t>
        </w:r>
      </w:hyperlink>
      <w:r w:rsidRPr="00AE1FFF">
        <w:rPr>
          <w:rFonts w:ascii="Garamond" w:hAnsi="Garamond" w:cs="Times New Roman"/>
          <w:sz w:val="24"/>
          <w:szCs w:val="24"/>
        </w:rPr>
        <w:t xml:space="preserve">.  </w:t>
      </w:r>
    </w:p>
    <w:p w14:paraId="1E1D8BBD" w14:textId="3C3AE0D2" w:rsidR="00720B12" w:rsidRPr="00AE1FFF" w:rsidRDefault="00720B12" w:rsidP="00C51CD2">
      <w:pPr>
        <w:spacing w:before="120" w:after="120" w:line="360" w:lineRule="auto"/>
        <w:rPr>
          <w:rFonts w:ascii="Garamond" w:hAnsi="Garamond" w:cs="Times New Roman"/>
          <w:sz w:val="24"/>
          <w:szCs w:val="24"/>
        </w:rPr>
      </w:pPr>
      <w:r w:rsidRPr="00AE1FFF">
        <w:rPr>
          <w:rFonts w:ascii="Garamond" w:hAnsi="Garamond" w:cs="Times New Roman"/>
          <w:sz w:val="24"/>
          <w:szCs w:val="24"/>
          <w:shd w:val="clear" w:color="auto" w:fill="FFFFFF"/>
        </w:rPr>
        <w:t xml:space="preserve">Kerr, R. and Obel, C. 2018. “Reassembling sex: </w:t>
      </w:r>
      <w:r w:rsidR="00ED0DC7" w:rsidRPr="00AE1FFF">
        <w:rPr>
          <w:rFonts w:ascii="Garamond" w:hAnsi="Garamond" w:cs="Times New Roman"/>
          <w:sz w:val="24"/>
          <w:szCs w:val="24"/>
          <w:shd w:val="clear" w:color="auto" w:fill="FFFFFF"/>
        </w:rPr>
        <w:t>R</w:t>
      </w:r>
      <w:r w:rsidRPr="00AE1FFF">
        <w:rPr>
          <w:rFonts w:ascii="Garamond" w:hAnsi="Garamond" w:cs="Times New Roman"/>
          <w:sz w:val="24"/>
          <w:szCs w:val="24"/>
          <w:shd w:val="clear" w:color="auto" w:fill="FFFFFF"/>
        </w:rPr>
        <w:t>econsidering sex segregation policies in sport”.  </w:t>
      </w:r>
      <w:r w:rsidRPr="00AE1FFF">
        <w:rPr>
          <w:rFonts w:ascii="Garamond" w:hAnsi="Garamond" w:cs="Times New Roman"/>
          <w:i/>
          <w:sz w:val="24"/>
          <w:szCs w:val="24"/>
          <w:shd w:val="clear" w:color="auto" w:fill="FFFFFF"/>
        </w:rPr>
        <w:t>International Journal of Sport Policy and Politics</w:t>
      </w:r>
      <w:r w:rsidRPr="00AE1FFF">
        <w:rPr>
          <w:rFonts w:ascii="Garamond" w:hAnsi="Garamond" w:cs="Times New Roman"/>
          <w:sz w:val="24"/>
          <w:szCs w:val="24"/>
          <w:shd w:val="clear" w:color="auto" w:fill="FFFFFF"/>
        </w:rPr>
        <w:t> 10(2): 305-320.</w:t>
      </w:r>
    </w:p>
    <w:p w14:paraId="552ABA33" w14:textId="4F3F6789" w:rsidR="00C93BA7" w:rsidRPr="00AE1FFF" w:rsidRDefault="00C93BA7" w:rsidP="00C51CD2">
      <w:pPr>
        <w:pStyle w:val="NormalWeb"/>
        <w:spacing w:before="120" w:beforeAutospacing="0" w:after="120" w:afterAutospacing="0" w:line="360" w:lineRule="auto"/>
        <w:rPr>
          <w:rFonts w:ascii="Garamond" w:hAnsi="Garamond"/>
        </w:rPr>
      </w:pPr>
      <w:bookmarkStart w:id="19" w:name="_Hlk48678929"/>
      <w:bookmarkStart w:id="20" w:name="_Hlk48678873"/>
      <w:r w:rsidRPr="00AE1FFF">
        <w:rPr>
          <w:rFonts w:ascii="Garamond" w:hAnsi="Garamond"/>
        </w:rPr>
        <w:t>Krook</w:t>
      </w:r>
      <w:r w:rsidR="0027787A" w:rsidRPr="00AE1FFF">
        <w:rPr>
          <w:rFonts w:ascii="Garamond" w:hAnsi="Garamond"/>
        </w:rPr>
        <w:t>, M.L.</w:t>
      </w:r>
      <w:r w:rsidRPr="00AE1FFF">
        <w:rPr>
          <w:rFonts w:ascii="Garamond" w:hAnsi="Garamond"/>
        </w:rPr>
        <w:t xml:space="preserve"> and Nugent</w:t>
      </w:r>
      <w:r w:rsidR="00597848" w:rsidRPr="00AE1FFF">
        <w:rPr>
          <w:rFonts w:ascii="Garamond" w:hAnsi="Garamond"/>
        </w:rPr>
        <w:t>, M.K</w:t>
      </w:r>
      <w:r w:rsidRPr="00AE1FFF">
        <w:rPr>
          <w:rFonts w:ascii="Garamond" w:hAnsi="Garamond"/>
        </w:rPr>
        <w:t>.  2016. “Intersectional institutions: Representing women and ethnic minorities</w:t>
      </w:r>
      <w:r w:rsidR="003A3CCC">
        <w:rPr>
          <w:rFonts w:ascii="Garamond" w:hAnsi="Garamond"/>
        </w:rPr>
        <w:t xml:space="preserve"> in the British Labour Party”. </w:t>
      </w:r>
      <w:r w:rsidRPr="00AE1FFF">
        <w:rPr>
          <w:rFonts w:ascii="Garamond" w:hAnsi="Garamond"/>
          <w:i/>
        </w:rPr>
        <w:t>Party Politics</w:t>
      </w:r>
      <w:r w:rsidRPr="00AE1FFF">
        <w:rPr>
          <w:rFonts w:ascii="Garamond" w:hAnsi="Garamond"/>
        </w:rPr>
        <w:t xml:space="preserve"> 22(5): 620–630.</w:t>
      </w:r>
    </w:p>
    <w:p w14:paraId="7DC8F7A3" w14:textId="60BABCFF" w:rsidR="00DD634B" w:rsidRDefault="00273C7B" w:rsidP="00C51CD2">
      <w:pPr>
        <w:spacing w:before="120" w:after="120" w:line="360" w:lineRule="auto"/>
        <w:rPr>
          <w:rFonts w:ascii="Garamond" w:hAnsi="Garamond" w:cs="Times New Roman"/>
          <w:sz w:val="24"/>
          <w:szCs w:val="24"/>
        </w:rPr>
      </w:pPr>
      <w:r w:rsidRPr="00AE1FFF">
        <w:rPr>
          <w:rFonts w:ascii="Garamond" w:hAnsi="Garamond" w:cs="Times New Roman"/>
          <w:sz w:val="24"/>
          <w:szCs w:val="24"/>
          <w:lang w:eastAsia="en-GB"/>
        </w:rPr>
        <w:t xml:space="preserve">Lamble, S. 2019. </w:t>
      </w:r>
      <w:bookmarkEnd w:id="19"/>
      <w:r w:rsidRPr="00AE1FFF">
        <w:rPr>
          <w:rFonts w:ascii="Garamond" w:hAnsi="Garamond" w:cs="Times New Roman"/>
          <w:sz w:val="24"/>
          <w:szCs w:val="24"/>
          <w:lang w:eastAsia="en-GB"/>
        </w:rPr>
        <w:t xml:space="preserve">“Why context matters in the trans prisoner policy debates”.  </w:t>
      </w:r>
      <w:r w:rsidRPr="00AE1FFF">
        <w:rPr>
          <w:rFonts w:ascii="Garamond" w:hAnsi="Garamond" w:cs="Times New Roman"/>
          <w:i/>
          <w:iCs/>
          <w:sz w:val="24"/>
          <w:szCs w:val="24"/>
          <w:lang w:eastAsia="en-GB"/>
        </w:rPr>
        <w:t xml:space="preserve">HERC Blog, </w:t>
      </w:r>
      <w:r w:rsidRPr="00AE1FFF">
        <w:rPr>
          <w:rFonts w:ascii="Garamond" w:hAnsi="Garamond" w:cs="Times New Roman"/>
          <w:sz w:val="24"/>
          <w:szCs w:val="24"/>
          <w:lang w:eastAsia="en-GB"/>
        </w:rPr>
        <w:t>9 Sept</w:t>
      </w:r>
      <w:r w:rsidR="003A3CCC">
        <w:rPr>
          <w:rFonts w:ascii="Garamond" w:hAnsi="Garamond" w:cs="Times New Roman"/>
          <w:sz w:val="24"/>
          <w:szCs w:val="24"/>
          <w:lang w:eastAsia="en-GB"/>
        </w:rPr>
        <w:t>ember</w:t>
      </w:r>
      <w:r w:rsidRPr="00AE1FFF">
        <w:rPr>
          <w:rFonts w:ascii="Garamond" w:hAnsi="Garamond" w:cs="Times New Roman"/>
          <w:sz w:val="24"/>
          <w:szCs w:val="24"/>
          <w:lang w:eastAsia="en-GB"/>
        </w:rPr>
        <w:t xml:space="preserve"> 2019. </w:t>
      </w:r>
      <w:hyperlink r:id="rId16" w:history="1">
        <w:r w:rsidRPr="00AE1FFF">
          <w:rPr>
            <w:rStyle w:val="Hyperlink"/>
            <w:rFonts w:ascii="Garamond" w:hAnsi="Garamond" w:cs="Times New Roman"/>
            <w:sz w:val="24"/>
            <w:szCs w:val="24"/>
          </w:rPr>
          <w:t>https://oucriminology.wordpress.com/2019/09/09/let-women-prisoners-decide-on-trans-policy-sounds-democratic-but-is-misleading-and-risks-feeding-a-wider-trend-of-anti-trans-groups-using-women-prisoners-for-their-own-political-agen/</w:t>
        </w:r>
      </w:hyperlink>
      <w:r w:rsidRPr="00AE1FFF">
        <w:rPr>
          <w:rFonts w:ascii="Garamond" w:hAnsi="Garamond" w:cs="Times New Roman"/>
          <w:sz w:val="24"/>
          <w:szCs w:val="24"/>
        </w:rPr>
        <w:t>.</w:t>
      </w:r>
    </w:p>
    <w:p w14:paraId="76F16324" w14:textId="330B0AD1" w:rsidR="00947CCE" w:rsidRPr="00947CCE" w:rsidRDefault="00947CCE" w:rsidP="00C51CD2">
      <w:pPr>
        <w:spacing w:before="120" w:after="120" w:line="360" w:lineRule="auto"/>
        <w:rPr>
          <w:rFonts w:ascii="Garamond" w:hAnsi="Garamond" w:cs="Times New Roman"/>
          <w:sz w:val="24"/>
          <w:szCs w:val="24"/>
        </w:rPr>
      </w:pPr>
      <w:r w:rsidRPr="00947CCE">
        <w:rPr>
          <w:rFonts w:ascii="Garamond" w:hAnsi="Garamond" w:cs="Times New Roman"/>
          <w:sz w:val="24"/>
          <w:szCs w:val="24"/>
        </w:rPr>
        <w:t>Local Government Commission</w:t>
      </w:r>
      <w:r>
        <w:rPr>
          <w:rFonts w:ascii="Garamond" w:hAnsi="Garamond" w:cs="Times New Roman"/>
          <w:sz w:val="24"/>
          <w:szCs w:val="24"/>
        </w:rPr>
        <w:t xml:space="preserve">. 2017. </w:t>
      </w:r>
      <w:r>
        <w:rPr>
          <w:rFonts w:ascii="Garamond" w:hAnsi="Garamond" w:cs="Times New Roman"/>
          <w:i/>
          <w:sz w:val="24"/>
          <w:szCs w:val="24"/>
        </w:rPr>
        <w:t>Does Local Government Work for Women? Final Report of the Local Government Commission</w:t>
      </w:r>
      <w:r>
        <w:rPr>
          <w:rFonts w:ascii="Garamond" w:hAnsi="Garamond" w:cs="Times New Roman"/>
          <w:sz w:val="24"/>
          <w:szCs w:val="24"/>
        </w:rPr>
        <w:t xml:space="preserve">. </w:t>
      </w:r>
      <w:r w:rsidRPr="00947CCE">
        <w:rPr>
          <w:rFonts w:ascii="Garamond" w:hAnsi="Garamond" w:cs="Times New Roman"/>
          <w:sz w:val="24"/>
          <w:szCs w:val="24"/>
        </w:rPr>
        <w:t>Fawcett Society</w:t>
      </w:r>
      <w:r>
        <w:rPr>
          <w:rFonts w:ascii="Garamond" w:hAnsi="Garamond" w:cs="Times New Roman"/>
          <w:sz w:val="24"/>
          <w:szCs w:val="24"/>
        </w:rPr>
        <w:t>.</w:t>
      </w:r>
      <w:r w:rsidRPr="00947CCE">
        <w:rPr>
          <w:rFonts w:ascii="Garamond" w:hAnsi="Garamond" w:cs="Times New Roman"/>
          <w:sz w:val="24"/>
          <w:szCs w:val="24"/>
        </w:rPr>
        <w:t xml:space="preserve"> </w:t>
      </w:r>
      <w:hyperlink r:id="rId17" w:history="1">
        <w:r w:rsidRPr="00947CCE">
          <w:rPr>
            <w:rStyle w:val="Hyperlink"/>
            <w:rFonts w:ascii="Garamond" w:hAnsi="Garamond" w:cs="Times New Roman"/>
            <w:sz w:val="24"/>
            <w:szCs w:val="24"/>
          </w:rPr>
          <w:t>https://www.fawcettsociety.org.uk/does-local-government-work-for-women-final-report-of-the-local-government-commission</w:t>
        </w:r>
      </w:hyperlink>
      <w:r w:rsidRPr="00947CCE">
        <w:rPr>
          <w:rFonts w:ascii="Garamond" w:hAnsi="Garamond" w:cs="Times New Roman"/>
          <w:sz w:val="24"/>
          <w:szCs w:val="24"/>
        </w:rPr>
        <w:t>.</w:t>
      </w:r>
    </w:p>
    <w:bookmarkEnd w:id="20"/>
    <w:p w14:paraId="31393F37" w14:textId="61B1F4CC" w:rsidR="00F50A75" w:rsidRPr="00AE1FFF" w:rsidRDefault="00F50A75"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 xml:space="preserve">Ludwig, A. 2020. “Legally, this is not a ‘trans rights’ issue, it’s a ‘sex rights’ issue: A blog about </w:t>
      </w:r>
      <w:bookmarkStart w:id="21" w:name="_Hlk48680413"/>
      <w:r w:rsidRPr="00AE1FFF">
        <w:rPr>
          <w:rFonts w:ascii="Garamond" w:hAnsi="Garamond" w:cs="Times New Roman"/>
          <w:sz w:val="24"/>
          <w:szCs w:val="24"/>
        </w:rPr>
        <w:t>boxes”</w:t>
      </w:r>
      <w:r w:rsidR="00AB2AF3" w:rsidRPr="00AE1FFF">
        <w:rPr>
          <w:rFonts w:ascii="Garamond" w:hAnsi="Garamond" w:cs="Times New Roman"/>
          <w:sz w:val="24"/>
          <w:szCs w:val="24"/>
        </w:rPr>
        <w:t>, 2 July 2020</w:t>
      </w:r>
      <w:r w:rsidRPr="00AE1FFF">
        <w:rPr>
          <w:rFonts w:ascii="Garamond" w:hAnsi="Garamond" w:cs="Times New Roman"/>
          <w:sz w:val="24"/>
          <w:szCs w:val="24"/>
        </w:rPr>
        <w:t xml:space="preserve">. </w:t>
      </w:r>
      <w:hyperlink r:id="rId18" w:history="1">
        <w:r w:rsidR="00EE5627" w:rsidRPr="00AE1FFF">
          <w:rPr>
            <w:rStyle w:val="Hyperlink"/>
            <w:rFonts w:ascii="Garamond" w:hAnsi="Garamond" w:cs="Times New Roman"/>
            <w:sz w:val="24"/>
            <w:szCs w:val="24"/>
          </w:rPr>
          <w:t>https://womansplaceuk.org/2020/07/02/legally-this-is-not-a-trans-rights-issue-its-a-sex-rights-issue-a-blog-about-boxes-audrey-ludwig/</w:t>
        </w:r>
      </w:hyperlink>
      <w:r w:rsidRPr="00AE1FFF">
        <w:rPr>
          <w:rFonts w:ascii="Garamond" w:hAnsi="Garamond" w:cs="Times New Roman"/>
          <w:color w:val="0000FF"/>
          <w:sz w:val="24"/>
          <w:szCs w:val="24"/>
          <w:u w:val="single"/>
        </w:rPr>
        <w:t>.</w:t>
      </w:r>
    </w:p>
    <w:bookmarkEnd w:id="21"/>
    <w:p w14:paraId="691ED201" w14:textId="14694180" w:rsidR="00D82B46" w:rsidRPr="00AE1FFF" w:rsidRDefault="00CF5EBE" w:rsidP="00C51CD2">
      <w:pPr>
        <w:spacing w:before="120" w:after="120" w:line="360" w:lineRule="auto"/>
        <w:rPr>
          <w:rFonts w:ascii="Garamond" w:hAnsi="Garamond" w:cs="Times New Roman"/>
          <w:sz w:val="24"/>
          <w:szCs w:val="24"/>
        </w:rPr>
      </w:pPr>
      <w:r>
        <w:rPr>
          <w:rFonts w:ascii="Garamond" w:hAnsi="Garamond" w:cs="Times New Roman"/>
          <w:sz w:val="24"/>
          <w:szCs w:val="24"/>
        </w:rPr>
        <w:t>Mackay, F. 2014. “</w:t>
      </w:r>
      <w:r w:rsidR="00D82B46" w:rsidRPr="00AE1FFF">
        <w:rPr>
          <w:rFonts w:ascii="Garamond" w:hAnsi="Garamond" w:cs="Times New Roman"/>
          <w:sz w:val="24"/>
          <w:szCs w:val="24"/>
        </w:rPr>
        <w:t>Nested newness, institutional innovation, an</w:t>
      </w:r>
      <w:r>
        <w:rPr>
          <w:rFonts w:ascii="Garamond" w:hAnsi="Garamond" w:cs="Times New Roman"/>
          <w:sz w:val="24"/>
          <w:szCs w:val="24"/>
        </w:rPr>
        <w:t>d the gendered limits of change”</w:t>
      </w:r>
      <w:r w:rsidR="00ED0DC7" w:rsidRPr="00AE1FFF">
        <w:rPr>
          <w:rFonts w:ascii="Garamond" w:hAnsi="Garamond" w:cs="Times New Roman"/>
          <w:sz w:val="24"/>
          <w:szCs w:val="24"/>
        </w:rPr>
        <w:t>.</w:t>
      </w:r>
      <w:r w:rsidR="00D82B46" w:rsidRPr="00AE1FFF">
        <w:rPr>
          <w:rFonts w:ascii="Garamond" w:hAnsi="Garamond" w:cs="Times New Roman"/>
          <w:sz w:val="24"/>
          <w:szCs w:val="24"/>
        </w:rPr>
        <w:t xml:space="preserve"> </w:t>
      </w:r>
      <w:r w:rsidR="00D82B46" w:rsidRPr="00AE1FFF">
        <w:rPr>
          <w:rFonts w:ascii="Garamond" w:hAnsi="Garamond" w:cs="Times New Roman"/>
          <w:i/>
          <w:iCs/>
          <w:sz w:val="24"/>
          <w:szCs w:val="24"/>
        </w:rPr>
        <w:t>Politics &amp; Gender</w:t>
      </w:r>
      <w:r w:rsidR="00D82B46" w:rsidRPr="00AE1FFF">
        <w:rPr>
          <w:rFonts w:ascii="Garamond" w:hAnsi="Garamond" w:cs="Times New Roman"/>
          <w:sz w:val="24"/>
          <w:szCs w:val="24"/>
        </w:rPr>
        <w:t xml:space="preserve"> 10(4): 549-571</w:t>
      </w:r>
      <w:r w:rsidR="008E6C29" w:rsidRPr="00AE1FFF">
        <w:rPr>
          <w:rFonts w:ascii="Garamond" w:hAnsi="Garamond" w:cs="Times New Roman"/>
          <w:sz w:val="24"/>
          <w:szCs w:val="24"/>
        </w:rPr>
        <w:t>.</w:t>
      </w:r>
    </w:p>
    <w:p w14:paraId="045EF781" w14:textId="77777777" w:rsidR="002517C6" w:rsidRPr="00AE1FFF" w:rsidRDefault="002517C6" w:rsidP="00C51CD2">
      <w:pPr>
        <w:shd w:val="clear" w:color="auto" w:fill="FFFFFF"/>
        <w:spacing w:after="0" w:line="360" w:lineRule="auto"/>
        <w:rPr>
          <w:rFonts w:ascii="Garamond" w:hAnsi="Garamond" w:cs="Times New Roman"/>
          <w:sz w:val="24"/>
          <w:szCs w:val="24"/>
        </w:rPr>
      </w:pPr>
      <w:r w:rsidRPr="00AE1FFF">
        <w:rPr>
          <w:rFonts w:ascii="Garamond" w:eastAsia="Times New Roman" w:hAnsi="Garamond" w:cs="Times New Roman"/>
          <w:sz w:val="24"/>
          <w:szCs w:val="24"/>
          <w:lang w:eastAsia="en-GB"/>
        </w:rPr>
        <w:t xml:space="preserve">Mackay, F. 2008. “Thick conceptions of substantive representation: Women, gender and political institutions”.  </w:t>
      </w:r>
      <w:r w:rsidRPr="00AE1FFF">
        <w:rPr>
          <w:rFonts w:ascii="Garamond" w:hAnsi="Garamond" w:cs="Times New Roman"/>
          <w:i/>
          <w:iCs/>
          <w:sz w:val="24"/>
          <w:szCs w:val="24"/>
        </w:rPr>
        <w:t xml:space="preserve">Representation </w:t>
      </w:r>
      <w:r w:rsidRPr="00AE1FFF">
        <w:rPr>
          <w:rFonts w:ascii="Garamond" w:hAnsi="Garamond" w:cs="Times New Roman"/>
          <w:sz w:val="24"/>
          <w:szCs w:val="24"/>
        </w:rPr>
        <w:t>44(2): 125-139.</w:t>
      </w:r>
    </w:p>
    <w:p w14:paraId="58CC3EEF" w14:textId="01E16998" w:rsidR="00FC50D7" w:rsidRPr="00AE1FFF" w:rsidRDefault="00FC50D7" w:rsidP="00C51CD2">
      <w:pPr>
        <w:shd w:val="clear" w:color="auto" w:fill="FFFFFF"/>
        <w:spacing w:before="120" w:after="120" w:line="360" w:lineRule="auto"/>
        <w:jc w:val="both"/>
        <w:rPr>
          <w:rFonts w:ascii="Garamond" w:hAnsi="Garamond" w:cs="Times New Roman"/>
          <w:sz w:val="24"/>
          <w:szCs w:val="24"/>
        </w:rPr>
      </w:pPr>
      <w:r w:rsidRPr="00AE1FFF">
        <w:rPr>
          <w:rFonts w:ascii="Garamond" w:hAnsi="Garamond" w:cs="Times New Roman"/>
          <w:sz w:val="24"/>
          <w:szCs w:val="24"/>
        </w:rPr>
        <w:t xml:space="preserve">Malleson, K. 2018. </w:t>
      </w:r>
      <w:r w:rsidR="00597C3C" w:rsidRPr="00AE1FFF">
        <w:rPr>
          <w:rFonts w:ascii="Garamond" w:hAnsi="Garamond" w:cs="Times New Roman"/>
          <w:sz w:val="24"/>
          <w:szCs w:val="24"/>
        </w:rPr>
        <w:t>“</w:t>
      </w:r>
      <w:r w:rsidRPr="00AE1FFF">
        <w:rPr>
          <w:rFonts w:ascii="Garamond" w:hAnsi="Garamond" w:cs="Times New Roman"/>
          <w:sz w:val="24"/>
          <w:szCs w:val="24"/>
        </w:rPr>
        <w:t xml:space="preserve">Equality </w:t>
      </w:r>
      <w:r w:rsidR="00ED0DC7" w:rsidRPr="00AE1FFF">
        <w:rPr>
          <w:rFonts w:ascii="Garamond" w:hAnsi="Garamond" w:cs="Times New Roman"/>
          <w:sz w:val="24"/>
          <w:szCs w:val="24"/>
        </w:rPr>
        <w:t>l</w:t>
      </w:r>
      <w:r w:rsidRPr="00AE1FFF">
        <w:rPr>
          <w:rFonts w:ascii="Garamond" w:hAnsi="Garamond" w:cs="Times New Roman"/>
          <w:sz w:val="24"/>
          <w:szCs w:val="24"/>
        </w:rPr>
        <w:t xml:space="preserve">aw and the </w:t>
      </w:r>
      <w:r w:rsidR="00ED0DC7" w:rsidRPr="00AE1FFF">
        <w:rPr>
          <w:rFonts w:ascii="Garamond" w:hAnsi="Garamond" w:cs="Times New Roman"/>
          <w:sz w:val="24"/>
          <w:szCs w:val="24"/>
        </w:rPr>
        <w:t>p</w:t>
      </w:r>
      <w:r w:rsidRPr="00AE1FFF">
        <w:rPr>
          <w:rFonts w:ascii="Garamond" w:hAnsi="Garamond" w:cs="Times New Roman"/>
          <w:sz w:val="24"/>
          <w:szCs w:val="24"/>
        </w:rPr>
        <w:t xml:space="preserve">rotected </w:t>
      </w:r>
      <w:r w:rsidR="00ED0DC7" w:rsidRPr="00AE1FFF">
        <w:rPr>
          <w:rFonts w:ascii="Garamond" w:hAnsi="Garamond" w:cs="Times New Roman"/>
          <w:sz w:val="24"/>
          <w:szCs w:val="24"/>
        </w:rPr>
        <w:t>c</w:t>
      </w:r>
      <w:r w:rsidRPr="00AE1FFF">
        <w:rPr>
          <w:rFonts w:ascii="Garamond" w:hAnsi="Garamond" w:cs="Times New Roman"/>
          <w:sz w:val="24"/>
          <w:szCs w:val="24"/>
        </w:rPr>
        <w:t>haracteristics</w:t>
      </w:r>
      <w:r w:rsidR="00597C3C" w:rsidRPr="00AE1FFF">
        <w:rPr>
          <w:rFonts w:ascii="Garamond" w:hAnsi="Garamond" w:cs="Times New Roman"/>
          <w:sz w:val="24"/>
          <w:szCs w:val="24"/>
        </w:rPr>
        <w:t>”</w:t>
      </w:r>
      <w:r w:rsidR="00ED0DC7" w:rsidRPr="00AE1FFF">
        <w:rPr>
          <w:rFonts w:ascii="Garamond" w:hAnsi="Garamond" w:cs="Times New Roman"/>
          <w:sz w:val="24"/>
          <w:szCs w:val="24"/>
        </w:rPr>
        <w:t>.</w:t>
      </w:r>
      <w:r w:rsidR="00CF5EBE">
        <w:rPr>
          <w:rFonts w:ascii="Garamond" w:hAnsi="Garamond" w:cs="Times New Roman"/>
          <w:sz w:val="24"/>
          <w:szCs w:val="24"/>
        </w:rPr>
        <w:t xml:space="preserve"> </w:t>
      </w:r>
      <w:r w:rsidRPr="00AE1FFF">
        <w:rPr>
          <w:rFonts w:ascii="Garamond" w:hAnsi="Garamond" w:cs="Times New Roman"/>
          <w:i/>
          <w:iCs/>
          <w:sz w:val="24"/>
          <w:szCs w:val="24"/>
        </w:rPr>
        <w:t xml:space="preserve">Modern Law Review </w:t>
      </w:r>
      <w:r w:rsidRPr="00AE1FFF">
        <w:rPr>
          <w:rFonts w:ascii="Garamond" w:hAnsi="Garamond" w:cs="Times New Roman"/>
          <w:sz w:val="24"/>
          <w:szCs w:val="24"/>
        </w:rPr>
        <w:t>81(4): 598-621.</w:t>
      </w:r>
    </w:p>
    <w:p w14:paraId="25D91312" w14:textId="3A7BBC1A" w:rsidR="00606766" w:rsidRPr="00AE1FFF" w:rsidRDefault="00D82B46" w:rsidP="00C51CD2">
      <w:pPr>
        <w:shd w:val="clear" w:color="auto" w:fill="FFFFFF"/>
        <w:spacing w:before="120" w:after="120" w:line="360" w:lineRule="auto"/>
        <w:jc w:val="both"/>
        <w:rPr>
          <w:rFonts w:ascii="Garamond" w:hAnsi="Garamond"/>
        </w:rPr>
      </w:pPr>
      <w:r w:rsidRPr="00AE1FFF">
        <w:rPr>
          <w:rFonts w:ascii="Garamond" w:hAnsi="Garamond" w:cs="Times New Roman"/>
          <w:sz w:val="24"/>
          <w:szCs w:val="24"/>
        </w:rPr>
        <w:lastRenderedPageBreak/>
        <w:t xml:space="preserve">Maré, G. 2014. </w:t>
      </w:r>
      <w:r w:rsidRPr="00AE1FFF">
        <w:rPr>
          <w:rFonts w:ascii="Garamond" w:hAnsi="Garamond" w:cs="Times New Roman"/>
          <w:i/>
          <w:iCs/>
          <w:sz w:val="24"/>
          <w:szCs w:val="24"/>
        </w:rPr>
        <w:t>Declassified: Moving Beyond the Dead End of Race in South</w:t>
      </w:r>
      <w:r w:rsidR="000835AD" w:rsidRPr="00AE1FFF">
        <w:rPr>
          <w:rFonts w:ascii="Garamond" w:hAnsi="Garamond" w:cs="Times New Roman"/>
          <w:i/>
          <w:iCs/>
          <w:sz w:val="24"/>
          <w:szCs w:val="24"/>
        </w:rPr>
        <w:t xml:space="preserve"> </w:t>
      </w:r>
      <w:r w:rsidRPr="00AE1FFF">
        <w:rPr>
          <w:rFonts w:ascii="Garamond" w:hAnsi="Garamond" w:cs="Times New Roman"/>
          <w:i/>
          <w:iCs/>
          <w:sz w:val="24"/>
          <w:szCs w:val="24"/>
        </w:rPr>
        <w:t>Africa</w:t>
      </w:r>
      <w:r w:rsidRPr="00AE1FFF">
        <w:rPr>
          <w:rFonts w:ascii="Garamond" w:hAnsi="Garamond" w:cs="Times New Roman"/>
          <w:sz w:val="24"/>
          <w:szCs w:val="24"/>
        </w:rPr>
        <w:t>.</w:t>
      </w:r>
      <w:r w:rsidR="00EE5627" w:rsidRPr="00AE1FFF">
        <w:rPr>
          <w:rFonts w:ascii="Garamond" w:hAnsi="Garamond" w:cs="Times New Roman"/>
          <w:sz w:val="24"/>
          <w:szCs w:val="24"/>
        </w:rPr>
        <w:t xml:space="preserve"> Auckland Park, South Africa: Jacana Media.</w:t>
      </w:r>
    </w:p>
    <w:p w14:paraId="3EE05383" w14:textId="1CB41A10" w:rsidR="00554973" w:rsidRPr="00AE1FFF"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Martin, P</w:t>
      </w:r>
      <w:r w:rsidR="00430D7F" w:rsidRPr="00AE1FFF">
        <w:rPr>
          <w:rFonts w:ascii="Garamond" w:hAnsi="Garamond"/>
          <w:color w:val="000000"/>
        </w:rPr>
        <w:t xml:space="preserve">. </w:t>
      </w:r>
      <w:r w:rsidR="008165C7" w:rsidRPr="00AE1FFF">
        <w:rPr>
          <w:rFonts w:ascii="Garamond" w:hAnsi="Garamond"/>
          <w:color w:val="000000"/>
        </w:rPr>
        <w:t>2004</w:t>
      </w:r>
      <w:r w:rsidR="00430D7F" w:rsidRPr="00AE1FFF">
        <w:rPr>
          <w:rFonts w:ascii="Garamond" w:hAnsi="Garamond"/>
          <w:color w:val="000000"/>
        </w:rPr>
        <w:t>.</w:t>
      </w:r>
      <w:r w:rsidRPr="00AE1FFF">
        <w:rPr>
          <w:rFonts w:ascii="Garamond" w:hAnsi="Garamond"/>
          <w:color w:val="000000"/>
        </w:rPr>
        <w:t xml:space="preserve"> “Gender as a </w:t>
      </w:r>
      <w:r w:rsidR="00ED0DC7" w:rsidRPr="00AE1FFF">
        <w:rPr>
          <w:rFonts w:ascii="Garamond" w:hAnsi="Garamond"/>
          <w:color w:val="000000"/>
        </w:rPr>
        <w:t>s</w:t>
      </w:r>
      <w:r w:rsidRPr="00AE1FFF">
        <w:rPr>
          <w:rFonts w:ascii="Garamond" w:hAnsi="Garamond"/>
          <w:color w:val="000000"/>
        </w:rPr>
        <w:t xml:space="preserve">ocial </w:t>
      </w:r>
      <w:r w:rsidR="00ED0DC7" w:rsidRPr="00AE1FFF">
        <w:rPr>
          <w:rFonts w:ascii="Garamond" w:hAnsi="Garamond"/>
          <w:color w:val="000000"/>
        </w:rPr>
        <w:t>i</w:t>
      </w:r>
      <w:r w:rsidRPr="00AE1FFF">
        <w:rPr>
          <w:rFonts w:ascii="Garamond" w:hAnsi="Garamond"/>
          <w:color w:val="000000"/>
        </w:rPr>
        <w:t xml:space="preserve">nstitution”. </w:t>
      </w:r>
      <w:r w:rsidRPr="00AE1FFF">
        <w:rPr>
          <w:rFonts w:ascii="Garamond" w:hAnsi="Garamond"/>
          <w:i/>
          <w:color w:val="000000"/>
        </w:rPr>
        <w:t>Social Forces</w:t>
      </w:r>
      <w:r w:rsidRPr="00AE1FFF">
        <w:rPr>
          <w:rFonts w:ascii="Garamond" w:hAnsi="Garamond"/>
          <w:color w:val="000000"/>
        </w:rPr>
        <w:t xml:space="preserve"> 82(4):</w:t>
      </w:r>
      <w:r w:rsidR="009628DC">
        <w:rPr>
          <w:rFonts w:ascii="Garamond" w:hAnsi="Garamond"/>
          <w:color w:val="000000"/>
        </w:rPr>
        <w:t xml:space="preserve"> </w:t>
      </w:r>
      <w:r w:rsidRPr="00AE1FFF">
        <w:rPr>
          <w:rFonts w:ascii="Garamond" w:hAnsi="Garamond"/>
          <w:color w:val="000000"/>
        </w:rPr>
        <w:t>1249-1273.</w:t>
      </w:r>
    </w:p>
    <w:p w14:paraId="6C697E44" w14:textId="658AFE09" w:rsidR="000839E8" w:rsidRPr="00AE1FFF" w:rsidRDefault="000839E8" w:rsidP="00C51CD2">
      <w:pPr>
        <w:pStyle w:val="CommentText"/>
        <w:spacing w:line="360" w:lineRule="auto"/>
        <w:rPr>
          <w:rFonts w:ascii="Garamond" w:hAnsi="Garamond" w:cs="Times New Roman"/>
          <w:color w:val="2A2A2A"/>
          <w:sz w:val="24"/>
          <w:szCs w:val="24"/>
          <w:shd w:val="clear" w:color="auto" w:fill="FFFFFF"/>
        </w:rPr>
      </w:pPr>
      <w:r w:rsidRPr="00AE1FFF">
        <w:rPr>
          <w:rFonts w:ascii="Garamond" w:hAnsi="Garamond" w:cs="Times New Roman"/>
          <w:sz w:val="24"/>
          <w:szCs w:val="24"/>
        </w:rPr>
        <w:t xml:space="preserve">Merry, S.E. 1988. “Legal </w:t>
      </w:r>
      <w:r w:rsidR="00ED0DC7" w:rsidRPr="00AE1FFF">
        <w:rPr>
          <w:rFonts w:ascii="Garamond" w:hAnsi="Garamond" w:cs="Times New Roman"/>
          <w:sz w:val="24"/>
          <w:szCs w:val="24"/>
        </w:rPr>
        <w:t>p</w:t>
      </w:r>
      <w:r w:rsidRPr="00AE1FFF">
        <w:rPr>
          <w:rFonts w:ascii="Garamond" w:hAnsi="Garamond" w:cs="Times New Roman"/>
          <w:sz w:val="24"/>
          <w:szCs w:val="24"/>
        </w:rPr>
        <w:t xml:space="preserve">luralism”. </w:t>
      </w:r>
      <w:r w:rsidRPr="00AE1FFF">
        <w:rPr>
          <w:rFonts w:ascii="Garamond" w:hAnsi="Garamond" w:cs="Times New Roman"/>
          <w:i/>
          <w:iCs/>
          <w:sz w:val="24"/>
          <w:szCs w:val="24"/>
        </w:rPr>
        <w:t>Law &amp; Society Review</w:t>
      </w:r>
      <w:r w:rsidRPr="00AE1FFF">
        <w:rPr>
          <w:rFonts w:ascii="Garamond" w:hAnsi="Garamond" w:cs="Times New Roman"/>
          <w:sz w:val="24"/>
          <w:szCs w:val="24"/>
        </w:rPr>
        <w:t xml:space="preserve"> 22: 869-896.</w:t>
      </w:r>
    </w:p>
    <w:p w14:paraId="3656681A" w14:textId="77777777" w:rsidR="00BA455E" w:rsidRPr="00AE1FFF" w:rsidRDefault="006F2988" w:rsidP="00C51CD2">
      <w:pPr>
        <w:pStyle w:val="NormalWeb"/>
        <w:tabs>
          <w:tab w:val="left" w:pos="6825"/>
        </w:tabs>
        <w:spacing w:before="120" w:beforeAutospacing="0" w:after="120" w:afterAutospacing="0" w:line="360" w:lineRule="auto"/>
        <w:rPr>
          <w:rFonts w:ascii="Garamond" w:hAnsi="Garamond"/>
          <w:shd w:val="clear" w:color="auto" w:fill="FFFFFF"/>
        </w:rPr>
      </w:pPr>
      <w:r w:rsidRPr="00AE1FFF">
        <w:rPr>
          <w:rFonts w:ascii="Garamond" w:hAnsi="Garamond"/>
          <w:shd w:val="clear" w:color="auto" w:fill="FFFFFF"/>
        </w:rPr>
        <w:t xml:space="preserve">Munro, V. 2007.  </w:t>
      </w:r>
      <w:r w:rsidRPr="00AE1FFF">
        <w:rPr>
          <w:rFonts w:ascii="Garamond" w:hAnsi="Garamond"/>
          <w:i/>
          <w:shd w:val="clear" w:color="auto" w:fill="FFFFFF"/>
        </w:rPr>
        <w:t xml:space="preserve">Law and </w:t>
      </w:r>
      <w:r w:rsidR="00667087" w:rsidRPr="00AE1FFF">
        <w:rPr>
          <w:rFonts w:ascii="Garamond" w:hAnsi="Garamond"/>
          <w:i/>
          <w:shd w:val="clear" w:color="auto" w:fill="FFFFFF"/>
        </w:rPr>
        <w:t>P</w:t>
      </w:r>
      <w:r w:rsidRPr="00AE1FFF">
        <w:rPr>
          <w:rFonts w:ascii="Garamond" w:hAnsi="Garamond"/>
          <w:i/>
          <w:shd w:val="clear" w:color="auto" w:fill="FFFFFF"/>
        </w:rPr>
        <w:t xml:space="preserve">olitics at the </w:t>
      </w:r>
      <w:r w:rsidR="00667087" w:rsidRPr="00AE1FFF">
        <w:rPr>
          <w:rFonts w:ascii="Garamond" w:hAnsi="Garamond"/>
          <w:i/>
          <w:shd w:val="clear" w:color="auto" w:fill="FFFFFF"/>
        </w:rPr>
        <w:t>P</w:t>
      </w:r>
      <w:r w:rsidRPr="00AE1FFF">
        <w:rPr>
          <w:rFonts w:ascii="Garamond" w:hAnsi="Garamond"/>
          <w:i/>
          <w:shd w:val="clear" w:color="auto" w:fill="FFFFFF"/>
        </w:rPr>
        <w:t xml:space="preserve">erimeter: </w:t>
      </w:r>
      <w:r w:rsidR="00667087" w:rsidRPr="00AE1FFF">
        <w:rPr>
          <w:rFonts w:ascii="Garamond" w:hAnsi="Garamond"/>
          <w:i/>
          <w:shd w:val="clear" w:color="auto" w:fill="FFFFFF"/>
        </w:rPr>
        <w:t>R</w:t>
      </w:r>
      <w:r w:rsidRPr="00AE1FFF">
        <w:rPr>
          <w:rFonts w:ascii="Garamond" w:hAnsi="Garamond"/>
          <w:i/>
          <w:shd w:val="clear" w:color="auto" w:fill="FFFFFF"/>
        </w:rPr>
        <w:t xml:space="preserve">e-evaluating </w:t>
      </w:r>
      <w:r w:rsidR="00667087" w:rsidRPr="00AE1FFF">
        <w:rPr>
          <w:rFonts w:ascii="Garamond" w:hAnsi="Garamond"/>
          <w:i/>
          <w:shd w:val="clear" w:color="auto" w:fill="FFFFFF"/>
        </w:rPr>
        <w:t>K</w:t>
      </w:r>
      <w:r w:rsidRPr="00AE1FFF">
        <w:rPr>
          <w:rFonts w:ascii="Garamond" w:hAnsi="Garamond"/>
          <w:i/>
          <w:shd w:val="clear" w:color="auto" w:fill="FFFFFF"/>
        </w:rPr>
        <w:t xml:space="preserve">ey </w:t>
      </w:r>
      <w:r w:rsidR="00667087" w:rsidRPr="00AE1FFF">
        <w:rPr>
          <w:rFonts w:ascii="Garamond" w:hAnsi="Garamond"/>
          <w:i/>
          <w:shd w:val="clear" w:color="auto" w:fill="FFFFFF"/>
        </w:rPr>
        <w:t>D</w:t>
      </w:r>
      <w:r w:rsidRPr="00AE1FFF">
        <w:rPr>
          <w:rFonts w:ascii="Garamond" w:hAnsi="Garamond"/>
          <w:i/>
          <w:shd w:val="clear" w:color="auto" w:fill="FFFFFF"/>
        </w:rPr>
        <w:t xml:space="preserve">ebates in </w:t>
      </w:r>
      <w:r w:rsidR="00667087" w:rsidRPr="00AE1FFF">
        <w:rPr>
          <w:rFonts w:ascii="Garamond" w:hAnsi="Garamond"/>
          <w:i/>
          <w:shd w:val="clear" w:color="auto" w:fill="FFFFFF"/>
        </w:rPr>
        <w:t>F</w:t>
      </w:r>
      <w:r w:rsidRPr="00AE1FFF">
        <w:rPr>
          <w:rFonts w:ascii="Garamond" w:hAnsi="Garamond"/>
          <w:i/>
          <w:shd w:val="clear" w:color="auto" w:fill="FFFFFF"/>
        </w:rPr>
        <w:t xml:space="preserve">eminist </w:t>
      </w:r>
      <w:r w:rsidR="00667087" w:rsidRPr="00AE1FFF">
        <w:rPr>
          <w:rFonts w:ascii="Garamond" w:hAnsi="Garamond"/>
          <w:i/>
          <w:shd w:val="clear" w:color="auto" w:fill="FFFFFF"/>
        </w:rPr>
        <w:t>T</w:t>
      </w:r>
      <w:r w:rsidRPr="00AE1FFF">
        <w:rPr>
          <w:rFonts w:ascii="Garamond" w:hAnsi="Garamond"/>
          <w:i/>
          <w:shd w:val="clear" w:color="auto" w:fill="FFFFFF"/>
        </w:rPr>
        <w:t>heory</w:t>
      </w:r>
      <w:r w:rsidRPr="00AE1FFF">
        <w:rPr>
          <w:rFonts w:ascii="Garamond" w:hAnsi="Garamond"/>
          <w:shd w:val="clear" w:color="auto" w:fill="FFFFFF"/>
        </w:rPr>
        <w:t xml:space="preserve">.  Oxford: Hart Publishing. </w:t>
      </w:r>
    </w:p>
    <w:p w14:paraId="4435D0E4" w14:textId="0D24F7C5" w:rsidR="00BA455E" w:rsidRPr="00AE1FFF" w:rsidRDefault="00BA455E" w:rsidP="00C51CD2">
      <w:pPr>
        <w:pStyle w:val="NormalWeb"/>
        <w:tabs>
          <w:tab w:val="left" w:pos="6825"/>
        </w:tabs>
        <w:spacing w:before="120" w:beforeAutospacing="0" w:after="120" w:afterAutospacing="0" w:line="360" w:lineRule="auto"/>
        <w:rPr>
          <w:rFonts w:ascii="Garamond" w:hAnsi="Garamond"/>
        </w:rPr>
      </w:pPr>
      <w:r w:rsidRPr="00AE1FFF">
        <w:rPr>
          <w:rFonts w:ascii="Garamond" w:hAnsi="Garamond"/>
          <w:shd w:val="clear" w:color="auto" w:fill="FFFFFF"/>
        </w:rPr>
        <w:t xml:space="preserve">Munro, V. 2001. </w:t>
      </w:r>
      <w:r w:rsidRPr="00AE1FFF">
        <w:rPr>
          <w:rFonts w:ascii="Garamond" w:hAnsi="Garamond"/>
        </w:rPr>
        <w:t xml:space="preserve">“Legal </w:t>
      </w:r>
      <w:r w:rsidR="00ED0DC7" w:rsidRPr="00AE1FFF">
        <w:rPr>
          <w:rFonts w:ascii="Garamond" w:hAnsi="Garamond"/>
        </w:rPr>
        <w:t>f</w:t>
      </w:r>
      <w:r w:rsidRPr="00AE1FFF">
        <w:rPr>
          <w:rFonts w:ascii="Garamond" w:hAnsi="Garamond"/>
        </w:rPr>
        <w:t xml:space="preserve">eminism and Foucault: A </w:t>
      </w:r>
      <w:r w:rsidR="00ED0DC7" w:rsidRPr="00AE1FFF">
        <w:rPr>
          <w:rFonts w:ascii="Garamond" w:hAnsi="Garamond"/>
        </w:rPr>
        <w:t>c</w:t>
      </w:r>
      <w:r w:rsidRPr="00AE1FFF">
        <w:rPr>
          <w:rFonts w:ascii="Garamond" w:hAnsi="Garamond"/>
        </w:rPr>
        <w:t xml:space="preserve">ritique of the </w:t>
      </w:r>
      <w:r w:rsidR="00ED0DC7" w:rsidRPr="00AE1FFF">
        <w:rPr>
          <w:rFonts w:ascii="Garamond" w:hAnsi="Garamond"/>
        </w:rPr>
        <w:t>e</w:t>
      </w:r>
      <w:r w:rsidRPr="00AE1FFF">
        <w:rPr>
          <w:rFonts w:ascii="Garamond" w:hAnsi="Garamond"/>
        </w:rPr>
        <w:t xml:space="preserve">xpulsion of </w:t>
      </w:r>
      <w:r w:rsidR="00ED0DC7" w:rsidRPr="00AE1FFF">
        <w:rPr>
          <w:rFonts w:ascii="Garamond" w:hAnsi="Garamond"/>
        </w:rPr>
        <w:t>l</w:t>
      </w:r>
      <w:r w:rsidRPr="00AE1FFF">
        <w:rPr>
          <w:rFonts w:ascii="Garamond" w:hAnsi="Garamond"/>
        </w:rPr>
        <w:t xml:space="preserve">aw”.  </w:t>
      </w:r>
      <w:r w:rsidRPr="00AE1FFF">
        <w:rPr>
          <w:rFonts w:ascii="Garamond" w:hAnsi="Garamond"/>
          <w:i/>
        </w:rPr>
        <w:t xml:space="preserve">Journal of Law and Society </w:t>
      </w:r>
      <w:r w:rsidRPr="00AE1FFF">
        <w:rPr>
          <w:rFonts w:ascii="Garamond" w:hAnsi="Garamond"/>
        </w:rPr>
        <w:t>28(4):</w:t>
      </w:r>
      <w:r w:rsidR="002517C6" w:rsidRPr="00AE1FFF">
        <w:rPr>
          <w:rFonts w:ascii="Garamond" w:hAnsi="Garamond"/>
        </w:rPr>
        <w:t xml:space="preserve"> </w:t>
      </w:r>
      <w:r w:rsidRPr="00AE1FFF">
        <w:rPr>
          <w:rFonts w:ascii="Garamond" w:hAnsi="Garamond"/>
        </w:rPr>
        <w:t>546-567.</w:t>
      </w:r>
    </w:p>
    <w:p w14:paraId="01B4BD2B" w14:textId="3FC376F2" w:rsidR="007B7F6D" w:rsidRPr="00AE1FFF" w:rsidRDefault="00CF5EBE" w:rsidP="00C51CD2">
      <w:pPr>
        <w:pStyle w:val="CommentText"/>
        <w:spacing w:line="360" w:lineRule="auto"/>
        <w:rPr>
          <w:rFonts w:ascii="Garamond" w:hAnsi="Garamond"/>
        </w:rPr>
      </w:pPr>
      <w:bookmarkStart w:id="22" w:name="_Hlk48635351"/>
      <w:r>
        <w:rPr>
          <w:rFonts w:ascii="Garamond" w:eastAsia="Times New Roman" w:hAnsi="Garamond" w:cs="Times New Roman"/>
          <w:color w:val="000000"/>
          <w:sz w:val="24"/>
          <w:szCs w:val="24"/>
          <w:lang w:eastAsia="en-GB"/>
        </w:rPr>
        <w:t xml:space="preserve">Murray, K. </w:t>
      </w:r>
      <w:r w:rsidR="00F7429A" w:rsidRPr="00AE1FFF">
        <w:rPr>
          <w:rFonts w:ascii="Garamond" w:eastAsia="Times New Roman" w:hAnsi="Garamond" w:cs="Times New Roman"/>
          <w:color w:val="000000"/>
          <w:sz w:val="24"/>
          <w:szCs w:val="24"/>
          <w:lang w:eastAsia="en-GB"/>
        </w:rPr>
        <w:t xml:space="preserve">and Hunter Blackburn, L. 2019. “Losing sight of women’s rights: </w:t>
      </w:r>
      <w:r w:rsidR="00ED0DC7" w:rsidRPr="00AE1FFF">
        <w:rPr>
          <w:rFonts w:ascii="Garamond" w:eastAsia="Times New Roman" w:hAnsi="Garamond" w:cs="Times New Roman"/>
          <w:color w:val="000000"/>
          <w:sz w:val="24"/>
          <w:szCs w:val="24"/>
          <w:lang w:eastAsia="en-GB"/>
        </w:rPr>
        <w:t>T</w:t>
      </w:r>
      <w:r w:rsidR="00F7429A" w:rsidRPr="00AE1FFF">
        <w:rPr>
          <w:rFonts w:ascii="Garamond" w:eastAsia="Times New Roman" w:hAnsi="Garamond" w:cs="Times New Roman"/>
          <w:color w:val="000000"/>
          <w:sz w:val="24"/>
          <w:szCs w:val="24"/>
          <w:lang w:eastAsia="en-GB"/>
        </w:rPr>
        <w:t>he unregulated introduction of gender self-identification as a case study of policy capture in Scotland”</w:t>
      </w:r>
      <w:r w:rsidR="00ED0DC7" w:rsidRPr="00AE1FFF">
        <w:rPr>
          <w:rFonts w:ascii="Garamond" w:eastAsia="Times New Roman" w:hAnsi="Garamond" w:cs="Times New Roman"/>
          <w:color w:val="000000"/>
          <w:sz w:val="24"/>
          <w:szCs w:val="24"/>
          <w:lang w:eastAsia="en-GB"/>
        </w:rPr>
        <w:t>.</w:t>
      </w:r>
      <w:r w:rsidR="00F7429A" w:rsidRPr="00AE1FFF">
        <w:rPr>
          <w:rFonts w:ascii="Garamond" w:eastAsia="Times New Roman" w:hAnsi="Garamond" w:cs="Times New Roman"/>
          <w:color w:val="000000"/>
          <w:sz w:val="24"/>
          <w:szCs w:val="24"/>
          <w:lang w:eastAsia="en-GB"/>
        </w:rPr>
        <w:t xml:space="preserve"> </w:t>
      </w:r>
      <w:r w:rsidR="00F7429A" w:rsidRPr="00AE1FFF">
        <w:rPr>
          <w:rFonts w:ascii="Garamond" w:eastAsia="Times New Roman" w:hAnsi="Garamond" w:cs="Times New Roman"/>
          <w:i/>
          <w:iCs/>
          <w:color w:val="000000"/>
          <w:sz w:val="24"/>
          <w:szCs w:val="24"/>
          <w:lang w:eastAsia="en-GB"/>
        </w:rPr>
        <w:t xml:space="preserve">Scottish Affairs </w:t>
      </w:r>
      <w:r w:rsidR="00F7429A" w:rsidRPr="00AE1FFF">
        <w:rPr>
          <w:rFonts w:ascii="Garamond" w:eastAsia="Times New Roman" w:hAnsi="Garamond" w:cs="Times New Roman"/>
          <w:color w:val="000000"/>
          <w:sz w:val="24"/>
          <w:szCs w:val="24"/>
          <w:lang w:eastAsia="en-GB"/>
        </w:rPr>
        <w:t xml:space="preserve">28(3): 262-289.  </w:t>
      </w:r>
    </w:p>
    <w:bookmarkEnd w:id="22"/>
    <w:p w14:paraId="61BBD30D" w14:textId="34FB31E6" w:rsidR="00606766" w:rsidRPr="00AE1FFF" w:rsidRDefault="009E46A9" w:rsidP="00C51CD2">
      <w:pPr>
        <w:pStyle w:val="NormalWeb"/>
        <w:spacing w:before="120" w:beforeAutospacing="0" w:after="120" w:afterAutospacing="0" w:line="360" w:lineRule="auto"/>
        <w:rPr>
          <w:rFonts w:ascii="Garamond" w:hAnsi="Garamond"/>
        </w:rPr>
      </w:pPr>
      <w:r w:rsidRPr="00AE1FFF">
        <w:rPr>
          <w:rFonts w:ascii="Garamond" w:hAnsi="Garamond"/>
        </w:rPr>
        <w:t>Mythen</w:t>
      </w:r>
      <w:r w:rsidR="00A848C9" w:rsidRPr="00AE1FFF">
        <w:rPr>
          <w:rFonts w:ascii="Garamond" w:hAnsi="Garamond"/>
        </w:rPr>
        <w:t>, G</w:t>
      </w:r>
      <w:r w:rsidR="00CF5EBE">
        <w:rPr>
          <w:rFonts w:ascii="Garamond" w:hAnsi="Garamond"/>
        </w:rPr>
        <w:t>.</w:t>
      </w:r>
      <w:r w:rsidR="00A848C9" w:rsidRPr="00AE1FFF">
        <w:rPr>
          <w:rFonts w:ascii="Garamond" w:hAnsi="Garamond"/>
        </w:rPr>
        <w:t>, Walklate, S. and Khan, F. 2009</w:t>
      </w:r>
      <w:r w:rsidR="00082BA9" w:rsidRPr="00AE1FFF">
        <w:rPr>
          <w:rFonts w:ascii="Garamond" w:hAnsi="Garamond"/>
        </w:rPr>
        <w:t>.</w:t>
      </w:r>
      <w:r w:rsidR="00A848C9" w:rsidRPr="00AE1FFF">
        <w:rPr>
          <w:rFonts w:ascii="Garamond" w:hAnsi="Garamond"/>
        </w:rPr>
        <w:t xml:space="preserve"> “I’m a Muslim, but I’m not a </w:t>
      </w:r>
      <w:r w:rsidR="00ED0DC7" w:rsidRPr="00AE1FFF">
        <w:rPr>
          <w:rFonts w:ascii="Garamond" w:hAnsi="Garamond"/>
        </w:rPr>
        <w:t>t</w:t>
      </w:r>
      <w:r w:rsidR="00A848C9" w:rsidRPr="00AE1FFF">
        <w:rPr>
          <w:rFonts w:ascii="Garamond" w:hAnsi="Garamond"/>
        </w:rPr>
        <w:t xml:space="preserve">errorist: Victimisation, </w:t>
      </w:r>
      <w:r w:rsidR="00ED0DC7" w:rsidRPr="00AE1FFF">
        <w:rPr>
          <w:rFonts w:ascii="Garamond" w:hAnsi="Garamond"/>
        </w:rPr>
        <w:t>r</w:t>
      </w:r>
      <w:r w:rsidR="00A848C9" w:rsidRPr="00AE1FFF">
        <w:rPr>
          <w:rFonts w:ascii="Garamond" w:hAnsi="Garamond"/>
        </w:rPr>
        <w:t xml:space="preserve">isky </w:t>
      </w:r>
      <w:r w:rsidR="00ED0DC7" w:rsidRPr="00AE1FFF">
        <w:rPr>
          <w:rFonts w:ascii="Garamond" w:hAnsi="Garamond"/>
        </w:rPr>
        <w:t>i</w:t>
      </w:r>
      <w:r w:rsidR="00A848C9" w:rsidRPr="00AE1FFF">
        <w:rPr>
          <w:rFonts w:ascii="Garamond" w:hAnsi="Garamond"/>
        </w:rPr>
        <w:t xml:space="preserve">dentities and the </w:t>
      </w:r>
      <w:r w:rsidR="00ED0DC7" w:rsidRPr="00AE1FFF">
        <w:rPr>
          <w:rFonts w:ascii="Garamond" w:hAnsi="Garamond"/>
        </w:rPr>
        <w:t>p</w:t>
      </w:r>
      <w:r w:rsidR="00A848C9" w:rsidRPr="00AE1FFF">
        <w:rPr>
          <w:rFonts w:ascii="Garamond" w:hAnsi="Garamond"/>
        </w:rPr>
        <w:t xml:space="preserve">erformance of </w:t>
      </w:r>
      <w:r w:rsidR="00ED0DC7" w:rsidRPr="00AE1FFF">
        <w:rPr>
          <w:rFonts w:ascii="Garamond" w:hAnsi="Garamond"/>
        </w:rPr>
        <w:t>s</w:t>
      </w:r>
      <w:r w:rsidR="00A848C9" w:rsidRPr="00AE1FFF">
        <w:rPr>
          <w:rFonts w:ascii="Garamond" w:hAnsi="Garamond"/>
        </w:rPr>
        <w:t xml:space="preserve">afety”.  </w:t>
      </w:r>
      <w:r w:rsidR="00A848C9" w:rsidRPr="00AE1FFF">
        <w:rPr>
          <w:rFonts w:ascii="Garamond" w:hAnsi="Garamond"/>
          <w:i/>
          <w:iCs/>
        </w:rPr>
        <w:t>British Journal of Criminology</w:t>
      </w:r>
      <w:r w:rsidR="002517C6" w:rsidRPr="00AE1FFF">
        <w:rPr>
          <w:rFonts w:ascii="Garamond" w:hAnsi="Garamond"/>
          <w:i/>
          <w:iCs/>
        </w:rPr>
        <w:t xml:space="preserve"> </w:t>
      </w:r>
      <w:r w:rsidR="00A848C9" w:rsidRPr="00AE1FFF">
        <w:rPr>
          <w:rFonts w:ascii="Garamond" w:hAnsi="Garamond"/>
        </w:rPr>
        <w:t>49</w:t>
      </w:r>
      <w:r w:rsidRPr="00AE1FFF">
        <w:rPr>
          <w:rFonts w:ascii="Garamond" w:hAnsi="Garamond"/>
        </w:rPr>
        <w:t>(6)</w:t>
      </w:r>
      <w:r w:rsidR="00A848C9" w:rsidRPr="00AE1FFF">
        <w:rPr>
          <w:rFonts w:ascii="Garamond" w:hAnsi="Garamond"/>
        </w:rPr>
        <w:t>: 736-754.</w:t>
      </w:r>
    </w:p>
    <w:p w14:paraId="316995C1" w14:textId="06D90333" w:rsidR="00606766" w:rsidRPr="00AE1FFF" w:rsidRDefault="00273C7B" w:rsidP="00C51CD2">
      <w:pPr>
        <w:pStyle w:val="NormalWeb"/>
        <w:spacing w:before="120" w:beforeAutospacing="0" w:after="120" w:afterAutospacing="0" w:line="360" w:lineRule="auto"/>
        <w:rPr>
          <w:rFonts w:ascii="Garamond" w:hAnsi="Garamond"/>
        </w:rPr>
      </w:pPr>
      <w:r w:rsidRPr="00AE1FFF">
        <w:rPr>
          <w:rFonts w:ascii="Garamond" w:hAnsi="Garamond"/>
        </w:rPr>
        <w:t xml:space="preserve">Nellis, M. 2019.  “Sense and solidarity in the debate on transgender prisoners”.  </w:t>
      </w:r>
      <w:r w:rsidRPr="00AE1FFF">
        <w:rPr>
          <w:rFonts w:ascii="Garamond" w:hAnsi="Garamond"/>
          <w:i/>
          <w:iCs/>
        </w:rPr>
        <w:t>HERC Blog</w:t>
      </w:r>
      <w:r w:rsidR="00CF5EBE">
        <w:rPr>
          <w:rFonts w:ascii="Garamond" w:hAnsi="Garamond"/>
          <w:iCs/>
        </w:rPr>
        <w:t>,</w:t>
      </w:r>
      <w:r w:rsidRPr="00AE1FFF">
        <w:rPr>
          <w:rFonts w:ascii="Garamond" w:hAnsi="Garamond"/>
          <w:i/>
          <w:iCs/>
        </w:rPr>
        <w:t xml:space="preserve"> </w:t>
      </w:r>
      <w:r w:rsidRPr="00AE1FFF">
        <w:rPr>
          <w:rFonts w:ascii="Garamond" w:hAnsi="Garamond"/>
        </w:rPr>
        <w:t>16 Sept</w:t>
      </w:r>
      <w:r w:rsidR="00CF5EBE">
        <w:rPr>
          <w:rFonts w:ascii="Garamond" w:hAnsi="Garamond"/>
        </w:rPr>
        <w:t>ember</w:t>
      </w:r>
      <w:r w:rsidRPr="00AE1FFF">
        <w:rPr>
          <w:rFonts w:ascii="Garamond" w:hAnsi="Garamond"/>
        </w:rPr>
        <w:t xml:space="preserve"> 2019. </w:t>
      </w:r>
      <w:hyperlink r:id="rId19" w:history="1">
        <w:r w:rsidRPr="00AE1FFF">
          <w:rPr>
            <w:rStyle w:val="Hyperlink"/>
            <w:rFonts w:ascii="Garamond" w:hAnsi="Garamond"/>
          </w:rPr>
          <w:t>https://oucriminology.wordpress.com/2019/09/16/sense-and-solidarity-in-the-debate-on-transgender-prisoners/</w:t>
        </w:r>
      </w:hyperlink>
      <w:r w:rsidRPr="00AE1FFF">
        <w:rPr>
          <w:rFonts w:ascii="Garamond" w:hAnsi="Garamond"/>
        </w:rPr>
        <w:t>.</w:t>
      </w:r>
    </w:p>
    <w:p w14:paraId="3A03EBAD" w14:textId="4A1EDA93" w:rsidR="00306204" w:rsidRPr="00AE1FFF" w:rsidRDefault="00306204"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Paechter, C</w:t>
      </w:r>
      <w:bookmarkStart w:id="23" w:name="_Hlk48680112"/>
      <w:r w:rsidRPr="00AE1FFF">
        <w:rPr>
          <w:rFonts w:ascii="Garamond" w:hAnsi="Garamond"/>
          <w:color w:val="000000"/>
        </w:rPr>
        <w:t xml:space="preserve">. 2006. </w:t>
      </w:r>
      <w:r w:rsidR="00AB2AF3" w:rsidRPr="00AE1FFF">
        <w:rPr>
          <w:rFonts w:ascii="Garamond" w:hAnsi="Garamond"/>
          <w:color w:val="000000"/>
        </w:rPr>
        <w:t>“</w:t>
      </w:r>
      <w:r w:rsidRPr="00AE1FFF">
        <w:rPr>
          <w:rFonts w:ascii="Garamond" w:hAnsi="Garamond"/>
          <w:color w:val="000000"/>
        </w:rPr>
        <w:t>Masculine femininities/female masculinities: Power, identities and gender</w:t>
      </w:r>
      <w:r w:rsidR="00AB2AF3" w:rsidRPr="00AE1FFF">
        <w:rPr>
          <w:rFonts w:ascii="Garamond" w:hAnsi="Garamond"/>
          <w:color w:val="000000"/>
        </w:rPr>
        <w:t>”</w:t>
      </w:r>
      <w:r w:rsidR="00ED0DC7" w:rsidRPr="00AE1FFF">
        <w:rPr>
          <w:rFonts w:ascii="Garamond" w:hAnsi="Garamond"/>
          <w:color w:val="000000"/>
        </w:rPr>
        <w:t>.</w:t>
      </w:r>
      <w:r w:rsidR="00AB2AF3" w:rsidRPr="00AE1FFF">
        <w:rPr>
          <w:rFonts w:ascii="Garamond" w:hAnsi="Garamond"/>
          <w:color w:val="000000"/>
        </w:rPr>
        <w:t xml:space="preserve">  </w:t>
      </w:r>
      <w:r w:rsidRPr="00AE1FFF">
        <w:rPr>
          <w:rFonts w:ascii="Garamond" w:hAnsi="Garamond"/>
          <w:i/>
          <w:iCs/>
          <w:color w:val="000000"/>
        </w:rPr>
        <w:t>Gender and Education</w:t>
      </w:r>
      <w:r w:rsidRPr="00AE1FFF">
        <w:rPr>
          <w:rFonts w:ascii="Garamond" w:hAnsi="Garamond"/>
          <w:color w:val="000000"/>
        </w:rPr>
        <w:t xml:space="preserve"> 18(3):</w:t>
      </w:r>
      <w:r w:rsidR="009628DC">
        <w:rPr>
          <w:rFonts w:ascii="Garamond" w:hAnsi="Garamond"/>
          <w:color w:val="000000"/>
        </w:rPr>
        <w:t xml:space="preserve"> </w:t>
      </w:r>
      <w:r w:rsidRPr="00AE1FFF">
        <w:rPr>
          <w:rFonts w:ascii="Garamond" w:hAnsi="Garamond"/>
          <w:color w:val="000000"/>
        </w:rPr>
        <w:t>253–263.</w:t>
      </w:r>
      <w:bookmarkEnd w:id="23"/>
    </w:p>
    <w:p w14:paraId="30BDAB3F" w14:textId="66420C49" w:rsidR="00DA72F9" w:rsidRPr="00AE1FFF" w:rsidRDefault="00DA72F9" w:rsidP="00C51CD2">
      <w:pPr>
        <w:spacing w:before="120" w:after="120" w:line="360" w:lineRule="auto"/>
        <w:rPr>
          <w:rFonts w:ascii="Garamond" w:hAnsi="Garamond" w:cs="Times New Roman"/>
          <w:sz w:val="24"/>
          <w:szCs w:val="24"/>
        </w:rPr>
      </w:pPr>
      <w:r w:rsidRPr="00AE1FFF">
        <w:rPr>
          <w:rFonts w:ascii="Garamond" w:hAnsi="Garamond" w:cs="Times New Roman"/>
          <w:sz w:val="24"/>
          <w:szCs w:val="24"/>
        </w:rPr>
        <w:t>Quinan, C.L., Molitor, V., van den Brink, M. and Zimenkova, T. 2020. “Framing gender identity registration amidst national</w:t>
      </w:r>
      <w:r w:rsidR="00CF5EBE">
        <w:rPr>
          <w:rFonts w:ascii="Garamond" w:hAnsi="Garamond" w:cs="Times New Roman"/>
          <w:sz w:val="24"/>
          <w:szCs w:val="24"/>
        </w:rPr>
        <w:t xml:space="preserve"> and international developments:</w:t>
      </w:r>
      <w:r w:rsidRPr="00AE1FFF">
        <w:rPr>
          <w:rFonts w:ascii="Garamond" w:hAnsi="Garamond" w:cs="Times New Roman"/>
          <w:sz w:val="24"/>
          <w:szCs w:val="24"/>
        </w:rPr>
        <w:t xml:space="preserve"> Introduction to ‘Bodies, identities, and gender regimes: Human rights and legal aspects of gender identity registration’”</w:t>
      </w:r>
      <w:r w:rsidR="00ED0DC7" w:rsidRPr="00AE1FFF">
        <w:rPr>
          <w:rFonts w:ascii="Garamond" w:hAnsi="Garamond" w:cs="Times New Roman"/>
          <w:sz w:val="24"/>
          <w:szCs w:val="24"/>
        </w:rPr>
        <w:t>.</w:t>
      </w:r>
      <w:r w:rsidRPr="00AE1FFF">
        <w:rPr>
          <w:rFonts w:ascii="Garamond" w:hAnsi="Garamond" w:cs="Times New Roman"/>
          <w:sz w:val="24"/>
          <w:szCs w:val="24"/>
        </w:rPr>
        <w:t xml:space="preserve"> </w:t>
      </w:r>
      <w:r w:rsidRPr="00AE1FFF">
        <w:rPr>
          <w:rFonts w:ascii="Garamond" w:hAnsi="Garamond" w:cs="Times New Roman"/>
          <w:i/>
          <w:iCs/>
          <w:sz w:val="24"/>
          <w:szCs w:val="24"/>
        </w:rPr>
        <w:t>International Journal of Gender, Sexuality and Law</w:t>
      </w:r>
      <w:r w:rsidRPr="00AE1FFF">
        <w:rPr>
          <w:rFonts w:ascii="Garamond" w:hAnsi="Garamond" w:cs="Times New Roman"/>
          <w:sz w:val="24"/>
          <w:szCs w:val="24"/>
        </w:rPr>
        <w:t xml:space="preserve"> 1: 1-25.  </w:t>
      </w:r>
    </w:p>
    <w:p w14:paraId="63FE4018" w14:textId="01D076F0" w:rsidR="004B524D" w:rsidRPr="00654B6E" w:rsidRDefault="004B524D" w:rsidP="00C51CD2">
      <w:pPr>
        <w:pStyle w:val="NormalWeb"/>
        <w:spacing w:before="120" w:beforeAutospacing="0" w:after="120" w:afterAutospacing="0" w:line="360" w:lineRule="auto"/>
        <w:rPr>
          <w:rFonts w:ascii="Garamond" w:eastAsiaTheme="minorHAnsi" w:hAnsi="Garamond"/>
          <w:sz w:val="21"/>
          <w:szCs w:val="21"/>
          <w:shd w:val="clear" w:color="auto" w:fill="FFFFFF"/>
          <w:lang w:eastAsia="en-US"/>
        </w:rPr>
      </w:pPr>
      <w:r w:rsidRPr="00654B6E">
        <w:rPr>
          <w:rFonts w:ascii="Garamond" w:hAnsi="Garamond"/>
        </w:rPr>
        <w:t xml:space="preserve">Ramsay, P. </w:t>
      </w:r>
      <w:r w:rsidRPr="00654B6E">
        <w:rPr>
          <w:rFonts w:ascii="Garamond" w:eastAsiaTheme="minorHAnsi" w:hAnsi="Garamond"/>
          <w:shd w:val="clear" w:color="auto" w:fill="FFFFFF"/>
          <w:lang w:eastAsia="en-US"/>
        </w:rPr>
        <w:t>2017. “Is Prevent a safe space?” </w:t>
      </w:r>
      <w:r w:rsidRPr="00654B6E">
        <w:rPr>
          <w:rFonts w:ascii="Garamond" w:eastAsiaTheme="minorHAnsi" w:hAnsi="Garamond"/>
          <w:i/>
          <w:iCs/>
          <w:shd w:val="clear" w:color="auto" w:fill="FFFFFF"/>
          <w:lang w:eastAsia="en-US"/>
        </w:rPr>
        <w:t>Education, Citizenship and Social Justice</w:t>
      </w:r>
      <w:r w:rsidRPr="00654B6E">
        <w:rPr>
          <w:rFonts w:ascii="Garamond" w:eastAsiaTheme="minorHAnsi" w:hAnsi="Garamond"/>
          <w:shd w:val="clear" w:color="auto" w:fill="FFFFFF"/>
          <w:lang w:eastAsia="en-US"/>
        </w:rPr>
        <w:t xml:space="preserve"> 12(2): 143-158</w:t>
      </w:r>
      <w:r w:rsidRPr="00654B6E">
        <w:rPr>
          <w:rFonts w:ascii="Garamond" w:eastAsiaTheme="minorHAnsi" w:hAnsi="Garamond"/>
          <w:sz w:val="21"/>
          <w:szCs w:val="21"/>
          <w:shd w:val="clear" w:color="auto" w:fill="FFFFFF"/>
          <w:lang w:eastAsia="en-US"/>
        </w:rPr>
        <w:t xml:space="preserve">. </w:t>
      </w:r>
    </w:p>
    <w:p w14:paraId="0D21A816" w14:textId="05604352" w:rsidR="00C51CD2" w:rsidRPr="00AE1FFF" w:rsidRDefault="00C51CD2" w:rsidP="00C51CD2">
      <w:pPr>
        <w:pStyle w:val="NormalWeb"/>
        <w:spacing w:before="120" w:beforeAutospacing="0" w:after="120" w:afterAutospacing="0" w:line="360" w:lineRule="auto"/>
        <w:rPr>
          <w:rFonts w:ascii="Garamond" w:hAnsi="Garamond"/>
          <w:color w:val="000000"/>
        </w:rPr>
      </w:pPr>
      <w:r>
        <w:rPr>
          <w:rFonts w:ascii="Garamond" w:hAnsi="Garamond"/>
          <w:bCs/>
          <w:color w:val="000000"/>
        </w:rPr>
        <w:t>Renz, F. 2020</w:t>
      </w:r>
      <w:r w:rsidRPr="00C51CD2">
        <w:rPr>
          <w:rFonts w:ascii="Garamond" w:hAnsi="Garamond"/>
          <w:bCs/>
          <w:color w:val="000000"/>
        </w:rPr>
        <w:t xml:space="preserve"> </w:t>
      </w:r>
      <w:r>
        <w:rPr>
          <w:rFonts w:ascii="Garamond" w:hAnsi="Garamond"/>
          <w:bCs/>
          <w:color w:val="000000"/>
        </w:rPr>
        <w:t>“</w:t>
      </w:r>
      <w:r w:rsidRPr="00C51CD2">
        <w:rPr>
          <w:rFonts w:ascii="Garamond" w:hAnsi="Garamond"/>
          <w:bCs/>
          <w:color w:val="000000"/>
        </w:rPr>
        <w:t xml:space="preserve">(De)regulating </w:t>
      </w:r>
      <w:r w:rsidR="00BB35F9">
        <w:rPr>
          <w:rFonts w:ascii="Garamond" w:hAnsi="Garamond"/>
          <w:bCs/>
          <w:color w:val="000000"/>
        </w:rPr>
        <w:t>t</w:t>
      </w:r>
      <w:r w:rsidRPr="00C51CD2">
        <w:rPr>
          <w:rFonts w:ascii="Garamond" w:hAnsi="Garamond"/>
          <w:bCs/>
          <w:color w:val="000000"/>
        </w:rPr>
        <w:t xml:space="preserve">rans </w:t>
      </w:r>
      <w:r w:rsidR="00BB35F9">
        <w:rPr>
          <w:rFonts w:ascii="Garamond" w:hAnsi="Garamond"/>
          <w:bCs/>
          <w:color w:val="000000"/>
        </w:rPr>
        <w:t>i</w:t>
      </w:r>
      <w:r w:rsidRPr="00C51CD2">
        <w:rPr>
          <w:rFonts w:ascii="Garamond" w:hAnsi="Garamond"/>
          <w:bCs/>
          <w:color w:val="000000"/>
        </w:rPr>
        <w:t>dentities</w:t>
      </w:r>
      <w:r w:rsidR="00CF5EBE">
        <w:rPr>
          <w:rFonts w:ascii="Garamond" w:hAnsi="Garamond"/>
          <w:bCs/>
          <w:color w:val="000000"/>
        </w:rPr>
        <w:t>”, in</w:t>
      </w:r>
      <w:r>
        <w:rPr>
          <w:rFonts w:ascii="Garamond" w:hAnsi="Garamond"/>
          <w:bCs/>
          <w:color w:val="000000"/>
        </w:rPr>
        <w:t xml:space="preserve"> </w:t>
      </w:r>
      <w:r w:rsidR="00BB35F9">
        <w:rPr>
          <w:rFonts w:ascii="Garamond" w:hAnsi="Garamond"/>
          <w:bCs/>
          <w:color w:val="000000"/>
        </w:rPr>
        <w:t xml:space="preserve">C. </w:t>
      </w:r>
      <w:r w:rsidR="00CF5EBE">
        <w:rPr>
          <w:rFonts w:ascii="Garamond" w:hAnsi="Garamond"/>
          <w:bCs/>
          <w:color w:val="000000"/>
        </w:rPr>
        <w:t xml:space="preserve">Ashford </w:t>
      </w:r>
      <w:r>
        <w:rPr>
          <w:rFonts w:ascii="Garamond" w:hAnsi="Garamond"/>
          <w:bCs/>
          <w:color w:val="000000"/>
        </w:rPr>
        <w:t xml:space="preserve">and </w:t>
      </w:r>
      <w:r w:rsidR="00BB35F9">
        <w:rPr>
          <w:rFonts w:ascii="Garamond" w:hAnsi="Garamond"/>
          <w:bCs/>
          <w:color w:val="000000"/>
        </w:rPr>
        <w:t xml:space="preserve">A. </w:t>
      </w:r>
      <w:r>
        <w:rPr>
          <w:rFonts w:ascii="Garamond" w:hAnsi="Garamond"/>
          <w:bCs/>
          <w:color w:val="000000"/>
        </w:rPr>
        <w:t xml:space="preserve">Maine </w:t>
      </w:r>
      <w:r w:rsidR="00BB35F9">
        <w:rPr>
          <w:rFonts w:ascii="Garamond" w:hAnsi="Garamond"/>
          <w:bCs/>
          <w:color w:val="000000"/>
        </w:rPr>
        <w:t>(</w:t>
      </w:r>
      <w:r w:rsidRPr="00C51CD2">
        <w:rPr>
          <w:rFonts w:ascii="Garamond" w:hAnsi="Garamond"/>
          <w:bCs/>
          <w:color w:val="000000"/>
        </w:rPr>
        <w:t>eds</w:t>
      </w:r>
      <w:r w:rsidR="00BB35F9">
        <w:rPr>
          <w:rFonts w:ascii="Garamond" w:hAnsi="Garamond"/>
          <w:bCs/>
          <w:color w:val="000000"/>
        </w:rPr>
        <w:t>)</w:t>
      </w:r>
      <w:r w:rsidR="00CF5EBE">
        <w:rPr>
          <w:rFonts w:ascii="Garamond" w:hAnsi="Garamond"/>
          <w:bCs/>
          <w:color w:val="000000"/>
        </w:rPr>
        <w:t>,</w:t>
      </w:r>
      <w:r w:rsidRPr="00C51CD2">
        <w:rPr>
          <w:rFonts w:ascii="Garamond" w:hAnsi="Garamond"/>
          <w:bCs/>
          <w:color w:val="000000"/>
        </w:rPr>
        <w:t xml:space="preserve"> </w:t>
      </w:r>
      <w:r w:rsidRPr="007C61D2">
        <w:rPr>
          <w:rFonts w:ascii="Garamond" w:hAnsi="Garamond"/>
          <w:bCs/>
          <w:i/>
          <w:color w:val="000000"/>
        </w:rPr>
        <w:t>Research Handbook on Gender, Sexuality and the Law.</w:t>
      </w:r>
      <w:r>
        <w:rPr>
          <w:rFonts w:ascii="Garamond" w:hAnsi="Garamond"/>
          <w:bCs/>
          <w:color w:val="000000"/>
        </w:rPr>
        <w:t xml:space="preserve"> </w:t>
      </w:r>
      <w:r w:rsidR="00CF5EBE">
        <w:rPr>
          <w:rFonts w:ascii="Garamond" w:hAnsi="Garamond"/>
          <w:bCs/>
          <w:color w:val="000000"/>
        </w:rPr>
        <w:t xml:space="preserve">Cheltenham: </w:t>
      </w:r>
      <w:r>
        <w:rPr>
          <w:rFonts w:ascii="Garamond" w:hAnsi="Garamond"/>
          <w:bCs/>
          <w:color w:val="000000"/>
        </w:rPr>
        <w:t>Edward Elgar:</w:t>
      </w:r>
      <w:r w:rsidR="00CF5EBE">
        <w:rPr>
          <w:rFonts w:ascii="Garamond" w:hAnsi="Garamond"/>
          <w:bCs/>
          <w:color w:val="000000"/>
        </w:rPr>
        <w:t xml:space="preserve"> </w:t>
      </w:r>
      <w:r w:rsidRPr="00C51CD2">
        <w:rPr>
          <w:rFonts w:ascii="Garamond" w:hAnsi="Garamond"/>
          <w:bCs/>
          <w:color w:val="000000"/>
        </w:rPr>
        <w:t>244-255</w:t>
      </w:r>
    </w:p>
    <w:p w14:paraId="637E966C" w14:textId="566D8397" w:rsidR="007D272A" w:rsidRPr="00AE1FFF" w:rsidRDefault="007D272A"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 xml:space="preserve">Renz, F. 2017.  </w:t>
      </w:r>
      <w:r w:rsidRPr="00AE1FFF">
        <w:rPr>
          <w:rFonts w:ascii="Garamond" w:hAnsi="Garamond"/>
          <w:i/>
          <w:color w:val="000000"/>
        </w:rPr>
        <w:t xml:space="preserve">The Gender Recognition Act 2004 and Transgender People’s Legal Consciousness.  </w:t>
      </w:r>
      <w:r w:rsidR="00685C09" w:rsidRPr="00AE1FFF">
        <w:rPr>
          <w:rFonts w:ascii="Garamond" w:hAnsi="Garamond"/>
          <w:iCs/>
          <w:color w:val="000000"/>
        </w:rPr>
        <w:t xml:space="preserve">Unpublished </w:t>
      </w:r>
      <w:r w:rsidRPr="00AE1FFF">
        <w:rPr>
          <w:rFonts w:ascii="Garamond" w:hAnsi="Garamond"/>
          <w:color w:val="000000"/>
        </w:rPr>
        <w:t xml:space="preserve">PhD thesis, University of Kent.  </w:t>
      </w:r>
    </w:p>
    <w:p w14:paraId="09AE839D" w14:textId="63C77DA0" w:rsidR="009F7553" w:rsidRPr="00AE1FFF" w:rsidRDefault="009F7553" w:rsidP="00C51CD2">
      <w:pPr>
        <w:pStyle w:val="NormalWeb"/>
        <w:spacing w:before="120" w:beforeAutospacing="0" w:after="120" w:afterAutospacing="0" w:line="360" w:lineRule="auto"/>
        <w:rPr>
          <w:rFonts w:ascii="Garamond" w:hAnsi="Garamond"/>
          <w:i/>
          <w:iCs/>
          <w:color w:val="000000"/>
        </w:rPr>
      </w:pPr>
      <w:r w:rsidRPr="00AE1FFF">
        <w:rPr>
          <w:rFonts w:ascii="Garamond" w:hAnsi="Garamond"/>
          <w:color w:val="000000"/>
        </w:rPr>
        <w:lastRenderedPageBreak/>
        <w:t xml:space="preserve">Riggs, D. and Peel, E. 2016. </w:t>
      </w:r>
      <w:r w:rsidRPr="00AE1FFF">
        <w:rPr>
          <w:rFonts w:ascii="Garamond" w:hAnsi="Garamond"/>
          <w:i/>
          <w:iCs/>
          <w:color w:val="000000"/>
        </w:rPr>
        <w:t>Critical Kinship Studies: An Introduction to the Field</w:t>
      </w:r>
      <w:r w:rsidRPr="00AE1FFF">
        <w:rPr>
          <w:rFonts w:ascii="Garamond" w:hAnsi="Garamond"/>
          <w:color w:val="000000"/>
        </w:rPr>
        <w:t xml:space="preserve">. </w:t>
      </w:r>
      <w:r w:rsidR="00CF5EBE">
        <w:rPr>
          <w:rFonts w:ascii="Garamond" w:hAnsi="Garamond"/>
          <w:color w:val="000000"/>
        </w:rPr>
        <w:t>Basingstoke</w:t>
      </w:r>
      <w:r w:rsidRPr="00AE1FFF">
        <w:rPr>
          <w:rFonts w:ascii="Garamond" w:hAnsi="Garamond"/>
          <w:color w:val="000000"/>
        </w:rPr>
        <w:t>: Palgrave Macmillan.</w:t>
      </w:r>
      <w:r w:rsidRPr="00AE1FFF">
        <w:rPr>
          <w:rFonts w:ascii="Garamond" w:hAnsi="Garamond"/>
          <w:i/>
          <w:iCs/>
          <w:color w:val="000000"/>
        </w:rPr>
        <w:t xml:space="preserve"> </w:t>
      </w:r>
    </w:p>
    <w:p w14:paraId="35F7B3C6" w14:textId="5A5630BB" w:rsidR="00920673" w:rsidRPr="00654B6E" w:rsidRDefault="00CE546D" w:rsidP="00C51CD2">
      <w:pPr>
        <w:pStyle w:val="NormalWeb"/>
        <w:spacing w:before="120" w:beforeAutospacing="0" w:after="120" w:afterAutospacing="0" w:line="360" w:lineRule="auto"/>
        <w:rPr>
          <w:rFonts w:ascii="Garamond" w:hAnsi="Garamond"/>
        </w:rPr>
      </w:pPr>
      <w:r w:rsidRPr="00654B6E">
        <w:rPr>
          <w:rFonts w:ascii="Garamond" w:hAnsi="Garamond"/>
          <w:bCs/>
          <w:kern w:val="36"/>
        </w:rPr>
        <w:t xml:space="preserve">Risman, B.J. 2004.  “Gender as a </w:t>
      </w:r>
      <w:r w:rsidR="00ED0DC7" w:rsidRPr="00654B6E">
        <w:rPr>
          <w:rFonts w:ascii="Garamond" w:hAnsi="Garamond"/>
          <w:bCs/>
          <w:kern w:val="36"/>
        </w:rPr>
        <w:t>s</w:t>
      </w:r>
      <w:r w:rsidRPr="00654B6E">
        <w:rPr>
          <w:rFonts w:ascii="Garamond" w:hAnsi="Garamond"/>
          <w:bCs/>
          <w:kern w:val="36"/>
        </w:rPr>
        <w:t xml:space="preserve">ocial </w:t>
      </w:r>
      <w:r w:rsidR="00ED0DC7" w:rsidRPr="00654B6E">
        <w:rPr>
          <w:rFonts w:ascii="Garamond" w:hAnsi="Garamond"/>
          <w:bCs/>
          <w:kern w:val="36"/>
        </w:rPr>
        <w:t>s</w:t>
      </w:r>
      <w:r w:rsidRPr="00654B6E">
        <w:rPr>
          <w:rFonts w:ascii="Garamond" w:hAnsi="Garamond"/>
          <w:bCs/>
          <w:kern w:val="36"/>
        </w:rPr>
        <w:t xml:space="preserve">tructure: Theory </w:t>
      </w:r>
      <w:r w:rsidR="00ED0DC7" w:rsidRPr="00654B6E">
        <w:rPr>
          <w:rFonts w:ascii="Garamond" w:hAnsi="Garamond"/>
          <w:bCs/>
          <w:kern w:val="36"/>
        </w:rPr>
        <w:t>w</w:t>
      </w:r>
      <w:r w:rsidRPr="00654B6E">
        <w:rPr>
          <w:rFonts w:ascii="Garamond" w:hAnsi="Garamond"/>
          <w:bCs/>
          <w:kern w:val="36"/>
        </w:rPr>
        <w:t xml:space="preserve">restling with </w:t>
      </w:r>
      <w:r w:rsidR="00ED0DC7" w:rsidRPr="00654B6E">
        <w:rPr>
          <w:rFonts w:ascii="Garamond" w:hAnsi="Garamond"/>
          <w:bCs/>
          <w:kern w:val="36"/>
        </w:rPr>
        <w:t>a</w:t>
      </w:r>
      <w:r w:rsidRPr="00654B6E">
        <w:rPr>
          <w:rFonts w:ascii="Garamond" w:hAnsi="Garamond"/>
          <w:bCs/>
          <w:kern w:val="36"/>
        </w:rPr>
        <w:t xml:space="preserve">ctivism”. </w:t>
      </w:r>
      <w:r w:rsidRPr="00654B6E">
        <w:rPr>
          <w:rFonts w:ascii="Garamond" w:hAnsi="Garamond"/>
          <w:i/>
          <w:iCs/>
        </w:rPr>
        <w:t xml:space="preserve">Gender and Society </w:t>
      </w:r>
      <w:r w:rsidRPr="00654B6E">
        <w:rPr>
          <w:rFonts w:ascii="Garamond" w:hAnsi="Garamond"/>
          <w:iCs/>
        </w:rPr>
        <w:t xml:space="preserve">18(4): </w:t>
      </w:r>
      <w:r w:rsidRPr="00654B6E">
        <w:rPr>
          <w:rFonts w:ascii="Garamond" w:hAnsi="Garamond"/>
        </w:rPr>
        <w:t xml:space="preserve">429-450. </w:t>
      </w:r>
    </w:p>
    <w:p w14:paraId="096247CB" w14:textId="37986B32" w:rsidR="005E200C" w:rsidRPr="00AE1FFF" w:rsidRDefault="005E200C" w:rsidP="00C51CD2">
      <w:pPr>
        <w:pStyle w:val="NormalWeb"/>
        <w:spacing w:before="120" w:beforeAutospacing="0" w:after="120" w:afterAutospacing="0" w:line="360" w:lineRule="auto"/>
        <w:rPr>
          <w:rFonts w:ascii="Garamond" w:hAnsi="Garamond"/>
          <w:iCs/>
        </w:rPr>
      </w:pPr>
      <w:r w:rsidRPr="00AE1FFF">
        <w:rPr>
          <w:rFonts w:ascii="Garamond" w:hAnsi="Garamond"/>
          <w:iCs/>
          <w:color w:val="000000"/>
        </w:rPr>
        <w:t xml:space="preserve">Rose, N. </w:t>
      </w:r>
      <w:r w:rsidR="00BC035C" w:rsidRPr="00AE1FFF">
        <w:rPr>
          <w:rFonts w:ascii="Garamond" w:hAnsi="Garamond"/>
          <w:iCs/>
          <w:color w:val="000000"/>
        </w:rPr>
        <w:t xml:space="preserve">2000. </w:t>
      </w:r>
      <w:r w:rsidR="009F588B" w:rsidRPr="00AE1FFF">
        <w:rPr>
          <w:rFonts w:ascii="Garamond" w:hAnsi="Garamond"/>
          <w:iCs/>
          <w:color w:val="000000"/>
        </w:rPr>
        <w:t>“</w:t>
      </w:r>
      <w:r w:rsidRPr="00AE1FFF">
        <w:rPr>
          <w:rFonts w:ascii="Garamond" w:hAnsi="Garamond"/>
          <w:iCs/>
          <w:color w:val="000000"/>
        </w:rPr>
        <w:t xml:space="preserve">Government and </w:t>
      </w:r>
      <w:r w:rsidR="00A20CD2" w:rsidRPr="00AE1FFF">
        <w:rPr>
          <w:rFonts w:ascii="Garamond" w:hAnsi="Garamond"/>
          <w:iCs/>
          <w:color w:val="000000"/>
        </w:rPr>
        <w:t>c</w:t>
      </w:r>
      <w:r w:rsidRPr="00AE1FFF">
        <w:rPr>
          <w:rFonts w:ascii="Garamond" w:hAnsi="Garamond"/>
          <w:iCs/>
          <w:color w:val="000000"/>
        </w:rPr>
        <w:t>ontrol</w:t>
      </w:r>
      <w:r w:rsidR="009F588B" w:rsidRPr="00AE1FFF">
        <w:rPr>
          <w:rFonts w:ascii="Garamond" w:hAnsi="Garamond"/>
          <w:iCs/>
        </w:rPr>
        <w:t>”</w:t>
      </w:r>
      <w:r w:rsidRPr="00AE1FFF">
        <w:rPr>
          <w:rFonts w:ascii="Garamond" w:hAnsi="Garamond"/>
          <w:iCs/>
        </w:rPr>
        <w:t xml:space="preserve">. </w:t>
      </w:r>
      <w:r w:rsidRPr="00AE1FFF">
        <w:rPr>
          <w:rFonts w:ascii="Garamond" w:hAnsi="Garamond"/>
          <w:i/>
          <w:shd w:val="clear" w:color="auto" w:fill="FFFFFF"/>
        </w:rPr>
        <w:t>British Journal of Criminology</w:t>
      </w:r>
      <w:r w:rsidRPr="00AE1FFF">
        <w:rPr>
          <w:rFonts w:ascii="Garamond" w:hAnsi="Garamond"/>
          <w:shd w:val="clear" w:color="auto" w:fill="FFFFFF"/>
        </w:rPr>
        <w:t xml:space="preserve"> 40(2): 321-339.</w:t>
      </w:r>
    </w:p>
    <w:p w14:paraId="13D9AEF7" w14:textId="6D554144" w:rsidR="00606766" w:rsidRPr="00AE1FFF" w:rsidRDefault="007732E4" w:rsidP="00C51CD2">
      <w:pPr>
        <w:pStyle w:val="NormalWeb"/>
        <w:spacing w:before="120" w:beforeAutospacing="0" w:after="120" w:afterAutospacing="0" w:line="360" w:lineRule="auto"/>
        <w:rPr>
          <w:rFonts w:ascii="Garamond" w:hAnsi="Garamond"/>
        </w:rPr>
      </w:pPr>
      <w:r w:rsidRPr="00AE1FFF">
        <w:rPr>
          <w:rFonts w:ascii="Garamond" w:hAnsi="Garamond"/>
        </w:rPr>
        <w:t>Sandland, R.  1995. “Between ‘truth’ and ‘difference’: Poststructuralism, law and the power of feminism”</w:t>
      </w:r>
      <w:r w:rsidR="00ED0DC7" w:rsidRPr="00AE1FFF">
        <w:rPr>
          <w:rFonts w:ascii="Garamond" w:hAnsi="Garamond"/>
        </w:rPr>
        <w:t>.</w:t>
      </w:r>
      <w:r w:rsidRPr="00AE1FFF">
        <w:rPr>
          <w:rFonts w:ascii="Garamond" w:hAnsi="Garamond"/>
        </w:rPr>
        <w:t xml:space="preserve"> </w:t>
      </w:r>
      <w:r w:rsidRPr="00AE1FFF">
        <w:rPr>
          <w:rFonts w:ascii="Garamond" w:hAnsi="Garamond"/>
          <w:i/>
          <w:iCs/>
        </w:rPr>
        <w:t xml:space="preserve">Feminist Legal Studies </w:t>
      </w:r>
      <w:r w:rsidRPr="00AE1FFF">
        <w:rPr>
          <w:rFonts w:ascii="Garamond" w:hAnsi="Garamond"/>
        </w:rPr>
        <w:t xml:space="preserve">3(1): 3-47.  </w:t>
      </w:r>
    </w:p>
    <w:p w14:paraId="49EFC534" w14:textId="6B561932" w:rsidR="004F579D" w:rsidRPr="00AE1FFF" w:rsidRDefault="004F579D" w:rsidP="00C51CD2">
      <w:pPr>
        <w:pStyle w:val="NormalWeb"/>
        <w:spacing w:before="120" w:beforeAutospacing="0" w:after="120" w:afterAutospacing="0" w:line="360" w:lineRule="auto"/>
        <w:rPr>
          <w:rFonts w:ascii="Garamond" w:hAnsi="Garamond"/>
        </w:rPr>
      </w:pPr>
      <w:r w:rsidRPr="00AE1FFF">
        <w:rPr>
          <w:rFonts w:ascii="Garamond" w:hAnsi="Garamond"/>
        </w:rPr>
        <w:t xml:space="preserve">Sanz, V. 2017. “No way out of the binary: A critical history of the scientific production of ‘sex’”. </w:t>
      </w:r>
      <w:r w:rsidRPr="00AE1FFF">
        <w:rPr>
          <w:rFonts w:ascii="Garamond" w:hAnsi="Garamond"/>
          <w:i/>
          <w:iCs/>
        </w:rPr>
        <w:t>Signs: Journal of Women in Culture and Society</w:t>
      </w:r>
      <w:r w:rsidRPr="00AE1FFF">
        <w:rPr>
          <w:rFonts w:ascii="Garamond" w:hAnsi="Garamond"/>
        </w:rPr>
        <w:t xml:space="preserve"> 41(3): 1-27.</w:t>
      </w:r>
    </w:p>
    <w:p w14:paraId="314BB6EA" w14:textId="1CB434DB" w:rsidR="00554973"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Schilt, K. and Westbrook, L. 2015</w:t>
      </w:r>
      <w:r w:rsidR="00430D7F" w:rsidRPr="00AE1FFF">
        <w:rPr>
          <w:rFonts w:ascii="Garamond" w:hAnsi="Garamond"/>
          <w:color w:val="000000"/>
        </w:rPr>
        <w:t>.</w:t>
      </w:r>
      <w:r w:rsidRPr="00AE1FFF">
        <w:rPr>
          <w:rFonts w:ascii="Garamond" w:hAnsi="Garamond"/>
          <w:color w:val="000000"/>
        </w:rPr>
        <w:t xml:space="preserve"> “Bathroom battlegrounds and penis panics”. </w:t>
      </w:r>
      <w:r w:rsidRPr="00AE1FFF">
        <w:rPr>
          <w:rFonts w:ascii="Garamond" w:hAnsi="Garamond"/>
          <w:i/>
          <w:color w:val="000000"/>
        </w:rPr>
        <w:t xml:space="preserve">Contexts </w:t>
      </w:r>
      <w:r w:rsidRPr="00AE1FFF">
        <w:rPr>
          <w:rFonts w:ascii="Garamond" w:hAnsi="Garamond"/>
          <w:color w:val="000000"/>
        </w:rPr>
        <w:t>14</w:t>
      </w:r>
      <w:r w:rsidR="0027787A" w:rsidRPr="00AE1FFF">
        <w:rPr>
          <w:rFonts w:ascii="Garamond" w:hAnsi="Garamond"/>
          <w:color w:val="000000"/>
        </w:rPr>
        <w:t>(</w:t>
      </w:r>
      <w:r w:rsidRPr="00AE1FFF">
        <w:rPr>
          <w:rFonts w:ascii="Garamond" w:hAnsi="Garamond"/>
          <w:color w:val="000000"/>
        </w:rPr>
        <w:t>3</w:t>
      </w:r>
      <w:r w:rsidR="0027787A" w:rsidRPr="00AE1FFF">
        <w:rPr>
          <w:rFonts w:ascii="Garamond" w:hAnsi="Garamond"/>
          <w:color w:val="000000"/>
        </w:rPr>
        <w:t>):</w:t>
      </w:r>
      <w:r w:rsidRPr="00AE1FFF">
        <w:rPr>
          <w:rFonts w:ascii="Garamond" w:hAnsi="Garamond"/>
          <w:color w:val="000000"/>
        </w:rPr>
        <w:t xml:space="preserve"> 26-31.</w:t>
      </w:r>
    </w:p>
    <w:p w14:paraId="485C680F" w14:textId="3706BC80" w:rsidR="00B5295B" w:rsidRPr="00AE1FFF" w:rsidRDefault="00B5295B" w:rsidP="00C51CD2">
      <w:pPr>
        <w:pStyle w:val="NormalWeb"/>
        <w:spacing w:before="120" w:beforeAutospacing="0" w:after="120" w:afterAutospacing="0" w:line="360" w:lineRule="auto"/>
        <w:rPr>
          <w:rFonts w:ascii="Garamond" w:hAnsi="Garamond"/>
          <w:color w:val="000000"/>
        </w:rPr>
      </w:pPr>
      <w:r>
        <w:rPr>
          <w:rFonts w:ascii="Garamond" w:hAnsi="Garamond"/>
        </w:rPr>
        <w:t>Scottish G</w:t>
      </w:r>
      <w:r w:rsidRPr="007C61D2">
        <w:rPr>
          <w:rFonts w:ascii="Garamond" w:hAnsi="Garamond"/>
        </w:rPr>
        <w:t>overnment</w:t>
      </w:r>
      <w:r>
        <w:rPr>
          <w:rFonts w:ascii="Garamond" w:hAnsi="Garamond"/>
        </w:rPr>
        <w:t xml:space="preserve">. 2017. </w:t>
      </w:r>
      <w:r w:rsidRPr="00B5295B">
        <w:rPr>
          <w:rFonts w:ascii="Garamond" w:hAnsi="Garamond"/>
          <w:i/>
        </w:rPr>
        <w:t>Review of the Gender Recognition Act 2004: A Consultation</w:t>
      </w:r>
      <w:r>
        <w:rPr>
          <w:rFonts w:ascii="Garamond" w:hAnsi="Garamond"/>
        </w:rPr>
        <w:t>.</w:t>
      </w:r>
      <w:r w:rsidRPr="007C61D2">
        <w:rPr>
          <w:rFonts w:ascii="Garamond" w:hAnsi="Garamond"/>
        </w:rPr>
        <w:t xml:space="preserve"> </w:t>
      </w:r>
      <w:hyperlink r:id="rId20" w:history="1">
        <w:r w:rsidRPr="007C61D2">
          <w:rPr>
            <w:rFonts w:ascii="Garamond" w:hAnsi="Garamond"/>
            <w:color w:val="0000FF"/>
            <w:u w:val="single"/>
          </w:rPr>
          <w:t>https://consult.gov.scot/family-law/review-of-the-gender-recognition-act-2004/</w:t>
        </w:r>
      </w:hyperlink>
      <w:r w:rsidRPr="007C61D2">
        <w:rPr>
          <w:rFonts w:ascii="Garamond" w:hAnsi="Garamond"/>
        </w:rPr>
        <w:t>.</w:t>
      </w:r>
    </w:p>
    <w:p w14:paraId="40B50088" w14:textId="1159D417" w:rsidR="00554973" w:rsidRPr="00AE1FFF" w:rsidRDefault="00554973"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Sharpe, A. 2018</w:t>
      </w:r>
      <w:r w:rsidR="00430D7F" w:rsidRPr="00AE1FFF">
        <w:rPr>
          <w:rFonts w:ascii="Garamond" w:hAnsi="Garamond"/>
          <w:color w:val="000000"/>
        </w:rPr>
        <w:t>.</w:t>
      </w:r>
      <w:r w:rsidRPr="00AE1FFF">
        <w:rPr>
          <w:rFonts w:ascii="Garamond" w:hAnsi="Garamond"/>
          <w:color w:val="000000"/>
        </w:rPr>
        <w:t xml:space="preserve"> “Foxes in the </w:t>
      </w:r>
      <w:r w:rsidR="002517C6" w:rsidRPr="00AE1FFF">
        <w:rPr>
          <w:rFonts w:ascii="Garamond" w:hAnsi="Garamond"/>
          <w:color w:val="000000"/>
        </w:rPr>
        <w:t>h</w:t>
      </w:r>
      <w:r w:rsidRPr="00AE1FFF">
        <w:rPr>
          <w:rFonts w:ascii="Garamond" w:hAnsi="Garamond"/>
          <w:color w:val="000000"/>
        </w:rPr>
        <w:t xml:space="preserve">enhouse: Putting the </w:t>
      </w:r>
      <w:r w:rsidR="00ED0DC7" w:rsidRPr="00AE1FFF">
        <w:rPr>
          <w:rFonts w:ascii="Garamond" w:hAnsi="Garamond"/>
          <w:color w:val="000000"/>
        </w:rPr>
        <w:t>t</w:t>
      </w:r>
      <w:r w:rsidRPr="00AE1FFF">
        <w:rPr>
          <w:rFonts w:ascii="Garamond" w:hAnsi="Garamond"/>
          <w:color w:val="000000"/>
        </w:rPr>
        <w:t xml:space="preserve">rans </w:t>
      </w:r>
      <w:r w:rsidR="00ED0DC7" w:rsidRPr="00AE1FFF">
        <w:rPr>
          <w:rFonts w:ascii="Garamond" w:hAnsi="Garamond"/>
          <w:color w:val="000000"/>
        </w:rPr>
        <w:t>w</w:t>
      </w:r>
      <w:r w:rsidRPr="00AE1FFF">
        <w:rPr>
          <w:rFonts w:ascii="Garamond" w:hAnsi="Garamond"/>
          <w:color w:val="000000"/>
        </w:rPr>
        <w:t xml:space="preserve">omen </w:t>
      </w:r>
      <w:r w:rsidR="00ED0DC7" w:rsidRPr="00AE1FFF">
        <w:rPr>
          <w:rFonts w:ascii="Garamond" w:hAnsi="Garamond"/>
          <w:color w:val="000000"/>
        </w:rPr>
        <w:t>p</w:t>
      </w:r>
      <w:r w:rsidRPr="00AE1FFF">
        <w:rPr>
          <w:rFonts w:ascii="Garamond" w:hAnsi="Garamond"/>
          <w:color w:val="000000"/>
        </w:rPr>
        <w:t>rison</w:t>
      </w:r>
      <w:r w:rsidR="00ED0DC7" w:rsidRPr="00AE1FFF">
        <w:rPr>
          <w:rFonts w:ascii="Garamond" w:hAnsi="Garamond"/>
          <w:color w:val="000000"/>
        </w:rPr>
        <w:t xml:space="preserve"> d</w:t>
      </w:r>
      <w:r w:rsidRPr="00AE1FFF">
        <w:rPr>
          <w:rFonts w:ascii="Garamond" w:hAnsi="Garamond"/>
          <w:color w:val="000000"/>
        </w:rPr>
        <w:t xml:space="preserve">ebate in </w:t>
      </w:r>
      <w:r w:rsidR="00ED0DC7" w:rsidRPr="00AE1FFF">
        <w:rPr>
          <w:rFonts w:ascii="Garamond" w:hAnsi="Garamond"/>
          <w:color w:val="000000"/>
        </w:rPr>
        <w:t>p</w:t>
      </w:r>
      <w:r w:rsidRPr="00AE1FFF">
        <w:rPr>
          <w:rFonts w:ascii="Garamond" w:hAnsi="Garamond"/>
          <w:color w:val="000000"/>
        </w:rPr>
        <w:t xml:space="preserve">erspective”. </w:t>
      </w:r>
      <w:r w:rsidRPr="00AE1FFF">
        <w:rPr>
          <w:rFonts w:ascii="Garamond" w:hAnsi="Garamond"/>
          <w:i/>
          <w:color w:val="000000"/>
        </w:rPr>
        <w:t>Inherently Human</w:t>
      </w:r>
      <w:r w:rsidRPr="00AE1FFF">
        <w:rPr>
          <w:rFonts w:ascii="Garamond" w:hAnsi="Garamond"/>
          <w:color w:val="000000"/>
        </w:rPr>
        <w:t>, 11 Sept</w:t>
      </w:r>
      <w:r w:rsidR="00CF5EBE">
        <w:rPr>
          <w:rFonts w:ascii="Garamond" w:hAnsi="Garamond"/>
          <w:color w:val="000000"/>
        </w:rPr>
        <w:t>ember</w:t>
      </w:r>
      <w:r w:rsidRPr="00AE1FFF">
        <w:rPr>
          <w:rFonts w:ascii="Garamond" w:hAnsi="Garamond"/>
          <w:color w:val="000000"/>
        </w:rPr>
        <w:t xml:space="preserve"> 2018. </w:t>
      </w:r>
      <w:hyperlink r:id="rId21" w:history="1">
        <w:r w:rsidRPr="00AE1FFF">
          <w:rPr>
            <w:rStyle w:val="Hyperlink"/>
            <w:rFonts w:ascii="Garamond" w:hAnsi="Garamond"/>
          </w:rPr>
          <w:t>https://inherentlyhuman.wordpress.com/2018/09/11/foxes-in-the-henhouse-putting-the-trans-women-prison-debate-in-perspective/</w:t>
        </w:r>
      </w:hyperlink>
      <w:r w:rsidR="00A84A44" w:rsidRPr="00AE1FFF">
        <w:rPr>
          <w:rFonts w:ascii="Garamond" w:hAnsi="Garamond"/>
          <w:color w:val="000000"/>
        </w:rPr>
        <w:t>.</w:t>
      </w:r>
    </w:p>
    <w:p w14:paraId="3F3C6788" w14:textId="7B27953F" w:rsidR="00740405" w:rsidRPr="00AE1FFF" w:rsidRDefault="00740405" w:rsidP="00C51CD2">
      <w:pPr>
        <w:pStyle w:val="CommentText"/>
        <w:spacing w:line="360" w:lineRule="auto"/>
        <w:rPr>
          <w:rFonts w:ascii="Garamond" w:hAnsi="Garamond"/>
          <w:color w:val="000000"/>
        </w:rPr>
      </w:pPr>
      <w:r w:rsidRPr="00AE1FFF">
        <w:rPr>
          <w:rFonts w:ascii="Garamond" w:hAnsi="Garamond" w:cs="Times New Roman"/>
          <w:sz w:val="24"/>
          <w:szCs w:val="24"/>
        </w:rPr>
        <w:t xml:space="preserve">Smart, C. 1992. “The </w:t>
      </w:r>
      <w:r w:rsidR="00ED0DC7" w:rsidRPr="00AE1FFF">
        <w:rPr>
          <w:rFonts w:ascii="Garamond" w:hAnsi="Garamond" w:cs="Times New Roman"/>
          <w:sz w:val="24"/>
          <w:szCs w:val="24"/>
        </w:rPr>
        <w:t>w</w:t>
      </w:r>
      <w:r w:rsidRPr="00AE1FFF">
        <w:rPr>
          <w:rFonts w:ascii="Garamond" w:hAnsi="Garamond" w:cs="Times New Roman"/>
          <w:sz w:val="24"/>
          <w:szCs w:val="24"/>
        </w:rPr>
        <w:t xml:space="preserve">oman of </w:t>
      </w:r>
      <w:r w:rsidR="00ED0DC7" w:rsidRPr="00AE1FFF">
        <w:rPr>
          <w:rFonts w:ascii="Garamond" w:hAnsi="Garamond" w:cs="Times New Roman"/>
          <w:sz w:val="24"/>
          <w:szCs w:val="24"/>
        </w:rPr>
        <w:t>l</w:t>
      </w:r>
      <w:r w:rsidRPr="00AE1FFF">
        <w:rPr>
          <w:rFonts w:ascii="Garamond" w:hAnsi="Garamond" w:cs="Times New Roman"/>
          <w:sz w:val="24"/>
          <w:szCs w:val="24"/>
        </w:rPr>
        <w:t xml:space="preserve">egal </w:t>
      </w:r>
      <w:r w:rsidR="00ED0DC7" w:rsidRPr="00AE1FFF">
        <w:rPr>
          <w:rFonts w:ascii="Garamond" w:hAnsi="Garamond" w:cs="Times New Roman"/>
          <w:sz w:val="24"/>
          <w:szCs w:val="24"/>
        </w:rPr>
        <w:t>d</w:t>
      </w:r>
      <w:r w:rsidRPr="00AE1FFF">
        <w:rPr>
          <w:rFonts w:ascii="Garamond" w:hAnsi="Garamond" w:cs="Times New Roman"/>
          <w:sz w:val="24"/>
          <w:szCs w:val="24"/>
        </w:rPr>
        <w:t xml:space="preserve">iscourse”. </w:t>
      </w:r>
      <w:r w:rsidRPr="00AE1FFF">
        <w:rPr>
          <w:rFonts w:ascii="Garamond" w:hAnsi="Garamond" w:cs="Times New Roman"/>
          <w:i/>
          <w:iCs/>
          <w:sz w:val="24"/>
          <w:szCs w:val="24"/>
        </w:rPr>
        <w:t xml:space="preserve">Social and Legal Studies </w:t>
      </w:r>
      <w:r w:rsidRPr="00AE1FFF">
        <w:rPr>
          <w:rFonts w:ascii="Garamond" w:hAnsi="Garamond" w:cs="Times New Roman"/>
          <w:sz w:val="24"/>
          <w:szCs w:val="24"/>
        </w:rPr>
        <w:t>1</w:t>
      </w:r>
      <w:r w:rsidR="003506D1" w:rsidRPr="00AE1FFF">
        <w:rPr>
          <w:rFonts w:ascii="Garamond" w:hAnsi="Garamond" w:cs="Times New Roman"/>
          <w:sz w:val="24"/>
          <w:szCs w:val="24"/>
        </w:rPr>
        <w:t>(1)</w:t>
      </w:r>
      <w:r w:rsidRPr="00AE1FFF">
        <w:rPr>
          <w:rFonts w:ascii="Garamond" w:hAnsi="Garamond" w:cs="Times New Roman"/>
          <w:sz w:val="24"/>
          <w:szCs w:val="24"/>
        </w:rPr>
        <w:t xml:space="preserve">: 29-44. </w:t>
      </w:r>
    </w:p>
    <w:p w14:paraId="179D1114" w14:textId="75E65D32" w:rsidR="00B20C38" w:rsidRPr="00AE1FFF" w:rsidRDefault="00B20C38" w:rsidP="00C51CD2">
      <w:pPr>
        <w:pStyle w:val="NormalWeb"/>
        <w:spacing w:before="120" w:beforeAutospacing="0" w:after="120" w:afterAutospacing="0" w:line="360" w:lineRule="auto"/>
        <w:rPr>
          <w:rFonts w:ascii="Garamond" w:hAnsi="Garamond"/>
          <w:color w:val="000000"/>
        </w:rPr>
      </w:pPr>
      <w:r w:rsidRPr="00AE1FFF">
        <w:rPr>
          <w:rFonts w:ascii="Garamond" w:hAnsi="Garamond"/>
          <w:color w:val="000000"/>
        </w:rPr>
        <w:t>Smart, C. 1989</w:t>
      </w:r>
      <w:r w:rsidR="0065472F" w:rsidRPr="00AE1FFF">
        <w:rPr>
          <w:rFonts w:ascii="Garamond" w:hAnsi="Garamond"/>
          <w:color w:val="000000"/>
        </w:rPr>
        <w:t xml:space="preserve">. </w:t>
      </w:r>
      <w:r w:rsidR="0065472F" w:rsidRPr="00AE1FFF">
        <w:rPr>
          <w:rFonts w:ascii="Garamond" w:hAnsi="Garamond"/>
          <w:i/>
          <w:iCs/>
          <w:color w:val="000000"/>
        </w:rPr>
        <w:t xml:space="preserve">Feminism and the Power of Law.  </w:t>
      </w:r>
      <w:r w:rsidR="0065472F" w:rsidRPr="00AE1FFF">
        <w:rPr>
          <w:rFonts w:ascii="Garamond" w:hAnsi="Garamond"/>
          <w:color w:val="000000"/>
        </w:rPr>
        <w:t xml:space="preserve">London: Routledge.  </w:t>
      </w:r>
    </w:p>
    <w:p w14:paraId="2192390F" w14:textId="359C13A5" w:rsidR="00551848" w:rsidRPr="00AE1FFF" w:rsidRDefault="00CF5EBE" w:rsidP="00C51CD2">
      <w:pPr>
        <w:pStyle w:val="NormalWeb"/>
        <w:spacing w:before="120" w:beforeAutospacing="0" w:after="120" w:afterAutospacing="0" w:line="360" w:lineRule="auto"/>
        <w:rPr>
          <w:rFonts w:ascii="Garamond" w:hAnsi="Garamond"/>
          <w:color w:val="000000"/>
        </w:rPr>
      </w:pPr>
      <w:r>
        <w:rPr>
          <w:rFonts w:ascii="Garamond" w:hAnsi="Garamond"/>
          <w:color w:val="000000"/>
        </w:rPr>
        <w:t>Smooth, W. 2011. “</w:t>
      </w:r>
      <w:r w:rsidR="00551848" w:rsidRPr="00AE1FFF">
        <w:rPr>
          <w:rFonts w:ascii="Garamond" w:hAnsi="Garamond"/>
          <w:color w:val="000000"/>
        </w:rPr>
        <w:t>Standing for women? Which women? The subs</w:t>
      </w:r>
      <w:r w:rsidR="00924733">
        <w:rPr>
          <w:rFonts w:ascii="Garamond" w:hAnsi="Garamond"/>
          <w:color w:val="000000"/>
        </w:rPr>
        <w:t>tantive representation of women’</w:t>
      </w:r>
      <w:r w:rsidR="00551848" w:rsidRPr="00AE1FFF">
        <w:rPr>
          <w:rFonts w:ascii="Garamond" w:hAnsi="Garamond"/>
          <w:color w:val="000000"/>
        </w:rPr>
        <w:t xml:space="preserve">s interests and the research </w:t>
      </w:r>
      <w:r>
        <w:rPr>
          <w:rFonts w:ascii="Garamond" w:hAnsi="Garamond"/>
          <w:color w:val="000000"/>
        </w:rPr>
        <w:t>imperative of intersectionality”</w:t>
      </w:r>
      <w:r w:rsidR="00ED0DC7" w:rsidRPr="00AE1FFF">
        <w:rPr>
          <w:rFonts w:ascii="Garamond" w:hAnsi="Garamond"/>
          <w:color w:val="000000"/>
        </w:rPr>
        <w:t>.</w:t>
      </w:r>
      <w:r w:rsidR="00551848" w:rsidRPr="00AE1FFF">
        <w:rPr>
          <w:rFonts w:ascii="Garamond" w:hAnsi="Garamond"/>
          <w:color w:val="000000"/>
        </w:rPr>
        <w:t xml:space="preserve"> </w:t>
      </w:r>
      <w:r w:rsidR="00551848" w:rsidRPr="00AE1FFF">
        <w:rPr>
          <w:rFonts w:ascii="Garamond" w:hAnsi="Garamond"/>
          <w:i/>
          <w:iCs/>
          <w:color w:val="000000"/>
        </w:rPr>
        <w:t>Politics &amp; Gender</w:t>
      </w:r>
      <w:r w:rsidR="00551848" w:rsidRPr="00AE1FFF">
        <w:rPr>
          <w:rFonts w:ascii="Garamond" w:hAnsi="Garamond"/>
          <w:color w:val="000000"/>
        </w:rPr>
        <w:t xml:space="preserve"> 7(3): 436-441.</w:t>
      </w:r>
    </w:p>
    <w:p w14:paraId="0FF0E890" w14:textId="12B8F791" w:rsidR="00F42C71" w:rsidRPr="00AE1FFF" w:rsidRDefault="00F42C71" w:rsidP="00C51CD2">
      <w:pPr>
        <w:pStyle w:val="NormalWeb"/>
        <w:spacing w:before="120" w:beforeAutospacing="0" w:after="120" w:afterAutospacing="0" w:line="360" w:lineRule="auto"/>
        <w:rPr>
          <w:rFonts w:ascii="Garamond" w:hAnsi="Garamond"/>
          <w:i/>
          <w:iCs/>
        </w:rPr>
      </w:pPr>
      <w:r w:rsidRPr="00AE1FFF">
        <w:rPr>
          <w:rFonts w:ascii="Garamond" w:hAnsi="Garamond"/>
          <w:color w:val="000000"/>
        </w:rPr>
        <w:t xml:space="preserve">Solanke, I.  2019.  </w:t>
      </w:r>
      <w:r w:rsidRPr="00AE1FFF">
        <w:rPr>
          <w:rFonts w:ascii="Garamond" w:hAnsi="Garamond"/>
          <w:i/>
          <w:iCs/>
          <w:color w:val="000000"/>
        </w:rPr>
        <w:t xml:space="preserve">Discrimination as Stigma: A Theory of Anti-Discrimination Law. </w:t>
      </w:r>
      <w:r w:rsidRPr="00AE1FFF">
        <w:rPr>
          <w:rFonts w:ascii="Garamond" w:hAnsi="Garamond"/>
          <w:color w:val="000000"/>
        </w:rPr>
        <w:t>Oxford: Hart</w:t>
      </w:r>
      <w:r w:rsidRPr="00AE1FFF">
        <w:rPr>
          <w:rFonts w:ascii="Garamond" w:hAnsi="Garamond"/>
          <w:i/>
          <w:iCs/>
          <w:color w:val="000000"/>
        </w:rPr>
        <w:t xml:space="preserve">. </w:t>
      </w:r>
    </w:p>
    <w:p w14:paraId="381AD9B9" w14:textId="599C46E1" w:rsidR="00F42C71" w:rsidRPr="00AE1FFF" w:rsidRDefault="00F42C71" w:rsidP="00C51CD2">
      <w:pPr>
        <w:pStyle w:val="NormalWeb"/>
        <w:spacing w:before="120" w:beforeAutospacing="0" w:after="120" w:afterAutospacing="0" w:line="360" w:lineRule="auto"/>
        <w:rPr>
          <w:rFonts w:ascii="Garamond" w:hAnsi="Garamond"/>
          <w:color w:val="000000"/>
        </w:rPr>
      </w:pPr>
      <w:bookmarkStart w:id="24" w:name="_Hlk48680228"/>
      <w:r w:rsidRPr="00AE1FFF">
        <w:rPr>
          <w:rFonts w:ascii="Garamond" w:hAnsi="Garamond"/>
          <w:color w:val="000000"/>
        </w:rPr>
        <w:t xml:space="preserve">Spade, D. 2003. “Resisting </w:t>
      </w:r>
      <w:r w:rsidR="002517C6" w:rsidRPr="00AE1FFF">
        <w:rPr>
          <w:rFonts w:ascii="Garamond" w:hAnsi="Garamond"/>
          <w:color w:val="000000"/>
        </w:rPr>
        <w:t>m</w:t>
      </w:r>
      <w:r w:rsidRPr="00AE1FFF">
        <w:rPr>
          <w:rFonts w:ascii="Garamond" w:hAnsi="Garamond"/>
          <w:color w:val="000000"/>
        </w:rPr>
        <w:t xml:space="preserve">edicine, </w:t>
      </w:r>
      <w:r w:rsidR="00ED0DC7" w:rsidRPr="00AE1FFF">
        <w:rPr>
          <w:rFonts w:ascii="Garamond" w:hAnsi="Garamond"/>
          <w:color w:val="000000"/>
        </w:rPr>
        <w:t>r</w:t>
      </w:r>
      <w:r w:rsidRPr="00AE1FFF">
        <w:rPr>
          <w:rFonts w:ascii="Garamond" w:hAnsi="Garamond"/>
          <w:color w:val="000000"/>
        </w:rPr>
        <w:t xml:space="preserve">e/modeling </w:t>
      </w:r>
      <w:r w:rsidR="00ED0DC7" w:rsidRPr="00AE1FFF">
        <w:rPr>
          <w:rFonts w:ascii="Garamond" w:hAnsi="Garamond"/>
          <w:color w:val="000000"/>
        </w:rPr>
        <w:t>g</w:t>
      </w:r>
      <w:r w:rsidRPr="00AE1FFF">
        <w:rPr>
          <w:rFonts w:ascii="Garamond" w:hAnsi="Garamond"/>
          <w:color w:val="000000"/>
        </w:rPr>
        <w:t xml:space="preserve">ender”. </w:t>
      </w:r>
      <w:r w:rsidRPr="00AE1FFF">
        <w:rPr>
          <w:rFonts w:ascii="Garamond" w:hAnsi="Garamond"/>
          <w:i/>
          <w:iCs/>
          <w:color w:val="000000"/>
        </w:rPr>
        <w:t xml:space="preserve">Berkeley Women’s Law Journal </w:t>
      </w:r>
      <w:r w:rsidR="007626F0" w:rsidRPr="00AE1FFF">
        <w:rPr>
          <w:rFonts w:ascii="Garamond" w:hAnsi="Garamond"/>
          <w:color w:val="000000"/>
        </w:rPr>
        <w:t xml:space="preserve">18: </w:t>
      </w:r>
      <w:r w:rsidRPr="00AE1FFF">
        <w:rPr>
          <w:rFonts w:ascii="Garamond" w:hAnsi="Garamond"/>
          <w:color w:val="000000"/>
        </w:rPr>
        <w:t>15-37.</w:t>
      </w:r>
    </w:p>
    <w:p w14:paraId="53A0BD7A" w14:textId="47FFEBCE" w:rsidR="00C51CD2" w:rsidRPr="007C61D2" w:rsidRDefault="00924733" w:rsidP="00C51CD2">
      <w:pPr>
        <w:pStyle w:val="NormalWeb"/>
        <w:spacing w:before="120" w:beforeAutospacing="0" w:after="120" w:afterAutospacing="0" w:line="360" w:lineRule="auto"/>
        <w:rPr>
          <w:rFonts w:ascii="Garamond" w:hAnsi="Garamond" w:cstheme="minorHAnsi"/>
          <w:color w:val="000000" w:themeColor="text1"/>
        </w:rPr>
      </w:pPr>
      <w:bookmarkStart w:id="25" w:name="_Hlk48679131"/>
      <w:bookmarkStart w:id="26" w:name="_Hlk48679109"/>
      <w:bookmarkStart w:id="27" w:name="_Hlk48680252"/>
      <w:bookmarkStart w:id="28" w:name="_Hlk48679169"/>
      <w:bookmarkEnd w:id="24"/>
      <w:r>
        <w:rPr>
          <w:rFonts w:ascii="Garamond" w:hAnsi="Garamond"/>
          <w:color w:val="000000"/>
        </w:rPr>
        <w:t>Squires, J. 2008. “</w:t>
      </w:r>
      <w:r w:rsidR="002104C5" w:rsidRPr="00AE1FFF">
        <w:rPr>
          <w:rFonts w:ascii="Garamond" w:hAnsi="Garamond"/>
          <w:color w:val="000000"/>
        </w:rPr>
        <w:t>The constitutive representation of gender: Extra</w:t>
      </w:r>
      <w:r w:rsidR="002104C5" w:rsidRPr="007C61D2">
        <w:rPr>
          <w:rFonts w:ascii="Calibri" w:eastAsia="Calibri" w:hAnsi="Calibri" w:cs="Calibri"/>
          <w:color w:val="000000"/>
        </w:rPr>
        <w:t>‐</w:t>
      </w:r>
      <w:r w:rsidR="002104C5" w:rsidRPr="007C61D2">
        <w:rPr>
          <w:rFonts w:ascii="Garamond" w:hAnsi="Garamond"/>
          <w:color w:val="000000"/>
        </w:rPr>
        <w:t>parliamentary re</w:t>
      </w:r>
      <w:r w:rsidR="002104C5" w:rsidRPr="007C61D2">
        <w:rPr>
          <w:rFonts w:ascii="Calibri" w:eastAsia="Calibri" w:hAnsi="Calibri" w:cs="Calibri"/>
          <w:color w:val="000000"/>
        </w:rPr>
        <w:t>‐</w:t>
      </w:r>
      <w:r w:rsidR="002104C5" w:rsidRPr="007C61D2">
        <w:rPr>
          <w:rFonts w:ascii="Garamond" w:hAnsi="Garamond"/>
          <w:color w:val="000000"/>
        </w:rPr>
        <w:t>pr</w:t>
      </w:r>
      <w:r>
        <w:rPr>
          <w:rFonts w:ascii="Garamond" w:hAnsi="Garamond"/>
          <w:color w:val="000000"/>
        </w:rPr>
        <w:t>esentations of gender relations”</w:t>
      </w:r>
      <w:bookmarkStart w:id="29" w:name="_GoBack"/>
      <w:bookmarkEnd w:id="29"/>
      <w:r w:rsidR="00ED0DC7" w:rsidRPr="007C61D2">
        <w:rPr>
          <w:rFonts w:ascii="Garamond" w:hAnsi="Garamond"/>
          <w:color w:val="000000"/>
        </w:rPr>
        <w:t>.</w:t>
      </w:r>
      <w:r w:rsidR="002104C5" w:rsidRPr="007C61D2">
        <w:rPr>
          <w:rFonts w:ascii="Garamond" w:hAnsi="Garamond"/>
          <w:color w:val="000000"/>
        </w:rPr>
        <w:t xml:space="preserve"> </w:t>
      </w:r>
      <w:r w:rsidR="002104C5" w:rsidRPr="007C61D2">
        <w:rPr>
          <w:rFonts w:ascii="Garamond" w:hAnsi="Garamond"/>
          <w:i/>
          <w:iCs/>
          <w:color w:val="000000"/>
        </w:rPr>
        <w:t>Representation</w:t>
      </w:r>
      <w:r w:rsidR="002104C5" w:rsidRPr="007C61D2">
        <w:rPr>
          <w:rFonts w:ascii="Garamond" w:hAnsi="Garamond"/>
          <w:color w:val="000000"/>
        </w:rPr>
        <w:t xml:space="preserve"> 44(2): 187-204.</w:t>
      </w:r>
    </w:p>
    <w:bookmarkEnd w:id="25"/>
    <w:bookmarkEnd w:id="26"/>
    <w:p w14:paraId="5EB4A75D" w14:textId="67E2B52C" w:rsidR="00AB0D39" w:rsidRDefault="002426F9" w:rsidP="00C51CD2">
      <w:pPr>
        <w:pStyle w:val="NormalWeb"/>
        <w:spacing w:before="120" w:beforeAutospacing="0" w:after="120" w:afterAutospacing="0" w:line="360" w:lineRule="auto"/>
        <w:rPr>
          <w:rFonts w:ascii="Garamond" w:hAnsi="Garamond"/>
        </w:rPr>
      </w:pPr>
      <w:r w:rsidRPr="007C61D2">
        <w:rPr>
          <w:rFonts w:cstheme="minorBidi"/>
          <w:sz w:val="22"/>
          <w:szCs w:val="22"/>
        </w:rPr>
        <w:fldChar w:fldCharType="begin"/>
      </w:r>
      <w:r w:rsidRPr="00652BA1">
        <w:instrText xml:space="preserve"> HYPERLINK "https://www.tandfonline.com/doi/full/10.1080/13645579.2020.1768346" </w:instrText>
      </w:r>
      <w:r w:rsidRPr="007C61D2">
        <w:rPr>
          <w:rFonts w:cstheme="minorBidi"/>
          <w:sz w:val="22"/>
          <w:szCs w:val="22"/>
        </w:rPr>
        <w:fldChar w:fldCharType="separate"/>
      </w:r>
      <w:r w:rsidR="00AB0D39" w:rsidRPr="007C61D2">
        <w:rPr>
          <w:rStyle w:val="Hyperlink"/>
          <w:rFonts w:ascii="Garamond" w:hAnsi="Garamond"/>
          <w:color w:val="auto"/>
          <w:u w:val="none"/>
        </w:rPr>
        <w:t>Sullivan, A.</w:t>
      </w:r>
      <w:r w:rsidR="00F4248F" w:rsidRPr="007C61D2">
        <w:rPr>
          <w:rStyle w:val="Hyperlink"/>
          <w:rFonts w:ascii="Garamond" w:hAnsi="Garamond"/>
          <w:color w:val="auto"/>
          <w:u w:val="none"/>
        </w:rPr>
        <w:t xml:space="preserve"> </w:t>
      </w:r>
      <w:r w:rsidR="00AB0D39" w:rsidRPr="007C61D2">
        <w:rPr>
          <w:rStyle w:val="Hyperlink"/>
          <w:rFonts w:ascii="Garamond" w:hAnsi="Garamond"/>
          <w:color w:val="auto"/>
          <w:u w:val="none"/>
        </w:rPr>
        <w:t xml:space="preserve">2020a. “Sex and the census: </w:t>
      </w:r>
      <w:r w:rsidR="00ED0DC7" w:rsidRPr="007C61D2">
        <w:rPr>
          <w:rStyle w:val="Hyperlink"/>
          <w:rFonts w:ascii="Garamond" w:hAnsi="Garamond"/>
          <w:color w:val="auto"/>
          <w:u w:val="none"/>
        </w:rPr>
        <w:t>W</w:t>
      </w:r>
      <w:r w:rsidR="00AB0D39" w:rsidRPr="007C61D2">
        <w:rPr>
          <w:rStyle w:val="Hyperlink"/>
          <w:rFonts w:ascii="Garamond" w:hAnsi="Garamond"/>
          <w:color w:val="auto"/>
          <w:u w:val="none"/>
        </w:rPr>
        <w:t>hy surveys should not conflate sex and gender identity”</w:t>
      </w:r>
      <w:r w:rsidR="00ED0DC7" w:rsidRPr="007C61D2">
        <w:rPr>
          <w:rStyle w:val="Hyperlink"/>
          <w:rFonts w:ascii="Garamond" w:hAnsi="Garamond"/>
          <w:color w:val="auto"/>
          <w:u w:val="none"/>
        </w:rPr>
        <w:t>.</w:t>
      </w:r>
      <w:r w:rsidR="00AB2AF3" w:rsidRPr="007C61D2">
        <w:rPr>
          <w:rStyle w:val="Hyperlink"/>
          <w:rFonts w:ascii="Garamond" w:hAnsi="Garamond"/>
          <w:color w:val="auto"/>
          <w:u w:val="none"/>
        </w:rPr>
        <w:t xml:space="preserve"> </w:t>
      </w:r>
      <w:r w:rsidR="00AB0D39" w:rsidRPr="007C61D2">
        <w:rPr>
          <w:rStyle w:val="Hyperlink"/>
          <w:rFonts w:ascii="Garamond" w:hAnsi="Garamond"/>
          <w:i/>
          <w:iCs/>
          <w:color w:val="auto"/>
          <w:u w:val="none"/>
          <w:shd w:val="clear" w:color="auto" w:fill="FFFFFF"/>
        </w:rPr>
        <w:t>International Journal of Social Research Methodology</w:t>
      </w:r>
      <w:r w:rsidRPr="007C61D2">
        <w:rPr>
          <w:rStyle w:val="Hyperlink"/>
          <w:rFonts w:ascii="Garamond" w:hAnsi="Garamond"/>
          <w:i/>
          <w:iCs/>
          <w:color w:val="auto"/>
          <w:u w:val="none"/>
          <w:shd w:val="clear" w:color="auto" w:fill="FFFFFF"/>
        </w:rPr>
        <w:fldChar w:fldCharType="end"/>
      </w:r>
      <w:r w:rsidR="00AB0D39" w:rsidRPr="007C61D2">
        <w:rPr>
          <w:rStyle w:val="Hyperlink"/>
          <w:rFonts w:ascii="Garamond" w:hAnsi="Garamond"/>
          <w:i/>
          <w:iCs/>
          <w:color w:val="auto"/>
          <w:u w:val="none"/>
          <w:shd w:val="clear" w:color="auto" w:fill="FFFFFF"/>
        </w:rPr>
        <w:t xml:space="preserve"> </w:t>
      </w:r>
      <w:r w:rsidR="00AB0D39" w:rsidRPr="007C61D2">
        <w:rPr>
          <w:rStyle w:val="Hyperlink"/>
          <w:rFonts w:ascii="Garamond" w:hAnsi="Garamond"/>
          <w:color w:val="auto"/>
          <w:u w:val="none"/>
          <w:shd w:val="clear" w:color="auto" w:fill="FFFFFF"/>
        </w:rPr>
        <w:t xml:space="preserve">23(5): 517-524. </w:t>
      </w:r>
    </w:p>
    <w:bookmarkEnd w:id="27"/>
    <w:p w14:paraId="3B27E457" w14:textId="10F04DA1" w:rsidR="00C51CD2" w:rsidRDefault="00AB0D39" w:rsidP="00C51CD2">
      <w:pPr>
        <w:pStyle w:val="NormalWeb"/>
        <w:spacing w:before="120" w:beforeAutospacing="0" w:after="120" w:afterAutospacing="0" w:line="360" w:lineRule="auto"/>
        <w:rPr>
          <w:rFonts w:ascii="Garamond" w:hAnsi="Garamond"/>
        </w:rPr>
      </w:pPr>
      <w:r w:rsidRPr="007C61D2">
        <w:rPr>
          <w:rFonts w:ascii="Garamond" w:hAnsi="Garamond"/>
        </w:rPr>
        <w:lastRenderedPageBreak/>
        <w:t>Sullivan, A. 2020b. “Response to Fugard and Hines”</w:t>
      </w:r>
      <w:r w:rsidR="00ED0DC7" w:rsidRPr="007C61D2">
        <w:rPr>
          <w:rFonts w:ascii="Garamond" w:hAnsi="Garamond"/>
        </w:rPr>
        <w:t xml:space="preserve">. </w:t>
      </w:r>
      <w:r w:rsidRPr="007C61D2">
        <w:rPr>
          <w:rFonts w:ascii="Garamond" w:hAnsi="Garamond"/>
          <w:i/>
          <w:iCs/>
        </w:rPr>
        <w:t>International Journal of Social Research Methodology</w:t>
      </w:r>
      <w:r w:rsidRPr="007C61D2">
        <w:rPr>
          <w:rFonts w:ascii="Garamond" w:hAnsi="Garamond"/>
          <w:color w:val="333333"/>
          <w:shd w:val="clear" w:color="auto" w:fill="FFFFFF"/>
        </w:rPr>
        <w:t xml:space="preserve"> 23(5): 539-540.</w:t>
      </w:r>
      <w:r w:rsidR="004720B0" w:rsidRPr="007C61D2">
        <w:rPr>
          <w:rFonts w:ascii="Garamond" w:hAnsi="Garamond"/>
        </w:rPr>
        <w:t xml:space="preserve">  </w:t>
      </w:r>
    </w:p>
    <w:p w14:paraId="6DDEC5FE" w14:textId="187A3F83" w:rsidR="00E729B7" w:rsidRDefault="00E729B7" w:rsidP="00C51CD2">
      <w:pPr>
        <w:pStyle w:val="NormalWeb"/>
        <w:spacing w:before="120" w:beforeAutospacing="0" w:after="120" w:afterAutospacing="0" w:line="360" w:lineRule="auto"/>
        <w:rPr>
          <w:rFonts w:ascii="Garamond" w:hAnsi="Garamond"/>
        </w:rPr>
      </w:pPr>
      <w:r w:rsidRPr="00E729B7">
        <w:rPr>
          <w:rFonts w:ascii="Garamond" w:hAnsi="Garamond"/>
        </w:rPr>
        <w:t>Tasmania Law Reform Institute</w:t>
      </w:r>
      <w:r>
        <w:rPr>
          <w:rFonts w:ascii="Garamond" w:hAnsi="Garamond"/>
        </w:rPr>
        <w:t>. 2020</w:t>
      </w:r>
      <w:r w:rsidRPr="00E729B7">
        <w:rPr>
          <w:rFonts w:ascii="Garamond" w:hAnsi="Garamond"/>
        </w:rPr>
        <w:t xml:space="preserve">. </w:t>
      </w:r>
      <w:r w:rsidRPr="00E729B7">
        <w:rPr>
          <w:rFonts w:ascii="Garamond" w:hAnsi="Garamond"/>
          <w:i/>
          <w:iCs/>
        </w:rPr>
        <w:t>Final Report on the Legal Recognition of Sex and Gender</w:t>
      </w:r>
      <w:r>
        <w:rPr>
          <w:rFonts w:ascii="Garamond" w:hAnsi="Garamond"/>
          <w:iCs/>
        </w:rPr>
        <w:t>.</w:t>
      </w:r>
      <w:r w:rsidRPr="00E729B7">
        <w:rPr>
          <w:rFonts w:ascii="Garamond" w:hAnsi="Garamond"/>
        </w:rPr>
        <w:t xml:space="preserve">  </w:t>
      </w:r>
      <w:hyperlink r:id="rId22" w:history="1">
        <w:r w:rsidRPr="00E729B7">
          <w:rPr>
            <w:rStyle w:val="Hyperlink"/>
            <w:rFonts w:ascii="Garamond" w:hAnsi="Garamond"/>
          </w:rPr>
          <w:t>https://www.utas.edu.au/__data/assets/pdf_file/0018/1342080/tlri-legal-recognition-of-sex-final-report.pdf</w:t>
        </w:r>
      </w:hyperlink>
      <w:r w:rsidRPr="00E729B7">
        <w:rPr>
          <w:rFonts w:ascii="Garamond" w:hAnsi="Garamond"/>
        </w:rPr>
        <w:t>.</w:t>
      </w:r>
    </w:p>
    <w:p w14:paraId="6D6C1708" w14:textId="24E3433B" w:rsidR="00947CCE" w:rsidRDefault="00947CCE" w:rsidP="00C51CD2">
      <w:pPr>
        <w:pStyle w:val="NormalWeb"/>
        <w:spacing w:before="120" w:beforeAutospacing="0" w:after="120" w:afterAutospacing="0" w:line="360" w:lineRule="auto"/>
        <w:rPr>
          <w:rFonts w:ascii="Garamond" w:hAnsi="Garamond"/>
        </w:rPr>
      </w:pPr>
      <w:r>
        <w:rPr>
          <w:rFonts w:ascii="Garamond" w:hAnsi="Garamond"/>
        </w:rPr>
        <w:t xml:space="preserve">UK Parliament. 2018. </w:t>
      </w:r>
      <w:r w:rsidRPr="007C61D2">
        <w:rPr>
          <w:rFonts w:ascii="Garamond" w:hAnsi="Garamond"/>
          <w:i/>
        </w:rPr>
        <w:t>UK Gender-Sensitive Parliament Audit</w:t>
      </w:r>
      <w:r>
        <w:rPr>
          <w:rFonts w:ascii="Garamond" w:hAnsi="Garamond"/>
        </w:rPr>
        <w:t xml:space="preserve">. </w:t>
      </w:r>
      <w:hyperlink r:id="rId23" w:history="1">
        <w:r w:rsidRPr="00047FF4">
          <w:rPr>
            <w:rStyle w:val="Hyperlink"/>
            <w:rFonts w:ascii="Garamond" w:hAnsi="Garamond"/>
          </w:rPr>
          <w:t>https://www.parliament.uk/globalassets/documents/lords-information-office/uk-parliament_-gender-sensitive-parliament-audit_report_digital.pdf</w:t>
        </w:r>
      </w:hyperlink>
      <w:r>
        <w:rPr>
          <w:rFonts w:ascii="Garamond" w:hAnsi="Garamond"/>
        </w:rPr>
        <w:t>.</w:t>
      </w:r>
    </w:p>
    <w:p w14:paraId="39DDA573" w14:textId="7075F88B" w:rsidR="004A5B8F" w:rsidRPr="00E729B7" w:rsidRDefault="004A5B8F" w:rsidP="00C51CD2">
      <w:pPr>
        <w:pStyle w:val="NormalWeb"/>
        <w:spacing w:before="120" w:beforeAutospacing="0" w:after="120" w:afterAutospacing="0" w:line="360" w:lineRule="auto"/>
        <w:rPr>
          <w:rFonts w:ascii="Garamond" w:eastAsiaTheme="minorHAnsi" w:hAnsi="Garamond"/>
          <w:lang w:eastAsia="en-US"/>
        </w:rPr>
      </w:pPr>
      <w:r w:rsidRPr="004A5B8F">
        <w:rPr>
          <w:rFonts w:ascii="Garamond" w:eastAsiaTheme="minorHAnsi" w:hAnsi="Garamond"/>
          <w:lang w:eastAsia="en-US"/>
        </w:rPr>
        <w:t xml:space="preserve">Venditti, </w:t>
      </w:r>
      <w:r>
        <w:rPr>
          <w:rFonts w:ascii="Garamond" w:eastAsiaTheme="minorHAnsi" w:hAnsi="Garamond"/>
          <w:lang w:eastAsia="en-US"/>
        </w:rPr>
        <w:t>V</w:t>
      </w:r>
      <w:r w:rsidRPr="004A5B8F">
        <w:rPr>
          <w:rFonts w:ascii="Garamond" w:eastAsiaTheme="minorHAnsi" w:hAnsi="Garamond"/>
          <w:lang w:eastAsia="en-US"/>
        </w:rPr>
        <w:t xml:space="preserve">. 2020. </w:t>
      </w:r>
      <w:r w:rsidR="00F77EC3">
        <w:rPr>
          <w:rFonts w:ascii="Garamond" w:eastAsiaTheme="minorHAnsi" w:hAnsi="Garamond"/>
          <w:lang w:eastAsia="en-US"/>
        </w:rPr>
        <w:t>“</w:t>
      </w:r>
      <w:r w:rsidRPr="004A5B8F">
        <w:rPr>
          <w:rFonts w:ascii="Garamond" w:eastAsiaTheme="minorHAnsi" w:hAnsi="Garamond"/>
          <w:lang w:eastAsia="en-US"/>
        </w:rPr>
        <w:t>Gender kaleidoscope: Diffracting legal approaches to reform gender binary</w:t>
      </w:r>
      <w:r w:rsidR="00F77EC3">
        <w:rPr>
          <w:rFonts w:ascii="Garamond" w:eastAsiaTheme="minorHAnsi" w:hAnsi="Garamond"/>
          <w:lang w:eastAsia="en-US"/>
        </w:rPr>
        <w:t>”</w:t>
      </w:r>
      <w:r w:rsidRPr="004A5B8F">
        <w:rPr>
          <w:rFonts w:ascii="Garamond" w:eastAsiaTheme="minorHAnsi" w:hAnsi="Garamond"/>
          <w:lang w:eastAsia="en-US"/>
        </w:rPr>
        <w:t xml:space="preserve">. </w:t>
      </w:r>
      <w:r w:rsidRPr="00F77EC3">
        <w:rPr>
          <w:rFonts w:ascii="Garamond" w:eastAsiaTheme="minorHAnsi" w:hAnsi="Garamond"/>
          <w:i/>
          <w:lang w:eastAsia="en-US"/>
        </w:rPr>
        <w:t>International Journal of Gender, Sexuality and Law</w:t>
      </w:r>
      <w:r w:rsidR="00F77EC3">
        <w:rPr>
          <w:rFonts w:ascii="Garamond" w:eastAsiaTheme="minorHAnsi" w:hAnsi="Garamond"/>
          <w:lang w:eastAsia="en-US"/>
        </w:rPr>
        <w:t xml:space="preserve"> 1</w:t>
      </w:r>
      <w:r w:rsidRPr="004A5B8F">
        <w:rPr>
          <w:rFonts w:ascii="Garamond" w:eastAsiaTheme="minorHAnsi" w:hAnsi="Garamond"/>
          <w:lang w:eastAsia="en-US"/>
        </w:rPr>
        <w:t>(1)</w:t>
      </w:r>
      <w:r w:rsidR="00682635">
        <w:rPr>
          <w:rFonts w:ascii="Garamond" w:eastAsiaTheme="minorHAnsi" w:hAnsi="Garamond"/>
          <w:lang w:eastAsia="en-US"/>
        </w:rPr>
        <w:t>.</w:t>
      </w:r>
      <w:r w:rsidRPr="004A5B8F">
        <w:rPr>
          <w:rFonts w:ascii="Garamond" w:eastAsiaTheme="minorHAnsi" w:hAnsi="Garamond"/>
          <w:lang w:eastAsia="en-US"/>
        </w:rPr>
        <w:t xml:space="preserve"> </w:t>
      </w:r>
      <w:hyperlink r:id="rId24" w:history="1">
        <w:r w:rsidRPr="0060227F">
          <w:rPr>
            <w:rStyle w:val="Hyperlink"/>
            <w:rFonts w:ascii="Garamond" w:eastAsiaTheme="minorHAnsi" w:hAnsi="Garamond"/>
            <w:lang w:eastAsia="en-US"/>
          </w:rPr>
          <w:t>https://www.northumbriajournals.co.uk/index.php/IJGSL/article/view/986</w:t>
        </w:r>
      </w:hyperlink>
      <w:r w:rsidRPr="004A5B8F">
        <w:rPr>
          <w:rFonts w:ascii="Garamond" w:eastAsiaTheme="minorHAnsi" w:hAnsi="Garamond"/>
          <w:lang w:eastAsia="en-US"/>
        </w:rPr>
        <w:t>.</w:t>
      </w:r>
      <w:r>
        <w:rPr>
          <w:rFonts w:ascii="Garamond" w:eastAsiaTheme="minorHAnsi" w:hAnsi="Garamond"/>
          <w:lang w:eastAsia="en-US"/>
        </w:rPr>
        <w:t xml:space="preserve"> </w:t>
      </w:r>
    </w:p>
    <w:bookmarkEnd w:id="28"/>
    <w:p w14:paraId="25AC07B0" w14:textId="723027A7" w:rsidR="00C51CD2" w:rsidRPr="007C61D2" w:rsidRDefault="00016B00" w:rsidP="00C51CD2">
      <w:pPr>
        <w:pStyle w:val="NormalWeb"/>
        <w:spacing w:before="120" w:beforeAutospacing="0" w:after="120" w:afterAutospacing="0" w:line="360" w:lineRule="auto"/>
        <w:rPr>
          <w:rFonts w:ascii="Garamond" w:hAnsi="Garamond"/>
        </w:rPr>
      </w:pPr>
      <w:r w:rsidRPr="007C61D2">
        <w:rPr>
          <w:rFonts w:ascii="Garamond" w:hAnsi="Garamond"/>
        </w:rPr>
        <w:t>Walby S. 2020. “Developing the concept of society: Institutional domains, regimes of inequalities and complex systems in a global era”</w:t>
      </w:r>
      <w:r w:rsidR="00ED0DC7" w:rsidRPr="007C61D2">
        <w:rPr>
          <w:rFonts w:ascii="Garamond" w:hAnsi="Garamond"/>
        </w:rPr>
        <w:t>.</w:t>
      </w:r>
      <w:r w:rsidRPr="007C61D2">
        <w:rPr>
          <w:rFonts w:ascii="Garamond" w:hAnsi="Garamond"/>
        </w:rPr>
        <w:t xml:space="preserve"> </w:t>
      </w:r>
      <w:r w:rsidRPr="007C61D2">
        <w:rPr>
          <w:rFonts w:ascii="Garamond" w:hAnsi="Garamond"/>
          <w:i/>
          <w:iCs/>
        </w:rPr>
        <w:t>Current Sociology</w:t>
      </w:r>
      <w:r w:rsidR="004A454B" w:rsidRPr="007C61D2">
        <w:rPr>
          <w:rFonts w:ascii="Garamond" w:hAnsi="Garamond"/>
        </w:rPr>
        <w:t>, 1-18.</w:t>
      </w:r>
    </w:p>
    <w:p w14:paraId="17817368" w14:textId="75EBEA38" w:rsidR="004D5F59" w:rsidRPr="007C61D2" w:rsidRDefault="004D5F59">
      <w:pPr>
        <w:pStyle w:val="NormalWeb"/>
        <w:spacing w:before="120" w:beforeAutospacing="0" w:after="120" w:afterAutospacing="0" w:line="360" w:lineRule="auto"/>
        <w:rPr>
          <w:rFonts w:ascii="Garamond" w:hAnsi="Garamond"/>
          <w:color w:val="000000"/>
        </w:rPr>
      </w:pPr>
      <w:r w:rsidRPr="007C61D2">
        <w:rPr>
          <w:rFonts w:ascii="Garamond" w:hAnsi="Garamond"/>
          <w:color w:val="000000"/>
        </w:rPr>
        <w:t xml:space="preserve">Waylen, G. </w:t>
      </w:r>
      <w:r w:rsidR="0066400E" w:rsidRPr="007C61D2">
        <w:rPr>
          <w:rFonts w:ascii="Garamond" w:hAnsi="Garamond"/>
          <w:color w:val="000000"/>
        </w:rPr>
        <w:t xml:space="preserve">2014. </w:t>
      </w:r>
      <w:r w:rsidR="00CF5EBE">
        <w:rPr>
          <w:rFonts w:ascii="Garamond" w:hAnsi="Garamond"/>
          <w:color w:val="000000"/>
        </w:rPr>
        <w:t>“</w:t>
      </w:r>
      <w:r w:rsidRPr="007C61D2">
        <w:rPr>
          <w:rFonts w:ascii="Garamond" w:hAnsi="Garamond"/>
          <w:color w:val="000000"/>
        </w:rPr>
        <w:t>Informal institutions, institutional ch</w:t>
      </w:r>
      <w:r w:rsidR="00CF5EBE">
        <w:rPr>
          <w:rFonts w:ascii="Garamond" w:hAnsi="Garamond"/>
          <w:color w:val="000000"/>
        </w:rPr>
        <w:t>ange, and gender equality”</w:t>
      </w:r>
      <w:r w:rsidR="00ED0DC7" w:rsidRPr="007C61D2">
        <w:rPr>
          <w:rFonts w:ascii="Garamond" w:hAnsi="Garamond"/>
          <w:color w:val="000000"/>
        </w:rPr>
        <w:t>.</w:t>
      </w:r>
      <w:r w:rsidRPr="007C61D2">
        <w:rPr>
          <w:rFonts w:ascii="Garamond" w:hAnsi="Garamond"/>
          <w:color w:val="000000"/>
        </w:rPr>
        <w:t xml:space="preserve"> </w:t>
      </w:r>
      <w:r w:rsidRPr="007C61D2">
        <w:rPr>
          <w:rFonts w:ascii="Garamond" w:hAnsi="Garamond"/>
          <w:i/>
          <w:iCs/>
          <w:color w:val="000000"/>
        </w:rPr>
        <w:t>Political Research Quarterly</w:t>
      </w:r>
      <w:r w:rsidRPr="007C61D2">
        <w:rPr>
          <w:rFonts w:ascii="Garamond" w:hAnsi="Garamond"/>
          <w:color w:val="000000"/>
        </w:rPr>
        <w:t xml:space="preserve"> 67(1): 212-223.</w:t>
      </w:r>
    </w:p>
    <w:p w14:paraId="7E9CDB07" w14:textId="198C0F36" w:rsidR="00551848" w:rsidRPr="007C61D2" w:rsidRDefault="00551848">
      <w:pPr>
        <w:pStyle w:val="NormalWeb"/>
        <w:spacing w:before="120" w:beforeAutospacing="0" w:after="120" w:afterAutospacing="0" w:line="360" w:lineRule="auto"/>
        <w:rPr>
          <w:rFonts w:ascii="Garamond" w:hAnsi="Garamond"/>
          <w:color w:val="000000"/>
        </w:rPr>
      </w:pPr>
      <w:r w:rsidRPr="007C61D2">
        <w:rPr>
          <w:rFonts w:ascii="Garamond" w:hAnsi="Garamond"/>
          <w:color w:val="000000"/>
        </w:rPr>
        <w:t xml:space="preserve">Weldon, S.L. 2002. </w:t>
      </w:r>
      <w:r w:rsidR="00C9234D">
        <w:rPr>
          <w:rFonts w:ascii="Garamond" w:hAnsi="Garamond"/>
          <w:color w:val="000000"/>
        </w:rPr>
        <w:t>“</w:t>
      </w:r>
      <w:r w:rsidRPr="007C61D2">
        <w:rPr>
          <w:rFonts w:ascii="Garamond" w:hAnsi="Garamond"/>
          <w:color w:val="000000"/>
        </w:rPr>
        <w:t>Beyond bodies: Institutional sources of representation for w</w:t>
      </w:r>
      <w:r w:rsidR="00C9234D">
        <w:rPr>
          <w:rFonts w:ascii="Garamond" w:hAnsi="Garamond"/>
          <w:color w:val="000000"/>
        </w:rPr>
        <w:t>omen in democratic policymaking”</w:t>
      </w:r>
      <w:r w:rsidR="003F0D57" w:rsidRPr="007C61D2">
        <w:rPr>
          <w:rFonts w:ascii="Garamond" w:hAnsi="Garamond"/>
          <w:color w:val="000000"/>
        </w:rPr>
        <w:t>.</w:t>
      </w:r>
      <w:r w:rsidRPr="007C61D2">
        <w:rPr>
          <w:rFonts w:ascii="Garamond" w:hAnsi="Garamond"/>
          <w:color w:val="000000"/>
        </w:rPr>
        <w:t xml:space="preserve"> </w:t>
      </w:r>
      <w:r w:rsidRPr="007C61D2">
        <w:rPr>
          <w:rFonts w:ascii="Garamond" w:hAnsi="Garamond"/>
          <w:i/>
          <w:iCs/>
          <w:color w:val="000000"/>
        </w:rPr>
        <w:t>The Journal of Politics</w:t>
      </w:r>
      <w:r w:rsidRPr="007C61D2">
        <w:rPr>
          <w:rFonts w:ascii="Garamond" w:hAnsi="Garamond"/>
          <w:color w:val="000000"/>
        </w:rPr>
        <w:t xml:space="preserve"> 64(4): 1153-1174.</w:t>
      </w:r>
    </w:p>
    <w:p w14:paraId="4FF10A7E" w14:textId="645F287D" w:rsidR="00E71F7A" w:rsidRPr="007C61D2" w:rsidRDefault="00E71F7A">
      <w:pPr>
        <w:spacing w:after="120" w:line="360" w:lineRule="auto"/>
        <w:jc w:val="both"/>
        <w:rPr>
          <w:rFonts w:ascii="Garamond" w:hAnsi="Garamond" w:cs="Times New Roman"/>
          <w:sz w:val="24"/>
          <w:szCs w:val="24"/>
        </w:rPr>
      </w:pPr>
      <w:r w:rsidRPr="007C61D2">
        <w:rPr>
          <w:rFonts w:ascii="Garamond" w:hAnsi="Garamond" w:cs="Times New Roman"/>
          <w:sz w:val="24"/>
          <w:szCs w:val="24"/>
        </w:rPr>
        <w:t xml:space="preserve">Werth, R. 2019. “Theorising the </w:t>
      </w:r>
      <w:r w:rsidR="00A20CD2" w:rsidRPr="007C61D2">
        <w:rPr>
          <w:rFonts w:ascii="Garamond" w:hAnsi="Garamond" w:cs="Times New Roman"/>
          <w:sz w:val="24"/>
          <w:szCs w:val="24"/>
        </w:rPr>
        <w:t>p</w:t>
      </w:r>
      <w:r w:rsidRPr="007C61D2">
        <w:rPr>
          <w:rFonts w:ascii="Garamond" w:hAnsi="Garamond" w:cs="Times New Roman"/>
          <w:sz w:val="24"/>
          <w:szCs w:val="24"/>
        </w:rPr>
        <w:t xml:space="preserve">erformative </w:t>
      </w:r>
      <w:r w:rsidR="00A20CD2" w:rsidRPr="007C61D2">
        <w:rPr>
          <w:rFonts w:ascii="Garamond" w:hAnsi="Garamond" w:cs="Times New Roman"/>
          <w:sz w:val="24"/>
          <w:szCs w:val="24"/>
        </w:rPr>
        <w:t>e</w:t>
      </w:r>
      <w:r w:rsidRPr="007C61D2">
        <w:rPr>
          <w:rFonts w:ascii="Garamond" w:hAnsi="Garamond" w:cs="Times New Roman"/>
          <w:sz w:val="24"/>
          <w:szCs w:val="24"/>
        </w:rPr>
        <w:t xml:space="preserve">ffects of </w:t>
      </w:r>
      <w:r w:rsidR="00A20CD2" w:rsidRPr="007C61D2">
        <w:rPr>
          <w:rFonts w:ascii="Garamond" w:hAnsi="Garamond" w:cs="Times New Roman"/>
          <w:sz w:val="24"/>
          <w:szCs w:val="24"/>
        </w:rPr>
        <w:t>p</w:t>
      </w:r>
      <w:r w:rsidRPr="007C61D2">
        <w:rPr>
          <w:rFonts w:ascii="Garamond" w:hAnsi="Garamond" w:cs="Times New Roman"/>
          <w:sz w:val="24"/>
          <w:szCs w:val="24"/>
        </w:rPr>
        <w:t xml:space="preserve">enal </w:t>
      </w:r>
      <w:r w:rsidR="00A20CD2" w:rsidRPr="007C61D2">
        <w:rPr>
          <w:rFonts w:ascii="Garamond" w:hAnsi="Garamond" w:cs="Times New Roman"/>
          <w:sz w:val="24"/>
          <w:szCs w:val="24"/>
        </w:rPr>
        <w:t>r</w:t>
      </w:r>
      <w:r w:rsidRPr="007C61D2">
        <w:rPr>
          <w:rFonts w:ascii="Garamond" w:hAnsi="Garamond" w:cs="Times New Roman"/>
          <w:sz w:val="24"/>
          <w:szCs w:val="24"/>
        </w:rPr>
        <w:t xml:space="preserve">isk </w:t>
      </w:r>
      <w:r w:rsidR="00A20CD2" w:rsidRPr="007C61D2">
        <w:rPr>
          <w:rFonts w:ascii="Garamond" w:hAnsi="Garamond" w:cs="Times New Roman"/>
          <w:sz w:val="24"/>
          <w:szCs w:val="24"/>
        </w:rPr>
        <w:t>t</w:t>
      </w:r>
      <w:r w:rsidRPr="007C61D2">
        <w:rPr>
          <w:rFonts w:ascii="Garamond" w:hAnsi="Garamond" w:cs="Times New Roman"/>
          <w:sz w:val="24"/>
          <w:szCs w:val="24"/>
        </w:rPr>
        <w:t xml:space="preserve">echnologies: (Re)producing the </w:t>
      </w:r>
      <w:r w:rsidR="00A20CD2" w:rsidRPr="007C61D2">
        <w:rPr>
          <w:rFonts w:ascii="Garamond" w:hAnsi="Garamond" w:cs="Times New Roman"/>
          <w:sz w:val="24"/>
          <w:szCs w:val="24"/>
        </w:rPr>
        <w:t>s</w:t>
      </w:r>
      <w:r w:rsidRPr="007C61D2">
        <w:rPr>
          <w:rFonts w:ascii="Garamond" w:hAnsi="Garamond" w:cs="Times New Roman"/>
          <w:sz w:val="24"/>
          <w:szCs w:val="24"/>
        </w:rPr>
        <w:t>ubject who must be dangerous”</w:t>
      </w:r>
      <w:r w:rsidR="003F0D57" w:rsidRPr="007C61D2">
        <w:rPr>
          <w:rFonts w:ascii="Garamond" w:hAnsi="Garamond" w:cs="Times New Roman"/>
          <w:sz w:val="24"/>
          <w:szCs w:val="24"/>
        </w:rPr>
        <w:t>.</w:t>
      </w:r>
      <w:r w:rsidRPr="007C61D2">
        <w:rPr>
          <w:rFonts w:ascii="Garamond" w:hAnsi="Garamond" w:cs="Times New Roman"/>
          <w:i/>
          <w:iCs/>
          <w:color w:val="333333"/>
          <w:sz w:val="24"/>
          <w:szCs w:val="24"/>
          <w:shd w:val="clear" w:color="auto" w:fill="FFFFFF"/>
        </w:rPr>
        <w:t xml:space="preserve"> Social &amp; Legal Studies</w:t>
      </w:r>
      <w:r w:rsidR="00AB2AF3" w:rsidRPr="007C61D2">
        <w:rPr>
          <w:rFonts w:ascii="Garamond" w:hAnsi="Garamond" w:cs="Times New Roman"/>
          <w:color w:val="333333"/>
          <w:sz w:val="24"/>
          <w:szCs w:val="24"/>
          <w:shd w:val="clear" w:color="auto" w:fill="FFFFFF"/>
        </w:rPr>
        <w:t xml:space="preserve"> </w:t>
      </w:r>
      <w:r w:rsidRPr="007C61D2">
        <w:rPr>
          <w:rFonts w:ascii="Garamond" w:hAnsi="Garamond" w:cs="Times New Roman"/>
          <w:iCs/>
          <w:color w:val="333333"/>
          <w:sz w:val="24"/>
          <w:szCs w:val="24"/>
          <w:shd w:val="clear" w:color="auto" w:fill="FFFFFF"/>
        </w:rPr>
        <w:t>28</w:t>
      </w:r>
      <w:r w:rsidRPr="007C61D2">
        <w:rPr>
          <w:rFonts w:ascii="Garamond" w:hAnsi="Garamond" w:cs="Times New Roman"/>
          <w:color w:val="333333"/>
          <w:sz w:val="24"/>
          <w:szCs w:val="24"/>
          <w:shd w:val="clear" w:color="auto" w:fill="FFFFFF"/>
        </w:rPr>
        <w:t>(3): 327–348.</w:t>
      </w:r>
    </w:p>
    <w:p w14:paraId="12CDFD65" w14:textId="5508313C" w:rsidR="005063C6" w:rsidRDefault="005063C6">
      <w:pPr>
        <w:pStyle w:val="NormalWeb"/>
        <w:spacing w:before="120" w:beforeAutospacing="0" w:after="120" w:afterAutospacing="0" w:line="360" w:lineRule="auto"/>
        <w:rPr>
          <w:rFonts w:ascii="Garamond" w:hAnsi="Garamond"/>
          <w:color w:val="000000"/>
        </w:rPr>
      </w:pPr>
      <w:r w:rsidRPr="007C61D2">
        <w:rPr>
          <w:rFonts w:ascii="Garamond" w:hAnsi="Garamond"/>
          <w:color w:val="000000"/>
        </w:rPr>
        <w:t>Wipfler, A</w:t>
      </w:r>
      <w:r w:rsidR="00C9234D">
        <w:rPr>
          <w:rFonts w:ascii="Garamond" w:hAnsi="Garamond"/>
          <w:color w:val="000000"/>
        </w:rPr>
        <w:t>.</w:t>
      </w:r>
      <w:r w:rsidRPr="007C61D2">
        <w:rPr>
          <w:rFonts w:ascii="Garamond" w:hAnsi="Garamond"/>
          <w:color w:val="000000"/>
        </w:rPr>
        <w:t xml:space="preserve">J. 2016. “Identity </w:t>
      </w:r>
      <w:r w:rsidR="003F0D57" w:rsidRPr="007C61D2">
        <w:rPr>
          <w:rFonts w:ascii="Garamond" w:hAnsi="Garamond"/>
          <w:color w:val="000000"/>
        </w:rPr>
        <w:t>c</w:t>
      </w:r>
      <w:r w:rsidRPr="007C61D2">
        <w:rPr>
          <w:rFonts w:ascii="Garamond" w:hAnsi="Garamond"/>
          <w:color w:val="000000"/>
        </w:rPr>
        <w:t xml:space="preserve">risis: The </w:t>
      </w:r>
      <w:r w:rsidR="003F0D57" w:rsidRPr="007C61D2">
        <w:rPr>
          <w:rFonts w:ascii="Garamond" w:hAnsi="Garamond"/>
          <w:color w:val="000000"/>
        </w:rPr>
        <w:t>l</w:t>
      </w:r>
      <w:r w:rsidRPr="007C61D2">
        <w:rPr>
          <w:rFonts w:ascii="Garamond" w:hAnsi="Garamond"/>
          <w:color w:val="000000"/>
        </w:rPr>
        <w:t xml:space="preserve">imitations of </w:t>
      </w:r>
      <w:r w:rsidR="003F0D57" w:rsidRPr="007C61D2">
        <w:rPr>
          <w:rFonts w:ascii="Garamond" w:hAnsi="Garamond"/>
          <w:color w:val="000000"/>
        </w:rPr>
        <w:t>e</w:t>
      </w:r>
      <w:r w:rsidRPr="007C61D2">
        <w:rPr>
          <w:rFonts w:ascii="Garamond" w:hAnsi="Garamond"/>
          <w:color w:val="000000"/>
        </w:rPr>
        <w:t xml:space="preserve">xpanding </w:t>
      </w:r>
      <w:r w:rsidR="003F0D57" w:rsidRPr="007C61D2">
        <w:rPr>
          <w:rFonts w:ascii="Garamond" w:hAnsi="Garamond"/>
          <w:color w:val="000000"/>
        </w:rPr>
        <w:t>g</w:t>
      </w:r>
      <w:r w:rsidRPr="007C61D2">
        <w:rPr>
          <w:rFonts w:ascii="Garamond" w:hAnsi="Garamond"/>
          <w:color w:val="000000"/>
        </w:rPr>
        <w:t xml:space="preserve">overnment </w:t>
      </w:r>
      <w:r w:rsidR="003F0D57" w:rsidRPr="007C61D2">
        <w:rPr>
          <w:rFonts w:ascii="Garamond" w:hAnsi="Garamond"/>
          <w:color w:val="000000"/>
        </w:rPr>
        <w:t>r</w:t>
      </w:r>
      <w:r w:rsidRPr="007C61D2">
        <w:rPr>
          <w:rFonts w:ascii="Garamond" w:hAnsi="Garamond"/>
          <w:color w:val="000000"/>
        </w:rPr>
        <w:t xml:space="preserve">ecognition of </w:t>
      </w:r>
      <w:r w:rsidR="003F0D57" w:rsidRPr="007C61D2">
        <w:rPr>
          <w:rFonts w:ascii="Garamond" w:hAnsi="Garamond"/>
          <w:color w:val="000000"/>
        </w:rPr>
        <w:t>g</w:t>
      </w:r>
      <w:r w:rsidRPr="007C61D2">
        <w:rPr>
          <w:rFonts w:ascii="Garamond" w:hAnsi="Garamond"/>
          <w:color w:val="000000"/>
        </w:rPr>
        <w:t xml:space="preserve">ender </w:t>
      </w:r>
      <w:r w:rsidR="003F0D57" w:rsidRPr="007C61D2">
        <w:rPr>
          <w:rFonts w:ascii="Garamond" w:hAnsi="Garamond"/>
          <w:color w:val="000000"/>
        </w:rPr>
        <w:t>i</w:t>
      </w:r>
      <w:r w:rsidRPr="007C61D2">
        <w:rPr>
          <w:rFonts w:ascii="Garamond" w:hAnsi="Garamond"/>
          <w:color w:val="000000"/>
        </w:rPr>
        <w:t xml:space="preserve">dentity and the </w:t>
      </w:r>
      <w:r w:rsidR="003F0D57" w:rsidRPr="007C61D2">
        <w:rPr>
          <w:rFonts w:ascii="Garamond" w:hAnsi="Garamond"/>
          <w:color w:val="000000"/>
        </w:rPr>
        <w:t>p</w:t>
      </w:r>
      <w:r w:rsidRPr="007C61D2">
        <w:rPr>
          <w:rFonts w:ascii="Garamond" w:hAnsi="Garamond"/>
          <w:color w:val="000000"/>
        </w:rPr>
        <w:t xml:space="preserve">ossibility of </w:t>
      </w:r>
      <w:r w:rsidR="003F0D57" w:rsidRPr="007C61D2">
        <w:rPr>
          <w:rFonts w:ascii="Garamond" w:hAnsi="Garamond"/>
          <w:color w:val="000000"/>
        </w:rPr>
        <w:t>g</w:t>
      </w:r>
      <w:r w:rsidRPr="007C61D2">
        <w:rPr>
          <w:rFonts w:ascii="Garamond" w:hAnsi="Garamond"/>
          <w:color w:val="000000"/>
        </w:rPr>
        <w:t xml:space="preserve">enderless </w:t>
      </w:r>
      <w:r w:rsidR="003F0D57" w:rsidRPr="007C61D2">
        <w:rPr>
          <w:rFonts w:ascii="Garamond" w:hAnsi="Garamond"/>
          <w:color w:val="000000"/>
        </w:rPr>
        <w:t>i</w:t>
      </w:r>
      <w:r w:rsidRPr="007C61D2">
        <w:rPr>
          <w:rFonts w:ascii="Garamond" w:hAnsi="Garamond"/>
          <w:color w:val="000000"/>
        </w:rPr>
        <w:t xml:space="preserve">dentity </w:t>
      </w:r>
      <w:r w:rsidR="003F0D57" w:rsidRPr="007C61D2">
        <w:rPr>
          <w:rFonts w:ascii="Garamond" w:hAnsi="Garamond"/>
          <w:color w:val="000000"/>
        </w:rPr>
        <w:t>d</w:t>
      </w:r>
      <w:r w:rsidRPr="007C61D2">
        <w:rPr>
          <w:rFonts w:ascii="Garamond" w:hAnsi="Garamond"/>
          <w:color w:val="000000"/>
        </w:rPr>
        <w:t xml:space="preserve">ocuments”. </w:t>
      </w:r>
      <w:r w:rsidRPr="007C61D2">
        <w:rPr>
          <w:rFonts w:ascii="Garamond" w:hAnsi="Garamond"/>
          <w:i/>
          <w:color w:val="000000"/>
        </w:rPr>
        <w:t>Harvard Journal of Law and Gender</w:t>
      </w:r>
      <w:r w:rsidRPr="007C61D2">
        <w:rPr>
          <w:rFonts w:ascii="Garamond" w:hAnsi="Garamond"/>
          <w:color w:val="000000"/>
        </w:rPr>
        <w:t xml:space="preserve"> 39: 491-554.</w:t>
      </w:r>
    </w:p>
    <w:p w14:paraId="3655A204" w14:textId="654AC0EE" w:rsidR="001C3EC8" w:rsidRPr="007C61D2" w:rsidRDefault="001C3EC8">
      <w:pPr>
        <w:pStyle w:val="NormalWeb"/>
        <w:spacing w:before="120" w:beforeAutospacing="0" w:after="120" w:afterAutospacing="0" w:line="360" w:lineRule="auto"/>
        <w:rPr>
          <w:rFonts w:ascii="Garamond" w:hAnsi="Garamond"/>
          <w:color w:val="000000"/>
        </w:rPr>
      </w:pPr>
      <w:r w:rsidRPr="007C61D2">
        <w:rPr>
          <w:rFonts w:ascii="Garamond" w:hAnsi="Garamond"/>
        </w:rPr>
        <w:t>Wome</w:t>
      </w:r>
      <w:r>
        <w:rPr>
          <w:rFonts w:ascii="Garamond" w:hAnsi="Garamond"/>
        </w:rPr>
        <w:t xml:space="preserve">n and Equalities Committee. 2016. </w:t>
      </w:r>
      <w:r w:rsidRPr="007C61D2">
        <w:rPr>
          <w:rFonts w:ascii="Garamond" w:hAnsi="Garamond"/>
          <w:i/>
          <w:iCs/>
        </w:rPr>
        <w:t>Transgender Equality</w:t>
      </w:r>
      <w:r w:rsidRPr="007C61D2">
        <w:rPr>
          <w:rFonts w:ascii="Garamond" w:hAnsi="Garamond"/>
        </w:rPr>
        <w:t xml:space="preserve">. </w:t>
      </w:r>
      <w:hyperlink r:id="rId25" w:history="1">
        <w:r w:rsidRPr="007C61D2">
          <w:rPr>
            <w:rFonts w:ascii="Garamond" w:hAnsi="Garamond"/>
            <w:color w:val="0000FF"/>
            <w:u w:val="single"/>
          </w:rPr>
          <w:t>https://publications.parliament.uk/pa/cm201516/cmselect/cmwomeq/390/390.pdf</w:t>
        </w:r>
      </w:hyperlink>
      <w:r w:rsidRPr="007C61D2">
        <w:rPr>
          <w:rFonts w:ascii="Garamond" w:hAnsi="Garamond"/>
        </w:rPr>
        <w:t>.</w:t>
      </w:r>
    </w:p>
    <w:p w14:paraId="7E469F09" w14:textId="74AC83B2" w:rsidR="00597848" w:rsidRPr="007C61D2" w:rsidRDefault="00597848">
      <w:pPr>
        <w:pStyle w:val="NormalWeb"/>
        <w:spacing w:before="120" w:beforeAutospacing="0" w:after="120" w:afterAutospacing="0" w:line="360" w:lineRule="auto"/>
        <w:rPr>
          <w:rFonts w:ascii="Garamond" w:hAnsi="Garamond"/>
          <w:iCs/>
          <w:color w:val="000000"/>
        </w:rPr>
      </w:pPr>
      <w:r w:rsidRPr="007C61D2">
        <w:rPr>
          <w:rFonts w:ascii="Garamond" w:eastAsiaTheme="minorHAnsi" w:hAnsi="Garamond"/>
          <w:lang w:eastAsia="en-US"/>
        </w:rPr>
        <w:t xml:space="preserve">Young, I.M. 1990. </w:t>
      </w:r>
      <w:r w:rsidRPr="007C61D2">
        <w:rPr>
          <w:rFonts w:ascii="Garamond" w:eastAsiaTheme="minorHAnsi" w:hAnsi="Garamond"/>
          <w:i/>
          <w:lang w:eastAsia="en-US"/>
        </w:rPr>
        <w:t xml:space="preserve">Justice and the Politics of Difference.  </w:t>
      </w:r>
      <w:r w:rsidRPr="007C61D2">
        <w:rPr>
          <w:rFonts w:ascii="Garamond" w:eastAsiaTheme="minorHAnsi" w:hAnsi="Garamond"/>
          <w:lang w:eastAsia="en-US"/>
        </w:rPr>
        <w:t>Princeton, New Jersey: Princeton University Press.</w:t>
      </w:r>
    </w:p>
    <w:p w14:paraId="08DFF6C8" w14:textId="77777777" w:rsidR="00554973" w:rsidRPr="007C61D2" w:rsidRDefault="00554973">
      <w:pPr>
        <w:shd w:val="clear" w:color="auto" w:fill="FFFFFF"/>
        <w:spacing w:before="120" w:after="120" w:line="360" w:lineRule="auto"/>
        <w:rPr>
          <w:rFonts w:ascii="Garamond" w:eastAsia="Times New Roman" w:hAnsi="Garamond" w:cs="Times New Roman"/>
          <w:sz w:val="24"/>
          <w:szCs w:val="24"/>
        </w:rPr>
      </w:pPr>
    </w:p>
    <w:sectPr w:rsidR="00554973" w:rsidRPr="007C61D2" w:rsidSect="00443968">
      <w:headerReference w:type="even" r:id="rId26"/>
      <w:headerReference w:type="default" r:id="rId27"/>
      <w:footerReference w:type="even"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58FB" w14:textId="77777777" w:rsidR="00294814" w:rsidRDefault="00294814" w:rsidP="00F14E65">
      <w:pPr>
        <w:spacing w:after="0" w:line="240" w:lineRule="auto"/>
      </w:pPr>
      <w:r>
        <w:separator/>
      </w:r>
    </w:p>
  </w:endnote>
  <w:endnote w:type="continuationSeparator" w:id="0">
    <w:p w14:paraId="1CA102C9" w14:textId="77777777" w:rsidR="00294814" w:rsidRDefault="00294814" w:rsidP="00F1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DD0C" w14:textId="3C42DBA6" w:rsidR="00443968" w:rsidRDefault="00443968">
    <w:pPr>
      <w:pStyle w:val="Footer"/>
      <w:jc w:val="center"/>
    </w:pPr>
    <w:r>
      <w:t>_____________________________________________________________________________________</w:t>
    </w:r>
  </w:p>
  <w:p w14:paraId="6BF14146" w14:textId="77777777" w:rsidR="00443968" w:rsidRDefault="00443968">
    <w:pPr>
      <w:pStyle w:val="Footer"/>
      <w:jc w:val="center"/>
    </w:pPr>
  </w:p>
  <w:p w14:paraId="77973D02" w14:textId="2B9CA2B6" w:rsidR="00443968" w:rsidRDefault="00294814">
    <w:pPr>
      <w:pStyle w:val="Footer"/>
      <w:jc w:val="center"/>
    </w:pPr>
    <w:sdt>
      <w:sdtPr>
        <w:id w:val="-2065938075"/>
        <w:docPartObj>
          <w:docPartGallery w:val="Page Numbers (Bottom of Page)"/>
          <w:docPartUnique/>
        </w:docPartObj>
      </w:sdtPr>
      <w:sdtEndPr>
        <w:rPr>
          <w:noProof/>
        </w:rPr>
      </w:sdtEndPr>
      <w:sdtContent>
        <w:r w:rsidR="00443968">
          <w:fldChar w:fldCharType="begin"/>
        </w:r>
        <w:r w:rsidR="00443968">
          <w:instrText xml:space="preserve"> PAGE   \* MERGEFORMAT </w:instrText>
        </w:r>
        <w:r w:rsidR="00443968">
          <w:fldChar w:fldCharType="separate"/>
        </w:r>
        <w:r w:rsidR="00924733">
          <w:rPr>
            <w:noProof/>
          </w:rPr>
          <w:t>36</w:t>
        </w:r>
        <w:r w:rsidR="00443968">
          <w:rPr>
            <w:noProof/>
          </w:rPr>
          <w:fldChar w:fldCharType="end"/>
        </w:r>
      </w:sdtContent>
    </w:sdt>
  </w:p>
  <w:p w14:paraId="23F188F8" w14:textId="77777777" w:rsidR="00443968" w:rsidRDefault="0044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E568" w14:textId="7A1F7EDD" w:rsidR="00443968" w:rsidRDefault="00443968">
    <w:pPr>
      <w:pStyle w:val="Footer"/>
      <w:jc w:val="center"/>
    </w:pPr>
    <w:r>
      <w:t>_____________________________________________________________________________________</w:t>
    </w:r>
  </w:p>
  <w:p w14:paraId="2552D9ED" w14:textId="77777777" w:rsidR="00443968" w:rsidRDefault="00443968">
    <w:pPr>
      <w:pStyle w:val="Footer"/>
      <w:jc w:val="center"/>
    </w:pPr>
  </w:p>
  <w:p w14:paraId="259B0E83" w14:textId="489A2729" w:rsidR="00443968" w:rsidRDefault="00294814">
    <w:pPr>
      <w:pStyle w:val="Footer"/>
      <w:jc w:val="center"/>
    </w:pPr>
    <w:sdt>
      <w:sdtPr>
        <w:id w:val="-524560580"/>
        <w:docPartObj>
          <w:docPartGallery w:val="Page Numbers (Bottom of Page)"/>
          <w:docPartUnique/>
        </w:docPartObj>
      </w:sdtPr>
      <w:sdtEndPr>
        <w:rPr>
          <w:noProof/>
        </w:rPr>
      </w:sdtEndPr>
      <w:sdtContent>
        <w:r w:rsidR="00443968">
          <w:fldChar w:fldCharType="begin"/>
        </w:r>
        <w:r w:rsidR="00443968">
          <w:instrText xml:space="preserve"> PAGE   \* MERGEFORMAT </w:instrText>
        </w:r>
        <w:r w:rsidR="00443968">
          <w:fldChar w:fldCharType="separate"/>
        </w:r>
        <w:r w:rsidR="00924733">
          <w:rPr>
            <w:noProof/>
          </w:rPr>
          <w:t>35</w:t>
        </w:r>
        <w:r w:rsidR="00443968">
          <w:rPr>
            <w:noProof/>
          </w:rPr>
          <w:fldChar w:fldCharType="end"/>
        </w:r>
      </w:sdtContent>
    </w:sdt>
  </w:p>
  <w:p w14:paraId="11FCFABE" w14:textId="77777777" w:rsidR="00F07544" w:rsidRDefault="00F0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4F1F" w14:textId="77777777" w:rsidR="00294814" w:rsidRDefault="00294814" w:rsidP="00F14E65">
      <w:pPr>
        <w:spacing w:after="0" w:line="240" w:lineRule="auto"/>
      </w:pPr>
      <w:r>
        <w:separator/>
      </w:r>
    </w:p>
  </w:footnote>
  <w:footnote w:type="continuationSeparator" w:id="0">
    <w:p w14:paraId="5F49DF29" w14:textId="77777777" w:rsidR="00294814" w:rsidRDefault="00294814" w:rsidP="00F14E65">
      <w:pPr>
        <w:spacing w:after="0" w:line="240" w:lineRule="auto"/>
      </w:pPr>
      <w:r>
        <w:continuationSeparator/>
      </w:r>
    </w:p>
  </w:footnote>
  <w:footnote w:id="1">
    <w:p w14:paraId="4652918F" w14:textId="0651E4A2" w:rsidR="00056662" w:rsidRPr="00056662" w:rsidRDefault="00056662">
      <w:pPr>
        <w:pStyle w:val="FootnoteText"/>
        <w:rPr>
          <w:rFonts w:ascii="Garamond" w:hAnsi="Garamond"/>
        </w:rPr>
      </w:pPr>
      <w:r>
        <w:rPr>
          <w:rStyle w:val="FootnoteReference"/>
        </w:rPr>
        <w:t>*</w:t>
      </w:r>
      <w:r>
        <w:t xml:space="preserve"> </w:t>
      </w:r>
      <w:r>
        <w:rPr>
          <w:rFonts w:ascii="Garamond" w:hAnsi="Garamond"/>
        </w:rPr>
        <w:t xml:space="preserve">Davina Cooper: Research Professor in Law, Dickson Poon School of Law, Kings College London, UK; email </w:t>
      </w:r>
      <w:hyperlink r:id="rId1" w:history="1">
        <w:r w:rsidRPr="00C81291">
          <w:rPr>
            <w:rStyle w:val="Hyperlink"/>
            <w:rFonts w:ascii="Garamond" w:hAnsi="Garamond"/>
          </w:rPr>
          <w:t>davina.cooper@kcl.ac.uk</w:t>
        </w:r>
      </w:hyperlink>
      <w:r>
        <w:rPr>
          <w:rFonts w:ascii="Garamond" w:hAnsi="Garamond"/>
        </w:rPr>
        <w:t xml:space="preserve"> (corresponding author); Robyn Emerton: Research Associate, Dickson Poon School of Law, Kings College London, UK; email </w:t>
      </w:r>
      <w:hyperlink r:id="rId2" w:history="1">
        <w:r w:rsidRPr="00C81291">
          <w:rPr>
            <w:rStyle w:val="Hyperlink"/>
            <w:rFonts w:ascii="Garamond" w:hAnsi="Garamond"/>
          </w:rPr>
          <w:t>robyn.emerton@kcl.ac.uk</w:t>
        </w:r>
      </w:hyperlink>
      <w:r>
        <w:rPr>
          <w:rFonts w:ascii="Garamond" w:hAnsi="Garamond"/>
        </w:rPr>
        <w:t xml:space="preserve">. </w:t>
      </w:r>
      <w:r w:rsidRPr="007C61D2">
        <w:rPr>
          <w:rFonts w:ascii="Garamond" w:hAnsi="Garamond" w:cs="Times New Roman"/>
        </w:rPr>
        <w:t xml:space="preserve">Thanks are due to the peer reviewers for </w:t>
      </w:r>
      <w:r w:rsidRPr="007C61D2">
        <w:rPr>
          <w:rFonts w:ascii="Garamond" w:hAnsi="Garamond" w:cs="Times New Roman"/>
          <w:i/>
          <w:iCs/>
        </w:rPr>
        <w:t xml:space="preserve">feminists@law </w:t>
      </w:r>
      <w:r w:rsidRPr="007C61D2">
        <w:rPr>
          <w:rFonts w:ascii="Garamond" w:hAnsi="Garamond" w:cs="Times New Roman"/>
        </w:rPr>
        <w:t>for their comments, to the other members of FLaG for their input (Flora Renz, Emily Grabham, Elizabeth Peel and Han</w:t>
      </w:r>
      <w:r>
        <w:rPr>
          <w:rFonts w:ascii="Garamond" w:hAnsi="Garamond" w:cs="Times New Roman"/>
        </w:rPr>
        <w:t>nah</w:t>
      </w:r>
      <w:r w:rsidRPr="007C61D2">
        <w:rPr>
          <w:rFonts w:ascii="Garamond" w:hAnsi="Garamond" w:cs="Times New Roman"/>
        </w:rPr>
        <w:t xml:space="preserve"> Newman), to Didi Herman for her feedback, and to the discussants on this paper, Ruth Fletcher and Ambreena Manji. This paper also benefited from comments and discussion following talks and lectures at UBC, Carleton, Osgoode, the LSE, Queen Mary, </w:t>
      </w:r>
      <w:r>
        <w:rPr>
          <w:rFonts w:ascii="Garamond" w:hAnsi="Garamond" w:cs="Times New Roman"/>
        </w:rPr>
        <w:t xml:space="preserve">the </w:t>
      </w:r>
      <w:r w:rsidRPr="007C61D2">
        <w:rPr>
          <w:rFonts w:ascii="Garamond" w:hAnsi="Garamond" w:cs="Times New Roman"/>
        </w:rPr>
        <w:t>University of Miami, and Emory. The research for this article was funded by the ESRC, award number ES/P008968/1.</w:t>
      </w:r>
    </w:p>
  </w:footnote>
  <w:footnote w:id="2">
    <w:p w14:paraId="424F08C5" w14:textId="0806C2E3" w:rsidR="00F07544" w:rsidRPr="007C61D2" w:rsidRDefault="00F07544" w:rsidP="00495C6D">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The use of sex/ gender terminology is heavily disputed. This article follows the approach adopted by FLaG in focusing on </w:t>
      </w:r>
      <w:r w:rsidRPr="007C61D2">
        <w:rPr>
          <w:rFonts w:ascii="Garamond" w:hAnsi="Garamond" w:cs="Times New Roman"/>
          <w:i/>
          <w:iCs/>
        </w:rPr>
        <w:t>gender</w:t>
      </w:r>
      <w:r w:rsidRPr="007C61D2">
        <w:rPr>
          <w:rFonts w:ascii="Garamond" w:hAnsi="Garamond" w:cs="Times New Roman"/>
        </w:rPr>
        <w:t xml:space="preserve"> as a socially manifested process. This process includes ‘sex’ as a key gender term, including in legislation. Legally and in public policy, the two terms of sex and gender are used unevenly – sometimes interchangeably, sometimes deliberately to distinguish </w:t>
      </w:r>
      <w:r>
        <w:rPr>
          <w:rFonts w:ascii="Garamond" w:hAnsi="Garamond" w:cs="Times New Roman"/>
        </w:rPr>
        <w:t xml:space="preserve">and separate features assumed to be biological </w:t>
      </w:r>
      <w:r w:rsidRPr="007C61D2">
        <w:rPr>
          <w:rFonts w:ascii="Garamond" w:hAnsi="Garamond" w:cs="Times New Roman"/>
        </w:rPr>
        <w:t xml:space="preserve">from </w:t>
      </w:r>
      <w:r>
        <w:rPr>
          <w:rFonts w:ascii="Garamond" w:hAnsi="Garamond" w:cs="Times New Roman"/>
        </w:rPr>
        <w:t xml:space="preserve">those defined as </w:t>
      </w:r>
      <w:r w:rsidRPr="007C61D2">
        <w:rPr>
          <w:rFonts w:ascii="Garamond" w:hAnsi="Garamond" w:cs="Times New Roman"/>
        </w:rPr>
        <w:t xml:space="preserve">social and cultural. We use sex/ gender to identify those instances where either the analysis or the claims we are discussing concern sex </w:t>
      </w:r>
      <w:r w:rsidRPr="00D41005">
        <w:rPr>
          <w:rFonts w:ascii="Garamond" w:hAnsi="Garamond" w:cs="Times New Roman"/>
          <w:i/>
          <w:iCs/>
        </w:rPr>
        <w:t>and</w:t>
      </w:r>
      <w:r w:rsidRPr="007C61D2">
        <w:rPr>
          <w:rFonts w:ascii="Garamond" w:hAnsi="Garamond" w:cs="Times New Roman"/>
        </w:rPr>
        <w:t xml:space="preserve"> gender. In some cases, this is because they are interconnected; in other cases, it is either because the analysis or claim made applies to both terms, or because views differ on which is the salient term.  </w:t>
      </w:r>
    </w:p>
  </w:footnote>
  <w:footnote w:id="3">
    <w:p w14:paraId="54927BAD" w14:textId="18CA10CE" w:rsidR="00F07544" w:rsidRPr="007C61D2" w:rsidRDefault="00F07544" w:rsidP="00572155">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the purposes of this discussion, we use the term “state” to identify the assemblage of largely official apparatuses involved in public governing and ruling; see also Manji (this issue). States are not unified agentic structures, and state agency is performed in different ways, including by apparatuses acting as if the state can speak. This aspect of the ESRC project builds on earlier work by Cooper (particularly 2019b; but see also 1994, 1995, 2016). Discussion in this paper approaches state law as one expression of, and device for, organising and producing state agency. </w:t>
      </w:r>
    </w:p>
  </w:footnote>
  <w:footnote w:id="4">
    <w:p w14:paraId="56682931" w14:textId="77777777" w:rsidR="00F07544" w:rsidRPr="007C61D2" w:rsidRDefault="00F07544" w:rsidP="00E80E31">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reasons of history and present-day devolution, the law in Scotland is different. However, where there is convergence, we use “Britain” to cover both jurisdictions. </w:t>
      </w:r>
    </w:p>
  </w:footnote>
  <w:footnote w:id="5">
    <w:p w14:paraId="328FB51E" w14:textId="5B8CEBA9"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We identify gender as an institutionalised, asymmetrical patterning, that remains anchored in the terms of male/ female and masculine/ feminine – these terms also have descriptive and referential salience for other gender identifications. </w:t>
      </w:r>
    </w:p>
  </w:footnote>
  <w:footnote w:id="6">
    <w:p w14:paraId="1AFCDB4B" w14:textId="551D68AB"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We selected interview</w:t>
      </w:r>
      <w:r>
        <w:rPr>
          <w:rFonts w:ascii="Garamond" w:hAnsi="Garamond" w:cs="Times New Roman"/>
        </w:rPr>
        <w:t>ee</w:t>
      </w:r>
      <w:r w:rsidRPr="007C61D2">
        <w:rPr>
          <w:rFonts w:ascii="Garamond" w:hAnsi="Garamond" w:cs="Times New Roman"/>
        </w:rPr>
        <w:t>s based on key sectors of interest (government, trade unions, gender-based NGOs, religious organisations, and social welfare sectors), using purposive sampling and snowballing.</w:t>
      </w:r>
    </w:p>
  </w:footnote>
  <w:footnote w:id="7">
    <w:p w14:paraId="416EC23F" w14:textId="377E3EA4"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We use the term “informalisation” to capture legal responses to gender that incorporate destandardisation, self-identification, lack of formalities, flexibility, and change. In other words, informalisation suggests a process in which sex/ gender are no longer recognised in fixed ways or through fixed processes. However, this does not mean that sex and gender no longer function as legal </w:t>
      </w:r>
      <w:r>
        <w:rPr>
          <w:rFonts w:ascii="Garamond" w:hAnsi="Garamond" w:cs="Times New Roman"/>
        </w:rPr>
        <w:t xml:space="preserve">(or legally recognised) </w:t>
      </w:r>
      <w:r w:rsidRPr="007C61D2">
        <w:rPr>
          <w:rFonts w:ascii="Garamond" w:hAnsi="Garamond" w:cs="Times New Roman"/>
        </w:rPr>
        <w:t xml:space="preserve">terms. </w:t>
      </w:r>
    </w:p>
  </w:footnote>
  <w:footnote w:id="8">
    <w:p w14:paraId="747F0F04" w14:textId="7AF147FB" w:rsidR="00F07544" w:rsidRPr="007C61D2" w:rsidRDefault="00F07544" w:rsidP="00F42C06">
      <w:pPr>
        <w:pStyle w:val="CommentText"/>
        <w:spacing w:after="0"/>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See for instance Iceland, which in June 2019 introduced a third gender option (X), available if people apply to change their legal gender; </w:t>
      </w:r>
      <w:hyperlink r:id="rId3" w:history="1">
        <w:r w:rsidRPr="007C61D2">
          <w:rPr>
            <w:rStyle w:val="Hyperlink"/>
            <w:rFonts w:ascii="Garamond" w:hAnsi="Garamond" w:cs="Times New Roman"/>
          </w:rPr>
          <w:t>https://www.pinknews.co.uk/2019/06/25/iceland-third-gender-trans-rights/</w:t>
        </w:r>
      </w:hyperlink>
      <w:r w:rsidRPr="007C61D2">
        <w:rPr>
          <w:rFonts w:ascii="Garamond" w:hAnsi="Garamond" w:cs="Times New Roman"/>
        </w:rPr>
        <w:t>. In the British context, see the Wome</w:t>
      </w:r>
      <w:r>
        <w:rPr>
          <w:rFonts w:ascii="Garamond" w:hAnsi="Garamond" w:cs="Times New Roman"/>
        </w:rPr>
        <w:t xml:space="preserve">n and Equalities Committee </w:t>
      </w:r>
      <w:r w:rsidRPr="007C61D2">
        <w:rPr>
          <w:rFonts w:ascii="Garamond" w:hAnsi="Garamond" w:cs="Times New Roman"/>
        </w:rPr>
        <w:t>(</w:t>
      </w:r>
      <w:r>
        <w:rPr>
          <w:rFonts w:ascii="Garamond" w:hAnsi="Garamond" w:cs="Times New Roman"/>
        </w:rPr>
        <w:t>2016:</w:t>
      </w:r>
      <w:r w:rsidRPr="007C61D2">
        <w:rPr>
          <w:rFonts w:ascii="Garamond" w:hAnsi="Garamond" w:cs="Times New Roman"/>
        </w:rPr>
        <w:t xml:space="preserve"> 11, para 31), which recommended: “The Government must look into the need to create a legal category for those people with a gender identity outside that which is binary and the full implications of this”</w:t>
      </w:r>
      <w:r>
        <w:rPr>
          <w:rFonts w:ascii="Garamond" w:hAnsi="Garamond" w:cs="Times New Roman"/>
        </w:rPr>
        <w:t>.</w:t>
      </w:r>
    </w:p>
  </w:footnote>
  <w:footnote w:id="9">
    <w:p w14:paraId="0BCCE424" w14:textId="1FC16712"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Currently, states vary on the procedures for identifying or changing gender in conditions where the gender category an individual takes up does not “match” their birth certificate entry. The question of match, however, is complicated by challenges to the notion that identifying birth sex as female, for instance, somehow can match (or straight-forwardly corresponds to) a later gender identity as woman or feminine; for discussion on the relationship between female and feminine, see Paechter </w:t>
      </w:r>
      <w:r>
        <w:rPr>
          <w:rFonts w:ascii="Garamond" w:hAnsi="Garamond" w:cs="Times New Roman"/>
        </w:rPr>
        <w:t>(</w:t>
      </w:r>
      <w:r w:rsidRPr="007C61D2">
        <w:rPr>
          <w:rFonts w:ascii="Garamond" w:hAnsi="Garamond" w:cs="Times New Roman"/>
        </w:rPr>
        <w:t>2006</w:t>
      </w:r>
      <w:r>
        <w:rPr>
          <w:rFonts w:ascii="Garamond" w:hAnsi="Garamond" w:cs="Times New Roman"/>
        </w:rPr>
        <w:t>)</w:t>
      </w:r>
      <w:r w:rsidRPr="007C61D2">
        <w:rPr>
          <w:rFonts w:ascii="Garamond" w:hAnsi="Garamond" w:cs="Times New Roman"/>
        </w:rPr>
        <w:t xml:space="preserve">.  </w:t>
      </w:r>
    </w:p>
  </w:footnote>
  <w:footnote w:id="10">
    <w:p w14:paraId="30FE7B1D" w14:textId="29E50AE6" w:rsidR="00F07544" w:rsidRPr="007C61D2" w:rsidRDefault="00F07544" w:rsidP="00A046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This may be because their gender designation is an unconventional one, or because they are perceived as unconventionally expressing a conventional gender designation. It may also result from socio-economic, sexualised, racialised, disability-based and other social relations that shape how gender is manifested and experienced in different contexts. </w:t>
      </w:r>
    </w:p>
  </w:footnote>
  <w:footnote w:id="11">
    <w:p w14:paraId="538DEEE2" w14:textId="3EAAC4FF" w:rsidR="00F07544" w:rsidRPr="007C61D2" w:rsidRDefault="00F07544" w:rsidP="00207687">
      <w:pPr>
        <w:pStyle w:val="CommentText"/>
        <w:spacing w:after="0"/>
        <w:contextualSpacing/>
        <w:rPr>
          <w:rFonts w:ascii="Garamond" w:hAnsi="Garamond" w:cs="Times New Roman"/>
        </w:rPr>
      </w:pPr>
      <w:r w:rsidRPr="007C61D2">
        <w:rPr>
          <w:rStyle w:val="FootnoteReference"/>
          <w:rFonts w:ascii="Garamond" w:hAnsi="Garamond" w:cs="Times New Roman"/>
        </w:rPr>
        <w:footnoteRef/>
      </w:r>
      <w:r>
        <w:rPr>
          <w:rFonts w:ascii="Garamond" w:hAnsi="Garamond" w:cs="Times New Roman"/>
        </w:rPr>
        <w:t xml:space="preserve"> This was recognis</w:t>
      </w:r>
      <w:r w:rsidRPr="007C61D2">
        <w:rPr>
          <w:rFonts w:ascii="Garamond" w:hAnsi="Garamond" w:cs="Times New Roman"/>
        </w:rPr>
        <w:t>ed e.g. by the Scottish government in its (first) consultation paper on the Gender Recognition Act 2004 (</w:t>
      </w:r>
      <w:r>
        <w:rPr>
          <w:rFonts w:ascii="Garamond" w:hAnsi="Garamond" w:cs="Times New Roman"/>
        </w:rPr>
        <w:t xml:space="preserve">2017: </w:t>
      </w:r>
      <w:r w:rsidRPr="007C61D2">
        <w:rPr>
          <w:rFonts w:ascii="Garamond" w:hAnsi="Garamond" w:cs="Times New Roman"/>
        </w:rPr>
        <w:t>paras 7.23-7.29)</w:t>
      </w:r>
      <w:r>
        <w:rPr>
          <w:rFonts w:ascii="Garamond" w:hAnsi="Garamond" w:cs="Times New Roman"/>
        </w:rPr>
        <w:t>.</w:t>
      </w:r>
      <w:r w:rsidRPr="007C61D2">
        <w:rPr>
          <w:rFonts w:ascii="Garamond" w:hAnsi="Garamond" w:cs="Times New Roman"/>
        </w:rPr>
        <w:t xml:space="preserve"> Cf. Dunne and Mulder </w:t>
      </w:r>
      <w:r>
        <w:rPr>
          <w:rFonts w:ascii="Garamond" w:hAnsi="Garamond" w:cs="Times New Roman"/>
        </w:rPr>
        <w:t>(</w:t>
      </w:r>
      <w:r w:rsidRPr="007C61D2">
        <w:rPr>
          <w:rFonts w:ascii="Garamond" w:hAnsi="Garamond" w:cs="Times New Roman"/>
        </w:rPr>
        <w:t>2018</w:t>
      </w:r>
      <w:r>
        <w:rPr>
          <w:rFonts w:ascii="Garamond" w:hAnsi="Garamond" w:cs="Times New Roman"/>
        </w:rPr>
        <w:t xml:space="preserve">: </w:t>
      </w:r>
      <w:r w:rsidRPr="007C61D2">
        <w:rPr>
          <w:rFonts w:ascii="Garamond" w:hAnsi="Garamond" w:cs="Times New Roman"/>
        </w:rPr>
        <w:t xml:space="preserve">645) re the possible implications for binary sex-based services and facilities given Germany’s new third legal category for intersex births. </w:t>
      </w:r>
      <w:r>
        <w:rPr>
          <w:rFonts w:ascii="Garamond" w:hAnsi="Garamond" w:cs="Times New Roman"/>
        </w:rPr>
        <w:t>Also Renz, this issue, on how schools try to adapt to non-binary pupils.</w:t>
      </w:r>
    </w:p>
  </w:footnote>
  <w:footnote w:id="12">
    <w:p w14:paraId="022FFF87" w14:textId="0947974B"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Such an imaginary of “equal-but-different” resonates with a liberal multicultural discourse of diversity that has also been heavily critiqued (e.g., Anthias 2002; Fortier 2008).</w:t>
      </w:r>
    </w:p>
  </w:footnote>
  <w:footnote w:id="13">
    <w:p w14:paraId="28DA1FBC" w14:textId="727EEE74" w:rsidR="00F07544" w:rsidRPr="007C61D2" w:rsidRDefault="00F07544">
      <w:pPr>
        <w:pStyle w:val="FootnoteText"/>
        <w:rPr>
          <w:rFonts w:ascii="Garamond" w:hAnsi="Garamond"/>
        </w:rPr>
      </w:pPr>
      <w:r w:rsidRPr="007C61D2">
        <w:rPr>
          <w:rStyle w:val="FootnoteReference"/>
          <w:rFonts w:ascii="Garamond" w:hAnsi="Garamond"/>
        </w:rPr>
        <w:footnoteRef/>
      </w:r>
      <w:r w:rsidRPr="007C61D2">
        <w:rPr>
          <w:rFonts w:ascii="Garamond" w:hAnsi="Garamond"/>
        </w:rPr>
        <w:t xml:space="preserve"> “Light/ strong” here describes the extent to which state law leaves itself able to recognise or attend to sex/ gender. It contrasts with the discussion of “soft” decertification (in Cooper, this issue), which focuses on the institutional form of informalisation, i.e., whether it is undertaken by state law, by other legal orders, by public bodies engaged in policy-making, or by grass-roots bodies and communities. </w:t>
      </w:r>
    </w:p>
  </w:footnote>
  <w:footnote w:id="14">
    <w:p w14:paraId="5EE82EE5" w14:textId="7A74B481" w:rsidR="00F07544" w:rsidRPr="007C61D2" w:rsidRDefault="00F07544" w:rsidP="00BA0816">
      <w:pPr>
        <w:spacing w:after="0"/>
        <w:rPr>
          <w:rFonts w:ascii="Garamond" w:hAnsi="Garamond" w:cs="Times New Roman"/>
          <w:sz w:val="20"/>
          <w:szCs w:val="20"/>
        </w:rPr>
      </w:pPr>
      <w:r w:rsidRPr="007C61D2">
        <w:rPr>
          <w:rStyle w:val="FootnoteReference"/>
          <w:rFonts w:ascii="Garamond" w:hAnsi="Garamond" w:cs="Times New Roman"/>
          <w:sz w:val="20"/>
          <w:szCs w:val="20"/>
        </w:rPr>
        <w:footnoteRef/>
      </w:r>
      <w:r w:rsidRPr="007C61D2">
        <w:rPr>
          <w:rFonts w:ascii="Garamond" w:hAnsi="Garamond" w:cs="Times New Roman"/>
          <w:sz w:val="20"/>
          <w:szCs w:val="20"/>
        </w:rPr>
        <w:t xml:space="preserve"> People continue to have a legal sex/gender status, however, even if it is not displayed on their birth certificate.</w:t>
      </w:r>
      <w:r w:rsidRPr="007C61D2">
        <w:rPr>
          <w:rFonts w:ascii="Garamond" w:eastAsia="Times New Roman" w:hAnsi="Garamond" w:cs="Times New Roman"/>
          <w:sz w:val="20"/>
          <w:szCs w:val="20"/>
        </w:rPr>
        <w:t xml:space="preserve"> Tasmanian law (amendments to the Births, Deaths and Marriages Registration Act 1999 (Tas) effective since Sept</w:t>
      </w:r>
      <w:r>
        <w:rPr>
          <w:rFonts w:ascii="Garamond" w:eastAsia="Times New Roman" w:hAnsi="Garamond" w:cs="Times New Roman"/>
          <w:sz w:val="20"/>
          <w:szCs w:val="20"/>
        </w:rPr>
        <w:t>ember</w:t>
      </w:r>
      <w:r w:rsidRPr="007C61D2">
        <w:rPr>
          <w:rFonts w:ascii="Garamond" w:eastAsia="Times New Roman" w:hAnsi="Garamond" w:cs="Times New Roman"/>
          <w:sz w:val="20"/>
          <w:szCs w:val="20"/>
        </w:rPr>
        <w:t xml:space="preserve"> 2019) also now enables </w:t>
      </w:r>
      <w:r>
        <w:rPr>
          <w:rFonts w:ascii="Garamond" w:eastAsia="Times New Roman" w:hAnsi="Garamond" w:cs="Times New Roman"/>
          <w:sz w:val="20"/>
          <w:szCs w:val="20"/>
        </w:rPr>
        <w:t>adults</w:t>
      </w:r>
      <w:r w:rsidRPr="007C61D2">
        <w:rPr>
          <w:rFonts w:ascii="Garamond" w:eastAsia="Times New Roman" w:hAnsi="Garamond" w:cs="Times New Roman"/>
          <w:sz w:val="20"/>
          <w:szCs w:val="20"/>
        </w:rPr>
        <w:t xml:space="preserve"> to register the</w:t>
      </w:r>
      <w:r>
        <w:rPr>
          <w:rFonts w:ascii="Garamond" w:eastAsia="Times New Roman" w:hAnsi="Garamond" w:cs="Times New Roman"/>
          <w:sz w:val="20"/>
          <w:szCs w:val="20"/>
        </w:rPr>
        <w:t>ir gender as “male”, “female”, “non-binary”, “indeterminate”, or “</w:t>
      </w:r>
      <w:r w:rsidRPr="007C61D2">
        <w:rPr>
          <w:rFonts w:ascii="Garamond" w:eastAsia="Times New Roman" w:hAnsi="Garamond" w:cs="Times New Roman"/>
          <w:sz w:val="20"/>
          <w:szCs w:val="20"/>
        </w:rPr>
        <w:t>neither exclusiv</w:t>
      </w:r>
      <w:r>
        <w:rPr>
          <w:rFonts w:ascii="Garamond" w:eastAsia="Times New Roman" w:hAnsi="Garamond" w:cs="Times New Roman"/>
          <w:sz w:val="20"/>
          <w:szCs w:val="20"/>
        </w:rPr>
        <w:t>ely female nor exclusively male”</w:t>
      </w:r>
      <w:r w:rsidRPr="007C61D2">
        <w:rPr>
          <w:rFonts w:ascii="Garamond" w:eastAsia="Times New Roman" w:hAnsi="Garamond" w:cs="Times New Roman"/>
          <w:sz w:val="20"/>
          <w:szCs w:val="20"/>
        </w:rPr>
        <w:t>. The difficulties with this formulation, in suggesting that male and female are themselves somehow “binary”, run through many of the frameworks adopted. See also</w:t>
      </w:r>
      <w:r>
        <w:rPr>
          <w:rFonts w:ascii="Garamond" w:eastAsia="Times New Roman" w:hAnsi="Garamond" w:cs="Times New Roman"/>
          <w:sz w:val="20"/>
          <w:szCs w:val="20"/>
        </w:rPr>
        <w:t xml:space="preserve"> Tasmania Law Reform Institute (2020).</w:t>
      </w:r>
    </w:p>
  </w:footnote>
  <w:footnote w:id="15">
    <w:p w14:paraId="4E0F01B3" w14:textId="066F24C2" w:rsidR="00F07544" w:rsidRPr="007C61D2" w:rsidRDefault="00F07544" w:rsidP="00BA0816">
      <w:pPr>
        <w:pStyle w:val="CommentText"/>
        <w:spacing w:after="0"/>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a parallel example, see attempts in France to remove race as a category from legislation and from the constitution, see </w:t>
      </w:r>
      <w:hyperlink r:id="rId4" w:history="1">
        <w:r w:rsidRPr="007C61D2">
          <w:rPr>
            <w:rStyle w:val="Hyperlink"/>
            <w:rFonts w:ascii="Garamond" w:hAnsi="Garamond" w:cs="Times New Roman"/>
          </w:rPr>
          <w:t>https://www.france24.com/en/20130517-no-such-thing-as-race-french-lawmakers-france-racism-hollande</w:t>
        </w:r>
      </w:hyperlink>
      <w:r w:rsidRPr="00366952">
        <w:rPr>
          <w:rStyle w:val="Hyperlink"/>
          <w:rFonts w:ascii="Garamond" w:hAnsi="Garamond" w:cs="Times New Roman"/>
          <w:color w:val="auto"/>
          <w:u w:val="none"/>
        </w:rPr>
        <w:t xml:space="preserve"> and</w:t>
      </w:r>
      <w:r w:rsidRPr="007C61D2">
        <w:rPr>
          <w:rStyle w:val="Hyperlink"/>
          <w:rFonts w:ascii="Garamond" w:hAnsi="Garamond" w:cs="Times New Roman"/>
        </w:rPr>
        <w:t xml:space="preserve"> http://constitutionnet.org/news/removing-race-and-adding-gender-french-constitution-constitutional-redundancy-and-symbols</w:t>
      </w:r>
      <w:r w:rsidRPr="007C61D2">
        <w:rPr>
          <w:rFonts w:ascii="Garamond" w:hAnsi="Garamond" w:cs="Times New Roman"/>
        </w:rPr>
        <w:t xml:space="preserve">. It is also unlawful to collect data on race or ethnic origin in France; see e.g. </w:t>
      </w:r>
      <w:hyperlink r:id="rId5" w:history="1">
        <w:r w:rsidRPr="007C61D2">
          <w:rPr>
            <w:rStyle w:val="Hyperlink"/>
            <w:rFonts w:ascii="Garamond" w:hAnsi="Garamond" w:cs="Times New Roman"/>
          </w:rPr>
          <w:t>https://www.economist.com/europe/2009/03/26/to-count-or-not-to-count</w:t>
        </w:r>
      </w:hyperlink>
      <w:r w:rsidRPr="007C61D2">
        <w:rPr>
          <w:rStyle w:val="Hyperlink"/>
          <w:rFonts w:ascii="Garamond" w:hAnsi="Garamond" w:cs="Times New Roman"/>
          <w:color w:val="auto"/>
          <w:u w:val="none"/>
        </w:rPr>
        <w:t>.</w:t>
      </w:r>
    </w:p>
  </w:footnote>
  <w:footnote w:id="16">
    <w:p w14:paraId="562317F6" w14:textId="3C96189E" w:rsidR="00F07544" w:rsidRPr="007C61D2" w:rsidRDefault="00F07544" w:rsidP="00B91B8F">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a related account of strong decertification as “disestablishment”, where state law and state bodies would assume a stance of neutrality between genders, and between gender and a lack of gender</w:t>
      </w:r>
      <w:r>
        <w:rPr>
          <w:rFonts w:ascii="Garamond" w:hAnsi="Garamond" w:cs="Times New Roman"/>
        </w:rPr>
        <w:t>,</w:t>
      </w:r>
      <w:r w:rsidRPr="007C61D2">
        <w:rPr>
          <w:rFonts w:ascii="Garamond" w:hAnsi="Garamond" w:cs="Times New Roman"/>
        </w:rPr>
        <w:t xml:space="preserve"> see Cruz </w:t>
      </w:r>
      <w:r>
        <w:rPr>
          <w:rFonts w:ascii="Garamond" w:hAnsi="Garamond" w:cs="Times New Roman"/>
        </w:rPr>
        <w:t>(</w:t>
      </w:r>
      <w:r w:rsidRPr="007C61D2">
        <w:rPr>
          <w:rFonts w:ascii="Garamond" w:hAnsi="Garamond" w:cs="Times New Roman"/>
        </w:rPr>
        <w:t>2002</w:t>
      </w:r>
      <w:r>
        <w:rPr>
          <w:rFonts w:ascii="Garamond" w:hAnsi="Garamond" w:cs="Times New Roman"/>
        </w:rPr>
        <w:t>)</w:t>
      </w:r>
      <w:r w:rsidRPr="007C61D2">
        <w:rPr>
          <w:rFonts w:ascii="Garamond" w:hAnsi="Garamond" w:cs="Times New Roman"/>
        </w:rPr>
        <w:t>.</w:t>
      </w:r>
    </w:p>
  </w:footnote>
  <w:footnote w:id="17">
    <w:p w14:paraId="3AF7A7EC" w14:textId="462B330E" w:rsidR="00F07544" w:rsidRPr="007C61D2" w:rsidRDefault="00F07544" w:rsidP="00B91B8F">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wider discussion on ways of reforming British equality law, both within the existing framework and in ways that do not rely on identity categories, see, e.g. Collins </w:t>
      </w:r>
      <w:r>
        <w:rPr>
          <w:rFonts w:ascii="Garamond" w:hAnsi="Garamond" w:cs="Times New Roman"/>
        </w:rPr>
        <w:t>(</w:t>
      </w:r>
      <w:r w:rsidRPr="007C61D2">
        <w:rPr>
          <w:rFonts w:ascii="Garamond" w:hAnsi="Garamond" w:cs="Times New Roman"/>
        </w:rPr>
        <w:t>2003</w:t>
      </w:r>
      <w:r>
        <w:rPr>
          <w:rFonts w:ascii="Garamond" w:hAnsi="Garamond" w:cs="Times New Roman"/>
        </w:rPr>
        <w:t>)</w:t>
      </w:r>
      <w:r w:rsidRPr="007C61D2">
        <w:rPr>
          <w:rFonts w:ascii="Garamond" w:hAnsi="Garamond" w:cs="Times New Roman"/>
        </w:rPr>
        <w:t xml:space="preserve">, Hepple </w:t>
      </w:r>
      <w:r w:rsidRPr="00C44AC7">
        <w:rPr>
          <w:rFonts w:ascii="Garamond" w:hAnsi="Garamond" w:cs="Times New Roman"/>
          <w:iCs/>
        </w:rPr>
        <w:t>et al</w:t>
      </w:r>
      <w:r>
        <w:rPr>
          <w:rFonts w:ascii="Garamond" w:hAnsi="Garamond" w:cs="Times New Roman"/>
        </w:rPr>
        <w:t>.</w:t>
      </w:r>
      <w:r w:rsidRPr="007C61D2">
        <w:rPr>
          <w:rFonts w:ascii="Garamond" w:hAnsi="Garamond" w:cs="Times New Roman"/>
        </w:rPr>
        <w:t xml:space="preserve"> </w:t>
      </w:r>
      <w:r>
        <w:rPr>
          <w:rFonts w:ascii="Garamond" w:hAnsi="Garamond" w:cs="Times New Roman"/>
        </w:rPr>
        <w:t>(</w:t>
      </w:r>
      <w:r w:rsidRPr="007C61D2">
        <w:rPr>
          <w:rFonts w:ascii="Garamond" w:hAnsi="Garamond" w:cs="Times New Roman"/>
        </w:rPr>
        <w:t>2000</w:t>
      </w:r>
      <w:r>
        <w:rPr>
          <w:rFonts w:ascii="Garamond" w:hAnsi="Garamond" w:cs="Times New Roman"/>
        </w:rPr>
        <w:t>)</w:t>
      </w:r>
      <w:r w:rsidRPr="007C61D2">
        <w:rPr>
          <w:rFonts w:ascii="Garamond" w:hAnsi="Garamond" w:cs="Times New Roman"/>
        </w:rPr>
        <w:t xml:space="preserve">, Hepple </w:t>
      </w:r>
      <w:r>
        <w:rPr>
          <w:rFonts w:ascii="Garamond" w:hAnsi="Garamond" w:cs="Times New Roman"/>
        </w:rPr>
        <w:t>(</w:t>
      </w:r>
      <w:r w:rsidRPr="007C61D2">
        <w:rPr>
          <w:rFonts w:ascii="Garamond" w:hAnsi="Garamond" w:cs="Times New Roman"/>
        </w:rPr>
        <w:t>2010</w:t>
      </w:r>
      <w:r>
        <w:rPr>
          <w:rFonts w:ascii="Garamond" w:hAnsi="Garamond" w:cs="Times New Roman"/>
        </w:rPr>
        <w:t>)</w:t>
      </w:r>
      <w:r w:rsidRPr="007C61D2">
        <w:rPr>
          <w:rFonts w:ascii="Garamond" w:hAnsi="Garamond" w:cs="Times New Roman"/>
        </w:rPr>
        <w:t xml:space="preserve"> and </w:t>
      </w:r>
      <w:r>
        <w:rPr>
          <w:rFonts w:ascii="Garamond" w:hAnsi="Garamond" w:cs="Times New Roman"/>
        </w:rPr>
        <w:t>(</w:t>
      </w:r>
      <w:r w:rsidRPr="007C61D2">
        <w:rPr>
          <w:rFonts w:ascii="Garamond" w:hAnsi="Garamond" w:cs="Times New Roman"/>
        </w:rPr>
        <w:t>2011</w:t>
      </w:r>
      <w:r>
        <w:rPr>
          <w:rFonts w:ascii="Garamond" w:hAnsi="Garamond" w:cs="Times New Roman"/>
        </w:rPr>
        <w:t>)</w:t>
      </w:r>
      <w:r w:rsidRPr="007C61D2">
        <w:rPr>
          <w:rFonts w:ascii="Garamond" w:hAnsi="Garamond" w:cs="Times New Roman"/>
        </w:rPr>
        <w:t xml:space="preserve">, Malleson </w:t>
      </w:r>
      <w:r>
        <w:rPr>
          <w:rFonts w:ascii="Garamond" w:hAnsi="Garamond" w:cs="Times New Roman"/>
        </w:rPr>
        <w:t>(</w:t>
      </w:r>
      <w:r w:rsidRPr="007C61D2">
        <w:rPr>
          <w:rFonts w:ascii="Garamond" w:hAnsi="Garamond" w:cs="Times New Roman"/>
        </w:rPr>
        <w:t>2018</w:t>
      </w:r>
      <w:r>
        <w:rPr>
          <w:rFonts w:ascii="Garamond" w:hAnsi="Garamond" w:cs="Times New Roman"/>
        </w:rPr>
        <w:t>)</w:t>
      </w:r>
      <w:r w:rsidRPr="007C61D2">
        <w:rPr>
          <w:rFonts w:ascii="Garamond" w:hAnsi="Garamond" w:cs="Times New Roman"/>
        </w:rPr>
        <w:t xml:space="preserve">, and Solanke </w:t>
      </w:r>
      <w:r>
        <w:rPr>
          <w:rFonts w:ascii="Garamond" w:hAnsi="Garamond" w:cs="Times New Roman"/>
        </w:rPr>
        <w:t>(</w:t>
      </w:r>
      <w:r w:rsidRPr="007C61D2">
        <w:rPr>
          <w:rFonts w:ascii="Garamond" w:hAnsi="Garamond" w:cs="Times New Roman"/>
        </w:rPr>
        <w:t>2019</w:t>
      </w:r>
      <w:r>
        <w:rPr>
          <w:rFonts w:ascii="Garamond" w:hAnsi="Garamond" w:cs="Times New Roman"/>
        </w:rPr>
        <w:t>)</w:t>
      </w:r>
      <w:r w:rsidRPr="007C61D2">
        <w:rPr>
          <w:rFonts w:ascii="Garamond" w:hAnsi="Garamond" w:cs="Times New Roman"/>
        </w:rPr>
        <w:t xml:space="preserve">.  </w:t>
      </w:r>
    </w:p>
  </w:footnote>
  <w:footnote w:id="18">
    <w:p w14:paraId="65A591EB" w14:textId="15E73C8A"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further discussion of state classification procedures and the effects on people who transition, see Davy </w:t>
      </w:r>
      <w:r>
        <w:rPr>
          <w:rFonts w:ascii="Garamond" w:hAnsi="Garamond" w:cs="Times New Roman"/>
        </w:rPr>
        <w:t>(</w:t>
      </w:r>
      <w:r w:rsidRPr="007C61D2">
        <w:rPr>
          <w:rFonts w:ascii="Garamond" w:hAnsi="Garamond" w:cs="Times New Roman"/>
        </w:rPr>
        <w:t>2010</w:t>
      </w:r>
      <w:r>
        <w:rPr>
          <w:rFonts w:ascii="Garamond" w:hAnsi="Garamond" w:cs="Times New Roman"/>
        </w:rPr>
        <w:t>),</w:t>
      </w:r>
      <w:r w:rsidRPr="007C61D2">
        <w:rPr>
          <w:rFonts w:ascii="Garamond" w:hAnsi="Garamond" w:cs="Times New Roman"/>
        </w:rPr>
        <w:t xml:space="preserve"> Hines </w:t>
      </w:r>
      <w:r>
        <w:rPr>
          <w:rFonts w:ascii="Garamond" w:hAnsi="Garamond" w:cs="Times New Roman"/>
        </w:rPr>
        <w:t>(</w:t>
      </w:r>
      <w:r w:rsidRPr="007C61D2">
        <w:rPr>
          <w:rFonts w:ascii="Garamond" w:hAnsi="Garamond" w:cs="Times New Roman"/>
        </w:rPr>
        <w:t>2010</w:t>
      </w:r>
      <w:r>
        <w:rPr>
          <w:rFonts w:ascii="Garamond" w:hAnsi="Garamond" w:cs="Times New Roman"/>
        </w:rPr>
        <w:t>)</w:t>
      </w:r>
      <w:r w:rsidRPr="007C61D2">
        <w:rPr>
          <w:rFonts w:ascii="Garamond" w:hAnsi="Garamond" w:cs="Times New Roman"/>
        </w:rPr>
        <w:t xml:space="preserve"> and </w:t>
      </w:r>
      <w:r>
        <w:rPr>
          <w:rFonts w:ascii="Garamond" w:hAnsi="Garamond" w:cs="Times New Roman"/>
        </w:rPr>
        <w:t>(2013: ch</w:t>
      </w:r>
      <w:r w:rsidRPr="007C61D2">
        <w:rPr>
          <w:rFonts w:ascii="Garamond" w:hAnsi="Garamond" w:cs="Times New Roman"/>
        </w:rPr>
        <w:t xml:space="preserve"> 4</w:t>
      </w:r>
      <w:r>
        <w:rPr>
          <w:rFonts w:ascii="Garamond" w:hAnsi="Garamond" w:cs="Times New Roman"/>
        </w:rPr>
        <w:t>),</w:t>
      </w:r>
      <w:r w:rsidRPr="007C61D2">
        <w:rPr>
          <w:rFonts w:ascii="Garamond" w:hAnsi="Garamond" w:cs="Times New Roman"/>
        </w:rPr>
        <w:t xml:space="preserve"> Renz </w:t>
      </w:r>
      <w:r>
        <w:rPr>
          <w:rFonts w:ascii="Garamond" w:hAnsi="Garamond" w:cs="Times New Roman"/>
        </w:rPr>
        <w:t>(</w:t>
      </w:r>
      <w:r w:rsidRPr="007C61D2">
        <w:rPr>
          <w:rFonts w:ascii="Garamond" w:hAnsi="Garamond" w:cs="Times New Roman"/>
        </w:rPr>
        <w:t>2017</w:t>
      </w:r>
      <w:r>
        <w:rPr>
          <w:rFonts w:ascii="Garamond" w:hAnsi="Garamond" w:cs="Times New Roman"/>
        </w:rPr>
        <w:t>),</w:t>
      </w:r>
      <w:r w:rsidRPr="007C61D2">
        <w:rPr>
          <w:rFonts w:ascii="Garamond" w:hAnsi="Garamond" w:cs="Times New Roman"/>
        </w:rPr>
        <w:t xml:space="preserve"> WEC </w:t>
      </w:r>
      <w:r>
        <w:rPr>
          <w:rFonts w:ascii="Garamond" w:hAnsi="Garamond" w:cs="Times New Roman"/>
        </w:rPr>
        <w:t>(</w:t>
      </w:r>
      <w:r w:rsidRPr="007C61D2">
        <w:rPr>
          <w:rFonts w:ascii="Garamond" w:hAnsi="Garamond" w:cs="Times New Roman"/>
        </w:rPr>
        <w:t>2016: 11-14</w:t>
      </w:r>
      <w:r>
        <w:rPr>
          <w:rFonts w:ascii="Garamond" w:hAnsi="Garamond" w:cs="Times New Roman"/>
        </w:rPr>
        <w:t>, paras 29-45),</w:t>
      </w:r>
      <w:r w:rsidRPr="007C61D2">
        <w:rPr>
          <w:rFonts w:ascii="Garamond" w:hAnsi="Garamond" w:cs="Times New Roman"/>
        </w:rPr>
        <w:t xml:space="preserve"> and, more generally, Spade </w:t>
      </w:r>
      <w:r>
        <w:rPr>
          <w:rFonts w:ascii="Garamond" w:hAnsi="Garamond" w:cs="Times New Roman"/>
        </w:rPr>
        <w:t>(</w:t>
      </w:r>
      <w:r w:rsidRPr="007C61D2">
        <w:rPr>
          <w:rFonts w:ascii="Garamond" w:hAnsi="Garamond" w:cs="Times New Roman"/>
        </w:rPr>
        <w:t>2003</w:t>
      </w:r>
      <w:r>
        <w:rPr>
          <w:rFonts w:ascii="Garamond" w:hAnsi="Garamond" w:cs="Times New Roman"/>
        </w:rPr>
        <w:t>)</w:t>
      </w:r>
      <w:r w:rsidRPr="007C61D2">
        <w:rPr>
          <w:rFonts w:ascii="Garamond" w:hAnsi="Garamond" w:cs="Times New Roman"/>
        </w:rPr>
        <w:t>.</w:t>
      </w:r>
    </w:p>
  </w:footnote>
  <w:footnote w:id="19">
    <w:p w14:paraId="398FDA1B" w14:textId="6C91E332" w:rsidR="00F07544" w:rsidRPr="007C61D2" w:rsidRDefault="00F07544" w:rsidP="00B62C26">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And, also, as one that precedes birth (as regulations in the Human Fertilisation and Embryology Act 2008 on restricting embryo sex selection demonstrate). </w:t>
      </w:r>
    </w:p>
  </w:footnote>
  <w:footnote w:id="20">
    <w:p w14:paraId="1EFDA217" w14:textId="063EF086" w:rsidR="00F07544" w:rsidRPr="007C61D2" w:rsidRDefault="00F07544" w:rsidP="00F54DB0">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The gendered character of harm also extends beyond humans as a species; for discussion which troubles the human/ animal boundary when it comes to understanding social processes and affective relations, see Riggs and Peel </w:t>
      </w:r>
      <w:r>
        <w:rPr>
          <w:rFonts w:ascii="Garamond" w:hAnsi="Garamond" w:cs="Times New Roman"/>
        </w:rPr>
        <w:t>(2016: ch</w:t>
      </w:r>
      <w:r w:rsidRPr="007C61D2">
        <w:rPr>
          <w:rFonts w:ascii="Garamond" w:hAnsi="Garamond" w:cs="Times New Roman"/>
        </w:rPr>
        <w:t xml:space="preserve"> 4</w:t>
      </w:r>
      <w:r>
        <w:rPr>
          <w:rFonts w:ascii="Garamond" w:hAnsi="Garamond" w:cs="Times New Roman"/>
        </w:rPr>
        <w:t>)</w:t>
      </w:r>
      <w:r w:rsidRPr="007C61D2">
        <w:rPr>
          <w:rFonts w:ascii="Garamond" w:hAnsi="Garamond" w:cs="Times New Roman"/>
        </w:rPr>
        <w:t xml:space="preserve">. </w:t>
      </w:r>
    </w:p>
  </w:footnote>
  <w:footnote w:id="21">
    <w:p w14:paraId="0B1F7A7E" w14:textId="2267E358" w:rsidR="00F07544" w:rsidRPr="007C61D2" w:rsidRDefault="00F07544" w:rsidP="00E30A8E">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further discussion from different perspectives, see Browne </w:t>
      </w:r>
      <w:r>
        <w:rPr>
          <w:rFonts w:ascii="Garamond" w:hAnsi="Garamond" w:cs="Times New Roman"/>
        </w:rPr>
        <w:t>(</w:t>
      </w:r>
      <w:r w:rsidRPr="007C61D2">
        <w:rPr>
          <w:rFonts w:ascii="Garamond" w:hAnsi="Garamond" w:cs="Times New Roman"/>
        </w:rPr>
        <w:t>2004</w:t>
      </w:r>
      <w:r>
        <w:rPr>
          <w:rFonts w:ascii="Garamond" w:hAnsi="Garamond" w:cs="Times New Roman"/>
        </w:rPr>
        <w:t>)</w:t>
      </w:r>
      <w:r w:rsidRPr="007C61D2">
        <w:rPr>
          <w:rFonts w:ascii="Garamond" w:hAnsi="Garamond" w:cs="Times New Roman"/>
        </w:rPr>
        <w:t xml:space="preserve">, Jeffreys </w:t>
      </w:r>
      <w:r>
        <w:rPr>
          <w:rFonts w:ascii="Garamond" w:hAnsi="Garamond" w:cs="Times New Roman"/>
        </w:rPr>
        <w:t>(</w:t>
      </w:r>
      <w:r w:rsidRPr="007C61D2">
        <w:rPr>
          <w:rFonts w:ascii="Garamond" w:hAnsi="Garamond" w:cs="Times New Roman"/>
        </w:rPr>
        <w:t>2014</w:t>
      </w:r>
      <w:r>
        <w:rPr>
          <w:rFonts w:ascii="Garamond" w:hAnsi="Garamond" w:cs="Times New Roman"/>
        </w:rPr>
        <w:t>)</w:t>
      </w:r>
      <w:r w:rsidRPr="007C61D2">
        <w:rPr>
          <w:rFonts w:ascii="Garamond" w:hAnsi="Garamond" w:cs="Times New Roman"/>
        </w:rPr>
        <w:t xml:space="preserve">, and Schilt and Westbrook </w:t>
      </w:r>
      <w:r>
        <w:rPr>
          <w:rFonts w:ascii="Garamond" w:hAnsi="Garamond" w:cs="Times New Roman"/>
        </w:rPr>
        <w:t>(</w:t>
      </w:r>
      <w:r w:rsidRPr="007C61D2">
        <w:rPr>
          <w:rFonts w:ascii="Garamond" w:hAnsi="Garamond" w:cs="Times New Roman"/>
        </w:rPr>
        <w:t>2015</w:t>
      </w:r>
      <w:r>
        <w:rPr>
          <w:rFonts w:ascii="Garamond" w:hAnsi="Garamond" w:cs="Times New Roman"/>
        </w:rPr>
        <w:t>)</w:t>
      </w:r>
      <w:r w:rsidRPr="007C61D2">
        <w:rPr>
          <w:rFonts w:ascii="Garamond" w:hAnsi="Garamond" w:cs="Times New Roman"/>
        </w:rPr>
        <w:t xml:space="preserve"> (the "bathroom issue”)</w:t>
      </w:r>
      <w:r>
        <w:rPr>
          <w:rFonts w:ascii="Garamond" w:hAnsi="Garamond" w:cs="Times New Roman"/>
        </w:rPr>
        <w:t>;</w:t>
      </w:r>
      <w:r w:rsidRPr="007C61D2">
        <w:rPr>
          <w:rFonts w:ascii="Garamond" w:hAnsi="Garamond" w:cs="Times New Roman"/>
        </w:rPr>
        <w:t xml:space="preserve"> Gottschalk </w:t>
      </w:r>
      <w:r>
        <w:rPr>
          <w:rFonts w:ascii="Garamond" w:hAnsi="Garamond" w:cs="Times New Roman"/>
        </w:rPr>
        <w:t>(</w:t>
      </w:r>
      <w:r w:rsidRPr="007C61D2">
        <w:rPr>
          <w:rFonts w:ascii="Garamond" w:hAnsi="Garamond" w:cs="Times New Roman"/>
        </w:rPr>
        <w:t>2009</w:t>
      </w:r>
      <w:r>
        <w:rPr>
          <w:rFonts w:ascii="Garamond" w:hAnsi="Garamond" w:cs="Times New Roman"/>
        </w:rPr>
        <w:t>)</w:t>
      </w:r>
      <w:r w:rsidRPr="007C61D2">
        <w:rPr>
          <w:rFonts w:ascii="Garamond" w:hAnsi="Garamond" w:cs="Times New Roman"/>
        </w:rPr>
        <w:t xml:space="preserve"> (women’s services)</w:t>
      </w:r>
      <w:r>
        <w:rPr>
          <w:rFonts w:ascii="Garamond" w:hAnsi="Garamond" w:cs="Times New Roman"/>
        </w:rPr>
        <w:t>;</w:t>
      </w:r>
      <w:r w:rsidRPr="007C61D2">
        <w:rPr>
          <w:rFonts w:ascii="Garamond" w:hAnsi="Garamond" w:cs="Times New Roman"/>
        </w:rPr>
        <w:t xml:space="preserve"> Lamble </w:t>
      </w:r>
      <w:r>
        <w:rPr>
          <w:rFonts w:ascii="Garamond" w:hAnsi="Garamond" w:cs="Times New Roman"/>
        </w:rPr>
        <w:t>(</w:t>
      </w:r>
      <w:r w:rsidRPr="007C61D2">
        <w:rPr>
          <w:rFonts w:ascii="Garamond" w:hAnsi="Garamond" w:cs="Times New Roman"/>
        </w:rPr>
        <w:t>2019</w:t>
      </w:r>
      <w:r>
        <w:rPr>
          <w:rFonts w:ascii="Garamond" w:hAnsi="Garamond" w:cs="Times New Roman"/>
        </w:rPr>
        <w:t>)</w:t>
      </w:r>
      <w:r w:rsidRPr="007C61D2">
        <w:rPr>
          <w:rFonts w:ascii="Garamond" w:hAnsi="Garamond" w:cs="Times New Roman"/>
        </w:rPr>
        <w:t xml:space="preserve">, Nellis </w:t>
      </w:r>
      <w:r>
        <w:rPr>
          <w:rFonts w:ascii="Garamond" w:hAnsi="Garamond" w:cs="Times New Roman"/>
        </w:rPr>
        <w:t>(</w:t>
      </w:r>
      <w:r w:rsidRPr="007C61D2">
        <w:rPr>
          <w:rFonts w:ascii="Garamond" w:hAnsi="Garamond" w:cs="Times New Roman"/>
        </w:rPr>
        <w:t>2019</w:t>
      </w:r>
      <w:r>
        <w:rPr>
          <w:rFonts w:ascii="Garamond" w:hAnsi="Garamond" w:cs="Times New Roman"/>
        </w:rPr>
        <w:t>)</w:t>
      </w:r>
      <w:r w:rsidRPr="007C61D2">
        <w:rPr>
          <w:rFonts w:ascii="Garamond" w:hAnsi="Garamond" w:cs="Times New Roman"/>
        </w:rPr>
        <w:t xml:space="preserve"> and Sharpe </w:t>
      </w:r>
      <w:r>
        <w:rPr>
          <w:rFonts w:ascii="Garamond" w:hAnsi="Garamond" w:cs="Times New Roman"/>
        </w:rPr>
        <w:t>(</w:t>
      </w:r>
      <w:r w:rsidRPr="007C61D2">
        <w:rPr>
          <w:rFonts w:ascii="Garamond" w:hAnsi="Garamond" w:cs="Times New Roman"/>
        </w:rPr>
        <w:t>2018</w:t>
      </w:r>
      <w:r>
        <w:rPr>
          <w:rFonts w:ascii="Garamond" w:hAnsi="Garamond" w:cs="Times New Roman"/>
        </w:rPr>
        <w:t>)</w:t>
      </w:r>
      <w:r w:rsidRPr="007C61D2">
        <w:rPr>
          <w:rFonts w:ascii="Garamond" w:hAnsi="Garamond" w:cs="Times New Roman"/>
        </w:rPr>
        <w:t xml:space="preserve"> (prisons)</w:t>
      </w:r>
      <w:r>
        <w:rPr>
          <w:rFonts w:ascii="Garamond" w:hAnsi="Garamond" w:cs="Times New Roman"/>
        </w:rPr>
        <w:t>;</w:t>
      </w:r>
      <w:r w:rsidRPr="007C61D2">
        <w:rPr>
          <w:rFonts w:ascii="Garamond" w:hAnsi="Garamond" w:cs="Times New Roman"/>
        </w:rPr>
        <w:t xml:space="preserve"> and, more generally, Dunne </w:t>
      </w:r>
      <w:r>
        <w:rPr>
          <w:rFonts w:ascii="Garamond" w:hAnsi="Garamond" w:cs="Times New Roman"/>
        </w:rPr>
        <w:t>(</w:t>
      </w:r>
      <w:r w:rsidRPr="007C61D2">
        <w:rPr>
          <w:rFonts w:ascii="Garamond" w:hAnsi="Garamond" w:cs="Times New Roman"/>
        </w:rPr>
        <w:t>2018</w:t>
      </w:r>
      <w:r>
        <w:rPr>
          <w:rFonts w:ascii="Garamond" w:hAnsi="Garamond" w:cs="Times New Roman"/>
        </w:rPr>
        <w:t>), Finlayson et al.</w:t>
      </w:r>
      <w:r w:rsidRPr="007C61D2">
        <w:rPr>
          <w:rFonts w:ascii="Garamond" w:hAnsi="Garamond" w:cs="Times New Roman"/>
        </w:rPr>
        <w:t xml:space="preserve"> </w:t>
      </w:r>
      <w:r>
        <w:rPr>
          <w:rFonts w:ascii="Garamond" w:hAnsi="Garamond" w:cs="Times New Roman"/>
        </w:rPr>
        <w:t>(</w:t>
      </w:r>
      <w:r w:rsidRPr="007C61D2">
        <w:rPr>
          <w:rFonts w:ascii="Garamond" w:hAnsi="Garamond" w:cs="Times New Roman"/>
        </w:rPr>
        <w:t>2018</w:t>
      </w:r>
      <w:r>
        <w:rPr>
          <w:rFonts w:ascii="Garamond" w:hAnsi="Garamond" w:cs="Times New Roman"/>
        </w:rPr>
        <w:t>)</w:t>
      </w:r>
      <w:r w:rsidRPr="007C61D2">
        <w:rPr>
          <w:rFonts w:ascii="Garamond" w:hAnsi="Garamond" w:cs="Times New Roman"/>
        </w:rPr>
        <w:t>.</w:t>
      </w:r>
    </w:p>
  </w:footnote>
  <w:footnote w:id="22">
    <w:p w14:paraId="5C675367" w14:textId="27EE0D70"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We use the term decertification rather than deregistration to emphasise the extended implications of no longer having a formal sex/ gender status. These, as we discuss, go beyond how people are known or described in official documents and data. </w:t>
      </w:r>
    </w:p>
  </w:footnote>
  <w:footnote w:id="23">
    <w:p w14:paraId="4DD2A62D" w14:textId="3BEB7D00"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They prefer the term “sex” to “gender” since it anchors women’s subordination in what they identify a</w:t>
      </w:r>
      <w:r>
        <w:rPr>
          <w:rFonts w:ascii="Garamond" w:hAnsi="Garamond" w:cs="Times New Roman"/>
        </w:rPr>
        <w:t>s a biologically immutable core;</w:t>
      </w:r>
      <w:r w:rsidRPr="007C61D2">
        <w:rPr>
          <w:rFonts w:ascii="Garamond" w:hAnsi="Garamond" w:cs="Times New Roman"/>
        </w:rPr>
        <w:t xml:space="preserve"> see also Cooper </w:t>
      </w:r>
      <w:r>
        <w:rPr>
          <w:rFonts w:ascii="Garamond" w:hAnsi="Garamond" w:cs="Times New Roman"/>
        </w:rPr>
        <w:t>(</w:t>
      </w:r>
      <w:r w:rsidRPr="007C61D2">
        <w:rPr>
          <w:rFonts w:ascii="Garamond" w:hAnsi="Garamond" w:cs="Times New Roman"/>
        </w:rPr>
        <w:t>2019a</w:t>
      </w:r>
      <w:r>
        <w:rPr>
          <w:rFonts w:ascii="Garamond" w:hAnsi="Garamond" w:cs="Times New Roman"/>
        </w:rPr>
        <w:t>)</w:t>
      </w:r>
      <w:r w:rsidRPr="007C61D2">
        <w:rPr>
          <w:rFonts w:ascii="Garamond" w:hAnsi="Garamond" w:cs="Times New Roman"/>
        </w:rPr>
        <w:t>.</w:t>
      </w:r>
    </w:p>
  </w:footnote>
  <w:footnote w:id="24">
    <w:p w14:paraId="595D0CDF" w14:textId="5DB2A550" w:rsidR="00F07544" w:rsidRPr="007C61D2" w:rsidRDefault="00F07544" w:rsidP="00042273">
      <w:pPr>
        <w:pStyle w:val="NormalWeb"/>
        <w:spacing w:before="0" w:beforeAutospacing="0" w:after="0" w:afterAutospacing="0"/>
        <w:rPr>
          <w:rFonts w:ascii="Garamond" w:hAnsi="Garamond"/>
          <w:sz w:val="20"/>
          <w:szCs w:val="20"/>
        </w:rPr>
      </w:pPr>
      <w:r w:rsidRPr="007C61D2">
        <w:rPr>
          <w:rStyle w:val="FootnoteReference"/>
          <w:rFonts w:ascii="Garamond" w:hAnsi="Garamond"/>
          <w:sz w:val="20"/>
          <w:szCs w:val="20"/>
        </w:rPr>
        <w:footnoteRef/>
      </w:r>
      <w:r w:rsidRPr="007C61D2">
        <w:rPr>
          <w:rFonts w:ascii="Garamond" w:hAnsi="Garamond"/>
          <w:sz w:val="20"/>
          <w:szCs w:val="20"/>
        </w:rPr>
        <w:t xml:space="preserve"> Karen Ingala Smith, CEO, Nia, oral evidence to WEC on how the Equality Act 2010 affects the operation of single-sex services, HC 1470, 22 May 2019 (at Q538), </w:t>
      </w:r>
      <w:hyperlink r:id="rId6" w:history="1">
        <w:r w:rsidRPr="007C61D2">
          <w:rPr>
            <w:rFonts w:ascii="Garamond" w:eastAsiaTheme="minorHAnsi" w:hAnsi="Garamond"/>
            <w:color w:val="0000FF"/>
            <w:sz w:val="20"/>
            <w:szCs w:val="20"/>
            <w:u w:val="single"/>
            <w:lang w:eastAsia="en-US"/>
          </w:rPr>
          <w:t>http://data.parliament.uk/writtenevidence/committeeevidence.svc/evidencedocument/women-and-equalities-committee/enforcing-the-equality-act-the-law-and-the-role-of-the-equality-and-human-rights-commission/oral/102570.html</w:t>
        </w:r>
      </w:hyperlink>
      <w:hyperlink w:history="1"/>
      <w:r w:rsidRPr="007C61D2">
        <w:rPr>
          <w:rFonts w:ascii="Garamond" w:hAnsi="Garamond"/>
          <w:color w:val="000000"/>
          <w:sz w:val="20"/>
          <w:szCs w:val="20"/>
        </w:rPr>
        <w:t xml:space="preserve">. </w:t>
      </w:r>
    </w:p>
  </w:footnote>
  <w:footnote w:id="25">
    <w:p w14:paraId="1DDDB018" w14:textId="39431A3B"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Less discussed was how affluence and poverty might structure experiences of same-sex/ gender provision. Affluence allows people to purchase privacy in many contexts, and it is striking that many of the spaces that decertification </w:t>
      </w:r>
      <w:r>
        <w:rPr>
          <w:rFonts w:ascii="Garamond" w:hAnsi="Garamond" w:cs="Times New Roman"/>
        </w:rPr>
        <w:t>might</w:t>
      </w:r>
      <w:r w:rsidRPr="007C61D2">
        <w:rPr>
          <w:rFonts w:ascii="Garamond" w:hAnsi="Garamond" w:cs="Times New Roman"/>
        </w:rPr>
        <w:t xml:space="preserve"> “mix”, such as hospital wards, hostels, immigration detention spaces, and prisons, are spaces of compelled or involuntary use, typically by poorer, more vulnerable populations.</w:t>
      </w:r>
    </w:p>
  </w:footnote>
  <w:footnote w:id="26">
    <w:p w14:paraId="348126A4" w14:textId="6828DF56" w:rsidR="00F07544" w:rsidRPr="007C61D2" w:rsidRDefault="00F07544" w:rsidP="00C44AC7">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analysis of the intersectional complexity of this, see Malleson (2018: 604-5). A similar voluntary tie-break provision operates in relation to appointments to the judiciary (Const</w:t>
      </w:r>
      <w:r>
        <w:rPr>
          <w:rFonts w:ascii="Garamond" w:hAnsi="Garamond" w:cs="Times New Roman"/>
        </w:rPr>
        <w:t>itutional Reform Act 2005, s.27</w:t>
      </w:r>
      <w:r w:rsidRPr="007C61D2">
        <w:rPr>
          <w:rFonts w:ascii="Garamond" w:hAnsi="Garamond" w:cs="Times New Roman"/>
        </w:rPr>
        <w:t>(5A), as inserted by the Crime and Courts Act 2013), although the application of the provision has been restricted, for the time being, to “race and gender” (Guidance on the JAC’s approach to diversity and equal merit</w:t>
      </w:r>
      <w:r>
        <w:rPr>
          <w:rFonts w:ascii="Garamond" w:hAnsi="Garamond" w:cs="Times New Roman"/>
        </w:rPr>
        <w:t>)</w:t>
      </w:r>
      <w:r w:rsidRPr="007C61D2">
        <w:rPr>
          <w:rFonts w:ascii="Garamond" w:hAnsi="Garamond" w:cs="Times New Roman"/>
        </w:rPr>
        <w:t>, updated Oct</w:t>
      </w:r>
      <w:r>
        <w:rPr>
          <w:rFonts w:ascii="Garamond" w:hAnsi="Garamond" w:cs="Times New Roman"/>
        </w:rPr>
        <w:t>ober</w:t>
      </w:r>
      <w:r w:rsidRPr="007C61D2">
        <w:rPr>
          <w:rFonts w:ascii="Garamond" w:hAnsi="Garamond" w:cs="Times New Roman"/>
        </w:rPr>
        <w:t xml:space="preserve"> 2019, </w:t>
      </w:r>
      <w:hyperlink r:id="rId7" w:history="1">
        <w:r w:rsidRPr="007C61D2">
          <w:rPr>
            <w:rFonts w:ascii="Garamond" w:hAnsi="Garamond" w:cs="Times New Roman"/>
            <w:color w:val="0000FF"/>
            <w:u w:val="single"/>
          </w:rPr>
          <w:t>https://www.judicialappointments.gov.uk/equal-merit</w:t>
        </w:r>
      </w:hyperlink>
      <w:r w:rsidRPr="007C61D2">
        <w:rPr>
          <w:rFonts w:ascii="Garamond" w:hAnsi="Garamond" w:cs="Times New Roman"/>
        </w:rPr>
        <w:t xml:space="preserve">.  </w:t>
      </w:r>
    </w:p>
  </w:footnote>
  <w:footnote w:id="27">
    <w:p w14:paraId="05720B62" w14:textId="030CCA93" w:rsidR="00F07544" w:rsidRPr="007C61D2" w:rsidRDefault="00F07544" w:rsidP="00A7258F">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See EHRC </w:t>
      </w:r>
      <w:r>
        <w:rPr>
          <w:rFonts w:ascii="Garamond" w:hAnsi="Garamond" w:cs="Times New Roman"/>
        </w:rPr>
        <w:t>(</w:t>
      </w:r>
      <w:r w:rsidRPr="007C61D2">
        <w:rPr>
          <w:rFonts w:ascii="Garamond" w:hAnsi="Garamond" w:cs="Times New Roman"/>
        </w:rPr>
        <w:t>2019) on the use of positive action to address under-representation of ethnic minority groups, disabled people</w:t>
      </w:r>
      <w:r>
        <w:rPr>
          <w:rFonts w:ascii="Garamond" w:hAnsi="Garamond" w:cs="Times New Roman"/>
        </w:rPr>
        <w:t>,</w:t>
      </w:r>
      <w:r w:rsidRPr="007C61D2">
        <w:rPr>
          <w:rFonts w:ascii="Garamond" w:hAnsi="Garamond" w:cs="Times New Roman"/>
        </w:rPr>
        <w:t xml:space="preserve"> and women in apprenticeships, alongside gender segregation in some sectors in which apprenticeships are undertaken.</w:t>
      </w:r>
    </w:p>
  </w:footnote>
  <w:footnote w:id="28">
    <w:p w14:paraId="7EDC4C6E" w14:textId="068959B3" w:rsidR="00F07544" w:rsidRPr="007C61D2" w:rsidRDefault="00F07544" w:rsidP="00C44AC7">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E.g. for the purposes of mandatory gender pay gap reporting, the Equality Act 2010 (Gender Pay Gap Information) Regulations 2017</w:t>
      </w:r>
      <w:r w:rsidRPr="007C61D2">
        <w:rPr>
          <w:rFonts w:ascii="Garamond" w:hAnsi="Garamond" w:cs="Times New Roman"/>
          <w:shd w:val="clear" w:color="auto" w:fill="FFFFFF"/>
        </w:rPr>
        <w:t xml:space="preserve"> requires relevant employers to report on differences, including between </w:t>
      </w:r>
      <w:r>
        <w:rPr>
          <w:rFonts w:ascii="Garamond" w:hAnsi="Garamond" w:cs="Times New Roman"/>
          <w:shd w:val="clear" w:color="auto" w:fill="FFFFFF"/>
        </w:rPr>
        <w:t>fe</w:t>
      </w:r>
      <w:r w:rsidRPr="007C61D2">
        <w:rPr>
          <w:rFonts w:ascii="Garamond" w:hAnsi="Garamond" w:cs="Times New Roman"/>
          <w:shd w:val="clear" w:color="auto" w:fill="FFFFFF"/>
        </w:rPr>
        <w:t xml:space="preserve">male and male employees’ rates of pay. Currently, to bring a claim for equal pay for equal work under the Equality Act 2010, a person must be able to show that they are “employed on work that is equal to the work that a comparator of the opposite sex does”, s. 64. For a critique of the lack of attention paid to the potential effects of gender self-determination on women’s sex discrimination and equal pay claims (especially as regards the comparator test), see Ludwig </w:t>
      </w:r>
      <w:r>
        <w:rPr>
          <w:rFonts w:ascii="Garamond" w:hAnsi="Garamond" w:cs="Times New Roman"/>
          <w:shd w:val="clear" w:color="auto" w:fill="FFFFFF"/>
        </w:rPr>
        <w:t>(</w:t>
      </w:r>
      <w:r w:rsidRPr="007C61D2">
        <w:rPr>
          <w:rFonts w:ascii="Garamond" w:hAnsi="Garamond" w:cs="Times New Roman"/>
          <w:shd w:val="clear" w:color="auto" w:fill="FFFFFF"/>
        </w:rPr>
        <w:t>2020</w:t>
      </w:r>
      <w:r>
        <w:rPr>
          <w:rFonts w:ascii="Garamond" w:hAnsi="Garamond" w:cs="Times New Roman"/>
          <w:shd w:val="clear" w:color="auto" w:fill="FFFFFF"/>
        </w:rPr>
        <w:t>)</w:t>
      </w:r>
      <w:r w:rsidRPr="007C61D2">
        <w:rPr>
          <w:rFonts w:ascii="Garamond" w:hAnsi="Garamond" w:cs="Times New Roman"/>
          <w:shd w:val="clear" w:color="auto" w:fill="FFFFFF"/>
        </w:rPr>
        <w:t>.</w:t>
      </w:r>
    </w:p>
  </w:footnote>
  <w:footnote w:id="29">
    <w:p w14:paraId="01268698" w14:textId="7641ADD2" w:rsidR="00F07544" w:rsidRPr="007C61D2" w:rsidRDefault="00F07544" w:rsidP="00C44AC7">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E.g., see t</w:t>
      </w:r>
      <w:r w:rsidRPr="007C61D2">
        <w:rPr>
          <w:rFonts w:ascii="Garamond" w:hAnsi="Garamond" w:cs="Times New Roman"/>
          <w:shd w:val="clear" w:color="auto" w:fill="FFFFFF"/>
        </w:rPr>
        <w:t xml:space="preserve">he government’s biennial </w:t>
      </w:r>
      <w:r w:rsidRPr="007C61D2">
        <w:rPr>
          <w:rFonts w:ascii="Garamond" w:hAnsi="Garamond" w:cs="Times New Roman"/>
          <w:i/>
          <w:shd w:val="clear" w:color="auto" w:fill="FFFFFF"/>
        </w:rPr>
        <w:t xml:space="preserve">Women and Criminal Justice Report.   </w:t>
      </w:r>
      <w:hyperlink r:id="rId8" w:history="1">
        <w:r w:rsidRPr="007C61D2">
          <w:rPr>
            <w:rFonts w:ascii="Garamond" w:hAnsi="Garamond" w:cs="Times New Roman"/>
            <w:color w:val="0000FF"/>
            <w:u w:val="single"/>
          </w:rPr>
          <w:t>https://www.gov.uk/government/statistics/women-and-the-criminal-justice-system-2017</w:t>
        </w:r>
      </w:hyperlink>
      <w:r w:rsidRPr="007C61D2">
        <w:rPr>
          <w:rFonts w:ascii="Garamond" w:hAnsi="Garamond" w:cs="Times New Roman"/>
        </w:rPr>
        <w:t xml:space="preserve">.  This </w:t>
      </w:r>
      <w:r w:rsidRPr="007C61D2">
        <w:rPr>
          <w:rFonts w:ascii="Garamond" w:hAnsi="Garamond" w:cs="Times New Roman"/>
          <w:shd w:val="clear" w:color="auto" w:fill="FFFFFF"/>
        </w:rPr>
        <w:t xml:space="preserve">compiles statistics from data sources across the UK, including police recorded crime, to provide “a combined perspective on the typical experiences of the different sex groups in England and Wales”. </w:t>
      </w:r>
      <w:r w:rsidRPr="007C61D2">
        <w:rPr>
          <w:rFonts w:ascii="Garamond" w:hAnsi="Garamond" w:cs="Times New Roman"/>
        </w:rPr>
        <w:t xml:space="preserve"> </w:t>
      </w:r>
    </w:p>
  </w:footnote>
  <w:footnote w:id="30">
    <w:p w14:paraId="133D18DF" w14:textId="1E365D45" w:rsidR="00F07544" w:rsidRPr="007C61D2" w:rsidRDefault="00F07544" w:rsidP="00E7108A">
      <w:pPr>
        <w:spacing w:after="0" w:line="240" w:lineRule="auto"/>
        <w:outlineLvl w:val="1"/>
        <w:rPr>
          <w:rFonts w:ascii="Garamond" w:hAnsi="Garamond" w:cs="Times New Roman"/>
          <w:sz w:val="20"/>
          <w:szCs w:val="20"/>
        </w:rPr>
      </w:pPr>
      <w:r w:rsidRPr="007C61D2">
        <w:rPr>
          <w:rStyle w:val="FootnoteReference"/>
          <w:rFonts w:ascii="Garamond" w:hAnsi="Garamond" w:cs="Times New Roman"/>
          <w:sz w:val="20"/>
          <w:szCs w:val="20"/>
        </w:rPr>
        <w:footnoteRef/>
      </w:r>
      <w:r w:rsidRPr="007C61D2">
        <w:rPr>
          <w:rFonts w:ascii="Garamond" w:hAnsi="Garamond" w:cs="Times New Roman"/>
          <w:sz w:val="20"/>
          <w:szCs w:val="20"/>
        </w:rPr>
        <w:t xml:space="preserve"> E.g., see</w:t>
      </w:r>
      <w:r w:rsidR="00AE4ACB">
        <w:rPr>
          <w:rFonts w:ascii="Garamond" w:hAnsi="Garamond" w:cs="Times New Roman"/>
          <w:sz w:val="20"/>
          <w:szCs w:val="20"/>
        </w:rPr>
        <w:t xml:space="preserve"> </w:t>
      </w:r>
      <w:hyperlink r:id="rId9" w:history="1">
        <w:r w:rsidRPr="007C61D2">
          <w:rPr>
            <w:rFonts w:ascii="Garamond" w:hAnsi="Garamond" w:cs="Times New Roman"/>
            <w:color w:val="0000FF"/>
            <w:sz w:val="20"/>
            <w:szCs w:val="20"/>
            <w:u w:val="single"/>
          </w:rPr>
          <w:t>https://www.theguardian.com/society/2018/mar/17/legal-challenge-to-labour-over-shortlists-and-transwomen</w:t>
        </w:r>
      </w:hyperlink>
      <w:r>
        <w:rPr>
          <w:rFonts w:ascii="Garamond" w:hAnsi="Garamond" w:cs="Times New Roman"/>
          <w:sz w:val="20"/>
          <w:szCs w:val="20"/>
        </w:rPr>
        <w:t>.</w:t>
      </w:r>
      <w:r w:rsidRPr="007C61D2">
        <w:rPr>
          <w:rFonts w:ascii="Garamond" w:hAnsi="Garamond" w:cs="Times New Roman"/>
          <w:sz w:val="20"/>
          <w:szCs w:val="20"/>
        </w:rPr>
        <w:t xml:space="preserve"> See also coverage of David Lewis’s suspension from the Labour Party for putting himself forward as a women’s officer on the provocatively claimed basis he self-identifies as a woman on Wednesdays, e.g. </w:t>
      </w:r>
      <w:bookmarkStart w:id="5" w:name="_Hlk48559467"/>
      <w:r w:rsidRPr="007C61D2">
        <w:rPr>
          <w:rFonts w:ascii="Garamond" w:hAnsi="Garamond" w:cs="Times New Roman"/>
          <w:sz w:val="20"/>
          <w:szCs w:val="20"/>
        </w:rPr>
        <w:fldChar w:fldCharType="begin"/>
      </w:r>
      <w:r w:rsidRPr="007C61D2">
        <w:rPr>
          <w:rFonts w:ascii="Garamond" w:hAnsi="Garamond" w:cs="Times New Roman"/>
          <w:sz w:val="20"/>
          <w:szCs w:val="20"/>
        </w:rPr>
        <w:instrText xml:space="preserve"> HYPERLINK "https://www.theguardian.com/politics/2018/may/23/labour-suspends-activist-challenging-gender-self-identification-policy" </w:instrText>
      </w:r>
      <w:r w:rsidRPr="007C61D2">
        <w:rPr>
          <w:rFonts w:ascii="Garamond" w:hAnsi="Garamond" w:cs="Times New Roman"/>
          <w:sz w:val="20"/>
          <w:szCs w:val="20"/>
        </w:rPr>
        <w:fldChar w:fldCharType="separate"/>
      </w:r>
      <w:r w:rsidRPr="007C61D2">
        <w:rPr>
          <w:rFonts w:ascii="Garamond" w:hAnsi="Garamond" w:cs="Times New Roman"/>
          <w:color w:val="0000FF"/>
          <w:sz w:val="20"/>
          <w:szCs w:val="20"/>
          <w:u w:val="single"/>
        </w:rPr>
        <w:t>https://www.theguardian.com/politics/2018/may/23/labour-suspends-activist-challenging-gender-self-identification-policy</w:t>
      </w:r>
      <w:r w:rsidRPr="007C61D2">
        <w:rPr>
          <w:rFonts w:ascii="Garamond" w:hAnsi="Garamond" w:cs="Times New Roman"/>
          <w:color w:val="0000FF"/>
          <w:sz w:val="20"/>
          <w:szCs w:val="20"/>
          <w:u w:val="single"/>
        </w:rPr>
        <w:fldChar w:fldCharType="end"/>
      </w:r>
      <w:r w:rsidRPr="007C61D2">
        <w:rPr>
          <w:rFonts w:ascii="Garamond" w:hAnsi="Garamond" w:cs="Times New Roman"/>
          <w:sz w:val="20"/>
          <w:szCs w:val="20"/>
        </w:rPr>
        <w:t xml:space="preserve"> and </w:t>
      </w:r>
      <w:hyperlink r:id="rId10" w:history="1">
        <w:r w:rsidRPr="007C61D2">
          <w:rPr>
            <w:rStyle w:val="Hyperlink"/>
            <w:rFonts w:ascii="Garamond" w:hAnsi="Garamond" w:cs="Times New Roman"/>
            <w:sz w:val="20"/>
            <w:szCs w:val="20"/>
          </w:rPr>
          <w:t>https://blogs.spectator.co.uk/2018/05/the-catch-22-of-labours-gender-policy/</w:t>
        </w:r>
      </w:hyperlink>
      <w:bookmarkEnd w:id="5"/>
      <w:r w:rsidRPr="007C61D2">
        <w:rPr>
          <w:rFonts w:ascii="Garamond" w:hAnsi="Garamond" w:cs="Times New Roman"/>
          <w:sz w:val="20"/>
          <w:szCs w:val="20"/>
        </w:rPr>
        <w:t xml:space="preserve">.  </w:t>
      </w:r>
      <w:hyperlink w:history="1"/>
    </w:p>
  </w:footnote>
  <w:footnote w:id="31">
    <w:p w14:paraId="7D284A41" w14:textId="1074E669" w:rsidR="00F07544" w:rsidRPr="007C61D2" w:rsidRDefault="00F07544" w:rsidP="00EC7795">
      <w:pPr>
        <w:pStyle w:val="FootnoteText"/>
        <w:rPr>
          <w:rFonts w:ascii="Garamond" w:hAnsi="Garamond" w:cs="Times New Roman"/>
        </w:rPr>
      </w:pPr>
      <w:r w:rsidRPr="007C61D2">
        <w:rPr>
          <w:rStyle w:val="FootnoteReference"/>
          <w:rFonts w:ascii="Garamond" w:hAnsi="Garamond" w:cs="Times New Roman"/>
        </w:rPr>
        <w:footnoteRef/>
      </w:r>
      <w:bookmarkStart w:id="6" w:name="_Hlk45042501"/>
      <w:r w:rsidRPr="007C61D2">
        <w:rPr>
          <w:rFonts w:ascii="Garamond" w:hAnsi="Garamond" w:cs="Times New Roman"/>
        </w:rPr>
        <w:t xml:space="preserve"> </w:t>
      </w:r>
      <w:bookmarkEnd w:id="6"/>
      <w:r w:rsidRPr="007C61D2">
        <w:rPr>
          <w:rFonts w:ascii="Garamond" w:hAnsi="Garamond" w:cs="Times New Roman"/>
        </w:rPr>
        <w:t xml:space="preserve">It includes a person </w:t>
      </w:r>
      <w:r w:rsidR="00AE4ACB">
        <w:rPr>
          <w:rFonts w:ascii="Garamond" w:hAnsi="Garamond" w:cs="Times New Roman"/>
        </w:rPr>
        <w:t xml:space="preserve">who is </w:t>
      </w:r>
      <w:r w:rsidRPr="007C61D2">
        <w:rPr>
          <w:rFonts w:ascii="Garamond" w:hAnsi="Garamond" w:cs="Times New Roman"/>
        </w:rPr>
        <w:t xml:space="preserve">“living as a woman and is proposing to undergo, is undergoing or has undergone a process (or part of a process) for </w:t>
      </w:r>
      <w:r>
        <w:rPr>
          <w:rFonts w:ascii="Garamond" w:hAnsi="Garamond" w:cs="Times New Roman"/>
        </w:rPr>
        <w:t>the purpose of becoming female”,</w:t>
      </w:r>
      <w:r w:rsidRPr="007C61D2">
        <w:rPr>
          <w:rFonts w:ascii="Garamond" w:hAnsi="Garamond" w:cs="Times New Roman"/>
        </w:rPr>
        <w:t xml:space="preserve"> and so “has the protected characteristic of gender reassignment (within the meaning of section 7 of the Equality </w:t>
      </w:r>
      <w:r>
        <w:rPr>
          <w:rFonts w:ascii="Garamond" w:hAnsi="Garamond" w:cs="Times New Roman"/>
        </w:rPr>
        <w:t>Act 2010)”,</w:t>
      </w:r>
      <w:r w:rsidRPr="007C61D2">
        <w:rPr>
          <w:rFonts w:ascii="Garamond" w:hAnsi="Garamond" w:cs="Times New Roman"/>
        </w:rPr>
        <w:t xml:space="preserve"> s. 2(c).  See, further, Sta</w:t>
      </w:r>
      <w:r>
        <w:rPr>
          <w:rFonts w:ascii="Garamond" w:hAnsi="Garamond" w:cs="Times New Roman"/>
        </w:rPr>
        <w:t>tutory Guidance, para 2.12-2.15:</w:t>
      </w:r>
      <w:r w:rsidRPr="007C61D2">
        <w:rPr>
          <w:rFonts w:ascii="Garamond" w:hAnsi="Garamond" w:cs="Times New Roman"/>
        </w:rPr>
        <w:t xml:space="preserve"> </w:t>
      </w:r>
      <w:hyperlink r:id="rId11" w:history="1">
        <w:r w:rsidRPr="007C61D2">
          <w:rPr>
            <w:rFonts w:ascii="Garamond" w:hAnsi="Garamond" w:cs="Times New Roman"/>
            <w:color w:val="0000FF"/>
            <w:u w:val="single"/>
          </w:rPr>
          <w:t>https://www.gov.scot/publications/gender-representation-public-boards-scotland-act-2018-statutory-guidance/</w:t>
        </w:r>
      </w:hyperlink>
      <w:r w:rsidRPr="007C61D2">
        <w:rPr>
          <w:rFonts w:ascii="Garamond" w:hAnsi="Garamond" w:cs="Times New Roman"/>
        </w:rPr>
        <w:t xml:space="preserve">. On criticism of a more expansive definition of “woman”, see </w:t>
      </w:r>
      <w:hyperlink r:id="rId12" w:history="1">
        <w:r w:rsidRPr="007C61D2">
          <w:rPr>
            <w:rStyle w:val="Hyperlink"/>
            <w:rFonts w:ascii="Garamond" w:hAnsi="Garamond" w:cs="Times New Roman"/>
          </w:rPr>
          <w:t>https://www.scotsman.com/news/politics/demands-change-definition-who-should-qualify-woman-scots-equality-law-2550073</w:t>
        </w:r>
      </w:hyperlink>
      <w:r w:rsidRPr="007C61D2">
        <w:rPr>
          <w:rFonts w:ascii="Garamond" w:hAnsi="Garamond" w:cs="Times New Roman"/>
        </w:rPr>
        <w:t xml:space="preserve">. </w:t>
      </w:r>
    </w:p>
  </w:footnote>
  <w:footnote w:id="32">
    <w:p w14:paraId="4D944EC8" w14:textId="5ABF9913"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Although, as Bailey (2008: 604) also notes, people may self-exclude from opportunities and benefits by not identifying with the targeted group or as disadvantaged people deserving benefits.</w:t>
      </w:r>
    </w:p>
  </w:footnote>
  <w:footnote w:id="33">
    <w:p w14:paraId="4D1F842E" w14:textId="37C1012A"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See NHS policy on delivering same-sex accommodation (2019: 5), “Non-permanent structure changes to the estate can support the delivery of same-sex accommodation where the partition is solid, opaque and floor to ceiling, and protects the privacy and dignity of the individual patient”, </w:t>
      </w:r>
      <w:hyperlink r:id="rId13" w:history="1">
        <w:r w:rsidRPr="007C61D2">
          <w:rPr>
            <w:rStyle w:val="Hyperlink"/>
            <w:rFonts w:ascii="Garamond" w:hAnsi="Garamond" w:cs="Times New Roman"/>
          </w:rPr>
          <w:t>https://improvement.nhs.uk/documents/6005/Delivering_same_sex_accommodation_sep2019.pdf</w:t>
        </w:r>
      </w:hyperlink>
      <w:r w:rsidRPr="007C61D2">
        <w:rPr>
          <w:rFonts w:ascii="Garamond" w:hAnsi="Garamond" w:cs="Times New Roman"/>
        </w:rPr>
        <w:t xml:space="preserve">. </w:t>
      </w:r>
    </w:p>
  </w:footnote>
  <w:footnote w:id="34">
    <w:p w14:paraId="29D08008" w14:textId="46DB4590"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The stress (and reliance) on privacy through physical modifications, flagged in this and some other interviews, suggest</w:t>
      </w:r>
      <w:r>
        <w:rPr>
          <w:rFonts w:ascii="Garamond" w:hAnsi="Garamond" w:cs="Times New Roman"/>
        </w:rPr>
        <w:t>s</w:t>
      </w:r>
      <w:r w:rsidRPr="007C61D2">
        <w:rPr>
          <w:rFonts w:ascii="Garamond" w:hAnsi="Garamond" w:cs="Times New Roman"/>
        </w:rPr>
        <w:t xml:space="preserve"> a move away from designing such spaces for observation – witnessed</w:t>
      </w:r>
      <w:r>
        <w:rPr>
          <w:rFonts w:ascii="Garamond" w:hAnsi="Garamond" w:cs="Times New Roman"/>
        </w:rPr>
        <w:t>, for instance,</w:t>
      </w:r>
      <w:r w:rsidRPr="007C61D2">
        <w:rPr>
          <w:rFonts w:ascii="Garamond" w:hAnsi="Garamond" w:cs="Times New Roman"/>
        </w:rPr>
        <w:t xml:space="preserve"> in the deliberate gaps around public toilet doors (see Cavanagh 2010). A related development can be seen in the extension of the criminal law to tackle “upskirting”, see Voyeurism (Offences) Act 2019 amending the Sexual Offences Act 2003.</w:t>
      </w:r>
    </w:p>
  </w:footnote>
  <w:footnote w:id="35">
    <w:p w14:paraId="6E30BB19" w14:textId="77777777" w:rsidR="00F07544" w:rsidRPr="007C61D2" w:rsidRDefault="00F07544" w:rsidP="007E5DF9">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Town/city name redacted to protect anonymity.</w:t>
      </w:r>
    </w:p>
  </w:footnote>
  <w:footnote w:id="36">
    <w:p w14:paraId="1196C04C" w14:textId="4B4590B4"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Linked also, in current discourse, to safeguarding, this can also have a spatial and procedural dimension as safe spaces, and orderly processes, are relied upon to organise (out) risk.  See also Ramsay (2017) on safe spaces and the Prevent programme/duty (</w:t>
      </w:r>
      <w:hyperlink r:id="rId14" w:history="1">
        <w:r w:rsidRPr="007C61D2">
          <w:rPr>
            <w:rFonts w:ascii="Garamond" w:hAnsi="Garamond" w:cs="Times New Roman"/>
            <w:color w:val="0000FF"/>
            <w:u w:val="single"/>
          </w:rPr>
          <w:t>https://www.gov.uk/government/publications/prevent-duty-guidance</w:t>
        </w:r>
      </w:hyperlink>
      <w:r w:rsidRPr="007C61D2">
        <w:rPr>
          <w:rFonts w:ascii="Garamond" w:hAnsi="Garamond" w:cs="Times New Roman"/>
        </w:rPr>
        <w:t>.</w:t>
      </w:r>
    </w:p>
  </w:footnote>
  <w:footnote w:id="37">
    <w:p w14:paraId="5681F25D" w14:textId="4665FBC4" w:rsidR="00F07544" w:rsidRPr="007C61D2" w:rsidRDefault="00F07544" w:rsidP="00A44771">
      <w:pPr>
        <w:pStyle w:val="CommentText"/>
        <w:spacing w:after="0"/>
        <w:rPr>
          <w:rFonts w:ascii="Garamond" w:hAnsi="Garamond" w:cs="Times New Roman"/>
        </w:rPr>
      </w:pPr>
      <w:r w:rsidRPr="007C61D2">
        <w:rPr>
          <w:rStyle w:val="FootnoteReference"/>
          <w:rFonts w:ascii="Garamond" w:hAnsi="Garamond" w:cs="Times New Roman"/>
        </w:rPr>
        <w:footnoteRef/>
      </w:r>
      <w:r>
        <w:rPr>
          <w:rFonts w:ascii="Garamond" w:hAnsi="Garamond" w:cs="Times New Roman"/>
        </w:rPr>
        <w:t xml:space="preserve"> </w:t>
      </w:r>
      <w:r w:rsidRPr="007C61D2">
        <w:rPr>
          <w:rFonts w:ascii="Garamond" w:hAnsi="Garamond" w:cs="Times New Roman"/>
        </w:rPr>
        <w:t>Ministry of Justic</w:t>
      </w:r>
      <w:r>
        <w:rPr>
          <w:rFonts w:ascii="Garamond" w:hAnsi="Garamond" w:cs="Times New Roman"/>
        </w:rPr>
        <w:t>e and HM</w:t>
      </w:r>
      <w:r w:rsidRPr="007C61D2">
        <w:rPr>
          <w:rFonts w:ascii="Garamond" w:hAnsi="Garamond" w:cs="Times New Roman"/>
        </w:rPr>
        <w:t xml:space="preserve"> Prison and Probation Service policy on </w:t>
      </w:r>
      <w:r w:rsidRPr="007C61D2">
        <w:rPr>
          <w:rFonts w:ascii="Garamond" w:hAnsi="Garamond" w:cs="Times New Roman"/>
          <w:i/>
          <w:iCs/>
        </w:rPr>
        <w:t>The Care and Management of Individuals who are Transgender</w:t>
      </w:r>
      <w:r w:rsidRPr="007C61D2">
        <w:rPr>
          <w:rFonts w:ascii="Garamond" w:hAnsi="Garamond" w:cs="Times New Roman"/>
        </w:rPr>
        <w:t xml:space="preserve"> (reissued 27 Jan</w:t>
      </w:r>
      <w:r>
        <w:rPr>
          <w:rFonts w:ascii="Garamond" w:hAnsi="Garamond" w:cs="Times New Roman"/>
        </w:rPr>
        <w:t>uary</w:t>
      </w:r>
      <w:r w:rsidRPr="007C61D2">
        <w:rPr>
          <w:rFonts w:ascii="Garamond" w:hAnsi="Garamond" w:cs="Times New Roman"/>
        </w:rPr>
        <w:t xml:space="preserve"> 2020), </w:t>
      </w:r>
      <w:hyperlink r:id="rId15" w:history="1">
        <w:r w:rsidRPr="007C61D2">
          <w:rPr>
            <w:rStyle w:val="Hyperlink"/>
            <w:rFonts w:ascii="Garamond" w:hAnsi="Garamond" w:cs="Times New Roman"/>
          </w:rPr>
          <w:t>https://assets.publishing.service.gov.uk/government/uploads/system/uploads/attachment_data/file/825621/transgender-pf.pdf</w:t>
        </w:r>
      </w:hyperlink>
      <w:r w:rsidRPr="007C61D2">
        <w:rPr>
          <w:rFonts w:ascii="Garamond" w:hAnsi="Garamond" w:cs="Times New Roman"/>
        </w:rPr>
        <w:t xml:space="preserve">. </w:t>
      </w:r>
    </w:p>
  </w:footnote>
  <w:footnote w:id="38">
    <w:p w14:paraId="7CE10C75" w14:textId="45C0977A" w:rsidR="00F07544" w:rsidRPr="007C61D2" w:rsidRDefault="00F07544" w:rsidP="0089680D">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Permitted organisational powers might depend on organisational size in terms of budget, membership or user numbers; whether the organisation provides a government-funded public service; its type of activity – campaigning or service provision; whether it is aimed at subordinate groups rather than dominant ones; or something else.  Legal assessment of these kinds of criteria</w:t>
      </w:r>
      <w:r>
        <w:rPr>
          <w:rFonts w:ascii="Garamond" w:hAnsi="Garamond" w:cs="Times New Roman"/>
        </w:rPr>
        <w:t>,</w:t>
      </w:r>
      <w:r w:rsidRPr="007C61D2">
        <w:rPr>
          <w:rFonts w:ascii="Garamond" w:hAnsi="Garamond" w:cs="Times New Roman"/>
        </w:rPr>
        <w:t xml:space="preserve"> in relation to organisational autonomy </w:t>
      </w:r>
      <w:r>
        <w:rPr>
          <w:rFonts w:ascii="Garamond" w:hAnsi="Garamond" w:cs="Times New Roman"/>
        </w:rPr>
        <w:t xml:space="preserve">to </w:t>
      </w:r>
      <w:r w:rsidRPr="007C61D2">
        <w:rPr>
          <w:rFonts w:ascii="Garamond" w:hAnsi="Garamond" w:cs="Times New Roman"/>
        </w:rPr>
        <w:t>defin</w:t>
      </w:r>
      <w:r>
        <w:rPr>
          <w:rFonts w:ascii="Garamond" w:hAnsi="Garamond" w:cs="Times New Roman"/>
        </w:rPr>
        <w:t xml:space="preserve">e </w:t>
      </w:r>
      <w:r w:rsidRPr="007C61D2">
        <w:rPr>
          <w:rFonts w:ascii="Garamond" w:hAnsi="Garamond" w:cs="Times New Roman"/>
        </w:rPr>
        <w:t xml:space="preserve">gender categories, arose in </w:t>
      </w:r>
      <w:r w:rsidRPr="007C61D2">
        <w:rPr>
          <w:rFonts w:ascii="Garamond" w:hAnsi="Garamond" w:cs="Times New Roman"/>
          <w:i/>
          <w:iCs/>
        </w:rPr>
        <w:t>Vancouver Rape Relief Society</w:t>
      </w:r>
      <w:r w:rsidRPr="007C61D2">
        <w:rPr>
          <w:rFonts w:ascii="Garamond" w:hAnsi="Garamond" w:cs="Times New Roman"/>
        </w:rPr>
        <w:t xml:space="preserve"> v. </w:t>
      </w:r>
      <w:r w:rsidRPr="007C61D2">
        <w:rPr>
          <w:rFonts w:ascii="Garamond" w:hAnsi="Garamond" w:cs="Times New Roman"/>
          <w:i/>
          <w:iCs/>
        </w:rPr>
        <w:t xml:space="preserve">Nixon </w:t>
      </w:r>
      <w:r w:rsidRPr="00A31E04">
        <w:rPr>
          <w:rFonts w:ascii="Garamond" w:hAnsi="Garamond" w:cs="Times New Roman"/>
          <w:i/>
          <w:iCs/>
        </w:rPr>
        <w:t>et al</w:t>
      </w:r>
      <w:r w:rsidRPr="00A31E04">
        <w:rPr>
          <w:rFonts w:ascii="Garamond" w:hAnsi="Garamond" w:cs="Times New Roman"/>
          <w:i/>
        </w:rPr>
        <w:t>.</w:t>
      </w:r>
      <w:r w:rsidRPr="007C61D2">
        <w:rPr>
          <w:rFonts w:ascii="Garamond" w:hAnsi="Garamond" w:cs="Times New Roman"/>
        </w:rPr>
        <w:t xml:space="preserve"> [20</w:t>
      </w:r>
      <w:r>
        <w:rPr>
          <w:rFonts w:ascii="Garamond" w:hAnsi="Garamond" w:cs="Times New Roman"/>
        </w:rPr>
        <w:t>05] BCCA 601; see, also, e.g., f</w:t>
      </w:r>
      <w:r w:rsidRPr="007C61D2">
        <w:rPr>
          <w:rFonts w:ascii="Garamond" w:hAnsi="Garamond" w:cs="Times New Roman"/>
        </w:rPr>
        <w:t xml:space="preserve">inlay </w:t>
      </w:r>
      <w:r>
        <w:rPr>
          <w:rFonts w:ascii="Garamond" w:hAnsi="Garamond" w:cs="Times New Roman"/>
        </w:rPr>
        <w:t>(</w:t>
      </w:r>
      <w:r w:rsidRPr="007C61D2">
        <w:rPr>
          <w:rFonts w:ascii="Garamond" w:hAnsi="Garamond" w:cs="Times New Roman"/>
        </w:rPr>
        <w:t>2003</w:t>
      </w:r>
      <w:r>
        <w:rPr>
          <w:rFonts w:ascii="Garamond" w:hAnsi="Garamond" w:cs="Times New Roman"/>
        </w:rPr>
        <w:t>)</w:t>
      </w:r>
      <w:r w:rsidRPr="007C61D2">
        <w:rPr>
          <w:rFonts w:ascii="Garamond" w:hAnsi="Garamond" w:cs="Times New Roman"/>
        </w:rPr>
        <w:t xml:space="preserve">. </w:t>
      </w:r>
    </w:p>
  </w:footnote>
  <w:footnote w:id="39">
    <w:p w14:paraId="4F7E8A88" w14:textId="087FEDCE" w:rsidR="00F07544" w:rsidRPr="007C61D2" w:rsidRDefault="00F07544" w:rsidP="00A32796">
      <w:pPr>
        <w:pStyle w:val="FootnoteText"/>
        <w:jc w:val="both"/>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This is a live contemporary issue generating litigation in contexts where religious bodies and communities, in particular, seek to exclude members who are deemed to lack the requisite social characteristics, such as being heterosexual or non-trans</w:t>
      </w:r>
      <w:r>
        <w:rPr>
          <w:rFonts w:ascii="Garamond" w:hAnsi="Garamond" w:cs="Times New Roman"/>
        </w:rPr>
        <w:t>,</w:t>
      </w:r>
      <w:r w:rsidRPr="007C61D2">
        <w:rPr>
          <w:rFonts w:ascii="Garamond" w:hAnsi="Garamond" w:cs="Times New Roman"/>
        </w:rPr>
        <w:t xml:space="preserve"> see Cooper </w:t>
      </w:r>
      <w:r>
        <w:rPr>
          <w:rFonts w:ascii="Garamond" w:hAnsi="Garamond" w:cs="Times New Roman"/>
        </w:rPr>
        <w:t>(</w:t>
      </w:r>
      <w:r w:rsidRPr="007C61D2">
        <w:rPr>
          <w:rFonts w:ascii="Garamond" w:hAnsi="Garamond" w:cs="Times New Roman"/>
        </w:rPr>
        <w:t>2019b</w:t>
      </w:r>
      <w:r>
        <w:rPr>
          <w:rFonts w:ascii="Garamond" w:hAnsi="Garamond" w:cs="Times New Roman"/>
        </w:rPr>
        <w:t>)</w:t>
      </w:r>
      <w:r w:rsidRPr="007C61D2">
        <w:rPr>
          <w:rFonts w:ascii="Garamond" w:hAnsi="Garamond" w:cs="Times New Roman"/>
        </w:rPr>
        <w:t xml:space="preserve">; </w:t>
      </w:r>
      <w:r>
        <w:rPr>
          <w:rFonts w:ascii="Garamond" w:hAnsi="Garamond" w:cs="Times New Roman"/>
        </w:rPr>
        <w:t xml:space="preserve">see </w:t>
      </w:r>
      <w:r w:rsidRPr="007C61D2">
        <w:rPr>
          <w:rFonts w:ascii="Garamond" w:hAnsi="Garamond" w:cs="Times New Roman"/>
        </w:rPr>
        <w:t xml:space="preserve">also </w:t>
      </w:r>
      <w:r w:rsidRPr="007C61D2">
        <w:rPr>
          <w:rFonts w:ascii="Garamond" w:hAnsi="Garamond" w:cs="Times New Roman"/>
          <w:i/>
          <w:iCs/>
        </w:rPr>
        <w:t>In The Matter of M (Children)</w:t>
      </w:r>
      <w:r w:rsidRPr="007C61D2">
        <w:rPr>
          <w:rFonts w:ascii="Garamond" w:hAnsi="Garamond" w:cs="Times New Roman"/>
        </w:rPr>
        <w:t xml:space="preserve"> [2017] EWCA Civ 2164 (appealing denial of contact for a transgender woman with her children in the orthodox Charedi community). </w:t>
      </w:r>
    </w:p>
  </w:footnote>
  <w:footnote w:id="40">
    <w:p w14:paraId="46155AD8" w14:textId="698D9B54"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This can be met by a change of name and pronouns, including on official documentation.</w:t>
      </w:r>
    </w:p>
  </w:footnote>
  <w:footnote w:id="41">
    <w:p w14:paraId="530A5CE8" w14:textId="5BFA6447" w:rsidR="00F07544" w:rsidRPr="007C61D2" w:rsidRDefault="00F07544" w:rsidP="002D6C78">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Although see </w:t>
      </w:r>
      <w:r w:rsidRPr="007C61D2">
        <w:rPr>
          <w:rFonts w:ascii="Garamond" w:hAnsi="Garamond" w:cs="Times New Roman"/>
          <w:i/>
          <w:iCs/>
          <w:color w:val="000000"/>
        </w:rPr>
        <w:t>R (</w:t>
      </w:r>
      <w:r>
        <w:rPr>
          <w:rFonts w:ascii="Garamond" w:hAnsi="Garamond" w:cs="Times New Roman"/>
          <w:i/>
          <w:iCs/>
          <w:color w:val="000000"/>
        </w:rPr>
        <w:t>o</w:t>
      </w:r>
      <w:r w:rsidRPr="007C61D2">
        <w:rPr>
          <w:rFonts w:ascii="Garamond" w:hAnsi="Garamond" w:cs="Times New Roman"/>
          <w:i/>
          <w:iCs/>
          <w:color w:val="000000"/>
        </w:rPr>
        <w:t>n the</w:t>
      </w:r>
      <w:r>
        <w:rPr>
          <w:rFonts w:ascii="Garamond" w:hAnsi="Garamond" w:cs="Times New Roman"/>
          <w:i/>
          <w:iCs/>
          <w:color w:val="000000"/>
        </w:rPr>
        <w:t xml:space="preserve"> application o</w:t>
      </w:r>
      <w:r w:rsidRPr="007C61D2">
        <w:rPr>
          <w:rFonts w:ascii="Garamond" w:hAnsi="Garamond" w:cs="Times New Roman"/>
          <w:i/>
          <w:iCs/>
          <w:color w:val="000000"/>
        </w:rPr>
        <w:t xml:space="preserve">f </w:t>
      </w:r>
      <w:r>
        <w:rPr>
          <w:rFonts w:ascii="Garamond" w:hAnsi="Garamond" w:cs="Times New Roman"/>
          <w:i/>
          <w:iCs/>
          <w:color w:val="000000"/>
        </w:rPr>
        <w:t>McConnell &amp; Anor)</w:t>
      </w:r>
      <w:r w:rsidRPr="007C61D2">
        <w:rPr>
          <w:rFonts w:ascii="Garamond" w:hAnsi="Garamond" w:cs="Times New Roman"/>
          <w:i/>
          <w:iCs/>
          <w:color w:val="000000"/>
        </w:rPr>
        <w:t xml:space="preserve"> </w:t>
      </w:r>
      <w:r>
        <w:rPr>
          <w:rFonts w:ascii="Garamond" w:hAnsi="Garamond" w:cs="Times New Roman"/>
          <w:iCs/>
          <w:color w:val="000000"/>
        </w:rPr>
        <w:t>v.</w:t>
      </w:r>
      <w:r w:rsidRPr="007C61D2">
        <w:rPr>
          <w:rFonts w:ascii="Garamond" w:hAnsi="Garamond" w:cs="Times New Roman"/>
          <w:i/>
          <w:iCs/>
          <w:color w:val="000000"/>
        </w:rPr>
        <w:t xml:space="preserve"> The Registrar General for England and Wales</w:t>
      </w:r>
      <w:r w:rsidRPr="007C61D2">
        <w:rPr>
          <w:rFonts w:ascii="Garamond" w:hAnsi="Garamond" w:cs="Times New Roman"/>
          <w:color w:val="000000"/>
        </w:rPr>
        <w:t xml:space="preserve"> [2020] EWCA Civ 559, upholding the ruling in </w:t>
      </w:r>
      <w:r w:rsidRPr="007C61D2">
        <w:rPr>
          <w:rFonts w:ascii="Garamond" w:hAnsi="Garamond" w:cs="Times New Roman"/>
          <w:i/>
          <w:iCs/>
        </w:rPr>
        <w:t>R (On the application of TT)</w:t>
      </w:r>
      <w:r>
        <w:rPr>
          <w:rFonts w:ascii="Garamond" w:hAnsi="Garamond" w:cs="Times New Roman"/>
        </w:rPr>
        <w:t xml:space="preserve"> v.</w:t>
      </w:r>
      <w:r w:rsidRPr="007C61D2">
        <w:rPr>
          <w:rFonts w:ascii="Garamond" w:hAnsi="Garamond" w:cs="Times New Roman"/>
        </w:rPr>
        <w:t xml:space="preserve"> </w:t>
      </w:r>
      <w:r w:rsidRPr="007C61D2">
        <w:rPr>
          <w:rFonts w:ascii="Garamond" w:hAnsi="Garamond" w:cs="Times New Roman"/>
          <w:i/>
          <w:iCs/>
        </w:rPr>
        <w:t>Registrar General for England and Wales and Others</w:t>
      </w:r>
      <w:r w:rsidRPr="007C61D2">
        <w:rPr>
          <w:rFonts w:ascii="Garamond" w:hAnsi="Garamond" w:cs="Times New Roman"/>
        </w:rPr>
        <w:t xml:space="preserve"> [2019] EWHC 2384 (Fam), in which the court concluded (at para 279) that a person’s status as mother “derives from their biological role in giving birth” even when the person giving birth is a trans man. Thus, a functional approach to motherhood here trumped legal gender status. </w:t>
      </w:r>
    </w:p>
  </w:footnote>
  <w:footnote w:id="42">
    <w:p w14:paraId="4B06027F" w14:textId="3E6CB7C6"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In other cases, conventional gendered enactments may be deliberately (if ambivalently) taken up to minimise personal risk.</w:t>
      </w:r>
    </w:p>
  </w:footnote>
  <w:footnote w:id="43">
    <w:p w14:paraId="19B01469" w14:textId="5178596E" w:rsidR="00F07544" w:rsidRPr="007C61D2" w:rsidRDefault="00F07544" w:rsidP="0052088C">
      <w:pPr>
        <w:pStyle w:val="Comment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See </w:t>
      </w:r>
      <w:hyperlink r:id="rId16" w:history="1">
        <w:r w:rsidRPr="007C61D2">
          <w:rPr>
            <w:rStyle w:val="Hyperlink"/>
            <w:rFonts w:ascii="Garamond" w:hAnsi="Garamond" w:cs="Times New Roman"/>
          </w:rPr>
          <w:t>https://www.gov.scot/publications/gender-representation-public-boards-scotland-act-2018-statutory-guidance/pages/2/</w:t>
        </w:r>
      </w:hyperlink>
      <w:r w:rsidRPr="007C61D2">
        <w:rPr>
          <w:rStyle w:val="Hyperlink"/>
          <w:rFonts w:ascii="Garamond" w:hAnsi="Garamond" w:cs="Times New Roman"/>
          <w:u w:val="none"/>
        </w:rPr>
        <w:t xml:space="preserve"> </w:t>
      </w:r>
      <w:r w:rsidRPr="007C61D2">
        <w:rPr>
          <w:rStyle w:val="Hyperlink"/>
          <w:rFonts w:ascii="Garamond" w:hAnsi="Garamond" w:cs="Times New Roman"/>
          <w:color w:val="auto"/>
          <w:u w:val="none"/>
        </w:rPr>
        <w:t>para 2.13.</w:t>
      </w:r>
    </w:p>
  </w:footnote>
  <w:footnote w:id="44">
    <w:p w14:paraId="2A081D1B" w14:textId="110BB8E4" w:rsidR="00F07544" w:rsidRPr="007C61D2" w:rsidRDefault="00F07544" w:rsidP="007C61D2">
      <w:pPr>
        <w:spacing w:after="0"/>
        <w:rPr>
          <w:rFonts w:ascii="Garamond" w:hAnsi="Garamond" w:cs="Times New Roman"/>
          <w:sz w:val="20"/>
          <w:szCs w:val="20"/>
        </w:rPr>
      </w:pPr>
      <w:r w:rsidRPr="007C61D2">
        <w:rPr>
          <w:rStyle w:val="FootnoteReference"/>
          <w:rFonts w:ascii="Garamond" w:hAnsi="Garamond" w:cs="Times New Roman"/>
          <w:sz w:val="20"/>
          <w:szCs w:val="20"/>
        </w:rPr>
        <w:footnoteRef/>
      </w:r>
      <w:r w:rsidRPr="007C61D2">
        <w:rPr>
          <w:rFonts w:ascii="Garamond" w:hAnsi="Garamond" w:cs="Times New Roman"/>
          <w:sz w:val="20"/>
          <w:szCs w:val="20"/>
        </w:rPr>
        <w:t xml:space="preserve"> </w:t>
      </w:r>
      <w:bookmarkStart w:id="8" w:name="_Hlk48587095"/>
      <w:r w:rsidRPr="007C61D2">
        <w:rPr>
          <w:rFonts w:ascii="Garamond" w:hAnsi="Garamond" w:cs="Times New Roman"/>
          <w:sz w:val="20"/>
          <w:szCs w:val="20"/>
        </w:rPr>
        <w:t xml:space="preserve">See also the International Olympic Committee’s guidelines for transgender athletes, </w:t>
      </w:r>
      <w:hyperlink r:id="rId17" w:history="1">
        <w:r w:rsidRPr="007C61D2">
          <w:rPr>
            <w:rFonts w:ascii="Garamond" w:hAnsi="Garamond" w:cs="Times New Roman"/>
            <w:color w:val="0000FF"/>
            <w:sz w:val="20"/>
            <w:szCs w:val="20"/>
            <w:u w:val="single"/>
          </w:rPr>
          <w:t>https://www.theguardian.com/sport/2019/sep/24/ioc-delays-new-transgender-guidelines-2020-olympics</w:t>
        </w:r>
      </w:hyperlink>
      <w:bookmarkStart w:id="9" w:name="_Hlk48633333"/>
      <w:r w:rsidRPr="007C61D2">
        <w:rPr>
          <w:rFonts w:ascii="Garamond" w:hAnsi="Garamond" w:cs="Times New Roman"/>
          <w:sz w:val="20"/>
          <w:szCs w:val="20"/>
        </w:rPr>
        <w:t xml:space="preserve">; and World Rugby’s guidelines, </w:t>
      </w:r>
      <w:hyperlink r:id="rId18" w:history="1">
        <w:r w:rsidRPr="007C61D2">
          <w:rPr>
            <w:rFonts w:ascii="Garamond" w:hAnsi="Garamond" w:cs="Times New Roman"/>
            <w:color w:val="0000FF"/>
            <w:sz w:val="20"/>
            <w:szCs w:val="20"/>
            <w:u w:val="single"/>
          </w:rPr>
          <w:t>https://www.theguardian.com/sport/2020/jul/19/transwomen-face-potential-womens-rugby-ban-over-safety-concerns</w:t>
        </w:r>
      </w:hyperlink>
      <w:r w:rsidRPr="007C61D2">
        <w:rPr>
          <w:rFonts w:ascii="Garamond" w:hAnsi="Garamond" w:cs="Times New Roman"/>
          <w:sz w:val="20"/>
          <w:szCs w:val="20"/>
        </w:rPr>
        <w:t xml:space="preserve">. </w:t>
      </w:r>
      <w:bookmarkEnd w:id="9"/>
    </w:p>
    <w:bookmarkEnd w:id="8"/>
  </w:footnote>
  <w:footnote w:id="45">
    <w:p w14:paraId="76AD8B3E" w14:textId="40BFC447" w:rsidR="00F07544" w:rsidRPr="007C61D2" w:rsidRDefault="00F07544">
      <w:pPr>
        <w:pStyle w:val="FootnoteText"/>
        <w:rPr>
          <w:rFonts w:ascii="Garamond" w:hAnsi="Garamond"/>
        </w:rPr>
      </w:pPr>
      <w:r>
        <w:rPr>
          <w:rStyle w:val="FootnoteReference"/>
        </w:rPr>
        <w:footnoteRef/>
      </w:r>
      <w:r>
        <w:t xml:space="preserve"> </w:t>
      </w:r>
      <w:r w:rsidRPr="007C61D2">
        <w:rPr>
          <w:rFonts w:ascii="Garamond" w:hAnsi="Garamond"/>
        </w:rPr>
        <w:t>See for instance</w:t>
      </w:r>
      <w:r>
        <w:rPr>
          <w:rFonts w:ascii="Garamond" w:hAnsi="Garamond"/>
        </w:rPr>
        <w:t>,</w:t>
      </w:r>
      <w:r>
        <w:t xml:space="preserve"> </w:t>
      </w:r>
      <w:hyperlink r:id="rId19" w:history="1">
        <w:r w:rsidRPr="007C61D2">
          <w:rPr>
            <w:rStyle w:val="Hyperlink"/>
            <w:rFonts w:ascii="Garamond" w:hAnsi="Garamond"/>
          </w:rPr>
          <w:t>https://paralympics.org.uk/sports/para-powerlifting</w:t>
        </w:r>
      </w:hyperlink>
      <w:r>
        <w:rPr>
          <w:rFonts w:ascii="Garamond" w:hAnsi="Garamond"/>
        </w:rPr>
        <w:t>.</w:t>
      </w:r>
      <w:r w:rsidRPr="007C61D2">
        <w:rPr>
          <w:rFonts w:ascii="Garamond" w:hAnsi="Garamond"/>
        </w:rPr>
        <w:t xml:space="preserve"> </w:t>
      </w:r>
    </w:p>
  </w:footnote>
  <w:footnote w:id="46">
    <w:p w14:paraId="60EFB9BE" w14:textId="4C7B634D" w:rsidR="00F07544" w:rsidRPr="007C61D2" w:rsidRDefault="00F07544">
      <w:pPr>
        <w:pStyle w:val="FootnoteText"/>
        <w:rPr>
          <w:rFonts w:ascii="Garamond" w:hAnsi="Garamond"/>
        </w:rPr>
      </w:pPr>
      <w:r>
        <w:rPr>
          <w:rStyle w:val="FootnoteReference"/>
        </w:rPr>
        <w:footnoteRef/>
      </w:r>
      <w:r>
        <w:t xml:space="preserve"> </w:t>
      </w:r>
      <w:r>
        <w:rPr>
          <w:rFonts w:ascii="Garamond" w:hAnsi="Garamond"/>
        </w:rPr>
        <w:t xml:space="preserve">See for instance, </w:t>
      </w:r>
      <w:hyperlink r:id="rId20" w:history="1">
        <w:r w:rsidRPr="006E26FF">
          <w:rPr>
            <w:rStyle w:val="Hyperlink"/>
            <w:rFonts w:ascii="Garamond" w:hAnsi="Garamond"/>
          </w:rPr>
          <w:t>https://www.abc.net.au/news/2020-08-23/paralaympics-wheelchair-basketball-reclassification-ipc/12539302</w:t>
        </w:r>
      </w:hyperlink>
      <w:r>
        <w:rPr>
          <w:rFonts w:ascii="Garamond" w:hAnsi="Garamond"/>
        </w:rPr>
        <w:t xml:space="preserve">; </w:t>
      </w:r>
      <w:hyperlink r:id="rId21" w:history="1">
        <w:r w:rsidRPr="006E26FF">
          <w:rPr>
            <w:rStyle w:val="Hyperlink"/>
            <w:rFonts w:ascii="Garamond" w:hAnsi="Garamond"/>
          </w:rPr>
          <w:t>https://www.abc.net.au/news/2016-09-06/what-do-the-paralympic-classifications-mean/7813860</w:t>
        </w:r>
      </w:hyperlink>
      <w:r>
        <w:rPr>
          <w:rFonts w:ascii="Garamond" w:hAnsi="Garamond"/>
        </w:rPr>
        <w:t xml:space="preserve">; </w:t>
      </w:r>
      <w:hyperlink r:id="rId22" w:history="1">
        <w:r w:rsidRPr="006E26FF">
          <w:rPr>
            <w:rStyle w:val="Hyperlink"/>
            <w:rFonts w:ascii="Garamond" w:hAnsi="Garamond"/>
          </w:rPr>
          <w:t>https://www.theguardian.com/sport/2017/oct/30/paralympic-athletes-face-reclassification-in-row-over-exaggerated-disabilities</w:t>
        </w:r>
      </w:hyperlink>
      <w:r>
        <w:rPr>
          <w:rFonts w:ascii="Garamond" w:hAnsi="Garamond"/>
        </w:rPr>
        <w:t xml:space="preserve">; and </w:t>
      </w:r>
      <w:hyperlink r:id="rId23" w:history="1">
        <w:r w:rsidRPr="006E26FF">
          <w:rPr>
            <w:rStyle w:val="Hyperlink"/>
            <w:rFonts w:ascii="Garamond" w:hAnsi="Garamond"/>
          </w:rPr>
          <w:t>https://www.insidethegames.biz/articles/1057214/tim-hollingsworth-the-continued-positive-development-of-classification-fundamental-to-development-of-paralympic-sport</w:t>
        </w:r>
      </w:hyperlink>
      <w:r>
        <w:rPr>
          <w:rFonts w:ascii="Garamond" w:hAnsi="Garamond"/>
        </w:rPr>
        <w:t xml:space="preserve">.  </w:t>
      </w:r>
    </w:p>
  </w:footnote>
  <w:footnote w:id="47">
    <w:p w14:paraId="367681A7" w14:textId="349D70C4"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t>
      </w:r>
      <w:r w:rsidRPr="007C61D2">
        <w:rPr>
          <w:rStyle w:val="CommentReference"/>
          <w:rFonts w:ascii="Garamond" w:hAnsi="Garamond" w:cs="Times New Roman"/>
          <w:sz w:val="20"/>
          <w:szCs w:val="20"/>
        </w:rPr>
        <w:t xml:space="preserve">See Sullivan </w:t>
      </w:r>
      <w:r>
        <w:rPr>
          <w:rStyle w:val="CommentReference"/>
          <w:rFonts w:ascii="Garamond" w:hAnsi="Garamond" w:cs="Times New Roman"/>
          <w:sz w:val="20"/>
          <w:szCs w:val="20"/>
        </w:rPr>
        <w:t>(</w:t>
      </w:r>
      <w:r w:rsidRPr="007C61D2">
        <w:rPr>
          <w:rStyle w:val="CommentReference"/>
          <w:rFonts w:ascii="Garamond" w:hAnsi="Garamond" w:cs="Times New Roman"/>
          <w:sz w:val="20"/>
          <w:szCs w:val="20"/>
        </w:rPr>
        <w:t>2020a</w:t>
      </w:r>
      <w:r>
        <w:rPr>
          <w:rStyle w:val="CommentReference"/>
          <w:rFonts w:ascii="Garamond" w:hAnsi="Garamond" w:cs="Times New Roman"/>
          <w:sz w:val="20"/>
          <w:szCs w:val="20"/>
        </w:rPr>
        <w:t>)</w:t>
      </w:r>
      <w:r w:rsidRPr="007C61D2">
        <w:rPr>
          <w:rStyle w:val="CommentReference"/>
          <w:rFonts w:ascii="Garamond" w:hAnsi="Garamond" w:cs="Times New Roman"/>
          <w:sz w:val="20"/>
          <w:szCs w:val="20"/>
        </w:rPr>
        <w:t xml:space="preserve"> and </w:t>
      </w:r>
      <w:r>
        <w:rPr>
          <w:rStyle w:val="CommentReference"/>
          <w:rFonts w:ascii="Garamond" w:hAnsi="Garamond" w:cs="Times New Roman"/>
          <w:sz w:val="20"/>
          <w:szCs w:val="20"/>
        </w:rPr>
        <w:t>(</w:t>
      </w:r>
      <w:r w:rsidRPr="007C61D2">
        <w:rPr>
          <w:rStyle w:val="CommentReference"/>
          <w:rFonts w:ascii="Garamond" w:hAnsi="Garamond" w:cs="Times New Roman"/>
          <w:sz w:val="20"/>
          <w:szCs w:val="20"/>
        </w:rPr>
        <w:t>2020b</w:t>
      </w:r>
      <w:r>
        <w:rPr>
          <w:rStyle w:val="CommentReference"/>
          <w:rFonts w:ascii="Garamond" w:hAnsi="Garamond" w:cs="Times New Roman"/>
          <w:sz w:val="20"/>
          <w:szCs w:val="20"/>
        </w:rPr>
        <w:t>)</w:t>
      </w:r>
      <w:r w:rsidRPr="007C61D2">
        <w:rPr>
          <w:rStyle w:val="CommentReference"/>
          <w:rFonts w:ascii="Garamond" w:hAnsi="Garamond" w:cs="Times New Roman"/>
          <w:sz w:val="20"/>
          <w:szCs w:val="20"/>
        </w:rPr>
        <w:t xml:space="preserve">, and responses from Hines </w:t>
      </w:r>
      <w:r>
        <w:rPr>
          <w:rStyle w:val="CommentReference"/>
          <w:rFonts w:ascii="Garamond" w:hAnsi="Garamond" w:cs="Times New Roman"/>
          <w:sz w:val="20"/>
          <w:szCs w:val="20"/>
        </w:rPr>
        <w:t>(</w:t>
      </w:r>
      <w:r w:rsidRPr="007C61D2">
        <w:rPr>
          <w:rStyle w:val="CommentReference"/>
          <w:rFonts w:ascii="Garamond" w:hAnsi="Garamond" w:cs="Times New Roman"/>
          <w:sz w:val="20"/>
          <w:szCs w:val="20"/>
        </w:rPr>
        <w:t>2020</w:t>
      </w:r>
      <w:r>
        <w:rPr>
          <w:rStyle w:val="CommentReference"/>
          <w:rFonts w:ascii="Garamond" w:hAnsi="Garamond" w:cs="Times New Roman"/>
          <w:sz w:val="20"/>
          <w:szCs w:val="20"/>
        </w:rPr>
        <w:t>)</w:t>
      </w:r>
      <w:r w:rsidRPr="007C61D2">
        <w:rPr>
          <w:rStyle w:val="CommentReference"/>
          <w:rFonts w:ascii="Garamond" w:hAnsi="Garamond" w:cs="Times New Roman"/>
          <w:sz w:val="20"/>
          <w:szCs w:val="20"/>
        </w:rPr>
        <w:t xml:space="preserve"> and Fugard </w:t>
      </w:r>
      <w:r>
        <w:rPr>
          <w:rStyle w:val="CommentReference"/>
          <w:rFonts w:ascii="Garamond" w:hAnsi="Garamond" w:cs="Times New Roman"/>
          <w:sz w:val="20"/>
          <w:szCs w:val="20"/>
        </w:rPr>
        <w:t>(</w:t>
      </w:r>
      <w:r w:rsidRPr="007C61D2">
        <w:rPr>
          <w:rStyle w:val="CommentReference"/>
          <w:rFonts w:ascii="Garamond" w:hAnsi="Garamond" w:cs="Times New Roman"/>
          <w:sz w:val="20"/>
          <w:szCs w:val="20"/>
        </w:rPr>
        <w:t>2020</w:t>
      </w:r>
      <w:r>
        <w:rPr>
          <w:rStyle w:val="CommentReference"/>
          <w:rFonts w:ascii="Garamond" w:hAnsi="Garamond" w:cs="Times New Roman"/>
          <w:sz w:val="20"/>
          <w:szCs w:val="20"/>
        </w:rPr>
        <w:t>)</w:t>
      </w:r>
      <w:r w:rsidRPr="007C61D2">
        <w:rPr>
          <w:rStyle w:val="CommentReference"/>
          <w:rFonts w:ascii="Garamond" w:hAnsi="Garamond" w:cs="Times New Roman"/>
          <w:sz w:val="20"/>
          <w:szCs w:val="20"/>
        </w:rPr>
        <w:t xml:space="preserve">; also the Office for National Statistics draft guidance regarding questions on sex, gender identity and sexual orientation for the 2019 census rehearsal for the 2021 census for England and Wales: </w:t>
      </w:r>
      <w:hyperlink r:id="rId24" w:history="1">
        <w:r w:rsidRPr="007C61D2">
          <w:rPr>
            <w:rStyle w:val="Hyperlink"/>
            <w:rFonts w:ascii="Garamond" w:eastAsia="Times New Roman" w:hAnsi="Garamond" w:cs="Times New Roman"/>
            <w:bdr w:val="none" w:sz="0" w:space="0" w:color="auto" w:frame="1"/>
            <w:lang w:eastAsia="en-GB"/>
          </w:rPr>
          <w:t>https://www.ons.gov.uk/census/censustransformationprogramme/questiondevelopment/genderidentity/guidanceforquestionsonsexgenderidentityandsexualorientationforthe2019censusrehearsalforthe2021census</w:t>
        </w:r>
      </w:hyperlink>
      <w:r w:rsidRPr="007C61D2">
        <w:rPr>
          <w:rFonts w:ascii="Garamond" w:eastAsia="Times New Roman" w:hAnsi="Garamond" w:cs="Times New Roman"/>
          <w:color w:val="000000"/>
          <w:bdr w:val="none" w:sz="0" w:space="0" w:color="auto" w:frame="1"/>
          <w:lang w:eastAsia="en-GB"/>
        </w:rPr>
        <w:t xml:space="preserve">.  </w:t>
      </w:r>
    </w:p>
  </w:footnote>
  <w:footnote w:id="48">
    <w:p w14:paraId="301FC90E" w14:textId="583B605B" w:rsidR="00F07544" w:rsidRPr="007C61D2" w:rsidRDefault="00F07544" w:rsidP="007847CB">
      <w:pPr>
        <w:pStyle w:val="FootnoteText"/>
        <w:rPr>
          <w:rFonts w:ascii="Garamond" w:hAnsi="Garamond" w:cs="Times New Roman"/>
          <w:color w:val="0000FF"/>
          <w:u w:val="single"/>
        </w:rPr>
      </w:pPr>
      <w:r w:rsidRPr="007C61D2">
        <w:rPr>
          <w:rStyle w:val="FootnoteReference"/>
          <w:rFonts w:ascii="Garamond" w:hAnsi="Garamond" w:cs="Times New Roman"/>
        </w:rPr>
        <w:footnoteRef/>
      </w:r>
      <w:r w:rsidRPr="007C61D2">
        <w:rPr>
          <w:rFonts w:ascii="Garamond" w:hAnsi="Garamond" w:cs="Times New Roman"/>
        </w:rPr>
        <w:t xml:space="preserve"> Women-only shortlists may sidestep rather than address the barriers to women’s representation in parliament, see</w:t>
      </w:r>
      <w:r>
        <w:rPr>
          <w:rFonts w:ascii="Garamond" w:hAnsi="Garamond" w:cs="Times New Roman"/>
        </w:rPr>
        <w:t xml:space="preserve"> UK Parliament</w:t>
      </w:r>
      <w:r w:rsidRPr="007C61D2">
        <w:rPr>
          <w:rFonts w:ascii="Garamond" w:hAnsi="Garamond" w:cs="Times New Roman"/>
        </w:rPr>
        <w:t xml:space="preserve"> (2018) </w:t>
      </w:r>
      <w:r w:rsidRPr="007C61D2">
        <w:rPr>
          <w:rFonts w:ascii="Garamond" w:hAnsi="Garamond" w:cs="Times New Roman"/>
          <w:color w:val="000000"/>
          <w:shd w:val="clear" w:color="auto" w:fill="FFFFFF"/>
        </w:rPr>
        <w:t>and</w:t>
      </w:r>
      <w:r w:rsidRPr="007C61D2">
        <w:rPr>
          <w:rFonts w:ascii="Garamond" w:hAnsi="Garamond" w:cs="Times New Roman"/>
        </w:rPr>
        <w:t xml:space="preserve"> WEC’s work in this area (2017-18) </w:t>
      </w:r>
      <w:hyperlink r:id="rId25" w:history="1">
        <w:r w:rsidRPr="007C61D2">
          <w:rPr>
            <w:rFonts w:ascii="Garamond" w:hAnsi="Garamond" w:cs="Times New Roman"/>
            <w:color w:val="0000FF"/>
            <w:u w:val="single"/>
          </w:rPr>
          <w:t>https://www.parliament.uk/business/committees/committees-a-z/commons-select/women-and-equalities-committee/news-parliament-2017/women-house-of-commons-evidence-17-19/</w:t>
        </w:r>
      </w:hyperlink>
      <w:r>
        <w:rPr>
          <w:rFonts w:ascii="Garamond" w:hAnsi="Garamond" w:cs="Times New Roman"/>
        </w:rPr>
        <w:t>.</w:t>
      </w:r>
      <w:r w:rsidRPr="007C61D2">
        <w:rPr>
          <w:rFonts w:ascii="Garamond" w:hAnsi="Garamond" w:cs="Times New Roman"/>
        </w:rPr>
        <w:t xml:space="preserve">  For related barriers to women’s participation in l</w:t>
      </w:r>
      <w:r>
        <w:rPr>
          <w:rFonts w:ascii="Garamond" w:hAnsi="Garamond" w:cs="Times New Roman"/>
        </w:rPr>
        <w:t xml:space="preserve">ocal government, see </w:t>
      </w:r>
      <w:r w:rsidRPr="007C61D2">
        <w:rPr>
          <w:rFonts w:ascii="Garamond" w:hAnsi="Garamond" w:cs="Times New Roman"/>
        </w:rPr>
        <w:t>Local Government Commission (2017).</w:t>
      </w:r>
    </w:p>
  </w:footnote>
  <w:footnote w:id="49">
    <w:p w14:paraId="2D2B9FCD" w14:textId="70E4A85D" w:rsidR="00F07544" w:rsidRPr="007C61D2" w:rsidRDefault="00F07544" w:rsidP="004879CA">
      <w:pPr>
        <w:pStyle w:val="CommentText"/>
        <w:spacing w:after="0"/>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For instance, see </w:t>
      </w:r>
      <w:r w:rsidRPr="007C61D2">
        <w:rPr>
          <w:rFonts w:ascii="Garamond" w:hAnsi="Garamond" w:cs="Times New Roman"/>
          <w:shd w:val="clear" w:color="auto" w:fill="FFFFFF"/>
        </w:rPr>
        <w:t xml:space="preserve">Annesley and Gains (2010: 910) </w:t>
      </w:r>
      <w:r w:rsidRPr="007C61D2">
        <w:rPr>
          <w:rFonts w:ascii="Garamond" w:hAnsi="Garamond" w:cs="Times New Roman"/>
        </w:rPr>
        <w:t>on “the gendered ‘disposition’ of the core executive in terms of recruitment, resource allocation, relationships and rules and how this disposition structures the opportunities available to feminist actors therein to make a change to policy outcomes.”</w:t>
      </w:r>
    </w:p>
  </w:footnote>
  <w:footnote w:id="50">
    <w:p w14:paraId="05C0E206" w14:textId="59339C26" w:rsidR="00F07544" w:rsidRPr="007C61D2" w:rsidRDefault="00F07544" w:rsidP="00B47AD3">
      <w:pPr>
        <w:pStyle w:val="CommentText"/>
        <w:spacing w:after="0"/>
        <w:rPr>
          <w:rFonts w:ascii="Garamond" w:hAnsi="Garamond" w:cs="Times New Roman"/>
          <w:i/>
          <w:iCs/>
        </w:rPr>
      </w:pPr>
      <w:r w:rsidRPr="007C61D2">
        <w:rPr>
          <w:rStyle w:val="FootnoteReference"/>
          <w:rFonts w:ascii="Garamond" w:hAnsi="Garamond" w:cs="Times New Roman"/>
        </w:rPr>
        <w:footnoteRef/>
      </w:r>
      <w:r w:rsidRPr="007C61D2">
        <w:rPr>
          <w:rFonts w:ascii="Garamond" w:hAnsi="Garamond" w:cs="Times New Roman"/>
        </w:rPr>
        <w:t xml:space="preserve"> See, e.g. the debate surrounding the British Medical Association’s guidelines, which recommend that staff use the term “pregnant people” rather than “expectant mothers”, </w:t>
      </w:r>
      <w:hyperlink r:id="rId26" w:history="1">
        <w:r w:rsidRPr="007C61D2">
          <w:rPr>
            <w:rFonts w:ascii="Garamond" w:hAnsi="Garamond" w:cs="Times New Roman"/>
            <w:color w:val="0000FF"/>
            <w:u w:val="single"/>
          </w:rPr>
          <w:t>https://www.telegraph.co.uk/news/2017/01/29/dont-call-pregnant-women-expectant-mothers-might-offend-transgender/</w:t>
        </w:r>
      </w:hyperlink>
      <w:r w:rsidRPr="007C61D2">
        <w:rPr>
          <w:rFonts w:ascii="Garamond" w:hAnsi="Garamond" w:cs="Times New Roman"/>
        </w:rPr>
        <w:t>; and similar criticism of Cancer Research’s leaflet targeting “anyone with a cervix”</w:t>
      </w:r>
      <w:r>
        <w:rPr>
          <w:rFonts w:ascii="Garamond" w:hAnsi="Garamond" w:cs="Times New Roman"/>
        </w:rPr>
        <w:t>,</w:t>
      </w:r>
      <w:r w:rsidRPr="007C61D2">
        <w:rPr>
          <w:rFonts w:ascii="Garamond" w:hAnsi="Garamond" w:cs="Times New Roman"/>
        </w:rPr>
        <w:t xml:space="preserve"> </w:t>
      </w:r>
      <w:hyperlink r:id="rId27" w:history="1">
        <w:r w:rsidRPr="007C61D2">
          <w:rPr>
            <w:rStyle w:val="Hyperlink"/>
            <w:rFonts w:ascii="Garamond" w:hAnsi="Garamond" w:cs="Times New Roman"/>
          </w:rPr>
          <w:t>https://www.telegraph.co.uk/news/2018/06/14/cancer-research-removes-word-women-smear-campaign-amid-transgender/</w:t>
        </w:r>
      </w:hyperlink>
      <w:r w:rsidRPr="007C61D2">
        <w:rPr>
          <w:rFonts w:ascii="Garamond" w:hAnsi="Garamond" w:cs="Times New Roman"/>
        </w:rPr>
        <w:t xml:space="preserve">.      </w:t>
      </w:r>
    </w:p>
  </w:footnote>
  <w:footnote w:id="51">
    <w:p w14:paraId="30206777" w14:textId="5386BBEC"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This i</w:t>
      </w:r>
      <w:r>
        <w:rPr>
          <w:rFonts w:ascii="Garamond" w:hAnsi="Garamond" w:cs="Times New Roman"/>
        </w:rPr>
        <w:t>s something Clarke (2019: 195-</w:t>
      </w:r>
      <w:r w:rsidRPr="007C61D2">
        <w:rPr>
          <w:rFonts w:ascii="Garamond" w:hAnsi="Garamond" w:cs="Times New Roman"/>
        </w:rPr>
        <w:t>8) briefly discusses in relation to “networked pregnancies”, in exploring the conditions and consequences of pregnancy as something that extends beyond individuals, couples, or gestational/ functional parents.</w:t>
      </w:r>
    </w:p>
  </w:footnote>
  <w:footnote w:id="52">
    <w:p w14:paraId="78F9BB95" w14:textId="5C2175B5" w:rsidR="00F07544" w:rsidRPr="007C61D2" w:rsidRDefault="00F07544">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In  a detailed discussion of “constitutional re-engineering”, to re-gender the Scottish parliament, Fiona Mackay (2014: 559) explores how “Each principle of the new politics model can be seen to present a challenge to ‘politics as usual’ and traditional ‘command and control’ models.” However, as she (2014: 561) discusses, these “new elements have not displaced the old but interact and coexist with masculinist practices and underlying norms of ‘politics as usual’”.  </w:t>
      </w:r>
    </w:p>
  </w:footnote>
  <w:footnote w:id="53">
    <w:p w14:paraId="20A6BBB6" w14:textId="33F424D7" w:rsidR="00F07544" w:rsidRPr="007C61D2" w:rsidRDefault="00F07544" w:rsidP="00393D03">
      <w:pPr>
        <w:pStyle w:val="FootnoteText"/>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See Human Fertilisation and Embryology Act 2008 (amending the 1990 Act), s.11 and Schedule 2, s.1ZA-C.</w:t>
      </w:r>
    </w:p>
  </w:footnote>
  <w:footnote w:id="54">
    <w:p w14:paraId="45BC0E18" w14:textId="58D7E821" w:rsidR="00F07544" w:rsidRPr="007C61D2" w:rsidRDefault="00F07544" w:rsidP="00773B05">
      <w:pPr>
        <w:pStyle w:val="CommentText"/>
        <w:spacing w:after="0"/>
        <w:rPr>
          <w:rFonts w:ascii="Garamond" w:hAnsi="Garamond" w:cs="Times New Roman"/>
        </w:rPr>
      </w:pPr>
      <w:r w:rsidRPr="007C61D2">
        <w:rPr>
          <w:rStyle w:val="FootnoteReference"/>
          <w:rFonts w:ascii="Garamond" w:hAnsi="Garamond" w:cs="Times New Roman"/>
        </w:rPr>
        <w:footnoteRef/>
      </w:r>
      <w:r w:rsidRPr="007C61D2">
        <w:rPr>
          <w:rFonts w:ascii="Garamond" w:hAnsi="Garamond" w:cs="Times New Roman"/>
        </w:rPr>
        <w:t xml:space="preserve"> </w:t>
      </w:r>
      <w:bookmarkStart w:id="10" w:name="_Hlk45059689"/>
      <w:r w:rsidRPr="007C61D2">
        <w:rPr>
          <w:rFonts w:ascii="Garamond" w:eastAsia="Times New Roman" w:hAnsi="Garamond" w:cs="Times New Roman"/>
          <w:color w:val="000000"/>
          <w:kern w:val="36"/>
          <w:lang w:eastAsia="en-GB"/>
        </w:rPr>
        <w:t>A wide range of primary and secondary legislation governs this area, including the Employment Rights Act 1996, The Maternity and Parental Leave etc Regulations 1999, and The Shared Parental Leave Regulations 2014.</w:t>
      </w:r>
      <w:bookmarkEnd w:id="10"/>
    </w:p>
  </w:footnote>
  <w:footnote w:id="55">
    <w:p w14:paraId="1848E7EC" w14:textId="5E92A355" w:rsidR="00F07544" w:rsidRPr="007C61D2" w:rsidRDefault="00F07544" w:rsidP="00773B05">
      <w:pPr>
        <w:pStyle w:val="NormalWeb"/>
        <w:spacing w:before="0" w:beforeAutospacing="0" w:after="0" w:afterAutospacing="0"/>
        <w:jc w:val="both"/>
        <w:rPr>
          <w:rFonts w:ascii="Garamond" w:hAnsi="Garamond"/>
          <w:sz w:val="20"/>
          <w:szCs w:val="20"/>
        </w:rPr>
      </w:pPr>
      <w:r w:rsidRPr="007C61D2">
        <w:rPr>
          <w:rStyle w:val="FootnoteReference"/>
          <w:rFonts w:ascii="Garamond" w:hAnsi="Garamond"/>
          <w:sz w:val="20"/>
          <w:szCs w:val="20"/>
        </w:rPr>
        <w:footnoteRef/>
      </w:r>
      <w:r w:rsidRPr="007C61D2">
        <w:rPr>
          <w:rFonts w:ascii="Garamond" w:hAnsi="Garamond"/>
          <w:sz w:val="20"/>
          <w:szCs w:val="20"/>
        </w:rPr>
        <w:t xml:space="preserve"> The </w:t>
      </w:r>
      <w:r w:rsidRPr="007C61D2">
        <w:rPr>
          <w:rFonts w:ascii="Garamond" w:hAnsi="Garamond"/>
          <w:color w:val="000000"/>
          <w:sz w:val="20"/>
          <w:szCs w:val="20"/>
        </w:rPr>
        <w:t>Equality Act 2010, s.85(1), prohibits discrimination by a school governing body in relation to offers of admission, and terms of admission, to a school, but insofar as it relates to sex, s. 85(1) does not apply to single-sex schools (by virtue of an exemption provided in Schedule 11, s.1).</w:t>
      </w:r>
    </w:p>
  </w:footnote>
  <w:footnote w:id="56">
    <w:p w14:paraId="7EEC11DE" w14:textId="585C91C5" w:rsidR="00F07544" w:rsidRPr="007C61D2" w:rsidRDefault="00F07544">
      <w:pPr>
        <w:pStyle w:val="FootnoteText"/>
        <w:rPr>
          <w:rFonts w:ascii="Garamond" w:hAnsi="Garamond" w:cs="Times New Roman"/>
          <w:i/>
          <w:iCs/>
        </w:rPr>
      </w:pPr>
      <w:r w:rsidRPr="007C61D2">
        <w:rPr>
          <w:rStyle w:val="FootnoteReference"/>
          <w:rFonts w:ascii="Garamond" w:hAnsi="Garamond" w:cs="Times New Roman"/>
        </w:rPr>
        <w:footnoteRef/>
      </w:r>
      <w:r w:rsidRPr="007C61D2">
        <w:rPr>
          <w:rFonts w:ascii="Garamond" w:hAnsi="Garamond" w:cs="Times New Roman"/>
        </w:rPr>
        <w:t xml:space="preserve"> Housing Act 1985, ss.324 and 325.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72A7" w14:textId="444A7433" w:rsidR="00443968" w:rsidRDefault="00443968" w:rsidP="00443968">
    <w:pPr>
      <w:pStyle w:val="Header"/>
      <w:tabs>
        <w:tab w:val="clear" w:pos="9026"/>
        <w:tab w:val="right" w:pos="9356"/>
      </w:tabs>
    </w:pPr>
    <w:r>
      <w:t>Davina Cooper, Robyn Emerton</w:t>
    </w:r>
    <w:r>
      <w:tab/>
    </w:r>
    <w:r>
      <w:tab/>
      <w:t>Pulling the Thread of Decertification</w:t>
    </w:r>
  </w:p>
  <w:p w14:paraId="7C9D6F53" w14:textId="0C244320" w:rsidR="00443968" w:rsidRDefault="00443968" w:rsidP="00443968">
    <w:pPr>
      <w:pStyle w:val="Header"/>
      <w:tabs>
        <w:tab w:val="clear" w:pos="9026"/>
        <w:tab w:val="right" w:pos="9356"/>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44619"/>
      <w:docPartObj>
        <w:docPartGallery w:val="Page Numbers (Top of Page)"/>
        <w:docPartUnique/>
      </w:docPartObj>
    </w:sdtPr>
    <w:sdtEndPr>
      <w:rPr>
        <w:noProof/>
      </w:rPr>
    </w:sdtEndPr>
    <w:sdtContent>
      <w:p w14:paraId="1C1BAA91" w14:textId="77777777" w:rsidR="00443968" w:rsidRDefault="00443968" w:rsidP="00443968">
        <w:pPr>
          <w:pStyle w:val="Header"/>
          <w:tabs>
            <w:tab w:val="clear" w:pos="9026"/>
            <w:tab w:val="right" w:pos="9356"/>
          </w:tabs>
        </w:pPr>
        <w:r>
          <w:rPr>
            <w:i/>
          </w:rPr>
          <w:t>feminists@law</w:t>
        </w:r>
        <w:r>
          <w:tab/>
        </w:r>
        <w:r>
          <w:tab/>
          <w:t>Vol 10, No 2 (2020)</w:t>
        </w:r>
      </w:p>
      <w:p w14:paraId="10BCFBBC" w14:textId="7C153C5F" w:rsidR="00F07544" w:rsidRDefault="00443968" w:rsidP="00443968">
        <w:pPr>
          <w:pStyle w:val="Header"/>
          <w:tabs>
            <w:tab w:val="clear" w:pos="9026"/>
            <w:tab w:val="right" w:pos="9356"/>
          </w:tabs>
        </w:pPr>
        <w:r>
          <w:t>_____________________________________________________________________________________</w:t>
        </w:r>
      </w:p>
    </w:sdtContent>
  </w:sdt>
  <w:p w14:paraId="36FA916B" w14:textId="77777777" w:rsidR="00F07544" w:rsidRDefault="00F07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75F"/>
    <w:multiLevelType w:val="hybridMultilevel"/>
    <w:tmpl w:val="53183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074CF"/>
    <w:multiLevelType w:val="hybridMultilevel"/>
    <w:tmpl w:val="F0D26C18"/>
    <w:lvl w:ilvl="0" w:tplc="53CAD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05120"/>
    <w:multiLevelType w:val="hybridMultilevel"/>
    <w:tmpl w:val="C5803D12"/>
    <w:lvl w:ilvl="0" w:tplc="A80AFD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A2015"/>
    <w:multiLevelType w:val="multilevel"/>
    <w:tmpl w:val="05A6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4418A"/>
    <w:multiLevelType w:val="multilevel"/>
    <w:tmpl w:val="2BD0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9793B"/>
    <w:multiLevelType w:val="multilevel"/>
    <w:tmpl w:val="54C8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E20CC"/>
    <w:multiLevelType w:val="multilevel"/>
    <w:tmpl w:val="C654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832D2"/>
    <w:multiLevelType w:val="multilevel"/>
    <w:tmpl w:val="DCC8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91EF0"/>
    <w:multiLevelType w:val="hybridMultilevel"/>
    <w:tmpl w:val="C7B88CA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F6F0A"/>
    <w:multiLevelType w:val="multilevel"/>
    <w:tmpl w:val="432E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E230D"/>
    <w:multiLevelType w:val="hybridMultilevel"/>
    <w:tmpl w:val="A1805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61B35"/>
    <w:multiLevelType w:val="hybridMultilevel"/>
    <w:tmpl w:val="0FF21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C128D"/>
    <w:multiLevelType w:val="hybridMultilevel"/>
    <w:tmpl w:val="7196F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B3D9B"/>
    <w:multiLevelType w:val="hybridMultilevel"/>
    <w:tmpl w:val="55B2E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E585C"/>
    <w:multiLevelType w:val="hybridMultilevel"/>
    <w:tmpl w:val="F9ACF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746705"/>
    <w:multiLevelType w:val="hybridMultilevel"/>
    <w:tmpl w:val="0DC2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D3C26"/>
    <w:multiLevelType w:val="hybridMultilevel"/>
    <w:tmpl w:val="F8B4B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9153B"/>
    <w:multiLevelType w:val="hybridMultilevel"/>
    <w:tmpl w:val="BB6A8752"/>
    <w:lvl w:ilvl="0" w:tplc="6924E7C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C36E36"/>
    <w:multiLevelType w:val="hybridMultilevel"/>
    <w:tmpl w:val="56D6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C7AB7"/>
    <w:multiLevelType w:val="hybridMultilevel"/>
    <w:tmpl w:val="EEEC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8439C"/>
    <w:multiLevelType w:val="multilevel"/>
    <w:tmpl w:val="15F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12566"/>
    <w:multiLevelType w:val="hybridMultilevel"/>
    <w:tmpl w:val="4A90C696"/>
    <w:lvl w:ilvl="0" w:tplc="00BEE1E2">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41975"/>
    <w:multiLevelType w:val="hybridMultilevel"/>
    <w:tmpl w:val="6524A566"/>
    <w:lvl w:ilvl="0" w:tplc="1388C34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B1473"/>
    <w:multiLevelType w:val="hybridMultilevel"/>
    <w:tmpl w:val="7BC82A94"/>
    <w:lvl w:ilvl="0" w:tplc="3A4013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62A5B"/>
    <w:multiLevelType w:val="multilevel"/>
    <w:tmpl w:val="4218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5B02"/>
    <w:multiLevelType w:val="multilevel"/>
    <w:tmpl w:val="382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B640A"/>
    <w:multiLevelType w:val="multilevel"/>
    <w:tmpl w:val="573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C072F"/>
    <w:multiLevelType w:val="hybridMultilevel"/>
    <w:tmpl w:val="7196F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66913"/>
    <w:multiLevelType w:val="hybridMultilevel"/>
    <w:tmpl w:val="3638894A"/>
    <w:lvl w:ilvl="0" w:tplc="792026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0060F6"/>
    <w:multiLevelType w:val="hybridMultilevel"/>
    <w:tmpl w:val="3E24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034DE4"/>
    <w:multiLevelType w:val="hybridMultilevel"/>
    <w:tmpl w:val="76DA2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B0392"/>
    <w:multiLevelType w:val="multilevel"/>
    <w:tmpl w:val="4A5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6"/>
  </w:num>
  <w:num w:numId="4">
    <w:abstractNumId w:val="24"/>
  </w:num>
  <w:num w:numId="5">
    <w:abstractNumId w:val="3"/>
  </w:num>
  <w:num w:numId="6">
    <w:abstractNumId w:val="21"/>
  </w:num>
  <w:num w:numId="7">
    <w:abstractNumId w:val="15"/>
  </w:num>
  <w:num w:numId="8">
    <w:abstractNumId w:val="18"/>
  </w:num>
  <w:num w:numId="9">
    <w:abstractNumId w:val="27"/>
  </w:num>
  <w:num w:numId="10">
    <w:abstractNumId w:val="19"/>
  </w:num>
  <w:num w:numId="11">
    <w:abstractNumId w:val="12"/>
  </w:num>
  <w:num w:numId="12">
    <w:abstractNumId w:val="22"/>
  </w:num>
  <w:num w:numId="13">
    <w:abstractNumId w:val="13"/>
  </w:num>
  <w:num w:numId="14">
    <w:abstractNumId w:val="10"/>
  </w:num>
  <w:num w:numId="15">
    <w:abstractNumId w:val="16"/>
  </w:num>
  <w:num w:numId="16">
    <w:abstractNumId w:val="1"/>
  </w:num>
  <w:num w:numId="17">
    <w:abstractNumId w:val="28"/>
  </w:num>
  <w:num w:numId="18">
    <w:abstractNumId w:val="11"/>
  </w:num>
  <w:num w:numId="19">
    <w:abstractNumId w:val="23"/>
  </w:num>
  <w:num w:numId="20">
    <w:abstractNumId w:val="20"/>
  </w:num>
  <w:num w:numId="21">
    <w:abstractNumId w:val="7"/>
  </w:num>
  <w:num w:numId="22">
    <w:abstractNumId w:val="0"/>
  </w:num>
  <w:num w:numId="23">
    <w:abstractNumId w:val="29"/>
  </w:num>
  <w:num w:numId="24">
    <w:abstractNumId w:val="5"/>
  </w:num>
  <w:num w:numId="25">
    <w:abstractNumId w:val="31"/>
  </w:num>
  <w:num w:numId="26">
    <w:abstractNumId w:val="9"/>
  </w:num>
  <w:num w:numId="27">
    <w:abstractNumId w:val="14"/>
  </w:num>
  <w:num w:numId="28">
    <w:abstractNumId w:val="2"/>
  </w:num>
  <w:num w:numId="29">
    <w:abstractNumId w:val="30"/>
  </w:num>
  <w:num w:numId="30">
    <w:abstractNumId w:val="25"/>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90"/>
    <w:rsid w:val="000000BC"/>
    <w:rsid w:val="00000149"/>
    <w:rsid w:val="000017F8"/>
    <w:rsid w:val="000034C2"/>
    <w:rsid w:val="000052CC"/>
    <w:rsid w:val="000066AC"/>
    <w:rsid w:val="0000791F"/>
    <w:rsid w:val="00012001"/>
    <w:rsid w:val="00012AC0"/>
    <w:rsid w:val="00013436"/>
    <w:rsid w:val="00013F8E"/>
    <w:rsid w:val="00016767"/>
    <w:rsid w:val="00016B00"/>
    <w:rsid w:val="00017368"/>
    <w:rsid w:val="00020603"/>
    <w:rsid w:val="00020A8B"/>
    <w:rsid w:val="00021777"/>
    <w:rsid w:val="00024AD6"/>
    <w:rsid w:val="000257CF"/>
    <w:rsid w:val="000258FF"/>
    <w:rsid w:val="00025B60"/>
    <w:rsid w:val="00026682"/>
    <w:rsid w:val="00027FC8"/>
    <w:rsid w:val="000310D5"/>
    <w:rsid w:val="000312F3"/>
    <w:rsid w:val="00032860"/>
    <w:rsid w:val="000337C7"/>
    <w:rsid w:val="0003388E"/>
    <w:rsid w:val="0003390D"/>
    <w:rsid w:val="00035A80"/>
    <w:rsid w:val="00036AAF"/>
    <w:rsid w:val="00040273"/>
    <w:rsid w:val="00042273"/>
    <w:rsid w:val="00042AAF"/>
    <w:rsid w:val="000430FA"/>
    <w:rsid w:val="00044682"/>
    <w:rsid w:val="0004647D"/>
    <w:rsid w:val="0004745A"/>
    <w:rsid w:val="0005020B"/>
    <w:rsid w:val="00051E0B"/>
    <w:rsid w:val="000524FF"/>
    <w:rsid w:val="00052931"/>
    <w:rsid w:val="00055591"/>
    <w:rsid w:val="000565F4"/>
    <w:rsid w:val="00056632"/>
    <w:rsid w:val="00056662"/>
    <w:rsid w:val="00061341"/>
    <w:rsid w:val="00062006"/>
    <w:rsid w:val="000661FE"/>
    <w:rsid w:val="000671C1"/>
    <w:rsid w:val="0006743F"/>
    <w:rsid w:val="000679BE"/>
    <w:rsid w:val="00067B7B"/>
    <w:rsid w:val="00070470"/>
    <w:rsid w:val="00071195"/>
    <w:rsid w:val="000716D8"/>
    <w:rsid w:val="00071C33"/>
    <w:rsid w:val="000721CD"/>
    <w:rsid w:val="00073535"/>
    <w:rsid w:val="00076A65"/>
    <w:rsid w:val="000775BD"/>
    <w:rsid w:val="00077E8D"/>
    <w:rsid w:val="00081F14"/>
    <w:rsid w:val="000829DF"/>
    <w:rsid w:val="00082BA9"/>
    <w:rsid w:val="000835AD"/>
    <w:rsid w:val="000839E8"/>
    <w:rsid w:val="00083C44"/>
    <w:rsid w:val="00084A90"/>
    <w:rsid w:val="00085827"/>
    <w:rsid w:val="000870BF"/>
    <w:rsid w:val="00087FB5"/>
    <w:rsid w:val="00090CEC"/>
    <w:rsid w:val="00092E4E"/>
    <w:rsid w:val="00093F22"/>
    <w:rsid w:val="00093FA5"/>
    <w:rsid w:val="00094967"/>
    <w:rsid w:val="000950DF"/>
    <w:rsid w:val="00095DDC"/>
    <w:rsid w:val="000A0214"/>
    <w:rsid w:val="000A051D"/>
    <w:rsid w:val="000A1F01"/>
    <w:rsid w:val="000A2DD2"/>
    <w:rsid w:val="000A300B"/>
    <w:rsid w:val="000A40B6"/>
    <w:rsid w:val="000A6800"/>
    <w:rsid w:val="000A7FB2"/>
    <w:rsid w:val="000B1382"/>
    <w:rsid w:val="000B1427"/>
    <w:rsid w:val="000B1F54"/>
    <w:rsid w:val="000B293E"/>
    <w:rsid w:val="000B2E80"/>
    <w:rsid w:val="000B4759"/>
    <w:rsid w:val="000B5EB6"/>
    <w:rsid w:val="000B625E"/>
    <w:rsid w:val="000C0039"/>
    <w:rsid w:val="000C152F"/>
    <w:rsid w:val="000C22E5"/>
    <w:rsid w:val="000C2B94"/>
    <w:rsid w:val="000C331C"/>
    <w:rsid w:val="000C3C25"/>
    <w:rsid w:val="000C431D"/>
    <w:rsid w:val="000C44C3"/>
    <w:rsid w:val="000C4D64"/>
    <w:rsid w:val="000C758B"/>
    <w:rsid w:val="000D143B"/>
    <w:rsid w:val="000D1467"/>
    <w:rsid w:val="000D181E"/>
    <w:rsid w:val="000D1DD7"/>
    <w:rsid w:val="000D26A6"/>
    <w:rsid w:val="000D3245"/>
    <w:rsid w:val="000D4F06"/>
    <w:rsid w:val="000D59D0"/>
    <w:rsid w:val="000D5C26"/>
    <w:rsid w:val="000D5CF2"/>
    <w:rsid w:val="000D678A"/>
    <w:rsid w:val="000E0D53"/>
    <w:rsid w:val="000E3450"/>
    <w:rsid w:val="000E3DA2"/>
    <w:rsid w:val="000E4549"/>
    <w:rsid w:val="000E488E"/>
    <w:rsid w:val="000E4A7C"/>
    <w:rsid w:val="000E6436"/>
    <w:rsid w:val="000F115E"/>
    <w:rsid w:val="000F269C"/>
    <w:rsid w:val="000F3A87"/>
    <w:rsid w:val="000F473A"/>
    <w:rsid w:val="000F4B1B"/>
    <w:rsid w:val="000F50FA"/>
    <w:rsid w:val="000F514C"/>
    <w:rsid w:val="000F5593"/>
    <w:rsid w:val="000F6E77"/>
    <w:rsid w:val="000F76BE"/>
    <w:rsid w:val="000F77F4"/>
    <w:rsid w:val="000F7AE9"/>
    <w:rsid w:val="001001C9"/>
    <w:rsid w:val="0010120E"/>
    <w:rsid w:val="00101EA6"/>
    <w:rsid w:val="00102AB4"/>
    <w:rsid w:val="0010376F"/>
    <w:rsid w:val="001038EC"/>
    <w:rsid w:val="001042D5"/>
    <w:rsid w:val="001048D6"/>
    <w:rsid w:val="00105986"/>
    <w:rsid w:val="00105D86"/>
    <w:rsid w:val="0010646B"/>
    <w:rsid w:val="001067EE"/>
    <w:rsid w:val="001072C0"/>
    <w:rsid w:val="00107378"/>
    <w:rsid w:val="001110E2"/>
    <w:rsid w:val="0011110A"/>
    <w:rsid w:val="00111832"/>
    <w:rsid w:val="0011319E"/>
    <w:rsid w:val="00113519"/>
    <w:rsid w:val="00113572"/>
    <w:rsid w:val="00113909"/>
    <w:rsid w:val="00113EA4"/>
    <w:rsid w:val="00114602"/>
    <w:rsid w:val="00116E08"/>
    <w:rsid w:val="0012488F"/>
    <w:rsid w:val="001253B1"/>
    <w:rsid w:val="00127184"/>
    <w:rsid w:val="001273DA"/>
    <w:rsid w:val="00127757"/>
    <w:rsid w:val="001307B0"/>
    <w:rsid w:val="00132E64"/>
    <w:rsid w:val="00134B46"/>
    <w:rsid w:val="001358A7"/>
    <w:rsid w:val="00135D26"/>
    <w:rsid w:val="00137829"/>
    <w:rsid w:val="00140304"/>
    <w:rsid w:val="001431E9"/>
    <w:rsid w:val="001432FA"/>
    <w:rsid w:val="00143A18"/>
    <w:rsid w:val="00144DB0"/>
    <w:rsid w:val="00145444"/>
    <w:rsid w:val="0014618C"/>
    <w:rsid w:val="0014630E"/>
    <w:rsid w:val="00146D4D"/>
    <w:rsid w:val="00147DCD"/>
    <w:rsid w:val="001503EF"/>
    <w:rsid w:val="00150E5A"/>
    <w:rsid w:val="00153585"/>
    <w:rsid w:val="00154274"/>
    <w:rsid w:val="00161433"/>
    <w:rsid w:val="00162DBE"/>
    <w:rsid w:val="00162E5C"/>
    <w:rsid w:val="00162F5F"/>
    <w:rsid w:val="00163B28"/>
    <w:rsid w:val="00163FE4"/>
    <w:rsid w:val="00164A64"/>
    <w:rsid w:val="001663BE"/>
    <w:rsid w:val="00166881"/>
    <w:rsid w:val="0016722B"/>
    <w:rsid w:val="00167821"/>
    <w:rsid w:val="00167C48"/>
    <w:rsid w:val="00171848"/>
    <w:rsid w:val="00171973"/>
    <w:rsid w:val="0017320D"/>
    <w:rsid w:val="00174031"/>
    <w:rsid w:val="00174D1B"/>
    <w:rsid w:val="00176454"/>
    <w:rsid w:val="001764DE"/>
    <w:rsid w:val="00177172"/>
    <w:rsid w:val="001810FF"/>
    <w:rsid w:val="0018148E"/>
    <w:rsid w:val="00181DDD"/>
    <w:rsid w:val="00182937"/>
    <w:rsid w:val="001857DE"/>
    <w:rsid w:val="001865F8"/>
    <w:rsid w:val="00186BB0"/>
    <w:rsid w:val="00186E1C"/>
    <w:rsid w:val="00191382"/>
    <w:rsid w:val="00191877"/>
    <w:rsid w:val="00192E3F"/>
    <w:rsid w:val="00193405"/>
    <w:rsid w:val="001937DF"/>
    <w:rsid w:val="00194939"/>
    <w:rsid w:val="00194D8F"/>
    <w:rsid w:val="00197186"/>
    <w:rsid w:val="001978A5"/>
    <w:rsid w:val="001A3DAE"/>
    <w:rsid w:val="001A4A21"/>
    <w:rsid w:val="001A4BC0"/>
    <w:rsid w:val="001A6BE8"/>
    <w:rsid w:val="001A6CC6"/>
    <w:rsid w:val="001A6E2C"/>
    <w:rsid w:val="001A6EBC"/>
    <w:rsid w:val="001B0695"/>
    <w:rsid w:val="001B125C"/>
    <w:rsid w:val="001B1BDF"/>
    <w:rsid w:val="001B27B0"/>
    <w:rsid w:val="001B2B6F"/>
    <w:rsid w:val="001B2CEB"/>
    <w:rsid w:val="001B2F7A"/>
    <w:rsid w:val="001B3637"/>
    <w:rsid w:val="001B5437"/>
    <w:rsid w:val="001B69E1"/>
    <w:rsid w:val="001B6B29"/>
    <w:rsid w:val="001B7509"/>
    <w:rsid w:val="001C14FC"/>
    <w:rsid w:val="001C260B"/>
    <w:rsid w:val="001C2B1D"/>
    <w:rsid w:val="001C3EC8"/>
    <w:rsid w:val="001C4320"/>
    <w:rsid w:val="001C5333"/>
    <w:rsid w:val="001C5518"/>
    <w:rsid w:val="001C5887"/>
    <w:rsid w:val="001D0F5F"/>
    <w:rsid w:val="001D1AB8"/>
    <w:rsid w:val="001D3177"/>
    <w:rsid w:val="001D3C39"/>
    <w:rsid w:val="001D46E4"/>
    <w:rsid w:val="001D5929"/>
    <w:rsid w:val="001D60FD"/>
    <w:rsid w:val="001D637E"/>
    <w:rsid w:val="001D6948"/>
    <w:rsid w:val="001D7587"/>
    <w:rsid w:val="001E249F"/>
    <w:rsid w:val="001E3F3C"/>
    <w:rsid w:val="001E4595"/>
    <w:rsid w:val="001E58B3"/>
    <w:rsid w:val="001E5AD5"/>
    <w:rsid w:val="001E7A70"/>
    <w:rsid w:val="001F1612"/>
    <w:rsid w:val="001F2CFC"/>
    <w:rsid w:val="001F30D6"/>
    <w:rsid w:val="001F385C"/>
    <w:rsid w:val="001F3FDF"/>
    <w:rsid w:val="001F4C15"/>
    <w:rsid w:val="001F6065"/>
    <w:rsid w:val="002006D9"/>
    <w:rsid w:val="00200B5E"/>
    <w:rsid w:val="002028BB"/>
    <w:rsid w:val="00202C06"/>
    <w:rsid w:val="002046A5"/>
    <w:rsid w:val="00207687"/>
    <w:rsid w:val="00207D5E"/>
    <w:rsid w:val="00210310"/>
    <w:rsid w:val="002104C5"/>
    <w:rsid w:val="002108C2"/>
    <w:rsid w:val="00215003"/>
    <w:rsid w:val="00215AAF"/>
    <w:rsid w:val="00221EC6"/>
    <w:rsid w:val="0022245B"/>
    <w:rsid w:val="002225F0"/>
    <w:rsid w:val="00222947"/>
    <w:rsid w:val="00222DA2"/>
    <w:rsid w:val="00223E8A"/>
    <w:rsid w:val="00225AED"/>
    <w:rsid w:val="00225F52"/>
    <w:rsid w:val="002276B0"/>
    <w:rsid w:val="00227F55"/>
    <w:rsid w:val="002308A2"/>
    <w:rsid w:val="00230F51"/>
    <w:rsid w:val="00231EF9"/>
    <w:rsid w:val="00232574"/>
    <w:rsid w:val="0023297D"/>
    <w:rsid w:val="002333E4"/>
    <w:rsid w:val="00234704"/>
    <w:rsid w:val="00234C2A"/>
    <w:rsid w:val="002350D3"/>
    <w:rsid w:val="00237CFA"/>
    <w:rsid w:val="00240D10"/>
    <w:rsid w:val="00240DE5"/>
    <w:rsid w:val="00241044"/>
    <w:rsid w:val="002418A2"/>
    <w:rsid w:val="002426F9"/>
    <w:rsid w:val="002433F8"/>
    <w:rsid w:val="00243D25"/>
    <w:rsid w:val="00243EE9"/>
    <w:rsid w:val="0024415E"/>
    <w:rsid w:val="00246C46"/>
    <w:rsid w:val="00246DF2"/>
    <w:rsid w:val="00247081"/>
    <w:rsid w:val="00247AE3"/>
    <w:rsid w:val="002505B7"/>
    <w:rsid w:val="002509B5"/>
    <w:rsid w:val="0025166E"/>
    <w:rsid w:val="002517C6"/>
    <w:rsid w:val="00252896"/>
    <w:rsid w:val="00254124"/>
    <w:rsid w:val="0025438A"/>
    <w:rsid w:val="00254752"/>
    <w:rsid w:val="00254E32"/>
    <w:rsid w:val="002604AE"/>
    <w:rsid w:val="002606A6"/>
    <w:rsid w:val="00260C88"/>
    <w:rsid w:val="0026553B"/>
    <w:rsid w:val="00265C2E"/>
    <w:rsid w:val="00266376"/>
    <w:rsid w:val="00267EA4"/>
    <w:rsid w:val="00270BC3"/>
    <w:rsid w:val="00272979"/>
    <w:rsid w:val="00272AF3"/>
    <w:rsid w:val="00273A88"/>
    <w:rsid w:val="00273C7B"/>
    <w:rsid w:val="0027484E"/>
    <w:rsid w:val="0027497A"/>
    <w:rsid w:val="00274CF5"/>
    <w:rsid w:val="0027555C"/>
    <w:rsid w:val="0027563D"/>
    <w:rsid w:val="00275D02"/>
    <w:rsid w:val="002761AC"/>
    <w:rsid w:val="002767C1"/>
    <w:rsid w:val="00276B2E"/>
    <w:rsid w:val="00276E40"/>
    <w:rsid w:val="0027787A"/>
    <w:rsid w:val="0028011C"/>
    <w:rsid w:val="00280CAD"/>
    <w:rsid w:val="00282432"/>
    <w:rsid w:val="002857FB"/>
    <w:rsid w:val="00285B1F"/>
    <w:rsid w:val="002865C3"/>
    <w:rsid w:val="002868E6"/>
    <w:rsid w:val="002874C7"/>
    <w:rsid w:val="00290415"/>
    <w:rsid w:val="0029192C"/>
    <w:rsid w:val="00292D3B"/>
    <w:rsid w:val="002933B5"/>
    <w:rsid w:val="00294814"/>
    <w:rsid w:val="00294DA8"/>
    <w:rsid w:val="00296AFB"/>
    <w:rsid w:val="002A0C48"/>
    <w:rsid w:val="002A2022"/>
    <w:rsid w:val="002A4936"/>
    <w:rsid w:val="002A71F7"/>
    <w:rsid w:val="002A77DC"/>
    <w:rsid w:val="002B0BE0"/>
    <w:rsid w:val="002B16A9"/>
    <w:rsid w:val="002B269A"/>
    <w:rsid w:val="002B31EE"/>
    <w:rsid w:val="002B3B24"/>
    <w:rsid w:val="002B5617"/>
    <w:rsid w:val="002B594A"/>
    <w:rsid w:val="002B5E90"/>
    <w:rsid w:val="002B660B"/>
    <w:rsid w:val="002B79F8"/>
    <w:rsid w:val="002C0951"/>
    <w:rsid w:val="002C235D"/>
    <w:rsid w:val="002C2B3A"/>
    <w:rsid w:val="002C370A"/>
    <w:rsid w:val="002C387E"/>
    <w:rsid w:val="002C56DB"/>
    <w:rsid w:val="002C614B"/>
    <w:rsid w:val="002C7942"/>
    <w:rsid w:val="002D165D"/>
    <w:rsid w:val="002D1C65"/>
    <w:rsid w:val="002D358F"/>
    <w:rsid w:val="002D3B97"/>
    <w:rsid w:val="002D3D25"/>
    <w:rsid w:val="002D40C5"/>
    <w:rsid w:val="002D5267"/>
    <w:rsid w:val="002D5799"/>
    <w:rsid w:val="002D58FC"/>
    <w:rsid w:val="002D5F85"/>
    <w:rsid w:val="002D6114"/>
    <w:rsid w:val="002D680E"/>
    <w:rsid w:val="002D6C78"/>
    <w:rsid w:val="002D72C9"/>
    <w:rsid w:val="002D7400"/>
    <w:rsid w:val="002D77A2"/>
    <w:rsid w:val="002D7CA3"/>
    <w:rsid w:val="002D7FBE"/>
    <w:rsid w:val="002E0AB8"/>
    <w:rsid w:val="002E17B8"/>
    <w:rsid w:val="002E20E8"/>
    <w:rsid w:val="002E230A"/>
    <w:rsid w:val="002E29C7"/>
    <w:rsid w:val="002E315A"/>
    <w:rsid w:val="002E3E50"/>
    <w:rsid w:val="002E5EA3"/>
    <w:rsid w:val="002E6253"/>
    <w:rsid w:val="002E7790"/>
    <w:rsid w:val="002F0B2E"/>
    <w:rsid w:val="002F17D7"/>
    <w:rsid w:val="002F1C45"/>
    <w:rsid w:val="002F27B4"/>
    <w:rsid w:val="002F2E57"/>
    <w:rsid w:val="002F3B92"/>
    <w:rsid w:val="002F4875"/>
    <w:rsid w:val="002F5867"/>
    <w:rsid w:val="002F6192"/>
    <w:rsid w:val="002F68E4"/>
    <w:rsid w:val="002F751E"/>
    <w:rsid w:val="00300542"/>
    <w:rsid w:val="0030095A"/>
    <w:rsid w:val="003034D4"/>
    <w:rsid w:val="003051F5"/>
    <w:rsid w:val="00305351"/>
    <w:rsid w:val="00306204"/>
    <w:rsid w:val="003069A9"/>
    <w:rsid w:val="003071D0"/>
    <w:rsid w:val="00310F07"/>
    <w:rsid w:val="00312489"/>
    <w:rsid w:val="00312662"/>
    <w:rsid w:val="00312822"/>
    <w:rsid w:val="00313310"/>
    <w:rsid w:val="0031432D"/>
    <w:rsid w:val="00315337"/>
    <w:rsid w:val="003157AE"/>
    <w:rsid w:val="0031582D"/>
    <w:rsid w:val="003174EE"/>
    <w:rsid w:val="00321277"/>
    <w:rsid w:val="00321EA2"/>
    <w:rsid w:val="0032213D"/>
    <w:rsid w:val="003246F4"/>
    <w:rsid w:val="00325429"/>
    <w:rsid w:val="00327351"/>
    <w:rsid w:val="003277B7"/>
    <w:rsid w:val="00327FA9"/>
    <w:rsid w:val="003312FF"/>
    <w:rsid w:val="003317B6"/>
    <w:rsid w:val="00331A4B"/>
    <w:rsid w:val="00331B2A"/>
    <w:rsid w:val="00332840"/>
    <w:rsid w:val="00332C4B"/>
    <w:rsid w:val="00335B0F"/>
    <w:rsid w:val="003363CD"/>
    <w:rsid w:val="00337F97"/>
    <w:rsid w:val="00341F8E"/>
    <w:rsid w:val="00343922"/>
    <w:rsid w:val="00343B84"/>
    <w:rsid w:val="00343E30"/>
    <w:rsid w:val="003445D0"/>
    <w:rsid w:val="003446E5"/>
    <w:rsid w:val="0034729F"/>
    <w:rsid w:val="003506D1"/>
    <w:rsid w:val="003507E1"/>
    <w:rsid w:val="003509B8"/>
    <w:rsid w:val="0035110E"/>
    <w:rsid w:val="00351536"/>
    <w:rsid w:val="00354C0F"/>
    <w:rsid w:val="0035629A"/>
    <w:rsid w:val="003565D1"/>
    <w:rsid w:val="003578AE"/>
    <w:rsid w:val="0036044B"/>
    <w:rsid w:val="003605B5"/>
    <w:rsid w:val="003607B6"/>
    <w:rsid w:val="0036086B"/>
    <w:rsid w:val="0036144C"/>
    <w:rsid w:val="00361D17"/>
    <w:rsid w:val="00365115"/>
    <w:rsid w:val="00366952"/>
    <w:rsid w:val="00366DEF"/>
    <w:rsid w:val="0036702B"/>
    <w:rsid w:val="003726B4"/>
    <w:rsid w:val="00374371"/>
    <w:rsid w:val="00377D29"/>
    <w:rsid w:val="00380675"/>
    <w:rsid w:val="00380A69"/>
    <w:rsid w:val="00382837"/>
    <w:rsid w:val="00384D49"/>
    <w:rsid w:val="00384D74"/>
    <w:rsid w:val="00386D92"/>
    <w:rsid w:val="00387DE1"/>
    <w:rsid w:val="00390AFF"/>
    <w:rsid w:val="003911BA"/>
    <w:rsid w:val="00392D22"/>
    <w:rsid w:val="00392EFA"/>
    <w:rsid w:val="00393862"/>
    <w:rsid w:val="00393981"/>
    <w:rsid w:val="00393D03"/>
    <w:rsid w:val="00393EF8"/>
    <w:rsid w:val="00393F58"/>
    <w:rsid w:val="003942B7"/>
    <w:rsid w:val="00394ACA"/>
    <w:rsid w:val="003967F7"/>
    <w:rsid w:val="00396DEA"/>
    <w:rsid w:val="00397541"/>
    <w:rsid w:val="003A024D"/>
    <w:rsid w:val="003A103C"/>
    <w:rsid w:val="003A2CE8"/>
    <w:rsid w:val="003A3CCC"/>
    <w:rsid w:val="003A40DB"/>
    <w:rsid w:val="003A4460"/>
    <w:rsid w:val="003A4ED8"/>
    <w:rsid w:val="003A5848"/>
    <w:rsid w:val="003B07DF"/>
    <w:rsid w:val="003B1D61"/>
    <w:rsid w:val="003B2950"/>
    <w:rsid w:val="003B33C5"/>
    <w:rsid w:val="003B4FB1"/>
    <w:rsid w:val="003B5179"/>
    <w:rsid w:val="003B5FD3"/>
    <w:rsid w:val="003B613D"/>
    <w:rsid w:val="003B6406"/>
    <w:rsid w:val="003B7506"/>
    <w:rsid w:val="003C177E"/>
    <w:rsid w:val="003C33D3"/>
    <w:rsid w:val="003C3D68"/>
    <w:rsid w:val="003C40F7"/>
    <w:rsid w:val="003C6746"/>
    <w:rsid w:val="003C6973"/>
    <w:rsid w:val="003C6B00"/>
    <w:rsid w:val="003C6D95"/>
    <w:rsid w:val="003D0563"/>
    <w:rsid w:val="003D0CAA"/>
    <w:rsid w:val="003D169E"/>
    <w:rsid w:val="003D2CE4"/>
    <w:rsid w:val="003D3E75"/>
    <w:rsid w:val="003D595E"/>
    <w:rsid w:val="003D6F81"/>
    <w:rsid w:val="003D7202"/>
    <w:rsid w:val="003D7452"/>
    <w:rsid w:val="003D7753"/>
    <w:rsid w:val="003E03A8"/>
    <w:rsid w:val="003E21A5"/>
    <w:rsid w:val="003E315C"/>
    <w:rsid w:val="003E49CD"/>
    <w:rsid w:val="003E5D26"/>
    <w:rsid w:val="003E6F73"/>
    <w:rsid w:val="003E7008"/>
    <w:rsid w:val="003E7541"/>
    <w:rsid w:val="003F0D57"/>
    <w:rsid w:val="003F2B05"/>
    <w:rsid w:val="003F4DC7"/>
    <w:rsid w:val="003F6815"/>
    <w:rsid w:val="003F6B1D"/>
    <w:rsid w:val="003F7225"/>
    <w:rsid w:val="00400879"/>
    <w:rsid w:val="00401EB9"/>
    <w:rsid w:val="0040238E"/>
    <w:rsid w:val="0040342B"/>
    <w:rsid w:val="00403C0E"/>
    <w:rsid w:val="004042B5"/>
    <w:rsid w:val="0040440F"/>
    <w:rsid w:val="00404C74"/>
    <w:rsid w:val="004053AA"/>
    <w:rsid w:val="00405A60"/>
    <w:rsid w:val="0040782E"/>
    <w:rsid w:val="0041229A"/>
    <w:rsid w:val="00412504"/>
    <w:rsid w:val="004146AF"/>
    <w:rsid w:val="00414A82"/>
    <w:rsid w:val="00414B8C"/>
    <w:rsid w:val="004150C1"/>
    <w:rsid w:val="0041533F"/>
    <w:rsid w:val="004160EC"/>
    <w:rsid w:val="00417FDD"/>
    <w:rsid w:val="004211BF"/>
    <w:rsid w:val="00422538"/>
    <w:rsid w:val="00422A62"/>
    <w:rsid w:val="00422D29"/>
    <w:rsid w:val="00423E95"/>
    <w:rsid w:val="004247BC"/>
    <w:rsid w:val="004250B1"/>
    <w:rsid w:val="00425438"/>
    <w:rsid w:val="00426972"/>
    <w:rsid w:val="00426ED9"/>
    <w:rsid w:val="00427014"/>
    <w:rsid w:val="00430B45"/>
    <w:rsid w:val="00430D7F"/>
    <w:rsid w:val="004357CA"/>
    <w:rsid w:val="004357D4"/>
    <w:rsid w:val="00435A68"/>
    <w:rsid w:val="004371E0"/>
    <w:rsid w:val="0044120B"/>
    <w:rsid w:val="00441381"/>
    <w:rsid w:val="00443389"/>
    <w:rsid w:val="00443968"/>
    <w:rsid w:val="00443B27"/>
    <w:rsid w:val="00444433"/>
    <w:rsid w:val="004479BB"/>
    <w:rsid w:val="00451A98"/>
    <w:rsid w:val="00451EB0"/>
    <w:rsid w:val="00452372"/>
    <w:rsid w:val="00452C4F"/>
    <w:rsid w:val="00452D9C"/>
    <w:rsid w:val="00453904"/>
    <w:rsid w:val="0045394D"/>
    <w:rsid w:val="004539AA"/>
    <w:rsid w:val="00454597"/>
    <w:rsid w:val="00454BB4"/>
    <w:rsid w:val="00454DA8"/>
    <w:rsid w:val="00455576"/>
    <w:rsid w:val="004565A7"/>
    <w:rsid w:val="00456B56"/>
    <w:rsid w:val="00456E26"/>
    <w:rsid w:val="00460790"/>
    <w:rsid w:val="004610B8"/>
    <w:rsid w:val="004616BD"/>
    <w:rsid w:val="00464F61"/>
    <w:rsid w:val="004658EC"/>
    <w:rsid w:val="004668B3"/>
    <w:rsid w:val="00466FFB"/>
    <w:rsid w:val="004673CE"/>
    <w:rsid w:val="00470EBD"/>
    <w:rsid w:val="004713C6"/>
    <w:rsid w:val="00471C1B"/>
    <w:rsid w:val="004720B0"/>
    <w:rsid w:val="00472A55"/>
    <w:rsid w:val="00472E7F"/>
    <w:rsid w:val="00473990"/>
    <w:rsid w:val="00474AD5"/>
    <w:rsid w:val="00474ADA"/>
    <w:rsid w:val="00475853"/>
    <w:rsid w:val="00476248"/>
    <w:rsid w:val="00477FF5"/>
    <w:rsid w:val="0048121C"/>
    <w:rsid w:val="004824A8"/>
    <w:rsid w:val="004829E9"/>
    <w:rsid w:val="0048333A"/>
    <w:rsid w:val="00483919"/>
    <w:rsid w:val="00484163"/>
    <w:rsid w:val="00484FAA"/>
    <w:rsid w:val="00486ED6"/>
    <w:rsid w:val="004879CA"/>
    <w:rsid w:val="00487C8E"/>
    <w:rsid w:val="00490591"/>
    <w:rsid w:val="00490C06"/>
    <w:rsid w:val="00490DF0"/>
    <w:rsid w:val="0049147E"/>
    <w:rsid w:val="00492146"/>
    <w:rsid w:val="004921D9"/>
    <w:rsid w:val="00492A30"/>
    <w:rsid w:val="00493581"/>
    <w:rsid w:val="00494EF4"/>
    <w:rsid w:val="0049572E"/>
    <w:rsid w:val="00495C6D"/>
    <w:rsid w:val="004964CC"/>
    <w:rsid w:val="004A0571"/>
    <w:rsid w:val="004A2533"/>
    <w:rsid w:val="004A40A4"/>
    <w:rsid w:val="004A454B"/>
    <w:rsid w:val="004A4715"/>
    <w:rsid w:val="004A55EB"/>
    <w:rsid w:val="004A5B8F"/>
    <w:rsid w:val="004A7168"/>
    <w:rsid w:val="004A76A8"/>
    <w:rsid w:val="004B16C0"/>
    <w:rsid w:val="004B282C"/>
    <w:rsid w:val="004B309A"/>
    <w:rsid w:val="004B4978"/>
    <w:rsid w:val="004B4C7C"/>
    <w:rsid w:val="004B524D"/>
    <w:rsid w:val="004B5BC7"/>
    <w:rsid w:val="004B5EB5"/>
    <w:rsid w:val="004B62B8"/>
    <w:rsid w:val="004C037B"/>
    <w:rsid w:val="004C0997"/>
    <w:rsid w:val="004C28BA"/>
    <w:rsid w:val="004C3C9B"/>
    <w:rsid w:val="004C3E2D"/>
    <w:rsid w:val="004C505C"/>
    <w:rsid w:val="004C5206"/>
    <w:rsid w:val="004C6392"/>
    <w:rsid w:val="004C7961"/>
    <w:rsid w:val="004D021B"/>
    <w:rsid w:val="004D14DF"/>
    <w:rsid w:val="004D1633"/>
    <w:rsid w:val="004D1C41"/>
    <w:rsid w:val="004D1FC2"/>
    <w:rsid w:val="004D2574"/>
    <w:rsid w:val="004D5409"/>
    <w:rsid w:val="004D57F8"/>
    <w:rsid w:val="004D5F59"/>
    <w:rsid w:val="004D6ECA"/>
    <w:rsid w:val="004E0979"/>
    <w:rsid w:val="004E0B78"/>
    <w:rsid w:val="004E2E6F"/>
    <w:rsid w:val="004E53A8"/>
    <w:rsid w:val="004E69EE"/>
    <w:rsid w:val="004E6F28"/>
    <w:rsid w:val="004F06A5"/>
    <w:rsid w:val="004F11FE"/>
    <w:rsid w:val="004F1822"/>
    <w:rsid w:val="004F2CCA"/>
    <w:rsid w:val="004F3132"/>
    <w:rsid w:val="004F579D"/>
    <w:rsid w:val="004F5DF4"/>
    <w:rsid w:val="004F6B2D"/>
    <w:rsid w:val="004F74F2"/>
    <w:rsid w:val="004F7E11"/>
    <w:rsid w:val="005002E5"/>
    <w:rsid w:val="00500E63"/>
    <w:rsid w:val="00503EDD"/>
    <w:rsid w:val="00505B10"/>
    <w:rsid w:val="005063C6"/>
    <w:rsid w:val="005065BB"/>
    <w:rsid w:val="00507C0F"/>
    <w:rsid w:val="005108F8"/>
    <w:rsid w:val="005115C6"/>
    <w:rsid w:val="00512105"/>
    <w:rsid w:val="00513798"/>
    <w:rsid w:val="005164AB"/>
    <w:rsid w:val="005168ED"/>
    <w:rsid w:val="0052088C"/>
    <w:rsid w:val="00520C2D"/>
    <w:rsid w:val="00520FA2"/>
    <w:rsid w:val="0052319D"/>
    <w:rsid w:val="00525319"/>
    <w:rsid w:val="005263DB"/>
    <w:rsid w:val="00526CA4"/>
    <w:rsid w:val="00527C20"/>
    <w:rsid w:val="00530961"/>
    <w:rsid w:val="00533FED"/>
    <w:rsid w:val="005363EC"/>
    <w:rsid w:val="005374DA"/>
    <w:rsid w:val="0054126A"/>
    <w:rsid w:val="00541CCF"/>
    <w:rsid w:val="00542C6C"/>
    <w:rsid w:val="00542D92"/>
    <w:rsid w:val="00542FA8"/>
    <w:rsid w:val="00543824"/>
    <w:rsid w:val="0054413B"/>
    <w:rsid w:val="00545DF1"/>
    <w:rsid w:val="00545F21"/>
    <w:rsid w:val="005465DC"/>
    <w:rsid w:val="00546C92"/>
    <w:rsid w:val="00546F6B"/>
    <w:rsid w:val="005502FF"/>
    <w:rsid w:val="00551848"/>
    <w:rsid w:val="00552964"/>
    <w:rsid w:val="005539DE"/>
    <w:rsid w:val="00553E61"/>
    <w:rsid w:val="0055404E"/>
    <w:rsid w:val="005545DD"/>
    <w:rsid w:val="00554973"/>
    <w:rsid w:val="0055613C"/>
    <w:rsid w:val="00556F15"/>
    <w:rsid w:val="00556FC0"/>
    <w:rsid w:val="00557151"/>
    <w:rsid w:val="0056093E"/>
    <w:rsid w:val="0056180E"/>
    <w:rsid w:val="00561D04"/>
    <w:rsid w:val="00562E64"/>
    <w:rsid w:val="00563E67"/>
    <w:rsid w:val="00565173"/>
    <w:rsid w:val="00566E8F"/>
    <w:rsid w:val="00570B8B"/>
    <w:rsid w:val="00572155"/>
    <w:rsid w:val="00573200"/>
    <w:rsid w:val="005734F0"/>
    <w:rsid w:val="0057441C"/>
    <w:rsid w:val="00575332"/>
    <w:rsid w:val="005770D6"/>
    <w:rsid w:val="00577A4E"/>
    <w:rsid w:val="00580EF2"/>
    <w:rsid w:val="00583538"/>
    <w:rsid w:val="005836DB"/>
    <w:rsid w:val="00583951"/>
    <w:rsid w:val="0058424E"/>
    <w:rsid w:val="005846D3"/>
    <w:rsid w:val="00585949"/>
    <w:rsid w:val="00585C7B"/>
    <w:rsid w:val="00586AB9"/>
    <w:rsid w:val="0058703B"/>
    <w:rsid w:val="00587534"/>
    <w:rsid w:val="00587D94"/>
    <w:rsid w:val="005904E5"/>
    <w:rsid w:val="00591497"/>
    <w:rsid w:val="0059156C"/>
    <w:rsid w:val="005916E9"/>
    <w:rsid w:val="005918DC"/>
    <w:rsid w:val="005921CE"/>
    <w:rsid w:val="00593CCD"/>
    <w:rsid w:val="00593E77"/>
    <w:rsid w:val="00594250"/>
    <w:rsid w:val="00597848"/>
    <w:rsid w:val="00597C3C"/>
    <w:rsid w:val="00597F88"/>
    <w:rsid w:val="005A20BC"/>
    <w:rsid w:val="005A2B88"/>
    <w:rsid w:val="005A3B2F"/>
    <w:rsid w:val="005A3BEA"/>
    <w:rsid w:val="005A3ECD"/>
    <w:rsid w:val="005A40F8"/>
    <w:rsid w:val="005A461F"/>
    <w:rsid w:val="005A4E89"/>
    <w:rsid w:val="005A76D1"/>
    <w:rsid w:val="005B0684"/>
    <w:rsid w:val="005B0CF3"/>
    <w:rsid w:val="005B1193"/>
    <w:rsid w:val="005B20B8"/>
    <w:rsid w:val="005B2896"/>
    <w:rsid w:val="005B2FD5"/>
    <w:rsid w:val="005B47CD"/>
    <w:rsid w:val="005B637D"/>
    <w:rsid w:val="005B6E5B"/>
    <w:rsid w:val="005B73D9"/>
    <w:rsid w:val="005B7990"/>
    <w:rsid w:val="005C1E21"/>
    <w:rsid w:val="005C20B0"/>
    <w:rsid w:val="005C651F"/>
    <w:rsid w:val="005C759D"/>
    <w:rsid w:val="005D0053"/>
    <w:rsid w:val="005D1A94"/>
    <w:rsid w:val="005D32B1"/>
    <w:rsid w:val="005D3310"/>
    <w:rsid w:val="005D3E5E"/>
    <w:rsid w:val="005D428B"/>
    <w:rsid w:val="005D4335"/>
    <w:rsid w:val="005D4A72"/>
    <w:rsid w:val="005D5521"/>
    <w:rsid w:val="005D67D5"/>
    <w:rsid w:val="005D715D"/>
    <w:rsid w:val="005D77C1"/>
    <w:rsid w:val="005D7B5E"/>
    <w:rsid w:val="005E0E48"/>
    <w:rsid w:val="005E200C"/>
    <w:rsid w:val="005E3270"/>
    <w:rsid w:val="005E3AD7"/>
    <w:rsid w:val="005E3C66"/>
    <w:rsid w:val="005E5490"/>
    <w:rsid w:val="005E62AE"/>
    <w:rsid w:val="005F0D0F"/>
    <w:rsid w:val="005F193B"/>
    <w:rsid w:val="005F2ABF"/>
    <w:rsid w:val="005F47C8"/>
    <w:rsid w:val="005F599A"/>
    <w:rsid w:val="005F6530"/>
    <w:rsid w:val="005F7172"/>
    <w:rsid w:val="005F7541"/>
    <w:rsid w:val="005F7E19"/>
    <w:rsid w:val="006005A2"/>
    <w:rsid w:val="00600E9A"/>
    <w:rsid w:val="00602691"/>
    <w:rsid w:val="006045AC"/>
    <w:rsid w:val="00605661"/>
    <w:rsid w:val="00606766"/>
    <w:rsid w:val="00606ED2"/>
    <w:rsid w:val="006103FB"/>
    <w:rsid w:val="00611995"/>
    <w:rsid w:val="00614873"/>
    <w:rsid w:val="00614AB6"/>
    <w:rsid w:val="00615305"/>
    <w:rsid w:val="00615334"/>
    <w:rsid w:val="0061564B"/>
    <w:rsid w:val="00615958"/>
    <w:rsid w:val="00615D9E"/>
    <w:rsid w:val="00615EAB"/>
    <w:rsid w:val="00616DF0"/>
    <w:rsid w:val="00617368"/>
    <w:rsid w:val="00620DFF"/>
    <w:rsid w:val="00621446"/>
    <w:rsid w:val="006219F4"/>
    <w:rsid w:val="00621E87"/>
    <w:rsid w:val="006226E5"/>
    <w:rsid w:val="00623683"/>
    <w:rsid w:val="00623B56"/>
    <w:rsid w:val="00623DFC"/>
    <w:rsid w:val="006265C3"/>
    <w:rsid w:val="006268A7"/>
    <w:rsid w:val="00627D3A"/>
    <w:rsid w:val="006303F7"/>
    <w:rsid w:val="00631A85"/>
    <w:rsid w:val="00634341"/>
    <w:rsid w:val="00634B91"/>
    <w:rsid w:val="00634DE0"/>
    <w:rsid w:val="00635A37"/>
    <w:rsid w:val="00636861"/>
    <w:rsid w:val="006376A4"/>
    <w:rsid w:val="0064125A"/>
    <w:rsid w:val="00641368"/>
    <w:rsid w:val="00642E61"/>
    <w:rsid w:val="00644163"/>
    <w:rsid w:val="00644637"/>
    <w:rsid w:val="00644DD6"/>
    <w:rsid w:val="00646C49"/>
    <w:rsid w:val="00650492"/>
    <w:rsid w:val="006511EC"/>
    <w:rsid w:val="00652BA1"/>
    <w:rsid w:val="00652F24"/>
    <w:rsid w:val="006539EC"/>
    <w:rsid w:val="006543D7"/>
    <w:rsid w:val="0065472F"/>
    <w:rsid w:val="00654B6E"/>
    <w:rsid w:val="006569C7"/>
    <w:rsid w:val="00656C9E"/>
    <w:rsid w:val="00657FCF"/>
    <w:rsid w:val="0066073C"/>
    <w:rsid w:val="0066089B"/>
    <w:rsid w:val="00660FA9"/>
    <w:rsid w:val="0066136E"/>
    <w:rsid w:val="006618BB"/>
    <w:rsid w:val="00661BF3"/>
    <w:rsid w:val="0066300E"/>
    <w:rsid w:val="006634F2"/>
    <w:rsid w:val="0066400E"/>
    <w:rsid w:val="006646CF"/>
    <w:rsid w:val="006648D4"/>
    <w:rsid w:val="0066699C"/>
    <w:rsid w:val="00666C63"/>
    <w:rsid w:val="00667087"/>
    <w:rsid w:val="00667445"/>
    <w:rsid w:val="00670630"/>
    <w:rsid w:val="00672226"/>
    <w:rsid w:val="006722BF"/>
    <w:rsid w:val="00672FF4"/>
    <w:rsid w:val="00674C4C"/>
    <w:rsid w:val="00675148"/>
    <w:rsid w:val="00675826"/>
    <w:rsid w:val="00676440"/>
    <w:rsid w:val="0067744D"/>
    <w:rsid w:val="0067771F"/>
    <w:rsid w:val="006805A0"/>
    <w:rsid w:val="006809EC"/>
    <w:rsid w:val="00682635"/>
    <w:rsid w:val="00682A64"/>
    <w:rsid w:val="00685C09"/>
    <w:rsid w:val="006875E0"/>
    <w:rsid w:val="00687623"/>
    <w:rsid w:val="00687DB7"/>
    <w:rsid w:val="00692424"/>
    <w:rsid w:val="0069262F"/>
    <w:rsid w:val="0069402D"/>
    <w:rsid w:val="00695758"/>
    <w:rsid w:val="00695E58"/>
    <w:rsid w:val="00696D23"/>
    <w:rsid w:val="00697EFB"/>
    <w:rsid w:val="006A6E88"/>
    <w:rsid w:val="006B11E3"/>
    <w:rsid w:val="006B22DB"/>
    <w:rsid w:val="006B3393"/>
    <w:rsid w:val="006B3506"/>
    <w:rsid w:val="006B3C3A"/>
    <w:rsid w:val="006B403B"/>
    <w:rsid w:val="006B57F2"/>
    <w:rsid w:val="006B5F55"/>
    <w:rsid w:val="006B6BF7"/>
    <w:rsid w:val="006B7549"/>
    <w:rsid w:val="006C0DF4"/>
    <w:rsid w:val="006C255D"/>
    <w:rsid w:val="006C31E8"/>
    <w:rsid w:val="006C3F40"/>
    <w:rsid w:val="006C444A"/>
    <w:rsid w:val="006C4628"/>
    <w:rsid w:val="006C61FE"/>
    <w:rsid w:val="006C71CE"/>
    <w:rsid w:val="006C7958"/>
    <w:rsid w:val="006D1472"/>
    <w:rsid w:val="006D3D7B"/>
    <w:rsid w:val="006D527E"/>
    <w:rsid w:val="006D53B2"/>
    <w:rsid w:val="006D5904"/>
    <w:rsid w:val="006D7398"/>
    <w:rsid w:val="006E1AB7"/>
    <w:rsid w:val="006E1E65"/>
    <w:rsid w:val="006E266D"/>
    <w:rsid w:val="006E378A"/>
    <w:rsid w:val="006E4715"/>
    <w:rsid w:val="006E4FDB"/>
    <w:rsid w:val="006E5CBB"/>
    <w:rsid w:val="006E68BA"/>
    <w:rsid w:val="006E6A65"/>
    <w:rsid w:val="006F1D37"/>
    <w:rsid w:val="006F2988"/>
    <w:rsid w:val="006F2C03"/>
    <w:rsid w:val="006F5EEC"/>
    <w:rsid w:val="006F636F"/>
    <w:rsid w:val="006F6479"/>
    <w:rsid w:val="006F6C9A"/>
    <w:rsid w:val="007004EE"/>
    <w:rsid w:val="007008BD"/>
    <w:rsid w:val="007013EA"/>
    <w:rsid w:val="007018DD"/>
    <w:rsid w:val="00702415"/>
    <w:rsid w:val="00702EE8"/>
    <w:rsid w:val="00702F09"/>
    <w:rsid w:val="007034F6"/>
    <w:rsid w:val="007069D5"/>
    <w:rsid w:val="0070735F"/>
    <w:rsid w:val="00707773"/>
    <w:rsid w:val="0071096A"/>
    <w:rsid w:val="00710E19"/>
    <w:rsid w:val="007126F3"/>
    <w:rsid w:val="00712A64"/>
    <w:rsid w:val="00713513"/>
    <w:rsid w:val="00720B12"/>
    <w:rsid w:val="00721336"/>
    <w:rsid w:val="0072344F"/>
    <w:rsid w:val="0072373A"/>
    <w:rsid w:val="007248D3"/>
    <w:rsid w:val="00725C19"/>
    <w:rsid w:val="00726C11"/>
    <w:rsid w:val="007277EF"/>
    <w:rsid w:val="00730E6F"/>
    <w:rsid w:val="00732627"/>
    <w:rsid w:val="00734BA2"/>
    <w:rsid w:val="007357BD"/>
    <w:rsid w:val="00740405"/>
    <w:rsid w:val="00742B37"/>
    <w:rsid w:val="00746500"/>
    <w:rsid w:val="00747596"/>
    <w:rsid w:val="0075272D"/>
    <w:rsid w:val="007533DA"/>
    <w:rsid w:val="0075497C"/>
    <w:rsid w:val="007549C2"/>
    <w:rsid w:val="0075512C"/>
    <w:rsid w:val="0075530C"/>
    <w:rsid w:val="00756CE7"/>
    <w:rsid w:val="007573D8"/>
    <w:rsid w:val="00757964"/>
    <w:rsid w:val="00760794"/>
    <w:rsid w:val="007616C6"/>
    <w:rsid w:val="00761ACB"/>
    <w:rsid w:val="007626F0"/>
    <w:rsid w:val="007638E1"/>
    <w:rsid w:val="00763AAB"/>
    <w:rsid w:val="007649A9"/>
    <w:rsid w:val="0076547D"/>
    <w:rsid w:val="00765BE2"/>
    <w:rsid w:val="007664DF"/>
    <w:rsid w:val="00766CE5"/>
    <w:rsid w:val="0076744B"/>
    <w:rsid w:val="00771862"/>
    <w:rsid w:val="0077188B"/>
    <w:rsid w:val="00772357"/>
    <w:rsid w:val="00773232"/>
    <w:rsid w:val="007732E4"/>
    <w:rsid w:val="00773B05"/>
    <w:rsid w:val="00775760"/>
    <w:rsid w:val="0077631B"/>
    <w:rsid w:val="007813C2"/>
    <w:rsid w:val="007826A6"/>
    <w:rsid w:val="00782984"/>
    <w:rsid w:val="00782C54"/>
    <w:rsid w:val="0078422A"/>
    <w:rsid w:val="007847CB"/>
    <w:rsid w:val="00784F42"/>
    <w:rsid w:val="00785083"/>
    <w:rsid w:val="007853F6"/>
    <w:rsid w:val="00785423"/>
    <w:rsid w:val="00785623"/>
    <w:rsid w:val="00786070"/>
    <w:rsid w:val="00787820"/>
    <w:rsid w:val="00787C57"/>
    <w:rsid w:val="0079130A"/>
    <w:rsid w:val="007915C0"/>
    <w:rsid w:val="00792AE6"/>
    <w:rsid w:val="00793AF1"/>
    <w:rsid w:val="007966EE"/>
    <w:rsid w:val="007A0ED3"/>
    <w:rsid w:val="007A19D0"/>
    <w:rsid w:val="007A1FCF"/>
    <w:rsid w:val="007A2986"/>
    <w:rsid w:val="007A2B7F"/>
    <w:rsid w:val="007A3573"/>
    <w:rsid w:val="007A3DC9"/>
    <w:rsid w:val="007A4945"/>
    <w:rsid w:val="007A5EFC"/>
    <w:rsid w:val="007A68F8"/>
    <w:rsid w:val="007A73B2"/>
    <w:rsid w:val="007B0CA0"/>
    <w:rsid w:val="007B33C8"/>
    <w:rsid w:val="007B38B3"/>
    <w:rsid w:val="007B3C9A"/>
    <w:rsid w:val="007B43D0"/>
    <w:rsid w:val="007B576E"/>
    <w:rsid w:val="007B6376"/>
    <w:rsid w:val="007B6CAC"/>
    <w:rsid w:val="007B708F"/>
    <w:rsid w:val="007B778A"/>
    <w:rsid w:val="007B7B0D"/>
    <w:rsid w:val="007B7F6D"/>
    <w:rsid w:val="007C1844"/>
    <w:rsid w:val="007C2975"/>
    <w:rsid w:val="007C2997"/>
    <w:rsid w:val="007C4AAD"/>
    <w:rsid w:val="007C5612"/>
    <w:rsid w:val="007C5AF5"/>
    <w:rsid w:val="007C61D2"/>
    <w:rsid w:val="007C664A"/>
    <w:rsid w:val="007C7D56"/>
    <w:rsid w:val="007D1AC2"/>
    <w:rsid w:val="007D272A"/>
    <w:rsid w:val="007D450D"/>
    <w:rsid w:val="007D6271"/>
    <w:rsid w:val="007D7261"/>
    <w:rsid w:val="007E0AF5"/>
    <w:rsid w:val="007E11AE"/>
    <w:rsid w:val="007E2D40"/>
    <w:rsid w:val="007E2FDD"/>
    <w:rsid w:val="007E397E"/>
    <w:rsid w:val="007E43C5"/>
    <w:rsid w:val="007E5DF9"/>
    <w:rsid w:val="007E6053"/>
    <w:rsid w:val="007E672D"/>
    <w:rsid w:val="007E6B23"/>
    <w:rsid w:val="007E7232"/>
    <w:rsid w:val="007F134D"/>
    <w:rsid w:val="007F382C"/>
    <w:rsid w:val="007F3D2E"/>
    <w:rsid w:val="007F4E8D"/>
    <w:rsid w:val="007F50DB"/>
    <w:rsid w:val="007F5E50"/>
    <w:rsid w:val="00801178"/>
    <w:rsid w:val="00802E0E"/>
    <w:rsid w:val="008035E5"/>
    <w:rsid w:val="00803797"/>
    <w:rsid w:val="00803C9D"/>
    <w:rsid w:val="00804562"/>
    <w:rsid w:val="00804774"/>
    <w:rsid w:val="00805328"/>
    <w:rsid w:val="008062CF"/>
    <w:rsid w:val="00810DD6"/>
    <w:rsid w:val="00810E30"/>
    <w:rsid w:val="00811169"/>
    <w:rsid w:val="00814E07"/>
    <w:rsid w:val="00814E7E"/>
    <w:rsid w:val="008165C7"/>
    <w:rsid w:val="00816B16"/>
    <w:rsid w:val="00816F8A"/>
    <w:rsid w:val="008179F0"/>
    <w:rsid w:val="008210F2"/>
    <w:rsid w:val="0082123E"/>
    <w:rsid w:val="00821688"/>
    <w:rsid w:val="008234FF"/>
    <w:rsid w:val="0082351F"/>
    <w:rsid w:val="00825DED"/>
    <w:rsid w:val="00826B76"/>
    <w:rsid w:val="00827A4D"/>
    <w:rsid w:val="0083033C"/>
    <w:rsid w:val="008341D9"/>
    <w:rsid w:val="008342E4"/>
    <w:rsid w:val="0083509A"/>
    <w:rsid w:val="00836780"/>
    <w:rsid w:val="00840150"/>
    <w:rsid w:val="008419FF"/>
    <w:rsid w:val="008422E3"/>
    <w:rsid w:val="008424CF"/>
    <w:rsid w:val="00842804"/>
    <w:rsid w:val="0084333C"/>
    <w:rsid w:val="00843C0B"/>
    <w:rsid w:val="00844720"/>
    <w:rsid w:val="008449DE"/>
    <w:rsid w:val="00845A4F"/>
    <w:rsid w:val="00845D58"/>
    <w:rsid w:val="00846705"/>
    <w:rsid w:val="00846AA5"/>
    <w:rsid w:val="00847112"/>
    <w:rsid w:val="008508FF"/>
    <w:rsid w:val="008515F6"/>
    <w:rsid w:val="00852835"/>
    <w:rsid w:val="00852EA8"/>
    <w:rsid w:val="00853AFD"/>
    <w:rsid w:val="00854ABF"/>
    <w:rsid w:val="00854B7D"/>
    <w:rsid w:val="00854F73"/>
    <w:rsid w:val="008566C8"/>
    <w:rsid w:val="008578B6"/>
    <w:rsid w:val="00857C98"/>
    <w:rsid w:val="0086096C"/>
    <w:rsid w:val="008617E7"/>
    <w:rsid w:val="008621B2"/>
    <w:rsid w:val="008627DA"/>
    <w:rsid w:val="00862C23"/>
    <w:rsid w:val="008635A2"/>
    <w:rsid w:val="00863825"/>
    <w:rsid w:val="00863E10"/>
    <w:rsid w:val="00864283"/>
    <w:rsid w:val="008651C3"/>
    <w:rsid w:val="00865A89"/>
    <w:rsid w:val="0086669A"/>
    <w:rsid w:val="00867AE0"/>
    <w:rsid w:val="008704B8"/>
    <w:rsid w:val="00870DF5"/>
    <w:rsid w:val="00871902"/>
    <w:rsid w:val="00871ADB"/>
    <w:rsid w:val="00873B09"/>
    <w:rsid w:val="00874493"/>
    <w:rsid w:val="00874DE4"/>
    <w:rsid w:val="00875F5A"/>
    <w:rsid w:val="008762B3"/>
    <w:rsid w:val="008767E2"/>
    <w:rsid w:val="0087735E"/>
    <w:rsid w:val="00880CF8"/>
    <w:rsid w:val="008814A0"/>
    <w:rsid w:val="00881C7E"/>
    <w:rsid w:val="00881F05"/>
    <w:rsid w:val="0088223C"/>
    <w:rsid w:val="00882286"/>
    <w:rsid w:val="008823F7"/>
    <w:rsid w:val="00882AF2"/>
    <w:rsid w:val="00883052"/>
    <w:rsid w:val="00883523"/>
    <w:rsid w:val="00883EEB"/>
    <w:rsid w:val="00885C06"/>
    <w:rsid w:val="00886C31"/>
    <w:rsid w:val="00887E50"/>
    <w:rsid w:val="00890C33"/>
    <w:rsid w:val="0089215C"/>
    <w:rsid w:val="00892165"/>
    <w:rsid w:val="008943FE"/>
    <w:rsid w:val="00894B9B"/>
    <w:rsid w:val="008962AA"/>
    <w:rsid w:val="008966F6"/>
    <w:rsid w:val="0089680D"/>
    <w:rsid w:val="0089692A"/>
    <w:rsid w:val="008974C2"/>
    <w:rsid w:val="008A0028"/>
    <w:rsid w:val="008A0CE3"/>
    <w:rsid w:val="008A2A70"/>
    <w:rsid w:val="008A38B2"/>
    <w:rsid w:val="008A4C23"/>
    <w:rsid w:val="008A5F63"/>
    <w:rsid w:val="008A62BE"/>
    <w:rsid w:val="008A719D"/>
    <w:rsid w:val="008A7BBC"/>
    <w:rsid w:val="008B0441"/>
    <w:rsid w:val="008B0792"/>
    <w:rsid w:val="008B11D3"/>
    <w:rsid w:val="008B1229"/>
    <w:rsid w:val="008B2781"/>
    <w:rsid w:val="008B3826"/>
    <w:rsid w:val="008B401F"/>
    <w:rsid w:val="008B58C9"/>
    <w:rsid w:val="008B59B4"/>
    <w:rsid w:val="008B5EEF"/>
    <w:rsid w:val="008B606D"/>
    <w:rsid w:val="008B689D"/>
    <w:rsid w:val="008C0025"/>
    <w:rsid w:val="008C0C76"/>
    <w:rsid w:val="008C136A"/>
    <w:rsid w:val="008C1D4A"/>
    <w:rsid w:val="008C23C4"/>
    <w:rsid w:val="008C2C1C"/>
    <w:rsid w:val="008C34A7"/>
    <w:rsid w:val="008C361B"/>
    <w:rsid w:val="008C4B99"/>
    <w:rsid w:val="008C61EA"/>
    <w:rsid w:val="008D158F"/>
    <w:rsid w:val="008D1D81"/>
    <w:rsid w:val="008D4F09"/>
    <w:rsid w:val="008D6721"/>
    <w:rsid w:val="008D6960"/>
    <w:rsid w:val="008D778D"/>
    <w:rsid w:val="008D79B9"/>
    <w:rsid w:val="008E09F1"/>
    <w:rsid w:val="008E15E5"/>
    <w:rsid w:val="008E20C9"/>
    <w:rsid w:val="008E2DD2"/>
    <w:rsid w:val="008E3C6B"/>
    <w:rsid w:val="008E4023"/>
    <w:rsid w:val="008E48AE"/>
    <w:rsid w:val="008E4D3B"/>
    <w:rsid w:val="008E576D"/>
    <w:rsid w:val="008E655B"/>
    <w:rsid w:val="008E69CF"/>
    <w:rsid w:val="008E6C29"/>
    <w:rsid w:val="008E70DB"/>
    <w:rsid w:val="008F0D3D"/>
    <w:rsid w:val="008F2532"/>
    <w:rsid w:val="008F25F0"/>
    <w:rsid w:val="008F304A"/>
    <w:rsid w:val="008F4B39"/>
    <w:rsid w:val="008F4F39"/>
    <w:rsid w:val="008F553F"/>
    <w:rsid w:val="008F5CCD"/>
    <w:rsid w:val="008F69F7"/>
    <w:rsid w:val="008F6F44"/>
    <w:rsid w:val="00901D0A"/>
    <w:rsid w:val="00902411"/>
    <w:rsid w:val="00902EBA"/>
    <w:rsid w:val="009035EC"/>
    <w:rsid w:val="009047E0"/>
    <w:rsid w:val="00904FE0"/>
    <w:rsid w:val="00910081"/>
    <w:rsid w:val="0091048A"/>
    <w:rsid w:val="00910E20"/>
    <w:rsid w:val="00910F3B"/>
    <w:rsid w:val="00910FF0"/>
    <w:rsid w:val="009124A8"/>
    <w:rsid w:val="009163B0"/>
    <w:rsid w:val="00917A63"/>
    <w:rsid w:val="00920673"/>
    <w:rsid w:val="00920D75"/>
    <w:rsid w:val="00922F40"/>
    <w:rsid w:val="00924050"/>
    <w:rsid w:val="0092426F"/>
    <w:rsid w:val="00924733"/>
    <w:rsid w:val="00924F46"/>
    <w:rsid w:val="00925496"/>
    <w:rsid w:val="00926440"/>
    <w:rsid w:val="009268DF"/>
    <w:rsid w:val="00926F57"/>
    <w:rsid w:val="00927A90"/>
    <w:rsid w:val="00931A55"/>
    <w:rsid w:val="00931C7F"/>
    <w:rsid w:val="00932110"/>
    <w:rsid w:val="00932339"/>
    <w:rsid w:val="0093336F"/>
    <w:rsid w:val="00934263"/>
    <w:rsid w:val="00935E59"/>
    <w:rsid w:val="00936352"/>
    <w:rsid w:val="00940FEF"/>
    <w:rsid w:val="00941E6A"/>
    <w:rsid w:val="009420E4"/>
    <w:rsid w:val="009454D0"/>
    <w:rsid w:val="00946617"/>
    <w:rsid w:val="00947CCE"/>
    <w:rsid w:val="00951366"/>
    <w:rsid w:val="00951609"/>
    <w:rsid w:val="00951A80"/>
    <w:rsid w:val="00952A37"/>
    <w:rsid w:val="00953424"/>
    <w:rsid w:val="009536A0"/>
    <w:rsid w:val="00954CC0"/>
    <w:rsid w:val="00956844"/>
    <w:rsid w:val="00957293"/>
    <w:rsid w:val="00960DA9"/>
    <w:rsid w:val="00961C24"/>
    <w:rsid w:val="009628DC"/>
    <w:rsid w:val="00962B47"/>
    <w:rsid w:val="00965ECC"/>
    <w:rsid w:val="009667E2"/>
    <w:rsid w:val="00967704"/>
    <w:rsid w:val="00967A82"/>
    <w:rsid w:val="009700E1"/>
    <w:rsid w:val="00970B6F"/>
    <w:rsid w:val="0097108E"/>
    <w:rsid w:val="00972957"/>
    <w:rsid w:val="0097380D"/>
    <w:rsid w:val="00974E7E"/>
    <w:rsid w:val="00976A3F"/>
    <w:rsid w:val="00976E67"/>
    <w:rsid w:val="00977F19"/>
    <w:rsid w:val="00980E04"/>
    <w:rsid w:val="00984507"/>
    <w:rsid w:val="009855F3"/>
    <w:rsid w:val="00986442"/>
    <w:rsid w:val="0098686C"/>
    <w:rsid w:val="00987B90"/>
    <w:rsid w:val="009913BA"/>
    <w:rsid w:val="00991A92"/>
    <w:rsid w:val="00991B46"/>
    <w:rsid w:val="00992A5A"/>
    <w:rsid w:val="00995EE5"/>
    <w:rsid w:val="00997AE1"/>
    <w:rsid w:val="009A007C"/>
    <w:rsid w:val="009A0121"/>
    <w:rsid w:val="009A0684"/>
    <w:rsid w:val="009A12AA"/>
    <w:rsid w:val="009A24C8"/>
    <w:rsid w:val="009A360A"/>
    <w:rsid w:val="009A3F2C"/>
    <w:rsid w:val="009A5111"/>
    <w:rsid w:val="009A53E6"/>
    <w:rsid w:val="009A5502"/>
    <w:rsid w:val="009A721F"/>
    <w:rsid w:val="009A7A0D"/>
    <w:rsid w:val="009B4D04"/>
    <w:rsid w:val="009B4EDF"/>
    <w:rsid w:val="009B5F59"/>
    <w:rsid w:val="009B62E8"/>
    <w:rsid w:val="009B68CF"/>
    <w:rsid w:val="009B7097"/>
    <w:rsid w:val="009C10D5"/>
    <w:rsid w:val="009C3460"/>
    <w:rsid w:val="009C5279"/>
    <w:rsid w:val="009C5DB6"/>
    <w:rsid w:val="009D0095"/>
    <w:rsid w:val="009D19A3"/>
    <w:rsid w:val="009D3535"/>
    <w:rsid w:val="009D375B"/>
    <w:rsid w:val="009D383E"/>
    <w:rsid w:val="009D4095"/>
    <w:rsid w:val="009D41A6"/>
    <w:rsid w:val="009D42E0"/>
    <w:rsid w:val="009D4A88"/>
    <w:rsid w:val="009D5026"/>
    <w:rsid w:val="009D53CD"/>
    <w:rsid w:val="009D5A14"/>
    <w:rsid w:val="009D67B1"/>
    <w:rsid w:val="009D78CC"/>
    <w:rsid w:val="009E155B"/>
    <w:rsid w:val="009E1AC8"/>
    <w:rsid w:val="009E1CC1"/>
    <w:rsid w:val="009E2F78"/>
    <w:rsid w:val="009E46A9"/>
    <w:rsid w:val="009E4BDD"/>
    <w:rsid w:val="009E70DF"/>
    <w:rsid w:val="009E7B07"/>
    <w:rsid w:val="009F016D"/>
    <w:rsid w:val="009F0670"/>
    <w:rsid w:val="009F0EFA"/>
    <w:rsid w:val="009F183D"/>
    <w:rsid w:val="009F256D"/>
    <w:rsid w:val="009F50EB"/>
    <w:rsid w:val="009F5783"/>
    <w:rsid w:val="009F588B"/>
    <w:rsid w:val="009F7553"/>
    <w:rsid w:val="009F7708"/>
    <w:rsid w:val="009F7EB1"/>
    <w:rsid w:val="00A01027"/>
    <w:rsid w:val="00A03231"/>
    <w:rsid w:val="00A03D18"/>
    <w:rsid w:val="00A03FB2"/>
    <w:rsid w:val="00A042C3"/>
    <w:rsid w:val="00A04644"/>
    <w:rsid w:val="00A04D29"/>
    <w:rsid w:val="00A051D6"/>
    <w:rsid w:val="00A101D6"/>
    <w:rsid w:val="00A10C9C"/>
    <w:rsid w:val="00A11D7D"/>
    <w:rsid w:val="00A13D4B"/>
    <w:rsid w:val="00A14C4A"/>
    <w:rsid w:val="00A16C0A"/>
    <w:rsid w:val="00A17BDD"/>
    <w:rsid w:val="00A17DD6"/>
    <w:rsid w:val="00A2022C"/>
    <w:rsid w:val="00A20CD2"/>
    <w:rsid w:val="00A22F7F"/>
    <w:rsid w:val="00A22FC3"/>
    <w:rsid w:val="00A23897"/>
    <w:rsid w:val="00A247DF"/>
    <w:rsid w:val="00A24B28"/>
    <w:rsid w:val="00A25A13"/>
    <w:rsid w:val="00A260F5"/>
    <w:rsid w:val="00A3138E"/>
    <w:rsid w:val="00A31E04"/>
    <w:rsid w:val="00A32137"/>
    <w:rsid w:val="00A32796"/>
    <w:rsid w:val="00A34181"/>
    <w:rsid w:val="00A35A6F"/>
    <w:rsid w:val="00A36736"/>
    <w:rsid w:val="00A36B99"/>
    <w:rsid w:val="00A4087E"/>
    <w:rsid w:val="00A408C2"/>
    <w:rsid w:val="00A412E9"/>
    <w:rsid w:val="00A4177E"/>
    <w:rsid w:val="00A427E7"/>
    <w:rsid w:val="00A44771"/>
    <w:rsid w:val="00A44DF6"/>
    <w:rsid w:val="00A45246"/>
    <w:rsid w:val="00A45589"/>
    <w:rsid w:val="00A45963"/>
    <w:rsid w:val="00A46757"/>
    <w:rsid w:val="00A548D1"/>
    <w:rsid w:val="00A55F26"/>
    <w:rsid w:val="00A5752C"/>
    <w:rsid w:val="00A5762C"/>
    <w:rsid w:val="00A60D34"/>
    <w:rsid w:val="00A6100B"/>
    <w:rsid w:val="00A6156F"/>
    <w:rsid w:val="00A6157D"/>
    <w:rsid w:val="00A61726"/>
    <w:rsid w:val="00A619C5"/>
    <w:rsid w:val="00A62618"/>
    <w:rsid w:val="00A62CDD"/>
    <w:rsid w:val="00A640D5"/>
    <w:rsid w:val="00A678BF"/>
    <w:rsid w:val="00A7057C"/>
    <w:rsid w:val="00A70A8B"/>
    <w:rsid w:val="00A70B1F"/>
    <w:rsid w:val="00A71516"/>
    <w:rsid w:val="00A71769"/>
    <w:rsid w:val="00A7258F"/>
    <w:rsid w:val="00A72DB2"/>
    <w:rsid w:val="00A74427"/>
    <w:rsid w:val="00A74E67"/>
    <w:rsid w:val="00A76B7D"/>
    <w:rsid w:val="00A776FA"/>
    <w:rsid w:val="00A80EDC"/>
    <w:rsid w:val="00A81AB2"/>
    <w:rsid w:val="00A82B74"/>
    <w:rsid w:val="00A82D99"/>
    <w:rsid w:val="00A83E18"/>
    <w:rsid w:val="00A843DD"/>
    <w:rsid w:val="00A848C9"/>
    <w:rsid w:val="00A84A44"/>
    <w:rsid w:val="00A86D6A"/>
    <w:rsid w:val="00A874F6"/>
    <w:rsid w:val="00A87771"/>
    <w:rsid w:val="00A908DC"/>
    <w:rsid w:val="00A9234D"/>
    <w:rsid w:val="00A95D24"/>
    <w:rsid w:val="00A96DFA"/>
    <w:rsid w:val="00A979C7"/>
    <w:rsid w:val="00AA0A81"/>
    <w:rsid w:val="00AA20F5"/>
    <w:rsid w:val="00AA36C5"/>
    <w:rsid w:val="00AA423F"/>
    <w:rsid w:val="00AA5D02"/>
    <w:rsid w:val="00AA71AE"/>
    <w:rsid w:val="00AB049C"/>
    <w:rsid w:val="00AB0D39"/>
    <w:rsid w:val="00AB0DF9"/>
    <w:rsid w:val="00AB2AF3"/>
    <w:rsid w:val="00AB2F05"/>
    <w:rsid w:val="00AB2FA3"/>
    <w:rsid w:val="00AB322D"/>
    <w:rsid w:val="00AB3365"/>
    <w:rsid w:val="00AB4C7B"/>
    <w:rsid w:val="00AB5449"/>
    <w:rsid w:val="00AB7683"/>
    <w:rsid w:val="00AB7AB0"/>
    <w:rsid w:val="00AB7B94"/>
    <w:rsid w:val="00AC324C"/>
    <w:rsid w:val="00AC337B"/>
    <w:rsid w:val="00AC42A0"/>
    <w:rsid w:val="00AC4476"/>
    <w:rsid w:val="00AC7E69"/>
    <w:rsid w:val="00AD0885"/>
    <w:rsid w:val="00AD0A89"/>
    <w:rsid w:val="00AD0F1E"/>
    <w:rsid w:val="00AD3A0C"/>
    <w:rsid w:val="00AD4963"/>
    <w:rsid w:val="00AD79A0"/>
    <w:rsid w:val="00AE1852"/>
    <w:rsid w:val="00AE1C8D"/>
    <w:rsid w:val="00AE1E14"/>
    <w:rsid w:val="00AE1FFF"/>
    <w:rsid w:val="00AE3024"/>
    <w:rsid w:val="00AE32BB"/>
    <w:rsid w:val="00AE33D1"/>
    <w:rsid w:val="00AE3D6D"/>
    <w:rsid w:val="00AE4721"/>
    <w:rsid w:val="00AE48F9"/>
    <w:rsid w:val="00AE4ACB"/>
    <w:rsid w:val="00AE5026"/>
    <w:rsid w:val="00AE6B54"/>
    <w:rsid w:val="00AE6FD2"/>
    <w:rsid w:val="00AE724A"/>
    <w:rsid w:val="00AE7DE6"/>
    <w:rsid w:val="00AE7F76"/>
    <w:rsid w:val="00AF05EF"/>
    <w:rsid w:val="00AF0BDA"/>
    <w:rsid w:val="00AF0D22"/>
    <w:rsid w:val="00AF0D3A"/>
    <w:rsid w:val="00AF1EC2"/>
    <w:rsid w:val="00AF220D"/>
    <w:rsid w:val="00AF24D3"/>
    <w:rsid w:val="00AF3A77"/>
    <w:rsid w:val="00AF3CCC"/>
    <w:rsid w:val="00AF4146"/>
    <w:rsid w:val="00AF4AF2"/>
    <w:rsid w:val="00AF601C"/>
    <w:rsid w:val="00AF691C"/>
    <w:rsid w:val="00AF7702"/>
    <w:rsid w:val="00AF79F5"/>
    <w:rsid w:val="00B026C0"/>
    <w:rsid w:val="00B02D86"/>
    <w:rsid w:val="00B03793"/>
    <w:rsid w:val="00B04FDD"/>
    <w:rsid w:val="00B069C9"/>
    <w:rsid w:val="00B06D35"/>
    <w:rsid w:val="00B073AA"/>
    <w:rsid w:val="00B112DC"/>
    <w:rsid w:val="00B12F28"/>
    <w:rsid w:val="00B1478F"/>
    <w:rsid w:val="00B1568A"/>
    <w:rsid w:val="00B15851"/>
    <w:rsid w:val="00B15C19"/>
    <w:rsid w:val="00B1611E"/>
    <w:rsid w:val="00B1632D"/>
    <w:rsid w:val="00B16E5B"/>
    <w:rsid w:val="00B16EC9"/>
    <w:rsid w:val="00B209CD"/>
    <w:rsid w:val="00B20C38"/>
    <w:rsid w:val="00B2367D"/>
    <w:rsid w:val="00B23717"/>
    <w:rsid w:val="00B23C29"/>
    <w:rsid w:val="00B25843"/>
    <w:rsid w:val="00B25B7D"/>
    <w:rsid w:val="00B26B73"/>
    <w:rsid w:val="00B27FDE"/>
    <w:rsid w:val="00B30145"/>
    <w:rsid w:val="00B30724"/>
    <w:rsid w:val="00B31362"/>
    <w:rsid w:val="00B316D9"/>
    <w:rsid w:val="00B31E5F"/>
    <w:rsid w:val="00B322E8"/>
    <w:rsid w:val="00B332F8"/>
    <w:rsid w:val="00B338A0"/>
    <w:rsid w:val="00B3480D"/>
    <w:rsid w:val="00B34ABE"/>
    <w:rsid w:val="00B35162"/>
    <w:rsid w:val="00B37843"/>
    <w:rsid w:val="00B416AB"/>
    <w:rsid w:val="00B42A01"/>
    <w:rsid w:val="00B431C4"/>
    <w:rsid w:val="00B44A5C"/>
    <w:rsid w:val="00B4699C"/>
    <w:rsid w:val="00B471F3"/>
    <w:rsid w:val="00B4788F"/>
    <w:rsid w:val="00B47AD3"/>
    <w:rsid w:val="00B47CF8"/>
    <w:rsid w:val="00B50639"/>
    <w:rsid w:val="00B51545"/>
    <w:rsid w:val="00B520DD"/>
    <w:rsid w:val="00B5295B"/>
    <w:rsid w:val="00B53EE0"/>
    <w:rsid w:val="00B54F87"/>
    <w:rsid w:val="00B54FB5"/>
    <w:rsid w:val="00B55088"/>
    <w:rsid w:val="00B5622E"/>
    <w:rsid w:val="00B563A6"/>
    <w:rsid w:val="00B57438"/>
    <w:rsid w:val="00B575D2"/>
    <w:rsid w:val="00B57BC8"/>
    <w:rsid w:val="00B57E74"/>
    <w:rsid w:val="00B601A1"/>
    <w:rsid w:val="00B61644"/>
    <w:rsid w:val="00B61E1A"/>
    <w:rsid w:val="00B625B0"/>
    <w:rsid w:val="00B62C26"/>
    <w:rsid w:val="00B62D05"/>
    <w:rsid w:val="00B637F6"/>
    <w:rsid w:val="00B64531"/>
    <w:rsid w:val="00B64836"/>
    <w:rsid w:val="00B66568"/>
    <w:rsid w:val="00B66E9C"/>
    <w:rsid w:val="00B7068A"/>
    <w:rsid w:val="00B7132B"/>
    <w:rsid w:val="00B73530"/>
    <w:rsid w:val="00B75DCB"/>
    <w:rsid w:val="00B76036"/>
    <w:rsid w:val="00B77541"/>
    <w:rsid w:val="00B77DE7"/>
    <w:rsid w:val="00B80DB1"/>
    <w:rsid w:val="00B813F5"/>
    <w:rsid w:val="00B81EEA"/>
    <w:rsid w:val="00B82809"/>
    <w:rsid w:val="00B82850"/>
    <w:rsid w:val="00B835C2"/>
    <w:rsid w:val="00B843DC"/>
    <w:rsid w:val="00B85871"/>
    <w:rsid w:val="00B8680E"/>
    <w:rsid w:val="00B86C23"/>
    <w:rsid w:val="00B870D2"/>
    <w:rsid w:val="00B8713B"/>
    <w:rsid w:val="00B90384"/>
    <w:rsid w:val="00B912CD"/>
    <w:rsid w:val="00B91B8F"/>
    <w:rsid w:val="00B91D63"/>
    <w:rsid w:val="00B92153"/>
    <w:rsid w:val="00B9279A"/>
    <w:rsid w:val="00B927EC"/>
    <w:rsid w:val="00B92AE1"/>
    <w:rsid w:val="00B92D1D"/>
    <w:rsid w:val="00B93AA0"/>
    <w:rsid w:val="00B966F1"/>
    <w:rsid w:val="00BA0816"/>
    <w:rsid w:val="00BA0D9F"/>
    <w:rsid w:val="00BA2C04"/>
    <w:rsid w:val="00BA396B"/>
    <w:rsid w:val="00BA455E"/>
    <w:rsid w:val="00BA525D"/>
    <w:rsid w:val="00BA68B5"/>
    <w:rsid w:val="00BB13E3"/>
    <w:rsid w:val="00BB2C5B"/>
    <w:rsid w:val="00BB35F9"/>
    <w:rsid w:val="00BB4421"/>
    <w:rsid w:val="00BB5E07"/>
    <w:rsid w:val="00BB6AD9"/>
    <w:rsid w:val="00BB6FD9"/>
    <w:rsid w:val="00BB75E0"/>
    <w:rsid w:val="00BC035C"/>
    <w:rsid w:val="00BC0BDF"/>
    <w:rsid w:val="00BC0F24"/>
    <w:rsid w:val="00BC12CC"/>
    <w:rsid w:val="00BC1887"/>
    <w:rsid w:val="00BC20F9"/>
    <w:rsid w:val="00BC2BC7"/>
    <w:rsid w:val="00BC3AED"/>
    <w:rsid w:val="00BD1845"/>
    <w:rsid w:val="00BD2425"/>
    <w:rsid w:val="00BD2B58"/>
    <w:rsid w:val="00BD3184"/>
    <w:rsid w:val="00BD3513"/>
    <w:rsid w:val="00BD4D01"/>
    <w:rsid w:val="00BD52D0"/>
    <w:rsid w:val="00BD55A5"/>
    <w:rsid w:val="00BE0954"/>
    <w:rsid w:val="00BE0A5F"/>
    <w:rsid w:val="00BE2598"/>
    <w:rsid w:val="00BE2818"/>
    <w:rsid w:val="00BE3204"/>
    <w:rsid w:val="00BE34C6"/>
    <w:rsid w:val="00BE3823"/>
    <w:rsid w:val="00BE5043"/>
    <w:rsid w:val="00BE625E"/>
    <w:rsid w:val="00BE6323"/>
    <w:rsid w:val="00BE699C"/>
    <w:rsid w:val="00BE796D"/>
    <w:rsid w:val="00BF0177"/>
    <w:rsid w:val="00BF0C28"/>
    <w:rsid w:val="00BF19CA"/>
    <w:rsid w:val="00BF392E"/>
    <w:rsid w:val="00BF3E04"/>
    <w:rsid w:val="00BF4094"/>
    <w:rsid w:val="00BF4B07"/>
    <w:rsid w:val="00BF4B9C"/>
    <w:rsid w:val="00BF59E1"/>
    <w:rsid w:val="00BF67FA"/>
    <w:rsid w:val="00BF7B4F"/>
    <w:rsid w:val="00C007D2"/>
    <w:rsid w:val="00C01704"/>
    <w:rsid w:val="00C032B6"/>
    <w:rsid w:val="00C0399E"/>
    <w:rsid w:val="00C04530"/>
    <w:rsid w:val="00C04C1B"/>
    <w:rsid w:val="00C10060"/>
    <w:rsid w:val="00C107AD"/>
    <w:rsid w:val="00C107E6"/>
    <w:rsid w:val="00C1093E"/>
    <w:rsid w:val="00C11713"/>
    <w:rsid w:val="00C11BA6"/>
    <w:rsid w:val="00C131FF"/>
    <w:rsid w:val="00C13270"/>
    <w:rsid w:val="00C1332C"/>
    <w:rsid w:val="00C1398C"/>
    <w:rsid w:val="00C14203"/>
    <w:rsid w:val="00C1434E"/>
    <w:rsid w:val="00C15F3B"/>
    <w:rsid w:val="00C16BD7"/>
    <w:rsid w:val="00C16F06"/>
    <w:rsid w:val="00C17C47"/>
    <w:rsid w:val="00C211D6"/>
    <w:rsid w:val="00C22F19"/>
    <w:rsid w:val="00C232A7"/>
    <w:rsid w:val="00C2624E"/>
    <w:rsid w:val="00C26619"/>
    <w:rsid w:val="00C26E49"/>
    <w:rsid w:val="00C2715B"/>
    <w:rsid w:val="00C2764E"/>
    <w:rsid w:val="00C3092C"/>
    <w:rsid w:val="00C31D88"/>
    <w:rsid w:val="00C31FDA"/>
    <w:rsid w:val="00C320C5"/>
    <w:rsid w:val="00C34B03"/>
    <w:rsid w:val="00C37273"/>
    <w:rsid w:val="00C379C4"/>
    <w:rsid w:val="00C37FFC"/>
    <w:rsid w:val="00C41CEF"/>
    <w:rsid w:val="00C4217D"/>
    <w:rsid w:val="00C42AC1"/>
    <w:rsid w:val="00C43324"/>
    <w:rsid w:val="00C43442"/>
    <w:rsid w:val="00C43B6D"/>
    <w:rsid w:val="00C43C32"/>
    <w:rsid w:val="00C44AC7"/>
    <w:rsid w:val="00C464FE"/>
    <w:rsid w:val="00C46A42"/>
    <w:rsid w:val="00C46D8F"/>
    <w:rsid w:val="00C47DA4"/>
    <w:rsid w:val="00C5035A"/>
    <w:rsid w:val="00C50666"/>
    <w:rsid w:val="00C51CD2"/>
    <w:rsid w:val="00C53457"/>
    <w:rsid w:val="00C55767"/>
    <w:rsid w:val="00C56684"/>
    <w:rsid w:val="00C56717"/>
    <w:rsid w:val="00C56FC2"/>
    <w:rsid w:val="00C575A1"/>
    <w:rsid w:val="00C5775D"/>
    <w:rsid w:val="00C629BE"/>
    <w:rsid w:val="00C63897"/>
    <w:rsid w:val="00C6498E"/>
    <w:rsid w:val="00C64EE7"/>
    <w:rsid w:val="00C67CEC"/>
    <w:rsid w:val="00C702BB"/>
    <w:rsid w:val="00C7240A"/>
    <w:rsid w:val="00C73867"/>
    <w:rsid w:val="00C763D5"/>
    <w:rsid w:val="00C769AD"/>
    <w:rsid w:val="00C8076A"/>
    <w:rsid w:val="00C80F95"/>
    <w:rsid w:val="00C81124"/>
    <w:rsid w:val="00C81795"/>
    <w:rsid w:val="00C8259D"/>
    <w:rsid w:val="00C84B59"/>
    <w:rsid w:val="00C84DDA"/>
    <w:rsid w:val="00C84EA0"/>
    <w:rsid w:val="00C872C5"/>
    <w:rsid w:val="00C87BF7"/>
    <w:rsid w:val="00C90355"/>
    <w:rsid w:val="00C9053A"/>
    <w:rsid w:val="00C9234D"/>
    <w:rsid w:val="00C92658"/>
    <w:rsid w:val="00C92958"/>
    <w:rsid w:val="00C93542"/>
    <w:rsid w:val="00C93BA7"/>
    <w:rsid w:val="00C94EA1"/>
    <w:rsid w:val="00C95395"/>
    <w:rsid w:val="00C966BA"/>
    <w:rsid w:val="00C96DBE"/>
    <w:rsid w:val="00C9755D"/>
    <w:rsid w:val="00CA153F"/>
    <w:rsid w:val="00CA2573"/>
    <w:rsid w:val="00CA56FB"/>
    <w:rsid w:val="00CA5FF0"/>
    <w:rsid w:val="00CA67D0"/>
    <w:rsid w:val="00CB023D"/>
    <w:rsid w:val="00CB1520"/>
    <w:rsid w:val="00CB1C67"/>
    <w:rsid w:val="00CB1D35"/>
    <w:rsid w:val="00CB31B8"/>
    <w:rsid w:val="00CB668A"/>
    <w:rsid w:val="00CB6A20"/>
    <w:rsid w:val="00CB6FA3"/>
    <w:rsid w:val="00CB7901"/>
    <w:rsid w:val="00CC0B1F"/>
    <w:rsid w:val="00CC125D"/>
    <w:rsid w:val="00CC3300"/>
    <w:rsid w:val="00CC3B9E"/>
    <w:rsid w:val="00CD1686"/>
    <w:rsid w:val="00CD1DCD"/>
    <w:rsid w:val="00CD2289"/>
    <w:rsid w:val="00CD3276"/>
    <w:rsid w:val="00CD3A82"/>
    <w:rsid w:val="00CD4DFC"/>
    <w:rsid w:val="00CE0A38"/>
    <w:rsid w:val="00CE0D96"/>
    <w:rsid w:val="00CE164A"/>
    <w:rsid w:val="00CE21B6"/>
    <w:rsid w:val="00CE27A7"/>
    <w:rsid w:val="00CE35B9"/>
    <w:rsid w:val="00CE47B8"/>
    <w:rsid w:val="00CE4E41"/>
    <w:rsid w:val="00CE546D"/>
    <w:rsid w:val="00CE6333"/>
    <w:rsid w:val="00CE7C31"/>
    <w:rsid w:val="00CF01A6"/>
    <w:rsid w:val="00CF027D"/>
    <w:rsid w:val="00CF0641"/>
    <w:rsid w:val="00CF0F3E"/>
    <w:rsid w:val="00CF2013"/>
    <w:rsid w:val="00CF266A"/>
    <w:rsid w:val="00CF322A"/>
    <w:rsid w:val="00CF3377"/>
    <w:rsid w:val="00CF351D"/>
    <w:rsid w:val="00CF4439"/>
    <w:rsid w:val="00CF47EE"/>
    <w:rsid w:val="00CF5EBE"/>
    <w:rsid w:val="00CF63BF"/>
    <w:rsid w:val="00CF732A"/>
    <w:rsid w:val="00CF7676"/>
    <w:rsid w:val="00D00FA2"/>
    <w:rsid w:val="00D012DA"/>
    <w:rsid w:val="00D0156F"/>
    <w:rsid w:val="00D027CD"/>
    <w:rsid w:val="00D029C3"/>
    <w:rsid w:val="00D02A93"/>
    <w:rsid w:val="00D02B3D"/>
    <w:rsid w:val="00D0326B"/>
    <w:rsid w:val="00D04385"/>
    <w:rsid w:val="00D04967"/>
    <w:rsid w:val="00D05ADF"/>
    <w:rsid w:val="00D07F8F"/>
    <w:rsid w:val="00D12C99"/>
    <w:rsid w:val="00D13A6E"/>
    <w:rsid w:val="00D13B54"/>
    <w:rsid w:val="00D14182"/>
    <w:rsid w:val="00D169CA"/>
    <w:rsid w:val="00D171B2"/>
    <w:rsid w:val="00D20C91"/>
    <w:rsid w:val="00D23084"/>
    <w:rsid w:val="00D26CEE"/>
    <w:rsid w:val="00D2715A"/>
    <w:rsid w:val="00D272A5"/>
    <w:rsid w:val="00D277DD"/>
    <w:rsid w:val="00D27937"/>
    <w:rsid w:val="00D30288"/>
    <w:rsid w:val="00D3133A"/>
    <w:rsid w:val="00D329D8"/>
    <w:rsid w:val="00D32FBF"/>
    <w:rsid w:val="00D33A14"/>
    <w:rsid w:val="00D34BC9"/>
    <w:rsid w:val="00D36C5E"/>
    <w:rsid w:val="00D37171"/>
    <w:rsid w:val="00D373B9"/>
    <w:rsid w:val="00D37F2F"/>
    <w:rsid w:val="00D4087F"/>
    <w:rsid w:val="00D408B6"/>
    <w:rsid w:val="00D41005"/>
    <w:rsid w:val="00D420A5"/>
    <w:rsid w:val="00D42445"/>
    <w:rsid w:val="00D437D7"/>
    <w:rsid w:val="00D43CEE"/>
    <w:rsid w:val="00D460E8"/>
    <w:rsid w:val="00D4679D"/>
    <w:rsid w:val="00D520C6"/>
    <w:rsid w:val="00D52918"/>
    <w:rsid w:val="00D52AB9"/>
    <w:rsid w:val="00D533D2"/>
    <w:rsid w:val="00D5407A"/>
    <w:rsid w:val="00D5433C"/>
    <w:rsid w:val="00D5550D"/>
    <w:rsid w:val="00D561F0"/>
    <w:rsid w:val="00D56AAE"/>
    <w:rsid w:val="00D57C65"/>
    <w:rsid w:val="00D61004"/>
    <w:rsid w:val="00D61731"/>
    <w:rsid w:val="00D62828"/>
    <w:rsid w:val="00D63EDC"/>
    <w:rsid w:val="00D65375"/>
    <w:rsid w:val="00D70EF3"/>
    <w:rsid w:val="00D74C2B"/>
    <w:rsid w:val="00D74E06"/>
    <w:rsid w:val="00D7519C"/>
    <w:rsid w:val="00D7544A"/>
    <w:rsid w:val="00D75589"/>
    <w:rsid w:val="00D76404"/>
    <w:rsid w:val="00D77DE7"/>
    <w:rsid w:val="00D80F05"/>
    <w:rsid w:val="00D82AF2"/>
    <w:rsid w:val="00D82B46"/>
    <w:rsid w:val="00D82D83"/>
    <w:rsid w:val="00D84094"/>
    <w:rsid w:val="00D84482"/>
    <w:rsid w:val="00D844F2"/>
    <w:rsid w:val="00D8545A"/>
    <w:rsid w:val="00D8720B"/>
    <w:rsid w:val="00D87C15"/>
    <w:rsid w:val="00D90613"/>
    <w:rsid w:val="00D90F38"/>
    <w:rsid w:val="00D912EE"/>
    <w:rsid w:val="00D930EC"/>
    <w:rsid w:val="00D93C07"/>
    <w:rsid w:val="00D93C30"/>
    <w:rsid w:val="00D93D5F"/>
    <w:rsid w:val="00D944BC"/>
    <w:rsid w:val="00D95240"/>
    <w:rsid w:val="00D962AF"/>
    <w:rsid w:val="00D96833"/>
    <w:rsid w:val="00D97404"/>
    <w:rsid w:val="00D974DB"/>
    <w:rsid w:val="00DA0E3E"/>
    <w:rsid w:val="00DA14BE"/>
    <w:rsid w:val="00DA19C7"/>
    <w:rsid w:val="00DA2615"/>
    <w:rsid w:val="00DA2B57"/>
    <w:rsid w:val="00DA3081"/>
    <w:rsid w:val="00DA3457"/>
    <w:rsid w:val="00DA5C8B"/>
    <w:rsid w:val="00DA72F9"/>
    <w:rsid w:val="00DA7AC1"/>
    <w:rsid w:val="00DB0328"/>
    <w:rsid w:val="00DB062F"/>
    <w:rsid w:val="00DB124F"/>
    <w:rsid w:val="00DB1710"/>
    <w:rsid w:val="00DB1BAA"/>
    <w:rsid w:val="00DB37AF"/>
    <w:rsid w:val="00DB3D64"/>
    <w:rsid w:val="00DB488E"/>
    <w:rsid w:val="00DB52C0"/>
    <w:rsid w:val="00DB546E"/>
    <w:rsid w:val="00DB5AF7"/>
    <w:rsid w:val="00DB6464"/>
    <w:rsid w:val="00DC0AF8"/>
    <w:rsid w:val="00DC148F"/>
    <w:rsid w:val="00DC2745"/>
    <w:rsid w:val="00DC27F5"/>
    <w:rsid w:val="00DC547C"/>
    <w:rsid w:val="00DC66F0"/>
    <w:rsid w:val="00DC79D6"/>
    <w:rsid w:val="00DD0A12"/>
    <w:rsid w:val="00DD0BAF"/>
    <w:rsid w:val="00DD14C4"/>
    <w:rsid w:val="00DD4993"/>
    <w:rsid w:val="00DD5488"/>
    <w:rsid w:val="00DD5891"/>
    <w:rsid w:val="00DD634B"/>
    <w:rsid w:val="00DD6BDB"/>
    <w:rsid w:val="00DD7218"/>
    <w:rsid w:val="00DE12E2"/>
    <w:rsid w:val="00DE2052"/>
    <w:rsid w:val="00DE225D"/>
    <w:rsid w:val="00DE3D68"/>
    <w:rsid w:val="00DE74FD"/>
    <w:rsid w:val="00DF1517"/>
    <w:rsid w:val="00DF3995"/>
    <w:rsid w:val="00DF61D8"/>
    <w:rsid w:val="00DF657F"/>
    <w:rsid w:val="00DF69C4"/>
    <w:rsid w:val="00DF6E44"/>
    <w:rsid w:val="00E004FD"/>
    <w:rsid w:val="00E0216E"/>
    <w:rsid w:val="00E02889"/>
    <w:rsid w:val="00E02ED8"/>
    <w:rsid w:val="00E02FC8"/>
    <w:rsid w:val="00E032DD"/>
    <w:rsid w:val="00E03EFB"/>
    <w:rsid w:val="00E0488F"/>
    <w:rsid w:val="00E071A9"/>
    <w:rsid w:val="00E10046"/>
    <w:rsid w:val="00E110CC"/>
    <w:rsid w:val="00E12EA9"/>
    <w:rsid w:val="00E13DB0"/>
    <w:rsid w:val="00E13E0E"/>
    <w:rsid w:val="00E14022"/>
    <w:rsid w:val="00E15A0C"/>
    <w:rsid w:val="00E15CC3"/>
    <w:rsid w:val="00E15DC1"/>
    <w:rsid w:val="00E16D67"/>
    <w:rsid w:val="00E170FA"/>
    <w:rsid w:val="00E1729E"/>
    <w:rsid w:val="00E17F70"/>
    <w:rsid w:val="00E2206B"/>
    <w:rsid w:val="00E22452"/>
    <w:rsid w:val="00E23E50"/>
    <w:rsid w:val="00E258A1"/>
    <w:rsid w:val="00E26FE8"/>
    <w:rsid w:val="00E30A8E"/>
    <w:rsid w:val="00E3172B"/>
    <w:rsid w:val="00E343F3"/>
    <w:rsid w:val="00E40771"/>
    <w:rsid w:val="00E412A8"/>
    <w:rsid w:val="00E41589"/>
    <w:rsid w:val="00E41661"/>
    <w:rsid w:val="00E41F81"/>
    <w:rsid w:val="00E42373"/>
    <w:rsid w:val="00E42755"/>
    <w:rsid w:val="00E42A69"/>
    <w:rsid w:val="00E42CF5"/>
    <w:rsid w:val="00E432D1"/>
    <w:rsid w:val="00E439AE"/>
    <w:rsid w:val="00E456A1"/>
    <w:rsid w:val="00E46DA3"/>
    <w:rsid w:val="00E47843"/>
    <w:rsid w:val="00E501D9"/>
    <w:rsid w:val="00E50F0F"/>
    <w:rsid w:val="00E53B11"/>
    <w:rsid w:val="00E5402F"/>
    <w:rsid w:val="00E54392"/>
    <w:rsid w:val="00E5455A"/>
    <w:rsid w:val="00E5501F"/>
    <w:rsid w:val="00E55177"/>
    <w:rsid w:val="00E55DA2"/>
    <w:rsid w:val="00E5642D"/>
    <w:rsid w:val="00E5656A"/>
    <w:rsid w:val="00E56E6E"/>
    <w:rsid w:val="00E5776F"/>
    <w:rsid w:val="00E57F78"/>
    <w:rsid w:val="00E60687"/>
    <w:rsid w:val="00E61AE2"/>
    <w:rsid w:val="00E62E16"/>
    <w:rsid w:val="00E62F49"/>
    <w:rsid w:val="00E63A49"/>
    <w:rsid w:val="00E65547"/>
    <w:rsid w:val="00E66D84"/>
    <w:rsid w:val="00E70E49"/>
    <w:rsid w:val="00E7108A"/>
    <w:rsid w:val="00E71F7A"/>
    <w:rsid w:val="00E729B7"/>
    <w:rsid w:val="00E72CFF"/>
    <w:rsid w:val="00E7373A"/>
    <w:rsid w:val="00E754EB"/>
    <w:rsid w:val="00E7683B"/>
    <w:rsid w:val="00E77673"/>
    <w:rsid w:val="00E77EC4"/>
    <w:rsid w:val="00E80E31"/>
    <w:rsid w:val="00E82FC4"/>
    <w:rsid w:val="00E866E2"/>
    <w:rsid w:val="00E869D6"/>
    <w:rsid w:val="00E90A76"/>
    <w:rsid w:val="00E90AE5"/>
    <w:rsid w:val="00E93CB0"/>
    <w:rsid w:val="00EA0A48"/>
    <w:rsid w:val="00EA24B3"/>
    <w:rsid w:val="00EA35EF"/>
    <w:rsid w:val="00EA3F2D"/>
    <w:rsid w:val="00EA4596"/>
    <w:rsid w:val="00EA4661"/>
    <w:rsid w:val="00EA5471"/>
    <w:rsid w:val="00EA691A"/>
    <w:rsid w:val="00EA6E77"/>
    <w:rsid w:val="00EA7086"/>
    <w:rsid w:val="00EA711C"/>
    <w:rsid w:val="00EA726C"/>
    <w:rsid w:val="00EA755F"/>
    <w:rsid w:val="00EB019B"/>
    <w:rsid w:val="00EB0A86"/>
    <w:rsid w:val="00EB1AC1"/>
    <w:rsid w:val="00EB4D75"/>
    <w:rsid w:val="00EB51BC"/>
    <w:rsid w:val="00EB57CD"/>
    <w:rsid w:val="00EB65D8"/>
    <w:rsid w:val="00EB687A"/>
    <w:rsid w:val="00EC27FA"/>
    <w:rsid w:val="00EC2952"/>
    <w:rsid w:val="00EC2A9A"/>
    <w:rsid w:val="00EC2ED9"/>
    <w:rsid w:val="00EC351B"/>
    <w:rsid w:val="00EC3757"/>
    <w:rsid w:val="00EC5EDF"/>
    <w:rsid w:val="00EC6426"/>
    <w:rsid w:val="00EC7795"/>
    <w:rsid w:val="00ED04B5"/>
    <w:rsid w:val="00ED0DC7"/>
    <w:rsid w:val="00ED1A0B"/>
    <w:rsid w:val="00ED250C"/>
    <w:rsid w:val="00ED2E26"/>
    <w:rsid w:val="00ED3426"/>
    <w:rsid w:val="00ED40E4"/>
    <w:rsid w:val="00ED440C"/>
    <w:rsid w:val="00ED4666"/>
    <w:rsid w:val="00ED5AE3"/>
    <w:rsid w:val="00ED70F4"/>
    <w:rsid w:val="00EE25A4"/>
    <w:rsid w:val="00EE3B3D"/>
    <w:rsid w:val="00EE5627"/>
    <w:rsid w:val="00EE6640"/>
    <w:rsid w:val="00EE685E"/>
    <w:rsid w:val="00EE7546"/>
    <w:rsid w:val="00EF01E2"/>
    <w:rsid w:val="00EF01EF"/>
    <w:rsid w:val="00EF0CEF"/>
    <w:rsid w:val="00EF552E"/>
    <w:rsid w:val="00EF566B"/>
    <w:rsid w:val="00EF6952"/>
    <w:rsid w:val="00EF73C8"/>
    <w:rsid w:val="00F00360"/>
    <w:rsid w:val="00F008AF"/>
    <w:rsid w:val="00F00DEA"/>
    <w:rsid w:val="00F021A5"/>
    <w:rsid w:val="00F03418"/>
    <w:rsid w:val="00F040D1"/>
    <w:rsid w:val="00F05EFE"/>
    <w:rsid w:val="00F07544"/>
    <w:rsid w:val="00F10408"/>
    <w:rsid w:val="00F1063D"/>
    <w:rsid w:val="00F11DCD"/>
    <w:rsid w:val="00F14E65"/>
    <w:rsid w:val="00F162DE"/>
    <w:rsid w:val="00F16A2A"/>
    <w:rsid w:val="00F16AB9"/>
    <w:rsid w:val="00F201D2"/>
    <w:rsid w:val="00F21C71"/>
    <w:rsid w:val="00F2236B"/>
    <w:rsid w:val="00F23EDC"/>
    <w:rsid w:val="00F25A13"/>
    <w:rsid w:val="00F25A3F"/>
    <w:rsid w:val="00F26522"/>
    <w:rsid w:val="00F269F7"/>
    <w:rsid w:val="00F26DA2"/>
    <w:rsid w:val="00F26E54"/>
    <w:rsid w:val="00F305AF"/>
    <w:rsid w:val="00F3124F"/>
    <w:rsid w:val="00F3170A"/>
    <w:rsid w:val="00F3283A"/>
    <w:rsid w:val="00F32899"/>
    <w:rsid w:val="00F32A84"/>
    <w:rsid w:val="00F330B9"/>
    <w:rsid w:val="00F3425C"/>
    <w:rsid w:val="00F37E7B"/>
    <w:rsid w:val="00F407E3"/>
    <w:rsid w:val="00F40DDB"/>
    <w:rsid w:val="00F40F65"/>
    <w:rsid w:val="00F4248F"/>
    <w:rsid w:val="00F424F3"/>
    <w:rsid w:val="00F425F5"/>
    <w:rsid w:val="00F42933"/>
    <w:rsid w:val="00F42C06"/>
    <w:rsid w:val="00F42C71"/>
    <w:rsid w:val="00F43427"/>
    <w:rsid w:val="00F44193"/>
    <w:rsid w:val="00F44838"/>
    <w:rsid w:val="00F44854"/>
    <w:rsid w:val="00F44AF4"/>
    <w:rsid w:val="00F457DF"/>
    <w:rsid w:val="00F45F3F"/>
    <w:rsid w:val="00F469B2"/>
    <w:rsid w:val="00F50A75"/>
    <w:rsid w:val="00F51709"/>
    <w:rsid w:val="00F5184F"/>
    <w:rsid w:val="00F51FAE"/>
    <w:rsid w:val="00F52337"/>
    <w:rsid w:val="00F54163"/>
    <w:rsid w:val="00F54DB0"/>
    <w:rsid w:val="00F54E4C"/>
    <w:rsid w:val="00F54FCF"/>
    <w:rsid w:val="00F55F09"/>
    <w:rsid w:val="00F57749"/>
    <w:rsid w:val="00F61FFD"/>
    <w:rsid w:val="00F62777"/>
    <w:rsid w:val="00F630BB"/>
    <w:rsid w:val="00F63596"/>
    <w:rsid w:val="00F63E9A"/>
    <w:rsid w:val="00F65DCC"/>
    <w:rsid w:val="00F67A1D"/>
    <w:rsid w:val="00F7055C"/>
    <w:rsid w:val="00F70791"/>
    <w:rsid w:val="00F713DC"/>
    <w:rsid w:val="00F716EA"/>
    <w:rsid w:val="00F73769"/>
    <w:rsid w:val="00F73E83"/>
    <w:rsid w:val="00F7429A"/>
    <w:rsid w:val="00F743CB"/>
    <w:rsid w:val="00F74FEE"/>
    <w:rsid w:val="00F763C7"/>
    <w:rsid w:val="00F76C55"/>
    <w:rsid w:val="00F77EC3"/>
    <w:rsid w:val="00F803F3"/>
    <w:rsid w:val="00F80580"/>
    <w:rsid w:val="00F810E3"/>
    <w:rsid w:val="00F81122"/>
    <w:rsid w:val="00F81DAE"/>
    <w:rsid w:val="00F83D8A"/>
    <w:rsid w:val="00F85C20"/>
    <w:rsid w:val="00F9349A"/>
    <w:rsid w:val="00F93C0B"/>
    <w:rsid w:val="00F93EBB"/>
    <w:rsid w:val="00F96949"/>
    <w:rsid w:val="00F97F48"/>
    <w:rsid w:val="00FA044A"/>
    <w:rsid w:val="00FA06C2"/>
    <w:rsid w:val="00FA0C15"/>
    <w:rsid w:val="00FA1CD9"/>
    <w:rsid w:val="00FA332B"/>
    <w:rsid w:val="00FA66BF"/>
    <w:rsid w:val="00FA6CA4"/>
    <w:rsid w:val="00FA7233"/>
    <w:rsid w:val="00FA7690"/>
    <w:rsid w:val="00FA7F73"/>
    <w:rsid w:val="00FB10DA"/>
    <w:rsid w:val="00FB1762"/>
    <w:rsid w:val="00FB20A4"/>
    <w:rsid w:val="00FB3B5E"/>
    <w:rsid w:val="00FB3EF7"/>
    <w:rsid w:val="00FB4A1B"/>
    <w:rsid w:val="00FB4EAC"/>
    <w:rsid w:val="00FB6CD0"/>
    <w:rsid w:val="00FB7AF7"/>
    <w:rsid w:val="00FB7FED"/>
    <w:rsid w:val="00FC00C2"/>
    <w:rsid w:val="00FC170B"/>
    <w:rsid w:val="00FC1C79"/>
    <w:rsid w:val="00FC2123"/>
    <w:rsid w:val="00FC33AA"/>
    <w:rsid w:val="00FC35EF"/>
    <w:rsid w:val="00FC3C59"/>
    <w:rsid w:val="00FC4063"/>
    <w:rsid w:val="00FC493C"/>
    <w:rsid w:val="00FC4FDB"/>
    <w:rsid w:val="00FC50D7"/>
    <w:rsid w:val="00FC68F9"/>
    <w:rsid w:val="00FC7472"/>
    <w:rsid w:val="00FC7FC4"/>
    <w:rsid w:val="00FD01B2"/>
    <w:rsid w:val="00FD0503"/>
    <w:rsid w:val="00FD3805"/>
    <w:rsid w:val="00FD3BB2"/>
    <w:rsid w:val="00FD5462"/>
    <w:rsid w:val="00FD5A5D"/>
    <w:rsid w:val="00FD5DBA"/>
    <w:rsid w:val="00FD661A"/>
    <w:rsid w:val="00FD75AD"/>
    <w:rsid w:val="00FD7B88"/>
    <w:rsid w:val="00FD7EB6"/>
    <w:rsid w:val="00FE0B06"/>
    <w:rsid w:val="00FE315D"/>
    <w:rsid w:val="00FE4F22"/>
    <w:rsid w:val="00FE5180"/>
    <w:rsid w:val="00FE70E6"/>
    <w:rsid w:val="00FF08C0"/>
    <w:rsid w:val="00FF10F3"/>
    <w:rsid w:val="00FF1B33"/>
    <w:rsid w:val="00FF2DFB"/>
    <w:rsid w:val="00FF3DCB"/>
    <w:rsid w:val="00FF4451"/>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360F6"/>
  <w15:docId w15:val="{409E0DF5-114B-4ECD-B4AD-C5470D08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90"/>
    <w:rPr>
      <w:lang w:val="en-GB"/>
    </w:rPr>
  </w:style>
  <w:style w:type="paragraph" w:styleId="Heading1">
    <w:name w:val="heading 1"/>
    <w:basedOn w:val="Normal"/>
    <w:next w:val="Normal"/>
    <w:link w:val="Heading1Char"/>
    <w:uiPriority w:val="9"/>
    <w:qFormat/>
    <w:rsid w:val="00056662"/>
    <w:pPr>
      <w:spacing w:before="120" w:after="120" w:line="360" w:lineRule="auto"/>
      <w:outlineLvl w:val="0"/>
    </w:pPr>
    <w:rPr>
      <w:rFonts w:ascii="Garamond" w:hAnsi="Garamond" w:cs="Times New Roman"/>
      <w:b/>
      <w:sz w:val="28"/>
      <w:szCs w:val="28"/>
    </w:rPr>
  </w:style>
  <w:style w:type="paragraph" w:styleId="Heading2">
    <w:name w:val="heading 2"/>
    <w:basedOn w:val="Normal"/>
    <w:next w:val="Normal"/>
    <w:link w:val="Heading2Char"/>
    <w:uiPriority w:val="9"/>
    <w:unhideWhenUsed/>
    <w:qFormat/>
    <w:rsid w:val="00056662"/>
    <w:pPr>
      <w:shd w:val="clear" w:color="auto" w:fill="FFFFFF"/>
      <w:spacing w:before="120" w:after="120" w:line="360" w:lineRule="auto"/>
      <w:outlineLvl w:val="1"/>
    </w:pPr>
    <w:rPr>
      <w:rFonts w:ascii="Garamond" w:eastAsia="Times New Roman" w:hAnsi="Garamond" w:cs="Times New Roman"/>
      <w:b/>
      <w:bCs/>
      <w:sz w:val="24"/>
      <w:szCs w:val="24"/>
    </w:rPr>
  </w:style>
  <w:style w:type="paragraph" w:styleId="Heading3">
    <w:name w:val="heading 3"/>
    <w:basedOn w:val="Normal"/>
    <w:next w:val="Normal"/>
    <w:link w:val="Heading3Char"/>
    <w:uiPriority w:val="9"/>
    <w:unhideWhenUsed/>
    <w:qFormat/>
    <w:rsid w:val="00056662"/>
    <w:pPr>
      <w:shd w:val="clear" w:color="auto" w:fill="FFFFFF"/>
      <w:spacing w:before="240" w:after="240" w:line="360" w:lineRule="auto"/>
      <w:outlineLvl w:val="2"/>
    </w:pPr>
    <w:rPr>
      <w:rFonts w:ascii="Garamond" w:eastAsia="Times New Roman" w:hAnsi="Garamond" w:cs="Times New Roman"/>
      <w:b/>
      <w:i/>
      <w:sz w:val="24"/>
      <w:szCs w:val="24"/>
    </w:rPr>
  </w:style>
  <w:style w:type="paragraph" w:styleId="Heading4">
    <w:name w:val="heading 4"/>
    <w:basedOn w:val="Normal"/>
    <w:next w:val="Normal"/>
    <w:link w:val="Heading4Char"/>
    <w:uiPriority w:val="9"/>
    <w:unhideWhenUsed/>
    <w:qFormat/>
    <w:rsid w:val="00AB322D"/>
    <w:pPr>
      <w:spacing w:before="120" w:after="120" w:line="360" w:lineRule="auto"/>
      <w:outlineLvl w:val="3"/>
    </w:pPr>
    <w:rPr>
      <w:rFonts w:ascii="Garamond" w:eastAsia="Times New Roman" w:hAnsi="Garamond"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B7990"/>
    <w:rPr>
      <w:sz w:val="16"/>
      <w:szCs w:val="16"/>
    </w:rPr>
  </w:style>
  <w:style w:type="paragraph" w:styleId="CommentText">
    <w:name w:val="annotation text"/>
    <w:basedOn w:val="Normal"/>
    <w:link w:val="CommentTextChar"/>
    <w:uiPriority w:val="99"/>
    <w:unhideWhenUsed/>
    <w:rsid w:val="005B7990"/>
    <w:pPr>
      <w:spacing w:line="240" w:lineRule="auto"/>
    </w:pPr>
    <w:rPr>
      <w:sz w:val="20"/>
      <w:szCs w:val="20"/>
    </w:rPr>
  </w:style>
  <w:style w:type="character" w:customStyle="1" w:styleId="CommentTextChar">
    <w:name w:val="Comment Text Char"/>
    <w:basedOn w:val="DefaultParagraphFont"/>
    <w:link w:val="CommentText"/>
    <w:uiPriority w:val="99"/>
    <w:rsid w:val="005B7990"/>
    <w:rPr>
      <w:sz w:val="20"/>
      <w:szCs w:val="20"/>
    </w:rPr>
  </w:style>
  <w:style w:type="paragraph" w:styleId="BalloonText">
    <w:name w:val="Balloon Text"/>
    <w:basedOn w:val="Normal"/>
    <w:link w:val="BalloonTextChar"/>
    <w:uiPriority w:val="99"/>
    <w:semiHidden/>
    <w:unhideWhenUsed/>
    <w:rsid w:val="005B7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990"/>
    <w:rPr>
      <w:rFonts w:ascii="Tahoma" w:hAnsi="Tahoma" w:cs="Tahoma"/>
      <w:sz w:val="16"/>
      <w:szCs w:val="16"/>
    </w:rPr>
  </w:style>
  <w:style w:type="paragraph" w:styleId="ListParagraph">
    <w:name w:val="List Paragraph"/>
    <w:basedOn w:val="Normal"/>
    <w:uiPriority w:val="34"/>
    <w:qFormat/>
    <w:rsid w:val="005D0053"/>
    <w:pPr>
      <w:ind w:left="720"/>
      <w:contextualSpacing/>
    </w:pPr>
  </w:style>
  <w:style w:type="paragraph" w:styleId="CommentSubject">
    <w:name w:val="annotation subject"/>
    <w:basedOn w:val="CommentText"/>
    <w:next w:val="CommentText"/>
    <w:link w:val="CommentSubjectChar"/>
    <w:uiPriority w:val="99"/>
    <w:semiHidden/>
    <w:unhideWhenUsed/>
    <w:rsid w:val="00427014"/>
    <w:rPr>
      <w:b/>
      <w:bCs/>
    </w:rPr>
  </w:style>
  <w:style w:type="character" w:customStyle="1" w:styleId="CommentSubjectChar">
    <w:name w:val="Comment Subject Char"/>
    <w:basedOn w:val="CommentTextChar"/>
    <w:link w:val="CommentSubject"/>
    <w:uiPriority w:val="99"/>
    <w:semiHidden/>
    <w:rsid w:val="00427014"/>
    <w:rPr>
      <w:b/>
      <w:bCs/>
      <w:sz w:val="20"/>
      <w:szCs w:val="20"/>
    </w:rPr>
  </w:style>
  <w:style w:type="paragraph" w:styleId="FootnoteText">
    <w:name w:val="footnote text"/>
    <w:basedOn w:val="Normal"/>
    <w:link w:val="FootnoteTextChar"/>
    <w:uiPriority w:val="99"/>
    <w:unhideWhenUsed/>
    <w:rsid w:val="00F14E65"/>
    <w:pPr>
      <w:spacing w:after="0" w:line="240" w:lineRule="auto"/>
    </w:pPr>
    <w:rPr>
      <w:sz w:val="20"/>
      <w:szCs w:val="20"/>
    </w:rPr>
  </w:style>
  <w:style w:type="character" w:customStyle="1" w:styleId="FootnoteTextChar">
    <w:name w:val="Footnote Text Char"/>
    <w:basedOn w:val="DefaultParagraphFont"/>
    <w:link w:val="FootnoteText"/>
    <w:uiPriority w:val="99"/>
    <w:rsid w:val="00F14E65"/>
    <w:rPr>
      <w:sz w:val="20"/>
      <w:szCs w:val="20"/>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F14E65"/>
    <w:rPr>
      <w:vertAlign w:val="superscript"/>
    </w:rPr>
  </w:style>
  <w:style w:type="paragraph" w:styleId="Revision">
    <w:name w:val="Revision"/>
    <w:hidden/>
    <w:uiPriority w:val="99"/>
    <w:semiHidden/>
    <w:rsid w:val="00FE315D"/>
    <w:pPr>
      <w:spacing w:after="0" w:line="240" w:lineRule="auto"/>
    </w:pPr>
  </w:style>
  <w:style w:type="character" w:styleId="Hyperlink">
    <w:name w:val="Hyperlink"/>
    <w:basedOn w:val="DefaultParagraphFont"/>
    <w:uiPriority w:val="99"/>
    <w:unhideWhenUsed/>
    <w:rsid w:val="00C379C4"/>
    <w:rPr>
      <w:color w:val="0000FF"/>
      <w:u w:val="single"/>
    </w:rPr>
  </w:style>
  <w:style w:type="paragraph" w:styleId="NormalWeb">
    <w:name w:val="Normal (Web)"/>
    <w:basedOn w:val="Normal"/>
    <w:uiPriority w:val="99"/>
    <w:unhideWhenUsed/>
    <w:rsid w:val="005549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7F48"/>
    <w:rPr>
      <w:color w:val="800080" w:themeColor="followedHyperlink"/>
      <w:u w:val="single"/>
    </w:rPr>
  </w:style>
  <w:style w:type="paragraph" w:styleId="Header">
    <w:name w:val="header"/>
    <w:basedOn w:val="Normal"/>
    <w:link w:val="HeaderChar"/>
    <w:uiPriority w:val="99"/>
    <w:unhideWhenUsed/>
    <w:rsid w:val="00F80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580"/>
  </w:style>
  <w:style w:type="paragraph" w:styleId="Footer">
    <w:name w:val="footer"/>
    <w:basedOn w:val="Normal"/>
    <w:link w:val="FooterChar"/>
    <w:uiPriority w:val="99"/>
    <w:unhideWhenUsed/>
    <w:rsid w:val="00F80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580"/>
  </w:style>
  <w:style w:type="character" w:customStyle="1" w:styleId="UnresolvedMention1">
    <w:name w:val="Unresolved Mention1"/>
    <w:basedOn w:val="DefaultParagraphFont"/>
    <w:uiPriority w:val="99"/>
    <w:semiHidden/>
    <w:unhideWhenUsed/>
    <w:rsid w:val="00CB6A20"/>
    <w:rPr>
      <w:color w:val="605E5C"/>
      <w:shd w:val="clear" w:color="auto" w:fill="E1DFDD"/>
    </w:rPr>
  </w:style>
  <w:style w:type="character" w:customStyle="1" w:styleId="UnresolvedMention2">
    <w:name w:val="Unresolved Mention2"/>
    <w:basedOn w:val="DefaultParagraphFont"/>
    <w:uiPriority w:val="99"/>
    <w:semiHidden/>
    <w:unhideWhenUsed/>
    <w:rsid w:val="00530961"/>
    <w:rPr>
      <w:color w:val="605E5C"/>
      <w:shd w:val="clear" w:color="auto" w:fill="E1DFDD"/>
    </w:rPr>
  </w:style>
  <w:style w:type="character" w:customStyle="1" w:styleId="UnresolvedMention3">
    <w:name w:val="Unresolved Mention3"/>
    <w:basedOn w:val="DefaultParagraphFont"/>
    <w:uiPriority w:val="99"/>
    <w:semiHidden/>
    <w:unhideWhenUsed/>
    <w:rsid w:val="00A72DB2"/>
    <w:rPr>
      <w:color w:val="605E5C"/>
      <w:shd w:val="clear" w:color="auto" w:fill="E1DFDD"/>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6511EC"/>
    <w:pPr>
      <w:spacing w:after="160" w:line="240" w:lineRule="exact"/>
      <w:jc w:val="both"/>
    </w:pPr>
    <w:rPr>
      <w:vertAlign w:val="superscript"/>
    </w:rPr>
  </w:style>
  <w:style w:type="character" w:styleId="Strong">
    <w:name w:val="Strong"/>
    <w:basedOn w:val="DefaultParagraphFont"/>
    <w:uiPriority w:val="22"/>
    <w:qFormat/>
    <w:rsid w:val="004720B0"/>
    <w:rPr>
      <w:b/>
      <w:bCs/>
    </w:rPr>
  </w:style>
  <w:style w:type="character" w:styleId="Emphasis">
    <w:name w:val="Emphasis"/>
    <w:basedOn w:val="DefaultParagraphFont"/>
    <w:uiPriority w:val="20"/>
    <w:qFormat/>
    <w:rsid w:val="00393EF8"/>
    <w:rPr>
      <w:i/>
      <w:iCs/>
    </w:rPr>
  </w:style>
  <w:style w:type="character" w:customStyle="1" w:styleId="UnresolvedMention4">
    <w:name w:val="Unresolved Mention4"/>
    <w:basedOn w:val="DefaultParagraphFont"/>
    <w:uiPriority w:val="99"/>
    <w:semiHidden/>
    <w:unhideWhenUsed/>
    <w:rsid w:val="009163B0"/>
    <w:rPr>
      <w:color w:val="605E5C"/>
      <w:shd w:val="clear" w:color="auto" w:fill="E1DFDD"/>
    </w:rPr>
  </w:style>
  <w:style w:type="character" w:customStyle="1" w:styleId="personname">
    <w:name w:val="person_name"/>
    <w:basedOn w:val="DefaultParagraphFont"/>
    <w:rsid w:val="007D272A"/>
  </w:style>
  <w:style w:type="character" w:customStyle="1" w:styleId="addmd">
    <w:name w:val="addmd"/>
    <w:basedOn w:val="DefaultParagraphFont"/>
    <w:rsid w:val="00D65375"/>
  </w:style>
  <w:style w:type="character" w:customStyle="1" w:styleId="UnresolvedMention5">
    <w:name w:val="Unresolved Mention5"/>
    <w:basedOn w:val="DefaultParagraphFont"/>
    <w:uiPriority w:val="99"/>
    <w:semiHidden/>
    <w:unhideWhenUsed/>
    <w:rsid w:val="00A640D5"/>
    <w:rPr>
      <w:color w:val="605E5C"/>
      <w:shd w:val="clear" w:color="auto" w:fill="E1DFDD"/>
    </w:rPr>
  </w:style>
  <w:style w:type="character" w:customStyle="1" w:styleId="Heading1Char">
    <w:name w:val="Heading 1 Char"/>
    <w:basedOn w:val="DefaultParagraphFont"/>
    <w:link w:val="Heading1"/>
    <w:uiPriority w:val="9"/>
    <w:rsid w:val="00056662"/>
    <w:rPr>
      <w:rFonts w:ascii="Garamond" w:hAnsi="Garamond" w:cs="Times New Roman"/>
      <w:b/>
      <w:sz w:val="28"/>
      <w:szCs w:val="28"/>
      <w:lang w:val="en-GB"/>
    </w:rPr>
  </w:style>
  <w:style w:type="character" w:customStyle="1" w:styleId="UnresolvedMention6">
    <w:name w:val="Unresolved Mention6"/>
    <w:basedOn w:val="DefaultParagraphFont"/>
    <w:uiPriority w:val="99"/>
    <w:semiHidden/>
    <w:unhideWhenUsed/>
    <w:rsid w:val="00B54FB5"/>
    <w:rPr>
      <w:color w:val="605E5C"/>
      <w:shd w:val="clear" w:color="auto" w:fill="E1DFDD"/>
    </w:rPr>
  </w:style>
  <w:style w:type="character" w:customStyle="1" w:styleId="UnresolvedMention7">
    <w:name w:val="Unresolved Mention7"/>
    <w:basedOn w:val="DefaultParagraphFont"/>
    <w:uiPriority w:val="99"/>
    <w:semiHidden/>
    <w:unhideWhenUsed/>
    <w:rsid w:val="000A300B"/>
    <w:rPr>
      <w:color w:val="605E5C"/>
      <w:shd w:val="clear" w:color="auto" w:fill="E1DFDD"/>
    </w:rPr>
  </w:style>
  <w:style w:type="character" w:customStyle="1" w:styleId="citetitle">
    <w:name w:val="cite_title"/>
    <w:basedOn w:val="DefaultParagraphFont"/>
    <w:rsid w:val="00C7240A"/>
  </w:style>
  <w:style w:type="character" w:customStyle="1" w:styleId="authors">
    <w:name w:val="authors"/>
    <w:basedOn w:val="DefaultParagraphFont"/>
    <w:rsid w:val="00B77DE7"/>
  </w:style>
  <w:style w:type="character" w:customStyle="1" w:styleId="doilink">
    <w:name w:val="doi_link"/>
    <w:basedOn w:val="DefaultParagraphFont"/>
    <w:rsid w:val="00B77DE7"/>
  </w:style>
  <w:style w:type="character" w:customStyle="1" w:styleId="UnresolvedMention8">
    <w:name w:val="Unresolved Mention8"/>
    <w:basedOn w:val="DefaultParagraphFont"/>
    <w:uiPriority w:val="99"/>
    <w:rsid w:val="00901D0A"/>
    <w:rPr>
      <w:color w:val="605E5C"/>
      <w:shd w:val="clear" w:color="auto" w:fill="E1DFDD"/>
    </w:rPr>
  </w:style>
  <w:style w:type="character" w:customStyle="1" w:styleId="UnresolvedMention9">
    <w:name w:val="Unresolved Mention9"/>
    <w:basedOn w:val="DefaultParagraphFont"/>
    <w:uiPriority w:val="99"/>
    <w:semiHidden/>
    <w:unhideWhenUsed/>
    <w:rsid w:val="004A5B8F"/>
    <w:rPr>
      <w:color w:val="605E5C"/>
      <w:shd w:val="clear" w:color="auto" w:fill="E1DFDD"/>
    </w:rPr>
  </w:style>
  <w:style w:type="character" w:customStyle="1" w:styleId="Heading2Char">
    <w:name w:val="Heading 2 Char"/>
    <w:basedOn w:val="DefaultParagraphFont"/>
    <w:link w:val="Heading2"/>
    <w:uiPriority w:val="9"/>
    <w:rsid w:val="00056662"/>
    <w:rPr>
      <w:rFonts w:ascii="Garamond" w:eastAsia="Times New Roman" w:hAnsi="Garamond" w:cs="Times New Roman"/>
      <w:b/>
      <w:bCs/>
      <w:sz w:val="24"/>
      <w:szCs w:val="24"/>
      <w:shd w:val="clear" w:color="auto" w:fill="FFFFFF"/>
      <w:lang w:val="en-GB"/>
    </w:rPr>
  </w:style>
  <w:style w:type="character" w:customStyle="1" w:styleId="Heading3Char">
    <w:name w:val="Heading 3 Char"/>
    <w:basedOn w:val="DefaultParagraphFont"/>
    <w:link w:val="Heading3"/>
    <w:uiPriority w:val="9"/>
    <w:rsid w:val="00056662"/>
    <w:rPr>
      <w:rFonts w:ascii="Garamond" w:eastAsia="Times New Roman" w:hAnsi="Garamond" w:cs="Times New Roman"/>
      <w:b/>
      <w:i/>
      <w:sz w:val="24"/>
      <w:szCs w:val="24"/>
      <w:shd w:val="clear" w:color="auto" w:fill="FFFFFF"/>
      <w:lang w:val="en-GB"/>
    </w:rPr>
  </w:style>
  <w:style w:type="character" w:customStyle="1" w:styleId="Heading4Char">
    <w:name w:val="Heading 4 Char"/>
    <w:basedOn w:val="DefaultParagraphFont"/>
    <w:link w:val="Heading4"/>
    <w:uiPriority w:val="9"/>
    <w:rsid w:val="00AB322D"/>
    <w:rPr>
      <w:rFonts w:ascii="Garamond" w:eastAsia="Times New Roman" w:hAnsi="Garamond" w:cs="Times New Roman"/>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4648">
      <w:bodyDiv w:val="1"/>
      <w:marLeft w:val="0"/>
      <w:marRight w:val="0"/>
      <w:marTop w:val="0"/>
      <w:marBottom w:val="0"/>
      <w:divBdr>
        <w:top w:val="none" w:sz="0" w:space="0" w:color="auto"/>
        <w:left w:val="none" w:sz="0" w:space="0" w:color="auto"/>
        <w:bottom w:val="none" w:sz="0" w:space="0" w:color="auto"/>
        <w:right w:val="none" w:sz="0" w:space="0" w:color="auto"/>
      </w:divBdr>
    </w:div>
    <w:div w:id="95565220">
      <w:bodyDiv w:val="1"/>
      <w:marLeft w:val="0"/>
      <w:marRight w:val="0"/>
      <w:marTop w:val="0"/>
      <w:marBottom w:val="0"/>
      <w:divBdr>
        <w:top w:val="none" w:sz="0" w:space="0" w:color="auto"/>
        <w:left w:val="none" w:sz="0" w:space="0" w:color="auto"/>
        <w:bottom w:val="none" w:sz="0" w:space="0" w:color="auto"/>
        <w:right w:val="none" w:sz="0" w:space="0" w:color="auto"/>
      </w:divBdr>
      <w:divsChild>
        <w:div w:id="622930777">
          <w:marLeft w:val="0"/>
          <w:marRight w:val="0"/>
          <w:marTop w:val="0"/>
          <w:marBottom w:val="0"/>
          <w:divBdr>
            <w:top w:val="none" w:sz="0" w:space="0" w:color="auto"/>
            <w:left w:val="none" w:sz="0" w:space="0" w:color="auto"/>
            <w:bottom w:val="none" w:sz="0" w:space="0" w:color="auto"/>
            <w:right w:val="none" w:sz="0" w:space="0" w:color="auto"/>
          </w:divBdr>
        </w:div>
        <w:div w:id="253049953">
          <w:marLeft w:val="0"/>
          <w:marRight w:val="0"/>
          <w:marTop w:val="0"/>
          <w:marBottom w:val="0"/>
          <w:divBdr>
            <w:top w:val="none" w:sz="0" w:space="0" w:color="auto"/>
            <w:left w:val="none" w:sz="0" w:space="0" w:color="auto"/>
            <w:bottom w:val="none" w:sz="0" w:space="0" w:color="auto"/>
            <w:right w:val="none" w:sz="0" w:space="0" w:color="auto"/>
          </w:divBdr>
        </w:div>
        <w:div w:id="1547907557">
          <w:marLeft w:val="0"/>
          <w:marRight w:val="0"/>
          <w:marTop w:val="0"/>
          <w:marBottom w:val="0"/>
          <w:divBdr>
            <w:top w:val="none" w:sz="0" w:space="0" w:color="auto"/>
            <w:left w:val="none" w:sz="0" w:space="0" w:color="auto"/>
            <w:bottom w:val="none" w:sz="0" w:space="0" w:color="auto"/>
            <w:right w:val="none" w:sz="0" w:space="0" w:color="auto"/>
          </w:divBdr>
        </w:div>
        <w:div w:id="689070321">
          <w:marLeft w:val="0"/>
          <w:marRight w:val="0"/>
          <w:marTop w:val="0"/>
          <w:marBottom w:val="0"/>
          <w:divBdr>
            <w:top w:val="none" w:sz="0" w:space="0" w:color="auto"/>
            <w:left w:val="none" w:sz="0" w:space="0" w:color="auto"/>
            <w:bottom w:val="none" w:sz="0" w:space="0" w:color="auto"/>
            <w:right w:val="none" w:sz="0" w:space="0" w:color="auto"/>
          </w:divBdr>
        </w:div>
        <w:div w:id="508057486">
          <w:marLeft w:val="0"/>
          <w:marRight w:val="0"/>
          <w:marTop w:val="0"/>
          <w:marBottom w:val="0"/>
          <w:divBdr>
            <w:top w:val="none" w:sz="0" w:space="0" w:color="auto"/>
            <w:left w:val="none" w:sz="0" w:space="0" w:color="auto"/>
            <w:bottom w:val="none" w:sz="0" w:space="0" w:color="auto"/>
            <w:right w:val="none" w:sz="0" w:space="0" w:color="auto"/>
          </w:divBdr>
        </w:div>
      </w:divsChild>
    </w:div>
    <w:div w:id="105732722">
      <w:bodyDiv w:val="1"/>
      <w:marLeft w:val="0"/>
      <w:marRight w:val="0"/>
      <w:marTop w:val="0"/>
      <w:marBottom w:val="0"/>
      <w:divBdr>
        <w:top w:val="none" w:sz="0" w:space="0" w:color="auto"/>
        <w:left w:val="none" w:sz="0" w:space="0" w:color="auto"/>
        <w:bottom w:val="none" w:sz="0" w:space="0" w:color="auto"/>
        <w:right w:val="none" w:sz="0" w:space="0" w:color="auto"/>
      </w:divBdr>
      <w:divsChild>
        <w:div w:id="694036173">
          <w:marLeft w:val="0"/>
          <w:marRight w:val="0"/>
          <w:marTop w:val="0"/>
          <w:marBottom w:val="0"/>
          <w:divBdr>
            <w:top w:val="none" w:sz="0" w:space="0" w:color="auto"/>
            <w:left w:val="none" w:sz="0" w:space="0" w:color="auto"/>
            <w:bottom w:val="none" w:sz="0" w:space="0" w:color="auto"/>
            <w:right w:val="none" w:sz="0" w:space="0" w:color="auto"/>
          </w:divBdr>
          <w:divsChild>
            <w:div w:id="122231007">
              <w:marLeft w:val="0"/>
              <w:marRight w:val="0"/>
              <w:marTop w:val="0"/>
              <w:marBottom w:val="0"/>
              <w:divBdr>
                <w:top w:val="none" w:sz="0" w:space="0" w:color="auto"/>
                <w:left w:val="none" w:sz="0" w:space="0" w:color="auto"/>
                <w:bottom w:val="none" w:sz="0" w:space="0" w:color="auto"/>
                <w:right w:val="none" w:sz="0" w:space="0" w:color="auto"/>
              </w:divBdr>
              <w:divsChild>
                <w:div w:id="541096101">
                  <w:marLeft w:val="0"/>
                  <w:marRight w:val="0"/>
                  <w:marTop w:val="0"/>
                  <w:marBottom w:val="0"/>
                  <w:divBdr>
                    <w:top w:val="none" w:sz="0" w:space="0" w:color="auto"/>
                    <w:left w:val="none" w:sz="0" w:space="0" w:color="auto"/>
                    <w:bottom w:val="none" w:sz="0" w:space="0" w:color="auto"/>
                    <w:right w:val="none" w:sz="0" w:space="0" w:color="auto"/>
                  </w:divBdr>
                  <w:divsChild>
                    <w:div w:id="5102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7317">
          <w:marLeft w:val="0"/>
          <w:marRight w:val="0"/>
          <w:marTop w:val="0"/>
          <w:marBottom w:val="0"/>
          <w:divBdr>
            <w:top w:val="none" w:sz="0" w:space="0" w:color="auto"/>
            <w:left w:val="none" w:sz="0" w:space="0" w:color="auto"/>
            <w:bottom w:val="none" w:sz="0" w:space="0" w:color="auto"/>
            <w:right w:val="none" w:sz="0" w:space="0" w:color="auto"/>
          </w:divBdr>
          <w:divsChild>
            <w:div w:id="231164652">
              <w:marLeft w:val="0"/>
              <w:marRight w:val="0"/>
              <w:marTop w:val="0"/>
              <w:marBottom w:val="0"/>
              <w:divBdr>
                <w:top w:val="none" w:sz="0" w:space="0" w:color="auto"/>
                <w:left w:val="none" w:sz="0" w:space="0" w:color="auto"/>
                <w:bottom w:val="none" w:sz="0" w:space="0" w:color="auto"/>
                <w:right w:val="none" w:sz="0" w:space="0" w:color="auto"/>
              </w:divBdr>
              <w:divsChild>
                <w:div w:id="1921672623">
                  <w:marLeft w:val="0"/>
                  <w:marRight w:val="0"/>
                  <w:marTop w:val="0"/>
                  <w:marBottom w:val="0"/>
                  <w:divBdr>
                    <w:top w:val="none" w:sz="0" w:space="0" w:color="auto"/>
                    <w:left w:val="none" w:sz="0" w:space="0" w:color="auto"/>
                    <w:bottom w:val="none" w:sz="0" w:space="0" w:color="auto"/>
                    <w:right w:val="none" w:sz="0" w:space="0" w:color="auto"/>
                  </w:divBdr>
                  <w:divsChild>
                    <w:div w:id="1099715306">
                      <w:marLeft w:val="0"/>
                      <w:marRight w:val="0"/>
                      <w:marTop w:val="0"/>
                      <w:marBottom w:val="0"/>
                      <w:divBdr>
                        <w:top w:val="none" w:sz="0" w:space="0" w:color="auto"/>
                        <w:left w:val="none" w:sz="0" w:space="0" w:color="auto"/>
                        <w:bottom w:val="none" w:sz="0" w:space="0" w:color="auto"/>
                        <w:right w:val="none" w:sz="0" w:space="0" w:color="auto"/>
                      </w:divBdr>
                      <w:divsChild>
                        <w:div w:id="2105611978">
                          <w:marLeft w:val="0"/>
                          <w:marRight w:val="0"/>
                          <w:marTop w:val="0"/>
                          <w:marBottom w:val="0"/>
                          <w:divBdr>
                            <w:top w:val="none" w:sz="0" w:space="0" w:color="auto"/>
                            <w:left w:val="none" w:sz="0" w:space="0" w:color="auto"/>
                            <w:bottom w:val="none" w:sz="0" w:space="0" w:color="auto"/>
                            <w:right w:val="none" w:sz="0" w:space="0" w:color="auto"/>
                          </w:divBdr>
                          <w:divsChild>
                            <w:div w:id="847257065">
                              <w:marLeft w:val="0"/>
                              <w:marRight w:val="0"/>
                              <w:marTop w:val="0"/>
                              <w:marBottom w:val="0"/>
                              <w:divBdr>
                                <w:top w:val="none" w:sz="0" w:space="0" w:color="auto"/>
                                <w:left w:val="none" w:sz="0" w:space="0" w:color="auto"/>
                                <w:bottom w:val="none" w:sz="0" w:space="0" w:color="auto"/>
                                <w:right w:val="none" w:sz="0" w:space="0" w:color="auto"/>
                              </w:divBdr>
                              <w:divsChild>
                                <w:div w:id="84083069">
                                  <w:marLeft w:val="0"/>
                                  <w:marRight w:val="0"/>
                                  <w:marTop w:val="0"/>
                                  <w:marBottom w:val="0"/>
                                  <w:divBdr>
                                    <w:top w:val="none" w:sz="0" w:space="0" w:color="auto"/>
                                    <w:left w:val="none" w:sz="0" w:space="0" w:color="auto"/>
                                    <w:bottom w:val="none" w:sz="0" w:space="0" w:color="auto"/>
                                    <w:right w:val="none" w:sz="0" w:space="0" w:color="auto"/>
                                  </w:divBdr>
                                  <w:divsChild>
                                    <w:div w:id="2058819152">
                                      <w:marLeft w:val="0"/>
                                      <w:marRight w:val="0"/>
                                      <w:marTop w:val="0"/>
                                      <w:marBottom w:val="0"/>
                                      <w:divBdr>
                                        <w:top w:val="none" w:sz="0" w:space="0" w:color="auto"/>
                                        <w:left w:val="none" w:sz="0" w:space="0" w:color="auto"/>
                                        <w:bottom w:val="none" w:sz="0" w:space="0" w:color="auto"/>
                                        <w:right w:val="none" w:sz="0" w:space="0" w:color="auto"/>
                                      </w:divBdr>
                                      <w:divsChild>
                                        <w:div w:id="121076162">
                                          <w:marLeft w:val="0"/>
                                          <w:marRight w:val="0"/>
                                          <w:marTop w:val="0"/>
                                          <w:marBottom w:val="0"/>
                                          <w:divBdr>
                                            <w:top w:val="none" w:sz="0" w:space="0" w:color="auto"/>
                                            <w:left w:val="none" w:sz="0" w:space="0" w:color="auto"/>
                                            <w:bottom w:val="none" w:sz="0" w:space="0" w:color="auto"/>
                                            <w:right w:val="none" w:sz="0" w:space="0" w:color="auto"/>
                                          </w:divBdr>
                                        </w:div>
                                        <w:div w:id="136267494">
                                          <w:marLeft w:val="0"/>
                                          <w:marRight w:val="0"/>
                                          <w:marTop w:val="0"/>
                                          <w:marBottom w:val="0"/>
                                          <w:divBdr>
                                            <w:top w:val="none" w:sz="0" w:space="0" w:color="auto"/>
                                            <w:left w:val="none" w:sz="0" w:space="0" w:color="auto"/>
                                            <w:bottom w:val="none" w:sz="0" w:space="0" w:color="auto"/>
                                            <w:right w:val="none" w:sz="0" w:space="0" w:color="auto"/>
                                          </w:divBdr>
                                          <w:divsChild>
                                            <w:div w:id="751513970">
                                              <w:marLeft w:val="0"/>
                                              <w:marRight w:val="0"/>
                                              <w:marTop w:val="0"/>
                                              <w:marBottom w:val="0"/>
                                              <w:divBdr>
                                                <w:top w:val="none" w:sz="0" w:space="0" w:color="auto"/>
                                                <w:left w:val="none" w:sz="0" w:space="0" w:color="auto"/>
                                                <w:bottom w:val="none" w:sz="0" w:space="0" w:color="auto"/>
                                                <w:right w:val="none" w:sz="0" w:space="0" w:color="auto"/>
                                              </w:divBdr>
                                              <w:divsChild>
                                                <w:div w:id="5306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96085">
      <w:bodyDiv w:val="1"/>
      <w:marLeft w:val="0"/>
      <w:marRight w:val="0"/>
      <w:marTop w:val="0"/>
      <w:marBottom w:val="0"/>
      <w:divBdr>
        <w:top w:val="none" w:sz="0" w:space="0" w:color="auto"/>
        <w:left w:val="none" w:sz="0" w:space="0" w:color="auto"/>
        <w:bottom w:val="none" w:sz="0" w:space="0" w:color="auto"/>
        <w:right w:val="none" w:sz="0" w:space="0" w:color="auto"/>
      </w:divBdr>
    </w:div>
    <w:div w:id="220411461">
      <w:bodyDiv w:val="1"/>
      <w:marLeft w:val="0"/>
      <w:marRight w:val="0"/>
      <w:marTop w:val="0"/>
      <w:marBottom w:val="0"/>
      <w:divBdr>
        <w:top w:val="none" w:sz="0" w:space="0" w:color="auto"/>
        <w:left w:val="none" w:sz="0" w:space="0" w:color="auto"/>
        <w:bottom w:val="none" w:sz="0" w:space="0" w:color="auto"/>
        <w:right w:val="none" w:sz="0" w:space="0" w:color="auto"/>
      </w:divBdr>
    </w:div>
    <w:div w:id="271057280">
      <w:bodyDiv w:val="1"/>
      <w:marLeft w:val="0"/>
      <w:marRight w:val="0"/>
      <w:marTop w:val="0"/>
      <w:marBottom w:val="0"/>
      <w:divBdr>
        <w:top w:val="none" w:sz="0" w:space="0" w:color="auto"/>
        <w:left w:val="none" w:sz="0" w:space="0" w:color="auto"/>
        <w:bottom w:val="none" w:sz="0" w:space="0" w:color="auto"/>
        <w:right w:val="none" w:sz="0" w:space="0" w:color="auto"/>
      </w:divBdr>
    </w:div>
    <w:div w:id="306060042">
      <w:bodyDiv w:val="1"/>
      <w:marLeft w:val="0"/>
      <w:marRight w:val="0"/>
      <w:marTop w:val="0"/>
      <w:marBottom w:val="0"/>
      <w:divBdr>
        <w:top w:val="none" w:sz="0" w:space="0" w:color="auto"/>
        <w:left w:val="none" w:sz="0" w:space="0" w:color="auto"/>
        <w:bottom w:val="none" w:sz="0" w:space="0" w:color="auto"/>
        <w:right w:val="none" w:sz="0" w:space="0" w:color="auto"/>
      </w:divBdr>
    </w:div>
    <w:div w:id="311063036">
      <w:bodyDiv w:val="1"/>
      <w:marLeft w:val="0"/>
      <w:marRight w:val="0"/>
      <w:marTop w:val="0"/>
      <w:marBottom w:val="0"/>
      <w:divBdr>
        <w:top w:val="none" w:sz="0" w:space="0" w:color="auto"/>
        <w:left w:val="none" w:sz="0" w:space="0" w:color="auto"/>
        <w:bottom w:val="none" w:sz="0" w:space="0" w:color="auto"/>
        <w:right w:val="none" w:sz="0" w:space="0" w:color="auto"/>
      </w:divBdr>
    </w:div>
    <w:div w:id="339550757">
      <w:bodyDiv w:val="1"/>
      <w:marLeft w:val="0"/>
      <w:marRight w:val="0"/>
      <w:marTop w:val="0"/>
      <w:marBottom w:val="0"/>
      <w:divBdr>
        <w:top w:val="none" w:sz="0" w:space="0" w:color="auto"/>
        <w:left w:val="none" w:sz="0" w:space="0" w:color="auto"/>
        <w:bottom w:val="none" w:sz="0" w:space="0" w:color="auto"/>
        <w:right w:val="none" w:sz="0" w:space="0" w:color="auto"/>
      </w:divBdr>
      <w:divsChild>
        <w:div w:id="296181109">
          <w:marLeft w:val="0"/>
          <w:marRight w:val="0"/>
          <w:marTop w:val="0"/>
          <w:marBottom w:val="0"/>
          <w:divBdr>
            <w:top w:val="none" w:sz="0" w:space="0" w:color="auto"/>
            <w:left w:val="none" w:sz="0" w:space="0" w:color="auto"/>
            <w:bottom w:val="none" w:sz="0" w:space="0" w:color="auto"/>
            <w:right w:val="none" w:sz="0" w:space="0" w:color="auto"/>
          </w:divBdr>
        </w:div>
        <w:div w:id="1033648693">
          <w:marLeft w:val="0"/>
          <w:marRight w:val="0"/>
          <w:marTop w:val="0"/>
          <w:marBottom w:val="0"/>
          <w:divBdr>
            <w:top w:val="none" w:sz="0" w:space="0" w:color="auto"/>
            <w:left w:val="none" w:sz="0" w:space="0" w:color="auto"/>
            <w:bottom w:val="none" w:sz="0" w:space="0" w:color="auto"/>
            <w:right w:val="none" w:sz="0" w:space="0" w:color="auto"/>
          </w:divBdr>
          <w:divsChild>
            <w:div w:id="17609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8663">
      <w:bodyDiv w:val="1"/>
      <w:marLeft w:val="0"/>
      <w:marRight w:val="0"/>
      <w:marTop w:val="0"/>
      <w:marBottom w:val="0"/>
      <w:divBdr>
        <w:top w:val="none" w:sz="0" w:space="0" w:color="auto"/>
        <w:left w:val="none" w:sz="0" w:space="0" w:color="auto"/>
        <w:bottom w:val="none" w:sz="0" w:space="0" w:color="auto"/>
        <w:right w:val="none" w:sz="0" w:space="0" w:color="auto"/>
      </w:divBdr>
    </w:div>
    <w:div w:id="482506189">
      <w:bodyDiv w:val="1"/>
      <w:marLeft w:val="0"/>
      <w:marRight w:val="0"/>
      <w:marTop w:val="0"/>
      <w:marBottom w:val="0"/>
      <w:divBdr>
        <w:top w:val="none" w:sz="0" w:space="0" w:color="auto"/>
        <w:left w:val="none" w:sz="0" w:space="0" w:color="auto"/>
        <w:bottom w:val="none" w:sz="0" w:space="0" w:color="auto"/>
        <w:right w:val="none" w:sz="0" w:space="0" w:color="auto"/>
      </w:divBdr>
    </w:div>
    <w:div w:id="484246083">
      <w:bodyDiv w:val="1"/>
      <w:marLeft w:val="0"/>
      <w:marRight w:val="0"/>
      <w:marTop w:val="0"/>
      <w:marBottom w:val="0"/>
      <w:divBdr>
        <w:top w:val="none" w:sz="0" w:space="0" w:color="auto"/>
        <w:left w:val="none" w:sz="0" w:space="0" w:color="auto"/>
        <w:bottom w:val="none" w:sz="0" w:space="0" w:color="auto"/>
        <w:right w:val="none" w:sz="0" w:space="0" w:color="auto"/>
      </w:divBdr>
      <w:divsChild>
        <w:div w:id="299262276">
          <w:marLeft w:val="0"/>
          <w:marRight w:val="0"/>
          <w:marTop w:val="225"/>
          <w:marBottom w:val="225"/>
          <w:divBdr>
            <w:top w:val="none" w:sz="0" w:space="0" w:color="auto"/>
            <w:left w:val="none" w:sz="0" w:space="0" w:color="auto"/>
            <w:bottom w:val="none" w:sz="0" w:space="0" w:color="auto"/>
            <w:right w:val="none" w:sz="0" w:space="0" w:color="auto"/>
          </w:divBdr>
          <w:divsChild>
            <w:div w:id="335233282">
              <w:marLeft w:val="0"/>
              <w:marRight w:val="0"/>
              <w:marTop w:val="0"/>
              <w:marBottom w:val="0"/>
              <w:divBdr>
                <w:top w:val="none" w:sz="0" w:space="0" w:color="auto"/>
                <w:left w:val="none" w:sz="0" w:space="0" w:color="auto"/>
                <w:bottom w:val="none" w:sz="0" w:space="0" w:color="auto"/>
                <w:right w:val="none" w:sz="0" w:space="0" w:color="auto"/>
              </w:divBdr>
              <w:divsChild>
                <w:div w:id="1219584724">
                  <w:marLeft w:val="0"/>
                  <w:marRight w:val="0"/>
                  <w:marTop w:val="0"/>
                  <w:marBottom w:val="0"/>
                  <w:divBdr>
                    <w:top w:val="none" w:sz="0" w:space="0" w:color="auto"/>
                    <w:left w:val="none" w:sz="0" w:space="0" w:color="auto"/>
                    <w:bottom w:val="none" w:sz="0" w:space="0" w:color="auto"/>
                    <w:right w:val="none" w:sz="0" w:space="0" w:color="auto"/>
                  </w:divBdr>
                  <w:divsChild>
                    <w:div w:id="2057502777">
                      <w:marLeft w:val="0"/>
                      <w:marRight w:val="0"/>
                      <w:marTop w:val="0"/>
                      <w:marBottom w:val="0"/>
                      <w:divBdr>
                        <w:top w:val="none" w:sz="0" w:space="0" w:color="auto"/>
                        <w:left w:val="none" w:sz="0" w:space="0" w:color="auto"/>
                        <w:bottom w:val="none" w:sz="0" w:space="0" w:color="auto"/>
                        <w:right w:val="none" w:sz="0" w:space="0" w:color="auto"/>
                      </w:divBdr>
                    </w:div>
                    <w:div w:id="4846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40268">
      <w:bodyDiv w:val="1"/>
      <w:marLeft w:val="0"/>
      <w:marRight w:val="0"/>
      <w:marTop w:val="0"/>
      <w:marBottom w:val="0"/>
      <w:divBdr>
        <w:top w:val="none" w:sz="0" w:space="0" w:color="auto"/>
        <w:left w:val="none" w:sz="0" w:space="0" w:color="auto"/>
        <w:bottom w:val="none" w:sz="0" w:space="0" w:color="auto"/>
        <w:right w:val="none" w:sz="0" w:space="0" w:color="auto"/>
      </w:divBdr>
    </w:div>
    <w:div w:id="548537329">
      <w:bodyDiv w:val="1"/>
      <w:marLeft w:val="0"/>
      <w:marRight w:val="0"/>
      <w:marTop w:val="0"/>
      <w:marBottom w:val="0"/>
      <w:divBdr>
        <w:top w:val="none" w:sz="0" w:space="0" w:color="auto"/>
        <w:left w:val="none" w:sz="0" w:space="0" w:color="auto"/>
        <w:bottom w:val="none" w:sz="0" w:space="0" w:color="auto"/>
        <w:right w:val="none" w:sz="0" w:space="0" w:color="auto"/>
      </w:divBdr>
    </w:div>
    <w:div w:id="622809094">
      <w:bodyDiv w:val="1"/>
      <w:marLeft w:val="0"/>
      <w:marRight w:val="0"/>
      <w:marTop w:val="0"/>
      <w:marBottom w:val="0"/>
      <w:divBdr>
        <w:top w:val="none" w:sz="0" w:space="0" w:color="auto"/>
        <w:left w:val="none" w:sz="0" w:space="0" w:color="auto"/>
        <w:bottom w:val="none" w:sz="0" w:space="0" w:color="auto"/>
        <w:right w:val="none" w:sz="0" w:space="0" w:color="auto"/>
      </w:divBdr>
    </w:div>
    <w:div w:id="631789979">
      <w:bodyDiv w:val="1"/>
      <w:marLeft w:val="0"/>
      <w:marRight w:val="0"/>
      <w:marTop w:val="0"/>
      <w:marBottom w:val="0"/>
      <w:divBdr>
        <w:top w:val="none" w:sz="0" w:space="0" w:color="auto"/>
        <w:left w:val="none" w:sz="0" w:space="0" w:color="auto"/>
        <w:bottom w:val="none" w:sz="0" w:space="0" w:color="auto"/>
        <w:right w:val="none" w:sz="0" w:space="0" w:color="auto"/>
      </w:divBdr>
    </w:div>
    <w:div w:id="653291721">
      <w:bodyDiv w:val="1"/>
      <w:marLeft w:val="0"/>
      <w:marRight w:val="0"/>
      <w:marTop w:val="0"/>
      <w:marBottom w:val="0"/>
      <w:divBdr>
        <w:top w:val="none" w:sz="0" w:space="0" w:color="auto"/>
        <w:left w:val="none" w:sz="0" w:space="0" w:color="auto"/>
        <w:bottom w:val="none" w:sz="0" w:space="0" w:color="auto"/>
        <w:right w:val="none" w:sz="0" w:space="0" w:color="auto"/>
      </w:divBdr>
    </w:div>
    <w:div w:id="720784903">
      <w:bodyDiv w:val="1"/>
      <w:marLeft w:val="0"/>
      <w:marRight w:val="0"/>
      <w:marTop w:val="0"/>
      <w:marBottom w:val="0"/>
      <w:divBdr>
        <w:top w:val="none" w:sz="0" w:space="0" w:color="auto"/>
        <w:left w:val="none" w:sz="0" w:space="0" w:color="auto"/>
        <w:bottom w:val="none" w:sz="0" w:space="0" w:color="auto"/>
        <w:right w:val="none" w:sz="0" w:space="0" w:color="auto"/>
      </w:divBdr>
      <w:divsChild>
        <w:div w:id="554775661">
          <w:marLeft w:val="0"/>
          <w:marRight w:val="0"/>
          <w:marTop w:val="0"/>
          <w:marBottom w:val="0"/>
          <w:divBdr>
            <w:top w:val="none" w:sz="0" w:space="0" w:color="auto"/>
            <w:left w:val="none" w:sz="0" w:space="0" w:color="auto"/>
            <w:bottom w:val="none" w:sz="0" w:space="0" w:color="auto"/>
            <w:right w:val="none" w:sz="0" w:space="0" w:color="auto"/>
          </w:divBdr>
        </w:div>
        <w:div w:id="1562711789">
          <w:marLeft w:val="0"/>
          <w:marRight w:val="0"/>
          <w:marTop w:val="0"/>
          <w:marBottom w:val="0"/>
          <w:divBdr>
            <w:top w:val="none" w:sz="0" w:space="0" w:color="auto"/>
            <w:left w:val="none" w:sz="0" w:space="0" w:color="auto"/>
            <w:bottom w:val="none" w:sz="0" w:space="0" w:color="auto"/>
            <w:right w:val="none" w:sz="0" w:space="0" w:color="auto"/>
          </w:divBdr>
        </w:div>
        <w:div w:id="440035129">
          <w:marLeft w:val="0"/>
          <w:marRight w:val="0"/>
          <w:marTop w:val="0"/>
          <w:marBottom w:val="0"/>
          <w:divBdr>
            <w:top w:val="none" w:sz="0" w:space="0" w:color="auto"/>
            <w:left w:val="none" w:sz="0" w:space="0" w:color="auto"/>
            <w:bottom w:val="none" w:sz="0" w:space="0" w:color="auto"/>
            <w:right w:val="none" w:sz="0" w:space="0" w:color="auto"/>
          </w:divBdr>
        </w:div>
      </w:divsChild>
    </w:div>
    <w:div w:id="877159817">
      <w:bodyDiv w:val="1"/>
      <w:marLeft w:val="0"/>
      <w:marRight w:val="0"/>
      <w:marTop w:val="0"/>
      <w:marBottom w:val="0"/>
      <w:divBdr>
        <w:top w:val="none" w:sz="0" w:space="0" w:color="auto"/>
        <w:left w:val="none" w:sz="0" w:space="0" w:color="auto"/>
        <w:bottom w:val="none" w:sz="0" w:space="0" w:color="auto"/>
        <w:right w:val="none" w:sz="0" w:space="0" w:color="auto"/>
      </w:divBdr>
    </w:div>
    <w:div w:id="895362144">
      <w:bodyDiv w:val="1"/>
      <w:marLeft w:val="0"/>
      <w:marRight w:val="0"/>
      <w:marTop w:val="0"/>
      <w:marBottom w:val="0"/>
      <w:divBdr>
        <w:top w:val="none" w:sz="0" w:space="0" w:color="auto"/>
        <w:left w:val="none" w:sz="0" w:space="0" w:color="auto"/>
        <w:bottom w:val="none" w:sz="0" w:space="0" w:color="auto"/>
        <w:right w:val="none" w:sz="0" w:space="0" w:color="auto"/>
      </w:divBdr>
    </w:div>
    <w:div w:id="896401861">
      <w:bodyDiv w:val="1"/>
      <w:marLeft w:val="0"/>
      <w:marRight w:val="0"/>
      <w:marTop w:val="0"/>
      <w:marBottom w:val="0"/>
      <w:divBdr>
        <w:top w:val="none" w:sz="0" w:space="0" w:color="auto"/>
        <w:left w:val="none" w:sz="0" w:space="0" w:color="auto"/>
        <w:bottom w:val="none" w:sz="0" w:space="0" w:color="auto"/>
        <w:right w:val="none" w:sz="0" w:space="0" w:color="auto"/>
      </w:divBdr>
    </w:div>
    <w:div w:id="899943013">
      <w:bodyDiv w:val="1"/>
      <w:marLeft w:val="0"/>
      <w:marRight w:val="0"/>
      <w:marTop w:val="0"/>
      <w:marBottom w:val="0"/>
      <w:divBdr>
        <w:top w:val="none" w:sz="0" w:space="0" w:color="auto"/>
        <w:left w:val="none" w:sz="0" w:space="0" w:color="auto"/>
        <w:bottom w:val="none" w:sz="0" w:space="0" w:color="auto"/>
        <w:right w:val="none" w:sz="0" w:space="0" w:color="auto"/>
      </w:divBdr>
      <w:divsChild>
        <w:div w:id="1958176825">
          <w:marLeft w:val="0"/>
          <w:marRight w:val="0"/>
          <w:marTop w:val="0"/>
          <w:marBottom w:val="0"/>
          <w:divBdr>
            <w:top w:val="none" w:sz="0" w:space="0" w:color="auto"/>
            <w:left w:val="none" w:sz="0" w:space="0" w:color="auto"/>
            <w:bottom w:val="none" w:sz="0" w:space="0" w:color="auto"/>
            <w:right w:val="none" w:sz="0" w:space="0" w:color="auto"/>
          </w:divBdr>
        </w:div>
        <w:div w:id="1953630741">
          <w:marLeft w:val="0"/>
          <w:marRight w:val="0"/>
          <w:marTop w:val="0"/>
          <w:marBottom w:val="0"/>
          <w:divBdr>
            <w:top w:val="none" w:sz="0" w:space="0" w:color="auto"/>
            <w:left w:val="none" w:sz="0" w:space="0" w:color="auto"/>
            <w:bottom w:val="none" w:sz="0" w:space="0" w:color="auto"/>
            <w:right w:val="none" w:sz="0" w:space="0" w:color="auto"/>
          </w:divBdr>
        </w:div>
        <w:div w:id="1202866683">
          <w:marLeft w:val="0"/>
          <w:marRight w:val="0"/>
          <w:marTop w:val="0"/>
          <w:marBottom w:val="0"/>
          <w:divBdr>
            <w:top w:val="none" w:sz="0" w:space="0" w:color="auto"/>
            <w:left w:val="none" w:sz="0" w:space="0" w:color="auto"/>
            <w:bottom w:val="none" w:sz="0" w:space="0" w:color="auto"/>
            <w:right w:val="none" w:sz="0" w:space="0" w:color="auto"/>
          </w:divBdr>
        </w:div>
      </w:divsChild>
    </w:div>
    <w:div w:id="975451563">
      <w:bodyDiv w:val="1"/>
      <w:marLeft w:val="0"/>
      <w:marRight w:val="0"/>
      <w:marTop w:val="0"/>
      <w:marBottom w:val="0"/>
      <w:divBdr>
        <w:top w:val="none" w:sz="0" w:space="0" w:color="auto"/>
        <w:left w:val="none" w:sz="0" w:space="0" w:color="auto"/>
        <w:bottom w:val="none" w:sz="0" w:space="0" w:color="auto"/>
        <w:right w:val="none" w:sz="0" w:space="0" w:color="auto"/>
      </w:divBdr>
    </w:div>
    <w:div w:id="1006907613">
      <w:bodyDiv w:val="1"/>
      <w:marLeft w:val="0"/>
      <w:marRight w:val="0"/>
      <w:marTop w:val="0"/>
      <w:marBottom w:val="0"/>
      <w:divBdr>
        <w:top w:val="none" w:sz="0" w:space="0" w:color="auto"/>
        <w:left w:val="none" w:sz="0" w:space="0" w:color="auto"/>
        <w:bottom w:val="none" w:sz="0" w:space="0" w:color="auto"/>
        <w:right w:val="none" w:sz="0" w:space="0" w:color="auto"/>
      </w:divBdr>
    </w:div>
    <w:div w:id="1017652859">
      <w:bodyDiv w:val="1"/>
      <w:marLeft w:val="0"/>
      <w:marRight w:val="0"/>
      <w:marTop w:val="0"/>
      <w:marBottom w:val="0"/>
      <w:divBdr>
        <w:top w:val="none" w:sz="0" w:space="0" w:color="auto"/>
        <w:left w:val="none" w:sz="0" w:space="0" w:color="auto"/>
        <w:bottom w:val="none" w:sz="0" w:space="0" w:color="auto"/>
        <w:right w:val="none" w:sz="0" w:space="0" w:color="auto"/>
      </w:divBdr>
    </w:div>
    <w:div w:id="1118260623">
      <w:bodyDiv w:val="1"/>
      <w:marLeft w:val="0"/>
      <w:marRight w:val="0"/>
      <w:marTop w:val="0"/>
      <w:marBottom w:val="0"/>
      <w:divBdr>
        <w:top w:val="none" w:sz="0" w:space="0" w:color="auto"/>
        <w:left w:val="none" w:sz="0" w:space="0" w:color="auto"/>
        <w:bottom w:val="none" w:sz="0" w:space="0" w:color="auto"/>
        <w:right w:val="none" w:sz="0" w:space="0" w:color="auto"/>
      </w:divBdr>
    </w:div>
    <w:div w:id="1118910118">
      <w:bodyDiv w:val="1"/>
      <w:marLeft w:val="0"/>
      <w:marRight w:val="0"/>
      <w:marTop w:val="0"/>
      <w:marBottom w:val="0"/>
      <w:divBdr>
        <w:top w:val="none" w:sz="0" w:space="0" w:color="auto"/>
        <w:left w:val="none" w:sz="0" w:space="0" w:color="auto"/>
        <w:bottom w:val="none" w:sz="0" w:space="0" w:color="auto"/>
        <w:right w:val="none" w:sz="0" w:space="0" w:color="auto"/>
      </w:divBdr>
    </w:div>
    <w:div w:id="1147169714">
      <w:bodyDiv w:val="1"/>
      <w:marLeft w:val="0"/>
      <w:marRight w:val="0"/>
      <w:marTop w:val="0"/>
      <w:marBottom w:val="0"/>
      <w:divBdr>
        <w:top w:val="none" w:sz="0" w:space="0" w:color="auto"/>
        <w:left w:val="none" w:sz="0" w:space="0" w:color="auto"/>
        <w:bottom w:val="none" w:sz="0" w:space="0" w:color="auto"/>
        <w:right w:val="none" w:sz="0" w:space="0" w:color="auto"/>
      </w:divBdr>
    </w:div>
    <w:div w:id="1177386425">
      <w:bodyDiv w:val="1"/>
      <w:marLeft w:val="0"/>
      <w:marRight w:val="0"/>
      <w:marTop w:val="0"/>
      <w:marBottom w:val="0"/>
      <w:divBdr>
        <w:top w:val="none" w:sz="0" w:space="0" w:color="auto"/>
        <w:left w:val="none" w:sz="0" w:space="0" w:color="auto"/>
        <w:bottom w:val="none" w:sz="0" w:space="0" w:color="auto"/>
        <w:right w:val="none" w:sz="0" w:space="0" w:color="auto"/>
      </w:divBdr>
    </w:div>
    <w:div w:id="1218971471">
      <w:bodyDiv w:val="1"/>
      <w:marLeft w:val="0"/>
      <w:marRight w:val="0"/>
      <w:marTop w:val="0"/>
      <w:marBottom w:val="0"/>
      <w:divBdr>
        <w:top w:val="none" w:sz="0" w:space="0" w:color="auto"/>
        <w:left w:val="none" w:sz="0" w:space="0" w:color="auto"/>
        <w:bottom w:val="none" w:sz="0" w:space="0" w:color="auto"/>
        <w:right w:val="none" w:sz="0" w:space="0" w:color="auto"/>
      </w:divBdr>
    </w:div>
    <w:div w:id="1275671692">
      <w:bodyDiv w:val="1"/>
      <w:marLeft w:val="0"/>
      <w:marRight w:val="0"/>
      <w:marTop w:val="0"/>
      <w:marBottom w:val="0"/>
      <w:divBdr>
        <w:top w:val="none" w:sz="0" w:space="0" w:color="auto"/>
        <w:left w:val="none" w:sz="0" w:space="0" w:color="auto"/>
        <w:bottom w:val="none" w:sz="0" w:space="0" w:color="auto"/>
        <w:right w:val="none" w:sz="0" w:space="0" w:color="auto"/>
      </w:divBdr>
      <w:divsChild>
        <w:div w:id="1432312677">
          <w:marLeft w:val="0"/>
          <w:marRight w:val="0"/>
          <w:marTop w:val="0"/>
          <w:marBottom w:val="0"/>
          <w:divBdr>
            <w:top w:val="none" w:sz="0" w:space="0" w:color="auto"/>
            <w:left w:val="none" w:sz="0" w:space="0" w:color="auto"/>
            <w:bottom w:val="none" w:sz="0" w:space="0" w:color="auto"/>
            <w:right w:val="none" w:sz="0" w:space="0" w:color="auto"/>
          </w:divBdr>
          <w:divsChild>
            <w:div w:id="4242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2423">
      <w:bodyDiv w:val="1"/>
      <w:marLeft w:val="0"/>
      <w:marRight w:val="0"/>
      <w:marTop w:val="0"/>
      <w:marBottom w:val="0"/>
      <w:divBdr>
        <w:top w:val="none" w:sz="0" w:space="0" w:color="auto"/>
        <w:left w:val="none" w:sz="0" w:space="0" w:color="auto"/>
        <w:bottom w:val="none" w:sz="0" w:space="0" w:color="auto"/>
        <w:right w:val="none" w:sz="0" w:space="0" w:color="auto"/>
      </w:divBdr>
    </w:div>
    <w:div w:id="1370254814">
      <w:bodyDiv w:val="1"/>
      <w:marLeft w:val="0"/>
      <w:marRight w:val="0"/>
      <w:marTop w:val="0"/>
      <w:marBottom w:val="0"/>
      <w:divBdr>
        <w:top w:val="none" w:sz="0" w:space="0" w:color="auto"/>
        <w:left w:val="none" w:sz="0" w:space="0" w:color="auto"/>
        <w:bottom w:val="none" w:sz="0" w:space="0" w:color="auto"/>
        <w:right w:val="none" w:sz="0" w:space="0" w:color="auto"/>
      </w:divBdr>
      <w:divsChild>
        <w:div w:id="779300238">
          <w:marLeft w:val="0"/>
          <w:marRight w:val="0"/>
          <w:marTop w:val="0"/>
          <w:marBottom w:val="0"/>
          <w:divBdr>
            <w:top w:val="none" w:sz="0" w:space="0" w:color="auto"/>
            <w:left w:val="none" w:sz="0" w:space="0" w:color="auto"/>
            <w:bottom w:val="none" w:sz="0" w:space="0" w:color="auto"/>
            <w:right w:val="none" w:sz="0" w:space="0" w:color="auto"/>
          </w:divBdr>
        </w:div>
        <w:div w:id="742603502">
          <w:marLeft w:val="0"/>
          <w:marRight w:val="0"/>
          <w:marTop w:val="0"/>
          <w:marBottom w:val="0"/>
          <w:divBdr>
            <w:top w:val="none" w:sz="0" w:space="0" w:color="auto"/>
            <w:left w:val="none" w:sz="0" w:space="0" w:color="auto"/>
            <w:bottom w:val="none" w:sz="0" w:space="0" w:color="auto"/>
            <w:right w:val="none" w:sz="0" w:space="0" w:color="auto"/>
          </w:divBdr>
        </w:div>
        <w:div w:id="1697535191">
          <w:marLeft w:val="0"/>
          <w:marRight w:val="0"/>
          <w:marTop w:val="0"/>
          <w:marBottom w:val="0"/>
          <w:divBdr>
            <w:top w:val="none" w:sz="0" w:space="0" w:color="auto"/>
            <w:left w:val="none" w:sz="0" w:space="0" w:color="auto"/>
            <w:bottom w:val="none" w:sz="0" w:space="0" w:color="auto"/>
            <w:right w:val="none" w:sz="0" w:space="0" w:color="auto"/>
          </w:divBdr>
        </w:div>
      </w:divsChild>
    </w:div>
    <w:div w:id="1411268034">
      <w:bodyDiv w:val="1"/>
      <w:marLeft w:val="0"/>
      <w:marRight w:val="0"/>
      <w:marTop w:val="0"/>
      <w:marBottom w:val="0"/>
      <w:divBdr>
        <w:top w:val="none" w:sz="0" w:space="0" w:color="auto"/>
        <w:left w:val="none" w:sz="0" w:space="0" w:color="auto"/>
        <w:bottom w:val="none" w:sz="0" w:space="0" w:color="auto"/>
        <w:right w:val="none" w:sz="0" w:space="0" w:color="auto"/>
      </w:divBdr>
    </w:div>
    <w:div w:id="1540168886">
      <w:bodyDiv w:val="1"/>
      <w:marLeft w:val="0"/>
      <w:marRight w:val="0"/>
      <w:marTop w:val="0"/>
      <w:marBottom w:val="0"/>
      <w:divBdr>
        <w:top w:val="none" w:sz="0" w:space="0" w:color="auto"/>
        <w:left w:val="none" w:sz="0" w:space="0" w:color="auto"/>
        <w:bottom w:val="none" w:sz="0" w:space="0" w:color="auto"/>
        <w:right w:val="none" w:sz="0" w:space="0" w:color="auto"/>
      </w:divBdr>
      <w:divsChild>
        <w:div w:id="888110508">
          <w:marLeft w:val="0"/>
          <w:marRight w:val="0"/>
          <w:marTop w:val="0"/>
          <w:marBottom w:val="0"/>
          <w:divBdr>
            <w:top w:val="none" w:sz="0" w:space="0" w:color="auto"/>
            <w:left w:val="none" w:sz="0" w:space="0" w:color="auto"/>
            <w:bottom w:val="none" w:sz="0" w:space="0" w:color="auto"/>
            <w:right w:val="none" w:sz="0" w:space="0" w:color="auto"/>
          </w:divBdr>
          <w:divsChild>
            <w:div w:id="544098499">
              <w:marLeft w:val="0"/>
              <w:marRight w:val="0"/>
              <w:marTop w:val="0"/>
              <w:marBottom w:val="0"/>
              <w:divBdr>
                <w:top w:val="none" w:sz="0" w:space="0" w:color="auto"/>
                <w:left w:val="none" w:sz="0" w:space="0" w:color="auto"/>
                <w:bottom w:val="none" w:sz="0" w:space="0" w:color="auto"/>
                <w:right w:val="none" w:sz="0" w:space="0" w:color="auto"/>
              </w:divBdr>
            </w:div>
            <w:div w:id="1898667679">
              <w:marLeft w:val="0"/>
              <w:marRight w:val="0"/>
              <w:marTop w:val="0"/>
              <w:marBottom w:val="0"/>
              <w:divBdr>
                <w:top w:val="none" w:sz="0" w:space="0" w:color="auto"/>
                <w:left w:val="none" w:sz="0" w:space="0" w:color="auto"/>
                <w:bottom w:val="none" w:sz="0" w:space="0" w:color="auto"/>
                <w:right w:val="none" w:sz="0" w:space="0" w:color="auto"/>
              </w:divBdr>
            </w:div>
            <w:div w:id="425073802">
              <w:marLeft w:val="0"/>
              <w:marRight w:val="0"/>
              <w:marTop w:val="0"/>
              <w:marBottom w:val="0"/>
              <w:divBdr>
                <w:top w:val="none" w:sz="0" w:space="0" w:color="auto"/>
                <w:left w:val="none" w:sz="0" w:space="0" w:color="auto"/>
                <w:bottom w:val="none" w:sz="0" w:space="0" w:color="auto"/>
                <w:right w:val="none" w:sz="0" w:space="0" w:color="auto"/>
              </w:divBdr>
            </w:div>
            <w:div w:id="1962299119">
              <w:marLeft w:val="0"/>
              <w:marRight w:val="0"/>
              <w:marTop w:val="0"/>
              <w:marBottom w:val="0"/>
              <w:divBdr>
                <w:top w:val="none" w:sz="0" w:space="0" w:color="auto"/>
                <w:left w:val="none" w:sz="0" w:space="0" w:color="auto"/>
                <w:bottom w:val="none" w:sz="0" w:space="0" w:color="auto"/>
                <w:right w:val="none" w:sz="0" w:space="0" w:color="auto"/>
              </w:divBdr>
            </w:div>
            <w:div w:id="1087073233">
              <w:marLeft w:val="0"/>
              <w:marRight w:val="0"/>
              <w:marTop w:val="0"/>
              <w:marBottom w:val="0"/>
              <w:divBdr>
                <w:top w:val="none" w:sz="0" w:space="0" w:color="auto"/>
                <w:left w:val="none" w:sz="0" w:space="0" w:color="auto"/>
                <w:bottom w:val="none" w:sz="0" w:space="0" w:color="auto"/>
                <w:right w:val="none" w:sz="0" w:space="0" w:color="auto"/>
              </w:divBdr>
            </w:div>
            <w:div w:id="1305544807">
              <w:marLeft w:val="0"/>
              <w:marRight w:val="0"/>
              <w:marTop w:val="0"/>
              <w:marBottom w:val="0"/>
              <w:divBdr>
                <w:top w:val="none" w:sz="0" w:space="0" w:color="auto"/>
                <w:left w:val="none" w:sz="0" w:space="0" w:color="auto"/>
                <w:bottom w:val="none" w:sz="0" w:space="0" w:color="auto"/>
                <w:right w:val="none" w:sz="0" w:space="0" w:color="auto"/>
              </w:divBdr>
            </w:div>
            <w:div w:id="1837106350">
              <w:marLeft w:val="0"/>
              <w:marRight w:val="0"/>
              <w:marTop w:val="0"/>
              <w:marBottom w:val="0"/>
              <w:divBdr>
                <w:top w:val="none" w:sz="0" w:space="0" w:color="auto"/>
                <w:left w:val="none" w:sz="0" w:space="0" w:color="auto"/>
                <w:bottom w:val="none" w:sz="0" w:space="0" w:color="auto"/>
                <w:right w:val="none" w:sz="0" w:space="0" w:color="auto"/>
              </w:divBdr>
            </w:div>
            <w:div w:id="829055634">
              <w:marLeft w:val="0"/>
              <w:marRight w:val="0"/>
              <w:marTop w:val="0"/>
              <w:marBottom w:val="0"/>
              <w:divBdr>
                <w:top w:val="none" w:sz="0" w:space="0" w:color="auto"/>
                <w:left w:val="none" w:sz="0" w:space="0" w:color="auto"/>
                <w:bottom w:val="none" w:sz="0" w:space="0" w:color="auto"/>
                <w:right w:val="none" w:sz="0" w:space="0" w:color="auto"/>
              </w:divBdr>
            </w:div>
            <w:div w:id="246117087">
              <w:marLeft w:val="0"/>
              <w:marRight w:val="0"/>
              <w:marTop w:val="0"/>
              <w:marBottom w:val="0"/>
              <w:divBdr>
                <w:top w:val="none" w:sz="0" w:space="0" w:color="auto"/>
                <w:left w:val="none" w:sz="0" w:space="0" w:color="auto"/>
                <w:bottom w:val="none" w:sz="0" w:space="0" w:color="auto"/>
                <w:right w:val="none" w:sz="0" w:space="0" w:color="auto"/>
              </w:divBdr>
            </w:div>
            <w:div w:id="2033068820">
              <w:marLeft w:val="0"/>
              <w:marRight w:val="0"/>
              <w:marTop w:val="0"/>
              <w:marBottom w:val="0"/>
              <w:divBdr>
                <w:top w:val="none" w:sz="0" w:space="0" w:color="auto"/>
                <w:left w:val="none" w:sz="0" w:space="0" w:color="auto"/>
                <w:bottom w:val="none" w:sz="0" w:space="0" w:color="auto"/>
                <w:right w:val="none" w:sz="0" w:space="0" w:color="auto"/>
              </w:divBdr>
            </w:div>
            <w:div w:id="1087925185">
              <w:marLeft w:val="0"/>
              <w:marRight w:val="0"/>
              <w:marTop w:val="0"/>
              <w:marBottom w:val="0"/>
              <w:divBdr>
                <w:top w:val="none" w:sz="0" w:space="0" w:color="auto"/>
                <w:left w:val="none" w:sz="0" w:space="0" w:color="auto"/>
                <w:bottom w:val="none" w:sz="0" w:space="0" w:color="auto"/>
                <w:right w:val="none" w:sz="0" w:space="0" w:color="auto"/>
              </w:divBdr>
            </w:div>
            <w:div w:id="1623733288">
              <w:marLeft w:val="0"/>
              <w:marRight w:val="0"/>
              <w:marTop w:val="0"/>
              <w:marBottom w:val="0"/>
              <w:divBdr>
                <w:top w:val="none" w:sz="0" w:space="0" w:color="auto"/>
                <w:left w:val="none" w:sz="0" w:space="0" w:color="auto"/>
                <w:bottom w:val="none" w:sz="0" w:space="0" w:color="auto"/>
                <w:right w:val="none" w:sz="0" w:space="0" w:color="auto"/>
              </w:divBdr>
            </w:div>
            <w:div w:id="207226622">
              <w:marLeft w:val="0"/>
              <w:marRight w:val="0"/>
              <w:marTop w:val="0"/>
              <w:marBottom w:val="0"/>
              <w:divBdr>
                <w:top w:val="none" w:sz="0" w:space="0" w:color="auto"/>
                <w:left w:val="none" w:sz="0" w:space="0" w:color="auto"/>
                <w:bottom w:val="none" w:sz="0" w:space="0" w:color="auto"/>
                <w:right w:val="none" w:sz="0" w:space="0" w:color="auto"/>
              </w:divBdr>
            </w:div>
            <w:div w:id="941106150">
              <w:marLeft w:val="0"/>
              <w:marRight w:val="0"/>
              <w:marTop w:val="0"/>
              <w:marBottom w:val="0"/>
              <w:divBdr>
                <w:top w:val="none" w:sz="0" w:space="0" w:color="auto"/>
                <w:left w:val="none" w:sz="0" w:space="0" w:color="auto"/>
                <w:bottom w:val="none" w:sz="0" w:space="0" w:color="auto"/>
                <w:right w:val="none" w:sz="0" w:space="0" w:color="auto"/>
              </w:divBdr>
            </w:div>
            <w:div w:id="1038239062">
              <w:marLeft w:val="0"/>
              <w:marRight w:val="0"/>
              <w:marTop w:val="0"/>
              <w:marBottom w:val="0"/>
              <w:divBdr>
                <w:top w:val="none" w:sz="0" w:space="0" w:color="auto"/>
                <w:left w:val="none" w:sz="0" w:space="0" w:color="auto"/>
                <w:bottom w:val="none" w:sz="0" w:space="0" w:color="auto"/>
                <w:right w:val="none" w:sz="0" w:space="0" w:color="auto"/>
              </w:divBdr>
            </w:div>
            <w:div w:id="10031518">
              <w:marLeft w:val="0"/>
              <w:marRight w:val="0"/>
              <w:marTop w:val="0"/>
              <w:marBottom w:val="0"/>
              <w:divBdr>
                <w:top w:val="none" w:sz="0" w:space="0" w:color="auto"/>
                <w:left w:val="none" w:sz="0" w:space="0" w:color="auto"/>
                <w:bottom w:val="none" w:sz="0" w:space="0" w:color="auto"/>
                <w:right w:val="none" w:sz="0" w:space="0" w:color="auto"/>
              </w:divBdr>
            </w:div>
            <w:div w:id="1988436450">
              <w:marLeft w:val="0"/>
              <w:marRight w:val="0"/>
              <w:marTop w:val="0"/>
              <w:marBottom w:val="0"/>
              <w:divBdr>
                <w:top w:val="none" w:sz="0" w:space="0" w:color="auto"/>
                <w:left w:val="none" w:sz="0" w:space="0" w:color="auto"/>
                <w:bottom w:val="none" w:sz="0" w:space="0" w:color="auto"/>
                <w:right w:val="none" w:sz="0" w:space="0" w:color="auto"/>
              </w:divBdr>
            </w:div>
            <w:div w:id="869951661">
              <w:marLeft w:val="0"/>
              <w:marRight w:val="0"/>
              <w:marTop w:val="0"/>
              <w:marBottom w:val="0"/>
              <w:divBdr>
                <w:top w:val="none" w:sz="0" w:space="0" w:color="auto"/>
                <w:left w:val="none" w:sz="0" w:space="0" w:color="auto"/>
                <w:bottom w:val="none" w:sz="0" w:space="0" w:color="auto"/>
                <w:right w:val="none" w:sz="0" w:space="0" w:color="auto"/>
              </w:divBdr>
            </w:div>
            <w:div w:id="1324554336">
              <w:marLeft w:val="0"/>
              <w:marRight w:val="0"/>
              <w:marTop w:val="0"/>
              <w:marBottom w:val="0"/>
              <w:divBdr>
                <w:top w:val="none" w:sz="0" w:space="0" w:color="auto"/>
                <w:left w:val="none" w:sz="0" w:space="0" w:color="auto"/>
                <w:bottom w:val="none" w:sz="0" w:space="0" w:color="auto"/>
                <w:right w:val="none" w:sz="0" w:space="0" w:color="auto"/>
              </w:divBdr>
            </w:div>
            <w:div w:id="480077677">
              <w:marLeft w:val="0"/>
              <w:marRight w:val="0"/>
              <w:marTop w:val="0"/>
              <w:marBottom w:val="0"/>
              <w:divBdr>
                <w:top w:val="none" w:sz="0" w:space="0" w:color="auto"/>
                <w:left w:val="none" w:sz="0" w:space="0" w:color="auto"/>
                <w:bottom w:val="none" w:sz="0" w:space="0" w:color="auto"/>
                <w:right w:val="none" w:sz="0" w:space="0" w:color="auto"/>
              </w:divBdr>
            </w:div>
            <w:div w:id="1934826173">
              <w:marLeft w:val="0"/>
              <w:marRight w:val="0"/>
              <w:marTop w:val="0"/>
              <w:marBottom w:val="0"/>
              <w:divBdr>
                <w:top w:val="none" w:sz="0" w:space="0" w:color="auto"/>
                <w:left w:val="none" w:sz="0" w:space="0" w:color="auto"/>
                <w:bottom w:val="none" w:sz="0" w:space="0" w:color="auto"/>
                <w:right w:val="none" w:sz="0" w:space="0" w:color="auto"/>
              </w:divBdr>
            </w:div>
            <w:div w:id="1664815776">
              <w:marLeft w:val="0"/>
              <w:marRight w:val="0"/>
              <w:marTop w:val="0"/>
              <w:marBottom w:val="0"/>
              <w:divBdr>
                <w:top w:val="none" w:sz="0" w:space="0" w:color="auto"/>
                <w:left w:val="none" w:sz="0" w:space="0" w:color="auto"/>
                <w:bottom w:val="none" w:sz="0" w:space="0" w:color="auto"/>
                <w:right w:val="none" w:sz="0" w:space="0" w:color="auto"/>
              </w:divBdr>
            </w:div>
            <w:div w:id="130563996">
              <w:marLeft w:val="0"/>
              <w:marRight w:val="0"/>
              <w:marTop w:val="0"/>
              <w:marBottom w:val="0"/>
              <w:divBdr>
                <w:top w:val="none" w:sz="0" w:space="0" w:color="auto"/>
                <w:left w:val="none" w:sz="0" w:space="0" w:color="auto"/>
                <w:bottom w:val="none" w:sz="0" w:space="0" w:color="auto"/>
                <w:right w:val="none" w:sz="0" w:space="0" w:color="auto"/>
              </w:divBdr>
            </w:div>
            <w:div w:id="81725304">
              <w:marLeft w:val="0"/>
              <w:marRight w:val="0"/>
              <w:marTop w:val="0"/>
              <w:marBottom w:val="0"/>
              <w:divBdr>
                <w:top w:val="none" w:sz="0" w:space="0" w:color="auto"/>
                <w:left w:val="none" w:sz="0" w:space="0" w:color="auto"/>
                <w:bottom w:val="none" w:sz="0" w:space="0" w:color="auto"/>
                <w:right w:val="none" w:sz="0" w:space="0" w:color="auto"/>
              </w:divBdr>
            </w:div>
            <w:div w:id="518542216">
              <w:marLeft w:val="0"/>
              <w:marRight w:val="0"/>
              <w:marTop w:val="0"/>
              <w:marBottom w:val="0"/>
              <w:divBdr>
                <w:top w:val="none" w:sz="0" w:space="0" w:color="auto"/>
                <w:left w:val="none" w:sz="0" w:space="0" w:color="auto"/>
                <w:bottom w:val="none" w:sz="0" w:space="0" w:color="auto"/>
                <w:right w:val="none" w:sz="0" w:space="0" w:color="auto"/>
              </w:divBdr>
            </w:div>
            <w:div w:id="447940345">
              <w:marLeft w:val="0"/>
              <w:marRight w:val="0"/>
              <w:marTop w:val="0"/>
              <w:marBottom w:val="0"/>
              <w:divBdr>
                <w:top w:val="none" w:sz="0" w:space="0" w:color="auto"/>
                <w:left w:val="none" w:sz="0" w:space="0" w:color="auto"/>
                <w:bottom w:val="none" w:sz="0" w:space="0" w:color="auto"/>
                <w:right w:val="none" w:sz="0" w:space="0" w:color="auto"/>
              </w:divBdr>
            </w:div>
            <w:div w:id="2040928525">
              <w:marLeft w:val="0"/>
              <w:marRight w:val="0"/>
              <w:marTop w:val="0"/>
              <w:marBottom w:val="0"/>
              <w:divBdr>
                <w:top w:val="none" w:sz="0" w:space="0" w:color="auto"/>
                <w:left w:val="none" w:sz="0" w:space="0" w:color="auto"/>
                <w:bottom w:val="none" w:sz="0" w:space="0" w:color="auto"/>
                <w:right w:val="none" w:sz="0" w:space="0" w:color="auto"/>
              </w:divBdr>
            </w:div>
            <w:div w:id="17631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6560">
      <w:bodyDiv w:val="1"/>
      <w:marLeft w:val="0"/>
      <w:marRight w:val="0"/>
      <w:marTop w:val="0"/>
      <w:marBottom w:val="0"/>
      <w:divBdr>
        <w:top w:val="none" w:sz="0" w:space="0" w:color="auto"/>
        <w:left w:val="none" w:sz="0" w:space="0" w:color="auto"/>
        <w:bottom w:val="none" w:sz="0" w:space="0" w:color="auto"/>
        <w:right w:val="none" w:sz="0" w:space="0" w:color="auto"/>
      </w:divBdr>
    </w:div>
    <w:div w:id="1628051514">
      <w:bodyDiv w:val="1"/>
      <w:marLeft w:val="0"/>
      <w:marRight w:val="0"/>
      <w:marTop w:val="0"/>
      <w:marBottom w:val="0"/>
      <w:divBdr>
        <w:top w:val="none" w:sz="0" w:space="0" w:color="auto"/>
        <w:left w:val="none" w:sz="0" w:space="0" w:color="auto"/>
        <w:bottom w:val="none" w:sz="0" w:space="0" w:color="auto"/>
        <w:right w:val="none" w:sz="0" w:space="0" w:color="auto"/>
      </w:divBdr>
      <w:divsChild>
        <w:div w:id="258946546">
          <w:marLeft w:val="0"/>
          <w:marRight w:val="0"/>
          <w:marTop w:val="0"/>
          <w:marBottom w:val="0"/>
          <w:divBdr>
            <w:top w:val="none" w:sz="0" w:space="0" w:color="auto"/>
            <w:left w:val="none" w:sz="0" w:space="0" w:color="auto"/>
            <w:bottom w:val="none" w:sz="0" w:space="0" w:color="auto"/>
            <w:right w:val="none" w:sz="0" w:space="0" w:color="auto"/>
          </w:divBdr>
          <w:divsChild>
            <w:div w:id="1618294997">
              <w:marLeft w:val="0"/>
              <w:marRight w:val="0"/>
              <w:marTop w:val="0"/>
              <w:marBottom w:val="0"/>
              <w:divBdr>
                <w:top w:val="none" w:sz="0" w:space="0" w:color="auto"/>
                <w:left w:val="none" w:sz="0" w:space="0" w:color="auto"/>
                <w:bottom w:val="none" w:sz="0" w:space="0" w:color="auto"/>
                <w:right w:val="none" w:sz="0" w:space="0" w:color="auto"/>
              </w:divBdr>
            </w:div>
            <w:div w:id="1710911455">
              <w:marLeft w:val="0"/>
              <w:marRight w:val="0"/>
              <w:marTop w:val="0"/>
              <w:marBottom w:val="0"/>
              <w:divBdr>
                <w:top w:val="none" w:sz="0" w:space="0" w:color="auto"/>
                <w:left w:val="none" w:sz="0" w:space="0" w:color="auto"/>
                <w:bottom w:val="none" w:sz="0" w:space="0" w:color="auto"/>
                <w:right w:val="none" w:sz="0" w:space="0" w:color="auto"/>
              </w:divBdr>
            </w:div>
            <w:div w:id="1713187388">
              <w:marLeft w:val="0"/>
              <w:marRight w:val="0"/>
              <w:marTop w:val="0"/>
              <w:marBottom w:val="0"/>
              <w:divBdr>
                <w:top w:val="none" w:sz="0" w:space="0" w:color="auto"/>
                <w:left w:val="none" w:sz="0" w:space="0" w:color="auto"/>
                <w:bottom w:val="none" w:sz="0" w:space="0" w:color="auto"/>
                <w:right w:val="none" w:sz="0" w:space="0" w:color="auto"/>
              </w:divBdr>
            </w:div>
            <w:div w:id="1111823082">
              <w:marLeft w:val="0"/>
              <w:marRight w:val="0"/>
              <w:marTop w:val="0"/>
              <w:marBottom w:val="0"/>
              <w:divBdr>
                <w:top w:val="none" w:sz="0" w:space="0" w:color="auto"/>
                <w:left w:val="none" w:sz="0" w:space="0" w:color="auto"/>
                <w:bottom w:val="none" w:sz="0" w:space="0" w:color="auto"/>
                <w:right w:val="none" w:sz="0" w:space="0" w:color="auto"/>
              </w:divBdr>
            </w:div>
            <w:div w:id="556164455">
              <w:marLeft w:val="0"/>
              <w:marRight w:val="0"/>
              <w:marTop w:val="0"/>
              <w:marBottom w:val="0"/>
              <w:divBdr>
                <w:top w:val="none" w:sz="0" w:space="0" w:color="auto"/>
                <w:left w:val="none" w:sz="0" w:space="0" w:color="auto"/>
                <w:bottom w:val="none" w:sz="0" w:space="0" w:color="auto"/>
                <w:right w:val="none" w:sz="0" w:space="0" w:color="auto"/>
              </w:divBdr>
            </w:div>
            <w:div w:id="998583743">
              <w:marLeft w:val="0"/>
              <w:marRight w:val="0"/>
              <w:marTop w:val="0"/>
              <w:marBottom w:val="0"/>
              <w:divBdr>
                <w:top w:val="none" w:sz="0" w:space="0" w:color="auto"/>
                <w:left w:val="none" w:sz="0" w:space="0" w:color="auto"/>
                <w:bottom w:val="none" w:sz="0" w:space="0" w:color="auto"/>
                <w:right w:val="none" w:sz="0" w:space="0" w:color="auto"/>
              </w:divBdr>
            </w:div>
            <w:div w:id="260720681">
              <w:marLeft w:val="0"/>
              <w:marRight w:val="0"/>
              <w:marTop w:val="0"/>
              <w:marBottom w:val="0"/>
              <w:divBdr>
                <w:top w:val="none" w:sz="0" w:space="0" w:color="auto"/>
                <w:left w:val="none" w:sz="0" w:space="0" w:color="auto"/>
                <w:bottom w:val="none" w:sz="0" w:space="0" w:color="auto"/>
                <w:right w:val="none" w:sz="0" w:space="0" w:color="auto"/>
              </w:divBdr>
            </w:div>
            <w:div w:id="2060669726">
              <w:marLeft w:val="0"/>
              <w:marRight w:val="0"/>
              <w:marTop w:val="0"/>
              <w:marBottom w:val="0"/>
              <w:divBdr>
                <w:top w:val="none" w:sz="0" w:space="0" w:color="auto"/>
                <w:left w:val="none" w:sz="0" w:space="0" w:color="auto"/>
                <w:bottom w:val="none" w:sz="0" w:space="0" w:color="auto"/>
                <w:right w:val="none" w:sz="0" w:space="0" w:color="auto"/>
              </w:divBdr>
            </w:div>
            <w:div w:id="1275943031">
              <w:marLeft w:val="0"/>
              <w:marRight w:val="0"/>
              <w:marTop w:val="0"/>
              <w:marBottom w:val="0"/>
              <w:divBdr>
                <w:top w:val="none" w:sz="0" w:space="0" w:color="auto"/>
                <w:left w:val="none" w:sz="0" w:space="0" w:color="auto"/>
                <w:bottom w:val="none" w:sz="0" w:space="0" w:color="auto"/>
                <w:right w:val="none" w:sz="0" w:space="0" w:color="auto"/>
              </w:divBdr>
            </w:div>
            <w:div w:id="2060594074">
              <w:marLeft w:val="0"/>
              <w:marRight w:val="0"/>
              <w:marTop w:val="0"/>
              <w:marBottom w:val="0"/>
              <w:divBdr>
                <w:top w:val="none" w:sz="0" w:space="0" w:color="auto"/>
                <w:left w:val="none" w:sz="0" w:space="0" w:color="auto"/>
                <w:bottom w:val="none" w:sz="0" w:space="0" w:color="auto"/>
                <w:right w:val="none" w:sz="0" w:space="0" w:color="auto"/>
              </w:divBdr>
            </w:div>
            <w:div w:id="1229996640">
              <w:marLeft w:val="0"/>
              <w:marRight w:val="0"/>
              <w:marTop w:val="0"/>
              <w:marBottom w:val="0"/>
              <w:divBdr>
                <w:top w:val="none" w:sz="0" w:space="0" w:color="auto"/>
                <w:left w:val="none" w:sz="0" w:space="0" w:color="auto"/>
                <w:bottom w:val="none" w:sz="0" w:space="0" w:color="auto"/>
                <w:right w:val="none" w:sz="0" w:space="0" w:color="auto"/>
              </w:divBdr>
            </w:div>
            <w:div w:id="1950700737">
              <w:marLeft w:val="0"/>
              <w:marRight w:val="0"/>
              <w:marTop w:val="0"/>
              <w:marBottom w:val="0"/>
              <w:divBdr>
                <w:top w:val="none" w:sz="0" w:space="0" w:color="auto"/>
                <w:left w:val="none" w:sz="0" w:space="0" w:color="auto"/>
                <w:bottom w:val="none" w:sz="0" w:space="0" w:color="auto"/>
                <w:right w:val="none" w:sz="0" w:space="0" w:color="auto"/>
              </w:divBdr>
            </w:div>
            <w:div w:id="558177165">
              <w:marLeft w:val="0"/>
              <w:marRight w:val="0"/>
              <w:marTop w:val="0"/>
              <w:marBottom w:val="0"/>
              <w:divBdr>
                <w:top w:val="none" w:sz="0" w:space="0" w:color="auto"/>
                <w:left w:val="none" w:sz="0" w:space="0" w:color="auto"/>
                <w:bottom w:val="none" w:sz="0" w:space="0" w:color="auto"/>
                <w:right w:val="none" w:sz="0" w:space="0" w:color="auto"/>
              </w:divBdr>
            </w:div>
            <w:div w:id="321857385">
              <w:marLeft w:val="0"/>
              <w:marRight w:val="0"/>
              <w:marTop w:val="0"/>
              <w:marBottom w:val="0"/>
              <w:divBdr>
                <w:top w:val="none" w:sz="0" w:space="0" w:color="auto"/>
                <w:left w:val="none" w:sz="0" w:space="0" w:color="auto"/>
                <w:bottom w:val="none" w:sz="0" w:space="0" w:color="auto"/>
                <w:right w:val="none" w:sz="0" w:space="0" w:color="auto"/>
              </w:divBdr>
            </w:div>
            <w:div w:id="624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6045">
      <w:bodyDiv w:val="1"/>
      <w:marLeft w:val="0"/>
      <w:marRight w:val="0"/>
      <w:marTop w:val="0"/>
      <w:marBottom w:val="0"/>
      <w:divBdr>
        <w:top w:val="none" w:sz="0" w:space="0" w:color="auto"/>
        <w:left w:val="none" w:sz="0" w:space="0" w:color="auto"/>
        <w:bottom w:val="none" w:sz="0" w:space="0" w:color="auto"/>
        <w:right w:val="none" w:sz="0" w:space="0" w:color="auto"/>
      </w:divBdr>
    </w:div>
    <w:div w:id="1666975447">
      <w:bodyDiv w:val="1"/>
      <w:marLeft w:val="0"/>
      <w:marRight w:val="0"/>
      <w:marTop w:val="0"/>
      <w:marBottom w:val="0"/>
      <w:divBdr>
        <w:top w:val="none" w:sz="0" w:space="0" w:color="auto"/>
        <w:left w:val="none" w:sz="0" w:space="0" w:color="auto"/>
        <w:bottom w:val="none" w:sz="0" w:space="0" w:color="auto"/>
        <w:right w:val="none" w:sz="0" w:space="0" w:color="auto"/>
      </w:divBdr>
    </w:div>
    <w:div w:id="1673021530">
      <w:bodyDiv w:val="1"/>
      <w:marLeft w:val="0"/>
      <w:marRight w:val="0"/>
      <w:marTop w:val="0"/>
      <w:marBottom w:val="0"/>
      <w:divBdr>
        <w:top w:val="none" w:sz="0" w:space="0" w:color="auto"/>
        <w:left w:val="none" w:sz="0" w:space="0" w:color="auto"/>
        <w:bottom w:val="none" w:sz="0" w:space="0" w:color="auto"/>
        <w:right w:val="none" w:sz="0" w:space="0" w:color="auto"/>
      </w:divBdr>
      <w:divsChild>
        <w:div w:id="16733953">
          <w:marLeft w:val="0"/>
          <w:marRight w:val="0"/>
          <w:marTop w:val="0"/>
          <w:marBottom w:val="0"/>
          <w:divBdr>
            <w:top w:val="none" w:sz="0" w:space="0" w:color="auto"/>
            <w:left w:val="none" w:sz="0" w:space="0" w:color="auto"/>
            <w:bottom w:val="none" w:sz="0" w:space="0" w:color="auto"/>
            <w:right w:val="none" w:sz="0" w:space="0" w:color="auto"/>
          </w:divBdr>
        </w:div>
        <w:div w:id="1979065577">
          <w:marLeft w:val="0"/>
          <w:marRight w:val="0"/>
          <w:marTop w:val="240"/>
          <w:marBottom w:val="240"/>
          <w:divBdr>
            <w:top w:val="none" w:sz="0" w:space="0" w:color="auto"/>
            <w:left w:val="none" w:sz="0" w:space="0" w:color="auto"/>
            <w:bottom w:val="none" w:sz="0" w:space="0" w:color="auto"/>
            <w:right w:val="none" w:sz="0" w:space="0" w:color="auto"/>
          </w:divBdr>
        </w:div>
        <w:div w:id="808329281">
          <w:marLeft w:val="300"/>
          <w:marRight w:val="0"/>
          <w:marTop w:val="0"/>
          <w:marBottom w:val="0"/>
          <w:divBdr>
            <w:top w:val="none" w:sz="0" w:space="0" w:color="auto"/>
            <w:left w:val="none" w:sz="0" w:space="0" w:color="auto"/>
            <w:bottom w:val="none" w:sz="0" w:space="0" w:color="auto"/>
            <w:right w:val="none" w:sz="0" w:space="0" w:color="auto"/>
          </w:divBdr>
          <w:divsChild>
            <w:div w:id="4739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3802">
      <w:bodyDiv w:val="1"/>
      <w:marLeft w:val="0"/>
      <w:marRight w:val="0"/>
      <w:marTop w:val="0"/>
      <w:marBottom w:val="0"/>
      <w:divBdr>
        <w:top w:val="none" w:sz="0" w:space="0" w:color="auto"/>
        <w:left w:val="none" w:sz="0" w:space="0" w:color="auto"/>
        <w:bottom w:val="none" w:sz="0" w:space="0" w:color="auto"/>
        <w:right w:val="none" w:sz="0" w:space="0" w:color="auto"/>
      </w:divBdr>
    </w:div>
    <w:div w:id="1704551858">
      <w:bodyDiv w:val="1"/>
      <w:marLeft w:val="0"/>
      <w:marRight w:val="0"/>
      <w:marTop w:val="0"/>
      <w:marBottom w:val="0"/>
      <w:divBdr>
        <w:top w:val="none" w:sz="0" w:space="0" w:color="auto"/>
        <w:left w:val="none" w:sz="0" w:space="0" w:color="auto"/>
        <w:bottom w:val="none" w:sz="0" w:space="0" w:color="auto"/>
        <w:right w:val="none" w:sz="0" w:space="0" w:color="auto"/>
      </w:divBdr>
    </w:div>
    <w:div w:id="1734768292">
      <w:bodyDiv w:val="1"/>
      <w:marLeft w:val="0"/>
      <w:marRight w:val="0"/>
      <w:marTop w:val="0"/>
      <w:marBottom w:val="0"/>
      <w:divBdr>
        <w:top w:val="none" w:sz="0" w:space="0" w:color="auto"/>
        <w:left w:val="none" w:sz="0" w:space="0" w:color="auto"/>
        <w:bottom w:val="none" w:sz="0" w:space="0" w:color="auto"/>
        <w:right w:val="none" w:sz="0" w:space="0" w:color="auto"/>
      </w:divBdr>
      <w:divsChild>
        <w:div w:id="274139810">
          <w:marLeft w:val="0"/>
          <w:marRight w:val="0"/>
          <w:marTop w:val="0"/>
          <w:marBottom w:val="450"/>
          <w:divBdr>
            <w:top w:val="none" w:sz="0" w:space="0" w:color="auto"/>
            <w:left w:val="none" w:sz="0" w:space="0" w:color="auto"/>
            <w:bottom w:val="none" w:sz="0" w:space="0" w:color="auto"/>
            <w:right w:val="none" w:sz="0" w:space="0" w:color="auto"/>
          </w:divBdr>
        </w:div>
        <w:div w:id="982468082">
          <w:marLeft w:val="0"/>
          <w:marRight w:val="0"/>
          <w:marTop w:val="0"/>
          <w:marBottom w:val="300"/>
          <w:divBdr>
            <w:top w:val="none" w:sz="0" w:space="0" w:color="auto"/>
            <w:left w:val="none" w:sz="0" w:space="0" w:color="auto"/>
            <w:bottom w:val="none" w:sz="0" w:space="0" w:color="auto"/>
            <w:right w:val="none" w:sz="0" w:space="0" w:color="auto"/>
          </w:divBdr>
          <w:divsChild>
            <w:div w:id="20828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4133">
      <w:bodyDiv w:val="1"/>
      <w:marLeft w:val="0"/>
      <w:marRight w:val="0"/>
      <w:marTop w:val="0"/>
      <w:marBottom w:val="0"/>
      <w:divBdr>
        <w:top w:val="none" w:sz="0" w:space="0" w:color="auto"/>
        <w:left w:val="none" w:sz="0" w:space="0" w:color="auto"/>
        <w:bottom w:val="none" w:sz="0" w:space="0" w:color="auto"/>
        <w:right w:val="none" w:sz="0" w:space="0" w:color="auto"/>
      </w:divBdr>
    </w:div>
    <w:div w:id="1823421109">
      <w:bodyDiv w:val="1"/>
      <w:marLeft w:val="0"/>
      <w:marRight w:val="0"/>
      <w:marTop w:val="0"/>
      <w:marBottom w:val="0"/>
      <w:divBdr>
        <w:top w:val="none" w:sz="0" w:space="0" w:color="auto"/>
        <w:left w:val="none" w:sz="0" w:space="0" w:color="auto"/>
        <w:bottom w:val="none" w:sz="0" w:space="0" w:color="auto"/>
        <w:right w:val="none" w:sz="0" w:space="0" w:color="auto"/>
      </w:divBdr>
    </w:div>
    <w:div w:id="1849754964">
      <w:bodyDiv w:val="1"/>
      <w:marLeft w:val="0"/>
      <w:marRight w:val="0"/>
      <w:marTop w:val="0"/>
      <w:marBottom w:val="0"/>
      <w:divBdr>
        <w:top w:val="none" w:sz="0" w:space="0" w:color="auto"/>
        <w:left w:val="none" w:sz="0" w:space="0" w:color="auto"/>
        <w:bottom w:val="none" w:sz="0" w:space="0" w:color="auto"/>
        <w:right w:val="none" w:sz="0" w:space="0" w:color="auto"/>
      </w:divBdr>
      <w:divsChild>
        <w:div w:id="289213198">
          <w:marLeft w:val="0"/>
          <w:marRight w:val="0"/>
          <w:marTop w:val="0"/>
          <w:marBottom w:val="0"/>
          <w:divBdr>
            <w:top w:val="none" w:sz="0" w:space="0" w:color="auto"/>
            <w:left w:val="none" w:sz="0" w:space="0" w:color="auto"/>
            <w:bottom w:val="none" w:sz="0" w:space="0" w:color="auto"/>
            <w:right w:val="none" w:sz="0" w:space="0" w:color="auto"/>
          </w:divBdr>
        </w:div>
        <w:div w:id="1018233182">
          <w:marLeft w:val="0"/>
          <w:marRight w:val="0"/>
          <w:marTop w:val="0"/>
          <w:marBottom w:val="0"/>
          <w:divBdr>
            <w:top w:val="none" w:sz="0" w:space="0" w:color="auto"/>
            <w:left w:val="none" w:sz="0" w:space="0" w:color="auto"/>
            <w:bottom w:val="none" w:sz="0" w:space="0" w:color="auto"/>
            <w:right w:val="none" w:sz="0" w:space="0" w:color="auto"/>
          </w:divBdr>
          <w:divsChild>
            <w:div w:id="5412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0291">
      <w:bodyDiv w:val="1"/>
      <w:marLeft w:val="0"/>
      <w:marRight w:val="0"/>
      <w:marTop w:val="0"/>
      <w:marBottom w:val="0"/>
      <w:divBdr>
        <w:top w:val="none" w:sz="0" w:space="0" w:color="auto"/>
        <w:left w:val="none" w:sz="0" w:space="0" w:color="auto"/>
        <w:bottom w:val="none" w:sz="0" w:space="0" w:color="auto"/>
        <w:right w:val="none" w:sz="0" w:space="0" w:color="auto"/>
      </w:divBdr>
      <w:divsChild>
        <w:div w:id="1935822559">
          <w:marLeft w:val="0"/>
          <w:marRight w:val="0"/>
          <w:marTop w:val="0"/>
          <w:marBottom w:val="0"/>
          <w:divBdr>
            <w:top w:val="none" w:sz="0" w:space="0" w:color="auto"/>
            <w:left w:val="none" w:sz="0" w:space="0" w:color="auto"/>
            <w:bottom w:val="none" w:sz="0" w:space="0" w:color="auto"/>
            <w:right w:val="none" w:sz="0" w:space="0" w:color="auto"/>
          </w:divBdr>
        </w:div>
        <w:div w:id="515079233">
          <w:marLeft w:val="0"/>
          <w:marRight w:val="0"/>
          <w:marTop w:val="0"/>
          <w:marBottom w:val="0"/>
          <w:divBdr>
            <w:top w:val="none" w:sz="0" w:space="0" w:color="auto"/>
            <w:left w:val="none" w:sz="0" w:space="0" w:color="auto"/>
            <w:bottom w:val="none" w:sz="0" w:space="0" w:color="auto"/>
            <w:right w:val="none" w:sz="0" w:space="0" w:color="auto"/>
          </w:divBdr>
          <w:divsChild>
            <w:div w:id="149752435">
              <w:marLeft w:val="0"/>
              <w:marRight w:val="0"/>
              <w:marTop w:val="0"/>
              <w:marBottom w:val="240"/>
              <w:divBdr>
                <w:top w:val="none" w:sz="0" w:space="0" w:color="auto"/>
                <w:left w:val="none" w:sz="0" w:space="0" w:color="auto"/>
                <w:bottom w:val="none" w:sz="0" w:space="0" w:color="auto"/>
                <w:right w:val="none" w:sz="0" w:space="0" w:color="auto"/>
              </w:divBdr>
              <w:divsChild>
                <w:div w:id="2053190773">
                  <w:marLeft w:val="0"/>
                  <w:marRight w:val="0"/>
                  <w:marTop w:val="0"/>
                  <w:marBottom w:val="0"/>
                  <w:divBdr>
                    <w:top w:val="none" w:sz="0" w:space="0" w:color="auto"/>
                    <w:left w:val="none" w:sz="0" w:space="0" w:color="auto"/>
                    <w:bottom w:val="none" w:sz="0" w:space="0" w:color="auto"/>
                    <w:right w:val="none" w:sz="0" w:space="0" w:color="auto"/>
                  </w:divBdr>
                  <w:divsChild>
                    <w:div w:id="16328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8595">
              <w:marLeft w:val="0"/>
              <w:marRight w:val="0"/>
              <w:marTop w:val="0"/>
              <w:marBottom w:val="0"/>
              <w:divBdr>
                <w:top w:val="none" w:sz="0" w:space="0" w:color="auto"/>
                <w:left w:val="single" w:sz="2" w:space="0" w:color="CCCCCC"/>
                <w:bottom w:val="single" w:sz="2" w:space="0" w:color="CCCCCC"/>
                <w:right w:val="single" w:sz="2" w:space="0" w:color="CCCCCC"/>
              </w:divBdr>
              <w:divsChild>
                <w:div w:id="1733230622">
                  <w:marLeft w:val="0"/>
                  <w:marRight w:val="0"/>
                  <w:marTop w:val="0"/>
                  <w:marBottom w:val="0"/>
                  <w:divBdr>
                    <w:top w:val="none" w:sz="0" w:space="0" w:color="auto"/>
                    <w:left w:val="none" w:sz="0" w:space="0" w:color="auto"/>
                    <w:bottom w:val="none" w:sz="0" w:space="0" w:color="auto"/>
                    <w:right w:val="none" w:sz="0" w:space="0" w:color="auto"/>
                  </w:divBdr>
                  <w:divsChild>
                    <w:div w:id="2089426742">
                      <w:marLeft w:val="0"/>
                      <w:marRight w:val="0"/>
                      <w:marTop w:val="0"/>
                      <w:marBottom w:val="0"/>
                      <w:divBdr>
                        <w:top w:val="none" w:sz="0" w:space="0" w:color="auto"/>
                        <w:left w:val="none" w:sz="0" w:space="0" w:color="auto"/>
                        <w:bottom w:val="none" w:sz="0" w:space="0" w:color="auto"/>
                        <w:right w:val="none" w:sz="0" w:space="0" w:color="auto"/>
                      </w:divBdr>
                      <w:divsChild>
                        <w:div w:id="204801765">
                          <w:marLeft w:val="0"/>
                          <w:marRight w:val="0"/>
                          <w:marTop w:val="0"/>
                          <w:marBottom w:val="0"/>
                          <w:divBdr>
                            <w:top w:val="none" w:sz="0" w:space="0" w:color="auto"/>
                            <w:left w:val="none" w:sz="0" w:space="0" w:color="auto"/>
                            <w:bottom w:val="none" w:sz="0" w:space="0" w:color="auto"/>
                            <w:right w:val="none" w:sz="0" w:space="0" w:color="auto"/>
                          </w:divBdr>
                          <w:divsChild>
                            <w:div w:id="1529683156">
                              <w:marLeft w:val="0"/>
                              <w:marRight w:val="0"/>
                              <w:marTop w:val="0"/>
                              <w:marBottom w:val="0"/>
                              <w:divBdr>
                                <w:top w:val="none" w:sz="0" w:space="0" w:color="auto"/>
                                <w:left w:val="none" w:sz="0" w:space="0" w:color="auto"/>
                                <w:bottom w:val="none" w:sz="0" w:space="0" w:color="auto"/>
                                <w:right w:val="none" w:sz="0" w:space="0" w:color="auto"/>
                              </w:divBdr>
                              <w:divsChild>
                                <w:div w:id="677923524">
                                  <w:marLeft w:val="0"/>
                                  <w:marRight w:val="0"/>
                                  <w:marTop w:val="0"/>
                                  <w:marBottom w:val="0"/>
                                  <w:divBdr>
                                    <w:top w:val="none" w:sz="0" w:space="0" w:color="auto"/>
                                    <w:left w:val="none" w:sz="0" w:space="0" w:color="auto"/>
                                    <w:bottom w:val="none" w:sz="0" w:space="0" w:color="auto"/>
                                    <w:right w:val="none" w:sz="0" w:space="0" w:color="auto"/>
                                  </w:divBdr>
                                  <w:divsChild>
                                    <w:div w:id="1741517452">
                                      <w:marLeft w:val="0"/>
                                      <w:marRight w:val="0"/>
                                      <w:marTop w:val="0"/>
                                      <w:marBottom w:val="0"/>
                                      <w:divBdr>
                                        <w:top w:val="none" w:sz="0" w:space="0" w:color="auto"/>
                                        <w:left w:val="none" w:sz="0" w:space="0" w:color="auto"/>
                                        <w:bottom w:val="none" w:sz="0" w:space="0" w:color="auto"/>
                                        <w:right w:val="none" w:sz="0" w:space="0" w:color="auto"/>
                                      </w:divBdr>
                                      <w:divsChild>
                                        <w:div w:id="176627940">
                                          <w:marLeft w:val="0"/>
                                          <w:marRight w:val="0"/>
                                          <w:marTop w:val="0"/>
                                          <w:marBottom w:val="0"/>
                                          <w:divBdr>
                                            <w:top w:val="none" w:sz="0" w:space="0" w:color="auto"/>
                                            <w:left w:val="none" w:sz="0" w:space="0" w:color="auto"/>
                                            <w:bottom w:val="none" w:sz="0" w:space="0" w:color="auto"/>
                                            <w:right w:val="none" w:sz="0" w:space="0" w:color="auto"/>
                                          </w:divBdr>
                                          <w:divsChild>
                                            <w:div w:id="19563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1820">
                                      <w:marLeft w:val="0"/>
                                      <w:marRight w:val="0"/>
                                      <w:marTop w:val="0"/>
                                      <w:marBottom w:val="0"/>
                                      <w:divBdr>
                                        <w:top w:val="none" w:sz="0" w:space="0" w:color="auto"/>
                                        <w:left w:val="none" w:sz="0" w:space="0" w:color="auto"/>
                                        <w:bottom w:val="none" w:sz="0" w:space="0" w:color="auto"/>
                                        <w:right w:val="none" w:sz="0" w:space="0" w:color="auto"/>
                                      </w:divBdr>
                                      <w:divsChild>
                                        <w:div w:id="212540244">
                                          <w:marLeft w:val="0"/>
                                          <w:marRight w:val="0"/>
                                          <w:marTop w:val="0"/>
                                          <w:marBottom w:val="0"/>
                                          <w:divBdr>
                                            <w:top w:val="none" w:sz="0" w:space="0" w:color="auto"/>
                                            <w:left w:val="none" w:sz="0" w:space="0" w:color="auto"/>
                                            <w:bottom w:val="none" w:sz="0" w:space="0" w:color="auto"/>
                                            <w:right w:val="none" w:sz="0" w:space="0" w:color="auto"/>
                                          </w:divBdr>
                                        </w:div>
                                        <w:div w:id="1292327745">
                                          <w:marLeft w:val="0"/>
                                          <w:marRight w:val="0"/>
                                          <w:marTop w:val="0"/>
                                          <w:marBottom w:val="0"/>
                                          <w:divBdr>
                                            <w:top w:val="none" w:sz="0" w:space="0" w:color="auto"/>
                                            <w:left w:val="none" w:sz="0" w:space="0" w:color="auto"/>
                                            <w:bottom w:val="none" w:sz="0" w:space="0" w:color="auto"/>
                                            <w:right w:val="none" w:sz="0" w:space="0" w:color="auto"/>
                                          </w:divBdr>
                                          <w:divsChild>
                                            <w:div w:id="1722896058">
                                              <w:marLeft w:val="0"/>
                                              <w:marRight w:val="0"/>
                                              <w:marTop w:val="0"/>
                                              <w:marBottom w:val="0"/>
                                              <w:divBdr>
                                                <w:top w:val="none" w:sz="0" w:space="0" w:color="auto"/>
                                                <w:left w:val="none" w:sz="0" w:space="0" w:color="auto"/>
                                                <w:bottom w:val="none" w:sz="0" w:space="0" w:color="auto"/>
                                                <w:right w:val="none" w:sz="0" w:space="0" w:color="auto"/>
                                              </w:divBdr>
                                            </w:div>
                                            <w:div w:id="661347066">
                                              <w:marLeft w:val="0"/>
                                              <w:marRight w:val="0"/>
                                              <w:marTop w:val="0"/>
                                              <w:marBottom w:val="0"/>
                                              <w:divBdr>
                                                <w:top w:val="none" w:sz="0" w:space="0" w:color="auto"/>
                                                <w:left w:val="none" w:sz="0" w:space="0" w:color="auto"/>
                                                <w:bottom w:val="none" w:sz="0" w:space="0" w:color="auto"/>
                                                <w:right w:val="none" w:sz="0" w:space="0" w:color="auto"/>
                                              </w:divBdr>
                                              <w:divsChild>
                                                <w:div w:id="15580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038">
                                          <w:marLeft w:val="0"/>
                                          <w:marRight w:val="0"/>
                                          <w:marTop w:val="120"/>
                                          <w:marBottom w:val="0"/>
                                          <w:divBdr>
                                            <w:top w:val="none" w:sz="0" w:space="0" w:color="auto"/>
                                            <w:left w:val="none" w:sz="0" w:space="0" w:color="auto"/>
                                            <w:bottom w:val="none" w:sz="0" w:space="0" w:color="auto"/>
                                            <w:right w:val="none" w:sz="0" w:space="0" w:color="auto"/>
                                          </w:divBdr>
                                          <w:divsChild>
                                            <w:div w:id="21353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862790">
      <w:bodyDiv w:val="1"/>
      <w:marLeft w:val="0"/>
      <w:marRight w:val="0"/>
      <w:marTop w:val="0"/>
      <w:marBottom w:val="0"/>
      <w:divBdr>
        <w:top w:val="none" w:sz="0" w:space="0" w:color="auto"/>
        <w:left w:val="none" w:sz="0" w:space="0" w:color="auto"/>
        <w:bottom w:val="none" w:sz="0" w:space="0" w:color="auto"/>
        <w:right w:val="none" w:sz="0" w:space="0" w:color="auto"/>
      </w:divBdr>
    </w:div>
    <w:div w:id="1895045611">
      <w:bodyDiv w:val="1"/>
      <w:marLeft w:val="0"/>
      <w:marRight w:val="0"/>
      <w:marTop w:val="0"/>
      <w:marBottom w:val="0"/>
      <w:divBdr>
        <w:top w:val="none" w:sz="0" w:space="0" w:color="auto"/>
        <w:left w:val="none" w:sz="0" w:space="0" w:color="auto"/>
        <w:bottom w:val="none" w:sz="0" w:space="0" w:color="auto"/>
        <w:right w:val="none" w:sz="0" w:space="0" w:color="auto"/>
      </w:divBdr>
      <w:divsChild>
        <w:div w:id="1958173255">
          <w:marLeft w:val="0"/>
          <w:marRight w:val="0"/>
          <w:marTop w:val="0"/>
          <w:marBottom w:val="0"/>
          <w:divBdr>
            <w:top w:val="none" w:sz="0" w:space="0" w:color="auto"/>
            <w:left w:val="none" w:sz="0" w:space="0" w:color="auto"/>
            <w:bottom w:val="none" w:sz="0" w:space="0" w:color="auto"/>
            <w:right w:val="none" w:sz="0" w:space="0" w:color="auto"/>
          </w:divBdr>
        </w:div>
      </w:divsChild>
    </w:div>
    <w:div w:id="1973514012">
      <w:bodyDiv w:val="1"/>
      <w:marLeft w:val="0"/>
      <w:marRight w:val="0"/>
      <w:marTop w:val="0"/>
      <w:marBottom w:val="0"/>
      <w:divBdr>
        <w:top w:val="none" w:sz="0" w:space="0" w:color="auto"/>
        <w:left w:val="none" w:sz="0" w:space="0" w:color="auto"/>
        <w:bottom w:val="none" w:sz="0" w:space="0" w:color="auto"/>
        <w:right w:val="none" w:sz="0" w:space="0" w:color="auto"/>
      </w:divBdr>
      <w:divsChild>
        <w:div w:id="971713612">
          <w:marLeft w:val="105"/>
          <w:marRight w:val="0"/>
          <w:marTop w:val="0"/>
          <w:marBottom w:val="0"/>
          <w:divBdr>
            <w:top w:val="none" w:sz="0" w:space="0" w:color="auto"/>
            <w:left w:val="none" w:sz="0" w:space="0" w:color="auto"/>
            <w:bottom w:val="none" w:sz="0" w:space="0" w:color="auto"/>
            <w:right w:val="none" w:sz="0" w:space="0" w:color="auto"/>
          </w:divBdr>
          <w:divsChild>
            <w:div w:id="1818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695">
      <w:bodyDiv w:val="1"/>
      <w:marLeft w:val="0"/>
      <w:marRight w:val="0"/>
      <w:marTop w:val="0"/>
      <w:marBottom w:val="0"/>
      <w:divBdr>
        <w:top w:val="none" w:sz="0" w:space="0" w:color="auto"/>
        <w:left w:val="none" w:sz="0" w:space="0" w:color="auto"/>
        <w:bottom w:val="none" w:sz="0" w:space="0" w:color="auto"/>
        <w:right w:val="none" w:sz="0" w:space="0" w:color="auto"/>
      </w:divBdr>
    </w:div>
    <w:div w:id="2057581634">
      <w:bodyDiv w:val="1"/>
      <w:marLeft w:val="0"/>
      <w:marRight w:val="0"/>
      <w:marTop w:val="0"/>
      <w:marBottom w:val="0"/>
      <w:divBdr>
        <w:top w:val="none" w:sz="0" w:space="0" w:color="auto"/>
        <w:left w:val="none" w:sz="0" w:space="0" w:color="auto"/>
        <w:bottom w:val="none" w:sz="0" w:space="0" w:color="auto"/>
        <w:right w:val="none" w:sz="0" w:space="0" w:color="auto"/>
      </w:divBdr>
    </w:div>
    <w:div w:id="21232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sobooks.com/blogs/4090-i-m-not-transphobic-but-a-feminist-case-against-the-feminist-case-against-trans-inclusivity" TargetMode="External"/><Relationship Id="rId18" Type="http://schemas.openxmlformats.org/officeDocument/2006/relationships/hyperlink" Target="https://womansplaceuk.org/2020/07/02/legally-this-is-not-a-trans-rights-issue-its-a-sex-rights-issue-a-blog-about-boxes-audrey-ludwi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nherentlyhuman.wordpress.com/2018/09/11/foxes-in-the-henhouse-putting-the-trans-women-prison-debate-in-perspective/" TargetMode="External"/><Relationship Id="rId7" Type="http://schemas.openxmlformats.org/officeDocument/2006/relationships/settings" Target="settings.xml"/><Relationship Id="rId12" Type="http://schemas.openxmlformats.org/officeDocument/2006/relationships/hyperlink" Target="https://www.equalityhumanrights.com/en/publication-download/exploring-positive-action-tool-address-under-representation-apprenticeships" TargetMode="External"/><Relationship Id="rId17" Type="http://schemas.openxmlformats.org/officeDocument/2006/relationships/hyperlink" Target="https://www.fawcettsociety.org.uk/does-local-government-work-for-women-final-report-of-the-local-government-commission" TargetMode="External"/><Relationship Id="rId25" Type="http://schemas.openxmlformats.org/officeDocument/2006/relationships/hyperlink" Target="https://publications.parliament.uk/pa/cm201516/cmselect/cmwomeq/390/390.pdf" TargetMode="External"/><Relationship Id="rId2" Type="http://schemas.openxmlformats.org/officeDocument/2006/relationships/customXml" Target="../customXml/item2.xml"/><Relationship Id="rId16" Type="http://schemas.openxmlformats.org/officeDocument/2006/relationships/hyperlink" Target="https://oucriminology.wordpress.com/2019/09/09/let-women-prisoners-decide-on-trans-policy-sounds-democratic-but-is-misleading-and-risks-feeding-a-wider-trend-of-anti-trans-groups-using-women-prisoners-for-their-own-political-agen/" TargetMode="External"/><Relationship Id="rId20" Type="http://schemas.openxmlformats.org/officeDocument/2006/relationships/hyperlink" Target="https://consult.gov.scot/family-law/review-of-the-gender-recognition-act-200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s.kent.ac.uk/index.php/feministsatlaw/article/view/655/1492" TargetMode="External"/><Relationship Id="rId24" Type="http://schemas.openxmlformats.org/officeDocument/2006/relationships/hyperlink" Target="https://www.northumbriajournals.co.uk/index.php/IJGSL/article/view/986" TargetMode="External"/><Relationship Id="rId5" Type="http://schemas.openxmlformats.org/officeDocument/2006/relationships/numbering" Target="numbering.xml"/><Relationship Id="rId15" Type="http://schemas.openxmlformats.org/officeDocument/2006/relationships/hyperlink" Target="https://researchbriefings.parliament.uk/ResearchBriefing/Summary/SN05057" TargetMode="External"/><Relationship Id="rId23" Type="http://schemas.openxmlformats.org/officeDocument/2006/relationships/hyperlink" Target="https://www.parliament.uk/globalassets/documents/lords-information-office/uk-parliament_-gender-sensitive-parliament-audit_report_digital.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ucriminology.wordpress.com/2019/09/16/sense-and-solidarity-in-the-debate-on-transgender-prison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ga-europe.org/sites/default/files/non-binary_gender_registration_models_in_europe_0.pdf" TargetMode="External"/><Relationship Id="rId22" Type="http://schemas.openxmlformats.org/officeDocument/2006/relationships/hyperlink" Target="https://www.utas.edu.au/__data/assets/pdf_file/0018/1342080/tlri-legal-recognition-of-sex-final-report.pdf"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statistics/women-and-the-criminal-justice-system-2017" TargetMode="External"/><Relationship Id="rId13" Type="http://schemas.openxmlformats.org/officeDocument/2006/relationships/hyperlink" Target="https://improvement.nhs.uk/documents/6005/Delivering_same_sex_accommodation_sep2019.pdf" TargetMode="External"/><Relationship Id="rId18" Type="http://schemas.openxmlformats.org/officeDocument/2006/relationships/hyperlink" Target="https://www.theguardian.com/sport/2020/jul/19/transwomen-face-potential-womens-rugby-ban-over-safety-concerns" TargetMode="External"/><Relationship Id="rId26" Type="http://schemas.openxmlformats.org/officeDocument/2006/relationships/hyperlink" Target="https://www.telegraph.co.uk/news/2017/01/29/dont-call-pregnant-women-expectant-mothers-might-offend-transgender/" TargetMode="External"/><Relationship Id="rId3" Type="http://schemas.openxmlformats.org/officeDocument/2006/relationships/hyperlink" Target="https://www.pinknews.co.uk/2019/06/25/iceland-third-gender-trans-rights/" TargetMode="External"/><Relationship Id="rId21" Type="http://schemas.openxmlformats.org/officeDocument/2006/relationships/hyperlink" Target="https://www.abc.net.au/news/2016-09-06/what-do-the-paralympic-classifications-mean/7813860" TargetMode="External"/><Relationship Id="rId7" Type="http://schemas.openxmlformats.org/officeDocument/2006/relationships/hyperlink" Target="https://www.judicialappointments.gov.uk/equal-merit" TargetMode="External"/><Relationship Id="rId12" Type="http://schemas.openxmlformats.org/officeDocument/2006/relationships/hyperlink" Target="https://www.scotsman.com/news/politics/demands-change-definition-who-should-qualify-woman-scots-equality-law-2550073" TargetMode="External"/><Relationship Id="rId17" Type="http://schemas.openxmlformats.org/officeDocument/2006/relationships/hyperlink" Target="https://www.theguardian.com/sport/2019/sep/24/ioc-delays-new-transgender-guidelines-2020-olympics" TargetMode="External"/><Relationship Id="rId25" Type="http://schemas.openxmlformats.org/officeDocument/2006/relationships/hyperlink" Target="https://www.parliament.uk/business/committees/committees-a-z/commons-select/women-and-equalities-committee/news-parliament-2017/women-house-of-commons-evidence-17-19/" TargetMode="External"/><Relationship Id="rId2" Type="http://schemas.openxmlformats.org/officeDocument/2006/relationships/hyperlink" Target="mailto:robyn.emerton@kcl.ac.uk" TargetMode="External"/><Relationship Id="rId16" Type="http://schemas.openxmlformats.org/officeDocument/2006/relationships/hyperlink" Target="https://www.gov.scot/publications/gender-representation-public-boards-scotland-act-2018-statutory-guidance/pages/2/" TargetMode="External"/><Relationship Id="rId20" Type="http://schemas.openxmlformats.org/officeDocument/2006/relationships/hyperlink" Target="https://www.abc.net.au/news/2020-08-23/paralaympics-wheelchair-basketball-reclassification-ipc/12539302" TargetMode="External"/><Relationship Id="rId1" Type="http://schemas.openxmlformats.org/officeDocument/2006/relationships/hyperlink" Target="mailto:davina.cooper@kcl.ac.uk" TargetMode="External"/><Relationship Id="rId6" Type="http://schemas.openxmlformats.org/officeDocument/2006/relationships/hyperlink" Target="http://data.parliament.uk/writtenevidence/committeeevidence.svc/evidencedocument/women-and-equalities-committee/enforcing-the-equality-act-the-law-and-the-role-of-the-equality-and-human-rights-commission/oral/102570.html" TargetMode="External"/><Relationship Id="rId11" Type="http://schemas.openxmlformats.org/officeDocument/2006/relationships/hyperlink" Target="https://www.gov.scot/publications/gender-representation-public-boards-scotland-act-2018-statutory-guidance/" TargetMode="External"/><Relationship Id="rId24" Type="http://schemas.openxmlformats.org/officeDocument/2006/relationships/hyperlink" Target="https://www.ons.gov.uk/census/censustransformationprogramme/questiondevelopment/genderidentity/guidanceforquestionsonsexgenderidentityandsexualorientationforthe2019censusrehearsalforthe2021census" TargetMode="External"/><Relationship Id="rId5" Type="http://schemas.openxmlformats.org/officeDocument/2006/relationships/hyperlink" Target="https://www.economist.com/europe/2009/03/26/to-count-or-not-to-count" TargetMode="External"/><Relationship Id="rId15" Type="http://schemas.openxmlformats.org/officeDocument/2006/relationships/hyperlink" Target="https://assets.publishing.service.gov.uk/government/uploads/system/uploads/attachment_data/file/825621/transgender-pf.pdf" TargetMode="External"/><Relationship Id="rId23" Type="http://schemas.openxmlformats.org/officeDocument/2006/relationships/hyperlink" Target="https://www.insidethegames.biz/articles/1057214/tim-hollingsworth-the-continued-positive-development-of-classification-fundamental-to-development-of-paralympic-sport" TargetMode="External"/><Relationship Id="rId10" Type="http://schemas.openxmlformats.org/officeDocument/2006/relationships/hyperlink" Target="https://blogs.spectator.co.uk/2018/05/the-catch-22-of-labours-gender-policy/" TargetMode="External"/><Relationship Id="rId19" Type="http://schemas.openxmlformats.org/officeDocument/2006/relationships/hyperlink" Target="https://paralympics.org.uk/sports/para-powerlifting" TargetMode="External"/><Relationship Id="rId4" Type="http://schemas.openxmlformats.org/officeDocument/2006/relationships/hyperlink" Target="https://www.france24.com/en/20130517-no-such-thing-as-race-french-lawmakers-france-racism-hollande" TargetMode="External"/><Relationship Id="rId9" Type="http://schemas.openxmlformats.org/officeDocument/2006/relationships/hyperlink" Target="https://www.theguardian.com/society/2018/mar/17/legal-challenge-to-labour-over-shortlists-and-transwomen" TargetMode="External"/><Relationship Id="rId14" Type="http://schemas.openxmlformats.org/officeDocument/2006/relationships/hyperlink" Target="https://www.gov.uk/government/publications/prevent-duty-guidance" TargetMode="External"/><Relationship Id="rId22" Type="http://schemas.openxmlformats.org/officeDocument/2006/relationships/hyperlink" Target="https://www.theguardian.com/sport/2017/oct/30/paralympic-athletes-face-reclassification-in-row-over-exaggerated-disabilities" TargetMode="External"/><Relationship Id="rId27" Type="http://schemas.openxmlformats.org/officeDocument/2006/relationships/hyperlink" Target="https://www.telegraph.co.uk/news/2018/06/14/cancer-research-removes-word-women-smear-campaign-amid-trans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23D4FDBA3E14A860655F87C0354B2" ma:contentTypeVersion="9" ma:contentTypeDescription="Create a new document." ma:contentTypeScope="" ma:versionID="fea215774eb0b5f6f1ca15ace65134a7">
  <xsd:schema xmlns:xsd="http://www.w3.org/2001/XMLSchema" xmlns:xs="http://www.w3.org/2001/XMLSchema" xmlns:p="http://schemas.microsoft.com/office/2006/metadata/properties" xmlns:ns2="a577acab-37fe-48a2-bdd0-76214466343e" targetNamespace="http://schemas.microsoft.com/office/2006/metadata/properties" ma:root="true" ma:fieldsID="7b5a7630baeb09f7476932a752f8e9ec" ns2:_="">
    <xsd:import namespace="a577acab-37fe-48a2-bdd0-76214466343e"/>
    <xsd:element name="properties">
      <xsd:complexType>
        <xsd:sequence>
          <xsd:element name="documentManagement">
            <xsd:complexType>
              <xsd:all>
                <xsd:element ref="ns2:Phase_x0020_and_x0020_strand" minOccurs="0"/>
                <xsd:element ref="ns2:Date" minOccurs="0"/>
                <xsd:element ref="ns2:Notes0"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7acab-37fe-48a2-bdd0-76214466343e" elementFormDefault="qualified">
    <xsd:import namespace="http://schemas.microsoft.com/office/2006/documentManagement/types"/>
    <xsd:import namespace="http://schemas.microsoft.com/office/infopath/2007/PartnerControls"/>
    <xsd:element name="Phase_x0020_and_x0020_strand" ma:index="2" nillable="true" ma:displayName="Phase and strand" ma:internalName="Phase_x0020_and_x0020_strand">
      <xsd:simpleType>
        <xsd:restriction base="dms:Choice">
          <xsd:enumeration value="WP1  Reform models"/>
          <xsd:enumeration value="WP2A Services and spaces"/>
          <xsd:enumeration value="WP2B Public opinion"/>
          <xsd:enumeration value="WP2C Equality"/>
          <xsd:enumeration value="WP2D Drafting"/>
          <xsd:enumeration value="WP 3"/>
        </xsd:restriction>
      </xsd:simpleType>
    </xsd:element>
    <xsd:element name="Date" ma:index="3" nillable="true" ma:displayName="Doc published" ma:description="Blitz of literature and contacts in field of material feminism." ma:internalName="Date">
      <xsd:simpleType>
        <xsd:restriction base="dms:Text">
          <xsd:maxLength value="255"/>
        </xsd:restriction>
      </xsd:simpleType>
    </xsd:element>
    <xsd:element name="Notes0" ma:index="4" nillable="true" ma:displayName="Notes" ma:internalName="Notes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77acab-37fe-48a2-bdd0-76214466343e" xsi:nil="true"/>
    <Notes0 xmlns="a577acab-37fe-48a2-bdd0-76214466343e" xsi:nil="true"/>
    <Phase_x0020_and_x0020_strand xmlns="a577acab-37fe-48a2-bdd0-7621446634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169A-9DD4-4DEA-94C5-60BA54784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7acab-37fe-48a2-bdd0-762144663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0BBAF-5641-4C30-8EE0-F2F8A29AD92F}">
  <ds:schemaRefs>
    <ds:schemaRef ds:uri="http://schemas.microsoft.com/office/2006/metadata/properties"/>
    <ds:schemaRef ds:uri="http://schemas.microsoft.com/office/infopath/2007/PartnerControls"/>
    <ds:schemaRef ds:uri="a577acab-37fe-48a2-bdd0-76214466343e"/>
  </ds:schemaRefs>
</ds:datastoreItem>
</file>

<file path=customXml/itemProps3.xml><?xml version="1.0" encoding="utf-8"?>
<ds:datastoreItem xmlns:ds="http://schemas.openxmlformats.org/officeDocument/2006/customXml" ds:itemID="{EF93F9A0-ED40-4D76-AF6E-2394A13EB042}">
  <ds:schemaRefs>
    <ds:schemaRef ds:uri="http://schemas.microsoft.com/sharepoint/v3/contenttype/forms"/>
  </ds:schemaRefs>
</ds:datastoreItem>
</file>

<file path=customXml/itemProps4.xml><?xml version="1.0" encoding="utf-8"?>
<ds:datastoreItem xmlns:ds="http://schemas.openxmlformats.org/officeDocument/2006/customXml" ds:itemID="{7120B968-126B-43CA-9622-FB33C640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12067</Words>
  <Characters>68788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didi</dc:creator>
  <cp:lastModifiedBy>Rosemary Hunter</cp:lastModifiedBy>
  <cp:revision>2</cp:revision>
  <cp:lastPrinted>2020-10-07T12:23:00Z</cp:lastPrinted>
  <dcterms:created xsi:type="dcterms:W3CDTF">2020-11-11T21:46:00Z</dcterms:created>
  <dcterms:modified xsi:type="dcterms:W3CDTF">2020-11-11T21:46:00Z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0x01010079423D4FDBA3E14A860655F87C0354B2</vt:lpwstr>
  </property>
</Properties>
</file>