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59DFD0F" w14:textId="457E2C81" w:rsidR="00664069" w:rsidRPr="00283233" w:rsidRDefault="004F012D" w:rsidP="00283233">
      <w:pPr>
        <w:pStyle w:val="Heading1"/>
      </w:pPr>
      <w:r w:rsidRPr="00283233">
        <w:t xml:space="preserve">The struggle </w:t>
      </w:r>
      <w:r w:rsidR="0064770C" w:rsidRPr="00283233">
        <w:t>to</w:t>
      </w:r>
      <w:r w:rsidR="00FD5775" w:rsidRPr="00283233">
        <w:t xml:space="preserve"> </w:t>
      </w:r>
      <w:r w:rsidRPr="00283233">
        <w:t>i</w:t>
      </w:r>
      <w:r w:rsidR="0064770C" w:rsidRPr="00283233">
        <w:t>magine</w:t>
      </w:r>
      <w:r w:rsidR="00E5019E" w:rsidRPr="00283233">
        <w:t xml:space="preserve"> </w:t>
      </w:r>
      <w:r w:rsidRPr="00283233">
        <w:t xml:space="preserve">higher </w:t>
      </w:r>
      <w:r w:rsidR="00E5019E" w:rsidRPr="00283233">
        <w:t>education otherwise</w:t>
      </w:r>
      <w:r w:rsidR="0064770C" w:rsidRPr="00283233">
        <w:t xml:space="preserve">: </w:t>
      </w:r>
      <w:r w:rsidR="00283233" w:rsidRPr="00283233">
        <w:t>T</w:t>
      </w:r>
      <w:r w:rsidR="003C0665" w:rsidRPr="00283233">
        <w:t>he transformative potential of</w:t>
      </w:r>
      <w:r w:rsidR="0064770C" w:rsidRPr="00283233">
        <w:t xml:space="preserve"> </w:t>
      </w:r>
      <w:r w:rsidR="009C79D2" w:rsidRPr="00283233">
        <w:t xml:space="preserve">diverse </w:t>
      </w:r>
      <w:r w:rsidR="00A11A46" w:rsidRPr="00283233">
        <w:t xml:space="preserve">gender </w:t>
      </w:r>
      <w:proofErr w:type="spellStart"/>
      <w:r w:rsidR="0064770C" w:rsidRPr="00283233">
        <w:t>knowledge</w:t>
      </w:r>
      <w:r w:rsidR="00A11A46" w:rsidRPr="00283233">
        <w:t>s</w:t>
      </w:r>
      <w:proofErr w:type="spellEnd"/>
    </w:p>
    <w:p w14:paraId="35FA4EF3" w14:textId="77777777" w:rsidR="00286D84" w:rsidRPr="00286D84" w:rsidRDefault="00286D84" w:rsidP="00286D84">
      <w:pPr>
        <w:spacing w:line="480" w:lineRule="auto"/>
        <w:rPr>
          <w:rFonts w:ascii="Garamond" w:hAnsi="Garamond"/>
          <w:b/>
        </w:rPr>
      </w:pPr>
    </w:p>
    <w:p w14:paraId="185A7308" w14:textId="147E2AC8" w:rsidR="00286D84" w:rsidRDefault="00286D84" w:rsidP="00286D84">
      <w:pPr>
        <w:spacing w:line="480" w:lineRule="auto"/>
        <w:rPr>
          <w:rFonts w:ascii="Garamond" w:hAnsi="Garamond"/>
          <w:b/>
        </w:rPr>
      </w:pPr>
      <w:r w:rsidRPr="00286D84">
        <w:rPr>
          <w:rFonts w:ascii="Garamond" w:hAnsi="Garamond"/>
          <w:b/>
        </w:rPr>
        <w:t>Jennifer Fraser</w:t>
      </w:r>
      <w:r w:rsidR="00283233">
        <w:rPr>
          <w:rStyle w:val="FootnoteReference"/>
          <w:rFonts w:ascii="Garamond" w:hAnsi="Garamond"/>
          <w:b/>
        </w:rPr>
        <w:footnoteReference w:customMarkFollows="1" w:id="1"/>
        <w:t>*</w:t>
      </w:r>
    </w:p>
    <w:p w14:paraId="5EB39A31" w14:textId="77777777" w:rsidR="00286D84" w:rsidRPr="00286D84" w:rsidRDefault="00286D84" w:rsidP="00286D84">
      <w:pPr>
        <w:spacing w:line="480" w:lineRule="auto"/>
        <w:rPr>
          <w:rFonts w:ascii="Garamond" w:hAnsi="Garamond"/>
          <w:b/>
        </w:rPr>
      </w:pPr>
    </w:p>
    <w:p w14:paraId="60ADD98F" w14:textId="5CF45E9F" w:rsidR="00786BC9" w:rsidRPr="00286D84" w:rsidRDefault="00786BC9" w:rsidP="00286D84">
      <w:pPr>
        <w:spacing w:after="120" w:line="480" w:lineRule="auto"/>
        <w:rPr>
          <w:rFonts w:ascii="Garamond" w:hAnsi="Garamond"/>
        </w:rPr>
      </w:pPr>
      <w:r w:rsidRPr="00286D84">
        <w:rPr>
          <w:rFonts w:ascii="Garamond" w:hAnsi="Garamond"/>
        </w:rPr>
        <w:t>This piece takes up Flora</w:t>
      </w:r>
      <w:r w:rsidR="006B0BB5">
        <w:rPr>
          <w:rFonts w:ascii="Garamond" w:hAnsi="Garamond"/>
        </w:rPr>
        <w:t xml:space="preserve"> Renz</w:t>
      </w:r>
      <w:r w:rsidRPr="00286D84">
        <w:rPr>
          <w:rFonts w:ascii="Garamond" w:hAnsi="Garamond"/>
        </w:rPr>
        <w:t>’s challenge to think about education at the intersection</w:t>
      </w:r>
      <w:r w:rsidR="006D5F01" w:rsidRPr="00286D84">
        <w:rPr>
          <w:rFonts w:ascii="Garamond" w:hAnsi="Garamond"/>
        </w:rPr>
        <w:t>s</w:t>
      </w:r>
      <w:r w:rsidRPr="00286D84">
        <w:rPr>
          <w:rFonts w:ascii="Garamond" w:hAnsi="Garamond"/>
        </w:rPr>
        <w:t xml:space="preserve"> of feminism, gender and </w:t>
      </w:r>
      <w:r w:rsidR="00D50EEC" w:rsidRPr="00286D84">
        <w:rPr>
          <w:rFonts w:ascii="Garamond" w:hAnsi="Garamond"/>
        </w:rPr>
        <w:t xml:space="preserve">changing understandings of equalities provisions </w:t>
      </w:r>
      <w:r w:rsidRPr="00286D84">
        <w:rPr>
          <w:rFonts w:ascii="Garamond" w:hAnsi="Garamond"/>
        </w:rPr>
        <w:t xml:space="preserve">to try to imagine what </w:t>
      </w:r>
      <w:r w:rsidR="007F253D" w:rsidRPr="00286D84">
        <w:rPr>
          <w:rFonts w:ascii="Garamond" w:hAnsi="Garamond"/>
        </w:rPr>
        <w:t>questions we need to ask</w:t>
      </w:r>
      <w:r w:rsidRPr="00286D84">
        <w:rPr>
          <w:rFonts w:ascii="Garamond" w:hAnsi="Garamond"/>
        </w:rPr>
        <w:t xml:space="preserve"> in higher education to make universities and classrooms spaces that </w:t>
      </w:r>
      <w:r w:rsidR="00D50EEC" w:rsidRPr="00286D84">
        <w:rPr>
          <w:rFonts w:ascii="Garamond" w:hAnsi="Garamond"/>
        </w:rPr>
        <w:t>embrace gender diversity and see it as a catalyst for changing institutions themselves.</w:t>
      </w:r>
      <w:r w:rsidR="00FD5775" w:rsidRPr="00286D84">
        <w:rPr>
          <w:rFonts w:ascii="Garamond" w:hAnsi="Garamond"/>
        </w:rPr>
        <w:t xml:space="preserve">  Many of us who have dedicated our working and activist lives to enacting change in higher education dream of different futures, futures in which students and teachers learn together in classrooms that are</w:t>
      </w:r>
      <w:r w:rsidR="009578AD" w:rsidRPr="00286D84">
        <w:rPr>
          <w:rFonts w:ascii="Garamond" w:hAnsi="Garamond"/>
        </w:rPr>
        <w:t xml:space="preserve"> able to</w:t>
      </w:r>
      <w:r w:rsidR="00FD5775" w:rsidRPr="00286D84">
        <w:rPr>
          <w:rFonts w:ascii="Garamond" w:hAnsi="Garamond"/>
        </w:rPr>
        <w:t xml:space="preserve"> recognise </w:t>
      </w:r>
      <w:r w:rsidR="009D5CB4" w:rsidRPr="00286D84">
        <w:rPr>
          <w:rFonts w:ascii="Garamond" w:hAnsi="Garamond"/>
        </w:rPr>
        <w:t xml:space="preserve">and grapple with </w:t>
      </w:r>
      <w:r w:rsidR="00FD5775" w:rsidRPr="00286D84">
        <w:rPr>
          <w:rFonts w:ascii="Garamond" w:hAnsi="Garamond"/>
        </w:rPr>
        <w:t xml:space="preserve">their imperialist, </w:t>
      </w:r>
      <w:proofErr w:type="spellStart"/>
      <w:r w:rsidR="00FD5775" w:rsidRPr="00286D84">
        <w:rPr>
          <w:rFonts w:ascii="Garamond" w:hAnsi="Garamond"/>
        </w:rPr>
        <w:t>ableist</w:t>
      </w:r>
      <w:proofErr w:type="spellEnd"/>
      <w:r w:rsidR="00FD5775" w:rsidRPr="00286D84">
        <w:rPr>
          <w:rFonts w:ascii="Garamond" w:hAnsi="Garamond"/>
        </w:rPr>
        <w:t xml:space="preserve">, </w:t>
      </w:r>
      <w:proofErr w:type="spellStart"/>
      <w:r w:rsidR="009D5CB4" w:rsidRPr="00286D84">
        <w:rPr>
          <w:rFonts w:ascii="Garamond" w:hAnsi="Garamond"/>
        </w:rPr>
        <w:t>cis</w:t>
      </w:r>
      <w:r w:rsidR="00DB6F32" w:rsidRPr="00286D84">
        <w:rPr>
          <w:rFonts w:ascii="Garamond" w:hAnsi="Garamond"/>
        </w:rPr>
        <w:t>heterosexist</w:t>
      </w:r>
      <w:proofErr w:type="spellEnd"/>
      <w:r w:rsidR="00FD5775" w:rsidRPr="00286D84">
        <w:rPr>
          <w:rFonts w:ascii="Garamond" w:hAnsi="Garamond"/>
        </w:rPr>
        <w:t xml:space="preserve"> </w:t>
      </w:r>
      <w:r w:rsidR="00137E10" w:rsidRPr="00286D84">
        <w:rPr>
          <w:rFonts w:ascii="Garamond" w:hAnsi="Garamond"/>
        </w:rPr>
        <w:t>roots</w:t>
      </w:r>
      <w:r w:rsidR="00FD5775" w:rsidRPr="00286D84">
        <w:rPr>
          <w:rFonts w:ascii="Garamond" w:hAnsi="Garamond"/>
        </w:rPr>
        <w:t xml:space="preserve"> </w:t>
      </w:r>
      <w:r w:rsidR="009521FC" w:rsidRPr="00286D84">
        <w:rPr>
          <w:rFonts w:ascii="Garamond" w:hAnsi="Garamond"/>
        </w:rPr>
        <w:t>while striving</w:t>
      </w:r>
      <w:r w:rsidR="00FD5775" w:rsidRPr="00286D84">
        <w:rPr>
          <w:rFonts w:ascii="Garamond" w:hAnsi="Garamond"/>
        </w:rPr>
        <w:t xml:space="preserve"> towards </w:t>
      </w:r>
      <w:r w:rsidR="009D5CB4" w:rsidRPr="00286D84">
        <w:rPr>
          <w:rFonts w:ascii="Garamond" w:hAnsi="Garamond"/>
        </w:rPr>
        <w:t>new understandings of our individual and collective selves, as well as our disciplines</w:t>
      </w:r>
      <w:r w:rsidR="00FE72B7" w:rsidRPr="00286D84">
        <w:rPr>
          <w:rFonts w:ascii="Garamond" w:hAnsi="Garamond"/>
        </w:rPr>
        <w:t>.  Gender and awareness</w:t>
      </w:r>
      <w:r w:rsidR="00DB6F32" w:rsidRPr="00286D84">
        <w:rPr>
          <w:rFonts w:ascii="Garamond" w:hAnsi="Garamond"/>
        </w:rPr>
        <w:t xml:space="preserve"> </w:t>
      </w:r>
      <w:r w:rsidR="00FD5775" w:rsidRPr="00286D84">
        <w:rPr>
          <w:rFonts w:ascii="Garamond" w:hAnsi="Garamond"/>
        </w:rPr>
        <w:t xml:space="preserve">of </w:t>
      </w:r>
      <w:r w:rsidR="009D5CB4" w:rsidRPr="00286D84">
        <w:rPr>
          <w:rFonts w:ascii="Garamond" w:hAnsi="Garamond"/>
        </w:rPr>
        <w:t>a multiplicity of</w:t>
      </w:r>
      <w:r w:rsidR="00FD5775" w:rsidRPr="00286D84">
        <w:rPr>
          <w:rFonts w:ascii="Garamond" w:hAnsi="Garamond"/>
        </w:rPr>
        <w:t xml:space="preserve"> genders</w:t>
      </w:r>
      <w:r w:rsidR="001A6138" w:rsidRPr="00286D84">
        <w:rPr>
          <w:rFonts w:ascii="Garamond" w:hAnsi="Garamond"/>
        </w:rPr>
        <w:t xml:space="preserve"> (</w:t>
      </w:r>
      <w:r w:rsidR="00FE72B7" w:rsidRPr="00286D84">
        <w:rPr>
          <w:rFonts w:ascii="Garamond" w:hAnsi="Garamond"/>
        </w:rPr>
        <w:t xml:space="preserve">within and </w:t>
      </w:r>
      <w:r w:rsidR="00FA0734" w:rsidRPr="00286D84">
        <w:rPr>
          <w:rFonts w:ascii="Garamond" w:hAnsi="Garamond"/>
        </w:rPr>
        <w:t>beyond</w:t>
      </w:r>
      <w:r w:rsidR="00FE72B7" w:rsidRPr="00286D84">
        <w:rPr>
          <w:rFonts w:ascii="Garamond" w:hAnsi="Garamond"/>
        </w:rPr>
        <w:t xml:space="preserve"> binary genders</w:t>
      </w:r>
      <w:r w:rsidR="001A6138" w:rsidRPr="00286D84">
        <w:rPr>
          <w:rFonts w:ascii="Garamond" w:hAnsi="Garamond"/>
        </w:rPr>
        <w:t>)</w:t>
      </w:r>
      <w:r w:rsidR="00FD5775" w:rsidRPr="00286D84">
        <w:rPr>
          <w:rFonts w:ascii="Garamond" w:hAnsi="Garamond"/>
        </w:rPr>
        <w:t xml:space="preserve"> is an important axis along which we do this work.</w:t>
      </w:r>
    </w:p>
    <w:p w14:paraId="6E1092F8" w14:textId="77777777" w:rsidR="00945CA2" w:rsidRDefault="009D5CB4" w:rsidP="00482C26">
      <w:pPr>
        <w:spacing w:after="120" w:line="480" w:lineRule="auto"/>
        <w:ind w:firstLine="720"/>
        <w:rPr>
          <w:rFonts w:ascii="Garamond" w:hAnsi="Garamond"/>
        </w:rPr>
      </w:pPr>
      <w:r w:rsidRPr="00286D84">
        <w:rPr>
          <w:rFonts w:ascii="Garamond" w:hAnsi="Garamond"/>
        </w:rPr>
        <w:t>As bell hooks reminds us</w:t>
      </w:r>
      <w:r w:rsidR="00945CA2">
        <w:rPr>
          <w:rFonts w:ascii="Garamond" w:hAnsi="Garamond"/>
        </w:rPr>
        <w:t>:</w:t>
      </w:r>
    </w:p>
    <w:p w14:paraId="0F78A364" w14:textId="45F6C10D" w:rsidR="00945CA2" w:rsidRDefault="00786BC9" w:rsidP="00945CA2">
      <w:pPr>
        <w:spacing w:after="120" w:line="480" w:lineRule="auto"/>
        <w:ind w:left="720"/>
        <w:rPr>
          <w:rFonts w:ascii="Garamond" w:hAnsi="Garamond"/>
        </w:rPr>
      </w:pPr>
      <w:r w:rsidRPr="00286D84">
        <w:rPr>
          <w:rFonts w:ascii="Garamond" w:hAnsi="Garamond"/>
        </w:rPr>
        <w:t>Feminist education – the feminist classroom – is and should be a place where there is a sense of struggle, where there is visible acknowledgement of the union of theory and practice, where we work together as teachers and students to overcome the estrangement and alienation that have become so much the norm in the contemporary university. Most importantly, feminist pedagogy should engage students in a learning process that makes the world “</w:t>
      </w:r>
      <w:r w:rsidR="00022A79" w:rsidRPr="00286D84">
        <w:rPr>
          <w:rFonts w:ascii="Garamond" w:hAnsi="Garamond"/>
        </w:rPr>
        <w:t>more rather than less real</w:t>
      </w:r>
      <w:r w:rsidR="00945CA2">
        <w:rPr>
          <w:rFonts w:ascii="Garamond" w:hAnsi="Garamond"/>
        </w:rPr>
        <w:t>”</w:t>
      </w:r>
      <w:r w:rsidR="00C73E9A">
        <w:rPr>
          <w:rFonts w:ascii="Garamond" w:hAnsi="Garamond"/>
        </w:rPr>
        <w:t>.</w:t>
      </w:r>
      <w:r w:rsidRPr="00286D84">
        <w:rPr>
          <w:rFonts w:ascii="Garamond" w:hAnsi="Garamond"/>
        </w:rPr>
        <w:t xml:space="preserve"> (hooks, 2015 [1989]: 51)</w:t>
      </w:r>
      <w:r w:rsidR="00B84E79" w:rsidRPr="00286D84">
        <w:rPr>
          <w:rFonts w:ascii="Garamond" w:hAnsi="Garamond"/>
        </w:rPr>
        <w:t xml:space="preserve"> </w:t>
      </w:r>
    </w:p>
    <w:p w14:paraId="5FBB9A91" w14:textId="012F5265" w:rsidR="005B3EC9" w:rsidRPr="00286D84" w:rsidRDefault="00F04BBD" w:rsidP="00945CA2">
      <w:pPr>
        <w:spacing w:after="120" w:line="480" w:lineRule="auto"/>
        <w:rPr>
          <w:rFonts w:ascii="Garamond" w:hAnsi="Garamond"/>
        </w:rPr>
      </w:pPr>
      <w:r w:rsidRPr="00286D84">
        <w:rPr>
          <w:rFonts w:ascii="Garamond" w:hAnsi="Garamond"/>
        </w:rPr>
        <w:lastRenderedPageBreak/>
        <w:t>The type of feminist education that hooks argues fo</w:t>
      </w:r>
      <w:r w:rsidR="00C75A94" w:rsidRPr="00286D84">
        <w:rPr>
          <w:rFonts w:ascii="Garamond" w:hAnsi="Garamond"/>
        </w:rPr>
        <w:t xml:space="preserve">r recognises the </w:t>
      </w:r>
      <w:r w:rsidR="003672B7" w:rsidRPr="00286D84">
        <w:rPr>
          <w:rFonts w:ascii="Garamond" w:hAnsi="Garamond"/>
        </w:rPr>
        <w:t>effort required to build</w:t>
      </w:r>
      <w:r w:rsidR="00C75A94" w:rsidRPr="00286D84">
        <w:rPr>
          <w:rFonts w:ascii="Garamond" w:hAnsi="Garamond"/>
        </w:rPr>
        <w:t xml:space="preserve"> learning communities, </w:t>
      </w:r>
      <w:r w:rsidR="003672B7" w:rsidRPr="00286D84">
        <w:rPr>
          <w:rFonts w:ascii="Garamond" w:hAnsi="Garamond"/>
        </w:rPr>
        <w:t>to come</w:t>
      </w:r>
      <w:r w:rsidR="00C75A94" w:rsidRPr="00286D84">
        <w:rPr>
          <w:rFonts w:ascii="Garamond" w:hAnsi="Garamond"/>
        </w:rPr>
        <w:t xml:space="preserve"> to know ourselves and the world in new ways.</w:t>
      </w:r>
      <w:r w:rsidR="00B84E79" w:rsidRPr="00286D84">
        <w:rPr>
          <w:rFonts w:ascii="Garamond" w:hAnsi="Garamond"/>
        </w:rPr>
        <w:t xml:space="preserve"> </w:t>
      </w:r>
      <w:r w:rsidR="008850C6" w:rsidRPr="00286D84">
        <w:rPr>
          <w:rFonts w:ascii="Garamond" w:hAnsi="Garamond"/>
        </w:rPr>
        <w:t xml:space="preserve"> It also challenges us to ensure that the world outside the classroom is also inside the classroom and that our engagement with it is concrete and meaningful.</w:t>
      </w:r>
      <w:r w:rsidR="008F7C37" w:rsidRPr="00286D84">
        <w:rPr>
          <w:rFonts w:ascii="Garamond" w:hAnsi="Garamond"/>
        </w:rPr>
        <w:t xml:space="preserve"> </w:t>
      </w:r>
      <w:r w:rsidR="005B3EC9" w:rsidRPr="00286D84">
        <w:rPr>
          <w:rFonts w:ascii="Garamond" w:hAnsi="Garamond"/>
        </w:rPr>
        <w:t xml:space="preserve">This process is particularly important for students and staff whose gender is lived on the trans and non-binary spectrum and for whom there is </w:t>
      </w:r>
      <w:r w:rsidR="001A12B8" w:rsidRPr="00286D84">
        <w:rPr>
          <w:rFonts w:ascii="Garamond" w:hAnsi="Garamond"/>
        </w:rPr>
        <w:t xml:space="preserve">often </w:t>
      </w:r>
      <w:r w:rsidR="005B3EC9" w:rsidRPr="00286D84">
        <w:rPr>
          <w:rFonts w:ascii="Garamond" w:hAnsi="Garamond"/>
        </w:rPr>
        <w:t xml:space="preserve">on-going </w:t>
      </w:r>
      <w:r w:rsidR="00BC0445" w:rsidRPr="00286D84">
        <w:rPr>
          <w:rFonts w:ascii="Garamond" w:hAnsi="Garamond"/>
        </w:rPr>
        <w:t xml:space="preserve">work to do to </w:t>
      </w:r>
      <w:r w:rsidR="00AE333A" w:rsidRPr="00286D84">
        <w:rPr>
          <w:rFonts w:ascii="Garamond" w:hAnsi="Garamond"/>
        </w:rPr>
        <w:t xml:space="preserve">bring together </w:t>
      </w:r>
      <w:r w:rsidR="00FA0734" w:rsidRPr="00286D84">
        <w:rPr>
          <w:rFonts w:ascii="Garamond" w:hAnsi="Garamond"/>
        </w:rPr>
        <w:t>life</w:t>
      </w:r>
      <w:r w:rsidR="00AE333A" w:rsidRPr="00286D84">
        <w:rPr>
          <w:rFonts w:ascii="Garamond" w:hAnsi="Garamond"/>
        </w:rPr>
        <w:t xml:space="preserve"> inside and outside of the classroom</w:t>
      </w:r>
      <w:r w:rsidR="00FF5A18" w:rsidRPr="00286D84">
        <w:rPr>
          <w:rFonts w:ascii="Garamond" w:hAnsi="Garamond"/>
        </w:rPr>
        <w:t>.</w:t>
      </w:r>
    </w:p>
    <w:p w14:paraId="1E388F2E" w14:textId="715294D9" w:rsidR="00D47203" w:rsidRPr="00286D84" w:rsidRDefault="00866BB7" w:rsidP="00482C26">
      <w:pPr>
        <w:spacing w:after="120" w:line="480" w:lineRule="auto"/>
        <w:ind w:firstLine="720"/>
        <w:rPr>
          <w:rFonts w:ascii="Garamond" w:hAnsi="Garamond"/>
        </w:rPr>
      </w:pPr>
      <w:proofErr w:type="spellStart"/>
      <w:r w:rsidRPr="00286D84">
        <w:rPr>
          <w:rFonts w:ascii="Garamond" w:hAnsi="Garamond"/>
        </w:rPr>
        <w:t>h</w:t>
      </w:r>
      <w:r w:rsidR="008F7C37" w:rsidRPr="00286D84">
        <w:rPr>
          <w:rFonts w:ascii="Garamond" w:hAnsi="Garamond"/>
        </w:rPr>
        <w:t>ooks</w:t>
      </w:r>
      <w:r w:rsidRPr="00286D84">
        <w:rPr>
          <w:rFonts w:ascii="Garamond" w:hAnsi="Garamond"/>
        </w:rPr>
        <w:t>’s</w:t>
      </w:r>
      <w:proofErr w:type="spellEnd"/>
      <w:r w:rsidRPr="00286D84">
        <w:rPr>
          <w:rFonts w:ascii="Garamond" w:hAnsi="Garamond"/>
        </w:rPr>
        <w:t xml:space="preserve"> vision for feminist</w:t>
      </w:r>
      <w:r w:rsidR="008F7C37" w:rsidRPr="00286D84">
        <w:rPr>
          <w:rFonts w:ascii="Garamond" w:hAnsi="Garamond"/>
        </w:rPr>
        <w:t xml:space="preserve"> pedagogy involves working together as teachers and students, which</w:t>
      </w:r>
      <w:r w:rsidR="00D47203" w:rsidRPr="00286D84">
        <w:rPr>
          <w:rFonts w:ascii="Garamond" w:hAnsi="Garamond"/>
        </w:rPr>
        <w:t>,</w:t>
      </w:r>
      <w:r w:rsidR="008F7C37" w:rsidRPr="00286D84">
        <w:rPr>
          <w:rFonts w:ascii="Garamond" w:hAnsi="Garamond"/>
        </w:rPr>
        <w:t xml:space="preserve"> in a very practical sense</w:t>
      </w:r>
      <w:r w:rsidR="00D47203" w:rsidRPr="00286D84">
        <w:rPr>
          <w:rFonts w:ascii="Garamond" w:hAnsi="Garamond"/>
        </w:rPr>
        <w:t>,</w:t>
      </w:r>
      <w:r w:rsidR="008F7C37" w:rsidRPr="00286D84">
        <w:rPr>
          <w:rFonts w:ascii="Garamond" w:hAnsi="Garamond"/>
        </w:rPr>
        <w:t xml:space="preserve"> invokes similar </w:t>
      </w:r>
      <w:r w:rsidR="004B5F21" w:rsidRPr="00286D84">
        <w:rPr>
          <w:rFonts w:ascii="Garamond" w:hAnsi="Garamond"/>
        </w:rPr>
        <w:t xml:space="preserve">understandings </w:t>
      </w:r>
      <w:r w:rsidR="008F7C37" w:rsidRPr="00286D84">
        <w:rPr>
          <w:rFonts w:ascii="Garamond" w:hAnsi="Garamond"/>
        </w:rPr>
        <w:t xml:space="preserve">of community </w:t>
      </w:r>
      <w:r w:rsidR="004B5F21" w:rsidRPr="00286D84">
        <w:rPr>
          <w:rFonts w:ascii="Garamond" w:hAnsi="Garamond"/>
        </w:rPr>
        <w:t xml:space="preserve">to </w:t>
      </w:r>
      <w:r w:rsidR="008F7C37" w:rsidRPr="00286D84">
        <w:rPr>
          <w:rFonts w:ascii="Garamond" w:hAnsi="Garamond"/>
        </w:rPr>
        <w:t xml:space="preserve">that </w:t>
      </w:r>
      <w:r w:rsidR="004B5F21" w:rsidRPr="00286D84">
        <w:rPr>
          <w:rFonts w:ascii="Garamond" w:hAnsi="Garamond"/>
        </w:rPr>
        <w:t xml:space="preserve">used by </w:t>
      </w:r>
      <w:r w:rsidR="008F7C37" w:rsidRPr="00286D84">
        <w:rPr>
          <w:rFonts w:ascii="Garamond" w:hAnsi="Garamond"/>
        </w:rPr>
        <w:t xml:space="preserve">the participants in </w:t>
      </w:r>
      <w:r w:rsidR="006B0BB5">
        <w:rPr>
          <w:rFonts w:ascii="Garamond" w:hAnsi="Garamond"/>
        </w:rPr>
        <w:t>Renz</w:t>
      </w:r>
      <w:r w:rsidR="008F7C37" w:rsidRPr="00286D84">
        <w:rPr>
          <w:rFonts w:ascii="Garamond" w:hAnsi="Garamond"/>
        </w:rPr>
        <w:t>’s interviews.</w:t>
      </w:r>
      <w:r w:rsidR="00354A54" w:rsidRPr="00286D84">
        <w:rPr>
          <w:rFonts w:ascii="Garamond" w:hAnsi="Garamond"/>
        </w:rPr>
        <w:t xml:space="preserve">  This is not to reify ideas of community.  Education</w:t>
      </w:r>
      <w:r w:rsidR="00945CA2">
        <w:rPr>
          <w:rFonts w:ascii="Garamond" w:hAnsi="Garamond"/>
        </w:rPr>
        <w:t>,</w:t>
      </w:r>
      <w:r w:rsidR="00354A54" w:rsidRPr="00286D84">
        <w:rPr>
          <w:rFonts w:ascii="Garamond" w:hAnsi="Garamond"/>
        </w:rPr>
        <w:t xml:space="preserve"> like most other public sector or activist spaces</w:t>
      </w:r>
      <w:r w:rsidR="00945CA2">
        <w:rPr>
          <w:rFonts w:ascii="Garamond" w:hAnsi="Garamond"/>
        </w:rPr>
        <w:t>,</w:t>
      </w:r>
      <w:r w:rsidR="00354A54" w:rsidRPr="00286D84">
        <w:rPr>
          <w:rFonts w:ascii="Garamond" w:hAnsi="Garamond"/>
        </w:rPr>
        <w:t xml:space="preserve"> is full of tensions and disagreements.  </w:t>
      </w:r>
      <w:r w:rsidR="009C2114" w:rsidRPr="00286D84">
        <w:rPr>
          <w:rFonts w:ascii="Garamond" w:hAnsi="Garamond"/>
        </w:rPr>
        <w:t>One of the</w:t>
      </w:r>
      <w:r w:rsidR="00354A54" w:rsidRPr="00286D84">
        <w:rPr>
          <w:rFonts w:ascii="Garamond" w:hAnsi="Garamond"/>
        </w:rPr>
        <w:t xml:space="preserve"> challenge</w:t>
      </w:r>
      <w:r w:rsidR="009C2114" w:rsidRPr="00286D84">
        <w:rPr>
          <w:rFonts w:ascii="Garamond" w:hAnsi="Garamond"/>
        </w:rPr>
        <w:t>s</w:t>
      </w:r>
      <w:r w:rsidR="00354A54" w:rsidRPr="00286D84">
        <w:rPr>
          <w:rFonts w:ascii="Garamond" w:hAnsi="Garamond"/>
        </w:rPr>
        <w:t xml:space="preserve"> of feminist and other pedagogies then is to centre relational processes. </w:t>
      </w:r>
      <w:r w:rsidR="00D47203" w:rsidRPr="00286D84">
        <w:rPr>
          <w:rFonts w:ascii="Garamond" w:hAnsi="Garamond"/>
        </w:rPr>
        <w:t xml:space="preserve">As </w:t>
      </w:r>
      <w:proofErr w:type="spellStart"/>
      <w:r w:rsidR="00D47203" w:rsidRPr="00286D84">
        <w:rPr>
          <w:rFonts w:ascii="Garamond" w:hAnsi="Garamond"/>
        </w:rPr>
        <w:t>Yahlnaaw</w:t>
      </w:r>
      <w:proofErr w:type="spellEnd"/>
      <w:r w:rsidR="00D47203" w:rsidRPr="00286D84">
        <w:rPr>
          <w:rFonts w:ascii="Garamond" w:hAnsi="Garamond"/>
        </w:rPr>
        <w:t xml:space="preserve"> </w:t>
      </w:r>
      <w:r w:rsidR="00881FD5" w:rsidRPr="00286D84">
        <w:rPr>
          <w:rFonts w:ascii="Garamond" w:hAnsi="Garamond"/>
        </w:rPr>
        <w:t>insist</w:t>
      </w:r>
      <w:r w:rsidR="00D47203" w:rsidRPr="00286D84">
        <w:rPr>
          <w:rFonts w:ascii="Garamond" w:hAnsi="Garamond"/>
        </w:rPr>
        <w:t>s in her call for decolonising the relationships of higher educ</w:t>
      </w:r>
      <w:r w:rsidR="00354A54" w:rsidRPr="00286D84">
        <w:rPr>
          <w:rFonts w:ascii="Garamond" w:hAnsi="Garamond"/>
        </w:rPr>
        <w:t>ation</w:t>
      </w:r>
      <w:r w:rsidR="00D47203" w:rsidRPr="00286D84">
        <w:rPr>
          <w:rFonts w:ascii="Garamond" w:hAnsi="Garamond"/>
        </w:rPr>
        <w:t xml:space="preserve">: ‘Research is not just about stuffing a jar full of knowledge for the sake of keeping it on a shelf in your basement; research is about putting yourself and your relationships into your work because they </w:t>
      </w:r>
      <w:r w:rsidR="00354A54" w:rsidRPr="00286D84">
        <w:rPr>
          <w:rFonts w:ascii="Garamond" w:hAnsi="Garamond"/>
        </w:rPr>
        <w:t>are your work’ (2019: 8)</w:t>
      </w:r>
      <w:r w:rsidR="00D47203" w:rsidRPr="00286D84">
        <w:rPr>
          <w:rFonts w:ascii="Garamond" w:hAnsi="Garamond"/>
        </w:rPr>
        <w:t>.</w:t>
      </w:r>
      <w:r w:rsidR="00385083" w:rsidRPr="00286D84">
        <w:rPr>
          <w:rFonts w:ascii="Garamond" w:hAnsi="Garamond"/>
        </w:rPr>
        <w:t xml:space="preserve"> Building educational communities that centre relationship in feminist and </w:t>
      </w:r>
      <w:proofErr w:type="spellStart"/>
      <w:r w:rsidR="00385083" w:rsidRPr="00286D84">
        <w:rPr>
          <w:rFonts w:ascii="Garamond" w:hAnsi="Garamond"/>
        </w:rPr>
        <w:t>decolonial</w:t>
      </w:r>
      <w:proofErr w:type="spellEnd"/>
      <w:r w:rsidR="00385083" w:rsidRPr="00286D84">
        <w:rPr>
          <w:rFonts w:ascii="Garamond" w:hAnsi="Garamond"/>
        </w:rPr>
        <w:t xml:space="preserve"> ways is </w:t>
      </w:r>
      <w:r w:rsidR="002873F0">
        <w:rPr>
          <w:rFonts w:ascii="Garamond" w:hAnsi="Garamond"/>
        </w:rPr>
        <w:t xml:space="preserve">a </w:t>
      </w:r>
      <w:r w:rsidR="00385083" w:rsidRPr="00286D84">
        <w:rPr>
          <w:rFonts w:ascii="Garamond" w:hAnsi="Garamond"/>
        </w:rPr>
        <w:t>complex</w:t>
      </w:r>
      <w:r w:rsidR="002873F0">
        <w:rPr>
          <w:rFonts w:ascii="Garamond" w:hAnsi="Garamond"/>
        </w:rPr>
        <w:t>, messy</w:t>
      </w:r>
      <w:r w:rsidR="00385083" w:rsidRPr="00286D84">
        <w:rPr>
          <w:rFonts w:ascii="Garamond" w:hAnsi="Garamond"/>
        </w:rPr>
        <w:t xml:space="preserve"> and necessary part of any work that we do toward opening ourselves and our institutions to the transformative potential of diverse gender </w:t>
      </w:r>
      <w:proofErr w:type="spellStart"/>
      <w:r w:rsidR="00385083" w:rsidRPr="00286D84">
        <w:rPr>
          <w:rFonts w:ascii="Garamond" w:hAnsi="Garamond"/>
        </w:rPr>
        <w:t>knowledges</w:t>
      </w:r>
      <w:proofErr w:type="spellEnd"/>
      <w:r w:rsidR="00385083" w:rsidRPr="00286D84">
        <w:rPr>
          <w:rFonts w:ascii="Garamond" w:hAnsi="Garamond"/>
        </w:rPr>
        <w:t>.</w:t>
      </w:r>
    </w:p>
    <w:p w14:paraId="0A3A298D" w14:textId="2D57C9BD" w:rsidR="00616A71" w:rsidRPr="00286D84" w:rsidRDefault="00C11131" w:rsidP="00482C26">
      <w:pPr>
        <w:spacing w:after="120" w:line="480" w:lineRule="auto"/>
        <w:ind w:firstLine="720"/>
        <w:rPr>
          <w:rFonts w:ascii="Garamond" w:hAnsi="Garamond"/>
        </w:rPr>
      </w:pPr>
      <w:r w:rsidRPr="00286D84">
        <w:rPr>
          <w:rFonts w:ascii="Garamond" w:hAnsi="Garamond"/>
        </w:rPr>
        <w:t xml:space="preserve">A significant issue </w:t>
      </w:r>
      <w:r w:rsidR="00C41E68" w:rsidRPr="00286D84">
        <w:rPr>
          <w:rFonts w:ascii="Garamond" w:hAnsi="Garamond"/>
        </w:rPr>
        <w:t xml:space="preserve">that </w:t>
      </w:r>
      <w:r w:rsidRPr="00286D84">
        <w:rPr>
          <w:rFonts w:ascii="Garamond" w:hAnsi="Garamond"/>
        </w:rPr>
        <w:t>higher education institutions face</w:t>
      </w:r>
      <w:r w:rsidR="00C41E68" w:rsidRPr="00286D84">
        <w:rPr>
          <w:rFonts w:ascii="Garamond" w:hAnsi="Garamond"/>
        </w:rPr>
        <w:t xml:space="preserve"> is that </w:t>
      </w:r>
      <w:r w:rsidRPr="00286D84">
        <w:rPr>
          <w:rFonts w:ascii="Garamond" w:hAnsi="Garamond"/>
        </w:rPr>
        <w:t xml:space="preserve">of scale. </w:t>
      </w:r>
      <w:r w:rsidR="006B0BB5">
        <w:rPr>
          <w:rFonts w:ascii="Garamond" w:hAnsi="Garamond"/>
        </w:rPr>
        <w:t>Renz</w:t>
      </w:r>
      <w:r w:rsidR="009C2114" w:rsidRPr="00286D84">
        <w:rPr>
          <w:rFonts w:ascii="Garamond" w:hAnsi="Garamond"/>
        </w:rPr>
        <w:t>’s piece provides an example of a Head T</w:t>
      </w:r>
      <w:r w:rsidR="00C3587E" w:rsidRPr="00286D84">
        <w:rPr>
          <w:rFonts w:ascii="Garamond" w:hAnsi="Garamond"/>
        </w:rPr>
        <w:t xml:space="preserve">eacher who </w:t>
      </w:r>
      <w:r w:rsidR="009C2114" w:rsidRPr="00286D84">
        <w:rPr>
          <w:rFonts w:ascii="Garamond" w:hAnsi="Garamond"/>
        </w:rPr>
        <w:t>is able to</w:t>
      </w:r>
      <w:r w:rsidR="004F012D" w:rsidRPr="00286D84">
        <w:rPr>
          <w:rFonts w:ascii="Garamond" w:hAnsi="Garamond"/>
        </w:rPr>
        <w:t xml:space="preserve"> work pastorally with every student, to know them as individuals and to consider their relationship to the community that is formed in their school</w:t>
      </w:r>
      <w:r w:rsidR="009C2114" w:rsidRPr="00286D84">
        <w:rPr>
          <w:rFonts w:ascii="Garamond" w:hAnsi="Garamond"/>
        </w:rPr>
        <w:t xml:space="preserve"> (Renz, </w:t>
      </w:r>
      <w:r w:rsidR="00945CA2">
        <w:rPr>
          <w:rFonts w:ascii="Garamond" w:hAnsi="Garamond"/>
        </w:rPr>
        <w:t>this issue</w:t>
      </w:r>
      <w:r w:rsidR="00881FD5" w:rsidRPr="00286D84">
        <w:rPr>
          <w:rFonts w:ascii="Garamond" w:hAnsi="Garamond"/>
        </w:rPr>
        <w:t>)</w:t>
      </w:r>
      <w:r w:rsidR="009C2114" w:rsidRPr="00286D84">
        <w:rPr>
          <w:rFonts w:ascii="Garamond" w:hAnsi="Garamond"/>
        </w:rPr>
        <w:t xml:space="preserve">. </w:t>
      </w:r>
      <w:r w:rsidR="000E4354" w:rsidRPr="00286D84">
        <w:rPr>
          <w:rFonts w:ascii="Garamond" w:hAnsi="Garamond"/>
        </w:rPr>
        <w:t xml:space="preserve">While there are still administrative issues that they struggle to resolve for </w:t>
      </w:r>
      <w:r w:rsidR="007223F6" w:rsidRPr="00286D84">
        <w:rPr>
          <w:rFonts w:ascii="Garamond" w:hAnsi="Garamond"/>
        </w:rPr>
        <w:t xml:space="preserve">trans and non-binary </w:t>
      </w:r>
      <w:r w:rsidR="000E4354" w:rsidRPr="00286D84">
        <w:rPr>
          <w:rFonts w:ascii="Garamond" w:hAnsi="Garamond"/>
        </w:rPr>
        <w:t xml:space="preserve">students, there appears to be space for </w:t>
      </w:r>
      <w:r w:rsidR="00BD2281" w:rsidRPr="00286D84">
        <w:rPr>
          <w:rFonts w:ascii="Garamond" w:hAnsi="Garamond"/>
        </w:rPr>
        <w:t xml:space="preserve">senior staff to </w:t>
      </w:r>
      <w:r w:rsidR="000E4354" w:rsidRPr="00286D84">
        <w:rPr>
          <w:rFonts w:ascii="Garamond" w:hAnsi="Garamond"/>
        </w:rPr>
        <w:t xml:space="preserve">engage relationally with students. </w:t>
      </w:r>
      <w:r w:rsidR="009C2114" w:rsidRPr="00286D84">
        <w:rPr>
          <w:rFonts w:ascii="Garamond" w:hAnsi="Garamond"/>
        </w:rPr>
        <w:t>Universities, such as the one that I work at, have over 20,000 students spread over f</w:t>
      </w:r>
      <w:r w:rsidR="00881FD5" w:rsidRPr="00286D84">
        <w:rPr>
          <w:rFonts w:ascii="Garamond" w:hAnsi="Garamond"/>
        </w:rPr>
        <w:t>our</w:t>
      </w:r>
      <w:r w:rsidR="009C2114" w:rsidRPr="00286D84">
        <w:rPr>
          <w:rFonts w:ascii="Garamond" w:hAnsi="Garamond"/>
        </w:rPr>
        <w:t xml:space="preserve"> London campuses and two international campuses. It is literally impossible </w:t>
      </w:r>
      <w:r w:rsidR="002E0A0C" w:rsidRPr="00286D84">
        <w:rPr>
          <w:rFonts w:ascii="Garamond" w:hAnsi="Garamond"/>
        </w:rPr>
        <w:t xml:space="preserve">for the head of a university, such as the Vice-Chancellor who is ultimately responsible for the whole </w:t>
      </w:r>
      <w:r w:rsidR="002E0A0C" w:rsidRPr="00286D84">
        <w:rPr>
          <w:rFonts w:ascii="Garamond" w:hAnsi="Garamond"/>
        </w:rPr>
        <w:lastRenderedPageBreak/>
        <w:t xml:space="preserve">institution, to know every student. Instead, </w:t>
      </w:r>
      <w:r w:rsidR="00C41E68" w:rsidRPr="00286D84">
        <w:rPr>
          <w:rFonts w:ascii="Garamond" w:hAnsi="Garamond"/>
        </w:rPr>
        <w:t xml:space="preserve">students have multiple </w:t>
      </w:r>
      <w:r w:rsidR="002E0A0C" w:rsidRPr="00286D84">
        <w:rPr>
          <w:rFonts w:ascii="Garamond" w:hAnsi="Garamond"/>
        </w:rPr>
        <w:t>sites</w:t>
      </w:r>
      <w:r w:rsidR="00C41E68" w:rsidRPr="00286D84">
        <w:rPr>
          <w:rFonts w:ascii="Garamond" w:hAnsi="Garamond"/>
        </w:rPr>
        <w:t xml:space="preserve"> of </w:t>
      </w:r>
      <w:r w:rsidR="002E0A0C" w:rsidRPr="00286D84">
        <w:rPr>
          <w:rFonts w:ascii="Garamond" w:hAnsi="Garamond"/>
        </w:rPr>
        <w:t xml:space="preserve">interaction with universities: </w:t>
      </w:r>
      <w:r w:rsidR="00C41E68" w:rsidRPr="00286D84">
        <w:rPr>
          <w:rFonts w:ascii="Garamond" w:hAnsi="Garamond"/>
        </w:rPr>
        <w:t>academic (learning &amp; teaching</w:t>
      </w:r>
      <w:r w:rsidR="000E4354" w:rsidRPr="00286D84">
        <w:rPr>
          <w:rFonts w:ascii="Garamond" w:hAnsi="Garamond"/>
        </w:rPr>
        <w:t>, libraries etc.</w:t>
      </w:r>
      <w:r w:rsidR="00C41E68" w:rsidRPr="00286D84">
        <w:rPr>
          <w:rFonts w:ascii="Garamond" w:hAnsi="Garamond"/>
        </w:rPr>
        <w:t xml:space="preserve">), social (Student Union, housing </w:t>
      </w:r>
      <w:r w:rsidR="004F012D" w:rsidRPr="00286D84">
        <w:rPr>
          <w:rFonts w:ascii="Garamond" w:hAnsi="Garamond"/>
        </w:rPr>
        <w:t>etc.</w:t>
      </w:r>
      <w:r w:rsidR="00C41E68" w:rsidRPr="00286D84">
        <w:rPr>
          <w:rFonts w:ascii="Garamond" w:hAnsi="Garamond"/>
        </w:rPr>
        <w:t>) and administr</w:t>
      </w:r>
      <w:r w:rsidR="004F012D" w:rsidRPr="00286D84">
        <w:rPr>
          <w:rFonts w:ascii="Garamond" w:hAnsi="Garamond"/>
        </w:rPr>
        <w:t xml:space="preserve">ative (registry, finance etc.). </w:t>
      </w:r>
      <w:r w:rsidR="00C41E68" w:rsidRPr="00286D84">
        <w:rPr>
          <w:rFonts w:ascii="Garamond" w:hAnsi="Garamond"/>
        </w:rPr>
        <w:t xml:space="preserve">This makes it </w:t>
      </w:r>
      <w:r w:rsidR="007C63DC" w:rsidRPr="00286D84">
        <w:rPr>
          <w:rFonts w:ascii="Garamond" w:hAnsi="Garamond"/>
        </w:rPr>
        <w:t>a challenge</w:t>
      </w:r>
      <w:r w:rsidR="00C41E68" w:rsidRPr="00286D84">
        <w:rPr>
          <w:rFonts w:ascii="Garamond" w:hAnsi="Garamond"/>
        </w:rPr>
        <w:t xml:space="preserve"> to ensure the type of </w:t>
      </w:r>
      <w:r w:rsidR="0048249F" w:rsidRPr="00286D84">
        <w:rPr>
          <w:rFonts w:ascii="Garamond" w:hAnsi="Garamond"/>
        </w:rPr>
        <w:t>holistic</w:t>
      </w:r>
      <w:r w:rsidR="00C41E68" w:rsidRPr="00286D84">
        <w:rPr>
          <w:rFonts w:ascii="Garamond" w:hAnsi="Garamond"/>
        </w:rPr>
        <w:t xml:space="preserve"> experience that a student might have during their secondary education</w:t>
      </w:r>
      <w:r w:rsidR="007C63DC" w:rsidRPr="00286D84">
        <w:rPr>
          <w:rFonts w:ascii="Garamond" w:hAnsi="Garamond"/>
        </w:rPr>
        <w:t xml:space="preserve"> continues when they come to university</w:t>
      </w:r>
      <w:r w:rsidR="00C41E68" w:rsidRPr="00286D84">
        <w:rPr>
          <w:rFonts w:ascii="Garamond" w:hAnsi="Garamond"/>
        </w:rPr>
        <w:t>.</w:t>
      </w:r>
      <w:r w:rsidR="004F012D" w:rsidRPr="00286D84">
        <w:rPr>
          <w:rFonts w:ascii="Garamond" w:hAnsi="Garamond"/>
        </w:rPr>
        <w:t xml:space="preserve"> </w:t>
      </w:r>
      <w:r w:rsidR="007C63DC" w:rsidRPr="00286D84">
        <w:rPr>
          <w:rFonts w:ascii="Garamond" w:hAnsi="Garamond"/>
        </w:rPr>
        <w:t>A sense of community needs to be established in much smaller scales</w:t>
      </w:r>
      <w:r w:rsidR="00FF4A2E" w:rsidRPr="00286D84">
        <w:rPr>
          <w:rFonts w:ascii="Garamond" w:hAnsi="Garamond"/>
        </w:rPr>
        <w:t>,</w:t>
      </w:r>
      <w:r w:rsidR="007C63DC" w:rsidRPr="00286D84">
        <w:rPr>
          <w:rFonts w:ascii="Garamond" w:hAnsi="Garamond"/>
        </w:rPr>
        <w:t xml:space="preserve"> such as in a classroom or at a course level. </w:t>
      </w:r>
      <w:r w:rsidR="006F2680" w:rsidRPr="00286D84">
        <w:rPr>
          <w:rFonts w:ascii="Garamond" w:hAnsi="Garamond"/>
        </w:rPr>
        <w:t>The</w:t>
      </w:r>
      <w:r w:rsidR="007C63DC" w:rsidRPr="00286D84">
        <w:rPr>
          <w:rFonts w:ascii="Garamond" w:hAnsi="Garamond"/>
        </w:rPr>
        <w:t xml:space="preserve"> difference</w:t>
      </w:r>
      <w:r w:rsidR="009520EF" w:rsidRPr="00286D84">
        <w:rPr>
          <w:rFonts w:ascii="Garamond" w:hAnsi="Garamond"/>
        </w:rPr>
        <w:t>s</w:t>
      </w:r>
      <w:r w:rsidR="007C63DC" w:rsidRPr="00286D84">
        <w:rPr>
          <w:rFonts w:ascii="Garamond" w:hAnsi="Garamond"/>
        </w:rPr>
        <w:t xml:space="preserve"> </w:t>
      </w:r>
      <w:r w:rsidR="006F2680" w:rsidRPr="00286D84">
        <w:rPr>
          <w:rFonts w:ascii="Garamond" w:hAnsi="Garamond"/>
        </w:rPr>
        <w:t xml:space="preserve">between secondary and university education </w:t>
      </w:r>
      <w:r w:rsidR="007C63DC" w:rsidRPr="00286D84">
        <w:rPr>
          <w:rFonts w:ascii="Garamond" w:hAnsi="Garamond"/>
        </w:rPr>
        <w:t>can lead to experiences of alienation and</w:t>
      </w:r>
      <w:r w:rsidR="00B916D6" w:rsidRPr="00286D84">
        <w:rPr>
          <w:rFonts w:ascii="Garamond" w:hAnsi="Garamond"/>
        </w:rPr>
        <w:t xml:space="preserve"> disenga</w:t>
      </w:r>
      <w:r w:rsidR="008F7426" w:rsidRPr="00286D84">
        <w:rPr>
          <w:rFonts w:ascii="Garamond" w:hAnsi="Garamond"/>
        </w:rPr>
        <w:t xml:space="preserve">gement for all students, but </w:t>
      </w:r>
      <w:r w:rsidR="00A11A46" w:rsidRPr="00286D84">
        <w:rPr>
          <w:rFonts w:ascii="Garamond" w:hAnsi="Garamond"/>
        </w:rPr>
        <w:t xml:space="preserve">especially for </w:t>
      </w:r>
      <w:r w:rsidR="006F2680" w:rsidRPr="00286D84">
        <w:rPr>
          <w:rFonts w:ascii="Garamond" w:hAnsi="Garamond"/>
        </w:rPr>
        <w:t xml:space="preserve">trans and non-binary </w:t>
      </w:r>
      <w:r w:rsidR="007C63DC" w:rsidRPr="00286D84">
        <w:rPr>
          <w:rFonts w:ascii="Garamond" w:hAnsi="Garamond"/>
        </w:rPr>
        <w:t>students</w:t>
      </w:r>
      <w:r w:rsidR="00B916D6" w:rsidRPr="00286D84">
        <w:rPr>
          <w:rFonts w:ascii="Garamond" w:hAnsi="Garamond"/>
        </w:rPr>
        <w:t xml:space="preserve"> when they bump up against institutional </w:t>
      </w:r>
      <w:r w:rsidR="00B61B2C" w:rsidRPr="00286D84">
        <w:rPr>
          <w:rFonts w:ascii="Garamond" w:hAnsi="Garamond"/>
        </w:rPr>
        <w:t xml:space="preserve">frameworks and </w:t>
      </w:r>
      <w:r w:rsidR="00E3088C" w:rsidRPr="00286D84">
        <w:rPr>
          <w:rFonts w:ascii="Garamond" w:hAnsi="Garamond"/>
        </w:rPr>
        <w:t>processes</w:t>
      </w:r>
      <w:r w:rsidR="00B916D6" w:rsidRPr="00286D84">
        <w:rPr>
          <w:rFonts w:ascii="Garamond" w:hAnsi="Garamond"/>
        </w:rPr>
        <w:t xml:space="preserve"> that do not recognise their gender</w:t>
      </w:r>
      <w:r w:rsidR="008F7426" w:rsidRPr="00286D84">
        <w:rPr>
          <w:rFonts w:ascii="Garamond" w:hAnsi="Garamond"/>
        </w:rPr>
        <w:t>s</w:t>
      </w:r>
      <w:r w:rsidR="007C63DC" w:rsidRPr="00286D84">
        <w:rPr>
          <w:rFonts w:ascii="Garamond" w:hAnsi="Garamond"/>
        </w:rPr>
        <w:t xml:space="preserve">. </w:t>
      </w:r>
      <w:r w:rsidR="003D068B" w:rsidRPr="00286D84">
        <w:rPr>
          <w:rFonts w:ascii="Garamond" w:hAnsi="Garamond"/>
        </w:rPr>
        <w:t xml:space="preserve">This can </w:t>
      </w:r>
      <w:r w:rsidR="00E3088C" w:rsidRPr="00286D84">
        <w:rPr>
          <w:rFonts w:ascii="Garamond" w:hAnsi="Garamond"/>
        </w:rPr>
        <w:t xml:space="preserve">also </w:t>
      </w:r>
      <w:r w:rsidR="003D068B" w:rsidRPr="00286D84">
        <w:rPr>
          <w:rFonts w:ascii="Garamond" w:hAnsi="Garamond"/>
        </w:rPr>
        <w:t xml:space="preserve">take the form of </w:t>
      </w:r>
      <w:proofErr w:type="spellStart"/>
      <w:r w:rsidR="00FB5500" w:rsidRPr="00286D84">
        <w:rPr>
          <w:rFonts w:ascii="Garamond" w:hAnsi="Garamond"/>
        </w:rPr>
        <w:t>microaggressions</w:t>
      </w:r>
      <w:proofErr w:type="spellEnd"/>
      <w:r w:rsidR="00FB5500" w:rsidRPr="00286D84">
        <w:rPr>
          <w:rFonts w:ascii="Garamond" w:hAnsi="Garamond"/>
        </w:rPr>
        <w:t xml:space="preserve"> from other students and staff</w:t>
      </w:r>
      <w:r w:rsidR="00026D6F" w:rsidRPr="00286D84">
        <w:rPr>
          <w:rFonts w:ascii="Garamond" w:hAnsi="Garamond"/>
        </w:rPr>
        <w:t>,</w:t>
      </w:r>
      <w:r w:rsidR="00FB5500" w:rsidRPr="00286D84">
        <w:rPr>
          <w:rFonts w:ascii="Garamond" w:hAnsi="Garamond"/>
        </w:rPr>
        <w:t xml:space="preserve"> the cumulative effect of which is disengagement from learning. </w:t>
      </w:r>
      <w:r w:rsidR="007C63DC" w:rsidRPr="00286D84">
        <w:rPr>
          <w:rFonts w:ascii="Garamond" w:hAnsi="Garamond"/>
        </w:rPr>
        <w:t xml:space="preserve">While the scale of higher education seems to mean that universities, unlike the participants that </w:t>
      </w:r>
      <w:r w:rsidR="006B0BB5">
        <w:rPr>
          <w:rFonts w:ascii="Garamond" w:hAnsi="Garamond"/>
        </w:rPr>
        <w:t>Renz</w:t>
      </w:r>
      <w:r w:rsidR="007C63DC" w:rsidRPr="00286D84">
        <w:rPr>
          <w:rFonts w:ascii="Garamond" w:hAnsi="Garamond"/>
        </w:rPr>
        <w:t xml:space="preserve"> interviewed</w:t>
      </w:r>
      <w:r w:rsidR="00616A71" w:rsidRPr="00286D84">
        <w:rPr>
          <w:rFonts w:ascii="Garamond" w:hAnsi="Garamond"/>
        </w:rPr>
        <w:t>,</w:t>
      </w:r>
      <w:r w:rsidR="007C63DC" w:rsidRPr="00286D84">
        <w:rPr>
          <w:rFonts w:ascii="Garamond" w:hAnsi="Garamond"/>
        </w:rPr>
        <w:t xml:space="preserve"> prioritise policies that aim to create</w:t>
      </w:r>
      <w:r w:rsidR="008D25AE" w:rsidRPr="00286D84">
        <w:rPr>
          <w:rFonts w:ascii="Garamond" w:hAnsi="Garamond"/>
        </w:rPr>
        <w:t xml:space="preserve"> a standardised</w:t>
      </w:r>
      <w:r w:rsidR="007C63DC" w:rsidRPr="00286D84">
        <w:rPr>
          <w:rFonts w:ascii="Garamond" w:hAnsi="Garamond"/>
        </w:rPr>
        <w:t xml:space="preserve"> experience, there is an urgent need to understand how </w:t>
      </w:r>
      <w:r w:rsidR="007223F6" w:rsidRPr="00286D84">
        <w:rPr>
          <w:rFonts w:ascii="Garamond" w:hAnsi="Garamond"/>
        </w:rPr>
        <w:t>trans and non-binary</w:t>
      </w:r>
      <w:r w:rsidR="007C63DC" w:rsidRPr="00286D84">
        <w:rPr>
          <w:rFonts w:ascii="Garamond" w:hAnsi="Garamond"/>
        </w:rPr>
        <w:t xml:space="preserve"> students actually experience higher education and </w:t>
      </w:r>
      <w:r w:rsidR="00B34497" w:rsidRPr="00286D84">
        <w:rPr>
          <w:rFonts w:ascii="Garamond" w:hAnsi="Garamond"/>
        </w:rPr>
        <w:t>importantly how</w:t>
      </w:r>
      <w:r w:rsidR="007C63DC" w:rsidRPr="00286D84">
        <w:rPr>
          <w:rFonts w:ascii="Garamond" w:hAnsi="Garamond"/>
        </w:rPr>
        <w:t xml:space="preserve"> they can thrive academically </w:t>
      </w:r>
      <w:r w:rsidR="00616A71" w:rsidRPr="00286D84">
        <w:rPr>
          <w:rFonts w:ascii="Garamond" w:hAnsi="Garamond"/>
        </w:rPr>
        <w:t xml:space="preserve">and socially </w:t>
      </w:r>
      <w:r w:rsidR="007C63DC" w:rsidRPr="00286D84">
        <w:rPr>
          <w:rFonts w:ascii="Garamond" w:hAnsi="Garamond"/>
        </w:rPr>
        <w:t>in these spaces.</w:t>
      </w:r>
    </w:p>
    <w:p w14:paraId="65FDA319" w14:textId="7E8F8BA8" w:rsidR="00B916D6" w:rsidRPr="00286D84" w:rsidRDefault="00FF78D0" w:rsidP="00482C26">
      <w:pPr>
        <w:spacing w:after="120" w:line="480" w:lineRule="auto"/>
        <w:ind w:firstLine="720"/>
        <w:rPr>
          <w:rFonts w:ascii="Garamond" w:hAnsi="Garamond"/>
        </w:rPr>
      </w:pPr>
      <w:r w:rsidRPr="00286D84">
        <w:rPr>
          <w:rFonts w:ascii="Garamond" w:hAnsi="Garamond"/>
        </w:rPr>
        <w:t xml:space="preserve">The question of what we need to do to make higher education a place not just to survive but to thrive is </w:t>
      </w:r>
      <w:r w:rsidR="00D16D3B" w:rsidRPr="00286D84">
        <w:rPr>
          <w:rFonts w:ascii="Garamond" w:hAnsi="Garamond"/>
        </w:rPr>
        <w:t>fundamental to</w:t>
      </w:r>
      <w:r w:rsidR="00FC2842" w:rsidRPr="00286D84">
        <w:rPr>
          <w:rFonts w:ascii="Garamond" w:hAnsi="Garamond"/>
        </w:rPr>
        <w:t xml:space="preserve"> </w:t>
      </w:r>
      <w:r w:rsidR="00B34497" w:rsidRPr="00286D84">
        <w:rPr>
          <w:rFonts w:ascii="Garamond" w:hAnsi="Garamond"/>
        </w:rPr>
        <w:t xml:space="preserve">the research and teaching that many of us </w:t>
      </w:r>
      <w:r w:rsidR="00FA0734" w:rsidRPr="00286D84">
        <w:rPr>
          <w:rFonts w:ascii="Garamond" w:hAnsi="Garamond"/>
        </w:rPr>
        <w:t>as trans and</w:t>
      </w:r>
      <w:r w:rsidR="00C223EB" w:rsidRPr="00286D84">
        <w:rPr>
          <w:rFonts w:ascii="Garamond" w:hAnsi="Garamond"/>
        </w:rPr>
        <w:t xml:space="preserve"> non-binary academic staff </w:t>
      </w:r>
      <w:r w:rsidR="00B34497" w:rsidRPr="00286D84">
        <w:rPr>
          <w:rFonts w:ascii="Garamond" w:hAnsi="Garamond"/>
        </w:rPr>
        <w:t>do</w:t>
      </w:r>
      <w:r w:rsidRPr="00286D84">
        <w:rPr>
          <w:rFonts w:ascii="Garamond" w:hAnsi="Garamond"/>
        </w:rPr>
        <w:t xml:space="preserve">.  As a member of the </w:t>
      </w:r>
      <w:r w:rsidRPr="00286D84">
        <w:rPr>
          <w:rFonts w:ascii="Garamond" w:hAnsi="Garamond"/>
          <w:i/>
        </w:rPr>
        <w:t>Non-Binary Genders in Higher Education: Lived Experiences, Imagined Futures</w:t>
      </w:r>
      <w:r w:rsidRPr="00286D84">
        <w:rPr>
          <w:rFonts w:ascii="Garamond" w:hAnsi="Garamond"/>
        </w:rPr>
        <w:t xml:space="preserve"> project (</w:t>
      </w:r>
      <w:hyperlink r:id="rId8" w:history="1">
        <w:r w:rsidRPr="00286D84">
          <w:rPr>
            <w:rStyle w:val="Hyperlink"/>
            <w:rFonts w:ascii="Garamond" w:hAnsi="Garamond"/>
          </w:rPr>
          <w:t>https://nbinhe.com</w:t>
        </w:r>
      </w:hyperlink>
      <w:r w:rsidRPr="00286D84">
        <w:rPr>
          <w:rFonts w:ascii="Garamond" w:hAnsi="Garamond"/>
        </w:rPr>
        <w:t xml:space="preserve"> ) I am particularly invested in understanding </w:t>
      </w:r>
      <w:r w:rsidR="00945CA2" w:rsidRPr="00286D84">
        <w:rPr>
          <w:rFonts w:ascii="Garamond" w:hAnsi="Garamond"/>
        </w:rPr>
        <w:t xml:space="preserve">not just </w:t>
      </w:r>
      <w:r w:rsidRPr="00286D84">
        <w:rPr>
          <w:rFonts w:ascii="Garamond" w:hAnsi="Garamond"/>
        </w:rPr>
        <w:t>our current realities by paying attention to the lived experiences of non-binary people as we</w:t>
      </w:r>
      <w:r w:rsidR="00D16D3B" w:rsidRPr="00286D84">
        <w:rPr>
          <w:rFonts w:ascii="Garamond" w:hAnsi="Garamond"/>
        </w:rPr>
        <w:t xml:space="preserve"> navigate institutional life, </w:t>
      </w:r>
      <w:r w:rsidRPr="00286D84">
        <w:rPr>
          <w:rFonts w:ascii="Garamond" w:hAnsi="Garamond"/>
        </w:rPr>
        <w:t>learning</w:t>
      </w:r>
      <w:r w:rsidR="002F044F" w:rsidRPr="00286D84">
        <w:rPr>
          <w:rFonts w:ascii="Garamond" w:hAnsi="Garamond"/>
        </w:rPr>
        <w:t>, teaching</w:t>
      </w:r>
      <w:r w:rsidR="00D16D3B" w:rsidRPr="00286D84">
        <w:rPr>
          <w:rFonts w:ascii="Garamond" w:hAnsi="Garamond"/>
        </w:rPr>
        <w:t xml:space="preserve"> and research</w:t>
      </w:r>
      <w:r w:rsidR="00945CA2">
        <w:rPr>
          <w:rFonts w:ascii="Garamond" w:hAnsi="Garamond"/>
        </w:rPr>
        <w:t xml:space="preserve">, but also </w:t>
      </w:r>
      <w:r w:rsidRPr="00286D84">
        <w:rPr>
          <w:rFonts w:ascii="Garamond" w:hAnsi="Garamond"/>
        </w:rPr>
        <w:t xml:space="preserve">the futures that we can </w:t>
      </w:r>
      <w:r w:rsidR="004615C7" w:rsidRPr="00286D84">
        <w:rPr>
          <w:rFonts w:ascii="Garamond" w:hAnsi="Garamond"/>
        </w:rPr>
        <w:t xml:space="preserve">collectively </w:t>
      </w:r>
      <w:r w:rsidRPr="00286D84">
        <w:rPr>
          <w:rFonts w:ascii="Garamond" w:hAnsi="Garamond"/>
        </w:rPr>
        <w:t xml:space="preserve">imagine and enact.  The survey that </w:t>
      </w:r>
      <w:r w:rsidR="0094432D" w:rsidRPr="00286D84">
        <w:rPr>
          <w:rFonts w:ascii="Garamond" w:hAnsi="Garamond"/>
        </w:rPr>
        <w:t>the project</w:t>
      </w:r>
      <w:r w:rsidRPr="00286D84">
        <w:rPr>
          <w:rFonts w:ascii="Garamond" w:hAnsi="Garamond"/>
        </w:rPr>
        <w:t xml:space="preserve"> conducted in the</w:t>
      </w:r>
      <w:r w:rsidR="00991EB4">
        <w:rPr>
          <w:rFonts w:ascii="Garamond" w:hAnsi="Garamond"/>
        </w:rPr>
        <w:t xml:space="preserve"> early part of 2019 made clear</w:t>
      </w:r>
      <w:r w:rsidRPr="00286D84">
        <w:rPr>
          <w:rFonts w:ascii="Garamond" w:hAnsi="Garamond"/>
        </w:rPr>
        <w:t xml:space="preserve"> the tensions that </w:t>
      </w:r>
      <w:r w:rsidR="00981F9C" w:rsidRPr="00286D84">
        <w:rPr>
          <w:rFonts w:ascii="Garamond" w:hAnsi="Garamond"/>
        </w:rPr>
        <w:t xml:space="preserve">currently </w:t>
      </w:r>
      <w:r w:rsidRPr="00286D84">
        <w:rPr>
          <w:rFonts w:ascii="Garamond" w:hAnsi="Garamond"/>
        </w:rPr>
        <w:t xml:space="preserve">exist for non-binary </w:t>
      </w:r>
      <w:r w:rsidR="00B916D6" w:rsidRPr="00286D84">
        <w:rPr>
          <w:rFonts w:ascii="Garamond" w:hAnsi="Garamond"/>
        </w:rPr>
        <w:t>people</w:t>
      </w:r>
      <w:r w:rsidR="00981F9C" w:rsidRPr="00286D84">
        <w:rPr>
          <w:rFonts w:ascii="Garamond" w:hAnsi="Garamond"/>
        </w:rPr>
        <w:t xml:space="preserve"> in higher education</w:t>
      </w:r>
      <w:r w:rsidR="00400A63" w:rsidRPr="00286D84">
        <w:rPr>
          <w:rFonts w:ascii="Garamond" w:hAnsi="Garamond"/>
        </w:rPr>
        <w:t xml:space="preserve">.  </w:t>
      </w:r>
      <w:r w:rsidR="00B916D6" w:rsidRPr="00286D84">
        <w:rPr>
          <w:rFonts w:ascii="Garamond" w:hAnsi="Garamond"/>
        </w:rPr>
        <w:t xml:space="preserve">We surveyed higher education students at all levels as well as staff who teach across the UK. </w:t>
      </w:r>
      <w:r w:rsidR="00957147" w:rsidRPr="00286D84">
        <w:rPr>
          <w:rFonts w:ascii="Garamond" w:hAnsi="Garamond"/>
        </w:rPr>
        <w:t>78.4% (</w:t>
      </w:r>
      <w:r w:rsidR="0094432D" w:rsidRPr="00286D84">
        <w:rPr>
          <w:rFonts w:ascii="Garamond" w:hAnsi="Garamond"/>
        </w:rPr>
        <w:t xml:space="preserve">284 of </w:t>
      </w:r>
      <w:r w:rsidR="009649B1" w:rsidRPr="00286D84">
        <w:rPr>
          <w:rFonts w:ascii="Garamond" w:hAnsi="Garamond"/>
        </w:rPr>
        <w:t>362</w:t>
      </w:r>
      <w:r w:rsidR="00957147" w:rsidRPr="00286D84">
        <w:rPr>
          <w:rFonts w:ascii="Garamond" w:hAnsi="Garamond"/>
        </w:rPr>
        <w:t>)</w:t>
      </w:r>
      <w:r w:rsidR="0094432D" w:rsidRPr="00286D84">
        <w:rPr>
          <w:rFonts w:ascii="Garamond" w:hAnsi="Garamond"/>
        </w:rPr>
        <w:t xml:space="preserve"> survey respondents </w:t>
      </w:r>
      <w:r w:rsidR="002D666A" w:rsidRPr="00286D84">
        <w:rPr>
          <w:rFonts w:ascii="Garamond" w:hAnsi="Garamond"/>
        </w:rPr>
        <w:t>answered</w:t>
      </w:r>
      <w:r w:rsidR="0094432D" w:rsidRPr="00286D84">
        <w:rPr>
          <w:rFonts w:ascii="Garamond" w:hAnsi="Garamond"/>
        </w:rPr>
        <w:t xml:space="preserve"> on a five-point Likert scale </w:t>
      </w:r>
      <w:r w:rsidR="002D666A" w:rsidRPr="00286D84">
        <w:rPr>
          <w:rFonts w:ascii="Garamond" w:hAnsi="Garamond"/>
        </w:rPr>
        <w:t xml:space="preserve">that </w:t>
      </w:r>
      <w:r w:rsidR="0094432D" w:rsidRPr="00286D84">
        <w:rPr>
          <w:rFonts w:ascii="Garamond" w:hAnsi="Garamond"/>
        </w:rPr>
        <w:t xml:space="preserve">it was either very important </w:t>
      </w:r>
      <w:r w:rsidR="0073148E" w:rsidRPr="00286D84">
        <w:rPr>
          <w:rFonts w:ascii="Garamond" w:hAnsi="Garamond"/>
        </w:rPr>
        <w:t>(</w:t>
      </w:r>
      <w:r w:rsidR="00AC52DB" w:rsidRPr="00286D84">
        <w:rPr>
          <w:rFonts w:ascii="Garamond" w:hAnsi="Garamond"/>
        </w:rPr>
        <w:t>43.9%; N=</w:t>
      </w:r>
      <w:r w:rsidR="0073148E" w:rsidRPr="00286D84">
        <w:rPr>
          <w:rFonts w:ascii="Garamond" w:hAnsi="Garamond"/>
        </w:rPr>
        <w:t xml:space="preserve">159) </w:t>
      </w:r>
      <w:r w:rsidR="0094432D" w:rsidRPr="00286D84">
        <w:rPr>
          <w:rFonts w:ascii="Garamond" w:hAnsi="Garamond"/>
        </w:rPr>
        <w:t xml:space="preserve">or somewhat important </w:t>
      </w:r>
      <w:r w:rsidR="0073148E" w:rsidRPr="00286D84">
        <w:rPr>
          <w:rFonts w:ascii="Garamond" w:hAnsi="Garamond"/>
        </w:rPr>
        <w:t>(</w:t>
      </w:r>
      <w:r w:rsidR="00AC52DB" w:rsidRPr="00286D84">
        <w:rPr>
          <w:rFonts w:ascii="Garamond" w:hAnsi="Garamond"/>
        </w:rPr>
        <w:t>34.5</w:t>
      </w:r>
      <w:r w:rsidR="00457827" w:rsidRPr="00286D84">
        <w:rPr>
          <w:rFonts w:ascii="Garamond" w:hAnsi="Garamond"/>
        </w:rPr>
        <w:t>%</w:t>
      </w:r>
      <w:r w:rsidR="00AC52DB" w:rsidRPr="00286D84">
        <w:rPr>
          <w:rFonts w:ascii="Garamond" w:hAnsi="Garamond"/>
        </w:rPr>
        <w:t>; N=</w:t>
      </w:r>
      <w:r w:rsidR="0073148E" w:rsidRPr="00286D84">
        <w:rPr>
          <w:rFonts w:ascii="Garamond" w:hAnsi="Garamond"/>
        </w:rPr>
        <w:t xml:space="preserve">125) </w:t>
      </w:r>
      <w:r w:rsidR="0094432D" w:rsidRPr="00286D84">
        <w:rPr>
          <w:rFonts w:ascii="Garamond" w:hAnsi="Garamond"/>
        </w:rPr>
        <w:t xml:space="preserve">that </w:t>
      </w:r>
      <w:r w:rsidR="0073148E" w:rsidRPr="00286D84">
        <w:rPr>
          <w:rFonts w:ascii="Garamond" w:hAnsi="Garamond"/>
        </w:rPr>
        <w:t xml:space="preserve">people at the university </w:t>
      </w:r>
      <w:r w:rsidR="0073148E" w:rsidRPr="00286D84">
        <w:rPr>
          <w:rFonts w:ascii="Garamond" w:hAnsi="Garamond"/>
        </w:rPr>
        <w:lastRenderedPageBreak/>
        <w:t>know their ge</w:t>
      </w:r>
      <w:r w:rsidR="00400A63" w:rsidRPr="00286D84">
        <w:rPr>
          <w:rFonts w:ascii="Garamond" w:hAnsi="Garamond"/>
        </w:rPr>
        <w:t xml:space="preserve">nder and treat them accordingly. Nonetheless, 40.7% of students, 33.3% of PhD students and 34% of </w:t>
      </w:r>
      <w:r w:rsidR="00A34703" w:rsidRPr="00286D84">
        <w:rPr>
          <w:rFonts w:ascii="Garamond" w:hAnsi="Garamond"/>
        </w:rPr>
        <w:t xml:space="preserve">teaching </w:t>
      </w:r>
      <w:r w:rsidR="00400A63" w:rsidRPr="00286D84">
        <w:rPr>
          <w:rFonts w:ascii="Garamond" w:hAnsi="Garamond"/>
        </w:rPr>
        <w:t xml:space="preserve">staff reported that </w:t>
      </w:r>
      <w:r w:rsidR="000B0449" w:rsidRPr="00286D84">
        <w:rPr>
          <w:rFonts w:ascii="Garamond" w:hAnsi="Garamond"/>
        </w:rPr>
        <w:t xml:space="preserve">they had not been able or would not have been able to do basic life administration, such as </w:t>
      </w:r>
      <w:r w:rsidR="002B513C" w:rsidRPr="00286D84">
        <w:rPr>
          <w:rFonts w:ascii="Garamond" w:hAnsi="Garamond"/>
        </w:rPr>
        <w:t xml:space="preserve">indicate </w:t>
      </w:r>
      <w:r w:rsidR="000B0449" w:rsidRPr="00286D84">
        <w:rPr>
          <w:rFonts w:ascii="Garamond" w:hAnsi="Garamond"/>
        </w:rPr>
        <w:t xml:space="preserve">their </w:t>
      </w:r>
      <w:r w:rsidR="002B513C" w:rsidRPr="00286D84">
        <w:rPr>
          <w:rFonts w:ascii="Garamond" w:hAnsi="Garamond"/>
        </w:rPr>
        <w:t xml:space="preserve">preferred </w:t>
      </w:r>
      <w:r w:rsidR="000B0449" w:rsidRPr="00286D84">
        <w:rPr>
          <w:rFonts w:ascii="Garamond" w:hAnsi="Garamond"/>
        </w:rPr>
        <w:t>name or pronoun</w:t>
      </w:r>
      <w:r w:rsidR="002B513C" w:rsidRPr="00286D84">
        <w:rPr>
          <w:rFonts w:ascii="Garamond" w:hAnsi="Garamond"/>
        </w:rPr>
        <w:t>, or have an appropriate gender marker on their record</w:t>
      </w:r>
      <w:r w:rsidR="000B0449" w:rsidRPr="00286D84">
        <w:rPr>
          <w:rFonts w:ascii="Garamond" w:hAnsi="Garamond"/>
        </w:rPr>
        <w:t xml:space="preserve">, at their university.  Furthermore, </w:t>
      </w:r>
      <w:r w:rsidR="00087EA8" w:rsidRPr="00286D84">
        <w:rPr>
          <w:rFonts w:ascii="Garamond" w:hAnsi="Garamond"/>
        </w:rPr>
        <w:t>41</w:t>
      </w:r>
      <w:r w:rsidR="001F1B0B" w:rsidRPr="00286D84">
        <w:rPr>
          <w:rFonts w:ascii="Garamond" w:hAnsi="Garamond"/>
        </w:rPr>
        <w:t xml:space="preserve">% of students reported that they are not able to be open with their teachers about their gender. </w:t>
      </w:r>
      <w:r w:rsidR="006B5B24" w:rsidRPr="00286D84">
        <w:rPr>
          <w:rFonts w:ascii="Garamond" w:hAnsi="Garamond"/>
        </w:rPr>
        <w:t xml:space="preserve">So, while </w:t>
      </w:r>
      <w:r w:rsidR="00C05297" w:rsidRPr="00286D84">
        <w:rPr>
          <w:rFonts w:ascii="Garamond" w:hAnsi="Garamond"/>
        </w:rPr>
        <w:t xml:space="preserve">significant numbers of our </w:t>
      </w:r>
      <w:r w:rsidR="006B5B24" w:rsidRPr="00286D84">
        <w:rPr>
          <w:rFonts w:ascii="Garamond" w:hAnsi="Garamond"/>
        </w:rPr>
        <w:t xml:space="preserve">survey respondents </w:t>
      </w:r>
      <w:r w:rsidR="00C05297" w:rsidRPr="00286D84">
        <w:rPr>
          <w:rFonts w:ascii="Garamond" w:hAnsi="Garamond"/>
        </w:rPr>
        <w:t xml:space="preserve">clearly would like universities to know their gender both in terms of infrastructure and teaching environments, something is happening that does not make this possible. </w:t>
      </w:r>
      <w:r w:rsidR="00F3279E" w:rsidRPr="00286D84">
        <w:rPr>
          <w:rFonts w:ascii="Garamond" w:hAnsi="Garamond"/>
        </w:rPr>
        <w:t xml:space="preserve">One of the most troubling findings of our research is that it confirms that many non-binary students and staff expend a great deal of mental, physical and emotional energy </w:t>
      </w:r>
      <w:r w:rsidR="00A34703" w:rsidRPr="00286D84">
        <w:rPr>
          <w:rFonts w:ascii="Garamond" w:hAnsi="Garamond"/>
        </w:rPr>
        <w:t>attempting to</w:t>
      </w:r>
      <w:r w:rsidR="00F3279E" w:rsidRPr="00286D84">
        <w:rPr>
          <w:rFonts w:ascii="Garamond" w:hAnsi="Garamond"/>
        </w:rPr>
        <w:t xml:space="preserve"> achieve</w:t>
      </w:r>
      <w:r w:rsidR="00881FD5" w:rsidRPr="00286D84">
        <w:rPr>
          <w:rFonts w:ascii="Garamond" w:hAnsi="Garamond"/>
        </w:rPr>
        <w:t xml:space="preserve"> a base level of administrative consistency and recognition</w:t>
      </w:r>
      <w:r w:rsidR="00A34703" w:rsidRPr="00286D84">
        <w:rPr>
          <w:rFonts w:ascii="Garamond" w:hAnsi="Garamond"/>
        </w:rPr>
        <w:t xml:space="preserve">. </w:t>
      </w:r>
      <w:r w:rsidR="009578AD" w:rsidRPr="00286D84">
        <w:rPr>
          <w:rFonts w:ascii="Garamond" w:hAnsi="Garamond"/>
        </w:rPr>
        <w:t xml:space="preserve">So, one of the </w:t>
      </w:r>
      <w:r w:rsidR="00881FD5" w:rsidRPr="00286D84">
        <w:rPr>
          <w:rFonts w:ascii="Garamond" w:hAnsi="Garamond"/>
        </w:rPr>
        <w:t xml:space="preserve">challenges </w:t>
      </w:r>
      <w:r w:rsidR="00A34703" w:rsidRPr="00286D84">
        <w:rPr>
          <w:rFonts w:ascii="Garamond" w:hAnsi="Garamond"/>
        </w:rPr>
        <w:t xml:space="preserve">that higher education faces </w:t>
      </w:r>
      <w:r w:rsidR="009578AD" w:rsidRPr="00286D84">
        <w:rPr>
          <w:rFonts w:ascii="Garamond" w:hAnsi="Garamond"/>
        </w:rPr>
        <w:t xml:space="preserve">is to ensure that </w:t>
      </w:r>
      <w:r w:rsidR="00A34703" w:rsidRPr="00286D84">
        <w:rPr>
          <w:rFonts w:ascii="Garamond" w:hAnsi="Garamond"/>
        </w:rPr>
        <w:t xml:space="preserve">the </w:t>
      </w:r>
      <w:r w:rsidR="009578AD" w:rsidRPr="00286D84">
        <w:rPr>
          <w:rFonts w:ascii="Garamond" w:hAnsi="Garamond"/>
        </w:rPr>
        <w:t>basic infrastructure that non-binary people need is in place so that they can focus on learning, teachi</w:t>
      </w:r>
      <w:r w:rsidR="000B541E" w:rsidRPr="00286D84">
        <w:rPr>
          <w:rFonts w:ascii="Garamond" w:hAnsi="Garamond"/>
        </w:rPr>
        <w:t>ng and research</w:t>
      </w:r>
      <w:r w:rsidR="00A34703" w:rsidRPr="00286D84">
        <w:rPr>
          <w:rFonts w:ascii="Garamond" w:hAnsi="Garamond"/>
        </w:rPr>
        <w:t xml:space="preserve">, which are ostensibly </w:t>
      </w:r>
      <w:r w:rsidR="00A11A46" w:rsidRPr="00286D84">
        <w:rPr>
          <w:rFonts w:ascii="Garamond" w:hAnsi="Garamond"/>
        </w:rPr>
        <w:t xml:space="preserve">the reasons </w:t>
      </w:r>
      <w:r w:rsidR="00A34703" w:rsidRPr="00286D84">
        <w:rPr>
          <w:rFonts w:ascii="Garamond" w:hAnsi="Garamond"/>
        </w:rPr>
        <w:t xml:space="preserve">why many students and staff are at university. </w:t>
      </w:r>
      <w:r w:rsidR="009578AD" w:rsidRPr="00286D84">
        <w:rPr>
          <w:rFonts w:ascii="Garamond" w:hAnsi="Garamond"/>
        </w:rPr>
        <w:t xml:space="preserve"> </w:t>
      </w:r>
      <w:r w:rsidR="00F319F4" w:rsidRPr="00286D84">
        <w:rPr>
          <w:rFonts w:ascii="Garamond" w:hAnsi="Garamond"/>
        </w:rPr>
        <w:t xml:space="preserve">Beyond this, we also need to create opportunities to dream different futures, futures in which </w:t>
      </w:r>
      <w:r w:rsidR="00B44BB9" w:rsidRPr="00286D84">
        <w:rPr>
          <w:rFonts w:ascii="Garamond" w:hAnsi="Garamond"/>
        </w:rPr>
        <w:t xml:space="preserve">non-binary genders are not just incorporated into university life but in which they are actively </w:t>
      </w:r>
      <w:r w:rsidR="00495F2D" w:rsidRPr="00286D84">
        <w:rPr>
          <w:rFonts w:ascii="Garamond" w:hAnsi="Garamond"/>
        </w:rPr>
        <w:t xml:space="preserve">challenging, </w:t>
      </w:r>
      <w:r w:rsidR="00B44BB9" w:rsidRPr="00286D84">
        <w:rPr>
          <w:rFonts w:ascii="Garamond" w:hAnsi="Garamond"/>
        </w:rPr>
        <w:t xml:space="preserve">shaping </w:t>
      </w:r>
      <w:r w:rsidR="00495F2D" w:rsidRPr="00286D84">
        <w:rPr>
          <w:rFonts w:ascii="Garamond" w:hAnsi="Garamond"/>
        </w:rPr>
        <w:t>and transforming it.</w:t>
      </w:r>
    </w:p>
    <w:p w14:paraId="3EF9B24C" w14:textId="36AE9074" w:rsidR="003065E8" w:rsidRPr="00286D84" w:rsidRDefault="0058452B" w:rsidP="001A6085">
      <w:pPr>
        <w:spacing w:after="120" w:line="480" w:lineRule="auto"/>
        <w:ind w:firstLine="360"/>
        <w:rPr>
          <w:rFonts w:ascii="Garamond" w:hAnsi="Garamond"/>
        </w:rPr>
      </w:pPr>
      <w:r w:rsidRPr="00286D84">
        <w:rPr>
          <w:rFonts w:ascii="Garamond" w:hAnsi="Garamond"/>
        </w:rPr>
        <w:t>While our study focusses</w:t>
      </w:r>
      <w:r w:rsidR="00B916D6" w:rsidRPr="00286D84">
        <w:rPr>
          <w:rFonts w:ascii="Garamond" w:hAnsi="Garamond"/>
        </w:rPr>
        <w:t xml:space="preserve"> specifically on non-binary people</w:t>
      </w:r>
      <w:r w:rsidR="00742BEC" w:rsidRPr="00286D84">
        <w:rPr>
          <w:rFonts w:ascii="Garamond" w:hAnsi="Garamond"/>
        </w:rPr>
        <w:t xml:space="preserve">, others such as Lawrence and </w:t>
      </w:r>
      <w:proofErr w:type="spellStart"/>
      <w:r w:rsidR="00742BEC" w:rsidRPr="00286D84">
        <w:rPr>
          <w:rFonts w:ascii="Garamond" w:hAnsi="Garamond"/>
        </w:rPr>
        <w:t>Mckendry</w:t>
      </w:r>
      <w:proofErr w:type="spellEnd"/>
      <w:r w:rsidR="00742BEC" w:rsidRPr="00286D84">
        <w:rPr>
          <w:rFonts w:ascii="Garamond" w:hAnsi="Garamond"/>
        </w:rPr>
        <w:t xml:space="preserve"> (2019) have researched the experiences of trans and </w:t>
      </w:r>
      <w:r w:rsidR="0048249F" w:rsidRPr="00286D84">
        <w:rPr>
          <w:rFonts w:ascii="Garamond" w:hAnsi="Garamond"/>
        </w:rPr>
        <w:t>non-binary</w:t>
      </w:r>
      <w:r w:rsidR="00742BEC" w:rsidRPr="00286D84">
        <w:rPr>
          <w:rFonts w:ascii="Garamond" w:hAnsi="Garamond"/>
        </w:rPr>
        <w:t xml:space="preserve"> people in Scottish higher education and have also made calls for change as a result. </w:t>
      </w:r>
      <w:r w:rsidRPr="00286D84">
        <w:rPr>
          <w:rFonts w:ascii="Garamond" w:hAnsi="Garamond"/>
        </w:rPr>
        <w:t xml:space="preserve">Their </w:t>
      </w:r>
      <w:r w:rsidR="005E6DC6" w:rsidRPr="00286D84">
        <w:rPr>
          <w:rFonts w:ascii="Garamond" w:hAnsi="Garamond"/>
        </w:rPr>
        <w:t xml:space="preserve">excellent guide offers practical advice to institutions on how to make </w:t>
      </w:r>
      <w:r w:rsidR="00980814" w:rsidRPr="00286D84">
        <w:rPr>
          <w:rFonts w:ascii="Garamond" w:hAnsi="Garamond"/>
        </w:rPr>
        <w:t xml:space="preserve">themselves accessible and welcoming to trans and </w:t>
      </w:r>
      <w:r w:rsidR="0048249F" w:rsidRPr="00286D84">
        <w:rPr>
          <w:rFonts w:ascii="Garamond" w:hAnsi="Garamond"/>
        </w:rPr>
        <w:t>non-binary</w:t>
      </w:r>
      <w:r w:rsidR="00980814" w:rsidRPr="00286D84">
        <w:rPr>
          <w:rFonts w:ascii="Garamond" w:hAnsi="Garamond"/>
        </w:rPr>
        <w:t xml:space="preserve"> students and staff.</w:t>
      </w:r>
      <w:r w:rsidR="00D9564A" w:rsidRPr="00286D84">
        <w:rPr>
          <w:rFonts w:ascii="Garamond" w:hAnsi="Garamond"/>
        </w:rPr>
        <w:t xml:space="preserve"> Other organisations such as Stonewall and the National Union of Students also regularly issue guidance and support documents on inclusion in education.  So, the information, support and guidance is available to higher education institutions if they wish to engage with it.  Much of what is available</w:t>
      </w:r>
      <w:r w:rsidR="00A11A46" w:rsidRPr="00286D84">
        <w:rPr>
          <w:rFonts w:ascii="Garamond" w:hAnsi="Garamond"/>
        </w:rPr>
        <w:t xml:space="preserve"> </w:t>
      </w:r>
      <w:proofErr w:type="spellStart"/>
      <w:r w:rsidR="00A11A46" w:rsidRPr="00286D84">
        <w:rPr>
          <w:rFonts w:ascii="Garamond" w:hAnsi="Garamond"/>
        </w:rPr>
        <w:t>though</w:t>
      </w:r>
      <w:proofErr w:type="spellEnd"/>
      <w:r w:rsidR="00D9564A" w:rsidRPr="00286D84">
        <w:rPr>
          <w:rFonts w:ascii="Garamond" w:hAnsi="Garamond"/>
        </w:rPr>
        <w:t xml:space="preserve"> focusses on the more social and </w:t>
      </w:r>
      <w:r w:rsidR="00D9564A" w:rsidRPr="00286D84">
        <w:rPr>
          <w:rFonts w:ascii="Garamond" w:hAnsi="Garamond"/>
        </w:rPr>
        <w:lastRenderedPageBreak/>
        <w:t>administrative aspects of student journeys through university. Beyond this I believe that we need to be asking a different set of questions:</w:t>
      </w:r>
    </w:p>
    <w:p w14:paraId="547E52CA" w14:textId="41DD7BBC" w:rsidR="000762D3" w:rsidRPr="00286D84" w:rsidRDefault="000762D3" w:rsidP="00286D84">
      <w:pPr>
        <w:pStyle w:val="ListParagraph"/>
        <w:numPr>
          <w:ilvl w:val="0"/>
          <w:numId w:val="4"/>
        </w:numPr>
        <w:spacing w:after="120" w:line="480" w:lineRule="auto"/>
        <w:rPr>
          <w:rFonts w:ascii="Garamond" w:hAnsi="Garamond"/>
        </w:rPr>
      </w:pPr>
      <w:r w:rsidRPr="00286D84">
        <w:rPr>
          <w:rFonts w:ascii="Garamond" w:hAnsi="Garamond"/>
        </w:rPr>
        <w:t xml:space="preserve">What </w:t>
      </w:r>
      <w:r w:rsidR="008F7E49" w:rsidRPr="00286D84">
        <w:rPr>
          <w:rFonts w:ascii="Garamond" w:hAnsi="Garamond"/>
        </w:rPr>
        <w:t>do these challenges mean for establishing an</w:t>
      </w:r>
      <w:r w:rsidRPr="00286D84">
        <w:rPr>
          <w:rFonts w:ascii="Garamond" w:hAnsi="Garamond"/>
        </w:rPr>
        <w:t xml:space="preserve"> educational ethos, especially in higher education?</w:t>
      </w:r>
      <w:r w:rsidR="0064770C" w:rsidRPr="00286D84">
        <w:rPr>
          <w:rFonts w:ascii="Garamond" w:hAnsi="Garamond"/>
        </w:rPr>
        <w:t xml:space="preserve">  How can </w:t>
      </w:r>
      <w:r w:rsidR="008D6745" w:rsidRPr="00286D84">
        <w:rPr>
          <w:rFonts w:ascii="Garamond" w:hAnsi="Garamond"/>
        </w:rPr>
        <w:t xml:space="preserve">a diversity of </w:t>
      </w:r>
      <w:r w:rsidR="00A11A46" w:rsidRPr="00286D84">
        <w:rPr>
          <w:rFonts w:ascii="Garamond" w:hAnsi="Garamond"/>
        </w:rPr>
        <w:t xml:space="preserve">gender </w:t>
      </w:r>
      <w:proofErr w:type="spellStart"/>
      <w:r w:rsidR="0064770C" w:rsidRPr="00286D84">
        <w:rPr>
          <w:rFonts w:ascii="Garamond" w:hAnsi="Garamond"/>
        </w:rPr>
        <w:t>knowledges</w:t>
      </w:r>
      <w:proofErr w:type="spellEnd"/>
      <w:r w:rsidR="0064770C" w:rsidRPr="00286D84">
        <w:rPr>
          <w:rFonts w:ascii="Garamond" w:hAnsi="Garamond"/>
        </w:rPr>
        <w:t xml:space="preserve"> </w:t>
      </w:r>
      <w:r w:rsidR="00A11A46" w:rsidRPr="00286D84">
        <w:rPr>
          <w:rFonts w:ascii="Garamond" w:hAnsi="Garamond"/>
        </w:rPr>
        <w:t xml:space="preserve">and experiences </w:t>
      </w:r>
      <w:r w:rsidR="0064770C" w:rsidRPr="00286D84">
        <w:rPr>
          <w:rFonts w:ascii="Garamond" w:hAnsi="Garamond"/>
        </w:rPr>
        <w:t xml:space="preserve">transform universities, especially </w:t>
      </w:r>
      <w:r w:rsidR="00A11A46" w:rsidRPr="00286D84">
        <w:rPr>
          <w:rFonts w:ascii="Garamond" w:hAnsi="Garamond"/>
        </w:rPr>
        <w:t xml:space="preserve">our approaches to learning and teaching, as well as disciplinary </w:t>
      </w:r>
      <w:proofErr w:type="spellStart"/>
      <w:r w:rsidR="00A11A46" w:rsidRPr="00286D84">
        <w:rPr>
          <w:rFonts w:ascii="Garamond" w:hAnsi="Garamond"/>
        </w:rPr>
        <w:t>knowledges</w:t>
      </w:r>
      <w:proofErr w:type="spellEnd"/>
      <w:r w:rsidR="0064770C" w:rsidRPr="00286D84">
        <w:rPr>
          <w:rFonts w:ascii="Garamond" w:hAnsi="Garamond"/>
        </w:rPr>
        <w:t>?</w:t>
      </w:r>
    </w:p>
    <w:p w14:paraId="12EE3095" w14:textId="579CB72C" w:rsidR="00D9564A" w:rsidRPr="00286D84" w:rsidRDefault="00D9564A" w:rsidP="00286D84">
      <w:pPr>
        <w:pStyle w:val="ListParagraph"/>
        <w:numPr>
          <w:ilvl w:val="0"/>
          <w:numId w:val="4"/>
        </w:numPr>
        <w:spacing w:after="120" w:line="480" w:lineRule="auto"/>
        <w:rPr>
          <w:rFonts w:ascii="Garamond" w:hAnsi="Garamond"/>
        </w:rPr>
      </w:pPr>
      <w:r w:rsidRPr="00286D84">
        <w:rPr>
          <w:rFonts w:ascii="Garamond" w:hAnsi="Garamond"/>
        </w:rPr>
        <w:t>How do we ensure that</w:t>
      </w:r>
      <w:r w:rsidR="0064770C" w:rsidRPr="00286D84">
        <w:rPr>
          <w:rFonts w:ascii="Garamond" w:hAnsi="Garamond"/>
        </w:rPr>
        <w:t xml:space="preserve"> </w:t>
      </w:r>
      <w:r w:rsidR="002A0442" w:rsidRPr="00286D84">
        <w:rPr>
          <w:rFonts w:ascii="Garamond" w:hAnsi="Garamond"/>
        </w:rPr>
        <w:t>trans and non-binary</w:t>
      </w:r>
      <w:r w:rsidR="0064770C" w:rsidRPr="00286D84">
        <w:rPr>
          <w:rFonts w:ascii="Garamond" w:hAnsi="Garamond"/>
        </w:rPr>
        <w:t xml:space="preserve"> students are full members of learning communities </w:t>
      </w:r>
      <w:r w:rsidRPr="00286D84">
        <w:rPr>
          <w:rFonts w:ascii="Garamond" w:hAnsi="Garamond"/>
        </w:rPr>
        <w:t>across the</w:t>
      </w:r>
      <w:r w:rsidR="0064770C" w:rsidRPr="00286D84">
        <w:rPr>
          <w:rFonts w:ascii="Garamond" w:hAnsi="Garamond"/>
        </w:rPr>
        <w:t>ir educational journeys</w:t>
      </w:r>
      <w:r w:rsidRPr="00286D84">
        <w:rPr>
          <w:rFonts w:ascii="Garamond" w:hAnsi="Garamond"/>
        </w:rPr>
        <w:t xml:space="preserve"> and not just </w:t>
      </w:r>
      <w:r w:rsidR="00231EFC" w:rsidRPr="00286D84">
        <w:rPr>
          <w:rFonts w:ascii="Garamond" w:hAnsi="Garamond"/>
        </w:rPr>
        <w:t>in primary and secondary</w:t>
      </w:r>
      <w:r w:rsidRPr="00286D84">
        <w:rPr>
          <w:rFonts w:ascii="Garamond" w:hAnsi="Garamond"/>
        </w:rPr>
        <w:t xml:space="preserve"> education?</w:t>
      </w:r>
    </w:p>
    <w:p w14:paraId="500F68F0" w14:textId="2AD20E76" w:rsidR="000762D3" w:rsidRPr="00286D84" w:rsidRDefault="000762D3" w:rsidP="00286D84">
      <w:pPr>
        <w:pStyle w:val="ListParagraph"/>
        <w:numPr>
          <w:ilvl w:val="0"/>
          <w:numId w:val="4"/>
        </w:numPr>
        <w:spacing w:after="120" w:line="480" w:lineRule="auto"/>
        <w:rPr>
          <w:rFonts w:ascii="Garamond" w:hAnsi="Garamond"/>
        </w:rPr>
      </w:pPr>
      <w:r w:rsidRPr="00286D84">
        <w:rPr>
          <w:rFonts w:ascii="Garamond" w:hAnsi="Garamond"/>
        </w:rPr>
        <w:t>How do we move beyond the freedom of speech vs. non-discrimination binary</w:t>
      </w:r>
      <w:r w:rsidR="0064770C" w:rsidRPr="00286D84">
        <w:rPr>
          <w:rFonts w:ascii="Garamond" w:hAnsi="Garamond"/>
        </w:rPr>
        <w:t xml:space="preserve"> that paralyses so much discussion at the moment</w:t>
      </w:r>
      <w:r w:rsidRPr="00286D84">
        <w:rPr>
          <w:rFonts w:ascii="Garamond" w:hAnsi="Garamond"/>
        </w:rPr>
        <w:t xml:space="preserve">? In other words: </w:t>
      </w:r>
      <w:r w:rsidR="00E676C4" w:rsidRPr="00286D84">
        <w:rPr>
          <w:rFonts w:ascii="Garamond" w:hAnsi="Garamond"/>
        </w:rPr>
        <w:t>How do we create an environment in which we can challenge persistent discrimination and oppression on the basis of gender</w:t>
      </w:r>
      <w:r w:rsidR="004127C2" w:rsidRPr="00286D84">
        <w:rPr>
          <w:rFonts w:ascii="Garamond" w:hAnsi="Garamond"/>
        </w:rPr>
        <w:t xml:space="preserve"> while at the same time creating</w:t>
      </w:r>
      <w:r w:rsidRPr="00286D84">
        <w:rPr>
          <w:rFonts w:ascii="Garamond" w:hAnsi="Garamond"/>
        </w:rPr>
        <w:t xml:space="preserve"> spaces where students and staff </w:t>
      </w:r>
      <w:r w:rsidR="0064770C" w:rsidRPr="00286D84">
        <w:rPr>
          <w:rFonts w:ascii="Garamond" w:hAnsi="Garamond"/>
        </w:rPr>
        <w:t>are not subjected to</w:t>
      </w:r>
      <w:r w:rsidRPr="00286D84">
        <w:rPr>
          <w:rFonts w:ascii="Garamond" w:hAnsi="Garamond"/>
        </w:rPr>
        <w:t xml:space="preserve"> </w:t>
      </w:r>
      <w:proofErr w:type="spellStart"/>
      <w:r w:rsidRPr="00286D84">
        <w:rPr>
          <w:rFonts w:ascii="Garamond" w:hAnsi="Garamond"/>
        </w:rPr>
        <w:t>micro</w:t>
      </w:r>
      <w:r w:rsidR="002873F0">
        <w:rPr>
          <w:rFonts w:ascii="Garamond" w:hAnsi="Garamond"/>
        </w:rPr>
        <w:t>aggressions</w:t>
      </w:r>
      <w:proofErr w:type="spellEnd"/>
      <w:r w:rsidRPr="00286D84">
        <w:rPr>
          <w:rFonts w:ascii="Garamond" w:hAnsi="Garamond"/>
        </w:rPr>
        <w:t xml:space="preserve"> and </w:t>
      </w:r>
      <w:r w:rsidR="002873F0">
        <w:rPr>
          <w:rFonts w:ascii="Garamond" w:hAnsi="Garamond"/>
        </w:rPr>
        <w:t>structural oppressions</w:t>
      </w:r>
      <w:r w:rsidRPr="00286D84">
        <w:rPr>
          <w:rFonts w:ascii="Garamond" w:hAnsi="Garamond"/>
        </w:rPr>
        <w:t xml:space="preserve"> </w:t>
      </w:r>
      <w:r w:rsidR="0064770C" w:rsidRPr="00286D84">
        <w:rPr>
          <w:rFonts w:ascii="Garamond" w:hAnsi="Garamond"/>
        </w:rPr>
        <w:t xml:space="preserve">around their gender </w:t>
      </w:r>
      <w:r w:rsidR="002873F0">
        <w:rPr>
          <w:rFonts w:ascii="Garamond" w:hAnsi="Garamond"/>
        </w:rPr>
        <w:t xml:space="preserve">(and additional) </w:t>
      </w:r>
      <w:r w:rsidR="0064770C" w:rsidRPr="00286D84">
        <w:rPr>
          <w:rFonts w:ascii="Garamond" w:hAnsi="Garamond"/>
        </w:rPr>
        <w:t xml:space="preserve">identities </w:t>
      </w:r>
      <w:r w:rsidRPr="00286D84">
        <w:rPr>
          <w:rFonts w:ascii="Garamond" w:hAnsi="Garamond"/>
        </w:rPr>
        <w:t xml:space="preserve">and can </w:t>
      </w:r>
      <w:r w:rsidR="0064770C" w:rsidRPr="00286D84">
        <w:rPr>
          <w:rFonts w:ascii="Garamond" w:hAnsi="Garamond"/>
        </w:rPr>
        <w:t>instead focus on learning, teaching and research</w:t>
      </w:r>
      <w:r w:rsidRPr="00286D84">
        <w:rPr>
          <w:rFonts w:ascii="Garamond" w:hAnsi="Garamond"/>
        </w:rPr>
        <w:t>?</w:t>
      </w:r>
    </w:p>
    <w:p w14:paraId="2DCBFB49" w14:textId="43A95F94" w:rsidR="0046468F" w:rsidRPr="00286D84" w:rsidRDefault="000762D3" w:rsidP="00286D84">
      <w:pPr>
        <w:pStyle w:val="ListParagraph"/>
        <w:numPr>
          <w:ilvl w:val="0"/>
          <w:numId w:val="4"/>
        </w:numPr>
        <w:spacing w:after="120" w:line="480" w:lineRule="auto"/>
        <w:rPr>
          <w:rFonts w:ascii="Garamond" w:hAnsi="Garamond"/>
        </w:rPr>
      </w:pPr>
      <w:r w:rsidRPr="00286D84">
        <w:rPr>
          <w:rFonts w:ascii="Garamond" w:hAnsi="Garamond"/>
        </w:rPr>
        <w:t xml:space="preserve">How do we undertake </w:t>
      </w:r>
      <w:r w:rsidR="00A11A46" w:rsidRPr="00286D84">
        <w:rPr>
          <w:rFonts w:ascii="Garamond" w:hAnsi="Garamond"/>
        </w:rPr>
        <w:t>all of this work</w:t>
      </w:r>
      <w:r w:rsidRPr="00286D84">
        <w:rPr>
          <w:rFonts w:ascii="Garamond" w:hAnsi="Garamond"/>
        </w:rPr>
        <w:t xml:space="preserve"> from intersectional</w:t>
      </w:r>
      <w:r w:rsidR="0063646C">
        <w:rPr>
          <w:rFonts w:ascii="Garamond" w:hAnsi="Garamond"/>
        </w:rPr>
        <w:t>, decolonising</w:t>
      </w:r>
      <w:r w:rsidRPr="00286D84">
        <w:rPr>
          <w:rFonts w:ascii="Garamond" w:hAnsi="Garamond"/>
        </w:rPr>
        <w:t xml:space="preserve"> and </w:t>
      </w:r>
      <w:proofErr w:type="spellStart"/>
      <w:r w:rsidRPr="00286D84">
        <w:rPr>
          <w:rFonts w:ascii="Garamond" w:hAnsi="Garamond"/>
        </w:rPr>
        <w:t>liberatory</w:t>
      </w:r>
      <w:proofErr w:type="spellEnd"/>
      <w:r w:rsidRPr="00286D84">
        <w:rPr>
          <w:rFonts w:ascii="Garamond" w:hAnsi="Garamond"/>
        </w:rPr>
        <w:t xml:space="preserve"> positions?</w:t>
      </w:r>
    </w:p>
    <w:p w14:paraId="5019B1C0" w14:textId="77777777" w:rsidR="00C73E9A" w:rsidRDefault="004060CB" w:rsidP="00286D84">
      <w:pPr>
        <w:spacing w:after="120" w:line="480" w:lineRule="auto"/>
        <w:rPr>
          <w:rFonts w:ascii="Garamond" w:hAnsi="Garamond"/>
        </w:rPr>
      </w:pPr>
      <w:r w:rsidRPr="00286D84">
        <w:rPr>
          <w:rFonts w:ascii="Garamond" w:hAnsi="Garamond"/>
        </w:rPr>
        <w:t xml:space="preserve">To return to </w:t>
      </w:r>
      <w:r w:rsidR="006B0BB5">
        <w:rPr>
          <w:rFonts w:ascii="Garamond" w:hAnsi="Garamond"/>
        </w:rPr>
        <w:t>Renz</w:t>
      </w:r>
      <w:r w:rsidRPr="00286D84">
        <w:rPr>
          <w:rFonts w:ascii="Garamond" w:hAnsi="Garamond"/>
        </w:rPr>
        <w:t>’s article and the questions it poses, we need to consider the spaces of learning and what they offer in terms of being (or not being) gendered.  Specifically, we need to consider what feminist and decolonising teaching looks and feels l</w:t>
      </w:r>
      <w:r w:rsidR="00695E8E" w:rsidRPr="00286D84">
        <w:rPr>
          <w:rFonts w:ascii="Garamond" w:hAnsi="Garamond"/>
        </w:rPr>
        <w:t xml:space="preserve">ike, </w:t>
      </w:r>
      <w:r w:rsidRPr="00286D84">
        <w:rPr>
          <w:rFonts w:ascii="Garamond" w:hAnsi="Garamond"/>
        </w:rPr>
        <w:t xml:space="preserve">what </w:t>
      </w:r>
      <w:r w:rsidR="00695E8E" w:rsidRPr="00286D84">
        <w:rPr>
          <w:rFonts w:ascii="Garamond" w:hAnsi="Garamond"/>
        </w:rPr>
        <w:t>the relationships that emerge between students and teachers there might hold for transforming learning and</w:t>
      </w:r>
      <w:r w:rsidR="00D22BEA" w:rsidRPr="00286D84">
        <w:rPr>
          <w:rFonts w:ascii="Garamond" w:hAnsi="Garamond"/>
        </w:rPr>
        <w:t>,</w:t>
      </w:r>
      <w:r w:rsidR="00695E8E" w:rsidRPr="00286D84">
        <w:rPr>
          <w:rFonts w:ascii="Garamond" w:hAnsi="Garamond"/>
        </w:rPr>
        <w:t xml:space="preserve"> especially</w:t>
      </w:r>
      <w:r w:rsidR="00D22BEA" w:rsidRPr="00286D84">
        <w:rPr>
          <w:rFonts w:ascii="Garamond" w:hAnsi="Garamond"/>
        </w:rPr>
        <w:t>,</w:t>
      </w:r>
      <w:r w:rsidR="00695E8E" w:rsidRPr="00286D84">
        <w:rPr>
          <w:rFonts w:ascii="Garamond" w:hAnsi="Garamond"/>
        </w:rPr>
        <w:t xml:space="preserve"> how trans and non-binary genders can transform </w:t>
      </w:r>
      <w:r w:rsidR="00D22BEA" w:rsidRPr="00286D84">
        <w:rPr>
          <w:rFonts w:ascii="Garamond" w:hAnsi="Garamond"/>
        </w:rPr>
        <w:t>educational spaces</w:t>
      </w:r>
      <w:r w:rsidR="00695E8E" w:rsidRPr="00286D84">
        <w:rPr>
          <w:rFonts w:ascii="Garamond" w:hAnsi="Garamond"/>
        </w:rPr>
        <w:t xml:space="preserve"> </w:t>
      </w:r>
      <w:r w:rsidR="00D22BEA" w:rsidRPr="00286D84">
        <w:rPr>
          <w:rFonts w:ascii="Garamond" w:hAnsi="Garamond"/>
        </w:rPr>
        <w:t>themselves</w:t>
      </w:r>
      <w:r w:rsidR="00695E8E" w:rsidRPr="00286D84">
        <w:rPr>
          <w:rFonts w:ascii="Garamond" w:hAnsi="Garamond"/>
        </w:rPr>
        <w:t>. For classrooms hold disruptive and transformative potential</w:t>
      </w:r>
      <w:r w:rsidR="00D22BEA" w:rsidRPr="00286D84">
        <w:rPr>
          <w:rFonts w:ascii="Garamond" w:hAnsi="Garamond"/>
        </w:rPr>
        <w:t>:</w:t>
      </w:r>
      <w:r w:rsidR="00695E8E" w:rsidRPr="00286D84">
        <w:rPr>
          <w:rFonts w:ascii="Garamond" w:hAnsi="Garamond"/>
        </w:rPr>
        <w:t xml:space="preserve"> </w:t>
      </w:r>
    </w:p>
    <w:p w14:paraId="145B9002" w14:textId="14A5CFAE" w:rsidR="00C73E9A" w:rsidRDefault="00E56BD4" w:rsidP="00C73E9A">
      <w:pPr>
        <w:spacing w:after="120" w:line="480" w:lineRule="auto"/>
        <w:ind w:left="720"/>
        <w:rPr>
          <w:rFonts w:ascii="Garamond" w:hAnsi="Garamond"/>
        </w:rPr>
      </w:pPr>
      <w:r w:rsidRPr="00286D84">
        <w:rPr>
          <w:rFonts w:ascii="Garamond" w:hAnsi="Garamond"/>
        </w:rPr>
        <w:lastRenderedPageBreak/>
        <w:t xml:space="preserve">The academy is not paradise. But learning is a place where paradise can be created. The classroom, with all its limitations, remains a location of possibility.  In that field of possibility we have the opportunity to </w:t>
      </w:r>
      <w:proofErr w:type="spellStart"/>
      <w:r w:rsidRPr="00286D84">
        <w:rPr>
          <w:rFonts w:ascii="Garamond" w:hAnsi="Garamond"/>
        </w:rPr>
        <w:t>labor</w:t>
      </w:r>
      <w:proofErr w:type="spellEnd"/>
      <w:r w:rsidRPr="00286D84">
        <w:rPr>
          <w:rFonts w:ascii="Garamond" w:hAnsi="Garamond"/>
        </w:rPr>
        <w:t xml:space="preserve"> for freedom, to demand of ourselves and our comrades, an openness of mind and heart that allows us to face reality even as we collectively imagine ways to move beyond boundaries, to transgress.  This is educa</w:t>
      </w:r>
      <w:r w:rsidR="007D20FE" w:rsidRPr="00286D84">
        <w:rPr>
          <w:rFonts w:ascii="Garamond" w:hAnsi="Garamond"/>
        </w:rPr>
        <w:t>tion as the practice of freedom</w:t>
      </w:r>
      <w:r w:rsidR="00C73E9A">
        <w:rPr>
          <w:rFonts w:ascii="Garamond" w:hAnsi="Garamond"/>
        </w:rPr>
        <w:t>.</w:t>
      </w:r>
      <w:r w:rsidRPr="00286D84">
        <w:rPr>
          <w:rFonts w:ascii="Garamond" w:hAnsi="Garamond"/>
        </w:rPr>
        <w:t xml:space="preserve"> (hooks, 1994: 207)</w:t>
      </w:r>
    </w:p>
    <w:p w14:paraId="1F9E9702" w14:textId="04C4FE47" w:rsidR="00E56BD4" w:rsidRPr="00286D84" w:rsidRDefault="00D01C27" w:rsidP="00286D84">
      <w:pPr>
        <w:spacing w:after="120" w:line="480" w:lineRule="auto"/>
        <w:rPr>
          <w:rFonts w:ascii="Garamond" w:hAnsi="Garamond"/>
        </w:rPr>
      </w:pPr>
      <w:r w:rsidRPr="00286D84">
        <w:rPr>
          <w:rFonts w:ascii="Garamond" w:hAnsi="Garamond"/>
        </w:rPr>
        <w:t>It is an urgent</w:t>
      </w:r>
      <w:r w:rsidR="00D22BEA" w:rsidRPr="00286D84">
        <w:rPr>
          <w:rFonts w:ascii="Garamond" w:hAnsi="Garamond"/>
        </w:rPr>
        <w:t xml:space="preserve"> task for us in higher education </w:t>
      </w:r>
      <w:r w:rsidRPr="00286D84">
        <w:rPr>
          <w:rFonts w:ascii="Garamond" w:hAnsi="Garamond"/>
        </w:rPr>
        <w:t>to</w:t>
      </w:r>
      <w:r w:rsidR="00D22BEA" w:rsidRPr="00286D84">
        <w:rPr>
          <w:rFonts w:ascii="Garamond" w:hAnsi="Garamond"/>
        </w:rPr>
        <w:t xml:space="preserve"> </w:t>
      </w:r>
      <w:r w:rsidRPr="00286D84">
        <w:rPr>
          <w:rFonts w:ascii="Garamond" w:hAnsi="Garamond"/>
        </w:rPr>
        <w:t xml:space="preserve">embrace education as the practice of freedom, to imagine it otherwise and to collaboratively create spaces for diverse gender </w:t>
      </w:r>
      <w:proofErr w:type="spellStart"/>
      <w:r w:rsidRPr="00286D84">
        <w:rPr>
          <w:rFonts w:ascii="Garamond" w:hAnsi="Garamond"/>
        </w:rPr>
        <w:t>knowledges</w:t>
      </w:r>
      <w:proofErr w:type="spellEnd"/>
      <w:r w:rsidRPr="00286D84">
        <w:rPr>
          <w:rFonts w:ascii="Garamond" w:hAnsi="Garamond"/>
        </w:rPr>
        <w:t xml:space="preserve"> to transform us. </w:t>
      </w:r>
      <w:bookmarkStart w:id="0" w:name="_GoBack"/>
      <w:bookmarkEnd w:id="0"/>
    </w:p>
    <w:p w14:paraId="3B36144C" w14:textId="77777777" w:rsidR="00C73E9A" w:rsidRDefault="00C73E9A" w:rsidP="00486A09">
      <w:pPr>
        <w:spacing w:after="120"/>
        <w:rPr>
          <w:rFonts w:ascii="Garamond" w:hAnsi="Garamond"/>
          <w:i/>
        </w:rPr>
      </w:pPr>
    </w:p>
    <w:p w14:paraId="3728C372" w14:textId="2658E42B" w:rsidR="007C3DF6" w:rsidRPr="00283233" w:rsidRDefault="00486A09" w:rsidP="00283233">
      <w:pPr>
        <w:pStyle w:val="Heading2"/>
      </w:pPr>
      <w:r w:rsidRPr="00283233">
        <w:t>References</w:t>
      </w:r>
    </w:p>
    <w:p w14:paraId="3878C42C" w14:textId="24B576D0" w:rsidR="00786BC9" w:rsidRPr="00286D84" w:rsidRDefault="00E56BD4" w:rsidP="00486A09">
      <w:pPr>
        <w:spacing w:after="120"/>
        <w:ind w:left="720" w:hanging="720"/>
        <w:rPr>
          <w:rFonts w:ascii="Garamond" w:hAnsi="Garamond"/>
        </w:rPr>
      </w:pPr>
      <w:r w:rsidRPr="00286D84">
        <w:rPr>
          <w:rFonts w:ascii="Garamond" w:hAnsi="Garamond"/>
        </w:rPr>
        <w:t xml:space="preserve">hooks, b. (1994) </w:t>
      </w:r>
      <w:r w:rsidRPr="00286D84">
        <w:rPr>
          <w:rFonts w:ascii="Garamond" w:hAnsi="Garamond"/>
          <w:i/>
        </w:rPr>
        <w:t>Teaching to Transgress: Education as the Practice of Freedom</w:t>
      </w:r>
      <w:r w:rsidRPr="00286D84">
        <w:rPr>
          <w:rFonts w:ascii="Garamond" w:hAnsi="Garamond"/>
        </w:rPr>
        <w:t>, New York: Routledge.</w:t>
      </w:r>
    </w:p>
    <w:p w14:paraId="6A3FD15F" w14:textId="1F8F8FD9" w:rsidR="00742BEC" w:rsidRPr="00286D84" w:rsidRDefault="00786BC9" w:rsidP="00486A09">
      <w:pPr>
        <w:spacing w:after="120"/>
        <w:ind w:left="720" w:hanging="720"/>
        <w:rPr>
          <w:rFonts w:ascii="Garamond" w:hAnsi="Garamond"/>
        </w:rPr>
      </w:pPr>
      <w:r w:rsidRPr="00286D84">
        <w:rPr>
          <w:rFonts w:ascii="Garamond" w:hAnsi="Garamond"/>
        </w:rPr>
        <w:t xml:space="preserve">hooks, b. (2015 [1989]) </w:t>
      </w:r>
      <w:r w:rsidRPr="00286D84">
        <w:rPr>
          <w:rFonts w:ascii="Garamond" w:hAnsi="Garamond"/>
          <w:i/>
        </w:rPr>
        <w:t>talking back: thinking feminist, thinking black</w:t>
      </w:r>
      <w:r w:rsidR="00742BEC" w:rsidRPr="00286D84">
        <w:rPr>
          <w:rFonts w:ascii="Garamond" w:hAnsi="Garamond"/>
        </w:rPr>
        <w:t>,</w:t>
      </w:r>
      <w:r w:rsidR="00C73E9A">
        <w:rPr>
          <w:rFonts w:ascii="Garamond" w:hAnsi="Garamond"/>
        </w:rPr>
        <w:t xml:space="preserve"> New York</w:t>
      </w:r>
      <w:r w:rsidRPr="00286D84">
        <w:rPr>
          <w:rFonts w:ascii="Garamond" w:hAnsi="Garamond"/>
        </w:rPr>
        <w:t>: Routledge.</w:t>
      </w:r>
    </w:p>
    <w:p w14:paraId="28669B2E" w14:textId="6E586341" w:rsidR="00616A71" w:rsidRPr="00286D84" w:rsidRDefault="00742BEC" w:rsidP="00486A09">
      <w:pPr>
        <w:spacing w:after="120"/>
        <w:ind w:left="720" w:hanging="720"/>
        <w:rPr>
          <w:rFonts w:ascii="Garamond" w:hAnsi="Garamond"/>
        </w:rPr>
      </w:pPr>
      <w:r w:rsidRPr="00286D84">
        <w:rPr>
          <w:rFonts w:ascii="Garamond" w:hAnsi="Garamond"/>
        </w:rPr>
        <w:t xml:space="preserve">Lawrence, M. and S. </w:t>
      </w:r>
      <w:proofErr w:type="spellStart"/>
      <w:r w:rsidRPr="00286D84">
        <w:rPr>
          <w:rFonts w:ascii="Garamond" w:hAnsi="Garamond"/>
        </w:rPr>
        <w:t>Mckendry</w:t>
      </w:r>
      <w:proofErr w:type="spellEnd"/>
      <w:r w:rsidRPr="00286D84">
        <w:rPr>
          <w:rFonts w:ascii="Garamond" w:hAnsi="Garamond"/>
        </w:rPr>
        <w:t xml:space="preserve"> (2019) </w:t>
      </w:r>
      <w:r w:rsidRPr="00286D84">
        <w:rPr>
          <w:rFonts w:ascii="Garamond" w:hAnsi="Garamond"/>
          <w:i/>
        </w:rPr>
        <w:t>Supporting Transgender and Non-Binary Students and Staff in Further and Higher Education: Practical Advice for Colleges and Universities</w:t>
      </w:r>
      <w:r w:rsidRPr="00286D84">
        <w:rPr>
          <w:rFonts w:ascii="Garamond" w:hAnsi="Garamond"/>
        </w:rPr>
        <w:t>, London: Jessica Kingsley Publishers.</w:t>
      </w:r>
    </w:p>
    <w:p w14:paraId="39F4C9B5" w14:textId="4447189C" w:rsidR="0058452B" w:rsidRPr="00286D84" w:rsidRDefault="004B307D" w:rsidP="00486A09">
      <w:pPr>
        <w:spacing w:after="120"/>
        <w:ind w:left="720" w:hanging="720"/>
        <w:rPr>
          <w:rFonts w:ascii="Garamond" w:hAnsi="Garamond"/>
        </w:rPr>
      </w:pPr>
      <w:proofErr w:type="spellStart"/>
      <w:r>
        <w:rPr>
          <w:rFonts w:ascii="Garamond" w:hAnsi="Garamond"/>
        </w:rPr>
        <w:t>Yahlnaaw</w:t>
      </w:r>
      <w:proofErr w:type="spellEnd"/>
      <w:r w:rsidR="00A95A58" w:rsidRPr="00286D84">
        <w:rPr>
          <w:rFonts w:ascii="Garamond" w:hAnsi="Garamond"/>
        </w:rPr>
        <w:t xml:space="preserve"> (2019) </w:t>
      </w:r>
      <w:proofErr w:type="spellStart"/>
      <w:r w:rsidR="00A95A58" w:rsidRPr="00286D84">
        <w:rPr>
          <w:rFonts w:ascii="Garamond" w:hAnsi="Garamond"/>
        </w:rPr>
        <w:t>T’aats’iigang</w:t>
      </w:r>
      <w:proofErr w:type="spellEnd"/>
      <w:r w:rsidR="00A95A58" w:rsidRPr="00286D84">
        <w:rPr>
          <w:rFonts w:ascii="Garamond" w:hAnsi="Garamond"/>
        </w:rPr>
        <w:t xml:space="preserve">: Stuffing a jar full. </w:t>
      </w:r>
      <w:r w:rsidR="00A95A58" w:rsidRPr="00286D84">
        <w:rPr>
          <w:rFonts w:ascii="Garamond" w:hAnsi="Garamond"/>
          <w:i/>
        </w:rPr>
        <w:t>International Journal for Students as Partners</w:t>
      </w:r>
      <w:r w:rsidR="00A95A58" w:rsidRPr="00286D84">
        <w:rPr>
          <w:rFonts w:ascii="Garamond" w:hAnsi="Garamond"/>
        </w:rPr>
        <w:t xml:space="preserve"> 3(2): 6-10.</w:t>
      </w:r>
    </w:p>
    <w:sectPr w:rsidR="0058452B" w:rsidRPr="00286D84" w:rsidSect="00283233">
      <w:headerReference w:type="even" r:id="rId9"/>
      <w:headerReference w:type="default" r:id="rId10"/>
      <w:footerReference w:type="even" r:id="rId11"/>
      <w:footerReference w:type="default" r:id="rId12"/>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20CC0B" w14:textId="77777777" w:rsidR="00E204D5" w:rsidRDefault="00E204D5" w:rsidP="00286D84">
      <w:r>
        <w:separator/>
      </w:r>
    </w:p>
  </w:endnote>
  <w:endnote w:type="continuationSeparator" w:id="0">
    <w:p w14:paraId="6C1A58C0" w14:textId="77777777" w:rsidR="00E204D5" w:rsidRDefault="00E204D5" w:rsidP="00286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939638"/>
      <w:docPartObj>
        <w:docPartGallery w:val="Page Numbers (Bottom of Page)"/>
        <w:docPartUnique/>
      </w:docPartObj>
    </w:sdtPr>
    <w:sdtEndPr>
      <w:rPr>
        <w:noProof/>
      </w:rPr>
    </w:sdtEndPr>
    <w:sdtContent>
      <w:p w14:paraId="2176D555" w14:textId="42F46B4C" w:rsidR="00283233" w:rsidRDefault="00283233">
        <w:pPr>
          <w:pStyle w:val="Footer"/>
          <w:jc w:val="center"/>
          <w:rPr>
            <w:sz w:val="22"/>
            <w:szCs w:val="22"/>
          </w:rPr>
        </w:pPr>
        <w:r>
          <w:rPr>
            <w:sz w:val="22"/>
            <w:szCs w:val="22"/>
          </w:rPr>
          <w:t>__________________________________________________________________________________</w:t>
        </w:r>
      </w:p>
      <w:p w14:paraId="35C52D9C" w14:textId="0E4DB8CE" w:rsidR="00283233" w:rsidRPr="00283233" w:rsidRDefault="00283233">
        <w:pPr>
          <w:pStyle w:val="Footer"/>
          <w:jc w:val="center"/>
          <w:rPr>
            <w:sz w:val="22"/>
            <w:szCs w:val="22"/>
          </w:rPr>
        </w:pPr>
      </w:p>
      <w:p w14:paraId="1D1C4D64" w14:textId="66959E3D" w:rsidR="00283233" w:rsidRDefault="00283233">
        <w:pPr>
          <w:pStyle w:val="Footer"/>
          <w:jc w:val="center"/>
        </w:pPr>
        <w:r w:rsidRPr="00283233">
          <w:rPr>
            <w:sz w:val="22"/>
            <w:szCs w:val="22"/>
          </w:rPr>
          <w:fldChar w:fldCharType="begin"/>
        </w:r>
        <w:r w:rsidRPr="00283233">
          <w:rPr>
            <w:sz w:val="22"/>
            <w:szCs w:val="22"/>
          </w:rPr>
          <w:instrText xml:space="preserve"> PAGE   \* MERGEFORMAT </w:instrText>
        </w:r>
        <w:r w:rsidRPr="00283233">
          <w:rPr>
            <w:sz w:val="22"/>
            <w:szCs w:val="22"/>
          </w:rPr>
          <w:fldChar w:fldCharType="separate"/>
        </w:r>
        <w:r>
          <w:rPr>
            <w:noProof/>
            <w:sz w:val="22"/>
            <w:szCs w:val="22"/>
          </w:rPr>
          <w:t>6</w:t>
        </w:r>
        <w:r w:rsidRPr="00283233">
          <w:rPr>
            <w:noProof/>
            <w:sz w:val="22"/>
            <w:szCs w:val="22"/>
          </w:rPr>
          <w:fldChar w:fldCharType="end"/>
        </w:r>
      </w:p>
    </w:sdtContent>
  </w:sdt>
  <w:p w14:paraId="44ADBE56" w14:textId="77777777" w:rsidR="00283233" w:rsidRDefault="002832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08526639"/>
      <w:docPartObj>
        <w:docPartGallery w:val="Page Numbers (Bottom of Page)"/>
        <w:docPartUnique/>
      </w:docPartObj>
    </w:sdtPr>
    <w:sdtEndPr>
      <w:rPr>
        <w:noProof/>
      </w:rPr>
    </w:sdtEndPr>
    <w:sdtContent>
      <w:p w14:paraId="30598DA0" w14:textId="37D8C197" w:rsidR="00283233" w:rsidRDefault="00283233">
        <w:pPr>
          <w:pStyle w:val="Footer"/>
          <w:jc w:val="center"/>
          <w:rPr>
            <w:sz w:val="22"/>
            <w:szCs w:val="22"/>
          </w:rPr>
        </w:pPr>
        <w:r>
          <w:rPr>
            <w:sz w:val="22"/>
            <w:szCs w:val="22"/>
          </w:rPr>
          <w:t>__________________________________________________________________________________</w:t>
        </w:r>
      </w:p>
      <w:p w14:paraId="11877EBF" w14:textId="2E283513" w:rsidR="00283233" w:rsidRPr="00283233" w:rsidRDefault="00283233">
        <w:pPr>
          <w:pStyle w:val="Footer"/>
          <w:jc w:val="center"/>
          <w:rPr>
            <w:sz w:val="22"/>
            <w:szCs w:val="22"/>
          </w:rPr>
        </w:pPr>
      </w:p>
      <w:p w14:paraId="53EACDA2" w14:textId="2496EAAB" w:rsidR="00283233" w:rsidRDefault="00283233">
        <w:pPr>
          <w:pStyle w:val="Footer"/>
          <w:jc w:val="center"/>
        </w:pPr>
        <w:r>
          <w:fldChar w:fldCharType="begin"/>
        </w:r>
        <w:r>
          <w:instrText xml:space="preserve"> PAGE   \* MERGEFORMAT </w:instrText>
        </w:r>
        <w:r>
          <w:fldChar w:fldCharType="separate"/>
        </w:r>
        <w:r>
          <w:rPr>
            <w:noProof/>
          </w:rPr>
          <w:t>5</w:t>
        </w:r>
        <w:r>
          <w:rPr>
            <w:noProof/>
          </w:rPr>
          <w:fldChar w:fldCharType="end"/>
        </w:r>
      </w:p>
    </w:sdtContent>
  </w:sdt>
  <w:p w14:paraId="3711265B" w14:textId="77777777" w:rsidR="00283233" w:rsidRDefault="002832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EFC679" w14:textId="77777777" w:rsidR="00E204D5" w:rsidRDefault="00E204D5" w:rsidP="00286D84">
      <w:r>
        <w:separator/>
      </w:r>
    </w:p>
  </w:footnote>
  <w:footnote w:type="continuationSeparator" w:id="0">
    <w:p w14:paraId="6ADC1247" w14:textId="77777777" w:rsidR="00E204D5" w:rsidRDefault="00E204D5" w:rsidP="00286D84">
      <w:r>
        <w:continuationSeparator/>
      </w:r>
    </w:p>
  </w:footnote>
  <w:footnote w:id="1">
    <w:p w14:paraId="3B70247E" w14:textId="54406561" w:rsidR="00283233" w:rsidRDefault="00283233">
      <w:pPr>
        <w:pStyle w:val="FootnoteText"/>
      </w:pPr>
      <w:r>
        <w:rPr>
          <w:rStyle w:val="FootnoteReference"/>
        </w:rPr>
        <w:t>*</w:t>
      </w:r>
      <w:r>
        <w:t xml:space="preserve"> </w:t>
      </w:r>
      <w:r w:rsidRPr="006B0BB5">
        <w:rPr>
          <w:rFonts w:ascii="Garamond" w:hAnsi="Garamond"/>
          <w:sz w:val="20"/>
          <w:szCs w:val="20"/>
          <w:lang w:val="en-US"/>
        </w:rPr>
        <w:t xml:space="preserve">Principal Lecturer, </w:t>
      </w:r>
      <w:r>
        <w:rPr>
          <w:rFonts w:ascii="Garamond" w:hAnsi="Garamond"/>
          <w:sz w:val="20"/>
          <w:szCs w:val="20"/>
          <w:lang w:val="en-US"/>
        </w:rPr>
        <w:t xml:space="preserve">Social Sciences, </w:t>
      </w:r>
      <w:r w:rsidRPr="006B0BB5">
        <w:rPr>
          <w:rFonts w:ascii="Garamond" w:hAnsi="Garamond"/>
          <w:sz w:val="20"/>
          <w:szCs w:val="20"/>
          <w:lang w:val="en-US"/>
        </w:rPr>
        <w:t xml:space="preserve">University of Westminster, UK. Email: </w:t>
      </w:r>
      <w:hyperlink r:id="rId1" w:history="1">
        <w:r w:rsidRPr="00C35B10">
          <w:rPr>
            <w:rStyle w:val="Hyperlink"/>
            <w:rFonts w:ascii="Garamond" w:hAnsi="Garamond"/>
            <w:sz w:val="20"/>
            <w:szCs w:val="20"/>
          </w:rPr>
          <w:t>j.fraser@westminster.ac.uk</w:t>
        </w:r>
      </w:hyperlink>
      <w:r>
        <w:rPr>
          <w:rFonts w:ascii="Garamond" w:hAnsi="Garamond"/>
          <w:sz w:val="20"/>
          <w:szCs w:val="20"/>
        </w:rPr>
        <w:t xml:space="preserve">  </w:t>
      </w:r>
      <w:r w:rsidRPr="006B0BB5">
        <w:rPr>
          <w:rFonts w:ascii="Garamond" w:hAnsi="Garamond"/>
          <w:sz w:val="20"/>
          <w:szCs w:val="20"/>
        </w:rPr>
        <w:t xml:space="preserve">Thank you to </w:t>
      </w:r>
      <w:proofErr w:type="spellStart"/>
      <w:r w:rsidRPr="006B0BB5">
        <w:rPr>
          <w:rFonts w:ascii="Garamond" w:hAnsi="Garamond"/>
          <w:sz w:val="20"/>
          <w:szCs w:val="20"/>
        </w:rPr>
        <w:t>Raf</w:t>
      </w:r>
      <w:proofErr w:type="spellEnd"/>
      <w:r w:rsidRPr="006B0BB5">
        <w:rPr>
          <w:rFonts w:ascii="Garamond" w:hAnsi="Garamond"/>
          <w:sz w:val="20"/>
          <w:szCs w:val="20"/>
        </w:rPr>
        <w:t xml:space="preserve"> </w:t>
      </w:r>
      <w:proofErr w:type="spellStart"/>
      <w:r w:rsidRPr="006B0BB5">
        <w:rPr>
          <w:rFonts w:ascii="Garamond" w:hAnsi="Garamond"/>
          <w:sz w:val="20"/>
          <w:szCs w:val="20"/>
        </w:rPr>
        <w:t>Benato</w:t>
      </w:r>
      <w:proofErr w:type="spellEnd"/>
      <w:r w:rsidRPr="006B0BB5">
        <w:rPr>
          <w:rFonts w:ascii="Garamond" w:hAnsi="Garamond"/>
          <w:sz w:val="20"/>
          <w:szCs w:val="20"/>
        </w:rPr>
        <w:t xml:space="preserve">, </w:t>
      </w:r>
      <w:proofErr w:type="spellStart"/>
      <w:r w:rsidRPr="006B0BB5">
        <w:rPr>
          <w:rFonts w:ascii="Garamond" w:hAnsi="Garamond"/>
          <w:sz w:val="20"/>
          <w:szCs w:val="20"/>
        </w:rPr>
        <w:t>Avi</w:t>
      </w:r>
      <w:proofErr w:type="spellEnd"/>
      <w:r w:rsidRPr="006B0BB5">
        <w:rPr>
          <w:rFonts w:ascii="Garamond" w:hAnsi="Garamond"/>
          <w:sz w:val="20"/>
          <w:szCs w:val="20"/>
        </w:rPr>
        <w:t xml:space="preserve"> </w:t>
      </w:r>
      <w:proofErr w:type="spellStart"/>
      <w:r w:rsidRPr="006B0BB5">
        <w:rPr>
          <w:rFonts w:ascii="Garamond" w:hAnsi="Garamond"/>
          <w:sz w:val="20"/>
          <w:szCs w:val="20"/>
        </w:rPr>
        <w:t>Boukli</w:t>
      </w:r>
      <w:proofErr w:type="spellEnd"/>
      <w:r w:rsidRPr="006B0BB5">
        <w:rPr>
          <w:rFonts w:ascii="Garamond" w:hAnsi="Garamond"/>
          <w:sz w:val="20"/>
          <w:szCs w:val="20"/>
        </w:rPr>
        <w:t xml:space="preserve"> and Francis Ray White who are friends and colleagues on the </w:t>
      </w:r>
      <w:proofErr w:type="spellStart"/>
      <w:r w:rsidRPr="006B0BB5">
        <w:rPr>
          <w:rFonts w:ascii="Garamond" w:hAnsi="Garamond"/>
          <w:sz w:val="20"/>
          <w:szCs w:val="20"/>
        </w:rPr>
        <w:t>NBinHE</w:t>
      </w:r>
      <w:proofErr w:type="spellEnd"/>
      <w:r w:rsidRPr="006B0BB5">
        <w:rPr>
          <w:rFonts w:ascii="Garamond" w:hAnsi="Garamond"/>
          <w:sz w:val="20"/>
          <w:szCs w:val="20"/>
        </w:rPr>
        <w:t xml:space="preserve"> project and whose support and encouragement made this writing possible.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D96F8A" w14:textId="7731588F" w:rsidR="00283233" w:rsidRDefault="00283233">
    <w:pPr>
      <w:pStyle w:val="Header"/>
      <w:rPr>
        <w:sz w:val="22"/>
        <w:szCs w:val="22"/>
      </w:rPr>
    </w:pPr>
    <w:r>
      <w:rPr>
        <w:sz w:val="22"/>
        <w:szCs w:val="22"/>
      </w:rPr>
      <w:t>Jennifer Fraser</w:t>
    </w:r>
    <w:r>
      <w:rPr>
        <w:sz w:val="22"/>
        <w:szCs w:val="22"/>
      </w:rPr>
      <w:tab/>
    </w:r>
    <w:r>
      <w:rPr>
        <w:sz w:val="22"/>
        <w:szCs w:val="22"/>
      </w:rPr>
      <w:tab/>
      <w:t>The struggle to imagine HE otherwise</w:t>
    </w:r>
  </w:p>
  <w:p w14:paraId="3B1F65DA" w14:textId="5900BE2D" w:rsidR="00283233" w:rsidRPr="00283233" w:rsidRDefault="00283233">
    <w:pPr>
      <w:pStyle w:val="Header"/>
      <w:rPr>
        <w:sz w:val="22"/>
        <w:szCs w:val="22"/>
      </w:rPr>
    </w:pPr>
    <w:r>
      <w:rPr>
        <w:sz w:val="22"/>
        <w:szCs w:val="22"/>
      </w:rPr>
      <w:t>__________________________________________________________________________________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2F0774" w14:textId="0D05AFE6" w:rsidR="00283233" w:rsidRDefault="00283233">
    <w:pPr>
      <w:pStyle w:val="Header"/>
      <w:rPr>
        <w:sz w:val="22"/>
        <w:szCs w:val="22"/>
      </w:rPr>
    </w:pPr>
    <w:proofErr w:type="spellStart"/>
    <w:r>
      <w:rPr>
        <w:i/>
        <w:sz w:val="22"/>
        <w:szCs w:val="22"/>
      </w:rPr>
      <w:t>feminists@law</w:t>
    </w:r>
    <w:proofErr w:type="spellEnd"/>
    <w:r>
      <w:rPr>
        <w:sz w:val="22"/>
        <w:szCs w:val="22"/>
      </w:rPr>
      <w:tab/>
    </w:r>
    <w:r>
      <w:rPr>
        <w:sz w:val="22"/>
        <w:szCs w:val="22"/>
      </w:rPr>
      <w:tab/>
      <w:t>Vol 10, No 2 (2020)</w:t>
    </w:r>
  </w:p>
  <w:p w14:paraId="2E39D363" w14:textId="40E08912" w:rsidR="00283233" w:rsidRPr="00283233" w:rsidRDefault="00283233">
    <w:pPr>
      <w:pStyle w:val="Header"/>
      <w:rPr>
        <w:sz w:val="22"/>
        <w:szCs w:val="22"/>
      </w:rPr>
    </w:pPr>
    <w:r>
      <w:rPr>
        <w:sz w:val="22"/>
        <w:szCs w:val="22"/>
      </w:rPr>
      <w:t>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CD606E"/>
    <w:multiLevelType w:val="hybridMultilevel"/>
    <w:tmpl w:val="2F4CC44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AD36595"/>
    <w:multiLevelType w:val="hybridMultilevel"/>
    <w:tmpl w:val="BD6C6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C553C44"/>
    <w:multiLevelType w:val="hybridMultilevel"/>
    <w:tmpl w:val="D1A42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B9063C0"/>
    <w:multiLevelType w:val="hybridMultilevel"/>
    <w:tmpl w:val="0A68A3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6C609E7"/>
    <w:multiLevelType w:val="hybridMultilevel"/>
    <w:tmpl w:val="EBB04C2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2"/>
  </w:num>
  <w:num w:numId="3">
    <w:abstractNumId w:val="3"/>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BD4"/>
    <w:rsid w:val="00003A57"/>
    <w:rsid w:val="00010289"/>
    <w:rsid w:val="00022A79"/>
    <w:rsid w:val="00026D6F"/>
    <w:rsid w:val="00047CB6"/>
    <w:rsid w:val="00073F5E"/>
    <w:rsid w:val="000762D3"/>
    <w:rsid w:val="000813DE"/>
    <w:rsid w:val="00087EA8"/>
    <w:rsid w:val="0009276F"/>
    <w:rsid w:val="000B0449"/>
    <w:rsid w:val="000B541E"/>
    <w:rsid w:val="000C3F32"/>
    <w:rsid w:val="000C7D9D"/>
    <w:rsid w:val="000E4354"/>
    <w:rsid w:val="000F4B74"/>
    <w:rsid w:val="001107A0"/>
    <w:rsid w:val="001276F7"/>
    <w:rsid w:val="0013412A"/>
    <w:rsid w:val="00135326"/>
    <w:rsid w:val="00135891"/>
    <w:rsid w:val="00137E10"/>
    <w:rsid w:val="001469DE"/>
    <w:rsid w:val="001519AA"/>
    <w:rsid w:val="00180E13"/>
    <w:rsid w:val="00185939"/>
    <w:rsid w:val="001A12B8"/>
    <w:rsid w:val="001A1991"/>
    <w:rsid w:val="001A5314"/>
    <w:rsid w:val="001A5848"/>
    <w:rsid w:val="001A6085"/>
    <w:rsid w:val="001A6138"/>
    <w:rsid w:val="001A65D8"/>
    <w:rsid w:val="001B3C22"/>
    <w:rsid w:val="001F1AD4"/>
    <w:rsid w:val="001F1B0B"/>
    <w:rsid w:val="0020146A"/>
    <w:rsid w:val="00231EFC"/>
    <w:rsid w:val="00234F49"/>
    <w:rsid w:val="002446BB"/>
    <w:rsid w:val="00251E1C"/>
    <w:rsid w:val="00253E3F"/>
    <w:rsid w:val="00267FC7"/>
    <w:rsid w:val="002720B9"/>
    <w:rsid w:val="00283233"/>
    <w:rsid w:val="00286D84"/>
    <w:rsid w:val="002873F0"/>
    <w:rsid w:val="00287B28"/>
    <w:rsid w:val="002965E8"/>
    <w:rsid w:val="002A0442"/>
    <w:rsid w:val="002B513C"/>
    <w:rsid w:val="002D666A"/>
    <w:rsid w:val="002E0A0C"/>
    <w:rsid w:val="002E6ECB"/>
    <w:rsid w:val="002F044F"/>
    <w:rsid w:val="00303E73"/>
    <w:rsid w:val="003065E8"/>
    <w:rsid w:val="00327986"/>
    <w:rsid w:val="00340ABD"/>
    <w:rsid w:val="00354A54"/>
    <w:rsid w:val="003672B7"/>
    <w:rsid w:val="0037034C"/>
    <w:rsid w:val="00385083"/>
    <w:rsid w:val="00385D29"/>
    <w:rsid w:val="00392252"/>
    <w:rsid w:val="003965BB"/>
    <w:rsid w:val="003C00F4"/>
    <w:rsid w:val="003C0665"/>
    <w:rsid w:val="003D068B"/>
    <w:rsid w:val="003E3762"/>
    <w:rsid w:val="00400A63"/>
    <w:rsid w:val="004060CB"/>
    <w:rsid w:val="00411600"/>
    <w:rsid w:val="004127C2"/>
    <w:rsid w:val="004237B2"/>
    <w:rsid w:val="00457827"/>
    <w:rsid w:val="004615C7"/>
    <w:rsid w:val="0046468F"/>
    <w:rsid w:val="00467FCE"/>
    <w:rsid w:val="0048249F"/>
    <w:rsid w:val="00482C26"/>
    <w:rsid w:val="00486A09"/>
    <w:rsid w:val="00487D5C"/>
    <w:rsid w:val="00495968"/>
    <w:rsid w:val="00495F2D"/>
    <w:rsid w:val="00495F3B"/>
    <w:rsid w:val="0049745E"/>
    <w:rsid w:val="004A0300"/>
    <w:rsid w:val="004B307D"/>
    <w:rsid w:val="004B4440"/>
    <w:rsid w:val="004B5F21"/>
    <w:rsid w:val="004C4734"/>
    <w:rsid w:val="004C7FC1"/>
    <w:rsid w:val="004F012D"/>
    <w:rsid w:val="004F33E7"/>
    <w:rsid w:val="004F5C8F"/>
    <w:rsid w:val="00500C87"/>
    <w:rsid w:val="00505BDC"/>
    <w:rsid w:val="00544700"/>
    <w:rsid w:val="00572A8B"/>
    <w:rsid w:val="0058452B"/>
    <w:rsid w:val="0059560C"/>
    <w:rsid w:val="0059734B"/>
    <w:rsid w:val="005B3EC9"/>
    <w:rsid w:val="005E1978"/>
    <w:rsid w:val="005E2239"/>
    <w:rsid w:val="005E3414"/>
    <w:rsid w:val="005E6DC6"/>
    <w:rsid w:val="0060783A"/>
    <w:rsid w:val="00616A71"/>
    <w:rsid w:val="00630912"/>
    <w:rsid w:val="00630AC4"/>
    <w:rsid w:val="006349F8"/>
    <w:rsid w:val="0063646C"/>
    <w:rsid w:val="0064770C"/>
    <w:rsid w:val="006608BE"/>
    <w:rsid w:val="00661485"/>
    <w:rsid w:val="00664069"/>
    <w:rsid w:val="00667708"/>
    <w:rsid w:val="00694349"/>
    <w:rsid w:val="00695E8E"/>
    <w:rsid w:val="006B0BB5"/>
    <w:rsid w:val="006B5B24"/>
    <w:rsid w:val="006D5F01"/>
    <w:rsid w:val="006E3C61"/>
    <w:rsid w:val="006E74EA"/>
    <w:rsid w:val="006F2680"/>
    <w:rsid w:val="00704B47"/>
    <w:rsid w:val="007223F6"/>
    <w:rsid w:val="00726F50"/>
    <w:rsid w:val="0073148E"/>
    <w:rsid w:val="00742BEC"/>
    <w:rsid w:val="00750E08"/>
    <w:rsid w:val="00751A3E"/>
    <w:rsid w:val="007532F7"/>
    <w:rsid w:val="00766F1B"/>
    <w:rsid w:val="00775922"/>
    <w:rsid w:val="00782B96"/>
    <w:rsid w:val="00786BC9"/>
    <w:rsid w:val="007C3DF6"/>
    <w:rsid w:val="007C5DAA"/>
    <w:rsid w:val="007C63DC"/>
    <w:rsid w:val="007C66D5"/>
    <w:rsid w:val="007D20FE"/>
    <w:rsid w:val="007F253D"/>
    <w:rsid w:val="00803C62"/>
    <w:rsid w:val="00823E3C"/>
    <w:rsid w:val="0083329A"/>
    <w:rsid w:val="00834543"/>
    <w:rsid w:val="00866464"/>
    <w:rsid w:val="00866B99"/>
    <w:rsid w:val="00866BB7"/>
    <w:rsid w:val="00881FD5"/>
    <w:rsid w:val="008850C6"/>
    <w:rsid w:val="0088665E"/>
    <w:rsid w:val="008B36B2"/>
    <w:rsid w:val="008C4A1E"/>
    <w:rsid w:val="008D25AE"/>
    <w:rsid w:val="008D47C3"/>
    <w:rsid w:val="008D6745"/>
    <w:rsid w:val="008F7426"/>
    <w:rsid w:val="008F7C37"/>
    <w:rsid w:val="008F7E49"/>
    <w:rsid w:val="009329E6"/>
    <w:rsid w:val="0094432D"/>
    <w:rsid w:val="00945CA2"/>
    <w:rsid w:val="00951F28"/>
    <w:rsid w:val="009520EF"/>
    <w:rsid w:val="009521FC"/>
    <w:rsid w:val="00957147"/>
    <w:rsid w:val="009578AD"/>
    <w:rsid w:val="009649B1"/>
    <w:rsid w:val="00980814"/>
    <w:rsid w:val="00981F9C"/>
    <w:rsid w:val="0098660F"/>
    <w:rsid w:val="00991EB4"/>
    <w:rsid w:val="009A683A"/>
    <w:rsid w:val="009B1097"/>
    <w:rsid w:val="009B686B"/>
    <w:rsid w:val="009C1EED"/>
    <w:rsid w:val="009C2114"/>
    <w:rsid w:val="009C79D2"/>
    <w:rsid w:val="009D5CB4"/>
    <w:rsid w:val="009F6E8D"/>
    <w:rsid w:val="00A11A46"/>
    <w:rsid w:val="00A22BF4"/>
    <w:rsid w:val="00A250CB"/>
    <w:rsid w:val="00A30E5E"/>
    <w:rsid w:val="00A34703"/>
    <w:rsid w:val="00A50979"/>
    <w:rsid w:val="00A770F5"/>
    <w:rsid w:val="00A94068"/>
    <w:rsid w:val="00A95A58"/>
    <w:rsid w:val="00AA12AE"/>
    <w:rsid w:val="00AB69CF"/>
    <w:rsid w:val="00AC52DB"/>
    <w:rsid w:val="00AC718B"/>
    <w:rsid w:val="00AD4E02"/>
    <w:rsid w:val="00AE333A"/>
    <w:rsid w:val="00B07487"/>
    <w:rsid w:val="00B143DC"/>
    <w:rsid w:val="00B34497"/>
    <w:rsid w:val="00B44BB9"/>
    <w:rsid w:val="00B50B2B"/>
    <w:rsid w:val="00B61B2C"/>
    <w:rsid w:val="00B76C88"/>
    <w:rsid w:val="00B84E79"/>
    <w:rsid w:val="00B916D6"/>
    <w:rsid w:val="00BA354A"/>
    <w:rsid w:val="00BA44CD"/>
    <w:rsid w:val="00BB3C24"/>
    <w:rsid w:val="00BB4EC7"/>
    <w:rsid w:val="00BC0445"/>
    <w:rsid w:val="00BD2281"/>
    <w:rsid w:val="00BD46D5"/>
    <w:rsid w:val="00BE5A70"/>
    <w:rsid w:val="00C05297"/>
    <w:rsid w:val="00C11131"/>
    <w:rsid w:val="00C223EB"/>
    <w:rsid w:val="00C33D5F"/>
    <w:rsid w:val="00C3587E"/>
    <w:rsid w:val="00C41E68"/>
    <w:rsid w:val="00C73E9A"/>
    <w:rsid w:val="00C75A94"/>
    <w:rsid w:val="00C8764D"/>
    <w:rsid w:val="00CA5EBE"/>
    <w:rsid w:val="00CA665C"/>
    <w:rsid w:val="00CB5AEA"/>
    <w:rsid w:val="00CC7AC0"/>
    <w:rsid w:val="00CE21A4"/>
    <w:rsid w:val="00D01C27"/>
    <w:rsid w:val="00D16D3B"/>
    <w:rsid w:val="00D22BEA"/>
    <w:rsid w:val="00D47203"/>
    <w:rsid w:val="00D50EEC"/>
    <w:rsid w:val="00D51CE6"/>
    <w:rsid w:val="00D733A6"/>
    <w:rsid w:val="00D835FA"/>
    <w:rsid w:val="00D938AB"/>
    <w:rsid w:val="00D9564A"/>
    <w:rsid w:val="00DB59B5"/>
    <w:rsid w:val="00DB6F32"/>
    <w:rsid w:val="00DD636D"/>
    <w:rsid w:val="00DF3C45"/>
    <w:rsid w:val="00E204D5"/>
    <w:rsid w:val="00E3088C"/>
    <w:rsid w:val="00E35824"/>
    <w:rsid w:val="00E40174"/>
    <w:rsid w:val="00E5019E"/>
    <w:rsid w:val="00E56BD4"/>
    <w:rsid w:val="00E676C4"/>
    <w:rsid w:val="00E806AF"/>
    <w:rsid w:val="00E868D0"/>
    <w:rsid w:val="00EB5C22"/>
    <w:rsid w:val="00ED4F61"/>
    <w:rsid w:val="00EE6715"/>
    <w:rsid w:val="00EF4E21"/>
    <w:rsid w:val="00F03B22"/>
    <w:rsid w:val="00F04BBD"/>
    <w:rsid w:val="00F319F4"/>
    <w:rsid w:val="00F3279E"/>
    <w:rsid w:val="00F41643"/>
    <w:rsid w:val="00F432EF"/>
    <w:rsid w:val="00F43700"/>
    <w:rsid w:val="00F6134A"/>
    <w:rsid w:val="00F74F5A"/>
    <w:rsid w:val="00F90146"/>
    <w:rsid w:val="00F9273B"/>
    <w:rsid w:val="00FA0734"/>
    <w:rsid w:val="00FB5500"/>
    <w:rsid w:val="00FC2842"/>
    <w:rsid w:val="00FC6EAD"/>
    <w:rsid w:val="00FD5775"/>
    <w:rsid w:val="00FE72B7"/>
    <w:rsid w:val="00FF4A2E"/>
    <w:rsid w:val="00FF5A18"/>
    <w:rsid w:val="00FF78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2178620"/>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83233"/>
    <w:pPr>
      <w:outlineLvl w:val="0"/>
    </w:pPr>
    <w:rPr>
      <w:rFonts w:ascii="Garamond" w:hAnsi="Garamond"/>
      <w:b/>
      <w:sz w:val="28"/>
      <w:szCs w:val="28"/>
    </w:rPr>
  </w:style>
  <w:style w:type="paragraph" w:styleId="Heading2">
    <w:name w:val="heading 2"/>
    <w:basedOn w:val="Normal"/>
    <w:next w:val="Normal"/>
    <w:link w:val="Heading2Char"/>
    <w:uiPriority w:val="9"/>
    <w:unhideWhenUsed/>
    <w:qFormat/>
    <w:rsid w:val="00283233"/>
    <w:pPr>
      <w:spacing w:after="120"/>
      <w:outlineLvl w:val="1"/>
    </w:pPr>
    <w:rPr>
      <w:rFonts w:ascii="Garamond" w:hAnsi="Garamond"/>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F78D0"/>
    <w:rPr>
      <w:color w:val="0563C1" w:themeColor="hyperlink"/>
      <w:u w:val="single"/>
    </w:rPr>
  </w:style>
  <w:style w:type="paragraph" w:styleId="ListParagraph">
    <w:name w:val="List Paragraph"/>
    <w:basedOn w:val="Normal"/>
    <w:uiPriority w:val="34"/>
    <w:qFormat/>
    <w:rsid w:val="000762D3"/>
    <w:pPr>
      <w:ind w:left="720"/>
      <w:contextualSpacing/>
    </w:pPr>
  </w:style>
  <w:style w:type="character" w:styleId="CommentReference">
    <w:name w:val="annotation reference"/>
    <w:basedOn w:val="DefaultParagraphFont"/>
    <w:uiPriority w:val="99"/>
    <w:semiHidden/>
    <w:unhideWhenUsed/>
    <w:rsid w:val="00D47203"/>
    <w:rPr>
      <w:sz w:val="18"/>
      <w:szCs w:val="18"/>
    </w:rPr>
  </w:style>
  <w:style w:type="paragraph" w:styleId="CommentText">
    <w:name w:val="annotation text"/>
    <w:basedOn w:val="Normal"/>
    <w:link w:val="CommentTextChar"/>
    <w:uiPriority w:val="99"/>
    <w:semiHidden/>
    <w:unhideWhenUsed/>
    <w:rsid w:val="00D47203"/>
  </w:style>
  <w:style w:type="character" w:customStyle="1" w:styleId="CommentTextChar">
    <w:name w:val="Comment Text Char"/>
    <w:basedOn w:val="DefaultParagraphFont"/>
    <w:link w:val="CommentText"/>
    <w:uiPriority w:val="99"/>
    <w:semiHidden/>
    <w:rsid w:val="00D47203"/>
  </w:style>
  <w:style w:type="paragraph" w:styleId="CommentSubject">
    <w:name w:val="annotation subject"/>
    <w:basedOn w:val="CommentText"/>
    <w:next w:val="CommentText"/>
    <w:link w:val="CommentSubjectChar"/>
    <w:uiPriority w:val="99"/>
    <w:semiHidden/>
    <w:unhideWhenUsed/>
    <w:rsid w:val="00D47203"/>
    <w:rPr>
      <w:b/>
      <w:bCs/>
      <w:sz w:val="20"/>
      <w:szCs w:val="20"/>
    </w:rPr>
  </w:style>
  <w:style w:type="character" w:customStyle="1" w:styleId="CommentSubjectChar">
    <w:name w:val="Comment Subject Char"/>
    <w:basedOn w:val="CommentTextChar"/>
    <w:link w:val="CommentSubject"/>
    <w:uiPriority w:val="99"/>
    <w:semiHidden/>
    <w:rsid w:val="00D47203"/>
    <w:rPr>
      <w:b/>
      <w:bCs/>
      <w:sz w:val="20"/>
      <w:szCs w:val="20"/>
    </w:rPr>
  </w:style>
  <w:style w:type="paragraph" w:styleId="BalloonText">
    <w:name w:val="Balloon Text"/>
    <w:basedOn w:val="Normal"/>
    <w:link w:val="BalloonTextChar"/>
    <w:uiPriority w:val="99"/>
    <w:semiHidden/>
    <w:unhideWhenUsed/>
    <w:rsid w:val="00D47203"/>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47203"/>
    <w:rPr>
      <w:rFonts w:ascii="Times New Roman" w:hAnsi="Times New Roman" w:cs="Times New Roman"/>
      <w:sz w:val="18"/>
      <w:szCs w:val="18"/>
    </w:rPr>
  </w:style>
  <w:style w:type="paragraph" w:styleId="NormalWeb">
    <w:name w:val="Normal (Web)"/>
    <w:basedOn w:val="Normal"/>
    <w:uiPriority w:val="99"/>
    <w:semiHidden/>
    <w:unhideWhenUsed/>
    <w:rsid w:val="004B5F21"/>
    <w:rPr>
      <w:rFonts w:ascii="Times New Roman" w:hAnsi="Times New Roman" w:cs="Times New Roman"/>
    </w:rPr>
  </w:style>
  <w:style w:type="paragraph" w:styleId="FootnoteText">
    <w:name w:val="footnote text"/>
    <w:basedOn w:val="Normal"/>
    <w:link w:val="FootnoteTextChar"/>
    <w:uiPriority w:val="99"/>
    <w:unhideWhenUsed/>
    <w:rsid w:val="00286D84"/>
  </w:style>
  <w:style w:type="character" w:customStyle="1" w:styleId="FootnoteTextChar">
    <w:name w:val="Footnote Text Char"/>
    <w:basedOn w:val="DefaultParagraphFont"/>
    <w:link w:val="FootnoteText"/>
    <w:uiPriority w:val="99"/>
    <w:rsid w:val="00286D84"/>
  </w:style>
  <w:style w:type="character" w:styleId="FootnoteReference">
    <w:name w:val="footnote reference"/>
    <w:basedOn w:val="DefaultParagraphFont"/>
    <w:uiPriority w:val="99"/>
    <w:unhideWhenUsed/>
    <w:rsid w:val="00286D84"/>
    <w:rPr>
      <w:vertAlign w:val="superscript"/>
    </w:rPr>
  </w:style>
  <w:style w:type="character" w:customStyle="1" w:styleId="Heading1Char">
    <w:name w:val="Heading 1 Char"/>
    <w:basedOn w:val="DefaultParagraphFont"/>
    <w:link w:val="Heading1"/>
    <w:uiPriority w:val="9"/>
    <w:rsid w:val="00283233"/>
    <w:rPr>
      <w:rFonts w:ascii="Garamond" w:hAnsi="Garamond"/>
      <w:b/>
      <w:sz w:val="28"/>
      <w:szCs w:val="28"/>
    </w:rPr>
  </w:style>
  <w:style w:type="character" w:customStyle="1" w:styleId="Heading2Char">
    <w:name w:val="Heading 2 Char"/>
    <w:basedOn w:val="DefaultParagraphFont"/>
    <w:link w:val="Heading2"/>
    <w:uiPriority w:val="9"/>
    <w:rsid w:val="00283233"/>
    <w:rPr>
      <w:rFonts w:ascii="Garamond" w:hAnsi="Garamond"/>
      <w:b/>
    </w:rPr>
  </w:style>
  <w:style w:type="paragraph" w:styleId="Header">
    <w:name w:val="header"/>
    <w:basedOn w:val="Normal"/>
    <w:link w:val="HeaderChar"/>
    <w:uiPriority w:val="99"/>
    <w:unhideWhenUsed/>
    <w:rsid w:val="00283233"/>
    <w:pPr>
      <w:tabs>
        <w:tab w:val="center" w:pos="4513"/>
        <w:tab w:val="right" w:pos="9026"/>
      </w:tabs>
    </w:pPr>
  </w:style>
  <w:style w:type="character" w:customStyle="1" w:styleId="HeaderChar">
    <w:name w:val="Header Char"/>
    <w:basedOn w:val="DefaultParagraphFont"/>
    <w:link w:val="Header"/>
    <w:uiPriority w:val="99"/>
    <w:rsid w:val="00283233"/>
  </w:style>
  <w:style w:type="paragraph" w:styleId="Footer">
    <w:name w:val="footer"/>
    <w:basedOn w:val="Normal"/>
    <w:link w:val="FooterChar"/>
    <w:uiPriority w:val="99"/>
    <w:unhideWhenUsed/>
    <w:rsid w:val="00283233"/>
    <w:pPr>
      <w:tabs>
        <w:tab w:val="center" w:pos="4513"/>
        <w:tab w:val="right" w:pos="9026"/>
      </w:tabs>
    </w:pPr>
  </w:style>
  <w:style w:type="character" w:customStyle="1" w:styleId="FooterChar">
    <w:name w:val="Footer Char"/>
    <w:basedOn w:val="DefaultParagraphFont"/>
    <w:link w:val="Footer"/>
    <w:uiPriority w:val="99"/>
    <w:rsid w:val="002832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7440233">
      <w:bodyDiv w:val="1"/>
      <w:marLeft w:val="0"/>
      <w:marRight w:val="0"/>
      <w:marTop w:val="0"/>
      <w:marBottom w:val="0"/>
      <w:divBdr>
        <w:top w:val="none" w:sz="0" w:space="0" w:color="auto"/>
        <w:left w:val="none" w:sz="0" w:space="0" w:color="auto"/>
        <w:bottom w:val="none" w:sz="0" w:space="0" w:color="auto"/>
        <w:right w:val="none" w:sz="0" w:space="0" w:color="auto"/>
      </w:divBdr>
    </w:div>
    <w:div w:id="101777414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nbinhe.co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mailto:j.fraser@westminster.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552A6661-997D-4E4C-8041-9E70DD61D3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1705</Words>
  <Characters>9724</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Rosemary Hunter</cp:lastModifiedBy>
  <cp:revision>3</cp:revision>
  <dcterms:created xsi:type="dcterms:W3CDTF">2020-10-30T22:13:00Z</dcterms:created>
  <dcterms:modified xsi:type="dcterms:W3CDTF">2020-10-30T22:22:00Z</dcterms:modified>
</cp:coreProperties>
</file>