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A5DE" w14:textId="77777777" w:rsidR="00BE7153" w:rsidRDefault="00BE7153">
      <w:pPr>
        <w:rPr>
          <w:sz w:val="22"/>
          <w:szCs w:val="24"/>
        </w:rPr>
      </w:pPr>
    </w:p>
    <w:p w14:paraId="6CAA9993" w14:textId="24FD01B1" w:rsidR="008640D4" w:rsidRPr="00AB3405" w:rsidRDefault="00675BF1" w:rsidP="00AB3405">
      <w:pPr>
        <w:pStyle w:val="Heading1"/>
      </w:pPr>
      <w:r w:rsidRPr="00AB3405">
        <w:t>Exploring t</w:t>
      </w:r>
      <w:r w:rsidR="00AC310C" w:rsidRPr="00AB3405">
        <w:t>he</w:t>
      </w:r>
      <w:r w:rsidR="00773F98" w:rsidRPr="00AB3405">
        <w:t xml:space="preserve"> Textual Alchemy of Legal Gender</w:t>
      </w:r>
      <w:r w:rsidR="00891F3E" w:rsidRPr="00AB3405">
        <w:t xml:space="preserve">: </w:t>
      </w:r>
      <w:r w:rsidR="002D7F1F" w:rsidRPr="00AB3405">
        <w:t>Experimental</w:t>
      </w:r>
      <w:r w:rsidR="00BE7153" w:rsidRPr="00AB3405">
        <w:t xml:space="preserve"> Statutes and the </w:t>
      </w:r>
      <w:r w:rsidR="00773F98" w:rsidRPr="00AB3405">
        <w:t>Message in the Medium</w:t>
      </w:r>
    </w:p>
    <w:p w14:paraId="112B8D8C" w14:textId="5460F754" w:rsidR="008640D4" w:rsidRDefault="008640D4" w:rsidP="008666E8">
      <w:pPr>
        <w:rPr>
          <w:rFonts w:ascii="Garamond" w:hAnsi="Garamond"/>
          <w:b/>
          <w:sz w:val="28"/>
          <w:szCs w:val="28"/>
        </w:rPr>
      </w:pPr>
    </w:p>
    <w:p w14:paraId="0F30209D" w14:textId="77777777" w:rsidR="00AB3405" w:rsidRDefault="00AB3405" w:rsidP="00E004A2">
      <w:pPr>
        <w:rPr>
          <w:rFonts w:ascii="Garamond" w:hAnsi="Garamond"/>
          <w:b/>
          <w:sz w:val="24"/>
          <w:szCs w:val="24"/>
        </w:rPr>
      </w:pPr>
    </w:p>
    <w:p w14:paraId="090863B5" w14:textId="477C665E" w:rsidR="00BE7153" w:rsidRPr="00E004A2" w:rsidRDefault="008640D4" w:rsidP="00E004A2">
      <w:pPr>
        <w:rPr>
          <w:rFonts w:ascii="Garamond" w:hAnsi="Garamond"/>
          <w:b/>
          <w:sz w:val="24"/>
          <w:szCs w:val="24"/>
        </w:rPr>
      </w:pPr>
      <w:r w:rsidRPr="00E004A2">
        <w:rPr>
          <w:rFonts w:ascii="Garamond" w:hAnsi="Garamond"/>
          <w:b/>
          <w:sz w:val="24"/>
          <w:szCs w:val="24"/>
        </w:rPr>
        <w:t>Emily Grabham</w:t>
      </w:r>
      <w:r w:rsidR="00AB3405">
        <w:rPr>
          <w:rStyle w:val="FootnoteReference"/>
          <w:rFonts w:ascii="Garamond" w:hAnsi="Garamond"/>
          <w:b/>
          <w:sz w:val="24"/>
          <w:szCs w:val="24"/>
        </w:rPr>
        <w:footnoteReference w:customMarkFollows="1" w:id="1"/>
        <w:t>*</w:t>
      </w:r>
    </w:p>
    <w:p w14:paraId="21E5DEE9" w14:textId="77777777" w:rsidR="00BE7153" w:rsidRPr="00E004A2" w:rsidRDefault="00BE7153">
      <w:pPr>
        <w:rPr>
          <w:rFonts w:ascii="Garamond" w:hAnsi="Garamond"/>
          <w:sz w:val="24"/>
          <w:szCs w:val="24"/>
        </w:rPr>
      </w:pPr>
    </w:p>
    <w:p w14:paraId="0AA5676A" w14:textId="50C3BD4E" w:rsidR="00CE6242" w:rsidRDefault="00CE6242">
      <w:pPr>
        <w:rPr>
          <w:rFonts w:ascii="Garamond" w:hAnsi="Garamond"/>
          <w:sz w:val="24"/>
          <w:szCs w:val="24"/>
        </w:rPr>
      </w:pPr>
    </w:p>
    <w:p w14:paraId="004227A4" w14:textId="0DE98F89" w:rsidR="00421C9C" w:rsidRPr="00AB3405" w:rsidRDefault="00421C9C" w:rsidP="00AB3405">
      <w:pPr>
        <w:pStyle w:val="Heading2"/>
      </w:pPr>
      <w:r w:rsidRPr="00AB3405">
        <w:t>Abstract</w:t>
      </w:r>
    </w:p>
    <w:p w14:paraId="5CC216E7" w14:textId="6C198D22" w:rsidR="00E26462" w:rsidRPr="003727C6" w:rsidRDefault="00E26462" w:rsidP="00F30512">
      <w:pPr>
        <w:tabs>
          <w:tab w:val="left" w:pos="720"/>
          <w:tab w:val="left" w:pos="1440"/>
          <w:tab w:val="left" w:pos="2160"/>
          <w:tab w:val="left" w:pos="2880"/>
          <w:tab w:val="left" w:pos="3600"/>
          <w:tab w:val="left" w:pos="4320"/>
        </w:tabs>
        <w:spacing w:line="276" w:lineRule="auto"/>
        <w:rPr>
          <w:rFonts w:ascii="Garamond" w:hAnsi="Garamond"/>
          <w:kern w:val="1"/>
          <w:sz w:val="24"/>
          <w:szCs w:val="24"/>
        </w:rPr>
      </w:pPr>
      <w:r w:rsidRPr="003727C6">
        <w:rPr>
          <w:rFonts w:ascii="Garamond" w:hAnsi="Garamond"/>
          <w:kern w:val="1"/>
          <w:sz w:val="24"/>
          <w:szCs w:val="24"/>
        </w:rPr>
        <w:t xml:space="preserve">This article draws on original empirical research to explore the politics of experimental feminist statutes. It has two main aims. First, it traces how conventional legislative drafting techniques have participated in the wider social creation and continuance of sex/gender norms. It shows how dominant statutory expressions of sex and gender that might otherwise appear timeless have shifted with social change and legal innovation. </w:t>
      </w:r>
      <w:r w:rsidR="00876304">
        <w:rPr>
          <w:rFonts w:ascii="Garamond" w:hAnsi="Garamond"/>
          <w:kern w:val="1"/>
          <w:sz w:val="24"/>
          <w:szCs w:val="24"/>
        </w:rPr>
        <w:t>The article</w:t>
      </w:r>
      <w:r w:rsidRPr="003727C6">
        <w:rPr>
          <w:rFonts w:ascii="Garamond" w:hAnsi="Garamond"/>
          <w:kern w:val="1"/>
          <w:sz w:val="24"/>
          <w:szCs w:val="24"/>
        </w:rPr>
        <w:t xml:space="preserve"> contributes to debates in feminist legal studies, legal anthropology, and legislative drafting by making visible, and analysing the particular power of legislative text, its ‘alchemy’</w:t>
      </w:r>
      <w:r w:rsidR="00876304">
        <w:rPr>
          <w:rFonts w:ascii="Garamond" w:hAnsi="Garamond"/>
          <w:kern w:val="1"/>
          <w:sz w:val="24"/>
          <w:szCs w:val="24"/>
        </w:rPr>
        <w:t>,</w:t>
      </w:r>
      <w:r w:rsidRPr="003727C6">
        <w:rPr>
          <w:rFonts w:ascii="Garamond" w:hAnsi="Garamond"/>
          <w:kern w:val="1"/>
          <w:sz w:val="24"/>
          <w:szCs w:val="24"/>
        </w:rPr>
        <w:t xml:space="preserve"> in expressing</w:t>
      </w:r>
      <w:r w:rsidR="001D2671">
        <w:rPr>
          <w:rFonts w:ascii="Garamond" w:hAnsi="Garamond"/>
          <w:kern w:val="1"/>
          <w:sz w:val="24"/>
          <w:szCs w:val="24"/>
        </w:rPr>
        <w:t xml:space="preserve"> </w:t>
      </w:r>
      <w:r w:rsidRPr="003727C6">
        <w:rPr>
          <w:rFonts w:ascii="Garamond" w:hAnsi="Garamond"/>
          <w:kern w:val="1"/>
          <w:sz w:val="24"/>
          <w:szCs w:val="24"/>
        </w:rPr>
        <w:t xml:space="preserve">and re-creating sex/gender as a social, cultural and political artefact. Second, drawing on this research, the article explores what the </w:t>
      </w:r>
      <w:r w:rsidRPr="00F30512">
        <w:rPr>
          <w:rFonts w:ascii="Garamond" w:hAnsi="Garamond"/>
          <w:i/>
          <w:iCs/>
          <w:kern w:val="1"/>
          <w:sz w:val="24"/>
          <w:szCs w:val="24"/>
        </w:rPr>
        <w:t>Future of</w:t>
      </w:r>
      <w:r w:rsidR="00035B9E">
        <w:rPr>
          <w:rFonts w:ascii="Garamond" w:hAnsi="Garamond"/>
          <w:i/>
          <w:iCs/>
          <w:kern w:val="1"/>
          <w:sz w:val="24"/>
          <w:szCs w:val="24"/>
        </w:rPr>
        <w:t xml:space="preserve"> </w:t>
      </w:r>
      <w:r w:rsidRPr="00F30512">
        <w:rPr>
          <w:rFonts w:ascii="Garamond" w:hAnsi="Garamond"/>
          <w:i/>
          <w:iCs/>
          <w:kern w:val="1"/>
          <w:sz w:val="24"/>
          <w:szCs w:val="24"/>
        </w:rPr>
        <w:t>Legal Gender</w:t>
      </w:r>
      <w:r w:rsidRPr="003727C6">
        <w:rPr>
          <w:rFonts w:ascii="Garamond" w:hAnsi="Garamond"/>
          <w:kern w:val="1"/>
          <w:sz w:val="24"/>
          <w:szCs w:val="24"/>
        </w:rPr>
        <w:t xml:space="preserve"> project might consider and do when drafting an experimental statute to decertify legal gender. Addressing questions of positionality, believability, legal form and the use of potentially innovative or contested drafting techniques (the singular “they”, the second person), the article </w:t>
      </w:r>
      <w:r w:rsidR="008A07FE">
        <w:rPr>
          <w:rFonts w:ascii="Garamond" w:hAnsi="Garamond"/>
          <w:kern w:val="1"/>
          <w:sz w:val="24"/>
          <w:szCs w:val="24"/>
        </w:rPr>
        <w:t xml:space="preserve">explores </w:t>
      </w:r>
      <w:r w:rsidR="00B83271">
        <w:rPr>
          <w:rFonts w:ascii="Garamond" w:hAnsi="Garamond"/>
          <w:kern w:val="1"/>
          <w:sz w:val="24"/>
          <w:szCs w:val="24"/>
        </w:rPr>
        <w:t xml:space="preserve">tensions between legislative drafting and </w:t>
      </w:r>
      <w:r w:rsidRPr="003727C6">
        <w:rPr>
          <w:rFonts w:ascii="Garamond" w:hAnsi="Garamond"/>
          <w:kern w:val="1"/>
          <w:sz w:val="24"/>
          <w:szCs w:val="24"/>
        </w:rPr>
        <w:t>feminist legal method</w:t>
      </w:r>
      <w:r w:rsidR="006B2109">
        <w:rPr>
          <w:rFonts w:ascii="Garamond" w:hAnsi="Garamond"/>
          <w:kern w:val="1"/>
          <w:sz w:val="24"/>
          <w:szCs w:val="24"/>
        </w:rPr>
        <w:t>, as well as the benefits for bringing feminist analysis and perspectives to this important aspect of legal practice.</w:t>
      </w:r>
      <w:r w:rsidRPr="003727C6">
        <w:rPr>
          <w:rFonts w:ascii="Garamond" w:hAnsi="Garamond"/>
          <w:kern w:val="1"/>
          <w:sz w:val="24"/>
          <w:szCs w:val="24"/>
        </w:rPr>
        <w:t xml:space="preserve"> </w:t>
      </w:r>
      <w:r w:rsidR="00B37F44">
        <w:rPr>
          <w:rFonts w:ascii="Garamond" w:hAnsi="Garamond"/>
          <w:kern w:val="1"/>
          <w:sz w:val="24"/>
          <w:szCs w:val="24"/>
        </w:rPr>
        <w:t>Given that l</w:t>
      </w:r>
      <w:r w:rsidRPr="003727C6">
        <w:rPr>
          <w:rFonts w:ascii="Garamond" w:hAnsi="Garamond"/>
          <w:kern w:val="1"/>
          <w:sz w:val="24"/>
          <w:szCs w:val="24"/>
        </w:rPr>
        <w:t xml:space="preserve">egislative drafting does not merely inscribe pre-agreed policy ideas into legal text but helps to shape emerging ontologies of gender, then drafting an experimental statute </w:t>
      </w:r>
      <w:r w:rsidR="00F11F61">
        <w:rPr>
          <w:rFonts w:ascii="Garamond" w:hAnsi="Garamond"/>
          <w:kern w:val="1"/>
          <w:sz w:val="24"/>
          <w:szCs w:val="24"/>
        </w:rPr>
        <w:t xml:space="preserve">invites </w:t>
      </w:r>
      <w:r w:rsidR="00E919AE">
        <w:rPr>
          <w:rFonts w:ascii="Garamond" w:hAnsi="Garamond"/>
          <w:kern w:val="1"/>
          <w:sz w:val="24"/>
          <w:szCs w:val="24"/>
        </w:rPr>
        <w:t>feminists</w:t>
      </w:r>
      <w:r w:rsidR="00F11F61">
        <w:rPr>
          <w:rFonts w:ascii="Garamond" w:hAnsi="Garamond"/>
          <w:kern w:val="1"/>
          <w:sz w:val="24"/>
          <w:szCs w:val="24"/>
        </w:rPr>
        <w:t xml:space="preserve"> to </w:t>
      </w:r>
      <w:r w:rsidR="00861BE8">
        <w:rPr>
          <w:rFonts w:ascii="Garamond" w:hAnsi="Garamond"/>
          <w:kern w:val="1"/>
          <w:sz w:val="24"/>
          <w:szCs w:val="24"/>
        </w:rPr>
        <w:t xml:space="preserve">pay attention to interlinked questions of substance and form in the exploration of </w:t>
      </w:r>
      <w:r w:rsidR="00FE4F53">
        <w:rPr>
          <w:rFonts w:ascii="Garamond" w:hAnsi="Garamond"/>
          <w:kern w:val="1"/>
          <w:sz w:val="24"/>
          <w:szCs w:val="24"/>
        </w:rPr>
        <w:t>prefigurative legal futures.</w:t>
      </w:r>
    </w:p>
    <w:p w14:paraId="7DA07EBB" w14:textId="77777777" w:rsidR="00E26462" w:rsidRPr="00E26462" w:rsidRDefault="00E26462">
      <w:pPr>
        <w:rPr>
          <w:rFonts w:ascii="Garamond" w:hAnsi="Garamond"/>
          <w:sz w:val="24"/>
          <w:szCs w:val="24"/>
        </w:rPr>
      </w:pPr>
    </w:p>
    <w:p w14:paraId="03415798" w14:textId="77777777" w:rsidR="00421C9C" w:rsidRPr="00E004A2" w:rsidRDefault="00421C9C">
      <w:pPr>
        <w:rPr>
          <w:rFonts w:ascii="Garamond" w:hAnsi="Garamond"/>
          <w:sz w:val="24"/>
          <w:szCs w:val="24"/>
        </w:rPr>
      </w:pPr>
    </w:p>
    <w:p w14:paraId="067D0E06" w14:textId="77777777" w:rsidR="00BE7153" w:rsidRPr="00E004A2" w:rsidRDefault="00BE7153">
      <w:pPr>
        <w:rPr>
          <w:rFonts w:ascii="Garamond" w:hAnsi="Garamond"/>
          <w:sz w:val="24"/>
          <w:szCs w:val="24"/>
        </w:rPr>
      </w:pPr>
    </w:p>
    <w:p w14:paraId="068FBEB8" w14:textId="499E44F7" w:rsidR="00CE6242" w:rsidRPr="00E004A2" w:rsidRDefault="00BE7153" w:rsidP="001C3C86">
      <w:pPr>
        <w:spacing w:line="480" w:lineRule="auto"/>
        <w:ind w:left="360" w:firstLine="40"/>
        <w:rPr>
          <w:rFonts w:ascii="Garamond" w:hAnsi="Garamond"/>
          <w:sz w:val="24"/>
          <w:szCs w:val="24"/>
        </w:rPr>
      </w:pPr>
      <w:r w:rsidRPr="00E004A2">
        <w:rPr>
          <w:rFonts w:ascii="Garamond" w:hAnsi="Garamond"/>
          <w:sz w:val="24"/>
          <w:szCs w:val="24"/>
        </w:rPr>
        <w:t>… what I really want is for all the many gendered possibilities in the world to be, not normal, but rather profoundly ordinary and familiar.</w:t>
      </w:r>
      <w:r w:rsidRPr="00E004A2">
        <w:rPr>
          <w:rFonts w:ascii="Garamond" w:hAnsi="Garamond"/>
          <w:i/>
          <w:sz w:val="24"/>
          <w:szCs w:val="24"/>
        </w:rPr>
        <w:t xml:space="preserve"> </w:t>
      </w:r>
      <w:r w:rsidRPr="00E004A2">
        <w:rPr>
          <w:rFonts w:ascii="Garamond" w:hAnsi="Garamond"/>
          <w:sz w:val="24"/>
          <w:szCs w:val="24"/>
        </w:rPr>
        <w:t>(Eli Clare</w:t>
      </w:r>
      <w:r w:rsidR="00E27195">
        <w:rPr>
          <w:rFonts w:ascii="Garamond" w:hAnsi="Garamond"/>
          <w:sz w:val="24"/>
          <w:szCs w:val="24"/>
        </w:rPr>
        <w:t>,</w:t>
      </w:r>
      <w:r w:rsidRPr="00E004A2">
        <w:rPr>
          <w:rFonts w:ascii="Garamond" w:hAnsi="Garamond"/>
          <w:sz w:val="24"/>
          <w:szCs w:val="24"/>
        </w:rPr>
        <w:t xml:space="preserve"> 2015, </w:t>
      </w:r>
      <w:proofErr w:type="spellStart"/>
      <w:r w:rsidR="00EF596E">
        <w:rPr>
          <w:rFonts w:ascii="Garamond" w:hAnsi="Garamond"/>
          <w:sz w:val="24"/>
          <w:szCs w:val="24"/>
        </w:rPr>
        <w:t>p.</w:t>
      </w:r>
      <w:r w:rsidRPr="00E004A2">
        <w:rPr>
          <w:rFonts w:ascii="Garamond" w:hAnsi="Garamond"/>
          <w:sz w:val="24"/>
          <w:szCs w:val="24"/>
        </w:rPr>
        <w:t>xxviii</w:t>
      </w:r>
      <w:proofErr w:type="spellEnd"/>
      <w:r w:rsidRPr="00E004A2">
        <w:rPr>
          <w:rFonts w:ascii="Garamond" w:hAnsi="Garamond"/>
          <w:sz w:val="24"/>
          <w:szCs w:val="24"/>
        </w:rPr>
        <w:t>)</w:t>
      </w:r>
    </w:p>
    <w:p w14:paraId="7699E2A2" w14:textId="77777777" w:rsidR="00CE6242" w:rsidRPr="00E004A2" w:rsidRDefault="00CE6242" w:rsidP="001C3C86">
      <w:pPr>
        <w:widowControl w:val="0"/>
        <w:tabs>
          <w:tab w:val="left" w:pos="720"/>
          <w:tab w:val="left" w:pos="1440"/>
          <w:tab w:val="left" w:pos="2160"/>
          <w:tab w:val="left" w:pos="2880"/>
          <w:tab w:val="left" w:pos="3600"/>
          <w:tab w:val="left" w:pos="4320"/>
        </w:tabs>
        <w:spacing w:line="480" w:lineRule="auto"/>
        <w:rPr>
          <w:rFonts w:ascii="Garamond" w:hAnsi="Garamond"/>
          <w:sz w:val="24"/>
          <w:szCs w:val="24"/>
        </w:rPr>
      </w:pPr>
    </w:p>
    <w:p w14:paraId="0898681A" w14:textId="77777777" w:rsidR="00BE7153" w:rsidRPr="00E004A2" w:rsidRDefault="005763E8" w:rsidP="001C3C86">
      <w:pPr>
        <w:widowControl w:val="0"/>
        <w:tabs>
          <w:tab w:val="left" w:pos="720"/>
          <w:tab w:val="left" w:pos="1440"/>
          <w:tab w:val="left" w:pos="2160"/>
          <w:tab w:val="left" w:pos="2880"/>
          <w:tab w:val="left" w:pos="3600"/>
          <w:tab w:val="left" w:pos="4320"/>
        </w:tabs>
        <w:spacing w:line="480" w:lineRule="auto"/>
        <w:ind w:left="360"/>
        <w:rPr>
          <w:rFonts w:ascii="Garamond" w:hAnsi="Garamond"/>
          <w:b/>
          <w:sz w:val="24"/>
          <w:szCs w:val="24"/>
          <w:lang w:val="en-US"/>
        </w:rPr>
      </w:pPr>
      <w:r w:rsidRPr="00E004A2">
        <w:rPr>
          <w:rFonts w:ascii="Garamond" w:hAnsi="Garamond"/>
          <w:sz w:val="24"/>
          <w:szCs w:val="24"/>
        </w:rPr>
        <w:t>The medium is not the message. (Office of the Parliamentary Counsel Drafting Guidance, July 2018)</w:t>
      </w:r>
    </w:p>
    <w:p w14:paraId="59DE5BAD" w14:textId="77777777" w:rsidR="005763E8" w:rsidRPr="00E004A2" w:rsidRDefault="005763E8" w:rsidP="005763E8">
      <w:pPr>
        <w:tabs>
          <w:tab w:val="left" w:pos="720"/>
          <w:tab w:val="left" w:pos="1440"/>
          <w:tab w:val="left" w:pos="2160"/>
          <w:tab w:val="left" w:pos="2880"/>
          <w:tab w:val="left" w:pos="3600"/>
          <w:tab w:val="left" w:pos="4320"/>
        </w:tabs>
        <w:ind w:firstLine="360"/>
        <w:rPr>
          <w:rFonts w:ascii="Garamond" w:hAnsi="Garamond"/>
          <w:kern w:val="1"/>
          <w:sz w:val="24"/>
          <w:szCs w:val="24"/>
        </w:rPr>
      </w:pPr>
    </w:p>
    <w:p w14:paraId="426FD876" w14:textId="77777777" w:rsidR="005763E8" w:rsidRPr="00E004A2" w:rsidRDefault="005763E8" w:rsidP="005763E8">
      <w:pPr>
        <w:tabs>
          <w:tab w:val="left" w:pos="720"/>
          <w:tab w:val="left" w:pos="1440"/>
          <w:tab w:val="left" w:pos="2160"/>
          <w:tab w:val="left" w:pos="2880"/>
          <w:tab w:val="left" w:pos="3600"/>
          <w:tab w:val="left" w:pos="4320"/>
        </w:tabs>
        <w:ind w:firstLine="360"/>
        <w:rPr>
          <w:rFonts w:ascii="Garamond" w:hAnsi="Garamond"/>
          <w:kern w:val="1"/>
          <w:sz w:val="24"/>
          <w:szCs w:val="24"/>
        </w:rPr>
      </w:pPr>
    </w:p>
    <w:p w14:paraId="0C571BE7" w14:textId="77777777" w:rsidR="003727C6" w:rsidRDefault="003727C6" w:rsidP="000331C3">
      <w:pPr>
        <w:tabs>
          <w:tab w:val="left" w:pos="720"/>
          <w:tab w:val="left" w:pos="1440"/>
          <w:tab w:val="left" w:pos="2160"/>
          <w:tab w:val="left" w:pos="2880"/>
          <w:tab w:val="left" w:pos="3600"/>
          <w:tab w:val="left" w:pos="4320"/>
        </w:tabs>
        <w:spacing w:line="480" w:lineRule="auto"/>
        <w:rPr>
          <w:rFonts w:ascii="Garamond" w:hAnsi="Garamond"/>
          <w:bCs/>
          <w:i/>
          <w:iCs/>
          <w:kern w:val="1"/>
          <w:sz w:val="24"/>
          <w:szCs w:val="24"/>
        </w:rPr>
      </w:pPr>
    </w:p>
    <w:p w14:paraId="2603A988" w14:textId="7AC7DFA4" w:rsidR="00AB3405" w:rsidRPr="00AB3405" w:rsidRDefault="00BE7153" w:rsidP="00AB3405">
      <w:pPr>
        <w:pStyle w:val="Heading2"/>
      </w:pPr>
      <w:r w:rsidRPr="00AB3405">
        <w:t>Introduction</w:t>
      </w:r>
    </w:p>
    <w:p w14:paraId="647DD7E0" w14:textId="1ACF83E5" w:rsidR="000B7C56" w:rsidRPr="00E004A2" w:rsidRDefault="002D7F1F" w:rsidP="006E1976">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Feminist legal research aims to understand how law shapes and limits social life</w:t>
      </w:r>
      <w:r w:rsidR="002F0F0A" w:rsidRPr="00E004A2">
        <w:rPr>
          <w:rFonts w:ascii="Garamond" w:hAnsi="Garamond"/>
          <w:kern w:val="1"/>
          <w:sz w:val="24"/>
          <w:szCs w:val="24"/>
        </w:rPr>
        <w:t xml:space="preserve">, creating inequalities </w:t>
      </w:r>
      <w:r w:rsidR="00346866" w:rsidRPr="00E004A2">
        <w:rPr>
          <w:rFonts w:ascii="Garamond" w:hAnsi="Garamond"/>
          <w:kern w:val="1"/>
          <w:sz w:val="24"/>
          <w:szCs w:val="24"/>
        </w:rPr>
        <w:t>through gendered norms, practices and processes</w:t>
      </w:r>
      <w:r w:rsidRPr="00E004A2">
        <w:rPr>
          <w:rFonts w:ascii="Garamond" w:hAnsi="Garamond"/>
          <w:kern w:val="1"/>
          <w:sz w:val="24"/>
          <w:szCs w:val="24"/>
        </w:rPr>
        <w:t xml:space="preserve">. </w:t>
      </w:r>
      <w:r w:rsidR="00EC7CBA" w:rsidRPr="00E004A2">
        <w:rPr>
          <w:rFonts w:ascii="Garamond" w:hAnsi="Garamond"/>
          <w:kern w:val="1"/>
          <w:sz w:val="24"/>
          <w:szCs w:val="24"/>
        </w:rPr>
        <w:t xml:space="preserve">This article </w:t>
      </w:r>
      <w:r w:rsidRPr="00E004A2">
        <w:rPr>
          <w:rFonts w:ascii="Garamond" w:hAnsi="Garamond"/>
          <w:kern w:val="1"/>
          <w:sz w:val="24"/>
          <w:szCs w:val="24"/>
        </w:rPr>
        <w:t xml:space="preserve">contributes to such debates by </w:t>
      </w:r>
      <w:r w:rsidR="00EC7CBA" w:rsidRPr="00E004A2">
        <w:rPr>
          <w:rFonts w:ascii="Garamond" w:hAnsi="Garamond"/>
          <w:kern w:val="1"/>
          <w:sz w:val="24"/>
          <w:szCs w:val="24"/>
        </w:rPr>
        <w:t>explor</w:t>
      </w:r>
      <w:r w:rsidRPr="00E004A2">
        <w:rPr>
          <w:rFonts w:ascii="Garamond" w:hAnsi="Garamond"/>
          <w:kern w:val="1"/>
          <w:sz w:val="24"/>
          <w:szCs w:val="24"/>
        </w:rPr>
        <w:t>ing</w:t>
      </w:r>
      <w:r w:rsidR="006A5C85" w:rsidRPr="00E004A2">
        <w:rPr>
          <w:rFonts w:ascii="Garamond" w:hAnsi="Garamond"/>
          <w:kern w:val="1"/>
          <w:sz w:val="24"/>
          <w:szCs w:val="24"/>
        </w:rPr>
        <w:t xml:space="preserve"> how </w:t>
      </w:r>
      <w:r w:rsidRPr="00E004A2">
        <w:rPr>
          <w:rFonts w:ascii="Garamond" w:hAnsi="Garamond"/>
          <w:kern w:val="1"/>
          <w:sz w:val="24"/>
          <w:szCs w:val="24"/>
        </w:rPr>
        <w:t xml:space="preserve">legislative drafting supports </w:t>
      </w:r>
      <w:r w:rsidR="006A5C85" w:rsidRPr="00E004A2">
        <w:rPr>
          <w:rFonts w:ascii="Garamond" w:hAnsi="Garamond"/>
          <w:kern w:val="1"/>
          <w:sz w:val="24"/>
          <w:szCs w:val="24"/>
        </w:rPr>
        <w:t xml:space="preserve">the social construction of </w:t>
      </w:r>
      <w:r w:rsidRPr="00E004A2">
        <w:rPr>
          <w:rFonts w:ascii="Garamond" w:hAnsi="Garamond"/>
          <w:kern w:val="1"/>
          <w:sz w:val="24"/>
          <w:szCs w:val="24"/>
        </w:rPr>
        <w:t>sex/</w:t>
      </w:r>
      <w:r w:rsidR="006A5C85" w:rsidRPr="00E004A2">
        <w:rPr>
          <w:rFonts w:ascii="Garamond" w:hAnsi="Garamond"/>
          <w:kern w:val="1"/>
          <w:sz w:val="24"/>
          <w:szCs w:val="24"/>
        </w:rPr>
        <w:t>gender</w:t>
      </w:r>
      <w:r w:rsidRPr="00E004A2">
        <w:rPr>
          <w:rFonts w:ascii="Garamond" w:hAnsi="Garamond"/>
          <w:kern w:val="1"/>
          <w:sz w:val="24"/>
          <w:szCs w:val="24"/>
        </w:rPr>
        <w:t xml:space="preserve"> – in other words how the writing of statutes has both drawn on and created </w:t>
      </w:r>
      <w:r w:rsidR="00346866" w:rsidRPr="00E004A2">
        <w:rPr>
          <w:rFonts w:ascii="Garamond" w:hAnsi="Garamond"/>
          <w:kern w:val="1"/>
          <w:sz w:val="24"/>
          <w:szCs w:val="24"/>
        </w:rPr>
        <w:t xml:space="preserve">powerful </w:t>
      </w:r>
      <w:r w:rsidRPr="00E004A2">
        <w:rPr>
          <w:rFonts w:ascii="Garamond" w:hAnsi="Garamond"/>
          <w:kern w:val="1"/>
          <w:sz w:val="24"/>
          <w:szCs w:val="24"/>
        </w:rPr>
        <w:t>sex/gender norms.</w:t>
      </w:r>
      <w:r w:rsidRPr="00645D9E">
        <w:rPr>
          <w:rStyle w:val="FootnoteReference"/>
        </w:rPr>
        <w:footnoteReference w:id="2"/>
      </w:r>
      <w:r w:rsidRPr="00E004A2">
        <w:rPr>
          <w:rFonts w:ascii="Garamond" w:hAnsi="Garamond"/>
          <w:kern w:val="1"/>
          <w:sz w:val="24"/>
          <w:szCs w:val="24"/>
        </w:rPr>
        <w:t xml:space="preserve"> </w:t>
      </w:r>
      <w:r w:rsidRPr="00E004A2">
        <w:rPr>
          <w:rFonts w:ascii="Garamond" w:hAnsi="Garamond"/>
          <w:kern w:val="1"/>
          <w:sz w:val="24"/>
          <w:szCs w:val="24"/>
          <w:highlight w:val="white"/>
        </w:rPr>
        <w:t>Legislative drafting is the practice of writing primary or secondary legislation for later debate in Parliament and, depending on the outcome of those debates, eventual enactment into law.</w:t>
      </w:r>
      <w:r w:rsidR="009119A1" w:rsidRPr="00645D9E">
        <w:rPr>
          <w:rStyle w:val="FootnoteReference"/>
          <w:highlight w:val="white"/>
        </w:rPr>
        <w:footnoteReference w:id="3"/>
      </w:r>
      <w:r w:rsidRPr="00E004A2">
        <w:rPr>
          <w:rFonts w:ascii="Garamond" w:hAnsi="Garamond"/>
          <w:kern w:val="1"/>
          <w:sz w:val="24"/>
          <w:szCs w:val="24"/>
        </w:rPr>
        <w:t xml:space="preserve"> </w:t>
      </w:r>
      <w:r w:rsidR="00723C78" w:rsidRPr="00E004A2">
        <w:rPr>
          <w:rFonts w:ascii="Garamond" w:hAnsi="Garamond"/>
          <w:kern w:val="1"/>
          <w:sz w:val="24"/>
          <w:szCs w:val="24"/>
        </w:rPr>
        <w:t>As is evident from the current special issue, f</w:t>
      </w:r>
      <w:r w:rsidRPr="00E004A2">
        <w:rPr>
          <w:rFonts w:ascii="Garamond" w:hAnsi="Garamond"/>
          <w:kern w:val="1"/>
          <w:sz w:val="24"/>
          <w:szCs w:val="24"/>
        </w:rPr>
        <w:t>or the past two years</w:t>
      </w:r>
      <w:r w:rsidR="002918E8" w:rsidRPr="00E004A2">
        <w:rPr>
          <w:rFonts w:ascii="Garamond" w:hAnsi="Garamond"/>
          <w:kern w:val="1"/>
          <w:sz w:val="24"/>
          <w:szCs w:val="24"/>
        </w:rPr>
        <w:t xml:space="preserve"> </w:t>
      </w:r>
      <w:r w:rsidRPr="00E004A2">
        <w:rPr>
          <w:rFonts w:ascii="Garamond" w:hAnsi="Garamond"/>
          <w:kern w:val="1"/>
          <w:sz w:val="24"/>
          <w:szCs w:val="24"/>
        </w:rPr>
        <w:t xml:space="preserve">I have been working on the </w:t>
      </w:r>
      <w:r w:rsidRPr="00E004A2">
        <w:rPr>
          <w:rFonts w:ascii="Garamond" w:hAnsi="Garamond"/>
          <w:i/>
          <w:iCs/>
          <w:kern w:val="1"/>
          <w:sz w:val="24"/>
          <w:szCs w:val="24"/>
        </w:rPr>
        <w:t>Future of Legal Gend</w:t>
      </w:r>
      <w:r w:rsidRPr="00532C24">
        <w:rPr>
          <w:rFonts w:ascii="Garamond" w:hAnsi="Garamond"/>
          <w:i/>
          <w:iCs/>
          <w:kern w:val="1"/>
          <w:sz w:val="24"/>
          <w:szCs w:val="24"/>
        </w:rPr>
        <w:t>e</w:t>
      </w:r>
      <w:r w:rsidRPr="00F30512">
        <w:rPr>
          <w:rFonts w:ascii="Garamond" w:hAnsi="Garamond"/>
          <w:i/>
          <w:iCs/>
          <w:kern w:val="1"/>
          <w:sz w:val="24"/>
          <w:szCs w:val="24"/>
        </w:rPr>
        <w:t>r</w:t>
      </w:r>
      <w:r w:rsidRPr="00E004A2">
        <w:rPr>
          <w:rFonts w:ascii="Garamond" w:hAnsi="Garamond"/>
          <w:kern w:val="1"/>
          <w:sz w:val="24"/>
          <w:szCs w:val="24"/>
        </w:rPr>
        <w:t xml:space="preserve"> project, an interdisciplinary </w:t>
      </w:r>
      <w:r w:rsidR="009C37DA" w:rsidRPr="00E004A2">
        <w:rPr>
          <w:rFonts w:ascii="Garamond" w:hAnsi="Garamond"/>
          <w:kern w:val="1"/>
          <w:sz w:val="24"/>
          <w:szCs w:val="24"/>
        </w:rPr>
        <w:t>research project</w:t>
      </w:r>
      <w:r w:rsidRPr="00E004A2">
        <w:rPr>
          <w:rFonts w:ascii="Garamond" w:hAnsi="Garamond"/>
          <w:kern w:val="1"/>
          <w:sz w:val="24"/>
          <w:szCs w:val="24"/>
        </w:rPr>
        <w:t xml:space="preserve"> that critically explores ways to reform the status of sex/gender in the law of England and Wales.</w:t>
      </w:r>
      <w:r w:rsidRPr="00645D9E">
        <w:rPr>
          <w:rStyle w:val="FootnoteReference"/>
        </w:rPr>
        <w:footnoteReference w:id="4"/>
      </w:r>
      <w:r w:rsidRPr="00E004A2">
        <w:rPr>
          <w:rFonts w:ascii="Garamond" w:hAnsi="Garamond"/>
          <w:kern w:val="1"/>
          <w:sz w:val="24"/>
          <w:szCs w:val="24"/>
        </w:rPr>
        <w:t xml:space="preserve"> Our research is currently engaged with thinking through what it would mean for feminist legal scholarship and activism if gender were decertified in law – in other words, if the state no longer officially </w:t>
      </w:r>
      <w:r w:rsidR="00B2089C" w:rsidRPr="00E004A2">
        <w:rPr>
          <w:rFonts w:ascii="Garamond" w:hAnsi="Garamond"/>
          <w:kern w:val="1"/>
          <w:sz w:val="24"/>
          <w:szCs w:val="24"/>
        </w:rPr>
        <w:t>determined</w:t>
      </w:r>
      <w:r w:rsidRPr="00E004A2">
        <w:rPr>
          <w:rFonts w:ascii="Garamond" w:hAnsi="Garamond"/>
          <w:kern w:val="1"/>
          <w:sz w:val="24"/>
          <w:szCs w:val="24"/>
        </w:rPr>
        <w:t>,</w:t>
      </w:r>
      <w:r w:rsidR="00B2089C" w:rsidRPr="00E004A2">
        <w:rPr>
          <w:rFonts w:ascii="Garamond" w:hAnsi="Garamond"/>
          <w:kern w:val="1"/>
          <w:sz w:val="24"/>
          <w:szCs w:val="24"/>
        </w:rPr>
        <w:t xml:space="preserve"> guaranteed </w:t>
      </w:r>
      <w:r w:rsidRPr="00E004A2">
        <w:rPr>
          <w:rFonts w:ascii="Garamond" w:hAnsi="Garamond"/>
          <w:kern w:val="1"/>
          <w:sz w:val="24"/>
          <w:szCs w:val="24"/>
        </w:rPr>
        <w:t xml:space="preserve">or </w:t>
      </w:r>
      <w:r w:rsidR="00B2089C" w:rsidRPr="00E004A2">
        <w:rPr>
          <w:rFonts w:ascii="Garamond" w:hAnsi="Garamond"/>
          <w:kern w:val="1"/>
          <w:sz w:val="24"/>
          <w:szCs w:val="24"/>
        </w:rPr>
        <w:t xml:space="preserve">registered </w:t>
      </w:r>
      <w:r w:rsidRPr="00E004A2">
        <w:rPr>
          <w:rFonts w:ascii="Garamond" w:hAnsi="Garamond"/>
          <w:kern w:val="1"/>
          <w:sz w:val="24"/>
          <w:szCs w:val="24"/>
        </w:rPr>
        <w:t>required sex/gender and changed the law to reflect this</w:t>
      </w:r>
      <w:r w:rsidR="000A6760" w:rsidRPr="00E004A2">
        <w:rPr>
          <w:rFonts w:ascii="Garamond" w:hAnsi="Garamond"/>
          <w:kern w:val="1"/>
          <w:sz w:val="24"/>
          <w:szCs w:val="24"/>
        </w:rPr>
        <w:t xml:space="preserve"> (see further </w:t>
      </w:r>
      <w:r w:rsidR="00B02ACC">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{"citationID":"Gk1WemRR","properties":{"formattedCitation":"(Cooper and Renz, 2016)","plainCitation":"(Cooper and Renz, 2016)","noteIndex":0},"citationItems":[{"id":3492,"uris":["http://zotero.org/users/1070015/items/5WE8B3R8"],"uri":["http://zotero.org/users/1070015/items/5WE8B3R8"],"itemData":{"id":3492,"type":"article-journal","abstract":"As jurisdictions reform gender identity laws to accommodate transgender and intersex people, this article speculatively explores a more fundamental shift: eliminating state law's role in determining and assigning gender status altogether. Adopting a feminist perspective, we explore what the meaning and effects of comprehensively reforming legal gender might be upon gender's constitution as a socio-legal property, differentially recognized and protected by diverse but unequal bodies. Our discussion proceeds along two intersecting paths. The first concerns the different classificatory methods which could enable state law, without assigning gender, to continue to regulate gender identity decisions, thereby allowing state law to remain involved in tackling gender discrimination. The second concerns the changing form gender might take in conditions where state law withdraws its allocative function. These paths converge in a final discussion which considers what legal and political effects might follow from gender becoming a property that is individually and collectively cultivated.","container-title":"Journal of Law and Society","DOI":"10.1111/jols.12000","ISSN":"1467-6478","issue":"4","language":"en","note":"_eprint: https://onlinelibrary.wiley.com/doi/pdf/10.1111/jols.12000","page":"483-505","source":"Wiley Online Library","title":"If the State Decertified Gender, What Might Happen to its Meaning and Value?","volume":"43","author":[{"family":"Cooper","given":"Davina"},{"family":"Renz","given":"Flora"}],"issued":{"date-parts":[["2016"]]}}}],"schema":"https://github.com/citation-style-language/schema/raw/master/csl-citation.json"} </w:instrText>
      </w:r>
      <w:r w:rsidR="00B02ACC">
        <w:rPr>
          <w:rFonts w:ascii="Garamond" w:hAnsi="Garamond"/>
          <w:kern w:val="1"/>
          <w:sz w:val="24"/>
          <w:szCs w:val="24"/>
        </w:rPr>
        <w:fldChar w:fldCharType="separate"/>
      </w:r>
      <w:r w:rsidR="004F3785">
        <w:rPr>
          <w:rFonts w:ascii="Garamond" w:hAnsi="Garamond"/>
          <w:noProof/>
          <w:kern w:val="1"/>
          <w:sz w:val="24"/>
          <w:szCs w:val="24"/>
        </w:rPr>
        <w:t>Cooper and Renz, 2016)</w:t>
      </w:r>
      <w:r w:rsidR="00B02ACC">
        <w:rPr>
          <w:rFonts w:ascii="Garamond" w:hAnsi="Garamond"/>
          <w:kern w:val="1"/>
          <w:sz w:val="24"/>
          <w:szCs w:val="24"/>
        </w:rPr>
        <w:fldChar w:fldCharType="end"/>
      </w:r>
      <w:r w:rsidRPr="00E004A2">
        <w:rPr>
          <w:rFonts w:ascii="Garamond" w:hAnsi="Garamond"/>
          <w:kern w:val="1"/>
          <w:sz w:val="24"/>
          <w:szCs w:val="24"/>
        </w:rPr>
        <w:t xml:space="preserve">. What would be the implications for feminist politics if sex and gender were dis-attached from a legal edifice that stretches through the life course? This is an experimental or ‘prefigurative’ initiative, in other words, which engages with present and legal policy debates through a law reform question that has </w:t>
      </w:r>
      <w:r w:rsidR="00D97F39" w:rsidRPr="00E004A2">
        <w:rPr>
          <w:rFonts w:ascii="Garamond" w:hAnsi="Garamond"/>
          <w:kern w:val="1"/>
          <w:sz w:val="24"/>
          <w:szCs w:val="24"/>
        </w:rPr>
        <w:t>‘</w:t>
      </w:r>
      <w:r w:rsidRPr="00E004A2">
        <w:rPr>
          <w:rFonts w:ascii="Garamond" w:hAnsi="Garamond"/>
          <w:kern w:val="1"/>
          <w:sz w:val="24"/>
          <w:szCs w:val="24"/>
        </w:rPr>
        <w:t>not yet officially been asked’</w:t>
      </w:r>
      <w:r w:rsidR="00103F3F">
        <w:rPr>
          <w:rFonts w:ascii="Garamond" w:hAnsi="Garamond"/>
          <w:kern w:val="1"/>
          <w:sz w:val="24"/>
          <w:szCs w:val="24"/>
        </w:rPr>
        <w:t xml:space="preserve"> (see Cooper, 2018, 2020)</w:t>
      </w:r>
      <w:r w:rsidR="00346866" w:rsidRPr="00E004A2">
        <w:rPr>
          <w:rFonts w:ascii="Garamond" w:hAnsi="Garamond"/>
          <w:kern w:val="1"/>
          <w:sz w:val="24"/>
          <w:szCs w:val="24"/>
        </w:rPr>
        <w:t>.</w:t>
      </w:r>
      <w:r w:rsidRPr="00E004A2">
        <w:rPr>
          <w:rFonts w:ascii="Garamond" w:hAnsi="Garamond"/>
          <w:kern w:val="1"/>
          <w:sz w:val="24"/>
          <w:szCs w:val="24"/>
        </w:rPr>
        <w:t xml:space="preserve"> </w:t>
      </w:r>
    </w:p>
    <w:p w14:paraId="35F7A437" w14:textId="1AAF4CD0" w:rsidR="009C330B" w:rsidRPr="00E004A2" w:rsidRDefault="008C7BE9" w:rsidP="006E1976">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lastRenderedPageBreak/>
        <w:tab/>
      </w:r>
      <w:r w:rsidR="002F0F0A" w:rsidRPr="00E004A2">
        <w:rPr>
          <w:rFonts w:ascii="Garamond" w:hAnsi="Garamond"/>
          <w:kern w:val="1"/>
          <w:sz w:val="24"/>
          <w:szCs w:val="24"/>
        </w:rPr>
        <w:t xml:space="preserve">Part of such an inquiry is to create an experimental </w:t>
      </w:r>
      <w:r w:rsidR="002D7F1F" w:rsidRPr="00E004A2">
        <w:rPr>
          <w:rFonts w:ascii="Garamond" w:hAnsi="Garamond"/>
          <w:kern w:val="1"/>
          <w:sz w:val="24"/>
          <w:szCs w:val="24"/>
        </w:rPr>
        <w:t xml:space="preserve">statute that performs the </w:t>
      </w:r>
      <w:r w:rsidR="002D7F1F" w:rsidRPr="00E27195">
        <w:rPr>
          <w:rFonts w:ascii="Garamond" w:hAnsi="Garamond"/>
          <w:kern w:val="1"/>
          <w:sz w:val="24"/>
          <w:szCs w:val="24"/>
        </w:rPr>
        <w:t>‘decertification’ of sex/gender</w:t>
      </w:r>
      <w:r w:rsidR="00346866" w:rsidRPr="00E27195">
        <w:rPr>
          <w:rFonts w:ascii="Garamond" w:hAnsi="Garamond"/>
          <w:kern w:val="1"/>
          <w:sz w:val="24"/>
          <w:szCs w:val="24"/>
        </w:rPr>
        <w:t xml:space="preserve">.  </w:t>
      </w:r>
      <w:r w:rsidR="000B7C56" w:rsidRPr="00E27195">
        <w:rPr>
          <w:rFonts w:ascii="Garamond" w:hAnsi="Garamond"/>
          <w:kern w:val="1"/>
          <w:sz w:val="24"/>
          <w:szCs w:val="24"/>
        </w:rPr>
        <w:t xml:space="preserve">As such, the current article </w:t>
      </w:r>
      <w:r w:rsidR="003D1557" w:rsidRPr="00E27195">
        <w:rPr>
          <w:rFonts w:ascii="Garamond" w:hAnsi="Garamond"/>
          <w:kern w:val="1"/>
          <w:sz w:val="24"/>
          <w:szCs w:val="24"/>
        </w:rPr>
        <w:t xml:space="preserve">draws on </w:t>
      </w:r>
      <w:r w:rsidR="00C11296" w:rsidRPr="00E27195">
        <w:rPr>
          <w:rFonts w:ascii="Garamond" w:hAnsi="Garamond"/>
          <w:kern w:val="1"/>
          <w:sz w:val="24"/>
          <w:szCs w:val="24"/>
        </w:rPr>
        <w:t>in-</w:t>
      </w:r>
      <w:r w:rsidR="003D1557" w:rsidRPr="00E27195">
        <w:rPr>
          <w:rFonts w:ascii="Garamond" w:hAnsi="Garamond"/>
          <w:kern w:val="1"/>
          <w:sz w:val="24"/>
          <w:szCs w:val="24"/>
        </w:rPr>
        <w:t>depth interviews with</w:t>
      </w:r>
      <w:r w:rsidR="003D1557" w:rsidRPr="00E004A2">
        <w:rPr>
          <w:rFonts w:ascii="Garamond" w:hAnsi="Garamond"/>
          <w:kern w:val="1"/>
          <w:sz w:val="24"/>
          <w:szCs w:val="24"/>
        </w:rPr>
        <w:t xml:space="preserve"> legislative drafters</w:t>
      </w:r>
      <w:r w:rsidR="00DC689D" w:rsidRPr="00E004A2">
        <w:rPr>
          <w:rFonts w:ascii="Garamond" w:hAnsi="Garamond"/>
          <w:kern w:val="1"/>
          <w:sz w:val="24"/>
          <w:szCs w:val="24"/>
        </w:rPr>
        <w:t xml:space="preserve"> </w:t>
      </w:r>
      <w:r w:rsidR="00417E82" w:rsidRPr="00E004A2">
        <w:rPr>
          <w:rFonts w:ascii="Garamond" w:hAnsi="Garamond"/>
          <w:kern w:val="1"/>
          <w:sz w:val="24"/>
          <w:szCs w:val="24"/>
        </w:rPr>
        <w:t xml:space="preserve">and </w:t>
      </w:r>
      <w:r w:rsidR="003D1557" w:rsidRPr="00E004A2">
        <w:rPr>
          <w:rFonts w:ascii="Garamond" w:hAnsi="Garamond"/>
          <w:kern w:val="1"/>
          <w:sz w:val="24"/>
          <w:szCs w:val="24"/>
        </w:rPr>
        <w:t>feminist legal scholars</w:t>
      </w:r>
      <w:r w:rsidR="00914A5B" w:rsidRPr="00E004A2">
        <w:rPr>
          <w:rFonts w:ascii="Garamond" w:hAnsi="Garamond"/>
          <w:kern w:val="1"/>
          <w:sz w:val="24"/>
          <w:szCs w:val="24"/>
        </w:rPr>
        <w:t xml:space="preserve"> </w:t>
      </w:r>
      <w:r w:rsidR="000B7C56" w:rsidRPr="00E004A2">
        <w:rPr>
          <w:rFonts w:ascii="Garamond" w:hAnsi="Garamond"/>
          <w:kern w:val="1"/>
          <w:sz w:val="24"/>
          <w:szCs w:val="24"/>
        </w:rPr>
        <w:t xml:space="preserve">to explore the politics of </w:t>
      </w:r>
      <w:r w:rsidR="00D316A9" w:rsidRPr="00E004A2">
        <w:rPr>
          <w:rFonts w:ascii="Garamond" w:hAnsi="Garamond"/>
          <w:kern w:val="1"/>
          <w:sz w:val="24"/>
          <w:szCs w:val="24"/>
        </w:rPr>
        <w:t>drafting sex/gende</w:t>
      </w:r>
      <w:r w:rsidR="00914A5B" w:rsidRPr="00E004A2">
        <w:rPr>
          <w:rFonts w:ascii="Garamond" w:hAnsi="Garamond"/>
          <w:kern w:val="1"/>
          <w:sz w:val="24"/>
          <w:szCs w:val="24"/>
        </w:rPr>
        <w:t>r</w:t>
      </w:r>
      <w:r w:rsidR="000B7C56" w:rsidRPr="00E004A2">
        <w:rPr>
          <w:rFonts w:ascii="Garamond" w:hAnsi="Garamond"/>
          <w:kern w:val="1"/>
          <w:sz w:val="24"/>
          <w:szCs w:val="24"/>
        </w:rPr>
        <w:t>.</w:t>
      </w:r>
      <w:r w:rsidR="00C2314A" w:rsidRPr="00645D9E">
        <w:rPr>
          <w:rStyle w:val="FootnoteReference"/>
        </w:rPr>
        <w:footnoteReference w:id="5"/>
      </w:r>
      <w:r w:rsidR="00C2314A" w:rsidRPr="00E004A2">
        <w:rPr>
          <w:rFonts w:ascii="Garamond" w:hAnsi="Garamond"/>
          <w:kern w:val="1"/>
          <w:sz w:val="24"/>
          <w:szCs w:val="24"/>
        </w:rPr>
        <w:t xml:space="preserve"> </w:t>
      </w:r>
      <w:r w:rsidR="00D544EB" w:rsidRPr="00E004A2">
        <w:rPr>
          <w:rFonts w:ascii="Garamond" w:hAnsi="Garamond"/>
          <w:kern w:val="1"/>
          <w:sz w:val="24"/>
          <w:szCs w:val="24"/>
        </w:rPr>
        <w:t>This is an engagement with text and form</w:t>
      </w:r>
      <w:r w:rsidR="00DF46B2">
        <w:rPr>
          <w:rFonts w:ascii="Garamond" w:hAnsi="Garamond"/>
          <w:kern w:val="1"/>
          <w:sz w:val="24"/>
          <w:szCs w:val="24"/>
        </w:rPr>
        <w:t>;</w:t>
      </w:r>
      <w:r w:rsidR="00D544EB" w:rsidRPr="00E004A2">
        <w:rPr>
          <w:rFonts w:ascii="Garamond" w:hAnsi="Garamond"/>
          <w:kern w:val="1"/>
          <w:sz w:val="24"/>
          <w:szCs w:val="24"/>
        </w:rPr>
        <w:t xml:space="preserve"> drafting as feminist method</w:t>
      </w:r>
      <w:r w:rsidR="006D6B23">
        <w:rPr>
          <w:rFonts w:ascii="Garamond" w:hAnsi="Garamond"/>
          <w:kern w:val="1"/>
          <w:sz w:val="24"/>
          <w:szCs w:val="24"/>
        </w:rPr>
        <w:t xml:space="preserve">. </w:t>
      </w:r>
      <w:r w:rsidR="001C6D51" w:rsidRPr="00E004A2">
        <w:rPr>
          <w:rFonts w:ascii="Garamond" w:hAnsi="Garamond"/>
          <w:kern w:val="1"/>
          <w:sz w:val="24"/>
          <w:szCs w:val="24"/>
        </w:rPr>
        <w:t xml:space="preserve">My research in this area has led to the belief that </w:t>
      </w:r>
      <w:r w:rsidR="00A46CE9" w:rsidRPr="00E004A2">
        <w:rPr>
          <w:rFonts w:ascii="Garamond" w:hAnsi="Garamond"/>
          <w:kern w:val="1"/>
          <w:sz w:val="24"/>
          <w:szCs w:val="24"/>
        </w:rPr>
        <w:t xml:space="preserve">legal </w:t>
      </w:r>
      <w:r w:rsidR="001C6D51" w:rsidRPr="00E004A2">
        <w:rPr>
          <w:rFonts w:ascii="Garamond" w:hAnsi="Garamond"/>
          <w:kern w:val="1"/>
          <w:sz w:val="24"/>
          <w:szCs w:val="24"/>
        </w:rPr>
        <w:t xml:space="preserve">substance and </w:t>
      </w:r>
      <w:r w:rsidR="00A46CE9" w:rsidRPr="00E004A2">
        <w:rPr>
          <w:rFonts w:ascii="Garamond" w:hAnsi="Garamond"/>
          <w:kern w:val="1"/>
          <w:sz w:val="24"/>
          <w:szCs w:val="24"/>
        </w:rPr>
        <w:t xml:space="preserve">legal </w:t>
      </w:r>
      <w:r w:rsidR="001C6D51" w:rsidRPr="00E004A2">
        <w:rPr>
          <w:rFonts w:ascii="Garamond" w:hAnsi="Garamond"/>
          <w:kern w:val="1"/>
          <w:sz w:val="24"/>
          <w:szCs w:val="24"/>
        </w:rPr>
        <w:t>form are inextricably linked</w:t>
      </w:r>
      <w:r w:rsidR="00A46CE9" w:rsidRPr="00E004A2">
        <w:rPr>
          <w:rFonts w:ascii="Garamond" w:hAnsi="Garamond"/>
          <w:kern w:val="1"/>
          <w:sz w:val="24"/>
          <w:szCs w:val="24"/>
        </w:rPr>
        <w:t>,</w:t>
      </w:r>
      <w:r w:rsidR="002371A1" w:rsidRPr="00E004A2">
        <w:rPr>
          <w:rFonts w:ascii="Garamond" w:hAnsi="Garamond"/>
          <w:kern w:val="1"/>
          <w:sz w:val="24"/>
          <w:szCs w:val="24"/>
        </w:rPr>
        <w:t xml:space="preserve"> and that we might usefully pay attention to the power of drafting itself as much as our prefigurative thinking and substantive suggestions for law reform</w:t>
      </w:r>
      <w:r w:rsidR="001033D5" w:rsidRPr="00E004A2">
        <w:rPr>
          <w:rFonts w:ascii="Garamond" w:hAnsi="Garamond"/>
          <w:kern w:val="1"/>
          <w:sz w:val="24"/>
          <w:szCs w:val="24"/>
        </w:rPr>
        <w:t xml:space="preserve">. Given this, </w:t>
      </w:r>
      <w:r w:rsidR="003F4B1C" w:rsidRPr="00E004A2">
        <w:rPr>
          <w:rFonts w:ascii="Garamond" w:hAnsi="Garamond"/>
          <w:kern w:val="1"/>
          <w:sz w:val="24"/>
          <w:szCs w:val="24"/>
        </w:rPr>
        <w:t xml:space="preserve">I </w:t>
      </w:r>
      <w:r w:rsidR="00C2314A" w:rsidRPr="00E004A2">
        <w:rPr>
          <w:rFonts w:ascii="Garamond" w:hAnsi="Garamond"/>
          <w:kern w:val="1"/>
          <w:sz w:val="24"/>
          <w:szCs w:val="24"/>
        </w:rPr>
        <w:t>ha</w:t>
      </w:r>
      <w:r w:rsidR="003F4B1C" w:rsidRPr="00E004A2">
        <w:rPr>
          <w:rFonts w:ascii="Garamond" w:hAnsi="Garamond"/>
          <w:kern w:val="1"/>
          <w:sz w:val="24"/>
          <w:szCs w:val="24"/>
        </w:rPr>
        <w:t>ve</w:t>
      </w:r>
      <w:r w:rsidR="00C2314A" w:rsidRPr="00E004A2">
        <w:rPr>
          <w:rFonts w:ascii="Garamond" w:hAnsi="Garamond"/>
          <w:kern w:val="1"/>
          <w:sz w:val="24"/>
          <w:szCs w:val="24"/>
        </w:rPr>
        <w:t xml:space="preserve"> two main aims</w:t>
      </w:r>
      <w:r w:rsidR="001033D5" w:rsidRPr="00E004A2">
        <w:rPr>
          <w:rFonts w:ascii="Garamond" w:hAnsi="Garamond"/>
          <w:kern w:val="1"/>
          <w:sz w:val="24"/>
          <w:szCs w:val="24"/>
        </w:rPr>
        <w:t xml:space="preserve"> in the present article</w:t>
      </w:r>
      <w:r w:rsidR="00C2314A" w:rsidRPr="00E004A2">
        <w:rPr>
          <w:rFonts w:ascii="Garamond" w:hAnsi="Garamond"/>
          <w:kern w:val="1"/>
          <w:sz w:val="24"/>
          <w:szCs w:val="24"/>
        </w:rPr>
        <w:t xml:space="preserve">. </w:t>
      </w:r>
      <w:r w:rsidR="002F0F0A" w:rsidRPr="00E004A2">
        <w:rPr>
          <w:rFonts w:ascii="Garamond" w:hAnsi="Garamond"/>
          <w:kern w:val="1"/>
          <w:sz w:val="24"/>
          <w:szCs w:val="24"/>
        </w:rPr>
        <w:t xml:space="preserve">The first is to explore what legislative drafting does, and has done, to participate in the wider social creation and continuance of sex/gender norms. </w:t>
      </w:r>
      <w:r w:rsidR="00712788" w:rsidRPr="00E004A2">
        <w:rPr>
          <w:rFonts w:ascii="Garamond" w:hAnsi="Garamond"/>
          <w:kern w:val="1"/>
          <w:sz w:val="24"/>
          <w:szCs w:val="24"/>
        </w:rPr>
        <w:t>As the article shows, d</w:t>
      </w:r>
      <w:r w:rsidR="00A40E8C" w:rsidRPr="00E004A2">
        <w:rPr>
          <w:rFonts w:ascii="Garamond" w:hAnsi="Garamond"/>
          <w:kern w:val="1"/>
          <w:sz w:val="24"/>
          <w:szCs w:val="24"/>
        </w:rPr>
        <w:t xml:space="preserve">ominant </w:t>
      </w:r>
      <w:r w:rsidR="006F769B" w:rsidRPr="00E004A2">
        <w:rPr>
          <w:rFonts w:ascii="Garamond" w:hAnsi="Garamond"/>
          <w:kern w:val="1"/>
          <w:sz w:val="24"/>
          <w:szCs w:val="24"/>
        </w:rPr>
        <w:t xml:space="preserve">expressions of sex and gender </w:t>
      </w:r>
      <w:r w:rsidR="00A40E8C" w:rsidRPr="00E004A2">
        <w:rPr>
          <w:rFonts w:ascii="Garamond" w:hAnsi="Garamond"/>
          <w:kern w:val="1"/>
          <w:sz w:val="24"/>
          <w:szCs w:val="24"/>
        </w:rPr>
        <w:t xml:space="preserve">in </w:t>
      </w:r>
      <w:r w:rsidR="0022569C" w:rsidRPr="00E004A2">
        <w:rPr>
          <w:rFonts w:ascii="Garamond" w:hAnsi="Garamond"/>
          <w:kern w:val="1"/>
          <w:sz w:val="24"/>
          <w:szCs w:val="24"/>
        </w:rPr>
        <w:t>statut</w:t>
      </w:r>
      <w:r w:rsidR="006F769B" w:rsidRPr="00E004A2">
        <w:rPr>
          <w:rFonts w:ascii="Garamond" w:hAnsi="Garamond"/>
          <w:kern w:val="1"/>
          <w:sz w:val="24"/>
          <w:szCs w:val="24"/>
        </w:rPr>
        <w:t>es</w:t>
      </w:r>
      <w:r w:rsidR="00A40E8C" w:rsidRPr="00E004A2">
        <w:rPr>
          <w:rFonts w:ascii="Garamond" w:hAnsi="Garamond"/>
          <w:kern w:val="1"/>
          <w:sz w:val="24"/>
          <w:szCs w:val="24"/>
        </w:rPr>
        <w:t xml:space="preserve"> that </w:t>
      </w:r>
      <w:r w:rsidR="006F769B" w:rsidRPr="00E004A2">
        <w:rPr>
          <w:rFonts w:ascii="Garamond" w:hAnsi="Garamond"/>
          <w:kern w:val="1"/>
          <w:sz w:val="24"/>
          <w:szCs w:val="24"/>
        </w:rPr>
        <w:t xml:space="preserve">might otherwise </w:t>
      </w:r>
      <w:r w:rsidR="00A40E8C" w:rsidRPr="00E004A2">
        <w:rPr>
          <w:rFonts w:ascii="Garamond" w:hAnsi="Garamond"/>
          <w:kern w:val="1"/>
          <w:sz w:val="24"/>
          <w:szCs w:val="24"/>
        </w:rPr>
        <w:t xml:space="preserve">appear timeless have shifted with social change, legal innovation and new bureaucratic forms. </w:t>
      </w:r>
      <w:r w:rsidR="00F4735A" w:rsidRPr="00E004A2">
        <w:rPr>
          <w:rFonts w:ascii="Garamond" w:hAnsi="Garamond"/>
          <w:kern w:val="1"/>
          <w:sz w:val="24"/>
          <w:szCs w:val="24"/>
        </w:rPr>
        <w:t xml:space="preserve">Whilst legislative drafting experts and socio-legal scholars have explored the history of sex and gender categories in legislative drafting practice </w:t>
      </w:r>
      <w:r w:rsidR="00B02ACC" w:rsidRPr="00E27195">
        <w:rPr>
          <w:rFonts w:ascii="Garamond" w:hAnsi="Garamond"/>
          <w:kern w:val="1"/>
          <w:sz w:val="24"/>
          <w:szCs w:val="24"/>
        </w:rPr>
        <w:fldChar w:fldCharType="begin"/>
      </w:r>
      <w:r w:rsidR="004F3785" w:rsidRPr="00E27195">
        <w:rPr>
          <w:rFonts w:ascii="Garamond" w:hAnsi="Garamond"/>
          <w:kern w:val="1"/>
          <w:sz w:val="24"/>
          <w:szCs w:val="24"/>
        </w:rPr>
        <w:instrText xml:space="preserve"> ADDIN ZOTERO_ITEM CSL_CITATION {"citationID":"Gt85jxQW","properties":{"formattedCitation":"(Petersson, 1999, 1998)","plainCitation":"(Petersson, 1999, 1998)","noteIndex":0},"citationItems":[{"id":686,"uris":["http://zotero.org/users/1070015/items/P39IM835"],"uri":["http://zotero.org/users/1070015/items/P39IM835"],"itemData":{"id":686,"type":"article-journal","container-title":"Statute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Drafting","volume":"19","author":[{"family":"Petersson","given":"S."}],"issued":{"date-parts":[["1998",1,1]]}}}],"schema":"https://github.com/citation-style-language/schema/raw/master/csl-citation.json"} </w:instrText>
      </w:r>
      <w:r w:rsidR="00B02ACC" w:rsidRPr="00E27195">
        <w:rPr>
          <w:rFonts w:ascii="Garamond" w:hAnsi="Garamond"/>
          <w:kern w:val="1"/>
          <w:sz w:val="24"/>
          <w:szCs w:val="24"/>
        </w:rPr>
        <w:fldChar w:fldCharType="separate"/>
      </w:r>
      <w:r w:rsidR="004F3785" w:rsidRPr="00E27195">
        <w:rPr>
          <w:rFonts w:ascii="Garamond" w:hAnsi="Garamond"/>
          <w:noProof/>
          <w:kern w:val="1"/>
          <w:sz w:val="24"/>
          <w:szCs w:val="24"/>
        </w:rPr>
        <w:t>(Petersson, 1999, 1998)</w:t>
      </w:r>
      <w:r w:rsidR="00B02ACC" w:rsidRPr="00E27195">
        <w:rPr>
          <w:rFonts w:ascii="Garamond" w:hAnsi="Garamond"/>
          <w:kern w:val="1"/>
          <w:sz w:val="24"/>
          <w:szCs w:val="24"/>
        </w:rPr>
        <w:fldChar w:fldCharType="end"/>
      </w:r>
      <w:r w:rsidR="00F4735A" w:rsidRPr="00E27195">
        <w:rPr>
          <w:rFonts w:ascii="Garamond" w:hAnsi="Garamond"/>
          <w:kern w:val="1"/>
          <w:sz w:val="24"/>
          <w:szCs w:val="24"/>
        </w:rPr>
        <w:t>, as well as the</w:t>
      </w:r>
      <w:r w:rsidR="00F4735A" w:rsidRPr="00E004A2">
        <w:rPr>
          <w:rFonts w:ascii="Garamond" w:hAnsi="Garamond"/>
          <w:kern w:val="1"/>
          <w:sz w:val="24"/>
          <w:szCs w:val="24"/>
        </w:rPr>
        <w:t xml:space="preserve"> politics of gender neutral </w:t>
      </w:r>
      <w:r w:rsidR="00F5550D">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{"citationID":"q65ZlvPb","properties":{"formattedCitation":"(King and Fawcett, 2018; Wilson, 2011; Xanthaki, 2019)","plainCitation":"(King and Fawcett, 2018; Wilson, 2011; Xanthaki, 2019)","noteIndex":0},"citationItems":[{"id":715,"uris":["http://zotero.org/users/1070015/items/D6VYLL7H"],"uri":["http://zotero.org/users/1070015/items/D6VYLL7H"],"itemData":{"id":715,"type":"article-journal","container-title":"New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id":683,"uris":["http://zotero.org/users/1070015/items/V645Z9M6"],"uri":["http://zotero.org/users/1070015/items/V645Z9M6"],"itemData":{"id":683,"type":"article-journal","container-title":"On file with the author.","title":"Gender inclusive drafting in English: A matter of clarity","author":[{"family":"Xanthaki","given":"Helen"}],"issued":{"date-parts":[["2019"]]}}}],"schema":"https://github.com/citation-style-language/schema/raw/master/csl-citation.json"} </w:instrText>
      </w:r>
      <w:r w:rsidR="00F5550D">
        <w:rPr>
          <w:rFonts w:ascii="Garamond" w:hAnsi="Garamond"/>
          <w:kern w:val="1"/>
          <w:sz w:val="24"/>
          <w:szCs w:val="24"/>
        </w:rPr>
        <w:fldChar w:fldCharType="separate"/>
      </w:r>
      <w:r w:rsidR="004F3785">
        <w:rPr>
          <w:rFonts w:ascii="Garamond" w:hAnsi="Garamond"/>
          <w:noProof/>
          <w:kern w:val="1"/>
          <w:sz w:val="24"/>
          <w:szCs w:val="24"/>
        </w:rPr>
        <w:t>(King and Fawcett, 2018; Wilson, 2011; Xanthaki, 2019)</w:t>
      </w:r>
      <w:r w:rsidR="00F5550D">
        <w:rPr>
          <w:rFonts w:ascii="Garamond" w:hAnsi="Garamond"/>
          <w:kern w:val="1"/>
          <w:sz w:val="24"/>
          <w:szCs w:val="24"/>
        </w:rPr>
        <w:fldChar w:fldCharType="end"/>
      </w:r>
      <w:r w:rsidR="00FE75F7">
        <w:rPr>
          <w:rFonts w:ascii="Garamond" w:hAnsi="Garamond"/>
          <w:kern w:val="1"/>
          <w:sz w:val="24"/>
          <w:szCs w:val="24"/>
        </w:rPr>
        <w:t xml:space="preserve"> and gender silent </w:t>
      </w:r>
      <w:r w:rsidR="00FE75F7">
        <w:rPr>
          <w:rFonts w:ascii="Garamond" w:hAnsi="Garamond"/>
          <w:kern w:val="1"/>
          <w:sz w:val="24"/>
          <w:szCs w:val="24"/>
        </w:rPr>
        <w:fldChar w:fldCharType="begin"/>
      </w:r>
      <w:r w:rsidR="00FE75F7">
        <w:rPr>
          <w:rFonts w:ascii="Garamond" w:hAnsi="Garamond"/>
          <w:kern w:val="1"/>
          <w:sz w:val="24"/>
          <w:szCs w:val="24"/>
        </w:rPr>
        <w:instrText xml:space="preserve"> ADDIN ZOTERO_ITEM CSL_CITATION {"citationID":"EJ43tS7c","properties":{"formattedCitation":"(Revell and Vapnek, 2020)","plainCitation":"(Revell and Vapnek, 2020)","noteIndex":0},"citationItems":[{"id":3576,"uris":["http://zotero.org/users/1070015/items/5PE9LT95"],"uri":["http://zotero.org/users/1070015/items/5PE9LT95"],"itemData":{"id":3576,"type":"article-journal","container-title":"Capital University Law Review","page":"103-147","title":"Gender-Silent Legislative Drafting in a Non-Binary World","volume":"48","author":[{"family":"Revell","given":"Donald"},{"family":"Vapnek","given":"Jessica"}],"issued":{"date-parts":[["2020"]]}}}],"schema":"https://github.com/citation-style-language/schema/raw/master/csl-citation.json"} </w:instrText>
      </w:r>
      <w:r w:rsidR="00FE75F7">
        <w:rPr>
          <w:rFonts w:ascii="Garamond" w:hAnsi="Garamond"/>
          <w:kern w:val="1"/>
          <w:sz w:val="24"/>
          <w:szCs w:val="24"/>
        </w:rPr>
        <w:fldChar w:fldCharType="separate"/>
      </w:r>
      <w:r w:rsidR="00FE75F7">
        <w:rPr>
          <w:rFonts w:ascii="Garamond" w:hAnsi="Garamond"/>
          <w:noProof/>
          <w:kern w:val="1"/>
          <w:sz w:val="24"/>
          <w:szCs w:val="24"/>
        </w:rPr>
        <w:t>(Revell and Vapnek, 2020)</w:t>
      </w:r>
      <w:r w:rsidR="00FE75F7">
        <w:rPr>
          <w:rFonts w:ascii="Garamond" w:hAnsi="Garamond"/>
          <w:kern w:val="1"/>
          <w:sz w:val="24"/>
          <w:szCs w:val="24"/>
        </w:rPr>
        <w:fldChar w:fldCharType="end"/>
      </w:r>
      <w:r w:rsidR="00FE75F7">
        <w:rPr>
          <w:rFonts w:ascii="Garamond" w:hAnsi="Garamond"/>
          <w:kern w:val="1"/>
          <w:sz w:val="24"/>
          <w:szCs w:val="24"/>
        </w:rPr>
        <w:t xml:space="preserve"> drafting</w:t>
      </w:r>
      <w:r w:rsidR="00B02ACC">
        <w:rPr>
          <w:rFonts w:ascii="Garamond" w:hAnsi="Garamond"/>
          <w:kern w:val="1"/>
          <w:sz w:val="24"/>
          <w:szCs w:val="24"/>
        </w:rPr>
        <w:fldChar w:fldCharType="begin"/>
      </w:r>
      <w:r w:rsidR="00235247">
        <w:rPr>
          <w:rFonts w:ascii="Garamond" w:hAnsi="Garamond"/>
          <w:kern w:val="1"/>
          <w:sz w:val="24"/>
          <w:szCs w:val="24"/>
        </w:rPr>
        <w:instrText xml:space="preserve"> ADDIN ZOTERO_ITEM CSL_CITATION {"citationID":"a3p47scO","properties":{"formattedCitation":"(King and Fawcett, 2018a; Wilson, 2011; Xanthaki, 2019)","plainCitation":"(King and Fawcett, 2018a; Wilson, 2011; Xanthaki, 2019)","dontUpdate":true,"noteIndex":0},"citationItems":[{"id":715,"uris":["http://zotero.org/users/1070015/items/D6VYLL7H"],"uri":["http://zotero.org/users/1070015/items/D6VYLL7H"],"itemData":{"id":715,"type":"article-journal","container-title":"New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id":683,"uris":["http://zotero.org/users/1070015/items/V645Z9M6"],"uri":["http://zotero.org/users/1070015/items/V645Z9M6"],"itemData":{"id":683,"type":"article-journal","container-title":"On file with the author.","title":"Gender inclusive drafting in English: A matter of clarity","author":[{"family":"Xanthaki","given":"Helen"}],"issued":{"date-parts":[["2019"]]}}}],"schema":"https://github.com/citation-style-language/schema/raw/master/csl-citation.json"} </w:instrText>
      </w:r>
      <w:r w:rsidR="00B02ACC">
        <w:rPr>
          <w:rFonts w:ascii="Garamond" w:hAnsi="Garamond"/>
          <w:kern w:val="1"/>
          <w:sz w:val="24"/>
          <w:szCs w:val="24"/>
        </w:rPr>
        <w:fldChar w:fldCharType="end"/>
      </w:r>
      <w:r w:rsidR="00A95654" w:rsidRPr="00E004A2">
        <w:rPr>
          <w:rFonts w:ascii="Garamond" w:hAnsi="Garamond"/>
          <w:kern w:val="1"/>
          <w:sz w:val="24"/>
          <w:szCs w:val="24"/>
        </w:rPr>
        <w:t>,</w:t>
      </w:r>
      <w:r w:rsidR="00F4735A" w:rsidRPr="00E004A2">
        <w:rPr>
          <w:rFonts w:ascii="Garamond" w:hAnsi="Garamond"/>
          <w:kern w:val="1"/>
          <w:sz w:val="24"/>
          <w:szCs w:val="24"/>
        </w:rPr>
        <w:t xml:space="preserve"> this article focuses on the particular power of legislative text, what I come to term later on in the article its particular ‘alchemy’ in expressing, performing, and re-creating sex/gender as a social, cultural and political artefact. </w:t>
      </w:r>
    </w:p>
    <w:p w14:paraId="60EE7BB7" w14:textId="3E86447D" w:rsidR="005D56C4" w:rsidRPr="00E004A2" w:rsidRDefault="00EC2BD8" w:rsidP="006E1976">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1A2DE9" w:rsidRPr="00E004A2">
        <w:rPr>
          <w:rFonts w:ascii="Garamond" w:hAnsi="Garamond"/>
          <w:kern w:val="1"/>
          <w:sz w:val="24"/>
          <w:szCs w:val="24"/>
        </w:rPr>
        <w:t>This is a</w:t>
      </w:r>
      <w:r w:rsidR="00F4735A" w:rsidRPr="00E004A2">
        <w:rPr>
          <w:rFonts w:ascii="Garamond" w:hAnsi="Garamond"/>
          <w:kern w:val="1"/>
          <w:sz w:val="24"/>
          <w:szCs w:val="24"/>
        </w:rPr>
        <w:t xml:space="preserve"> distinct</w:t>
      </w:r>
      <w:r w:rsidR="001A2DE9" w:rsidRPr="00E004A2">
        <w:rPr>
          <w:rFonts w:ascii="Garamond" w:hAnsi="Garamond"/>
          <w:kern w:val="1"/>
          <w:sz w:val="24"/>
          <w:szCs w:val="24"/>
        </w:rPr>
        <w:t xml:space="preserve"> approach to legislative drafting that </w:t>
      </w:r>
      <w:r w:rsidR="00CC6E2E" w:rsidRPr="00E004A2">
        <w:rPr>
          <w:rFonts w:ascii="Garamond" w:hAnsi="Garamond"/>
          <w:kern w:val="1"/>
          <w:sz w:val="24"/>
          <w:szCs w:val="24"/>
        </w:rPr>
        <w:t>engages</w:t>
      </w:r>
      <w:r w:rsidR="003F4B1C" w:rsidRPr="00E004A2">
        <w:rPr>
          <w:rFonts w:ascii="Garamond" w:hAnsi="Garamond"/>
          <w:kern w:val="1"/>
          <w:sz w:val="24"/>
          <w:szCs w:val="24"/>
        </w:rPr>
        <w:t xml:space="preserve"> feminist legal scholarship</w:t>
      </w:r>
      <w:r w:rsidR="00CC6E2E" w:rsidRPr="00E004A2">
        <w:rPr>
          <w:rFonts w:ascii="Garamond" w:hAnsi="Garamond"/>
          <w:kern w:val="1"/>
          <w:sz w:val="24"/>
          <w:szCs w:val="24"/>
        </w:rPr>
        <w:t xml:space="preserve"> </w:t>
      </w:r>
      <w:r w:rsidR="00CC593C" w:rsidRPr="00E004A2">
        <w:rPr>
          <w:rFonts w:ascii="Garamond" w:hAnsi="Garamond"/>
          <w:kern w:val="1"/>
          <w:sz w:val="24"/>
          <w:szCs w:val="24"/>
        </w:rPr>
        <w:t xml:space="preserve">in dialogue </w:t>
      </w:r>
      <w:r w:rsidR="00CC6E2E" w:rsidRPr="00E004A2">
        <w:rPr>
          <w:rFonts w:ascii="Garamond" w:hAnsi="Garamond"/>
          <w:kern w:val="1"/>
          <w:sz w:val="24"/>
          <w:szCs w:val="24"/>
        </w:rPr>
        <w:t xml:space="preserve">with debates in legal anthropology about </w:t>
      </w:r>
      <w:r w:rsidR="001A2DE9" w:rsidRPr="00E004A2">
        <w:rPr>
          <w:rFonts w:ascii="Garamond" w:hAnsi="Garamond"/>
          <w:kern w:val="1"/>
          <w:sz w:val="24"/>
          <w:szCs w:val="24"/>
        </w:rPr>
        <w:t xml:space="preserve">the ‘agency of legal form’ </w:t>
      </w:r>
      <w:r w:rsidR="001A2DE9"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{"citationID":"JpoPrvZ8","properties":{"formattedCitation":"(Riles, 2016, p. 808)","plainCitation":"(Riles, 2016, p. 808)","noteIndex":0},"citationItems":[{"id":699,"uris":["http://zotero.org/users/1070015/items/KGSGCK98"],"uri":["http://zotero.org/users/1070015/items/KGSGCK98"],"itemData":{"id":699,"type":"chapter","container-title":"The Oxford Handbook of Comparative Law","page":"776-805","publisher":"Oxford University Press","title":"Comparative Law and Socio-Legal Studies","author":[{"family":"Riles","given":"Annelise"}],"issued":{"date-parts":[["2016"]]}},"locator":"808","label":"page"}],"schema":"https://github.com/citation-style-language/schema/raw/master/csl-citation.json"} </w:instrText>
      </w:r>
      <w:r w:rsidR="001A2DE9" w:rsidRPr="00E004A2">
        <w:rPr>
          <w:rFonts w:ascii="Garamond" w:hAnsi="Garamond"/>
          <w:kern w:val="1"/>
          <w:sz w:val="24"/>
          <w:szCs w:val="24"/>
        </w:rPr>
        <w:fldChar w:fldCharType="separate"/>
      </w:r>
      <w:r w:rsidR="004F3785">
        <w:rPr>
          <w:rFonts w:ascii="Garamond" w:hAnsi="Garamond"/>
          <w:noProof/>
          <w:kern w:val="1"/>
          <w:sz w:val="24"/>
          <w:szCs w:val="24"/>
        </w:rPr>
        <w:t>(Riles, 2016, p. 808)</w:t>
      </w:r>
      <w:r w:rsidR="001A2DE9" w:rsidRPr="00E004A2">
        <w:rPr>
          <w:rFonts w:ascii="Garamond" w:hAnsi="Garamond"/>
          <w:kern w:val="1"/>
          <w:sz w:val="24"/>
          <w:szCs w:val="24"/>
        </w:rPr>
        <w:fldChar w:fldCharType="end"/>
      </w:r>
      <w:r w:rsidR="001A2DE9" w:rsidRPr="00E004A2">
        <w:rPr>
          <w:rFonts w:ascii="Garamond" w:hAnsi="Garamond"/>
          <w:kern w:val="1"/>
          <w:sz w:val="24"/>
          <w:szCs w:val="24"/>
        </w:rPr>
        <w:t>: the power of legal knowledge to shape social reality.</w:t>
      </w:r>
      <w:r w:rsidR="00372ADE" w:rsidRPr="00645D9E">
        <w:rPr>
          <w:rStyle w:val="FootnoteReference"/>
        </w:rPr>
        <w:footnoteReference w:id="6"/>
      </w:r>
      <w:r w:rsidR="001A2DE9" w:rsidRPr="00E004A2">
        <w:rPr>
          <w:rFonts w:ascii="Garamond" w:hAnsi="Garamond"/>
          <w:kern w:val="1"/>
          <w:sz w:val="24"/>
          <w:szCs w:val="24"/>
        </w:rPr>
        <w:t xml:space="preserve"> As </w:t>
      </w:r>
      <w:r w:rsidR="00322E50">
        <w:rPr>
          <w:rFonts w:ascii="Garamond" w:hAnsi="Garamond"/>
          <w:kern w:val="1"/>
          <w:sz w:val="24"/>
          <w:szCs w:val="24"/>
        </w:rPr>
        <w:t xml:space="preserve">Annelise </w:t>
      </w:r>
      <w:r w:rsidR="001A2DE9" w:rsidRPr="00E004A2">
        <w:rPr>
          <w:rFonts w:ascii="Garamond" w:hAnsi="Garamond"/>
          <w:kern w:val="1"/>
          <w:sz w:val="24"/>
          <w:szCs w:val="24"/>
        </w:rPr>
        <w:t xml:space="preserve">Riles puts it: ‘we can speak of </w:t>
      </w:r>
      <w:r w:rsidR="001A2DE9" w:rsidRPr="00E004A2">
        <w:rPr>
          <w:rFonts w:ascii="Garamond" w:hAnsi="Garamond"/>
          <w:kern w:val="1"/>
          <w:sz w:val="24"/>
          <w:szCs w:val="24"/>
        </w:rPr>
        <w:lastRenderedPageBreak/>
        <w:t xml:space="preserve">legal categories and techniques as </w:t>
      </w:r>
      <w:r w:rsidR="001A2DE9" w:rsidRPr="00E004A2">
        <w:rPr>
          <w:rFonts w:ascii="Garamond" w:hAnsi="Garamond"/>
          <w:i/>
          <w:kern w:val="1"/>
          <w:sz w:val="24"/>
          <w:szCs w:val="24"/>
        </w:rPr>
        <w:t>generative</w:t>
      </w:r>
      <w:r w:rsidR="001A2DE9" w:rsidRPr="00E004A2">
        <w:rPr>
          <w:rFonts w:ascii="Garamond" w:hAnsi="Garamond"/>
          <w:kern w:val="1"/>
          <w:sz w:val="24"/>
          <w:szCs w:val="24"/>
        </w:rPr>
        <w:t xml:space="preserve"> of certain kinds of social, political, and epistemological realities’ </w:t>
      </w:r>
      <w:r w:rsidR="001A2DE9"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{"citationID":"GM3hbKau","properties":{"formattedCitation":"(Riles, 2016, p. 808)","plainCitation":"(Riles, 2016, p. 808)","noteIndex":0},"citationItems":[{"id":699,"uris":["http://zotero.org/users/1070015/items/KGSGCK98"],"uri":["http://zotero.org/users/1070015/items/KGSGCK98"],"itemData":{"id":699,"type":"chapter","container-title":"The Oxford Handbook of Comparative Law","page":"776-805","publisher":"Oxford University Press","title":"Comparative Law and Socio-Legal Studies","author":[{"family":"Riles","given":"Annelise"}],"issued":{"date-parts":[["2016"]]}},"locator":"808","label":"page"}],"schema":"https://github.com/citation-style-language/schema/raw/master/csl-citation.json"} </w:instrText>
      </w:r>
      <w:r w:rsidR="001A2DE9" w:rsidRPr="00E004A2">
        <w:rPr>
          <w:rFonts w:ascii="Garamond" w:hAnsi="Garamond"/>
          <w:kern w:val="1"/>
          <w:sz w:val="24"/>
          <w:szCs w:val="24"/>
        </w:rPr>
        <w:fldChar w:fldCharType="separate"/>
      </w:r>
      <w:r w:rsidR="004F3785">
        <w:rPr>
          <w:rFonts w:ascii="Garamond" w:hAnsi="Garamond"/>
          <w:noProof/>
          <w:kern w:val="1"/>
          <w:sz w:val="24"/>
          <w:szCs w:val="24"/>
        </w:rPr>
        <w:t>(Riles, 2016, p. 808)</w:t>
      </w:r>
      <w:r w:rsidR="001A2DE9" w:rsidRPr="00E004A2">
        <w:rPr>
          <w:rFonts w:ascii="Garamond" w:hAnsi="Garamond"/>
          <w:kern w:val="1"/>
          <w:sz w:val="24"/>
          <w:szCs w:val="24"/>
        </w:rPr>
        <w:fldChar w:fldCharType="end"/>
      </w:r>
      <w:r w:rsidR="001A2DE9" w:rsidRPr="00E004A2">
        <w:rPr>
          <w:rFonts w:ascii="Garamond" w:hAnsi="Garamond"/>
          <w:kern w:val="1"/>
          <w:sz w:val="24"/>
          <w:szCs w:val="24"/>
        </w:rPr>
        <w:t>.</w:t>
      </w:r>
      <w:r w:rsidR="00352C01" w:rsidRPr="00E004A2">
        <w:rPr>
          <w:rFonts w:ascii="Garamond" w:hAnsi="Garamond"/>
          <w:kern w:val="1"/>
          <w:sz w:val="24"/>
          <w:szCs w:val="24"/>
        </w:rPr>
        <w:t xml:space="preserve"> </w:t>
      </w:r>
      <w:r w:rsidR="000965A6" w:rsidRPr="00E004A2">
        <w:rPr>
          <w:rFonts w:ascii="Garamond" w:hAnsi="Garamond"/>
          <w:kern w:val="1"/>
          <w:sz w:val="24"/>
          <w:szCs w:val="24"/>
        </w:rPr>
        <w:t>My aim in this article is to connect feminist concern</w:t>
      </w:r>
      <w:r w:rsidR="00CC593C" w:rsidRPr="00E004A2">
        <w:rPr>
          <w:rFonts w:ascii="Garamond" w:hAnsi="Garamond"/>
          <w:kern w:val="1"/>
          <w:sz w:val="24"/>
          <w:szCs w:val="24"/>
        </w:rPr>
        <w:t>s</w:t>
      </w:r>
      <w:r w:rsidR="00ED14D3" w:rsidRPr="00E004A2">
        <w:rPr>
          <w:rFonts w:ascii="Garamond" w:hAnsi="Garamond"/>
          <w:kern w:val="1"/>
          <w:sz w:val="24"/>
          <w:szCs w:val="24"/>
        </w:rPr>
        <w:t xml:space="preserve"> and experiments</w:t>
      </w:r>
      <w:r w:rsidR="000965A6" w:rsidRPr="00E004A2">
        <w:rPr>
          <w:rFonts w:ascii="Garamond" w:hAnsi="Garamond"/>
          <w:kern w:val="1"/>
          <w:sz w:val="24"/>
          <w:szCs w:val="24"/>
        </w:rPr>
        <w:t xml:space="preserve"> with legislative drafting to </w:t>
      </w:r>
      <w:r w:rsidR="00ED14D3" w:rsidRPr="00E004A2">
        <w:rPr>
          <w:rFonts w:ascii="Garamond" w:hAnsi="Garamond"/>
          <w:kern w:val="1"/>
          <w:sz w:val="24"/>
          <w:szCs w:val="24"/>
        </w:rPr>
        <w:t>scholarship</w:t>
      </w:r>
      <w:r w:rsidR="000965A6" w:rsidRPr="00E004A2">
        <w:rPr>
          <w:rFonts w:ascii="Garamond" w:hAnsi="Garamond"/>
          <w:kern w:val="1"/>
          <w:sz w:val="24"/>
          <w:szCs w:val="24"/>
        </w:rPr>
        <w:t xml:space="preserve"> in </w:t>
      </w:r>
      <w:r w:rsidR="0007480D" w:rsidRPr="00E004A2">
        <w:rPr>
          <w:rFonts w:ascii="Garamond" w:hAnsi="Garamond"/>
          <w:kern w:val="1"/>
          <w:sz w:val="24"/>
          <w:szCs w:val="24"/>
        </w:rPr>
        <w:t xml:space="preserve">legal anthropology and </w:t>
      </w:r>
      <w:r w:rsidR="000965A6" w:rsidRPr="00E004A2">
        <w:rPr>
          <w:rFonts w:ascii="Garamond" w:hAnsi="Garamond"/>
          <w:kern w:val="1"/>
          <w:sz w:val="24"/>
          <w:szCs w:val="24"/>
        </w:rPr>
        <w:t xml:space="preserve">socio-legal studies </w:t>
      </w:r>
      <w:r w:rsidR="00B66555">
        <w:rPr>
          <w:rFonts w:ascii="Garamond" w:hAnsi="Garamond"/>
          <w:kern w:val="1"/>
          <w:sz w:val="24"/>
          <w:szCs w:val="24"/>
        </w:rPr>
        <w:t>that</w:t>
      </w:r>
      <w:r w:rsidR="00B66555" w:rsidRPr="00E004A2">
        <w:rPr>
          <w:rFonts w:ascii="Garamond" w:hAnsi="Garamond"/>
          <w:kern w:val="1"/>
          <w:sz w:val="24"/>
          <w:szCs w:val="24"/>
        </w:rPr>
        <w:t xml:space="preserve"> </w:t>
      </w:r>
      <w:r w:rsidR="000965A6" w:rsidRPr="00E004A2">
        <w:rPr>
          <w:rFonts w:ascii="Garamond" w:hAnsi="Garamond"/>
          <w:kern w:val="1"/>
          <w:sz w:val="24"/>
          <w:szCs w:val="24"/>
        </w:rPr>
        <w:t>analyse</w:t>
      </w:r>
      <w:r w:rsidR="00ED14D3" w:rsidRPr="00E004A2">
        <w:rPr>
          <w:rFonts w:ascii="Garamond" w:hAnsi="Garamond"/>
          <w:kern w:val="1"/>
          <w:sz w:val="24"/>
          <w:szCs w:val="24"/>
        </w:rPr>
        <w:t>s</w:t>
      </w:r>
      <w:r w:rsidR="00B63215" w:rsidRPr="00E004A2">
        <w:rPr>
          <w:rFonts w:ascii="Garamond" w:hAnsi="Garamond"/>
          <w:kern w:val="1"/>
          <w:sz w:val="24"/>
          <w:szCs w:val="24"/>
        </w:rPr>
        <w:t xml:space="preserve"> the craft, politics and institutional dynamics of</w:t>
      </w:r>
      <w:r w:rsidR="000965A6" w:rsidRPr="00E004A2">
        <w:rPr>
          <w:rFonts w:ascii="Garamond" w:hAnsi="Garamond"/>
          <w:kern w:val="1"/>
          <w:sz w:val="24"/>
          <w:szCs w:val="24"/>
        </w:rPr>
        <w:t xml:space="preserve"> </w:t>
      </w:r>
      <w:r w:rsidR="0007480D" w:rsidRPr="00E004A2">
        <w:rPr>
          <w:rFonts w:ascii="Garamond" w:hAnsi="Garamond"/>
          <w:kern w:val="1"/>
          <w:sz w:val="24"/>
          <w:szCs w:val="24"/>
        </w:rPr>
        <w:t>legislative drafting for</w:t>
      </w:r>
      <w:r w:rsidR="00A173DD">
        <w:rPr>
          <w:rFonts w:ascii="Garamond" w:hAnsi="Garamond"/>
          <w:kern w:val="1"/>
          <w:sz w:val="24"/>
          <w:szCs w:val="24"/>
        </w:rPr>
        <w:t xml:space="preserve"> their </w:t>
      </w:r>
      <w:r w:rsidR="0007480D" w:rsidRPr="00E004A2">
        <w:rPr>
          <w:rFonts w:ascii="Garamond" w:hAnsi="Garamond"/>
          <w:kern w:val="1"/>
          <w:sz w:val="24"/>
          <w:szCs w:val="24"/>
        </w:rPr>
        <w:t xml:space="preserve">effects on </w:t>
      </w:r>
      <w:r w:rsidR="00B86978">
        <w:rPr>
          <w:rFonts w:ascii="Garamond" w:hAnsi="Garamond"/>
          <w:kern w:val="1"/>
          <w:sz w:val="24"/>
          <w:szCs w:val="24"/>
        </w:rPr>
        <w:t>the making of law</w:t>
      </w:r>
      <w:r w:rsidR="003A027C">
        <w:rPr>
          <w:rFonts w:ascii="Garamond" w:hAnsi="Garamond"/>
          <w:kern w:val="1"/>
          <w:sz w:val="24"/>
          <w:szCs w:val="24"/>
        </w:rPr>
        <w:t xml:space="preserve"> and legal subjects</w:t>
      </w:r>
      <w:r w:rsidR="006B67E9">
        <w:rPr>
          <w:rFonts w:ascii="Garamond" w:hAnsi="Garamond"/>
          <w:kern w:val="1"/>
          <w:sz w:val="24"/>
          <w:szCs w:val="24"/>
        </w:rPr>
        <w:t xml:space="preserve"> </w:t>
      </w:r>
      <w:r w:rsidR="006B67E9">
        <w:rPr>
          <w:rFonts w:ascii="Garamond" w:hAnsi="Garamond"/>
          <w:kern w:val="1"/>
          <w:sz w:val="24"/>
          <w:szCs w:val="24"/>
        </w:rPr>
        <w:fldChar w:fldCharType="begin"/>
      </w:r>
      <w:r w:rsidR="00CE0BEF">
        <w:rPr>
          <w:rFonts w:ascii="Garamond" w:hAnsi="Garamond"/>
          <w:kern w:val="1"/>
          <w:sz w:val="24"/>
          <w:szCs w:val="24"/>
        </w:rPr>
        <w:instrText xml:space="preserve"> ADDIN ZOTERO_ITEM CSL_CITATION {"citationID":"9qvQ1hpF","properties":{"formattedCitation":"(Pottage, 2014; Pottage and Mundy, 2004)","plainCitation":"(Pottage, 2014; Pottage and Mundy, 2004)","noteIndex":0},"citationItems":[{"id":969,"uris":["http://zotero.org/users/1070015/items/BM7AUKWJ"],"uri":["http://zotero.org/users/1070015/items/BM7AUKWJ"],"itemData":{"id":969,"type":"article-journal","abstract":"Anthropological scholarship after Marilyn Strathern does something that might surprise lawyers schooled in the tradition of ‘law and society’, or ‘law in context’. Instead of construing law as an instrument of social forces, or as an expression of processes by which society maintains and reproduces itself, a new mode of anthropological enquiry focuses sharply on ‘law itself’, on what Annelise Riles calls the ‘technicalities’ of law. How might the legal scholar be inspired by this approach? In this article, I explore one possible way of approaching law after anthropology, which is to find within law’s own archive a set of resources for an analogous representation of law itself. Drawing on the historical scholarship of Yan Thomas, I suggest that the Roman conception of law as object offers an engaging counterpart to the anthropological take on law as a specific set of tools or, technicalities, or as a particular art of making relations.","container-title":"Theory, Culture &amp; Society","DOI":"10.1177/0263276413502239","ISSN":"0263-2764, 1460-3616","issue":"2-3","journalAbbreviation":"Theory Culture Society","language":"en","page":"147-166","source":"tcs.sagepub.com.chain.kent.ac.uk","title":"Law after Anthropology: Object and Technique in Roman Law","title-short":"Law after Anthropology","volume":"31","author":[{"family":"Pottage","given":"Alain"}],"issued":{"date-parts":[["2014",3,1]]}}},{"id":304,"uris":["http://zotero.org/users/1070015/items/M5W96FUZ"],"uri":["http://zotero.org/users/1070015/items/M5W96FUZ"],"itemData":{"id":304,"type":"book","abstract":"The product of a collaboration between leading theorists in law and anthropology, this book develops an innovative analysis of legal practices. Specifically, it focuses on how law constructs persons and things, and develops new approaches to the question of ownership. These approaches are of particular value in understanding the cultural impact of biotechnology. At the same time, they illuminate the history of Western law, and develop thought-provoking comparisons between Western law and Islamic law.","ISBN":"978-0-521-53945-6","language":"en","number-of-pages":"324","publisher":"Cambridge University Press","source":"Google Books","title":"Law, Anthropology, and the Constitution of the Social: Making Persons and Things","title-short":"Law, Anthropology, and the Constitution of the Social","author":[{"family":"Pottage","given":"Alain"},{"family":"Mundy","given":"Martha"}],"issued":{"date-parts":[["2004",6,24]]}}}],"schema":"https://github.com/citation-style-language/schema/raw/master/csl-citation.json"} </w:instrText>
      </w:r>
      <w:r w:rsidR="006B67E9">
        <w:rPr>
          <w:rFonts w:ascii="Garamond" w:hAnsi="Garamond"/>
          <w:kern w:val="1"/>
          <w:sz w:val="24"/>
          <w:szCs w:val="24"/>
        </w:rPr>
        <w:fldChar w:fldCharType="separate"/>
      </w:r>
      <w:r w:rsidR="00CE0BEF">
        <w:rPr>
          <w:rFonts w:ascii="Garamond" w:hAnsi="Garamond"/>
          <w:noProof/>
          <w:kern w:val="1"/>
          <w:sz w:val="24"/>
          <w:szCs w:val="24"/>
        </w:rPr>
        <w:t>(Pottage, 2014; Pottage and Mundy, 2004)</w:t>
      </w:r>
      <w:r w:rsidR="006B67E9">
        <w:rPr>
          <w:rFonts w:ascii="Garamond" w:hAnsi="Garamond"/>
          <w:kern w:val="1"/>
          <w:sz w:val="24"/>
          <w:szCs w:val="24"/>
        </w:rPr>
        <w:fldChar w:fldCharType="end"/>
      </w:r>
      <w:r w:rsidR="00CE0BEF">
        <w:rPr>
          <w:rFonts w:ascii="Garamond" w:hAnsi="Garamond"/>
          <w:kern w:val="1"/>
          <w:sz w:val="24"/>
          <w:szCs w:val="24"/>
        </w:rPr>
        <w:t>.</w:t>
      </w:r>
      <w:r w:rsidR="001C7DC4">
        <w:rPr>
          <w:rFonts w:ascii="Garamond" w:hAnsi="Garamond"/>
          <w:kern w:val="1"/>
          <w:sz w:val="24"/>
          <w:szCs w:val="24"/>
        </w:rPr>
        <w:t xml:space="preserve"> </w:t>
      </w:r>
      <w:r w:rsidR="009E473B">
        <w:rPr>
          <w:rFonts w:ascii="Garamond" w:hAnsi="Garamond"/>
          <w:kern w:val="1"/>
          <w:sz w:val="24"/>
          <w:szCs w:val="24"/>
        </w:rPr>
        <w:t>L</w:t>
      </w:r>
      <w:r w:rsidR="00352C01" w:rsidRPr="00E004A2">
        <w:rPr>
          <w:rFonts w:ascii="Garamond" w:hAnsi="Garamond"/>
          <w:kern w:val="1"/>
          <w:sz w:val="24"/>
          <w:szCs w:val="24"/>
        </w:rPr>
        <w:t>egislative drafting techniques have not been consequence-free</w:t>
      </w:r>
      <w:r w:rsidR="007C65EB" w:rsidRPr="00E004A2">
        <w:rPr>
          <w:rFonts w:ascii="Garamond" w:hAnsi="Garamond"/>
          <w:kern w:val="1"/>
          <w:sz w:val="24"/>
          <w:szCs w:val="24"/>
        </w:rPr>
        <w:t xml:space="preserve"> for feminists</w:t>
      </w:r>
      <w:r w:rsidR="00352C01" w:rsidRPr="00E004A2">
        <w:rPr>
          <w:rFonts w:ascii="Garamond" w:hAnsi="Garamond"/>
          <w:kern w:val="1"/>
          <w:sz w:val="24"/>
          <w:szCs w:val="24"/>
        </w:rPr>
        <w:t xml:space="preserve">; they have helped usher in specific legal and textual formations with attached concepts and ontologies that have travelled far and combined with other long-lasting bureaucratic and wider social understandings of sex and gender. </w:t>
      </w:r>
      <w:r w:rsidR="001A2DE9" w:rsidRPr="00E004A2">
        <w:rPr>
          <w:rFonts w:ascii="Garamond" w:hAnsi="Garamond"/>
          <w:kern w:val="1"/>
          <w:sz w:val="24"/>
          <w:szCs w:val="24"/>
        </w:rPr>
        <w:t xml:space="preserve"> </w:t>
      </w:r>
      <w:r w:rsidR="009C330B" w:rsidRPr="00E004A2">
        <w:rPr>
          <w:rFonts w:ascii="Garamond" w:hAnsi="Garamond"/>
          <w:kern w:val="1"/>
          <w:sz w:val="24"/>
          <w:szCs w:val="24"/>
        </w:rPr>
        <w:t>As such, w</w:t>
      </w:r>
      <w:r w:rsidR="001A2DE9" w:rsidRPr="00E004A2">
        <w:rPr>
          <w:rFonts w:ascii="Garamond" w:hAnsi="Garamond"/>
          <w:kern w:val="1"/>
          <w:sz w:val="24"/>
          <w:szCs w:val="24"/>
        </w:rPr>
        <w:t xml:space="preserve">e might try to understand not only how legislative drafting has apparently responded to social changes concerning </w:t>
      </w:r>
      <w:r w:rsidR="00926519" w:rsidRPr="00E004A2">
        <w:rPr>
          <w:rFonts w:ascii="Garamond" w:hAnsi="Garamond"/>
          <w:kern w:val="1"/>
          <w:sz w:val="24"/>
          <w:szCs w:val="24"/>
        </w:rPr>
        <w:t>sex/</w:t>
      </w:r>
      <w:r w:rsidR="001A2DE9" w:rsidRPr="00E004A2">
        <w:rPr>
          <w:rFonts w:ascii="Garamond" w:hAnsi="Garamond"/>
          <w:kern w:val="1"/>
          <w:sz w:val="24"/>
          <w:szCs w:val="24"/>
        </w:rPr>
        <w:t>gender equality</w:t>
      </w:r>
      <w:r w:rsidR="00926519" w:rsidRPr="00E004A2">
        <w:rPr>
          <w:rFonts w:ascii="Garamond" w:hAnsi="Garamond"/>
          <w:kern w:val="1"/>
          <w:sz w:val="24"/>
          <w:szCs w:val="24"/>
        </w:rPr>
        <w:t xml:space="preserve"> – for example through ‘gender neutral drafting’</w:t>
      </w:r>
      <w:r w:rsidR="0072652A" w:rsidRPr="00E004A2">
        <w:rPr>
          <w:rFonts w:ascii="Garamond" w:hAnsi="Garamond"/>
          <w:kern w:val="1"/>
          <w:sz w:val="24"/>
          <w:szCs w:val="24"/>
        </w:rPr>
        <w:t xml:space="preserve"> </w:t>
      </w:r>
      <w:r w:rsidR="00FF3AF5" w:rsidRPr="00E004A2">
        <w:rPr>
          <w:rFonts w:ascii="Garamond" w:hAnsi="Garamond"/>
          <w:kern w:val="1"/>
          <w:sz w:val="24"/>
          <w:szCs w:val="24"/>
        </w:rPr>
        <w:t xml:space="preserve">– </w:t>
      </w:r>
      <w:r w:rsidR="001A2DE9" w:rsidRPr="00E004A2">
        <w:rPr>
          <w:rFonts w:ascii="Garamond" w:hAnsi="Garamond"/>
          <w:kern w:val="1"/>
          <w:sz w:val="24"/>
          <w:szCs w:val="24"/>
        </w:rPr>
        <w:t xml:space="preserve">but also how the </w:t>
      </w:r>
      <w:r w:rsidR="00A231D6" w:rsidRPr="00E004A2">
        <w:rPr>
          <w:rFonts w:ascii="Garamond" w:hAnsi="Garamond"/>
          <w:kern w:val="1"/>
          <w:sz w:val="24"/>
          <w:szCs w:val="24"/>
        </w:rPr>
        <w:t>sex/</w:t>
      </w:r>
      <w:r w:rsidR="001A2DE9" w:rsidRPr="00E004A2">
        <w:rPr>
          <w:rFonts w:ascii="Garamond" w:hAnsi="Garamond"/>
          <w:kern w:val="1"/>
          <w:sz w:val="24"/>
          <w:szCs w:val="24"/>
        </w:rPr>
        <w:t>gender constructions and innovations used in drafting themselves support complex wider</w:t>
      </w:r>
      <w:r w:rsidR="00926519" w:rsidRPr="00E004A2">
        <w:rPr>
          <w:rFonts w:ascii="Garamond" w:hAnsi="Garamond"/>
          <w:kern w:val="1"/>
          <w:sz w:val="24"/>
          <w:szCs w:val="24"/>
        </w:rPr>
        <w:t xml:space="preserve"> social</w:t>
      </w:r>
      <w:r w:rsidR="001A2DE9" w:rsidRPr="00E004A2">
        <w:rPr>
          <w:rFonts w:ascii="Garamond" w:hAnsi="Garamond"/>
          <w:kern w:val="1"/>
          <w:sz w:val="24"/>
          <w:szCs w:val="24"/>
        </w:rPr>
        <w:t xml:space="preserve"> </w:t>
      </w:r>
      <w:r w:rsidR="00A231D6" w:rsidRPr="00E004A2">
        <w:rPr>
          <w:rFonts w:ascii="Garamond" w:hAnsi="Garamond"/>
          <w:kern w:val="1"/>
          <w:sz w:val="24"/>
          <w:szCs w:val="24"/>
        </w:rPr>
        <w:t>processes</w:t>
      </w:r>
      <w:r w:rsidR="003119E0" w:rsidRPr="00E004A2">
        <w:rPr>
          <w:rFonts w:ascii="Garamond" w:hAnsi="Garamond"/>
          <w:kern w:val="1"/>
          <w:sz w:val="24"/>
          <w:szCs w:val="24"/>
        </w:rPr>
        <w:t xml:space="preserve"> of gendering</w:t>
      </w:r>
      <w:r w:rsidR="001A2DE9" w:rsidRPr="00E004A2">
        <w:rPr>
          <w:rFonts w:ascii="Garamond" w:hAnsi="Garamond"/>
          <w:kern w:val="1"/>
          <w:sz w:val="24"/>
          <w:szCs w:val="24"/>
        </w:rPr>
        <w:t xml:space="preserve">. </w:t>
      </w:r>
    </w:p>
    <w:p w14:paraId="5C8333E9" w14:textId="4CB38C06" w:rsidR="00391CC1" w:rsidRPr="00E004A2" w:rsidRDefault="00EC2BD8" w:rsidP="006E1976">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346866" w:rsidRPr="00E004A2">
        <w:rPr>
          <w:rFonts w:ascii="Garamond" w:hAnsi="Garamond"/>
          <w:kern w:val="1"/>
          <w:sz w:val="24"/>
          <w:szCs w:val="24"/>
        </w:rPr>
        <w:t xml:space="preserve">The </w:t>
      </w:r>
      <w:r w:rsidR="002F0F0A" w:rsidRPr="00E004A2">
        <w:rPr>
          <w:rFonts w:ascii="Garamond" w:hAnsi="Garamond"/>
          <w:kern w:val="1"/>
          <w:sz w:val="24"/>
          <w:szCs w:val="24"/>
        </w:rPr>
        <w:t>second, related</w:t>
      </w:r>
      <w:r w:rsidR="000312C5" w:rsidRPr="00E004A2">
        <w:rPr>
          <w:rFonts w:ascii="Garamond" w:hAnsi="Garamond"/>
          <w:kern w:val="1"/>
          <w:sz w:val="24"/>
          <w:szCs w:val="24"/>
        </w:rPr>
        <w:t>,</w:t>
      </w:r>
      <w:r w:rsidR="002F0F0A" w:rsidRPr="00E004A2">
        <w:rPr>
          <w:rFonts w:ascii="Garamond" w:hAnsi="Garamond"/>
          <w:kern w:val="1"/>
          <w:sz w:val="24"/>
          <w:szCs w:val="24"/>
        </w:rPr>
        <w:t xml:space="preserve"> aim</w:t>
      </w:r>
      <w:r w:rsidR="000312C5" w:rsidRPr="00E004A2">
        <w:rPr>
          <w:rFonts w:ascii="Garamond" w:hAnsi="Garamond"/>
          <w:kern w:val="1"/>
          <w:sz w:val="24"/>
          <w:szCs w:val="24"/>
        </w:rPr>
        <w:t xml:space="preserve"> </w:t>
      </w:r>
      <w:r w:rsidR="00346866" w:rsidRPr="00E004A2">
        <w:rPr>
          <w:rFonts w:ascii="Garamond" w:hAnsi="Garamond"/>
          <w:kern w:val="1"/>
          <w:sz w:val="24"/>
          <w:szCs w:val="24"/>
        </w:rPr>
        <w:t xml:space="preserve">is </w:t>
      </w:r>
      <w:r w:rsidR="002F0F0A" w:rsidRPr="00E004A2">
        <w:rPr>
          <w:rFonts w:ascii="Garamond" w:hAnsi="Garamond"/>
          <w:kern w:val="1"/>
          <w:sz w:val="24"/>
          <w:szCs w:val="24"/>
        </w:rPr>
        <w:t xml:space="preserve">to </w:t>
      </w:r>
      <w:r w:rsidR="00CD5CCA" w:rsidRPr="00E004A2">
        <w:rPr>
          <w:rFonts w:ascii="Garamond" w:hAnsi="Garamond"/>
          <w:kern w:val="1"/>
          <w:sz w:val="24"/>
          <w:szCs w:val="24"/>
        </w:rPr>
        <w:t xml:space="preserve">explore </w:t>
      </w:r>
      <w:r w:rsidR="002F0F0A" w:rsidRPr="00E004A2">
        <w:rPr>
          <w:rFonts w:ascii="Garamond" w:hAnsi="Garamond"/>
          <w:kern w:val="1"/>
          <w:sz w:val="24"/>
          <w:szCs w:val="24"/>
        </w:rPr>
        <w:t xml:space="preserve">what </w:t>
      </w:r>
      <w:r w:rsidR="003119E0" w:rsidRPr="00E004A2">
        <w:rPr>
          <w:rFonts w:ascii="Garamond" w:hAnsi="Garamond"/>
          <w:kern w:val="1"/>
          <w:sz w:val="24"/>
          <w:szCs w:val="24"/>
        </w:rPr>
        <w:t>feminists</w:t>
      </w:r>
      <w:r w:rsidR="002F0F0A" w:rsidRPr="00E004A2">
        <w:rPr>
          <w:rFonts w:ascii="Garamond" w:hAnsi="Garamond"/>
          <w:kern w:val="1"/>
          <w:sz w:val="24"/>
          <w:szCs w:val="24"/>
        </w:rPr>
        <w:t xml:space="preserve"> are engaging with when we participate in </w:t>
      </w:r>
      <w:r w:rsidR="009F7CC4" w:rsidRPr="00E004A2">
        <w:rPr>
          <w:rFonts w:ascii="Garamond" w:hAnsi="Garamond"/>
          <w:kern w:val="1"/>
          <w:sz w:val="24"/>
          <w:szCs w:val="24"/>
        </w:rPr>
        <w:t>the act</w:t>
      </w:r>
      <w:r w:rsidR="002F0F0A" w:rsidRPr="00E004A2">
        <w:rPr>
          <w:rFonts w:ascii="Garamond" w:hAnsi="Garamond"/>
          <w:kern w:val="1"/>
          <w:sz w:val="24"/>
          <w:szCs w:val="24"/>
        </w:rPr>
        <w:t xml:space="preserve"> of draftin</w:t>
      </w:r>
      <w:r w:rsidR="009610BD" w:rsidRPr="00E004A2">
        <w:rPr>
          <w:rFonts w:ascii="Garamond" w:hAnsi="Garamond"/>
          <w:kern w:val="1"/>
          <w:sz w:val="24"/>
          <w:szCs w:val="24"/>
        </w:rPr>
        <w:t>g</w:t>
      </w:r>
      <w:r w:rsidR="00356F1C" w:rsidRPr="00E004A2">
        <w:rPr>
          <w:rFonts w:ascii="Garamond" w:hAnsi="Garamond"/>
          <w:kern w:val="1"/>
          <w:sz w:val="24"/>
          <w:szCs w:val="24"/>
        </w:rPr>
        <w:t xml:space="preserve"> an experimental statute</w:t>
      </w:r>
      <w:r w:rsidR="009F7CC4" w:rsidRPr="00E004A2">
        <w:rPr>
          <w:rFonts w:ascii="Garamond" w:hAnsi="Garamond"/>
          <w:kern w:val="1"/>
          <w:sz w:val="24"/>
          <w:szCs w:val="24"/>
        </w:rPr>
        <w:t>.</w:t>
      </w:r>
      <w:r w:rsidR="004F0908" w:rsidRPr="00E004A2">
        <w:rPr>
          <w:rFonts w:ascii="Garamond" w:hAnsi="Garamond"/>
          <w:kern w:val="1"/>
          <w:sz w:val="24"/>
          <w:szCs w:val="24"/>
        </w:rPr>
        <w:t xml:space="preserve"> </w:t>
      </w:r>
      <w:r w:rsidR="00DD2A70" w:rsidRPr="00E004A2">
        <w:rPr>
          <w:rFonts w:ascii="Garamond" w:hAnsi="Garamond"/>
          <w:kern w:val="1"/>
          <w:sz w:val="24"/>
          <w:szCs w:val="24"/>
        </w:rPr>
        <w:t>If legislative drafting does not merely inscribe pre-agreed policy ideas into legal text but helps to shape emerging ontologies of gender, then</w:t>
      </w:r>
      <w:r w:rsidR="00B928C4">
        <w:rPr>
          <w:rFonts w:ascii="Garamond" w:hAnsi="Garamond"/>
          <w:kern w:val="1"/>
          <w:sz w:val="24"/>
          <w:szCs w:val="24"/>
        </w:rPr>
        <w:t xml:space="preserve"> both form and substantive content are important aspects of prefigurative feminist legal projects such as the </w:t>
      </w:r>
      <w:r w:rsidR="00B928C4" w:rsidRPr="00645C76">
        <w:rPr>
          <w:rFonts w:ascii="Garamond" w:hAnsi="Garamond"/>
          <w:i/>
          <w:iCs/>
          <w:kern w:val="1"/>
          <w:sz w:val="24"/>
          <w:szCs w:val="24"/>
        </w:rPr>
        <w:t>Future of Legal Gender</w:t>
      </w:r>
      <w:r w:rsidR="00B928C4">
        <w:rPr>
          <w:rFonts w:ascii="Garamond" w:hAnsi="Garamond"/>
          <w:kern w:val="1"/>
          <w:sz w:val="24"/>
          <w:szCs w:val="24"/>
        </w:rPr>
        <w:t>.</w:t>
      </w:r>
      <w:r w:rsidR="00356F1C" w:rsidRPr="00E004A2">
        <w:rPr>
          <w:rFonts w:ascii="Garamond" w:hAnsi="Garamond"/>
          <w:kern w:val="1"/>
          <w:sz w:val="24"/>
          <w:szCs w:val="24"/>
        </w:rPr>
        <w:t xml:space="preserve"> </w:t>
      </w:r>
      <w:r w:rsidR="006659C8" w:rsidRPr="00E004A2">
        <w:rPr>
          <w:rFonts w:ascii="Garamond" w:hAnsi="Garamond"/>
          <w:kern w:val="1"/>
          <w:sz w:val="24"/>
          <w:szCs w:val="24"/>
        </w:rPr>
        <w:t xml:space="preserve">Here, the argument is that the method matters: the act of writing an experimental statute pulls us into relationships, norms, professional debates, and epistemologies of expertise and governance that are likely to fundamentally affect what we think is possible and what we can achieve. </w:t>
      </w:r>
      <w:r w:rsidR="001A45AB" w:rsidRPr="00E004A2">
        <w:rPr>
          <w:rFonts w:ascii="Garamond" w:hAnsi="Garamond"/>
          <w:kern w:val="1"/>
          <w:sz w:val="24"/>
          <w:szCs w:val="24"/>
        </w:rPr>
        <w:t xml:space="preserve">Over the past decade or so, feminist engagements with law have increasingly turned to </w:t>
      </w:r>
      <w:r w:rsidR="00A81FA1" w:rsidRPr="00E004A2">
        <w:rPr>
          <w:rFonts w:ascii="Garamond" w:hAnsi="Garamond"/>
          <w:kern w:val="1"/>
          <w:sz w:val="24"/>
          <w:szCs w:val="24"/>
        </w:rPr>
        <w:t xml:space="preserve">legal </w:t>
      </w:r>
      <w:r w:rsidR="001A45AB" w:rsidRPr="00E004A2">
        <w:rPr>
          <w:rFonts w:ascii="Garamond" w:hAnsi="Garamond"/>
          <w:kern w:val="1"/>
          <w:sz w:val="24"/>
          <w:szCs w:val="24"/>
        </w:rPr>
        <w:t xml:space="preserve">form, engaging with judgments in many jurisdictions, for example, through ‘feminist judgments projects’ that adopt or challenge the traditional conventions of judicial reasoning to varying degrees in exploring what it would mean to create law otherwise </w:t>
      </w:r>
      <w:r w:rsidR="001A45A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{"citationID":"Vk65JgTW","properties":{"formattedCitation":"(Enright et al., 2017; Hunter et al., 2010)","plainCitation":"(Enright et al., 2017; Hunter et al., 2010)","noteIndex":0},"citationItems":[{"id":700,"uris":["http://zotero.org/users/1070015/items/NLIRHRK7"],"uri":["http://zotero.org/users/1070015/items/NLIRHRK7"],"itemData":{"id":700,"type":"book","abstract":"The Northern/Irish Feminist Judgments Project inaugurates a fresh dialogue on gender, legal judgment, judicial power and national identity in Ireland and","language":"en","publisher":"Hart Publishing","title":"Northern / Irish Feminist Judgments: Judges' Troubles and the Gendered Politics of Identity","URL":"https://www.bloomsburyprofessional.com/uk/northern-irish-feminist-judgments-9781509908936/","author":[{"family":"Enright","given":"Mairead"},{"family":"McCandless","given":"Julie"},{"family":"O'Donoghue","given":"Aoife"}],"accessed":{"date-parts":[["2019",11,8]]},"issued":{"date-parts":[["2017"]]}}},{"id":684,"uris":["http://zotero.org/users/1070015/items/7IAMGSLV"],"uri":["http://zotero.org/users/1070015/items/7IAMGSLV"],"itemData":{"id":684,"type":"book","abstract":"While feminist legal scholarship has thrived within universities and in some sectors of legal practice, it has yet to have much impact within the judiciary or on judicial thinking. Thus, while feminist legal scholarship has generated comprehensive critiques of existing legal doctrine, there has been little opportunity to test or apply feminist knowledge in practice, in decisions in individual cases. In this book, a group of feminist legal scholars put theory into practice in judgment form, by writing the 'missing' feminist judgments in key cases. The cases chosen are significant decisions in English law across a broad range of substantive areas. The cases originate from a variety of levels but are primarily opinions of the Court of Appeal or the House of Lords. In some instances they are written in a fictitious appeal, but in others they are written as an additional concurring or dissenting judgment in the original case, providing a powerful illustration of the way in which the case could have been decided differently, even at the time it was heard. Each case is accompanied by a commentary which renders the judgment accessible to a non-specialist audience. The commentary explains the original decision, its background and doctrinal significance, the issues it raises, and how the feminist judgment deals with them differently. The books also includes chapters examining the theoretical and conceptual issues raised by the process and practice of feminist judging, and by the judgments themselves, including the possibility of divergent feminist approaches to legal decision-making.","edition":"01 edition","event-place":"Oxford ; Portland, Or","ISBN":"978-1-84946-053-8","language":"English","number-of-pages":"504","publisher":"Hart Publishing","publisher-place":"Oxford ; Portland, Or","source":"Amazon","title":"Feminist Judgments","editor":[{"family":"Hunter","given":"Rosemary"},{"family":"McGlynn","given":"Clare"},{"family":"Rackley","given":"Erika"}],"issued":{"date-parts":[["2010"]]}}}],"schema":"https://github.com/citation-style-language/schema/raw/master/csl-citation.json"} </w:instrText>
      </w:r>
      <w:r w:rsidR="001A45AB" w:rsidRPr="00E004A2">
        <w:rPr>
          <w:rFonts w:ascii="Garamond" w:hAnsi="Garamond"/>
          <w:kern w:val="1"/>
          <w:sz w:val="24"/>
          <w:szCs w:val="24"/>
        </w:rPr>
        <w:fldChar w:fldCharType="separate"/>
      </w:r>
      <w:r w:rsidR="004F3785">
        <w:rPr>
          <w:rFonts w:ascii="Garamond" w:hAnsi="Garamond" w:cs="Times New Roman"/>
          <w:sz w:val="24"/>
        </w:rPr>
        <w:t>(Enright et al., 2017; Hunter et al., 2010)</w:t>
      </w:r>
      <w:r w:rsidR="001A45AB" w:rsidRPr="00E004A2">
        <w:rPr>
          <w:rFonts w:ascii="Garamond" w:hAnsi="Garamond"/>
          <w:kern w:val="1"/>
          <w:sz w:val="24"/>
          <w:szCs w:val="24"/>
        </w:rPr>
        <w:fldChar w:fldCharType="end"/>
      </w:r>
      <w:r w:rsidR="001A45AB" w:rsidRPr="00E004A2">
        <w:rPr>
          <w:rFonts w:ascii="Garamond" w:hAnsi="Garamond"/>
          <w:kern w:val="1"/>
          <w:sz w:val="24"/>
          <w:szCs w:val="24"/>
        </w:rPr>
        <w:t xml:space="preserve">. Feminists have often also engaged in </w:t>
      </w:r>
      <w:r w:rsidR="001A45AB" w:rsidRPr="00E004A2">
        <w:rPr>
          <w:rFonts w:ascii="Garamond" w:hAnsi="Garamond"/>
          <w:kern w:val="1"/>
          <w:sz w:val="24"/>
          <w:szCs w:val="24"/>
        </w:rPr>
        <w:lastRenderedPageBreak/>
        <w:t xml:space="preserve">law-writing projects, either as part of established international legal processes, for example </w:t>
      </w:r>
      <w:r w:rsidR="001A45A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{"citationID":"X7g7qhiM","properties":{"formattedCitation":"(Riles, 2006b)","plainCitation":"(Riles, 2006b)","noteIndex":0},"citationItems":[{"id":851,"uris":["http://zotero.org/users/1070015/items/CZNIDUEK"],"uri":["http://zotero.org/users/1070015/items/CZNIDUEK"],"itemData":{"id":851,"type":"chapter","container-title":"Documents: Artifacts of Modern Knowledge","page":"71-94","publisher":"University of Michigan Press","title":"(Deadlines): Removing the Brackets on Politics in Bureaucratic and Anthropological Analysis","author":[{"family":"Riles","given":"Annelise"}],"editor":[{"family":"Riles","given":"Annelise"}],"issued":{"literal":"2006b"}}}],"schema":"https://github.com/citation-style-language/schema/raw/master/csl-citation.json"} </w:instrText>
      </w:r>
      <w:r w:rsidR="001A45AB" w:rsidRPr="00E004A2">
        <w:rPr>
          <w:rFonts w:ascii="Garamond" w:hAnsi="Garamond"/>
          <w:kern w:val="1"/>
          <w:sz w:val="24"/>
          <w:szCs w:val="24"/>
        </w:rPr>
        <w:fldChar w:fldCharType="separate"/>
      </w:r>
      <w:r w:rsidR="004F3785">
        <w:rPr>
          <w:rFonts w:ascii="Garamond" w:hAnsi="Garamond"/>
          <w:noProof/>
          <w:kern w:val="1"/>
          <w:sz w:val="24"/>
          <w:szCs w:val="24"/>
        </w:rPr>
        <w:t>(Riles, 2006)</w:t>
      </w:r>
      <w:r w:rsidR="001A45AB" w:rsidRPr="00E004A2">
        <w:rPr>
          <w:rFonts w:ascii="Garamond" w:hAnsi="Garamond"/>
          <w:kern w:val="1"/>
          <w:sz w:val="24"/>
          <w:szCs w:val="24"/>
        </w:rPr>
        <w:fldChar w:fldCharType="end"/>
      </w:r>
      <w:r w:rsidR="001A45AB" w:rsidRPr="00E004A2">
        <w:rPr>
          <w:rFonts w:ascii="Garamond" w:hAnsi="Garamond"/>
          <w:kern w:val="1"/>
          <w:sz w:val="24"/>
          <w:szCs w:val="24"/>
        </w:rPr>
        <w:t xml:space="preserve">, or as a means of working through an aspirational text for feminist law reform purposes, as </w:t>
      </w:r>
      <w:r w:rsidR="00BA7E97" w:rsidRPr="00E004A2">
        <w:rPr>
          <w:rFonts w:ascii="Garamond" w:hAnsi="Garamond"/>
          <w:kern w:val="1"/>
          <w:sz w:val="24"/>
          <w:szCs w:val="24"/>
        </w:rPr>
        <w:t xml:space="preserve">was the </w:t>
      </w:r>
      <w:r w:rsidR="001A45AB" w:rsidRPr="00E004A2">
        <w:rPr>
          <w:rFonts w:ascii="Garamond" w:hAnsi="Garamond"/>
          <w:kern w:val="1"/>
          <w:sz w:val="24"/>
          <w:szCs w:val="24"/>
        </w:rPr>
        <w:t xml:space="preserve">case with </w:t>
      </w:r>
      <w:r w:rsidR="005C0C01" w:rsidRPr="00E004A2">
        <w:rPr>
          <w:rFonts w:ascii="Garamond" w:hAnsi="Garamond"/>
          <w:kern w:val="1"/>
          <w:sz w:val="24"/>
          <w:szCs w:val="24"/>
        </w:rPr>
        <w:t>an aspirational ‘model for change’ for</w:t>
      </w:r>
      <w:r w:rsidR="001A45AB" w:rsidRPr="00E004A2">
        <w:rPr>
          <w:rFonts w:ascii="Garamond" w:hAnsi="Garamond"/>
          <w:kern w:val="1"/>
          <w:sz w:val="24"/>
          <w:szCs w:val="24"/>
        </w:rPr>
        <w:t xml:space="preserve"> feminist abortion law reform </w:t>
      </w:r>
      <w:r w:rsidR="005C0C01" w:rsidRPr="00E004A2">
        <w:rPr>
          <w:rFonts w:ascii="Garamond" w:hAnsi="Garamond"/>
          <w:kern w:val="1"/>
          <w:sz w:val="24"/>
          <w:szCs w:val="24"/>
        </w:rPr>
        <w:t xml:space="preserve">in </w:t>
      </w:r>
      <w:r w:rsidR="001A45AB" w:rsidRPr="00E004A2">
        <w:rPr>
          <w:rFonts w:ascii="Garamond" w:hAnsi="Garamond"/>
          <w:kern w:val="1"/>
          <w:sz w:val="24"/>
          <w:szCs w:val="24"/>
        </w:rPr>
        <w:t>Ireland</w:t>
      </w:r>
      <w:r w:rsidR="00BA7E97" w:rsidRPr="00E004A2">
        <w:rPr>
          <w:rFonts w:ascii="Garamond" w:hAnsi="Garamond"/>
          <w:kern w:val="1"/>
          <w:sz w:val="24"/>
          <w:szCs w:val="24"/>
        </w:rPr>
        <w:t>,</w:t>
      </w:r>
      <w:r w:rsidR="00857C86" w:rsidRPr="00E004A2">
        <w:rPr>
          <w:rFonts w:ascii="Garamond" w:hAnsi="Garamond"/>
          <w:kern w:val="1"/>
          <w:sz w:val="24"/>
          <w:szCs w:val="24"/>
        </w:rPr>
        <w:t xml:space="preserve"> drafted in 2015 by a group of feminist legal academics in advance of the successful campaign to repeal the </w:t>
      </w:r>
      <w:r w:rsidR="00295854">
        <w:rPr>
          <w:rFonts w:ascii="Garamond" w:hAnsi="Garamond"/>
          <w:kern w:val="1"/>
          <w:sz w:val="24"/>
          <w:szCs w:val="24"/>
        </w:rPr>
        <w:t>E</w:t>
      </w:r>
      <w:r w:rsidR="00857C86" w:rsidRPr="00E004A2">
        <w:rPr>
          <w:rFonts w:ascii="Garamond" w:hAnsi="Garamond"/>
          <w:kern w:val="1"/>
          <w:sz w:val="24"/>
          <w:szCs w:val="24"/>
        </w:rPr>
        <w:t>ig</w:t>
      </w:r>
      <w:r w:rsidR="00823BE8">
        <w:rPr>
          <w:rFonts w:ascii="Garamond" w:hAnsi="Garamond"/>
          <w:kern w:val="1"/>
          <w:sz w:val="24"/>
          <w:szCs w:val="24"/>
        </w:rPr>
        <w:t>hth</w:t>
      </w:r>
      <w:r w:rsidR="00857C86" w:rsidRPr="00E004A2">
        <w:rPr>
          <w:rFonts w:ascii="Garamond" w:hAnsi="Garamond"/>
          <w:kern w:val="1"/>
          <w:sz w:val="24"/>
          <w:szCs w:val="24"/>
        </w:rPr>
        <w:t xml:space="preserve"> </w:t>
      </w:r>
      <w:r w:rsidR="00295854">
        <w:rPr>
          <w:rFonts w:ascii="Garamond" w:hAnsi="Garamond"/>
          <w:kern w:val="1"/>
          <w:sz w:val="24"/>
          <w:szCs w:val="24"/>
        </w:rPr>
        <w:t>A</w:t>
      </w:r>
      <w:r w:rsidR="00857C86" w:rsidRPr="00E004A2">
        <w:rPr>
          <w:rFonts w:ascii="Garamond" w:hAnsi="Garamond"/>
          <w:kern w:val="1"/>
          <w:sz w:val="24"/>
          <w:szCs w:val="24"/>
        </w:rPr>
        <w:t>mendment</w:t>
      </w:r>
      <w:r w:rsidR="0005261D">
        <w:rPr>
          <w:rFonts w:ascii="Garamond" w:hAnsi="Garamond"/>
          <w:kern w:val="1"/>
          <w:sz w:val="24"/>
          <w:szCs w:val="24"/>
        </w:rPr>
        <w:t xml:space="preserve"> to the Irish constitution</w:t>
      </w:r>
      <w:r w:rsidR="001A45AB" w:rsidRPr="00E004A2">
        <w:rPr>
          <w:rFonts w:ascii="Garamond" w:hAnsi="Garamond"/>
          <w:kern w:val="1"/>
          <w:sz w:val="24"/>
          <w:szCs w:val="24"/>
        </w:rPr>
        <w:t xml:space="preserve">, </w:t>
      </w:r>
      <w:r w:rsidR="002E0603">
        <w:rPr>
          <w:rFonts w:ascii="Garamond" w:hAnsi="Garamond"/>
          <w:kern w:val="1"/>
          <w:sz w:val="24"/>
          <w:szCs w:val="24"/>
        </w:rPr>
        <w:t xml:space="preserve">thereby paving the way for </w:t>
      </w:r>
      <w:r w:rsidR="00DA5D29">
        <w:rPr>
          <w:rFonts w:ascii="Garamond" w:hAnsi="Garamond"/>
          <w:kern w:val="1"/>
          <w:sz w:val="24"/>
          <w:szCs w:val="24"/>
        </w:rPr>
        <w:t xml:space="preserve">the removal of the constitutional ban on abortion </w:t>
      </w:r>
      <w:r w:rsidR="001A45A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{"citationID":"RRhyBxdn","properties":{"formattedCitation":"(Enright et al., 2015a, 2015b)","plainCitation":"(Enright et al., 2015a, 2015b)","noteIndex":0},"citationItems":[{"id":702,"uris":["http://zotero.org/users/1070015/items/4A4ZTR5G"],"uri":["http://zotero.org/users/1070015/items/4A4ZTR5G"],"itemData":{"id":702,"type":"article-journal","container-title":"feminists@law","issue":"1","title":"Abortion Law Reform in Ireland: A Model for Change","volume":"15","author":[{"family":"Enright","given":"Mairead"},{"family":"Conway","given":"Vicky"},{"family":"Londras","given":"Fiona","non-dropping-particle":"de"},{"family":"Donelly","given":"Mary"},{"family":"Fletcher","given":"Ruth"},{"family":"McDonnell","given":"Natalie"},{"family":"McGuiness","given":"Sheelagh"},{"family":"Murray","given":"Claire"},{"family":"Ring","given":"Sinead"},{"family":"Chonnachtaigh","given":"Sorcha","non-dropping-particle":"ui"}],"issued":{"date-parts":[["2015"]]}}},{"id":701,"uris":["http://zotero.org/users/1070015/items/MITQDYXC"],"uri":["http://zotero.org/users/1070015/items/MITQDYXC"],"itemData":{"id":701,"type":"legislation","title":"General Scheme of Access to Abortion Bill","author":[{"family":"Enright","given":"Mairead"},{"family":"Conway","given":"Vicky"},{"family":"Londras","given":"Fiona","non-dropping-particle":"de"},{"family":"Donnelly","given":"Mary"},{"family":"Fletcher","given":"Ruth"},{"family":"McDonnell","given":"Natalie"},{"family":"McGuiness","given":"Sheelagh"},{"family":"Murray","given":"Claire"},{"family":"Ring","given":"Sinead"},{"family":"Chonnachtaigh","given":"Sorcha","non-dropping-particle":"ui"}],"issued":{"date-parts":[["2015"]]}}}],"schema":"https://github.com/citation-style-language/schema/raw/master/csl-citation.json"} </w:instrText>
      </w:r>
      <w:r w:rsidR="001A45AB" w:rsidRPr="00E004A2">
        <w:rPr>
          <w:rFonts w:ascii="Garamond" w:hAnsi="Garamond"/>
          <w:kern w:val="1"/>
          <w:sz w:val="24"/>
          <w:szCs w:val="24"/>
        </w:rPr>
        <w:fldChar w:fldCharType="separate"/>
      </w:r>
      <w:r w:rsidR="004F3785">
        <w:rPr>
          <w:rFonts w:ascii="Garamond" w:hAnsi="Garamond"/>
          <w:noProof/>
          <w:kern w:val="1"/>
          <w:sz w:val="24"/>
          <w:szCs w:val="24"/>
        </w:rPr>
        <w:t>(Enright et al., 2015a, 2015b)</w:t>
      </w:r>
      <w:r w:rsidR="001A45AB" w:rsidRPr="00E004A2">
        <w:rPr>
          <w:rFonts w:ascii="Garamond" w:hAnsi="Garamond"/>
          <w:kern w:val="1"/>
          <w:sz w:val="24"/>
          <w:szCs w:val="24"/>
        </w:rPr>
        <w:fldChar w:fldCharType="end"/>
      </w:r>
      <w:r w:rsidR="00141E54" w:rsidRPr="00E004A2">
        <w:rPr>
          <w:rFonts w:ascii="Garamond" w:hAnsi="Garamond"/>
          <w:kern w:val="1"/>
          <w:sz w:val="24"/>
          <w:szCs w:val="24"/>
        </w:rPr>
        <w:t xml:space="preserve">. </w:t>
      </w:r>
      <w:r w:rsidR="00CD5CCA" w:rsidRPr="00E004A2">
        <w:rPr>
          <w:rFonts w:ascii="Garamond" w:hAnsi="Garamond"/>
          <w:kern w:val="1"/>
          <w:sz w:val="24"/>
          <w:szCs w:val="24"/>
        </w:rPr>
        <w:t xml:space="preserve">Inspired by </w:t>
      </w:r>
      <w:r w:rsidR="00BA7E97" w:rsidRPr="00E004A2">
        <w:rPr>
          <w:rFonts w:ascii="Garamond" w:hAnsi="Garamond"/>
          <w:kern w:val="1"/>
          <w:sz w:val="24"/>
          <w:szCs w:val="24"/>
        </w:rPr>
        <w:t>such</w:t>
      </w:r>
      <w:r w:rsidR="00141E54" w:rsidRPr="00E004A2">
        <w:rPr>
          <w:rFonts w:ascii="Garamond" w:hAnsi="Garamond"/>
          <w:kern w:val="1"/>
          <w:sz w:val="24"/>
          <w:szCs w:val="24"/>
        </w:rPr>
        <w:t xml:space="preserve"> engagements, </w:t>
      </w:r>
      <w:r w:rsidR="00F010B4" w:rsidRPr="00E004A2">
        <w:rPr>
          <w:rFonts w:ascii="Garamond" w:hAnsi="Garamond"/>
          <w:kern w:val="1"/>
          <w:sz w:val="24"/>
          <w:szCs w:val="24"/>
        </w:rPr>
        <w:t xml:space="preserve">my aim is to </w:t>
      </w:r>
      <w:r w:rsidR="00BA7E97" w:rsidRPr="00E004A2">
        <w:rPr>
          <w:rFonts w:ascii="Garamond" w:hAnsi="Garamond"/>
          <w:kern w:val="1"/>
          <w:sz w:val="24"/>
          <w:szCs w:val="24"/>
        </w:rPr>
        <w:t>foster</w:t>
      </w:r>
      <w:r w:rsidR="00F010B4" w:rsidRPr="00E004A2">
        <w:rPr>
          <w:rFonts w:ascii="Garamond" w:hAnsi="Garamond"/>
          <w:kern w:val="1"/>
          <w:sz w:val="24"/>
          <w:szCs w:val="24"/>
        </w:rPr>
        <w:t xml:space="preserve"> debate about the </w:t>
      </w:r>
      <w:r w:rsidR="007D5E5D" w:rsidRPr="00E004A2">
        <w:rPr>
          <w:rFonts w:ascii="Garamond" w:hAnsi="Garamond"/>
          <w:kern w:val="1"/>
          <w:sz w:val="24"/>
          <w:szCs w:val="24"/>
        </w:rPr>
        <w:t xml:space="preserve">meaning, </w:t>
      </w:r>
      <w:r w:rsidR="00F010B4" w:rsidRPr="00E004A2">
        <w:rPr>
          <w:rFonts w:ascii="Garamond" w:hAnsi="Garamond"/>
          <w:kern w:val="1"/>
          <w:sz w:val="24"/>
          <w:szCs w:val="24"/>
        </w:rPr>
        <w:t xml:space="preserve">potential </w:t>
      </w:r>
      <w:r w:rsidR="00A42CE2" w:rsidRPr="00E004A2">
        <w:rPr>
          <w:rFonts w:ascii="Garamond" w:hAnsi="Garamond"/>
          <w:kern w:val="1"/>
          <w:sz w:val="24"/>
          <w:szCs w:val="24"/>
        </w:rPr>
        <w:t>and pitfalls of legislative drafting for feminist purposes</w:t>
      </w:r>
      <w:r w:rsidR="00C1507F" w:rsidRPr="00E004A2">
        <w:rPr>
          <w:rFonts w:ascii="Garamond" w:hAnsi="Garamond"/>
          <w:kern w:val="1"/>
          <w:sz w:val="24"/>
          <w:szCs w:val="24"/>
        </w:rPr>
        <w:t xml:space="preserve">. </w:t>
      </w:r>
      <w:r w:rsidR="00E87B59" w:rsidRPr="00E004A2">
        <w:rPr>
          <w:rFonts w:ascii="Garamond" w:hAnsi="Garamond"/>
          <w:kern w:val="1"/>
          <w:sz w:val="24"/>
          <w:szCs w:val="24"/>
        </w:rPr>
        <w:t xml:space="preserve">What understanding of statutory law and its gendering power does this task bring with it? What opportunities and </w:t>
      </w:r>
      <w:r w:rsidR="00922B57" w:rsidRPr="00E004A2">
        <w:rPr>
          <w:rFonts w:ascii="Garamond" w:hAnsi="Garamond"/>
          <w:kern w:val="1"/>
          <w:sz w:val="24"/>
          <w:szCs w:val="24"/>
        </w:rPr>
        <w:t xml:space="preserve">drawbacks </w:t>
      </w:r>
      <w:r w:rsidR="00E87B59" w:rsidRPr="00E004A2">
        <w:rPr>
          <w:rFonts w:ascii="Garamond" w:hAnsi="Garamond"/>
          <w:kern w:val="1"/>
          <w:sz w:val="24"/>
          <w:szCs w:val="24"/>
        </w:rPr>
        <w:t>attend</w:t>
      </w:r>
      <w:r w:rsidR="00391CC1" w:rsidRPr="00E004A2">
        <w:rPr>
          <w:rFonts w:ascii="Garamond" w:hAnsi="Garamond"/>
          <w:kern w:val="1"/>
          <w:sz w:val="24"/>
          <w:szCs w:val="24"/>
        </w:rPr>
        <w:t xml:space="preserve"> such initiatives</w:t>
      </w:r>
      <w:r w:rsidR="007D5E5D" w:rsidRPr="00E004A2">
        <w:rPr>
          <w:rFonts w:ascii="Garamond" w:hAnsi="Garamond"/>
          <w:kern w:val="1"/>
          <w:sz w:val="24"/>
          <w:szCs w:val="24"/>
        </w:rPr>
        <w:t xml:space="preserve"> and what do they bring forth</w:t>
      </w:r>
      <w:r w:rsidR="00E87B59" w:rsidRPr="00E004A2">
        <w:rPr>
          <w:rFonts w:ascii="Garamond" w:hAnsi="Garamond"/>
          <w:kern w:val="1"/>
          <w:sz w:val="24"/>
          <w:szCs w:val="24"/>
        </w:rPr>
        <w:t>?</w:t>
      </w:r>
    </w:p>
    <w:p w14:paraId="524C008F" w14:textId="2C9B55D0" w:rsidR="006101CA" w:rsidRPr="00E004A2" w:rsidRDefault="008974B6" w:rsidP="006101CA">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r>
      <w:r w:rsidR="00551D67" w:rsidRPr="00E004A2">
        <w:rPr>
          <w:rFonts w:ascii="Garamond" w:hAnsi="Garamond"/>
          <w:kern w:val="1"/>
          <w:sz w:val="24"/>
          <w:szCs w:val="24"/>
        </w:rPr>
        <w:t xml:space="preserve">In the following sections, I </w:t>
      </w:r>
      <w:r w:rsidR="006A702E" w:rsidRPr="00E004A2">
        <w:rPr>
          <w:rFonts w:ascii="Garamond" w:hAnsi="Garamond"/>
          <w:kern w:val="1"/>
          <w:sz w:val="24"/>
          <w:szCs w:val="24"/>
        </w:rPr>
        <w:t>introdu</w:t>
      </w:r>
      <w:r w:rsidR="00551D67" w:rsidRPr="00E004A2">
        <w:rPr>
          <w:rFonts w:ascii="Garamond" w:hAnsi="Garamond"/>
          <w:kern w:val="1"/>
          <w:sz w:val="24"/>
          <w:szCs w:val="24"/>
        </w:rPr>
        <w:t>ce</w:t>
      </w:r>
      <w:r w:rsidR="006A702E" w:rsidRPr="00E004A2">
        <w:rPr>
          <w:rFonts w:ascii="Garamond" w:hAnsi="Garamond"/>
          <w:kern w:val="1"/>
          <w:sz w:val="24"/>
          <w:szCs w:val="24"/>
        </w:rPr>
        <w:t xml:space="preserve"> the practice of legislative drafting and then </w:t>
      </w:r>
      <w:r w:rsidR="0050477B" w:rsidRPr="00E004A2">
        <w:rPr>
          <w:rFonts w:ascii="Garamond" w:hAnsi="Garamond"/>
          <w:kern w:val="1"/>
          <w:sz w:val="24"/>
          <w:szCs w:val="24"/>
        </w:rPr>
        <w:t>tell one of many stories that could potentially be told across diverse jurisdictions and colonial contexts</w:t>
      </w:r>
      <w:r w:rsidR="00893D5B" w:rsidRPr="00E004A2">
        <w:rPr>
          <w:rFonts w:ascii="Garamond" w:hAnsi="Garamond"/>
          <w:kern w:val="1"/>
          <w:sz w:val="24"/>
          <w:szCs w:val="24"/>
        </w:rPr>
        <w:t xml:space="preserve"> about the relationship of sex/gender to legislative drafting</w:t>
      </w:r>
      <w:r w:rsidR="0050477B" w:rsidRPr="00E004A2">
        <w:rPr>
          <w:rFonts w:ascii="Garamond" w:hAnsi="Garamond"/>
          <w:kern w:val="1"/>
          <w:sz w:val="24"/>
          <w:szCs w:val="24"/>
        </w:rPr>
        <w:t xml:space="preserve"> – the story of the development of cert</w:t>
      </w:r>
      <w:r w:rsidR="00893D5B" w:rsidRPr="00E004A2">
        <w:rPr>
          <w:rFonts w:ascii="Garamond" w:hAnsi="Garamond"/>
          <w:kern w:val="1"/>
          <w:sz w:val="24"/>
          <w:szCs w:val="24"/>
        </w:rPr>
        <w:t>ai</w:t>
      </w:r>
      <w:r w:rsidR="0050477B" w:rsidRPr="00E004A2">
        <w:rPr>
          <w:rFonts w:ascii="Garamond" w:hAnsi="Garamond"/>
          <w:kern w:val="1"/>
          <w:sz w:val="24"/>
          <w:szCs w:val="24"/>
        </w:rPr>
        <w:t>n approaches to sex and gender in English law</w:t>
      </w:r>
      <w:r w:rsidR="00893D5B" w:rsidRPr="00E004A2">
        <w:rPr>
          <w:rFonts w:ascii="Garamond" w:hAnsi="Garamond"/>
          <w:kern w:val="1"/>
          <w:sz w:val="24"/>
          <w:szCs w:val="24"/>
        </w:rPr>
        <w:t xml:space="preserve"> culminating in current debates over gender-neutral drafting</w:t>
      </w:r>
      <w:r w:rsidR="0050477B" w:rsidRPr="00E004A2">
        <w:rPr>
          <w:rFonts w:ascii="Garamond" w:hAnsi="Garamond"/>
          <w:kern w:val="1"/>
          <w:sz w:val="24"/>
          <w:szCs w:val="24"/>
        </w:rPr>
        <w:t>.</w:t>
      </w:r>
      <w:r w:rsidR="009144DE" w:rsidRPr="00E004A2">
        <w:rPr>
          <w:rFonts w:ascii="Garamond" w:hAnsi="Garamond"/>
          <w:kern w:val="1"/>
          <w:sz w:val="24"/>
          <w:szCs w:val="24"/>
        </w:rPr>
        <w:t xml:space="preserve"> Whilst gender-neutral drafting </w:t>
      </w:r>
      <w:r w:rsidR="00476378" w:rsidRPr="00E004A2">
        <w:rPr>
          <w:rFonts w:ascii="Garamond" w:hAnsi="Garamond"/>
          <w:kern w:val="1"/>
          <w:sz w:val="24"/>
          <w:szCs w:val="24"/>
        </w:rPr>
        <w:t xml:space="preserve">and other similar techniques </w:t>
      </w:r>
      <w:r w:rsidR="00422C87">
        <w:rPr>
          <w:rFonts w:ascii="Garamond" w:hAnsi="Garamond"/>
          <w:kern w:val="1"/>
          <w:sz w:val="24"/>
          <w:szCs w:val="24"/>
        </w:rPr>
        <w:t>might appear</w:t>
      </w:r>
      <w:r w:rsidR="009144DE" w:rsidRPr="00E004A2">
        <w:rPr>
          <w:rFonts w:ascii="Garamond" w:hAnsi="Garamond"/>
          <w:kern w:val="1"/>
          <w:sz w:val="24"/>
          <w:szCs w:val="24"/>
        </w:rPr>
        <w:t xml:space="preserve"> to </w:t>
      </w:r>
      <w:r w:rsidR="00A041CF">
        <w:rPr>
          <w:rFonts w:ascii="Garamond" w:hAnsi="Garamond"/>
          <w:kern w:val="1"/>
          <w:sz w:val="24"/>
          <w:szCs w:val="24"/>
        </w:rPr>
        <w:t xml:space="preserve">do little to </w:t>
      </w:r>
      <w:r w:rsidR="009144DE" w:rsidRPr="00E004A2">
        <w:rPr>
          <w:rFonts w:ascii="Garamond" w:hAnsi="Garamond"/>
          <w:kern w:val="1"/>
          <w:sz w:val="24"/>
          <w:szCs w:val="24"/>
        </w:rPr>
        <w:t>shape the substantive content of statute</w:t>
      </w:r>
      <w:r w:rsidR="00476378" w:rsidRPr="00E004A2">
        <w:rPr>
          <w:rFonts w:ascii="Garamond" w:hAnsi="Garamond"/>
          <w:kern w:val="1"/>
          <w:sz w:val="24"/>
          <w:szCs w:val="24"/>
        </w:rPr>
        <w:t xml:space="preserve">, they are enmeshed in powerful webs of </w:t>
      </w:r>
      <w:r w:rsidR="0067048C" w:rsidRPr="00E004A2">
        <w:rPr>
          <w:rFonts w:ascii="Garamond" w:hAnsi="Garamond"/>
          <w:kern w:val="1"/>
          <w:sz w:val="24"/>
          <w:szCs w:val="24"/>
        </w:rPr>
        <w:t xml:space="preserve">gendered norms, meaning, and symbolism that </w:t>
      </w:r>
      <w:r w:rsidR="007709F5" w:rsidRPr="00E004A2">
        <w:rPr>
          <w:rFonts w:ascii="Garamond" w:hAnsi="Garamond"/>
          <w:kern w:val="1"/>
          <w:sz w:val="24"/>
          <w:szCs w:val="24"/>
        </w:rPr>
        <w:t>provide useful</w:t>
      </w:r>
      <w:r w:rsidR="003034B8" w:rsidRPr="00E004A2">
        <w:rPr>
          <w:rFonts w:ascii="Garamond" w:hAnsi="Garamond"/>
          <w:kern w:val="1"/>
          <w:sz w:val="24"/>
          <w:szCs w:val="24"/>
        </w:rPr>
        <w:t xml:space="preserve"> material for feminists to consider</w:t>
      </w:r>
      <w:r w:rsidR="0067048C" w:rsidRPr="00E004A2">
        <w:rPr>
          <w:rFonts w:ascii="Garamond" w:hAnsi="Garamond"/>
          <w:kern w:val="1"/>
          <w:sz w:val="24"/>
          <w:szCs w:val="24"/>
        </w:rPr>
        <w:t>.</w:t>
      </w:r>
      <w:r w:rsidR="0050477B" w:rsidRPr="00E004A2">
        <w:rPr>
          <w:rFonts w:ascii="Garamond" w:hAnsi="Garamond"/>
          <w:kern w:val="1"/>
          <w:sz w:val="24"/>
          <w:szCs w:val="24"/>
        </w:rPr>
        <w:t xml:space="preserve"> I </w:t>
      </w:r>
      <w:r w:rsidR="00014D74" w:rsidRPr="00E004A2">
        <w:rPr>
          <w:rFonts w:ascii="Garamond" w:hAnsi="Garamond"/>
          <w:kern w:val="1"/>
          <w:sz w:val="24"/>
          <w:szCs w:val="24"/>
        </w:rPr>
        <w:t xml:space="preserve">begin by </w:t>
      </w:r>
      <w:r w:rsidR="006A702E" w:rsidRPr="00E004A2">
        <w:rPr>
          <w:rFonts w:ascii="Garamond" w:hAnsi="Garamond"/>
          <w:kern w:val="1"/>
          <w:sz w:val="24"/>
          <w:szCs w:val="24"/>
        </w:rPr>
        <w:t>trac</w:t>
      </w:r>
      <w:r w:rsidR="00014D74" w:rsidRPr="00E004A2">
        <w:rPr>
          <w:rFonts w:ascii="Garamond" w:hAnsi="Garamond"/>
          <w:kern w:val="1"/>
          <w:sz w:val="24"/>
          <w:szCs w:val="24"/>
        </w:rPr>
        <w:t>ing</w:t>
      </w:r>
      <w:r w:rsidR="006A702E" w:rsidRPr="00E004A2">
        <w:rPr>
          <w:rFonts w:ascii="Garamond" w:hAnsi="Garamond"/>
          <w:kern w:val="1"/>
          <w:sz w:val="24"/>
          <w:szCs w:val="24"/>
        </w:rPr>
        <w:t xml:space="preserve"> the</w:t>
      </w:r>
      <w:r w:rsidR="006101CA" w:rsidRPr="00E004A2">
        <w:rPr>
          <w:rFonts w:ascii="Garamond" w:hAnsi="Garamond"/>
          <w:kern w:val="1"/>
          <w:sz w:val="24"/>
          <w:szCs w:val="24"/>
        </w:rPr>
        <w:t xml:space="preserve"> genealogy of </w:t>
      </w:r>
      <w:r w:rsidR="006A702E" w:rsidRPr="00E004A2">
        <w:rPr>
          <w:rFonts w:ascii="Garamond" w:hAnsi="Garamond"/>
          <w:kern w:val="1"/>
          <w:sz w:val="24"/>
          <w:szCs w:val="24"/>
        </w:rPr>
        <w:t xml:space="preserve">the </w:t>
      </w:r>
      <w:r w:rsidR="006101CA" w:rsidRPr="00E004A2">
        <w:rPr>
          <w:rFonts w:ascii="Garamond" w:hAnsi="Garamond"/>
          <w:kern w:val="1"/>
          <w:sz w:val="24"/>
          <w:szCs w:val="24"/>
        </w:rPr>
        <w:t>‘he or she’</w:t>
      </w:r>
      <w:r w:rsidR="006A702E" w:rsidRPr="00E004A2">
        <w:rPr>
          <w:rFonts w:ascii="Garamond" w:hAnsi="Garamond"/>
          <w:kern w:val="1"/>
          <w:sz w:val="24"/>
          <w:szCs w:val="24"/>
        </w:rPr>
        <w:t xml:space="preserve"> construction, an expression </w:t>
      </w:r>
      <w:r w:rsidR="006101CA" w:rsidRPr="00E004A2">
        <w:rPr>
          <w:rFonts w:ascii="Garamond" w:hAnsi="Garamond"/>
          <w:kern w:val="1"/>
          <w:sz w:val="24"/>
          <w:szCs w:val="24"/>
        </w:rPr>
        <w:t>with its own attached epistemologies that</w:t>
      </w:r>
      <w:r w:rsidR="006A702E" w:rsidRPr="00E004A2">
        <w:rPr>
          <w:rFonts w:ascii="Garamond" w:hAnsi="Garamond"/>
          <w:kern w:val="1"/>
          <w:sz w:val="24"/>
          <w:szCs w:val="24"/>
        </w:rPr>
        <w:t xml:space="preserve"> </w:t>
      </w:r>
      <w:r w:rsidR="00C50E52">
        <w:rPr>
          <w:rFonts w:ascii="Garamond" w:hAnsi="Garamond"/>
          <w:kern w:val="1"/>
          <w:sz w:val="24"/>
          <w:szCs w:val="24"/>
        </w:rPr>
        <w:t>have</w:t>
      </w:r>
      <w:r w:rsidR="00C50E52" w:rsidRPr="00E004A2">
        <w:rPr>
          <w:rFonts w:ascii="Garamond" w:hAnsi="Garamond"/>
          <w:kern w:val="1"/>
          <w:sz w:val="24"/>
          <w:szCs w:val="24"/>
        </w:rPr>
        <w:t xml:space="preserve"> </w:t>
      </w:r>
      <w:r w:rsidR="006A702E" w:rsidRPr="00E004A2">
        <w:rPr>
          <w:rFonts w:ascii="Garamond" w:hAnsi="Garamond"/>
          <w:kern w:val="1"/>
          <w:sz w:val="24"/>
          <w:szCs w:val="24"/>
        </w:rPr>
        <w:t>been formed through shifting relationships with the use (or not) of binary gender pronouns.</w:t>
      </w:r>
      <w:r w:rsidR="00302114" w:rsidRPr="00E004A2">
        <w:rPr>
          <w:rFonts w:ascii="Garamond" w:hAnsi="Garamond"/>
          <w:kern w:val="1"/>
          <w:sz w:val="24"/>
          <w:szCs w:val="24"/>
        </w:rPr>
        <w:t xml:space="preserve"> Drawing on feminist research into the long history of legislative drafting, I then outline the distinct contribution of interpretation legislation to the legal drafting of gender, before</w:t>
      </w:r>
      <w:r w:rsidR="00F00F55" w:rsidRPr="00E004A2">
        <w:rPr>
          <w:rFonts w:ascii="Garamond" w:hAnsi="Garamond"/>
          <w:kern w:val="1"/>
          <w:sz w:val="24"/>
          <w:szCs w:val="24"/>
        </w:rPr>
        <w:t xml:space="preserve"> </w:t>
      </w:r>
      <w:r w:rsidR="003034B8" w:rsidRPr="00E004A2">
        <w:rPr>
          <w:rFonts w:ascii="Garamond" w:hAnsi="Garamond"/>
          <w:kern w:val="1"/>
          <w:sz w:val="24"/>
          <w:szCs w:val="24"/>
        </w:rPr>
        <w:t>engaging with</w:t>
      </w:r>
      <w:r w:rsidR="005F4B85" w:rsidRPr="00E004A2">
        <w:rPr>
          <w:rFonts w:ascii="Garamond" w:hAnsi="Garamond"/>
          <w:kern w:val="1"/>
          <w:sz w:val="24"/>
          <w:szCs w:val="24"/>
        </w:rPr>
        <w:t xml:space="preserve"> original interview data to </w:t>
      </w:r>
      <w:r w:rsidR="00F00F55" w:rsidRPr="00E004A2">
        <w:rPr>
          <w:rFonts w:ascii="Garamond" w:hAnsi="Garamond"/>
          <w:kern w:val="1"/>
          <w:sz w:val="24"/>
          <w:szCs w:val="24"/>
        </w:rPr>
        <w:t>discuss</w:t>
      </w:r>
      <w:r w:rsidR="00302114" w:rsidRPr="00E004A2">
        <w:rPr>
          <w:rFonts w:ascii="Garamond" w:hAnsi="Garamond"/>
          <w:kern w:val="1"/>
          <w:sz w:val="24"/>
          <w:szCs w:val="24"/>
        </w:rPr>
        <w:t xml:space="preserve"> more recent approaches to ‘gender neutral drafting’ that have evolved since the formal adoption by the previous </w:t>
      </w:r>
      <w:r w:rsidR="00AD0145" w:rsidRPr="00E004A2">
        <w:rPr>
          <w:rFonts w:ascii="Garamond" w:hAnsi="Garamond"/>
          <w:kern w:val="1"/>
          <w:sz w:val="24"/>
          <w:szCs w:val="24"/>
        </w:rPr>
        <w:t xml:space="preserve">UK </w:t>
      </w:r>
      <w:r w:rsidR="00302114" w:rsidRPr="00E004A2">
        <w:rPr>
          <w:rFonts w:ascii="Garamond" w:hAnsi="Garamond"/>
          <w:kern w:val="1"/>
          <w:sz w:val="24"/>
          <w:szCs w:val="24"/>
        </w:rPr>
        <w:t>Labour government of a gender-neutral drafting policy</w:t>
      </w:r>
      <w:r w:rsidR="00AD0145" w:rsidRPr="00E004A2">
        <w:rPr>
          <w:rFonts w:ascii="Garamond" w:hAnsi="Garamond"/>
          <w:kern w:val="1"/>
          <w:sz w:val="24"/>
          <w:szCs w:val="24"/>
        </w:rPr>
        <w:t xml:space="preserve"> in 2007</w:t>
      </w:r>
      <w:r w:rsidR="00302114" w:rsidRPr="00E004A2">
        <w:rPr>
          <w:rFonts w:ascii="Garamond" w:hAnsi="Garamond"/>
          <w:kern w:val="1"/>
          <w:sz w:val="24"/>
          <w:szCs w:val="24"/>
        </w:rPr>
        <w:t>. The article concludes by</w:t>
      </w:r>
      <w:r w:rsidR="00A57FE2" w:rsidRPr="00E004A2">
        <w:rPr>
          <w:rFonts w:ascii="Garamond" w:hAnsi="Garamond"/>
          <w:kern w:val="1"/>
          <w:sz w:val="24"/>
          <w:szCs w:val="24"/>
        </w:rPr>
        <w:t xml:space="preserve"> set</w:t>
      </w:r>
      <w:r w:rsidR="00CF6BAE" w:rsidRPr="00E004A2">
        <w:rPr>
          <w:rFonts w:ascii="Garamond" w:hAnsi="Garamond"/>
          <w:kern w:val="1"/>
          <w:sz w:val="24"/>
          <w:szCs w:val="24"/>
        </w:rPr>
        <w:t>ting</w:t>
      </w:r>
      <w:r w:rsidR="00A57FE2" w:rsidRPr="00E004A2">
        <w:rPr>
          <w:rFonts w:ascii="Garamond" w:hAnsi="Garamond"/>
          <w:kern w:val="1"/>
          <w:sz w:val="24"/>
          <w:szCs w:val="24"/>
        </w:rPr>
        <w:t xml:space="preserve"> out</w:t>
      </w:r>
      <w:r w:rsidR="000D6758" w:rsidRPr="00E004A2">
        <w:rPr>
          <w:rFonts w:ascii="Garamond" w:hAnsi="Garamond"/>
          <w:kern w:val="1"/>
          <w:sz w:val="24"/>
          <w:szCs w:val="24"/>
        </w:rPr>
        <w:t xml:space="preserve"> </w:t>
      </w:r>
      <w:r w:rsidR="000D6758" w:rsidRPr="00E004A2">
        <w:rPr>
          <w:rFonts w:ascii="Garamond" w:hAnsi="Garamond"/>
          <w:kern w:val="1"/>
          <w:sz w:val="24"/>
          <w:szCs w:val="24"/>
        </w:rPr>
        <w:lastRenderedPageBreak/>
        <w:t xml:space="preserve">some </w:t>
      </w:r>
      <w:r w:rsidR="00A57FE2" w:rsidRPr="00E004A2">
        <w:rPr>
          <w:rFonts w:ascii="Garamond" w:hAnsi="Garamond"/>
          <w:kern w:val="1"/>
          <w:sz w:val="24"/>
          <w:szCs w:val="24"/>
        </w:rPr>
        <w:t>issues, opportunities, and challenges</w:t>
      </w:r>
      <w:r w:rsidR="000D6758" w:rsidRPr="00E004A2">
        <w:rPr>
          <w:rFonts w:ascii="Garamond" w:hAnsi="Garamond"/>
          <w:kern w:val="1"/>
          <w:sz w:val="24"/>
          <w:szCs w:val="24"/>
        </w:rPr>
        <w:t xml:space="preserve"> that the project may face when drafting </w:t>
      </w:r>
      <w:r w:rsidR="00FF1CEB" w:rsidRPr="00E004A2">
        <w:rPr>
          <w:rFonts w:ascii="Garamond" w:hAnsi="Garamond"/>
          <w:kern w:val="1"/>
          <w:sz w:val="24"/>
          <w:szCs w:val="24"/>
        </w:rPr>
        <w:t xml:space="preserve">an </w:t>
      </w:r>
      <w:r w:rsidR="00AD0145" w:rsidRPr="00E004A2">
        <w:rPr>
          <w:rFonts w:ascii="Garamond" w:hAnsi="Garamond"/>
          <w:kern w:val="1"/>
          <w:sz w:val="24"/>
          <w:szCs w:val="24"/>
        </w:rPr>
        <w:t>experimental</w:t>
      </w:r>
      <w:r w:rsidR="000D6758" w:rsidRPr="00E004A2">
        <w:rPr>
          <w:rFonts w:ascii="Garamond" w:hAnsi="Garamond"/>
          <w:kern w:val="1"/>
          <w:sz w:val="24"/>
          <w:szCs w:val="24"/>
        </w:rPr>
        <w:t xml:space="preserve"> statute </w:t>
      </w:r>
      <w:r w:rsidR="00FF1CEB" w:rsidRPr="00E004A2">
        <w:rPr>
          <w:rFonts w:ascii="Garamond" w:hAnsi="Garamond"/>
          <w:kern w:val="1"/>
          <w:sz w:val="24"/>
          <w:szCs w:val="24"/>
        </w:rPr>
        <w:t>decertifying legal gender.</w:t>
      </w:r>
    </w:p>
    <w:p w14:paraId="48BE4DC8" w14:textId="77777777" w:rsidR="00BE7153" w:rsidRPr="00E004A2" w:rsidRDefault="00BE7153" w:rsidP="000D6758">
      <w:pPr>
        <w:tabs>
          <w:tab w:val="left" w:pos="720"/>
          <w:tab w:val="left" w:pos="1440"/>
          <w:tab w:val="left" w:pos="2160"/>
          <w:tab w:val="left" w:pos="2880"/>
          <w:tab w:val="left" w:pos="3600"/>
          <w:tab w:val="left" w:pos="4320"/>
        </w:tabs>
        <w:spacing w:line="480" w:lineRule="auto"/>
        <w:rPr>
          <w:rFonts w:ascii="Garamond" w:hAnsi="Garamond"/>
          <w:kern w:val="1"/>
          <w:sz w:val="24"/>
          <w:szCs w:val="24"/>
        </w:rPr>
      </w:pPr>
    </w:p>
    <w:p w14:paraId="47BAD7B5" w14:textId="6315259F" w:rsidR="00181E5E" w:rsidRPr="00F30512" w:rsidRDefault="00B62FBC" w:rsidP="00AB3405">
      <w:pPr>
        <w:pStyle w:val="Heading2"/>
        <w:rPr>
          <w:lang w:val="en-US"/>
        </w:rPr>
      </w:pPr>
      <w:r w:rsidRPr="00F30512">
        <w:rPr>
          <w:lang w:val="en-US"/>
        </w:rPr>
        <w:t>The Message in the Medium</w:t>
      </w:r>
    </w:p>
    <w:p w14:paraId="798A6F11" w14:textId="77777777" w:rsidR="00215057" w:rsidRDefault="00215057" w:rsidP="001C3C86">
      <w:pPr>
        <w:tabs>
          <w:tab w:val="left" w:pos="720"/>
          <w:tab w:val="left" w:pos="1440"/>
          <w:tab w:val="left" w:pos="2160"/>
          <w:tab w:val="left" w:pos="2880"/>
          <w:tab w:val="left" w:pos="3600"/>
          <w:tab w:val="left" w:pos="4320"/>
        </w:tabs>
        <w:spacing w:line="480" w:lineRule="auto"/>
        <w:ind w:left="360"/>
        <w:rPr>
          <w:rFonts w:ascii="Garamond" w:hAnsi="Garamond"/>
          <w:color w:val="000000"/>
          <w:sz w:val="24"/>
          <w:szCs w:val="24"/>
        </w:rPr>
      </w:pPr>
    </w:p>
    <w:p w14:paraId="65F223BA" w14:textId="398D372C" w:rsidR="00BE7153" w:rsidRPr="00E004A2" w:rsidRDefault="00181E5E" w:rsidP="001C3C86">
      <w:pPr>
        <w:tabs>
          <w:tab w:val="left" w:pos="720"/>
          <w:tab w:val="left" w:pos="1440"/>
          <w:tab w:val="left" w:pos="2160"/>
          <w:tab w:val="left" w:pos="2880"/>
          <w:tab w:val="left" w:pos="3600"/>
          <w:tab w:val="left" w:pos="4320"/>
        </w:tabs>
        <w:spacing w:line="480" w:lineRule="auto"/>
        <w:ind w:left="360"/>
        <w:rPr>
          <w:rFonts w:ascii="Garamond" w:hAnsi="Garamond"/>
          <w:color w:val="000000"/>
          <w:sz w:val="24"/>
          <w:szCs w:val="24"/>
        </w:rPr>
      </w:pPr>
      <w:r w:rsidRPr="00E004A2">
        <w:rPr>
          <w:rFonts w:ascii="Garamond" w:hAnsi="Garamond"/>
          <w:color w:val="000000"/>
          <w:sz w:val="24"/>
          <w:szCs w:val="24"/>
        </w:rPr>
        <w:t>Our language and our grammar is gender-specific. There is nothing we can do about that. (Legislative drafting expert</w:t>
      </w:r>
      <w:r w:rsidR="008D3F8B" w:rsidRPr="00E004A2">
        <w:rPr>
          <w:rFonts w:ascii="Garamond" w:hAnsi="Garamond"/>
          <w:color w:val="000000"/>
          <w:sz w:val="24"/>
          <w:szCs w:val="24"/>
        </w:rPr>
        <w:t>, 2019</w:t>
      </w:r>
      <w:r w:rsidRPr="00E004A2">
        <w:rPr>
          <w:rFonts w:ascii="Garamond" w:hAnsi="Garamond"/>
          <w:color w:val="000000"/>
          <w:sz w:val="24"/>
          <w:szCs w:val="24"/>
        </w:rPr>
        <w:t>)</w:t>
      </w:r>
    </w:p>
    <w:p w14:paraId="0C41BD3E" w14:textId="77777777" w:rsidR="00215057" w:rsidRDefault="00215057" w:rsidP="001C3C86">
      <w:pPr>
        <w:tabs>
          <w:tab w:val="left" w:pos="720"/>
          <w:tab w:val="left" w:pos="1440"/>
          <w:tab w:val="left" w:pos="2160"/>
          <w:tab w:val="left" w:pos="2880"/>
          <w:tab w:val="left" w:pos="3600"/>
          <w:tab w:val="left" w:pos="4320"/>
        </w:tabs>
        <w:spacing w:line="480" w:lineRule="auto"/>
        <w:ind w:left="360"/>
        <w:rPr>
          <w:rFonts w:ascii="Garamond" w:hAnsi="Garamond"/>
          <w:color w:val="000000"/>
          <w:sz w:val="24"/>
          <w:szCs w:val="24"/>
        </w:rPr>
      </w:pPr>
    </w:p>
    <w:p w14:paraId="73127E21" w14:textId="7E07CC9E" w:rsidR="006943A6" w:rsidRPr="00EF596E" w:rsidRDefault="006943A6" w:rsidP="001C3C86">
      <w:pPr>
        <w:tabs>
          <w:tab w:val="left" w:pos="720"/>
          <w:tab w:val="left" w:pos="1440"/>
          <w:tab w:val="left" w:pos="2160"/>
          <w:tab w:val="left" w:pos="2880"/>
          <w:tab w:val="left" w:pos="3600"/>
          <w:tab w:val="left" w:pos="4320"/>
        </w:tabs>
        <w:spacing w:line="480" w:lineRule="auto"/>
        <w:ind w:left="360"/>
        <w:rPr>
          <w:rFonts w:ascii="Garamond" w:hAnsi="Garamond"/>
          <w:kern w:val="1"/>
          <w:sz w:val="24"/>
          <w:szCs w:val="24"/>
        </w:rPr>
      </w:pPr>
      <w:r w:rsidRPr="00E004A2">
        <w:rPr>
          <w:rFonts w:ascii="Garamond" w:hAnsi="Garamond"/>
          <w:color w:val="000000"/>
          <w:sz w:val="24"/>
          <w:szCs w:val="24"/>
        </w:rPr>
        <w:t>Because</w:t>
      </w:r>
      <w:r w:rsidRPr="00E004A2">
        <w:rPr>
          <w:rFonts w:ascii="Garamond" w:hAnsi="Garamond"/>
          <w:b/>
          <w:color w:val="000000"/>
          <w:sz w:val="24"/>
          <w:szCs w:val="24"/>
        </w:rPr>
        <w:t xml:space="preserve"> </w:t>
      </w:r>
      <w:r w:rsidRPr="00E004A2">
        <w:rPr>
          <w:rFonts w:ascii="Garamond" w:hAnsi="Garamond"/>
          <w:color w:val="000000"/>
          <w:sz w:val="24"/>
          <w:szCs w:val="24"/>
        </w:rPr>
        <w:t xml:space="preserve">law is made up of words: words which are </w:t>
      </w:r>
      <w:r w:rsidRPr="00E004A2">
        <w:rPr>
          <w:rFonts w:ascii="Garamond" w:hAnsi="Garamond"/>
          <w:i/>
          <w:color w:val="000000"/>
          <w:sz w:val="24"/>
          <w:szCs w:val="24"/>
        </w:rPr>
        <w:t xml:space="preserve">written </w:t>
      </w:r>
      <w:r w:rsidRPr="00E004A2">
        <w:rPr>
          <w:rFonts w:ascii="Garamond" w:hAnsi="Garamond"/>
          <w:color w:val="000000"/>
          <w:sz w:val="24"/>
          <w:szCs w:val="24"/>
        </w:rPr>
        <w:t xml:space="preserve">in constitutions, statutes, reported decisions and negotiated agreements, and words which are </w:t>
      </w:r>
      <w:r w:rsidRPr="00E004A2">
        <w:rPr>
          <w:rFonts w:ascii="Garamond" w:hAnsi="Garamond"/>
          <w:i/>
          <w:color w:val="000000"/>
          <w:sz w:val="24"/>
          <w:szCs w:val="24"/>
        </w:rPr>
        <w:t xml:space="preserve">spoken </w:t>
      </w:r>
      <w:r w:rsidRPr="00E004A2">
        <w:rPr>
          <w:rFonts w:ascii="Garamond" w:hAnsi="Garamond"/>
          <w:color w:val="000000"/>
          <w:sz w:val="24"/>
          <w:szCs w:val="24"/>
        </w:rPr>
        <w:t xml:space="preserve">in courts and tribunals and other professional settings by lawyers and adjudicators, the use of language is fundamental to </w:t>
      </w:r>
      <w:r w:rsidRPr="00EF596E">
        <w:rPr>
          <w:rFonts w:ascii="Garamond" w:hAnsi="Garamond"/>
          <w:color w:val="000000"/>
          <w:sz w:val="24"/>
          <w:szCs w:val="24"/>
        </w:rPr>
        <w:t>law.</w:t>
      </w:r>
      <w:r w:rsidR="009C0CBB" w:rsidRPr="00EF596E">
        <w:rPr>
          <w:rFonts w:ascii="Garamond" w:hAnsi="Garamond"/>
          <w:color w:val="000000"/>
          <w:sz w:val="24"/>
          <w:szCs w:val="24"/>
        </w:rPr>
        <w:t xml:space="preserve"> </w:t>
      </w:r>
      <w:r w:rsidR="0039335D" w:rsidRPr="00EF596E">
        <w:rPr>
          <w:rFonts w:ascii="Garamond" w:hAnsi="Garamond"/>
          <w:color w:val="000000"/>
          <w:sz w:val="24"/>
          <w:szCs w:val="24"/>
        </w:rPr>
        <w:fldChar w:fldCharType="begin"/>
      </w:r>
      <w:r w:rsidR="00D02857" w:rsidRPr="00EF596E">
        <w:rPr>
          <w:rFonts w:ascii="Garamond" w:hAnsi="Garamond"/>
          <w:color w:val="000000"/>
          <w:sz w:val="24"/>
          <w:szCs w:val="24"/>
        </w:rPr>
        <w:instrText xml:space="preserve"> ADDIN ZOTERO_ITEM CSL_CITATION {"citationID":"4m1OIhkV","properties":{"formattedCitation":"(Mossman, 1995b, p. 8)","plainCitation":"(Mossman, 1995b, p. 8)","noteIndex":0},"citationItems":[{"id":689,"uris":["http://zotero.org/users/1070015/items/HE66WYL8"],"uri":["http://zotero.org/users/1070015/items/HE66WYL8"],"itemData":{"id":689,"type":"article-journal","container-title":"International Legal Practitioner","issue":"1","page":"8-14","title":"Use of Non-Discriminatory Language in Law","volume":"20","author":[{"family":"Mossman","given":"Mary Jane"}],"issued":{"date-parts":[["1995"]]}},"locator":"8","label":"page"}],"schema":"https://github.com/citation-style-language/schema/raw/master/csl-citation.json"} </w:instrText>
      </w:r>
      <w:r w:rsidR="0039335D" w:rsidRPr="00EF596E">
        <w:rPr>
          <w:rFonts w:ascii="Garamond" w:hAnsi="Garamond"/>
          <w:color w:val="000000"/>
          <w:sz w:val="24"/>
          <w:szCs w:val="24"/>
        </w:rPr>
        <w:fldChar w:fldCharType="separate"/>
      </w:r>
      <w:r w:rsidR="00D02857" w:rsidRPr="00EF596E">
        <w:rPr>
          <w:rFonts w:ascii="Garamond" w:hAnsi="Garamond"/>
          <w:noProof/>
          <w:color w:val="000000"/>
          <w:sz w:val="24"/>
          <w:szCs w:val="24"/>
        </w:rPr>
        <w:t>(Mossman, 1995, p. 8)</w:t>
      </w:r>
      <w:r w:rsidR="0039335D" w:rsidRPr="00EF596E">
        <w:rPr>
          <w:rFonts w:ascii="Garamond" w:hAnsi="Garamond"/>
          <w:color w:val="000000"/>
          <w:sz w:val="24"/>
          <w:szCs w:val="24"/>
        </w:rPr>
        <w:fldChar w:fldCharType="end"/>
      </w:r>
      <w:r w:rsidR="00D02857" w:rsidRPr="00EF596E" w:rsidDel="00D02857">
        <w:rPr>
          <w:rFonts w:ascii="Garamond" w:hAnsi="Garamond"/>
          <w:color w:val="000000"/>
          <w:sz w:val="24"/>
          <w:szCs w:val="24"/>
        </w:rPr>
        <w:t xml:space="preserve"> </w:t>
      </w:r>
    </w:p>
    <w:p w14:paraId="46984DD5" w14:textId="77777777" w:rsidR="00215057" w:rsidRDefault="00215057" w:rsidP="00773F98">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p>
    <w:p w14:paraId="1B2A377B" w14:textId="236DCE83" w:rsidR="00773F98" w:rsidRPr="00E004A2" w:rsidRDefault="00F00F55" w:rsidP="00773F98">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highlight w:val="white"/>
        </w:rPr>
        <w:t>Legislative</w:t>
      </w:r>
      <w:r w:rsidR="00347177" w:rsidRPr="00E004A2">
        <w:rPr>
          <w:rFonts w:ascii="Garamond" w:hAnsi="Garamond"/>
          <w:kern w:val="1"/>
          <w:sz w:val="24"/>
          <w:szCs w:val="24"/>
          <w:highlight w:val="white"/>
        </w:rPr>
        <w:t xml:space="preserve"> d</w:t>
      </w:r>
      <w:r w:rsidR="001039CB" w:rsidRPr="00E004A2">
        <w:rPr>
          <w:rFonts w:ascii="Garamond" w:hAnsi="Garamond"/>
          <w:kern w:val="1"/>
          <w:sz w:val="24"/>
          <w:szCs w:val="24"/>
          <w:highlight w:val="white"/>
        </w:rPr>
        <w:t>rafting</w:t>
      </w:r>
      <w:r w:rsidR="007C0647" w:rsidRPr="00E004A2">
        <w:rPr>
          <w:rFonts w:ascii="Garamond" w:hAnsi="Garamond"/>
          <w:kern w:val="1"/>
          <w:sz w:val="24"/>
          <w:szCs w:val="24"/>
          <w:highlight w:val="white"/>
        </w:rPr>
        <w:t xml:space="preserve"> has a long institutional history</w:t>
      </w:r>
      <w:r w:rsidR="001039CB" w:rsidRPr="00E004A2">
        <w:rPr>
          <w:rFonts w:ascii="Garamond" w:hAnsi="Garamond"/>
          <w:kern w:val="1"/>
          <w:sz w:val="24"/>
          <w:szCs w:val="24"/>
          <w:highlight w:val="white"/>
        </w:rPr>
        <w:t xml:space="preserve"> and a foundational role in contemporary law-m</w:t>
      </w:r>
      <w:r w:rsidR="00392E7A" w:rsidRPr="00E004A2">
        <w:rPr>
          <w:rFonts w:ascii="Garamond" w:hAnsi="Garamond"/>
          <w:kern w:val="1"/>
          <w:sz w:val="24"/>
          <w:szCs w:val="24"/>
          <w:highlight w:val="white"/>
        </w:rPr>
        <w:t>aking</w:t>
      </w:r>
      <w:r w:rsidR="00103F3F">
        <w:rPr>
          <w:rFonts w:ascii="Garamond" w:hAnsi="Garamond"/>
          <w:kern w:val="1"/>
          <w:sz w:val="24"/>
          <w:szCs w:val="24"/>
          <w:highlight w:val="white"/>
        </w:rPr>
        <w:t xml:space="preserve"> (see Greenberg, 2011)</w:t>
      </w:r>
      <w:r w:rsidR="00A55F4D" w:rsidRPr="00E004A2">
        <w:rPr>
          <w:rFonts w:ascii="Garamond" w:hAnsi="Garamond"/>
          <w:kern w:val="1"/>
          <w:sz w:val="24"/>
          <w:szCs w:val="24"/>
          <w:highlight w:val="white"/>
        </w:rPr>
        <w:t>.</w:t>
      </w:r>
      <w:r w:rsidR="00347177" w:rsidRPr="00E004A2">
        <w:rPr>
          <w:rFonts w:ascii="Garamond" w:hAnsi="Garamond"/>
          <w:kern w:val="1"/>
          <w:sz w:val="24"/>
          <w:szCs w:val="24"/>
          <w:highlight w:val="white"/>
        </w:rPr>
        <w:t xml:space="preserve"> </w:t>
      </w:r>
      <w:r w:rsidR="007C0647" w:rsidRPr="00E004A2">
        <w:rPr>
          <w:rFonts w:ascii="Garamond" w:hAnsi="Garamond"/>
          <w:kern w:val="1"/>
          <w:sz w:val="24"/>
          <w:szCs w:val="24"/>
          <w:highlight w:val="white"/>
        </w:rPr>
        <w:t xml:space="preserve">In the United Kingdom, drafters </w:t>
      </w:r>
      <w:r w:rsidR="00347177" w:rsidRPr="00E004A2">
        <w:rPr>
          <w:rFonts w:ascii="Garamond" w:hAnsi="Garamond"/>
          <w:kern w:val="1"/>
          <w:sz w:val="24"/>
          <w:szCs w:val="24"/>
          <w:highlight w:val="white"/>
        </w:rPr>
        <w:t xml:space="preserve">now </w:t>
      </w:r>
      <w:r w:rsidR="007C0647" w:rsidRPr="00E004A2">
        <w:rPr>
          <w:rFonts w:ascii="Garamond" w:hAnsi="Garamond"/>
          <w:kern w:val="1"/>
          <w:sz w:val="24"/>
          <w:szCs w:val="24"/>
          <w:highlight w:val="white"/>
        </w:rPr>
        <w:t xml:space="preserve">work in </w:t>
      </w:r>
      <w:r w:rsidR="00A335CB" w:rsidRPr="00E004A2">
        <w:rPr>
          <w:rFonts w:ascii="Garamond" w:hAnsi="Garamond"/>
          <w:kern w:val="1"/>
          <w:sz w:val="24"/>
          <w:szCs w:val="24"/>
          <w:highlight w:val="white"/>
        </w:rPr>
        <w:t>legislative</w:t>
      </w:r>
      <w:r w:rsidR="007C0647" w:rsidRPr="00E004A2">
        <w:rPr>
          <w:rFonts w:ascii="Garamond" w:hAnsi="Garamond"/>
          <w:kern w:val="1"/>
          <w:sz w:val="24"/>
          <w:szCs w:val="24"/>
          <w:highlight w:val="white"/>
        </w:rPr>
        <w:t xml:space="preserve"> counsel offices in London, Cardiff, Edinburgh, and at Stormont. Drafters write</w:t>
      </w:r>
      <w:r w:rsidR="00425784" w:rsidRPr="00E004A2">
        <w:rPr>
          <w:rFonts w:ascii="Garamond" w:hAnsi="Garamond"/>
          <w:kern w:val="1"/>
          <w:sz w:val="24"/>
          <w:szCs w:val="24"/>
          <w:highlight w:val="white"/>
        </w:rPr>
        <w:t>, rewrite, and settle</w:t>
      </w:r>
      <w:r w:rsidR="007C0647" w:rsidRPr="00E004A2">
        <w:rPr>
          <w:rFonts w:ascii="Garamond" w:hAnsi="Garamond"/>
          <w:kern w:val="1"/>
          <w:sz w:val="24"/>
          <w:szCs w:val="24"/>
          <w:highlight w:val="white"/>
        </w:rPr>
        <w:t xml:space="preserve"> the text of legislation in collaboration with government departments, testing instructions they receive from government lawyers, providing advice on the structure and likely effects of different legislative models and expressions, and drafting</w:t>
      </w:r>
      <w:r w:rsidR="00747752" w:rsidRPr="00E004A2">
        <w:rPr>
          <w:rFonts w:ascii="Garamond" w:hAnsi="Garamond"/>
          <w:kern w:val="1"/>
          <w:sz w:val="24"/>
          <w:szCs w:val="24"/>
          <w:highlight w:val="white"/>
        </w:rPr>
        <w:t xml:space="preserve"> amendments where necessary </w:t>
      </w:r>
      <w:r w:rsidR="00E07500"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{"citationID":"xl5IRH0i","properties":{"formattedCitation":"(Greenberg, 2011; Page, 2009; Xanthaki, 2015, 2014)","plainCitation":"(Greenberg, 2011; Page, 2009; Xanthaki, 2015, 2014)","noteIndex":0},"citationItems":[{"id":696,"uris":["http://zotero.org/users/1070015/items/BXVI6KBL"],"uri":["http://zotero.org/users/1070015/items/BXVI6KBL"],"itemData":{"id":696,"type":"book","event-place":"London","ISBN":"978-0-414-04693-1","language":"English","number-of-pages":"281","publisher":"Sweet &amp; Maxwell","publisher-place":"London","source":"Amazon","title":"Laying Down the Law: A Discussion of the People, Processes and Problems that Shape Acts of Parliament","author":[{"family":"Greenberg","given":"Daniel"}],"issued":{"date-parts":[["2011"]]}}},{"id":695,"uris":["http://zotero.org/users/1070015/items/DYRH4WAC"],"uri":["http://zotero.org/users/1070015/items/DYRH4WAC"],"itemData":{"id":695,"type":"article-journal","container-title":"Public Law","page":"790-811","title":"Their Word is Law: Parliamentary Counsel and Creative Policy Analysis","author":[{"family":"Page","given":"Edward"}],"issued":{"date-parts":[["2009"]]}}},{"id":697,"uris":["http://zotero.org/users/1070015/items/C6R2S5ND"],"uri":["http://zotero.org/users/1070015/items/C6R2S5ND"],"itemData":{"id":697,"type":"book","publisher":"Routledge","title":"Enhancing Legislative Drafting in the Commonwealth: A Wealth of Innovation","editor":[{"family":"Xanthaki","given":"Helen"}],"issued":{"date-parts":[["2015"]]}}},{"id":736,"uris":["http://zotero.org/users/1070015/items/37H9AMDN"],"uri":["http://zotero.org/users/1070015/items/37H9AMDN"],"itemData":{"id":736,"type":"book","abstract":"This book constitutes the first thorough academic analysis of legislative drafting. By placing the study of legislation and its principles within the paradigm of Flyvberg's phronetic social sciences, it offers a novel approach which breaks the tradition of unimaginative past descriptive reiterations of drafting conventions. Instead of prescribing rules for legislation, it sets out to identify efficacy as the main aim of the actors in the policy, legislative and drafting processes, and effectiveness as the main goal in the drafting of legislation. Through the prism of effectiveness as synonymous with legislative quality, the book explores the stages of the drafting process; guides the reader through structure and sections in their logical sequence, and introduces rules for drafting preliminary, substantive and final provisions. Special provisions, comparative legislative drafting and training for drafters complete this thorough analysis of the drafting of legislation as a tool for regulation. Instead of teaching the reader which drafting rules prevail, the book explores the reasons why drafting rules have come about, thus encouraging readers to understand what goal is served by each rule and how each rule applies. The book is aimed at academics and practitioners who draft or use statutory law in the common or civil law traditions.","ISBN":"978-1-78225-507-9","language":"en","note":"Google-Books-ID: AzLtBQAAQBAJ","number-of-pages":"402","publisher":"Bloomsbury Publishing","source":"Google Books","title":"Drafting Legislation: Art and Technology of Rules for Regulation","title-short":"Drafting Legislation","author":[{"family":"Xanthaki","given":"Helen"}],"issued":{"date-parts":[["2014",10,16]]}}}],"schema":"https://github.com/citation-style-language/schema/raw/master/csl-citation.json"} </w:instrText>
      </w:r>
      <w:r w:rsidR="00E07500"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(Greenberg, 2011; Page, 2009; Xanthaki, 2015, 2014)</w:t>
      </w:r>
      <w:r w:rsidR="00E07500" w:rsidRPr="00E004A2">
        <w:rPr>
          <w:rFonts w:ascii="Garamond" w:hAnsi="Garamond"/>
          <w:kern w:val="1"/>
          <w:sz w:val="24"/>
          <w:szCs w:val="24"/>
          <w:highlight w:val="white"/>
        </w:rPr>
        <w:fldChar w:fldCharType="end"/>
      </w:r>
      <w:r w:rsidR="00E07500" w:rsidRPr="00E004A2">
        <w:rPr>
          <w:rFonts w:ascii="Garamond" w:hAnsi="Garamond"/>
          <w:kern w:val="1"/>
          <w:sz w:val="24"/>
          <w:szCs w:val="24"/>
          <w:highlight w:val="white"/>
        </w:rPr>
        <w:t>.</w:t>
      </w:r>
      <w:r w:rsidR="007C0647" w:rsidRPr="00E004A2">
        <w:rPr>
          <w:rFonts w:ascii="Garamond" w:hAnsi="Garamond"/>
          <w:kern w:val="1"/>
          <w:sz w:val="24"/>
          <w:szCs w:val="24"/>
          <w:highlight w:val="white"/>
        </w:rPr>
        <w:t xml:space="preserve"> </w:t>
      </w:r>
      <w:r w:rsidR="00DD1B61" w:rsidRPr="00E004A2">
        <w:rPr>
          <w:rFonts w:ascii="Garamond" w:hAnsi="Garamond"/>
          <w:kern w:val="1"/>
          <w:sz w:val="24"/>
          <w:szCs w:val="24"/>
          <w:highlight w:val="white"/>
        </w:rPr>
        <w:t>The technical expertise of drafters is a common theme in conversations with lawyers and ministers, and it instantiates the drafting phase as an important process through which policy is materialised into legally effect</w:t>
      </w:r>
      <w:r w:rsidR="00E07500" w:rsidRPr="00E004A2">
        <w:rPr>
          <w:rFonts w:ascii="Garamond" w:hAnsi="Garamond"/>
          <w:kern w:val="1"/>
          <w:sz w:val="24"/>
          <w:szCs w:val="24"/>
          <w:highlight w:val="white"/>
        </w:rPr>
        <w:t>ive language</w:t>
      </w:r>
      <w:r w:rsidR="00D75302" w:rsidRPr="00E004A2">
        <w:rPr>
          <w:rFonts w:ascii="Garamond" w:hAnsi="Garamond"/>
          <w:kern w:val="1"/>
          <w:sz w:val="24"/>
          <w:szCs w:val="24"/>
          <w:highlight w:val="white"/>
        </w:rPr>
        <w:t xml:space="preserve"> </w:t>
      </w:r>
      <w:r w:rsidR="00D75302"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{"citationID":"FgB4JyaL","properties":{"formattedCitation":"(Grabham, 2016; Xanthaki, 2014)","plainCitation":"(Grabham, 2016; Xanthaki, 2014)","noteIndex":0},"citationItems":[{"id":693,"uris":["http://zotero.org/users/1070015/items/8U98BR7N"],"uri":["http://zotero.org/users/1070015/items/8U98BR7N"],"itemData":{"id":693,"type":"article-journal","abstract":"This paper aims to bring an appreciation of legal form, technicalities, and legislative drafting to growing interdisciplinary literatures on time and governance. Scholarship across politics, geography, science studies and anthropology continues to trace the productive force and specific qualities of diverse temporal horizons. At the same time socio-legal scholars increasingly focus on the work of making and negotiating law, engaging with the dogged, everyday work of legal experts and bureaucrats. Yet little attention has been paid, to date, to the work of legislative drafters. This paper follows the ‘legal lives’ of qualifying periods on family-friendly employment rights. As examples of legal technicalities that work with time, qualifying periods form an important part of the regulatory structure that separates precarious workers from ‘regular’ employees in UK law. Drawing on documentary research and interviews with policy experts, union activists and legislative drafters, this paper focuses on the formal qualities of qualifying periods, arguing that these legal technicalities conjure time and legal form as inextricable. Whenever law becomes relevant to conversations about time and governance, we could usefully pay attention to the idiosyncrasies and controversies occupying legal form and legislative drafting.","container-title":"Economy and Society","DOI":"10.1080/03085147.2016.1257257","ISSN":"0308-5147","issue":"3-4","page":"379-406","source":"Taylor and Francis+NEJM","title":"Time and technique: the legal lives of the 26-week qualifying period","title-short":"Time and technique","volume":"45","author":[{"family":"Grabham","given":"Emily"}],"issued":{"date-parts":[["2016",10,1]]}}},{"id":736,"uris":["http://zotero.org/users/1070015/items/37H9AMDN"],"uri":["http://zotero.org/users/1070015/items/37H9AMDN"],"itemData":{"id":736,"type":"book","abstract":"This book constitutes the first thorough academic analysis of legislative drafting. By placing the study of legislation and its principles within the paradigm of Flyvberg's phronetic social sciences, it offers a novel approach which breaks the tradition of unimaginative past descriptive reiterations of drafting conventions. Instead of prescribing rules for legislation, it sets out to identify efficacy as the main aim of the actors in the policy, legislative and drafting processes, and effectiveness as the main goal in the drafting of legislation. Through the prism of effectiveness as synonymous with legislative quality, the book explores the stages of the drafting process; guides the reader through structure and sections in their logical sequence, and introduces rules for drafting preliminary, substantive and final provisions. Special provisions, comparative legislative drafting and training for drafters complete this thorough analysis of the drafting of legislation as a tool for regulation. Instead of teaching the reader which drafting rules prevail, the book explores the reasons why drafting rules have come about, thus encouraging readers to understand what goal is served by each rule and how each rule applies. The book is aimed at academics and practitioners who draft or use statutory law in the common or civil law traditions.","ISBN":"978-1-78225-507-9","language":"en","note":"Google-Books-ID: AzLtBQAAQBAJ","number-of-pages":"402","publisher":"Bloomsbury Publishing","source":"Google Books","title":"Drafting Legislation: Art and Technology of Rules for Regulation","title-short":"Drafting Legislation","author":[{"family":"Xanthaki","given":"Helen"}],"issued":{"date-parts":[["2014",10,16]]}}}],"schema":"https://github.com/citation-style-language/schema/raw/master/csl-citation.json"} </w:instrText>
      </w:r>
      <w:r w:rsidR="00D75302"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(Grabham, 2016; Xanthaki, 2014)</w:t>
      </w:r>
      <w:r w:rsidR="00D75302" w:rsidRPr="00E004A2">
        <w:rPr>
          <w:rFonts w:ascii="Garamond" w:hAnsi="Garamond"/>
          <w:kern w:val="1"/>
          <w:sz w:val="24"/>
          <w:szCs w:val="24"/>
          <w:highlight w:val="white"/>
        </w:rPr>
        <w:fldChar w:fldCharType="end"/>
      </w:r>
      <w:r w:rsidR="002E6082" w:rsidRPr="00E004A2">
        <w:rPr>
          <w:rFonts w:ascii="Garamond" w:hAnsi="Garamond"/>
          <w:kern w:val="1"/>
          <w:sz w:val="24"/>
          <w:szCs w:val="24"/>
          <w:highlight w:val="white"/>
        </w:rPr>
        <w:t>.</w:t>
      </w:r>
    </w:p>
    <w:p w14:paraId="1E4B2EF9" w14:textId="4483C227" w:rsidR="00232028" w:rsidRPr="00E004A2" w:rsidRDefault="008974B6" w:rsidP="00C53FF5">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r>
      <w:r w:rsidR="00773F98" w:rsidRPr="00E004A2">
        <w:rPr>
          <w:rFonts w:ascii="Garamond" w:hAnsi="Garamond"/>
          <w:kern w:val="1"/>
          <w:sz w:val="24"/>
          <w:szCs w:val="24"/>
          <w:highlight w:val="white"/>
        </w:rPr>
        <w:t xml:space="preserve">It </w:t>
      </w:r>
      <w:r w:rsidR="007C0647" w:rsidRPr="00E004A2">
        <w:rPr>
          <w:rFonts w:ascii="Garamond" w:hAnsi="Garamond"/>
          <w:kern w:val="1"/>
          <w:sz w:val="24"/>
          <w:szCs w:val="24"/>
          <w:highlight w:val="white"/>
        </w:rPr>
        <w:t xml:space="preserve">is relevant for </w:t>
      </w:r>
      <w:r w:rsidR="00E15C29" w:rsidRPr="00E004A2">
        <w:rPr>
          <w:rFonts w:ascii="Garamond" w:hAnsi="Garamond"/>
          <w:kern w:val="1"/>
          <w:sz w:val="24"/>
          <w:szCs w:val="24"/>
          <w:highlight w:val="white"/>
        </w:rPr>
        <w:t xml:space="preserve">our project </w:t>
      </w:r>
      <w:r w:rsidR="007C0647" w:rsidRPr="00E004A2">
        <w:rPr>
          <w:rFonts w:ascii="Garamond" w:hAnsi="Garamond"/>
          <w:kern w:val="1"/>
          <w:sz w:val="24"/>
          <w:szCs w:val="24"/>
          <w:highlight w:val="white"/>
        </w:rPr>
        <w:t>that the work of drafters is still understood as highly technical and quite unique within the legal system as a whole</w:t>
      </w:r>
      <w:r w:rsidR="00D75302" w:rsidRPr="00E004A2">
        <w:rPr>
          <w:rFonts w:ascii="Garamond" w:hAnsi="Garamond"/>
          <w:kern w:val="1"/>
          <w:sz w:val="24"/>
          <w:szCs w:val="24"/>
          <w:highlight w:val="white"/>
        </w:rPr>
        <w:t xml:space="preserve"> </w:t>
      </w:r>
      <w:r w:rsidR="00D75302"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{"citationID":"6m8swDP2","properties":{"formattedCitation":"(Greenberg, 2011)","plainCitation":"(Greenberg, 2011)","noteIndex":0},"citationItems":[{"id":696,"uris":["http://zotero.org/users/1070015/items/BXVI6KBL"],"uri":["http://zotero.org/users/1070015/items/BXVI6KBL"],"itemData":{"id":696,"type":"book","event-place":"London","ISBN":"978-0-414-04693-1","language":"English","number-of-pages":"281","publisher":"Sweet &amp; Maxwell","publisher-place":"London","source":"Amazon","title":"Laying Down the Law: A Discussion of the People, Processes and Problems that Shape Acts of Parliament","author":[{"family":"Greenberg","given":"Daniel"}],"issued":{"date-parts":[["2011"]]}}}],"schema":"https://github.com/citation-style-language/schema/raw/master/csl-citation.json"} </w:instrText>
      </w:r>
      <w:r w:rsidR="00D75302"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(Greenberg, 2011)</w:t>
      </w:r>
      <w:r w:rsidR="00D75302" w:rsidRPr="00E004A2">
        <w:rPr>
          <w:rFonts w:ascii="Garamond" w:hAnsi="Garamond"/>
          <w:kern w:val="1"/>
          <w:sz w:val="24"/>
          <w:szCs w:val="24"/>
          <w:highlight w:val="white"/>
        </w:rPr>
        <w:fldChar w:fldCharType="end"/>
      </w:r>
      <w:r w:rsidR="007C0647" w:rsidRPr="00E004A2">
        <w:rPr>
          <w:rFonts w:ascii="Garamond" w:hAnsi="Garamond"/>
          <w:kern w:val="1"/>
          <w:sz w:val="24"/>
          <w:szCs w:val="24"/>
          <w:highlight w:val="white"/>
        </w:rPr>
        <w:t xml:space="preserve">. </w:t>
      </w:r>
      <w:r w:rsidR="001039CB" w:rsidRPr="00E004A2">
        <w:rPr>
          <w:rFonts w:ascii="Garamond" w:hAnsi="Garamond"/>
          <w:kern w:val="1"/>
          <w:sz w:val="24"/>
          <w:szCs w:val="24"/>
          <w:highlight w:val="white"/>
        </w:rPr>
        <w:t xml:space="preserve">We should be </w:t>
      </w:r>
      <w:r w:rsidR="001039CB" w:rsidRPr="00E004A2">
        <w:rPr>
          <w:rFonts w:ascii="Garamond" w:hAnsi="Garamond"/>
          <w:kern w:val="1"/>
          <w:sz w:val="24"/>
          <w:szCs w:val="24"/>
          <w:highlight w:val="white"/>
        </w:rPr>
        <w:lastRenderedPageBreak/>
        <w:t>wary of assumptions that this technical focus somehow obviates the political significance of drafting</w:t>
      </w:r>
      <w:r w:rsidR="00C278BC" w:rsidRPr="00E004A2">
        <w:rPr>
          <w:rFonts w:ascii="Garamond" w:hAnsi="Garamond"/>
          <w:kern w:val="1"/>
          <w:sz w:val="24"/>
          <w:szCs w:val="24"/>
          <w:highlight w:val="white"/>
        </w:rPr>
        <w:t xml:space="preserve"> more broadly. </w:t>
      </w:r>
      <w:r w:rsidR="00DD1B61" w:rsidRPr="00E004A2">
        <w:rPr>
          <w:rFonts w:ascii="Garamond" w:hAnsi="Garamond"/>
          <w:kern w:val="1"/>
          <w:sz w:val="24"/>
          <w:szCs w:val="24"/>
        </w:rPr>
        <w:t xml:space="preserve">Indeed, </w:t>
      </w:r>
      <w:r w:rsidR="00DD1B61" w:rsidRPr="00E004A2">
        <w:rPr>
          <w:rFonts w:ascii="Garamond" w:hAnsi="Garamond"/>
          <w:kern w:val="1"/>
          <w:sz w:val="24"/>
          <w:szCs w:val="24"/>
          <w:highlight w:val="white"/>
        </w:rPr>
        <w:t>d</w:t>
      </w:r>
      <w:r w:rsidR="0099177F" w:rsidRPr="00E004A2">
        <w:rPr>
          <w:rFonts w:ascii="Garamond" w:hAnsi="Garamond"/>
          <w:kern w:val="1"/>
          <w:sz w:val="24"/>
          <w:szCs w:val="24"/>
          <w:highlight w:val="white"/>
        </w:rPr>
        <w:t>rafters have</w:t>
      </w:r>
      <w:r w:rsidR="007C0647" w:rsidRPr="00E004A2">
        <w:rPr>
          <w:rFonts w:ascii="Garamond" w:hAnsi="Garamond"/>
          <w:kern w:val="1"/>
          <w:sz w:val="24"/>
          <w:szCs w:val="24"/>
          <w:highlight w:val="white"/>
        </w:rPr>
        <w:t xml:space="preserve"> long been engaged in a struggle over the extent to which changing social experiences and definitions of sex and gender should be reflected, or made effective, through legislation.</w:t>
      </w:r>
      <w:r w:rsidR="007C0647" w:rsidRPr="00E004A2">
        <w:rPr>
          <w:rFonts w:ascii="Garamond" w:hAnsi="Garamond"/>
          <w:kern w:val="1"/>
          <w:sz w:val="24"/>
          <w:szCs w:val="24"/>
        </w:rPr>
        <w:t xml:space="preserve"> </w:t>
      </w:r>
      <w:r w:rsidR="0015107E" w:rsidRPr="00E004A2">
        <w:rPr>
          <w:rFonts w:ascii="Garamond" w:hAnsi="Garamond"/>
          <w:kern w:val="1"/>
          <w:sz w:val="24"/>
          <w:szCs w:val="24"/>
          <w:highlight w:val="white"/>
        </w:rPr>
        <w:t xml:space="preserve">Current debates about </w:t>
      </w:r>
      <w:r w:rsidR="002D7F1F" w:rsidRPr="00E004A2">
        <w:rPr>
          <w:rFonts w:ascii="Garamond" w:hAnsi="Garamond"/>
          <w:kern w:val="1"/>
          <w:sz w:val="24"/>
          <w:szCs w:val="24"/>
          <w:highlight w:val="white"/>
        </w:rPr>
        <w:t>sex/</w:t>
      </w:r>
      <w:r w:rsidR="0015107E" w:rsidRPr="00E004A2">
        <w:rPr>
          <w:rFonts w:ascii="Garamond" w:hAnsi="Garamond"/>
          <w:kern w:val="1"/>
          <w:sz w:val="24"/>
          <w:szCs w:val="24"/>
          <w:highlight w:val="white"/>
        </w:rPr>
        <w:t xml:space="preserve">gender and drafting have emerged from specific epistemologies of gender and structural discrimination, specific ways of imagining the political and social struggle of </w:t>
      </w:r>
      <w:r w:rsidR="002D7F1F" w:rsidRPr="00E004A2">
        <w:rPr>
          <w:rFonts w:ascii="Garamond" w:hAnsi="Garamond"/>
          <w:kern w:val="1"/>
          <w:sz w:val="24"/>
          <w:szCs w:val="24"/>
          <w:highlight w:val="white"/>
        </w:rPr>
        <w:t>sex</w:t>
      </w:r>
      <w:r w:rsidR="007872F3" w:rsidRPr="00E004A2">
        <w:rPr>
          <w:rFonts w:ascii="Garamond" w:hAnsi="Garamond"/>
          <w:kern w:val="1"/>
          <w:sz w:val="24"/>
          <w:szCs w:val="24"/>
          <w:highlight w:val="white"/>
        </w:rPr>
        <w:t>/</w:t>
      </w:r>
      <w:r w:rsidR="0015107E" w:rsidRPr="00E004A2">
        <w:rPr>
          <w:rFonts w:ascii="Garamond" w:hAnsi="Garamond"/>
          <w:kern w:val="1"/>
          <w:sz w:val="24"/>
          <w:szCs w:val="24"/>
          <w:highlight w:val="white"/>
        </w:rPr>
        <w:t>gender inequalit</w:t>
      </w:r>
      <w:r w:rsidR="002D7F1F" w:rsidRPr="00E004A2">
        <w:rPr>
          <w:rFonts w:ascii="Garamond" w:hAnsi="Garamond"/>
          <w:kern w:val="1"/>
          <w:sz w:val="24"/>
          <w:szCs w:val="24"/>
          <w:highlight w:val="white"/>
        </w:rPr>
        <w:t>ies</w:t>
      </w:r>
      <w:r w:rsidR="0015107E" w:rsidRPr="00E004A2">
        <w:rPr>
          <w:rFonts w:ascii="Garamond" w:hAnsi="Garamond"/>
          <w:kern w:val="1"/>
          <w:sz w:val="24"/>
          <w:szCs w:val="24"/>
          <w:highlight w:val="white"/>
        </w:rPr>
        <w:t xml:space="preserve"> as </w:t>
      </w:r>
      <w:r w:rsidR="002D7F1F" w:rsidRPr="00E004A2">
        <w:rPr>
          <w:rFonts w:ascii="Garamond" w:hAnsi="Garamond"/>
          <w:kern w:val="1"/>
          <w:sz w:val="24"/>
          <w:szCs w:val="24"/>
          <w:highlight w:val="white"/>
        </w:rPr>
        <w:t>they</w:t>
      </w:r>
      <w:r w:rsidR="0015107E" w:rsidRPr="00E004A2">
        <w:rPr>
          <w:rFonts w:ascii="Garamond" w:hAnsi="Garamond"/>
          <w:kern w:val="1"/>
          <w:sz w:val="24"/>
          <w:szCs w:val="24"/>
          <w:highlight w:val="white"/>
        </w:rPr>
        <w:t xml:space="preserve"> relate to law</w:t>
      </w:r>
      <w:r w:rsidR="00A37D05" w:rsidRPr="00E004A2">
        <w:rPr>
          <w:rFonts w:ascii="Garamond" w:hAnsi="Garamond"/>
          <w:kern w:val="1"/>
          <w:sz w:val="24"/>
          <w:szCs w:val="24"/>
          <w:highlight w:val="white"/>
        </w:rPr>
        <w:t xml:space="preserve">, which have been especially influential since the late 1960s and 1970s, as </w:t>
      </w:r>
      <w:r w:rsidR="00646D2F" w:rsidRPr="00E004A2">
        <w:rPr>
          <w:rFonts w:ascii="Garamond" w:hAnsi="Garamond"/>
          <w:kern w:val="1"/>
          <w:sz w:val="24"/>
          <w:szCs w:val="24"/>
          <w:highlight w:val="white"/>
        </w:rPr>
        <w:t>second wave feminism began to permeate academic and legal professional circles.</w:t>
      </w:r>
      <w:r w:rsidR="00A37D05" w:rsidRPr="00E004A2">
        <w:rPr>
          <w:rFonts w:ascii="Garamond" w:hAnsi="Garamond"/>
          <w:kern w:val="1"/>
          <w:sz w:val="24"/>
          <w:szCs w:val="24"/>
          <w:highlight w:val="white"/>
        </w:rPr>
        <w:t xml:space="preserve"> </w:t>
      </w:r>
      <w:r w:rsidR="002D7F1F" w:rsidRPr="00E004A2">
        <w:rPr>
          <w:rFonts w:ascii="Garamond" w:hAnsi="Garamond"/>
          <w:kern w:val="1"/>
          <w:sz w:val="24"/>
          <w:szCs w:val="24"/>
          <w:highlight w:val="white"/>
        </w:rPr>
        <w:t>As will become clear, o</w:t>
      </w:r>
      <w:r w:rsidR="007C0647" w:rsidRPr="00E004A2">
        <w:rPr>
          <w:rFonts w:ascii="Garamond" w:hAnsi="Garamond"/>
          <w:kern w:val="1"/>
          <w:sz w:val="24"/>
          <w:szCs w:val="24"/>
          <w:highlight w:val="white"/>
        </w:rPr>
        <w:t>ver the past few decades, p</w:t>
      </w:r>
      <w:r w:rsidR="00A37D05" w:rsidRPr="00E004A2">
        <w:rPr>
          <w:rFonts w:ascii="Garamond" w:hAnsi="Garamond"/>
          <w:kern w:val="1"/>
          <w:sz w:val="24"/>
          <w:szCs w:val="24"/>
          <w:highlight w:val="white"/>
        </w:rPr>
        <w:t>rofessional communities</w:t>
      </w:r>
      <w:r w:rsidR="0015107E" w:rsidRPr="00E004A2">
        <w:rPr>
          <w:rFonts w:ascii="Garamond" w:hAnsi="Garamond"/>
          <w:kern w:val="1"/>
          <w:sz w:val="24"/>
          <w:szCs w:val="24"/>
          <w:highlight w:val="white"/>
        </w:rPr>
        <w:t xml:space="preserve"> of dr</w:t>
      </w:r>
      <w:r w:rsidR="00A37D05" w:rsidRPr="00E004A2">
        <w:rPr>
          <w:rFonts w:ascii="Garamond" w:hAnsi="Garamond"/>
          <w:kern w:val="1"/>
          <w:sz w:val="24"/>
          <w:szCs w:val="24"/>
          <w:highlight w:val="white"/>
        </w:rPr>
        <w:t xml:space="preserve">afters and drafting experts have </w:t>
      </w:r>
      <w:r w:rsidR="0015107E" w:rsidRPr="00E004A2">
        <w:rPr>
          <w:rFonts w:ascii="Garamond" w:hAnsi="Garamond"/>
          <w:kern w:val="1"/>
          <w:sz w:val="24"/>
          <w:szCs w:val="24"/>
          <w:highlight w:val="white"/>
        </w:rPr>
        <w:t>create</w:t>
      </w:r>
      <w:r w:rsidR="00A37D05" w:rsidRPr="00E004A2">
        <w:rPr>
          <w:rFonts w:ascii="Garamond" w:hAnsi="Garamond"/>
          <w:kern w:val="1"/>
          <w:sz w:val="24"/>
          <w:szCs w:val="24"/>
          <w:highlight w:val="white"/>
        </w:rPr>
        <w:t>d</w:t>
      </w:r>
      <w:r w:rsidR="0015107E" w:rsidRPr="00E004A2">
        <w:rPr>
          <w:rFonts w:ascii="Garamond" w:hAnsi="Garamond"/>
          <w:kern w:val="1"/>
          <w:sz w:val="24"/>
          <w:szCs w:val="24"/>
          <w:highlight w:val="white"/>
        </w:rPr>
        <w:t xml:space="preserve"> technical solutions to these social struggles, mobilising their own legal practice in adjusting drafting to ameliorate, or at least not exacerbate, such gendered harms.</w:t>
      </w:r>
      <w:r w:rsidR="00A37D05" w:rsidRPr="00E004A2">
        <w:rPr>
          <w:rFonts w:ascii="Garamond" w:hAnsi="Garamond"/>
          <w:kern w:val="1"/>
          <w:sz w:val="24"/>
          <w:szCs w:val="24"/>
          <w:highlight w:val="white"/>
        </w:rPr>
        <w:t xml:space="preserve"> As such, </w:t>
      </w:r>
      <w:r w:rsidR="005A1849">
        <w:rPr>
          <w:rFonts w:ascii="Garamond" w:hAnsi="Garamond"/>
          <w:kern w:val="1"/>
          <w:sz w:val="24"/>
          <w:szCs w:val="24"/>
          <w:highlight w:val="white"/>
        </w:rPr>
        <w:t>one</w:t>
      </w:r>
      <w:r w:rsidR="00A37D05" w:rsidRPr="00E004A2">
        <w:rPr>
          <w:rFonts w:ascii="Garamond" w:hAnsi="Garamond"/>
          <w:kern w:val="1"/>
          <w:sz w:val="24"/>
          <w:szCs w:val="24"/>
          <w:highlight w:val="white"/>
        </w:rPr>
        <w:t xml:space="preserve"> object of ou</w:t>
      </w:r>
      <w:r w:rsidR="002C6187" w:rsidRPr="00E004A2">
        <w:rPr>
          <w:rFonts w:ascii="Garamond" w:hAnsi="Garamond"/>
          <w:kern w:val="1"/>
          <w:sz w:val="24"/>
          <w:szCs w:val="24"/>
          <w:highlight w:val="white"/>
        </w:rPr>
        <w:t>r current study – understanding the potential role of drafting</w:t>
      </w:r>
      <w:r w:rsidR="00A37D05" w:rsidRPr="00E004A2">
        <w:rPr>
          <w:rFonts w:ascii="Garamond" w:hAnsi="Garamond"/>
          <w:kern w:val="1"/>
          <w:sz w:val="24"/>
          <w:szCs w:val="24"/>
          <w:highlight w:val="white"/>
        </w:rPr>
        <w:t xml:space="preserve"> as a tool to pose an “as if” question – emerges against the backdrop of</w:t>
      </w:r>
      <w:r w:rsidR="007C0647" w:rsidRPr="00E004A2">
        <w:rPr>
          <w:rFonts w:ascii="Garamond" w:hAnsi="Garamond"/>
          <w:kern w:val="1"/>
          <w:sz w:val="24"/>
          <w:szCs w:val="24"/>
          <w:highlight w:val="white"/>
        </w:rPr>
        <w:t xml:space="preserve"> innovation and controversy</w:t>
      </w:r>
      <w:r w:rsidR="00A37D05" w:rsidRPr="00E004A2">
        <w:rPr>
          <w:rFonts w:ascii="Garamond" w:hAnsi="Garamond"/>
          <w:kern w:val="1"/>
          <w:sz w:val="24"/>
          <w:szCs w:val="24"/>
          <w:highlight w:val="white"/>
        </w:rPr>
        <w:t xml:space="preserve"> in legislative drafting that has been, to very different degrees, responsive and future</w:t>
      </w:r>
      <w:r w:rsidR="00E470B7">
        <w:rPr>
          <w:rFonts w:ascii="Garamond" w:hAnsi="Garamond"/>
          <w:kern w:val="1"/>
          <w:sz w:val="24"/>
          <w:szCs w:val="24"/>
          <w:highlight w:val="white"/>
        </w:rPr>
        <w:t>-</w:t>
      </w:r>
      <w:r w:rsidR="00A37D05" w:rsidRPr="00E004A2">
        <w:rPr>
          <w:rFonts w:ascii="Garamond" w:hAnsi="Garamond"/>
          <w:kern w:val="1"/>
          <w:sz w:val="24"/>
          <w:szCs w:val="24"/>
          <w:highlight w:val="white"/>
        </w:rPr>
        <w:t>oriented in terms of gender expression and inequalities</w:t>
      </w:r>
      <w:r w:rsidR="003B360C" w:rsidRPr="00E004A2">
        <w:rPr>
          <w:rFonts w:ascii="Garamond" w:hAnsi="Garamond"/>
          <w:kern w:val="1"/>
          <w:sz w:val="24"/>
          <w:szCs w:val="24"/>
          <w:highlight w:val="white"/>
        </w:rPr>
        <w:t xml:space="preserve">, conjuring </w:t>
      </w:r>
      <w:r w:rsidR="00311B5B" w:rsidRPr="00E004A2">
        <w:rPr>
          <w:rFonts w:ascii="Garamond" w:hAnsi="Garamond"/>
          <w:kern w:val="1"/>
          <w:sz w:val="24"/>
          <w:szCs w:val="24"/>
          <w:highlight w:val="white"/>
        </w:rPr>
        <w:t>sex/</w:t>
      </w:r>
      <w:r w:rsidR="003B360C" w:rsidRPr="00E004A2">
        <w:rPr>
          <w:rFonts w:ascii="Garamond" w:hAnsi="Garamond"/>
          <w:kern w:val="1"/>
          <w:sz w:val="24"/>
          <w:szCs w:val="24"/>
          <w:highlight w:val="white"/>
        </w:rPr>
        <w:t>gender as an object</w:t>
      </w:r>
      <w:r w:rsidR="00311B5B" w:rsidRPr="00E004A2">
        <w:rPr>
          <w:rFonts w:ascii="Garamond" w:hAnsi="Garamond"/>
          <w:kern w:val="1"/>
          <w:sz w:val="24"/>
          <w:szCs w:val="24"/>
          <w:highlight w:val="white"/>
        </w:rPr>
        <w:t xml:space="preserve"> of attention </w:t>
      </w:r>
      <w:r w:rsidR="003B360C" w:rsidRPr="00E004A2">
        <w:rPr>
          <w:rFonts w:ascii="Garamond" w:hAnsi="Garamond"/>
          <w:kern w:val="1"/>
          <w:sz w:val="24"/>
          <w:szCs w:val="24"/>
          <w:highlight w:val="white"/>
        </w:rPr>
        <w:t>in many different ways</w:t>
      </w:r>
      <w:r w:rsidR="006E3733" w:rsidRPr="00E004A2">
        <w:rPr>
          <w:rFonts w:ascii="Garamond" w:hAnsi="Garamond"/>
          <w:kern w:val="1"/>
          <w:sz w:val="24"/>
          <w:szCs w:val="24"/>
          <w:highlight w:val="white"/>
        </w:rPr>
        <w:t>. T</w:t>
      </w:r>
      <w:r w:rsidR="00A37D05" w:rsidRPr="00E004A2">
        <w:rPr>
          <w:rFonts w:ascii="Garamond" w:hAnsi="Garamond"/>
          <w:kern w:val="1"/>
          <w:sz w:val="24"/>
          <w:szCs w:val="24"/>
          <w:highlight w:val="white"/>
        </w:rPr>
        <w:t xml:space="preserve">he idea of one </w:t>
      </w:r>
      <w:r w:rsidR="00F05755" w:rsidRPr="00E004A2">
        <w:rPr>
          <w:rFonts w:ascii="Garamond" w:hAnsi="Garamond"/>
          <w:kern w:val="1"/>
          <w:sz w:val="24"/>
          <w:szCs w:val="24"/>
          <w:highlight w:val="white"/>
        </w:rPr>
        <w:t xml:space="preserve">‘best practice’ approach </w:t>
      </w:r>
      <w:r w:rsidR="00A37D05" w:rsidRPr="00E004A2">
        <w:rPr>
          <w:rFonts w:ascii="Garamond" w:hAnsi="Garamond"/>
          <w:kern w:val="1"/>
          <w:sz w:val="24"/>
          <w:szCs w:val="24"/>
          <w:highlight w:val="white"/>
        </w:rPr>
        <w:t>does not describe the plural, almost polyphonic sets of techniques</w:t>
      </w:r>
      <w:r w:rsidR="00F05755" w:rsidRPr="00E004A2">
        <w:rPr>
          <w:rFonts w:ascii="Garamond" w:hAnsi="Garamond"/>
          <w:kern w:val="1"/>
          <w:sz w:val="24"/>
          <w:szCs w:val="24"/>
          <w:highlight w:val="white"/>
        </w:rPr>
        <w:t xml:space="preserve"> </w:t>
      </w:r>
      <w:r w:rsidR="007C0647" w:rsidRPr="00E004A2">
        <w:rPr>
          <w:rFonts w:ascii="Garamond" w:hAnsi="Garamond"/>
          <w:kern w:val="1"/>
          <w:sz w:val="24"/>
          <w:szCs w:val="24"/>
          <w:highlight w:val="white"/>
        </w:rPr>
        <w:t>and arguments</w:t>
      </w:r>
      <w:r w:rsidR="00A37D05" w:rsidRPr="00E004A2">
        <w:rPr>
          <w:rFonts w:ascii="Garamond" w:hAnsi="Garamond"/>
          <w:kern w:val="1"/>
          <w:sz w:val="24"/>
          <w:szCs w:val="24"/>
          <w:highlight w:val="white"/>
        </w:rPr>
        <w:t xml:space="preserve"> </w:t>
      </w:r>
      <w:r w:rsidR="0078024E" w:rsidRPr="00E004A2">
        <w:rPr>
          <w:rFonts w:ascii="Garamond" w:hAnsi="Garamond"/>
          <w:kern w:val="1"/>
          <w:sz w:val="24"/>
          <w:szCs w:val="24"/>
          <w:highlight w:val="white"/>
        </w:rPr>
        <w:t xml:space="preserve">on this issue </w:t>
      </w:r>
      <w:r w:rsidR="00A37D05" w:rsidRPr="00E004A2">
        <w:rPr>
          <w:rFonts w:ascii="Garamond" w:hAnsi="Garamond"/>
          <w:kern w:val="1"/>
          <w:sz w:val="24"/>
          <w:szCs w:val="24"/>
          <w:highlight w:val="white"/>
        </w:rPr>
        <w:t>that continue in</w:t>
      </w:r>
      <w:r w:rsidR="007C0647" w:rsidRPr="00E004A2">
        <w:rPr>
          <w:rFonts w:ascii="Garamond" w:hAnsi="Garamond"/>
          <w:kern w:val="1"/>
          <w:sz w:val="24"/>
          <w:szCs w:val="24"/>
          <w:highlight w:val="white"/>
        </w:rPr>
        <w:t>to the present</w:t>
      </w:r>
      <w:r w:rsidR="00157A21" w:rsidRPr="00E004A2">
        <w:rPr>
          <w:rFonts w:ascii="Garamond" w:hAnsi="Garamond"/>
          <w:kern w:val="1"/>
          <w:sz w:val="24"/>
          <w:szCs w:val="24"/>
          <w:highlight w:val="white"/>
        </w:rPr>
        <w:t xml:space="preserve">. </w:t>
      </w:r>
      <w:r w:rsidR="007C0647" w:rsidRPr="00E004A2">
        <w:rPr>
          <w:rFonts w:ascii="Garamond" w:hAnsi="Garamond"/>
          <w:kern w:val="1"/>
          <w:sz w:val="24"/>
          <w:szCs w:val="24"/>
          <w:highlight w:val="white"/>
        </w:rPr>
        <w:t>R</w:t>
      </w:r>
      <w:r w:rsidR="00A37D05" w:rsidRPr="00E004A2">
        <w:rPr>
          <w:rFonts w:ascii="Garamond" w:hAnsi="Garamond"/>
          <w:kern w:val="1"/>
          <w:sz w:val="24"/>
          <w:szCs w:val="24"/>
          <w:highlight w:val="white"/>
        </w:rPr>
        <w:t>ather than attempting to make sense of these productiv</w:t>
      </w:r>
      <w:r w:rsidR="007C0647" w:rsidRPr="00E004A2">
        <w:rPr>
          <w:rFonts w:ascii="Garamond" w:hAnsi="Garamond"/>
          <w:kern w:val="1"/>
          <w:sz w:val="24"/>
          <w:szCs w:val="24"/>
          <w:highlight w:val="white"/>
        </w:rPr>
        <w:t>ely rowdy debates</w:t>
      </w:r>
      <w:r w:rsidR="003B360C" w:rsidRPr="00E004A2">
        <w:rPr>
          <w:rFonts w:ascii="Garamond" w:hAnsi="Garamond"/>
          <w:kern w:val="1"/>
          <w:sz w:val="24"/>
          <w:szCs w:val="24"/>
          <w:highlight w:val="white"/>
        </w:rPr>
        <w:t xml:space="preserve"> and ontologies</w:t>
      </w:r>
      <w:r w:rsidR="007C0647" w:rsidRPr="00E004A2">
        <w:rPr>
          <w:rFonts w:ascii="Garamond" w:hAnsi="Garamond"/>
          <w:kern w:val="1"/>
          <w:sz w:val="24"/>
          <w:szCs w:val="24"/>
          <w:highlight w:val="white"/>
        </w:rPr>
        <w:t xml:space="preserve">, we are hoping to use </w:t>
      </w:r>
      <w:r w:rsidR="00737D8F" w:rsidRPr="00E004A2">
        <w:rPr>
          <w:rFonts w:ascii="Garamond" w:hAnsi="Garamond"/>
          <w:kern w:val="1"/>
          <w:sz w:val="24"/>
          <w:szCs w:val="24"/>
          <w:highlight w:val="white"/>
        </w:rPr>
        <w:t xml:space="preserve">them </w:t>
      </w:r>
      <w:r w:rsidR="007C0647" w:rsidRPr="00E004A2">
        <w:rPr>
          <w:rFonts w:ascii="Garamond" w:hAnsi="Garamond"/>
          <w:kern w:val="1"/>
          <w:sz w:val="24"/>
          <w:szCs w:val="24"/>
          <w:highlight w:val="white"/>
        </w:rPr>
        <w:t>as</w:t>
      </w:r>
      <w:r w:rsidR="002D7F1F" w:rsidRPr="00E004A2">
        <w:rPr>
          <w:rFonts w:ascii="Garamond" w:hAnsi="Garamond"/>
          <w:kern w:val="1"/>
          <w:sz w:val="24"/>
          <w:szCs w:val="24"/>
          <w:highlight w:val="white"/>
        </w:rPr>
        <w:t xml:space="preserve"> resources</w:t>
      </w:r>
      <w:r w:rsidR="00737D8F" w:rsidRPr="00E004A2">
        <w:rPr>
          <w:rFonts w:ascii="Garamond" w:hAnsi="Garamond"/>
          <w:kern w:val="1"/>
          <w:sz w:val="24"/>
          <w:szCs w:val="24"/>
          <w:highlight w:val="white"/>
        </w:rPr>
        <w:t xml:space="preserve"> when drafting our own </w:t>
      </w:r>
      <w:r w:rsidR="007872F3" w:rsidRPr="00E004A2">
        <w:rPr>
          <w:rFonts w:ascii="Garamond" w:hAnsi="Garamond"/>
          <w:kern w:val="1"/>
          <w:sz w:val="24"/>
          <w:szCs w:val="24"/>
          <w:highlight w:val="white"/>
        </w:rPr>
        <w:t>experimental</w:t>
      </w:r>
      <w:r w:rsidR="00737D8F" w:rsidRPr="00E004A2">
        <w:rPr>
          <w:rFonts w:ascii="Garamond" w:hAnsi="Garamond"/>
          <w:kern w:val="1"/>
          <w:sz w:val="24"/>
          <w:szCs w:val="24"/>
          <w:highlight w:val="white"/>
        </w:rPr>
        <w:t xml:space="preserve"> statute</w:t>
      </w:r>
      <w:r w:rsidR="007C0647" w:rsidRPr="00E004A2">
        <w:rPr>
          <w:rFonts w:ascii="Garamond" w:hAnsi="Garamond"/>
          <w:kern w:val="1"/>
          <w:sz w:val="24"/>
          <w:szCs w:val="24"/>
          <w:highlight w:val="white"/>
        </w:rPr>
        <w:t xml:space="preserve">. </w:t>
      </w:r>
      <w:r w:rsidR="00347177" w:rsidRPr="00E004A2">
        <w:rPr>
          <w:rFonts w:ascii="Garamond" w:hAnsi="Garamond"/>
          <w:kern w:val="1"/>
          <w:sz w:val="24"/>
          <w:szCs w:val="24"/>
          <w:highlight w:val="white"/>
        </w:rPr>
        <w:t xml:space="preserve">Yet in order to understand the legal and social context for </w:t>
      </w:r>
      <w:r w:rsidR="00C07F8A" w:rsidRPr="00E004A2">
        <w:rPr>
          <w:rFonts w:ascii="Garamond" w:hAnsi="Garamond"/>
          <w:kern w:val="1"/>
          <w:sz w:val="24"/>
          <w:szCs w:val="24"/>
          <w:highlight w:val="white"/>
        </w:rPr>
        <w:t>these debates, we need</w:t>
      </w:r>
      <w:r w:rsidR="000331C3" w:rsidRPr="00E004A2">
        <w:rPr>
          <w:rFonts w:ascii="Garamond" w:hAnsi="Garamond"/>
          <w:kern w:val="1"/>
          <w:sz w:val="24"/>
          <w:szCs w:val="24"/>
          <w:highlight w:val="white"/>
        </w:rPr>
        <w:t xml:space="preserve"> to understand the contexts that have </w:t>
      </w:r>
      <w:r w:rsidR="008A687A" w:rsidRPr="00E004A2">
        <w:rPr>
          <w:rFonts w:ascii="Garamond" w:hAnsi="Garamond"/>
          <w:kern w:val="1"/>
          <w:sz w:val="24"/>
          <w:szCs w:val="24"/>
          <w:highlight w:val="white"/>
        </w:rPr>
        <w:t>produced them. As such</w:t>
      </w:r>
      <w:r w:rsidR="00C278BC" w:rsidRPr="00E004A2">
        <w:rPr>
          <w:rFonts w:ascii="Garamond" w:hAnsi="Garamond"/>
          <w:kern w:val="1"/>
          <w:sz w:val="24"/>
          <w:szCs w:val="24"/>
          <w:highlight w:val="white"/>
        </w:rPr>
        <w:t xml:space="preserve">, this section provides a brief history </w:t>
      </w:r>
      <w:r w:rsidR="008A687A" w:rsidRPr="00E004A2">
        <w:rPr>
          <w:rFonts w:ascii="Garamond" w:hAnsi="Garamond"/>
          <w:kern w:val="1"/>
          <w:sz w:val="24"/>
          <w:szCs w:val="24"/>
          <w:highlight w:val="white"/>
        </w:rPr>
        <w:t xml:space="preserve">of gender and legislative drafting, culminating in </w:t>
      </w:r>
      <w:r w:rsidR="00937B7C" w:rsidRPr="00E004A2">
        <w:rPr>
          <w:rFonts w:ascii="Garamond" w:hAnsi="Garamond"/>
          <w:kern w:val="1"/>
          <w:sz w:val="24"/>
          <w:szCs w:val="24"/>
          <w:highlight w:val="white"/>
        </w:rPr>
        <w:t>feminist challenges to</w:t>
      </w:r>
      <w:r w:rsidR="00C07F8A" w:rsidRPr="00E004A2">
        <w:rPr>
          <w:rFonts w:ascii="Garamond" w:hAnsi="Garamond"/>
          <w:kern w:val="1"/>
          <w:sz w:val="24"/>
          <w:szCs w:val="24"/>
          <w:highlight w:val="white"/>
        </w:rPr>
        <w:t xml:space="preserve"> the use of interpretation legislation to inculcate a ‘masculine rule’ in drafting.</w:t>
      </w:r>
    </w:p>
    <w:p w14:paraId="1F16FE13" w14:textId="77777777" w:rsidR="00157A21" w:rsidRPr="00E004A2" w:rsidRDefault="00157A21" w:rsidP="00074883">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p>
    <w:p w14:paraId="154CE416" w14:textId="77777777" w:rsidR="00215057" w:rsidRDefault="00215057">
      <w:pPr>
        <w:autoSpaceDE/>
        <w:autoSpaceDN/>
        <w:adjustRightInd/>
        <w:rPr>
          <w:rFonts w:ascii="Garamond" w:hAnsi="Garamond"/>
          <w:b/>
          <w:i/>
          <w:iCs/>
          <w:kern w:val="1"/>
          <w:sz w:val="24"/>
          <w:szCs w:val="24"/>
          <w:highlight w:val="white"/>
        </w:rPr>
      </w:pPr>
      <w:r>
        <w:rPr>
          <w:highlight w:val="white"/>
        </w:rPr>
        <w:br w:type="page"/>
      </w:r>
    </w:p>
    <w:p w14:paraId="501DD8BF" w14:textId="4768A9F5" w:rsidR="00C5057E" w:rsidRPr="00AB3405" w:rsidRDefault="00AB3405" w:rsidP="00AB3405">
      <w:pPr>
        <w:pStyle w:val="Heading3"/>
        <w:rPr>
          <w:highlight w:val="white"/>
        </w:rPr>
      </w:pPr>
      <w:r>
        <w:rPr>
          <w:highlight w:val="white"/>
        </w:rPr>
        <w:lastRenderedPageBreak/>
        <w:t>“</w:t>
      </w:r>
      <w:r w:rsidR="00C5057E" w:rsidRPr="00AB3405">
        <w:rPr>
          <w:highlight w:val="white"/>
        </w:rPr>
        <w:t>He or She</w:t>
      </w:r>
      <w:r>
        <w:rPr>
          <w:highlight w:val="white"/>
        </w:rPr>
        <w:t>”</w:t>
      </w:r>
    </w:p>
    <w:p w14:paraId="2D182C34" w14:textId="0D65678C" w:rsidR="007308A7" w:rsidRPr="00E004A2" w:rsidRDefault="003E30A0" w:rsidP="003E30A0">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eastAsia="Times New Roman" w:hAnsi="Garamond" w:cs="Times New Roman"/>
          <w:color w:val="000000"/>
          <w:sz w:val="24"/>
          <w:szCs w:val="24"/>
        </w:rPr>
        <w:t>A key assertion of this article</w:t>
      </w:r>
      <w:r w:rsidR="003B360C" w:rsidRPr="00E004A2">
        <w:rPr>
          <w:rFonts w:ascii="Garamond" w:eastAsia="Times New Roman" w:hAnsi="Garamond" w:cs="Times New Roman"/>
          <w:color w:val="000000"/>
          <w:sz w:val="24"/>
          <w:szCs w:val="24"/>
        </w:rPr>
        <w:t xml:space="preserve"> is</w:t>
      </w:r>
      <w:r w:rsidR="00910A50" w:rsidRPr="00E004A2">
        <w:rPr>
          <w:rFonts w:ascii="Garamond" w:eastAsia="Times New Roman" w:hAnsi="Garamond" w:cs="Times New Roman"/>
          <w:color w:val="000000"/>
          <w:sz w:val="24"/>
          <w:szCs w:val="24"/>
        </w:rPr>
        <w:t xml:space="preserve"> that the </w:t>
      </w:r>
      <w:r w:rsidR="003B360C" w:rsidRPr="00E004A2">
        <w:rPr>
          <w:rFonts w:ascii="Garamond" w:eastAsia="Times New Roman" w:hAnsi="Garamond" w:cs="Times New Roman"/>
          <w:color w:val="000000"/>
          <w:sz w:val="24"/>
          <w:szCs w:val="24"/>
        </w:rPr>
        <w:t xml:space="preserve">genres of </w:t>
      </w:r>
      <w:r w:rsidR="00C71727" w:rsidRPr="00E004A2">
        <w:rPr>
          <w:rFonts w:ascii="Garamond" w:eastAsia="Times New Roman" w:hAnsi="Garamond" w:cs="Times New Roman"/>
          <w:color w:val="000000"/>
          <w:sz w:val="24"/>
          <w:szCs w:val="24"/>
        </w:rPr>
        <w:t>sex/</w:t>
      </w:r>
      <w:r w:rsidR="003B360C" w:rsidRPr="00E004A2">
        <w:rPr>
          <w:rFonts w:ascii="Garamond" w:eastAsia="Times New Roman" w:hAnsi="Garamond" w:cs="Times New Roman"/>
          <w:color w:val="000000"/>
          <w:sz w:val="24"/>
          <w:szCs w:val="24"/>
        </w:rPr>
        <w:t>gender that have become so much a part of our institutional</w:t>
      </w:r>
      <w:r w:rsidR="00910A50" w:rsidRPr="00E004A2">
        <w:rPr>
          <w:rFonts w:ascii="Garamond" w:eastAsia="Times New Roman" w:hAnsi="Garamond" w:cs="Times New Roman"/>
          <w:color w:val="000000"/>
          <w:sz w:val="24"/>
          <w:szCs w:val="24"/>
        </w:rPr>
        <w:t>, social</w:t>
      </w:r>
      <w:r w:rsidR="003B360C" w:rsidRPr="00E004A2">
        <w:rPr>
          <w:rFonts w:ascii="Garamond" w:eastAsia="Times New Roman" w:hAnsi="Garamond" w:cs="Times New Roman"/>
          <w:color w:val="000000"/>
          <w:sz w:val="24"/>
          <w:szCs w:val="24"/>
        </w:rPr>
        <w:t xml:space="preserve"> and cultural landscape have</w:t>
      </w:r>
      <w:r w:rsidR="00910A50" w:rsidRPr="00E004A2">
        <w:rPr>
          <w:rFonts w:ascii="Garamond" w:eastAsia="Times New Roman" w:hAnsi="Garamond" w:cs="Times New Roman"/>
          <w:color w:val="000000"/>
          <w:sz w:val="24"/>
          <w:szCs w:val="24"/>
        </w:rPr>
        <w:t xml:space="preserve"> often</w:t>
      </w:r>
      <w:r w:rsidR="003B360C" w:rsidRPr="00E004A2">
        <w:rPr>
          <w:rFonts w:ascii="Garamond" w:eastAsia="Times New Roman" w:hAnsi="Garamond" w:cs="Times New Roman"/>
          <w:color w:val="000000"/>
          <w:sz w:val="24"/>
          <w:szCs w:val="24"/>
        </w:rPr>
        <w:t xml:space="preserve"> been co-constructed through legal</w:t>
      </w:r>
      <w:r w:rsidR="00910A50" w:rsidRPr="00E004A2">
        <w:rPr>
          <w:rFonts w:ascii="Garamond" w:eastAsia="Times New Roman" w:hAnsi="Garamond" w:cs="Times New Roman"/>
          <w:color w:val="000000"/>
          <w:sz w:val="24"/>
          <w:szCs w:val="24"/>
        </w:rPr>
        <w:t>, textual,</w:t>
      </w:r>
      <w:r w:rsidR="003B360C" w:rsidRPr="00E004A2">
        <w:rPr>
          <w:rFonts w:ascii="Garamond" w:eastAsia="Times New Roman" w:hAnsi="Garamond" w:cs="Times New Roman"/>
          <w:color w:val="000000"/>
          <w:sz w:val="24"/>
          <w:szCs w:val="24"/>
        </w:rPr>
        <w:t xml:space="preserve"> innovations.</w:t>
      </w:r>
      <w:r w:rsidR="00E15C29" w:rsidRPr="00E004A2">
        <w:rPr>
          <w:rFonts w:ascii="Garamond" w:eastAsia="Times New Roman" w:hAnsi="Garamond" w:cs="Times New Roman"/>
          <w:color w:val="000000"/>
          <w:sz w:val="24"/>
          <w:szCs w:val="24"/>
        </w:rPr>
        <w:t xml:space="preserve"> </w:t>
      </w:r>
      <w:r w:rsidR="002530F5" w:rsidRPr="00E004A2">
        <w:rPr>
          <w:rFonts w:ascii="Garamond" w:hAnsi="Garamond"/>
          <w:kern w:val="1"/>
          <w:sz w:val="24"/>
          <w:szCs w:val="24"/>
        </w:rPr>
        <w:t>As such, they are also</w:t>
      </w:r>
      <w:r w:rsidR="007C0647" w:rsidRPr="00E004A2">
        <w:rPr>
          <w:rFonts w:ascii="Garamond" w:hAnsi="Garamond"/>
          <w:kern w:val="1"/>
          <w:sz w:val="24"/>
          <w:szCs w:val="24"/>
        </w:rPr>
        <w:t xml:space="preserve"> likely to change in the future.</w:t>
      </w:r>
      <w:r w:rsidR="00737D8F" w:rsidRPr="00E004A2">
        <w:rPr>
          <w:rFonts w:ascii="Garamond" w:hAnsi="Garamond"/>
          <w:kern w:val="1"/>
          <w:sz w:val="24"/>
          <w:szCs w:val="24"/>
        </w:rPr>
        <w:t xml:space="preserve"> </w:t>
      </w:r>
      <w:r w:rsidR="00BE7153" w:rsidRPr="00E004A2">
        <w:rPr>
          <w:rFonts w:ascii="Garamond" w:hAnsi="Garamond"/>
          <w:kern w:val="1"/>
          <w:sz w:val="24"/>
          <w:szCs w:val="24"/>
        </w:rPr>
        <w:t xml:space="preserve">Take, for </w:t>
      </w:r>
      <w:r w:rsidR="00910A50" w:rsidRPr="00E004A2">
        <w:rPr>
          <w:rFonts w:ascii="Garamond" w:hAnsi="Garamond"/>
          <w:kern w:val="1"/>
          <w:sz w:val="24"/>
          <w:szCs w:val="24"/>
        </w:rPr>
        <w:t xml:space="preserve">example, the idea that </w:t>
      </w:r>
      <w:r w:rsidR="00BE7153" w:rsidRPr="00E004A2">
        <w:rPr>
          <w:rFonts w:ascii="Garamond" w:hAnsi="Garamond"/>
          <w:kern w:val="1"/>
          <w:sz w:val="24"/>
          <w:szCs w:val="24"/>
        </w:rPr>
        <w:t>binary oppositions of ‘he or she’</w:t>
      </w:r>
      <w:r w:rsidR="00C5057E" w:rsidRPr="00E004A2">
        <w:rPr>
          <w:rFonts w:ascii="Garamond" w:hAnsi="Garamond"/>
          <w:kern w:val="1"/>
          <w:sz w:val="24"/>
          <w:szCs w:val="24"/>
        </w:rPr>
        <w:t xml:space="preserve"> </w:t>
      </w:r>
      <w:r w:rsidR="00BE7153" w:rsidRPr="00E004A2">
        <w:rPr>
          <w:rFonts w:ascii="Garamond" w:hAnsi="Garamond"/>
          <w:kern w:val="1"/>
          <w:sz w:val="24"/>
          <w:szCs w:val="24"/>
        </w:rPr>
        <w:t xml:space="preserve">should </w:t>
      </w:r>
      <w:r w:rsidR="003B360C" w:rsidRPr="00E004A2">
        <w:rPr>
          <w:rFonts w:ascii="Garamond" w:hAnsi="Garamond"/>
          <w:kern w:val="1"/>
          <w:sz w:val="24"/>
          <w:szCs w:val="24"/>
        </w:rPr>
        <w:t>provide a natural</w:t>
      </w:r>
      <w:r w:rsidR="00937B7C" w:rsidRPr="00E004A2">
        <w:rPr>
          <w:rFonts w:ascii="Garamond" w:hAnsi="Garamond"/>
          <w:kern w:val="1"/>
          <w:sz w:val="24"/>
          <w:szCs w:val="24"/>
        </w:rPr>
        <w:t xml:space="preserve"> linguistic</w:t>
      </w:r>
      <w:r w:rsidR="003B360C" w:rsidRPr="00E004A2">
        <w:rPr>
          <w:rFonts w:ascii="Garamond" w:hAnsi="Garamond"/>
          <w:kern w:val="1"/>
          <w:sz w:val="24"/>
          <w:szCs w:val="24"/>
        </w:rPr>
        <w:t xml:space="preserve"> background to our conceptualisation of sex and gende</w:t>
      </w:r>
      <w:r w:rsidR="0078024E" w:rsidRPr="00E004A2">
        <w:rPr>
          <w:rFonts w:ascii="Garamond" w:hAnsi="Garamond"/>
          <w:kern w:val="1"/>
          <w:sz w:val="24"/>
          <w:szCs w:val="24"/>
        </w:rPr>
        <w:t xml:space="preserve">r </w:t>
      </w:r>
      <w:r w:rsidR="003B360C" w:rsidRPr="00E004A2">
        <w:rPr>
          <w:rFonts w:ascii="Garamond" w:hAnsi="Garamond"/>
          <w:kern w:val="1"/>
          <w:sz w:val="24"/>
          <w:szCs w:val="24"/>
        </w:rPr>
        <w:t xml:space="preserve">and should structure </w:t>
      </w:r>
      <w:r w:rsidR="00BE7153" w:rsidRPr="00E004A2">
        <w:rPr>
          <w:rFonts w:ascii="Garamond" w:hAnsi="Garamond"/>
          <w:kern w:val="1"/>
          <w:sz w:val="24"/>
          <w:szCs w:val="24"/>
        </w:rPr>
        <w:t>our legal treatment of gendered experience</w:t>
      </w:r>
      <w:r w:rsidR="00BE62CA" w:rsidRPr="00E004A2">
        <w:rPr>
          <w:rFonts w:ascii="Garamond" w:hAnsi="Garamond"/>
          <w:kern w:val="1"/>
          <w:sz w:val="24"/>
          <w:szCs w:val="24"/>
        </w:rPr>
        <w:t xml:space="preserve"> and obligations</w:t>
      </w:r>
      <w:r w:rsidR="00BE7153" w:rsidRPr="00E004A2">
        <w:rPr>
          <w:rFonts w:ascii="Garamond" w:hAnsi="Garamond"/>
          <w:kern w:val="1"/>
          <w:sz w:val="24"/>
          <w:szCs w:val="24"/>
        </w:rPr>
        <w:t xml:space="preserve">. </w:t>
      </w:r>
      <w:r w:rsidR="00737D8F" w:rsidRPr="00E004A2">
        <w:rPr>
          <w:rFonts w:ascii="Garamond" w:hAnsi="Garamond"/>
          <w:kern w:val="1"/>
          <w:sz w:val="24"/>
          <w:szCs w:val="24"/>
        </w:rPr>
        <w:t>The ‘he or she’ binary is ubiquitous within social expression</w:t>
      </w:r>
      <w:r w:rsidR="006E3733" w:rsidRPr="00E004A2">
        <w:rPr>
          <w:rFonts w:ascii="Garamond" w:hAnsi="Garamond"/>
          <w:kern w:val="1"/>
          <w:sz w:val="24"/>
          <w:szCs w:val="24"/>
        </w:rPr>
        <w:t xml:space="preserve"> and legal and public</w:t>
      </w:r>
      <w:r w:rsidR="00072B77" w:rsidRPr="00E004A2">
        <w:rPr>
          <w:rFonts w:ascii="Garamond" w:hAnsi="Garamond"/>
          <w:kern w:val="1"/>
          <w:sz w:val="24"/>
          <w:szCs w:val="24"/>
        </w:rPr>
        <w:t xml:space="preserve"> texts</w:t>
      </w:r>
      <w:r w:rsidR="002018A4" w:rsidRPr="00E004A2">
        <w:rPr>
          <w:rFonts w:ascii="Garamond" w:hAnsi="Garamond"/>
          <w:kern w:val="1"/>
          <w:sz w:val="24"/>
          <w:szCs w:val="24"/>
        </w:rPr>
        <w:t xml:space="preserve"> (see further </w:t>
      </w:r>
      <w:r w:rsidR="00D75302"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{"citationID":"jvZudDzO","properties":{"formattedCitation":"(Cameron, 1985; Mills et al., 2011)","plainCitation":"(Cameron, 1985; Mills et al., 2011)","noteIndex":0},"citationItems":[{"id":2776,"uris":["http://zotero.org/groups/1576676/items/Q4HBM6EJ"],"uri":["http://zotero.org/groups/1576676/items/Q4HBM6EJ"],"itemData":{"id":2776,"type":"book","event-place":"London","publisher":"Macmillan","publisher-place":"London","title":"Feminist and Linguistic Theory","author":[{"family":"Cameron","given":"Deborah"}],"issued":{"date-parts":[["1985"]]}}},{"id":708,"uris":["http://zotero.org/users/1070015/items/Q858TGWG"],"uri":["http://zotero.org/users/1070015/items/Q858TGWG"],"itemData":{"id":708,"type":"book","abstract":"Language, Gender and Feminism presents students and researchers with key contemporary theoretical perspectives, methodologies and analytical frameworks in the","ISBN":"978-0-203-81466-6","language":"en","note":"DOI: 10.4324/9780203814666","publisher":"Routledge","source":"www.taylorfrancis.com","title":"Language, Gender and Feminism : Theory, Methodology and Practice","title-short":"Language, Gender and Feminism","URL":"https://www.taylorfrancis.com/books/9780203814666","author":[{"family":"Mills","given":"Sara"},{"family":"Mullany","given":"Louise"},{"family":"Mullany","given":"Louise"}],"accessed":{"date-parts":[["2019",11,8]]},"issued":{"date-parts":[["2011",5,9]]}}}],"schema":"https://github.com/citation-style-language/schema/raw/master/csl-citation.json"} </w:instrText>
      </w:r>
      <w:r w:rsidR="00D75302" w:rsidRPr="00E004A2">
        <w:rPr>
          <w:rFonts w:ascii="Garamond" w:hAnsi="Garamond"/>
          <w:kern w:val="1"/>
          <w:sz w:val="24"/>
          <w:szCs w:val="24"/>
        </w:rPr>
        <w:fldChar w:fldCharType="separate"/>
      </w:r>
      <w:r w:rsidR="004F3785">
        <w:rPr>
          <w:rFonts w:ascii="Garamond" w:hAnsi="Garamond"/>
          <w:noProof/>
          <w:kern w:val="1"/>
          <w:sz w:val="24"/>
          <w:szCs w:val="24"/>
        </w:rPr>
        <w:t>Cameron, 1985; Mills et al., 2011)</w:t>
      </w:r>
      <w:r w:rsidR="00D75302" w:rsidRPr="00E004A2">
        <w:rPr>
          <w:rFonts w:ascii="Garamond" w:hAnsi="Garamond"/>
          <w:kern w:val="1"/>
          <w:sz w:val="24"/>
          <w:szCs w:val="24"/>
        </w:rPr>
        <w:fldChar w:fldCharType="end"/>
      </w:r>
      <w:r w:rsidR="00D75302" w:rsidRPr="00E004A2">
        <w:rPr>
          <w:rFonts w:ascii="Garamond" w:hAnsi="Garamond"/>
          <w:kern w:val="1"/>
          <w:sz w:val="24"/>
          <w:szCs w:val="24"/>
        </w:rPr>
        <w:t>.</w:t>
      </w:r>
      <w:r w:rsidR="00737D8F" w:rsidRPr="00E004A2">
        <w:rPr>
          <w:rFonts w:ascii="Garamond" w:hAnsi="Garamond"/>
          <w:kern w:val="1"/>
          <w:sz w:val="24"/>
          <w:szCs w:val="24"/>
        </w:rPr>
        <w:t xml:space="preserve"> As a feature of professional courteous language, it</w:t>
      </w:r>
      <w:r w:rsidR="00910A50" w:rsidRPr="00E004A2">
        <w:rPr>
          <w:rFonts w:ascii="Garamond" w:hAnsi="Garamond"/>
          <w:kern w:val="1"/>
          <w:sz w:val="24"/>
          <w:szCs w:val="24"/>
        </w:rPr>
        <w:t xml:space="preserve"> </w:t>
      </w:r>
      <w:r w:rsidR="00737D8F" w:rsidRPr="00E004A2">
        <w:rPr>
          <w:rFonts w:ascii="Garamond" w:hAnsi="Garamond"/>
          <w:kern w:val="1"/>
          <w:sz w:val="24"/>
          <w:szCs w:val="24"/>
        </w:rPr>
        <w:t>seems to reference a</w:t>
      </w:r>
      <w:r w:rsidR="002530F5" w:rsidRPr="00E004A2">
        <w:rPr>
          <w:rFonts w:ascii="Garamond" w:hAnsi="Garamond"/>
          <w:kern w:val="1"/>
          <w:sz w:val="24"/>
          <w:szCs w:val="24"/>
        </w:rPr>
        <w:t>n androcentric</w:t>
      </w:r>
      <w:r w:rsidR="00737D8F" w:rsidRPr="00E004A2">
        <w:rPr>
          <w:rFonts w:ascii="Garamond" w:hAnsi="Garamond"/>
          <w:kern w:val="1"/>
          <w:sz w:val="24"/>
          <w:szCs w:val="24"/>
        </w:rPr>
        <w:t xml:space="preserve"> natural order that politely opens the door to women, signalling a public-facing yet </w:t>
      </w:r>
      <w:r w:rsidR="00910A50" w:rsidRPr="00E004A2">
        <w:rPr>
          <w:rFonts w:ascii="Garamond" w:hAnsi="Garamond"/>
          <w:kern w:val="1"/>
          <w:sz w:val="24"/>
          <w:szCs w:val="24"/>
        </w:rPr>
        <w:t>essentially patriarchal</w:t>
      </w:r>
      <w:r w:rsidR="00D70E92" w:rsidRPr="00E004A2">
        <w:rPr>
          <w:rFonts w:ascii="Garamond" w:hAnsi="Garamond"/>
          <w:kern w:val="1"/>
          <w:sz w:val="24"/>
          <w:szCs w:val="24"/>
        </w:rPr>
        <w:t xml:space="preserve"> type of post-World War Two</w:t>
      </w:r>
      <w:r w:rsidR="00910A50" w:rsidRPr="00E004A2">
        <w:rPr>
          <w:rFonts w:ascii="Garamond" w:hAnsi="Garamond"/>
          <w:kern w:val="1"/>
          <w:sz w:val="24"/>
          <w:szCs w:val="24"/>
        </w:rPr>
        <w:t xml:space="preserve"> </w:t>
      </w:r>
      <w:r w:rsidR="00737D8F" w:rsidRPr="00E004A2">
        <w:rPr>
          <w:rFonts w:ascii="Garamond" w:hAnsi="Garamond"/>
          <w:kern w:val="1"/>
          <w:sz w:val="24"/>
          <w:szCs w:val="24"/>
        </w:rPr>
        <w:t>inclusion</w:t>
      </w:r>
      <w:r w:rsidR="00910A50" w:rsidRPr="00E004A2">
        <w:rPr>
          <w:rFonts w:ascii="Garamond" w:hAnsi="Garamond"/>
          <w:kern w:val="1"/>
          <w:sz w:val="24"/>
          <w:szCs w:val="24"/>
        </w:rPr>
        <w:t>, with</w:t>
      </w:r>
      <w:r w:rsidR="002530F5" w:rsidRPr="00E004A2">
        <w:rPr>
          <w:rFonts w:ascii="Garamond" w:hAnsi="Garamond"/>
          <w:kern w:val="1"/>
          <w:sz w:val="24"/>
          <w:szCs w:val="24"/>
        </w:rPr>
        <w:t xml:space="preserve"> its tone almost of surprise, </w:t>
      </w:r>
      <w:r w:rsidR="00910A50" w:rsidRPr="00E004A2">
        <w:rPr>
          <w:rFonts w:ascii="Garamond" w:hAnsi="Garamond"/>
          <w:kern w:val="1"/>
          <w:sz w:val="24"/>
          <w:szCs w:val="24"/>
        </w:rPr>
        <w:t>self-arrest</w:t>
      </w:r>
      <w:r w:rsidR="002530F5" w:rsidRPr="00E004A2">
        <w:rPr>
          <w:rFonts w:ascii="Garamond" w:hAnsi="Garamond"/>
          <w:kern w:val="1"/>
          <w:sz w:val="24"/>
          <w:szCs w:val="24"/>
        </w:rPr>
        <w:t>, or afterthought (“</w:t>
      </w:r>
      <w:r w:rsidR="002530F5" w:rsidRPr="00E004A2">
        <w:rPr>
          <w:rFonts w:ascii="Garamond" w:hAnsi="Garamond"/>
          <w:i/>
          <w:kern w:val="1"/>
          <w:sz w:val="24"/>
          <w:szCs w:val="24"/>
        </w:rPr>
        <w:t xml:space="preserve">or </w:t>
      </w:r>
      <w:r w:rsidR="002530F5" w:rsidRPr="00E004A2">
        <w:rPr>
          <w:rFonts w:ascii="Garamond" w:hAnsi="Garamond"/>
          <w:kern w:val="1"/>
          <w:sz w:val="24"/>
          <w:szCs w:val="24"/>
        </w:rPr>
        <w:t>she”)</w:t>
      </w:r>
      <w:r w:rsidR="002018A4" w:rsidRPr="00E004A2">
        <w:rPr>
          <w:rFonts w:ascii="Garamond" w:hAnsi="Garamond"/>
          <w:kern w:val="1"/>
          <w:sz w:val="24"/>
          <w:szCs w:val="24"/>
        </w:rPr>
        <w:t>. Yet t</w:t>
      </w:r>
      <w:r w:rsidR="002530F5" w:rsidRPr="00E004A2">
        <w:rPr>
          <w:rFonts w:ascii="Garamond" w:hAnsi="Garamond"/>
          <w:kern w:val="1"/>
          <w:sz w:val="24"/>
          <w:szCs w:val="24"/>
        </w:rPr>
        <w:t>he</w:t>
      </w:r>
      <w:r w:rsidR="00937B7C" w:rsidRPr="00E004A2">
        <w:rPr>
          <w:rFonts w:ascii="Garamond" w:hAnsi="Garamond"/>
          <w:kern w:val="1"/>
          <w:sz w:val="24"/>
          <w:szCs w:val="24"/>
        </w:rPr>
        <w:t xml:space="preserve"> use of apparently binary gender pronouns</w:t>
      </w:r>
      <w:r w:rsidR="0099177F" w:rsidRPr="00E004A2">
        <w:rPr>
          <w:rFonts w:ascii="Garamond" w:hAnsi="Garamond"/>
          <w:kern w:val="1"/>
          <w:sz w:val="24"/>
          <w:szCs w:val="24"/>
        </w:rPr>
        <w:t xml:space="preserve"> h</w:t>
      </w:r>
      <w:r w:rsidR="003B360C" w:rsidRPr="00E004A2">
        <w:rPr>
          <w:rFonts w:ascii="Garamond" w:hAnsi="Garamond"/>
          <w:kern w:val="1"/>
          <w:sz w:val="24"/>
          <w:szCs w:val="24"/>
        </w:rPr>
        <w:t>as a long institutional history</w:t>
      </w:r>
      <w:r w:rsidR="00D7592A" w:rsidRPr="00E004A2">
        <w:rPr>
          <w:rFonts w:ascii="Garamond" w:hAnsi="Garamond"/>
          <w:kern w:val="1"/>
          <w:sz w:val="24"/>
          <w:szCs w:val="24"/>
        </w:rPr>
        <w:t xml:space="preserve"> in English law</w:t>
      </w:r>
      <w:r w:rsidR="003B360C" w:rsidRPr="00E004A2">
        <w:rPr>
          <w:rFonts w:ascii="Garamond" w:hAnsi="Garamond"/>
          <w:kern w:val="1"/>
          <w:sz w:val="24"/>
          <w:szCs w:val="24"/>
        </w:rPr>
        <w:t xml:space="preserve">, </w:t>
      </w:r>
      <w:r w:rsidR="002530F5" w:rsidRPr="00E004A2">
        <w:rPr>
          <w:rFonts w:ascii="Garamond" w:hAnsi="Garamond"/>
          <w:kern w:val="1"/>
          <w:sz w:val="24"/>
          <w:szCs w:val="24"/>
        </w:rPr>
        <w:t>dating back to t</w:t>
      </w:r>
      <w:r w:rsidR="00C07D27" w:rsidRPr="00E004A2">
        <w:rPr>
          <w:rFonts w:ascii="Garamond" w:hAnsi="Garamond"/>
          <w:kern w:val="1"/>
          <w:sz w:val="24"/>
          <w:szCs w:val="24"/>
        </w:rPr>
        <w:t>he mid</w:t>
      </w:r>
      <w:r w:rsidR="00184F38">
        <w:rPr>
          <w:rFonts w:ascii="Garamond" w:hAnsi="Garamond"/>
          <w:kern w:val="1"/>
          <w:sz w:val="24"/>
          <w:szCs w:val="24"/>
        </w:rPr>
        <w:t>-</w:t>
      </w:r>
      <w:r w:rsidR="00C07D27" w:rsidRPr="00E004A2">
        <w:rPr>
          <w:rFonts w:ascii="Garamond" w:hAnsi="Garamond"/>
          <w:kern w:val="1"/>
          <w:sz w:val="24"/>
          <w:szCs w:val="24"/>
        </w:rPr>
        <w:t>1500s if not earlier</w:t>
      </w:r>
      <w:r w:rsidR="002018A4" w:rsidRPr="00E004A2">
        <w:rPr>
          <w:rFonts w:ascii="Garamond" w:hAnsi="Garamond"/>
          <w:kern w:val="1"/>
          <w:sz w:val="24"/>
          <w:szCs w:val="24"/>
        </w:rPr>
        <w:t>. And o</w:t>
      </w:r>
      <w:r w:rsidR="00D70E92" w:rsidRPr="00E004A2">
        <w:rPr>
          <w:rFonts w:ascii="Garamond" w:hAnsi="Garamond"/>
          <w:kern w:val="1"/>
          <w:sz w:val="24"/>
          <w:szCs w:val="24"/>
        </w:rPr>
        <w:t>ver that time</w:t>
      </w:r>
      <w:r w:rsidR="00D7592A" w:rsidRPr="00E004A2">
        <w:rPr>
          <w:rFonts w:ascii="Garamond" w:hAnsi="Garamond"/>
          <w:kern w:val="1"/>
          <w:sz w:val="24"/>
          <w:szCs w:val="24"/>
        </w:rPr>
        <w:t>,</w:t>
      </w:r>
      <w:r w:rsidR="00D70E92" w:rsidRPr="00E004A2">
        <w:rPr>
          <w:rFonts w:ascii="Garamond" w:hAnsi="Garamond"/>
          <w:kern w:val="1"/>
          <w:sz w:val="24"/>
          <w:szCs w:val="24"/>
        </w:rPr>
        <w:t xml:space="preserve"> the politics surrounding the binary</w:t>
      </w:r>
      <w:r w:rsidR="008B1340" w:rsidRPr="00E004A2">
        <w:rPr>
          <w:rFonts w:ascii="Garamond" w:hAnsi="Garamond"/>
          <w:kern w:val="1"/>
          <w:sz w:val="24"/>
          <w:szCs w:val="24"/>
        </w:rPr>
        <w:t xml:space="preserve"> and its attachment to </w:t>
      </w:r>
      <w:r w:rsidR="00D70E92" w:rsidRPr="00E004A2">
        <w:rPr>
          <w:rFonts w:ascii="Garamond" w:hAnsi="Garamond"/>
          <w:kern w:val="1"/>
          <w:sz w:val="24"/>
          <w:szCs w:val="24"/>
        </w:rPr>
        <w:t>law</w:t>
      </w:r>
      <w:r w:rsidR="00937B7C" w:rsidRPr="00E004A2">
        <w:rPr>
          <w:rFonts w:ascii="Garamond" w:hAnsi="Garamond"/>
          <w:kern w:val="1"/>
          <w:sz w:val="24"/>
          <w:szCs w:val="24"/>
        </w:rPr>
        <w:t xml:space="preserve"> have shifted</w:t>
      </w:r>
      <w:r w:rsidR="00146E44" w:rsidRPr="00E004A2">
        <w:rPr>
          <w:rFonts w:ascii="Garamond" w:hAnsi="Garamond"/>
          <w:kern w:val="1"/>
          <w:sz w:val="24"/>
          <w:szCs w:val="24"/>
        </w:rPr>
        <w:t xml:space="preserve"> several times, revealing multiple overlapping ontologies of sex and gender along the way.</w:t>
      </w:r>
      <w:r w:rsidR="006F5B7D" w:rsidRPr="00E004A2">
        <w:rPr>
          <w:rFonts w:ascii="Garamond" w:hAnsi="Garamond"/>
          <w:kern w:val="1"/>
          <w:sz w:val="24"/>
          <w:szCs w:val="24"/>
        </w:rPr>
        <w:t xml:space="preserve"> This is a story not only about centuries of </w:t>
      </w:r>
      <w:r w:rsidR="00990A70" w:rsidRPr="00E004A2">
        <w:rPr>
          <w:rFonts w:ascii="Garamond" w:hAnsi="Garamond"/>
          <w:kern w:val="1"/>
          <w:sz w:val="24"/>
          <w:szCs w:val="24"/>
        </w:rPr>
        <w:t>sex/</w:t>
      </w:r>
      <w:r w:rsidR="006F5B7D" w:rsidRPr="00E004A2">
        <w:rPr>
          <w:rFonts w:ascii="Garamond" w:hAnsi="Garamond"/>
          <w:kern w:val="1"/>
          <w:sz w:val="24"/>
          <w:szCs w:val="24"/>
        </w:rPr>
        <w:t xml:space="preserve">gender inequality in English law, but also about </w:t>
      </w:r>
      <w:r w:rsidRPr="00E004A2">
        <w:rPr>
          <w:rFonts w:ascii="Garamond" w:hAnsi="Garamond"/>
          <w:kern w:val="1"/>
          <w:sz w:val="24"/>
          <w:szCs w:val="24"/>
        </w:rPr>
        <w:t xml:space="preserve">the unsteady grammatical basis for an apparently natural binary, and its relationship with </w:t>
      </w:r>
      <w:r w:rsidR="006F5B7D" w:rsidRPr="00E004A2">
        <w:rPr>
          <w:rFonts w:ascii="Garamond" w:hAnsi="Garamond"/>
          <w:kern w:val="1"/>
          <w:sz w:val="24"/>
          <w:szCs w:val="24"/>
        </w:rPr>
        <w:t>the innovation</w:t>
      </w:r>
      <w:r w:rsidR="006E3733" w:rsidRPr="00E004A2">
        <w:rPr>
          <w:rFonts w:ascii="Garamond" w:hAnsi="Garamond"/>
          <w:kern w:val="1"/>
          <w:sz w:val="24"/>
          <w:szCs w:val="24"/>
        </w:rPr>
        <w:t xml:space="preserve"> and operation</w:t>
      </w:r>
      <w:r w:rsidR="006F5B7D" w:rsidRPr="00E004A2">
        <w:rPr>
          <w:rFonts w:ascii="Garamond" w:hAnsi="Garamond"/>
          <w:kern w:val="1"/>
          <w:sz w:val="24"/>
          <w:szCs w:val="24"/>
        </w:rPr>
        <w:t xml:space="preserve"> of interpretation acts</w:t>
      </w:r>
      <w:r w:rsidR="006E3733" w:rsidRPr="00E004A2">
        <w:rPr>
          <w:rFonts w:ascii="Garamond" w:hAnsi="Garamond"/>
          <w:kern w:val="1"/>
          <w:sz w:val="24"/>
          <w:szCs w:val="24"/>
        </w:rPr>
        <w:t xml:space="preserve"> as a modernist legal project</w:t>
      </w:r>
      <w:r w:rsidRPr="00E004A2">
        <w:rPr>
          <w:rFonts w:ascii="Garamond" w:hAnsi="Garamond"/>
          <w:kern w:val="1"/>
          <w:sz w:val="24"/>
          <w:szCs w:val="24"/>
        </w:rPr>
        <w:t>.</w:t>
      </w:r>
      <w:r w:rsidR="00CE0C7B" w:rsidRPr="00E004A2">
        <w:rPr>
          <w:rFonts w:ascii="Garamond" w:hAnsi="Garamond"/>
          <w:kern w:val="1"/>
          <w:sz w:val="24"/>
          <w:szCs w:val="24"/>
        </w:rPr>
        <w:t xml:space="preserve"> </w:t>
      </w:r>
      <w:r w:rsidR="007308A7">
        <w:rPr>
          <w:rFonts w:ascii="Garamond" w:hAnsi="Garamond"/>
          <w:kern w:val="1"/>
          <w:sz w:val="24"/>
          <w:szCs w:val="24"/>
        </w:rPr>
        <w:tab/>
      </w:r>
    </w:p>
    <w:p w14:paraId="6F86AE41" w14:textId="4A9AA6F1" w:rsidR="007308A7" w:rsidRPr="00E004A2" w:rsidRDefault="007308A7" w:rsidP="001C3C86">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990A70" w:rsidRPr="00E004A2">
        <w:rPr>
          <w:rFonts w:ascii="Garamond" w:hAnsi="Garamond"/>
          <w:kern w:val="1"/>
          <w:sz w:val="24"/>
          <w:szCs w:val="24"/>
        </w:rPr>
        <w:t>T</w:t>
      </w:r>
      <w:r w:rsidR="000331C3" w:rsidRPr="00E004A2">
        <w:rPr>
          <w:rFonts w:ascii="Garamond" w:hAnsi="Garamond"/>
          <w:kern w:val="1"/>
          <w:sz w:val="24"/>
          <w:szCs w:val="24"/>
        </w:rPr>
        <w:t xml:space="preserve">he story weaves in and out of </w:t>
      </w:r>
      <w:r w:rsidR="0007781D" w:rsidRPr="00E004A2">
        <w:rPr>
          <w:rFonts w:ascii="Garamond" w:hAnsi="Garamond"/>
          <w:kern w:val="1"/>
          <w:sz w:val="24"/>
          <w:szCs w:val="24"/>
        </w:rPr>
        <w:t xml:space="preserve">third person </w:t>
      </w:r>
      <w:r w:rsidR="000331C3" w:rsidRPr="00E004A2">
        <w:rPr>
          <w:rFonts w:ascii="Garamond" w:hAnsi="Garamond"/>
          <w:kern w:val="1"/>
          <w:sz w:val="24"/>
          <w:szCs w:val="24"/>
        </w:rPr>
        <w:t xml:space="preserve">pronouns. </w:t>
      </w:r>
      <w:r w:rsidR="002F60ED" w:rsidRPr="00E004A2">
        <w:rPr>
          <w:rFonts w:ascii="Garamond" w:hAnsi="Garamond"/>
          <w:kern w:val="1"/>
          <w:sz w:val="24"/>
          <w:szCs w:val="24"/>
        </w:rPr>
        <w:t>Feminist legal scholars have long pointed to the problems occasioned by the lack of a non-gendered singular third person in the English language. The singular and plurals of both the first (I/we) and the second person (you) are not explicitly gendered</w:t>
      </w:r>
      <w:r w:rsidR="00D7592A" w:rsidRPr="00E004A2">
        <w:rPr>
          <w:rFonts w:ascii="Garamond" w:hAnsi="Garamond"/>
          <w:kern w:val="1"/>
          <w:sz w:val="24"/>
          <w:szCs w:val="24"/>
        </w:rPr>
        <w:t xml:space="preserve">. </w:t>
      </w:r>
      <w:r w:rsidR="002F60ED" w:rsidRPr="00E004A2">
        <w:rPr>
          <w:rFonts w:ascii="Garamond" w:hAnsi="Garamond"/>
          <w:kern w:val="1"/>
          <w:sz w:val="24"/>
          <w:szCs w:val="24"/>
        </w:rPr>
        <w:t xml:space="preserve">The third person is gendered in the </w:t>
      </w:r>
      <w:r w:rsidR="00CC74C2" w:rsidRPr="00E004A2">
        <w:rPr>
          <w:rFonts w:ascii="Garamond" w:hAnsi="Garamond"/>
          <w:kern w:val="1"/>
          <w:sz w:val="24"/>
          <w:szCs w:val="24"/>
        </w:rPr>
        <w:t>singula</w:t>
      </w:r>
      <w:r w:rsidR="002F60ED" w:rsidRPr="00E004A2">
        <w:rPr>
          <w:rFonts w:ascii="Garamond" w:hAnsi="Garamond"/>
          <w:kern w:val="1"/>
          <w:sz w:val="24"/>
          <w:szCs w:val="24"/>
        </w:rPr>
        <w:t xml:space="preserve">r (he/she) but not in the </w:t>
      </w:r>
      <w:r w:rsidR="002F60ED" w:rsidRPr="00EF596E">
        <w:rPr>
          <w:rFonts w:ascii="Garamond" w:hAnsi="Garamond"/>
          <w:kern w:val="1"/>
          <w:sz w:val="24"/>
          <w:szCs w:val="24"/>
        </w:rPr>
        <w:t>plural (they) (e.g.</w:t>
      </w:r>
      <w:r w:rsidR="00443B05" w:rsidRPr="00EF596E">
        <w:rPr>
          <w:rFonts w:ascii="Garamond" w:hAnsi="Garamond"/>
          <w:kern w:val="1"/>
          <w:sz w:val="24"/>
          <w:szCs w:val="24"/>
        </w:rPr>
        <w:t>,</w:t>
      </w:r>
      <w:r w:rsidR="002F60ED" w:rsidRPr="00EF596E">
        <w:rPr>
          <w:rFonts w:ascii="Garamond" w:hAnsi="Garamond"/>
          <w:kern w:val="1"/>
          <w:sz w:val="24"/>
          <w:szCs w:val="24"/>
        </w:rPr>
        <w:t xml:space="preserve"> </w:t>
      </w:r>
      <w:r w:rsidR="00CC74C2" w:rsidRPr="00EF596E">
        <w:rPr>
          <w:rFonts w:ascii="Garamond" w:hAnsi="Garamond"/>
          <w:kern w:val="1"/>
          <w:sz w:val="24"/>
          <w:szCs w:val="24"/>
        </w:rPr>
        <w:fldChar w:fldCharType="begin"/>
      </w:r>
      <w:r w:rsidR="004F3785" w:rsidRPr="00EF596E">
        <w:rPr>
          <w:rFonts w:ascii="Garamond" w:hAnsi="Garamond"/>
          <w:kern w:val="1"/>
          <w:sz w:val="24"/>
          <w:szCs w:val="24"/>
        </w:rPr>
        <w:instrText xml:space="preserve"> ADDIN ZOTERO_ITEM CSL_CITATION {"citationID":"pJOhpgy0","properties":{"formattedCitation":"(Mossman, 1995b, p. 10)","plainCitation":"(Mossman, 1995b, p. 10)","noteIndex":0},"citationItems":[{"id":689,"uris":["http://zotero.org/users/1070015/items/HE66WYL8"],"uri":["http://zotero.org/users/1070015/items/HE66WYL8"],"itemData":{"id":689,"type":"article-journal","container-title":"International Legal Practitioner","issue":"1","page":"8-14","title":"Use of Non-Discriminatory Language in Law","volume":"20","author":[{"family":"Mossman","given":"Mary Jane"}],"issued":{"date-parts":[["1995"]]}},"locator":"10","label":"page"}],"schema":"https://github.com/citation-style-language/schema/raw/master/csl-citation.json"} </w:instrText>
      </w:r>
      <w:r w:rsidR="00CC74C2" w:rsidRPr="00EF596E">
        <w:rPr>
          <w:rFonts w:ascii="Garamond" w:hAnsi="Garamond"/>
          <w:kern w:val="1"/>
          <w:sz w:val="24"/>
          <w:szCs w:val="24"/>
        </w:rPr>
        <w:fldChar w:fldCharType="separate"/>
      </w:r>
      <w:r w:rsidR="004F3785" w:rsidRPr="00EF596E">
        <w:rPr>
          <w:rFonts w:ascii="Garamond" w:hAnsi="Garamond"/>
          <w:noProof/>
          <w:kern w:val="1"/>
          <w:sz w:val="24"/>
          <w:szCs w:val="24"/>
        </w:rPr>
        <w:t>Mossman, 1995, p. 10)</w:t>
      </w:r>
      <w:r w:rsidR="00CC74C2" w:rsidRPr="00EF596E">
        <w:rPr>
          <w:rFonts w:ascii="Garamond" w:hAnsi="Garamond"/>
          <w:kern w:val="1"/>
          <w:sz w:val="24"/>
          <w:szCs w:val="24"/>
        </w:rPr>
        <w:fldChar w:fldCharType="end"/>
      </w:r>
      <w:r w:rsidR="002F60ED" w:rsidRPr="00EF596E">
        <w:rPr>
          <w:rFonts w:ascii="Garamond" w:hAnsi="Garamond"/>
          <w:kern w:val="1"/>
          <w:sz w:val="24"/>
          <w:szCs w:val="24"/>
        </w:rPr>
        <w:t>.</w:t>
      </w:r>
      <w:r w:rsidR="002F60ED" w:rsidRPr="00EF596E">
        <w:rPr>
          <w:rStyle w:val="FootnoteReference"/>
        </w:rPr>
        <w:footnoteReference w:id="7"/>
      </w:r>
      <w:r w:rsidR="00D7592A" w:rsidRPr="00EF596E">
        <w:rPr>
          <w:rFonts w:ascii="Garamond" w:hAnsi="Garamond"/>
          <w:kern w:val="1"/>
          <w:sz w:val="24"/>
          <w:szCs w:val="24"/>
        </w:rPr>
        <w:t xml:space="preserve"> I return to this point </w:t>
      </w:r>
      <w:r w:rsidR="006F0575" w:rsidRPr="00EF596E">
        <w:rPr>
          <w:rFonts w:ascii="Garamond" w:hAnsi="Garamond"/>
          <w:kern w:val="1"/>
          <w:sz w:val="24"/>
          <w:szCs w:val="24"/>
        </w:rPr>
        <w:t xml:space="preserve">later on </w:t>
      </w:r>
      <w:r w:rsidR="00D7592A" w:rsidRPr="00EF596E">
        <w:rPr>
          <w:rFonts w:ascii="Garamond" w:hAnsi="Garamond"/>
          <w:kern w:val="1"/>
          <w:sz w:val="24"/>
          <w:szCs w:val="24"/>
        </w:rPr>
        <w:t>when considering the</w:t>
      </w:r>
      <w:r w:rsidR="00D7592A" w:rsidRPr="00E004A2">
        <w:rPr>
          <w:rFonts w:ascii="Garamond" w:hAnsi="Garamond"/>
          <w:kern w:val="1"/>
          <w:sz w:val="24"/>
          <w:szCs w:val="24"/>
        </w:rPr>
        <w:t xml:space="preserve"> potential for disruptive feminist drafting techniques. L</w:t>
      </w:r>
      <w:r w:rsidR="002F60ED" w:rsidRPr="00E004A2">
        <w:rPr>
          <w:rFonts w:ascii="Garamond" w:hAnsi="Garamond"/>
          <w:kern w:val="1"/>
          <w:sz w:val="24"/>
          <w:szCs w:val="24"/>
        </w:rPr>
        <w:t xml:space="preserve">egislation is written in the third person, </w:t>
      </w:r>
      <w:r w:rsidR="00D7592A" w:rsidRPr="00E004A2">
        <w:rPr>
          <w:rFonts w:ascii="Garamond" w:hAnsi="Garamond"/>
          <w:kern w:val="1"/>
          <w:sz w:val="24"/>
          <w:szCs w:val="24"/>
        </w:rPr>
        <w:t xml:space="preserve">so </w:t>
      </w:r>
      <w:r w:rsidR="002F60ED" w:rsidRPr="00E004A2">
        <w:rPr>
          <w:rFonts w:ascii="Garamond" w:hAnsi="Garamond"/>
          <w:kern w:val="1"/>
          <w:sz w:val="24"/>
          <w:szCs w:val="24"/>
        </w:rPr>
        <w:lastRenderedPageBreak/>
        <w:t>the conditions</w:t>
      </w:r>
      <w:r w:rsidR="00D7592A" w:rsidRPr="00E004A2">
        <w:rPr>
          <w:rFonts w:ascii="Garamond" w:hAnsi="Garamond"/>
          <w:kern w:val="1"/>
          <w:sz w:val="24"/>
          <w:szCs w:val="24"/>
        </w:rPr>
        <w:t xml:space="preserve"> exist</w:t>
      </w:r>
      <w:r w:rsidR="002F60ED" w:rsidRPr="00E004A2">
        <w:rPr>
          <w:rFonts w:ascii="Garamond" w:hAnsi="Garamond"/>
          <w:kern w:val="1"/>
          <w:sz w:val="24"/>
          <w:szCs w:val="24"/>
        </w:rPr>
        <w:t xml:space="preserve"> for gendered differences to be inevitably structured into the text of the law itself</w:t>
      </w:r>
      <w:r w:rsidR="00937B7C" w:rsidRPr="00E004A2">
        <w:rPr>
          <w:rFonts w:ascii="Garamond" w:hAnsi="Garamond"/>
          <w:kern w:val="1"/>
          <w:sz w:val="24"/>
          <w:szCs w:val="24"/>
        </w:rPr>
        <w:t xml:space="preserve"> through the use of binary, gender</w:t>
      </w:r>
      <w:r w:rsidR="002C3FAF">
        <w:rPr>
          <w:rFonts w:ascii="Garamond" w:hAnsi="Garamond"/>
          <w:kern w:val="1"/>
          <w:sz w:val="24"/>
          <w:szCs w:val="24"/>
        </w:rPr>
        <w:t>-</w:t>
      </w:r>
      <w:r w:rsidR="00937B7C" w:rsidRPr="00E004A2">
        <w:rPr>
          <w:rFonts w:ascii="Garamond" w:hAnsi="Garamond"/>
          <w:kern w:val="1"/>
          <w:sz w:val="24"/>
          <w:szCs w:val="24"/>
        </w:rPr>
        <w:t xml:space="preserve">specific pronouns. </w:t>
      </w:r>
      <w:r w:rsidR="002F60ED" w:rsidRPr="00E004A2">
        <w:rPr>
          <w:rFonts w:ascii="Garamond" w:hAnsi="Garamond"/>
          <w:kern w:val="1"/>
          <w:sz w:val="24"/>
          <w:szCs w:val="24"/>
        </w:rPr>
        <w:t>Yet, a</w:t>
      </w:r>
      <w:r w:rsidR="00147D07" w:rsidRPr="00E004A2">
        <w:rPr>
          <w:rFonts w:ascii="Garamond" w:hAnsi="Garamond"/>
          <w:kern w:val="1"/>
          <w:sz w:val="24"/>
          <w:szCs w:val="24"/>
        </w:rPr>
        <w:t xml:space="preserve">s </w:t>
      </w:r>
      <w:proofErr w:type="spellStart"/>
      <w:r w:rsidR="00147D07" w:rsidRPr="00E004A2">
        <w:rPr>
          <w:rFonts w:ascii="Garamond" w:hAnsi="Garamond"/>
          <w:kern w:val="1"/>
          <w:sz w:val="24"/>
          <w:szCs w:val="24"/>
        </w:rPr>
        <w:t>Petersson</w:t>
      </w:r>
      <w:proofErr w:type="spellEnd"/>
      <w:r w:rsidR="00147D07" w:rsidRPr="00E004A2">
        <w:rPr>
          <w:rFonts w:ascii="Garamond" w:hAnsi="Garamond"/>
          <w:kern w:val="1"/>
          <w:sz w:val="24"/>
          <w:szCs w:val="24"/>
        </w:rPr>
        <w:t xml:space="preserve"> demonstrates,</w:t>
      </w:r>
      <w:r w:rsidR="006E3733" w:rsidRPr="00E004A2">
        <w:rPr>
          <w:rFonts w:ascii="Garamond" w:hAnsi="Garamond"/>
          <w:kern w:val="1"/>
          <w:sz w:val="24"/>
          <w:szCs w:val="24"/>
        </w:rPr>
        <w:t xml:space="preserve"> the picture is not quite as </w:t>
      </w:r>
      <w:r w:rsidR="00D7592A" w:rsidRPr="00E004A2">
        <w:rPr>
          <w:rFonts w:ascii="Garamond" w:hAnsi="Garamond"/>
          <w:kern w:val="1"/>
          <w:sz w:val="24"/>
          <w:szCs w:val="24"/>
        </w:rPr>
        <w:t>straightforward as this</w:t>
      </w:r>
      <w:r w:rsidR="00C278BC" w:rsidRPr="00E004A2">
        <w:rPr>
          <w:rFonts w:ascii="Garamond" w:hAnsi="Garamond"/>
          <w:kern w:val="1"/>
          <w:sz w:val="24"/>
          <w:szCs w:val="24"/>
        </w:rPr>
        <w:t xml:space="preserve"> might suggest</w:t>
      </w:r>
      <w:r w:rsidR="006E3733" w:rsidRPr="00E004A2">
        <w:rPr>
          <w:rFonts w:ascii="Garamond" w:hAnsi="Garamond"/>
          <w:kern w:val="1"/>
          <w:sz w:val="24"/>
          <w:szCs w:val="24"/>
        </w:rPr>
        <w:t>.</w:t>
      </w:r>
      <w:r w:rsidR="00147D07" w:rsidRPr="00E004A2">
        <w:rPr>
          <w:rFonts w:ascii="Garamond" w:hAnsi="Garamond"/>
          <w:kern w:val="1"/>
          <w:sz w:val="24"/>
          <w:szCs w:val="24"/>
        </w:rPr>
        <w:t xml:space="preserve"> English law </w:t>
      </w:r>
      <w:r w:rsidR="00C07D27" w:rsidRPr="00E004A2">
        <w:rPr>
          <w:rFonts w:ascii="Garamond" w:hAnsi="Garamond"/>
          <w:kern w:val="1"/>
          <w:sz w:val="24"/>
          <w:szCs w:val="24"/>
        </w:rPr>
        <w:t xml:space="preserve">shows </w:t>
      </w:r>
      <w:r w:rsidR="00147D07" w:rsidRPr="00E004A2">
        <w:rPr>
          <w:rFonts w:ascii="Garamond" w:hAnsi="Garamond"/>
          <w:kern w:val="1"/>
          <w:sz w:val="24"/>
          <w:szCs w:val="24"/>
        </w:rPr>
        <w:t>a history of highly variable sex/gender pronouns as languag</w:t>
      </w:r>
      <w:r w:rsidR="00D70E92" w:rsidRPr="00E004A2">
        <w:rPr>
          <w:rFonts w:ascii="Garamond" w:hAnsi="Garamond"/>
          <w:kern w:val="1"/>
          <w:sz w:val="24"/>
          <w:szCs w:val="24"/>
        </w:rPr>
        <w:t>e has evolved</w:t>
      </w:r>
      <w:r w:rsidR="00C07D27" w:rsidRPr="00E004A2">
        <w:rPr>
          <w:rFonts w:ascii="Garamond" w:hAnsi="Garamond"/>
          <w:kern w:val="1"/>
          <w:sz w:val="24"/>
          <w:szCs w:val="24"/>
        </w:rPr>
        <w:t>, along with</w:t>
      </w:r>
      <w:r w:rsidR="00147D07" w:rsidRPr="00E004A2">
        <w:rPr>
          <w:rFonts w:ascii="Garamond" w:hAnsi="Garamond"/>
          <w:kern w:val="1"/>
          <w:sz w:val="24"/>
          <w:szCs w:val="24"/>
        </w:rPr>
        <w:t xml:space="preserve"> distinct changes in how law has attached legal responsibility to these gender markers</w:t>
      </w:r>
      <w:r w:rsidR="006F0575" w:rsidRPr="00E004A2">
        <w:rPr>
          <w:rFonts w:ascii="Garamond" w:hAnsi="Garamond"/>
          <w:kern w:val="1"/>
          <w:sz w:val="24"/>
          <w:szCs w:val="24"/>
        </w:rPr>
        <w:t xml:space="preserve"> through statutory drafting</w:t>
      </w:r>
      <w:r w:rsidR="00CC74C2" w:rsidRPr="00E004A2">
        <w:rPr>
          <w:rFonts w:ascii="Garamond" w:hAnsi="Garamond"/>
          <w:kern w:val="1"/>
          <w:sz w:val="24"/>
          <w:szCs w:val="24"/>
        </w:rPr>
        <w:t xml:space="preserve"> </w:t>
      </w:r>
      <w:r w:rsidR="00CC74C2"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{"citationID":"5j8cjjtV","properties":{"formattedCitation":"(Petersson, 1998)","plainCitation":"(Petersson, 1998)","noteIndex":0},"citationItems":[{"id":744,"uris":["http://zotero.org/users/1070015/items/AQ5XPTXK"],"uri":["http://zotero.org/users/1070015/items/AQ5XPTXK"],"itemData":{"id":744,"type":"article-journal","container-title":"Statute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Drafting","volume":"19","author":[{"family":"Petersson","given":"S."}],"issued":{"date-parts":[["1998",1,1]]}}}],"schema":"https://github.com/citation-style-language/schema/raw/master/csl-citation.json"} </w:instrText>
      </w:r>
      <w:r w:rsidR="00CC74C2" w:rsidRPr="00E004A2">
        <w:rPr>
          <w:rFonts w:ascii="Garamond" w:hAnsi="Garamond"/>
          <w:kern w:val="1"/>
          <w:sz w:val="24"/>
          <w:szCs w:val="24"/>
        </w:rPr>
        <w:fldChar w:fldCharType="separate"/>
      </w:r>
      <w:r w:rsidR="004F3785">
        <w:rPr>
          <w:rFonts w:ascii="Garamond" w:hAnsi="Garamond"/>
          <w:noProof/>
          <w:kern w:val="1"/>
          <w:sz w:val="24"/>
          <w:szCs w:val="24"/>
        </w:rPr>
        <w:t>(Petersson, 1998)</w:t>
      </w:r>
      <w:r w:rsidR="00CC74C2" w:rsidRPr="00E004A2">
        <w:rPr>
          <w:rFonts w:ascii="Garamond" w:hAnsi="Garamond"/>
          <w:kern w:val="1"/>
          <w:sz w:val="24"/>
          <w:szCs w:val="24"/>
        </w:rPr>
        <w:fldChar w:fldCharType="end"/>
      </w:r>
      <w:r w:rsidR="00147D07" w:rsidRPr="00E004A2">
        <w:rPr>
          <w:rFonts w:ascii="Garamond" w:hAnsi="Garamond"/>
          <w:kern w:val="1"/>
          <w:sz w:val="24"/>
          <w:szCs w:val="24"/>
        </w:rPr>
        <w:t xml:space="preserve">. </w:t>
      </w:r>
      <w:r w:rsidR="0007781D" w:rsidRPr="00E004A2">
        <w:rPr>
          <w:rFonts w:ascii="Garamond" w:hAnsi="Garamond"/>
          <w:kern w:val="1"/>
          <w:sz w:val="24"/>
          <w:szCs w:val="24"/>
        </w:rPr>
        <w:t>I</w:t>
      </w:r>
      <w:r w:rsidR="00147D07" w:rsidRPr="00E004A2">
        <w:rPr>
          <w:rFonts w:ascii="Garamond" w:hAnsi="Garamond"/>
          <w:kern w:val="1"/>
          <w:sz w:val="24"/>
          <w:szCs w:val="24"/>
        </w:rPr>
        <w:t>n Middle English (1150-1500), pronouns changed considerably.</w:t>
      </w:r>
      <w:r w:rsidR="008B1340" w:rsidRPr="00E004A2">
        <w:rPr>
          <w:rFonts w:ascii="Garamond" w:hAnsi="Garamond"/>
          <w:kern w:val="1"/>
          <w:sz w:val="24"/>
          <w:szCs w:val="24"/>
        </w:rPr>
        <w:t xml:space="preserve"> </w:t>
      </w:r>
      <w:r w:rsidR="00147D07" w:rsidRPr="00E004A2">
        <w:rPr>
          <w:rFonts w:ascii="Garamond" w:hAnsi="Garamond"/>
          <w:kern w:val="1"/>
          <w:sz w:val="24"/>
          <w:szCs w:val="24"/>
        </w:rPr>
        <w:t xml:space="preserve">In Old English, </w:t>
      </w:r>
      <w:proofErr w:type="spellStart"/>
      <w:r w:rsidR="00147D07" w:rsidRPr="00E004A2">
        <w:rPr>
          <w:rFonts w:ascii="Garamond" w:hAnsi="Garamond"/>
          <w:i/>
          <w:kern w:val="1"/>
          <w:sz w:val="24"/>
          <w:szCs w:val="24"/>
        </w:rPr>
        <w:t>hé</w:t>
      </w:r>
      <w:proofErr w:type="spellEnd"/>
      <w:r w:rsidR="00147D07" w:rsidRPr="00E004A2">
        <w:rPr>
          <w:rFonts w:ascii="Garamond" w:hAnsi="Garamond"/>
          <w:i/>
          <w:kern w:val="1"/>
          <w:sz w:val="24"/>
          <w:szCs w:val="24"/>
        </w:rPr>
        <w:t xml:space="preserve"> </w:t>
      </w:r>
      <w:r w:rsidR="00147D07" w:rsidRPr="00E004A2">
        <w:rPr>
          <w:rFonts w:ascii="Garamond" w:hAnsi="Garamond"/>
          <w:kern w:val="1"/>
          <w:sz w:val="24"/>
          <w:szCs w:val="24"/>
        </w:rPr>
        <w:t xml:space="preserve">referred to the masculine and </w:t>
      </w:r>
      <w:proofErr w:type="spellStart"/>
      <w:r w:rsidR="00147D07" w:rsidRPr="00E004A2">
        <w:rPr>
          <w:rFonts w:ascii="Garamond" w:hAnsi="Garamond"/>
          <w:i/>
          <w:kern w:val="1"/>
          <w:sz w:val="24"/>
          <w:szCs w:val="24"/>
        </w:rPr>
        <w:t>héo</w:t>
      </w:r>
      <w:proofErr w:type="spellEnd"/>
      <w:r w:rsidR="00147D07" w:rsidRPr="00E004A2">
        <w:rPr>
          <w:rFonts w:ascii="Garamond" w:hAnsi="Garamond"/>
          <w:kern w:val="1"/>
          <w:sz w:val="24"/>
          <w:szCs w:val="24"/>
        </w:rPr>
        <w:t xml:space="preserve"> to the feminine. For part of Middle English, when the ‘o’ was dropped, masculine and feminine nominative pronouns were</w:t>
      </w:r>
      <w:r w:rsidR="00C07D27" w:rsidRPr="00E004A2">
        <w:rPr>
          <w:rFonts w:ascii="Garamond" w:hAnsi="Garamond"/>
          <w:kern w:val="1"/>
          <w:sz w:val="24"/>
          <w:szCs w:val="24"/>
        </w:rPr>
        <w:t xml:space="preserve"> phonetically</w:t>
      </w:r>
      <w:r w:rsidR="00147D07" w:rsidRPr="00E004A2">
        <w:rPr>
          <w:rFonts w:ascii="Garamond" w:hAnsi="Garamond"/>
          <w:kern w:val="1"/>
          <w:sz w:val="24"/>
          <w:szCs w:val="24"/>
        </w:rPr>
        <w:t xml:space="preserve"> indistinguishable</w:t>
      </w:r>
      <w:r w:rsidR="005F756C" w:rsidRPr="00E004A2">
        <w:rPr>
          <w:rFonts w:ascii="Garamond" w:hAnsi="Garamond"/>
          <w:kern w:val="1"/>
          <w:sz w:val="24"/>
          <w:szCs w:val="24"/>
        </w:rPr>
        <w:t xml:space="preserve"> and ‘he’ was both masculine and feminine</w:t>
      </w:r>
      <w:r w:rsidR="00147D07" w:rsidRPr="00E004A2">
        <w:rPr>
          <w:rFonts w:ascii="Garamond" w:hAnsi="Garamond"/>
          <w:kern w:val="1"/>
          <w:sz w:val="24"/>
          <w:szCs w:val="24"/>
        </w:rPr>
        <w:t xml:space="preserve"> </w:t>
      </w:r>
      <w:r w:rsidR="00CC74C2"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{"citationID":"5d0MmRbz","properties":{"formattedCitation":"(Petersson, 1998, p. 96)","plainCitation":"(Petersson, 1998, p. 96)","noteIndex":0},"citationItems":[{"id":744,"uris":["http://zotero.org/users/1070015/items/AQ5XPTXK"],"uri":["http://zotero.org/users/1070015/items/AQ5XPTXK"],"itemData":{"id":744,"type":"article-journal","container-title":"Statute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Drafting","volume":"19","author":[{"family":"Petersson","given":"S."}],"issued":{"date-parts":[["1998",1,1]]}},"locator":"96","label":"page"}],"schema":"https://github.com/citation-style-language/schema/raw/master/csl-citation.json"} </w:instrText>
      </w:r>
      <w:r w:rsidR="00CC74C2" w:rsidRPr="00E004A2">
        <w:rPr>
          <w:rFonts w:ascii="Garamond" w:hAnsi="Garamond"/>
          <w:kern w:val="1"/>
          <w:sz w:val="24"/>
          <w:szCs w:val="24"/>
        </w:rPr>
        <w:fldChar w:fldCharType="separate"/>
      </w:r>
      <w:r w:rsidR="004F3785">
        <w:rPr>
          <w:rFonts w:ascii="Garamond" w:hAnsi="Garamond"/>
          <w:noProof/>
          <w:kern w:val="1"/>
          <w:sz w:val="24"/>
          <w:szCs w:val="24"/>
        </w:rPr>
        <w:t>(Petersson, 1998, p. 96)</w:t>
      </w:r>
      <w:r w:rsidR="00CC74C2" w:rsidRPr="00E004A2">
        <w:rPr>
          <w:rFonts w:ascii="Garamond" w:hAnsi="Garamond"/>
          <w:kern w:val="1"/>
          <w:sz w:val="24"/>
          <w:szCs w:val="24"/>
        </w:rPr>
        <w:fldChar w:fldCharType="end"/>
      </w:r>
      <w:r w:rsidR="00147D07" w:rsidRPr="00E004A2">
        <w:rPr>
          <w:rFonts w:ascii="Garamond" w:hAnsi="Garamond"/>
          <w:kern w:val="1"/>
          <w:sz w:val="24"/>
          <w:szCs w:val="24"/>
        </w:rPr>
        <w:t xml:space="preserve">. Later, distinct pronunciations and spellings distinguished, again, between masculine and feminine such that late Middle English saw the prevailing use of </w:t>
      </w:r>
      <w:proofErr w:type="spellStart"/>
      <w:r w:rsidR="00147D07" w:rsidRPr="00E004A2">
        <w:rPr>
          <w:rFonts w:ascii="Garamond" w:hAnsi="Garamond"/>
          <w:i/>
          <w:kern w:val="1"/>
          <w:sz w:val="24"/>
          <w:szCs w:val="24"/>
        </w:rPr>
        <w:t>sche</w:t>
      </w:r>
      <w:proofErr w:type="spellEnd"/>
      <w:r w:rsidR="00147D07" w:rsidRPr="00E004A2">
        <w:rPr>
          <w:rFonts w:ascii="Garamond" w:hAnsi="Garamond"/>
          <w:i/>
          <w:kern w:val="1"/>
          <w:sz w:val="24"/>
          <w:szCs w:val="24"/>
        </w:rPr>
        <w:t xml:space="preserve"> </w:t>
      </w:r>
      <w:r w:rsidR="00147D07" w:rsidRPr="00E004A2">
        <w:rPr>
          <w:rFonts w:ascii="Garamond" w:hAnsi="Garamond"/>
          <w:kern w:val="1"/>
          <w:sz w:val="24"/>
          <w:szCs w:val="24"/>
        </w:rPr>
        <w:t xml:space="preserve">for the feminine </w:t>
      </w:r>
      <w:r w:rsidR="00CC74C2"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{"citationID":"NkJj3nHx","properties":{"formattedCitation":"(Petersson, 1998, p. 96)","plainCitation":"(Petersson, 1998, p. 96)","noteIndex":0},"citationItems":[{"id":744,"uris":["http://zotero.org/users/1070015/items/AQ5XPTXK"],"uri":["http://zotero.org/users/1070015/items/AQ5XPTXK"],"itemData":{"id":744,"type":"article-journal","container-title":"Statute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Drafting","volume":"19","author":[{"family":"Petersson","given":"S."}],"issued":{"date-parts":[["1998",1,1]]}},"locator":"96","label":"page"}],"schema":"https://github.com/citation-style-language/schema/raw/master/csl-citation.json"} </w:instrText>
      </w:r>
      <w:r w:rsidR="00CC74C2" w:rsidRPr="00E004A2">
        <w:rPr>
          <w:rFonts w:ascii="Garamond" w:hAnsi="Garamond"/>
          <w:kern w:val="1"/>
          <w:sz w:val="24"/>
          <w:szCs w:val="24"/>
        </w:rPr>
        <w:fldChar w:fldCharType="separate"/>
      </w:r>
      <w:r w:rsidR="004F3785">
        <w:rPr>
          <w:rFonts w:ascii="Garamond" w:hAnsi="Garamond"/>
          <w:noProof/>
          <w:kern w:val="1"/>
          <w:sz w:val="24"/>
          <w:szCs w:val="24"/>
        </w:rPr>
        <w:t>(Petersson, 1998, p. 96)</w:t>
      </w:r>
      <w:r w:rsidR="00CC74C2" w:rsidRPr="00E004A2">
        <w:rPr>
          <w:rFonts w:ascii="Garamond" w:hAnsi="Garamond"/>
          <w:kern w:val="1"/>
          <w:sz w:val="24"/>
          <w:szCs w:val="24"/>
        </w:rPr>
        <w:fldChar w:fldCharType="end"/>
      </w:r>
      <w:r w:rsidR="00147D07" w:rsidRPr="00E004A2">
        <w:rPr>
          <w:rFonts w:ascii="Garamond" w:hAnsi="Garamond"/>
          <w:kern w:val="1"/>
          <w:sz w:val="24"/>
          <w:szCs w:val="24"/>
        </w:rPr>
        <w:t xml:space="preserve">. Using vagrancy law as an example, </w:t>
      </w:r>
      <w:proofErr w:type="spellStart"/>
      <w:r w:rsidR="00147D07" w:rsidRPr="00E004A2">
        <w:rPr>
          <w:rFonts w:ascii="Garamond" w:hAnsi="Garamond"/>
          <w:kern w:val="1"/>
          <w:sz w:val="24"/>
          <w:szCs w:val="24"/>
        </w:rPr>
        <w:t>Peter</w:t>
      </w:r>
      <w:r w:rsidR="00C07D27" w:rsidRPr="00E004A2">
        <w:rPr>
          <w:rFonts w:ascii="Garamond" w:hAnsi="Garamond"/>
          <w:kern w:val="1"/>
          <w:sz w:val="24"/>
          <w:szCs w:val="24"/>
        </w:rPr>
        <w:t>s</w:t>
      </w:r>
      <w:r w:rsidR="00147D07" w:rsidRPr="00E004A2">
        <w:rPr>
          <w:rFonts w:ascii="Garamond" w:hAnsi="Garamond"/>
          <w:kern w:val="1"/>
          <w:sz w:val="24"/>
          <w:szCs w:val="24"/>
        </w:rPr>
        <w:t>son</w:t>
      </w:r>
      <w:proofErr w:type="spellEnd"/>
      <w:r w:rsidR="00147D07" w:rsidRPr="00E004A2">
        <w:rPr>
          <w:rFonts w:ascii="Garamond" w:hAnsi="Garamond"/>
          <w:kern w:val="1"/>
          <w:sz w:val="24"/>
          <w:szCs w:val="24"/>
        </w:rPr>
        <w:t xml:space="preserve"> shows that for many centuries, male terms were not consistently used </w:t>
      </w:r>
      <w:r w:rsidR="00E2307E" w:rsidRPr="00E004A2">
        <w:rPr>
          <w:rFonts w:ascii="Garamond" w:hAnsi="Garamond"/>
          <w:kern w:val="1"/>
          <w:sz w:val="24"/>
          <w:szCs w:val="24"/>
        </w:rPr>
        <w:t xml:space="preserve">in statutory drafting </w:t>
      </w:r>
      <w:r w:rsidR="00147D07" w:rsidRPr="00E004A2">
        <w:rPr>
          <w:rFonts w:ascii="Garamond" w:hAnsi="Garamond"/>
          <w:kern w:val="1"/>
          <w:sz w:val="24"/>
          <w:szCs w:val="24"/>
        </w:rPr>
        <w:t xml:space="preserve">to represent women. By contrast, following an initial period of inconsistent pronoun use, a system of using female terms to represent women emerged in the Elizabethan period with the </w:t>
      </w:r>
      <w:r w:rsidR="00147D07" w:rsidRPr="006F05F4">
        <w:rPr>
          <w:rFonts w:ascii="Garamond" w:hAnsi="Garamond"/>
          <w:iCs/>
          <w:kern w:val="1"/>
          <w:sz w:val="24"/>
          <w:szCs w:val="24"/>
        </w:rPr>
        <w:t>Va</w:t>
      </w:r>
      <w:r w:rsidR="005F756C" w:rsidRPr="006F05F4">
        <w:rPr>
          <w:rFonts w:ascii="Garamond" w:hAnsi="Garamond"/>
          <w:iCs/>
          <w:kern w:val="1"/>
          <w:sz w:val="24"/>
          <w:szCs w:val="24"/>
        </w:rPr>
        <w:t>grancy Act 1572</w:t>
      </w:r>
      <w:r w:rsidR="005F756C" w:rsidRPr="006F05F4">
        <w:rPr>
          <w:rFonts w:ascii="Garamond" w:hAnsi="Garamond"/>
          <w:kern w:val="1"/>
          <w:sz w:val="24"/>
          <w:szCs w:val="24"/>
        </w:rPr>
        <w:t xml:space="preserve"> and continued to the Vagrancy Act 1744</w:t>
      </w:r>
      <w:r w:rsidR="005F756C" w:rsidRPr="00E004A2">
        <w:rPr>
          <w:rFonts w:ascii="Garamond" w:hAnsi="Garamond"/>
          <w:kern w:val="1"/>
          <w:sz w:val="24"/>
          <w:szCs w:val="24"/>
        </w:rPr>
        <w:t xml:space="preserve">. Differences in wording in the 1824 version of the Act made it even clearer when provisions applied distinctly to women. </w:t>
      </w:r>
      <w:r>
        <w:rPr>
          <w:rFonts w:ascii="Garamond" w:hAnsi="Garamond"/>
          <w:kern w:val="1"/>
          <w:sz w:val="24"/>
          <w:szCs w:val="24"/>
        </w:rPr>
        <w:tab/>
      </w:r>
    </w:p>
    <w:p w14:paraId="3D67C0BB" w14:textId="3B7071C7" w:rsidR="00A858CF" w:rsidRDefault="007308A7" w:rsidP="007308A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D7592A" w:rsidRPr="00E004A2">
        <w:rPr>
          <w:rFonts w:ascii="Garamond" w:hAnsi="Garamond"/>
          <w:kern w:val="1"/>
          <w:sz w:val="24"/>
          <w:szCs w:val="24"/>
        </w:rPr>
        <w:t xml:space="preserve">The shift towards distinct gender pronoun use in the Elizabethan period </w:t>
      </w:r>
      <w:r w:rsidR="005F756C" w:rsidRPr="00E004A2">
        <w:rPr>
          <w:rFonts w:ascii="Garamond" w:hAnsi="Garamond"/>
          <w:kern w:val="1"/>
          <w:sz w:val="24"/>
          <w:szCs w:val="24"/>
        </w:rPr>
        <w:t xml:space="preserve">could not have happened without </w:t>
      </w:r>
      <w:r w:rsidR="008D3F8B" w:rsidRPr="00E004A2">
        <w:rPr>
          <w:rFonts w:ascii="Garamond" w:hAnsi="Garamond"/>
          <w:kern w:val="1"/>
          <w:sz w:val="24"/>
          <w:szCs w:val="24"/>
        </w:rPr>
        <w:t xml:space="preserve">the </w:t>
      </w:r>
      <w:r w:rsidR="005F756C" w:rsidRPr="00E004A2">
        <w:rPr>
          <w:rFonts w:ascii="Garamond" w:hAnsi="Garamond"/>
          <w:kern w:val="1"/>
          <w:sz w:val="24"/>
          <w:szCs w:val="24"/>
        </w:rPr>
        <w:t xml:space="preserve">distinctions between nominative pronouns that had been reintroduced into Middle English. As such, changes to </w:t>
      </w:r>
      <w:r w:rsidR="00E2307E" w:rsidRPr="00E004A2">
        <w:rPr>
          <w:rFonts w:ascii="Garamond" w:hAnsi="Garamond"/>
          <w:kern w:val="1"/>
          <w:sz w:val="24"/>
          <w:szCs w:val="24"/>
        </w:rPr>
        <w:t xml:space="preserve">statutory </w:t>
      </w:r>
      <w:r w:rsidR="005F756C" w:rsidRPr="00E004A2">
        <w:rPr>
          <w:rFonts w:ascii="Garamond" w:hAnsi="Garamond"/>
          <w:kern w:val="1"/>
          <w:sz w:val="24"/>
          <w:szCs w:val="24"/>
        </w:rPr>
        <w:t>drafting</w:t>
      </w:r>
      <w:r w:rsidR="009B45EF">
        <w:rPr>
          <w:rFonts w:ascii="Garamond" w:hAnsi="Garamond"/>
          <w:kern w:val="1"/>
          <w:sz w:val="24"/>
          <w:szCs w:val="24"/>
        </w:rPr>
        <w:t xml:space="preserve"> </w:t>
      </w:r>
      <w:r w:rsidR="00A858CF" w:rsidRPr="00E004A2">
        <w:rPr>
          <w:rFonts w:ascii="Garamond" w:hAnsi="Garamond"/>
          <w:kern w:val="1"/>
          <w:sz w:val="24"/>
          <w:szCs w:val="24"/>
        </w:rPr>
        <w:t>–</w:t>
      </w:r>
      <w:r w:rsidR="009B45EF">
        <w:rPr>
          <w:rFonts w:ascii="Garamond" w:hAnsi="Garamond"/>
          <w:kern w:val="1"/>
          <w:sz w:val="24"/>
          <w:szCs w:val="24"/>
        </w:rPr>
        <w:t xml:space="preserve"> </w:t>
      </w:r>
      <w:r w:rsidR="00A858CF" w:rsidRPr="00E004A2">
        <w:rPr>
          <w:rFonts w:ascii="Garamond" w:hAnsi="Garamond"/>
          <w:kern w:val="1"/>
          <w:sz w:val="24"/>
          <w:szCs w:val="24"/>
        </w:rPr>
        <w:t>and the legal conceptualisation of identity along gendered lines</w:t>
      </w:r>
      <w:r w:rsidR="009B45EF">
        <w:rPr>
          <w:rFonts w:ascii="Garamond" w:hAnsi="Garamond"/>
          <w:kern w:val="1"/>
          <w:sz w:val="24"/>
          <w:szCs w:val="24"/>
        </w:rPr>
        <w:t xml:space="preserve"> </w:t>
      </w:r>
      <w:r w:rsidR="009B45EF" w:rsidRPr="00E004A2">
        <w:rPr>
          <w:rFonts w:ascii="Garamond" w:hAnsi="Garamond"/>
          <w:kern w:val="1"/>
          <w:sz w:val="24"/>
          <w:szCs w:val="24"/>
        </w:rPr>
        <w:t>–</w:t>
      </w:r>
      <w:r w:rsidR="009B45EF">
        <w:rPr>
          <w:rFonts w:ascii="Garamond" w:hAnsi="Garamond"/>
          <w:kern w:val="1"/>
          <w:sz w:val="24"/>
          <w:szCs w:val="24"/>
        </w:rPr>
        <w:t xml:space="preserve"> </w:t>
      </w:r>
      <w:r w:rsidR="005F756C" w:rsidRPr="00E004A2">
        <w:rPr>
          <w:rFonts w:ascii="Garamond" w:hAnsi="Garamond"/>
          <w:kern w:val="1"/>
          <w:sz w:val="24"/>
          <w:szCs w:val="24"/>
        </w:rPr>
        <w:t xml:space="preserve">were dependent in part on the evolution of the English language. Through the use of phrases such as </w:t>
      </w:r>
      <w:r w:rsidR="00C75574">
        <w:rPr>
          <w:rFonts w:ascii="Garamond" w:hAnsi="Garamond"/>
          <w:kern w:val="1"/>
          <w:sz w:val="24"/>
          <w:szCs w:val="24"/>
        </w:rPr>
        <w:t>“</w:t>
      </w:r>
      <w:proofErr w:type="spellStart"/>
      <w:r w:rsidR="005F756C" w:rsidRPr="00E004A2">
        <w:rPr>
          <w:rFonts w:ascii="Garamond" w:hAnsi="Garamond"/>
          <w:kern w:val="1"/>
          <w:sz w:val="24"/>
          <w:szCs w:val="24"/>
        </w:rPr>
        <w:t>hee</w:t>
      </w:r>
      <w:proofErr w:type="spellEnd"/>
      <w:r w:rsidR="005F756C" w:rsidRPr="00E004A2">
        <w:rPr>
          <w:rFonts w:ascii="Garamond" w:hAnsi="Garamond"/>
          <w:kern w:val="1"/>
          <w:sz w:val="24"/>
          <w:szCs w:val="24"/>
        </w:rPr>
        <w:t xml:space="preserve"> or </w:t>
      </w:r>
      <w:proofErr w:type="spellStart"/>
      <w:r w:rsidR="005F756C" w:rsidRPr="00E004A2">
        <w:rPr>
          <w:rFonts w:ascii="Garamond" w:hAnsi="Garamond"/>
          <w:kern w:val="1"/>
          <w:sz w:val="24"/>
          <w:szCs w:val="24"/>
        </w:rPr>
        <w:t>shee</w:t>
      </w:r>
      <w:proofErr w:type="spellEnd"/>
      <w:r w:rsidR="00C75574">
        <w:rPr>
          <w:rFonts w:ascii="Garamond" w:hAnsi="Garamond"/>
          <w:kern w:val="1"/>
          <w:sz w:val="24"/>
          <w:szCs w:val="24"/>
        </w:rPr>
        <w:t>”</w:t>
      </w:r>
      <w:r w:rsidR="005F756C" w:rsidRPr="00E004A2">
        <w:rPr>
          <w:rFonts w:ascii="Garamond" w:hAnsi="Garamond"/>
          <w:kern w:val="1"/>
          <w:sz w:val="24"/>
          <w:szCs w:val="24"/>
        </w:rPr>
        <w:t xml:space="preserve"> and </w:t>
      </w:r>
      <w:r w:rsidR="00C75574">
        <w:rPr>
          <w:rFonts w:ascii="Garamond" w:hAnsi="Garamond"/>
          <w:kern w:val="1"/>
          <w:sz w:val="24"/>
          <w:szCs w:val="24"/>
        </w:rPr>
        <w:t>“</w:t>
      </w:r>
      <w:r w:rsidR="005F756C" w:rsidRPr="00E004A2">
        <w:rPr>
          <w:rFonts w:ascii="Garamond" w:hAnsi="Garamond"/>
          <w:kern w:val="1"/>
          <w:sz w:val="24"/>
          <w:szCs w:val="24"/>
        </w:rPr>
        <w:t>his or her</w:t>
      </w:r>
      <w:r w:rsidR="00C75574">
        <w:rPr>
          <w:rFonts w:ascii="Garamond" w:hAnsi="Garamond"/>
          <w:kern w:val="1"/>
          <w:sz w:val="24"/>
          <w:szCs w:val="24"/>
        </w:rPr>
        <w:t>”</w:t>
      </w:r>
      <w:r w:rsidR="005F756C" w:rsidRPr="00E004A2">
        <w:rPr>
          <w:rFonts w:ascii="Garamond" w:hAnsi="Garamond"/>
          <w:kern w:val="1"/>
          <w:sz w:val="24"/>
          <w:szCs w:val="24"/>
        </w:rPr>
        <w:t xml:space="preserve"> when both sexes were targeted, and </w:t>
      </w:r>
      <w:r w:rsidR="00C75574">
        <w:rPr>
          <w:rFonts w:ascii="Garamond" w:hAnsi="Garamond"/>
          <w:kern w:val="1"/>
          <w:sz w:val="24"/>
          <w:szCs w:val="24"/>
        </w:rPr>
        <w:t>“</w:t>
      </w:r>
      <w:r w:rsidR="005F756C" w:rsidRPr="00E004A2">
        <w:rPr>
          <w:rFonts w:ascii="Garamond" w:hAnsi="Garamond"/>
          <w:kern w:val="1"/>
          <w:sz w:val="24"/>
          <w:szCs w:val="24"/>
        </w:rPr>
        <w:t>he</w:t>
      </w:r>
      <w:r w:rsidR="00C75574">
        <w:rPr>
          <w:rFonts w:ascii="Garamond" w:hAnsi="Garamond"/>
          <w:kern w:val="1"/>
          <w:sz w:val="24"/>
          <w:szCs w:val="24"/>
        </w:rPr>
        <w:t>”</w:t>
      </w:r>
      <w:r w:rsidR="005F756C" w:rsidRPr="00E004A2">
        <w:rPr>
          <w:rFonts w:ascii="Garamond" w:hAnsi="Garamond"/>
          <w:kern w:val="1"/>
          <w:sz w:val="24"/>
          <w:szCs w:val="24"/>
        </w:rPr>
        <w:t xml:space="preserve"> or </w:t>
      </w:r>
      <w:r w:rsidR="00C75574">
        <w:rPr>
          <w:rFonts w:ascii="Garamond" w:hAnsi="Garamond"/>
          <w:kern w:val="1"/>
          <w:sz w:val="24"/>
          <w:szCs w:val="24"/>
        </w:rPr>
        <w:t>“</w:t>
      </w:r>
      <w:r w:rsidR="005F756C" w:rsidRPr="00E004A2">
        <w:rPr>
          <w:rFonts w:ascii="Garamond" w:hAnsi="Garamond"/>
          <w:kern w:val="1"/>
          <w:sz w:val="24"/>
          <w:szCs w:val="24"/>
        </w:rPr>
        <w:t>she</w:t>
      </w:r>
      <w:r w:rsidR="00C75574">
        <w:rPr>
          <w:rFonts w:ascii="Garamond" w:hAnsi="Garamond"/>
          <w:kern w:val="1"/>
          <w:sz w:val="24"/>
          <w:szCs w:val="24"/>
        </w:rPr>
        <w:t>”</w:t>
      </w:r>
      <w:r w:rsidR="005F756C" w:rsidRPr="00E004A2">
        <w:rPr>
          <w:rFonts w:ascii="Garamond" w:hAnsi="Garamond"/>
          <w:kern w:val="1"/>
          <w:sz w:val="24"/>
          <w:szCs w:val="24"/>
        </w:rPr>
        <w:t xml:space="preserve"> when one sex was targeted, Elizabethan vagrancy laws referenced very real differences in status between men and women at that time</w:t>
      </w:r>
      <w:r w:rsidR="00C75574">
        <w:rPr>
          <w:rFonts w:ascii="Garamond" w:hAnsi="Garamond"/>
          <w:kern w:val="1"/>
          <w:sz w:val="24"/>
          <w:szCs w:val="24"/>
        </w:rPr>
        <w:t xml:space="preserve"> </w:t>
      </w:r>
      <w:r w:rsidR="00C75574">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{"citationID":"wdb1BNGA","properties":{"formattedCitation":"(Petersson, 1998)","plainCitation":"(Petersson, 1998)","noteIndex":0},"citationItems":[{"id":744,"uris":["http://zotero.org/users/1070015/items/AQ5XPTXK"],"uri":["http://zotero.org/users/1070015/items/AQ5XPTXK"],"itemData":{"id":744,"type":"article-journal","container-title":"Statute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Drafting","volume":"19","author":[{"family":"Petersson","given":"S."}],"issued":{"date-parts":[["1998",1,1]]}}}],"schema":"https://github.com/citation-style-language/schema/raw/master/csl-citation.json"} </w:instrText>
      </w:r>
      <w:r w:rsidR="00C75574">
        <w:rPr>
          <w:rFonts w:ascii="Garamond" w:hAnsi="Garamond"/>
          <w:kern w:val="1"/>
          <w:sz w:val="24"/>
          <w:szCs w:val="24"/>
        </w:rPr>
        <w:fldChar w:fldCharType="separate"/>
      </w:r>
      <w:r w:rsidR="004F3785">
        <w:rPr>
          <w:rFonts w:ascii="Garamond" w:hAnsi="Garamond"/>
          <w:noProof/>
          <w:kern w:val="1"/>
          <w:sz w:val="24"/>
          <w:szCs w:val="24"/>
        </w:rPr>
        <w:t>(Petersson, 1998)</w:t>
      </w:r>
      <w:r w:rsidR="00C75574">
        <w:rPr>
          <w:rFonts w:ascii="Garamond" w:hAnsi="Garamond"/>
          <w:kern w:val="1"/>
          <w:sz w:val="24"/>
          <w:szCs w:val="24"/>
        </w:rPr>
        <w:fldChar w:fldCharType="end"/>
      </w:r>
      <w:r w:rsidR="005F756C" w:rsidRPr="00E004A2">
        <w:rPr>
          <w:rFonts w:ascii="Garamond" w:hAnsi="Garamond"/>
          <w:kern w:val="1"/>
          <w:sz w:val="24"/>
          <w:szCs w:val="24"/>
        </w:rPr>
        <w:t>.</w:t>
      </w:r>
      <w:r w:rsidR="00C75574">
        <w:rPr>
          <w:rFonts w:ascii="Garamond" w:hAnsi="Garamond"/>
          <w:kern w:val="1"/>
          <w:sz w:val="24"/>
          <w:szCs w:val="24"/>
        </w:rPr>
        <w:t xml:space="preserve"> </w:t>
      </w:r>
      <w:proofErr w:type="spellStart"/>
      <w:r w:rsidR="00147D07" w:rsidRPr="00E004A2">
        <w:rPr>
          <w:rFonts w:ascii="Garamond" w:hAnsi="Garamond"/>
          <w:kern w:val="1"/>
          <w:sz w:val="24"/>
          <w:szCs w:val="24"/>
        </w:rPr>
        <w:t>Petersson</w:t>
      </w:r>
      <w:proofErr w:type="spellEnd"/>
      <w:r w:rsidR="00147D07" w:rsidRPr="00E004A2">
        <w:rPr>
          <w:rFonts w:ascii="Garamond" w:hAnsi="Garamond"/>
          <w:kern w:val="1"/>
          <w:sz w:val="24"/>
          <w:szCs w:val="24"/>
        </w:rPr>
        <w:t xml:space="preserve"> terms this the </w:t>
      </w:r>
      <w:r w:rsidR="000E1AFC">
        <w:rPr>
          <w:rFonts w:ascii="Garamond" w:hAnsi="Garamond"/>
          <w:kern w:val="1"/>
          <w:sz w:val="24"/>
          <w:szCs w:val="24"/>
        </w:rPr>
        <w:t>‘</w:t>
      </w:r>
      <w:r w:rsidR="00147D07" w:rsidRPr="00E004A2">
        <w:rPr>
          <w:rFonts w:ascii="Garamond" w:hAnsi="Garamond"/>
          <w:kern w:val="1"/>
          <w:sz w:val="24"/>
          <w:szCs w:val="24"/>
        </w:rPr>
        <w:t>system of express reference</w:t>
      </w:r>
      <w:r w:rsidR="000E1AFC">
        <w:rPr>
          <w:rFonts w:ascii="Garamond" w:hAnsi="Garamond"/>
          <w:kern w:val="1"/>
          <w:sz w:val="24"/>
          <w:szCs w:val="24"/>
        </w:rPr>
        <w:t>’</w:t>
      </w:r>
      <w:r w:rsidR="00C07D27" w:rsidRPr="00E004A2">
        <w:rPr>
          <w:rFonts w:ascii="Garamond" w:hAnsi="Garamond"/>
          <w:kern w:val="1"/>
          <w:sz w:val="24"/>
          <w:szCs w:val="24"/>
        </w:rPr>
        <w:t xml:space="preserve">. </w:t>
      </w:r>
      <w:r w:rsidR="00147D07" w:rsidRPr="00E004A2">
        <w:rPr>
          <w:rFonts w:ascii="Garamond" w:hAnsi="Garamond"/>
          <w:kern w:val="1"/>
          <w:sz w:val="24"/>
          <w:szCs w:val="24"/>
        </w:rPr>
        <w:t xml:space="preserve">The point about the system of express reference </w:t>
      </w:r>
      <w:r w:rsidR="00147D07" w:rsidRPr="00E004A2">
        <w:rPr>
          <w:rFonts w:ascii="Garamond" w:hAnsi="Garamond"/>
          <w:kern w:val="1"/>
          <w:sz w:val="24"/>
          <w:szCs w:val="24"/>
        </w:rPr>
        <w:lastRenderedPageBreak/>
        <w:t xml:space="preserve">was that it recognised women’s distinct legal status under law, even as this status was often subordinate to men. </w:t>
      </w:r>
      <w:r w:rsidR="005F756C" w:rsidRPr="00E004A2">
        <w:rPr>
          <w:rFonts w:ascii="Garamond" w:hAnsi="Garamond"/>
          <w:kern w:val="1"/>
          <w:sz w:val="24"/>
          <w:szCs w:val="24"/>
        </w:rPr>
        <w:t xml:space="preserve">For example, </w:t>
      </w:r>
      <w:r w:rsidR="00A62010" w:rsidRPr="00E004A2">
        <w:rPr>
          <w:rFonts w:ascii="Garamond" w:hAnsi="Garamond"/>
          <w:kern w:val="1"/>
          <w:sz w:val="24"/>
          <w:szCs w:val="24"/>
        </w:rPr>
        <w:t xml:space="preserve">in the Vagrancy Act 1572, </w:t>
      </w:r>
      <w:r w:rsidR="00A858CF" w:rsidRPr="00E004A2">
        <w:rPr>
          <w:rFonts w:ascii="Garamond" w:hAnsi="Garamond"/>
          <w:kern w:val="1"/>
          <w:sz w:val="24"/>
          <w:szCs w:val="24"/>
        </w:rPr>
        <w:t>provisions suspending punishments for vagrancy on the basis of a property threshold were addressed only to men, and not to women, because women could not at that time legally hold property in their own name</w:t>
      </w:r>
      <w:r w:rsidR="00DA5D1B">
        <w:rPr>
          <w:rFonts w:ascii="Garamond" w:hAnsi="Garamond"/>
          <w:kern w:val="1"/>
          <w:sz w:val="24"/>
          <w:szCs w:val="24"/>
        </w:rPr>
        <w:t xml:space="preserve"> </w:t>
      </w:r>
      <w:r w:rsidR="00DA5D1B">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{"citationID":"PQRbAHs4","properties":{"formattedCitation":"(Petersson, 1998, p. 98)","plainCitation":"(Petersson, 1998, p. 98)","noteIndex":0},"citationItems":[{"id":744,"uris":["http://zotero.org/users/1070015/items/AQ5XPTXK"],"uri":["http://zotero.org/users/1070015/items/AQ5XPTXK"],"itemData":{"id":744,"type":"article-journal","container-title":"Statute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Drafting","volume":"19","author":[{"family":"Petersson","given":"S."}],"issued":{"date-parts":[["1998",1,1]]}},"locator":"98","label":"page"}],"schema":"https://github.com/citation-style-language/schema/raw/master/csl-citation.json"} </w:instrText>
      </w:r>
      <w:r w:rsidR="00DA5D1B">
        <w:rPr>
          <w:rFonts w:ascii="Garamond" w:hAnsi="Garamond"/>
          <w:kern w:val="1"/>
          <w:sz w:val="24"/>
          <w:szCs w:val="24"/>
        </w:rPr>
        <w:fldChar w:fldCharType="separate"/>
      </w:r>
      <w:r w:rsidR="004F3785">
        <w:rPr>
          <w:rFonts w:ascii="Garamond" w:hAnsi="Garamond"/>
          <w:noProof/>
          <w:kern w:val="1"/>
          <w:sz w:val="24"/>
          <w:szCs w:val="24"/>
        </w:rPr>
        <w:t>(Petersson, 1998, p. 98)</w:t>
      </w:r>
      <w:r w:rsidR="00DA5D1B">
        <w:rPr>
          <w:rFonts w:ascii="Garamond" w:hAnsi="Garamond"/>
          <w:kern w:val="1"/>
          <w:sz w:val="24"/>
          <w:szCs w:val="24"/>
        </w:rPr>
        <w:fldChar w:fldCharType="end"/>
      </w:r>
      <w:r w:rsidR="00DA5D1B">
        <w:rPr>
          <w:rFonts w:ascii="Garamond" w:hAnsi="Garamond"/>
          <w:kern w:val="1"/>
          <w:sz w:val="24"/>
          <w:szCs w:val="24"/>
        </w:rPr>
        <w:t xml:space="preserve">. </w:t>
      </w:r>
      <w:r w:rsidR="00A858CF" w:rsidRPr="00E004A2">
        <w:rPr>
          <w:rFonts w:ascii="Garamond" w:hAnsi="Garamond"/>
          <w:kern w:val="1"/>
          <w:sz w:val="24"/>
          <w:szCs w:val="24"/>
        </w:rPr>
        <w:t>S</w:t>
      </w:r>
      <w:r w:rsidR="00147D07" w:rsidRPr="00E004A2">
        <w:rPr>
          <w:rFonts w:ascii="Garamond" w:hAnsi="Garamond"/>
          <w:kern w:val="1"/>
          <w:sz w:val="24"/>
          <w:szCs w:val="24"/>
        </w:rPr>
        <w:t xml:space="preserve">ubordinate status </w:t>
      </w:r>
      <w:r w:rsidR="00A858CF" w:rsidRPr="00E004A2">
        <w:rPr>
          <w:rFonts w:ascii="Garamond" w:hAnsi="Garamond"/>
          <w:kern w:val="1"/>
          <w:sz w:val="24"/>
          <w:szCs w:val="24"/>
        </w:rPr>
        <w:t xml:space="preserve">therefore </w:t>
      </w:r>
      <w:r w:rsidR="00147D07" w:rsidRPr="00E004A2">
        <w:rPr>
          <w:rFonts w:ascii="Garamond" w:hAnsi="Garamond"/>
          <w:kern w:val="1"/>
          <w:sz w:val="24"/>
          <w:szCs w:val="24"/>
        </w:rPr>
        <w:t>did not reside in legal invisibility or occlusion under an androcentric norm, it existed in plain daylight. When a</w:t>
      </w:r>
      <w:r w:rsidR="00D821D6" w:rsidRPr="00E004A2">
        <w:rPr>
          <w:rFonts w:ascii="Garamond" w:hAnsi="Garamond"/>
          <w:kern w:val="1"/>
          <w:sz w:val="24"/>
          <w:szCs w:val="24"/>
        </w:rPr>
        <w:t xml:space="preserve"> statute</w:t>
      </w:r>
      <w:r w:rsidR="00147D07" w:rsidRPr="00E004A2">
        <w:rPr>
          <w:rFonts w:ascii="Garamond" w:hAnsi="Garamond"/>
          <w:kern w:val="1"/>
          <w:sz w:val="24"/>
          <w:szCs w:val="24"/>
        </w:rPr>
        <w:t xml:space="preserve"> affected both men and women, it would often employ both masculine and feminine pronouns. </w:t>
      </w:r>
    </w:p>
    <w:p w14:paraId="50599941" w14:textId="77777777" w:rsidR="008F437E" w:rsidRPr="00E004A2" w:rsidRDefault="008F437E" w:rsidP="008F437E">
      <w:pPr>
        <w:spacing w:line="480" w:lineRule="auto"/>
        <w:rPr>
          <w:rFonts w:ascii="Garamond" w:hAnsi="Garamond"/>
          <w:kern w:val="1"/>
          <w:sz w:val="24"/>
          <w:szCs w:val="24"/>
        </w:rPr>
      </w:pPr>
    </w:p>
    <w:p w14:paraId="18592BDB" w14:textId="708A8E2E" w:rsidR="008F437E" w:rsidRPr="00F30512" w:rsidRDefault="00AB3405" w:rsidP="00AB3405">
      <w:pPr>
        <w:pStyle w:val="Heading3"/>
      </w:pPr>
      <w:r>
        <w:t>Interpretation L</w:t>
      </w:r>
      <w:r w:rsidR="008F437E" w:rsidRPr="00F30512">
        <w:t>egislation: Modernisation</w:t>
      </w:r>
      <w:r>
        <w:t xml:space="preserve"> T</w:t>
      </w:r>
      <w:r w:rsidR="003E30A0" w:rsidRPr="00F30512">
        <w:t>hrough</w:t>
      </w:r>
      <w:r w:rsidR="008F437E" w:rsidRPr="00F30512">
        <w:t xml:space="preserve"> the </w:t>
      </w:r>
      <w:r w:rsidR="000A6524" w:rsidRPr="00F30512">
        <w:t>‘</w:t>
      </w:r>
      <w:r w:rsidR="008F437E" w:rsidRPr="00F30512">
        <w:t>Masculine Rule</w:t>
      </w:r>
      <w:r w:rsidR="000A6524" w:rsidRPr="00F30512">
        <w:t>’</w:t>
      </w:r>
    </w:p>
    <w:p w14:paraId="7905BD27" w14:textId="73FD0771" w:rsidR="00D2657E" w:rsidRDefault="0007781D" w:rsidP="00D2657E">
      <w:pPr>
        <w:spacing w:line="480" w:lineRule="auto"/>
        <w:rPr>
          <w:rFonts w:ascii="Garamond" w:hAnsi="Garamond"/>
          <w:kern w:val="1"/>
          <w:sz w:val="24"/>
          <w:szCs w:val="24"/>
        </w:rPr>
      </w:pPr>
      <w:r w:rsidRPr="00E004A2">
        <w:rPr>
          <w:rFonts w:ascii="Garamond" w:hAnsi="Garamond"/>
          <w:kern w:val="1"/>
          <w:sz w:val="24"/>
          <w:szCs w:val="24"/>
        </w:rPr>
        <w:t>T</w:t>
      </w:r>
      <w:r w:rsidR="00147D07" w:rsidRPr="00E004A2">
        <w:rPr>
          <w:rFonts w:ascii="Garamond" w:hAnsi="Garamond"/>
          <w:kern w:val="1"/>
          <w:sz w:val="24"/>
          <w:szCs w:val="24"/>
        </w:rPr>
        <w:t xml:space="preserve">he system of express reference gave way to </w:t>
      </w:r>
      <w:r w:rsidR="00C07D27" w:rsidRPr="00E004A2">
        <w:rPr>
          <w:rFonts w:ascii="Garamond" w:hAnsi="Garamond"/>
          <w:kern w:val="1"/>
          <w:sz w:val="24"/>
          <w:szCs w:val="24"/>
        </w:rPr>
        <w:t>a new set of drafting norms</w:t>
      </w:r>
      <w:r w:rsidR="0072122D">
        <w:rPr>
          <w:rFonts w:ascii="Garamond" w:hAnsi="Garamond"/>
          <w:kern w:val="1"/>
          <w:sz w:val="24"/>
          <w:szCs w:val="24"/>
        </w:rPr>
        <w:t xml:space="preserve">  </w:t>
      </w:r>
      <w:r w:rsidR="0072122D" w:rsidRPr="00E004A2">
        <w:rPr>
          <w:rFonts w:ascii="Garamond" w:hAnsi="Garamond"/>
          <w:kern w:val="1"/>
          <w:sz w:val="24"/>
          <w:szCs w:val="24"/>
        </w:rPr>
        <w:t>–</w:t>
      </w:r>
      <w:r w:rsidR="0072122D">
        <w:rPr>
          <w:rFonts w:ascii="Garamond" w:hAnsi="Garamond"/>
          <w:kern w:val="1"/>
          <w:sz w:val="24"/>
          <w:szCs w:val="24"/>
        </w:rPr>
        <w:t xml:space="preserve"> </w:t>
      </w:r>
      <w:r w:rsidR="00147D07" w:rsidRPr="00E004A2">
        <w:rPr>
          <w:rFonts w:ascii="Garamond" w:hAnsi="Garamond"/>
          <w:kern w:val="1"/>
          <w:sz w:val="24"/>
          <w:szCs w:val="24"/>
        </w:rPr>
        <w:t xml:space="preserve">the </w:t>
      </w:r>
      <w:r w:rsidR="00A858CF" w:rsidRPr="00E004A2">
        <w:rPr>
          <w:rFonts w:ascii="Garamond" w:hAnsi="Garamond"/>
          <w:kern w:val="1"/>
          <w:sz w:val="24"/>
          <w:szCs w:val="24"/>
        </w:rPr>
        <w:t>‘</w:t>
      </w:r>
      <w:r w:rsidR="00147D07" w:rsidRPr="00E004A2">
        <w:rPr>
          <w:rFonts w:ascii="Garamond" w:hAnsi="Garamond"/>
          <w:kern w:val="1"/>
          <w:sz w:val="24"/>
          <w:szCs w:val="24"/>
        </w:rPr>
        <w:t>masculine rule</w:t>
      </w:r>
      <w:r w:rsidR="00A858CF" w:rsidRPr="00E004A2">
        <w:rPr>
          <w:rFonts w:ascii="Garamond" w:hAnsi="Garamond"/>
          <w:kern w:val="1"/>
          <w:sz w:val="24"/>
          <w:szCs w:val="24"/>
        </w:rPr>
        <w:t>’</w:t>
      </w:r>
      <w:r w:rsidR="0072122D">
        <w:rPr>
          <w:rFonts w:ascii="Garamond" w:hAnsi="Garamond"/>
          <w:kern w:val="1"/>
          <w:sz w:val="24"/>
          <w:szCs w:val="24"/>
        </w:rPr>
        <w:t xml:space="preserve"> </w:t>
      </w:r>
      <w:r w:rsidR="0072122D" w:rsidRPr="00E004A2">
        <w:rPr>
          <w:rFonts w:ascii="Garamond" w:hAnsi="Garamond"/>
          <w:kern w:val="1"/>
          <w:sz w:val="24"/>
          <w:szCs w:val="24"/>
        </w:rPr>
        <w:t>–</w:t>
      </w:r>
      <w:r w:rsidR="0072122D">
        <w:rPr>
          <w:rFonts w:ascii="Garamond" w:hAnsi="Garamond"/>
          <w:kern w:val="1"/>
          <w:sz w:val="24"/>
          <w:szCs w:val="24"/>
        </w:rPr>
        <w:t xml:space="preserve"> </w:t>
      </w:r>
      <w:r w:rsidR="00147D07" w:rsidRPr="00E004A2">
        <w:rPr>
          <w:rFonts w:ascii="Garamond" w:hAnsi="Garamond"/>
          <w:kern w:val="1"/>
          <w:sz w:val="24"/>
          <w:szCs w:val="24"/>
        </w:rPr>
        <w:t>through a</w:t>
      </w:r>
      <w:r w:rsidR="00583D2C" w:rsidRPr="00E004A2">
        <w:rPr>
          <w:rFonts w:ascii="Garamond" w:hAnsi="Garamond"/>
          <w:kern w:val="1"/>
          <w:sz w:val="24"/>
          <w:szCs w:val="24"/>
        </w:rPr>
        <w:t>n</w:t>
      </w:r>
      <w:r w:rsidR="00147D07" w:rsidRPr="00E004A2">
        <w:rPr>
          <w:rFonts w:ascii="Garamond" w:hAnsi="Garamond"/>
          <w:kern w:val="1"/>
          <w:sz w:val="24"/>
          <w:szCs w:val="24"/>
        </w:rPr>
        <w:t xml:space="preserve"> era of reform in the 1800s,</w:t>
      </w:r>
      <w:r w:rsidR="00FB7B5D" w:rsidRPr="00E004A2">
        <w:rPr>
          <w:rFonts w:ascii="Garamond" w:hAnsi="Garamond"/>
          <w:kern w:val="1"/>
          <w:sz w:val="24"/>
          <w:szCs w:val="24"/>
        </w:rPr>
        <w:t xml:space="preserve"> through which interpretation statutes were used to</w:t>
      </w:r>
      <w:r w:rsidR="00147D07" w:rsidRPr="00E004A2">
        <w:rPr>
          <w:rFonts w:ascii="Garamond" w:hAnsi="Garamond"/>
          <w:kern w:val="1"/>
          <w:sz w:val="24"/>
          <w:szCs w:val="24"/>
        </w:rPr>
        <w:t xml:space="preserve"> pare down the statute book, making legislation more consistent.</w:t>
      </w:r>
      <w:r w:rsidR="00146E44" w:rsidRPr="00645D9E">
        <w:rPr>
          <w:rStyle w:val="FootnoteReference"/>
        </w:rPr>
        <w:footnoteReference w:id="8"/>
      </w:r>
      <w:r w:rsidR="00147D07" w:rsidRPr="00E004A2">
        <w:rPr>
          <w:rFonts w:ascii="Garamond" w:hAnsi="Garamond"/>
          <w:kern w:val="1"/>
          <w:sz w:val="24"/>
          <w:szCs w:val="24"/>
        </w:rPr>
        <w:t xml:space="preserve"> </w:t>
      </w:r>
      <w:r w:rsidR="006E3733" w:rsidRPr="00E004A2">
        <w:rPr>
          <w:rFonts w:ascii="Garamond" w:hAnsi="Garamond"/>
          <w:kern w:val="1"/>
          <w:sz w:val="24"/>
          <w:szCs w:val="24"/>
        </w:rPr>
        <w:t xml:space="preserve">This was part of overall efforts to render the statute book more manageable through a push to standardise and universalise common legal terms and definitions. </w:t>
      </w:r>
      <w:r w:rsidR="00CE0C7B" w:rsidRPr="00E004A2">
        <w:rPr>
          <w:rFonts w:ascii="Garamond" w:hAnsi="Garamond"/>
          <w:kern w:val="1"/>
          <w:sz w:val="24"/>
          <w:szCs w:val="24"/>
        </w:rPr>
        <w:t xml:space="preserve">The </w:t>
      </w:r>
      <w:r w:rsidR="006E3733" w:rsidRPr="00E004A2">
        <w:rPr>
          <w:rFonts w:ascii="Garamond" w:hAnsi="Garamond"/>
          <w:kern w:val="1"/>
          <w:sz w:val="24"/>
          <w:szCs w:val="24"/>
        </w:rPr>
        <w:t xml:space="preserve">masculine </w:t>
      </w:r>
      <w:r w:rsidR="00CE0C7B" w:rsidRPr="00E004A2">
        <w:rPr>
          <w:rFonts w:ascii="Garamond" w:hAnsi="Garamond"/>
          <w:kern w:val="1"/>
          <w:sz w:val="24"/>
          <w:szCs w:val="24"/>
        </w:rPr>
        <w:t xml:space="preserve">rule was first introduced in the United Kingdom in 1827 and included reference to the feminine within references to the masculine. </w:t>
      </w:r>
      <w:r w:rsidR="00FB7B5D" w:rsidRPr="00E004A2">
        <w:rPr>
          <w:rFonts w:ascii="Garamond" w:hAnsi="Garamond"/>
          <w:kern w:val="1"/>
          <w:sz w:val="24"/>
          <w:szCs w:val="24"/>
        </w:rPr>
        <w:t>Interpretation statutes had previously been enacted in several British co</w:t>
      </w:r>
      <w:r w:rsidRPr="00E004A2">
        <w:rPr>
          <w:rFonts w:ascii="Garamond" w:hAnsi="Garamond"/>
          <w:kern w:val="1"/>
          <w:sz w:val="24"/>
          <w:szCs w:val="24"/>
        </w:rPr>
        <w:t xml:space="preserve">lonies </w:t>
      </w:r>
      <w:r w:rsidR="00CC74C2"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{"citationID":"0fQ2iFzl","properties":{"formattedCitation":"(Petersson, 1998, p. 103)","plainCitation":"(Petersson, 1998, p. 103)","noteIndex":0},"citationItems":[{"id":744,"uris":["http://zotero.org/users/1070015/items/AQ5XPTXK"],"uri":["http://zotero.org/users/1070015/items/AQ5XPTXK"],"itemData":{"id":744,"type":"article-journal","container-title":"Statute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Drafting","volume":"19","author":[{"family":"Petersson","given":"S."}],"issued":{"date-parts":[["1998",1,1]]}},"locator":"103","label":"page"}],"schema":"https://github.com/citation-style-language/schema/raw/master/csl-citation.json"} </w:instrText>
      </w:r>
      <w:r w:rsidR="00CC74C2" w:rsidRPr="00E004A2">
        <w:rPr>
          <w:rFonts w:ascii="Garamond" w:hAnsi="Garamond"/>
          <w:kern w:val="1"/>
          <w:sz w:val="24"/>
          <w:szCs w:val="24"/>
        </w:rPr>
        <w:fldChar w:fldCharType="separate"/>
      </w:r>
      <w:r w:rsidR="004F3785">
        <w:rPr>
          <w:rFonts w:ascii="Garamond" w:hAnsi="Garamond"/>
          <w:noProof/>
          <w:kern w:val="1"/>
          <w:sz w:val="24"/>
          <w:szCs w:val="24"/>
        </w:rPr>
        <w:t>(Petersson, 1998, p. 103)</w:t>
      </w:r>
      <w:r w:rsidR="00CC74C2" w:rsidRPr="00E004A2">
        <w:rPr>
          <w:rFonts w:ascii="Garamond" w:hAnsi="Garamond"/>
          <w:kern w:val="1"/>
          <w:sz w:val="24"/>
          <w:szCs w:val="24"/>
        </w:rPr>
        <w:fldChar w:fldCharType="end"/>
      </w:r>
      <w:r w:rsidR="00FB7B5D" w:rsidRPr="00E004A2">
        <w:rPr>
          <w:rFonts w:ascii="Garamond" w:hAnsi="Garamond"/>
          <w:kern w:val="1"/>
          <w:sz w:val="24"/>
          <w:szCs w:val="24"/>
        </w:rPr>
        <w:t>.</w:t>
      </w:r>
      <w:r w:rsidR="004D5E53" w:rsidRPr="00E004A2">
        <w:rPr>
          <w:rFonts w:ascii="Garamond" w:hAnsi="Garamond"/>
          <w:kern w:val="1"/>
          <w:sz w:val="24"/>
          <w:szCs w:val="24"/>
        </w:rPr>
        <w:t xml:space="preserve"> As Sarah Keenan has shown, this process of </w:t>
      </w:r>
      <w:r w:rsidR="00C1611C" w:rsidRPr="00E004A2">
        <w:rPr>
          <w:rFonts w:ascii="Garamond" w:hAnsi="Garamond"/>
          <w:kern w:val="1"/>
          <w:sz w:val="24"/>
          <w:szCs w:val="24"/>
        </w:rPr>
        <w:t xml:space="preserve">colonial </w:t>
      </w:r>
      <w:r w:rsidR="004D5E53" w:rsidRPr="00E004A2">
        <w:rPr>
          <w:rFonts w:ascii="Garamond" w:hAnsi="Garamond"/>
          <w:kern w:val="1"/>
          <w:sz w:val="24"/>
          <w:szCs w:val="24"/>
        </w:rPr>
        <w:t xml:space="preserve">experimentation </w:t>
      </w:r>
      <w:r w:rsidR="00C1611C" w:rsidRPr="00E004A2">
        <w:rPr>
          <w:rFonts w:ascii="Garamond" w:hAnsi="Garamond"/>
          <w:kern w:val="1"/>
          <w:sz w:val="24"/>
          <w:szCs w:val="24"/>
        </w:rPr>
        <w:t>was at</w:t>
      </w:r>
      <w:r w:rsidR="00A90070" w:rsidRPr="00E004A2">
        <w:rPr>
          <w:rFonts w:ascii="Garamond" w:hAnsi="Garamond"/>
          <w:kern w:val="1"/>
          <w:sz w:val="24"/>
          <w:szCs w:val="24"/>
        </w:rPr>
        <w:t xml:space="preserve"> the </w:t>
      </w:r>
      <w:r w:rsidR="00C1611C" w:rsidRPr="00E004A2">
        <w:rPr>
          <w:rFonts w:ascii="Garamond" w:hAnsi="Garamond"/>
          <w:kern w:val="1"/>
          <w:sz w:val="24"/>
          <w:szCs w:val="24"/>
        </w:rPr>
        <w:t xml:space="preserve">heart </w:t>
      </w:r>
      <w:r w:rsidR="004D5E53" w:rsidRPr="00E004A2">
        <w:rPr>
          <w:rFonts w:ascii="Garamond" w:hAnsi="Garamond"/>
          <w:kern w:val="1"/>
          <w:sz w:val="24"/>
          <w:szCs w:val="24"/>
        </w:rPr>
        <w:t xml:space="preserve">of </w:t>
      </w:r>
      <w:r w:rsidR="0043740F" w:rsidRPr="00E004A2">
        <w:rPr>
          <w:rFonts w:ascii="Garamond" w:hAnsi="Garamond"/>
          <w:kern w:val="1"/>
          <w:sz w:val="24"/>
          <w:szCs w:val="24"/>
        </w:rPr>
        <w:t xml:space="preserve">many </w:t>
      </w:r>
      <w:r w:rsidR="004D5E53" w:rsidRPr="00E004A2">
        <w:rPr>
          <w:rFonts w:ascii="Garamond" w:hAnsi="Garamond"/>
          <w:kern w:val="1"/>
          <w:sz w:val="24"/>
          <w:szCs w:val="24"/>
        </w:rPr>
        <w:t>modern</w:t>
      </w:r>
      <w:r w:rsidR="00665B72" w:rsidRPr="00E004A2">
        <w:rPr>
          <w:rFonts w:ascii="Garamond" w:hAnsi="Garamond"/>
          <w:kern w:val="1"/>
          <w:sz w:val="24"/>
          <w:szCs w:val="24"/>
        </w:rPr>
        <w:t xml:space="preserve"> law reform initiatives </w:t>
      </w:r>
      <w:r w:rsidR="0043740F" w:rsidRPr="00E004A2">
        <w:rPr>
          <w:rFonts w:ascii="Garamond" w:hAnsi="Garamond"/>
          <w:kern w:val="1"/>
          <w:sz w:val="24"/>
          <w:szCs w:val="24"/>
        </w:rPr>
        <w:t>– such as land title registration</w:t>
      </w:r>
      <w:r w:rsidR="00711AAA">
        <w:rPr>
          <w:rFonts w:ascii="Garamond" w:hAnsi="Garamond"/>
          <w:kern w:val="1"/>
          <w:sz w:val="24"/>
          <w:szCs w:val="24"/>
        </w:rPr>
        <w:t>,</w:t>
      </w:r>
      <w:r w:rsidR="0043740F" w:rsidRPr="00E004A2">
        <w:rPr>
          <w:rFonts w:ascii="Garamond" w:hAnsi="Garamond"/>
          <w:kern w:val="1"/>
          <w:sz w:val="24"/>
          <w:szCs w:val="24"/>
        </w:rPr>
        <w:t xml:space="preserve"> for example </w:t>
      </w:r>
      <w:r w:rsidR="008032F7">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{"citationID":"s3OtrlPi","properties":{"formattedCitation":"(Keenan, 2017)","plainCitation":"(Keenan, 2017)","noteIndex":0},"citationItems":[{"id":1085,"uris":["http://zotero.org/users/1070015/items/2HR2HKIC"],"uri":["http://zotero.org/users/1070015/items/2HR2HKIC"],"itemData":{"id":1085,"type":"article-journal","abstract":"This article analyses the temporal effects of title registration and their relationship to race. It traces the move away from the retrospection of pre-registry common law conveyancing and toward the dynamic, future-oriented Torrens title registration system. The Torrens system, developed in early colonial Australia, enabled the production of ‘clean’, fresh titles that were independent of their predecessors. Through a process praised by legal commentators for ‘curing’ titles of their pasts, this system produces indefeasible titles behind its distinctive ‘curtain’ and ‘mirror’, which function similarly to magicians’ smoke and mirrors by blocking particular realities from view. In the case of title registries, those realities are particular histories of and relationships with land, which will not be protected by property law and are thus made precarious. Building on interdisciplinary work which theorises time as a social tool, I argue that Torrens title registration produces a temporal order which enables land market coordination by rendering some relationships with land temporary and making others indefeasible. This ordering of relationships with land in turn has consequences for the human subjects who have those relationships, cutting futures short for some and guaranteeing permanence to others. Engaging with Renisa Mawani and other critical race theorists, I argue that the categories produced by Torrens title registration systems materialise as race.","container-title":"Law and Critique","DOI":"10.1007/s10978-016-9194-z","ISSN":"1572-8617","issue":"1","journalAbbreviation":"Law Critique","language":"en","page":"87-108","source":"Springer Link","title":"Smoke, Curtains and Mirrors: The Production of Race Through Time and Title Registration","title-short":"Smoke, Curtains and Mirrors","volume":"28","author":[{"family":"Keenan","given":"Sarah"}],"issued":{"date-parts":[["2017",3,1]]}}}],"schema":"https://github.com/citation-style-language/schema/raw/master/csl-citation.json"} </w:instrText>
      </w:r>
      <w:r w:rsidR="008032F7">
        <w:rPr>
          <w:rFonts w:ascii="Garamond" w:hAnsi="Garamond"/>
          <w:kern w:val="1"/>
          <w:sz w:val="24"/>
          <w:szCs w:val="24"/>
        </w:rPr>
        <w:fldChar w:fldCharType="separate"/>
      </w:r>
      <w:r w:rsidR="004F3785">
        <w:rPr>
          <w:rFonts w:ascii="Garamond" w:hAnsi="Garamond"/>
          <w:noProof/>
          <w:kern w:val="1"/>
          <w:sz w:val="24"/>
          <w:szCs w:val="24"/>
        </w:rPr>
        <w:t>(Keenan, 2017)</w:t>
      </w:r>
      <w:r w:rsidR="008032F7">
        <w:rPr>
          <w:rFonts w:ascii="Garamond" w:hAnsi="Garamond"/>
          <w:kern w:val="1"/>
          <w:sz w:val="24"/>
          <w:szCs w:val="24"/>
        </w:rPr>
        <w:fldChar w:fldCharType="end"/>
      </w:r>
      <w:r w:rsidR="00665B72" w:rsidRPr="00E004A2">
        <w:rPr>
          <w:rFonts w:ascii="Garamond" w:hAnsi="Garamond"/>
          <w:kern w:val="1"/>
          <w:sz w:val="24"/>
          <w:szCs w:val="24"/>
        </w:rPr>
        <w:t xml:space="preserve">. This </w:t>
      </w:r>
      <w:r w:rsidR="00590F81" w:rsidRPr="00E004A2">
        <w:rPr>
          <w:rFonts w:ascii="Garamond" w:hAnsi="Garamond"/>
          <w:kern w:val="1"/>
          <w:sz w:val="24"/>
          <w:szCs w:val="24"/>
        </w:rPr>
        <w:t xml:space="preserve">should make us attentive to the colonial histories and ongoing effects of large-scale </w:t>
      </w:r>
      <w:r w:rsidR="008B2A69" w:rsidRPr="00E004A2">
        <w:rPr>
          <w:rFonts w:ascii="Garamond" w:hAnsi="Garamond"/>
          <w:kern w:val="1"/>
          <w:sz w:val="24"/>
          <w:szCs w:val="24"/>
        </w:rPr>
        <w:t>law reform projects such as interpretation legislation itself</w:t>
      </w:r>
      <w:r w:rsidR="004D5E53" w:rsidRPr="00E004A2">
        <w:rPr>
          <w:rFonts w:ascii="Garamond" w:hAnsi="Garamond"/>
          <w:kern w:val="1"/>
          <w:sz w:val="24"/>
          <w:szCs w:val="24"/>
        </w:rPr>
        <w:t>.</w:t>
      </w:r>
      <w:r w:rsidR="008B2A69" w:rsidRPr="00645D9E">
        <w:rPr>
          <w:rStyle w:val="FootnoteReference"/>
        </w:rPr>
        <w:footnoteReference w:id="9"/>
      </w:r>
      <w:r w:rsidR="00D2657E">
        <w:rPr>
          <w:rFonts w:ascii="Garamond" w:hAnsi="Garamond"/>
          <w:kern w:val="1"/>
          <w:sz w:val="24"/>
          <w:szCs w:val="24"/>
        </w:rPr>
        <w:t xml:space="preserve"> </w:t>
      </w:r>
    </w:p>
    <w:p w14:paraId="2014C8A2" w14:textId="311CFBED" w:rsidR="00D2657E" w:rsidRPr="00E004A2" w:rsidRDefault="00F25E27" w:rsidP="001C3C86">
      <w:pPr>
        <w:spacing w:line="480" w:lineRule="auto"/>
        <w:ind w:firstLine="709"/>
        <w:rPr>
          <w:rFonts w:ascii="Garamond" w:hAnsi="Garamond"/>
          <w:kern w:val="1"/>
          <w:sz w:val="24"/>
          <w:szCs w:val="24"/>
        </w:rPr>
      </w:pPr>
      <w:r w:rsidRPr="00E004A2">
        <w:rPr>
          <w:rFonts w:ascii="Garamond" w:hAnsi="Garamond"/>
          <w:kern w:val="1"/>
          <w:sz w:val="24"/>
          <w:szCs w:val="24"/>
        </w:rPr>
        <w:t>T</w:t>
      </w:r>
      <w:r w:rsidR="00C278BC" w:rsidRPr="00E004A2">
        <w:rPr>
          <w:rFonts w:ascii="Garamond" w:hAnsi="Garamond"/>
          <w:kern w:val="1"/>
          <w:sz w:val="24"/>
          <w:szCs w:val="24"/>
        </w:rPr>
        <w:t>hrough</w:t>
      </w:r>
      <w:r w:rsidR="00147D07" w:rsidRPr="00E004A2">
        <w:rPr>
          <w:rFonts w:ascii="Garamond" w:hAnsi="Garamond"/>
          <w:kern w:val="1"/>
          <w:sz w:val="24"/>
          <w:szCs w:val="24"/>
        </w:rPr>
        <w:t xml:space="preserve"> a</w:t>
      </w:r>
      <w:r w:rsidR="008D1388" w:rsidRPr="00E004A2">
        <w:rPr>
          <w:rFonts w:ascii="Garamond" w:hAnsi="Garamond"/>
          <w:kern w:val="1"/>
          <w:sz w:val="24"/>
          <w:szCs w:val="24"/>
        </w:rPr>
        <w:t xml:space="preserve"> general</w:t>
      </w:r>
      <w:r w:rsidR="00147D07" w:rsidRPr="00E004A2">
        <w:rPr>
          <w:rFonts w:ascii="Garamond" w:hAnsi="Garamond"/>
          <w:kern w:val="1"/>
          <w:sz w:val="24"/>
          <w:szCs w:val="24"/>
        </w:rPr>
        <w:t xml:space="preserve"> wave of interpretation legislation</w:t>
      </w:r>
      <w:r w:rsidR="00C278BC" w:rsidRPr="00E004A2">
        <w:rPr>
          <w:rFonts w:ascii="Garamond" w:hAnsi="Garamond"/>
          <w:kern w:val="1"/>
          <w:sz w:val="24"/>
          <w:szCs w:val="24"/>
        </w:rPr>
        <w:t xml:space="preserve"> in </w:t>
      </w:r>
      <w:r w:rsidR="00501E73" w:rsidRPr="00E004A2">
        <w:rPr>
          <w:rFonts w:ascii="Garamond" w:hAnsi="Garamond"/>
          <w:kern w:val="1"/>
          <w:sz w:val="24"/>
          <w:szCs w:val="24"/>
        </w:rPr>
        <w:t>the 1850s and later</w:t>
      </w:r>
      <w:r w:rsidR="00147D07" w:rsidRPr="00E004A2">
        <w:rPr>
          <w:rFonts w:ascii="Garamond" w:hAnsi="Garamond"/>
          <w:kern w:val="1"/>
          <w:sz w:val="24"/>
          <w:szCs w:val="24"/>
        </w:rPr>
        <w:t xml:space="preserve">, common defined words that were found throughout legislation were gathered together in a separate </w:t>
      </w:r>
      <w:r w:rsidR="00147D07" w:rsidRPr="00E004A2">
        <w:rPr>
          <w:rFonts w:ascii="Garamond" w:hAnsi="Garamond"/>
          <w:kern w:val="1"/>
          <w:sz w:val="24"/>
          <w:szCs w:val="24"/>
        </w:rPr>
        <w:lastRenderedPageBreak/>
        <w:t xml:space="preserve">statute that was to apply to all others. </w:t>
      </w:r>
      <w:r w:rsidR="00234C53" w:rsidRPr="00E004A2">
        <w:rPr>
          <w:rFonts w:ascii="Garamond" w:hAnsi="Garamond"/>
          <w:kern w:val="1"/>
          <w:sz w:val="24"/>
          <w:szCs w:val="24"/>
        </w:rPr>
        <w:t>And a</w:t>
      </w:r>
      <w:r w:rsidR="008D1388" w:rsidRPr="00E004A2">
        <w:rPr>
          <w:rFonts w:ascii="Garamond" w:hAnsi="Garamond"/>
          <w:kern w:val="1"/>
          <w:sz w:val="24"/>
          <w:szCs w:val="24"/>
        </w:rPr>
        <w:t xml:space="preserve">s </w:t>
      </w:r>
      <w:proofErr w:type="spellStart"/>
      <w:r w:rsidR="008D1388" w:rsidRPr="00E004A2">
        <w:rPr>
          <w:rFonts w:ascii="Garamond" w:hAnsi="Garamond"/>
          <w:kern w:val="1"/>
          <w:sz w:val="24"/>
          <w:szCs w:val="24"/>
        </w:rPr>
        <w:t>Petersson</w:t>
      </w:r>
      <w:proofErr w:type="spellEnd"/>
      <w:r w:rsidR="008D1388" w:rsidRPr="00E004A2">
        <w:rPr>
          <w:rFonts w:ascii="Garamond" w:hAnsi="Garamond"/>
          <w:kern w:val="1"/>
          <w:sz w:val="24"/>
          <w:szCs w:val="24"/>
        </w:rPr>
        <w:t xml:space="preserve"> points out, the masculine rule was one of the earliest and most widely deployed examples of </w:t>
      </w:r>
      <w:r w:rsidR="00CE0C7B" w:rsidRPr="00E004A2">
        <w:rPr>
          <w:rFonts w:ascii="Garamond" w:hAnsi="Garamond"/>
          <w:kern w:val="1"/>
          <w:sz w:val="24"/>
          <w:szCs w:val="24"/>
        </w:rPr>
        <w:t xml:space="preserve">all the </w:t>
      </w:r>
      <w:r w:rsidR="008D1388" w:rsidRPr="00E004A2">
        <w:rPr>
          <w:rFonts w:ascii="Garamond" w:hAnsi="Garamond"/>
          <w:kern w:val="1"/>
          <w:sz w:val="24"/>
          <w:szCs w:val="24"/>
        </w:rPr>
        <w:t>efforts at universal interpretation.</w:t>
      </w:r>
      <w:r w:rsidR="0090106F" w:rsidRPr="00E004A2">
        <w:rPr>
          <w:rFonts w:ascii="Garamond" w:hAnsi="Garamond"/>
          <w:kern w:val="1"/>
          <w:sz w:val="24"/>
          <w:szCs w:val="24"/>
        </w:rPr>
        <w:t xml:space="preserve"> </w:t>
      </w:r>
      <w:r w:rsidR="00105C8D" w:rsidRPr="00E004A2">
        <w:rPr>
          <w:rFonts w:ascii="Garamond" w:hAnsi="Garamond"/>
          <w:kern w:val="1"/>
          <w:sz w:val="24"/>
          <w:szCs w:val="24"/>
        </w:rPr>
        <w:t xml:space="preserve">However, </w:t>
      </w:r>
      <w:r w:rsidR="0008018A" w:rsidRPr="00E004A2">
        <w:rPr>
          <w:rFonts w:ascii="Garamond" w:hAnsi="Garamond"/>
          <w:kern w:val="1"/>
          <w:sz w:val="24"/>
          <w:szCs w:val="24"/>
        </w:rPr>
        <w:t>legislative innovations and norms such as this were in constant tension with wider social movements</w:t>
      </w:r>
      <w:r w:rsidR="00934005" w:rsidRPr="00E004A2">
        <w:rPr>
          <w:rFonts w:ascii="Garamond" w:hAnsi="Garamond"/>
          <w:kern w:val="1"/>
          <w:sz w:val="24"/>
          <w:szCs w:val="24"/>
        </w:rPr>
        <w:t>. F</w:t>
      </w:r>
      <w:r w:rsidR="000F1891" w:rsidRPr="00E004A2">
        <w:rPr>
          <w:rFonts w:ascii="Garamond" w:hAnsi="Garamond"/>
          <w:kern w:val="1"/>
          <w:sz w:val="24"/>
          <w:szCs w:val="24"/>
        </w:rPr>
        <w:t>eminist legal activists were not dissuaded by the masculine rule</w:t>
      </w:r>
      <w:r w:rsidR="00655341" w:rsidRPr="00E004A2">
        <w:rPr>
          <w:rFonts w:ascii="Garamond" w:hAnsi="Garamond"/>
          <w:kern w:val="1"/>
          <w:sz w:val="24"/>
          <w:szCs w:val="24"/>
        </w:rPr>
        <w:t xml:space="preserve"> in their efforts to achieve the vote</w:t>
      </w:r>
      <w:r w:rsidR="000F1891" w:rsidRPr="00E004A2">
        <w:rPr>
          <w:rFonts w:ascii="Garamond" w:hAnsi="Garamond"/>
          <w:kern w:val="1"/>
          <w:sz w:val="24"/>
          <w:szCs w:val="24"/>
        </w:rPr>
        <w:t xml:space="preserve">, and indeed </w:t>
      </w:r>
      <w:r w:rsidR="00D70E92" w:rsidRPr="00E004A2">
        <w:rPr>
          <w:rFonts w:ascii="Garamond" w:hAnsi="Garamond"/>
          <w:kern w:val="1"/>
          <w:sz w:val="24"/>
          <w:szCs w:val="24"/>
        </w:rPr>
        <w:t xml:space="preserve">its inclusion </w:t>
      </w:r>
      <w:r w:rsidR="00147D07" w:rsidRPr="00E004A2">
        <w:rPr>
          <w:rFonts w:ascii="Garamond" w:hAnsi="Garamond"/>
          <w:kern w:val="1"/>
          <w:sz w:val="24"/>
          <w:szCs w:val="24"/>
        </w:rPr>
        <w:t xml:space="preserve">within the Abbreviation Act 1850 led to an anxious flurry when </w:t>
      </w:r>
      <w:r w:rsidR="0090106F" w:rsidRPr="00E004A2">
        <w:rPr>
          <w:rFonts w:ascii="Garamond" w:hAnsi="Garamond"/>
          <w:kern w:val="1"/>
          <w:sz w:val="24"/>
          <w:szCs w:val="24"/>
        </w:rPr>
        <w:t>some legislators perceived it as a threat to male-only entitlements. In a Parliamentary debate in 1851 over a proposed repeal bill</w:t>
      </w:r>
      <w:r w:rsidR="000F1891" w:rsidRPr="00E004A2">
        <w:rPr>
          <w:rFonts w:ascii="Garamond" w:hAnsi="Garamond"/>
          <w:kern w:val="1"/>
          <w:sz w:val="24"/>
          <w:szCs w:val="24"/>
        </w:rPr>
        <w:t xml:space="preserve"> on this point</w:t>
      </w:r>
      <w:r w:rsidR="0090106F" w:rsidRPr="00E004A2">
        <w:rPr>
          <w:rFonts w:ascii="Garamond" w:hAnsi="Garamond"/>
          <w:kern w:val="1"/>
          <w:sz w:val="24"/>
          <w:szCs w:val="24"/>
        </w:rPr>
        <w:t xml:space="preserve">, it was argued that one consequence of the rule would be to allow women the </w:t>
      </w:r>
      <w:r w:rsidR="0056485E" w:rsidRPr="00E004A2">
        <w:rPr>
          <w:rFonts w:ascii="Garamond" w:hAnsi="Garamond"/>
          <w:kern w:val="1"/>
          <w:sz w:val="24"/>
          <w:szCs w:val="24"/>
        </w:rPr>
        <w:t>vote</w:t>
      </w:r>
      <w:r w:rsidR="00501E73" w:rsidRPr="00E004A2">
        <w:rPr>
          <w:rFonts w:ascii="Garamond" w:hAnsi="Garamond"/>
          <w:kern w:val="1"/>
          <w:sz w:val="24"/>
          <w:szCs w:val="24"/>
        </w:rPr>
        <w:t xml:space="preserve"> through reading women into those given voting entitlement</w:t>
      </w:r>
      <w:r w:rsidR="0056485E" w:rsidRPr="00E004A2">
        <w:rPr>
          <w:rFonts w:ascii="Garamond" w:hAnsi="Garamond"/>
          <w:kern w:val="1"/>
          <w:sz w:val="24"/>
          <w:szCs w:val="24"/>
        </w:rPr>
        <w:t xml:space="preserve"> </w:t>
      </w:r>
      <w:r w:rsidR="00B45C5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{"citationID":"JDK38Cqi","properties":{"formattedCitation":"(Petersson, 1998, p. 107)","plainCitation":"(Petersson, 1998, p. 107)","noteIndex":0},"citationItems":[{"id":744,"uris":["http://zotero.org/users/1070015/items/AQ5XPTXK"],"uri":["http://zotero.org/users/1070015/items/AQ5XPTXK"],"itemData":{"id":744,"type":"article-journal","container-title":"Statute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Drafting","volume":"19","author":[{"family":"Petersson","given":"S."}],"issued":{"date-parts":[["1998",1,1]]}},"locator":"107","label":"page"}],"schema":"https://github.com/citation-style-language/schema/raw/master/csl-citation.json"} </w:instrText>
      </w:r>
      <w:r w:rsidR="00B45C5B" w:rsidRPr="00E004A2">
        <w:rPr>
          <w:rFonts w:ascii="Garamond" w:hAnsi="Garamond"/>
          <w:kern w:val="1"/>
          <w:sz w:val="24"/>
          <w:szCs w:val="24"/>
        </w:rPr>
        <w:fldChar w:fldCharType="separate"/>
      </w:r>
      <w:r w:rsidR="004F3785">
        <w:rPr>
          <w:rFonts w:ascii="Garamond" w:hAnsi="Garamond"/>
          <w:noProof/>
          <w:kern w:val="1"/>
          <w:sz w:val="24"/>
          <w:szCs w:val="24"/>
        </w:rPr>
        <w:t>(Petersson, 1998, p. 107)</w:t>
      </w:r>
      <w:r w:rsidR="00B45C5B" w:rsidRPr="00E004A2">
        <w:rPr>
          <w:rFonts w:ascii="Garamond" w:hAnsi="Garamond"/>
          <w:kern w:val="1"/>
          <w:sz w:val="24"/>
          <w:szCs w:val="24"/>
        </w:rPr>
        <w:fldChar w:fldCharType="end"/>
      </w:r>
      <w:r w:rsidR="0056485E" w:rsidRPr="00E004A2">
        <w:rPr>
          <w:rFonts w:ascii="Garamond" w:hAnsi="Garamond"/>
          <w:kern w:val="1"/>
          <w:sz w:val="24"/>
          <w:szCs w:val="24"/>
        </w:rPr>
        <w:t>. T</w:t>
      </w:r>
      <w:r w:rsidR="0090106F" w:rsidRPr="00E004A2">
        <w:rPr>
          <w:rFonts w:ascii="Garamond" w:hAnsi="Garamond"/>
          <w:kern w:val="1"/>
          <w:sz w:val="24"/>
          <w:szCs w:val="24"/>
        </w:rPr>
        <w:t xml:space="preserve">hese fears were later realised when 5,347 Manchester women claimed the right to be put on the voting list on the basis that </w:t>
      </w:r>
      <w:r w:rsidR="00171899" w:rsidRPr="00E004A2">
        <w:rPr>
          <w:rFonts w:ascii="Garamond" w:hAnsi="Garamond"/>
          <w:kern w:val="1"/>
          <w:sz w:val="24"/>
          <w:szCs w:val="24"/>
        </w:rPr>
        <w:t>the Representation of the People Act 1867 should be read in conjunction with the masculine rule in the 1850 Act so as to read women into the grant of the franchise to ‘every man’ with certain qualifications.</w:t>
      </w:r>
      <w:r w:rsidR="00171899" w:rsidRPr="00645D9E">
        <w:rPr>
          <w:rStyle w:val="FootnoteReference"/>
        </w:rPr>
        <w:footnoteReference w:id="10"/>
      </w:r>
      <w:r w:rsidR="00171899" w:rsidRPr="00E004A2">
        <w:rPr>
          <w:rFonts w:ascii="Garamond" w:hAnsi="Garamond"/>
          <w:kern w:val="1"/>
          <w:sz w:val="24"/>
          <w:szCs w:val="24"/>
        </w:rPr>
        <w:t xml:space="preserve"> </w:t>
      </w:r>
      <w:r w:rsidR="0056485E" w:rsidRPr="00E004A2">
        <w:rPr>
          <w:rFonts w:ascii="Garamond" w:hAnsi="Garamond"/>
          <w:kern w:val="1"/>
          <w:sz w:val="24"/>
          <w:szCs w:val="24"/>
        </w:rPr>
        <w:t xml:space="preserve">In this case, </w:t>
      </w:r>
      <w:r w:rsidR="0056485E" w:rsidRPr="00E004A2">
        <w:rPr>
          <w:rFonts w:ascii="Garamond" w:hAnsi="Garamond"/>
          <w:i/>
          <w:kern w:val="1"/>
          <w:sz w:val="24"/>
          <w:szCs w:val="24"/>
        </w:rPr>
        <w:t>Chorlton v Lings</w:t>
      </w:r>
      <w:r w:rsidR="0056485E" w:rsidRPr="00E004A2">
        <w:rPr>
          <w:rFonts w:ascii="Garamond" w:hAnsi="Garamond"/>
          <w:kern w:val="1"/>
          <w:sz w:val="24"/>
          <w:szCs w:val="24"/>
        </w:rPr>
        <w:t xml:space="preserve"> (1868), the court stated that the legislature would not grant the franchise to women on the basis of an interpretation act. Reading against the </w:t>
      </w:r>
      <w:r w:rsidR="00146E44" w:rsidRPr="00E004A2">
        <w:rPr>
          <w:rFonts w:ascii="Garamond" w:hAnsi="Garamond"/>
          <w:kern w:val="1"/>
          <w:sz w:val="24"/>
          <w:szCs w:val="24"/>
        </w:rPr>
        <w:t xml:space="preserve">apparent </w:t>
      </w:r>
      <w:r w:rsidR="0056485E" w:rsidRPr="00E004A2">
        <w:rPr>
          <w:rFonts w:ascii="Garamond" w:hAnsi="Garamond"/>
          <w:kern w:val="1"/>
          <w:sz w:val="24"/>
          <w:szCs w:val="24"/>
        </w:rPr>
        <w:t xml:space="preserve">meaning of the masculine rule, the judges reasserted the common law incapacities of women, including in relation to voting and public office </w:t>
      </w:r>
      <w:r w:rsidR="00B45C5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{"citationID":"HhkoMC3f","properties":{"formattedCitation":"(Ritchie, 1975, p. 694)","plainCitation":"(Ritchie, 1975, p. 694)","noteIndex":0},"citationItems":[{"id":691,"uris":["http://zotero.org/users/1070015/items/R8H5JL5U"],"uri":["http://zotero.org/users/1070015/items/R8H5JL5U"],"itemData":{"id":691,"type":"article-journal","container-title":"McGill Law Journal","page":"685-707","title":"Alice through the Statutes:","volume":"21","author":[{"family":"Ritchie","given":"Margeurite"}],"issued":{"date-parts":[["1975"]]}},"locator":"694","label":"page"}],"schema":"https://github.com/citation-style-language/schema/raw/master/csl-citation.json"} </w:instrText>
      </w:r>
      <w:r w:rsidR="00B45C5B" w:rsidRPr="00E004A2">
        <w:rPr>
          <w:rFonts w:ascii="Garamond" w:hAnsi="Garamond"/>
          <w:kern w:val="1"/>
          <w:sz w:val="24"/>
          <w:szCs w:val="24"/>
        </w:rPr>
        <w:fldChar w:fldCharType="separate"/>
      </w:r>
      <w:r w:rsidR="004F3785">
        <w:rPr>
          <w:rFonts w:ascii="Garamond" w:hAnsi="Garamond"/>
          <w:noProof/>
          <w:kern w:val="1"/>
          <w:sz w:val="24"/>
          <w:szCs w:val="24"/>
        </w:rPr>
        <w:t>(Ritchie, 1975, p. 694)</w:t>
      </w:r>
      <w:r w:rsidR="00B45C5B" w:rsidRPr="00E004A2">
        <w:rPr>
          <w:rFonts w:ascii="Garamond" w:hAnsi="Garamond"/>
          <w:kern w:val="1"/>
          <w:sz w:val="24"/>
          <w:szCs w:val="24"/>
        </w:rPr>
        <w:fldChar w:fldCharType="end"/>
      </w:r>
      <w:r w:rsidR="0056485E" w:rsidRPr="00E004A2">
        <w:rPr>
          <w:rFonts w:ascii="Garamond" w:hAnsi="Garamond"/>
          <w:kern w:val="1"/>
          <w:sz w:val="24"/>
          <w:szCs w:val="24"/>
        </w:rPr>
        <w:t>.</w:t>
      </w:r>
      <w:r w:rsidR="000F1891" w:rsidRPr="00E004A2">
        <w:rPr>
          <w:rFonts w:ascii="Garamond" w:hAnsi="Garamond"/>
          <w:kern w:val="1"/>
          <w:sz w:val="24"/>
          <w:szCs w:val="24"/>
        </w:rPr>
        <w:t xml:space="preserve"> </w:t>
      </w:r>
      <w:r w:rsidR="009334AE" w:rsidRPr="00E004A2">
        <w:rPr>
          <w:rFonts w:ascii="Garamond" w:hAnsi="Garamond"/>
          <w:kern w:val="1"/>
          <w:sz w:val="24"/>
          <w:szCs w:val="24"/>
        </w:rPr>
        <w:t>T</w:t>
      </w:r>
      <w:r w:rsidR="000F1891" w:rsidRPr="00E004A2">
        <w:rPr>
          <w:rFonts w:ascii="Garamond" w:hAnsi="Garamond"/>
          <w:kern w:val="1"/>
          <w:sz w:val="24"/>
          <w:szCs w:val="24"/>
        </w:rPr>
        <w:t>hrough</w:t>
      </w:r>
      <w:r w:rsidR="006E3733" w:rsidRPr="00E004A2">
        <w:rPr>
          <w:rFonts w:ascii="Garamond" w:hAnsi="Garamond"/>
          <w:kern w:val="1"/>
          <w:sz w:val="24"/>
          <w:szCs w:val="24"/>
        </w:rPr>
        <w:t xml:space="preserve"> important</w:t>
      </w:r>
      <w:r w:rsidR="000F1891" w:rsidRPr="00E004A2">
        <w:rPr>
          <w:rFonts w:ascii="Garamond" w:hAnsi="Garamond"/>
          <w:kern w:val="1"/>
          <w:sz w:val="24"/>
          <w:szCs w:val="24"/>
        </w:rPr>
        <w:t xml:space="preserve"> subsequent cases</w:t>
      </w:r>
      <w:r w:rsidR="006E3733" w:rsidRPr="00E004A2">
        <w:rPr>
          <w:rFonts w:ascii="Garamond" w:hAnsi="Garamond"/>
          <w:kern w:val="1"/>
          <w:sz w:val="24"/>
          <w:szCs w:val="24"/>
        </w:rPr>
        <w:t xml:space="preserve"> dealing with women’s inclusion within </w:t>
      </w:r>
      <w:r w:rsidR="009334AE" w:rsidRPr="00E004A2">
        <w:rPr>
          <w:rFonts w:ascii="Garamond" w:hAnsi="Garamond"/>
          <w:kern w:val="1"/>
          <w:sz w:val="24"/>
          <w:szCs w:val="24"/>
        </w:rPr>
        <w:t>political and professional real</w:t>
      </w:r>
      <w:r w:rsidR="006E3733" w:rsidRPr="00E004A2">
        <w:rPr>
          <w:rFonts w:ascii="Garamond" w:hAnsi="Garamond"/>
          <w:kern w:val="1"/>
          <w:sz w:val="24"/>
          <w:szCs w:val="24"/>
        </w:rPr>
        <w:t>m</w:t>
      </w:r>
      <w:r w:rsidR="00DC3026">
        <w:rPr>
          <w:rFonts w:ascii="Garamond" w:hAnsi="Garamond"/>
          <w:kern w:val="1"/>
          <w:sz w:val="24"/>
          <w:szCs w:val="24"/>
        </w:rPr>
        <w:t>s</w:t>
      </w:r>
      <w:r w:rsidR="000F1891" w:rsidRPr="00E004A2">
        <w:rPr>
          <w:rFonts w:ascii="Garamond" w:hAnsi="Garamond"/>
          <w:kern w:val="1"/>
          <w:sz w:val="24"/>
          <w:szCs w:val="24"/>
        </w:rPr>
        <w:t>, the potentially radical effects of the masculine rule were asserted by feminists</w:t>
      </w:r>
      <w:r w:rsidR="00501E73" w:rsidRPr="00E004A2">
        <w:rPr>
          <w:rFonts w:ascii="Garamond" w:hAnsi="Garamond"/>
          <w:kern w:val="1"/>
          <w:sz w:val="24"/>
          <w:szCs w:val="24"/>
        </w:rPr>
        <w:t>,</w:t>
      </w:r>
      <w:r w:rsidR="000F1891" w:rsidRPr="00E004A2">
        <w:rPr>
          <w:rFonts w:ascii="Garamond" w:hAnsi="Garamond"/>
          <w:kern w:val="1"/>
          <w:sz w:val="24"/>
          <w:szCs w:val="24"/>
        </w:rPr>
        <w:t xml:space="preserve"> only to be limited by judges’ use of context-related arguments</w:t>
      </w:r>
      <w:r w:rsidR="00501E73" w:rsidRPr="00E004A2">
        <w:rPr>
          <w:rFonts w:ascii="Garamond" w:hAnsi="Garamond"/>
          <w:kern w:val="1"/>
          <w:sz w:val="24"/>
          <w:szCs w:val="24"/>
        </w:rPr>
        <w:t xml:space="preserve"> </w:t>
      </w:r>
      <w:r w:rsidR="00B45C5B"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{"citationID":"Ds48JBiJ","properties":{"formattedCitation":"(Ritchie, 1975)","plainCitation":"(Ritchie, 1975)","noteIndex":0},"citationItems":[{"id":691,"uris":["http://zotero.org/users/1070015/items/R8H5JL5U"],"uri":["http://zotero.org/users/1070015/items/R8H5JL5U"],"itemData":{"id":691,"type":"article-journal","container-title":"McGill Law Journal","page":"685-707","title":"Alice through the Statutes:","volume":"21","author":[{"family":"Ritchie","given":"Margeurite"}],"issued":{"date-parts":[["1975"]]}}}],"schema":"https://github.com/citation-style-language/schema/raw/master/csl-citation.json"} </w:instrText>
      </w:r>
      <w:r w:rsidR="00B45C5B" w:rsidRPr="00E004A2">
        <w:rPr>
          <w:rFonts w:ascii="Garamond" w:hAnsi="Garamond"/>
          <w:kern w:val="1"/>
          <w:sz w:val="24"/>
          <w:szCs w:val="24"/>
        </w:rPr>
        <w:fldChar w:fldCharType="separate"/>
      </w:r>
      <w:r w:rsidR="004F3785">
        <w:rPr>
          <w:rFonts w:ascii="Garamond" w:hAnsi="Garamond"/>
          <w:noProof/>
          <w:kern w:val="1"/>
          <w:sz w:val="24"/>
          <w:szCs w:val="24"/>
        </w:rPr>
        <w:t>(Ritchie, 1975)</w:t>
      </w:r>
      <w:r w:rsidR="00B45C5B" w:rsidRPr="00E004A2">
        <w:rPr>
          <w:rFonts w:ascii="Garamond" w:hAnsi="Garamond"/>
          <w:kern w:val="1"/>
          <w:sz w:val="24"/>
          <w:szCs w:val="24"/>
        </w:rPr>
        <w:fldChar w:fldCharType="end"/>
      </w:r>
      <w:r w:rsidR="000F1891" w:rsidRPr="00E004A2">
        <w:rPr>
          <w:rFonts w:ascii="Garamond" w:hAnsi="Garamond"/>
          <w:kern w:val="1"/>
          <w:sz w:val="24"/>
          <w:szCs w:val="24"/>
        </w:rPr>
        <w:t>. This was in part due to the</w:t>
      </w:r>
      <w:r w:rsidR="00146E44" w:rsidRPr="00E004A2">
        <w:rPr>
          <w:rFonts w:ascii="Garamond" w:hAnsi="Garamond"/>
          <w:kern w:val="1"/>
          <w:sz w:val="24"/>
          <w:szCs w:val="24"/>
        </w:rPr>
        <w:t xml:space="preserve"> rule’s</w:t>
      </w:r>
      <w:r w:rsidR="000F1891" w:rsidRPr="00E004A2">
        <w:rPr>
          <w:rFonts w:ascii="Garamond" w:hAnsi="Garamond"/>
          <w:kern w:val="1"/>
          <w:sz w:val="24"/>
          <w:szCs w:val="24"/>
        </w:rPr>
        <w:t xml:space="preserve"> clarity, inclusivity </w:t>
      </w:r>
      <w:r w:rsidR="00146E44" w:rsidRPr="00E004A2">
        <w:rPr>
          <w:rFonts w:ascii="Garamond" w:hAnsi="Garamond"/>
          <w:kern w:val="1"/>
          <w:sz w:val="24"/>
          <w:szCs w:val="24"/>
        </w:rPr>
        <w:t xml:space="preserve">and universal nature, which leant it </w:t>
      </w:r>
      <w:r w:rsidR="000F1891" w:rsidRPr="00E004A2">
        <w:rPr>
          <w:rFonts w:ascii="Garamond" w:hAnsi="Garamond"/>
          <w:kern w:val="1"/>
          <w:sz w:val="24"/>
          <w:szCs w:val="24"/>
        </w:rPr>
        <w:t>to arguments that if all legal subjects were male, then all legal subjects should benefit from male entitlements</w:t>
      </w:r>
      <w:r w:rsidR="00D2657E">
        <w:rPr>
          <w:rFonts w:ascii="Garamond" w:hAnsi="Garamond"/>
          <w:kern w:val="1"/>
          <w:sz w:val="24"/>
          <w:szCs w:val="24"/>
        </w:rPr>
        <w:t>.</w:t>
      </w:r>
    </w:p>
    <w:p w14:paraId="73DF383E" w14:textId="2267529E" w:rsidR="00956FFE" w:rsidRPr="00E004A2" w:rsidRDefault="009334AE" w:rsidP="001C3C86">
      <w:pPr>
        <w:spacing w:line="480" w:lineRule="auto"/>
        <w:ind w:firstLine="709"/>
        <w:rPr>
          <w:rFonts w:ascii="Garamond" w:hAnsi="Garamond"/>
          <w:kern w:val="1"/>
          <w:sz w:val="24"/>
          <w:szCs w:val="24"/>
          <w:highlight w:val="white"/>
        </w:rPr>
      </w:pPr>
      <w:r w:rsidRPr="00E004A2">
        <w:rPr>
          <w:rFonts w:ascii="Garamond" w:hAnsi="Garamond"/>
          <w:kern w:val="1"/>
          <w:sz w:val="24"/>
          <w:szCs w:val="24"/>
          <w:highlight w:val="white"/>
        </w:rPr>
        <w:t>T</w:t>
      </w:r>
      <w:r w:rsidR="00D70E92" w:rsidRPr="00E004A2">
        <w:rPr>
          <w:rFonts w:ascii="Garamond" w:hAnsi="Garamond"/>
          <w:kern w:val="1"/>
          <w:sz w:val="24"/>
          <w:szCs w:val="24"/>
          <w:highlight w:val="white"/>
        </w:rPr>
        <w:t>he argument here is that the</w:t>
      </w:r>
      <w:r w:rsidR="00147D07" w:rsidRPr="00E004A2">
        <w:rPr>
          <w:rFonts w:ascii="Garamond" w:hAnsi="Garamond"/>
          <w:kern w:val="1"/>
          <w:sz w:val="24"/>
          <w:szCs w:val="24"/>
          <w:highlight w:val="white"/>
        </w:rPr>
        <w:t xml:space="preserve"> </w:t>
      </w:r>
      <w:r w:rsidR="00D70E92" w:rsidRPr="00E004A2">
        <w:rPr>
          <w:rFonts w:ascii="Garamond" w:hAnsi="Garamond"/>
          <w:kern w:val="1"/>
          <w:sz w:val="24"/>
          <w:szCs w:val="24"/>
          <w:highlight w:val="white"/>
        </w:rPr>
        <w:t xml:space="preserve">apparently naturalistic and ubiquitous </w:t>
      </w:r>
      <w:r w:rsidR="000E1AFC">
        <w:rPr>
          <w:rFonts w:ascii="Garamond" w:hAnsi="Garamond"/>
          <w:kern w:val="1"/>
          <w:sz w:val="24"/>
          <w:szCs w:val="24"/>
          <w:highlight w:val="white"/>
        </w:rPr>
        <w:t>“</w:t>
      </w:r>
      <w:r w:rsidR="00D70E92" w:rsidRPr="00E004A2">
        <w:rPr>
          <w:rFonts w:ascii="Garamond" w:hAnsi="Garamond"/>
          <w:kern w:val="1"/>
          <w:sz w:val="24"/>
          <w:szCs w:val="24"/>
          <w:highlight w:val="white"/>
        </w:rPr>
        <w:t>he or she</w:t>
      </w:r>
      <w:r w:rsidR="000E1AFC">
        <w:rPr>
          <w:rFonts w:ascii="Garamond" w:hAnsi="Garamond"/>
          <w:kern w:val="1"/>
          <w:sz w:val="24"/>
          <w:szCs w:val="24"/>
          <w:highlight w:val="white"/>
        </w:rPr>
        <w:t>”</w:t>
      </w:r>
      <w:r w:rsidR="00D70E92" w:rsidRPr="00E004A2">
        <w:rPr>
          <w:rFonts w:ascii="Garamond" w:hAnsi="Garamond"/>
          <w:kern w:val="1"/>
          <w:sz w:val="24"/>
          <w:szCs w:val="24"/>
          <w:highlight w:val="white"/>
        </w:rPr>
        <w:t xml:space="preserve"> </w:t>
      </w:r>
      <w:r w:rsidR="00147D07" w:rsidRPr="00E004A2">
        <w:rPr>
          <w:rFonts w:ascii="Garamond" w:hAnsi="Garamond"/>
          <w:kern w:val="1"/>
          <w:sz w:val="24"/>
          <w:szCs w:val="24"/>
          <w:highlight w:val="white"/>
        </w:rPr>
        <w:t xml:space="preserve">binary </w:t>
      </w:r>
      <w:r w:rsidR="00D70E92" w:rsidRPr="00E004A2">
        <w:rPr>
          <w:rFonts w:ascii="Garamond" w:hAnsi="Garamond"/>
          <w:kern w:val="1"/>
          <w:sz w:val="24"/>
          <w:szCs w:val="24"/>
          <w:highlight w:val="white"/>
        </w:rPr>
        <w:t>found</w:t>
      </w:r>
      <w:r w:rsidR="00147D07" w:rsidRPr="00E004A2">
        <w:rPr>
          <w:rFonts w:ascii="Garamond" w:hAnsi="Garamond"/>
          <w:kern w:val="1"/>
          <w:sz w:val="24"/>
          <w:szCs w:val="24"/>
          <w:highlight w:val="white"/>
        </w:rPr>
        <w:t xml:space="preserve"> in</w:t>
      </w:r>
      <w:r w:rsidR="00D70E92" w:rsidRPr="00E004A2">
        <w:rPr>
          <w:rFonts w:ascii="Garamond" w:hAnsi="Garamond"/>
          <w:kern w:val="1"/>
          <w:sz w:val="24"/>
          <w:szCs w:val="24"/>
          <w:highlight w:val="white"/>
        </w:rPr>
        <w:t xml:space="preserve"> much contemporary</w:t>
      </w:r>
      <w:r w:rsidR="00147D07" w:rsidRPr="00E004A2">
        <w:rPr>
          <w:rFonts w:ascii="Garamond" w:hAnsi="Garamond"/>
          <w:kern w:val="1"/>
          <w:sz w:val="24"/>
          <w:szCs w:val="24"/>
          <w:highlight w:val="white"/>
        </w:rPr>
        <w:t xml:space="preserve"> </w:t>
      </w:r>
      <w:r w:rsidR="00D70E92" w:rsidRPr="00E004A2">
        <w:rPr>
          <w:rFonts w:ascii="Garamond" w:hAnsi="Garamond"/>
          <w:kern w:val="1"/>
          <w:sz w:val="24"/>
          <w:szCs w:val="24"/>
          <w:highlight w:val="white"/>
        </w:rPr>
        <w:t xml:space="preserve">legislation and bureaucratic writing </w:t>
      </w:r>
      <w:r w:rsidR="00147D07" w:rsidRPr="00E004A2">
        <w:rPr>
          <w:rFonts w:ascii="Garamond" w:hAnsi="Garamond"/>
          <w:kern w:val="1"/>
          <w:sz w:val="24"/>
          <w:szCs w:val="24"/>
          <w:highlight w:val="white"/>
        </w:rPr>
        <w:t xml:space="preserve">has </w:t>
      </w:r>
      <w:r w:rsidR="00D70E92" w:rsidRPr="00E004A2">
        <w:rPr>
          <w:rFonts w:ascii="Garamond" w:hAnsi="Garamond"/>
          <w:kern w:val="1"/>
          <w:sz w:val="24"/>
          <w:szCs w:val="24"/>
          <w:highlight w:val="white"/>
        </w:rPr>
        <w:t>a long</w:t>
      </w:r>
      <w:r w:rsidR="001C38E8" w:rsidRPr="00E004A2">
        <w:rPr>
          <w:rFonts w:ascii="Garamond" w:hAnsi="Garamond"/>
          <w:kern w:val="1"/>
          <w:sz w:val="24"/>
          <w:szCs w:val="24"/>
          <w:highlight w:val="white"/>
        </w:rPr>
        <w:t xml:space="preserve"> and </w:t>
      </w:r>
      <w:r w:rsidR="00320C10" w:rsidRPr="00E004A2">
        <w:rPr>
          <w:rFonts w:ascii="Garamond" w:hAnsi="Garamond"/>
          <w:kern w:val="1"/>
          <w:sz w:val="24"/>
          <w:szCs w:val="24"/>
          <w:highlight w:val="white"/>
        </w:rPr>
        <w:t>complex</w:t>
      </w:r>
      <w:r w:rsidR="00D70E92" w:rsidRPr="00E004A2">
        <w:rPr>
          <w:rFonts w:ascii="Garamond" w:hAnsi="Garamond"/>
          <w:kern w:val="1"/>
          <w:sz w:val="24"/>
          <w:szCs w:val="24"/>
          <w:highlight w:val="white"/>
        </w:rPr>
        <w:t xml:space="preserve"> history</w:t>
      </w:r>
      <w:r w:rsidR="00501E73" w:rsidRPr="00E004A2">
        <w:rPr>
          <w:rFonts w:ascii="Garamond" w:hAnsi="Garamond"/>
          <w:kern w:val="1"/>
          <w:sz w:val="24"/>
          <w:szCs w:val="24"/>
          <w:highlight w:val="white"/>
        </w:rPr>
        <w:t xml:space="preserve">, referencing </w:t>
      </w:r>
      <w:r w:rsidR="00320C10" w:rsidRPr="00E004A2">
        <w:rPr>
          <w:rFonts w:ascii="Garamond" w:hAnsi="Garamond"/>
          <w:kern w:val="1"/>
          <w:sz w:val="24"/>
          <w:szCs w:val="24"/>
          <w:highlight w:val="white"/>
        </w:rPr>
        <w:t xml:space="preserve">fractious </w:t>
      </w:r>
      <w:r w:rsidR="00501E73" w:rsidRPr="00E004A2">
        <w:rPr>
          <w:rFonts w:ascii="Garamond" w:hAnsi="Garamond"/>
          <w:kern w:val="1"/>
          <w:sz w:val="24"/>
          <w:szCs w:val="24"/>
          <w:highlight w:val="white"/>
        </w:rPr>
        <w:t xml:space="preserve">relationships between women’s distinct and subordinate status in law, </w:t>
      </w:r>
      <w:r w:rsidR="00D70E92" w:rsidRPr="00E004A2">
        <w:rPr>
          <w:rFonts w:ascii="Garamond" w:hAnsi="Garamond"/>
          <w:kern w:val="1"/>
          <w:sz w:val="24"/>
          <w:szCs w:val="24"/>
          <w:highlight w:val="white"/>
        </w:rPr>
        <w:lastRenderedPageBreak/>
        <w:t>gendered language</w:t>
      </w:r>
      <w:r w:rsidR="00956FFE" w:rsidRPr="00E004A2">
        <w:rPr>
          <w:rFonts w:ascii="Garamond" w:hAnsi="Garamond"/>
          <w:kern w:val="1"/>
          <w:sz w:val="24"/>
          <w:szCs w:val="24"/>
          <w:highlight w:val="white"/>
        </w:rPr>
        <w:t xml:space="preserve"> </w:t>
      </w:r>
      <w:r w:rsidR="006E3733" w:rsidRPr="00E004A2">
        <w:rPr>
          <w:rFonts w:ascii="Garamond" w:hAnsi="Garamond"/>
          <w:kern w:val="1"/>
          <w:sz w:val="24"/>
          <w:szCs w:val="24"/>
          <w:highlight w:val="white"/>
        </w:rPr>
        <w:t>(</w:t>
      </w:r>
      <w:r w:rsidR="00956FFE" w:rsidRPr="00E004A2">
        <w:rPr>
          <w:rFonts w:ascii="Garamond" w:hAnsi="Garamond"/>
          <w:kern w:val="1"/>
          <w:sz w:val="24"/>
          <w:szCs w:val="24"/>
          <w:highlight w:val="white"/>
        </w:rPr>
        <w:t>the very constr</w:t>
      </w:r>
      <w:r w:rsidR="00501E73" w:rsidRPr="00E004A2">
        <w:rPr>
          <w:rFonts w:ascii="Garamond" w:hAnsi="Garamond"/>
          <w:kern w:val="1"/>
          <w:sz w:val="24"/>
          <w:szCs w:val="24"/>
          <w:highlight w:val="white"/>
        </w:rPr>
        <w:t>uction of nominative pronouns</w:t>
      </w:r>
      <w:r w:rsidR="006E3733" w:rsidRPr="00E004A2">
        <w:rPr>
          <w:rFonts w:ascii="Garamond" w:hAnsi="Garamond"/>
          <w:kern w:val="1"/>
          <w:sz w:val="24"/>
          <w:szCs w:val="24"/>
          <w:highlight w:val="white"/>
        </w:rPr>
        <w:t>)</w:t>
      </w:r>
      <w:r w:rsidR="00501E73" w:rsidRPr="00E004A2">
        <w:rPr>
          <w:rFonts w:ascii="Garamond" w:hAnsi="Garamond"/>
          <w:kern w:val="1"/>
          <w:sz w:val="24"/>
          <w:szCs w:val="24"/>
          <w:highlight w:val="white"/>
        </w:rPr>
        <w:t xml:space="preserve">, and </w:t>
      </w:r>
      <w:r w:rsidR="00D70E92" w:rsidRPr="00E004A2">
        <w:rPr>
          <w:rFonts w:ascii="Garamond" w:hAnsi="Garamond"/>
          <w:kern w:val="1"/>
          <w:sz w:val="24"/>
          <w:szCs w:val="24"/>
          <w:highlight w:val="white"/>
        </w:rPr>
        <w:t xml:space="preserve">techniques for expressing sex and gender within </w:t>
      </w:r>
      <w:r w:rsidR="00566183" w:rsidRPr="00E004A2">
        <w:rPr>
          <w:rFonts w:ascii="Garamond" w:hAnsi="Garamond"/>
          <w:kern w:val="1"/>
          <w:sz w:val="24"/>
          <w:szCs w:val="24"/>
          <w:highlight w:val="white"/>
        </w:rPr>
        <w:t>statutes</w:t>
      </w:r>
      <w:r w:rsidR="00D70E92" w:rsidRPr="00E004A2">
        <w:rPr>
          <w:rFonts w:ascii="Garamond" w:hAnsi="Garamond"/>
          <w:kern w:val="1"/>
          <w:sz w:val="24"/>
          <w:szCs w:val="24"/>
          <w:highlight w:val="white"/>
        </w:rPr>
        <w:t xml:space="preserve">. The advent of interpretation acts forced the issue, occluding specific reference to genders based on distinct perceived social status or responsibilities </w:t>
      </w:r>
      <w:r w:rsidR="006E3733" w:rsidRPr="00E004A2">
        <w:rPr>
          <w:rFonts w:ascii="Garamond" w:hAnsi="Garamond"/>
          <w:kern w:val="1"/>
          <w:sz w:val="24"/>
          <w:szCs w:val="24"/>
          <w:highlight w:val="white"/>
        </w:rPr>
        <w:t>with the ‘masculine rule.’ And the rule itself</w:t>
      </w:r>
      <w:r w:rsidR="00D70E92" w:rsidRPr="00E004A2">
        <w:rPr>
          <w:rFonts w:ascii="Garamond" w:hAnsi="Garamond"/>
          <w:kern w:val="1"/>
          <w:sz w:val="24"/>
          <w:szCs w:val="24"/>
          <w:highlight w:val="white"/>
        </w:rPr>
        <w:t xml:space="preserve"> quickly became vulnerable to feminist legal attempts to re-seize the universal in pursuit of the franchise and other elements of civic status.</w:t>
      </w:r>
      <w:r w:rsidR="006B112A" w:rsidRPr="00E004A2">
        <w:rPr>
          <w:rFonts w:ascii="Garamond" w:hAnsi="Garamond"/>
          <w:kern w:val="1"/>
          <w:sz w:val="24"/>
          <w:szCs w:val="24"/>
          <w:highlight w:val="white"/>
        </w:rPr>
        <w:t xml:space="preserve"> </w:t>
      </w:r>
      <w:r w:rsidR="00956FFE" w:rsidRPr="00E004A2">
        <w:rPr>
          <w:rFonts w:ascii="Garamond" w:hAnsi="Garamond"/>
          <w:kern w:val="1"/>
          <w:sz w:val="24"/>
          <w:szCs w:val="24"/>
          <w:highlight w:val="white"/>
        </w:rPr>
        <w:t xml:space="preserve">Yet </w:t>
      </w:r>
      <w:r w:rsidR="00501E73" w:rsidRPr="00E004A2">
        <w:rPr>
          <w:rFonts w:ascii="Garamond" w:hAnsi="Garamond"/>
          <w:kern w:val="1"/>
          <w:sz w:val="24"/>
          <w:szCs w:val="24"/>
          <w:highlight w:val="white"/>
        </w:rPr>
        <w:t xml:space="preserve">despite these flurries of contestation, the </w:t>
      </w:r>
      <w:r w:rsidR="00956FFE" w:rsidRPr="00E004A2">
        <w:rPr>
          <w:rFonts w:ascii="Garamond" w:hAnsi="Garamond"/>
          <w:kern w:val="1"/>
          <w:sz w:val="24"/>
          <w:szCs w:val="24"/>
          <w:highlight w:val="white"/>
        </w:rPr>
        <w:t>masculine rule</w:t>
      </w:r>
      <w:r w:rsidR="00A03A05" w:rsidRPr="00E004A2">
        <w:rPr>
          <w:rFonts w:ascii="Garamond" w:hAnsi="Garamond"/>
          <w:kern w:val="1"/>
          <w:sz w:val="24"/>
          <w:szCs w:val="24"/>
          <w:highlight w:val="white"/>
        </w:rPr>
        <w:t xml:space="preserve"> continued </w:t>
      </w:r>
      <w:r w:rsidR="00CE0C7B" w:rsidRPr="00E004A2">
        <w:rPr>
          <w:rFonts w:ascii="Garamond" w:hAnsi="Garamond"/>
          <w:kern w:val="1"/>
          <w:sz w:val="24"/>
          <w:szCs w:val="24"/>
          <w:highlight w:val="white"/>
        </w:rPr>
        <w:t xml:space="preserve">in the background </w:t>
      </w:r>
      <w:r w:rsidR="003E30A0" w:rsidRPr="00E004A2">
        <w:rPr>
          <w:rFonts w:ascii="Garamond" w:hAnsi="Garamond"/>
          <w:kern w:val="1"/>
          <w:sz w:val="24"/>
          <w:szCs w:val="24"/>
          <w:highlight w:val="white"/>
        </w:rPr>
        <w:t xml:space="preserve">over subsequent decades, </w:t>
      </w:r>
      <w:r w:rsidR="00CE0C7B" w:rsidRPr="00E004A2">
        <w:rPr>
          <w:rFonts w:ascii="Garamond" w:hAnsi="Garamond"/>
          <w:kern w:val="1"/>
          <w:sz w:val="24"/>
          <w:szCs w:val="24"/>
          <w:highlight w:val="white"/>
        </w:rPr>
        <w:t xml:space="preserve">driving </w:t>
      </w:r>
      <w:r w:rsidR="00956FFE" w:rsidRPr="00E004A2">
        <w:rPr>
          <w:rFonts w:ascii="Garamond" w:hAnsi="Garamond"/>
          <w:kern w:val="1"/>
          <w:sz w:val="24"/>
          <w:szCs w:val="24"/>
          <w:highlight w:val="white"/>
        </w:rPr>
        <w:t xml:space="preserve">drafting in such a way as to </w:t>
      </w:r>
      <w:r w:rsidR="00DE1C92" w:rsidRPr="00E004A2">
        <w:rPr>
          <w:rFonts w:ascii="Garamond" w:hAnsi="Garamond"/>
          <w:kern w:val="1"/>
          <w:sz w:val="24"/>
          <w:szCs w:val="24"/>
          <w:highlight w:val="white"/>
        </w:rPr>
        <w:t xml:space="preserve">‘promote uniformity’, </w:t>
      </w:r>
      <w:r w:rsidR="00956FFE" w:rsidRPr="00E004A2">
        <w:rPr>
          <w:rFonts w:ascii="Garamond" w:hAnsi="Garamond"/>
          <w:kern w:val="1"/>
          <w:sz w:val="24"/>
          <w:szCs w:val="24"/>
          <w:highlight w:val="white"/>
        </w:rPr>
        <w:t>construct</w:t>
      </w:r>
      <w:r w:rsidR="00DE1C92" w:rsidRPr="00E004A2">
        <w:rPr>
          <w:rFonts w:ascii="Garamond" w:hAnsi="Garamond"/>
          <w:kern w:val="1"/>
          <w:sz w:val="24"/>
          <w:szCs w:val="24"/>
          <w:highlight w:val="white"/>
        </w:rPr>
        <w:t>ing</w:t>
      </w:r>
      <w:r w:rsidR="00956FFE" w:rsidRPr="00E004A2">
        <w:rPr>
          <w:rFonts w:ascii="Garamond" w:hAnsi="Garamond"/>
          <w:kern w:val="1"/>
          <w:sz w:val="24"/>
          <w:szCs w:val="24"/>
          <w:highlight w:val="white"/>
        </w:rPr>
        <w:t xml:space="preserve"> the legal sp</w:t>
      </w:r>
      <w:r w:rsidR="00501E73" w:rsidRPr="00E004A2">
        <w:rPr>
          <w:rFonts w:ascii="Garamond" w:hAnsi="Garamond"/>
          <w:kern w:val="1"/>
          <w:sz w:val="24"/>
          <w:szCs w:val="24"/>
          <w:highlight w:val="white"/>
        </w:rPr>
        <w:t xml:space="preserve">here as </w:t>
      </w:r>
      <w:r w:rsidR="003E30A0" w:rsidRPr="00E004A2">
        <w:rPr>
          <w:rFonts w:ascii="Garamond" w:hAnsi="Garamond"/>
          <w:kern w:val="1"/>
          <w:sz w:val="24"/>
          <w:szCs w:val="24"/>
          <w:highlight w:val="white"/>
        </w:rPr>
        <w:t xml:space="preserve">apparently </w:t>
      </w:r>
      <w:r w:rsidR="00501E73" w:rsidRPr="00E004A2">
        <w:rPr>
          <w:rFonts w:ascii="Garamond" w:hAnsi="Garamond"/>
          <w:kern w:val="1"/>
          <w:sz w:val="24"/>
          <w:szCs w:val="24"/>
          <w:highlight w:val="white"/>
        </w:rPr>
        <w:t xml:space="preserve">androcentric. </w:t>
      </w:r>
      <w:r w:rsidR="00956FFE" w:rsidRPr="00E004A2">
        <w:rPr>
          <w:rFonts w:ascii="Garamond" w:hAnsi="Garamond"/>
          <w:kern w:val="1"/>
          <w:sz w:val="24"/>
          <w:szCs w:val="24"/>
          <w:highlight w:val="white"/>
        </w:rPr>
        <w:t>As this drafter put it:</w:t>
      </w:r>
    </w:p>
    <w:p w14:paraId="557D8A73" w14:textId="1278E98E" w:rsidR="00956FFE" w:rsidRPr="00E004A2" w:rsidRDefault="00956FFE" w:rsidP="001C3C86">
      <w:pPr>
        <w:autoSpaceDE/>
        <w:autoSpaceDN/>
        <w:adjustRightInd/>
        <w:spacing w:line="480" w:lineRule="auto"/>
        <w:ind w:left="360"/>
        <w:rPr>
          <w:rFonts w:ascii="Garamond" w:eastAsia="Times New Roman" w:hAnsi="Garamond" w:cs="Times New Roman"/>
          <w:color w:val="000000"/>
          <w:sz w:val="24"/>
          <w:szCs w:val="24"/>
        </w:rPr>
      </w:pPr>
      <w:r w:rsidRPr="00E004A2">
        <w:rPr>
          <w:rFonts w:ascii="Garamond" w:eastAsia="Times New Roman" w:hAnsi="Garamond" w:cs="Times New Roman"/>
          <w:color w:val="000000"/>
          <w:sz w:val="24"/>
          <w:szCs w:val="24"/>
        </w:rPr>
        <w:t>The first Interpretation Act was 1850 … (t)he aim of the first act and subsequent ones is to</w:t>
      </w:r>
      <w:r w:rsidRPr="00E004A2">
        <w:rPr>
          <w:rFonts w:ascii="Garamond" w:eastAsia="Times New Roman" w:hAnsi="Garamond" w:cs="Times New Roman"/>
          <w:b/>
          <w:bCs/>
          <w:color w:val="000000"/>
          <w:sz w:val="24"/>
          <w:szCs w:val="24"/>
        </w:rPr>
        <w:t xml:space="preserve"> </w:t>
      </w:r>
      <w:r w:rsidRPr="00E004A2">
        <w:rPr>
          <w:rFonts w:ascii="Garamond" w:eastAsia="Times New Roman" w:hAnsi="Garamond" w:cs="Times New Roman"/>
          <w:bCs/>
          <w:color w:val="000000"/>
          <w:sz w:val="24"/>
          <w:szCs w:val="24"/>
        </w:rPr>
        <w:t>promote uniformity</w:t>
      </w:r>
      <w:r w:rsidRPr="00E004A2">
        <w:rPr>
          <w:rFonts w:ascii="Garamond" w:eastAsia="Times New Roman" w:hAnsi="Garamond" w:cs="Times New Roman"/>
          <w:color w:val="000000"/>
          <w:sz w:val="24"/>
          <w:szCs w:val="24"/>
        </w:rPr>
        <w:t xml:space="preserve">. If you had within the Interpretation Act “he includes she”, that would obviously </w:t>
      </w:r>
      <w:r w:rsidRPr="00E004A2">
        <w:rPr>
          <w:rFonts w:ascii="Garamond" w:eastAsia="Times New Roman" w:hAnsi="Garamond" w:cs="Times New Roman"/>
          <w:bCs/>
          <w:color w:val="000000"/>
          <w:sz w:val="24"/>
          <w:szCs w:val="24"/>
        </w:rPr>
        <w:t>drive the drafting</w:t>
      </w:r>
      <w:r w:rsidRPr="00E004A2">
        <w:rPr>
          <w:rFonts w:ascii="Garamond" w:eastAsia="Times New Roman" w:hAnsi="Garamond" w:cs="Times New Roman"/>
          <w:color w:val="000000"/>
          <w:sz w:val="24"/>
          <w:szCs w:val="24"/>
        </w:rPr>
        <w:t xml:space="preserve"> in a certain way. The people who hitherto said “he or she” </w:t>
      </w:r>
      <w:r w:rsidR="006B112A" w:rsidRPr="00E004A2">
        <w:rPr>
          <w:rFonts w:ascii="Garamond" w:eastAsia="Times New Roman" w:hAnsi="Garamond" w:cs="Times New Roman"/>
          <w:color w:val="000000"/>
          <w:sz w:val="24"/>
          <w:szCs w:val="24"/>
        </w:rPr>
        <w:t xml:space="preserve">- </w:t>
      </w:r>
      <w:r w:rsidRPr="00E004A2">
        <w:rPr>
          <w:rFonts w:ascii="Garamond" w:eastAsia="Times New Roman" w:hAnsi="Garamond" w:cs="Times New Roman"/>
          <w:color w:val="000000"/>
          <w:sz w:val="24"/>
          <w:szCs w:val="24"/>
        </w:rPr>
        <w:t xml:space="preserve">because it wasn't clear if they said “he” it meant men </w:t>
      </w:r>
      <w:r w:rsidR="006B112A" w:rsidRPr="00E004A2">
        <w:rPr>
          <w:rFonts w:ascii="Garamond" w:eastAsia="Times New Roman" w:hAnsi="Garamond" w:cs="Times New Roman"/>
          <w:color w:val="000000"/>
          <w:sz w:val="24"/>
          <w:szCs w:val="24"/>
        </w:rPr>
        <w:t xml:space="preserve">- </w:t>
      </w:r>
      <w:r w:rsidRPr="00E004A2">
        <w:rPr>
          <w:rFonts w:ascii="Garamond" w:eastAsia="Times New Roman" w:hAnsi="Garamond" w:cs="Times New Roman"/>
          <w:color w:val="000000"/>
          <w:sz w:val="24"/>
          <w:szCs w:val="24"/>
        </w:rPr>
        <w:t>would depart from that approach on the basis of now the background against which we’re legislating is this Interpretation Act. (</w:t>
      </w:r>
      <w:r w:rsidR="00566183" w:rsidRPr="00E004A2">
        <w:rPr>
          <w:rFonts w:ascii="Garamond" w:eastAsia="Times New Roman" w:hAnsi="Garamond" w:cs="Times New Roman"/>
          <w:color w:val="000000"/>
          <w:sz w:val="24"/>
          <w:szCs w:val="24"/>
        </w:rPr>
        <w:t>Interview with l</w:t>
      </w:r>
      <w:r w:rsidRPr="00E004A2">
        <w:rPr>
          <w:rFonts w:ascii="Garamond" w:eastAsia="Times New Roman" w:hAnsi="Garamond" w:cs="Times New Roman"/>
          <w:color w:val="000000"/>
          <w:sz w:val="24"/>
          <w:szCs w:val="24"/>
        </w:rPr>
        <w:t>egislative drafter</w:t>
      </w:r>
      <w:r w:rsidR="00566183" w:rsidRPr="00E004A2">
        <w:rPr>
          <w:rFonts w:ascii="Garamond" w:eastAsia="Times New Roman" w:hAnsi="Garamond" w:cs="Times New Roman"/>
          <w:color w:val="000000"/>
          <w:sz w:val="24"/>
          <w:szCs w:val="24"/>
        </w:rPr>
        <w:t>, 2019</w:t>
      </w:r>
      <w:r w:rsidRPr="00E004A2">
        <w:rPr>
          <w:rFonts w:ascii="Garamond" w:eastAsia="Times New Roman" w:hAnsi="Garamond" w:cs="Times New Roman"/>
          <w:color w:val="000000"/>
          <w:sz w:val="24"/>
          <w:szCs w:val="24"/>
        </w:rPr>
        <w:t>)</w:t>
      </w:r>
    </w:p>
    <w:p w14:paraId="41C1A16D" w14:textId="77777777" w:rsidR="003E30A0" w:rsidRPr="00E004A2" w:rsidRDefault="003E30A0" w:rsidP="008F437E">
      <w:pPr>
        <w:tabs>
          <w:tab w:val="left" w:pos="720"/>
          <w:tab w:val="left" w:pos="1440"/>
          <w:tab w:val="left" w:pos="2160"/>
          <w:tab w:val="left" w:pos="2880"/>
          <w:tab w:val="left" w:pos="3600"/>
          <w:tab w:val="left" w:pos="4320"/>
        </w:tabs>
        <w:spacing w:line="480" w:lineRule="auto"/>
        <w:rPr>
          <w:rFonts w:ascii="Garamond" w:hAnsi="Garamond"/>
          <w:i/>
          <w:kern w:val="1"/>
          <w:sz w:val="24"/>
          <w:szCs w:val="24"/>
          <w:highlight w:val="white"/>
        </w:rPr>
      </w:pPr>
    </w:p>
    <w:p w14:paraId="3C5ABB33" w14:textId="2CBBD7CC" w:rsidR="008F437E" w:rsidRPr="00F30512" w:rsidRDefault="00AB3405" w:rsidP="00AB3405">
      <w:pPr>
        <w:pStyle w:val="Heading3"/>
        <w:rPr>
          <w:highlight w:val="white"/>
        </w:rPr>
      </w:pPr>
      <w:r>
        <w:rPr>
          <w:highlight w:val="white"/>
        </w:rPr>
        <w:t>Feminism and the Language of L</w:t>
      </w:r>
      <w:r w:rsidR="008F437E" w:rsidRPr="00F30512">
        <w:rPr>
          <w:highlight w:val="white"/>
        </w:rPr>
        <w:t xml:space="preserve">aw: </w:t>
      </w:r>
      <w:r w:rsidR="008574EE">
        <w:rPr>
          <w:highlight w:val="white"/>
        </w:rPr>
        <w:t>A</w:t>
      </w:r>
      <w:r w:rsidR="008F437E" w:rsidRPr="00F30512">
        <w:rPr>
          <w:highlight w:val="white"/>
        </w:rPr>
        <w:t xml:space="preserve"> ‘</w:t>
      </w:r>
      <w:r w:rsidR="008574EE">
        <w:rPr>
          <w:highlight w:val="white"/>
        </w:rPr>
        <w:t>C</w:t>
      </w:r>
      <w:r w:rsidR="008F437E" w:rsidRPr="00F30512">
        <w:rPr>
          <w:highlight w:val="white"/>
        </w:rPr>
        <w:t xml:space="preserve">ontaminated’ </w:t>
      </w:r>
      <w:r w:rsidR="008574EE">
        <w:rPr>
          <w:highlight w:val="white"/>
        </w:rPr>
        <w:t>M</w:t>
      </w:r>
      <w:r w:rsidR="008F437E" w:rsidRPr="00F30512">
        <w:rPr>
          <w:highlight w:val="white"/>
        </w:rPr>
        <w:t>agic?</w:t>
      </w:r>
    </w:p>
    <w:p w14:paraId="36895206" w14:textId="4D3B5D57" w:rsidR="00D2657E" w:rsidRPr="00E004A2" w:rsidRDefault="00171F49" w:rsidP="0007781D">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rPr>
        <w:t xml:space="preserve">As the previous section </w:t>
      </w:r>
      <w:r w:rsidR="00320C10" w:rsidRPr="00E004A2">
        <w:rPr>
          <w:rFonts w:ascii="Garamond" w:hAnsi="Garamond"/>
          <w:kern w:val="1"/>
          <w:sz w:val="24"/>
          <w:szCs w:val="24"/>
        </w:rPr>
        <w:t>has shown</w:t>
      </w:r>
      <w:r w:rsidRPr="00E004A2">
        <w:rPr>
          <w:rFonts w:ascii="Garamond" w:hAnsi="Garamond"/>
          <w:kern w:val="1"/>
          <w:sz w:val="24"/>
          <w:szCs w:val="24"/>
        </w:rPr>
        <w:t>, the practices, institutional dynamics, relations, epistemologies, and innovations associated with legislative drafting have helped fabricate diverse ontologies of sex/gender we see circulating in law at present</w:t>
      </w:r>
      <w:r w:rsidRPr="00E004A2">
        <w:rPr>
          <w:rFonts w:ascii="Garamond" w:hAnsi="Garamond"/>
          <w:kern w:val="1"/>
          <w:sz w:val="24"/>
          <w:szCs w:val="24"/>
          <w:highlight w:val="white"/>
        </w:rPr>
        <w:t>. For reasons of brevity, this section turns to the question of how second wave feminists challenged legal language, with new and distinct perspectives on the politics of legislative drafting.</w:t>
      </w:r>
      <w:r w:rsidR="009C29DE" w:rsidRPr="00E004A2">
        <w:rPr>
          <w:rFonts w:ascii="Garamond" w:hAnsi="Garamond"/>
          <w:kern w:val="1"/>
          <w:sz w:val="24"/>
          <w:szCs w:val="24"/>
        </w:rPr>
        <w:t xml:space="preserve"> </w:t>
      </w:r>
      <w:r w:rsidR="003A398A" w:rsidRPr="00E004A2">
        <w:rPr>
          <w:rFonts w:ascii="Garamond" w:hAnsi="Garamond"/>
          <w:kern w:val="1"/>
          <w:sz w:val="24"/>
          <w:szCs w:val="24"/>
        </w:rPr>
        <w:t>Motivated by feminist attention to gendering language</w:t>
      </w:r>
      <w:r w:rsidR="0007781D" w:rsidRPr="00E004A2">
        <w:rPr>
          <w:rFonts w:ascii="Garamond" w:hAnsi="Garamond"/>
          <w:kern w:val="1"/>
          <w:sz w:val="24"/>
          <w:szCs w:val="24"/>
        </w:rPr>
        <w:t xml:space="preserve"> (e.g.</w:t>
      </w:r>
      <w:r w:rsidR="00406F6B">
        <w:rPr>
          <w:rFonts w:ascii="Garamond" w:hAnsi="Garamond"/>
          <w:kern w:val="1"/>
          <w:sz w:val="24"/>
          <w:szCs w:val="24"/>
        </w:rPr>
        <w:t>,</w:t>
      </w:r>
      <w:r w:rsidR="0007781D" w:rsidRPr="00E004A2">
        <w:rPr>
          <w:rFonts w:ascii="Garamond" w:hAnsi="Garamond"/>
          <w:kern w:val="1"/>
          <w:sz w:val="24"/>
          <w:szCs w:val="24"/>
        </w:rPr>
        <w:t xml:space="preserve"> </w:t>
      </w:r>
      <w:r w:rsidR="009F5537"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{"citationID":"WmKMhUtM","properties":{"formattedCitation":"(Martyna, 1980; Spender, 1980)","plainCitation":"(Martyna, 1980; Spender, 1980)","noteIndex":0},"citationItems":[{"id":2766,"uris":["http://zotero.org/groups/1576676/items/PCMUNP5Q"],"uri":["http://zotero.org/groups/1576676/items/PCMUNP5Q"],"itemData":{"id":2766,"type":"article-journal","container-title":"Signs","ISSN":"0097-9740","issue":"3","page":"482-493","source":"JSTOR","title":"Beyond the \"He/Man\" Approach: The Case for Nonsexist Language","title-short":"Beyond the \"He/Man\" Approach","volume":"5","author":[{"family":"Martyna","given":"Wendy"}],"issued":{"date-parts":[["1980"]]}}},{"id":705,"uris":["http://zotero.org/users/1070015/items/EGD2WSKB"],"uri":["http://zotero.org/users/1070015/items/EGD2WSKB"],"itemData":{"id":705,"type":"book","publisher":"Routledge &amp; K. Paul,","title":"Man Made Language","author":[{"family":"Spender","given":"Dale"}],"issued":{"date-parts":[["1980"]]}}}],"schema":"https://github.com/citation-style-language/schema/raw/master/csl-citation.json"} </w:instrText>
      </w:r>
      <w:r w:rsidR="009F5537" w:rsidRPr="00E004A2">
        <w:rPr>
          <w:rFonts w:ascii="Garamond" w:hAnsi="Garamond"/>
          <w:kern w:val="1"/>
          <w:sz w:val="24"/>
          <w:szCs w:val="24"/>
        </w:rPr>
        <w:fldChar w:fldCharType="separate"/>
      </w:r>
      <w:r w:rsidR="004F3785">
        <w:rPr>
          <w:rFonts w:ascii="Garamond" w:hAnsi="Garamond"/>
          <w:noProof/>
          <w:kern w:val="1"/>
          <w:sz w:val="24"/>
          <w:szCs w:val="24"/>
        </w:rPr>
        <w:t>Martyna, 1980; Spender, 1980)</w:t>
      </w:r>
      <w:r w:rsidR="009F5537" w:rsidRPr="00E004A2">
        <w:rPr>
          <w:rFonts w:ascii="Garamond" w:hAnsi="Garamond"/>
          <w:kern w:val="1"/>
          <w:sz w:val="24"/>
          <w:szCs w:val="24"/>
        </w:rPr>
        <w:fldChar w:fldCharType="end"/>
      </w:r>
      <w:r w:rsidR="003A398A" w:rsidRPr="00E004A2">
        <w:rPr>
          <w:rFonts w:ascii="Garamond" w:hAnsi="Garamond"/>
          <w:kern w:val="1"/>
          <w:sz w:val="24"/>
          <w:szCs w:val="24"/>
        </w:rPr>
        <w:t>, lawyers and legal scholars</w:t>
      </w:r>
      <w:r w:rsidR="004C0045" w:rsidRPr="00E004A2">
        <w:rPr>
          <w:rFonts w:ascii="Garamond" w:hAnsi="Garamond"/>
          <w:kern w:val="1"/>
          <w:sz w:val="24"/>
          <w:szCs w:val="24"/>
        </w:rPr>
        <w:t xml:space="preserve"> f</w:t>
      </w:r>
      <w:r w:rsidR="00DD69F3" w:rsidRPr="00E004A2">
        <w:rPr>
          <w:rFonts w:ascii="Garamond" w:hAnsi="Garamond"/>
          <w:kern w:val="1"/>
          <w:sz w:val="24"/>
          <w:szCs w:val="24"/>
        </w:rPr>
        <w:t>ro</w:t>
      </w:r>
      <w:r w:rsidR="004C0045" w:rsidRPr="00E004A2">
        <w:rPr>
          <w:rFonts w:ascii="Garamond" w:hAnsi="Garamond"/>
          <w:kern w:val="1"/>
          <w:sz w:val="24"/>
          <w:szCs w:val="24"/>
        </w:rPr>
        <w:t>m the 1960s on</w:t>
      </w:r>
      <w:r w:rsidR="00DD69F3" w:rsidRPr="00E004A2">
        <w:rPr>
          <w:rFonts w:ascii="Garamond" w:hAnsi="Garamond"/>
          <w:kern w:val="1"/>
          <w:sz w:val="24"/>
          <w:szCs w:val="24"/>
        </w:rPr>
        <w:t>wards</w:t>
      </w:r>
      <w:r w:rsidR="003A398A" w:rsidRPr="00E004A2">
        <w:rPr>
          <w:rFonts w:ascii="Garamond" w:hAnsi="Garamond"/>
          <w:kern w:val="1"/>
          <w:sz w:val="24"/>
          <w:szCs w:val="24"/>
        </w:rPr>
        <w:t xml:space="preserve"> </w:t>
      </w:r>
      <w:r w:rsidR="002D7F1F" w:rsidRPr="00E004A2">
        <w:rPr>
          <w:rFonts w:ascii="Garamond" w:hAnsi="Garamond"/>
          <w:kern w:val="1"/>
          <w:sz w:val="24"/>
          <w:szCs w:val="24"/>
        </w:rPr>
        <w:t>oppos</w:t>
      </w:r>
      <w:r w:rsidR="004C0045" w:rsidRPr="00E004A2">
        <w:rPr>
          <w:rFonts w:ascii="Garamond" w:hAnsi="Garamond"/>
          <w:kern w:val="1"/>
          <w:sz w:val="24"/>
          <w:szCs w:val="24"/>
        </w:rPr>
        <w:t>ed</w:t>
      </w:r>
      <w:r w:rsidR="003A398A" w:rsidRPr="00E004A2">
        <w:rPr>
          <w:rFonts w:ascii="Garamond" w:hAnsi="Garamond"/>
          <w:kern w:val="1"/>
          <w:sz w:val="24"/>
          <w:szCs w:val="24"/>
        </w:rPr>
        <w:t xml:space="preserve"> the occlusion </w:t>
      </w:r>
      <w:r w:rsidR="00DD69F3" w:rsidRPr="00E004A2">
        <w:rPr>
          <w:rFonts w:ascii="Garamond" w:hAnsi="Garamond"/>
          <w:kern w:val="1"/>
          <w:sz w:val="24"/>
          <w:szCs w:val="24"/>
        </w:rPr>
        <w:t xml:space="preserve">caused </w:t>
      </w:r>
      <w:r w:rsidR="003A398A" w:rsidRPr="00E004A2">
        <w:rPr>
          <w:rFonts w:ascii="Garamond" w:hAnsi="Garamond"/>
          <w:kern w:val="1"/>
          <w:sz w:val="24"/>
          <w:szCs w:val="24"/>
        </w:rPr>
        <w:t>by the continued use of specific interpretation rules</w:t>
      </w:r>
      <w:r w:rsidR="0079652C" w:rsidRPr="00E004A2">
        <w:rPr>
          <w:rFonts w:ascii="Garamond" w:hAnsi="Garamond"/>
          <w:kern w:val="1"/>
          <w:sz w:val="24"/>
          <w:szCs w:val="24"/>
        </w:rPr>
        <w:t>.</w:t>
      </w:r>
      <w:r w:rsidR="00E301A1" w:rsidRPr="00E004A2">
        <w:rPr>
          <w:rFonts w:ascii="Garamond" w:hAnsi="Garamond"/>
          <w:kern w:val="1"/>
          <w:sz w:val="24"/>
          <w:szCs w:val="24"/>
        </w:rPr>
        <w:t xml:space="preserve"> Canadia</w:t>
      </w:r>
      <w:r w:rsidR="00501E73" w:rsidRPr="00E004A2">
        <w:rPr>
          <w:rFonts w:ascii="Garamond" w:hAnsi="Garamond"/>
          <w:kern w:val="1"/>
          <w:sz w:val="24"/>
          <w:szCs w:val="24"/>
        </w:rPr>
        <w:t>n drafters and scholars watched as</w:t>
      </w:r>
      <w:r w:rsidR="00E301A1" w:rsidRPr="00E004A2">
        <w:rPr>
          <w:rFonts w:ascii="Garamond" w:hAnsi="Garamond"/>
          <w:kern w:val="1"/>
          <w:sz w:val="24"/>
          <w:szCs w:val="24"/>
        </w:rPr>
        <w:t xml:space="preserve"> a now-famous debate played out in the</w:t>
      </w:r>
      <w:r w:rsidR="00501E73" w:rsidRPr="00E004A2">
        <w:rPr>
          <w:rFonts w:ascii="Garamond" w:hAnsi="Garamond"/>
          <w:kern w:val="1"/>
          <w:sz w:val="24"/>
          <w:szCs w:val="24"/>
        </w:rPr>
        <w:t xml:space="preserve"> pages of the</w:t>
      </w:r>
      <w:r w:rsidR="00E301A1" w:rsidRPr="00E004A2">
        <w:rPr>
          <w:rFonts w:ascii="Garamond" w:hAnsi="Garamond"/>
          <w:kern w:val="1"/>
          <w:sz w:val="24"/>
          <w:szCs w:val="24"/>
        </w:rPr>
        <w:t xml:space="preserve"> </w:t>
      </w:r>
      <w:r w:rsidR="00E301A1" w:rsidRPr="00E004A2">
        <w:rPr>
          <w:rFonts w:ascii="Garamond" w:hAnsi="Garamond"/>
          <w:i/>
          <w:kern w:val="1"/>
          <w:sz w:val="24"/>
          <w:szCs w:val="24"/>
        </w:rPr>
        <w:t>McGill Law Review</w:t>
      </w:r>
      <w:r w:rsidR="00E301A1" w:rsidRPr="00E004A2">
        <w:rPr>
          <w:rFonts w:ascii="Garamond" w:hAnsi="Garamond"/>
          <w:kern w:val="1"/>
          <w:sz w:val="24"/>
          <w:szCs w:val="24"/>
        </w:rPr>
        <w:t xml:space="preserve"> in the mid 1970s between the revered </w:t>
      </w:r>
      <w:r w:rsidR="00501E73" w:rsidRPr="00E004A2">
        <w:rPr>
          <w:rFonts w:ascii="Garamond" w:hAnsi="Garamond"/>
          <w:kern w:val="1"/>
          <w:sz w:val="24"/>
          <w:szCs w:val="24"/>
        </w:rPr>
        <w:t xml:space="preserve">Canadian </w:t>
      </w:r>
      <w:r w:rsidR="00E301A1" w:rsidRPr="00E004A2">
        <w:rPr>
          <w:rFonts w:ascii="Garamond" w:hAnsi="Garamond"/>
          <w:kern w:val="1"/>
          <w:sz w:val="24"/>
          <w:szCs w:val="24"/>
        </w:rPr>
        <w:t>drafter E</w:t>
      </w:r>
      <w:r w:rsidR="009C2F68" w:rsidRPr="00E004A2">
        <w:rPr>
          <w:rFonts w:ascii="Garamond" w:hAnsi="Garamond"/>
          <w:kern w:val="1"/>
          <w:sz w:val="24"/>
          <w:szCs w:val="24"/>
        </w:rPr>
        <w:t xml:space="preserve">lmer </w:t>
      </w:r>
      <w:proofErr w:type="spellStart"/>
      <w:r w:rsidR="009C2F68" w:rsidRPr="00E004A2">
        <w:rPr>
          <w:rFonts w:ascii="Garamond" w:hAnsi="Garamond"/>
          <w:kern w:val="1"/>
          <w:sz w:val="24"/>
          <w:szCs w:val="24"/>
        </w:rPr>
        <w:t>Dreidger</w:t>
      </w:r>
      <w:proofErr w:type="spellEnd"/>
      <w:r w:rsidR="009C2F68" w:rsidRPr="00E004A2">
        <w:rPr>
          <w:rFonts w:ascii="Garamond" w:hAnsi="Garamond"/>
          <w:kern w:val="1"/>
          <w:sz w:val="24"/>
          <w:szCs w:val="24"/>
        </w:rPr>
        <w:t xml:space="preserve"> </w:t>
      </w:r>
      <w:r w:rsidR="009C2F68" w:rsidRPr="00E004A2">
        <w:rPr>
          <w:rFonts w:ascii="Garamond" w:hAnsi="Garamond"/>
          <w:kern w:val="1"/>
          <w:sz w:val="24"/>
          <w:szCs w:val="24"/>
        </w:rPr>
        <w:lastRenderedPageBreak/>
        <w:t xml:space="preserve">and the feminist lawyer </w:t>
      </w:r>
      <w:proofErr w:type="spellStart"/>
      <w:r w:rsidR="009C2F68" w:rsidRPr="00E004A2">
        <w:rPr>
          <w:rFonts w:ascii="Garamond" w:hAnsi="Garamond"/>
          <w:kern w:val="1"/>
          <w:sz w:val="24"/>
          <w:szCs w:val="24"/>
        </w:rPr>
        <w:t>Marg</w:t>
      </w:r>
      <w:r w:rsidR="003A398A" w:rsidRPr="00E004A2">
        <w:rPr>
          <w:rFonts w:ascii="Garamond" w:hAnsi="Garamond"/>
          <w:kern w:val="1"/>
          <w:sz w:val="24"/>
          <w:szCs w:val="24"/>
        </w:rPr>
        <w:t>eurite</w:t>
      </w:r>
      <w:proofErr w:type="spellEnd"/>
      <w:r w:rsidR="003A398A" w:rsidRPr="00E004A2">
        <w:rPr>
          <w:rFonts w:ascii="Garamond" w:hAnsi="Garamond"/>
          <w:kern w:val="1"/>
          <w:sz w:val="24"/>
          <w:szCs w:val="24"/>
        </w:rPr>
        <w:t xml:space="preserve"> Ritchie </w:t>
      </w:r>
      <w:r w:rsidR="00F6520C" w:rsidRPr="00E004A2">
        <w:rPr>
          <w:rFonts w:ascii="Garamond" w:hAnsi="Garamond"/>
          <w:kern w:val="1"/>
          <w:sz w:val="24"/>
          <w:szCs w:val="24"/>
        </w:rPr>
        <w:t>QC</w:t>
      </w:r>
      <w:r w:rsidR="005E14D5" w:rsidRPr="00E004A2">
        <w:rPr>
          <w:rFonts w:ascii="Garamond" w:hAnsi="Garamond"/>
          <w:kern w:val="1"/>
          <w:sz w:val="24"/>
          <w:szCs w:val="24"/>
        </w:rPr>
        <w:t>, who differed on the question of whether the Cana</w:t>
      </w:r>
      <w:r w:rsidR="007A1FF8" w:rsidRPr="00E004A2">
        <w:rPr>
          <w:rFonts w:ascii="Garamond" w:hAnsi="Garamond"/>
          <w:kern w:val="1"/>
          <w:sz w:val="24"/>
          <w:szCs w:val="24"/>
        </w:rPr>
        <w:t>d</w:t>
      </w:r>
      <w:r w:rsidR="005E14D5" w:rsidRPr="00E004A2">
        <w:rPr>
          <w:rFonts w:ascii="Garamond" w:hAnsi="Garamond"/>
          <w:kern w:val="1"/>
          <w:sz w:val="24"/>
          <w:szCs w:val="24"/>
        </w:rPr>
        <w:t>ian federal Interpretation Act 1970 had</w:t>
      </w:r>
      <w:r w:rsidR="007A1FF8" w:rsidRPr="00E004A2">
        <w:rPr>
          <w:rFonts w:ascii="Garamond" w:hAnsi="Garamond"/>
          <w:kern w:val="1"/>
          <w:sz w:val="24"/>
          <w:szCs w:val="24"/>
        </w:rPr>
        <w:t xml:space="preserve"> failed to protect women in the context of feminist protests about the continued use of the masculine rule</w:t>
      </w:r>
      <w:r w:rsidR="004C0045" w:rsidRPr="00E004A2">
        <w:rPr>
          <w:rFonts w:ascii="Garamond" w:hAnsi="Garamond"/>
          <w:kern w:val="1"/>
          <w:sz w:val="24"/>
          <w:szCs w:val="24"/>
        </w:rPr>
        <w:t xml:space="preserve">  </w:t>
      </w:r>
      <w:r w:rsidR="004C0045"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{"citationID":"FU7SGT6b","properties":{"formattedCitation":"(Dreidger, 1976; Ritchie, 1977, 1975)","plainCitation":"(Dreidger, 1976; Ritchie, 1977, 1975)","noteIndex":0},"citationItems":[{"id":690,"uris":["http://zotero.org/users/1070015/items/VLS4MV6P"],"uri":["http://zotero.org/users/1070015/items/VLS4MV6P"],"itemData":{"id":690,"type":"article-journal","container-title":"McGill Law Journal","page":"666-672","title":"Are Statutes Written for Men Only?","volume":"22","author":[{"family":"Dreidger","given":"Elmer"}],"issued":{"date-parts":[["1976"]]}}},{"id":688,"uris":["http://zotero.org/users/1070015/items/DKUDQVDG"],"uri":["http://zotero.org/users/1070015/items/DKUDQVDG"],"itemData":{"id":688,"type":"article-journal","container-title":"McGill Law Journal","page":"535-544","title":"The Language of Oppression: Alice Talks Back","volume":"23","author":[{"family":"Ritchie","given":"Margeurite"}],"issued":{"date-parts":[["1977"]]}}},{"id":691,"uris":["http://zotero.org/users/1070015/items/R8H5JL5U"],"uri":["http://zotero.org/users/1070015/items/R8H5JL5U"],"itemData":{"id":691,"type":"article-journal","container-title":"McGill Law Journal","page":"685-707","title":"Alice through the Statutes:","volume":"21","author":[{"family":"Ritchie","given":"Margeurite"}],"issued":{"date-parts":[["1975"]]}}}],"schema":"https://github.com/citation-style-language/schema/raw/master/csl-citation.json"} </w:instrText>
      </w:r>
      <w:r w:rsidR="004C0045" w:rsidRPr="00E004A2">
        <w:rPr>
          <w:rFonts w:ascii="Garamond" w:hAnsi="Garamond"/>
          <w:kern w:val="1"/>
          <w:sz w:val="24"/>
          <w:szCs w:val="24"/>
        </w:rPr>
        <w:fldChar w:fldCharType="separate"/>
      </w:r>
      <w:r w:rsidR="004F3785">
        <w:rPr>
          <w:rFonts w:ascii="Garamond" w:hAnsi="Garamond"/>
          <w:noProof/>
          <w:kern w:val="1"/>
          <w:sz w:val="24"/>
          <w:szCs w:val="24"/>
        </w:rPr>
        <w:t>(Dreidger, 1976; Ritchie, 1977, 1975)</w:t>
      </w:r>
      <w:r w:rsidR="004C0045" w:rsidRPr="00E004A2">
        <w:rPr>
          <w:rFonts w:ascii="Garamond" w:hAnsi="Garamond"/>
          <w:kern w:val="1"/>
          <w:sz w:val="24"/>
          <w:szCs w:val="24"/>
        </w:rPr>
        <w:fldChar w:fldCharType="end"/>
      </w:r>
      <w:r w:rsidR="00D2657E">
        <w:rPr>
          <w:rFonts w:ascii="Garamond" w:hAnsi="Garamond"/>
          <w:kern w:val="1"/>
          <w:sz w:val="24"/>
          <w:szCs w:val="24"/>
        </w:rPr>
        <w:t>.</w:t>
      </w:r>
    </w:p>
    <w:p w14:paraId="4187A192" w14:textId="25EB1E1C" w:rsidR="003A398A" w:rsidRPr="00E004A2" w:rsidRDefault="00D2657E" w:rsidP="0054204F">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9334AE" w:rsidRPr="00E004A2">
        <w:rPr>
          <w:rFonts w:ascii="Garamond" w:hAnsi="Garamond"/>
          <w:kern w:val="1"/>
          <w:sz w:val="24"/>
          <w:szCs w:val="24"/>
        </w:rPr>
        <w:t xml:space="preserve">These were debates about law, English, grammar, and the oppression of women. At the same time, however, critical legal scholars were turning to the power of legal language itself. In the late 1980s, Karen Busby </w:t>
      </w:r>
      <w:r w:rsidR="00501E73" w:rsidRPr="00E004A2">
        <w:rPr>
          <w:rFonts w:ascii="Garamond" w:hAnsi="Garamond"/>
          <w:kern w:val="1"/>
          <w:sz w:val="24"/>
          <w:szCs w:val="24"/>
        </w:rPr>
        <w:t>argued</w:t>
      </w:r>
      <w:r w:rsidR="0079652C" w:rsidRPr="00E004A2">
        <w:rPr>
          <w:rFonts w:ascii="Garamond" w:hAnsi="Garamond"/>
          <w:kern w:val="1"/>
          <w:sz w:val="24"/>
          <w:szCs w:val="24"/>
        </w:rPr>
        <w:t xml:space="preserve"> that because of the unique power of language to construct reality, and because of its close connections with ideology, it was particularly necessary to trace the means by which legal language excludes and devalues women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{"citationID":"tnuYitrQ","properties":{"formattedCitation":"(Busby, 1989)","plainCitation":"(Busby, 1989)","noteIndex":0},"citationItems":[{"id":2784,"uris":["http://zotero.org/groups/1576676/items/LLG7D64V"],"uri":["http://zotero.org/groups/1576676/items/LLG7D64V"],"itemData":{"id":2784,"type":"article-journal","container-title":"Manitoba Law Journal","journalAbbreviation":"Man. L.J.","page":"191","title":"The Maleness of Legal Language","volume":"18","author":[{"family":"Busby","given":"Karen"}],"issued":{"date-parts":[["1989"]]}}}],"schema":"https://github.com/citation-style-language/schema/raw/master/csl-citation.json"}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(Busby, 1989)</w:t>
      </w:r>
      <w:r w:rsidR="00625EBE" w:rsidRPr="00E004A2">
        <w:rPr>
          <w:rFonts w:ascii="Garamond" w:hAnsi="Garamond"/>
          <w:kern w:val="1"/>
          <w:sz w:val="24"/>
          <w:szCs w:val="24"/>
        </w:rPr>
        <w:fldChar w:fldCharType="end"/>
      </w:r>
      <w:r w:rsidR="0079652C" w:rsidRPr="00E004A2">
        <w:rPr>
          <w:rFonts w:ascii="Garamond" w:hAnsi="Garamond"/>
          <w:kern w:val="1"/>
          <w:sz w:val="24"/>
          <w:szCs w:val="24"/>
        </w:rPr>
        <w:t>. As Busby put it, her task was to examine the idea that:</w:t>
      </w:r>
      <w:r w:rsidR="006E3733" w:rsidRPr="00E004A2">
        <w:rPr>
          <w:rFonts w:ascii="Garamond" w:hAnsi="Garamond"/>
          <w:kern w:val="1"/>
          <w:sz w:val="24"/>
          <w:szCs w:val="24"/>
        </w:rPr>
        <w:t xml:space="preserve"> ‘</w:t>
      </w:r>
      <w:r w:rsidR="0079652C" w:rsidRPr="00E004A2">
        <w:rPr>
          <w:rFonts w:ascii="Garamond" w:hAnsi="Garamond"/>
          <w:color w:val="000000"/>
          <w:sz w:val="24"/>
          <w:szCs w:val="24"/>
        </w:rPr>
        <w:t>grammatical features of the legal register such as pronouns, generics, lexicon, semantics and syntax trivialize, exclude and devalue women and characteristics associated with women</w:t>
      </w:r>
      <w:r w:rsidR="002018A4" w:rsidRPr="00E004A2">
        <w:rPr>
          <w:rFonts w:ascii="Garamond" w:hAnsi="Garamond"/>
          <w:color w:val="000000"/>
          <w:sz w:val="24"/>
          <w:szCs w:val="24"/>
        </w:rPr>
        <w:t>’</w:t>
      </w:r>
      <w:r w:rsidR="0079652C" w:rsidRPr="00E004A2">
        <w:rPr>
          <w:rFonts w:ascii="Garamond" w:hAnsi="Garamond"/>
          <w:color w:val="000000"/>
          <w:sz w:val="24"/>
          <w:szCs w:val="24"/>
        </w:rPr>
        <w:t xml:space="preserve"> </w:t>
      </w:r>
      <w:r w:rsidR="00625EBE" w:rsidRPr="00E004A2">
        <w:rPr>
          <w:rFonts w:ascii="Garamond" w:hAnsi="Garamond"/>
          <w:color w:val="000000"/>
          <w:sz w:val="24"/>
          <w:szCs w:val="24"/>
        </w:rPr>
        <w:fldChar w:fldCharType="begin"/>
      </w:r>
      <w:r w:rsidR="004F3785">
        <w:rPr>
          <w:rFonts w:ascii="Garamond" w:hAnsi="Garamond"/>
          <w:color w:val="000000"/>
          <w:sz w:val="24"/>
          <w:szCs w:val="24"/>
        </w:rPr>
        <w:instrText xml:space="preserve"> ADDIN ZOTERO_ITEM CSL_CITATION {"citationID":"hkdnMsGF","properties":{"formattedCitation":"(Busby, 1989, p. 192)","plainCitation":"(Busby, 1989, p. 192)","noteIndex":0},"citationItems":[{"id":2784,"uris":["http://zotero.org/groups/1576676/items/LLG7D64V"],"uri":["http://zotero.org/groups/1576676/items/LLG7D64V"],"itemData":{"id":2784,"type":"article-journal","container-title":"Manitoba Law Journal","journalAbbreviation":"Man. L.J.","page":"191","title":"The Maleness of Legal Language","volume":"18","author":[{"family":"Busby","given":"Karen"}],"issued":{"date-parts":[["1989"]]}},"locator":"192","label":"page"}],"schema":"https://github.com/citation-style-language/schema/raw/master/csl-citation.json"} </w:instrText>
      </w:r>
      <w:r w:rsidR="00625EBE" w:rsidRPr="00E004A2">
        <w:rPr>
          <w:rFonts w:ascii="Garamond" w:hAnsi="Garamond"/>
          <w:color w:val="000000"/>
          <w:sz w:val="24"/>
          <w:szCs w:val="24"/>
        </w:rPr>
        <w:fldChar w:fldCharType="separate"/>
      </w:r>
      <w:r w:rsidR="004F3785">
        <w:rPr>
          <w:rFonts w:ascii="Garamond" w:hAnsi="Garamond"/>
          <w:noProof/>
          <w:color w:val="000000"/>
          <w:sz w:val="24"/>
          <w:szCs w:val="24"/>
        </w:rPr>
        <w:t>(Busby, 1989, p. 192)</w:t>
      </w:r>
      <w:r w:rsidR="00625EBE" w:rsidRPr="00E004A2">
        <w:rPr>
          <w:rFonts w:ascii="Garamond" w:hAnsi="Garamond"/>
          <w:color w:val="000000"/>
          <w:sz w:val="24"/>
          <w:szCs w:val="24"/>
        </w:rPr>
        <w:fldChar w:fldCharType="end"/>
      </w:r>
      <w:r w:rsidR="006E3733" w:rsidRPr="00E004A2">
        <w:rPr>
          <w:rFonts w:ascii="Garamond" w:hAnsi="Garamond"/>
          <w:color w:val="000000"/>
          <w:sz w:val="24"/>
          <w:szCs w:val="24"/>
        </w:rPr>
        <w:t>.</w:t>
      </w:r>
      <w:r w:rsidR="006E3733" w:rsidRPr="00E004A2">
        <w:rPr>
          <w:rFonts w:ascii="Garamond" w:hAnsi="Garamond"/>
          <w:kern w:val="1"/>
          <w:sz w:val="24"/>
          <w:szCs w:val="24"/>
        </w:rPr>
        <w:t xml:space="preserve"> </w:t>
      </w:r>
      <w:r w:rsidR="0079652C" w:rsidRPr="00E004A2">
        <w:rPr>
          <w:rFonts w:ascii="Garamond" w:hAnsi="Garamond"/>
          <w:kern w:val="1"/>
          <w:sz w:val="24"/>
          <w:szCs w:val="24"/>
        </w:rPr>
        <w:t>She stated that analysing the language of legal text allowed a picture to emerge of its ‘preconstructions and preferred meanings’ that would allow better understanding of what law has emerged, with what implications for women</w:t>
      </w:r>
      <w:r w:rsidR="00625EBE" w:rsidRPr="00E004A2">
        <w:rPr>
          <w:rFonts w:ascii="Garamond" w:hAnsi="Garamond"/>
          <w:kern w:val="1"/>
          <w:sz w:val="24"/>
          <w:szCs w:val="24"/>
        </w:rPr>
        <w:t xml:space="preserve">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{"citationID":"NREgwWfQ","properties":{"formattedCitation":"(Busby, 1989, p. 192)","plainCitation":"(Busby, 1989, p. 192)","noteIndex":0},"citationItems":[{"id":2784,"uris":["http://zotero.org/groups/1576676/items/LLG7D64V"],"uri":["http://zotero.org/groups/1576676/items/LLG7D64V"],"itemData":{"id":2784,"type":"article-journal","container-title":"Manitoba Law Journal","journalAbbreviation":"Man. L.J.","page":"191","title":"The Maleness of Legal Language","volume":"18","author":[{"family":"Busby","given":"Karen"}],"issued":{"date-parts":[["1989"]]}},"locator":"192","label":"page"}],"schema":"https://github.com/citation-style-language/schema/raw/master/csl-citation.json"}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(Busby, 1989, p. 192)</w:t>
      </w:r>
      <w:r w:rsidR="00625EBE" w:rsidRPr="00E004A2">
        <w:rPr>
          <w:rFonts w:ascii="Garamond" w:hAnsi="Garamond"/>
          <w:kern w:val="1"/>
          <w:sz w:val="24"/>
          <w:szCs w:val="24"/>
        </w:rPr>
        <w:fldChar w:fldCharType="end"/>
      </w:r>
      <w:r w:rsidR="0079652C" w:rsidRPr="00E004A2">
        <w:rPr>
          <w:rFonts w:ascii="Garamond" w:hAnsi="Garamond"/>
          <w:kern w:val="1"/>
          <w:sz w:val="24"/>
          <w:szCs w:val="24"/>
        </w:rPr>
        <w:t xml:space="preserve">. </w:t>
      </w:r>
      <w:r w:rsidR="004632B2" w:rsidRPr="00E004A2">
        <w:rPr>
          <w:rFonts w:ascii="Garamond" w:hAnsi="Garamond"/>
          <w:kern w:val="1"/>
          <w:sz w:val="24"/>
          <w:szCs w:val="24"/>
        </w:rPr>
        <w:t>D</w:t>
      </w:r>
      <w:r w:rsidR="0079652C" w:rsidRPr="00E004A2">
        <w:rPr>
          <w:rFonts w:ascii="Garamond" w:hAnsi="Garamond"/>
          <w:kern w:val="1"/>
          <w:sz w:val="24"/>
          <w:szCs w:val="24"/>
        </w:rPr>
        <w:t xml:space="preserve">rawing on the feminist theorist Mary Daly, </w:t>
      </w:r>
      <w:r w:rsidR="004632B2" w:rsidRPr="00E004A2">
        <w:rPr>
          <w:rFonts w:ascii="Garamond" w:hAnsi="Garamond"/>
          <w:kern w:val="1"/>
          <w:sz w:val="24"/>
          <w:szCs w:val="24"/>
        </w:rPr>
        <w:t xml:space="preserve">Busby noted that </w:t>
      </w:r>
      <w:r w:rsidR="0079652C" w:rsidRPr="00E004A2">
        <w:rPr>
          <w:rFonts w:ascii="Garamond" w:hAnsi="Garamond"/>
          <w:kern w:val="1"/>
          <w:sz w:val="24"/>
          <w:szCs w:val="24"/>
        </w:rPr>
        <w:t>legal language was in effect a ‘contaminated language</w:t>
      </w:r>
      <w:r w:rsidR="00B76999" w:rsidRPr="00E004A2">
        <w:rPr>
          <w:rFonts w:ascii="Garamond" w:hAnsi="Garamond"/>
          <w:kern w:val="1"/>
          <w:sz w:val="24"/>
          <w:szCs w:val="24"/>
        </w:rPr>
        <w:t>’,</w:t>
      </w:r>
      <w:r w:rsidR="0079652C" w:rsidRPr="00E004A2">
        <w:rPr>
          <w:rFonts w:ascii="Garamond" w:hAnsi="Garamond"/>
          <w:kern w:val="1"/>
          <w:sz w:val="24"/>
          <w:szCs w:val="24"/>
        </w:rPr>
        <w:t xml:space="preserve"> which had been cons</w:t>
      </w:r>
      <w:r w:rsidR="006E3733" w:rsidRPr="00E004A2">
        <w:rPr>
          <w:rFonts w:ascii="Garamond" w:hAnsi="Garamond"/>
          <w:kern w:val="1"/>
          <w:sz w:val="24"/>
          <w:szCs w:val="24"/>
        </w:rPr>
        <w:t>tructed along androcentric lines</w:t>
      </w:r>
      <w:r w:rsidR="0079652C" w:rsidRPr="00E004A2">
        <w:rPr>
          <w:rFonts w:ascii="Garamond" w:hAnsi="Garamond"/>
          <w:kern w:val="1"/>
          <w:sz w:val="24"/>
          <w:szCs w:val="24"/>
        </w:rPr>
        <w:t>. This was a particular problem because of the tendency</w:t>
      </w:r>
      <w:r w:rsidR="002018A4" w:rsidRPr="00E004A2">
        <w:rPr>
          <w:rFonts w:ascii="Garamond" w:hAnsi="Garamond"/>
          <w:kern w:val="1"/>
          <w:sz w:val="24"/>
          <w:szCs w:val="24"/>
        </w:rPr>
        <w:t xml:space="preserve"> of law to place emphasis on</w:t>
      </w:r>
      <w:r w:rsidR="0079652C" w:rsidRPr="00E004A2">
        <w:rPr>
          <w:rFonts w:ascii="Garamond" w:hAnsi="Garamond"/>
          <w:kern w:val="1"/>
          <w:sz w:val="24"/>
          <w:szCs w:val="24"/>
        </w:rPr>
        <w:t xml:space="preserve"> legal signifier</w:t>
      </w:r>
      <w:r w:rsidR="002018A4" w:rsidRPr="00E004A2">
        <w:rPr>
          <w:rFonts w:ascii="Garamond" w:hAnsi="Garamond"/>
          <w:kern w:val="1"/>
          <w:sz w:val="24"/>
          <w:szCs w:val="24"/>
        </w:rPr>
        <w:t>s</w:t>
      </w:r>
      <w:r w:rsidR="0079652C" w:rsidRPr="00E004A2">
        <w:rPr>
          <w:rFonts w:ascii="Garamond" w:hAnsi="Garamond"/>
          <w:kern w:val="1"/>
          <w:sz w:val="24"/>
          <w:szCs w:val="24"/>
        </w:rPr>
        <w:t xml:space="preserve"> or word</w:t>
      </w:r>
      <w:r w:rsidR="002018A4" w:rsidRPr="00E004A2">
        <w:rPr>
          <w:rFonts w:ascii="Garamond" w:hAnsi="Garamond"/>
          <w:kern w:val="1"/>
          <w:sz w:val="24"/>
          <w:szCs w:val="24"/>
        </w:rPr>
        <w:t xml:space="preserve">s, </w:t>
      </w:r>
      <w:r w:rsidR="0079652C" w:rsidRPr="00E004A2">
        <w:rPr>
          <w:rFonts w:ascii="Garamond" w:hAnsi="Garamond"/>
          <w:kern w:val="1"/>
          <w:sz w:val="24"/>
          <w:szCs w:val="24"/>
        </w:rPr>
        <w:t xml:space="preserve">thereby creating a gendering symbolism that enacted exclusionary norms whilst simultaneously instantiating these norms as law through </w:t>
      </w:r>
      <w:r w:rsidR="00560D81" w:rsidRPr="00E004A2">
        <w:rPr>
          <w:rFonts w:ascii="Garamond" w:hAnsi="Garamond"/>
          <w:kern w:val="1"/>
          <w:sz w:val="24"/>
          <w:szCs w:val="24"/>
        </w:rPr>
        <w:t>legal language in textual form</w:t>
      </w:r>
      <w:r w:rsidR="008F437E" w:rsidRPr="00E004A2">
        <w:rPr>
          <w:rFonts w:ascii="Garamond" w:hAnsi="Garamond"/>
          <w:kern w:val="1"/>
          <w:sz w:val="24"/>
          <w:szCs w:val="24"/>
        </w:rPr>
        <w:t xml:space="preserve">. As </w:t>
      </w:r>
      <w:r w:rsidR="00583D2C" w:rsidRPr="00E004A2">
        <w:rPr>
          <w:rFonts w:ascii="Garamond" w:hAnsi="Garamond"/>
          <w:kern w:val="1"/>
          <w:sz w:val="24"/>
          <w:szCs w:val="24"/>
        </w:rPr>
        <w:t>We</w:t>
      </w:r>
      <w:r w:rsidR="002E1E36" w:rsidRPr="00E004A2">
        <w:rPr>
          <w:rFonts w:ascii="Garamond" w:hAnsi="Garamond"/>
          <w:kern w:val="1"/>
          <w:sz w:val="24"/>
          <w:szCs w:val="24"/>
        </w:rPr>
        <w:t>n</w:t>
      </w:r>
      <w:r w:rsidR="00583D2C" w:rsidRPr="00E004A2">
        <w:rPr>
          <w:rFonts w:ascii="Garamond" w:hAnsi="Garamond"/>
          <w:kern w:val="1"/>
          <w:sz w:val="24"/>
          <w:szCs w:val="24"/>
        </w:rPr>
        <w:t>d</w:t>
      </w:r>
      <w:r w:rsidR="002E1E36" w:rsidRPr="00E004A2">
        <w:rPr>
          <w:rFonts w:ascii="Garamond" w:hAnsi="Garamond"/>
          <w:kern w:val="1"/>
          <w:sz w:val="24"/>
          <w:szCs w:val="24"/>
        </w:rPr>
        <w:t xml:space="preserve">y </w:t>
      </w:r>
      <w:proofErr w:type="spellStart"/>
      <w:r w:rsidR="003A398A" w:rsidRPr="00E004A2">
        <w:rPr>
          <w:rFonts w:ascii="Garamond" w:hAnsi="Garamond"/>
          <w:kern w:val="1"/>
          <w:sz w:val="24"/>
          <w:szCs w:val="24"/>
        </w:rPr>
        <w:t>Martyna</w:t>
      </w:r>
      <w:proofErr w:type="spellEnd"/>
      <w:r w:rsidR="003A398A" w:rsidRPr="00E004A2">
        <w:rPr>
          <w:rFonts w:ascii="Garamond" w:hAnsi="Garamond"/>
          <w:kern w:val="1"/>
          <w:sz w:val="24"/>
          <w:szCs w:val="24"/>
        </w:rPr>
        <w:t xml:space="preserve"> put it, the widespread opposition that feminists faced in drawing attention to gender</w:t>
      </w:r>
      <w:r w:rsidR="006E3733" w:rsidRPr="00E004A2">
        <w:rPr>
          <w:rFonts w:ascii="Garamond" w:hAnsi="Garamond"/>
          <w:kern w:val="1"/>
          <w:sz w:val="24"/>
          <w:szCs w:val="24"/>
        </w:rPr>
        <w:t xml:space="preserve">ed and sexist terms was not </w:t>
      </w:r>
      <w:r w:rsidR="003A398A" w:rsidRPr="00E004A2">
        <w:rPr>
          <w:rFonts w:ascii="Garamond" w:hAnsi="Garamond"/>
          <w:kern w:val="1"/>
          <w:sz w:val="24"/>
          <w:szCs w:val="24"/>
        </w:rPr>
        <w:t>merely</w:t>
      </w:r>
      <w:r w:rsidR="006E3733" w:rsidRPr="00E004A2">
        <w:rPr>
          <w:rFonts w:ascii="Garamond" w:hAnsi="Garamond"/>
          <w:kern w:val="1"/>
          <w:sz w:val="24"/>
          <w:szCs w:val="24"/>
        </w:rPr>
        <w:t xml:space="preserve"> due</w:t>
      </w:r>
      <w:r w:rsidR="003A398A" w:rsidRPr="00E004A2">
        <w:rPr>
          <w:rFonts w:ascii="Garamond" w:hAnsi="Garamond"/>
          <w:kern w:val="1"/>
          <w:sz w:val="24"/>
          <w:szCs w:val="24"/>
        </w:rPr>
        <w:t xml:space="preserve"> to antifeminism, but also</w:t>
      </w:r>
      <w:r w:rsidR="00443D87" w:rsidRPr="00E004A2">
        <w:rPr>
          <w:rFonts w:ascii="Garamond" w:hAnsi="Garamond"/>
          <w:kern w:val="1"/>
          <w:sz w:val="24"/>
          <w:szCs w:val="24"/>
        </w:rPr>
        <w:t xml:space="preserve"> perhaps</w:t>
      </w:r>
      <w:r w:rsidR="003A398A" w:rsidRPr="00E004A2">
        <w:rPr>
          <w:rFonts w:ascii="Garamond" w:hAnsi="Garamond"/>
          <w:kern w:val="1"/>
          <w:sz w:val="24"/>
          <w:szCs w:val="24"/>
        </w:rPr>
        <w:t xml:space="preserve"> to a cultural resistance against recognising the power of language itself:</w:t>
      </w:r>
      <w:r w:rsidR="00132622">
        <w:rPr>
          <w:rFonts w:ascii="Garamond" w:hAnsi="Garamond"/>
          <w:kern w:val="1"/>
          <w:sz w:val="24"/>
          <w:szCs w:val="24"/>
        </w:rPr>
        <w:t xml:space="preserve"> ‘</w:t>
      </w:r>
      <w:r w:rsidR="003A398A" w:rsidRPr="00E004A2">
        <w:rPr>
          <w:rFonts w:ascii="Garamond" w:hAnsi="Garamond"/>
          <w:kern w:val="1"/>
          <w:sz w:val="24"/>
          <w:szCs w:val="24"/>
        </w:rPr>
        <w:t>We may still be in the midst of a cultural reaction against early preoccupation with the magical power of words</w:t>
      </w:r>
      <w:r w:rsidR="00132622">
        <w:rPr>
          <w:rFonts w:ascii="Garamond" w:hAnsi="Garamond"/>
          <w:kern w:val="1"/>
          <w:sz w:val="24"/>
          <w:szCs w:val="24"/>
        </w:rPr>
        <w:t>’</w:t>
      </w:r>
      <w:r w:rsidR="003A398A" w:rsidRPr="00E004A2">
        <w:rPr>
          <w:rFonts w:ascii="Garamond" w:hAnsi="Garamond"/>
          <w:kern w:val="1"/>
          <w:sz w:val="24"/>
          <w:szCs w:val="24"/>
        </w:rPr>
        <w:t xml:space="preserve">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{"citationID":"1ZOO5tP3","properties":{"formattedCitation":"(Martyna, 1980, p. 492)","plainCitation":"(Martyna, 1980, p. 492)","noteIndex":0},"citationItems":[{"id":2766,"uris":["http://zotero.org/groups/1576676/items/PCMUNP5Q"],"uri":["http://zotero.org/groups/1576676/items/PCMUNP5Q"],"itemData":{"id":2766,"type":"article-journal","container-title":"Signs","ISSN":"0097-9740","issue":"3","page":"482-493","source":"JSTOR","title":"Beyond the \"He/Man\" Approach: The Case for Nonsexist Language","title-short":"Beyond the \"He/Man\" Approach","volume":"5","author":[{"family":"Martyna","given":"Wendy"}],"issued":{"date-parts":[["1980"]]}},"locator":"492","label":"page"}],"schema":"https://github.com/citation-style-language/schema/raw/master/csl-citation.json"}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(Martyna, 1980, p. 492)</w:t>
      </w:r>
      <w:r w:rsidR="00625EBE" w:rsidRPr="00E004A2">
        <w:rPr>
          <w:rFonts w:ascii="Garamond" w:hAnsi="Garamond"/>
          <w:kern w:val="1"/>
          <w:sz w:val="24"/>
          <w:szCs w:val="24"/>
        </w:rPr>
        <w:fldChar w:fldCharType="end"/>
      </w:r>
      <w:r w:rsidR="00132622">
        <w:rPr>
          <w:rFonts w:ascii="Garamond" w:hAnsi="Garamond"/>
          <w:kern w:val="1"/>
          <w:sz w:val="24"/>
          <w:szCs w:val="24"/>
        </w:rPr>
        <w:t>.</w:t>
      </w:r>
    </w:p>
    <w:p w14:paraId="0B4E290C" w14:textId="000DC19F" w:rsidR="004F7A19" w:rsidRPr="00E004A2" w:rsidRDefault="007C6214" w:rsidP="00833D8C">
      <w:pPr>
        <w:spacing w:line="480" w:lineRule="auto"/>
        <w:ind w:firstLine="720"/>
        <w:rPr>
          <w:rFonts w:ascii="Garamond" w:hAnsi="Garamond"/>
          <w:kern w:val="1"/>
          <w:sz w:val="24"/>
          <w:szCs w:val="24"/>
        </w:rPr>
      </w:pPr>
      <w:r w:rsidRPr="00E004A2">
        <w:rPr>
          <w:rFonts w:ascii="Garamond" w:hAnsi="Garamond"/>
          <w:kern w:val="1"/>
          <w:sz w:val="24"/>
          <w:szCs w:val="24"/>
        </w:rPr>
        <w:t>Many f</w:t>
      </w:r>
      <w:r w:rsidR="00692501" w:rsidRPr="00E004A2">
        <w:rPr>
          <w:rFonts w:ascii="Garamond" w:hAnsi="Garamond"/>
          <w:kern w:val="1"/>
          <w:sz w:val="24"/>
          <w:szCs w:val="24"/>
        </w:rPr>
        <w:t xml:space="preserve">eminists at the time, and since, have understood </w:t>
      </w:r>
      <w:r w:rsidR="00443D87" w:rsidRPr="00E004A2">
        <w:rPr>
          <w:rFonts w:ascii="Garamond" w:hAnsi="Garamond"/>
          <w:kern w:val="1"/>
          <w:sz w:val="24"/>
          <w:szCs w:val="24"/>
        </w:rPr>
        <w:t>the ‘magical power of words’ to go</w:t>
      </w:r>
      <w:r w:rsidR="00692501" w:rsidRPr="00E004A2">
        <w:rPr>
          <w:rFonts w:ascii="Garamond" w:hAnsi="Garamond"/>
          <w:kern w:val="1"/>
          <w:sz w:val="24"/>
          <w:szCs w:val="24"/>
        </w:rPr>
        <w:t xml:space="preserve"> far beyond legal</w:t>
      </w:r>
      <w:r w:rsidR="00443D87" w:rsidRPr="00E004A2">
        <w:rPr>
          <w:rFonts w:ascii="Garamond" w:hAnsi="Garamond"/>
          <w:kern w:val="1"/>
          <w:sz w:val="24"/>
          <w:szCs w:val="24"/>
        </w:rPr>
        <w:t xml:space="preserve"> texts, encompassing </w:t>
      </w:r>
      <w:r w:rsidRPr="00E004A2">
        <w:rPr>
          <w:rFonts w:ascii="Garamond" w:hAnsi="Garamond"/>
          <w:kern w:val="1"/>
          <w:sz w:val="24"/>
          <w:szCs w:val="24"/>
        </w:rPr>
        <w:t xml:space="preserve">a range of </w:t>
      </w:r>
      <w:r w:rsidR="00692501" w:rsidRPr="00E004A2">
        <w:rPr>
          <w:rFonts w:ascii="Garamond" w:hAnsi="Garamond"/>
          <w:kern w:val="1"/>
          <w:sz w:val="24"/>
          <w:szCs w:val="24"/>
        </w:rPr>
        <w:t>social and cultural expression</w:t>
      </w:r>
      <w:r w:rsidR="0014664E" w:rsidRPr="00E004A2">
        <w:rPr>
          <w:rFonts w:ascii="Garamond" w:hAnsi="Garamond"/>
          <w:kern w:val="1"/>
          <w:sz w:val="24"/>
          <w:szCs w:val="24"/>
        </w:rPr>
        <w:t xml:space="preserve">. </w:t>
      </w:r>
      <w:r w:rsidR="004F7A19" w:rsidRPr="00E004A2">
        <w:rPr>
          <w:rFonts w:ascii="Garamond" w:hAnsi="Garamond"/>
          <w:kern w:val="1"/>
          <w:sz w:val="24"/>
          <w:szCs w:val="24"/>
        </w:rPr>
        <w:t>For</w:t>
      </w:r>
      <w:r w:rsidR="0079652C" w:rsidRPr="00E004A2">
        <w:rPr>
          <w:rFonts w:ascii="Garamond" w:hAnsi="Garamond"/>
          <w:kern w:val="1"/>
          <w:sz w:val="24"/>
          <w:szCs w:val="24"/>
        </w:rPr>
        <w:t xml:space="preserve"> feminist </w:t>
      </w:r>
      <w:r w:rsidR="001837A2" w:rsidRPr="00E004A2">
        <w:rPr>
          <w:rFonts w:ascii="Garamond" w:hAnsi="Garamond"/>
          <w:kern w:val="1"/>
          <w:sz w:val="24"/>
          <w:szCs w:val="24"/>
        </w:rPr>
        <w:lastRenderedPageBreak/>
        <w:t xml:space="preserve">legal </w:t>
      </w:r>
      <w:r w:rsidR="0079652C" w:rsidRPr="00E004A2">
        <w:rPr>
          <w:rFonts w:ascii="Garamond" w:hAnsi="Garamond"/>
          <w:kern w:val="1"/>
          <w:sz w:val="24"/>
          <w:szCs w:val="24"/>
        </w:rPr>
        <w:t xml:space="preserve">activists and academics in the 1960s and 1970s, </w:t>
      </w:r>
      <w:r w:rsidRPr="00E004A2">
        <w:rPr>
          <w:rFonts w:ascii="Garamond" w:hAnsi="Garamond"/>
          <w:kern w:val="1"/>
          <w:sz w:val="24"/>
          <w:szCs w:val="24"/>
        </w:rPr>
        <w:t xml:space="preserve">the </w:t>
      </w:r>
      <w:r w:rsidR="0079652C" w:rsidRPr="00E004A2">
        <w:rPr>
          <w:rFonts w:ascii="Garamond" w:hAnsi="Garamond"/>
          <w:kern w:val="1"/>
          <w:sz w:val="24"/>
          <w:szCs w:val="24"/>
        </w:rPr>
        <w:t>sheer power of language to shape and enact social norms when mobilised through law</w:t>
      </w:r>
      <w:r w:rsidR="00040D34" w:rsidRPr="00E004A2">
        <w:rPr>
          <w:rFonts w:ascii="Garamond" w:hAnsi="Garamond"/>
          <w:kern w:val="1"/>
          <w:sz w:val="24"/>
          <w:szCs w:val="24"/>
        </w:rPr>
        <w:t xml:space="preserve"> </w:t>
      </w:r>
      <w:r w:rsidR="0079652C" w:rsidRPr="00E004A2">
        <w:rPr>
          <w:rFonts w:ascii="Garamond" w:hAnsi="Garamond"/>
          <w:kern w:val="1"/>
          <w:sz w:val="24"/>
          <w:szCs w:val="24"/>
        </w:rPr>
        <w:t xml:space="preserve">demanded a strategy that would intervene into legal text and expression, </w:t>
      </w:r>
      <w:r w:rsidRPr="00E004A2">
        <w:rPr>
          <w:rFonts w:ascii="Garamond" w:hAnsi="Garamond"/>
          <w:kern w:val="1"/>
          <w:sz w:val="24"/>
          <w:szCs w:val="24"/>
        </w:rPr>
        <w:t>conjuring</w:t>
      </w:r>
      <w:r w:rsidR="00C278BC" w:rsidRPr="00E004A2">
        <w:rPr>
          <w:rFonts w:ascii="Garamond" w:hAnsi="Garamond"/>
          <w:kern w:val="1"/>
          <w:sz w:val="24"/>
          <w:szCs w:val="24"/>
        </w:rPr>
        <w:t xml:space="preserve"> otherwise</w:t>
      </w:r>
      <w:r w:rsidRPr="00E004A2">
        <w:rPr>
          <w:rFonts w:ascii="Garamond" w:hAnsi="Garamond"/>
          <w:kern w:val="1"/>
          <w:sz w:val="24"/>
          <w:szCs w:val="24"/>
        </w:rPr>
        <w:t xml:space="preserve"> </w:t>
      </w:r>
      <w:r w:rsidR="004F7A19" w:rsidRPr="00E004A2">
        <w:rPr>
          <w:rFonts w:ascii="Garamond" w:hAnsi="Garamond"/>
          <w:kern w:val="1"/>
          <w:sz w:val="24"/>
          <w:szCs w:val="24"/>
        </w:rPr>
        <w:t>the magic of</w:t>
      </w:r>
      <w:r w:rsidR="008F7CC2" w:rsidRPr="00E004A2">
        <w:rPr>
          <w:rFonts w:ascii="Garamond" w:hAnsi="Garamond"/>
          <w:kern w:val="1"/>
          <w:sz w:val="24"/>
          <w:szCs w:val="24"/>
        </w:rPr>
        <w:t xml:space="preserve"> </w:t>
      </w:r>
      <w:r w:rsidR="004F7A19" w:rsidRPr="00E004A2">
        <w:rPr>
          <w:rFonts w:ascii="Garamond" w:hAnsi="Garamond"/>
          <w:kern w:val="1"/>
          <w:sz w:val="24"/>
          <w:szCs w:val="24"/>
        </w:rPr>
        <w:t xml:space="preserve">androcentric legal expression </w:t>
      </w:r>
      <w:r w:rsidR="0079652C" w:rsidRPr="00E004A2">
        <w:rPr>
          <w:rFonts w:ascii="Garamond" w:hAnsi="Garamond"/>
          <w:kern w:val="1"/>
          <w:sz w:val="24"/>
          <w:szCs w:val="24"/>
        </w:rPr>
        <w:t>by bringing back in the neglected sex/gender</w:t>
      </w:r>
      <w:r w:rsidR="004F7A19" w:rsidRPr="00E004A2">
        <w:rPr>
          <w:rFonts w:ascii="Garamond" w:hAnsi="Garamond"/>
          <w:kern w:val="1"/>
          <w:sz w:val="24"/>
          <w:szCs w:val="24"/>
        </w:rPr>
        <w:t xml:space="preserve">. The results of </w:t>
      </w:r>
      <w:r w:rsidR="00D26C61" w:rsidRPr="00E004A2">
        <w:rPr>
          <w:rFonts w:ascii="Garamond" w:hAnsi="Garamond"/>
          <w:kern w:val="1"/>
          <w:sz w:val="24"/>
          <w:szCs w:val="24"/>
        </w:rPr>
        <w:t>these</w:t>
      </w:r>
      <w:r w:rsidR="008A50D7" w:rsidRPr="00E004A2">
        <w:rPr>
          <w:rFonts w:ascii="Garamond" w:hAnsi="Garamond"/>
          <w:kern w:val="1"/>
          <w:sz w:val="24"/>
          <w:szCs w:val="24"/>
        </w:rPr>
        <w:t xml:space="preserve"> feminist </w:t>
      </w:r>
      <w:r w:rsidR="004F7A19" w:rsidRPr="00E004A2">
        <w:rPr>
          <w:rFonts w:ascii="Garamond" w:hAnsi="Garamond"/>
          <w:kern w:val="1"/>
          <w:sz w:val="24"/>
          <w:szCs w:val="24"/>
        </w:rPr>
        <w:t>interventions a</w:t>
      </w:r>
      <w:r w:rsidR="0014664E" w:rsidRPr="00E004A2">
        <w:rPr>
          <w:rFonts w:ascii="Garamond" w:hAnsi="Garamond"/>
          <w:kern w:val="1"/>
          <w:sz w:val="24"/>
          <w:szCs w:val="24"/>
        </w:rPr>
        <w:t>re inherently difficult to trace</w:t>
      </w:r>
      <w:r w:rsidR="004F7A19" w:rsidRPr="00E004A2">
        <w:rPr>
          <w:rFonts w:ascii="Garamond" w:hAnsi="Garamond"/>
          <w:kern w:val="1"/>
          <w:sz w:val="24"/>
          <w:szCs w:val="24"/>
        </w:rPr>
        <w:t>, leaving feminists curious about the social effects of language:</w:t>
      </w:r>
    </w:p>
    <w:p w14:paraId="50895E04" w14:textId="798143F6" w:rsidR="004F7A19" w:rsidRPr="00E004A2" w:rsidRDefault="004F7A19" w:rsidP="001C3C86">
      <w:pPr>
        <w:spacing w:line="480" w:lineRule="auto"/>
        <w:ind w:left="720"/>
        <w:rPr>
          <w:rFonts w:ascii="Garamond" w:hAnsi="Garamond"/>
          <w:kern w:val="1"/>
          <w:sz w:val="24"/>
          <w:szCs w:val="24"/>
        </w:rPr>
      </w:pPr>
      <w:r w:rsidRPr="00E004A2">
        <w:rPr>
          <w:rFonts w:ascii="Garamond" w:hAnsi="Garamond"/>
          <w:color w:val="000000"/>
          <w:sz w:val="24"/>
          <w:szCs w:val="24"/>
        </w:rPr>
        <w:t>… the more interesting question for me is, has it really changed? Has language really changed the way people actually act? I don't know the answer to that. I do know that women have more opportunities than they had than when I started out.</w:t>
      </w:r>
      <w:r w:rsidR="002E1E36" w:rsidRPr="00E004A2">
        <w:rPr>
          <w:rFonts w:ascii="Garamond" w:hAnsi="Garamond"/>
          <w:color w:val="000000"/>
          <w:sz w:val="24"/>
          <w:szCs w:val="24"/>
        </w:rPr>
        <w:t xml:space="preserve"> (Interview with Margaret Wilson, </w:t>
      </w:r>
      <w:r w:rsidR="0066309E" w:rsidRPr="00E004A2">
        <w:rPr>
          <w:rFonts w:ascii="Garamond" w:hAnsi="Garamond"/>
          <w:color w:val="000000"/>
          <w:sz w:val="24"/>
          <w:szCs w:val="24"/>
        </w:rPr>
        <w:t xml:space="preserve">former New Zealand Minister with responsibility for legislative drafting, </w:t>
      </w:r>
      <w:r w:rsidR="002E1E36" w:rsidRPr="00E004A2">
        <w:rPr>
          <w:rFonts w:ascii="Garamond" w:hAnsi="Garamond"/>
          <w:color w:val="000000"/>
          <w:sz w:val="24"/>
          <w:szCs w:val="24"/>
        </w:rPr>
        <w:t>2019</w:t>
      </w:r>
      <w:r w:rsidRPr="00E004A2">
        <w:rPr>
          <w:rFonts w:ascii="Garamond" w:hAnsi="Garamond"/>
          <w:color w:val="000000"/>
          <w:sz w:val="24"/>
          <w:szCs w:val="24"/>
        </w:rPr>
        <w:t>)</w:t>
      </w:r>
    </w:p>
    <w:p w14:paraId="37C912D9" w14:textId="0DBEEE33" w:rsidR="00B30D1C" w:rsidRPr="00E004A2" w:rsidRDefault="004F7A19" w:rsidP="00833D8C">
      <w:pPr>
        <w:spacing w:line="480" w:lineRule="auto"/>
        <w:rPr>
          <w:rFonts w:ascii="Garamond" w:hAnsi="Garamond"/>
          <w:kern w:val="1"/>
          <w:sz w:val="24"/>
          <w:szCs w:val="24"/>
        </w:rPr>
      </w:pPr>
      <w:r w:rsidRPr="00E004A2">
        <w:rPr>
          <w:rFonts w:ascii="Garamond" w:hAnsi="Garamond"/>
          <w:kern w:val="1"/>
          <w:sz w:val="24"/>
          <w:szCs w:val="24"/>
        </w:rPr>
        <w:t>Yet the power of gender</w:t>
      </w:r>
      <w:r w:rsidR="00760341" w:rsidRPr="00E004A2">
        <w:rPr>
          <w:rFonts w:ascii="Garamond" w:hAnsi="Garamond"/>
          <w:kern w:val="1"/>
          <w:sz w:val="24"/>
          <w:szCs w:val="24"/>
        </w:rPr>
        <w:t>ing</w:t>
      </w:r>
      <w:r w:rsidRPr="00E004A2">
        <w:rPr>
          <w:rFonts w:ascii="Garamond" w:hAnsi="Garamond"/>
          <w:kern w:val="1"/>
          <w:sz w:val="24"/>
          <w:szCs w:val="24"/>
        </w:rPr>
        <w:t xml:space="preserve"> language is </w:t>
      </w:r>
      <w:r w:rsidR="0014664E" w:rsidRPr="00E004A2">
        <w:rPr>
          <w:rFonts w:ascii="Garamond" w:hAnsi="Garamond"/>
          <w:kern w:val="1"/>
          <w:sz w:val="24"/>
          <w:szCs w:val="24"/>
        </w:rPr>
        <w:t xml:space="preserve">now </w:t>
      </w:r>
      <w:r w:rsidR="005538BB" w:rsidRPr="00E004A2">
        <w:rPr>
          <w:rFonts w:ascii="Garamond" w:hAnsi="Garamond"/>
          <w:kern w:val="1"/>
          <w:sz w:val="24"/>
          <w:szCs w:val="24"/>
        </w:rPr>
        <w:t xml:space="preserve">widely </w:t>
      </w:r>
      <w:r w:rsidRPr="00E004A2">
        <w:rPr>
          <w:rFonts w:ascii="Garamond" w:hAnsi="Garamond"/>
          <w:kern w:val="1"/>
          <w:sz w:val="24"/>
          <w:szCs w:val="24"/>
        </w:rPr>
        <w:t xml:space="preserve">accepted </w:t>
      </w:r>
      <w:r w:rsidR="005B4AED" w:rsidRPr="00E004A2">
        <w:rPr>
          <w:rFonts w:ascii="Garamond" w:hAnsi="Garamond"/>
          <w:kern w:val="1"/>
          <w:sz w:val="24"/>
          <w:szCs w:val="24"/>
        </w:rPr>
        <w:t xml:space="preserve">within professional communities of </w:t>
      </w:r>
      <w:r w:rsidR="005538BB" w:rsidRPr="00E004A2">
        <w:rPr>
          <w:rFonts w:ascii="Garamond" w:hAnsi="Garamond"/>
          <w:kern w:val="1"/>
          <w:sz w:val="24"/>
          <w:szCs w:val="24"/>
        </w:rPr>
        <w:t>legisla</w:t>
      </w:r>
      <w:r w:rsidR="005B4AED" w:rsidRPr="00E004A2">
        <w:rPr>
          <w:rFonts w:ascii="Garamond" w:hAnsi="Garamond"/>
          <w:kern w:val="1"/>
          <w:sz w:val="24"/>
          <w:szCs w:val="24"/>
        </w:rPr>
        <w:t>tive drafters</w:t>
      </w:r>
      <w:r w:rsidR="005538BB" w:rsidRPr="00E004A2">
        <w:rPr>
          <w:rFonts w:ascii="Garamond" w:hAnsi="Garamond"/>
          <w:kern w:val="1"/>
          <w:sz w:val="24"/>
          <w:szCs w:val="24"/>
        </w:rPr>
        <w:t xml:space="preserve">. As the influential text </w:t>
      </w:r>
      <w:r w:rsidR="005538BB" w:rsidRPr="00E004A2">
        <w:rPr>
          <w:rFonts w:ascii="Garamond" w:hAnsi="Garamond"/>
          <w:i/>
          <w:kern w:val="1"/>
          <w:sz w:val="24"/>
          <w:szCs w:val="24"/>
        </w:rPr>
        <w:t>Thornton’s Legislative Drafting</w:t>
      </w:r>
      <w:r w:rsidR="005538BB" w:rsidRPr="00E004A2">
        <w:rPr>
          <w:rFonts w:ascii="Garamond" w:hAnsi="Garamond"/>
          <w:kern w:val="1"/>
          <w:sz w:val="24"/>
          <w:szCs w:val="24"/>
        </w:rPr>
        <w:t xml:space="preserve"> puts it: </w:t>
      </w:r>
      <w:r w:rsidR="00F44C4E" w:rsidRPr="00E004A2">
        <w:rPr>
          <w:rFonts w:ascii="Garamond" w:hAnsi="Garamond"/>
          <w:kern w:val="1"/>
          <w:sz w:val="24"/>
          <w:szCs w:val="24"/>
        </w:rPr>
        <w:t xml:space="preserve">‘the enactment of legislation in ‘masculine’ language contributes to the perpetuation of a male-oriented society in which women are seen as having a lower status and value’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{"citationID":"VgDbHcCM","properties":{"formattedCitation":"(Xanthaki, 2013, p. 80)","plainCitation":"(Xanthaki, 2013, p. 80)","noteIndex":0},"citationItems":[{"id":692,"uris":["http://zotero.org/users/1070015/items/WPIWQH4A"],"uri":["http://zotero.org/users/1070015/items/WPIWQH4A"],"itemData":{"id":692,"type":"book","publisher":"Bloomsbury","title":"Thornton's Legislative Drafting","editor":[{"family":"Xanthaki","given":"Helen"}],"issued":{"date-parts":[["2013"]]}},"locator":"80","label":"page"}],"schema":"https://github.com/citation-style-language/schema/raw/master/csl-citation.json"}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(Xanthaki, 2013, p. 80)</w:t>
      </w:r>
      <w:r w:rsidR="00625EBE" w:rsidRPr="00E004A2">
        <w:rPr>
          <w:rFonts w:ascii="Garamond" w:hAnsi="Garamond"/>
          <w:kern w:val="1"/>
          <w:sz w:val="24"/>
          <w:szCs w:val="24"/>
        </w:rPr>
        <w:fldChar w:fldCharType="end"/>
      </w:r>
      <w:r w:rsidR="005538BB" w:rsidRPr="00E004A2">
        <w:rPr>
          <w:rFonts w:ascii="Garamond" w:hAnsi="Garamond"/>
          <w:kern w:val="1"/>
          <w:sz w:val="24"/>
          <w:szCs w:val="24"/>
        </w:rPr>
        <w:t>.</w:t>
      </w:r>
      <w:r w:rsidR="00833D8C" w:rsidRPr="00E004A2">
        <w:rPr>
          <w:rFonts w:ascii="Garamond" w:hAnsi="Garamond"/>
          <w:kern w:val="1"/>
          <w:sz w:val="24"/>
          <w:szCs w:val="24"/>
        </w:rPr>
        <w:t xml:space="preserve"> </w:t>
      </w:r>
    </w:p>
    <w:p w14:paraId="37E4E154" w14:textId="77777777" w:rsidR="008F437E" w:rsidRPr="00E004A2" w:rsidRDefault="008F437E" w:rsidP="008F437E">
      <w:pPr>
        <w:spacing w:line="480" w:lineRule="auto"/>
        <w:rPr>
          <w:rFonts w:ascii="Garamond" w:hAnsi="Garamond"/>
          <w:kern w:val="1"/>
          <w:sz w:val="24"/>
          <w:szCs w:val="24"/>
        </w:rPr>
      </w:pPr>
    </w:p>
    <w:p w14:paraId="62A52CD4" w14:textId="315DCCE0" w:rsidR="008F437E" w:rsidRPr="00F30512" w:rsidRDefault="002E1E36" w:rsidP="00AB3405">
      <w:pPr>
        <w:pStyle w:val="Heading3"/>
      </w:pPr>
      <w:r w:rsidRPr="00F30512">
        <w:t xml:space="preserve">Reforming </w:t>
      </w:r>
      <w:r w:rsidR="00CE21AD">
        <w:t>“</w:t>
      </w:r>
      <w:r w:rsidR="00AB3405">
        <w:t>He or S</w:t>
      </w:r>
      <w:r w:rsidRPr="00F30512">
        <w:t>he</w:t>
      </w:r>
      <w:r w:rsidR="00CE21AD">
        <w:t>”</w:t>
      </w:r>
    </w:p>
    <w:p w14:paraId="55F97316" w14:textId="778F0346" w:rsidR="00D04F41" w:rsidRPr="00E004A2" w:rsidRDefault="00B30D1C" w:rsidP="00991701">
      <w:pPr>
        <w:spacing w:line="480" w:lineRule="auto"/>
        <w:rPr>
          <w:rFonts w:ascii="Garamond" w:hAnsi="Garamond"/>
          <w:kern w:val="1"/>
          <w:sz w:val="24"/>
          <w:szCs w:val="24"/>
        </w:rPr>
      </w:pPr>
      <w:r w:rsidRPr="00E004A2">
        <w:rPr>
          <w:rFonts w:ascii="Garamond" w:hAnsi="Garamond"/>
          <w:kern w:val="1"/>
          <w:sz w:val="24"/>
          <w:szCs w:val="24"/>
        </w:rPr>
        <w:t>Reintroducing the feminine into</w:t>
      </w:r>
      <w:r w:rsidR="00CA0CA1" w:rsidRPr="00E004A2">
        <w:rPr>
          <w:rFonts w:ascii="Garamond" w:hAnsi="Garamond"/>
          <w:kern w:val="1"/>
          <w:sz w:val="24"/>
          <w:szCs w:val="24"/>
        </w:rPr>
        <w:t xml:space="preserve"> statutory text</w:t>
      </w:r>
      <w:r w:rsidR="007368D6" w:rsidRPr="00E004A2">
        <w:rPr>
          <w:rFonts w:ascii="Garamond" w:hAnsi="Garamond"/>
          <w:kern w:val="1"/>
          <w:sz w:val="24"/>
          <w:szCs w:val="24"/>
        </w:rPr>
        <w:t xml:space="preserve"> </w:t>
      </w:r>
      <w:r w:rsidRPr="00E004A2">
        <w:rPr>
          <w:rFonts w:ascii="Garamond" w:hAnsi="Garamond"/>
          <w:kern w:val="1"/>
          <w:sz w:val="24"/>
          <w:szCs w:val="24"/>
        </w:rPr>
        <w:t xml:space="preserve">has not been easy. </w:t>
      </w:r>
      <w:r w:rsidR="00CA0CA1" w:rsidRPr="00E004A2">
        <w:rPr>
          <w:rFonts w:ascii="Garamond" w:hAnsi="Garamond"/>
          <w:kern w:val="1"/>
          <w:sz w:val="24"/>
          <w:szCs w:val="24"/>
        </w:rPr>
        <w:t xml:space="preserve">An obvious target might be interpretation legislation itself. </w:t>
      </w:r>
      <w:proofErr w:type="spellStart"/>
      <w:r w:rsidR="00C352C9" w:rsidRPr="00E004A2">
        <w:rPr>
          <w:rFonts w:ascii="Garamond" w:hAnsi="Garamond"/>
          <w:kern w:val="1"/>
          <w:sz w:val="24"/>
          <w:szCs w:val="24"/>
        </w:rPr>
        <w:t>Petersson</w:t>
      </w:r>
      <w:proofErr w:type="spellEnd"/>
      <w:r w:rsidR="00C352C9" w:rsidRPr="00E004A2">
        <w:rPr>
          <w:rFonts w:ascii="Garamond" w:hAnsi="Garamond"/>
          <w:kern w:val="1"/>
          <w:sz w:val="24"/>
          <w:szCs w:val="24"/>
        </w:rPr>
        <w:t xml:space="preserve"> identifies four potential reforms to the ‘masculine rule</w:t>
      </w:r>
      <w:r w:rsidR="00CA0CA1" w:rsidRPr="00E004A2">
        <w:rPr>
          <w:rFonts w:ascii="Garamond" w:hAnsi="Garamond"/>
          <w:kern w:val="1"/>
          <w:sz w:val="24"/>
          <w:szCs w:val="24"/>
        </w:rPr>
        <w:t>,</w:t>
      </w:r>
      <w:r w:rsidR="00C352C9" w:rsidRPr="00E004A2">
        <w:rPr>
          <w:rFonts w:ascii="Garamond" w:hAnsi="Garamond"/>
          <w:kern w:val="1"/>
          <w:sz w:val="24"/>
          <w:szCs w:val="24"/>
        </w:rPr>
        <w:t>’</w:t>
      </w:r>
      <w:r w:rsidR="00014DC1" w:rsidRPr="00E004A2">
        <w:rPr>
          <w:rFonts w:ascii="Garamond" w:hAnsi="Garamond"/>
          <w:kern w:val="1"/>
          <w:sz w:val="24"/>
          <w:szCs w:val="24"/>
        </w:rPr>
        <w:t xml:space="preserve"> </w:t>
      </w:r>
      <w:r w:rsidR="00CA0CA1" w:rsidRPr="00E004A2">
        <w:rPr>
          <w:rFonts w:ascii="Garamond" w:hAnsi="Garamond"/>
          <w:kern w:val="1"/>
          <w:sz w:val="24"/>
          <w:szCs w:val="24"/>
        </w:rPr>
        <w:t>for example</w:t>
      </w:r>
      <w:r w:rsidR="00014DC1" w:rsidRPr="00E004A2">
        <w:rPr>
          <w:rFonts w:ascii="Garamond" w:hAnsi="Garamond"/>
          <w:kern w:val="1"/>
          <w:sz w:val="24"/>
          <w:szCs w:val="24"/>
        </w:rPr>
        <w:t xml:space="preserve">: the two-way rule, the all-gender rule, the separate gender rule, and the removal of the masculine rule altogether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{"citationID":"2MUTLfMK","properties":{"formattedCitation":"(Petersson, 1999, p. 36)","plainCitation":"(Petersson, 1999, p. 36)","noteIndex":0},"citationItems":[{"id":686,"uris":["http://zotero.org/users/1070015/items/P39IM835"],"uri":["http://zotero.org/users/1070015/items/P39IM835"],"itemData":{"id":686,"type":"article-journal","container-title":"Statute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Developments","volume":"20","author":[{"family":"Petersson","given":"Sandra"}],"issued":{"date-parts":[["1999"]]}},"locator":"36","label":"page"}],"schema":"https://github.com/citation-style-language/schema/raw/master/csl-citation.json"}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(Petersson, 1999, p. 36)</w:t>
      </w:r>
      <w:r w:rsidR="00625EBE" w:rsidRPr="00E004A2">
        <w:rPr>
          <w:rFonts w:ascii="Garamond" w:hAnsi="Garamond"/>
          <w:kern w:val="1"/>
          <w:sz w:val="24"/>
          <w:szCs w:val="24"/>
        </w:rPr>
        <w:fldChar w:fldCharType="end"/>
      </w:r>
      <w:r w:rsidR="00625EBE" w:rsidRPr="00E004A2">
        <w:rPr>
          <w:rFonts w:ascii="Garamond" w:hAnsi="Garamond"/>
          <w:kern w:val="1"/>
          <w:sz w:val="24"/>
          <w:szCs w:val="24"/>
        </w:rPr>
        <w:t>.</w:t>
      </w:r>
      <w:r w:rsidR="00014DC1" w:rsidRPr="00E004A2">
        <w:rPr>
          <w:rFonts w:ascii="Garamond" w:hAnsi="Garamond"/>
          <w:kern w:val="1"/>
          <w:sz w:val="24"/>
          <w:szCs w:val="24"/>
        </w:rPr>
        <w:t xml:space="preserve"> The two-way</w:t>
      </w:r>
      <w:r w:rsidR="00DA272E">
        <w:rPr>
          <w:rFonts w:ascii="Garamond" w:hAnsi="Garamond"/>
          <w:kern w:val="1"/>
          <w:sz w:val="24"/>
          <w:szCs w:val="24"/>
        </w:rPr>
        <w:t xml:space="preserve"> rule</w:t>
      </w:r>
      <w:r w:rsidR="00014DC1" w:rsidRPr="00E004A2">
        <w:rPr>
          <w:rFonts w:ascii="Garamond" w:hAnsi="Garamond"/>
          <w:kern w:val="1"/>
          <w:sz w:val="24"/>
          <w:szCs w:val="24"/>
        </w:rPr>
        <w:t xml:space="preserve"> </w:t>
      </w:r>
      <w:r w:rsidR="00DA272E">
        <w:rPr>
          <w:rFonts w:ascii="Garamond" w:hAnsi="Garamond"/>
          <w:kern w:val="1"/>
          <w:sz w:val="24"/>
          <w:szCs w:val="24"/>
        </w:rPr>
        <w:t xml:space="preserve">is particularly interesting. It </w:t>
      </w:r>
      <w:r w:rsidR="00544ACC">
        <w:rPr>
          <w:rFonts w:ascii="Garamond" w:hAnsi="Garamond"/>
          <w:kern w:val="1"/>
          <w:sz w:val="24"/>
          <w:szCs w:val="24"/>
        </w:rPr>
        <w:t xml:space="preserve">provides for words importing the masculine and the feminine to </w:t>
      </w:r>
      <w:r w:rsidR="001C3C86">
        <w:rPr>
          <w:rFonts w:ascii="Garamond" w:hAnsi="Garamond"/>
          <w:kern w:val="1"/>
          <w:sz w:val="24"/>
          <w:szCs w:val="24"/>
        </w:rPr>
        <w:t>be read as each including the other. It</w:t>
      </w:r>
      <w:r w:rsidR="00014DC1" w:rsidRPr="00E004A2">
        <w:rPr>
          <w:rFonts w:ascii="Garamond" w:hAnsi="Garamond"/>
          <w:kern w:val="1"/>
          <w:sz w:val="24"/>
          <w:szCs w:val="24"/>
        </w:rPr>
        <w:t xml:space="preserve"> was </w:t>
      </w:r>
      <w:r w:rsidR="00890C7F" w:rsidRPr="00E004A2">
        <w:rPr>
          <w:rFonts w:ascii="Garamond" w:hAnsi="Garamond"/>
          <w:kern w:val="1"/>
          <w:sz w:val="24"/>
          <w:szCs w:val="24"/>
        </w:rPr>
        <w:t xml:space="preserve">initially used in Canada between 1837 and 1840 and much later </w:t>
      </w:r>
      <w:r w:rsidR="00014DC1" w:rsidRPr="00E004A2">
        <w:rPr>
          <w:rFonts w:ascii="Garamond" w:hAnsi="Garamond"/>
          <w:kern w:val="1"/>
          <w:sz w:val="24"/>
          <w:szCs w:val="24"/>
        </w:rPr>
        <w:t xml:space="preserve">adopted in the UK in section 6 of </w:t>
      </w:r>
      <w:r w:rsidR="001010ED">
        <w:rPr>
          <w:rFonts w:ascii="Garamond" w:hAnsi="Garamond"/>
          <w:kern w:val="1"/>
          <w:sz w:val="24"/>
          <w:szCs w:val="24"/>
        </w:rPr>
        <w:t xml:space="preserve">the </w:t>
      </w:r>
      <w:r w:rsidR="00014DC1" w:rsidRPr="00E004A2">
        <w:rPr>
          <w:rFonts w:ascii="Garamond" w:hAnsi="Garamond"/>
          <w:kern w:val="1"/>
          <w:sz w:val="24"/>
          <w:szCs w:val="24"/>
        </w:rPr>
        <w:t>Interpretation Act 1978:</w:t>
      </w:r>
    </w:p>
    <w:p w14:paraId="5DC1051B" w14:textId="77777777" w:rsidR="00014DC1" w:rsidRPr="00E004A2" w:rsidRDefault="00014DC1" w:rsidP="006C2233">
      <w:pPr>
        <w:spacing w:line="480" w:lineRule="auto"/>
        <w:rPr>
          <w:rFonts w:ascii="Garamond" w:hAnsi="Garamond"/>
          <w:kern w:val="1"/>
          <w:sz w:val="24"/>
          <w:szCs w:val="24"/>
        </w:rPr>
      </w:pPr>
      <w:r w:rsidRPr="00E004A2">
        <w:rPr>
          <w:rFonts w:ascii="Garamond" w:hAnsi="Garamond"/>
          <w:kern w:val="1"/>
          <w:sz w:val="24"/>
          <w:szCs w:val="24"/>
        </w:rPr>
        <w:tab/>
        <w:t>In any Act, unless the contrary intention appears, -</w:t>
      </w:r>
    </w:p>
    <w:p w14:paraId="50EDCF26" w14:textId="77777777" w:rsidR="00014DC1" w:rsidRPr="00E004A2" w:rsidRDefault="00014DC1" w:rsidP="006C2233">
      <w:pPr>
        <w:numPr>
          <w:ilvl w:val="0"/>
          <w:numId w:val="2"/>
        </w:numPr>
        <w:spacing w:line="480" w:lineRule="auto"/>
        <w:rPr>
          <w:rFonts w:ascii="Garamond" w:hAnsi="Garamond"/>
          <w:kern w:val="1"/>
          <w:sz w:val="24"/>
          <w:szCs w:val="24"/>
        </w:rPr>
      </w:pPr>
      <w:r w:rsidRPr="00E004A2">
        <w:rPr>
          <w:rFonts w:ascii="Garamond" w:hAnsi="Garamond"/>
          <w:kern w:val="1"/>
          <w:sz w:val="24"/>
          <w:szCs w:val="24"/>
        </w:rPr>
        <w:t>words importing the masculine gender include the feminine;</w:t>
      </w:r>
    </w:p>
    <w:p w14:paraId="4E30C5B0" w14:textId="77777777" w:rsidR="00014DC1" w:rsidRPr="00E004A2" w:rsidRDefault="00014DC1" w:rsidP="006C2233">
      <w:pPr>
        <w:numPr>
          <w:ilvl w:val="0"/>
          <w:numId w:val="2"/>
        </w:numPr>
        <w:spacing w:line="480" w:lineRule="auto"/>
        <w:rPr>
          <w:rFonts w:ascii="Garamond" w:hAnsi="Garamond"/>
          <w:kern w:val="1"/>
          <w:sz w:val="24"/>
          <w:szCs w:val="24"/>
        </w:rPr>
      </w:pPr>
      <w:r w:rsidRPr="00E004A2">
        <w:rPr>
          <w:rFonts w:ascii="Garamond" w:hAnsi="Garamond"/>
          <w:kern w:val="1"/>
          <w:sz w:val="24"/>
          <w:szCs w:val="24"/>
        </w:rPr>
        <w:lastRenderedPageBreak/>
        <w:t>words importing the feminine gender include the masculine;</w:t>
      </w:r>
    </w:p>
    <w:p w14:paraId="401CC575" w14:textId="77777777" w:rsidR="00B05B56" w:rsidRPr="00E004A2" w:rsidRDefault="00B05B56" w:rsidP="006C2233">
      <w:pPr>
        <w:numPr>
          <w:ilvl w:val="0"/>
          <w:numId w:val="2"/>
        </w:numPr>
        <w:spacing w:line="480" w:lineRule="auto"/>
        <w:rPr>
          <w:rFonts w:ascii="Garamond" w:hAnsi="Garamond"/>
          <w:kern w:val="1"/>
          <w:sz w:val="24"/>
          <w:szCs w:val="24"/>
        </w:rPr>
      </w:pPr>
      <w:r w:rsidRPr="00E004A2">
        <w:rPr>
          <w:rFonts w:ascii="Garamond" w:hAnsi="Garamond"/>
          <w:kern w:val="1"/>
          <w:sz w:val="24"/>
          <w:szCs w:val="24"/>
        </w:rPr>
        <w:t>words in the singular include the plural and words in the plural include the singular.</w:t>
      </w:r>
    </w:p>
    <w:p w14:paraId="06164FE3" w14:textId="3A8AD33B" w:rsidR="00014DC1" w:rsidRPr="00E004A2" w:rsidRDefault="00B30D1C" w:rsidP="00014DC1">
      <w:pPr>
        <w:spacing w:line="480" w:lineRule="auto"/>
        <w:rPr>
          <w:rFonts w:ascii="Garamond" w:hAnsi="Garamond"/>
          <w:kern w:val="1"/>
          <w:sz w:val="24"/>
          <w:szCs w:val="24"/>
        </w:rPr>
      </w:pPr>
      <w:r w:rsidRPr="00E004A2">
        <w:rPr>
          <w:rFonts w:ascii="Garamond" w:hAnsi="Garamond"/>
          <w:kern w:val="1"/>
          <w:sz w:val="24"/>
          <w:szCs w:val="24"/>
        </w:rPr>
        <w:t xml:space="preserve">The rule is still in force. </w:t>
      </w:r>
      <w:r w:rsidR="00890C7F" w:rsidRPr="00E004A2">
        <w:rPr>
          <w:rFonts w:ascii="Garamond" w:hAnsi="Garamond"/>
          <w:kern w:val="1"/>
          <w:sz w:val="24"/>
          <w:szCs w:val="24"/>
        </w:rPr>
        <w:t>The</w:t>
      </w:r>
      <w:r w:rsidR="00014DC1" w:rsidRPr="00E004A2">
        <w:rPr>
          <w:rFonts w:ascii="Garamond" w:hAnsi="Garamond"/>
          <w:kern w:val="1"/>
          <w:sz w:val="24"/>
          <w:szCs w:val="24"/>
        </w:rPr>
        <w:t xml:space="preserve"> ‘vice versa’ nature </w:t>
      </w:r>
      <w:r w:rsidRPr="00E004A2">
        <w:rPr>
          <w:rFonts w:ascii="Garamond" w:hAnsi="Garamond"/>
          <w:kern w:val="1"/>
          <w:sz w:val="24"/>
          <w:szCs w:val="24"/>
        </w:rPr>
        <w:t>of the</w:t>
      </w:r>
      <w:r w:rsidR="00890C7F" w:rsidRPr="00E004A2">
        <w:rPr>
          <w:rFonts w:ascii="Garamond" w:hAnsi="Garamond"/>
          <w:kern w:val="1"/>
          <w:sz w:val="24"/>
          <w:szCs w:val="24"/>
        </w:rPr>
        <w:t xml:space="preserve"> rule </w:t>
      </w:r>
      <w:r w:rsidR="00014DC1" w:rsidRPr="00E004A2">
        <w:rPr>
          <w:rFonts w:ascii="Garamond" w:hAnsi="Garamond"/>
          <w:kern w:val="1"/>
          <w:sz w:val="24"/>
          <w:szCs w:val="24"/>
        </w:rPr>
        <w:t>appears to bestow a certain form of binary equality between two genders – masculine and feminine</w:t>
      </w:r>
      <w:r w:rsidR="00890C7F" w:rsidRPr="00E004A2">
        <w:rPr>
          <w:rFonts w:ascii="Garamond" w:hAnsi="Garamond"/>
          <w:kern w:val="1"/>
          <w:sz w:val="24"/>
          <w:szCs w:val="24"/>
        </w:rPr>
        <w:t xml:space="preserve">. </w:t>
      </w:r>
      <w:proofErr w:type="spellStart"/>
      <w:r w:rsidR="00890C7F" w:rsidRPr="00E004A2">
        <w:rPr>
          <w:rFonts w:ascii="Garamond" w:hAnsi="Garamond"/>
          <w:kern w:val="1"/>
          <w:sz w:val="24"/>
          <w:szCs w:val="24"/>
        </w:rPr>
        <w:t>Petersson’s</w:t>
      </w:r>
      <w:proofErr w:type="spellEnd"/>
      <w:r w:rsidR="00890C7F" w:rsidRPr="00E004A2">
        <w:rPr>
          <w:rFonts w:ascii="Garamond" w:hAnsi="Garamond"/>
          <w:kern w:val="1"/>
          <w:sz w:val="24"/>
          <w:szCs w:val="24"/>
        </w:rPr>
        <w:t xml:space="preserve"> criticism of the rule is that it is merely to be used in reading, rather than in writing, legislation</w:t>
      </w:r>
      <w:r w:rsidR="0044767E" w:rsidRPr="00E004A2">
        <w:rPr>
          <w:rFonts w:ascii="Garamond" w:hAnsi="Garamond"/>
          <w:kern w:val="1"/>
          <w:sz w:val="24"/>
          <w:szCs w:val="24"/>
        </w:rPr>
        <w:t xml:space="preserve">, and so does not necessarily </w:t>
      </w:r>
      <w:r w:rsidR="00B05B56" w:rsidRPr="00E004A2">
        <w:rPr>
          <w:rFonts w:ascii="Garamond" w:hAnsi="Garamond"/>
          <w:kern w:val="1"/>
          <w:sz w:val="24"/>
          <w:szCs w:val="24"/>
        </w:rPr>
        <w:t>require a change to drafting practice</w:t>
      </w:r>
      <w:r w:rsidR="00890C7F" w:rsidRPr="00E004A2">
        <w:rPr>
          <w:rFonts w:ascii="Garamond" w:hAnsi="Garamond"/>
          <w:kern w:val="1"/>
          <w:sz w:val="24"/>
          <w:szCs w:val="24"/>
        </w:rPr>
        <w:t>.</w:t>
      </w:r>
      <w:r w:rsidR="00B901B6" w:rsidRPr="00645D9E">
        <w:rPr>
          <w:rStyle w:val="FootnoteReference"/>
        </w:rPr>
        <w:footnoteReference w:id="11"/>
      </w:r>
      <w:r w:rsidR="0066309E" w:rsidRPr="00E004A2">
        <w:rPr>
          <w:rFonts w:ascii="Garamond" w:hAnsi="Garamond"/>
          <w:kern w:val="1"/>
          <w:sz w:val="24"/>
          <w:szCs w:val="24"/>
        </w:rPr>
        <w:t xml:space="preserve"> </w:t>
      </w:r>
      <w:r w:rsidR="00B901B6" w:rsidRPr="00E004A2">
        <w:rPr>
          <w:rFonts w:ascii="Garamond" w:hAnsi="Garamond"/>
          <w:kern w:val="1"/>
          <w:sz w:val="24"/>
          <w:szCs w:val="24"/>
        </w:rPr>
        <w:t xml:space="preserve"> </w:t>
      </w:r>
      <w:r w:rsidR="0044767E" w:rsidRPr="00E004A2">
        <w:rPr>
          <w:rFonts w:ascii="Garamond" w:hAnsi="Garamond"/>
          <w:kern w:val="1"/>
          <w:sz w:val="24"/>
          <w:szCs w:val="24"/>
        </w:rPr>
        <w:t>T</w:t>
      </w:r>
      <w:r w:rsidR="00890C7F" w:rsidRPr="00E004A2">
        <w:rPr>
          <w:rFonts w:ascii="Garamond" w:hAnsi="Garamond"/>
          <w:kern w:val="1"/>
          <w:sz w:val="24"/>
          <w:szCs w:val="24"/>
        </w:rPr>
        <w:t>he formal structure of the rule is an issue</w:t>
      </w:r>
      <w:r w:rsidRPr="00E004A2">
        <w:rPr>
          <w:rFonts w:ascii="Garamond" w:hAnsi="Garamond"/>
          <w:kern w:val="1"/>
          <w:sz w:val="24"/>
          <w:szCs w:val="24"/>
        </w:rPr>
        <w:t xml:space="preserve"> for </w:t>
      </w:r>
      <w:proofErr w:type="spellStart"/>
      <w:r w:rsidRPr="00E004A2">
        <w:rPr>
          <w:rFonts w:ascii="Garamond" w:hAnsi="Garamond"/>
          <w:kern w:val="1"/>
          <w:sz w:val="24"/>
          <w:szCs w:val="24"/>
        </w:rPr>
        <w:t>Petersson</w:t>
      </w:r>
      <w:proofErr w:type="spellEnd"/>
      <w:r w:rsidR="00890C7F" w:rsidRPr="00E004A2">
        <w:rPr>
          <w:rFonts w:ascii="Garamond" w:hAnsi="Garamond"/>
          <w:kern w:val="1"/>
          <w:sz w:val="24"/>
          <w:szCs w:val="24"/>
        </w:rPr>
        <w:t xml:space="preserve"> because it promotes ‘false neutrality’</w:t>
      </w:r>
      <w:r w:rsidR="00B05B56" w:rsidRPr="00E004A2">
        <w:rPr>
          <w:rFonts w:ascii="Garamond" w:hAnsi="Garamond"/>
          <w:kern w:val="1"/>
          <w:sz w:val="24"/>
          <w:szCs w:val="24"/>
        </w:rPr>
        <w:t xml:space="preserve">, retaining the masculine rule despite appearing </w:t>
      </w:r>
      <w:r w:rsidRPr="00E004A2">
        <w:rPr>
          <w:rFonts w:ascii="Garamond" w:hAnsi="Garamond"/>
          <w:kern w:val="1"/>
          <w:sz w:val="24"/>
          <w:szCs w:val="24"/>
        </w:rPr>
        <w:t xml:space="preserve">to be </w:t>
      </w:r>
      <w:r w:rsidR="0044767E" w:rsidRPr="00E004A2">
        <w:rPr>
          <w:rFonts w:ascii="Garamond" w:hAnsi="Garamond"/>
          <w:kern w:val="1"/>
          <w:sz w:val="24"/>
          <w:szCs w:val="24"/>
        </w:rPr>
        <w:t>balanced. The rule</w:t>
      </w:r>
      <w:r w:rsidR="00B05B56" w:rsidRPr="00E004A2">
        <w:rPr>
          <w:rFonts w:ascii="Garamond" w:hAnsi="Garamond"/>
          <w:kern w:val="1"/>
          <w:sz w:val="24"/>
          <w:szCs w:val="24"/>
        </w:rPr>
        <w:t xml:space="preserve"> sets up an unhelpful equivalence between gender and number, running alongside and paralleling the number rule at section 6(c) (see above). As </w:t>
      </w:r>
      <w:proofErr w:type="spellStart"/>
      <w:r w:rsidR="00B05B56" w:rsidRPr="00E004A2">
        <w:rPr>
          <w:rFonts w:ascii="Garamond" w:hAnsi="Garamond"/>
          <w:kern w:val="1"/>
          <w:sz w:val="24"/>
          <w:szCs w:val="24"/>
        </w:rPr>
        <w:t>Petersson</w:t>
      </w:r>
      <w:proofErr w:type="spellEnd"/>
      <w:r w:rsidR="00B05B56" w:rsidRPr="00E004A2">
        <w:rPr>
          <w:rFonts w:ascii="Garamond" w:hAnsi="Garamond"/>
          <w:kern w:val="1"/>
          <w:sz w:val="24"/>
          <w:szCs w:val="24"/>
        </w:rPr>
        <w:t xml:space="preserve"> puts it:</w:t>
      </w:r>
    </w:p>
    <w:p w14:paraId="21036B18" w14:textId="770412F2" w:rsidR="00B05B56" w:rsidRPr="00E004A2" w:rsidRDefault="00B05B56" w:rsidP="006C2233">
      <w:pPr>
        <w:spacing w:line="480" w:lineRule="auto"/>
        <w:ind w:left="720"/>
        <w:rPr>
          <w:rFonts w:ascii="Garamond" w:hAnsi="Garamond"/>
          <w:kern w:val="1"/>
          <w:sz w:val="24"/>
          <w:szCs w:val="24"/>
        </w:rPr>
      </w:pPr>
      <w:r w:rsidRPr="00E004A2">
        <w:rPr>
          <w:rFonts w:ascii="Garamond" w:hAnsi="Garamond"/>
          <w:kern w:val="1"/>
          <w:sz w:val="24"/>
          <w:szCs w:val="24"/>
        </w:rPr>
        <w:t xml:space="preserve">In adopting the same structure, the two-way rule aspires to the neutrality of the number rule. However, the number rule is neutral because number is not socially significant. Therefore any comparison between the number rule and the two-way rule is false because gender is socially significant …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{"citationID":"QUB5Vcay","properties":{"formattedCitation":"(Petersson, 1999, p. 41)","plainCitation":"(Petersson, 1999, p. 41)","noteIndex":0},"citationItems":[{"id":686,"uris":["http://zotero.org/users/1070015/items/P39IM835"],"uri":["http://zotero.org/users/1070015/items/P39IM835"],"itemData":{"id":686,"type":"article-journal","container-title":"Statute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Developments","volume":"20","author":[{"family":"Petersson","given":"Sandra"}],"issued":{"date-parts":[["1999"]]}},"locator":"41","label":"page"}],"schema":"https://github.com/citation-style-language/schema/raw/master/csl-citation.json"}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(Petersson, 1999, p. 41)</w:t>
      </w:r>
      <w:r w:rsidR="00625EBE" w:rsidRPr="00E004A2">
        <w:rPr>
          <w:rFonts w:ascii="Garamond" w:hAnsi="Garamond"/>
          <w:kern w:val="1"/>
          <w:sz w:val="24"/>
          <w:szCs w:val="24"/>
        </w:rPr>
        <w:fldChar w:fldCharType="end"/>
      </w:r>
    </w:p>
    <w:p w14:paraId="31E581F9" w14:textId="0B78CAE0" w:rsidR="00745F47" w:rsidRPr="00E004A2" w:rsidRDefault="00B05B56" w:rsidP="00833D8C">
      <w:pPr>
        <w:spacing w:line="480" w:lineRule="auto"/>
        <w:rPr>
          <w:rFonts w:ascii="Garamond" w:hAnsi="Garamond"/>
          <w:kern w:val="1"/>
          <w:sz w:val="24"/>
          <w:szCs w:val="24"/>
        </w:rPr>
      </w:pPr>
      <w:r w:rsidRPr="00E004A2">
        <w:rPr>
          <w:rFonts w:ascii="Garamond" w:hAnsi="Garamond"/>
          <w:kern w:val="1"/>
          <w:sz w:val="24"/>
          <w:szCs w:val="24"/>
        </w:rPr>
        <w:t>Not only that, but the structure of the two-way rule preserves the integrity of the masculine rule by playing it first and having the feminine rule in a subsequent s</w:t>
      </w:r>
      <w:r w:rsidR="00B30D1C" w:rsidRPr="00E004A2">
        <w:rPr>
          <w:rFonts w:ascii="Garamond" w:hAnsi="Garamond"/>
          <w:kern w:val="1"/>
          <w:sz w:val="24"/>
          <w:szCs w:val="24"/>
        </w:rPr>
        <w:t>ectio</w:t>
      </w:r>
      <w:r w:rsidR="0044767E" w:rsidRPr="00E004A2">
        <w:rPr>
          <w:rFonts w:ascii="Garamond" w:hAnsi="Garamond"/>
          <w:kern w:val="1"/>
          <w:sz w:val="24"/>
          <w:szCs w:val="24"/>
        </w:rPr>
        <w:t xml:space="preserve">n </w:t>
      </w:r>
      <w:r w:rsidR="00625EB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{"citationID":"r1Nk2VQA","properties":{"formattedCitation":"(Petersson, 1999, p. 42)","plainCitation":"(Petersson, 1999, p. 42)","noteIndex":0},"citationItems":[{"id":686,"uris":["http://zotero.org/users/1070015/items/P39IM835"],"uri":["http://zotero.org/users/1070015/items/P39IM835"],"itemData":{"id":686,"type":"article-journal","container-title":"Statute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Developments","volume":"20","author":[{"family":"Petersson","given":"Sandra"}],"issued":{"date-parts":[["1999"]]}},"locator":"42","label":"page"}],"schema":"https://github.com/citation-style-language/schema/raw/master/csl-citation.json"} </w:instrText>
      </w:r>
      <w:r w:rsidR="00625EBE" w:rsidRPr="00E004A2">
        <w:rPr>
          <w:rFonts w:ascii="Garamond" w:hAnsi="Garamond"/>
          <w:kern w:val="1"/>
          <w:sz w:val="24"/>
          <w:szCs w:val="24"/>
        </w:rPr>
        <w:fldChar w:fldCharType="separate"/>
      </w:r>
      <w:r w:rsidR="004F3785">
        <w:rPr>
          <w:rFonts w:ascii="Garamond" w:hAnsi="Garamond"/>
          <w:noProof/>
          <w:kern w:val="1"/>
          <w:sz w:val="24"/>
          <w:szCs w:val="24"/>
        </w:rPr>
        <w:t>(Petersson, 1999, p. 42)</w:t>
      </w:r>
      <w:r w:rsidR="00625EBE" w:rsidRPr="00E004A2">
        <w:rPr>
          <w:rFonts w:ascii="Garamond" w:hAnsi="Garamond"/>
          <w:kern w:val="1"/>
          <w:sz w:val="24"/>
          <w:szCs w:val="24"/>
        </w:rPr>
        <w:fldChar w:fldCharType="end"/>
      </w:r>
      <w:r w:rsidR="0044767E" w:rsidRPr="00E004A2">
        <w:rPr>
          <w:rFonts w:ascii="Garamond" w:hAnsi="Garamond"/>
          <w:kern w:val="1"/>
          <w:sz w:val="24"/>
          <w:szCs w:val="24"/>
        </w:rPr>
        <w:t>. Finally, and perhaps most importantly, the</w:t>
      </w:r>
      <w:r w:rsidRPr="00E004A2">
        <w:rPr>
          <w:rFonts w:ascii="Garamond" w:hAnsi="Garamond"/>
          <w:kern w:val="1"/>
          <w:sz w:val="24"/>
          <w:szCs w:val="24"/>
        </w:rPr>
        <w:t xml:space="preserve"> two-way rule seems </w:t>
      </w:r>
      <w:r w:rsidR="00CA0CA1" w:rsidRPr="00E004A2">
        <w:rPr>
          <w:rFonts w:ascii="Garamond" w:hAnsi="Garamond"/>
          <w:kern w:val="1"/>
          <w:sz w:val="24"/>
          <w:szCs w:val="24"/>
        </w:rPr>
        <w:t xml:space="preserve">to have little </w:t>
      </w:r>
      <w:r w:rsidRPr="00E004A2">
        <w:rPr>
          <w:rFonts w:ascii="Garamond" w:hAnsi="Garamond"/>
          <w:kern w:val="1"/>
          <w:sz w:val="24"/>
          <w:szCs w:val="24"/>
        </w:rPr>
        <w:t>effect in ‘real life’ on how people perceive gender equivalence.</w:t>
      </w:r>
    </w:p>
    <w:p w14:paraId="22D344E1" w14:textId="18FAF19A" w:rsidR="00B05B56" w:rsidRPr="00E004A2" w:rsidRDefault="004F73B7" w:rsidP="00610EA7">
      <w:pPr>
        <w:spacing w:line="480" w:lineRule="auto"/>
        <w:ind w:firstLine="720"/>
        <w:rPr>
          <w:rFonts w:ascii="Garamond" w:hAnsi="Garamond"/>
          <w:kern w:val="1"/>
          <w:sz w:val="24"/>
          <w:szCs w:val="24"/>
        </w:rPr>
      </w:pPr>
      <w:r w:rsidRPr="00E004A2">
        <w:rPr>
          <w:rFonts w:ascii="Garamond" w:hAnsi="Garamond"/>
          <w:kern w:val="1"/>
          <w:sz w:val="24"/>
          <w:szCs w:val="24"/>
        </w:rPr>
        <w:t>In interviews, d</w:t>
      </w:r>
      <w:r w:rsidR="00897A55" w:rsidRPr="00E004A2">
        <w:rPr>
          <w:rFonts w:ascii="Garamond" w:hAnsi="Garamond"/>
          <w:kern w:val="1"/>
          <w:sz w:val="24"/>
          <w:szCs w:val="24"/>
        </w:rPr>
        <w:t>rafters referred to the rule’s self-</w:t>
      </w:r>
      <w:proofErr w:type="spellStart"/>
      <w:r w:rsidR="00897A55" w:rsidRPr="00E004A2">
        <w:rPr>
          <w:rFonts w:ascii="Garamond" w:hAnsi="Garamond"/>
          <w:kern w:val="1"/>
          <w:sz w:val="24"/>
          <w:szCs w:val="24"/>
        </w:rPr>
        <w:t>recursivity</w:t>
      </w:r>
      <w:proofErr w:type="spellEnd"/>
      <w:r w:rsidR="00897A55" w:rsidRPr="00E004A2">
        <w:rPr>
          <w:rFonts w:ascii="Garamond" w:hAnsi="Garamond"/>
          <w:kern w:val="1"/>
          <w:sz w:val="24"/>
          <w:szCs w:val="24"/>
        </w:rPr>
        <w:t xml:space="preserve"> through equivalence whereby one gender was to be treated ‘as’ the other. This was felt not to recognise wider social dilemmas about very real </w:t>
      </w:r>
      <w:r w:rsidR="0044767E" w:rsidRPr="00E004A2">
        <w:rPr>
          <w:rFonts w:ascii="Garamond" w:hAnsi="Garamond"/>
          <w:kern w:val="1"/>
          <w:sz w:val="24"/>
          <w:szCs w:val="24"/>
        </w:rPr>
        <w:t xml:space="preserve">gender inequalities. </w:t>
      </w:r>
      <w:r w:rsidR="00625EBE" w:rsidRPr="00E004A2">
        <w:rPr>
          <w:rFonts w:ascii="Garamond" w:hAnsi="Garamond"/>
          <w:kern w:val="1"/>
          <w:sz w:val="24"/>
          <w:szCs w:val="24"/>
        </w:rPr>
        <w:t xml:space="preserve">Helen </w:t>
      </w:r>
      <w:proofErr w:type="spellStart"/>
      <w:r w:rsidR="00625EBE" w:rsidRPr="00E004A2">
        <w:rPr>
          <w:rFonts w:ascii="Garamond" w:hAnsi="Garamond"/>
          <w:kern w:val="1"/>
          <w:sz w:val="24"/>
          <w:szCs w:val="24"/>
        </w:rPr>
        <w:t>Xanthaki</w:t>
      </w:r>
      <w:proofErr w:type="spellEnd"/>
      <w:r w:rsidR="00805A42" w:rsidRPr="00E004A2">
        <w:rPr>
          <w:rFonts w:ascii="Garamond" w:hAnsi="Garamond"/>
          <w:kern w:val="1"/>
          <w:sz w:val="24"/>
          <w:szCs w:val="24"/>
        </w:rPr>
        <w:t xml:space="preserve">, Professor </w:t>
      </w:r>
      <w:r w:rsidR="00794C0C" w:rsidRPr="00E004A2">
        <w:rPr>
          <w:rFonts w:ascii="Garamond" w:hAnsi="Garamond"/>
          <w:kern w:val="1"/>
          <w:sz w:val="24"/>
          <w:szCs w:val="24"/>
        </w:rPr>
        <w:t>of Law and Legislative Drafting at UCL,</w:t>
      </w:r>
      <w:r w:rsidR="00625EBE" w:rsidRPr="00E004A2">
        <w:rPr>
          <w:rFonts w:ascii="Garamond" w:hAnsi="Garamond"/>
          <w:kern w:val="1"/>
          <w:sz w:val="24"/>
          <w:szCs w:val="24"/>
        </w:rPr>
        <w:t xml:space="preserve"> explained the reasons for this in an interview in 2019</w:t>
      </w:r>
      <w:r w:rsidR="00794C0C" w:rsidRPr="00E004A2">
        <w:rPr>
          <w:rFonts w:ascii="Garamond" w:hAnsi="Garamond"/>
          <w:kern w:val="1"/>
          <w:sz w:val="24"/>
          <w:szCs w:val="24"/>
        </w:rPr>
        <w:t>. She d</w:t>
      </w:r>
      <w:r w:rsidR="008F437E" w:rsidRPr="00E004A2">
        <w:rPr>
          <w:rFonts w:ascii="Garamond" w:hAnsi="Garamond"/>
          <w:kern w:val="1"/>
          <w:sz w:val="24"/>
          <w:szCs w:val="24"/>
        </w:rPr>
        <w:t>escrib</w:t>
      </w:r>
      <w:r w:rsidR="00794C0C" w:rsidRPr="00E004A2">
        <w:rPr>
          <w:rFonts w:ascii="Garamond" w:hAnsi="Garamond"/>
          <w:kern w:val="1"/>
          <w:sz w:val="24"/>
          <w:szCs w:val="24"/>
        </w:rPr>
        <w:t>ed</w:t>
      </w:r>
      <w:r w:rsidR="008F437E" w:rsidRPr="00E004A2">
        <w:rPr>
          <w:rFonts w:ascii="Garamond" w:hAnsi="Garamond"/>
          <w:kern w:val="1"/>
          <w:sz w:val="24"/>
          <w:szCs w:val="24"/>
        </w:rPr>
        <w:t xml:space="preserve"> a performative</w:t>
      </w:r>
      <w:r w:rsidR="00B05B56" w:rsidRPr="00E004A2">
        <w:rPr>
          <w:rFonts w:ascii="Garamond" w:hAnsi="Garamond"/>
          <w:kern w:val="1"/>
          <w:sz w:val="24"/>
          <w:szCs w:val="24"/>
        </w:rPr>
        <w:t xml:space="preserve"> </w:t>
      </w:r>
      <w:r w:rsidR="00B05B56" w:rsidRPr="00E004A2">
        <w:rPr>
          <w:rFonts w:ascii="Garamond" w:hAnsi="Garamond"/>
          <w:kern w:val="1"/>
          <w:sz w:val="24"/>
          <w:szCs w:val="24"/>
        </w:rPr>
        <w:lastRenderedPageBreak/>
        <w:t>experiment she uses in teaching</w:t>
      </w:r>
      <w:r w:rsidR="00B30D1C" w:rsidRPr="00E004A2">
        <w:rPr>
          <w:rFonts w:ascii="Garamond" w:hAnsi="Garamond"/>
          <w:kern w:val="1"/>
          <w:sz w:val="24"/>
          <w:szCs w:val="24"/>
        </w:rPr>
        <w:t>, in whic</w:t>
      </w:r>
      <w:r w:rsidR="00897A55" w:rsidRPr="00E004A2">
        <w:rPr>
          <w:rFonts w:ascii="Garamond" w:hAnsi="Garamond"/>
          <w:kern w:val="1"/>
          <w:sz w:val="24"/>
          <w:szCs w:val="24"/>
        </w:rPr>
        <w:t>h she encourages students to stand up</w:t>
      </w:r>
      <w:r w:rsidR="00B30D1C" w:rsidRPr="00E004A2">
        <w:rPr>
          <w:rFonts w:ascii="Garamond" w:hAnsi="Garamond"/>
          <w:kern w:val="1"/>
          <w:sz w:val="24"/>
          <w:szCs w:val="24"/>
        </w:rPr>
        <w:t xml:space="preserve"> in line with the proposition that “she includes he”</w:t>
      </w:r>
      <w:r w:rsidR="00B05B56" w:rsidRPr="00E004A2">
        <w:rPr>
          <w:rFonts w:ascii="Garamond" w:hAnsi="Garamond"/>
          <w:kern w:val="1"/>
          <w:sz w:val="24"/>
          <w:szCs w:val="24"/>
        </w:rPr>
        <w:t>:</w:t>
      </w:r>
    </w:p>
    <w:p w14:paraId="1E063AB7" w14:textId="05F292FE" w:rsidR="00B05B56" w:rsidRPr="00E004A2" w:rsidRDefault="00A04EC3" w:rsidP="00B24546">
      <w:pPr>
        <w:spacing w:line="480" w:lineRule="auto"/>
        <w:ind w:left="720"/>
        <w:rPr>
          <w:rFonts w:ascii="Garamond" w:hAnsi="Garamond"/>
          <w:kern w:val="1"/>
          <w:sz w:val="24"/>
          <w:szCs w:val="24"/>
        </w:rPr>
      </w:pPr>
      <w:r w:rsidRPr="00E004A2">
        <w:rPr>
          <w:rFonts w:ascii="Garamond" w:hAnsi="Garamond"/>
          <w:color w:val="000000"/>
          <w:sz w:val="24"/>
          <w:szCs w:val="24"/>
        </w:rPr>
        <w:t>I simply say to everybody okay, so in this class the following rule applies. “She includes he.” Ladies, would you stand up? I still have not had a single male standing up on that basis. Nobody, no man stands up if I say “she includes he”.</w:t>
      </w:r>
      <w:r w:rsidR="00625EBE" w:rsidRPr="00E004A2">
        <w:rPr>
          <w:rFonts w:ascii="Garamond" w:hAnsi="Garamond"/>
          <w:color w:val="000000"/>
          <w:sz w:val="24"/>
          <w:szCs w:val="24"/>
        </w:rPr>
        <w:t xml:space="preserve"> (Interview with Helen </w:t>
      </w:r>
      <w:proofErr w:type="spellStart"/>
      <w:r w:rsidR="00625EBE" w:rsidRPr="00E004A2">
        <w:rPr>
          <w:rFonts w:ascii="Garamond" w:hAnsi="Garamond"/>
          <w:color w:val="000000"/>
          <w:sz w:val="24"/>
          <w:szCs w:val="24"/>
        </w:rPr>
        <w:t>Xanthaki</w:t>
      </w:r>
      <w:proofErr w:type="spellEnd"/>
      <w:r w:rsidR="00794C0C" w:rsidRPr="00E004A2">
        <w:rPr>
          <w:rFonts w:ascii="Garamond" w:hAnsi="Garamond"/>
          <w:color w:val="000000"/>
          <w:sz w:val="24"/>
          <w:szCs w:val="24"/>
        </w:rPr>
        <w:t>, 2019)</w:t>
      </w:r>
    </w:p>
    <w:p w14:paraId="61A977EE" w14:textId="5EBDE81C" w:rsidR="001F7C23" w:rsidRDefault="00CA0CA1"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If feminists have</w:t>
      </w:r>
      <w:r w:rsidR="00C81C0E" w:rsidRPr="00E004A2">
        <w:rPr>
          <w:rFonts w:ascii="Garamond" w:hAnsi="Garamond"/>
          <w:kern w:val="1"/>
          <w:sz w:val="24"/>
          <w:szCs w:val="24"/>
        </w:rPr>
        <w:t xml:space="preserve"> been looking for a type of interpretation rule that </w:t>
      </w:r>
      <w:r w:rsidR="00BC5C66" w:rsidRPr="00E004A2">
        <w:rPr>
          <w:rFonts w:ascii="Garamond" w:hAnsi="Garamond"/>
          <w:kern w:val="1"/>
          <w:sz w:val="24"/>
          <w:szCs w:val="24"/>
        </w:rPr>
        <w:t xml:space="preserve">effectively </w:t>
      </w:r>
      <w:r w:rsidRPr="00E004A2">
        <w:rPr>
          <w:rFonts w:ascii="Garamond" w:hAnsi="Garamond"/>
          <w:kern w:val="1"/>
          <w:sz w:val="24"/>
          <w:szCs w:val="24"/>
        </w:rPr>
        <w:t>re-includes</w:t>
      </w:r>
      <w:r w:rsidR="00C81C0E" w:rsidRPr="00E004A2">
        <w:rPr>
          <w:rFonts w:ascii="Garamond" w:hAnsi="Garamond"/>
          <w:kern w:val="1"/>
          <w:sz w:val="24"/>
          <w:szCs w:val="24"/>
        </w:rPr>
        <w:t xml:space="preserve"> women, the two-way rule has not reach</w:t>
      </w:r>
      <w:r w:rsidR="00B30D1C" w:rsidRPr="00E004A2">
        <w:rPr>
          <w:rFonts w:ascii="Garamond" w:hAnsi="Garamond"/>
          <w:kern w:val="1"/>
          <w:sz w:val="24"/>
          <w:szCs w:val="24"/>
        </w:rPr>
        <w:t xml:space="preserve">ed this objective. </w:t>
      </w:r>
      <w:r w:rsidR="006A702E" w:rsidRPr="00E004A2">
        <w:rPr>
          <w:rFonts w:ascii="Garamond" w:hAnsi="Garamond"/>
          <w:kern w:val="1"/>
          <w:sz w:val="24"/>
          <w:szCs w:val="24"/>
        </w:rPr>
        <w:t>In this way, f</w:t>
      </w:r>
      <w:r w:rsidR="00776E0E" w:rsidRPr="00E004A2">
        <w:rPr>
          <w:rFonts w:ascii="Garamond" w:hAnsi="Garamond"/>
          <w:kern w:val="1"/>
          <w:sz w:val="24"/>
          <w:szCs w:val="24"/>
        </w:rPr>
        <w:t xml:space="preserve">ar from merely writing statutes to government directions about </w:t>
      </w:r>
      <w:r w:rsidR="001F7C23" w:rsidRPr="00E004A2">
        <w:rPr>
          <w:rFonts w:ascii="Garamond" w:hAnsi="Garamond"/>
          <w:kern w:val="1"/>
          <w:sz w:val="24"/>
          <w:szCs w:val="24"/>
        </w:rPr>
        <w:t>the substance of legislation</w:t>
      </w:r>
      <w:r w:rsidR="00776E0E" w:rsidRPr="00E004A2">
        <w:rPr>
          <w:rFonts w:ascii="Garamond" w:hAnsi="Garamond"/>
          <w:kern w:val="1"/>
          <w:sz w:val="24"/>
          <w:szCs w:val="24"/>
        </w:rPr>
        <w:t xml:space="preserve">, therefore, legislative drafters have </w:t>
      </w:r>
      <w:r w:rsidR="001F7C23" w:rsidRPr="00E004A2">
        <w:rPr>
          <w:rFonts w:ascii="Garamond" w:hAnsi="Garamond"/>
          <w:kern w:val="1"/>
          <w:sz w:val="24"/>
          <w:szCs w:val="24"/>
        </w:rPr>
        <w:t xml:space="preserve">to resolve intense on-going dilemmas about how to adjust legislative expression to current and future </w:t>
      </w:r>
      <w:r w:rsidR="00884A4D" w:rsidRPr="00E004A2">
        <w:rPr>
          <w:rFonts w:ascii="Garamond" w:hAnsi="Garamond"/>
          <w:kern w:val="1"/>
          <w:sz w:val="24"/>
          <w:szCs w:val="24"/>
        </w:rPr>
        <w:t>sex/</w:t>
      </w:r>
      <w:r w:rsidR="001F7C23" w:rsidRPr="00E004A2">
        <w:rPr>
          <w:rFonts w:ascii="Garamond" w:hAnsi="Garamond"/>
          <w:kern w:val="1"/>
          <w:sz w:val="24"/>
          <w:szCs w:val="24"/>
        </w:rPr>
        <w:t>gender norms.</w:t>
      </w:r>
    </w:p>
    <w:p w14:paraId="3D6ACA17" w14:textId="5D6C3F4A" w:rsidR="006B5506" w:rsidRDefault="006B5506"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p>
    <w:p w14:paraId="44D7AC06" w14:textId="3C229FA5" w:rsidR="008B41B3" w:rsidRPr="00E004A2" w:rsidRDefault="009C3CEC" w:rsidP="00AB3405">
      <w:pPr>
        <w:pStyle w:val="Heading3"/>
        <w:rPr>
          <w:highlight w:val="white"/>
        </w:rPr>
      </w:pPr>
      <w:r>
        <w:rPr>
          <w:highlight w:val="white"/>
        </w:rPr>
        <w:t>“</w:t>
      </w:r>
      <w:r w:rsidR="00215057">
        <w:rPr>
          <w:highlight w:val="white"/>
        </w:rPr>
        <w:t>Waving a W</w:t>
      </w:r>
      <w:r w:rsidR="00816176" w:rsidRPr="00F30512">
        <w:rPr>
          <w:highlight w:val="white"/>
        </w:rPr>
        <w:t>and</w:t>
      </w:r>
      <w:r>
        <w:rPr>
          <w:highlight w:val="white"/>
        </w:rPr>
        <w:t>”</w:t>
      </w:r>
    </w:p>
    <w:p w14:paraId="6A873DD1" w14:textId="48D7272F" w:rsidR="00143A15" w:rsidRPr="00E004A2" w:rsidRDefault="00776E0E" w:rsidP="002C762F">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These deliberations</w:t>
      </w:r>
      <w:r w:rsidR="00246BB2" w:rsidRPr="00E004A2">
        <w:rPr>
          <w:rFonts w:ascii="Garamond" w:hAnsi="Garamond"/>
          <w:kern w:val="1"/>
          <w:sz w:val="24"/>
          <w:szCs w:val="24"/>
          <w:highlight w:val="white"/>
        </w:rPr>
        <w:t xml:space="preserve"> are relevant not only for gender-neutral drafting techniques more broadly, which are addressed in the following section, but also because they intersect with debates about the structure and use of interpretation legislation. </w:t>
      </w:r>
      <w:r w:rsidR="003A595D" w:rsidRPr="00E004A2">
        <w:rPr>
          <w:rFonts w:ascii="Garamond" w:hAnsi="Garamond"/>
          <w:kern w:val="1"/>
          <w:sz w:val="24"/>
          <w:szCs w:val="24"/>
          <w:highlight w:val="white"/>
        </w:rPr>
        <w:t xml:space="preserve">Given </w:t>
      </w:r>
      <w:r w:rsidR="00143A15" w:rsidRPr="00E004A2">
        <w:rPr>
          <w:rFonts w:ascii="Garamond" w:hAnsi="Garamond"/>
          <w:kern w:val="1"/>
          <w:sz w:val="24"/>
          <w:szCs w:val="24"/>
          <w:highlight w:val="white"/>
        </w:rPr>
        <w:t xml:space="preserve">the problems outlined with the two-way rule, it is clear that interpretation legislation is </w:t>
      </w:r>
      <w:r w:rsidR="00897A55" w:rsidRPr="00E004A2">
        <w:rPr>
          <w:rFonts w:ascii="Garamond" w:hAnsi="Garamond"/>
          <w:kern w:val="1"/>
          <w:sz w:val="24"/>
          <w:szCs w:val="24"/>
          <w:highlight w:val="white"/>
        </w:rPr>
        <w:t>legally significant</w:t>
      </w:r>
      <w:r w:rsidR="006B5506" w:rsidRPr="00E004A2">
        <w:rPr>
          <w:rFonts w:ascii="Garamond" w:hAnsi="Garamond"/>
          <w:kern w:val="1"/>
          <w:sz w:val="24"/>
          <w:szCs w:val="24"/>
          <w:highlight w:val="white"/>
        </w:rPr>
        <w:t xml:space="preserve"> and has practical and symbolic importance </w:t>
      </w:r>
      <w:r w:rsidR="003336FF" w:rsidRPr="00E004A2">
        <w:rPr>
          <w:rFonts w:ascii="Garamond" w:hAnsi="Garamond"/>
          <w:kern w:val="1"/>
          <w:sz w:val="24"/>
          <w:szCs w:val="24"/>
          <w:highlight w:val="white"/>
        </w:rPr>
        <w:t>within</w:t>
      </w:r>
      <w:r w:rsidR="006B5506" w:rsidRPr="00E004A2">
        <w:rPr>
          <w:rFonts w:ascii="Garamond" w:hAnsi="Garamond"/>
          <w:kern w:val="1"/>
          <w:sz w:val="24"/>
          <w:szCs w:val="24"/>
          <w:highlight w:val="white"/>
        </w:rPr>
        <w:t xml:space="preserve"> debates about legislation</w:t>
      </w:r>
      <w:r w:rsidR="003336FF" w:rsidRPr="00E004A2">
        <w:rPr>
          <w:rFonts w:ascii="Garamond" w:hAnsi="Garamond"/>
          <w:kern w:val="1"/>
          <w:sz w:val="24"/>
          <w:szCs w:val="24"/>
          <w:highlight w:val="white"/>
        </w:rPr>
        <w:t>, attracting critique when not sufficiently inclusive</w:t>
      </w:r>
      <w:r w:rsidR="00897A55" w:rsidRPr="00E004A2">
        <w:rPr>
          <w:rFonts w:ascii="Garamond" w:hAnsi="Garamond"/>
          <w:kern w:val="1"/>
          <w:sz w:val="24"/>
          <w:szCs w:val="24"/>
          <w:highlight w:val="white"/>
        </w:rPr>
        <w:t xml:space="preserve"> or precise</w:t>
      </w:r>
      <w:r w:rsidR="00414CB4" w:rsidRPr="00E004A2">
        <w:rPr>
          <w:rFonts w:ascii="Garamond" w:hAnsi="Garamond"/>
          <w:kern w:val="1"/>
          <w:sz w:val="24"/>
          <w:szCs w:val="24"/>
          <w:highlight w:val="white"/>
        </w:rPr>
        <w:t xml:space="preserve"> and also sometimes appearing to offer solutions to new social expressions of sex/gender</w:t>
      </w:r>
      <w:r w:rsidR="003336FF" w:rsidRPr="00E004A2">
        <w:rPr>
          <w:rFonts w:ascii="Garamond" w:hAnsi="Garamond"/>
          <w:kern w:val="1"/>
          <w:sz w:val="24"/>
          <w:szCs w:val="24"/>
          <w:highlight w:val="white"/>
        </w:rPr>
        <w:t>.</w:t>
      </w:r>
      <w:r w:rsidR="006B5506" w:rsidRPr="00E004A2">
        <w:rPr>
          <w:rFonts w:ascii="Garamond" w:hAnsi="Garamond"/>
          <w:kern w:val="1"/>
          <w:sz w:val="24"/>
          <w:szCs w:val="24"/>
          <w:highlight w:val="white"/>
        </w:rPr>
        <w:t xml:space="preserve"> </w:t>
      </w:r>
      <w:r w:rsidR="002E1E36" w:rsidRPr="00E004A2">
        <w:rPr>
          <w:rFonts w:ascii="Garamond" w:hAnsi="Garamond"/>
          <w:kern w:val="1"/>
          <w:sz w:val="24"/>
          <w:szCs w:val="24"/>
          <w:highlight w:val="white"/>
        </w:rPr>
        <w:t xml:space="preserve">In </w:t>
      </w:r>
      <w:r w:rsidR="003A595D" w:rsidRPr="00E004A2">
        <w:rPr>
          <w:rFonts w:ascii="Garamond" w:hAnsi="Garamond"/>
          <w:kern w:val="1"/>
          <w:sz w:val="24"/>
          <w:szCs w:val="24"/>
          <w:highlight w:val="white"/>
        </w:rPr>
        <w:t xml:space="preserve">an </w:t>
      </w:r>
      <w:r w:rsidR="002E1E36" w:rsidRPr="00E004A2">
        <w:rPr>
          <w:rFonts w:ascii="Garamond" w:hAnsi="Garamond"/>
          <w:kern w:val="1"/>
          <w:sz w:val="24"/>
          <w:szCs w:val="24"/>
          <w:highlight w:val="white"/>
        </w:rPr>
        <w:t>interview, for example, this drafter suggested</w:t>
      </w:r>
      <w:r w:rsidR="006B5506" w:rsidRPr="00E004A2">
        <w:rPr>
          <w:rFonts w:ascii="Garamond" w:hAnsi="Garamond"/>
          <w:kern w:val="1"/>
          <w:sz w:val="24"/>
          <w:szCs w:val="24"/>
          <w:highlight w:val="white"/>
        </w:rPr>
        <w:t xml:space="preserve"> a mechanism whereby interpretation legislation could be amended to provide that reference to one gender includes reference to any gender or people not of that gender</w:t>
      </w:r>
      <w:r w:rsidR="007D4782" w:rsidRPr="00E004A2">
        <w:rPr>
          <w:rFonts w:ascii="Garamond" w:hAnsi="Garamond"/>
          <w:kern w:val="1"/>
          <w:sz w:val="24"/>
          <w:szCs w:val="24"/>
          <w:highlight w:val="white"/>
        </w:rPr>
        <w:t>:</w:t>
      </w:r>
    </w:p>
    <w:p w14:paraId="615B5D01" w14:textId="6A7EAE2D" w:rsidR="007D4782" w:rsidRPr="00E004A2" w:rsidRDefault="007D4782" w:rsidP="00B24546">
      <w:pPr>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sidRPr="00E004A2">
        <w:rPr>
          <w:rFonts w:ascii="Garamond" w:hAnsi="Garamond"/>
          <w:color w:val="000000"/>
          <w:sz w:val="24"/>
          <w:szCs w:val="24"/>
        </w:rPr>
        <w:t xml:space="preserve">One way of recognising another gender or no gender </w:t>
      </w:r>
      <w:r w:rsidR="009640D5">
        <w:rPr>
          <w:rFonts w:ascii="Garamond" w:hAnsi="Garamond"/>
          <w:color w:val="000000"/>
          <w:sz w:val="24"/>
          <w:szCs w:val="24"/>
        </w:rPr>
        <w:t xml:space="preserve">would be to amend the </w:t>
      </w:r>
      <w:r w:rsidRPr="00E004A2">
        <w:rPr>
          <w:rFonts w:ascii="Garamond" w:hAnsi="Garamond"/>
          <w:color w:val="000000"/>
          <w:sz w:val="24"/>
          <w:szCs w:val="24"/>
        </w:rPr>
        <w:t xml:space="preserve">Interpretation Act. You could have this as part of any general recognition of change or decision to do away with recording of genders, or whatever else there might be. The </w:t>
      </w:r>
      <w:r w:rsidRPr="00E004A2">
        <w:rPr>
          <w:rFonts w:ascii="Garamond" w:hAnsi="Garamond"/>
          <w:color w:val="000000"/>
          <w:sz w:val="24"/>
          <w:szCs w:val="24"/>
        </w:rPr>
        <w:lastRenderedPageBreak/>
        <w:t xml:space="preserve">Interpretation Act at the moment refers to the masculine and the feminine and vice versa, for things post 1979.  And </w:t>
      </w:r>
      <w:r w:rsidR="00E12441">
        <w:rPr>
          <w:rFonts w:ascii="Garamond" w:hAnsi="Garamond"/>
          <w:color w:val="000000"/>
          <w:sz w:val="24"/>
          <w:szCs w:val="24"/>
        </w:rPr>
        <w:t>it would be possible</w:t>
      </w:r>
      <w:r w:rsidRPr="00E004A2">
        <w:rPr>
          <w:rFonts w:ascii="Garamond" w:hAnsi="Garamond"/>
          <w:color w:val="000000"/>
          <w:sz w:val="24"/>
          <w:szCs w:val="24"/>
        </w:rPr>
        <w:t xml:space="preserve"> to say something like: “any reference to </w:t>
      </w:r>
      <w:r w:rsidR="00E12441">
        <w:rPr>
          <w:rFonts w:ascii="Garamond" w:hAnsi="Garamond"/>
          <w:color w:val="000000"/>
          <w:sz w:val="24"/>
          <w:szCs w:val="24"/>
        </w:rPr>
        <w:t xml:space="preserve">a person of </w:t>
      </w:r>
      <w:r w:rsidRPr="00E004A2">
        <w:rPr>
          <w:rFonts w:ascii="Garamond" w:hAnsi="Garamond"/>
          <w:color w:val="000000"/>
          <w:sz w:val="24"/>
          <w:szCs w:val="24"/>
        </w:rPr>
        <w:t xml:space="preserve">one gender includes </w:t>
      </w:r>
      <w:r w:rsidR="00E12441">
        <w:rPr>
          <w:rFonts w:ascii="Garamond" w:hAnsi="Garamond"/>
          <w:color w:val="000000"/>
          <w:sz w:val="24"/>
          <w:szCs w:val="24"/>
        </w:rPr>
        <w:t xml:space="preserve">a </w:t>
      </w:r>
      <w:r w:rsidRPr="00E004A2">
        <w:rPr>
          <w:rFonts w:ascii="Garamond" w:hAnsi="Garamond"/>
          <w:color w:val="000000"/>
          <w:sz w:val="24"/>
          <w:szCs w:val="24"/>
        </w:rPr>
        <w:t xml:space="preserve">reference to a person of any gender or </w:t>
      </w:r>
      <w:r w:rsidR="000D0F39">
        <w:rPr>
          <w:rFonts w:ascii="Garamond" w:hAnsi="Garamond"/>
          <w:color w:val="000000"/>
          <w:sz w:val="24"/>
          <w:szCs w:val="24"/>
        </w:rPr>
        <w:t xml:space="preserve">a person </w:t>
      </w:r>
      <w:r w:rsidRPr="00E004A2">
        <w:rPr>
          <w:rFonts w:ascii="Garamond" w:hAnsi="Garamond"/>
          <w:color w:val="000000"/>
          <w:sz w:val="24"/>
          <w:szCs w:val="24"/>
        </w:rPr>
        <w:t xml:space="preserve">who is not of </w:t>
      </w:r>
      <w:r w:rsidR="000D0F39">
        <w:rPr>
          <w:rFonts w:ascii="Garamond" w:hAnsi="Garamond"/>
          <w:color w:val="000000"/>
          <w:sz w:val="24"/>
          <w:szCs w:val="24"/>
        </w:rPr>
        <w:t>any</w:t>
      </w:r>
      <w:r w:rsidRPr="00E004A2">
        <w:rPr>
          <w:rFonts w:ascii="Garamond" w:hAnsi="Garamond"/>
          <w:color w:val="000000"/>
          <w:sz w:val="24"/>
          <w:szCs w:val="24"/>
        </w:rPr>
        <w:t xml:space="preserve"> gender”. </w:t>
      </w:r>
      <w:r w:rsidR="001557DA" w:rsidRPr="00E004A2">
        <w:rPr>
          <w:rFonts w:ascii="Garamond" w:hAnsi="Garamond"/>
          <w:color w:val="000000"/>
          <w:sz w:val="24"/>
          <w:szCs w:val="24"/>
        </w:rPr>
        <w:t>(Interview with l</w:t>
      </w:r>
      <w:r w:rsidRPr="00E004A2">
        <w:rPr>
          <w:rFonts w:ascii="Garamond" w:hAnsi="Garamond"/>
          <w:color w:val="000000"/>
          <w:sz w:val="24"/>
          <w:szCs w:val="24"/>
        </w:rPr>
        <w:t>egislative drafter</w:t>
      </w:r>
      <w:r w:rsidR="001557DA" w:rsidRPr="00E004A2">
        <w:rPr>
          <w:rFonts w:ascii="Garamond" w:hAnsi="Garamond"/>
          <w:color w:val="000000"/>
          <w:sz w:val="24"/>
          <w:szCs w:val="24"/>
        </w:rPr>
        <w:t>, 2019</w:t>
      </w:r>
      <w:r w:rsidRPr="00E004A2">
        <w:rPr>
          <w:rFonts w:ascii="Garamond" w:hAnsi="Garamond"/>
          <w:color w:val="000000"/>
          <w:sz w:val="24"/>
          <w:szCs w:val="24"/>
        </w:rPr>
        <w:t>)</w:t>
      </w:r>
    </w:p>
    <w:p w14:paraId="289C4EBD" w14:textId="5D530665" w:rsidR="007D4782" w:rsidRPr="00E004A2" w:rsidRDefault="007D4782"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rPr>
        <w:t xml:space="preserve">I return below to the question of using interpretation legislation in </w:t>
      </w:r>
      <w:r w:rsidR="00487988" w:rsidRPr="00E004A2">
        <w:rPr>
          <w:rFonts w:ascii="Garamond" w:hAnsi="Garamond"/>
          <w:kern w:val="1"/>
          <w:sz w:val="24"/>
          <w:szCs w:val="24"/>
        </w:rPr>
        <w:t xml:space="preserve">relation to </w:t>
      </w:r>
      <w:r w:rsidRPr="00E004A2">
        <w:rPr>
          <w:rFonts w:ascii="Garamond" w:hAnsi="Garamond"/>
          <w:kern w:val="1"/>
          <w:sz w:val="24"/>
          <w:szCs w:val="24"/>
        </w:rPr>
        <w:t xml:space="preserve">the decertification of gender. </w:t>
      </w:r>
      <w:r w:rsidRPr="00E004A2">
        <w:rPr>
          <w:rFonts w:ascii="Garamond" w:hAnsi="Garamond"/>
          <w:kern w:val="1"/>
          <w:sz w:val="24"/>
          <w:szCs w:val="24"/>
          <w:highlight w:val="white"/>
        </w:rPr>
        <w:t>In the meantime, t</w:t>
      </w:r>
      <w:r w:rsidR="00897A55" w:rsidRPr="00E004A2">
        <w:rPr>
          <w:rFonts w:ascii="Garamond" w:hAnsi="Garamond"/>
          <w:kern w:val="1"/>
          <w:sz w:val="24"/>
          <w:szCs w:val="24"/>
          <w:highlight w:val="white"/>
        </w:rPr>
        <w:t>he drafter’s suggestion</w:t>
      </w:r>
      <w:r w:rsidRPr="00E004A2">
        <w:rPr>
          <w:rFonts w:ascii="Garamond" w:hAnsi="Garamond"/>
          <w:kern w:val="1"/>
          <w:sz w:val="24"/>
          <w:szCs w:val="24"/>
          <w:highlight w:val="white"/>
        </w:rPr>
        <w:t xml:space="preserve"> appears to offer an elegant solution to the structural inequalities found in the ‘vice versa’ or ‘two-way’ rule currently in force in the UK. It is worth noting that the solution is similar (but not identical) to what </w:t>
      </w:r>
      <w:proofErr w:type="spellStart"/>
      <w:r w:rsidRPr="00E004A2">
        <w:rPr>
          <w:rFonts w:ascii="Garamond" w:hAnsi="Garamond"/>
          <w:kern w:val="1"/>
          <w:sz w:val="24"/>
          <w:szCs w:val="24"/>
          <w:highlight w:val="white"/>
        </w:rPr>
        <w:t>Petersson</w:t>
      </w:r>
      <w:proofErr w:type="spellEnd"/>
      <w:r w:rsidRPr="00E004A2">
        <w:rPr>
          <w:rFonts w:ascii="Garamond" w:hAnsi="Garamond"/>
          <w:kern w:val="1"/>
          <w:sz w:val="24"/>
          <w:szCs w:val="24"/>
          <w:highlight w:val="white"/>
        </w:rPr>
        <w:t xml:space="preserve"> has identified as the ‘all-gender rule’, which was adopted in the Australian Commonwealth in 1984:</w:t>
      </w:r>
    </w:p>
    <w:p w14:paraId="0F8579BC" w14:textId="77777777" w:rsidR="0045490D" w:rsidRPr="00E004A2" w:rsidRDefault="0045490D" w:rsidP="00B24546">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t>In any Act, unless the contrary appears –</w:t>
      </w:r>
    </w:p>
    <w:p w14:paraId="0E9BE94E" w14:textId="77777777" w:rsidR="0045490D" w:rsidRPr="00E004A2" w:rsidRDefault="0045490D" w:rsidP="00B24546">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t>(a) words importing a gender include every other gender.</w:t>
      </w:r>
      <w:r w:rsidRPr="00645D9E">
        <w:rPr>
          <w:rStyle w:val="FootnoteReference"/>
          <w:highlight w:val="white"/>
        </w:rPr>
        <w:footnoteReference w:id="12"/>
      </w:r>
    </w:p>
    <w:p w14:paraId="7F5C205F" w14:textId="77777777" w:rsidR="00263D30" w:rsidRPr="00E004A2" w:rsidRDefault="00263D30" w:rsidP="00B24546">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Similar</w:t>
      </w:r>
      <w:r w:rsidR="00554582" w:rsidRPr="00E004A2">
        <w:rPr>
          <w:rFonts w:ascii="Garamond" w:hAnsi="Garamond"/>
          <w:kern w:val="1"/>
          <w:sz w:val="24"/>
          <w:szCs w:val="24"/>
          <w:highlight w:val="white"/>
        </w:rPr>
        <w:t>l</w:t>
      </w:r>
      <w:r w:rsidRPr="00E004A2">
        <w:rPr>
          <w:rFonts w:ascii="Garamond" w:hAnsi="Garamond"/>
          <w:kern w:val="1"/>
          <w:sz w:val="24"/>
          <w:szCs w:val="24"/>
          <w:highlight w:val="white"/>
        </w:rPr>
        <w:t>y, the gender interpretation rule in the New Zealand Interpretation Bill 2017 states:</w:t>
      </w:r>
    </w:p>
    <w:p w14:paraId="0C52EB07" w14:textId="77777777" w:rsidR="00263D30" w:rsidRPr="00E004A2" w:rsidRDefault="00263D30" w:rsidP="00B24546">
      <w:pPr>
        <w:tabs>
          <w:tab w:val="left" w:pos="720"/>
          <w:tab w:val="left" w:pos="1440"/>
          <w:tab w:val="left" w:pos="2160"/>
          <w:tab w:val="left" w:pos="2880"/>
          <w:tab w:val="left" w:pos="3600"/>
          <w:tab w:val="left" w:pos="4320"/>
        </w:tabs>
        <w:spacing w:line="480" w:lineRule="auto"/>
        <w:rPr>
          <w:rFonts w:ascii="Garamond" w:hAnsi="Garamond"/>
          <w:b/>
          <w:kern w:val="1"/>
          <w:sz w:val="24"/>
          <w:szCs w:val="24"/>
          <w:highlight w:val="white"/>
        </w:rPr>
      </w:pPr>
      <w:r w:rsidRPr="00E004A2">
        <w:rPr>
          <w:rFonts w:ascii="Garamond" w:hAnsi="Garamond"/>
          <w:kern w:val="1"/>
          <w:sz w:val="24"/>
          <w:szCs w:val="24"/>
          <w:highlight w:val="white"/>
        </w:rPr>
        <w:tab/>
      </w:r>
      <w:r w:rsidRPr="00E004A2">
        <w:rPr>
          <w:rFonts w:ascii="Garamond" w:hAnsi="Garamond"/>
          <w:b/>
          <w:kern w:val="1"/>
          <w:sz w:val="24"/>
          <w:szCs w:val="24"/>
          <w:highlight w:val="white"/>
        </w:rPr>
        <w:t>16. References to specific gender or kind of person include others</w:t>
      </w:r>
    </w:p>
    <w:p w14:paraId="640F3199" w14:textId="77777777" w:rsidR="00263D30" w:rsidRPr="00E004A2" w:rsidRDefault="00263D30" w:rsidP="00B24546">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t>(1) Words denoting a gender include every other gender.</w:t>
      </w:r>
    </w:p>
    <w:p w14:paraId="218C2DB0" w14:textId="55243AA8" w:rsidR="0045490D" w:rsidRPr="00E004A2" w:rsidRDefault="0045490D"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The difference between what my legislative drafting informant su</w:t>
      </w:r>
      <w:r w:rsidR="00554582" w:rsidRPr="00E004A2">
        <w:rPr>
          <w:rFonts w:ascii="Garamond" w:hAnsi="Garamond"/>
          <w:kern w:val="1"/>
          <w:sz w:val="24"/>
          <w:szCs w:val="24"/>
          <w:highlight w:val="white"/>
        </w:rPr>
        <w:t>ggested and the examples from</w:t>
      </w:r>
      <w:r w:rsidRPr="00E004A2">
        <w:rPr>
          <w:rFonts w:ascii="Garamond" w:hAnsi="Garamond"/>
          <w:kern w:val="1"/>
          <w:sz w:val="24"/>
          <w:szCs w:val="24"/>
          <w:highlight w:val="white"/>
        </w:rPr>
        <w:t xml:space="preserve"> Australia</w:t>
      </w:r>
      <w:r w:rsidR="00263D30" w:rsidRPr="00E004A2">
        <w:rPr>
          <w:rFonts w:ascii="Garamond" w:hAnsi="Garamond"/>
          <w:kern w:val="1"/>
          <w:sz w:val="24"/>
          <w:szCs w:val="24"/>
          <w:highlight w:val="white"/>
        </w:rPr>
        <w:t xml:space="preserve"> and New Zealand</w:t>
      </w:r>
      <w:r w:rsidRPr="00E004A2">
        <w:rPr>
          <w:rFonts w:ascii="Garamond" w:hAnsi="Garamond"/>
          <w:kern w:val="1"/>
          <w:sz w:val="24"/>
          <w:szCs w:val="24"/>
          <w:highlight w:val="white"/>
        </w:rPr>
        <w:t xml:space="preserve"> is the addition of the words</w:t>
      </w:r>
      <w:r w:rsidR="00263D30" w:rsidRPr="00E004A2">
        <w:rPr>
          <w:rFonts w:ascii="Garamond" w:hAnsi="Garamond"/>
          <w:kern w:val="1"/>
          <w:sz w:val="24"/>
          <w:szCs w:val="24"/>
          <w:highlight w:val="white"/>
        </w:rPr>
        <w:t xml:space="preserve"> “or who is not of that gender”</w:t>
      </w:r>
      <w:r w:rsidR="00487988" w:rsidRPr="00E004A2">
        <w:rPr>
          <w:rFonts w:ascii="Garamond" w:hAnsi="Garamond"/>
          <w:kern w:val="1"/>
          <w:sz w:val="24"/>
          <w:szCs w:val="24"/>
          <w:highlight w:val="white"/>
        </w:rPr>
        <w:t>,</w:t>
      </w:r>
      <w:r w:rsidRPr="00E004A2">
        <w:rPr>
          <w:rFonts w:ascii="Garamond" w:hAnsi="Garamond"/>
          <w:kern w:val="1"/>
          <w:sz w:val="24"/>
          <w:szCs w:val="24"/>
          <w:highlight w:val="white"/>
        </w:rPr>
        <w:t xml:space="preserve"> thereby including not just non-binary individuals, but also individuals who do not identify as any gender.</w:t>
      </w:r>
      <w:r w:rsidR="006C7149" w:rsidRPr="00E004A2">
        <w:rPr>
          <w:rFonts w:ascii="Garamond" w:hAnsi="Garamond"/>
          <w:kern w:val="1"/>
          <w:sz w:val="24"/>
          <w:szCs w:val="24"/>
          <w:highlight w:val="white"/>
        </w:rPr>
        <w:t xml:space="preserve"> An analogous approach can be found in </w:t>
      </w:r>
      <w:r w:rsidR="003F2FF0" w:rsidRPr="00E004A2">
        <w:rPr>
          <w:rFonts w:ascii="Garamond" w:hAnsi="Garamond"/>
          <w:kern w:val="1"/>
          <w:sz w:val="24"/>
          <w:szCs w:val="24"/>
          <w:highlight w:val="white"/>
        </w:rPr>
        <w:t>the Legislation (Wales) Act</w:t>
      </w:r>
      <w:r w:rsidR="00396CF8">
        <w:rPr>
          <w:rFonts w:ascii="Garamond" w:hAnsi="Garamond"/>
          <w:kern w:val="1"/>
          <w:sz w:val="24"/>
          <w:szCs w:val="24"/>
          <w:highlight w:val="white"/>
        </w:rPr>
        <w:t xml:space="preserve"> 2019</w:t>
      </w:r>
      <w:r w:rsidR="003F2FF0" w:rsidRPr="00E004A2">
        <w:rPr>
          <w:rFonts w:ascii="Garamond" w:hAnsi="Garamond"/>
          <w:kern w:val="1"/>
          <w:sz w:val="24"/>
          <w:szCs w:val="24"/>
          <w:highlight w:val="white"/>
        </w:rPr>
        <w:t>, which aims to consolidate and eventually codify Welsh law</w:t>
      </w:r>
      <w:r w:rsidR="00103F3F">
        <w:rPr>
          <w:rFonts w:ascii="Garamond" w:hAnsi="Garamond"/>
          <w:kern w:val="1"/>
          <w:sz w:val="24"/>
          <w:szCs w:val="24"/>
          <w:highlight w:val="white"/>
        </w:rPr>
        <w:t xml:space="preserve"> (Welsh Government, 2018, p.11)</w:t>
      </w:r>
      <w:r w:rsidR="003F2FF0" w:rsidRPr="00E004A2">
        <w:rPr>
          <w:rFonts w:ascii="Garamond" w:hAnsi="Garamond"/>
          <w:kern w:val="1"/>
          <w:sz w:val="24"/>
          <w:szCs w:val="24"/>
          <w:highlight w:val="white"/>
        </w:rPr>
        <w:t>, and which contains a broad prov</w:t>
      </w:r>
      <w:r w:rsidR="008B41B3" w:rsidRPr="00E004A2">
        <w:rPr>
          <w:rFonts w:ascii="Garamond" w:hAnsi="Garamond"/>
          <w:kern w:val="1"/>
          <w:sz w:val="24"/>
          <w:szCs w:val="24"/>
          <w:highlight w:val="white"/>
        </w:rPr>
        <w:t xml:space="preserve">ision explicitly allowing for </w:t>
      </w:r>
      <w:r w:rsidR="00554582" w:rsidRPr="00E004A2">
        <w:rPr>
          <w:rFonts w:ascii="Garamond" w:hAnsi="Garamond"/>
          <w:kern w:val="1"/>
          <w:sz w:val="24"/>
          <w:szCs w:val="24"/>
          <w:highlight w:val="white"/>
        </w:rPr>
        <w:t xml:space="preserve">the </w:t>
      </w:r>
      <w:r w:rsidR="003F2FF0" w:rsidRPr="00E004A2">
        <w:rPr>
          <w:rFonts w:ascii="Garamond" w:hAnsi="Garamond"/>
          <w:kern w:val="1"/>
          <w:sz w:val="24"/>
          <w:szCs w:val="24"/>
          <w:highlight w:val="white"/>
        </w:rPr>
        <w:t>non-binary</w:t>
      </w:r>
      <w:r w:rsidR="008B41B3" w:rsidRPr="00E004A2">
        <w:rPr>
          <w:rFonts w:ascii="Garamond" w:hAnsi="Garamond"/>
          <w:kern w:val="1"/>
          <w:sz w:val="24"/>
          <w:szCs w:val="24"/>
          <w:highlight w:val="white"/>
        </w:rPr>
        <w:t>, even plural, gender</w:t>
      </w:r>
      <w:r w:rsidR="003F2FF0" w:rsidRPr="00E004A2">
        <w:rPr>
          <w:rFonts w:ascii="Garamond" w:hAnsi="Garamond"/>
          <w:kern w:val="1"/>
          <w:sz w:val="24"/>
          <w:szCs w:val="24"/>
          <w:highlight w:val="white"/>
        </w:rPr>
        <w:t xml:space="preserve"> interpretation of legislation:</w:t>
      </w:r>
    </w:p>
    <w:p w14:paraId="2D18484B" w14:textId="17ADB3BE" w:rsidR="003E30A0" w:rsidRPr="00E004A2" w:rsidRDefault="003E30A0" w:rsidP="00B24546">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r>
      <w:r w:rsidRPr="00E004A2">
        <w:rPr>
          <w:rFonts w:ascii="Garamond" w:hAnsi="Garamond"/>
          <w:b/>
          <w:kern w:val="1"/>
          <w:sz w:val="24"/>
          <w:szCs w:val="24"/>
          <w:highlight w:val="white"/>
        </w:rPr>
        <w:t>Section 8: Words denoting a gender are not limited to that gender</w:t>
      </w:r>
    </w:p>
    <w:p w14:paraId="179A296F" w14:textId="77777777" w:rsidR="003E30A0" w:rsidRPr="00E004A2" w:rsidRDefault="003E30A0" w:rsidP="00B24546">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highlight w:val="white"/>
        </w:rPr>
      </w:pPr>
      <w:r w:rsidRPr="00E004A2">
        <w:rPr>
          <w:rFonts w:ascii="Garamond" w:hAnsi="Garamond"/>
          <w:kern w:val="1"/>
          <w:sz w:val="24"/>
          <w:szCs w:val="24"/>
          <w:highlight w:val="white"/>
        </w:rPr>
        <w:t>In an Assembly Act or a Welsh subordinate instrument, words denoting persons of a particular gender are not to be read as limited to persons of that gender.</w:t>
      </w:r>
    </w:p>
    <w:p w14:paraId="406FC8BF" w14:textId="77777777" w:rsidR="008E7DDD" w:rsidRPr="00E004A2" w:rsidRDefault="008E7DDD"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lastRenderedPageBreak/>
        <w:t>This provision expressly goes beyond</w:t>
      </w:r>
      <w:r w:rsidR="00897A55" w:rsidRPr="00E004A2">
        <w:rPr>
          <w:rFonts w:ascii="Garamond" w:hAnsi="Garamond"/>
          <w:kern w:val="1"/>
          <w:sz w:val="24"/>
          <w:szCs w:val="24"/>
          <w:highlight w:val="white"/>
        </w:rPr>
        <w:t xml:space="preserve"> the two-</w:t>
      </w:r>
      <w:r w:rsidRPr="00E004A2">
        <w:rPr>
          <w:rFonts w:ascii="Garamond" w:hAnsi="Garamond"/>
          <w:kern w:val="1"/>
          <w:sz w:val="24"/>
          <w:szCs w:val="24"/>
          <w:highlight w:val="white"/>
        </w:rPr>
        <w:t xml:space="preserve">way interpretation rule in the UK’s Interpretation Act 1978. As the explanatory notes to the 2019 Act put it: </w:t>
      </w:r>
    </w:p>
    <w:p w14:paraId="1B751C6F" w14:textId="18ECE39E" w:rsidR="008E7DDD" w:rsidRPr="00E004A2" w:rsidRDefault="008E7DDD" w:rsidP="00B24546">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highlight w:val="white"/>
        </w:rPr>
      </w:pPr>
      <w:r w:rsidRPr="00E004A2">
        <w:rPr>
          <w:rFonts w:ascii="Garamond" w:hAnsi="Garamond"/>
          <w:kern w:val="1"/>
          <w:sz w:val="24"/>
          <w:szCs w:val="24"/>
          <w:highlight w:val="white"/>
        </w:rPr>
        <w:t xml:space="preserve">This section is equivalent to section 6(a) and (b) of the 1978 Act, but it does not refer expressly to the male and female genders and </w:t>
      </w:r>
      <w:r w:rsidRPr="00E004A2">
        <w:rPr>
          <w:rFonts w:ascii="Garamond" w:hAnsi="Garamond"/>
          <w:b/>
          <w:kern w:val="1"/>
          <w:sz w:val="24"/>
          <w:szCs w:val="24"/>
          <w:highlight w:val="white"/>
        </w:rPr>
        <w:t>therefore has a wider scope</w:t>
      </w:r>
      <w:r w:rsidRPr="00E004A2">
        <w:rPr>
          <w:rFonts w:ascii="Garamond" w:hAnsi="Garamond"/>
          <w:kern w:val="1"/>
          <w:sz w:val="24"/>
          <w:szCs w:val="24"/>
          <w:highlight w:val="white"/>
        </w:rPr>
        <w:t>.</w:t>
      </w:r>
      <w:r w:rsidR="00554582" w:rsidRPr="00E004A2">
        <w:rPr>
          <w:rFonts w:ascii="Garamond" w:hAnsi="Garamond"/>
          <w:kern w:val="1"/>
          <w:sz w:val="24"/>
          <w:szCs w:val="24"/>
          <w:highlight w:val="white"/>
        </w:rPr>
        <w:t xml:space="preserve"> (emphasis added)</w:t>
      </w:r>
    </w:p>
    <w:p w14:paraId="716A2318" w14:textId="62CC7C09" w:rsidR="002A2C1B" w:rsidRPr="00E004A2" w:rsidRDefault="00557EE9"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T</w:t>
      </w:r>
      <w:r w:rsidR="003E30A0" w:rsidRPr="00E004A2">
        <w:rPr>
          <w:rFonts w:ascii="Garamond" w:hAnsi="Garamond"/>
          <w:kern w:val="1"/>
          <w:sz w:val="24"/>
          <w:szCs w:val="24"/>
          <w:highlight w:val="white"/>
        </w:rPr>
        <w:t xml:space="preserve">he explanatory notes </w:t>
      </w:r>
      <w:r w:rsidR="008E7DDD" w:rsidRPr="00E004A2">
        <w:rPr>
          <w:rFonts w:ascii="Garamond" w:hAnsi="Garamond"/>
          <w:kern w:val="1"/>
          <w:sz w:val="24"/>
          <w:szCs w:val="24"/>
          <w:highlight w:val="white"/>
        </w:rPr>
        <w:t>point out that the rule</w:t>
      </w:r>
      <w:r w:rsidR="00BA4881" w:rsidRPr="00E004A2">
        <w:rPr>
          <w:rFonts w:ascii="Garamond" w:hAnsi="Garamond"/>
          <w:kern w:val="1"/>
          <w:sz w:val="24"/>
          <w:szCs w:val="24"/>
          <w:highlight w:val="white"/>
        </w:rPr>
        <w:t xml:space="preserve"> is</w:t>
      </w:r>
      <w:r w:rsidR="003E30A0" w:rsidRPr="00E004A2">
        <w:rPr>
          <w:rFonts w:ascii="Garamond" w:hAnsi="Garamond"/>
          <w:kern w:val="1"/>
          <w:sz w:val="24"/>
          <w:szCs w:val="24"/>
          <w:highlight w:val="white"/>
        </w:rPr>
        <w:t xml:space="preserve"> limited</w:t>
      </w:r>
      <w:r w:rsidR="008E7DDD" w:rsidRPr="00E004A2">
        <w:rPr>
          <w:rFonts w:ascii="Garamond" w:hAnsi="Garamond"/>
          <w:kern w:val="1"/>
          <w:sz w:val="24"/>
          <w:szCs w:val="24"/>
          <w:highlight w:val="white"/>
        </w:rPr>
        <w:t xml:space="preserve"> by context</w:t>
      </w:r>
      <w:r w:rsidR="003E30A0" w:rsidRPr="00E004A2">
        <w:rPr>
          <w:rFonts w:ascii="Garamond" w:hAnsi="Garamond"/>
          <w:kern w:val="1"/>
          <w:sz w:val="24"/>
          <w:szCs w:val="24"/>
          <w:highlight w:val="white"/>
        </w:rPr>
        <w:t xml:space="preserve"> in a similar way as o</w:t>
      </w:r>
      <w:r w:rsidR="008E7DDD" w:rsidRPr="00E004A2">
        <w:rPr>
          <w:rFonts w:ascii="Garamond" w:hAnsi="Garamond"/>
          <w:kern w:val="1"/>
          <w:sz w:val="24"/>
          <w:szCs w:val="24"/>
          <w:highlight w:val="white"/>
        </w:rPr>
        <w:t>ther interpretation legislation; that is, if ‘express provision is made to the contrary or the context requires otherwise’ then it will not apply.</w:t>
      </w:r>
      <w:r w:rsidR="008E7DDD" w:rsidRPr="00645D9E">
        <w:rPr>
          <w:rStyle w:val="FootnoteReference"/>
          <w:highlight w:val="white"/>
        </w:rPr>
        <w:footnoteReference w:id="13"/>
      </w:r>
      <w:r w:rsidR="00D150FD" w:rsidRPr="00E004A2">
        <w:rPr>
          <w:rFonts w:ascii="Garamond" w:hAnsi="Garamond"/>
          <w:kern w:val="1"/>
          <w:sz w:val="24"/>
          <w:szCs w:val="24"/>
          <w:highlight w:val="white"/>
        </w:rPr>
        <w:t xml:space="preserve"> This means that if a policy area requires specific application to one gender, then the rule will not override interpretation of legislation along those lines.</w:t>
      </w:r>
      <w:r w:rsidRPr="00E004A2">
        <w:rPr>
          <w:rFonts w:ascii="Garamond" w:hAnsi="Garamond"/>
          <w:kern w:val="1"/>
          <w:sz w:val="24"/>
          <w:szCs w:val="24"/>
          <w:highlight w:val="white"/>
        </w:rPr>
        <w:t xml:space="preserve"> </w:t>
      </w:r>
    </w:p>
    <w:p w14:paraId="38FEFC69" w14:textId="3EB552A9" w:rsidR="007D4782" w:rsidRPr="00E004A2" w:rsidRDefault="00691F89" w:rsidP="006F7A3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r>
      <w:r w:rsidR="002A2C1B" w:rsidRPr="00E004A2">
        <w:rPr>
          <w:rFonts w:ascii="Garamond" w:hAnsi="Garamond"/>
          <w:kern w:val="1"/>
          <w:sz w:val="24"/>
          <w:szCs w:val="24"/>
          <w:highlight w:val="white"/>
        </w:rPr>
        <w:t>I</w:t>
      </w:r>
      <w:r w:rsidR="00557EE9" w:rsidRPr="00E004A2">
        <w:rPr>
          <w:rFonts w:ascii="Garamond" w:hAnsi="Garamond"/>
          <w:kern w:val="1"/>
          <w:sz w:val="24"/>
          <w:szCs w:val="24"/>
          <w:highlight w:val="white"/>
        </w:rPr>
        <w:t xml:space="preserve">n explicitly going far beyond the current interpretation rule in the 1978 Act, the Welsh provision raises intriguing questions about why such innovation has been possible in a devolved assembly and not at Westminster. Christopher Williams proposes that this may be in part due to the Welsh Assembly legislating in two languages </w:t>
      </w:r>
      <w:r w:rsidR="00B83474"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{"citationID":"nooz93AV","properties":{"formattedCitation":"(Williams, 2008, p. 152)","plainCitation":"(Williams, 2008, p. 152)","noteIndex":0},"citationItems":[{"id":1048,"uris":["http://zotero.org/users/1070015/items/LTV2CQK7"],"uri":["http://zotero.org/users/1070015/items/LTV2CQK7"],"itemData":{"id":1048,"type":"article-journal","abstract":"With the burgeoning of the feminist movement in the western world during the latter half of the 20th century, the question of drafting legislative texts accordi","container-title":"Statute Law Review","DOI":"10.1093/slr/hmn015","ISSN":"0144-3593","issue":"3","journalAbbreviation":"Statute Law Rev","language":"en","page":"139-153","source":"academic.oup.com","title":"The End of the ‘Masculine Rule’? Gender-Neutral Legislative Drafting in the United Kingdom and Ireland","title-short":"The End of the ‘Masculine Rule’?","volume":"29","author":[{"family":"Williams","given":"Christopher"}],"issued":{"date-parts":[["2008",10,1]]}},"locator":"152","label":"page"}],"schema":"https://github.com/citation-style-language/schema/raw/master/csl-citation.json"} </w:instrText>
      </w:r>
      <w:r w:rsidR="00B83474"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(Williams, 2008, p. 152)</w:t>
      </w:r>
      <w:r w:rsidR="00B83474" w:rsidRPr="00E004A2">
        <w:rPr>
          <w:rFonts w:ascii="Garamond" w:hAnsi="Garamond"/>
          <w:kern w:val="1"/>
          <w:sz w:val="24"/>
          <w:szCs w:val="24"/>
          <w:highlight w:val="white"/>
        </w:rPr>
        <w:fldChar w:fldCharType="end"/>
      </w:r>
      <w:r w:rsidR="00AC4C39" w:rsidRPr="00E004A2">
        <w:rPr>
          <w:rFonts w:ascii="Garamond" w:hAnsi="Garamond"/>
          <w:kern w:val="1"/>
          <w:sz w:val="24"/>
          <w:szCs w:val="24"/>
          <w:highlight w:val="white"/>
        </w:rPr>
        <w:t xml:space="preserve">. </w:t>
      </w:r>
      <w:r w:rsidR="00557EE9" w:rsidRPr="00E004A2">
        <w:rPr>
          <w:rFonts w:ascii="Garamond" w:hAnsi="Garamond"/>
          <w:kern w:val="1"/>
          <w:sz w:val="24"/>
          <w:szCs w:val="24"/>
          <w:highlight w:val="white"/>
        </w:rPr>
        <w:t>Welsh</w:t>
      </w:r>
      <w:r w:rsidR="00897A55" w:rsidRPr="00E004A2">
        <w:rPr>
          <w:rFonts w:ascii="Garamond" w:hAnsi="Garamond"/>
          <w:kern w:val="1"/>
          <w:sz w:val="24"/>
          <w:szCs w:val="24"/>
          <w:highlight w:val="white"/>
        </w:rPr>
        <w:t xml:space="preserve"> legislative drafters</w:t>
      </w:r>
      <w:r w:rsidR="00AC4C39" w:rsidRPr="00E004A2">
        <w:rPr>
          <w:rFonts w:ascii="Garamond" w:hAnsi="Garamond"/>
          <w:kern w:val="1"/>
          <w:sz w:val="24"/>
          <w:szCs w:val="24"/>
          <w:highlight w:val="white"/>
        </w:rPr>
        <w:t xml:space="preserve"> face particular challenges </w:t>
      </w:r>
      <w:r w:rsidR="00557EE9" w:rsidRPr="00E004A2">
        <w:rPr>
          <w:rFonts w:ascii="Garamond" w:hAnsi="Garamond"/>
          <w:kern w:val="1"/>
          <w:sz w:val="24"/>
          <w:szCs w:val="24"/>
          <w:highlight w:val="white"/>
        </w:rPr>
        <w:t xml:space="preserve">when </w:t>
      </w:r>
      <w:r w:rsidR="00AC4C39" w:rsidRPr="00E004A2">
        <w:rPr>
          <w:rFonts w:ascii="Garamond" w:hAnsi="Garamond"/>
          <w:kern w:val="1"/>
          <w:sz w:val="24"/>
          <w:szCs w:val="24"/>
          <w:highlight w:val="white"/>
        </w:rPr>
        <w:t xml:space="preserve">drafting </w:t>
      </w:r>
      <w:r w:rsidR="00557EE9" w:rsidRPr="00E004A2">
        <w:rPr>
          <w:rFonts w:ascii="Garamond" w:hAnsi="Garamond"/>
          <w:kern w:val="1"/>
          <w:sz w:val="24"/>
          <w:szCs w:val="24"/>
          <w:highlight w:val="white"/>
        </w:rPr>
        <w:t>gender-rel</w:t>
      </w:r>
      <w:r w:rsidR="00AC4C39" w:rsidRPr="00E004A2">
        <w:rPr>
          <w:rFonts w:ascii="Garamond" w:hAnsi="Garamond"/>
          <w:kern w:val="1"/>
          <w:sz w:val="24"/>
          <w:szCs w:val="24"/>
          <w:highlight w:val="white"/>
        </w:rPr>
        <w:t>ated provisions across English and Welsh with their very different approaches to gender</w:t>
      </w:r>
      <w:r w:rsidR="003C58F7" w:rsidRPr="00E004A2">
        <w:rPr>
          <w:rFonts w:ascii="Garamond" w:hAnsi="Garamond"/>
          <w:kern w:val="1"/>
          <w:sz w:val="24"/>
          <w:szCs w:val="24"/>
          <w:highlight w:val="white"/>
        </w:rPr>
        <w:t xml:space="preserve"> (see further below)</w:t>
      </w:r>
      <w:r w:rsidR="00AC4C39" w:rsidRPr="00E004A2">
        <w:rPr>
          <w:rFonts w:ascii="Garamond" w:hAnsi="Garamond"/>
          <w:kern w:val="1"/>
          <w:sz w:val="24"/>
          <w:szCs w:val="24"/>
          <w:highlight w:val="white"/>
        </w:rPr>
        <w:t xml:space="preserve">. Such </w:t>
      </w:r>
      <w:r w:rsidR="00C77527" w:rsidRPr="00E004A2">
        <w:rPr>
          <w:rFonts w:ascii="Garamond" w:hAnsi="Garamond"/>
          <w:kern w:val="1"/>
          <w:sz w:val="24"/>
          <w:szCs w:val="24"/>
          <w:highlight w:val="white"/>
        </w:rPr>
        <w:t>dilemmas</w:t>
      </w:r>
      <w:r w:rsidR="00AC4C39" w:rsidRPr="00E004A2">
        <w:rPr>
          <w:rFonts w:ascii="Garamond" w:hAnsi="Garamond"/>
          <w:kern w:val="1"/>
          <w:sz w:val="24"/>
          <w:szCs w:val="24"/>
          <w:highlight w:val="white"/>
        </w:rPr>
        <w:t>, with their associated potential for innovation, are a feature of any jurisdiction encompassing more than one language system</w:t>
      </w:r>
      <w:r w:rsidR="003C58F7" w:rsidRPr="00E004A2">
        <w:rPr>
          <w:rFonts w:ascii="Garamond" w:hAnsi="Garamond"/>
          <w:kern w:val="1"/>
          <w:sz w:val="24"/>
          <w:szCs w:val="24"/>
          <w:highlight w:val="white"/>
        </w:rPr>
        <w:t xml:space="preserve"> and often accompany attempts (however effective t</w:t>
      </w:r>
      <w:r w:rsidR="00652CCF" w:rsidRPr="00E004A2">
        <w:rPr>
          <w:rFonts w:ascii="Garamond" w:hAnsi="Garamond"/>
          <w:kern w:val="1"/>
          <w:sz w:val="24"/>
          <w:szCs w:val="24"/>
          <w:highlight w:val="white"/>
        </w:rPr>
        <w:t>hey might be</w:t>
      </w:r>
      <w:r w:rsidR="00554582" w:rsidRPr="00E004A2">
        <w:rPr>
          <w:rFonts w:ascii="Garamond" w:hAnsi="Garamond"/>
          <w:kern w:val="1"/>
          <w:sz w:val="24"/>
          <w:szCs w:val="24"/>
          <w:highlight w:val="white"/>
        </w:rPr>
        <w:t>, or not</w:t>
      </w:r>
      <w:r w:rsidR="003C58F7" w:rsidRPr="00E004A2">
        <w:rPr>
          <w:rFonts w:ascii="Garamond" w:hAnsi="Garamond"/>
          <w:kern w:val="1"/>
          <w:sz w:val="24"/>
          <w:szCs w:val="24"/>
          <w:highlight w:val="white"/>
        </w:rPr>
        <w:t xml:space="preserve">) </w:t>
      </w:r>
      <w:r w:rsidR="00AC4C39" w:rsidRPr="00E004A2">
        <w:rPr>
          <w:rFonts w:ascii="Garamond" w:hAnsi="Garamond"/>
          <w:kern w:val="1"/>
          <w:sz w:val="24"/>
          <w:szCs w:val="24"/>
          <w:highlight w:val="white"/>
        </w:rPr>
        <w:t>to devolve power or recognise plural legal systems within postcolonial legal contexts</w:t>
      </w:r>
      <w:r w:rsidR="00897A55" w:rsidRPr="00E004A2">
        <w:rPr>
          <w:rFonts w:ascii="Garamond" w:hAnsi="Garamond"/>
          <w:kern w:val="1"/>
          <w:sz w:val="24"/>
          <w:szCs w:val="24"/>
          <w:highlight w:val="white"/>
        </w:rPr>
        <w:t>, often with associated language implications</w:t>
      </w:r>
      <w:r w:rsidR="00AC4C39" w:rsidRPr="00E004A2">
        <w:rPr>
          <w:rFonts w:ascii="Garamond" w:hAnsi="Garamond"/>
          <w:kern w:val="1"/>
          <w:sz w:val="24"/>
          <w:szCs w:val="24"/>
          <w:highlight w:val="white"/>
        </w:rPr>
        <w:t xml:space="preserve">. For example, </w:t>
      </w:r>
      <w:r w:rsidR="003C58F7" w:rsidRPr="00E004A2">
        <w:rPr>
          <w:rFonts w:ascii="Garamond" w:hAnsi="Garamond"/>
          <w:kern w:val="1"/>
          <w:sz w:val="24"/>
          <w:szCs w:val="24"/>
          <w:highlight w:val="white"/>
        </w:rPr>
        <w:t xml:space="preserve">as King and Fawcett point out, the </w:t>
      </w:r>
      <w:proofErr w:type="spellStart"/>
      <w:r w:rsidR="003C58F7" w:rsidRPr="00E004A2">
        <w:rPr>
          <w:rFonts w:ascii="Garamond" w:hAnsi="Garamond"/>
          <w:color w:val="000000"/>
          <w:sz w:val="24"/>
          <w:szCs w:val="24"/>
        </w:rPr>
        <w:t>te</w:t>
      </w:r>
      <w:proofErr w:type="spellEnd"/>
      <w:r w:rsidR="003C58F7" w:rsidRPr="00E004A2">
        <w:rPr>
          <w:rFonts w:ascii="Garamond" w:hAnsi="Garamond"/>
          <w:color w:val="000000"/>
          <w:sz w:val="24"/>
          <w:szCs w:val="24"/>
        </w:rPr>
        <w:t xml:space="preserve"> reo </w:t>
      </w:r>
      <w:r w:rsidR="00BF24AA">
        <w:rPr>
          <w:rFonts w:ascii="Garamond" w:hAnsi="Garamond"/>
          <w:color w:val="000000"/>
          <w:sz w:val="24"/>
          <w:szCs w:val="24"/>
        </w:rPr>
        <w:t>Māori</w:t>
      </w:r>
      <w:r w:rsidR="003C58F7" w:rsidRPr="00E004A2">
        <w:rPr>
          <w:rFonts w:ascii="Garamond" w:hAnsi="Garamond"/>
          <w:color w:val="000000"/>
          <w:sz w:val="24"/>
          <w:szCs w:val="24"/>
        </w:rPr>
        <w:t xml:space="preserve"> word </w:t>
      </w:r>
      <w:proofErr w:type="spellStart"/>
      <w:r w:rsidR="003C58F7" w:rsidRPr="00E004A2">
        <w:rPr>
          <w:rFonts w:ascii="Garamond" w:hAnsi="Garamond"/>
          <w:i/>
          <w:color w:val="000000"/>
          <w:sz w:val="24"/>
          <w:szCs w:val="24"/>
        </w:rPr>
        <w:t>ia</w:t>
      </w:r>
      <w:proofErr w:type="spellEnd"/>
      <w:r w:rsidR="003C58F7" w:rsidRPr="00E004A2">
        <w:rPr>
          <w:rFonts w:ascii="Garamond" w:hAnsi="Garamond"/>
          <w:i/>
          <w:color w:val="000000"/>
          <w:sz w:val="24"/>
          <w:szCs w:val="24"/>
        </w:rPr>
        <w:t xml:space="preserve"> </w:t>
      </w:r>
      <w:r w:rsidR="00C77527" w:rsidRPr="00E004A2">
        <w:rPr>
          <w:rFonts w:ascii="Garamond" w:hAnsi="Garamond"/>
          <w:color w:val="000000"/>
          <w:sz w:val="24"/>
          <w:szCs w:val="24"/>
        </w:rPr>
        <w:t xml:space="preserve">is a gender neutral pronoun and can mean ‘he’, ‘she’, ‘him’, ‘it’ or ‘they’ </w:t>
      </w:r>
      <w:r w:rsidR="00381EBB" w:rsidRPr="00E004A2">
        <w:rPr>
          <w:rFonts w:ascii="Garamond" w:hAnsi="Garamond"/>
          <w:color w:val="000000"/>
          <w:sz w:val="24"/>
          <w:szCs w:val="24"/>
        </w:rPr>
        <w:fldChar w:fldCharType="begin"/>
      </w:r>
      <w:r w:rsidR="004F3785">
        <w:rPr>
          <w:rFonts w:ascii="Garamond" w:hAnsi="Garamond"/>
          <w:color w:val="000000"/>
          <w:sz w:val="24"/>
          <w:szCs w:val="24"/>
        </w:rPr>
        <w:instrText xml:space="preserve"> ADDIN ZOTERO_ITEM CSL_CITATION {"citationID":"q7thn7g8","properties":{"formattedCitation":"(King and Fawcett, 2018, p. 113)","plainCitation":"(King and Fawcett, 2018, p. 113)","noteIndex":0},"citationItems":[{"id":715,"uris":["http://zotero.org/users/1070015/items/D6VYLL7H"],"uri":["http://zotero.org/users/1070015/items/D6VYLL7H"],"itemData":{"id":715,"type":"article-journal","container-title":"New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She","volume":"2","author":[{"family":"King","given":"Ruby"},{"family":"Fawcett","given":"Jasper"}],"issued":{"date-parts":[["2018"]]}},"locator":"113","label":"page"}],"schema":"https://github.com/citation-style-language/schema/raw/master/csl-citation.json"} </w:instrText>
      </w:r>
      <w:r w:rsidR="00381EBB" w:rsidRPr="00E004A2">
        <w:rPr>
          <w:rFonts w:ascii="Garamond" w:hAnsi="Garamond"/>
          <w:color w:val="000000"/>
          <w:sz w:val="24"/>
          <w:szCs w:val="24"/>
        </w:rPr>
        <w:fldChar w:fldCharType="separate"/>
      </w:r>
      <w:r w:rsidR="004F3785">
        <w:rPr>
          <w:rFonts w:ascii="Garamond" w:hAnsi="Garamond"/>
          <w:noProof/>
          <w:color w:val="000000"/>
          <w:sz w:val="24"/>
          <w:szCs w:val="24"/>
        </w:rPr>
        <w:t>(King and Fawcett, 2018, p. 113)</w:t>
      </w:r>
      <w:r w:rsidR="00381EBB" w:rsidRPr="00E004A2">
        <w:rPr>
          <w:rFonts w:ascii="Garamond" w:hAnsi="Garamond"/>
          <w:color w:val="000000"/>
          <w:sz w:val="24"/>
          <w:szCs w:val="24"/>
        </w:rPr>
        <w:fldChar w:fldCharType="end"/>
      </w:r>
      <w:r w:rsidR="00C77527" w:rsidRPr="00E004A2">
        <w:rPr>
          <w:rFonts w:ascii="Garamond" w:hAnsi="Garamond"/>
          <w:color w:val="000000"/>
          <w:sz w:val="24"/>
          <w:szCs w:val="24"/>
        </w:rPr>
        <w:t xml:space="preserve">. </w:t>
      </w:r>
      <w:proofErr w:type="spellStart"/>
      <w:r w:rsidR="00C77527" w:rsidRPr="00E004A2">
        <w:rPr>
          <w:rFonts w:ascii="Garamond" w:hAnsi="Garamond"/>
          <w:i/>
          <w:color w:val="000000"/>
          <w:sz w:val="24"/>
          <w:szCs w:val="24"/>
        </w:rPr>
        <w:t>Ia</w:t>
      </w:r>
      <w:proofErr w:type="spellEnd"/>
      <w:r w:rsidR="00C77527" w:rsidRPr="00E004A2">
        <w:rPr>
          <w:rFonts w:ascii="Garamond" w:hAnsi="Garamond"/>
          <w:i/>
          <w:color w:val="000000"/>
          <w:sz w:val="24"/>
          <w:szCs w:val="24"/>
        </w:rPr>
        <w:t xml:space="preserve"> </w:t>
      </w:r>
      <w:r w:rsidR="00C77527" w:rsidRPr="00E004A2">
        <w:rPr>
          <w:rFonts w:ascii="Garamond" w:hAnsi="Garamond"/>
          <w:color w:val="000000"/>
          <w:sz w:val="24"/>
          <w:szCs w:val="24"/>
        </w:rPr>
        <w:t xml:space="preserve">is used through the </w:t>
      </w:r>
      <w:proofErr w:type="spellStart"/>
      <w:r w:rsidR="00C77527" w:rsidRPr="00E004A2">
        <w:rPr>
          <w:rFonts w:ascii="Garamond" w:hAnsi="Garamond"/>
          <w:color w:val="000000"/>
          <w:sz w:val="24"/>
          <w:szCs w:val="24"/>
        </w:rPr>
        <w:t>Te</w:t>
      </w:r>
      <w:proofErr w:type="spellEnd"/>
      <w:r w:rsidR="00C77527" w:rsidRPr="00E004A2">
        <w:rPr>
          <w:rFonts w:ascii="Garamond" w:hAnsi="Garamond"/>
          <w:color w:val="000000"/>
          <w:sz w:val="24"/>
          <w:szCs w:val="24"/>
        </w:rPr>
        <w:t xml:space="preserve"> </w:t>
      </w:r>
      <w:proofErr w:type="spellStart"/>
      <w:r w:rsidR="00C77527" w:rsidRPr="00E004A2">
        <w:rPr>
          <w:rFonts w:ascii="Garamond" w:hAnsi="Garamond"/>
          <w:color w:val="000000"/>
          <w:sz w:val="24"/>
          <w:szCs w:val="24"/>
        </w:rPr>
        <w:t>Ture</w:t>
      </w:r>
      <w:proofErr w:type="spellEnd"/>
      <w:r w:rsidR="00C77527" w:rsidRPr="00E004A2">
        <w:rPr>
          <w:rFonts w:ascii="Garamond" w:hAnsi="Garamond"/>
          <w:color w:val="000000"/>
          <w:sz w:val="24"/>
          <w:szCs w:val="24"/>
        </w:rPr>
        <w:t xml:space="preserve"> </w:t>
      </w:r>
      <w:proofErr w:type="spellStart"/>
      <w:r w:rsidR="00C77527" w:rsidRPr="00E004A2">
        <w:rPr>
          <w:rFonts w:ascii="Garamond" w:hAnsi="Garamond"/>
          <w:color w:val="000000"/>
          <w:sz w:val="24"/>
          <w:szCs w:val="24"/>
        </w:rPr>
        <w:t>m</w:t>
      </w:r>
      <w:r w:rsidR="00BF24AA">
        <w:rPr>
          <w:rFonts w:ascii="Garamond" w:hAnsi="Garamond"/>
          <w:color w:val="000000"/>
          <w:sz w:val="24"/>
          <w:szCs w:val="24"/>
        </w:rPr>
        <w:t>ō</w:t>
      </w:r>
      <w:proofErr w:type="spellEnd"/>
      <w:r w:rsidR="00BF24AA">
        <w:rPr>
          <w:rFonts w:ascii="Times New Roman" w:hAnsi="Times New Roman" w:cs="Times New Roman"/>
          <w:color w:val="000000"/>
          <w:sz w:val="24"/>
          <w:szCs w:val="24"/>
        </w:rPr>
        <w:t xml:space="preserve"> </w:t>
      </w:r>
      <w:proofErr w:type="spellStart"/>
      <w:r w:rsidR="00C77527" w:rsidRPr="00E004A2">
        <w:rPr>
          <w:rFonts w:ascii="Garamond" w:hAnsi="Garamond"/>
          <w:color w:val="000000"/>
          <w:sz w:val="24"/>
          <w:szCs w:val="24"/>
        </w:rPr>
        <w:t>Te</w:t>
      </w:r>
      <w:proofErr w:type="spellEnd"/>
      <w:r w:rsidR="00C77527" w:rsidRPr="00E004A2">
        <w:rPr>
          <w:rFonts w:ascii="Garamond" w:hAnsi="Garamond"/>
          <w:color w:val="000000"/>
          <w:sz w:val="24"/>
          <w:szCs w:val="24"/>
        </w:rPr>
        <w:t xml:space="preserve"> Reo M</w:t>
      </w:r>
      <w:r w:rsidR="00BF24AA">
        <w:rPr>
          <w:rFonts w:ascii="Garamond" w:hAnsi="Garamond"/>
          <w:color w:val="000000"/>
          <w:sz w:val="24"/>
          <w:szCs w:val="24"/>
        </w:rPr>
        <w:t>ā</w:t>
      </w:r>
      <w:r w:rsidR="00BF24AA">
        <w:rPr>
          <w:rFonts w:ascii="Times New Roman" w:hAnsi="Times New Roman" w:cs="Times New Roman"/>
          <w:color w:val="000000"/>
          <w:sz w:val="24"/>
          <w:szCs w:val="24"/>
        </w:rPr>
        <w:t>o</w:t>
      </w:r>
      <w:r w:rsidR="00C77527" w:rsidRPr="00E004A2">
        <w:rPr>
          <w:rFonts w:ascii="Garamond" w:hAnsi="Garamond"/>
          <w:color w:val="000000"/>
          <w:sz w:val="24"/>
          <w:szCs w:val="24"/>
        </w:rPr>
        <w:t>ri 2016/the M</w:t>
      </w:r>
      <w:r w:rsidR="00BF24AA">
        <w:rPr>
          <w:rFonts w:ascii="Garamond" w:hAnsi="Garamond"/>
          <w:color w:val="000000"/>
          <w:sz w:val="24"/>
          <w:szCs w:val="24"/>
        </w:rPr>
        <w:t>ā</w:t>
      </w:r>
      <w:r w:rsidR="00C77527" w:rsidRPr="00E004A2">
        <w:rPr>
          <w:rFonts w:ascii="Garamond" w:hAnsi="Garamond"/>
          <w:color w:val="000000"/>
          <w:sz w:val="24"/>
          <w:szCs w:val="24"/>
        </w:rPr>
        <w:t>ori Language Act 2016</w:t>
      </w:r>
      <w:r w:rsidR="00040B4E" w:rsidRPr="00E004A2">
        <w:rPr>
          <w:rFonts w:ascii="Garamond" w:hAnsi="Garamond"/>
          <w:color w:val="000000"/>
          <w:sz w:val="24"/>
          <w:szCs w:val="24"/>
        </w:rPr>
        <w:t xml:space="preserve"> in New Zealand</w:t>
      </w:r>
      <w:r w:rsidR="00C77527" w:rsidRPr="00E004A2">
        <w:rPr>
          <w:rFonts w:ascii="Garamond" w:hAnsi="Garamond"/>
          <w:color w:val="000000"/>
          <w:sz w:val="24"/>
          <w:szCs w:val="24"/>
        </w:rPr>
        <w:t xml:space="preserve">. In this way, dilemmas of addressing the masculine rule within interpretation legislation have distinct valences depending on colonial </w:t>
      </w:r>
      <w:r w:rsidR="002D7F1F" w:rsidRPr="00E004A2">
        <w:rPr>
          <w:rFonts w:ascii="Garamond" w:hAnsi="Garamond"/>
          <w:color w:val="000000"/>
          <w:sz w:val="24"/>
          <w:szCs w:val="24"/>
        </w:rPr>
        <w:t xml:space="preserve">and linguistic </w:t>
      </w:r>
      <w:r w:rsidR="00C77527" w:rsidRPr="00E004A2">
        <w:rPr>
          <w:rFonts w:ascii="Garamond" w:hAnsi="Garamond"/>
          <w:color w:val="000000"/>
          <w:sz w:val="24"/>
          <w:szCs w:val="24"/>
        </w:rPr>
        <w:lastRenderedPageBreak/>
        <w:t>context. Given the spread of interpretation acts with their associated masculine rules (and variations thereof) throughout jurisdictions</w:t>
      </w:r>
      <w:r w:rsidR="00897A55" w:rsidRPr="00E004A2">
        <w:rPr>
          <w:rFonts w:ascii="Garamond" w:hAnsi="Garamond"/>
          <w:color w:val="000000"/>
          <w:sz w:val="24"/>
          <w:szCs w:val="24"/>
        </w:rPr>
        <w:t xml:space="preserve"> colonised by the British</w:t>
      </w:r>
      <w:r w:rsidR="00C77527" w:rsidRPr="00E004A2">
        <w:rPr>
          <w:rFonts w:ascii="Garamond" w:hAnsi="Garamond"/>
          <w:color w:val="000000"/>
          <w:sz w:val="24"/>
          <w:szCs w:val="24"/>
        </w:rPr>
        <w:t xml:space="preserve"> </w:t>
      </w:r>
      <w:r w:rsidR="00381EBB" w:rsidRPr="00E004A2">
        <w:rPr>
          <w:rFonts w:ascii="Garamond" w:hAnsi="Garamond"/>
          <w:color w:val="000000"/>
          <w:sz w:val="24"/>
          <w:szCs w:val="24"/>
        </w:rPr>
        <w:fldChar w:fldCharType="begin"/>
      </w:r>
      <w:r w:rsidR="004F3785">
        <w:rPr>
          <w:rFonts w:ascii="Garamond" w:hAnsi="Garamond"/>
          <w:color w:val="000000"/>
          <w:sz w:val="24"/>
          <w:szCs w:val="24"/>
        </w:rPr>
        <w:instrText xml:space="preserve"> ADDIN ZOTERO_ITEM CSL_CITATION {"citationID":"VpnPe25B","properties":{"formattedCitation":"(Petersson, 1999)","plainCitation":"(Petersson, 1999)","noteIndex":0},"citationItems":[{"id":686,"uris":["http://zotero.org/users/1070015/items/P39IM835"],"uri":["http://zotero.org/users/1070015/items/P39IM835"],"itemData":{"id":686,"type":"article-journal","container-title":"Statute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Developments","volume":"20","author":[{"family":"Petersson","given":"Sandra"}],"issued":{"date-parts":[["1999"]]}}}],"schema":"https://github.com/citation-style-language/schema/raw/master/csl-citation.json"} </w:instrText>
      </w:r>
      <w:r w:rsidR="00381EBB" w:rsidRPr="00E004A2">
        <w:rPr>
          <w:rFonts w:ascii="Garamond" w:hAnsi="Garamond"/>
          <w:color w:val="000000"/>
          <w:sz w:val="24"/>
          <w:szCs w:val="24"/>
        </w:rPr>
        <w:fldChar w:fldCharType="separate"/>
      </w:r>
      <w:r w:rsidR="004F3785">
        <w:rPr>
          <w:rFonts w:ascii="Garamond" w:hAnsi="Garamond"/>
          <w:noProof/>
          <w:color w:val="000000"/>
          <w:sz w:val="24"/>
          <w:szCs w:val="24"/>
        </w:rPr>
        <w:t>(Petersson, 1999)</w:t>
      </w:r>
      <w:r w:rsidR="00381EBB" w:rsidRPr="00E004A2">
        <w:rPr>
          <w:rFonts w:ascii="Garamond" w:hAnsi="Garamond"/>
          <w:color w:val="000000"/>
          <w:sz w:val="24"/>
          <w:szCs w:val="24"/>
        </w:rPr>
        <w:fldChar w:fldCharType="end"/>
      </w:r>
      <w:r w:rsidR="00C77527" w:rsidRPr="00E004A2">
        <w:rPr>
          <w:rFonts w:ascii="Garamond" w:hAnsi="Garamond"/>
          <w:color w:val="000000"/>
          <w:sz w:val="24"/>
          <w:szCs w:val="24"/>
        </w:rPr>
        <w:t xml:space="preserve">, and given changing developments in the legal recognition of </w:t>
      </w:r>
      <w:r w:rsidR="00652CCF" w:rsidRPr="00E004A2">
        <w:rPr>
          <w:rFonts w:ascii="Garamond" w:hAnsi="Garamond"/>
          <w:color w:val="000000"/>
          <w:sz w:val="24"/>
          <w:szCs w:val="24"/>
        </w:rPr>
        <w:t xml:space="preserve">diverse political and cultural </w:t>
      </w:r>
      <w:r w:rsidR="00C77527" w:rsidRPr="00E004A2">
        <w:rPr>
          <w:rFonts w:ascii="Garamond" w:hAnsi="Garamond"/>
          <w:color w:val="000000"/>
          <w:sz w:val="24"/>
          <w:szCs w:val="24"/>
        </w:rPr>
        <w:t>constituencies, diverse legal soluti</w:t>
      </w:r>
      <w:r w:rsidR="00897A55" w:rsidRPr="00E004A2">
        <w:rPr>
          <w:rFonts w:ascii="Garamond" w:hAnsi="Garamond"/>
          <w:color w:val="000000"/>
          <w:sz w:val="24"/>
          <w:szCs w:val="24"/>
        </w:rPr>
        <w:t xml:space="preserve">ons are likely to be forged as </w:t>
      </w:r>
      <w:r w:rsidR="00C77527" w:rsidRPr="00E004A2">
        <w:rPr>
          <w:rFonts w:ascii="Garamond" w:hAnsi="Garamond"/>
          <w:color w:val="000000"/>
          <w:sz w:val="24"/>
          <w:szCs w:val="24"/>
        </w:rPr>
        <w:t>the continued use of interpretation legislation meets distinct gender ontologies with their associated terms and expressions.</w:t>
      </w:r>
    </w:p>
    <w:p w14:paraId="292624D5" w14:textId="3E0FD5A6" w:rsidR="00785EDB" w:rsidRPr="00E004A2" w:rsidRDefault="00C77527" w:rsidP="001B4F47">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color w:val="000000"/>
          <w:sz w:val="24"/>
          <w:szCs w:val="24"/>
        </w:rPr>
        <w:tab/>
        <w:t>A final point to consider when we think about the sort of ‘meta’ solutions to legal problems that interpretation acts seem to offer is the matter of retrospectively altering or removing gender terms across the legislative field</w:t>
      </w:r>
      <w:r w:rsidR="00652CCF" w:rsidRPr="00E004A2">
        <w:rPr>
          <w:rFonts w:ascii="Garamond" w:hAnsi="Garamond"/>
          <w:color w:val="000000"/>
          <w:sz w:val="24"/>
          <w:szCs w:val="24"/>
        </w:rPr>
        <w:t xml:space="preserve"> as a whole</w:t>
      </w:r>
      <w:r w:rsidRPr="00E004A2">
        <w:rPr>
          <w:rFonts w:ascii="Garamond" w:hAnsi="Garamond"/>
          <w:color w:val="000000"/>
          <w:sz w:val="24"/>
          <w:szCs w:val="24"/>
        </w:rPr>
        <w:t xml:space="preserve">. </w:t>
      </w:r>
      <w:r w:rsidR="00785EDB" w:rsidRPr="00E004A2">
        <w:rPr>
          <w:rFonts w:ascii="Garamond" w:hAnsi="Garamond"/>
          <w:color w:val="000000"/>
          <w:sz w:val="24"/>
          <w:szCs w:val="24"/>
        </w:rPr>
        <w:t xml:space="preserve">As this </w:t>
      </w:r>
      <w:r w:rsidR="002E1E36" w:rsidRPr="00E004A2">
        <w:rPr>
          <w:rFonts w:ascii="Garamond" w:hAnsi="Garamond"/>
          <w:color w:val="000000"/>
          <w:sz w:val="24"/>
          <w:szCs w:val="24"/>
        </w:rPr>
        <w:t xml:space="preserve">legislative </w:t>
      </w:r>
      <w:r w:rsidR="00785EDB" w:rsidRPr="00E004A2">
        <w:rPr>
          <w:rFonts w:ascii="Garamond" w:hAnsi="Garamond"/>
          <w:color w:val="000000"/>
          <w:sz w:val="24"/>
          <w:szCs w:val="24"/>
        </w:rPr>
        <w:t>drafter put it</w:t>
      </w:r>
      <w:r w:rsidR="00652CCF" w:rsidRPr="00E004A2">
        <w:rPr>
          <w:rFonts w:ascii="Garamond" w:hAnsi="Garamond"/>
          <w:color w:val="000000"/>
          <w:sz w:val="24"/>
          <w:szCs w:val="24"/>
        </w:rPr>
        <w:t xml:space="preserve">, </w:t>
      </w:r>
      <w:r w:rsidR="008B41B3" w:rsidRPr="00E004A2">
        <w:rPr>
          <w:rFonts w:ascii="Garamond" w:hAnsi="Garamond"/>
          <w:color w:val="000000"/>
          <w:sz w:val="24"/>
          <w:szCs w:val="24"/>
        </w:rPr>
        <w:t>because this would be ‘a lot more work’</w:t>
      </w:r>
      <w:r w:rsidR="006A1296">
        <w:rPr>
          <w:rFonts w:ascii="Garamond" w:hAnsi="Garamond"/>
          <w:color w:val="000000"/>
          <w:sz w:val="24"/>
          <w:szCs w:val="24"/>
        </w:rPr>
        <w:t>,</w:t>
      </w:r>
      <w:r w:rsidR="008B41B3" w:rsidRPr="00E004A2">
        <w:rPr>
          <w:rFonts w:ascii="Garamond" w:hAnsi="Garamond"/>
          <w:color w:val="000000"/>
          <w:sz w:val="24"/>
          <w:szCs w:val="24"/>
        </w:rPr>
        <w:t xml:space="preserve"> people might</w:t>
      </w:r>
      <w:r w:rsidR="00652CCF" w:rsidRPr="00E004A2">
        <w:rPr>
          <w:rFonts w:ascii="Garamond" w:hAnsi="Garamond"/>
          <w:color w:val="000000"/>
          <w:sz w:val="24"/>
          <w:szCs w:val="24"/>
        </w:rPr>
        <w:t xml:space="preserve"> accept statutes as they have been historically gendered on the basis that future legislation would look very different</w:t>
      </w:r>
      <w:r w:rsidR="00785EDB" w:rsidRPr="00E004A2">
        <w:rPr>
          <w:rFonts w:ascii="Garamond" w:hAnsi="Garamond"/>
          <w:color w:val="000000"/>
          <w:sz w:val="24"/>
          <w:szCs w:val="24"/>
        </w:rPr>
        <w:t xml:space="preserve">: </w:t>
      </w:r>
    </w:p>
    <w:p w14:paraId="375FCD4E" w14:textId="7F4248CA" w:rsidR="001B4F47" w:rsidRPr="00E004A2" w:rsidRDefault="00652CCF" w:rsidP="00B24546">
      <w:pPr>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sidRPr="00E004A2">
        <w:rPr>
          <w:rFonts w:ascii="Garamond" w:hAnsi="Garamond"/>
          <w:color w:val="000000"/>
          <w:sz w:val="24"/>
          <w:szCs w:val="24"/>
        </w:rPr>
        <w:t xml:space="preserve">… </w:t>
      </w:r>
      <w:r w:rsidR="001B4F47" w:rsidRPr="00E004A2">
        <w:rPr>
          <w:rFonts w:ascii="Garamond" w:hAnsi="Garamond"/>
          <w:color w:val="000000"/>
          <w:sz w:val="24"/>
          <w:szCs w:val="24"/>
        </w:rPr>
        <w:t>in terms of a societal solution of saying “we don't like the fact that there is gender in the existing statute book”, that’s obviously a lot more work if you wanted to solve that</w:t>
      </w:r>
      <w:r w:rsidR="00A54244">
        <w:rPr>
          <w:rFonts w:ascii="Garamond" w:hAnsi="Garamond"/>
          <w:color w:val="000000"/>
          <w:sz w:val="24"/>
          <w:szCs w:val="24"/>
        </w:rPr>
        <w:t xml:space="preserve"> rather than simply making a change in future Acts</w:t>
      </w:r>
      <w:r w:rsidR="001B4F47" w:rsidRPr="00E004A2">
        <w:rPr>
          <w:rFonts w:ascii="Garamond" w:hAnsi="Garamond"/>
          <w:color w:val="000000"/>
          <w:sz w:val="24"/>
          <w:szCs w:val="24"/>
        </w:rPr>
        <w:t>. Maybe people could live with it on the basis that it's part of the history or something and that the future doesn't look the same. It already doesn't look the same because of our move away from gender-specific drafting.</w:t>
      </w:r>
      <w:r w:rsidR="002E1E36" w:rsidRPr="00E004A2">
        <w:rPr>
          <w:rFonts w:ascii="Garamond" w:hAnsi="Garamond"/>
          <w:color w:val="000000"/>
          <w:sz w:val="24"/>
          <w:szCs w:val="24"/>
        </w:rPr>
        <w:t xml:space="preserve"> (Interview with legislative drafter, 2019)</w:t>
      </w:r>
    </w:p>
    <w:p w14:paraId="3E80AD3A" w14:textId="79234521" w:rsidR="008B41B3" w:rsidRPr="00E004A2" w:rsidRDefault="005938F9" w:rsidP="00652CCF">
      <w:pPr>
        <w:tabs>
          <w:tab w:val="left" w:pos="720"/>
          <w:tab w:val="left" w:pos="1440"/>
          <w:tab w:val="left" w:pos="2160"/>
          <w:tab w:val="left" w:pos="2880"/>
          <w:tab w:val="left" w:pos="3600"/>
          <w:tab w:val="left" w:pos="4320"/>
        </w:tabs>
        <w:spacing w:line="480" w:lineRule="auto"/>
        <w:rPr>
          <w:rFonts w:ascii="Garamond" w:hAnsi="Garamond"/>
          <w:color w:val="000000"/>
          <w:sz w:val="24"/>
          <w:szCs w:val="24"/>
        </w:rPr>
      </w:pPr>
      <w:r w:rsidRPr="00E004A2">
        <w:rPr>
          <w:rFonts w:ascii="Garamond" w:hAnsi="Garamond"/>
          <w:color w:val="000000"/>
          <w:sz w:val="24"/>
          <w:szCs w:val="24"/>
        </w:rPr>
        <w:t xml:space="preserve">This is based on an assumption that as drafting techniques, government policies, and social norms change, anachronistic </w:t>
      </w:r>
      <w:r w:rsidR="00476E20" w:rsidRPr="00E004A2">
        <w:rPr>
          <w:rFonts w:ascii="Garamond" w:hAnsi="Garamond"/>
          <w:color w:val="000000"/>
          <w:sz w:val="24"/>
          <w:szCs w:val="24"/>
        </w:rPr>
        <w:t>sex/</w:t>
      </w:r>
      <w:r w:rsidRPr="00E004A2">
        <w:rPr>
          <w:rFonts w:ascii="Garamond" w:hAnsi="Garamond"/>
          <w:color w:val="000000"/>
          <w:sz w:val="24"/>
          <w:szCs w:val="24"/>
        </w:rPr>
        <w:t xml:space="preserve">gender expressions will eventually fall away. As such, the idea of using legislative drafting techniques to incrementally alter the statute book over time displays faith </w:t>
      </w:r>
      <w:r w:rsidR="00583F4D">
        <w:rPr>
          <w:rFonts w:ascii="Garamond" w:hAnsi="Garamond"/>
          <w:color w:val="000000"/>
          <w:sz w:val="24"/>
          <w:szCs w:val="24"/>
        </w:rPr>
        <w:t xml:space="preserve">in </w:t>
      </w:r>
      <w:r w:rsidRPr="00E004A2">
        <w:rPr>
          <w:rFonts w:ascii="Garamond" w:hAnsi="Garamond"/>
          <w:color w:val="000000"/>
          <w:sz w:val="24"/>
          <w:szCs w:val="24"/>
        </w:rPr>
        <w:t>the ‘drafter’s toolbox’ and ultimately in the potential for drafting to respond to its soc</w:t>
      </w:r>
      <w:r w:rsidR="0099504B" w:rsidRPr="00E004A2">
        <w:rPr>
          <w:rFonts w:ascii="Garamond" w:hAnsi="Garamond"/>
          <w:color w:val="000000"/>
          <w:sz w:val="24"/>
          <w:szCs w:val="24"/>
        </w:rPr>
        <w:t>ial context. Margaret Wilson</w:t>
      </w:r>
      <w:r w:rsidR="00554582" w:rsidRPr="00E004A2">
        <w:rPr>
          <w:rFonts w:ascii="Garamond" w:hAnsi="Garamond"/>
          <w:color w:val="000000"/>
          <w:sz w:val="24"/>
          <w:szCs w:val="24"/>
        </w:rPr>
        <w:t xml:space="preserve"> juxtaposes the incrementalism of using a </w:t>
      </w:r>
      <w:r w:rsidR="00EE00D5" w:rsidRPr="00E004A2">
        <w:rPr>
          <w:rFonts w:ascii="Garamond" w:hAnsi="Garamond"/>
          <w:color w:val="000000"/>
          <w:sz w:val="24"/>
          <w:szCs w:val="24"/>
        </w:rPr>
        <w:t>‘</w:t>
      </w:r>
      <w:r w:rsidR="00554582" w:rsidRPr="00E004A2">
        <w:rPr>
          <w:rFonts w:ascii="Garamond" w:hAnsi="Garamond"/>
          <w:color w:val="000000"/>
          <w:sz w:val="24"/>
          <w:szCs w:val="24"/>
        </w:rPr>
        <w:t>toolbox</w:t>
      </w:r>
      <w:r w:rsidR="00EE00D5" w:rsidRPr="00E004A2">
        <w:rPr>
          <w:rFonts w:ascii="Garamond" w:hAnsi="Garamond"/>
          <w:color w:val="000000"/>
          <w:sz w:val="24"/>
          <w:szCs w:val="24"/>
        </w:rPr>
        <w:t>’</w:t>
      </w:r>
      <w:r w:rsidR="00554582" w:rsidRPr="00E004A2">
        <w:rPr>
          <w:rFonts w:ascii="Garamond" w:hAnsi="Garamond"/>
          <w:color w:val="000000"/>
          <w:sz w:val="24"/>
          <w:szCs w:val="24"/>
        </w:rPr>
        <w:t xml:space="preserve"> with the immediate wholesale transformation of ‘waving a wand’</w:t>
      </w:r>
      <w:r w:rsidR="00E72017" w:rsidRPr="00E004A2">
        <w:rPr>
          <w:rFonts w:ascii="Garamond" w:hAnsi="Garamond"/>
          <w:color w:val="000000"/>
          <w:sz w:val="24"/>
          <w:szCs w:val="24"/>
        </w:rPr>
        <w:t xml:space="preserve"> in her discussion of New Zealand’s approach to legislative reform</w:t>
      </w:r>
      <w:r w:rsidR="000A6524" w:rsidRPr="00E004A2">
        <w:rPr>
          <w:rFonts w:ascii="Garamond" w:hAnsi="Garamond"/>
          <w:color w:val="000000"/>
          <w:sz w:val="24"/>
          <w:szCs w:val="24"/>
        </w:rPr>
        <w:t>:</w:t>
      </w:r>
    </w:p>
    <w:p w14:paraId="6982699A" w14:textId="0041C40B" w:rsidR="00652CCF" w:rsidRPr="00E004A2" w:rsidRDefault="00652CCF" w:rsidP="00B24546">
      <w:pPr>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sidRPr="00E004A2">
        <w:rPr>
          <w:rFonts w:ascii="Garamond" w:hAnsi="Garamond"/>
          <w:color w:val="000000"/>
          <w:sz w:val="24"/>
          <w:szCs w:val="24"/>
        </w:rPr>
        <w:t>You can't go through easily your whole legislative programme, particularly when you pass so many laws and make them gender</w:t>
      </w:r>
      <w:r w:rsidR="001F1D89">
        <w:rPr>
          <w:rFonts w:ascii="Garamond" w:hAnsi="Garamond"/>
          <w:color w:val="000000"/>
          <w:sz w:val="24"/>
          <w:szCs w:val="24"/>
        </w:rPr>
        <w:t xml:space="preserve"> </w:t>
      </w:r>
      <w:r w:rsidRPr="00E004A2">
        <w:rPr>
          <w:rFonts w:ascii="Garamond" w:hAnsi="Garamond"/>
          <w:color w:val="000000"/>
          <w:sz w:val="24"/>
          <w:szCs w:val="24"/>
        </w:rPr>
        <w:t xml:space="preserve">neutral. The idea was, each time they came up for </w:t>
      </w:r>
      <w:r w:rsidRPr="00E004A2">
        <w:rPr>
          <w:rFonts w:ascii="Garamond" w:hAnsi="Garamond"/>
          <w:color w:val="000000"/>
          <w:sz w:val="24"/>
          <w:szCs w:val="24"/>
        </w:rPr>
        <w:lastRenderedPageBreak/>
        <w:t xml:space="preserve">renewal or you had new and then you should actually have this as the norm in the toolbox of the drafter. If it is in the drafter’s toolbox, and it is actually seen as part of </w:t>
      </w:r>
      <w:r w:rsidRPr="005B5030">
        <w:rPr>
          <w:rFonts w:ascii="Garamond" w:hAnsi="Garamond"/>
          <w:sz w:val="24"/>
          <w:szCs w:val="24"/>
        </w:rPr>
        <w:t xml:space="preserve">what they do, then you are part way there or mainly there, unless there is then another </w:t>
      </w:r>
      <w:r w:rsidRPr="00E004A2">
        <w:rPr>
          <w:rFonts w:ascii="Garamond" w:hAnsi="Garamond"/>
          <w:color w:val="000000"/>
          <w:sz w:val="24"/>
          <w:szCs w:val="24"/>
        </w:rPr>
        <w:t>political reaction and their toolbox has changed politically or there is a movement within the legal drafting community</w:t>
      </w:r>
      <w:r w:rsidR="008B41B3" w:rsidRPr="00E004A2">
        <w:rPr>
          <w:rFonts w:ascii="Garamond" w:hAnsi="Garamond"/>
          <w:color w:val="000000"/>
          <w:sz w:val="24"/>
          <w:szCs w:val="24"/>
        </w:rPr>
        <w:t xml:space="preserve"> … At the end of the day, </w:t>
      </w:r>
      <w:r w:rsidR="008B41B3" w:rsidRPr="00E004A2">
        <w:rPr>
          <w:rFonts w:ascii="Garamond" w:hAnsi="Garamond"/>
          <w:i/>
          <w:color w:val="000000"/>
          <w:sz w:val="24"/>
          <w:szCs w:val="24"/>
        </w:rPr>
        <w:t>it would have been lovely to have waved a wand</w:t>
      </w:r>
      <w:r w:rsidR="008B41B3" w:rsidRPr="00E004A2">
        <w:rPr>
          <w:rFonts w:ascii="Garamond" w:hAnsi="Garamond"/>
          <w:color w:val="000000"/>
          <w:sz w:val="24"/>
          <w:szCs w:val="24"/>
        </w:rPr>
        <w:t xml:space="preserve">. </w:t>
      </w:r>
      <w:r w:rsidR="000A6524" w:rsidRPr="00E004A2">
        <w:rPr>
          <w:rFonts w:ascii="Garamond" w:hAnsi="Garamond"/>
          <w:color w:val="000000"/>
          <w:sz w:val="24"/>
          <w:szCs w:val="24"/>
        </w:rPr>
        <w:t>(Interview 2019; emphasis added)</w:t>
      </w:r>
    </w:p>
    <w:p w14:paraId="019512EF" w14:textId="36FB4A6D" w:rsidR="00C054B8" w:rsidRPr="00E004A2" w:rsidRDefault="00215057" w:rsidP="00012A8C">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Pr>
          <w:rFonts w:ascii="Garamond" w:hAnsi="Garamond"/>
          <w:kern w:val="1"/>
          <w:sz w:val="24"/>
          <w:szCs w:val="24"/>
        </w:rPr>
        <w:tab/>
      </w:r>
      <w:r w:rsidR="001F6EB8">
        <w:rPr>
          <w:rFonts w:ascii="Garamond" w:hAnsi="Garamond"/>
          <w:kern w:val="1"/>
          <w:sz w:val="24"/>
          <w:szCs w:val="24"/>
        </w:rPr>
        <w:t>“</w:t>
      </w:r>
      <w:r w:rsidR="00554582" w:rsidRPr="00E004A2">
        <w:rPr>
          <w:rFonts w:ascii="Garamond" w:hAnsi="Garamond"/>
          <w:kern w:val="1"/>
          <w:sz w:val="24"/>
          <w:szCs w:val="24"/>
        </w:rPr>
        <w:t>W</w:t>
      </w:r>
      <w:r w:rsidR="000A6524" w:rsidRPr="00E004A2">
        <w:rPr>
          <w:rFonts w:ascii="Garamond" w:hAnsi="Garamond"/>
          <w:kern w:val="1"/>
          <w:sz w:val="24"/>
          <w:szCs w:val="24"/>
        </w:rPr>
        <w:t>aving a wand</w:t>
      </w:r>
      <w:r w:rsidR="001F6EB8">
        <w:rPr>
          <w:rFonts w:ascii="Garamond" w:hAnsi="Garamond"/>
          <w:kern w:val="1"/>
          <w:sz w:val="24"/>
          <w:szCs w:val="24"/>
        </w:rPr>
        <w:t>”</w:t>
      </w:r>
      <w:r w:rsidR="000A6524" w:rsidRPr="00E004A2">
        <w:rPr>
          <w:rFonts w:ascii="Garamond" w:hAnsi="Garamond"/>
          <w:kern w:val="1"/>
          <w:sz w:val="24"/>
          <w:szCs w:val="24"/>
        </w:rPr>
        <w:t xml:space="preserve"> therefore references a tension between </w:t>
      </w:r>
      <w:r w:rsidR="005D718D" w:rsidRPr="00E004A2">
        <w:rPr>
          <w:rFonts w:ascii="Garamond" w:hAnsi="Garamond"/>
          <w:kern w:val="1"/>
          <w:sz w:val="24"/>
          <w:szCs w:val="24"/>
        </w:rPr>
        <w:t xml:space="preserve">approaching statutes individually, bringing to bear new gender-related </w:t>
      </w:r>
      <w:r w:rsidR="004D14FB" w:rsidRPr="00E004A2">
        <w:rPr>
          <w:rFonts w:ascii="Garamond" w:hAnsi="Garamond"/>
          <w:kern w:val="1"/>
          <w:sz w:val="24"/>
          <w:szCs w:val="24"/>
        </w:rPr>
        <w:t xml:space="preserve">drafting </w:t>
      </w:r>
      <w:r w:rsidR="005D718D" w:rsidRPr="00E004A2">
        <w:rPr>
          <w:rFonts w:ascii="Garamond" w:hAnsi="Garamond"/>
          <w:kern w:val="1"/>
          <w:sz w:val="24"/>
          <w:szCs w:val="24"/>
        </w:rPr>
        <w:t>techniques as they arise, and approaching the reform of legislative expressi</w:t>
      </w:r>
      <w:r w:rsidR="00554582" w:rsidRPr="00E004A2">
        <w:rPr>
          <w:rFonts w:ascii="Garamond" w:hAnsi="Garamond"/>
          <w:kern w:val="1"/>
          <w:sz w:val="24"/>
          <w:szCs w:val="24"/>
        </w:rPr>
        <w:t>on in a more universal</w:t>
      </w:r>
      <w:r w:rsidR="00EE00D5" w:rsidRPr="00E004A2">
        <w:rPr>
          <w:rFonts w:ascii="Garamond" w:hAnsi="Garamond"/>
          <w:kern w:val="1"/>
          <w:sz w:val="24"/>
          <w:szCs w:val="24"/>
        </w:rPr>
        <w:t xml:space="preserve"> and holistic</w:t>
      </w:r>
      <w:r w:rsidR="005D718D" w:rsidRPr="00E004A2">
        <w:rPr>
          <w:rFonts w:ascii="Garamond" w:hAnsi="Garamond"/>
          <w:kern w:val="1"/>
          <w:sz w:val="24"/>
          <w:szCs w:val="24"/>
        </w:rPr>
        <w:t xml:space="preserve"> fashion.</w:t>
      </w:r>
      <w:r w:rsidR="00554582" w:rsidRPr="00E004A2">
        <w:rPr>
          <w:rFonts w:ascii="Garamond" w:hAnsi="Garamond"/>
          <w:kern w:val="1"/>
          <w:sz w:val="24"/>
          <w:szCs w:val="24"/>
        </w:rPr>
        <w:t xml:space="preserve"> However, both the toolbox and the wand metaphors evoke the idea of a body of legislation – termed </w:t>
      </w:r>
      <w:r w:rsidR="00EE00D5" w:rsidRPr="00E004A2">
        <w:rPr>
          <w:rFonts w:ascii="Garamond" w:hAnsi="Garamond"/>
          <w:kern w:val="1"/>
          <w:sz w:val="24"/>
          <w:szCs w:val="24"/>
        </w:rPr>
        <w:t xml:space="preserve">‘the statute book’ </w:t>
      </w:r>
      <w:r w:rsidR="00554582" w:rsidRPr="00E004A2">
        <w:rPr>
          <w:rFonts w:ascii="Garamond" w:hAnsi="Garamond"/>
          <w:kern w:val="1"/>
          <w:sz w:val="24"/>
          <w:szCs w:val="24"/>
        </w:rPr>
        <w:t>by drafters a</w:t>
      </w:r>
      <w:r w:rsidR="00EE00D5" w:rsidRPr="00E004A2">
        <w:rPr>
          <w:rFonts w:ascii="Garamond" w:hAnsi="Garamond"/>
          <w:kern w:val="1"/>
          <w:sz w:val="24"/>
          <w:szCs w:val="24"/>
        </w:rPr>
        <w:t>nd lawyers</w:t>
      </w:r>
      <w:r w:rsidR="00554582" w:rsidRPr="00E004A2">
        <w:rPr>
          <w:rFonts w:ascii="Garamond" w:hAnsi="Garamond"/>
          <w:kern w:val="1"/>
          <w:sz w:val="24"/>
          <w:szCs w:val="24"/>
        </w:rPr>
        <w:t xml:space="preserve"> - which can be conceptualised in totality, as a ‘whole’.</w:t>
      </w:r>
      <w:r w:rsidR="005D718D" w:rsidRPr="00E004A2">
        <w:rPr>
          <w:rFonts w:ascii="Garamond" w:hAnsi="Garamond"/>
          <w:kern w:val="1"/>
          <w:sz w:val="24"/>
          <w:szCs w:val="24"/>
        </w:rPr>
        <w:t xml:space="preserve"> </w:t>
      </w:r>
      <w:r w:rsidR="00554582" w:rsidRPr="00E004A2">
        <w:rPr>
          <w:rFonts w:ascii="Garamond" w:hAnsi="Garamond"/>
          <w:kern w:val="1"/>
          <w:sz w:val="24"/>
          <w:szCs w:val="24"/>
        </w:rPr>
        <w:t xml:space="preserve">The </w:t>
      </w:r>
      <w:r w:rsidR="005D718D" w:rsidRPr="00E004A2">
        <w:rPr>
          <w:rFonts w:ascii="Garamond" w:hAnsi="Garamond"/>
          <w:kern w:val="1"/>
          <w:sz w:val="24"/>
          <w:szCs w:val="24"/>
        </w:rPr>
        <w:t xml:space="preserve">New Zealand Chief Parliamentary Counsel is empowered by New Zealand’s Legislation Act 2012 </w:t>
      </w:r>
      <w:r w:rsidR="006C1420">
        <w:rPr>
          <w:rFonts w:ascii="Garamond" w:hAnsi="Garamond"/>
          <w:kern w:val="1"/>
          <w:sz w:val="24"/>
          <w:szCs w:val="24"/>
        </w:rPr>
        <w:t xml:space="preserve">to </w:t>
      </w:r>
      <w:r w:rsidR="005D718D" w:rsidRPr="00E004A2">
        <w:rPr>
          <w:rFonts w:ascii="Garamond" w:hAnsi="Garamond"/>
          <w:kern w:val="1"/>
          <w:sz w:val="24"/>
          <w:szCs w:val="24"/>
        </w:rPr>
        <w:t>make certain editorial changes to the text of legislation when re-printing it, including changing gender</w:t>
      </w:r>
      <w:r w:rsidR="002C3FAF">
        <w:rPr>
          <w:rFonts w:ascii="Garamond" w:hAnsi="Garamond"/>
          <w:kern w:val="1"/>
          <w:sz w:val="24"/>
          <w:szCs w:val="24"/>
        </w:rPr>
        <w:t>-</w:t>
      </w:r>
      <w:r w:rsidR="005D718D" w:rsidRPr="00E004A2">
        <w:rPr>
          <w:rFonts w:ascii="Garamond" w:hAnsi="Garamond"/>
          <w:kern w:val="1"/>
          <w:sz w:val="24"/>
          <w:szCs w:val="24"/>
        </w:rPr>
        <w:t>specific language to gender</w:t>
      </w:r>
      <w:r w:rsidR="002C3FAF">
        <w:rPr>
          <w:rFonts w:ascii="Garamond" w:hAnsi="Garamond"/>
          <w:kern w:val="1"/>
          <w:sz w:val="24"/>
          <w:szCs w:val="24"/>
        </w:rPr>
        <w:t>-</w:t>
      </w:r>
      <w:r w:rsidR="005D718D" w:rsidRPr="00E004A2">
        <w:rPr>
          <w:rFonts w:ascii="Garamond" w:hAnsi="Garamond"/>
          <w:kern w:val="1"/>
          <w:sz w:val="24"/>
          <w:szCs w:val="24"/>
        </w:rPr>
        <w:t>neutral language.</w:t>
      </w:r>
      <w:r w:rsidR="005D718D" w:rsidRPr="00645D9E">
        <w:rPr>
          <w:rStyle w:val="FootnoteReference"/>
        </w:rPr>
        <w:footnoteReference w:id="14"/>
      </w:r>
      <w:r w:rsidR="005D718D" w:rsidRPr="00E004A2">
        <w:rPr>
          <w:rFonts w:ascii="Garamond" w:hAnsi="Garamond"/>
          <w:kern w:val="1"/>
          <w:sz w:val="24"/>
          <w:szCs w:val="24"/>
        </w:rPr>
        <w:t xml:space="preserve"> </w:t>
      </w:r>
      <w:r w:rsidR="00554582" w:rsidRPr="00E004A2">
        <w:rPr>
          <w:rFonts w:ascii="Garamond" w:hAnsi="Garamond"/>
          <w:kern w:val="1"/>
          <w:sz w:val="24"/>
          <w:szCs w:val="24"/>
        </w:rPr>
        <w:t>Is this using a toolbox or waving a wand? In all drafting contexts</w:t>
      </w:r>
      <w:r w:rsidR="004D14FB" w:rsidRPr="00E004A2">
        <w:rPr>
          <w:rFonts w:ascii="Garamond" w:hAnsi="Garamond"/>
          <w:kern w:val="1"/>
          <w:sz w:val="24"/>
          <w:szCs w:val="24"/>
        </w:rPr>
        <w:t xml:space="preserve">, </w:t>
      </w:r>
      <w:r w:rsidR="00554582" w:rsidRPr="00E004A2">
        <w:rPr>
          <w:rFonts w:ascii="Garamond" w:hAnsi="Garamond"/>
          <w:kern w:val="1"/>
          <w:sz w:val="24"/>
          <w:szCs w:val="24"/>
        </w:rPr>
        <w:t xml:space="preserve">however it is conceptualised, </w:t>
      </w:r>
      <w:r w:rsidR="004D14FB" w:rsidRPr="00E004A2">
        <w:rPr>
          <w:rFonts w:ascii="Garamond" w:hAnsi="Garamond"/>
          <w:kern w:val="1"/>
          <w:sz w:val="24"/>
          <w:szCs w:val="24"/>
        </w:rPr>
        <w:t xml:space="preserve">the role of the drafter as the technician, or wand-bearer, is central to continued efforts towards intervening into the ‘magic’ of gendered legal terms. </w:t>
      </w:r>
      <w:r w:rsidR="00554582" w:rsidRPr="00E004A2">
        <w:rPr>
          <w:rFonts w:ascii="Garamond" w:hAnsi="Garamond"/>
          <w:kern w:val="1"/>
          <w:sz w:val="24"/>
          <w:szCs w:val="24"/>
        </w:rPr>
        <w:t xml:space="preserve">Yet the conceptual pull of ‘statute book’ is significant: </w:t>
      </w:r>
      <w:r w:rsidR="00C84330" w:rsidRPr="00E004A2">
        <w:rPr>
          <w:rFonts w:ascii="Garamond" w:hAnsi="Garamond"/>
          <w:kern w:val="1"/>
          <w:sz w:val="24"/>
          <w:szCs w:val="24"/>
        </w:rPr>
        <w:t xml:space="preserve">drafters tend to feel that </w:t>
      </w:r>
      <w:r w:rsidR="00554582" w:rsidRPr="00E004A2">
        <w:rPr>
          <w:rFonts w:ascii="Garamond" w:hAnsi="Garamond"/>
          <w:kern w:val="1"/>
          <w:sz w:val="24"/>
          <w:szCs w:val="24"/>
        </w:rPr>
        <w:t xml:space="preserve">measures should not be taken that create undue distortions or inconsistencies across the body of legislation as a whole (e.g. </w:t>
      </w:r>
      <w:r w:rsidR="00C84330"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{"citationID":"Lwf7Hbju","properties":{"formattedCitation":"(Grabham, 2016)","plainCitation":"(Grabham, 2016)","noteIndex":0},"citationItems":[{"id":693,"uris":["http://zotero.org/users/1070015/items/8U98BR7N"],"uri":["http://zotero.org/users/1070015/items/8U98BR7N"],"itemData":{"id":693,"type":"article-journal","abstract":"This paper aims to bring an appreciation of legal form, technicalities, and legislative drafting to growing interdisciplinary literatures on time and governance. Scholarship across politics, geography, science studies and anthropology continues to trace the productive force and specific qualities of diverse temporal horizons. At the same time socio-legal scholars increasingly focus on the work of making and negotiating law, engaging with the dogged, everyday work of legal experts and bureaucrats. Yet little attention has been paid, to date, to the work of legislative drafters. This paper follows the ‘legal lives’ of qualifying periods on family-friendly employment rights. As examples of legal technicalities that work with time, qualifying periods form an important part of the regulatory structure that separates precarious workers from ‘regular’ employees in UK law. Drawing on documentary research and interviews with policy experts, union activists and legislative drafters, this paper focuses on the formal qualities of qualifying periods, arguing that these legal technicalities conjure time and legal form as inextricable. Whenever law becomes relevant to conversations about time and governance, we could usefully pay attention to the idiosyncrasies and controversies occupying legal form and legislative drafting.","container-title":"Economy and Society","DOI":"10.1080/03085147.2016.1257257","ISSN":"0308-5147","issue":"3-4","page":"379-406","source":"Taylor and Francis+NEJM","title":"Time and technique: the legal lives of the 26-week qualifying period","title-short":"Time and technique","volume":"45","author":[{"family":"Grabham","given":"Emily"}],"issued":{"date-parts":[["2016",10,1]]}}}],"schema":"https://github.com/citation-style-language/schema/raw/master/csl-citation.json"} </w:instrText>
      </w:r>
      <w:r w:rsidR="00C84330" w:rsidRPr="00E004A2">
        <w:rPr>
          <w:rFonts w:ascii="Garamond" w:hAnsi="Garamond"/>
          <w:kern w:val="1"/>
          <w:sz w:val="24"/>
          <w:szCs w:val="24"/>
        </w:rPr>
        <w:fldChar w:fldCharType="separate"/>
      </w:r>
      <w:r w:rsidR="004F3785">
        <w:rPr>
          <w:rFonts w:ascii="Garamond" w:hAnsi="Garamond"/>
          <w:noProof/>
          <w:kern w:val="1"/>
          <w:sz w:val="24"/>
          <w:szCs w:val="24"/>
        </w:rPr>
        <w:t>Grabham, 2016</w:t>
      </w:r>
      <w:r w:rsidR="00C84330" w:rsidRPr="00E004A2">
        <w:rPr>
          <w:rFonts w:ascii="Garamond" w:hAnsi="Garamond"/>
          <w:kern w:val="1"/>
          <w:sz w:val="24"/>
          <w:szCs w:val="24"/>
        </w:rPr>
        <w:fldChar w:fldCharType="end"/>
      </w:r>
      <w:r w:rsidR="00C84330" w:rsidRPr="00E004A2">
        <w:rPr>
          <w:rFonts w:ascii="Garamond" w:hAnsi="Garamond"/>
          <w:kern w:val="1"/>
          <w:sz w:val="24"/>
          <w:szCs w:val="24"/>
        </w:rPr>
        <w:t>)</w:t>
      </w:r>
      <w:r w:rsidR="00554582" w:rsidRPr="00E004A2">
        <w:rPr>
          <w:rFonts w:ascii="Garamond" w:hAnsi="Garamond"/>
          <w:kern w:val="1"/>
          <w:sz w:val="24"/>
          <w:szCs w:val="24"/>
        </w:rPr>
        <w:t xml:space="preserve">. </w:t>
      </w:r>
      <w:r w:rsidR="00EE00D5" w:rsidRPr="00E004A2">
        <w:rPr>
          <w:rFonts w:ascii="Garamond" w:hAnsi="Garamond"/>
          <w:kern w:val="1"/>
          <w:sz w:val="24"/>
          <w:szCs w:val="24"/>
        </w:rPr>
        <w:t>Such considerations inevitably bear on any attempts to propose new forms of</w:t>
      </w:r>
      <w:r w:rsidR="00B1742F">
        <w:rPr>
          <w:rFonts w:ascii="Garamond" w:hAnsi="Garamond"/>
          <w:kern w:val="1"/>
          <w:sz w:val="24"/>
          <w:szCs w:val="24"/>
        </w:rPr>
        <w:t xml:space="preserve"> </w:t>
      </w:r>
      <w:r w:rsidR="00EE00D5" w:rsidRPr="00E004A2">
        <w:rPr>
          <w:rFonts w:ascii="Garamond" w:hAnsi="Garamond"/>
          <w:kern w:val="1"/>
          <w:sz w:val="24"/>
          <w:szCs w:val="24"/>
        </w:rPr>
        <w:t xml:space="preserve">gender expression in </w:t>
      </w:r>
      <w:r w:rsidR="00EE00D5" w:rsidRPr="00E004A2">
        <w:rPr>
          <w:rFonts w:ascii="Garamond" w:hAnsi="Garamond"/>
          <w:kern w:val="1"/>
          <w:sz w:val="24"/>
          <w:szCs w:val="24"/>
        </w:rPr>
        <w:lastRenderedPageBreak/>
        <w:t xml:space="preserve">statutes. </w:t>
      </w:r>
      <w:r w:rsidR="00012A8C" w:rsidRPr="00E004A2">
        <w:rPr>
          <w:rFonts w:ascii="Garamond" w:hAnsi="Garamond"/>
          <w:sz w:val="24"/>
          <w:szCs w:val="24"/>
          <w:lang w:val="en-US"/>
        </w:rPr>
        <w:t>With this in mind, the next section turns to the multiple techniques and concepts relating to gender-neutral drafting that are used, debated, and contested within UK drafting practice at present.</w:t>
      </w:r>
    </w:p>
    <w:p w14:paraId="037A0691" w14:textId="77777777" w:rsidR="004D14FB" w:rsidRPr="00E004A2" w:rsidRDefault="004D14FB" w:rsidP="00F30512">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p>
    <w:p w14:paraId="7B5A8EF6" w14:textId="24025EA9" w:rsidR="007C04CE" w:rsidRDefault="00AB3405" w:rsidP="00AB3405">
      <w:pPr>
        <w:pStyle w:val="Heading2"/>
        <w:rPr>
          <w:lang w:val="en-US"/>
        </w:rPr>
      </w:pPr>
      <w:r>
        <w:rPr>
          <w:lang w:val="en-US"/>
        </w:rPr>
        <w:t>Nothing B</w:t>
      </w:r>
      <w:r w:rsidR="00CC2418" w:rsidRPr="00F30512">
        <w:rPr>
          <w:lang w:val="en-US"/>
        </w:rPr>
        <w:t>ut the Words</w:t>
      </w:r>
      <w:r w:rsidR="006E7C5A" w:rsidRPr="00F30512">
        <w:rPr>
          <w:lang w:val="en-US"/>
        </w:rPr>
        <w:t>?</w:t>
      </w:r>
    </w:p>
    <w:p w14:paraId="33499ACA" w14:textId="77777777" w:rsidR="00215057" w:rsidRDefault="00215057" w:rsidP="00B24546">
      <w:pPr>
        <w:widowControl w:val="0"/>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p>
    <w:p w14:paraId="5C2B6C9A" w14:textId="76D061EC" w:rsidR="00E675E2" w:rsidRPr="00E004A2" w:rsidRDefault="00E675E2" w:rsidP="00B24546">
      <w:pPr>
        <w:widowControl w:val="0"/>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sidRPr="00E004A2">
        <w:rPr>
          <w:rFonts w:ascii="Garamond" w:hAnsi="Garamond"/>
          <w:color w:val="000000"/>
          <w:sz w:val="24"/>
          <w:szCs w:val="24"/>
        </w:rPr>
        <w:t xml:space="preserve">…there are many ways for the drafter to achieve gender-neutrality when drafting. Although the policy maker may give the direction for gender-neutral text, it is the drafter who has the responsibility of making it happen. </w:t>
      </w:r>
      <w:r w:rsidR="00D319BD" w:rsidRPr="00E004A2">
        <w:rPr>
          <w:rFonts w:ascii="Garamond" w:hAnsi="Garamond"/>
          <w:color w:val="000000"/>
          <w:sz w:val="24"/>
          <w:szCs w:val="24"/>
        </w:rPr>
        <w:fldChar w:fldCharType="begin"/>
      </w:r>
      <w:r w:rsidR="004F3785">
        <w:rPr>
          <w:rFonts w:ascii="Garamond" w:hAnsi="Garamond"/>
          <w:color w:val="000000"/>
          <w:sz w:val="24"/>
          <w:szCs w:val="24"/>
        </w:rPr>
        <w:instrText xml:space="preserve"> ADDIN ZOTERO_ITEM CSL_CITATION {"citationID":"koNbErLx","properties":{"formattedCitation":"(Wilson, 2011, p. 207)","plainCitation":"(Wilson, 2011, p. 207)","noteIndex":0},"citationItems":[{"id":747,"uris":["http://zotero.org/users/1070015/items/JNBYNXQP"],"uri":["http://zotero.org/users/1070015/items/JNBYNXQP"],"itemData":{"id":747,"type":"article-journal","container-title":"European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Lecture","volume":"13","author":[{"family":"Wilson","given":"Margaret"}],"issued":{"date-parts":[["2011"]]}},"locator":"207","label":"page"}],"schema":"https://github.com/citation-style-language/schema/raw/master/csl-citation.json"} </w:instrText>
      </w:r>
      <w:r w:rsidR="00D319BD" w:rsidRPr="00E004A2">
        <w:rPr>
          <w:rFonts w:ascii="Garamond" w:hAnsi="Garamond"/>
          <w:color w:val="000000"/>
          <w:sz w:val="24"/>
          <w:szCs w:val="24"/>
        </w:rPr>
        <w:fldChar w:fldCharType="separate"/>
      </w:r>
      <w:r w:rsidR="004F3785">
        <w:rPr>
          <w:rFonts w:ascii="Garamond" w:hAnsi="Garamond"/>
          <w:noProof/>
          <w:color w:val="000000"/>
          <w:sz w:val="24"/>
          <w:szCs w:val="24"/>
        </w:rPr>
        <w:t>(Wilson, 2011, p. 207)</w:t>
      </w:r>
      <w:r w:rsidR="00D319BD" w:rsidRPr="00E004A2">
        <w:rPr>
          <w:rFonts w:ascii="Garamond" w:hAnsi="Garamond"/>
          <w:color w:val="000000"/>
          <w:sz w:val="24"/>
          <w:szCs w:val="24"/>
        </w:rPr>
        <w:fldChar w:fldCharType="end"/>
      </w:r>
    </w:p>
    <w:p w14:paraId="70C1D5C3" w14:textId="77777777" w:rsidR="00215057" w:rsidRDefault="00215057"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p>
    <w:p w14:paraId="79CC8B9B" w14:textId="445107FB" w:rsidR="00A7061A" w:rsidRPr="00E004A2" w:rsidRDefault="00E14415"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In their survey of gender</w:t>
      </w:r>
      <w:r w:rsidR="00BE6BD7">
        <w:rPr>
          <w:rFonts w:ascii="Garamond" w:hAnsi="Garamond"/>
          <w:sz w:val="24"/>
          <w:szCs w:val="24"/>
          <w:lang w:val="en-US"/>
        </w:rPr>
        <w:t>-</w:t>
      </w:r>
      <w:r w:rsidRPr="00E004A2">
        <w:rPr>
          <w:rFonts w:ascii="Garamond" w:hAnsi="Garamond"/>
          <w:sz w:val="24"/>
          <w:szCs w:val="24"/>
          <w:lang w:val="en-US"/>
        </w:rPr>
        <w:t xml:space="preserve">neutral drafting in New Zealand and internationally, </w:t>
      </w:r>
      <w:r w:rsidR="00972DBA" w:rsidRPr="00E004A2">
        <w:rPr>
          <w:rFonts w:ascii="Garamond" w:hAnsi="Garamond"/>
          <w:sz w:val="24"/>
          <w:szCs w:val="24"/>
          <w:lang w:val="en-US"/>
        </w:rPr>
        <w:t xml:space="preserve">Ruby King and Jasper Fawcett state that ‘there seems to be an attitude among law-makers in the United Kingdom of prioritizing traditional grammar over gender-neutral language’ </w:t>
      </w:r>
      <w:r w:rsidR="00D319BD"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{"citationID":"7VwFRZTl","properties":{"formattedCitation":"(King and Fawcett, 2018, p. 123)","plainCitation":"(King and Fawcett, 2018, p. 123)","noteIndex":0},"citationItems":[{"id":715,"uris":["http://zotero.org/users/1070015/items/D6VYLL7H"],"uri":["http://zotero.org/users/1070015/items/D6VYLL7H"],"itemData":{"id":715,"type":"article-journal","container-title":"New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She","volume":"2","author":[{"family":"King","given":"Ruby"},{"family":"Fawcett","given":"Jasper"}],"issued":{"date-parts":[["2018"]]}},"locator":"123","label":"page"}],"schema":"https://github.com/citation-style-language/schema/raw/master/csl-citation.json"} </w:instrText>
      </w:r>
      <w:r w:rsidR="00D319BD" w:rsidRPr="00E004A2">
        <w:rPr>
          <w:rFonts w:ascii="Garamond" w:hAnsi="Garamond"/>
          <w:sz w:val="24"/>
          <w:szCs w:val="24"/>
          <w:lang w:val="en-US"/>
        </w:rPr>
        <w:fldChar w:fldCharType="separate"/>
      </w:r>
      <w:r w:rsidR="004F3785">
        <w:rPr>
          <w:rFonts w:ascii="Garamond" w:hAnsi="Garamond"/>
          <w:noProof/>
          <w:sz w:val="24"/>
          <w:szCs w:val="24"/>
          <w:lang w:val="en-US"/>
        </w:rPr>
        <w:t>(King and Fawcett, 2018, p. 123)</w:t>
      </w:r>
      <w:r w:rsidR="00D319BD" w:rsidRPr="00E004A2">
        <w:rPr>
          <w:rFonts w:ascii="Garamond" w:hAnsi="Garamond"/>
          <w:sz w:val="24"/>
          <w:szCs w:val="24"/>
          <w:lang w:val="en-US"/>
        </w:rPr>
        <w:fldChar w:fldCharType="end"/>
      </w:r>
      <w:r w:rsidR="00972DBA" w:rsidRPr="00E004A2">
        <w:rPr>
          <w:rFonts w:ascii="Garamond" w:hAnsi="Garamond"/>
          <w:sz w:val="24"/>
          <w:szCs w:val="24"/>
          <w:lang w:val="en-US"/>
        </w:rPr>
        <w:t xml:space="preserve">. </w:t>
      </w:r>
      <w:r w:rsidR="00D319BD" w:rsidRPr="00E004A2">
        <w:rPr>
          <w:rFonts w:ascii="Garamond" w:hAnsi="Garamond"/>
          <w:sz w:val="24"/>
          <w:szCs w:val="24"/>
          <w:lang w:val="en-US"/>
        </w:rPr>
        <w:t xml:space="preserve">Whilst the UK is not considered to be at the forefront of innovation in this area, the </w:t>
      </w:r>
      <w:r w:rsidR="00AD4AFE" w:rsidRPr="00E004A2">
        <w:rPr>
          <w:rFonts w:ascii="Garamond" w:hAnsi="Garamond"/>
          <w:sz w:val="24"/>
          <w:szCs w:val="24"/>
          <w:lang w:val="en-US"/>
        </w:rPr>
        <w:t>situation</w:t>
      </w:r>
      <w:r w:rsidR="000767EA" w:rsidRPr="00E004A2">
        <w:rPr>
          <w:rFonts w:ascii="Garamond" w:hAnsi="Garamond"/>
          <w:sz w:val="24"/>
          <w:szCs w:val="24"/>
          <w:lang w:val="en-US"/>
        </w:rPr>
        <w:t xml:space="preserve"> may be </w:t>
      </w:r>
      <w:r w:rsidR="00972DBA" w:rsidRPr="00E004A2">
        <w:rPr>
          <w:rFonts w:ascii="Garamond" w:hAnsi="Garamond"/>
          <w:sz w:val="24"/>
          <w:szCs w:val="24"/>
          <w:lang w:val="en-US"/>
        </w:rPr>
        <w:t>more complex than</w:t>
      </w:r>
      <w:r w:rsidR="00AD4AFE" w:rsidRPr="00E004A2">
        <w:rPr>
          <w:rFonts w:ascii="Garamond" w:hAnsi="Garamond"/>
          <w:sz w:val="24"/>
          <w:szCs w:val="24"/>
          <w:lang w:val="en-US"/>
        </w:rPr>
        <w:t xml:space="preserve"> King and Fawcett’s observation</w:t>
      </w:r>
      <w:r w:rsidR="00972DBA" w:rsidRPr="00E004A2">
        <w:rPr>
          <w:rFonts w:ascii="Garamond" w:hAnsi="Garamond"/>
          <w:sz w:val="24"/>
          <w:szCs w:val="24"/>
          <w:lang w:val="en-US"/>
        </w:rPr>
        <w:t xml:space="preserve"> suggests. </w:t>
      </w:r>
      <w:r w:rsidR="00F642DB" w:rsidRPr="00E004A2">
        <w:rPr>
          <w:rFonts w:ascii="Garamond" w:hAnsi="Garamond"/>
          <w:sz w:val="24"/>
          <w:szCs w:val="24"/>
          <w:lang w:val="en-US"/>
        </w:rPr>
        <w:t>In a House of Lords debate on the issue in 2013,</w:t>
      </w:r>
      <w:r w:rsidR="00A421DE" w:rsidRPr="00E004A2">
        <w:rPr>
          <w:rFonts w:ascii="Garamond" w:hAnsi="Garamond"/>
          <w:sz w:val="24"/>
          <w:szCs w:val="24"/>
          <w:lang w:val="en-US"/>
        </w:rPr>
        <w:t xml:space="preserve"> Lord Kennedy of </w:t>
      </w:r>
      <w:r w:rsidR="00F642DB" w:rsidRPr="00E004A2">
        <w:rPr>
          <w:rFonts w:ascii="Garamond" w:hAnsi="Garamond"/>
          <w:sz w:val="24"/>
          <w:szCs w:val="24"/>
          <w:lang w:val="en-US"/>
        </w:rPr>
        <w:t>Southwark wryly acknowledged that the UK was not at the forefront of innovation</w:t>
      </w:r>
      <w:r w:rsidR="00A421DE" w:rsidRPr="00E004A2">
        <w:rPr>
          <w:rFonts w:ascii="Garamond" w:hAnsi="Garamond"/>
          <w:sz w:val="24"/>
          <w:szCs w:val="24"/>
          <w:lang w:val="en-US"/>
        </w:rPr>
        <w:t xml:space="preserve">: ‘You could say that we have not been quick off </w:t>
      </w:r>
      <w:r w:rsidR="00F642DB" w:rsidRPr="00E004A2">
        <w:rPr>
          <w:rFonts w:ascii="Garamond" w:hAnsi="Garamond"/>
          <w:sz w:val="24"/>
          <w:szCs w:val="24"/>
          <w:lang w:val="en-US"/>
        </w:rPr>
        <w:t>the starting blocks here</w:t>
      </w:r>
      <w:r w:rsidR="00A421DE" w:rsidRPr="00E004A2">
        <w:rPr>
          <w:rFonts w:ascii="Garamond" w:hAnsi="Garamond"/>
          <w:sz w:val="24"/>
          <w:szCs w:val="24"/>
          <w:lang w:val="en-US"/>
        </w:rPr>
        <w:t>’.</w:t>
      </w:r>
      <w:r w:rsidR="009464D3">
        <w:rPr>
          <w:rStyle w:val="FootnoteReference"/>
          <w:rFonts w:ascii="Garamond" w:hAnsi="Garamond"/>
          <w:sz w:val="24"/>
          <w:szCs w:val="24"/>
          <w:lang w:val="en-US"/>
        </w:rPr>
        <w:footnoteReference w:id="15"/>
      </w:r>
      <w:r w:rsidR="00972DBA" w:rsidRPr="00E004A2">
        <w:rPr>
          <w:rFonts w:ascii="Garamond" w:hAnsi="Garamond"/>
          <w:sz w:val="24"/>
          <w:szCs w:val="24"/>
          <w:lang w:val="en-US"/>
        </w:rPr>
        <w:t xml:space="preserve"> </w:t>
      </w:r>
      <w:r w:rsidR="00F642DB" w:rsidRPr="00E004A2">
        <w:rPr>
          <w:rFonts w:ascii="Garamond" w:hAnsi="Garamond"/>
          <w:sz w:val="24"/>
          <w:szCs w:val="24"/>
          <w:lang w:val="en-US"/>
        </w:rPr>
        <w:t xml:space="preserve">Yet UK </w:t>
      </w:r>
      <w:r w:rsidR="00972DBA" w:rsidRPr="00E004A2">
        <w:rPr>
          <w:rFonts w:ascii="Garamond" w:hAnsi="Garamond"/>
          <w:sz w:val="24"/>
          <w:szCs w:val="24"/>
          <w:lang w:val="en-US"/>
        </w:rPr>
        <w:t>drafters are aware of shifts in social norms and ac</w:t>
      </w:r>
      <w:r w:rsidR="00F255EA" w:rsidRPr="00E004A2">
        <w:rPr>
          <w:rFonts w:ascii="Garamond" w:hAnsi="Garamond"/>
          <w:sz w:val="24"/>
          <w:szCs w:val="24"/>
          <w:lang w:val="en-US"/>
        </w:rPr>
        <w:t>tively engaged in discussions</w:t>
      </w:r>
      <w:r w:rsidR="00972DBA" w:rsidRPr="00E004A2">
        <w:rPr>
          <w:rFonts w:ascii="Garamond" w:hAnsi="Garamond"/>
          <w:sz w:val="24"/>
          <w:szCs w:val="24"/>
          <w:lang w:val="en-US"/>
        </w:rPr>
        <w:t xml:space="preserve"> about when and how to respond. </w:t>
      </w:r>
      <w:r w:rsidR="003129C0" w:rsidRPr="00E004A2">
        <w:rPr>
          <w:rFonts w:ascii="Garamond" w:hAnsi="Garamond"/>
          <w:sz w:val="24"/>
          <w:szCs w:val="24"/>
          <w:lang w:val="en-US"/>
        </w:rPr>
        <w:t>Gender-</w:t>
      </w:r>
      <w:r w:rsidR="00A7061A" w:rsidRPr="00E004A2">
        <w:rPr>
          <w:rFonts w:ascii="Garamond" w:hAnsi="Garamond"/>
          <w:sz w:val="24"/>
          <w:szCs w:val="24"/>
          <w:lang w:val="en-US"/>
        </w:rPr>
        <w:t>neutral drafting has been UK government policy since 2007 when it was announced by the then leader of the House of Commons Jack Straw. Straw stated that using male pronouns to refer to men and women</w:t>
      </w:r>
      <w:r w:rsidR="00133735" w:rsidRPr="00E004A2">
        <w:rPr>
          <w:rFonts w:ascii="Garamond" w:hAnsi="Garamond"/>
          <w:sz w:val="24"/>
          <w:szCs w:val="24"/>
          <w:lang w:val="en-US"/>
        </w:rPr>
        <w:t xml:space="preserve"> </w:t>
      </w:r>
      <w:r w:rsidR="008B31D5" w:rsidRPr="00E004A2">
        <w:rPr>
          <w:rFonts w:ascii="Garamond" w:hAnsi="Garamond"/>
          <w:sz w:val="24"/>
          <w:szCs w:val="24"/>
          <w:lang w:val="en-US"/>
        </w:rPr>
        <w:t>was believed to ‘reinforce historic gender stereotypes’ and that it presented an ‘obstacle to clearer understanding for those unfamiliar with the convention’.</w:t>
      </w:r>
      <w:r w:rsidR="009464D3">
        <w:rPr>
          <w:rStyle w:val="FootnoteReference"/>
          <w:rFonts w:ascii="Garamond" w:hAnsi="Garamond"/>
          <w:sz w:val="24"/>
          <w:szCs w:val="24"/>
          <w:lang w:val="en-US"/>
        </w:rPr>
        <w:footnoteReference w:id="16"/>
      </w:r>
      <w:r w:rsidR="00E675E2" w:rsidRPr="00E004A2">
        <w:rPr>
          <w:rFonts w:ascii="Garamond" w:hAnsi="Garamond"/>
          <w:sz w:val="24"/>
          <w:szCs w:val="24"/>
          <w:lang w:val="en-US"/>
        </w:rPr>
        <w:t xml:space="preserve"> Without explaining what gender </w:t>
      </w:r>
      <w:r w:rsidR="00E675E2" w:rsidRPr="00E004A2">
        <w:rPr>
          <w:rFonts w:ascii="Garamond" w:hAnsi="Garamond"/>
          <w:sz w:val="24"/>
          <w:szCs w:val="24"/>
          <w:lang w:val="en-US"/>
        </w:rPr>
        <w:lastRenderedPageBreak/>
        <w:t>neutral drafting entailed exactly, Straw then stated that Government Bills would ‘take a form which achieves gender neutral drafting so far as it is practicable, at no more than a reasonable cost to brevity or intelligibility’ and that legislative drafters would need to ‘adopt a flexible approach to this change’.</w:t>
      </w:r>
      <w:r w:rsidR="009464D3">
        <w:rPr>
          <w:rStyle w:val="FootnoteReference"/>
          <w:rFonts w:ascii="Garamond" w:hAnsi="Garamond"/>
          <w:sz w:val="24"/>
          <w:szCs w:val="24"/>
          <w:lang w:val="en-US"/>
        </w:rPr>
        <w:footnoteReference w:id="17"/>
      </w:r>
      <w:r w:rsidR="003129C0" w:rsidRPr="00E004A2">
        <w:rPr>
          <w:rFonts w:ascii="Garamond" w:hAnsi="Garamond"/>
          <w:sz w:val="24"/>
          <w:szCs w:val="24"/>
          <w:lang w:val="en-US"/>
        </w:rPr>
        <w:t xml:space="preserve"> He pointed out that the policy already applied in relation to tax law rewrite bills.</w:t>
      </w:r>
    </w:p>
    <w:p w14:paraId="3714A8F4" w14:textId="20D3E622" w:rsidR="00B429C8" w:rsidRPr="00E004A2" w:rsidRDefault="003129C0"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b/>
      </w:r>
      <w:r w:rsidR="00251A4B" w:rsidRPr="00E004A2">
        <w:rPr>
          <w:rFonts w:ascii="Garamond" w:hAnsi="Garamond"/>
          <w:sz w:val="24"/>
          <w:szCs w:val="24"/>
          <w:lang w:val="en-US"/>
        </w:rPr>
        <w:t>I</w:t>
      </w:r>
      <w:r w:rsidRPr="00E004A2">
        <w:rPr>
          <w:rFonts w:ascii="Garamond" w:hAnsi="Garamond"/>
          <w:sz w:val="24"/>
          <w:szCs w:val="24"/>
          <w:lang w:val="en-US"/>
        </w:rPr>
        <w:t>nterview</w:t>
      </w:r>
      <w:r w:rsidR="00251A4B" w:rsidRPr="00E004A2">
        <w:rPr>
          <w:rFonts w:ascii="Garamond" w:hAnsi="Garamond"/>
          <w:sz w:val="24"/>
          <w:szCs w:val="24"/>
          <w:lang w:val="en-US"/>
        </w:rPr>
        <w:t>s with UK legislative drafters</w:t>
      </w:r>
      <w:r w:rsidR="00B429C8" w:rsidRPr="00E004A2">
        <w:rPr>
          <w:rFonts w:ascii="Garamond" w:hAnsi="Garamond"/>
          <w:sz w:val="24"/>
          <w:szCs w:val="24"/>
          <w:lang w:val="en-US"/>
        </w:rPr>
        <w:t xml:space="preserve"> and experts</w:t>
      </w:r>
      <w:r w:rsidR="00251A4B" w:rsidRPr="00E004A2">
        <w:rPr>
          <w:rFonts w:ascii="Garamond" w:hAnsi="Garamond"/>
          <w:sz w:val="24"/>
          <w:szCs w:val="24"/>
          <w:lang w:val="en-US"/>
        </w:rPr>
        <w:t xml:space="preserve"> indicate a ‘very high premium placed on freedom’</w:t>
      </w:r>
      <w:r w:rsidR="00F15A3C" w:rsidRPr="00E004A2">
        <w:rPr>
          <w:rFonts w:ascii="Garamond" w:hAnsi="Garamond"/>
          <w:sz w:val="24"/>
          <w:szCs w:val="24"/>
          <w:lang w:val="en-US"/>
        </w:rPr>
        <w:t>,</w:t>
      </w:r>
      <w:r w:rsidR="00251A4B" w:rsidRPr="00E004A2">
        <w:rPr>
          <w:rFonts w:ascii="Garamond" w:hAnsi="Garamond"/>
          <w:sz w:val="24"/>
          <w:szCs w:val="24"/>
          <w:lang w:val="en-US"/>
        </w:rPr>
        <w:t xml:space="preserve"> which allows drafters to solve problems independently whilst also deliberating their practice with colleague</w:t>
      </w:r>
      <w:r w:rsidR="00074CFD" w:rsidRPr="00E004A2">
        <w:rPr>
          <w:rFonts w:ascii="Garamond" w:hAnsi="Garamond"/>
          <w:sz w:val="24"/>
          <w:szCs w:val="24"/>
          <w:lang w:val="en-US"/>
        </w:rPr>
        <w:t>s on an on-going basis.</w:t>
      </w:r>
      <w:r w:rsidR="009464D3">
        <w:rPr>
          <w:rStyle w:val="FootnoteReference"/>
          <w:rFonts w:ascii="Garamond" w:hAnsi="Garamond"/>
          <w:sz w:val="24"/>
          <w:szCs w:val="24"/>
          <w:lang w:val="en-US"/>
        </w:rPr>
        <w:footnoteReference w:id="18"/>
      </w:r>
      <w:r w:rsidR="00074CFD" w:rsidRPr="00E004A2">
        <w:rPr>
          <w:rFonts w:ascii="Garamond" w:hAnsi="Garamond"/>
          <w:sz w:val="24"/>
          <w:szCs w:val="24"/>
          <w:lang w:val="en-US"/>
        </w:rPr>
        <w:t xml:space="preserve"> </w:t>
      </w:r>
      <w:r w:rsidR="00B429C8" w:rsidRPr="00E004A2">
        <w:rPr>
          <w:rFonts w:ascii="Garamond" w:hAnsi="Garamond"/>
          <w:sz w:val="24"/>
          <w:szCs w:val="24"/>
          <w:lang w:val="en-US"/>
        </w:rPr>
        <w:t>Drafting is thus understood as something akin to both skill and art, resulting in work that is based on universal principles, yet specific to the drafter and to the instructions they get from the relevant government department</w:t>
      </w:r>
      <w:r w:rsidR="00133735" w:rsidRPr="00E004A2">
        <w:rPr>
          <w:rFonts w:ascii="Garamond" w:hAnsi="Garamond"/>
          <w:sz w:val="24"/>
          <w:szCs w:val="24"/>
          <w:lang w:val="en-US"/>
        </w:rPr>
        <w:t xml:space="preserve"> </w:t>
      </w:r>
      <w:r w:rsidR="000767EA"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{"citationID":"WhAizsyL","properties":{"formattedCitation":"(Bowman, 2015)","plainCitation":"(Bowman, 2015)","noteIndex":0},"citationItems":[{"id":741,"uris":["http://zotero.org/users/1070015/items/XNP3T8FR"],"uri":["http://zotero.org/users/1070015/items/XNP3T8FR"],"itemData":{"id":741,"type":"article-journal","container-title":"European Journal of Law Reform","journalAbbreviation":"Eur. J.L. Reform","language":"eng","page":"385-402","source":"HeinOnline","title":"Is Legislation Literature Sir William Dale Annual Memorial Lecture","volume":"17","author":[{"family":"Bowman","given":"Geoffrey"}],"issued":{"date-parts":[["2015"]]}}}],"schema":"https://github.com/citation-style-language/schema/raw/master/csl-citation.json"} </w:instrText>
      </w:r>
      <w:r w:rsidR="000767EA" w:rsidRPr="00E004A2">
        <w:rPr>
          <w:rFonts w:ascii="Garamond" w:hAnsi="Garamond"/>
          <w:sz w:val="24"/>
          <w:szCs w:val="24"/>
          <w:lang w:val="en-US"/>
        </w:rPr>
        <w:fldChar w:fldCharType="separate"/>
      </w:r>
      <w:r w:rsidR="004F3785">
        <w:rPr>
          <w:rFonts w:ascii="Garamond" w:hAnsi="Garamond"/>
          <w:noProof/>
          <w:sz w:val="24"/>
          <w:szCs w:val="24"/>
          <w:lang w:val="en-US"/>
        </w:rPr>
        <w:t>(Bowman, 2015)</w:t>
      </w:r>
      <w:r w:rsidR="000767EA" w:rsidRPr="00E004A2">
        <w:rPr>
          <w:rFonts w:ascii="Garamond" w:hAnsi="Garamond"/>
          <w:sz w:val="24"/>
          <w:szCs w:val="24"/>
          <w:lang w:val="en-US"/>
        </w:rPr>
        <w:fldChar w:fldCharType="end"/>
      </w:r>
      <w:r w:rsidR="00B429C8" w:rsidRPr="00E004A2">
        <w:rPr>
          <w:rFonts w:ascii="Garamond" w:hAnsi="Garamond"/>
          <w:sz w:val="24"/>
          <w:szCs w:val="24"/>
          <w:lang w:val="en-US"/>
        </w:rPr>
        <w:t xml:space="preserve">. As this </w:t>
      </w:r>
      <w:r w:rsidR="000767EA" w:rsidRPr="00E004A2">
        <w:rPr>
          <w:rFonts w:ascii="Garamond" w:hAnsi="Garamond"/>
          <w:sz w:val="24"/>
          <w:szCs w:val="24"/>
          <w:lang w:val="en-US"/>
        </w:rPr>
        <w:t xml:space="preserve">legislative drafting </w:t>
      </w:r>
      <w:r w:rsidR="00B429C8" w:rsidRPr="00E004A2">
        <w:rPr>
          <w:rFonts w:ascii="Garamond" w:hAnsi="Garamond"/>
          <w:sz w:val="24"/>
          <w:szCs w:val="24"/>
          <w:lang w:val="en-US"/>
        </w:rPr>
        <w:t>expert put it:</w:t>
      </w:r>
    </w:p>
    <w:p w14:paraId="270941A3" w14:textId="6E4654D9" w:rsidR="00C455BA" w:rsidRPr="00E004A2" w:rsidRDefault="00B429C8"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sz w:val="24"/>
          <w:szCs w:val="24"/>
          <w:lang w:val="en-US"/>
        </w:rPr>
        <w:t>I actually don’t think that two pe</w:t>
      </w:r>
      <w:r w:rsidR="00B24546">
        <w:rPr>
          <w:rFonts w:ascii="Garamond" w:hAnsi="Garamond"/>
          <w:sz w:val="24"/>
          <w:szCs w:val="24"/>
          <w:lang w:val="en-US"/>
        </w:rPr>
        <w:t>ople</w:t>
      </w:r>
      <w:r w:rsidRPr="00E004A2">
        <w:rPr>
          <w:rFonts w:ascii="Garamond" w:hAnsi="Garamond"/>
          <w:sz w:val="24"/>
          <w:szCs w:val="24"/>
          <w:lang w:val="en-US"/>
        </w:rPr>
        <w:t xml:space="preserve"> could come up with the same draft. I don’t think it’s possible. I think there is so much subjectivity in drafting and again, that’s a good thing.</w:t>
      </w:r>
      <w:r w:rsidR="000767EA" w:rsidRPr="00E004A2">
        <w:rPr>
          <w:rFonts w:ascii="Garamond" w:hAnsi="Garamond"/>
          <w:sz w:val="24"/>
          <w:szCs w:val="24"/>
          <w:lang w:val="en-US"/>
        </w:rPr>
        <w:t xml:space="preserve"> (Interview, 2019)</w:t>
      </w:r>
    </w:p>
    <w:p w14:paraId="788539CA" w14:textId="7DB83711" w:rsidR="00157CED" w:rsidRPr="00E004A2" w:rsidRDefault="00B429C8"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 xml:space="preserve">Nevertheless, </w:t>
      </w:r>
      <w:r w:rsidR="007841CA" w:rsidRPr="00E004A2">
        <w:rPr>
          <w:rFonts w:ascii="Garamond" w:hAnsi="Garamond"/>
          <w:sz w:val="24"/>
          <w:szCs w:val="24"/>
          <w:lang w:val="en-US"/>
        </w:rPr>
        <w:t>i</w:t>
      </w:r>
      <w:r w:rsidR="00C455BA" w:rsidRPr="00E004A2">
        <w:rPr>
          <w:rFonts w:ascii="Garamond" w:hAnsi="Garamond"/>
          <w:sz w:val="24"/>
          <w:szCs w:val="24"/>
          <w:lang w:val="en-US"/>
        </w:rPr>
        <w:t>nnovations inevitably bring with them some kind of conversation about what is, and should be, ‘standard’.</w:t>
      </w:r>
      <w:r w:rsidR="00251A4B" w:rsidRPr="00E004A2">
        <w:rPr>
          <w:rFonts w:ascii="Garamond" w:hAnsi="Garamond"/>
          <w:sz w:val="24"/>
          <w:szCs w:val="24"/>
          <w:lang w:val="en-US"/>
        </w:rPr>
        <w:t xml:space="preserve"> </w:t>
      </w:r>
      <w:r w:rsidR="00157CED" w:rsidRPr="00E004A2">
        <w:rPr>
          <w:rFonts w:ascii="Garamond" w:hAnsi="Garamond"/>
          <w:sz w:val="24"/>
          <w:szCs w:val="24"/>
          <w:lang w:val="en-US"/>
        </w:rPr>
        <w:t>When I asked about how the O</w:t>
      </w:r>
      <w:r w:rsidR="005C4F96">
        <w:rPr>
          <w:rFonts w:ascii="Garamond" w:hAnsi="Garamond"/>
          <w:sz w:val="24"/>
          <w:szCs w:val="24"/>
          <w:lang w:val="en-US"/>
        </w:rPr>
        <w:t xml:space="preserve">ffice of </w:t>
      </w:r>
      <w:r w:rsidR="0068370A">
        <w:rPr>
          <w:rFonts w:ascii="Garamond" w:hAnsi="Garamond"/>
          <w:sz w:val="24"/>
          <w:szCs w:val="24"/>
          <w:lang w:val="en-US"/>
        </w:rPr>
        <w:t xml:space="preserve">the </w:t>
      </w:r>
      <w:r w:rsidR="00157CED" w:rsidRPr="00E004A2">
        <w:rPr>
          <w:rFonts w:ascii="Garamond" w:hAnsi="Garamond"/>
          <w:sz w:val="24"/>
          <w:szCs w:val="24"/>
          <w:lang w:val="en-US"/>
        </w:rPr>
        <w:t>P</w:t>
      </w:r>
      <w:r w:rsidR="005C4F96">
        <w:rPr>
          <w:rFonts w:ascii="Garamond" w:hAnsi="Garamond"/>
          <w:sz w:val="24"/>
          <w:szCs w:val="24"/>
          <w:lang w:val="en-US"/>
        </w:rPr>
        <w:t xml:space="preserve">arliamentary </w:t>
      </w:r>
      <w:r w:rsidR="00157CED" w:rsidRPr="00E004A2">
        <w:rPr>
          <w:rFonts w:ascii="Garamond" w:hAnsi="Garamond"/>
          <w:sz w:val="24"/>
          <w:szCs w:val="24"/>
          <w:lang w:val="en-US"/>
        </w:rPr>
        <w:t>C</w:t>
      </w:r>
      <w:r w:rsidR="005C4F96">
        <w:rPr>
          <w:rFonts w:ascii="Garamond" w:hAnsi="Garamond"/>
          <w:sz w:val="24"/>
          <w:szCs w:val="24"/>
          <w:lang w:val="en-US"/>
        </w:rPr>
        <w:t>ounsel (</w:t>
      </w:r>
      <w:r w:rsidR="00C576BF">
        <w:rPr>
          <w:rFonts w:ascii="Garamond" w:hAnsi="Garamond"/>
          <w:sz w:val="24"/>
          <w:szCs w:val="24"/>
          <w:lang w:val="en-US"/>
        </w:rPr>
        <w:t>OPC</w:t>
      </w:r>
      <w:r w:rsidR="005C4F96">
        <w:rPr>
          <w:rFonts w:ascii="Garamond" w:hAnsi="Garamond"/>
          <w:sz w:val="24"/>
          <w:szCs w:val="24"/>
          <w:lang w:val="en-US"/>
        </w:rPr>
        <w:t>)</w:t>
      </w:r>
      <w:r w:rsidR="00157CED" w:rsidRPr="00E004A2">
        <w:rPr>
          <w:rFonts w:ascii="Garamond" w:hAnsi="Garamond"/>
          <w:sz w:val="24"/>
          <w:szCs w:val="24"/>
          <w:lang w:val="en-US"/>
        </w:rPr>
        <w:t xml:space="preserve"> responded internally to the </w:t>
      </w:r>
      <w:r w:rsidR="00353CC7" w:rsidRPr="00E004A2">
        <w:rPr>
          <w:rFonts w:ascii="Garamond" w:hAnsi="Garamond"/>
          <w:sz w:val="24"/>
          <w:szCs w:val="24"/>
          <w:lang w:val="en-US"/>
        </w:rPr>
        <w:t xml:space="preserve">2007 House of Commons </w:t>
      </w:r>
      <w:r w:rsidR="00157CED" w:rsidRPr="00E004A2">
        <w:rPr>
          <w:rFonts w:ascii="Garamond" w:hAnsi="Garamond"/>
          <w:sz w:val="24"/>
          <w:szCs w:val="24"/>
          <w:lang w:val="en-US"/>
        </w:rPr>
        <w:t>statement</w:t>
      </w:r>
      <w:r w:rsidR="00A302B0" w:rsidRPr="00E004A2">
        <w:rPr>
          <w:rFonts w:ascii="Garamond" w:hAnsi="Garamond"/>
          <w:sz w:val="24"/>
          <w:szCs w:val="24"/>
          <w:lang w:val="en-US"/>
        </w:rPr>
        <w:t>, drafters</w:t>
      </w:r>
      <w:r w:rsidR="00157CED" w:rsidRPr="00E004A2">
        <w:rPr>
          <w:rFonts w:ascii="Garamond" w:hAnsi="Garamond"/>
          <w:sz w:val="24"/>
          <w:szCs w:val="24"/>
          <w:lang w:val="en-US"/>
        </w:rPr>
        <w:t xml:space="preserve"> responded that it was not ‘uniformly liked or disliked’ but that there were debates</w:t>
      </w:r>
      <w:r w:rsidRPr="00E004A2">
        <w:rPr>
          <w:rFonts w:ascii="Garamond" w:hAnsi="Garamond"/>
          <w:sz w:val="24"/>
          <w:szCs w:val="24"/>
          <w:lang w:val="en-US"/>
        </w:rPr>
        <w:t xml:space="preserve"> in the </w:t>
      </w:r>
      <w:r w:rsidR="00C576BF">
        <w:rPr>
          <w:rFonts w:ascii="Garamond" w:hAnsi="Garamond"/>
          <w:sz w:val="24"/>
          <w:szCs w:val="24"/>
          <w:lang w:val="en-US"/>
        </w:rPr>
        <w:t>OPC</w:t>
      </w:r>
      <w:r w:rsidR="00C576BF" w:rsidRPr="00E004A2">
        <w:rPr>
          <w:rFonts w:ascii="Garamond" w:hAnsi="Garamond"/>
          <w:sz w:val="24"/>
          <w:szCs w:val="24"/>
          <w:lang w:val="en-US"/>
        </w:rPr>
        <w:t xml:space="preserve"> </w:t>
      </w:r>
      <w:r w:rsidR="00157CED" w:rsidRPr="00E004A2">
        <w:rPr>
          <w:rFonts w:ascii="Garamond" w:hAnsi="Garamond"/>
          <w:sz w:val="24"/>
          <w:szCs w:val="24"/>
          <w:lang w:val="en-US"/>
        </w:rPr>
        <w:t>about the extent to which gender</w:t>
      </w:r>
      <w:r w:rsidR="00552840" w:rsidRPr="00E004A2">
        <w:rPr>
          <w:rFonts w:ascii="Garamond" w:hAnsi="Garamond"/>
          <w:sz w:val="24"/>
          <w:szCs w:val="24"/>
          <w:lang w:val="en-US"/>
        </w:rPr>
        <w:t>-</w:t>
      </w:r>
      <w:r w:rsidR="00157CED" w:rsidRPr="00E004A2">
        <w:rPr>
          <w:rFonts w:ascii="Garamond" w:hAnsi="Garamond"/>
          <w:sz w:val="24"/>
          <w:szCs w:val="24"/>
          <w:lang w:val="en-US"/>
        </w:rPr>
        <w:t>neutral drafting techniques would affect clarity:</w:t>
      </w:r>
    </w:p>
    <w:p w14:paraId="2A06EA67" w14:textId="53575F9B" w:rsidR="00157CED" w:rsidRPr="00E004A2" w:rsidRDefault="00157CED"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sz w:val="24"/>
          <w:szCs w:val="24"/>
          <w:lang w:val="en-US"/>
        </w:rPr>
        <w:t>There was a mixture of views. Some people thought that it would make our drafting less easy to understand and less clear. Other people supported it and didn’t think it would particularly damage the clarity of the drafting.</w:t>
      </w:r>
      <w:r w:rsidR="008C064F">
        <w:rPr>
          <w:rFonts w:ascii="Garamond" w:hAnsi="Garamond"/>
          <w:sz w:val="24"/>
          <w:szCs w:val="24"/>
          <w:lang w:val="en-US"/>
        </w:rPr>
        <w:t xml:space="preserve"> (Interview, 2019)</w:t>
      </w:r>
    </w:p>
    <w:p w14:paraId="54D39222" w14:textId="77777777" w:rsidR="00157CED" w:rsidRPr="00E004A2" w:rsidRDefault="00B429C8"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After the 2007 statement, attention</w:t>
      </w:r>
      <w:r w:rsidR="00157CED" w:rsidRPr="00E004A2">
        <w:rPr>
          <w:rFonts w:ascii="Garamond" w:hAnsi="Garamond"/>
          <w:sz w:val="24"/>
          <w:szCs w:val="24"/>
          <w:lang w:val="en-US"/>
        </w:rPr>
        <w:t xml:space="preserve"> turned to developing techniques to achieve gender neutrality. </w:t>
      </w:r>
      <w:r w:rsidR="00157CED" w:rsidRPr="00E004A2">
        <w:rPr>
          <w:rFonts w:ascii="Garamond" w:hAnsi="Garamond"/>
          <w:sz w:val="24"/>
          <w:szCs w:val="24"/>
          <w:lang w:val="en-US"/>
        </w:rPr>
        <w:lastRenderedPageBreak/>
        <w:t xml:space="preserve">Another common theme in interviews with drafters and legislative drafting experts is that efforts to draft in gender-neutral ways are </w:t>
      </w:r>
      <w:r w:rsidRPr="00E004A2">
        <w:rPr>
          <w:rFonts w:ascii="Garamond" w:hAnsi="Garamond"/>
          <w:sz w:val="24"/>
          <w:szCs w:val="24"/>
          <w:lang w:val="en-US"/>
        </w:rPr>
        <w:t xml:space="preserve">often </w:t>
      </w:r>
      <w:r w:rsidR="00157CED" w:rsidRPr="00E004A2">
        <w:rPr>
          <w:rFonts w:ascii="Garamond" w:hAnsi="Garamond"/>
          <w:sz w:val="24"/>
          <w:szCs w:val="24"/>
          <w:lang w:val="en-US"/>
        </w:rPr>
        <w:t>understood as resulting in improvements to drafting overall due to the dexterity and intense attention to the drafting process</w:t>
      </w:r>
      <w:r w:rsidR="00F642DB" w:rsidRPr="00E004A2">
        <w:rPr>
          <w:rFonts w:ascii="Garamond" w:hAnsi="Garamond"/>
          <w:sz w:val="24"/>
          <w:szCs w:val="24"/>
          <w:lang w:val="en-US"/>
        </w:rPr>
        <w:t xml:space="preserve"> that this new approach requires</w:t>
      </w:r>
      <w:r w:rsidR="00157CED" w:rsidRPr="00E004A2">
        <w:rPr>
          <w:rFonts w:ascii="Garamond" w:hAnsi="Garamond"/>
          <w:sz w:val="24"/>
          <w:szCs w:val="24"/>
          <w:lang w:val="en-US"/>
        </w:rPr>
        <w:t>:</w:t>
      </w:r>
    </w:p>
    <w:p w14:paraId="582FD5A8" w14:textId="6B2D1388" w:rsidR="00E675E2" w:rsidRPr="00E004A2" w:rsidRDefault="00157CED" w:rsidP="0054204F">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sz w:val="24"/>
          <w:szCs w:val="24"/>
          <w:lang w:val="en-US"/>
        </w:rPr>
        <w:t>… one of the things that I found surprising was how often trying to rephrase it to avoid the issue, we ended up with a much better draft in any event</w:t>
      </w:r>
      <w:r w:rsidR="00D37344" w:rsidRPr="00E004A2">
        <w:rPr>
          <w:rFonts w:ascii="Garamond" w:hAnsi="Garamond"/>
          <w:sz w:val="24"/>
          <w:szCs w:val="24"/>
          <w:lang w:val="en-US"/>
        </w:rPr>
        <w:t xml:space="preserve"> than we could have got to in the first place. It sort of prompted us to rethink the way we were drafting more generally. (Interview with legislative drafter, 2019; see also </w:t>
      </w:r>
      <w:r w:rsidR="000767EA"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{"citationID":"RxV9wNpj","properties":{"formattedCitation":"(Wilson, 2011, pp. 206\\uc0\\u8211{}207)","plainCitation":"(Wilson, 2011, pp. 206–207)","noteIndex":0},"citationItems":[{"id":747,"uris":["http://zotero.org/users/1070015/items/JNBYNXQP"],"uri":["http://zotero.org/users/1070015/items/JNBYNXQP"],"itemData":{"id":747,"type":"article-journal","container-title":"European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Lecture","volume":"13","author":[{"family":"Wilson","given":"Margaret"}],"issued":{"date-parts":[["2011"]]}},"locator":"206-207","label":"page"}],"schema":"https://github.com/citation-style-language/schema/raw/master/csl-citation.json"} </w:instrText>
      </w:r>
      <w:r w:rsidR="000767EA" w:rsidRPr="00E004A2">
        <w:rPr>
          <w:rFonts w:ascii="Garamond" w:hAnsi="Garamond"/>
          <w:sz w:val="24"/>
          <w:szCs w:val="24"/>
          <w:lang w:val="en-US"/>
        </w:rPr>
        <w:fldChar w:fldCharType="separate"/>
      </w:r>
      <w:r w:rsidR="004F3785" w:rsidRPr="004F3785">
        <w:rPr>
          <w:rFonts w:ascii="Garamond" w:hAnsi="Garamond" w:cs="Times New Roman"/>
          <w:sz w:val="24"/>
        </w:rPr>
        <w:t>Wilson, 2011, pp. 206–207</w:t>
      </w:r>
      <w:r w:rsidR="000767EA" w:rsidRPr="00E004A2">
        <w:rPr>
          <w:rFonts w:ascii="Garamond" w:hAnsi="Garamond"/>
          <w:sz w:val="24"/>
          <w:szCs w:val="24"/>
          <w:lang w:val="en-US"/>
        </w:rPr>
        <w:fldChar w:fldCharType="end"/>
      </w:r>
      <w:r w:rsidR="000767EA" w:rsidRPr="00E004A2">
        <w:rPr>
          <w:rFonts w:ascii="Garamond" w:hAnsi="Garamond"/>
          <w:sz w:val="24"/>
          <w:szCs w:val="24"/>
          <w:lang w:val="en-US"/>
        </w:rPr>
        <w:t>)</w:t>
      </w:r>
    </w:p>
    <w:p w14:paraId="3E247D73" w14:textId="7A43AE89" w:rsidR="008D68B7" w:rsidRPr="00E004A2" w:rsidRDefault="00C455BA"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b/>
        <w:t>In any case, t</w:t>
      </w:r>
      <w:r w:rsidR="00133735" w:rsidRPr="00E004A2">
        <w:rPr>
          <w:rFonts w:ascii="Garamond" w:hAnsi="Garamond"/>
          <w:sz w:val="24"/>
          <w:szCs w:val="24"/>
          <w:lang w:val="en-US"/>
        </w:rPr>
        <w:t xml:space="preserve">he emerging techniques have made their way into the OPC’s Drafting Guidance, the most recent version of which is dated July 2018. The guidance states that it is </w:t>
      </w:r>
      <w:r w:rsidR="00C576BF">
        <w:rPr>
          <w:rFonts w:ascii="Garamond" w:hAnsi="Garamond"/>
          <w:sz w:val="24"/>
          <w:szCs w:val="24"/>
          <w:lang w:val="en-US"/>
        </w:rPr>
        <w:t>OPC</w:t>
      </w:r>
      <w:r w:rsidR="00C576BF" w:rsidRPr="00E004A2">
        <w:rPr>
          <w:rFonts w:ascii="Garamond" w:hAnsi="Garamond"/>
          <w:sz w:val="24"/>
          <w:szCs w:val="24"/>
          <w:lang w:val="en-US"/>
        </w:rPr>
        <w:t xml:space="preserve"> </w:t>
      </w:r>
      <w:r w:rsidR="00133735" w:rsidRPr="00E004A2">
        <w:rPr>
          <w:rFonts w:ascii="Garamond" w:hAnsi="Garamond"/>
          <w:sz w:val="24"/>
          <w:szCs w:val="24"/>
          <w:lang w:val="en-US"/>
        </w:rPr>
        <w:t xml:space="preserve">practice to draft in a gender-neutral style </w:t>
      </w:r>
      <w:r w:rsidR="008D68B7" w:rsidRPr="00E004A2">
        <w:rPr>
          <w:rFonts w:ascii="Garamond" w:hAnsi="Garamond"/>
          <w:sz w:val="24"/>
          <w:szCs w:val="24"/>
          <w:lang w:val="en-US"/>
        </w:rPr>
        <w:t>‘so far as it is practicable to do so’, following the wording of the 2007 ministerial statement.</w:t>
      </w:r>
      <w:r w:rsidR="00CE4EF3" w:rsidRPr="00E004A2">
        <w:rPr>
          <w:rFonts w:ascii="Garamond" w:hAnsi="Garamond"/>
          <w:sz w:val="24"/>
          <w:szCs w:val="24"/>
          <w:lang w:val="en-US"/>
        </w:rPr>
        <w:t xml:space="preserve"> Gender neutrality is thus</w:t>
      </w:r>
      <w:r w:rsidRPr="00E004A2">
        <w:rPr>
          <w:rFonts w:ascii="Garamond" w:hAnsi="Garamond"/>
          <w:sz w:val="24"/>
          <w:szCs w:val="24"/>
          <w:lang w:val="en-US"/>
        </w:rPr>
        <w:t xml:space="preserve"> a provisional goal</w:t>
      </w:r>
      <w:r w:rsidR="00C33056" w:rsidRPr="00E004A2">
        <w:rPr>
          <w:rFonts w:ascii="Garamond" w:hAnsi="Garamond"/>
          <w:sz w:val="24"/>
          <w:szCs w:val="24"/>
          <w:lang w:val="en-US"/>
        </w:rPr>
        <w:t xml:space="preserve">. </w:t>
      </w:r>
      <w:r w:rsidR="005432C8" w:rsidRPr="00E004A2">
        <w:rPr>
          <w:rFonts w:ascii="Garamond" w:hAnsi="Garamond"/>
          <w:sz w:val="24"/>
          <w:szCs w:val="24"/>
          <w:lang w:val="en-US"/>
        </w:rPr>
        <w:t>Importantly, the OPC notes that gender-neutral drafting applies both to drafting freestanding text in a new Bill and also to drafting text that will amend an older Act that is not gender neutral</w:t>
      </w:r>
      <w:r w:rsidR="0015044B">
        <w:rPr>
          <w:rFonts w:ascii="Garamond" w:hAnsi="Garamond"/>
          <w:sz w:val="24"/>
          <w:szCs w:val="24"/>
          <w:lang w:val="en-US"/>
        </w:rPr>
        <w:t xml:space="preserve"> (OPC, 2018, p.7)</w:t>
      </w:r>
      <w:r w:rsidR="005432C8" w:rsidRPr="00E004A2">
        <w:rPr>
          <w:rFonts w:ascii="Garamond" w:hAnsi="Garamond"/>
          <w:sz w:val="24"/>
          <w:szCs w:val="24"/>
          <w:lang w:val="en-US"/>
        </w:rPr>
        <w:t xml:space="preserve">. </w:t>
      </w:r>
      <w:r w:rsidRPr="00E004A2">
        <w:rPr>
          <w:rFonts w:ascii="Garamond" w:hAnsi="Garamond"/>
          <w:sz w:val="24"/>
          <w:szCs w:val="24"/>
          <w:lang w:val="en-US"/>
        </w:rPr>
        <w:t>And o</w:t>
      </w:r>
      <w:r w:rsidR="008D68B7" w:rsidRPr="00E004A2">
        <w:rPr>
          <w:rFonts w:ascii="Garamond" w:hAnsi="Garamond"/>
          <w:sz w:val="24"/>
          <w:szCs w:val="24"/>
          <w:lang w:val="en-US"/>
        </w:rPr>
        <w:t>nce again, gender neutrality is not defined outside efforts towards its technical achievement, which is expressed in the guidance in terms of avoidance rather than positive suggestion:</w:t>
      </w:r>
    </w:p>
    <w:p w14:paraId="6AB1DE79" w14:textId="05344720" w:rsidR="008D68B7" w:rsidRPr="00E004A2" w:rsidRDefault="008D68B7" w:rsidP="0098315D">
      <w:pPr>
        <w:widowControl w:val="0"/>
        <w:spacing w:line="480" w:lineRule="auto"/>
        <w:rPr>
          <w:rFonts w:ascii="Garamond" w:hAnsi="Garamond" w:cs="Times"/>
          <w:sz w:val="24"/>
          <w:szCs w:val="24"/>
          <w:lang w:val="en-US"/>
        </w:rPr>
      </w:pPr>
      <w:r w:rsidRPr="00E004A2">
        <w:rPr>
          <w:rFonts w:ascii="Garamond" w:hAnsi="Garamond"/>
          <w:sz w:val="24"/>
          <w:szCs w:val="24"/>
          <w:lang w:val="en-US"/>
        </w:rPr>
        <w:tab/>
      </w:r>
      <w:r w:rsidRPr="00E004A2">
        <w:rPr>
          <w:rFonts w:ascii="Garamond" w:hAnsi="Garamond" w:cs="Times"/>
          <w:b/>
          <w:sz w:val="24"/>
          <w:szCs w:val="24"/>
          <w:lang w:val="en-US"/>
        </w:rPr>
        <w:t xml:space="preserve">What does gender-neutral drafting require? </w:t>
      </w:r>
    </w:p>
    <w:p w14:paraId="44B0B55A" w14:textId="77777777" w:rsidR="008D68B7" w:rsidRPr="00E004A2" w:rsidRDefault="008D68B7" w:rsidP="00657A32">
      <w:pPr>
        <w:widowControl w:val="0"/>
        <w:spacing w:line="480" w:lineRule="auto"/>
        <w:ind w:firstLine="720"/>
        <w:rPr>
          <w:rFonts w:ascii="Garamond" w:hAnsi="Garamond" w:cs="Times"/>
          <w:sz w:val="24"/>
          <w:szCs w:val="24"/>
          <w:lang w:val="en-US"/>
        </w:rPr>
      </w:pPr>
      <w:r w:rsidRPr="00E004A2">
        <w:rPr>
          <w:rFonts w:ascii="Garamond" w:hAnsi="Garamond" w:cs="Times"/>
          <w:sz w:val="24"/>
          <w:szCs w:val="24"/>
          <w:lang w:val="en-US"/>
        </w:rPr>
        <w:t xml:space="preserve">2.1.3 </w:t>
      </w:r>
      <w:r w:rsidRPr="00E004A2">
        <w:rPr>
          <w:rFonts w:ascii="Garamond" w:hAnsi="Garamond" w:cs="Times"/>
          <w:sz w:val="24"/>
          <w:szCs w:val="24"/>
          <w:lang w:val="en-US"/>
        </w:rPr>
        <w:tab/>
        <w:t xml:space="preserve">In practice, gender-neutral drafting means two things— </w:t>
      </w:r>
    </w:p>
    <w:p w14:paraId="4A2A1F07" w14:textId="0E01CA94" w:rsidR="008D68B7" w:rsidRPr="00E004A2" w:rsidRDefault="008D68B7" w:rsidP="00657A32">
      <w:pPr>
        <w:widowControl w:val="0"/>
        <w:numPr>
          <w:ilvl w:val="0"/>
          <w:numId w:val="3"/>
        </w:numPr>
        <w:tabs>
          <w:tab w:val="left" w:pos="220"/>
          <w:tab w:val="left" w:pos="720"/>
        </w:tabs>
        <w:spacing w:line="480" w:lineRule="auto"/>
        <w:ind w:hanging="720"/>
        <w:rPr>
          <w:rFonts w:ascii="Garamond" w:hAnsi="Garamond" w:cs="Times"/>
          <w:sz w:val="24"/>
          <w:szCs w:val="24"/>
          <w:lang w:val="en-US"/>
        </w:rPr>
      </w:pPr>
      <w:r w:rsidRPr="00E004A2">
        <w:rPr>
          <w:rFonts w:ascii="Garamond" w:hAnsi="Garamond" w:cs="Times"/>
          <w:sz w:val="24"/>
          <w:szCs w:val="24"/>
          <w:lang w:val="en-US"/>
        </w:rPr>
        <w:t xml:space="preserve">avoiding gender-specific pronouns (such as “he”) for a person who is not necessarily of that gender; </w:t>
      </w:r>
    </w:p>
    <w:p w14:paraId="4CF52782" w14:textId="118BBD00" w:rsidR="008D68B7" w:rsidRPr="00E004A2" w:rsidRDefault="008D68B7" w:rsidP="00657A32">
      <w:pPr>
        <w:widowControl w:val="0"/>
        <w:numPr>
          <w:ilvl w:val="0"/>
          <w:numId w:val="3"/>
        </w:numPr>
        <w:tabs>
          <w:tab w:val="left" w:pos="220"/>
          <w:tab w:val="left" w:pos="720"/>
        </w:tabs>
        <w:spacing w:line="480" w:lineRule="auto"/>
        <w:ind w:hanging="720"/>
        <w:rPr>
          <w:rFonts w:ascii="Garamond" w:hAnsi="Garamond" w:cs="Times"/>
          <w:sz w:val="24"/>
          <w:szCs w:val="24"/>
          <w:lang w:val="en-US"/>
        </w:rPr>
      </w:pPr>
      <w:r w:rsidRPr="00E004A2">
        <w:rPr>
          <w:rFonts w:ascii="Garamond" w:hAnsi="Garamond" w:cs="Times"/>
          <w:sz w:val="24"/>
          <w:szCs w:val="24"/>
          <w:lang w:val="en-US"/>
        </w:rPr>
        <w:t>avoiding nouns that might appear to assume that a person of a particular gender will do a particular job or perform a particular role (</w:t>
      </w:r>
      <w:proofErr w:type="spellStart"/>
      <w:r w:rsidRPr="00E004A2">
        <w:rPr>
          <w:rFonts w:ascii="Garamond" w:hAnsi="Garamond" w:cs="Times"/>
          <w:sz w:val="24"/>
          <w:szCs w:val="24"/>
          <w:lang w:val="en-US"/>
        </w:rPr>
        <w:t>eg</w:t>
      </w:r>
      <w:proofErr w:type="spellEnd"/>
      <w:r w:rsidRPr="00E004A2">
        <w:rPr>
          <w:rFonts w:ascii="Garamond" w:hAnsi="Garamond" w:cs="Times"/>
          <w:sz w:val="24"/>
          <w:szCs w:val="24"/>
          <w:lang w:val="en-US"/>
        </w:rPr>
        <w:t xml:space="preserve"> “chairman”).</w:t>
      </w:r>
      <w:r w:rsidR="0015044B">
        <w:rPr>
          <w:rFonts w:ascii="Garamond" w:hAnsi="Garamond" w:cs="Times"/>
          <w:sz w:val="24"/>
          <w:szCs w:val="24"/>
          <w:lang w:val="en-US"/>
        </w:rPr>
        <w:t xml:space="preserve"> (OPC, 2018, p.7)</w:t>
      </w:r>
      <w:r w:rsidRPr="00E004A2">
        <w:rPr>
          <w:rFonts w:ascii="Garamond" w:hAnsi="Garamond" w:cs="Times"/>
          <w:sz w:val="24"/>
          <w:szCs w:val="24"/>
          <w:lang w:val="en-US"/>
        </w:rPr>
        <w:t xml:space="preserve"> </w:t>
      </w:r>
    </w:p>
    <w:p w14:paraId="471D0D8D" w14:textId="38DE6CF6" w:rsidR="00CE4EF3" w:rsidRPr="00E004A2" w:rsidRDefault="00D6277A"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The guidance then sets out three categories of techniques</w:t>
      </w:r>
      <w:r w:rsidR="00E14415" w:rsidRPr="00E004A2">
        <w:rPr>
          <w:rFonts w:ascii="Garamond" w:hAnsi="Garamond"/>
          <w:sz w:val="24"/>
          <w:szCs w:val="24"/>
          <w:lang w:val="en-US"/>
        </w:rPr>
        <w:t xml:space="preserve"> for avoiding gender-specific pronouns</w:t>
      </w:r>
      <w:r w:rsidRPr="00E004A2">
        <w:rPr>
          <w:rFonts w:ascii="Garamond" w:hAnsi="Garamond"/>
          <w:sz w:val="24"/>
          <w:szCs w:val="24"/>
          <w:lang w:val="en-US"/>
        </w:rPr>
        <w:t xml:space="preserve">: </w:t>
      </w:r>
      <w:r w:rsidRPr="00E004A2">
        <w:rPr>
          <w:rFonts w:ascii="Garamond" w:hAnsi="Garamond"/>
          <w:sz w:val="24"/>
          <w:szCs w:val="24"/>
          <w:lang w:val="en-US"/>
        </w:rPr>
        <w:lastRenderedPageBreak/>
        <w:t>(1) repeat the noun; (2) change the pronoun; (3) rephrase to avoid the need for a pronoun or noun</w:t>
      </w:r>
      <w:r w:rsidR="0015044B">
        <w:rPr>
          <w:rFonts w:ascii="Garamond" w:hAnsi="Garamond"/>
          <w:sz w:val="24"/>
          <w:szCs w:val="24"/>
          <w:lang w:val="en-US"/>
        </w:rPr>
        <w:t xml:space="preserve"> (OPC, 2018, p.7)</w:t>
      </w:r>
      <w:r w:rsidRPr="00E004A2">
        <w:rPr>
          <w:rFonts w:ascii="Garamond" w:hAnsi="Garamond"/>
          <w:sz w:val="24"/>
          <w:szCs w:val="24"/>
          <w:lang w:val="en-US"/>
        </w:rPr>
        <w:t>.</w:t>
      </w:r>
      <w:r w:rsidR="00C455BA" w:rsidRPr="00E004A2">
        <w:rPr>
          <w:rFonts w:ascii="Garamond" w:hAnsi="Garamond"/>
          <w:sz w:val="24"/>
          <w:szCs w:val="24"/>
          <w:lang w:val="en-US"/>
        </w:rPr>
        <w:t xml:space="preserve"> </w:t>
      </w:r>
      <w:r w:rsidR="004B03ED" w:rsidRPr="00E004A2">
        <w:rPr>
          <w:rFonts w:ascii="Garamond" w:hAnsi="Garamond"/>
          <w:sz w:val="24"/>
          <w:szCs w:val="24"/>
          <w:lang w:val="en-US"/>
        </w:rPr>
        <w:t xml:space="preserve">Similar techniques are used in jurisdictions across </w:t>
      </w:r>
      <w:r w:rsidR="00972DBA" w:rsidRPr="00E004A2">
        <w:rPr>
          <w:rFonts w:ascii="Garamond" w:hAnsi="Garamond"/>
          <w:sz w:val="24"/>
          <w:szCs w:val="24"/>
          <w:lang w:val="en-US"/>
        </w:rPr>
        <w:t>the Commonwealth to varying degrees</w:t>
      </w:r>
      <w:r w:rsidR="004B03ED" w:rsidRPr="00E004A2">
        <w:rPr>
          <w:rFonts w:ascii="Garamond" w:hAnsi="Garamond"/>
          <w:sz w:val="24"/>
          <w:szCs w:val="24"/>
          <w:lang w:val="en-US"/>
        </w:rPr>
        <w:t xml:space="preserve">, and </w:t>
      </w:r>
      <w:r w:rsidR="00F642DB" w:rsidRPr="00E004A2">
        <w:rPr>
          <w:rFonts w:ascii="Garamond" w:hAnsi="Garamond"/>
          <w:sz w:val="24"/>
          <w:szCs w:val="24"/>
          <w:lang w:val="en-US"/>
        </w:rPr>
        <w:t xml:space="preserve">difficulties and </w:t>
      </w:r>
      <w:r w:rsidR="004B03ED" w:rsidRPr="00E004A2">
        <w:rPr>
          <w:rFonts w:ascii="Garamond" w:hAnsi="Garamond"/>
          <w:sz w:val="24"/>
          <w:szCs w:val="24"/>
          <w:lang w:val="en-US"/>
        </w:rPr>
        <w:t>c</w:t>
      </w:r>
      <w:r w:rsidR="00C455BA" w:rsidRPr="00E004A2">
        <w:rPr>
          <w:rFonts w:ascii="Garamond" w:hAnsi="Garamond"/>
          <w:sz w:val="24"/>
          <w:szCs w:val="24"/>
          <w:lang w:val="en-US"/>
        </w:rPr>
        <w:t xml:space="preserve">ontroversies attach to </w:t>
      </w:r>
      <w:r w:rsidR="00F642DB" w:rsidRPr="00E004A2">
        <w:rPr>
          <w:rFonts w:ascii="Garamond" w:hAnsi="Garamond"/>
          <w:sz w:val="24"/>
          <w:szCs w:val="24"/>
          <w:lang w:val="en-US"/>
        </w:rPr>
        <w:t>each.</w:t>
      </w:r>
      <w:r w:rsidR="00CE4EF3" w:rsidRPr="00E004A2">
        <w:rPr>
          <w:rFonts w:ascii="Garamond" w:hAnsi="Garamond"/>
          <w:sz w:val="24"/>
          <w:szCs w:val="24"/>
          <w:lang w:val="en-US"/>
        </w:rPr>
        <w:t xml:space="preserve"> </w:t>
      </w:r>
      <w:r w:rsidR="005432C8" w:rsidRPr="00E004A2">
        <w:rPr>
          <w:rFonts w:ascii="Garamond" w:hAnsi="Garamond"/>
          <w:sz w:val="24"/>
          <w:szCs w:val="24"/>
          <w:lang w:val="en-US"/>
        </w:rPr>
        <w:t xml:space="preserve">In the remainder of this section, I address the first two categories, leaving an assessment of the final category (rephrasing to avoid the need for a pronoun) for future consideration. </w:t>
      </w:r>
    </w:p>
    <w:p w14:paraId="409DC572" w14:textId="77777777" w:rsidR="00E14415" w:rsidRPr="00E004A2" w:rsidRDefault="00CE4EF3"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b/>
      </w:r>
      <w:r w:rsidR="00916E29" w:rsidRPr="00E004A2">
        <w:rPr>
          <w:rFonts w:ascii="Garamond" w:hAnsi="Garamond"/>
          <w:sz w:val="24"/>
          <w:szCs w:val="24"/>
          <w:lang w:val="en-US"/>
        </w:rPr>
        <w:t xml:space="preserve">The first technique for achieving gender neutrality, therefore, is repeating the noun. </w:t>
      </w:r>
      <w:r w:rsidR="00C455BA" w:rsidRPr="00E004A2">
        <w:rPr>
          <w:rFonts w:ascii="Garamond" w:hAnsi="Garamond"/>
          <w:sz w:val="24"/>
          <w:szCs w:val="24"/>
          <w:lang w:val="en-US"/>
        </w:rPr>
        <w:t>The</w:t>
      </w:r>
      <w:r w:rsidR="00E14415" w:rsidRPr="00E004A2">
        <w:rPr>
          <w:rFonts w:ascii="Garamond" w:hAnsi="Garamond"/>
          <w:sz w:val="24"/>
          <w:szCs w:val="24"/>
          <w:lang w:val="en-US"/>
        </w:rPr>
        <w:t xml:space="preserve"> OPC gives the follo</w:t>
      </w:r>
      <w:r w:rsidR="00916E29" w:rsidRPr="00E004A2">
        <w:rPr>
          <w:rFonts w:ascii="Garamond" w:hAnsi="Garamond"/>
          <w:sz w:val="24"/>
          <w:szCs w:val="24"/>
          <w:lang w:val="en-US"/>
        </w:rPr>
        <w:t>wing example</w:t>
      </w:r>
      <w:r w:rsidR="00E14415" w:rsidRPr="00E004A2">
        <w:rPr>
          <w:rFonts w:ascii="Garamond" w:hAnsi="Garamond"/>
          <w:sz w:val="24"/>
          <w:szCs w:val="24"/>
          <w:lang w:val="en-US"/>
        </w:rPr>
        <w:t>:</w:t>
      </w:r>
    </w:p>
    <w:p w14:paraId="7FAC7D7A" w14:textId="4806E98A" w:rsidR="00E14415" w:rsidRPr="00E004A2" w:rsidRDefault="00E14415" w:rsidP="00657A32">
      <w:pPr>
        <w:widowControl w:val="0"/>
        <w:spacing w:line="480" w:lineRule="auto"/>
        <w:ind w:left="720"/>
        <w:rPr>
          <w:rFonts w:ascii="Garamond" w:hAnsi="Garamond" w:cs="Times"/>
          <w:sz w:val="24"/>
          <w:szCs w:val="24"/>
          <w:lang w:val="en-US"/>
        </w:rPr>
      </w:pPr>
      <w:r w:rsidRPr="00E004A2">
        <w:rPr>
          <w:rFonts w:ascii="Garamond" w:hAnsi="Garamond" w:cs="Times"/>
          <w:sz w:val="24"/>
          <w:szCs w:val="24"/>
          <w:lang w:val="en-US"/>
        </w:rPr>
        <w:t>EXAMPLE</w:t>
      </w:r>
      <w:r w:rsidR="00C576BF">
        <w:rPr>
          <w:rFonts w:ascii="MS Mincho" w:eastAsia="MS Mincho" w:hAnsi="MS Mincho" w:cs="MS Mincho" w:hint="eastAsia"/>
          <w:sz w:val="24"/>
          <w:szCs w:val="24"/>
          <w:lang w:val="en-US"/>
        </w:rPr>
        <w:t xml:space="preserve"> </w:t>
      </w:r>
      <w:r w:rsidRPr="00E004A2">
        <w:rPr>
          <w:rFonts w:ascii="Garamond" w:hAnsi="Garamond" w:cs="Times"/>
          <w:sz w:val="24"/>
          <w:szCs w:val="24"/>
          <w:lang w:val="en-US"/>
        </w:rPr>
        <w:t>...earnings, in relation to a person, means sums payable to the person in connection with the person’s employment...</w:t>
      </w:r>
      <w:r w:rsidR="0015044B">
        <w:rPr>
          <w:rFonts w:ascii="Garamond" w:hAnsi="Garamond" w:cs="Times"/>
          <w:sz w:val="24"/>
          <w:szCs w:val="24"/>
          <w:lang w:val="en-US"/>
        </w:rPr>
        <w:t xml:space="preserve"> (OPC, 2018, p.8)</w:t>
      </w:r>
    </w:p>
    <w:p w14:paraId="7446EF07" w14:textId="70E74697" w:rsidR="008D4982" w:rsidRPr="00E004A2" w:rsidRDefault="00C455BA" w:rsidP="008D4982">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 xml:space="preserve"> </w:t>
      </w:r>
      <w:r w:rsidR="00E14415" w:rsidRPr="00E004A2">
        <w:rPr>
          <w:rFonts w:ascii="Garamond" w:hAnsi="Garamond"/>
          <w:sz w:val="24"/>
          <w:szCs w:val="24"/>
          <w:lang w:val="en-US"/>
        </w:rPr>
        <w:t>This technique is widely used</w:t>
      </w:r>
      <w:r w:rsidR="00972DBA" w:rsidRPr="00E004A2">
        <w:rPr>
          <w:rFonts w:ascii="Garamond" w:hAnsi="Garamond"/>
          <w:sz w:val="24"/>
          <w:szCs w:val="24"/>
          <w:lang w:val="en-US"/>
        </w:rPr>
        <w:t xml:space="preserve"> and advocated (see, </w:t>
      </w:r>
      <w:r w:rsidR="00A408ED">
        <w:rPr>
          <w:rFonts w:ascii="Garamond" w:hAnsi="Garamond"/>
          <w:sz w:val="24"/>
          <w:szCs w:val="24"/>
          <w:lang w:val="en-US"/>
        </w:rPr>
        <w:t>e.</w:t>
      </w:r>
      <w:r w:rsidR="00C576BF">
        <w:rPr>
          <w:rFonts w:ascii="Garamond" w:hAnsi="Garamond"/>
          <w:sz w:val="24"/>
          <w:szCs w:val="24"/>
          <w:lang w:val="en-US"/>
        </w:rPr>
        <w:t>g.</w:t>
      </w:r>
      <w:r w:rsidR="00972DBA" w:rsidRPr="00E004A2">
        <w:rPr>
          <w:rFonts w:ascii="Garamond" w:hAnsi="Garamond"/>
          <w:sz w:val="24"/>
          <w:szCs w:val="24"/>
          <w:lang w:val="en-US"/>
        </w:rPr>
        <w:t xml:space="preserve"> </w:t>
      </w:r>
      <w:r w:rsidR="00026EFF"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{"citationID":"pBv2VYaI","properties":{"formattedCitation":"(Salembier, 2015; Xanthaki, 2013)","plainCitation":"(Salembier, 2015; Xanthaki, 2013)","noteIndex":0},"citationItems":[{"id":730,"uris":["http://zotero.org/users/1070015/items/9CDK3VV2"],"uri":["http://zotero.org/users/1070015/items/9CDK3VV2"],"itemData":{"id":730,"type":"article-journal","abstract":"Abstract.  A number of jurisdictions have adopted the use of the singular they, in which the pronoun they is used to refer to a singular antecedent noun, in ord","container-title":"Statute Law Review","DOI":"10.1093/slr/hmv007","ISSN":"0144-3593","issue":"2","journalAbbreviation":"Statute Law Rev","language":"en","page":"175-185","source":"academic-oup-com.chain.kent.ac.uk","title":"Is Bad Grammar Good Policy? Legislative Use of the Singular ‘they’","title-short":"Is Bad Grammar Good Policy?","volume":"36","author":[{"family":"Salembier","given":"Paul"}],"issued":{"date-parts":[["2015",6,1]]}}},{"id":692,"uris":["http://zotero.org/users/1070015/items/WPIWQH4A"],"uri":["http://zotero.org/users/1070015/items/WPIWQH4A"],"itemData":{"id":692,"type":"book","publisher":"Bloomsbury","title":"Thornton's Legislative Drafting","editor":[{"family":"Xanthaki","given":"Helen"}],"issued":{"date-parts":[["2013"]]}}}],"schema":"https://github.com/citation-style-language/schema/raw/master/csl-citation.json"} </w:instrText>
      </w:r>
      <w:r w:rsidR="00026EFF" w:rsidRPr="00E004A2">
        <w:rPr>
          <w:rFonts w:ascii="Garamond" w:hAnsi="Garamond"/>
          <w:sz w:val="24"/>
          <w:szCs w:val="24"/>
          <w:lang w:val="en-US"/>
        </w:rPr>
        <w:fldChar w:fldCharType="separate"/>
      </w:r>
      <w:r w:rsidR="004F3785">
        <w:rPr>
          <w:rFonts w:ascii="Garamond" w:hAnsi="Garamond"/>
          <w:noProof/>
          <w:sz w:val="24"/>
          <w:szCs w:val="24"/>
          <w:lang w:val="en-US"/>
        </w:rPr>
        <w:t>Salembier, 2015; Xanthaki, 2013</w:t>
      </w:r>
      <w:r w:rsidR="00026EFF" w:rsidRPr="00E004A2">
        <w:rPr>
          <w:rFonts w:ascii="Garamond" w:hAnsi="Garamond"/>
          <w:sz w:val="24"/>
          <w:szCs w:val="24"/>
          <w:lang w:val="en-US"/>
        </w:rPr>
        <w:fldChar w:fldCharType="end"/>
      </w:r>
      <w:r w:rsidR="00972DBA" w:rsidRPr="00E004A2">
        <w:rPr>
          <w:rFonts w:ascii="Garamond" w:hAnsi="Garamond"/>
          <w:sz w:val="24"/>
          <w:szCs w:val="24"/>
          <w:lang w:val="en-US"/>
        </w:rPr>
        <w:t>)</w:t>
      </w:r>
      <w:r w:rsidR="00916E29" w:rsidRPr="00E004A2">
        <w:rPr>
          <w:rFonts w:ascii="Garamond" w:hAnsi="Garamond"/>
          <w:sz w:val="24"/>
          <w:szCs w:val="24"/>
          <w:lang w:val="en-US"/>
        </w:rPr>
        <w:t>, yet it has a couple of acknowledged drawbacks</w:t>
      </w:r>
      <w:r w:rsidR="00972DBA" w:rsidRPr="00E004A2">
        <w:rPr>
          <w:rFonts w:ascii="Garamond" w:hAnsi="Garamond"/>
          <w:sz w:val="24"/>
          <w:szCs w:val="24"/>
          <w:lang w:val="en-US"/>
        </w:rPr>
        <w:t>. Thor</w:t>
      </w:r>
      <w:r w:rsidR="008634F1" w:rsidRPr="00E004A2">
        <w:rPr>
          <w:rFonts w:ascii="Garamond" w:hAnsi="Garamond"/>
          <w:sz w:val="24"/>
          <w:szCs w:val="24"/>
          <w:lang w:val="en-US"/>
        </w:rPr>
        <w:t>n</w:t>
      </w:r>
      <w:r w:rsidR="00972DBA" w:rsidRPr="00E004A2">
        <w:rPr>
          <w:rFonts w:ascii="Garamond" w:hAnsi="Garamond"/>
          <w:sz w:val="24"/>
          <w:szCs w:val="24"/>
          <w:lang w:val="en-US"/>
        </w:rPr>
        <w:t xml:space="preserve">ton’s Legislative Drafting succinctly states that it ‘creates verbosity’ </w:t>
      </w:r>
      <w:r w:rsidR="00026EFF"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{"citationID":"wAImcoYF","properties":{"formattedCitation":"(Xanthaki, 2013, p. 81)","plainCitation":"(Xanthaki, 2013, p. 81)","noteIndex":0},"citationItems":[{"id":692,"uris":["http://zotero.org/users/1070015/items/WPIWQH4A"],"uri":["http://zotero.org/users/1070015/items/WPIWQH4A"],"itemData":{"id":692,"type":"book","publisher":"Bloomsbury","title":"Thornton's Legislative Drafting","editor":[{"family":"Xanthaki","given":"Helen"}],"issued":{"date-parts":[["2013"]]}},"locator":"81","label":"page"}],"schema":"https://github.com/citation-style-language/schema/raw/master/csl-citation.json"} </w:instrText>
      </w:r>
      <w:r w:rsidR="00026EFF" w:rsidRPr="00E004A2">
        <w:rPr>
          <w:rFonts w:ascii="Garamond" w:hAnsi="Garamond"/>
          <w:sz w:val="24"/>
          <w:szCs w:val="24"/>
          <w:lang w:val="en-US"/>
        </w:rPr>
        <w:fldChar w:fldCharType="separate"/>
      </w:r>
      <w:r w:rsidR="004F3785">
        <w:rPr>
          <w:rFonts w:ascii="Garamond" w:hAnsi="Garamond"/>
          <w:noProof/>
          <w:sz w:val="24"/>
          <w:szCs w:val="24"/>
          <w:lang w:val="en-US"/>
        </w:rPr>
        <w:t>(Xanthaki, 2013, p. 81)</w:t>
      </w:r>
      <w:r w:rsidR="00026EFF" w:rsidRPr="00E004A2">
        <w:rPr>
          <w:rFonts w:ascii="Garamond" w:hAnsi="Garamond"/>
          <w:sz w:val="24"/>
          <w:szCs w:val="24"/>
          <w:lang w:val="en-US"/>
        </w:rPr>
        <w:fldChar w:fldCharType="end"/>
      </w:r>
      <w:r w:rsidR="00972DBA" w:rsidRPr="00E004A2">
        <w:rPr>
          <w:rFonts w:ascii="Garamond" w:hAnsi="Garamond"/>
          <w:sz w:val="24"/>
          <w:szCs w:val="24"/>
          <w:lang w:val="en-US"/>
        </w:rPr>
        <w:t>. The OPC goes into more detail, explaining that ‘(c)</w:t>
      </w:r>
      <w:proofErr w:type="spellStart"/>
      <w:r w:rsidR="00972DBA" w:rsidRPr="00E004A2">
        <w:rPr>
          <w:rFonts w:ascii="Garamond" w:hAnsi="Garamond"/>
          <w:sz w:val="24"/>
          <w:szCs w:val="24"/>
          <w:lang w:val="en-US"/>
        </w:rPr>
        <w:t>onstant</w:t>
      </w:r>
      <w:proofErr w:type="spellEnd"/>
      <w:r w:rsidR="00972DBA" w:rsidRPr="00E004A2">
        <w:rPr>
          <w:rFonts w:ascii="Garamond" w:hAnsi="Garamond"/>
          <w:sz w:val="24"/>
          <w:szCs w:val="24"/>
          <w:lang w:val="en-US"/>
        </w:rPr>
        <w:t xml:space="preserve"> repetition of a noun or phrase in a way which would not occur in speech can jar and might detract from readability’</w:t>
      </w:r>
      <w:r w:rsidR="0015044B">
        <w:rPr>
          <w:rFonts w:ascii="Garamond" w:hAnsi="Garamond"/>
          <w:sz w:val="24"/>
          <w:szCs w:val="24"/>
          <w:lang w:val="en-US"/>
        </w:rPr>
        <w:t xml:space="preserve"> (OPC, 2018, p.8)</w:t>
      </w:r>
      <w:r w:rsidR="00972DBA" w:rsidRPr="00E004A2">
        <w:rPr>
          <w:rFonts w:ascii="Garamond" w:hAnsi="Garamond"/>
          <w:sz w:val="24"/>
          <w:szCs w:val="24"/>
          <w:lang w:val="en-US"/>
        </w:rPr>
        <w:t>. As such, the OPC proposes slight variations, including using a defined term – for example “the offender” – or repla</w:t>
      </w:r>
      <w:r w:rsidR="00030223" w:rsidRPr="00E004A2">
        <w:rPr>
          <w:rFonts w:ascii="Garamond" w:hAnsi="Garamond"/>
          <w:sz w:val="24"/>
          <w:szCs w:val="24"/>
          <w:lang w:val="en-US"/>
        </w:rPr>
        <w:t xml:space="preserve">cing the noun with a letter. </w:t>
      </w:r>
      <w:r w:rsidR="008D4982" w:rsidRPr="00E004A2">
        <w:rPr>
          <w:rFonts w:ascii="Garamond" w:hAnsi="Garamond"/>
          <w:sz w:val="24"/>
          <w:szCs w:val="24"/>
          <w:lang w:val="en-US"/>
        </w:rPr>
        <w:t xml:space="preserve">Using a letter </w:t>
      </w:r>
      <w:r w:rsidR="00972DBA" w:rsidRPr="00E004A2">
        <w:rPr>
          <w:rFonts w:ascii="Garamond" w:hAnsi="Garamond"/>
          <w:sz w:val="24"/>
          <w:szCs w:val="24"/>
          <w:lang w:val="en-US"/>
        </w:rPr>
        <w:t>is stated not to reflect English usage and the OPC also notes that it creates a ‘mental hoop’ for the reader to go through, which decreases readability</w:t>
      </w:r>
      <w:r w:rsidR="00F255EA" w:rsidRPr="00E004A2">
        <w:rPr>
          <w:rFonts w:ascii="Garamond" w:hAnsi="Garamond"/>
          <w:sz w:val="24"/>
          <w:szCs w:val="24"/>
          <w:lang w:val="en-US"/>
        </w:rPr>
        <w:t xml:space="preserve"> and</w:t>
      </w:r>
      <w:r w:rsidR="00F450ED" w:rsidRPr="00E004A2">
        <w:rPr>
          <w:rFonts w:ascii="Garamond" w:hAnsi="Garamond"/>
          <w:sz w:val="24"/>
          <w:szCs w:val="24"/>
          <w:lang w:val="en-US"/>
        </w:rPr>
        <w:t xml:space="preserve"> means that the technique should </w:t>
      </w:r>
      <w:r w:rsidR="00C33C95" w:rsidRPr="00E004A2">
        <w:rPr>
          <w:rFonts w:ascii="Garamond" w:hAnsi="Garamond"/>
          <w:sz w:val="24"/>
          <w:szCs w:val="24"/>
          <w:lang w:val="en-US"/>
        </w:rPr>
        <w:t xml:space="preserve">only </w:t>
      </w:r>
      <w:r w:rsidR="00F450ED" w:rsidRPr="00E004A2">
        <w:rPr>
          <w:rFonts w:ascii="Garamond" w:hAnsi="Garamond"/>
          <w:sz w:val="24"/>
          <w:szCs w:val="24"/>
          <w:lang w:val="en-US"/>
        </w:rPr>
        <w:t>be used ‘judiciously’</w:t>
      </w:r>
      <w:r w:rsidR="0015044B">
        <w:rPr>
          <w:rFonts w:ascii="Garamond" w:hAnsi="Garamond"/>
          <w:sz w:val="24"/>
          <w:szCs w:val="24"/>
          <w:lang w:val="en-US"/>
        </w:rPr>
        <w:t xml:space="preserve"> (OPC, 2018, p.8)</w:t>
      </w:r>
      <w:r w:rsidR="00972DBA" w:rsidRPr="00E004A2">
        <w:rPr>
          <w:rFonts w:ascii="Garamond" w:hAnsi="Garamond"/>
          <w:sz w:val="24"/>
          <w:szCs w:val="24"/>
          <w:lang w:val="en-US"/>
        </w:rPr>
        <w:t>.</w:t>
      </w:r>
      <w:r w:rsidR="008D4982" w:rsidRPr="00E004A2">
        <w:rPr>
          <w:rFonts w:ascii="Garamond" w:hAnsi="Garamond"/>
          <w:sz w:val="24"/>
          <w:szCs w:val="24"/>
          <w:lang w:val="en-US"/>
        </w:rPr>
        <w:t xml:space="preserve"> For this feminist legal academic, the problem with using a letter instead of a pronoun is that it might create false equivalences or otherwise decontextualize the social harm or phenomenon that the legislation targets, creating a bar to interpretation:</w:t>
      </w:r>
    </w:p>
    <w:p w14:paraId="604CCD3D" w14:textId="77777777" w:rsidR="008D4982" w:rsidRPr="00E004A2" w:rsidRDefault="008D4982"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color w:val="000000"/>
          <w:sz w:val="24"/>
          <w:szCs w:val="24"/>
        </w:rPr>
        <w:t>It tries to turn it into a maths problem. It is like the old maths problem with humans thing. It completely</w:t>
      </w:r>
      <w:r w:rsidRPr="00E004A2">
        <w:rPr>
          <w:rFonts w:ascii="Garamond" w:hAnsi="Garamond"/>
          <w:b/>
          <w:color w:val="000000"/>
          <w:sz w:val="24"/>
          <w:szCs w:val="24"/>
        </w:rPr>
        <w:t xml:space="preserve"> </w:t>
      </w:r>
      <w:r w:rsidRPr="00E004A2">
        <w:rPr>
          <w:rFonts w:ascii="Garamond" w:hAnsi="Garamond"/>
          <w:color w:val="000000"/>
          <w:sz w:val="24"/>
          <w:szCs w:val="24"/>
        </w:rPr>
        <w:t xml:space="preserve">decontextualises the whole issue. So because A and B are equivalent, A and B just happened, it removes the whole context. It is not an aid to interpretation, it's a bar to interpretation, because if some judge comes along and thinks “What is all this </w:t>
      </w:r>
      <w:r w:rsidRPr="00E004A2">
        <w:rPr>
          <w:rFonts w:ascii="Garamond" w:hAnsi="Garamond"/>
          <w:color w:val="000000"/>
          <w:sz w:val="24"/>
          <w:szCs w:val="24"/>
        </w:rPr>
        <w:lastRenderedPageBreak/>
        <w:t>about? I don't get it” then they can continue to be ignorant of it, because</w:t>
      </w:r>
      <w:r w:rsidRPr="00E004A2">
        <w:rPr>
          <w:rFonts w:ascii="Garamond" w:hAnsi="Garamond"/>
          <w:b/>
          <w:color w:val="000000"/>
          <w:sz w:val="24"/>
          <w:szCs w:val="24"/>
        </w:rPr>
        <w:t xml:space="preserve"> </w:t>
      </w:r>
      <w:r w:rsidRPr="00E004A2">
        <w:rPr>
          <w:rFonts w:ascii="Garamond" w:hAnsi="Garamond"/>
          <w:color w:val="000000"/>
          <w:sz w:val="24"/>
          <w:szCs w:val="24"/>
        </w:rPr>
        <w:t>there is nothing that tells them what the actual social problem is that this thing is trying to address. (Interview with feminist legal academic, 2019)</w:t>
      </w:r>
    </w:p>
    <w:p w14:paraId="77F111D8" w14:textId="77777777" w:rsidR="001557DA" w:rsidRPr="00E004A2" w:rsidRDefault="00E55CA4"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W</w:t>
      </w:r>
      <w:r w:rsidR="008D4982" w:rsidRPr="00E004A2">
        <w:rPr>
          <w:rFonts w:ascii="Garamond" w:hAnsi="Garamond"/>
          <w:sz w:val="24"/>
          <w:szCs w:val="24"/>
          <w:lang w:val="en-US"/>
        </w:rPr>
        <w:t xml:space="preserve">hilst the technique was previously used quite widely in gender-neutral drafting, possibly being seen as a solution of sorts, it </w:t>
      </w:r>
      <w:r w:rsidR="00030223" w:rsidRPr="00E004A2">
        <w:rPr>
          <w:rFonts w:ascii="Garamond" w:hAnsi="Garamond"/>
          <w:sz w:val="24"/>
          <w:szCs w:val="24"/>
          <w:lang w:val="en-US"/>
        </w:rPr>
        <w:t>has now waned as drafters have re-considered its effectiveness</w:t>
      </w:r>
      <w:r w:rsidR="001557DA" w:rsidRPr="00E004A2">
        <w:rPr>
          <w:rFonts w:ascii="Garamond" w:hAnsi="Garamond"/>
          <w:sz w:val="24"/>
          <w:szCs w:val="24"/>
          <w:lang w:val="en-US"/>
        </w:rPr>
        <w:t>:</w:t>
      </w:r>
      <w:r w:rsidR="008D4982" w:rsidRPr="00E004A2">
        <w:rPr>
          <w:rFonts w:ascii="Garamond" w:hAnsi="Garamond"/>
          <w:sz w:val="24"/>
          <w:szCs w:val="24"/>
          <w:lang w:val="en-US"/>
        </w:rPr>
        <w:t xml:space="preserve"> </w:t>
      </w:r>
    </w:p>
    <w:p w14:paraId="76467065" w14:textId="2C9F3A63" w:rsidR="001557DA" w:rsidRPr="00E004A2" w:rsidRDefault="001557DA"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color w:val="000000"/>
          <w:sz w:val="24"/>
          <w:szCs w:val="24"/>
        </w:rPr>
        <w:t>The more old</w:t>
      </w:r>
      <w:r w:rsidR="00760167">
        <w:rPr>
          <w:rFonts w:ascii="Garamond" w:hAnsi="Garamond"/>
          <w:color w:val="000000"/>
          <w:sz w:val="24"/>
          <w:szCs w:val="24"/>
        </w:rPr>
        <w:t>-</w:t>
      </w:r>
      <w:r w:rsidRPr="00E004A2">
        <w:rPr>
          <w:rFonts w:ascii="Garamond" w:hAnsi="Garamond"/>
          <w:color w:val="000000"/>
          <w:sz w:val="24"/>
          <w:szCs w:val="24"/>
        </w:rPr>
        <w:t>fashioned approach</w:t>
      </w:r>
      <w:r w:rsidR="001B1832">
        <w:rPr>
          <w:rFonts w:ascii="Garamond" w:hAnsi="Garamond"/>
          <w:color w:val="000000"/>
          <w:sz w:val="24"/>
          <w:szCs w:val="24"/>
        </w:rPr>
        <w:t xml:space="preserve"> was</w:t>
      </w:r>
      <w:r w:rsidRPr="00E004A2">
        <w:rPr>
          <w:rFonts w:ascii="Garamond" w:hAnsi="Garamond"/>
          <w:color w:val="000000"/>
          <w:sz w:val="24"/>
          <w:szCs w:val="24"/>
        </w:rPr>
        <w:t xml:space="preserve"> sometimes </w:t>
      </w:r>
      <w:r w:rsidR="001B1832">
        <w:rPr>
          <w:rFonts w:ascii="Garamond" w:hAnsi="Garamond"/>
          <w:color w:val="000000"/>
          <w:sz w:val="24"/>
          <w:szCs w:val="24"/>
        </w:rPr>
        <w:t>to use</w:t>
      </w:r>
      <w:r w:rsidRPr="00E004A2">
        <w:rPr>
          <w:rFonts w:ascii="Garamond" w:hAnsi="Garamond"/>
          <w:color w:val="000000"/>
          <w:sz w:val="24"/>
          <w:szCs w:val="24"/>
        </w:rPr>
        <w:t xml:space="preserve"> “the first mentioned person”, “the second mentioned person” and your head starts to spin, especially if they’re mentioned quite a few times. </w:t>
      </w:r>
      <w:r w:rsidR="007F2BF1">
        <w:rPr>
          <w:rFonts w:ascii="Garamond" w:hAnsi="Garamond"/>
          <w:color w:val="000000"/>
          <w:sz w:val="24"/>
          <w:szCs w:val="24"/>
        </w:rPr>
        <w:t>I</w:t>
      </w:r>
      <w:r w:rsidRPr="00E004A2">
        <w:rPr>
          <w:rFonts w:ascii="Garamond" w:hAnsi="Garamond"/>
          <w:color w:val="000000"/>
          <w:sz w:val="24"/>
          <w:szCs w:val="24"/>
        </w:rPr>
        <w:t>n that case, we might still use letters. But there was a time when I think people were using letters,</w:t>
      </w:r>
      <w:r w:rsidR="007F2BF1">
        <w:rPr>
          <w:rFonts w:ascii="Garamond" w:hAnsi="Garamond"/>
          <w:color w:val="000000"/>
          <w:sz w:val="24"/>
          <w:szCs w:val="24"/>
        </w:rPr>
        <w:t xml:space="preserve"> for example</w:t>
      </w:r>
      <w:r w:rsidRPr="00E004A2">
        <w:rPr>
          <w:rFonts w:ascii="Garamond" w:hAnsi="Garamond"/>
          <w:color w:val="000000"/>
          <w:sz w:val="24"/>
          <w:szCs w:val="24"/>
        </w:rPr>
        <w:t xml:space="preserve"> “P's” rather than “his”, </w:t>
      </w:r>
      <w:r w:rsidR="007F2BF1">
        <w:rPr>
          <w:rFonts w:ascii="Garamond" w:hAnsi="Garamond"/>
          <w:color w:val="000000"/>
          <w:sz w:val="24"/>
          <w:szCs w:val="24"/>
        </w:rPr>
        <w:t>to</w:t>
      </w:r>
      <w:r w:rsidRPr="00E004A2">
        <w:rPr>
          <w:rFonts w:ascii="Garamond" w:hAnsi="Garamond"/>
          <w:color w:val="000000"/>
          <w:sz w:val="24"/>
          <w:szCs w:val="24"/>
        </w:rPr>
        <w:t xml:space="preserve"> make </w:t>
      </w:r>
      <w:r w:rsidR="007F2BF1">
        <w:rPr>
          <w:rFonts w:ascii="Garamond" w:hAnsi="Garamond"/>
          <w:color w:val="000000"/>
          <w:sz w:val="24"/>
          <w:szCs w:val="24"/>
        </w:rPr>
        <w:t>drafts</w:t>
      </w:r>
      <w:r w:rsidRPr="00E004A2">
        <w:rPr>
          <w:rFonts w:ascii="Garamond" w:hAnsi="Garamond"/>
          <w:color w:val="000000"/>
          <w:sz w:val="24"/>
          <w:szCs w:val="24"/>
        </w:rPr>
        <w:t xml:space="preserve"> gender-neutral …</w:t>
      </w:r>
      <w:r w:rsidR="00FF6018">
        <w:rPr>
          <w:rFonts w:ascii="Garamond" w:hAnsi="Garamond"/>
          <w:color w:val="000000"/>
          <w:sz w:val="24"/>
          <w:szCs w:val="24"/>
        </w:rPr>
        <w:t xml:space="preserve"> I think that we would now</w:t>
      </w:r>
      <w:r w:rsidRPr="00E004A2">
        <w:rPr>
          <w:rFonts w:ascii="Garamond" w:hAnsi="Garamond"/>
          <w:color w:val="000000"/>
          <w:sz w:val="24"/>
          <w:szCs w:val="24"/>
        </w:rPr>
        <w:t xml:space="preserve"> say “we tried that and it didn't work”. </w:t>
      </w:r>
      <w:r w:rsidR="00FF6018">
        <w:rPr>
          <w:rFonts w:ascii="Garamond" w:hAnsi="Garamond"/>
          <w:color w:val="000000"/>
          <w:sz w:val="24"/>
          <w:szCs w:val="24"/>
        </w:rPr>
        <w:t>W</w:t>
      </w:r>
      <w:r w:rsidRPr="00E004A2">
        <w:rPr>
          <w:rFonts w:ascii="Garamond" w:hAnsi="Garamond"/>
          <w:color w:val="000000"/>
          <w:sz w:val="24"/>
          <w:szCs w:val="24"/>
        </w:rPr>
        <w:t>e are not sure that is the best way of doing it. (Interview with legislative drafters, 2019)</w:t>
      </w:r>
    </w:p>
    <w:p w14:paraId="0D8E82AB" w14:textId="77777777" w:rsidR="001557DA" w:rsidRPr="00E004A2" w:rsidRDefault="001557DA" w:rsidP="00BD4771">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As such, t</w:t>
      </w:r>
      <w:r w:rsidR="008D4982" w:rsidRPr="00E004A2">
        <w:rPr>
          <w:rFonts w:ascii="Garamond" w:hAnsi="Garamond"/>
          <w:sz w:val="24"/>
          <w:szCs w:val="24"/>
          <w:lang w:val="en-US"/>
        </w:rPr>
        <w:t>he situation now seems to be that letters may be used instead of pronouns</w:t>
      </w:r>
      <w:r w:rsidR="006C78AC" w:rsidRPr="00E004A2">
        <w:rPr>
          <w:rFonts w:ascii="Garamond" w:hAnsi="Garamond"/>
          <w:sz w:val="24"/>
          <w:szCs w:val="24"/>
          <w:lang w:val="en-US"/>
        </w:rPr>
        <w:t xml:space="preserve"> in some situations to avoid repetition, but otherwise </w:t>
      </w:r>
      <w:r w:rsidR="00E55CA4" w:rsidRPr="00E004A2">
        <w:rPr>
          <w:rFonts w:ascii="Garamond" w:hAnsi="Garamond"/>
          <w:sz w:val="24"/>
          <w:szCs w:val="24"/>
          <w:lang w:val="en-US"/>
        </w:rPr>
        <w:t>drafters do not consider it to be</w:t>
      </w:r>
      <w:r w:rsidR="006C78AC" w:rsidRPr="00E004A2">
        <w:rPr>
          <w:rFonts w:ascii="Garamond" w:hAnsi="Garamond"/>
          <w:sz w:val="24"/>
          <w:szCs w:val="24"/>
          <w:lang w:val="en-US"/>
        </w:rPr>
        <w:t xml:space="preserve"> ‘the best way of’ a</w:t>
      </w:r>
      <w:r w:rsidR="00E55CA4" w:rsidRPr="00E004A2">
        <w:rPr>
          <w:rFonts w:ascii="Garamond" w:hAnsi="Garamond"/>
          <w:sz w:val="24"/>
          <w:szCs w:val="24"/>
          <w:lang w:val="en-US"/>
        </w:rPr>
        <w:t>c</w:t>
      </w:r>
      <w:r w:rsidRPr="00E004A2">
        <w:rPr>
          <w:rFonts w:ascii="Garamond" w:hAnsi="Garamond"/>
          <w:sz w:val="24"/>
          <w:szCs w:val="24"/>
          <w:lang w:val="en-US"/>
        </w:rPr>
        <w:t>hieving gender neutral drafting.</w:t>
      </w:r>
    </w:p>
    <w:p w14:paraId="2F3795EA" w14:textId="66207EB4" w:rsidR="00927C37" w:rsidRPr="00E004A2" w:rsidRDefault="00F255EA" w:rsidP="00927C3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sz w:val="24"/>
          <w:szCs w:val="24"/>
          <w:lang w:val="en-US"/>
        </w:rPr>
        <w:tab/>
      </w:r>
      <w:r w:rsidR="00916E29" w:rsidRPr="00E004A2">
        <w:rPr>
          <w:rFonts w:ascii="Garamond" w:hAnsi="Garamond"/>
          <w:sz w:val="24"/>
          <w:szCs w:val="24"/>
          <w:lang w:val="en-US"/>
        </w:rPr>
        <w:t>The second technique of gender</w:t>
      </w:r>
      <w:r w:rsidR="0034513F" w:rsidRPr="00E004A2">
        <w:rPr>
          <w:rFonts w:ascii="Garamond" w:hAnsi="Garamond"/>
          <w:sz w:val="24"/>
          <w:szCs w:val="24"/>
          <w:lang w:val="en-US"/>
        </w:rPr>
        <w:t>-</w:t>
      </w:r>
      <w:r w:rsidR="00916E29" w:rsidRPr="00E004A2">
        <w:rPr>
          <w:rFonts w:ascii="Garamond" w:hAnsi="Garamond"/>
          <w:sz w:val="24"/>
          <w:szCs w:val="24"/>
          <w:lang w:val="en-US"/>
        </w:rPr>
        <w:t xml:space="preserve">neutral drafting </w:t>
      </w:r>
      <w:r w:rsidR="00D64B71" w:rsidRPr="00E004A2">
        <w:rPr>
          <w:rFonts w:ascii="Garamond" w:hAnsi="Garamond"/>
          <w:sz w:val="24"/>
          <w:szCs w:val="24"/>
          <w:lang w:val="en-US"/>
        </w:rPr>
        <w:t xml:space="preserve">– </w:t>
      </w:r>
      <w:r w:rsidR="00916E29" w:rsidRPr="00E004A2">
        <w:rPr>
          <w:rFonts w:ascii="Garamond" w:hAnsi="Garamond"/>
          <w:sz w:val="24"/>
          <w:szCs w:val="24"/>
          <w:lang w:val="en-US"/>
        </w:rPr>
        <w:t>c</w:t>
      </w:r>
      <w:r w:rsidRPr="00E004A2">
        <w:rPr>
          <w:rFonts w:ascii="Garamond" w:hAnsi="Garamond"/>
          <w:sz w:val="24"/>
          <w:szCs w:val="24"/>
          <w:lang w:val="en-US"/>
        </w:rPr>
        <w:t>hanging the pronoun</w:t>
      </w:r>
      <w:r w:rsidR="00916E29" w:rsidRPr="00E004A2">
        <w:rPr>
          <w:rFonts w:ascii="Garamond" w:hAnsi="Garamond"/>
          <w:sz w:val="24"/>
          <w:szCs w:val="24"/>
          <w:lang w:val="en-US"/>
        </w:rPr>
        <w:t xml:space="preserve"> </w:t>
      </w:r>
      <w:r w:rsidR="00D64B71" w:rsidRPr="00E004A2">
        <w:rPr>
          <w:rFonts w:ascii="Garamond" w:hAnsi="Garamond"/>
          <w:sz w:val="24"/>
          <w:szCs w:val="24"/>
          <w:lang w:val="en-US"/>
        </w:rPr>
        <w:t xml:space="preserve">– </w:t>
      </w:r>
      <w:r w:rsidRPr="00E004A2">
        <w:rPr>
          <w:rFonts w:ascii="Garamond" w:hAnsi="Garamond"/>
          <w:sz w:val="24"/>
          <w:szCs w:val="24"/>
          <w:lang w:val="en-US"/>
        </w:rPr>
        <w:t>bring</w:t>
      </w:r>
      <w:r w:rsidR="00EC6297" w:rsidRPr="00E004A2">
        <w:rPr>
          <w:rFonts w:ascii="Garamond" w:hAnsi="Garamond"/>
          <w:sz w:val="24"/>
          <w:szCs w:val="24"/>
          <w:lang w:val="en-US"/>
        </w:rPr>
        <w:t>s with it</w:t>
      </w:r>
      <w:r w:rsidR="00916E29" w:rsidRPr="00E004A2">
        <w:rPr>
          <w:rFonts w:ascii="Garamond" w:hAnsi="Garamond"/>
          <w:sz w:val="24"/>
          <w:szCs w:val="24"/>
          <w:lang w:val="en-US"/>
        </w:rPr>
        <w:t xml:space="preserve"> much more</w:t>
      </w:r>
      <w:r w:rsidRPr="00E004A2">
        <w:rPr>
          <w:rFonts w:ascii="Garamond" w:hAnsi="Garamond"/>
          <w:sz w:val="24"/>
          <w:szCs w:val="24"/>
          <w:lang w:val="en-US"/>
        </w:rPr>
        <w:t xml:space="preserve"> </w:t>
      </w:r>
      <w:r w:rsidR="00EC6297" w:rsidRPr="00E004A2">
        <w:rPr>
          <w:rFonts w:ascii="Garamond" w:hAnsi="Garamond"/>
          <w:sz w:val="24"/>
          <w:szCs w:val="24"/>
          <w:lang w:val="en-US"/>
        </w:rPr>
        <w:t xml:space="preserve">potential </w:t>
      </w:r>
      <w:r w:rsidR="00916E29" w:rsidRPr="00E004A2">
        <w:rPr>
          <w:rFonts w:ascii="Garamond" w:hAnsi="Garamond"/>
          <w:sz w:val="24"/>
          <w:szCs w:val="24"/>
          <w:lang w:val="en-US"/>
        </w:rPr>
        <w:t>controversy than</w:t>
      </w:r>
      <w:r w:rsidRPr="00E004A2">
        <w:rPr>
          <w:rFonts w:ascii="Garamond" w:hAnsi="Garamond"/>
          <w:sz w:val="24"/>
          <w:szCs w:val="24"/>
          <w:lang w:val="en-US"/>
        </w:rPr>
        <w:t xml:space="preserve"> repeating the noun. The</w:t>
      </w:r>
      <w:r w:rsidR="006E7C5A" w:rsidRPr="00E004A2">
        <w:rPr>
          <w:rFonts w:ascii="Garamond" w:hAnsi="Garamond"/>
          <w:sz w:val="24"/>
          <w:szCs w:val="24"/>
          <w:lang w:val="en-US"/>
        </w:rPr>
        <w:t>re are two main debates here:</w:t>
      </w:r>
      <w:r w:rsidR="00916E29" w:rsidRPr="00E004A2">
        <w:rPr>
          <w:rFonts w:ascii="Garamond" w:hAnsi="Garamond"/>
          <w:sz w:val="24"/>
          <w:szCs w:val="24"/>
          <w:lang w:val="en-US"/>
        </w:rPr>
        <w:t xml:space="preserve"> the </w:t>
      </w:r>
      <w:r w:rsidRPr="00E004A2">
        <w:rPr>
          <w:rFonts w:ascii="Garamond" w:hAnsi="Garamond"/>
          <w:sz w:val="24"/>
          <w:szCs w:val="24"/>
          <w:lang w:val="en-US"/>
        </w:rPr>
        <w:t xml:space="preserve">familiar conversation about </w:t>
      </w:r>
      <w:r w:rsidR="003C12E4">
        <w:rPr>
          <w:rFonts w:ascii="Garamond" w:hAnsi="Garamond"/>
          <w:sz w:val="24"/>
          <w:szCs w:val="24"/>
          <w:lang w:val="en-US"/>
        </w:rPr>
        <w:t>“</w:t>
      </w:r>
      <w:r w:rsidRPr="00E004A2">
        <w:rPr>
          <w:rFonts w:ascii="Garamond" w:hAnsi="Garamond"/>
          <w:sz w:val="24"/>
          <w:szCs w:val="24"/>
          <w:lang w:val="en-US"/>
        </w:rPr>
        <w:t>he or she</w:t>
      </w:r>
      <w:r w:rsidR="003C12E4">
        <w:rPr>
          <w:rFonts w:ascii="Garamond" w:hAnsi="Garamond"/>
          <w:sz w:val="24"/>
          <w:szCs w:val="24"/>
          <w:lang w:val="en-US"/>
        </w:rPr>
        <w:t>”</w:t>
      </w:r>
      <w:r w:rsidR="00D64B71">
        <w:rPr>
          <w:rFonts w:ascii="Garamond" w:hAnsi="Garamond"/>
          <w:sz w:val="24"/>
          <w:szCs w:val="24"/>
          <w:lang w:val="en-US"/>
        </w:rPr>
        <w:t>;</w:t>
      </w:r>
      <w:r w:rsidRPr="00E004A2">
        <w:rPr>
          <w:rFonts w:ascii="Garamond" w:hAnsi="Garamond"/>
          <w:sz w:val="24"/>
          <w:szCs w:val="24"/>
          <w:lang w:val="en-US"/>
        </w:rPr>
        <w:t xml:space="preserve"> and an intense ongoing controversy about the use of the singular </w:t>
      </w:r>
      <w:r w:rsidR="004750E3">
        <w:rPr>
          <w:rFonts w:ascii="Garamond" w:hAnsi="Garamond"/>
          <w:sz w:val="24"/>
          <w:szCs w:val="24"/>
          <w:lang w:val="en-US"/>
        </w:rPr>
        <w:t>“</w:t>
      </w:r>
      <w:r w:rsidRPr="00E004A2">
        <w:rPr>
          <w:rFonts w:ascii="Garamond" w:hAnsi="Garamond"/>
          <w:sz w:val="24"/>
          <w:szCs w:val="24"/>
          <w:lang w:val="en-US"/>
        </w:rPr>
        <w:t>they</w:t>
      </w:r>
      <w:r w:rsidR="004750E3">
        <w:rPr>
          <w:rFonts w:ascii="Garamond" w:hAnsi="Garamond"/>
          <w:sz w:val="24"/>
          <w:szCs w:val="24"/>
          <w:lang w:val="en-US"/>
        </w:rPr>
        <w:t>”</w:t>
      </w:r>
      <w:r w:rsidRPr="00E004A2">
        <w:rPr>
          <w:rFonts w:ascii="Garamond" w:hAnsi="Garamond"/>
          <w:sz w:val="24"/>
          <w:szCs w:val="24"/>
          <w:lang w:val="en-US"/>
        </w:rPr>
        <w:t>.</w:t>
      </w:r>
      <w:r w:rsidR="00EC6297" w:rsidRPr="00E004A2">
        <w:rPr>
          <w:rFonts w:ascii="Garamond" w:hAnsi="Garamond"/>
          <w:sz w:val="24"/>
          <w:szCs w:val="24"/>
          <w:lang w:val="en-US"/>
        </w:rPr>
        <w:t xml:space="preserve"> Beyond stating that ‘frequent use of “he or she” … can be awkward’, the OPC guidance remains silent on the genesis of the “he or she” construc</w:t>
      </w:r>
      <w:r w:rsidR="00916E29" w:rsidRPr="00E004A2">
        <w:rPr>
          <w:rFonts w:ascii="Garamond" w:hAnsi="Garamond"/>
          <w:sz w:val="24"/>
          <w:szCs w:val="24"/>
          <w:lang w:val="en-US"/>
        </w:rPr>
        <w:t>tion and its current reception within drafting circles</w:t>
      </w:r>
      <w:r w:rsidR="00EC6297" w:rsidRPr="00E004A2">
        <w:rPr>
          <w:rFonts w:ascii="Garamond" w:hAnsi="Garamond"/>
          <w:sz w:val="24"/>
          <w:szCs w:val="24"/>
          <w:lang w:val="en-US"/>
        </w:rPr>
        <w:t>. As we have seen,</w:t>
      </w:r>
      <w:r w:rsidR="006E7C5A" w:rsidRPr="00E004A2">
        <w:rPr>
          <w:rFonts w:ascii="Garamond" w:hAnsi="Garamond"/>
          <w:kern w:val="1"/>
          <w:sz w:val="24"/>
          <w:szCs w:val="24"/>
          <w:highlight w:val="white"/>
        </w:rPr>
        <w:t xml:space="preserve"> discussions</w:t>
      </w:r>
      <w:r w:rsidR="00EC6297" w:rsidRPr="00E004A2">
        <w:rPr>
          <w:rFonts w:ascii="Garamond" w:hAnsi="Garamond"/>
          <w:kern w:val="1"/>
          <w:sz w:val="24"/>
          <w:szCs w:val="24"/>
          <w:highlight w:val="white"/>
        </w:rPr>
        <w:t xml:space="preserve"> about using </w:t>
      </w:r>
      <w:r w:rsidR="000E3C6D">
        <w:rPr>
          <w:rFonts w:ascii="Garamond" w:hAnsi="Garamond"/>
          <w:kern w:val="1"/>
          <w:sz w:val="24"/>
          <w:szCs w:val="24"/>
          <w:highlight w:val="white"/>
        </w:rPr>
        <w:t>“</w:t>
      </w:r>
      <w:r w:rsidR="00EC6297" w:rsidRPr="00E004A2">
        <w:rPr>
          <w:rFonts w:ascii="Garamond" w:hAnsi="Garamond"/>
          <w:kern w:val="1"/>
          <w:sz w:val="24"/>
          <w:szCs w:val="24"/>
          <w:highlight w:val="white"/>
        </w:rPr>
        <w:t>he or she</w:t>
      </w:r>
      <w:r w:rsidR="000E3C6D">
        <w:rPr>
          <w:rFonts w:ascii="Garamond" w:hAnsi="Garamond"/>
          <w:kern w:val="1"/>
          <w:sz w:val="24"/>
          <w:szCs w:val="24"/>
          <w:highlight w:val="white"/>
        </w:rPr>
        <w:t>”</w:t>
      </w:r>
      <w:r w:rsidR="00EC6297" w:rsidRPr="00E004A2">
        <w:rPr>
          <w:rFonts w:ascii="Garamond" w:hAnsi="Garamond"/>
          <w:kern w:val="1"/>
          <w:sz w:val="24"/>
          <w:szCs w:val="24"/>
          <w:highlight w:val="white"/>
        </w:rPr>
        <w:t xml:space="preserve"> reference both its continued necessity and the risk of creating obsolescence.</w:t>
      </w:r>
      <w:r w:rsidR="00EC6297" w:rsidRPr="00E004A2">
        <w:rPr>
          <w:rFonts w:ascii="Garamond" w:hAnsi="Garamond"/>
          <w:kern w:val="1"/>
          <w:sz w:val="24"/>
          <w:szCs w:val="24"/>
        </w:rPr>
        <w:t xml:space="preserve"> </w:t>
      </w:r>
      <w:r w:rsidR="00916E29" w:rsidRPr="00E004A2">
        <w:rPr>
          <w:rFonts w:ascii="Garamond" w:hAnsi="Garamond"/>
          <w:kern w:val="1"/>
          <w:sz w:val="24"/>
          <w:szCs w:val="24"/>
          <w:highlight w:val="white"/>
        </w:rPr>
        <w:t xml:space="preserve">King and Fawcett </w:t>
      </w:r>
      <w:r w:rsidR="00EC6297" w:rsidRPr="00E004A2">
        <w:rPr>
          <w:rFonts w:ascii="Garamond" w:hAnsi="Garamond"/>
          <w:kern w:val="1"/>
          <w:sz w:val="24"/>
          <w:szCs w:val="24"/>
          <w:highlight w:val="white"/>
        </w:rPr>
        <w:t>support these views, noting a shift away even from the ‘dual-gendered language’ that was seen as an improvement on the widespread use of ‘he’</w:t>
      </w:r>
      <w:r w:rsidR="00EC6297" w:rsidRPr="00E004A2">
        <w:rPr>
          <w:rFonts w:ascii="Garamond" w:hAnsi="Garamond"/>
          <w:color w:val="000000"/>
          <w:sz w:val="24"/>
          <w:szCs w:val="24"/>
        </w:rPr>
        <w:t xml:space="preserve"> </w:t>
      </w:r>
      <w:r w:rsidR="008B5DA6" w:rsidRPr="00E004A2">
        <w:rPr>
          <w:rFonts w:ascii="Garamond" w:hAnsi="Garamond"/>
          <w:color w:val="000000"/>
          <w:sz w:val="24"/>
          <w:szCs w:val="24"/>
        </w:rPr>
        <w:fldChar w:fldCharType="begin"/>
      </w:r>
      <w:r w:rsidR="004F3785">
        <w:rPr>
          <w:rFonts w:ascii="Garamond" w:hAnsi="Garamond"/>
          <w:color w:val="000000"/>
          <w:sz w:val="24"/>
          <w:szCs w:val="24"/>
        </w:rPr>
        <w:instrText xml:space="preserve"> ADDIN ZOTERO_ITEM CSL_CITATION {"citationID":"UUEs0JHJ","properties":{"formattedCitation":"(King and Fawcett, 2018, p. 111)","plainCitation":"(King and Fawcett, 2018, p. 111)","noteIndex":0},"citationItems":[{"id":715,"uris":["http://zotero.org/users/1070015/items/D6VYLL7H"],"uri":["http://zotero.org/users/1070015/items/D6VYLL7H"],"itemData":{"id":715,"type":"article-journal","container-title":"New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She","volume":"2","author":[{"family":"King","given":"Ruby"},{"family":"Fawcett","given":"Jasper"}],"issued":{"date-parts":[["2018"]]}},"locator":"111","label":"page"}],"schema":"https://github.com/citation-style-language/schema/raw/master/csl-citation.json"} </w:instrText>
      </w:r>
      <w:r w:rsidR="008B5DA6" w:rsidRPr="00E004A2">
        <w:rPr>
          <w:rFonts w:ascii="Garamond" w:hAnsi="Garamond"/>
          <w:color w:val="000000"/>
          <w:sz w:val="24"/>
          <w:szCs w:val="24"/>
        </w:rPr>
        <w:fldChar w:fldCharType="separate"/>
      </w:r>
      <w:r w:rsidR="004F3785">
        <w:rPr>
          <w:rFonts w:ascii="Garamond" w:hAnsi="Garamond"/>
          <w:noProof/>
          <w:color w:val="000000"/>
          <w:sz w:val="24"/>
          <w:szCs w:val="24"/>
        </w:rPr>
        <w:t>(King and Fawcett, 2018, p. 111)</w:t>
      </w:r>
      <w:r w:rsidR="008B5DA6" w:rsidRPr="00E004A2">
        <w:rPr>
          <w:rFonts w:ascii="Garamond" w:hAnsi="Garamond"/>
          <w:color w:val="000000"/>
          <w:sz w:val="24"/>
          <w:szCs w:val="24"/>
        </w:rPr>
        <w:fldChar w:fldCharType="end"/>
      </w:r>
      <w:r w:rsidR="00EC6297" w:rsidRPr="00E004A2">
        <w:rPr>
          <w:rFonts w:ascii="Garamond" w:hAnsi="Garamond"/>
          <w:kern w:val="1"/>
          <w:sz w:val="24"/>
          <w:szCs w:val="24"/>
          <w:highlight w:val="white"/>
        </w:rPr>
        <w:t xml:space="preserve">. They argue that despite being more inclusive than the masculine rule, </w:t>
      </w:r>
      <w:r w:rsidR="003C12E4">
        <w:rPr>
          <w:rFonts w:ascii="Garamond" w:hAnsi="Garamond"/>
          <w:kern w:val="1"/>
          <w:sz w:val="24"/>
          <w:szCs w:val="24"/>
          <w:highlight w:val="white"/>
        </w:rPr>
        <w:t>“</w:t>
      </w:r>
      <w:r w:rsidR="00EC6297" w:rsidRPr="00E004A2">
        <w:rPr>
          <w:rFonts w:ascii="Garamond" w:hAnsi="Garamond"/>
          <w:kern w:val="1"/>
          <w:sz w:val="24"/>
          <w:szCs w:val="24"/>
          <w:highlight w:val="white"/>
        </w:rPr>
        <w:t>he or she</w:t>
      </w:r>
      <w:r w:rsidR="003C12E4">
        <w:rPr>
          <w:rFonts w:ascii="Garamond" w:hAnsi="Garamond"/>
          <w:kern w:val="1"/>
          <w:sz w:val="24"/>
          <w:szCs w:val="24"/>
          <w:highlight w:val="white"/>
        </w:rPr>
        <w:t>”</w:t>
      </w:r>
      <w:r w:rsidR="00EC6297" w:rsidRPr="00E004A2">
        <w:rPr>
          <w:rFonts w:ascii="Garamond" w:hAnsi="Garamond"/>
          <w:kern w:val="1"/>
          <w:sz w:val="24"/>
          <w:szCs w:val="24"/>
          <w:highlight w:val="white"/>
        </w:rPr>
        <w:t xml:space="preserve"> wording currently still in use in New Zealand</w:t>
      </w:r>
      <w:r w:rsidR="00916E29" w:rsidRPr="00E004A2">
        <w:rPr>
          <w:rFonts w:ascii="Garamond" w:hAnsi="Garamond"/>
          <w:kern w:val="1"/>
          <w:sz w:val="24"/>
          <w:szCs w:val="24"/>
          <w:highlight w:val="white"/>
        </w:rPr>
        <w:t xml:space="preserve">, for </w:t>
      </w:r>
      <w:r w:rsidR="00916E29" w:rsidRPr="00E004A2">
        <w:rPr>
          <w:rFonts w:ascii="Garamond" w:hAnsi="Garamond"/>
          <w:kern w:val="1"/>
          <w:sz w:val="24"/>
          <w:szCs w:val="24"/>
          <w:highlight w:val="white"/>
        </w:rPr>
        <w:lastRenderedPageBreak/>
        <w:t>example,</w:t>
      </w:r>
      <w:r w:rsidR="00EC6297" w:rsidRPr="00E004A2">
        <w:rPr>
          <w:rFonts w:ascii="Garamond" w:hAnsi="Garamond"/>
          <w:kern w:val="1"/>
          <w:sz w:val="24"/>
          <w:szCs w:val="24"/>
          <w:highlight w:val="white"/>
        </w:rPr>
        <w:t xml:space="preserve"> does not recognise people outside the binary, and is perceived to ‘pigeonhole gender into two categories’ </w:t>
      </w:r>
      <w:r w:rsidR="008B5DA6"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{"citationID":"R7vBS923","properties":{"formattedCitation":"(King and Fawcett, 2018, p. 111)","plainCitation":"(King and Fawcett, 2018, p. 111)","noteIndex":0},"citationItems":[{"id":715,"uris":["http://zotero.org/users/1070015/items/D6VYLL7H"],"uri":["http://zotero.org/users/1070015/items/D6VYLL7H"],"itemData":{"id":715,"type":"article-journal","container-title":"New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She","volume":"2","author":[{"family":"King","given":"Ruby"},{"family":"Fawcett","given":"Jasper"}],"issued":{"date-parts":[["2018"]]}},"locator":"111","label":"page"}],"schema":"https://github.com/citation-style-language/schema/raw/master/csl-citation.json"} </w:instrText>
      </w:r>
      <w:r w:rsidR="008B5DA6"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(King and Fawcett, 2018, p. 111)</w:t>
      </w:r>
      <w:r w:rsidR="008B5DA6" w:rsidRPr="00E004A2">
        <w:rPr>
          <w:rFonts w:ascii="Garamond" w:hAnsi="Garamond"/>
          <w:kern w:val="1"/>
          <w:sz w:val="24"/>
          <w:szCs w:val="24"/>
          <w:highlight w:val="white"/>
        </w:rPr>
        <w:fldChar w:fldCharType="end"/>
      </w:r>
      <w:r w:rsidR="00EC6297" w:rsidRPr="00E004A2">
        <w:rPr>
          <w:rFonts w:ascii="Garamond" w:hAnsi="Garamond"/>
          <w:kern w:val="1"/>
          <w:sz w:val="24"/>
          <w:szCs w:val="24"/>
          <w:highlight w:val="white"/>
        </w:rPr>
        <w:t xml:space="preserve">. </w:t>
      </w:r>
      <w:r w:rsidR="00137909" w:rsidRPr="00E004A2">
        <w:rPr>
          <w:rFonts w:ascii="Garamond" w:hAnsi="Garamond"/>
          <w:kern w:val="1"/>
          <w:sz w:val="24"/>
          <w:szCs w:val="24"/>
        </w:rPr>
        <w:t>Within international conversations about legislative drafting, therefore, it seems that “he or she” is losing currency.</w:t>
      </w:r>
      <w:r w:rsidR="00927C37" w:rsidRPr="00E004A2">
        <w:rPr>
          <w:rFonts w:ascii="Garamond" w:hAnsi="Garamond"/>
          <w:kern w:val="1"/>
          <w:sz w:val="24"/>
          <w:szCs w:val="24"/>
        </w:rPr>
        <w:t xml:space="preserve"> </w:t>
      </w:r>
    </w:p>
    <w:p w14:paraId="027F09E7" w14:textId="38F8F17C" w:rsidR="00927C37" w:rsidRPr="00E004A2" w:rsidRDefault="00927C37" w:rsidP="00927C3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This assessment of the direction of “he or she” is shared by legislative drafters, who consider its use not to be at the forefront of current practice:</w:t>
      </w:r>
    </w:p>
    <w:p w14:paraId="5EAB98DD" w14:textId="5F7B0CD9" w:rsidR="00927C37" w:rsidRPr="00E004A2" w:rsidRDefault="00F264E1" w:rsidP="00657A32">
      <w:pPr>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Pr>
          <w:rFonts w:ascii="Garamond" w:hAnsi="Garamond"/>
          <w:color w:val="000000"/>
          <w:sz w:val="24"/>
          <w:szCs w:val="24"/>
        </w:rPr>
        <w:t>In the guidance, we</w:t>
      </w:r>
      <w:r w:rsidR="00927C37" w:rsidRPr="00E004A2">
        <w:rPr>
          <w:rFonts w:ascii="Garamond" w:hAnsi="Garamond"/>
          <w:color w:val="000000"/>
          <w:sz w:val="24"/>
          <w:szCs w:val="24"/>
        </w:rPr>
        <w:t xml:space="preserve"> still do mention that one of the techniques you can use is “he or she”. </w:t>
      </w:r>
      <w:r w:rsidR="002D1AEE">
        <w:rPr>
          <w:rFonts w:ascii="Garamond" w:hAnsi="Garamond"/>
          <w:color w:val="000000"/>
          <w:sz w:val="24"/>
          <w:szCs w:val="24"/>
        </w:rPr>
        <w:t>T</w:t>
      </w:r>
      <w:r w:rsidR="00927C37" w:rsidRPr="00E004A2">
        <w:rPr>
          <w:rFonts w:ascii="Garamond" w:hAnsi="Garamond"/>
          <w:color w:val="000000"/>
          <w:sz w:val="24"/>
          <w:szCs w:val="24"/>
        </w:rPr>
        <w:t xml:space="preserve">hat's the one that isn't necessarily as gender-inclusive. </w:t>
      </w:r>
      <w:r w:rsidR="002D1AEE">
        <w:rPr>
          <w:rFonts w:ascii="Garamond" w:hAnsi="Garamond"/>
          <w:color w:val="000000"/>
          <w:sz w:val="24"/>
          <w:szCs w:val="24"/>
        </w:rPr>
        <w:t>W</w:t>
      </w:r>
      <w:r w:rsidR="00927C37" w:rsidRPr="00E004A2">
        <w:rPr>
          <w:rFonts w:ascii="Garamond" w:hAnsi="Garamond"/>
          <w:color w:val="000000"/>
          <w:sz w:val="24"/>
          <w:szCs w:val="24"/>
        </w:rPr>
        <w:t xml:space="preserve">e’ve examined </w:t>
      </w:r>
      <w:r w:rsidR="002D1AEE">
        <w:rPr>
          <w:rFonts w:ascii="Garamond" w:hAnsi="Garamond"/>
          <w:color w:val="000000"/>
          <w:sz w:val="24"/>
          <w:szCs w:val="24"/>
        </w:rPr>
        <w:t xml:space="preserve">it </w:t>
      </w:r>
      <w:r w:rsidR="00927C37" w:rsidRPr="00E004A2">
        <w:rPr>
          <w:rFonts w:ascii="Garamond" w:hAnsi="Garamond"/>
          <w:color w:val="000000"/>
          <w:sz w:val="24"/>
          <w:szCs w:val="24"/>
        </w:rPr>
        <w:t>quite recently. There was a lively discussio</w:t>
      </w:r>
      <w:r w:rsidR="002D1AEE">
        <w:rPr>
          <w:rFonts w:ascii="Garamond" w:hAnsi="Garamond"/>
          <w:color w:val="000000"/>
          <w:sz w:val="24"/>
          <w:szCs w:val="24"/>
        </w:rPr>
        <w:t>n …</w:t>
      </w:r>
      <w:r w:rsidR="00927C37" w:rsidRPr="00E004A2">
        <w:rPr>
          <w:rFonts w:ascii="Garamond" w:hAnsi="Garamond"/>
          <w:color w:val="000000"/>
          <w:sz w:val="24"/>
          <w:szCs w:val="24"/>
        </w:rPr>
        <w:t xml:space="preserve"> and different views were expressed on it. </w:t>
      </w:r>
      <w:r w:rsidR="002D1AEE">
        <w:rPr>
          <w:rFonts w:ascii="Garamond" w:hAnsi="Garamond"/>
          <w:color w:val="000000"/>
          <w:sz w:val="24"/>
          <w:szCs w:val="24"/>
        </w:rPr>
        <w:t>W</w:t>
      </w:r>
      <w:r w:rsidR="00927C37" w:rsidRPr="00E004A2">
        <w:rPr>
          <w:rFonts w:ascii="Garamond" w:hAnsi="Garamond"/>
          <w:color w:val="000000"/>
          <w:sz w:val="24"/>
          <w:szCs w:val="24"/>
        </w:rPr>
        <w:t xml:space="preserve">e reached the conclusion that we hadn't yet got to the point generally in society where </w:t>
      </w:r>
      <w:r w:rsidR="000D3716">
        <w:rPr>
          <w:rFonts w:ascii="Garamond" w:hAnsi="Garamond"/>
          <w:color w:val="000000"/>
          <w:sz w:val="24"/>
          <w:szCs w:val="24"/>
        </w:rPr>
        <w:t xml:space="preserve">“he or she” is regarded as an unusual </w:t>
      </w:r>
      <w:r w:rsidR="00927C37" w:rsidRPr="00E004A2">
        <w:rPr>
          <w:rFonts w:ascii="Garamond" w:hAnsi="Garamond"/>
          <w:color w:val="000000"/>
          <w:sz w:val="24"/>
          <w:szCs w:val="24"/>
        </w:rPr>
        <w:t>way of expressing things. (Interview with legislative drafter</w:t>
      </w:r>
      <w:r w:rsidR="00DC2A17" w:rsidRPr="00E004A2">
        <w:rPr>
          <w:rFonts w:ascii="Garamond" w:hAnsi="Garamond"/>
          <w:color w:val="000000"/>
          <w:sz w:val="24"/>
          <w:szCs w:val="24"/>
        </w:rPr>
        <w:t>s</w:t>
      </w:r>
      <w:r w:rsidR="00927C37" w:rsidRPr="00E004A2">
        <w:rPr>
          <w:rFonts w:ascii="Garamond" w:hAnsi="Garamond"/>
          <w:color w:val="000000"/>
          <w:sz w:val="24"/>
          <w:szCs w:val="24"/>
        </w:rPr>
        <w:t>, 2019)</w:t>
      </w:r>
    </w:p>
    <w:p w14:paraId="3E04F092" w14:textId="41550182" w:rsidR="00927C37" w:rsidRPr="00E004A2" w:rsidRDefault="00927C37" w:rsidP="00927C3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Drafters’ preoccupation with drafting to current social norms prevents them from adopting techniques that might be viewed as overly challenging of binar</w:t>
      </w:r>
      <w:r w:rsidR="005E609A" w:rsidRPr="00E004A2">
        <w:rPr>
          <w:rFonts w:ascii="Garamond" w:hAnsi="Garamond"/>
          <w:kern w:val="1"/>
          <w:sz w:val="24"/>
          <w:szCs w:val="24"/>
        </w:rPr>
        <w:t>y</w:t>
      </w:r>
      <w:r w:rsidRPr="00E004A2">
        <w:rPr>
          <w:rFonts w:ascii="Garamond" w:hAnsi="Garamond"/>
          <w:kern w:val="1"/>
          <w:sz w:val="24"/>
          <w:szCs w:val="24"/>
        </w:rPr>
        <w:t xml:space="preserve"> views of </w:t>
      </w:r>
      <w:r w:rsidR="005E609A" w:rsidRPr="00E004A2">
        <w:rPr>
          <w:rFonts w:ascii="Garamond" w:hAnsi="Garamond"/>
          <w:kern w:val="1"/>
          <w:sz w:val="24"/>
          <w:szCs w:val="24"/>
        </w:rPr>
        <w:t xml:space="preserve">sex and </w:t>
      </w:r>
      <w:r w:rsidRPr="00E004A2">
        <w:rPr>
          <w:rFonts w:ascii="Garamond" w:hAnsi="Garamond"/>
          <w:kern w:val="1"/>
          <w:sz w:val="24"/>
          <w:szCs w:val="24"/>
        </w:rPr>
        <w:t>gender. However, drafters appear to believe that as social norms and experiences change, it may be necessary in the future to draft for non-binary legal subjects, or for other genders, and hence do not perceive “he or she” as being useful in the long-term:</w:t>
      </w:r>
    </w:p>
    <w:p w14:paraId="5E8DE2A2" w14:textId="77777777" w:rsidR="00927C37" w:rsidRPr="00E004A2" w:rsidRDefault="00927C37" w:rsidP="00927C37">
      <w:pPr>
        <w:tabs>
          <w:tab w:val="left" w:pos="720"/>
          <w:tab w:val="left" w:pos="1440"/>
          <w:tab w:val="left" w:pos="2160"/>
          <w:tab w:val="left" w:pos="2880"/>
          <w:tab w:val="left" w:pos="3600"/>
          <w:tab w:val="left" w:pos="4320"/>
        </w:tabs>
        <w:ind w:left="360"/>
        <w:rPr>
          <w:rFonts w:ascii="Garamond" w:hAnsi="Garamond"/>
          <w:kern w:val="1"/>
          <w:sz w:val="24"/>
          <w:szCs w:val="24"/>
        </w:rPr>
      </w:pPr>
    </w:p>
    <w:p w14:paraId="043C59A4" w14:textId="10AF64D6" w:rsidR="00927C37" w:rsidRPr="00E004A2" w:rsidRDefault="00927C37" w:rsidP="00657A32">
      <w:pPr>
        <w:tabs>
          <w:tab w:val="left" w:pos="720"/>
          <w:tab w:val="left" w:pos="1440"/>
          <w:tab w:val="left" w:pos="2160"/>
          <w:tab w:val="left" w:pos="2880"/>
          <w:tab w:val="left" w:pos="3600"/>
          <w:tab w:val="left" w:pos="4320"/>
        </w:tabs>
        <w:spacing w:line="480" w:lineRule="auto"/>
        <w:ind w:left="720"/>
        <w:rPr>
          <w:rFonts w:ascii="Garamond" w:hAnsi="Garamond"/>
          <w:color w:val="000000"/>
          <w:sz w:val="24"/>
          <w:szCs w:val="24"/>
        </w:rPr>
      </w:pPr>
      <w:r w:rsidRPr="00E004A2">
        <w:rPr>
          <w:rFonts w:ascii="Garamond" w:hAnsi="Garamond"/>
          <w:color w:val="000000"/>
          <w:sz w:val="24"/>
          <w:szCs w:val="24"/>
        </w:rPr>
        <w:t>There would have been a ti</w:t>
      </w:r>
      <w:r w:rsidR="00F244A7">
        <w:rPr>
          <w:rFonts w:ascii="Garamond" w:hAnsi="Garamond"/>
          <w:color w:val="000000"/>
          <w:sz w:val="24"/>
          <w:szCs w:val="24"/>
        </w:rPr>
        <w:t xml:space="preserve">me when I might have thought, </w:t>
      </w:r>
      <w:r w:rsidRPr="00E004A2">
        <w:rPr>
          <w:rFonts w:ascii="Garamond" w:hAnsi="Garamond"/>
          <w:color w:val="000000"/>
          <w:sz w:val="24"/>
          <w:szCs w:val="24"/>
        </w:rPr>
        <w:t>if I’m just talking about natural people, “he or she” or she is quite handy and I don't have to create contortions around restructuring my words, especially if it’s “his or her” something or other.</w:t>
      </w:r>
      <w:r w:rsidR="00F244A7">
        <w:rPr>
          <w:rFonts w:ascii="Garamond" w:hAnsi="Garamond"/>
          <w:color w:val="000000"/>
          <w:sz w:val="24"/>
          <w:szCs w:val="24"/>
        </w:rPr>
        <w:t xml:space="preserve"> But now I think, w</w:t>
      </w:r>
      <w:r w:rsidRPr="00E004A2">
        <w:rPr>
          <w:rFonts w:ascii="Garamond" w:hAnsi="Garamond"/>
          <w:color w:val="000000"/>
          <w:sz w:val="24"/>
          <w:szCs w:val="24"/>
        </w:rPr>
        <w:t>ell, hold on a second, I can see that there must be a time when there is a possibility, to put it no higher than that, that there will be some other gender or non-gender, whethe</w:t>
      </w:r>
      <w:r w:rsidR="002F3B89">
        <w:rPr>
          <w:rFonts w:ascii="Garamond" w:hAnsi="Garamond"/>
          <w:color w:val="000000"/>
          <w:sz w:val="24"/>
          <w:szCs w:val="24"/>
        </w:rPr>
        <w:t xml:space="preserve">r it's within the UK or abroad. And </w:t>
      </w:r>
      <w:r w:rsidRPr="00E004A2">
        <w:rPr>
          <w:rFonts w:ascii="Garamond" w:hAnsi="Garamond"/>
          <w:color w:val="000000"/>
          <w:sz w:val="24"/>
          <w:szCs w:val="24"/>
        </w:rPr>
        <w:t>therefore, from my perspective, I think … there will have to be a technical solution if that happens. (</w:t>
      </w:r>
      <w:r w:rsidR="005E609A" w:rsidRPr="00E004A2">
        <w:rPr>
          <w:rFonts w:ascii="Garamond" w:hAnsi="Garamond"/>
          <w:color w:val="000000"/>
          <w:sz w:val="24"/>
          <w:szCs w:val="24"/>
        </w:rPr>
        <w:t>Interview with l</w:t>
      </w:r>
      <w:r w:rsidRPr="00E004A2">
        <w:rPr>
          <w:rFonts w:ascii="Garamond" w:hAnsi="Garamond"/>
          <w:color w:val="000000"/>
          <w:sz w:val="24"/>
          <w:szCs w:val="24"/>
        </w:rPr>
        <w:t>egislative drafte</w:t>
      </w:r>
      <w:r w:rsidR="005E609A" w:rsidRPr="00E004A2">
        <w:rPr>
          <w:rFonts w:ascii="Garamond" w:hAnsi="Garamond"/>
          <w:color w:val="000000"/>
          <w:sz w:val="24"/>
          <w:szCs w:val="24"/>
        </w:rPr>
        <w:t>rs, 2019</w:t>
      </w:r>
      <w:r w:rsidRPr="00E004A2">
        <w:rPr>
          <w:rFonts w:ascii="Garamond" w:hAnsi="Garamond"/>
          <w:color w:val="000000"/>
          <w:sz w:val="24"/>
          <w:szCs w:val="24"/>
        </w:rPr>
        <w:t>)</w:t>
      </w:r>
    </w:p>
    <w:p w14:paraId="1A479490" w14:textId="77777777" w:rsidR="00927C37" w:rsidRPr="00E004A2" w:rsidRDefault="00927C37" w:rsidP="00927C37">
      <w:pPr>
        <w:tabs>
          <w:tab w:val="left" w:pos="720"/>
          <w:tab w:val="left" w:pos="1440"/>
          <w:tab w:val="left" w:pos="2160"/>
          <w:tab w:val="left" w:pos="2880"/>
          <w:tab w:val="left" w:pos="3600"/>
          <w:tab w:val="left" w:pos="4320"/>
        </w:tabs>
        <w:ind w:left="360"/>
        <w:rPr>
          <w:rFonts w:ascii="Garamond" w:hAnsi="Garamond"/>
          <w:color w:val="000000"/>
          <w:sz w:val="24"/>
          <w:szCs w:val="24"/>
        </w:rPr>
      </w:pPr>
    </w:p>
    <w:p w14:paraId="77350CCC" w14:textId="71D1260B" w:rsidR="00927C37" w:rsidRPr="00E004A2" w:rsidRDefault="00927C37" w:rsidP="0098315D">
      <w:pPr>
        <w:tabs>
          <w:tab w:val="left" w:pos="720"/>
          <w:tab w:val="left" w:pos="1440"/>
          <w:tab w:val="left" w:pos="2160"/>
          <w:tab w:val="left" w:pos="2880"/>
          <w:tab w:val="left" w:pos="3600"/>
          <w:tab w:val="left" w:pos="4320"/>
        </w:tabs>
        <w:spacing w:line="480" w:lineRule="auto"/>
        <w:rPr>
          <w:rFonts w:ascii="Garamond" w:hAnsi="Garamond"/>
          <w:color w:val="000000"/>
          <w:sz w:val="24"/>
          <w:szCs w:val="24"/>
        </w:rPr>
      </w:pPr>
      <w:r w:rsidRPr="00E004A2">
        <w:rPr>
          <w:rFonts w:ascii="Garamond" w:hAnsi="Garamond"/>
          <w:color w:val="000000"/>
          <w:sz w:val="24"/>
          <w:szCs w:val="24"/>
        </w:rPr>
        <w:lastRenderedPageBreak/>
        <w:t>These views extend to technical concern that using “he or she” might at some future point actively create anachronism or obsolescence within legislation:</w:t>
      </w:r>
    </w:p>
    <w:p w14:paraId="2680373B" w14:textId="06E8FB67" w:rsidR="00EC6297" w:rsidRPr="00E004A2" w:rsidRDefault="00927C37" w:rsidP="0054204F">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color w:val="000000"/>
          <w:sz w:val="24"/>
          <w:szCs w:val="24"/>
        </w:rPr>
        <w:t>… from a personal position, I wouldn't use “he or she” just because I think I am building in obsolescence into the statute book. (</w:t>
      </w:r>
      <w:r w:rsidR="005E609A" w:rsidRPr="00E004A2">
        <w:rPr>
          <w:rFonts w:ascii="Garamond" w:hAnsi="Garamond"/>
          <w:color w:val="000000"/>
          <w:sz w:val="24"/>
          <w:szCs w:val="24"/>
        </w:rPr>
        <w:t>Interview with legislative drafters, 2019</w:t>
      </w:r>
      <w:r w:rsidRPr="00E004A2">
        <w:rPr>
          <w:rFonts w:ascii="Garamond" w:hAnsi="Garamond"/>
          <w:color w:val="000000"/>
          <w:sz w:val="24"/>
          <w:szCs w:val="24"/>
        </w:rPr>
        <w:t>)</w:t>
      </w:r>
    </w:p>
    <w:p w14:paraId="1FD39353" w14:textId="01527D75" w:rsidR="00B958AC" w:rsidRPr="00E004A2" w:rsidRDefault="00137909"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Another option for ‘changing the pronoun’</w:t>
      </w:r>
      <w:r w:rsidR="00C269BE" w:rsidRPr="00E004A2">
        <w:rPr>
          <w:rFonts w:ascii="Garamond" w:hAnsi="Garamond"/>
          <w:kern w:val="1"/>
          <w:sz w:val="24"/>
          <w:szCs w:val="24"/>
        </w:rPr>
        <w:t>, of course,</w:t>
      </w:r>
      <w:r w:rsidRPr="00E004A2">
        <w:rPr>
          <w:rFonts w:ascii="Garamond" w:hAnsi="Garamond"/>
          <w:kern w:val="1"/>
          <w:sz w:val="24"/>
          <w:szCs w:val="24"/>
        </w:rPr>
        <w:t xml:space="preserve"> is using the singular </w:t>
      </w:r>
      <w:r w:rsidR="009C15F5">
        <w:rPr>
          <w:rFonts w:ascii="Garamond" w:hAnsi="Garamond"/>
          <w:kern w:val="1"/>
          <w:sz w:val="24"/>
          <w:szCs w:val="24"/>
        </w:rPr>
        <w:t>“</w:t>
      </w:r>
      <w:r w:rsidRPr="00E004A2">
        <w:rPr>
          <w:rFonts w:ascii="Garamond" w:hAnsi="Garamond"/>
          <w:kern w:val="1"/>
          <w:sz w:val="24"/>
          <w:szCs w:val="24"/>
        </w:rPr>
        <w:t>they</w:t>
      </w:r>
      <w:r w:rsidR="009C15F5">
        <w:rPr>
          <w:rFonts w:ascii="Garamond" w:hAnsi="Garamond"/>
          <w:kern w:val="1"/>
          <w:sz w:val="24"/>
          <w:szCs w:val="24"/>
        </w:rPr>
        <w:t>”</w:t>
      </w:r>
      <w:r w:rsidRPr="00E004A2">
        <w:rPr>
          <w:rFonts w:ascii="Garamond" w:hAnsi="Garamond"/>
          <w:kern w:val="1"/>
          <w:sz w:val="24"/>
          <w:szCs w:val="24"/>
        </w:rPr>
        <w:t xml:space="preserve">. </w:t>
      </w:r>
      <w:r w:rsidR="00B958AC" w:rsidRPr="00E004A2">
        <w:rPr>
          <w:rFonts w:ascii="Garamond" w:hAnsi="Garamond"/>
          <w:kern w:val="1"/>
          <w:sz w:val="24"/>
          <w:szCs w:val="24"/>
        </w:rPr>
        <w:t xml:space="preserve">This technique has already been adopted in Canada, Australia, South Africa, Hong Kong and the province of Ontario </w:t>
      </w:r>
      <w:r w:rsidR="008B5DA6"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{"citationID":"RYmHO7A8","properties":{"formattedCitation":"(King and Fawcett, 2018; Revell et al., 1994; Salembier, 2015)","plainCitation":"(King and Fawcett, 2018; Revell et al., 1994; Salembier, 2015)","noteIndex":0},"citationItems":[{"id":715,"uris":["http://zotero.org/users/1070015/items/D6VYLL7H"],"uri":["http://zotero.org/users/1070015/items/D6VYLL7H"],"itemData":{"id":715,"type":"article-journal","container-title":"New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id":2769,"uris":["http://zotero.org/groups/1576676/items/DRBDCGJW"],"uri":["http://zotero.org/groups/1576676/items/DRBDCGJW"],"itemData":{"id":2769,"type":"article-journal","container-title":"English Today: The International Review of the English Language","page":"10","title":"Themselves and Nonsexist Style in Canadian Legislative Drafting","author":[{"family":"Revell","given":"D"},{"family":"Schuh","given":"C"},{"family":"Moisan","given":"M"}],"issued":{"date-parts":[["1994"]]}}},{"id":730,"uris":["http://zotero.org/users/1070015/items/9CDK3VV2"],"uri":["http://zotero.org/users/1070015/items/9CDK3VV2"],"itemData":{"id":730,"type":"article-journal","abstract":"Abstract.  A number of jurisdictions have adopted the use of the singular they, in which the pronoun they is used to refer to a singular antecedent noun, in ord","container-title":"Statute Law Review","DOI":"10.1093/slr/hmv007","ISSN":"0144-3593","issue":"2","journalAbbreviation":"Statute Law Rev","language":"en","page":"175-185","source":"academic-oup-com.chain.kent.ac.uk","title":"Is Bad Grammar Good Policy? Legislative Use of the Singular ‘they’","title-short":"Is Bad Grammar Good Policy?","volume":"36","author":[{"family":"Salembier","given":"Paul"}],"issued":{"date-parts":[["2015",6,1]]}}}],"schema":"https://github.com/citation-style-language/schema/raw/master/csl-citation.json"} </w:instrText>
      </w:r>
      <w:r w:rsidR="008B5DA6" w:rsidRPr="00E004A2">
        <w:rPr>
          <w:rFonts w:ascii="Garamond" w:hAnsi="Garamond"/>
          <w:kern w:val="1"/>
          <w:sz w:val="24"/>
          <w:szCs w:val="24"/>
        </w:rPr>
        <w:fldChar w:fldCharType="separate"/>
      </w:r>
      <w:r w:rsidR="004F3785">
        <w:rPr>
          <w:rFonts w:ascii="Garamond" w:hAnsi="Garamond"/>
          <w:noProof/>
          <w:kern w:val="1"/>
          <w:sz w:val="24"/>
          <w:szCs w:val="24"/>
        </w:rPr>
        <w:t>(King and Fawcett, 2018; Revell et al., 1994; Salembier, 2015)</w:t>
      </w:r>
      <w:r w:rsidR="008B5DA6" w:rsidRPr="00E004A2">
        <w:rPr>
          <w:rFonts w:ascii="Garamond" w:hAnsi="Garamond"/>
          <w:kern w:val="1"/>
          <w:sz w:val="24"/>
          <w:szCs w:val="24"/>
        </w:rPr>
        <w:fldChar w:fldCharType="end"/>
      </w:r>
      <w:r w:rsidR="00A04809" w:rsidRPr="00E004A2">
        <w:rPr>
          <w:rFonts w:ascii="Garamond" w:hAnsi="Garamond"/>
          <w:kern w:val="1"/>
          <w:sz w:val="24"/>
          <w:szCs w:val="24"/>
        </w:rPr>
        <w:t>.</w:t>
      </w:r>
      <w:r w:rsidR="006E7C5A" w:rsidRPr="00E004A2">
        <w:rPr>
          <w:rFonts w:ascii="Garamond" w:hAnsi="Garamond"/>
          <w:kern w:val="1"/>
          <w:sz w:val="24"/>
          <w:szCs w:val="24"/>
        </w:rPr>
        <w:t xml:space="preserve"> Canadian federal legislative drafting guidance, for example, positions the use of the singular </w:t>
      </w:r>
      <w:r w:rsidR="009C15F5">
        <w:rPr>
          <w:rFonts w:ascii="Garamond" w:hAnsi="Garamond"/>
          <w:kern w:val="1"/>
          <w:sz w:val="24"/>
          <w:szCs w:val="24"/>
        </w:rPr>
        <w:t>“</w:t>
      </w:r>
      <w:r w:rsidR="006E7C5A" w:rsidRPr="00E004A2">
        <w:rPr>
          <w:rFonts w:ascii="Garamond" w:hAnsi="Garamond"/>
          <w:kern w:val="1"/>
          <w:sz w:val="24"/>
          <w:szCs w:val="24"/>
        </w:rPr>
        <w:t>they</w:t>
      </w:r>
      <w:r w:rsidR="009C15F5">
        <w:rPr>
          <w:rFonts w:ascii="Garamond" w:hAnsi="Garamond"/>
          <w:kern w:val="1"/>
          <w:sz w:val="24"/>
          <w:szCs w:val="24"/>
        </w:rPr>
        <w:t>”</w:t>
      </w:r>
      <w:r w:rsidR="006E7C5A" w:rsidRPr="00E004A2">
        <w:rPr>
          <w:rFonts w:ascii="Garamond" w:hAnsi="Garamond"/>
          <w:kern w:val="1"/>
          <w:sz w:val="24"/>
          <w:szCs w:val="24"/>
        </w:rPr>
        <w:t xml:space="preserve"> as the first of a number of techniques for avoiding gender-specific nouns:</w:t>
      </w:r>
    </w:p>
    <w:p w14:paraId="12C7962C" w14:textId="738BF97A" w:rsidR="006E7C5A" w:rsidRPr="00E004A2" w:rsidRDefault="006E7C5A"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kern w:val="1"/>
          <w:sz w:val="24"/>
          <w:szCs w:val="24"/>
        </w:rPr>
        <w:t>1. use the singular “they” and its other grammatical forms (“them”, “themselves” and “their”) to refer to indefinite pronouns and singular nouns.</w:t>
      </w:r>
      <w:r w:rsidR="004971AD">
        <w:rPr>
          <w:rFonts w:ascii="Garamond" w:hAnsi="Garamond"/>
          <w:kern w:val="1"/>
          <w:sz w:val="24"/>
          <w:szCs w:val="24"/>
        </w:rPr>
        <w:t xml:space="preserve"> (Government of Canada Department of Justice, 2015)</w:t>
      </w:r>
    </w:p>
    <w:p w14:paraId="4F53F572" w14:textId="7C4793AC" w:rsidR="00137909" w:rsidRPr="00E004A2" w:rsidRDefault="00182152"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 xml:space="preserve">The OPC’s drafting guidelines on this technique </w:t>
      </w:r>
      <w:r w:rsidR="002516AA" w:rsidRPr="00E004A2">
        <w:rPr>
          <w:rFonts w:ascii="Garamond" w:hAnsi="Garamond"/>
          <w:kern w:val="1"/>
          <w:sz w:val="24"/>
          <w:szCs w:val="24"/>
        </w:rPr>
        <w:t xml:space="preserve">recognise that </w:t>
      </w:r>
      <w:r w:rsidR="00FF7D4B">
        <w:rPr>
          <w:rFonts w:ascii="Garamond" w:hAnsi="Garamond"/>
          <w:kern w:val="1"/>
          <w:sz w:val="24"/>
          <w:szCs w:val="24"/>
        </w:rPr>
        <w:t>“</w:t>
      </w:r>
      <w:r w:rsidR="002516AA" w:rsidRPr="00E004A2">
        <w:rPr>
          <w:rFonts w:ascii="Garamond" w:hAnsi="Garamond"/>
          <w:kern w:val="1"/>
          <w:sz w:val="24"/>
          <w:szCs w:val="24"/>
        </w:rPr>
        <w:t>they” is used in common parlance to refer to a person of either sex in the singular, but also acknowledge that this usage is contested</w:t>
      </w:r>
      <w:r w:rsidR="00685A07" w:rsidRPr="00E004A2">
        <w:rPr>
          <w:rFonts w:ascii="Garamond" w:hAnsi="Garamond"/>
          <w:kern w:val="1"/>
          <w:sz w:val="24"/>
          <w:szCs w:val="24"/>
        </w:rPr>
        <w:t>:</w:t>
      </w:r>
    </w:p>
    <w:p w14:paraId="7764D1F6" w14:textId="374FEF80" w:rsidR="00F96331" w:rsidRPr="00E004A2" w:rsidRDefault="00F96331" w:rsidP="008D3B0C">
      <w:pPr>
        <w:widowControl w:val="0"/>
        <w:tabs>
          <w:tab w:val="left" w:pos="720"/>
          <w:tab w:val="left" w:pos="1440"/>
          <w:tab w:val="left" w:pos="2160"/>
          <w:tab w:val="left" w:pos="2880"/>
          <w:tab w:val="left" w:pos="3600"/>
          <w:tab w:val="left" w:pos="4320"/>
        </w:tabs>
        <w:spacing w:line="480" w:lineRule="auto"/>
        <w:ind w:left="720" w:hanging="720"/>
        <w:rPr>
          <w:rFonts w:ascii="Garamond" w:hAnsi="Garamond"/>
          <w:kern w:val="1"/>
          <w:sz w:val="24"/>
          <w:szCs w:val="24"/>
        </w:rPr>
      </w:pPr>
      <w:r w:rsidRPr="00E004A2">
        <w:rPr>
          <w:rFonts w:ascii="Garamond" w:hAnsi="Garamond"/>
          <w:kern w:val="1"/>
          <w:sz w:val="24"/>
          <w:szCs w:val="24"/>
        </w:rPr>
        <w:tab/>
      </w:r>
      <w:r w:rsidR="00182152" w:rsidRPr="00E004A2">
        <w:rPr>
          <w:rFonts w:ascii="Garamond" w:hAnsi="Garamond"/>
          <w:kern w:val="1"/>
          <w:sz w:val="24"/>
          <w:szCs w:val="24"/>
        </w:rPr>
        <w:t>2.1.16</w:t>
      </w:r>
      <w:r w:rsidR="00182152" w:rsidRPr="00E004A2">
        <w:rPr>
          <w:rFonts w:ascii="Garamond" w:hAnsi="Garamond"/>
          <w:kern w:val="1"/>
          <w:sz w:val="24"/>
          <w:szCs w:val="24"/>
        </w:rPr>
        <w:tab/>
      </w:r>
      <w:r w:rsidR="00182152" w:rsidRPr="00E004A2">
        <w:rPr>
          <w:rFonts w:ascii="Garamond" w:hAnsi="Garamond"/>
          <w:b/>
          <w:kern w:val="1"/>
          <w:sz w:val="24"/>
          <w:szCs w:val="24"/>
        </w:rPr>
        <w:t>They (singular).</w:t>
      </w:r>
      <w:r w:rsidR="00182152" w:rsidRPr="00E004A2">
        <w:rPr>
          <w:rFonts w:ascii="Garamond" w:hAnsi="Garamond"/>
          <w:kern w:val="1"/>
          <w:sz w:val="24"/>
          <w:szCs w:val="24"/>
        </w:rPr>
        <w:t xml:space="preserve"> In common parlance, “they” is often used in relation to a singular antecedent which could refer to a person of either sex.</w:t>
      </w:r>
    </w:p>
    <w:p w14:paraId="7E12F9C0" w14:textId="5469D55C" w:rsidR="00F96331" w:rsidRPr="00E004A2" w:rsidRDefault="00F96331" w:rsidP="0098315D">
      <w:pPr>
        <w:widowControl w:val="0"/>
        <w:tabs>
          <w:tab w:val="left" w:pos="720"/>
          <w:tab w:val="left" w:pos="1440"/>
          <w:tab w:val="left" w:pos="2160"/>
          <w:tab w:val="left" w:pos="2880"/>
          <w:tab w:val="left" w:pos="3600"/>
          <w:tab w:val="left" w:pos="4320"/>
        </w:tabs>
        <w:spacing w:line="480" w:lineRule="auto"/>
        <w:ind w:left="720" w:hanging="720"/>
        <w:rPr>
          <w:rFonts w:ascii="Garamond" w:hAnsi="Garamond"/>
          <w:kern w:val="1"/>
          <w:sz w:val="24"/>
          <w:szCs w:val="24"/>
        </w:rPr>
      </w:pPr>
      <w:r w:rsidRPr="00E004A2">
        <w:rPr>
          <w:rFonts w:ascii="Garamond" w:hAnsi="Garamond"/>
          <w:kern w:val="1"/>
          <w:sz w:val="24"/>
          <w:szCs w:val="24"/>
        </w:rPr>
        <w:tab/>
      </w:r>
      <w:r w:rsidR="00182152" w:rsidRPr="00E004A2">
        <w:rPr>
          <w:rFonts w:ascii="Garamond" w:hAnsi="Garamond"/>
          <w:kern w:val="1"/>
          <w:sz w:val="24"/>
          <w:szCs w:val="24"/>
        </w:rPr>
        <w:t>2.1.17</w:t>
      </w:r>
      <w:r w:rsidR="00182152" w:rsidRPr="00E004A2">
        <w:rPr>
          <w:rFonts w:ascii="Garamond" w:hAnsi="Garamond"/>
          <w:kern w:val="1"/>
          <w:sz w:val="24"/>
          <w:szCs w:val="24"/>
        </w:rPr>
        <w:tab/>
        <w:t>Whether this popular usage is correct or not is perhaps a matter of dispute. OED (2</w:t>
      </w:r>
      <w:r w:rsidR="00182152" w:rsidRPr="00E004A2">
        <w:rPr>
          <w:rFonts w:ascii="Garamond" w:hAnsi="Garamond"/>
          <w:kern w:val="1"/>
          <w:sz w:val="24"/>
          <w:szCs w:val="24"/>
          <w:vertAlign w:val="superscript"/>
        </w:rPr>
        <w:t>nd</w:t>
      </w:r>
      <w:r w:rsidR="00182152" w:rsidRPr="00E004A2">
        <w:rPr>
          <w:rFonts w:ascii="Garamond" w:hAnsi="Garamond"/>
          <w:kern w:val="1"/>
          <w:sz w:val="24"/>
          <w:szCs w:val="24"/>
        </w:rPr>
        <w:t xml:space="preserve"> ed, 1989) records the usage without comment; SOED (5</w:t>
      </w:r>
      <w:r w:rsidR="00182152" w:rsidRPr="00E004A2">
        <w:rPr>
          <w:rFonts w:ascii="Garamond" w:hAnsi="Garamond"/>
          <w:kern w:val="1"/>
          <w:sz w:val="24"/>
          <w:szCs w:val="24"/>
          <w:vertAlign w:val="superscript"/>
        </w:rPr>
        <w:t>th</w:t>
      </w:r>
      <w:r w:rsidR="00182152" w:rsidRPr="00E004A2">
        <w:rPr>
          <w:rFonts w:ascii="Garamond" w:hAnsi="Garamond"/>
          <w:kern w:val="1"/>
          <w:sz w:val="24"/>
          <w:szCs w:val="24"/>
        </w:rPr>
        <w:t xml:space="preserve"> ed, </w:t>
      </w:r>
      <w:r w:rsidRPr="00E004A2">
        <w:rPr>
          <w:rFonts w:ascii="Garamond" w:hAnsi="Garamond"/>
          <w:kern w:val="1"/>
          <w:sz w:val="24"/>
          <w:szCs w:val="24"/>
        </w:rPr>
        <w:t xml:space="preserve">2002) notes “considered </w:t>
      </w:r>
      <w:proofErr w:type="spellStart"/>
      <w:r w:rsidRPr="00E004A2">
        <w:rPr>
          <w:rFonts w:ascii="Garamond" w:hAnsi="Garamond"/>
          <w:kern w:val="1"/>
          <w:sz w:val="24"/>
          <w:szCs w:val="24"/>
        </w:rPr>
        <w:t>erron</w:t>
      </w:r>
      <w:proofErr w:type="spellEnd"/>
      <w:r w:rsidRPr="00E004A2">
        <w:rPr>
          <w:rFonts w:ascii="Garamond" w:hAnsi="Garamond"/>
          <w:kern w:val="1"/>
          <w:sz w:val="24"/>
          <w:szCs w:val="24"/>
        </w:rPr>
        <w:t>. by some”. It is certainly well-precedented in respectable literature over several centuries. In the debate on gender-neutral drafting in the House of Lords in 2013 a number of peers expressed concern about the use of “they” as a singular pronoun.</w:t>
      </w:r>
    </w:p>
    <w:p w14:paraId="390441D9" w14:textId="77777777" w:rsidR="00F96331" w:rsidRPr="00E004A2" w:rsidRDefault="00F96331"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kern w:val="1"/>
          <w:sz w:val="24"/>
          <w:szCs w:val="24"/>
        </w:rPr>
        <w:t>2.1.18 It may be that “they” as a singular pronoun seems more natural in some contexts (for example, where the antecedent is “any person” or “a person”) than in others.</w:t>
      </w:r>
      <w:r w:rsidR="00546B45" w:rsidRPr="00E004A2">
        <w:rPr>
          <w:rFonts w:ascii="Garamond" w:hAnsi="Garamond"/>
          <w:kern w:val="1"/>
          <w:sz w:val="24"/>
          <w:szCs w:val="24"/>
        </w:rPr>
        <w:t xml:space="preserve"> (OPC </w:t>
      </w:r>
      <w:r w:rsidR="00546B45" w:rsidRPr="00E004A2">
        <w:rPr>
          <w:rFonts w:ascii="Garamond" w:hAnsi="Garamond"/>
          <w:kern w:val="1"/>
          <w:sz w:val="24"/>
          <w:szCs w:val="24"/>
        </w:rPr>
        <w:lastRenderedPageBreak/>
        <w:t>2018, 8-9, references omitted)</w:t>
      </w:r>
    </w:p>
    <w:p w14:paraId="1B09E844" w14:textId="77777777" w:rsidR="00E3683A" w:rsidRPr="00E004A2" w:rsidRDefault="002516AA"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In fact, the singular “they” has now been debated twice in Parliament, in 2013 and in 2018</w:t>
      </w:r>
      <w:r w:rsidR="00FF7204" w:rsidRPr="00E004A2">
        <w:rPr>
          <w:rFonts w:ascii="Garamond" w:hAnsi="Garamond"/>
          <w:kern w:val="1"/>
          <w:sz w:val="24"/>
          <w:szCs w:val="24"/>
        </w:rPr>
        <w:t>, evidencing gradually decreasing hostility towards the construction</w:t>
      </w:r>
      <w:r w:rsidRPr="00E004A2">
        <w:rPr>
          <w:rFonts w:ascii="Garamond" w:hAnsi="Garamond"/>
          <w:kern w:val="1"/>
          <w:sz w:val="24"/>
          <w:szCs w:val="24"/>
        </w:rPr>
        <w:t xml:space="preserve">. </w:t>
      </w:r>
      <w:r w:rsidR="00E3683A" w:rsidRPr="00E004A2">
        <w:rPr>
          <w:rFonts w:ascii="Garamond" w:hAnsi="Garamond"/>
          <w:kern w:val="1"/>
          <w:sz w:val="24"/>
          <w:szCs w:val="24"/>
        </w:rPr>
        <w:t xml:space="preserve">In December 2013, </w:t>
      </w:r>
      <w:r w:rsidRPr="00E004A2">
        <w:rPr>
          <w:rFonts w:ascii="Garamond" w:hAnsi="Garamond"/>
          <w:kern w:val="1"/>
          <w:sz w:val="24"/>
          <w:szCs w:val="24"/>
        </w:rPr>
        <w:t xml:space="preserve">Lord Scott of </w:t>
      </w:r>
      <w:proofErr w:type="spellStart"/>
      <w:r w:rsidRPr="00E004A2">
        <w:rPr>
          <w:rFonts w:ascii="Garamond" w:hAnsi="Garamond"/>
          <w:kern w:val="1"/>
          <w:sz w:val="24"/>
          <w:szCs w:val="24"/>
        </w:rPr>
        <w:t>Foscote</w:t>
      </w:r>
      <w:proofErr w:type="spellEnd"/>
      <w:r w:rsidRPr="00E004A2">
        <w:rPr>
          <w:rFonts w:ascii="Garamond" w:hAnsi="Garamond"/>
          <w:kern w:val="1"/>
          <w:sz w:val="24"/>
          <w:szCs w:val="24"/>
        </w:rPr>
        <w:t xml:space="preserve"> submitted a question for short debate in the House of Lords asking the government ‘what guidance they issue to Parliamentary Counsel with regard to the use of gender-neutral language in the drafting of legislation’.</w:t>
      </w:r>
      <w:r w:rsidRPr="00645D9E">
        <w:rPr>
          <w:rStyle w:val="FootnoteReference"/>
        </w:rPr>
        <w:footnoteReference w:id="19"/>
      </w:r>
      <w:r w:rsidRPr="00E004A2">
        <w:rPr>
          <w:rFonts w:ascii="Garamond" w:hAnsi="Garamond"/>
          <w:kern w:val="1"/>
          <w:sz w:val="24"/>
          <w:szCs w:val="24"/>
        </w:rPr>
        <w:t xml:space="preserve"> Having introduced the context of the 2007 ministerial statement and section 6 of the Interpretation Act 1978, Lord Scott then largely turned his attention to the use of the singular “they” i</w:t>
      </w:r>
      <w:r w:rsidR="0084271D" w:rsidRPr="00E004A2">
        <w:rPr>
          <w:rFonts w:ascii="Garamond" w:hAnsi="Garamond"/>
          <w:kern w:val="1"/>
          <w:sz w:val="24"/>
          <w:szCs w:val="24"/>
        </w:rPr>
        <w:t>n legislative drafting</w:t>
      </w:r>
      <w:r w:rsidR="00685A07" w:rsidRPr="00E004A2">
        <w:rPr>
          <w:rFonts w:ascii="Garamond" w:hAnsi="Garamond"/>
          <w:kern w:val="1"/>
          <w:sz w:val="24"/>
          <w:szCs w:val="24"/>
        </w:rPr>
        <w:t xml:space="preserve"> practice</w:t>
      </w:r>
      <w:r w:rsidR="0084271D" w:rsidRPr="00E004A2">
        <w:rPr>
          <w:rFonts w:ascii="Garamond" w:hAnsi="Garamond"/>
          <w:kern w:val="1"/>
          <w:sz w:val="24"/>
          <w:szCs w:val="24"/>
        </w:rPr>
        <w:t>, outlining</w:t>
      </w:r>
      <w:r w:rsidRPr="00E004A2">
        <w:rPr>
          <w:rFonts w:ascii="Garamond" w:hAnsi="Garamond"/>
          <w:kern w:val="1"/>
          <w:sz w:val="24"/>
          <w:szCs w:val="24"/>
        </w:rPr>
        <w:t xml:space="preserve"> a number of examples from primary and secondary legislation and explanatory memoranda</w:t>
      </w:r>
      <w:r w:rsidR="00685A07" w:rsidRPr="00E004A2">
        <w:rPr>
          <w:rFonts w:ascii="Garamond" w:hAnsi="Garamond"/>
          <w:kern w:val="1"/>
          <w:sz w:val="24"/>
          <w:szCs w:val="24"/>
        </w:rPr>
        <w:t>, and describing them</w:t>
      </w:r>
      <w:r w:rsidR="0084271D" w:rsidRPr="00E004A2">
        <w:rPr>
          <w:rFonts w:ascii="Garamond" w:hAnsi="Garamond"/>
          <w:kern w:val="1"/>
          <w:sz w:val="24"/>
          <w:szCs w:val="24"/>
        </w:rPr>
        <w:t xml:space="preserve"> as ‘grammatically inappropriate plural pronouns coupled with references to a single person’</w:t>
      </w:r>
      <w:r w:rsidRPr="00E004A2">
        <w:rPr>
          <w:rFonts w:ascii="Garamond" w:hAnsi="Garamond"/>
          <w:kern w:val="1"/>
          <w:sz w:val="24"/>
          <w:szCs w:val="24"/>
        </w:rPr>
        <w:t>.</w:t>
      </w:r>
      <w:r w:rsidR="0084271D" w:rsidRPr="00645D9E">
        <w:rPr>
          <w:rStyle w:val="FootnoteReference"/>
        </w:rPr>
        <w:footnoteReference w:id="20"/>
      </w:r>
      <w:r w:rsidR="0084271D" w:rsidRPr="00E004A2">
        <w:rPr>
          <w:rFonts w:ascii="Garamond" w:hAnsi="Garamond"/>
          <w:kern w:val="1"/>
          <w:sz w:val="24"/>
          <w:szCs w:val="24"/>
        </w:rPr>
        <w:t xml:space="preserve"> Arguing that primary and secondary legislation should serve as models for the ‘correct use of the English language’</w:t>
      </w:r>
      <w:r w:rsidR="00564D3C" w:rsidRPr="00E004A2">
        <w:rPr>
          <w:rFonts w:ascii="Garamond" w:hAnsi="Garamond"/>
          <w:kern w:val="1"/>
          <w:sz w:val="24"/>
          <w:szCs w:val="24"/>
        </w:rPr>
        <w:t>, he then asserted</w:t>
      </w:r>
      <w:r w:rsidR="0084271D" w:rsidRPr="00E004A2">
        <w:rPr>
          <w:rFonts w:ascii="Garamond" w:hAnsi="Garamond"/>
          <w:kern w:val="1"/>
          <w:sz w:val="24"/>
          <w:szCs w:val="24"/>
        </w:rPr>
        <w:t xml:space="preserve"> that ‘(t)o prostitute the English language in pursuit of some goal of gender equality is, I suggest, unacceptable’.</w:t>
      </w:r>
      <w:r w:rsidR="0084271D" w:rsidRPr="00645D9E">
        <w:rPr>
          <w:rStyle w:val="FootnoteReference"/>
        </w:rPr>
        <w:footnoteReference w:id="21"/>
      </w:r>
      <w:r w:rsidR="00F601A2" w:rsidRPr="00E004A2">
        <w:rPr>
          <w:rFonts w:ascii="Garamond" w:hAnsi="Garamond"/>
          <w:kern w:val="1"/>
          <w:sz w:val="24"/>
          <w:szCs w:val="24"/>
        </w:rPr>
        <w:t xml:space="preserve"> He further argued</w:t>
      </w:r>
      <w:r w:rsidR="00564D3C" w:rsidRPr="00E004A2">
        <w:rPr>
          <w:rFonts w:ascii="Garamond" w:hAnsi="Garamond"/>
          <w:kern w:val="1"/>
          <w:sz w:val="24"/>
          <w:szCs w:val="24"/>
        </w:rPr>
        <w:t xml:space="preserve"> that </w:t>
      </w:r>
      <w:r w:rsidR="00F601A2" w:rsidRPr="00E004A2">
        <w:rPr>
          <w:rFonts w:ascii="Garamond" w:hAnsi="Garamond"/>
          <w:kern w:val="1"/>
          <w:sz w:val="24"/>
          <w:szCs w:val="24"/>
        </w:rPr>
        <w:t xml:space="preserve">using the singular “they” </w:t>
      </w:r>
      <w:r w:rsidR="00564D3C" w:rsidRPr="00E004A2">
        <w:rPr>
          <w:rFonts w:ascii="Garamond" w:hAnsi="Garamond"/>
          <w:kern w:val="1"/>
          <w:sz w:val="24"/>
          <w:szCs w:val="24"/>
        </w:rPr>
        <w:t>was unnecessary in light of section 6 Interpretation Act 1978</w:t>
      </w:r>
      <w:r w:rsidR="00F601A2" w:rsidRPr="00E004A2">
        <w:rPr>
          <w:rFonts w:ascii="Garamond" w:hAnsi="Garamond"/>
          <w:kern w:val="1"/>
          <w:sz w:val="24"/>
          <w:szCs w:val="24"/>
        </w:rPr>
        <w:t xml:space="preserve">. </w:t>
      </w:r>
    </w:p>
    <w:p w14:paraId="66203F0F" w14:textId="46935A53" w:rsidR="009A1007" w:rsidRPr="00E004A2" w:rsidRDefault="00E3683A"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Lord Scott’s speech was followed by a short intervention</w:t>
      </w:r>
      <w:r w:rsidR="00685A07" w:rsidRPr="00E004A2">
        <w:rPr>
          <w:rFonts w:ascii="Garamond" w:hAnsi="Garamond"/>
          <w:kern w:val="1"/>
          <w:sz w:val="24"/>
          <w:szCs w:val="24"/>
        </w:rPr>
        <w:t xml:space="preserve"> by Lord Quirk, not</w:t>
      </w:r>
      <w:r w:rsidR="00842C81" w:rsidRPr="00E004A2">
        <w:rPr>
          <w:rFonts w:ascii="Garamond" w:hAnsi="Garamond"/>
          <w:kern w:val="1"/>
          <w:sz w:val="24"/>
          <w:szCs w:val="24"/>
        </w:rPr>
        <w:t>able in light of his long academic career as a</w:t>
      </w:r>
      <w:r w:rsidR="00685A07" w:rsidRPr="00E004A2">
        <w:rPr>
          <w:rFonts w:ascii="Garamond" w:hAnsi="Garamond"/>
          <w:kern w:val="1"/>
          <w:sz w:val="24"/>
          <w:szCs w:val="24"/>
        </w:rPr>
        <w:t>n internationally renowned</w:t>
      </w:r>
      <w:r w:rsidR="00140CA2" w:rsidRPr="00E004A2">
        <w:rPr>
          <w:rFonts w:ascii="Garamond" w:hAnsi="Garamond"/>
          <w:kern w:val="1"/>
          <w:sz w:val="24"/>
          <w:szCs w:val="24"/>
        </w:rPr>
        <w:t xml:space="preserve"> linguist and the originator and for many years director of</w:t>
      </w:r>
      <w:r w:rsidR="00842C81" w:rsidRPr="00E004A2">
        <w:rPr>
          <w:rFonts w:ascii="Garamond" w:hAnsi="Garamond"/>
          <w:kern w:val="1"/>
          <w:sz w:val="24"/>
          <w:szCs w:val="24"/>
        </w:rPr>
        <w:t xml:space="preserve"> the first international Survey of English Usage</w:t>
      </w:r>
      <w:r w:rsidR="00685A07" w:rsidRPr="00E004A2">
        <w:rPr>
          <w:rFonts w:ascii="Garamond" w:hAnsi="Garamond"/>
          <w:kern w:val="1"/>
          <w:sz w:val="24"/>
          <w:szCs w:val="24"/>
        </w:rPr>
        <w:t xml:space="preserve"> at University College London</w:t>
      </w:r>
      <w:r w:rsidR="00842C81" w:rsidRPr="00E004A2">
        <w:rPr>
          <w:rFonts w:ascii="Garamond" w:hAnsi="Garamond"/>
          <w:kern w:val="1"/>
          <w:sz w:val="24"/>
          <w:szCs w:val="24"/>
        </w:rPr>
        <w:t>.</w:t>
      </w:r>
      <w:r w:rsidR="00685A07" w:rsidRPr="00E004A2">
        <w:rPr>
          <w:rFonts w:ascii="Garamond" w:hAnsi="Garamond"/>
          <w:kern w:val="1"/>
          <w:sz w:val="24"/>
          <w:szCs w:val="24"/>
        </w:rPr>
        <w:t xml:space="preserve"> Lord Quirk’s </w:t>
      </w:r>
      <w:r w:rsidR="00685A07" w:rsidRPr="00E004A2">
        <w:rPr>
          <w:rFonts w:ascii="Garamond" w:hAnsi="Garamond"/>
          <w:i/>
          <w:kern w:val="1"/>
          <w:sz w:val="24"/>
          <w:szCs w:val="24"/>
        </w:rPr>
        <w:t xml:space="preserve">Grammar of Contemporary English </w:t>
      </w:r>
      <w:r w:rsidR="00685A07" w:rsidRPr="00E004A2">
        <w:rPr>
          <w:rFonts w:ascii="Garamond" w:hAnsi="Garamond"/>
          <w:kern w:val="1"/>
          <w:sz w:val="24"/>
          <w:szCs w:val="24"/>
        </w:rPr>
        <w:t xml:space="preserve">(1972, with Geoffrey Leech and Jan </w:t>
      </w:r>
      <w:proofErr w:type="spellStart"/>
      <w:r w:rsidR="00685A07" w:rsidRPr="00E004A2">
        <w:rPr>
          <w:rFonts w:ascii="Garamond" w:hAnsi="Garamond"/>
          <w:kern w:val="1"/>
          <w:sz w:val="24"/>
          <w:szCs w:val="24"/>
        </w:rPr>
        <w:t>Svartvik</w:t>
      </w:r>
      <w:proofErr w:type="spellEnd"/>
      <w:r w:rsidR="00685A07" w:rsidRPr="00E004A2">
        <w:rPr>
          <w:rFonts w:ascii="Garamond" w:hAnsi="Garamond"/>
          <w:kern w:val="1"/>
          <w:sz w:val="24"/>
          <w:szCs w:val="24"/>
        </w:rPr>
        <w:t xml:space="preserve">) and </w:t>
      </w:r>
      <w:r w:rsidR="00685A07" w:rsidRPr="00E004A2">
        <w:rPr>
          <w:rFonts w:ascii="Garamond" w:hAnsi="Garamond"/>
          <w:i/>
          <w:kern w:val="1"/>
          <w:sz w:val="24"/>
          <w:szCs w:val="24"/>
        </w:rPr>
        <w:t xml:space="preserve">Comprehensive Grammar of the English Language </w:t>
      </w:r>
      <w:r w:rsidR="00685A07" w:rsidRPr="00E004A2">
        <w:rPr>
          <w:rFonts w:ascii="Garamond" w:hAnsi="Garamond"/>
          <w:kern w:val="1"/>
          <w:sz w:val="24"/>
          <w:szCs w:val="24"/>
        </w:rPr>
        <w:t xml:space="preserve">(1985, with Leech and </w:t>
      </w:r>
      <w:proofErr w:type="spellStart"/>
      <w:r w:rsidR="00685A07" w:rsidRPr="00E004A2">
        <w:rPr>
          <w:rFonts w:ascii="Garamond" w:hAnsi="Garamond"/>
          <w:kern w:val="1"/>
          <w:sz w:val="24"/>
          <w:szCs w:val="24"/>
        </w:rPr>
        <w:t>Svartvik</w:t>
      </w:r>
      <w:proofErr w:type="spellEnd"/>
      <w:r w:rsidR="00685A07" w:rsidRPr="00E004A2">
        <w:rPr>
          <w:rFonts w:ascii="Garamond" w:hAnsi="Garamond"/>
          <w:kern w:val="1"/>
          <w:sz w:val="24"/>
          <w:szCs w:val="24"/>
        </w:rPr>
        <w:t>)</w:t>
      </w:r>
      <w:r w:rsidR="00535627" w:rsidRPr="00E004A2">
        <w:rPr>
          <w:rFonts w:ascii="Garamond" w:hAnsi="Garamond"/>
          <w:kern w:val="1"/>
          <w:sz w:val="24"/>
          <w:szCs w:val="24"/>
        </w:rPr>
        <w:t xml:space="preserve"> were standard setting reference grammars i</w:t>
      </w:r>
      <w:r w:rsidR="00140CA2" w:rsidRPr="00E004A2">
        <w:rPr>
          <w:rFonts w:ascii="Garamond" w:hAnsi="Garamond"/>
          <w:kern w:val="1"/>
          <w:sz w:val="24"/>
          <w:szCs w:val="24"/>
        </w:rPr>
        <w:t xml:space="preserve">n modern English for many years and he trained or helped train many </w:t>
      </w:r>
      <w:r w:rsidR="00C269BE" w:rsidRPr="00E004A2">
        <w:rPr>
          <w:rFonts w:ascii="Garamond" w:hAnsi="Garamond"/>
          <w:kern w:val="1"/>
          <w:sz w:val="24"/>
          <w:szCs w:val="24"/>
        </w:rPr>
        <w:t>specialists now working</w:t>
      </w:r>
      <w:r w:rsidR="00140CA2" w:rsidRPr="00E004A2">
        <w:rPr>
          <w:rFonts w:ascii="Garamond" w:hAnsi="Garamond"/>
          <w:kern w:val="1"/>
          <w:sz w:val="24"/>
          <w:szCs w:val="24"/>
        </w:rPr>
        <w:t xml:space="preserve"> in the fields of linguistics and corpus linguistics. </w:t>
      </w:r>
      <w:r w:rsidR="00C269BE" w:rsidRPr="00E004A2">
        <w:rPr>
          <w:rFonts w:ascii="Garamond" w:hAnsi="Garamond"/>
          <w:kern w:val="1"/>
          <w:sz w:val="24"/>
          <w:szCs w:val="24"/>
        </w:rPr>
        <w:t>Lord Quirk did not directly criticise the use of the singular “they” in legislation. Instead, he framed this technique as originating in an essenti</w:t>
      </w:r>
      <w:r w:rsidRPr="00E004A2">
        <w:rPr>
          <w:rFonts w:ascii="Garamond" w:hAnsi="Garamond"/>
          <w:kern w:val="1"/>
          <w:sz w:val="24"/>
          <w:szCs w:val="24"/>
        </w:rPr>
        <w:t xml:space="preserve">al grammatical lack in English for which either of two </w:t>
      </w:r>
      <w:r w:rsidR="00C269BE" w:rsidRPr="00E004A2">
        <w:rPr>
          <w:rFonts w:ascii="Garamond" w:hAnsi="Garamond"/>
          <w:kern w:val="1"/>
          <w:sz w:val="24"/>
          <w:szCs w:val="24"/>
        </w:rPr>
        <w:lastRenderedPageBreak/>
        <w:t>fudge</w:t>
      </w:r>
      <w:r w:rsidRPr="00E004A2">
        <w:rPr>
          <w:rFonts w:ascii="Garamond" w:hAnsi="Garamond"/>
          <w:kern w:val="1"/>
          <w:sz w:val="24"/>
          <w:szCs w:val="24"/>
        </w:rPr>
        <w:t>s were</w:t>
      </w:r>
      <w:r w:rsidR="00C269BE" w:rsidRPr="00E004A2">
        <w:rPr>
          <w:rFonts w:ascii="Garamond" w:hAnsi="Garamond"/>
          <w:kern w:val="1"/>
          <w:sz w:val="24"/>
          <w:szCs w:val="24"/>
        </w:rPr>
        <w:t xml:space="preserve"> often used:</w:t>
      </w:r>
      <w:r w:rsidRPr="00E004A2">
        <w:rPr>
          <w:rFonts w:ascii="Garamond" w:hAnsi="Garamond"/>
          <w:kern w:val="1"/>
          <w:sz w:val="24"/>
          <w:szCs w:val="24"/>
        </w:rPr>
        <w:t xml:space="preserve"> the singular “they”, on the one hand, and the universal “he”, on the other:</w:t>
      </w:r>
    </w:p>
    <w:p w14:paraId="7E2011CA" w14:textId="33F4D93F" w:rsidR="00C269BE" w:rsidRPr="00E004A2" w:rsidRDefault="00C269BE"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kern w:val="1"/>
          <w:sz w:val="24"/>
          <w:szCs w:val="24"/>
        </w:rPr>
        <w:t>… i</w:t>
      </w:r>
      <w:r w:rsidRPr="00E004A2">
        <w:rPr>
          <w:rFonts w:ascii="Garamond" w:eastAsia="Times New Roman" w:hAnsi="Garamond" w:cs="Times New Roman"/>
          <w:sz w:val="24"/>
          <w:szCs w:val="24"/>
        </w:rPr>
        <w:t>n grammar, like many other languages, English lacks an epicene third person pronoun that can have anaphoric reference to an ungendered antecedent</w:t>
      </w:r>
      <w:r w:rsidR="00372903">
        <w:rPr>
          <w:rFonts w:ascii="Garamond" w:eastAsia="Times New Roman" w:hAnsi="Garamond" w:cs="Times New Roman"/>
          <w:sz w:val="24"/>
          <w:szCs w:val="24"/>
        </w:rPr>
        <w:t xml:space="preserve"> </w:t>
      </w:r>
      <w:r w:rsidR="002F3B89">
        <w:rPr>
          <w:rFonts w:ascii="Garamond" w:eastAsia="Times New Roman" w:hAnsi="Garamond" w:cs="Times New Roman"/>
          <w:sz w:val="24"/>
          <w:szCs w:val="24"/>
        </w:rPr>
        <w:t>–</w:t>
      </w:r>
      <w:r w:rsidR="00372903">
        <w:rPr>
          <w:rFonts w:ascii="Garamond" w:eastAsia="Times New Roman" w:hAnsi="Garamond" w:cs="Times New Roman"/>
          <w:sz w:val="24"/>
          <w:szCs w:val="24"/>
        </w:rPr>
        <w:t xml:space="preserve"> </w:t>
      </w:r>
      <w:r w:rsidRPr="00E004A2">
        <w:rPr>
          <w:rFonts w:ascii="Garamond" w:eastAsia="Times New Roman" w:hAnsi="Garamond" w:cs="Times New Roman"/>
          <w:sz w:val="24"/>
          <w:szCs w:val="24"/>
        </w:rPr>
        <w:t>that is putting it in plain language. For literally hundreds of years, we have vacillated between solutions that partly fit the bill, especially “he”, which is third person and singular but not, of course, epicene, and “they”, which is third person and epicene but not, of course, singular.</w:t>
      </w:r>
      <w:r w:rsidRPr="00645D9E">
        <w:rPr>
          <w:rStyle w:val="FootnoteReference"/>
        </w:rPr>
        <w:footnoteReference w:id="22"/>
      </w:r>
    </w:p>
    <w:p w14:paraId="485AFBAC" w14:textId="231839FB" w:rsidR="002516AA" w:rsidRPr="00E004A2" w:rsidRDefault="00C269BE"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Lord Quirk</w:t>
      </w:r>
      <w:r w:rsidR="006C41D7" w:rsidRPr="00E004A2">
        <w:rPr>
          <w:rFonts w:ascii="Garamond" w:hAnsi="Garamond"/>
          <w:kern w:val="1"/>
          <w:sz w:val="24"/>
          <w:szCs w:val="24"/>
        </w:rPr>
        <w:t xml:space="preserve">’s </w:t>
      </w:r>
      <w:r w:rsidR="00E3683A" w:rsidRPr="00E004A2">
        <w:rPr>
          <w:rFonts w:ascii="Garamond" w:hAnsi="Garamond"/>
          <w:kern w:val="1"/>
          <w:sz w:val="24"/>
          <w:szCs w:val="24"/>
        </w:rPr>
        <w:t>intervention put the use of the singu</w:t>
      </w:r>
      <w:r w:rsidR="00FF7204" w:rsidRPr="00E004A2">
        <w:rPr>
          <w:rFonts w:ascii="Garamond" w:hAnsi="Garamond"/>
          <w:kern w:val="1"/>
          <w:sz w:val="24"/>
          <w:szCs w:val="24"/>
        </w:rPr>
        <w:t xml:space="preserve">lar “they” on equivalent footing to </w:t>
      </w:r>
      <w:r w:rsidR="00327950" w:rsidRPr="00E004A2">
        <w:rPr>
          <w:rFonts w:ascii="Garamond" w:hAnsi="Garamond"/>
          <w:kern w:val="1"/>
          <w:sz w:val="24"/>
          <w:szCs w:val="24"/>
        </w:rPr>
        <w:t xml:space="preserve">the use </w:t>
      </w:r>
      <w:r w:rsidR="000458F3" w:rsidRPr="00E004A2">
        <w:rPr>
          <w:rFonts w:ascii="Garamond" w:hAnsi="Garamond"/>
          <w:kern w:val="1"/>
          <w:sz w:val="24"/>
          <w:szCs w:val="24"/>
        </w:rPr>
        <w:t xml:space="preserve">of the universal “he”, </w:t>
      </w:r>
      <w:r w:rsidR="00327950" w:rsidRPr="00E004A2">
        <w:rPr>
          <w:rFonts w:ascii="Garamond" w:hAnsi="Garamond"/>
          <w:kern w:val="1"/>
          <w:sz w:val="24"/>
          <w:szCs w:val="24"/>
        </w:rPr>
        <w:t xml:space="preserve">positioning the latter as just as much of a problem, grammatically, as the former. He </w:t>
      </w:r>
      <w:r w:rsidRPr="00E004A2">
        <w:rPr>
          <w:rFonts w:ascii="Garamond" w:hAnsi="Garamond"/>
          <w:kern w:val="1"/>
          <w:sz w:val="24"/>
          <w:szCs w:val="24"/>
        </w:rPr>
        <w:t xml:space="preserve">managed to acknowledge his colleagues’ fear of “they” ‘creeping into legislation’ whilst also performing the equivalent of a polite linguist’s shrug of the shoulders: what can you do if you lack the grammatical tools? </w:t>
      </w:r>
      <w:r w:rsidR="00327950" w:rsidRPr="00E004A2">
        <w:rPr>
          <w:rFonts w:ascii="Garamond" w:hAnsi="Garamond"/>
          <w:kern w:val="1"/>
          <w:sz w:val="24"/>
          <w:szCs w:val="24"/>
        </w:rPr>
        <w:t>And h</w:t>
      </w:r>
      <w:r w:rsidRPr="00E004A2">
        <w:rPr>
          <w:rFonts w:ascii="Garamond" w:hAnsi="Garamond"/>
          <w:kern w:val="1"/>
          <w:sz w:val="24"/>
          <w:szCs w:val="24"/>
        </w:rPr>
        <w:t>is reference to the practice of using the singular “they” as having existed ove</w:t>
      </w:r>
      <w:r w:rsidR="00A04809" w:rsidRPr="00E004A2">
        <w:rPr>
          <w:rFonts w:ascii="Garamond" w:hAnsi="Garamond"/>
          <w:kern w:val="1"/>
          <w:sz w:val="24"/>
          <w:szCs w:val="24"/>
        </w:rPr>
        <w:t xml:space="preserve">r ‘hundreds of years’ positioned </w:t>
      </w:r>
      <w:r w:rsidRPr="00E004A2">
        <w:rPr>
          <w:rFonts w:ascii="Garamond" w:hAnsi="Garamond"/>
          <w:kern w:val="1"/>
          <w:sz w:val="24"/>
          <w:szCs w:val="24"/>
        </w:rPr>
        <w:t>drafters’ use of the technique within a much longer time frame than possibly understood by Lord Scott and others.</w:t>
      </w:r>
      <w:r w:rsidR="00E3683A" w:rsidRPr="00E004A2">
        <w:rPr>
          <w:rFonts w:ascii="Garamond" w:hAnsi="Garamond"/>
          <w:kern w:val="1"/>
          <w:sz w:val="24"/>
          <w:szCs w:val="24"/>
        </w:rPr>
        <w:t xml:space="preserve"> Lord Quirk finished his remarks by </w:t>
      </w:r>
      <w:r w:rsidR="00327950" w:rsidRPr="00E004A2">
        <w:rPr>
          <w:rFonts w:ascii="Garamond" w:hAnsi="Garamond"/>
          <w:kern w:val="1"/>
          <w:sz w:val="24"/>
          <w:szCs w:val="24"/>
        </w:rPr>
        <w:t xml:space="preserve">directly </w:t>
      </w:r>
      <w:r w:rsidR="00E3683A" w:rsidRPr="00E004A2">
        <w:rPr>
          <w:rFonts w:ascii="Garamond" w:hAnsi="Garamond"/>
          <w:kern w:val="1"/>
          <w:sz w:val="24"/>
          <w:szCs w:val="24"/>
        </w:rPr>
        <w:t>critiquing section 6 of the Interpretation Act on the basis that deeming the masculine to include the feminine had been shown by ‘convincing psycholinguistic experiments’ to create images of men as the legal subjects.</w:t>
      </w:r>
      <w:r w:rsidR="00E3683A" w:rsidRPr="00645D9E">
        <w:rPr>
          <w:rStyle w:val="FootnoteReference"/>
        </w:rPr>
        <w:footnoteReference w:id="23"/>
      </w:r>
      <w:r w:rsidR="00327950" w:rsidRPr="00E004A2">
        <w:rPr>
          <w:rFonts w:ascii="Garamond" w:hAnsi="Garamond"/>
          <w:kern w:val="1"/>
          <w:sz w:val="24"/>
          <w:szCs w:val="24"/>
        </w:rPr>
        <w:t xml:space="preserve"> During the remainder of the debate, Lord Kennedy of Southwark</w:t>
      </w:r>
      <w:r w:rsidR="0060790F">
        <w:rPr>
          <w:rFonts w:ascii="Garamond" w:hAnsi="Garamond"/>
          <w:kern w:val="1"/>
          <w:sz w:val="24"/>
          <w:szCs w:val="24"/>
        </w:rPr>
        <w:t xml:space="preserve"> </w:t>
      </w:r>
      <w:r w:rsidR="00F601A2" w:rsidRPr="00E004A2">
        <w:rPr>
          <w:rFonts w:ascii="Garamond" w:hAnsi="Garamond"/>
          <w:kern w:val="1"/>
          <w:sz w:val="24"/>
          <w:szCs w:val="24"/>
        </w:rPr>
        <w:t>referred to the evolution of the English language which, he asserted, ‘is not a stand-alone, stand-still language,’ but which is ‘developing and shaping us into who we are today’.</w:t>
      </w:r>
      <w:r w:rsidR="00F601A2" w:rsidRPr="00645D9E">
        <w:rPr>
          <w:rStyle w:val="FootnoteReference"/>
        </w:rPr>
        <w:footnoteReference w:id="24"/>
      </w:r>
      <w:r w:rsidR="00327950" w:rsidRPr="00E004A2">
        <w:rPr>
          <w:rFonts w:ascii="Garamond" w:hAnsi="Garamond"/>
          <w:kern w:val="1"/>
          <w:sz w:val="24"/>
          <w:szCs w:val="24"/>
        </w:rPr>
        <w:t xml:space="preserve"> Finally, Lord Gardiner of Kimble, in formally responding to the question, acknowledged the risks of using the singular “they” but stated that it ‘reflects common usage … </w:t>
      </w:r>
      <w:r w:rsidR="00327950" w:rsidRPr="00E004A2">
        <w:rPr>
          <w:rFonts w:ascii="Garamond" w:hAnsi="Garamond"/>
          <w:kern w:val="1"/>
          <w:sz w:val="24"/>
          <w:szCs w:val="24"/>
        </w:rPr>
        <w:lastRenderedPageBreak/>
        <w:t>and is well precedented in literature over the centuries’.</w:t>
      </w:r>
      <w:r w:rsidR="00327950" w:rsidRPr="00645D9E">
        <w:rPr>
          <w:rStyle w:val="FootnoteReference"/>
        </w:rPr>
        <w:footnoteReference w:id="25"/>
      </w:r>
    </w:p>
    <w:p w14:paraId="6575C31C" w14:textId="622E9C42" w:rsidR="009665D5" w:rsidRPr="00E004A2" w:rsidRDefault="00A04809"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r>
      <w:r w:rsidR="000458F3" w:rsidRPr="00E004A2">
        <w:rPr>
          <w:rFonts w:ascii="Garamond" w:hAnsi="Garamond"/>
          <w:kern w:val="1"/>
          <w:sz w:val="24"/>
          <w:szCs w:val="24"/>
        </w:rPr>
        <w:t>The 2013 debate did enough to raise concerns about the use of gender</w:t>
      </w:r>
      <w:r w:rsidR="001D532C" w:rsidRPr="00E004A2">
        <w:rPr>
          <w:rFonts w:ascii="Garamond" w:hAnsi="Garamond"/>
          <w:kern w:val="1"/>
          <w:sz w:val="24"/>
          <w:szCs w:val="24"/>
        </w:rPr>
        <w:t>-</w:t>
      </w:r>
      <w:r w:rsidR="000458F3" w:rsidRPr="00E004A2">
        <w:rPr>
          <w:rFonts w:ascii="Garamond" w:hAnsi="Garamond"/>
          <w:kern w:val="1"/>
          <w:sz w:val="24"/>
          <w:szCs w:val="24"/>
        </w:rPr>
        <w:t xml:space="preserve">neutral drafting techniques such as the singular “they” but never had the scope to settle any of these concerns. </w:t>
      </w:r>
      <w:r w:rsidR="009665D5" w:rsidRPr="00E004A2">
        <w:rPr>
          <w:rFonts w:ascii="Garamond" w:hAnsi="Garamond"/>
          <w:kern w:val="1"/>
          <w:sz w:val="24"/>
          <w:szCs w:val="24"/>
        </w:rPr>
        <w:t>Essentially, the debate</w:t>
      </w:r>
      <w:r w:rsidR="000458F3" w:rsidRPr="00E004A2">
        <w:rPr>
          <w:rFonts w:ascii="Garamond" w:hAnsi="Garamond"/>
          <w:kern w:val="1"/>
          <w:sz w:val="24"/>
          <w:szCs w:val="24"/>
        </w:rPr>
        <w:t xml:space="preserve"> seems to </w:t>
      </w:r>
      <w:r w:rsidR="006A620C" w:rsidRPr="00E004A2">
        <w:rPr>
          <w:rFonts w:ascii="Garamond" w:hAnsi="Garamond"/>
          <w:kern w:val="1"/>
          <w:sz w:val="24"/>
          <w:szCs w:val="24"/>
        </w:rPr>
        <w:t>have</w:t>
      </w:r>
      <w:r w:rsidR="00FF7204" w:rsidRPr="00E004A2">
        <w:rPr>
          <w:rFonts w:ascii="Garamond" w:hAnsi="Garamond"/>
          <w:kern w:val="1"/>
          <w:sz w:val="24"/>
          <w:szCs w:val="24"/>
        </w:rPr>
        <w:t xml:space="preserve"> spooked drafte</w:t>
      </w:r>
      <w:r w:rsidR="009665D5" w:rsidRPr="00E004A2">
        <w:rPr>
          <w:rFonts w:ascii="Garamond" w:hAnsi="Garamond"/>
          <w:kern w:val="1"/>
          <w:sz w:val="24"/>
          <w:szCs w:val="24"/>
        </w:rPr>
        <w:t>rs in the OPC, leading to the insertion of wording into the 2014 version of the OPC Drafting Guidance recommending its avoidance.</w:t>
      </w:r>
      <w:r w:rsidR="009665D5" w:rsidRPr="00645D9E">
        <w:rPr>
          <w:rStyle w:val="FootnoteReference"/>
        </w:rPr>
        <w:footnoteReference w:id="26"/>
      </w:r>
      <w:r w:rsidR="006A620C" w:rsidRPr="00E004A2">
        <w:rPr>
          <w:rFonts w:ascii="Garamond" w:hAnsi="Garamond"/>
          <w:kern w:val="1"/>
          <w:sz w:val="24"/>
          <w:szCs w:val="24"/>
        </w:rPr>
        <w:t xml:space="preserve"> </w:t>
      </w:r>
      <w:r w:rsidR="00DC2A17" w:rsidRPr="00E004A2">
        <w:rPr>
          <w:rFonts w:ascii="Garamond" w:hAnsi="Garamond"/>
          <w:kern w:val="1"/>
          <w:sz w:val="24"/>
          <w:szCs w:val="24"/>
        </w:rPr>
        <w:t xml:space="preserve">Yet </w:t>
      </w:r>
      <w:r w:rsidR="006A620C" w:rsidRPr="00E004A2">
        <w:rPr>
          <w:rFonts w:ascii="Garamond" w:hAnsi="Garamond"/>
          <w:kern w:val="1"/>
          <w:sz w:val="24"/>
          <w:szCs w:val="24"/>
        </w:rPr>
        <w:t xml:space="preserve">drafters seem to be continuously assessing the use of this construction, to the extent that </w:t>
      </w:r>
      <w:r w:rsidR="003A7D28">
        <w:rPr>
          <w:rFonts w:ascii="Garamond" w:hAnsi="Garamond"/>
          <w:kern w:val="1"/>
          <w:sz w:val="24"/>
          <w:szCs w:val="24"/>
        </w:rPr>
        <w:t xml:space="preserve">by the time of </w:t>
      </w:r>
      <w:r w:rsidR="007D78B5">
        <w:rPr>
          <w:rFonts w:ascii="Garamond" w:hAnsi="Garamond"/>
          <w:kern w:val="1"/>
          <w:sz w:val="24"/>
          <w:szCs w:val="24"/>
        </w:rPr>
        <w:t xml:space="preserve">a later debate in </w:t>
      </w:r>
      <w:r w:rsidR="003A7D28">
        <w:rPr>
          <w:rFonts w:ascii="Garamond" w:hAnsi="Garamond"/>
          <w:kern w:val="1"/>
          <w:sz w:val="24"/>
          <w:szCs w:val="24"/>
        </w:rPr>
        <w:t>2018, drafters had already</w:t>
      </w:r>
      <w:r w:rsidR="00A273E9">
        <w:rPr>
          <w:rFonts w:ascii="Garamond" w:hAnsi="Garamond"/>
          <w:kern w:val="1"/>
          <w:sz w:val="24"/>
          <w:szCs w:val="24"/>
        </w:rPr>
        <w:t xml:space="preserve"> re-assessed the use of the singular “they”</w:t>
      </w:r>
      <w:r w:rsidR="006A620C" w:rsidRPr="00E004A2">
        <w:rPr>
          <w:rFonts w:ascii="Garamond" w:hAnsi="Garamond"/>
          <w:kern w:val="1"/>
          <w:sz w:val="24"/>
          <w:szCs w:val="24"/>
        </w:rPr>
        <w:t>:</w:t>
      </w:r>
    </w:p>
    <w:p w14:paraId="107C2FDE" w14:textId="17CCEC35" w:rsidR="006A620C" w:rsidRPr="00E004A2" w:rsidRDefault="00C67001" w:rsidP="0098315D">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color w:val="000000"/>
          <w:sz w:val="24"/>
          <w:szCs w:val="24"/>
        </w:rPr>
        <w:t xml:space="preserve">… there was the political context. We were </w:t>
      </w:r>
      <w:r w:rsidR="00BC77AC" w:rsidRPr="00E004A2">
        <w:rPr>
          <w:rFonts w:ascii="Garamond" w:hAnsi="Garamond"/>
          <w:color w:val="000000"/>
          <w:sz w:val="24"/>
          <w:szCs w:val="24"/>
        </w:rPr>
        <w:t xml:space="preserve">… </w:t>
      </w:r>
      <w:r w:rsidRPr="00E004A2">
        <w:rPr>
          <w:rFonts w:ascii="Garamond" w:hAnsi="Garamond"/>
          <w:color w:val="000000"/>
          <w:sz w:val="24"/>
          <w:szCs w:val="24"/>
        </w:rPr>
        <w:t xml:space="preserve">gently encouraging people not to </w:t>
      </w:r>
      <w:r w:rsidR="00577078">
        <w:rPr>
          <w:rFonts w:ascii="Garamond" w:hAnsi="Garamond"/>
          <w:color w:val="000000"/>
          <w:sz w:val="24"/>
          <w:szCs w:val="24"/>
        </w:rPr>
        <w:t xml:space="preserve">the singular “they” </w:t>
      </w:r>
      <w:r w:rsidRPr="00E004A2">
        <w:rPr>
          <w:rFonts w:ascii="Garamond" w:hAnsi="Garamond"/>
          <w:color w:val="000000"/>
          <w:sz w:val="24"/>
          <w:szCs w:val="24"/>
        </w:rPr>
        <w:t xml:space="preserve">because of debates in the House of Lords. Then we reviewed it again more recently and thought that </w:t>
      </w:r>
      <w:r w:rsidR="00577078">
        <w:rPr>
          <w:rFonts w:ascii="Garamond" w:hAnsi="Garamond"/>
          <w:color w:val="000000"/>
          <w:sz w:val="24"/>
          <w:szCs w:val="24"/>
        </w:rPr>
        <w:t>things had moved on</w:t>
      </w:r>
      <w:r w:rsidRPr="00E004A2">
        <w:rPr>
          <w:rFonts w:ascii="Garamond" w:hAnsi="Garamond"/>
          <w:color w:val="000000"/>
          <w:sz w:val="24"/>
          <w:szCs w:val="24"/>
        </w:rPr>
        <w:t>. I</w:t>
      </w:r>
      <w:r w:rsidR="00577078">
        <w:rPr>
          <w:rFonts w:ascii="Garamond" w:hAnsi="Garamond"/>
          <w:color w:val="000000"/>
          <w:sz w:val="24"/>
          <w:szCs w:val="24"/>
        </w:rPr>
        <w:t>n</w:t>
      </w:r>
      <w:r w:rsidRPr="00E004A2">
        <w:rPr>
          <w:rFonts w:ascii="Garamond" w:hAnsi="Garamond"/>
          <w:color w:val="000000"/>
          <w:sz w:val="24"/>
          <w:szCs w:val="24"/>
        </w:rPr>
        <w:t xml:space="preserve"> the more recent debate, which came shortly after we changed </w:t>
      </w:r>
      <w:r w:rsidR="00577078">
        <w:rPr>
          <w:rFonts w:ascii="Garamond" w:hAnsi="Garamond"/>
          <w:color w:val="000000"/>
          <w:sz w:val="24"/>
          <w:szCs w:val="24"/>
        </w:rPr>
        <w:t>our guidance</w:t>
      </w:r>
      <w:r w:rsidRPr="00E004A2">
        <w:rPr>
          <w:rFonts w:ascii="Garamond" w:hAnsi="Garamond"/>
          <w:color w:val="000000"/>
          <w:sz w:val="24"/>
          <w:szCs w:val="24"/>
        </w:rPr>
        <w:t xml:space="preserve">, but wasn't linked to our guidance, I don't think anybody objected to </w:t>
      </w:r>
      <w:r w:rsidR="001F65D6">
        <w:rPr>
          <w:rFonts w:ascii="Garamond" w:hAnsi="Garamond"/>
          <w:color w:val="000000"/>
          <w:sz w:val="24"/>
          <w:szCs w:val="24"/>
        </w:rPr>
        <w:t>the use of the singular “they”</w:t>
      </w:r>
      <w:r w:rsidRPr="00E004A2">
        <w:rPr>
          <w:rFonts w:ascii="Garamond" w:hAnsi="Garamond"/>
          <w:color w:val="000000"/>
          <w:sz w:val="24"/>
          <w:szCs w:val="24"/>
        </w:rPr>
        <w:t xml:space="preserve"> on grammatical grounds. (Interview with legislative drafter</w:t>
      </w:r>
      <w:r w:rsidR="008F1AF3" w:rsidRPr="00E004A2">
        <w:rPr>
          <w:rFonts w:ascii="Garamond" w:hAnsi="Garamond"/>
          <w:color w:val="000000"/>
          <w:sz w:val="24"/>
          <w:szCs w:val="24"/>
        </w:rPr>
        <w:t>s</w:t>
      </w:r>
      <w:r w:rsidRPr="00E004A2">
        <w:rPr>
          <w:rFonts w:ascii="Garamond" w:hAnsi="Garamond"/>
          <w:color w:val="000000"/>
          <w:sz w:val="24"/>
          <w:szCs w:val="24"/>
        </w:rPr>
        <w:t>, 2019)</w:t>
      </w:r>
    </w:p>
    <w:p w14:paraId="07450F53" w14:textId="5BEEA971" w:rsidR="00A04809" w:rsidRPr="00E004A2" w:rsidRDefault="00A04809"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The 2018 debate centred much more explicitly</w:t>
      </w:r>
      <w:r w:rsidR="000458F3" w:rsidRPr="00E004A2">
        <w:rPr>
          <w:rFonts w:ascii="Garamond" w:hAnsi="Garamond"/>
          <w:kern w:val="1"/>
          <w:sz w:val="24"/>
          <w:szCs w:val="24"/>
        </w:rPr>
        <w:t xml:space="preserve"> from the outset</w:t>
      </w:r>
      <w:r w:rsidRPr="00E004A2">
        <w:rPr>
          <w:rFonts w:ascii="Garamond" w:hAnsi="Garamond"/>
          <w:kern w:val="1"/>
          <w:sz w:val="24"/>
          <w:szCs w:val="24"/>
        </w:rPr>
        <w:t xml:space="preserve"> on the use of the singular “they” but evidenced a qualitatively different attitude to the issue amongst peers. </w:t>
      </w:r>
      <w:r w:rsidR="00D9086A" w:rsidRPr="00E004A2">
        <w:rPr>
          <w:rFonts w:ascii="Garamond" w:hAnsi="Garamond"/>
          <w:kern w:val="1"/>
          <w:sz w:val="24"/>
          <w:szCs w:val="24"/>
        </w:rPr>
        <w:t>Notably, this debate took place shortly before the launch of a consultation</w:t>
      </w:r>
      <w:r w:rsidR="00864F8F">
        <w:rPr>
          <w:rFonts w:ascii="Garamond" w:hAnsi="Garamond"/>
          <w:kern w:val="1"/>
          <w:sz w:val="24"/>
          <w:szCs w:val="24"/>
        </w:rPr>
        <w:t xml:space="preserve"> on</w:t>
      </w:r>
      <w:r w:rsidR="00D9086A" w:rsidRPr="00E004A2">
        <w:rPr>
          <w:rFonts w:ascii="Garamond" w:hAnsi="Garamond"/>
          <w:kern w:val="1"/>
          <w:sz w:val="24"/>
          <w:szCs w:val="24"/>
        </w:rPr>
        <w:t xml:space="preserve"> the Gender Recognition Act 2004 and just after the national LGBT survey, which received over 108,000 responses, of which 6.9% were from non-binary people, 3.5% were from trans women, 2.9% were from trans men, and 2% were from intersex people</w:t>
      </w:r>
      <w:r w:rsidR="006838F5">
        <w:rPr>
          <w:rFonts w:ascii="Garamond" w:hAnsi="Garamond"/>
          <w:kern w:val="1"/>
          <w:sz w:val="24"/>
          <w:szCs w:val="24"/>
        </w:rPr>
        <w:t xml:space="preserve"> (see further Government Equalities Office, 2019)</w:t>
      </w:r>
      <w:r w:rsidR="00D9086A" w:rsidRPr="00E004A2">
        <w:rPr>
          <w:rFonts w:ascii="Garamond" w:hAnsi="Garamond"/>
          <w:kern w:val="1"/>
          <w:sz w:val="24"/>
          <w:szCs w:val="24"/>
        </w:rPr>
        <w:t xml:space="preserve">. </w:t>
      </w:r>
      <w:r w:rsidRPr="00E004A2">
        <w:rPr>
          <w:rFonts w:ascii="Garamond" w:hAnsi="Garamond"/>
          <w:kern w:val="1"/>
          <w:sz w:val="24"/>
          <w:szCs w:val="24"/>
        </w:rPr>
        <w:t>Lord Lucas asked the Government whether</w:t>
      </w:r>
      <w:r w:rsidR="00D9086A" w:rsidRPr="00E004A2">
        <w:rPr>
          <w:rFonts w:ascii="Garamond" w:hAnsi="Garamond"/>
          <w:kern w:val="1"/>
          <w:sz w:val="24"/>
          <w:szCs w:val="24"/>
        </w:rPr>
        <w:t xml:space="preserve"> they would </w:t>
      </w:r>
      <w:r w:rsidRPr="00E004A2">
        <w:rPr>
          <w:rFonts w:ascii="Garamond" w:hAnsi="Garamond"/>
          <w:kern w:val="1"/>
          <w:sz w:val="24"/>
          <w:szCs w:val="24"/>
        </w:rPr>
        <w:t xml:space="preserve"> </w:t>
      </w:r>
      <w:r w:rsidR="00D9086A" w:rsidRPr="00E004A2">
        <w:rPr>
          <w:rFonts w:ascii="Garamond" w:hAnsi="Garamond"/>
          <w:kern w:val="1"/>
          <w:sz w:val="24"/>
          <w:szCs w:val="24"/>
        </w:rPr>
        <w:t>‘</w:t>
      </w:r>
      <w:r w:rsidRPr="00E004A2">
        <w:rPr>
          <w:rFonts w:ascii="Garamond" w:hAnsi="Garamond"/>
          <w:kern w:val="1"/>
          <w:sz w:val="24"/>
          <w:szCs w:val="24"/>
        </w:rPr>
        <w:t>adopt the use of “they” as the singular pronoun in all future legislation in preference to gendered pronouns’.</w:t>
      </w:r>
      <w:r w:rsidRPr="00645D9E">
        <w:rPr>
          <w:rStyle w:val="FootnoteReference"/>
        </w:rPr>
        <w:footnoteReference w:id="27"/>
      </w:r>
      <w:r w:rsidRPr="00E004A2">
        <w:rPr>
          <w:rFonts w:ascii="Garamond" w:hAnsi="Garamond"/>
          <w:kern w:val="1"/>
          <w:sz w:val="24"/>
          <w:szCs w:val="24"/>
        </w:rPr>
        <w:t xml:space="preserve"> </w:t>
      </w:r>
      <w:r w:rsidR="005C7ABB" w:rsidRPr="00E004A2">
        <w:rPr>
          <w:rFonts w:ascii="Garamond" w:hAnsi="Garamond"/>
          <w:kern w:val="1"/>
          <w:sz w:val="24"/>
          <w:szCs w:val="24"/>
        </w:rPr>
        <w:t xml:space="preserve">He described the OPC drafting guidance as a </w:t>
      </w:r>
      <w:r w:rsidR="005C7ABB" w:rsidRPr="00E004A2">
        <w:rPr>
          <w:rFonts w:ascii="Garamond" w:hAnsi="Garamond"/>
          <w:kern w:val="1"/>
          <w:sz w:val="24"/>
          <w:szCs w:val="24"/>
        </w:rPr>
        <w:lastRenderedPageBreak/>
        <w:t>“halfway house” and asked whether the ‘whole aspect of gender in legislation and public practice’ should not be reviewed given the upcoming review of the Gender Recognition Act.</w:t>
      </w:r>
      <w:r w:rsidR="005C7ABB" w:rsidRPr="00645D9E">
        <w:rPr>
          <w:rStyle w:val="FootnoteReference"/>
        </w:rPr>
        <w:footnoteReference w:id="28"/>
      </w:r>
      <w:r w:rsidR="005B5030">
        <w:rPr>
          <w:rFonts w:ascii="Garamond" w:hAnsi="Garamond"/>
          <w:kern w:val="1"/>
          <w:sz w:val="24"/>
          <w:szCs w:val="24"/>
        </w:rPr>
        <w:t xml:space="preserve"> Baroness Lister of </w:t>
      </w:r>
      <w:proofErr w:type="spellStart"/>
      <w:r w:rsidR="005B5030">
        <w:rPr>
          <w:rFonts w:ascii="Garamond" w:hAnsi="Garamond"/>
          <w:kern w:val="1"/>
          <w:sz w:val="24"/>
          <w:szCs w:val="24"/>
        </w:rPr>
        <w:t>Burtersett</w:t>
      </w:r>
      <w:proofErr w:type="spellEnd"/>
      <w:r w:rsidR="009665D5" w:rsidRPr="00E004A2">
        <w:rPr>
          <w:rFonts w:ascii="Garamond" w:hAnsi="Garamond"/>
          <w:kern w:val="1"/>
          <w:sz w:val="24"/>
          <w:szCs w:val="24"/>
        </w:rPr>
        <w:t xml:space="preserve"> </w:t>
      </w:r>
      <w:r w:rsidR="005C7ABB" w:rsidRPr="00E004A2">
        <w:rPr>
          <w:rFonts w:ascii="Garamond" w:hAnsi="Garamond"/>
          <w:kern w:val="1"/>
          <w:sz w:val="24"/>
          <w:szCs w:val="24"/>
        </w:rPr>
        <w:t>shortly after followed up on the point, asking why using the singular “they” would be a ‘step too far’.</w:t>
      </w:r>
      <w:r w:rsidR="005C7ABB" w:rsidRPr="00645D9E">
        <w:rPr>
          <w:rStyle w:val="FootnoteReference"/>
        </w:rPr>
        <w:footnoteReference w:id="29"/>
      </w:r>
      <w:r w:rsidR="005C7ABB" w:rsidRPr="00E004A2">
        <w:rPr>
          <w:rFonts w:ascii="Garamond" w:hAnsi="Garamond"/>
          <w:kern w:val="1"/>
          <w:sz w:val="24"/>
          <w:szCs w:val="24"/>
        </w:rPr>
        <w:t xml:space="preserve"> Lord Young of </w:t>
      </w:r>
      <w:proofErr w:type="spellStart"/>
      <w:r w:rsidR="005C7ABB" w:rsidRPr="00E004A2">
        <w:rPr>
          <w:rFonts w:ascii="Garamond" w:hAnsi="Garamond"/>
          <w:kern w:val="1"/>
          <w:sz w:val="24"/>
          <w:szCs w:val="24"/>
        </w:rPr>
        <w:t>Cookham</w:t>
      </w:r>
      <w:proofErr w:type="spellEnd"/>
      <w:r w:rsidR="005C7ABB" w:rsidRPr="00E004A2">
        <w:rPr>
          <w:rFonts w:ascii="Garamond" w:hAnsi="Garamond"/>
          <w:kern w:val="1"/>
          <w:sz w:val="24"/>
          <w:szCs w:val="24"/>
        </w:rPr>
        <w:t xml:space="preserve"> replied that it had been used but that to require it in every case would deprive legislative drafters of flexibility. Baroness Barker then followed up with a question directly relating to trans people’s use of pronouns:</w:t>
      </w:r>
    </w:p>
    <w:p w14:paraId="7F69950D" w14:textId="77777777" w:rsidR="005C7ABB" w:rsidRPr="00E004A2" w:rsidRDefault="005C7ABB"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kern w:val="1"/>
          <w:sz w:val="24"/>
          <w:szCs w:val="24"/>
        </w:rPr>
        <w:t>My Lord, trans activists who I know very well do not wish to stop anybody using gender pronouns; they simply wish to add more ways in which people can use terms that describe them more accurately. Private sector companies are way ahead and are latching onto this.</w:t>
      </w:r>
      <w:r w:rsidRPr="00645D9E">
        <w:rPr>
          <w:rStyle w:val="FootnoteReference"/>
        </w:rPr>
        <w:footnoteReference w:id="30"/>
      </w:r>
    </w:p>
    <w:p w14:paraId="4F48FEA8" w14:textId="6DE73215" w:rsidR="00137909" w:rsidRPr="00E004A2" w:rsidRDefault="004B124F" w:rsidP="00EC62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Lord Young replied that he hoped that the consultation on the Gender Recognition Act and the LGBT survey would reassure her that the Government took the issue seriously</w:t>
      </w:r>
      <w:r w:rsidR="007C1830" w:rsidRPr="00E004A2">
        <w:rPr>
          <w:rFonts w:ascii="Garamond" w:hAnsi="Garamond"/>
          <w:kern w:val="1"/>
          <w:sz w:val="24"/>
          <w:szCs w:val="24"/>
        </w:rPr>
        <w:t>, even though neither of these addressed the matter of legislative drafting, as such.</w:t>
      </w:r>
      <w:r w:rsidRPr="00645D9E">
        <w:rPr>
          <w:rStyle w:val="FootnoteReference"/>
        </w:rPr>
        <w:footnoteReference w:id="31"/>
      </w:r>
      <w:r w:rsidR="006A620C" w:rsidRPr="00E004A2">
        <w:rPr>
          <w:rFonts w:ascii="Garamond" w:hAnsi="Garamond"/>
          <w:kern w:val="1"/>
          <w:sz w:val="24"/>
          <w:szCs w:val="24"/>
        </w:rPr>
        <w:t xml:space="preserve"> Following the 2018 debate, the OPC guidance which formerly recommended avoiding the singular “they” was changed to merely assert that it may be more ‘more natural in some contexts rather than in others’</w:t>
      </w:r>
      <w:r w:rsidR="006838F5">
        <w:rPr>
          <w:rFonts w:ascii="Garamond" w:hAnsi="Garamond"/>
          <w:kern w:val="1"/>
          <w:sz w:val="24"/>
          <w:szCs w:val="24"/>
        </w:rPr>
        <w:t xml:space="preserve"> (OPC, 2018, p.9)</w:t>
      </w:r>
      <w:r w:rsidR="006A620C" w:rsidRPr="00E004A2">
        <w:rPr>
          <w:rFonts w:ascii="Garamond" w:hAnsi="Garamond"/>
          <w:kern w:val="1"/>
          <w:sz w:val="24"/>
          <w:szCs w:val="24"/>
        </w:rPr>
        <w:t>.</w:t>
      </w:r>
    </w:p>
    <w:p w14:paraId="3E5E405C" w14:textId="27F15E17" w:rsidR="009665D5" w:rsidRPr="00E004A2" w:rsidRDefault="009665D5" w:rsidP="008E5097">
      <w:pPr>
        <w:widowControl w:val="0"/>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Amongst legislative drafters, drafting experts, and legal scholars,</w:t>
      </w:r>
      <w:r w:rsidR="00CD73C8" w:rsidRPr="00E004A2">
        <w:rPr>
          <w:rFonts w:ascii="Garamond" w:hAnsi="Garamond"/>
          <w:kern w:val="1"/>
          <w:sz w:val="24"/>
          <w:szCs w:val="24"/>
        </w:rPr>
        <w:t xml:space="preserve"> diverse </w:t>
      </w:r>
      <w:r w:rsidRPr="00E004A2">
        <w:rPr>
          <w:rFonts w:ascii="Garamond" w:hAnsi="Garamond"/>
          <w:kern w:val="1"/>
          <w:sz w:val="24"/>
          <w:szCs w:val="24"/>
        </w:rPr>
        <w:t xml:space="preserve">views on </w:t>
      </w:r>
      <w:r w:rsidR="00CD73C8" w:rsidRPr="00E004A2">
        <w:rPr>
          <w:rFonts w:ascii="Garamond" w:hAnsi="Garamond"/>
          <w:kern w:val="1"/>
          <w:sz w:val="24"/>
          <w:szCs w:val="24"/>
        </w:rPr>
        <w:t>the singular “they”</w:t>
      </w:r>
      <w:r w:rsidR="00745DB6" w:rsidRPr="00E004A2">
        <w:rPr>
          <w:rFonts w:ascii="Garamond" w:hAnsi="Garamond"/>
          <w:kern w:val="1"/>
          <w:sz w:val="24"/>
          <w:szCs w:val="24"/>
        </w:rPr>
        <w:t xml:space="preserve"> remain</w:t>
      </w:r>
      <w:r w:rsidRPr="00E004A2">
        <w:rPr>
          <w:rFonts w:ascii="Garamond" w:hAnsi="Garamond"/>
          <w:kern w:val="1"/>
          <w:sz w:val="24"/>
          <w:szCs w:val="24"/>
        </w:rPr>
        <w:t>.</w:t>
      </w:r>
      <w:r w:rsidR="00D619FA" w:rsidRPr="00E004A2">
        <w:rPr>
          <w:rFonts w:ascii="Garamond" w:hAnsi="Garamond"/>
          <w:kern w:val="1"/>
          <w:sz w:val="24"/>
          <w:szCs w:val="24"/>
        </w:rPr>
        <w:t xml:space="preserve"> T</w:t>
      </w:r>
      <w:r w:rsidR="006A620C" w:rsidRPr="00E004A2">
        <w:rPr>
          <w:rFonts w:ascii="Garamond" w:hAnsi="Garamond"/>
          <w:kern w:val="1"/>
          <w:sz w:val="24"/>
          <w:szCs w:val="24"/>
        </w:rPr>
        <w:t xml:space="preserve">he Canadian </w:t>
      </w:r>
      <w:r w:rsidR="00D619FA" w:rsidRPr="00E004A2">
        <w:rPr>
          <w:rFonts w:ascii="Garamond" w:hAnsi="Garamond"/>
          <w:kern w:val="1"/>
          <w:sz w:val="24"/>
          <w:szCs w:val="24"/>
        </w:rPr>
        <w:t xml:space="preserve">academic and drafter Paul </w:t>
      </w:r>
      <w:proofErr w:type="spellStart"/>
      <w:r w:rsidR="00D619FA" w:rsidRPr="00E004A2">
        <w:rPr>
          <w:rFonts w:ascii="Garamond" w:hAnsi="Garamond"/>
          <w:kern w:val="1"/>
          <w:sz w:val="24"/>
          <w:szCs w:val="24"/>
        </w:rPr>
        <w:t>Salembier</w:t>
      </w:r>
      <w:proofErr w:type="spellEnd"/>
      <w:r w:rsidR="00D619FA" w:rsidRPr="00E004A2">
        <w:rPr>
          <w:rFonts w:ascii="Garamond" w:hAnsi="Garamond"/>
          <w:kern w:val="1"/>
          <w:sz w:val="24"/>
          <w:szCs w:val="24"/>
        </w:rPr>
        <w:t xml:space="preserve">, for example, asserts that the use of the singular “they” is grammatically incorrect, that it impedes comprehension by introducing subject-verb mismatches, and that it introduces ‘the potential for syntactic ambiguity’ resulting in a legislative text with two or more meanings, only one of which can be correct </w:t>
      </w:r>
      <w:r w:rsidR="00FB525C"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{"citationID":"KSdHyypW","properties":{"formattedCitation":"(Salembier, 2013, p. 178)","plainCitation":"(Salembier, 2013, p. 178)","noteIndex":0},"citationItems":[{"id":2785,"uris":["http://zotero.org/groups/1576676/items/RSABPRDI"],"uri":["http://zotero.org/groups/1576676/items/RSABPRDI"],"itemData":{"id":2785,"type":"article-journal","container-title":"Statute Law Review","issue":"2","page":"175-185","title":"Is Bad Grammar Good Policy? Legislative Use of the...: Full Text Finder Results","volume":"36","author":[{"family":"Salembier","given":"Paul"}],"issued":{"date-parts":[["2013"]]}},"locator":"178","label":"page"}],"schema":"https://github.com/citation-style-language/schema/raw/master/csl-citation.json"} </w:instrText>
      </w:r>
      <w:r w:rsidR="00FB525C" w:rsidRPr="00E004A2">
        <w:rPr>
          <w:rFonts w:ascii="Garamond" w:hAnsi="Garamond"/>
          <w:kern w:val="1"/>
          <w:sz w:val="24"/>
          <w:szCs w:val="24"/>
        </w:rPr>
        <w:fldChar w:fldCharType="separate"/>
      </w:r>
      <w:r w:rsidR="004F3785">
        <w:rPr>
          <w:rFonts w:ascii="Garamond" w:hAnsi="Garamond"/>
          <w:noProof/>
          <w:kern w:val="1"/>
          <w:sz w:val="24"/>
          <w:szCs w:val="24"/>
        </w:rPr>
        <w:t>(Salembier, 201</w:t>
      </w:r>
      <w:r w:rsidR="00B74B3C">
        <w:rPr>
          <w:rFonts w:ascii="Garamond" w:hAnsi="Garamond"/>
          <w:noProof/>
          <w:kern w:val="1"/>
          <w:sz w:val="24"/>
          <w:szCs w:val="24"/>
        </w:rPr>
        <w:t>5</w:t>
      </w:r>
      <w:r w:rsidR="004F3785">
        <w:rPr>
          <w:rFonts w:ascii="Garamond" w:hAnsi="Garamond"/>
          <w:noProof/>
          <w:kern w:val="1"/>
          <w:sz w:val="24"/>
          <w:szCs w:val="24"/>
        </w:rPr>
        <w:t>, p. 178)</w:t>
      </w:r>
      <w:r w:rsidR="00FB525C" w:rsidRPr="00E004A2">
        <w:rPr>
          <w:rFonts w:ascii="Garamond" w:hAnsi="Garamond"/>
          <w:kern w:val="1"/>
          <w:sz w:val="24"/>
          <w:szCs w:val="24"/>
        </w:rPr>
        <w:fldChar w:fldCharType="end"/>
      </w:r>
      <w:r w:rsidR="00D619FA" w:rsidRPr="00E004A2">
        <w:rPr>
          <w:rFonts w:ascii="Garamond" w:hAnsi="Garamond"/>
          <w:kern w:val="1"/>
          <w:sz w:val="24"/>
          <w:szCs w:val="24"/>
        </w:rPr>
        <w:t>.</w:t>
      </w:r>
      <w:r w:rsidR="00745DB6" w:rsidRPr="00E004A2">
        <w:rPr>
          <w:rFonts w:ascii="Garamond" w:hAnsi="Garamond"/>
          <w:kern w:val="1"/>
          <w:sz w:val="24"/>
          <w:szCs w:val="24"/>
        </w:rPr>
        <w:t xml:space="preserve"> </w:t>
      </w:r>
      <w:r w:rsidR="00992C9B" w:rsidRPr="00E004A2">
        <w:rPr>
          <w:rFonts w:ascii="Garamond" w:hAnsi="Garamond"/>
          <w:kern w:val="1"/>
          <w:sz w:val="24"/>
          <w:szCs w:val="24"/>
        </w:rPr>
        <w:t xml:space="preserve">On the other hand, </w:t>
      </w:r>
      <w:r w:rsidR="001F6EB8">
        <w:rPr>
          <w:rFonts w:ascii="Garamond" w:hAnsi="Garamond"/>
          <w:kern w:val="1"/>
          <w:sz w:val="24"/>
          <w:szCs w:val="24"/>
        </w:rPr>
        <w:t xml:space="preserve">the Australian drafter </w:t>
      </w:r>
      <w:r w:rsidR="008A59C9" w:rsidRPr="00E004A2">
        <w:rPr>
          <w:rFonts w:ascii="Garamond" w:hAnsi="Garamond"/>
          <w:kern w:val="1"/>
          <w:sz w:val="24"/>
          <w:szCs w:val="24"/>
        </w:rPr>
        <w:t xml:space="preserve">James Dalmau argues </w:t>
      </w:r>
      <w:r w:rsidR="008A59C9" w:rsidRPr="00E004A2">
        <w:rPr>
          <w:rFonts w:ascii="Garamond" w:hAnsi="Garamond"/>
          <w:kern w:val="1"/>
          <w:sz w:val="24"/>
          <w:szCs w:val="24"/>
        </w:rPr>
        <w:lastRenderedPageBreak/>
        <w:t xml:space="preserve">strongly in favour of an open approach to issues of ‘contested usage’, such as the </w:t>
      </w:r>
      <w:r w:rsidR="00A854CB" w:rsidRPr="00E004A2">
        <w:rPr>
          <w:rFonts w:ascii="Garamond" w:hAnsi="Garamond"/>
          <w:kern w:val="1"/>
          <w:sz w:val="24"/>
          <w:szCs w:val="24"/>
        </w:rPr>
        <w:t>use of the s</w:t>
      </w:r>
      <w:r w:rsidR="008A59C9" w:rsidRPr="00E004A2">
        <w:rPr>
          <w:rFonts w:ascii="Garamond" w:hAnsi="Garamond"/>
          <w:kern w:val="1"/>
          <w:sz w:val="24"/>
          <w:szCs w:val="24"/>
        </w:rPr>
        <w:t>ingular “they”</w:t>
      </w:r>
      <w:r w:rsidR="008F4025" w:rsidRPr="00E004A2">
        <w:rPr>
          <w:rFonts w:ascii="Garamond" w:hAnsi="Garamond"/>
          <w:kern w:val="1"/>
          <w:sz w:val="24"/>
          <w:szCs w:val="24"/>
        </w:rPr>
        <w:t xml:space="preserve">. He points out that </w:t>
      </w:r>
      <w:r w:rsidR="00E239DE" w:rsidRPr="00E004A2">
        <w:rPr>
          <w:rFonts w:ascii="Garamond" w:hAnsi="Garamond"/>
          <w:kern w:val="1"/>
          <w:sz w:val="24"/>
          <w:szCs w:val="24"/>
        </w:rPr>
        <w:t xml:space="preserve">the expertise of legislative counsel derives in large part from a </w:t>
      </w:r>
      <w:r w:rsidR="00A854CB" w:rsidRPr="00E004A2">
        <w:rPr>
          <w:rFonts w:ascii="Garamond" w:hAnsi="Garamond"/>
          <w:kern w:val="1"/>
          <w:sz w:val="24"/>
          <w:szCs w:val="24"/>
        </w:rPr>
        <w:t xml:space="preserve">large </w:t>
      </w:r>
      <w:r w:rsidR="00E239DE" w:rsidRPr="00E004A2">
        <w:rPr>
          <w:rFonts w:ascii="Garamond" w:hAnsi="Garamond"/>
          <w:kern w:val="1"/>
          <w:sz w:val="24"/>
          <w:szCs w:val="24"/>
        </w:rPr>
        <w:t xml:space="preserve">repertoire of techniques that </w:t>
      </w:r>
      <w:r w:rsidR="00A854CB" w:rsidRPr="00E004A2">
        <w:rPr>
          <w:rFonts w:ascii="Garamond" w:hAnsi="Garamond"/>
          <w:kern w:val="1"/>
          <w:sz w:val="24"/>
          <w:szCs w:val="24"/>
        </w:rPr>
        <w:t>drafters</w:t>
      </w:r>
      <w:r w:rsidR="00E239DE" w:rsidRPr="00E004A2">
        <w:rPr>
          <w:rFonts w:ascii="Garamond" w:hAnsi="Garamond"/>
          <w:kern w:val="1"/>
          <w:sz w:val="24"/>
          <w:szCs w:val="24"/>
        </w:rPr>
        <w:t xml:space="preserve"> develop and practice. As he puts it, ‘denying </w:t>
      </w:r>
      <w:r w:rsidR="00A854CB" w:rsidRPr="00E004A2">
        <w:rPr>
          <w:rFonts w:ascii="Garamond" w:hAnsi="Garamond"/>
          <w:kern w:val="1"/>
          <w:sz w:val="24"/>
          <w:szCs w:val="24"/>
        </w:rPr>
        <w:t xml:space="preserve">recourse to a </w:t>
      </w:r>
      <w:r w:rsidR="00E239DE" w:rsidRPr="00E004A2">
        <w:rPr>
          <w:rFonts w:ascii="Garamond" w:hAnsi="Garamond"/>
          <w:kern w:val="1"/>
          <w:sz w:val="24"/>
          <w:szCs w:val="24"/>
        </w:rPr>
        <w:t xml:space="preserve">contested </w:t>
      </w:r>
      <w:r w:rsidR="00A854CB" w:rsidRPr="00E004A2">
        <w:rPr>
          <w:rFonts w:ascii="Garamond" w:hAnsi="Garamond"/>
          <w:kern w:val="1"/>
          <w:sz w:val="24"/>
          <w:szCs w:val="24"/>
        </w:rPr>
        <w:t>usage reduces this repertoire’</w:t>
      </w:r>
      <w:r w:rsidR="00A533AB">
        <w:rPr>
          <w:rFonts w:ascii="Garamond" w:hAnsi="Garamond"/>
          <w:kern w:val="1"/>
          <w:sz w:val="24"/>
          <w:szCs w:val="24"/>
        </w:rPr>
        <w:t xml:space="preserve"> </w:t>
      </w:r>
      <w:r w:rsidR="00A533AB">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{"citationID":"17vKdNDo","properties":{"formattedCitation":"(Dalmau, 2019, p. 28)","plainCitation":"(Dalmau, 2019, p. 28)","noteIndex":0},"citationItems":[{"id":3501,"uris":["http://zotero.org/users/1070015/items/KHZCC4VQ"],"uri":["http://zotero.org/users/1070015/items/KHZCC4VQ"],"itemData":{"id":3501,"type":"article-journal","container-title":"The Loophole: Journal of the Commonwealth Association of Legislative Counsel","page":"18-30","title":"Better ways of deciding whether a contested usage is permissible in legislation.","volume":"1","author":[{"family":"Dalmau","given":"James"}],"issued":{"date-parts":[["2019"]]}},"locator":"28","label":"page"}],"schema":"https://github.com/citation-style-language/schema/raw/master/csl-citation.json"} </w:instrText>
      </w:r>
      <w:r w:rsidR="00A533AB">
        <w:rPr>
          <w:rFonts w:ascii="Garamond" w:hAnsi="Garamond"/>
          <w:kern w:val="1"/>
          <w:sz w:val="24"/>
          <w:szCs w:val="24"/>
        </w:rPr>
        <w:fldChar w:fldCharType="separate"/>
      </w:r>
      <w:r w:rsidR="004F3785">
        <w:rPr>
          <w:rFonts w:ascii="Garamond" w:hAnsi="Garamond"/>
          <w:noProof/>
          <w:kern w:val="1"/>
          <w:sz w:val="24"/>
          <w:szCs w:val="24"/>
        </w:rPr>
        <w:t>(Dalmau, 2019, p. 28)</w:t>
      </w:r>
      <w:r w:rsidR="00A533AB">
        <w:rPr>
          <w:rFonts w:ascii="Garamond" w:hAnsi="Garamond"/>
          <w:kern w:val="1"/>
          <w:sz w:val="24"/>
          <w:szCs w:val="24"/>
        </w:rPr>
        <w:fldChar w:fldCharType="end"/>
      </w:r>
      <w:r w:rsidR="00A533AB">
        <w:rPr>
          <w:rFonts w:ascii="Garamond" w:hAnsi="Garamond"/>
          <w:kern w:val="1"/>
          <w:sz w:val="24"/>
          <w:szCs w:val="24"/>
        </w:rPr>
        <w:t xml:space="preserve">. </w:t>
      </w:r>
      <w:r w:rsidR="00992C9B" w:rsidRPr="00E004A2">
        <w:rPr>
          <w:rFonts w:ascii="Garamond" w:hAnsi="Garamond"/>
          <w:kern w:val="1"/>
          <w:sz w:val="24"/>
          <w:szCs w:val="24"/>
        </w:rPr>
        <w:t xml:space="preserve">King and Fawcett note that language is organic, and that considering of shifting language norms should inform the reception of techniques such as </w:t>
      </w:r>
      <w:r w:rsidR="00364AE4" w:rsidRPr="00E004A2">
        <w:rPr>
          <w:rFonts w:ascii="Garamond" w:hAnsi="Garamond"/>
          <w:kern w:val="1"/>
          <w:sz w:val="24"/>
          <w:szCs w:val="24"/>
        </w:rPr>
        <w:t>the singular “they”</w:t>
      </w:r>
      <w:r w:rsidR="00797DA5">
        <w:rPr>
          <w:rFonts w:ascii="Garamond" w:hAnsi="Garamond"/>
          <w:kern w:val="1"/>
          <w:sz w:val="24"/>
          <w:szCs w:val="24"/>
        </w:rPr>
        <w:t xml:space="preserve"> </w:t>
      </w:r>
      <w:r w:rsidR="000E3C80">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{"citationID":"mmqPO1gR","properties":{"formattedCitation":"(King and Fawcett, 2018, p. 114)","plainCitation":"(King and Fawcett, 2018, p. 114)","noteIndex":0},"citationItems":[{"id":715,"uris":["http://zotero.org/users/1070015/items/D6VYLL7H"],"uri":["http://zotero.org/users/1070015/items/D6VYLL7H"],"itemData":{"id":715,"type":"article-journal","container-title":"New Zealand Women's Law Journal","journalAbbreviation":"NZWLJ","language":"eng","page":"107-128","source":"HeinOnline","title":"The End of He Or She: A Look at Gender-Neutral Legislative Drafting in New Zealand and Abroad","title-short":"The End of He Or She","volume":"2","author":[{"family":"King","given":"Ruby"},{"family":"Fawcett","given":"Jasper"}],"issued":{"date-parts":[["2018"]]}},"locator":"114","label":"page"}],"schema":"https://github.com/citation-style-language/schema/raw/master/csl-citation.json"} </w:instrText>
      </w:r>
      <w:r w:rsidR="000E3C80">
        <w:rPr>
          <w:rFonts w:ascii="Garamond" w:hAnsi="Garamond"/>
          <w:kern w:val="1"/>
          <w:sz w:val="24"/>
          <w:szCs w:val="24"/>
        </w:rPr>
        <w:fldChar w:fldCharType="separate"/>
      </w:r>
      <w:r w:rsidR="004F3785">
        <w:rPr>
          <w:rFonts w:ascii="Garamond" w:hAnsi="Garamond"/>
          <w:noProof/>
          <w:kern w:val="1"/>
          <w:sz w:val="24"/>
          <w:szCs w:val="24"/>
        </w:rPr>
        <w:t>(King and Fawcett, 2018, p. 114)</w:t>
      </w:r>
      <w:r w:rsidR="000E3C80">
        <w:rPr>
          <w:rFonts w:ascii="Garamond" w:hAnsi="Garamond"/>
          <w:kern w:val="1"/>
          <w:sz w:val="24"/>
          <w:szCs w:val="24"/>
        </w:rPr>
        <w:fldChar w:fldCharType="end"/>
      </w:r>
      <w:r w:rsidR="00992C9B" w:rsidRPr="00E004A2">
        <w:rPr>
          <w:rFonts w:ascii="Garamond" w:hAnsi="Garamond"/>
          <w:kern w:val="1"/>
          <w:sz w:val="24"/>
          <w:szCs w:val="24"/>
        </w:rPr>
        <w:t>. Indeed, t</w:t>
      </w:r>
      <w:r w:rsidR="00745DB6" w:rsidRPr="00E004A2">
        <w:rPr>
          <w:rFonts w:ascii="Garamond" w:hAnsi="Garamond"/>
          <w:kern w:val="1"/>
          <w:sz w:val="24"/>
          <w:szCs w:val="24"/>
        </w:rPr>
        <w:t>he singular “they” is endorsed by Thornton’s Legislative Drafting</w:t>
      </w:r>
      <w:r w:rsidR="00B0327B" w:rsidRPr="00E004A2">
        <w:rPr>
          <w:rFonts w:ascii="Garamond" w:hAnsi="Garamond"/>
          <w:kern w:val="1"/>
          <w:sz w:val="24"/>
          <w:szCs w:val="24"/>
        </w:rPr>
        <w:t xml:space="preserve"> on the basis that ‘grammar is simply a tool</w:t>
      </w:r>
      <w:r w:rsidR="00AB3463" w:rsidRPr="00E004A2">
        <w:rPr>
          <w:rFonts w:ascii="Garamond" w:hAnsi="Garamond"/>
          <w:kern w:val="1"/>
          <w:sz w:val="24"/>
          <w:szCs w:val="24"/>
        </w:rPr>
        <w:t xml:space="preserve"> and not a chain</w:t>
      </w:r>
      <w:r w:rsidR="00B0327B" w:rsidRPr="00E004A2">
        <w:rPr>
          <w:rFonts w:ascii="Garamond" w:hAnsi="Garamond"/>
          <w:kern w:val="1"/>
          <w:sz w:val="24"/>
          <w:szCs w:val="24"/>
        </w:rPr>
        <w:t>’</w:t>
      </w:r>
      <w:r w:rsidR="00745DB6" w:rsidRPr="00E004A2">
        <w:rPr>
          <w:rFonts w:ascii="Garamond" w:hAnsi="Garamond"/>
          <w:kern w:val="1"/>
          <w:sz w:val="24"/>
          <w:szCs w:val="24"/>
        </w:rPr>
        <w:t>:</w:t>
      </w:r>
    </w:p>
    <w:p w14:paraId="40D7CE48" w14:textId="0E468B0B" w:rsidR="00745DB6" w:rsidRPr="00E004A2" w:rsidRDefault="00745DB6"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kern w:val="1"/>
          <w:sz w:val="24"/>
          <w:szCs w:val="24"/>
        </w:rPr>
        <w:t xml:space="preserve">Although this technique has not been fully accepted, it is gaining ground rapidly … What seems to annoy most opponents to the technique is the grammatical error in its expressions … But is grammatical correctness that important? Since grammar is simply a tool, and not a chain, in the hands of drafters, gender neutrality cannot continue to remain anchored down by the inherent limitations of language. </w:t>
      </w:r>
      <w:r w:rsidR="00FB525C"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{"citationID":"lbwFBmrb","properties":{"formattedCitation":"(Xanthaki, 2013, p. 82)","plainCitation":"(Xanthaki, 2013, p. 82)","noteIndex":0},"citationItems":[{"id":692,"uris":["http://zotero.org/users/1070015/items/WPIWQH4A"],"uri":["http://zotero.org/users/1070015/items/WPIWQH4A"],"itemData":{"id":692,"type":"book","publisher":"Bloomsbury","title":"Thornton's Legislative Drafting","editor":[{"family":"Xanthaki","given":"Helen"}],"issued":{"date-parts":[["2013"]]}},"locator":"82","label":"page"}],"schema":"https://github.com/citation-style-language/schema/raw/master/csl-citation.json"} </w:instrText>
      </w:r>
      <w:r w:rsidR="00FB525C" w:rsidRPr="00E004A2">
        <w:rPr>
          <w:rFonts w:ascii="Garamond" w:hAnsi="Garamond"/>
          <w:kern w:val="1"/>
          <w:sz w:val="24"/>
          <w:szCs w:val="24"/>
        </w:rPr>
        <w:fldChar w:fldCharType="separate"/>
      </w:r>
      <w:r w:rsidR="004F3785">
        <w:rPr>
          <w:rFonts w:ascii="Garamond" w:hAnsi="Garamond"/>
          <w:noProof/>
          <w:kern w:val="1"/>
          <w:sz w:val="24"/>
          <w:szCs w:val="24"/>
        </w:rPr>
        <w:t>(Xanthaki, 2013, p. 82)</w:t>
      </w:r>
      <w:r w:rsidR="00FB525C" w:rsidRPr="00E004A2">
        <w:rPr>
          <w:rFonts w:ascii="Garamond" w:hAnsi="Garamond"/>
          <w:kern w:val="1"/>
          <w:sz w:val="24"/>
          <w:szCs w:val="24"/>
        </w:rPr>
        <w:fldChar w:fldCharType="end"/>
      </w:r>
    </w:p>
    <w:p w14:paraId="6317A218" w14:textId="1300CF9D" w:rsidR="00ED4B0E" w:rsidRPr="00E004A2" w:rsidRDefault="00992C9B"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 xml:space="preserve">The use of </w:t>
      </w:r>
      <w:r w:rsidR="00ED4B0E" w:rsidRPr="00E004A2">
        <w:rPr>
          <w:rFonts w:ascii="Garamond" w:hAnsi="Garamond"/>
          <w:sz w:val="24"/>
          <w:szCs w:val="24"/>
          <w:lang w:val="en-US"/>
        </w:rPr>
        <w:t>the sing</w:t>
      </w:r>
      <w:r w:rsidRPr="00E004A2">
        <w:rPr>
          <w:rFonts w:ascii="Garamond" w:hAnsi="Garamond"/>
          <w:sz w:val="24"/>
          <w:szCs w:val="24"/>
          <w:lang w:val="en-US"/>
        </w:rPr>
        <w:t>ular “they”, therefore, evidences</w:t>
      </w:r>
      <w:r w:rsidR="00ED4B0E" w:rsidRPr="00E004A2">
        <w:rPr>
          <w:rFonts w:ascii="Garamond" w:hAnsi="Garamond"/>
          <w:sz w:val="24"/>
          <w:szCs w:val="24"/>
          <w:lang w:val="en-US"/>
        </w:rPr>
        <w:t xml:space="preserve"> an approach to legislati</w:t>
      </w:r>
      <w:r w:rsidRPr="00E004A2">
        <w:rPr>
          <w:rFonts w:ascii="Garamond" w:hAnsi="Garamond"/>
          <w:sz w:val="24"/>
          <w:szCs w:val="24"/>
          <w:lang w:val="en-US"/>
        </w:rPr>
        <w:t xml:space="preserve">ve drafting which is not </w:t>
      </w:r>
      <w:r w:rsidR="001F6EB8">
        <w:rPr>
          <w:rFonts w:ascii="Garamond" w:hAnsi="Garamond"/>
          <w:sz w:val="24"/>
          <w:szCs w:val="24"/>
          <w:lang w:val="en-US"/>
        </w:rPr>
        <w:t>“</w:t>
      </w:r>
      <w:r w:rsidRPr="00E004A2">
        <w:rPr>
          <w:rFonts w:ascii="Garamond" w:hAnsi="Garamond"/>
          <w:sz w:val="24"/>
          <w:szCs w:val="24"/>
          <w:lang w:val="en-US"/>
        </w:rPr>
        <w:t>anchored</w:t>
      </w:r>
      <w:r w:rsidR="00ED4B0E" w:rsidRPr="00E004A2">
        <w:rPr>
          <w:rFonts w:ascii="Garamond" w:hAnsi="Garamond"/>
          <w:sz w:val="24"/>
          <w:szCs w:val="24"/>
          <w:lang w:val="en-US"/>
        </w:rPr>
        <w:t xml:space="preserve"> down</w:t>
      </w:r>
      <w:r w:rsidR="001F6EB8">
        <w:rPr>
          <w:rFonts w:ascii="Garamond" w:hAnsi="Garamond"/>
          <w:sz w:val="24"/>
          <w:szCs w:val="24"/>
          <w:lang w:val="en-US"/>
        </w:rPr>
        <w:t>”</w:t>
      </w:r>
      <w:r w:rsidR="00ED4B0E" w:rsidRPr="00E004A2">
        <w:rPr>
          <w:rFonts w:ascii="Garamond" w:hAnsi="Garamond"/>
          <w:sz w:val="24"/>
          <w:szCs w:val="24"/>
          <w:lang w:val="en-US"/>
        </w:rPr>
        <w:t xml:space="preserve"> by the limitations of l</w:t>
      </w:r>
      <w:r w:rsidR="00FB525C" w:rsidRPr="00E004A2">
        <w:rPr>
          <w:rFonts w:ascii="Garamond" w:hAnsi="Garamond"/>
          <w:sz w:val="24"/>
          <w:szCs w:val="24"/>
          <w:lang w:val="en-US"/>
        </w:rPr>
        <w:t>anguage. In a similar vein,</w:t>
      </w:r>
      <w:r w:rsidR="00ED4B0E" w:rsidRPr="00E004A2">
        <w:rPr>
          <w:rFonts w:ascii="Garamond" w:hAnsi="Garamond"/>
          <w:sz w:val="24"/>
          <w:szCs w:val="24"/>
          <w:lang w:val="en-US"/>
        </w:rPr>
        <w:t xml:space="preserve"> feminist legal scholar</w:t>
      </w:r>
      <w:r w:rsidR="00B0327B" w:rsidRPr="00E004A2">
        <w:rPr>
          <w:rFonts w:ascii="Garamond" w:hAnsi="Garamond"/>
          <w:sz w:val="24"/>
          <w:szCs w:val="24"/>
          <w:lang w:val="en-US"/>
        </w:rPr>
        <w:t xml:space="preserve"> </w:t>
      </w:r>
      <w:r w:rsidR="00FB525C" w:rsidRPr="00E004A2">
        <w:rPr>
          <w:rFonts w:ascii="Garamond" w:hAnsi="Garamond"/>
          <w:sz w:val="24"/>
          <w:szCs w:val="24"/>
          <w:lang w:val="en-US"/>
        </w:rPr>
        <w:t xml:space="preserve">Rosemary Hunter </w:t>
      </w:r>
      <w:r w:rsidR="00ED4B0E" w:rsidRPr="00E004A2">
        <w:rPr>
          <w:rFonts w:ascii="Garamond" w:hAnsi="Garamond"/>
          <w:sz w:val="24"/>
          <w:szCs w:val="24"/>
          <w:lang w:val="en-US"/>
        </w:rPr>
        <w:t>notes the flexibility of “they” in responding to changing social context and the specific circumstances of each legal situation:</w:t>
      </w:r>
    </w:p>
    <w:p w14:paraId="1CB24B23" w14:textId="537ADFCB" w:rsidR="008D68B7" w:rsidRPr="00E004A2" w:rsidRDefault="00ED4B0E"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5B5030">
        <w:rPr>
          <w:rFonts w:ascii="Garamond" w:hAnsi="Garamond"/>
          <w:sz w:val="24"/>
          <w:szCs w:val="24"/>
          <w:lang w:val="en-US"/>
        </w:rPr>
        <w:t xml:space="preserve">… </w:t>
      </w:r>
      <w:r w:rsidR="002C737D" w:rsidRPr="005B5030">
        <w:rPr>
          <w:rFonts w:ascii="Garamond" w:hAnsi="Garamond"/>
          <w:sz w:val="24"/>
          <w:szCs w:val="24"/>
          <w:lang w:val="en-US"/>
        </w:rPr>
        <w:t>“</w:t>
      </w:r>
      <w:r w:rsidRPr="005B5030">
        <w:rPr>
          <w:rFonts w:ascii="Garamond" w:hAnsi="Garamond"/>
          <w:color w:val="000000"/>
          <w:sz w:val="24"/>
          <w:szCs w:val="24"/>
        </w:rPr>
        <w:t>they</w:t>
      </w:r>
      <w:r w:rsidR="002C737D" w:rsidRPr="005B5030">
        <w:rPr>
          <w:rFonts w:ascii="Garamond" w:hAnsi="Garamond"/>
          <w:color w:val="000000"/>
          <w:sz w:val="24"/>
          <w:szCs w:val="24"/>
        </w:rPr>
        <w:t>”</w:t>
      </w:r>
      <w:r w:rsidRPr="005B5030">
        <w:rPr>
          <w:rFonts w:ascii="Garamond" w:hAnsi="Garamond"/>
          <w:color w:val="000000"/>
          <w:sz w:val="24"/>
          <w:szCs w:val="24"/>
        </w:rPr>
        <w:t xml:space="preserve"> is a travelling concept. It can run the characteristics that are relevant at the particular time.</w:t>
      </w:r>
      <w:r w:rsidR="00B8571C" w:rsidRPr="005B5030">
        <w:rPr>
          <w:rFonts w:ascii="Garamond" w:hAnsi="Garamond"/>
          <w:color w:val="000000"/>
          <w:sz w:val="24"/>
          <w:szCs w:val="24"/>
        </w:rPr>
        <w:t xml:space="preserve"> (Interview, 2019)</w:t>
      </w:r>
    </w:p>
    <w:p w14:paraId="3ACF603B" w14:textId="6844E606" w:rsidR="00F2386B" w:rsidRPr="00E004A2" w:rsidRDefault="00F2386B" w:rsidP="004D14FB">
      <w:pPr>
        <w:widowControl w:val="0"/>
        <w:tabs>
          <w:tab w:val="left" w:pos="720"/>
          <w:tab w:val="left" w:pos="1440"/>
          <w:tab w:val="left" w:pos="2160"/>
          <w:tab w:val="left" w:pos="2880"/>
          <w:tab w:val="left" w:pos="3600"/>
          <w:tab w:val="left" w:pos="4320"/>
        </w:tabs>
        <w:spacing w:line="480" w:lineRule="auto"/>
        <w:rPr>
          <w:rFonts w:ascii="Garamond" w:hAnsi="Garamond"/>
          <w:color w:val="000000"/>
          <w:sz w:val="24"/>
          <w:szCs w:val="24"/>
        </w:rPr>
      </w:pPr>
      <w:r w:rsidRPr="00E004A2">
        <w:rPr>
          <w:rFonts w:ascii="Garamond" w:hAnsi="Garamond"/>
          <w:sz w:val="24"/>
          <w:szCs w:val="24"/>
          <w:lang w:val="en-US"/>
        </w:rPr>
        <w:t xml:space="preserve">And as she </w:t>
      </w:r>
      <w:r w:rsidR="002C737D" w:rsidRPr="00E004A2">
        <w:rPr>
          <w:rFonts w:ascii="Garamond" w:hAnsi="Garamond"/>
          <w:sz w:val="24"/>
          <w:szCs w:val="24"/>
          <w:lang w:val="en-US"/>
        </w:rPr>
        <w:t>put</w:t>
      </w:r>
      <w:r w:rsidR="00ED4B0E" w:rsidRPr="00E004A2">
        <w:rPr>
          <w:rFonts w:ascii="Garamond" w:hAnsi="Garamond"/>
          <w:sz w:val="24"/>
          <w:szCs w:val="24"/>
          <w:lang w:val="en-US"/>
        </w:rPr>
        <w:t xml:space="preserve"> it, “they” is widely understood in pub</w:t>
      </w:r>
      <w:r w:rsidR="00992C9B" w:rsidRPr="00E004A2">
        <w:rPr>
          <w:rFonts w:ascii="Garamond" w:hAnsi="Garamond"/>
          <w:sz w:val="24"/>
          <w:szCs w:val="24"/>
          <w:lang w:val="en-US"/>
        </w:rPr>
        <w:t>lic as referring to each gender</w:t>
      </w:r>
      <w:r w:rsidR="009E1082" w:rsidRPr="00E004A2">
        <w:rPr>
          <w:rFonts w:ascii="Garamond" w:hAnsi="Garamond"/>
          <w:color w:val="000000"/>
          <w:sz w:val="24"/>
          <w:szCs w:val="24"/>
        </w:rPr>
        <w:t>.</w:t>
      </w:r>
      <w:r w:rsidR="00FA56F9" w:rsidRPr="00E004A2">
        <w:rPr>
          <w:rFonts w:ascii="Garamond" w:hAnsi="Garamond"/>
          <w:color w:val="000000"/>
          <w:sz w:val="24"/>
          <w:szCs w:val="24"/>
        </w:rPr>
        <w:t xml:space="preserve"> </w:t>
      </w:r>
      <w:r w:rsidRPr="00E004A2">
        <w:rPr>
          <w:rFonts w:ascii="Garamond" w:hAnsi="Garamond"/>
          <w:color w:val="000000"/>
          <w:sz w:val="24"/>
          <w:szCs w:val="24"/>
        </w:rPr>
        <w:t>A similar breadth of opinion seems to be reflected within the OPC</w:t>
      </w:r>
      <w:r w:rsidR="000601C0" w:rsidRPr="00E004A2">
        <w:rPr>
          <w:rFonts w:ascii="Garamond" w:hAnsi="Garamond"/>
          <w:color w:val="000000"/>
          <w:sz w:val="24"/>
          <w:szCs w:val="24"/>
        </w:rPr>
        <w:t>, where views range from those who find the construction to be ungrammatical to those who consider there to be a movement in favour of its more widespread adoption:</w:t>
      </w:r>
    </w:p>
    <w:p w14:paraId="0E281C2D" w14:textId="7FCDB294" w:rsidR="00992C9B" w:rsidRPr="00E004A2" w:rsidRDefault="000601C0" w:rsidP="0098315D">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BD3FFC">
        <w:rPr>
          <w:rFonts w:ascii="Garamond" w:hAnsi="Garamond"/>
          <w:color w:val="000000"/>
          <w:sz w:val="24"/>
          <w:szCs w:val="24"/>
        </w:rPr>
        <w:t xml:space="preserve">Within the Office, views are divided. I find </w:t>
      </w:r>
      <w:r w:rsidR="00106090">
        <w:rPr>
          <w:rFonts w:ascii="Garamond" w:hAnsi="Garamond"/>
          <w:color w:val="000000"/>
          <w:sz w:val="24"/>
          <w:szCs w:val="24"/>
        </w:rPr>
        <w:t>that the use of the singular “they”</w:t>
      </w:r>
      <w:r w:rsidRPr="00BD3FFC">
        <w:rPr>
          <w:rFonts w:ascii="Garamond" w:hAnsi="Garamond"/>
          <w:color w:val="000000"/>
          <w:sz w:val="24"/>
          <w:szCs w:val="24"/>
        </w:rPr>
        <w:t xml:space="preserve"> grates</w:t>
      </w:r>
      <w:r w:rsidRPr="00E004A2">
        <w:rPr>
          <w:rFonts w:ascii="Garamond" w:hAnsi="Garamond"/>
          <w:color w:val="000000"/>
          <w:sz w:val="24"/>
          <w:szCs w:val="24"/>
        </w:rPr>
        <w:t xml:space="preserve"> at the moment. I would probably use it in a letter, but not in a draft. … I suppose</w:t>
      </w:r>
      <w:r w:rsidR="00C402EE">
        <w:rPr>
          <w:rFonts w:ascii="Garamond" w:hAnsi="Garamond"/>
          <w:color w:val="000000"/>
          <w:sz w:val="24"/>
          <w:szCs w:val="24"/>
        </w:rPr>
        <w:t xml:space="preserve"> that our </w:t>
      </w:r>
      <w:r w:rsidR="00C402EE">
        <w:rPr>
          <w:rFonts w:ascii="Garamond" w:hAnsi="Garamond"/>
          <w:color w:val="000000"/>
          <w:sz w:val="24"/>
          <w:szCs w:val="24"/>
        </w:rPr>
        <w:lastRenderedPageBreak/>
        <w:t>disc</w:t>
      </w:r>
      <w:r w:rsidR="00A72671">
        <w:rPr>
          <w:rFonts w:ascii="Garamond" w:hAnsi="Garamond"/>
          <w:color w:val="000000"/>
          <w:sz w:val="24"/>
          <w:szCs w:val="24"/>
        </w:rPr>
        <w:t>u</w:t>
      </w:r>
      <w:r w:rsidR="00C402EE">
        <w:rPr>
          <w:rFonts w:ascii="Garamond" w:hAnsi="Garamond"/>
          <w:color w:val="000000"/>
          <w:sz w:val="24"/>
          <w:szCs w:val="24"/>
        </w:rPr>
        <w:t xml:space="preserve">ssion within the </w:t>
      </w:r>
      <w:r w:rsidR="00A72671">
        <w:rPr>
          <w:rFonts w:ascii="Garamond" w:hAnsi="Garamond"/>
          <w:color w:val="000000"/>
          <w:sz w:val="24"/>
          <w:szCs w:val="24"/>
        </w:rPr>
        <w:t>O</w:t>
      </w:r>
      <w:r w:rsidR="00C402EE">
        <w:rPr>
          <w:rFonts w:ascii="Garamond" w:hAnsi="Garamond"/>
          <w:color w:val="000000"/>
          <w:sz w:val="24"/>
          <w:szCs w:val="24"/>
        </w:rPr>
        <w:t xml:space="preserve">ffice of </w:t>
      </w:r>
      <w:r w:rsidRPr="00E004A2">
        <w:rPr>
          <w:rFonts w:ascii="Garamond" w:hAnsi="Garamond"/>
          <w:color w:val="000000"/>
          <w:sz w:val="24"/>
          <w:szCs w:val="24"/>
        </w:rPr>
        <w:t>“they” reflects what is going on</w:t>
      </w:r>
      <w:r w:rsidR="00C402EE">
        <w:rPr>
          <w:rFonts w:ascii="Garamond" w:hAnsi="Garamond"/>
          <w:color w:val="000000"/>
          <w:sz w:val="24"/>
          <w:szCs w:val="24"/>
        </w:rPr>
        <w:t xml:space="preserve"> in society more widely</w:t>
      </w:r>
      <w:r w:rsidRPr="00E004A2">
        <w:rPr>
          <w:rFonts w:ascii="Garamond" w:hAnsi="Garamond"/>
          <w:color w:val="000000"/>
          <w:sz w:val="24"/>
          <w:szCs w:val="24"/>
        </w:rPr>
        <w:t xml:space="preserve">. (I)f all the newspapers and most people </w:t>
      </w:r>
      <w:r w:rsidR="008E7A29">
        <w:rPr>
          <w:rFonts w:ascii="Garamond" w:hAnsi="Garamond"/>
          <w:color w:val="000000"/>
          <w:sz w:val="24"/>
          <w:szCs w:val="24"/>
        </w:rPr>
        <w:t xml:space="preserve">start using the singular “they” in </w:t>
      </w:r>
      <w:r w:rsidRPr="00E004A2">
        <w:rPr>
          <w:rFonts w:ascii="Garamond" w:hAnsi="Garamond"/>
          <w:color w:val="000000"/>
          <w:sz w:val="24"/>
          <w:szCs w:val="24"/>
        </w:rPr>
        <w:t xml:space="preserve">writing, I think </w:t>
      </w:r>
      <w:r w:rsidR="008E7A29">
        <w:rPr>
          <w:rFonts w:ascii="Garamond" w:hAnsi="Garamond"/>
          <w:color w:val="000000"/>
          <w:sz w:val="24"/>
          <w:szCs w:val="24"/>
        </w:rPr>
        <w:t>that it will become</w:t>
      </w:r>
      <w:r w:rsidR="00435E3F">
        <w:rPr>
          <w:rFonts w:ascii="Garamond" w:hAnsi="Garamond"/>
          <w:color w:val="000000"/>
          <w:sz w:val="24"/>
          <w:szCs w:val="24"/>
        </w:rPr>
        <w:t xml:space="preserve"> second nature even if it once felt </w:t>
      </w:r>
      <w:r w:rsidRPr="00E004A2">
        <w:rPr>
          <w:rFonts w:ascii="Garamond" w:hAnsi="Garamond"/>
          <w:color w:val="000000"/>
          <w:sz w:val="24"/>
          <w:szCs w:val="24"/>
        </w:rPr>
        <w:t>wrong grammatically</w:t>
      </w:r>
      <w:r w:rsidR="00435E3F">
        <w:rPr>
          <w:rFonts w:ascii="Garamond" w:hAnsi="Garamond"/>
          <w:color w:val="000000"/>
          <w:sz w:val="24"/>
          <w:szCs w:val="24"/>
        </w:rPr>
        <w:t>.</w:t>
      </w:r>
      <w:r w:rsidRPr="00E004A2">
        <w:rPr>
          <w:rFonts w:ascii="Garamond" w:hAnsi="Garamond"/>
          <w:color w:val="000000"/>
          <w:sz w:val="24"/>
          <w:szCs w:val="24"/>
        </w:rPr>
        <w:t xml:space="preserve"> (Interview with legislative drafters, 2019)</w:t>
      </w:r>
    </w:p>
    <w:p w14:paraId="33CDB5F4" w14:textId="0ECA5002" w:rsidR="00D91C56" w:rsidRPr="00E004A2" w:rsidRDefault="00DC2A17" w:rsidP="004D14FB">
      <w:pPr>
        <w:widowControl w:val="0"/>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sz w:val="24"/>
          <w:szCs w:val="24"/>
          <w:lang w:val="en-US"/>
        </w:rPr>
        <w:tab/>
        <w:t>A further</w:t>
      </w:r>
      <w:r w:rsidR="0064630E" w:rsidRPr="00E004A2">
        <w:rPr>
          <w:rFonts w:ascii="Garamond" w:hAnsi="Garamond"/>
          <w:sz w:val="24"/>
          <w:szCs w:val="24"/>
          <w:lang w:val="en-US"/>
        </w:rPr>
        <w:t xml:space="preserve"> </w:t>
      </w:r>
      <w:r w:rsidR="00CE4EF3" w:rsidRPr="00E004A2">
        <w:rPr>
          <w:rFonts w:ascii="Garamond" w:hAnsi="Garamond"/>
          <w:sz w:val="24"/>
          <w:szCs w:val="24"/>
          <w:lang w:val="en-US"/>
        </w:rPr>
        <w:t xml:space="preserve">potential option </w:t>
      </w:r>
      <w:r w:rsidR="0064630E" w:rsidRPr="00E004A2">
        <w:rPr>
          <w:rFonts w:ascii="Garamond" w:hAnsi="Garamond"/>
          <w:sz w:val="24"/>
          <w:szCs w:val="24"/>
          <w:lang w:val="en-US"/>
        </w:rPr>
        <w:t xml:space="preserve">for ‘changing the pronoun’ is </w:t>
      </w:r>
      <w:r w:rsidR="00CE4EF3" w:rsidRPr="00E004A2">
        <w:rPr>
          <w:rFonts w:ascii="Garamond" w:hAnsi="Garamond"/>
          <w:sz w:val="24"/>
          <w:szCs w:val="24"/>
          <w:lang w:val="en-US"/>
        </w:rPr>
        <w:t xml:space="preserve">through </w:t>
      </w:r>
      <w:r w:rsidR="0064630E" w:rsidRPr="00E004A2">
        <w:rPr>
          <w:rFonts w:ascii="Garamond" w:hAnsi="Garamond"/>
          <w:sz w:val="24"/>
          <w:szCs w:val="24"/>
          <w:lang w:val="en-US"/>
        </w:rPr>
        <w:t>us</w:t>
      </w:r>
      <w:r w:rsidR="008B279B" w:rsidRPr="00E004A2">
        <w:rPr>
          <w:rFonts w:ascii="Garamond" w:hAnsi="Garamond"/>
          <w:sz w:val="24"/>
          <w:szCs w:val="24"/>
          <w:lang w:val="en-US"/>
        </w:rPr>
        <w:t xml:space="preserve">ing terms such as </w:t>
      </w:r>
      <w:r w:rsidR="006F0E96">
        <w:rPr>
          <w:rFonts w:ascii="Garamond" w:hAnsi="Garamond"/>
          <w:sz w:val="24"/>
          <w:szCs w:val="24"/>
          <w:lang w:val="en-US"/>
        </w:rPr>
        <w:t>“</w:t>
      </w:r>
      <w:proofErr w:type="spellStart"/>
      <w:r w:rsidR="008B279B" w:rsidRPr="00E004A2">
        <w:rPr>
          <w:rFonts w:ascii="Garamond" w:hAnsi="Garamond"/>
          <w:sz w:val="24"/>
          <w:szCs w:val="24"/>
          <w:lang w:val="en-US"/>
        </w:rPr>
        <w:t>ze</w:t>
      </w:r>
      <w:proofErr w:type="spellEnd"/>
      <w:r w:rsidR="006F0E96">
        <w:rPr>
          <w:rFonts w:ascii="Garamond" w:hAnsi="Garamond"/>
          <w:sz w:val="24"/>
          <w:szCs w:val="24"/>
          <w:lang w:val="en-US"/>
        </w:rPr>
        <w:t>”</w:t>
      </w:r>
      <w:r w:rsidR="008B279B" w:rsidRPr="00E004A2">
        <w:rPr>
          <w:rFonts w:ascii="Garamond" w:hAnsi="Garamond"/>
          <w:sz w:val="24"/>
          <w:szCs w:val="24"/>
          <w:lang w:val="en-US"/>
        </w:rPr>
        <w:t xml:space="preserve"> to replace </w:t>
      </w:r>
      <w:r w:rsidR="006F0E96">
        <w:rPr>
          <w:rFonts w:ascii="Garamond" w:hAnsi="Garamond"/>
          <w:sz w:val="24"/>
          <w:szCs w:val="24"/>
          <w:lang w:val="en-US"/>
        </w:rPr>
        <w:t>“</w:t>
      </w:r>
      <w:r w:rsidR="008B279B" w:rsidRPr="00E004A2">
        <w:rPr>
          <w:rFonts w:ascii="Garamond" w:hAnsi="Garamond"/>
          <w:sz w:val="24"/>
          <w:szCs w:val="24"/>
          <w:lang w:val="en-US"/>
        </w:rPr>
        <w:t>her</w:t>
      </w:r>
      <w:r w:rsidR="006F0E96">
        <w:rPr>
          <w:rFonts w:ascii="Garamond" w:hAnsi="Garamond"/>
          <w:sz w:val="24"/>
          <w:szCs w:val="24"/>
          <w:lang w:val="en-US"/>
        </w:rPr>
        <w:t>/his”</w:t>
      </w:r>
      <w:r w:rsidR="008B279B" w:rsidRPr="00E004A2">
        <w:rPr>
          <w:rFonts w:ascii="Garamond" w:hAnsi="Garamond"/>
          <w:sz w:val="24"/>
          <w:szCs w:val="24"/>
          <w:lang w:val="en-US"/>
        </w:rPr>
        <w:t xml:space="preserve"> and </w:t>
      </w:r>
      <w:r w:rsidR="006F0E96">
        <w:rPr>
          <w:rFonts w:ascii="Garamond" w:hAnsi="Garamond"/>
          <w:sz w:val="24"/>
          <w:szCs w:val="24"/>
          <w:lang w:val="en-US"/>
        </w:rPr>
        <w:t>“he/</w:t>
      </w:r>
      <w:r w:rsidR="008B279B" w:rsidRPr="00E004A2">
        <w:rPr>
          <w:rFonts w:ascii="Garamond" w:hAnsi="Garamond"/>
          <w:sz w:val="24"/>
          <w:szCs w:val="24"/>
          <w:lang w:val="en-US"/>
        </w:rPr>
        <w:t>she</w:t>
      </w:r>
      <w:r w:rsidR="006F0E96">
        <w:rPr>
          <w:rFonts w:ascii="Garamond" w:hAnsi="Garamond"/>
          <w:sz w:val="24"/>
          <w:szCs w:val="24"/>
          <w:lang w:val="en-US"/>
        </w:rPr>
        <w:t>”</w:t>
      </w:r>
      <w:r w:rsidR="008B279B" w:rsidRPr="00E004A2">
        <w:rPr>
          <w:rFonts w:ascii="Garamond" w:hAnsi="Garamond"/>
          <w:sz w:val="24"/>
          <w:szCs w:val="24"/>
          <w:lang w:val="en-US"/>
        </w:rPr>
        <w:t xml:space="preserve">. Such terms </w:t>
      </w:r>
      <w:r w:rsidR="0064630E" w:rsidRPr="00E004A2">
        <w:rPr>
          <w:rFonts w:ascii="Garamond" w:hAnsi="Garamond"/>
          <w:sz w:val="24"/>
          <w:szCs w:val="24"/>
          <w:lang w:val="en-US"/>
        </w:rPr>
        <w:t>have become more w</w:t>
      </w:r>
      <w:r w:rsidR="008B279B" w:rsidRPr="00E004A2">
        <w:rPr>
          <w:rFonts w:ascii="Garamond" w:hAnsi="Garamond"/>
          <w:sz w:val="24"/>
          <w:szCs w:val="24"/>
          <w:lang w:val="en-US"/>
        </w:rPr>
        <w:t xml:space="preserve">idespread in educational and political </w:t>
      </w:r>
      <w:proofErr w:type="spellStart"/>
      <w:r w:rsidR="008B279B" w:rsidRPr="00E004A2">
        <w:rPr>
          <w:rFonts w:ascii="Garamond" w:hAnsi="Garamond"/>
          <w:sz w:val="24"/>
          <w:szCs w:val="24"/>
          <w:lang w:val="en-US"/>
        </w:rPr>
        <w:t>organi</w:t>
      </w:r>
      <w:r w:rsidR="003D78FC">
        <w:rPr>
          <w:rFonts w:ascii="Garamond" w:hAnsi="Garamond"/>
          <w:sz w:val="24"/>
          <w:szCs w:val="24"/>
          <w:lang w:val="en-US"/>
        </w:rPr>
        <w:t>s</w:t>
      </w:r>
      <w:r w:rsidR="008B279B" w:rsidRPr="00E004A2">
        <w:rPr>
          <w:rFonts w:ascii="Garamond" w:hAnsi="Garamond"/>
          <w:sz w:val="24"/>
          <w:szCs w:val="24"/>
          <w:lang w:val="en-US"/>
        </w:rPr>
        <w:t>ing</w:t>
      </w:r>
      <w:proofErr w:type="spellEnd"/>
      <w:r w:rsidR="008B279B" w:rsidRPr="00E004A2">
        <w:rPr>
          <w:rFonts w:ascii="Garamond" w:hAnsi="Garamond"/>
          <w:sz w:val="24"/>
          <w:szCs w:val="24"/>
          <w:lang w:val="en-US"/>
        </w:rPr>
        <w:t xml:space="preserve"> contexts, for example, to avoid mis-gendering people and to acknowledge the need for gender-neutral pronouns</w:t>
      </w:r>
      <w:r w:rsidR="00CE4EF3" w:rsidRPr="00E004A2">
        <w:rPr>
          <w:rFonts w:ascii="Garamond" w:hAnsi="Garamond"/>
          <w:sz w:val="24"/>
          <w:szCs w:val="24"/>
          <w:lang w:val="en-US"/>
        </w:rPr>
        <w:t xml:space="preserve"> </w:t>
      </w:r>
      <w:r w:rsidR="00500DE2"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{"citationID":"uzKfz0cr","properties":{"formattedCitation":"(Dembroff and Wodak, 2018)","plainCitation":"(Dembroff and Wodak, 2018)","noteIndex":0},"citationItems":[{"id":703,"uris":["http://zotero.org/users/1070015/items/CH43NRAI"],"uri":["http://zotero.org/users/1070015/items/CH43NRAI"],"itemData":{"id":703,"type":"article-newspaper","abstract":"We shouldn’t use gender-specific pronouns for genderqueer people – if we don’t respect someone’s preferences, we’re denying their identity","container-title":"The Guardian","ISSN":"0261-3077","language":"en-GB","section":"Opinion","source":"www.theguardian.com","title":"If someone wants to be called 'they' and not 'he' or 'she', why say no? | Robin Dembroff and Daniel Wodak","title-short":"If someone wants to be called 'they' and not 'he' or 'she', why say no?","URL":"https://www.theguardian.com/commentisfree/2018/jun/04/gender-neutral-pronouns-they-he-she-why-deny","author":[{"family":"Dembroff","given":"Robin"},{"family":"Wodak","given":"Daniel"}],"accessed":{"date-parts":[["2019",11,8]]},"issued":{"date-parts":[["2018",6,4]]}}}],"schema":"https://github.com/citation-style-language/schema/raw/master/csl-citation.json"} </w:instrText>
      </w:r>
      <w:r w:rsidR="00500DE2" w:rsidRPr="00E004A2">
        <w:rPr>
          <w:rFonts w:ascii="Garamond" w:hAnsi="Garamond"/>
          <w:sz w:val="24"/>
          <w:szCs w:val="24"/>
          <w:lang w:val="en-US"/>
        </w:rPr>
        <w:fldChar w:fldCharType="separate"/>
      </w:r>
      <w:r w:rsidR="004F3785">
        <w:rPr>
          <w:rFonts w:ascii="Garamond" w:hAnsi="Garamond"/>
          <w:noProof/>
          <w:sz w:val="24"/>
          <w:szCs w:val="24"/>
          <w:lang w:val="en-US"/>
        </w:rPr>
        <w:t>(Dembroff and Wodak, 2018)</w:t>
      </w:r>
      <w:r w:rsidR="00500DE2" w:rsidRPr="00E004A2">
        <w:rPr>
          <w:rFonts w:ascii="Garamond" w:hAnsi="Garamond"/>
          <w:sz w:val="24"/>
          <w:szCs w:val="24"/>
          <w:lang w:val="en-US"/>
        </w:rPr>
        <w:fldChar w:fldCharType="end"/>
      </w:r>
      <w:r w:rsidR="008B279B" w:rsidRPr="00E004A2">
        <w:rPr>
          <w:rFonts w:ascii="Garamond" w:hAnsi="Garamond"/>
          <w:sz w:val="24"/>
          <w:szCs w:val="24"/>
          <w:lang w:val="en-US"/>
        </w:rPr>
        <w:t xml:space="preserve">. Indeed, successive generations of drafters seem to </w:t>
      </w:r>
      <w:r w:rsidR="00FE535F" w:rsidRPr="00E004A2">
        <w:rPr>
          <w:rFonts w:ascii="Garamond" w:hAnsi="Garamond"/>
          <w:sz w:val="24"/>
          <w:szCs w:val="24"/>
          <w:lang w:val="en-US"/>
        </w:rPr>
        <w:t xml:space="preserve">display less surprise at gender </w:t>
      </w:r>
      <w:r w:rsidR="008B279B" w:rsidRPr="00E004A2">
        <w:rPr>
          <w:rFonts w:ascii="Garamond" w:hAnsi="Garamond"/>
          <w:sz w:val="24"/>
          <w:szCs w:val="24"/>
          <w:lang w:val="en-US"/>
        </w:rPr>
        <w:t>neutral drafting and more awareness of new evolving pronouns, as this drafter suggested:</w:t>
      </w:r>
    </w:p>
    <w:p w14:paraId="75CA0FAE" w14:textId="25718079" w:rsidR="008B279B" w:rsidRPr="00E004A2" w:rsidRDefault="008B279B" w:rsidP="00657A32">
      <w:pPr>
        <w:spacing w:line="480" w:lineRule="auto"/>
        <w:ind w:left="720"/>
        <w:rPr>
          <w:rFonts w:ascii="Garamond" w:eastAsia="Times New Roman" w:hAnsi="Garamond" w:cs="Times New Roman"/>
          <w:color w:val="000000"/>
          <w:sz w:val="24"/>
          <w:szCs w:val="24"/>
        </w:rPr>
      </w:pPr>
      <w:r w:rsidRPr="00E004A2">
        <w:rPr>
          <w:rFonts w:ascii="Garamond" w:eastAsia="Times New Roman" w:hAnsi="Garamond" w:cs="Times New Roman"/>
          <w:color w:val="000000"/>
          <w:sz w:val="24"/>
          <w:szCs w:val="24"/>
        </w:rPr>
        <w:t xml:space="preserve">When we get a new batch of recruits we sit down and talk about the drafting guidance and I mention the chapter on gender-neutrality, we get some quite blank faces, </w:t>
      </w:r>
      <w:r w:rsidR="00CE4EF3" w:rsidRPr="00E004A2">
        <w:rPr>
          <w:rFonts w:ascii="Garamond" w:eastAsia="Times New Roman" w:hAnsi="Garamond" w:cs="Times New Roman"/>
          <w:color w:val="000000"/>
          <w:sz w:val="24"/>
          <w:szCs w:val="24"/>
        </w:rPr>
        <w:t xml:space="preserve">because it's just not an issue … </w:t>
      </w:r>
      <w:r w:rsidRPr="00E004A2">
        <w:rPr>
          <w:rFonts w:ascii="Garamond" w:eastAsia="Times New Roman" w:hAnsi="Garamond" w:cs="Times New Roman"/>
          <w:color w:val="000000"/>
          <w:sz w:val="24"/>
          <w:szCs w:val="24"/>
        </w:rPr>
        <w:t>The discussion normally then turns to non-binary issues and have we considered using “</w:t>
      </w:r>
      <w:proofErr w:type="spellStart"/>
      <w:r w:rsidRPr="00E004A2">
        <w:rPr>
          <w:rFonts w:ascii="Garamond" w:eastAsia="Times New Roman" w:hAnsi="Garamond" w:cs="Times New Roman"/>
          <w:color w:val="000000"/>
          <w:sz w:val="24"/>
          <w:szCs w:val="24"/>
        </w:rPr>
        <w:t>ze</w:t>
      </w:r>
      <w:proofErr w:type="spellEnd"/>
      <w:r w:rsidRPr="00E004A2">
        <w:rPr>
          <w:rFonts w:ascii="Garamond" w:eastAsia="Times New Roman" w:hAnsi="Garamond" w:cs="Times New Roman"/>
          <w:color w:val="000000"/>
          <w:sz w:val="24"/>
          <w:szCs w:val="24"/>
        </w:rPr>
        <w:t xml:space="preserve">” or other things like that. </w:t>
      </w:r>
      <w:r w:rsidR="005D2937" w:rsidRPr="00E004A2">
        <w:rPr>
          <w:rFonts w:ascii="Garamond" w:eastAsia="Times New Roman" w:hAnsi="Garamond" w:cs="Times New Roman"/>
          <w:color w:val="000000"/>
          <w:sz w:val="24"/>
          <w:szCs w:val="24"/>
        </w:rPr>
        <w:t>(Interview with legislative drafters</w:t>
      </w:r>
      <w:r w:rsidR="003367CE" w:rsidRPr="00E004A2">
        <w:rPr>
          <w:rFonts w:ascii="Garamond" w:eastAsia="Times New Roman" w:hAnsi="Garamond" w:cs="Times New Roman"/>
          <w:color w:val="000000"/>
          <w:sz w:val="24"/>
          <w:szCs w:val="24"/>
        </w:rPr>
        <w:t>,</w:t>
      </w:r>
      <w:r w:rsidR="005D2937" w:rsidRPr="00E004A2">
        <w:rPr>
          <w:rFonts w:ascii="Garamond" w:eastAsia="Times New Roman" w:hAnsi="Garamond" w:cs="Times New Roman"/>
          <w:color w:val="000000"/>
          <w:sz w:val="24"/>
          <w:szCs w:val="24"/>
        </w:rPr>
        <w:t xml:space="preserve"> 2019)</w:t>
      </w:r>
    </w:p>
    <w:p w14:paraId="1B640A17" w14:textId="245CFA10" w:rsidR="005D2937" w:rsidRPr="00E004A2" w:rsidRDefault="005D2937" w:rsidP="008B279B">
      <w:pPr>
        <w:widowControl w:val="0"/>
        <w:spacing w:line="480" w:lineRule="auto"/>
        <w:rPr>
          <w:rFonts w:ascii="Garamond" w:hAnsi="Garamond"/>
          <w:sz w:val="24"/>
          <w:szCs w:val="24"/>
          <w:lang w:val="en-US"/>
        </w:rPr>
      </w:pPr>
      <w:r w:rsidRPr="00E004A2">
        <w:rPr>
          <w:rFonts w:ascii="Garamond" w:hAnsi="Garamond"/>
          <w:sz w:val="24"/>
          <w:szCs w:val="24"/>
          <w:lang w:val="en-US"/>
        </w:rPr>
        <w:t xml:space="preserve">However, when asked whether the OPC would consider using terms such as </w:t>
      </w:r>
      <w:r w:rsidR="006F0E96">
        <w:rPr>
          <w:rFonts w:ascii="Garamond" w:hAnsi="Garamond"/>
          <w:sz w:val="24"/>
          <w:szCs w:val="24"/>
          <w:lang w:val="en-US"/>
        </w:rPr>
        <w:t>“</w:t>
      </w:r>
      <w:proofErr w:type="spellStart"/>
      <w:r w:rsidRPr="00E004A2">
        <w:rPr>
          <w:rFonts w:ascii="Garamond" w:hAnsi="Garamond"/>
          <w:sz w:val="24"/>
          <w:szCs w:val="24"/>
          <w:lang w:val="en-US"/>
        </w:rPr>
        <w:t>ze</w:t>
      </w:r>
      <w:proofErr w:type="spellEnd"/>
      <w:r w:rsidR="006F0E96">
        <w:rPr>
          <w:rFonts w:ascii="Garamond" w:hAnsi="Garamond"/>
          <w:sz w:val="24"/>
          <w:szCs w:val="24"/>
          <w:lang w:val="en-US"/>
        </w:rPr>
        <w:t>”</w:t>
      </w:r>
      <w:r w:rsidRPr="00E004A2">
        <w:rPr>
          <w:rFonts w:ascii="Garamond" w:hAnsi="Garamond"/>
          <w:sz w:val="24"/>
          <w:szCs w:val="24"/>
          <w:lang w:val="en-US"/>
        </w:rPr>
        <w:t>, the reply was in line with the OPC’s approach of reflecting standard English usage but trying</w:t>
      </w:r>
      <w:r w:rsidR="009F2B6C" w:rsidRPr="00E004A2">
        <w:rPr>
          <w:rFonts w:ascii="Garamond" w:hAnsi="Garamond"/>
          <w:sz w:val="24"/>
          <w:szCs w:val="24"/>
          <w:lang w:val="en-US"/>
        </w:rPr>
        <w:t xml:space="preserve"> to avoid innovating beyond current social norms</w:t>
      </w:r>
      <w:r w:rsidRPr="00E004A2">
        <w:rPr>
          <w:rFonts w:ascii="Garamond" w:hAnsi="Garamond"/>
          <w:sz w:val="24"/>
          <w:szCs w:val="24"/>
          <w:lang w:val="en-US"/>
        </w:rPr>
        <w:t>:</w:t>
      </w:r>
    </w:p>
    <w:p w14:paraId="67E3D1A5" w14:textId="15499E60" w:rsidR="005D2937" w:rsidRPr="00E004A2" w:rsidRDefault="005D2937" w:rsidP="00657A32">
      <w:pPr>
        <w:widowControl w:val="0"/>
        <w:spacing w:line="480" w:lineRule="auto"/>
        <w:ind w:left="720"/>
        <w:rPr>
          <w:rFonts w:ascii="Garamond" w:hAnsi="Garamond"/>
          <w:sz w:val="24"/>
          <w:szCs w:val="24"/>
          <w:lang w:val="en-US"/>
        </w:rPr>
      </w:pPr>
      <w:r w:rsidRPr="00E004A2">
        <w:rPr>
          <w:rFonts w:ascii="Garamond" w:hAnsi="Garamond"/>
          <w:color w:val="000000"/>
          <w:sz w:val="24"/>
          <w:szCs w:val="24"/>
        </w:rPr>
        <w:t>I think “</w:t>
      </w:r>
      <w:proofErr w:type="spellStart"/>
      <w:r w:rsidRPr="00E004A2">
        <w:rPr>
          <w:rFonts w:ascii="Garamond" w:hAnsi="Garamond"/>
          <w:color w:val="000000"/>
          <w:sz w:val="24"/>
          <w:szCs w:val="24"/>
        </w:rPr>
        <w:t>ze</w:t>
      </w:r>
      <w:proofErr w:type="spellEnd"/>
      <w:r w:rsidRPr="00E004A2">
        <w:rPr>
          <w:rFonts w:ascii="Garamond" w:hAnsi="Garamond"/>
          <w:color w:val="000000"/>
          <w:sz w:val="24"/>
          <w:szCs w:val="24"/>
        </w:rPr>
        <w:t>” isn’t standard English usage, so that would be one of the reasons.</w:t>
      </w:r>
      <w:r w:rsidR="003F45AC">
        <w:rPr>
          <w:rFonts w:ascii="Garamond" w:hAnsi="Garamond"/>
          <w:color w:val="000000"/>
          <w:sz w:val="24"/>
          <w:szCs w:val="24"/>
        </w:rPr>
        <w:t xml:space="preserve"> That’s</w:t>
      </w:r>
      <w:r w:rsidRPr="00E004A2">
        <w:rPr>
          <w:rFonts w:ascii="Garamond" w:hAnsi="Garamond"/>
          <w:color w:val="000000"/>
          <w:sz w:val="24"/>
          <w:szCs w:val="24"/>
        </w:rPr>
        <w:t xml:space="preserve"> why we wouldn't use it at the moment. </w:t>
      </w:r>
      <w:r w:rsidR="006F5CA5">
        <w:rPr>
          <w:rFonts w:ascii="Garamond" w:hAnsi="Garamond"/>
          <w:color w:val="000000"/>
          <w:sz w:val="24"/>
          <w:szCs w:val="24"/>
        </w:rPr>
        <w:t>Gender-neutral drafting</w:t>
      </w:r>
      <w:r w:rsidRPr="00E004A2">
        <w:rPr>
          <w:rFonts w:ascii="Garamond" w:hAnsi="Garamond"/>
          <w:color w:val="000000"/>
          <w:sz w:val="24"/>
          <w:szCs w:val="24"/>
        </w:rPr>
        <w:t xml:space="preserve"> is an area that we keep revisiting and talking </w:t>
      </w:r>
      <w:r w:rsidR="00710CFE">
        <w:rPr>
          <w:rFonts w:ascii="Garamond" w:hAnsi="Garamond"/>
          <w:color w:val="000000"/>
          <w:sz w:val="24"/>
          <w:szCs w:val="24"/>
        </w:rPr>
        <w:t>and</w:t>
      </w:r>
      <w:r w:rsidRPr="00E004A2">
        <w:rPr>
          <w:rFonts w:ascii="Garamond" w:hAnsi="Garamond"/>
          <w:color w:val="000000"/>
          <w:sz w:val="24"/>
          <w:szCs w:val="24"/>
        </w:rPr>
        <w:t xml:space="preserve"> thinking about. (Interview with legislative drafters, 2019)</w:t>
      </w:r>
    </w:p>
    <w:p w14:paraId="47845065" w14:textId="2CA9E163" w:rsidR="001342B7" w:rsidRPr="00E004A2" w:rsidRDefault="001342B7" w:rsidP="001342B7">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sz w:val="24"/>
          <w:szCs w:val="24"/>
          <w:lang w:val="en-US"/>
        </w:rPr>
        <w:tab/>
      </w:r>
      <w:r w:rsidR="001F6EB8">
        <w:rPr>
          <w:rFonts w:ascii="Garamond" w:hAnsi="Garamond"/>
          <w:sz w:val="24"/>
          <w:szCs w:val="24"/>
          <w:lang w:val="en-US"/>
        </w:rPr>
        <w:t>Yet terms such as “</w:t>
      </w:r>
      <w:proofErr w:type="spellStart"/>
      <w:r w:rsidR="001F6EB8">
        <w:rPr>
          <w:rFonts w:ascii="Garamond" w:hAnsi="Garamond"/>
          <w:sz w:val="24"/>
          <w:szCs w:val="24"/>
          <w:lang w:val="en-US"/>
        </w:rPr>
        <w:t>ze</w:t>
      </w:r>
      <w:proofErr w:type="spellEnd"/>
      <w:r w:rsidR="001F6EB8">
        <w:rPr>
          <w:rFonts w:ascii="Garamond" w:hAnsi="Garamond"/>
          <w:sz w:val="24"/>
          <w:szCs w:val="24"/>
          <w:lang w:val="en-US"/>
        </w:rPr>
        <w:t>” might come into use in legislative drafting if</w:t>
      </w:r>
      <w:r>
        <w:rPr>
          <w:rFonts w:ascii="Garamond" w:hAnsi="Garamond"/>
          <w:sz w:val="24"/>
          <w:szCs w:val="24"/>
          <w:lang w:val="en-US"/>
        </w:rPr>
        <w:t xml:space="preserve"> new proposals for ‘gender inclusive’ and</w:t>
      </w:r>
      <w:r w:rsidR="001F6EB8">
        <w:rPr>
          <w:rFonts w:ascii="Garamond" w:hAnsi="Garamond"/>
          <w:sz w:val="24"/>
          <w:szCs w:val="24"/>
          <w:lang w:val="en-US"/>
        </w:rPr>
        <w:t xml:space="preserve"> ‘gender-silent’ drafting take hold.</w:t>
      </w:r>
      <w:r>
        <w:rPr>
          <w:rFonts w:ascii="Garamond" w:hAnsi="Garamond"/>
          <w:sz w:val="24"/>
          <w:szCs w:val="24"/>
          <w:lang w:val="en-US"/>
        </w:rPr>
        <w:t xml:space="preserve"> </w:t>
      </w:r>
      <w:r w:rsidRPr="00E004A2">
        <w:rPr>
          <w:rFonts w:ascii="Garamond" w:hAnsi="Garamond"/>
          <w:sz w:val="24"/>
          <w:szCs w:val="24"/>
          <w:lang w:val="en-US"/>
        </w:rPr>
        <w:t xml:space="preserve">Helen </w:t>
      </w:r>
      <w:proofErr w:type="spellStart"/>
      <w:r w:rsidRPr="00E004A2">
        <w:rPr>
          <w:rFonts w:ascii="Garamond" w:hAnsi="Garamond"/>
          <w:sz w:val="24"/>
          <w:szCs w:val="24"/>
          <w:lang w:val="en-US"/>
        </w:rPr>
        <w:t>Xanthaki</w:t>
      </w:r>
      <w:proofErr w:type="spellEnd"/>
      <w:r w:rsidRPr="00E004A2">
        <w:rPr>
          <w:rFonts w:ascii="Garamond" w:hAnsi="Garamond"/>
          <w:sz w:val="24"/>
          <w:szCs w:val="24"/>
          <w:lang w:val="en-US"/>
        </w:rPr>
        <w:t xml:space="preserve"> has written about the conceptual potential of ‘gender inclusive’ drafting, encouraging an approach in which ‘the subject does not need to identify as one of the two genders: they can see themselves as any or none or </w:t>
      </w:r>
      <w:r w:rsidRPr="00E004A2">
        <w:rPr>
          <w:rFonts w:ascii="Garamond" w:hAnsi="Garamond"/>
          <w:sz w:val="24"/>
          <w:szCs w:val="24"/>
          <w:lang w:val="en-US"/>
        </w:rPr>
        <w:lastRenderedPageBreak/>
        <w:t xml:space="preserve">anything in between’ </w:t>
      </w:r>
      <w:r w:rsidRPr="00E004A2">
        <w:rPr>
          <w:rFonts w:ascii="Garamond" w:hAnsi="Garamond"/>
          <w:sz w:val="24"/>
          <w:szCs w:val="24"/>
          <w:lang w:val="en-US"/>
        </w:rPr>
        <w:fldChar w:fldCharType="begin"/>
      </w:r>
      <w:r>
        <w:rPr>
          <w:rFonts w:ascii="Garamond" w:hAnsi="Garamond"/>
          <w:sz w:val="24"/>
          <w:szCs w:val="24"/>
          <w:lang w:val="en-US"/>
        </w:rPr>
        <w:instrText xml:space="preserve"> ADDIN ZOTERO_ITEM CSL_CITATION {"citationID":"VSRVwZwk","properties":{"formattedCitation":"(Xanthaki, 2019)","plainCitation":"(Xanthaki, 2019)","noteIndex":0},"citationItems":[{"id":683,"uris":["http://zotero.org/users/1070015/items/V645Z9M6"],"uri":["http://zotero.org/users/1070015/items/V645Z9M6"],"itemData":{"id":683,"type":"article-journal","container-title":"On file with the author.","title":"Gender inclusive drafting in English: A matter of clarity","author":[{"family":"Xanthaki","given":"Helen"}],"issued":{"date-parts":[["2019"]]}}}],"schema":"https://github.com/citation-style-language/schema/raw/master/csl-citation.json"} </w:instrText>
      </w:r>
      <w:r w:rsidRPr="00E004A2">
        <w:rPr>
          <w:rFonts w:ascii="Garamond" w:hAnsi="Garamond"/>
          <w:sz w:val="24"/>
          <w:szCs w:val="24"/>
          <w:lang w:val="en-US"/>
        </w:rPr>
        <w:fldChar w:fldCharType="separate"/>
      </w:r>
      <w:r>
        <w:rPr>
          <w:rFonts w:ascii="Garamond" w:hAnsi="Garamond"/>
          <w:noProof/>
          <w:sz w:val="24"/>
          <w:szCs w:val="24"/>
          <w:lang w:val="en-US"/>
        </w:rPr>
        <w:t>(Xanthaki, 2019)</w:t>
      </w:r>
      <w:r w:rsidRPr="00E004A2">
        <w:rPr>
          <w:rFonts w:ascii="Garamond" w:hAnsi="Garamond"/>
          <w:sz w:val="24"/>
          <w:szCs w:val="24"/>
          <w:lang w:val="en-US"/>
        </w:rPr>
        <w:fldChar w:fldCharType="end"/>
      </w:r>
      <w:r w:rsidRPr="00E004A2">
        <w:rPr>
          <w:rFonts w:ascii="Garamond" w:hAnsi="Garamond"/>
          <w:sz w:val="24"/>
          <w:szCs w:val="24"/>
          <w:lang w:val="en-US"/>
        </w:rPr>
        <w:t xml:space="preserve">. </w:t>
      </w:r>
      <w:proofErr w:type="spellStart"/>
      <w:r w:rsidRPr="00E004A2">
        <w:rPr>
          <w:rFonts w:ascii="Garamond" w:hAnsi="Garamond"/>
          <w:sz w:val="24"/>
          <w:szCs w:val="24"/>
          <w:lang w:val="en-US"/>
        </w:rPr>
        <w:t>Xanthaki</w:t>
      </w:r>
      <w:proofErr w:type="spellEnd"/>
      <w:r w:rsidRPr="00E004A2">
        <w:rPr>
          <w:rFonts w:ascii="Garamond" w:hAnsi="Garamond"/>
          <w:sz w:val="24"/>
          <w:szCs w:val="24"/>
          <w:lang w:val="en-US"/>
        </w:rPr>
        <w:t xml:space="preserve"> strongly endorses the use of the singular </w:t>
      </w:r>
      <w:r>
        <w:rPr>
          <w:rFonts w:ascii="Garamond" w:hAnsi="Garamond"/>
          <w:sz w:val="24"/>
          <w:szCs w:val="24"/>
          <w:lang w:val="en-US"/>
        </w:rPr>
        <w:t>“</w:t>
      </w:r>
      <w:r w:rsidRPr="00E004A2">
        <w:rPr>
          <w:rFonts w:ascii="Garamond" w:hAnsi="Garamond"/>
          <w:sz w:val="24"/>
          <w:szCs w:val="24"/>
          <w:lang w:val="en-US"/>
        </w:rPr>
        <w:t>they</w:t>
      </w:r>
      <w:r>
        <w:rPr>
          <w:rFonts w:ascii="Garamond" w:hAnsi="Garamond"/>
          <w:sz w:val="24"/>
          <w:szCs w:val="24"/>
          <w:lang w:val="en-US"/>
        </w:rPr>
        <w:t>”</w:t>
      </w:r>
      <w:r w:rsidRPr="00E004A2">
        <w:rPr>
          <w:rFonts w:ascii="Garamond" w:hAnsi="Garamond"/>
          <w:sz w:val="24"/>
          <w:szCs w:val="24"/>
          <w:lang w:val="en-US"/>
        </w:rPr>
        <w:t xml:space="preserve"> within the gender inclusive approach, recognizing that ‘everyone, not just men and women, is equal before the eyes of the law’ </w:t>
      </w:r>
      <w:r w:rsidRPr="00E004A2">
        <w:rPr>
          <w:rFonts w:ascii="Garamond" w:hAnsi="Garamond"/>
          <w:sz w:val="24"/>
          <w:szCs w:val="24"/>
          <w:lang w:val="en-US"/>
        </w:rPr>
        <w:fldChar w:fldCharType="begin"/>
      </w:r>
      <w:r>
        <w:rPr>
          <w:rFonts w:ascii="Garamond" w:hAnsi="Garamond"/>
          <w:sz w:val="24"/>
          <w:szCs w:val="24"/>
          <w:lang w:val="en-US"/>
        </w:rPr>
        <w:instrText xml:space="preserve"> ADDIN ZOTERO_ITEM CSL_CITATION {"citationID":"js7NcZwW","properties":{"formattedCitation":"(Xanthaki, 2019)","plainCitation":"(Xanthaki, 2019)","noteIndex":0},"citationItems":[{"id":683,"uris":["http://zotero.org/users/1070015/items/V645Z9M6"],"uri":["http://zotero.org/users/1070015/items/V645Z9M6"],"itemData":{"id":683,"type":"article-journal","container-title":"On file with the author.","title":"Gender inclusive drafting in English: A matter of clarity","author":[{"family":"Xanthaki","given":"Helen"}],"issued":{"date-parts":[["2019"]]}}}],"schema":"https://github.com/citation-style-language/schema/raw/master/csl-citation.json"} </w:instrText>
      </w:r>
      <w:r w:rsidRPr="00E004A2">
        <w:rPr>
          <w:rFonts w:ascii="Garamond" w:hAnsi="Garamond"/>
          <w:sz w:val="24"/>
          <w:szCs w:val="24"/>
          <w:lang w:val="en-US"/>
        </w:rPr>
        <w:fldChar w:fldCharType="separate"/>
      </w:r>
      <w:r>
        <w:rPr>
          <w:rFonts w:ascii="Garamond" w:hAnsi="Garamond"/>
          <w:noProof/>
          <w:sz w:val="24"/>
          <w:szCs w:val="24"/>
          <w:lang w:val="en-US"/>
        </w:rPr>
        <w:t>(Xanthaki, 2019)</w:t>
      </w:r>
      <w:r w:rsidRPr="00E004A2">
        <w:rPr>
          <w:rFonts w:ascii="Garamond" w:hAnsi="Garamond"/>
          <w:sz w:val="24"/>
          <w:szCs w:val="24"/>
          <w:lang w:val="en-US"/>
        </w:rPr>
        <w:fldChar w:fldCharType="end"/>
      </w:r>
      <w:r w:rsidRPr="00E004A2">
        <w:rPr>
          <w:rFonts w:ascii="Garamond" w:hAnsi="Garamond"/>
          <w:sz w:val="24"/>
          <w:szCs w:val="24"/>
          <w:lang w:val="en-US"/>
        </w:rPr>
        <w:t xml:space="preserve">, and thereby clearing a path for </w:t>
      </w:r>
      <w:proofErr w:type="spellStart"/>
      <w:r w:rsidRPr="00E004A2">
        <w:rPr>
          <w:rFonts w:ascii="Garamond" w:hAnsi="Garamond"/>
          <w:sz w:val="24"/>
          <w:szCs w:val="24"/>
          <w:lang w:val="en-US"/>
        </w:rPr>
        <w:t>recogni</w:t>
      </w:r>
      <w:r w:rsidR="00196904">
        <w:rPr>
          <w:rFonts w:ascii="Garamond" w:hAnsi="Garamond"/>
          <w:sz w:val="24"/>
          <w:szCs w:val="24"/>
          <w:lang w:val="en-US"/>
        </w:rPr>
        <w:t>s</w:t>
      </w:r>
      <w:r w:rsidRPr="00E004A2">
        <w:rPr>
          <w:rFonts w:ascii="Garamond" w:hAnsi="Garamond"/>
          <w:sz w:val="24"/>
          <w:szCs w:val="24"/>
          <w:lang w:val="en-US"/>
        </w:rPr>
        <w:t>ing</w:t>
      </w:r>
      <w:proofErr w:type="spellEnd"/>
      <w:r w:rsidRPr="00E004A2">
        <w:rPr>
          <w:rFonts w:ascii="Garamond" w:hAnsi="Garamond"/>
          <w:sz w:val="24"/>
          <w:szCs w:val="24"/>
          <w:lang w:val="en-US"/>
        </w:rPr>
        <w:t xml:space="preserve"> a wider range of genders. She views the singular </w:t>
      </w:r>
      <w:r>
        <w:rPr>
          <w:rFonts w:ascii="Garamond" w:hAnsi="Garamond"/>
          <w:sz w:val="24"/>
          <w:szCs w:val="24"/>
          <w:lang w:val="en-US"/>
        </w:rPr>
        <w:t>“</w:t>
      </w:r>
      <w:r w:rsidRPr="00E004A2">
        <w:rPr>
          <w:rFonts w:ascii="Garamond" w:hAnsi="Garamond"/>
          <w:sz w:val="24"/>
          <w:szCs w:val="24"/>
          <w:lang w:val="en-US"/>
        </w:rPr>
        <w:t>they</w:t>
      </w:r>
      <w:r>
        <w:rPr>
          <w:rFonts w:ascii="Garamond" w:hAnsi="Garamond"/>
          <w:sz w:val="24"/>
          <w:szCs w:val="24"/>
          <w:lang w:val="en-US"/>
        </w:rPr>
        <w:t>”</w:t>
      </w:r>
      <w:r w:rsidRPr="00E004A2">
        <w:rPr>
          <w:rFonts w:ascii="Garamond" w:hAnsi="Garamond"/>
          <w:sz w:val="24"/>
          <w:szCs w:val="24"/>
          <w:lang w:val="en-US"/>
        </w:rPr>
        <w:t xml:space="preserve"> as grammatically controversial, yet she argues that its adoption within drafting practice is ideal in eliminating gender as a relevant factor in legislation. As </w:t>
      </w:r>
      <w:proofErr w:type="spellStart"/>
      <w:r w:rsidRPr="00E004A2">
        <w:rPr>
          <w:rFonts w:ascii="Garamond" w:hAnsi="Garamond"/>
          <w:sz w:val="24"/>
          <w:szCs w:val="24"/>
          <w:lang w:val="en-US"/>
        </w:rPr>
        <w:t>Xanthaki</w:t>
      </w:r>
      <w:proofErr w:type="spellEnd"/>
      <w:r w:rsidRPr="00E004A2">
        <w:rPr>
          <w:rFonts w:ascii="Garamond" w:hAnsi="Garamond"/>
          <w:sz w:val="24"/>
          <w:szCs w:val="24"/>
          <w:lang w:val="en-US"/>
        </w:rPr>
        <w:t xml:space="preserve"> put it during an interview:</w:t>
      </w:r>
    </w:p>
    <w:p w14:paraId="3A0D100E" w14:textId="77777777" w:rsidR="001342B7" w:rsidRPr="00E004A2" w:rsidRDefault="001342B7" w:rsidP="001342B7">
      <w:pPr>
        <w:spacing w:line="480" w:lineRule="auto"/>
        <w:ind w:left="720"/>
        <w:rPr>
          <w:rFonts w:ascii="Garamond" w:eastAsia="Times New Roman" w:hAnsi="Garamond" w:cs="Times New Roman"/>
          <w:color w:val="000000"/>
          <w:sz w:val="24"/>
          <w:szCs w:val="24"/>
        </w:rPr>
      </w:pPr>
      <w:r w:rsidRPr="00E004A2">
        <w:rPr>
          <w:rFonts w:ascii="Garamond" w:eastAsia="Times New Roman" w:hAnsi="Garamond" w:cs="Times New Roman"/>
          <w:color w:val="000000"/>
          <w:sz w:val="24"/>
          <w:szCs w:val="24"/>
        </w:rPr>
        <w:t>My personal view is, no, we need to be brave. This is a problem in our society and it's a problem generally, for me. I</w:t>
      </w:r>
      <w:r w:rsidRPr="00E004A2">
        <w:rPr>
          <w:rFonts w:ascii="Garamond" w:eastAsia="Times New Roman" w:hAnsi="Garamond" w:cs="Times New Roman"/>
          <w:bCs/>
          <w:color w:val="000000"/>
          <w:sz w:val="24"/>
          <w:szCs w:val="24"/>
        </w:rPr>
        <w:t>t's unacceptable that we exclude people because they are not of a specific gender at that specific moment in time</w:t>
      </w:r>
      <w:r w:rsidRPr="00E004A2">
        <w:rPr>
          <w:rFonts w:ascii="Garamond" w:eastAsia="Times New Roman" w:hAnsi="Garamond" w:cs="Times New Roman"/>
          <w:color w:val="000000"/>
          <w:sz w:val="24"/>
          <w:szCs w:val="24"/>
        </w:rPr>
        <w:t xml:space="preserve">. For me, it needs to be dealt across the board. </w:t>
      </w:r>
      <w:r w:rsidRPr="00E004A2">
        <w:rPr>
          <w:rFonts w:ascii="Garamond" w:eastAsia="Times New Roman" w:hAnsi="Garamond" w:cs="Times New Roman"/>
          <w:bCs/>
          <w:color w:val="000000"/>
          <w:sz w:val="24"/>
          <w:szCs w:val="24"/>
        </w:rPr>
        <w:t>If this is considered to be too much, okay, experimental legislation has happened before</w:t>
      </w:r>
      <w:r w:rsidRPr="00E004A2">
        <w:rPr>
          <w:rFonts w:ascii="Garamond" w:eastAsia="Times New Roman" w:hAnsi="Garamond" w:cs="Times New Roman"/>
          <w:color w:val="000000"/>
          <w:sz w:val="24"/>
          <w:szCs w:val="24"/>
        </w:rPr>
        <w:t>. It's not a novel thing. (Interview, 2019)</w:t>
      </w:r>
    </w:p>
    <w:p w14:paraId="0C3085CB" w14:textId="1ABEC3F6" w:rsidR="001F6EB8" w:rsidRDefault="001342B7" w:rsidP="00512536">
      <w:pPr>
        <w:widowControl w:val="0"/>
        <w:spacing w:line="480" w:lineRule="auto"/>
        <w:ind w:firstLine="720"/>
        <w:rPr>
          <w:rFonts w:ascii="Garamond" w:hAnsi="Garamond"/>
          <w:sz w:val="24"/>
          <w:szCs w:val="24"/>
          <w:lang w:val="en-US"/>
        </w:rPr>
      </w:pPr>
      <w:r>
        <w:rPr>
          <w:rFonts w:ascii="Garamond" w:hAnsi="Garamond"/>
          <w:sz w:val="24"/>
          <w:szCs w:val="24"/>
          <w:lang w:val="en-US"/>
        </w:rPr>
        <w:t xml:space="preserve">In a similar vein, </w:t>
      </w:r>
      <w:r w:rsidR="001F6EB8">
        <w:rPr>
          <w:rFonts w:ascii="Garamond" w:hAnsi="Garamond"/>
          <w:sz w:val="24"/>
          <w:szCs w:val="24"/>
          <w:lang w:val="en-US"/>
        </w:rPr>
        <w:t xml:space="preserve">Donald </w:t>
      </w:r>
      <w:proofErr w:type="spellStart"/>
      <w:r w:rsidR="001F6EB8">
        <w:rPr>
          <w:rFonts w:ascii="Garamond" w:hAnsi="Garamond"/>
          <w:sz w:val="24"/>
          <w:szCs w:val="24"/>
          <w:lang w:val="en-US"/>
        </w:rPr>
        <w:t>Revell</w:t>
      </w:r>
      <w:proofErr w:type="spellEnd"/>
      <w:r w:rsidR="001F6EB8">
        <w:rPr>
          <w:rFonts w:ascii="Garamond" w:hAnsi="Garamond"/>
          <w:sz w:val="24"/>
          <w:szCs w:val="24"/>
          <w:lang w:val="en-US"/>
        </w:rPr>
        <w:t xml:space="preserve"> and Jessica </w:t>
      </w:r>
      <w:proofErr w:type="spellStart"/>
      <w:r w:rsidR="001F6EB8">
        <w:rPr>
          <w:rFonts w:ascii="Garamond" w:hAnsi="Garamond"/>
          <w:sz w:val="24"/>
          <w:szCs w:val="24"/>
          <w:lang w:val="en-US"/>
        </w:rPr>
        <w:t>Vapnek</w:t>
      </w:r>
      <w:proofErr w:type="spellEnd"/>
      <w:r w:rsidR="001F6EB8">
        <w:rPr>
          <w:rFonts w:ascii="Garamond" w:hAnsi="Garamond"/>
          <w:sz w:val="24"/>
          <w:szCs w:val="24"/>
          <w:lang w:val="en-US"/>
        </w:rPr>
        <w:t xml:space="preserve"> have recently advocated for</w:t>
      </w:r>
      <w:r w:rsidR="00631125">
        <w:rPr>
          <w:rFonts w:ascii="Garamond" w:hAnsi="Garamond"/>
          <w:sz w:val="24"/>
          <w:szCs w:val="24"/>
          <w:lang w:val="en-US"/>
        </w:rPr>
        <w:t xml:space="preserve"> the ‘gender silent’ approach,</w:t>
      </w:r>
      <w:r w:rsidR="001F6EB8">
        <w:rPr>
          <w:rFonts w:ascii="Garamond" w:hAnsi="Garamond"/>
          <w:sz w:val="24"/>
          <w:szCs w:val="24"/>
          <w:lang w:val="en-US"/>
        </w:rPr>
        <w:t xml:space="preserve"> which is explicitly oriented at reflecting and supporting the rights of transgender and non-binary individuals </w:t>
      </w:r>
      <w:r w:rsidR="001F6EB8">
        <w:rPr>
          <w:rFonts w:ascii="Garamond" w:hAnsi="Garamond"/>
          <w:sz w:val="24"/>
          <w:szCs w:val="24"/>
          <w:lang w:val="en-US"/>
        </w:rPr>
        <w:fldChar w:fldCharType="begin"/>
      </w:r>
      <w:r w:rsidR="001F6EB8">
        <w:rPr>
          <w:rFonts w:ascii="Garamond" w:hAnsi="Garamond"/>
          <w:sz w:val="24"/>
          <w:szCs w:val="24"/>
          <w:lang w:val="en-US"/>
        </w:rPr>
        <w:instrText xml:space="preserve"> ADDIN ZOTERO_ITEM CSL_CITATION {"citationID":"Gc2sPz8Y","properties":{"formattedCitation":"(Revell and Vapnek, 2020)","plainCitation":"(Revell and Vapnek, 2020)","noteIndex":0},"citationItems":[{"id":3576,"uris":["http://zotero.org/users/1070015/items/5PE9LT95"],"uri":["http://zotero.org/users/1070015/items/5PE9LT95"],"itemData":{"id":3576,"type":"article-journal","container-title":"Capital University Law Review","page":"103-147","title":"Gender-Silent Legislative Drafting in a Non-Binary World","volume":"48","author":[{"family":"Revell","given":"Donald"},{"family":"Vapnek","given":"Jessica"}],"issued":{"date-parts":[["2020"]]}}}],"schema":"https://github.com/citation-style-language/schema/raw/master/csl-citation.json"} </w:instrText>
      </w:r>
      <w:r w:rsidR="001F6EB8">
        <w:rPr>
          <w:rFonts w:ascii="Garamond" w:hAnsi="Garamond"/>
          <w:sz w:val="24"/>
          <w:szCs w:val="24"/>
          <w:lang w:val="en-US"/>
        </w:rPr>
        <w:fldChar w:fldCharType="separate"/>
      </w:r>
      <w:r w:rsidR="001F6EB8">
        <w:rPr>
          <w:rFonts w:ascii="Garamond" w:hAnsi="Garamond"/>
          <w:noProof/>
          <w:sz w:val="24"/>
          <w:szCs w:val="24"/>
          <w:lang w:val="en-US"/>
        </w:rPr>
        <w:t>(Revell and Vapnek, 2020)</w:t>
      </w:r>
      <w:r w:rsidR="001F6EB8">
        <w:rPr>
          <w:rFonts w:ascii="Garamond" w:hAnsi="Garamond"/>
          <w:sz w:val="24"/>
          <w:szCs w:val="24"/>
          <w:lang w:val="en-US"/>
        </w:rPr>
        <w:fldChar w:fldCharType="end"/>
      </w:r>
      <w:r w:rsidR="001F6EB8">
        <w:rPr>
          <w:rFonts w:ascii="Garamond" w:hAnsi="Garamond"/>
          <w:sz w:val="24"/>
          <w:szCs w:val="24"/>
          <w:lang w:val="en-US"/>
        </w:rPr>
        <w:t xml:space="preserve">. Based on an extensive summary, internationally, of drafting in English speaking countries, </w:t>
      </w:r>
      <w:proofErr w:type="spellStart"/>
      <w:r w:rsidR="001F6EB8">
        <w:rPr>
          <w:rFonts w:ascii="Garamond" w:hAnsi="Garamond"/>
          <w:sz w:val="24"/>
          <w:szCs w:val="24"/>
          <w:lang w:val="en-US"/>
        </w:rPr>
        <w:t>Revell</w:t>
      </w:r>
      <w:proofErr w:type="spellEnd"/>
      <w:r w:rsidR="001F6EB8">
        <w:rPr>
          <w:rFonts w:ascii="Garamond" w:hAnsi="Garamond"/>
          <w:sz w:val="24"/>
          <w:szCs w:val="24"/>
          <w:lang w:val="en-US"/>
        </w:rPr>
        <w:t xml:space="preserve"> and </w:t>
      </w:r>
      <w:proofErr w:type="spellStart"/>
      <w:r w:rsidR="001F6EB8">
        <w:rPr>
          <w:rFonts w:ascii="Garamond" w:hAnsi="Garamond"/>
          <w:sz w:val="24"/>
          <w:szCs w:val="24"/>
          <w:lang w:val="en-US"/>
        </w:rPr>
        <w:t>Vapnek</w:t>
      </w:r>
      <w:proofErr w:type="spellEnd"/>
      <w:r w:rsidR="001F6EB8">
        <w:rPr>
          <w:rFonts w:ascii="Garamond" w:hAnsi="Garamond"/>
          <w:sz w:val="24"/>
          <w:szCs w:val="24"/>
          <w:lang w:val="en-US"/>
        </w:rPr>
        <w:t xml:space="preserve"> argue for an increased recognition by drafters that ‘gender and sexual identities exist along a continuum’ </w:t>
      </w:r>
      <w:r w:rsidR="001F6EB8">
        <w:rPr>
          <w:rFonts w:ascii="Garamond" w:hAnsi="Garamond"/>
          <w:sz w:val="24"/>
          <w:szCs w:val="24"/>
          <w:lang w:val="en-US"/>
        </w:rPr>
        <w:fldChar w:fldCharType="begin"/>
      </w:r>
      <w:r w:rsidR="001F6EB8">
        <w:rPr>
          <w:rFonts w:ascii="Garamond" w:hAnsi="Garamond"/>
          <w:sz w:val="24"/>
          <w:szCs w:val="24"/>
          <w:lang w:val="en-US"/>
        </w:rPr>
        <w:instrText xml:space="preserve"> ADDIN ZOTERO_ITEM CSL_CITATION {"citationID":"c3zFQb5q","properties":{"formattedCitation":"(Revell and Vapnek, 2020, p. 105)","plainCitation":"(Revell and Vapnek, 2020, p. 105)","noteIndex":0},"citationItems":[{"id":3576,"uris":["http://zotero.org/users/1070015/items/5PE9LT95"],"uri":["http://zotero.org/users/1070015/items/5PE9LT95"],"itemData":{"id":3576,"type":"article-journal","container-title":"Capital University Law Review","page":"103-147","title":"Gender-Silent Legislative Drafting in a Non-Binary World","volume":"48","author":[{"family":"Revell","given":"Donald"},{"family":"Vapnek","given":"Jessica"}],"issued":{"date-parts":[["2020"]]}},"locator":"105","label":"page"}],"schema":"https://github.com/citation-style-language/schema/raw/master/csl-citation.json"} </w:instrText>
      </w:r>
      <w:r w:rsidR="001F6EB8">
        <w:rPr>
          <w:rFonts w:ascii="Garamond" w:hAnsi="Garamond"/>
          <w:sz w:val="24"/>
          <w:szCs w:val="24"/>
          <w:lang w:val="en-US"/>
        </w:rPr>
        <w:fldChar w:fldCharType="separate"/>
      </w:r>
      <w:r w:rsidR="001F6EB8">
        <w:rPr>
          <w:rFonts w:ascii="Garamond" w:hAnsi="Garamond"/>
          <w:noProof/>
          <w:sz w:val="24"/>
          <w:szCs w:val="24"/>
          <w:lang w:val="en-US"/>
        </w:rPr>
        <w:t>(Revell and Vapnek, 2020, p. 105)</w:t>
      </w:r>
      <w:r w:rsidR="001F6EB8">
        <w:rPr>
          <w:rFonts w:ascii="Garamond" w:hAnsi="Garamond"/>
          <w:sz w:val="24"/>
          <w:szCs w:val="24"/>
          <w:lang w:val="en-US"/>
        </w:rPr>
        <w:fldChar w:fldCharType="end"/>
      </w:r>
      <w:r w:rsidR="001F6EB8">
        <w:rPr>
          <w:rFonts w:ascii="Garamond" w:hAnsi="Garamond"/>
          <w:sz w:val="24"/>
          <w:szCs w:val="24"/>
          <w:lang w:val="en-US"/>
        </w:rPr>
        <w:t>. They note that many jurisdictions are moving towards such an approach through the use of techniques already addressed above, for example, repeating the noun or using the singular “they”.</w:t>
      </w:r>
      <w:r w:rsidR="00631125">
        <w:rPr>
          <w:rFonts w:ascii="Garamond" w:hAnsi="Garamond"/>
          <w:sz w:val="24"/>
          <w:szCs w:val="24"/>
          <w:lang w:val="en-US"/>
        </w:rPr>
        <w:t xml:space="preserve"> As they put it, such an approach is ‘not a fad: it reflects the fact that society is changing’ </w:t>
      </w:r>
      <w:r w:rsidR="00631125">
        <w:rPr>
          <w:rFonts w:ascii="Garamond" w:hAnsi="Garamond"/>
          <w:sz w:val="24"/>
          <w:szCs w:val="24"/>
          <w:lang w:val="en-US"/>
        </w:rPr>
        <w:fldChar w:fldCharType="begin"/>
      </w:r>
      <w:r w:rsidR="00631125">
        <w:rPr>
          <w:rFonts w:ascii="Garamond" w:hAnsi="Garamond"/>
          <w:sz w:val="24"/>
          <w:szCs w:val="24"/>
          <w:lang w:val="en-US"/>
        </w:rPr>
        <w:instrText xml:space="preserve"> ADDIN ZOTERO_ITEM CSL_CITATION {"citationID":"OvlskTgT","properties":{"formattedCitation":"(Revell and Vapnek, 2020, p. 145)","plainCitation":"(Revell and Vapnek, 2020, p. 145)","noteIndex":0},"citationItems":[{"id":3576,"uris":["http://zotero.org/users/1070015/items/5PE9LT95"],"uri":["http://zotero.org/users/1070015/items/5PE9LT95"],"itemData":{"id":3576,"type":"article-journal","container-title":"Capital University Law Review","page":"103-147","title":"Gender-Silent Legislative Drafting in a Non-Binary World","volume":"48","author":[{"family":"Revell","given":"Donald"},{"family":"Vapnek","given":"Jessica"}],"issued":{"date-parts":[["2020"]]}},"locator":"145","label":"page"}],"schema":"https://github.com/citation-style-language/schema/raw/master/csl-citation.json"} </w:instrText>
      </w:r>
      <w:r w:rsidR="00631125">
        <w:rPr>
          <w:rFonts w:ascii="Garamond" w:hAnsi="Garamond"/>
          <w:sz w:val="24"/>
          <w:szCs w:val="24"/>
          <w:lang w:val="en-US"/>
        </w:rPr>
        <w:fldChar w:fldCharType="separate"/>
      </w:r>
      <w:r w:rsidR="00631125">
        <w:rPr>
          <w:rFonts w:ascii="Garamond" w:hAnsi="Garamond"/>
          <w:noProof/>
          <w:sz w:val="24"/>
          <w:szCs w:val="24"/>
          <w:lang w:val="en-US"/>
        </w:rPr>
        <w:t>(Revell and Vapnek, 2020, p. 145)</w:t>
      </w:r>
      <w:r w:rsidR="00631125">
        <w:rPr>
          <w:rFonts w:ascii="Garamond" w:hAnsi="Garamond"/>
          <w:sz w:val="24"/>
          <w:szCs w:val="24"/>
          <w:lang w:val="en-US"/>
        </w:rPr>
        <w:fldChar w:fldCharType="end"/>
      </w:r>
      <w:r w:rsidR="00631125">
        <w:rPr>
          <w:rFonts w:ascii="Garamond" w:hAnsi="Garamond"/>
          <w:sz w:val="24"/>
          <w:szCs w:val="24"/>
          <w:lang w:val="en-US"/>
        </w:rPr>
        <w:t>.</w:t>
      </w:r>
    </w:p>
    <w:p w14:paraId="4127E3CA" w14:textId="3C896F2C" w:rsidR="001533FC" w:rsidRPr="00E004A2" w:rsidRDefault="009E1082" w:rsidP="00294CFB">
      <w:pPr>
        <w:widowControl w:val="0"/>
        <w:spacing w:line="480" w:lineRule="auto"/>
        <w:ind w:firstLine="720"/>
        <w:rPr>
          <w:rFonts w:ascii="Garamond" w:hAnsi="Garamond"/>
          <w:sz w:val="24"/>
          <w:szCs w:val="24"/>
          <w:lang w:val="en-US"/>
        </w:rPr>
      </w:pPr>
      <w:r w:rsidRPr="00E004A2">
        <w:rPr>
          <w:rFonts w:ascii="Garamond" w:hAnsi="Garamond"/>
          <w:sz w:val="24"/>
          <w:szCs w:val="24"/>
          <w:lang w:val="en-US"/>
        </w:rPr>
        <w:t>What emerges from this debate is a set</w:t>
      </w:r>
      <w:r w:rsidR="008D1839" w:rsidRPr="00E004A2">
        <w:rPr>
          <w:rFonts w:ascii="Garamond" w:hAnsi="Garamond"/>
          <w:sz w:val="24"/>
          <w:szCs w:val="24"/>
          <w:lang w:val="en-US"/>
        </w:rPr>
        <w:t xml:space="preserve"> of evolving drafting techniques</w:t>
      </w:r>
      <w:r w:rsidRPr="00E004A2">
        <w:rPr>
          <w:rFonts w:ascii="Garamond" w:hAnsi="Garamond"/>
          <w:sz w:val="24"/>
          <w:szCs w:val="24"/>
          <w:lang w:val="en-US"/>
        </w:rPr>
        <w:t xml:space="preserve"> that drafters use, re-assess, and drop or alter, depending on whether they work well and on wider legal, and particularly Parliamentary, debate. Drafters described coming up wi</w:t>
      </w:r>
      <w:r w:rsidR="008D1839" w:rsidRPr="00E004A2">
        <w:rPr>
          <w:rFonts w:ascii="Garamond" w:hAnsi="Garamond"/>
          <w:sz w:val="24"/>
          <w:szCs w:val="24"/>
          <w:lang w:val="en-US"/>
        </w:rPr>
        <w:t xml:space="preserve">th an initial set of practices </w:t>
      </w:r>
      <w:r w:rsidRPr="00E004A2">
        <w:rPr>
          <w:rFonts w:ascii="Garamond" w:hAnsi="Garamond"/>
          <w:sz w:val="24"/>
          <w:szCs w:val="24"/>
          <w:lang w:val="en-US"/>
        </w:rPr>
        <w:t xml:space="preserve">after the 2007 government statement, some of which became over-used when drafters started adopting them in other contexts. The overall impression is </w:t>
      </w:r>
      <w:r w:rsidR="00BC77AC" w:rsidRPr="00E004A2">
        <w:rPr>
          <w:rFonts w:ascii="Garamond" w:hAnsi="Garamond"/>
          <w:sz w:val="24"/>
          <w:szCs w:val="24"/>
          <w:lang w:val="en-US"/>
        </w:rPr>
        <w:t>that drafting practice</w:t>
      </w:r>
      <w:r w:rsidR="00641A07" w:rsidRPr="00E004A2">
        <w:rPr>
          <w:rFonts w:ascii="Garamond" w:hAnsi="Garamond"/>
          <w:sz w:val="24"/>
          <w:szCs w:val="24"/>
          <w:lang w:val="en-US"/>
        </w:rPr>
        <w:t xml:space="preserve"> is alive with </w:t>
      </w:r>
      <w:r w:rsidR="00641A07" w:rsidRPr="00E004A2">
        <w:rPr>
          <w:rFonts w:ascii="Garamond" w:hAnsi="Garamond"/>
          <w:sz w:val="24"/>
          <w:szCs w:val="24"/>
          <w:lang w:val="en-US"/>
        </w:rPr>
        <w:lastRenderedPageBreak/>
        <w:t>controversies of ‘contested usage’ (Dalmau 2019)</w:t>
      </w:r>
      <w:r w:rsidR="00CE3A68" w:rsidRPr="00E004A2">
        <w:rPr>
          <w:rFonts w:ascii="Garamond" w:hAnsi="Garamond"/>
          <w:sz w:val="24"/>
          <w:szCs w:val="24"/>
          <w:lang w:val="en-US"/>
        </w:rPr>
        <w:t xml:space="preserve"> and</w:t>
      </w:r>
      <w:r w:rsidR="00BC77AC" w:rsidRPr="00E004A2">
        <w:rPr>
          <w:rFonts w:ascii="Garamond" w:hAnsi="Garamond"/>
          <w:sz w:val="24"/>
          <w:szCs w:val="24"/>
          <w:lang w:val="en-US"/>
        </w:rPr>
        <w:t xml:space="preserve"> fosters</w:t>
      </w:r>
      <w:r w:rsidRPr="00E004A2">
        <w:rPr>
          <w:rFonts w:ascii="Garamond" w:hAnsi="Garamond"/>
          <w:sz w:val="24"/>
          <w:szCs w:val="24"/>
          <w:lang w:val="en-US"/>
        </w:rPr>
        <w:t xml:space="preserve"> ‘techni</w:t>
      </w:r>
      <w:r w:rsidR="00BC77AC" w:rsidRPr="00E004A2">
        <w:rPr>
          <w:rFonts w:ascii="Garamond" w:hAnsi="Garamond"/>
          <w:sz w:val="24"/>
          <w:szCs w:val="24"/>
          <w:lang w:val="en-US"/>
        </w:rPr>
        <w:t xml:space="preserve">cal pluralism’ </w:t>
      </w:r>
      <w:r w:rsidR="00047325"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{"citationID":"c9q0VD4F","properties":{"formattedCitation":"(Grabham, 2016)","plainCitation":"(Grabham, 2016)","noteIndex":0},"citationItems":[{"id":693,"uris":["http://zotero.org/users/1070015/items/8U98BR7N"],"uri":["http://zotero.org/users/1070015/items/8U98BR7N"],"itemData":{"id":693,"type":"article-journal","abstract":"This paper aims to bring an appreciation of legal form, technicalities, and legislative drafting to growing interdisciplinary literatures on time and governance. Scholarship across politics, geography, science studies and anthropology continues to trace the productive force and specific qualities of diverse temporal horizons. At the same time socio-legal scholars increasingly focus on the work of making and negotiating law, engaging with the dogged, everyday work of legal experts and bureaucrats. Yet little attention has been paid, to date, to the work of legislative drafters. This paper follows the ‘legal lives’ of qualifying periods on family-friendly employment rights. As examples of legal technicalities that work with time, qualifying periods form an important part of the regulatory structure that separates precarious workers from ‘regular’ employees in UK law. Drawing on documentary research and interviews with policy experts, union activists and legislative drafters, this paper focuses on the formal qualities of qualifying periods, arguing that these legal technicalities conjure time and legal form as inextricable. Whenever law becomes relevant to conversations about time and governance, we could usefully pay attention to the idiosyncrasies and controversies occupying legal form and legislative drafting.","container-title":"Economy and Society","DOI":"10.1080/03085147.2016.1257257","ISSN":"0308-5147","issue":"3-4","page":"379-406","source":"Taylor and Francis+NEJM","title":"Time and technique: the legal lives of the 26-week qualifying period","title-short":"Time and technique","volume":"45","author":[{"family":"Grabham","given":"Emily"}],"issued":{"date-parts":[["2016",10,1]]}}}],"schema":"https://github.com/citation-style-language/schema/raw/master/csl-citation.json"} </w:instrText>
      </w:r>
      <w:r w:rsidR="00047325" w:rsidRPr="00E004A2">
        <w:rPr>
          <w:rFonts w:ascii="Garamond" w:hAnsi="Garamond"/>
          <w:sz w:val="24"/>
          <w:szCs w:val="24"/>
          <w:lang w:val="en-US"/>
        </w:rPr>
        <w:fldChar w:fldCharType="separate"/>
      </w:r>
      <w:r w:rsidR="004F3785">
        <w:rPr>
          <w:rFonts w:ascii="Garamond" w:hAnsi="Garamond"/>
          <w:noProof/>
          <w:sz w:val="24"/>
          <w:szCs w:val="24"/>
          <w:lang w:val="en-US"/>
        </w:rPr>
        <w:t>(Grabham, 2016)</w:t>
      </w:r>
      <w:r w:rsidR="00047325" w:rsidRPr="00E004A2">
        <w:rPr>
          <w:rFonts w:ascii="Garamond" w:hAnsi="Garamond"/>
          <w:sz w:val="24"/>
          <w:szCs w:val="24"/>
          <w:lang w:val="en-US"/>
        </w:rPr>
        <w:fldChar w:fldCharType="end"/>
      </w:r>
      <w:r w:rsidR="00BC77AC" w:rsidRPr="00E004A2">
        <w:rPr>
          <w:rFonts w:ascii="Garamond" w:hAnsi="Garamond"/>
          <w:sz w:val="24"/>
          <w:szCs w:val="24"/>
          <w:lang w:val="en-US"/>
        </w:rPr>
        <w:t xml:space="preserve"> through</w:t>
      </w:r>
      <w:r w:rsidRPr="00E004A2">
        <w:rPr>
          <w:rFonts w:ascii="Garamond" w:hAnsi="Garamond"/>
          <w:sz w:val="24"/>
          <w:szCs w:val="24"/>
          <w:lang w:val="en-US"/>
        </w:rPr>
        <w:t xml:space="preserve"> which multiple</w:t>
      </w:r>
      <w:r w:rsidR="008D1839" w:rsidRPr="00E004A2">
        <w:rPr>
          <w:rFonts w:ascii="Garamond" w:hAnsi="Garamond"/>
          <w:sz w:val="24"/>
          <w:szCs w:val="24"/>
          <w:lang w:val="en-US"/>
        </w:rPr>
        <w:t xml:space="preserve"> techniques are adopted, developed, and phased out</w:t>
      </w:r>
      <w:r w:rsidR="006C41D7" w:rsidRPr="00E004A2">
        <w:rPr>
          <w:rFonts w:ascii="Garamond" w:hAnsi="Garamond"/>
          <w:sz w:val="24"/>
          <w:szCs w:val="24"/>
          <w:lang w:val="en-US"/>
        </w:rPr>
        <w:t xml:space="preserve"> (if necessary)</w:t>
      </w:r>
      <w:r w:rsidR="008D1839" w:rsidRPr="00E004A2">
        <w:rPr>
          <w:rFonts w:ascii="Garamond" w:hAnsi="Garamond"/>
          <w:sz w:val="24"/>
          <w:szCs w:val="24"/>
          <w:lang w:val="en-US"/>
        </w:rPr>
        <w:t xml:space="preserve"> over a field of legislation. As indicated, each of these techniques</w:t>
      </w:r>
      <w:r w:rsidR="00BC77AC" w:rsidRPr="00E004A2">
        <w:rPr>
          <w:rFonts w:ascii="Garamond" w:hAnsi="Garamond"/>
          <w:sz w:val="24"/>
          <w:szCs w:val="24"/>
          <w:lang w:val="en-US"/>
        </w:rPr>
        <w:t xml:space="preserve"> is associated with a slightly different political ontology of </w:t>
      </w:r>
      <w:r w:rsidR="00664C0D" w:rsidRPr="00E004A2">
        <w:rPr>
          <w:rFonts w:ascii="Garamond" w:hAnsi="Garamond"/>
          <w:sz w:val="24"/>
          <w:szCs w:val="24"/>
          <w:lang w:val="en-US"/>
        </w:rPr>
        <w:t>sex/</w:t>
      </w:r>
      <w:r w:rsidR="00BC77AC" w:rsidRPr="00E004A2">
        <w:rPr>
          <w:rFonts w:ascii="Garamond" w:hAnsi="Garamond"/>
          <w:sz w:val="24"/>
          <w:szCs w:val="24"/>
          <w:lang w:val="en-US"/>
        </w:rPr>
        <w:t xml:space="preserve">gender. </w:t>
      </w:r>
      <w:r w:rsidR="008D1839" w:rsidRPr="00E004A2">
        <w:rPr>
          <w:rFonts w:ascii="Garamond" w:hAnsi="Garamond"/>
          <w:sz w:val="24"/>
          <w:szCs w:val="24"/>
          <w:lang w:val="en-US"/>
        </w:rPr>
        <w:t xml:space="preserve">That these very different orders of thinking </w:t>
      </w:r>
      <w:r w:rsidR="00CE4EF3" w:rsidRPr="00E004A2">
        <w:rPr>
          <w:rFonts w:ascii="Garamond" w:hAnsi="Garamond"/>
          <w:sz w:val="24"/>
          <w:szCs w:val="24"/>
          <w:lang w:val="en-US"/>
        </w:rPr>
        <w:t xml:space="preserve">about </w:t>
      </w:r>
      <w:r w:rsidR="00D30C51" w:rsidRPr="00E004A2">
        <w:rPr>
          <w:rFonts w:ascii="Garamond" w:hAnsi="Garamond"/>
          <w:sz w:val="24"/>
          <w:szCs w:val="24"/>
          <w:lang w:val="en-US"/>
        </w:rPr>
        <w:t>sex/</w:t>
      </w:r>
      <w:r w:rsidR="008D1839" w:rsidRPr="00E004A2">
        <w:rPr>
          <w:rFonts w:ascii="Garamond" w:hAnsi="Garamond"/>
          <w:sz w:val="24"/>
          <w:szCs w:val="24"/>
          <w:lang w:val="en-US"/>
        </w:rPr>
        <w:t xml:space="preserve">gender attach to distinct drafting techniques provides fascinating material for </w:t>
      </w:r>
      <w:r w:rsidR="006C41D7" w:rsidRPr="00E004A2">
        <w:rPr>
          <w:rFonts w:ascii="Garamond" w:hAnsi="Garamond"/>
          <w:sz w:val="24"/>
          <w:szCs w:val="24"/>
          <w:lang w:val="en-US"/>
        </w:rPr>
        <w:t>the project’</w:t>
      </w:r>
      <w:r w:rsidR="00CE4EF3" w:rsidRPr="00E004A2">
        <w:rPr>
          <w:rFonts w:ascii="Garamond" w:hAnsi="Garamond"/>
          <w:sz w:val="24"/>
          <w:szCs w:val="24"/>
          <w:lang w:val="en-US"/>
        </w:rPr>
        <w:t>s ongoing work on statutory law.</w:t>
      </w:r>
    </w:p>
    <w:p w14:paraId="325A9553" w14:textId="77777777" w:rsidR="001533FC" w:rsidRPr="00E004A2" w:rsidRDefault="001533FC" w:rsidP="001533FC">
      <w:pPr>
        <w:widowControl w:val="0"/>
        <w:tabs>
          <w:tab w:val="left" w:pos="720"/>
          <w:tab w:val="left" w:pos="1440"/>
          <w:tab w:val="left" w:pos="2160"/>
          <w:tab w:val="left" w:pos="2880"/>
          <w:tab w:val="left" w:pos="3600"/>
          <w:tab w:val="left" w:pos="4320"/>
        </w:tabs>
        <w:rPr>
          <w:rFonts w:ascii="Garamond" w:hAnsi="Garamond"/>
          <w:sz w:val="24"/>
          <w:szCs w:val="24"/>
          <w:lang w:val="en-US"/>
        </w:rPr>
      </w:pPr>
    </w:p>
    <w:p w14:paraId="64F6268E" w14:textId="77777777" w:rsidR="00A95729" w:rsidRDefault="00A95729" w:rsidP="001533FC">
      <w:pPr>
        <w:widowControl w:val="0"/>
        <w:tabs>
          <w:tab w:val="left" w:pos="720"/>
          <w:tab w:val="left" w:pos="1440"/>
          <w:tab w:val="left" w:pos="2160"/>
          <w:tab w:val="left" w:pos="2880"/>
          <w:tab w:val="left" w:pos="3600"/>
          <w:tab w:val="left" w:pos="4320"/>
        </w:tabs>
        <w:rPr>
          <w:rFonts w:ascii="Garamond" w:hAnsi="Garamond"/>
          <w:bCs/>
          <w:i/>
          <w:iCs/>
          <w:sz w:val="24"/>
          <w:szCs w:val="24"/>
          <w:lang w:val="en-US"/>
        </w:rPr>
      </w:pPr>
    </w:p>
    <w:p w14:paraId="581F5BEE" w14:textId="135953F2" w:rsidR="001533FC" w:rsidRDefault="00AE5AE7" w:rsidP="00AB3405">
      <w:pPr>
        <w:pStyle w:val="Heading2"/>
        <w:rPr>
          <w:lang w:val="en-US"/>
        </w:rPr>
      </w:pPr>
      <w:r w:rsidRPr="00F30512">
        <w:rPr>
          <w:lang w:val="en-US"/>
        </w:rPr>
        <w:t>Balls, Bones, and Grenades</w:t>
      </w:r>
    </w:p>
    <w:p w14:paraId="043428AB" w14:textId="77777777" w:rsidR="006F5A60" w:rsidRPr="00F30512" w:rsidRDefault="006F5A60" w:rsidP="001533FC">
      <w:pPr>
        <w:widowControl w:val="0"/>
        <w:tabs>
          <w:tab w:val="left" w:pos="720"/>
          <w:tab w:val="left" w:pos="1440"/>
          <w:tab w:val="left" w:pos="2160"/>
          <w:tab w:val="left" w:pos="2880"/>
          <w:tab w:val="left" w:pos="3600"/>
          <w:tab w:val="left" w:pos="4320"/>
        </w:tabs>
        <w:rPr>
          <w:rFonts w:ascii="Garamond" w:hAnsi="Garamond"/>
          <w:bCs/>
          <w:i/>
          <w:iCs/>
          <w:sz w:val="24"/>
          <w:szCs w:val="24"/>
          <w:lang w:val="en-US"/>
        </w:rPr>
      </w:pPr>
    </w:p>
    <w:p w14:paraId="46169DF1" w14:textId="77777777" w:rsidR="00C33056" w:rsidRPr="00E004A2" w:rsidRDefault="00C33056" w:rsidP="001533FC">
      <w:pPr>
        <w:widowControl w:val="0"/>
        <w:tabs>
          <w:tab w:val="left" w:pos="720"/>
          <w:tab w:val="left" w:pos="1440"/>
          <w:tab w:val="left" w:pos="2160"/>
          <w:tab w:val="left" w:pos="2880"/>
          <w:tab w:val="left" w:pos="3600"/>
          <w:tab w:val="left" w:pos="4320"/>
        </w:tabs>
        <w:rPr>
          <w:rFonts w:ascii="Garamond" w:hAnsi="Garamond"/>
          <w:b/>
          <w:sz w:val="24"/>
          <w:szCs w:val="24"/>
          <w:lang w:val="en-US"/>
        </w:rPr>
      </w:pPr>
    </w:p>
    <w:p w14:paraId="6CB5F047" w14:textId="77777777" w:rsidR="00C33056" w:rsidRPr="00E004A2" w:rsidRDefault="00C33056"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sz w:val="24"/>
          <w:szCs w:val="24"/>
          <w:lang w:val="en-US"/>
        </w:rPr>
        <w:t>In preparation for this debate, I asked myself: what is the English language? (Lord Kennedy of Southwark, HL Deb 12 Dec 2013, col 1010)</w:t>
      </w:r>
    </w:p>
    <w:p w14:paraId="1ACFC9CF" w14:textId="77777777" w:rsidR="002E588E" w:rsidRPr="00E004A2" w:rsidRDefault="002E588E"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p>
    <w:p w14:paraId="307DC0F9" w14:textId="71A36696" w:rsidR="002E588E" w:rsidRPr="00E004A2" w:rsidRDefault="002E588E" w:rsidP="00657A32">
      <w:pPr>
        <w:widowControl w:val="0"/>
        <w:tabs>
          <w:tab w:val="left" w:pos="720"/>
          <w:tab w:val="left" w:pos="1440"/>
          <w:tab w:val="left" w:pos="2160"/>
          <w:tab w:val="left" w:pos="2880"/>
          <w:tab w:val="left" w:pos="3600"/>
          <w:tab w:val="left" w:pos="4320"/>
        </w:tabs>
        <w:spacing w:line="480" w:lineRule="auto"/>
        <w:ind w:left="720"/>
        <w:rPr>
          <w:rFonts w:ascii="Garamond" w:hAnsi="Garamond"/>
          <w:sz w:val="24"/>
          <w:szCs w:val="24"/>
          <w:lang w:val="en-US"/>
        </w:rPr>
      </w:pPr>
      <w:r w:rsidRPr="00E004A2">
        <w:rPr>
          <w:rFonts w:ascii="Garamond" w:hAnsi="Garamond"/>
          <w:sz w:val="24"/>
          <w:szCs w:val="24"/>
          <w:lang w:val="en-US"/>
        </w:rPr>
        <w:t xml:space="preserve">.. the question is are the drafters communicating or are they simply passing on others’ attempts to </w:t>
      </w:r>
      <w:r w:rsidR="00047325" w:rsidRPr="00E004A2">
        <w:rPr>
          <w:rFonts w:ascii="Garamond" w:hAnsi="Garamond"/>
          <w:sz w:val="24"/>
          <w:szCs w:val="24"/>
          <w:lang w:val="en-US"/>
        </w:rPr>
        <w:t xml:space="preserve">communicate? </w:t>
      </w:r>
      <w:r w:rsidR="00047325" w:rsidRPr="00E004A2">
        <w:rPr>
          <w:rFonts w:ascii="Garamond" w:hAnsi="Garamond"/>
          <w:sz w:val="24"/>
          <w:szCs w:val="24"/>
          <w:lang w:val="en-US"/>
        </w:rPr>
        <w:fldChar w:fldCharType="begin"/>
      </w:r>
      <w:r w:rsidR="004F3785">
        <w:rPr>
          <w:rFonts w:ascii="Garamond" w:hAnsi="Garamond"/>
          <w:sz w:val="24"/>
          <w:szCs w:val="24"/>
          <w:lang w:val="en-US"/>
        </w:rPr>
        <w:instrText xml:space="preserve"> ADDIN ZOTERO_ITEM CSL_CITATION {"citationID":"2ILaO5MN","properties":{"formattedCitation":"(Stefanou, 2015, p. 4)","plainCitation":"(Stefanou, 2015, p. 4)","noteIndex":0},"citationItems":[{"id":2730,"uris":["http://zotero.org/groups/1576676/items/JTTEBX8H"],"uri":["http://zotero.org/groups/1576676/items/JTTEBX8H"],"itemData":{"id":2730,"type":"chapter","container-title":"Enhancing Legislative Drafting in the Commonwealth: A Wealth of Innovation","page":"4-13","publisher":"Routledge","title":"Is legislative drafting a form of communication?","author":[{"family":"Stefanou","given":"Constantic"}],"issued":{"date-parts":[["2015"]]}},"locator":"4","label":"page"}],"schema":"https://github.com/citation-style-language/schema/raw/master/csl-citation.json"} </w:instrText>
      </w:r>
      <w:r w:rsidR="00047325" w:rsidRPr="00E004A2">
        <w:rPr>
          <w:rFonts w:ascii="Garamond" w:hAnsi="Garamond"/>
          <w:sz w:val="24"/>
          <w:szCs w:val="24"/>
          <w:lang w:val="en-US"/>
        </w:rPr>
        <w:fldChar w:fldCharType="separate"/>
      </w:r>
      <w:r w:rsidR="004F3785">
        <w:rPr>
          <w:rFonts w:ascii="Garamond" w:hAnsi="Garamond"/>
          <w:noProof/>
          <w:sz w:val="24"/>
          <w:szCs w:val="24"/>
          <w:lang w:val="en-US"/>
        </w:rPr>
        <w:t>(Stefanou, 2015, p. 4)</w:t>
      </w:r>
      <w:r w:rsidR="00047325" w:rsidRPr="00E004A2">
        <w:rPr>
          <w:rFonts w:ascii="Garamond" w:hAnsi="Garamond"/>
          <w:sz w:val="24"/>
          <w:szCs w:val="24"/>
          <w:lang w:val="en-US"/>
        </w:rPr>
        <w:fldChar w:fldCharType="end"/>
      </w:r>
    </w:p>
    <w:p w14:paraId="6360E1D4" w14:textId="77777777" w:rsidR="000D1D53" w:rsidRPr="00E004A2" w:rsidRDefault="00CF7257" w:rsidP="00657A32">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sidRPr="00E004A2">
        <w:rPr>
          <w:rFonts w:ascii="Garamond" w:hAnsi="Garamond"/>
          <w:kern w:val="1"/>
          <w:sz w:val="24"/>
          <w:szCs w:val="24"/>
          <w:highlight w:val="white"/>
        </w:rPr>
        <w:tab/>
      </w:r>
    </w:p>
    <w:p w14:paraId="16C465E6" w14:textId="4DB3FA58" w:rsidR="00CF7257" w:rsidRPr="00E004A2" w:rsidRDefault="00C16D29" w:rsidP="00657A32">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highlight w:val="white"/>
        </w:rPr>
      </w:pPr>
      <w:r w:rsidRPr="00E004A2">
        <w:rPr>
          <w:rFonts w:ascii="Garamond" w:hAnsi="Garamond"/>
          <w:sz w:val="24"/>
          <w:szCs w:val="24"/>
        </w:rPr>
        <w:t>W</w:t>
      </w:r>
      <w:r w:rsidR="00CF7257" w:rsidRPr="00E004A2">
        <w:rPr>
          <w:rFonts w:ascii="Garamond" w:hAnsi="Garamond"/>
          <w:sz w:val="24"/>
          <w:szCs w:val="24"/>
        </w:rPr>
        <w:t>hat does the drafting feel like</w:t>
      </w:r>
      <w:r w:rsidRPr="00E004A2">
        <w:rPr>
          <w:rFonts w:ascii="Garamond" w:hAnsi="Garamond"/>
          <w:sz w:val="24"/>
          <w:szCs w:val="24"/>
        </w:rPr>
        <w:t>? T</w:t>
      </w:r>
      <w:r w:rsidR="00CF7257" w:rsidRPr="00E004A2">
        <w:rPr>
          <w:rFonts w:ascii="Garamond" w:hAnsi="Garamond"/>
          <w:sz w:val="24"/>
          <w:szCs w:val="24"/>
        </w:rPr>
        <w:t xml:space="preserve">he drafting feels like juggling a number of different </w:t>
      </w:r>
      <w:r w:rsidR="00CF7257" w:rsidRPr="00F315BD">
        <w:rPr>
          <w:rFonts w:ascii="Garamond" w:hAnsi="Garamond"/>
          <w:sz w:val="24"/>
          <w:szCs w:val="24"/>
        </w:rPr>
        <w:t xml:space="preserve">balls in the air, </w:t>
      </w:r>
      <w:r w:rsidR="00F315BD">
        <w:rPr>
          <w:rFonts w:ascii="Garamond" w:hAnsi="Garamond"/>
          <w:sz w:val="24"/>
          <w:szCs w:val="24"/>
        </w:rPr>
        <w:t>I suppose</w:t>
      </w:r>
      <w:r w:rsidR="00CF7257" w:rsidRPr="00F315BD">
        <w:rPr>
          <w:rFonts w:ascii="Garamond" w:hAnsi="Garamond"/>
          <w:sz w:val="24"/>
          <w:szCs w:val="24"/>
        </w:rPr>
        <w:t xml:space="preserve"> if you want an overused </w:t>
      </w:r>
      <w:r w:rsidRPr="00F315BD">
        <w:rPr>
          <w:rFonts w:ascii="Garamond" w:hAnsi="Garamond"/>
          <w:sz w:val="24"/>
          <w:szCs w:val="24"/>
        </w:rPr>
        <w:t>metaphor [laughs]. A</w:t>
      </w:r>
      <w:r w:rsidR="00CF7257" w:rsidRPr="00F315BD">
        <w:rPr>
          <w:rFonts w:ascii="Garamond" w:hAnsi="Garamond"/>
          <w:sz w:val="24"/>
          <w:szCs w:val="24"/>
        </w:rPr>
        <w:t>nd they are</w:t>
      </w:r>
      <w:r w:rsidR="00CF7257" w:rsidRPr="00E004A2">
        <w:rPr>
          <w:rFonts w:ascii="Garamond" w:hAnsi="Garamond"/>
          <w:sz w:val="24"/>
          <w:szCs w:val="24"/>
        </w:rPr>
        <w:t xml:space="preserve"> not all balls. Some of them are bones. Some of them are grenades.</w:t>
      </w:r>
      <w:r w:rsidRPr="00E004A2">
        <w:rPr>
          <w:rFonts w:ascii="Garamond" w:hAnsi="Garamond"/>
          <w:sz w:val="24"/>
          <w:szCs w:val="24"/>
        </w:rPr>
        <w:t xml:space="preserve"> (Feminist legal scholar, 2019)</w:t>
      </w:r>
    </w:p>
    <w:p w14:paraId="2728C5F6" w14:textId="77777777" w:rsidR="00C37448" w:rsidRDefault="00C37448" w:rsidP="00C32A7A">
      <w:pPr>
        <w:tabs>
          <w:tab w:val="left" w:pos="720"/>
          <w:tab w:val="left" w:pos="1440"/>
          <w:tab w:val="left" w:pos="2160"/>
          <w:tab w:val="left" w:pos="2880"/>
          <w:tab w:val="left" w:pos="3600"/>
          <w:tab w:val="left" w:pos="4320"/>
        </w:tabs>
        <w:spacing w:line="480" w:lineRule="auto"/>
        <w:rPr>
          <w:rFonts w:ascii="Garamond" w:hAnsi="Garamond"/>
          <w:kern w:val="1"/>
          <w:sz w:val="24"/>
          <w:szCs w:val="24"/>
        </w:rPr>
      </w:pPr>
    </w:p>
    <w:p w14:paraId="69643EB0" w14:textId="59794E42" w:rsidR="00FE733C" w:rsidRDefault="00AE70AF" w:rsidP="0098315D">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T</w:t>
      </w:r>
      <w:r w:rsidR="0067736B" w:rsidRPr="00E004A2">
        <w:rPr>
          <w:rFonts w:ascii="Garamond" w:hAnsi="Garamond"/>
          <w:kern w:val="1"/>
          <w:sz w:val="24"/>
          <w:szCs w:val="24"/>
        </w:rPr>
        <w:t>his article has chart</w:t>
      </w:r>
      <w:r w:rsidRPr="00E004A2">
        <w:rPr>
          <w:rFonts w:ascii="Garamond" w:hAnsi="Garamond"/>
          <w:kern w:val="1"/>
          <w:sz w:val="24"/>
          <w:szCs w:val="24"/>
        </w:rPr>
        <w:t>ed</w:t>
      </w:r>
      <w:r w:rsidR="0067736B" w:rsidRPr="00E004A2">
        <w:rPr>
          <w:rFonts w:ascii="Garamond" w:hAnsi="Garamond"/>
          <w:kern w:val="1"/>
          <w:sz w:val="24"/>
          <w:szCs w:val="24"/>
        </w:rPr>
        <w:t xml:space="preserve"> longstanding and more recent debates in legislative drafting about the expression of </w:t>
      </w:r>
      <w:r w:rsidR="000230FD" w:rsidRPr="00E004A2">
        <w:rPr>
          <w:rFonts w:ascii="Garamond" w:hAnsi="Garamond"/>
          <w:kern w:val="1"/>
          <w:sz w:val="24"/>
          <w:szCs w:val="24"/>
        </w:rPr>
        <w:t>sex/</w:t>
      </w:r>
      <w:r w:rsidR="0067736B" w:rsidRPr="00E004A2">
        <w:rPr>
          <w:rFonts w:ascii="Garamond" w:hAnsi="Garamond"/>
          <w:kern w:val="1"/>
          <w:sz w:val="24"/>
          <w:szCs w:val="24"/>
        </w:rPr>
        <w:t xml:space="preserve">gender </w:t>
      </w:r>
      <w:r w:rsidR="000D1D53" w:rsidRPr="00E004A2">
        <w:rPr>
          <w:rFonts w:ascii="Garamond" w:hAnsi="Garamond"/>
          <w:kern w:val="1"/>
          <w:sz w:val="24"/>
          <w:szCs w:val="24"/>
        </w:rPr>
        <w:t xml:space="preserve">in order </w:t>
      </w:r>
      <w:r w:rsidR="0067736B" w:rsidRPr="00E004A2">
        <w:rPr>
          <w:rFonts w:ascii="Garamond" w:hAnsi="Garamond"/>
          <w:kern w:val="1"/>
          <w:sz w:val="24"/>
          <w:szCs w:val="24"/>
        </w:rPr>
        <w:t xml:space="preserve">to provide a </w:t>
      </w:r>
      <w:r w:rsidR="00B92046" w:rsidRPr="00E004A2">
        <w:rPr>
          <w:rFonts w:ascii="Garamond" w:hAnsi="Garamond"/>
          <w:kern w:val="1"/>
          <w:sz w:val="24"/>
          <w:szCs w:val="24"/>
        </w:rPr>
        <w:t xml:space="preserve">basis </w:t>
      </w:r>
      <w:r w:rsidR="0067736B" w:rsidRPr="00E004A2">
        <w:rPr>
          <w:rFonts w:ascii="Garamond" w:hAnsi="Garamond"/>
          <w:kern w:val="1"/>
          <w:sz w:val="24"/>
          <w:szCs w:val="24"/>
        </w:rPr>
        <w:t>for the project’s future work</w:t>
      </w:r>
      <w:r w:rsidR="000D1D53" w:rsidRPr="00E004A2">
        <w:rPr>
          <w:rFonts w:ascii="Garamond" w:hAnsi="Garamond"/>
          <w:kern w:val="1"/>
          <w:sz w:val="24"/>
          <w:szCs w:val="24"/>
        </w:rPr>
        <w:t xml:space="preserve"> on a</w:t>
      </w:r>
      <w:r w:rsidR="00D30C51" w:rsidRPr="00E004A2">
        <w:rPr>
          <w:rFonts w:ascii="Garamond" w:hAnsi="Garamond"/>
          <w:kern w:val="1"/>
          <w:sz w:val="24"/>
          <w:szCs w:val="24"/>
        </w:rPr>
        <w:t xml:space="preserve">n experimental </w:t>
      </w:r>
      <w:r w:rsidR="000D1D53" w:rsidRPr="00E004A2">
        <w:rPr>
          <w:rFonts w:ascii="Garamond" w:hAnsi="Garamond"/>
          <w:kern w:val="1"/>
          <w:sz w:val="24"/>
          <w:szCs w:val="24"/>
        </w:rPr>
        <w:t>statute decertifying gender</w:t>
      </w:r>
      <w:r w:rsidR="00B8732A" w:rsidRPr="00E004A2">
        <w:rPr>
          <w:rFonts w:ascii="Garamond" w:hAnsi="Garamond"/>
          <w:kern w:val="1"/>
          <w:sz w:val="24"/>
          <w:szCs w:val="24"/>
        </w:rPr>
        <w:t xml:space="preserve"> in law</w:t>
      </w:r>
      <w:r w:rsidR="002C03BD" w:rsidRPr="00E004A2">
        <w:rPr>
          <w:rFonts w:ascii="Garamond" w:hAnsi="Garamond"/>
          <w:kern w:val="1"/>
          <w:sz w:val="24"/>
          <w:szCs w:val="24"/>
        </w:rPr>
        <w:t xml:space="preserve">. </w:t>
      </w:r>
      <w:r w:rsidR="00FE379D" w:rsidRPr="00E004A2">
        <w:rPr>
          <w:rFonts w:ascii="Garamond" w:hAnsi="Garamond"/>
          <w:kern w:val="1"/>
          <w:sz w:val="24"/>
          <w:szCs w:val="24"/>
        </w:rPr>
        <w:t>With that in mind,</w:t>
      </w:r>
      <w:r w:rsidR="006C41D7" w:rsidRPr="00E004A2">
        <w:rPr>
          <w:rFonts w:ascii="Garamond" w:hAnsi="Garamond"/>
          <w:kern w:val="1"/>
          <w:sz w:val="24"/>
          <w:szCs w:val="24"/>
        </w:rPr>
        <w:t xml:space="preserve"> </w:t>
      </w:r>
      <w:r w:rsidR="00F615B3" w:rsidRPr="00E004A2">
        <w:rPr>
          <w:rFonts w:ascii="Garamond" w:hAnsi="Garamond"/>
          <w:kern w:val="1"/>
          <w:sz w:val="24"/>
          <w:szCs w:val="24"/>
        </w:rPr>
        <w:t xml:space="preserve">the </w:t>
      </w:r>
      <w:r w:rsidR="00F615B3" w:rsidRPr="00E004A2">
        <w:rPr>
          <w:rFonts w:ascii="Garamond" w:hAnsi="Garamond"/>
          <w:i/>
          <w:iCs/>
          <w:kern w:val="1"/>
          <w:sz w:val="24"/>
          <w:szCs w:val="24"/>
        </w:rPr>
        <w:t>Future of Legal Gender</w:t>
      </w:r>
      <w:r w:rsidR="006C41D7" w:rsidRPr="00E004A2">
        <w:rPr>
          <w:rFonts w:ascii="Garamond" w:hAnsi="Garamond"/>
          <w:kern w:val="1"/>
          <w:sz w:val="24"/>
          <w:szCs w:val="24"/>
        </w:rPr>
        <w:t xml:space="preserve"> project has</w:t>
      </w:r>
      <w:r w:rsidR="003912CA" w:rsidRPr="00E004A2">
        <w:rPr>
          <w:rFonts w:ascii="Garamond" w:hAnsi="Garamond"/>
          <w:kern w:val="1"/>
          <w:sz w:val="24"/>
          <w:szCs w:val="24"/>
        </w:rPr>
        <w:t xml:space="preserve"> two</w:t>
      </w:r>
      <w:r w:rsidR="006C41D7" w:rsidRPr="00E004A2">
        <w:rPr>
          <w:rFonts w:ascii="Garamond" w:hAnsi="Garamond"/>
          <w:kern w:val="1"/>
          <w:sz w:val="24"/>
          <w:szCs w:val="24"/>
        </w:rPr>
        <w:t xml:space="preserve"> main</w:t>
      </w:r>
      <w:r w:rsidR="003912CA" w:rsidRPr="00E004A2">
        <w:rPr>
          <w:rFonts w:ascii="Garamond" w:hAnsi="Garamond"/>
          <w:kern w:val="1"/>
          <w:sz w:val="24"/>
          <w:szCs w:val="24"/>
        </w:rPr>
        <w:t xml:space="preserve"> sets of questions to consider</w:t>
      </w:r>
      <w:r w:rsidR="002D7F1F" w:rsidRPr="00E004A2">
        <w:rPr>
          <w:rFonts w:ascii="Garamond" w:hAnsi="Garamond"/>
          <w:kern w:val="1"/>
          <w:sz w:val="24"/>
          <w:szCs w:val="24"/>
        </w:rPr>
        <w:t xml:space="preserve"> in relation to legislative drafting</w:t>
      </w:r>
      <w:r w:rsidR="003912CA" w:rsidRPr="00E004A2">
        <w:rPr>
          <w:rFonts w:ascii="Garamond" w:hAnsi="Garamond"/>
          <w:kern w:val="1"/>
          <w:sz w:val="24"/>
          <w:szCs w:val="24"/>
        </w:rPr>
        <w:t>. The first is how to achieve decertification in a</w:t>
      </w:r>
      <w:r w:rsidR="00F615B3" w:rsidRPr="00E004A2">
        <w:rPr>
          <w:rFonts w:ascii="Garamond" w:hAnsi="Garamond"/>
          <w:kern w:val="1"/>
          <w:sz w:val="24"/>
          <w:szCs w:val="24"/>
        </w:rPr>
        <w:t>n experimental</w:t>
      </w:r>
      <w:r w:rsidR="003912CA" w:rsidRPr="00E004A2">
        <w:rPr>
          <w:rFonts w:ascii="Garamond" w:hAnsi="Garamond"/>
          <w:kern w:val="1"/>
          <w:sz w:val="24"/>
          <w:szCs w:val="24"/>
        </w:rPr>
        <w:t xml:space="preserve"> statute –</w:t>
      </w:r>
      <w:r w:rsidR="0040038E">
        <w:rPr>
          <w:rFonts w:ascii="Garamond" w:hAnsi="Garamond"/>
          <w:kern w:val="1"/>
          <w:sz w:val="24"/>
          <w:szCs w:val="24"/>
        </w:rPr>
        <w:t xml:space="preserve"> </w:t>
      </w:r>
      <w:r w:rsidR="005B561F" w:rsidRPr="00E004A2">
        <w:rPr>
          <w:rFonts w:ascii="Garamond" w:hAnsi="Garamond"/>
          <w:kern w:val="1"/>
          <w:sz w:val="24"/>
          <w:szCs w:val="24"/>
        </w:rPr>
        <w:t xml:space="preserve">how to </w:t>
      </w:r>
      <w:r w:rsidR="003912CA" w:rsidRPr="00E004A2">
        <w:rPr>
          <w:rFonts w:ascii="Garamond" w:hAnsi="Garamond"/>
          <w:kern w:val="1"/>
          <w:sz w:val="24"/>
          <w:szCs w:val="24"/>
        </w:rPr>
        <w:t xml:space="preserve">draft </w:t>
      </w:r>
      <w:r w:rsidR="005B561F" w:rsidRPr="00E004A2">
        <w:rPr>
          <w:rFonts w:ascii="Garamond" w:hAnsi="Garamond"/>
          <w:kern w:val="1"/>
          <w:sz w:val="24"/>
          <w:szCs w:val="24"/>
        </w:rPr>
        <w:t>the statute</w:t>
      </w:r>
      <w:r w:rsidR="003912CA" w:rsidRPr="00E004A2">
        <w:rPr>
          <w:rFonts w:ascii="Garamond" w:hAnsi="Garamond"/>
          <w:kern w:val="1"/>
          <w:sz w:val="24"/>
          <w:szCs w:val="24"/>
        </w:rPr>
        <w:t>, what principles</w:t>
      </w:r>
      <w:r w:rsidR="00041A99" w:rsidRPr="00E004A2">
        <w:rPr>
          <w:rFonts w:ascii="Garamond" w:hAnsi="Garamond"/>
          <w:kern w:val="1"/>
          <w:sz w:val="24"/>
          <w:szCs w:val="24"/>
        </w:rPr>
        <w:t xml:space="preserve"> and sources</w:t>
      </w:r>
      <w:r w:rsidR="003912CA" w:rsidRPr="00E004A2">
        <w:rPr>
          <w:rFonts w:ascii="Garamond" w:hAnsi="Garamond"/>
          <w:kern w:val="1"/>
          <w:sz w:val="24"/>
          <w:szCs w:val="24"/>
        </w:rPr>
        <w:t xml:space="preserve"> to use, how to make it </w:t>
      </w:r>
      <w:r w:rsidR="001664FE" w:rsidRPr="00E004A2">
        <w:rPr>
          <w:rFonts w:ascii="Garamond" w:hAnsi="Garamond"/>
          <w:kern w:val="1"/>
          <w:sz w:val="24"/>
          <w:szCs w:val="24"/>
        </w:rPr>
        <w:t xml:space="preserve">as potentially </w:t>
      </w:r>
      <w:r w:rsidR="003912CA" w:rsidRPr="00E004A2">
        <w:rPr>
          <w:rFonts w:ascii="Garamond" w:hAnsi="Garamond"/>
          <w:kern w:val="1"/>
          <w:sz w:val="24"/>
          <w:szCs w:val="24"/>
        </w:rPr>
        <w:t>effective</w:t>
      </w:r>
      <w:r w:rsidR="001664FE" w:rsidRPr="00E004A2">
        <w:rPr>
          <w:rFonts w:ascii="Garamond" w:hAnsi="Garamond"/>
          <w:kern w:val="1"/>
          <w:sz w:val="24"/>
          <w:szCs w:val="24"/>
        </w:rPr>
        <w:t xml:space="preserve"> as it would need to be</w:t>
      </w:r>
      <w:r w:rsidR="003912CA" w:rsidRPr="00E004A2">
        <w:rPr>
          <w:rFonts w:ascii="Garamond" w:hAnsi="Garamond"/>
          <w:kern w:val="1"/>
          <w:sz w:val="24"/>
          <w:szCs w:val="24"/>
        </w:rPr>
        <w:t xml:space="preserve">. This </w:t>
      </w:r>
      <w:r w:rsidR="003912CA" w:rsidRPr="00E004A2">
        <w:rPr>
          <w:rFonts w:ascii="Garamond" w:hAnsi="Garamond"/>
          <w:kern w:val="1"/>
          <w:sz w:val="24"/>
          <w:szCs w:val="24"/>
        </w:rPr>
        <w:lastRenderedPageBreak/>
        <w:t>is as much an aspirational question as it is a technical dilemma</w:t>
      </w:r>
      <w:r w:rsidR="00FC086A" w:rsidRPr="00E004A2">
        <w:rPr>
          <w:rFonts w:ascii="Garamond" w:hAnsi="Garamond"/>
          <w:kern w:val="1"/>
          <w:sz w:val="24"/>
          <w:szCs w:val="24"/>
        </w:rPr>
        <w:t xml:space="preserve"> and our ongoing work engages with legislative drafters and feminist activists, policy-makers and scholars to </w:t>
      </w:r>
      <w:r w:rsidR="00130E7A" w:rsidRPr="00E004A2">
        <w:rPr>
          <w:rFonts w:ascii="Garamond" w:hAnsi="Garamond"/>
          <w:kern w:val="1"/>
          <w:sz w:val="24"/>
          <w:szCs w:val="24"/>
        </w:rPr>
        <w:t>further explore it</w:t>
      </w:r>
      <w:r w:rsidR="003912CA" w:rsidRPr="00E004A2">
        <w:rPr>
          <w:rFonts w:ascii="Garamond" w:hAnsi="Garamond"/>
          <w:kern w:val="1"/>
          <w:sz w:val="24"/>
          <w:szCs w:val="24"/>
        </w:rPr>
        <w:t xml:space="preserve">. </w:t>
      </w:r>
      <w:r w:rsidR="00492F14">
        <w:rPr>
          <w:rFonts w:ascii="Garamond" w:hAnsi="Garamond"/>
          <w:kern w:val="1"/>
          <w:sz w:val="24"/>
          <w:szCs w:val="24"/>
        </w:rPr>
        <w:t>In terms of substance, t</w:t>
      </w:r>
      <w:r w:rsidR="00FF1FB0" w:rsidRPr="00E004A2">
        <w:rPr>
          <w:rFonts w:ascii="Garamond" w:hAnsi="Garamond"/>
          <w:kern w:val="1"/>
          <w:sz w:val="24"/>
          <w:szCs w:val="24"/>
        </w:rPr>
        <w:t xml:space="preserve">he </w:t>
      </w:r>
      <w:r w:rsidR="000367AE" w:rsidRPr="00E004A2">
        <w:rPr>
          <w:rFonts w:ascii="Garamond" w:hAnsi="Garamond"/>
          <w:kern w:val="1"/>
          <w:sz w:val="24"/>
          <w:szCs w:val="24"/>
        </w:rPr>
        <w:t xml:space="preserve">experimental </w:t>
      </w:r>
      <w:r w:rsidR="00FF1FB0" w:rsidRPr="00E004A2">
        <w:rPr>
          <w:rFonts w:ascii="Garamond" w:hAnsi="Garamond"/>
          <w:kern w:val="1"/>
          <w:sz w:val="24"/>
          <w:szCs w:val="24"/>
        </w:rPr>
        <w:t>statute</w:t>
      </w:r>
      <w:r w:rsidR="00930CD8">
        <w:rPr>
          <w:rFonts w:ascii="Garamond" w:hAnsi="Garamond"/>
          <w:kern w:val="1"/>
          <w:sz w:val="24"/>
          <w:szCs w:val="24"/>
        </w:rPr>
        <w:t xml:space="preserve"> will</w:t>
      </w:r>
      <w:r w:rsidR="00FF1FB0" w:rsidRPr="00E004A2">
        <w:rPr>
          <w:rFonts w:ascii="Garamond" w:hAnsi="Garamond"/>
          <w:kern w:val="1"/>
          <w:sz w:val="24"/>
          <w:szCs w:val="24"/>
        </w:rPr>
        <w:t xml:space="preserve"> target specific areas where the gender assigned at birth is used for identification or other legal reasons throughout the life course</w:t>
      </w:r>
      <w:r w:rsidR="00930CD8">
        <w:rPr>
          <w:rFonts w:ascii="Garamond" w:hAnsi="Garamond"/>
          <w:kern w:val="1"/>
          <w:sz w:val="24"/>
          <w:szCs w:val="24"/>
        </w:rPr>
        <w:t xml:space="preserve"> and </w:t>
      </w:r>
      <w:r w:rsidR="002B29B5">
        <w:rPr>
          <w:rFonts w:ascii="Garamond" w:hAnsi="Garamond"/>
          <w:kern w:val="1"/>
          <w:sz w:val="24"/>
          <w:szCs w:val="24"/>
        </w:rPr>
        <w:t xml:space="preserve">where </w:t>
      </w:r>
      <w:r w:rsidR="00930CD8">
        <w:rPr>
          <w:rFonts w:ascii="Garamond" w:hAnsi="Garamond"/>
          <w:kern w:val="1"/>
          <w:sz w:val="24"/>
          <w:szCs w:val="24"/>
        </w:rPr>
        <w:t>ra</w:t>
      </w:r>
      <w:r w:rsidR="002B29B5">
        <w:rPr>
          <w:rFonts w:ascii="Garamond" w:hAnsi="Garamond"/>
          <w:kern w:val="1"/>
          <w:sz w:val="24"/>
          <w:szCs w:val="24"/>
        </w:rPr>
        <w:t>ise</w:t>
      </w:r>
      <w:r w:rsidR="00930CD8">
        <w:rPr>
          <w:rFonts w:ascii="Garamond" w:hAnsi="Garamond"/>
          <w:kern w:val="1"/>
          <w:sz w:val="24"/>
          <w:szCs w:val="24"/>
        </w:rPr>
        <w:t xml:space="preserve"> particular questions of </w:t>
      </w:r>
      <w:r w:rsidR="00BD5F66">
        <w:rPr>
          <w:rFonts w:ascii="Garamond" w:hAnsi="Garamond"/>
          <w:kern w:val="1"/>
          <w:sz w:val="24"/>
          <w:szCs w:val="24"/>
        </w:rPr>
        <w:t xml:space="preserve">opportunity, </w:t>
      </w:r>
      <w:r w:rsidR="00930CD8">
        <w:rPr>
          <w:rFonts w:ascii="Garamond" w:hAnsi="Garamond"/>
          <w:kern w:val="1"/>
          <w:sz w:val="24"/>
          <w:szCs w:val="24"/>
        </w:rPr>
        <w:t>note</w:t>
      </w:r>
      <w:r w:rsidR="002B29B5">
        <w:rPr>
          <w:rFonts w:ascii="Garamond" w:hAnsi="Garamond"/>
          <w:kern w:val="1"/>
          <w:sz w:val="24"/>
          <w:szCs w:val="24"/>
        </w:rPr>
        <w:t xml:space="preserve"> o</w:t>
      </w:r>
      <w:r w:rsidR="007433C1">
        <w:rPr>
          <w:rFonts w:ascii="Garamond" w:hAnsi="Garamond"/>
          <w:kern w:val="1"/>
          <w:sz w:val="24"/>
          <w:szCs w:val="24"/>
        </w:rPr>
        <w:t>f</w:t>
      </w:r>
      <w:r w:rsidR="002B29B5">
        <w:rPr>
          <w:rFonts w:ascii="Garamond" w:hAnsi="Garamond"/>
          <w:kern w:val="1"/>
          <w:sz w:val="24"/>
          <w:szCs w:val="24"/>
        </w:rPr>
        <w:t xml:space="preserve"> caution</w:t>
      </w:r>
      <w:r w:rsidR="00930CD8">
        <w:rPr>
          <w:rFonts w:ascii="Garamond" w:hAnsi="Garamond"/>
          <w:kern w:val="1"/>
          <w:sz w:val="24"/>
          <w:szCs w:val="24"/>
        </w:rPr>
        <w:t xml:space="preserve"> in the context of feminist politics</w:t>
      </w:r>
      <w:r w:rsidR="00FE2DB0">
        <w:rPr>
          <w:rFonts w:ascii="Garamond" w:hAnsi="Garamond"/>
          <w:kern w:val="1"/>
          <w:sz w:val="24"/>
          <w:szCs w:val="24"/>
        </w:rPr>
        <w:t xml:space="preserve"> (</w:t>
      </w:r>
      <w:r w:rsidR="00A35E78">
        <w:rPr>
          <w:rFonts w:ascii="Garamond" w:hAnsi="Garamond"/>
          <w:kern w:val="1"/>
          <w:sz w:val="24"/>
          <w:szCs w:val="24"/>
        </w:rPr>
        <w:t xml:space="preserve">Cooper and Emerton, this issue; </w:t>
      </w:r>
      <w:r w:rsidR="00EC65A4">
        <w:rPr>
          <w:rFonts w:ascii="Garamond" w:hAnsi="Garamond"/>
          <w:kern w:val="1"/>
          <w:sz w:val="24"/>
          <w:szCs w:val="24"/>
        </w:rPr>
        <w:t>Peel and Newman, this issue)</w:t>
      </w:r>
      <w:r w:rsidR="00930CD8">
        <w:rPr>
          <w:rFonts w:ascii="Garamond" w:hAnsi="Garamond"/>
          <w:kern w:val="1"/>
          <w:sz w:val="24"/>
          <w:szCs w:val="24"/>
        </w:rPr>
        <w:t xml:space="preserve">. </w:t>
      </w:r>
      <w:r w:rsidR="00944327">
        <w:rPr>
          <w:rFonts w:ascii="Garamond" w:hAnsi="Garamond"/>
          <w:kern w:val="1"/>
          <w:sz w:val="24"/>
          <w:szCs w:val="24"/>
        </w:rPr>
        <w:t xml:space="preserve">Our </w:t>
      </w:r>
      <w:r w:rsidR="007317D4" w:rsidRPr="00E004A2">
        <w:rPr>
          <w:rFonts w:ascii="Garamond" w:hAnsi="Garamond"/>
          <w:sz w:val="24"/>
          <w:szCs w:val="24"/>
          <w:lang w:val="en-US"/>
        </w:rPr>
        <w:t>ongoing work in this area focuses intensely on the gendered character of dominant social systems</w:t>
      </w:r>
      <w:r w:rsidR="00944327">
        <w:rPr>
          <w:rFonts w:ascii="Garamond" w:hAnsi="Garamond"/>
          <w:sz w:val="24"/>
          <w:szCs w:val="24"/>
          <w:lang w:val="en-US"/>
        </w:rPr>
        <w:t>,</w:t>
      </w:r>
      <w:r w:rsidR="007317D4" w:rsidRPr="00E004A2">
        <w:rPr>
          <w:rFonts w:ascii="Garamond" w:hAnsi="Garamond"/>
          <w:sz w:val="24"/>
          <w:szCs w:val="24"/>
          <w:lang w:val="en-US"/>
        </w:rPr>
        <w:t xml:space="preserve"> how law upholds these systems</w:t>
      </w:r>
      <w:r w:rsidR="00944327">
        <w:rPr>
          <w:rFonts w:ascii="Garamond" w:hAnsi="Garamond"/>
          <w:sz w:val="24"/>
          <w:szCs w:val="24"/>
          <w:lang w:val="en-US"/>
        </w:rPr>
        <w:t>, and the potential benefits and disadvantages of unpicking legal gender status through decertification</w:t>
      </w:r>
      <w:r w:rsidR="007317D4">
        <w:rPr>
          <w:rFonts w:ascii="Garamond" w:hAnsi="Garamond"/>
          <w:sz w:val="24"/>
          <w:szCs w:val="24"/>
          <w:lang w:val="en-US"/>
        </w:rPr>
        <w:t xml:space="preserve">. </w:t>
      </w:r>
      <w:r w:rsidR="00930CD8">
        <w:rPr>
          <w:rFonts w:ascii="Garamond" w:hAnsi="Garamond"/>
          <w:kern w:val="1"/>
          <w:sz w:val="24"/>
          <w:szCs w:val="24"/>
        </w:rPr>
        <w:t>This special issue has canvassed certain of these substantive concerns</w:t>
      </w:r>
      <w:r w:rsidR="00C677A5">
        <w:rPr>
          <w:rFonts w:ascii="Garamond" w:hAnsi="Garamond"/>
          <w:kern w:val="1"/>
          <w:sz w:val="24"/>
          <w:szCs w:val="24"/>
        </w:rPr>
        <w:t>, for example relating to same sex provision</w:t>
      </w:r>
      <w:r w:rsidR="00930CD8">
        <w:rPr>
          <w:rFonts w:ascii="Garamond" w:hAnsi="Garamond"/>
          <w:kern w:val="1"/>
          <w:sz w:val="24"/>
          <w:szCs w:val="24"/>
        </w:rPr>
        <w:t xml:space="preserve"> (e.g.</w:t>
      </w:r>
      <w:r w:rsidR="00425868">
        <w:rPr>
          <w:rFonts w:ascii="Garamond" w:hAnsi="Garamond"/>
          <w:kern w:val="1"/>
          <w:sz w:val="24"/>
          <w:szCs w:val="24"/>
        </w:rPr>
        <w:t xml:space="preserve"> </w:t>
      </w:r>
      <w:r w:rsidR="001D1A14">
        <w:rPr>
          <w:rFonts w:ascii="Garamond" w:hAnsi="Garamond"/>
          <w:kern w:val="1"/>
          <w:sz w:val="24"/>
          <w:szCs w:val="24"/>
        </w:rPr>
        <w:t>Renz, this issue</w:t>
      </w:r>
      <w:r w:rsidR="003C7013">
        <w:rPr>
          <w:rFonts w:ascii="Garamond" w:hAnsi="Garamond"/>
          <w:kern w:val="1"/>
          <w:sz w:val="24"/>
          <w:szCs w:val="24"/>
        </w:rPr>
        <w:t>)</w:t>
      </w:r>
      <w:r w:rsidR="003D4D2C">
        <w:rPr>
          <w:rFonts w:ascii="Garamond" w:hAnsi="Garamond"/>
          <w:kern w:val="1"/>
          <w:sz w:val="24"/>
          <w:szCs w:val="24"/>
        </w:rPr>
        <w:t xml:space="preserve"> and</w:t>
      </w:r>
      <w:r w:rsidR="003C7013">
        <w:rPr>
          <w:rFonts w:ascii="Garamond" w:hAnsi="Garamond"/>
          <w:kern w:val="1"/>
          <w:sz w:val="24"/>
          <w:szCs w:val="24"/>
        </w:rPr>
        <w:t xml:space="preserve"> </w:t>
      </w:r>
      <w:r w:rsidR="003D4D2C">
        <w:rPr>
          <w:rFonts w:ascii="Garamond" w:hAnsi="Garamond"/>
          <w:kern w:val="1"/>
          <w:sz w:val="24"/>
          <w:szCs w:val="24"/>
        </w:rPr>
        <w:t>f</w:t>
      </w:r>
      <w:r w:rsidR="00930CD8">
        <w:rPr>
          <w:rFonts w:ascii="Garamond" w:hAnsi="Garamond"/>
          <w:kern w:val="1"/>
          <w:sz w:val="24"/>
          <w:szCs w:val="24"/>
        </w:rPr>
        <w:t xml:space="preserve">uture publications, including </w:t>
      </w:r>
      <w:r w:rsidR="00FE733C">
        <w:rPr>
          <w:rFonts w:ascii="Garamond" w:hAnsi="Garamond"/>
          <w:kern w:val="1"/>
          <w:sz w:val="24"/>
          <w:szCs w:val="24"/>
        </w:rPr>
        <w:t xml:space="preserve">in relation to </w:t>
      </w:r>
      <w:r w:rsidR="00930CD8">
        <w:rPr>
          <w:rFonts w:ascii="Garamond" w:hAnsi="Garamond"/>
          <w:kern w:val="1"/>
          <w:sz w:val="24"/>
          <w:szCs w:val="24"/>
        </w:rPr>
        <w:t xml:space="preserve">the experimental statute itself, will </w:t>
      </w:r>
      <w:r w:rsidR="00FE733C">
        <w:rPr>
          <w:rFonts w:ascii="Garamond" w:hAnsi="Garamond"/>
          <w:kern w:val="1"/>
          <w:sz w:val="24"/>
          <w:szCs w:val="24"/>
        </w:rPr>
        <w:t>further explore these issues</w:t>
      </w:r>
      <w:r w:rsidR="00FF1FB0" w:rsidRPr="00E004A2">
        <w:rPr>
          <w:rFonts w:ascii="Garamond" w:hAnsi="Garamond"/>
          <w:kern w:val="1"/>
          <w:sz w:val="24"/>
          <w:szCs w:val="24"/>
        </w:rPr>
        <w:t>.</w:t>
      </w:r>
      <w:r w:rsidR="00055BAB" w:rsidRPr="00E004A2">
        <w:rPr>
          <w:rFonts w:ascii="Garamond" w:hAnsi="Garamond"/>
          <w:kern w:val="1"/>
          <w:sz w:val="24"/>
          <w:szCs w:val="24"/>
        </w:rPr>
        <w:t xml:space="preserve"> </w:t>
      </w:r>
    </w:p>
    <w:p w14:paraId="665A0E9B" w14:textId="1DA767D6" w:rsidR="00FF1FB0" w:rsidRPr="00E004A2" w:rsidRDefault="00FE733C" w:rsidP="00657A32">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202731">
        <w:rPr>
          <w:rFonts w:ascii="Garamond" w:hAnsi="Garamond"/>
          <w:kern w:val="1"/>
          <w:sz w:val="24"/>
          <w:szCs w:val="24"/>
        </w:rPr>
        <w:t xml:space="preserve">In terms of drafting, </w:t>
      </w:r>
      <w:r w:rsidR="002B29B5">
        <w:rPr>
          <w:rFonts w:ascii="Garamond" w:hAnsi="Garamond"/>
          <w:kern w:val="1"/>
          <w:sz w:val="24"/>
          <w:szCs w:val="24"/>
        </w:rPr>
        <w:t xml:space="preserve">however, </w:t>
      </w:r>
      <w:r w:rsidR="00202731">
        <w:rPr>
          <w:rFonts w:ascii="Garamond" w:hAnsi="Garamond"/>
          <w:kern w:val="1"/>
          <w:sz w:val="24"/>
          <w:szCs w:val="24"/>
        </w:rPr>
        <w:t xml:space="preserve">we </w:t>
      </w:r>
      <w:r w:rsidR="00E26B85">
        <w:rPr>
          <w:rFonts w:ascii="Garamond" w:hAnsi="Garamond"/>
          <w:kern w:val="1"/>
          <w:sz w:val="24"/>
          <w:szCs w:val="24"/>
        </w:rPr>
        <w:t xml:space="preserve">have a number of potential concerns, routes, dilemmas, and solutions. For example, we </w:t>
      </w:r>
      <w:r w:rsidR="00202731">
        <w:rPr>
          <w:rFonts w:ascii="Garamond" w:hAnsi="Garamond"/>
          <w:kern w:val="1"/>
          <w:sz w:val="24"/>
          <w:szCs w:val="24"/>
        </w:rPr>
        <w:t xml:space="preserve">might consider </w:t>
      </w:r>
      <w:r w:rsidR="00FF1FB0" w:rsidRPr="00E004A2">
        <w:rPr>
          <w:rFonts w:ascii="Garamond" w:hAnsi="Garamond"/>
          <w:kern w:val="1"/>
          <w:sz w:val="24"/>
          <w:szCs w:val="24"/>
        </w:rPr>
        <w:t>using interpretation statutes to support the decertification of gender: changing the text of the interpretation statute so as to support a reading of all legislation that dis-attaches legal gender from the subject or which references decertification itself. This has already been proposed and analysed as a more ‘meta’ technique, which addresses not only the reception, but also the drafting, of legislative text</w:t>
      </w:r>
      <w:r w:rsidR="00526CFB" w:rsidRPr="00E004A2">
        <w:rPr>
          <w:rFonts w:ascii="Garamond" w:hAnsi="Garamond"/>
          <w:kern w:val="1"/>
          <w:sz w:val="24"/>
          <w:szCs w:val="24"/>
        </w:rPr>
        <w:t>. However,</w:t>
      </w:r>
      <w:r w:rsidR="00482CBA" w:rsidRPr="00E004A2">
        <w:rPr>
          <w:rFonts w:ascii="Garamond" w:hAnsi="Garamond"/>
          <w:kern w:val="1"/>
          <w:sz w:val="24"/>
          <w:szCs w:val="24"/>
        </w:rPr>
        <w:t xml:space="preserve"> this kind of technique </w:t>
      </w:r>
      <w:r w:rsidR="00526CFB" w:rsidRPr="00E004A2">
        <w:rPr>
          <w:rFonts w:ascii="Garamond" w:hAnsi="Garamond"/>
          <w:kern w:val="1"/>
          <w:sz w:val="24"/>
          <w:szCs w:val="24"/>
        </w:rPr>
        <w:t>would</w:t>
      </w:r>
      <w:r w:rsidR="00FF1FB0" w:rsidRPr="00E004A2">
        <w:rPr>
          <w:rFonts w:ascii="Garamond" w:hAnsi="Garamond"/>
          <w:kern w:val="1"/>
          <w:sz w:val="24"/>
          <w:szCs w:val="24"/>
        </w:rPr>
        <w:t xml:space="preserve"> do very little to </w:t>
      </w:r>
      <w:r w:rsidR="00526CFB" w:rsidRPr="00E004A2">
        <w:rPr>
          <w:rFonts w:ascii="Garamond" w:hAnsi="Garamond"/>
          <w:kern w:val="1"/>
          <w:sz w:val="24"/>
          <w:szCs w:val="24"/>
        </w:rPr>
        <w:t xml:space="preserve">help the project </w:t>
      </w:r>
      <w:r w:rsidR="00FF1FB0" w:rsidRPr="00E004A2">
        <w:rPr>
          <w:rFonts w:ascii="Garamond" w:hAnsi="Garamond"/>
          <w:kern w:val="1"/>
          <w:sz w:val="24"/>
          <w:szCs w:val="24"/>
        </w:rPr>
        <w:t>address the substance of sex/gender inequalities</w:t>
      </w:r>
      <w:r w:rsidR="00301A69" w:rsidRPr="00E004A2">
        <w:rPr>
          <w:rFonts w:ascii="Garamond" w:hAnsi="Garamond"/>
          <w:kern w:val="1"/>
          <w:sz w:val="24"/>
          <w:szCs w:val="24"/>
        </w:rPr>
        <w:t xml:space="preserve"> more broadly</w:t>
      </w:r>
      <w:r w:rsidR="00FF1FB0" w:rsidRPr="00E004A2">
        <w:rPr>
          <w:rFonts w:ascii="Garamond" w:hAnsi="Garamond"/>
          <w:kern w:val="1"/>
          <w:sz w:val="24"/>
          <w:szCs w:val="24"/>
        </w:rPr>
        <w:t xml:space="preserve">. Given the genealogy of interpretation statutes in erasing female legal subjects, using this route within a decertification project </w:t>
      </w:r>
      <w:r w:rsidR="00301A69" w:rsidRPr="00E004A2">
        <w:rPr>
          <w:rFonts w:ascii="Garamond" w:hAnsi="Garamond"/>
          <w:kern w:val="1"/>
          <w:sz w:val="24"/>
          <w:szCs w:val="24"/>
        </w:rPr>
        <w:t xml:space="preserve">could </w:t>
      </w:r>
      <w:r w:rsidR="00FF1FB0" w:rsidRPr="00E004A2">
        <w:rPr>
          <w:rFonts w:ascii="Garamond" w:hAnsi="Garamond"/>
          <w:kern w:val="1"/>
          <w:sz w:val="24"/>
          <w:szCs w:val="24"/>
        </w:rPr>
        <w:t xml:space="preserve">bring with it unhelpful associations, and within contemporary practice in the Westminster system (through which policy-making and drafting are divided and distinct) it </w:t>
      </w:r>
      <w:r w:rsidR="00301A69" w:rsidRPr="00E004A2">
        <w:rPr>
          <w:rFonts w:ascii="Garamond" w:hAnsi="Garamond"/>
          <w:kern w:val="1"/>
          <w:sz w:val="24"/>
          <w:szCs w:val="24"/>
        </w:rPr>
        <w:t xml:space="preserve">would </w:t>
      </w:r>
      <w:r w:rsidR="00FF1FB0" w:rsidRPr="00E004A2">
        <w:rPr>
          <w:rFonts w:ascii="Garamond" w:hAnsi="Garamond"/>
          <w:kern w:val="1"/>
          <w:sz w:val="24"/>
          <w:szCs w:val="24"/>
        </w:rPr>
        <w:t>not help ongoing feminist activist or policy concerns if legislation ‘</w:t>
      </w:r>
      <w:proofErr w:type="spellStart"/>
      <w:r w:rsidR="00FF1FB0" w:rsidRPr="00E004A2">
        <w:rPr>
          <w:rFonts w:ascii="Garamond" w:hAnsi="Garamond"/>
          <w:kern w:val="1"/>
          <w:sz w:val="24"/>
          <w:szCs w:val="24"/>
        </w:rPr>
        <w:t>invisibilised</w:t>
      </w:r>
      <w:proofErr w:type="spellEnd"/>
      <w:r w:rsidR="00FF1FB0" w:rsidRPr="00E004A2">
        <w:rPr>
          <w:rFonts w:ascii="Garamond" w:hAnsi="Garamond"/>
          <w:kern w:val="1"/>
          <w:sz w:val="24"/>
          <w:szCs w:val="24"/>
        </w:rPr>
        <w:t>’ sex/gender dynamics</w:t>
      </w:r>
      <w:r w:rsidR="00657A32">
        <w:rPr>
          <w:rFonts w:ascii="Garamond" w:hAnsi="Garamond"/>
          <w:kern w:val="1"/>
          <w:sz w:val="24"/>
          <w:szCs w:val="24"/>
        </w:rPr>
        <w:t xml:space="preserve"> and politics</w:t>
      </w:r>
      <w:r w:rsidR="00FF1FB0" w:rsidRPr="00E004A2">
        <w:rPr>
          <w:rFonts w:ascii="Garamond" w:hAnsi="Garamond"/>
          <w:kern w:val="1"/>
          <w:sz w:val="24"/>
          <w:szCs w:val="24"/>
        </w:rPr>
        <w:t>. The temporality of interpretation statutes is also a potential issue, as they tend to look forwards and not backwards, leaving a legacy body of legislation subject to a distinctly gendered regime</w:t>
      </w:r>
      <w:r w:rsidR="00797712">
        <w:rPr>
          <w:rFonts w:ascii="Garamond" w:hAnsi="Garamond"/>
          <w:kern w:val="1"/>
          <w:sz w:val="24"/>
          <w:szCs w:val="24"/>
        </w:rPr>
        <w:t xml:space="preserve"> oriented at people </w:t>
      </w:r>
      <w:r w:rsidR="00797712">
        <w:rPr>
          <w:rFonts w:ascii="Garamond" w:hAnsi="Garamond"/>
          <w:kern w:val="1"/>
          <w:sz w:val="24"/>
          <w:szCs w:val="24"/>
        </w:rPr>
        <w:lastRenderedPageBreak/>
        <w:t xml:space="preserve">with certified </w:t>
      </w:r>
      <w:r w:rsidR="00306C09">
        <w:rPr>
          <w:rFonts w:ascii="Garamond" w:hAnsi="Garamond"/>
          <w:kern w:val="1"/>
          <w:sz w:val="24"/>
          <w:szCs w:val="24"/>
        </w:rPr>
        <w:t>sex/gender</w:t>
      </w:r>
      <w:r w:rsidR="00FF1FB0" w:rsidRPr="00E004A2">
        <w:rPr>
          <w:rFonts w:ascii="Garamond" w:hAnsi="Garamond"/>
          <w:kern w:val="1"/>
          <w:sz w:val="24"/>
          <w:szCs w:val="24"/>
        </w:rPr>
        <w:t>. Yet clearly interpretation statutes are also seen as a locus for legal change and innovation, with examples from the Welsh Assembly and Australia already referring to a wider range of genders than male or female, as we have seen, and it may well be that attention to interpretation legislation could become one aspect of a broader legislative approach.</w:t>
      </w:r>
    </w:p>
    <w:p w14:paraId="273EC754" w14:textId="39A16ED2" w:rsidR="0028546E" w:rsidRPr="00E004A2" w:rsidRDefault="00A20CBC" w:rsidP="00A20CBC">
      <w:pPr>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kern w:val="1"/>
          <w:sz w:val="24"/>
          <w:szCs w:val="24"/>
        </w:rPr>
        <w:tab/>
        <w:t>The evolution of new techniques of gender-neutral drafting is positioned as a key means of bringing about change in drafting overall following the 2007 government statement</w:t>
      </w:r>
      <w:r w:rsidR="00512536">
        <w:rPr>
          <w:rFonts w:ascii="Garamond" w:hAnsi="Garamond"/>
          <w:kern w:val="1"/>
          <w:sz w:val="24"/>
          <w:szCs w:val="24"/>
        </w:rPr>
        <w:t xml:space="preserve"> and recent moves towards ‘gender-inclusive’ and ‘gender silent’ drafting</w:t>
      </w:r>
      <w:r w:rsidRPr="00E004A2">
        <w:rPr>
          <w:rFonts w:ascii="Garamond" w:hAnsi="Garamond"/>
          <w:kern w:val="1"/>
          <w:sz w:val="24"/>
          <w:szCs w:val="24"/>
        </w:rPr>
        <w:t xml:space="preserve">. We have already seen that drafters have a degree of independence, yet they work in teams and engage in dialogue about drafting problems and innovations </w:t>
      </w:r>
      <w:r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{"citationID":"331fA2xI","properties":{"formattedCitation":"(Xanthaki, 2015)","plainCitation":"(Xanthaki, 2015)","noteIndex":0},"citationItems":[{"id":697,"uris":["http://zotero.org/users/1070015/items/C6R2S5ND"],"uri":["http://zotero.org/users/1070015/items/C6R2S5ND"],"itemData":{"id":697,"type":"book","publisher":"Routledge","title":"Enhancing Legislative Drafting in the Commonwealth: A Wealth of Innovation","editor":[{"family":"Xanthaki","given":"Helen"}],"issued":{"date-parts":[["2015"]]}}}],"schema":"https://github.com/citation-style-language/schema/raw/master/csl-citation.json"} </w:instrText>
      </w:r>
      <w:r w:rsidRPr="00E004A2">
        <w:rPr>
          <w:rFonts w:ascii="Garamond" w:hAnsi="Garamond"/>
          <w:kern w:val="1"/>
          <w:sz w:val="24"/>
          <w:szCs w:val="24"/>
        </w:rPr>
        <w:fldChar w:fldCharType="separate"/>
      </w:r>
      <w:r w:rsidR="004F3785">
        <w:rPr>
          <w:rFonts w:ascii="Garamond" w:hAnsi="Garamond"/>
          <w:noProof/>
          <w:kern w:val="1"/>
          <w:sz w:val="24"/>
          <w:szCs w:val="24"/>
        </w:rPr>
        <w:t>(Xanthaki, 2015)</w:t>
      </w:r>
      <w:r w:rsidRPr="00E004A2">
        <w:rPr>
          <w:rFonts w:ascii="Garamond" w:hAnsi="Garamond"/>
          <w:kern w:val="1"/>
          <w:sz w:val="24"/>
          <w:szCs w:val="24"/>
        </w:rPr>
        <w:fldChar w:fldCharType="end"/>
      </w:r>
      <w:r w:rsidRPr="00E004A2">
        <w:rPr>
          <w:rFonts w:ascii="Garamond" w:hAnsi="Garamond"/>
          <w:kern w:val="1"/>
          <w:sz w:val="24"/>
          <w:szCs w:val="24"/>
        </w:rPr>
        <w:t>, leading to incremental shifts in adoption</w:t>
      </w:r>
      <w:r w:rsidR="004E502C" w:rsidRPr="00E004A2">
        <w:rPr>
          <w:rFonts w:ascii="Garamond" w:hAnsi="Garamond"/>
          <w:kern w:val="1"/>
          <w:sz w:val="24"/>
          <w:szCs w:val="24"/>
        </w:rPr>
        <w:t xml:space="preserve">, the </w:t>
      </w:r>
      <w:r w:rsidRPr="00E004A2">
        <w:rPr>
          <w:rFonts w:ascii="Garamond" w:hAnsi="Garamond"/>
          <w:kern w:val="1"/>
          <w:sz w:val="24"/>
          <w:szCs w:val="24"/>
        </w:rPr>
        <w:t>uptake of new techniques</w:t>
      </w:r>
      <w:r w:rsidR="004E502C" w:rsidRPr="00E004A2">
        <w:rPr>
          <w:rFonts w:ascii="Garamond" w:hAnsi="Garamond"/>
          <w:kern w:val="1"/>
          <w:sz w:val="24"/>
          <w:szCs w:val="24"/>
        </w:rPr>
        <w:t>, and even the use of</w:t>
      </w:r>
      <w:r w:rsidR="00A455EB" w:rsidRPr="00E004A2">
        <w:rPr>
          <w:rFonts w:ascii="Garamond" w:hAnsi="Garamond"/>
          <w:kern w:val="1"/>
          <w:sz w:val="24"/>
          <w:szCs w:val="24"/>
        </w:rPr>
        <w:t xml:space="preserve"> linguistic</w:t>
      </w:r>
      <w:r w:rsidR="004E502C" w:rsidRPr="00E004A2">
        <w:rPr>
          <w:rFonts w:ascii="Garamond" w:hAnsi="Garamond"/>
          <w:kern w:val="1"/>
          <w:sz w:val="24"/>
          <w:szCs w:val="24"/>
        </w:rPr>
        <w:t xml:space="preserve"> research to help advance their practice</w:t>
      </w:r>
      <w:r w:rsidR="006652A8">
        <w:rPr>
          <w:rFonts w:ascii="Garamond" w:hAnsi="Garamond"/>
          <w:kern w:val="1"/>
          <w:sz w:val="24"/>
          <w:szCs w:val="24"/>
        </w:rPr>
        <w:t xml:space="preserve"> </w:t>
      </w:r>
      <w:r w:rsidR="006652A8">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{"citationID":"9g40D8Xl","properties":{"formattedCitation":"(Dalmau, 2019)","plainCitation":"(Dalmau, 2019)","noteIndex":0},"citationItems":[{"id":3501,"uris":["http://zotero.org/users/1070015/items/KHZCC4VQ"],"uri":["http://zotero.org/users/1070015/items/KHZCC4VQ"],"itemData":{"id":3501,"type":"article-journal","container-title":"The Loophole: Journal of the Commonwealth Association of Legislative Counsel","page":"18-30","title":"Better ways of deciding whether a contested usage is permissible in legislation.","volume":"1","author":[{"family":"Dalmau","given":"James"}],"issued":{"date-parts":[["2019"]]}}}],"schema":"https://github.com/citation-style-language/schema/raw/master/csl-citation.json"} </w:instrText>
      </w:r>
      <w:r w:rsidR="006652A8">
        <w:rPr>
          <w:rFonts w:ascii="Garamond" w:hAnsi="Garamond"/>
          <w:kern w:val="1"/>
          <w:sz w:val="24"/>
          <w:szCs w:val="24"/>
        </w:rPr>
        <w:fldChar w:fldCharType="separate"/>
      </w:r>
      <w:r w:rsidR="004F3785">
        <w:rPr>
          <w:rFonts w:ascii="Garamond" w:hAnsi="Garamond"/>
          <w:noProof/>
          <w:kern w:val="1"/>
          <w:sz w:val="24"/>
          <w:szCs w:val="24"/>
        </w:rPr>
        <w:t>(Dalmau, 2019)</w:t>
      </w:r>
      <w:r w:rsidR="006652A8">
        <w:rPr>
          <w:rFonts w:ascii="Garamond" w:hAnsi="Garamond"/>
          <w:kern w:val="1"/>
          <w:sz w:val="24"/>
          <w:szCs w:val="24"/>
        </w:rPr>
        <w:fldChar w:fldCharType="end"/>
      </w:r>
      <w:r w:rsidRPr="00E004A2">
        <w:rPr>
          <w:rFonts w:ascii="Garamond" w:hAnsi="Garamond"/>
          <w:kern w:val="1"/>
          <w:sz w:val="24"/>
          <w:szCs w:val="24"/>
        </w:rPr>
        <w:t>. Essentially, then, if we imagined that our project would respond to the wider legal world as it currently is, then we would be interested in how drafters would engage with decertification over time. If sex were not formally recorded at birth, or not attached to a lifelong, gendering, system of state identification, would this require drafters to draft sex/gender differently, and if so, how? What would a move to decertify gender do to the techniques of gender-neutral drafting currently used by the OPC, which focus on</w:t>
      </w:r>
      <w:r w:rsidRPr="00E004A2">
        <w:rPr>
          <w:rFonts w:ascii="Garamond" w:hAnsi="Garamond"/>
          <w:sz w:val="24"/>
          <w:szCs w:val="24"/>
          <w:lang w:val="en-US"/>
        </w:rPr>
        <w:t xml:space="preserve"> repeating the noun, changing the pronoun, and rephrasing to avoid the need for a pronoun or noun?</w:t>
      </w:r>
      <w:r w:rsidR="0028546E">
        <w:rPr>
          <w:rFonts w:ascii="Garamond" w:hAnsi="Garamond"/>
          <w:sz w:val="24"/>
          <w:szCs w:val="24"/>
          <w:lang w:val="en-US"/>
        </w:rPr>
        <w:tab/>
      </w:r>
    </w:p>
    <w:p w14:paraId="4A8DD296" w14:textId="6485D63A" w:rsidR="002E4F26" w:rsidRPr="00E004A2" w:rsidRDefault="0028546E" w:rsidP="006C2E1E">
      <w:pPr>
        <w:tabs>
          <w:tab w:val="left" w:pos="720"/>
          <w:tab w:val="left" w:pos="1440"/>
          <w:tab w:val="left" w:pos="2160"/>
          <w:tab w:val="left" w:pos="2880"/>
          <w:tab w:val="left" w:pos="3600"/>
          <w:tab w:val="left" w:pos="4320"/>
        </w:tabs>
        <w:spacing w:line="480" w:lineRule="auto"/>
        <w:rPr>
          <w:rFonts w:ascii="Garamond" w:hAnsi="Garamond"/>
          <w:sz w:val="24"/>
          <w:szCs w:val="24"/>
          <w:lang w:val="en-US"/>
        </w:rPr>
      </w:pPr>
      <w:r>
        <w:rPr>
          <w:rFonts w:ascii="Garamond" w:hAnsi="Garamond"/>
          <w:sz w:val="24"/>
          <w:szCs w:val="24"/>
          <w:lang w:val="en-US"/>
        </w:rPr>
        <w:tab/>
      </w:r>
      <w:r w:rsidR="00A20CBC" w:rsidRPr="00E004A2">
        <w:rPr>
          <w:rFonts w:ascii="Garamond" w:hAnsi="Garamond"/>
          <w:sz w:val="24"/>
          <w:szCs w:val="24"/>
          <w:lang w:val="en-US"/>
        </w:rPr>
        <w:t xml:space="preserve">It seems that decertifying gender would have most effect on the group of drafting techniques outlined above that focus on changing the pronoun, with possibly fewer effects on the other two groups of techniques. This is because gendered third person pronouns have been used across the statute book and it is still within drafters’ technical range to use such pronouns where they see fit. Decertifying sex/gender would certainly challenge the continued use of gendered pronouns in the third person, including the familiar </w:t>
      </w:r>
      <w:r w:rsidR="001342B7">
        <w:rPr>
          <w:rFonts w:ascii="Garamond" w:hAnsi="Garamond"/>
          <w:sz w:val="24"/>
          <w:szCs w:val="24"/>
          <w:lang w:val="en-US"/>
        </w:rPr>
        <w:t>“</w:t>
      </w:r>
      <w:r w:rsidR="00A20CBC" w:rsidRPr="00E004A2">
        <w:rPr>
          <w:rFonts w:ascii="Garamond" w:hAnsi="Garamond"/>
          <w:sz w:val="24"/>
          <w:szCs w:val="24"/>
          <w:lang w:val="en-US"/>
        </w:rPr>
        <w:t>he or she</w:t>
      </w:r>
      <w:r w:rsidR="001342B7">
        <w:rPr>
          <w:rFonts w:ascii="Garamond" w:hAnsi="Garamond"/>
          <w:sz w:val="24"/>
          <w:szCs w:val="24"/>
          <w:lang w:val="en-US"/>
        </w:rPr>
        <w:t>”</w:t>
      </w:r>
      <w:r w:rsidR="00A20CBC" w:rsidRPr="00E004A2">
        <w:rPr>
          <w:rFonts w:ascii="Garamond" w:hAnsi="Garamond"/>
          <w:sz w:val="24"/>
          <w:szCs w:val="24"/>
          <w:lang w:val="en-US"/>
        </w:rPr>
        <w:t xml:space="preserve"> construction. Given that decertification would not claim to erase widespread inequalities</w:t>
      </w:r>
      <w:r w:rsidR="00EC3ADA" w:rsidRPr="00E004A2">
        <w:rPr>
          <w:rFonts w:ascii="Garamond" w:hAnsi="Garamond"/>
          <w:sz w:val="24"/>
          <w:szCs w:val="24"/>
          <w:lang w:val="en-US"/>
        </w:rPr>
        <w:t xml:space="preserve"> of sex/gender</w:t>
      </w:r>
      <w:r w:rsidR="00A20CBC" w:rsidRPr="00E004A2">
        <w:rPr>
          <w:rFonts w:ascii="Garamond" w:hAnsi="Garamond"/>
          <w:sz w:val="24"/>
          <w:szCs w:val="24"/>
          <w:lang w:val="en-US"/>
        </w:rPr>
        <w:t xml:space="preserve">, as Davina Cooper has pointed out (this issue), it might be possible that gendered third person pronouns </w:t>
      </w:r>
      <w:r w:rsidR="00A20CBC" w:rsidRPr="00E004A2">
        <w:rPr>
          <w:rFonts w:ascii="Garamond" w:hAnsi="Garamond"/>
          <w:sz w:val="24"/>
          <w:szCs w:val="24"/>
          <w:lang w:val="en-US"/>
        </w:rPr>
        <w:lastRenderedPageBreak/>
        <w:t xml:space="preserve">may still be used in some circumstances when it is important to </w:t>
      </w:r>
      <w:proofErr w:type="spellStart"/>
      <w:r w:rsidR="00A20CBC" w:rsidRPr="00E004A2">
        <w:rPr>
          <w:rFonts w:ascii="Garamond" w:hAnsi="Garamond"/>
          <w:sz w:val="24"/>
          <w:szCs w:val="24"/>
          <w:lang w:val="en-US"/>
        </w:rPr>
        <w:t>recogni</w:t>
      </w:r>
      <w:r w:rsidR="004B21C4">
        <w:rPr>
          <w:rFonts w:ascii="Garamond" w:hAnsi="Garamond"/>
          <w:sz w:val="24"/>
          <w:szCs w:val="24"/>
          <w:lang w:val="en-US"/>
        </w:rPr>
        <w:t>s</w:t>
      </w:r>
      <w:r w:rsidR="00A20CBC" w:rsidRPr="00E004A2">
        <w:rPr>
          <w:rFonts w:ascii="Garamond" w:hAnsi="Garamond"/>
          <w:sz w:val="24"/>
          <w:szCs w:val="24"/>
          <w:lang w:val="en-US"/>
        </w:rPr>
        <w:t>e</w:t>
      </w:r>
      <w:proofErr w:type="spellEnd"/>
      <w:r w:rsidR="00A20CBC" w:rsidRPr="00E004A2">
        <w:rPr>
          <w:rFonts w:ascii="Garamond" w:hAnsi="Garamond"/>
          <w:sz w:val="24"/>
          <w:szCs w:val="24"/>
          <w:lang w:val="en-US"/>
        </w:rPr>
        <w:t xml:space="preserve"> the effect on an individual of a social system or phenomenon that is acknowledged to be gendered. </w:t>
      </w:r>
      <w:r w:rsidR="003818DE" w:rsidRPr="00E004A2">
        <w:rPr>
          <w:rFonts w:ascii="Garamond" w:hAnsi="Garamond"/>
          <w:sz w:val="24"/>
          <w:szCs w:val="24"/>
          <w:lang w:val="en-US"/>
        </w:rPr>
        <w:t xml:space="preserve">This could apply even with the use of </w:t>
      </w:r>
      <w:r w:rsidR="00C37448">
        <w:rPr>
          <w:rFonts w:ascii="Garamond" w:hAnsi="Garamond"/>
          <w:sz w:val="24"/>
          <w:szCs w:val="24"/>
          <w:lang w:val="en-US"/>
        </w:rPr>
        <w:t>“</w:t>
      </w:r>
      <w:r w:rsidR="003818DE" w:rsidRPr="00E004A2">
        <w:rPr>
          <w:rFonts w:ascii="Garamond" w:hAnsi="Garamond"/>
          <w:sz w:val="24"/>
          <w:szCs w:val="24"/>
          <w:lang w:val="en-US"/>
        </w:rPr>
        <w:t>they</w:t>
      </w:r>
      <w:r w:rsidR="00C37448">
        <w:rPr>
          <w:rFonts w:ascii="Garamond" w:hAnsi="Garamond"/>
          <w:sz w:val="24"/>
          <w:szCs w:val="24"/>
          <w:lang w:val="en-US"/>
        </w:rPr>
        <w:t>”</w:t>
      </w:r>
      <w:r w:rsidR="003818DE" w:rsidRPr="00E004A2">
        <w:rPr>
          <w:rFonts w:ascii="Garamond" w:hAnsi="Garamond"/>
          <w:sz w:val="24"/>
          <w:szCs w:val="24"/>
          <w:lang w:val="en-US"/>
        </w:rPr>
        <w:t>, which</w:t>
      </w:r>
      <w:r w:rsidR="004D32F9" w:rsidRPr="00E004A2">
        <w:rPr>
          <w:rFonts w:ascii="Garamond" w:hAnsi="Garamond"/>
          <w:sz w:val="24"/>
          <w:szCs w:val="24"/>
          <w:lang w:val="en-US"/>
        </w:rPr>
        <w:t xml:space="preserve"> is not necessarily always understood as ‘non-gendered’ but often as ‘gendered differently to male and female’.</w:t>
      </w:r>
      <w:r w:rsidR="009464D3">
        <w:rPr>
          <w:rStyle w:val="FootnoteReference"/>
          <w:rFonts w:ascii="Garamond" w:hAnsi="Garamond"/>
          <w:sz w:val="24"/>
          <w:szCs w:val="24"/>
          <w:lang w:val="en-US"/>
        </w:rPr>
        <w:footnoteReference w:id="32"/>
      </w:r>
      <w:r w:rsidR="004D32F9" w:rsidRPr="00E004A2">
        <w:rPr>
          <w:rFonts w:ascii="Garamond" w:hAnsi="Garamond"/>
          <w:sz w:val="24"/>
          <w:szCs w:val="24"/>
          <w:lang w:val="en-US"/>
        </w:rPr>
        <w:t xml:space="preserve"> </w:t>
      </w:r>
      <w:r w:rsidR="00566FEB" w:rsidRPr="00E004A2">
        <w:rPr>
          <w:rFonts w:ascii="Garamond" w:hAnsi="Garamond"/>
          <w:sz w:val="24"/>
          <w:szCs w:val="24"/>
          <w:lang w:val="en-US"/>
        </w:rPr>
        <w:t>T</w:t>
      </w:r>
      <w:r w:rsidR="00A20CBC" w:rsidRPr="00E004A2">
        <w:rPr>
          <w:rFonts w:ascii="Garamond" w:hAnsi="Garamond"/>
          <w:sz w:val="24"/>
          <w:szCs w:val="24"/>
          <w:lang w:val="en-US"/>
        </w:rPr>
        <w:t xml:space="preserve">here is in any case a move away from using the </w:t>
      </w:r>
      <w:r w:rsidR="00AE6699">
        <w:rPr>
          <w:rFonts w:ascii="Garamond" w:hAnsi="Garamond"/>
          <w:sz w:val="24"/>
          <w:szCs w:val="24"/>
          <w:lang w:val="en-US"/>
        </w:rPr>
        <w:t>“</w:t>
      </w:r>
      <w:r w:rsidR="00A20CBC" w:rsidRPr="00E004A2">
        <w:rPr>
          <w:rFonts w:ascii="Garamond" w:hAnsi="Garamond"/>
          <w:sz w:val="24"/>
          <w:szCs w:val="24"/>
          <w:lang w:val="en-US"/>
        </w:rPr>
        <w:t>he or she</w:t>
      </w:r>
      <w:r w:rsidR="00AE6699">
        <w:rPr>
          <w:rFonts w:ascii="Garamond" w:hAnsi="Garamond"/>
          <w:sz w:val="24"/>
          <w:szCs w:val="24"/>
          <w:lang w:val="en-US"/>
        </w:rPr>
        <w:t>”</w:t>
      </w:r>
      <w:r w:rsidR="00A20CBC" w:rsidRPr="00E004A2">
        <w:rPr>
          <w:rFonts w:ascii="Garamond" w:hAnsi="Garamond"/>
          <w:sz w:val="24"/>
          <w:szCs w:val="24"/>
          <w:lang w:val="en-US"/>
        </w:rPr>
        <w:t xml:space="preserve"> construction when alternatives are present and using only </w:t>
      </w:r>
      <w:r w:rsidR="00AE6699">
        <w:rPr>
          <w:rFonts w:ascii="Garamond" w:hAnsi="Garamond"/>
          <w:sz w:val="24"/>
          <w:szCs w:val="24"/>
          <w:lang w:val="en-US"/>
        </w:rPr>
        <w:t>“</w:t>
      </w:r>
      <w:r w:rsidR="00A20CBC" w:rsidRPr="00E004A2">
        <w:rPr>
          <w:rFonts w:ascii="Garamond" w:hAnsi="Garamond"/>
          <w:sz w:val="24"/>
          <w:szCs w:val="24"/>
          <w:lang w:val="en-US"/>
        </w:rPr>
        <w:t>he</w:t>
      </w:r>
      <w:r w:rsidR="00AE6699">
        <w:rPr>
          <w:rFonts w:ascii="Garamond" w:hAnsi="Garamond"/>
          <w:sz w:val="24"/>
          <w:szCs w:val="24"/>
          <w:lang w:val="en-US"/>
        </w:rPr>
        <w:t>”</w:t>
      </w:r>
      <w:r w:rsidR="00A20CBC" w:rsidRPr="00E004A2">
        <w:rPr>
          <w:rFonts w:ascii="Garamond" w:hAnsi="Garamond"/>
          <w:sz w:val="24"/>
          <w:szCs w:val="24"/>
          <w:lang w:val="en-US"/>
        </w:rPr>
        <w:t xml:space="preserve"> is falling well outside of contemporary drafting practice, especially following the 2007 government statement on gender neutral drafting. Furthermore, </w:t>
      </w:r>
      <w:r w:rsidR="00230E6E">
        <w:rPr>
          <w:rFonts w:ascii="Garamond" w:hAnsi="Garamond"/>
          <w:sz w:val="24"/>
          <w:szCs w:val="24"/>
          <w:lang w:val="en-US"/>
        </w:rPr>
        <w:t xml:space="preserve">gender-inclusive and gender silent approaches to </w:t>
      </w:r>
      <w:r w:rsidR="00A20CBC" w:rsidRPr="00E004A2">
        <w:rPr>
          <w:rFonts w:ascii="Garamond" w:hAnsi="Garamond"/>
          <w:sz w:val="24"/>
          <w:szCs w:val="24"/>
          <w:lang w:val="en-US"/>
        </w:rPr>
        <w:t xml:space="preserve">drafting increasingly shift away from assuming in advance what </w:t>
      </w:r>
      <w:r w:rsidR="00E82A0C" w:rsidRPr="00E004A2">
        <w:rPr>
          <w:rFonts w:ascii="Garamond" w:hAnsi="Garamond"/>
          <w:sz w:val="24"/>
          <w:szCs w:val="24"/>
          <w:lang w:val="en-US"/>
        </w:rPr>
        <w:t>sex/</w:t>
      </w:r>
      <w:r w:rsidR="00A20CBC" w:rsidRPr="00E004A2">
        <w:rPr>
          <w:rFonts w:ascii="Garamond" w:hAnsi="Garamond"/>
          <w:sz w:val="24"/>
          <w:szCs w:val="24"/>
          <w:lang w:val="en-US"/>
        </w:rPr>
        <w:t xml:space="preserve">gender a legal subject wishes to claim. </w:t>
      </w:r>
      <w:r w:rsidR="002E4F26">
        <w:rPr>
          <w:rFonts w:ascii="Garamond" w:hAnsi="Garamond"/>
          <w:sz w:val="24"/>
          <w:szCs w:val="24"/>
          <w:lang w:val="en-US"/>
        </w:rPr>
        <w:tab/>
      </w:r>
    </w:p>
    <w:p w14:paraId="76C9E2D9" w14:textId="257E0B64" w:rsidR="00A20CBC" w:rsidRPr="00E004A2" w:rsidRDefault="002E4F26" w:rsidP="00A20CBC">
      <w:pPr>
        <w:tabs>
          <w:tab w:val="left" w:pos="720"/>
          <w:tab w:val="left" w:pos="1440"/>
          <w:tab w:val="left" w:pos="2160"/>
          <w:tab w:val="left" w:pos="2880"/>
          <w:tab w:val="left" w:pos="3600"/>
          <w:tab w:val="left" w:pos="4320"/>
        </w:tabs>
        <w:spacing w:line="480" w:lineRule="auto"/>
        <w:rPr>
          <w:rFonts w:ascii="Garamond" w:hAnsi="Garamond"/>
          <w:sz w:val="24"/>
          <w:szCs w:val="24"/>
          <w:lang w:val="en-US"/>
        </w:rPr>
      </w:pPr>
      <w:r>
        <w:rPr>
          <w:rFonts w:ascii="Garamond" w:hAnsi="Garamond"/>
          <w:sz w:val="24"/>
          <w:szCs w:val="24"/>
          <w:lang w:val="en-US"/>
        </w:rPr>
        <w:tab/>
      </w:r>
      <w:r w:rsidR="00C56DD3" w:rsidRPr="00E004A2">
        <w:rPr>
          <w:rFonts w:ascii="Garamond" w:hAnsi="Garamond"/>
          <w:sz w:val="24"/>
          <w:szCs w:val="24"/>
          <w:lang w:val="en-US"/>
        </w:rPr>
        <w:t>I</w:t>
      </w:r>
      <w:r w:rsidR="00A20CBC" w:rsidRPr="00E004A2">
        <w:rPr>
          <w:rFonts w:ascii="Garamond" w:hAnsi="Garamond"/>
          <w:sz w:val="24"/>
          <w:szCs w:val="24"/>
          <w:lang w:val="en-US"/>
        </w:rPr>
        <w:t xml:space="preserve">t may well be that too much attention to pronouns would be inappropriate for the kind of re-orientation of focus that decertification would perform. If decertifying gender is about not putting all the work of </w:t>
      </w:r>
      <w:r w:rsidR="00CC7E4D" w:rsidRPr="00E004A2">
        <w:rPr>
          <w:rFonts w:ascii="Garamond" w:hAnsi="Garamond"/>
          <w:sz w:val="24"/>
          <w:szCs w:val="24"/>
          <w:lang w:val="en-US"/>
        </w:rPr>
        <w:t>sex/</w:t>
      </w:r>
      <w:r w:rsidR="00A20CBC" w:rsidRPr="00E004A2">
        <w:rPr>
          <w:rFonts w:ascii="Garamond" w:hAnsi="Garamond"/>
          <w:sz w:val="24"/>
          <w:szCs w:val="24"/>
          <w:lang w:val="en-US"/>
        </w:rPr>
        <w:t xml:space="preserve">gender onto individuals to carry through their </w:t>
      </w:r>
      <w:r w:rsidR="004D77C7" w:rsidRPr="00E004A2">
        <w:rPr>
          <w:rFonts w:ascii="Garamond" w:hAnsi="Garamond"/>
          <w:sz w:val="24"/>
          <w:szCs w:val="24"/>
          <w:lang w:val="en-US"/>
        </w:rPr>
        <w:t>lifetime</w:t>
      </w:r>
      <w:r w:rsidR="00A20CBC" w:rsidRPr="00E004A2">
        <w:rPr>
          <w:rFonts w:ascii="Garamond" w:hAnsi="Garamond"/>
          <w:sz w:val="24"/>
          <w:szCs w:val="24"/>
          <w:lang w:val="en-US"/>
        </w:rPr>
        <w:t xml:space="preserve">, but instead to focus on </w:t>
      </w:r>
      <w:r w:rsidR="00EE79ED" w:rsidRPr="00E004A2">
        <w:rPr>
          <w:rFonts w:ascii="Garamond" w:hAnsi="Garamond"/>
          <w:sz w:val="24"/>
          <w:szCs w:val="24"/>
          <w:lang w:val="en-US"/>
        </w:rPr>
        <w:t>sex/</w:t>
      </w:r>
      <w:r w:rsidR="00A20CBC" w:rsidRPr="00E004A2">
        <w:rPr>
          <w:rFonts w:ascii="Garamond" w:hAnsi="Garamond"/>
          <w:sz w:val="24"/>
          <w:szCs w:val="24"/>
          <w:lang w:val="en-US"/>
        </w:rPr>
        <w:t xml:space="preserve">gender as a set of social systems and institutional orientations, then the focus on pronouns, with their inherent targeting of gendered individuals, may shift. For this reason, </w:t>
      </w:r>
      <w:r w:rsidR="00BC6731" w:rsidRPr="00E004A2">
        <w:rPr>
          <w:rFonts w:ascii="Garamond" w:hAnsi="Garamond"/>
          <w:sz w:val="24"/>
          <w:szCs w:val="24"/>
          <w:lang w:val="en-US"/>
        </w:rPr>
        <w:t xml:space="preserve">our statutory drafting practice </w:t>
      </w:r>
      <w:r w:rsidR="00796E62" w:rsidRPr="00E004A2">
        <w:rPr>
          <w:rFonts w:ascii="Garamond" w:hAnsi="Garamond"/>
          <w:sz w:val="24"/>
          <w:szCs w:val="24"/>
          <w:lang w:val="en-US"/>
        </w:rPr>
        <w:t xml:space="preserve">may </w:t>
      </w:r>
      <w:r w:rsidR="00A20CBC" w:rsidRPr="00E004A2">
        <w:rPr>
          <w:rFonts w:ascii="Garamond" w:hAnsi="Garamond"/>
          <w:sz w:val="24"/>
          <w:szCs w:val="24"/>
          <w:lang w:val="en-US"/>
        </w:rPr>
        <w:t>focus on techniques currently used by drafters to ‘rephrase to avoid the need for a pronoun or noun’ (OPC 2018, 7).</w:t>
      </w:r>
      <w:r w:rsidR="00C80DE7">
        <w:rPr>
          <w:rFonts w:ascii="Garamond" w:hAnsi="Garamond"/>
          <w:sz w:val="24"/>
          <w:szCs w:val="24"/>
          <w:lang w:val="en-US"/>
        </w:rPr>
        <w:t xml:space="preserve"> </w:t>
      </w:r>
      <w:r w:rsidR="00BB2C1F" w:rsidRPr="00E004A2">
        <w:rPr>
          <w:rFonts w:ascii="Garamond" w:hAnsi="Garamond"/>
          <w:sz w:val="24"/>
          <w:szCs w:val="24"/>
          <w:lang w:val="en-US"/>
        </w:rPr>
        <w:t>G</w:t>
      </w:r>
      <w:r w:rsidR="00A20CBC" w:rsidRPr="00E004A2">
        <w:rPr>
          <w:rFonts w:ascii="Garamond" w:hAnsi="Garamond"/>
          <w:sz w:val="24"/>
          <w:szCs w:val="24"/>
          <w:lang w:val="en-US"/>
        </w:rPr>
        <w:t xml:space="preserve">iven that legislation still occasionally needs to target legal subjects as individuals, </w:t>
      </w:r>
      <w:r w:rsidR="00A20CBC" w:rsidRPr="00E004A2">
        <w:rPr>
          <w:rFonts w:ascii="Garamond" w:hAnsi="Garamond"/>
          <w:kern w:val="1"/>
          <w:sz w:val="24"/>
          <w:szCs w:val="24"/>
        </w:rPr>
        <w:t xml:space="preserve">it is possible to imagine a situation in which decertification might encourage drafters increasingly to use the singular </w:t>
      </w:r>
      <w:r w:rsidR="00294CFB">
        <w:rPr>
          <w:rFonts w:ascii="Garamond" w:hAnsi="Garamond"/>
          <w:kern w:val="1"/>
          <w:sz w:val="24"/>
          <w:szCs w:val="24"/>
        </w:rPr>
        <w:t>“</w:t>
      </w:r>
      <w:r w:rsidR="00A20CBC" w:rsidRPr="00E004A2">
        <w:rPr>
          <w:rFonts w:ascii="Garamond" w:hAnsi="Garamond"/>
          <w:kern w:val="1"/>
          <w:sz w:val="24"/>
          <w:szCs w:val="24"/>
        </w:rPr>
        <w:t>they</w:t>
      </w:r>
      <w:r w:rsidR="00294CFB">
        <w:rPr>
          <w:rFonts w:ascii="Garamond" w:hAnsi="Garamond"/>
          <w:kern w:val="1"/>
          <w:sz w:val="24"/>
          <w:szCs w:val="24"/>
        </w:rPr>
        <w:t>”</w:t>
      </w:r>
      <w:r w:rsidR="00A20CBC" w:rsidRPr="00E004A2">
        <w:rPr>
          <w:rFonts w:ascii="Garamond" w:hAnsi="Garamond"/>
          <w:kern w:val="1"/>
          <w:sz w:val="24"/>
          <w:szCs w:val="24"/>
        </w:rPr>
        <w:t xml:space="preserve"> as a non-gendered third person singular, and this would also align with </w:t>
      </w:r>
      <w:proofErr w:type="spellStart"/>
      <w:r w:rsidR="00A20CBC" w:rsidRPr="00E004A2">
        <w:rPr>
          <w:rFonts w:ascii="Garamond" w:hAnsi="Garamond"/>
          <w:kern w:val="1"/>
          <w:sz w:val="24"/>
          <w:szCs w:val="24"/>
        </w:rPr>
        <w:t>Xanthaki’s</w:t>
      </w:r>
      <w:proofErr w:type="spellEnd"/>
      <w:r w:rsidR="00A20CBC" w:rsidRPr="00E004A2">
        <w:rPr>
          <w:rFonts w:ascii="Garamond" w:hAnsi="Garamond"/>
          <w:kern w:val="1"/>
          <w:sz w:val="24"/>
          <w:szCs w:val="24"/>
        </w:rPr>
        <w:t xml:space="preserve"> ‘gender inclusive’ approach, although from a different conceptual direction. </w:t>
      </w:r>
    </w:p>
    <w:p w14:paraId="32CC4460" w14:textId="3BBA2733" w:rsidR="0050404D" w:rsidRPr="00E004A2" w:rsidRDefault="00A20CBC" w:rsidP="00A20CBC">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Another approach might be to question the continued use of the third person as the ‘voice’ for legislation. This appears more radical tha</w:t>
      </w:r>
      <w:r w:rsidR="00796E62" w:rsidRPr="00E004A2">
        <w:rPr>
          <w:rFonts w:ascii="Garamond" w:hAnsi="Garamond"/>
          <w:kern w:val="1"/>
          <w:sz w:val="24"/>
          <w:szCs w:val="24"/>
        </w:rPr>
        <w:t>n</w:t>
      </w:r>
      <w:r w:rsidRPr="00E004A2">
        <w:rPr>
          <w:rFonts w:ascii="Garamond" w:hAnsi="Garamond"/>
          <w:kern w:val="1"/>
          <w:sz w:val="24"/>
          <w:szCs w:val="24"/>
        </w:rPr>
        <w:t xml:space="preserve"> rephrasing to avoid the need for a pronoun, but both techniques effectively engage in a shift in expression. As many commentators have pointed out </w:t>
      </w:r>
      <w:r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{"citationID":"r9DmTTVO","properties":{"formattedCitation":"(Mossman, 1995b; Salembier, 2013; Xanthaki, 2013)","plainCitation":"(Mossman, 1995b; Salembier, 2013; Xanthaki, 2013)","noteIndex":0},"citationItems":[{"id":689,"uris":["http://zotero.org/users/1070015/items/HE66WYL8"],"uri":["http://zotero.org/users/1070015/items/HE66WYL8"],"itemData":{"id":689,"type":"article-journal","container-title":"International Legal Practitioner","issue":"1","page":"8-14","title":"Use of Non-Discriminatory Language in Law","volume":"20","author":[{"family":"Mossman","given":"Mary Jane"}],"issued":{"date-parts":[["1995"]]}}},{"id":2785,"uris":["http://zotero.org/groups/1576676/items/RSABPRDI"],"uri":["http://zotero.org/groups/1576676/items/RSABPRDI"],"itemData":{"id":2785,"type":"article-journal","container-title":"Statute Law Review","issue":"2","page":"175-185","title":"Is Bad Grammar Good Policy? Legislative Use of the...: Full Text Finder Results","volume":"36","author":[{"family":"Salembier","given":"Paul"}],"issued":{"date-parts":[["2013"]]}}},{"id":692,"uris":["http://zotero.org/users/1070015/items/WPIWQH4A"],"uri":["http://zotero.org/users/1070015/items/WPIWQH4A"],"itemData":{"id":692,"type":"book","publisher":"Bloomsbury","title":"Thornton's Legislative Drafting","editor":[{"family":"Xanthaki","given":"Helen"}],"issued":{"date-parts":[["2013"]]}}}],"schema":"https://github.com/citation-style-language/schema/raw/master/csl-citation.json"} </w:instrText>
      </w:r>
      <w:r w:rsidRPr="00E004A2">
        <w:rPr>
          <w:rFonts w:ascii="Garamond" w:hAnsi="Garamond"/>
          <w:kern w:val="1"/>
          <w:sz w:val="24"/>
          <w:szCs w:val="24"/>
        </w:rPr>
        <w:fldChar w:fldCharType="separate"/>
      </w:r>
      <w:r w:rsidR="004F3785">
        <w:rPr>
          <w:rFonts w:ascii="Garamond" w:hAnsi="Garamond"/>
          <w:noProof/>
          <w:kern w:val="1"/>
          <w:sz w:val="24"/>
          <w:szCs w:val="24"/>
        </w:rPr>
        <w:t>(Mossman, 1995; Salembier, 201</w:t>
      </w:r>
      <w:r w:rsidR="005C2D8B">
        <w:rPr>
          <w:rFonts w:ascii="Garamond" w:hAnsi="Garamond"/>
          <w:noProof/>
          <w:kern w:val="1"/>
          <w:sz w:val="24"/>
          <w:szCs w:val="24"/>
        </w:rPr>
        <w:t>5</w:t>
      </w:r>
      <w:r w:rsidR="004F3785">
        <w:rPr>
          <w:rFonts w:ascii="Garamond" w:hAnsi="Garamond"/>
          <w:noProof/>
          <w:kern w:val="1"/>
          <w:sz w:val="24"/>
          <w:szCs w:val="24"/>
        </w:rPr>
        <w:t>; Xanthaki, 2013)</w:t>
      </w:r>
      <w:r w:rsidRPr="00E004A2">
        <w:rPr>
          <w:rFonts w:ascii="Garamond" w:hAnsi="Garamond"/>
          <w:kern w:val="1"/>
          <w:sz w:val="24"/>
          <w:szCs w:val="24"/>
        </w:rPr>
        <w:fldChar w:fldCharType="end"/>
      </w:r>
      <w:r w:rsidRPr="00E004A2">
        <w:rPr>
          <w:rFonts w:ascii="Garamond" w:hAnsi="Garamond"/>
          <w:kern w:val="1"/>
          <w:sz w:val="24"/>
          <w:szCs w:val="24"/>
        </w:rPr>
        <w:t xml:space="preserve">, the issue that drafters face is that </w:t>
      </w:r>
      <w:r w:rsidRPr="00E004A2">
        <w:rPr>
          <w:rFonts w:ascii="Garamond" w:hAnsi="Garamond"/>
          <w:kern w:val="1"/>
          <w:sz w:val="24"/>
          <w:szCs w:val="24"/>
        </w:rPr>
        <w:lastRenderedPageBreak/>
        <w:t xml:space="preserve">there is no gender-free third person singular pronoun in the English language – that is, if objections to the widespread use of the singular </w:t>
      </w:r>
      <w:r w:rsidR="00AE6699">
        <w:rPr>
          <w:rFonts w:ascii="Garamond" w:hAnsi="Garamond"/>
          <w:kern w:val="1"/>
          <w:sz w:val="24"/>
          <w:szCs w:val="24"/>
        </w:rPr>
        <w:t>“</w:t>
      </w:r>
      <w:r w:rsidRPr="00E004A2">
        <w:rPr>
          <w:rFonts w:ascii="Garamond" w:hAnsi="Garamond"/>
          <w:kern w:val="1"/>
          <w:sz w:val="24"/>
          <w:szCs w:val="24"/>
        </w:rPr>
        <w:t>they</w:t>
      </w:r>
      <w:r w:rsidR="00AE6699">
        <w:rPr>
          <w:rFonts w:ascii="Garamond" w:hAnsi="Garamond"/>
          <w:kern w:val="1"/>
          <w:sz w:val="24"/>
          <w:szCs w:val="24"/>
        </w:rPr>
        <w:t>”</w:t>
      </w:r>
      <w:r w:rsidRPr="00E004A2">
        <w:rPr>
          <w:rFonts w:ascii="Garamond" w:hAnsi="Garamond"/>
          <w:kern w:val="1"/>
          <w:sz w:val="24"/>
          <w:szCs w:val="24"/>
        </w:rPr>
        <w:t xml:space="preserve"> are taken as read. However, the second person (</w:t>
      </w:r>
      <w:r w:rsidR="00AE6699">
        <w:rPr>
          <w:rFonts w:ascii="Garamond" w:hAnsi="Garamond"/>
          <w:kern w:val="1"/>
          <w:sz w:val="24"/>
          <w:szCs w:val="24"/>
        </w:rPr>
        <w:t>“</w:t>
      </w:r>
      <w:r w:rsidRPr="00E004A2">
        <w:rPr>
          <w:rFonts w:ascii="Garamond" w:hAnsi="Garamond"/>
          <w:kern w:val="1"/>
          <w:sz w:val="24"/>
          <w:szCs w:val="24"/>
        </w:rPr>
        <w:t>you</w:t>
      </w:r>
      <w:r w:rsidR="00AE6699">
        <w:rPr>
          <w:rFonts w:ascii="Garamond" w:hAnsi="Garamond"/>
          <w:kern w:val="1"/>
          <w:sz w:val="24"/>
          <w:szCs w:val="24"/>
        </w:rPr>
        <w:t>”</w:t>
      </w:r>
      <w:r w:rsidRPr="00E004A2">
        <w:rPr>
          <w:rFonts w:ascii="Garamond" w:hAnsi="Garamond"/>
          <w:kern w:val="1"/>
          <w:sz w:val="24"/>
          <w:szCs w:val="24"/>
        </w:rPr>
        <w:t>) is un-gendered. The second person is often associated with the imperative, which is used more readily in other languages (e.g. German) and not generally considered for use in statutory text.</w:t>
      </w:r>
      <w:r w:rsidR="00A13D51" w:rsidRPr="00645D9E">
        <w:rPr>
          <w:rStyle w:val="FootnoteReference"/>
        </w:rPr>
        <w:footnoteReference w:id="33"/>
      </w:r>
      <w:r w:rsidRPr="00E004A2">
        <w:rPr>
          <w:rFonts w:ascii="Garamond" w:hAnsi="Garamond"/>
          <w:kern w:val="1"/>
          <w:sz w:val="24"/>
          <w:szCs w:val="24"/>
        </w:rPr>
        <w:t xml:space="preserve"> As </w:t>
      </w:r>
      <w:proofErr w:type="spellStart"/>
      <w:r w:rsidRPr="00E004A2">
        <w:rPr>
          <w:rFonts w:ascii="Garamond" w:hAnsi="Garamond"/>
          <w:kern w:val="1"/>
          <w:sz w:val="24"/>
          <w:szCs w:val="24"/>
        </w:rPr>
        <w:t>Salembier</w:t>
      </w:r>
      <w:proofErr w:type="spellEnd"/>
      <w:r w:rsidRPr="00E004A2">
        <w:rPr>
          <w:rFonts w:ascii="Garamond" w:hAnsi="Garamond"/>
          <w:kern w:val="1"/>
          <w:sz w:val="24"/>
          <w:szCs w:val="24"/>
        </w:rPr>
        <w:t xml:space="preserve"> puts it: ‘the imperative mood (</w:t>
      </w:r>
      <w:r w:rsidRPr="00E004A2">
        <w:rPr>
          <w:rFonts w:ascii="Garamond" w:hAnsi="Garamond"/>
          <w:i/>
          <w:kern w:val="1"/>
          <w:sz w:val="24"/>
          <w:szCs w:val="24"/>
        </w:rPr>
        <w:t>Put that cookie back in the jar</w:t>
      </w:r>
      <w:r w:rsidRPr="00E004A2">
        <w:rPr>
          <w:rFonts w:ascii="Garamond" w:hAnsi="Garamond"/>
          <w:kern w:val="1"/>
          <w:sz w:val="24"/>
          <w:szCs w:val="24"/>
        </w:rPr>
        <w:t xml:space="preserve">) is commonly used for speaking but is not appropriate for legislation’ </w:t>
      </w:r>
      <w:r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{"citationID":"9XoiTSA7","properties":{"formattedCitation":"(Salembier, 2015, p. 176)","plainCitation":"(Salembier, 2015, p. 176)","noteIndex":0},"citationItems":[{"id":730,"uris":["http://zotero.org/users/1070015/items/9CDK3VV2"],"uri":["http://zotero.org/users/1070015/items/9CDK3VV2"],"itemData":{"id":730,"type":"article-journal","abstract":"Abstract.  A number of jurisdictions have adopted the use of the singular they, in which the pronoun they is used to refer to a singular antecedent noun, in ord","container-title":"Statute Law Review","DOI":"10.1093/slr/hmv007","ISSN":"0144-3593","issue":"2","journalAbbreviation":"Statute Law Rev","language":"en","page":"175-185","source":"academic-oup-com.chain.kent.ac.uk","title":"Is Bad Grammar Good Policy? Legislative Use of the Singular ‘they’","title-short":"Is Bad Grammar Good Policy?","volume":"36","author":[{"family":"Salembier","given":"Paul"}],"issued":{"date-parts":[["2015",6,1]]}},"locator":"176","label":"page"}],"schema":"https://github.com/citation-style-language/schema/raw/master/csl-citation.json"} </w:instrText>
      </w:r>
      <w:r w:rsidRPr="00E004A2">
        <w:rPr>
          <w:rFonts w:ascii="Garamond" w:hAnsi="Garamond"/>
          <w:kern w:val="1"/>
          <w:sz w:val="24"/>
          <w:szCs w:val="24"/>
        </w:rPr>
        <w:fldChar w:fldCharType="separate"/>
      </w:r>
      <w:r w:rsidR="004F3785">
        <w:rPr>
          <w:rFonts w:ascii="Garamond" w:hAnsi="Garamond"/>
          <w:noProof/>
          <w:kern w:val="1"/>
          <w:sz w:val="24"/>
          <w:szCs w:val="24"/>
        </w:rPr>
        <w:t>(Salembier, 2015, p. 176)</w:t>
      </w:r>
      <w:r w:rsidRPr="00E004A2">
        <w:rPr>
          <w:rFonts w:ascii="Garamond" w:hAnsi="Garamond"/>
          <w:kern w:val="1"/>
          <w:sz w:val="24"/>
          <w:szCs w:val="24"/>
        </w:rPr>
        <w:fldChar w:fldCharType="end"/>
      </w:r>
      <w:r w:rsidRPr="00E004A2">
        <w:rPr>
          <w:rFonts w:ascii="Garamond" w:hAnsi="Garamond"/>
          <w:kern w:val="1"/>
          <w:sz w:val="24"/>
          <w:szCs w:val="24"/>
        </w:rPr>
        <w:t>. The Office of the Scottish Parliamentary Counsel (OSPC) has also considered the use of the second person within the context of plain language drafting. The OSPC points out that referring to ‘you’ would catch readers of legislative texts who are not the intended audience of the obligations or rights contained in the statute, for example judges or lawyers. However, it also acknowledges that ‘there may occasionally be circumstances in which it may be advantageous to draft in the second person’.</w:t>
      </w:r>
      <w:r w:rsidRPr="00645D9E">
        <w:rPr>
          <w:rStyle w:val="FootnoteReference"/>
        </w:rPr>
        <w:footnoteReference w:id="34"/>
      </w:r>
      <w:r w:rsidRPr="00E004A2">
        <w:rPr>
          <w:rFonts w:ascii="Garamond" w:hAnsi="Garamond"/>
          <w:kern w:val="1"/>
          <w:sz w:val="24"/>
          <w:szCs w:val="24"/>
        </w:rPr>
        <w:t xml:space="preserve"> As the project continues investigating the rich intersections of </w:t>
      </w:r>
      <w:r w:rsidR="00991701" w:rsidRPr="00E004A2">
        <w:rPr>
          <w:rFonts w:ascii="Garamond" w:hAnsi="Garamond"/>
          <w:kern w:val="1"/>
          <w:sz w:val="24"/>
          <w:szCs w:val="24"/>
        </w:rPr>
        <w:t>sex/</w:t>
      </w:r>
      <w:r w:rsidRPr="00E004A2">
        <w:rPr>
          <w:rFonts w:ascii="Garamond" w:hAnsi="Garamond"/>
          <w:kern w:val="1"/>
          <w:sz w:val="24"/>
          <w:szCs w:val="24"/>
        </w:rPr>
        <w:t>gender and legislative drafting, future work could focus on the potential for using the second person as part of a broader set of feminist techniques that sit comfortably with a more disruptive approach to drafting overall</w:t>
      </w:r>
      <w:r w:rsidR="0054204F">
        <w:rPr>
          <w:rFonts w:ascii="Garamond" w:hAnsi="Garamond"/>
          <w:kern w:val="1"/>
          <w:sz w:val="24"/>
          <w:szCs w:val="24"/>
        </w:rPr>
        <w:t xml:space="preserve"> (see further below)</w:t>
      </w:r>
      <w:r w:rsidRPr="00E004A2">
        <w:rPr>
          <w:rFonts w:ascii="Garamond" w:hAnsi="Garamond"/>
          <w:kern w:val="1"/>
          <w:sz w:val="24"/>
          <w:szCs w:val="24"/>
        </w:rPr>
        <w:t xml:space="preserve">. As such, the second person might provide a technique for avoiding the binary dilemmas of gendered third person pronouns, helping to support the decertification of gender (along with its focus on social relations of gender rather than gender as an individual property of the legal subject), and also unsettling communicative conventions of drafting within broader processes of law-making (see further </w:t>
      </w:r>
      <w:r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{"citationID":"8v676HhH","properties":{"formattedCitation":"(Stefanou, 2015)","plainCitation":"(Stefanou, 2015)","noteIndex":0},"citationItems":[{"id":2730,"uris":["http://zotero.org/groups/1576676/items/JTTEBX8H"],"uri":["http://zotero.org/groups/1576676/items/JTTEBX8H"],"itemData":{"id":2730,"type":"chapter","container-title":"Enhancing Legislative Drafting in the Commonwealth: A Wealth of Innovation","page":"4-13","publisher":"Routledge","title":"Is legislative drafting a form of communication?","author":[{"family":"Stefanou","given":"Constantic"}],"issued":{"date-parts":[["2015"]]}}}],"schema":"https://github.com/citation-style-language/schema/raw/master/csl-citation.json"} </w:instrText>
      </w:r>
      <w:r w:rsidRPr="00E004A2">
        <w:rPr>
          <w:rFonts w:ascii="Garamond" w:hAnsi="Garamond"/>
          <w:kern w:val="1"/>
          <w:sz w:val="24"/>
          <w:szCs w:val="24"/>
        </w:rPr>
        <w:fldChar w:fldCharType="separate"/>
      </w:r>
      <w:r w:rsidR="004F3785">
        <w:rPr>
          <w:rFonts w:ascii="Garamond" w:hAnsi="Garamond"/>
          <w:noProof/>
          <w:kern w:val="1"/>
          <w:sz w:val="24"/>
          <w:szCs w:val="24"/>
        </w:rPr>
        <w:t>Stefanou, 2015)</w:t>
      </w:r>
      <w:r w:rsidRPr="00E004A2">
        <w:rPr>
          <w:rFonts w:ascii="Garamond" w:hAnsi="Garamond"/>
          <w:kern w:val="1"/>
          <w:sz w:val="24"/>
          <w:szCs w:val="24"/>
        </w:rPr>
        <w:fldChar w:fldCharType="end"/>
      </w:r>
      <w:r w:rsidRPr="00E004A2">
        <w:rPr>
          <w:rFonts w:ascii="Garamond" w:hAnsi="Garamond"/>
          <w:kern w:val="1"/>
          <w:sz w:val="24"/>
          <w:szCs w:val="24"/>
        </w:rPr>
        <w:t>.</w:t>
      </w:r>
      <w:r w:rsidR="0050404D" w:rsidRPr="00E004A2">
        <w:rPr>
          <w:rFonts w:ascii="Garamond" w:hAnsi="Garamond"/>
          <w:kern w:val="1"/>
          <w:sz w:val="24"/>
          <w:szCs w:val="24"/>
        </w:rPr>
        <w:tab/>
      </w:r>
    </w:p>
    <w:p w14:paraId="20BB07DC" w14:textId="77777777" w:rsidR="00567601" w:rsidRDefault="0050404D">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r>
      <w:r w:rsidR="003912CA" w:rsidRPr="00E004A2">
        <w:rPr>
          <w:rFonts w:ascii="Garamond" w:hAnsi="Garamond"/>
          <w:kern w:val="1"/>
          <w:sz w:val="24"/>
          <w:szCs w:val="24"/>
        </w:rPr>
        <w:t>The second set of questions</w:t>
      </w:r>
      <w:r w:rsidR="00CE01E4">
        <w:rPr>
          <w:rFonts w:ascii="Garamond" w:hAnsi="Garamond"/>
          <w:kern w:val="1"/>
          <w:sz w:val="24"/>
          <w:szCs w:val="24"/>
        </w:rPr>
        <w:t xml:space="preserve"> in this final section builds on these latter concerns by asking</w:t>
      </w:r>
      <w:r w:rsidR="003912CA" w:rsidRPr="00E004A2">
        <w:rPr>
          <w:rFonts w:ascii="Garamond" w:hAnsi="Garamond"/>
          <w:kern w:val="1"/>
          <w:sz w:val="24"/>
          <w:szCs w:val="24"/>
        </w:rPr>
        <w:t xml:space="preserve"> </w:t>
      </w:r>
      <w:r w:rsidR="005A3238" w:rsidRPr="00E004A2">
        <w:rPr>
          <w:rFonts w:ascii="Garamond" w:hAnsi="Garamond"/>
          <w:kern w:val="1"/>
          <w:sz w:val="24"/>
          <w:szCs w:val="24"/>
        </w:rPr>
        <w:t xml:space="preserve">how feminists can and should engage with legislative drafting. </w:t>
      </w:r>
      <w:r w:rsidR="00FF1FB0" w:rsidRPr="00E004A2">
        <w:rPr>
          <w:rFonts w:ascii="Garamond" w:hAnsi="Garamond"/>
          <w:kern w:val="1"/>
          <w:sz w:val="24"/>
          <w:szCs w:val="24"/>
        </w:rPr>
        <w:t xml:space="preserve">We might, for example, try to alter the current tools, contributing to on-going debates about </w:t>
      </w:r>
      <w:r w:rsidR="006065F9">
        <w:rPr>
          <w:rFonts w:ascii="Garamond" w:hAnsi="Garamond"/>
          <w:kern w:val="1"/>
          <w:sz w:val="24"/>
          <w:szCs w:val="24"/>
        </w:rPr>
        <w:t>sex/</w:t>
      </w:r>
      <w:r w:rsidR="00FF1FB0" w:rsidRPr="00E004A2">
        <w:rPr>
          <w:rFonts w:ascii="Garamond" w:hAnsi="Garamond"/>
          <w:kern w:val="1"/>
          <w:sz w:val="24"/>
          <w:szCs w:val="24"/>
        </w:rPr>
        <w:t xml:space="preserve">gender within current legislative </w:t>
      </w:r>
      <w:r w:rsidR="00FF1FB0" w:rsidRPr="00E004A2">
        <w:rPr>
          <w:rFonts w:ascii="Garamond" w:hAnsi="Garamond"/>
          <w:kern w:val="1"/>
          <w:sz w:val="24"/>
          <w:szCs w:val="24"/>
        </w:rPr>
        <w:lastRenderedPageBreak/>
        <w:t>drafting practice</w:t>
      </w:r>
      <w:r w:rsidR="009B4FB7">
        <w:rPr>
          <w:rFonts w:ascii="Garamond" w:hAnsi="Garamond"/>
          <w:kern w:val="1"/>
          <w:sz w:val="24"/>
          <w:szCs w:val="24"/>
        </w:rPr>
        <w:t xml:space="preserve"> from the perspective of </w:t>
      </w:r>
      <w:r w:rsidR="00250656">
        <w:rPr>
          <w:rFonts w:ascii="Garamond" w:hAnsi="Garamond"/>
          <w:kern w:val="1"/>
          <w:sz w:val="24"/>
          <w:szCs w:val="24"/>
        </w:rPr>
        <w:t xml:space="preserve">a situation in which people would not enter legal forms of address with formally sexed or gendered </w:t>
      </w:r>
      <w:r w:rsidR="000B3790">
        <w:rPr>
          <w:rFonts w:ascii="Garamond" w:hAnsi="Garamond"/>
          <w:kern w:val="1"/>
          <w:sz w:val="24"/>
          <w:szCs w:val="24"/>
        </w:rPr>
        <w:t>subjectivities</w:t>
      </w:r>
      <w:r w:rsidR="00FF1FB0" w:rsidRPr="00E004A2">
        <w:rPr>
          <w:rFonts w:ascii="Garamond" w:hAnsi="Garamond"/>
          <w:kern w:val="1"/>
          <w:sz w:val="24"/>
          <w:szCs w:val="24"/>
        </w:rPr>
        <w:t xml:space="preserve">. Conversations about gender </w:t>
      </w:r>
      <w:r w:rsidR="00F800DE">
        <w:rPr>
          <w:rFonts w:ascii="Garamond" w:hAnsi="Garamond"/>
          <w:kern w:val="1"/>
          <w:sz w:val="24"/>
          <w:szCs w:val="24"/>
        </w:rPr>
        <w:t xml:space="preserve">and </w:t>
      </w:r>
      <w:r w:rsidR="00FF1FB0" w:rsidRPr="00E004A2">
        <w:rPr>
          <w:rFonts w:ascii="Garamond" w:hAnsi="Garamond"/>
          <w:kern w:val="1"/>
          <w:sz w:val="24"/>
          <w:szCs w:val="24"/>
        </w:rPr>
        <w:t xml:space="preserve">drafting, the on-going controversy over the use of the singular </w:t>
      </w:r>
      <w:r w:rsidR="00AE6699">
        <w:rPr>
          <w:rFonts w:ascii="Garamond" w:hAnsi="Garamond"/>
          <w:kern w:val="1"/>
          <w:sz w:val="24"/>
          <w:szCs w:val="24"/>
        </w:rPr>
        <w:t>“</w:t>
      </w:r>
      <w:r w:rsidR="00FF1FB0" w:rsidRPr="00E004A2">
        <w:rPr>
          <w:rFonts w:ascii="Garamond" w:hAnsi="Garamond"/>
          <w:kern w:val="1"/>
          <w:sz w:val="24"/>
          <w:szCs w:val="24"/>
        </w:rPr>
        <w:t>they</w:t>
      </w:r>
      <w:r w:rsidR="00AE6699">
        <w:rPr>
          <w:rFonts w:ascii="Garamond" w:hAnsi="Garamond"/>
          <w:kern w:val="1"/>
          <w:sz w:val="24"/>
          <w:szCs w:val="24"/>
        </w:rPr>
        <w:t>”</w:t>
      </w:r>
      <w:r w:rsidR="00FF1FB0" w:rsidRPr="00E004A2">
        <w:rPr>
          <w:rFonts w:ascii="Garamond" w:hAnsi="Garamond"/>
          <w:kern w:val="1"/>
          <w:sz w:val="24"/>
          <w:szCs w:val="24"/>
        </w:rPr>
        <w:t xml:space="preserve">, for example, and historical debates over the use of interpretation statutes, all reference the performative power of legal statutes and their gendering effects. </w:t>
      </w:r>
      <w:r w:rsidR="006C1F49" w:rsidRPr="00E004A2">
        <w:rPr>
          <w:rFonts w:ascii="Garamond" w:hAnsi="Garamond"/>
          <w:kern w:val="1"/>
          <w:sz w:val="24"/>
          <w:szCs w:val="24"/>
        </w:rPr>
        <w:t xml:space="preserve">The unsteady histories of sex/gender in English law as well as current dilemmas of contested usage indicate that this area of legal practice is as full of controversy as any other. With that in mind, it would be inaccurate to frame any feminist approach to drafting as challenging a monolithic institution or practice. </w:t>
      </w:r>
    </w:p>
    <w:p w14:paraId="504203A4" w14:textId="1087C18A" w:rsidR="006C1F49" w:rsidRPr="00E004A2" w:rsidRDefault="00567601" w:rsidP="006C1F49">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r>
      <w:r w:rsidR="006C1F49" w:rsidRPr="00E004A2">
        <w:rPr>
          <w:rFonts w:ascii="Garamond" w:hAnsi="Garamond"/>
          <w:kern w:val="1"/>
          <w:sz w:val="24"/>
          <w:szCs w:val="24"/>
        </w:rPr>
        <w:t xml:space="preserve">Yet writing statutes from an explicitly feminist perspective also necessarily engages questions of positionality right from the outset. </w:t>
      </w:r>
      <w:r w:rsidR="00170CCF">
        <w:rPr>
          <w:rFonts w:ascii="Garamond" w:hAnsi="Garamond"/>
          <w:kern w:val="1"/>
          <w:sz w:val="24"/>
          <w:szCs w:val="24"/>
        </w:rPr>
        <w:t>F</w:t>
      </w:r>
      <w:r w:rsidR="006C1F49" w:rsidRPr="00E004A2">
        <w:rPr>
          <w:rFonts w:ascii="Garamond" w:hAnsi="Garamond"/>
          <w:kern w:val="1"/>
          <w:sz w:val="24"/>
          <w:szCs w:val="24"/>
        </w:rPr>
        <w:t xml:space="preserve">or feminists engaging with statute writing, using the tools, conventions and aesthetics of drafting does not necessarily mean aspiring for the same norms of independence and neutrality found in legislative counsel offices. However the need to follow something akin to the received conventions of statutory drafting is still felt to be necessary in order to make a convincing enough argument about what could be different, substantively or formally, in the law. As Erika Rackley put it: </w:t>
      </w:r>
    </w:p>
    <w:p w14:paraId="0F928FBC" w14:textId="57A4018D" w:rsidR="006C1F49" w:rsidRPr="00E004A2" w:rsidRDefault="006C1F49" w:rsidP="006C1F49">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F315BD">
        <w:rPr>
          <w:rFonts w:ascii="Garamond" w:hAnsi="Garamond"/>
          <w:kern w:val="1"/>
          <w:sz w:val="24"/>
          <w:szCs w:val="24"/>
        </w:rPr>
        <w:t>…</w:t>
      </w:r>
      <w:r w:rsidRPr="00E004A2">
        <w:rPr>
          <w:rFonts w:ascii="Garamond" w:hAnsi="Garamond"/>
          <w:kern w:val="1"/>
          <w:sz w:val="24"/>
          <w:szCs w:val="24"/>
        </w:rPr>
        <w:t xml:space="preserve"> </w:t>
      </w:r>
      <w:r w:rsidRPr="00E004A2">
        <w:rPr>
          <w:rFonts w:ascii="Garamond" w:hAnsi="Garamond" w:cs="Times New Roman"/>
          <w:sz w:val="24"/>
          <w:szCs w:val="24"/>
          <w:lang w:val="en-US"/>
        </w:rPr>
        <w:t>my concern with not following the rules, the traditional rules of legislation, is that you would end up with something that looks so different to legislation that the people would no longer see it as legislation. The powerful argument of “you could do it this way” would be much harder to make. (Interview, 2019)</w:t>
      </w:r>
    </w:p>
    <w:p w14:paraId="35B1B84F" w14:textId="22517621" w:rsidR="006C1F49" w:rsidRPr="00E004A2" w:rsidRDefault="006C1F49" w:rsidP="006C1F49">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r>
      <w:r w:rsidR="00E446BC">
        <w:rPr>
          <w:rFonts w:ascii="Garamond" w:hAnsi="Garamond"/>
          <w:kern w:val="1"/>
          <w:sz w:val="24"/>
          <w:szCs w:val="24"/>
        </w:rPr>
        <w:t>In addition to positionality, t</w:t>
      </w:r>
      <w:r w:rsidRPr="00E004A2">
        <w:rPr>
          <w:rFonts w:ascii="Garamond" w:hAnsi="Garamond"/>
          <w:kern w:val="1"/>
          <w:sz w:val="24"/>
          <w:szCs w:val="24"/>
        </w:rPr>
        <w:t xml:space="preserve">he political and legal orientation of </w:t>
      </w:r>
      <w:r w:rsidR="00E446BC">
        <w:rPr>
          <w:rFonts w:ascii="Garamond" w:hAnsi="Garamond"/>
          <w:kern w:val="1"/>
          <w:sz w:val="24"/>
          <w:szCs w:val="24"/>
        </w:rPr>
        <w:t xml:space="preserve">feminist </w:t>
      </w:r>
      <w:r w:rsidRPr="00E004A2">
        <w:rPr>
          <w:rFonts w:ascii="Garamond" w:hAnsi="Garamond"/>
          <w:kern w:val="1"/>
          <w:sz w:val="24"/>
          <w:szCs w:val="24"/>
        </w:rPr>
        <w:t xml:space="preserve">statute-writing can vary depending on whether the proposed statute is the result of academic initiative, engagement with NGOs, or work undertaken for political parties. Máiréad Enright, who with many other feminist legal academics has co-organised and written feminist judgments as well as feminist legislation, spoke of the effect on decisions about form and substance being driven significantly by context, as she highlights here, when speaking about the different expectations </w:t>
      </w:r>
      <w:r w:rsidRPr="00E004A2">
        <w:rPr>
          <w:rFonts w:ascii="Garamond" w:hAnsi="Garamond"/>
          <w:kern w:val="1"/>
          <w:sz w:val="24"/>
          <w:szCs w:val="24"/>
        </w:rPr>
        <w:lastRenderedPageBreak/>
        <w:t>involved in writing proposed legislation for the Alliance for Choice in the Northern Irish context, compared with writing proposed legislation on abortion reform for the Irish Labour Party:</w:t>
      </w:r>
    </w:p>
    <w:p w14:paraId="7DF87FC5" w14:textId="324D79A7" w:rsidR="006C1F49" w:rsidRPr="00E004A2" w:rsidRDefault="006C1F49" w:rsidP="006C1F49">
      <w:pPr>
        <w:tabs>
          <w:tab w:val="left" w:pos="720"/>
          <w:tab w:val="left" w:pos="1440"/>
          <w:tab w:val="left" w:pos="2160"/>
          <w:tab w:val="left" w:pos="2880"/>
          <w:tab w:val="left" w:pos="3600"/>
          <w:tab w:val="left" w:pos="4320"/>
        </w:tabs>
        <w:spacing w:line="480" w:lineRule="auto"/>
        <w:ind w:left="720"/>
        <w:rPr>
          <w:rFonts w:ascii="Garamond" w:hAnsi="Garamond"/>
          <w:kern w:val="1"/>
          <w:sz w:val="24"/>
          <w:szCs w:val="24"/>
        </w:rPr>
      </w:pPr>
      <w:r w:rsidRPr="00E004A2">
        <w:rPr>
          <w:rFonts w:ascii="Garamond" w:hAnsi="Garamond"/>
          <w:sz w:val="24"/>
          <w:szCs w:val="24"/>
        </w:rPr>
        <w:t xml:space="preserve">Their </w:t>
      </w:r>
      <w:r w:rsidR="009566EA">
        <w:rPr>
          <w:rFonts w:ascii="Garamond" w:hAnsi="Garamond"/>
          <w:sz w:val="24"/>
          <w:szCs w:val="24"/>
        </w:rPr>
        <w:t xml:space="preserve">[The Alliance for Choice] </w:t>
      </w:r>
      <w:r w:rsidRPr="00E004A2">
        <w:rPr>
          <w:rFonts w:ascii="Garamond" w:hAnsi="Garamond"/>
          <w:sz w:val="24"/>
          <w:szCs w:val="24"/>
        </w:rPr>
        <w:t>political position was “draft something that is the gold standard, so that we can measure whatever we get in the future or we can educate ourselves and we can think ourselves in terms of the gold standard”. Whereas with the Labour Party it was draft something that's not too frightening and that meets the constitutional requirements. (Interview</w:t>
      </w:r>
      <w:r w:rsidR="006A7871">
        <w:rPr>
          <w:rFonts w:ascii="Garamond" w:hAnsi="Garamond"/>
          <w:sz w:val="24"/>
          <w:szCs w:val="24"/>
        </w:rPr>
        <w:t>,</w:t>
      </w:r>
      <w:r w:rsidRPr="00E004A2">
        <w:rPr>
          <w:rFonts w:ascii="Garamond" w:hAnsi="Garamond"/>
          <w:sz w:val="24"/>
          <w:szCs w:val="24"/>
        </w:rPr>
        <w:t xml:space="preserve"> 2019)</w:t>
      </w:r>
    </w:p>
    <w:p w14:paraId="7693EE70" w14:textId="5F92059C" w:rsidR="006C1F49" w:rsidRPr="00E004A2" w:rsidRDefault="006C1F49" w:rsidP="006C1F49">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 xml:space="preserve">Enright refers here to </w:t>
      </w:r>
      <w:r w:rsidR="00F4707B">
        <w:rPr>
          <w:rFonts w:ascii="Garamond" w:hAnsi="Garamond"/>
          <w:kern w:val="1"/>
          <w:sz w:val="24"/>
          <w:szCs w:val="24"/>
        </w:rPr>
        <w:t>‘</w:t>
      </w:r>
      <w:r w:rsidRPr="00E004A2">
        <w:rPr>
          <w:rFonts w:ascii="Garamond" w:hAnsi="Garamond"/>
          <w:kern w:val="1"/>
          <w:sz w:val="24"/>
          <w:szCs w:val="24"/>
        </w:rPr>
        <w:t>gold standard</w:t>
      </w:r>
      <w:r w:rsidR="00F4707B">
        <w:rPr>
          <w:rFonts w:ascii="Garamond" w:hAnsi="Garamond"/>
          <w:kern w:val="1"/>
          <w:sz w:val="24"/>
          <w:szCs w:val="24"/>
        </w:rPr>
        <w:t>’</w:t>
      </w:r>
      <w:r w:rsidRPr="00E004A2">
        <w:rPr>
          <w:rFonts w:ascii="Garamond" w:hAnsi="Garamond"/>
          <w:kern w:val="1"/>
          <w:sz w:val="24"/>
          <w:szCs w:val="24"/>
        </w:rPr>
        <w:t xml:space="preserve"> drafting, a request to draft the kind of feminist statute that would recognise the ‘best’ on offer to feminists on abortion across jurisdictions, made applicable to the Northern Irish context. The difference between </w:t>
      </w:r>
      <w:r w:rsidR="00F4707B">
        <w:rPr>
          <w:rFonts w:ascii="Garamond" w:hAnsi="Garamond"/>
          <w:kern w:val="1"/>
          <w:sz w:val="24"/>
          <w:szCs w:val="24"/>
        </w:rPr>
        <w:t>‘</w:t>
      </w:r>
      <w:r w:rsidRPr="00E004A2">
        <w:rPr>
          <w:rFonts w:ascii="Garamond" w:hAnsi="Garamond"/>
          <w:kern w:val="1"/>
          <w:sz w:val="24"/>
          <w:szCs w:val="24"/>
        </w:rPr>
        <w:t>gold standard</w:t>
      </w:r>
      <w:r w:rsidR="00F4707B">
        <w:rPr>
          <w:rFonts w:ascii="Garamond" w:hAnsi="Garamond"/>
          <w:kern w:val="1"/>
          <w:sz w:val="24"/>
          <w:szCs w:val="24"/>
        </w:rPr>
        <w:t>’</w:t>
      </w:r>
      <w:r w:rsidRPr="00E004A2">
        <w:rPr>
          <w:rFonts w:ascii="Garamond" w:hAnsi="Garamond"/>
          <w:kern w:val="1"/>
          <w:sz w:val="24"/>
          <w:szCs w:val="24"/>
        </w:rPr>
        <w:t xml:space="preserve"> and </w:t>
      </w:r>
      <w:r w:rsidR="00F4707B">
        <w:rPr>
          <w:rFonts w:ascii="Garamond" w:hAnsi="Garamond"/>
          <w:kern w:val="1"/>
          <w:sz w:val="24"/>
          <w:szCs w:val="24"/>
        </w:rPr>
        <w:t>‘</w:t>
      </w:r>
      <w:r w:rsidRPr="00E004A2">
        <w:rPr>
          <w:rFonts w:ascii="Garamond" w:hAnsi="Garamond"/>
          <w:kern w:val="1"/>
          <w:sz w:val="24"/>
          <w:szCs w:val="24"/>
        </w:rPr>
        <w:t>not too frightening</w:t>
      </w:r>
      <w:r w:rsidR="00F4707B">
        <w:rPr>
          <w:rFonts w:ascii="Garamond" w:hAnsi="Garamond"/>
          <w:kern w:val="1"/>
          <w:sz w:val="24"/>
          <w:szCs w:val="24"/>
        </w:rPr>
        <w:t>’</w:t>
      </w:r>
      <w:r w:rsidRPr="00E004A2">
        <w:rPr>
          <w:rFonts w:ascii="Garamond" w:hAnsi="Garamond"/>
          <w:kern w:val="1"/>
          <w:sz w:val="24"/>
          <w:szCs w:val="24"/>
        </w:rPr>
        <w:t>, then, relates to content and form and can draw on very diverse sources. Yet, importantly</w:t>
      </w:r>
      <w:r w:rsidR="00EB4C77">
        <w:rPr>
          <w:rFonts w:ascii="Garamond" w:hAnsi="Garamond"/>
          <w:kern w:val="1"/>
          <w:sz w:val="24"/>
          <w:szCs w:val="24"/>
        </w:rPr>
        <w:t>,</w:t>
      </w:r>
      <w:r w:rsidRPr="00E004A2">
        <w:rPr>
          <w:rFonts w:ascii="Garamond" w:hAnsi="Garamond"/>
          <w:kern w:val="1"/>
          <w:sz w:val="24"/>
          <w:szCs w:val="24"/>
        </w:rPr>
        <w:t xml:space="preserve"> writing statutory text is felt to be a more immediate kind of prefigurative intervention than judgment writing or other forms of feminist legal praxis. </w:t>
      </w:r>
    </w:p>
    <w:p w14:paraId="58BDEF5F" w14:textId="7AE8B704" w:rsidR="00D009D8" w:rsidRPr="00E004A2" w:rsidRDefault="000A62F5" w:rsidP="005C4C68">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Pr>
          <w:rFonts w:ascii="Garamond" w:hAnsi="Garamond"/>
          <w:kern w:val="1"/>
          <w:sz w:val="24"/>
          <w:szCs w:val="24"/>
        </w:rPr>
        <w:tab/>
        <w:t>With these points in mind,</w:t>
      </w:r>
      <w:r w:rsidR="00C36CCA">
        <w:rPr>
          <w:rFonts w:ascii="Garamond" w:hAnsi="Garamond"/>
          <w:kern w:val="1"/>
          <w:sz w:val="24"/>
          <w:szCs w:val="24"/>
        </w:rPr>
        <w:t xml:space="preserve"> we</w:t>
      </w:r>
      <w:r w:rsidR="00FF1FB0" w:rsidRPr="00E004A2">
        <w:rPr>
          <w:rFonts w:ascii="Garamond" w:hAnsi="Garamond"/>
          <w:kern w:val="1"/>
          <w:sz w:val="24"/>
          <w:szCs w:val="24"/>
        </w:rPr>
        <w:t xml:space="preserve"> might</w:t>
      </w:r>
      <w:r w:rsidR="00B2669A">
        <w:rPr>
          <w:rFonts w:ascii="Garamond" w:hAnsi="Garamond"/>
          <w:kern w:val="1"/>
          <w:sz w:val="24"/>
          <w:szCs w:val="24"/>
        </w:rPr>
        <w:t xml:space="preserve"> aim for a believable ‘gold standard’ with the aim of safely persuading as many policy makers as possible of the workability of our proposed experimental stature. Or we might</w:t>
      </w:r>
      <w:r w:rsidR="00FF1FB0" w:rsidRPr="00E004A2">
        <w:rPr>
          <w:rFonts w:ascii="Garamond" w:hAnsi="Garamond"/>
          <w:kern w:val="1"/>
          <w:sz w:val="24"/>
          <w:szCs w:val="24"/>
        </w:rPr>
        <w:t xml:space="preserve"> forge distinct</w:t>
      </w:r>
      <w:r w:rsidR="00147B0F">
        <w:rPr>
          <w:rFonts w:ascii="Garamond" w:hAnsi="Garamond"/>
          <w:kern w:val="1"/>
          <w:sz w:val="24"/>
          <w:szCs w:val="24"/>
        </w:rPr>
        <w:t xml:space="preserve">ly </w:t>
      </w:r>
      <w:r w:rsidR="00FF1FB0" w:rsidRPr="00E004A2">
        <w:rPr>
          <w:rFonts w:ascii="Garamond" w:hAnsi="Garamond"/>
          <w:kern w:val="1"/>
          <w:sz w:val="24"/>
          <w:szCs w:val="24"/>
        </w:rPr>
        <w:t xml:space="preserve">feminist tools, challenging aspects of drafting practice that are currently very well embedded. </w:t>
      </w:r>
      <w:r w:rsidR="004A25F7">
        <w:rPr>
          <w:rFonts w:ascii="Garamond" w:hAnsi="Garamond"/>
          <w:kern w:val="1"/>
          <w:sz w:val="24"/>
          <w:szCs w:val="24"/>
        </w:rPr>
        <w:t>Th</w:t>
      </w:r>
      <w:r w:rsidR="00FF1FB0" w:rsidRPr="00E004A2">
        <w:rPr>
          <w:rFonts w:ascii="Garamond" w:hAnsi="Garamond"/>
          <w:kern w:val="1"/>
          <w:sz w:val="24"/>
          <w:szCs w:val="24"/>
        </w:rPr>
        <w:t>ere are precedents for this kind of legal squatting/vandalism/re-orientation (depending on your politics): the Feminist Judgments project, the African Feminist Judgments project, and the Northern/Irish Feminist Judgments projects are some examples.</w:t>
      </w:r>
      <w:r w:rsidR="00FF1FB0" w:rsidRPr="00645D9E">
        <w:rPr>
          <w:rStyle w:val="FootnoteReference"/>
        </w:rPr>
        <w:footnoteReference w:id="35"/>
      </w:r>
      <w:r w:rsidR="00FF1FB0" w:rsidRPr="00E004A2">
        <w:rPr>
          <w:rFonts w:ascii="Garamond" w:hAnsi="Garamond"/>
          <w:kern w:val="1"/>
          <w:sz w:val="24"/>
          <w:szCs w:val="24"/>
        </w:rPr>
        <w:t xml:space="preserve"> This might mean </w:t>
      </w:r>
      <w:r w:rsidR="00241837" w:rsidRPr="00E004A2">
        <w:rPr>
          <w:rFonts w:ascii="Garamond" w:hAnsi="Garamond"/>
          <w:kern w:val="1"/>
          <w:sz w:val="24"/>
          <w:szCs w:val="24"/>
        </w:rPr>
        <w:t xml:space="preserve">turning away from text towards performance or other art forms, </w:t>
      </w:r>
      <w:r w:rsidR="00FF1FB0" w:rsidRPr="00E004A2">
        <w:rPr>
          <w:rFonts w:ascii="Garamond" w:hAnsi="Garamond"/>
          <w:kern w:val="1"/>
          <w:sz w:val="24"/>
          <w:szCs w:val="24"/>
        </w:rPr>
        <w:t xml:space="preserve">strategically de-stabilising certain epistemologies and practices of drafting, such </w:t>
      </w:r>
      <w:r w:rsidR="00FF1FB0" w:rsidRPr="00E004A2">
        <w:rPr>
          <w:rFonts w:ascii="Garamond" w:hAnsi="Garamond"/>
          <w:kern w:val="1"/>
          <w:sz w:val="24"/>
          <w:szCs w:val="24"/>
        </w:rPr>
        <w:lastRenderedPageBreak/>
        <w:t xml:space="preserve">as the distinction between policy-making and drafting, or the tools of neutrality, distancing, and objectivity that often structure current ‘best practice’ in drafting communities </w:t>
      </w:r>
      <w:r w:rsidR="00FF1FB0"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{"citationID":"jscYN0zV","properties":{"formattedCitation":"(Greenberg, 2011)","plainCitation":"(Greenberg, 2011)","noteIndex":0},"citationItems":[{"id":696,"uris":["http://zotero.org/users/1070015/items/BXVI6KBL"],"uri":["http://zotero.org/users/1070015/items/BXVI6KBL"],"itemData":{"id":696,"type":"book","event-place":"London","ISBN":"978-0-414-04693-1","language":"English","number-of-pages":"281","publisher":"Sweet &amp; Maxwell","publisher-place":"London","source":"Amazon","title":"Laying Down the Law: A Discussion of the People, Processes and Problems that Shape Acts of Parliament","author":[{"family":"Greenberg","given":"Daniel"}],"issued":{"date-parts":[["2011"]]}}}],"schema":"https://github.com/citation-style-language/schema/raw/master/csl-citation.json"} </w:instrText>
      </w:r>
      <w:r w:rsidR="00FF1FB0" w:rsidRPr="00E004A2">
        <w:rPr>
          <w:rFonts w:ascii="Garamond" w:hAnsi="Garamond"/>
          <w:kern w:val="1"/>
          <w:sz w:val="24"/>
          <w:szCs w:val="24"/>
        </w:rPr>
        <w:fldChar w:fldCharType="separate"/>
      </w:r>
      <w:r w:rsidR="004F3785">
        <w:rPr>
          <w:rFonts w:ascii="Garamond" w:hAnsi="Garamond"/>
          <w:noProof/>
          <w:kern w:val="1"/>
          <w:sz w:val="24"/>
          <w:szCs w:val="24"/>
        </w:rPr>
        <w:t>(Greenberg, 2011)</w:t>
      </w:r>
      <w:r w:rsidR="00FF1FB0" w:rsidRPr="00E004A2">
        <w:rPr>
          <w:rFonts w:ascii="Garamond" w:hAnsi="Garamond"/>
          <w:kern w:val="1"/>
          <w:sz w:val="24"/>
          <w:szCs w:val="24"/>
        </w:rPr>
        <w:fldChar w:fldCharType="end"/>
      </w:r>
      <w:r w:rsidR="00FF1FB0" w:rsidRPr="00E004A2">
        <w:rPr>
          <w:rFonts w:ascii="Garamond" w:hAnsi="Garamond"/>
          <w:kern w:val="1"/>
          <w:sz w:val="24"/>
          <w:szCs w:val="24"/>
        </w:rPr>
        <w:t>.</w:t>
      </w:r>
      <w:r w:rsidR="00AE70AF" w:rsidRPr="00E004A2">
        <w:rPr>
          <w:rFonts w:ascii="Garamond" w:hAnsi="Garamond"/>
          <w:kern w:val="1"/>
          <w:sz w:val="24"/>
          <w:szCs w:val="24"/>
        </w:rPr>
        <w:t xml:space="preserve"> </w:t>
      </w:r>
    </w:p>
    <w:p w14:paraId="0994E41C" w14:textId="42915D3A" w:rsidR="004717DF" w:rsidRPr="00E004A2" w:rsidRDefault="007F7375" w:rsidP="0083042F">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r>
      <w:r w:rsidR="004717DF" w:rsidRPr="00E004A2">
        <w:rPr>
          <w:rFonts w:ascii="Garamond" w:hAnsi="Garamond"/>
          <w:kern w:val="1"/>
          <w:sz w:val="24"/>
          <w:szCs w:val="24"/>
        </w:rPr>
        <w:t xml:space="preserve">Inevitably, the process of </w:t>
      </w:r>
      <w:r w:rsidR="00241837" w:rsidRPr="00E004A2">
        <w:rPr>
          <w:rFonts w:ascii="Garamond" w:hAnsi="Garamond"/>
          <w:kern w:val="1"/>
          <w:sz w:val="24"/>
          <w:szCs w:val="24"/>
        </w:rPr>
        <w:t xml:space="preserve">producing an experimental </w:t>
      </w:r>
      <w:r w:rsidR="004717DF" w:rsidRPr="00E004A2">
        <w:rPr>
          <w:rFonts w:ascii="Garamond" w:hAnsi="Garamond"/>
          <w:kern w:val="1"/>
          <w:sz w:val="24"/>
          <w:szCs w:val="24"/>
        </w:rPr>
        <w:t xml:space="preserve">statute takes place outside of the usual Westminster (or relevant other jurisdictional) processes whereby the substance of primary legislation is formed through policy considerations within government departments and then transmitted to drafters by means of ‘instructions’. </w:t>
      </w:r>
      <w:r w:rsidR="00D1373A" w:rsidRPr="00E004A2">
        <w:rPr>
          <w:rFonts w:ascii="Garamond" w:hAnsi="Garamond"/>
          <w:kern w:val="1"/>
          <w:sz w:val="24"/>
          <w:szCs w:val="24"/>
        </w:rPr>
        <w:t xml:space="preserve">In interviews, legislative drafters were careful to convey their observance of this norm, establishing the limits to their deliberative technical engagement with departments. </w:t>
      </w:r>
      <w:r w:rsidR="004717DF" w:rsidRPr="00E004A2">
        <w:rPr>
          <w:rFonts w:ascii="Garamond" w:hAnsi="Garamond"/>
          <w:kern w:val="1"/>
          <w:sz w:val="24"/>
          <w:szCs w:val="24"/>
        </w:rPr>
        <w:t>As such, any feminist attempt to use the tools of drafting to write law ‘othe</w:t>
      </w:r>
      <w:r w:rsidR="00D1373A" w:rsidRPr="00E004A2">
        <w:rPr>
          <w:rFonts w:ascii="Garamond" w:hAnsi="Garamond"/>
          <w:kern w:val="1"/>
          <w:sz w:val="24"/>
          <w:szCs w:val="24"/>
        </w:rPr>
        <w:t>rwise’ inevitably collapses what are considered to be</w:t>
      </w:r>
      <w:r w:rsidR="004717DF" w:rsidRPr="00E004A2">
        <w:rPr>
          <w:rFonts w:ascii="Garamond" w:hAnsi="Garamond"/>
          <w:kern w:val="1"/>
          <w:sz w:val="24"/>
          <w:szCs w:val="24"/>
        </w:rPr>
        <w:t xml:space="preserve"> important procedural distinctions between the policy phase and the drafting phase </w:t>
      </w:r>
      <w:r w:rsidR="00D1373A" w:rsidRPr="00E004A2">
        <w:rPr>
          <w:rFonts w:ascii="Garamond" w:hAnsi="Garamond"/>
          <w:kern w:val="1"/>
          <w:sz w:val="24"/>
          <w:szCs w:val="24"/>
        </w:rPr>
        <w:t xml:space="preserve">into each other </w:t>
      </w:r>
      <w:r w:rsidR="004717DF" w:rsidRPr="00E004A2">
        <w:rPr>
          <w:rFonts w:ascii="Garamond" w:hAnsi="Garamond"/>
          <w:kern w:val="1"/>
          <w:sz w:val="24"/>
          <w:szCs w:val="24"/>
        </w:rPr>
        <w:t xml:space="preserve">(see further </w:t>
      </w:r>
      <w:r w:rsidR="006C105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{"citationID":"1jnNVisW","properties":{"formattedCitation":"(Greenberg, 2011; Page, 2009)","plainCitation":"(Greenberg, 2011; Page, 2009)","noteIndex":0},"citationItems":[{"id":696,"uris":["http://zotero.org/users/1070015/items/BXVI6KBL"],"uri":["http://zotero.org/users/1070015/items/BXVI6KBL"],"itemData":{"id":696,"type":"book","event-place":"London","ISBN":"978-0-414-04693-1","language":"English","number-of-pages":"281","publisher":"Sweet &amp; Maxwell","publisher-place":"London","source":"Amazon","title":"Laying Down the Law: A Discussion of the People, Processes and Problems that Shape Acts of Parliament","author":[{"family":"Greenberg","given":"Daniel"}],"issued":{"date-parts":[["2011"]]}}},{"id":695,"uris":["http://zotero.org/users/1070015/items/DYRH4WAC"],"uri":["http://zotero.org/users/1070015/items/DYRH4WAC"],"itemData":{"id":695,"type":"article-journal","container-title":"Public Law","page":"790-811","title":"Their Word is Law: Parliamentary Counsel and Creative Policy Analysis","author":[{"family":"Page","given":"Edward"}],"issued":{"date-parts":[["2009"]]}}}],"schema":"https://github.com/citation-style-language/schema/raw/master/csl-citation.json"} </w:instrText>
      </w:r>
      <w:r w:rsidR="006C105E" w:rsidRPr="00E004A2">
        <w:rPr>
          <w:rFonts w:ascii="Garamond" w:hAnsi="Garamond"/>
          <w:kern w:val="1"/>
          <w:sz w:val="24"/>
          <w:szCs w:val="24"/>
        </w:rPr>
        <w:fldChar w:fldCharType="separate"/>
      </w:r>
      <w:r w:rsidR="004F3785">
        <w:rPr>
          <w:rFonts w:ascii="Garamond" w:hAnsi="Garamond"/>
          <w:noProof/>
          <w:kern w:val="1"/>
          <w:sz w:val="24"/>
          <w:szCs w:val="24"/>
        </w:rPr>
        <w:t>Greenberg, 2011; Page, 2009)</w:t>
      </w:r>
      <w:r w:rsidR="006C105E" w:rsidRPr="00E004A2">
        <w:rPr>
          <w:rFonts w:ascii="Garamond" w:hAnsi="Garamond"/>
          <w:kern w:val="1"/>
          <w:sz w:val="24"/>
          <w:szCs w:val="24"/>
        </w:rPr>
        <w:fldChar w:fldCharType="end"/>
      </w:r>
      <w:r w:rsidR="004717DF" w:rsidRPr="00E004A2">
        <w:rPr>
          <w:rFonts w:ascii="Garamond" w:hAnsi="Garamond"/>
          <w:kern w:val="1"/>
          <w:sz w:val="24"/>
          <w:szCs w:val="24"/>
        </w:rPr>
        <w:t xml:space="preserve">. </w:t>
      </w:r>
      <w:r w:rsidR="00D1373A" w:rsidRPr="00E004A2">
        <w:rPr>
          <w:rFonts w:ascii="Garamond" w:hAnsi="Garamond"/>
          <w:kern w:val="1"/>
          <w:sz w:val="24"/>
          <w:szCs w:val="24"/>
        </w:rPr>
        <w:t xml:space="preserve">Nevertheless, there may be considerable power in occupying both roles at once, making more radical interventions into both substance and form than would otherwise be expected. </w:t>
      </w:r>
      <w:r w:rsidR="00D5000D">
        <w:rPr>
          <w:rFonts w:ascii="Garamond" w:hAnsi="Garamond"/>
          <w:kern w:val="1"/>
          <w:sz w:val="24"/>
          <w:szCs w:val="24"/>
        </w:rPr>
        <w:t>Precedents</w:t>
      </w:r>
      <w:r w:rsidR="00D1373A" w:rsidRPr="00E004A2">
        <w:rPr>
          <w:rFonts w:ascii="Garamond" w:hAnsi="Garamond"/>
          <w:kern w:val="1"/>
          <w:sz w:val="24"/>
          <w:szCs w:val="24"/>
        </w:rPr>
        <w:t xml:space="preserve"> for this kind of approach </w:t>
      </w:r>
      <w:r w:rsidR="00D5000D">
        <w:rPr>
          <w:rFonts w:ascii="Garamond" w:hAnsi="Garamond"/>
          <w:kern w:val="1"/>
          <w:sz w:val="24"/>
          <w:szCs w:val="24"/>
        </w:rPr>
        <w:t>include</w:t>
      </w:r>
      <w:r w:rsidR="00D1373A" w:rsidRPr="00E004A2">
        <w:rPr>
          <w:rFonts w:ascii="Garamond" w:hAnsi="Garamond"/>
          <w:kern w:val="1"/>
          <w:sz w:val="24"/>
          <w:szCs w:val="24"/>
        </w:rPr>
        <w:t xml:space="preserve"> the Northern/Irish Feminist Judgments project</w:t>
      </w:r>
      <w:r w:rsidR="001505E8">
        <w:rPr>
          <w:rFonts w:ascii="Garamond" w:hAnsi="Garamond"/>
          <w:kern w:val="1"/>
          <w:sz w:val="24"/>
          <w:szCs w:val="24"/>
        </w:rPr>
        <w:t xml:space="preserve"> and the Scottish Feminist Judgments project</w:t>
      </w:r>
      <w:r w:rsidR="00D1373A" w:rsidRPr="00E004A2">
        <w:rPr>
          <w:rFonts w:ascii="Garamond" w:hAnsi="Garamond"/>
          <w:kern w:val="1"/>
          <w:sz w:val="24"/>
          <w:szCs w:val="24"/>
        </w:rPr>
        <w:t xml:space="preserve">, </w:t>
      </w:r>
      <w:r w:rsidR="001505E8">
        <w:rPr>
          <w:rFonts w:ascii="Garamond" w:hAnsi="Garamond"/>
          <w:kern w:val="1"/>
          <w:sz w:val="24"/>
          <w:szCs w:val="24"/>
        </w:rPr>
        <w:t xml:space="preserve">both of </w:t>
      </w:r>
      <w:r w:rsidR="00D1373A" w:rsidRPr="00E004A2">
        <w:rPr>
          <w:rFonts w:ascii="Garamond" w:hAnsi="Garamond"/>
          <w:kern w:val="1"/>
          <w:sz w:val="24"/>
          <w:szCs w:val="24"/>
        </w:rPr>
        <w:t>which aimed to trouble the usual form of judicial writing and decision-making by involving a wider group of artists, litigants, and social activists</w:t>
      </w:r>
      <w:r w:rsidR="006C105E" w:rsidRPr="00E004A2">
        <w:rPr>
          <w:rFonts w:ascii="Garamond" w:hAnsi="Garamond"/>
          <w:kern w:val="1"/>
          <w:sz w:val="24"/>
          <w:szCs w:val="24"/>
        </w:rPr>
        <w:t xml:space="preserve"> </w:t>
      </w:r>
      <w:r w:rsidR="001505E8">
        <w:rPr>
          <w:rFonts w:ascii="Garamond" w:hAnsi="Garamond"/>
          <w:kern w:val="1"/>
          <w:sz w:val="24"/>
          <w:szCs w:val="24"/>
        </w:rPr>
        <w:fldChar w:fldCharType="begin"/>
      </w:r>
      <w:r w:rsidR="00476EEF">
        <w:rPr>
          <w:rFonts w:ascii="Garamond" w:hAnsi="Garamond"/>
          <w:kern w:val="1"/>
          <w:sz w:val="24"/>
          <w:szCs w:val="24"/>
        </w:rPr>
        <w:instrText xml:space="preserve"> ADDIN ZOTERO_ITEM CSL_CITATION {"citationID":"Tq73JfI6","properties":{"formattedCitation":"(Cowan et al., 2020; Enright et al., 2017)","plainCitation":"(Cowan et al., 2020; Enright et al., 2017)","noteIndex":0},"citationItems":[{"id":3579,"uris":["http://zotero.org/users/1070015/items/4ZC4FA65"],"uri":["http://zotero.org/users/1070015/items/4ZC4FA65"],"itemData":{"id":3579,"type":"article-journal","abstract":"This paper illustrates how turning to art rather than focusing solely on legal reform can form part of an alternative response to gender inequality that allows for deeper understandings of social (in)justice. We show how the Scottish Feminist Judgments Project – a collaborative endeavour by legal academics, practising lawyers, judges, artistic contributors and representatives from the third sector – can offer those who engage with our art the experience of hearing and seeing law in different ways. More specifically, we explore how art can open law up to scrutiny, render vivid the impact of legal decisions, and create richer and more democratic communities of understanding. At the same time, by discussing  knowledge differentials and the quandaries of creating art ethically, we also highlight some of the challenges involved in engaging in artistic-legal collaboration.","container-title":"feminists@law","DOI":"10.22024/UniKent/03/fal.925","ISSN":"2046-9551","issue":"1","language":"en","note":"number: 1","source":"journals.kent.ac.uk","title":"Seeing Things Differently: Art, Law and Justice in the Scottish Feminist Judgments Project","title-short":"Seeing Things Differently","URL":"https://journals.kent.ac.uk/index.php/feministsatlaw/article/view/925","volume":"10","author":[{"family":"Cowan","given":"Sharon"},{"family":"Kennedy","given":"Chloë"},{"family":"Munro","given":"Vanessa E."}],"accessed":{"date-parts":[["2020",9,23]]},"issued":{"date-parts":[["2020",7,9]]}}},{"id":700,"uris":["http://zotero.org/users/1070015/items/NLIRHRK7"],"uri":["http://zotero.org/users/1070015/items/NLIRHRK7"],"itemData":{"id":700,"type":"book","abstract":"The Northern/Irish Feminist Judgments Project inaugurates a fresh dialogue on gender, legal judgment, judicial power and national identity in Ireland and","language":"en","publisher":"Hart Publishing","title":"Northern / Irish Feminist Judgments: Judges' Troubles and the Gendered Politics of Identity","URL":"https://www.bloomsburyprofessional.com/uk/northern-irish-feminist-judgments-9781509908936/","author":[{"family":"Enright","given":"Mairead"},{"family":"McCandless","given":"Julie"},{"family":"O'Donoghue","given":"Aoife"}],"accessed":{"date-parts":[["2019",11,8]]},"issued":{"date-parts":[["2017"]]}}}],"schema":"https://github.com/citation-style-language/schema/raw/master/csl-citation.json"} </w:instrText>
      </w:r>
      <w:r w:rsidR="001505E8">
        <w:rPr>
          <w:rFonts w:ascii="Garamond" w:hAnsi="Garamond"/>
          <w:kern w:val="1"/>
          <w:sz w:val="24"/>
          <w:szCs w:val="24"/>
        </w:rPr>
        <w:fldChar w:fldCharType="separate"/>
      </w:r>
      <w:r w:rsidR="00476EEF">
        <w:rPr>
          <w:rFonts w:ascii="Garamond" w:hAnsi="Garamond"/>
          <w:noProof/>
          <w:kern w:val="1"/>
          <w:sz w:val="24"/>
          <w:szCs w:val="24"/>
        </w:rPr>
        <w:t>(Cowan et al., 2020; Enright et al., 2017)</w:t>
      </w:r>
      <w:r w:rsidR="001505E8">
        <w:rPr>
          <w:rFonts w:ascii="Garamond" w:hAnsi="Garamond"/>
          <w:kern w:val="1"/>
          <w:sz w:val="24"/>
          <w:szCs w:val="24"/>
        </w:rPr>
        <w:fldChar w:fldCharType="end"/>
      </w:r>
      <w:r w:rsidR="00150DEE">
        <w:rPr>
          <w:rFonts w:ascii="Garamond" w:hAnsi="Garamond"/>
          <w:kern w:val="1"/>
          <w:sz w:val="24"/>
          <w:szCs w:val="24"/>
        </w:rPr>
        <w:t xml:space="preserve">. </w:t>
      </w:r>
      <w:r w:rsidR="00D1373A" w:rsidRPr="00E004A2">
        <w:rPr>
          <w:rFonts w:ascii="Garamond" w:hAnsi="Garamond"/>
          <w:kern w:val="1"/>
          <w:sz w:val="24"/>
          <w:szCs w:val="24"/>
        </w:rPr>
        <w:t xml:space="preserve">It will be for the next stage of our research to consider whether and how to </w:t>
      </w:r>
      <w:r w:rsidR="00F26F1F">
        <w:rPr>
          <w:rFonts w:ascii="Garamond" w:hAnsi="Garamond"/>
          <w:kern w:val="1"/>
          <w:sz w:val="24"/>
          <w:szCs w:val="24"/>
        </w:rPr>
        <w:t>take a similar approach</w:t>
      </w:r>
      <w:r w:rsidR="00476EEF">
        <w:rPr>
          <w:rFonts w:ascii="Garamond" w:hAnsi="Garamond"/>
          <w:kern w:val="1"/>
          <w:sz w:val="24"/>
          <w:szCs w:val="24"/>
        </w:rPr>
        <w:t>.</w:t>
      </w:r>
    </w:p>
    <w:p w14:paraId="2FFFBC6C" w14:textId="77777777" w:rsidR="00D1373A" w:rsidRPr="00E004A2" w:rsidRDefault="00D1373A" w:rsidP="0083042F">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kern w:val="1"/>
          <w:sz w:val="24"/>
          <w:szCs w:val="24"/>
        </w:rPr>
        <w:tab/>
        <w:t xml:space="preserve">Finally, those who have engaged in feminist judgments or statutory drafting have become increasingly aware of the limited role of each aspect of law-making within wider legal assemblages. </w:t>
      </w:r>
      <w:r w:rsidR="00BB63F0" w:rsidRPr="00E004A2">
        <w:rPr>
          <w:rFonts w:ascii="Garamond" w:hAnsi="Garamond"/>
          <w:kern w:val="1"/>
          <w:sz w:val="24"/>
          <w:szCs w:val="24"/>
        </w:rPr>
        <w:t>Speaking of the provisional power of legislative drafting in the context of judicial decision-making, one feminist academic described it as a ‘choreographed free for all’ in which judges had wide scope to use their tools in such a way as to read down legislative provisions if they wanted. As she put it:</w:t>
      </w:r>
    </w:p>
    <w:p w14:paraId="00EC4232" w14:textId="3D3DBCA9" w:rsidR="00BB63F0" w:rsidRPr="00E004A2" w:rsidRDefault="00BB63F0" w:rsidP="006C2E1E">
      <w:pPr>
        <w:autoSpaceDE/>
        <w:autoSpaceDN/>
        <w:adjustRightInd/>
        <w:spacing w:line="480" w:lineRule="auto"/>
        <w:ind w:left="720"/>
        <w:rPr>
          <w:rFonts w:ascii="Garamond" w:eastAsia="Times New Roman" w:hAnsi="Garamond" w:cs="Times New Roman"/>
          <w:color w:val="000000"/>
          <w:sz w:val="24"/>
          <w:szCs w:val="24"/>
        </w:rPr>
      </w:pPr>
      <w:r w:rsidRPr="00E004A2">
        <w:rPr>
          <w:rFonts w:ascii="Garamond" w:eastAsia="Times New Roman" w:hAnsi="Garamond" w:cs="Times New Roman"/>
          <w:color w:val="000000"/>
          <w:sz w:val="24"/>
          <w:szCs w:val="24"/>
        </w:rPr>
        <w:t>It's a</w:t>
      </w:r>
      <w:r w:rsidRPr="00E004A2">
        <w:rPr>
          <w:rFonts w:ascii="Garamond" w:eastAsia="Times New Roman" w:hAnsi="Garamond" w:cs="Times New Roman"/>
          <w:bCs/>
          <w:color w:val="000000"/>
          <w:sz w:val="24"/>
          <w:szCs w:val="24"/>
        </w:rPr>
        <w:t xml:space="preserve"> very sort of choreographed free for all</w:t>
      </w:r>
      <w:r w:rsidRPr="00E004A2">
        <w:rPr>
          <w:rFonts w:ascii="Garamond" w:eastAsia="Times New Roman" w:hAnsi="Garamond" w:cs="Times New Roman"/>
          <w:color w:val="000000"/>
          <w:sz w:val="24"/>
          <w:szCs w:val="24"/>
        </w:rPr>
        <w:t xml:space="preserve">. </w:t>
      </w:r>
      <w:r w:rsidRPr="00E004A2">
        <w:rPr>
          <w:rFonts w:ascii="Garamond" w:eastAsia="Times New Roman" w:hAnsi="Garamond" w:cs="Times New Roman"/>
          <w:bCs/>
          <w:color w:val="000000"/>
          <w:sz w:val="24"/>
          <w:szCs w:val="24"/>
        </w:rPr>
        <w:t>I do think that there are hard boundaries, but they are pretty wide</w:t>
      </w:r>
      <w:r w:rsidRPr="00E004A2">
        <w:rPr>
          <w:rFonts w:ascii="Garamond" w:eastAsia="Times New Roman" w:hAnsi="Garamond" w:cs="Times New Roman"/>
          <w:color w:val="000000"/>
          <w:sz w:val="24"/>
          <w:szCs w:val="24"/>
        </w:rPr>
        <w:t xml:space="preserve">. I think that there are an awful lot of ways that judges can decide </w:t>
      </w:r>
      <w:r w:rsidRPr="00E004A2">
        <w:rPr>
          <w:rFonts w:ascii="Garamond" w:eastAsia="Times New Roman" w:hAnsi="Garamond" w:cs="Times New Roman"/>
          <w:color w:val="000000"/>
          <w:sz w:val="24"/>
          <w:szCs w:val="24"/>
        </w:rPr>
        <w:lastRenderedPageBreak/>
        <w:t>which particular tools they are going to deploy in a particular situation, whether it's to uphold something</w:t>
      </w:r>
      <w:r w:rsidR="001F7BFC">
        <w:rPr>
          <w:rFonts w:ascii="Garamond" w:eastAsia="Times New Roman" w:hAnsi="Garamond" w:cs="Times New Roman"/>
          <w:color w:val="000000"/>
          <w:sz w:val="24"/>
          <w:szCs w:val="24"/>
        </w:rPr>
        <w:t>,</w:t>
      </w:r>
      <w:r w:rsidRPr="00E004A2">
        <w:rPr>
          <w:rFonts w:ascii="Garamond" w:eastAsia="Times New Roman" w:hAnsi="Garamond" w:cs="Times New Roman"/>
          <w:color w:val="000000"/>
          <w:sz w:val="24"/>
          <w:szCs w:val="24"/>
        </w:rPr>
        <w:t xml:space="preserve"> to read it narrowly, to read it broadly, to make sense of it or to make nonsense of it, and then they have those options and they have the perfectly legitimate rational ways of making that seem inevitable. (Interview, 2019)</w:t>
      </w:r>
    </w:p>
    <w:p w14:paraId="1774E93A" w14:textId="5AC85BB3" w:rsidR="007365E7" w:rsidRPr="00D50032" w:rsidRDefault="00BB63F0" w:rsidP="00D50032">
      <w:pPr>
        <w:tabs>
          <w:tab w:val="left" w:pos="720"/>
          <w:tab w:val="left" w:pos="1440"/>
          <w:tab w:val="left" w:pos="2160"/>
          <w:tab w:val="left" w:pos="2880"/>
          <w:tab w:val="left" w:pos="3600"/>
          <w:tab w:val="left" w:pos="4320"/>
        </w:tabs>
        <w:spacing w:line="480" w:lineRule="auto"/>
        <w:rPr>
          <w:rFonts w:ascii="Garamond" w:hAnsi="Garamond"/>
          <w:sz w:val="24"/>
          <w:szCs w:val="24"/>
          <w:lang w:val="en-US"/>
        </w:rPr>
      </w:pPr>
      <w:r w:rsidRPr="00E004A2">
        <w:rPr>
          <w:rFonts w:ascii="Garamond" w:hAnsi="Garamond"/>
          <w:kern w:val="1"/>
          <w:sz w:val="24"/>
          <w:szCs w:val="24"/>
        </w:rPr>
        <w:t>These remarks point to the interconnections and relationships existing between different arenas, types, and registers of law, reminding us of the importance of statutory interpretation alongside legislative drafting, and the purchase of wider debates about the limits of aut</w:t>
      </w:r>
      <w:r w:rsidR="006C105E" w:rsidRPr="00E004A2">
        <w:rPr>
          <w:rFonts w:ascii="Garamond" w:hAnsi="Garamond"/>
          <w:kern w:val="1"/>
          <w:sz w:val="24"/>
          <w:szCs w:val="24"/>
        </w:rPr>
        <w:t>horial power (e.g.</w:t>
      </w:r>
      <w:r w:rsidR="007B4A25">
        <w:rPr>
          <w:rFonts w:ascii="Garamond" w:hAnsi="Garamond"/>
          <w:kern w:val="1"/>
          <w:sz w:val="24"/>
          <w:szCs w:val="24"/>
        </w:rPr>
        <w:t xml:space="preserve"> </w:t>
      </w:r>
      <w:proofErr w:type="spellStart"/>
      <w:r w:rsidR="007B4A25">
        <w:rPr>
          <w:rFonts w:ascii="Garamond" w:hAnsi="Garamond"/>
          <w:kern w:val="1"/>
          <w:sz w:val="24"/>
          <w:szCs w:val="24"/>
        </w:rPr>
        <w:t>Kamuf</w:t>
      </w:r>
      <w:proofErr w:type="spellEnd"/>
      <w:r w:rsidR="007B4A25">
        <w:rPr>
          <w:rFonts w:ascii="Garamond" w:hAnsi="Garamond"/>
          <w:kern w:val="1"/>
          <w:sz w:val="24"/>
          <w:szCs w:val="24"/>
        </w:rPr>
        <w:t>, 1988;</w:t>
      </w:r>
      <w:r w:rsidR="006C105E" w:rsidRPr="00E004A2">
        <w:rPr>
          <w:rFonts w:ascii="Garamond" w:hAnsi="Garamond"/>
          <w:kern w:val="1"/>
          <w:sz w:val="24"/>
          <w:szCs w:val="24"/>
        </w:rPr>
        <w:t xml:space="preserve"> </w:t>
      </w:r>
      <w:r w:rsidR="006C105E" w:rsidRPr="00E004A2">
        <w:rPr>
          <w:rFonts w:ascii="Garamond" w:hAnsi="Garamond"/>
          <w:kern w:val="1"/>
          <w:sz w:val="24"/>
          <w:szCs w:val="24"/>
        </w:rPr>
        <w:fldChar w:fldCharType="begin"/>
      </w:r>
      <w:r w:rsidR="004F3785">
        <w:rPr>
          <w:rFonts w:ascii="Garamond" w:hAnsi="Garamond"/>
          <w:kern w:val="1"/>
          <w:sz w:val="24"/>
          <w:szCs w:val="24"/>
        </w:rPr>
        <w:instrText xml:space="preserve"> ADDIN ZOTERO_ITEM CSL_CITATION {"citationID":"IDYdcRJ7","properties":{"formattedCitation":"(Walker, 1990)","plainCitation":"(Walker, 1990)","noteIndex":0},"citationItems":[{"id":681,"uris":["http://zotero.org/users/1070015/items/H4YCV8MB"],"uri":["http://zotero.org/users/1070015/items/H4YCV8MB"],"itemData":{"id":681,"type":"article-journal","archive":"JSTOR","container-title":"Critical Inquiry","ISSN":"0093-1896","issue":"3","page":"551-571","source":"JSTOR","title":"Feminist Literary Criticism and the Author","volume":"16","author":[{"family":"Walker","given":"Cheryl"}],"issued":{"date-parts":[["1990"]]}}}],"schema":"https://github.com/citation-style-language/schema/raw/master/csl-citation.json"} </w:instrText>
      </w:r>
      <w:r w:rsidR="006C105E" w:rsidRPr="00E004A2">
        <w:rPr>
          <w:rFonts w:ascii="Garamond" w:hAnsi="Garamond"/>
          <w:kern w:val="1"/>
          <w:sz w:val="24"/>
          <w:szCs w:val="24"/>
        </w:rPr>
        <w:fldChar w:fldCharType="separate"/>
      </w:r>
      <w:r w:rsidR="004F3785">
        <w:rPr>
          <w:rFonts w:ascii="Garamond" w:hAnsi="Garamond"/>
          <w:noProof/>
          <w:kern w:val="1"/>
          <w:sz w:val="24"/>
          <w:szCs w:val="24"/>
        </w:rPr>
        <w:t>Walker, 1990)</w:t>
      </w:r>
      <w:r w:rsidR="006C105E" w:rsidRPr="00E004A2">
        <w:rPr>
          <w:rFonts w:ascii="Garamond" w:hAnsi="Garamond"/>
          <w:kern w:val="1"/>
          <w:sz w:val="24"/>
          <w:szCs w:val="24"/>
        </w:rPr>
        <w:fldChar w:fldCharType="end"/>
      </w:r>
      <w:r w:rsidRPr="00E004A2">
        <w:rPr>
          <w:rFonts w:ascii="Garamond" w:hAnsi="Garamond"/>
          <w:kern w:val="1"/>
          <w:sz w:val="24"/>
          <w:szCs w:val="24"/>
        </w:rPr>
        <w:t>.</w:t>
      </w:r>
    </w:p>
    <w:p w14:paraId="0A61734F" w14:textId="77777777" w:rsidR="00D50032" w:rsidRDefault="00D50032" w:rsidP="00215057">
      <w:pPr>
        <w:pStyle w:val="Heading2"/>
        <w:rPr>
          <w:highlight w:val="white"/>
        </w:rPr>
      </w:pPr>
    </w:p>
    <w:p w14:paraId="66C58C67" w14:textId="1D4C1229" w:rsidR="00D57691" w:rsidRPr="00F30512" w:rsidRDefault="00A5127B" w:rsidP="00215057">
      <w:pPr>
        <w:pStyle w:val="Heading2"/>
        <w:rPr>
          <w:highlight w:val="white"/>
        </w:rPr>
      </w:pPr>
      <w:r w:rsidRPr="00F30512">
        <w:rPr>
          <w:highlight w:val="white"/>
        </w:rPr>
        <w:t>Concluding Remarks</w:t>
      </w:r>
      <w:r w:rsidR="001E2987" w:rsidRPr="00F30512">
        <w:rPr>
          <w:highlight w:val="white"/>
        </w:rPr>
        <w:t>: Grasping the Alchemy of Legal Gender</w:t>
      </w:r>
    </w:p>
    <w:p w14:paraId="5EFC7500" w14:textId="2AD55836" w:rsidR="00D12B7C" w:rsidRPr="00E004A2" w:rsidRDefault="00FE379D" w:rsidP="003B7358">
      <w:pPr>
        <w:tabs>
          <w:tab w:val="left" w:pos="720"/>
          <w:tab w:val="left" w:pos="1440"/>
          <w:tab w:val="left" w:pos="2160"/>
          <w:tab w:val="left" w:pos="2880"/>
          <w:tab w:val="left" w:pos="3600"/>
          <w:tab w:val="left" w:pos="4320"/>
        </w:tabs>
        <w:spacing w:line="480" w:lineRule="auto"/>
        <w:rPr>
          <w:rFonts w:ascii="Garamond" w:hAnsi="Garamond"/>
          <w:kern w:val="1"/>
          <w:sz w:val="24"/>
          <w:szCs w:val="24"/>
        </w:rPr>
      </w:pPr>
      <w:r w:rsidRPr="00E004A2">
        <w:rPr>
          <w:rFonts w:ascii="Garamond" w:hAnsi="Garamond"/>
          <w:sz w:val="24"/>
          <w:szCs w:val="24"/>
          <w:lang w:val="en-US"/>
        </w:rPr>
        <w:t>Th</w:t>
      </w:r>
      <w:r w:rsidRPr="00E004A2">
        <w:rPr>
          <w:rFonts w:ascii="Garamond" w:hAnsi="Garamond"/>
          <w:kern w:val="1"/>
          <w:sz w:val="24"/>
          <w:szCs w:val="24"/>
        </w:rPr>
        <w:t xml:space="preserve">e </w:t>
      </w:r>
      <w:r w:rsidR="00470F83">
        <w:rPr>
          <w:rFonts w:ascii="Garamond" w:hAnsi="Garamond"/>
          <w:kern w:val="1"/>
          <w:sz w:val="24"/>
          <w:szCs w:val="24"/>
        </w:rPr>
        <w:t xml:space="preserve">synthesis </w:t>
      </w:r>
      <w:r w:rsidRPr="00E004A2">
        <w:rPr>
          <w:rFonts w:ascii="Garamond" w:hAnsi="Garamond"/>
          <w:kern w:val="1"/>
          <w:sz w:val="24"/>
          <w:szCs w:val="24"/>
        </w:rPr>
        <w:t xml:space="preserve">of words </w:t>
      </w:r>
      <w:r w:rsidR="00470F83">
        <w:rPr>
          <w:rFonts w:ascii="Garamond" w:hAnsi="Garamond"/>
          <w:kern w:val="1"/>
          <w:sz w:val="24"/>
          <w:szCs w:val="24"/>
        </w:rPr>
        <w:t>and</w:t>
      </w:r>
      <w:r w:rsidRPr="00E004A2">
        <w:rPr>
          <w:rFonts w:ascii="Garamond" w:hAnsi="Garamond"/>
          <w:kern w:val="1"/>
          <w:sz w:val="24"/>
          <w:szCs w:val="24"/>
        </w:rPr>
        <w:t xml:space="preserve"> legal meaning, text </w:t>
      </w:r>
      <w:r w:rsidR="00470F83">
        <w:rPr>
          <w:rFonts w:ascii="Garamond" w:hAnsi="Garamond"/>
          <w:kern w:val="1"/>
          <w:sz w:val="24"/>
          <w:szCs w:val="24"/>
        </w:rPr>
        <w:t xml:space="preserve">and </w:t>
      </w:r>
      <w:r w:rsidRPr="00E004A2">
        <w:rPr>
          <w:rFonts w:ascii="Garamond" w:hAnsi="Garamond"/>
          <w:kern w:val="1"/>
          <w:sz w:val="24"/>
          <w:szCs w:val="24"/>
        </w:rPr>
        <w:t>expression</w:t>
      </w:r>
      <w:r w:rsidR="00470F83">
        <w:rPr>
          <w:rFonts w:ascii="Garamond" w:hAnsi="Garamond"/>
          <w:kern w:val="1"/>
          <w:sz w:val="24"/>
          <w:szCs w:val="24"/>
        </w:rPr>
        <w:t xml:space="preserve">, </w:t>
      </w:r>
      <w:r w:rsidRPr="00E004A2">
        <w:rPr>
          <w:rFonts w:ascii="Garamond" w:hAnsi="Garamond"/>
          <w:kern w:val="1"/>
          <w:sz w:val="24"/>
          <w:szCs w:val="24"/>
        </w:rPr>
        <w:t xml:space="preserve">that we find with legislative drafting means that ‘drafting otherwise’ is not simply a matter of using current techniques to implement a new approach to legal gender, it is much more productive and political than might otherwise be assumed. </w:t>
      </w:r>
      <w:r w:rsidR="00D57691" w:rsidRPr="00E004A2">
        <w:rPr>
          <w:rFonts w:ascii="Garamond" w:hAnsi="Garamond"/>
          <w:kern w:val="1"/>
          <w:sz w:val="24"/>
          <w:szCs w:val="24"/>
          <w:highlight w:val="white"/>
        </w:rPr>
        <w:t xml:space="preserve">This project has led me to become </w:t>
      </w:r>
      <w:r w:rsidR="00A5127B" w:rsidRPr="00E004A2">
        <w:rPr>
          <w:rFonts w:ascii="Garamond" w:hAnsi="Garamond"/>
          <w:kern w:val="1"/>
          <w:sz w:val="24"/>
          <w:szCs w:val="24"/>
          <w:highlight w:val="white"/>
        </w:rPr>
        <w:t xml:space="preserve">preoccupied with the question of whether a technology that has contributed many of the legal categories, idioms, exclusions, and ideologies that </w:t>
      </w:r>
      <w:r w:rsidR="005962CF">
        <w:rPr>
          <w:rFonts w:ascii="Garamond" w:hAnsi="Garamond"/>
          <w:kern w:val="1"/>
          <w:sz w:val="24"/>
          <w:szCs w:val="24"/>
          <w:highlight w:val="white"/>
        </w:rPr>
        <w:t>contribute powerfully to norms of sex/</w:t>
      </w:r>
      <w:r w:rsidR="00A5127B" w:rsidRPr="00E004A2">
        <w:rPr>
          <w:rFonts w:ascii="Garamond" w:hAnsi="Garamond"/>
          <w:kern w:val="1"/>
          <w:sz w:val="24"/>
          <w:szCs w:val="24"/>
          <w:highlight w:val="white"/>
        </w:rPr>
        <w:t>gender can be employed in decertifying gender. I</w:t>
      </w:r>
      <w:r w:rsidR="009E2DCF" w:rsidRPr="00E004A2">
        <w:rPr>
          <w:rFonts w:ascii="Garamond" w:hAnsi="Garamond"/>
          <w:kern w:val="1"/>
          <w:sz w:val="24"/>
          <w:szCs w:val="24"/>
          <w:highlight w:val="white"/>
        </w:rPr>
        <w:t>n line with new materialist perspectives on the ‘mattering of methods’, I</w:t>
      </w:r>
      <w:r w:rsidR="00A5127B" w:rsidRPr="00E004A2">
        <w:rPr>
          <w:rFonts w:ascii="Garamond" w:hAnsi="Garamond"/>
          <w:kern w:val="1"/>
          <w:sz w:val="24"/>
          <w:szCs w:val="24"/>
          <w:highlight w:val="white"/>
        </w:rPr>
        <w:t xml:space="preserve"> find myself bewitched with the politics and materiality of text just as others ask about the ontological force of legal gender and the material and political effects of changing how sex and gender attach to law</w:t>
      </w:r>
      <w:r w:rsidR="009E2DCF" w:rsidRPr="00E004A2">
        <w:rPr>
          <w:rFonts w:ascii="Garamond" w:hAnsi="Garamond"/>
          <w:kern w:val="1"/>
          <w:sz w:val="24"/>
          <w:szCs w:val="24"/>
          <w:highlight w:val="white"/>
        </w:rPr>
        <w:t xml:space="preserve"> </w:t>
      </w:r>
      <w:r w:rsidR="009E2DCF" w:rsidRPr="00E004A2">
        <w:rPr>
          <w:rFonts w:ascii="Garamond" w:hAnsi="Garamond"/>
          <w:kern w:val="1"/>
          <w:sz w:val="24"/>
          <w:szCs w:val="24"/>
          <w:highlight w:val="white"/>
        </w:rPr>
        <w:fldChar w:fldCharType="begin"/>
      </w:r>
      <w:r w:rsidR="004F3785">
        <w:rPr>
          <w:rFonts w:ascii="Garamond" w:hAnsi="Garamond"/>
          <w:kern w:val="1"/>
          <w:sz w:val="24"/>
          <w:szCs w:val="24"/>
          <w:highlight w:val="white"/>
        </w:rPr>
        <w:instrText xml:space="preserve"> ADDIN ZOTERO_ITEM CSL_CITATION {"citationID":"NAzLsE4E","properties":{"formattedCitation":"(Coleman et al., 2019)","plainCitation":"(Coleman et al., 2019)","noteIndex":0},"citationItems":[{"id":680,"uris":["http://zotero.org/users/1070015/items/6UZ4366U"],"uri":["http://zotero.org/users/1070015/items/6UZ4366U"],"itemData":{"id":680,"type":"article-journal","container-title":"MAI: Feminism &amp; Visual Culture","issue":"4","language":"en-GB","title":"Feminist New Materialist Practice: The Mattering of Methods","title-short":"Feminist New Materialist Practice","URL":"https://maifeminism.com/feminist-new-materialisms-the-mattering-of-methods-editors-note/","author":[{"family":"Coleman","given":"Rebecca"},{"family":"Page","given":"Tara"},{"family":"Palmer","given":"Helen"}],"accessed":{"date-parts":[["2019",11,11]]},"issued":{"date-parts":[["2019"]]}}}],"schema":"https://github.com/citation-style-language/schema/raw/master/csl-citation.json"} </w:instrText>
      </w:r>
      <w:r w:rsidR="009E2DCF" w:rsidRPr="00E004A2">
        <w:rPr>
          <w:rFonts w:ascii="Garamond" w:hAnsi="Garamond"/>
          <w:kern w:val="1"/>
          <w:sz w:val="24"/>
          <w:szCs w:val="24"/>
          <w:highlight w:val="white"/>
        </w:rPr>
        <w:fldChar w:fldCharType="separate"/>
      </w:r>
      <w:r w:rsidR="004F3785">
        <w:rPr>
          <w:rFonts w:ascii="Garamond" w:hAnsi="Garamond"/>
          <w:noProof/>
          <w:kern w:val="1"/>
          <w:sz w:val="24"/>
          <w:szCs w:val="24"/>
          <w:highlight w:val="white"/>
        </w:rPr>
        <w:t>(Coleman et al., 2019)</w:t>
      </w:r>
      <w:r w:rsidR="009E2DCF" w:rsidRPr="00E004A2">
        <w:rPr>
          <w:rFonts w:ascii="Garamond" w:hAnsi="Garamond"/>
          <w:kern w:val="1"/>
          <w:sz w:val="24"/>
          <w:szCs w:val="24"/>
          <w:highlight w:val="white"/>
        </w:rPr>
        <w:fldChar w:fldCharType="end"/>
      </w:r>
      <w:r w:rsidR="00A5127B" w:rsidRPr="00E004A2">
        <w:rPr>
          <w:rFonts w:ascii="Garamond" w:hAnsi="Garamond"/>
          <w:kern w:val="1"/>
          <w:sz w:val="24"/>
          <w:szCs w:val="24"/>
          <w:highlight w:val="white"/>
        </w:rPr>
        <w:t>. Over recent months, I have brought to research meetings the shiny things I have been finding in interviews with legislative draft</w:t>
      </w:r>
      <w:r w:rsidR="00D57691" w:rsidRPr="00E004A2">
        <w:rPr>
          <w:rFonts w:ascii="Garamond" w:hAnsi="Garamond"/>
          <w:kern w:val="1"/>
          <w:sz w:val="24"/>
          <w:szCs w:val="24"/>
          <w:highlight w:val="white"/>
        </w:rPr>
        <w:t xml:space="preserve">ers: debates over the singular </w:t>
      </w:r>
      <w:r w:rsidR="00D13138">
        <w:rPr>
          <w:rFonts w:ascii="Garamond" w:hAnsi="Garamond"/>
          <w:kern w:val="1"/>
          <w:sz w:val="24"/>
          <w:szCs w:val="24"/>
          <w:highlight w:val="white"/>
        </w:rPr>
        <w:t>“</w:t>
      </w:r>
      <w:r w:rsidR="00D57691" w:rsidRPr="00E004A2">
        <w:rPr>
          <w:rFonts w:ascii="Garamond" w:hAnsi="Garamond"/>
          <w:kern w:val="1"/>
          <w:sz w:val="24"/>
          <w:szCs w:val="24"/>
          <w:highlight w:val="white"/>
        </w:rPr>
        <w:t>they</w:t>
      </w:r>
      <w:r w:rsidR="00D13138">
        <w:rPr>
          <w:rFonts w:ascii="Garamond" w:hAnsi="Garamond"/>
          <w:kern w:val="1"/>
          <w:sz w:val="24"/>
          <w:szCs w:val="24"/>
          <w:highlight w:val="white"/>
        </w:rPr>
        <w:t>”</w:t>
      </w:r>
      <w:r w:rsidR="00A5127B" w:rsidRPr="00E004A2">
        <w:rPr>
          <w:rFonts w:ascii="Garamond" w:hAnsi="Garamond"/>
          <w:kern w:val="1"/>
          <w:sz w:val="24"/>
          <w:szCs w:val="24"/>
          <w:highlight w:val="white"/>
        </w:rPr>
        <w:t>, discussions over gender in the Interpretation Act 1976, the fact that drafters know about gender-transformativ</w:t>
      </w:r>
      <w:r w:rsidR="00DC2A17" w:rsidRPr="00E004A2">
        <w:rPr>
          <w:rFonts w:ascii="Garamond" w:hAnsi="Garamond"/>
          <w:kern w:val="1"/>
          <w:sz w:val="24"/>
          <w:szCs w:val="24"/>
          <w:highlight w:val="white"/>
        </w:rPr>
        <w:t xml:space="preserve">e expressions of </w:t>
      </w:r>
      <w:r w:rsidR="00D13138">
        <w:rPr>
          <w:rFonts w:ascii="Garamond" w:hAnsi="Garamond"/>
          <w:kern w:val="1"/>
          <w:sz w:val="24"/>
          <w:szCs w:val="24"/>
          <w:highlight w:val="white"/>
        </w:rPr>
        <w:t>“</w:t>
      </w:r>
      <w:proofErr w:type="spellStart"/>
      <w:r w:rsidR="00DC2A17" w:rsidRPr="00E004A2">
        <w:rPr>
          <w:rFonts w:ascii="Garamond" w:hAnsi="Garamond"/>
          <w:kern w:val="1"/>
          <w:sz w:val="24"/>
          <w:szCs w:val="24"/>
          <w:highlight w:val="white"/>
        </w:rPr>
        <w:t>ze</w:t>
      </w:r>
      <w:proofErr w:type="spellEnd"/>
      <w:r w:rsidR="00D13138">
        <w:rPr>
          <w:rFonts w:ascii="Garamond" w:hAnsi="Garamond"/>
          <w:kern w:val="1"/>
          <w:sz w:val="24"/>
          <w:szCs w:val="24"/>
          <w:highlight w:val="white"/>
        </w:rPr>
        <w:t xml:space="preserve">” </w:t>
      </w:r>
      <w:r w:rsidR="00E442F0" w:rsidRPr="00E004A2">
        <w:rPr>
          <w:rFonts w:ascii="Garamond" w:hAnsi="Garamond"/>
          <w:kern w:val="1"/>
          <w:sz w:val="24"/>
          <w:szCs w:val="24"/>
          <w:highlight w:val="white"/>
        </w:rPr>
        <w:t>and will readily</w:t>
      </w:r>
      <w:r w:rsidR="00A5127B" w:rsidRPr="00E004A2">
        <w:rPr>
          <w:rFonts w:ascii="Garamond" w:hAnsi="Garamond"/>
          <w:kern w:val="1"/>
          <w:sz w:val="24"/>
          <w:szCs w:val="24"/>
          <w:highlight w:val="white"/>
        </w:rPr>
        <w:t xml:space="preserve"> discuss non-binary gender.</w:t>
      </w:r>
      <w:r w:rsidR="00D57691" w:rsidRPr="00E004A2">
        <w:rPr>
          <w:rFonts w:ascii="Garamond" w:hAnsi="Garamond"/>
          <w:kern w:val="1"/>
          <w:sz w:val="24"/>
          <w:szCs w:val="24"/>
          <w:highlight w:val="white"/>
        </w:rPr>
        <w:t xml:space="preserve"> These debates have raised </w:t>
      </w:r>
      <w:r w:rsidR="006D1F7F" w:rsidRPr="00E004A2">
        <w:rPr>
          <w:rFonts w:ascii="Garamond" w:hAnsi="Garamond"/>
          <w:kern w:val="1"/>
          <w:sz w:val="24"/>
          <w:szCs w:val="24"/>
          <w:highlight w:val="white"/>
        </w:rPr>
        <w:t xml:space="preserve">second wave feminist insights about </w:t>
      </w:r>
      <w:r w:rsidR="00D57691" w:rsidRPr="00E004A2">
        <w:rPr>
          <w:rFonts w:ascii="Garamond" w:hAnsi="Garamond"/>
          <w:kern w:val="1"/>
          <w:sz w:val="24"/>
          <w:szCs w:val="24"/>
          <w:highlight w:val="white"/>
        </w:rPr>
        <w:t>the power of legal language – its magical quality</w:t>
      </w:r>
      <w:r w:rsidR="005B5E46">
        <w:rPr>
          <w:rFonts w:ascii="Garamond" w:hAnsi="Garamond"/>
          <w:kern w:val="1"/>
          <w:sz w:val="24"/>
          <w:szCs w:val="24"/>
          <w:highlight w:val="white"/>
        </w:rPr>
        <w:t xml:space="preserve"> </w:t>
      </w:r>
      <w:r w:rsidR="005B5E46" w:rsidRPr="00E004A2">
        <w:rPr>
          <w:rFonts w:ascii="Garamond" w:hAnsi="Garamond"/>
          <w:kern w:val="1"/>
          <w:sz w:val="24"/>
          <w:szCs w:val="24"/>
          <w:highlight w:val="white"/>
        </w:rPr>
        <w:t>–</w:t>
      </w:r>
      <w:r w:rsidR="005B5E46">
        <w:rPr>
          <w:rFonts w:ascii="Garamond" w:hAnsi="Garamond"/>
          <w:kern w:val="1"/>
          <w:sz w:val="24"/>
          <w:szCs w:val="24"/>
          <w:highlight w:val="white"/>
        </w:rPr>
        <w:t xml:space="preserve"> </w:t>
      </w:r>
      <w:r w:rsidR="00D57691" w:rsidRPr="00E004A2">
        <w:rPr>
          <w:rFonts w:ascii="Garamond" w:hAnsi="Garamond"/>
          <w:kern w:val="1"/>
          <w:sz w:val="24"/>
          <w:szCs w:val="24"/>
          <w:highlight w:val="white"/>
        </w:rPr>
        <w:t xml:space="preserve">as a matter of </w:t>
      </w:r>
      <w:r w:rsidR="006D1F7F" w:rsidRPr="00E004A2">
        <w:rPr>
          <w:rFonts w:ascii="Garamond" w:hAnsi="Garamond"/>
          <w:kern w:val="1"/>
          <w:sz w:val="24"/>
          <w:szCs w:val="24"/>
          <w:highlight w:val="white"/>
        </w:rPr>
        <w:t xml:space="preserve">ongoing </w:t>
      </w:r>
      <w:r w:rsidR="00D57691" w:rsidRPr="00E004A2">
        <w:rPr>
          <w:rFonts w:ascii="Garamond" w:hAnsi="Garamond"/>
          <w:kern w:val="1"/>
          <w:sz w:val="24"/>
          <w:szCs w:val="24"/>
          <w:highlight w:val="white"/>
        </w:rPr>
        <w:t xml:space="preserve">enquiry. Magic is, in some ways ineffable, </w:t>
      </w:r>
      <w:r w:rsidR="009214B3">
        <w:rPr>
          <w:rFonts w:ascii="Garamond" w:hAnsi="Garamond"/>
          <w:kern w:val="1"/>
          <w:sz w:val="24"/>
          <w:szCs w:val="24"/>
          <w:highlight w:val="white"/>
        </w:rPr>
        <w:t>and</w:t>
      </w:r>
      <w:r w:rsidR="00D57691" w:rsidRPr="00E004A2">
        <w:rPr>
          <w:rFonts w:ascii="Garamond" w:hAnsi="Garamond"/>
          <w:kern w:val="1"/>
          <w:sz w:val="24"/>
          <w:szCs w:val="24"/>
          <w:highlight w:val="white"/>
        </w:rPr>
        <w:t xml:space="preserve"> the legal technical </w:t>
      </w:r>
      <w:r w:rsidR="00D57691" w:rsidRPr="00E004A2">
        <w:rPr>
          <w:rFonts w:ascii="Garamond" w:hAnsi="Garamond"/>
          <w:kern w:val="1"/>
          <w:sz w:val="24"/>
          <w:szCs w:val="24"/>
          <w:highlight w:val="white"/>
        </w:rPr>
        <w:lastRenderedPageBreak/>
        <w:t xml:space="preserve">fabrication of </w:t>
      </w:r>
      <w:r w:rsidR="007365E7">
        <w:rPr>
          <w:rFonts w:ascii="Garamond" w:hAnsi="Garamond"/>
          <w:kern w:val="1"/>
          <w:sz w:val="24"/>
          <w:szCs w:val="24"/>
          <w:highlight w:val="white"/>
        </w:rPr>
        <w:t>sex/</w:t>
      </w:r>
      <w:r w:rsidR="00D57691" w:rsidRPr="00E004A2">
        <w:rPr>
          <w:rFonts w:ascii="Garamond" w:hAnsi="Garamond"/>
          <w:kern w:val="1"/>
          <w:sz w:val="24"/>
          <w:szCs w:val="24"/>
          <w:highlight w:val="white"/>
        </w:rPr>
        <w:t>gender through text and innovation o</w:t>
      </w:r>
      <w:r w:rsidR="006D1F7F" w:rsidRPr="00E004A2">
        <w:rPr>
          <w:rFonts w:ascii="Garamond" w:hAnsi="Garamond"/>
          <w:kern w:val="1"/>
          <w:sz w:val="24"/>
          <w:szCs w:val="24"/>
          <w:highlight w:val="white"/>
        </w:rPr>
        <w:t>ver the past few centuries has come</w:t>
      </w:r>
      <w:r w:rsidR="00D57691" w:rsidRPr="00E004A2">
        <w:rPr>
          <w:rFonts w:ascii="Garamond" w:hAnsi="Garamond"/>
          <w:kern w:val="1"/>
          <w:sz w:val="24"/>
          <w:szCs w:val="24"/>
          <w:highlight w:val="white"/>
        </w:rPr>
        <w:t xml:space="preserve"> to seem slightly more scientific, something more like alchemy.</w:t>
      </w:r>
      <w:r w:rsidR="00A5127B" w:rsidRPr="00E004A2">
        <w:rPr>
          <w:rFonts w:ascii="Garamond" w:hAnsi="Garamond"/>
          <w:kern w:val="1"/>
          <w:sz w:val="24"/>
          <w:szCs w:val="24"/>
          <w:highlight w:val="white"/>
        </w:rPr>
        <w:t xml:space="preserve"> In </w:t>
      </w:r>
      <w:r w:rsidR="00360F7E">
        <w:rPr>
          <w:rFonts w:ascii="Garamond" w:hAnsi="Garamond"/>
          <w:kern w:val="1"/>
          <w:sz w:val="24"/>
          <w:szCs w:val="24"/>
          <w:highlight w:val="white"/>
        </w:rPr>
        <w:t>such</w:t>
      </w:r>
      <w:r w:rsidR="00A5127B" w:rsidRPr="00E004A2">
        <w:rPr>
          <w:rFonts w:ascii="Garamond" w:hAnsi="Garamond"/>
          <w:kern w:val="1"/>
          <w:sz w:val="24"/>
          <w:szCs w:val="24"/>
          <w:highlight w:val="white"/>
        </w:rPr>
        <w:t xml:space="preserve"> moments, the larger project of working out what would be the implications of dis-attaching sex/gender from legal personhood has appeared to be as just as much a question of legal expression, the oddly tenacious power of legal text, as about an iterative working-through of feminist </w:t>
      </w:r>
      <w:r w:rsidR="002D7F1F" w:rsidRPr="00E004A2">
        <w:rPr>
          <w:rFonts w:ascii="Garamond" w:hAnsi="Garamond"/>
          <w:kern w:val="1"/>
          <w:sz w:val="24"/>
          <w:szCs w:val="24"/>
          <w:highlight w:val="white"/>
        </w:rPr>
        <w:t>prefigurative legal and political thinking,</w:t>
      </w:r>
      <w:r w:rsidR="00A5127B" w:rsidRPr="00E004A2">
        <w:rPr>
          <w:rFonts w:ascii="Garamond" w:hAnsi="Garamond"/>
          <w:kern w:val="1"/>
          <w:sz w:val="24"/>
          <w:szCs w:val="24"/>
          <w:highlight w:val="white"/>
        </w:rPr>
        <w:t xml:space="preserve"> requiring, as it does, careful assessment of ho</w:t>
      </w:r>
      <w:r w:rsidR="00E442F0" w:rsidRPr="00E004A2">
        <w:rPr>
          <w:rFonts w:ascii="Garamond" w:hAnsi="Garamond"/>
          <w:kern w:val="1"/>
          <w:sz w:val="24"/>
          <w:szCs w:val="24"/>
          <w:highlight w:val="white"/>
        </w:rPr>
        <w:t xml:space="preserve">w this whole web of meaning, </w:t>
      </w:r>
      <w:r w:rsidR="00A5127B" w:rsidRPr="00E004A2">
        <w:rPr>
          <w:rFonts w:ascii="Garamond" w:hAnsi="Garamond"/>
          <w:kern w:val="1"/>
          <w:sz w:val="24"/>
          <w:szCs w:val="24"/>
          <w:highlight w:val="white"/>
        </w:rPr>
        <w:t>effect</w:t>
      </w:r>
      <w:r w:rsidR="00E442F0" w:rsidRPr="00E004A2">
        <w:rPr>
          <w:rFonts w:ascii="Garamond" w:hAnsi="Garamond"/>
          <w:kern w:val="1"/>
          <w:sz w:val="24"/>
          <w:szCs w:val="24"/>
          <w:highlight w:val="white"/>
        </w:rPr>
        <w:t>, politics, and inequality</w:t>
      </w:r>
      <w:r w:rsidR="00A5127B" w:rsidRPr="00E004A2">
        <w:rPr>
          <w:rFonts w:ascii="Garamond" w:hAnsi="Garamond"/>
          <w:kern w:val="1"/>
          <w:sz w:val="24"/>
          <w:szCs w:val="24"/>
          <w:highlight w:val="white"/>
        </w:rPr>
        <w:t xml:space="preserve"> is connected. In other words, I have become entangled in this research somewhere between text and substance.</w:t>
      </w:r>
      <w:r w:rsidR="00D12B7C">
        <w:rPr>
          <w:rFonts w:ascii="Garamond" w:hAnsi="Garamond"/>
          <w:kern w:val="1"/>
          <w:sz w:val="24"/>
          <w:szCs w:val="24"/>
        </w:rPr>
        <w:tab/>
      </w:r>
    </w:p>
    <w:p w14:paraId="296CEFD1" w14:textId="1F8BFE3F" w:rsidR="00A5127B" w:rsidRPr="00E004A2" w:rsidRDefault="00D12B7C" w:rsidP="006C2E1E">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Pr>
          <w:rFonts w:ascii="Garamond" w:hAnsi="Garamond"/>
          <w:kern w:val="1"/>
          <w:sz w:val="24"/>
          <w:szCs w:val="24"/>
          <w:highlight w:val="white"/>
        </w:rPr>
        <w:tab/>
      </w:r>
      <w:r w:rsidR="00A5127B" w:rsidRPr="00E004A2">
        <w:rPr>
          <w:rFonts w:ascii="Garamond" w:hAnsi="Garamond"/>
          <w:kern w:val="1"/>
          <w:sz w:val="24"/>
          <w:szCs w:val="24"/>
          <w:highlight w:val="white"/>
        </w:rPr>
        <w:t xml:space="preserve">My problem is that when the task is done, we </w:t>
      </w:r>
      <w:r w:rsidR="00983C9B" w:rsidRPr="00E004A2">
        <w:rPr>
          <w:rFonts w:ascii="Garamond" w:hAnsi="Garamond"/>
          <w:kern w:val="1"/>
          <w:sz w:val="24"/>
          <w:szCs w:val="24"/>
          <w:highlight w:val="white"/>
        </w:rPr>
        <w:t xml:space="preserve">may well </w:t>
      </w:r>
      <w:r w:rsidR="00A5127B" w:rsidRPr="00E004A2">
        <w:rPr>
          <w:rFonts w:ascii="Garamond" w:hAnsi="Garamond"/>
          <w:kern w:val="1"/>
          <w:sz w:val="24"/>
          <w:szCs w:val="24"/>
          <w:highlight w:val="white"/>
        </w:rPr>
        <w:t>have expressed ourselves, again, through legal text</w:t>
      </w:r>
      <w:r w:rsidR="00930258" w:rsidRPr="00E004A2">
        <w:rPr>
          <w:rFonts w:ascii="Garamond" w:hAnsi="Garamond"/>
          <w:kern w:val="1"/>
          <w:sz w:val="24"/>
          <w:szCs w:val="24"/>
          <w:highlight w:val="white"/>
        </w:rPr>
        <w:t xml:space="preserve"> and certainly, to some extent, through legal form</w:t>
      </w:r>
      <w:r w:rsidR="00A5127B" w:rsidRPr="00E004A2">
        <w:rPr>
          <w:rFonts w:ascii="Garamond" w:hAnsi="Garamond"/>
          <w:kern w:val="1"/>
          <w:sz w:val="24"/>
          <w:szCs w:val="24"/>
          <w:highlight w:val="white"/>
        </w:rPr>
        <w:t>. I cannot dis-attach my own in</w:t>
      </w:r>
      <w:r w:rsidR="00B516FF">
        <w:rPr>
          <w:rFonts w:ascii="Garamond" w:hAnsi="Garamond"/>
          <w:kern w:val="1"/>
          <w:sz w:val="24"/>
          <w:szCs w:val="24"/>
          <w:highlight w:val="white"/>
        </w:rPr>
        <w:t>volvement</w:t>
      </w:r>
      <w:r w:rsidR="006D1F7F" w:rsidRPr="00E004A2">
        <w:rPr>
          <w:rFonts w:ascii="Garamond" w:hAnsi="Garamond"/>
          <w:kern w:val="1"/>
          <w:sz w:val="24"/>
          <w:szCs w:val="24"/>
          <w:highlight w:val="white"/>
        </w:rPr>
        <w:t xml:space="preserve"> in this project from the emerging realisation</w:t>
      </w:r>
      <w:r w:rsidR="00A5127B" w:rsidRPr="00E004A2">
        <w:rPr>
          <w:rFonts w:ascii="Garamond" w:hAnsi="Garamond"/>
          <w:kern w:val="1"/>
          <w:sz w:val="24"/>
          <w:szCs w:val="24"/>
          <w:highlight w:val="white"/>
        </w:rPr>
        <w:t xml:space="preserve"> that whatever we wish to do, prefigurative,</w:t>
      </w:r>
      <w:r w:rsidR="00D57691" w:rsidRPr="00E004A2">
        <w:rPr>
          <w:rFonts w:ascii="Garamond" w:hAnsi="Garamond"/>
          <w:kern w:val="1"/>
          <w:sz w:val="24"/>
          <w:szCs w:val="24"/>
          <w:highlight w:val="white"/>
        </w:rPr>
        <w:t xml:space="preserve"> revolutionary, or transformative </w:t>
      </w:r>
      <w:r w:rsidR="00A5127B" w:rsidRPr="00E004A2">
        <w:rPr>
          <w:rFonts w:ascii="Garamond" w:hAnsi="Garamond"/>
          <w:kern w:val="1"/>
          <w:sz w:val="24"/>
          <w:szCs w:val="24"/>
          <w:highlight w:val="white"/>
        </w:rPr>
        <w:t xml:space="preserve">has to engage with an archetypal practice of law-making that has been a ‘black box’ until very recently. </w:t>
      </w:r>
      <w:r w:rsidR="00D57691" w:rsidRPr="00E004A2">
        <w:rPr>
          <w:rFonts w:ascii="Garamond" w:hAnsi="Garamond"/>
          <w:kern w:val="1"/>
          <w:sz w:val="24"/>
          <w:szCs w:val="24"/>
          <w:highlight w:val="white"/>
        </w:rPr>
        <w:t xml:space="preserve">The mutual inter-relationship of </w:t>
      </w:r>
      <w:r w:rsidR="00395918" w:rsidRPr="00E004A2">
        <w:rPr>
          <w:rFonts w:ascii="Garamond" w:hAnsi="Garamond"/>
          <w:kern w:val="1"/>
          <w:sz w:val="24"/>
          <w:szCs w:val="24"/>
          <w:highlight w:val="white"/>
        </w:rPr>
        <w:t>sex/</w:t>
      </w:r>
      <w:r w:rsidR="00D57691" w:rsidRPr="00E004A2">
        <w:rPr>
          <w:rFonts w:ascii="Garamond" w:hAnsi="Garamond"/>
          <w:kern w:val="1"/>
          <w:sz w:val="24"/>
          <w:szCs w:val="24"/>
          <w:highlight w:val="white"/>
        </w:rPr>
        <w:t>gender and legislative drafting has raised more questions than it has answered, and it seems like risky work, having identified the alchemy, to try and harness it.</w:t>
      </w:r>
      <w:r w:rsidR="00CF7257" w:rsidRPr="00E004A2">
        <w:rPr>
          <w:rFonts w:ascii="Garamond" w:hAnsi="Garamond"/>
          <w:kern w:val="1"/>
          <w:sz w:val="24"/>
          <w:szCs w:val="24"/>
          <w:highlight w:val="white"/>
        </w:rPr>
        <w:t xml:space="preserve"> </w:t>
      </w:r>
      <w:r w:rsidR="00BD4A3A">
        <w:rPr>
          <w:rFonts w:ascii="Garamond" w:hAnsi="Garamond"/>
          <w:kern w:val="1"/>
          <w:sz w:val="24"/>
          <w:szCs w:val="24"/>
          <w:highlight w:val="white"/>
        </w:rPr>
        <w:t>Yet with such risks come new</w:t>
      </w:r>
      <w:r w:rsidR="00B90E9E">
        <w:rPr>
          <w:rFonts w:ascii="Garamond" w:hAnsi="Garamond"/>
          <w:kern w:val="1"/>
          <w:sz w:val="24"/>
          <w:szCs w:val="24"/>
          <w:highlight w:val="white"/>
        </w:rPr>
        <w:t xml:space="preserve"> opportunities. </w:t>
      </w:r>
      <w:r w:rsidR="006D1F7F" w:rsidRPr="00E004A2">
        <w:rPr>
          <w:rFonts w:ascii="Garamond" w:hAnsi="Garamond"/>
          <w:kern w:val="1"/>
          <w:sz w:val="24"/>
          <w:szCs w:val="24"/>
          <w:highlight w:val="white"/>
        </w:rPr>
        <w:t xml:space="preserve">I hope this article has conveyed some sense of our </w:t>
      </w:r>
      <w:r w:rsidR="00302114" w:rsidRPr="00E004A2">
        <w:rPr>
          <w:rFonts w:ascii="Garamond" w:hAnsi="Garamond"/>
          <w:kern w:val="1"/>
          <w:sz w:val="24"/>
          <w:szCs w:val="24"/>
          <w:highlight w:val="white"/>
        </w:rPr>
        <w:t xml:space="preserve">statutory </w:t>
      </w:r>
      <w:r w:rsidR="006D1F7F" w:rsidRPr="00E004A2">
        <w:rPr>
          <w:rFonts w:ascii="Garamond" w:hAnsi="Garamond"/>
          <w:kern w:val="1"/>
          <w:sz w:val="24"/>
          <w:szCs w:val="24"/>
          <w:highlight w:val="white"/>
        </w:rPr>
        <w:t>dilemmas as we continue our research on decertifying gender.</w:t>
      </w:r>
    </w:p>
    <w:p w14:paraId="5338E956" w14:textId="77777777" w:rsidR="00FF0A63" w:rsidRPr="00E004A2" w:rsidRDefault="00FF0A63" w:rsidP="00A5127B">
      <w:pPr>
        <w:tabs>
          <w:tab w:val="left" w:pos="720"/>
          <w:tab w:val="left" w:pos="1440"/>
          <w:tab w:val="left" w:pos="2160"/>
          <w:tab w:val="left" w:pos="2880"/>
          <w:tab w:val="left" w:pos="3600"/>
          <w:tab w:val="left" w:pos="4320"/>
        </w:tabs>
        <w:spacing w:line="480" w:lineRule="auto"/>
        <w:ind w:firstLine="360"/>
        <w:rPr>
          <w:rFonts w:ascii="Garamond" w:hAnsi="Garamond"/>
          <w:kern w:val="1"/>
          <w:sz w:val="24"/>
          <w:szCs w:val="24"/>
          <w:highlight w:val="white"/>
        </w:rPr>
      </w:pPr>
    </w:p>
    <w:p w14:paraId="495C5BDD" w14:textId="0DDF5394" w:rsidR="00FF0A63" w:rsidRDefault="009F01CE" w:rsidP="00AB3405">
      <w:pPr>
        <w:pStyle w:val="Heading2"/>
        <w:rPr>
          <w:highlight w:val="white"/>
        </w:rPr>
      </w:pPr>
      <w:r>
        <w:rPr>
          <w:highlight w:val="white"/>
        </w:rPr>
        <w:t>References</w:t>
      </w:r>
    </w:p>
    <w:p w14:paraId="7CA7C8BD" w14:textId="130F9B8C" w:rsidR="00F14A34" w:rsidRPr="00F14A34" w:rsidRDefault="00F14A34" w:rsidP="00F14A34">
      <w:pPr>
        <w:pStyle w:val="Bibliography"/>
        <w:rPr>
          <w:rFonts w:ascii="Garamond" w:hAnsi="Garamond"/>
          <w:sz w:val="24"/>
        </w:rPr>
      </w:pPr>
      <w:r>
        <w:rPr>
          <w:rFonts w:ascii="Garamond" w:hAnsi="Garamond"/>
          <w:bCs/>
          <w:kern w:val="1"/>
          <w:sz w:val="24"/>
          <w:szCs w:val="24"/>
          <w:highlight w:val="white"/>
        </w:rPr>
        <w:fldChar w:fldCharType="begin"/>
      </w:r>
      <w:r>
        <w:rPr>
          <w:rFonts w:ascii="Garamond" w:hAnsi="Garamond"/>
          <w:bCs/>
          <w:kern w:val="1"/>
          <w:sz w:val="24"/>
          <w:szCs w:val="24"/>
          <w:highlight w:val="white"/>
        </w:rPr>
        <w:instrText xml:space="preserve"> ADDIN ZOTERO_BIBL {"uncited":[],"omitted":[],"custom":[]} CSL_BIBLIOGRAPHY </w:instrText>
      </w:r>
      <w:r>
        <w:rPr>
          <w:rFonts w:ascii="Garamond" w:hAnsi="Garamond"/>
          <w:bCs/>
          <w:kern w:val="1"/>
          <w:sz w:val="24"/>
          <w:szCs w:val="24"/>
          <w:highlight w:val="white"/>
        </w:rPr>
        <w:fldChar w:fldCharType="separate"/>
      </w:r>
      <w:r w:rsidRPr="00F14A34">
        <w:rPr>
          <w:rFonts w:ascii="Garamond" w:hAnsi="Garamond"/>
          <w:sz w:val="24"/>
        </w:rPr>
        <w:t>Bowman, G., 2015. Is Legislation Literature</w:t>
      </w:r>
      <w:r w:rsidR="00645C76">
        <w:rPr>
          <w:rFonts w:ascii="Garamond" w:hAnsi="Garamond"/>
          <w:sz w:val="24"/>
        </w:rPr>
        <w:t>?</w:t>
      </w:r>
      <w:r w:rsidRPr="00F14A34">
        <w:rPr>
          <w:rFonts w:ascii="Garamond" w:hAnsi="Garamond"/>
          <w:sz w:val="24"/>
        </w:rPr>
        <w:t xml:space="preserve"> Sir William Dale Annual Memorial Lecture. Eur. J. Law Reform 17, 385–402.</w:t>
      </w:r>
    </w:p>
    <w:p w14:paraId="4BCD07E6" w14:textId="1759B65D" w:rsidR="00F14A34" w:rsidRPr="00F14A34" w:rsidRDefault="00F14A34" w:rsidP="00F14A34">
      <w:pPr>
        <w:pStyle w:val="Bibliography"/>
        <w:rPr>
          <w:rFonts w:ascii="Garamond" w:hAnsi="Garamond"/>
          <w:sz w:val="24"/>
        </w:rPr>
      </w:pPr>
      <w:r w:rsidRPr="00F14A34">
        <w:rPr>
          <w:rFonts w:ascii="Garamond" w:hAnsi="Garamond"/>
          <w:sz w:val="24"/>
        </w:rPr>
        <w:t>Busby, K., 1989. The Maleness of Legal Language. Manit. Law J. 18, 191</w:t>
      </w:r>
      <w:r w:rsidR="00F315BD">
        <w:rPr>
          <w:rFonts w:ascii="Garamond" w:hAnsi="Garamond"/>
          <w:sz w:val="24"/>
        </w:rPr>
        <w:t>–</w:t>
      </w:r>
      <w:r w:rsidR="007C283A">
        <w:rPr>
          <w:rFonts w:ascii="Garamond" w:hAnsi="Garamond"/>
          <w:sz w:val="24"/>
        </w:rPr>
        <w:t>212</w:t>
      </w:r>
      <w:r w:rsidRPr="00F14A34">
        <w:rPr>
          <w:rFonts w:ascii="Garamond" w:hAnsi="Garamond"/>
          <w:sz w:val="24"/>
        </w:rPr>
        <w:t>.</w:t>
      </w:r>
    </w:p>
    <w:p w14:paraId="13B4EB88" w14:textId="77777777" w:rsidR="00F14A34" w:rsidRPr="00F14A34" w:rsidRDefault="00F14A34" w:rsidP="00F14A34">
      <w:pPr>
        <w:pStyle w:val="Bibliography"/>
        <w:rPr>
          <w:rFonts w:ascii="Garamond" w:hAnsi="Garamond"/>
          <w:sz w:val="24"/>
        </w:rPr>
      </w:pPr>
      <w:r w:rsidRPr="00F14A34">
        <w:rPr>
          <w:rFonts w:ascii="Garamond" w:hAnsi="Garamond"/>
          <w:sz w:val="24"/>
        </w:rPr>
        <w:t>Cameron, D., 1985. Feminist and Linguistic Theory. Macmillan, London.</w:t>
      </w:r>
    </w:p>
    <w:p w14:paraId="1EBC863E" w14:textId="6B0E3DE8" w:rsidR="00F14A34" w:rsidRDefault="00F14A34" w:rsidP="00F14A34">
      <w:pPr>
        <w:pStyle w:val="Bibliography"/>
        <w:rPr>
          <w:rFonts w:ascii="Garamond" w:hAnsi="Garamond"/>
          <w:sz w:val="24"/>
        </w:rPr>
      </w:pPr>
      <w:r w:rsidRPr="00F14A34">
        <w:rPr>
          <w:rFonts w:ascii="Garamond" w:hAnsi="Garamond"/>
          <w:sz w:val="24"/>
        </w:rPr>
        <w:t>Coleman, R., Page, T., Palmer, H., 2019. Feminist New Materialist Practice: The Mattering of Methods. MAI Fem. Vis. Cult.</w:t>
      </w:r>
      <w:r w:rsidR="00BA4FE3">
        <w:rPr>
          <w:rFonts w:ascii="Garamond" w:hAnsi="Garamond"/>
          <w:sz w:val="24"/>
        </w:rPr>
        <w:t xml:space="preserve"> </w:t>
      </w:r>
      <w:r w:rsidR="00BA4FE3" w:rsidRPr="00BA4FE3">
        <w:rPr>
          <w:rFonts w:ascii="Garamond" w:hAnsi="Garamond"/>
          <w:sz w:val="24"/>
        </w:rPr>
        <w:t>https://maifeminism.com/feminist-new-materialisms-the-mattering-of-methods-editors-note/</w:t>
      </w:r>
    </w:p>
    <w:p w14:paraId="5D122F55" w14:textId="313F3179" w:rsidR="00C745F0" w:rsidRPr="006C2233" w:rsidRDefault="00C745F0" w:rsidP="00BA4FE3">
      <w:pPr>
        <w:ind w:left="709" w:hanging="709"/>
        <w:rPr>
          <w:rFonts w:ascii="Garamond" w:hAnsi="Garamond"/>
          <w:sz w:val="24"/>
          <w:szCs w:val="24"/>
        </w:rPr>
      </w:pPr>
      <w:r w:rsidRPr="00BA4FE3">
        <w:rPr>
          <w:rFonts w:ascii="Garamond" w:hAnsi="Garamond"/>
          <w:sz w:val="24"/>
          <w:szCs w:val="24"/>
        </w:rPr>
        <w:t>Cooper, D.</w:t>
      </w:r>
      <w:r w:rsidR="001620E1" w:rsidRPr="00BA4FE3">
        <w:rPr>
          <w:rFonts w:ascii="Garamond" w:hAnsi="Garamond"/>
          <w:sz w:val="24"/>
          <w:szCs w:val="24"/>
        </w:rPr>
        <w:t xml:space="preserve">, </w:t>
      </w:r>
      <w:r w:rsidRPr="00BA4FE3">
        <w:rPr>
          <w:rFonts w:ascii="Garamond" w:hAnsi="Garamond"/>
          <w:sz w:val="24"/>
          <w:szCs w:val="24"/>
        </w:rPr>
        <w:t>2018</w:t>
      </w:r>
      <w:r w:rsidR="001620E1" w:rsidRPr="00BA4FE3">
        <w:rPr>
          <w:rFonts w:ascii="Garamond" w:hAnsi="Garamond"/>
          <w:sz w:val="24"/>
          <w:szCs w:val="24"/>
        </w:rPr>
        <w:t>.</w:t>
      </w:r>
      <w:r w:rsidRPr="00BA4FE3">
        <w:rPr>
          <w:rFonts w:ascii="Garamond" w:hAnsi="Garamond"/>
          <w:sz w:val="24"/>
          <w:szCs w:val="24"/>
        </w:rPr>
        <w:t xml:space="preserve"> Acting as if </w:t>
      </w:r>
      <w:r w:rsidR="00BA4FE3">
        <w:rPr>
          <w:rFonts w:ascii="Garamond" w:hAnsi="Garamond"/>
          <w:sz w:val="24"/>
          <w:szCs w:val="24"/>
        </w:rPr>
        <w:t>O</w:t>
      </w:r>
      <w:r w:rsidRPr="00BA4FE3">
        <w:rPr>
          <w:rFonts w:ascii="Garamond" w:hAnsi="Garamond"/>
          <w:sz w:val="24"/>
          <w:szCs w:val="24"/>
        </w:rPr>
        <w:t xml:space="preserve">ther </w:t>
      </w:r>
      <w:r w:rsidR="00BA4FE3">
        <w:rPr>
          <w:rFonts w:ascii="Garamond" w:hAnsi="Garamond"/>
          <w:sz w:val="24"/>
          <w:szCs w:val="24"/>
        </w:rPr>
        <w:t>L</w:t>
      </w:r>
      <w:r w:rsidRPr="00BA4FE3">
        <w:rPr>
          <w:rFonts w:ascii="Garamond" w:hAnsi="Garamond"/>
          <w:sz w:val="24"/>
          <w:szCs w:val="24"/>
        </w:rPr>
        <w:t xml:space="preserve">aw </w:t>
      </w:r>
      <w:r w:rsidR="00BA4FE3">
        <w:rPr>
          <w:rFonts w:ascii="Garamond" w:hAnsi="Garamond"/>
          <w:sz w:val="24"/>
          <w:szCs w:val="24"/>
        </w:rPr>
        <w:t>R</w:t>
      </w:r>
      <w:r w:rsidRPr="00BA4FE3">
        <w:rPr>
          <w:rFonts w:ascii="Garamond" w:hAnsi="Garamond"/>
          <w:sz w:val="24"/>
          <w:szCs w:val="24"/>
        </w:rPr>
        <w:t xml:space="preserve">eform </w:t>
      </w:r>
      <w:r w:rsidR="00BA4FE3">
        <w:rPr>
          <w:rFonts w:ascii="Garamond" w:hAnsi="Garamond"/>
          <w:sz w:val="24"/>
          <w:szCs w:val="24"/>
        </w:rPr>
        <w:t>Q</w:t>
      </w:r>
      <w:r w:rsidRPr="00BA4FE3">
        <w:rPr>
          <w:rFonts w:ascii="Garamond" w:hAnsi="Garamond"/>
          <w:sz w:val="24"/>
          <w:szCs w:val="24"/>
        </w:rPr>
        <w:t xml:space="preserve">uestions </w:t>
      </w:r>
      <w:r w:rsidR="00BA4FE3">
        <w:rPr>
          <w:rFonts w:ascii="Garamond" w:hAnsi="Garamond"/>
          <w:sz w:val="24"/>
          <w:szCs w:val="24"/>
        </w:rPr>
        <w:t>W</w:t>
      </w:r>
      <w:r w:rsidRPr="00BA4FE3">
        <w:rPr>
          <w:rFonts w:ascii="Garamond" w:hAnsi="Garamond"/>
          <w:sz w:val="24"/>
          <w:szCs w:val="24"/>
        </w:rPr>
        <w:t xml:space="preserve">ere </w:t>
      </w:r>
      <w:r w:rsidR="00BA4FE3">
        <w:rPr>
          <w:rFonts w:ascii="Garamond" w:hAnsi="Garamond"/>
          <w:sz w:val="24"/>
          <w:szCs w:val="24"/>
        </w:rPr>
        <w:t>A</w:t>
      </w:r>
      <w:r w:rsidRPr="00BA4FE3">
        <w:rPr>
          <w:rFonts w:ascii="Garamond" w:hAnsi="Garamond"/>
          <w:sz w:val="24"/>
          <w:szCs w:val="24"/>
        </w:rPr>
        <w:t xml:space="preserve">lready on the </w:t>
      </w:r>
      <w:r w:rsidR="00BA4FE3">
        <w:rPr>
          <w:rFonts w:ascii="Garamond" w:hAnsi="Garamond"/>
          <w:sz w:val="24"/>
          <w:szCs w:val="24"/>
        </w:rPr>
        <w:t>T</w:t>
      </w:r>
      <w:r w:rsidRPr="00BA4FE3">
        <w:rPr>
          <w:rFonts w:ascii="Garamond" w:hAnsi="Garamond"/>
          <w:sz w:val="24"/>
          <w:szCs w:val="24"/>
        </w:rPr>
        <w:t>able? Future of Legal Gender blog</w:t>
      </w:r>
      <w:r w:rsidR="00BA4FE3">
        <w:rPr>
          <w:rFonts w:ascii="Garamond" w:hAnsi="Garamond"/>
          <w:sz w:val="24"/>
          <w:szCs w:val="24"/>
        </w:rPr>
        <w:t xml:space="preserve"> 13 October.</w:t>
      </w:r>
      <w:r w:rsidR="00B825A4">
        <w:rPr>
          <w:rFonts w:ascii="Garamond" w:hAnsi="Garamond"/>
          <w:sz w:val="24"/>
          <w:szCs w:val="24"/>
        </w:rPr>
        <w:t xml:space="preserve"> </w:t>
      </w:r>
      <w:r w:rsidRPr="006C2233">
        <w:rPr>
          <w:rFonts w:ascii="Garamond" w:hAnsi="Garamond"/>
          <w:sz w:val="24"/>
          <w:szCs w:val="24"/>
        </w:rPr>
        <w:t>https://futureoflegalgender.kcl.ac.uk/2018/10/13/acting-as-if-other-law-reform-options-were-already-on-the-table/#more-520</w:t>
      </w:r>
      <w:r w:rsidR="001620E1" w:rsidRPr="00BA4FE3">
        <w:rPr>
          <w:rStyle w:val="Hyperlink"/>
          <w:rFonts w:ascii="Garamond" w:hAnsi="Garamond"/>
          <w:sz w:val="24"/>
          <w:szCs w:val="24"/>
        </w:rPr>
        <w:t xml:space="preserve">. </w:t>
      </w:r>
    </w:p>
    <w:p w14:paraId="4176B717" w14:textId="49064B7F" w:rsidR="00F14A34" w:rsidRPr="00F14A34" w:rsidRDefault="00F14A34" w:rsidP="00F14A34">
      <w:pPr>
        <w:pStyle w:val="Bibliography"/>
        <w:rPr>
          <w:rFonts w:ascii="Garamond" w:hAnsi="Garamond"/>
          <w:sz w:val="24"/>
        </w:rPr>
      </w:pPr>
      <w:r w:rsidRPr="00F14A34">
        <w:rPr>
          <w:rFonts w:ascii="Garamond" w:hAnsi="Garamond"/>
          <w:sz w:val="24"/>
        </w:rPr>
        <w:lastRenderedPageBreak/>
        <w:t xml:space="preserve">Cooper, D., 2020. Towards an </w:t>
      </w:r>
      <w:r w:rsidR="00BA4FE3">
        <w:rPr>
          <w:rFonts w:ascii="Garamond" w:hAnsi="Garamond"/>
          <w:sz w:val="24"/>
        </w:rPr>
        <w:t>A</w:t>
      </w:r>
      <w:r w:rsidRPr="00F14A34">
        <w:rPr>
          <w:rFonts w:ascii="Garamond" w:hAnsi="Garamond"/>
          <w:sz w:val="24"/>
        </w:rPr>
        <w:t xml:space="preserve">dventurous </w:t>
      </w:r>
      <w:r w:rsidR="00BA4FE3">
        <w:rPr>
          <w:rFonts w:ascii="Garamond" w:hAnsi="Garamond"/>
          <w:sz w:val="24"/>
        </w:rPr>
        <w:t>I</w:t>
      </w:r>
      <w:r w:rsidRPr="00F14A34">
        <w:rPr>
          <w:rFonts w:ascii="Garamond" w:hAnsi="Garamond"/>
          <w:sz w:val="24"/>
        </w:rPr>
        <w:t xml:space="preserve">nstitutional </w:t>
      </w:r>
      <w:r w:rsidR="00BA4FE3">
        <w:rPr>
          <w:rFonts w:ascii="Garamond" w:hAnsi="Garamond"/>
          <w:sz w:val="24"/>
        </w:rPr>
        <w:t>P</w:t>
      </w:r>
      <w:r w:rsidRPr="00F14A34">
        <w:rPr>
          <w:rFonts w:ascii="Garamond" w:hAnsi="Garamond"/>
          <w:sz w:val="24"/>
        </w:rPr>
        <w:t xml:space="preserve">olitics: The </w:t>
      </w:r>
      <w:r w:rsidR="00BA4FE3">
        <w:rPr>
          <w:rFonts w:ascii="Garamond" w:hAnsi="Garamond"/>
          <w:sz w:val="24"/>
        </w:rPr>
        <w:t>P</w:t>
      </w:r>
      <w:r w:rsidRPr="00F14A34">
        <w:rPr>
          <w:rFonts w:ascii="Garamond" w:hAnsi="Garamond"/>
          <w:sz w:val="24"/>
        </w:rPr>
        <w:t>refigurative ‘</w:t>
      </w:r>
      <w:r w:rsidR="00BA4FE3">
        <w:rPr>
          <w:rFonts w:ascii="Garamond" w:hAnsi="Garamond"/>
          <w:sz w:val="24"/>
        </w:rPr>
        <w:t>A</w:t>
      </w:r>
      <w:r w:rsidRPr="00F14A34">
        <w:rPr>
          <w:rFonts w:ascii="Garamond" w:hAnsi="Garamond"/>
          <w:sz w:val="24"/>
        </w:rPr>
        <w:t xml:space="preserve">s </w:t>
      </w:r>
      <w:r w:rsidR="00BA4FE3">
        <w:rPr>
          <w:rFonts w:ascii="Garamond" w:hAnsi="Garamond"/>
          <w:sz w:val="24"/>
        </w:rPr>
        <w:t>I</w:t>
      </w:r>
      <w:r w:rsidRPr="00F14A34">
        <w:rPr>
          <w:rFonts w:ascii="Garamond" w:hAnsi="Garamond"/>
          <w:sz w:val="24"/>
        </w:rPr>
        <w:t xml:space="preserve">f’ and the </w:t>
      </w:r>
      <w:r w:rsidR="00BA4FE3">
        <w:rPr>
          <w:rFonts w:ascii="Garamond" w:hAnsi="Garamond"/>
          <w:sz w:val="24"/>
        </w:rPr>
        <w:t>R</w:t>
      </w:r>
      <w:r w:rsidRPr="00F14A34">
        <w:rPr>
          <w:rFonts w:ascii="Garamond" w:hAnsi="Garamond"/>
          <w:sz w:val="24"/>
        </w:rPr>
        <w:t xml:space="preserve">eposing of </w:t>
      </w:r>
      <w:r w:rsidR="00BA4FE3">
        <w:rPr>
          <w:rFonts w:ascii="Garamond" w:hAnsi="Garamond"/>
          <w:sz w:val="24"/>
        </w:rPr>
        <w:t>W</w:t>
      </w:r>
      <w:r w:rsidRPr="00F14A34">
        <w:rPr>
          <w:rFonts w:ascii="Garamond" w:hAnsi="Garamond"/>
          <w:sz w:val="24"/>
        </w:rPr>
        <w:t xml:space="preserve">hat’s </w:t>
      </w:r>
      <w:r w:rsidR="00BA4FE3">
        <w:rPr>
          <w:rFonts w:ascii="Garamond" w:hAnsi="Garamond"/>
          <w:sz w:val="24"/>
        </w:rPr>
        <w:t>R</w:t>
      </w:r>
      <w:r w:rsidRPr="00F14A34">
        <w:rPr>
          <w:rFonts w:ascii="Garamond" w:hAnsi="Garamond"/>
          <w:sz w:val="24"/>
        </w:rPr>
        <w:t>eal. Sociol. Rev. 68, 893–916. https://doi.org/10.1177/0038026120915148</w:t>
      </w:r>
    </w:p>
    <w:p w14:paraId="025ABA89" w14:textId="0C44701E" w:rsidR="00F14A34" w:rsidRPr="00F14A34" w:rsidRDefault="00F14A34" w:rsidP="00F14A34">
      <w:pPr>
        <w:pStyle w:val="Bibliography"/>
        <w:rPr>
          <w:rFonts w:ascii="Garamond" w:hAnsi="Garamond"/>
          <w:sz w:val="24"/>
        </w:rPr>
      </w:pPr>
      <w:r w:rsidRPr="00F14A34">
        <w:rPr>
          <w:rFonts w:ascii="Garamond" w:hAnsi="Garamond"/>
          <w:sz w:val="24"/>
        </w:rPr>
        <w:t xml:space="preserve">Cooper, D., Renz, F., 2016. If the State Decertified Gender, What Might Happen to its Meaning and Value? J. Law Soc. 43, 483–505. </w:t>
      </w:r>
    </w:p>
    <w:p w14:paraId="6DB2D0B1" w14:textId="77777777" w:rsidR="00F14A34" w:rsidRPr="00F14A34" w:rsidRDefault="00F14A34" w:rsidP="00F14A34">
      <w:pPr>
        <w:pStyle w:val="Bibliography"/>
        <w:rPr>
          <w:rFonts w:ascii="Garamond" w:hAnsi="Garamond"/>
          <w:sz w:val="24"/>
        </w:rPr>
      </w:pPr>
      <w:r w:rsidRPr="00F14A34">
        <w:rPr>
          <w:rFonts w:ascii="Garamond" w:hAnsi="Garamond"/>
          <w:sz w:val="24"/>
        </w:rPr>
        <w:t>Cowan, S., Kennedy, C., Munro, V. (Eds.), 2019. Scottish Feminist Judgments. Hart Publishing.</w:t>
      </w:r>
    </w:p>
    <w:p w14:paraId="7FFCF59C" w14:textId="6400307E" w:rsidR="00F14A34" w:rsidRPr="00F14A34" w:rsidRDefault="00F14A34" w:rsidP="00F14A34">
      <w:pPr>
        <w:pStyle w:val="Bibliography"/>
        <w:rPr>
          <w:rFonts w:ascii="Garamond" w:hAnsi="Garamond"/>
          <w:sz w:val="24"/>
        </w:rPr>
      </w:pPr>
      <w:r w:rsidRPr="00F14A34">
        <w:rPr>
          <w:rFonts w:ascii="Garamond" w:hAnsi="Garamond"/>
          <w:sz w:val="24"/>
        </w:rPr>
        <w:t>Cowan, S., Kennedy, C., Munro, V.E., 2020. Seeing Things Differently: Art, Law and Justice in the Scottish Feminist Judgments Project. feminists@law 10</w:t>
      </w:r>
      <w:r w:rsidR="00BA4FE3">
        <w:rPr>
          <w:rFonts w:ascii="Garamond" w:hAnsi="Garamond"/>
          <w:sz w:val="24"/>
        </w:rPr>
        <w:t>(1)</w:t>
      </w:r>
      <w:r w:rsidRPr="00F14A34">
        <w:rPr>
          <w:rFonts w:ascii="Garamond" w:hAnsi="Garamond"/>
          <w:sz w:val="24"/>
        </w:rPr>
        <w:t>. https://doi.org/10.22024/UniKent/03/fal.925</w:t>
      </w:r>
    </w:p>
    <w:p w14:paraId="26675464" w14:textId="340E7960" w:rsidR="00F14A34" w:rsidRPr="00F14A34" w:rsidRDefault="00F14A34" w:rsidP="00F14A34">
      <w:pPr>
        <w:pStyle w:val="Bibliography"/>
        <w:rPr>
          <w:rFonts w:ascii="Garamond" w:hAnsi="Garamond"/>
          <w:sz w:val="24"/>
        </w:rPr>
      </w:pPr>
      <w:r w:rsidRPr="00F14A34">
        <w:rPr>
          <w:rFonts w:ascii="Garamond" w:hAnsi="Garamond"/>
          <w:sz w:val="24"/>
        </w:rPr>
        <w:t xml:space="preserve">Dalmau, J., 2019. Better </w:t>
      </w:r>
      <w:r w:rsidR="00BA4FE3">
        <w:rPr>
          <w:rFonts w:ascii="Garamond" w:hAnsi="Garamond"/>
          <w:sz w:val="24"/>
        </w:rPr>
        <w:t>W</w:t>
      </w:r>
      <w:r w:rsidRPr="00F14A34">
        <w:rPr>
          <w:rFonts w:ascii="Garamond" w:hAnsi="Garamond"/>
          <w:sz w:val="24"/>
        </w:rPr>
        <w:t xml:space="preserve">ays of </w:t>
      </w:r>
      <w:r w:rsidR="00BA4FE3">
        <w:rPr>
          <w:rFonts w:ascii="Garamond" w:hAnsi="Garamond"/>
          <w:sz w:val="24"/>
        </w:rPr>
        <w:t>D</w:t>
      </w:r>
      <w:r w:rsidRPr="00F14A34">
        <w:rPr>
          <w:rFonts w:ascii="Garamond" w:hAnsi="Garamond"/>
          <w:sz w:val="24"/>
        </w:rPr>
        <w:t xml:space="preserve">eciding </w:t>
      </w:r>
      <w:r w:rsidR="00BA4FE3">
        <w:rPr>
          <w:rFonts w:ascii="Garamond" w:hAnsi="Garamond"/>
          <w:sz w:val="24"/>
        </w:rPr>
        <w:t>W</w:t>
      </w:r>
      <w:r w:rsidRPr="00F14A34">
        <w:rPr>
          <w:rFonts w:ascii="Garamond" w:hAnsi="Garamond"/>
          <w:sz w:val="24"/>
        </w:rPr>
        <w:t xml:space="preserve">hether a </w:t>
      </w:r>
      <w:r w:rsidR="00BA4FE3">
        <w:rPr>
          <w:rFonts w:ascii="Garamond" w:hAnsi="Garamond"/>
          <w:sz w:val="24"/>
        </w:rPr>
        <w:t>C</w:t>
      </w:r>
      <w:r w:rsidRPr="00F14A34">
        <w:rPr>
          <w:rFonts w:ascii="Garamond" w:hAnsi="Garamond"/>
          <w:sz w:val="24"/>
        </w:rPr>
        <w:t xml:space="preserve">ontested </w:t>
      </w:r>
      <w:r w:rsidR="00BA4FE3">
        <w:rPr>
          <w:rFonts w:ascii="Garamond" w:hAnsi="Garamond"/>
          <w:sz w:val="24"/>
        </w:rPr>
        <w:t>U</w:t>
      </w:r>
      <w:r w:rsidRPr="00F14A34">
        <w:rPr>
          <w:rFonts w:ascii="Garamond" w:hAnsi="Garamond"/>
          <w:sz w:val="24"/>
        </w:rPr>
        <w:t xml:space="preserve">sage is </w:t>
      </w:r>
      <w:r w:rsidR="00BA4FE3">
        <w:rPr>
          <w:rFonts w:ascii="Garamond" w:hAnsi="Garamond"/>
          <w:sz w:val="24"/>
        </w:rPr>
        <w:t>P</w:t>
      </w:r>
      <w:r w:rsidRPr="00F14A34">
        <w:rPr>
          <w:rFonts w:ascii="Garamond" w:hAnsi="Garamond"/>
          <w:sz w:val="24"/>
        </w:rPr>
        <w:t xml:space="preserve">ermissible in </w:t>
      </w:r>
      <w:r w:rsidR="00BA4FE3">
        <w:rPr>
          <w:rFonts w:ascii="Garamond" w:hAnsi="Garamond"/>
          <w:sz w:val="24"/>
        </w:rPr>
        <w:t>L</w:t>
      </w:r>
      <w:r w:rsidRPr="00F14A34">
        <w:rPr>
          <w:rFonts w:ascii="Garamond" w:hAnsi="Garamond"/>
          <w:sz w:val="24"/>
        </w:rPr>
        <w:t>egislation. Loophole J. Commonw. Assoc. Legis. Couns. 1, 18–30.</w:t>
      </w:r>
    </w:p>
    <w:p w14:paraId="651D3766" w14:textId="40D49FEF" w:rsidR="00F14A34" w:rsidRPr="00F14A34" w:rsidRDefault="00F14A34" w:rsidP="00F14A34">
      <w:pPr>
        <w:pStyle w:val="Bibliography"/>
        <w:rPr>
          <w:rFonts w:ascii="Garamond" w:hAnsi="Garamond"/>
          <w:sz w:val="24"/>
        </w:rPr>
      </w:pPr>
      <w:r w:rsidRPr="00F14A34">
        <w:rPr>
          <w:rFonts w:ascii="Garamond" w:hAnsi="Garamond"/>
          <w:sz w:val="24"/>
        </w:rPr>
        <w:t xml:space="preserve">Dembroff, R., Wodak, D., 2018. If </w:t>
      </w:r>
      <w:r w:rsidR="00BA4FE3">
        <w:rPr>
          <w:rFonts w:ascii="Garamond" w:hAnsi="Garamond"/>
          <w:sz w:val="24"/>
        </w:rPr>
        <w:t>S</w:t>
      </w:r>
      <w:r w:rsidRPr="00F14A34">
        <w:rPr>
          <w:rFonts w:ascii="Garamond" w:hAnsi="Garamond"/>
          <w:sz w:val="24"/>
        </w:rPr>
        <w:t xml:space="preserve">omeone </w:t>
      </w:r>
      <w:r w:rsidR="00BA4FE3">
        <w:rPr>
          <w:rFonts w:ascii="Garamond" w:hAnsi="Garamond"/>
          <w:sz w:val="24"/>
        </w:rPr>
        <w:t>W</w:t>
      </w:r>
      <w:r w:rsidRPr="00F14A34">
        <w:rPr>
          <w:rFonts w:ascii="Garamond" w:hAnsi="Garamond"/>
          <w:sz w:val="24"/>
        </w:rPr>
        <w:t xml:space="preserve">ants to be </w:t>
      </w:r>
      <w:r w:rsidR="00BA4FE3">
        <w:rPr>
          <w:rFonts w:ascii="Garamond" w:hAnsi="Garamond"/>
          <w:sz w:val="24"/>
        </w:rPr>
        <w:t>C</w:t>
      </w:r>
      <w:r w:rsidRPr="00F14A34">
        <w:rPr>
          <w:rFonts w:ascii="Garamond" w:hAnsi="Garamond"/>
          <w:sz w:val="24"/>
        </w:rPr>
        <w:t>alled “</w:t>
      </w:r>
      <w:r w:rsidR="00BA4FE3">
        <w:rPr>
          <w:rFonts w:ascii="Garamond" w:hAnsi="Garamond"/>
          <w:sz w:val="24"/>
        </w:rPr>
        <w:t>T</w:t>
      </w:r>
      <w:r w:rsidRPr="00F14A34">
        <w:rPr>
          <w:rFonts w:ascii="Garamond" w:hAnsi="Garamond"/>
          <w:sz w:val="24"/>
        </w:rPr>
        <w:t xml:space="preserve">hey” and </w:t>
      </w:r>
      <w:r w:rsidR="00BA4FE3">
        <w:rPr>
          <w:rFonts w:ascii="Garamond" w:hAnsi="Garamond"/>
          <w:sz w:val="24"/>
        </w:rPr>
        <w:t>N</w:t>
      </w:r>
      <w:r w:rsidRPr="00F14A34">
        <w:rPr>
          <w:rFonts w:ascii="Garamond" w:hAnsi="Garamond"/>
          <w:sz w:val="24"/>
        </w:rPr>
        <w:t>ot “</w:t>
      </w:r>
      <w:r w:rsidR="00BA4FE3">
        <w:rPr>
          <w:rFonts w:ascii="Garamond" w:hAnsi="Garamond"/>
          <w:sz w:val="24"/>
        </w:rPr>
        <w:t>H</w:t>
      </w:r>
      <w:r w:rsidRPr="00F14A34">
        <w:rPr>
          <w:rFonts w:ascii="Garamond" w:hAnsi="Garamond"/>
          <w:sz w:val="24"/>
        </w:rPr>
        <w:t>e” or “</w:t>
      </w:r>
      <w:r w:rsidR="00BA4FE3">
        <w:rPr>
          <w:rFonts w:ascii="Garamond" w:hAnsi="Garamond"/>
          <w:sz w:val="24"/>
        </w:rPr>
        <w:t>S</w:t>
      </w:r>
      <w:r w:rsidRPr="00F14A34">
        <w:rPr>
          <w:rFonts w:ascii="Garamond" w:hAnsi="Garamond"/>
          <w:sz w:val="24"/>
        </w:rPr>
        <w:t xml:space="preserve">he”, </w:t>
      </w:r>
      <w:r w:rsidR="00BA4FE3">
        <w:rPr>
          <w:rFonts w:ascii="Garamond" w:hAnsi="Garamond"/>
          <w:sz w:val="24"/>
        </w:rPr>
        <w:t>W</w:t>
      </w:r>
      <w:r w:rsidRPr="00F14A34">
        <w:rPr>
          <w:rFonts w:ascii="Garamond" w:hAnsi="Garamond"/>
          <w:sz w:val="24"/>
        </w:rPr>
        <w:t xml:space="preserve">hy </w:t>
      </w:r>
      <w:r w:rsidR="00BA4FE3">
        <w:rPr>
          <w:rFonts w:ascii="Garamond" w:hAnsi="Garamond"/>
          <w:sz w:val="24"/>
        </w:rPr>
        <w:t>S</w:t>
      </w:r>
      <w:r w:rsidRPr="00F14A34">
        <w:rPr>
          <w:rFonts w:ascii="Garamond" w:hAnsi="Garamond"/>
          <w:sz w:val="24"/>
        </w:rPr>
        <w:t xml:space="preserve">ay </w:t>
      </w:r>
      <w:r w:rsidR="00BA4FE3">
        <w:rPr>
          <w:rFonts w:ascii="Garamond" w:hAnsi="Garamond"/>
          <w:sz w:val="24"/>
        </w:rPr>
        <w:t>N</w:t>
      </w:r>
      <w:r w:rsidRPr="00F14A34">
        <w:rPr>
          <w:rFonts w:ascii="Garamond" w:hAnsi="Garamond"/>
          <w:sz w:val="24"/>
        </w:rPr>
        <w:t>o? The Guardian</w:t>
      </w:r>
      <w:r w:rsidR="00F27B03">
        <w:rPr>
          <w:rFonts w:ascii="Garamond" w:hAnsi="Garamond"/>
          <w:sz w:val="24"/>
        </w:rPr>
        <w:t>, 4 June</w:t>
      </w:r>
      <w:r w:rsidRPr="00F14A34">
        <w:rPr>
          <w:rFonts w:ascii="Garamond" w:hAnsi="Garamond"/>
          <w:sz w:val="24"/>
        </w:rPr>
        <w:t>.</w:t>
      </w:r>
      <w:r w:rsidR="00BA4FE3">
        <w:rPr>
          <w:rFonts w:ascii="Garamond" w:hAnsi="Garamond"/>
          <w:sz w:val="24"/>
        </w:rPr>
        <w:t xml:space="preserve"> </w:t>
      </w:r>
      <w:r w:rsidR="00BA4FE3" w:rsidRPr="00BA4FE3">
        <w:rPr>
          <w:rFonts w:ascii="Garamond" w:hAnsi="Garamond"/>
          <w:sz w:val="24"/>
        </w:rPr>
        <w:t>https://www.theguardian.com/commentisfree/2018/jun/04/gender-neutral-pronouns-they-he-she-why-deny</w:t>
      </w:r>
    </w:p>
    <w:p w14:paraId="2CE3314D" w14:textId="77777777" w:rsidR="00F14A34" w:rsidRPr="00F14A34" w:rsidRDefault="00F14A34" w:rsidP="00F14A34">
      <w:pPr>
        <w:pStyle w:val="Bibliography"/>
        <w:rPr>
          <w:rFonts w:ascii="Garamond" w:hAnsi="Garamond"/>
          <w:sz w:val="24"/>
        </w:rPr>
      </w:pPr>
      <w:r w:rsidRPr="00F14A34">
        <w:rPr>
          <w:rFonts w:ascii="Garamond" w:hAnsi="Garamond"/>
          <w:sz w:val="24"/>
        </w:rPr>
        <w:t>Dreidger, E., 1976. Are Statutes Written for Men Only? McGill Law J. 22, 666–672.</w:t>
      </w:r>
    </w:p>
    <w:p w14:paraId="22E72A5F" w14:textId="2C8FE907" w:rsidR="00F14A34" w:rsidRPr="00F14A34" w:rsidRDefault="00F14A34" w:rsidP="00F14A34">
      <w:pPr>
        <w:pStyle w:val="Bibliography"/>
        <w:rPr>
          <w:rFonts w:ascii="Garamond" w:hAnsi="Garamond"/>
          <w:sz w:val="24"/>
        </w:rPr>
      </w:pPr>
      <w:r w:rsidRPr="00F14A34">
        <w:rPr>
          <w:rFonts w:ascii="Garamond" w:hAnsi="Garamond"/>
          <w:sz w:val="24"/>
        </w:rPr>
        <w:t>Enright, M., Conway, V., de Londras, F., Don</w:t>
      </w:r>
      <w:r w:rsidR="008A1600">
        <w:rPr>
          <w:rFonts w:ascii="Garamond" w:hAnsi="Garamond"/>
          <w:sz w:val="24"/>
        </w:rPr>
        <w:t>n</w:t>
      </w:r>
      <w:r w:rsidRPr="00F14A34">
        <w:rPr>
          <w:rFonts w:ascii="Garamond" w:hAnsi="Garamond"/>
          <w:sz w:val="24"/>
        </w:rPr>
        <w:t>elly, M., Fletcher, R., McDonnell, N., McGuiness, S., Murray, C., Ring, S.,</w:t>
      </w:r>
      <w:r w:rsidR="008A1600">
        <w:rPr>
          <w:rFonts w:ascii="Garamond" w:hAnsi="Garamond"/>
          <w:sz w:val="24"/>
        </w:rPr>
        <w:t xml:space="preserve"> </w:t>
      </w:r>
      <w:r w:rsidR="008A1600" w:rsidRPr="00F14A34">
        <w:rPr>
          <w:rFonts w:ascii="Garamond" w:hAnsi="Garamond"/>
          <w:sz w:val="24"/>
        </w:rPr>
        <w:t>u</w:t>
      </w:r>
      <w:r w:rsidR="008A1600">
        <w:rPr>
          <w:rFonts w:ascii="Garamond" w:hAnsi="Garamond"/>
          <w:sz w:val="24"/>
        </w:rPr>
        <w:t>í</w:t>
      </w:r>
      <w:r w:rsidRPr="00F14A34">
        <w:rPr>
          <w:rFonts w:ascii="Garamond" w:hAnsi="Garamond"/>
          <w:sz w:val="24"/>
        </w:rPr>
        <w:t xml:space="preserve"> Chonnachtaigh, S., 2015a. Abortion Law Reform in Ireland: A Model for Change. feminists@law 5</w:t>
      </w:r>
      <w:r w:rsidR="00F0497F">
        <w:rPr>
          <w:rFonts w:ascii="Garamond" w:hAnsi="Garamond"/>
          <w:sz w:val="24"/>
        </w:rPr>
        <w:t xml:space="preserve">(1). </w:t>
      </w:r>
      <w:r w:rsidR="00F0497F" w:rsidRPr="00F0497F">
        <w:rPr>
          <w:rFonts w:ascii="Garamond" w:hAnsi="Garamond"/>
          <w:sz w:val="24"/>
        </w:rPr>
        <w:t>https://doi.org/10.22024/UniKent/03/fal.173</w:t>
      </w:r>
    </w:p>
    <w:p w14:paraId="1951385C" w14:textId="38085E01" w:rsidR="00F14A34" w:rsidRPr="00F14A34" w:rsidRDefault="00F14A34" w:rsidP="00F14A34">
      <w:pPr>
        <w:pStyle w:val="Bibliography"/>
        <w:rPr>
          <w:rFonts w:ascii="Garamond" w:hAnsi="Garamond"/>
          <w:sz w:val="24"/>
        </w:rPr>
      </w:pPr>
      <w:r w:rsidRPr="00F14A34">
        <w:rPr>
          <w:rFonts w:ascii="Garamond" w:hAnsi="Garamond"/>
          <w:sz w:val="24"/>
        </w:rPr>
        <w:t>Enright, M., Conway, V., de Londras, F., Donnelly, M., Fletcher, R., McDonnell, N., McGuiness, S., Murray, C., Ring, S., u</w:t>
      </w:r>
      <w:r w:rsidR="008A1600">
        <w:rPr>
          <w:rFonts w:ascii="Garamond" w:hAnsi="Garamond"/>
          <w:sz w:val="24"/>
        </w:rPr>
        <w:t>í</w:t>
      </w:r>
      <w:r w:rsidRPr="00F14A34">
        <w:rPr>
          <w:rFonts w:ascii="Garamond" w:hAnsi="Garamond"/>
          <w:sz w:val="24"/>
        </w:rPr>
        <w:t xml:space="preserve"> Chonnachtaigh, S., 2015b. General Scheme of Access to Abortion Bill.</w:t>
      </w:r>
      <w:r w:rsidR="00C8636E">
        <w:rPr>
          <w:rFonts w:ascii="Garamond" w:hAnsi="Garamond"/>
          <w:sz w:val="24"/>
        </w:rPr>
        <w:t xml:space="preserve"> feminists@law, 5(1). </w:t>
      </w:r>
      <w:r w:rsidR="00C8636E" w:rsidRPr="00C8636E">
        <w:rPr>
          <w:rFonts w:ascii="Garamond" w:hAnsi="Garamond"/>
          <w:sz w:val="24"/>
        </w:rPr>
        <w:t>https://doi.org/10.22024/UniKent/03/fal.174</w:t>
      </w:r>
    </w:p>
    <w:p w14:paraId="5BEBDD97" w14:textId="4AE139BB" w:rsidR="00F14A34" w:rsidRDefault="00F14A34" w:rsidP="00F14A34">
      <w:pPr>
        <w:pStyle w:val="Bibliography"/>
        <w:rPr>
          <w:rFonts w:ascii="Garamond" w:hAnsi="Garamond"/>
          <w:sz w:val="24"/>
        </w:rPr>
      </w:pPr>
      <w:r w:rsidRPr="00F14A34">
        <w:rPr>
          <w:rFonts w:ascii="Garamond" w:hAnsi="Garamond"/>
          <w:sz w:val="24"/>
        </w:rPr>
        <w:t>Enright, M., McCandless, J., O’Donoghue, A., 2017. Northern / Irish Feminist Judgments: Judges’ Troubles and the Gendered Politics of Identity. Hart Publishing.</w:t>
      </w:r>
    </w:p>
    <w:p w14:paraId="3D7094A0" w14:textId="340B1F76" w:rsidR="001402F3" w:rsidRPr="000167D6" w:rsidRDefault="001402F3" w:rsidP="000167D6">
      <w:pPr>
        <w:ind w:left="709" w:hanging="709"/>
        <w:rPr>
          <w:sz w:val="24"/>
          <w:szCs w:val="24"/>
        </w:rPr>
      </w:pPr>
      <w:r w:rsidRPr="000167D6">
        <w:rPr>
          <w:rFonts w:ascii="Garamond" w:hAnsi="Garamond"/>
          <w:sz w:val="24"/>
          <w:szCs w:val="24"/>
          <w:lang w:val="en-US"/>
        </w:rPr>
        <w:t xml:space="preserve">Government Equalities Office, 2019. National LGBT Survey: Summary Report. </w:t>
      </w:r>
      <w:hyperlink r:id="rId8" w:anchor="the-results" w:history="1">
        <w:r w:rsidRPr="000167D6">
          <w:rPr>
            <w:rStyle w:val="Hyperlink"/>
            <w:rFonts w:ascii="Garamond" w:hAnsi="Garamond"/>
            <w:sz w:val="24"/>
            <w:szCs w:val="24"/>
            <w:lang w:val="en-US"/>
          </w:rPr>
          <w:t>https://www.gov.uk/government/publications/national-lgbt-survey-summary-report/national-lgbt-survey-summary-report#the-results</w:t>
        </w:r>
      </w:hyperlink>
    </w:p>
    <w:p w14:paraId="5E82EBE8" w14:textId="7B793E96" w:rsidR="0015044B" w:rsidRPr="0015044B" w:rsidRDefault="0015044B" w:rsidP="00F14A34">
      <w:pPr>
        <w:pStyle w:val="Bibliography"/>
        <w:rPr>
          <w:rStyle w:val="Hyperlink"/>
          <w:rFonts w:ascii="Garamond" w:hAnsi="Garamond"/>
          <w:sz w:val="24"/>
          <w:szCs w:val="24"/>
          <w:lang w:val="en-US"/>
        </w:rPr>
      </w:pPr>
      <w:r w:rsidRPr="0015044B">
        <w:rPr>
          <w:rFonts w:ascii="Garamond" w:hAnsi="Garamond"/>
          <w:sz w:val="24"/>
          <w:szCs w:val="24"/>
          <w:lang w:val="en-US"/>
        </w:rPr>
        <w:t>Government of Canada Department of Justice</w:t>
      </w:r>
      <w:r>
        <w:rPr>
          <w:rFonts w:ascii="Garamond" w:hAnsi="Garamond"/>
          <w:sz w:val="24"/>
          <w:szCs w:val="24"/>
          <w:lang w:val="en-US"/>
        </w:rPr>
        <w:t>,</w:t>
      </w:r>
      <w:r w:rsidRPr="0015044B">
        <w:rPr>
          <w:rFonts w:ascii="Garamond" w:hAnsi="Garamond"/>
          <w:sz w:val="24"/>
          <w:szCs w:val="24"/>
          <w:lang w:val="en-US"/>
        </w:rPr>
        <w:t xml:space="preserve"> 2015</w:t>
      </w:r>
      <w:r>
        <w:rPr>
          <w:rFonts w:ascii="Garamond" w:hAnsi="Garamond"/>
          <w:sz w:val="24"/>
          <w:szCs w:val="24"/>
          <w:lang w:val="en-US"/>
        </w:rPr>
        <w:t>.</w:t>
      </w:r>
      <w:r w:rsidRPr="0015044B">
        <w:rPr>
          <w:rFonts w:ascii="Garamond" w:hAnsi="Garamond"/>
          <w:sz w:val="24"/>
          <w:szCs w:val="24"/>
          <w:lang w:val="en-US"/>
        </w:rPr>
        <w:t xml:space="preserve"> Legistics: Gender </w:t>
      </w:r>
      <w:r w:rsidR="006838F5">
        <w:rPr>
          <w:rFonts w:ascii="Garamond" w:hAnsi="Garamond"/>
          <w:sz w:val="24"/>
          <w:szCs w:val="24"/>
          <w:lang w:val="en-US"/>
        </w:rPr>
        <w:t>Neutral L</w:t>
      </w:r>
      <w:r w:rsidRPr="0015044B">
        <w:rPr>
          <w:rFonts w:ascii="Garamond" w:hAnsi="Garamond"/>
          <w:sz w:val="24"/>
          <w:szCs w:val="24"/>
          <w:lang w:val="en-US"/>
        </w:rPr>
        <w:t>anguage.</w:t>
      </w:r>
      <w:r w:rsidRPr="0015044B">
        <w:rPr>
          <w:rFonts w:ascii="Garamond" w:hAnsi="Garamond"/>
          <w:i/>
          <w:sz w:val="24"/>
          <w:szCs w:val="24"/>
          <w:lang w:val="en-US"/>
        </w:rPr>
        <w:t xml:space="preserve"> </w:t>
      </w:r>
      <w:hyperlink r:id="rId9" w:history="1">
        <w:r w:rsidRPr="0015044B">
          <w:rPr>
            <w:rStyle w:val="Hyperlink"/>
            <w:rFonts w:ascii="Garamond" w:hAnsi="Garamond"/>
            <w:sz w:val="24"/>
            <w:szCs w:val="24"/>
            <w:lang w:val="en-US"/>
          </w:rPr>
          <w:t>https://canada.justice.gc.ca/eng/rp-pr/csj-sjc/legis-redact/legistics/p1p15.html</w:t>
        </w:r>
      </w:hyperlink>
    </w:p>
    <w:p w14:paraId="02A0BE3B" w14:textId="1A2190AB" w:rsidR="00F14A34" w:rsidRPr="00F14A34" w:rsidRDefault="00F14A34" w:rsidP="00F14A34">
      <w:pPr>
        <w:pStyle w:val="Bibliography"/>
        <w:rPr>
          <w:rFonts w:ascii="Garamond" w:hAnsi="Garamond"/>
          <w:sz w:val="24"/>
        </w:rPr>
      </w:pPr>
      <w:r w:rsidRPr="00F14A34">
        <w:rPr>
          <w:rFonts w:ascii="Garamond" w:hAnsi="Garamond"/>
          <w:sz w:val="24"/>
        </w:rPr>
        <w:t xml:space="preserve">Grabham, E., 2016. Time and </w:t>
      </w:r>
      <w:r w:rsidR="000167D6">
        <w:rPr>
          <w:rFonts w:ascii="Garamond" w:hAnsi="Garamond"/>
          <w:sz w:val="24"/>
        </w:rPr>
        <w:t>T</w:t>
      </w:r>
      <w:r w:rsidRPr="00F14A34">
        <w:rPr>
          <w:rFonts w:ascii="Garamond" w:hAnsi="Garamond"/>
          <w:sz w:val="24"/>
        </w:rPr>
        <w:t xml:space="preserve">echnique: </w:t>
      </w:r>
      <w:r w:rsidR="000167D6">
        <w:rPr>
          <w:rFonts w:ascii="Garamond" w:hAnsi="Garamond"/>
          <w:sz w:val="24"/>
        </w:rPr>
        <w:t>T</w:t>
      </w:r>
      <w:r w:rsidRPr="00F14A34">
        <w:rPr>
          <w:rFonts w:ascii="Garamond" w:hAnsi="Garamond"/>
          <w:sz w:val="24"/>
        </w:rPr>
        <w:t xml:space="preserve">he </w:t>
      </w:r>
      <w:r w:rsidR="000167D6">
        <w:rPr>
          <w:rFonts w:ascii="Garamond" w:hAnsi="Garamond"/>
          <w:sz w:val="24"/>
        </w:rPr>
        <w:t>L</w:t>
      </w:r>
      <w:r w:rsidRPr="00F14A34">
        <w:rPr>
          <w:rFonts w:ascii="Garamond" w:hAnsi="Garamond"/>
          <w:sz w:val="24"/>
        </w:rPr>
        <w:t xml:space="preserve">egal </w:t>
      </w:r>
      <w:r w:rsidR="000167D6">
        <w:rPr>
          <w:rFonts w:ascii="Garamond" w:hAnsi="Garamond"/>
          <w:sz w:val="24"/>
        </w:rPr>
        <w:t>L</w:t>
      </w:r>
      <w:r w:rsidRPr="00F14A34">
        <w:rPr>
          <w:rFonts w:ascii="Garamond" w:hAnsi="Garamond"/>
          <w:sz w:val="24"/>
        </w:rPr>
        <w:t>ives of the 26-</w:t>
      </w:r>
      <w:r w:rsidR="000167D6">
        <w:rPr>
          <w:rFonts w:ascii="Garamond" w:hAnsi="Garamond"/>
          <w:sz w:val="24"/>
        </w:rPr>
        <w:t>W</w:t>
      </w:r>
      <w:r w:rsidRPr="00F14A34">
        <w:rPr>
          <w:rFonts w:ascii="Garamond" w:hAnsi="Garamond"/>
          <w:sz w:val="24"/>
        </w:rPr>
        <w:t xml:space="preserve">eek </w:t>
      </w:r>
      <w:r w:rsidR="000167D6">
        <w:rPr>
          <w:rFonts w:ascii="Garamond" w:hAnsi="Garamond"/>
          <w:sz w:val="24"/>
        </w:rPr>
        <w:t>Q</w:t>
      </w:r>
      <w:r w:rsidRPr="00F14A34">
        <w:rPr>
          <w:rFonts w:ascii="Garamond" w:hAnsi="Garamond"/>
          <w:sz w:val="24"/>
        </w:rPr>
        <w:t xml:space="preserve">ualifying </w:t>
      </w:r>
      <w:r w:rsidR="000167D6">
        <w:rPr>
          <w:rFonts w:ascii="Garamond" w:hAnsi="Garamond"/>
          <w:sz w:val="24"/>
        </w:rPr>
        <w:t>P</w:t>
      </w:r>
      <w:r w:rsidRPr="00F14A34">
        <w:rPr>
          <w:rFonts w:ascii="Garamond" w:hAnsi="Garamond"/>
          <w:sz w:val="24"/>
        </w:rPr>
        <w:t>eriod. Econ. Soc. 45, 379–406. https://doi.org/10.1080/03085147.2016.1257257</w:t>
      </w:r>
    </w:p>
    <w:p w14:paraId="6BAE7EC6" w14:textId="1040464A" w:rsidR="00F14A34" w:rsidRPr="00F14A34" w:rsidRDefault="00F14A34" w:rsidP="00F14A34">
      <w:pPr>
        <w:pStyle w:val="Bibliography"/>
        <w:rPr>
          <w:rFonts w:ascii="Garamond" w:hAnsi="Garamond"/>
          <w:sz w:val="24"/>
        </w:rPr>
      </w:pPr>
      <w:r w:rsidRPr="00F14A34">
        <w:rPr>
          <w:rFonts w:ascii="Garamond" w:hAnsi="Garamond"/>
          <w:sz w:val="24"/>
        </w:rPr>
        <w:t>Greenberg, D., 2011. Laying Down the Law: A Discussion of the People, Processes and Problems that Shape Acts of Parliament. Sweet &amp; Maxwell.</w:t>
      </w:r>
    </w:p>
    <w:p w14:paraId="20426B9E" w14:textId="14B7C132" w:rsidR="00F14A34" w:rsidRPr="00F14A34" w:rsidRDefault="00F14A34" w:rsidP="00F14A34">
      <w:pPr>
        <w:pStyle w:val="Bibliography"/>
        <w:rPr>
          <w:rFonts w:ascii="Garamond" w:hAnsi="Garamond"/>
          <w:sz w:val="24"/>
        </w:rPr>
      </w:pPr>
      <w:r w:rsidRPr="00F14A34">
        <w:rPr>
          <w:rFonts w:ascii="Garamond" w:hAnsi="Garamond"/>
          <w:sz w:val="24"/>
        </w:rPr>
        <w:t>Hunter, R., McGlynn, C., Rackley, E. (Eds.), 2010. Feminist Judgments</w:t>
      </w:r>
      <w:r w:rsidR="000167D6">
        <w:rPr>
          <w:rFonts w:ascii="Garamond" w:hAnsi="Garamond"/>
          <w:sz w:val="24"/>
        </w:rPr>
        <w:t>: From Theory to Practice</w:t>
      </w:r>
      <w:r w:rsidRPr="00F14A34">
        <w:rPr>
          <w:rFonts w:ascii="Garamond" w:hAnsi="Garamond"/>
          <w:sz w:val="24"/>
        </w:rPr>
        <w:t>. Hart Publishing.</w:t>
      </w:r>
    </w:p>
    <w:p w14:paraId="2F27565B" w14:textId="62928CEB" w:rsidR="00F14A34" w:rsidRPr="00F14A34" w:rsidRDefault="00F14A34" w:rsidP="00F14A34">
      <w:pPr>
        <w:pStyle w:val="Bibliography"/>
        <w:rPr>
          <w:rFonts w:ascii="Garamond" w:hAnsi="Garamond"/>
          <w:sz w:val="24"/>
        </w:rPr>
      </w:pPr>
      <w:r w:rsidRPr="00F14A34">
        <w:rPr>
          <w:rFonts w:ascii="Garamond" w:hAnsi="Garamond"/>
          <w:sz w:val="24"/>
        </w:rPr>
        <w:t>Kamuf, P., 1988. Signature Pieces: On the Institution of Authorship. Cornell University Press.</w:t>
      </w:r>
    </w:p>
    <w:p w14:paraId="13289F41" w14:textId="3B629240" w:rsidR="00F14A34" w:rsidRPr="00F14A34" w:rsidRDefault="00F14A34" w:rsidP="00F14A34">
      <w:pPr>
        <w:pStyle w:val="Bibliography"/>
        <w:rPr>
          <w:rFonts w:ascii="Garamond" w:hAnsi="Garamond"/>
          <w:sz w:val="24"/>
        </w:rPr>
      </w:pPr>
      <w:r w:rsidRPr="00F14A34">
        <w:rPr>
          <w:rFonts w:ascii="Garamond" w:hAnsi="Garamond"/>
          <w:sz w:val="24"/>
        </w:rPr>
        <w:t xml:space="preserve">Keenan, S., 2017. Smoke, Curtains and Mirrors: The Production of Race Through Time and Title Registration. Law Crit. 28, 87–108. </w:t>
      </w:r>
    </w:p>
    <w:p w14:paraId="18722AF3" w14:textId="75367C33" w:rsidR="00F14A34" w:rsidRPr="00F14A34" w:rsidRDefault="00F14A34" w:rsidP="00F14A34">
      <w:pPr>
        <w:pStyle w:val="Bibliography"/>
        <w:rPr>
          <w:rFonts w:ascii="Garamond" w:hAnsi="Garamond"/>
          <w:sz w:val="24"/>
        </w:rPr>
      </w:pPr>
      <w:r w:rsidRPr="00F14A34">
        <w:rPr>
          <w:rFonts w:ascii="Garamond" w:hAnsi="Garamond"/>
          <w:sz w:val="24"/>
        </w:rPr>
        <w:t>King, R., Fawcett, J., 2018. The End of He Or She: A Look at Gender-Neutral Legislative Drafting in New Zealand and Abroad. N. Z. Women</w:t>
      </w:r>
      <w:r w:rsidR="000167D6">
        <w:rPr>
          <w:rFonts w:ascii="Garamond" w:hAnsi="Garamond"/>
          <w:sz w:val="24"/>
        </w:rPr>
        <w:t>'</w:t>
      </w:r>
      <w:r w:rsidRPr="00F14A34">
        <w:rPr>
          <w:rFonts w:ascii="Garamond" w:hAnsi="Garamond"/>
          <w:sz w:val="24"/>
        </w:rPr>
        <w:t>s Law J. 2, 107–128.</w:t>
      </w:r>
    </w:p>
    <w:p w14:paraId="6EE677CD" w14:textId="0145083E" w:rsidR="00F14A34" w:rsidRPr="00F14A34" w:rsidRDefault="00F14A34" w:rsidP="00F14A34">
      <w:pPr>
        <w:pStyle w:val="Bibliography"/>
        <w:rPr>
          <w:rFonts w:ascii="Garamond" w:hAnsi="Garamond"/>
          <w:sz w:val="24"/>
        </w:rPr>
      </w:pPr>
      <w:r w:rsidRPr="00F14A34">
        <w:rPr>
          <w:rFonts w:ascii="Garamond" w:hAnsi="Garamond"/>
          <w:sz w:val="24"/>
        </w:rPr>
        <w:t xml:space="preserve">Martel, J.R., 2015. When the Call Is Not Meant for You: Misinterpellation, Subjectivity, and the Law. Philos. Rhetor. 48, 494–515. </w:t>
      </w:r>
    </w:p>
    <w:p w14:paraId="1A8EF746" w14:textId="77777777" w:rsidR="00F14A34" w:rsidRPr="00F14A34" w:rsidRDefault="00F14A34" w:rsidP="00F14A34">
      <w:pPr>
        <w:pStyle w:val="Bibliography"/>
        <w:rPr>
          <w:rFonts w:ascii="Garamond" w:hAnsi="Garamond"/>
          <w:sz w:val="24"/>
        </w:rPr>
      </w:pPr>
      <w:r w:rsidRPr="00F14A34">
        <w:rPr>
          <w:rFonts w:ascii="Garamond" w:hAnsi="Garamond"/>
          <w:sz w:val="24"/>
        </w:rPr>
        <w:t>Martyna, W., 1980. Beyond the “He/Man” Approach: The Case for Nonsexist Language. Signs 5, 482–493.</w:t>
      </w:r>
    </w:p>
    <w:p w14:paraId="79B0FF62" w14:textId="6EBBD04F" w:rsidR="00F14A34" w:rsidRPr="00F14A34" w:rsidRDefault="00F14A34" w:rsidP="00EB786D">
      <w:pPr>
        <w:pStyle w:val="Bibliography"/>
        <w:rPr>
          <w:rFonts w:ascii="Garamond" w:hAnsi="Garamond"/>
          <w:sz w:val="24"/>
        </w:rPr>
      </w:pPr>
      <w:r w:rsidRPr="00F14A34">
        <w:rPr>
          <w:rFonts w:ascii="Garamond" w:hAnsi="Garamond"/>
          <w:sz w:val="24"/>
        </w:rPr>
        <w:t xml:space="preserve">Mills, S., Mullany, L., 2011. Language, Gender and Feminism: Theory, Methodology and Practice. Routledge. </w:t>
      </w:r>
    </w:p>
    <w:p w14:paraId="098399C2" w14:textId="01DD3F34" w:rsidR="00F14A34" w:rsidRPr="00F14A34" w:rsidRDefault="00F14A34" w:rsidP="00F14A34">
      <w:pPr>
        <w:pStyle w:val="Bibliography"/>
        <w:rPr>
          <w:rFonts w:ascii="Garamond" w:hAnsi="Garamond"/>
          <w:sz w:val="24"/>
        </w:rPr>
      </w:pPr>
      <w:r w:rsidRPr="00F14A34">
        <w:rPr>
          <w:rFonts w:ascii="Garamond" w:hAnsi="Garamond"/>
          <w:sz w:val="24"/>
        </w:rPr>
        <w:t>Mossman, M.J., 1995. Use of Non-Discriminatory Language in Law. Int. Leg. Pract. 20, 8–14.</w:t>
      </w:r>
    </w:p>
    <w:p w14:paraId="3F28FD36" w14:textId="3BC6983A" w:rsidR="006D52B3" w:rsidRDefault="006D52B3" w:rsidP="004E377F">
      <w:pPr>
        <w:pStyle w:val="FootnoteText"/>
        <w:ind w:left="709" w:hanging="709"/>
        <w:rPr>
          <w:rFonts w:ascii="Garamond" w:eastAsia="Times New Roman" w:hAnsi="Garamond" w:cs="Times New Roman"/>
        </w:rPr>
      </w:pPr>
      <w:r w:rsidRPr="002246DA">
        <w:rPr>
          <w:rFonts w:ascii="Garamond" w:eastAsia="Times New Roman" w:hAnsi="Garamond" w:cs="Times New Roman"/>
        </w:rPr>
        <w:t>O</w:t>
      </w:r>
      <w:r w:rsidRPr="0068370A">
        <w:rPr>
          <w:rFonts w:ascii="Garamond" w:eastAsia="Times New Roman" w:hAnsi="Garamond" w:cs="Times New Roman"/>
        </w:rPr>
        <w:t>ffice of the Parliamentary C</w:t>
      </w:r>
      <w:r w:rsidRPr="00BB612A">
        <w:rPr>
          <w:rFonts w:ascii="Garamond" w:eastAsia="Times New Roman" w:hAnsi="Garamond" w:cs="Times New Roman"/>
        </w:rPr>
        <w:t xml:space="preserve">ounsel, </w:t>
      </w:r>
      <w:r w:rsidR="004971AD">
        <w:rPr>
          <w:rFonts w:ascii="Garamond" w:eastAsia="Times New Roman" w:hAnsi="Garamond" w:cs="Times New Roman"/>
        </w:rPr>
        <w:t>2018</w:t>
      </w:r>
      <w:r w:rsidRPr="00BB612A">
        <w:rPr>
          <w:rFonts w:ascii="Garamond" w:eastAsia="Times New Roman" w:hAnsi="Garamond" w:cs="Times New Roman"/>
        </w:rPr>
        <w:t xml:space="preserve">. </w:t>
      </w:r>
      <w:r w:rsidRPr="003F0499">
        <w:rPr>
          <w:rFonts w:ascii="Garamond" w:eastAsia="Times New Roman" w:hAnsi="Garamond" w:cs="Times New Roman"/>
        </w:rPr>
        <w:t>Drafting Guidanc</w:t>
      </w:r>
      <w:r w:rsidRPr="003D78FC">
        <w:rPr>
          <w:rFonts w:ascii="Garamond" w:eastAsia="Times New Roman" w:hAnsi="Garamond" w:cs="Times New Roman"/>
        </w:rPr>
        <w:t xml:space="preserve">e. </w:t>
      </w:r>
      <w:r w:rsidR="0068370A">
        <w:rPr>
          <w:rFonts w:ascii="Garamond" w:eastAsia="Times New Roman" w:hAnsi="Garamond" w:cs="Times New Roman"/>
        </w:rPr>
        <w:t>A</w:t>
      </w:r>
      <w:r w:rsidRPr="0068370A">
        <w:rPr>
          <w:rFonts w:ascii="Garamond" w:eastAsia="Times New Roman" w:hAnsi="Garamond" w:cs="Times New Roman"/>
        </w:rPr>
        <w:t xml:space="preserve">rchived at: </w:t>
      </w:r>
      <w:r w:rsidR="00A00EEF" w:rsidRPr="006C2233">
        <w:rPr>
          <w:rFonts w:ascii="Garamond" w:hAnsi="Garamond"/>
        </w:rPr>
        <w:t>https://webarchive.nationalarchives.gov.uk/20190212150332/https://www.gov.uk/government/publications/drafting-bills-for-parliament</w:t>
      </w:r>
      <w:r w:rsidRPr="004E377F">
        <w:rPr>
          <w:rFonts w:ascii="Garamond" w:eastAsia="Times New Roman" w:hAnsi="Garamond" w:cs="Times New Roman"/>
        </w:rPr>
        <w:t>.</w:t>
      </w:r>
    </w:p>
    <w:p w14:paraId="6BC36A89" w14:textId="77777777" w:rsidR="004971AD" w:rsidRDefault="004971AD" w:rsidP="004E377F">
      <w:pPr>
        <w:pStyle w:val="FootnoteText"/>
        <w:ind w:left="709" w:hanging="709"/>
        <w:rPr>
          <w:rFonts w:ascii="Garamond" w:eastAsia="Times New Roman" w:hAnsi="Garamond" w:cs="Times New Roman"/>
        </w:rPr>
      </w:pPr>
      <w:r w:rsidRPr="002246DA">
        <w:rPr>
          <w:rFonts w:ascii="Garamond" w:eastAsia="Times New Roman" w:hAnsi="Garamond" w:cs="Times New Roman"/>
        </w:rPr>
        <w:lastRenderedPageBreak/>
        <w:t>O</w:t>
      </w:r>
      <w:r w:rsidRPr="0068370A">
        <w:rPr>
          <w:rFonts w:ascii="Garamond" w:eastAsia="Times New Roman" w:hAnsi="Garamond" w:cs="Times New Roman"/>
        </w:rPr>
        <w:t>ffice of the Parliamentary C</w:t>
      </w:r>
      <w:r w:rsidRPr="00BB612A">
        <w:rPr>
          <w:rFonts w:ascii="Garamond" w:eastAsia="Times New Roman" w:hAnsi="Garamond" w:cs="Times New Roman"/>
        </w:rPr>
        <w:t>ounsel, 201</w:t>
      </w:r>
      <w:r>
        <w:rPr>
          <w:rFonts w:ascii="Garamond" w:eastAsia="Times New Roman" w:hAnsi="Garamond" w:cs="Times New Roman"/>
        </w:rPr>
        <w:t>4</w:t>
      </w:r>
      <w:r w:rsidRPr="00BB612A">
        <w:rPr>
          <w:rFonts w:ascii="Garamond" w:eastAsia="Times New Roman" w:hAnsi="Garamond" w:cs="Times New Roman"/>
        </w:rPr>
        <w:t xml:space="preserve">. </w:t>
      </w:r>
      <w:r w:rsidRPr="003F0499">
        <w:rPr>
          <w:rFonts w:ascii="Garamond" w:eastAsia="Times New Roman" w:hAnsi="Garamond" w:cs="Times New Roman"/>
        </w:rPr>
        <w:t>Drafting Guidanc</w:t>
      </w:r>
      <w:r w:rsidRPr="003D78FC">
        <w:rPr>
          <w:rFonts w:ascii="Garamond" w:eastAsia="Times New Roman" w:hAnsi="Garamond" w:cs="Times New Roman"/>
        </w:rPr>
        <w:t xml:space="preserve">e. </w:t>
      </w:r>
      <w:r>
        <w:rPr>
          <w:rFonts w:ascii="Garamond" w:eastAsia="Times New Roman" w:hAnsi="Garamond" w:cs="Times New Roman"/>
        </w:rPr>
        <w:t>A</w:t>
      </w:r>
      <w:r w:rsidRPr="0068370A">
        <w:rPr>
          <w:rFonts w:ascii="Garamond" w:eastAsia="Times New Roman" w:hAnsi="Garamond" w:cs="Times New Roman"/>
        </w:rPr>
        <w:t xml:space="preserve">rchived at: </w:t>
      </w:r>
      <w:r w:rsidRPr="00E2191F">
        <w:rPr>
          <w:rFonts w:ascii="Garamond" w:hAnsi="Garamond"/>
        </w:rPr>
        <w:t>https://webarchive.nationalarchives.gov.uk/20190212150332/https://www.gov.uk/government/publications/drafting-bills-for-parliament</w:t>
      </w:r>
      <w:r w:rsidRPr="004E377F">
        <w:rPr>
          <w:rFonts w:ascii="Garamond" w:eastAsia="Times New Roman" w:hAnsi="Garamond" w:cs="Times New Roman"/>
        </w:rPr>
        <w:t>.</w:t>
      </w:r>
    </w:p>
    <w:p w14:paraId="4BB66581" w14:textId="4F6DB5AE" w:rsidR="003C7E61" w:rsidRPr="004E377F" w:rsidRDefault="003C7E61" w:rsidP="004E377F">
      <w:pPr>
        <w:pStyle w:val="FootnoteText"/>
        <w:ind w:left="709" w:hanging="709"/>
        <w:rPr>
          <w:rFonts w:ascii="Garamond" w:hAnsi="Garamond"/>
          <w:iCs/>
          <w:lang w:val="en-US"/>
        </w:rPr>
      </w:pPr>
      <w:r w:rsidRPr="003C7E61">
        <w:rPr>
          <w:rFonts w:ascii="Garamond" w:hAnsi="Garamond"/>
          <w:lang w:val="en-US"/>
        </w:rPr>
        <w:t>Office of the Scottish Parliamentary Counsel</w:t>
      </w:r>
      <w:r>
        <w:rPr>
          <w:rFonts w:ascii="Garamond" w:hAnsi="Garamond"/>
          <w:lang w:val="en-US"/>
        </w:rPr>
        <w:t xml:space="preserve">, </w:t>
      </w:r>
      <w:r w:rsidRPr="003C7E61">
        <w:rPr>
          <w:rFonts w:ascii="Garamond" w:hAnsi="Garamond"/>
          <w:lang w:val="en-US"/>
        </w:rPr>
        <w:t>2006</w:t>
      </w:r>
      <w:r>
        <w:rPr>
          <w:rFonts w:ascii="Garamond" w:hAnsi="Garamond"/>
          <w:lang w:val="en-US"/>
        </w:rPr>
        <w:t>.</w:t>
      </w:r>
      <w:r w:rsidR="000B248C">
        <w:rPr>
          <w:rFonts w:ascii="Garamond" w:hAnsi="Garamond"/>
          <w:lang w:val="en-US"/>
        </w:rPr>
        <w:t xml:space="preserve"> </w:t>
      </w:r>
      <w:r w:rsidRPr="004E377F">
        <w:rPr>
          <w:rFonts w:ascii="Garamond" w:hAnsi="Garamond"/>
          <w:iCs/>
          <w:lang w:val="en-US"/>
        </w:rPr>
        <w:t>Plain Language and Legislation</w:t>
      </w:r>
      <w:r w:rsidR="00114369" w:rsidRPr="004E377F">
        <w:rPr>
          <w:rFonts w:ascii="Garamond" w:hAnsi="Garamond"/>
          <w:iCs/>
          <w:lang w:val="en-US"/>
        </w:rPr>
        <w:t>.</w:t>
      </w:r>
      <w:r w:rsidR="00114369">
        <w:rPr>
          <w:rFonts w:ascii="Garamond" w:hAnsi="Garamond"/>
          <w:iCs/>
          <w:lang w:val="en-US"/>
        </w:rPr>
        <w:t xml:space="preserve"> </w:t>
      </w:r>
      <w:r w:rsidR="00114369" w:rsidRPr="00114369">
        <w:rPr>
          <w:rFonts w:ascii="Garamond" w:hAnsi="Garamond"/>
          <w:iCs/>
          <w:lang w:val="en-US"/>
        </w:rPr>
        <w:t>https://www2.gov.scot/resource/doc/93488/0022476.pdf</w:t>
      </w:r>
    </w:p>
    <w:p w14:paraId="18AE4B98" w14:textId="53495404" w:rsidR="00F14A34" w:rsidRDefault="00F14A34" w:rsidP="00F14A34">
      <w:pPr>
        <w:pStyle w:val="Bibliography"/>
        <w:rPr>
          <w:rFonts w:ascii="Garamond" w:hAnsi="Garamond"/>
          <w:sz w:val="24"/>
        </w:rPr>
      </w:pPr>
      <w:r w:rsidRPr="00F14A34">
        <w:rPr>
          <w:rFonts w:ascii="Garamond" w:hAnsi="Garamond"/>
          <w:sz w:val="24"/>
        </w:rPr>
        <w:t>Page, E., 2009. Their Word is Law: Parliamentary Counsel and Creative Policy Analysis. Public Law 790–811.</w:t>
      </w:r>
    </w:p>
    <w:p w14:paraId="7196CED2" w14:textId="77777777" w:rsidR="00F14A34" w:rsidRPr="00F14A34" w:rsidRDefault="00F14A34" w:rsidP="00F14A34">
      <w:pPr>
        <w:pStyle w:val="Bibliography"/>
        <w:rPr>
          <w:rFonts w:ascii="Garamond" w:hAnsi="Garamond"/>
          <w:sz w:val="24"/>
        </w:rPr>
      </w:pPr>
      <w:r w:rsidRPr="00F14A34">
        <w:rPr>
          <w:rFonts w:ascii="Garamond" w:hAnsi="Garamond"/>
          <w:sz w:val="24"/>
        </w:rPr>
        <w:t>Petersson, S., 1999. Gender Neutral Drafting: Recent Commonwealth Developments. Statute Law Rev. 20, 35–65.</w:t>
      </w:r>
    </w:p>
    <w:p w14:paraId="41894EDE" w14:textId="0369C790" w:rsidR="00F14A34" w:rsidRPr="00F14A34" w:rsidDel="00442670" w:rsidRDefault="00F14A34" w:rsidP="00F14A34">
      <w:pPr>
        <w:pStyle w:val="Bibliography"/>
        <w:rPr>
          <w:rFonts w:ascii="Garamond" w:hAnsi="Garamond"/>
          <w:sz w:val="24"/>
        </w:rPr>
      </w:pPr>
      <w:r w:rsidRPr="00F14A34" w:rsidDel="00442670">
        <w:rPr>
          <w:rFonts w:ascii="Garamond" w:hAnsi="Garamond"/>
          <w:sz w:val="24"/>
        </w:rPr>
        <w:t xml:space="preserve">Petersson, S., 1998. Gender Neutral Drafting: Historical Perspective. Statute Law Rev. 19, 93–112. </w:t>
      </w:r>
    </w:p>
    <w:p w14:paraId="4BA368CC" w14:textId="77777777" w:rsidR="00F14A34" w:rsidRPr="00F14A34" w:rsidRDefault="00F14A34" w:rsidP="00F14A34">
      <w:pPr>
        <w:pStyle w:val="Bibliography"/>
        <w:rPr>
          <w:rFonts w:ascii="Garamond" w:hAnsi="Garamond"/>
          <w:sz w:val="24"/>
        </w:rPr>
      </w:pPr>
      <w:r w:rsidRPr="00F14A34">
        <w:rPr>
          <w:rFonts w:ascii="Garamond" w:hAnsi="Garamond"/>
          <w:sz w:val="24"/>
        </w:rPr>
        <w:t>Pottage, A., 2014. Law after Anthropology: Object and Technique in Roman Law. Theory Cult. Soc. 31, 147–166. https://doi.org/10.1177/0263276413502239</w:t>
      </w:r>
    </w:p>
    <w:p w14:paraId="56F84541" w14:textId="0B4C639E" w:rsidR="00F14A34" w:rsidRDefault="00F14A34" w:rsidP="00F14A34">
      <w:pPr>
        <w:pStyle w:val="Bibliography"/>
        <w:rPr>
          <w:rFonts w:ascii="Garamond" w:hAnsi="Garamond"/>
          <w:sz w:val="24"/>
        </w:rPr>
      </w:pPr>
      <w:r w:rsidRPr="00F14A34">
        <w:rPr>
          <w:rFonts w:ascii="Garamond" w:hAnsi="Garamond"/>
          <w:sz w:val="24"/>
        </w:rPr>
        <w:t>Pottage, A., Mundy, M., 2004. Law, Anthropology, and the Constitution of the Social: Making Persons and Things. Cambridge University Press.</w:t>
      </w:r>
    </w:p>
    <w:p w14:paraId="0C9653E8" w14:textId="03005F3E" w:rsidR="00236B22" w:rsidRDefault="00236B22" w:rsidP="00D9476B">
      <w:pPr>
        <w:ind w:left="709" w:hanging="709"/>
        <w:rPr>
          <w:rFonts w:ascii="Garamond" w:hAnsi="Garamond"/>
          <w:kern w:val="1"/>
          <w:sz w:val="24"/>
          <w:szCs w:val="24"/>
        </w:rPr>
      </w:pPr>
      <w:r w:rsidRPr="00E004A2">
        <w:rPr>
          <w:rFonts w:ascii="Garamond" w:hAnsi="Garamond"/>
          <w:kern w:val="1"/>
          <w:sz w:val="24"/>
          <w:szCs w:val="24"/>
        </w:rPr>
        <w:t>Quirk</w:t>
      </w:r>
      <w:r>
        <w:rPr>
          <w:rFonts w:ascii="Garamond" w:hAnsi="Garamond"/>
          <w:kern w:val="1"/>
          <w:sz w:val="24"/>
          <w:szCs w:val="24"/>
        </w:rPr>
        <w:t>,</w:t>
      </w:r>
      <w:r w:rsidR="008C4F9A">
        <w:rPr>
          <w:rFonts w:ascii="Garamond" w:hAnsi="Garamond"/>
          <w:kern w:val="1"/>
          <w:sz w:val="24"/>
          <w:szCs w:val="24"/>
        </w:rPr>
        <w:t xml:space="preserve"> R., Greenbaum, S., Leech, G., Svart</w:t>
      </w:r>
      <w:r w:rsidR="00677D83">
        <w:rPr>
          <w:rFonts w:ascii="Garamond" w:hAnsi="Garamond"/>
          <w:kern w:val="1"/>
          <w:sz w:val="24"/>
          <w:szCs w:val="24"/>
        </w:rPr>
        <w:t>v</w:t>
      </w:r>
      <w:r w:rsidR="008C4F9A">
        <w:rPr>
          <w:rFonts w:ascii="Garamond" w:hAnsi="Garamond"/>
          <w:kern w:val="1"/>
          <w:sz w:val="24"/>
          <w:szCs w:val="24"/>
        </w:rPr>
        <w:t>ik, J.</w:t>
      </w:r>
      <w:r w:rsidR="00140F70">
        <w:rPr>
          <w:rFonts w:ascii="Garamond" w:hAnsi="Garamond"/>
          <w:kern w:val="1"/>
          <w:sz w:val="24"/>
          <w:szCs w:val="24"/>
        </w:rPr>
        <w:t>,</w:t>
      </w:r>
      <w:r w:rsidR="008C4F9A">
        <w:rPr>
          <w:rFonts w:ascii="Garamond" w:hAnsi="Garamond"/>
          <w:kern w:val="1"/>
          <w:sz w:val="24"/>
          <w:szCs w:val="24"/>
        </w:rPr>
        <w:t xml:space="preserve"> 1972. </w:t>
      </w:r>
      <w:r w:rsidRPr="006C2233">
        <w:rPr>
          <w:rFonts w:ascii="Garamond" w:hAnsi="Garamond"/>
          <w:kern w:val="1"/>
          <w:sz w:val="24"/>
          <w:szCs w:val="24"/>
        </w:rPr>
        <w:t>Grammar of Contemporary English</w:t>
      </w:r>
      <w:r w:rsidR="008C4F9A">
        <w:rPr>
          <w:rFonts w:ascii="Garamond" w:hAnsi="Garamond"/>
          <w:kern w:val="1"/>
          <w:sz w:val="24"/>
          <w:szCs w:val="24"/>
        </w:rPr>
        <w:t xml:space="preserve">. </w:t>
      </w:r>
      <w:r w:rsidR="00D9476B">
        <w:rPr>
          <w:rFonts w:ascii="Garamond" w:hAnsi="Garamond"/>
          <w:kern w:val="1"/>
          <w:sz w:val="24"/>
          <w:szCs w:val="24"/>
        </w:rPr>
        <w:t>Longman.</w:t>
      </w:r>
    </w:p>
    <w:p w14:paraId="76206B5C" w14:textId="60427718" w:rsidR="001722DF" w:rsidRPr="004E377F" w:rsidRDefault="001722DF" w:rsidP="004E377F">
      <w:pPr>
        <w:ind w:left="709" w:hanging="709"/>
        <w:rPr>
          <w:iCs/>
        </w:rPr>
      </w:pPr>
      <w:r w:rsidRPr="004E377F">
        <w:rPr>
          <w:rFonts w:ascii="Garamond" w:hAnsi="Garamond"/>
          <w:iCs/>
          <w:kern w:val="1"/>
          <w:sz w:val="24"/>
          <w:szCs w:val="24"/>
        </w:rPr>
        <w:t xml:space="preserve">Quirk, R., </w:t>
      </w:r>
      <w:r w:rsidR="00B80861" w:rsidRPr="004E377F">
        <w:rPr>
          <w:rFonts w:ascii="Garamond" w:hAnsi="Garamond"/>
          <w:iCs/>
          <w:kern w:val="1"/>
          <w:sz w:val="24"/>
          <w:szCs w:val="24"/>
        </w:rPr>
        <w:t>Leech, G., Svartvik, J., 1985.</w:t>
      </w:r>
      <w:r w:rsidR="00B80861">
        <w:rPr>
          <w:rFonts w:ascii="Garamond" w:hAnsi="Garamond"/>
          <w:i/>
          <w:kern w:val="1"/>
          <w:sz w:val="24"/>
          <w:szCs w:val="24"/>
        </w:rPr>
        <w:t xml:space="preserve"> </w:t>
      </w:r>
      <w:r w:rsidRPr="006C2233">
        <w:rPr>
          <w:rFonts w:ascii="Garamond" w:hAnsi="Garamond"/>
          <w:kern w:val="1"/>
          <w:sz w:val="24"/>
          <w:szCs w:val="24"/>
        </w:rPr>
        <w:t>Comprehensive Grammar of the English Language</w:t>
      </w:r>
      <w:r w:rsidR="00873ADF">
        <w:rPr>
          <w:rFonts w:ascii="Garamond" w:hAnsi="Garamond"/>
          <w:iCs/>
          <w:kern w:val="1"/>
          <w:sz w:val="24"/>
          <w:szCs w:val="24"/>
        </w:rPr>
        <w:t xml:space="preserve">. </w:t>
      </w:r>
      <w:r w:rsidR="008377A4">
        <w:rPr>
          <w:rFonts w:ascii="Garamond" w:hAnsi="Garamond"/>
          <w:iCs/>
          <w:kern w:val="1"/>
          <w:sz w:val="24"/>
          <w:szCs w:val="24"/>
        </w:rPr>
        <w:t xml:space="preserve">Longman. </w:t>
      </w:r>
    </w:p>
    <w:p w14:paraId="0D85C514" w14:textId="7283510E" w:rsidR="00F14A34" w:rsidRPr="00F14A34" w:rsidRDefault="00F14A34" w:rsidP="00F14A34">
      <w:pPr>
        <w:pStyle w:val="Bibliography"/>
        <w:rPr>
          <w:rFonts w:ascii="Garamond" w:hAnsi="Garamond"/>
          <w:sz w:val="24"/>
        </w:rPr>
      </w:pPr>
      <w:r w:rsidRPr="00F14A34">
        <w:rPr>
          <w:rFonts w:ascii="Garamond" w:hAnsi="Garamond"/>
          <w:sz w:val="24"/>
        </w:rPr>
        <w:t xml:space="preserve">Revell, D., Schuh, C., Moisan, M., 1994. </w:t>
      </w:r>
      <w:r w:rsidR="00984C0D">
        <w:rPr>
          <w:rFonts w:ascii="Garamond" w:hAnsi="Garamond"/>
          <w:sz w:val="24"/>
        </w:rPr>
        <w:t>'</w:t>
      </w:r>
      <w:r w:rsidRPr="00F14A34">
        <w:rPr>
          <w:rFonts w:ascii="Garamond" w:hAnsi="Garamond"/>
          <w:sz w:val="24"/>
        </w:rPr>
        <w:t>Themsel</w:t>
      </w:r>
      <w:r w:rsidR="00984C0D">
        <w:rPr>
          <w:rFonts w:ascii="Garamond" w:hAnsi="Garamond"/>
          <w:sz w:val="24"/>
        </w:rPr>
        <w:t>f'</w:t>
      </w:r>
      <w:r w:rsidRPr="00F14A34">
        <w:rPr>
          <w:rFonts w:ascii="Garamond" w:hAnsi="Garamond"/>
          <w:sz w:val="24"/>
        </w:rPr>
        <w:t xml:space="preserve"> and Nonsexist Style in Canadian Legislative Drafting. Engl. Today Int. Rev. Engl. Lang. 10</w:t>
      </w:r>
      <w:r w:rsidR="00CC0B37">
        <w:rPr>
          <w:rFonts w:ascii="Garamond" w:hAnsi="Garamond"/>
          <w:sz w:val="24"/>
        </w:rPr>
        <w:t>(1), 10-17</w:t>
      </w:r>
      <w:r w:rsidRPr="00F14A34">
        <w:rPr>
          <w:rFonts w:ascii="Garamond" w:hAnsi="Garamond"/>
          <w:sz w:val="24"/>
        </w:rPr>
        <w:t>.</w:t>
      </w:r>
    </w:p>
    <w:p w14:paraId="5FE64A69" w14:textId="77777777" w:rsidR="00F14A34" w:rsidRPr="00F14A34" w:rsidRDefault="00F14A34" w:rsidP="00F14A34">
      <w:pPr>
        <w:pStyle w:val="Bibliography"/>
        <w:rPr>
          <w:rFonts w:ascii="Garamond" w:hAnsi="Garamond"/>
          <w:sz w:val="24"/>
        </w:rPr>
      </w:pPr>
      <w:r w:rsidRPr="00F14A34">
        <w:rPr>
          <w:rFonts w:ascii="Garamond" w:hAnsi="Garamond"/>
          <w:sz w:val="24"/>
        </w:rPr>
        <w:t>Revell, D., Vapnek, J., 2020. Gender-Silent Legislative Drafting in a Non-Binary World. Cap. Univ. Law Rev. 48, 103–147.</w:t>
      </w:r>
    </w:p>
    <w:p w14:paraId="20C17630" w14:textId="09B19D8B" w:rsidR="00F14A34" w:rsidRPr="00F14A34" w:rsidDel="00242CD6" w:rsidRDefault="00F14A34" w:rsidP="00F14A34">
      <w:pPr>
        <w:pStyle w:val="Bibliography"/>
        <w:rPr>
          <w:rFonts w:ascii="Garamond" w:hAnsi="Garamond"/>
          <w:sz w:val="24"/>
        </w:rPr>
      </w:pPr>
      <w:r w:rsidRPr="00F14A34" w:rsidDel="00242CD6">
        <w:rPr>
          <w:rFonts w:ascii="Garamond" w:hAnsi="Garamond"/>
          <w:sz w:val="24"/>
        </w:rPr>
        <w:t>Riles, A., 2016. Comparative Law and Socio-Legal Studies, in: The Oxford Handbook of Comparative Law. Oxford University Press, pp. 776–805.</w:t>
      </w:r>
    </w:p>
    <w:p w14:paraId="500F7A68" w14:textId="73BCB356" w:rsidR="00242CD6" w:rsidRPr="004E377F" w:rsidRDefault="00F14A34" w:rsidP="00A173DD">
      <w:pPr>
        <w:pStyle w:val="Bibliography"/>
      </w:pPr>
      <w:r w:rsidRPr="00F14A34">
        <w:rPr>
          <w:rFonts w:ascii="Garamond" w:hAnsi="Garamond"/>
          <w:sz w:val="24"/>
        </w:rPr>
        <w:t>Riles, A., 2006. (Deadlines): Removing the Brackets on Politics in Bureaucratic and Anthropological Analysis, in: Riles, A. (Ed.), Documents: Artifacts of Modern Knowledge. University of Michigan Press, pp. 71–94.</w:t>
      </w:r>
    </w:p>
    <w:p w14:paraId="7DBAE05B" w14:textId="472FC300" w:rsidR="00F14A34" w:rsidRPr="00F14A34" w:rsidDel="001F1560" w:rsidRDefault="00F14A34" w:rsidP="00F14A34">
      <w:pPr>
        <w:pStyle w:val="Bibliography"/>
        <w:rPr>
          <w:rFonts w:ascii="Garamond" w:hAnsi="Garamond"/>
          <w:sz w:val="24"/>
        </w:rPr>
      </w:pPr>
      <w:r w:rsidRPr="00F14A34" w:rsidDel="001F1560">
        <w:rPr>
          <w:rFonts w:ascii="Garamond" w:hAnsi="Garamond"/>
          <w:sz w:val="24"/>
        </w:rPr>
        <w:t>Ritchie, M., 1977. The Language of Oppression: Alice Talks Back. McGill Law J. 23, 535–544.</w:t>
      </w:r>
    </w:p>
    <w:p w14:paraId="053DEEA9" w14:textId="77777777" w:rsidR="00F14A34" w:rsidRPr="00F14A34" w:rsidRDefault="00F14A34" w:rsidP="00F14A34">
      <w:pPr>
        <w:pStyle w:val="Bibliography"/>
        <w:rPr>
          <w:rFonts w:ascii="Garamond" w:hAnsi="Garamond"/>
          <w:sz w:val="24"/>
        </w:rPr>
      </w:pPr>
      <w:r w:rsidRPr="00F14A34">
        <w:rPr>
          <w:rFonts w:ascii="Garamond" w:hAnsi="Garamond"/>
          <w:sz w:val="24"/>
        </w:rPr>
        <w:t>Ritchie, M., 1975. Alice through the Statutes: McGill Law J. 21, 685–707.</w:t>
      </w:r>
    </w:p>
    <w:p w14:paraId="33F97694" w14:textId="6448D167" w:rsidR="00F14A34" w:rsidRPr="00F14A34" w:rsidRDefault="00F14A34" w:rsidP="004E377F">
      <w:pPr>
        <w:pStyle w:val="Bibliography"/>
        <w:rPr>
          <w:rFonts w:ascii="Garamond" w:hAnsi="Garamond"/>
          <w:sz w:val="24"/>
        </w:rPr>
      </w:pPr>
      <w:r w:rsidRPr="00F14A34">
        <w:rPr>
          <w:rFonts w:ascii="Garamond" w:hAnsi="Garamond"/>
          <w:sz w:val="24"/>
        </w:rPr>
        <w:t>Salembier, P., 2015. Is Bad Grammar Good Policy? Legislative Use of the Singular ‘</w:t>
      </w:r>
      <w:r w:rsidR="00BB5D80">
        <w:rPr>
          <w:rFonts w:ascii="Garamond" w:hAnsi="Garamond"/>
          <w:sz w:val="24"/>
        </w:rPr>
        <w:t>T</w:t>
      </w:r>
      <w:r w:rsidRPr="00F14A34">
        <w:rPr>
          <w:rFonts w:ascii="Garamond" w:hAnsi="Garamond"/>
          <w:sz w:val="24"/>
        </w:rPr>
        <w:t>hey’</w:t>
      </w:r>
      <w:r w:rsidR="004E377F">
        <w:rPr>
          <w:rFonts w:ascii="Garamond" w:hAnsi="Garamond"/>
          <w:sz w:val="24"/>
        </w:rPr>
        <w:t>.</w:t>
      </w:r>
      <w:r w:rsidRPr="00F14A34">
        <w:rPr>
          <w:rFonts w:ascii="Garamond" w:hAnsi="Garamond"/>
          <w:sz w:val="24"/>
        </w:rPr>
        <w:t xml:space="preserve"> Statute Law Rev. 36, 175–185. </w:t>
      </w:r>
    </w:p>
    <w:p w14:paraId="2C2E7C26" w14:textId="222C01A6" w:rsidR="00F14A34" w:rsidRPr="00F14A34" w:rsidRDefault="00F14A34" w:rsidP="00F14A34">
      <w:pPr>
        <w:pStyle w:val="Bibliography"/>
        <w:rPr>
          <w:rFonts w:ascii="Garamond" w:hAnsi="Garamond"/>
          <w:sz w:val="24"/>
        </w:rPr>
      </w:pPr>
      <w:r w:rsidRPr="00F14A34">
        <w:rPr>
          <w:rFonts w:ascii="Garamond" w:hAnsi="Garamond"/>
          <w:sz w:val="24"/>
        </w:rPr>
        <w:t>Spender, D., 1980. M</w:t>
      </w:r>
      <w:r w:rsidR="00BB5D80">
        <w:rPr>
          <w:rFonts w:ascii="Garamond" w:hAnsi="Garamond"/>
          <w:sz w:val="24"/>
        </w:rPr>
        <w:t>an Made Language. Routledge &amp; Kegan</w:t>
      </w:r>
      <w:r w:rsidRPr="00F14A34">
        <w:rPr>
          <w:rFonts w:ascii="Garamond" w:hAnsi="Garamond"/>
          <w:sz w:val="24"/>
        </w:rPr>
        <w:t xml:space="preserve"> Paul.</w:t>
      </w:r>
    </w:p>
    <w:p w14:paraId="0E5D92ED" w14:textId="661951CA" w:rsidR="00F14A34" w:rsidRPr="00F14A34" w:rsidRDefault="00F14A34" w:rsidP="00F14A34">
      <w:pPr>
        <w:pStyle w:val="Bibliography"/>
        <w:rPr>
          <w:rFonts w:ascii="Garamond" w:hAnsi="Garamond"/>
          <w:sz w:val="24"/>
        </w:rPr>
      </w:pPr>
      <w:r w:rsidRPr="00F14A34">
        <w:rPr>
          <w:rFonts w:ascii="Garamond" w:hAnsi="Garamond"/>
          <w:sz w:val="24"/>
        </w:rPr>
        <w:t xml:space="preserve">Stefanou, C., 2015. Is </w:t>
      </w:r>
      <w:r w:rsidR="00BB5D80">
        <w:rPr>
          <w:rFonts w:ascii="Garamond" w:hAnsi="Garamond"/>
          <w:sz w:val="24"/>
        </w:rPr>
        <w:t>L</w:t>
      </w:r>
      <w:r w:rsidRPr="00F14A34">
        <w:rPr>
          <w:rFonts w:ascii="Garamond" w:hAnsi="Garamond"/>
          <w:sz w:val="24"/>
        </w:rPr>
        <w:t xml:space="preserve">egislative </w:t>
      </w:r>
      <w:r w:rsidR="00BB5D80">
        <w:rPr>
          <w:rFonts w:ascii="Garamond" w:hAnsi="Garamond"/>
          <w:sz w:val="24"/>
        </w:rPr>
        <w:t>D</w:t>
      </w:r>
      <w:r w:rsidRPr="00F14A34">
        <w:rPr>
          <w:rFonts w:ascii="Garamond" w:hAnsi="Garamond"/>
          <w:sz w:val="24"/>
        </w:rPr>
        <w:t xml:space="preserve">rafting a </w:t>
      </w:r>
      <w:r w:rsidR="00BB5D80">
        <w:rPr>
          <w:rFonts w:ascii="Garamond" w:hAnsi="Garamond"/>
          <w:sz w:val="24"/>
        </w:rPr>
        <w:t>F</w:t>
      </w:r>
      <w:r w:rsidRPr="00F14A34">
        <w:rPr>
          <w:rFonts w:ascii="Garamond" w:hAnsi="Garamond"/>
          <w:sz w:val="24"/>
        </w:rPr>
        <w:t xml:space="preserve">orm of </w:t>
      </w:r>
      <w:r w:rsidR="00BB5D80">
        <w:rPr>
          <w:rFonts w:ascii="Garamond" w:hAnsi="Garamond"/>
          <w:sz w:val="24"/>
        </w:rPr>
        <w:t>C</w:t>
      </w:r>
      <w:r w:rsidRPr="00F14A34">
        <w:rPr>
          <w:rFonts w:ascii="Garamond" w:hAnsi="Garamond"/>
          <w:sz w:val="24"/>
        </w:rPr>
        <w:t xml:space="preserve">ommunication?, in: </w:t>
      </w:r>
      <w:r w:rsidR="00BB5D80">
        <w:rPr>
          <w:rFonts w:ascii="Garamond" w:hAnsi="Garamond"/>
          <w:sz w:val="24"/>
        </w:rPr>
        <w:t xml:space="preserve">Xanthaki, H. (Ed.), </w:t>
      </w:r>
      <w:r w:rsidRPr="00F14A34">
        <w:rPr>
          <w:rFonts w:ascii="Garamond" w:hAnsi="Garamond"/>
          <w:sz w:val="24"/>
        </w:rPr>
        <w:t>Enhancing Legislative Drafting in the Commonwealth: A Wealth of Innovation. Routledge, pp. 4–13.</w:t>
      </w:r>
    </w:p>
    <w:p w14:paraId="36DA4EC3" w14:textId="77777777" w:rsidR="00F14A34" w:rsidRPr="00F14A34" w:rsidRDefault="00F14A34" w:rsidP="00F14A34">
      <w:pPr>
        <w:pStyle w:val="Bibliography"/>
        <w:rPr>
          <w:rFonts w:ascii="Garamond" w:hAnsi="Garamond"/>
          <w:sz w:val="24"/>
        </w:rPr>
      </w:pPr>
      <w:r w:rsidRPr="00F14A34">
        <w:rPr>
          <w:rFonts w:ascii="Garamond" w:hAnsi="Garamond"/>
          <w:sz w:val="24"/>
        </w:rPr>
        <w:t>Walker, C., 1990. Feminist Literary Criticism and the Author. Crit. Inq. 16, 551–571.</w:t>
      </w:r>
    </w:p>
    <w:p w14:paraId="414BFCBD" w14:textId="2EA513B9" w:rsidR="008B010A" w:rsidRPr="00D11C9D" w:rsidRDefault="008B010A" w:rsidP="00F14A34">
      <w:pPr>
        <w:pStyle w:val="Bibliography"/>
        <w:rPr>
          <w:rFonts w:ascii="Garamond" w:hAnsi="Garamond"/>
          <w:sz w:val="24"/>
          <w:szCs w:val="24"/>
        </w:rPr>
      </w:pPr>
      <w:r w:rsidRPr="00BB5D80">
        <w:rPr>
          <w:rFonts w:ascii="Garamond" w:hAnsi="Garamond"/>
          <w:sz w:val="24"/>
          <w:szCs w:val="24"/>
          <w:lang w:val="en-US"/>
        </w:rPr>
        <w:t>Welsh Government, 2018. Explanatory Memorandum on the Legislation (Wales) Bill, 3 December.</w:t>
      </w:r>
      <w:r w:rsidR="00BB5D80">
        <w:rPr>
          <w:rFonts w:ascii="Garamond" w:hAnsi="Garamond"/>
          <w:sz w:val="24"/>
          <w:szCs w:val="24"/>
          <w:lang w:val="en-US"/>
        </w:rPr>
        <w:t xml:space="preserve"> </w:t>
      </w:r>
      <w:r w:rsidR="00BB5D80" w:rsidRPr="00BB5D80">
        <w:rPr>
          <w:rFonts w:ascii="Garamond" w:hAnsi="Garamond"/>
          <w:sz w:val="24"/>
          <w:szCs w:val="24"/>
          <w:lang w:val="en-US"/>
        </w:rPr>
        <w:t>https://senedd.wales/laid%20documents/pri-ld11927-em/pri-ld11927-em-e.pdf</w:t>
      </w:r>
    </w:p>
    <w:p w14:paraId="700C5F4F" w14:textId="117C1010" w:rsidR="00F14A34" w:rsidRPr="00F14A34" w:rsidRDefault="00F14A34" w:rsidP="00F14A34">
      <w:pPr>
        <w:pStyle w:val="Bibliography"/>
        <w:rPr>
          <w:rFonts w:ascii="Garamond" w:hAnsi="Garamond"/>
          <w:sz w:val="24"/>
        </w:rPr>
      </w:pPr>
      <w:r w:rsidRPr="00F14A34">
        <w:rPr>
          <w:rFonts w:ascii="Garamond" w:hAnsi="Garamond"/>
          <w:sz w:val="24"/>
        </w:rPr>
        <w:t xml:space="preserve">Williams, C., 2008. The End of the ‘Masculine Rule’? Gender-Neutral Legislative Drafting in the United Kingdom and Ireland. Statute Law Rev. 29, 139–153. </w:t>
      </w:r>
    </w:p>
    <w:p w14:paraId="25B15D0D" w14:textId="77777777" w:rsidR="00F14A34" w:rsidRPr="00F14A34" w:rsidRDefault="00F14A34" w:rsidP="00F14A34">
      <w:pPr>
        <w:pStyle w:val="Bibliography"/>
        <w:rPr>
          <w:rFonts w:ascii="Garamond" w:hAnsi="Garamond"/>
          <w:sz w:val="24"/>
        </w:rPr>
      </w:pPr>
      <w:r w:rsidRPr="00F14A34">
        <w:rPr>
          <w:rFonts w:ascii="Garamond" w:hAnsi="Garamond"/>
          <w:sz w:val="24"/>
        </w:rPr>
        <w:t>Wilson, M., 2011. Sir William Dale Annual Memorial Lecture: Gender-Neutral Law Drafting: The Challenge of Translating Policy into Legislation. Eur. J. Law Reform 13, 199.</w:t>
      </w:r>
    </w:p>
    <w:p w14:paraId="48C54FAD" w14:textId="5A9F6D6A" w:rsidR="0070792F" w:rsidRPr="002221FF" w:rsidRDefault="0070792F" w:rsidP="0070792F">
      <w:pPr>
        <w:pStyle w:val="Bibliography"/>
        <w:rPr>
          <w:rFonts w:ascii="Garamond" w:hAnsi="Garamond"/>
          <w:sz w:val="24"/>
        </w:rPr>
      </w:pPr>
      <w:r w:rsidRPr="00F14A34">
        <w:rPr>
          <w:rFonts w:ascii="Garamond" w:hAnsi="Garamond"/>
          <w:sz w:val="24"/>
        </w:rPr>
        <w:t xml:space="preserve">Xanthaki, H., 2019. Gender </w:t>
      </w:r>
      <w:r>
        <w:rPr>
          <w:rFonts w:ascii="Garamond" w:hAnsi="Garamond"/>
          <w:sz w:val="24"/>
        </w:rPr>
        <w:t>I</w:t>
      </w:r>
      <w:r w:rsidRPr="00F14A34">
        <w:rPr>
          <w:rFonts w:ascii="Garamond" w:hAnsi="Garamond"/>
          <w:sz w:val="24"/>
        </w:rPr>
        <w:t xml:space="preserve">nclusive </w:t>
      </w:r>
      <w:r>
        <w:rPr>
          <w:rFonts w:ascii="Garamond" w:hAnsi="Garamond"/>
          <w:sz w:val="24"/>
        </w:rPr>
        <w:t>D</w:t>
      </w:r>
      <w:r w:rsidRPr="00F14A34">
        <w:rPr>
          <w:rFonts w:ascii="Garamond" w:hAnsi="Garamond"/>
          <w:sz w:val="24"/>
        </w:rPr>
        <w:t xml:space="preserve">rafting in English: A </w:t>
      </w:r>
      <w:r>
        <w:rPr>
          <w:rFonts w:ascii="Garamond" w:hAnsi="Garamond"/>
          <w:sz w:val="24"/>
        </w:rPr>
        <w:t>M</w:t>
      </w:r>
      <w:r w:rsidRPr="00F14A34">
        <w:rPr>
          <w:rFonts w:ascii="Garamond" w:hAnsi="Garamond"/>
          <w:sz w:val="24"/>
        </w:rPr>
        <w:t xml:space="preserve">atter of </w:t>
      </w:r>
      <w:r>
        <w:rPr>
          <w:rFonts w:ascii="Garamond" w:hAnsi="Garamond"/>
          <w:sz w:val="24"/>
        </w:rPr>
        <w:t>C</w:t>
      </w:r>
      <w:r w:rsidRPr="00F14A34">
        <w:rPr>
          <w:rFonts w:ascii="Garamond" w:hAnsi="Garamond"/>
          <w:sz w:val="24"/>
        </w:rPr>
        <w:t xml:space="preserve">larity. </w:t>
      </w:r>
      <w:r>
        <w:rPr>
          <w:rFonts w:ascii="Garamond" w:hAnsi="Garamond"/>
          <w:sz w:val="24"/>
        </w:rPr>
        <w:t>Unpublished; on f</w:t>
      </w:r>
      <w:r w:rsidRPr="00F14A34">
        <w:rPr>
          <w:rFonts w:ascii="Garamond" w:hAnsi="Garamond"/>
          <w:sz w:val="24"/>
        </w:rPr>
        <w:t>ile</w:t>
      </w:r>
      <w:r>
        <w:rPr>
          <w:rFonts w:ascii="Garamond" w:hAnsi="Garamond"/>
          <w:sz w:val="24"/>
        </w:rPr>
        <w:t xml:space="preserve"> with</w:t>
      </w:r>
      <w:r w:rsidRPr="00F14A34">
        <w:rPr>
          <w:rFonts w:ascii="Garamond" w:hAnsi="Garamond"/>
          <w:sz w:val="24"/>
        </w:rPr>
        <w:t xml:space="preserve"> </w:t>
      </w:r>
      <w:r>
        <w:rPr>
          <w:rFonts w:ascii="Garamond" w:hAnsi="Garamond"/>
          <w:sz w:val="24"/>
        </w:rPr>
        <w:t>a</w:t>
      </w:r>
      <w:r w:rsidRPr="00F14A34">
        <w:rPr>
          <w:rFonts w:ascii="Garamond" w:hAnsi="Garamond"/>
          <w:sz w:val="24"/>
        </w:rPr>
        <w:t>uthor.</w:t>
      </w:r>
    </w:p>
    <w:p w14:paraId="6401977E" w14:textId="4BE96D02" w:rsidR="002221FF" w:rsidRPr="00BB5D80" w:rsidDel="002221FF" w:rsidRDefault="00F14A34" w:rsidP="00BB5D80">
      <w:pPr>
        <w:pStyle w:val="Bibliography"/>
        <w:rPr>
          <w:rFonts w:ascii="Garamond" w:hAnsi="Garamond"/>
          <w:sz w:val="24"/>
        </w:rPr>
      </w:pPr>
      <w:r w:rsidRPr="00F14A34" w:rsidDel="002221FF">
        <w:rPr>
          <w:rFonts w:ascii="Garamond" w:hAnsi="Garamond"/>
          <w:sz w:val="24"/>
        </w:rPr>
        <w:t>Xanthaki, H. (Ed.), 2015. Enhancing Legislative Drafting in the Commonwealth: A Wealth of Innovation. Routledge.</w:t>
      </w:r>
    </w:p>
    <w:p w14:paraId="07110786" w14:textId="47676477" w:rsidR="00F14A34" w:rsidRDefault="00F14A34" w:rsidP="00F14A34">
      <w:pPr>
        <w:pStyle w:val="Bibliography"/>
        <w:rPr>
          <w:rFonts w:ascii="Garamond" w:hAnsi="Garamond"/>
          <w:sz w:val="24"/>
        </w:rPr>
      </w:pPr>
      <w:r w:rsidRPr="00F14A34">
        <w:rPr>
          <w:rFonts w:ascii="Garamond" w:hAnsi="Garamond"/>
          <w:sz w:val="24"/>
        </w:rPr>
        <w:t>Xanthaki, H., 2014. Drafting Legislation: Art and Technology of Rules for Regulation. Bloomsbury Publishing.</w:t>
      </w:r>
    </w:p>
    <w:p w14:paraId="335A4AFD" w14:textId="6964A71E" w:rsidR="00F14A34" w:rsidRPr="00F14A34" w:rsidRDefault="00F14A34" w:rsidP="00BB5D80">
      <w:pPr>
        <w:pStyle w:val="Bibliography"/>
        <w:ind w:left="0" w:firstLine="0"/>
        <w:rPr>
          <w:rFonts w:ascii="Garamond" w:hAnsi="Garamond"/>
          <w:sz w:val="24"/>
        </w:rPr>
      </w:pPr>
      <w:r w:rsidRPr="00F14A34" w:rsidDel="002221FF">
        <w:rPr>
          <w:rFonts w:ascii="Garamond" w:hAnsi="Garamond"/>
          <w:sz w:val="24"/>
        </w:rPr>
        <w:lastRenderedPageBreak/>
        <w:t>Xanthaki, H. (Ed.), 2013. Thornton’s Legislative Drafting. Bloomsbury</w:t>
      </w:r>
    </w:p>
    <w:p w14:paraId="471673AF" w14:textId="64E7BD26" w:rsidR="00BE7153" w:rsidRPr="00E004A2" w:rsidRDefault="00F14A34" w:rsidP="00BB63F0">
      <w:pPr>
        <w:tabs>
          <w:tab w:val="left" w:pos="720"/>
          <w:tab w:val="left" w:pos="1440"/>
          <w:tab w:val="left" w:pos="2160"/>
          <w:tab w:val="left" w:pos="2880"/>
          <w:tab w:val="left" w:pos="3600"/>
          <w:tab w:val="left" w:pos="4320"/>
        </w:tabs>
        <w:spacing w:line="480" w:lineRule="auto"/>
        <w:rPr>
          <w:rFonts w:ascii="Garamond" w:hAnsi="Garamond"/>
          <w:kern w:val="1"/>
          <w:sz w:val="24"/>
          <w:szCs w:val="24"/>
          <w:highlight w:val="white"/>
        </w:rPr>
      </w:pPr>
      <w:r>
        <w:rPr>
          <w:rFonts w:ascii="Garamond" w:hAnsi="Garamond"/>
          <w:bCs/>
          <w:kern w:val="1"/>
          <w:sz w:val="24"/>
          <w:szCs w:val="24"/>
          <w:highlight w:val="white"/>
        </w:rPr>
        <w:fldChar w:fldCharType="end"/>
      </w:r>
    </w:p>
    <w:sectPr w:rsidR="00BE7153" w:rsidRPr="00E004A2" w:rsidSect="004D04DC">
      <w:headerReference w:type="even" r:id="rId10"/>
      <w:headerReference w:type="default" r:id="rId11"/>
      <w:footerReference w:type="even" r:id="rId12"/>
      <w:footerReference w:type="default" r:id="rId13"/>
      <w:pgSz w:w="11904" w:h="16836"/>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1308" w14:textId="77777777" w:rsidR="00B963FE" w:rsidRDefault="00B963FE" w:rsidP="00BE7153">
      <w:r>
        <w:separator/>
      </w:r>
    </w:p>
  </w:endnote>
  <w:endnote w:type="continuationSeparator" w:id="0">
    <w:p w14:paraId="45F8397F" w14:textId="77777777" w:rsidR="00B963FE" w:rsidRDefault="00B963FE" w:rsidP="00BE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19589"/>
      <w:docPartObj>
        <w:docPartGallery w:val="Page Numbers (Bottom of Page)"/>
        <w:docPartUnique/>
      </w:docPartObj>
    </w:sdtPr>
    <w:sdtEndPr>
      <w:rPr>
        <w:noProof/>
        <w:sz w:val="22"/>
        <w:szCs w:val="22"/>
      </w:rPr>
    </w:sdtEndPr>
    <w:sdtContent>
      <w:p w14:paraId="6DB8BA7C" w14:textId="68EF4E08" w:rsidR="004D04DC" w:rsidRDefault="004D04DC">
        <w:pPr>
          <w:pStyle w:val="Footer"/>
          <w:jc w:val="center"/>
        </w:pPr>
        <w:r>
          <w:t>__________________________________________________________________________________________</w:t>
        </w:r>
      </w:p>
      <w:p w14:paraId="3F91843D" w14:textId="65336541" w:rsidR="004D04DC" w:rsidRDefault="004D04DC">
        <w:pPr>
          <w:pStyle w:val="Footer"/>
          <w:jc w:val="center"/>
        </w:pPr>
      </w:p>
      <w:p w14:paraId="2B9A8982" w14:textId="2239B410" w:rsidR="004D04DC" w:rsidRPr="004D04DC" w:rsidRDefault="004D04DC">
        <w:pPr>
          <w:pStyle w:val="Footer"/>
          <w:jc w:val="center"/>
          <w:rPr>
            <w:sz w:val="22"/>
            <w:szCs w:val="22"/>
          </w:rPr>
        </w:pPr>
        <w:r w:rsidRPr="004D04DC">
          <w:rPr>
            <w:sz w:val="22"/>
            <w:szCs w:val="22"/>
          </w:rPr>
          <w:fldChar w:fldCharType="begin"/>
        </w:r>
        <w:r w:rsidRPr="004D04DC">
          <w:rPr>
            <w:sz w:val="22"/>
            <w:szCs w:val="22"/>
          </w:rPr>
          <w:instrText xml:space="preserve"> PAGE   \* MERGEFORMAT </w:instrText>
        </w:r>
        <w:r w:rsidRPr="004D04DC">
          <w:rPr>
            <w:sz w:val="22"/>
            <w:szCs w:val="22"/>
          </w:rPr>
          <w:fldChar w:fldCharType="separate"/>
        </w:r>
        <w:r w:rsidR="009464D3">
          <w:rPr>
            <w:noProof/>
            <w:sz w:val="22"/>
            <w:szCs w:val="22"/>
          </w:rPr>
          <w:t>46</w:t>
        </w:r>
        <w:r w:rsidRPr="004D04DC">
          <w:rPr>
            <w:noProof/>
            <w:sz w:val="22"/>
            <w:szCs w:val="22"/>
          </w:rPr>
          <w:fldChar w:fldCharType="end"/>
        </w:r>
      </w:p>
    </w:sdtContent>
  </w:sdt>
  <w:p w14:paraId="0ED6BDB4" w14:textId="77777777" w:rsidR="00AB3405" w:rsidRDefault="00AB3405" w:rsidP="00BE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949450"/>
      <w:docPartObj>
        <w:docPartGallery w:val="Page Numbers (Bottom of Page)"/>
        <w:docPartUnique/>
      </w:docPartObj>
    </w:sdtPr>
    <w:sdtEndPr>
      <w:rPr>
        <w:noProof/>
      </w:rPr>
    </w:sdtEndPr>
    <w:sdtContent>
      <w:p w14:paraId="33E6B439" w14:textId="052048E0" w:rsidR="004D04DC" w:rsidRDefault="004D04DC">
        <w:pPr>
          <w:pStyle w:val="Footer"/>
          <w:jc w:val="center"/>
          <w:rPr>
            <w:sz w:val="22"/>
            <w:szCs w:val="22"/>
          </w:rPr>
        </w:pPr>
        <w:r>
          <w:rPr>
            <w:sz w:val="22"/>
            <w:szCs w:val="22"/>
          </w:rPr>
          <w:t>__________________________________________________________________________________</w:t>
        </w:r>
      </w:p>
      <w:p w14:paraId="4298691B" w14:textId="462C7BD4" w:rsidR="004D04DC" w:rsidRPr="004D04DC" w:rsidRDefault="004D04DC">
        <w:pPr>
          <w:pStyle w:val="Footer"/>
          <w:jc w:val="center"/>
          <w:rPr>
            <w:sz w:val="22"/>
            <w:szCs w:val="22"/>
          </w:rPr>
        </w:pPr>
      </w:p>
      <w:p w14:paraId="1F14F1A6" w14:textId="5D4FE7E7" w:rsidR="004D04DC" w:rsidRDefault="004D04DC">
        <w:pPr>
          <w:pStyle w:val="Footer"/>
          <w:jc w:val="center"/>
        </w:pPr>
        <w:r w:rsidRPr="004D04DC">
          <w:rPr>
            <w:sz w:val="22"/>
            <w:szCs w:val="22"/>
          </w:rPr>
          <w:fldChar w:fldCharType="begin"/>
        </w:r>
        <w:r w:rsidRPr="004D04DC">
          <w:rPr>
            <w:sz w:val="22"/>
            <w:szCs w:val="22"/>
          </w:rPr>
          <w:instrText xml:space="preserve"> PAGE   \* MERGEFORMAT </w:instrText>
        </w:r>
        <w:r w:rsidRPr="004D04DC">
          <w:rPr>
            <w:sz w:val="22"/>
            <w:szCs w:val="22"/>
          </w:rPr>
          <w:fldChar w:fldCharType="separate"/>
        </w:r>
        <w:r w:rsidR="009464D3">
          <w:rPr>
            <w:noProof/>
            <w:sz w:val="22"/>
            <w:szCs w:val="22"/>
          </w:rPr>
          <w:t>45</w:t>
        </w:r>
        <w:r w:rsidRPr="004D04DC">
          <w:rPr>
            <w:noProof/>
            <w:sz w:val="22"/>
            <w:szCs w:val="22"/>
          </w:rPr>
          <w:fldChar w:fldCharType="end"/>
        </w:r>
      </w:p>
    </w:sdtContent>
  </w:sdt>
  <w:p w14:paraId="6F4B3079" w14:textId="6205FB15" w:rsidR="004D04DC" w:rsidRPr="004D04DC" w:rsidRDefault="004D04DC" w:rsidP="004D0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E4DD" w14:textId="77777777" w:rsidR="00B963FE" w:rsidRDefault="00B963FE" w:rsidP="00BE7153">
      <w:r>
        <w:separator/>
      </w:r>
    </w:p>
  </w:footnote>
  <w:footnote w:type="continuationSeparator" w:id="0">
    <w:p w14:paraId="1F4553CB" w14:textId="77777777" w:rsidR="00B963FE" w:rsidRDefault="00B963FE" w:rsidP="00BE7153">
      <w:r>
        <w:continuationSeparator/>
      </w:r>
    </w:p>
  </w:footnote>
  <w:footnote w:id="1">
    <w:p w14:paraId="48CBBB3F" w14:textId="4EF282D9" w:rsidR="00AB3405" w:rsidRDefault="00AB3405">
      <w:pPr>
        <w:pStyle w:val="FootnoteText"/>
      </w:pPr>
      <w:r>
        <w:rPr>
          <w:rStyle w:val="FootnoteReference"/>
        </w:rPr>
        <w:t>*</w:t>
      </w:r>
      <w:r>
        <w:t xml:space="preserve"> </w:t>
      </w:r>
      <w:r w:rsidRPr="00A32B91">
        <w:rPr>
          <w:rFonts w:ascii="Garamond" w:hAnsi="Garamond"/>
          <w:sz w:val="20"/>
          <w:szCs w:val="20"/>
        </w:rPr>
        <w:t>Professor of Law, University of Kent</w:t>
      </w:r>
      <w:r>
        <w:rPr>
          <w:rFonts w:ascii="Garamond" w:hAnsi="Garamond"/>
          <w:sz w:val="20"/>
          <w:szCs w:val="20"/>
        </w:rPr>
        <w:t>, UK</w:t>
      </w:r>
      <w:r w:rsidRPr="00A32B91">
        <w:rPr>
          <w:rFonts w:ascii="Garamond" w:hAnsi="Garamond"/>
          <w:sz w:val="20"/>
          <w:szCs w:val="20"/>
        </w:rPr>
        <w:t>.</w:t>
      </w:r>
      <w:r>
        <w:rPr>
          <w:rFonts w:ascii="Garamond" w:hAnsi="Garamond"/>
          <w:sz w:val="20"/>
          <w:szCs w:val="20"/>
        </w:rPr>
        <w:t xml:space="preserve"> Email: </w:t>
      </w:r>
      <w:hyperlink r:id="rId1" w:history="1">
        <w:r w:rsidRPr="00F736B5">
          <w:rPr>
            <w:rStyle w:val="Hyperlink"/>
            <w:rFonts w:ascii="Garamond" w:hAnsi="Garamond"/>
            <w:sz w:val="20"/>
            <w:szCs w:val="20"/>
          </w:rPr>
          <w:t>e.grabham@kent.ac.uk</w:t>
        </w:r>
      </w:hyperlink>
      <w:r>
        <w:rPr>
          <w:rFonts w:ascii="Garamond" w:hAnsi="Garamond"/>
          <w:sz w:val="20"/>
          <w:szCs w:val="20"/>
        </w:rPr>
        <w:t xml:space="preserve"> </w:t>
      </w:r>
      <w:r w:rsidRPr="00A32B91">
        <w:rPr>
          <w:rFonts w:ascii="Garamond" w:hAnsi="Garamond"/>
          <w:sz w:val="20"/>
          <w:szCs w:val="20"/>
        </w:rPr>
        <w:t xml:space="preserve"> Many thanks to </w:t>
      </w:r>
      <w:proofErr w:type="spellStart"/>
      <w:r w:rsidRPr="00A32B91">
        <w:rPr>
          <w:rFonts w:ascii="Garamond" w:hAnsi="Garamond"/>
          <w:sz w:val="20"/>
          <w:szCs w:val="20"/>
        </w:rPr>
        <w:t>Tasniem</w:t>
      </w:r>
      <w:proofErr w:type="spellEnd"/>
      <w:r w:rsidRPr="00A32B91">
        <w:rPr>
          <w:rFonts w:ascii="Garamond" w:hAnsi="Garamond"/>
          <w:sz w:val="20"/>
          <w:szCs w:val="20"/>
        </w:rPr>
        <w:t xml:space="preserve"> Anwar, Davina Cooper, Alain Pottage, Flora Renz, Helen </w:t>
      </w:r>
      <w:proofErr w:type="spellStart"/>
      <w:r w:rsidRPr="00A32B91">
        <w:rPr>
          <w:rFonts w:ascii="Garamond" w:hAnsi="Garamond"/>
          <w:sz w:val="20"/>
          <w:szCs w:val="20"/>
        </w:rPr>
        <w:t>Xanthaki</w:t>
      </w:r>
      <w:proofErr w:type="spellEnd"/>
      <w:r w:rsidRPr="00A32B91">
        <w:rPr>
          <w:rFonts w:ascii="Garamond" w:hAnsi="Garamond"/>
          <w:sz w:val="20"/>
          <w:szCs w:val="20"/>
        </w:rPr>
        <w:t>, participants at a 2019 Future of Legal Gender colloquium where a first draft of this paper was shared, the people interviewed for</w:t>
      </w:r>
      <w:r w:rsidRPr="00645C76">
        <w:rPr>
          <w:rFonts w:ascii="Garamond" w:hAnsi="Garamond"/>
          <w:sz w:val="20"/>
          <w:szCs w:val="20"/>
        </w:rPr>
        <w:t xml:space="preserve"> this research, and the anonymous reviewers for </w:t>
      </w:r>
      <w:proofErr w:type="spellStart"/>
      <w:r w:rsidRPr="00645C76">
        <w:rPr>
          <w:rFonts w:ascii="Garamond" w:hAnsi="Garamond"/>
          <w:i/>
          <w:iCs/>
          <w:sz w:val="20"/>
          <w:szCs w:val="20"/>
        </w:rPr>
        <w:t>feminists@law</w:t>
      </w:r>
      <w:proofErr w:type="spellEnd"/>
      <w:r w:rsidRPr="00645C76">
        <w:rPr>
          <w:rFonts w:ascii="Garamond" w:hAnsi="Garamond"/>
          <w:i/>
          <w:iCs/>
          <w:sz w:val="20"/>
          <w:szCs w:val="20"/>
        </w:rPr>
        <w:t xml:space="preserve"> </w:t>
      </w:r>
      <w:r w:rsidRPr="00645C76">
        <w:rPr>
          <w:rFonts w:ascii="Garamond" w:hAnsi="Garamond"/>
          <w:sz w:val="20"/>
          <w:szCs w:val="20"/>
        </w:rPr>
        <w:t xml:space="preserve">for very valuable feedback on previous drafts of this article. Any errors are my own. This research has been </w:t>
      </w:r>
      <w:r w:rsidRPr="00A32B91">
        <w:rPr>
          <w:rFonts w:ascii="Garamond" w:hAnsi="Garamond"/>
          <w:sz w:val="20"/>
          <w:szCs w:val="20"/>
        </w:rPr>
        <w:t xml:space="preserve">funded by the ESRC through the Future of Legal Gender project, </w:t>
      </w:r>
      <w:r w:rsidRPr="00645C76">
        <w:rPr>
          <w:rFonts w:ascii="Garamond" w:hAnsi="Garamond"/>
          <w:sz w:val="20"/>
          <w:szCs w:val="20"/>
        </w:rPr>
        <w:t>ES/P008968/1.</w:t>
      </w:r>
    </w:p>
  </w:footnote>
  <w:footnote w:id="2">
    <w:p w14:paraId="3824BD07" w14:textId="6C7825CF"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I am using the term sex/gender for two reasons. First, sex/gender refers to the mutual inter-relationship between concepts, embodied experiences, and social processes that support sex and gender. This term acknowledges the power of processes of social gendering, which often incorporate dominant concepts about sex and in turn have very strongly affected how sex has been interpreted as a ‘fact’ by a wide range of social actors. Second, across many statutes and in wider literatures on legislative drafting, the terms sex and gender have not been used consistently to reference distinct social, physical or other facts or meanings. In this sense, I also use the term to reference the conceptual, semantic, and political unsteadiness of the words ‘sex’ and ‘gender’. Where necessary in the article, I refer to the precise term that drafters, statutes, or commentators themselves use.</w:t>
      </w:r>
    </w:p>
  </w:footnote>
  <w:footnote w:id="3">
    <w:p w14:paraId="305ACE7A" w14:textId="4AB5093E" w:rsidR="00AB3405" w:rsidRPr="00562C1A" w:rsidRDefault="00AB3405">
      <w:pPr>
        <w:pStyle w:val="FootnoteText"/>
        <w:rPr>
          <w:rFonts w:ascii="Garamond" w:hAnsi="Garamond"/>
          <w:sz w:val="20"/>
          <w:szCs w:val="20"/>
        </w:rPr>
      </w:pPr>
      <w:r w:rsidRPr="00645D9E">
        <w:rPr>
          <w:rStyle w:val="FootnoteReference"/>
        </w:rPr>
        <w:footnoteRef/>
      </w:r>
      <w:r w:rsidRPr="00562C1A">
        <w:rPr>
          <w:rFonts w:ascii="Garamond" w:hAnsi="Garamond"/>
          <w:sz w:val="20"/>
          <w:szCs w:val="20"/>
        </w:rPr>
        <w:t xml:space="preserve"> Some forms of secondary legislation do not require debate in Parliament. See further: </w:t>
      </w:r>
      <w:hyperlink r:id="rId2" w:history="1">
        <w:r w:rsidRPr="00562C1A">
          <w:rPr>
            <w:rStyle w:val="Hyperlink"/>
            <w:rFonts w:ascii="Garamond" w:hAnsi="Garamond"/>
            <w:sz w:val="20"/>
            <w:szCs w:val="20"/>
          </w:rPr>
          <w:t>https://www.parliament.uk/about/how/laws/secondary-legislation/</w:t>
        </w:r>
      </w:hyperlink>
      <w:r w:rsidRPr="00562C1A">
        <w:rPr>
          <w:rFonts w:ascii="Garamond" w:hAnsi="Garamond"/>
          <w:sz w:val="20"/>
          <w:szCs w:val="20"/>
        </w:rPr>
        <w:t xml:space="preserve"> (last accessed 24 September 2020).</w:t>
      </w:r>
    </w:p>
  </w:footnote>
  <w:footnote w:id="4">
    <w:p w14:paraId="7E89C22A" w14:textId="2E44D83B" w:rsidR="00AB3405" w:rsidRPr="00390183" w:rsidRDefault="00AB3405" w:rsidP="002D7F1F">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See further: </w:t>
      </w:r>
      <w:hyperlink r:id="rId3" w:history="1">
        <w:r w:rsidRPr="009456FA">
          <w:rPr>
            <w:rStyle w:val="Hyperlink"/>
            <w:rFonts w:ascii="Garamond" w:hAnsi="Garamond"/>
            <w:sz w:val="20"/>
            <w:szCs w:val="20"/>
          </w:rPr>
          <w:t>https://futureoflegalgender.kcl.ac.uk/</w:t>
        </w:r>
      </w:hyperlink>
    </w:p>
  </w:footnote>
  <w:footnote w:id="5">
    <w:p w14:paraId="08A1DBC5" w14:textId="5E163F1B"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This article draws on the data from one double interview and four single interviews of drafters and drafting experts in England, Wales, Scotland, Australia, and New Zealand, which took place between April 2018 and July 2020. Interviews were secured on the basis of longstanding research contacts, performed in person or via Skype, and transcribed for later analysis. This represents an adequate sample for the purposes of this article as the international community of legislative counsel is small and interviews with currently practicing drafters, in particular, are difficult </w:t>
      </w:r>
      <w:r w:rsidRPr="00103F3F">
        <w:rPr>
          <w:rFonts w:ascii="Garamond" w:hAnsi="Garamond"/>
          <w:sz w:val="20"/>
          <w:szCs w:val="20"/>
        </w:rPr>
        <w:t xml:space="preserve">to secure. In-depth interviews were also performed in the same period with five feminist scholars with experience </w:t>
      </w:r>
      <w:r w:rsidRPr="00390183">
        <w:rPr>
          <w:rFonts w:ascii="Garamond" w:hAnsi="Garamond"/>
          <w:sz w:val="20"/>
          <w:szCs w:val="20"/>
        </w:rPr>
        <w:t xml:space="preserve">in feminist judgment projects or legislative drafting. Care has been taken to anonymise participants unless particular identifying information is needed to explain context. </w:t>
      </w:r>
    </w:p>
  </w:footnote>
  <w:footnote w:id="6">
    <w:p w14:paraId="6EBBBCF9" w14:textId="611AB5EC"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Such an enquiry will in future turn to Marxist debates about legal form and their relation to capitalist modes of production, through engaging with the work of </w:t>
      </w:r>
      <w:proofErr w:type="spellStart"/>
      <w:r w:rsidRPr="00390183">
        <w:rPr>
          <w:rFonts w:ascii="Garamond" w:hAnsi="Garamond"/>
          <w:sz w:val="20"/>
          <w:szCs w:val="20"/>
        </w:rPr>
        <w:t>Evgeny</w:t>
      </w:r>
      <w:proofErr w:type="spellEnd"/>
      <w:r w:rsidRPr="00390183">
        <w:rPr>
          <w:rFonts w:ascii="Garamond" w:hAnsi="Garamond"/>
          <w:sz w:val="20"/>
          <w:szCs w:val="20"/>
        </w:rPr>
        <w:t xml:space="preserve"> </w:t>
      </w:r>
      <w:proofErr w:type="spellStart"/>
      <w:r w:rsidRPr="00390183">
        <w:rPr>
          <w:rFonts w:ascii="Garamond" w:hAnsi="Garamond"/>
          <w:sz w:val="20"/>
          <w:szCs w:val="20"/>
        </w:rPr>
        <w:t>Pashukanis</w:t>
      </w:r>
      <w:proofErr w:type="spellEnd"/>
      <w:r w:rsidRPr="00390183">
        <w:rPr>
          <w:rFonts w:ascii="Garamond" w:hAnsi="Garamond"/>
          <w:sz w:val="20"/>
          <w:szCs w:val="20"/>
        </w:rPr>
        <w:t xml:space="preserve"> and others. Many thanks to Davina Cooper for suggesting this line of analysis and to Moritz Neugebauer for increasing my understanding of the significance of </w:t>
      </w:r>
      <w:proofErr w:type="spellStart"/>
      <w:r w:rsidRPr="00390183">
        <w:rPr>
          <w:rFonts w:ascii="Garamond" w:hAnsi="Garamond"/>
          <w:sz w:val="20"/>
          <w:szCs w:val="20"/>
        </w:rPr>
        <w:t>Pashukanis</w:t>
      </w:r>
      <w:proofErr w:type="spellEnd"/>
      <w:r w:rsidRPr="00390183">
        <w:rPr>
          <w:rFonts w:ascii="Garamond" w:hAnsi="Garamond"/>
          <w:sz w:val="20"/>
          <w:szCs w:val="20"/>
        </w:rPr>
        <w:t>.</w:t>
      </w:r>
    </w:p>
  </w:footnote>
  <w:footnote w:id="7">
    <w:p w14:paraId="6EF5282E" w14:textId="77777777"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The singular ‘they’ is discussed further below.</w:t>
      </w:r>
    </w:p>
  </w:footnote>
  <w:footnote w:id="8">
    <w:p w14:paraId="5812B81A" w14:textId="69BE3EF9"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 xml:space="preserve">Contemporary writing on interpretation statutes still references its objects of simplification, the avoidance of repetition, the promotion of consistency of form and language, and the clarification of laws’ effects </w:t>
      </w:r>
      <w:r w:rsidRPr="00390183">
        <w:rPr>
          <w:rFonts w:ascii="Garamond" w:hAnsi="Garamond"/>
          <w:sz w:val="20"/>
          <w:szCs w:val="20"/>
          <w:lang w:val="en-US"/>
        </w:rPr>
        <w:fldChar w:fldCharType="begin"/>
      </w:r>
      <w:r>
        <w:rPr>
          <w:rFonts w:ascii="Garamond" w:hAnsi="Garamond"/>
          <w:sz w:val="20"/>
          <w:szCs w:val="20"/>
          <w:lang w:val="en-US"/>
        </w:rPr>
        <w:instrText xml:space="preserve"> ADDIN ZOTERO_ITEM CSL_CITATION {"citationID":"2ykNlNzI","properties":{"formattedCitation":"(Xanthaki, 2013, p. 127)","plainCitation":"(Xanthaki, 2013, p. 127)","noteIndex":9},"citationItems":[{"id":692,"uris":["http://zotero.org/users/1070015/items/WPIWQH4A"],"uri":["http://zotero.org/users/1070015/items/WPIWQH4A"],"itemData":{"id":692,"type":"book","publisher":"Bloomsbury","title":"Thornton's Legislative Drafting","editor":[{"family":"Xanthaki","given":"Helen"}],"issued":{"date-parts":[["2013"]]}},"locator":"127","label":"page"}],"schema":"https://github.com/citation-style-language/schema/raw/master/csl-citation.json"} </w:instrText>
      </w:r>
      <w:r w:rsidRPr="00390183">
        <w:rPr>
          <w:rFonts w:ascii="Garamond" w:hAnsi="Garamond"/>
          <w:sz w:val="20"/>
          <w:szCs w:val="20"/>
          <w:lang w:val="en-US"/>
        </w:rPr>
        <w:fldChar w:fldCharType="separate"/>
      </w:r>
      <w:r>
        <w:rPr>
          <w:rFonts w:ascii="Garamond" w:hAnsi="Garamond"/>
          <w:noProof/>
          <w:sz w:val="20"/>
          <w:szCs w:val="20"/>
          <w:lang w:val="en-US"/>
        </w:rPr>
        <w:t>(see Xanthaki, 2013, p. 127)</w:t>
      </w:r>
      <w:r w:rsidRPr="00390183">
        <w:rPr>
          <w:rFonts w:ascii="Garamond" w:hAnsi="Garamond"/>
          <w:sz w:val="20"/>
          <w:szCs w:val="20"/>
          <w:lang w:val="en-US"/>
        </w:rPr>
        <w:fldChar w:fldCharType="end"/>
      </w:r>
      <w:r w:rsidRPr="00390183">
        <w:rPr>
          <w:rFonts w:ascii="Garamond" w:hAnsi="Garamond"/>
          <w:sz w:val="20"/>
          <w:szCs w:val="20"/>
          <w:lang w:val="en-US"/>
        </w:rPr>
        <w:t>.</w:t>
      </w:r>
    </w:p>
  </w:footnote>
  <w:footnote w:id="9">
    <w:p w14:paraId="6D9D0227" w14:textId="279AE84D"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This point is the focus of ongoing research and due to limitations of space, will be addressed in future publications.</w:t>
      </w:r>
    </w:p>
  </w:footnote>
  <w:footnote w:id="10">
    <w:p w14:paraId="2E5C2E52" w14:textId="2B22403D"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proofErr w:type="spellStart"/>
      <w:r w:rsidRPr="00103F3F">
        <w:rPr>
          <w:rFonts w:ascii="Garamond" w:hAnsi="Garamond"/>
          <w:i/>
          <w:iCs/>
          <w:sz w:val="20"/>
          <w:szCs w:val="20"/>
          <w:lang w:val="en-US"/>
        </w:rPr>
        <w:t>Chorlton</w:t>
      </w:r>
      <w:proofErr w:type="spellEnd"/>
      <w:r w:rsidRPr="00103F3F">
        <w:rPr>
          <w:rFonts w:ascii="Garamond" w:hAnsi="Garamond"/>
          <w:i/>
          <w:iCs/>
          <w:sz w:val="20"/>
          <w:szCs w:val="20"/>
          <w:lang w:val="en-US"/>
        </w:rPr>
        <w:t xml:space="preserve"> v Lings</w:t>
      </w:r>
      <w:r w:rsidRPr="00390183">
        <w:rPr>
          <w:rFonts w:ascii="Garamond" w:hAnsi="Garamond"/>
          <w:sz w:val="20"/>
          <w:szCs w:val="20"/>
          <w:lang w:val="en-US"/>
        </w:rPr>
        <w:t xml:space="preserve"> (1868) L.R. 4. C.P. 374. See further </w:t>
      </w:r>
      <w:r w:rsidRPr="00390183">
        <w:rPr>
          <w:rFonts w:ascii="Garamond" w:hAnsi="Garamond"/>
          <w:sz w:val="20"/>
          <w:szCs w:val="20"/>
          <w:lang w:val="en-US"/>
        </w:rPr>
        <w:fldChar w:fldCharType="begin"/>
      </w:r>
      <w:r>
        <w:rPr>
          <w:rFonts w:ascii="Garamond" w:hAnsi="Garamond"/>
          <w:sz w:val="20"/>
          <w:szCs w:val="20"/>
          <w:lang w:val="en-US"/>
        </w:rPr>
        <w:instrText xml:space="preserve"> ADDIN ZOTERO_ITEM CSL_CITATION {"citationID":"Nx99Hfqu","properties":{"formattedCitation":"(Ritchie, 1975, p. 693)","plainCitation":"(Ritchie, 1975, p. 693)","noteIndex":11},"citationItems":[{"id":691,"uris":["http://zotero.org/users/1070015/items/R8H5JL5U"],"uri":["http://zotero.org/users/1070015/items/R8H5JL5U"],"itemData":{"id":691,"type":"article-journal","container-title":"McGill Law Journal","page":"685-707","title":"Alice through the Statutes:","volume":"21","author":[{"family":"Ritchie","given":"Margeurite"}],"issued":{"date-parts":[["1975"]]}},"locator":"693","label":"page"}],"schema":"https://github.com/citation-style-language/schema/raw/master/csl-citation.json"} </w:instrText>
      </w:r>
      <w:r w:rsidRPr="00390183">
        <w:rPr>
          <w:rFonts w:ascii="Garamond" w:hAnsi="Garamond"/>
          <w:sz w:val="20"/>
          <w:szCs w:val="20"/>
          <w:lang w:val="en-US"/>
        </w:rPr>
        <w:fldChar w:fldCharType="separate"/>
      </w:r>
      <w:r>
        <w:rPr>
          <w:rFonts w:ascii="Garamond" w:hAnsi="Garamond"/>
          <w:noProof/>
          <w:sz w:val="20"/>
          <w:szCs w:val="20"/>
          <w:lang w:val="en-US"/>
        </w:rPr>
        <w:t>Ritchie (1975, p. 693)</w:t>
      </w:r>
      <w:r w:rsidRPr="00390183">
        <w:rPr>
          <w:rFonts w:ascii="Garamond" w:hAnsi="Garamond"/>
          <w:sz w:val="20"/>
          <w:szCs w:val="20"/>
          <w:lang w:val="en-US"/>
        </w:rPr>
        <w:fldChar w:fldCharType="end"/>
      </w:r>
      <w:r w:rsidRPr="00390183">
        <w:rPr>
          <w:rFonts w:ascii="Garamond" w:hAnsi="Garamond"/>
          <w:sz w:val="20"/>
          <w:szCs w:val="20"/>
          <w:lang w:val="en-US"/>
        </w:rPr>
        <w:t>.</w:t>
      </w:r>
    </w:p>
  </w:footnote>
  <w:footnote w:id="11">
    <w:p w14:paraId="042285ED" w14:textId="5C073648"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w:t>
      </w:r>
      <w:r w:rsidRPr="00390183">
        <w:rPr>
          <w:rFonts w:ascii="Garamond" w:hAnsi="Garamond"/>
          <w:kern w:val="1"/>
          <w:sz w:val="20"/>
          <w:szCs w:val="20"/>
        </w:rPr>
        <w:t>Yet this does not mean that drafters have not been, and are not, influenced by such rules. As interview participants stated above, the masculine rule itself is taken to have driven the way that drafters approached legislative expression of gender from the mid</w:t>
      </w:r>
      <w:r>
        <w:rPr>
          <w:rFonts w:ascii="Garamond" w:hAnsi="Garamond"/>
          <w:kern w:val="1"/>
          <w:sz w:val="20"/>
          <w:szCs w:val="20"/>
        </w:rPr>
        <w:t>-</w:t>
      </w:r>
      <w:r w:rsidRPr="00390183">
        <w:rPr>
          <w:rFonts w:ascii="Garamond" w:hAnsi="Garamond"/>
          <w:kern w:val="1"/>
          <w:sz w:val="20"/>
          <w:szCs w:val="20"/>
        </w:rPr>
        <w:t xml:space="preserve">nineteenth century onwards. Furthermore, Margaret Wilson recalls from her experience in the New Zealand context that it was </w:t>
      </w:r>
      <w:r w:rsidRPr="00390183">
        <w:rPr>
          <w:rFonts w:ascii="Garamond" w:hAnsi="Garamond"/>
          <w:color w:val="000000"/>
          <w:sz w:val="20"/>
          <w:szCs w:val="20"/>
        </w:rPr>
        <w:t xml:space="preserve">‘difficult to get policy makers and drafters to understand that the male pronoun did not include women’ </w:t>
      </w:r>
      <w:r w:rsidRPr="00390183">
        <w:rPr>
          <w:rFonts w:ascii="Garamond" w:hAnsi="Garamond"/>
          <w:color w:val="000000"/>
          <w:sz w:val="20"/>
          <w:szCs w:val="20"/>
        </w:rPr>
        <w:fldChar w:fldCharType="begin"/>
      </w:r>
      <w:r>
        <w:rPr>
          <w:rFonts w:ascii="Garamond" w:hAnsi="Garamond"/>
          <w:color w:val="000000"/>
          <w:sz w:val="20"/>
          <w:szCs w:val="20"/>
        </w:rPr>
        <w:instrText xml:space="preserve"> ADDIN ZOTERO_ITEM CSL_CITATION {"citationID":"9jFy38XO","properties":{"formattedCitation":"(Wilson, 2011, p. 205)","plainCitation":"(Wilson, 2011, p. 205)","noteIndex":12},"citationItems":[{"id":747,"uris":["http://zotero.org/users/1070015/items/JNBYNXQP"],"uri":["http://zotero.org/users/1070015/items/JNBYNXQP"],"itemData":{"id":747,"type":"article-journal","container-title":"European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Lecture","volume":"13","author":[{"family":"Wilson","given":"Margaret"}],"issued":{"date-parts":[["2011"]]}},"locator":"205","label":"page"}],"schema":"https://github.com/citation-style-language/schema/raw/master/csl-citation.json"} </w:instrText>
      </w:r>
      <w:r w:rsidRPr="00390183">
        <w:rPr>
          <w:rFonts w:ascii="Garamond" w:hAnsi="Garamond"/>
          <w:color w:val="000000"/>
          <w:sz w:val="20"/>
          <w:szCs w:val="20"/>
        </w:rPr>
        <w:fldChar w:fldCharType="separate"/>
      </w:r>
      <w:r>
        <w:rPr>
          <w:rFonts w:ascii="Garamond" w:hAnsi="Garamond"/>
          <w:noProof/>
          <w:color w:val="000000"/>
          <w:sz w:val="20"/>
          <w:szCs w:val="20"/>
        </w:rPr>
        <w:t>(Wilson, 2011, p. 205)</w:t>
      </w:r>
      <w:r w:rsidRPr="00390183">
        <w:rPr>
          <w:rFonts w:ascii="Garamond" w:hAnsi="Garamond"/>
          <w:color w:val="000000"/>
          <w:sz w:val="20"/>
          <w:szCs w:val="20"/>
        </w:rPr>
        <w:fldChar w:fldCharType="end"/>
      </w:r>
      <w:r w:rsidRPr="00390183">
        <w:rPr>
          <w:rFonts w:ascii="Garamond" w:hAnsi="Garamond"/>
          <w:color w:val="000000"/>
          <w:sz w:val="20"/>
          <w:szCs w:val="20"/>
        </w:rPr>
        <w:t>.</w:t>
      </w:r>
    </w:p>
  </w:footnote>
  <w:footnote w:id="12">
    <w:p w14:paraId="2E4BEFBB" w14:textId="53F5A022"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rPr>
        <w:t xml:space="preserve"> </w:t>
      </w:r>
      <w:r w:rsidRPr="00390183">
        <w:rPr>
          <w:rFonts w:ascii="Garamond" w:hAnsi="Garamond"/>
          <w:sz w:val="20"/>
          <w:szCs w:val="20"/>
          <w:lang w:val="en-US"/>
        </w:rPr>
        <w:t>Acts Interpretation Amendment Act 1984 (</w:t>
      </w:r>
      <w:proofErr w:type="spellStart"/>
      <w:r w:rsidRPr="00390183">
        <w:rPr>
          <w:rFonts w:ascii="Garamond" w:hAnsi="Garamond"/>
          <w:sz w:val="20"/>
          <w:szCs w:val="20"/>
          <w:lang w:val="en-US"/>
        </w:rPr>
        <w:t>Cth</w:t>
      </w:r>
      <w:proofErr w:type="spellEnd"/>
      <w:r w:rsidRPr="00390183">
        <w:rPr>
          <w:rFonts w:ascii="Garamond" w:hAnsi="Garamond"/>
          <w:sz w:val="20"/>
          <w:szCs w:val="20"/>
          <w:lang w:val="en-US"/>
        </w:rPr>
        <w:t xml:space="preserve">) no 27 s 11; see </w:t>
      </w:r>
      <w:r w:rsidRPr="00390183">
        <w:rPr>
          <w:rFonts w:ascii="Garamond" w:hAnsi="Garamond"/>
          <w:sz w:val="20"/>
          <w:szCs w:val="20"/>
          <w:lang w:val="en-US"/>
        </w:rPr>
        <w:fldChar w:fldCharType="begin"/>
      </w:r>
      <w:r>
        <w:rPr>
          <w:rFonts w:ascii="Garamond" w:hAnsi="Garamond"/>
          <w:sz w:val="20"/>
          <w:szCs w:val="20"/>
          <w:lang w:val="en-US"/>
        </w:rPr>
        <w:instrText xml:space="preserve"> ADDIN ZOTERO_ITEM CSL_CITATION {"citationID":"pUo61Hks","properties":{"formattedCitation":"(Petersson, 1999, p. 43)","plainCitation":"(Petersson, 1999, p. 43)","noteIndex":13},"citationItems":[{"id":686,"uris":["http://zotero.org/users/1070015/items/P39IM835"],"uri":["http://zotero.org/users/1070015/items/P39IM835"],"itemData":{"id":686,"type":"article-journal","container-title":"Statute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Developments","volume":"20","author":[{"family":"Petersson","given":"Sandra"}],"issued":{"date-parts":[["1999"]]}},"locator":"43","label":"page"}],"schema":"https://github.com/citation-style-language/schema/raw/master/csl-citation.json"} </w:instrText>
      </w:r>
      <w:r w:rsidRPr="00390183">
        <w:rPr>
          <w:rFonts w:ascii="Garamond" w:hAnsi="Garamond"/>
          <w:sz w:val="20"/>
          <w:szCs w:val="20"/>
          <w:lang w:val="en-US"/>
        </w:rPr>
        <w:fldChar w:fldCharType="separate"/>
      </w:r>
      <w:r>
        <w:rPr>
          <w:rFonts w:ascii="Garamond" w:hAnsi="Garamond"/>
          <w:noProof/>
          <w:sz w:val="20"/>
          <w:szCs w:val="20"/>
          <w:lang w:val="en-US"/>
        </w:rPr>
        <w:t>Petersson (1999, p. 43)</w:t>
      </w:r>
      <w:r w:rsidRPr="00390183">
        <w:rPr>
          <w:rFonts w:ascii="Garamond" w:hAnsi="Garamond"/>
          <w:sz w:val="20"/>
          <w:szCs w:val="20"/>
          <w:lang w:val="en-US"/>
        </w:rPr>
        <w:fldChar w:fldCharType="end"/>
      </w:r>
      <w:r w:rsidRPr="00390183">
        <w:rPr>
          <w:rFonts w:ascii="Garamond" w:hAnsi="Garamond"/>
          <w:sz w:val="20"/>
          <w:szCs w:val="20"/>
          <w:lang w:val="en-US"/>
        </w:rPr>
        <w:t>.</w:t>
      </w:r>
    </w:p>
  </w:footnote>
  <w:footnote w:id="13">
    <w:p w14:paraId="43772FE1" w14:textId="77777777"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rPr>
        <w:t xml:space="preserve"> </w:t>
      </w:r>
      <w:r w:rsidRPr="00390183">
        <w:rPr>
          <w:rFonts w:ascii="Garamond" w:hAnsi="Garamond"/>
          <w:sz w:val="20"/>
          <w:szCs w:val="20"/>
          <w:lang w:val="en-US"/>
        </w:rPr>
        <w:t>Section 71, Explanatory Notes to the Legislation (Wales) Act 2019.</w:t>
      </w:r>
    </w:p>
  </w:footnote>
  <w:footnote w:id="14">
    <w:p w14:paraId="4E749F55" w14:textId="77777777" w:rsidR="00AB3405" w:rsidRPr="00390183" w:rsidRDefault="00AB3405" w:rsidP="00153019">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See section 25(1)(a) Legislation Act 2012: </w:t>
      </w:r>
    </w:p>
    <w:p w14:paraId="6B115C7D" w14:textId="77777777" w:rsidR="00AB3405" w:rsidRPr="00390183" w:rsidRDefault="00AB3405" w:rsidP="00153019">
      <w:pPr>
        <w:autoSpaceDE/>
        <w:autoSpaceDN/>
        <w:adjustRightInd/>
        <w:rPr>
          <w:rFonts w:ascii="Garamond" w:hAnsi="Garamond" w:cs="Times New Roman"/>
        </w:rPr>
      </w:pPr>
      <w:r w:rsidRPr="00390183">
        <w:rPr>
          <w:rFonts w:ascii="Garamond" w:hAnsi="Garamond" w:cs="Times New Roman"/>
        </w:rPr>
        <w:t>The Chief Parliamentary Counsel may make the following changes in a reprint:</w:t>
      </w:r>
    </w:p>
    <w:p w14:paraId="141614BC" w14:textId="77777777" w:rsidR="00AB3405" w:rsidRPr="00390183" w:rsidRDefault="00AB3405" w:rsidP="00153019">
      <w:pPr>
        <w:autoSpaceDE/>
        <w:autoSpaceDN/>
        <w:adjustRightInd/>
        <w:outlineLvl w:val="4"/>
        <w:rPr>
          <w:rFonts w:ascii="Garamond" w:eastAsia="Times New Roman" w:hAnsi="Garamond" w:cs="Times New Roman"/>
          <w:b/>
          <w:bCs/>
        </w:rPr>
      </w:pPr>
      <w:r w:rsidRPr="00390183">
        <w:rPr>
          <w:rFonts w:ascii="Garamond" w:eastAsia="Times New Roman" w:hAnsi="Garamond" w:cs="Times New Roman"/>
          <w:bCs/>
        </w:rPr>
        <w:t>(a)</w:t>
      </w:r>
      <w:r w:rsidRPr="00390183">
        <w:rPr>
          <w:rFonts w:ascii="Garamond" w:eastAsia="Times New Roman" w:hAnsi="Garamond" w:cs="Times New Roman"/>
          <w:b/>
          <w:bCs/>
        </w:rPr>
        <w:t xml:space="preserve"> </w:t>
      </w:r>
      <w:r w:rsidRPr="00390183">
        <w:rPr>
          <w:rFonts w:ascii="Garamond" w:hAnsi="Garamond" w:cs="Times New Roman"/>
        </w:rPr>
        <w:t>language that indicates or could be taken to indicate a particular gender may be changed to gender-neutral language so that it is consistent with current drafting practice, as long as it is also consistent with the purpose of the legislation being reprinted:</w:t>
      </w:r>
    </w:p>
    <w:p w14:paraId="2E262460" w14:textId="77777777" w:rsidR="00AB3405" w:rsidRPr="00390183" w:rsidRDefault="00AB3405" w:rsidP="00153019">
      <w:pPr>
        <w:autoSpaceDE/>
        <w:autoSpaceDN/>
        <w:adjustRightInd/>
        <w:outlineLvl w:val="5"/>
        <w:rPr>
          <w:rFonts w:ascii="Garamond" w:eastAsia="Times New Roman" w:hAnsi="Garamond" w:cs="Times New Roman"/>
          <w:b/>
          <w:bCs/>
        </w:rPr>
      </w:pPr>
      <w:r w:rsidRPr="00390183">
        <w:rPr>
          <w:rFonts w:ascii="Garamond" w:eastAsia="Times New Roman" w:hAnsi="Garamond" w:cs="Times New Roman"/>
          <w:b/>
          <w:bCs/>
        </w:rPr>
        <w:t>Examples</w:t>
      </w:r>
    </w:p>
    <w:p w14:paraId="084E3392" w14:textId="77777777" w:rsidR="00AB3405" w:rsidRPr="00390183" w:rsidRDefault="00AB3405" w:rsidP="00153019">
      <w:pPr>
        <w:autoSpaceDE/>
        <w:autoSpaceDN/>
        <w:adjustRightInd/>
        <w:rPr>
          <w:rFonts w:ascii="Garamond" w:hAnsi="Garamond" w:cs="Times New Roman"/>
        </w:rPr>
      </w:pPr>
      <w:r w:rsidRPr="00390183">
        <w:rPr>
          <w:rFonts w:ascii="Garamond" w:hAnsi="Garamond" w:cs="Times New Roman"/>
        </w:rPr>
        <w:t>The word “he” may be changed to “he or she”, or replaced with the relevant noun.</w:t>
      </w:r>
    </w:p>
    <w:p w14:paraId="3B1D2076" w14:textId="77777777" w:rsidR="00AB3405" w:rsidRPr="00390183" w:rsidRDefault="00AB3405" w:rsidP="00153019">
      <w:pPr>
        <w:autoSpaceDE/>
        <w:autoSpaceDN/>
        <w:adjustRightInd/>
        <w:rPr>
          <w:rFonts w:ascii="Garamond" w:hAnsi="Garamond" w:cs="Times New Roman"/>
        </w:rPr>
      </w:pPr>
      <w:r w:rsidRPr="00390183">
        <w:rPr>
          <w:rFonts w:ascii="Garamond" w:hAnsi="Garamond" w:cs="Times New Roman"/>
        </w:rPr>
        <w:t>The word “chairman” may be changed to “chairperson”.</w:t>
      </w:r>
    </w:p>
    <w:p w14:paraId="67732016" w14:textId="77777777" w:rsidR="00AB3405" w:rsidRPr="00390183" w:rsidRDefault="00AB3405" w:rsidP="00153019">
      <w:pPr>
        <w:autoSpaceDE/>
        <w:autoSpaceDN/>
        <w:adjustRightInd/>
        <w:rPr>
          <w:rFonts w:ascii="Garamond" w:hAnsi="Garamond" w:cs="Times New Roman"/>
        </w:rPr>
      </w:pPr>
      <w:r w:rsidRPr="00390183">
        <w:rPr>
          <w:rFonts w:ascii="Garamond" w:hAnsi="Garamond" w:cs="Times New Roman"/>
        </w:rPr>
        <w:t>The words “Her Majesty the Queen” may be changed to “the Sovereign”.</w:t>
      </w:r>
    </w:p>
    <w:p w14:paraId="46A2E84C" w14:textId="77777777" w:rsidR="00AB3405" w:rsidRPr="00390183" w:rsidRDefault="00AB3405">
      <w:pPr>
        <w:pStyle w:val="FootnoteText"/>
        <w:rPr>
          <w:rFonts w:ascii="Garamond" w:hAnsi="Garamond"/>
          <w:lang w:val="en-US"/>
        </w:rPr>
      </w:pPr>
    </w:p>
  </w:footnote>
  <w:footnote w:id="15">
    <w:p w14:paraId="41C73B3A" w14:textId="15CD8966" w:rsidR="009464D3" w:rsidRDefault="009464D3">
      <w:pPr>
        <w:pStyle w:val="FootnoteText"/>
      </w:pPr>
      <w:r>
        <w:rPr>
          <w:rStyle w:val="FootnoteReference"/>
        </w:rPr>
        <w:footnoteRef/>
      </w:r>
      <w:r>
        <w:t xml:space="preserve"> </w:t>
      </w:r>
      <w:r w:rsidRPr="00390183">
        <w:rPr>
          <w:rFonts w:ascii="Garamond" w:hAnsi="Garamond"/>
          <w:sz w:val="20"/>
          <w:szCs w:val="20"/>
          <w:lang w:val="en-US"/>
        </w:rPr>
        <w:t>HL Deb 12 Dec 2013, col 1011</w:t>
      </w:r>
      <w:r>
        <w:rPr>
          <w:rFonts w:ascii="Garamond" w:hAnsi="Garamond"/>
          <w:sz w:val="20"/>
          <w:szCs w:val="20"/>
          <w:lang w:val="en-US"/>
        </w:rPr>
        <w:t>.</w:t>
      </w:r>
    </w:p>
  </w:footnote>
  <w:footnote w:id="16">
    <w:p w14:paraId="2F4E2568" w14:textId="7D295208" w:rsidR="009464D3" w:rsidRDefault="009464D3">
      <w:pPr>
        <w:pStyle w:val="FootnoteText"/>
      </w:pPr>
      <w:r>
        <w:rPr>
          <w:rStyle w:val="FootnoteReference"/>
        </w:rPr>
        <w:footnoteRef/>
      </w:r>
      <w:r>
        <w:t xml:space="preserve"> </w:t>
      </w:r>
      <w:r w:rsidRPr="00390183">
        <w:rPr>
          <w:rFonts w:ascii="Garamond" w:hAnsi="Garamond"/>
          <w:sz w:val="20"/>
          <w:szCs w:val="20"/>
          <w:lang w:val="en-US"/>
        </w:rPr>
        <w:t>HC Deb 8 March 2007, col 146 WS.</w:t>
      </w:r>
    </w:p>
  </w:footnote>
  <w:footnote w:id="17">
    <w:p w14:paraId="73ABFA3A" w14:textId="30D82F2F" w:rsidR="009464D3" w:rsidRPr="009464D3" w:rsidRDefault="009464D3">
      <w:pPr>
        <w:pStyle w:val="FootnoteText"/>
        <w:rPr>
          <w:rFonts w:ascii="Garamond" w:hAnsi="Garamond"/>
          <w:sz w:val="20"/>
          <w:szCs w:val="20"/>
        </w:rPr>
      </w:pPr>
      <w:r w:rsidRPr="009464D3">
        <w:rPr>
          <w:rStyle w:val="FootnoteReference"/>
          <w:rFonts w:asciiTheme="minorHAnsi" w:hAnsiTheme="minorHAnsi" w:cstheme="minorHAnsi"/>
        </w:rPr>
        <w:footnoteRef/>
      </w:r>
      <w:r w:rsidRPr="009464D3">
        <w:rPr>
          <w:rFonts w:ascii="Garamond" w:hAnsi="Garamond"/>
          <w:sz w:val="20"/>
          <w:szCs w:val="20"/>
        </w:rPr>
        <w:t xml:space="preserve"> Ibid.</w:t>
      </w:r>
    </w:p>
  </w:footnote>
  <w:footnote w:id="18">
    <w:p w14:paraId="7C3065AA" w14:textId="386A0B5E" w:rsidR="009464D3" w:rsidRDefault="009464D3">
      <w:pPr>
        <w:pStyle w:val="FootnoteText"/>
      </w:pPr>
      <w:r>
        <w:rPr>
          <w:rStyle w:val="FootnoteReference"/>
        </w:rPr>
        <w:footnoteRef/>
      </w:r>
      <w:r>
        <w:t xml:space="preserve"> </w:t>
      </w:r>
      <w:r w:rsidRPr="00390183">
        <w:rPr>
          <w:rFonts w:ascii="Garamond" w:hAnsi="Garamond"/>
          <w:sz w:val="20"/>
          <w:szCs w:val="20"/>
          <w:lang w:val="en-US"/>
        </w:rPr>
        <w:t>Interview with legislative drafter, 2019.</w:t>
      </w:r>
    </w:p>
  </w:footnote>
  <w:footnote w:id="19">
    <w:p w14:paraId="0808C70D" w14:textId="0D97DC44" w:rsidR="00AB3405" w:rsidRPr="00390183" w:rsidRDefault="00AB3405">
      <w:pPr>
        <w:pStyle w:val="FootnoteText"/>
        <w:rPr>
          <w:rFonts w:ascii="Garamond" w:hAnsi="Garamond"/>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1005-7</w:t>
      </w:r>
      <w:r>
        <w:rPr>
          <w:rFonts w:ascii="Garamond" w:hAnsi="Garamond"/>
          <w:sz w:val="20"/>
          <w:szCs w:val="20"/>
          <w:lang w:val="en-US"/>
        </w:rPr>
        <w:t>.</w:t>
      </w:r>
    </w:p>
  </w:footnote>
  <w:footnote w:id="20">
    <w:p w14:paraId="53C90042" w14:textId="2D2F608D" w:rsidR="00AB3405" w:rsidRPr="00390183" w:rsidRDefault="00AB3405">
      <w:pPr>
        <w:pStyle w:val="FootnoteText"/>
        <w:rPr>
          <w:rFonts w:ascii="Garamond" w:hAnsi="Garamond"/>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1004</w:t>
      </w:r>
      <w:r>
        <w:rPr>
          <w:rFonts w:ascii="Garamond" w:hAnsi="Garamond"/>
          <w:sz w:val="20"/>
          <w:szCs w:val="20"/>
          <w:lang w:val="en-US"/>
        </w:rPr>
        <w:t>.</w:t>
      </w:r>
    </w:p>
  </w:footnote>
  <w:footnote w:id="21">
    <w:p w14:paraId="611BC934" w14:textId="3CC6AEDE"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1007</w:t>
      </w:r>
      <w:r>
        <w:rPr>
          <w:rFonts w:ascii="Garamond" w:hAnsi="Garamond"/>
          <w:sz w:val="20"/>
          <w:szCs w:val="20"/>
          <w:lang w:val="en-US"/>
        </w:rPr>
        <w:t>.</w:t>
      </w:r>
    </w:p>
  </w:footnote>
  <w:footnote w:id="22">
    <w:p w14:paraId="0202B8F2" w14:textId="7C14A89B"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1008</w:t>
      </w:r>
      <w:r>
        <w:rPr>
          <w:rFonts w:ascii="Garamond" w:hAnsi="Garamond"/>
          <w:sz w:val="20"/>
          <w:szCs w:val="20"/>
          <w:lang w:val="en-US"/>
        </w:rPr>
        <w:t>.</w:t>
      </w:r>
    </w:p>
  </w:footnote>
  <w:footnote w:id="23">
    <w:p w14:paraId="3D7DC25A" w14:textId="3F9548CE" w:rsidR="00AB3405" w:rsidRPr="00390183" w:rsidRDefault="00AB3405">
      <w:pPr>
        <w:pStyle w:val="FootnoteText"/>
        <w:rPr>
          <w:rFonts w:ascii="Garamond" w:hAnsi="Garamond"/>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1010</w:t>
      </w:r>
      <w:r>
        <w:rPr>
          <w:rFonts w:ascii="Garamond" w:hAnsi="Garamond"/>
          <w:sz w:val="20"/>
          <w:szCs w:val="20"/>
          <w:lang w:val="en-US"/>
        </w:rPr>
        <w:t>.</w:t>
      </w:r>
    </w:p>
  </w:footnote>
  <w:footnote w:id="24">
    <w:p w14:paraId="1C95D782" w14:textId="08FC77E1"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1011</w:t>
      </w:r>
      <w:r>
        <w:rPr>
          <w:rFonts w:ascii="Garamond" w:hAnsi="Garamond"/>
          <w:sz w:val="20"/>
          <w:szCs w:val="20"/>
          <w:lang w:val="en-US"/>
        </w:rPr>
        <w:t>.</w:t>
      </w:r>
    </w:p>
  </w:footnote>
  <w:footnote w:id="25">
    <w:p w14:paraId="3B79546B" w14:textId="588FA10B" w:rsidR="00AB3405" w:rsidRPr="00390183" w:rsidRDefault="00AB3405">
      <w:pPr>
        <w:pStyle w:val="FootnoteText"/>
        <w:rPr>
          <w:rFonts w:ascii="Garamond" w:hAnsi="Garamond"/>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12 Dec 2013, col 1011</w:t>
      </w:r>
      <w:r>
        <w:rPr>
          <w:rFonts w:ascii="Garamond" w:hAnsi="Garamond"/>
          <w:sz w:val="20"/>
          <w:szCs w:val="20"/>
          <w:lang w:val="en-US"/>
        </w:rPr>
        <w:t>.</w:t>
      </w:r>
    </w:p>
  </w:footnote>
  <w:footnote w:id="26">
    <w:p w14:paraId="38A85D92" w14:textId="77777777" w:rsidR="00AB3405" w:rsidRPr="00390183" w:rsidRDefault="00AB3405">
      <w:pPr>
        <w:pStyle w:val="FootnoteText"/>
        <w:rPr>
          <w:rFonts w:ascii="Garamond" w:hAnsi="Garamond"/>
          <w:sz w:val="20"/>
          <w:szCs w:val="20"/>
        </w:rPr>
      </w:pPr>
      <w:r w:rsidRPr="00645D9E">
        <w:rPr>
          <w:rStyle w:val="FootnoteReference"/>
        </w:rPr>
        <w:footnoteRef/>
      </w:r>
      <w:r w:rsidRPr="00390183">
        <w:rPr>
          <w:rFonts w:ascii="Garamond" w:hAnsi="Garamond"/>
          <w:sz w:val="20"/>
          <w:szCs w:val="20"/>
        </w:rPr>
        <w:t xml:space="preserve"> The guidance put it this way:</w:t>
      </w:r>
    </w:p>
    <w:p w14:paraId="2E1A7591" w14:textId="6F5BB053" w:rsidR="00AB3405" w:rsidRPr="00390183" w:rsidRDefault="00AB3405">
      <w:pPr>
        <w:pStyle w:val="FootnoteText"/>
        <w:rPr>
          <w:rFonts w:ascii="Garamond" w:hAnsi="Garamond"/>
          <w:lang w:val="en-US"/>
        </w:rPr>
      </w:pPr>
      <w:r w:rsidRPr="00390183">
        <w:rPr>
          <w:rFonts w:ascii="Garamond" w:eastAsia="Times New Roman" w:hAnsi="Garamond" w:cs="Times New Roman"/>
          <w:sz w:val="20"/>
          <w:szCs w:val="20"/>
        </w:rPr>
        <w:t>2.3.15 Nevertheless, it was clear from the debate on gender-neutral drafting in the 2013 House of Lords debate that to use “they” in legislation to refer to a singular subject is controversial. On that basis it is best avoided. (OPC, 2014).</w:t>
      </w:r>
    </w:p>
  </w:footnote>
  <w:footnote w:id="27">
    <w:p w14:paraId="1F59346B" w14:textId="25820524"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28 June 2018 col 7</w:t>
      </w:r>
      <w:r>
        <w:rPr>
          <w:rFonts w:ascii="Garamond" w:hAnsi="Garamond"/>
          <w:sz w:val="20"/>
          <w:szCs w:val="20"/>
          <w:lang w:val="en-US"/>
        </w:rPr>
        <w:t>.</w:t>
      </w:r>
    </w:p>
  </w:footnote>
  <w:footnote w:id="28">
    <w:p w14:paraId="3C3CC044" w14:textId="080BEAAE"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28 June 2018 col 8</w:t>
      </w:r>
      <w:r>
        <w:rPr>
          <w:rFonts w:ascii="Garamond" w:hAnsi="Garamond"/>
          <w:sz w:val="20"/>
          <w:szCs w:val="20"/>
          <w:lang w:val="en-US"/>
        </w:rPr>
        <w:t>.</w:t>
      </w:r>
    </w:p>
  </w:footnote>
  <w:footnote w:id="29">
    <w:p w14:paraId="01A8D0EA" w14:textId="4C36DC51"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28 June 2018 col 8</w:t>
      </w:r>
      <w:r>
        <w:rPr>
          <w:rFonts w:ascii="Garamond" w:hAnsi="Garamond"/>
          <w:sz w:val="20"/>
          <w:szCs w:val="20"/>
          <w:lang w:val="en-US"/>
        </w:rPr>
        <w:t>.</w:t>
      </w:r>
    </w:p>
  </w:footnote>
  <w:footnote w:id="30">
    <w:p w14:paraId="44635D2D" w14:textId="6FAEF7B9"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28 June 2018 col 8</w:t>
      </w:r>
      <w:r>
        <w:rPr>
          <w:rFonts w:ascii="Garamond" w:hAnsi="Garamond"/>
          <w:sz w:val="20"/>
          <w:szCs w:val="20"/>
          <w:lang w:val="en-US"/>
        </w:rPr>
        <w:t>.</w:t>
      </w:r>
    </w:p>
  </w:footnote>
  <w:footnote w:id="31">
    <w:p w14:paraId="32FA5BB8" w14:textId="29505863" w:rsidR="00AB3405" w:rsidRPr="00390183" w:rsidRDefault="00AB3405">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HL Deb 28 June 2018 col 9. With thanks to Flora Renz for pointing out that the consultation and the survey did not address drafting.</w:t>
      </w:r>
    </w:p>
  </w:footnote>
  <w:footnote w:id="32">
    <w:p w14:paraId="7D78574B" w14:textId="189B621E" w:rsidR="009464D3" w:rsidRDefault="009464D3">
      <w:pPr>
        <w:pStyle w:val="FootnoteText"/>
      </w:pPr>
      <w:r>
        <w:rPr>
          <w:rStyle w:val="FootnoteReference"/>
        </w:rPr>
        <w:footnoteRef/>
      </w:r>
      <w:r>
        <w:t xml:space="preserve"> </w:t>
      </w:r>
      <w:r w:rsidRPr="00390183">
        <w:rPr>
          <w:rFonts w:ascii="Garamond" w:hAnsi="Garamond"/>
          <w:sz w:val="20"/>
          <w:szCs w:val="20"/>
        </w:rPr>
        <w:t xml:space="preserve">Many thanks to Flora Renz for making this </w:t>
      </w:r>
      <w:r w:rsidRPr="00390183">
        <w:rPr>
          <w:rFonts w:ascii="Garamond" w:hAnsi="Garamond"/>
          <w:sz w:val="20"/>
          <w:szCs w:val="20"/>
        </w:rPr>
        <w:t>point.</w:t>
      </w:r>
      <w:bookmarkStart w:id="0" w:name="_GoBack"/>
      <w:bookmarkEnd w:id="0"/>
    </w:p>
  </w:footnote>
  <w:footnote w:id="33">
    <w:p w14:paraId="0D89276B" w14:textId="270855B6" w:rsidR="00AB3405" w:rsidRPr="006838F5" w:rsidRDefault="00AB3405">
      <w:pPr>
        <w:pStyle w:val="FootnoteText"/>
        <w:rPr>
          <w:rFonts w:ascii="Garamond" w:hAnsi="Garamond"/>
          <w:color w:val="FFFF00"/>
          <w:sz w:val="20"/>
          <w:szCs w:val="20"/>
        </w:rPr>
      </w:pPr>
      <w:r w:rsidRPr="00645D9E">
        <w:rPr>
          <w:rStyle w:val="FootnoteReference"/>
        </w:rPr>
        <w:footnoteRef/>
      </w:r>
      <w:r w:rsidRPr="00390183">
        <w:rPr>
          <w:rFonts w:ascii="Garamond" w:hAnsi="Garamond"/>
          <w:color w:val="000000" w:themeColor="text1"/>
          <w:sz w:val="20"/>
          <w:szCs w:val="20"/>
        </w:rPr>
        <w:t xml:space="preserve"> There is not space here to engage with speech-act theory in relation to critical legal studies but my future work on the project will explore this. See, for example, </w:t>
      </w:r>
      <w:r w:rsidRPr="00390183">
        <w:rPr>
          <w:rFonts w:ascii="Garamond" w:hAnsi="Garamond"/>
          <w:color w:val="000000" w:themeColor="text1"/>
          <w:sz w:val="20"/>
          <w:szCs w:val="20"/>
        </w:rPr>
        <w:fldChar w:fldCharType="begin"/>
      </w:r>
      <w:r>
        <w:rPr>
          <w:rFonts w:ascii="Garamond" w:hAnsi="Garamond"/>
          <w:color w:val="000000" w:themeColor="text1"/>
          <w:sz w:val="20"/>
          <w:szCs w:val="20"/>
        </w:rPr>
        <w:instrText xml:space="preserve"> ADDIN ZOTERO_ITEM CSL_CITATION {"citationID":"EFmbMWTN","properties":{"formattedCitation":"(Martel, 2015)","plainCitation":"(Martel, 2015)","noteIndex":44},"citationItems":[{"id":3502,"uris":["http://zotero.org/users/1070015/items/CTXUKKVP"],"uri":["http://zotero.org/users/1070015/items/CTXUKKVP"],"itemData":{"id":3502,"type":"article-journal","abstract":"In this article, I argue that Althusser's theory of interpellation suggests, however obliquely, a way to subvert and ruin the formation of subjectivity under liberal capitalism. For Althusser, when the law calls the subject, “nine times out of ten” the person called is “really” the one that the law intended. This article asks about the one in ten who is not the one whom the law wanted but who answers the call anyway. This is what I am calling the misinterpellated subject. I argue that this subject, because she or he is unwanted and unexpected, rhetorically ruins the scene of interpellation, offering a potentially radical source of resistance to liberal capitalism. Looking at Althusser's work on interpellation along with critics like Judith Butler and Lauren Berlant, I seek to show how the occasional flaws in interpellation (the one in ten) can be expanded by developing an anarchist politics as well as anarchist forms of subjectivity.","archive":"JSTOR","container-title":"Philosophy &amp; Rhetoric","DOI":"10.5325/philrhet.48.4.0494","ISSN":"0031-8213","issue":"4","note":"publisher: Penn State University Press","page":"494-515","source":"JSTOR","title":"When the Call Is Not Meant for You: Misinterpellation, Subjectivity, and the Law","title-short":"When the Call Is Not Meant for You","volume":"48","author":[{"family":"Martel","given":"James R."}],"issued":{"date-parts":[["2015"]]}}}],"schema":"https://github.com/citation-style-language/schema/raw/master/csl-citation.json"} </w:instrText>
      </w:r>
      <w:r w:rsidRPr="00390183">
        <w:rPr>
          <w:rFonts w:ascii="Garamond" w:hAnsi="Garamond"/>
          <w:color w:val="000000" w:themeColor="text1"/>
          <w:sz w:val="20"/>
          <w:szCs w:val="20"/>
        </w:rPr>
        <w:fldChar w:fldCharType="separate"/>
      </w:r>
      <w:r>
        <w:rPr>
          <w:rFonts w:ascii="Garamond" w:hAnsi="Garamond"/>
          <w:noProof/>
          <w:color w:val="000000" w:themeColor="text1"/>
          <w:sz w:val="20"/>
          <w:szCs w:val="20"/>
        </w:rPr>
        <w:t>Martel (2015)</w:t>
      </w:r>
      <w:r w:rsidRPr="00390183">
        <w:rPr>
          <w:rFonts w:ascii="Garamond" w:hAnsi="Garamond"/>
          <w:color w:val="000000" w:themeColor="text1"/>
          <w:sz w:val="20"/>
          <w:szCs w:val="20"/>
        </w:rPr>
        <w:fldChar w:fldCharType="end"/>
      </w:r>
      <w:r w:rsidRPr="00390183">
        <w:rPr>
          <w:rFonts w:ascii="Garamond" w:hAnsi="Garamond"/>
          <w:color w:val="000000" w:themeColor="text1"/>
          <w:sz w:val="20"/>
          <w:szCs w:val="20"/>
        </w:rPr>
        <w:t>.</w:t>
      </w:r>
    </w:p>
  </w:footnote>
  <w:footnote w:id="34">
    <w:p w14:paraId="46993B8A" w14:textId="05CCE935" w:rsidR="00AB3405" w:rsidRPr="00390183" w:rsidRDefault="00AB3405" w:rsidP="00A20CBC">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Office of the Scottish Parliamentary Counsel (2006</w:t>
      </w:r>
      <w:r w:rsidRPr="00B30677">
        <w:rPr>
          <w:rFonts w:ascii="Garamond" w:hAnsi="Garamond"/>
          <w:iCs/>
          <w:sz w:val="20"/>
          <w:szCs w:val="20"/>
          <w:lang w:val="en-US"/>
        </w:rPr>
        <w:t>,</w:t>
      </w:r>
      <w:r w:rsidRPr="00390183">
        <w:rPr>
          <w:rFonts w:ascii="Garamond" w:hAnsi="Garamond"/>
          <w:sz w:val="20"/>
          <w:szCs w:val="20"/>
          <w:lang w:val="en-US"/>
        </w:rPr>
        <w:t xml:space="preserve"> p</w:t>
      </w:r>
      <w:r>
        <w:rPr>
          <w:rFonts w:ascii="Garamond" w:hAnsi="Garamond"/>
          <w:sz w:val="20"/>
          <w:szCs w:val="20"/>
          <w:lang w:val="en-US"/>
        </w:rPr>
        <w:t>.</w:t>
      </w:r>
      <w:r w:rsidRPr="00390183">
        <w:rPr>
          <w:rFonts w:ascii="Garamond" w:hAnsi="Garamond"/>
          <w:sz w:val="20"/>
          <w:szCs w:val="20"/>
          <w:lang w:val="en-US"/>
        </w:rPr>
        <w:t>33</w:t>
      </w:r>
      <w:r>
        <w:rPr>
          <w:rFonts w:ascii="Garamond" w:hAnsi="Garamond"/>
          <w:sz w:val="20"/>
          <w:szCs w:val="20"/>
          <w:lang w:val="en-US"/>
        </w:rPr>
        <w:t>)</w:t>
      </w:r>
      <w:r w:rsidRPr="00390183">
        <w:rPr>
          <w:rFonts w:ascii="Garamond" w:hAnsi="Garamond"/>
          <w:sz w:val="20"/>
          <w:szCs w:val="20"/>
          <w:lang w:val="en-US"/>
        </w:rPr>
        <w:t>.</w:t>
      </w:r>
    </w:p>
  </w:footnote>
  <w:footnote w:id="35">
    <w:p w14:paraId="5F2CFA14" w14:textId="23E4119A" w:rsidR="00AB3405" w:rsidRPr="00390183" w:rsidRDefault="00AB3405" w:rsidP="00FF1FB0">
      <w:pPr>
        <w:pStyle w:val="FootnoteText"/>
        <w:rPr>
          <w:rFonts w:ascii="Garamond" w:hAnsi="Garamond"/>
          <w:sz w:val="20"/>
          <w:szCs w:val="20"/>
          <w:lang w:val="en-US"/>
        </w:rPr>
      </w:pPr>
      <w:r w:rsidRPr="00645D9E">
        <w:rPr>
          <w:rStyle w:val="FootnoteReference"/>
        </w:rPr>
        <w:footnoteRef/>
      </w:r>
      <w:r w:rsidRPr="00390183">
        <w:rPr>
          <w:rFonts w:ascii="Garamond" w:hAnsi="Garamond"/>
          <w:sz w:val="20"/>
          <w:szCs w:val="20"/>
        </w:rPr>
        <w:t xml:space="preserve"> </w:t>
      </w:r>
      <w:r w:rsidRPr="00390183">
        <w:rPr>
          <w:rFonts w:ascii="Garamond" w:hAnsi="Garamond"/>
          <w:sz w:val="20"/>
          <w:szCs w:val="20"/>
          <w:lang w:val="en-US"/>
        </w:rPr>
        <w:t xml:space="preserve">See </w:t>
      </w:r>
      <w:r w:rsidRPr="00390183">
        <w:rPr>
          <w:rFonts w:ascii="Garamond" w:hAnsi="Garamond"/>
          <w:sz w:val="20"/>
          <w:szCs w:val="20"/>
          <w:lang w:val="en-US"/>
        </w:rPr>
        <w:fldChar w:fldCharType="begin"/>
      </w:r>
      <w:r>
        <w:rPr>
          <w:rFonts w:ascii="Garamond" w:hAnsi="Garamond"/>
          <w:sz w:val="20"/>
          <w:szCs w:val="20"/>
          <w:lang w:val="en-US"/>
        </w:rPr>
        <w:instrText xml:space="preserve"> ADDIN ZOTERO_ITEM CSL_CITATION {"citationID":"H598S43A","properties":{"formattedCitation":"(Enright et al., 2017; Hunter et al., 2010)","plainCitation":"(Enright et al., 2017; Hunter et al., 2010)","noteIndex":47},"citationItems":[{"id":700,"uris":["http://zotero.org/users/1070015/items/NLIRHRK7"],"uri":["http://zotero.org/users/1070015/items/NLIRHRK7"],"itemData":{"id":700,"type":"book","abstract":"The Northern/Irish Feminist Judgments Project inaugurates a fresh dialogue on gender, legal judgment, judicial power and national identity in Ireland and","language":"en","publisher":"Hart Publishing","title":"Northern / Irish Feminist Judgments: Judges' Troubles and the Gendered Politics of Identity","URL":"https://www.bloomsburyprofessional.com/uk/northern-irish-feminist-judgments-9781509908936/","author":[{"family":"Enright","given":"Mairead"},{"family":"McCandless","given":"Julie"},{"family":"O'Donoghue","given":"Aoife"}],"accessed":{"date-parts":[["2019",11,8]]},"issued":{"date-parts":[["2017"]]}}},{"id":684,"uris":["http://zotero.org/users/1070015/items/7IAMGSLV"],"uri":["http://zotero.org/users/1070015/items/7IAMGSLV"],"itemData":{"id":684,"type":"book","abstract":"While feminist legal scholarship has thrived within universities and in some sectors of legal practice, it has yet to have much impact within the judiciary or on judicial thinking. Thus, while feminist legal scholarship has generated comprehensive critiques of existing legal doctrine, there has been little opportunity to test or apply feminist knowledge in practice, in decisions in individual cases. In this book, a group of feminist legal scholars put theory into practice in judgment form, by writing the 'missing' feminist judgments in key cases. The cases chosen are significant decisions in English law across a broad range of substantive areas. The cases originate from a variety of levels but are primarily opinions of the Court of Appeal or the House of Lords. In some instances they are written in a fictitious appeal, but in others they are written as an additional concurring or dissenting judgment in the original case, providing a powerful illustration of the way in which the case could have been decided differently, even at the time it was heard. Each case is accompanied by a commentary which renders the judgment accessible to a non-specialist audience. The commentary explains the original decision, its background and doctrinal significance, the issues it raises, and how the feminist judgment deals with them differently. The books also includes chapters examining the theoretical and conceptual issues raised by the process and practice of feminist judging, and by the judgments themselves, including the possibility of divergent feminist approaches to legal decision-making.","edition":"01 edition","event-place":"Oxford ; Portland, Or","ISBN":"978-1-84946-053-8","language":"English","number-of-pages":"504","publisher":"Hart Publishing","publisher-place":"Oxford ; Portland, Or","source":"Amazon","title":"Feminist Judgments","editor":[{"family":"Hunter","given":"Rosemary"},{"family":"McGlynn","given":"Clare"},{"family":"Rackley","given":"Erika"}],"issued":{"date-parts":[["2010"]]}}}],"schema":"https://github.com/citation-style-language/schema/raw/master/csl-citation.json"} </w:instrText>
      </w:r>
      <w:r w:rsidRPr="00390183">
        <w:rPr>
          <w:rFonts w:ascii="Garamond" w:hAnsi="Garamond"/>
          <w:sz w:val="20"/>
          <w:szCs w:val="20"/>
          <w:lang w:val="en-US"/>
        </w:rPr>
        <w:fldChar w:fldCharType="separate"/>
      </w:r>
      <w:r>
        <w:rPr>
          <w:rFonts w:ascii="Garamond" w:hAnsi="Garamond" w:cs="Times New Roman"/>
          <w:sz w:val="20"/>
        </w:rPr>
        <w:t>Enright et al. (2017); Hunter et al. (2010</w:t>
      </w:r>
      <w:r w:rsidRPr="00390183">
        <w:rPr>
          <w:rFonts w:ascii="Garamond" w:hAnsi="Garamond"/>
          <w:sz w:val="20"/>
          <w:szCs w:val="20"/>
          <w:lang w:val="en-US"/>
        </w:rPr>
        <w:fldChar w:fldCharType="end"/>
      </w:r>
      <w:r>
        <w:rPr>
          <w:rFonts w:ascii="Garamond" w:hAnsi="Garamond"/>
          <w:sz w:val="20"/>
          <w:szCs w:val="20"/>
          <w:lang w:val="en-US"/>
        </w:rPr>
        <w:t xml:space="preserve">); </w:t>
      </w:r>
      <w:r w:rsidRPr="00390183">
        <w:rPr>
          <w:rFonts w:ascii="Garamond" w:hAnsi="Garamond"/>
          <w:sz w:val="20"/>
          <w:szCs w:val="20"/>
          <w:lang w:val="en-US"/>
        </w:rPr>
        <w:t xml:space="preserve">the African Feminist Judgments project at: </w:t>
      </w:r>
      <w:hyperlink r:id="rId4" w:history="1">
        <w:r w:rsidRPr="00390183">
          <w:rPr>
            <w:rStyle w:val="Hyperlink"/>
            <w:rFonts w:ascii="Garamond" w:hAnsi="Garamond"/>
            <w:sz w:val="20"/>
            <w:szCs w:val="20"/>
            <w:lang w:val="en-US"/>
          </w:rPr>
          <w:t>https://www.lawandglobaljustice.com/the-african-feminist-judgments-project</w:t>
        </w:r>
      </w:hyperlink>
      <w:r w:rsidRPr="00390183">
        <w:rPr>
          <w:rFonts w:ascii="Garamond" w:hAnsi="Garamond"/>
          <w:sz w:val="20"/>
          <w:szCs w:val="20"/>
          <w:lang w:val="en-US"/>
        </w:rPr>
        <w:t xml:space="preserve">; the Scottish Feminist Judgments project at: </w:t>
      </w:r>
      <w:hyperlink r:id="rId5" w:history="1">
        <w:r w:rsidRPr="006838F5">
          <w:rPr>
            <w:rStyle w:val="Hyperlink"/>
            <w:rFonts w:ascii="Garamond" w:hAnsi="Garamond"/>
            <w:color w:val="000000" w:themeColor="text1"/>
            <w:sz w:val="20"/>
            <w:szCs w:val="20"/>
            <w:lang w:val="en-US"/>
          </w:rPr>
          <w:t>https://www.sfjp.law.ed.ac.uk/</w:t>
        </w:r>
      </w:hyperlink>
      <w:r w:rsidRPr="006838F5">
        <w:rPr>
          <w:rStyle w:val="Hyperlink"/>
          <w:rFonts w:ascii="Garamond" w:hAnsi="Garamond"/>
          <w:color w:val="000000" w:themeColor="text1"/>
          <w:sz w:val="20"/>
          <w:szCs w:val="20"/>
          <w:u w:val="none"/>
          <w:lang w:val="en-US"/>
        </w:rPr>
        <w:t xml:space="preserve"> and </w:t>
      </w:r>
      <w:r w:rsidRPr="006838F5">
        <w:rPr>
          <w:rStyle w:val="Hyperlink"/>
          <w:rFonts w:ascii="Garamond" w:hAnsi="Garamond"/>
          <w:color w:val="000000" w:themeColor="text1"/>
          <w:sz w:val="20"/>
          <w:szCs w:val="20"/>
          <w:u w:val="none"/>
          <w:lang w:val="en-US"/>
        </w:rPr>
        <w:fldChar w:fldCharType="begin"/>
      </w:r>
      <w:r w:rsidRPr="006838F5">
        <w:rPr>
          <w:rStyle w:val="Hyperlink"/>
          <w:rFonts w:ascii="Garamond" w:hAnsi="Garamond"/>
          <w:color w:val="000000" w:themeColor="text1"/>
          <w:sz w:val="20"/>
          <w:szCs w:val="20"/>
          <w:u w:val="none"/>
          <w:lang w:val="en-US"/>
        </w:rPr>
        <w:instrText xml:space="preserve"> ADDIN ZOTERO_ITEM CSL_CITATION {"citationID":"8FH948AS","properties":{"formattedCitation":"(Cowan et al., 2019)","plainCitation":"(Cowan et al., 2019)","noteIndex":47},"citationItems":[{"id":3577,"uris":["http://zotero.org/users/1070015/items/6PX24KV4"],"uri":["http://zotero.org/users/1070015/items/6PX24KV4"],"itemData":{"id":3577,"type":"book","abstract":"An innovative collaboration between academics, practitioners, activists and artists, this timely and provocative book rewrites 16 significant Scots law cases,","language":"en","publisher":"Hart Publishing","title":"Scottish Feminist Judgments","URL":"https://www.bloomsburyprofessional.com/uk/scottish-feminist-judgments-9781509923267/","editor":[{"family":"Cowan","given":"Sharon"},{"family":"Kennedy","given":"Chloe"},{"family":"Munro","given":"Vanessa"}],"accessed":{"date-parts":[["2020",9,23]]},"issued":{"date-parts":[["2019"]]}}}],"schema":"https://github.com/citation-style-language/schema/raw/master/csl-citation.json"} </w:instrText>
      </w:r>
      <w:r w:rsidRPr="006838F5">
        <w:rPr>
          <w:rStyle w:val="Hyperlink"/>
          <w:rFonts w:ascii="Garamond" w:hAnsi="Garamond"/>
          <w:color w:val="000000" w:themeColor="text1"/>
          <w:sz w:val="20"/>
          <w:szCs w:val="20"/>
          <w:u w:val="none"/>
          <w:lang w:val="en-US"/>
        </w:rPr>
        <w:fldChar w:fldCharType="separate"/>
      </w:r>
      <w:r w:rsidRPr="006838F5">
        <w:rPr>
          <w:rStyle w:val="Hyperlink"/>
          <w:rFonts w:ascii="Garamond" w:hAnsi="Garamond"/>
          <w:noProof/>
          <w:color w:val="000000" w:themeColor="text1"/>
          <w:sz w:val="20"/>
          <w:szCs w:val="20"/>
          <w:u w:val="none"/>
          <w:lang w:val="en-US"/>
        </w:rPr>
        <w:t xml:space="preserve">Cowan et al. </w:t>
      </w:r>
      <w:r>
        <w:rPr>
          <w:rStyle w:val="Hyperlink"/>
          <w:rFonts w:ascii="Garamond" w:hAnsi="Garamond"/>
          <w:noProof/>
          <w:color w:val="000000" w:themeColor="text1"/>
          <w:sz w:val="20"/>
          <w:szCs w:val="20"/>
          <w:u w:val="none"/>
          <w:lang w:val="en-US"/>
        </w:rPr>
        <w:t>(</w:t>
      </w:r>
      <w:r w:rsidRPr="006838F5">
        <w:rPr>
          <w:rStyle w:val="Hyperlink"/>
          <w:rFonts w:ascii="Garamond" w:hAnsi="Garamond"/>
          <w:noProof/>
          <w:color w:val="000000" w:themeColor="text1"/>
          <w:sz w:val="20"/>
          <w:szCs w:val="20"/>
          <w:u w:val="none"/>
          <w:lang w:val="en-US"/>
        </w:rPr>
        <w:t>2019)</w:t>
      </w:r>
      <w:r w:rsidRPr="006838F5">
        <w:rPr>
          <w:rStyle w:val="Hyperlink"/>
          <w:rFonts w:ascii="Garamond" w:hAnsi="Garamond"/>
          <w:color w:val="000000" w:themeColor="text1"/>
          <w:sz w:val="20"/>
          <w:szCs w:val="20"/>
          <w:u w:val="none"/>
          <w:lang w:val="en-US"/>
        </w:rPr>
        <w:fldChar w:fldCharType="end"/>
      </w:r>
      <w:r>
        <w:rPr>
          <w:rStyle w:val="Hyperlink"/>
          <w:rFonts w:ascii="Garamond" w:hAnsi="Garamond"/>
          <w:color w:val="000000" w:themeColor="text1"/>
          <w:sz w:val="20"/>
          <w:szCs w:val="20"/>
          <w:u w:val="none"/>
          <w:lang w:val="en-US"/>
        </w:rPr>
        <w:t>.</w:t>
      </w:r>
    </w:p>
    <w:p w14:paraId="5B82A961" w14:textId="77777777" w:rsidR="00AB3405" w:rsidRPr="00390183" w:rsidRDefault="00AB3405" w:rsidP="00FF1FB0">
      <w:pPr>
        <w:pStyle w:val="FootnoteText"/>
        <w:rPr>
          <w:rFonts w:ascii="Garamond" w:hAnsi="Garamond"/>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BC52" w14:textId="49CCFBA9" w:rsidR="004D04DC" w:rsidRDefault="004D04DC" w:rsidP="004D04DC">
    <w:pPr>
      <w:pStyle w:val="Header"/>
      <w:tabs>
        <w:tab w:val="clear" w:pos="8640"/>
        <w:tab w:val="right" w:pos="8931"/>
      </w:tabs>
      <w:rPr>
        <w:sz w:val="22"/>
        <w:szCs w:val="22"/>
      </w:rPr>
    </w:pPr>
    <w:r>
      <w:rPr>
        <w:sz w:val="22"/>
        <w:szCs w:val="22"/>
      </w:rPr>
      <w:t>Emily Grabham</w:t>
    </w:r>
    <w:r>
      <w:rPr>
        <w:sz w:val="22"/>
        <w:szCs w:val="22"/>
      </w:rPr>
      <w:tab/>
    </w:r>
    <w:r>
      <w:rPr>
        <w:sz w:val="22"/>
        <w:szCs w:val="22"/>
      </w:rPr>
      <w:tab/>
      <w:t>Exploring the Textual Alchemy of Legal Gender</w:t>
    </w:r>
  </w:p>
  <w:p w14:paraId="57DF5DBB" w14:textId="35BFF0F4" w:rsidR="004D04DC" w:rsidRPr="004D04DC" w:rsidRDefault="004D04DC">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20B8" w14:textId="392A41F5" w:rsidR="004D04DC" w:rsidRDefault="004D04DC" w:rsidP="004D04DC">
    <w:pPr>
      <w:pStyle w:val="Header"/>
      <w:tabs>
        <w:tab w:val="clear" w:pos="8640"/>
        <w:tab w:val="right" w:pos="8931"/>
      </w:tabs>
      <w:rPr>
        <w:sz w:val="22"/>
        <w:szCs w:val="22"/>
      </w:rPr>
    </w:pPr>
    <w:proofErr w:type="spellStart"/>
    <w:r>
      <w:rPr>
        <w:i/>
        <w:sz w:val="22"/>
        <w:szCs w:val="22"/>
      </w:rPr>
      <w:t>feminists@law</w:t>
    </w:r>
    <w:proofErr w:type="spellEnd"/>
    <w:r>
      <w:rPr>
        <w:sz w:val="22"/>
        <w:szCs w:val="22"/>
      </w:rPr>
      <w:tab/>
    </w:r>
    <w:r>
      <w:rPr>
        <w:sz w:val="22"/>
        <w:szCs w:val="22"/>
      </w:rPr>
      <w:tab/>
      <w:t>Vol 10, No 2 (2020)</w:t>
    </w:r>
  </w:p>
  <w:p w14:paraId="25312AFF" w14:textId="784C98D9" w:rsidR="004D04DC" w:rsidRPr="004D04DC" w:rsidRDefault="004D04DC">
    <w:pPr>
      <w:pStyle w:val="Head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F3112E"/>
    <w:multiLevelType w:val="hybridMultilevel"/>
    <w:tmpl w:val="C7AEF188"/>
    <w:lvl w:ilvl="0" w:tplc="4E7E89CC">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91003"/>
    <w:multiLevelType w:val="hybridMultilevel"/>
    <w:tmpl w:val="3C446302"/>
    <w:lvl w:ilvl="0" w:tplc="6A4EA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841985"/>
    <w:multiLevelType w:val="hybridMultilevel"/>
    <w:tmpl w:val="0CEC2B40"/>
    <w:lvl w:ilvl="0" w:tplc="BDD07B50">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B03FF"/>
    <w:multiLevelType w:val="hybridMultilevel"/>
    <w:tmpl w:val="FC98078E"/>
    <w:lvl w:ilvl="0" w:tplc="EB108D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evenAndOddHeaders/>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A6"/>
    <w:rsid w:val="00000A1A"/>
    <w:rsid w:val="00002B37"/>
    <w:rsid w:val="0000361A"/>
    <w:rsid w:val="000049DF"/>
    <w:rsid w:val="00005A19"/>
    <w:rsid w:val="00006C3C"/>
    <w:rsid w:val="00012A8C"/>
    <w:rsid w:val="00014D74"/>
    <w:rsid w:val="00014DC1"/>
    <w:rsid w:val="000167D6"/>
    <w:rsid w:val="00020DA5"/>
    <w:rsid w:val="00022E3B"/>
    <w:rsid w:val="000230FD"/>
    <w:rsid w:val="00026EFF"/>
    <w:rsid w:val="00030223"/>
    <w:rsid w:val="000312C5"/>
    <w:rsid w:val="00032463"/>
    <w:rsid w:val="000330C2"/>
    <w:rsid w:val="000331C3"/>
    <w:rsid w:val="000336E2"/>
    <w:rsid w:val="00035B9E"/>
    <w:rsid w:val="00036518"/>
    <w:rsid w:val="0003672C"/>
    <w:rsid w:val="000367AE"/>
    <w:rsid w:val="00037DDC"/>
    <w:rsid w:val="00040B4E"/>
    <w:rsid w:val="00040D34"/>
    <w:rsid w:val="00041A99"/>
    <w:rsid w:val="00044814"/>
    <w:rsid w:val="000458F3"/>
    <w:rsid w:val="00046FED"/>
    <w:rsid w:val="00047325"/>
    <w:rsid w:val="000505B2"/>
    <w:rsid w:val="0005261D"/>
    <w:rsid w:val="00055BAB"/>
    <w:rsid w:val="00057686"/>
    <w:rsid w:val="000601C0"/>
    <w:rsid w:val="00072B77"/>
    <w:rsid w:val="0007480D"/>
    <w:rsid w:val="00074883"/>
    <w:rsid w:val="00074CFD"/>
    <w:rsid w:val="0007569A"/>
    <w:rsid w:val="000767EA"/>
    <w:rsid w:val="0007781D"/>
    <w:rsid w:val="0008018A"/>
    <w:rsid w:val="0008109B"/>
    <w:rsid w:val="00081372"/>
    <w:rsid w:val="00082EAC"/>
    <w:rsid w:val="00084155"/>
    <w:rsid w:val="0008692D"/>
    <w:rsid w:val="000913D2"/>
    <w:rsid w:val="0009221F"/>
    <w:rsid w:val="00095DAE"/>
    <w:rsid w:val="000965A6"/>
    <w:rsid w:val="000A48D7"/>
    <w:rsid w:val="000A4904"/>
    <w:rsid w:val="000A62F5"/>
    <w:rsid w:val="000A6524"/>
    <w:rsid w:val="000A6760"/>
    <w:rsid w:val="000B248C"/>
    <w:rsid w:val="000B30BB"/>
    <w:rsid w:val="000B375D"/>
    <w:rsid w:val="000B3790"/>
    <w:rsid w:val="000B492E"/>
    <w:rsid w:val="000B634F"/>
    <w:rsid w:val="000B6EF1"/>
    <w:rsid w:val="000B7C56"/>
    <w:rsid w:val="000C26D0"/>
    <w:rsid w:val="000C63D0"/>
    <w:rsid w:val="000C6EC7"/>
    <w:rsid w:val="000D0F39"/>
    <w:rsid w:val="000D1D53"/>
    <w:rsid w:val="000D2D63"/>
    <w:rsid w:val="000D3716"/>
    <w:rsid w:val="000D6758"/>
    <w:rsid w:val="000D7ED4"/>
    <w:rsid w:val="000E1AFC"/>
    <w:rsid w:val="000E3C6D"/>
    <w:rsid w:val="000E3C80"/>
    <w:rsid w:val="000E4206"/>
    <w:rsid w:val="000E4C74"/>
    <w:rsid w:val="000E6CF0"/>
    <w:rsid w:val="000F1891"/>
    <w:rsid w:val="001010ED"/>
    <w:rsid w:val="001033D5"/>
    <w:rsid w:val="001039CB"/>
    <w:rsid w:val="00103F3F"/>
    <w:rsid w:val="00105C8D"/>
    <w:rsid w:val="00106090"/>
    <w:rsid w:val="001121E9"/>
    <w:rsid w:val="00114369"/>
    <w:rsid w:val="00126708"/>
    <w:rsid w:val="00130E7A"/>
    <w:rsid w:val="00132622"/>
    <w:rsid w:val="0013349B"/>
    <w:rsid w:val="00133735"/>
    <w:rsid w:val="001340AD"/>
    <w:rsid w:val="001342B7"/>
    <w:rsid w:val="00135641"/>
    <w:rsid w:val="00137131"/>
    <w:rsid w:val="00137909"/>
    <w:rsid w:val="001402F3"/>
    <w:rsid w:val="0014046A"/>
    <w:rsid w:val="00140CA2"/>
    <w:rsid w:val="00140F70"/>
    <w:rsid w:val="00140F91"/>
    <w:rsid w:val="00141991"/>
    <w:rsid w:val="00141E54"/>
    <w:rsid w:val="00143A15"/>
    <w:rsid w:val="0014664E"/>
    <w:rsid w:val="00146E44"/>
    <w:rsid w:val="00147B0F"/>
    <w:rsid w:val="00147D07"/>
    <w:rsid w:val="0015044B"/>
    <w:rsid w:val="001505E8"/>
    <w:rsid w:val="00150DEE"/>
    <w:rsid w:val="0015107E"/>
    <w:rsid w:val="00153019"/>
    <w:rsid w:val="001533FC"/>
    <w:rsid w:val="00154A32"/>
    <w:rsid w:val="0015504F"/>
    <w:rsid w:val="001557DA"/>
    <w:rsid w:val="00157A21"/>
    <w:rsid w:val="00157CED"/>
    <w:rsid w:val="00161255"/>
    <w:rsid w:val="00161A86"/>
    <w:rsid w:val="001620E1"/>
    <w:rsid w:val="001664FE"/>
    <w:rsid w:val="00170CCF"/>
    <w:rsid w:val="00171899"/>
    <w:rsid w:val="00171F49"/>
    <w:rsid w:val="001722DF"/>
    <w:rsid w:val="00173910"/>
    <w:rsid w:val="00180EF0"/>
    <w:rsid w:val="00181E5E"/>
    <w:rsid w:val="00182152"/>
    <w:rsid w:val="001837A2"/>
    <w:rsid w:val="00183A07"/>
    <w:rsid w:val="00184F38"/>
    <w:rsid w:val="00191D06"/>
    <w:rsid w:val="00193838"/>
    <w:rsid w:val="00196904"/>
    <w:rsid w:val="00197E5A"/>
    <w:rsid w:val="001A0736"/>
    <w:rsid w:val="001A2DE9"/>
    <w:rsid w:val="001A3416"/>
    <w:rsid w:val="001A40CB"/>
    <w:rsid w:val="001A459F"/>
    <w:rsid w:val="001A45AB"/>
    <w:rsid w:val="001A6599"/>
    <w:rsid w:val="001B1832"/>
    <w:rsid w:val="001B2724"/>
    <w:rsid w:val="001B4F47"/>
    <w:rsid w:val="001B7C19"/>
    <w:rsid w:val="001C208F"/>
    <w:rsid w:val="001C29A0"/>
    <w:rsid w:val="001C38E8"/>
    <w:rsid w:val="001C3C86"/>
    <w:rsid w:val="001C6D51"/>
    <w:rsid w:val="001C7DC4"/>
    <w:rsid w:val="001D0106"/>
    <w:rsid w:val="001D0ABC"/>
    <w:rsid w:val="001D0B45"/>
    <w:rsid w:val="001D1A14"/>
    <w:rsid w:val="001D1B34"/>
    <w:rsid w:val="001D2600"/>
    <w:rsid w:val="001D2671"/>
    <w:rsid w:val="001D4B58"/>
    <w:rsid w:val="001D532C"/>
    <w:rsid w:val="001E2987"/>
    <w:rsid w:val="001F1560"/>
    <w:rsid w:val="001F1D89"/>
    <w:rsid w:val="001F2964"/>
    <w:rsid w:val="001F65D6"/>
    <w:rsid w:val="001F6EB8"/>
    <w:rsid w:val="001F7067"/>
    <w:rsid w:val="001F7BFC"/>
    <w:rsid w:val="001F7C23"/>
    <w:rsid w:val="002018A4"/>
    <w:rsid w:val="00202731"/>
    <w:rsid w:val="00207E8C"/>
    <w:rsid w:val="00212657"/>
    <w:rsid w:val="00215057"/>
    <w:rsid w:val="0021670E"/>
    <w:rsid w:val="002211DD"/>
    <w:rsid w:val="00221E3C"/>
    <w:rsid w:val="002221FF"/>
    <w:rsid w:val="002246DA"/>
    <w:rsid w:val="0022569C"/>
    <w:rsid w:val="00230E6E"/>
    <w:rsid w:val="00232028"/>
    <w:rsid w:val="00234C53"/>
    <w:rsid w:val="00235247"/>
    <w:rsid w:val="00236B22"/>
    <w:rsid w:val="002371A1"/>
    <w:rsid w:val="00237FF1"/>
    <w:rsid w:val="00241837"/>
    <w:rsid w:val="00241FF3"/>
    <w:rsid w:val="00242CD6"/>
    <w:rsid w:val="002432E3"/>
    <w:rsid w:val="00246BB2"/>
    <w:rsid w:val="00250656"/>
    <w:rsid w:val="002516AA"/>
    <w:rsid w:val="00251A4B"/>
    <w:rsid w:val="00253089"/>
    <w:rsid w:val="002530F5"/>
    <w:rsid w:val="00263D30"/>
    <w:rsid w:val="00270D0D"/>
    <w:rsid w:val="00277AE9"/>
    <w:rsid w:val="00282CA9"/>
    <w:rsid w:val="0028362F"/>
    <w:rsid w:val="0028546C"/>
    <w:rsid w:val="0028546E"/>
    <w:rsid w:val="002918E8"/>
    <w:rsid w:val="00294CFB"/>
    <w:rsid w:val="002956EC"/>
    <w:rsid w:val="00295854"/>
    <w:rsid w:val="002A0103"/>
    <w:rsid w:val="002A25C4"/>
    <w:rsid w:val="002A2C1B"/>
    <w:rsid w:val="002A3265"/>
    <w:rsid w:val="002A343B"/>
    <w:rsid w:val="002A6BDA"/>
    <w:rsid w:val="002B0AB1"/>
    <w:rsid w:val="002B29B5"/>
    <w:rsid w:val="002B418E"/>
    <w:rsid w:val="002C03BD"/>
    <w:rsid w:val="002C072B"/>
    <w:rsid w:val="002C2B85"/>
    <w:rsid w:val="002C3C51"/>
    <w:rsid w:val="002C3FAF"/>
    <w:rsid w:val="002C43E0"/>
    <w:rsid w:val="002C6187"/>
    <w:rsid w:val="002C6D36"/>
    <w:rsid w:val="002C7360"/>
    <w:rsid w:val="002C737D"/>
    <w:rsid w:val="002C762F"/>
    <w:rsid w:val="002D1AEE"/>
    <w:rsid w:val="002D5AD5"/>
    <w:rsid w:val="002D7F1F"/>
    <w:rsid w:val="002E0603"/>
    <w:rsid w:val="002E1E36"/>
    <w:rsid w:val="002E38C7"/>
    <w:rsid w:val="002E4F26"/>
    <w:rsid w:val="002E588E"/>
    <w:rsid w:val="002E6082"/>
    <w:rsid w:val="002F0F0A"/>
    <w:rsid w:val="002F3B89"/>
    <w:rsid w:val="002F49B1"/>
    <w:rsid w:val="002F60ED"/>
    <w:rsid w:val="003004BA"/>
    <w:rsid w:val="00301A69"/>
    <w:rsid w:val="00302114"/>
    <w:rsid w:val="00302D2C"/>
    <w:rsid w:val="003034B8"/>
    <w:rsid w:val="00305D26"/>
    <w:rsid w:val="00306C09"/>
    <w:rsid w:val="003119E0"/>
    <w:rsid w:val="00311B5B"/>
    <w:rsid w:val="003129C0"/>
    <w:rsid w:val="0031435C"/>
    <w:rsid w:val="00320C10"/>
    <w:rsid w:val="00322E50"/>
    <w:rsid w:val="00327950"/>
    <w:rsid w:val="0033286B"/>
    <w:rsid w:val="003336FF"/>
    <w:rsid w:val="003367CE"/>
    <w:rsid w:val="00337148"/>
    <w:rsid w:val="00341915"/>
    <w:rsid w:val="0034294E"/>
    <w:rsid w:val="003448E1"/>
    <w:rsid w:val="0034513F"/>
    <w:rsid w:val="00346866"/>
    <w:rsid w:val="00347177"/>
    <w:rsid w:val="00352C01"/>
    <w:rsid w:val="00352CA2"/>
    <w:rsid w:val="00353CC7"/>
    <w:rsid w:val="00356F1C"/>
    <w:rsid w:val="00357F83"/>
    <w:rsid w:val="003605CF"/>
    <w:rsid w:val="00360F7E"/>
    <w:rsid w:val="00364AE4"/>
    <w:rsid w:val="003727C6"/>
    <w:rsid w:val="00372903"/>
    <w:rsid w:val="00372ADE"/>
    <w:rsid w:val="00373040"/>
    <w:rsid w:val="003818DE"/>
    <w:rsid w:val="00381EBB"/>
    <w:rsid w:val="00387ACF"/>
    <w:rsid w:val="00390183"/>
    <w:rsid w:val="003912CA"/>
    <w:rsid w:val="00391CC1"/>
    <w:rsid w:val="00392E7A"/>
    <w:rsid w:val="0039335D"/>
    <w:rsid w:val="00393ECE"/>
    <w:rsid w:val="00395918"/>
    <w:rsid w:val="00396CF8"/>
    <w:rsid w:val="003A027C"/>
    <w:rsid w:val="003A14AC"/>
    <w:rsid w:val="003A398A"/>
    <w:rsid w:val="003A595D"/>
    <w:rsid w:val="003A7D28"/>
    <w:rsid w:val="003B10AD"/>
    <w:rsid w:val="003B360C"/>
    <w:rsid w:val="003B6DFF"/>
    <w:rsid w:val="003B7358"/>
    <w:rsid w:val="003C046D"/>
    <w:rsid w:val="003C12E4"/>
    <w:rsid w:val="003C313B"/>
    <w:rsid w:val="003C58F7"/>
    <w:rsid w:val="003C7013"/>
    <w:rsid w:val="003C7989"/>
    <w:rsid w:val="003C7E61"/>
    <w:rsid w:val="003D1557"/>
    <w:rsid w:val="003D2B0F"/>
    <w:rsid w:val="003D4D2C"/>
    <w:rsid w:val="003D78FC"/>
    <w:rsid w:val="003E03F0"/>
    <w:rsid w:val="003E30A0"/>
    <w:rsid w:val="003F0499"/>
    <w:rsid w:val="003F2FF0"/>
    <w:rsid w:val="003F45AC"/>
    <w:rsid w:val="003F4B1C"/>
    <w:rsid w:val="0040038E"/>
    <w:rsid w:val="00402C0B"/>
    <w:rsid w:val="00404350"/>
    <w:rsid w:val="00406F6B"/>
    <w:rsid w:val="004135D0"/>
    <w:rsid w:val="00414CB4"/>
    <w:rsid w:val="00417E82"/>
    <w:rsid w:val="00421309"/>
    <w:rsid w:val="00421C9C"/>
    <w:rsid w:val="00422C87"/>
    <w:rsid w:val="00423885"/>
    <w:rsid w:val="00424F81"/>
    <w:rsid w:val="00425784"/>
    <w:rsid w:val="004257A9"/>
    <w:rsid w:val="00425868"/>
    <w:rsid w:val="00425CE0"/>
    <w:rsid w:val="00427C76"/>
    <w:rsid w:val="004323C6"/>
    <w:rsid w:val="00435241"/>
    <w:rsid w:val="00435E3F"/>
    <w:rsid w:val="0043740F"/>
    <w:rsid w:val="0044151F"/>
    <w:rsid w:val="00441AB2"/>
    <w:rsid w:val="00442670"/>
    <w:rsid w:val="00443B05"/>
    <w:rsid w:val="00443D87"/>
    <w:rsid w:val="004467E6"/>
    <w:rsid w:val="0044767E"/>
    <w:rsid w:val="0045490D"/>
    <w:rsid w:val="00456652"/>
    <w:rsid w:val="004579A3"/>
    <w:rsid w:val="00461319"/>
    <w:rsid w:val="0046205A"/>
    <w:rsid w:val="004632B2"/>
    <w:rsid w:val="00470F83"/>
    <w:rsid w:val="004717DF"/>
    <w:rsid w:val="004745D2"/>
    <w:rsid w:val="004746A6"/>
    <w:rsid w:val="004750E3"/>
    <w:rsid w:val="00476378"/>
    <w:rsid w:val="00476E20"/>
    <w:rsid w:val="00476EEF"/>
    <w:rsid w:val="00482CBA"/>
    <w:rsid w:val="00482D6F"/>
    <w:rsid w:val="004841F0"/>
    <w:rsid w:val="00484EA7"/>
    <w:rsid w:val="00487988"/>
    <w:rsid w:val="00490614"/>
    <w:rsid w:val="0049151F"/>
    <w:rsid w:val="00492F14"/>
    <w:rsid w:val="0049483C"/>
    <w:rsid w:val="004971AD"/>
    <w:rsid w:val="00497D9D"/>
    <w:rsid w:val="004A25F7"/>
    <w:rsid w:val="004B03ED"/>
    <w:rsid w:val="004B124F"/>
    <w:rsid w:val="004B1A2F"/>
    <w:rsid w:val="004B21C4"/>
    <w:rsid w:val="004B4586"/>
    <w:rsid w:val="004B6168"/>
    <w:rsid w:val="004B672F"/>
    <w:rsid w:val="004C0045"/>
    <w:rsid w:val="004C3527"/>
    <w:rsid w:val="004C5B4C"/>
    <w:rsid w:val="004D04DC"/>
    <w:rsid w:val="004D0D92"/>
    <w:rsid w:val="004D0ED2"/>
    <w:rsid w:val="004D14FB"/>
    <w:rsid w:val="004D32F9"/>
    <w:rsid w:val="004D5E53"/>
    <w:rsid w:val="004D77C7"/>
    <w:rsid w:val="004E2B4B"/>
    <w:rsid w:val="004E377F"/>
    <w:rsid w:val="004E502C"/>
    <w:rsid w:val="004F0908"/>
    <w:rsid w:val="004F17DE"/>
    <w:rsid w:val="004F3785"/>
    <w:rsid w:val="004F5AFF"/>
    <w:rsid w:val="004F73B7"/>
    <w:rsid w:val="004F7606"/>
    <w:rsid w:val="004F7A19"/>
    <w:rsid w:val="00500DE2"/>
    <w:rsid w:val="00501E73"/>
    <w:rsid w:val="00503D99"/>
    <w:rsid w:val="0050404D"/>
    <w:rsid w:val="0050477B"/>
    <w:rsid w:val="0050640B"/>
    <w:rsid w:val="00510044"/>
    <w:rsid w:val="00510C66"/>
    <w:rsid w:val="00512536"/>
    <w:rsid w:val="005223C4"/>
    <w:rsid w:val="005228FC"/>
    <w:rsid w:val="00526CFB"/>
    <w:rsid w:val="00532ADA"/>
    <w:rsid w:val="00532C24"/>
    <w:rsid w:val="00535627"/>
    <w:rsid w:val="0054204F"/>
    <w:rsid w:val="0054298C"/>
    <w:rsid w:val="005432C8"/>
    <w:rsid w:val="00543BCC"/>
    <w:rsid w:val="00544ACC"/>
    <w:rsid w:val="00546B45"/>
    <w:rsid w:val="005502D1"/>
    <w:rsid w:val="00551D67"/>
    <w:rsid w:val="0055226E"/>
    <w:rsid w:val="00552840"/>
    <w:rsid w:val="005538BB"/>
    <w:rsid w:val="00553E64"/>
    <w:rsid w:val="00554582"/>
    <w:rsid w:val="00555438"/>
    <w:rsid w:val="005575A6"/>
    <w:rsid w:val="00557EE9"/>
    <w:rsid w:val="0056034C"/>
    <w:rsid w:val="00560D81"/>
    <w:rsid w:val="00562C1A"/>
    <w:rsid w:val="0056485E"/>
    <w:rsid w:val="00564D3C"/>
    <w:rsid w:val="00566183"/>
    <w:rsid w:val="00566650"/>
    <w:rsid w:val="00566FEB"/>
    <w:rsid w:val="00567601"/>
    <w:rsid w:val="005714FC"/>
    <w:rsid w:val="005725FA"/>
    <w:rsid w:val="00572BAA"/>
    <w:rsid w:val="005763E8"/>
    <w:rsid w:val="00577078"/>
    <w:rsid w:val="00577189"/>
    <w:rsid w:val="00580077"/>
    <w:rsid w:val="005806AB"/>
    <w:rsid w:val="00581E25"/>
    <w:rsid w:val="00583D2C"/>
    <w:rsid w:val="00583F4D"/>
    <w:rsid w:val="00586761"/>
    <w:rsid w:val="00590F81"/>
    <w:rsid w:val="005938F9"/>
    <w:rsid w:val="00594533"/>
    <w:rsid w:val="005962CF"/>
    <w:rsid w:val="005A1849"/>
    <w:rsid w:val="005A3238"/>
    <w:rsid w:val="005B23E5"/>
    <w:rsid w:val="005B37B0"/>
    <w:rsid w:val="005B4AED"/>
    <w:rsid w:val="005B5030"/>
    <w:rsid w:val="005B561F"/>
    <w:rsid w:val="005B5E46"/>
    <w:rsid w:val="005B7DF3"/>
    <w:rsid w:val="005C0C01"/>
    <w:rsid w:val="005C0DBA"/>
    <w:rsid w:val="005C2017"/>
    <w:rsid w:val="005C2D8B"/>
    <w:rsid w:val="005C473A"/>
    <w:rsid w:val="005C4C68"/>
    <w:rsid w:val="005C4F96"/>
    <w:rsid w:val="005C7098"/>
    <w:rsid w:val="005C7ABB"/>
    <w:rsid w:val="005D02D3"/>
    <w:rsid w:val="005D2937"/>
    <w:rsid w:val="005D497A"/>
    <w:rsid w:val="005D4E37"/>
    <w:rsid w:val="005D4E50"/>
    <w:rsid w:val="005D56C4"/>
    <w:rsid w:val="005D718D"/>
    <w:rsid w:val="005E0EBC"/>
    <w:rsid w:val="005E14D5"/>
    <w:rsid w:val="005E19BE"/>
    <w:rsid w:val="005E609A"/>
    <w:rsid w:val="005F058D"/>
    <w:rsid w:val="005F25B8"/>
    <w:rsid w:val="005F32FA"/>
    <w:rsid w:val="005F4B85"/>
    <w:rsid w:val="005F756C"/>
    <w:rsid w:val="0060222B"/>
    <w:rsid w:val="006042D1"/>
    <w:rsid w:val="006065F9"/>
    <w:rsid w:val="0060790F"/>
    <w:rsid w:val="00607BA1"/>
    <w:rsid w:val="006101CA"/>
    <w:rsid w:val="00610EA7"/>
    <w:rsid w:val="00611BED"/>
    <w:rsid w:val="00611C54"/>
    <w:rsid w:val="00616EE6"/>
    <w:rsid w:val="006215D8"/>
    <w:rsid w:val="00621C45"/>
    <w:rsid w:val="00622A8A"/>
    <w:rsid w:val="00624F9F"/>
    <w:rsid w:val="00625EBE"/>
    <w:rsid w:val="00631125"/>
    <w:rsid w:val="00641A07"/>
    <w:rsid w:val="00645C76"/>
    <w:rsid w:val="00645D9E"/>
    <w:rsid w:val="0064630E"/>
    <w:rsid w:val="00646764"/>
    <w:rsid w:val="00646D2F"/>
    <w:rsid w:val="0065197A"/>
    <w:rsid w:val="0065247A"/>
    <w:rsid w:val="00652CCF"/>
    <w:rsid w:val="00653DB5"/>
    <w:rsid w:val="006548AB"/>
    <w:rsid w:val="00655341"/>
    <w:rsid w:val="00655A25"/>
    <w:rsid w:val="00657A32"/>
    <w:rsid w:val="0066309E"/>
    <w:rsid w:val="00663447"/>
    <w:rsid w:val="0066444F"/>
    <w:rsid w:val="00664C0D"/>
    <w:rsid w:val="006652A8"/>
    <w:rsid w:val="006659C8"/>
    <w:rsid w:val="00665B72"/>
    <w:rsid w:val="0067048C"/>
    <w:rsid w:val="00671B4F"/>
    <w:rsid w:val="006740F0"/>
    <w:rsid w:val="0067440F"/>
    <w:rsid w:val="006756D2"/>
    <w:rsid w:val="00675BF1"/>
    <w:rsid w:val="0067736B"/>
    <w:rsid w:val="00677D83"/>
    <w:rsid w:val="006810B4"/>
    <w:rsid w:val="006817E9"/>
    <w:rsid w:val="0068370A"/>
    <w:rsid w:val="006838F5"/>
    <w:rsid w:val="00685A07"/>
    <w:rsid w:val="0068605A"/>
    <w:rsid w:val="00687614"/>
    <w:rsid w:val="00690A46"/>
    <w:rsid w:val="00690FDE"/>
    <w:rsid w:val="00691F89"/>
    <w:rsid w:val="00692501"/>
    <w:rsid w:val="00693A1C"/>
    <w:rsid w:val="006943A6"/>
    <w:rsid w:val="006A1296"/>
    <w:rsid w:val="006A3C5C"/>
    <w:rsid w:val="006A4498"/>
    <w:rsid w:val="006A5C85"/>
    <w:rsid w:val="006A620C"/>
    <w:rsid w:val="006A702E"/>
    <w:rsid w:val="006A7871"/>
    <w:rsid w:val="006B112A"/>
    <w:rsid w:val="006B2109"/>
    <w:rsid w:val="006B39B5"/>
    <w:rsid w:val="006B5506"/>
    <w:rsid w:val="006B67E9"/>
    <w:rsid w:val="006C0F0A"/>
    <w:rsid w:val="006C105E"/>
    <w:rsid w:val="006C1420"/>
    <w:rsid w:val="006C1F49"/>
    <w:rsid w:val="006C2233"/>
    <w:rsid w:val="006C2E1E"/>
    <w:rsid w:val="006C41D7"/>
    <w:rsid w:val="006C45C9"/>
    <w:rsid w:val="006C66B2"/>
    <w:rsid w:val="006C7149"/>
    <w:rsid w:val="006C78AC"/>
    <w:rsid w:val="006D10CC"/>
    <w:rsid w:val="006D1F7F"/>
    <w:rsid w:val="006D3B62"/>
    <w:rsid w:val="006D52B3"/>
    <w:rsid w:val="006D6B23"/>
    <w:rsid w:val="006D74EF"/>
    <w:rsid w:val="006E10FA"/>
    <w:rsid w:val="006E1976"/>
    <w:rsid w:val="006E3733"/>
    <w:rsid w:val="006E7795"/>
    <w:rsid w:val="006E7C5A"/>
    <w:rsid w:val="006E7F33"/>
    <w:rsid w:val="006F0575"/>
    <w:rsid w:val="006F05F4"/>
    <w:rsid w:val="006F0E96"/>
    <w:rsid w:val="006F5A60"/>
    <w:rsid w:val="006F5B7D"/>
    <w:rsid w:val="006F5CA5"/>
    <w:rsid w:val="006F769B"/>
    <w:rsid w:val="006F7A37"/>
    <w:rsid w:val="00700221"/>
    <w:rsid w:val="00701EC1"/>
    <w:rsid w:val="007040E6"/>
    <w:rsid w:val="007051CF"/>
    <w:rsid w:val="0070792F"/>
    <w:rsid w:val="00710938"/>
    <w:rsid w:val="00710CFE"/>
    <w:rsid w:val="00710F1D"/>
    <w:rsid w:val="00711AAA"/>
    <w:rsid w:val="00712788"/>
    <w:rsid w:val="0072122D"/>
    <w:rsid w:val="00723C78"/>
    <w:rsid w:val="0072652A"/>
    <w:rsid w:val="007265C7"/>
    <w:rsid w:val="00726DCA"/>
    <w:rsid w:val="00727198"/>
    <w:rsid w:val="007308A7"/>
    <w:rsid w:val="007317D4"/>
    <w:rsid w:val="00731EBF"/>
    <w:rsid w:val="007365E7"/>
    <w:rsid w:val="007368D6"/>
    <w:rsid w:val="00737D8F"/>
    <w:rsid w:val="0074193C"/>
    <w:rsid w:val="00742669"/>
    <w:rsid w:val="00742BBB"/>
    <w:rsid w:val="007433C1"/>
    <w:rsid w:val="007440FD"/>
    <w:rsid w:val="00745DB6"/>
    <w:rsid w:val="00745F47"/>
    <w:rsid w:val="00747752"/>
    <w:rsid w:val="00750667"/>
    <w:rsid w:val="007510C2"/>
    <w:rsid w:val="007520E8"/>
    <w:rsid w:val="007523C2"/>
    <w:rsid w:val="0075733D"/>
    <w:rsid w:val="00760167"/>
    <w:rsid w:val="00760341"/>
    <w:rsid w:val="00760CB5"/>
    <w:rsid w:val="00761376"/>
    <w:rsid w:val="007623AB"/>
    <w:rsid w:val="00763D4F"/>
    <w:rsid w:val="00764A22"/>
    <w:rsid w:val="00766E22"/>
    <w:rsid w:val="00770234"/>
    <w:rsid w:val="007709F5"/>
    <w:rsid w:val="00772817"/>
    <w:rsid w:val="00773F98"/>
    <w:rsid w:val="00776E0E"/>
    <w:rsid w:val="0078024E"/>
    <w:rsid w:val="00780A26"/>
    <w:rsid w:val="007841CA"/>
    <w:rsid w:val="00785EDB"/>
    <w:rsid w:val="007872F3"/>
    <w:rsid w:val="00790785"/>
    <w:rsid w:val="00792108"/>
    <w:rsid w:val="00794C0C"/>
    <w:rsid w:val="00795CD2"/>
    <w:rsid w:val="0079652C"/>
    <w:rsid w:val="00796E62"/>
    <w:rsid w:val="00797712"/>
    <w:rsid w:val="00797DA5"/>
    <w:rsid w:val="007A1FF8"/>
    <w:rsid w:val="007A689E"/>
    <w:rsid w:val="007B32AE"/>
    <w:rsid w:val="007B3A76"/>
    <w:rsid w:val="007B4A25"/>
    <w:rsid w:val="007B5B3F"/>
    <w:rsid w:val="007C04CE"/>
    <w:rsid w:val="007C0647"/>
    <w:rsid w:val="007C1830"/>
    <w:rsid w:val="007C20B5"/>
    <w:rsid w:val="007C283A"/>
    <w:rsid w:val="007C558F"/>
    <w:rsid w:val="007C6214"/>
    <w:rsid w:val="007C65EB"/>
    <w:rsid w:val="007D207E"/>
    <w:rsid w:val="007D4782"/>
    <w:rsid w:val="007D5E5D"/>
    <w:rsid w:val="007D7844"/>
    <w:rsid w:val="007D78B5"/>
    <w:rsid w:val="007E097B"/>
    <w:rsid w:val="007E1CAD"/>
    <w:rsid w:val="007E4CED"/>
    <w:rsid w:val="007E7C0B"/>
    <w:rsid w:val="007F2BF1"/>
    <w:rsid w:val="007F5012"/>
    <w:rsid w:val="007F5947"/>
    <w:rsid w:val="007F7375"/>
    <w:rsid w:val="008032F7"/>
    <w:rsid w:val="00803E29"/>
    <w:rsid w:val="00805A42"/>
    <w:rsid w:val="00806D84"/>
    <w:rsid w:val="00807762"/>
    <w:rsid w:val="00814240"/>
    <w:rsid w:val="00816176"/>
    <w:rsid w:val="00820FD4"/>
    <w:rsid w:val="00823BE8"/>
    <w:rsid w:val="00827C67"/>
    <w:rsid w:val="0083042F"/>
    <w:rsid w:val="00830541"/>
    <w:rsid w:val="00830DD3"/>
    <w:rsid w:val="0083185B"/>
    <w:rsid w:val="00833D8C"/>
    <w:rsid w:val="00834500"/>
    <w:rsid w:val="008377A4"/>
    <w:rsid w:val="0084271D"/>
    <w:rsid w:val="00842C81"/>
    <w:rsid w:val="00843819"/>
    <w:rsid w:val="0085535C"/>
    <w:rsid w:val="008559C5"/>
    <w:rsid w:val="008574EE"/>
    <w:rsid w:val="00857C86"/>
    <w:rsid w:val="00861BE8"/>
    <w:rsid w:val="008634F1"/>
    <w:rsid w:val="008640D4"/>
    <w:rsid w:val="00864F8F"/>
    <w:rsid w:val="008666E8"/>
    <w:rsid w:val="00873ADF"/>
    <w:rsid w:val="008759A4"/>
    <w:rsid w:val="00876304"/>
    <w:rsid w:val="008771E9"/>
    <w:rsid w:val="00877F74"/>
    <w:rsid w:val="00884A4D"/>
    <w:rsid w:val="00884AB2"/>
    <w:rsid w:val="00890C7F"/>
    <w:rsid w:val="00891F3E"/>
    <w:rsid w:val="00893493"/>
    <w:rsid w:val="00893D5B"/>
    <w:rsid w:val="00894A7A"/>
    <w:rsid w:val="008967F3"/>
    <w:rsid w:val="008974B6"/>
    <w:rsid w:val="00897A55"/>
    <w:rsid w:val="008A07FE"/>
    <w:rsid w:val="008A1600"/>
    <w:rsid w:val="008A1BF3"/>
    <w:rsid w:val="008A50D7"/>
    <w:rsid w:val="008A59C9"/>
    <w:rsid w:val="008A6661"/>
    <w:rsid w:val="008A6803"/>
    <w:rsid w:val="008A687A"/>
    <w:rsid w:val="008B010A"/>
    <w:rsid w:val="008B07C0"/>
    <w:rsid w:val="008B1340"/>
    <w:rsid w:val="008B279B"/>
    <w:rsid w:val="008B2A69"/>
    <w:rsid w:val="008B3141"/>
    <w:rsid w:val="008B31D5"/>
    <w:rsid w:val="008B41B3"/>
    <w:rsid w:val="008B5DA6"/>
    <w:rsid w:val="008B685E"/>
    <w:rsid w:val="008C064F"/>
    <w:rsid w:val="008C2355"/>
    <w:rsid w:val="008C3B6F"/>
    <w:rsid w:val="008C40B0"/>
    <w:rsid w:val="008C4F9A"/>
    <w:rsid w:val="008C71D9"/>
    <w:rsid w:val="008C7BE9"/>
    <w:rsid w:val="008D1388"/>
    <w:rsid w:val="008D1839"/>
    <w:rsid w:val="008D3B0C"/>
    <w:rsid w:val="008D3F8B"/>
    <w:rsid w:val="008D4982"/>
    <w:rsid w:val="008D68B7"/>
    <w:rsid w:val="008E4F17"/>
    <w:rsid w:val="008E5097"/>
    <w:rsid w:val="008E6BAA"/>
    <w:rsid w:val="008E70CE"/>
    <w:rsid w:val="008E7A29"/>
    <w:rsid w:val="008E7D9F"/>
    <w:rsid w:val="008E7DDD"/>
    <w:rsid w:val="008F04B9"/>
    <w:rsid w:val="008F0716"/>
    <w:rsid w:val="008F1AF3"/>
    <w:rsid w:val="008F27B2"/>
    <w:rsid w:val="008F2FF0"/>
    <w:rsid w:val="008F4025"/>
    <w:rsid w:val="008F437E"/>
    <w:rsid w:val="008F7CA8"/>
    <w:rsid w:val="008F7CC2"/>
    <w:rsid w:val="009004E8"/>
    <w:rsid w:val="0090106F"/>
    <w:rsid w:val="00901B40"/>
    <w:rsid w:val="00910A50"/>
    <w:rsid w:val="009119A1"/>
    <w:rsid w:val="009144DE"/>
    <w:rsid w:val="00914677"/>
    <w:rsid w:val="00914A5B"/>
    <w:rsid w:val="00916E29"/>
    <w:rsid w:val="00920D12"/>
    <w:rsid w:val="009214B3"/>
    <w:rsid w:val="00922B57"/>
    <w:rsid w:val="00926519"/>
    <w:rsid w:val="00927C37"/>
    <w:rsid w:val="00930258"/>
    <w:rsid w:val="009308D8"/>
    <w:rsid w:val="00930CD8"/>
    <w:rsid w:val="009329F3"/>
    <w:rsid w:val="009334AE"/>
    <w:rsid w:val="00934005"/>
    <w:rsid w:val="0093424D"/>
    <w:rsid w:val="00936687"/>
    <w:rsid w:val="00937B7C"/>
    <w:rsid w:val="009407ED"/>
    <w:rsid w:val="00943093"/>
    <w:rsid w:val="00944327"/>
    <w:rsid w:val="009464D3"/>
    <w:rsid w:val="00951438"/>
    <w:rsid w:val="009549D6"/>
    <w:rsid w:val="00956277"/>
    <w:rsid w:val="009566EA"/>
    <w:rsid w:val="00956FFE"/>
    <w:rsid w:val="009610BD"/>
    <w:rsid w:val="009640D5"/>
    <w:rsid w:val="00964CFF"/>
    <w:rsid w:val="00965621"/>
    <w:rsid w:val="009665D5"/>
    <w:rsid w:val="00966EFF"/>
    <w:rsid w:val="00972DBA"/>
    <w:rsid w:val="00973A70"/>
    <w:rsid w:val="00982460"/>
    <w:rsid w:val="0098315D"/>
    <w:rsid w:val="00983358"/>
    <w:rsid w:val="00983C9B"/>
    <w:rsid w:val="00984C0D"/>
    <w:rsid w:val="0098593B"/>
    <w:rsid w:val="00990A70"/>
    <w:rsid w:val="00990DD7"/>
    <w:rsid w:val="00990FC7"/>
    <w:rsid w:val="00991701"/>
    <w:rsid w:val="0099177F"/>
    <w:rsid w:val="00992C9B"/>
    <w:rsid w:val="0099504B"/>
    <w:rsid w:val="009A1007"/>
    <w:rsid w:val="009A16ED"/>
    <w:rsid w:val="009A1F52"/>
    <w:rsid w:val="009A5E6B"/>
    <w:rsid w:val="009A629E"/>
    <w:rsid w:val="009B04FB"/>
    <w:rsid w:val="009B08FC"/>
    <w:rsid w:val="009B45EF"/>
    <w:rsid w:val="009B4A7D"/>
    <w:rsid w:val="009B4FB7"/>
    <w:rsid w:val="009B77CB"/>
    <w:rsid w:val="009C0CBB"/>
    <w:rsid w:val="009C15F5"/>
    <w:rsid w:val="009C29DE"/>
    <w:rsid w:val="009C2F68"/>
    <w:rsid w:val="009C330B"/>
    <w:rsid w:val="009C37DA"/>
    <w:rsid w:val="009C3B5D"/>
    <w:rsid w:val="009C3CEC"/>
    <w:rsid w:val="009C3DE4"/>
    <w:rsid w:val="009C4037"/>
    <w:rsid w:val="009C4487"/>
    <w:rsid w:val="009D4B71"/>
    <w:rsid w:val="009E1082"/>
    <w:rsid w:val="009E1219"/>
    <w:rsid w:val="009E2913"/>
    <w:rsid w:val="009E2DCF"/>
    <w:rsid w:val="009E473B"/>
    <w:rsid w:val="009E518C"/>
    <w:rsid w:val="009E6309"/>
    <w:rsid w:val="009F01CE"/>
    <w:rsid w:val="009F0791"/>
    <w:rsid w:val="009F1D06"/>
    <w:rsid w:val="009F2B6C"/>
    <w:rsid w:val="009F5537"/>
    <w:rsid w:val="009F6C14"/>
    <w:rsid w:val="009F7CC4"/>
    <w:rsid w:val="00A00EEF"/>
    <w:rsid w:val="00A01162"/>
    <w:rsid w:val="00A03A05"/>
    <w:rsid w:val="00A041CF"/>
    <w:rsid w:val="00A04809"/>
    <w:rsid w:val="00A04A41"/>
    <w:rsid w:val="00A04EC3"/>
    <w:rsid w:val="00A101EE"/>
    <w:rsid w:val="00A139F9"/>
    <w:rsid w:val="00A13D51"/>
    <w:rsid w:val="00A16C07"/>
    <w:rsid w:val="00A173DD"/>
    <w:rsid w:val="00A20CBC"/>
    <w:rsid w:val="00A21A63"/>
    <w:rsid w:val="00A231D6"/>
    <w:rsid w:val="00A242DE"/>
    <w:rsid w:val="00A273E9"/>
    <w:rsid w:val="00A302B0"/>
    <w:rsid w:val="00A31CE6"/>
    <w:rsid w:val="00A32728"/>
    <w:rsid w:val="00A32B91"/>
    <w:rsid w:val="00A335CB"/>
    <w:rsid w:val="00A34D89"/>
    <w:rsid w:val="00A359C5"/>
    <w:rsid w:val="00A35D55"/>
    <w:rsid w:val="00A35E78"/>
    <w:rsid w:val="00A374AF"/>
    <w:rsid w:val="00A37D05"/>
    <w:rsid w:val="00A408ED"/>
    <w:rsid w:val="00A40E8C"/>
    <w:rsid w:val="00A421DE"/>
    <w:rsid w:val="00A42CE2"/>
    <w:rsid w:val="00A43DFF"/>
    <w:rsid w:val="00A455EB"/>
    <w:rsid w:val="00A46CE9"/>
    <w:rsid w:val="00A504A1"/>
    <w:rsid w:val="00A5127B"/>
    <w:rsid w:val="00A529F6"/>
    <w:rsid w:val="00A533AB"/>
    <w:rsid w:val="00A54244"/>
    <w:rsid w:val="00A55D08"/>
    <w:rsid w:val="00A55F4D"/>
    <w:rsid w:val="00A57FE2"/>
    <w:rsid w:val="00A60927"/>
    <w:rsid w:val="00A62010"/>
    <w:rsid w:val="00A637BE"/>
    <w:rsid w:val="00A66FF4"/>
    <w:rsid w:val="00A7061A"/>
    <w:rsid w:val="00A72671"/>
    <w:rsid w:val="00A7339F"/>
    <w:rsid w:val="00A7349B"/>
    <w:rsid w:val="00A75619"/>
    <w:rsid w:val="00A76FFB"/>
    <w:rsid w:val="00A77618"/>
    <w:rsid w:val="00A819EA"/>
    <w:rsid w:val="00A81FA1"/>
    <w:rsid w:val="00A854CB"/>
    <w:rsid w:val="00A858CF"/>
    <w:rsid w:val="00A877DF"/>
    <w:rsid w:val="00A90070"/>
    <w:rsid w:val="00A93CD6"/>
    <w:rsid w:val="00A95654"/>
    <w:rsid w:val="00A95729"/>
    <w:rsid w:val="00A964C2"/>
    <w:rsid w:val="00AA68F4"/>
    <w:rsid w:val="00AB14F7"/>
    <w:rsid w:val="00AB1E42"/>
    <w:rsid w:val="00AB20EA"/>
    <w:rsid w:val="00AB3405"/>
    <w:rsid w:val="00AB3463"/>
    <w:rsid w:val="00AB389A"/>
    <w:rsid w:val="00AB475A"/>
    <w:rsid w:val="00AB6CCC"/>
    <w:rsid w:val="00AC2CAD"/>
    <w:rsid w:val="00AC310C"/>
    <w:rsid w:val="00AC4C39"/>
    <w:rsid w:val="00AC4CEA"/>
    <w:rsid w:val="00AC60B3"/>
    <w:rsid w:val="00AD0145"/>
    <w:rsid w:val="00AD2963"/>
    <w:rsid w:val="00AD4AFE"/>
    <w:rsid w:val="00AE5AE7"/>
    <w:rsid w:val="00AE6699"/>
    <w:rsid w:val="00AE70AF"/>
    <w:rsid w:val="00AF421B"/>
    <w:rsid w:val="00B02ACC"/>
    <w:rsid w:val="00B0327B"/>
    <w:rsid w:val="00B05B56"/>
    <w:rsid w:val="00B05D49"/>
    <w:rsid w:val="00B06E3E"/>
    <w:rsid w:val="00B0723D"/>
    <w:rsid w:val="00B10F9A"/>
    <w:rsid w:val="00B12254"/>
    <w:rsid w:val="00B1742F"/>
    <w:rsid w:val="00B17D28"/>
    <w:rsid w:val="00B2089C"/>
    <w:rsid w:val="00B24546"/>
    <w:rsid w:val="00B251D8"/>
    <w:rsid w:val="00B2669A"/>
    <w:rsid w:val="00B27FC8"/>
    <w:rsid w:val="00B30677"/>
    <w:rsid w:val="00B30D1C"/>
    <w:rsid w:val="00B32700"/>
    <w:rsid w:val="00B33334"/>
    <w:rsid w:val="00B36331"/>
    <w:rsid w:val="00B37F44"/>
    <w:rsid w:val="00B429C8"/>
    <w:rsid w:val="00B4508B"/>
    <w:rsid w:val="00B45C5B"/>
    <w:rsid w:val="00B47375"/>
    <w:rsid w:val="00B513C4"/>
    <w:rsid w:val="00B516FF"/>
    <w:rsid w:val="00B5369B"/>
    <w:rsid w:val="00B56B65"/>
    <w:rsid w:val="00B57A8A"/>
    <w:rsid w:val="00B62FBC"/>
    <w:rsid w:val="00B63215"/>
    <w:rsid w:val="00B66555"/>
    <w:rsid w:val="00B74B3C"/>
    <w:rsid w:val="00B76999"/>
    <w:rsid w:val="00B80861"/>
    <w:rsid w:val="00B825A4"/>
    <w:rsid w:val="00B83271"/>
    <w:rsid w:val="00B83474"/>
    <w:rsid w:val="00B8571C"/>
    <w:rsid w:val="00B86978"/>
    <w:rsid w:val="00B8732A"/>
    <w:rsid w:val="00B87B5E"/>
    <w:rsid w:val="00B901B6"/>
    <w:rsid w:val="00B90E9E"/>
    <w:rsid w:val="00B92046"/>
    <w:rsid w:val="00B928C4"/>
    <w:rsid w:val="00B929CA"/>
    <w:rsid w:val="00B94131"/>
    <w:rsid w:val="00B94643"/>
    <w:rsid w:val="00B958AC"/>
    <w:rsid w:val="00B963FE"/>
    <w:rsid w:val="00BA37D4"/>
    <w:rsid w:val="00BA4881"/>
    <w:rsid w:val="00BA4FE3"/>
    <w:rsid w:val="00BA573C"/>
    <w:rsid w:val="00BA7E97"/>
    <w:rsid w:val="00BB0C2B"/>
    <w:rsid w:val="00BB2C1F"/>
    <w:rsid w:val="00BB46CF"/>
    <w:rsid w:val="00BB480E"/>
    <w:rsid w:val="00BB4A72"/>
    <w:rsid w:val="00BB5D80"/>
    <w:rsid w:val="00BB612A"/>
    <w:rsid w:val="00BB63F0"/>
    <w:rsid w:val="00BC26F0"/>
    <w:rsid w:val="00BC2C85"/>
    <w:rsid w:val="00BC520E"/>
    <w:rsid w:val="00BC56B2"/>
    <w:rsid w:val="00BC5C66"/>
    <w:rsid w:val="00BC6731"/>
    <w:rsid w:val="00BC77AC"/>
    <w:rsid w:val="00BD2BD6"/>
    <w:rsid w:val="00BD3FFC"/>
    <w:rsid w:val="00BD4771"/>
    <w:rsid w:val="00BD4A3A"/>
    <w:rsid w:val="00BD4AF4"/>
    <w:rsid w:val="00BD5F66"/>
    <w:rsid w:val="00BD7DA3"/>
    <w:rsid w:val="00BE62CA"/>
    <w:rsid w:val="00BE6BD7"/>
    <w:rsid w:val="00BE7153"/>
    <w:rsid w:val="00BE7178"/>
    <w:rsid w:val="00BE726E"/>
    <w:rsid w:val="00BE76C2"/>
    <w:rsid w:val="00BE7B25"/>
    <w:rsid w:val="00BE7D76"/>
    <w:rsid w:val="00BF24AA"/>
    <w:rsid w:val="00BF7843"/>
    <w:rsid w:val="00BF7D0D"/>
    <w:rsid w:val="00C054B8"/>
    <w:rsid w:val="00C0580D"/>
    <w:rsid w:val="00C07D27"/>
    <w:rsid w:val="00C07F8A"/>
    <w:rsid w:val="00C10EE7"/>
    <w:rsid w:val="00C10F27"/>
    <w:rsid w:val="00C11296"/>
    <w:rsid w:val="00C11A3D"/>
    <w:rsid w:val="00C13ADF"/>
    <w:rsid w:val="00C1507F"/>
    <w:rsid w:val="00C1611C"/>
    <w:rsid w:val="00C16D29"/>
    <w:rsid w:val="00C2026B"/>
    <w:rsid w:val="00C2314A"/>
    <w:rsid w:val="00C260DC"/>
    <w:rsid w:val="00C269BE"/>
    <w:rsid w:val="00C278BC"/>
    <w:rsid w:val="00C3043C"/>
    <w:rsid w:val="00C32A7A"/>
    <w:rsid w:val="00C33056"/>
    <w:rsid w:val="00C33C95"/>
    <w:rsid w:val="00C351EC"/>
    <w:rsid w:val="00C352C9"/>
    <w:rsid w:val="00C3590D"/>
    <w:rsid w:val="00C36CCA"/>
    <w:rsid w:val="00C37448"/>
    <w:rsid w:val="00C402EE"/>
    <w:rsid w:val="00C41F5E"/>
    <w:rsid w:val="00C455BA"/>
    <w:rsid w:val="00C463BD"/>
    <w:rsid w:val="00C5057E"/>
    <w:rsid w:val="00C50E52"/>
    <w:rsid w:val="00C5100D"/>
    <w:rsid w:val="00C53772"/>
    <w:rsid w:val="00C53BD5"/>
    <w:rsid w:val="00C53FF5"/>
    <w:rsid w:val="00C56DD3"/>
    <w:rsid w:val="00C576BF"/>
    <w:rsid w:val="00C67001"/>
    <w:rsid w:val="00C677A5"/>
    <w:rsid w:val="00C71727"/>
    <w:rsid w:val="00C729F9"/>
    <w:rsid w:val="00C73393"/>
    <w:rsid w:val="00C745F0"/>
    <w:rsid w:val="00C748DB"/>
    <w:rsid w:val="00C75574"/>
    <w:rsid w:val="00C77527"/>
    <w:rsid w:val="00C80DE7"/>
    <w:rsid w:val="00C818D9"/>
    <w:rsid w:val="00C81C0E"/>
    <w:rsid w:val="00C84330"/>
    <w:rsid w:val="00C84565"/>
    <w:rsid w:val="00C8636E"/>
    <w:rsid w:val="00C86AEB"/>
    <w:rsid w:val="00C9284D"/>
    <w:rsid w:val="00CA0CA1"/>
    <w:rsid w:val="00CA37CD"/>
    <w:rsid w:val="00CB189F"/>
    <w:rsid w:val="00CC0B37"/>
    <w:rsid w:val="00CC2418"/>
    <w:rsid w:val="00CC593C"/>
    <w:rsid w:val="00CC5DDB"/>
    <w:rsid w:val="00CC6E2E"/>
    <w:rsid w:val="00CC74C2"/>
    <w:rsid w:val="00CC7E4D"/>
    <w:rsid w:val="00CD2B11"/>
    <w:rsid w:val="00CD3B5D"/>
    <w:rsid w:val="00CD5CCA"/>
    <w:rsid w:val="00CD5D0F"/>
    <w:rsid w:val="00CD72E0"/>
    <w:rsid w:val="00CD738A"/>
    <w:rsid w:val="00CD73C8"/>
    <w:rsid w:val="00CE01E4"/>
    <w:rsid w:val="00CE0BEF"/>
    <w:rsid w:val="00CE0C7B"/>
    <w:rsid w:val="00CE132D"/>
    <w:rsid w:val="00CE21AD"/>
    <w:rsid w:val="00CE2481"/>
    <w:rsid w:val="00CE3A68"/>
    <w:rsid w:val="00CE40CB"/>
    <w:rsid w:val="00CE4EF3"/>
    <w:rsid w:val="00CE6242"/>
    <w:rsid w:val="00CF10ED"/>
    <w:rsid w:val="00CF35BB"/>
    <w:rsid w:val="00CF6BAE"/>
    <w:rsid w:val="00CF7257"/>
    <w:rsid w:val="00D009D8"/>
    <w:rsid w:val="00D02857"/>
    <w:rsid w:val="00D039B1"/>
    <w:rsid w:val="00D04F41"/>
    <w:rsid w:val="00D10107"/>
    <w:rsid w:val="00D101B0"/>
    <w:rsid w:val="00D11C9D"/>
    <w:rsid w:val="00D12B7C"/>
    <w:rsid w:val="00D13138"/>
    <w:rsid w:val="00D1373A"/>
    <w:rsid w:val="00D150FD"/>
    <w:rsid w:val="00D15137"/>
    <w:rsid w:val="00D15623"/>
    <w:rsid w:val="00D174A3"/>
    <w:rsid w:val="00D17FAB"/>
    <w:rsid w:val="00D2657E"/>
    <w:rsid w:val="00D2691F"/>
    <w:rsid w:val="00D26C61"/>
    <w:rsid w:val="00D306E5"/>
    <w:rsid w:val="00D30C51"/>
    <w:rsid w:val="00D316A9"/>
    <w:rsid w:val="00D319BD"/>
    <w:rsid w:val="00D33262"/>
    <w:rsid w:val="00D34524"/>
    <w:rsid w:val="00D35E78"/>
    <w:rsid w:val="00D3624C"/>
    <w:rsid w:val="00D3675C"/>
    <w:rsid w:val="00D36C4D"/>
    <w:rsid w:val="00D37344"/>
    <w:rsid w:val="00D5000D"/>
    <w:rsid w:val="00D50032"/>
    <w:rsid w:val="00D5040E"/>
    <w:rsid w:val="00D544EB"/>
    <w:rsid w:val="00D56026"/>
    <w:rsid w:val="00D56C36"/>
    <w:rsid w:val="00D57691"/>
    <w:rsid w:val="00D60319"/>
    <w:rsid w:val="00D619FA"/>
    <w:rsid w:val="00D6277A"/>
    <w:rsid w:val="00D64B71"/>
    <w:rsid w:val="00D65835"/>
    <w:rsid w:val="00D70E92"/>
    <w:rsid w:val="00D75302"/>
    <w:rsid w:val="00D7592A"/>
    <w:rsid w:val="00D75C74"/>
    <w:rsid w:val="00D77E70"/>
    <w:rsid w:val="00D821D6"/>
    <w:rsid w:val="00D832A3"/>
    <w:rsid w:val="00D9086A"/>
    <w:rsid w:val="00D90CB9"/>
    <w:rsid w:val="00D90E28"/>
    <w:rsid w:val="00D91C56"/>
    <w:rsid w:val="00D9476B"/>
    <w:rsid w:val="00D97F39"/>
    <w:rsid w:val="00DA272E"/>
    <w:rsid w:val="00DA3491"/>
    <w:rsid w:val="00DA3B6D"/>
    <w:rsid w:val="00DA5D1B"/>
    <w:rsid w:val="00DA5D29"/>
    <w:rsid w:val="00DB1DDF"/>
    <w:rsid w:val="00DB414C"/>
    <w:rsid w:val="00DB4FC9"/>
    <w:rsid w:val="00DB5006"/>
    <w:rsid w:val="00DB5898"/>
    <w:rsid w:val="00DB5DC4"/>
    <w:rsid w:val="00DB6738"/>
    <w:rsid w:val="00DB7EB7"/>
    <w:rsid w:val="00DC29B6"/>
    <w:rsid w:val="00DC2A17"/>
    <w:rsid w:val="00DC3026"/>
    <w:rsid w:val="00DC421D"/>
    <w:rsid w:val="00DC5810"/>
    <w:rsid w:val="00DC689D"/>
    <w:rsid w:val="00DC7DD1"/>
    <w:rsid w:val="00DD1B61"/>
    <w:rsid w:val="00DD2A70"/>
    <w:rsid w:val="00DD3D23"/>
    <w:rsid w:val="00DD69F3"/>
    <w:rsid w:val="00DE0A78"/>
    <w:rsid w:val="00DE0C16"/>
    <w:rsid w:val="00DE1C92"/>
    <w:rsid w:val="00DE40B8"/>
    <w:rsid w:val="00DE56AC"/>
    <w:rsid w:val="00DE6E89"/>
    <w:rsid w:val="00DF2A19"/>
    <w:rsid w:val="00DF3D31"/>
    <w:rsid w:val="00DF46B2"/>
    <w:rsid w:val="00DF7E1A"/>
    <w:rsid w:val="00E004A2"/>
    <w:rsid w:val="00E07500"/>
    <w:rsid w:val="00E12441"/>
    <w:rsid w:val="00E13AD6"/>
    <w:rsid w:val="00E14415"/>
    <w:rsid w:val="00E15C29"/>
    <w:rsid w:val="00E21EBF"/>
    <w:rsid w:val="00E2307E"/>
    <w:rsid w:val="00E239DE"/>
    <w:rsid w:val="00E24C2E"/>
    <w:rsid w:val="00E25E19"/>
    <w:rsid w:val="00E26462"/>
    <w:rsid w:val="00E26B85"/>
    <w:rsid w:val="00E27195"/>
    <w:rsid w:val="00E27465"/>
    <w:rsid w:val="00E301A1"/>
    <w:rsid w:val="00E33E1C"/>
    <w:rsid w:val="00E353A3"/>
    <w:rsid w:val="00E3683A"/>
    <w:rsid w:val="00E42AC1"/>
    <w:rsid w:val="00E442F0"/>
    <w:rsid w:val="00E446BC"/>
    <w:rsid w:val="00E470B7"/>
    <w:rsid w:val="00E51BD1"/>
    <w:rsid w:val="00E53047"/>
    <w:rsid w:val="00E55CA4"/>
    <w:rsid w:val="00E56A77"/>
    <w:rsid w:val="00E618B1"/>
    <w:rsid w:val="00E675E2"/>
    <w:rsid w:val="00E67FAA"/>
    <w:rsid w:val="00E72017"/>
    <w:rsid w:val="00E72556"/>
    <w:rsid w:val="00E759D9"/>
    <w:rsid w:val="00E82A0C"/>
    <w:rsid w:val="00E83BF3"/>
    <w:rsid w:val="00E87910"/>
    <w:rsid w:val="00E87B59"/>
    <w:rsid w:val="00E87E26"/>
    <w:rsid w:val="00E919AE"/>
    <w:rsid w:val="00E92FDD"/>
    <w:rsid w:val="00E96307"/>
    <w:rsid w:val="00E972CF"/>
    <w:rsid w:val="00EA10CE"/>
    <w:rsid w:val="00EA4FD2"/>
    <w:rsid w:val="00EA6A26"/>
    <w:rsid w:val="00EB092A"/>
    <w:rsid w:val="00EB0945"/>
    <w:rsid w:val="00EB4650"/>
    <w:rsid w:val="00EB4C77"/>
    <w:rsid w:val="00EB5D6D"/>
    <w:rsid w:val="00EB6469"/>
    <w:rsid w:val="00EB786D"/>
    <w:rsid w:val="00EC1261"/>
    <w:rsid w:val="00EC1A89"/>
    <w:rsid w:val="00EC2BD8"/>
    <w:rsid w:val="00EC3ADA"/>
    <w:rsid w:val="00EC4A40"/>
    <w:rsid w:val="00EC6297"/>
    <w:rsid w:val="00EC65A4"/>
    <w:rsid w:val="00EC7CBA"/>
    <w:rsid w:val="00ED14D3"/>
    <w:rsid w:val="00ED2588"/>
    <w:rsid w:val="00ED3090"/>
    <w:rsid w:val="00ED3CB2"/>
    <w:rsid w:val="00ED474D"/>
    <w:rsid w:val="00ED4B0E"/>
    <w:rsid w:val="00ED4D1F"/>
    <w:rsid w:val="00ED5AAA"/>
    <w:rsid w:val="00EE00D5"/>
    <w:rsid w:val="00EE7721"/>
    <w:rsid w:val="00EE79ED"/>
    <w:rsid w:val="00EF0465"/>
    <w:rsid w:val="00EF0970"/>
    <w:rsid w:val="00EF111B"/>
    <w:rsid w:val="00EF596E"/>
    <w:rsid w:val="00EF6F8C"/>
    <w:rsid w:val="00F00F55"/>
    <w:rsid w:val="00F010B4"/>
    <w:rsid w:val="00F0347D"/>
    <w:rsid w:val="00F0497F"/>
    <w:rsid w:val="00F05755"/>
    <w:rsid w:val="00F103F5"/>
    <w:rsid w:val="00F11AD4"/>
    <w:rsid w:val="00F11F61"/>
    <w:rsid w:val="00F13BC1"/>
    <w:rsid w:val="00F14A34"/>
    <w:rsid w:val="00F15A3C"/>
    <w:rsid w:val="00F20EC5"/>
    <w:rsid w:val="00F2386B"/>
    <w:rsid w:val="00F244A7"/>
    <w:rsid w:val="00F255EA"/>
    <w:rsid w:val="00F25E27"/>
    <w:rsid w:val="00F264E1"/>
    <w:rsid w:val="00F26F1F"/>
    <w:rsid w:val="00F27B03"/>
    <w:rsid w:val="00F30512"/>
    <w:rsid w:val="00F315BD"/>
    <w:rsid w:val="00F32C04"/>
    <w:rsid w:val="00F37790"/>
    <w:rsid w:val="00F44C4E"/>
    <w:rsid w:val="00F450ED"/>
    <w:rsid w:val="00F4707B"/>
    <w:rsid w:val="00F4735A"/>
    <w:rsid w:val="00F5550D"/>
    <w:rsid w:val="00F55D45"/>
    <w:rsid w:val="00F5754F"/>
    <w:rsid w:val="00F601A2"/>
    <w:rsid w:val="00F615B3"/>
    <w:rsid w:val="00F642DB"/>
    <w:rsid w:val="00F645E4"/>
    <w:rsid w:val="00F6520C"/>
    <w:rsid w:val="00F671A6"/>
    <w:rsid w:val="00F679E7"/>
    <w:rsid w:val="00F703AC"/>
    <w:rsid w:val="00F726AE"/>
    <w:rsid w:val="00F737E6"/>
    <w:rsid w:val="00F74D02"/>
    <w:rsid w:val="00F800DE"/>
    <w:rsid w:val="00F84765"/>
    <w:rsid w:val="00F957EA"/>
    <w:rsid w:val="00F96331"/>
    <w:rsid w:val="00FA034B"/>
    <w:rsid w:val="00FA36E7"/>
    <w:rsid w:val="00FA3E84"/>
    <w:rsid w:val="00FA56F9"/>
    <w:rsid w:val="00FA6B17"/>
    <w:rsid w:val="00FB2B76"/>
    <w:rsid w:val="00FB46E3"/>
    <w:rsid w:val="00FB525C"/>
    <w:rsid w:val="00FB7B5D"/>
    <w:rsid w:val="00FC086A"/>
    <w:rsid w:val="00FC2BAC"/>
    <w:rsid w:val="00FC4D77"/>
    <w:rsid w:val="00FC6A16"/>
    <w:rsid w:val="00FC6DED"/>
    <w:rsid w:val="00FD100E"/>
    <w:rsid w:val="00FD2F7E"/>
    <w:rsid w:val="00FD4DFF"/>
    <w:rsid w:val="00FD55A6"/>
    <w:rsid w:val="00FE1CF2"/>
    <w:rsid w:val="00FE2DB0"/>
    <w:rsid w:val="00FE3731"/>
    <w:rsid w:val="00FE379D"/>
    <w:rsid w:val="00FE4F53"/>
    <w:rsid w:val="00FE535F"/>
    <w:rsid w:val="00FE733C"/>
    <w:rsid w:val="00FE75F7"/>
    <w:rsid w:val="00FF0A63"/>
    <w:rsid w:val="00FF1CEB"/>
    <w:rsid w:val="00FF1FB0"/>
    <w:rsid w:val="00FF3AF5"/>
    <w:rsid w:val="00FF6018"/>
    <w:rsid w:val="00FF7204"/>
    <w:rsid w:val="00FF7D4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16158D"/>
  <w14:defaultImageDpi w14:val="330"/>
  <w15:chartTrackingRefBased/>
  <w15:docId w15:val="{44A36E22-C3D5-6446-B983-1998BD97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autoSpaceDE w:val="0"/>
      <w:autoSpaceDN w:val="0"/>
      <w:adjustRightInd w:val="0"/>
    </w:pPr>
    <w:rPr>
      <w:lang w:eastAsia="en-US"/>
    </w:rPr>
  </w:style>
  <w:style w:type="paragraph" w:styleId="Heading1">
    <w:name w:val="heading 1"/>
    <w:basedOn w:val="Normal"/>
    <w:next w:val="Normal"/>
    <w:link w:val="Heading1Char"/>
    <w:uiPriority w:val="99"/>
    <w:qFormat/>
    <w:rsid w:val="00AB3405"/>
    <w:pPr>
      <w:outlineLvl w:val="0"/>
    </w:pPr>
    <w:rPr>
      <w:rFonts w:ascii="Garamond" w:hAnsi="Garamond"/>
      <w:b/>
      <w:sz w:val="28"/>
      <w:szCs w:val="28"/>
    </w:rPr>
  </w:style>
  <w:style w:type="paragraph" w:styleId="Heading2">
    <w:name w:val="heading 2"/>
    <w:basedOn w:val="Normal"/>
    <w:next w:val="Normal"/>
    <w:link w:val="Heading2Char"/>
    <w:uiPriority w:val="99"/>
    <w:unhideWhenUsed/>
    <w:qFormat/>
    <w:rsid w:val="00AB3405"/>
    <w:pPr>
      <w:spacing w:line="480" w:lineRule="auto"/>
      <w:outlineLvl w:val="1"/>
    </w:pPr>
    <w:rPr>
      <w:rFonts w:ascii="Garamond" w:hAnsi="Garamond"/>
      <w:b/>
      <w:iCs/>
      <w:sz w:val="24"/>
      <w:szCs w:val="24"/>
    </w:rPr>
  </w:style>
  <w:style w:type="paragraph" w:styleId="Heading3">
    <w:name w:val="heading 3"/>
    <w:basedOn w:val="Normal"/>
    <w:next w:val="Normal"/>
    <w:link w:val="Heading3Char"/>
    <w:uiPriority w:val="99"/>
    <w:unhideWhenUsed/>
    <w:qFormat/>
    <w:rsid w:val="00AB3405"/>
    <w:pPr>
      <w:tabs>
        <w:tab w:val="left" w:pos="720"/>
        <w:tab w:val="left" w:pos="1440"/>
        <w:tab w:val="left" w:pos="2160"/>
        <w:tab w:val="left" w:pos="2880"/>
        <w:tab w:val="left" w:pos="3600"/>
        <w:tab w:val="left" w:pos="4320"/>
      </w:tabs>
      <w:spacing w:line="480" w:lineRule="auto"/>
      <w:outlineLvl w:val="2"/>
    </w:pPr>
    <w:rPr>
      <w:rFonts w:ascii="Garamond" w:hAnsi="Garamond"/>
      <w:b/>
      <w:i/>
      <w:iCs/>
      <w:kern w:val="1"/>
      <w:sz w:val="24"/>
      <w:szCs w:val="24"/>
    </w:rPr>
  </w:style>
  <w:style w:type="paragraph" w:styleId="Heading5">
    <w:name w:val="heading 5"/>
    <w:basedOn w:val="Normal"/>
    <w:link w:val="Heading5Char"/>
    <w:uiPriority w:val="9"/>
    <w:qFormat/>
    <w:rsid w:val="005D718D"/>
    <w:pPr>
      <w:autoSpaceDE/>
      <w:autoSpaceDN/>
      <w:adjustRightInd/>
      <w:spacing w:before="100" w:beforeAutospacing="1" w:after="100" w:afterAutospacing="1"/>
      <w:outlineLvl w:val="4"/>
    </w:pPr>
    <w:rPr>
      <w:rFonts w:ascii="Times" w:hAnsi="Times"/>
      <w:b/>
      <w:bCs/>
    </w:rPr>
  </w:style>
  <w:style w:type="paragraph" w:styleId="Heading6">
    <w:name w:val="heading 6"/>
    <w:basedOn w:val="Normal"/>
    <w:link w:val="Heading6Char"/>
    <w:uiPriority w:val="9"/>
    <w:qFormat/>
    <w:rsid w:val="005D718D"/>
    <w:pPr>
      <w:autoSpaceDE/>
      <w:autoSpaceDN/>
      <w:adjustRightInd/>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153"/>
    <w:pPr>
      <w:tabs>
        <w:tab w:val="center" w:pos="4320"/>
        <w:tab w:val="right" w:pos="8640"/>
      </w:tabs>
    </w:pPr>
  </w:style>
  <w:style w:type="character" w:customStyle="1" w:styleId="FooterChar">
    <w:name w:val="Footer Char"/>
    <w:basedOn w:val="DefaultParagraphFont"/>
    <w:link w:val="Footer"/>
    <w:uiPriority w:val="99"/>
    <w:rsid w:val="00BE7153"/>
  </w:style>
  <w:style w:type="character" w:styleId="PageNumber">
    <w:name w:val="page number"/>
    <w:uiPriority w:val="99"/>
    <w:semiHidden/>
    <w:unhideWhenUsed/>
    <w:rsid w:val="00BE7153"/>
  </w:style>
  <w:style w:type="paragraph" w:styleId="FootnoteText">
    <w:name w:val="footnote text"/>
    <w:basedOn w:val="Normal"/>
    <w:link w:val="FootnoteTextChar"/>
    <w:uiPriority w:val="99"/>
    <w:unhideWhenUsed/>
    <w:rsid w:val="001039CB"/>
    <w:rPr>
      <w:sz w:val="24"/>
      <w:szCs w:val="24"/>
    </w:rPr>
  </w:style>
  <w:style w:type="character" w:customStyle="1" w:styleId="FootnoteTextChar">
    <w:name w:val="Footnote Text Char"/>
    <w:link w:val="FootnoteText"/>
    <w:uiPriority w:val="99"/>
    <w:rsid w:val="001039CB"/>
    <w:rPr>
      <w:sz w:val="24"/>
      <w:szCs w:val="24"/>
    </w:rPr>
  </w:style>
  <w:style w:type="character" w:styleId="FootnoteReference">
    <w:name w:val="footnote reference"/>
    <w:uiPriority w:val="99"/>
    <w:unhideWhenUsed/>
    <w:rsid w:val="001039CB"/>
    <w:rPr>
      <w:vertAlign w:val="superscript"/>
    </w:rPr>
  </w:style>
  <w:style w:type="character" w:styleId="CommentReference">
    <w:name w:val="annotation reference"/>
    <w:uiPriority w:val="99"/>
    <w:semiHidden/>
    <w:unhideWhenUsed/>
    <w:rsid w:val="00171899"/>
    <w:rPr>
      <w:sz w:val="18"/>
      <w:szCs w:val="18"/>
    </w:rPr>
  </w:style>
  <w:style w:type="paragraph" w:styleId="CommentText">
    <w:name w:val="annotation text"/>
    <w:basedOn w:val="Normal"/>
    <w:link w:val="CommentTextChar"/>
    <w:uiPriority w:val="99"/>
    <w:semiHidden/>
    <w:unhideWhenUsed/>
    <w:rsid w:val="00171899"/>
    <w:rPr>
      <w:sz w:val="24"/>
      <w:szCs w:val="24"/>
    </w:rPr>
  </w:style>
  <w:style w:type="character" w:customStyle="1" w:styleId="CommentTextChar">
    <w:name w:val="Comment Text Char"/>
    <w:link w:val="CommentText"/>
    <w:uiPriority w:val="99"/>
    <w:semiHidden/>
    <w:rsid w:val="00171899"/>
    <w:rPr>
      <w:sz w:val="24"/>
      <w:szCs w:val="24"/>
    </w:rPr>
  </w:style>
  <w:style w:type="paragraph" w:styleId="CommentSubject">
    <w:name w:val="annotation subject"/>
    <w:basedOn w:val="CommentText"/>
    <w:next w:val="CommentText"/>
    <w:link w:val="CommentSubjectChar"/>
    <w:uiPriority w:val="99"/>
    <w:semiHidden/>
    <w:unhideWhenUsed/>
    <w:rsid w:val="00171899"/>
    <w:rPr>
      <w:b/>
      <w:bCs/>
      <w:sz w:val="20"/>
      <w:szCs w:val="20"/>
    </w:rPr>
  </w:style>
  <w:style w:type="character" w:customStyle="1" w:styleId="CommentSubjectChar">
    <w:name w:val="Comment Subject Char"/>
    <w:link w:val="CommentSubject"/>
    <w:uiPriority w:val="99"/>
    <w:semiHidden/>
    <w:rsid w:val="00171899"/>
    <w:rPr>
      <w:b/>
      <w:bCs/>
      <w:sz w:val="24"/>
      <w:szCs w:val="24"/>
    </w:rPr>
  </w:style>
  <w:style w:type="paragraph" w:styleId="BalloonText">
    <w:name w:val="Balloon Text"/>
    <w:basedOn w:val="Normal"/>
    <w:link w:val="BalloonTextChar"/>
    <w:uiPriority w:val="99"/>
    <w:semiHidden/>
    <w:unhideWhenUsed/>
    <w:rsid w:val="00171899"/>
    <w:rPr>
      <w:rFonts w:ascii="Lucida Grande" w:hAnsi="Lucida Grande" w:cs="Lucida Grande"/>
      <w:sz w:val="18"/>
      <w:szCs w:val="18"/>
    </w:rPr>
  </w:style>
  <w:style w:type="character" w:customStyle="1" w:styleId="BalloonTextChar">
    <w:name w:val="Balloon Text Char"/>
    <w:link w:val="BalloonText"/>
    <w:uiPriority w:val="99"/>
    <w:semiHidden/>
    <w:rsid w:val="00171899"/>
    <w:rPr>
      <w:rFonts w:ascii="Lucida Grande" w:hAnsi="Lucida Grande" w:cs="Lucida Grande"/>
      <w:sz w:val="18"/>
      <w:szCs w:val="18"/>
    </w:rPr>
  </w:style>
  <w:style w:type="character" w:customStyle="1" w:styleId="Heading5Char">
    <w:name w:val="Heading 5 Char"/>
    <w:link w:val="Heading5"/>
    <w:uiPriority w:val="9"/>
    <w:rsid w:val="005D718D"/>
    <w:rPr>
      <w:rFonts w:ascii="Times" w:hAnsi="Times"/>
      <w:b/>
      <w:bCs/>
    </w:rPr>
  </w:style>
  <w:style w:type="character" w:customStyle="1" w:styleId="Heading6Char">
    <w:name w:val="Heading 6 Char"/>
    <w:link w:val="Heading6"/>
    <w:uiPriority w:val="9"/>
    <w:rsid w:val="005D718D"/>
    <w:rPr>
      <w:rFonts w:ascii="Times" w:hAnsi="Times"/>
      <w:b/>
      <w:bCs/>
      <w:sz w:val="15"/>
      <w:szCs w:val="15"/>
    </w:rPr>
  </w:style>
  <w:style w:type="paragraph" w:customStyle="1" w:styleId="subprov">
    <w:name w:val="subprov"/>
    <w:basedOn w:val="Normal"/>
    <w:rsid w:val="005D718D"/>
    <w:pPr>
      <w:autoSpaceDE/>
      <w:autoSpaceDN/>
      <w:adjustRightInd/>
      <w:spacing w:before="100" w:beforeAutospacing="1" w:after="100" w:afterAutospacing="1"/>
    </w:pPr>
    <w:rPr>
      <w:rFonts w:ascii="Times" w:hAnsi="Times"/>
    </w:rPr>
  </w:style>
  <w:style w:type="character" w:customStyle="1" w:styleId="label">
    <w:name w:val="label"/>
    <w:rsid w:val="005D718D"/>
  </w:style>
  <w:style w:type="paragraph" w:customStyle="1" w:styleId="text">
    <w:name w:val="text"/>
    <w:basedOn w:val="Normal"/>
    <w:rsid w:val="005D718D"/>
    <w:pPr>
      <w:autoSpaceDE/>
      <w:autoSpaceDN/>
      <w:adjustRightInd/>
      <w:spacing w:before="100" w:beforeAutospacing="1" w:after="100" w:afterAutospacing="1"/>
    </w:pPr>
    <w:rPr>
      <w:rFonts w:ascii="Times" w:hAnsi="Times"/>
    </w:rPr>
  </w:style>
  <w:style w:type="character" w:styleId="Hyperlink">
    <w:name w:val="Hyperlink"/>
    <w:uiPriority w:val="99"/>
    <w:unhideWhenUsed/>
    <w:rsid w:val="006E7C5A"/>
    <w:rPr>
      <w:color w:val="0000FF"/>
      <w:u w:val="single"/>
    </w:rPr>
  </w:style>
  <w:style w:type="character" w:styleId="Strong">
    <w:name w:val="Strong"/>
    <w:uiPriority w:val="99"/>
    <w:qFormat/>
    <w:rsid w:val="006A4498"/>
    <w:rPr>
      <w:b/>
      <w:bCs/>
    </w:rPr>
  </w:style>
  <w:style w:type="paragraph" w:customStyle="1" w:styleId="ColourfulListAccent11">
    <w:name w:val="Colourful List – Accent 11"/>
    <w:basedOn w:val="Normal"/>
    <w:uiPriority w:val="34"/>
    <w:qFormat/>
    <w:rsid w:val="002C6187"/>
    <w:pPr>
      <w:autoSpaceDE/>
      <w:autoSpaceDN/>
      <w:adjustRightInd/>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BB4A72"/>
    <w:pPr>
      <w:tabs>
        <w:tab w:val="center" w:pos="4320"/>
        <w:tab w:val="right" w:pos="8640"/>
      </w:tabs>
    </w:pPr>
  </w:style>
  <w:style w:type="character" w:customStyle="1" w:styleId="HeaderChar">
    <w:name w:val="Header Char"/>
    <w:basedOn w:val="DefaultParagraphFont"/>
    <w:link w:val="Header"/>
    <w:uiPriority w:val="99"/>
    <w:rsid w:val="00BB4A72"/>
  </w:style>
  <w:style w:type="paragraph" w:customStyle="1" w:styleId="GridTable21">
    <w:name w:val="Grid Table 21"/>
    <w:basedOn w:val="Normal"/>
    <w:next w:val="Normal"/>
    <w:uiPriority w:val="37"/>
    <w:unhideWhenUsed/>
    <w:rsid w:val="00FF0A63"/>
    <w:pPr>
      <w:ind w:left="720" w:hanging="720"/>
    </w:pPr>
  </w:style>
  <w:style w:type="character" w:styleId="EndnoteReference">
    <w:name w:val="endnote reference"/>
    <w:uiPriority w:val="99"/>
    <w:semiHidden/>
    <w:unhideWhenUsed/>
    <w:rsid w:val="008634F1"/>
    <w:rPr>
      <w:vertAlign w:val="superscript"/>
    </w:rPr>
  </w:style>
  <w:style w:type="paragraph" w:styleId="ListParagraph">
    <w:name w:val="List Paragraph"/>
    <w:basedOn w:val="Normal"/>
    <w:uiPriority w:val="34"/>
    <w:qFormat/>
    <w:rsid w:val="00690A46"/>
    <w:pPr>
      <w:autoSpaceDE/>
      <w:autoSpaceDN/>
      <w:adjustRightInd/>
      <w:spacing w:after="160" w:line="259" w:lineRule="auto"/>
      <w:ind w:left="720"/>
      <w:contextualSpacing/>
    </w:pPr>
    <w:rPr>
      <w:rFonts w:cs="Times New Roman"/>
      <w:sz w:val="22"/>
      <w:szCs w:val="22"/>
    </w:rPr>
  </w:style>
  <w:style w:type="character" w:customStyle="1" w:styleId="UnresolvedMention1">
    <w:name w:val="Unresolved Mention1"/>
    <w:uiPriority w:val="99"/>
    <w:semiHidden/>
    <w:unhideWhenUsed/>
    <w:rsid w:val="002D7F1F"/>
    <w:rPr>
      <w:color w:val="605E5C"/>
      <w:shd w:val="clear" w:color="auto" w:fill="E1DFDD"/>
    </w:rPr>
  </w:style>
  <w:style w:type="character" w:styleId="FollowedHyperlink">
    <w:name w:val="FollowedHyperlink"/>
    <w:basedOn w:val="DefaultParagraphFont"/>
    <w:uiPriority w:val="99"/>
    <w:semiHidden/>
    <w:unhideWhenUsed/>
    <w:rsid w:val="00D33262"/>
    <w:rPr>
      <w:color w:val="954F72" w:themeColor="followedHyperlink"/>
      <w:u w:val="single"/>
    </w:rPr>
  </w:style>
  <w:style w:type="paragraph" w:customStyle="1" w:styleId="xmsonormal">
    <w:name w:val="x_msonormal"/>
    <w:basedOn w:val="Normal"/>
    <w:rsid w:val="00790785"/>
    <w:pPr>
      <w:autoSpaceDE/>
      <w:autoSpaceDN/>
      <w:adjustRightInd/>
      <w:spacing w:before="100" w:beforeAutospacing="1" w:after="100" w:afterAutospacing="1"/>
    </w:pPr>
    <w:rPr>
      <w:rFonts w:ascii="Times New Roman" w:eastAsia="Times New Roman" w:hAnsi="Times New Roman" w:cs="Times New Roman"/>
      <w:sz w:val="24"/>
      <w:szCs w:val="24"/>
      <w:lang w:eastAsia="en-GB"/>
    </w:rPr>
  </w:style>
  <w:style w:type="character" w:customStyle="1" w:styleId="xmsofootnotereference">
    <w:name w:val="x_msofootnotereference"/>
    <w:basedOn w:val="DefaultParagraphFont"/>
    <w:rsid w:val="00790785"/>
  </w:style>
  <w:style w:type="paragraph" w:styleId="Bibliography">
    <w:name w:val="Bibliography"/>
    <w:basedOn w:val="Normal"/>
    <w:next w:val="Normal"/>
    <w:uiPriority w:val="99"/>
    <w:unhideWhenUsed/>
    <w:rsid w:val="00B02ACC"/>
    <w:pPr>
      <w:ind w:left="720" w:hanging="720"/>
    </w:pPr>
  </w:style>
  <w:style w:type="paragraph" w:styleId="Revision">
    <w:name w:val="Revision"/>
    <w:hidden/>
    <w:uiPriority w:val="99"/>
    <w:unhideWhenUsed/>
    <w:rsid w:val="00645C76"/>
    <w:rPr>
      <w:lang w:eastAsia="en-US"/>
    </w:rPr>
  </w:style>
  <w:style w:type="character" w:customStyle="1" w:styleId="Heading1Char">
    <w:name w:val="Heading 1 Char"/>
    <w:basedOn w:val="DefaultParagraphFont"/>
    <w:link w:val="Heading1"/>
    <w:uiPriority w:val="99"/>
    <w:rsid w:val="00AB3405"/>
    <w:rPr>
      <w:rFonts w:ascii="Garamond" w:hAnsi="Garamond"/>
      <w:b/>
      <w:sz w:val="28"/>
      <w:szCs w:val="28"/>
      <w:lang w:eastAsia="en-US"/>
    </w:rPr>
  </w:style>
  <w:style w:type="character" w:customStyle="1" w:styleId="Heading2Char">
    <w:name w:val="Heading 2 Char"/>
    <w:basedOn w:val="DefaultParagraphFont"/>
    <w:link w:val="Heading2"/>
    <w:uiPriority w:val="99"/>
    <w:rsid w:val="00AB3405"/>
    <w:rPr>
      <w:rFonts w:ascii="Garamond" w:hAnsi="Garamond"/>
      <w:b/>
      <w:iCs/>
      <w:sz w:val="24"/>
      <w:szCs w:val="24"/>
      <w:lang w:eastAsia="en-US"/>
    </w:rPr>
  </w:style>
  <w:style w:type="character" w:customStyle="1" w:styleId="Heading3Char">
    <w:name w:val="Heading 3 Char"/>
    <w:basedOn w:val="DefaultParagraphFont"/>
    <w:link w:val="Heading3"/>
    <w:uiPriority w:val="99"/>
    <w:rsid w:val="00AB3405"/>
    <w:rPr>
      <w:rFonts w:ascii="Garamond" w:hAnsi="Garamond"/>
      <w:b/>
      <w:i/>
      <w:iCs/>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205026678">
      <w:bodyDiv w:val="1"/>
      <w:marLeft w:val="0"/>
      <w:marRight w:val="0"/>
      <w:marTop w:val="0"/>
      <w:marBottom w:val="0"/>
      <w:divBdr>
        <w:top w:val="none" w:sz="0" w:space="0" w:color="auto"/>
        <w:left w:val="none" w:sz="0" w:space="0" w:color="auto"/>
        <w:bottom w:val="none" w:sz="0" w:space="0" w:color="auto"/>
        <w:right w:val="none" w:sz="0" w:space="0" w:color="auto"/>
      </w:divBdr>
    </w:div>
    <w:div w:id="608314345">
      <w:bodyDiv w:val="1"/>
      <w:marLeft w:val="0"/>
      <w:marRight w:val="0"/>
      <w:marTop w:val="0"/>
      <w:marBottom w:val="0"/>
      <w:divBdr>
        <w:top w:val="none" w:sz="0" w:space="0" w:color="auto"/>
        <w:left w:val="none" w:sz="0" w:space="0" w:color="auto"/>
        <w:bottom w:val="none" w:sz="0" w:space="0" w:color="auto"/>
        <w:right w:val="none" w:sz="0" w:space="0" w:color="auto"/>
      </w:divBdr>
      <w:divsChild>
        <w:div w:id="1837568215">
          <w:marLeft w:val="0"/>
          <w:marRight w:val="0"/>
          <w:marTop w:val="0"/>
          <w:marBottom w:val="0"/>
          <w:divBdr>
            <w:top w:val="none" w:sz="0" w:space="0" w:color="auto"/>
            <w:left w:val="none" w:sz="0" w:space="0" w:color="auto"/>
            <w:bottom w:val="none" w:sz="0" w:space="0" w:color="auto"/>
            <w:right w:val="none" w:sz="0" w:space="0" w:color="auto"/>
          </w:divBdr>
          <w:divsChild>
            <w:div w:id="1095898653">
              <w:marLeft w:val="0"/>
              <w:marRight w:val="0"/>
              <w:marTop w:val="0"/>
              <w:marBottom w:val="0"/>
              <w:divBdr>
                <w:top w:val="none" w:sz="0" w:space="0" w:color="auto"/>
                <w:left w:val="none" w:sz="0" w:space="0" w:color="auto"/>
                <w:bottom w:val="none" w:sz="0" w:space="0" w:color="auto"/>
                <w:right w:val="none" w:sz="0" w:space="0" w:color="auto"/>
              </w:divBdr>
              <w:divsChild>
                <w:div w:id="1668248375">
                  <w:marLeft w:val="0"/>
                  <w:marRight w:val="0"/>
                  <w:marTop w:val="0"/>
                  <w:marBottom w:val="0"/>
                  <w:divBdr>
                    <w:top w:val="none" w:sz="0" w:space="0" w:color="auto"/>
                    <w:left w:val="none" w:sz="0" w:space="0" w:color="auto"/>
                    <w:bottom w:val="none" w:sz="0" w:space="0" w:color="auto"/>
                    <w:right w:val="none" w:sz="0" w:space="0" w:color="auto"/>
                  </w:divBdr>
                  <w:divsChild>
                    <w:div w:id="949438141">
                      <w:marLeft w:val="0"/>
                      <w:marRight w:val="0"/>
                      <w:marTop w:val="0"/>
                      <w:marBottom w:val="0"/>
                      <w:divBdr>
                        <w:top w:val="none" w:sz="0" w:space="0" w:color="auto"/>
                        <w:left w:val="none" w:sz="0" w:space="0" w:color="auto"/>
                        <w:bottom w:val="none" w:sz="0" w:space="0" w:color="auto"/>
                        <w:right w:val="none" w:sz="0" w:space="0" w:color="auto"/>
                      </w:divBdr>
                      <w:divsChild>
                        <w:div w:id="1764186603">
                          <w:marLeft w:val="0"/>
                          <w:marRight w:val="0"/>
                          <w:marTop w:val="0"/>
                          <w:marBottom w:val="0"/>
                          <w:divBdr>
                            <w:top w:val="none" w:sz="0" w:space="0" w:color="auto"/>
                            <w:left w:val="none" w:sz="0" w:space="0" w:color="auto"/>
                            <w:bottom w:val="none" w:sz="0" w:space="0" w:color="auto"/>
                            <w:right w:val="none" w:sz="0" w:space="0" w:color="auto"/>
                          </w:divBdr>
                          <w:divsChild>
                            <w:div w:id="294677004">
                              <w:marLeft w:val="0"/>
                              <w:marRight w:val="0"/>
                              <w:marTop w:val="0"/>
                              <w:marBottom w:val="0"/>
                              <w:divBdr>
                                <w:top w:val="none" w:sz="0" w:space="0" w:color="auto"/>
                                <w:left w:val="none" w:sz="0" w:space="0" w:color="auto"/>
                                <w:bottom w:val="none" w:sz="0" w:space="0" w:color="auto"/>
                                <w:right w:val="none" w:sz="0" w:space="0" w:color="auto"/>
                              </w:divBdr>
                            </w:div>
                            <w:div w:id="947927358">
                              <w:marLeft w:val="0"/>
                              <w:marRight w:val="0"/>
                              <w:marTop w:val="0"/>
                              <w:marBottom w:val="0"/>
                              <w:divBdr>
                                <w:top w:val="none" w:sz="0" w:space="0" w:color="auto"/>
                                <w:left w:val="none" w:sz="0" w:space="0" w:color="auto"/>
                                <w:bottom w:val="none" w:sz="0" w:space="0" w:color="auto"/>
                                <w:right w:val="none" w:sz="0" w:space="0" w:color="auto"/>
                              </w:divBdr>
                            </w:div>
                            <w:div w:id="1393457575">
                              <w:marLeft w:val="0"/>
                              <w:marRight w:val="0"/>
                              <w:marTop w:val="0"/>
                              <w:marBottom w:val="0"/>
                              <w:divBdr>
                                <w:top w:val="none" w:sz="0" w:space="0" w:color="auto"/>
                                <w:left w:val="none" w:sz="0" w:space="0" w:color="auto"/>
                                <w:bottom w:val="none" w:sz="0" w:space="0" w:color="auto"/>
                                <w:right w:val="none" w:sz="0" w:space="0" w:color="auto"/>
                              </w:divBdr>
                            </w:div>
                          </w:divsChild>
                        </w:div>
                        <w:div w:id="19748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47208">
      <w:bodyDiv w:val="1"/>
      <w:marLeft w:val="0"/>
      <w:marRight w:val="0"/>
      <w:marTop w:val="0"/>
      <w:marBottom w:val="0"/>
      <w:divBdr>
        <w:top w:val="none" w:sz="0" w:space="0" w:color="auto"/>
        <w:left w:val="none" w:sz="0" w:space="0" w:color="auto"/>
        <w:bottom w:val="none" w:sz="0" w:space="0" w:color="auto"/>
        <w:right w:val="none" w:sz="0" w:space="0" w:color="auto"/>
      </w:divBdr>
    </w:div>
    <w:div w:id="1690253634">
      <w:bodyDiv w:val="1"/>
      <w:marLeft w:val="0"/>
      <w:marRight w:val="0"/>
      <w:marTop w:val="0"/>
      <w:marBottom w:val="0"/>
      <w:divBdr>
        <w:top w:val="none" w:sz="0" w:space="0" w:color="auto"/>
        <w:left w:val="none" w:sz="0" w:space="0" w:color="auto"/>
        <w:bottom w:val="none" w:sz="0" w:space="0" w:color="auto"/>
        <w:right w:val="none" w:sz="0" w:space="0" w:color="auto"/>
      </w:divBdr>
    </w:div>
    <w:div w:id="1763867383">
      <w:bodyDiv w:val="1"/>
      <w:marLeft w:val="0"/>
      <w:marRight w:val="0"/>
      <w:marTop w:val="0"/>
      <w:marBottom w:val="0"/>
      <w:divBdr>
        <w:top w:val="none" w:sz="0" w:space="0" w:color="auto"/>
        <w:left w:val="none" w:sz="0" w:space="0" w:color="auto"/>
        <w:bottom w:val="none" w:sz="0" w:space="0" w:color="auto"/>
        <w:right w:val="none" w:sz="0" w:space="0" w:color="auto"/>
      </w:divBdr>
    </w:div>
    <w:div w:id="1784036399">
      <w:bodyDiv w:val="1"/>
      <w:marLeft w:val="0"/>
      <w:marRight w:val="0"/>
      <w:marTop w:val="0"/>
      <w:marBottom w:val="0"/>
      <w:divBdr>
        <w:top w:val="none" w:sz="0" w:space="0" w:color="auto"/>
        <w:left w:val="none" w:sz="0" w:space="0" w:color="auto"/>
        <w:bottom w:val="none" w:sz="0" w:space="0" w:color="auto"/>
        <w:right w:val="none" w:sz="0" w:space="0" w:color="auto"/>
      </w:divBdr>
      <w:divsChild>
        <w:div w:id="499664690">
          <w:marLeft w:val="0"/>
          <w:marRight w:val="0"/>
          <w:marTop w:val="0"/>
          <w:marBottom w:val="0"/>
          <w:divBdr>
            <w:top w:val="none" w:sz="0" w:space="0" w:color="auto"/>
            <w:left w:val="none" w:sz="0" w:space="0" w:color="auto"/>
            <w:bottom w:val="none" w:sz="0" w:space="0" w:color="auto"/>
            <w:right w:val="none" w:sz="0" w:space="0" w:color="auto"/>
          </w:divBdr>
          <w:divsChild>
            <w:div w:id="1182624079">
              <w:marLeft w:val="0"/>
              <w:marRight w:val="0"/>
              <w:marTop w:val="0"/>
              <w:marBottom w:val="0"/>
              <w:divBdr>
                <w:top w:val="none" w:sz="0" w:space="0" w:color="auto"/>
                <w:left w:val="none" w:sz="0" w:space="0" w:color="auto"/>
                <w:bottom w:val="none" w:sz="0" w:space="0" w:color="auto"/>
                <w:right w:val="none" w:sz="0" w:space="0" w:color="auto"/>
              </w:divBdr>
              <w:divsChild>
                <w:div w:id="1976909573">
                  <w:marLeft w:val="0"/>
                  <w:marRight w:val="0"/>
                  <w:marTop w:val="0"/>
                  <w:marBottom w:val="0"/>
                  <w:divBdr>
                    <w:top w:val="none" w:sz="0" w:space="0" w:color="auto"/>
                    <w:left w:val="none" w:sz="0" w:space="0" w:color="auto"/>
                    <w:bottom w:val="none" w:sz="0" w:space="0" w:color="auto"/>
                    <w:right w:val="none" w:sz="0" w:space="0" w:color="auto"/>
                  </w:divBdr>
                  <w:divsChild>
                    <w:div w:id="1891379833">
                      <w:marLeft w:val="0"/>
                      <w:marRight w:val="0"/>
                      <w:marTop w:val="0"/>
                      <w:marBottom w:val="0"/>
                      <w:divBdr>
                        <w:top w:val="none" w:sz="0" w:space="0" w:color="auto"/>
                        <w:left w:val="none" w:sz="0" w:space="0" w:color="auto"/>
                        <w:bottom w:val="none" w:sz="0" w:space="0" w:color="auto"/>
                        <w:right w:val="none" w:sz="0" w:space="0" w:color="auto"/>
                      </w:divBdr>
                      <w:divsChild>
                        <w:div w:id="16303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063213">
      <w:bodyDiv w:val="1"/>
      <w:marLeft w:val="0"/>
      <w:marRight w:val="0"/>
      <w:marTop w:val="0"/>
      <w:marBottom w:val="0"/>
      <w:divBdr>
        <w:top w:val="none" w:sz="0" w:space="0" w:color="auto"/>
        <w:left w:val="none" w:sz="0" w:space="0" w:color="auto"/>
        <w:bottom w:val="none" w:sz="0" w:space="0" w:color="auto"/>
        <w:right w:val="none" w:sz="0" w:space="0" w:color="auto"/>
      </w:divBdr>
    </w:div>
    <w:div w:id="196373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lgbt-survey-summary-report/national-lgbt-survey-summary-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ada.justice.gc.ca/eng/rp-pr/csj-sjc/legis-redact/legistics/p1p15.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utureoflegalgender.kcl.ac.uk/" TargetMode="External"/><Relationship Id="rId2" Type="http://schemas.openxmlformats.org/officeDocument/2006/relationships/hyperlink" Target="https://www.parliament.uk/about/how/laws/secondary-legislation/" TargetMode="External"/><Relationship Id="rId1" Type="http://schemas.openxmlformats.org/officeDocument/2006/relationships/hyperlink" Target="mailto:e.grabham@kent.ac.uk" TargetMode="External"/><Relationship Id="rId5" Type="http://schemas.openxmlformats.org/officeDocument/2006/relationships/hyperlink" Target="https://www.sfjp.law.ed.ac.uk/" TargetMode="External"/><Relationship Id="rId4" Type="http://schemas.openxmlformats.org/officeDocument/2006/relationships/hyperlink" Target="https://www.lawandglobaljustice.com/the-african-feminist-judgment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D0DE-0B17-4345-BA63-2B602BF9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27948</Words>
  <Characters>152039</Characters>
  <Application>Microsoft Office Word</Application>
  <DocSecurity>0</DocSecurity>
  <Lines>2203</Lines>
  <Paragraphs>447</Paragraphs>
  <ScaleCrop>false</ScaleCrop>
  <HeadingPairs>
    <vt:vector size="2" baseType="variant">
      <vt:variant>
        <vt:lpstr>Title</vt:lpstr>
      </vt:variant>
      <vt:variant>
        <vt:i4>1</vt:i4>
      </vt:variant>
    </vt:vector>
  </HeadingPairs>
  <TitlesOfParts>
    <vt:vector size="1" baseType="lpstr">
      <vt:lpstr/>
    </vt:vector>
  </TitlesOfParts>
  <Company>Kent Law School</Company>
  <LinksUpToDate>false</LinksUpToDate>
  <CharactersWithSpaces>179540</CharactersWithSpaces>
  <SharedDoc>false</SharedDoc>
  <HLinks>
    <vt:vector size="48" baseType="variant">
      <vt:variant>
        <vt:i4>3604600</vt:i4>
      </vt:variant>
      <vt:variant>
        <vt:i4>39</vt:i4>
      </vt:variant>
      <vt:variant>
        <vt:i4>0</vt:i4>
      </vt:variant>
      <vt:variant>
        <vt:i4>5</vt:i4>
      </vt:variant>
      <vt:variant>
        <vt:lpwstr>https://www.sfjp.law.ed.ac.uk/</vt:lpwstr>
      </vt:variant>
      <vt:variant>
        <vt:lpwstr/>
      </vt:variant>
      <vt:variant>
        <vt:i4>2424870</vt:i4>
      </vt:variant>
      <vt:variant>
        <vt:i4>36</vt:i4>
      </vt:variant>
      <vt:variant>
        <vt:i4>0</vt:i4>
      </vt:variant>
      <vt:variant>
        <vt:i4>5</vt:i4>
      </vt:variant>
      <vt:variant>
        <vt:lpwstr>https://www.lawandglobaljustice.com/the-african-feminist-judgments-project</vt:lpwstr>
      </vt:variant>
      <vt:variant>
        <vt:lpwstr/>
      </vt:variant>
      <vt:variant>
        <vt:i4>1966111</vt:i4>
      </vt:variant>
      <vt:variant>
        <vt:i4>30</vt:i4>
      </vt:variant>
      <vt:variant>
        <vt:i4>0</vt:i4>
      </vt:variant>
      <vt:variant>
        <vt:i4>5</vt:i4>
      </vt:variant>
      <vt:variant>
        <vt:lpwstr>https://www.gov.uk/government/publications/national-lgbt-survey-summary-report/national-lgbt-survey-summary-report</vt:lpwstr>
      </vt:variant>
      <vt:variant>
        <vt:lpwstr>the-results</vt:lpwstr>
      </vt:variant>
      <vt:variant>
        <vt:i4>6750254</vt:i4>
      </vt:variant>
      <vt:variant>
        <vt:i4>27</vt:i4>
      </vt:variant>
      <vt:variant>
        <vt:i4>0</vt:i4>
      </vt:variant>
      <vt:variant>
        <vt:i4>5</vt:i4>
      </vt:variant>
      <vt:variant>
        <vt:lpwstr>https://webarchive.nationalarchives.gov.uk/20141211024015/https://www.gov.uk/government/publications/drafting-bills-for-parliament</vt:lpwstr>
      </vt:variant>
      <vt:variant>
        <vt:lpwstr/>
      </vt:variant>
      <vt:variant>
        <vt:i4>5963794</vt:i4>
      </vt:variant>
      <vt:variant>
        <vt:i4>24</vt:i4>
      </vt:variant>
      <vt:variant>
        <vt:i4>0</vt:i4>
      </vt:variant>
      <vt:variant>
        <vt:i4>5</vt:i4>
      </vt:variant>
      <vt:variant>
        <vt:lpwstr>https://canada.justice.gc.ca/eng/rp-pr/csj-sjc/legis-redact/legistics/p1p15.html</vt:lpwstr>
      </vt:variant>
      <vt:variant>
        <vt:lpwstr/>
      </vt:variant>
      <vt:variant>
        <vt:i4>720975</vt:i4>
      </vt:variant>
      <vt:variant>
        <vt:i4>3</vt:i4>
      </vt:variant>
      <vt:variant>
        <vt:i4>0</vt:i4>
      </vt:variant>
      <vt:variant>
        <vt:i4>5</vt:i4>
      </vt:variant>
      <vt:variant>
        <vt:lpwstr>https://civilservice.blog.gov.uk/2019/03/28/150-years-of-the-office-of-the-parliamentary-counsel/</vt:lpwstr>
      </vt:variant>
      <vt:variant>
        <vt:lpwstr/>
      </vt:variant>
      <vt:variant>
        <vt:i4>2031683</vt:i4>
      </vt:variant>
      <vt:variant>
        <vt:i4>0</vt:i4>
      </vt:variant>
      <vt:variant>
        <vt:i4>0</vt:i4>
      </vt:variant>
      <vt:variant>
        <vt:i4>5</vt:i4>
      </vt:variant>
      <vt:variant>
        <vt:lpwstr>https://futureoflegalgender.kcl.ac.uk/2018/10/13/acting-as-if-other-law-reform-options-were-already-on-the-table/</vt:lpwstr>
      </vt:variant>
      <vt:variant>
        <vt:lpwstr>more-520</vt:lpwstr>
      </vt:variant>
      <vt:variant>
        <vt:i4>6357097</vt:i4>
      </vt:variant>
      <vt:variant>
        <vt:i4>0</vt:i4>
      </vt:variant>
      <vt:variant>
        <vt:i4>0</vt:i4>
      </vt:variant>
      <vt:variant>
        <vt:i4>5</vt:i4>
      </vt:variant>
      <vt:variant>
        <vt:lpwstr>https://www.gov.scot/publications/gender-representation-public-boards-scotland-act-2018-statutory-guidance/pages/2/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Grabham</dc:creator>
  <cp:keywords/>
  <cp:lastModifiedBy>Rosemary Hunter</cp:lastModifiedBy>
  <cp:revision>4</cp:revision>
  <cp:lastPrinted>1900-01-01T00:00:00Z</cp:lastPrinted>
  <dcterms:created xsi:type="dcterms:W3CDTF">2020-11-19T20:54:00Z</dcterms:created>
  <dcterms:modified xsi:type="dcterms:W3CDTF">2020-11-19T21:58:00Z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id="9pC4lNhy"/&gt;&lt;style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